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18D6" w14:textId="7C7C1F92" w:rsidR="00A86C05" w:rsidRDefault="00C40506" w:rsidP="003B57E5">
      <w:pPr>
        <w:spacing w:before="240" w:line="240" w:lineRule="auto"/>
        <w:ind w:left="450" w:hanging="450"/>
        <w:jc w:val="center"/>
        <w:rPr>
          <w:rFonts w:ascii="Times New Roman" w:hAnsi="Times New Roman" w:cs="Times New Roman"/>
          <w:sz w:val="24"/>
          <w:szCs w:val="24"/>
        </w:rPr>
      </w:pPr>
      <w:r>
        <w:rPr>
          <w:rFonts w:ascii="Times New Roman" w:hAnsi="Times New Roman" w:cs="Times New Roman"/>
          <w:sz w:val="24"/>
          <w:szCs w:val="24"/>
        </w:rPr>
        <w:t>Wisconsin Card Sorting Test (WCST) References</w:t>
      </w:r>
    </w:p>
    <w:p w14:paraId="40D4303B" w14:textId="19DFB0FC" w:rsidR="003B57E5" w:rsidRPr="003B57E5" w:rsidRDefault="003B57E5" w:rsidP="003B57E5">
      <w:pPr>
        <w:spacing w:before="240" w:line="240" w:lineRule="auto"/>
        <w:ind w:left="450" w:hanging="450"/>
        <w:jc w:val="center"/>
        <w:rPr>
          <w:rFonts w:ascii="Times New Roman" w:hAnsi="Times New Roman" w:cs="Times New Roman"/>
          <w:sz w:val="20"/>
          <w:szCs w:val="20"/>
        </w:rPr>
      </w:pPr>
      <w:hyperlink r:id="rId4" w:history="1">
        <w:r>
          <w:rPr>
            <w:rStyle w:val="Hyperlink"/>
            <w:sz w:val="20"/>
            <w:szCs w:val="20"/>
          </w:rPr>
          <w:t>https://www.zotero.org/groups/4534945/wisconsin_card_sorting_test</w:t>
        </w:r>
      </w:hyperlink>
    </w:p>
    <w:p w14:paraId="2F8B5F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Aarsen, F. K., Van Dongen, H. R., Paquier, P. F., Van Mourik, M., &amp; Catsman-Berrevoets, C. E. (2004). Long-term sequelae in children after cerebellar astrocytoma surgery.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(8), 1311–1316. </w:t>
      </w:r>
      <w:hyperlink r:id="rId5" w:history="1">
        <w:r w:rsidRPr="005B38F0">
          <w:rPr>
            <w:rFonts w:ascii="Times New Roman" w:eastAsia="Times New Roman" w:hAnsi="Times New Roman" w:cs="Times New Roman"/>
            <w:color w:val="0000FF"/>
            <w:sz w:val="24"/>
            <w:szCs w:val="24"/>
            <w:u w:val="single"/>
          </w:rPr>
          <w:t>https://doi.org/10.1212/01.WNL.0000120549.77188.36</w:t>
        </w:r>
      </w:hyperlink>
    </w:p>
    <w:p w14:paraId="10DDAF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 C., Trimarchi, P. D., Rotondo, E., Inglese, S., Nicolini, P., Rossi, P. D., Arosio, B., &amp; Mari, D. (2016). Spontaneous confabulations in amnestic-mild cognitive impairment due to Alzheimer’s disease: A new (yet old) atypical variant?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451–460. </w:t>
      </w:r>
      <w:hyperlink r:id="rId6" w:history="1">
        <w:r w:rsidRPr="005B38F0">
          <w:rPr>
            <w:rFonts w:ascii="Times New Roman" w:eastAsia="Times New Roman" w:hAnsi="Times New Roman" w:cs="Times New Roman"/>
            <w:color w:val="0000FF"/>
            <w:sz w:val="24"/>
            <w:szCs w:val="24"/>
            <w:u w:val="single"/>
          </w:rPr>
          <w:t>https://doi.org/10.1080/13554794.2016.1239743</w:t>
        </w:r>
      </w:hyperlink>
    </w:p>
    <w:p w14:paraId="239D68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 C., Trimarchi, P. D., Salvi, G. P., Quarenghi, A. M., Vergani, C., &amp; Luzzatti, C. (2012). Delusion of inanimate doubles: Description of a case of focal retrograde amnesia.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457–477. </w:t>
      </w:r>
      <w:hyperlink r:id="rId7" w:history="1">
        <w:r w:rsidRPr="005B38F0">
          <w:rPr>
            <w:rFonts w:ascii="Times New Roman" w:eastAsia="Times New Roman" w:hAnsi="Times New Roman" w:cs="Times New Roman"/>
            <w:color w:val="0000FF"/>
            <w:sz w:val="24"/>
            <w:szCs w:val="24"/>
            <w:u w:val="single"/>
          </w:rPr>
          <w:t>https://doi.org/10.1080/13554794.2011.627344</w:t>
        </w:r>
      </w:hyperlink>
    </w:p>
    <w:p w14:paraId="68BA83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Abbate-Daga, G., Buzzichelli, S., Amianto, F., Rocca, G., Marzola, E., McClintock, S. M., &amp; Fassino, S. (2011). Cognitive flexibility in verbal and nonverbal domains and decision making in anorexia nervosa patients: A pilot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8" w:history="1">
        <w:r w:rsidRPr="005B38F0">
          <w:rPr>
            <w:rFonts w:ascii="Times New Roman" w:eastAsia="Times New Roman" w:hAnsi="Times New Roman" w:cs="Times New Roman"/>
            <w:color w:val="0000FF"/>
            <w:sz w:val="24"/>
            <w:szCs w:val="24"/>
            <w:u w:val="single"/>
          </w:rPr>
          <w:t>https://doi.org/10.1186/1471-244X-11-162</w:t>
        </w:r>
      </w:hyperlink>
    </w:p>
    <w:p w14:paraId="565357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Abbate-Daga, G., Buzzichelli, S., Marzola, E., Amianto, F., &amp; Fassino, S. (2014). Clinical investigation of set-shifting subtypes in anorexia nervosa.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219</w:t>
      </w:r>
      <w:r w:rsidRPr="005B38F0">
        <w:rPr>
          <w:rFonts w:ascii="Times New Roman" w:eastAsia="Times New Roman" w:hAnsi="Times New Roman" w:cs="Times New Roman"/>
          <w:sz w:val="24"/>
          <w:szCs w:val="24"/>
        </w:rPr>
        <w:t xml:space="preserve">(3), 592–597. </w:t>
      </w:r>
      <w:hyperlink r:id="rId9" w:history="1">
        <w:r w:rsidRPr="005B38F0">
          <w:rPr>
            <w:rFonts w:ascii="Times New Roman" w:eastAsia="Times New Roman" w:hAnsi="Times New Roman" w:cs="Times New Roman"/>
            <w:color w:val="0000FF"/>
            <w:sz w:val="24"/>
            <w:szCs w:val="24"/>
            <w:u w:val="single"/>
          </w:rPr>
          <w:t>https://doi.org/10.1016/j.psychres.2014.06.024</w:t>
        </w:r>
      </w:hyperlink>
    </w:p>
    <w:p w14:paraId="564A3A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Abbes, M., Lhommée, E., Thobois, S., Klinger, H., Schmitt, E., Bichon, A., Castrioto, A., Xie, J., Fraix, V., Kistner, A., Pélissier, P., Seigneuret, É., Chabardès, S., Mertens, P., Broussolle, E., Moro, E., &amp; Krack, P. (2018). Subthalamic stimulation and neuropsychiatric symptoms in Parkinson’s disease: Results from a long-term follow-up cohort study.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(8), 836–843. </w:t>
      </w:r>
      <w:hyperlink r:id="rId10" w:history="1">
        <w:r w:rsidRPr="005B38F0">
          <w:rPr>
            <w:rFonts w:ascii="Times New Roman" w:eastAsia="Times New Roman" w:hAnsi="Times New Roman" w:cs="Times New Roman"/>
            <w:color w:val="0000FF"/>
            <w:sz w:val="24"/>
            <w:szCs w:val="24"/>
            <w:u w:val="single"/>
          </w:rPr>
          <w:t>https://doi.org/10.1136/jnnp-2017-316373</w:t>
        </w:r>
      </w:hyperlink>
    </w:p>
    <w:p w14:paraId="78B562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Abboud, H., Floden, D., Thompson, N. R., Genc, G., Oravivattanakul, S., Alsallom, F., Swa, B., Kubu, C., Pandya, M., Gostkowski, M., Cooper, S., Machado, A. G., &amp; Fernandez, H. H. (2015). Impact of mild cognitive impairment on outcome following deep brain stimulation surgery for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249–253. </w:t>
      </w:r>
      <w:hyperlink r:id="rId11" w:history="1">
        <w:r w:rsidRPr="005B38F0">
          <w:rPr>
            <w:rFonts w:ascii="Times New Roman" w:eastAsia="Times New Roman" w:hAnsi="Times New Roman" w:cs="Times New Roman"/>
            <w:color w:val="0000FF"/>
            <w:sz w:val="24"/>
            <w:szCs w:val="24"/>
            <w:u w:val="single"/>
          </w:rPr>
          <w:t>https://doi.org/10.1016/j.parkreldis.2014.12.018</w:t>
        </w:r>
      </w:hyperlink>
    </w:p>
    <w:p w14:paraId="61873D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Bellodi, L., Ferri, S., &amp; Scarone, S. (1995). Frontal lobe dysfunction in schizophrenia and obsessive-compulsive disorder: A neuropsychological study.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202–212. </w:t>
      </w:r>
      <w:hyperlink r:id="rId12" w:history="1">
        <w:r w:rsidRPr="005B38F0">
          <w:rPr>
            <w:rFonts w:ascii="Times New Roman" w:eastAsia="Times New Roman" w:hAnsi="Times New Roman" w:cs="Times New Roman"/>
            <w:color w:val="0000FF"/>
            <w:sz w:val="24"/>
            <w:szCs w:val="24"/>
            <w:u w:val="single"/>
          </w:rPr>
          <w:t>https://doi.org/10.1006/brcg.1995.1017</w:t>
        </w:r>
      </w:hyperlink>
    </w:p>
    <w:p w14:paraId="1C4CEC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Ferri, S., Bellodi, L., &amp; Scarone, S. (1993). Frontal lobe dysfuntion in mental illness. </w:t>
      </w:r>
      <w:r w:rsidRPr="005B38F0">
        <w:rPr>
          <w:rFonts w:ascii="Times New Roman" w:eastAsia="Times New Roman" w:hAnsi="Times New Roman" w:cs="Times New Roman"/>
          <w:i/>
          <w:iCs/>
          <w:sz w:val="24"/>
          <w:szCs w:val="24"/>
        </w:rPr>
        <w:t>Psycoloquy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No Pagination Specified-No Pagination Specified.</w:t>
      </w:r>
    </w:p>
    <w:p w14:paraId="4E0E135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Abbruzzese, M., Ferri, S., &amp; Scarone, S. (1995). Wisconsin Card Sorting Test performance in obsessive-compulsive disorder: No evidence for involvement of dorsolateral prefrontal cortex.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37–43. </w:t>
      </w:r>
      <w:hyperlink r:id="rId13" w:history="1">
        <w:r w:rsidRPr="005B38F0">
          <w:rPr>
            <w:rFonts w:ascii="Times New Roman" w:eastAsia="Times New Roman" w:hAnsi="Times New Roman" w:cs="Times New Roman"/>
            <w:color w:val="0000FF"/>
            <w:sz w:val="24"/>
            <w:szCs w:val="24"/>
            <w:u w:val="single"/>
          </w:rPr>
          <w:t>https://doi.org/10.1016/0165-1781(95)02670-R</w:t>
        </w:r>
      </w:hyperlink>
    </w:p>
    <w:p w14:paraId="0D085D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Ferri, S., &amp; Scarone, S. (1996). Performance on the Wisconsin Card Sorting Test in schizophrenia: Perseveration in clinical subtypes.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(1), 27–33. </w:t>
      </w:r>
      <w:hyperlink r:id="rId14" w:history="1">
        <w:r w:rsidRPr="005B38F0">
          <w:rPr>
            <w:rFonts w:ascii="Times New Roman" w:eastAsia="Times New Roman" w:hAnsi="Times New Roman" w:cs="Times New Roman"/>
            <w:color w:val="0000FF"/>
            <w:sz w:val="24"/>
            <w:szCs w:val="24"/>
            <w:u w:val="single"/>
          </w:rPr>
          <w:t>https://doi.org/10.1016/0165-1781(96)02927-7</w:t>
        </w:r>
      </w:hyperlink>
    </w:p>
    <w:p w14:paraId="14EC45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Abbruzzese, M., Ferri, S., &amp; Scarone, S. (1997). The selective breakdown of frontal functions in patients with obsessive–compulsive disorder and in patients with schizophrenia: A double dissociation experimental finding.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(6), 907–912. </w:t>
      </w:r>
      <w:hyperlink r:id="rId15" w:history="1">
        <w:r w:rsidRPr="005B38F0">
          <w:rPr>
            <w:rFonts w:ascii="Times New Roman" w:eastAsia="Times New Roman" w:hAnsi="Times New Roman" w:cs="Times New Roman"/>
            <w:color w:val="0000FF"/>
            <w:sz w:val="24"/>
            <w:szCs w:val="24"/>
            <w:u w:val="single"/>
          </w:rPr>
          <w:t>https://doi.org/10.1016/S0028-3932(96)00095-4</w:t>
        </w:r>
      </w:hyperlink>
    </w:p>
    <w:p w14:paraId="473895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 N., Ishii, H., Fujii, T., Ueno, A., Lee, E., Ishioka, T., &amp; Mori, E. (2007). Selective impairment in the retrieval of family relationships in person identification: A case study of delusional misidentification.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(13), 2902–2909. </w:t>
      </w:r>
      <w:hyperlink r:id="rId16" w:history="1">
        <w:r w:rsidRPr="005B38F0">
          <w:rPr>
            <w:rFonts w:ascii="Times New Roman" w:eastAsia="Times New Roman" w:hAnsi="Times New Roman" w:cs="Times New Roman"/>
            <w:color w:val="0000FF"/>
            <w:sz w:val="24"/>
            <w:szCs w:val="24"/>
            <w:u w:val="single"/>
          </w:rPr>
          <w:t>https://doi.org/10.1016/j.neuropsychologia.2007.06.003</w:t>
        </w:r>
      </w:hyperlink>
    </w:p>
    <w:p w14:paraId="60D778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Abeare, C. A., &amp; Whitman, R. D. (2009). A case of developmental deep dyslexia: What’s left is right.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(5), 427–435. </w:t>
      </w:r>
      <w:hyperlink r:id="rId17" w:history="1">
        <w:r w:rsidRPr="005B38F0">
          <w:rPr>
            <w:rFonts w:ascii="Times New Roman" w:eastAsia="Times New Roman" w:hAnsi="Times New Roman" w:cs="Times New Roman"/>
            <w:color w:val="0000FF"/>
            <w:sz w:val="24"/>
            <w:szCs w:val="24"/>
            <w:u w:val="single"/>
          </w:rPr>
          <w:t>https://doi.org/10.1080/13554790902911626</w:t>
        </w:r>
      </w:hyperlink>
    </w:p>
    <w:p w14:paraId="452ADB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Abeare, C., Sabelli, A., Taylor, B., Holcomb, M., Dumitrescu, C., Kirsch, N., &amp; Erdodi, L. (2019). The importance of demographically adjusted cutoffs: Age and education bias in raw score cutoffs within the Trail Making Test. </w:t>
      </w:r>
      <w:r w:rsidRPr="005B38F0">
        <w:rPr>
          <w:rFonts w:ascii="Times New Roman" w:eastAsia="Times New Roman" w:hAnsi="Times New Roman" w:cs="Times New Roman"/>
          <w:i/>
          <w:iCs/>
          <w:sz w:val="24"/>
          <w:szCs w:val="24"/>
        </w:rPr>
        <w:t>Psychological Injury and Law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170–182. </w:t>
      </w:r>
      <w:hyperlink r:id="rId18" w:history="1">
        <w:r w:rsidRPr="005B38F0">
          <w:rPr>
            <w:rFonts w:ascii="Times New Roman" w:eastAsia="Times New Roman" w:hAnsi="Times New Roman" w:cs="Times New Roman"/>
            <w:color w:val="0000FF"/>
            <w:sz w:val="24"/>
            <w:szCs w:val="24"/>
            <w:u w:val="single"/>
          </w:rPr>
          <w:t>https://doi.org/10.1007/s12207-019-09353-x</w:t>
        </w:r>
      </w:hyperlink>
    </w:p>
    <w:p w14:paraId="183E0A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Abel, C. G., Stein, G., Galarregui, M., Garretto, N., Mangone, C., Genovese, O., Allegri, R. F., &amp; Sica, R. E. P. (2007). Evaluación de la cognición social y teoría de la mente en pacientes con enferemedad cerebelosa degenerativa aislada no dementes. [Social cognition and theory of mind assessment in non-demented patients with isolated cerebellar degeneration.].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(2), 304–312. </w:t>
      </w:r>
      <w:hyperlink r:id="rId19" w:history="1">
        <w:r w:rsidRPr="005B38F0">
          <w:rPr>
            <w:rFonts w:ascii="Times New Roman" w:eastAsia="Times New Roman" w:hAnsi="Times New Roman" w:cs="Times New Roman"/>
            <w:color w:val="0000FF"/>
            <w:sz w:val="24"/>
            <w:szCs w:val="24"/>
            <w:u w:val="single"/>
          </w:rPr>
          <w:t>https://doi.org/10.1590/S0004-282X2007000200022</w:t>
        </w:r>
      </w:hyperlink>
    </w:p>
    <w:p w14:paraId="1F370C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Abidizadegan, A., Moradi, A., &amp; Famam, R. (2008). The executive functions in methadone maintenance patients. [The executive functions in methadone maintenance patients.]. </w:t>
      </w:r>
      <w:r w:rsidRPr="005B38F0">
        <w:rPr>
          <w:rFonts w:ascii="Times New Roman" w:eastAsia="Times New Roman" w:hAnsi="Times New Roman" w:cs="Times New Roman"/>
          <w:i/>
          <w:iCs/>
          <w:sz w:val="24"/>
          <w:szCs w:val="24"/>
        </w:rPr>
        <w:t>Advances in Cognitive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(3), 75–82.</w:t>
      </w:r>
    </w:p>
    <w:p w14:paraId="1DDB1C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Abi-Saab, D., Fiszdon, J., Bryson, G., &amp; Bell, M. (2005). The implications of memory profiles in schizophrenia on vocational and neuropsychological functioning.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(2–3), 173–182. </w:t>
      </w:r>
      <w:hyperlink r:id="rId20" w:history="1">
        <w:r w:rsidRPr="005B38F0">
          <w:rPr>
            <w:rFonts w:ascii="Times New Roman" w:eastAsia="Times New Roman" w:hAnsi="Times New Roman" w:cs="Times New Roman"/>
            <w:color w:val="0000FF"/>
            <w:sz w:val="24"/>
            <w:szCs w:val="24"/>
            <w:u w:val="single"/>
          </w:rPr>
          <w:t>https://doi.org/10.1016/j.schres.2004.12.014</w:t>
        </w:r>
      </w:hyperlink>
    </w:p>
    <w:p w14:paraId="79EF80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Abo-el-Asrar, M., Andrawes, N. G., Rabie, M. A., El-Gabry, D. A., Khalifa, A.-G., El-Sherif, M., &amp; Aziz, K. A. (2018). Cognitive functions in children and adolescents with early-onset diabetes mellitus in Egypt. </w:t>
      </w:r>
      <w:r w:rsidRPr="005B38F0">
        <w:rPr>
          <w:rFonts w:ascii="Times New Roman" w:eastAsia="Times New Roman" w:hAnsi="Times New Roman" w:cs="Times New Roman"/>
          <w:i/>
          <w:iCs/>
          <w:sz w:val="24"/>
          <w:szCs w:val="24"/>
        </w:rPr>
        <w:t>Applied Neuropsychology: Child</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21–30. </w:t>
      </w:r>
      <w:hyperlink r:id="rId21" w:history="1">
        <w:r w:rsidRPr="005B38F0">
          <w:rPr>
            <w:rFonts w:ascii="Times New Roman" w:eastAsia="Times New Roman" w:hAnsi="Times New Roman" w:cs="Times New Roman"/>
            <w:color w:val="0000FF"/>
            <w:sz w:val="24"/>
            <w:szCs w:val="24"/>
            <w:u w:val="single"/>
          </w:rPr>
          <w:t>https://doi.org/10.1080/21622965.2016.1224186</w:t>
        </w:r>
      </w:hyperlink>
    </w:p>
    <w:p w14:paraId="7430513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Abrahams, S., Goldstein, L. H., Simmons, A., Brammer, M., Williams, S. C. R., Giampietro, V., &amp; Leigh, P. N. (2004). Word retrieval in amyotrophic lateral sclerosis: A functional </w:t>
      </w:r>
      <w:r w:rsidRPr="005B38F0">
        <w:rPr>
          <w:rFonts w:ascii="Times New Roman" w:eastAsia="Times New Roman" w:hAnsi="Times New Roman" w:cs="Times New Roman"/>
          <w:sz w:val="24"/>
          <w:szCs w:val="24"/>
        </w:rPr>
        <w:lastRenderedPageBreak/>
        <w:t xml:space="preserve">magnetic resonance imaging study.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(7), 1507–1517. </w:t>
      </w:r>
      <w:hyperlink r:id="rId22" w:history="1">
        <w:r w:rsidRPr="005B38F0">
          <w:rPr>
            <w:rFonts w:ascii="Times New Roman" w:eastAsia="Times New Roman" w:hAnsi="Times New Roman" w:cs="Times New Roman"/>
            <w:color w:val="0000FF"/>
            <w:sz w:val="24"/>
            <w:szCs w:val="24"/>
            <w:u w:val="single"/>
          </w:rPr>
          <w:t>https://doi.org/10.1093/brain/awh170</w:t>
        </w:r>
      </w:hyperlink>
    </w:p>
    <w:p w14:paraId="7CA79E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Abrahams, S., Leigh, P. N., &amp; Goldstein, L. H. (2005). Cognitive change in ALS: A prospective study.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(7), 1222–1226. </w:t>
      </w:r>
      <w:hyperlink r:id="rId23" w:history="1">
        <w:r w:rsidRPr="005B38F0">
          <w:rPr>
            <w:rFonts w:ascii="Times New Roman" w:eastAsia="Times New Roman" w:hAnsi="Times New Roman" w:cs="Times New Roman"/>
            <w:color w:val="0000FF"/>
            <w:sz w:val="24"/>
            <w:szCs w:val="24"/>
            <w:u w:val="single"/>
          </w:rPr>
          <w:t>https://doi.org/10.1212/01.WNL.0000156519.41681.27</w:t>
        </w:r>
      </w:hyperlink>
    </w:p>
    <w:p w14:paraId="457DCB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Abrahão, A., Dutra, L. A., Neto, P. B., Pedroso, J. L., de Oliveira, R. A., &amp; Povoas Barsottini, O. G. (2011). Cognitive impairment in multiple system atrophy: Changing concepts.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303–309. </w:t>
      </w:r>
      <w:hyperlink r:id="rId24" w:history="1">
        <w:r w:rsidRPr="005B38F0">
          <w:rPr>
            <w:rFonts w:ascii="Times New Roman" w:eastAsia="Times New Roman" w:hAnsi="Times New Roman" w:cs="Times New Roman"/>
            <w:color w:val="0000FF"/>
            <w:sz w:val="24"/>
            <w:szCs w:val="24"/>
            <w:u w:val="single"/>
          </w:rPr>
          <w:t>https://doi.org/10.1590/S1980-57642011DN05040008</w:t>
        </w:r>
      </w:hyperlink>
    </w:p>
    <w:p w14:paraId="05EE0F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Abramovitch, A. (2017). Neuropsychological function in OCD. In </w:t>
      </w:r>
      <w:r w:rsidRPr="005B38F0">
        <w:rPr>
          <w:rFonts w:ascii="Times New Roman" w:eastAsia="Times New Roman" w:hAnsi="Times New Roman" w:cs="Times New Roman"/>
          <w:i/>
          <w:iCs/>
          <w:sz w:val="24"/>
          <w:szCs w:val="24"/>
        </w:rPr>
        <w:t>Obsessive-compulsive disorder: Phenomenology, pathophysiology, and treatment.</w:t>
      </w:r>
      <w:r w:rsidRPr="005B38F0">
        <w:rPr>
          <w:rFonts w:ascii="Times New Roman" w:eastAsia="Times New Roman" w:hAnsi="Times New Roman" w:cs="Times New Roman"/>
          <w:sz w:val="24"/>
          <w:szCs w:val="24"/>
        </w:rPr>
        <w:t xml:space="preserve"> (pp. 149–159). Oxford University Press.</w:t>
      </w:r>
    </w:p>
    <w:p w14:paraId="18D8BE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Abramovitch, A., Abramowitz, J. S., &amp; Mittelman, A. (2013). The neuropsychology of adult obsessive–compulsive disorder: A meta-analysis.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1163–1171. </w:t>
      </w:r>
      <w:hyperlink r:id="rId25" w:history="1">
        <w:r w:rsidRPr="005B38F0">
          <w:rPr>
            <w:rFonts w:ascii="Times New Roman" w:eastAsia="Times New Roman" w:hAnsi="Times New Roman" w:cs="Times New Roman"/>
            <w:color w:val="0000FF"/>
            <w:sz w:val="24"/>
            <w:szCs w:val="24"/>
            <w:u w:val="single"/>
          </w:rPr>
          <w:t>https://doi.org/10.1016/j.cpr.2013.09.004</w:t>
        </w:r>
      </w:hyperlink>
    </w:p>
    <w:p w14:paraId="4E1388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Abrams, L. D. (2001). </w:t>
      </w:r>
      <w:r w:rsidRPr="005B38F0">
        <w:rPr>
          <w:rFonts w:ascii="Times New Roman" w:eastAsia="Times New Roman" w:hAnsi="Times New Roman" w:cs="Times New Roman"/>
          <w:i/>
          <w:iCs/>
          <w:sz w:val="24"/>
          <w:szCs w:val="24"/>
        </w:rPr>
        <w:t>Neuropsychological predictors of vocational outcome.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(8-B), 4385–4385.</w:t>
      </w:r>
    </w:p>
    <w:p w14:paraId="5E6F6A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Abreu, P. S., Camozzato, A. L., Schestatsky, G., Fialho, M., Naud, P., &amp; Andreoli, T. (1993). Avaliação de déficit cognitivo em portadoras assintomáticas do vírus da imunodeficiência humana. [Cognitive deficit evaluation of healthy HIV-infected females.]. </w:t>
      </w:r>
      <w:r w:rsidRPr="005B38F0">
        <w:rPr>
          <w:rFonts w:ascii="Times New Roman" w:eastAsia="Times New Roman" w:hAnsi="Times New Roman" w:cs="Times New Roman"/>
          <w:i/>
          <w:iCs/>
          <w:sz w:val="24"/>
          <w:szCs w:val="24"/>
        </w:rPr>
        <w:t>Revista ABP-APAL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(4), 135–138.</w:t>
      </w:r>
    </w:p>
    <w:p w14:paraId="7351E0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Abujadi, C., Croarkin, P. E., Bellini, B. B., Brentani, H., &amp; Marcolin, M. A. (2018). Intermittent theta-burst transcranial magnetic stimulation for autism spectrum disorder: An open-label pilot study. </w:t>
      </w:r>
      <w:r w:rsidRPr="005B38F0">
        <w:rPr>
          <w:rFonts w:ascii="Times New Roman" w:eastAsia="Times New Roman" w:hAnsi="Times New Roman" w:cs="Times New Roman"/>
          <w:i/>
          <w:iCs/>
          <w:sz w:val="24"/>
          <w:szCs w:val="24"/>
        </w:rPr>
        <w:t>Brazilian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(3), 309–311. </w:t>
      </w:r>
      <w:hyperlink r:id="rId26" w:history="1">
        <w:r w:rsidRPr="005B38F0">
          <w:rPr>
            <w:rFonts w:ascii="Times New Roman" w:eastAsia="Times New Roman" w:hAnsi="Times New Roman" w:cs="Times New Roman"/>
            <w:color w:val="0000FF"/>
            <w:sz w:val="24"/>
            <w:szCs w:val="24"/>
            <w:u w:val="single"/>
          </w:rPr>
          <w:t>https://doi.org/10.1590/1516-4446-2017-2279</w:t>
        </w:r>
      </w:hyperlink>
    </w:p>
    <w:p w14:paraId="271FCF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Ackermans, L., Duits, A., van der Linden, C., Tijssen, M., Schruers, K., Temel, Y., Kleijer, M., Nederveen, P., Bruggeman, R., Tromp, S., van Kranen-Mastenbroek, V., Kingma, H., Cath, D., &amp; Visser-Vandewalle, V. (2011). Double-blind clinical trial of thalamic stimulation in patients with Tourette syndrome.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134</w:t>
      </w:r>
      <w:r w:rsidRPr="005B38F0">
        <w:rPr>
          <w:rFonts w:ascii="Times New Roman" w:eastAsia="Times New Roman" w:hAnsi="Times New Roman" w:cs="Times New Roman"/>
          <w:sz w:val="24"/>
          <w:szCs w:val="24"/>
        </w:rPr>
        <w:t xml:space="preserve">(3), 832–844. </w:t>
      </w:r>
      <w:hyperlink r:id="rId27" w:history="1">
        <w:r w:rsidRPr="005B38F0">
          <w:rPr>
            <w:rFonts w:ascii="Times New Roman" w:eastAsia="Times New Roman" w:hAnsi="Times New Roman" w:cs="Times New Roman"/>
            <w:color w:val="0000FF"/>
            <w:sz w:val="24"/>
            <w:szCs w:val="24"/>
            <w:u w:val="single"/>
          </w:rPr>
          <w:t>https://doi.org/10.1093/brain/awq380</w:t>
        </w:r>
      </w:hyperlink>
    </w:p>
    <w:p w14:paraId="0A7856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Acosta, M. R., Triana, J., Alexandra, C., Gaitán;, Fonseca, L., &amp; Alonso, D. (2012). Neuropsychological assessment of a preteen with conduct disorder.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(1), 47–55.</w:t>
      </w:r>
    </w:p>
    <w:p w14:paraId="45A67D3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Acosta-Baena, N., Sepulveda-Falla, D., Lopera-Gómez, C. M., Jaramillo-Elorza, M. C., Moreno, S., Aguirre-Acevedo, D. C., Saldarriaga, A., &amp; Lopera, F. (2011). Pre-dementia clinical stages in presenilin 1 E280A familial early-onset Alzheimer’s disease: A retrospective cohort study. </w:t>
      </w:r>
      <w:r w:rsidRPr="005B38F0">
        <w:rPr>
          <w:rFonts w:ascii="Times New Roman" w:eastAsia="Times New Roman" w:hAnsi="Times New Roman" w:cs="Times New Roman"/>
          <w:i/>
          <w:iCs/>
          <w:sz w:val="24"/>
          <w:szCs w:val="24"/>
        </w:rPr>
        <w:t>The Lancet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213–220. </w:t>
      </w:r>
      <w:hyperlink r:id="rId28" w:history="1">
        <w:r w:rsidRPr="005B38F0">
          <w:rPr>
            <w:rFonts w:ascii="Times New Roman" w:eastAsia="Times New Roman" w:hAnsi="Times New Roman" w:cs="Times New Roman"/>
            <w:color w:val="0000FF"/>
            <w:sz w:val="24"/>
            <w:szCs w:val="24"/>
            <w:u w:val="single"/>
          </w:rPr>
          <w:t>https://doi.org/10.1016/S1474-4422(10)70323-9</w:t>
        </w:r>
      </w:hyperlink>
    </w:p>
    <w:p w14:paraId="1F1E8E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Adachi, N., Toyoda, J., Akashi, T., Murakami, K., &amp; al, et. (1995). Comprehensive psychiatric evaluations of elderly schizophrenic patients who had undergone psychosurgery in the past. [Comprehensive psychiatric evaluations of elderly schizophrenic patients who had undergone psychosurgery in the past.]. </w:t>
      </w:r>
      <w:r w:rsidRPr="005B38F0">
        <w:rPr>
          <w:rFonts w:ascii="Times New Roman" w:eastAsia="Times New Roman" w:hAnsi="Times New Roman" w:cs="Times New Roman"/>
          <w:i/>
          <w:iCs/>
          <w:sz w:val="24"/>
          <w:szCs w:val="24"/>
        </w:rPr>
        <w:t>Seishin Igaku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(3), 285–290.</w:t>
      </w:r>
    </w:p>
    <w:p w14:paraId="724072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Adams, E. N. (2008). Pathological left-handedness: Stroke and seizures. In </w:t>
      </w:r>
      <w:r w:rsidRPr="005B38F0">
        <w:rPr>
          <w:rFonts w:ascii="Times New Roman" w:eastAsia="Times New Roman" w:hAnsi="Times New Roman" w:cs="Times New Roman"/>
          <w:i/>
          <w:iCs/>
          <w:sz w:val="24"/>
          <w:szCs w:val="24"/>
        </w:rPr>
        <w:t>Pediatric neuropsychology case studies: From the exceptional to the commonplace.</w:t>
      </w:r>
      <w:r w:rsidRPr="005B38F0">
        <w:rPr>
          <w:rFonts w:ascii="Times New Roman" w:eastAsia="Times New Roman" w:hAnsi="Times New Roman" w:cs="Times New Roman"/>
          <w:sz w:val="24"/>
          <w:szCs w:val="24"/>
        </w:rPr>
        <w:t xml:space="preserve"> (pp. 87–95). Springer Science + Business Media. </w:t>
      </w:r>
      <w:hyperlink r:id="rId29" w:history="1">
        <w:r w:rsidRPr="005B38F0">
          <w:rPr>
            <w:rFonts w:ascii="Times New Roman" w:eastAsia="Times New Roman" w:hAnsi="Times New Roman" w:cs="Times New Roman"/>
            <w:color w:val="0000FF"/>
            <w:sz w:val="24"/>
            <w:szCs w:val="24"/>
            <w:u w:val="single"/>
          </w:rPr>
          <w:t>https://doi.org/10.1007/978-0-387-78965-1_10</w:t>
        </w:r>
      </w:hyperlink>
    </w:p>
    <w:p w14:paraId="2D865C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Adams, K. M., Gilman, S., Koeppe, R., Kluin, K., Junck, L., Lohman, M., Johnson-Greene, D., Berent, S., Dede, D., &amp; Kroll, P. (1995). Correlation of neuropsychological function with cerebral metabolic rate in subdivisions of frontal lobes of older alcoholic patients measured with [–1–8F]fluorodeoxyglucose and positron emission tomography.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(3), 275–280. </w:t>
      </w:r>
      <w:hyperlink r:id="rId30" w:history="1">
        <w:r w:rsidRPr="005B38F0">
          <w:rPr>
            <w:rFonts w:ascii="Times New Roman" w:eastAsia="Times New Roman" w:hAnsi="Times New Roman" w:cs="Times New Roman"/>
            <w:color w:val="0000FF"/>
            <w:sz w:val="24"/>
            <w:szCs w:val="24"/>
            <w:u w:val="single"/>
          </w:rPr>
          <w:t>https://doi.org/10.1037/0894-4105.9.3.275</w:t>
        </w:r>
      </w:hyperlink>
    </w:p>
    <w:p w14:paraId="168F93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Adan, A., del Mar Capella, M., Prat, G., Forero, D. A., López-Vera, S., &amp; Navarro, J. F. (2017). Executive functioning in men with schizophrenia and substance use disorders. Influence of lifetime suicide attempts.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(1).</w:t>
      </w:r>
    </w:p>
    <w:p w14:paraId="1D2897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Adan, A., &amp; Serra-Grabulosa, J. M. (2010). Effects of caffeine and glucose, alone and combined, on cognitive performance. </w:t>
      </w:r>
      <w:r w:rsidRPr="005B38F0">
        <w:rPr>
          <w:rFonts w:ascii="Times New Roman" w:eastAsia="Times New Roman" w:hAnsi="Times New Roman" w:cs="Times New Roman"/>
          <w:i/>
          <w:iCs/>
          <w:sz w:val="24"/>
          <w:szCs w:val="24"/>
        </w:rPr>
        <w:t>Human Psychopharmacology: Clinical and Experimental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310–317. </w:t>
      </w:r>
      <w:hyperlink r:id="rId31" w:history="1">
        <w:r w:rsidRPr="005B38F0">
          <w:rPr>
            <w:rFonts w:ascii="Times New Roman" w:eastAsia="Times New Roman" w:hAnsi="Times New Roman" w:cs="Times New Roman"/>
            <w:color w:val="0000FF"/>
            <w:sz w:val="24"/>
            <w:szCs w:val="24"/>
            <w:u w:val="single"/>
          </w:rPr>
          <w:t>https://doi.org/10.1002/hup.1115</w:t>
        </w:r>
      </w:hyperlink>
    </w:p>
    <w:p w14:paraId="39505E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Adan, R. A. H., &amp; Kaye, W. H. (Eds.). (2011). </w:t>
      </w:r>
      <w:r w:rsidRPr="005B38F0">
        <w:rPr>
          <w:rFonts w:ascii="Times New Roman" w:eastAsia="Times New Roman" w:hAnsi="Times New Roman" w:cs="Times New Roman"/>
          <w:i/>
          <w:iCs/>
          <w:sz w:val="24"/>
          <w:szCs w:val="24"/>
        </w:rPr>
        <w:t>Behavioral neurobiology of eating disorders.</w:t>
      </w:r>
      <w:r w:rsidRPr="005B38F0">
        <w:rPr>
          <w:rFonts w:ascii="Times New Roman" w:eastAsia="Times New Roman" w:hAnsi="Times New Roman" w:cs="Times New Roman"/>
          <w:sz w:val="24"/>
          <w:szCs w:val="24"/>
        </w:rPr>
        <w:t xml:space="preserve"> (pp. xiii, 319). Springer-Verlag Publishing. </w:t>
      </w:r>
      <w:hyperlink r:id="rId32" w:history="1">
        <w:r w:rsidRPr="005B38F0">
          <w:rPr>
            <w:rFonts w:ascii="Times New Roman" w:eastAsia="Times New Roman" w:hAnsi="Times New Roman" w:cs="Times New Roman"/>
            <w:color w:val="0000FF"/>
            <w:sz w:val="24"/>
            <w:szCs w:val="24"/>
            <w:u w:val="single"/>
          </w:rPr>
          <w:t>https://doi.org/10.1007/978-3-642-15131-6</w:t>
        </w:r>
      </w:hyperlink>
    </w:p>
    <w:p w14:paraId="5B4C28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&amp; Addington, D. (2005). Patterns of premorbid functioning in first episode psychosis: Relationship to 2-year outcome.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112</w:t>
      </w:r>
      <w:r w:rsidRPr="005B38F0">
        <w:rPr>
          <w:rFonts w:ascii="Times New Roman" w:eastAsia="Times New Roman" w:hAnsi="Times New Roman" w:cs="Times New Roman"/>
          <w:sz w:val="24"/>
          <w:szCs w:val="24"/>
        </w:rPr>
        <w:t xml:space="preserve">(1), 40–46. </w:t>
      </w:r>
      <w:hyperlink r:id="rId33" w:history="1">
        <w:r w:rsidRPr="005B38F0">
          <w:rPr>
            <w:rFonts w:ascii="Times New Roman" w:eastAsia="Times New Roman" w:hAnsi="Times New Roman" w:cs="Times New Roman"/>
            <w:color w:val="0000FF"/>
            <w:sz w:val="24"/>
            <w:szCs w:val="24"/>
            <w:u w:val="single"/>
          </w:rPr>
          <w:t>https://doi.org/10.1111/j.1600-0447.2005.00511.x</w:t>
        </w:r>
      </w:hyperlink>
    </w:p>
    <w:p w14:paraId="13B8A0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&amp; Addington, D. (2008). Social and cognitive functioning in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99</w:t>
      </w:r>
      <w:r w:rsidRPr="005B38F0">
        <w:rPr>
          <w:rFonts w:ascii="Times New Roman" w:eastAsia="Times New Roman" w:hAnsi="Times New Roman" w:cs="Times New Roman"/>
          <w:sz w:val="24"/>
          <w:szCs w:val="24"/>
        </w:rPr>
        <w:t xml:space="preserve">(1–3), 176–181. </w:t>
      </w:r>
      <w:hyperlink r:id="rId34" w:history="1">
        <w:r w:rsidRPr="005B38F0">
          <w:rPr>
            <w:rFonts w:ascii="Times New Roman" w:eastAsia="Times New Roman" w:hAnsi="Times New Roman" w:cs="Times New Roman"/>
            <w:color w:val="0000FF"/>
            <w:sz w:val="24"/>
            <w:szCs w:val="24"/>
            <w:u w:val="single"/>
          </w:rPr>
          <w:t>https://doi.org/10.1016/j.schres.2007.07.004</w:t>
        </w:r>
      </w:hyperlink>
    </w:p>
    <w:p w14:paraId="2CEB03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&amp; Barbato, M. (2012). The role of cognitive functioning in the outcome of those at clinical high risk for developing psychosis. </w:t>
      </w:r>
      <w:r w:rsidRPr="005B38F0">
        <w:rPr>
          <w:rFonts w:ascii="Times New Roman" w:eastAsia="Times New Roman" w:hAnsi="Times New Roman" w:cs="Times New Roman"/>
          <w:i/>
          <w:iCs/>
          <w:sz w:val="24"/>
          <w:szCs w:val="24"/>
        </w:rPr>
        <w:t>Epidemiology and Psychiatric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(4), 335–342. </w:t>
      </w:r>
      <w:hyperlink r:id="rId35" w:history="1">
        <w:r w:rsidRPr="005B38F0">
          <w:rPr>
            <w:rFonts w:ascii="Times New Roman" w:eastAsia="Times New Roman" w:hAnsi="Times New Roman" w:cs="Times New Roman"/>
            <w:color w:val="0000FF"/>
            <w:sz w:val="24"/>
            <w:szCs w:val="24"/>
            <w:u w:val="single"/>
          </w:rPr>
          <w:t>https://doi.org/10.1017/S204579601200042X</w:t>
        </w:r>
      </w:hyperlink>
    </w:p>
    <w:p w14:paraId="4EEED7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Girard, T. A., Christensen, B. K., &amp; Addington, D. (2010). Social cognition mediates illness-related and cognitive influences on social function in patients with schizophrenia-spectrum disorders.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 49–54. </w:t>
      </w:r>
      <w:hyperlink r:id="rId36" w:history="1">
        <w:r w:rsidRPr="005B38F0">
          <w:rPr>
            <w:rFonts w:ascii="Times New Roman" w:eastAsia="Times New Roman" w:hAnsi="Times New Roman" w:cs="Times New Roman"/>
            <w:color w:val="0000FF"/>
            <w:sz w:val="24"/>
            <w:szCs w:val="24"/>
            <w:u w:val="single"/>
          </w:rPr>
          <w:t>https://doi.org/10.1503/jpn.080039</w:t>
        </w:r>
      </w:hyperlink>
    </w:p>
    <w:p w14:paraId="3BE106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Liu, L., Perkins, D. O., Carrion, R. E., Keefe, R. S. E., &amp; Woods, S. W. (2017). The role of cognition and social functioning as predictors in the transition to psychosis for youth with attenuated psychotic symptoms.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 57–63. </w:t>
      </w:r>
      <w:hyperlink r:id="rId37" w:history="1">
        <w:r w:rsidRPr="005B38F0">
          <w:rPr>
            <w:rFonts w:ascii="Times New Roman" w:eastAsia="Times New Roman" w:hAnsi="Times New Roman" w:cs="Times New Roman"/>
            <w:color w:val="0000FF"/>
            <w:sz w:val="24"/>
            <w:szCs w:val="24"/>
            <w:u w:val="single"/>
          </w:rPr>
          <w:t>https://doi.org/10.1093/schbul/sbw152</w:t>
        </w:r>
      </w:hyperlink>
    </w:p>
    <w:p w14:paraId="42D5D7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Addington, J., Saeedi, H., &amp; Addington, D. (2005). The course of cognitive functioning in first episode psychosis: Changes over time and impact on outcome.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(1), 35–43. </w:t>
      </w:r>
      <w:hyperlink r:id="rId38" w:history="1">
        <w:r w:rsidRPr="005B38F0">
          <w:rPr>
            <w:rFonts w:ascii="Times New Roman" w:eastAsia="Times New Roman" w:hAnsi="Times New Roman" w:cs="Times New Roman"/>
            <w:color w:val="0000FF"/>
            <w:sz w:val="24"/>
            <w:szCs w:val="24"/>
            <w:u w:val="single"/>
          </w:rPr>
          <w:t>https://doi.org/10.1016/j.schres.2005.05.008</w:t>
        </w:r>
      </w:hyperlink>
    </w:p>
    <w:p w14:paraId="20CB50E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Saeedi, H., &amp; Addington, D. (2006a). Facial affect recognition: A mediator between cognitive and social functioning in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85</w:t>
      </w:r>
      <w:r w:rsidRPr="005B38F0">
        <w:rPr>
          <w:rFonts w:ascii="Times New Roman" w:eastAsia="Times New Roman" w:hAnsi="Times New Roman" w:cs="Times New Roman"/>
          <w:sz w:val="24"/>
          <w:szCs w:val="24"/>
        </w:rPr>
        <w:t xml:space="preserve">(1–3), 142–150. </w:t>
      </w:r>
      <w:hyperlink r:id="rId39" w:history="1">
        <w:r w:rsidRPr="005B38F0">
          <w:rPr>
            <w:rFonts w:ascii="Times New Roman" w:eastAsia="Times New Roman" w:hAnsi="Times New Roman" w:cs="Times New Roman"/>
            <w:color w:val="0000FF"/>
            <w:sz w:val="24"/>
            <w:szCs w:val="24"/>
            <w:u w:val="single"/>
          </w:rPr>
          <w:t>https://doi.org/10.1016/j.schres.2006.03.028</w:t>
        </w:r>
      </w:hyperlink>
    </w:p>
    <w:p w14:paraId="32EBD2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Addington, J., Saeedi, H., &amp; Addington, D. (2006b). Influence of social perception and social knowledge on cognitive and social functioning in early psychosis.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189</w:t>
      </w:r>
      <w:r w:rsidRPr="005B38F0">
        <w:rPr>
          <w:rFonts w:ascii="Times New Roman" w:eastAsia="Times New Roman" w:hAnsi="Times New Roman" w:cs="Times New Roman"/>
          <w:sz w:val="24"/>
          <w:szCs w:val="24"/>
        </w:rPr>
        <w:t xml:space="preserve">(4), 373–378. </w:t>
      </w:r>
      <w:hyperlink r:id="rId40" w:history="1">
        <w:r w:rsidRPr="005B38F0">
          <w:rPr>
            <w:rFonts w:ascii="Times New Roman" w:eastAsia="Times New Roman" w:hAnsi="Times New Roman" w:cs="Times New Roman"/>
            <w:color w:val="0000FF"/>
            <w:sz w:val="24"/>
            <w:szCs w:val="24"/>
            <w:u w:val="single"/>
          </w:rPr>
          <w:t>https://doi.org/10.1192/bjp.bp.105.021022</w:t>
        </w:r>
      </w:hyperlink>
    </w:p>
    <w:p w14:paraId="1BED2E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Addis, D. R., Giovanello, K. S., Vu, M.-A., &amp; Schacter, D. L. (2014). Age-related changes in prefrontal and hippocampal contributions to relational encoding.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84</w:t>
      </w:r>
      <w:r w:rsidRPr="005B38F0">
        <w:rPr>
          <w:rFonts w:ascii="Times New Roman" w:eastAsia="Times New Roman" w:hAnsi="Times New Roman" w:cs="Times New Roman"/>
          <w:sz w:val="24"/>
          <w:szCs w:val="24"/>
        </w:rPr>
        <w:t xml:space="preserve">, 19–26. </w:t>
      </w:r>
      <w:hyperlink r:id="rId41" w:history="1">
        <w:r w:rsidRPr="005B38F0">
          <w:rPr>
            <w:rFonts w:ascii="Times New Roman" w:eastAsia="Times New Roman" w:hAnsi="Times New Roman" w:cs="Times New Roman"/>
            <w:color w:val="0000FF"/>
            <w:sz w:val="24"/>
            <w:szCs w:val="24"/>
            <w:u w:val="single"/>
          </w:rPr>
          <w:t>https://doi.org/10.1016/j.neuroimage.2013.08.033</w:t>
        </w:r>
      </w:hyperlink>
    </w:p>
    <w:p w14:paraId="752185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Addis, D. R., Wong, A. T., &amp; Schacter, D. L. (2008). Age-related changes in the episodic simulation of future events. </w:t>
      </w:r>
      <w:r w:rsidRPr="005B38F0">
        <w:rPr>
          <w:rFonts w:ascii="Times New Roman" w:eastAsia="Times New Roman" w:hAnsi="Times New Roman" w:cs="Times New Roman"/>
          <w:i/>
          <w:iCs/>
          <w:sz w:val="24"/>
          <w:szCs w:val="24"/>
        </w:rPr>
        <w:t>Psychological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33–41. </w:t>
      </w:r>
      <w:hyperlink r:id="rId42" w:history="1">
        <w:r w:rsidRPr="005B38F0">
          <w:rPr>
            <w:rFonts w:ascii="Times New Roman" w:eastAsia="Times New Roman" w:hAnsi="Times New Roman" w:cs="Times New Roman"/>
            <w:color w:val="0000FF"/>
            <w:sz w:val="24"/>
            <w:szCs w:val="24"/>
            <w:u w:val="single"/>
          </w:rPr>
          <w:t>https://doi.org/10.1111/j.1467-9280.2008.02043.x</w:t>
        </w:r>
      </w:hyperlink>
    </w:p>
    <w:p w14:paraId="220BDB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Adeli, A., Drubach, D. A., &amp; Machulda, M. M. (2013). Resolution of neuropsychological and FDG-PET abnormalities in a patient with neuropsychiatric systemic lupus erythematosus.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161–166. </w:t>
      </w:r>
      <w:hyperlink r:id="rId43" w:history="1">
        <w:r w:rsidRPr="005B38F0">
          <w:rPr>
            <w:rFonts w:ascii="Times New Roman" w:eastAsia="Times New Roman" w:hAnsi="Times New Roman" w:cs="Times New Roman"/>
            <w:color w:val="0000FF"/>
            <w:sz w:val="24"/>
            <w:szCs w:val="24"/>
            <w:u w:val="single"/>
          </w:rPr>
          <w:t>https://doi.org/10.1097/WNN.0000000000000004</w:t>
        </w:r>
      </w:hyperlink>
    </w:p>
    <w:p w14:paraId="3C016F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Adrover-Roig, D., &amp; Barceló, F. (2010). Individual differences in aging and cognitive control modulate the neural indexes of context updating and maintenance during task switching.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434–450. </w:t>
      </w:r>
      <w:hyperlink r:id="rId44" w:history="1">
        <w:r w:rsidRPr="005B38F0">
          <w:rPr>
            <w:rFonts w:ascii="Times New Roman" w:eastAsia="Times New Roman" w:hAnsi="Times New Roman" w:cs="Times New Roman"/>
            <w:color w:val="0000FF"/>
            <w:sz w:val="24"/>
            <w:szCs w:val="24"/>
            <w:u w:val="single"/>
          </w:rPr>
          <w:t>https://doi.org/10.1016/j.cortex.2009.09.012</w:t>
        </w:r>
      </w:hyperlink>
    </w:p>
    <w:p w14:paraId="1E0CA4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Adrover-Roig, D., Sesé, A., Barceló, F., &amp; Palmer, A. (2012). A latent variable approach to executive control in healthy ageing.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(3), 284–299. </w:t>
      </w:r>
      <w:hyperlink r:id="rId45" w:history="1">
        <w:r w:rsidRPr="005B38F0">
          <w:rPr>
            <w:rFonts w:ascii="Times New Roman" w:eastAsia="Times New Roman" w:hAnsi="Times New Roman" w:cs="Times New Roman"/>
            <w:color w:val="0000FF"/>
            <w:sz w:val="24"/>
            <w:szCs w:val="24"/>
            <w:u w:val="single"/>
          </w:rPr>
          <w:t>https://doi.org/10.1016/j.bandc.2012.01.005</w:t>
        </w:r>
      </w:hyperlink>
    </w:p>
    <w:p w14:paraId="6609D7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Agate, F. T., &amp; Garcia-Barrera, M. A. (2020). Assessment issues within neuropsychological settings. </w:t>
      </w:r>
      <w:r w:rsidRPr="005B38F0">
        <w:rPr>
          <w:rFonts w:ascii="Times New Roman" w:eastAsia="Times New Roman" w:hAnsi="Times New Roman" w:cs="Times New Roman"/>
          <w:i/>
          <w:iCs/>
          <w:sz w:val="24"/>
          <w:szCs w:val="24"/>
        </w:rPr>
        <w:t>The Cambridge Handbook of Clinical Assessment and Diagnosis.</w:t>
      </w:r>
      <w:r w:rsidRPr="005B38F0">
        <w:rPr>
          <w:rFonts w:ascii="Times New Roman" w:eastAsia="Times New Roman" w:hAnsi="Times New Roman" w:cs="Times New Roman"/>
          <w:sz w:val="24"/>
          <w:szCs w:val="24"/>
        </w:rPr>
        <w:t xml:space="preserve">, 472–484. </w:t>
      </w:r>
      <w:hyperlink r:id="rId46" w:history="1">
        <w:r w:rsidRPr="005B38F0">
          <w:rPr>
            <w:rFonts w:ascii="Times New Roman" w:eastAsia="Times New Roman" w:hAnsi="Times New Roman" w:cs="Times New Roman"/>
            <w:color w:val="0000FF"/>
            <w:sz w:val="24"/>
            <w:szCs w:val="24"/>
            <w:u w:val="single"/>
          </w:rPr>
          <w:t>https://doi.org/10.1017/9781108235433.034</w:t>
        </w:r>
      </w:hyperlink>
    </w:p>
    <w:p w14:paraId="229D3C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Agid, O., Siu, C. O., Pappadopulos, E., Vanderburg, D., &amp; Remington, G. (2013). Early prediction of clinical and functional outcome in schizophrenia.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(8), 842–851. </w:t>
      </w:r>
      <w:hyperlink r:id="rId47" w:history="1">
        <w:r w:rsidRPr="005B38F0">
          <w:rPr>
            <w:rFonts w:ascii="Times New Roman" w:eastAsia="Times New Roman" w:hAnsi="Times New Roman" w:cs="Times New Roman"/>
            <w:color w:val="0000FF"/>
            <w:sz w:val="24"/>
            <w:szCs w:val="24"/>
            <w:u w:val="single"/>
          </w:rPr>
          <w:t>https://doi.org/10.1016/j.euroneuro.2012.10.005</w:t>
        </w:r>
      </w:hyperlink>
    </w:p>
    <w:p w14:paraId="051EC73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Agosta, F., Canu, E., Inuggi, A., Chiò, A., Riva, N., Silani, V., Calvo, A., Messina, S., Falini, A., Comi, G., &amp; Filippi, M. (2014). Resting state functional connectivity alterations in primary lateral sclerosis.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916–925. </w:t>
      </w:r>
      <w:hyperlink r:id="rId48" w:history="1">
        <w:r w:rsidRPr="005B38F0">
          <w:rPr>
            <w:rFonts w:ascii="Times New Roman" w:eastAsia="Times New Roman" w:hAnsi="Times New Roman" w:cs="Times New Roman"/>
            <w:color w:val="0000FF"/>
            <w:sz w:val="24"/>
            <w:szCs w:val="24"/>
            <w:u w:val="single"/>
          </w:rPr>
          <w:t>https://doi.org/10.1016/j.neurobiolaging.2013.09.041</w:t>
        </w:r>
      </w:hyperlink>
    </w:p>
    <w:p w14:paraId="08CD44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Agosta, F., Canu, E., Valsasina, P., Riva, N., Prelle, A., Comi, G., &amp; Filippi, M. (2013). Divergent brain network connectivity in amyotrophic lateral sclerosis.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(2), 419–427. </w:t>
      </w:r>
      <w:hyperlink r:id="rId49" w:history="1">
        <w:r w:rsidRPr="005B38F0">
          <w:rPr>
            <w:rFonts w:ascii="Times New Roman" w:eastAsia="Times New Roman" w:hAnsi="Times New Roman" w:cs="Times New Roman"/>
            <w:color w:val="0000FF"/>
            <w:sz w:val="24"/>
            <w:szCs w:val="24"/>
            <w:u w:val="single"/>
          </w:rPr>
          <w:t>https://doi.org/10.1016/j.neurobiolaging.2012.04.015</w:t>
        </w:r>
      </w:hyperlink>
    </w:p>
    <w:p w14:paraId="45D437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Agosta, F., Ferraro, P. M., Riva, N., Spinelli, E. G., Chiò, A., Canu, E., Valsasina, P., Lunetta, C., Iannaccone, S., Copetti, M., Prudente, E., Comi, G., Falini, A., &amp; Filippi, M. (2016). Structural brain correlates of cognitive and behavioral impairment in MND.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1614–1626. </w:t>
      </w:r>
      <w:hyperlink r:id="rId50" w:history="1">
        <w:r w:rsidRPr="005B38F0">
          <w:rPr>
            <w:rFonts w:ascii="Times New Roman" w:eastAsia="Times New Roman" w:hAnsi="Times New Roman" w:cs="Times New Roman"/>
            <w:color w:val="0000FF"/>
            <w:sz w:val="24"/>
            <w:szCs w:val="24"/>
            <w:u w:val="single"/>
          </w:rPr>
          <w:t>https://doi.org/10.1002/hbm.23124</w:t>
        </w:r>
      </w:hyperlink>
    </w:p>
    <w:p w14:paraId="796E4F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Aguas, S. J., Ampudia, M. S., Macaya, A., Molina, J., &amp; Tomás, J. (1999). Secuelas neuropsicológicas de la hemorragia cerebral en niños nacidos a término. [Neuropsychological outcome of cerebral hemorrhage in full-term newborn infants.]. </w:t>
      </w:r>
      <w:r w:rsidRPr="005B38F0">
        <w:rPr>
          <w:rFonts w:ascii="Times New Roman" w:eastAsia="Times New Roman" w:hAnsi="Times New Roman" w:cs="Times New Roman"/>
          <w:i/>
          <w:iCs/>
          <w:sz w:val="24"/>
          <w:szCs w:val="24"/>
        </w:rPr>
        <w:t>Revista de Psiquiatría Infanto-Juvenil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5–17.</w:t>
      </w:r>
    </w:p>
    <w:p w14:paraId="17F098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Aguiar, A., Eubig, P. A., &amp; Schantz, S. L. (2015). </w:t>
      </w:r>
      <w:r w:rsidRPr="005B38F0">
        <w:rPr>
          <w:rFonts w:ascii="Times New Roman" w:eastAsia="Times New Roman" w:hAnsi="Times New Roman" w:cs="Times New Roman"/>
          <w:i/>
          <w:iCs/>
          <w:sz w:val="24"/>
          <w:szCs w:val="24"/>
        </w:rPr>
        <w:t>Attention deficit/hyperactivity disorder: A focused overview for children’s environmental health researchers.</w:t>
      </w:r>
      <w:r w:rsidRPr="005B38F0">
        <w:rPr>
          <w:rFonts w:ascii="Times New Roman" w:eastAsia="Times New Roman" w:hAnsi="Times New Roman" w:cs="Times New Roman"/>
          <w:sz w:val="24"/>
          <w:szCs w:val="24"/>
        </w:rPr>
        <w:t xml:space="preserve"> (p. 245). CRC Press.</w:t>
      </w:r>
    </w:p>
    <w:p w14:paraId="04131F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Aguilera, M., Barrantes‐Vidal, N., Arias, B., Moya, J., Villa, H., Ibáñez, M. I., Ruipérez, M. A., Ortet, G., &amp; Fañanás, L. (2008). Putative role of the COMT gene polymorphism (Val158Met) on verbal working memory functioning in a healthy population.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147B</w:t>
      </w:r>
      <w:r w:rsidRPr="005B38F0">
        <w:rPr>
          <w:rFonts w:ascii="Times New Roman" w:eastAsia="Times New Roman" w:hAnsi="Times New Roman" w:cs="Times New Roman"/>
          <w:sz w:val="24"/>
          <w:szCs w:val="24"/>
        </w:rPr>
        <w:t xml:space="preserve">(6), 898–902. </w:t>
      </w:r>
      <w:hyperlink r:id="rId51" w:history="1">
        <w:r w:rsidRPr="005B38F0">
          <w:rPr>
            <w:rFonts w:ascii="Times New Roman" w:eastAsia="Times New Roman" w:hAnsi="Times New Roman" w:cs="Times New Roman"/>
            <w:color w:val="0000FF"/>
            <w:sz w:val="24"/>
            <w:szCs w:val="24"/>
            <w:u w:val="single"/>
          </w:rPr>
          <w:t>https://doi.org/10.1002/ajmg.b.30705</w:t>
        </w:r>
      </w:hyperlink>
    </w:p>
    <w:p w14:paraId="6CA2BB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Aguirre, F., Sergi, M. J., &amp; Levy, C. A. (2008). Emotional intelligence and social functioning in persons with schizotypy.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104</w:t>
      </w:r>
      <w:r w:rsidRPr="005B38F0">
        <w:rPr>
          <w:rFonts w:ascii="Times New Roman" w:eastAsia="Times New Roman" w:hAnsi="Times New Roman" w:cs="Times New Roman"/>
          <w:sz w:val="24"/>
          <w:szCs w:val="24"/>
        </w:rPr>
        <w:t xml:space="preserve">(1–3), 255–264. </w:t>
      </w:r>
      <w:hyperlink r:id="rId52" w:history="1">
        <w:r w:rsidRPr="005B38F0">
          <w:rPr>
            <w:rFonts w:ascii="Times New Roman" w:eastAsia="Times New Roman" w:hAnsi="Times New Roman" w:cs="Times New Roman"/>
            <w:color w:val="0000FF"/>
            <w:sz w:val="24"/>
            <w:szCs w:val="24"/>
            <w:u w:val="single"/>
          </w:rPr>
          <w:t>https://doi.org/10.1016/j.schres.2008.05.007</w:t>
        </w:r>
      </w:hyperlink>
    </w:p>
    <w:p w14:paraId="3A0BBA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Aharonovich, E., Amrhein, P. C., Bisaga, A., Nunes, E. V., &amp; Hasin, D. S. (2008). Cognition, commitment language, and behavioral change among cocaine-dependent patients. </w:t>
      </w:r>
      <w:r w:rsidRPr="005B38F0">
        <w:rPr>
          <w:rFonts w:ascii="Times New Roman" w:eastAsia="Times New Roman" w:hAnsi="Times New Roman" w:cs="Times New Roman"/>
          <w:i/>
          <w:iCs/>
          <w:sz w:val="24"/>
          <w:szCs w:val="24"/>
        </w:rPr>
        <w:t>Psychology of 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(4), 557–562. </w:t>
      </w:r>
      <w:hyperlink r:id="rId53" w:history="1">
        <w:r w:rsidRPr="005B38F0">
          <w:rPr>
            <w:rFonts w:ascii="Times New Roman" w:eastAsia="Times New Roman" w:hAnsi="Times New Roman" w:cs="Times New Roman"/>
            <w:color w:val="0000FF"/>
            <w:sz w:val="24"/>
            <w:szCs w:val="24"/>
            <w:u w:val="single"/>
          </w:rPr>
          <w:t>https://doi.org/10.1037/a0012971</w:t>
        </w:r>
      </w:hyperlink>
    </w:p>
    <w:p w14:paraId="6F0688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Aharonovich, E., Hasin, D. S., Brooks, A. C., Liu, X., Bisaga, A., &amp; Nunes, E. V. (2006). Cognitive deficits predict low treatment retention in cocaine dependent patients.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(3), 313–322. </w:t>
      </w:r>
      <w:hyperlink r:id="rId54" w:history="1">
        <w:r w:rsidRPr="005B38F0">
          <w:rPr>
            <w:rFonts w:ascii="Times New Roman" w:eastAsia="Times New Roman" w:hAnsi="Times New Roman" w:cs="Times New Roman"/>
            <w:color w:val="0000FF"/>
            <w:sz w:val="24"/>
            <w:szCs w:val="24"/>
            <w:u w:val="single"/>
          </w:rPr>
          <w:t>https://doi.org/10.1016/j.drugalcdep.2005.08.003</w:t>
        </w:r>
      </w:hyperlink>
    </w:p>
    <w:p w14:paraId="68B8DC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Aharon-Peretz, J., Tomer, R., Gabrieli, I., Aharonov, D., Nitecki, S., &amp; Hoffman, A. (2003). Cognitive performance following endarterectomy in asymptomatic severe carotid stenosis.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(5), 525–528. </w:t>
      </w:r>
      <w:hyperlink r:id="rId55" w:history="1">
        <w:r w:rsidRPr="005B38F0">
          <w:rPr>
            <w:rFonts w:ascii="Times New Roman" w:eastAsia="Times New Roman" w:hAnsi="Times New Roman" w:cs="Times New Roman"/>
            <w:color w:val="0000FF"/>
            <w:sz w:val="24"/>
            <w:szCs w:val="24"/>
            <w:u w:val="single"/>
          </w:rPr>
          <w:t>https://doi.org/10.1046/j.1468-1331.2003.00633.x</w:t>
        </w:r>
      </w:hyperlink>
    </w:p>
    <w:p w14:paraId="16FBA7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Ahern, E., &amp; Semkovska, M. (2017). Cognitive functioning in the first-episode of major depressive disorder: A systematic review and meta-analysis.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52–72. </w:t>
      </w:r>
      <w:hyperlink r:id="rId56" w:history="1">
        <w:r w:rsidRPr="005B38F0">
          <w:rPr>
            <w:rFonts w:ascii="Times New Roman" w:eastAsia="Times New Roman" w:hAnsi="Times New Roman" w:cs="Times New Roman"/>
            <w:color w:val="0000FF"/>
            <w:sz w:val="24"/>
            <w:szCs w:val="24"/>
            <w:u w:val="single"/>
          </w:rPr>
          <w:t>https://doi.org/10.1037/neu0000319</w:t>
        </w:r>
      </w:hyperlink>
    </w:p>
    <w:p w14:paraId="4F50CD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Ahmed, A. O., &amp; Bhat, I. A. (2014). Psychopharmacological treatment of neurocognitive deficits in people with schizophrenia: A review of old and new targets. </w:t>
      </w:r>
      <w:r w:rsidRPr="005B38F0">
        <w:rPr>
          <w:rFonts w:ascii="Times New Roman" w:eastAsia="Times New Roman" w:hAnsi="Times New Roman" w:cs="Times New Roman"/>
          <w:i/>
          <w:iCs/>
          <w:sz w:val="24"/>
          <w:szCs w:val="24"/>
        </w:rPr>
        <w:t>CNS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301–318. </w:t>
      </w:r>
      <w:hyperlink r:id="rId57" w:history="1">
        <w:r w:rsidRPr="005B38F0">
          <w:rPr>
            <w:rFonts w:ascii="Times New Roman" w:eastAsia="Times New Roman" w:hAnsi="Times New Roman" w:cs="Times New Roman"/>
            <w:color w:val="0000FF"/>
            <w:sz w:val="24"/>
            <w:szCs w:val="24"/>
            <w:u w:val="single"/>
          </w:rPr>
          <w:t>https://doi.org/10.1007/s40263-014-0146-6</w:t>
        </w:r>
      </w:hyperlink>
    </w:p>
    <w:p w14:paraId="69F675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Ahmed, F., Spottiswoode, B. S., Carey, P. D., Stein, D. J., &amp; Seedat, S. (2012). Relationship between neurocognition and regional brain volumes in traumatized adolescents with and without posttraumatic stress disorder.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(3), 174–184. </w:t>
      </w:r>
      <w:hyperlink r:id="rId58" w:history="1">
        <w:r w:rsidRPr="005B38F0">
          <w:rPr>
            <w:rFonts w:ascii="Times New Roman" w:eastAsia="Times New Roman" w:hAnsi="Times New Roman" w:cs="Times New Roman"/>
            <w:color w:val="0000FF"/>
            <w:sz w:val="24"/>
            <w:szCs w:val="24"/>
            <w:u w:val="single"/>
          </w:rPr>
          <w:t>https://doi.org/10.1159/000339558</w:t>
        </w:r>
      </w:hyperlink>
    </w:p>
    <w:p w14:paraId="2F10E2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Aigner, M., Sachs, G., Bruckmüller, E., Winklbaur, B., Zitterl, W., Kryspin-Exner, I., Gur, R., &amp; Katschnig, H. (2007). Cognitive and emotion recognition deficits in obsessive-compulsive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149</w:t>
      </w:r>
      <w:r w:rsidRPr="005B38F0">
        <w:rPr>
          <w:rFonts w:ascii="Times New Roman" w:eastAsia="Times New Roman" w:hAnsi="Times New Roman" w:cs="Times New Roman"/>
          <w:sz w:val="24"/>
          <w:szCs w:val="24"/>
        </w:rPr>
        <w:t xml:space="preserve">(1–3), 121–128. </w:t>
      </w:r>
      <w:hyperlink r:id="rId59" w:history="1">
        <w:r w:rsidRPr="005B38F0">
          <w:rPr>
            <w:rFonts w:ascii="Times New Roman" w:eastAsia="Times New Roman" w:hAnsi="Times New Roman" w:cs="Times New Roman"/>
            <w:color w:val="0000FF"/>
            <w:sz w:val="24"/>
            <w:szCs w:val="24"/>
            <w:u w:val="single"/>
          </w:rPr>
          <w:t>https://doi.org/10.1016/j.psychres.2005.12.006</w:t>
        </w:r>
      </w:hyperlink>
    </w:p>
    <w:p w14:paraId="35C5A4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Aiken-Morgan, A. T., Whitfield, K. E., &amp; Paige, M. A. (2014). Correlates of cognitive aging in racial/ethnic minorities. In </w:t>
      </w:r>
      <w:r w:rsidRPr="005B38F0">
        <w:rPr>
          <w:rFonts w:ascii="Times New Roman" w:eastAsia="Times New Roman" w:hAnsi="Times New Roman" w:cs="Times New Roman"/>
          <w:i/>
          <w:iCs/>
          <w:sz w:val="24"/>
          <w:szCs w:val="24"/>
        </w:rPr>
        <w:t>Handbook of minority aging.</w:t>
      </w:r>
      <w:r w:rsidRPr="005B38F0">
        <w:rPr>
          <w:rFonts w:ascii="Times New Roman" w:eastAsia="Times New Roman" w:hAnsi="Times New Roman" w:cs="Times New Roman"/>
          <w:sz w:val="24"/>
          <w:szCs w:val="24"/>
        </w:rPr>
        <w:t xml:space="preserve"> (pp. 85–101). Springer Publishing Co.</w:t>
      </w:r>
    </w:p>
    <w:p w14:paraId="7A39DD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Aikins, D., &amp; Ray, W. J. (2001). Frontal lobe contributions to hypnotic susceptibility: A neuropsychological screening of executive functioning. </w:t>
      </w:r>
      <w:r w:rsidRPr="005B38F0">
        <w:rPr>
          <w:rFonts w:ascii="Times New Roman" w:eastAsia="Times New Roman" w:hAnsi="Times New Roman" w:cs="Times New Roman"/>
          <w:i/>
          <w:iCs/>
          <w:sz w:val="24"/>
          <w:szCs w:val="24"/>
        </w:rPr>
        <w:t>International Journal of Clinical and Experimental Hypnosis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320–329. </w:t>
      </w:r>
      <w:hyperlink r:id="rId60" w:history="1">
        <w:r w:rsidRPr="005B38F0">
          <w:rPr>
            <w:rFonts w:ascii="Times New Roman" w:eastAsia="Times New Roman" w:hAnsi="Times New Roman" w:cs="Times New Roman"/>
            <w:color w:val="0000FF"/>
            <w:sz w:val="24"/>
            <w:szCs w:val="24"/>
            <w:u w:val="single"/>
          </w:rPr>
          <w:t>https://doi.org/10.1080/00207140108410081</w:t>
        </w:r>
      </w:hyperlink>
    </w:p>
    <w:p w14:paraId="18FEB2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Ainiala, H., Hietaharju, A., Loukkola, J., Peltola, J., Korpela, M., Metsänoja, R., &amp; Auvinen, A. (2001). Validity of the New American College of Rheumatology Criteria for Neuropsychiatric Lupus Syndromes: A Population-Based Evaluation. </w:t>
      </w:r>
      <w:r w:rsidRPr="005B38F0">
        <w:rPr>
          <w:rFonts w:ascii="Times New Roman" w:eastAsia="Times New Roman" w:hAnsi="Times New Roman" w:cs="Times New Roman"/>
          <w:i/>
          <w:iCs/>
          <w:sz w:val="24"/>
          <w:szCs w:val="24"/>
        </w:rPr>
        <w:t>Arthritis &amp; Rheumatism: Arthritis Care &amp;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(5), 419–423. </w:t>
      </w:r>
      <w:hyperlink r:id="rId61" w:history="1">
        <w:r w:rsidRPr="005B38F0">
          <w:rPr>
            <w:rFonts w:ascii="Times New Roman" w:eastAsia="Times New Roman" w:hAnsi="Times New Roman" w:cs="Times New Roman"/>
            <w:color w:val="0000FF"/>
            <w:sz w:val="24"/>
            <w:szCs w:val="24"/>
            <w:u w:val="single"/>
          </w:rPr>
          <w:t>https://doi.org/10.1002/1529-0131(200110)45:5&lt;419::AID-ART360&gt;3.0.CO;2-X</w:t>
        </w:r>
      </w:hyperlink>
    </w:p>
    <w:p w14:paraId="7E1A63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Ajilchi, B., Nejati, V., Town, J. M., Wilson, R., &amp; Abbass, A. (2016). Effects of intensive short-term dynamic psychotherapy on depressive symptoms and executive functioning in major depression.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204</w:t>
      </w:r>
      <w:r w:rsidRPr="005B38F0">
        <w:rPr>
          <w:rFonts w:ascii="Times New Roman" w:eastAsia="Times New Roman" w:hAnsi="Times New Roman" w:cs="Times New Roman"/>
          <w:sz w:val="24"/>
          <w:szCs w:val="24"/>
        </w:rPr>
        <w:t xml:space="preserve">(7), 500–505. </w:t>
      </w:r>
      <w:hyperlink r:id="rId62" w:history="1">
        <w:r w:rsidRPr="005B38F0">
          <w:rPr>
            <w:rFonts w:ascii="Times New Roman" w:eastAsia="Times New Roman" w:hAnsi="Times New Roman" w:cs="Times New Roman"/>
            <w:color w:val="0000FF"/>
            <w:sz w:val="24"/>
            <w:szCs w:val="24"/>
            <w:u w:val="single"/>
          </w:rPr>
          <w:t>https://doi.org/10.1097/NMD.0000000000000518</w:t>
        </w:r>
      </w:hyperlink>
    </w:p>
    <w:p w14:paraId="55777D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Ajilore, O., Narr, K., Rosenthal, J., Pham, D., Hamilton, L., Watari, K., Elderkin-Thompson, V., Darwin, C., Toga, A., &amp; Kumar, A. (2010). Regional cortical gray matter thickness differences associated with type 2 diabetes and major depression.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184</w:t>
      </w:r>
      <w:r w:rsidRPr="005B38F0">
        <w:rPr>
          <w:rFonts w:ascii="Times New Roman" w:eastAsia="Times New Roman" w:hAnsi="Times New Roman" w:cs="Times New Roman"/>
          <w:sz w:val="24"/>
          <w:szCs w:val="24"/>
        </w:rPr>
        <w:t xml:space="preserve">(2), 63–70. </w:t>
      </w:r>
      <w:hyperlink r:id="rId63" w:history="1">
        <w:r w:rsidRPr="005B38F0">
          <w:rPr>
            <w:rFonts w:ascii="Times New Roman" w:eastAsia="Times New Roman" w:hAnsi="Times New Roman" w:cs="Times New Roman"/>
            <w:color w:val="0000FF"/>
            <w:sz w:val="24"/>
            <w:szCs w:val="24"/>
            <w:u w:val="single"/>
          </w:rPr>
          <w:t>https://doi.org/10.1016/j.pscychresns.2010.07.003</w:t>
        </w:r>
      </w:hyperlink>
    </w:p>
    <w:p w14:paraId="6422A0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Akande, A. (2000). Order effects on neuropsychological test performance of normal, learning disabled and low functioning children: A cross-cultural study. </w:t>
      </w:r>
      <w:r w:rsidRPr="005B38F0">
        <w:rPr>
          <w:rFonts w:ascii="Times New Roman" w:eastAsia="Times New Roman" w:hAnsi="Times New Roman" w:cs="Times New Roman"/>
          <w:i/>
          <w:iCs/>
          <w:sz w:val="24"/>
          <w:szCs w:val="24"/>
        </w:rPr>
        <w:t>Early Child Development and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165</w:t>
      </w:r>
      <w:r w:rsidRPr="005B38F0">
        <w:rPr>
          <w:rFonts w:ascii="Times New Roman" w:eastAsia="Times New Roman" w:hAnsi="Times New Roman" w:cs="Times New Roman"/>
          <w:sz w:val="24"/>
          <w:szCs w:val="24"/>
        </w:rPr>
        <w:t xml:space="preserve">, 145–161. </w:t>
      </w:r>
      <w:hyperlink r:id="rId64" w:history="1">
        <w:r w:rsidRPr="005B38F0">
          <w:rPr>
            <w:rFonts w:ascii="Times New Roman" w:eastAsia="Times New Roman" w:hAnsi="Times New Roman" w:cs="Times New Roman"/>
            <w:color w:val="0000FF"/>
            <w:sz w:val="24"/>
            <w:szCs w:val="24"/>
            <w:u w:val="single"/>
          </w:rPr>
          <w:t>https://doi.org/10.1080/0300443001650109</w:t>
        </w:r>
      </w:hyperlink>
    </w:p>
    <w:p w14:paraId="1F66E1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Akbar, M., Loomis, R., &amp; Paul, R. (2013). The interplay of language on executive functions in children with ASD.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(3), 494–501. </w:t>
      </w:r>
      <w:hyperlink r:id="rId65" w:history="1">
        <w:r w:rsidRPr="005B38F0">
          <w:rPr>
            <w:rFonts w:ascii="Times New Roman" w:eastAsia="Times New Roman" w:hAnsi="Times New Roman" w:cs="Times New Roman"/>
            <w:color w:val="0000FF"/>
            <w:sz w:val="24"/>
            <w:szCs w:val="24"/>
            <w:u w:val="single"/>
          </w:rPr>
          <w:t>https://doi.org/10.1016/j.rasd.2012.09.001</w:t>
        </w:r>
      </w:hyperlink>
    </w:p>
    <w:p w14:paraId="48DAEE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Akbar, N., Signori, A., Amato, M. P., Sormani, M. P., Portaccio, E., Niccolai, C., Goretti, B., Till, C., &amp; Banwell, B. (2017). Maturational trajectory of processing speed performance in pediatric multiple sclerosis.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(5), 299–308. </w:t>
      </w:r>
      <w:hyperlink r:id="rId66" w:history="1">
        <w:r w:rsidRPr="005B38F0">
          <w:rPr>
            <w:rFonts w:ascii="Times New Roman" w:eastAsia="Times New Roman" w:hAnsi="Times New Roman" w:cs="Times New Roman"/>
            <w:color w:val="0000FF"/>
            <w:sz w:val="24"/>
            <w:szCs w:val="24"/>
            <w:u w:val="single"/>
          </w:rPr>
          <w:t>https://doi.org/10.1080/87565641.2017.1351974</w:t>
        </w:r>
      </w:hyperlink>
    </w:p>
    <w:p w14:paraId="11EEE24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Akdoğan, S., Ayhan, F. F., Yıldırım, Ş., &amp; Borman, P. (2013). Impact of fatigue on cognitive functioning among premenopausal women with fibromyalgia syndrome and rheumatoid arthritis: The controlled study. </w:t>
      </w:r>
      <w:r w:rsidRPr="005B38F0">
        <w:rPr>
          <w:rFonts w:ascii="Times New Roman" w:eastAsia="Times New Roman" w:hAnsi="Times New Roman" w:cs="Times New Roman"/>
          <w:i/>
          <w:iCs/>
          <w:sz w:val="24"/>
          <w:szCs w:val="24"/>
        </w:rPr>
        <w:t>Journal of Musculoskeletal 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135–146. </w:t>
      </w:r>
      <w:hyperlink r:id="rId67" w:history="1">
        <w:r w:rsidRPr="005B38F0">
          <w:rPr>
            <w:rFonts w:ascii="Times New Roman" w:eastAsia="Times New Roman" w:hAnsi="Times New Roman" w:cs="Times New Roman"/>
            <w:color w:val="0000FF"/>
            <w:sz w:val="24"/>
            <w:szCs w:val="24"/>
            <w:u w:val="single"/>
          </w:rPr>
          <w:t>https://doi.org/10.3109/10582452.2013.806977</w:t>
        </w:r>
      </w:hyperlink>
    </w:p>
    <w:p w14:paraId="146A7E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Aker, M., Harmer, C., &amp; Landrø, N. I. (2014). More rumination and less effective emotion regulation in previously depressed women with preserved executive functions.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w:t>
      </w:r>
    </w:p>
    <w:p w14:paraId="548F58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Aker, M., &amp; Landrø, N. I. (2014). Executive control of emotional processing: A set-shifting task.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1311–1320. </w:t>
      </w:r>
      <w:hyperlink r:id="rId68" w:history="1">
        <w:r w:rsidRPr="005B38F0">
          <w:rPr>
            <w:rFonts w:ascii="Times New Roman" w:eastAsia="Times New Roman" w:hAnsi="Times New Roman" w:cs="Times New Roman"/>
            <w:color w:val="0000FF"/>
            <w:sz w:val="24"/>
            <w:szCs w:val="24"/>
            <w:u w:val="single"/>
          </w:rPr>
          <w:t>https://doi.org/10.1080/13854046.2014.984762</w:t>
        </w:r>
      </w:hyperlink>
    </w:p>
    <w:p w14:paraId="1A38E6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Akhondzadeh, S., Gerami, M., Noroozian, M., Karamghadiri, N., Ghoreishi, A., Abbasi, S.-H., &amp; Rezazadeh, S.-A. (2008). A 12-week, double-blind, placebo-controlled trial of donepezil adjunctive treatment to risperidone in chronic and stable schizophrenia.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1810–1815. </w:t>
      </w:r>
      <w:hyperlink r:id="rId69" w:history="1">
        <w:r w:rsidRPr="005B38F0">
          <w:rPr>
            <w:rFonts w:ascii="Times New Roman" w:eastAsia="Times New Roman" w:hAnsi="Times New Roman" w:cs="Times New Roman"/>
            <w:color w:val="0000FF"/>
            <w:sz w:val="24"/>
            <w:szCs w:val="24"/>
            <w:u w:val="single"/>
          </w:rPr>
          <w:t>https://doi.org/10.1016/j.pnpbp.2008.08.001</w:t>
        </w:r>
      </w:hyperlink>
    </w:p>
    <w:p w14:paraId="13FD89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Akhondzadeh, S., Mohammadi, N., Noroozian, M., Karamghadiri, N., Ghoreishi, A., Jamshidi, A.-H., &amp; Forghani, S. (2009). Added ondansetron for stable schizophrenia: A double blind, placebo controlled trial.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107</w:t>
      </w:r>
      <w:r w:rsidRPr="005B38F0">
        <w:rPr>
          <w:rFonts w:ascii="Times New Roman" w:eastAsia="Times New Roman" w:hAnsi="Times New Roman" w:cs="Times New Roman"/>
          <w:sz w:val="24"/>
          <w:szCs w:val="24"/>
        </w:rPr>
        <w:t xml:space="preserve">(2–3), 206–212. </w:t>
      </w:r>
      <w:hyperlink r:id="rId70" w:history="1">
        <w:r w:rsidRPr="005B38F0">
          <w:rPr>
            <w:rFonts w:ascii="Times New Roman" w:eastAsia="Times New Roman" w:hAnsi="Times New Roman" w:cs="Times New Roman"/>
            <w:color w:val="0000FF"/>
            <w:sz w:val="24"/>
            <w:szCs w:val="24"/>
            <w:u w:val="single"/>
          </w:rPr>
          <w:t>https://doi.org/10.1016/j.schres.2008.08.004</w:t>
        </w:r>
      </w:hyperlink>
    </w:p>
    <w:p w14:paraId="009C24F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Aksan, N., Sager, L., Hacker, S., Lester, B., Dawson, J., Rizzo, M., Ebe, K., &amp; Foley, J. (2017). Individual differences in cognitive functioning predict effectiveness of a heads-up lane departure warning for younger and older drivers. </w:t>
      </w:r>
      <w:r w:rsidRPr="005B38F0">
        <w:rPr>
          <w:rFonts w:ascii="Times New Roman" w:eastAsia="Times New Roman" w:hAnsi="Times New Roman" w:cs="Times New Roman"/>
          <w:i/>
          <w:iCs/>
          <w:sz w:val="24"/>
          <w:szCs w:val="24"/>
        </w:rPr>
        <w:t>Accident Analysis and Prevention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99</w:t>
      </w:r>
      <w:r w:rsidRPr="005B38F0">
        <w:rPr>
          <w:rFonts w:ascii="Times New Roman" w:eastAsia="Times New Roman" w:hAnsi="Times New Roman" w:cs="Times New Roman"/>
          <w:sz w:val="24"/>
          <w:szCs w:val="24"/>
        </w:rPr>
        <w:t xml:space="preserve">(Part A), 171–183. </w:t>
      </w:r>
      <w:hyperlink r:id="rId71" w:history="1">
        <w:r w:rsidRPr="005B38F0">
          <w:rPr>
            <w:rFonts w:ascii="Times New Roman" w:eastAsia="Times New Roman" w:hAnsi="Times New Roman" w:cs="Times New Roman"/>
            <w:color w:val="0000FF"/>
            <w:sz w:val="24"/>
            <w:szCs w:val="24"/>
            <w:u w:val="single"/>
          </w:rPr>
          <w:t>https://doi.org/10.1016/j.aap.2016.11.003</w:t>
        </w:r>
      </w:hyperlink>
    </w:p>
    <w:p w14:paraId="0142C0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Aksaray, G., Oflu, S., Kaptanoğlu, C., &amp; Bal, C. (2002). Neurocognitive deficits and quality of life in outpatients with schizophrenia.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1217–1219. </w:t>
      </w:r>
      <w:hyperlink r:id="rId72" w:history="1">
        <w:r w:rsidRPr="005B38F0">
          <w:rPr>
            <w:rFonts w:ascii="Times New Roman" w:eastAsia="Times New Roman" w:hAnsi="Times New Roman" w:cs="Times New Roman"/>
            <w:color w:val="0000FF"/>
            <w:sz w:val="24"/>
            <w:szCs w:val="24"/>
            <w:u w:val="single"/>
          </w:rPr>
          <w:t>https://doi.org/10.1016/S0278-5846(02)00217-8</w:t>
        </w:r>
      </w:hyperlink>
    </w:p>
    <w:p w14:paraId="78E534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Aksaray, G., Oflu, S., Kaptanoğlu, C., &amp; Seber, G. (2000). Relations of clinical features and clinical subtypes to cognitive deficits in schizophrenia. [Relations of clinical features and clinical subtypes to cognitive deficits in schizophrenia.]. </w:t>
      </w:r>
      <w:r w:rsidRPr="005B38F0">
        <w:rPr>
          <w:rFonts w:ascii="Times New Roman" w:eastAsia="Times New Roman" w:hAnsi="Times New Roman" w:cs="Times New Roman"/>
          <w:i/>
          <w:iCs/>
          <w:sz w:val="24"/>
          <w:szCs w:val="24"/>
        </w:rPr>
        <w:t>Psikiyatri Psikoloji Psikofarmakoloji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(3), 198–205.</w:t>
      </w:r>
    </w:p>
    <w:p w14:paraId="0C0EF3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Al-Adawi, S., Al-Kalbani, Y., Panchatcharam, S. M., Al-Zadjali, M. A., Al-Adawi, S. S., Essa, M. M., &amp; Qoronfleh, M. W. (2019). Differential executive functioning in the topology of spirit possession or dissociative disorders: An explorative cultural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 </w:t>
      </w:r>
      <w:hyperlink r:id="rId73" w:history="1">
        <w:r w:rsidRPr="005B38F0">
          <w:rPr>
            <w:rFonts w:ascii="Times New Roman" w:eastAsia="Times New Roman" w:hAnsi="Times New Roman" w:cs="Times New Roman"/>
            <w:color w:val="0000FF"/>
            <w:sz w:val="24"/>
            <w:szCs w:val="24"/>
            <w:u w:val="single"/>
          </w:rPr>
          <w:t>https://doi.org/10.1186/s12888-019-2358-2</w:t>
        </w:r>
      </w:hyperlink>
    </w:p>
    <w:p w14:paraId="349C94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Al-Adawi, S., Al-Zakwani, I., Obeid, Y. A., &amp; Zaidan, Z. (2010). Neurocognitive functioning in women presenting with undifferentiated somatoform disorders in Oman. </w:t>
      </w:r>
      <w:r w:rsidRPr="005B38F0">
        <w:rPr>
          <w:rFonts w:ascii="Times New Roman" w:eastAsia="Times New Roman" w:hAnsi="Times New Roman" w:cs="Times New Roman"/>
          <w:i/>
          <w:iCs/>
          <w:sz w:val="24"/>
          <w:szCs w:val="24"/>
        </w:rPr>
        <w:t>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(5), 555–564. </w:t>
      </w:r>
      <w:hyperlink r:id="rId74" w:history="1">
        <w:r w:rsidRPr="005B38F0">
          <w:rPr>
            <w:rFonts w:ascii="Times New Roman" w:eastAsia="Times New Roman" w:hAnsi="Times New Roman" w:cs="Times New Roman"/>
            <w:color w:val="0000FF"/>
            <w:sz w:val="24"/>
            <w:szCs w:val="24"/>
            <w:u w:val="single"/>
          </w:rPr>
          <w:t>https://doi.org/10.1111/j.1440-1819.2010.02117.x</w:t>
        </w:r>
      </w:hyperlink>
    </w:p>
    <w:p w14:paraId="75F23E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Alatorre-Cruz, G. C., Downs, H., Hagood, D., Sorensen, S. T., Williams, D. K., &amp; Larson-Prior, L. (2021). Effect of obesity on inhibitory control in preadolescents during stop-signal task. An event-related potentials study.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165</w:t>
      </w:r>
      <w:r w:rsidRPr="005B38F0">
        <w:rPr>
          <w:rFonts w:ascii="Times New Roman" w:eastAsia="Times New Roman" w:hAnsi="Times New Roman" w:cs="Times New Roman"/>
          <w:sz w:val="24"/>
          <w:szCs w:val="24"/>
        </w:rPr>
        <w:t xml:space="preserve">, 56–67. </w:t>
      </w:r>
      <w:hyperlink r:id="rId75" w:history="1">
        <w:r w:rsidRPr="005B38F0">
          <w:rPr>
            <w:rFonts w:ascii="Times New Roman" w:eastAsia="Times New Roman" w:hAnsi="Times New Roman" w:cs="Times New Roman"/>
            <w:color w:val="0000FF"/>
            <w:sz w:val="24"/>
            <w:szCs w:val="24"/>
            <w:u w:val="single"/>
          </w:rPr>
          <w:t>https://doi.org/10.1016/j.ijpsycho.2021.04.003</w:t>
        </w:r>
      </w:hyperlink>
    </w:p>
    <w:p w14:paraId="695AE0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Albacete, A., Contreras, F., Bosque, C., Gilabert, E., Albiach, Á., Menchón, J. M., Crespo-Facorro, B., &amp; Ayesa-Arriola, R. (2016). Counterfactual reasoning in non-psychotic first-degree relatives of people with schizophrenia.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5E6E87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Albarus, C., &amp; Mack, J. H. (Cont). (2012). </w:t>
      </w:r>
      <w:r w:rsidRPr="005B38F0">
        <w:rPr>
          <w:rFonts w:ascii="Times New Roman" w:eastAsia="Times New Roman" w:hAnsi="Times New Roman" w:cs="Times New Roman"/>
          <w:i/>
          <w:iCs/>
          <w:sz w:val="24"/>
          <w:szCs w:val="24"/>
        </w:rPr>
        <w:t>The making of Lee Boyd Malvo: The D.C. sniper.</w:t>
      </w:r>
      <w:r w:rsidRPr="005B38F0">
        <w:rPr>
          <w:rFonts w:ascii="Times New Roman" w:eastAsia="Times New Roman" w:hAnsi="Times New Roman" w:cs="Times New Roman"/>
          <w:sz w:val="24"/>
          <w:szCs w:val="24"/>
        </w:rPr>
        <w:t xml:space="preserve"> (pp. ix, 257). Columbia University Press. </w:t>
      </w:r>
      <w:hyperlink r:id="rId76" w:history="1">
        <w:r w:rsidRPr="005B38F0">
          <w:rPr>
            <w:rFonts w:ascii="Times New Roman" w:eastAsia="Times New Roman" w:hAnsi="Times New Roman" w:cs="Times New Roman"/>
            <w:color w:val="0000FF"/>
            <w:sz w:val="24"/>
            <w:szCs w:val="24"/>
            <w:u w:val="single"/>
          </w:rPr>
          <w:t>https://doi.org/10.7312/alba14310</w:t>
        </w:r>
      </w:hyperlink>
    </w:p>
    <w:p w14:paraId="5160F0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Alberici, A., Gobbo, C., Panzacchi, A., Nicosia, F., Ghidoni, R., Benussi, L., Hock, C., Papassotiropoulos, A., Liberini, P., Growdon, J. H., Frisoni, G. B., Villa, A., Zanetti, O., Cappa, S., Fazio, F., &amp; Binetti, G. (2004). Frontotemporal dementia: Impact of P301L tau mutation on a healthy carrier.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(11), 1607–1610. </w:t>
      </w:r>
      <w:hyperlink r:id="rId77" w:history="1">
        <w:r w:rsidRPr="005B38F0">
          <w:rPr>
            <w:rFonts w:ascii="Times New Roman" w:eastAsia="Times New Roman" w:hAnsi="Times New Roman" w:cs="Times New Roman"/>
            <w:color w:val="0000FF"/>
            <w:sz w:val="24"/>
            <w:szCs w:val="24"/>
            <w:u w:val="single"/>
          </w:rPr>
          <w:t>https://doi.org/10.1136/jnnp.2003.021295</w:t>
        </w:r>
      </w:hyperlink>
    </w:p>
    <w:p w14:paraId="0EF280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Albert, A. B., Abu-Ramadan, T., Kates, W. R., Fremont, W., &amp; Antshel, K. M. (2018). Childhood executive functioning predicts young adult outcomes in 22q11.2 deletion syndrome.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(9), 905–916. </w:t>
      </w:r>
      <w:hyperlink r:id="rId78" w:history="1">
        <w:r w:rsidRPr="005B38F0">
          <w:rPr>
            <w:rFonts w:ascii="Times New Roman" w:eastAsia="Times New Roman" w:hAnsi="Times New Roman" w:cs="Times New Roman"/>
            <w:color w:val="0000FF"/>
            <w:sz w:val="24"/>
            <w:szCs w:val="24"/>
            <w:u w:val="single"/>
          </w:rPr>
          <w:t>https://doi.org/10.1017/S1355617718000784</w:t>
        </w:r>
      </w:hyperlink>
    </w:p>
    <w:p w14:paraId="084997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Albus, M., Hubmann, W., Mohr, F., Tiedemann, T. v., Pechler, S., Drießlein, D., &amp; Küchenhoff, H. (2020). Neurocognitive functioning in patients with first-episode schizophrenia: Results of a prospective 15-year follow-up study.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270</w:t>
      </w:r>
      <w:r w:rsidRPr="005B38F0">
        <w:rPr>
          <w:rFonts w:ascii="Times New Roman" w:eastAsia="Times New Roman" w:hAnsi="Times New Roman" w:cs="Times New Roman"/>
          <w:sz w:val="24"/>
          <w:szCs w:val="24"/>
        </w:rPr>
        <w:t xml:space="preserve">(6), 689–698. </w:t>
      </w:r>
      <w:hyperlink r:id="rId79" w:history="1">
        <w:r w:rsidRPr="005B38F0">
          <w:rPr>
            <w:rFonts w:ascii="Times New Roman" w:eastAsia="Times New Roman" w:hAnsi="Times New Roman" w:cs="Times New Roman"/>
            <w:color w:val="0000FF"/>
            <w:sz w:val="24"/>
            <w:szCs w:val="24"/>
            <w:u w:val="single"/>
          </w:rPr>
          <w:t>https://doi.org/10.1007/s00406-019-01030-z</w:t>
        </w:r>
      </w:hyperlink>
    </w:p>
    <w:p w14:paraId="0A3BB2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Alemanno, F., Houdayer, E., Emedoli, D., Locatelli, M., Mortini, P., Mandelli, C., Raggi, A., &amp; Iannaccone, S. (2019). Efficacy of virtual reality to reduce chronic low back pain: Proof-of-concept of a nonpharmacological approach on pain, quality of life, neuropsychological and functional outcome.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(5). </w:t>
      </w:r>
      <w:hyperlink r:id="rId80" w:history="1">
        <w:r w:rsidRPr="005B38F0">
          <w:rPr>
            <w:rFonts w:ascii="Times New Roman" w:eastAsia="Times New Roman" w:hAnsi="Times New Roman" w:cs="Times New Roman"/>
            <w:color w:val="0000FF"/>
            <w:sz w:val="24"/>
            <w:szCs w:val="24"/>
            <w:u w:val="single"/>
          </w:rPr>
          <w:t>https://doi.org/10.1371/journal.pone.0216858</w:t>
        </w:r>
      </w:hyperlink>
    </w:p>
    <w:p w14:paraId="2F29E9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Alemdar, M., Iseri, P., Yalug, I., Kutlu, H., Efendi, H., &amp; Komsuoglu, S. S. (2008). Route learning impairment associated with encephalomalasia secondary to traumatic brain injury: A case report.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150–155. </w:t>
      </w:r>
      <w:hyperlink r:id="rId81" w:history="1">
        <w:r w:rsidRPr="005B38F0">
          <w:rPr>
            <w:rFonts w:ascii="Times New Roman" w:eastAsia="Times New Roman" w:hAnsi="Times New Roman" w:cs="Times New Roman"/>
            <w:color w:val="0000FF"/>
            <w:sz w:val="24"/>
            <w:szCs w:val="24"/>
            <w:u w:val="single"/>
          </w:rPr>
          <w:t>https://doi.org/10.1080/09084280802073328</w:t>
        </w:r>
      </w:hyperlink>
    </w:p>
    <w:p w14:paraId="75FFD6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Alessio, A., Bonilha, L., Rorden, C., Kobayashi, E., Min, L. L., Damasceno, B. P., &amp; Cendes, F. (2006). Memory and language impairments and their relationships to hippocampal and perirhinal cortex damage in patients with medial temporal lobe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(3), 593–600. </w:t>
      </w:r>
      <w:hyperlink r:id="rId82" w:history="1">
        <w:r w:rsidRPr="005B38F0">
          <w:rPr>
            <w:rFonts w:ascii="Times New Roman" w:eastAsia="Times New Roman" w:hAnsi="Times New Roman" w:cs="Times New Roman"/>
            <w:color w:val="0000FF"/>
            <w:sz w:val="24"/>
            <w:szCs w:val="24"/>
            <w:u w:val="single"/>
          </w:rPr>
          <w:t>https://doi.org/10.1016/j.yebeh.2006.01.007</w:t>
        </w:r>
      </w:hyperlink>
    </w:p>
    <w:p w14:paraId="72DD8F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Alessio, A., Damasceno, B. P., Camargo, C. H. P., Kobayashi, E., Guerreiro, C. A. M., &amp; Cendes, F. (2004). Differences in memory performance and other clinical characteristics in patients with mesial temporal lobe epilepsy with and without hippocampal atrophy.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(1), 22–27. </w:t>
      </w:r>
      <w:hyperlink r:id="rId83" w:history="1">
        <w:r w:rsidRPr="005B38F0">
          <w:rPr>
            <w:rFonts w:ascii="Times New Roman" w:eastAsia="Times New Roman" w:hAnsi="Times New Roman" w:cs="Times New Roman"/>
            <w:color w:val="0000FF"/>
            <w:sz w:val="24"/>
            <w:szCs w:val="24"/>
            <w:u w:val="single"/>
          </w:rPr>
          <w:t>https://doi.org/10.1016/j.yebeh.2003.10.010</w:t>
        </w:r>
      </w:hyperlink>
    </w:p>
    <w:p w14:paraId="38C9FF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Alessio, A., Kobayashi, E., Damasceno, B. P., Lopes-Cendes, I., &amp; Cendes, F. (2004). Evidence of memory impairment in asymptomatic individuals with hippocampal atrophy.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(6), 981–987. </w:t>
      </w:r>
      <w:hyperlink r:id="rId84" w:history="1">
        <w:r w:rsidRPr="005B38F0">
          <w:rPr>
            <w:rFonts w:ascii="Times New Roman" w:eastAsia="Times New Roman" w:hAnsi="Times New Roman" w:cs="Times New Roman"/>
            <w:color w:val="0000FF"/>
            <w:sz w:val="24"/>
            <w:szCs w:val="24"/>
            <w:u w:val="single"/>
          </w:rPr>
          <w:t>https://doi.org/10.1016/j.yebeh.2004.08.018</w:t>
        </w:r>
      </w:hyperlink>
    </w:p>
    <w:p w14:paraId="3867F2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Alevriadou, A., Katsarou, Z., Bostantjopoulou, S., Kiosseoglou, G., &amp; Mentenopoulos, G. (1999). Wisconsin card sorting test variables in relation to motor symptoms in Parkinson’s disease. </w:t>
      </w:r>
      <w:r w:rsidRPr="005B38F0">
        <w:rPr>
          <w:rFonts w:ascii="Times New Roman" w:eastAsia="Times New Roman" w:hAnsi="Times New Roman" w:cs="Times New Roman"/>
          <w:i/>
          <w:iCs/>
          <w:sz w:val="24"/>
          <w:szCs w:val="24"/>
        </w:rPr>
        <w:t>Perceptual and Motor Skills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(3, Pt 1), 824–830. </w:t>
      </w:r>
      <w:hyperlink r:id="rId85" w:history="1">
        <w:r w:rsidRPr="005B38F0">
          <w:rPr>
            <w:rFonts w:ascii="Times New Roman" w:eastAsia="Times New Roman" w:hAnsi="Times New Roman" w:cs="Times New Roman"/>
            <w:color w:val="0000FF"/>
            <w:sz w:val="24"/>
            <w:szCs w:val="24"/>
            <w:u w:val="single"/>
          </w:rPr>
          <w:t>https://doi.org/10.2466/PMS.89.7.824-830</w:t>
        </w:r>
      </w:hyperlink>
    </w:p>
    <w:p w14:paraId="06D7C8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Alexander, M., Fabrice, J., &amp; Gustavo, T. (2013). Neurocognitive alterations in first degree relatives of suicide completers.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145</w:t>
      </w:r>
      <w:r w:rsidRPr="005B38F0">
        <w:rPr>
          <w:rFonts w:ascii="Times New Roman" w:eastAsia="Times New Roman" w:hAnsi="Times New Roman" w:cs="Times New Roman"/>
          <w:sz w:val="24"/>
          <w:szCs w:val="24"/>
        </w:rPr>
        <w:t xml:space="preserve">(2), 264–269. </w:t>
      </w:r>
      <w:hyperlink r:id="rId86" w:history="1">
        <w:r w:rsidRPr="005B38F0">
          <w:rPr>
            <w:rFonts w:ascii="Times New Roman" w:eastAsia="Times New Roman" w:hAnsi="Times New Roman" w:cs="Times New Roman"/>
            <w:color w:val="0000FF"/>
            <w:sz w:val="24"/>
            <w:szCs w:val="24"/>
            <w:u w:val="single"/>
          </w:rPr>
          <w:t>https://doi.org/10.1016/j.jad.2012.05.062</w:t>
        </w:r>
      </w:hyperlink>
    </w:p>
    <w:p w14:paraId="1F3F24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Alexander, M. P., Lafleche, G., Schnyer, D., Lim, C., &amp; Verfaellie, M. (2011). Cognitive and functional outcome after out of hospital cardiac arrest.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364–368. </w:t>
      </w:r>
      <w:hyperlink r:id="rId87" w:history="1">
        <w:r w:rsidRPr="005B38F0">
          <w:rPr>
            <w:rFonts w:ascii="Times New Roman" w:eastAsia="Times New Roman" w:hAnsi="Times New Roman" w:cs="Times New Roman"/>
            <w:color w:val="0000FF"/>
            <w:sz w:val="24"/>
            <w:szCs w:val="24"/>
            <w:u w:val="single"/>
          </w:rPr>
          <w:t>https://doi.org/10.1017/S1355617710001633</w:t>
        </w:r>
      </w:hyperlink>
    </w:p>
    <w:p w14:paraId="545FC6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Alexandersen, A., Dalen, K., &amp; Brønnick, K. (2009). Prediction of driving ability after inconclusive neuropsychological investigation.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(4), 313–321. </w:t>
      </w:r>
      <w:hyperlink r:id="rId88" w:history="1">
        <w:r w:rsidRPr="005B38F0">
          <w:rPr>
            <w:rFonts w:ascii="Times New Roman" w:eastAsia="Times New Roman" w:hAnsi="Times New Roman" w:cs="Times New Roman"/>
            <w:color w:val="0000FF"/>
            <w:sz w:val="24"/>
            <w:szCs w:val="24"/>
            <w:u w:val="single"/>
          </w:rPr>
          <w:t>https://doi.org/10.1080/02699050902788428</w:t>
        </w:r>
      </w:hyperlink>
    </w:p>
    <w:p w14:paraId="7958C9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Alexopoulos, G. S., Murphy, C. F., Gunning-Dixon, F. M., Kalayam, B., Katz, R., Kanellopoulos, D., Etwaroo, G. R., Klimstra, S., &amp; Foxe, J. J. (2007). Event-related potentials in an emotional go/no-go task and remission of geriatric depression.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217–221. </w:t>
      </w:r>
      <w:hyperlink r:id="rId89" w:history="1">
        <w:r w:rsidRPr="005B38F0">
          <w:rPr>
            <w:rFonts w:ascii="Times New Roman" w:eastAsia="Times New Roman" w:hAnsi="Times New Roman" w:cs="Times New Roman"/>
            <w:color w:val="0000FF"/>
            <w:sz w:val="24"/>
            <w:szCs w:val="24"/>
            <w:u w:val="single"/>
          </w:rPr>
          <w:t>https://doi.org/10.1097/WNR.0b013e328013ceda</w:t>
        </w:r>
      </w:hyperlink>
    </w:p>
    <w:p w14:paraId="5E43C3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Alexopoulos, G. S., Raue, P. J., Kiosses, D. N., Mackin, R. S., Kanellopoulos, D., McCulloch, C., &amp; Areán, P. A. (2011). Problem-solving therapy and supportive therapy in older adults with major depression and executive dysfunction. </w:t>
      </w:r>
      <w:r w:rsidRPr="005B38F0">
        <w:rPr>
          <w:rFonts w:ascii="Times New Roman" w:eastAsia="Times New Roman" w:hAnsi="Times New Roman" w:cs="Times New Roman"/>
          <w:i/>
          <w:iCs/>
          <w:sz w:val="24"/>
          <w:szCs w:val="24"/>
        </w:rPr>
        <w:t>Archives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(1), 33–41. </w:t>
      </w:r>
      <w:hyperlink r:id="rId90" w:history="1">
        <w:r w:rsidRPr="005B38F0">
          <w:rPr>
            <w:rFonts w:ascii="Times New Roman" w:eastAsia="Times New Roman" w:hAnsi="Times New Roman" w:cs="Times New Roman"/>
            <w:color w:val="0000FF"/>
            <w:sz w:val="24"/>
            <w:szCs w:val="24"/>
            <w:u w:val="single"/>
          </w:rPr>
          <w:t>https://doi.org/10.1001/archgenpsychiatry.2010.177</w:t>
        </w:r>
      </w:hyperlink>
    </w:p>
    <w:p w14:paraId="68B1C3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Alizadehgoradel, J., Imani, S., Nejati, V., &amp; Fathabadi, J. (2019). Mindfulness-based substance abuse treatment (MBSAT) improves executive functions in adolescents with substance use disorders. </w:t>
      </w:r>
      <w:r w:rsidRPr="005B38F0">
        <w:rPr>
          <w:rFonts w:ascii="Times New Roman" w:eastAsia="Times New Roman" w:hAnsi="Times New Roman" w:cs="Times New Roman"/>
          <w:i/>
          <w:iCs/>
          <w:sz w:val="24"/>
          <w:szCs w:val="24"/>
        </w:rPr>
        <w:t>Neurology, Psychiatry and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 13–21. </w:t>
      </w:r>
      <w:hyperlink r:id="rId91" w:history="1">
        <w:r w:rsidRPr="005B38F0">
          <w:rPr>
            <w:rFonts w:ascii="Times New Roman" w:eastAsia="Times New Roman" w:hAnsi="Times New Roman" w:cs="Times New Roman"/>
            <w:color w:val="0000FF"/>
            <w:sz w:val="24"/>
            <w:szCs w:val="24"/>
            <w:u w:val="single"/>
          </w:rPr>
          <w:t>https://doi.org/10.1016/j.npbr.2019.08.002</w:t>
        </w:r>
      </w:hyperlink>
    </w:p>
    <w:p w14:paraId="06AC9A5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Allain, P., Havet-Thomassin, V., Verny, C., Gohier, B., Lancelot, C., Besnard, J., Fasotti, L., &amp; Le Gall, D. (2011). Evidence for deficits on different components of theory of mind in Huntington’s disease.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(6), 741–751. </w:t>
      </w:r>
      <w:hyperlink r:id="rId92" w:history="1">
        <w:r w:rsidRPr="005B38F0">
          <w:rPr>
            <w:rFonts w:ascii="Times New Roman" w:eastAsia="Times New Roman" w:hAnsi="Times New Roman" w:cs="Times New Roman"/>
            <w:color w:val="0000FF"/>
            <w:sz w:val="24"/>
            <w:szCs w:val="24"/>
            <w:u w:val="single"/>
          </w:rPr>
          <w:t>https://doi.org/10.1037/a0024408</w:t>
        </w:r>
      </w:hyperlink>
    </w:p>
    <w:p w14:paraId="26A8E0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Allain, P., Le Gall, D., Foucher, C., Etcharry-Bouyx, F., Barré, J., Dubas, F., &amp; Berrut, G. (2008). Script representation in patients with Alzheimer’s disease.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294–304. </w:t>
      </w:r>
      <w:hyperlink r:id="rId93" w:history="1">
        <w:r w:rsidRPr="005B38F0">
          <w:rPr>
            <w:rFonts w:ascii="Times New Roman" w:eastAsia="Times New Roman" w:hAnsi="Times New Roman" w:cs="Times New Roman"/>
            <w:color w:val="0000FF"/>
            <w:sz w:val="24"/>
            <w:szCs w:val="24"/>
            <w:u w:val="single"/>
          </w:rPr>
          <w:t>https://doi.org/10.1016/j.cortex.2006.07.003</w:t>
        </w:r>
      </w:hyperlink>
    </w:p>
    <w:p w14:paraId="37B6AE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Allen, C. M., Martin, R. C., &amp; Martin, N. (2012). Relations between short-term memory deficits, semantic processing, and executive function.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(3–4), 428–461. </w:t>
      </w:r>
      <w:hyperlink r:id="rId94" w:history="1">
        <w:r w:rsidRPr="005B38F0">
          <w:rPr>
            <w:rFonts w:ascii="Times New Roman" w:eastAsia="Times New Roman" w:hAnsi="Times New Roman" w:cs="Times New Roman"/>
            <w:color w:val="0000FF"/>
            <w:sz w:val="24"/>
            <w:szCs w:val="24"/>
            <w:u w:val="single"/>
          </w:rPr>
          <w:t>https://doi.org/10.1080/02687038.2011.617436</w:t>
        </w:r>
      </w:hyperlink>
    </w:p>
    <w:p w14:paraId="7663B6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D. N., Anastasiou, A., Goldstein, G., Gilbertson, M., &amp; van Kammen, D. P. (2000). Influence of haloperidol on the relationship of frontal lobe function to psychomotor poverty and disorganiztion syndromes.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93</w:t>
      </w:r>
      <w:r w:rsidRPr="005B38F0">
        <w:rPr>
          <w:rFonts w:ascii="Times New Roman" w:eastAsia="Times New Roman" w:hAnsi="Times New Roman" w:cs="Times New Roman"/>
          <w:sz w:val="24"/>
          <w:szCs w:val="24"/>
        </w:rPr>
        <w:t xml:space="preserve">(1), 33–39. </w:t>
      </w:r>
      <w:hyperlink r:id="rId95" w:history="1">
        <w:r w:rsidRPr="005B38F0">
          <w:rPr>
            <w:rFonts w:ascii="Times New Roman" w:eastAsia="Times New Roman" w:hAnsi="Times New Roman" w:cs="Times New Roman"/>
            <w:color w:val="0000FF"/>
            <w:sz w:val="24"/>
            <w:szCs w:val="24"/>
            <w:u w:val="single"/>
          </w:rPr>
          <w:t>https://doi.org/10.1016/S0165-1781(00)00112-8</w:t>
        </w:r>
      </w:hyperlink>
    </w:p>
    <w:p w14:paraId="6A6CFF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D. N., &amp; Goldstein, G. (2014). Schizophrenia spectrum and other psychotic disorders: Test measures and procedures. In </w:t>
      </w:r>
      <w:r w:rsidRPr="005B38F0">
        <w:rPr>
          <w:rFonts w:ascii="Times New Roman" w:eastAsia="Times New Roman" w:hAnsi="Times New Roman" w:cs="Times New Roman"/>
          <w:i/>
          <w:iCs/>
          <w:sz w:val="24"/>
          <w:szCs w:val="24"/>
        </w:rPr>
        <w:t>Psychological assessment of veterans.</w:t>
      </w:r>
      <w:r w:rsidRPr="005B38F0">
        <w:rPr>
          <w:rFonts w:ascii="Times New Roman" w:eastAsia="Times New Roman" w:hAnsi="Times New Roman" w:cs="Times New Roman"/>
          <w:sz w:val="24"/>
          <w:szCs w:val="24"/>
        </w:rPr>
        <w:t xml:space="preserve"> (pp. 246–278). Oxford University Press.</w:t>
      </w:r>
    </w:p>
    <w:p w14:paraId="729D6E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D. N., Randall, C., Bello, D., Armstrong, C., Frantom, L., Cross, C., &amp; Kinney, J. (2010). Are working memory deficits in bipolar disorder markers for psychosis?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244–254. </w:t>
      </w:r>
      <w:hyperlink r:id="rId96" w:history="1">
        <w:r w:rsidRPr="005B38F0">
          <w:rPr>
            <w:rFonts w:ascii="Times New Roman" w:eastAsia="Times New Roman" w:hAnsi="Times New Roman" w:cs="Times New Roman"/>
            <w:color w:val="0000FF"/>
            <w:sz w:val="24"/>
            <w:szCs w:val="24"/>
            <w:u w:val="single"/>
          </w:rPr>
          <w:t>https://doi.org/10.1037/a0018159</w:t>
        </w:r>
      </w:hyperlink>
    </w:p>
    <w:p w14:paraId="1C9D67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T. M., Hersh, J., Schoch, K., Curtiss, K., Hooper, S. R., &amp; Shashi, V. (2014). Association of the family environment with behavioural and cognitive outcomes in children with chromosome 22q11.2 deletion syndrome. </w:t>
      </w:r>
      <w:r w:rsidRPr="005B38F0">
        <w:rPr>
          <w:rFonts w:ascii="Times New Roman" w:eastAsia="Times New Roman" w:hAnsi="Times New Roman" w:cs="Times New Roman"/>
          <w:i/>
          <w:iCs/>
          <w:sz w:val="24"/>
          <w:szCs w:val="24"/>
        </w:rPr>
        <w:t>Journal of Intellectual Disability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31–47. </w:t>
      </w:r>
      <w:hyperlink r:id="rId97" w:history="1">
        <w:r w:rsidRPr="005B38F0">
          <w:rPr>
            <w:rFonts w:ascii="Times New Roman" w:eastAsia="Times New Roman" w:hAnsi="Times New Roman" w:cs="Times New Roman"/>
            <w:color w:val="0000FF"/>
            <w:sz w:val="24"/>
            <w:szCs w:val="24"/>
            <w:u w:val="single"/>
          </w:rPr>
          <w:t>https://doi.org/10.1111/jir.12054</w:t>
        </w:r>
      </w:hyperlink>
    </w:p>
    <w:p w14:paraId="5D8DDB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Allen, T., &amp; Morere, D. A. (2012). The VL2 Toolkit Psychometric Study: Summary of procedures and description of sample characteristics. In </w:t>
      </w:r>
      <w:r w:rsidRPr="005B38F0">
        <w:rPr>
          <w:rFonts w:ascii="Times New Roman" w:eastAsia="Times New Roman" w:hAnsi="Times New Roman" w:cs="Times New Roman"/>
          <w:i/>
          <w:iCs/>
          <w:sz w:val="24"/>
          <w:szCs w:val="24"/>
        </w:rPr>
        <w:t>Assessing literacy in deaf individuals: Neurocognitive measurement and predictors.</w:t>
      </w:r>
      <w:r w:rsidRPr="005B38F0">
        <w:rPr>
          <w:rFonts w:ascii="Times New Roman" w:eastAsia="Times New Roman" w:hAnsi="Times New Roman" w:cs="Times New Roman"/>
          <w:sz w:val="24"/>
          <w:szCs w:val="24"/>
        </w:rPr>
        <w:t xml:space="preserve"> (pp. 21–36). Springer Science + Business Media. </w:t>
      </w:r>
      <w:hyperlink r:id="rId98" w:history="1">
        <w:r w:rsidRPr="005B38F0">
          <w:rPr>
            <w:rFonts w:ascii="Times New Roman" w:eastAsia="Times New Roman" w:hAnsi="Times New Roman" w:cs="Times New Roman"/>
            <w:color w:val="0000FF"/>
            <w:sz w:val="24"/>
            <w:szCs w:val="24"/>
            <w:u w:val="single"/>
          </w:rPr>
          <w:t>https://doi.org/10.1007/978-1-4614-5269-0_2</w:t>
        </w:r>
      </w:hyperlink>
    </w:p>
    <w:p w14:paraId="26206B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Allilaire, J.-F., Hantouche, E.-G., Sechter, D., Bourgeois, M.-L., Azorin, J. M., Lancrenon, S., Châtenet-Duchêne, L., &amp; Akiskal, H.-S. (2001). Fréquence et aspects cliniques du trouble bipolaire II dans une étude multicentrique française: EPIDEP. [Frequency and clinical picture of bipolar II disorder in a French multi-site study: EPIDEP.].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(2), 149–158.</w:t>
      </w:r>
    </w:p>
    <w:p w14:paraId="44C364B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Allott, K. A., Francey, S. M., &amp; Velligan, D. I. (2013). Improving functional outcome using compensatory strategies in comorbid intellectual disability and psychosis: A case study. </w:t>
      </w:r>
      <w:r w:rsidRPr="005B38F0">
        <w:rPr>
          <w:rFonts w:ascii="Times New Roman" w:eastAsia="Times New Roman" w:hAnsi="Times New Roman" w:cs="Times New Roman"/>
          <w:i/>
          <w:iCs/>
          <w:sz w:val="24"/>
          <w:szCs w:val="24"/>
        </w:rPr>
        <w:t>American Journal of Psychiatric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(1), 50–65. </w:t>
      </w:r>
      <w:hyperlink r:id="rId99" w:history="1">
        <w:r w:rsidRPr="005B38F0">
          <w:rPr>
            <w:rFonts w:ascii="Times New Roman" w:eastAsia="Times New Roman" w:hAnsi="Times New Roman" w:cs="Times New Roman"/>
            <w:color w:val="0000FF"/>
            <w:sz w:val="24"/>
            <w:szCs w:val="24"/>
            <w:u w:val="single"/>
          </w:rPr>
          <w:t>https://doi.org/10.1080/15487768.2013.762306</w:t>
        </w:r>
      </w:hyperlink>
    </w:p>
    <w:p w14:paraId="16FC88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Allott, K. A., Killackey, E., Sun, P., Brewer, W. J., &amp; Velligan, D. I. (2016). Feasibility and acceptability of cognitive adaptation training for first‐episode psychosis. </w:t>
      </w:r>
      <w:r w:rsidRPr="005B38F0">
        <w:rPr>
          <w:rFonts w:ascii="Times New Roman" w:eastAsia="Times New Roman" w:hAnsi="Times New Roman" w:cs="Times New Roman"/>
          <w:i/>
          <w:iCs/>
          <w:sz w:val="24"/>
          <w:szCs w:val="24"/>
        </w:rPr>
        <w:t>Early Intervention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476–484. </w:t>
      </w:r>
      <w:hyperlink r:id="rId100" w:history="1">
        <w:r w:rsidRPr="005B38F0">
          <w:rPr>
            <w:rFonts w:ascii="Times New Roman" w:eastAsia="Times New Roman" w:hAnsi="Times New Roman" w:cs="Times New Roman"/>
            <w:color w:val="0000FF"/>
            <w:sz w:val="24"/>
            <w:szCs w:val="24"/>
            <w:u w:val="single"/>
          </w:rPr>
          <w:t>https://doi.org/10.1111/eip.12207</w:t>
        </w:r>
      </w:hyperlink>
    </w:p>
    <w:p w14:paraId="711F51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Allott, K., Fraguas, D., Bartholomeusz, C. F., Díaz-Caneja, C. M., Wannan, C., Parrish, E. M., Amminger, G. P., Pantelis, C., Arango, C., McGorry, P. D., &amp; Rapado-Castro, M. (2018). Duration of untreated psychosis and neurocognitive functioning in first-episode psychosis: A systematic review and meta-analysis.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(10), 1592–1607. </w:t>
      </w:r>
      <w:hyperlink r:id="rId101" w:history="1">
        <w:r w:rsidRPr="005B38F0">
          <w:rPr>
            <w:rFonts w:ascii="Times New Roman" w:eastAsia="Times New Roman" w:hAnsi="Times New Roman" w:cs="Times New Roman"/>
            <w:color w:val="0000FF"/>
            <w:sz w:val="24"/>
            <w:szCs w:val="24"/>
            <w:u w:val="single"/>
          </w:rPr>
          <w:t>https://doi.org/10.1017/S0033291717003002</w:t>
        </w:r>
      </w:hyperlink>
    </w:p>
    <w:p w14:paraId="5988AF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Almkvist, O. (1996). Neuropsychological features of early Alzheimer’s disease: Preclinical and clinical stages.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(Suppl 165), 63–71. </w:t>
      </w:r>
      <w:hyperlink r:id="rId102" w:history="1">
        <w:r w:rsidRPr="005B38F0">
          <w:rPr>
            <w:rFonts w:ascii="Times New Roman" w:eastAsia="Times New Roman" w:hAnsi="Times New Roman" w:cs="Times New Roman"/>
            <w:color w:val="0000FF"/>
            <w:sz w:val="24"/>
            <w:szCs w:val="24"/>
            <w:u w:val="single"/>
          </w:rPr>
          <w:t>https://doi.org/10.1111/j.1600-0404.1996.tb05874.x</w:t>
        </w:r>
      </w:hyperlink>
    </w:p>
    <w:p w14:paraId="6BAF25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Aloi, M., Rania, M., Caroleo, M., Bruni, A., Palmieri, A., Cauteruccio, M. A., De Fazio, P., &amp; Segura-García, C. (2015). Decision making, central coherence and set-shifting: A comparison between Binge Eating Disorder, Anorexia Nervosa and Healthy Controls.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 </w:t>
      </w:r>
      <w:hyperlink r:id="rId103" w:history="1">
        <w:r w:rsidRPr="005B38F0">
          <w:rPr>
            <w:rFonts w:ascii="Times New Roman" w:eastAsia="Times New Roman" w:hAnsi="Times New Roman" w:cs="Times New Roman"/>
            <w:color w:val="0000FF"/>
            <w:sz w:val="24"/>
            <w:szCs w:val="24"/>
            <w:u w:val="single"/>
          </w:rPr>
          <w:t>https://doi.org/10.1186/s12888-015-0395-z</w:t>
        </w:r>
      </w:hyperlink>
    </w:p>
    <w:p w14:paraId="393187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Aloia, M. S., Weed, N. C., &amp; Marx, B. (1997). Some construct network effects of modifying the Stroop color and word test.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(1), 54–58. </w:t>
      </w:r>
      <w:hyperlink r:id="rId104" w:history="1">
        <w:r w:rsidRPr="005B38F0">
          <w:rPr>
            <w:rFonts w:ascii="Times New Roman" w:eastAsia="Times New Roman" w:hAnsi="Times New Roman" w:cs="Times New Roman"/>
            <w:color w:val="0000FF"/>
            <w:sz w:val="24"/>
            <w:szCs w:val="24"/>
            <w:u w:val="single"/>
          </w:rPr>
          <w:t>https://doi.org/10.1080/13854049708407029</w:t>
        </w:r>
      </w:hyperlink>
    </w:p>
    <w:p w14:paraId="3C2D47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Alonso Recio, L., Martín, P., Carvajal, F., Ruiz, M., &amp; Serrano, J. M. (2013). A holistic analysis of relationships between executive function and memory in Parkinson’s disease.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147–159. </w:t>
      </w:r>
      <w:hyperlink r:id="rId105" w:history="1">
        <w:r w:rsidRPr="005B38F0">
          <w:rPr>
            <w:rFonts w:ascii="Times New Roman" w:eastAsia="Times New Roman" w:hAnsi="Times New Roman" w:cs="Times New Roman"/>
            <w:color w:val="0000FF"/>
            <w:sz w:val="24"/>
            <w:szCs w:val="24"/>
            <w:u w:val="single"/>
          </w:rPr>
          <w:t>https://doi.org/10.1080/13803395.2012.758240</w:t>
        </w:r>
      </w:hyperlink>
    </w:p>
    <w:p w14:paraId="302AC6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Alonso, Y., Miralles, M. C., Mulet, B., &amp; Serret, V. (2007). Asperger’s disorder in the adulthood: A case report. </w:t>
      </w:r>
      <w:r w:rsidRPr="005B38F0">
        <w:rPr>
          <w:rFonts w:ascii="Times New Roman" w:eastAsia="Times New Roman" w:hAnsi="Times New Roman" w:cs="Times New Roman"/>
          <w:i/>
          <w:iCs/>
          <w:sz w:val="24"/>
          <w:szCs w:val="24"/>
        </w:rPr>
        <w:t>Actas Españolas de Psiquiatría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(5), 338–341.</w:t>
      </w:r>
    </w:p>
    <w:p w14:paraId="74080E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Alosco, M. L., Jarnagin, J., Tripodis, Y., Platt, M., Martin, B., Chaisson, C. E., Baugh, C. M., Fritts, N. G., Cantu, R. C., &amp; Stern, R. A. (2017). Olfactory function and associated clinical correlates in former national football league players.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772–780. </w:t>
      </w:r>
      <w:hyperlink r:id="rId106" w:history="1">
        <w:r w:rsidRPr="005B38F0">
          <w:rPr>
            <w:rFonts w:ascii="Times New Roman" w:eastAsia="Times New Roman" w:hAnsi="Times New Roman" w:cs="Times New Roman"/>
            <w:color w:val="0000FF"/>
            <w:sz w:val="24"/>
            <w:szCs w:val="24"/>
            <w:u w:val="single"/>
          </w:rPr>
          <w:t>https://doi.org/10.1089/neu.2016.4536</w:t>
        </w:r>
      </w:hyperlink>
    </w:p>
    <w:p w14:paraId="742A2A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Alosco, M. L., Spitznagel, M. B., Raz, N., Cohen, R., Sweet, L. H., Colbert, L. H., Josephson, R., van Dulmen, M., Hughes, J., Rosneck, J., &amp; Gunstad, J. (2014). Executive dysfunction is independently associated with reduced functional independence in heart failure. </w:t>
      </w:r>
      <w:r w:rsidRPr="005B38F0">
        <w:rPr>
          <w:rFonts w:ascii="Times New Roman" w:eastAsia="Times New Roman" w:hAnsi="Times New Roman" w:cs="Times New Roman"/>
          <w:i/>
          <w:iCs/>
          <w:sz w:val="24"/>
          <w:szCs w:val="24"/>
        </w:rPr>
        <w:t>Journal of Clinical Nursing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(5–6), 829–836. </w:t>
      </w:r>
      <w:hyperlink r:id="rId107" w:history="1">
        <w:r w:rsidRPr="005B38F0">
          <w:rPr>
            <w:rFonts w:ascii="Times New Roman" w:eastAsia="Times New Roman" w:hAnsi="Times New Roman" w:cs="Times New Roman"/>
            <w:color w:val="0000FF"/>
            <w:sz w:val="24"/>
            <w:szCs w:val="24"/>
            <w:u w:val="single"/>
          </w:rPr>
          <w:t>https://doi.org/10.1111/jocn.12214</w:t>
        </w:r>
      </w:hyperlink>
    </w:p>
    <w:p w14:paraId="10A583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Altamura, A. C., Serati, M., &amp; Buoli, M. (2015). Is duration of illness really influencing outcome in major psychoses? </w:t>
      </w:r>
      <w:r w:rsidRPr="005B38F0">
        <w:rPr>
          <w:rFonts w:ascii="Times New Roman" w:eastAsia="Times New Roman" w:hAnsi="Times New Roman" w:cs="Times New Roman"/>
          <w:i/>
          <w:iCs/>
          <w:sz w:val="24"/>
          <w:szCs w:val="24"/>
        </w:rPr>
        <w:t>Nordic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(6), 403–417. </w:t>
      </w:r>
      <w:hyperlink r:id="rId108" w:history="1">
        <w:r w:rsidRPr="005B38F0">
          <w:rPr>
            <w:rFonts w:ascii="Times New Roman" w:eastAsia="Times New Roman" w:hAnsi="Times New Roman" w:cs="Times New Roman"/>
            <w:color w:val="0000FF"/>
            <w:sz w:val="24"/>
            <w:szCs w:val="24"/>
            <w:u w:val="single"/>
          </w:rPr>
          <w:t>https://doi.org/10.3109/08039488.2014.990919</w:t>
        </w:r>
      </w:hyperlink>
    </w:p>
    <w:p w14:paraId="38C3A8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Altieri, M., Di Piero, V., Pasquini, M., Gasparini, M., Vanacore, N., Vicenzini, E., &amp; Lenzi, G. L. (2004). Delayed poststroke dementia: A 4-year follow-up study.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(12), 2193–2197. </w:t>
      </w:r>
      <w:hyperlink r:id="rId109" w:history="1">
        <w:r w:rsidRPr="005B38F0">
          <w:rPr>
            <w:rFonts w:ascii="Times New Roman" w:eastAsia="Times New Roman" w:hAnsi="Times New Roman" w:cs="Times New Roman"/>
            <w:color w:val="0000FF"/>
            <w:sz w:val="24"/>
            <w:szCs w:val="24"/>
            <w:u w:val="single"/>
          </w:rPr>
          <w:t>https://doi.org/10.1212/01.WNL.0000130501.79012.1A</w:t>
        </w:r>
      </w:hyperlink>
    </w:p>
    <w:p w14:paraId="452E36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Altinoğlu Dikmeer, İ., &amp; Gençöz, T. (2009). Özgül Öğrenme Güçlüğü Belirtileri Olan Çocuklarin Wisconsin Kart Eşleme Testi ve Wechsler Çocuklar İçin Zeka Ölçeği Puanlarının İncelenmesi. [Evaluation of Wisconsin Card Sorting Test and Wechsler Intelligence Scale for Children scores among children with. </w:t>
      </w:r>
      <w:r w:rsidRPr="005B38F0">
        <w:rPr>
          <w:rFonts w:ascii="Times New Roman" w:eastAsia="Times New Roman" w:hAnsi="Times New Roman" w:cs="Times New Roman"/>
          <w:i/>
          <w:iCs/>
          <w:sz w:val="24"/>
          <w:szCs w:val="24"/>
        </w:rPr>
        <w:t>Çocuk ve Gençlik Ruh Sağliği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(1), 3–12.</w:t>
      </w:r>
    </w:p>
    <w:p w14:paraId="18ECC6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Altinöz, A. E., Köşger, F., &amp; Eşsizoğlu, A. (2019). Obsesif kompulsif bozuklukta seçici dikkat, bilişsel esneklik, yanıt inhibisyonu ve zihin kuramı işlevleri arasındaki ilişki. [Relationship </w:t>
      </w:r>
      <w:r w:rsidRPr="005B38F0">
        <w:rPr>
          <w:rFonts w:ascii="Times New Roman" w:eastAsia="Times New Roman" w:hAnsi="Times New Roman" w:cs="Times New Roman"/>
          <w:sz w:val="24"/>
          <w:szCs w:val="24"/>
        </w:rPr>
        <w:lastRenderedPageBreak/>
        <w:t xml:space="preserve">between selective attention, cognitive flexibility, response inhibition and theory of mind functions in OCD.]. </w:t>
      </w:r>
      <w:r w:rsidRPr="005B38F0">
        <w:rPr>
          <w:rFonts w:ascii="Times New Roman" w:eastAsia="Times New Roman" w:hAnsi="Times New Roman" w:cs="Times New Roman"/>
          <w:i/>
          <w:iCs/>
          <w:sz w:val="24"/>
          <w:szCs w:val="24"/>
        </w:rPr>
        <w:t>Anadolu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(1), 47–53.</w:t>
      </w:r>
    </w:p>
    <w:p w14:paraId="4E976A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Altshuler, L. L., Ventura, J., van Gorp, W. G., Green, M. F., Theberge, D. C., &amp; Mintz, J. (2004). Neurocognitive function in clinically stable men with bipolar I disorder or schizophrenia and normal control subjects.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(8), 560–569. </w:t>
      </w:r>
      <w:hyperlink r:id="rId110" w:history="1">
        <w:r w:rsidRPr="005B38F0">
          <w:rPr>
            <w:rFonts w:ascii="Times New Roman" w:eastAsia="Times New Roman" w:hAnsi="Times New Roman" w:cs="Times New Roman"/>
            <w:color w:val="0000FF"/>
            <w:sz w:val="24"/>
            <w:szCs w:val="24"/>
            <w:u w:val="single"/>
          </w:rPr>
          <w:t>https://doi.org/10.1016/j.biopsych.2004.08.002</w:t>
        </w:r>
      </w:hyperlink>
    </w:p>
    <w:p w14:paraId="21EDEC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Alvarado-Sánchez, N., Alvarez-Rayón, G., &amp; Mancilla-Díaz, J. M. (2019). Cognitive remediation therapy in Mexico as a treatment for Anorexia Nervosa: A case study. </w:t>
      </w:r>
      <w:r w:rsidRPr="005B38F0">
        <w:rPr>
          <w:rFonts w:ascii="Times New Roman" w:eastAsia="Times New Roman" w:hAnsi="Times New Roman" w:cs="Times New Roman"/>
          <w:i/>
          <w:iCs/>
          <w:sz w:val="24"/>
          <w:szCs w:val="24"/>
        </w:rPr>
        <w:t>Eating Disorders: The Journal of Treatment &amp; Prevention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230–252. </w:t>
      </w:r>
      <w:hyperlink r:id="rId111" w:history="1">
        <w:r w:rsidRPr="005B38F0">
          <w:rPr>
            <w:rFonts w:ascii="Times New Roman" w:eastAsia="Times New Roman" w:hAnsi="Times New Roman" w:cs="Times New Roman"/>
            <w:color w:val="0000FF"/>
            <w:sz w:val="24"/>
            <w:szCs w:val="24"/>
            <w:u w:val="single"/>
          </w:rPr>
          <w:t>https://doi.org/10.1080/10640266.2019.1591849</w:t>
        </w:r>
      </w:hyperlink>
    </w:p>
    <w:p w14:paraId="3F8C36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Alvarez-Alonso, M. J., Morales-Muñoz, I., Castaño-León, A. M., Lagares, A., Rubio, G., &amp; Jurado-Barba, R. (2016). Single case study: Neuropsychological functioning in a patient diagnosed with intermittent explosive disorder pre and post neurosurgery.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 </w:t>
      </w:r>
      <w:hyperlink r:id="rId112" w:history="1">
        <w:r w:rsidRPr="005B38F0">
          <w:rPr>
            <w:rFonts w:ascii="Times New Roman" w:eastAsia="Times New Roman" w:hAnsi="Times New Roman" w:cs="Times New Roman"/>
            <w:color w:val="0000FF"/>
            <w:sz w:val="24"/>
            <w:szCs w:val="24"/>
            <w:u w:val="single"/>
          </w:rPr>
          <w:t>https://doi.org/10.1017/sjp.2016.22</w:t>
        </w:r>
      </w:hyperlink>
    </w:p>
    <w:p w14:paraId="011966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Alvarez-Jimenez, M., Priede, A., Hetrick, S. E., Bendall, S., Killackey, E., Parker, A. G., McGorry, P. D., &amp; Gleeson, J. F. (2012). Risk factors for relapse following treatment for first episode psychosis: A systematic review and meta-analysis of longitudinal studies.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139</w:t>
      </w:r>
      <w:r w:rsidRPr="005B38F0">
        <w:rPr>
          <w:rFonts w:ascii="Times New Roman" w:eastAsia="Times New Roman" w:hAnsi="Times New Roman" w:cs="Times New Roman"/>
          <w:sz w:val="24"/>
          <w:szCs w:val="24"/>
        </w:rPr>
        <w:t xml:space="preserve">(1–3), 116–128. </w:t>
      </w:r>
      <w:hyperlink r:id="rId113" w:history="1">
        <w:r w:rsidRPr="005B38F0">
          <w:rPr>
            <w:rFonts w:ascii="Times New Roman" w:eastAsia="Times New Roman" w:hAnsi="Times New Roman" w:cs="Times New Roman"/>
            <w:color w:val="0000FF"/>
            <w:sz w:val="24"/>
            <w:szCs w:val="24"/>
            <w:u w:val="single"/>
          </w:rPr>
          <w:t>https://doi.org/10.1016/j.schres.2012.05.007</w:t>
        </w:r>
      </w:hyperlink>
    </w:p>
    <w:p w14:paraId="46797C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Álvarez-Moya, E. M., Jiménez-Murcia, S., Moragas, L., Gómez-Peña, M., Aymamí, M. N., Ochoa, C., Sánchez-Díaz, I., Menchón, J. M., &amp; Fernández-Aranda, F. (2009). Executive functioning among female pathological gambling and bulimia nervosa patients: Preliminary findings.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302–306. </w:t>
      </w:r>
      <w:hyperlink r:id="rId114" w:history="1">
        <w:r w:rsidRPr="005B38F0">
          <w:rPr>
            <w:rFonts w:ascii="Times New Roman" w:eastAsia="Times New Roman" w:hAnsi="Times New Roman" w:cs="Times New Roman"/>
            <w:color w:val="0000FF"/>
            <w:sz w:val="24"/>
            <w:szCs w:val="24"/>
            <w:u w:val="single"/>
          </w:rPr>
          <w:t>https://doi.org/10.1017/S1355617709090377</w:t>
        </w:r>
      </w:hyperlink>
    </w:p>
    <w:p w14:paraId="3DABAA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Álvarez-Moya, E. M., Ochoa, C., Jiménez-Murcia, S., Aymamí, M. N., Gómez-Peña, M., Fernández-Aranda, F., Santamaría, J., Moragas, L., Bove, F., &amp; Menchón, J. M. (2011). Effect of executive functioning, decision-making and self-reported impulsivity on the treatment outcome of pathologic gambling.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(3), 165–175. </w:t>
      </w:r>
      <w:hyperlink r:id="rId115" w:history="1">
        <w:r w:rsidRPr="005B38F0">
          <w:rPr>
            <w:rFonts w:ascii="Times New Roman" w:eastAsia="Times New Roman" w:hAnsi="Times New Roman" w:cs="Times New Roman"/>
            <w:color w:val="0000FF"/>
            <w:sz w:val="24"/>
            <w:szCs w:val="24"/>
            <w:u w:val="single"/>
          </w:rPr>
          <w:t>https://doi.org/10.1503/jpn.090095</w:t>
        </w:r>
      </w:hyperlink>
    </w:p>
    <w:p w14:paraId="7DAB6E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Alvarez-Tostado, P., Inozemtseva, O., Aguiñiga, M. A., López, E., &amp; Matute, E. (2016). The relationship between cognitive reserve and the clinical stage of HIV infection. </w:t>
      </w:r>
      <w:r w:rsidRPr="005B38F0">
        <w:rPr>
          <w:rFonts w:ascii="Times New Roman" w:eastAsia="Times New Roman" w:hAnsi="Times New Roman" w:cs="Times New Roman"/>
          <w:i/>
          <w:iCs/>
          <w:sz w:val="24"/>
          <w:szCs w:val="24"/>
        </w:rPr>
        <w:t>AIDS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633–638. </w:t>
      </w:r>
      <w:hyperlink r:id="rId116" w:history="1">
        <w:r w:rsidRPr="005B38F0">
          <w:rPr>
            <w:rFonts w:ascii="Times New Roman" w:eastAsia="Times New Roman" w:hAnsi="Times New Roman" w:cs="Times New Roman"/>
            <w:color w:val="0000FF"/>
            <w:sz w:val="24"/>
            <w:szCs w:val="24"/>
            <w:u w:val="single"/>
          </w:rPr>
          <w:t>https://doi.org/10.1080/09540121.2015.1124985</w:t>
        </w:r>
      </w:hyperlink>
    </w:p>
    <w:p w14:paraId="34B3CC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Amami, P., Islam, L., Dressler, D., &amp; Albanese, A. (2015). Neuropsychiatric disturbances in dystonia. In </w:t>
      </w:r>
      <w:r w:rsidRPr="005B38F0">
        <w:rPr>
          <w:rFonts w:ascii="Times New Roman" w:eastAsia="Times New Roman" w:hAnsi="Times New Roman" w:cs="Times New Roman"/>
          <w:i/>
          <w:iCs/>
          <w:sz w:val="24"/>
          <w:szCs w:val="24"/>
        </w:rPr>
        <w:t>Neuropsychiatric symptoms of movement disorders.</w:t>
      </w:r>
      <w:r w:rsidRPr="005B38F0">
        <w:rPr>
          <w:rFonts w:ascii="Times New Roman" w:eastAsia="Times New Roman" w:hAnsi="Times New Roman" w:cs="Times New Roman"/>
          <w:sz w:val="24"/>
          <w:szCs w:val="24"/>
        </w:rPr>
        <w:t xml:space="preserve"> (pp. 171–199). Springer International Publishing. </w:t>
      </w:r>
      <w:hyperlink r:id="rId117" w:history="1">
        <w:r w:rsidRPr="005B38F0">
          <w:rPr>
            <w:rFonts w:ascii="Times New Roman" w:eastAsia="Times New Roman" w:hAnsi="Times New Roman" w:cs="Times New Roman"/>
            <w:color w:val="0000FF"/>
            <w:sz w:val="24"/>
            <w:szCs w:val="24"/>
            <w:u w:val="single"/>
          </w:rPr>
          <w:t>https://doi.org/10.1007/978-3-319-09537-0_8</w:t>
        </w:r>
      </w:hyperlink>
    </w:p>
    <w:p w14:paraId="70AEAC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Amanzio, M., Monteverdi, S., Giordano, A., Soliveri, P., Filippi, P., &amp; Geminiani, G. (2010). Impaired awareness of movement disorders in Parkinson’s disease.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(3), 337–346. </w:t>
      </w:r>
      <w:hyperlink r:id="rId118" w:history="1">
        <w:r w:rsidRPr="005B38F0">
          <w:rPr>
            <w:rFonts w:ascii="Times New Roman" w:eastAsia="Times New Roman" w:hAnsi="Times New Roman" w:cs="Times New Roman"/>
            <w:color w:val="0000FF"/>
            <w:sz w:val="24"/>
            <w:szCs w:val="24"/>
            <w:u w:val="single"/>
          </w:rPr>
          <w:t>https://doi.org/10.1016/j.bandc.2009.10.011</w:t>
        </w:r>
      </w:hyperlink>
    </w:p>
    <w:p w14:paraId="782BFF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Amanzio, M., Palermo, S., Stanziano, M., D’Agata, F., Galati, A., Gentile, S., Castellano, G., Bartoli, M., Cipriani, G. E., Rubino, E., Fonio, P., &amp; Rainero, I. (2021). Investigating neuroimaging correlates of early frailty in patients with behavioral variant frontotemporal dementia: A MRI and FDG-PET study.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19" w:history="1">
        <w:r w:rsidRPr="005B38F0">
          <w:rPr>
            <w:rFonts w:ascii="Times New Roman" w:eastAsia="Times New Roman" w:hAnsi="Times New Roman" w:cs="Times New Roman"/>
            <w:color w:val="0000FF"/>
            <w:sz w:val="24"/>
            <w:szCs w:val="24"/>
            <w:u w:val="single"/>
          </w:rPr>
          <w:t>https://doi.org/10.3389/fnagi.2021.637796</w:t>
        </w:r>
      </w:hyperlink>
    </w:p>
    <w:p w14:paraId="4B07B6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Amanzio, M., Palermo, S., Zibetti, M., Leotta, D., Rosato, R., Geminiani, G., &amp; Lopiano, L. (2014). Self-unawareness of levodopa induced dyskinesias in patients with Parkinson’s disease.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 135–141. </w:t>
      </w:r>
      <w:hyperlink r:id="rId120" w:history="1">
        <w:r w:rsidRPr="005B38F0">
          <w:rPr>
            <w:rFonts w:ascii="Times New Roman" w:eastAsia="Times New Roman" w:hAnsi="Times New Roman" w:cs="Times New Roman"/>
            <w:color w:val="0000FF"/>
            <w:sz w:val="24"/>
            <w:szCs w:val="24"/>
            <w:u w:val="single"/>
          </w:rPr>
          <w:t>https://doi.org/10.1016/j.bandc.2014.06.014</w:t>
        </w:r>
      </w:hyperlink>
    </w:p>
    <w:p w14:paraId="01E656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Amanzio, M., Vase, L., Leotta, D., Miceli, R., Palermo, S., &amp; Geminiani, G. (2013). Impaired awareness of deficits in Alzheimer’s disease: The role of everyday executive dysfunction.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63–72. </w:t>
      </w:r>
      <w:hyperlink r:id="rId121" w:history="1">
        <w:r w:rsidRPr="005B38F0">
          <w:rPr>
            <w:rFonts w:ascii="Times New Roman" w:eastAsia="Times New Roman" w:hAnsi="Times New Roman" w:cs="Times New Roman"/>
            <w:color w:val="0000FF"/>
            <w:sz w:val="24"/>
            <w:szCs w:val="24"/>
            <w:u w:val="single"/>
          </w:rPr>
          <w:t>https://doi.org/10.1017/S1355617712000896</w:t>
        </w:r>
      </w:hyperlink>
    </w:p>
    <w:p w14:paraId="7C85531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Amaral, A. H., &amp; Guerreiro, M. M. (2001). Transtorno do déficit de atenção e hiperatividade: Proposta de avaliação neuropsicológica para diagnóstico. [Attention deficit hyperactivity disorder: Proposal of neuropsychological assessment.].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 xml:space="preserve">(4), 884–888. </w:t>
      </w:r>
      <w:hyperlink r:id="rId122" w:history="1">
        <w:r w:rsidRPr="005B38F0">
          <w:rPr>
            <w:rFonts w:ascii="Times New Roman" w:eastAsia="Times New Roman" w:hAnsi="Times New Roman" w:cs="Times New Roman"/>
            <w:color w:val="0000FF"/>
            <w:sz w:val="24"/>
            <w:szCs w:val="24"/>
            <w:u w:val="single"/>
          </w:rPr>
          <w:t>https://doi.org/10.1590/S0004-282X2001000600009</w:t>
        </w:r>
      </w:hyperlink>
    </w:p>
    <w:p w14:paraId="21D189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Ambery, F. Z., Russell, A. J., Perry, K., Morris, R., &amp; Murphy, D. G. M. (2006). Neuropsychological functioning in adults with Asperger syndrome. </w:t>
      </w:r>
      <w:r w:rsidRPr="005B38F0">
        <w:rPr>
          <w:rFonts w:ascii="Times New Roman" w:eastAsia="Times New Roman" w:hAnsi="Times New Roman" w:cs="Times New Roman"/>
          <w:i/>
          <w:iCs/>
          <w:sz w:val="24"/>
          <w:szCs w:val="24"/>
        </w:rPr>
        <w:t>Autism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551–564. </w:t>
      </w:r>
      <w:hyperlink r:id="rId123" w:history="1">
        <w:r w:rsidRPr="005B38F0">
          <w:rPr>
            <w:rFonts w:ascii="Times New Roman" w:eastAsia="Times New Roman" w:hAnsi="Times New Roman" w:cs="Times New Roman"/>
            <w:color w:val="0000FF"/>
            <w:sz w:val="24"/>
            <w:szCs w:val="24"/>
            <w:u w:val="single"/>
          </w:rPr>
          <w:t>https://doi.org/10.1177/1362361306068507</w:t>
        </w:r>
      </w:hyperlink>
    </w:p>
    <w:p w14:paraId="7E95C7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Amidi, A., Wu, L. M., Agerbæk, M., Larsen, P. L., Pedersen, A. D., Mehlsen, M., Larsen, L., &amp; Zachariae, R. (2015). Cognitive impairment and potential biological and psychological correlates of neuropsychological performance in recently orchiectomized testicular cancer patients. </w:t>
      </w:r>
      <w:r w:rsidRPr="005B38F0">
        <w:rPr>
          <w:rFonts w:ascii="Times New Roman" w:eastAsia="Times New Roman" w:hAnsi="Times New Roman" w:cs="Times New Roman"/>
          <w:i/>
          <w:iCs/>
          <w:sz w:val="24"/>
          <w:szCs w:val="24"/>
        </w:rPr>
        <w:t>Psycho-Oncology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(9), 1174–1180. </w:t>
      </w:r>
      <w:hyperlink r:id="rId124" w:history="1">
        <w:r w:rsidRPr="005B38F0">
          <w:rPr>
            <w:rFonts w:ascii="Times New Roman" w:eastAsia="Times New Roman" w:hAnsi="Times New Roman" w:cs="Times New Roman"/>
            <w:color w:val="0000FF"/>
            <w:sz w:val="24"/>
            <w:szCs w:val="24"/>
            <w:u w:val="single"/>
          </w:rPr>
          <w:t>https://doi.org/10.1002/pon.3804</w:t>
        </w:r>
      </w:hyperlink>
    </w:p>
    <w:p w14:paraId="530BA4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Amiez, C., Champod, A. S., Wilson, C. R. E., Procyk, E., &amp; Petrides, M. (2015). A unilateral medial frontal cortical lesion impairs trial and error learning without visual control.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 314–321. </w:t>
      </w:r>
      <w:hyperlink r:id="rId125" w:history="1">
        <w:r w:rsidRPr="005B38F0">
          <w:rPr>
            <w:rFonts w:ascii="Times New Roman" w:eastAsia="Times New Roman" w:hAnsi="Times New Roman" w:cs="Times New Roman"/>
            <w:color w:val="0000FF"/>
            <w:sz w:val="24"/>
            <w:szCs w:val="24"/>
            <w:u w:val="single"/>
          </w:rPr>
          <w:t>https://doi.org/10.1016/j.neuropsychologia.2015.06.022</w:t>
        </w:r>
      </w:hyperlink>
    </w:p>
    <w:p w14:paraId="00BFE4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Aminoff, S. R., Jensen, J., Lagerberg, T. V., Hellvin, T., Sundet, K., Andreassen, O. A., &amp; Melle, I. (2012). An association between affective lability and executive functioning in bipolar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198</w:t>
      </w:r>
      <w:r w:rsidRPr="005B38F0">
        <w:rPr>
          <w:rFonts w:ascii="Times New Roman" w:eastAsia="Times New Roman" w:hAnsi="Times New Roman" w:cs="Times New Roman"/>
          <w:sz w:val="24"/>
          <w:szCs w:val="24"/>
        </w:rPr>
        <w:t xml:space="preserve">(1), 58–61. </w:t>
      </w:r>
      <w:hyperlink r:id="rId126" w:history="1">
        <w:r w:rsidRPr="005B38F0">
          <w:rPr>
            <w:rFonts w:ascii="Times New Roman" w:eastAsia="Times New Roman" w:hAnsi="Times New Roman" w:cs="Times New Roman"/>
            <w:color w:val="0000FF"/>
            <w:sz w:val="24"/>
            <w:szCs w:val="24"/>
            <w:u w:val="single"/>
          </w:rPr>
          <w:t>https://doi.org/10.1016/j.psychres.2011.12.044</w:t>
        </w:r>
      </w:hyperlink>
    </w:p>
    <w:p w14:paraId="5CB11A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Amoretti, S., Bernardo, M., Bonnin, C. M., Bioque, M., Cabrera, B., Mezquida, G., Solé, B., Vieta, E., &amp; Torrent, C. (2016). The impact of cognitive reserve in the outcome of first-episode psychoses: 2-year follow-up study.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(10), 1638–1648. </w:t>
      </w:r>
      <w:hyperlink r:id="rId127" w:history="1">
        <w:r w:rsidRPr="005B38F0">
          <w:rPr>
            <w:rFonts w:ascii="Times New Roman" w:eastAsia="Times New Roman" w:hAnsi="Times New Roman" w:cs="Times New Roman"/>
            <w:color w:val="0000FF"/>
            <w:sz w:val="24"/>
            <w:szCs w:val="24"/>
            <w:u w:val="single"/>
          </w:rPr>
          <w:t>https://doi.org/10.1016/j.euroneuro.2016.07.003</w:t>
        </w:r>
      </w:hyperlink>
    </w:p>
    <w:p w14:paraId="11514E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Amoretti, S., Cabrera, B., Torrent, C., Mezquida, G., Lobo, A., González‐Pinto, A., Parellada, M., Corripio, I., Vieta, E., Serna, E., Butjosa, A., Contreras, F., Sarró, S., Penadés, R., Sánchez‐Torres, A. M., Cuesta, M., &amp; Bernardo, M. (2018). Cognitive reserve as an outcome predictor: First‐episode affective versus non‐affective psychosis.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138</w:t>
      </w:r>
      <w:r w:rsidRPr="005B38F0">
        <w:rPr>
          <w:rFonts w:ascii="Times New Roman" w:eastAsia="Times New Roman" w:hAnsi="Times New Roman" w:cs="Times New Roman"/>
          <w:sz w:val="24"/>
          <w:szCs w:val="24"/>
        </w:rPr>
        <w:t xml:space="preserve">(5), 441–455. </w:t>
      </w:r>
      <w:hyperlink r:id="rId128" w:history="1">
        <w:r w:rsidRPr="005B38F0">
          <w:rPr>
            <w:rFonts w:ascii="Times New Roman" w:eastAsia="Times New Roman" w:hAnsi="Times New Roman" w:cs="Times New Roman"/>
            <w:color w:val="0000FF"/>
            <w:sz w:val="24"/>
            <w:szCs w:val="24"/>
            <w:u w:val="single"/>
          </w:rPr>
          <w:t>https://doi.org/10.1111/acps.12949</w:t>
        </w:r>
      </w:hyperlink>
    </w:p>
    <w:p w14:paraId="773C7E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Amos, A. (2002). Remediating deficits of switching attention in patients with acquired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(5), 407–413. </w:t>
      </w:r>
      <w:hyperlink r:id="rId129" w:history="1">
        <w:r w:rsidRPr="005B38F0">
          <w:rPr>
            <w:rFonts w:ascii="Times New Roman" w:eastAsia="Times New Roman" w:hAnsi="Times New Roman" w:cs="Times New Roman"/>
            <w:color w:val="0000FF"/>
            <w:sz w:val="24"/>
            <w:szCs w:val="24"/>
            <w:u w:val="single"/>
          </w:rPr>
          <w:t>https://doi.org/10.1080/02699050110104435</w:t>
        </w:r>
      </w:hyperlink>
    </w:p>
    <w:p w14:paraId="66C643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Anaki, D., Kaufman, Y., Freedman, M., &amp; Moscovitch, M. (2007). Associative (prosop) agnosia without (apparent) perceptual deficits: A case-study.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(8), 1658–1671. </w:t>
      </w:r>
      <w:hyperlink r:id="rId130" w:history="1">
        <w:r w:rsidRPr="005B38F0">
          <w:rPr>
            <w:rFonts w:ascii="Times New Roman" w:eastAsia="Times New Roman" w:hAnsi="Times New Roman" w:cs="Times New Roman"/>
            <w:color w:val="0000FF"/>
            <w:sz w:val="24"/>
            <w:szCs w:val="24"/>
            <w:u w:val="single"/>
          </w:rPr>
          <w:t>https://doi.org/10.1016/j.neuropsychologia.2007.01.003</w:t>
        </w:r>
      </w:hyperlink>
    </w:p>
    <w:p w14:paraId="5F2A15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Anakia, D., Goldenberg, R., Devisheim, H., Rosenfelder, D., Falik, L., &amp; Harif, I. (2016). Restoring one’s language edifice: A case study of long-term effects of intensive aphasia therapy employing cognitive modifiability strategies.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(1), 3–17. </w:t>
      </w:r>
      <w:hyperlink r:id="rId131" w:history="1">
        <w:r w:rsidRPr="005B38F0">
          <w:rPr>
            <w:rFonts w:ascii="Times New Roman" w:eastAsia="Times New Roman" w:hAnsi="Times New Roman" w:cs="Times New Roman"/>
            <w:color w:val="0000FF"/>
            <w:sz w:val="24"/>
            <w:szCs w:val="24"/>
            <w:u w:val="single"/>
          </w:rPr>
          <w:t>https://doi.org/10.3233/NRE-161334</w:t>
        </w:r>
      </w:hyperlink>
    </w:p>
    <w:p w14:paraId="6C784D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Ananloo, E. S., Yoosefee, S., &amp; Karimipour, M. (2020). Neuregulin1 gene variants as a biomarker for cognitive impairments in patients with schizophrenia. </w:t>
      </w:r>
      <w:r w:rsidRPr="005B38F0">
        <w:rPr>
          <w:rFonts w:ascii="Times New Roman" w:eastAsia="Times New Roman" w:hAnsi="Times New Roman" w:cs="Times New Roman"/>
          <w:i/>
          <w:iCs/>
          <w:sz w:val="24"/>
          <w:szCs w:val="24"/>
        </w:rPr>
        <w:t>The European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 11–19. </w:t>
      </w:r>
      <w:hyperlink r:id="rId132" w:history="1">
        <w:r w:rsidRPr="005B38F0">
          <w:rPr>
            <w:rFonts w:ascii="Times New Roman" w:eastAsia="Times New Roman" w:hAnsi="Times New Roman" w:cs="Times New Roman"/>
            <w:color w:val="0000FF"/>
            <w:sz w:val="24"/>
            <w:szCs w:val="24"/>
            <w:u w:val="single"/>
          </w:rPr>
          <w:t>https://doi.org/10.1016/j.ejpsy.2019.12.004</w:t>
        </w:r>
      </w:hyperlink>
    </w:p>
    <w:p w14:paraId="5E2FE3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Anastas, J. R., Kelty-Stephen, D. G., &amp; Dixon, J. A. (2014). Executive function as an interaction-dominant process. </w:t>
      </w:r>
      <w:r w:rsidRPr="005B38F0">
        <w:rPr>
          <w:rFonts w:ascii="Times New Roman" w:eastAsia="Times New Roman" w:hAnsi="Times New Roman" w:cs="Times New Roman"/>
          <w:i/>
          <w:iCs/>
          <w:sz w:val="24"/>
          <w:szCs w:val="24"/>
        </w:rPr>
        <w:t>Ecological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262–282. </w:t>
      </w:r>
      <w:hyperlink r:id="rId133" w:history="1">
        <w:r w:rsidRPr="005B38F0">
          <w:rPr>
            <w:rFonts w:ascii="Times New Roman" w:eastAsia="Times New Roman" w:hAnsi="Times New Roman" w:cs="Times New Roman"/>
            <w:color w:val="0000FF"/>
            <w:sz w:val="24"/>
            <w:szCs w:val="24"/>
            <w:u w:val="single"/>
          </w:rPr>
          <w:t>https://doi.org/10.1080/10407413.2014.957985</w:t>
        </w:r>
      </w:hyperlink>
    </w:p>
    <w:p w14:paraId="6E34BD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Anaya, C., Torrent, C., Caballero, F. F., Vieta, E., Bonnin, C. del M., &amp; Ayuso‐Mateos, J. L. (2016). Cognitive reserve in bipolar disorder: Relation to cognition, psychosocial functioning and quality of life.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(5), 386–398. </w:t>
      </w:r>
      <w:hyperlink r:id="rId134" w:history="1">
        <w:r w:rsidRPr="005B38F0">
          <w:rPr>
            <w:rFonts w:ascii="Times New Roman" w:eastAsia="Times New Roman" w:hAnsi="Times New Roman" w:cs="Times New Roman"/>
            <w:color w:val="0000FF"/>
            <w:sz w:val="24"/>
            <w:szCs w:val="24"/>
            <w:u w:val="single"/>
          </w:rPr>
          <w:t>https://doi.org/10.1111/acps.12535</w:t>
        </w:r>
      </w:hyperlink>
    </w:p>
    <w:p w14:paraId="785180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Ancín, I., Cabranes, J. A., Santos, J. L., Sánchez-Morla, E., &amp; Barabash, A. (2013). Executive deficits: A continuum schizophrenia–bipolar disorder or specific to schizophrenia?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(11), 1564–1571. </w:t>
      </w:r>
      <w:hyperlink r:id="rId135" w:history="1">
        <w:r w:rsidRPr="005B38F0">
          <w:rPr>
            <w:rFonts w:ascii="Times New Roman" w:eastAsia="Times New Roman" w:hAnsi="Times New Roman" w:cs="Times New Roman"/>
            <w:color w:val="0000FF"/>
            <w:sz w:val="24"/>
            <w:szCs w:val="24"/>
            <w:u w:val="single"/>
          </w:rPr>
          <w:t>https://doi.org/10.1016/j.jpsychires.2013.07.008</w:t>
        </w:r>
      </w:hyperlink>
    </w:p>
    <w:p w14:paraId="69C67D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Ancoli-Israel, S., Palmer, B. W., Cooke, J. R., Corey-Bloom, J., Fiorentino, L., Natarajan, L., Liu, L., Ayalon, L., He, F., &amp; Loredo, J. S. (2008). Cognitive effects of treating obstructive sleep apnea in Alzheimer’s disease: A randomized controlled study. </w:t>
      </w:r>
      <w:r w:rsidRPr="005B38F0">
        <w:rPr>
          <w:rFonts w:ascii="Times New Roman" w:eastAsia="Times New Roman" w:hAnsi="Times New Roman" w:cs="Times New Roman"/>
          <w:i/>
          <w:iCs/>
          <w:sz w:val="24"/>
          <w:szCs w:val="24"/>
        </w:rPr>
        <w:t>Journal of the American Geriatrics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(11), 2076–2081. </w:t>
      </w:r>
      <w:hyperlink r:id="rId136" w:history="1">
        <w:r w:rsidRPr="005B38F0">
          <w:rPr>
            <w:rFonts w:ascii="Times New Roman" w:eastAsia="Times New Roman" w:hAnsi="Times New Roman" w:cs="Times New Roman"/>
            <w:color w:val="0000FF"/>
            <w:sz w:val="24"/>
            <w:szCs w:val="24"/>
            <w:u w:val="single"/>
          </w:rPr>
          <w:t>https://doi.org/10.1111/j.1532-5415.2008.01934.x</w:t>
        </w:r>
      </w:hyperlink>
    </w:p>
    <w:p w14:paraId="7EC3D9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Andelman, F., Hoofien, D., Goldberg, I., Aizenstein, O., &amp; Neufeld, M. Y. (2010). Bilateral hippocampal lesion and a selective impairment of the ability for mental time travel.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(5), 426–435. </w:t>
      </w:r>
      <w:hyperlink r:id="rId137" w:history="1">
        <w:r w:rsidRPr="005B38F0">
          <w:rPr>
            <w:rFonts w:ascii="Times New Roman" w:eastAsia="Times New Roman" w:hAnsi="Times New Roman" w:cs="Times New Roman"/>
            <w:color w:val="0000FF"/>
            <w:sz w:val="24"/>
            <w:szCs w:val="24"/>
            <w:u w:val="single"/>
          </w:rPr>
          <w:t>https://doi.org/10.1080/13554791003623318</w:t>
        </w:r>
      </w:hyperlink>
    </w:p>
    <w:p w14:paraId="3A8B8E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Anderkova, L., &amp; Rektorova, I. (2014). Cognitive effects of repetitive transcranial magnetic stimulation in patients with neurodegenerative diseases—Clinician’s perspective.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339</w:t>
      </w:r>
      <w:r w:rsidRPr="005B38F0">
        <w:rPr>
          <w:rFonts w:ascii="Times New Roman" w:eastAsia="Times New Roman" w:hAnsi="Times New Roman" w:cs="Times New Roman"/>
          <w:sz w:val="24"/>
          <w:szCs w:val="24"/>
        </w:rPr>
        <w:t xml:space="preserve">(1–2), 15–25. </w:t>
      </w:r>
      <w:hyperlink r:id="rId138" w:history="1">
        <w:r w:rsidRPr="005B38F0">
          <w:rPr>
            <w:rFonts w:ascii="Times New Roman" w:eastAsia="Times New Roman" w:hAnsi="Times New Roman" w:cs="Times New Roman"/>
            <w:color w:val="0000FF"/>
            <w:sz w:val="24"/>
            <w:szCs w:val="24"/>
            <w:u w:val="single"/>
          </w:rPr>
          <w:t>https://doi.org/10.1016/j.jns.2014.01.037</w:t>
        </w:r>
      </w:hyperlink>
    </w:p>
    <w:p w14:paraId="16F6AE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Andersen, R., Fagerlund, B., Rasmussen, H., Ebdrup, B. H., Aggernaes, B., Gade, A., Oranje, B., &amp; Glenthoj, B. (2011). Cognitive effects of six months of treatment with quetiapine in antipsychotic-naïve first-episode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49–54. </w:t>
      </w:r>
      <w:hyperlink r:id="rId139" w:history="1">
        <w:r w:rsidRPr="005B38F0">
          <w:rPr>
            <w:rFonts w:ascii="Times New Roman" w:eastAsia="Times New Roman" w:hAnsi="Times New Roman" w:cs="Times New Roman"/>
            <w:color w:val="0000FF"/>
            <w:sz w:val="24"/>
            <w:szCs w:val="24"/>
            <w:u w:val="single"/>
          </w:rPr>
          <w:t>https://doi.org/10.1016/j.psychres.2010.10.013</w:t>
        </w:r>
      </w:hyperlink>
    </w:p>
    <w:p w14:paraId="108208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Andersen, R., Fagerlund, B., Rasmussen, H., Ebdrup, B. H., Aggernaes, B., Gade, A., Oranje, B., &amp; Glenthoj, B. (2013). The influence of impaired processing speed on cognition in first-episode antipsychotic-naïve schizophrenic patients.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(6), 332–339. </w:t>
      </w:r>
      <w:hyperlink r:id="rId140" w:history="1">
        <w:r w:rsidRPr="005B38F0">
          <w:rPr>
            <w:rFonts w:ascii="Times New Roman" w:eastAsia="Times New Roman" w:hAnsi="Times New Roman" w:cs="Times New Roman"/>
            <w:color w:val="0000FF"/>
            <w:sz w:val="24"/>
            <w:szCs w:val="24"/>
            <w:u w:val="single"/>
          </w:rPr>
          <w:t>https://doi.org/10.1016/j.eurpsy.2012.06.003</w:t>
        </w:r>
      </w:hyperlink>
    </w:p>
    <w:p w14:paraId="6788C2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C. D., &amp; Butler, R. W. (2013). A case study: Central nervous system cancers. In </w:t>
      </w:r>
      <w:r w:rsidRPr="005B38F0">
        <w:rPr>
          <w:rFonts w:ascii="Times New Roman" w:eastAsia="Times New Roman" w:hAnsi="Times New Roman" w:cs="Times New Roman"/>
          <w:i/>
          <w:iCs/>
          <w:sz w:val="24"/>
          <w:szCs w:val="24"/>
        </w:rPr>
        <w:t>Psychopathology of childhood and adolescence: A neuropsychological approach.</w:t>
      </w:r>
      <w:r w:rsidRPr="005B38F0">
        <w:rPr>
          <w:rFonts w:ascii="Times New Roman" w:eastAsia="Times New Roman" w:hAnsi="Times New Roman" w:cs="Times New Roman"/>
          <w:sz w:val="24"/>
          <w:szCs w:val="24"/>
        </w:rPr>
        <w:t xml:space="preserve"> (pp. 626–636). Springer Publishing Company.</w:t>
      </w:r>
    </w:p>
    <w:p w14:paraId="048F82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C. V. (1996). </w:t>
      </w:r>
      <w:r w:rsidRPr="005B38F0">
        <w:rPr>
          <w:rFonts w:ascii="Times New Roman" w:eastAsia="Times New Roman" w:hAnsi="Times New Roman" w:cs="Times New Roman"/>
          <w:i/>
          <w:iCs/>
          <w:sz w:val="24"/>
          <w:szCs w:val="24"/>
        </w:rPr>
        <w:t>Frontal lobe lesions, diffuse damage, and neuropsychological functioning in traumatic brain-injured patients, and, lesion volume, injury severity, and thalamic integrity following head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(2-B), 1429–1429.</w:t>
      </w:r>
    </w:p>
    <w:p w14:paraId="1086F1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C. V., Bigler, E. D., &amp; Blatter, D. D. (1995). Frontal lobe lesions, diffuse damage, and neuropsychological functioning in traumatic brain-injured patients.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(6), 900–908. </w:t>
      </w:r>
      <w:hyperlink r:id="rId141" w:history="1">
        <w:r w:rsidRPr="005B38F0">
          <w:rPr>
            <w:rFonts w:ascii="Times New Roman" w:eastAsia="Times New Roman" w:hAnsi="Times New Roman" w:cs="Times New Roman"/>
            <w:color w:val="0000FF"/>
            <w:sz w:val="24"/>
            <w:szCs w:val="24"/>
            <w:u w:val="single"/>
          </w:rPr>
          <w:t>https://doi.org/10.1080/01688639508402438</w:t>
        </w:r>
      </w:hyperlink>
    </w:p>
    <w:p w14:paraId="23F475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N. D., Davidson, P. S. R., Mason, W. P., Gao, F., Binns, M. A., &amp; Winocur, G. (2011). Right frontal lobe mediation of recollection- and familiarity-based verbal recognition memory: Evidence from patients with tumor resections.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(12), 3804–3816. </w:t>
      </w:r>
      <w:hyperlink r:id="rId142" w:history="1">
        <w:r w:rsidRPr="005B38F0">
          <w:rPr>
            <w:rFonts w:ascii="Times New Roman" w:eastAsia="Times New Roman" w:hAnsi="Times New Roman" w:cs="Times New Roman"/>
            <w:color w:val="0000FF"/>
            <w:sz w:val="24"/>
            <w:szCs w:val="24"/>
            <w:u w:val="single"/>
          </w:rPr>
          <w:t>https://doi.org/10.1162/jocn_a_00050</w:t>
        </w:r>
      </w:hyperlink>
    </w:p>
    <w:p w14:paraId="74484A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N. D., Guild, E. B., Cyr, A.-A., Roberts, J., &amp; Clare, L. (2012). Contributions of frontal and medial temporal lobe functioning to the errorless learning advantage.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169–186. </w:t>
      </w:r>
      <w:hyperlink r:id="rId143" w:history="1">
        <w:r w:rsidRPr="005B38F0">
          <w:rPr>
            <w:rFonts w:ascii="Times New Roman" w:eastAsia="Times New Roman" w:hAnsi="Times New Roman" w:cs="Times New Roman"/>
            <w:color w:val="0000FF"/>
            <w:sz w:val="24"/>
            <w:szCs w:val="24"/>
            <w:u w:val="single"/>
          </w:rPr>
          <w:t>https://doi.org/10.1080/09602011.2011.639609</w:t>
        </w:r>
      </w:hyperlink>
    </w:p>
    <w:p w14:paraId="1467B3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S. W., Barrash, J., Bechara, A., &amp; Tranel, D. (2006). Impairments of emotion and real-world complex behavior following childhood- or adult-onset damage to ventromedial prefrontal cortex.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224–235. </w:t>
      </w:r>
      <w:hyperlink r:id="rId144" w:history="1">
        <w:r w:rsidRPr="005B38F0">
          <w:rPr>
            <w:rFonts w:ascii="Times New Roman" w:eastAsia="Times New Roman" w:hAnsi="Times New Roman" w:cs="Times New Roman"/>
            <w:color w:val="0000FF"/>
            <w:sz w:val="24"/>
            <w:szCs w:val="24"/>
            <w:u w:val="single"/>
          </w:rPr>
          <w:t>https://doi.org/10.1017/S1355617706060346</w:t>
        </w:r>
      </w:hyperlink>
    </w:p>
    <w:p w14:paraId="696812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Anderson, S. W., Damasio, H., &amp; Damasio, A. R. (2005). A neural basis for collecting behaviour in humans.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128</w:t>
      </w:r>
      <w:r w:rsidRPr="005B38F0">
        <w:rPr>
          <w:rFonts w:ascii="Times New Roman" w:eastAsia="Times New Roman" w:hAnsi="Times New Roman" w:cs="Times New Roman"/>
          <w:sz w:val="24"/>
          <w:szCs w:val="24"/>
        </w:rPr>
        <w:t xml:space="preserve">(1), 201–212. </w:t>
      </w:r>
      <w:hyperlink r:id="rId145" w:history="1">
        <w:r w:rsidRPr="005B38F0">
          <w:rPr>
            <w:rFonts w:ascii="Times New Roman" w:eastAsia="Times New Roman" w:hAnsi="Times New Roman" w:cs="Times New Roman"/>
            <w:color w:val="0000FF"/>
            <w:sz w:val="24"/>
            <w:szCs w:val="24"/>
            <w:u w:val="single"/>
          </w:rPr>
          <w:t>https://doi.org/10.1093/brain/awh329</w:t>
        </w:r>
      </w:hyperlink>
    </w:p>
    <w:p w14:paraId="58A585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Andrés, P., &amp; Van der Linden, M. (1998). Lllles capacités d’inhibition: Une fonction “Frontale”? [Inhibition capacity: A “frontal” function?]. </w:t>
      </w:r>
      <w:r w:rsidRPr="005B38F0">
        <w:rPr>
          <w:rFonts w:ascii="Times New Roman" w:eastAsia="Times New Roman" w:hAnsi="Times New Roman" w:cs="Times New Roman"/>
          <w:i/>
          <w:iCs/>
          <w:sz w:val="24"/>
          <w:szCs w:val="24"/>
        </w:rPr>
        <w:t>European Review of Applied Psychology / Revue Européenne de Psychologie Appliquée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(1), 33–39.</w:t>
      </w:r>
    </w:p>
    <w:p w14:paraId="610A1E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Andrés, S., Boget, T., Lázaro, L., Penadés, R., Morer, A., Salamero, M., &amp; Castro-Fornieles, J. (2007). Neuropsychological Performance in Children and Adolescents with Obsessive-Compulsive Disorder and Influence of Clinical Variables.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(8), 946–951. </w:t>
      </w:r>
      <w:hyperlink r:id="rId146" w:history="1">
        <w:r w:rsidRPr="005B38F0">
          <w:rPr>
            <w:rFonts w:ascii="Times New Roman" w:eastAsia="Times New Roman" w:hAnsi="Times New Roman" w:cs="Times New Roman"/>
            <w:color w:val="0000FF"/>
            <w:sz w:val="24"/>
            <w:szCs w:val="24"/>
            <w:u w:val="single"/>
          </w:rPr>
          <w:t>https://doi.org/10.1016/j.biopsych.2006.07.027</w:t>
        </w:r>
      </w:hyperlink>
    </w:p>
    <w:p w14:paraId="5C42D9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Andrés-Perpiña, S., Lozano-Serra, E., Puig, O., Lera-Miguel, S., Lázaro, L., &amp; Castro-Fornieles, J. (2011). Clinical and biological correlates of adolescent anorexia nervosa with impaired </w:t>
      </w:r>
      <w:r w:rsidRPr="005B38F0">
        <w:rPr>
          <w:rFonts w:ascii="Times New Roman" w:eastAsia="Times New Roman" w:hAnsi="Times New Roman" w:cs="Times New Roman"/>
          <w:sz w:val="24"/>
          <w:szCs w:val="24"/>
        </w:rPr>
        <w:lastRenderedPageBreak/>
        <w:t xml:space="preserve">cognitive profile. </w:t>
      </w:r>
      <w:r w:rsidRPr="005B38F0">
        <w:rPr>
          <w:rFonts w:ascii="Times New Roman" w:eastAsia="Times New Roman" w:hAnsi="Times New Roman" w:cs="Times New Roman"/>
          <w:i/>
          <w:iCs/>
          <w:sz w:val="24"/>
          <w:szCs w:val="24"/>
        </w:rPr>
        <w:t>European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(11–12), 541–549. </w:t>
      </w:r>
      <w:hyperlink r:id="rId147" w:history="1">
        <w:r w:rsidRPr="005B38F0">
          <w:rPr>
            <w:rFonts w:ascii="Times New Roman" w:eastAsia="Times New Roman" w:hAnsi="Times New Roman" w:cs="Times New Roman"/>
            <w:color w:val="0000FF"/>
            <w:sz w:val="24"/>
            <w:szCs w:val="24"/>
            <w:u w:val="single"/>
          </w:rPr>
          <w:t>https://doi.org/10.1007/s00787-011-0216-y</w:t>
        </w:r>
      </w:hyperlink>
    </w:p>
    <w:p w14:paraId="0B98E1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Andrikopoulos, J., &amp; Greiffenstein, M. F. (2012). Something to talk about? The status of post-traumatic stress disorder in clinical neuropsychology. In G. J. Larrabee &amp; G. J. Larrabee  (Ed) (Eds.), </w:t>
      </w:r>
      <w:r w:rsidRPr="005B38F0">
        <w:rPr>
          <w:rFonts w:ascii="Times New Roman" w:eastAsia="Times New Roman" w:hAnsi="Times New Roman" w:cs="Times New Roman"/>
          <w:i/>
          <w:iCs/>
          <w:sz w:val="24"/>
          <w:szCs w:val="24"/>
        </w:rPr>
        <w:t>Forensic neuropsychology: A scientific approach.</w:t>
      </w:r>
      <w:r w:rsidRPr="005B38F0">
        <w:rPr>
          <w:rFonts w:ascii="Times New Roman" w:eastAsia="Times New Roman" w:hAnsi="Times New Roman" w:cs="Times New Roman"/>
          <w:sz w:val="24"/>
          <w:szCs w:val="24"/>
        </w:rPr>
        <w:t xml:space="preserve"> (pp. 365–400). Oxford University Press. </w:t>
      </w:r>
      <w:hyperlink r:id="rId148" w:history="1">
        <w:r w:rsidRPr="005B38F0">
          <w:rPr>
            <w:rFonts w:ascii="Times New Roman" w:eastAsia="Times New Roman" w:hAnsi="Times New Roman" w:cs="Times New Roman"/>
            <w:color w:val="0000FF"/>
            <w:sz w:val="24"/>
            <w:szCs w:val="24"/>
            <w:u w:val="single"/>
          </w:rPr>
          <w:t>http://search.ebscohost.com/login.aspx?direct=true&amp;db=psyh&amp;AN=2011-27640-014&amp;site=ehost-live</w:t>
        </w:r>
      </w:hyperlink>
    </w:p>
    <w:p w14:paraId="031B77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Anestis, M. D., &amp; Joiner, T. E. (2012). Behaviorally-indexed distress tolerance and suicidality.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(6), 703–707. </w:t>
      </w:r>
      <w:hyperlink r:id="rId149" w:history="1">
        <w:r w:rsidRPr="005B38F0">
          <w:rPr>
            <w:rFonts w:ascii="Times New Roman" w:eastAsia="Times New Roman" w:hAnsi="Times New Roman" w:cs="Times New Roman"/>
            <w:color w:val="0000FF"/>
            <w:sz w:val="24"/>
            <w:szCs w:val="24"/>
            <w:u w:val="single"/>
          </w:rPr>
          <w:t>https://doi.org/10.1016/j.jpsychires.2012.02.015</w:t>
        </w:r>
      </w:hyperlink>
    </w:p>
    <w:p w14:paraId="4FCBDC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Angel, L., Fay, S., Bouazzaoui, B., &amp; Isingrini, M. (2010). Individual differences in executive functioning modulate age effects on the ERP correlates of retrieval success.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(12), 3540–3553. </w:t>
      </w:r>
      <w:hyperlink r:id="rId150" w:history="1">
        <w:r w:rsidRPr="005B38F0">
          <w:rPr>
            <w:rFonts w:ascii="Times New Roman" w:eastAsia="Times New Roman" w:hAnsi="Times New Roman" w:cs="Times New Roman"/>
            <w:color w:val="0000FF"/>
            <w:sz w:val="24"/>
            <w:szCs w:val="24"/>
            <w:u w:val="single"/>
          </w:rPr>
          <w:t>https://doi.org/10.1016/j.neuropsychologia.2010.08.003</w:t>
        </w:r>
      </w:hyperlink>
    </w:p>
    <w:p w14:paraId="5AC4D5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Angel, L., Fay, S., Bouazzaoui, B., &amp; Isingrini, M. (2011). Two hemispheres for better memory in old age: Role of executive functioning.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(12), 3767–3777. </w:t>
      </w:r>
      <w:hyperlink r:id="rId151" w:history="1">
        <w:r w:rsidRPr="005B38F0">
          <w:rPr>
            <w:rFonts w:ascii="Times New Roman" w:eastAsia="Times New Roman" w:hAnsi="Times New Roman" w:cs="Times New Roman"/>
            <w:color w:val="0000FF"/>
            <w:sz w:val="24"/>
            <w:szCs w:val="24"/>
            <w:u w:val="single"/>
          </w:rPr>
          <w:t>https://doi.org/10.1162/jocn_a_00104</w:t>
        </w:r>
      </w:hyperlink>
    </w:p>
    <w:p w14:paraId="4C493C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Angelillo, V. G., De Lucia, N., Trojano, L., &amp; Grossi, D. (2010). Persistent left unilateral mirror writing: A neuropsychological case study.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114</w:t>
      </w:r>
      <w:r w:rsidRPr="005B38F0">
        <w:rPr>
          <w:rFonts w:ascii="Times New Roman" w:eastAsia="Times New Roman" w:hAnsi="Times New Roman" w:cs="Times New Roman"/>
          <w:sz w:val="24"/>
          <w:szCs w:val="24"/>
        </w:rPr>
        <w:t xml:space="preserve">(3), 157–163. </w:t>
      </w:r>
      <w:hyperlink r:id="rId152" w:history="1">
        <w:r w:rsidRPr="005B38F0">
          <w:rPr>
            <w:rFonts w:ascii="Times New Roman" w:eastAsia="Times New Roman" w:hAnsi="Times New Roman" w:cs="Times New Roman"/>
            <w:color w:val="0000FF"/>
            <w:sz w:val="24"/>
            <w:szCs w:val="24"/>
            <w:u w:val="single"/>
          </w:rPr>
          <w:t>https://doi.org/10.1016/j.bandl.2010.04.003</w:t>
        </w:r>
      </w:hyperlink>
    </w:p>
    <w:p w14:paraId="30A12B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Anghinah, R., Rios Freire, F., Coelho, F., Rhein Lacerda, J., Taino Schmidt, M., Gonçalves Calado, V. T., Natuline Ianof, J., Machado, S., Velasques, B., Ribeiro, P., Hindi Basile, L. F., Silva Paiva, W., &amp; Amorim, R. L. (2013). BPSD following traumatic brain injury.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(3), 269–277. </w:t>
      </w:r>
      <w:hyperlink r:id="rId153" w:history="1">
        <w:r w:rsidRPr="005B38F0">
          <w:rPr>
            <w:rFonts w:ascii="Times New Roman" w:eastAsia="Times New Roman" w:hAnsi="Times New Roman" w:cs="Times New Roman"/>
            <w:color w:val="0000FF"/>
            <w:sz w:val="24"/>
            <w:szCs w:val="24"/>
            <w:u w:val="single"/>
          </w:rPr>
          <w:t>https://doi.org/10.1590/S1980-57642013DN70300007</w:t>
        </w:r>
      </w:hyperlink>
    </w:p>
    <w:p w14:paraId="3202FD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Angrilli, A., Sartori, G., &amp; Donzella, G. (2013). Cognitive, emotional and social markers of serial murdering.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(3), 485–494. </w:t>
      </w:r>
      <w:hyperlink r:id="rId154" w:history="1">
        <w:r w:rsidRPr="005B38F0">
          <w:rPr>
            <w:rFonts w:ascii="Times New Roman" w:eastAsia="Times New Roman" w:hAnsi="Times New Roman" w:cs="Times New Roman"/>
            <w:color w:val="0000FF"/>
            <w:sz w:val="24"/>
            <w:szCs w:val="24"/>
            <w:u w:val="single"/>
          </w:rPr>
          <w:t>https://doi.org/10.1080/13854046.2013.771215</w:t>
        </w:r>
      </w:hyperlink>
    </w:p>
    <w:p w14:paraId="37B388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Angrino, S. O., &amp; Panesso, I. C. (2007). Wisconsin Card Sorting Test en el estudio del déficit de atención con hiperactividad, trastornos psiquiátricos, autismo y vejez. [Wisconsin Card Sorting Test for the study of attention deficit with hyperactivity, psychiatric disorders, autism and aging.]. </w:t>
      </w:r>
      <w:r w:rsidRPr="005B38F0">
        <w:rPr>
          <w:rFonts w:ascii="Times New Roman" w:eastAsia="Times New Roman" w:hAnsi="Times New Roman" w:cs="Times New Roman"/>
          <w:i/>
          <w:iCs/>
          <w:sz w:val="24"/>
          <w:szCs w:val="24"/>
        </w:rPr>
        <w:t>Universitas 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(3), 637–648.</w:t>
      </w:r>
    </w:p>
    <w:p w14:paraId="7D8ABA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Anita, M., Zoltán, S., Nikoletta, B., Anna, S., Zoltán, J., &amp; Szabolcs, K. (2005). A prefrontális cortex neuropszichológiai vizsgálata major depresszív zavarban. [The neuropsychological assessment of the prefrontal cortex in major depressive disorder.]. </w:t>
      </w:r>
      <w:r w:rsidRPr="005B38F0">
        <w:rPr>
          <w:rFonts w:ascii="Times New Roman" w:eastAsia="Times New Roman" w:hAnsi="Times New Roman" w:cs="Times New Roman"/>
          <w:i/>
          <w:iCs/>
          <w:sz w:val="24"/>
          <w:szCs w:val="24"/>
        </w:rPr>
        <w:t>Psychiatria Hungarica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(6), 412–416.</w:t>
      </w:r>
    </w:p>
    <w:p w14:paraId="4E2D37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Ann, H. W., Jun, S., Shin, N.-Y., Han, S., Ahn, J. Y., Ahn, M. Y., Jeon, Y. D., Jung, I. Y., Kim, M. H., Jeong, W. Y., Ku, N. S., Kim, J. M., Smith, D. M., &amp; Choi, J. Y. (2016). Characteristics of resting-state functional connectivity in HIV-associated neurocognitive disorder.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(4).</w:t>
      </w:r>
    </w:p>
    <w:p w14:paraId="37A582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Anokhin, A. P., Heath, A. C., &amp; Ralano, A. (2003). Genetic influences on frontal brain function: WCST performance in twins.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(15), 1975–1978. </w:t>
      </w:r>
      <w:hyperlink r:id="rId155" w:history="1">
        <w:r w:rsidRPr="005B38F0">
          <w:rPr>
            <w:rFonts w:ascii="Times New Roman" w:eastAsia="Times New Roman" w:hAnsi="Times New Roman" w:cs="Times New Roman"/>
            <w:color w:val="0000FF"/>
            <w:sz w:val="24"/>
            <w:szCs w:val="24"/>
            <w:u w:val="single"/>
          </w:rPr>
          <w:t>https://doi.org/10.1097/00001756-200310270-00019</w:t>
        </w:r>
      </w:hyperlink>
    </w:p>
    <w:p w14:paraId="638B68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Anselmetti, S., Bechi, M., Bosia, M., Quarticelli, C., Ermoli, E., Smeraldi, E., &amp; Cavallaro, R. (2009). ‘Theory’ of mind impairment in patients affected by schizophrenia and in their parents.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115</w:t>
      </w:r>
      <w:r w:rsidRPr="005B38F0">
        <w:rPr>
          <w:rFonts w:ascii="Times New Roman" w:eastAsia="Times New Roman" w:hAnsi="Times New Roman" w:cs="Times New Roman"/>
          <w:sz w:val="24"/>
          <w:szCs w:val="24"/>
        </w:rPr>
        <w:t xml:space="preserve">(2–3), 278–285. </w:t>
      </w:r>
      <w:hyperlink r:id="rId156" w:history="1">
        <w:r w:rsidRPr="005B38F0">
          <w:rPr>
            <w:rFonts w:ascii="Times New Roman" w:eastAsia="Times New Roman" w:hAnsi="Times New Roman" w:cs="Times New Roman"/>
            <w:color w:val="0000FF"/>
            <w:sz w:val="24"/>
            <w:szCs w:val="24"/>
            <w:u w:val="single"/>
          </w:rPr>
          <w:t>https://doi.org/10.1016/j.schres.2009.09.018</w:t>
        </w:r>
      </w:hyperlink>
    </w:p>
    <w:p w14:paraId="762A2D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Antoniou, M., Gunasekera, G. M., &amp; Wong, P. C. M. (2013). Foreign language training as cognitive therapy for age-related cognitive decline: A hypothesis for future research. </w:t>
      </w:r>
      <w:r w:rsidRPr="005B38F0">
        <w:rPr>
          <w:rFonts w:ascii="Times New Roman" w:eastAsia="Times New Roman" w:hAnsi="Times New Roman" w:cs="Times New Roman"/>
          <w:i/>
          <w:iCs/>
          <w:sz w:val="24"/>
          <w:szCs w:val="24"/>
        </w:rPr>
        <w:t>Neuroscience and Biobehavioral Reviews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(10, Part 2), 2689–2698. </w:t>
      </w:r>
      <w:hyperlink r:id="rId157" w:history="1">
        <w:r w:rsidRPr="005B38F0">
          <w:rPr>
            <w:rFonts w:ascii="Times New Roman" w:eastAsia="Times New Roman" w:hAnsi="Times New Roman" w:cs="Times New Roman"/>
            <w:color w:val="0000FF"/>
            <w:sz w:val="24"/>
            <w:szCs w:val="24"/>
            <w:u w:val="single"/>
          </w:rPr>
          <w:t>https://doi.org/10.1016/j.neubiorev.2013.09.004</w:t>
        </w:r>
      </w:hyperlink>
    </w:p>
    <w:p w14:paraId="4B29C6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Antonova, E., Kumari, V., Morris, R., Halari, R., Anilkumar, A., Mehrotra, R., &amp; Sharma, T. (2005). The Relationship of Structural Alterations to Cognitive Deficits in Schizophrenia: A Voxel-Based Morphometry Study.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(6), 457–467. </w:t>
      </w:r>
      <w:hyperlink r:id="rId158" w:history="1">
        <w:r w:rsidRPr="005B38F0">
          <w:rPr>
            <w:rFonts w:ascii="Times New Roman" w:eastAsia="Times New Roman" w:hAnsi="Times New Roman" w:cs="Times New Roman"/>
            <w:color w:val="0000FF"/>
            <w:sz w:val="24"/>
            <w:szCs w:val="24"/>
            <w:u w:val="single"/>
          </w:rPr>
          <w:t>https://doi.org/10.1016/j.biopsych.2005.04.036</w:t>
        </w:r>
      </w:hyperlink>
    </w:p>
    <w:p w14:paraId="1CAF81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Hier, B., Fremont, W., Faraone, S. V., &amp; Kates, W. (2014). Predicting reading comprehension academic achievement in late adolescents with velo‐cardio‐facial (22q11.2 deletion) syndrome (VCFS): A longitudinal study. </w:t>
      </w:r>
      <w:r w:rsidRPr="005B38F0">
        <w:rPr>
          <w:rFonts w:ascii="Times New Roman" w:eastAsia="Times New Roman" w:hAnsi="Times New Roman" w:cs="Times New Roman"/>
          <w:i/>
          <w:iCs/>
          <w:sz w:val="24"/>
          <w:szCs w:val="24"/>
        </w:rPr>
        <w:t>Journal of Intellectual Disability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(10), 926–939. </w:t>
      </w:r>
      <w:hyperlink r:id="rId159" w:history="1">
        <w:r w:rsidRPr="005B38F0">
          <w:rPr>
            <w:rFonts w:ascii="Times New Roman" w:eastAsia="Times New Roman" w:hAnsi="Times New Roman" w:cs="Times New Roman"/>
            <w:color w:val="0000FF"/>
            <w:sz w:val="24"/>
            <w:szCs w:val="24"/>
            <w:u w:val="single"/>
          </w:rPr>
          <w:t>https://doi.org/10.1111/jir.12134</w:t>
        </w:r>
      </w:hyperlink>
    </w:p>
    <w:p w14:paraId="13FC3D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(2013). </w:t>
      </w:r>
      <w:r w:rsidRPr="005B38F0">
        <w:rPr>
          <w:rFonts w:ascii="Times New Roman" w:eastAsia="Times New Roman" w:hAnsi="Times New Roman" w:cs="Times New Roman"/>
          <w:i/>
          <w:iCs/>
          <w:sz w:val="24"/>
          <w:szCs w:val="24"/>
        </w:rPr>
        <w:t>Attention deficit/hyperactivity disorder (ADHD): Response.</w:t>
      </w:r>
      <w:r w:rsidRPr="005B38F0">
        <w:rPr>
          <w:rFonts w:ascii="Times New Roman" w:eastAsia="Times New Roman" w:hAnsi="Times New Roman" w:cs="Times New Roman"/>
          <w:sz w:val="24"/>
          <w:szCs w:val="24"/>
        </w:rPr>
        <w:t xml:space="preserve"> (p. 53). Oxford University Press. </w:t>
      </w:r>
      <w:hyperlink r:id="rId160" w:history="1">
        <w:r w:rsidRPr="005B38F0">
          <w:rPr>
            <w:rFonts w:ascii="Times New Roman" w:eastAsia="Times New Roman" w:hAnsi="Times New Roman" w:cs="Times New Roman"/>
            <w:color w:val="0000FF"/>
            <w:sz w:val="24"/>
            <w:szCs w:val="24"/>
            <w:u w:val="single"/>
          </w:rPr>
          <w:t>https://doi.org/10.1093/med:psych/9780199733668.003.0020</w:t>
        </w:r>
      </w:hyperlink>
    </w:p>
    <w:p w14:paraId="4EC94A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Aneja, A., Strunge, L., Peebles, J., Fremont, W. P., Stallone, K., AbdulSabur, N., Higgins, A. M., Shprintzen, R. J., &amp; Kates, W. R. (2007). Autistic spectrum disorders in velo-cardio facial syndrome (22q11.2 deletion).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(9), 1776–1786. </w:t>
      </w:r>
      <w:hyperlink r:id="rId161" w:history="1">
        <w:r w:rsidRPr="005B38F0">
          <w:rPr>
            <w:rFonts w:ascii="Times New Roman" w:eastAsia="Times New Roman" w:hAnsi="Times New Roman" w:cs="Times New Roman"/>
            <w:color w:val="0000FF"/>
            <w:sz w:val="24"/>
            <w:szCs w:val="24"/>
            <w:u w:val="single"/>
          </w:rPr>
          <w:t>https://doi.org/10.1007/s10803-006-0308-6</w:t>
        </w:r>
      </w:hyperlink>
    </w:p>
    <w:p w14:paraId="1B42D1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&amp; Barkley, R. (2011). Children with ADHD grown up. </w:t>
      </w:r>
      <w:r w:rsidRPr="005B38F0">
        <w:rPr>
          <w:rFonts w:ascii="Times New Roman" w:eastAsia="Times New Roman" w:hAnsi="Times New Roman" w:cs="Times New Roman"/>
          <w:i/>
          <w:iCs/>
          <w:sz w:val="24"/>
          <w:szCs w:val="24"/>
        </w:rPr>
        <w:t>Learning and Attention Disorders in Adolescence and Adulthood: Assessment and Treatment, 2nd Ed.</w:t>
      </w:r>
      <w:r w:rsidRPr="005B38F0">
        <w:rPr>
          <w:rFonts w:ascii="Times New Roman" w:eastAsia="Times New Roman" w:hAnsi="Times New Roman" w:cs="Times New Roman"/>
          <w:sz w:val="24"/>
          <w:szCs w:val="24"/>
        </w:rPr>
        <w:t>, 113–134.</w:t>
      </w:r>
    </w:p>
    <w:p w14:paraId="6D6CD3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Biederman, J., Spencer, T. J., &amp; Faraone, S. V. (2016). The neuropsychological profile of comorbid post-traumatic stress disorder in adult ADHD.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(12), 1047–1055. </w:t>
      </w:r>
      <w:hyperlink r:id="rId162" w:history="1">
        <w:r w:rsidRPr="005B38F0">
          <w:rPr>
            <w:rFonts w:ascii="Times New Roman" w:eastAsia="Times New Roman" w:hAnsi="Times New Roman" w:cs="Times New Roman"/>
            <w:color w:val="0000FF"/>
            <w:sz w:val="24"/>
            <w:szCs w:val="24"/>
            <w:u w:val="single"/>
          </w:rPr>
          <w:t>https://doi.org/10.1177/1087054714522512</w:t>
        </w:r>
      </w:hyperlink>
    </w:p>
    <w:p w14:paraId="02EC5D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Epstein, I. O., &amp; Waisbren, S. E. (2004). Cognitive Strengths and Weaknesses in Children and Adolescents Homozygous for the Galactosemia Q188R Mutation: A Descriptive Study.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658–664. </w:t>
      </w:r>
      <w:hyperlink r:id="rId163" w:history="1">
        <w:r w:rsidRPr="005B38F0">
          <w:rPr>
            <w:rFonts w:ascii="Times New Roman" w:eastAsia="Times New Roman" w:hAnsi="Times New Roman" w:cs="Times New Roman"/>
            <w:color w:val="0000FF"/>
            <w:sz w:val="24"/>
            <w:szCs w:val="24"/>
            <w:u w:val="single"/>
          </w:rPr>
          <w:t>https://doi.org/10.1037/0894-4105.18.4.658</w:t>
        </w:r>
      </w:hyperlink>
    </w:p>
    <w:p w14:paraId="40CAC5B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Antshel, K. M., Faraone, S. V., Maglione, K., Doyle, A. E., Fried, R., Seidman, L. J., &amp; Biederman, J. (2010). Executive functioning in high-IQ adults with ADHD.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(11), 1909–1918. </w:t>
      </w:r>
      <w:hyperlink r:id="rId164" w:history="1">
        <w:r w:rsidRPr="005B38F0">
          <w:rPr>
            <w:rFonts w:ascii="Times New Roman" w:eastAsia="Times New Roman" w:hAnsi="Times New Roman" w:cs="Times New Roman"/>
            <w:color w:val="0000FF"/>
            <w:sz w:val="24"/>
            <w:szCs w:val="24"/>
            <w:u w:val="single"/>
          </w:rPr>
          <w:t>https://doi.org/10.1017/S0033291709992273</w:t>
        </w:r>
      </w:hyperlink>
    </w:p>
    <w:p w14:paraId="3E0F16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Fremont, W., Ramanathan, S., &amp; Kates, W. R. (2017). Predicting cognition and psychosis in young adults with 22q11.2 deletion syndrome.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(4), 833–842.</w:t>
      </w:r>
    </w:p>
    <w:p w14:paraId="63D4BA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Hendricks, K., Shprintzen, R., Fremont, W., Higgins, A. M., Faraone, S. V., &amp; Kates, W. R. (2013). The longitudinal course of attention deficit/hyperactivity disorder in velo-cardio-facial syndrome. </w:t>
      </w:r>
      <w:r w:rsidRPr="005B38F0">
        <w:rPr>
          <w:rFonts w:ascii="Times New Roman" w:eastAsia="Times New Roman" w:hAnsi="Times New Roman" w:cs="Times New Roman"/>
          <w:i/>
          <w:iCs/>
          <w:sz w:val="24"/>
          <w:szCs w:val="24"/>
        </w:rPr>
        <w:t>The Journal of Pediatrics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163</w:t>
      </w:r>
      <w:r w:rsidRPr="005B38F0">
        <w:rPr>
          <w:rFonts w:ascii="Times New Roman" w:eastAsia="Times New Roman" w:hAnsi="Times New Roman" w:cs="Times New Roman"/>
          <w:sz w:val="24"/>
          <w:szCs w:val="24"/>
        </w:rPr>
        <w:t xml:space="preserve">(1), 187–193. </w:t>
      </w:r>
      <w:hyperlink r:id="rId165" w:history="1">
        <w:r w:rsidRPr="005B38F0">
          <w:rPr>
            <w:rFonts w:ascii="Times New Roman" w:eastAsia="Times New Roman" w:hAnsi="Times New Roman" w:cs="Times New Roman"/>
            <w:color w:val="0000FF"/>
            <w:sz w:val="24"/>
            <w:szCs w:val="24"/>
            <w:u w:val="single"/>
          </w:rPr>
          <w:t>https://doi.org/10.1016/j.jpeds.2012.12.026</w:t>
        </w:r>
      </w:hyperlink>
    </w:p>
    <w:p w14:paraId="730CAE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Antshel, K. M., Shprintzen, R., Fremont, W., Higgins, A. M., Faraone, S. V., &amp; Kates, W. R. (2010). Cognitive and psychiatric predictors to psychosis in velocardiofacial syndrome: A 3-year follow-up study. </w:t>
      </w:r>
      <w:r w:rsidRPr="005B38F0">
        <w:rPr>
          <w:rFonts w:ascii="Times New Roman" w:eastAsia="Times New Roman" w:hAnsi="Times New Roman" w:cs="Times New Roman"/>
          <w:i/>
          <w:iCs/>
          <w:sz w:val="24"/>
          <w:szCs w:val="24"/>
        </w:rPr>
        <w:t>Journal of the American Academy of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333–344. </w:t>
      </w:r>
      <w:hyperlink r:id="rId166" w:history="1">
        <w:r w:rsidRPr="005B38F0">
          <w:rPr>
            <w:rFonts w:ascii="Times New Roman" w:eastAsia="Times New Roman" w:hAnsi="Times New Roman" w:cs="Times New Roman"/>
            <w:color w:val="0000FF"/>
            <w:sz w:val="24"/>
            <w:szCs w:val="24"/>
            <w:u w:val="single"/>
          </w:rPr>
          <w:t>https://doi.org/10.1097/00004583-201004000-00008</w:t>
        </w:r>
      </w:hyperlink>
    </w:p>
    <w:p w14:paraId="488822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Anuradha, S., Singh, P., &amp; Jahan, M. (2012). Efficacy of cognitive remediation in epilepsy. </w:t>
      </w:r>
      <w:r w:rsidRPr="005B38F0">
        <w:rPr>
          <w:rFonts w:ascii="Times New Roman" w:eastAsia="Times New Roman" w:hAnsi="Times New Roman" w:cs="Times New Roman"/>
          <w:i/>
          <w:iCs/>
          <w:sz w:val="24"/>
          <w:szCs w:val="24"/>
        </w:rPr>
        <w:t>Journal of Psychosocial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(2), 177–188.</w:t>
      </w:r>
    </w:p>
    <w:p w14:paraId="299147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Anuradha, S., Singh, P., &amp; Jahan, M. (2015). Quality of life in epilepsy—Before and after intervention. </w:t>
      </w:r>
      <w:r w:rsidRPr="005B38F0">
        <w:rPr>
          <w:rFonts w:ascii="Times New Roman" w:eastAsia="Times New Roman" w:hAnsi="Times New Roman" w:cs="Times New Roman"/>
          <w:i/>
          <w:iCs/>
          <w:sz w:val="24"/>
          <w:szCs w:val="24"/>
        </w:rPr>
        <w:t>Journal of Psychosocial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(2), 373–384.</w:t>
      </w:r>
    </w:p>
    <w:p w14:paraId="456308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Aoki, J., Iwahashi, K., Ishigooka, J., &amp; Ikeda, K. (2011). Association study on catechol-O-methyltransferase (COMT) Val158Met gene polymorphism and NEO-FFI.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312–313. </w:t>
      </w:r>
      <w:hyperlink r:id="rId167" w:history="1">
        <w:r w:rsidRPr="005B38F0">
          <w:rPr>
            <w:rFonts w:ascii="Times New Roman" w:eastAsia="Times New Roman" w:hAnsi="Times New Roman" w:cs="Times New Roman"/>
            <w:color w:val="0000FF"/>
            <w:sz w:val="24"/>
            <w:szCs w:val="24"/>
            <w:u w:val="single"/>
          </w:rPr>
          <w:t>https://doi.org/10.1016/j.psychres.2010.09.015</w:t>
        </w:r>
      </w:hyperlink>
    </w:p>
    <w:p w14:paraId="033871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Apfelbaum, E. P., Krendl, A. C., &amp; Ambady, N. (2010). Age-related decline in executive function predicts better advice-giving in uncomfortable social contexts. </w:t>
      </w:r>
      <w:r w:rsidRPr="005B38F0">
        <w:rPr>
          <w:rFonts w:ascii="Times New Roman" w:eastAsia="Times New Roman" w:hAnsi="Times New Roman" w:cs="Times New Roman"/>
          <w:i/>
          <w:iCs/>
          <w:sz w:val="24"/>
          <w:szCs w:val="24"/>
        </w:rPr>
        <w:t>Journal of Experimental Social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(6), 1074–1077. </w:t>
      </w:r>
      <w:hyperlink r:id="rId168" w:history="1">
        <w:r w:rsidRPr="005B38F0">
          <w:rPr>
            <w:rFonts w:ascii="Times New Roman" w:eastAsia="Times New Roman" w:hAnsi="Times New Roman" w:cs="Times New Roman"/>
            <w:color w:val="0000FF"/>
            <w:sz w:val="24"/>
            <w:szCs w:val="24"/>
            <w:u w:val="single"/>
          </w:rPr>
          <w:t>https://doi.org/10.1016/j.jesp.2010.07.017</w:t>
        </w:r>
      </w:hyperlink>
    </w:p>
    <w:p w14:paraId="275E7E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Apicella, F., Sicca, F., Federico, R. R., Campatelli, G., &amp; Muratori, F. (2013). Fusiform Gyrus responses to neutral and emotional faces in children with Autism Spectrum Disorders: A High Density ERP study. </w:t>
      </w:r>
      <w:r w:rsidRPr="005B38F0">
        <w:rPr>
          <w:rFonts w:ascii="Times New Roman" w:eastAsia="Times New Roman" w:hAnsi="Times New Roman" w:cs="Times New Roman"/>
          <w:i/>
          <w:iCs/>
          <w:sz w:val="24"/>
          <w:szCs w:val="24"/>
        </w:rPr>
        <w:t>Behavioural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251</w:t>
      </w:r>
      <w:r w:rsidRPr="005B38F0">
        <w:rPr>
          <w:rFonts w:ascii="Times New Roman" w:eastAsia="Times New Roman" w:hAnsi="Times New Roman" w:cs="Times New Roman"/>
          <w:sz w:val="24"/>
          <w:szCs w:val="24"/>
        </w:rPr>
        <w:t xml:space="preserve">, 155–162. </w:t>
      </w:r>
      <w:hyperlink r:id="rId169" w:history="1">
        <w:r w:rsidRPr="005B38F0">
          <w:rPr>
            <w:rFonts w:ascii="Times New Roman" w:eastAsia="Times New Roman" w:hAnsi="Times New Roman" w:cs="Times New Roman"/>
            <w:color w:val="0000FF"/>
            <w:sz w:val="24"/>
            <w:szCs w:val="24"/>
            <w:u w:val="single"/>
          </w:rPr>
          <w:t>https://doi.org/10.1016/j.bbr.2012.10.040</w:t>
        </w:r>
      </w:hyperlink>
    </w:p>
    <w:p w14:paraId="6F1930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Apkarian, A. V., Sosa, Y., Krauss, B. R., Thomas, P. S., Fredrickson, B. E., Levy, R. E., Harden, R. N., &amp; Chialvo, D. R. (2004). Chronic pain patients are impaired on an emotional decision-making task. </w:t>
      </w:r>
      <w:r w:rsidRPr="005B38F0">
        <w:rPr>
          <w:rFonts w:ascii="Times New Roman" w:eastAsia="Times New Roman" w:hAnsi="Times New Roman" w:cs="Times New Roman"/>
          <w:i/>
          <w:iCs/>
          <w:sz w:val="24"/>
          <w:szCs w:val="24"/>
        </w:rPr>
        <w:t>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108</w:t>
      </w:r>
      <w:r w:rsidRPr="005B38F0">
        <w:rPr>
          <w:rFonts w:ascii="Times New Roman" w:eastAsia="Times New Roman" w:hAnsi="Times New Roman" w:cs="Times New Roman"/>
          <w:sz w:val="24"/>
          <w:szCs w:val="24"/>
        </w:rPr>
        <w:t xml:space="preserve">(1–2), 129–136. </w:t>
      </w:r>
      <w:hyperlink r:id="rId170" w:history="1">
        <w:r w:rsidRPr="005B38F0">
          <w:rPr>
            <w:rFonts w:ascii="Times New Roman" w:eastAsia="Times New Roman" w:hAnsi="Times New Roman" w:cs="Times New Roman"/>
            <w:color w:val="0000FF"/>
            <w:sz w:val="24"/>
            <w:szCs w:val="24"/>
            <w:u w:val="single"/>
          </w:rPr>
          <w:t>https://doi.org/10.1016/j.pain.2003.12.015</w:t>
        </w:r>
      </w:hyperlink>
    </w:p>
    <w:p w14:paraId="345803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Dinov, I. D., Dutton, R. A., Hayashi, K. M., Toga, A. W., Cummings, J. L., &amp; Thompson, P. M. (2006). 3D comparison of hippocampal atrophy in amnestic mild cognitive impairment and Alzheimer’s disease.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(11), 2867–2873. </w:t>
      </w:r>
      <w:hyperlink r:id="rId171" w:history="1">
        <w:r w:rsidRPr="005B38F0">
          <w:rPr>
            <w:rFonts w:ascii="Times New Roman" w:eastAsia="Times New Roman" w:hAnsi="Times New Roman" w:cs="Times New Roman"/>
            <w:color w:val="0000FF"/>
            <w:sz w:val="24"/>
            <w:szCs w:val="24"/>
            <w:u w:val="single"/>
          </w:rPr>
          <w:t>https://doi.org/10.1093/brain/awl274</w:t>
        </w:r>
      </w:hyperlink>
    </w:p>
    <w:p w14:paraId="2F84A7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Apostolova, L. G., Green, A. E., Babakchanian, S., Hwang, K. S., Chou, Y.-Y., Toga, A. W., &amp; Thompson, P. M. (2012). Hippocampal atrophy and ventricular enlargements in normal aging, mild cognitive impairment (MCI), and Alzheimers disease. </w:t>
      </w:r>
      <w:r w:rsidRPr="005B38F0">
        <w:rPr>
          <w:rFonts w:ascii="Times New Roman" w:eastAsia="Times New Roman" w:hAnsi="Times New Roman" w:cs="Times New Roman"/>
          <w:i/>
          <w:iCs/>
          <w:sz w:val="24"/>
          <w:szCs w:val="24"/>
        </w:rPr>
        <w:t>Alzheimer Disease and Associated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17–26. </w:t>
      </w:r>
      <w:hyperlink r:id="rId172" w:history="1">
        <w:r w:rsidRPr="005B38F0">
          <w:rPr>
            <w:rFonts w:ascii="Times New Roman" w:eastAsia="Times New Roman" w:hAnsi="Times New Roman" w:cs="Times New Roman"/>
            <w:color w:val="0000FF"/>
            <w:sz w:val="24"/>
            <w:szCs w:val="24"/>
            <w:u w:val="single"/>
          </w:rPr>
          <w:t>https://doi.org/10.1097/WAD.0b013e3182163b62</w:t>
        </w:r>
      </w:hyperlink>
    </w:p>
    <w:p w14:paraId="0F1208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Klement, I., Bronstein, Y., Vinters, H. V., &amp; Cummings, J. L. (2006). Multiple system atrophy presenting with language impairment.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(4), 726–727. </w:t>
      </w:r>
      <w:hyperlink r:id="rId173" w:history="1">
        <w:r w:rsidRPr="005B38F0">
          <w:rPr>
            <w:rFonts w:ascii="Times New Roman" w:eastAsia="Times New Roman" w:hAnsi="Times New Roman" w:cs="Times New Roman"/>
            <w:color w:val="0000FF"/>
            <w:sz w:val="24"/>
            <w:szCs w:val="24"/>
            <w:u w:val="single"/>
          </w:rPr>
          <w:t>https://doi.org/10.1212/01.wnl.0000230136.82118.16</w:t>
        </w:r>
      </w:hyperlink>
    </w:p>
    <w:p w14:paraId="41E237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Apostolova, L. G., Lu, P. H., Rogers, S., Dutton, R. A., Hayashi, K. M., Toga, A. W., Cummings, J. L., &amp; Thompson, P. M. (2006). 3D Mapping of Mini-mental State Examination Performance in Clinical and Preclinical Alzheimer Disease. </w:t>
      </w:r>
      <w:r w:rsidRPr="005B38F0">
        <w:rPr>
          <w:rFonts w:ascii="Times New Roman" w:eastAsia="Times New Roman" w:hAnsi="Times New Roman" w:cs="Times New Roman"/>
          <w:i/>
          <w:iCs/>
          <w:sz w:val="24"/>
          <w:szCs w:val="24"/>
        </w:rPr>
        <w:t>Alzheimer Disease and Associated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(4), 224–231. </w:t>
      </w:r>
      <w:hyperlink r:id="rId174" w:history="1">
        <w:r w:rsidRPr="005B38F0">
          <w:rPr>
            <w:rFonts w:ascii="Times New Roman" w:eastAsia="Times New Roman" w:hAnsi="Times New Roman" w:cs="Times New Roman"/>
            <w:color w:val="0000FF"/>
            <w:sz w:val="24"/>
            <w:szCs w:val="24"/>
            <w:u w:val="single"/>
          </w:rPr>
          <w:t>https://doi.org/10.1097/01.wad.0000213857.89613.10</w:t>
        </w:r>
      </w:hyperlink>
    </w:p>
    <w:p w14:paraId="1E816E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Appels, M. C. M., Sitskoorn, M. M., Westers, P., Lems, E., &amp; Kahn, R. S. (2003). Cognitive dysfunctions in parents of schizophrenic patients parallel the deficits found in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 xml:space="preserve">(3), 285–293. </w:t>
      </w:r>
      <w:hyperlink r:id="rId175" w:history="1">
        <w:r w:rsidRPr="005B38F0">
          <w:rPr>
            <w:rFonts w:ascii="Times New Roman" w:eastAsia="Times New Roman" w:hAnsi="Times New Roman" w:cs="Times New Roman"/>
            <w:color w:val="0000FF"/>
            <w:sz w:val="24"/>
            <w:szCs w:val="24"/>
            <w:u w:val="single"/>
          </w:rPr>
          <w:t>https://doi.org/10.1016/S0920-9964(02)00342-0</w:t>
        </w:r>
      </w:hyperlink>
    </w:p>
    <w:p w14:paraId="6682D0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Apperly, I. A., Samson, D., Carroll, N., Hussain, S., &amp; Humphreys, G. (2006). Intact first- and second-order false belief reasoning in a patient with severely impaired grammar. </w:t>
      </w:r>
      <w:r w:rsidRPr="005B38F0">
        <w:rPr>
          <w:rFonts w:ascii="Times New Roman" w:eastAsia="Times New Roman" w:hAnsi="Times New Roman" w:cs="Times New Roman"/>
          <w:i/>
          <w:iCs/>
          <w:sz w:val="24"/>
          <w:szCs w:val="24"/>
        </w:rPr>
        <w:t>Social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xml:space="preserve">(3–4), 334–348. </w:t>
      </w:r>
      <w:hyperlink r:id="rId176" w:history="1">
        <w:r w:rsidRPr="005B38F0">
          <w:rPr>
            <w:rFonts w:ascii="Times New Roman" w:eastAsia="Times New Roman" w:hAnsi="Times New Roman" w:cs="Times New Roman"/>
            <w:color w:val="0000FF"/>
            <w:sz w:val="24"/>
            <w:szCs w:val="24"/>
            <w:u w:val="single"/>
          </w:rPr>
          <w:t>https://doi.org/10.1080/17470910601038693</w:t>
        </w:r>
      </w:hyperlink>
    </w:p>
    <w:p w14:paraId="43796E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Apps, J. N., &amp; Pflugradt, D. (2008). On eggshells: Pediatric bipolar disorder. In </w:t>
      </w:r>
      <w:r w:rsidRPr="005B38F0">
        <w:rPr>
          <w:rFonts w:ascii="Times New Roman" w:eastAsia="Times New Roman" w:hAnsi="Times New Roman" w:cs="Times New Roman"/>
          <w:i/>
          <w:iCs/>
          <w:sz w:val="24"/>
          <w:szCs w:val="24"/>
        </w:rPr>
        <w:t>Pediatric neuropsychology case studies: From the exceptional to the commonplace.</w:t>
      </w:r>
      <w:r w:rsidRPr="005B38F0">
        <w:rPr>
          <w:rFonts w:ascii="Times New Roman" w:eastAsia="Times New Roman" w:hAnsi="Times New Roman" w:cs="Times New Roman"/>
          <w:sz w:val="24"/>
          <w:szCs w:val="24"/>
        </w:rPr>
        <w:t xml:space="preserve"> (pp. 245–253). Springer Science + Business Media. </w:t>
      </w:r>
      <w:hyperlink r:id="rId177" w:history="1">
        <w:r w:rsidRPr="005B38F0">
          <w:rPr>
            <w:rFonts w:ascii="Times New Roman" w:eastAsia="Times New Roman" w:hAnsi="Times New Roman" w:cs="Times New Roman"/>
            <w:color w:val="0000FF"/>
            <w:sz w:val="24"/>
            <w:szCs w:val="24"/>
            <w:u w:val="single"/>
          </w:rPr>
          <w:t>https://doi.org/10.1007/978-0-387-78965-1_24</w:t>
        </w:r>
      </w:hyperlink>
    </w:p>
    <w:p w14:paraId="248CF1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Aragues, M., Jurado, R., Quinto, R., &amp; Rubio, G. (2011). Laboratory paradigms of impulsivity and alcohol dependence: A review. </w:t>
      </w:r>
      <w:r w:rsidRPr="005B38F0">
        <w:rPr>
          <w:rFonts w:ascii="Times New Roman" w:eastAsia="Times New Roman" w:hAnsi="Times New Roman" w:cs="Times New Roman"/>
          <w:i/>
          <w:iCs/>
          <w:sz w:val="24"/>
          <w:szCs w:val="24"/>
        </w:rPr>
        <w:t>European Addiction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64–71. </w:t>
      </w:r>
      <w:hyperlink r:id="rId178" w:history="1">
        <w:r w:rsidRPr="005B38F0">
          <w:rPr>
            <w:rFonts w:ascii="Times New Roman" w:eastAsia="Times New Roman" w:hAnsi="Times New Roman" w:cs="Times New Roman"/>
            <w:color w:val="0000FF"/>
            <w:sz w:val="24"/>
            <w:szCs w:val="24"/>
            <w:u w:val="single"/>
          </w:rPr>
          <w:t>https://doi.org/10.1159/000321345</w:t>
        </w:r>
      </w:hyperlink>
    </w:p>
    <w:p w14:paraId="4E2A1E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Aral, A., Say, G. N., Gerdan, G., Usta, M. B., &amp; Aral, A. E. (2020). The role of sociodemographic, clinical and neuropsychological variables in suicide attempts in depressed adolescents.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(4), 312–317.</w:t>
      </w:r>
    </w:p>
    <w:p w14:paraId="40D212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 Filippetti, V., &amp; Krumm, G. (2020). A hierarchical model of cognitive flexibility in children: Extending the relationship between flexibility, creativity and academic achievement.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770–800. </w:t>
      </w:r>
      <w:hyperlink r:id="rId179" w:history="1">
        <w:r w:rsidRPr="005B38F0">
          <w:rPr>
            <w:rFonts w:ascii="Times New Roman" w:eastAsia="Times New Roman" w:hAnsi="Times New Roman" w:cs="Times New Roman"/>
            <w:color w:val="0000FF"/>
            <w:sz w:val="24"/>
            <w:szCs w:val="24"/>
            <w:u w:val="single"/>
          </w:rPr>
          <w:t>https://doi.org/10.1080/09297049.2019.1711034</w:t>
        </w:r>
      </w:hyperlink>
    </w:p>
    <w:p w14:paraId="561DB6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 Filippetti, V., &amp; Richaud, M. C. (2017). A structural equation modeling of executive functions, IQ and mathematical skills in primary students: Differential effects on number production, mental calculus and arithmetical problems.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(7), 864–888.</w:t>
      </w:r>
    </w:p>
    <w:p w14:paraId="4CF44C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 Filippetti, V., Richaud, M. C., Krumm, G., &amp; Raimondi, W. (2021). Cognitive and socioeconomic predictors of Stroop performance in children and developmental patterns </w:t>
      </w:r>
      <w:r w:rsidRPr="005B38F0">
        <w:rPr>
          <w:rFonts w:ascii="Times New Roman" w:eastAsia="Times New Roman" w:hAnsi="Times New Roman" w:cs="Times New Roman"/>
          <w:sz w:val="24"/>
          <w:szCs w:val="24"/>
        </w:rPr>
        <w:lastRenderedPageBreak/>
        <w:t xml:space="preserve">according to socioeconomic status and ADHD subtype.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(2), 183–206. </w:t>
      </w:r>
      <w:hyperlink r:id="rId180" w:history="1">
        <w:r w:rsidRPr="005B38F0">
          <w:rPr>
            <w:rFonts w:ascii="Times New Roman" w:eastAsia="Times New Roman" w:hAnsi="Times New Roman" w:cs="Times New Roman"/>
            <w:color w:val="0000FF"/>
            <w:sz w:val="24"/>
            <w:szCs w:val="24"/>
            <w:u w:val="single"/>
          </w:rPr>
          <w:t>https://doi.org/10.1037/pne0000224</w:t>
        </w:r>
      </w:hyperlink>
    </w:p>
    <w:p w14:paraId="533245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(2013). Structure and invariance of executive functioning tasks across socioeconomic status: Evidence from Spanish-speaking children.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 </w:t>
      </w:r>
      <w:hyperlink r:id="rId181" w:history="1">
        <w:r w:rsidRPr="005B38F0">
          <w:rPr>
            <w:rFonts w:ascii="Times New Roman" w:eastAsia="Times New Roman" w:hAnsi="Times New Roman" w:cs="Times New Roman"/>
            <w:color w:val="0000FF"/>
            <w:sz w:val="24"/>
            <w:szCs w:val="24"/>
            <w:u w:val="single"/>
          </w:rPr>
          <w:t>https://doi.org/10.1017/sjp.2013.102</w:t>
        </w:r>
      </w:hyperlink>
    </w:p>
    <w:p w14:paraId="4AA736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&amp; de Minzi, M. C. R. (2012). A structural analysis of executive functions and socioeconomic status in school-age children: Cognitive factors as effect mediators. </w:t>
      </w:r>
      <w:r w:rsidRPr="005B38F0">
        <w:rPr>
          <w:rFonts w:ascii="Times New Roman" w:eastAsia="Times New Roman" w:hAnsi="Times New Roman" w:cs="Times New Roman"/>
          <w:i/>
          <w:iCs/>
          <w:sz w:val="24"/>
          <w:szCs w:val="24"/>
        </w:rPr>
        <w:t>The Journal of Genetic Psychology: Research and Theory on Human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173</w:t>
      </w:r>
      <w:r w:rsidRPr="005B38F0">
        <w:rPr>
          <w:rFonts w:ascii="Times New Roman" w:eastAsia="Times New Roman" w:hAnsi="Times New Roman" w:cs="Times New Roman"/>
          <w:sz w:val="24"/>
          <w:szCs w:val="24"/>
        </w:rPr>
        <w:t xml:space="preserve">(4), 393–416. </w:t>
      </w:r>
      <w:hyperlink r:id="rId182" w:history="1">
        <w:r w:rsidRPr="005B38F0">
          <w:rPr>
            <w:rFonts w:ascii="Times New Roman" w:eastAsia="Times New Roman" w:hAnsi="Times New Roman" w:cs="Times New Roman"/>
            <w:color w:val="0000FF"/>
            <w:sz w:val="24"/>
            <w:szCs w:val="24"/>
            <w:u w:val="single"/>
          </w:rPr>
          <w:t>https://doi.org/10.1080/00221325.2011.602374</w:t>
        </w:r>
      </w:hyperlink>
    </w:p>
    <w:p w14:paraId="0BDAA3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&amp; Krumm, G. L. (2013). Executive functions and attention in school-age children according to the behavioral profile rated by their teachers. </w:t>
      </w:r>
      <w:r w:rsidRPr="005B38F0">
        <w:rPr>
          <w:rFonts w:ascii="Times New Roman" w:eastAsia="Times New Roman" w:hAnsi="Times New Roman" w:cs="Times New Roman"/>
          <w:i/>
          <w:iCs/>
          <w:sz w:val="24"/>
          <w:szCs w:val="24"/>
        </w:rPr>
        <w:t>International Journal of Psychological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(2), 89–97.</w:t>
      </w:r>
    </w:p>
    <w:p w14:paraId="5DB2DD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Arán-Filippetti, V., &amp; Richaud, M. C. (2015). Do executive functions predictwritten composition? Effects beyond age, verbal intelligence and reading comprehension. </w:t>
      </w:r>
      <w:r w:rsidRPr="005B38F0">
        <w:rPr>
          <w:rFonts w:ascii="Times New Roman" w:eastAsia="Times New Roman" w:hAnsi="Times New Roman" w:cs="Times New Roman"/>
          <w:i/>
          <w:iCs/>
          <w:sz w:val="24"/>
          <w:szCs w:val="24"/>
        </w:rPr>
        <w:t>Acta Neuropsychologica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(4), 331–349.</w:t>
      </w:r>
    </w:p>
    <w:p w14:paraId="31EB1D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Arango-Lasprilla, J. C., Rivera, D., Longoni, M., Saracho, C. P., Garza, M. T., Aliaga, A., Rodríguez, W., Rodríguez-Agudelo, Y., Rábago, B., Sutter, M., Schebela, S., Luna, M., Ocampo-Barba, N., Galarza-del-Angel, J., Bringas, M. L., Esenarro, L., Martínez, C., García-Egan, P., &amp; Perrin, P. B. (2015). Modified Wisconsin Card Sorting Test (M-WCST): Normative data for the Latin American Spanish speaking adult population.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563–590. </w:t>
      </w:r>
      <w:hyperlink r:id="rId183" w:history="1">
        <w:r w:rsidRPr="005B38F0">
          <w:rPr>
            <w:rFonts w:ascii="Times New Roman" w:eastAsia="Times New Roman" w:hAnsi="Times New Roman" w:cs="Times New Roman"/>
            <w:color w:val="0000FF"/>
            <w:sz w:val="24"/>
            <w:szCs w:val="24"/>
            <w:u w:val="single"/>
          </w:rPr>
          <w:t>https://doi.org/10.3233/NRE-151280</w:t>
        </w:r>
      </w:hyperlink>
    </w:p>
    <w:p w14:paraId="23CF14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Arango-Lasprilla, J. C., Rivera, D., Nicholls, E., Aguayo Arelis, A., García de la Cadena, C., Peñalver Guia, A. I., Vergara-Moragues, E., Rodriguez-Lorenzana, A., Marín-Morales, A., Soto-Añari, M., Lara, L., Rodríguez-Agudelo, Y., Alcazar Tebar, C., Galarza-del-Angel, J., Rodriguez-Irizarry, W., Ibañéz-Alfonso, J. A., García-Guerrero, C. E., Delgado-Mejía, I. D., Pohlenz Amador, S., &amp; Sánchez-SanSegundo, M. (2017). Modified Wisconsin Card Sorting Test (M-WCST): Normative data for Spanish-speaking pediatric population.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(3), 617–626. </w:t>
      </w:r>
      <w:hyperlink r:id="rId184" w:history="1">
        <w:r w:rsidRPr="005B38F0">
          <w:rPr>
            <w:rFonts w:ascii="Times New Roman" w:eastAsia="Times New Roman" w:hAnsi="Times New Roman" w:cs="Times New Roman"/>
            <w:color w:val="0000FF"/>
            <w:sz w:val="24"/>
            <w:szCs w:val="24"/>
            <w:u w:val="single"/>
          </w:rPr>
          <w:t>https://doi.org/10.3233/NRE-172242</w:t>
        </w:r>
      </w:hyperlink>
    </w:p>
    <w:p w14:paraId="5A54EE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Arbel, R., Koren, D., Klein, E., &amp; Latzer, Y. (2013). The neurocognitive basis of insight into illness in anorexia nervosa: A pilot metacognitive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209</w:t>
      </w:r>
      <w:r w:rsidRPr="005B38F0">
        <w:rPr>
          <w:rFonts w:ascii="Times New Roman" w:eastAsia="Times New Roman" w:hAnsi="Times New Roman" w:cs="Times New Roman"/>
          <w:sz w:val="24"/>
          <w:szCs w:val="24"/>
        </w:rPr>
        <w:t xml:space="preserve">(3), 604–610. </w:t>
      </w:r>
      <w:hyperlink r:id="rId185" w:history="1">
        <w:r w:rsidRPr="005B38F0">
          <w:rPr>
            <w:rFonts w:ascii="Times New Roman" w:eastAsia="Times New Roman" w:hAnsi="Times New Roman" w:cs="Times New Roman"/>
            <w:color w:val="0000FF"/>
            <w:sz w:val="24"/>
            <w:szCs w:val="24"/>
            <w:u w:val="single"/>
          </w:rPr>
          <w:t>https://doi.org/10.1016/j.psychres.2013.01.009</w:t>
        </w:r>
      </w:hyperlink>
    </w:p>
    <w:p w14:paraId="074D4B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Archer, R. P., Stredny, R., &amp; Wheeler, E. M. A. (2013). Introduction to forensic uses of clinical assessment instruments. In R. P. Archer, E. M. A. Wheeler, R. P. Archer  (Ed), &amp; E. M. A. Wheeler  (Ed) (Eds.), </w:t>
      </w:r>
      <w:r w:rsidRPr="005B38F0">
        <w:rPr>
          <w:rFonts w:ascii="Times New Roman" w:eastAsia="Times New Roman" w:hAnsi="Times New Roman" w:cs="Times New Roman"/>
          <w:i/>
          <w:iCs/>
          <w:sz w:val="24"/>
          <w:szCs w:val="24"/>
        </w:rPr>
        <w:t>Forensic uses of clinical assessment instruments.</w:t>
      </w:r>
      <w:r w:rsidRPr="005B38F0">
        <w:rPr>
          <w:rFonts w:ascii="Times New Roman" w:eastAsia="Times New Roman" w:hAnsi="Times New Roman" w:cs="Times New Roman"/>
          <w:sz w:val="24"/>
          <w:szCs w:val="24"/>
        </w:rPr>
        <w:t xml:space="preserve"> (pp. 1–20). Routledge/Taylor &amp; Francis Group. </w:t>
      </w:r>
      <w:hyperlink r:id="rId186" w:history="1">
        <w:r w:rsidRPr="005B38F0">
          <w:rPr>
            <w:rFonts w:ascii="Times New Roman" w:eastAsia="Times New Roman" w:hAnsi="Times New Roman" w:cs="Times New Roman"/>
            <w:color w:val="0000FF"/>
            <w:sz w:val="24"/>
            <w:szCs w:val="24"/>
            <w:u w:val="single"/>
          </w:rPr>
          <w:t>http://search.ebscohost.com/login.aspx?direct=true&amp;db=psyh&amp;AN=2013-09032-001&amp;site=ehost-live</w:t>
        </w:r>
      </w:hyperlink>
    </w:p>
    <w:p w14:paraId="3B5F32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Arciero, S., Kempf, C., Bernard, F., &amp; Gosselin, N. (2012). Cognition and functional performance in daily activities before and after pontine and extrapontine myelinolysis: A case study.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496–502. </w:t>
      </w:r>
      <w:hyperlink r:id="rId187" w:history="1">
        <w:r w:rsidRPr="005B38F0">
          <w:rPr>
            <w:rFonts w:ascii="Times New Roman" w:eastAsia="Times New Roman" w:hAnsi="Times New Roman" w:cs="Times New Roman"/>
            <w:color w:val="0000FF"/>
            <w:sz w:val="24"/>
            <w:szCs w:val="24"/>
            <w:u w:val="single"/>
          </w:rPr>
          <w:t>https://doi.org/10.1080/13554794.2011.633528</w:t>
        </w:r>
      </w:hyperlink>
    </w:p>
    <w:p w14:paraId="4E2061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Arciniegas, D. B. (2013). </w:t>
      </w:r>
      <w:r w:rsidRPr="005B38F0">
        <w:rPr>
          <w:rFonts w:ascii="Times New Roman" w:eastAsia="Times New Roman" w:hAnsi="Times New Roman" w:cs="Times New Roman"/>
          <w:i/>
          <w:iCs/>
          <w:sz w:val="24"/>
          <w:szCs w:val="24"/>
        </w:rPr>
        <w:t>Executive function.</w:t>
      </w:r>
      <w:r w:rsidRPr="005B38F0">
        <w:rPr>
          <w:rFonts w:ascii="Times New Roman" w:eastAsia="Times New Roman" w:hAnsi="Times New Roman" w:cs="Times New Roman"/>
          <w:sz w:val="24"/>
          <w:szCs w:val="24"/>
        </w:rPr>
        <w:t xml:space="preserve"> (pp. 225–249).</w:t>
      </w:r>
    </w:p>
    <w:p w14:paraId="4B4CAD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Arcos-Burgos, M., Castellanos, F. X., Konecki, D., Lopera, F., Pineda, D., Palacio, J. D., Rapoport, J. L., Berg, K., Bailey-Wilson, J., &amp; Muenke, M. (2004). Pedigree disequilibrium test (PDT) replicates association and linkage between DRD4 and ADHD in multigenerational and extended pedigrees from a genetic isolate. </w:t>
      </w:r>
      <w:r w:rsidRPr="005B38F0">
        <w:rPr>
          <w:rFonts w:ascii="Times New Roman" w:eastAsia="Times New Roman" w:hAnsi="Times New Roman" w:cs="Times New Roman"/>
          <w:i/>
          <w:iCs/>
          <w:sz w:val="24"/>
          <w:szCs w:val="24"/>
        </w:rPr>
        <w:t>Molecular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(3), 252–259. </w:t>
      </w:r>
      <w:hyperlink r:id="rId188" w:history="1">
        <w:r w:rsidRPr="005B38F0">
          <w:rPr>
            <w:rFonts w:ascii="Times New Roman" w:eastAsia="Times New Roman" w:hAnsi="Times New Roman" w:cs="Times New Roman"/>
            <w:color w:val="0000FF"/>
            <w:sz w:val="24"/>
            <w:szCs w:val="24"/>
            <w:u w:val="single"/>
          </w:rPr>
          <w:t>https://doi.org/10.1038/sj.mp.4001396</w:t>
        </w:r>
      </w:hyperlink>
    </w:p>
    <w:p w14:paraId="57ABEA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Ardila, A., Matute, E., &amp; Inozemtseva, O. V. (2003). Progressive agraphia, acalculia, and anomia: A single case report.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205–214. </w:t>
      </w:r>
      <w:hyperlink r:id="rId189" w:history="1">
        <w:r w:rsidRPr="005B38F0">
          <w:rPr>
            <w:rFonts w:ascii="Times New Roman" w:eastAsia="Times New Roman" w:hAnsi="Times New Roman" w:cs="Times New Roman"/>
            <w:color w:val="0000FF"/>
            <w:sz w:val="24"/>
            <w:szCs w:val="24"/>
            <w:u w:val="single"/>
          </w:rPr>
          <w:t>https://doi.org/10.1207/s15324826an1004_2</w:t>
        </w:r>
      </w:hyperlink>
    </w:p>
    <w:p w14:paraId="795B5A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Ardila, A., Pineda, D., &amp; Rosselli, M. (2000). Correlation between intelligence test scores and executive function measures.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(1), 31–36. </w:t>
      </w:r>
      <w:hyperlink r:id="rId190" w:history="1">
        <w:r w:rsidRPr="005B38F0">
          <w:rPr>
            <w:rFonts w:ascii="Times New Roman" w:eastAsia="Times New Roman" w:hAnsi="Times New Roman" w:cs="Times New Roman"/>
            <w:color w:val="0000FF"/>
            <w:sz w:val="24"/>
            <w:szCs w:val="24"/>
            <w:u w:val="single"/>
          </w:rPr>
          <w:t>https://doi.org/10.1016/S0887-6177(98)00159-0</w:t>
        </w:r>
      </w:hyperlink>
    </w:p>
    <w:p w14:paraId="40A796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Ardila, A., &amp; Surloff, C. (2006). Dysexecutive agraphia: A major executive dysfunction sign. </w:t>
      </w:r>
      <w:r w:rsidRPr="005B38F0">
        <w:rPr>
          <w:rFonts w:ascii="Times New Roman" w:eastAsia="Times New Roman" w:hAnsi="Times New Roman" w:cs="Times New Roman"/>
          <w:i/>
          <w:iCs/>
          <w:sz w:val="24"/>
          <w:szCs w:val="24"/>
        </w:rPr>
        <w:t>International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(5), 653–663. </w:t>
      </w:r>
      <w:hyperlink r:id="rId191" w:history="1">
        <w:r w:rsidRPr="005B38F0">
          <w:rPr>
            <w:rFonts w:ascii="Times New Roman" w:eastAsia="Times New Roman" w:hAnsi="Times New Roman" w:cs="Times New Roman"/>
            <w:color w:val="0000FF"/>
            <w:sz w:val="24"/>
            <w:szCs w:val="24"/>
            <w:u w:val="single"/>
          </w:rPr>
          <w:t>https://doi.org/10.1080/00207450600592206</w:t>
        </w:r>
      </w:hyperlink>
    </w:p>
    <w:p w14:paraId="784D52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Areán, P. A., Raue, P., Mackin, R. S., Kanellopoulos, D., McCulloch, C., &amp; Alexopoulos, G. S. (2010). Problem-solving therapy and supportive therapy in older adults with major depression and executive dysfunction.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(11), 1391–1398. </w:t>
      </w:r>
      <w:hyperlink r:id="rId192" w:history="1">
        <w:r w:rsidRPr="005B38F0">
          <w:rPr>
            <w:rFonts w:ascii="Times New Roman" w:eastAsia="Times New Roman" w:hAnsi="Times New Roman" w:cs="Times New Roman"/>
            <w:color w:val="0000FF"/>
            <w:sz w:val="24"/>
            <w:szCs w:val="24"/>
            <w:u w:val="single"/>
          </w:rPr>
          <w:t>https://doi.org/10.1176/appi.ajp.2010.09091327</w:t>
        </w:r>
      </w:hyperlink>
    </w:p>
    <w:p w14:paraId="495A54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Arenth, P. M., Russell, K. C., Scanlon, J. M., Kessler, L. J., &amp; Ricker, J. H. (2012). Encoding and recognition after traumatic brain injury: Neuropsychological and functional magnetic resonance imaging findings.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333–344. </w:t>
      </w:r>
      <w:hyperlink r:id="rId193" w:history="1">
        <w:r w:rsidRPr="005B38F0">
          <w:rPr>
            <w:rFonts w:ascii="Times New Roman" w:eastAsia="Times New Roman" w:hAnsi="Times New Roman" w:cs="Times New Roman"/>
            <w:color w:val="0000FF"/>
            <w:sz w:val="24"/>
            <w:szCs w:val="24"/>
            <w:u w:val="single"/>
          </w:rPr>
          <w:t>https://doi.org/10.1080/13803395.2011.633896</w:t>
        </w:r>
      </w:hyperlink>
    </w:p>
    <w:p w14:paraId="2960AD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Arenth, P. M., Russell, K. C., Scanlon, J. M., Kessler, L. J., &amp; Ricker, J. H. (2014). Corpus callosum integrity and neuropsychological performance after traumatic brain injury: A diffusion tensor imaging study.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E1–E10. </w:t>
      </w:r>
      <w:hyperlink r:id="rId194" w:history="1">
        <w:r w:rsidRPr="005B38F0">
          <w:rPr>
            <w:rFonts w:ascii="Times New Roman" w:eastAsia="Times New Roman" w:hAnsi="Times New Roman" w:cs="Times New Roman"/>
            <w:color w:val="0000FF"/>
            <w:sz w:val="24"/>
            <w:szCs w:val="24"/>
            <w:u w:val="single"/>
          </w:rPr>
          <w:t>https://doi.org/10.1097/HTR.0b013e318289ede5</w:t>
        </w:r>
      </w:hyperlink>
    </w:p>
    <w:p w14:paraId="7CF34C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Byrd, D., Monzones, J., Coulehan, K., Fuentes, A., Rosario, A., Miranda, C., Morgello, S., &amp; Mindt, M. R. (2015). Socioeconomic status and neuropsychological functioning: Associations in an ethnically diverse HIV+ cohort.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232–254. </w:t>
      </w:r>
      <w:hyperlink r:id="rId195" w:history="1">
        <w:r w:rsidRPr="005B38F0">
          <w:rPr>
            <w:rFonts w:ascii="Times New Roman" w:eastAsia="Times New Roman" w:hAnsi="Times New Roman" w:cs="Times New Roman"/>
            <w:color w:val="0000FF"/>
            <w:sz w:val="24"/>
            <w:szCs w:val="24"/>
            <w:u w:val="single"/>
          </w:rPr>
          <w:t>https://doi.org/10.1080/13854046.2015.1029974</w:t>
        </w:r>
      </w:hyperlink>
    </w:p>
    <w:p w14:paraId="1CCE24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Byrd, D., Robbins, R. N., Monzones, J., Miranda, C., Rosario, A., Coulehan, K., Fuentes, A., Germano, K. K., D’Aquila, E., Sheynin, J., Fraser, F., Morgello, S., &amp; Mindt, M. R. (2012). Multidimensional effects of acculturation on English-language neuropsychological test performance among HIV+ Caribbean Latinas/os. </w:t>
      </w:r>
      <w:r w:rsidRPr="005B38F0">
        <w:rPr>
          <w:rFonts w:ascii="Times New Roman" w:eastAsia="Times New Roman" w:hAnsi="Times New Roman" w:cs="Times New Roman"/>
          <w:i/>
          <w:iCs/>
          <w:sz w:val="24"/>
          <w:szCs w:val="24"/>
        </w:rPr>
        <w:t xml:space="preserve">Journal of </w:t>
      </w:r>
      <w:r w:rsidRPr="005B38F0">
        <w:rPr>
          <w:rFonts w:ascii="Times New Roman" w:eastAsia="Times New Roman" w:hAnsi="Times New Roman" w:cs="Times New Roman"/>
          <w:i/>
          <w:iCs/>
          <w:sz w:val="24"/>
          <w:szCs w:val="24"/>
        </w:rPr>
        <w:lastRenderedPageBreak/>
        <w:t>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(8), 814–825. </w:t>
      </w:r>
      <w:hyperlink r:id="rId196" w:history="1">
        <w:r w:rsidRPr="005B38F0">
          <w:rPr>
            <w:rFonts w:ascii="Times New Roman" w:eastAsia="Times New Roman" w:hAnsi="Times New Roman" w:cs="Times New Roman"/>
            <w:color w:val="0000FF"/>
            <w:sz w:val="24"/>
            <w:szCs w:val="24"/>
            <w:u w:val="single"/>
          </w:rPr>
          <w:t>https://doi.org/10.1080/13803395.2012.683856</w:t>
        </w:r>
      </w:hyperlink>
    </w:p>
    <w:p w14:paraId="2B4925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Thames, A. D., Panos, S., Patel, S., &amp; Hinkin, C. H. (2013). A deconstruction of gambling task performance among HIV+ individuals: The differential contributions of problem solving and risk taking.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1036–1047. </w:t>
      </w:r>
      <w:hyperlink r:id="rId197" w:history="1">
        <w:r w:rsidRPr="005B38F0">
          <w:rPr>
            <w:rFonts w:ascii="Times New Roman" w:eastAsia="Times New Roman" w:hAnsi="Times New Roman" w:cs="Times New Roman"/>
            <w:color w:val="0000FF"/>
            <w:sz w:val="24"/>
            <w:szCs w:val="24"/>
            <w:u w:val="single"/>
          </w:rPr>
          <w:t>https://doi.org/10.1080/13803395.2013.848842</w:t>
        </w:r>
      </w:hyperlink>
    </w:p>
    <w:p w14:paraId="302C49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Arentoft, A., van Dyk, K., Thames, A. D., Thaler, N. S., Sayegh, P., &amp; Hinkin, C. H. (2016). HIV-transmission-related risk behavior in HIV+ African American men: Exploring biological, psychological, cognitive, and social factors. </w:t>
      </w:r>
      <w:r w:rsidRPr="005B38F0">
        <w:rPr>
          <w:rFonts w:ascii="Times New Roman" w:eastAsia="Times New Roman" w:hAnsi="Times New Roman" w:cs="Times New Roman"/>
          <w:i/>
          <w:iCs/>
          <w:sz w:val="24"/>
          <w:szCs w:val="24"/>
        </w:rPr>
        <w:t>Journal of HIV/AIDS &amp; Social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(3), 299–318. </w:t>
      </w:r>
      <w:hyperlink r:id="rId198" w:history="1">
        <w:r w:rsidRPr="005B38F0">
          <w:rPr>
            <w:rFonts w:ascii="Times New Roman" w:eastAsia="Times New Roman" w:hAnsi="Times New Roman" w:cs="Times New Roman"/>
            <w:color w:val="0000FF"/>
            <w:sz w:val="24"/>
            <w:szCs w:val="24"/>
            <w:u w:val="single"/>
          </w:rPr>
          <w:t>https://doi.org/10.1080/15381501.2016.1166092</w:t>
        </w:r>
      </w:hyperlink>
    </w:p>
    <w:p w14:paraId="2DFAEB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Arentsen, T. J., Panos, S., Thames, A. D., Arbid, J. N., Castellon, S. A., &amp; Hinkin, C. H. (2016). Psychosocial correlates of medication adherence among HIV-positive, cognitively impaired individuals. </w:t>
      </w:r>
      <w:r w:rsidRPr="005B38F0">
        <w:rPr>
          <w:rFonts w:ascii="Times New Roman" w:eastAsia="Times New Roman" w:hAnsi="Times New Roman" w:cs="Times New Roman"/>
          <w:i/>
          <w:iCs/>
          <w:sz w:val="24"/>
          <w:szCs w:val="24"/>
        </w:rPr>
        <w:t>Journal of HIV/AIDS &amp; Social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(4), 404–416. </w:t>
      </w:r>
      <w:hyperlink r:id="rId199" w:history="1">
        <w:r w:rsidRPr="005B38F0">
          <w:rPr>
            <w:rFonts w:ascii="Times New Roman" w:eastAsia="Times New Roman" w:hAnsi="Times New Roman" w:cs="Times New Roman"/>
            <w:color w:val="0000FF"/>
            <w:sz w:val="24"/>
            <w:szCs w:val="24"/>
            <w:u w:val="single"/>
          </w:rPr>
          <w:t>https://doi.org/10.1080/15381501.2016.1228309</w:t>
        </w:r>
      </w:hyperlink>
    </w:p>
    <w:p w14:paraId="0E1883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Areny-Balagueró, M., García-Molina, A., Roig-Rovira, T., Tormos, J. M., &amp; Jodar-Vicente, M. (2015). Influencia de la memoria de trabajo y la flexibilidad cognitiva en la ejecución de la tarea balloon analogue risk task. [Influence of working memory and cognitive flexibility in performance of the balloon analogue risk task.]. </w:t>
      </w:r>
      <w:r w:rsidRPr="005B38F0">
        <w:rPr>
          <w:rFonts w:ascii="Times New Roman" w:eastAsia="Times New Roman" w:hAnsi="Times New Roman" w:cs="Times New Roman"/>
          <w:i/>
          <w:iCs/>
          <w:sz w:val="24"/>
          <w:szCs w:val="24"/>
        </w:rPr>
        <w:t>Psychologia: Avances de La Disciplina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25–34. </w:t>
      </w:r>
      <w:hyperlink r:id="rId200" w:history="1">
        <w:r w:rsidRPr="005B38F0">
          <w:rPr>
            <w:rFonts w:ascii="Times New Roman" w:eastAsia="Times New Roman" w:hAnsi="Times New Roman" w:cs="Times New Roman"/>
            <w:color w:val="0000FF"/>
            <w:sz w:val="24"/>
            <w:szCs w:val="24"/>
            <w:u w:val="single"/>
          </w:rPr>
          <w:t>https://doi.org/10.21500/19002386.1811</w:t>
        </w:r>
      </w:hyperlink>
    </w:p>
    <w:p w14:paraId="5D890C8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Arffa, S. (2007). The relationship of intelligence to executive function and non-executive function measures in a sample of average, above average, and gifted youth.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(8), 969–978. </w:t>
      </w:r>
      <w:hyperlink r:id="rId201" w:history="1">
        <w:r w:rsidRPr="005B38F0">
          <w:rPr>
            <w:rFonts w:ascii="Times New Roman" w:eastAsia="Times New Roman" w:hAnsi="Times New Roman" w:cs="Times New Roman"/>
            <w:color w:val="0000FF"/>
            <w:sz w:val="24"/>
            <w:szCs w:val="24"/>
            <w:u w:val="single"/>
          </w:rPr>
          <w:t>https://doi.org/10.1016/j.acn.2007.08.001</w:t>
        </w:r>
      </w:hyperlink>
    </w:p>
    <w:p w14:paraId="6DB1BE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Arffa, S., Lovell, M., Podell, K., &amp; Goldberg, E. (1998). Wisconsin Card Sorting Test performance in above average and superior school children: Relationship to intelligence and age.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(8), 713–720. </w:t>
      </w:r>
      <w:hyperlink r:id="rId202" w:history="1">
        <w:r w:rsidRPr="005B38F0">
          <w:rPr>
            <w:rFonts w:ascii="Times New Roman" w:eastAsia="Times New Roman" w:hAnsi="Times New Roman" w:cs="Times New Roman"/>
            <w:color w:val="0000FF"/>
            <w:sz w:val="24"/>
            <w:szCs w:val="24"/>
            <w:u w:val="single"/>
          </w:rPr>
          <w:t>https://doi.org/10.1016/S0887-6177(98)00007-9</w:t>
        </w:r>
      </w:hyperlink>
    </w:p>
    <w:p w14:paraId="56D3F4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Arguedas, D., &amp; Batchelor, J. (2009). 18q deletion syndrome: A neuropsychological case study.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101–109. </w:t>
      </w:r>
      <w:hyperlink r:id="rId203" w:history="1">
        <w:r w:rsidRPr="005B38F0">
          <w:rPr>
            <w:rFonts w:ascii="Times New Roman" w:eastAsia="Times New Roman" w:hAnsi="Times New Roman" w:cs="Times New Roman"/>
            <w:color w:val="0000FF"/>
            <w:sz w:val="24"/>
            <w:szCs w:val="24"/>
            <w:u w:val="single"/>
          </w:rPr>
          <w:t>https://doi.org/10.1080/13554790802631928</w:t>
        </w:r>
      </w:hyperlink>
    </w:p>
    <w:p w14:paraId="1C56AF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Arguedas, D., Langdon, R., &amp; Stevenson, R. (2012). Neuropsychological characteristics associated with olfactory hallucinations in schizophrenia.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799–808. </w:t>
      </w:r>
      <w:hyperlink r:id="rId204" w:history="1">
        <w:r w:rsidRPr="005B38F0">
          <w:rPr>
            <w:rFonts w:ascii="Times New Roman" w:eastAsia="Times New Roman" w:hAnsi="Times New Roman" w:cs="Times New Roman"/>
            <w:color w:val="0000FF"/>
            <w:sz w:val="24"/>
            <w:szCs w:val="24"/>
            <w:u w:val="single"/>
          </w:rPr>
          <w:t>https://doi.org/10.1017/S1355617712000471</w:t>
        </w:r>
      </w:hyperlink>
    </w:p>
    <w:p w14:paraId="44930B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Arias, F., Arnsten, J. H., Cunningham, C. O., Coulehan, K., Batchelder, A., Brisbane, M., Segal, K., &amp; Rivera-Mindt, M. (2016). Neurocognitive, psychiatric, and substance use characteristics in opioid dependent adults.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 137–143. </w:t>
      </w:r>
      <w:hyperlink r:id="rId205" w:history="1">
        <w:r w:rsidRPr="005B38F0">
          <w:rPr>
            <w:rFonts w:ascii="Times New Roman" w:eastAsia="Times New Roman" w:hAnsi="Times New Roman" w:cs="Times New Roman"/>
            <w:color w:val="0000FF"/>
            <w:sz w:val="24"/>
            <w:szCs w:val="24"/>
            <w:u w:val="single"/>
          </w:rPr>
          <w:t>https://doi.org/10.1016/j.addbeh.2016.03.018</w:t>
        </w:r>
      </w:hyperlink>
    </w:p>
    <w:p w14:paraId="583BA9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Arias, F., Safi, D. E., Miranda, M., Carrión, C. I., Diaz Santos, A. L., Armendariz, V., Jose, I. E., Vuong, K. D., Suarez, P., &amp; Strutt, A. M. (2020). Teleneuropsychology for monolingual and bilingual Spanish-speaking adults in the time of COVID-19: Rationale, professional </w:t>
      </w:r>
      <w:r w:rsidRPr="005B38F0">
        <w:rPr>
          <w:rFonts w:ascii="Times New Roman" w:eastAsia="Times New Roman" w:hAnsi="Times New Roman" w:cs="Times New Roman"/>
          <w:sz w:val="24"/>
          <w:szCs w:val="24"/>
        </w:rPr>
        <w:lastRenderedPageBreak/>
        <w:t xml:space="preserve">considerations, and resources.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(8), 1249–1265. </w:t>
      </w:r>
      <w:hyperlink r:id="rId206" w:history="1">
        <w:r w:rsidRPr="005B38F0">
          <w:rPr>
            <w:rFonts w:ascii="Times New Roman" w:eastAsia="Times New Roman" w:hAnsi="Times New Roman" w:cs="Times New Roman"/>
            <w:color w:val="0000FF"/>
            <w:sz w:val="24"/>
            <w:szCs w:val="24"/>
            <w:u w:val="single"/>
          </w:rPr>
          <w:t>https://doi.org/10.1093/arclin/acaa100</w:t>
        </w:r>
      </w:hyperlink>
    </w:p>
    <w:p w14:paraId="03DAE4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Arima, Y., Fukuzako, H., Morioka, H., &amp; Hashiguchi, T. (1996). A case of corpus callosum agenesis with mental symptoms. [A case of corpus callosum agenesis with mental symptoms.]. </w:t>
      </w:r>
      <w:r w:rsidRPr="005B38F0">
        <w:rPr>
          <w:rFonts w:ascii="Times New Roman" w:eastAsia="Times New Roman" w:hAnsi="Times New Roman" w:cs="Times New Roman"/>
          <w:i/>
          <w:iCs/>
          <w:sz w:val="24"/>
          <w:szCs w:val="24"/>
        </w:rPr>
        <w:t>Seishin Igaku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(8), 878–880.</w:t>
      </w:r>
    </w:p>
    <w:p w14:paraId="7F86D4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Ariza, M., Garolera, M., Jurado, M. A., Garcia-Garcia, I., Hernan, I., Sánchez-Garre, C., Vernet-Vernet, M., Sender-Palacios, M. J., Marques-Iturria, I., Pueyo, R., Segura, B., &amp; Narberhaus, A. (2012). Dopamine genes (DRD2/ANKK1-TaqA1 and DRD4-7R) and executive function: Their Interaction with obesity.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(7). </w:t>
      </w:r>
      <w:hyperlink r:id="rId207" w:history="1">
        <w:r w:rsidRPr="005B38F0">
          <w:rPr>
            <w:rFonts w:ascii="Times New Roman" w:eastAsia="Times New Roman" w:hAnsi="Times New Roman" w:cs="Times New Roman"/>
            <w:color w:val="0000FF"/>
            <w:sz w:val="24"/>
            <w:szCs w:val="24"/>
            <w:u w:val="single"/>
          </w:rPr>
          <w:t>https://doi.org/10.1371/journal.pone.0041482</w:t>
        </w:r>
      </w:hyperlink>
    </w:p>
    <w:p w14:paraId="72A611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Armistead-Jehle, P., &amp; Gervais, R. (2011). Sensitivity of the Test of Memory Malingering and the Nonverbal Medical Symptom Validity Test: A replication study.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284–290. </w:t>
      </w:r>
      <w:hyperlink r:id="rId208" w:history="1">
        <w:r w:rsidRPr="005B38F0">
          <w:rPr>
            <w:rFonts w:ascii="Times New Roman" w:eastAsia="Times New Roman" w:hAnsi="Times New Roman" w:cs="Times New Roman"/>
            <w:color w:val="0000FF"/>
            <w:sz w:val="24"/>
            <w:szCs w:val="24"/>
            <w:u w:val="single"/>
          </w:rPr>
          <w:t>https://doi.org/10.1080/09084282.2011.595455</w:t>
        </w:r>
      </w:hyperlink>
    </w:p>
    <w:p w14:paraId="67F683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Armstrong, K., Hangauer, J., &amp; Agazzi, H. (2013). Intellectual and developmental disabilities and other low-incidence disorders. In </w:t>
      </w:r>
      <w:r w:rsidRPr="005B38F0">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5B38F0">
        <w:rPr>
          <w:rFonts w:ascii="Times New Roman" w:eastAsia="Times New Roman" w:hAnsi="Times New Roman" w:cs="Times New Roman"/>
          <w:sz w:val="24"/>
          <w:szCs w:val="24"/>
        </w:rPr>
        <w:t xml:space="preserve"> (pp. 227–246). American Psychological Association. </w:t>
      </w:r>
      <w:hyperlink r:id="rId209" w:history="1">
        <w:r w:rsidRPr="005B38F0">
          <w:rPr>
            <w:rFonts w:ascii="Times New Roman" w:eastAsia="Times New Roman" w:hAnsi="Times New Roman" w:cs="Times New Roman"/>
            <w:color w:val="0000FF"/>
            <w:sz w:val="24"/>
            <w:szCs w:val="24"/>
            <w:u w:val="single"/>
          </w:rPr>
          <w:t>https://doi.org/10.1037/14091-010</w:t>
        </w:r>
      </w:hyperlink>
    </w:p>
    <w:p w14:paraId="771D7C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Armstrong, M. J., &amp; Litvan, I. (2015). Corticobasal degeneration. In </w:t>
      </w:r>
      <w:r w:rsidRPr="005B38F0">
        <w:rPr>
          <w:rFonts w:ascii="Times New Roman" w:eastAsia="Times New Roman" w:hAnsi="Times New Roman" w:cs="Times New Roman"/>
          <w:i/>
          <w:iCs/>
          <w:sz w:val="24"/>
          <w:szCs w:val="24"/>
        </w:rPr>
        <w:t>Clinical neuropsychology and cognitive neurology of Parkinson’s disease and other movement disorders.</w:t>
      </w:r>
      <w:r w:rsidRPr="005B38F0">
        <w:rPr>
          <w:rFonts w:ascii="Times New Roman" w:eastAsia="Times New Roman" w:hAnsi="Times New Roman" w:cs="Times New Roman"/>
          <w:sz w:val="24"/>
          <w:szCs w:val="24"/>
        </w:rPr>
        <w:t xml:space="preserve"> (pp. 399–420). Oxford University Press.</w:t>
      </w:r>
    </w:p>
    <w:p w14:paraId="414FCD5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Arnett, P. A., Rao, S. M., Bernardin, L., Grafman, J., Yetkin, F. Z., &amp; Lobeck, L. (1994). Relationship between frontal lobe lesions and Wisconsin Card Sorting Test performance in patients with multiple sclerosis.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420–425. </w:t>
      </w:r>
      <w:hyperlink r:id="rId210" w:history="1">
        <w:r w:rsidRPr="005B38F0">
          <w:rPr>
            <w:rFonts w:ascii="Times New Roman" w:eastAsia="Times New Roman" w:hAnsi="Times New Roman" w:cs="Times New Roman"/>
            <w:color w:val="0000FF"/>
            <w:sz w:val="24"/>
            <w:szCs w:val="24"/>
            <w:u w:val="single"/>
          </w:rPr>
          <w:t>https://doi.org/10.1212/WNL.44.3_Part_1.420</w:t>
        </w:r>
      </w:hyperlink>
    </w:p>
    <w:p w14:paraId="2D84A8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Arnold, G. L. D. (2002). </w:t>
      </w:r>
      <w:r w:rsidRPr="005B38F0">
        <w:rPr>
          <w:rFonts w:ascii="Times New Roman" w:eastAsia="Times New Roman" w:hAnsi="Times New Roman" w:cs="Times New Roman"/>
          <w:i/>
          <w:iCs/>
          <w:sz w:val="24"/>
          <w:szCs w:val="24"/>
        </w:rPr>
        <w:t>Association between apathy and executive dysfunction in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(3-B), 1581–1581.</w:t>
      </w:r>
    </w:p>
    <w:p w14:paraId="554589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Arnould, A., Rochat, L., Azouvi, P., &amp; Van der Linden, M. (2013). A multidimensional approach to apathy after traumatic brain injury. </w:t>
      </w:r>
      <w:r w:rsidRPr="005B38F0">
        <w:rPr>
          <w:rFonts w:ascii="Times New Roman" w:eastAsia="Times New Roman" w:hAnsi="Times New Roman" w:cs="Times New Roman"/>
          <w:i/>
          <w:iCs/>
          <w:sz w:val="24"/>
          <w:szCs w:val="24"/>
        </w:rPr>
        <w:t>Neuropsychology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210–233. </w:t>
      </w:r>
      <w:hyperlink r:id="rId211" w:history="1">
        <w:r w:rsidRPr="005B38F0">
          <w:rPr>
            <w:rFonts w:ascii="Times New Roman" w:eastAsia="Times New Roman" w:hAnsi="Times New Roman" w:cs="Times New Roman"/>
            <w:color w:val="0000FF"/>
            <w:sz w:val="24"/>
            <w:szCs w:val="24"/>
            <w:u w:val="single"/>
          </w:rPr>
          <w:t>https://doi.org/10.1007/s11065-013-9236-3</w:t>
        </w:r>
      </w:hyperlink>
    </w:p>
    <w:p w14:paraId="67B792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Aron, A. R., Monsell, S., Sahakian, B. J., &amp; Robbins, T. W. (2004). A componential analysis of task-switching deficits associated with lesions of left and right frontal cortex.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(7), 1561–1573. </w:t>
      </w:r>
      <w:hyperlink r:id="rId212" w:history="1">
        <w:r w:rsidRPr="005B38F0">
          <w:rPr>
            <w:rFonts w:ascii="Times New Roman" w:eastAsia="Times New Roman" w:hAnsi="Times New Roman" w:cs="Times New Roman"/>
            <w:color w:val="0000FF"/>
            <w:sz w:val="24"/>
            <w:szCs w:val="24"/>
            <w:u w:val="single"/>
          </w:rPr>
          <w:t>https://doi.org/10.1093/brain/awh169</w:t>
        </w:r>
      </w:hyperlink>
    </w:p>
    <w:p w14:paraId="088733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Arslan, F. C., Tiryaki, A., &amp; Ozkorumak, E. (2014). A comparison of euthymic bipolar patients with unaffected first-degree relatives and healthy controls in terms of neuropsychological functions. </w:t>
      </w:r>
      <w:r w:rsidRPr="005B38F0">
        <w:rPr>
          <w:rFonts w:ascii="Times New Roman" w:eastAsia="Times New Roman" w:hAnsi="Times New Roman" w:cs="Times New Roman"/>
          <w:i/>
          <w:iCs/>
          <w:sz w:val="24"/>
          <w:szCs w:val="24"/>
        </w:rPr>
        <w:t>International Journal of Psychiatry in Clinical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208–214. </w:t>
      </w:r>
      <w:hyperlink r:id="rId213" w:history="1">
        <w:r w:rsidRPr="005B38F0">
          <w:rPr>
            <w:rFonts w:ascii="Times New Roman" w:eastAsia="Times New Roman" w:hAnsi="Times New Roman" w:cs="Times New Roman"/>
            <w:color w:val="0000FF"/>
            <w:sz w:val="24"/>
            <w:szCs w:val="24"/>
            <w:u w:val="single"/>
          </w:rPr>
          <w:t>https://doi.org/10.3109/13651501.2013.859706</w:t>
        </w:r>
      </w:hyperlink>
    </w:p>
    <w:p w14:paraId="45C390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Arsuffi, L. (2010). Homicide by an older adult offender: Assessment, formulation and treatment. </w:t>
      </w:r>
      <w:r w:rsidRPr="005B38F0">
        <w:rPr>
          <w:rFonts w:ascii="Times New Roman" w:eastAsia="Times New Roman" w:hAnsi="Times New Roman" w:cs="Times New Roman"/>
          <w:i/>
          <w:iCs/>
          <w:sz w:val="24"/>
          <w:szCs w:val="24"/>
        </w:rPr>
        <w:t>The British Journal of Forensic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(3), 45–53. </w:t>
      </w:r>
      <w:hyperlink r:id="rId214" w:history="1">
        <w:r w:rsidRPr="005B38F0">
          <w:rPr>
            <w:rFonts w:ascii="Times New Roman" w:eastAsia="Times New Roman" w:hAnsi="Times New Roman" w:cs="Times New Roman"/>
            <w:color w:val="0000FF"/>
            <w:sz w:val="24"/>
            <w:szCs w:val="24"/>
            <w:u w:val="single"/>
          </w:rPr>
          <w:t>https://doi.org/10.5042/bjfp.2010.0425</w:t>
        </w:r>
      </w:hyperlink>
    </w:p>
    <w:p w14:paraId="7A7F03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Artiola i Fortuny, L., &amp; Heaton, R. K. (1996). Standard versus computerized administration of the Wisconsin Card Sorting Test.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419–424. </w:t>
      </w:r>
      <w:hyperlink r:id="rId215" w:history="1">
        <w:r w:rsidRPr="005B38F0">
          <w:rPr>
            <w:rFonts w:ascii="Times New Roman" w:eastAsia="Times New Roman" w:hAnsi="Times New Roman" w:cs="Times New Roman"/>
            <w:color w:val="0000FF"/>
            <w:sz w:val="24"/>
            <w:szCs w:val="24"/>
            <w:u w:val="single"/>
          </w:rPr>
          <w:t>https://doi.org/10.1080/13854049608406702</w:t>
        </w:r>
      </w:hyperlink>
    </w:p>
    <w:p w14:paraId="75A63C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Arza, R., Díaz-Marsá, M., López-Micó, C., Fernández de Pablo, N., López-lbor, J. J., &amp; Carrasco, J. L. (2009). Neuropsychological dysfunctions in personality borderline disorder: Detection strategies. </w:t>
      </w:r>
      <w:r w:rsidRPr="005B38F0">
        <w:rPr>
          <w:rFonts w:ascii="Times New Roman" w:eastAsia="Times New Roman" w:hAnsi="Times New Roman" w:cs="Times New Roman"/>
          <w:i/>
          <w:iCs/>
          <w:sz w:val="24"/>
          <w:szCs w:val="24"/>
        </w:rPr>
        <w:t>Actas Españolas de Psiquiatría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(4), 185–190.</w:t>
      </w:r>
    </w:p>
    <w:p w14:paraId="0572C9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Asahina, M., Shinotoh, H., Hirayama, K., Suhara, T., Shishido, F., Inoue, O., &amp; Tateno, Y. (1995). Hypersensitivity of cortical muscarinic receptors in Parkinson’s disease demonstrated by PET.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91</w:t>
      </w:r>
      <w:r w:rsidRPr="005B38F0">
        <w:rPr>
          <w:rFonts w:ascii="Times New Roman" w:eastAsia="Times New Roman" w:hAnsi="Times New Roman" w:cs="Times New Roman"/>
          <w:sz w:val="24"/>
          <w:szCs w:val="24"/>
        </w:rPr>
        <w:t xml:space="preserve">(6), 437–443. </w:t>
      </w:r>
      <w:hyperlink r:id="rId216" w:history="1">
        <w:r w:rsidRPr="005B38F0">
          <w:rPr>
            <w:rFonts w:ascii="Times New Roman" w:eastAsia="Times New Roman" w:hAnsi="Times New Roman" w:cs="Times New Roman"/>
            <w:color w:val="0000FF"/>
            <w:sz w:val="24"/>
            <w:szCs w:val="24"/>
            <w:u w:val="single"/>
          </w:rPr>
          <w:t>https://doi.org/10.1111/j.1600-0404.1995.tb00443.x</w:t>
        </w:r>
      </w:hyperlink>
    </w:p>
    <w:p w14:paraId="1FA49D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Asahina, M., Suhara, T., Shinotoh, H., Inoue, O., Suzuki, K., &amp; Hattori, T. (1998). Brain muscarinic receptors in progressive supranuclear palsy and Parkinson’s disease: A positron emission tomographic study.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(2), 155–163. </w:t>
      </w:r>
      <w:hyperlink r:id="rId217" w:history="1">
        <w:r w:rsidRPr="005B38F0">
          <w:rPr>
            <w:rFonts w:ascii="Times New Roman" w:eastAsia="Times New Roman" w:hAnsi="Times New Roman" w:cs="Times New Roman"/>
            <w:color w:val="0000FF"/>
            <w:sz w:val="24"/>
            <w:szCs w:val="24"/>
            <w:u w:val="single"/>
          </w:rPr>
          <w:t>https://doi.org/10.1136/jnnp.65.2.155</w:t>
        </w:r>
      </w:hyperlink>
    </w:p>
    <w:p w14:paraId="09327D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Asbjørnsen, A. E., Helland, T., Obrzut, J. E., &amp; Boliek, C. A. (2003). The role of dichotic listening performance and tasks of executive functions in reading impairment: A discriminant function analysis.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(4), 277–288. </w:t>
      </w:r>
      <w:hyperlink r:id="rId218" w:history="1">
        <w:r w:rsidRPr="005B38F0">
          <w:rPr>
            <w:rFonts w:ascii="Times New Roman" w:eastAsia="Times New Roman" w:hAnsi="Times New Roman" w:cs="Times New Roman"/>
            <w:color w:val="0000FF"/>
            <w:sz w:val="24"/>
            <w:szCs w:val="24"/>
            <w:u w:val="single"/>
          </w:rPr>
          <w:t>https://doi.org/10.1076/chin.9.4.277.23521</w:t>
        </w:r>
      </w:hyperlink>
    </w:p>
    <w:p w14:paraId="70F6B6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Ashby, F. G., Valentin, V. V., &amp; von Meer, S. S. (2015). Differential effects of dopamine-directed treatments on cognition.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w:t>
      </w:r>
    </w:p>
    <w:p w14:paraId="43D553F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Ashendorf, L., &amp; McCaffrey, R. J. (2008). Exploring age-related decline on the Wisconsin Card Sorting Test.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262–272. </w:t>
      </w:r>
      <w:hyperlink r:id="rId219" w:history="1">
        <w:r w:rsidRPr="005B38F0">
          <w:rPr>
            <w:rFonts w:ascii="Times New Roman" w:eastAsia="Times New Roman" w:hAnsi="Times New Roman" w:cs="Times New Roman"/>
            <w:color w:val="0000FF"/>
            <w:sz w:val="24"/>
            <w:szCs w:val="24"/>
            <w:u w:val="single"/>
          </w:rPr>
          <w:t>https://doi.org/10.1080/13854040701218436</w:t>
        </w:r>
      </w:hyperlink>
    </w:p>
    <w:p w14:paraId="6A02A3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Ashendorf, L., O’Bryant, S. E., &amp; McCaffrey, R. J. (2003). Specificity of Malingering Detection Strategies in Older Adults Using the CVLT and WCST.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25–262. </w:t>
      </w:r>
      <w:hyperlink r:id="rId220" w:history="1">
        <w:r w:rsidRPr="005B38F0">
          <w:rPr>
            <w:rFonts w:ascii="Times New Roman" w:eastAsia="Times New Roman" w:hAnsi="Times New Roman" w:cs="Times New Roman"/>
            <w:color w:val="0000FF"/>
            <w:sz w:val="24"/>
            <w:szCs w:val="24"/>
            <w:u w:val="single"/>
          </w:rPr>
          <w:t>https://doi.org/10.1076/clin.17.2.255.16502</w:t>
        </w:r>
      </w:hyperlink>
    </w:p>
    <w:p w14:paraId="023A4E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Ashendorf, L., Vanderslice-Barr, J. L., &amp; McCaffrey, R. J. (2009). Motor tests and cognition in healthy older adults.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171–176. </w:t>
      </w:r>
      <w:hyperlink r:id="rId221" w:history="1">
        <w:r w:rsidRPr="005B38F0">
          <w:rPr>
            <w:rFonts w:ascii="Times New Roman" w:eastAsia="Times New Roman" w:hAnsi="Times New Roman" w:cs="Times New Roman"/>
            <w:color w:val="0000FF"/>
            <w:sz w:val="24"/>
            <w:szCs w:val="24"/>
            <w:u w:val="single"/>
          </w:rPr>
          <w:t>https://doi.org/10.1080/09084280903098562</w:t>
        </w:r>
      </w:hyperlink>
    </w:p>
    <w:p w14:paraId="11EF33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Ashley, M. J. (2010). Evaluation of traumatic brain injury following acute rehabilitation. In </w:t>
      </w:r>
      <w:r w:rsidRPr="005B38F0">
        <w:rPr>
          <w:rFonts w:ascii="Times New Roman" w:eastAsia="Times New Roman" w:hAnsi="Times New Roman" w:cs="Times New Roman"/>
          <w:i/>
          <w:iCs/>
          <w:sz w:val="24"/>
          <w:szCs w:val="24"/>
        </w:rPr>
        <w:t>Traumatic brain injury: Rehabilitation, treatment, and case management, 3rd ed.</w:t>
      </w:r>
      <w:r w:rsidRPr="005B38F0">
        <w:rPr>
          <w:rFonts w:ascii="Times New Roman" w:eastAsia="Times New Roman" w:hAnsi="Times New Roman" w:cs="Times New Roman"/>
          <w:sz w:val="24"/>
          <w:szCs w:val="24"/>
        </w:rPr>
        <w:t xml:space="preserve"> (pp. 883–909). CRC Press. </w:t>
      </w:r>
      <w:hyperlink r:id="rId222" w:history="1">
        <w:r w:rsidRPr="005B38F0">
          <w:rPr>
            <w:rFonts w:ascii="Times New Roman" w:eastAsia="Times New Roman" w:hAnsi="Times New Roman" w:cs="Times New Roman"/>
            <w:color w:val="0000FF"/>
            <w:sz w:val="24"/>
            <w:szCs w:val="24"/>
            <w:u w:val="single"/>
          </w:rPr>
          <w:t>https://doi.org/10.1201/9781439849828-c27</w:t>
        </w:r>
      </w:hyperlink>
    </w:p>
    <w:p w14:paraId="209D1A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Aşkar, P., Altun, A., Cangoz, B., Çevik, V., Kaya, G., &amp; Turksoy, H. (2012). A comparison of paper-and-pencil and computerized forms of line orientation and Enhanced Cued Recall </w:t>
      </w:r>
      <w:r w:rsidRPr="005B38F0">
        <w:rPr>
          <w:rFonts w:ascii="Times New Roman" w:eastAsia="Times New Roman" w:hAnsi="Times New Roman" w:cs="Times New Roman"/>
          <w:sz w:val="24"/>
          <w:szCs w:val="24"/>
        </w:rPr>
        <w:lastRenderedPageBreak/>
        <w:t xml:space="preserve">tests.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110</w:t>
      </w:r>
      <w:r w:rsidRPr="005B38F0">
        <w:rPr>
          <w:rFonts w:ascii="Times New Roman" w:eastAsia="Times New Roman" w:hAnsi="Times New Roman" w:cs="Times New Roman"/>
          <w:sz w:val="24"/>
          <w:szCs w:val="24"/>
        </w:rPr>
        <w:t xml:space="preserve">(2), 383–396. </w:t>
      </w:r>
      <w:hyperlink r:id="rId223" w:history="1">
        <w:r w:rsidRPr="005B38F0">
          <w:rPr>
            <w:rFonts w:ascii="Times New Roman" w:eastAsia="Times New Roman" w:hAnsi="Times New Roman" w:cs="Times New Roman"/>
            <w:color w:val="0000FF"/>
            <w:sz w:val="24"/>
            <w:szCs w:val="24"/>
            <w:u w:val="single"/>
          </w:rPr>
          <w:t>https://doi.org/10.2466/03.22.PR0.110.2.383-396</w:t>
        </w:r>
      </w:hyperlink>
    </w:p>
    <w:p w14:paraId="461C33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Aslaksen, P. M., Ørbo, M., Elvestad, R., Schäfer, C., &amp; Anke, A. (2013). Prediction of on‐road driving ability after traumatic brain injury and stroke.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(9), 1227–1233. </w:t>
      </w:r>
      <w:hyperlink r:id="rId224" w:history="1">
        <w:r w:rsidRPr="005B38F0">
          <w:rPr>
            <w:rFonts w:ascii="Times New Roman" w:eastAsia="Times New Roman" w:hAnsi="Times New Roman" w:cs="Times New Roman"/>
            <w:color w:val="0000FF"/>
            <w:sz w:val="24"/>
            <w:szCs w:val="24"/>
            <w:u w:val="single"/>
          </w:rPr>
          <w:t>https://doi.org/10.1111/ene.12172</w:t>
        </w:r>
      </w:hyperlink>
    </w:p>
    <w:p w14:paraId="42E51E1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Aslan, S., &amp; Cheung-Blunden, V. (2012). Where does self-control fit in the Five-Factor Model? Examining personality structure in children and adults.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(5), 670–674. </w:t>
      </w:r>
      <w:hyperlink r:id="rId225" w:history="1">
        <w:r w:rsidRPr="005B38F0">
          <w:rPr>
            <w:rFonts w:ascii="Times New Roman" w:eastAsia="Times New Roman" w:hAnsi="Times New Roman" w:cs="Times New Roman"/>
            <w:color w:val="0000FF"/>
            <w:sz w:val="24"/>
            <w:szCs w:val="24"/>
            <w:u w:val="single"/>
          </w:rPr>
          <w:t>https://doi.org/10.1016/j.paid.2012.05.006</w:t>
        </w:r>
      </w:hyperlink>
    </w:p>
    <w:p w14:paraId="6AC04E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Atbaşoğlu, E. C., Özgüven, H. D., &amp; Ölmez, Ş. (2003). Dissociation between Inattentiveness during Mental Status Testing and Social Inattentiveness in the Scale for the Assessment of Negative Symptoms Attention Subscale.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(5), 263–268. </w:t>
      </w:r>
      <w:hyperlink r:id="rId226" w:history="1">
        <w:r w:rsidRPr="005B38F0">
          <w:rPr>
            <w:rFonts w:ascii="Times New Roman" w:eastAsia="Times New Roman" w:hAnsi="Times New Roman" w:cs="Times New Roman"/>
            <w:color w:val="0000FF"/>
            <w:sz w:val="24"/>
            <w:szCs w:val="24"/>
            <w:u w:val="single"/>
          </w:rPr>
          <w:t>https://doi.org/10.1159/000073452</w:t>
        </w:r>
      </w:hyperlink>
    </w:p>
    <w:p w14:paraId="6E82A9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Atbasoglu, E. C., Ozguven, H. D., Saka, M. C., &amp; Olmez, S. (2005). Relative sparing of executive functions in the early phase of schizophrenia.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(4), 510–516. </w:t>
      </w:r>
      <w:hyperlink r:id="rId227" w:history="1">
        <w:r w:rsidRPr="005B38F0">
          <w:rPr>
            <w:rFonts w:ascii="Times New Roman" w:eastAsia="Times New Roman" w:hAnsi="Times New Roman" w:cs="Times New Roman"/>
            <w:color w:val="0000FF"/>
            <w:sz w:val="24"/>
            <w:szCs w:val="24"/>
            <w:u w:val="single"/>
          </w:rPr>
          <w:t>https://doi.org/10.1176/appi.neuropsych.17.4.510</w:t>
        </w:r>
      </w:hyperlink>
    </w:p>
    <w:p w14:paraId="25B129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Atchison, T. B., Sander, A. M., Struchen, M. A., High Jr., W. M., Roebuck, T. M., Contant, C. F., Wefel, J. S., Novack, T. A., &amp; Sherer, M. (2004). Relationship between neuropsychological test performance and productivity at 1-year following traumatic brain injury.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249–265. </w:t>
      </w:r>
      <w:hyperlink r:id="rId228" w:history="1">
        <w:r w:rsidRPr="005B38F0">
          <w:rPr>
            <w:rFonts w:ascii="Times New Roman" w:eastAsia="Times New Roman" w:hAnsi="Times New Roman" w:cs="Times New Roman"/>
            <w:color w:val="0000FF"/>
            <w:sz w:val="24"/>
            <w:szCs w:val="24"/>
            <w:u w:val="single"/>
          </w:rPr>
          <w:t>https://doi.org/10.1080/13854040490501475</w:t>
        </w:r>
      </w:hyperlink>
    </w:p>
    <w:p w14:paraId="188C22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Atkins, J. H., Rubenstein, S. L., Sota, T. L., Rueda, S., Fenta, H., Bacon, J., &amp; Rourke, S. B. (2010). Impact of social support on cognitive symptom burden in HIV/AIDS. </w:t>
      </w:r>
      <w:r w:rsidRPr="005B38F0">
        <w:rPr>
          <w:rFonts w:ascii="Times New Roman" w:eastAsia="Times New Roman" w:hAnsi="Times New Roman" w:cs="Times New Roman"/>
          <w:i/>
          <w:iCs/>
          <w:sz w:val="24"/>
          <w:szCs w:val="24"/>
        </w:rPr>
        <w:t>AIDS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(7), 793–802. </w:t>
      </w:r>
      <w:hyperlink r:id="rId229" w:history="1">
        <w:r w:rsidRPr="005B38F0">
          <w:rPr>
            <w:rFonts w:ascii="Times New Roman" w:eastAsia="Times New Roman" w:hAnsi="Times New Roman" w:cs="Times New Roman"/>
            <w:color w:val="0000FF"/>
            <w:sz w:val="24"/>
            <w:szCs w:val="24"/>
            <w:u w:val="single"/>
          </w:rPr>
          <w:t>https://doi.org/10.1080/09540120903482994</w:t>
        </w:r>
      </w:hyperlink>
    </w:p>
    <w:p w14:paraId="530EF3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 A. M. L., Lam, R., Teng, Y., Lau, K.-M., Lai, M. K., Chan, C. C. H., &amp; Leung, P. (2011). The relevance of executive functioning to academic performance in Hong Kong adolescents. </w:t>
      </w:r>
      <w:r w:rsidRPr="005B38F0">
        <w:rPr>
          <w:rFonts w:ascii="Times New Roman" w:eastAsia="Times New Roman" w:hAnsi="Times New Roman" w:cs="Times New Roman"/>
          <w:i/>
          <w:iCs/>
          <w:sz w:val="24"/>
          <w:szCs w:val="24"/>
        </w:rPr>
        <w:t>International Journal on Disability and Human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179–185. </w:t>
      </w:r>
      <w:hyperlink r:id="rId230" w:history="1">
        <w:r w:rsidRPr="005B38F0">
          <w:rPr>
            <w:rFonts w:ascii="Times New Roman" w:eastAsia="Times New Roman" w:hAnsi="Times New Roman" w:cs="Times New Roman"/>
            <w:color w:val="0000FF"/>
            <w:sz w:val="24"/>
            <w:szCs w:val="24"/>
            <w:u w:val="single"/>
          </w:rPr>
          <w:t>https://doi.org/10.1515/IJDHD.2011.031</w:t>
        </w:r>
      </w:hyperlink>
    </w:p>
    <w:p w14:paraId="7FAF75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 D. W. H., Tsang, H. W. H., So, W. W. Y., Bell, M. D., Cheung, V., Yiu, M. G. C., Tam, K. L., &amp; Lee, G. T. (2015). Effects of integrated supported employment plus cognitive remediation training for people with schizophrenia and schizoaffective disorders.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166</w:t>
      </w:r>
      <w:r w:rsidRPr="005B38F0">
        <w:rPr>
          <w:rFonts w:ascii="Times New Roman" w:eastAsia="Times New Roman" w:hAnsi="Times New Roman" w:cs="Times New Roman"/>
          <w:sz w:val="24"/>
          <w:szCs w:val="24"/>
        </w:rPr>
        <w:t xml:space="preserve">(1–3), 297–303. </w:t>
      </w:r>
      <w:hyperlink r:id="rId231" w:history="1">
        <w:r w:rsidRPr="005B38F0">
          <w:rPr>
            <w:rFonts w:ascii="Times New Roman" w:eastAsia="Times New Roman" w:hAnsi="Times New Roman" w:cs="Times New Roman"/>
            <w:color w:val="0000FF"/>
            <w:sz w:val="24"/>
            <w:szCs w:val="24"/>
            <w:u w:val="single"/>
          </w:rPr>
          <w:t>https://doi.org/10.1016/j.schres.2015.05.013</w:t>
        </w:r>
      </w:hyperlink>
    </w:p>
    <w:p w14:paraId="092F29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Auffret, M., Le Jeune, F., Maurus, A., Drapier, S., Houvenaghel, J.-F., Robert, G. H., Sauleau, P., &amp; Vérin, M. (2017). Apomorphine pump in advanced Parkinson’s disease: Effects on motor and nonmotor symptoms with brain metabolism correlations.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372</w:t>
      </w:r>
      <w:r w:rsidRPr="005B38F0">
        <w:rPr>
          <w:rFonts w:ascii="Times New Roman" w:eastAsia="Times New Roman" w:hAnsi="Times New Roman" w:cs="Times New Roman"/>
          <w:sz w:val="24"/>
          <w:szCs w:val="24"/>
        </w:rPr>
        <w:t xml:space="preserve">, 279–287. </w:t>
      </w:r>
      <w:hyperlink r:id="rId232" w:history="1">
        <w:r w:rsidRPr="005B38F0">
          <w:rPr>
            <w:rFonts w:ascii="Times New Roman" w:eastAsia="Times New Roman" w:hAnsi="Times New Roman" w:cs="Times New Roman"/>
            <w:color w:val="0000FF"/>
            <w:sz w:val="24"/>
            <w:szCs w:val="24"/>
            <w:u w:val="single"/>
          </w:rPr>
          <w:t>https://doi.org/10.1016/j.jns.2016.11.080</w:t>
        </w:r>
      </w:hyperlink>
    </w:p>
    <w:p w14:paraId="714A5C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Aupperle, R. L., Allard, C. B., Grimes, E. M., Simmons, A. N., Flagan, T., Behrooznia, M., Cissell, S. H., Twamley, E. W., Thorp, S. R., Norman, S. B., Paulus, M. P., &amp; Stein, M. B. (2012). Dorsolateral prefrontal cortex activation during emotional anticipation and </w:t>
      </w:r>
      <w:r w:rsidRPr="005B38F0">
        <w:rPr>
          <w:rFonts w:ascii="Times New Roman" w:eastAsia="Times New Roman" w:hAnsi="Times New Roman" w:cs="Times New Roman"/>
          <w:sz w:val="24"/>
          <w:szCs w:val="24"/>
        </w:rPr>
        <w:lastRenderedPageBreak/>
        <w:t xml:space="preserve">neuropsychological performance in posttraumatic stress disorder. </w:t>
      </w:r>
      <w:r w:rsidRPr="005B38F0">
        <w:rPr>
          <w:rFonts w:ascii="Times New Roman" w:eastAsia="Times New Roman" w:hAnsi="Times New Roman" w:cs="Times New Roman"/>
          <w:i/>
          <w:iCs/>
          <w:sz w:val="24"/>
          <w:szCs w:val="24"/>
        </w:rPr>
        <w:t>Archives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(4), 360–371. </w:t>
      </w:r>
      <w:hyperlink r:id="rId233" w:history="1">
        <w:r w:rsidRPr="005B38F0">
          <w:rPr>
            <w:rFonts w:ascii="Times New Roman" w:eastAsia="Times New Roman" w:hAnsi="Times New Roman" w:cs="Times New Roman"/>
            <w:color w:val="0000FF"/>
            <w:sz w:val="24"/>
            <w:szCs w:val="24"/>
            <w:u w:val="single"/>
          </w:rPr>
          <w:t>https://doi.org/10.1001/archgenpsychiatry.2011.1539</w:t>
        </w:r>
      </w:hyperlink>
    </w:p>
    <w:p w14:paraId="4CCDDE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Auslander, L. A., Perry, W., &amp; Jeste, D. V. (2002). Assessing disturbed thinking and cognition using the Ego Impairment Index in older schizophrenia patients: Paranoid vs. Nonparanoid distinction.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(3), 199–207. </w:t>
      </w:r>
      <w:hyperlink r:id="rId234" w:history="1">
        <w:r w:rsidRPr="005B38F0">
          <w:rPr>
            <w:rFonts w:ascii="Times New Roman" w:eastAsia="Times New Roman" w:hAnsi="Times New Roman" w:cs="Times New Roman"/>
            <w:color w:val="0000FF"/>
            <w:sz w:val="24"/>
            <w:szCs w:val="24"/>
            <w:u w:val="single"/>
          </w:rPr>
          <w:t>https://doi.org/10.1016/S0920-9964(01)00209-2</w:t>
        </w:r>
      </w:hyperlink>
    </w:p>
    <w:p w14:paraId="10D4F4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Avdagic, E., Jensen, G., Altschul, D., &amp; Terrace, H. S. (2014). Rapid cognitive flexibility of rhesus macaques performing psychophysical task-switching. </w:t>
      </w:r>
      <w:r w:rsidRPr="005B38F0">
        <w:rPr>
          <w:rFonts w:ascii="Times New Roman" w:eastAsia="Times New Roman" w:hAnsi="Times New Roman" w:cs="Times New Roman"/>
          <w:i/>
          <w:iCs/>
          <w:sz w:val="24"/>
          <w:szCs w:val="24"/>
        </w:rPr>
        <w:t>Animal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619–631. </w:t>
      </w:r>
      <w:hyperlink r:id="rId235" w:history="1">
        <w:r w:rsidRPr="005B38F0">
          <w:rPr>
            <w:rFonts w:ascii="Times New Roman" w:eastAsia="Times New Roman" w:hAnsi="Times New Roman" w:cs="Times New Roman"/>
            <w:color w:val="0000FF"/>
            <w:sz w:val="24"/>
            <w:szCs w:val="24"/>
            <w:u w:val="single"/>
          </w:rPr>
          <w:t>https://doi.org/10.1007/s10071-013-0693-0</w:t>
        </w:r>
      </w:hyperlink>
    </w:p>
    <w:p w14:paraId="54C320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Averill, L. A., Abdallah, C. G., Levey, D. F., Han, S., Harpaz‐Rotem, I., Kranzler, H. R., Southwick, S. M., Krystal, J. H., Gelernter, J., &amp; Pietrzak, R. H. (2019). Apolipoprotein E gene polymorphism, posttraumatic stress disorder, and cognitive function in older U.S. veterans: Results from the National Health and Resilience in Veterans Study. </w:t>
      </w:r>
      <w:r w:rsidRPr="005B38F0">
        <w:rPr>
          <w:rFonts w:ascii="Times New Roman" w:eastAsia="Times New Roman" w:hAnsi="Times New Roman" w:cs="Times New Roman"/>
          <w:i/>
          <w:iCs/>
          <w:sz w:val="24"/>
          <w:szCs w:val="24"/>
        </w:rPr>
        <w:t>Depression and Anxiety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(9), 834–845. </w:t>
      </w:r>
      <w:hyperlink r:id="rId236" w:history="1">
        <w:r w:rsidRPr="005B38F0">
          <w:rPr>
            <w:rFonts w:ascii="Times New Roman" w:eastAsia="Times New Roman" w:hAnsi="Times New Roman" w:cs="Times New Roman"/>
            <w:color w:val="0000FF"/>
            <w:sz w:val="24"/>
            <w:szCs w:val="24"/>
            <w:u w:val="single"/>
          </w:rPr>
          <w:t>https://doi.org/10.1002/da.22912</w:t>
        </w:r>
      </w:hyperlink>
    </w:p>
    <w:p w14:paraId="5CB805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Avila, C., Cuenca, I., Félix, V., Parcet, M.-A., &amp; Miranda, A. (2004). Measuring Impulsivity in School-Aged Boys and Examining Its Relationship with ADHD and ODD Ratings. </w:t>
      </w:r>
      <w:r w:rsidRPr="005B38F0">
        <w:rPr>
          <w:rFonts w:ascii="Times New Roman" w:eastAsia="Times New Roman" w:hAnsi="Times New Roman" w:cs="Times New Roman"/>
          <w:i/>
          <w:iCs/>
          <w:sz w:val="24"/>
          <w:szCs w:val="24"/>
        </w:rPr>
        <w:t>Journal of Abnormal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(3), 295–304. </w:t>
      </w:r>
      <w:hyperlink r:id="rId237" w:history="1">
        <w:r w:rsidRPr="005B38F0">
          <w:rPr>
            <w:rFonts w:ascii="Times New Roman" w:eastAsia="Times New Roman" w:hAnsi="Times New Roman" w:cs="Times New Roman"/>
            <w:color w:val="0000FF"/>
            <w:sz w:val="24"/>
            <w:szCs w:val="24"/>
            <w:u w:val="single"/>
          </w:rPr>
          <w:t>https://doi.org/10.1023/B:JACP.0000026143.70832.4b</w:t>
        </w:r>
      </w:hyperlink>
    </w:p>
    <w:p w14:paraId="1AAFFF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Avila, J. F., Verney, S. P., Kauzor, K., Flowers, A., Mehradfar, M., &amp; Razani, J. (2019). Normative data for Farsi-speaking Iranians in the United States on measures of executive functioning.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229–235. </w:t>
      </w:r>
      <w:hyperlink r:id="rId238" w:history="1">
        <w:r w:rsidRPr="005B38F0">
          <w:rPr>
            <w:rFonts w:ascii="Times New Roman" w:eastAsia="Times New Roman" w:hAnsi="Times New Roman" w:cs="Times New Roman"/>
            <w:color w:val="0000FF"/>
            <w:sz w:val="24"/>
            <w:szCs w:val="24"/>
            <w:u w:val="single"/>
          </w:rPr>
          <w:t>https://doi.org/10.1080/23279095.2017.1392963</w:t>
        </w:r>
      </w:hyperlink>
    </w:p>
    <w:p w14:paraId="6CDF9D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Avila, J., Flowers, A., Scott, T. M., Quilici, J., Apostolova, L. G., Woo, E., Ringman, J., &amp; Razani, J. (2015). Daily activity abilities in MCI, Alzheimer’s disease, and healthy controls. </w:t>
      </w:r>
      <w:r w:rsidRPr="005B38F0">
        <w:rPr>
          <w:rFonts w:ascii="Times New Roman" w:eastAsia="Times New Roman" w:hAnsi="Times New Roman" w:cs="Times New Roman"/>
          <w:i/>
          <w:iCs/>
          <w:sz w:val="24"/>
          <w:szCs w:val="24"/>
        </w:rPr>
        <w:t>GeroPsych: The Journal of Gerontopsychology and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191–200. </w:t>
      </w:r>
      <w:hyperlink r:id="rId239" w:history="1">
        <w:r w:rsidRPr="005B38F0">
          <w:rPr>
            <w:rFonts w:ascii="Times New Roman" w:eastAsia="Times New Roman" w:hAnsi="Times New Roman" w:cs="Times New Roman"/>
            <w:color w:val="0000FF"/>
            <w:sz w:val="24"/>
            <w:szCs w:val="24"/>
            <w:u w:val="single"/>
          </w:rPr>
          <w:t>https://doi.org/10.1024/1662-9647/a000136</w:t>
        </w:r>
      </w:hyperlink>
    </w:p>
    <w:p w14:paraId="59B1D4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Avons, S. E., Nunn, J. A., Chan, L., &amp; Armstrong, H. (2003). Executive function assessed by memory updating and random generation in schizotypal individuals.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120</w:t>
      </w:r>
      <w:r w:rsidRPr="005B38F0">
        <w:rPr>
          <w:rFonts w:ascii="Times New Roman" w:eastAsia="Times New Roman" w:hAnsi="Times New Roman" w:cs="Times New Roman"/>
          <w:sz w:val="24"/>
          <w:szCs w:val="24"/>
        </w:rPr>
        <w:t xml:space="preserve">(2), 145–154. </w:t>
      </w:r>
      <w:hyperlink r:id="rId240" w:history="1">
        <w:r w:rsidRPr="005B38F0">
          <w:rPr>
            <w:rFonts w:ascii="Times New Roman" w:eastAsia="Times New Roman" w:hAnsi="Times New Roman" w:cs="Times New Roman"/>
            <w:color w:val="0000FF"/>
            <w:sz w:val="24"/>
            <w:szCs w:val="24"/>
            <w:u w:val="single"/>
          </w:rPr>
          <w:t>https://doi.org/10.1016/S0165-1781(03)00174-4</w:t>
        </w:r>
      </w:hyperlink>
    </w:p>
    <w:p w14:paraId="162CC2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(2002). Are normative data from the 64-card version of the WCST comparable to the full WCST?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(1), 7–11. </w:t>
      </w:r>
      <w:hyperlink r:id="rId241" w:history="1">
        <w:r w:rsidRPr="005B38F0">
          <w:rPr>
            <w:rFonts w:ascii="Times New Roman" w:eastAsia="Times New Roman" w:hAnsi="Times New Roman" w:cs="Times New Roman"/>
            <w:color w:val="0000FF"/>
            <w:sz w:val="24"/>
            <w:szCs w:val="24"/>
            <w:u w:val="single"/>
          </w:rPr>
          <w:t>https://doi.org/10.1076/clin.16.1.7.8331</w:t>
        </w:r>
      </w:hyperlink>
    </w:p>
    <w:p w14:paraId="4E3B57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Goldman, R. S., Heaton, R. K., Curtiss, G., Thompson, L. L., Chelune, G. J., &amp; Kay, G. G. (1996). Discriminability of the Wisconsin Card Sorting Test using the standardization sample.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338–342. </w:t>
      </w:r>
      <w:hyperlink r:id="rId242" w:history="1">
        <w:r w:rsidRPr="005B38F0">
          <w:rPr>
            <w:rFonts w:ascii="Times New Roman" w:eastAsia="Times New Roman" w:hAnsi="Times New Roman" w:cs="Times New Roman"/>
            <w:color w:val="0000FF"/>
            <w:sz w:val="24"/>
            <w:szCs w:val="24"/>
            <w:u w:val="single"/>
          </w:rPr>
          <w:t>https://doi.org/10.1080/01688639608408991</w:t>
        </w:r>
      </w:hyperlink>
    </w:p>
    <w:p w14:paraId="55958F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Goldman, R. S., Tompkins, L. M., &amp; Jiron, C. C. (1994). Poor differential performance on the Wisconsin Card Sorting Test in schizophrenia, mood disorder, and </w:t>
      </w:r>
      <w:r w:rsidRPr="005B38F0">
        <w:rPr>
          <w:rFonts w:ascii="Times New Roman" w:eastAsia="Times New Roman" w:hAnsi="Times New Roman" w:cs="Times New Roman"/>
          <w:sz w:val="24"/>
          <w:szCs w:val="24"/>
        </w:rPr>
        <w:lastRenderedPageBreak/>
        <w:t xml:space="preserve">traumatic brain injury. </w:t>
      </w:r>
      <w:r w:rsidRPr="005B38F0">
        <w:rPr>
          <w:rFonts w:ascii="Times New Roman" w:eastAsia="Times New Roman" w:hAnsi="Times New Roman" w:cs="Times New Roman"/>
          <w:i/>
          <w:iCs/>
          <w:sz w:val="24"/>
          <w:szCs w:val="24"/>
        </w:rPr>
        <w:t>Neuropsychiatry, Neuropsychology, &amp;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(1), 20–24.</w:t>
      </w:r>
    </w:p>
    <w:p w14:paraId="65A522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Greve, K. W., &amp; Goldman, R. S. (1994). Comparison of four Wisconsin Card Sorting Test scoring guides with novice raters. </w:t>
      </w:r>
      <w:r w:rsidRPr="005B38F0">
        <w:rPr>
          <w:rFonts w:ascii="Times New Roman" w:eastAsia="Times New Roman" w:hAnsi="Times New Roman" w:cs="Times New Roman"/>
          <w:i/>
          <w:iCs/>
          <w:sz w:val="24"/>
          <w:szCs w:val="24"/>
        </w:rPr>
        <w:t>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xml:space="preserve">(2), 115–121. </w:t>
      </w:r>
      <w:hyperlink r:id="rId243" w:history="1">
        <w:r w:rsidRPr="005B38F0">
          <w:rPr>
            <w:rFonts w:ascii="Times New Roman" w:eastAsia="Times New Roman" w:hAnsi="Times New Roman" w:cs="Times New Roman"/>
            <w:color w:val="0000FF"/>
            <w:sz w:val="24"/>
            <w:szCs w:val="24"/>
            <w:u w:val="single"/>
          </w:rPr>
          <w:t>https://doi.org/10.1177/1073191194001002001</w:t>
        </w:r>
      </w:hyperlink>
    </w:p>
    <w:p w14:paraId="0B2A69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Meyers, J. E., &amp; Davis, J. J. (2014). Finger tapping test performance as a measure of performance validity.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876–888. </w:t>
      </w:r>
      <w:hyperlink r:id="rId244" w:history="1">
        <w:r w:rsidRPr="005B38F0">
          <w:rPr>
            <w:rFonts w:ascii="Times New Roman" w:eastAsia="Times New Roman" w:hAnsi="Times New Roman" w:cs="Times New Roman"/>
            <w:color w:val="0000FF"/>
            <w:sz w:val="24"/>
            <w:szCs w:val="24"/>
            <w:u w:val="single"/>
          </w:rPr>
          <w:t>https://doi.org/10.1080/13854046.2014.907583</w:t>
        </w:r>
      </w:hyperlink>
    </w:p>
    <w:p w14:paraId="75122F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Paolo, A. M., &amp; Abraham, E. (1997). Do normative data from the full WCST extend to the abbreviated WCST? </w:t>
      </w:r>
      <w:r w:rsidRPr="005B38F0">
        <w:rPr>
          <w:rFonts w:ascii="Times New Roman" w:eastAsia="Times New Roman" w:hAnsi="Times New Roman" w:cs="Times New Roman"/>
          <w:i/>
          <w:iCs/>
          <w:sz w:val="24"/>
          <w:szCs w:val="24"/>
        </w:rPr>
        <w:t>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(1), 41–46.</w:t>
      </w:r>
    </w:p>
    <w:p w14:paraId="55B906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Axelrod, B. N., &amp; Schutte, C. (2010). Analysis of the dementia profile on the Medical Symptom Validity Test.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(5), 873–881. </w:t>
      </w:r>
      <w:hyperlink r:id="rId245" w:history="1">
        <w:r w:rsidRPr="005B38F0">
          <w:rPr>
            <w:rFonts w:ascii="Times New Roman" w:eastAsia="Times New Roman" w:hAnsi="Times New Roman" w:cs="Times New Roman"/>
            <w:color w:val="0000FF"/>
            <w:sz w:val="24"/>
            <w:szCs w:val="24"/>
            <w:u w:val="single"/>
          </w:rPr>
          <w:t>https://doi.org/10.1080/13854040903527295</w:t>
        </w:r>
      </w:hyperlink>
    </w:p>
    <w:p w14:paraId="364026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Ayaz, M., Karakaya, I., Ayaz, A. B., Kara, B., &amp; Kutlu, M. (2013). Rolandik epilepside frontal lob işlevlerine odaklanan nörobilişsel ve ruhsal değerlendirme. [Psychiatric and neurocognitive evaluation focused on frontal lobe functions in rolandic epilepsy.].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(3), 209–215.</w:t>
      </w:r>
    </w:p>
    <w:p w14:paraId="5618B3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Aydemir, Ö., çubukçuoğlu, Z., Erdin, S., Taş, C., Onur, E., &amp; Berk, M. (2014). Oxidative stress markers, cognitive functions, and psychosocial functioning in bipolar disorder: An empirical cross-sectional study.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(4), 293–297. </w:t>
      </w:r>
      <w:hyperlink r:id="rId246" w:history="1">
        <w:r w:rsidRPr="005B38F0">
          <w:rPr>
            <w:rFonts w:ascii="Times New Roman" w:eastAsia="Times New Roman" w:hAnsi="Times New Roman" w:cs="Times New Roman"/>
            <w:color w:val="0000FF"/>
            <w:sz w:val="24"/>
            <w:szCs w:val="24"/>
            <w:u w:val="single"/>
          </w:rPr>
          <w:t>https://doi.org/10.1590/1516-4446-2013-1299</w:t>
        </w:r>
      </w:hyperlink>
    </w:p>
    <w:p w14:paraId="0C9921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Aydin, O., Balıkçı, K., Taş, C., Ünal Aydın, P., Çökmüş, F. P., &amp; Esen Danacı, A. (2017). Şizofreni hastalarının anneleri ile sağlıklı kontrollerin yürütücü işlev, sosyal biliş ve plazma oksitosin düzeylerinin karşılaştırılması: Yeni bir endofenotip arayışı. [The comparison of executive functions, social cognition and plasma oxytocin level bet. </w:t>
      </w:r>
      <w:r w:rsidRPr="005B38F0">
        <w:rPr>
          <w:rFonts w:ascii="Times New Roman" w:eastAsia="Times New Roman" w:hAnsi="Times New Roman" w:cs="Times New Roman"/>
          <w:i/>
          <w:iCs/>
          <w:sz w:val="24"/>
          <w:szCs w:val="24"/>
        </w:rPr>
        <w:t>Anadolu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(4), 307–313.</w:t>
      </w:r>
    </w:p>
    <w:p w14:paraId="699CC0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Aydin, P. Ç., &amp; Güleç Öyekçin, D. (2013). Obsesif kompulsif bozuklukta bilişsel işlevler. [Cognitive functions in patients with obsessive compulsive disorder.].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(4), 266–274.</w:t>
      </w:r>
    </w:p>
    <w:p w14:paraId="3D9C85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Aydın, E., Ülgen, M. C., Tabo, A., Devrim Balaban, Ö., Yeşilyurt, S., &amp; Yumrukçal, H. (2017). Executive function and genetic loading in nonpsychotic relatives of schizophrenia patients.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248</w:t>
      </w:r>
      <w:r w:rsidRPr="005B38F0">
        <w:rPr>
          <w:rFonts w:ascii="Times New Roman" w:eastAsia="Times New Roman" w:hAnsi="Times New Roman" w:cs="Times New Roman"/>
          <w:sz w:val="24"/>
          <w:szCs w:val="24"/>
        </w:rPr>
        <w:t xml:space="preserve">, 105–110. </w:t>
      </w:r>
      <w:hyperlink r:id="rId247" w:history="1">
        <w:r w:rsidRPr="005B38F0">
          <w:rPr>
            <w:rFonts w:ascii="Times New Roman" w:eastAsia="Times New Roman" w:hAnsi="Times New Roman" w:cs="Times New Roman"/>
            <w:color w:val="0000FF"/>
            <w:sz w:val="24"/>
            <w:szCs w:val="24"/>
            <w:u w:val="single"/>
          </w:rPr>
          <w:t>https://doi.org/10.1016/j.psychres.2016.12.027</w:t>
        </w:r>
      </w:hyperlink>
    </w:p>
    <w:p w14:paraId="38AD3A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Aydın, O., Lysaker, P. H., Balıkçı, K., Ünal-Aydın, P., &amp; Esen-Danacı, A. (2018). Associations of oxytocin and vasopressin plasma levels with neurocognitive, social cognitive and meta cognitive function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270</w:t>
      </w:r>
      <w:r w:rsidRPr="005B38F0">
        <w:rPr>
          <w:rFonts w:ascii="Times New Roman" w:eastAsia="Times New Roman" w:hAnsi="Times New Roman" w:cs="Times New Roman"/>
          <w:sz w:val="24"/>
          <w:szCs w:val="24"/>
        </w:rPr>
        <w:t xml:space="preserve">, 1010–1016. </w:t>
      </w:r>
      <w:hyperlink r:id="rId248" w:history="1">
        <w:r w:rsidRPr="005B38F0">
          <w:rPr>
            <w:rFonts w:ascii="Times New Roman" w:eastAsia="Times New Roman" w:hAnsi="Times New Roman" w:cs="Times New Roman"/>
            <w:color w:val="0000FF"/>
            <w:sz w:val="24"/>
            <w:szCs w:val="24"/>
            <w:u w:val="single"/>
          </w:rPr>
          <w:t>https://doi.org/10.1016/j.psychres.2018.03.048</w:t>
        </w:r>
      </w:hyperlink>
    </w:p>
    <w:p w14:paraId="68B6B5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Aydın, O., Obuća, F., Boz, C., &amp; Ünal-Aydın, P. (2020). Associations between executive functions and problematic social networking sites use.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(6), 634–645. </w:t>
      </w:r>
      <w:hyperlink r:id="rId249" w:history="1">
        <w:r w:rsidRPr="005B38F0">
          <w:rPr>
            <w:rFonts w:ascii="Times New Roman" w:eastAsia="Times New Roman" w:hAnsi="Times New Roman" w:cs="Times New Roman"/>
            <w:color w:val="0000FF"/>
            <w:sz w:val="24"/>
            <w:szCs w:val="24"/>
            <w:u w:val="single"/>
          </w:rPr>
          <w:t>https://doi.org/10.1080/13803395.2020.1798358</w:t>
        </w:r>
      </w:hyperlink>
    </w:p>
    <w:p w14:paraId="444C8BF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Ayers, C. R., Davidson, E. J., Dozier, M. E., &amp; Twamley, E. W. (2020). Cognitive rehabilitation and exposure/sorting therapy for late-life hoarding: Effects on neuropsychological performance. </w:t>
      </w:r>
      <w:r w:rsidRPr="005B38F0">
        <w:rPr>
          <w:rFonts w:ascii="Times New Roman" w:eastAsia="Times New Roman" w:hAnsi="Times New Roman" w:cs="Times New Roman"/>
          <w:i/>
          <w:iCs/>
          <w:sz w:val="24"/>
          <w:szCs w:val="24"/>
        </w:rPr>
        <w:t>The Journals of Gerontology: Series B: Psychological Sciences and Social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(6), 1193–1198. </w:t>
      </w:r>
      <w:hyperlink r:id="rId250" w:history="1">
        <w:r w:rsidRPr="005B38F0">
          <w:rPr>
            <w:rFonts w:ascii="Times New Roman" w:eastAsia="Times New Roman" w:hAnsi="Times New Roman" w:cs="Times New Roman"/>
            <w:color w:val="0000FF"/>
            <w:sz w:val="24"/>
            <w:szCs w:val="24"/>
            <w:u w:val="single"/>
          </w:rPr>
          <w:t>https://doi.org/10.1093/geronb/gbz062</w:t>
        </w:r>
      </w:hyperlink>
    </w:p>
    <w:p w14:paraId="47A341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Ayers, C. R., Wetherell, J. L., Schiehser, D., Almklov, E., Golshan, S., &amp; Saxena, S. (2013). Executive functioning in older adults with hoarding disorder.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(11), 1175–1181.</w:t>
      </w:r>
    </w:p>
    <w:p w14:paraId="5D1C53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Ayoobi, F., Bidaki, R., Shamsizadeh, A., Moghadam-Ahmadi, A., &amp; Amiri, H. (2019). Impact of opium dependency on clinical and neuropsychological indices of multiple sclerosis patients.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(12), 2501–2507. </w:t>
      </w:r>
      <w:hyperlink r:id="rId251" w:history="1">
        <w:r w:rsidRPr="005B38F0">
          <w:rPr>
            <w:rFonts w:ascii="Times New Roman" w:eastAsia="Times New Roman" w:hAnsi="Times New Roman" w:cs="Times New Roman"/>
            <w:color w:val="0000FF"/>
            <w:sz w:val="24"/>
            <w:szCs w:val="24"/>
            <w:u w:val="single"/>
          </w:rPr>
          <w:t>https://doi.org/10.1007/s10072-019-03971-8</w:t>
        </w:r>
      </w:hyperlink>
    </w:p>
    <w:p w14:paraId="22B1EB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Ayutyanont, N., Langbaum, J. B. S., Hendrix, S. B., Chen, K., Fleisher, A. S., Friesenhahn, M., Ward, M., Aguirre, C., Acosta-Baena, N., Madrigal, L., Muñoz, C., Tirado, V., Moreno, S., Tariot, P. N., Lopera, F., &amp; Reiman, E. M. (2014). The Alzheimer’s prevention initiative composite cognitive test score: Sample size estimates for the evaluation of preclinical Alzheimer’s disease treatments in presenilin 1 E280A mutation carriers.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(6), 652–660. </w:t>
      </w:r>
      <w:hyperlink r:id="rId252" w:history="1">
        <w:r w:rsidRPr="005B38F0">
          <w:rPr>
            <w:rFonts w:ascii="Times New Roman" w:eastAsia="Times New Roman" w:hAnsi="Times New Roman" w:cs="Times New Roman"/>
            <w:color w:val="0000FF"/>
            <w:sz w:val="24"/>
            <w:szCs w:val="24"/>
            <w:u w:val="single"/>
          </w:rPr>
          <w:t>https://doi.org/10.4088/JCP.13m08927</w:t>
        </w:r>
      </w:hyperlink>
    </w:p>
    <w:p w14:paraId="1E97268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Azar, S. T., McGuier, D. J., Miller, E. A., Hernandez-Mekonnen, R., &amp; Johnson, D. R. (2017). Child neglect and maternal cross-relational social cognitive and neurocognitive disturbances. </w:t>
      </w:r>
      <w:r w:rsidRPr="005B38F0">
        <w:rPr>
          <w:rFonts w:ascii="Times New Roman" w:eastAsia="Times New Roman" w:hAnsi="Times New Roman" w:cs="Times New Roman"/>
          <w:i/>
          <w:iCs/>
          <w:sz w:val="24"/>
          <w:szCs w:val="24"/>
        </w:rPr>
        <w:t>Journal of Family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8–18. </w:t>
      </w:r>
      <w:hyperlink r:id="rId253" w:history="1">
        <w:r w:rsidRPr="005B38F0">
          <w:rPr>
            <w:rFonts w:ascii="Times New Roman" w:eastAsia="Times New Roman" w:hAnsi="Times New Roman" w:cs="Times New Roman"/>
            <w:color w:val="0000FF"/>
            <w:sz w:val="24"/>
            <w:szCs w:val="24"/>
            <w:u w:val="single"/>
          </w:rPr>
          <w:t>https://doi.org/10.1037/fam0000268</w:t>
        </w:r>
      </w:hyperlink>
    </w:p>
    <w:p w14:paraId="27AD46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Azar, S. T., Stevenson, M. T., &amp; Johnson, D. R. (2012). Intellectual disabilities and neglectful parenting: Preliminary findings on the role of cognition in parenting risk. </w:t>
      </w:r>
      <w:r w:rsidRPr="005B38F0">
        <w:rPr>
          <w:rFonts w:ascii="Times New Roman" w:eastAsia="Times New Roman" w:hAnsi="Times New Roman" w:cs="Times New Roman"/>
          <w:i/>
          <w:iCs/>
          <w:sz w:val="24"/>
          <w:szCs w:val="24"/>
        </w:rPr>
        <w:t>Journal of Mental Health Research in Intellectual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94–129. </w:t>
      </w:r>
      <w:hyperlink r:id="rId254" w:history="1">
        <w:r w:rsidRPr="005B38F0">
          <w:rPr>
            <w:rFonts w:ascii="Times New Roman" w:eastAsia="Times New Roman" w:hAnsi="Times New Roman" w:cs="Times New Roman"/>
            <w:color w:val="0000FF"/>
            <w:sz w:val="24"/>
            <w:szCs w:val="24"/>
            <w:u w:val="single"/>
          </w:rPr>
          <w:t>https://doi.org/10.1080/19315864.2011.615460</w:t>
        </w:r>
      </w:hyperlink>
    </w:p>
    <w:p w14:paraId="3D6E18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Azcárraga‐Guirola, E., Rodríguez‐Agudelo, Y., Velázquez‐Cardoso, J., Rito‐García, Y., &amp; Solís‐Vivanco, R. (2017). Electrophysiological correlates of decision making impairment in multiple sclerosis. </w:t>
      </w:r>
      <w:r w:rsidRPr="005B38F0">
        <w:rPr>
          <w:rFonts w:ascii="Times New Roman" w:eastAsia="Times New Roman" w:hAnsi="Times New Roman" w:cs="Times New Roman"/>
          <w:i/>
          <w:iCs/>
          <w:sz w:val="24"/>
          <w:szCs w:val="24"/>
        </w:rPr>
        <w:t>European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(2), 321–329. </w:t>
      </w:r>
      <w:hyperlink r:id="rId255" w:history="1">
        <w:r w:rsidRPr="005B38F0">
          <w:rPr>
            <w:rFonts w:ascii="Times New Roman" w:eastAsia="Times New Roman" w:hAnsi="Times New Roman" w:cs="Times New Roman"/>
            <w:color w:val="0000FF"/>
            <w:sz w:val="24"/>
            <w:szCs w:val="24"/>
            <w:u w:val="single"/>
          </w:rPr>
          <w:t>https://doi.org/10.1111/ejn.13465</w:t>
        </w:r>
      </w:hyperlink>
    </w:p>
    <w:p w14:paraId="439E0A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Aziz, M., Stathopulu, E., Callias, M., Taylor, C., Turk, J., Oostra, B., Willemsen, R., &amp; Patton, M. (2003). Clinical features of boys with fragile X premutations and intermediate alleles.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121B</w:t>
      </w:r>
      <w:r w:rsidRPr="005B38F0">
        <w:rPr>
          <w:rFonts w:ascii="Times New Roman" w:eastAsia="Times New Roman" w:hAnsi="Times New Roman" w:cs="Times New Roman"/>
          <w:sz w:val="24"/>
          <w:szCs w:val="24"/>
        </w:rPr>
        <w:t xml:space="preserve">(1), 119–127. </w:t>
      </w:r>
      <w:hyperlink r:id="rId256" w:history="1">
        <w:r w:rsidRPr="005B38F0">
          <w:rPr>
            <w:rFonts w:ascii="Times New Roman" w:eastAsia="Times New Roman" w:hAnsi="Times New Roman" w:cs="Times New Roman"/>
            <w:color w:val="0000FF"/>
            <w:sz w:val="24"/>
            <w:szCs w:val="24"/>
            <w:u w:val="single"/>
          </w:rPr>
          <w:t>https://doi.org/10.1002/ajmg.b.20030</w:t>
        </w:r>
      </w:hyperlink>
    </w:p>
    <w:p w14:paraId="211272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Azores-Gococo, N. M., Brook, M., Teralandur, S. P., &amp; Hanlon, R. E. (2017). Killing a child: Neuropsychological profiles of murderers of children. </w:t>
      </w:r>
      <w:r w:rsidRPr="005B38F0">
        <w:rPr>
          <w:rFonts w:ascii="Times New Roman" w:eastAsia="Times New Roman" w:hAnsi="Times New Roman" w:cs="Times New Roman"/>
          <w:i/>
          <w:iCs/>
          <w:sz w:val="24"/>
          <w:szCs w:val="24"/>
        </w:rPr>
        <w:t>Criminal Justice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(7), 946–962. </w:t>
      </w:r>
      <w:hyperlink r:id="rId257" w:history="1">
        <w:r w:rsidRPr="005B38F0">
          <w:rPr>
            <w:rFonts w:ascii="Times New Roman" w:eastAsia="Times New Roman" w:hAnsi="Times New Roman" w:cs="Times New Roman"/>
            <w:color w:val="0000FF"/>
            <w:sz w:val="24"/>
            <w:szCs w:val="24"/>
            <w:u w:val="single"/>
          </w:rPr>
          <w:t>https://doi.org/10.1177/0093854817699437</w:t>
        </w:r>
      </w:hyperlink>
    </w:p>
    <w:p w14:paraId="5BB52E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Azuma, T., Cruz, R. F., Bayles, K. A., Tomoeda, C. K., &amp; Montgomery Jr., E. B. (2003a). A longitudinal study of neuropsychological change in individuals with Parkinson’s disease.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(11), 1043–1049. </w:t>
      </w:r>
      <w:hyperlink r:id="rId258" w:history="1">
        <w:r w:rsidRPr="005B38F0">
          <w:rPr>
            <w:rFonts w:ascii="Times New Roman" w:eastAsia="Times New Roman" w:hAnsi="Times New Roman" w:cs="Times New Roman"/>
            <w:color w:val="0000FF"/>
            <w:sz w:val="24"/>
            <w:szCs w:val="24"/>
            <w:u w:val="single"/>
          </w:rPr>
          <w:t>https://doi.org/10.1002/gps.1015</w:t>
        </w:r>
      </w:hyperlink>
    </w:p>
    <w:p w14:paraId="50B2BD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Azuma, T., Cruz, R. F., Bayles, K. A., Tomoeda, C. K., &amp; Montgomery Jr., E. B. (2003b). A longitudinal study of neuropsychological change in individuals with Parkinson’s disease.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(12), 1115–1120. </w:t>
      </w:r>
      <w:hyperlink r:id="rId259" w:history="1">
        <w:r w:rsidRPr="005B38F0">
          <w:rPr>
            <w:rFonts w:ascii="Times New Roman" w:eastAsia="Times New Roman" w:hAnsi="Times New Roman" w:cs="Times New Roman"/>
            <w:color w:val="0000FF"/>
            <w:sz w:val="24"/>
            <w:szCs w:val="24"/>
            <w:u w:val="single"/>
          </w:rPr>
          <w:t>https://doi.org/10.1002/gps.1022</w:t>
        </w:r>
      </w:hyperlink>
    </w:p>
    <w:p w14:paraId="74270D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Bâ, M. B., Zanello, A., Varnier, M., Koellner, V., &amp; Merlo, M. C. G. (2008). Deficits in neurocognition, theory of mind, and social functioning in patients with schizophrenic disorders: Are they related?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196</w:t>
      </w:r>
      <w:r w:rsidRPr="005B38F0">
        <w:rPr>
          <w:rFonts w:ascii="Times New Roman" w:eastAsia="Times New Roman" w:hAnsi="Times New Roman" w:cs="Times New Roman"/>
          <w:sz w:val="24"/>
          <w:szCs w:val="24"/>
        </w:rPr>
        <w:t xml:space="preserve">(2), 153–156. </w:t>
      </w:r>
      <w:hyperlink r:id="rId260" w:history="1">
        <w:r w:rsidRPr="005B38F0">
          <w:rPr>
            <w:rFonts w:ascii="Times New Roman" w:eastAsia="Times New Roman" w:hAnsi="Times New Roman" w:cs="Times New Roman"/>
            <w:color w:val="0000FF"/>
            <w:sz w:val="24"/>
            <w:szCs w:val="24"/>
            <w:u w:val="single"/>
          </w:rPr>
          <w:t>https://doi.org/10.1097/NMD.0b013e318162aa08</w:t>
        </w:r>
      </w:hyperlink>
    </w:p>
    <w:p w14:paraId="193DC6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Bach, D. R., Talmi, D., Hurlemann, R., Patin, A., &amp; Dolan, R. J. (2011). Automatic relevance detection in the absence of a functional amygdala.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(5), 1302–1305. </w:t>
      </w:r>
      <w:hyperlink r:id="rId261" w:history="1">
        <w:r w:rsidRPr="005B38F0">
          <w:rPr>
            <w:rFonts w:ascii="Times New Roman" w:eastAsia="Times New Roman" w:hAnsi="Times New Roman" w:cs="Times New Roman"/>
            <w:color w:val="0000FF"/>
            <w:sz w:val="24"/>
            <w:szCs w:val="24"/>
            <w:u w:val="single"/>
          </w:rPr>
          <w:t>https://doi.org/10.1016/j.neuropsychologia.2011.02.032</w:t>
        </w:r>
      </w:hyperlink>
    </w:p>
    <w:p w14:paraId="71FB0F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Bachmann, S., &amp; Schröder, J. (2018). Neurological soft signs in schizophrenia: An update on the state- versus trait-perspective.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262" w:history="1">
        <w:r w:rsidRPr="005B38F0">
          <w:rPr>
            <w:rFonts w:ascii="Times New Roman" w:eastAsia="Times New Roman" w:hAnsi="Times New Roman" w:cs="Times New Roman"/>
            <w:color w:val="0000FF"/>
            <w:sz w:val="24"/>
            <w:szCs w:val="24"/>
            <w:u w:val="single"/>
          </w:rPr>
          <w:t>https://doi.org/10.3389/fpsyt.2017.00272</w:t>
        </w:r>
      </w:hyperlink>
    </w:p>
    <w:p w14:paraId="4784B3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Baddeley, A., Della Sala, S., Papagno, C., &amp; Spinnler, H. (1997). Dual-task performance in dysexecutive and nondysexecutive patients with a frontal lesion.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187–194. </w:t>
      </w:r>
      <w:hyperlink r:id="rId263" w:history="1">
        <w:r w:rsidRPr="005B38F0">
          <w:rPr>
            <w:rFonts w:ascii="Times New Roman" w:eastAsia="Times New Roman" w:hAnsi="Times New Roman" w:cs="Times New Roman"/>
            <w:color w:val="0000FF"/>
            <w:sz w:val="24"/>
            <w:szCs w:val="24"/>
            <w:u w:val="single"/>
          </w:rPr>
          <w:t>https://doi.org/10.1037/0894-4105.11.2.187</w:t>
        </w:r>
      </w:hyperlink>
    </w:p>
    <w:p w14:paraId="48DA0CA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Baddeley, A., &amp; Wilson, B. A. (2014). Frontal amnesia and the dysexecutive syndrome (1988). In </w:t>
      </w:r>
      <w:r w:rsidRPr="005B38F0">
        <w:rPr>
          <w:rFonts w:ascii="Times New Roman" w:eastAsia="Times New Roman" w:hAnsi="Times New Roman" w:cs="Times New Roman"/>
          <w:i/>
          <w:iCs/>
          <w:sz w:val="24"/>
          <w:szCs w:val="24"/>
        </w:rPr>
        <w:t>The assessment, evaluation and rehabilitation of everyday memory problems: Selected papers of Barbara A. Wilson.</w:t>
      </w:r>
      <w:r w:rsidRPr="005B38F0">
        <w:rPr>
          <w:rFonts w:ascii="Times New Roman" w:eastAsia="Times New Roman" w:hAnsi="Times New Roman" w:cs="Times New Roman"/>
          <w:sz w:val="24"/>
          <w:szCs w:val="24"/>
        </w:rPr>
        <w:t xml:space="preserve"> (pp. 3–19). Psychology Press.</w:t>
      </w:r>
    </w:p>
    <w:p w14:paraId="702343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Badham, S. P., Sanborn, A. N., &amp; Maylor, E. A. (2017). Deficits in category learning in older adults: Rule-based versus clustering accounts. </w:t>
      </w:r>
      <w:r w:rsidRPr="005B38F0">
        <w:rPr>
          <w:rFonts w:ascii="Times New Roman" w:eastAsia="Times New Roman" w:hAnsi="Times New Roman" w:cs="Times New Roman"/>
          <w:i/>
          <w:iCs/>
          <w:sz w:val="24"/>
          <w:szCs w:val="24"/>
        </w:rPr>
        <w:t>Psychology and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(5), 473–488. </w:t>
      </w:r>
      <w:hyperlink r:id="rId264" w:history="1">
        <w:r w:rsidRPr="005B38F0">
          <w:rPr>
            <w:rFonts w:ascii="Times New Roman" w:eastAsia="Times New Roman" w:hAnsi="Times New Roman" w:cs="Times New Roman"/>
            <w:color w:val="0000FF"/>
            <w:sz w:val="24"/>
            <w:szCs w:val="24"/>
            <w:u w:val="single"/>
          </w:rPr>
          <w:t>https://doi.org/10.1037/pag0000183</w:t>
        </w:r>
      </w:hyperlink>
    </w:p>
    <w:p w14:paraId="13D0E7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Bae, J.-M., Kim, J.-H., Yu, B.-H., Jung, Y.-S., &amp; Kim, S.-T. (1996). The characteristics of cognitive dysfunctions in positive and negative schizophrenia. [The characteristics of cognitive dysfunctions in positive and negative schizophrenia.]. </w:t>
      </w:r>
      <w:r w:rsidRPr="005B38F0">
        <w:rPr>
          <w:rFonts w:ascii="Times New Roman" w:eastAsia="Times New Roman" w:hAnsi="Times New Roman" w:cs="Times New Roman"/>
          <w:i/>
          <w:iCs/>
          <w:sz w:val="24"/>
          <w:szCs w:val="24"/>
        </w:rPr>
        <w:t>Korean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(1), 55–67.</w:t>
      </w:r>
    </w:p>
    <w:p w14:paraId="504B0B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Baena, E., Allen, P. A., Kaut, K. P., &amp; Hall, R. J. (2010). On age differences in prefrontal function: The importance of emotional/cognitive integration.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 319–333. </w:t>
      </w:r>
      <w:hyperlink r:id="rId265" w:history="1">
        <w:r w:rsidRPr="005B38F0">
          <w:rPr>
            <w:rFonts w:ascii="Times New Roman" w:eastAsia="Times New Roman" w:hAnsi="Times New Roman" w:cs="Times New Roman"/>
            <w:color w:val="0000FF"/>
            <w:sz w:val="24"/>
            <w:szCs w:val="24"/>
            <w:u w:val="single"/>
          </w:rPr>
          <w:t>https://doi.org/10.1016/j.neuropsychologia.2009.09.021</w:t>
        </w:r>
      </w:hyperlink>
    </w:p>
    <w:p w14:paraId="69F1E7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Baez, S., Pinasco, C., Roca, M., Ferrari, J., Couto, B., García-Cordero, I., Ibañez, A., Cruz, F., Reyes, P., Matallana, D., Manes, F., Cetcovich, M., &amp; Torralva, T. (2019). Brain structural correlates of executive and social cognition profiles in behavioral variant frontotemporal </w:t>
      </w:r>
      <w:r w:rsidRPr="005B38F0">
        <w:rPr>
          <w:rFonts w:ascii="Times New Roman" w:eastAsia="Times New Roman" w:hAnsi="Times New Roman" w:cs="Times New Roman"/>
          <w:sz w:val="24"/>
          <w:szCs w:val="24"/>
        </w:rPr>
        <w:lastRenderedPageBreak/>
        <w:t xml:space="preserve">dementia and elderly bipolar disorder.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 159–169. </w:t>
      </w:r>
      <w:hyperlink r:id="rId266" w:history="1">
        <w:r w:rsidRPr="005B38F0">
          <w:rPr>
            <w:rFonts w:ascii="Times New Roman" w:eastAsia="Times New Roman" w:hAnsi="Times New Roman" w:cs="Times New Roman"/>
            <w:color w:val="0000FF"/>
            <w:sz w:val="24"/>
            <w:szCs w:val="24"/>
            <w:u w:val="single"/>
          </w:rPr>
          <w:t>https://doi.org/10.1016/j.neuropsychologia.2017.02.012</w:t>
        </w:r>
      </w:hyperlink>
    </w:p>
    <w:p w14:paraId="0037C9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Baggett, M. R., Kelly, M. P., Korenman, L. M., &amp; Ryan, L. M. (2003). Neuropsychological Deficits of a U.S. Army Pilot following an Anoxic Event as a Function of Cardiac Arrest. </w:t>
      </w:r>
      <w:r w:rsidRPr="005B38F0">
        <w:rPr>
          <w:rFonts w:ascii="Times New Roman" w:eastAsia="Times New Roman" w:hAnsi="Times New Roman" w:cs="Times New Roman"/>
          <w:i/>
          <w:iCs/>
          <w:sz w:val="24"/>
          <w:szCs w:val="24"/>
        </w:rPr>
        <w:t>Military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168</w:t>
      </w:r>
      <w:r w:rsidRPr="005B38F0">
        <w:rPr>
          <w:rFonts w:ascii="Times New Roman" w:eastAsia="Times New Roman" w:hAnsi="Times New Roman" w:cs="Times New Roman"/>
          <w:sz w:val="24"/>
          <w:szCs w:val="24"/>
        </w:rPr>
        <w:t>(9), 769–771.</w:t>
      </w:r>
    </w:p>
    <w:p w14:paraId="7733B6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Bagney, A., Rodriguez-Jimenez, R., Martinez-Gras, I., Sanchez-Morla, E. M., Santos, J. L., Jimenez-Arriero, M. A., Lobo, A., McGorry, P. D., &amp; Palomo, T. (2013). Negative symptoms and executive function in schizophrenia: Does their relationship change with illness duration?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241–248. </w:t>
      </w:r>
      <w:hyperlink r:id="rId267" w:history="1">
        <w:r w:rsidRPr="005B38F0">
          <w:rPr>
            <w:rFonts w:ascii="Times New Roman" w:eastAsia="Times New Roman" w:hAnsi="Times New Roman" w:cs="Times New Roman"/>
            <w:color w:val="0000FF"/>
            <w:sz w:val="24"/>
            <w:szCs w:val="24"/>
            <w:u w:val="single"/>
          </w:rPr>
          <w:t>https://doi.org/10.1159/000342345</w:t>
        </w:r>
      </w:hyperlink>
    </w:p>
    <w:p w14:paraId="15DAA6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Bahia, V. S., Takada, L. T., Caixeta, L., Lucato, L. T., Porto, C. S., &amp; Nitrini, R. (2013). Prefrontal damage in childhood and changes in the development of personality: A case report.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132–135. </w:t>
      </w:r>
      <w:hyperlink r:id="rId268" w:history="1">
        <w:r w:rsidRPr="005B38F0">
          <w:rPr>
            <w:rFonts w:ascii="Times New Roman" w:eastAsia="Times New Roman" w:hAnsi="Times New Roman" w:cs="Times New Roman"/>
            <w:color w:val="0000FF"/>
            <w:sz w:val="24"/>
            <w:szCs w:val="24"/>
            <w:u w:val="single"/>
          </w:rPr>
          <w:t>https://doi.org/10.1590/S1980-57642013DN70100019</w:t>
        </w:r>
      </w:hyperlink>
    </w:p>
    <w:p w14:paraId="0023E6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Bahorik, A. L., Newhill, C. E., &amp; Eack, S. M. (2014). Neurocognitive functioning of individuals with schizophrenia: Using and not using drugs.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(4), 856–867. </w:t>
      </w:r>
      <w:hyperlink r:id="rId269" w:history="1">
        <w:r w:rsidRPr="005B38F0">
          <w:rPr>
            <w:rFonts w:ascii="Times New Roman" w:eastAsia="Times New Roman" w:hAnsi="Times New Roman" w:cs="Times New Roman"/>
            <w:color w:val="0000FF"/>
            <w:sz w:val="24"/>
            <w:szCs w:val="24"/>
            <w:u w:val="single"/>
          </w:rPr>
          <w:t>https://doi.org/10.1093/schbul/sbt099</w:t>
        </w:r>
      </w:hyperlink>
    </w:p>
    <w:p w14:paraId="7C4BC4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Bahorik, A. L., Queen, C. C., Chen, S., Foster, L. J. J., &amp; Bangs, R. L. (2015). Racial disparities in community outcomes among individuals with schizophrenia and cooccurring substance use disorders. </w:t>
      </w:r>
      <w:r w:rsidRPr="005B38F0">
        <w:rPr>
          <w:rFonts w:ascii="Times New Roman" w:eastAsia="Times New Roman" w:hAnsi="Times New Roman" w:cs="Times New Roman"/>
          <w:i/>
          <w:iCs/>
          <w:sz w:val="24"/>
          <w:szCs w:val="24"/>
        </w:rPr>
        <w:t>Journal of Social Work Practice in the Addictions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165–184. </w:t>
      </w:r>
      <w:hyperlink r:id="rId270" w:history="1">
        <w:r w:rsidRPr="005B38F0">
          <w:rPr>
            <w:rFonts w:ascii="Times New Roman" w:eastAsia="Times New Roman" w:hAnsi="Times New Roman" w:cs="Times New Roman"/>
            <w:color w:val="0000FF"/>
            <w:sz w:val="24"/>
            <w:szCs w:val="24"/>
            <w:u w:val="single"/>
          </w:rPr>
          <w:t>https://doi.org/10.1080/1533256X.2015.1027446</w:t>
        </w:r>
      </w:hyperlink>
    </w:p>
    <w:p w14:paraId="01BA97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Bahrick, H. P., Baker, M. K., Hall, L. K., &amp; Abrams, L. (2011). How should we define and differentiate metacognitions? </w:t>
      </w:r>
      <w:r w:rsidRPr="005B38F0">
        <w:rPr>
          <w:rFonts w:ascii="Times New Roman" w:eastAsia="Times New Roman" w:hAnsi="Times New Roman" w:cs="Times New Roman"/>
          <w:i/>
          <w:iCs/>
          <w:sz w:val="24"/>
          <w:szCs w:val="24"/>
        </w:rPr>
        <w:t>Successful Remembering and Successful Forgetting: A Festschrift in Honor of Robert A. Bjork.</w:t>
      </w:r>
      <w:r w:rsidRPr="005B38F0">
        <w:rPr>
          <w:rFonts w:ascii="Times New Roman" w:eastAsia="Times New Roman" w:hAnsi="Times New Roman" w:cs="Times New Roman"/>
          <w:sz w:val="24"/>
          <w:szCs w:val="24"/>
        </w:rPr>
        <w:t>, 329–346.</w:t>
      </w:r>
    </w:p>
    <w:p w14:paraId="6E4C80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Baillieux, H., De Smet, H. J., Dobbeleir, A., Paquier, P. F., De Deyn, P. P., &amp; Mariën, P. (2010). Cognitive and affective disturbances following focal cerebellar damage in adults: A neuropsychological and SPECT study.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(7), 869–879. </w:t>
      </w:r>
      <w:hyperlink r:id="rId271" w:history="1">
        <w:r w:rsidRPr="005B38F0">
          <w:rPr>
            <w:rFonts w:ascii="Times New Roman" w:eastAsia="Times New Roman" w:hAnsi="Times New Roman" w:cs="Times New Roman"/>
            <w:color w:val="0000FF"/>
            <w:sz w:val="24"/>
            <w:szCs w:val="24"/>
            <w:u w:val="single"/>
          </w:rPr>
          <w:t>https://doi.org/10.1016/j.cortex.2009.09.002</w:t>
        </w:r>
      </w:hyperlink>
    </w:p>
    <w:p w14:paraId="07DB58B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Baillieux, H., De Smet, H. J., Lesage, G., Paquier, P., De Deyn, P. P., &amp; Mariën, P. (2006). Neurobehavioral alterations in an adolescent following posterior fossa tumor resection.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289–295. </w:t>
      </w:r>
      <w:hyperlink r:id="rId272" w:history="1">
        <w:r w:rsidRPr="005B38F0">
          <w:rPr>
            <w:rFonts w:ascii="Times New Roman" w:eastAsia="Times New Roman" w:hAnsi="Times New Roman" w:cs="Times New Roman"/>
            <w:color w:val="0000FF"/>
            <w:sz w:val="24"/>
            <w:szCs w:val="24"/>
            <w:u w:val="single"/>
          </w:rPr>
          <w:t>https://doi.org/10.1080/14734220601009606</w:t>
        </w:r>
      </w:hyperlink>
    </w:p>
    <w:p w14:paraId="04E630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Bajo, R., Maestú, F., Nevado, A., Sancho, M., Gutiérrez, R., Campo, P., Castellanos, N. P., Gil, P., Moratti, S., Pereda, E., &amp; del-Pozo, F. (2010). Functional connectivity in mild cognitive impairment during a memory task: Implications for the disconnection hypothesis.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(1), 183–193.</w:t>
      </w:r>
    </w:p>
    <w:p w14:paraId="0DDCB3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 Y., Jun, S., Choi, J. Y., Lee, Y., Lee, S.-K., Han, S., &amp; Shin, N.-Y. (2018). Altered intrinsic local activity and cognitive dysfunction in HIV patients: A resting-state fMRI study.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(11). </w:t>
      </w:r>
      <w:hyperlink r:id="rId273" w:history="1">
        <w:r w:rsidRPr="005B38F0">
          <w:rPr>
            <w:rFonts w:ascii="Times New Roman" w:eastAsia="Times New Roman" w:hAnsi="Times New Roman" w:cs="Times New Roman"/>
            <w:color w:val="0000FF"/>
            <w:sz w:val="24"/>
            <w:szCs w:val="24"/>
            <w:u w:val="single"/>
          </w:rPr>
          <w:t>https://doi.org/10.1371/journal.pone.0207146</w:t>
        </w:r>
      </w:hyperlink>
    </w:p>
    <w:p w14:paraId="66D71B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Bakanidze, G., Brandl, E. J., Hutzler, C., Aurass, F., Onken, S., Rapp, M. A., &amp; Puls, I. (2016). Association of dystrobrevin-binding protein 1 polymorphisms with sustained attention and set-shifting in schizophrenia patients.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 41–47. </w:t>
      </w:r>
      <w:hyperlink r:id="rId274" w:history="1">
        <w:r w:rsidRPr="005B38F0">
          <w:rPr>
            <w:rFonts w:ascii="Times New Roman" w:eastAsia="Times New Roman" w:hAnsi="Times New Roman" w:cs="Times New Roman"/>
            <w:color w:val="0000FF"/>
            <w:sz w:val="24"/>
            <w:szCs w:val="24"/>
            <w:u w:val="single"/>
          </w:rPr>
          <w:t>https://doi.org/10.1159/000450550</w:t>
        </w:r>
      </w:hyperlink>
    </w:p>
    <w:p w14:paraId="653708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Bakar, E. E., Taner, Y. I., Soysal, A. S. K., Sirel;, &amp; Turgay, A. (2011). Behavioral rating inventory and laboratory tests measure different aspects of executive functioning in boys: A validity study. : </w:t>
      </w:r>
      <w:r w:rsidRPr="005B38F0">
        <w:rPr>
          <w:rFonts w:ascii="Times New Roman" w:eastAsia="Times New Roman" w:hAnsi="Times New Roman" w:cs="Times New Roman"/>
          <w:i/>
          <w:iCs/>
          <w:sz w:val="24"/>
          <w:szCs w:val="24"/>
        </w:rPr>
        <w:t>: Klinik Psikofarmakoloji Bülteni / Bulletin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(4), 302–316.</w:t>
      </w:r>
    </w:p>
    <w:p w14:paraId="0B5ADE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I. W. S., Jackson, M., &amp; Bass, C. (2005). Catatonia causing permanent cognitive impairment: A case study.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141–143. </w:t>
      </w:r>
      <w:hyperlink r:id="rId275" w:history="1">
        <w:r w:rsidRPr="005B38F0">
          <w:rPr>
            <w:rFonts w:ascii="Times New Roman" w:eastAsia="Times New Roman" w:hAnsi="Times New Roman" w:cs="Times New Roman"/>
            <w:color w:val="0000FF"/>
            <w:sz w:val="24"/>
            <w:szCs w:val="24"/>
            <w:u w:val="single"/>
          </w:rPr>
          <w:t>https://doi.org/10.1097/01.wnn.0000178230.46691.c7</w:t>
        </w:r>
      </w:hyperlink>
    </w:p>
    <w:p w14:paraId="381779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J. G., Leddy, J. J., Hinds, A. L., Haider, M. N., Shucard, J., Sharma, T., Hernandez, S., Durinka, J., Zivadinov, R., &amp; Willer, B. S. (2018). An exploratory study of mild cognitive impairment of retired professional contact sport athletes.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E16–E23. </w:t>
      </w:r>
      <w:hyperlink r:id="rId276" w:history="1">
        <w:r w:rsidRPr="005B38F0">
          <w:rPr>
            <w:rFonts w:ascii="Times New Roman" w:eastAsia="Times New Roman" w:hAnsi="Times New Roman" w:cs="Times New Roman"/>
            <w:color w:val="0000FF"/>
            <w:sz w:val="24"/>
            <w:szCs w:val="24"/>
            <w:u w:val="single"/>
          </w:rPr>
          <w:t>https://doi.org/10.1097/HTR.0000000000000420</w:t>
        </w:r>
      </w:hyperlink>
    </w:p>
    <w:p w14:paraId="77AD11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J., Savage, S., &amp; Zeman, A. (2019). Cognitive assessment. </w:t>
      </w:r>
      <w:r w:rsidRPr="005B38F0">
        <w:rPr>
          <w:rFonts w:ascii="Times New Roman" w:eastAsia="Times New Roman" w:hAnsi="Times New Roman" w:cs="Times New Roman"/>
          <w:i/>
          <w:iCs/>
          <w:sz w:val="24"/>
          <w:szCs w:val="24"/>
        </w:rPr>
        <w:t>Seminars in Old Age Psychiatry, 2nd Ed.</w:t>
      </w:r>
      <w:r w:rsidRPr="005B38F0">
        <w:rPr>
          <w:rFonts w:ascii="Times New Roman" w:eastAsia="Times New Roman" w:hAnsi="Times New Roman" w:cs="Times New Roman"/>
          <w:sz w:val="24"/>
          <w:szCs w:val="24"/>
        </w:rPr>
        <w:t xml:space="preserve">, 27–40. </w:t>
      </w:r>
      <w:hyperlink r:id="rId277" w:history="1">
        <w:r w:rsidRPr="005B38F0">
          <w:rPr>
            <w:rFonts w:ascii="Times New Roman" w:eastAsia="Times New Roman" w:hAnsi="Times New Roman" w:cs="Times New Roman"/>
            <w:color w:val="0000FF"/>
            <w:sz w:val="24"/>
            <w:szCs w:val="24"/>
            <w:u w:val="single"/>
          </w:rPr>
          <w:t>https://doi.org/10.1017/9781108593946.003</w:t>
        </w:r>
      </w:hyperlink>
    </w:p>
    <w:p w14:paraId="459483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K. S., Georgiou-Karistianis, N., Lampit, A., Valenzuela, M., Gibson, S. J., &amp; Giummarra, M. J. (2018). Computerised training improves cognitive performance in chronic pain: A participant-blinded randomised active-controlled trial with remote supervision. </w:t>
      </w:r>
      <w:r w:rsidRPr="005B38F0">
        <w:rPr>
          <w:rFonts w:ascii="Times New Roman" w:eastAsia="Times New Roman" w:hAnsi="Times New Roman" w:cs="Times New Roman"/>
          <w:i/>
          <w:iCs/>
          <w:sz w:val="24"/>
          <w:szCs w:val="24"/>
        </w:rPr>
        <w:t>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159</w:t>
      </w:r>
      <w:r w:rsidRPr="005B38F0">
        <w:rPr>
          <w:rFonts w:ascii="Times New Roman" w:eastAsia="Times New Roman" w:hAnsi="Times New Roman" w:cs="Times New Roman"/>
          <w:sz w:val="24"/>
          <w:szCs w:val="24"/>
        </w:rPr>
        <w:t xml:space="preserve">(4), 644–655. </w:t>
      </w:r>
      <w:hyperlink r:id="rId278" w:history="1">
        <w:r w:rsidRPr="005B38F0">
          <w:rPr>
            <w:rFonts w:ascii="Times New Roman" w:eastAsia="Times New Roman" w:hAnsi="Times New Roman" w:cs="Times New Roman"/>
            <w:color w:val="0000FF"/>
            <w:sz w:val="24"/>
            <w:szCs w:val="24"/>
            <w:u w:val="single"/>
          </w:rPr>
          <w:t>https://doi.org/10.1097/j.pain.0000000000001150</w:t>
        </w:r>
      </w:hyperlink>
    </w:p>
    <w:p w14:paraId="6D76D2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K. S., Gibson, S. J., Georgiou‐Karistianis, N., &amp; Giummarra, M. J. (2018). Relationship between self‐reported cognitive difficulties, objective neuropsychological test performance and psychological distress in chronic pain. </w:t>
      </w:r>
      <w:r w:rsidRPr="005B38F0">
        <w:rPr>
          <w:rFonts w:ascii="Times New Roman" w:eastAsia="Times New Roman" w:hAnsi="Times New Roman" w:cs="Times New Roman"/>
          <w:i/>
          <w:iCs/>
          <w:sz w:val="24"/>
          <w:szCs w:val="24"/>
        </w:rPr>
        <w:t>European Journal of 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601–613. </w:t>
      </w:r>
      <w:hyperlink r:id="rId279" w:history="1">
        <w:r w:rsidRPr="005B38F0">
          <w:rPr>
            <w:rFonts w:ascii="Times New Roman" w:eastAsia="Times New Roman" w:hAnsi="Times New Roman" w:cs="Times New Roman"/>
            <w:color w:val="0000FF"/>
            <w:sz w:val="24"/>
            <w:szCs w:val="24"/>
            <w:u w:val="single"/>
          </w:rPr>
          <w:t>https://doi.org/10.1002/ejp.1151</w:t>
        </w:r>
      </w:hyperlink>
    </w:p>
    <w:p w14:paraId="02712A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Baker, L. A., Barton, M., Lozano, D. I., Raine, A., &amp; Fowler, J. H. (2006). The Southern California Twin Register at the University of Southern California: II. </w:t>
      </w:r>
      <w:r w:rsidRPr="005B38F0">
        <w:rPr>
          <w:rFonts w:ascii="Times New Roman" w:eastAsia="Times New Roman" w:hAnsi="Times New Roman" w:cs="Times New Roman"/>
          <w:i/>
          <w:iCs/>
          <w:sz w:val="24"/>
          <w:szCs w:val="24"/>
        </w:rPr>
        <w:t>Twin Research and Human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(6), 933–940. </w:t>
      </w:r>
      <w:hyperlink r:id="rId280" w:history="1">
        <w:r w:rsidRPr="005B38F0">
          <w:rPr>
            <w:rFonts w:ascii="Times New Roman" w:eastAsia="Times New Roman" w:hAnsi="Times New Roman" w:cs="Times New Roman"/>
            <w:color w:val="0000FF"/>
            <w:sz w:val="24"/>
            <w:szCs w:val="24"/>
            <w:u w:val="single"/>
          </w:rPr>
          <w:t>https://doi.org/10.1375/twin.9.6.933</w:t>
        </w:r>
      </w:hyperlink>
    </w:p>
    <w:p w14:paraId="4A662C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Balanzá-Martínez, V., Tabarés-Seisdedos, R., Selva-Vera, G., Martínez-Arán, A., Torrent, C., Salazar-Fraile, J., Leal-Cercós, C., Vieta, E., &amp; Gómez-Beneyto, M. (2005). Persistent Cognitive Dysfunctions in Bipolar I Disorder and Schizophrenic Patients: A 3-Year Follow-Up Study. </w:t>
      </w:r>
      <w:r w:rsidRPr="005B38F0">
        <w:rPr>
          <w:rFonts w:ascii="Times New Roman" w:eastAsia="Times New Roman" w:hAnsi="Times New Roman" w:cs="Times New Roman"/>
          <w:i/>
          <w:iCs/>
          <w:sz w:val="24"/>
          <w:szCs w:val="24"/>
        </w:rPr>
        <w:t>Psychotherapy and Psychosomatics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(2), 113–119. </w:t>
      </w:r>
      <w:hyperlink r:id="rId281" w:history="1">
        <w:r w:rsidRPr="005B38F0">
          <w:rPr>
            <w:rFonts w:ascii="Times New Roman" w:eastAsia="Times New Roman" w:hAnsi="Times New Roman" w:cs="Times New Roman"/>
            <w:color w:val="0000FF"/>
            <w:sz w:val="24"/>
            <w:szCs w:val="24"/>
            <w:u w:val="single"/>
          </w:rPr>
          <w:t>https://doi.org/10.1159/000083170</w:t>
        </w:r>
      </w:hyperlink>
    </w:p>
    <w:p w14:paraId="4CBD82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Balardin, J. B., Vedana, G., Ludwig, A., de Lima, D. B., Argimon, I., Schneider, R., Luz, C., Schröder, N., &amp; Bromberg, E. (2009). Contextual memory and encoding strategies in young and older adults with and without depressive symptoms. </w:t>
      </w:r>
      <w:r w:rsidRPr="005B38F0">
        <w:rPr>
          <w:rFonts w:ascii="Times New Roman" w:eastAsia="Times New Roman" w:hAnsi="Times New Roman" w:cs="Times New Roman"/>
          <w:i/>
          <w:iCs/>
          <w:sz w:val="24"/>
          <w:szCs w:val="24"/>
        </w:rPr>
        <w:t>Aging &amp;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313–318. </w:t>
      </w:r>
      <w:hyperlink r:id="rId282" w:history="1">
        <w:r w:rsidRPr="005B38F0">
          <w:rPr>
            <w:rFonts w:ascii="Times New Roman" w:eastAsia="Times New Roman" w:hAnsi="Times New Roman" w:cs="Times New Roman"/>
            <w:color w:val="0000FF"/>
            <w:sz w:val="24"/>
            <w:szCs w:val="24"/>
            <w:u w:val="single"/>
          </w:rPr>
          <w:t>https://doi.org/10.1080/13607860802534583</w:t>
        </w:r>
      </w:hyperlink>
    </w:p>
    <w:p w14:paraId="1D4635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Baldivia, B., Saa, P. R., Guimarães Rocha, M. S., &amp; Dozzi Brucki, S. M. (2008). Postencephalitic amnesia with long term-working memory impairment: A case report.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(4), 356–361. </w:t>
      </w:r>
      <w:hyperlink r:id="rId283" w:history="1">
        <w:r w:rsidRPr="005B38F0">
          <w:rPr>
            <w:rFonts w:ascii="Times New Roman" w:eastAsia="Times New Roman" w:hAnsi="Times New Roman" w:cs="Times New Roman"/>
            <w:color w:val="0000FF"/>
            <w:sz w:val="24"/>
            <w:szCs w:val="24"/>
            <w:u w:val="single"/>
          </w:rPr>
          <w:t>https://doi.org/10.1590/S1980-57642009DN20400022</w:t>
        </w:r>
      </w:hyperlink>
    </w:p>
    <w:p w14:paraId="297158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Baldo, J. V., Dronkers, N. F., Wilkins, D., Ludy, C., Raskin, P., &amp; Kim, J. (2005). Is problem solving dependent on language?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92</w:t>
      </w:r>
      <w:r w:rsidRPr="005B38F0">
        <w:rPr>
          <w:rFonts w:ascii="Times New Roman" w:eastAsia="Times New Roman" w:hAnsi="Times New Roman" w:cs="Times New Roman"/>
          <w:sz w:val="24"/>
          <w:szCs w:val="24"/>
        </w:rPr>
        <w:t xml:space="preserve">(3), 240–250. </w:t>
      </w:r>
      <w:hyperlink r:id="rId284" w:history="1">
        <w:r w:rsidRPr="005B38F0">
          <w:rPr>
            <w:rFonts w:ascii="Times New Roman" w:eastAsia="Times New Roman" w:hAnsi="Times New Roman" w:cs="Times New Roman"/>
            <w:color w:val="0000FF"/>
            <w:sz w:val="24"/>
            <w:szCs w:val="24"/>
            <w:u w:val="single"/>
          </w:rPr>
          <w:t>https://doi.org/10.1016/j.bandl.2004.06.103</w:t>
        </w:r>
      </w:hyperlink>
    </w:p>
    <w:p w14:paraId="7C5770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Balikci, K., Aydin, O., Tas, C., &amp; Danaci, A. E. (2018). Oxytocin and social cognition in patients with schizophrenia: Comparison with healthy siblings and healthy controls. </w:t>
      </w:r>
      <w:r w:rsidRPr="005B38F0">
        <w:rPr>
          <w:rFonts w:ascii="Times New Roman" w:eastAsia="Times New Roman" w:hAnsi="Times New Roman" w:cs="Times New Roman"/>
          <w:i/>
          <w:iCs/>
          <w:sz w:val="24"/>
          <w:szCs w:val="24"/>
        </w:rPr>
        <w:t>Psychiatry and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(2), 123–130. </w:t>
      </w:r>
      <w:hyperlink r:id="rId285" w:history="1">
        <w:r w:rsidRPr="005B38F0">
          <w:rPr>
            <w:rFonts w:ascii="Times New Roman" w:eastAsia="Times New Roman" w:hAnsi="Times New Roman" w:cs="Times New Roman"/>
            <w:color w:val="0000FF"/>
            <w:sz w:val="24"/>
            <w:szCs w:val="24"/>
            <w:u w:val="single"/>
          </w:rPr>
          <w:t>https://doi.org/10.1080/24750573.2017.1387405</w:t>
        </w:r>
      </w:hyperlink>
    </w:p>
    <w:p w14:paraId="417D15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Ballard, E., Butzer, J. F., &amp; Donders, J. (1996). Susac’s syndrome: Neuropsychological characteristics in a young man.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 266–268. </w:t>
      </w:r>
      <w:hyperlink r:id="rId286" w:history="1">
        <w:r w:rsidRPr="005B38F0">
          <w:rPr>
            <w:rFonts w:ascii="Times New Roman" w:eastAsia="Times New Roman" w:hAnsi="Times New Roman" w:cs="Times New Roman"/>
            <w:color w:val="0000FF"/>
            <w:sz w:val="24"/>
            <w:szCs w:val="24"/>
            <w:u w:val="single"/>
          </w:rPr>
          <w:t>https://doi.org/10.1212/WNL.47.1.266</w:t>
        </w:r>
      </w:hyperlink>
    </w:p>
    <w:p w14:paraId="769FE8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Ballard, M. E., Dean, A. C., Mandelkern, M. A., &amp; London, E. D. (2015). Striatal dopamine D₂/D₃ receptor availability is associated with executive function in healthy controls but not methamphetamine users.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(12).</w:t>
      </w:r>
    </w:p>
    <w:p w14:paraId="6F9BF7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A., Sánchez-Torres, A. M., López-Ilundain, J. M., Cabrera, B., Lobo, A., González-Pinto, A. M., Díaz-Caneja, C., Corripio, I., Vieta, E., de la Serna, E., Bobes, J., Usall, J., Contreras, F., Lorente-Omeñaca, R., Mezquida, G., Bernardo, M., &amp; Cuesta, M. J. (2018). Is cognitive impairment associated with antipsychotic dose and anticholinergic equivalent loads in first-episode psychosis?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(13), 2247–2256. </w:t>
      </w:r>
      <w:hyperlink r:id="rId287" w:history="1">
        <w:r w:rsidRPr="005B38F0">
          <w:rPr>
            <w:rFonts w:ascii="Times New Roman" w:eastAsia="Times New Roman" w:hAnsi="Times New Roman" w:cs="Times New Roman"/>
            <w:color w:val="0000FF"/>
            <w:sz w:val="24"/>
            <w:szCs w:val="24"/>
            <w:u w:val="single"/>
          </w:rPr>
          <w:t>https://doi.org/10.1017/S0033291717003774</w:t>
        </w:r>
      </w:hyperlink>
    </w:p>
    <w:p w14:paraId="4D7660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S., Mayas, J., Prieto, A., Toril, P., Pita, C., de León, L. P., Reales, J. M., &amp; Waterworth, J. A. (2015). A randomized controlled trial of brain training with non-action video games in older adults: Results of the 3-month follow-up.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516E74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S., Mayas, J., &amp; Reales, J. M. (2013). Cognitive function in normal aging and in older adults with mild cognitive impairment. </w:t>
      </w:r>
      <w:r w:rsidRPr="005B38F0">
        <w:rPr>
          <w:rFonts w:ascii="Times New Roman" w:eastAsia="Times New Roman" w:hAnsi="Times New Roman" w:cs="Times New Roman"/>
          <w:i/>
          <w:iCs/>
          <w:sz w:val="24"/>
          <w:szCs w:val="24"/>
        </w:rPr>
        <w:t>Psicothema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(1), 18–24.</w:t>
      </w:r>
    </w:p>
    <w:p w14:paraId="158840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Ballesteros, S., Prieto, A., Mayas, J., Toril, P., Pita, C., de León, L. P., Reales, J. M., &amp; Waterworth, J. (2014). Brain training with non-action video games enhances aspects of cognition in older adults: A randomized controlled trial.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w:t>
      </w:r>
    </w:p>
    <w:p w14:paraId="272036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Ballester-Plané, J., Laporta-Hoyos, O., Macaya, A., Póo, P., Meléndez-Plumed, M., Vázquez, É., Delgado, I., Zubiaurre-Elorza, L., Narberhaus, A., Toro-Tamargo, E., Russi, M. E., Tenorio, V., Segarra, D., &amp; Pueyo, R. (2016). Measuring intellectual ability in cerebral palsy: The comparison of three tests and their neuroimaging correlates. </w:t>
      </w:r>
      <w:r w:rsidRPr="005B38F0">
        <w:rPr>
          <w:rFonts w:ascii="Times New Roman" w:eastAsia="Times New Roman" w:hAnsi="Times New Roman" w:cs="Times New Roman"/>
          <w:i/>
          <w:iCs/>
          <w:sz w:val="24"/>
          <w:szCs w:val="24"/>
        </w:rPr>
        <w:t>Research in Developmental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83–98. </w:t>
      </w:r>
      <w:hyperlink r:id="rId288" w:history="1">
        <w:r w:rsidRPr="005B38F0">
          <w:rPr>
            <w:rFonts w:ascii="Times New Roman" w:eastAsia="Times New Roman" w:hAnsi="Times New Roman" w:cs="Times New Roman"/>
            <w:color w:val="0000FF"/>
            <w:sz w:val="24"/>
            <w:szCs w:val="24"/>
            <w:u w:val="single"/>
          </w:rPr>
          <w:t>https://doi.org/10.1016/j.ridd.2016.04.009</w:t>
        </w:r>
      </w:hyperlink>
    </w:p>
    <w:p w14:paraId="19E1A7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Baltacioglu, M., Kosger, F., Essizoglu, A., Gulec, G., Akarsu, F. O., &amp; Yenilmez, C. (2017). Comparison of cognitive functions in bipolar disorder patients with and without comorbid borderline personality disorder. </w:t>
      </w:r>
      <w:r w:rsidRPr="005B38F0">
        <w:rPr>
          <w:rFonts w:ascii="Times New Roman" w:eastAsia="Times New Roman" w:hAnsi="Times New Roman" w:cs="Times New Roman"/>
          <w:i/>
          <w:iCs/>
          <w:sz w:val="24"/>
          <w:szCs w:val="24"/>
        </w:rPr>
        <w:t>Psychiatry and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35–40. </w:t>
      </w:r>
      <w:hyperlink r:id="rId289" w:history="1">
        <w:r w:rsidRPr="005B38F0">
          <w:rPr>
            <w:rFonts w:ascii="Times New Roman" w:eastAsia="Times New Roman" w:hAnsi="Times New Roman" w:cs="Times New Roman"/>
            <w:color w:val="0000FF"/>
            <w:sz w:val="24"/>
            <w:szCs w:val="24"/>
            <w:u w:val="single"/>
          </w:rPr>
          <w:t>https://doi.org/10.1080/24750573.2017.1293247</w:t>
        </w:r>
      </w:hyperlink>
    </w:p>
    <w:p w14:paraId="00EDC4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Bambini, V., Arcara, G., Martinelli, I., Bernini, S., Alvisi, E., Moro, A., Cappa, S. F., &amp; Ceroni, M. (2016). Communication and pragmatic breakdowns in amyotrophic lateral sclerosis patients.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153–154</w:t>
      </w:r>
      <w:r w:rsidRPr="005B38F0">
        <w:rPr>
          <w:rFonts w:ascii="Times New Roman" w:eastAsia="Times New Roman" w:hAnsi="Times New Roman" w:cs="Times New Roman"/>
          <w:sz w:val="24"/>
          <w:szCs w:val="24"/>
        </w:rPr>
        <w:t xml:space="preserve">, 1–12. </w:t>
      </w:r>
      <w:hyperlink r:id="rId290" w:history="1">
        <w:r w:rsidRPr="005B38F0">
          <w:rPr>
            <w:rFonts w:ascii="Times New Roman" w:eastAsia="Times New Roman" w:hAnsi="Times New Roman" w:cs="Times New Roman"/>
            <w:color w:val="0000FF"/>
            <w:sz w:val="24"/>
            <w:szCs w:val="24"/>
            <w:u w:val="single"/>
          </w:rPr>
          <w:t>https://doi.org/10.1016/j.bandl.2015.12.002</w:t>
        </w:r>
      </w:hyperlink>
    </w:p>
    <w:p w14:paraId="3C8F82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Banerjee, N., Slugh, M., Kaur, S., Sun-Suslow, N., McInerney, K. F., Sun, X., &amp; Levin, B. E. (2020). Neuropsychological correlates of subjective fatigue in non-demented older adults and the moderating effect of physical activity.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254–269. </w:t>
      </w:r>
      <w:hyperlink r:id="rId291" w:history="1">
        <w:r w:rsidRPr="005B38F0">
          <w:rPr>
            <w:rFonts w:ascii="Times New Roman" w:eastAsia="Times New Roman" w:hAnsi="Times New Roman" w:cs="Times New Roman"/>
            <w:color w:val="0000FF"/>
            <w:sz w:val="24"/>
            <w:szCs w:val="24"/>
            <w:u w:val="single"/>
          </w:rPr>
          <w:t>https://doi.org/10.1080/13825585.2019.1606889</w:t>
        </w:r>
      </w:hyperlink>
    </w:p>
    <w:p w14:paraId="688E56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Banerjee, P., &amp; White, D. A. (2015). Clinical assessment of organizational strategy: An examination of healthy adults. </w:t>
      </w:r>
      <w:r w:rsidRPr="005B38F0">
        <w:rPr>
          <w:rFonts w:ascii="Times New Roman" w:eastAsia="Times New Roman" w:hAnsi="Times New Roman" w:cs="Times New Roman"/>
          <w:i/>
          <w:iCs/>
          <w:sz w:val="24"/>
          <w:szCs w:val="24"/>
        </w:rPr>
        <w:t>Psychological 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726–732. </w:t>
      </w:r>
      <w:hyperlink r:id="rId292" w:history="1">
        <w:r w:rsidRPr="005B38F0">
          <w:rPr>
            <w:rFonts w:ascii="Times New Roman" w:eastAsia="Times New Roman" w:hAnsi="Times New Roman" w:cs="Times New Roman"/>
            <w:color w:val="0000FF"/>
            <w:sz w:val="24"/>
            <w:szCs w:val="24"/>
            <w:u w:val="single"/>
          </w:rPr>
          <w:t>https://doi.org/10.1037/pas0000077</w:t>
        </w:r>
      </w:hyperlink>
    </w:p>
    <w:p w14:paraId="37A77D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 M., Kim, K. R., Song, Y. Y., Baek, S., Lee, E., &amp; An, S. K. (2015). Neurocognitive impairments in individuals at ultra-high risk for psychosis: Who will really convert?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(5), 462–470. </w:t>
      </w:r>
      <w:hyperlink r:id="rId293" w:history="1">
        <w:r w:rsidRPr="005B38F0">
          <w:rPr>
            <w:rFonts w:ascii="Times New Roman" w:eastAsia="Times New Roman" w:hAnsi="Times New Roman" w:cs="Times New Roman"/>
            <w:color w:val="0000FF"/>
            <w:sz w:val="24"/>
            <w:szCs w:val="24"/>
            <w:u w:val="single"/>
          </w:rPr>
          <w:t>https://doi.org/10.1177/0004867414561527</w:t>
        </w:r>
      </w:hyperlink>
    </w:p>
    <w:p w14:paraId="2F7F00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Bangen, K. J., Delano-Wood, L., Wierenga, C. E., McCauley, A., Jeste, D. V., Salmon, D. P., &amp; Bondi, M. W. (2010). Associations between stroke risk and cognition in normal aging and Alzheimer’s disease with and without depression.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(2), 175–182. </w:t>
      </w:r>
      <w:hyperlink r:id="rId294" w:history="1">
        <w:r w:rsidRPr="005B38F0">
          <w:rPr>
            <w:rFonts w:ascii="Times New Roman" w:eastAsia="Times New Roman" w:hAnsi="Times New Roman" w:cs="Times New Roman"/>
            <w:color w:val="0000FF"/>
            <w:sz w:val="24"/>
            <w:szCs w:val="24"/>
            <w:u w:val="single"/>
          </w:rPr>
          <w:t>https://doi.org/10.1002/gps.2317</w:t>
        </w:r>
      </w:hyperlink>
    </w:p>
    <w:p w14:paraId="3640A0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Bangen, K. J., Delano-Wood, L., Wierenga, C. E., Stricker, N. H., Hesselink, J. R., &amp; Bondi, M. W. (2010). Dementia following herpes zoster encephalitis.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(7), 1193–1203. </w:t>
      </w:r>
      <w:hyperlink r:id="rId295" w:history="1">
        <w:r w:rsidRPr="005B38F0">
          <w:rPr>
            <w:rFonts w:ascii="Times New Roman" w:eastAsia="Times New Roman" w:hAnsi="Times New Roman" w:cs="Times New Roman"/>
            <w:color w:val="0000FF"/>
            <w:sz w:val="24"/>
            <w:szCs w:val="24"/>
            <w:u w:val="single"/>
          </w:rPr>
          <w:t>https://doi.org/10.1080/13854041003736778</w:t>
        </w:r>
      </w:hyperlink>
    </w:p>
    <w:p w14:paraId="684BEA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Bangen, K. J., Kaup, A. R., Mirzakhanian, H., Wierenga, C. E., Jeste, D. V., &amp; Eyler, L. T. (2012). Compensatory brain activity during encoding among older adults with better recognition memory for face-name pairs: An integrative functional, structural, and perfusion imaging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402–413. </w:t>
      </w:r>
      <w:hyperlink r:id="rId296" w:history="1">
        <w:r w:rsidRPr="005B38F0">
          <w:rPr>
            <w:rFonts w:ascii="Times New Roman" w:eastAsia="Times New Roman" w:hAnsi="Times New Roman" w:cs="Times New Roman"/>
            <w:color w:val="0000FF"/>
            <w:sz w:val="24"/>
            <w:szCs w:val="24"/>
            <w:u w:val="single"/>
          </w:rPr>
          <w:t>https://doi.org/10.1017/S1355617712000197</w:t>
        </w:r>
      </w:hyperlink>
    </w:p>
    <w:p w14:paraId="437D97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Banno, M., Koide, T., Aleksic, B., Yamada, K., Kikuchi, T., Kohmura, K., Adachi, Y., Kawano, N., Kushima, I., Ikeda, M., Inada, T., Yoshikawa, T., Iwata, N., &amp; Ozaki, N. (2011). A case control association study and cognitive function analysis of neuropilin and tolloid-like 1 gene and schizophrenia in the Japanese population.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(12). </w:t>
      </w:r>
      <w:hyperlink r:id="rId297" w:history="1">
        <w:r w:rsidRPr="005B38F0">
          <w:rPr>
            <w:rFonts w:ascii="Times New Roman" w:eastAsia="Times New Roman" w:hAnsi="Times New Roman" w:cs="Times New Roman"/>
            <w:color w:val="0000FF"/>
            <w:sz w:val="24"/>
            <w:szCs w:val="24"/>
            <w:u w:val="single"/>
          </w:rPr>
          <w:t>https://doi.org/10.1371/journal.pone.0028929</w:t>
        </w:r>
      </w:hyperlink>
    </w:p>
    <w:p w14:paraId="4424D9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Bannon, S., Gonsalvez, C. J., Croft, R. J., &amp; Boyce, P. M. (2006). Executive functions in obsessive-compulsive disorder: State or trait deficits?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(11–12), 1031–1038. </w:t>
      </w:r>
      <w:hyperlink r:id="rId298" w:history="1">
        <w:r w:rsidRPr="005B38F0">
          <w:rPr>
            <w:rFonts w:ascii="Times New Roman" w:eastAsia="Times New Roman" w:hAnsi="Times New Roman" w:cs="Times New Roman"/>
            <w:color w:val="0000FF"/>
            <w:sz w:val="24"/>
            <w:szCs w:val="24"/>
            <w:u w:val="single"/>
          </w:rPr>
          <w:t>https://doi.org/10.1111/j.1440-1614.2006.01928.x</w:t>
        </w:r>
      </w:hyperlink>
    </w:p>
    <w:p w14:paraId="54C264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Baños, J. H., Novack, T. A., Brunner, R., Renfroe, S., Lin, H.-Y., &amp; Meythaler, J. (2010). Impact of early administration of sertraline on cognitive and behavioral recovery in the first year after moderate to severe traumatic brain injury.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(5), 357–361. </w:t>
      </w:r>
      <w:hyperlink r:id="rId299" w:history="1">
        <w:r w:rsidRPr="005B38F0">
          <w:rPr>
            <w:rFonts w:ascii="Times New Roman" w:eastAsia="Times New Roman" w:hAnsi="Times New Roman" w:cs="Times New Roman"/>
            <w:color w:val="0000FF"/>
            <w:sz w:val="24"/>
            <w:szCs w:val="24"/>
            <w:u w:val="single"/>
          </w:rPr>
          <w:t>https://doi.org/10.1097/HTR.0b013e3181d6c715</w:t>
        </w:r>
      </w:hyperlink>
    </w:p>
    <w:p w14:paraId="408732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Bao, F., Pan, W.-G., Mao, P.-X., Ren, Y.-P., Liu, J., &amp; Ma, X. (2017). Neurocognitive functioning impairment in patients with moderate to severe late-onset depression. [Neurocognitive functioning impairment in patients with moderate to severe late-onset depression.].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(6), 442–446.</w:t>
      </w:r>
    </w:p>
    <w:p w14:paraId="1DBB92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Barandiaran, M., Estanga, A., Moreno, F., Indakoetxea, B., Alzualde, A., Balluerka, N., Massó, J. F. M., &amp; de Munain, A. L. (2012). Neuropsychological features of asymptomatic c.709-1G&gt;A progranulin mutation carriers.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1086–1090. </w:t>
      </w:r>
      <w:hyperlink r:id="rId300" w:history="1">
        <w:r w:rsidRPr="005B38F0">
          <w:rPr>
            <w:rFonts w:ascii="Times New Roman" w:eastAsia="Times New Roman" w:hAnsi="Times New Roman" w:cs="Times New Roman"/>
            <w:color w:val="0000FF"/>
            <w:sz w:val="24"/>
            <w:szCs w:val="24"/>
            <w:u w:val="single"/>
          </w:rPr>
          <w:t>https://doi.org/10.1017/S1355617712000823</w:t>
        </w:r>
      </w:hyperlink>
    </w:p>
    <w:p w14:paraId="3FEF8D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Barandiaran, M., Moreno, F., de Arriba, M., Indakoetxea, B., Boda, I., Gabilondo, A., Tainta, M., &amp; López de Munain, A. (2019). Longitudinal neuropsychological study of presymptomatic c.709-1G&gt;A progranulin mutation carriers.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39–47. </w:t>
      </w:r>
      <w:hyperlink r:id="rId301" w:history="1">
        <w:r w:rsidRPr="005B38F0">
          <w:rPr>
            <w:rFonts w:ascii="Times New Roman" w:eastAsia="Times New Roman" w:hAnsi="Times New Roman" w:cs="Times New Roman"/>
            <w:color w:val="0000FF"/>
            <w:sz w:val="24"/>
            <w:szCs w:val="24"/>
            <w:u w:val="single"/>
          </w:rPr>
          <w:t>https://doi.org/10.1017/S1355617718000735</w:t>
        </w:r>
      </w:hyperlink>
    </w:p>
    <w:p w14:paraId="642529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Barbarulo, A. M., Grossi, D., Merola, S., Conson, M., &amp; Trojano, L. (2007). On the genesis of unilateral micrographia of the progressive type.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(8), 1685–1696. </w:t>
      </w:r>
      <w:hyperlink r:id="rId302" w:history="1">
        <w:r w:rsidRPr="005B38F0">
          <w:rPr>
            <w:rFonts w:ascii="Times New Roman" w:eastAsia="Times New Roman" w:hAnsi="Times New Roman" w:cs="Times New Roman"/>
            <w:color w:val="0000FF"/>
            <w:sz w:val="24"/>
            <w:szCs w:val="24"/>
            <w:u w:val="single"/>
          </w:rPr>
          <w:t>https://doi.org/10.1016/j.neuropsychologia.2007.01.002</w:t>
        </w:r>
      </w:hyperlink>
    </w:p>
    <w:p w14:paraId="00C149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Barbato, M., Colijn, M. A., Keefe, R. S. E., Perkins, D. O., Woods, S. W., Hawkins, K. A., Christensen, B. K., &amp; Addington, J. (2013). The course of cognitive functioning over six months in individuals at clinical high risk for psychosis.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206</w:t>
      </w:r>
      <w:r w:rsidRPr="005B38F0">
        <w:rPr>
          <w:rFonts w:ascii="Times New Roman" w:eastAsia="Times New Roman" w:hAnsi="Times New Roman" w:cs="Times New Roman"/>
          <w:sz w:val="24"/>
          <w:szCs w:val="24"/>
        </w:rPr>
        <w:t xml:space="preserve">(2–3), 195–199. </w:t>
      </w:r>
      <w:hyperlink r:id="rId303" w:history="1">
        <w:r w:rsidRPr="005B38F0">
          <w:rPr>
            <w:rFonts w:ascii="Times New Roman" w:eastAsia="Times New Roman" w:hAnsi="Times New Roman" w:cs="Times New Roman"/>
            <w:color w:val="0000FF"/>
            <w:sz w:val="24"/>
            <w:szCs w:val="24"/>
            <w:u w:val="single"/>
          </w:rPr>
          <w:t>https://doi.org/10.1016/j.psychres.2012.10.013</w:t>
        </w:r>
      </w:hyperlink>
    </w:p>
    <w:p w14:paraId="1228F9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Barbato, M., Liu, L., Penn, D. L., Keefe, R. S. E., Perkins, D. O., Woods, S. W., &amp; Addington, J. (2013). Social cognition as a mediator between neurocognition and functional outcome in individuals at clinical high risk for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150</w:t>
      </w:r>
      <w:r w:rsidRPr="005B38F0">
        <w:rPr>
          <w:rFonts w:ascii="Times New Roman" w:eastAsia="Times New Roman" w:hAnsi="Times New Roman" w:cs="Times New Roman"/>
          <w:sz w:val="24"/>
          <w:szCs w:val="24"/>
        </w:rPr>
        <w:t xml:space="preserve">(2–3), 542–546. </w:t>
      </w:r>
      <w:hyperlink r:id="rId304" w:history="1">
        <w:r w:rsidRPr="005B38F0">
          <w:rPr>
            <w:rFonts w:ascii="Times New Roman" w:eastAsia="Times New Roman" w:hAnsi="Times New Roman" w:cs="Times New Roman"/>
            <w:color w:val="0000FF"/>
            <w:sz w:val="24"/>
            <w:szCs w:val="24"/>
            <w:u w:val="single"/>
          </w:rPr>
          <w:t>https://doi.org/10.1016/j.schres.2013.08.015</w:t>
        </w:r>
      </w:hyperlink>
    </w:p>
    <w:p w14:paraId="48E5BBB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Barbosa, T., Miranda, M. C., Santos, R. F., &amp; Bueno, O. F. A. (2009). Phonological working memory, phonological awareness and language in literacy difficulties in Brazilian children. </w:t>
      </w:r>
      <w:r w:rsidRPr="005B38F0">
        <w:rPr>
          <w:rFonts w:ascii="Times New Roman" w:eastAsia="Times New Roman" w:hAnsi="Times New Roman" w:cs="Times New Roman"/>
          <w:i/>
          <w:iCs/>
          <w:sz w:val="24"/>
          <w:szCs w:val="24"/>
        </w:rPr>
        <w:t>Reading and Writing: An Interdisciplinary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201–218. </w:t>
      </w:r>
      <w:hyperlink r:id="rId305" w:history="1">
        <w:r w:rsidRPr="005B38F0">
          <w:rPr>
            <w:rFonts w:ascii="Times New Roman" w:eastAsia="Times New Roman" w:hAnsi="Times New Roman" w:cs="Times New Roman"/>
            <w:color w:val="0000FF"/>
            <w:sz w:val="24"/>
            <w:szCs w:val="24"/>
            <w:u w:val="single"/>
          </w:rPr>
          <w:t>https://doi.org/10.1007/s11145-007-9109-3</w:t>
        </w:r>
      </w:hyperlink>
    </w:p>
    <w:p w14:paraId="305F0F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Barca, L., Cappelli, F. R., Amicuzi, I., Apicella, M. G., Castelli, E., &amp; Stortini, M. (2009). Modality-specific naming impairment after traumatic brain injury (TBI).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(11), 920–929. </w:t>
      </w:r>
      <w:hyperlink r:id="rId306" w:history="1">
        <w:r w:rsidRPr="005B38F0">
          <w:rPr>
            <w:rFonts w:ascii="Times New Roman" w:eastAsia="Times New Roman" w:hAnsi="Times New Roman" w:cs="Times New Roman"/>
            <w:color w:val="0000FF"/>
            <w:sz w:val="24"/>
            <w:szCs w:val="24"/>
            <w:u w:val="single"/>
          </w:rPr>
          <w:t>https://doi.org/10.1080/02699050903283205</w:t>
        </w:r>
      </w:hyperlink>
    </w:p>
    <w:p w14:paraId="49DD6E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(1999). Electrophysiological evidence of two different types of error in the Wisconsin Card Sorting Test.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1299–1303. </w:t>
      </w:r>
      <w:hyperlink r:id="rId307" w:history="1">
        <w:r w:rsidRPr="005B38F0">
          <w:rPr>
            <w:rFonts w:ascii="Times New Roman" w:eastAsia="Times New Roman" w:hAnsi="Times New Roman" w:cs="Times New Roman"/>
            <w:color w:val="0000FF"/>
            <w:sz w:val="24"/>
            <w:szCs w:val="24"/>
            <w:u w:val="single"/>
          </w:rPr>
          <w:t>https://doi.org/10.1097/00001756-199904260-00027</w:t>
        </w:r>
      </w:hyperlink>
    </w:p>
    <w:p w14:paraId="4ED1E2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Barceló, F. (2001). Does the Wisconsin Card Sorting Test measure prefrontal function?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 79–100. </w:t>
      </w:r>
      <w:hyperlink r:id="rId308" w:history="1">
        <w:r w:rsidRPr="005B38F0">
          <w:rPr>
            <w:rFonts w:ascii="Times New Roman" w:eastAsia="Times New Roman" w:hAnsi="Times New Roman" w:cs="Times New Roman"/>
            <w:color w:val="0000FF"/>
            <w:sz w:val="24"/>
            <w:szCs w:val="24"/>
            <w:u w:val="single"/>
          </w:rPr>
          <w:t>https://doi.org/10.1017/S1138741600005680</w:t>
        </w:r>
      </w:hyperlink>
    </w:p>
    <w:p w14:paraId="64EDDC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Barcelo, F., Escera, C., Corral, M. J., &amp; Periáñez, J. A. (2006). Task Switching and Novelty Processing Activate a Common Neural Network for Cognitive Control.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(10), 1734–1748. </w:t>
      </w:r>
      <w:hyperlink r:id="rId309" w:history="1">
        <w:r w:rsidRPr="005B38F0">
          <w:rPr>
            <w:rFonts w:ascii="Times New Roman" w:eastAsia="Times New Roman" w:hAnsi="Times New Roman" w:cs="Times New Roman"/>
            <w:color w:val="0000FF"/>
            <w:sz w:val="24"/>
            <w:szCs w:val="24"/>
            <w:u w:val="single"/>
          </w:rPr>
          <w:t>https://doi.org/10.1162/jocn.2006.18.10.1734</w:t>
        </w:r>
      </w:hyperlink>
    </w:p>
    <w:p w14:paraId="142EE0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&amp; Knight, R. T. (2002). Both random and perspective errors underlie WCST deficits in prefrontal patients.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(3), 349–356. </w:t>
      </w:r>
      <w:hyperlink r:id="rId310" w:history="1">
        <w:r w:rsidRPr="005B38F0">
          <w:rPr>
            <w:rFonts w:ascii="Times New Roman" w:eastAsia="Times New Roman" w:hAnsi="Times New Roman" w:cs="Times New Roman"/>
            <w:color w:val="0000FF"/>
            <w:sz w:val="24"/>
            <w:szCs w:val="24"/>
            <w:u w:val="single"/>
          </w:rPr>
          <w:t>https://doi.org/10.1016/S0028-3932(01)00110-5</w:t>
        </w:r>
      </w:hyperlink>
    </w:p>
    <w:p w14:paraId="656195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Muñoz-Céspedes, J. M., Pozo, M. A., &amp; Rubia, F. J. (2000). Attentional set shifting modulates the target P3b response in the Wisconsin card sorting test.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(10), 1342–1355. </w:t>
      </w:r>
      <w:hyperlink r:id="rId311" w:history="1">
        <w:r w:rsidRPr="005B38F0">
          <w:rPr>
            <w:rFonts w:ascii="Times New Roman" w:eastAsia="Times New Roman" w:hAnsi="Times New Roman" w:cs="Times New Roman"/>
            <w:color w:val="0000FF"/>
            <w:sz w:val="24"/>
            <w:szCs w:val="24"/>
            <w:u w:val="single"/>
          </w:rPr>
          <w:t>https://doi.org/10.1016/S0028-3932(00)00046-4</w:t>
        </w:r>
      </w:hyperlink>
    </w:p>
    <w:p w14:paraId="6BB0D0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Periáñez, J. A., &amp; Knight, R. T. (2002). Think differently: A brain orienting response to task novelty.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(15), 1887–1892. </w:t>
      </w:r>
      <w:hyperlink r:id="rId312" w:history="1">
        <w:r w:rsidRPr="005B38F0">
          <w:rPr>
            <w:rFonts w:ascii="Times New Roman" w:eastAsia="Times New Roman" w:hAnsi="Times New Roman" w:cs="Times New Roman"/>
            <w:color w:val="0000FF"/>
            <w:sz w:val="24"/>
            <w:szCs w:val="24"/>
            <w:u w:val="single"/>
          </w:rPr>
          <w:t>https://doi.org/10.1097/00001756-200210280-00011</w:t>
        </w:r>
      </w:hyperlink>
    </w:p>
    <w:p w14:paraId="793A99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&amp; Rubia, F. J. (1998). Non-frontal P3b-like activity evoked by the Wisconsin Card Sorting Test. </w:t>
      </w:r>
      <w:r w:rsidRPr="005B38F0">
        <w:rPr>
          <w:rFonts w:ascii="Times New Roman" w:eastAsia="Times New Roman" w:hAnsi="Times New Roman" w:cs="Times New Roman"/>
          <w:i/>
          <w:iCs/>
          <w:sz w:val="24"/>
          <w:szCs w:val="24"/>
        </w:rPr>
        <w:t>Neuroreport: An International Journal for the Rapid Communication of Research in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(4), 747–751. </w:t>
      </w:r>
      <w:hyperlink r:id="rId313" w:history="1">
        <w:r w:rsidRPr="005B38F0">
          <w:rPr>
            <w:rFonts w:ascii="Times New Roman" w:eastAsia="Times New Roman" w:hAnsi="Times New Roman" w:cs="Times New Roman"/>
            <w:color w:val="0000FF"/>
            <w:sz w:val="24"/>
            <w:szCs w:val="24"/>
            <w:u w:val="single"/>
          </w:rPr>
          <w:t>https://doi.org/10.1097/00001756-199803090-00034</w:t>
        </w:r>
      </w:hyperlink>
    </w:p>
    <w:p w14:paraId="5825AA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 F., Sanz, M., Molina, V., &amp; Rubia, F. J. (1997). The Wisconsin Card Sorting Test and the assessment of frontal function: A validation study with event-related potentials.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399–408. </w:t>
      </w:r>
      <w:hyperlink r:id="rId314" w:history="1">
        <w:r w:rsidRPr="005B38F0">
          <w:rPr>
            <w:rFonts w:ascii="Times New Roman" w:eastAsia="Times New Roman" w:hAnsi="Times New Roman" w:cs="Times New Roman"/>
            <w:color w:val="0000FF"/>
            <w:sz w:val="24"/>
            <w:szCs w:val="24"/>
            <w:u w:val="single"/>
          </w:rPr>
          <w:t>https://doi.org/10.1016/S0028-3932(96)00096-6</w:t>
        </w:r>
      </w:hyperlink>
    </w:p>
    <w:p w14:paraId="381871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Barceló-Martinez, E., Gelves-Ospina, M., Lechuga, E. N., Allegri, R. F., Orozco-Acosta, E., Benítez-Agudelo, J. C., León-Jacobus, A., &amp; Román, N. F. (2018). Serum cortisol levels and neuropsychological impairments in patients diagnosed with fibromyalgia. </w:t>
      </w:r>
      <w:r w:rsidRPr="005B38F0">
        <w:rPr>
          <w:rFonts w:ascii="Times New Roman" w:eastAsia="Times New Roman" w:hAnsi="Times New Roman" w:cs="Times New Roman"/>
          <w:i/>
          <w:iCs/>
          <w:sz w:val="24"/>
          <w:szCs w:val="24"/>
        </w:rPr>
        <w:t>Actas Españolas de Psiquiatría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(1), 1–11.</w:t>
      </w:r>
    </w:p>
    <w:p w14:paraId="1CD62B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Barcia, J. A., Avecillas-Chasín, J. M., Nombela, C., Arza, R., García-Albea, J., Pineda-Pardo, J. A., Reneses, B., &amp; Strange, B. A. (2019). Personalized striatal targets for deep brain stimulation in obsessive-compulsive disorder. </w:t>
      </w:r>
      <w:r w:rsidRPr="005B38F0">
        <w:rPr>
          <w:rFonts w:ascii="Times New Roman" w:eastAsia="Times New Roman" w:hAnsi="Times New Roman" w:cs="Times New Roman"/>
          <w:i/>
          <w:iCs/>
          <w:sz w:val="24"/>
          <w:szCs w:val="24"/>
        </w:rPr>
        <w:t>Brain Stimulation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(3), 724–734. </w:t>
      </w:r>
      <w:hyperlink r:id="rId315" w:history="1">
        <w:r w:rsidRPr="005B38F0">
          <w:rPr>
            <w:rFonts w:ascii="Times New Roman" w:eastAsia="Times New Roman" w:hAnsi="Times New Roman" w:cs="Times New Roman"/>
            <w:color w:val="0000FF"/>
            <w:sz w:val="24"/>
            <w:szCs w:val="24"/>
            <w:u w:val="single"/>
          </w:rPr>
          <w:t>https://doi.org/10.1016/j.brs.2018.12.226</w:t>
        </w:r>
      </w:hyperlink>
    </w:p>
    <w:p w14:paraId="5F6191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Bardenhagen, F. J., &amp; Bowden, S. C. (1998). Cognitive components in perseverative and nonperseverative errors on the object alternation task.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(2), 224–236. </w:t>
      </w:r>
      <w:hyperlink r:id="rId316" w:history="1">
        <w:r w:rsidRPr="005B38F0">
          <w:rPr>
            <w:rFonts w:ascii="Times New Roman" w:eastAsia="Times New Roman" w:hAnsi="Times New Roman" w:cs="Times New Roman"/>
            <w:color w:val="0000FF"/>
            <w:sz w:val="24"/>
            <w:szCs w:val="24"/>
            <w:u w:val="single"/>
          </w:rPr>
          <w:t>https://doi.org/10.1006/brcg.1997.0971</w:t>
        </w:r>
      </w:hyperlink>
    </w:p>
    <w:p w14:paraId="3D13DA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Barder, H. E., Sundet, K., Rund, B. R., Evensen, J., Haahr, U., Hegelstad, W. T. V., Joa, I., Johannessen, J. O., Langeveld, J., Larsen, T. K., Melle, I., Opjordsmoen, S., Røssberg, J. I., Simonsen, E., Vaglum, P., McGlashan, T., &amp; Friis, S. (2013). Ten year neurocognitive trajectories in first-episode psychosis.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 </w:t>
      </w:r>
      <w:hyperlink r:id="rId317" w:history="1">
        <w:r w:rsidRPr="005B38F0">
          <w:rPr>
            <w:rFonts w:ascii="Times New Roman" w:eastAsia="Times New Roman" w:hAnsi="Times New Roman" w:cs="Times New Roman"/>
            <w:color w:val="0000FF"/>
            <w:sz w:val="24"/>
            <w:szCs w:val="24"/>
            <w:u w:val="single"/>
          </w:rPr>
          <w:t>https://doi.org/10.3389/fnhum.2013.00643</w:t>
        </w:r>
      </w:hyperlink>
    </w:p>
    <w:p w14:paraId="3DBC23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Barder, H. E., Sundet, K., Rund, B. R., Evensen, J., Haahr, U., ten Velden Hegelstad, W., Joa, I., Johannessen, J. O., Langeveld, H., Larsen, T. K., Melle, I., Opjordsmoen, S., Røssberg, J. I., Simonsen, E., Vaglum, P., McGlashan, T., &amp; Friis, S. (2013). Neurocognitive development in first episode psychosis 5 years follow-up: Associations between illness severity and cognitive course.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149</w:t>
      </w:r>
      <w:r w:rsidRPr="005B38F0">
        <w:rPr>
          <w:rFonts w:ascii="Times New Roman" w:eastAsia="Times New Roman" w:hAnsi="Times New Roman" w:cs="Times New Roman"/>
          <w:sz w:val="24"/>
          <w:szCs w:val="24"/>
        </w:rPr>
        <w:t xml:space="preserve">(1–3), 63–69. </w:t>
      </w:r>
      <w:hyperlink r:id="rId318" w:history="1">
        <w:r w:rsidRPr="005B38F0">
          <w:rPr>
            <w:rFonts w:ascii="Times New Roman" w:eastAsia="Times New Roman" w:hAnsi="Times New Roman" w:cs="Times New Roman"/>
            <w:color w:val="0000FF"/>
            <w:sz w:val="24"/>
            <w:szCs w:val="24"/>
            <w:u w:val="single"/>
          </w:rPr>
          <w:t>https://doi.org/10.1016/j.schres.2013.06.016</w:t>
        </w:r>
      </w:hyperlink>
    </w:p>
    <w:p w14:paraId="759BD2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Barense, M. D., Gaffan, D., &amp; Graham, K. S. (2007). The human medial temporal lobe processes online representations of complex objects.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(13), 2963–2974. </w:t>
      </w:r>
      <w:hyperlink r:id="rId319" w:history="1">
        <w:r w:rsidRPr="005B38F0">
          <w:rPr>
            <w:rFonts w:ascii="Times New Roman" w:eastAsia="Times New Roman" w:hAnsi="Times New Roman" w:cs="Times New Roman"/>
            <w:color w:val="0000FF"/>
            <w:sz w:val="24"/>
            <w:szCs w:val="24"/>
            <w:u w:val="single"/>
          </w:rPr>
          <w:t>https://doi.org/10.1016/j.neuropsychologia.2007.05.023</w:t>
        </w:r>
      </w:hyperlink>
    </w:p>
    <w:p w14:paraId="75F3A0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Barense, M. D., Rogers, T. T., Bussey, T. J., Saksida, L. M., &amp; Graham, K. S. (2010). Influence of conceptual knowledge on visual object discrimination: Insights from semantic dementia and MTL amnesia. </w:t>
      </w:r>
      <w:r w:rsidRPr="005B38F0">
        <w:rPr>
          <w:rFonts w:ascii="Times New Roman" w:eastAsia="Times New Roman" w:hAnsi="Times New Roman" w:cs="Times New Roman"/>
          <w:i/>
          <w:iCs/>
          <w:sz w:val="24"/>
          <w:szCs w:val="24"/>
        </w:rPr>
        <w:t>Cerebral Cortex</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(11), 2568–2582. </w:t>
      </w:r>
      <w:hyperlink r:id="rId320" w:history="1">
        <w:r w:rsidRPr="005B38F0">
          <w:rPr>
            <w:rFonts w:ascii="Times New Roman" w:eastAsia="Times New Roman" w:hAnsi="Times New Roman" w:cs="Times New Roman"/>
            <w:color w:val="0000FF"/>
            <w:sz w:val="24"/>
            <w:szCs w:val="24"/>
            <w:u w:val="single"/>
          </w:rPr>
          <w:t>https://doi.org/10.1093/cercor/bhq004</w:t>
        </w:r>
      </w:hyperlink>
    </w:p>
    <w:p w14:paraId="1E6028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Barf, H. A., Verhoef, M., Jennekens-Schinkel, A., Post, M. W. M., Gooskens, R. H. J. M., &amp; Prevo, A. J. H. (2003). Cognitive status of young adults with spina bifida. </w:t>
      </w:r>
      <w:r w:rsidRPr="005B38F0">
        <w:rPr>
          <w:rFonts w:ascii="Times New Roman" w:eastAsia="Times New Roman" w:hAnsi="Times New Roman" w:cs="Times New Roman"/>
          <w:i/>
          <w:iCs/>
          <w:sz w:val="24"/>
          <w:szCs w:val="24"/>
        </w:rPr>
        <w:t>Developmental Medicine &amp;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(12), 813–820. </w:t>
      </w:r>
      <w:hyperlink r:id="rId321" w:history="1">
        <w:r w:rsidRPr="005B38F0">
          <w:rPr>
            <w:rFonts w:ascii="Times New Roman" w:eastAsia="Times New Roman" w:hAnsi="Times New Roman" w:cs="Times New Roman"/>
            <w:color w:val="0000FF"/>
            <w:sz w:val="24"/>
            <w:szCs w:val="24"/>
            <w:u w:val="single"/>
          </w:rPr>
          <w:t>https://doi.org/10.1017/S0012162203001518</w:t>
        </w:r>
      </w:hyperlink>
    </w:p>
    <w:p w14:paraId="69F45D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 R., Dieckmann, S., Bogerts, B., &amp; Northoff, G. (2005). Deficit in decision making in catatonic schizophrenia: An exploratory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134</w:t>
      </w:r>
      <w:r w:rsidRPr="005B38F0">
        <w:rPr>
          <w:rFonts w:ascii="Times New Roman" w:eastAsia="Times New Roman" w:hAnsi="Times New Roman" w:cs="Times New Roman"/>
          <w:sz w:val="24"/>
          <w:szCs w:val="24"/>
        </w:rPr>
        <w:t xml:space="preserve">(2), 131–141. </w:t>
      </w:r>
      <w:hyperlink r:id="rId322" w:history="1">
        <w:r w:rsidRPr="005B38F0">
          <w:rPr>
            <w:rFonts w:ascii="Times New Roman" w:eastAsia="Times New Roman" w:hAnsi="Times New Roman" w:cs="Times New Roman"/>
            <w:color w:val="0000FF"/>
            <w:sz w:val="24"/>
            <w:szCs w:val="24"/>
            <w:u w:val="single"/>
          </w:rPr>
          <w:t>https://doi.org/10.1016/j.psychres.2004.04.013</w:t>
        </w:r>
      </w:hyperlink>
    </w:p>
    <w:p w14:paraId="5EAF85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L. A., Andrade, J., Morton, N., Romanowski, C. A. J., &amp; Bowles, D. P. (2010). Investigating the ‘latent’ deficit hypothesis: Age at time of head injury, implicit and executive functions and behavioral insight.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(9), 2550–2563. </w:t>
      </w:r>
      <w:hyperlink r:id="rId323" w:history="1">
        <w:r w:rsidRPr="005B38F0">
          <w:rPr>
            <w:rFonts w:ascii="Times New Roman" w:eastAsia="Times New Roman" w:hAnsi="Times New Roman" w:cs="Times New Roman"/>
            <w:color w:val="0000FF"/>
            <w:sz w:val="24"/>
            <w:szCs w:val="24"/>
            <w:u w:val="single"/>
          </w:rPr>
          <w:t>https://doi.org/10.1016/j.neuropsychologia.2010.05.001</w:t>
        </w:r>
      </w:hyperlink>
    </w:p>
    <w:p w14:paraId="0EAB92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L. A., Andrade, J., &amp; Romanowski, C. A. J. (2004). Impaired Implicit Cognition with Intact Executive Function After Extensive Bilateral Prefrontal Pathology: A Case Study.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233–248. </w:t>
      </w:r>
      <w:hyperlink r:id="rId324" w:history="1">
        <w:r w:rsidRPr="005B38F0">
          <w:rPr>
            <w:rFonts w:ascii="Times New Roman" w:eastAsia="Times New Roman" w:hAnsi="Times New Roman" w:cs="Times New Roman"/>
            <w:color w:val="0000FF"/>
            <w:sz w:val="24"/>
            <w:szCs w:val="24"/>
            <w:u w:val="single"/>
          </w:rPr>
          <w:t>https://doi.org/10.1080/13554790490495096</w:t>
        </w:r>
      </w:hyperlink>
    </w:p>
    <w:p w14:paraId="67120B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L. A., Andrade, J., Romanowski, C. A. J., Morton, N., &amp; Wasti, A. (2006). Implicit cognition is impaired and dissociable in a head-injured group with executive deficits.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(8), 1413–1424. </w:t>
      </w:r>
      <w:hyperlink r:id="rId325" w:history="1">
        <w:r w:rsidRPr="005B38F0">
          <w:rPr>
            <w:rFonts w:ascii="Times New Roman" w:eastAsia="Times New Roman" w:hAnsi="Times New Roman" w:cs="Times New Roman"/>
            <w:color w:val="0000FF"/>
            <w:sz w:val="24"/>
            <w:szCs w:val="24"/>
            <w:u w:val="single"/>
          </w:rPr>
          <w:t>https://doi.org/10.1016/j.neuropsychologia.2005.12.005</w:t>
        </w:r>
      </w:hyperlink>
    </w:p>
    <w:p w14:paraId="3A57BA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Barker, V., Pope, M., Smith, S., Brown, V., &amp; Hall, J. (2014). Set shifting and reversal learning in borderline personality disorder. </w:t>
      </w:r>
      <w:r w:rsidRPr="005B38F0">
        <w:rPr>
          <w:rFonts w:ascii="Times New Roman" w:eastAsia="Times New Roman" w:hAnsi="Times New Roman" w:cs="Times New Roman"/>
          <w:i/>
          <w:iCs/>
          <w:sz w:val="24"/>
          <w:szCs w:val="24"/>
        </w:rPr>
        <w:t>Personality and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1–13. </w:t>
      </w:r>
      <w:hyperlink r:id="rId326" w:history="1">
        <w:r w:rsidRPr="005B38F0">
          <w:rPr>
            <w:rFonts w:ascii="Times New Roman" w:eastAsia="Times New Roman" w:hAnsi="Times New Roman" w:cs="Times New Roman"/>
            <w:color w:val="0000FF"/>
            <w:sz w:val="24"/>
            <w:szCs w:val="24"/>
            <w:u w:val="single"/>
          </w:rPr>
          <w:t>https://doi.org/10.1002/pmh.1235</w:t>
        </w:r>
      </w:hyperlink>
    </w:p>
    <w:p w14:paraId="52A25B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Barkley, R. A., &amp; Murphy, K. R. (2010). Impairment in occupational functioning and adult ADHD: The predictive utility of executive function (EF) ratings versus EF tests.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(3), 157–173. </w:t>
      </w:r>
      <w:hyperlink r:id="rId327" w:history="1">
        <w:r w:rsidRPr="005B38F0">
          <w:rPr>
            <w:rFonts w:ascii="Times New Roman" w:eastAsia="Times New Roman" w:hAnsi="Times New Roman" w:cs="Times New Roman"/>
            <w:color w:val="0000FF"/>
            <w:sz w:val="24"/>
            <w:szCs w:val="24"/>
            <w:u w:val="single"/>
          </w:rPr>
          <w:t>https://doi.org/10.1093/arclin/acq014</w:t>
        </w:r>
      </w:hyperlink>
    </w:p>
    <w:p w14:paraId="39A54A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Barkley, R. A., Smith, K. M., Fischer, M., &amp; Navia, B. (2006). An examination of the behavioral and neuropsychological correlates of three ADHD candidate gene polymorphisms (DRD4 7+, DBH TaqI A2, and DAT1 40 bp VNTR) in hyperactive and normal children followed to adulthood.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141B</w:t>
      </w:r>
      <w:r w:rsidRPr="005B38F0">
        <w:rPr>
          <w:rFonts w:ascii="Times New Roman" w:eastAsia="Times New Roman" w:hAnsi="Times New Roman" w:cs="Times New Roman"/>
          <w:sz w:val="24"/>
          <w:szCs w:val="24"/>
        </w:rPr>
        <w:t xml:space="preserve">(5), 487–498. </w:t>
      </w:r>
      <w:hyperlink r:id="rId328" w:history="1">
        <w:r w:rsidRPr="005B38F0">
          <w:rPr>
            <w:rFonts w:ascii="Times New Roman" w:eastAsia="Times New Roman" w:hAnsi="Times New Roman" w:cs="Times New Roman"/>
            <w:color w:val="0000FF"/>
            <w:sz w:val="24"/>
            <w:szCs w:val="24"/>
            <w:u w:val="single"/>
          </w:rPr>
          <w:t>https://doi.org/10.1002/ajmg.b.30326</w:t>
        </w:r>
      </w:hyperlink>
    </w:p>
    <w:p w14:paraId="15290F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Barnard, L., Muldoon, K., Hasan, R., O’Brien, G., &amp; Stewart, M. (2008). Profiling executive dysfunction in adults with autism and comorbid learning disability. </w:t>
      </w:r>
      <w:r w:rsidRPr="005B38F0">
        <w:rPr>
          <w:rFonts w:ascii="Times New Roman" w:eastAsia="Times New Roman" w:hAnsi="Times New Roman" w:cs="Times New Roman"/>
          <w:i/>
          <w:iCs/>
          <w:sz w:val="24"/>
          <w:szCs w:val="24"/>
        </w:rPr>
        <w:t>Autism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125–141. </w:t>
      </w:r>
      <w:hyperlink r:id="rId329" w:history="1">
        <w:r w:rsidRPr="005B38F0">
          <w:rPr>
            <w:rFonts w:ascii="Times New Roman" w:eastAsia="Times New Roman" w:hAnsi="Times New Roman" w:cs="Times New Roman"/>
            <w:color w:val="0000FF"/>
            <w:sz w:val="24"/>
            <w:szCs w:val="24"/>
            <w:u w:val="single"/>
          </w:rPr>
          <w:t>https://doi.org/10.1177/1362361307088486</w:t>
        </w:r>
      </w:hyperlink>
    </w:p>
    <w:p w14:paraId="633484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Barnett, J. H., Jones, P. B., Robbins, T. W., &amp; Müller, U. (2007). Effects of the catechol-O-methyltransferase Val</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Met polymorphism on executive function: Meta-analysis of the Wisconsin Card Sort Test in schizophrenia and healthy controls. </w:t>
      </w:r>
      <w:r w:rsidRPr="005B38F0">
        <w:rPr>
          <w:rFonts w:ascii="Times New Roman" w:eastAsia="Times New Roman" w:hAnsi="Times New Roman" w:cs="Times New Roman"/>
          <w:i/>
          <w:iCs/>
          <w:sz w:val="24"/>
          <w:szCs w:val="24"/>
        </w:rPr>
        <w:t>Molecular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(5), 502–509.</w:t>
      </w:r>
    </w:p>
    <w:p w14:paraId="70B8D9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Barneveld, P. S., de Sonneville, L., van Rijn, S., van Engeland, H., &amp; Swaab, H. (2013). Impaired response inhibition in autism spectrum disorders, a marker of vulnerability to schizophrenia spectrum disorders?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646–655. </w:t>
      </w:r>
      <w:hyperlink r:id="rId330" w:history="1">
        <w:r w:rsidRPr="005B38F0">
          <w:rPr>
            <w:rFonts w:ascii="Times New Roman" w:eastAsia="Times New Roman" w:hAnsi="Times New Roman" w:cs="Times New Roman"/>
            <w:color w:val="0000FF"/>
            <w:sz w:val="24"/>
            <w:szCs w:val="24"/>
            <w:u w:val="single"/>
          </w:rPr>
          <w:t>https://doi.org/10.1017/S1355617713000167</w:t>
        </w:r>
      </w:hyperlink>
    </w:p>
    <w:p w14:paraId="7E69CF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Barney, S. J., Allen, D. N., Thaler, N. S., Park, B. S., Strauss, G. P., &amp; Mayfield, J. (2011). Neuropsychological and behavioral measures of attention assess different constructs in children with traumatic brain injury.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(7), 1145–1157. </w:t>
      </w:r>
      <w:hyperlink r:id="rId331" w:history="1">
        <w:r w:rsidRPr="005B38F0">
          <w:rPr>
            <w:rFonts w:ascii="Times New Roman" w:eastAsia="Times New Roman" w:hAnsi="Times New Roman" w:cs="Times New Roman"/>
            <w:color w:val="0000FF"/>
            <w:sz w:val="24"/>
            <w:szCs w:val="24"/>
            <w:u w:val="single"/>
          </w:rPr>
          <w:t>https://doi.org/10.1080/13854046.2011.595956</w:t>
        </w:r>
      </w:hyperlink>
    </w:p>
    <w:p w14:paraId="3C4A87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Bar-On, R., Tranel, D., Denburg, N. L., &amp; Bechara, A. (2003). Exploring the neurological substrate of emotional and social intelligence.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(8), 1790–1800. </w:t>
      </w:r>
      <w:hyperlink r:id="rId332" w:history="1">
        <w:r w:rsidRPr="005B38F0">
          <w:rPr>
            <w:rFonts w:ascii="Times New Roman" w:eastAsia="Times New Roman" w:hAnsi="Times New Roman" w:cs="Times New Roman"/>
            <w:color w:val="0000FF"/>
            <w:sz w:val="24"/>
            <w:szCs w:val="24"/>
            <w:u w:val="single"/>
          </w:rPr>
          <w:t>https://doi.org/10.1093/brain/awg177</w:t>
        </w:r>
      </w:hyperlink>
    </w:p>
    <w:p w14:paraId="123BC6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Barone, C., Yamamoto, A., Richardson, C. G., Zivanovic, R., Lin, D., &amp; Mathias, S. (2019). Examining patterns of cognitive impairment among homeless and precariously housed urban youth. </w:t>
      </w:r>
      <w:r w:rsidRPr="005B38F0">
        <w:rPr>
          <w:rFonts w:ascii="Times New Roman" w:eastAsia="Times New Roman" w:hAnsi="Times New Roman" w:cs="Times New Roman"/>
          <w:i/>
          <w:iCs/>
          <w:sz w:val="24"/>
          <w:szCs w:val="24"/>
        </w:rPr>
        <w:t>Journal of Adolescence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 64–69. </w:t>
      </w:r>
      <w:hyperlink r:id="rId333" w:history="1">
        <w:r w:rsidRPr="005B38F0">
          <w:rPr>
            <w:rFonts w:ascii="Times New Roman" w:eastAsia="Times New Roman" w:hAnsi="Times New Roman" w:cs="Times New Roman"/>
            <w:color w:val="0000FF"/>
            <w:sz w:val="24"/>
            <w:szCs w:val="24"/>
            <w:u w:val="single"/>
          </w:rPr>
          <w:t>https://doi.org/10.1016/j.adolescence.2019.02.011</w:t>
        </w:r>
      </w:hyperlink>
    </w:p>
    <w:p w14:paraId="1A4C7F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 W. B. (2014). Mild traumatic brain injury. In </w:t>
      </w:r>
      <w:r w:rsidRPr="005B38F0">
        <w:rPr>
          <w:rFonts w:ascii="Times New Roman" w:eastAsia="Times New Roman" w:hAnsi="Times New Roman" w:cs="Times New Roman"/>
          <w:i/>
          <w:iCs/>
          <w:sz w:val="24"/>
          <w:szCs w:val="24"/>
        </w:rPr>
        <w:t>Handbook on the neuropsychology of traumatic brain injury.</w:t>
      </w:r>
      <w:r w:rsidRPr="005B38F0">
        <w:rPr>
          <w:rFonts w:ascii="Times New Roman" w:eastAsia="Times New Roman" w:hAnsi="Times New Roman" w:cs="Times New Roman"/>
          <w:sz w:val="24"/>
          <w:szCs w:val="24"/>
        </w:rPr>
        <w:t xml:space="preserve"> (pp. 347–369). Springer Science + Business Media. </w:t>
      </w:r>
      <w:hyperlink r:id="rId334" w:history="1">
        <w:r w:rsidRPr="005B38F0">
          <w:rPr>
            <w:rFonts w:ascii="Times New Roman" w:eastAsia="Times New Roman" w:hAnsi="Times New Roman" w:cs="Times New Roman"/>
            <w:color w:val="0000FF"/>
            <w:sz w:val="24"/>
            <w:szCs w:val="24"/>
            <w:u w:val="single"/>
          </w:rPr>
          <w:t>https://doi.org/10.1007/978-1-4939-0784-7_18</w:t>
        </w:r>
      </w:hyperlink>
    </w:p>
    <w:p w14:paraId="03D614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Barrantes-Vidal, N., Aguilera, M., Campanera, S., Fatjó-Vilas, M., Guitart, M., Miret, S., Valero, S., &amp; Fañanás, L. (2007). Working memory in siblings of schizophrenia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95</w:t>
      </w:r>
      <w:r w:rsidRPr="005B38F0">
        <w:rPr>
          <w:rFonts w:ascii="Times New Roman" w:eastAsia="Times New Roman" w:hAnsi="Times New Roman" w:cs="Times New Roman"/>
          <w:sz w:val="24"/>
          <w:szCs w:val="24"/>
        </w:rPr>
        <w:t xml:space="preserve">(1–3), 70–75. </w:t>
      </w:r>
      <w:hyperlink r:id="rId335" w:history="1">
        <w:r w:rsidRPr="005B38F0">
          <w:rPr>
            <w:rFonts w:ascii="Times New Roman" w:eastAsia="Times New Roman" w:hAnsi="Times New Roman" w:cs="Times New Roman"/>
            <w:color w:val="0000FF"/>
            <w:sz w:val="24"/>
            <w:szCs w:val="24"/>
            <w:u w:val="single"/>
          </w:rPr>
          <w:t>https://doi.org/10.1016/j.schres.2007.06.020</w:t>
        </w:r>
      </w:hyperlink>
    </w:p>
    <w:p w14:paraId="46D1D0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Barrentes, N., Serrano, F., &amp; Obiols, J. E. (1996). Función frontal, déficit atencional y esquizotipia en adolescentes. [Frontal lobe function, attentional deficit and schizotypy in adolescents.]. </w:t>
      </w:r>
      <w:r w:rsidRPr="005B38F0">
        <w:rPr>
          <w:rFonts w:ascii="Times New Roman" w:eastAsia="Times New Roman" w:hAnsi="Times New Roman" w:cs="Times New Roman"/>
          <w:i/>
          <w:iCs/>
          <w:sz w:val="24"/>
          <w:szCs w:val="24"/>
        </w:rPr>
        <w:t>Revista de Psiquiatría de La Facultad de Medicina de Barcelona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(1), 1–10.</w:t>
      </w:r>
    </w:p>
    <w:p w14:paraId="7A4528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Barrera, M., Calderón, L., &amp; Bell, V. (2013). The cognitive impact of sexual abuse and PTSD in children: A neuropsychological study. </w:t>
      </w:r>
      <w:r w:rsidRPr="005B38F0">
        <w:rPr>
          <w:rFonts w:ascii="Times New Roman" w:eastAsia="Times New Roman" w:hAnsi="Times New Roman" w:cs="Times New Roman"/>
          <w:i/>
          <w:iCs/>
          <w:sz w:val="24"/>
          <w:szCs w:val="24"/>
        </w:rPr>
        <w:t>Journal of Child Sexual Abuse: Research, Treatment, &amp; Program Innovations for Victims, Survivors, &amp; Offenders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625–638. </w:t>
      </w:r>
      <w:hyperlink r:id="rId336" w:history="1">
        <w:r w:rsidRPr="005B38F0">
          <w:rPr>
            <w:rFonts w:ascii="Times New Roman" w:eastAsia="Times New Roman" w:hAnsi="Times New Roman" w:cs="Times New Roman"/>
            <w:color w:val="0000FF"/>
            <w:sz w:val="24"/>
            <w:szCs w:val="24"/>
            <w:u w:val="single"/>
          </w:rPr>
          <w:t>https://doi.org/10.1080/10538712.2013.811141</w:t>
        </w:r>
      </w:hyperlink>
    </w:p>
    <w:p w14:paraId="4A3D63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Barrera-Valencia, M., Calderón-Delgado, L., Trejos-Castillo, E., &amp; O’Boyle, M. (2017). Cognitive profiles of Post-traumatic Stress Disorder and depression in children and adolescents. </w:t>
      </w:r>
      <w:r w:rsidRPr="005B38F0">
        <w:rPr>
          <w:rFonts w:ascii="Times New Roman" w:eastAsia="Times New Roman" w:hAnsi="Times New Roman" w:cs="Times New Roman"/>
          <w:i/>
          <w:iCs/>
          <w:sz w:val="24"/>
          <w:szCs w:val="24"/>
        </w:rPr>
        <w:t>International Journal of Clinical and Health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242–250. </w:t>
      </w:r>
      <w:hyperlink r:id="rId337" w:history="1">
        <w:r w:rsidRPr="005B38F0">
          <w:rPr>
            <w:rFonts w:ascii="Times New Roman" w:eastAsia="Times New Roman" w:hAnsi="Times New Roman" w:cs="Times New Roman"/>
            <w:color w:val="0000FF"/>
            <w:sz w:val="24"/>
            <w:szCs w:val="24"/>
            <w:u w:val="single"/>
          </w:rPr>
          <w:t>https://doi.org/10.1016/j.ijchp.2017.05.001</w:t>
        </w:r>
      </w:hyperlink>
    </w:p>
    <w:p w14:paraId="3021EE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Barreto, M. R. A., Acosta, F. J., &amp; Arias, M. C. (2018). Funciones ejecutivas y antecedentes familiares de alcoholismo en adolescentes. [Executive functions and parental history of alcoholism in adolescents.]. </w:t>
      </w:r>
      <w:r w:rsidRPr="005B38F0">
        <w:rPr>
          <w:rFonts w:ascii="Times New Roman" w:eastAsia="Times New Roman" w:hAnsi="Times New Roman" w:cs="Times New Roman"/>
          <w:i/>
          <w:iCs/>
          <w:sz w:val="24"/>
          <w:szCs w:val="24"/>
        </w:rPr>
        <w:t>Pensamiento Psicológico</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(1), 57–68.</w:t>
      </w:r>
    </w:p>
    <w:p w14:paraId="20CFED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Barrett, M. J., Sperling, S. A., Blair, J. C., Freeman, C. S., Flanigan, J. L., Smolkin, M. E., Manning, C. A., &amp; Druzgal, T. J. (2019). Lower volume, more impairment: Reduced cholinergic basal forebrain grey matter density is associated with impaired cognition in Parkinson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(11), 1251–1256. </w:t>
      </w:r>
      <w:hyperlink r:id="rId338" w:history="1">
        <w:r w:rsidRPr="005B38F0">
          <w:rPr>
            <w:rFonts w:ascii="Times New Roman" w:eastAsia="Times New Roman" w:hAnsi="Times New Roman" w:cs="Times New Roman"/>
            <w:color w:val="0000FF"/>
            <w:sz w:val="24"/>
            <w:szCs w:val="24"/>
            <w:u w:val="single"/>
          </w:rPr>
          <w:t>https://doi.org/10.1136/jnnp-2019-320450</w:t>
        </w:r>
      </w:hyperlink>
    </w:p>
    <w:p w14:paraId="63D332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Barrett, S. L., Bell, R., Watson, D., &amp; King, D. J. (2004). Effects of amisulpride, risperidone and chlorpromazine on auditory and visual latent inhibition, prepulse inhibition, executive function and eye movements in healthy volunteers. </w:t>
      </w:r>
      <w:r w:rsidRPr="005B38F0">
        <w:rPr>
          <w:rFonts w:ascii="Times New Roman" w:eastAsia="Times New Roman" w:hAnsi="Times New Roman" w:cs="Times New Roman"/>
          <w:i/>
          <w:iCs/>
          <w:sz w:val="24"/>
          <w:szCs w:val="24"/>
        </w:rPr>
        <w:t>Journal of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156–172. </w:t>
      </w:r>
      <w:hyperlink r:id="rId339" w:history="1">
        <w:r w:rsidRPr="005B38F0">
          <w:rPr>
            <w:rFonts w:ascii="Times New Roman" w:eastAsia="Times New Roman" w:hAnsi="Times New Roman" w:cs="Times New Roman"/>
            <w:color w:val="0000FF"/>
            <w:sz w:val="24"/>
            <w:szCs w:val="24"/>
            <w:u w:val="single"/>
          </w:rPr>
          <w:t>https://doi.org/10.1177/0269881104042614</w:t>
        </w:r>
      </w:hyperlink>
    </w:p>
    <w:p w14:paraId="384EE1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Bartels, C., Wegrzyn, M., Wiedl, A., Ackermann, V., &amp; Ehrenreich, H. (2010). Practice effects in healthy adults: A longitudinal study on frequent repetitive cognitive testing. </w:t>
      </w:r>
      <w:r w:rsidRPr="005B38F0">
        <w:rPr>
          <w:rFonts w:ascii="Times New Roman" w:eastAsia="Times New Roman" w:hAnsi="Times New Roman" w:cs="Times New Roman"/>
          <w:i/>
          <w:iCs/>
          <w:sz w:val="24"/>
          <w:szCs w:val="24"/>
        </w:rPr>
        <w:t>BMC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340" w:history="1">
        <w:r w:rsidRPr="005B38F0">
          <w:rPr>
            <w:rFonts w:ascii="Times New Roman" w:eastAsia="Times New Roman" w:hAnsi="Times New Roman" w:cs="Times New Roman"/>
            <w:color w:val="0000FF"/>
            <w:sz w:val="24"/>
            <w:szCs w:val="24"/>
            <w:u w:val="single"/>
          </w:rPr>
          <w:t>https://doi.org/10.1186/1471-2202-11-118</w:t>
        </w:r>
      </w:hyperlink>
    </w:p>
    <w:p w14:paraId="45332E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Bartók, E., Berecz, R., Glaub, T., &amp; Degrell, I. (2005). Cognitive functions in prepsychotic patients.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(4), 621–625. </w:t>
      </w:r>
      <w:hyperlink r:id="rId341" w:history="1">
        <w:r w:rsidRPr="005B38F0">
          <w:rPr>
            <w:rFonts w:ascii="Times New Roman" w:eastAsia="Times New Roman" w:hAnsi="Times New Roman" w:cs="Times New Roman"/>
            <w:color w:val="0000FF"/>
            <w:sz w:val="24"/>
            <w:szCs w:val="24"/>
            <w:u w:val="single"/>
          </w:rPr>
          <w:t>https://doi.org/10.1016/j.pnpbp.2005.01.008</w:t>
        </w:r>
      </w:hyperlink>
    </w:p>
    <w:p w14:paraId="577916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Bartok, J. A. (1995). </w:t>
      </w:r>
      <w:r w:rsidRPr="005B38F0">
        <w:rPr>
          <w:rFonts w:ascii="Times New Roman" w:eastAsia="Times New Roman" w:hAnsi="Times New Roman" w:cs="Times New Roman"/>
          <w:i/>
          <w:iCs/>
          <w:sz w:val="24"/>
          <w:szCs w:val="24"/>
        </w:rPr>
        <w:t>Planning and the Tower of London test.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(9-B), 4111–4111.</w:t>
      </w:r>
    </w:p>
    <w:p w14:paraId="5B5AB4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Bartos, A., Raisova, M., &amp; Ripova, D. (2013). Alzheimer’s disease. In </w:t>
      </w:r>
      <w:r w:rsidRPr="005B38F0">
        <w:rPr>
          <w:rFonts w:ascii="Times New Roman" w:eastAsia="Times New Roman" w:hAnsi="Times New Roman" w:cs="Times New Roman"/>
          <w:i/>
          <w:iCs/>
          <w:sz w:val="24"/>
          <w:szCs w:val="24"/>
        </w:rPr>
        <w:t>Cognitive deficit in mental and neurological disorders.</w:t>
      </w:r>
      <w:r w:rsidRPr="005B38F0">
        <w:rPr>
          <w:rFonts w:ascii="Times New Roman" w:eastAsia="Times New Roman" w:hAnsi="Times New Roman" w:cs="Times New Roman"/>
          <w:sz w:val="24"/>
          <w:szCs w:val="24"/>
        </w:rPr>
        <w:t xml:space="preserve"> (pp. 191–219). Nova Science Publishers.</w:t>
      </w:r>
    </w:p>
    <w:p w14:paraId="41D0B1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Bartzokis, G., Lu, P. H., Beckson, M., Rapoport, R., Grant, S., Wiseman, E. J., &amp; London, E. E. (2000). Abstinence from cocaine reduces high-risk responses on a gambling task.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102–103. </w:t>
      </w:r>
      <w:hyperlink r:id="rId342" w:history="1">
        <w:r w:rsidRPr="005B38F0">
          <w:rPr>
            <w:rFonts w:ascii="Times New Roman" w:eastAsia="Times New Roman" w:hAnsi="Times New Roman" w:cs="Times New Roman"/>
            <w:color w:val="0000FF"/>
            <w:sz w:val="24"/>
            <w:szCs w:val="24"/>
            <w:u w:val="single"/>
          </w:rPr>
          <w:t>https://doi.org/10.1016/S0893-133X(99)00077-9</w:t>
        </w:r>
      </w:hyperlink>
    </w:p>
    <w:p w14:paraId="7E335E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Barzgari, A., Sojkova, J., Dowling, N. M., Pozorski, V., Okonkwo, O. C., Starks, E. J., Oh, J., Thiesen, F., Wey, A., Nicholas, C. R., Johnson, S., &amp; Gallagher, C. L. (2019). Arterial spin labeling reveals relationships between resting cerebral perfusion and motor learning in Parkinson’s disease. </w:t>
      </w:r>
      <w:r w:rsidRPr="005B38F0">
        <w:rPr>
          <w:rFonts w:ascii="Times New Roman" w:eastAsia="Times New Roman" w:hAnsi="Times New Roman" w:cs="Times New Roman"/>
          <w:i/>
          <w:iCs/>
          <w:sz w:val="24"/>
          <w:szCs w:val="24"/>
        </w:rPr>
        <w:t>Brain Imaging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577–587. </w:t>
      </w:r>
      <w:hyperlink r:id="rId343" w:history="1">
        <w:r w:rsidRPr="005B38F0">
          <w:rPr>
            <w:rFonts w:ascii="Times New Roman" w:eastAsia="Times New Roman" w:hAnsi="Times New Roman" w:cs="Times New Roman"/>
            <w:color w:val="0000FF"/>
            <w:sz w:val="24"/>
            <w:szCs w:val="24"/>
            <w:u w:val="single"/>
          </w:rPr>
          <w:t>https://doi.org/10.1007/s11682-018-9877-1</w:t>
        </w:r>
      </w:hyperlink>
    </w:p>
    <w:p w14:paraId="13C759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Basagni, B., Luzzatti, C., De Tanti, A., Bozzetti, F., Crisi, G., Pinardi, C., Errante, A., &amp; Fogassi, L. (2021). Some evidence on Gerstmann’s syndrome: A case study on a variant of the clinical disorder.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148</w:t>
      </w:r>
      <w:r w:rsidRPr="005B38F0">
        <w:rPr>
          <w:rFonts w:ascii="Times New Roman" w:eastAsia="Times New Roman" w:hAnsi="Times New Roman" w:cs="Times New Roman"/>
          <w:sz w:val="24"/>
          <w:szCs w:val="24"/>
        </w:rPr>
        <w:t xml:space="preserve">. </w:t>
      </w:r>
      <w:hyperlink r:id="rId344" w:history="1">
        <w:r w:rsidRPr="005B38F0">
          <w:rPr>
            <w:rFonts w:ascii="Times New Roman" w:eastAsia="Times New Roman" w:hAnsi="Times New Roman" w:cs="Times New Roman"/>
            <w:color w:val="0000FF"/>
            <w:sz w:val="24"/>
            <w:szCs w:val="24"/>
            <w:u w:val="single"/>
          </w:rPr>
          <w:t>https://doi.org/10.1016/j.bandc.2020.105679</w:t>
        </w:r>
      </w:hyperlink>
    </w:p>
    <w:p w14:paraId="61C424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Başoğlu, M., Yetimalar, Y., Gürgör, N., Büyükçatalbaş, S., Kurt, T., Seçil, Y., &amp; Yeniocak, A. (2006). Neurological complications of prolonged hunger strike.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(10), 1089–1097. </w:t>
      </w:r>
      <w:hyperlink r:id="rId345" w:history="1">
        <w:r w:rsidRPr="005B38F0">
          <w:rPr>
            <w:rFonts w:ascii="Times New Roman" w:eastAsia="Times New Roman" w:hAnsi="Times New Roman" w:cs="Times New Roman"/>
            <w:color w:val="0000FF"/>
            <w:sz w:val="24"/>
            <w:szCs w:val="24"/>
            <w:u w:val="single"/>
          </w:rPr>
          <w:t>https://doi.org/10.1111/j.1468-1331.2006.01531.x</w:t>
        </w:r>
      </w:hyperlink>
    </w:p>
    <w:p w14:paraId="3CAFD9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Bassett, A. S., Caluseriu, O., Weksberg, R., Young, D. A., &amp; Chow, E. W. C. (2007). Catechol-o-methyl transferase and expression of schizophrenia in 73 adults with 22q11 deletion syndrome.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(10), 1135–1140. </w:t>
      </w:r>
      <w:hyperlink r:id="rId346" w:history="1">
        <w:r w:rsidRPr="005B38F0">
          <w:rPr>
            <w:rFonts w:ascii="Times New Roman" w:eastAsia="Times New Roman" w:hAnsi="Times New Roman" w:cs="Times New Roman"/>
            <w:color w:val="0000FF"/>
            <w:sz w:val="24"/>
            <w:szCs w:val="24"/>
            <w:u w:val="single"/>
          </w:rPr>
          <w:t>https://doi.org/10.1016/j.biopsych.2006.07.038</w:t>
        </w:r>
      </w:hyperlink>
    </w:p>
    <w:p w14:paraId="412DA3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&amp; Bornstein, R. A. (2003). Effects of Past Noninjection Drug Abuse Upon Executive Function and Working Memory in HIV Infection.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(7), 893–903. </w:t>
      </w:r>
      <w:hyperlink r:id="rId347" w:history="1">
        <w:r w:rsidRPr="005B38F0">
          <w:rPr>
            <w:rFonts w:ascii="Times New Roman" w:eastAsia="Times New Roman" w:hAnsi="Times New Roman" w:cs="Times New Roman"/>
            <w:color w:val="0000FF"/>
            <w:sz w:val="24"/>
            <w:szCs w:val="24"/>
            <w:u w:val="single"/>
          </w:rPr>
          <w:t>https://doi.org/10.1076/jcen.25.7.893.16489</w:t>
        </w:r>
      </w:hyperlink>
    </w:p>
    <w:p w14:paraId="0EF18A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Basso, M. R., Bornstein, R. A., &amp; Lang, J. M. (1999). Practice effects on commonly used measures of executive function across twelve months.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283–292. </w:t>
      </w:r>
      <w:hyperlink r:id="rId348" w:history="1">
        <w:r w:rsidRPr="005B38F0">
          <w:rPr>
            <w:rFonts w:ascii="Times New Roman" w:eastAsia="Times New Roman" w:hAnsi="Times New Roman" w:cs="Times New Roman"/>
            <w:color w:val="0000FF"/>
            <w:sz w:val="24"/>
            <w:szCs w:val="24"/>
            <w:u w:val="single"/>
          </w:rPr>
          <w:t>https://doi.org/10.1076/clin.13.3.283.1743</w:t>
        </w:r>
      </w:hyperlink>
    </w:p>
    <w:p w14:paraId="634DA0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Candilis, P. J., Johnson, J., Ghormley, C., Combs, D. R., &amp; Ward, T. (2010). Capacity to make medical treatment decisions in multiple sclerosis: A potentially remediable deficit.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(10), 1050–1061. </w:t>
      </w:r>
      <w:hyperlink r:id="rId349" w:history="1">
        <w:r w:rsidRPr="005B38F0">
          <w:rPr>
            <w:rFonts w:ascii="Times New Roman" w:eastAsia="Times New Roman" w:hAnsi="Times New Roman" w:cs="Times New Roman"/>
            <w:color w:val="0000FF"/>
            <w:sz w:val="24"/>
            <w:szCs w:val="24"/>
            <w:u w:val="single"/>
          </w:rPr>
          <w:t>https://doi.org/10.1080/13803391003683062</w:t>
        </w:r>
      </w:hyperlink>
    </w:p>
    <w:p w14:paraId="341CFA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Miller, A., Estevis, E., &amp; Combs, D. (2013). Neuropsychological deficits in major depressive disorder: Correlates and conundrums. In </w:t>
      </w:r>
      <w:r w:rsidRPr="005B38F0">
        <w:rPr>
          <w:rFonts w:ascii="Times New Roman" w:eastAsia="Times New Roman" w:hAnsi="Times New Roman" w:cs="Times New Roman"/>
          <w:i/>
          <w:iCs/>
          <w:sz w:val="24"/>
          <w:szCs w:val="24"/>
        </w:rPr>
        <w:t>Secondary influences on neuropsychological test performance: Research findings and practical applications.</w:t>
      </w:r>
      <w:r w:rsidRPr="005B38F0">
        <w:rPr>
          <w:rFonts w:ascii="Times New Roman" w:eastAsia="Times New Roman" w:hAnsi="Times New Roman" w:cs="Times New Roman"/>
          <w:sz w:val="24"/>
          <w:szCs w:val="24"/>
        </w:rPr>
        <w:t xml:space="preserve"> (pp. 39–66). Oxford University Press.</w:t>
      </w:r>
    </w:p>
    <w:p w14:paraId="56D08F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Basso, M. R., Whiteside, D., Combs, D., Woods, S. P., Hoffmeister, J., Mulligan, R., Arnett, P., Alden, E., &amp; Tobin, O. (2021). Memory in multiple sclerosis: A reappraisal using the item specific deficit approach.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207–219. </w:t>
      </w:r>
      <w:hyperlink r:id="rId350" w:history="1">
        <w:r w:rsidRPr="005B38F0">
          <w:rPr>
            <w:rFonts w:ascii="Times New Roman" w:eastAsia="Times New Roman" w:hAnsi="Times New Roman" w:cs="Times New Roman"/>
            <w:color w:val="0000FF"/>
            <w:sz w:val="24"/>
            <w:szCs w:val="24"/>
            <w:u w:val="single"/>
          </w:rPr>
          <w:t>https://doi.org/10.1037/neu0000712</w:t>
        </w:r>
      </w:hyperlink>
    </w:p>
    <w:p w14:paraId="1A13A4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Basterra, V., Sánchez-Torres, A. M., Rosa, A., Fañanás, L., Cuesta, M. J., &amp; Peralta, V. (2012). Influence of genetic variability at the COMT gene on TMT-B performance in psychotic patients and their healthy siblings.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92–95. </w:t>
      </w:r>
      <w:hyperlink r:id="rId351" w:history="1">
        <w:r w:rsidRPr="005B38F0">
          <w:rPr>
            <w:rFonts w:ascii="Times New Roman" w:eastAsia="Times New Roman" w:hAnsi="Times New Roman" w:cs="Times New Roman"/>
            <w:color w:val="0000FF"/>
            <w:sz w:val="24"/>
            <w:szCs w:val="24"/>
            <w:u w:val="single"/>
          </w:rPr>
          <w:t>https://doi.org/10.1097/YPG.0b013e32834c0c0d</w:t>
        </w:r>
      </w:hyperlink>
    </w:p>
    <w:p w14:paraId="7EABC1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Bastide, L., De Breucker, S., Van den Berge, M., Fery, P., Pepersack, T., &amp; Bier, J. C. (2013). The Addenbrooke’s Cognitive Examination Revised is as effective as the original to detect dementia in a French-speaking population.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(5–6), 337–343. </w:t>
      </w:r>
      <w:hyperlink r:id="rId352" w:history="1">
        <w:r w:rsidRPr="005B38F0">
          <w:rPr>
            <w:rFonts w:ascii="Times New Roman" w:eastAsia="Times New Roman" w:hAnsi="Times New Roman" w:cs="Times New Roman"/>
            <w:color w:val="0000FF"/>
            <w:sz w:val="24"/>
            <w:szCs w:val="24"/>
            <w:u w:val="single"/>
          </w:rPr>
          <w:t>https://doi.org/10.1159/000345562</w:t>
        </w:r>
      </w:hyperlink>
    </w:p>
    <w:p w14:paraId="1E3BEE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Bastin, C., Van der Linden, M., Charnallet, A., Denby, C., Montaldi, D., Roberts, N., &amp; Mayes, A. R. (2004). Dissociation Between Recall and Recognition Memory Performance in an Amnesic Patient with Hippocampal Damage Following Carbon Monoxide Poisoning.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330–344. </w:t>
      </w:r>
      <w:hyperlink r:id="rId353" w:history="1">
        <w:r w:rsidRPr="005B38F0">
          <w:rPr>
            <w:rFonts w:ascii="Times New Roman" w:eastAsia="Times New Roman" w:hAnsi="Times New Roman" w:cs="Times New Roman"/>
            <w:color w:val="0000FF"/>
            <w:sz w:val="24"/>
            <w:szCs w:val="24"/>
            <w:u w:val="single"/>
          </w:rPr>
          <w:t>https://doi.org/10.1080/13554790490507650</w:t>
        </w:r>
      </w:hyperlink>
    </w:p>
    <w:p w14:paraId="7C46F2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Bastin, C., Van der Linden, M., Lekeu, F., Andŕes, P., &amp; Salmon, E. (2006). Variability in the impairment of recognition memory in patients with frontal lobe lesions.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(7), 983–994. </w:t>
      </w:r>
      <w:hyperlink r:id="rId354" w:history="1">
        <w:r w:rsidRPr="005B38F0">
          <w:rPr>
            <w:rFonts w:ascii="Times New Roman" w:eastAsia="Times New Roman" w:hAnsi="Times New Roman" w:cs="Times New Roman"/>
            <w:color w:val="0000FF"/>
            <w:sz w:val="24"/>
            <w:szCs w:val="24"/>
            <w:u w:val="single"/>
          </w:rPr>
          <w:t>https://doi.org/10.1016/S0010-9452(08)70204-1</w:t>
        </w:r>
      </w:hyperlink>
    </w:p>
    <w:p w14:paraId="48E2E7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Bate, S., Adams, A., Bennetts, R., &amp; Line, H. (2019). Developmental prosopagnosia with concurrent topographical difficulties: A case report and virtual reality training programme.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(8), 1290–1312. </w:t>
      </w:r>
      <w:hyperlink r:id="rId355" w:history="1">
        <w:r w:rsidRPr="005B38F0">
          <w:rPr>
            <w:rFonts w:ascii="Times New Roman" w:eastAsia="Times New Roman" w:hAnsi="Times New Roman" w:cs="Times New Roman"/>
            <w:color w:val="0000FF"/>
            <w:sz w:val="24"/>
            <w:szCs w:val="24"/>
            <w:u w:val="single"/>
          </w:rPr>
          <w:t>https://doi.org/10.1080/09602011.2017.1409640</w:t>
        </w:r>
      </w:hyperlink>
    </w:p>
    <w:p w14:paraId="43E79F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Bates, M. E., Buckman, J. F., Voelbel, G. T., Eddie, D., &amp; Freeman, J. (2013). The mean and the individual: Integrating variable-centered and person-centered analyses of cognitive recovery in patients with substance use disorders.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 </w:t>
      </w:r>
      <w:hyperlink r:id="rId356" w:history="1">
        <w:r w:rsidRPr="005B38F0">
          <w:rPr>
            <w:rFonts w:ascii="Times New Roman" w:eastAsia="Times New Roman" w:hAnsi="Times New Roman" w:cs="Times New Roman"/>
            <w:color w:val="0000FF"/>
            <w:sz w:val="24"/>
            <w:szCs w:val="24"/>
            <w:u w:val="single"/>
          </w:rPr>
          <w:t>https://doi.org/10.3389/fpsyt.2013.00177</w:t>
        </w:r>
      </w:hyperlink>
    </w:p>
    <w:p w14:paraId="27EE14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Bates, M. E., Voelbel, G. T., Buckman, J. F., Labouvie, E. W., &amp; Barry, D. (2005). Short-Term Neuropsychological Recovery in Clients with Substance Use Disorders.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(3), 367–377. </w:t>
      </w:r>
      <w:hyperlink r:id="rId357" w:history="1">
        <w:r w:rsidRPr="005B38F0">
          <w:rPr>
            <w:rFonts w:ascii="Times New Roman" w:eastAsia="Times New Roman" w:hAnsi="Times New Roman" w:cs="Times New Roman"/>
            <w:color w:val="0000FF"/>
            <w:sz w:val="24"/>
            <w:szCs w:val="24"/>
            <w:u w:val="single"/>
          </w:rPr>
          <w:t>https://doi.org/10.1097/01.ALC.0000156131.88125.2A</w:t>
        </w:r>
      </w:hyperlink>
    </w:p>
    <w:p w14:paraId="7399D7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Bathen, T. F., Løhaugen, G. C. C., Brubakk, A.-M., Gribbestad, I. S., Axelson, D. E., &amp; Skranes, J. (2009). Combining clinical assessment scores and in vivo MR spectroscopy </w:t>
      </w:r>
      <w:r w:rsidRPr="005B38F0">
        <w:rPr>
          <w:rFonts w:ascii="Times New Roman" w:eastAsia="Times New Roman" w:hAnsi="Times New Roman" w:cs="Times New Roman"/>
          <w:sz w:val="24"/>
          <w:szCs w:val="24"/>
        </w:rPr>
        <w:lastRenderedPageBreak/>
        <w:t xml:space="preserve">neurometabolites in very low birth weight adolescents. </w:t>
      </w:r>
      <w:r w:rsidRPr="005B38F0">
        <w:rPr>
          <w:rFonts w:ascii="Times New Roman" w:eastAsia="Times New Roman" w:hAnsi="Times New Roman" w:cs="Times New Roman"/>
          <w:i/>
          <w:iCs/>
          <w:sz w:val="24"/>
          <w:szCs w:val="24"/>
        </w:rPr>
        <w:t>Artificial Intelligence in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(2), 135–146. </w:t>
      </w:r>
      <w:hyperlink r:id="rId358" w:history="1">
        <w:r w:rsidRPr="005B38F0">
          <w:rPr>
            <w:rFonts w:ascii="Times New Roman" w:eastAsia="Times New Roman" w:hAnsi="Times New Roman" w:cs="Times New Roman"/>
            <w:color w:val="0000FF"/>
            <w:sz w:val="24"/>
            <w:szCs w:val="24"/>
            <w:u w:val="single"/>
          </w:rPr>
          <w:t>https://doi.org/10.1016/j.artmed.2009.04.001</w:t>
        </w:r>
      </w:hyperlink>
    </w:p>
    <w:p w14:paraId="6FFF5E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Batista, S., Freitas, S., Afonso, A., Macário, C., Sousa, L., Cunha, L., &amp; Santana, I. (2018). Theory of mind and executive functions are dissociated in multiple sclerosis.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541–551. </w:t>
      </w:r>
      <w:hyperlink r:id="rId359" w:history="1">
        <w:r w:rsidRPr="005B38F0">
          <w:rPr>
            <w:rFonts w:ascii="Times New Roman" w:eastAsia="Times New Roman" w:hAnsi="Times New Roman" w:cs="Times New Roman"/>
            <w:color w:val="0000FF"/>
            <w:sz w:val="24"/>
            <w:szCs w:val="24"/>
            <w:u w:val="single"/>
          </w:rPr>
          <w:t>https://doi.org/10.1093/arclin/acx101</w:t>
        </w:r>
      </w:hyperlink>
    </w:p>
    <w:p w14:paraId="32E67A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Battaglia, M., Abbruzzese, M., Ferri, S., Scarone, S., Bellodi, L., &amp; Smeraldi, E. (1994). An assessment of the Wisconsin Card Sorting Test as an indicator of liability to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(1), 39–45. </w:t>
      </w:r>
      <w:hyperlink r:id="rId360" w:history="1">
        <w:r w:rsidRPr="005B38F0">
          <w:rPr>
            <w:rFonts w:ascii="Times New Roman" w:eastAsia="Times New Roman" w:hAnsi="Times New Roman" w:cs="Times New Roman"/>
            <w:color w:val="0000FF"/>
            <w:sz w:val="24"/>
            <w:szCs w:val="24"/>
            <w:u w:val="single"/>
          </w:rPr>
          <w:t>https://doi.org/10.1016/0920-9964(94)90007-8</w:t>
        </w:r>
      </w:hyperlink>
    </w:p>
    <w:p w14:paraId="4EEA1E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Batty, R. A., Rossell, S. L., Francis, A. J. P., &amp; Ponsford, J. (2013). Psychosis following traumatic brain injury. </w:t>
      </w:r>
      <w:r w:rsidRPr="005B38F0">
        <w:rPr>
          <w:rFonts w:ascii="Times New Roman" w:eastAsia="Times New Roman" w:hAnsi="Times New Roman" w:cs="Times New Roman"/>
          <w:i/>
          <w:iCs/>
          <w:sz w:val="24"/>
          <w:szCs w:val="24"/>
        </w:rPr>
        <w:t>Brain Impairment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(1), 21–41. </w:t>
      </w:r>
      <w:hyperlink r:id="rId361" w:history="1">
        <w:r w:rsidRPr="005B38F0">
          <w:rPr>
            <w:rFonts w:ascii="Times New Roman" w:eastAsia="Times New Roman" w:hAnsi="Times New Roman" w:cs="Times New Roman"/>
            <w:color w:val="0000FF"/>
            <w:sz w:val="24"/>
            <w:szCs w:val="24"/>
            <w:u w:val="single"/>
          </w:rPr>
          <w:t>https://doi.org/10.1017/BrImp.2013.10</w:t>
        </w:r>
      </w:hyperlink>
    </w:p>
    <w:p w14:paraId="069AAB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Baudouin, A., Clarys, D., Vanneste, S., &amp; Isingrini, M. (2009). Executive functioning and processing speed in age-related differences in memory: Contribution of a coding task.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(3), 240–245. </w:t>
      </w:r>
      <w:hyperlink r:id="rId362" w:history="1">
        <w:r w:rsidRPr="005B38F0">
          <w:rPr>
            <w:rFonts w:ascii="Times New Roman" w:eastAsia="Times New Roman" w:hAnsi="Times New Roman" w:cs="Times New Roman"/>
            <w:color w:val="0000FF"/>
            <w:sz w:val="24"/>
            <w:szCs w:val="24"/>
            <w:u w:val="single"/>
          </w:rPr>
          <w:t>https://doi.org/10.1016/j.bandc.2009.08.007</w:t>
        </w:r>
      </w:hyperlink>
    </w:p>
    <w:p w14:paraId="76A2C0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Baudouin, A., Isingrini, M., &amp; Vanneste, S. (2019). Executive functioning and processing speed in age-related differences in time estimation: A comparison of young, old, and very old </w:t>
      </w:r>
      <w:r w:rsidRPr="005B38F0">
        <w:rPr>
          <w:rFonts w:ascii="Times New Roman" w:eastAsia="Times New Roman" w:hAnsi="Times New Roman" w:cs="Times New Roman"/>
          <w:sz w:val="24"/>
          <w:szCs w:val="24"/>
        </w:rPr>
        <w:lastRenderedPageBreak/>
        <w:t xml:space="preserve">adults.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264–281. </w:t>
      </w:r>
      <w:hyperlink r:id="rId363" w:history="1">
        <w:r w:rsidRPr="005B38F0">
          <w:rPr>
            <w:rFonts w:ascii="Times New Roman" w:eastAsia="Times New Roman" w:hAnsi="Times New Roman" w:cs="Times New Roman"/>
            <w:color w:val="0000FF"/>
            <w:sz w:val="24"/>
            <w:szCs w:val="24"/>
            <w:u w:val="single"/>
          </w:rPr>
          <w:t>https://doi.org/10.1080/13825585.2018.1426715</w:t>
        </w:r>
      </w:hyperlink>
    </w:p>
    <w:p w14:paraId="5CBE5B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Bauer, I. E., Pascoe, M. C., Wollenhaupt-Aguiar, B., Kapczinski, F., &amp; Soares, J. C. (2014). Inflammatory mediators of cognitive impairment in bipolar disorder.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18–27. </w:t>
      </w:r>
      <w:hyperlink r:id="rId364" w:history="1">
        <w:r w:rsidRPr="005B38F0">
          <w:rPr>
            <w:rFonts w:ascii="Times New Roman" w:eastAsia="Times New Roman" w:hAnsi="Times New Roman" w:cs="Times New Roman"/>
            <w:color w:val="0000FF"/>
            <w:sz w:val="24"/>
            <w:szCs w:val="24"/>
            <w:u w:val="single"/>
          </w:rPr>
          <w:t>https://doi.org/10.1016/j.jpsychires.2014.04.017</w:t>
        </w:r>
      </w:hyperlink>
    </w:p>
    <w:p w14:paraId="0DCF58B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Bauer, L. O., Covault, J., &amp; Gelernter, J. (2012). GABRA2 and KIBRA genotypes predict early relapse to substance use.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(1–3), 154–159. </w:t>
      </w:r>
      <w:hyperlink r:id="rId365" w:history="1">
        <w:r w:rsidRPr="005B38F0">
          <w:rPr>
            <w:rFonts w:ascii="Times New Roman" w:eastAsia="Times New Roman" w:hAnsi="Times New Roman" w:cs="Times New Roman"/>
            <w:color w:val="0000FF"/>
            <w:sz w:val="24"/>
            <w:szCs w:val="24"/>
            <w:u w:val="single"/>
          </w:rPr>
          <w:t>https://doi.org/10.1016/j.drugalcdep.2011.11.004</w:t>
        </w:r>
      </w:hyperlink>
    </w:p>
    <w:p w14:paraId="668AEA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Bauer, R. M., Gaynor, L., Moreno, C., &amp; Kuhn, T. (2019). Episodic and semantic memory disorders. </w:t>
      </w:r>
      <w:r w:rsidRPr="005B38F0">
        <w:rPr>
          <w:rFonts w:ascii="Times New Roman" w:eastAsia="Times New Roman" w:hAnsi="Times New Roman" w:cs="Times New Roman"/>
          <w:i/>
          <w:iCs/>
          <w:sz w:val="24"/>
          <w:szCs w:val="24"/>
        </w:rPr>
        <w:t>Handbook on the Neuropsychology of Aging and Dementia, 2nd Ed.</w:t>
      </w:r>
      <w:r w:rsidRPr="005B38F0">
        <w:rPr>
          <w:rFonts w:ascii="Times New Roman" w:eastAsia="Times New Roman" w:hAnsi="Times New Roman" w:cs="Times New Roman"/>
          <w:sz w:val="24"/>
          <w:szCs w:val="24"/>
        </w:rPr>
        <w:t xml:space="preserve">, 619–639. </w:t>
      </w:r>
      <w:hyperlink r:id="rId366" w:history="1">
        <w:r w:rsidRPr="005B38F0">
          <w:rPr>
            <w:rFonts w:ascii="Times New Roman" w:eastAsia="Times New Roman" w:hAnsi="Times New Roman" w:cs="Times New Roman"/>
            <w:color w:val="0000FF"/>
            <w:sz w:val="24"/>
            <w:szCs w:val="24"/>
            <w:u w:val="single"/>
          </w:rPr>
          <w:t>https://doi.org/10.1007/978-3-319-93497-6_37</w:t>
        </w:r>
      </w:hyperlink>
    </w:p>
    <w:p w14:paraId="7A4C52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Baughman, B. C., Basso, M. R., Sinclair, R. R., Combs, D. R., &amp; Roper, B. L. (2015). Staying on the job: The relationship between work performance and cognition in individuals diagnosed with multiple sclerosis.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(6), 630–640. </w:t>
      </w:r>
      <w:hyperlink r:id="rId367" w:history="1">
        <w:r w:rsidRPr="005B38F0">
          <w:rPr>
            <w:rFonts w:ascii="Times New Roman" w:eastAsia="Times New Roman" w:hAnsi="Times New Roman" w:cs="Times New Roman"/>
            <w:color w:val="0000FF"/>
            <w:sz w:val="24"/>
            <w:szCs w:val="24"/>
            <w:u w:val="single"/>
          </w:rPr>
          <w:t>https://doi.org/10.1080/13803395.2015.1039963</w:t>
        </w:r>
      </w:hyperlink>
    </w:p>
    <w:p w14:paraId="5D0355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Baughman, F. D., &amp; Cooper, R. P. (2007). Inhibition and young children’s performance on the Tower of London. </w:t>
      </w:r>
      <w:r w:rsidRPr="005B38F0">
        <w:rPr>
          <w:rFonts w:ascii="Times New Roman" w:eastAsia="Times New Roman" w:hAnsi="Times New Roman" w:cs="Times New Roman"/>
          <w:i/>
          <w:iCs/>
          <w:sz w:val="24"/>
          <w:szCs w:val="24"/>
        </w:rPr>
        <w:t>Cognitive Systems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(3), 216–226. </w:t>
      </w:r>
      <w:hyperlink r:id="rId368" w:history="1">
        <w:r w:rsidRPr="005B38F0">
          <w:rPr>
            <w:rFonts w:ascii="Times New Roman" w:eastAsia="Times New Roman" w:hAnsi="Times New Roman" w:cs="Times New Roman"/>
            <w:color w:val="0000FF"/>
            <w:sz w:val="24"/>
            <w:szCs w:val="24"/>
            <w:u w:val="single"/>
          </w:rPr>
          <w:t>https://doi.org/10.1016/j.cogsys.2007.06.004</w:t>
        </w:r>
      </w:hyperlink>
    </w:p>
    <w:p w14:paraId="64004F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Baum, C. M., Wolf, T. J., Wong, A. W. K., Chen, C. H., Walker, K., Young, A. C., Carlozzi, N. E., Tulsky, D. S., Heaton, R. K., &amp; Heinemann, A. W. (2017). Validation and clinical utility of the executive function performance test in persons with traumatic brain injury.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603–617. </w:t>
      </w:r>
      <w:hyperlink r:id="rId369" w:history="1">
        <w:r w:rsidRPr="005B38F0">
          <w:rPr>
            <w:rFonts w:ascii="Times New Roman" w:eastAsia="Times New Roman" w:hAnsi="Times New Roman" w:cs="Times New Roman"/>
            <w:color w:val="0000FF"/>
            <w:sz w:val="24"/>
            <w:szCs w:val="24"/>
            <w:u w:val="single"/>
          </w:rPr>
          <w:t>https://doi.org/10.1080/09602011.2016.1176934</w:t>
        </w:r>
      </w:hyperlink>
    </w:p>
    <w:p w14:paraId="7B0618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Baum, K. T., Byars, A. W., deGrauw, T. J., Dunn, D. W., Bates, J. E., Howe, S. R., Chiu, C.-Y. P., &amp; Austin, J. K. (2010). The effect of temperament and neuropsychological functioning on behavior problems in children with new-onset seizures.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(4), 467–473. </w:t>
      </w:r>
      <w:hyperlink r:id="rId370" w:history="1">
        <w:r w:rsidRPr="005B38F0">
          <w:rPr>
            <w:rFonts w:ascii="Times New Roman" w:eastAsia="Times New Roman" w:hAnsi="Times New Roman" w:cs="Times New Roman"/>
            <w:color w:val="0000FF"/>
            <w:sz w:val="24"/>
            <w:szCs w:val="24"/>
            <w:u w:val="single"/>
          </w:rPr>
          <w:t>https://doi.org/10.1016/j.yebeh.2010.01.010</w:t>
        </w:r>
      </w:hyperlink>
    </w:p>
    <w:p w14:paraId="33F9E4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Baune, B. T., Czira, M. E., Smith, A. L., Mitchell, D., &amp; Sinnamon, G. (2012). Neuropsychological performance in a sample of 13–25 year olds with a history of non-psychotic major depressive disorder.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141</w:t>
      </w:r>
      <w:r w:rsidRPr="005B38F0">
        <w:rPr>
          <w:rFonts w:ascii="Times New Roman" w:eastAsia="Times New Roman" w:hAnsi="Times New Roman" w:cs="Times New Roman"/>
          <w:sz w:val="24"/>
          <w:szCs w:val="24"/>
        </w:rPr>
        <w:t xml:space="preserve">(2–3), 441–448. </w:t>
      </w:r>
      <w:hyperlink r:id="rId371" w:history="1">
        <w:r w:rsidRPr="005B38F0">
          <w:rPr>
            <w:rFonts w:ascii="Times New Roman" w:eastAsia="Times New Roman" w:hAnsi="Times New Roman" w:cs="Times New Roman"/>
            <w:color w:val="0000FF"/>
            <w:sz w:val="24"/>
            <w:szCs w:val="24"/>
            <w:u w:val="single"/>
          </w:rPr>
          <w:t>https://doi.org/10.1016/j.jad.2012.02.041</w:t>
        </w:r>
      </w:hyperlink>
    </w:p>
    <w:p w14:paraId="14CB51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Baune, B. T., Fuhr, M., Air, T., &amp; Hering, C. (2014). Neuropsychological functioning in adolescents and young adults with major depressive disorder—A review.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218</w:t>
      </w:r>
      <w:r w:rsidRPr="005B38F0">
        <w:rPr>
          <w:rFonts w:ascii="Times New Roman" w:eastAsia="Times New Roman" w:hAnsi="Times New Roman" w:cs="Times New Roman"/>
          <w:sz w:val="24"/>
          <w:szCs w:val="24"/>
        </w:rPr>
        <w:t xml:space="preserve">(3), 261–271. </w:t>
      </w:r>
      <w:hyperlink r:id="rId372" w:history="1">
        <w:r w:rsidRPr="005B38F0">
          <w:rPr>
            <w:rFonts w:ascii="Times New Roman" w:eastAsia="Times New Roman" w:hAnsi="Times New Roman" w:cs="Times New Roman"/>
            <w:color w:val="0000FF"/>
            <w:sz w:val="24"/>
            <w:szCs w:val="24"/>
            <w:u w:val="single"/>
          </w:rPr>
          <w:t>https://doi.org/10.1016/j.psychres.2014.04.052</w:t>
        </w:r>
      </w:hyperlink>
    </w:p>
    <w:p w14:paraId="56F641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Baune, B. T., Konrad, C., Suslow, T., Domschke, K., Birosova, E., Sehlmeyer, C., &amp; Beste, C. (2010). The Reelin (RELN) gene is associated with executive function in healthy individuals. </w:t>
      </w:r>
      <w:r w:rsidRPr="005B38F0">
        <w:rPr>
          <w:rFonts w:ascii="Times New Roman" w:eastAsia="Times New Roman" w:hAnsi="Times New Roman" w:cs="Times New Roman"/>
          <w:i/>
          <w:iCs/>
          <w:sz w:val="24"/>
          <w:szCs w:val="24"/>
        </w:rPr>
        <w:t>Neurobiology of Learning and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(4), 446–451. </w:t>
      </w:r>
      <w:hyperlink r:id="rId373" w:history="1">
        <w:r w:rsidRPr="005B38F0">
          <w:rPr>
            <w:rFonts w:ascii="Times New Roman" w:eastAsia="Times New Roman" w:hAnsi="Times New Roman" w:cs="Times New Roman"/>
            <w:color w:val="0000FF"/>
            <w:sz w:val="24"/>
            <w:szCs w:val="24"/>
            <w:u w:val="single"/>
          </w:rPr>
          <w:t>https://doi.org/10.1016/j.nlm.2010.08.002</w:t>
        </w:r>
      </w:hyperlink>
    </w:p>
    <w:p w14:paraId="40304C8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Baune, B. T., Li, X., &amp; Beblo, T. (2013). Short- and long-term relationships between neurocognitive performance and general function in bipolar disorder.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(7), 759–774. </w:t>
      </w:r>
      <w:hyperlink r:id="rId374" w:history="1">
        <w:r w:rsidRPr="005B38F0">
          <w:rPr>
            <w:rFonts w:ascii="Times New Roman" w:eastAsia="Times New Roman" w:hAnsi="Times New Roman" w:cs="Times New Roman"/>
            <w:color w:val="0000FF"/>
            <w:sz w:val="24"/>
            <w:szCs w:val="24"/>
            <w:u w:val="single"/>
          </w:rPr>
          <w:t>https://doi.org/10.1080/13803395.2013.824071</w:t>
        </w:r>
      </w:hyperlink>
    </w:p>
    <w:p w14:paraId="17F461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Bawden, H. N., Salisbury, S., Eskes, G., &amp; Morehouse, R. (2009). Neuropsychological functioning following craniopharyngioma removal.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140–144. </w:t>
      </w:r>
      <w:hyperlink r:id="rId375" w:history="1">
        <w:r w:rsidRPr="005B38F0">
          <w:rPr>
            <w:rFonts w:ascii="Times New Roman" w:eastAsia="Times New Roman" w:hAnsi="Times New Roman" w:cs="Times New Roman"/>
            <w:color w:val="0000FF"/>
            <w:sz w:val="24"/>
            <w:szCs w:val="24"/>
            <w:u w:val="single"/>
          </w:rPr>
          <w:t>https://doi.org/10.1080/13803390802064599</w:t>
        </w:r>
      </w:hyperlink>
    </w:p>
    <w:p w14:paraId="155FC7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Baykal, S., Karabekiroğlu, K., Şenses, A., Karakurt, M. N., Çalik, T., &amp; Yüce, M. (2014). Çocukluk Çağı Başlangıçlı Obsesif Kompulsif Bozukluk Tanılı Çocuk ve Ergenlerde Klinik ve Nöropsikolojik Özelliklerin İncelenmesi. [Neuropsychological and clinical profiles of children and adolescents diagnosed with childhood obsessive compulsive disorder.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(4), 334–343. </w:t>
      </w:r>
      <w:hyperlink r:id="rId376" w:history="1">
        <w:r w:rsidRPr="005B38F0">
          <w:rPr>
            <w:rFonts w:ascii="Times New Roman" w:eastAsia="Times New Roman" w:hAnsi="Times New Roman" w:cs="Times New Roman"/>
            <w:color w:val="0000FF"/>
            <w:sz w:val="24"/>
            <w:szCs w:val="24"/>
            <w:u w:val="single"/>
          </w:rPr>
          <w:t>https://doi.org/10.5152/npa.2014.6862</w:t>
        </w:r>
      </w:hyperlink>
    </w:p>
    <w:p w14:paraId="1686B9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Baykara, B., Gencer, Ö., İlkin, Z., &amp; Miral, S. (2008). Otistik çocukların ana babalarında frontal loba özgü nörobilişsel Özellikler. [Neurocognitive features of the frontal lobe in parents of autistic children.].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(3), 225–234.</w:t>
      </w:r>
    </w:p>
    <w:p w14:paraId="49855A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Bayles, K. A., &amp; Tomoeda, C. K. (2013). </w:t>
      </w:r>
      <w:r w:rsidRPr="005B38F0">
        <w:rPr>
          <w:rFonts w:ascii="Times New Roman" w:eastAsia="Times New Roman" w:hAnsi="Times New Roman" w:cs="Times New Roman"/>
          <w:i/>
          <w:iCs/>
          <w:sz w:val="24"/>
          <w:szCs w:val="24"/>
        </w:rPr>
        <w:t>MCI and Alzheimer’s dementia: Clinical essentials for assessment and treatment of cognitive-communication disorders.</w:t>
      </w:r>
      <w:r w:rsidRPr="005B38F0">
        <w:rPr>
          <w:rFonts w:ascii="Times New Roman" w:eastAsia="Times New Roman" w:hAnsi="Times New Roman" w:cs="Times New Roman"/>
          <w:sz w:val="24"/>
          <w:szCs w:val="24"/>
        </w:rPr>
        <w:t xml:space="preserve"> (pp. xix, 209). Plural Publishing.</w:t>
      </w:r>
    </w:p>
    <w:p w14:paraId="1BEDC5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Baynes, K., Farias, S. T., &amp; Gospe Jr., S. M. (2003). Pyridoxine-dependent seizures and cognition in adulthood. </w:t>
      </w:r>
      <w:r w:rsidRPr="005B38F0">
        <w:rPr>
          <w:rFonts w:ascii="Times New Roman" w:eastAsia="Times New Roman" w:hAnsi="Times New Roman" w:cs="Times New Roman"/>
          <w:i/>
          <w:iCs/>
          <w:sz w:val="24"/>
          <w:szCs w:val="24"/>
        </w:rPr>
        <w:t>Developmental Medicine &amp;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(11), 782–785. </w:t>
      </w:r>
      <w:hyperlink r:id="rId377" w:history="1">
        <w:r w:rsidRPr="005B38F0">
          <w:rPr>
            <w:rFonts w:ascii="Times New Roman" w:eastAsia="Times New Roman" w:hAnsi="Times New Roman" w:cs="Times New Roman"/>
            <w:color w:val="0000FF"/>
            <w:sz w:val="24"/>
            <w:szCs w:val="24"/>
            <w:u w:val="single"/>
          </w:rPr>
          <w:t>https://doi.org/10.1017/S0012162203001440</w:t>
        </w:r>
      </w:hyperlink>
    </w:p>
    <w:p w14:paraId="0BC479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Baysal, G. Ö. D., Gökmen, Z., Akbaş, H., Cinemre, B., Metin, Ö., &amp; Karaman, T. (2013). Bipolar Bozuklukta Serum homosistein ve Metiyonin Düzeylerinin Bilişsel işlevler ve işlevsellikle ilişkisi. [Association of serum homocysteine and methionine levels with cognition and functioning in bipolar disorder.].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(1), 7–16.</w:t>
      </w:r>
    </w:p>
    <w:p w14:paraId="0B7F8B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Beadle, J. N., Paradiso, S., Salerno, A., &amp; McCormick, L. M. (2013). Alexithymia, emotional empathy, and self-regulation in anorexia nervosa. </w:t>
      </w:r>
      <w:r w:rsidRPr="005B38F0">
        <w:rPr>
          <w:rFonts w:ascii="Times New Roman" w:eastAsia="Times New Roman" w:hAnsi="Times New Roman" w:cs="Times New Roman"/>
          <w:i/>
          <w:iCs/>
          <w:sz w:val="24"/>
          <w:szCs w:val="24"/>
        </w:rPr>
        <w:t>Annals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(2), 107–120.</w:t>
      </w:r>
    </w:p>
    <w:p w14:paraId="371E25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Bearden, C. E., Shih, V. H., Green, M. F., Gitlin, M., Sokolski, K. N., Levander, E., Marusak, S., Hammen, C., Sugar, C. A., &amp; Altshuler, L. L. (2011). The impact of neurocognitive impairment on occupational recovery of clinically stable patients with bipolar disorder: A prospective study.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323–333. </w:t>
      </w:r>
      <w:hyperlink r:id="rId378" w:history="1">
        <w:r w:rsidRPr="005B38F0">
          <w:rPr>
            <w:rFonts w:ascii="Times New Roman" w:eastAsia="Times New Roman" w:hAnsi="Times New Roman" w:cs="Times New Roman"/>
            <w:color w:val="0000FF"/>
            <w:sz w:val="24"/>
            <w:szCs w:val="24"/>
            <w:u w:val="single"/>
          </w:rPr>
          <w:t>https://doi.org/10.1111/j.1399-5618.2011.00928.x</w:t>
        </w:r>
      </w:hyperlink>
    </w:p>
    <w:p w14:paraId="1AA179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Beas, B. S., Setlow, B., &amp; Bizon, J. L. (2013). Distinct manifestations of executive dysfunction in aged rats.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(9), 2164–2174. </w:t>
      </w:r>
      <w:hyperlink r:id="rId379" w:history="1">
        <w:r w:rsidRPr="005B38F0">
          <w:rPr>
            <w:rFonts w:ascii="Times New Roman" w:eastAsia="Times New Roman" w:hAnsi="Times New Roman" w:cs="Times New Roman"/>
            <w:color w:val="0000FF"/>
            <w:sz w:val="24"/>
            <w:szCs w:val="24"/>
            <w:u w:val="single"/>
          </w:rPr>
          <w:t>https://doi.org/10.1016/j.neurobiolaging.2013.03.019</w:t>
        </w:r>
      </w:hyperlink>
    </w:p>
    <w:p w14:paraId="3FBCD2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Beatty, W. W. (1993). Age differences on the California Card Sorting Test: Implications for the assessment of problem solving by the elderly. </w:t>
      </w:r>
      <w:r w:rsidRPr="005B38F0">
        <w:rPr>
          <w:rFonts w:ascii="Times New Roman" w:eastAsia="Times New Roman" w:hAnsi="Times New Roman" w:cs="Times New Roman"/>
          <w:i/>
          <w:iCs/>
          <w:sz w:val="24"/>
          <w:szCs w:val="24"/>
        </w:rPr>
        <w:t>Bulletin of the Psychonomic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(6), 511–514. </w:t>
      </w:r>
      <w:hyperlink r:id="rId380" w:history="1">
        <w:r w:rsidRPr="005B38F0">
          <w:rPr>
            <w:rFonts w:ascii="Times New Roman" w:eastAsia="Times New Roman" w:hAnsi="Times New Roman" w:cs="Times New Roman"/>
            <w:color w:val="0000FF"/>
            <w:sz w:val="24"/>
            <w:szCs w:val="24"/>
            <w:u w:val="single"/>
          </w:rPr>
          <w:t>https://doi.org/10.3758/BF03337338</w:t>
        </w:r>
      </w:hyperlink>
    </w:p>
    <w:p w14:paraId="49E142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&amp; Aupperle, R. L. (2002). Sex differences in cognitive impairment in multiple sclerosis.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(4), 472–480. </w:t>
      </w:r>
      <w:hyperlink r:id="rId381" w:history="1">
        <w:r w:rsidRPr="005B38F0">
          <w:rPr>
            <w:rFonts w:ascii="Times New Roman" w:eastAsia="Times New Roman" w:hAnsi="Times New Roman" w:cs="Times New Roman"/>
            <w:color w:val="0000FF"/>
            <w:sz w:val="24"/>
            <w:szCs w:val="24"/>
            <w:u w:val="single"/>
          </w:rPr>
          <w:t>https://doi.org/10.1076/clin.16.4.472.13904</w:t>
        </w:r>
      </w:hyperlink>
    </w:p>
    <w:p w14:paraId="61B04E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Hames, K. A., Blanco, C. R., Paul, R. H., &amp; Wilbanks, S. L. (1995). Verbal abstraction deficit in multiple sclerosis.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198–205. </w:t>
      </w:r>
      <w:hyperlink r:id="rId382" w:history="1">
        <w:r w:rsidRPr="005B38F0">
          <w:rPr>
            <w:rFonts w:ascii="Times New Roman" w:eastAsia="Times New Roman" w:hAnsi="Times New Roman" w:cs="Times New Roman"/>
            <w:color w:val="0000FF"/>
            <w:sz w:val="24"/>
            <w:szCs w:val="24"/>
            <w:u w:val="single"/>
          </w:rPr>
          <w:t>https://doi.org/10.1037/0894-4105.9.2.198</w:t>
        </w:r>
      </w:hyperlink>
    </w:p>
    <w:p w14:paraId="43D0E89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Katzung, V. M., Moreland, V. J., &amp; Nixon, S. J. (1995). Neuropsychological performance of recently abstinent alcoholics and cocaine abusers.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(3), 247–253. </w:t>
      </w:r>
      <w:hyperlink r:id="rId383" w:history="1">
        <w:r w:rsidRPr="005B38F0">
          <w:rPr>
            <w:rFonts w:ascii="Times New Roman" w:eastAsia="Times New Roman" w:hAnsi="Times New Roman" w:cs="Times New Roman"/>
            <w:color w:val="0000FF"/>
            <w:sz w:val="24"/>
            <w:szCs w:val="24"/>
            <w:u w:val="single"/>
          </w:rPr>
          <w:t>https://doi.org/10.1016/0376-8716(94)01072-S</w:t>
        </w:r>
      </w:hyperlink>
    </w:p>
    <w:p w14:paraId="407894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&amp; Monson, N. (1994). Picture and motor sequencing in multiple sclerosis.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(2), 165–172. </w:t>
      </w:r>
      <w:hyperlink r:id="rId384" w:history="1">
        <w:r w:rsidRPr="005B38F0">
          <w:rPr>
            <w:rFonts w:ascii="Times New Roman" w:eastAsia="Times New Roman" w:hAnsi="Times New Roman" w:cs="Times New Roman"/>
            <w:color w:val="0000FF"/>
            <w:sz w:val="24"/>
            <w:szCs w:val="24"/>
            <w:u w:val="single"/>
          </w:rPr>
          <w:t>https://doi.org/10.1080/01688639408402627</w:t>
        </w:r>
      </w:hyperlink>
    </w:p>
    <w:p w14:paraId="6CF6CD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Beatty, W. W., &amp; Monson, N. (1996). Problem solving by patients with multiple sclerosis: Comparison of performance on the Wisconsin and California Card Sorting Tests.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(2), 134–140. </w:t>
      </w:r>
      <w:hyperlink r:id="rId385" w:history="1">
        <w:r w:rsidRPr="005B38F0">
          <w:rPr>
            <w:rFonts w:ascii="Times New Roman" w:eastAsia="Times New Roman" w:hAnsi="Times New Roman" w:cs="Times New Roman"/>
            <w:color w:val="0000FF"/>
            <w:sz w:val="24"/>
            <w:szCs w:val="24"/>
            <w:u w:val="single"/>
          </w:rPr>
          <w:t>https://doi.org/10.1017/S1355617700000989</w:t>
        </w:r>
      </w:hyperlink>
    </w:p>
    <w:p w14:paraId="53347D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Beaudreau, S. A., Rideaux, T., O’Hara, R., &amp; Arean, P. (2015). Does cognition predict treatment response and remission in psychotherapy for late-life depression? </w:t>
      </w:r>
      <w:r w:rsidRPr="005B38F0">
        <w:rPr>
          <w:rFonts w:ascii="Times New Roman" w:eastAsia="Times New Roman" w:hAnsi="Times New Roman" w:cs="Times New Roman"/>
          <w:i/>
          <w:iCs/>
          <w:sz w:val="24"/>
          <w:szCs w:val="24"/>
        </w:rPr>
        <w:t>The American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215–219. </w:t>
      </w:r>
      <w:hyperlink r:id="rId386" w:history="1">
        <w:r w:rsidRPr="005B38F0">
          <w:rPr>
            <w:rFonts w:ascii="Times New Roman" w:eastAsia="Times New Roman" w:hAnsi="Times New Roman" w:cs="Times New Roman"/>
            <w:color w:val="0000FF"/>
            <w:sz w:val="24"/>
            <w:szCs w:val="24"/>
            <w:u w:val="single"/>
          </w:rPr>
          <w:t>https://doi.org/10.1016/j.jagp.2014.09.003</w:t>
        </w:r>
      </w:hyperlink>
    </w:p>
    <w:p w14:paraId="1FCC32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Beaulieu‐Pelletier, G., Bouchard, M., &amp; Philippe, F. L. (2013). Mental States Task (MST): Development, validation, and correlates of a self‐report measure of mentalization. </w:t>
      </w:r>
      <w:r w:rsidRPr="005B38F0">
        <w:rPr>
          <w:rFonts w:ascii="Times New Roman" w:eastAsia="Times New Roman" w:hAnsi="Times New Roman" w:cs="Times New Roman"/>
          <w:i/>
          <w:iCs/>
          <w:sz w:val="24"/>
          <w:szCs w:val="24"/>
        </w:rPr>
        <w:t>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(7), 671–695. </w:t>
      </w:r>
      <w:hyperlink r:id="rId387" w:history="1">
        <w:r w:rsidRPr="005B38F0">
          <w:rPr>
            <w:rFonts w:ascii="Times New Roman" w:eastAsia="Times New Roman" w:hAnsi="Times New Roman" w:cs="Times New Roman"/>
            <w:color w:val="0000FF"/>
            <w:sz w:val="24"/>
            <w:szCs w:val="24"/>
            <w:u w:val="single"/>
          </w:rPr>
          <w:t>https://doi.org/10.1002/jclp.21942</w:t>
        </w:r>
      </w:hyperlink>
    </w:p>
    <w:p w14:paraId="77AB65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Beauvais, J. E. (1999). </w:t>
      </w:r>
      <w:r w:rsidRPr="005B38F0">
        <w:rPr>
          <w:rFonts w:ascii="Times New Roman" w:eastAsia="Times New Roman" w:hAnsi="Times New Roman" w:cs="Times New Roman"/>
          <w:i/>
          <w:iCs/>
          <w:sz w:val="24"/>
          <w:szCs w:val="24"/>
        </w:rPr>
        <w:t>Normative data on a Tactile Wisconsin Card Sorting Test in sighted and visually impaired populations.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(4-B), 1840–1840.</w:t>
      </w:r>
    </w:p>
    <w:p w14:paraId="0559B1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Beauvais, J. E., Woods, S. P., Delaney, R. C., &amp; Fein, D. (2004). Development of a Tactile Wisconsin Card Sorting Test. </w:t>
      </w:r>
      <w:r w:rsidRPr="005B38F0">
        <w:rPr>
          <w:rFonts w:ascii="Times New Roman" w:eastAsia="Times New Roman" w:hAnsi="Times New Roman" w:cs="Times New Roman"/>
          <w:i/>
          <w:iCs/>
          <w:sz w:val="24"/>
          <w:szCs w:val="24"/>
        </w:rPr>
        <w:t>Rehabilitation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282–287. </w:t>
      </w:r>
      <w:hyperlink r:id="rId388" w:history="1">
        <w:r w:rsidRPr="005B38F0">
          <w:rPr>
            <w:rFonts w:ascii="Times New Roman" w:eastAsia="Times New Roman" w:hAnsi="Times New Roman" w:cs="Times New Roman"/>
            <w:color w:val="0000FF"/>
            <w:sz w:val="24"/>
            <w:szCs w:val="24"/>
            <w:u w:val="single"/>
          </w:rPr>
          <w:t>https://doi.org/10.1037/0090-5550.49.4.282</w:t>
        </w:r>
      </w:hyperlink>
    </w:p>
    <w:p w14:paraId="5CEE2D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Bechara, A., &amp; Bar-On, R. (2006). Neurological Substrates of Emotional and Social Intelligence: Evidence from Patients with Focal Brain Lesions. In </w:t>
      </w:r>
      <w:r w:rsidRPr="005B38F0">
        <w:rPr>
          <w:rFonts w:ascii="Times New Roman" w:eastAsia="Times New Roman" w:hAnsi="Times New Roman" w:cs="Times New Roman"/>
          <w:i/>
          <w:iCs/>
          <w:sz w:val="24"/>
          <w:szCs w:val="24"/>
        </w:rPr>
        <w:t>Social Neuroscience: People thinking about thinking people.</w:t>
      </w:r>
      <w:r w:rsidRPr="005B38F0">
        <w:rPr>
          <w:rFonts w:ascii="Times New Roman" w:eastAsia="Times New Roman" w:hAnsi="Times New Roman" w:cs="Times New Roman"/>
          <w:sz w:val="24"/>
          <w:szCs w:val="24"/>
        </w:rPr>
        <w:t xml:space="preserve"> (pp. 13–40). MIT Press.</w:t>
      </w:r>
    </w:p>
    <w:p w14:paraId="384D31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Bechara, A., &amp; Martin, E. M. (2004). Impaired Decision Making Related to Working Memory Deficits in Individuals With Substance Addictions.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 152–162. </w:t>
      </w:r>
      <w:hyperlink r:id="rId389" w:history="1">
        <w:r w:rsidRPr="005B38F0">
          <w:rPr>
            <w:rFonts w:ascii="Times New Roman" w:eastAsia="Times New Roman" w:hAnsi="Times New Roman" w:cs="Times New Roman"/>
            <w:color w:val="0000FF"/>
            <w:sz w:val="24"/>
            <w:szCs w:val="24"/>
            <w:u w:val="single"/>
          </w:rPr>
          <w:t>https://doi.org/10.1037/0894-4105.18.1.152</w:t>
        </w:r>
      </w:hyperlink>
    </w:p>
    <w:p w14:paraId="046FDF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Bechi, M., Bosia, M., Spangaro, M., Buonocore, M., Cocchi, F., Pigoni, A., Piantanida, M., Guglielmino, C., Bianchi, L., Smeraldi, E., &amp; Cavallaro, R. (2015). Combined social cognitive and neurocognitive rehabilitation strategies in schizophrenia: Neuropsychological and psychopathological influences on Theory of Mind improvement.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(15), 3147–3157. </w:t>
      </w:r>
      <w:hyperlink r:id="rId390" w:history="1">
        <w:r w:rsidRPr="005B38F0">
          <w:rPr>
            <w:rFonts w:ascii="Times New Roman" w:eastAsia="Times New Roman" w:hAnsi="Times New Roman" w:cs="Times New Roman"/>
            <w:color w:val="0000FF"/>
            <w:sz w:val="24"/>
            <w:szCs w:val="24"/>
            <w:u w:val="single"/>
          </w:rPr>
          <w:t>https://doi.org/10.1017/S0033291715001129</w:t>
        </w:r>
      </w:hyperlink>
    </w:p>
    <w:p w14:paraId="52EC63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Beck, J., Gerber, M., Brand, S., Pühse, U., &amp; Holsboer-Trachsler, E. (2013). Executive function performance is reduced during occupational burnout but can recover to the level of healthy controls.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(11), 1824–1830. </w:t>
      </w:r>
      <w:hyperlink r:id="rId391" w:history="1">
        <w:r w:rsidRPr="005B38F0">
          <w:rPr>
            <w:rFonts w:ascii="Times New Roman" w:eastAsia="Times New Roman" w:hAnsi="Times New Roman" w:cs="Times New Roman"/>
            <w:color w:val="0000FF"/>
            <w:sz w:val="24"/>
            <w:szCs w:val="24"/>
            <w:u w:val="single"/>
          </w:rPr>
          <w:t>https://doi.org/10.1016/j.jpsychires.2013.08.009</w:t>
        </w:r>
      </w:hyperlink>
    </w:p>
    <w:p w14:paraId="51C337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Bedwell, J. S., Kamath, V., &amp; Baksh, E. (2006). Comparison of three computer-administered cognitive tasks as putative endophenotypes of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88</w:t>
      </w:r>
      <w:r w:rsidRPr="005B38F0">
        <w:rPr>
          <w:rFonts w:ascii="Times New Roman" w:eastAsia="Times New Roman" w:hAnsi="Times New Roman" w:cs="Times New Roman"/>
          <w:sz w:val="24"/>
          <w:szCs w:val="24"/>
        </w:rPr>
        <w:t xml:space="preserve">(1–3), 36–46. </w:t>
      </w:r>
      <w:hyperlink r:id="rId392" w:history="1">
        <w:r w:rsidRPr="005B38F0">
          <w:rPr>
            <w:rFonts w:ascii="Times New Roman" w:eastAsia="Times New Roman" w:hAnsi="Times New Roman" w:cs="Times New Roman"/>
            <w:color w:val="0000FF"/>
            <w:sz w:val="24"/>
            <w:szCs w:val="24"/>
            <w:u w:val="single"/>
          </w:rPr>
          <w:t>https://doi.org/10.1016/j.schres.2006.08.002</w:t>
        </w:r>
      </w:hyperlink>
    </w:p>
    <w:p w14:paraId="493006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Beebe, D. W., Ris, M. D., Brown, T. M., &amp; Dietrich, K. N. (2004). Executive functioning and memory for the Rey-Osterreith complex figure task among community adolescents.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91–98. </w:t>
      </w:r>
      <w:hyperlink r:id="rId393" w:history="1">
        <w:r w:rsidRPr="005B38F0">
          <w:rPr>
            <w:rFonts w:ascii="Times New Roman" w:eastAsia="Times New Roman" w:hAnsi="Times New Roman" w:cs="Times New Roman"/>
            <w:color w:val="0000FF"/>
            <w:sz w:val="24"/>
            <w:szCs w:val="24"/>
            <w:u w:val="single"/>
          </w:rPr>
          <w:t>https://doi.org/10.1207/s15324826an1102_4</w:t>
        </w:r>
      </w:hyperlink>
    </w:p>
    <w:p w14:paraId="52646E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Beebe, D. W., Wells, C. T., Jeffries, J., Chini, B., Kalra, M., &amp; Amin, R. (2004). Neuropsychological effects of pediatric obstructive sleep apnea.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(7), 962–975. </w:t>
      </w:r>
      <w:hyperlink r:id="rId394" w:history="1">
        <w:r w:rsidRPr="005B38F0">
          <w:rPr>
            <w:rFonts w:ascii="Times New Roman" w:eastAsia="Times New Roman" w:hAnsi="Times New Roman" w:cs="Times New Roman"/>
            <w:color w:val="0000FF"/>
            <w:sz w:val="24"/>
            <w:szCs w:val="24"/>
            <w:u w:val="single"/>
          </w:rPr>
          <w:t>https://doi.org/10.1017/S135561770410708X</w:t>
        </w:r>
      </w:hyperlink>
    </w:p>
    <w:p w14:paraId="71FF29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Beer, J. S., John, O. P., Scabini, D., &amp; Knight, R. T. (2006). Orbitofrontal Cortex and Social Behavior: Integrating Self-monitoring and Emotion-Cognition Interactions.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871–879. </w:t>
      </w:r>
      <w:hyperlink r:id="rId395" w:history="1">
        <w:r w:rsidRPr="005B38F0">
          <w:rPr>
            <w:rFonts w:ascii="Times New Roman" w:eastAsia="Times New Roman" w:hAnsi="Times New Roman" w:cs="Times New Roman"/>
            <w:color w:val="0000FF"/>
            <w:sz w:val="24"/>
            <w:szCs w:val="24"/>
            <w:u w:val="single"/>
          </w:rPr>
          <w:t>https://doi.org/10.1162/jocn.2006.18.6.871</w:t>
        </w:r>
      </w:hyperlink>
    </w:p>
    <w:p w14:paraId="64D693B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Beers, S. R., Skold, A., Dixon, C. E., &amp; Adelson, P. D. (2005). Neurobehavioral effects of amantadine after pediatric traumatic brain injury: A preliminary report.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(5), 450–463. </w:t>
      </w:r>
      <w:hyperlink r:id="rId396" w:history="1">
        <w:r w:rsidRPr="005B38F0">
          <w:rPr>
            <w:rFonts w:ascii="Times New Roman" w:eastAsia="Times New Roman" w:hAnsi="Times New Roman" w:cs="Times New Roman"/>
            <w:color w:val="0000FF"/>
            <w:sz w:val="24"/>
            <w:szCs w:val="24"/>
            <w:u w:val="single"/>
          </w:rPr>
          <w:t>https://doi.org/10.1097/00001199-200509000-00006</w:t>
        </w:r>
      </w:hyperlink>
    </w:p>
    <w:p w14:paraId="16EEA6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Beglinger, L. J., Haut, M. W., &amp; Parsons, M. W. (2006). The Role of the Mammillary Bodies in Memory: A Case of Amnesia Following Bilateral Resection. </w:t>
      </w:r>
      <w:r w:rsidRPr="005B38F0">
        <w:rPr>
          <w:rFonts w:ascii="Times New Roman" w:eastAsia="Times New Roman" w:hAnsi="Times New Roman" w:cs="Times New Roman"/>
          <w:i/>
          <w:iCs/>
          <w:sz w:val="24"/>
          <w:szCs w:val="24"/>
        </w:rPr>
        <w:t>The European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88–95. </w:t>
      </w:r>
      <w:hyperlink r:id="rId397" w:history="1">
        <w:r w:rsidRPr="005B38F0">
          <w:rPr>
            <w:rFonts w:ascii="Times New Roman" w:eastAsia="Times New Roman" w:hAnsi="Times New Roman" w:cs="Times New Roman"/>
            <w:color w:val="0000FF"/>
            <w:sz w:val="24"/>
            <w:szCs w:val="24"/>
            <w:u w:val="single"/>
          </w:rPr>
          <w:t>https://doi.org/10.4321/S0213-61632006000200004</w:t>
        </w:r>
      </w:hyperlink>
    </w:p>
    <w:p w14:paraId="5C77865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Beharelle, A. R., Kovačević, N., McIntosh, A. R., &amp; Levine, B. (2012). Brain signal variability relates to stability of behavior after recovery from diffuse brain injury.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(2), 1528–1537. </w:t>
      </w:r>
      <w:hyperlink r:id="rId398" w:history="1">
        <w:r w:rsidRPr="005B38F0">
          <w:rPr>
            <w:rFonts w:ascii="Times New Roman" w:eastAsia="Times New Roman" w:hAnsi="Times New Roman" w:cs="Times New Roman"/>
            <w:color w:val="0000FF"/>
            <w:sz w:val="24"/>
            <w:szCs w:val="24"/>
            <w:u w:val="single"/>
          </w:rPr>
          <w:t>https://doi.org/10.1016/j.neuroimage.2012.01.037</w:t>
        </w:r>
      </w:hyperlink>
    </w:p>
    <w:p w14:paraId="7068EC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Beheydt, L. L., Schrijvers, D., Docx, L., Bouckaert, F., Hulstijn, W., &amp; Sabbe, B. (2015a). Cognitive and psychomotor effects of three months of escitalopram treatment in elderly patients with major depressive disorder.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188</w:t>
      </w:r>
      <w:r w:rsidRPr="005B38F0">
        <w:rPr>
          <w:rFonts w:ascii="Times New Roman" w:eastAsia="Times New Roman" w:hAnsi="Times New Roman" w:cs="Times New Roman"/>
          <w:sz w:val="24"/>
          <w:szCs w:val="24"/>
        </w:rPr>
        <w:t xml:space="preserve">, 47–52. </w:t>
      </w:r>
      <w:hyperlink r:id="rId399" w:history="1">
        <w:r w:rsidRPr="005B38F0">
          <w:rPr>
            <w:rFonts w:ascii="Times New Roman" w:eastAsia="Times New Roman" w:hAnsi="Times New Roman" w:cs="Times New Roman"/>
            <w:color w:val="0000FF"/>
            <w:sz w:val="24"/>
            <w:szCs w:val="24"/>
            <w:u w:val="single"/>
          </w:rPr>
          <w:t>https://doi.org/10.1016/j.jad.2015.08.041</w:t>
        </w:r>
      </w:hyperlink>
    </w:p>
    <w:p w14:paraId="0449B0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Beheydt, L. L., Schrijvers, D., Docx, L., Bouckaert, F., Hulstijn, W., &amp; Sabbe, B. (2015b). Psychomotor retardation in elderly untreated depressed patients.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 </w:t>
      </w:r>
      <w:hyperlink r:id="rId400" w:history="1">
        <w:r w:rsidRPr="005B38F0">
          <w:rPr>
            <w:rFonts w:ascii="Times New Roman" w:eastAsia="Times New Roman" w:hAnsi="Times New Roman" w:cs="Times New Roman"/>
            <w:color w:val="0000FF"/>
            <w:sz w:val="24"/>
            <w:szCs w:val="24"/>
            <w:u w:val="single"/>
          </w:rPr>
          <w:t>https://doi.org/10.3389/fpsyt.2014.00196</w:t>
        </w:r>
      </w:hyperlink>
    </w:p>
    <w:p w14:paraId="1A08EA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Behl, P., Bocti, C., Swartz, R. H., Gao, F., Sahlas, D. J., Lanctot, K. L., Streiner, D. L., &amp; Black, S. E. (2007). Strategic Subcortical Hyperintensities in Cholinergic Pathways and Executive Function Decline in Treated Alzheimer Patients. </w:t>
      </w:r>
      <w:r w:rsidRPr="005B38F0">
        <w:rPr>
          <w:rFonts w:ascii="Times New Roman" w:eastAsia="Times New Roman" w:hAnsi="Times New Roman" w:cs="Times New Roman"/>
          <w:i/>
          <w:iCs/>
          <w:sz w:val="24"/>
          <w:szCs w:val="24"/>
        </w:rPr>
        <w:t>Archives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(2), 266–272. </w:t>
      </w:r>
      <w:hyperlink r:id="rId401" w:history="1">
        <w:r w:rsidRPr="005B38F0">
          <w:rPr>
            <w:rFonts w:ascii="Times New Roman" w:eastAsia="Times New Roman" w:hAnsi="Times New Roman" w:cs="Times New Roman"/>
            <w:color w:val="0000FF"/>
            <w:sz w:val="24"/>
            <w:szCs w:val="24"/>
            <w:u w:val="single"/>
          </w:rPr>
          <w:t>https://doi.org/10.1001/archneur.64.2.266</w:t>
        </w:r>
      </w:hyperlink>
    </w:p>
    <w:p w14:paraId="6308A4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Behn, N., Marshall, J., Togher, L., &amp; Cruice, M. (2019). Feasibility and initial efficacy of project‐based treatment for people with ABI. </w:t>
      </w:r>
      <w:r w:rsidRPr="005B38F0">
        <w:rPr>
          <w:rFonts w:ascii="Times New Roman" w:eastAsia="Times New Roman" w:hAnsi="Times New Roman" w:cs="Times New Roman"/>
          <w:i/>
          <w:iCs/>
          <w:sz w:val="24"/>
          <w:szCs w:val="24"/>
        </w:rPr>
        <w:t>International Journal of Language &amp;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(3), 465–478. </w:t>
      </w:r>
      <w:hyperlink r:id="rId402" w:history="1">
        <w:r w:rsidRPr="005B38F0">
          <w:rPr>
            <w:rFonts w:ascii="Times New Roman" w:eastAsia="Times New Roman" w:hAnsi="Times New Roman" w:cs="Times New Roman"/>
            <w:color w:val="0000FF"/>
            <w:sz w:val="24"/>
            <w:szCs w:val="24"/>
            <w:u w:val="single"/>
          </w:rPr>
          <w:t>https://doi.org/10.1111/1460-6984.12452</w:t>
        </w:r>
      </w:hyperlink>
    </w:p>
    <w:p w14:paraId="5D9AEA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Beidas, H., Khateb, A., &amp; Breznitz, Z. (2013). The cognitive profile of adult dyslexics and its relation to their reading abilities. </w:t>
      </w:r>
      <w:r w:rsidRPr="005B38F0">
        <w:rPr>
          <w:rFonts w:ascii="Times New Roman" w:eastAsia="Times New Roman" w:hAnsi="Times New Roman" w:cs="Times New Roman"/>
          <w:i/>
          <w:iCs/>
          <w:sz w:val="24"/>
          <w:szCs w:val="24"/>
        </w:rPr>
        <w:t>Reading and Writing: An Interdisciplinary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(9), 1487–1515. </w:t>
      </w:r>
      <w:hyperlink r:id="rId403" w:history="1">
        <w:r w:rsidRPr="005B38F0">
          <w:rPr>
            <w:rFonts w:ascii="Times New Roman" w:eastAsia="Times New Roman" w:hAnsi="Times New Roman" w:cs="Times New Roman"/>
            <w:color w:val="0000FF"/>
            <w:sz w:val="24"/>
            <w:szCs w:val="24"/>
            <w:u w:val="single"/>
          </w:rPr>
          <w:t>https://doi.org/10.1007/s11145-013-9428-5</w:t>
        </w:r>
      </w:hyperlink>
    </w:p>
    <w:p w14:paraId="1B2CF9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Bejaoui, M., &amp; Pédinielli, J.-L. (2009). Stratégies de résolution de problèmes et attention sélective dans la schizophrénie: Critères typologiques et multidimensionnels de la Positive and Negative Syndrome Scale (PANSS). [Problem-solving strategies and selective attention </w:t>
      </w:r>
      <w:r w:rsidRPr="005B38F0">
        <w:rPr>
          <w:rFonts w:ascii="Times New Roman" w:eastAsia="Times New Roman" w:hAnsi="Times New Roman" w:cs="Times New Roman"/>
          <w:sz w:val="24"/>
          <w:szCs w:val="24"/>
        </w:rPr>
        <w:lastRenderedPageBreak/>
        <w:t xml:space="preserve">in schizophrenia: Typol. </w:t>
      </w:r>
      <w:r w:rsidRPr="005B38F0">
        <w:rPr>
          <w:rFonts w:ascii="Times New Roman" w:eastAsia="Times New Roman" w:hAnsi="Times New Roman" w:cs="Times New Roman"/>
          <w:i/>
          <w:iCs/>
          <w:sz w:val="24"/>
          <w:szCs w:val="24"/>
        </w:rPr>
        <w:t>Annales Médico-Psychologiques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(10), 759–766. </w:t>
      </w:r>
      <w:hyperlink r:id="rId404" w:history="1">
        <w:r w:rsidRPr="005B38F0">
          <w:rPr>
            <w:rFonts w:ascii="Times New Roman" w:eastAsia="Times New Roman" w:hAnsi="Times New Roman" w:cs="Times New Roman"/>
            <w:color w:val="0000FF"/>
            <w:sz w:val="24"/>
            <w:szCs w:val="24"/>
            <w:u w:val="single"/>
          </w:rPr>
          <w:t>https://doi.org/10.1016/j.amp.2009.03.020</w:t>
        </w:r>
      </w:hyperlink>
    </w:p>
    <w:p w14:paraId="277737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Bejaoui, M., &amp; Pedinielli, J.-L. (2010). Flexibilité cognitive, attention sélective et fluidité verbale sémantique dans trois dimensions de schizophrénie: Psychotique, négative et de désorganisation. [Cognitive flexibility, selective attention and semantic verbal fluency in three schizophrenic d. </w:t>
      </w:r>
      <w:r w:rsidRPr="005B38F0">
        <w:rPr>
          <w:rFonts w:ascii="Times New Roman" w:eastAsia="Times New Roman" w:hAnsi="Times New Roman" w:cs="Times New Roman"/>
          <w:i/>
          <w:iCs/>
          <w:sz w:val="24"/>
          <w:szCs w:val="24"/>
        </w:rPr>
        <w:t>Pratiques Psychologiques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259–272. </w:t>
      </w:r>
      <w:hyperlink r:id="rId405" w:history="1">
        <w:r w:rsidRPr="005B38F0">
          <w:rPr>
            <w:rFonts w:ascii="Times New Roman" w:eastAsia="Times New Roman" w:hAnsi="Times New Roman" w:cs="Times New Roman"/>
            <w:color w:val="0000FF"/>
            <w:sz w:val="24"/>
            <w:szCs w:val="24"/>
            <w:u w:val="single"/>
          </w:rPr>
          <w:t>https://doi.org/10.1016/j.prps.2009.04.007</w:t>
        </w:r>
      </w:hyperlink>
    </w:p>
    <w:p w14:paraId="2391C0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Bekken, K., &amp; LeSueur, L. L. (2013). Rehabilitation of attention and executive function deficits. In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(pp. 37–56). Springer Publishing Company.</w:t>
      </w:r>
    </w:p>
    <w:p w14:paraId="299C1A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Beldarrain, M. G., Garcia-Monco, J. C., Astigarraga, E., Gonzalez, A., &amp; Grafman, J. (2005). Only spontaneous counterfactual thinking is impaired in patients with prefrontal cortex lesions. </w:t>
      </w:r>
      <w:r w:rsidRPr="005B38F0">
        <w:rPr>
          <w:rFonts w:ascii="Times New Roman" w:eastAsia="Times New Roman" w:hAnsi="Times New Roman" w:cs="Times New Roman"/>
          <w:i/>
          <w:iCs/>
          <w:sz w:val="24"/>
          <w:szCs w:val="24"/>
        </w:rPr>
        <w:t>Cognitive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(3), 723–726. </w:t>
      </w:r>
      <w:hyperlink r:id="rId406" w:history="1">
        <w:r w:rsidRPr="005B38F0">
          <w:rPr>
            <w:rFonts w:ascii="Times New Roman" w:eastAsia="Times New Roman" w:hAnsi="Times New Roman" w:cs="Times New Roman"/>
            <w:color w:val="0000FF"/>
            <w:sz w:val="24"/>
            <w:szCs w:val="24"/>
            <w:u w:val="single"/>
          </w:rPr>
          <w:t>https://doi.org/10.1016/j.cogbrainres.2005.03.013</w:t>
        </w:r>
      </w:hyperlink>
    </w:p>
    <w:p w14:paraId="64A62D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Belden, C. M., Kahlon, V., Malek-Ahmadi, M., Tsai, A., &amp; Sabbagh, M. N. (2015). Clinical characterization of mild cognitive impairment as a prodrome to dementia with lewy bodies. </w:t>
      </w:r>
      <w:r w:rsidRPr="005B38F0">
        <w:rPr>
          <w:rFonts w:ascii="Times New Roman" w:eastAsia="Times New Roman" w:hAnsi="Times New Roman" w:cs="Times New Roman"/>
          <w:i/>
          <w:iCs/>
          <w:sz w:val="24"/>
          <w:szCs w:val="24"/>
        </w:rPr>
        <w:t>American Journal of Alzheimer’s Disease and Other Dementias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173–177. </w:t>
      </w:r>
      <w:hyperlink r:id="rId407" w:history="1">
        <w:r w:rsidRPr="005B38F0">
          <w:rPr>
            <w:rFonts w:ascii="Times New Roman" w:eastAsia="Times New Roman" w:hAnsi="Times New Roman" w:cs="Times New Roman"/>
            <w:color w:val="0000FF"/>
            <w:sz w:val="24"/>
            <w:szCs w:val="24"/>
            <w:u w:val="single"/>
          </w:rPr>
          <w:t>https://doi.org/10.1177/1533317514542642</w:t>
        </w:r>
      </w:hyperlink>
    </w:p>
    <w:p w14:paraId="56240E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Belfi, A. M., Karlan, B., &amp; Tranel, D. (2018). Damage to the medial prefrontal cortex impairs music-evoked autobiographical memories. </w:t>
      </w:r>
      <w:r w:rsidRPr="005B38F0">
        <w:rPr>
          <w:rFonts w:ascii="Times New Roman" w:eastAsia="Times New Roman" w:hAnsi="Times New Roman" w:cs="Times New Roman"/>
          <w:i/>
          <w:iCs/>
          <w:sz w:val="24"/>
          <w:szCs w:val="24"/>
        </w:rPr>
        <w:t>Psychomusicology: Music, Mind, and Brain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201–208. </w:t>
      </w:r>
      <w:hyperlink r:id="rId408" w:history="1">
        <w:r w:rsidRPr="005B38F0">
          <w:rPr>
            <w:rFonts w:ascii="Times New Roman" w:eastAsia="Times New Roman" w:hAnsi="Times New Roman" w:cs="Times New Roman"/>
            <w:color w:val="0000FF"/>
            <w:sz w:val="24"/>
            <w:szCs w:val="24"/>
            <w:u w:val="single"/>
          </w:rPr>
          <w:t>https://doi.org/10.1037/pmu0000222</w:t>
        </w:r>
      </w:hyperlink>
    </w:p>
    <w:p w14:paraId="4053F5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Belfi, A. M., Koscik, T. R., &amp; Tranel, D. (2015). Damage to the insula is associated with abnormal interpersonal trust.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 165–172. </w:t>
      </w:r>
      <w:hyperlink r:id="rId409" w:history="1">
        <w:r w:rsidRPr="005B38F0">
          <w:rPr>
            <w:rFonts w:ascii="Times New Roman" w:eastAsia="Times New Roman" w:hAnsi="Times New Roman" w:cs="Times New Roman"/>
            <w:color w:val="0000FF"/>
            <w:sz w:val="24"/>
            <w:szCs w:val="24"/>
            <w:u w:val="single"/>
          </w:rPr>
          <w:t>https://doi.org/10.1016/j.neuropsychologia.2015.04.003</w:t>
        </w:r>
      </w:hyperlink>
    </w:p>
    <w:p w14:paraId="700912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Bell, B. D. (2012). Route learning impairment in temporal lobe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(2), 256–262. </w:t>
      </w:r>
      <w:hyperlink r:id="rId410" w:history="1">
        <w:r w:rsidRPr="005B38F0">
          <w:rPr>
            <w:rFonts w:ascii="Times New Roman" w:eastAsia="Times New Roman" w:hAnsi="Times New Roman" w:cs="Times New Roman"/>
            <w:color w:val="0000FF"/>
            <w:sz w:val="24"/>
            <w:szCs w:val="24"/>
            <w:u w:val="single"/>
          </w:rPr>
          <w:t>https://doi.org/10.1016/j.yebeh.2012.07.023</w:t>
        </w:r>
      </w:hyperlink>
    </w:p>
    <w:p w14:paraId="270F54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Bell, B. D., &amp; Giovagnoli, A. R. (2013). Epilepsy and aging. In </w:t>
      </w:r>
      <w:r w:rsidRPr="005B38F0">
        <w:rPr>
          <w:rFonts w:ascii="Times New Roman" w:eastAsia="Times New Roman" w:hAnsi="Times New Roman" w:cs="Times New Roman"/>
          <w:i/>
          <w:iCs/>
          <w:sz w:val="24"/>
          <w:szCs w:val="24"/>
        </w:rPr>
        <w:t>Handbook on the neuropsychology of aging and dementia.</w:t>
      </w:r>
      <w:r w:rsidRPr="005B38F0">
        <w:rPr>
          <w:rFonts w:ascii="Times New Roman" w:eastAsia="Times New Roman" w:hAnsi="Times New Roman" w:cs="Times New Roman"/>
          <w:sz w:val="24"/>
          <w:szCs w:val="24"/>
        </w:rPr>
        <w:t xml:space="preserve"> (pp. 421–441). Springer Science + Business Media. </w:t>
      </w:r>
      <w:hyperlink r:id="rId411" w:history="1">
        <w:r w:rsidRPr="005B38F0">
          <w:rPr>
            <w:rFonts w:ascii="Times New Roman" w:eastAsia="Times New Roman" w:hAnsi="Times New Roman" w:cs="Times New Roman"/>
            <w:color w:val="0000FF"/>
            <w:sz w:val="24"/>
            <w:szCs w:val="24"/>
            <w:u w:val="single"/>
          </w:rPr>
          <w:t>https://doi.org/10.1007/978-1-4614-3106-0_26</w:t>
        </w:r>
      </w:hyperlink>
    </w:p>
    <w:p w14:paraId="1226FE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B. D., Stanko, H. A., &amp; Levine, R. L. (2005). Normal IQ in a 55-year-old with newly diagnosed rhombencephalosynapsis.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(5), 613–621. </w:t>
      </w:r>
      <w:hyperlink r:id="rId412" w:history="1">
        <w:r w:rsidRPr="005B38F0">
          <w:rPr>
            <w:rFonts w:ascii="Times New Roman" w:eastAsia="Times New Roman" w:hAnsi="Times New Roman" w:cs="Times New Roman"/>
            <w:color w:val="0000FF"/>
            <w:sz w:val="24"/>
            <w:szCs w:val="24"/>
            <w:u w:val="single"/>
          </w:rPr>
          <w:t>https://doi.org/10.1016/j.acn.2005.02.003</w:t>
        </w:r>
      </w:hyperlink>
    </w:p>
    <w:p w14:paraId="7D101E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Choi, K.-H., Dyer, C., &amp; Wexler, B. E. (2014). Benefits of cognitive remediation and supported employment for schizophrenia patients with poor community functioning. </w:t>
      </w:r>
      <w:r w:rsidRPr="005B38F0">
        <w:rPr>
          <w:rFonts w:ascii="Times New Roman" w:eastAsia="Times New Roman" w:hAnsi="Times New Roman" w:cs="Times New Roman"/>
          <w:i/>
          <w:iCs/>
          <w:sz w:val="24"/>
          <w:szCs w:val="24"/>
        </w:rPr>
        <w:t>Psychiatric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(4), 469–475. </w:t>
      </w:r>
      <w:hyperlink r:id="rId413" w:history="1">
        <w:r w:rsidRPr="005B38F0">
          <w:rPr>
            <w:rFonts w:ascii="Times New Roman" w:eastAsia="Times New Roman" w:hAnsi="Times New Roman" w:cs="Times New Roman"/>
            <w:color w:val="0000FF"/>
            <w:sz w:val="24"/>
            <w:szCs w:val="24"/>
            <w:u w:val="single"/>
          </w:rPr>
          <w:t>https://doi.org/10.1176/appi.ps.201200505</w:t>
        </w:r>
      </w:hyperlink>
    </w:p>
    <w:p w14:paraId="6E8211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Fiszdon, J. M., Greig, T. C., &amp; Bryson, G. J. (2005). Can older people with schizophrenia benefit from work rehabilitation?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193</w:t>
      </w:r>
      <w:r w:rsidRPr="005B38F0">
        <w:rPr>
          <w:rFonts w:ascii="Times New Roman" w:eastAsia="Times New Roman" w:hAnsi="Times New Roman" w:cs="Times New Roman"/>
          <w:sz w:val="24"/>
          <w:szCs w:val="24"/>
        </w:rPr>
        <w:t xml:space="preserve">(5), 293–301. </w:t>
      </w:r>
      <w:hyperlink r:id="rId414" w:history="1">
        <w:r w:rsidRPr="005B38F0">
          <w:rPr>
            <w:rFonts w:ascii="Times New Roman" w:eastAsia="Times New Roman" w:hAnsi="Times New Roman" w:cs="Times New Roman"/>
            <w:color w:val="0000FF"/>
            <w:sz w:val="24"/>
            <w:szCs w:val="24"/>
            <w:u w:val="single"/>
          </w:rPr>
          <w:t>https://doi.org/10.1097/01.nmd.0000161688.47164.71</w:t>
        </w:r>
      </w:hyperlink>
    </w:p>
    <w:p w14:paraId="0EEA09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Fiszdon, J. M., Greig, T. C., &amp; Wexler, B. E. (2010). Social Attribution Test—Multiple Choice (SAT-MC) in schizophrenia: Comparison with community sample and relationship to neurocognitive, social cognitive and symptom measures.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(1–3), 164–171. </w:t>
      </w:r>
      <w:hyperlink r:id="rId415" w:history="1">
        <w:r w:rsidRPr="005B38F0">
          <w:rPr>
            <w:rFonts w:ascii="Times New Roman" w:eastAsia="Times New Roman" w:hAnsi="Times New Roman" w:cs="Times New Roman"/>
            <w:color w:val="0000FF"/>
            <w:sz w:val="24"/>
            <w:szCs w:val="24"/>
            <w:u w:val="single"/>
          </w:rPr>
          <w:t>https://doi.org/10.1016/j.schres.2010.03.024</w:t>
        </w:r>
      </w:hyperlink>
    </w:p>
    <w:p w14:paraId="4371C1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Greig, T. C., Kaplan, E., &amp; Bryson, G. (1997). Wisconsin Card Sorting Test dimensions in schizophrenia: Factorial, predictive, and divergent validity.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933–941. </w:t>
      </w:r>
      <w:hyperlink r:id="rId416" w:history="1">
        <w:r w:rsidRPr="005B38F0">
          <w:rPr>
            <w:rFonts w:ascii="Times New Roman" w:eastAsia="Times New Roman" w:hAnsi="Times New Roman" w:cs="Times New Roman"/>
            <w:color w:val="0000FF"/>
            <w:sz w:val="24"/>
            <w:szCs w:val="24"/>
            <w:u w:val="single"/>
          </w:rPr>
          <w:t>https://doi.org/10.1080/01688639708403774</w:t>
        </w:r>
      </w:hyperlink>
    </w:p>
    <w:p w14:paraId="7E070F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Bell, M. D., Johannesen, J. K., Greig, T. C., &amp; Wexler, B. E. (2010). Memory profiles in schizophrenia: Categorization validity and stability.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118</w:t>
      </w:r>
      <w:r w:rsidRPr="005B38F0">
        <w:rPr>
          <w:rFonts w:ascii="Times New Roman" w:eastAsia="Times New Roman" w:hAnsi="Times New Roman" w:cs="Times New Roman"/>
          <w:sz w:val="24"/>
          <w:szCs w:val="24"/>
        </w:rPr>
        <w:t xml:space="preserve">(1–3), 26–33. </w:t>
      </w:r>
      <w:hyperlink r:id="rId417" w:history="1">
        <w:r w:rsidRPr="005B38F0">
          <w:rPr>
            <w:rFonts w:ascii="Times New Roman" w:eastAsia="Times New Roman" w:hAnsi="Times New Roman" w:cs="Times New Roman"/>
            <w:color w:val="0000FF"/>
            <w:sz w:val="24"/>
            <w:szCs w:val="24"/>
            <w:u w:val="single"/>
          </w:rPr>
          <w:t>https://doi.org/10.1016/j.schres.2009.12.037</w:t>
        </w:r>
      </w:hyperlink>
    </w:p>
    <w:p w14:paraId="6FDCE3F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Laws, H. B., &amp; Petrakis, I. B. (2017). A randomized controlled trial of cognitive remediation and work therapy in the early phase of substance use disorder recovery for older veterans: Neurocognitive and substance use outcomes. </w:t>
      </w:r>
      <w:r w:rsidRPr="005B38F0">
        <w:rPr>
          <w:rFonts w:ascii="Times New Roman" w:eastAsia="Times New Roman" w:hAnsi="Times New Roman" w:cs="Times New Roman"/>
          <w:i/>
          <w:iCs/>
          <w:sz w:val="24"/>
          <w:szCs w:val="24"/>
        </w:rPr>
        <w:t>Psychiatric Rehabilitation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 94–102. </w:t>
      </w:r>
      <w:hyperlink r:id="rId418" w:history="1">
        <w:r w:rsidRPr="005B38F0">
          <w:rPr>
            <w:rFonts w:ascii="Times New Roman" w:eastAsia="Times New Roman" w:hAnsi="Times New Roman" w:cs="Times New Roman"/>
            <w:color w:val="0000FF"/>
            <w:sz w:val="24"/>
            <w:szCs w:val="24"/>
            <w:u w:val="single"/>
          </w:rPr>
          <w:t>https://doi.org/10.1037/prj0000211</w:t>
        </w:r>
      </w:hyperlink>
    </w:p>
    <w:p w14:paraId="08227F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Lysaker, P. H., Milstein, R. M., &amp; Beam-Goulet, J. L. (1994). Concurrent validity of the Cognitive component of schizophrenia: Relationship of PANSS scores to neuropsychological assessments.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(1), 51–58. </w:t>
      </w:r>
      <w:hyperlink r:id="rId419" w:history="1">
        <w:r w:rsidRPr="005B38F0">
          <w:rPr>
            <w:rFonts w:ascii="Times New Roman" w:eastAsia="Times New Roman" w:hAnsi="Times New Roman" w:cs="Times New Roman"/>
            <w:color w:val="0000FF"/>
            <w:sz w:val="24"/>
            <w:szCs w:val="24"/>
            <w:u w:val="single"/>
          </w:rPr>
          <w:t>https://doi.org/10.1016/0165-1781(94)90064-7</w:t>
        </w:r>
      </w:hyperlink>
    </w:p>
    <w:p w14:paraId="2E8AEC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&amp; Mishara, A. L. (2006). Does negative symptom change relate to neurocognitive change in schizophrenia? Implications for targeted treatments.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(1), 17–27. </w:t>
      </w:r>
      <w:hyperlink r:id="rId420" w:history="1">
        <w:r w:rsidRPr="005B38F0">
          <w:rPr>
            <w:rFonts w:ascii="Times New Roman" w:eastAsia="Times New Roman" w:hAnsi="Times New Roman" w:cs="Times New Roman"/>
            <w:color w:val="0000FF"/>
            <w:sz w:val="24"/>
            <w:szCs w:val="24"/>
            <w:u w:val="single"/>
          </w:rPr>
          <w:t>https://doi.org/10.1016/j.schres.2005.09.016</w:t>
        </w:r>
      </w:hyperlink>
    </w:p>
    <w:p w14:paraId="2297DE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Tsang, H. W. H., Greig, T., &amp; Bryson, G. (2007). Cognitive predictors of symptom change for participants in vocational rehabilitation.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(1–3), 162–168. </w:t>
      </w:r>
      <w:hyperlink r:id="rId421" w:history="1">
        <w:r w:rsidRPr="005B38F0">
          <w:rPr>
            <w:rFonts w:ascii="Times New Roman" w:eastAsia="Times New Roman" w:hAnsi="Times New Roman" w:cs="Times New Roman"/>
            <w:color w:val="0000FF"/>
            <w:sz w:val="24"/>
            <w:szCs w:val="24"/>
            <w:u w:val="single"/>
          </w:rPr>
          <w:t>https://doi.org/10.1016/j.schres.2007.08.010</w:t>
        </w:r>
      </w:hyperlink>
    </w:p>
    <w:p w14:paraId="373BD1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Bell, M. D., &amp; Zito, W. (2005). Integrated Versus Sealed-Over Recovery in Schizophrenia: BORRTI and Executive Function.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193</w:t>
      </w:r>
      <w:r w:rsidRPr="005B38F0">
        <w:rPr>
          <w:rFonts w:ascii="Times New Roman" w:eastAsia="Times New Roman" w:hAnsi="Times New Roman" w:cs="Times New Roman"/>
          <w:sz w:val="24"/>
          <w:szCs w:val="24"/>
        </w:rPr>
        <w:t xml:space="preserve">(1), 3–8. </w:t>
      </w:r>
      <w:hyperlink r:id="rId422" w:history="1">
        <w:r w:rsidRPr="005B38F0">
          <w:rPr>
            <w:rFonts w:ascii="Times New Roman" w:eastAsia="Times New Roman" w:hAnsi="Times New Roman" w:cs="Times New Roman"/>
            <w:color w:val="0000FF"/>
            <w:sz w:val="24"/>
            <w:szCs w:val="24"/>
            <w:u w:val="single"/>
          </w:rPr>
          <w:t>https://doi.org/10.1097/01.nmd.0000149212.94261.1e</w:t>
        </w:r>
      </w:hyperlink>
    </w:p>
    <w:p w14:paraId="0CD2FC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 M. D., Zito, W., Greig, T., &amp; Wexler, B. E. (2008). Neurocognitive enhancement therapy with vocational services: Work outcomes at two-year follow-up.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105</w:t>
      </w:r>
      <w:r w:rsidRPr="005B38F0">
        <w:rPr>
          <w:rFonts w:ascii="Times New Roman" w:eastAsia="Times New Roman" w:hAnsi="Times New Roman" w:cs="Times New Roman"/>
          <w:sz w:val="24"/>
          <w:szCs w:val="24"/>
        </w:rPr>
        <w:t xml:space="preserve">(1–3), 18–29. </w:t>
      </w:r>
      <w:hyperlink r:id="rId423" w:history="1">
        <w:r w:rsidRPr="005B38F0">
          <w:rPr>
            <w:rFonts w:ascii="Times New Roman" w:eastAsia="Times New Roman" w:hAnsi="Times New Roman" w:cs="Times New Roman"/>
            <w:color w:val="0000FF"/>
            <w:sz w:val="24"/>
            <w:szCs w:val="24"/>
            <w:u w:val="single"/>
          </w:rPr>
          <w:t>https://doi.org/10.1016/j.schres.2008.06.026</w:t>
        </w:r>
      </w:hyperlink>
    </w:p>
    <w:p w14:paraId="1532D9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Bell, M., Tsang, H. W. H., Greig, T. C., &amp; Bryson, G. J. (2009). Neurocognition, social cognition, perceived social discomfort, and vocational outcomes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738–747. </w:t>
      </w:r>
      <w:hyperlink r:id="rId424" w:history="1">
        <w:r w:rsidRPr="005B38F0">
          <w:rPr>
            <w:rFonts w:ascii="Times New Roman" w:eastAsia="Times New Roman" w:hAnsi="Times New Roman" w:cs="Times New Roman"/>
            <w:color w:val="0000FF"/>
            <w:sz w:val="24"/>
            <w:szCs w:val="24"/>
            <w:u w:val="single"/>
          </w:rPr>
          <w:t>https://doi.org/10.1093/schbul/sbm169</w:t>
        </w:r>
      </w:hyperlink>
    </w:p>
    <w:p w14:paraId="5AD486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Bellack, A. S., Blanchard, J. J., Murphy, P., &amp; Podell, K. (1996). Generalization effects of training on the Wisconsin Card Sorting Test for schizophrenia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(2,3), 189–194. </w:t>
      </w:r>
      <w:hyperlink r:id="rId425" w:history="1">
        <w:r w:rsidRPr="005B38F0">
          <w:rPr>
            <w:rFonts w:ascii="Times New Roman" w:eastAsia="Times New Roman" w:hAnsi="Times New Roman" w:cs="Times New Roman"/>
            <w:color w:val="0000FF"/>
            <w:sz w:val="24"/>
            <w:szCs w:val="24"/>
            <w:u w:val="single"/>
          </w:rPr>
          <w:t>https://doi.org/10.1016/0920-9964(95)00067-4</w:t>
        </w:r>
      </w:hyperlink>
    </w:p>
    <w:p w14:paraId="2633FF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Bellack, A. S., Schooler, N. R., Marder, S. R., Kane, J. M., Brown, C. H., &amp; Yang, Y. (2004). Do Clozapine and Risperidone Affect Social Competence and Problem Solving?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161</w:t>
      </w:r>
      <w:r w:rsidRPr="005B38F0">
        <w:rPr>
          <w:rFonts w:ascii="Times New Roman" w:eastAsia="Times New Roman" w:hAnsi="Times New Roman" w:cs="Times New Roman"/>
          <w:sz w:val="24"/>
          <w:szCs w:val="24"/>
        </w:rPr>
        <w:t xml:space="preserve">(2), 364–367. </w:t>
      </w:r>
      <w:hyperlink r:id="rId426" w:history="1">
        <w:r w:rsidRPr="005B38F0">
          <w:rPr>
            <w:rFonts w:ascii="Times New Roman" w:eastAsia="Times New Roman" w:hAnsi="Times New Roman" w:cs="Times New Roman"/>
            <w:color w:val="0000FF"/>
            <w:sz w:val="24"/>
            <w:szCs w:val="24"/>
            <w:u w:val="single"/>
          </w:rPr>
          <w:t>https://doi.org/10.1176/appi.ajp.161.2.364</w:t>
        </w:r>
      </w:hyperlink>
    </w:p>
    <w:p w14:paraId="33D3DC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Bellander, M., Bäckman, L., Liu, T., Schjeide, B.-M. M., Bertram, L., Schmiedek, F., Lindenberger, U., &amp; Lövdén, M. (2015). Lower baseline performance but greater plasticity of working memory for carriers of the val allele of the COMT Val</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Met polymorphism.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247–254. </w:t>
      </w:r>
      <w:hyperlink r:id="rId427" w:history="1">
        <w:r w:rsidRPr="005B38F0">
          <w:rPr>
            <w:rFonts w:ascii="Times New Roman" w:eastAsia="Times New Roman" w:hAnsi="Times New Roman" w:cs="Times New Roman"/>
            <w:color w:val="0000FF"/>
            <w:sz w:val="24"/>
            <w:szCs w:val="24"/>
            <w:u w:val="single"/>
          </w:rPr>
          <w:t>https://doi.org/10.1037/neu0000088</w:t>
        </w:r>
      </w:hyperlink>
    </w:p>
    <w:p w14:paraId="61C747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Bellinger, D. C., &amp; Newburger, J. W. (2013). Late neurodevelopmental outcomes in children with congenital heart disease. In </w:t>
      </w:r>
      <w:r w:rsidRPr="005B38F0">
        <w:rPr>
          <w:rFonts w:ascii="Times New Roman" w:eastAsia="Times New Roman" w:hAnsi="Times New Roman" w:cs="Times New Roman"/>
          <w:i/>
          <w:iCs/>
          <w:sz w:val="24"/>
          <w:szCs w:val="24"/>
        </w:rPr>
        <w:t>Pediatric neuropsychology: Medical advances and lifespan outcomes.</w:t>
      </w:r>
      <w:r w:rsidRPr="005B38F0">
        <w:rPr>
          <w:rFonts w:ascii="Times New Roman" w:eastAsia="Times New Roman" w:hAnsi="Times New Roman" w:cs="Times New Roman"/>
          <w:sz w:val="24"/>
          <w:szCs w:val="24"/>
        </w:rPr>
        <w:t xml:space="preserve"> (pp. 99–112). Oxford University Press.</w:t>
      </w:r>
    </w:p>
    <w:p w14:paraId="3512A0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Bellinger, D. C., Trachtenberg, F., Barregard, L., Tavares, M., Cernichiari, E., Daniel, D., &amp; McKinlay, S. (2006). Neuropsychological and Renal Effects of Dental Amalgam in Children. </w:t>
      </w:r>
      <w:r w:rsidRPr="005B38F0">
        <w:rPr>
          <w:rFonts w:ascii="Times New Roman" w:eastAsia="Times New Roman" w:hAnsi="Times New Roman" w:cs="Times New Roman"/>
          <w:i/>
          <w:iCs/>
          <w:sz w:val="24"/>
          <w:szCs w:val="24"/>
        </w:rPr>
        <w:t>JAMA: Journal of the American Medical Association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295</w:t>
      </w:r>
      <w:r w:rsidRPr="005B38F0">
        <w:rPr>
          <w:rFonts w:ascii="Times New Roman" w:eastAsia="Times New Roman" w:hAnsi="Times New Roman" w:cs="Times New Roman"/>
          <w:sz w:val="24"/>
          <w:szCs w:val="24"/>
        </w:rPr>
        <w:t xml:space="preserve">(15), 1775–1783. </w:t>
      </w:r>
      <w:hyperlink r:id="rId428" w:history="1">
        <w:r w:rsidRPr="005B38F0">
          <w:rPr>
            <w:rFonts w:ascii="Times New Roman" w:eastAsia="Times New Roman" w:hAnsi="Times New Roman" w:cs="Times New Roman"/>
            <w:color w:val="0000FF"/>
            <w:sz w:val="24"/>
            <w:szCs w:val="24"/>
            <w:u w:val="single"/>
          </w:rPr>
          <w:t>https://doi.org/10.1001/jama.295.15.1775</w:t>
        </w:r>
      </w:hyperlink>
    </w:p>
    <w:p w14:paraId="26AD12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Bellino, S., Rocca, P., Patria, L., Marchiaro, L., Rasetti, R., Di Lorenzo, R., Paradiso, E., &amp; Bogetto, F. (2004). Relationships of Age at Onset With Clinical Features and Cognitive </w:t>
      </w:r>
      <w:r w:rsidRPr="005B38F0">
        <w:rPr>
          <w:rFonts w:ascii="Times New Roman" w:eastAsia="Times New Roman" w:hAnsi="Times New Roman" w:cs="Times New Roman"/>
          <w:sz w:val="24"/>
          <w:szCs w:val="24"/>
        </w:rPr>
        <w:lastRenderedPageBreak/>
        <w:t xml:space="preserve">Functions in a Sample of Schizophrenia Patients.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(7), 908–914. </w:t>
      </w:r>
      <w:hyperlink r:id="rId429" w:history="1">
        <w:r w:rsidRPr="005B38F0">
          <w:rPr>
            <w:rFonts w:ascii="Times New Roman" w:eastAsia="Times New Roman" w:hAnsi="Times New Roman" w:cs="Times New Roman"/>
            <w:color w:val="0000FF"/>
            <w:sz w:val="24"/>
            <w:szCs w:val="24"/>
            <w:u w:val="single"/>
          </w:rPr>
          <w:t>https://doi.org/10.4088/JCP.v65n0705</w:t>
        </w:r>
      </w:hyperlink>
    </w:p>
    <w:p w14:paraId="58A040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Bell-McGinty, S., Podell, K., Franzen, M., Baird, A. D., &amp; Williams, M. J. (2002). Standard measures of executive function in predicting instrumental activities of daily living in older adults.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(9), 828–834. </w:t>
      </w:r>
      <w:hyperlink r:id="rId430" w:history="1">
        <w:r w:rsidRPr="005B38F0">
          <w:rPr>
            <w:rFonts w:ascii="Times New Roman" w:eastAsia="Times New Roman" w:hAnsi="Times New Roman" w:cs="Times New Roman"/>
            <w:color w:val="0000FF"/>
            <w:sz w:val="24"/>
            <w:szCs w:val="24"/>
            <w:u w:val="single"/>
          </w:rPr>
          <w:t>https://doi.org/10.1002/gps.646</w:t>
        </w:r>
      </w:hyperlink>
    </w:p>
    <w:p w14:paraId="16E24E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Belvederi Murri, M., Folesani, F., Costa, S., Biancosino, B., Colla, C., Zerbinati, L., Caruso, R., Nanni, M. G., Purdon, S. E., &amp; Grassi, L. (2020). Screening for cognitive impairment in non-affective psychoses: A comparison between the SCIP and the MoCA.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218</w:t>
      </w:r>
      <w:r w:rsidRPr="005B38F0">
        <w:rPr>
          <w:rFonts w:ascii="Times New Roman" w:eastAsia="Times New Roman" w:hAnsi="Times New Roman" w:cs="Times New Roman"/>
          <w:sz w:val="24"/>
          <w:szCs w:val="24"/>
        </w:rPr>
        <w:t xml:space="preserve">, 188–194. </w:t>
      </w:r>
      <w:hyperlink r:id="rId431" w:history="1">
        <w:r w:rsidRPr="005B38F0">
          <w:rPr>
            <w:rFonts w:ascii="Times New Roman" w:eastAsia="Times New Roman" w:hAnsi="Times New Roman" w:cs="Times New Roman"/>
            <w:color w:val="0000FF"/>
            <w:sz w:val="24"/>
            <w:szCs w:val="24"/>
            <w:u w:val="single"/>
          </w:rPr>
          <w:t>https://doi.org/10.1016/j.schres.2020.01.005</w:t>
        </w:r>
      </w:hyperlink>
    </w:p>
    <w:p w14:paraId="02E7FC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Benabarre, A., Vieta, E., Martínez-Arán, A., Garcia-Garcia, M., Martín, F., Lomeña, F., Torrent, C., Sánchez-Moreno, J., Colom, F., Reinares, M., Brugue, E., &amp; Valdés, M. (2005). Neuropsychological disturbances and cerebral blood flow in bipolar disorder.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(4), 227–234. </w:t>
      </w:r>
      <w:hyperlink r:id="rId432" w:history="1">
        <w:r w:rsidRPr="005B38F0">
          <w:rPr>
            <w:rFonts w:ascii="Times New Roman" w:eastAsia="Times New Roman" w:hAnsi="Times New Roman" w:cs="Times New Roman"/>
            <w:color w:val="0000FF"/>
            <w:sz w:val="24"/>
            <w:szCs w:val="24"/>
            <w:u w:val="single"/>
          </w:rPr>
          <w:t>https://doi.org/10.1111/j.1440-1614.2004.01558.x</w:t>
        </w:r>
      </w:hyperlink>
    </w:p>
    <w:p w14:paraId="18C8BE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Benadhira, R., Thomas, F., Bouaziz, N., Braha, S., Andrianisaina, P. S.-K., Isaac, C., Moulier, V., &amp; Januel, D. (2017). A randomized, sham-controlled study of maintenance rTMS for treatment-resistant depression (TRD).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258</w:t>
      </w:r>
      <w:r w:rsidRPr="005B38F0">
        <w:rPr>
          <w:rFonts w:ascii="Times New Roman" w:eastAsia="Times New Roman" w:hAnsi="Times New Roman" w:cs="Times New Roman"/>
          <w:sz w:val="24"/>
          <w:szCs w:val="24"/>
        </w:rPr>
        <w:t xml:space="preserve">, 226–233. </w:t>
      </w:r>
      <w:hyperlink r:id="rId433" w:history="1">
        <w:r w:rsidRPr="005B38F0">
          <w:rPr>
            <w:rFonts w:ascii="Times New Roman" w:eastAsia="Times New Roman" w:hAnsi="Times New Roman" w:cs="Times New Roman"/>
            <w:color w:val="0000FF"/>
            <w:sz w:val="24"/>
            <w:szCs w:val="24"/>
            <w:u w:val="single"/>
          </w:rPr>
          <w:t>https://doi.org/10.1016/j.psychres.2017.08.029</w:t>
        </w:r>
      </w:hyperlink>
    </w:p>
    <w:p w14:paraId="683272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Benau, E. M., Orloff, N. C., Janke, E. A., Serpell, L., &amp; Timko, C. A. (2014). A systematic review of the effects of experimental fasting on cognition. </w:t>
      </w:r>
      <w:r w:rsidRPr="005B38F0">
        <w:rPr>
          <w:rFonts w:ascii="Times New Roman" w:eastAsia="Times New Roman" w:hAnsi="Times New Roman" w:cs="Times New Roman"/>
          <w:i/>
          <w:iCs/>
          <w:sz w:val="24"/>
          <w:szCs w:val="24"/>
        </w:rPr>
        <w:t>Appetite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 52–61. </w:t>
      </w:r>
      <w:hyperlink r:id="rId434" w:history="1">
        <w:r w:rsidRPr="005B38F0">
          <w:rPr>
            <w:rFonts w:ascii="Times New Roman" w:eastAsia="Times New Roman" w:hAnsi="Times New Roman" w:cs="Times New Roman"/>
            <w:color w:val="0000FF"/>
            <w:sz w:val="24"/>
            <w:szCs w:val="24"/>
            <w:u w:val="single"/>
          </w:rPr>
          <w:t>https://doi.org/10.1016/j.appet.2014.02.014</w:t>
        </w:r>
      </w:hyperlink>
    </w:p>
    <w:p w14:paraId="72579F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Bender, S. D., &amp; Frederick, R. (2018). Neuropsychological models of feigned cognitive deficits. In </w:t>
      </w:r>
      <w:r w:rsidRPr="005B38F0">
        <w:rPr>
          <w:rFonts w:ascii="Times New Roman" w:eastAsia="Times New Roman" w:hAnsi="Times New Roman" w:cs="Times New Roman"/>
          <w:i/>
          <w:iCs/>
          <w:sz w:val="24"/>
          <w:szCs w:val="24"/>
        </w:rPr>
        <w:t>Clinical assessment of malingering and deception, 4th ed.</w:t>
      </w:r>
      <w:r w:rsidRPr="005B38F0">
        <w:rPr>
          <w:rFonts w:ascii="Times New Roman" w:eastAsia="Times New Roman" w:hAnsi="Times New Roman" w:cs="Times New Roman"/>
          <w:sz w:val="24"/>
          <w:szCs w:val="24"/>
        </w:rPr>
        <w:t xml:space="preserve"> (pp. 42–60). The Guilford Press.</w:t>
      </w:r>
    </w:p>
    <w:p w14:paraId="2691E6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Bender, S., Dittmann-Balcar, A., Schall, U., Wolstein, J., Klimke, A., Riedel, M., Vorbach, E.-U., Kühn, K.-U., Lambert, M., Dittmann, R. W., &amp; Naber, D. (2006). Influence of atypical neuroleptics on executive functioning in patients with schizophrenia: A randomized, double-blind comparison of olanzapine vs. Clozapine. </w:t>
      </w:r>
      <w:r w:rsidRPr="005B38F0">
        <w:rPr>
          <w:rFonts w:ascii="Times New Roman" w:eastAsia="Times New Roman" w:hAnsi="Times New Roman" w:cs="Times New Roman"/>
          <w:i/>
          <w:iCs/>
          <w:sz w:val="24"/>
          <w:szCs w:val="24"/>
        </w:rPr>
        <w:t>International Journal of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135–145. </w:t>
      </w:r>
      <w:hyperlink r:id="rId435" w:history="1">
        <w:r w:rsidRPr="005B38F0">
          <w:rPr>
            <w:rFonts w:ascii="Times New Roman" w:eastAsia="Times New Roman" w:hAnsi="Times New Roman" w:cs="Times New Roman"/>
            <w:color w:val="0000FF"/>
            <w:sz w:val="24"/>
            <w:szCs w:val="24"/>
            <w:u w:val="single"/>
          </w:rPr>
          <w:t>https://doi.org/10.1017/S1461145705005924</w:t>
        </w:r>
      </w:hyperlink>
    </w:p>
    <w:p w14:paraId="46327E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Bender, T. W., Anestis, M. D., Anestis, J. C., Gordon, K. H., &amp; Joiner, T. E. (2012). Affective and behavioral paths toward the acquired capacity for suicide. </w:t>
      </w:r>
      <w:r w:rsidRPr="005B38F0">
        <w:rPr>
          <w:rFonts w:ascii="Times New Roman" w:eastAsia="Times New Roman" w:hAnsi="Times New Roman" w:cs="Times New Roman"/>
          <w:i/>
          <w:iCs/>
          <w:sz w:val="24"/>
          <w:szCs w:val="24"/>
        </w:rPr>
        <w:t>Journal of Social and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81–100. </w:t>
      </w:r>
      <w:hyperlink r:id="rId436" w:history="1">
        <w:r w:rsidRPr="005B38F0">
          <w:rPr>
            <w:rFonts w:ascii="Times New Roman" w:eastAsia="Times New Roman" w:hAnsi="Times New Roman" w:cs="Times New Roman"/>
            <w:color w:val="0000FF"/>
            <w:sz w:val="24"/>
            <w:szCs w:val="24"/>
            <w:u w:val="single"/>
          </w:rPr>
          <w:t>https://doi.org/10.1521/jscp.2012.31.1.81</w:t>
        </w:r>
      </w:hyperlink>
    </w:p>
    <w:p w14:paraId="1A3453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Bendlin, B. B., Fitzgerald, M. E., Ries, M. L., Xu, G., Kastman, E. K., Thiel, B. W., Rowley, H. A., Lazar, M., Alexander, A. L., &amp; Johnson, S. C. (2010). White matter in aging and cognition: A cross-sectional study of microstructure in adults aged eighteen to eighty-three.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(3), 257–277. </w:t>
      </w:r>
      <w:hyperlink r:id="rId437" w:history="1">
        <w:r w:rsidRPr="005B38F0">
          <w:rPr>
            <w:rFonts w:ascii="Times New Roman" w:eastAsia="Times New Roman" w:hAnsi="Times New Roman" w:cs="Times New Roman"/>
            <w:color w:val="0000FF"/>
            <w:sz w:val="24"/>
            <w:szCs w:val="24"/>
            <w:u w:val="single"/>
          </w:rPr>
          <w:t>https://doi.org/10.1080/87565641003696775</w:t>
        </w:r>
      </w:hyperlink>
    </w:p>
    <w:p w14:paraId="64715C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Benedet, M. J., Lauro-Grotto, R., &amp; Giotti, C. (2009). Lack of strategy holding: A new pattern of learning deficit in cortical dementias.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(2), 245–265. </w:t>
      </w:r>
      <w:hyperlink r:id="rId438" w:history="1">
        <w:r w:rsidRPr="005B38F0">
          <w:rPr>
            <w:rFonts w:ascii="Times New Roman" w:eastAsia="Times New Roman" w:hAnsi="Times New Roman" w:cs="Times New Roman"/>
            <w:color w:val="0000FF"/>
            <w:sz w:val="24"/>
            <w:szCs w:val="24"/>
            <w:u w:val="single"/>
          </w:rPr>
          <w:t>https://doi.org/10.1348/174866408X400354</w:t>
        </w:r>
      </w:hyperlink>
    </w:p>
    <w:p w14:paraId="6BFF4D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Benedet, M., Patterson, K., Gomez-Pastor, I., &amp; De La Rocha, M. L. G. (2006). “Non-semantic” Aspects of Language in Semantic Dementia: As Normal as They’re Said to Be?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(1), 15–26. </w:t>
      </w:r>
      <w:hyperlink r:id="rId439" w:history="1">
        <w:r w:rsidRPr="005B38F0">
          <w:rPr>
            <w:rFonts w:ascii="Times New Roman" w:eastAsia="Times New Roman" w:hAnsi="Times New Roman" w:cs="Times New Roman"/>
            <w:color w:val="0000FF"/>
            <w:sz w:val="24"/>
            <w:szCs w:val="24"/>
            <w:u w:val="single"/>
          </w:rPr>
          <w:t>https://doi.org/10.1080/13554790500446868</w:t>
        </w:r>
      </w:hyperlink>
    </w:p>
    <w:p w14:paraId="3C4CD9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Benedict, E. S., Gorman, A., van Gorp, W., Foltin, R. W., &amp; Vadhan, N. P. (2014). Self-reported attention and mood symptoms in cocaine abusers: Relationship to neurocognitive performance.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219</w:t>
      </w:r>
      <w:r w:rsidRPr="005B38F0">
        <w:rPr>
          <w:rFonts w:ascii="Times New Roman" w:eastAsia="Times New Roman" w:hAnsi="Times New Roman" w:cs="Times New Roman"/>
          <w:sz w:val="24"/>
          <w:szCs w:val="24"/>
        </w:rPr>
        <w:t xml:space="preserve">(3), 598–603. </w:t>
      </w:r>
      <w:hyperlink r:id="rId440" w:history="1">
        <w:r w:rsidRPr="005B38F0">
          <w:rPr>
            <w:rFonts w:ascii="Times New Roman" w:eastAsia="Times New Roman" w:hAnsi="Times New Roman" w:cs="Times New Roman"/>
            <w:color w:val="0000FF"/>
            <w:sz w:val="24"/>
            <w:szCs w:val="24"/>
            <w:u w:val="single"/>
          </w:rPr>
          <w:t>https://doi.org/10.1016/j.psychres.2014.06.011</w:t>
        </w:r>
      </w:hyperlink>
    </w:p>
    <w:p w14:paraId="6B45BC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Benge, J. F., Caroselli, J. S., &amp; Temple, R. O. (2007). Wisconsin Card Sorting Test: Factor structure and relationship to productivity and supervision needs following severe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(4), 395–400. </w:t>
      </w:r>
      <w:hyperlink r:id="rId441" w:history="1">
        <w:r w:rsidRPr="005B38F0">
          <w:rPr>
            <w:rFonts w:ascii="Times New Roman" w:eastAsia="Times New Roman" w:hAnsi="Times New Roman" w:cs="Times New Roman"/>
            <w:color w:val="0000FF"/>
            <w:sz w:val="24"/>
            <w:szCs w:val="24"/>
            <w:u w:val="single"/>
          </w:rPr>
          <w:t>https://doi.org/10.1080/02699050701311091</w:t>
        </w:r>
      </w:hyperlink>
    </w:p>
    <w:p w14:paraId="6D6C7B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Benge, J., Phillips-Sabol, J., &amp; Phenis, R. (2014). The neuropsychological assessment battery categories test as a measure of executive dysfunction in patients with parkinson’s disease and essential tremor: An exploratory study.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(6), 1008–1018. </w:t>
      </w:r>
      <w:hyperlink r:id="rId442" w:history="1">
        <w:r w:rsidRPr="005B38F0">
          <w:rPr>
            <w:rFonts w:ascii="Times New Roman" w:eastAsia="Times New Roman" w:hAnsi="Times New Roman" w:cs="Times New Roman"/>
            <w:color w:val="0000FF"/>
            <w:sz w:val="24"/>
            <w:szCs w:val="24"/>
            <w:u w:val="single"/>
          </w:rPr>
          <w:t>https://doi.org/10.1080/13854046.2014.950985</w:t>
        </w:r>
      </w:hyperlink>
    </w:p>
    <w:p w14:paraId="75B798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Benito-León, J., Louis, E. D., Puertas-Martín, V., Romero, J. P., Matarazzo, M., Molina-Arjona, J. A., Domínguez-González, C., &amp; Sánchez-Ferro, Á. (2016). Cognitive and neuropsychiatric features of orthostatic tremor: A case-control comparison.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361</w:t>
      </w:r>
      <w:r w:rsidRPr="005B38F0">
        <w:rPr>
          <w:rFonts w:ascii="Times New Roman" w:eastAsia="Times New Roman" w:hAnsi="Times New Roman" w:cs="Times New Roman"/>
          <w:sz w:val="24"/>
          <w:szCs w:val="24"/>
        </w:rPr>
        <w:t xml:space="preserve">, 137–143. </w:t>
      </w:r>
      <w:hyperlink r:id="rId443" w:history="1">
        <w:r w:rsidRPr="005B38F0">
          <w:rPr>
            <w:rFonts w:ascii="Times New Roman" w:eastAsia="Times New Roman" w:hAnsi="Times New Roman" w:cs="Times New Roman"/>
            <w:color w:val="0000FF"/>
            <w:sz w:val="24"/>
            <w:szCs w:val="24"/>
            <w:u w:val="single"/>
          </w:rPr>
          <w:t>https://doi.org/10.1016/j.jns.2015.12.031</w:t>
        </w:r>
      </w:hyperlink>
    </w:p>
    <w:p w14:paraId="1F6AD6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Benke, T., Köylü, B., Delazer, M., Trinka, E., &amp; Kemmler, G. (2005). Cholinergic treatment of amnesia following basal forebrain lesion due to aneurysm rupture—An open-label pilot study.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(10), 791–796. </w:t>
      </w:r>
      <w:hyperlink r:id="rId444" w:history="1">
        <w:r w:rsidRPr="005B38F0">
          <w:rPr>
            <w:rFonts w:ascii="Times New Roman" w:eastAsia="Times New Roman" w:hAnsi="Times New Roman" w:cs="Times New Roman"/>
            <w:color w:val="0000FF"/>
            <w:sz w:val="24"/>
            <w:szCs w:val="24"/>
            <w:u w:val="single"/>
          </w:rPr>
          <w:t>https://doi.org/10.1111/j.1468-1331.2005.01063.x</w:t>
        </w:r>
      </w:hyperlink>
    </w:p>
    <w:p w14:paraId="60B149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C. L., Petros, T. V., Johnson, M., &amp; Ferraro, F. R. (2008). Individual differences in the influence of time of day on executive functions. </w:t>
      </w:r>
      <w:r w:rsidRPr="005B38F0">
        <w:rPr>
          <w:rFonts w:ascii="Times New Roman" w:eastAsia="Times New Roman" w:hAnsi="Times New Roman" w:cs="Times New Roman"/>
          <w:i/>
          <w:iCs/>
          <w:sz w:val="24"/>
          <w:szCs w:val="24"/>
        </w:rPr>
        <w:t>The American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w:t>
      </w:r>
      <w:r w:rsidRPr="005B38F0">
        <w:rPr>
          <w:rFonts w:ascii="Times New Roman" w:eastAsia="Times New Roman" w:hAnsi="Times New Roman" w:cs="Times New Roman"/>
          <w:sz w:val="24"/>
          <w:szCs w:val="24"/>
        </w:rPr>
        <w:t xml:space="preserve">(3), 349–361. </w:t>
      </w:r>
      <w:hyperlink r:id="rId445" w:history="1">
        <w:r w:rsidRPr="005B38F0">
          <w:rPr>
            <w:rFonts w:ascii="Times New Roman" w:eastAsia="Times New Roman" w:hAnsi="Times New Roman" w:cs="Times New Roman"/>
            <w:color w:val="0000FF"/>
            <w:sz w:val="24"/>
            <w:szCs w:val="24"/>
            <w:u w:val="single"/>
          </w:rPr>
          <w:t>https://doi.org/10.2307/20445471</w:t>
        </w:r>
      </w:hyperlink>
    </w:p>
    <w:p w14:paraId="0C5B94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Bennett, C. N., Rajeswaran, J., Sampath, S., &amp; Christopher, R. (2013). The right to write: EEG neurofeedback training in frontal lobe agraphia—A case report. </w:t>
      </w:r>
      <w:r w:rsidRPr="005B38F0">
        <w:rPr>
          <w:rFonts w:ascii="Times New Roman" w:eastAsia="Times New Roman" w:hAnsi="Times New Roman" w:cs="Times New Roman"/>
          <w:i/>
          <w:iCs/>
          <w:sz w:val="24"/>
          <w:szCs w:val="24"/>
        </w:rPr>
        <w:t>Journal of Neurotherapy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162–165. </w:t>
      </w:r>
      <w:hyperlink r:id="rId446" w:history="1">
        <w:r w:rsidRPr="005B38F0">
          <w:rPr>
            <w:rFonts w:ascii="Times New Roman" w:eastAsia="Times New Roman" w:hAnsi="Times New Roman" w:cs="Times New Roman"/>
            <w:color w:val="0000FF"/>
            <w:sz w:val="24"/>
            <w:szCs w:val="24"/>
            <w:u w:val="single"/>
          </w:rPr>
          <w:t>https://doi.org/10.1080/10874208.2013.813174</w:t>
        </w:r>
      </w:hyperlink>
    </w:p>
    <w:p w14:paraId="305E9B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P. C., Ong, B., &amp; Ponsford, J. (2005). Assessment of executive dysfunction following traumatic brain injury: Comparison of the BADS with other clinical neuropsychological measures.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(5), 606–613. </w:t>
      </w:r>
      <w:hyperlink r:id="rId447" w:history="1">
        <w:r w:rsidRPr="005B38F0">
          <w:rPr>
            <w:rFonts w:ascii="Times New Roman" w:eastAsia="Times New Roman" w:hAnsi="Times New Roman" w:cs="Times New Roman"/>
            <w:color w:val="0000FF"/>
            <w:sz w:val="24"/>
            <w:szCs w:val="24"/>
            <w:u w:val="single"/>
          </w:rPr>
          <w:t>https://doi.org/10.1017/S1355617705050721</w:t>
        </w:r>
      </w:hyperlink>
    </w:p>
    <w:p w14:paraId="388217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Bennett, T. L., &amp; Raymond, M. J. (2010). Neuropsychological assessment in disability determination, fitness-for-duty evaluations, and rehabilitation planning. In </w:t>
      </w:r>
      <w:r w:rsidRPr="005B38F0">
        <w:rPr>
          <w:rFonts w:ascii="Times New Roman" w:eastAsia="Times New Roman" w:hAnsi="Times New Roman" w:cs="Times New Roman"/>
          <w:i/>
          <w:iCs/>
          <w:sz w:val="24"/>
          <w:szCs w:val="24"/>
        </w:rPr>
        <w:t>Handbook of forensic neuropsychology, 2nd ed.</w:t>
      </w:r>
      <w:r w:rsidRPr="005B38F0">
        <w:rPr>
          <w:rFonts w:ascii="Times New Roman" w:eastAsia="Times New Roman" w:hAnsi="Times New Roman" w:cs="Times New Roman"/>
          <w:sz w:val="24"/>
          <w:szCs w:val="24"/>
        </w:rPr>
        <w:t xml:space="preserve"> (pp. 431–451). Springer Publishing Company.</w:t>
      </w:r>
    </w:p>
    <w:p w14:paraId="71D750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Bensaïdane, M. R., Beauregard, J.-M., Poulin, S., Buteau, F.-A., Guimond, J., Bergeron, D., Verret, L., Fortin, M.-P., Houde, M., Bouchard, R. W., Soucy, J.-P., &amp; Laforce Jr., R. (2016). Clinical utility of amyloid PET imaging in the differential diagnosis of atypical dementias and its impact on caregivers.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52</w:t>
      </w:r>
      <w:r w:rsidRPr="005B38F0">
        <w:rPr>
          <w:rFonts w:ascii="Times New Roman" w:eastAsia="Times New Roman" w:hAnsi="Times New Roman" w:cs="Times New Roman"/>
          <w:sz w:val="24"/>
          <w:szCs w:val="24"/>
        </w:rPr>
        <w:t xml:space="preserve">(4), 1251–1262. </w:t>
      </w:r>
      <w:hyperlink r:id="rId448" w:history="1">
        <w:r w:rsidRPr="005B38F0">
          <w:rPr>
            <w:rFonts w:ascii="Times New Roman" w:eastAsia="Times New Roman" w:hAnsi="Times New Roman" w:cs="Times New Roman"/>
            <w:color w:val="0000FF"/>
            <w:sz w:val="24"/>
            <w:szCs w:val="24"/>
            <w:u w:val="single"/>
          </w:rPr>
          <w:t>https://doi.org/10.3233/JAD-151180</w:t>
        </w:r>
      </w:hyperlink>
    </w:p>
    <w:p w14:paraId="6C2EF6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Bental, B., &amp; Tirosh, E. (2008). The effects of methylphenidate on word decoding accuracy in boys with attention-deficit/hyperactivity disorder.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(1), 89–92. </w:t>
      </w:r>
      <w:hyperlink r:id="rId449" w:history="1">
        <w:r w:rsidRPr="005B38F0">
          <w:rPr>
            <w:rFonts w:ascii="Times New Roman" w:eastAsia="Times New Roman" w:hAnsi="Times New Roman" w:cs="Times New Roman"/>
            <w:color w:val="0000FF"/>
            <w:sz w:val="24"/>
            <w:szCs w:val="24"/>
            <w:u w:val="single"/>
          </w:rPr>
          <w:t>https://doi.org/10.1097/jcp.0b013e3181603f0e</w:t>
        </w:r>
      </w:hyperlink>
    </w:p>
    <w:p w14:paraId="60BEF6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Benton, S. B. (2001). </w:t>
      </w:r>
      <w:r w:rsidRPr="005B38F0">
        <w:rPr>
          <w:rFonts w:ascii="Times New Roman" w:eastAsia="Times New Roman" w:hAnsi="Times New Roman" w:cs="Times New Roman"/>
          <w:i/>
          <w:iCs/>
          <w:sz w:val="24"/>
          <w:szCs w:val="24"/>
        </w:rPr>
        <w:t>Executive function in subtypes of children with learning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(3-B), 1564–1564.</w:t>
      </w:r>
    </w:p>
    <w:p w14:paraId="18F074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Benuto, L. T., &amp; Leany, B. D. (2013). Assessment of dementia in the Hispanic client: A neuropsychological perspective. In </w:t>
      </w:r>
      <w:r w:rsidRPr="005B38F0">
        <w:rPr>
          <w:rFonts w:ascii="Times New Roman" w:eastAsia="Times New Roman" w:hAnsi="Times New Roman" w:cs="Times New Roman"/>
          <w:i/>
          <w:iCs/>
          <w:sz w:val="24"/>
          <w:szCs w:val="24"/>
        </w:rPr>
        <w:t>Guide to psychological assessment with Hispanics.</w:t>
      </w:r>
      <w:r w:rsidRPr="005B38F0">
        <w:rPr>
          <w:rFonts w:ascii="Times New Roman" w:eastAsia="Times New Roman" w:hAnsi="Times New Roman" w:cs="Times New Roman"/>
          <w:sz w:val="24"/>
          <w:szCs w:val="24"/>
        </w:rPr>
        <w:t xml:space="preserve"> (pp. </w:t>
      </w:r>
      <w:r w:rsidRPr="005B38F0">
        <w:rPr>
          <w:rFonts w:ascii="Times New Roman" w:eastAsia="Times New Roman" w:hAnsi="Times New Roman" w:cs="Times New Roman"/>
          <w:sz w:val="24"/>
          <w:szCs w:val="24"/>
        </w:rPr>
        <w:lastRenderedPageBreak/>
        <w:t xml:space="preserve">243–262). Springer Science + Business Media. </w:t>
      </w:r>
      <w:hyperlink r:id="rId450" w:history="1">
        <w:r w:rsidRPr="005B38F0">
          <w:rPr>
            <w:rFonts w:ascii="Times New Roman" w:eastAsia="Times New Roman" w:hAnsi="Times New Roman" w:cs="Times New Roman"/>
            <w:color w:val="0000FF"/>
            <w:sz w:val="24"/>
            <w:szCs w:val="24"/>
            <w:u w:val="single"/>
          </w:rPr>
          <w:t>https://doi.org/10.1007/978-1-4614-4412-1_16</w:t>
        </w:r>
      </w:hyperlink>
    </w:p>
    <w:p w14:paraId="5BC49B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Benvenuti, S. M., Zanatta, P., Longo, C., Mazzarolo, A. P., &amp; Palomba, D. (2012). Preoperative cerebral hypoperfusion in the left, not in the right, hemisphere is associated with cognitive decline after cardiac surgery. </w:t>
      </w:r>
      <w:r w:rsidRPr="005B38F0">
        <w:rPr>
          <w:rFonts w:ascii="Times New Roman" w:eastAsia="Times New Roman" w:hAnsi="Times New Roman" w:cs="Times New Roman"/>
          <w:i/>
          <w:iCs/>
          <w:sz w:val="24"/>
          <w:szCs w:val="24"/>
        </w:rPr>
        <w:t>Psychosomatic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 73–80. </w:t>
      </w:r>
      <w:hyperlink r:id="rId451" w:history="1">
        <w:r w:rsidRPr="005B38F0">
          <w:rPr>
            <w:rFonts w:ascii="Times New Roman" w:eastAsia="Times New Roman" w:hAnsi="Times New Roman" w:cs="Times New Roman"/>
            <w:color w:val="0000FF"/>
            <w:sz w:val="24"/>
            <w:szCs w:val="24"/>
            <w:u w:val="single"/>
          </w:rPr>
          <w:t>https://doi.org/10.1097/PSY.0b013e3182383a94</w:t>
        </w:r>
      </w:hyperlink>
    </w:p>
    <w:p w14:paraId="2084A6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Benzerouk, F., Gierski, F., Gorwood, P., Ramoz, N., Stefaniak, N., Hübsch, B., Kaladjian, A., &amp; Limosin, F. (2013). Brain-derived neurotrophic factor (BDNF) Val66Met polymorphism and its implication in executive functions in adult offspring of alcohol-dependent probands. </w:t>
      </w:r>
      <w:r w:rsidRPr="005B38F0">
        <w:rPr>
          <w:rFonts w:ascii="Times New Roman" w:eastAsia="Times New Roman" w:hAnsi="Times New Roman" w:cs="Times New Roman"/>
          <w:i/>
          <w:iCs/>
          <w:sz w:val="24"/>
          <w:szCs w:val="24"/>
        </w:rPr>
        <w:t>Alcohol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271–274. </w:t>
      </w:r>
      <w:hyperlink r:id="rId452" w:history="1">
        <w:r w:rsidRPr="005B38F0">
          <w:rPr>
            <w:rFonts w:ascii="Times New Roman" w:eastAsia="Times New Roman" w:hAnsi="Times New Roman" w:cs="Times New Roman"/>
            <w:color w:val="0000FF"/>
            <w:sz w:val="24"/>
            <w:szCs w:val="24"/>
            <w:u w:val="single"/>
          </w:rPr>
          <w:t>https://doi.org/10.1016/j.alcohol.2013.03.001</w:t>
        </w:r>
      </w:hyperlink>
    </w:p>
    <w:p w14:paraId="1BF2F0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Bergquist, T. F., Yutsis, M., &amp; Micklewright, J. L. (2014). Comprehensive assessment. In </w:t>
      </w:r>
      <w:r w:rsidRPr="005B38F0">
        <w:rPr>
          <w:rFonts w:ascii="Times New Roman" w:eastAsia="Times New Roman" w:hAnsi="Times New Roman" w:cs="Times New Roman"/>
          <w:i/>
          <w:iCs/>
          <w:sz w:val="24"/>
          <w:szCs w:val="24"/>
        </w:rPr>
        <w:t>Handbook on the neuropsychology of traumatic brain injury.</w:t>
      </w:r>
      <w:r w:rsidRPr="005B38F0">
        <w:rPr>
          <w:rFonts w:ascii="Times New Roman" w:eastAsia="Times New Roman" w:hAnsi="Times New Roman" w:cs="Times New Roman"/>
          <w:sz w:val="24"/>
          <w:szCs w:val="24"/>
        </w:rPr>
        <w:t xml:space="preserve"> (pp. 77–94). Springer Science + Business Media. </w:t>
      </w:r>
      <w:hyperlink r:id="rId453" w:history="1">
        <w:r w:rsidRPr="005B38F0">
          <w:rPr>
            <w:rFonts w:ascii="Times New Roman" w:eastAsia="Times New Roman" w:hAnsi="Times New Roman" w:cs="Times New Roman"/>
            <w:color w:val="0000FF"/>
            <w:sz w:val="24"/>
            <w:szCs w:val="24"/>
            <w:u w:val="single"/>
          </w:rPr>
          <w:t>https://doi.org/10.1007/978-1-4939-0784-7_4</w:t>
        </w:r>
      </w:hyperlink>
    </w:p>
    <w:p w14:paraId="51F7E3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Berlingeri, M., Losasso, D., Girolo, A., Cozzolino, E., Masullo, T., Scotto, M., Sberna, M., Bottini, G., &amp; Paulesu, E. (2017). Resting state brain connectivity patterns before eventual relapse into cocaine abuse. </w:t>
      </w:r>
      <w:r w:rsidRPr="005B38F0">
        <w:rPr>
          <w:rFonts w:ascii="Times New Roman" w:eastAsia="Times New Roman" w:hAnsi="Times New Roman" w:cs="Times New Roman"/>
          <w:i/>
          <w:iCs/>
          <w:sz w:val="24"/>
          <w:szCs w:val="24"/>
        </w:rPr>
        <w:t>Behavioural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327</w:t>
      </w:r>
      <w:r w:rsidRPr="005B38F0">
        <w:rPr>
          <w:rFonts w:ascii="Times New Roman" w:eastAsia="Times New Roman" w:hAnsi="Times New Roman" w:cs="Times New Roman"/>
          <w:sz w:val="24"/>
          <w:szCs w:val="24"/>
        </w:rPr>
        <w:t xml:space="preserve">, 121–132. </w:t>
      </w:r>
      <w:hyperlink r:id="rId454" w:history="1">
        <w:r w:rsidRPr="005B38F0">
          <w:rPr>
            <w:rFonts w:ascii="Times New Roman" w:eastAsia="Times New Roman" w:hAnsi="Times New Roman" w:cs="Times New Roman"/>
            <w:color w:val="0000FF"/>
            <w:sz w:val="24"/>
            <w:szCs w:val="24"/>
            <w:u w:val="single"/>
          </w:rPr>
          <w:t>https://doi.org/10.1016/j.bbr.2017.01.002</w:t>
        </w:r>
      </w:hyperlink>
    </w:p>
    <w:p w14:paraId="2DD8CE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Berman, I., Viegner, B., Merson, A., Allan, E., Pappas, D., &amp; Green, A. I. (1997). Differential relationships between positive and negative symptoms and neuropsychological deficits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1–10. </w:t>
      </w:r>
      <w:hyperlink r:id="rId455" w:history="1">
        <w:r w:rsidRPr="005B38F0">
          <w:rPr>
            <w:rFonts w:ascii="Times New Roman" w:eastAsia="Times New Roman" w:hAnsi="Times New Roman" w:cs="Times New Roman"/>
            <w:color w:val="0000FF"/>
            <w:sz w:val="24"/>
            <w:szCs w:val="24"/>
            <w:u w:val="single"/>
          </w:rPr>
          <w:t>https://doi.org/10.1016/S0920-9964(96)00098-9</w:t>
        </w:r>
      </w:hyperlink>
    </w:p>
    <w:p w14:paraId="717EAA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Berman, K. F., Doran, A. R., Pickar, D., &amp; Weinberger, D. R. (1993). Is the mechanism of prefrontal hypofunction in depression the same as in schizophrenia? Regional cerebral blood </w:t>
      </w:r>
      <w:r w:rsidRPr="005B38F0">
        <w:rPr>
          <w:rFonts w:ascii="Times New Roman" w:eastAsia="Times New Roman" w:hAnsi="Times New Roman" w:cs="Times New Roman"/>
          <w:sz w:val="24"/>
          <w:szCs w:val="24"/>
        </w:rPr>
        <w:lastRenderedPageBreak/>
        <w:t xml:space="preserve">flow during cognitive activation.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162</w:t>
      </w:r>
      <w:r w:rsidRPr="005B38F0">
        <w:rPr>
          <w:rFonts w:ascii="Times New Roman" w:eastAsia="Times New Roman" w:hAnsi="Times New Roman" w:cs="Times New Roman"/>
          <w:sz w:val="24"/>
          <w:szCs w:val="24"/>
        </w:rPr>
        <w:t xml:space="preserve">, 183–192. </w:t>
      </w:r>
      <w:hyperlink r:id="rId456" w:history="1">
        <w:r w:rsidRPr="005B38F0">
          <w:rPr>
            <w:rFonts w:ascii="Times New Roman" w:eastAsia="Times New Roman" w:hAnsi="Times New Roman" w:cs="Times New Roman"/>
            <w:color w:val="0000FF"/>
            <w:sz w:val="24"/>
            <w:szCs w:val="24"/>
            <w:u w:val="single"/>
          </w:rPr>
          <w:t>https://doi.org/10.1192/bjp.162.2.183</w:t>
        </w:r>
      </w:hyperlink>
    </w:p>
    <w:p w14:paraId="23574C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Berman, K. F., Ostrem, J. L., Randolph, C., Gold, J., Goldberg, T. E., Coppola, R., Carson, R. E., Herscovitch, P., &amp; Weinberger, D. R. (1995). Physiological activation of a cortical network during performance of the Wisconsin Card Sorting Test: A positron emission tomography study.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1027–1046. </w:t>
      </w:r>
      <w:hyperlink r:id="rId457" w:history="1">
        <w:r w:rsidRPr="005B38F0">
          <w:rPr>
            <w:rFonts w:ascii="Times New Roman" w:eastAsia="Times New Roman" w:hAnsi="Times New Roman" w:cs="Times New Roman"/>
            <w:color w:val="0000FF"/>
            <w:sz w:val="24"/>
            <w:szCs w:val="24"/>
            <w:u w:val="single"/>
          </w:rPr>
          <w:t>https://doi.org/10.1016/0028-3932(95)00035-2</w:t>
        </w:r>
      </w:hyperlink>
    </w:p>
    <w:p w14:paraId="6716C5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Bermpohl, F., Dalanay, U., Kahnt, T., Sajonz, B., Heimann, H., Ricken, R., Stoy, M., Hägele, C., Schlagenhauf, F., Adli, M., Wrase, J., Ströhle, A., Heinz, A., &amp; Bauer, M. (2009). A preliminary study of increased amygdala activation to positive affective stimuli in mania.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(1), 70–75. </w:t>
      </w:r>
      <w:hyperlink r:id="rId458" w:history="1">
        <w:r w:rsidRPr="005B38F0">
          <w:rPr>
            <w:rFonts w:ascii="Times New Roman" w:eastAsia="Times New Roman" w:hAnsi="Times New Roman" w:cs="Times New Roman"/>
            <w:color w:val="0000FF"/>
            <w:sz w:val="24"/>
            <w:szCs w:val="24"/>
            <w:u w:val="single"/>
          </w:rPr>
          <w:t>https://doi.org/10.1111/j.1399-5618.2008.00648.x</w:t>
        </w:r>
      </w:hyperlink>
    </w:p>
    <w:p w14:paraId="6FAA04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Bernabei, L., Bersani, F. S., Pompili, E., Delle Chiaie, R., Valente, D., Corrado, A., Vergnani, L., Ferracuti, S., Biondi, M., &amp; Coccanari de’Fornari, M. A. (2020). Cognitive remediation for the treatment of neuropsychological disturbances in subjects with euthymic bipolar </w:t>
      </w:r>
      <w:r w:rsidRPr="005B38F0">
        <w:rPr>
          <w:rFonts w:ascii="Times New Roman" w:eastAsia="Times New Roman" w:hAnsi="Times New Roman" w:cs="Times New Roman"/>
          <w:sz w:val="24"/>
          <w:szCs w:val="24"/>
        </w:rPr>
        <w:lastRenderedPageBreak/>
        <w:t xml:space="preserve">disorder: Findings from a controlled study.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273</w:t>
      </w:r>
      <w:r w:rsidRPr="005B38F0">
        <w:rPr>
          <w:rFonts w:ascii="Times New Roman" w:eastAsia="Times New Roman" w:hAnsi="Times New Roman" w:cs="Times New Roman"/>
          <w:sz w:val="24"/>
          <w:szCs w:val="24"/>
        </w:rPr>
        <w:t xml:space="preserve">, 576–585. </w:t>
      </w:r>
      <w:hyperlink r:id="rId459" w:history="1">
        <w:r w:rsidRPr="005B38F0">
          <w:rPr>
            <w:rFonts w:ascii="Times New Roman" w:eastAsia="Times New Roman" w:hAnsi="Times New Roman" w:cs="Times New Roman"/>
            <w:color w:val="0000FF"/>
            <w:sz w:val="24"/>
            <w:szCs w:val="24"/>
            <w:u w:val="single"/>
          </w:rPr>
          <w:t>https://doi.org/10.1016/j.jad.2020.05.073</w:t>
        </w:r>
      </w:hyperlink>
    </w:p>
    <w:p w14:paraId="687EFC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Bernal, S. Y., &amp; Meager, M. R. (2019). Hypothyroidism and Hashimoto’s thyroiditis: Mechanisms, diagnosis, neuropsychological phenotypes, and treatments. </w:t>
      </w:r>
      <w:r w:rsidRPr="005B38F0">
        <w:rPr>
          <w:rFonts w:ascii="Times New Roman" w:eastAsia="Times New Roman" w:hAnsi="Times New Roman" w:cs="Times New Roman"/>
          <w:i/>
          <w:iCs/>
          <w:sz w:val="24"/>
          <w:szCs w:val="24"/>
        </w:rPr>
        <w:t>Handbook of Medical Neuropsychology: Applications of Cognitive Neuroscience, 2nd Ed.</w:t>
      </w:r>
      <w:r w:rsidRPr="005B38F0">
        <w:rPr>
          <w:rFonts w:ascii="Times New Roman" w:eastAsia="Times New Roman" w:hAnsi="Times New Roman" w:cs="Times New Roman"/>
          <w:sz w:val="24"/>
          <w:szCs w:val="24"/>
        </w:rPr>
        <w:t xml:space="preserve">, 549–579. </w:t>
      </w:r>
      <w:hyperlink r:id="rId460" w:history="1">
        <w:r w:rsidRPr="005B38F0">
          <w:rPr>
            <w:rFonts w:ascii="Times New Roman" w:eastAsia="Times New Roman" w:hAnsi="Times New Roman" w:cs="Times New Roman"/>
            <w:color w:val="0000FF"/>
            <w:sz w:val="24"/>
            <w:szCs w:val="24"/>
            <w:u w:val="single"/>
          </w:rPr>
          <w:t>https://doi.org/10.1007/978-3-030-14895-9_25</w:t>
        </w:r>
      </w:hyperlink>
    </w:p>
    <w:p w14:paraId="6A979D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Bernard, L. C., McGrath, M. J., &amp; Houston, W. (1996). The differential effects of simulating malingering, closed head injury, and other CNS pathology on the Wisconsin Card Sorting Test: Support for the “pattern of performance hypothesis.”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(3), 231–245. </w:t>
      </w:r>
      <w:hyperlink r:id="rId461" w:history="1">
        <w:r w:rsidRPr="005B38F0">
          <w:rPr>
            <w:rFonts w:ascii="Times New Roman" w:eastAsia="Times New Roman" w:hAnsi="Times New Roman" w:cs="Times New Roman"/>
            <w:color w:val="0000FF"/>
            <w:sz w:val="24"/>
            <w:szCs w:val="24"/>
            <w:u w:val="single"/>
          </w:rPr>
          <w:t>https://doi.org/10.1016/0887-6177(95)00025-9</w:t>
        </w:r>
      </w:hyperlink>
    </w:p>
    <w:p w14:paraId="557DE1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Bernardes, E. T., Saraiva, L. C., e Souza, M. de M., Hoexter, M. Q., Chacon, P., Requena, G., Miguel, E. C., Shavitt, R. G., Polanczyk, G. V., Cappi, C., &amp; Batistuzzo, M. C. (2020). Cognitive performance in children and adolescents at high-risk for obsessive-compulsive disorder.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 </w:t>
      </w:r>
      <w:hyperlink r:id="rId462" w:history="1">
        <w:r w:rsidRPr="005B38F0">
          <w:rPr>
            <w:rFonts w:ascii="Times New Roman" w:eastAsia="Times New Roman" w:hAnsi="Times New Roman" w:cs="Times New Roman"/>
            <w:color w:val="0000FF"/>
            <w:sz w:val="24"/>
            <w:szCs w:val="24"/>
            <w:u w:val="single"/>
          </w:rPr>
          <w:t>https://doi.org/10.1186/s12888-020-02751-5</w:t>
        </w:r>
      </w:hyperlink>
    </w:p>
    <w:p w14:paraId="592F23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Bernardi, L., Geracitano, S., Colao, R., Puccio, G., Gallo, M., Anfossi, M., Frangipane, F., Curcio, S. A. M., Mirabelli, M., Tomaino, C., Vasso, F., Smirne, N., Maletta, R., &amp; Bruni, A. C. (2009). AβPP A713T mutation in late onset Alzheimer’s disease with cerebrovascular lesions.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(2), 383–389.</w:t>
      </w:r>
    </w:p>
    <w:p w14:paraId="0060DB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Bernson-Leung, M. E., &amp; Mazumdar, M. (2014). Journal club: Pretreatment EEG in childhood absence epilepsy.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(18), e158–e160. </w:t>
      </w:r>
      <w:hyperlink r:id="rId463" w:history="1">
        <w:r w:rsidRPr="005B38F0">
          <w:rPr>
            <w:rFonts w:ascii="Times New Roman" w:eastAsia="Times New Roman" w:hAnsi="Times New Roman" w:cs="Times New Roman"/>
            <w:color w:val="0000FF"/>
            <w:sz w:val="24"/>
            <w:szCs w:val="24"/>
            <w:u w:val="single"/>
          </w:rPr>
          <w:t>https://doi.org/10.1212/WNL.0000000000000380</w:t>
        </w:r>
      </w:hyperlink>
    </w:p>
    <w:p w14:paraId="1EE104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Berridge, C. W., &amp; Spencer, R. C. (2016). Differential cognitive actions of norepinephrine a2 and a1 receptor signaling in the prefrontal cortex. </w:t>
      </w:r>
      <w:r w:rsidRPr="005B38F0">
        <w:rPr>
          <w:rFonts w:ascii="Times New Roman" w:eastAsia="Times New Roman" w:hAnsi="Times New Roman" w:cs="Times New Roman"/>
          <w:i/>
          <w:iCs/>
          <w:sz w:val="24"/>
          <w:szCs w:val="24"/>
        </w:rPr>
        <w:t>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1641</w:t>
      </w:r>
      <w:r w:rsidRPr="005B38F0">
        <w:rPr>
          <w:rFonts w:ascii="Times New Roman" w:eastAsia="Times New Roman" w:hAnsi="Times New Roman" w:cs="Times New Roman"/>
          <w:sz w:val="24"/>
          <w:szCs w:val="24"/>
        </w:rPr>
        <w:t xml:space="preserve">(Part B), 189–196. </w:t>
      </w:r>
      <w:hyperlink r:id="rId464" w:history="1">
        <w:r w:rsidRPr="005B38F0">
          <w:rPr>
            <w:rFonts w:ascii="Times New Roman" w:eastAsia="Times New Roman" w:hAnsi="Times New Roman" w:cs="Times New Roman"/>
            <w:color w:val="0000FF"/>
            <w:sz w:val="24"/>
            <w:szCs w:val="24"/>
            <w:u w:val="single"/>
          </w:rPr>
          <w:t>https://doi.org/10.1016/j.brainres.2015.11.024</w:t>
        </w:r>
      </w:hyperlink>
    </w:p>
    <w:p w14:paraId="3976D6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 E. L., Nicolson, R. I., Foster, J. K., Behrmann, M., &amp; Sagar, H. J. (1999). Slowing of reaction time in Parkinson’s disease: The involvement of the frontal lobes.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(7), 787–795. </w:t>
      </w:r>
      <w:hyperlink r:id="rId465" w:history="1">
        <w:r w:rsidRPr="005B38F0">
          <w:rPr>
            <w:rFonts w:ascii="Times New Roman" w:eastAsia="Times New Roman" w:hAnsi="Times New Roman" w:cs="Times New Roman"/>
            <w:color w:val="0000FF"/>
            <w:sz w:val="24"/>
            <w:szCs w:val="24"/>
            <w:u w:val="single"/>
          </w:rPr>
          <w:t>https://doi.org/10.1016/S0028-3932(98)00137-7</w:t>
        </w:r>
      </w:hyperlink>
    </w:p>
    <w:p w14:paraId="1EFDBA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 K., Bucci, S., Kinderman, P., Emsley, R., &amp; Corcoran, R. (2015). An investigation of attributional style, theory of mind and executive functioning in acute paranoia and remission.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226</w:t>
      </w:r>
      <w:r w:rsidRPr="005B38F0">
        <w:rPr>
          <w:rFonts w:ascii="Times New Roman" w:eastAsia="Times New Roman" w:hAnsi="Times New Roman" w:cs="Times New Roman"/>
          <w:sz w:val="24"/>
          <w:szCs w:val="24"/>
        </w:rPr>
        <w:t xml:space="preserve">(1), 84–90. </w:t>
      </w:r>
      <w:hyperlink r:id="rId466" w:history="1">
        <w:r w:rsidRPr="005B38F0">
          <w:rPr>
            <w:rFonts w:ascii="Times New Roman" w:eastAsia="Times New Roman" w:hAnsi="Times New Roman" w:cs="Times New Roman"/>
            <w:color w:val="0000FF"/>
            <w:sz w:val="24"/>
            <w:szCs w:val="24"/>
            <w:u w:val="single"/>
          </w:rPr>
          <w:t>https://doi.org/10.1016/j.psychres.2014.12.009</w:t>
        </w:r>
      </w:hyperlink>
    </w:p>
    <w:p w14:paraId="06F66E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Berry, S. (1996). Diagrammatic procedure for scoring the Wisconsin Card Sorting Test.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117–121. </w:t>
      </w:r>
      <w:hyperlink r:id="rId467" w:history="1">
        <w:r w:rsidRPr="005B38F0">
          <w:rPr>
            <w:rFonts w:ascii="Times New Roman" w:eastAsia="Times New Roman" w:hAnsi="Times New Roman" w:cs="Times New Roman"/>
            <w:color w:val="0000FF"/>
            <w:sz w:val="24"/>
            <w:szCs w:val="24"/>
            <w:u w:val="single"/>
          </w:rPr>
          <w:t>https://doi.org/10.1080/13854049608406670</w:t>
        </w:r>
      </w:hyperlink>
    </w:p>
    <w:p w14:paraId="36F90F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Berryman, C., Stanton, T. R., Bowering, K. J., Tabor, A., McFarlane, A., &amp; Moseley, G. L. (2014). Do people with chronic pain have impaired executive function? A meta-analytical review.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(7), 563–579. </w:t>
      </w:r>
      <w:hyperlink r:id="rId468" w:history="1">
        <w:r w:rsidRPr="005B38F0">
          <w:rPr>
            <w:rFonts w:ascii="Times New Roman" w:eastAsia="Times New Roman" w:hAnsi="Times New Roman" w:cs="Times New Roman"/>
            <w:color w:val="0000FF"/>
            <w:sz w:val="24"/>
            <w:szCs w:val="24"/>
            <w:u w:val="single"/>
          </w:rPr>
          <w:t>https://doi.org/10.1016/j.cpr.2014.08.003</w:t>
        </w:r>
      </w:hyperlink>
    </w:p>
    <w:p w14:paraId="0BC1FE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Bersani, G., Clemente, R., Gherardelli, S., &amp; Pancheri, P. (2004). Deficit of Executive Functions in Schizophrenia: Relationship to Neurological Soft Signs and Psychopathology.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(3), 118–133. </w:t>
      </w:r>
      <w:hyperlink r:id="rId469" w:history="1">
        <w:r w:rsidRPr="005B38F0">
          <w:rPr>
            <w:rFonts w:ascii="Times New Roman" w:eastAsia="Times New Roman" w:hAnsi="Times New Roman" w:cs="Times New Roman"/>
            <w:color w:val="0000FF"/>
            <w:sz w:val="24"/>
            <w:szCs w:val="24"/>
            <w:u w:val="single"/>
          </w:rPr>
          <w:t>https://doi.org/10.1159/000078610</w:t>
        </w:r>
      </w:hyperlink>
    </w:p>
    <w:p w14:paraId="2C4753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Berthier, M. L., Dávila, G., Torres-Prioris, M. J., Moreno-Torres, I., Clarimón, J., Dols-Icardo, O., Postigo, M. J., Fernández, V., Edelkraut, L., Moreno-Campos, L., Molina-Sánchez, D., de Zaldivar, P. S., &amp; López-Barroso, D. (2020). Developmental dynamic dysphasia: Are bilateral brain abnormalities a signature of inefficient neural plasticity?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 </w:t>
      </w:r>
      <w:hyperlink r:id="rId470" w:history="1">
        <w:r w:rsidRPr="005B38F0">
          <w:rPr>
            <w:rFonts w:ascii="Times New Roman" w:eastAsia="Times New Roman" w:hAnsi="Times New Roman" w:cs="Times New Roman"/>
            <w:color w:val="0000FF"/>
            <w:sz w:val="24"/>
            <w:szCs w:val="24"/>
            <w:u w:val="single"/>
          </w:rPr>
          <w:t>https://doi.org/10.3389/fnhum.2020.00073</w:t>
        </w:r>
      </w:hyperlink>
    </w:p>
    <w:p w14:paraId="475783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Bertisch, H., Mesen-Fainardi, A., Martin, M. V., Pérez-Vargas, V., Vargas-Rodríguez, T., Delgado, G., Delgado, C., Llach, M., LaPrade, B., Byerley, W., Bunney, W. E., Vawter, M. P., &amp; DeLisi, L. E. (2009). Neuropsychological performance as endophenotypes in extended schizophrenia families from the Central Valley of Costa Rica.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45–52. </w:t>
      </w:r>
      <w:hyperlink r:id="rId471" w:history="1">
        <w:r w:rsidRPr="005B38F0">
          <w:rPr>
            <w:rFonts w:ascii="Times New Roman" w:eastAsia="Times New Roman" w:hAnsi="Times New Roman" w:cs="Times New Roman"/>
            <w:color w:val="0000FF"/>
            <w:sz w:val="24"/>
            <w:szCs w:val="24"/>
            <w:u w:val="single"/>
          </w:rPr>
          <w:t>https://doi.org/10.1097/YPG.0b013e3283202816</w:t>
        </w:r>
      </w:hyperlink>
    </w:p>
    <w:p w14:paraId="0362E4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Bertolino, A., Esposito, G., Callicott, J. H., Mattay, V. S., Van Horn, J. D., Frank, J. A., Berman, K. F., &amp; Weinberger, D. R. (2000). Specific relationship between prefrontal neuronal N-acetylaspartate and activation of the working memory cortical network in schizophrenia.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157</w:t>
      </w:r>
      <w:r w:rsidRPr="005B38F0">
        <w:rPr>
          <w:rFonts w:ascii="Times New Roman" w:eastAsia="Times New Roman" w:hAnsi="Times New Roman" w:cs="Times New Roman"/>
          <w:sz w:val="24"/>
          <w:szCs w:val="24"/>
        </w:rPr>
        <w:t xml:space="preserve">(1), 26–33. </w:t>
      </w:r>
      <w:hyperlink r:id="rId472" w:history="1">
        <w:r w:rsidRPr="005B38F0">
          <w:rPr>
            <w:rFonts w:ascii="Times New Roman" w:eastAsia="Times New Roman" w:hAnsi="Times New Roman" w:cs="Times New Roman"/>
            <w:color w:val="0000FF"/>
            <w:sz w:val="24"/>
            <w:szCs w:val="24"/>
            <w:u w:val="single"/>
          </w:rPr>
          <w:t>https://doi.org/10.1176/ajp.157.1.26</w:t>
        </w:r>
      </w:hyperlink>
    </w:p>
    <w:p w14:paraId="03D78C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Bertossi, E., Aleo, F., Braghittoni, D., &amp; Ciaramelli, E. (2016). Stuck in the here and now: Construction of fictitious and future experiences following ventromedial prefrontal damage.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 107–116. </w:t>
      </w:r>
      <w:hyperlink r:id="rId473" w:history="1">
        <w:r w:rsidRPr="005B38F0">
          <w:rPr>
            <w:rFonts w:ascii="Times New Roman" w:eastAsia="Times New Roman" w:hAnsi="Times New Roman" w:cs="Times New Roman"/>
            <w:color w:val="0000FF"/>
            <w:sz w:val="24"/>
            <w:szCs w:val="24"/>
            <w:u w:val="single"/>
          </w:rPr>
          <w:t>https://doi.org/10.1016/j.neuropsychologia.2015.12.015</w:t>
        </w:r>
      </w:hyperlink>
    </w:p>
    <w:p w14:paraId="7F3121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Bertossi, E., Candela, V., De Luca, F., &amp; Ciaramelli, E. (2017). Episodic future thinking following vmPFC damage: Impaired event construction, maintenance, or narration?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(3), 337–348. </w:t>
      </w:r>
      <w:hyperlink r:id="rId474" w:history="1">
        <w:r w:rsidRPr="005B38F0">
          <w:rPr>
            <w:rFonts w:ascii="Times New Roman" w:eastAsia="Times New Roman" w:hAnsi="Times New Roman" w:cs="Times New Roman"/>
            <w:color w:val="0000FF"/>
            <w:sz w:val="24"/>
            <w:szCs w:val="24"/>
            <w:u w:val="single"/>
          </w:rPr>
          <w:t>https://doi.org/10.1037/neu0000345</w:t>
        </w:r>
      </w:hyperlink>
    </w:p>
    <w:p w14:paraId="1ADB67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Bertossi, E., Tesini, C., Cappelli, A., &amp; Ciaramelli, E. (2016). Ventromedial prefrontal damage causes a pervasive impairment of episodic memory and future thinking.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 12–24. </w:t>
      </w:r>
      <w:hyperlink r:id="rId475" w:history="1">
        <w:r w:rsidRPr="005B38F0">
          <w:rPr>
            <w:rFonts w:ascii="Times New Roman" w:eastAsia="Times New Roman" w:hAnsi="Times New Roman" w:cs="Times New Roman"/>
            <w:color w:val="0000FF"/>
            <w:sz w:val="24"/>
            <w:szCs w:val="24"/>
            <w:u w:val="single"/>
          </w:rPr>
          <w:t>https://doi.org/10.1016/j.neuropsychologia.2016.01.034</w:t>
        </w:r>
      </w:hyperlink>
    </w:p>
    <w:p w14:paraId="6E110B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de Souza, L. C., Corlier, F., Lamari, F., Bottlaender, M., Dubois, B., &amp; Sarazin, M. (2014). Two distinct amnesic profiles in behavioral variant frontotemporal dementia.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(7), 582–588. </w:t>
      </w:r>
      <w:hyperlink r:id="rId476" w:history="1">
        <w:r w:rsidRPr="005B38F0">
          <w:rPr>
            <w:rFonts w:ascii="Times New Roman" w:eastAsia="Times New Roman" w:hAnsi="Times New Roman" w:cs="Times New Roman"/>
            <w:color w:val="0000FF"/>
            <w:sz w:val="24"/>
            <w:szCs w:val="24"/>
            <w:u w:val="single"/>
          </w:rPr>
          <w:t>https://doi.org/10.1016/j.biopsych.2013.08.017</w:t>
        </w:r>
      </w:hyperlink>
    </w:p>
    <w:p w14:paraId="1EE0C6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de Souza, L. C., O’Callaghan, C., Greve, A., Sarazin, M., Dubois, B., &amp; Hornberger, M. (2015). Social cognition deficits: The key to discriminate behavioral variant frontotemporal dementia from Alzheimer’s disease regardless of amnesia?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(4), 1065–1074. </w:t>
      </w:r>
      <w:hyperlink r:id="rId477" w:history="1">
        <w:r w:rsidRPr="005B38F0">
          <w:rPr>
            <w:rFonts w:ascii="Times New Roman" w:eastAsia="Times New Roman" w:hAnsi="Times New Roman" w:cs="Times New Roman"/>
            <w:color w:val="0000FF"/>
            <w:sz w:val="24"/>
            <w:szCs w:val="24"/>
            <w:u w:val="single"/>
          </w:rPr>
          <w:t>https://doi.org/10.3233/JAD-150686</w:t>
        </w:r>
      </w:hyperlink>
    </w:p>
    <w:p w14:paraId="302987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Delavest, M., de Souza, L. C., Funkiewiez, A., Lépine, J.-P., Fossati, P., Dubois, B., &amp; Sarazin, M. (2012). Social Cognition and Emotional Assessment differentiates frontotemporal dementia from depression.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(4), 411–416. </w:t>
      </w:r>
      <w:hyperlink r:id="rId478" w:history="1">
        <w:r w:rsidRPr="005B38F0">
          <w:rPr>
            <w:rFonts w:ascii="Times New Roman" w:eastAsia="Times New Roman" w:hAnsi="Times New Roman" w:cs="Times New Roman"/>
            <w:color w:val="0000FF"/>
            <w:sz w:val="24"/>
            <w:szCs w:val="24"/>
            <w:u w:val="single"/>
          </w:rPr>
          <w:t>https://doi.org/10.1136/jnnp-2011-301849</w:t>
        </w:r>
      </w:hyperlink>
    </w:p>
    <w:p w14:paraId="444CEB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Bertoux, M., O’Callaghan, C., Dubois, B., &amp; Hornberger, M. (2016). In two minds: Executive functioning versus theory of mind in behavioural variant frontotemporal dementia. </w:t>
      </w:r>
      <w:r w:rsidRPr="005B38F0">
        <w:rPr>
          <w:rFonts w:ascii="Times New Roman" w:eastAsia="Times New Roman" w:hAnsi="Times New Roman" w:cs="Times New Roman"/>
          <w:i/>
          <w:iCs/>
          <w:sz w:val="24"/>
          <w:szCs w:val="24"/>
        </w:rPr>
        <w:t xml:space="preserve">Journal </w:t>
      </w:r>
      <w:r w:rsidRPr="005B38F0">
        <w:rPr>
          <w:rFonts w:ascii="Times New Roman" w:eastAsia="Times New Roman" w:hAnsi="Times New Roman" w:cs="Times New Roman"/>
          <w:i/>
          <w:iCs/>
          <w:sz w:val="24"/>
          <w:szCs w:val="24"/>
        </w:rPr>
        <w:lastRenderedPageBreak/>
        <w:t>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87</w:t>
      </w:r>
      <w:r w:rsidRPr="005B38F0">
        <w:rPr>
          <w:rFonts w:ascii="Times New Roman" w:eastAsia="Times New Roman" w:hAnsi="Times New Roman" w:cs="Times New Roman"/>
          <w:sz w:val="24"/>
          <w:szCs w:val="24"/>
        </w:rPr>
        <w:t xml:space="preserve">(3), 231–234. </w:t>
      </w:r>
      <w:hyperlink r:id="rId479" w:history="1">
        <w:r w:rsidRPr="005B38F0">
          <w:rPr>
            <w:rFonts w:ascii="Times New Roman" w:eastAsia="Times New Roman" w:hAnsi="Times New Roman" w:cs="Times New Roman"/>
            <w:color w:val="0000FF"/>
            <w:sz w:val="24"/>
            <w:szCs w:val="24"/>
            <w:u w:val="single"/>
          </w:rPr>
          <w:t>https://doi.org/10.1136/jnnp-2015-311643</w:t>
        </w:r>
      </w:hyperlink>
    </w:p>
    <w:p w14:paraId="55FBB6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Volle, E., de Souza, L. C., Funkiewiez, A., Dubois, B., &amp; Habert, M. O. (2014). Neural correlates of the mini-SEA (Social cognition and Emotional Assessment) in behavioral variant frontotemporal dementia. </w:t>
      </w:r>
      <w:r w:rsidRPr="005B38F0">
        <w:rPr>
          <w:rFonts w:ascii="Times New Roman" w:eastAsia="Times New Roman" w:hAnsi="Times New Roman" w:cs="Times New Roman"/>
          <w:i/>
          <w:iCs/>
          <w:sz w:val="24"/>
          <w:szCs w:val="24"/>
        </w:rPr>
        <w:t>Brain Imaging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1–6. </w:t>
      </w:r>
      <w:hyperlink r:id="rId480" w:history="1">
        <w:r w:rsidRPr="005B38F0">
          <w:rPr>
            <w:rFonts w:ascii="Times New Roman" w:eastAsia="Times New Roman" w:hAnsi="Times New Roman" w:cs="Times New Roman"/>
            <w:color w:val="0000FF"/>
            <w:sz w:val="24"/>
            <w:szCs w:val="24"/>
            <w:u w:val="single"/>
          </w:rPr>
          <w:t>https://doi.org/10.1007/s11682-013-9261-0</w:t>
        </w:r>
      </w:hyperlink>
    </w:p>
    <w:p w14:paraId="34972E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Bertoux, M., Volle, E., Funkiewiez, A., de Souza, L. C., Leclercq, D., &amp; Dubois, B. (2012). Social Cognition and Emotional Assessment (SEA) is a marker of medial and orbital frontal functions: A voxel-based morphometry study in behavioral variant of frontotemporal degeneration.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972–985. </w:t>
      </w:r>
      <w:hyperlink r:id="rId481" w:history="1">
        <w:r w:rsidRPr="005B38F0">
          <w:rPr>
            <w:rFonts w:ascii="Times New Roman" w:eastAsia="Times New Roman" w:hAnsi="Times New Roman" w:cs="Times New Roman"/>
            <w:color w:val="0000FF"/>
            <w:sz w:val="24"/>
            <w:szCs w:val="24"/>
            <w:u w:val="single"/>
          </w:rPr>
          <w:t>https://doi.org/10.1017/S1355617712001300</w:t>
        </w:r>
      </w:hyperlink>
    </w:p>
    <w:p w14:paraId="26E807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Bertrand, J., Génier Marchand, D., Postuma, R. B., &amp; Gagnon, J. (2013). Cognitive dysfunction in rapid eye movement sleep behavior disorder. </w:t>
      </w:r>
      <w:r w:rsidRPr="005B38F0">
        <w:rPr>
          <w:rFonts w:ascii="Times New Roman" w:eastAsia="Times New Roman" w:hAnsi="Times New Roman" w:cs="Times New Roman"/>
          <w:i/>
          <w:iCs/>
          <w:sz w:val="24"/>
          <w:szCs w:val="24"/>
        </w:rPr>
        <w:t>Sleep and Biological Rhythms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(Suppl 1), 21–26. </w:t>
      </w:r>
      <w:hyperlink r:id="rId482" w:history="1">
        <w:r w:rsidRPr="005B38F0">
          <w:rPr>
            <w:rFonts w:ascii="Times New Roman" w:eastAsia="Times New Roman" w:hAnsi="Times New Roman" w:cs="Times New Roman"/>
            <w:color w:val="0000FF"/>
            <w:sz w:val="24"/>
            <w:szCs w:val="24"/>
            <w:u w:val="single"/>
          </w:rPr>
          <w:t>https://doi.org/10.1111/j.1479-8425.2012.00547.x</w:t>
        </w:r>
      </w:hyperlink>
    </w:p>
    <w:p w14:paraId="2E6594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Besche-Richard, C., Bourrin-Tisseron, A., Olivier, M., Cuervo-Lombard, C.-V., &amp; Limosin, F. (2012). Reconnaissance des expressions faciales émotionnelles et théorie de l’esprit dans la schizophrénie: La difficulté à identifier les états mentaux d’autrui serait-elle liée à un trouble de la reconnaissance des émotions faciales? [Recognition of facial emot.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(3), 241–247. </w:t>
      </w:r>
      <w:hyperlink r:id="rId483" w:history="1">
        <w:r w:rsidRPr="005B38F0">
          <w:rPr>
            <w:rFonts w:ascii="Times New Roman" w:eastAsia="Times New Roman" w:hAnsi="Times New Roman" w:cs="Times New Roman"/>
            <w:color w:val="0000FF"/>
            <w:sz w:val="24"/>
            <w:szCs w:val="24"/>
            <w:u w:val="single"/>
          </w:rPr>
          <w:t>https://doi.org/10.1016/j.encep.2011.04.006</w:t>
        </w:r>
      </w:hyperlink>
    </w:p>
    <w:p w14:paraId="0A0BC38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Besga, A., Gonzalez, I., Echeburua, E., Savio, A., Ayerdi, B., Chyzhyk, D., Madrigal, J. L. M., Leza, J. C., Graña, M., &amp; Gonzalez-Pinto, A. M. (2015). Discrimination between </w:t>
      </w:r>
      <w:r w:rsidRPr="005B38F0">
        <w:rPr>
          <w:rFonts w:ascii="Times New Roman" w:eastAsia="Times New Roman" w:hAnsi="Times New Roman" w:cs="Times New Roman"/>
          <w:sz w:val="24"/>
          <w:szCs w:val="24"/>
        </w:rPr>
        <w:lastRenderedPageBreak/>
        <w:t xml:space="preserve">Alzheimer’s disease and late onset bipolar disorder using multivariate analysis.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 </w:t>
      </w:r>
      <w:hyperlink r:id="rId484" w:history="1">
        <w:r w:rsidRPr="005B38F0">
          <w:rPr>
            <w:rFonts w:ascii="Times New Roman" w:eastAsia="Times New Roman" w:hAnsi="Times New Roman" w:cs="Times New Roman"/>
            <w:color w:val="0000FF"/>
            <w:sz w:val="24"/>
            <w:szCs w:val="24"/>
            <w:u w:val="single"/>
          </w:rPr>
          <w:t>https://doi.org/10.3389/fnagi.2015.00231</w:t>
        </w:r>
      </w:hyperlink>
    </w:p>
    <w:p w14:paraId="005856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Besnard, J., Richard, P., Banville, F., Nolin, P., Aubin, G., Le Gall, D., Richard, I., &amp; Allain, P. (2016). Virtual reality and neuropsychological assessment: The reliability of a virtual kitchen to assess daily-life activities in victims of traumatic brain injury.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223–235. </w:t>
      </w:r>
      <w:hyperlink r:id="rId485" w:history="1">
        <w:r w:rsidRPr="005B38F0">
          <w:rPr>
            <w:rFonts w:ascii="Times New Roman" w:eastAsia="Times New Roman" w:hAnsi="Times New Roman" w:cs="Times New Roman"/>
            <w:color w:val="0000FF"/>
            <w:sz w:val="24"/>
            <w:szCs w:val="24"/>
            <w:u w:val="single"/>
          </w:rPr>
          <w:t>https://doi.org/10.1080/23279095.2015.1048514</w:t>
        </w:r>
      </w:hyperlink>
    </w:p>
    <w:p w14:paraId="57F770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 C., Dziobek, I., Hielscher, H., Willemssen, R., &amp; Falkenstein, M. (2009). Effects of stimulus–response compatibility on inhibitory processes in Parkinson’s disease. </w:t>
      </w:r>
      <w:r w:rsidRPr="005B38F0">
        <w:rPr>
          <w:rFonts w:ascii="Times New Roman" w:eastAsia="Times New Roman" w:hAnsi="Times New Roman" w:cs="Times New Roman"/>
          <w:i/>
          <w:iCs/>
          <w:sz w:val="24"/>
          <w:szCs w:val="24"/>
        </w:rPr>
        <w:t>European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(4), 855–860. </w:t>
      </w:r>
      <w:hyperlink r:id="rId486" w:history="1">
        <w:r w:rsidRPr="005B38F0">
          <w:rPr>
            <w:rFonts w:ascii="Times New Roman" w:eastAsia="Times New Roman" w:hAnsi="Times New Roman" w:cs="Times New Roman"/>
            <w:color w:val="0000FF"/>
            <w:sz w:val="24"/>
            <w:szCs w:val="24"/>
            <w:u w:val="single"/>
          </w:rPr>
          <w:t>https://doi.org/10.1111/j.1460-9568.2009.06621.x</w:t>
        </w:r>
      </w:hyperlink>
    </w:p>
    <w:p w14:paraId="4AAE67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Besteiro González, J. L., &amp; Campa-Santamarina, J. M. T. (2018). Anomalies in the cognitive-executive functions in patients with Chiari Malformation Type I. </w:t>
      </w:r>
      <w:r w:rsidRPr="005B38F0">
        <w:rPr>
          <w:rFonts w:ascii="Times New Roman" w:eastAsia="Times New Roman" w:hAnsi="Times New Roman" w:cs="Times New Roman"/>
          <w:i/>
          <w:iCs/>
          <w:sz w:val="24"/>
          <w:szCs w:val="24"/>
        </w:rPr>
        <w:t>Psicothema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(3), 316–321.</w:t>
      </w:r>
    </w:p>
    <w:p w14:paraId="1FC370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Besteiro, J. L., Lemos, S., &amp; Muñiz, J. (2002). Correlatos neuropsicológicos y psicofisiológicos de los trastornos de la personalidad del DSM-IV: Comparación entre sexos. </w:t>
      </w:r>
      <w:r w:rsidRPr="005B38F0">
        <w:rPr>
          <w:rFonts w:ascii="Times New Roman" w:eastAsia="Times New Roman" w:hAnsi="Times New Roman" w:cs="Times New Roman"/>
          <w:sz w:val="24"/>
          <w:szCs w:val="24"/>
        </w:rPr>
        <w:lastRenderedPageBreak/>
        <w:t xml:space="preserve">[Neuropsychological and psychophysiological correlates of DSM-IV personality disorders: Gender comparisons.]. </w:t>
      </w:r>
      <w:r w:rsidRPr="005B38F0">
        <w:rPr>
          <w:rFonts w:ascii="Times New Roman" w:eastAsia="Times New Roman" w:hAnsi="Times New Roman" w:cs="Times New Roman"/>
          <w:i/>
          <w:iCs/>
          <w:sz w:val="24"/>
          <w:szCs w:val="24"/>
        </w:rPr>
        <w:t>Psiquis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(3), 5–15.</w:t>
      </w:r>
    </w:p>
    <w:p w14:paraId="27CE5A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Besteiro-González, J. L., Lemos-Giráldez, S., &amp; Muñiz, J. (2004). Neuropsychological, Psychophysiological, and Personality Assessment of DSM-IV Clusters of Personality Disorders. </w:t>
      </w:r>
      <w:r w:rsidRPr="005B38F0">
        <w:rPr>
          <w:rFonts w:ascii="Times New Roman" w:eastAsia="Times New Roman" w:hAnsi="Times New Roman" w:cs="Times New Roman"/>
          <w:i/>
          <w:iCs/>
          <w:sz w:val="24"/>
          <w:szCs w:val="24"/>
        </w:rPr>
        <w:t>European Journal of Psychological 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99–105. </w:t>
      </w:r>
      <w:hyperlink r:id="rId487" w:history="1">
        <w:r w:rsidRPr="005B38F0">
          <w:rPr>
            <w:rFonts w:ascii="Times New Roman" w:eastAsia="Times New Roman" w:hAnsi="Times New Roman" w:cs="Times New Roman"/>
            <w:color w:val="0000FF"/>
            <w:sz w:val="24"/>
            <w:szCs w:val="24"/>
            <w:u w:val="single"/>
          </w:rPr>
          <w:t>https://doi.org/10.1027/1015-5759.20.2.99</w:t>
        </w:r>
      </w:hyperlink>
    </w:p>
    <w:p w14:paraId="326851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Beversdorf, D. Q. (2013). Pharmacological effects on creativity. In </w:t>
      </w:r>
      <w:r w:rsidRPr="005B38F0">
        <w:rPr>
          <w:rFonts w:ascii="Times New Roman" w:eastAsia="Times New Roman" w:hAnsi="Times New Roman" w:cs="Times New Roman"/>
          <w:i/>
          <w:iCs/>
          <w:sz w:val="24"/>
          <w:szCs w:val="24"/>
        </w:rPr>
        <w:t>Neuroscience of creativity.</w:t>
      </w:r>
      <w:r w:rsidRPr="005B38F0">
        <w:rPr>
          <w:rFonts w:ascii="Times New Roman" w:eastAsia="Times New Roman" w:hAnsi="Times New Roman" w:cs="Times New Roman"/>
          <w:sz w:val="24"/>
          <w:szCs w:val="24"/>
        </w:rPr>
        <w:t xml:space="preserve"> (pp. 151–173). MIT Press. </w:t>
      </w:r>
      <w:hyperlink r:id="rId488" w:history="1">
        <w:r w:rsidRPr="005B38F0">
          <w:rPr>
            <w:rFonts w:ascii="Times New Roman" w:eastAsia="Times New Roman" w:hAnsi="Times New Roman" w:cs="Times New Roman"/>
            <w:color w:val="0000FF"/>
            <w:sz w:val="24"/>
            <w:szCs w:val="24"/>
            <w:u w:val="single"/>
          </w:rPr>
          <w:t>https://doi.org/10.7551/mitpress/9780262019583.003.0008</w:t>
        </w:r>
      </w:hyperlink>
    </w:p>
    <w:p w14:paraId="671A64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Bhalsing, K. S., Upadhyay, N., Kumar, K. J., Saini, J., Yadav, R., Gupta, A. K., &amp; Pal, P. K. (2014). Association between cortical volume loss and cognitive impairments in essential tremor.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(6), 874–883. </w:t>
      </w:r>
      <w:hyperlink r:id="rId489" w:history="1">
        <w:r w:rsidRPr="005B38F0">
          <w:rPr>
            <w:rFonts w:ascii="Times New Roman" w:eastAsia="Times New Roman" w:hAnsi="Times New Roman" w:cs="Times New Roman"/>
            <w:color w:val="0000FF"/>
            <w:sz w:val="24"/>
            <w:szCs w:val="24"/>
            <w:u w:val="single"/>
          </w:rPr>
          <w:t>https://doi.org/10.1111/ene.12399</w:t>
        </w:r>
      </w:hyperlink>
    </w:p>
    <w:p w14:paraId="7A7F36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Bhandari, S., &amp; Nemeroff, C. B. (2013). Cognitive disorders: Endocrine and metabolic disorders. In </w:t>
      </w:r>
      <w:r w:rsidRPr="005B38F0">
        <w:rPr>
          <w:rFonts w:ascii="Times New Roman" w:eastAsia="Times New Roman" w:hAnsi="Times New Roman" w:cs="Times New Roman"/>
          <w:i/>
          <w:iCs/>
          <w:sz w:val="24"/>
          <w:szCs w:val="24"/>
        </w:rPr>
        <w:t>Psychopathology of childhood and adolescence: A neuropsychological approach.</w:t>
      </w:r>
      <w:r w:rsidRPr="005B38F0">
        <w:rPr>
          <w:rFonts w:ascii="Times New Roman" w:eastAsia="Times New Roman" w:hAnsi="Times New Roman" w:cs="Times New Roman"/>
          <w:sz w:val="24"/>
          <w:szCs w:val="24"/>
        </w:rPr>
        <w:t xml:space="preserve"> (pp. 637–661). Springer Publishing Company.</w:t>
      </w:r>
    </w:p>
    <w:p w14:paraId="7D4F2C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Bhardwaj, A., Wilkinson, P., Srivastava, C., &amp; Sharma, M. (2010). Cognitive deficits in euthymic patients with recurrent depression.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198</w:t>
      </w:r>
      <w:r w:rsidRPr="005B38F0">
        <w:rPr>
          <w:rFonts w:ascii="Times New Roman" w:eastAsia="Times New Roman" w:hAnsi="Times New Roman" w:cs="Times New Roman"/>
          <w:sz w:val="24"/>
          <w:szCs w:val="24"/>
        </w:rPr>
        <w:t xml:space="preserve">(7), 513–515. </w:t>
      </w:r>
      <w:hyperlink r:id="rId490" w:history="1">
        <w:r w:rsidRPr="005B38F0">
          <w:rPr>
            <w:rFonts w:ascii="Times New Roman" w:eastAsia="Times New Roman" w:hAnsi="Times New Roman" w:cs="Times New Roman"/>
            <w:color w:val="0000FF"/>
            <w:sz w:val="24"/>
            <w:szCs w:val="24"/>
            <w:u w:val="single"/>
          </w:rPr>
          <w:t>https://doi.org/10.1097/NMD.0b013e3181e4c5ba</w:t>
        </w:r>
      </w:hyperlink>
    </w:p>
    <w:p w14:paraId="617B57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Bhat, N. A., Sharma, V., &amp; Kumar, D. (2018). Prospective memory in obsessive compulsive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261</w:t>
      </w:r>
      <w:r w:rsidRPr="005B38F0">
        <w:rPr>
          <w:rFonts w:ascii="Times New Roman" w:eastAsia="Times New Roman" w:hAnsi="Times New Roman" w:cs="Times New Roman"/>
          <w:sz w:val="24"/>
          <w:szCs w:val="24"/>
        </w:rPr>
        <w:t xml:space="preserve">, 124–131. </w:t>
      </w:r>
      <w:hyperlink r:id="rId491" w:history="1">
        <w:r w:rsidRPr="005B38F0">
          <w:rPr>
            <w:rFonts w:ascii="Times New Roman" w:eastAsia="Times New Roman" w:hAnsi="Times New Roman" w:cs="Times New Roman"/>
            <w:color w:val="0000FF"/>
            <w:sz w:val="24"/>
            <w:szCs w:val="24"/>
            <w:u w:val="single"/>
          </w:rPr>
          <w:t>https://doi.org/10.1016/j.psychres.2017.12.032</w:t>
        </w:r>
      </w:hyperlink>
    </w:p>
    <w:p w14:paraId="53CEA2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Bhojraj, T. S., Diwadkar, V. A., Sweeney, J. A., Prasad, K. M., Eack, S. M., Montrose, D. M., &amp; Keshavan, M. S. (2010). Longitudinal alterations of executive function in non-psychotic adolescents at familial risk for schizophrenia.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(3), 469–474. </w:t>
      </w:r>
      <w:hyperlink r:id="rId492" w:history="1">
        <w:r w:rsidRPr="005B38F0">
          <w:rPr>
            <w:rFonts w:ascii="Times New Roman" w:eastAsia="Times New Roman" w:hAnsi="Times New Roman" w:cs="Times New Roman"/>
            <w:color w:val="0000FF"/>
            <w:sz w:val="24"/>
            <w:szCs w:val="24"/>
            <w:u w:val="single"/>
          </w:rPr>
          <w:t>https://doi.org/10.1016/j.pnpbp.2010.01.015</w:t>
        </w:r>
      </w:hyperlink>
    </w:p>
    <w:p w14:paraId="394056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Bhojraj, T. S., Francis, A. N., Montrose, D. M., &amp; Keshavan, M. S. (2011). Grey matter and cognitive deficits in young relatives of schizophrenia patients.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(Suppl 1), S287–S292. </w:t>
      </w:r>
      <w:hyperlink r:id="rId493" w:history="1">
        <w:r w:rsidRPr="005B38F0">
          <w:rPr>
            <w:rFonts w:ascii="Times New Roman" w:eastAsia="Times New Roman" w:hAnsi="Times New Roman" w:cs="Times New Roman"/>
            <w:color w:val="0000FF"/>
            <w:sz w:val="24"/>
            <w:szCs w:val="24"/>
            <w:u w:val="single"/>
          </w:rPr>
          <w:t>https://doi.org/10.1016/j.neuroimage.2010.03.069</w:t>
        </w:r>
      </w:hyperlink>
    </w:p>
    <w:p w14:paraId="74349F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Bianchini, K. J., Curtis, K. L., &amp; Greve, K. W. (2013). Cognitive performance validity assessment in mild traumatic brain injury, physical pain, and posttraumatic stress. In </w:t>
      </w:r>
      <w:r w:rsidRPr="005B38F0">
        <w:rPr>
          <w:rFonts w:ascii="Times New Roman" w:eastAsia="Times New Roman" w:hAnsi="Times New Roman" w:cs="Times New Roman"/>
          <w:i/>
          <w:iCs/>
          <w:sz w:val="24"/>
          <w:szCs w:val="24"/>
        </w:rPr>
        <w:t>Mild traumatic brain injury: Symptom validity assessment and malingering.</w:t>
      </w:r>
      <w:r w:rsidRPr="005B38F0">
        <w:rPr>
          <w:rFonts w:ascii="Times New Roman" w:eastAsia="Times New Roman" w:hAnsi="Times New Roman" w:cs="Times New Roman"/>
          <w:sz w:val="24"/>
          <w:szCs w:val="24"/>
        </w:rPr>
        <w:t xml:space="preserve"> (pp. 323–346). Springer Publishing Company.</w:t>
      </w:r>
    </w:p>
    <w:p w14:paraId="21E652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Biars, J. W., Johnson, N. L., Nespeca, M., Busch, R. M., Kubu, C. S., &amp; Floden, D. P. (2019). Iowa gambling task performance in Parkinson disease patients with impulse control disorders.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(3), 310–318. </w:t>
      </w:r>
      <w:hyperlink r:id="rId494" w:history="1">
        <w:r w:rsidRPr="005B38F0">
          <w:rPr>
            <w:rFonts w:ascii="Times New Roman" w:eastAsia="Times New Roman" w:hAnsi="Times New Roman" w:cs="Times New Roman"/>
            <w:color w:val="0000FF"/>
            <w:sz w:val="24"/>
            <w:szCs w:val="24"/>
            <w:u w:val="single"/>
          </w:rPr>
          <w:t>https://doi.org/10.1093/arclin/acy036</w:t>
        </w:r>
      </w:hyperlink>
    </w:p>
    <w:p w14:paraId="1BF9E6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Bibby, H., &amp; McDonald, S. (2005). Theory of mind after traumatic brain injury.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 99–114. </w:t>
      </w:r>
      <w:hyperlink r:id="rId495" w:history="1">
        <w:r w:rsidRPr="005B38F0">
          <w:rPr>
            <w:rFonts w:ascii="Times New Roman" w:eastAsia="Times New Roman" w:hAnsi="Times New Roman" w:cs="Times New Roman"/>
            <w:color w:val="0000FF"/>
            <w:sz w:val="24"/>
            <w:szCs w:val="24"/>
            <w:u w:val="single"/>
          </w:rPr>
          <w:t>https://doi.org/10.1016/j.neuropsychologia.2004.04.027</w:t>
        </w:r>
      </w:hyperlink>
    </w:p>
    <w:p w14:paraId="5D1D0E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Bickel, S., Alvarez, L., Macias, R., Pavon, N., Leon, M., Fernandez, C., Houghton, D. J., Salazar, S., Rodríguez-Oroz, M. C., Juncos, J., Guridi, J., DeLong, M., Obeso, J. A., &amp; Litvan, I. (2010). Cognitive and neuropsychiatric effects of subthalamotomy for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(8), 535–539. </w:t>
      </w:r>
      <w:hyperlink r:id="rId496" w:history="1">
        <w:r w:rsidRPr="005B38F0">
          <w:rPr>
            <w:rFonts w:ascii="Times New Roman" w:eastAsia="Times New Roman" w:hAnsi="Times New Roman" w:cs="Times New Roman"/>
            <w:color w:val="0000FF"/>
            <w:sz w:val="24"/>
            <w:szCs w:val="24"/>
            <w:u w:val="single"/>
          </w:rPr>
          <w:t>https://doi.org/10.1016/j.parkreldis.2010.06.008</w:t>
        </w:r>
      </w:hyperlink>
    </w:p>
    <w:p w14:paraId="3EB00D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Bidzan, I. (2014). Executive functions of schizophrenics addicted to nicotine. </w:t>
      </w:r>
      <w:r w:rsidRPr="005B38F0">
        <w:rPr>
          <w:rFonts w:ascii="Times New Roman" w:eastAsia="Times New Roman" w:hAnsi="Times New Roman" w:cs="Times New Roman"/>
          <w:i/>
          <w:iCs/>
          <w:sz w:val="24"/>
          <w:szCs w:val="24"/>
        </w:rPr>
        <w:t>Acta Neuropsychologica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(3), 271–291.</w:t>
      </w:r>
    </w:p>
    <w:p w14:paraId="02F030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Bidzan-Bluma, I., Pielak, M., &amp; Budnik-Przybylska, D. (2017). The dynamics of cognitive functioning in the process of preparing a contestant for a triathlon. A case study with the use of the author’s neuropsychological support program. </w:t>
      </w:r>
      <w:r w:rsidRPr="005B38F0">
        <w:rPr>
          <w:rFonts w:ascii="Times New Roman" w:eastAsia="Times New Roman" w:hAnsi="Times New Roman" w:cs="Times New Roman"/>
          <w:i/>
          <w:iCs/>
          <w:sz w:val="24"/>
          <w:szCs w:val="24"/>
        </w:rPr>
        <w:t>Acta Neuropsychologica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189–200. </w:t>
      </w:r>
      <w:hyperlink r:id="rId497" w:history="1">
        <w:r w:rsidRPr="005B38F0">
          <w:rPr>
            <w:rFonts w:ascii="Times New Roman" w:eastAsia="Times New Roman" w:hAnsi="Times New Roman" w:cs="Times New Roman"/>
            <w:color w:val="0000FF"/>
            <w:sz w:val="24"/>
            <w:szCs w:val="24"/>
            <w:u w:val="single"/>
          </w:rPr>
          <w:t>https://doi.org/10.5604/01.3001.0010.2409</w:t>
        </w:r>
      </w:hyperlink>
    </w:p>
    <w:p w14:paraId="5383E3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Fried, R., Petty, C. R., Henin, A., Wozniak, J., Corkum, L., Claudat, K., &amp; Faraone, S. V. (2012). Examining the association between stimulant treatment and cognitive outcomes across the life cycle of adults with attention-deficit/hyperactivity disorder: A controlled cross-sectional study.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(1), 69–75. </w:t>
      </w:r>
      <w:hyperlink r:id="rId498" w:history="1">
        <w:r w:rsidRPr="005B38F0">
          <w:rPr>
            <w:rFonts w:ascii="Times New Roman" w:eastAsia="Times New Roman" w:hAnsi="Times New Roman" w:cs="Times New Roman"/>
            <w:color w:val="0000FF"/>
            <w:sz w:val="24"/>
            <w:szCs w:val="24"/>
            <w:u w:val="single"/>
          </w:rPr>
          <w:t>https://doi.org/10.1097/NMD.0b013e31823e55ef</w:t>
        </w:r>
      </w:hyperlink>
    </w:p>
    <w:p w14:paraId="05BD46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Biederman, J., Fried, R., Petty, C. R., Wozniak, J., Doyle, A. E., Henin, A., Corkum, L., Claudat, K., &amp; Faraone, S. V. (2011). Cognitive development in adults with attention-deficit/hyperactivity disorder: A controlled study in medication-naive adults across the adult life cycle.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(1), 11–16. </w:t>
      </w:r>
      <w:hyperlink r:id="rId499" w:history="1">
        <w:r w:rsidRPr="005B38F0">
          <w:rPr>
            <w:rFonts w:ascii="Times New Roman" w:eastAsia="Times New Roman" w:hAnsi="Times New Roman" w:cs="Times New Roman"/>
            <w:color w:val="0000FF"/>
            <w:sz w:val="24"/>
            <w:szCs w:val="24"/>
            <w:u w:val="single"/>
          </w:rPr>
          <w:t>https://doi.org/10.4088/JCP.09m05420pur</w:t>
        </w:r>
      </w:hyperlink>
    </w:p>
    <w:p w14:paraId="4947A3A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Martelon, M., Woodworth, K. Y., Spencer, T. J., &amp; Faraone, S. V. (2017). Is maternal smoking during pregnancy a risk factor for cigarette smoking in offspring? A longitudinal controlled study of ADHD children grown up.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(12), 975–985. </w:t>
      </w:r>
      <w:hyperlink r:id="rId500" w:history="1">
        <w:r w:rsidRPr="005B38F0">
          <w:rPr>
            <w:rFonts w:ascii="Times New Roman" w:eastAsia="Times New Roman" w:hAnsi="Times New Roman" w:cs="Times New Roman"/>
            <w:color w:val="0000FF"/>
            <w:sz w:val="24"/>
            <w:szCs w:val="24"/>
            <w:u w:val="single"/>
          </w:rPr>
          <w:t>https://doi.org/10.1177/1087054714557357</w:t>
        </w:r>
      </w:hyperlink>
    </w:p>
    <w:p w14:paraId="5C5D11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Fried, R., Fontanella, J., Doyle, A. E., Seidman, L. J., &amp; Faraone, S. V. (2006). Impact of psychometrically defined deficits of executive functioning in adults with attention deficit hyperactivity disorder.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163</w:t>
      </w:r>
      <w:r w:rsidRPr="005B38F0">
        <w:rPr>
          <w:rFonts w:ascii="Times New Roman" w:eastAsia="Times New Roman" w:hAnsi="Times New Roman" w:cs="Times New Roman"/>
          <w:sz w:val="24"/>
          <w:szCs w:val="24"/>
        </w:rPr>
        <w:t xml:space="preserve">(10), 1730–1738. </w:t>
      </w:r>
      <w:hyperlink r:id="rId501" w:history="1">
        <w:r w:rsidRPr="005B38F0">
          <w:rPr>
            <w:rFonts w:ascii="Times New Roman" w:eastAsia="Times New Roman" w:hAnsi="Times New Roman" w:cs="Times New Roman"/>
            <w:color w:val="0000FF"/>
            <w:sz w:val="24"/>
            <w:szCs w:val="24"/>
            <w:u w:val="single"/>
          </w:rPr>
          <w:t>https://doi.org/10.1176/appi.ajp.163.10.1730</w:t>
        </w:r>
      </w:hyperlink>
    </w:p>
    <w:p w14:paraId="796BEC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Ball, S. W., Fried, R., Doyle, A. E., Cohen, D., Henderson, C., &amp; Faraone, S. V. (2009). Are cognitive deficits in attention deficit/hyperactivity disorder related to the course of the disorder? A prospective controlled follow-up study of grown up boys with persistent and remitting course.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170</w:t>
      </w:r>
      <w:r w:rsidRPr="005B38F0">
        <w:rPr>
          <w:rFonts w:ascii="Times New Roman" w:eastAsia="Times New Roman" w:hAnsi="Times New Roman" w:cs="Times New Roman"/>
          <w:sz w:val="24"/>
          <w:szCs w:val="24"/>
        </w:rPr>
        <w:t xml:space="preserve">(2–3), 177–182. </w:t>
      </w:r>
      <w:hyperlink r:id="rId502" w:history="1">
        <w:r w:rsidRPr="005B38F0">
          <w:rPr>
            <w:rFonts w:ascii="Times New Roman" w:eastAsia="Times New Roman" w:hAnsi="Times New Roman" w:cs="Times New Roman"/>
            <w:color w:val="0000FF"/>
            <w:sz w:val="24"/>
            <w:szCs w:val="24"/>
            <w:u w:val="single"/>
          </w:rPr>
          <w:t>https://doi.org/10.1016/j.psychres.2008.09.010</w:t>
        </w:r>
      </w:hyperlink>
    </w:p>
    <w:p w14:paraId="3C5E42A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Doyle, A. E., Spencer, T., Henderson, C. S., Marion, B., Fried, R., &amp; Faraone, S. V. (2008). Stability of executive function deficits in girls with ADHD: A prospective longitudinal followup study into adolescence.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44–61. </w:t>
      </w:r>
      <w:hyperlink r:id="rId503" w:history="1">
        <w:r w:rsidRPr="005B38F0">
          <w:rPr>
            <w:rFonts w:ascii="Times New Roman" w:eastAsia="Times New Roman" w:hAnsi="Times New Roman" w:cs="Times New Roman"/>
            <w:color w:val="0000FF"/>
            <w:sz w:val="24"/>
            <w:szCs w:val="24"/>
            <w:u w:val="single"/>
          </w:rPr>
          <w:t>https://doi.org/10.1080/87565640701729755</w:t>
        </w:r>
      </w:hyperlink>
    </w:p>
    <w:p w14:paraId="072EBB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Biederman, J., Petty, C. R., Fried, R., Doyle, A. E., Spencer, T., Seidman, L. J., Gross, L., Poetzl, K., &amp; Faraone, S. V. (2007). Stability of executive function deficits into young adult years: A prospective longitudinal follow-up study of grown up males with ADHD.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(2), 129–136. </w:t>
      </w:r>
      <w:hyperlink r:id="rId504" w:history="1">
        <w:r w:rsidRPr="005B38F0">
          <w:rPr>
            <w:rFonts w:ascii="Times New Roman" w:eastAsia="Times New Roman" w:hAnsi="Times New Roman" w:cs="Times New Roman"/>
            <w:color w:val="0000FF"/>
            <w:sz w:val="24"/>
            <w:szCs w:val="24"/>
            <w:u w:val="single"/>
          </w:rPr>
          <w:t>https://doi.org/10.1111/j.1600-0447.2007.01008.x</w:t>
        </w:r>
      </w:hyperlink>
    </w:p>
    <w:p w14:paraId="26DD2E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 J., Petty, C. R., Wozniak, J., Wilens, T. E., Fried, R., Doyle, A., Henin, A., Bateman, C., Evans, M., &amp; Faraone, S. V. (2011). Impact of executive function deficits in youth with bipolar I disorder: A controlled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186</w:t>
      </w:r>
      <w:r w:rsidRPr="005B38F0">
        <w:rPr>
          <w:rFonts w:ascii="Times New Roman" w:eastAsia="Times New Roman" w:hAnsi="Times New Roman" w:cs="Times New Roman"/>
          <w:sz w:val="24"/>
          <w:szCs w:val="24"/>
        </w:rPr>
        <w:t xml:space="preserve">(1), 58–64. </w:t>
      </w:r>
      <w:hyperlink r:id="rId505" w:history="1">
        <w:r w:rsidRPr="005B38F0">
          <w:rPr>
            <w:rFonts w:ascii="Times New Roman" w:eastAsia="Times New Roman" w:hAnsi="Times New Roman" w:cs="Times New Roman"/>
            <w:color w:val="0000FF"/>
            <w:sz w:val="24"/>
            <w:szCs w:val="24"/>
            <w:u w:val="single"/>
          </w:rPr>
          <w:t>https://doi.org/10.1016/j.psychres.2010.08.029</w:t>
        </w:r>
      </w:hyperlink>
    </w:p>
    <w:p w14:paraId="0E42DD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Biedermann, F., Pfaffenberger, N., Baumgartner, S., Kemmler, G., Fleischhacker, W. W., &amp; Hofer, A. (2011). Combined clozapine and electroconvulsive therapy in clozapine-resistant schizophrenia: Clinical and cognitive outcomes. </w:t>
      </w:r>
      <w:r w:rsidRPr="005B38F0">
        <w:rPr>
          <w:rFonts w:ascii="Times New Roman" w:eastAsia="Times New Roman" w:hAnsi="Times New Roman" w:cs="Times New Roman"/>
          <w:i/>
          <w:iCs/>
          <w:sz w:val="24"/>
          <w:szCs w:val="24"/>
        </w:rPr>
        <w:t>The Journal of ECT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e61–e62. </w:t>
      </w:r>
      <w:hyperlink r:id="rId506" w:history="1">
        <w:r w:rsidRPr="005B38F0">
          <w:rPr>
            <w:rFonts w:ascii="Times New Roman" w:eastAsia="Times New Roman" w:hAnsi="Times New Roman" w:cs="Times New Roman"/>
            <w:color w:val="0000FF"/>
            <w:sz w:val="24"/>
            <w:szCs w:val="24"/>
            <w:u w:val="single"/>
          </w:rPr>
          <w:t>https://doi.org/10.1097/YCT.0b013e31821a8f05</w:t>
        </w:r>
      </w:hyperlink>
    </w:p>
    <w:p w14:paraId="364027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Biedermann, S. V., Meliss, S., Simmons, C., Nöthling, J., Suliman, S., &amp; Seedat, S. (2018). Sexual abuse but not posttraumatic stress disorder is associated with neurocognitive deficits in South African traumatized adolescents. </w:t>
      </w:r>
      <w:r w:rsidRPr="005B38F0">
        <w:rPr>
          <w:rFonts w:ascii="Times New Roman" w:eastAsia="Times New Roman" w:hAnsi="Times New Roman" w:cs="Times New Roman"/>
          <w:i/>
          <w:iCs/>
          <w:sz w:val="24"/>
          <w:szCs w:val="24"/>
        </w:rPr>
        <w:t>Child Abuse &amp; Neglect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80</w:t>
      </w:r>
      <w:r w:rsidRPr="005B38F0">
        <w:rPr>
          <w:rFonts w:ascii="Times New Roman" w:eastAsia="Times New Roman" w:hAnsi="Times New Roman" w:cs="Times New Roman"/>
          <w:sz w:val="24"/>
          <w:szCs w:val="24"/>
        </w:rPr>
        <w:t xml:space="preserve">, 257–267. </w:t>
      </w:r>
      <w:hyperlink r:id="rId507" w:history="1">
        <w:r w:rsidRPr="005B38F0">
          <w:rPr>
            <w:rFonts w:ascii="Times New Roman" w:eastAsia="Times New Roman" w:hAnsi="Times New Roman" w:cs="Times New Roman"/>
            <w:color w:val="0000FF"/>
            <w:sz w:val="24"/>
            <w:szCs w:val="24"/>
            <w:u w:val="single"/>
          </w:rPr>
          <w:t>https://doi.org/10.1016/j.chiabu.2018.04.003</w:t>
        </w:r>
      </w:hyperlink>
    </w:p>
    <w:p w14:paraId="5639E1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Biegańska-Banaś, J. M., Gierowski, J. K., Pihut, M., &amp; Ferendiuk, E. (2019). Oral health-related quality of life and cognitive functioning in myofascial temporomandibular disorders pain. </w:t>
      </w:r>
      <w:r w:rsidRPr="005B38F0">
        <w:rPr>
          <w:rFonts w:ascii="Times New Roman" w:eastAsia="Times New Roman" w:hAnsi="Times New Roman" w:cs="Times New Roman"/>
          <w:i/>
          <w:iCs/>
          <w:sz w:val="24"/>
          <w:szCs w:val="24"/>
        </w:rPr>
        <w:t>Archives of Psychiatry and Psychotherapy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 45–58. </w:t>
      </w:r>
      <w:hyperlink r:id="rId508" w:history="1">
        <w:r w:rsidRPr="005B38F0">
          <w:rPr>
            <w:rFonts w:ascii="Times New Roman" w:eastAsia="Times New Roman" w:hAnsi="Times New Roman" w:cs="Times New Roman"/>
            <w:color w:val="0000FF"/>
            <w:sz w:val="24"/>
            <w:szCs w:val="24"/>
            <w:u w:val="single"/>
          </w:rPr>
          <w:t>https://doi.org/10.12740/APP/100435</w:t>
        </w:r>
      </w:hyperlink>
    </w:p>
    <w:p w14:paraId="058FBBB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Biel, M., &amp; Hula, W. (2016). Attention. In </w:t>
      </w:r>
      <w:r w:rsidRPr="005B38F0">
        <w:rPr>
          <w:rFonts w:ascii="Times New Roman" w:eastAsia="Times New Roman" w:hAnsi="Times New Roman" w:cs="Times New Roman"/>
          <w:i/>
          <w:iCs/>
          <w:sz w:val="24"/>
          <w:szCs w:val="24"/>
        </w:rPr>
        <w:t>Cognitive communication disorders, 2nd ed.</w:t>
      </w:r>
      <w:r w:rsidRPr="005B38F0">
        <w:rPr>
          <w:rFonts w:ascii="Times New Roman" w:eastAsia="Times New Roman" w:hAnsi="Times New Roman" w:cs="Times New Roman"/>
          <w:sz w:val="24"/>
          <w:szCs w:val="24"/>
        </w:rPr>
        <w:t xml:space="preserve"> (pp. 1–47). Plural Publishing.</w:t>
      </w:r>
    </w:p>
    <w:p w14:paraId="76202F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Bieliauskas, L. A., Back-Madruga, C., Lindsay, K. L., Snow, K. K., Kronfol, Z., Lok, A. S., Padmanabhan, L., &amp; Fontana, R. J. (2006). Clinical Relevance of Cognitive Scores in Hepatitis C Patients with Advanced Fibrosis.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1346–1361. </w:t>
      </w:r>
      <w:hyperlink r:id="rId509" w:history="1">
        <w:r w:rsidRPr="005B38F0">
          <w:rPr>
            <w:rFonts w:ascii="Times New Roman" w:eastAsia="Times New Roman" w:hAnsi="Times New Roman" w:cs="Times New Roman"/>
            <w:color w:val="0000FF"/>
            <w:sz w:val="24"/>
            <w:szCs w:val="24"/>
            <w:u w:val="single"/>
          </w:rPr>
          <w:t>https://doi.org/10.1080/13803390500473720</w:t>
        </w:r>
      </w:hyperlink>
    </w:p>
    <w:p w14:paraId="4BC6209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Bieliauskas, L. A., Back-Madruga, C., Lindsay, K. L., Wright, E. C., Kronfol, Z., Lok, A. S. F., &amp; Fontana, R. J. (2007). Cognitive reserve and neuropsychological functioning in patients infected with hepatitis C.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687–692. </w:t>
      </w:r>
      <w:hyperlink r:id="rId510" w:history="1">
        <w:r w:rsidRPr="005B38F0">
          <w:rPr>
            <w:rFonts w:ascii="Times New Roman" w:eastAsia="Times New Roman" w:hAnsi="Times New Roman" w:cs="Times New Roman"/>
            <w:color w:val="0000FF"/>
            <w:sz w:val="24"/>
            <w:szCs w:val="24"/>
            <w:u w:val="single"/>
          </w:rPr>
          <w:t>https://doi.org/10.1017/S1355617707070877</w:t>
        </w:r>
      </w:hyperlink>
    </w:p>
    <w:p w14:paraId="0ADCE2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Bier, J. C., Slama, H., Van den Berge, D., Fery, P., &amp; Vokaer, M. (2008). Epidemiology of dementia in a French speaking population: High age-related variability of simple bedside tests efficiencies. In </w:t>
      </w:r>
      <w:r w:rsidRPr="005B38F0">
        <w:rPr>
          <w:rFonts w:ascii="Times New Roman" w:eastAsia="Times New Roman" w:hAnsi="Times New Roman" w:cs="Times New Roman"/>
          <w:i/>
          <w:iCs/>
          <w:sz w:val="24"/>
          <w:szCs w:val="24"/>
        </w:rPr>
        <w:t>Alzheimer’s disease in the middle-aged.</w:t>
      </w:r>
      <w:r w:rsidRPr="005B38F0">
        <w:rPr>
          <w:rFonts w:ascii="Times New Roman" w:eastAsia="Times New Roman" w:hAnsi="Times New Roman" w:cs="Times New Roman"/>
          <w:sz w:val="24"/>
          <w:szCs w:val="24"/>
        </w:rPr>
        <w:t xml:space="preserve"> (pp. 347–353). Nova Biomedical Books.</w:t>
      </w:r>
    </w:p>
    <w:p w14:paraId="56EFD1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Bigdeli, I., Badin, M., &amp; Sabahi, P. (2017). The comparison of cognitive flexibility, theory of mind and working memory in students with symptoms of obsessive-compulsive disorder and normal group. [The comparison of cognitive flexibility, theory of mind and working memory in students with symptoms o. </w:t>
      </w:r>
      <w:r w:rsidRPr="005B38F0">
        <w:rPr>
          <w:rFonts w:ascii="Times New Roman" w:eastAsia="Times New Roman" w:hAnsi="Times New Roman" w:cs="Times New Roman"/>
          <w:i/>
          <w:iCs/>
          <w:sz w:val="24"/>
          <w:szCs w:val="24"/>
        </w:rPr>
        <w:t>Advances in Cognitive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(4[72]), 24–37.</w:t>
      </w:r>
    </w:p>
    <w:p w14:paraId="4934866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Bigelow, N. O., Paradiso, S., Adolphs, R., Moser, D. J., Arndt, S., Heberlein, A., Nopoulos, P., &amp; Andreasen, N. C. (2006). Perception of socially relevant stimuli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(2–3), 257–267. </w:t>
      </w:r>
      <w:hyperlink r:id="rId511" w:history="1">
        <w:r w:rsidRPr="005B38F0">
          <w:rPr>
            <w:rFonts w:ascii="Times New Roman" w:eastAsia="Times New Roman" w:hAnsi="Times New Roman" w:cs="Times New Roman"/>
            <w:color w:val="0000FF"/>
            <w:sz w:val="24"/>
            <w:szCs w:val="24"/>
            <w:u w:val="single"/>
          </w:rPr>
          <w:t>https://doi.org/10.1016/j.schres.2005.12.856</w:t>
        </w:r>
      </w:hyperlink>
    </w:p>
    <w:p w14:paraId="7F1579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Bigorra, A., Garolera, M., Guijarro, S., &amp; Hervás, A. (2016). Long-term far-transfer effects of working memory training in children with ADHD: a randomized controlled trial. </w:t>
      </w:r>
      <w:r w:rsidRPr="005B38F0">
        <w:rPr>
          <w:rFonts w:ascii="Times New Roman" w:eastAsia="Times New Roman" w:hAnsi="Times New Roman" w:cs="Times New Roman"/>
          <w:i/>
          <w:iCs/>
          <w:sz w:val="24"/>
          <w:szCs w:val="24"/>
        </w:rPr>
        <w:t>European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(8), 853–867. </w:t>
      </w:r>
      <w:hyperlink r:id="rId512" w:history="1">
        <w:r w:rsidRPr="005B38F0">
          <w:rPr>
            <w:rFonts w:ascii="Times New Roman" w:eastAsia="Times New Roman" w:hAnsi="Times New Roman" w:cs="Times New Roman"/>
            <w:color w:val="0000FF"/>
            <w:sz w:val="24"/>
            <w:szCs w:val="24"/>
            <w:u w:val="single"/>
          </w:rPr>
          <w:t>https://doi.org/10.1007/s00787-015-0804-3</w:t>
        </w:r>
      </w:hyperlink>
    </w:p>
    <w:p w14:paraId="75DF70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Bijl, S., de Bruin, E. A., Böcker, K. B. E., Kenemans, J. L., &amp; Verbaten, M. N. (2005). Chronic effects of social drinking in a card-sorting task: An event related potential study. </w:t>
      </w:r>
      <w:r w:rsidRPr="005B38F0">
        <w:rPr>
          <w:rFonts w:ascii="Times New Roman" w:eastAsia="Times New Roman" w:hAnsi="Times New Roman" w:cs="Times New Roman"/>
          <w:i/>
          <w:iCs/>
          <w:sz w:val="24"/>
          <w:szCs w:val="24"/>
        </w:rPr>
        <w:t>Clinical Neurophysiology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(2), 376–385. </w:t>
      </w:r>
      <w:hyperlink r:id="rId513" w:history="1">
        <w:r w:rsidRPr="005B38F0">
          <w:rPr>
            <w:rFonts w:ascii="Times New Roman" w:eastAsia="Times New Roman" w:hAnsi="Times New Roman" w:cs="Times New Roman"/>
            <w:color w:val="0000FF"/>
            <w:sz w:val="24"/>
            <w:szCs w:val="24"/>
            <w:u w:val="single"/>
          </w:rPr>
          <w:t>https://doi.org/10.1016/j.clinph.2004.09.010</w:t>
        </w:r>
      </w:hyperlink>
    </w:p>
    <w:p w14:paraId="17D8E5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Bilder, R. M., Howe, A. G., &amp; Sabb, F. w. (2013). Multilevel models from biology to psychology: Mission impossible? </w:t>
      </w:r>
      <w:r w:rsidRPr="005B38F0">
        <w:rPr>
          <w:rFonts w:ascii="Times New Roman" w:eastAsia="Times New Roman" w:hAnsi="Times New Roman" w:cs="Times New Roman"/>
          <w:i/>
          <w:iCs/>
          <w:sz w:val="24"/>
          <w:szCs w:val="24"/>
        </w:rPr>
        <w:t>Journal of Abnormal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(3), 917–927. </w:t>
      </w:r>
      <w:hyperlink r:id="rId514" w:history="1">
        <w:r w:rsidRPr="005B38F0">
          <w:rPr>
            <w:rFonts w:ascii="Times New Roman" w:eastAsia="Times New Roman" w:hAnsi="Times New Roman" w:cs="Times New Roman"/>
            <w:color w:val="0000FF"/>
            <w:sz w:val="24"/>
            <w:szCs w:val="24"/>
            <w:u w:val="single"/>
          </w:rPr>
          <w:t>https://doi.org/10.1037/a0032263</w:t>
        </w:r>
      </w:hyperlink>
    </w:p>
    <w:p w14:paraId="76F6B0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Bilder, R. M., Volavka, J., Czobor, P., Malhotra, A. K., Kennedy, J. L., Ni, X., Goldman, R. S., Hoptman, M. J., Sheitman, B., Lindenmayer, J.-P., Citrome, L., McEvoy, J. P., Kunz, M., Chakos, M., Cooper, T. B., &amp; Lieberman, J. A. (2002). Neurocognitive correlates of the COMT Val</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 met polymorphism in chronic schizophrenia.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52</w:t>
      </w:r>
      <w:r w:rsidRPr="005B38F0">
        <w:rPr>
          <w:rFonts w:ascii="Times New Roman" w:eastAsia="Times New Roman" w:hAnsi="Times New Roman" w:cs="Times New Roman"/>
          <w:sz w:val="24"/>
          <w:szCs w:val="24"/>
        </w:rPr>
        <w:t xml:space="preserve">(7), 701–707. </w:t>
      </w:r>
      <w:hyperlink r:id="rId515" w:history="1">
        <w:r w:rsidRPr="005B38F0">
          <w:rPr>
            <w:rFonts w:ascii="Times New Roman" w:eastAsia="Times New Roman" w:hAnsi="Times New Roman" w:cs="Times New Roman"/>
            <w:color w:val="0000FF"/>
            <w:sz w:val="24"/>
            <w:szCs w:val="24"/>
            <w:u w:val="single"/>
          </w:rPr>
          <w:t>https://doi.org/10.1016/S0006-3223(02)01416-6</w:t>
        </w:r>
      </w:hyperlink>
    </w:p>
    <w:p w14:paraId="70CC53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Bilgiç, B., Arslan, A. B., Bulut, H., Bayram, A., &amp; Hızlı, F. G. (2011). A Marchiafava-Bignami patient with mild symptoms and the role of diffusion-weighted magnetic resonance imaging in the diagnosis. </w:t>
      </w:r>
      <w:r w:rsidRPr="005B38F0">
        <w:rPr>
          <w:rFonts w:ascii="Times New Roman" w:eastAsia="Times New Roman" w:hAnsi="Times New Roman" w:cs="Times New Roman"/>
          <w:i/>
          <w:iCs/>
          <w:sz w:val="24"/>
          <w:szCs w:val="24"/>
        </w:rPr>
        <w:t>Nöropsikiyatri Arşivi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(4), 277–280. </w:t>
      </w:r>
      <w:hyperlink r:id="rId516" w:history="1">
        <w:r w:rsidRPr="005B38F0">
          <w:rPr>
            <w:rFonts w:ascii="Times New Roman" w:eastAsia="Times New Roman" w:hAnsi="Times New Roman" w:cs="Times New Roman"/>
            <w:color w:val="0000FF"/>
            <w:sz w:val="24"/>
            <w:szCs w:val="24"/>
            <w:u w:val="single"/>
          </w:rPr>
          <w:t>https://doi.org/10.4274/npa.y5861</w:t>
        </w:r>
      </w:hyperlink>
    </w:p>
    <w:p w14:paraId="69A407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Bilgic, B., Bayram, A., Arslan, A. B., Hanagasi, H., Dursun, B., Gurvit, H., Emre, M., &amp; Lohmann, E. (2012). Differentiating symptomatic Parkin mutations carriers from patients with idiopathic Parkinson’s disease: Contribution of automated segmentation neuroimaging method.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562–566. </w:t>
      </w:r>
      <w:hyperlink r:id="rId517" w:history="1">
        <w:r w:rsidRPr="005B38F0">
          <w:rPr>
            <w:rFonts w:ascii="Times New Roman" w:eastAsia="Times New Roman" w:hAnsi="Times New Roman" w:cs="Times New Roman"/>
            <w:color w:val="0000FF"/>
            <w:sz w:val="24"/>
            <w:szCs w:val="24"/>
            <w:u w:val="single"/>
          </w:rPr>
          <w:t>https://doi.org/10.1016/j.parkreldis.2012.02.017</w:t>
        </w:r>
      </w:hyperlink>
    </w:p>
    <w:p w14:paraId="54CD81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Binder, L. M., Spector, J., &amp; Youngjohn, J. R. (2012). Psychogenic stuttering and other acquired nonorganic speech and language abnormalities.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557–568. </w:t>
      </w:r>
      <w:hyperlink r:id="rId518" w:history="1">
        <w:r w:rsidRPr="005B38F0">
          <w:rPr>
            <w:rFonts w:ascii="Times New Roman" w:eastAsia="Times New Roman" w:hAnsi="Times New Roman" w:cs="Times New Roman"/>
            <w:color w:val="0000FF"/>
            <w:sz w:val="24"/>
            <w:szCs w:val="24"/>
            <w:u w:val="single"/>
          </w:rPr>
          <w:t>https://doi.org/10.1093/arclin/acs051</w:t>
        </w:r>
      </w:hyperlink>
    </w:p>
    <w:p w14:paraId="6AE8F1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Bindschaedler, C., Peter-Favre, C., Maeder, P., Hirsbrunner, T., &amp; Clarke, S. (2011). Growing up with bilateral hippocampal atrophy: From childhood to teenage.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(8), 931–944. </w:t>
      </w:r>
      <w:hyperlink r:id="rId519" w:history="1">
        <w:r w:rsidRPr="005B38F0">
          <w:rPr>
            <w:rFonts w:ascii="Times New Roman" w:eastAsia="Times New Roman" w:hAnsi="Times New Roman" w:cs="Times New Roman"/>
            <w:color w:val="0000FF"/>
            <w:sz w:val="24"/>
            <w:szCs w:val="24"/>
            <w:u w:val="single"/>
          </w:rPr>
          <w:t>https://doi.org/10.1016/j.cortex.2010.09.005</w:t>
        </w:r>
      </w:hyperlink>
    </w:p>
    <w:p w14:paraId="057939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Binetti, G., Magni, E., Padovani, A., &amp; Cappa, S. F. (1996). Executive dysfunction in early Alzheimer’s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(1), 91–93. </w:t>
      </w:r>
      <w:hyperlink r:id="rId520" w:history="1">
        <w:r w:rsidRPr="005B38F0">
          <w:rPr>
            <w:rFonts w:ascii="Times New Roman" w:eastAsia="Times New Roman" w:hAnsi="Times New Roman" w:cs="Times New Roman"/>
            <w:color w:val="0000FF"/>
            <w:sz w:val="24"/>
            <w:szCs w:val="24"/>
            <w:u w:val="single"/>
          </w:rPr>
          <w:t>https://doi.org/10.1136/jnnp.60.1.91</w:t>
        </w:r>
      </w:hyperlink>
    </w:p>
    <w:p w14:paraId="169111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Binetti, G., Magni, E., Padovani, A., Cappa, S. F., Bianchetti, A., &amp; Trabucchi, M. (1995). Release from proactive interference in early Alzheimer’s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379–384. </w:t>
      </w:r>
      <w:hyperlink r:id="rId521" w:history="1">
        <w:r w:rsidRPr="005B38F0">
          <w:rPr>
            <w:rFonts w:ascii="Times New Roman" w:eastAsia="Times New Roman" w:hAnsi="Times New Roman" w:cs="Times New Roman"/>
            <w:color w:val="0000FF"/>
            <w:sz w:val="24"/>
            <w:szCs w:val="24"/>
            <w:u w:val="single"/>
          </w:rPr>
          <w:t>https://doi.org/10.1016/0028-3932(94)00118-9</w:t>
        </w:r>
      </w:hyperlink>
    </w:p>
    <w:p w14:paraId="566416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Binz, B., &amp; Brüne, M. (2010). Pragmatic language abilities, mentalising skills and executive functioning in schizophrenia spectrum disorders. </w:t>
      </w:r>
      <w:r w:rsidRPr="005B38F0">
        <w:rPr>
          <w:rFonts w:ascii="Times New Roman" w:eastAsia="Times New Roman" w:hAnsi="Times New Roman" w:cs="Times New Roman"/>
          <w:i/>
          <w:iCs/>
          <w:sz w:val="24"/>
          <w:szCs w:val="24"/>
        </w:rPr>
        <w:t>Clinical Neuropsychiatry: Journal of Treatment Evaluation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(3), 91–99.</w:t>
      </w:r>
    </w:p>
    <w:p w14:paraId="58BA35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Bio, D. S., &amp; Gattaz, W. F. (2011). Vocational rehabilitation improves cognition and negative symptoms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(1–3), 265–269. </w:t>
      </w:r>
      <w:hyperlink r:id="rId522" w:history="1">
        <w:r w:rsidRPr="005B38F0">
          <w:rPr>
            <w:rFonts w:ascii="Times New Roman" w:eastAsia="Times New Roman" w:hAnsi="Times New Roman" w:cs="Times New Roman"/>
            <w:color w:val="0000FF"/>
            <w:sz w:val="24"/>
            <w:szCs w:val="24"/>
            <w:u w:val="single"/>
          </w:rPr>
          <w:t>https://doi.org/10.1016/j.schres.2010.08.003</w:t>
        </w:r>
      </w:hyperlink>
    </w:p>
    <w:p w14:paraId="7A9E13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Bioque, M., Cabrera, B., García-Bueno, B., Mac-Dowell, K. S., Torrent, C., Saiz, P. A., Parellada, M., González-Pinto, A., Lobo, A., Leza, J. C., &amp; Bernardo, M. (2016). Dysregulated peripheral endocannabinoid system signaling is associated with cognitive deficits in first-episode psychosis.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 14–21. </w:t>
      </w:r>
      <w:hyperlink r:id="rId523" w:history="1">
        <w:r w:rsidRPr="005B38F0">
          <w:rPr>
            <w:rFonts w:ascii="Times New Roman" w:eastAsia="Times New Roman" w:hAnsi="Times New Roman" w:cs="Times New Roman"/>
            <w:color w:val="0000FF"/>
            <w:sz w:val="24"/>
            <w:szCs w:val="24"/>
            <w:u w:val="single"/>
          </w:rPr>
          <w:t>https://doi.org/10.1016/j.jpsychires.2016.01.002</w:t>
        </w:r>
      </w:hyperlink>
    </w:p>
    <w:p w14:paraId="1D54FE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Bioulac, S., Lallemand, S., Fabrigoule, C., Thoumy, A.-L., Philip, P., &amp; Bouvard, M. P. (2014). Video game performances are preserved in ADHD children compared with controls.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(6), 542–550. </w:t>
      </w:r>
      <w:hyperlink r:id="rId524" w:history="1">
        <w:r w:rsidRPr="005B38F0">
          <w:rPr>
            <w:rFonts w:ascii="Times New Roman" w:eastAsia="Times New Roman" w:hAnsi="Times New Roman" w:cs="Times New Roman"/>
            <w:color w:val="0000FF"/>
            <w:sz w:val="24"/>
            <w:szCs w:val="24"/>
            <w:u w:val="single"/>
          </w:rPr>
          <w:t>https://doi.org/10.1177/1087054712443702</w:t>
        </w:r>
      </w:hyperlink>
    </w:p>
    <w:p w14:paraId="60C496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Bird, C. M., Papadopoulou, K., Ricciardelli, P., Rossor, M. N., &amp; Cipolotti, L. (2004). Monitoring cognitive changes: Psychometric properties of six cognitive tests. </w:t>
      </w:r>
      <w:r w:rsidRPr="005B38F0">
        <w:rPr>
          <w:rFonts w:ascii="Times New Roman" w:eastAsia="Times New Roman" w:hAnsi="Times New Roman" w:cs="Times New Roman"/>
          <w:i/>
          <w:iCs/>
          <w:sz w:val="24"/>
          <w:szCs w:val="24"/>
        </w:rPr>
        <w:t>British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(2), 197–210. </w:t>
      </w:r>
      <w:hyperlink r:id="rId525" w:history="1">
        <w:r w:rsidRPr="005B38F0">
          <w:rPr>
            <w:rFonts w:ascii="Times New Roman" w:eastAsia="Times New Roman" w:hAnsi="Times New Roman" w:cs="Times New Roman"/>
            <w:color w:val="0000FF"/>
            <w:sz w:val="24"/>
            <w:szCs w:val="24"/>
            <w:u w:val="single"/>
          </w:rPr>
          <w:t>https://doi.org/10.1348/014466504323088051</w:t>
        </w:r>
      </w:hyperlink>
    </w:p>
    <w:p w14:paraId="70BB57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Biringer, E., Lundervold, A., Stordal, K., Mykletun, A., Egeland, J., Bottlender, R., &amp; Lund, A. (2005). Executive function improvement upon remission of recurrent unipolar depression.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255</w:t>
      </w:r>
      <w:r w:rsidRPr="005B38F0">
        <w:rPr>
          <w:rFonts w:ascii="Times New Roman" w:eastAsia="Times New Roman" w:hAnsi="Times New Roman" w:cs="Times New Roman"/>
          <w:sz w:val="24"/>
          <w:szCs w:val="24"/>
        </w:rPr>
        <w:t xml:space="preserve">(6), 373–380. </w:t>
      </w:r>
      <w:hyperlink r:id="rId526" w:history="1">
        <w:r w:rsidRPr="005B38F0">
          <w:rPr>
            <w:rFonts w:ascii="Times New Roman" w:eastAsia="Times New Roman" w:hAnsi="Times New Roman" w:cs="Times New Roman"/>
            <w:color w:val="0000FF"/>
            <w:sz w:val="24"/>
            <w:szCs w:val="24"/>
            <w:u w:val="single"/>
          </w:rPr>
          <w:t>https://doi.org/10.1007/s00406-005-0577-7</w:t>
        </w:r>
      </w:hyperlink>
    </w:p>
    <w:p w14:paraId="5E2884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Biringer, E., Mykletun, A., Sundet, K., Kroken, R., Stordal, K. I., &amp; Lund, A. (2007). A longitudinal analysis of neurocognitive function in unipolar depression.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(8), 879–891. </w:t>
      </w:r>
      <w:hyperlink r:id="rId527" w:history="1">
        <w:r w:rsidRPr="005B38F0">
          <w:rPr>
            <w:rFonts w:ascii="Times New Roman" w:eastAsia="Times New Roman" w:hAnsi="Times New Roman" w:cs="Times New Roman"/>
            <w:color w:val="0000FF"/>
            <w:sz w:val="24"/>
            <w:szCs w:val="24"/>
            <w:u w:val="single"/>
          </w:rPr>
          <w:t>https://doi.org/10.1080/13803390601147686</w:t>
        </w:r>
      </w:hyperlink>
    </w:p>
    <w:p w14:paraId="5375A9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Birnboim, S., &amp; Miller, A. (2004). Cognitive Rehabilitation for Multiple Sclerosis Patients With Executive Dysfunction. </w:t>
      </w:r>
      <w:r w:rsidRPr="005B38F0">
        <w:rPr>
          <w:rFonts w:ascii="Times New Roman" w:eastAsia="Times New Roman" w:hAnsi="Times New Roman" w:cs="Times New Roman"/>
          <w:i/>
          <w:iCs/>
          <w:sz w:val="24"/>
          <w:szCs w:val="24"/>
        </w:rPr>
        <w:t>Journal of Cognitive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(4), 11–18.</w:t>
      </w:r>
    </w:p>
    <w:p w14:paraId="63FA1A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Biró, S., Lasztóczi, B., &amp; Klausberger, T. (2019). A visual two-choice rule-switch task for head-fixed mice. </w:t>
      </w:r>
      <w:r w:rsidRPr="005B38F0">
        <w:rPr>
          <w:rFonts w:ascii="Times New Roman" w:eastAsia="Times New Roman" w:hAnsi="Times New Roman" w:cs="Times New Roman"/>
          <w:i/>
          <w:iCs/>
          <w:sz w:val="24"/>
          <w:szCs w:val="24"/>
        </w:rPr>
        <w:t>Frontiers in Behavioral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528" w:history="1">
        <w:r w:rsidRPr="005B38F0">
          <w:rPr>
            <w:rFonts w:ascii="Times New Roman" w:eastAsia="Times New Roman" w:hAnsi="Times New Roman" w:cs="Times New Roman"/>
            <w:color w:val="0000FF"/>
            <w:sz w:val="24"/>
            <w:szCs w:val="24"/>
            <w:u w:val="single"/>
          </w:rPr>
          <w:t>https://doi.org/10.3389/fnbeh.2019.00119</w:t>
        </w:r>
      </w:hyperlink>
    </w:p>
    <w:p w14:paraId="0CE5C7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Birren, J. E., Botwinick, J., Weiss, A. D., &amp; Morrison, D. F. (1963). Interrelations of Mental and Perceptual Tests Given to Healthy Elderly Men. In </w:t>
      </w:r>
      <w:r w:rsidRPr="005B38F0">
        <w:rPr>
          <w:rFonts w:ascii="Times New Roman" w:eastAsia="Times New Roman" w:hAnsi="Times New Roman" w:cs="Times New Roman"/>
          <w:i/>
          <w:iCs/>
          <w:sz w:val="24"/>
          <w:szCs w:val="24"/>
        </w:rPr>
        <w:t xml:space="preserve">Human aging: A biological and </w:t>
      </w:r>
      <w:r w:rsidRPr="005B38F0">
        <w:rPr>
          <w:rFonts w:ascii="Times New Roman" w:eastAsia="Times New Roman" w:hAnsi="Times New Roman" w:cs="Times New Roman"/>
          <w:i/>
          <w:iCs/>
          <w:sz w:val="24"/>
          <w:szCs w:val="24"/>
        </w:rPr>
        <w:lastRenderedPageBreak/>
        <w:t>behavioral study.</w:t>
      </w:r>
      <w:r w:rsidRPr="005B38F0">
        <w:rPr>
          <w:rFonts w:ascii="Times New Roman" w:eastAsia="Times New Roman" w:hAnsi="Times New Roman" w:cs="Times New Roman"/>
          <w:sz w:val="24"/>
          <w:szCs w:val="24"/>
        </w:rPr>
        <w:t xml:space="preserve"> (pp. 143–156). US Dept of Health, Education, &amp; Welfare. </w:t>
      </w:r>
      <w:hyperlink r:id="rId529" w:history="1">
        <w:r w:rsidRPr="005B38F0">
          <w:rPr>
            <w:rFonts w:ascii="Times New Roman" w:eastAsia="Times New Roman" w:hAnsi="Times New Roman" w:cs="Times New Roman"/>
            <w:color w:val="0000FF"/>
            <w:sz w:val="24"/>
            <w:szCs w:val="24"/>
            <w:u w:val="single"/>
          </w:rPr>
          <w:t>https://doi.org/10.1037/10776-010</w:t>
        </w:r>
      </w:hyperlink>
    </w:p>
    <w:p w14:paraId="6622BE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Bischoff-Grethe, A., McCurdy, D., Grenesko-Stevens, E., Irvine, L. E. (Zoe), Wagner, A., Yau, W.-Y. W., Fennema-Notestine, C., Wierenga, C. E., Fudge, J. L., Delgado, M. R., &amp; Kaye, W. H. (2013). Altered brain response to reward and punishment in adolescents with </w:t>
      </w:r>
      <w:r w:rsidRPr="005B38F0">
        <w:rPr>
          <w:rFonts w:ascii="Times New Roman" w:eastAsia="Times New Roman" w:hAnsi="Times New Roman" w:cs="Times New Roman"/>
          <w:sz w:val="24"/>
          <w:szCs w:val="24"/>
        </w:rPr>
        <w:lastRenderedPageBreak/>
        <w:t xml:space="preserve">Anorexia nervosa.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214</w:t>
      </w:r>
      <w:r w:rsidRPr="005B38F0">
        <w:rPr>
          <w:rFonts w:ascii="Times New Roman" w:eastAsia="Times New Roman" w:hAnsi="Times New Roman" w:cs="Times New Roman"/>
          <w:sz w:val="24"/>
          <w:szCs w:val="24"/>
        </w:rPr>
        <w:t xml:space="preserve">(3), 331–340. </w:t>
      </w:r>
      <w:hyperlink r:id="rId530" w:history="1">
        <w:r w:rsidRPr="005B38F0">
          <w:rPr>
            <w:rFonts w:ascii="Times New Roman" w:eastAsia="Times New Roman" w:hAnsi="Times New Roman" w:cs="Times New Roman"/>
            <w:color w:val="0000FF"/>
            <w:sz w:val="24"/>
            <w:szCs w:val="24"/>
            <w:u w:val="single"/>
          </w:rPr>
          <w:t>https://doi.org/10.1016/j.pscychresns.2013.07.004</w:t>
        </w:r>
      </w:hyperlink>
    </w:p>
    <w:p w14:paraId="5DE5E3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Bisecco, A., Rocca, M. A., Pagani, E., Mancini, L., Enzinger, C., Gallo, A., Vrenken, H., Stromillo, M. L., Copetti, M., Thomas, D. L., Fazekas, F., Tedeschi, G., Barkhof, F., De Stefano, N., &amp; Filippi, M. (2015). Connectivity‐based parcellation of the thalamus in multiple sclerosis and its implications for cognitive impairment: A multicenter study.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(7), 2809–2825. </w:t>
      </w:r>
      <w:hyperlink r:id="rId531" w:history="1">
        <w:r w:rsidRPr="005B38F0">
          <w:rPr>
            <w:rFonts w:ascii="Times New Roman" w:eastAsia="Times New Roman" w:hAnsi="Times New Roman" w:cs="Times New Roman"/>
            <w:color w:val="0000FF"/>
            <w:sz w:val="24"/>
            <w:szCs w:val="24"/>
            <w:u w:val="single"/>
          </w:rPr>
          <w:t>https://doi.org/10.1002/hbm.22809</w:t>
        </w:r>
      </w:hyperlink>
    </w:p>
    <w:p w14:paraId="575FAA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Bishara, A. J., Kruschke, J. K., Stout, J. C., Bechara, A., McCabe, D. P., &amp; Busemeyer, J. R. (2010). Sequential learning models for the Wisconsin card sort task: Assessing processes in substance dependent individuals. </w:t>
      </w:r>
      <w:r w:rsidRPr="005B38F0">
        <w:rPr>
          <w:rFonts w:ascii="Times New Roman" w:eastAsia="Times New Roman" w:hAnsi="Times New Roman" w:cs="Times New Roman"/>
          <w:i/>
          <w:iCs/>
          <w:sz w:val="24"/>
          <w:szCs w:val="24"/>
        </w:rPr>
        <w:t>Journal of Mathematical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(1), 5–13. </w:t>
      </w:r>
      <w:hyperlink r:id="rId532" w:history="1">
        <w:r w:rsidRPr="005B38F0">
          <w:rPr>
            <w:rFonts w:ascii="Times New Roman" w:eastAsia="Times New Roman" w:hAnsi="Times New Roman" w:cs="Times New Roman"/>
            <w:color w:val="0000FF"/>
            <w:sz w:val="24"/>
            <w:szCs w:val="24"/>
            <w:u w:val="single"/>
          </w:rPr>
          <w:t>https://doi.org/10.1016/j.jmp.2008.10.002</w:t>
        </w:r>
      </w:hyperlink>
    </w:p>
    <w:p w14:paraId="0C2B10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Biskin, R. S., Paris, J., Renaud, J., Raz, A., &amp; Zelkowitz, P. (2011). Outcomes in women diagnosed with borderline personality disorder in adolescence. </w:t>
      </w:r>
      <w:r w:rsidRPr="005B38F0">
        <w:rPr>
          <w:rFonts w:ascii="Times New Roman" w:eastAsia="Times New Roman" w:hAnsi="Times New Roman" w:cs="Times New Roman"/>
          <w:i/>
          <w:iCs/>
          <w:sz w:val="24"/>
          <w:szCs w:val="24"/>
        </w:rPr>
        <w:t>Journal of the Canadian Academy of Child and Adolescent Psychiatry / Journal de l’Académie Canadienne de Psychiatrie de l’enfant et de l’adolescent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(3), 168–174.</w:t>
      </w:r>
    </w:p>
    <w:p w14:paraId="6B285A0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Bitan, T., Simic, T., Saverino, C., Jones, C., Glazer, J., Collela, B., Wiseman-Hakes, C., Green, R., &amp; Rochon, E. (2018). Changes in resting-state connectivity following melody-based </w:t>
      </w:r>
      <w:r w:rsidRPr="005B38F0">
        <w:rPr>
          <w:rFonts w:ascii="Times New Roman" w:eastAsia="Times New Roman" w:hAnsi="Times New Roman" w:cs="Times New Roman"/>
          <w:sz w:val="24"/>
          <w:szCs w:val="24"/>
        </w:rPr>
        <w:lastRenderedPageBreak/>
        <w:t xml:space="preserve">therapy in a patient with aphasia. </w:t>
      </w:r>
      <w:r w:rsidRPr="005B38F0">
        <w:rPr>
          <w:rFonts w:ascii="Times New Roman" w:eastAsia="Times New Roman" w:hAnsi="Times New Roman" w:cs="Times New Roman"/>
          <w:i/>
          <w:iCs/>
          <w:sz w:val="24"/>
          <w:szCs w:val="24"/>
        </w:rPr>
        <w:t>Neural Plasticity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2018</w:t>
      </w:r>
      <w:r w:rsidRPr="005B38F0">
        <w:rPr>
          <w:rFonts w:ascii="Times New Roman" w:eastAsia="Times New Roman" w:hAnsi="Times New Roman" w:cs="Times New Roman"/>
          <w:sz w:val="24"/>
          <w:szCs w:val="24"/>
        </w:rPr>
        <w:t xml:space="preserve">. </w:t>
      </w:r>
      <w:hyperlink r:id="rId533" w:history="1">
        <w:r w:rsidRPr="005B38F0">
          <w:rPr>
            <w:rFonts w:ascii="Times New Roman" w:eastAsia="Times New Roman" w:hAnsi="Times New Roman" w:cs="Times New Roman"/>
            <w:color w:val="0000FF"/>
            <w:sz w:val="24"/>
            <w:szCs w:val="24"/>
            <w:u w:val="single"/>
          </w:rPr>
          <w:t>https://doi.org/10.1155/2018/6214095</w:t>
        </w:r>
      </w:hyperlink>
    </w:p>
    <w:p w14:paraId="0613A5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Bittner, D., Grön, G., Schirrmeister, H., Reske, S. N., &amp; Riepe, M. W. (2004). [</w:t>
      </w:r>
      <w:r w:rsidRPr="005B38F0">
        <w:rPr>
          <w:rFonts w:ascii="Times New Roman" w:eastAsia="Times New Roman" w:hAnsi="Times New Roman" w:cs="Times New Roman"/>
          <w:sz w:val="24"/>
          <w:szCs w:val="24"/>
          <w:vertAlign w:val="superscript"/>
        </w:rPr>
        <w:t>18</w:t>
      </w:r>
      <w:r w:rsidRPr="005B38F0">
        <w:rPr>
          <w:rFonts w:ascii="Times New Roman" w:eastAsia="Times New Roman" w:hAnsi="Times New Roman" w:cs="Times New Roman"/>
          <w:sz w:val="24"/>
          <w:szCs w:val="24"/>
        </w:rPr>
        <w:t xml:space="preserve">F]FDG-PET in Patients with Alzheimer’s Disease: Marker of Disease Spread.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24–30. </w:t>
      </w:r>
      <w:hyperlink r:id="rId534" w:history="1">
        <w:r w:rsidRPr="005B38F0">
          <w:rPr>
            <w:rFonts w:ascii="Times New Roman" w:eastAsia="Times New Roman" w:hAnsi="Times New Roman" w:cs="Times New Roman"/>
            <w:color w:val="0000FF"/>
            <w:sz w:val="24"/>
            <w:szCs w:val="24"/>
            <w:u w:val="single"/>
          </w:rPr>
          <w:t>https://doi.org/10.1159/000080967</w:t>
        </w:r>
      </w:hyperlink>
    </w:p>
    <w:p w14:paraId="3ACD68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Bivona, U., Costa, A., Contrada, M., Silvestro, D., Azicnuda, E., Aloisi, M., Catania, G., Ciurli, P., Guariglia, C., Caltagirone, C., Formisano, R., &amp; Prigatano, G. P. (2019). Depression, apathy and impaired self-awareness following severe traumatic brain injury: A preliminary investigation.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(9), 1245–1256. </w:t>
      </w:r>
      <w:hyperlink r:id="rId535" w:history="1">
        <w:r w:rsidRPr="005B38F0">
          <w:rPr>
            <w:rFonts w:ascii="Times New Roman" w:eastAsia="Times New Roman" w:hAnsi="Times New Roman" w:cs="Times New Roman"/>
            <w:color w:val="0000FF"/>
            <w:sz w:val="24"/>
            <w:szCs w:val="24"/>
            <w:u w:val="single"/>
          </w:rPr>
          <w:t>https://doi.org/10.1080/02699052.2019.1641225</w:t>
        </w:r>
      </w:hyperlink>
    </w:p>
    <w:p w14:paraId="7526DA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Bivona, U., Formisano, R., De Laurentiis, S., Accetta, N., Di Cosimo, M. R., Massicci, R., Ciurli, P., Azicnuda, E., Silvestro, D., &amp; Sabatini, U. (2015). Theory of mind impairment after severe traumatic brain injury and its relationship with caregivers’ quality of life. </w:t>
      </w:r>
      <w:r w:rsidRPr="005B38F0">
        <w:rPr>
          <w:rFonts w:ascii="Times New Roman" w:eastAsia="Times New Roman" w:hAnsi="Times New Roman" w:cs="Times New Roman"/>
          <w:i/>
          <w:iCs/>
          <w:sz w:val="24"/>
          <w:szCs w:val="24"/>
        </w:rPr>
        <w:t>Restorative Neurology and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335–345. </w:t>
      </w:r>
      <w:hyperlink r:id="rId536" w:history="1">
        <w:r w:rsidRPr="005B38F0">
          <w:rPr>
            <w:rFonts w:ascii="Times New Roman" w:eastAsia="Times New Roman" w:hAnsi="Times New Roman" w:cs="Times New Roman"/>
            <w:color w:val="0000FF"/>
            <w:sz w:val="24"/>
            <w:szCs w:val="24"/>
            <w:u w:val="single"/>
          </w:rPr>
          <w:t>https://doi.org/10.3233/RNN-140484</w:t>
        </w:r>
      </w:hyperlink>
    </w:p>
    <w:p w14:paraId="6E99C8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Bivona, U., Riccio, A., Ciurli, P., Carlesimo, G. A., Delle Donne, V., Pizzonia, E., Caltagirone, C., Formisano, R., &amp; Costa, A. (2014). Low self-awareness of individuals with severe traumatic brain injury can lead to reduced ability to take another person’s perspective.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157–171. </w:t>
      </w:r>
      <w:hyperlink r:id="rId537" w:history="1">
        <w:r w:rsidRPr="005B38F0">
          <w:rPr>
            <w:rFonts w:ascii="Times New Roman" w:eastAsia="Times New Roman" w:hAnsi="Times New Roman" w:cs="Times New Roman"/>
            <w:color w:val="0000FF"/>
            <w:sz w:val="24"/>
            <w:szCs w:val="24"/>
            <w:u w:val="single"/>
          </w:rPr>
          <w:t>https://doi.org/10.1097/HTR.0b013e3182864f0b</w:t>
        </w:r>
      </w:hyperlink>
    </w:p>
    <w:p w14:paraId="1CAFB7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Bixler, E. O., Vgontzas, A., &amp; Calhoun, S. (2009). The Penn State Child Cohort: Diagnostic criteria and possible etiologic factors of sleep apnea based on objective clinical outcomes. </w:t>
      </w:r>
      <w:r w:rsidRPr="005B38F0">
        <w:rPr>
          <w:rFonts w:ascii="Times New Roman" w:eastAsia="Times New Roman" w:hAnsi="Times New Roman" w:cs="Times New Roman"/>
          <w:i/>
          <w:iCs/>
          <w:sz w:val="24"/>
          <w:szCs w:val="24"/>
        </w:rPr>
        <w:t>Sleep Medicine Clinics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 1–8. </w:t>
      </w:r>
      <w:hyperlink r:id="rId538" w:history="1">
        <w:r w:rsidRPr="005B38F0">
          <w:rPr>
            <w:rFonts w:ascii="Times New Roman" w:eastAsia="Times New Roman" w:hAnsi="Times New Roman" w:cs="Times New Roman"/>
            <w:color w:val="0000FF"/>
            <w:sz w:val="24"/>
            <w:szCs w:val="24"/>
            <w:u w:val="single"/>
          </w:rPr>
          <w:t>https://doi.org/10.1016/j.jsmc.2009.01.002</w:t>
        </w:r>
      </w:hyperlink>
    </w:p>
    <w:p w14:paraId="1C2E8A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Black, D. N., Althoff, R. R., Daye, K., &amp; Pelletier, C. A. (2005). Lethal Obesity Associated with Sodium Valproate in a Brain-Injured Patient.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98–101. </w:t>
      </w:r>
      <w:hyperlink r:id="rId539" w:history="1">
        <w:r w:rsidRPr="005B38F0">
          <w:rPr>
            <w:rFonts w:ascii="Times New Roman" w:eastAsia="Times New Roman" w:hAnsi="Times New Roman" w:cs="Times New Roman"/>
            <w:color w:val="0000FF"/>
            <w:sz w:val="24"/>
            <w:szCs w:val="24"/>
            <w:u w:val="single"/>
          </w:rPr>
          <w:t>https://doi.org/10.1097/01.wnn.0000152204.71409.2e</w:t>
        </w:r>
      </w:hyperlink>
    </w:p>
    <w:p w14:paraId="408841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W., Forbush, K. T., Langer, A., Shaw, M., Graeber, M. A., Moser, D. J., Bayless, J., Watson, D., Hovick, L., Meyer, V. J., &amp; Blum, N. (2009). The neuropsychology of borderline personality disorder: A preliminary study on the predictive variance of neuropsychological tests vs. Personality trait dimensions. </w:t>
      </w:r>
      <w:r w:rsidRPr="005B38F0">
        <w:rPr>
          <w:rFonts w:ascii="Times New Roman" w:eastAsia="Times New Roman" w:hAnsi="Times New Roman" w:cs="Times New Roman"/>
          <w:i/>
          <w:iCs/>
          <w:sz w:val="24"/>
          <w:szCs w:val="24"/>
        </w:rPr>
        <w:t>Personality and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(2), 128–141. </w:t>
      </w:r>
      <w:hyperlink r:id="rId540" w:history="1">
        <w:r w:rsidRPr="005B38F0">
          <w:rPr>
            <w:rFonts w:ascii="Times New Roman" w:eastAsia="Times New Roman" w:hAnsi="Times New Roman" w:cs="Times New Roman"/>
            <w:color w:val="0000FF"/>
            <w:sz w:val="24"/>
            <w:szCs w:val="24"/>
            <w:u w:val="single"/>
          </w:rPr>
          <w:t>https://doi.org/10.1002/pmh.63</w:t>
        </w:r>
      </w:hyperlink>
    </w:p>
    <w:p w14:paraId="46556D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W., Shaw, M., McCormick, B., Bayless, J. D., &amp; Allen, J. (2012). Neuropsychological performance, impulsivity, ADHD symptoms, and novelty seeking in compulsive buying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(2–3), 581–587. </w:t>
      </w:r>
      <w:hyperlink r:id="rId541" w:history="1">
        <w:r w:rsidRPr="005B38F0">
          <w:rPr>
            <w:rFonts w:ascii="Times New Roman" w:eastAsia="Times New Roman" w:hAnsi="Times New Roman" w:cs="Times New Roman"/>
            <w:color w:val="0000FF"/>
            <w:sz w:val="24"/>
            <w:szCs w:val="24"/>
            <w:u w:val="single"/>
          </w:rPr>
          <w:t>https://doi.org/10.1016/j.psychres.2012.06.003</w:t>
        </w:r>
      </w:hyperlink>
    </w:p>
    <w:p w14:paraId="564A0F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D. W., Smith, M. M., Forbush, K. T., Shaw, M. C., McCormick, B. A., Moser, D. J., &amp; Allen, J. M. (2013). Neuropsychological performance, impulsivity, symptoms of ADHD, and Cloninger’s personality traits in pathological gambling. </w:t>
      </w:r>
      <w:r w:rsidRPr="005B38F0">
        <w:rPr>
          <w:rFonts w:ascii="Times New Roman" w:eastAsia="Times New Roman" w:hAnsi="Times New Roman" w:cs="Times New Roman"/>
          <w:i/>
          <w:iCs/>
          <w:sz w:val="24"/>
          <w:szCs w:val="24"/>
        </w:rPr>
        <w:t>Addiction Research &amp; Theory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216–226. </w:t>
      </w:r>
      <w:hyperlink r:id="rId542" w:history="1">
        <w:r w:rsidRPr="005B38F0">
          <w:rPr>
            <w:rFonts w:ascii="Times New Roman" w:eastAsia="Times New Roman" w:hAnsi="Times New Roman" w:cs="Times New Roman"/>
            <w:color w:val="0000FF"/>
            <w:sz w:val="24"/>
            <w:szCs w:val="24"/>
            <w:u w:val="single"/>
          </w:rPr>
          <w:t>https://doi.org/10.3109/16066359.2012.705399</w:t>
        </w:r>
      </w:hyperlink>
    </w:p>
    <w:p w14:paraId="72432A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 L. C., Schefft, B. K., Howe, S. R., Szaflarski, J. P., Yeh, H., &amp; Privitera, M. D. (2010). The effect of seizures on working memory and executive functioning performance.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412–419. </w:t>
      </w:r>
      <w:hyperlink r:id="rId543" w:history="1">
        <w:r w:rsidRPr="005B38F0">
          <w:rPr>
            <w:rFonts w:ascii="Times New Roman" w:eastAsia="Times New Roman" w:hAnsi="Times New Roman" w:cs="Times New Roman"/>
            <w:color w:val="0000FF"/>
            <w:sz w:val="24"/>
            <w:szCs w:val="24"/>
            <w:u w:val="single"/>
          </w:rPr>
          <w:t>https://doi.org/10.1016/j.yebeh.2010.01.006</w:t>
        </w:r>
      </w:hyperlink>
    </w:p>
    <w:p w14:paraId="15B5E2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Blackstone, K., Moore, D. J., Franklin, D. R., Clifford, D. B., Collier, A. C., Marra, C. M., Gelman, B. B., McArthur, J. C., Morgello, S., Simpson, D. M., Ellis, R. J., Atkinson, J. H., Grant, I., &amp; Heaton, R. K. (2012). Defining neurocognitive impairment in HIV: Deficit </w:t>
      </w:r>
      <w:r w:rsidRPr="005B38F0">
        <w:rPr>
          <w:rFonts w:ascii="Times New Roman" w:eastAsia="Times New Roman" w:hAnsi="Times New Roman" w:cs="Times New Roman"/>
          <w:sz w:val="24"/>
          <w:szCs w:val="24"/>
        </w:rPr>
        <w:lastRenderedPageBreak/>
        <w:t xml:space="preserve">scores versus clinical ratings.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894–908. </w:t>
      </w:r>
      <w:hyperlink r:id="rId544" w:history="1">
        <w:r w:rsidRPr="005B38F0">
          <w:rPr>
            <w:rFonts w:ascii="Times New Roman" w:eastAsia="Times New Roman" w:hAnsi="Times New Roman" w:cs="Times New Roman"/>
            <w:color w:val="0000FF"/>
            <w:sz w:val="24"/>
            <w:szCs w:val="24"/>
            <w:u w:val="single"/>
          </w:rPr>
          <w:t>https://doi.org/10.1080/13854046.2012.694479</w:t>
        </w:r>
      </w:hyperlink>
    </w:p>
    <w:p w14:paraId="7DC506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Blake, G. A., &amp; Ogloff, J. R. P. (2021). The correlates of unfitness to stand trial in Victoria, Australia. </w:t>
      </w:r>
      <w:r w:rsidRPr="005B38F0">
        <w:rPr>
          <w:rFonts w:ascii="Times New Roman" w:eastAsia="Times New Roman" w:hAnsi="Times New Roman" w:cs="Times New Roman"/>
          <w:i/>
          <w:iCs/>
          <w:sz w:val="24"/>
          <w:szCs w:val="24"/>
        </w:rPr>
        <w:t>The International Journal of Forensic Mental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48–62. </w:t>
      </w:r>
      <w:hyperlink r:id="rId545" w:history="1">
        <w:r w:rsidRPr="005B38F0">
          <w:rPr>
            <w:rFonts w:ascii="Times New Roman" w:eastAsia="Times New Roman" w:hAnsi="Times New Roman" w:cs="Times New Roman"/>
            <w:color w:val="0000FF"/>
            <w:sz w:val="24"/>
            <w:szCs w:val="24"/>
            <w:u w:val="single"/>
          </w:rPr>
          <w:t>https://doi.org/10.1080/14999013.2020.1812013</w:t>
        </w:r>
      </w:hyperlink>
    </w:p>
    <w:p w14:paraId="0A970A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Blake-Greenberg, K. (2003). </w:t>
      </w:r>
      <w:r w:rsidRPr="005B38F0">
        <w:rPr>
          <w:rFonts w:ascii="Times New Roman" w:eastAsia="Times New Roman" w:hAnsi="Times New Roman" w:cs="Times New Roman"/>
          <w:i/>
          <w:iCs/>
          <w:sz w:val="24"/>
          <w:szCs w:val="24"/>
        </w:rPr>
        <w:t>A comparison of problem-solving abilities in add children with and without hyperactivity.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(1-B), 408–408.</w:t>
      </w:r>
    </w:p>
    <w:p w14:paraId="5F6F65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Blanch, J., Muñoz-Moreno, J. A., Reverte, R., &amp; Ayuso-Mateos, J. L. (2012). Neurocognitive deficits in patients with human immunodeficiency virus infection. In </w:t>
      </w:r>
      <w:r w:rsidRPr="005B38F0">
        <w:rPr>
          <w:rFonts w:ascii="Times New Roman" w:eastAsia="Times New Roman" w:hAnsi="Times New Roman" w:cs="Times New Roman"/>
          <w:i/>
          <w:iCs/>
          <w:sz w:val="24"/>
          <w:szCs w:val="24"/>
        </w:rPr>
        <w:t>Neurobiology of psychiatric disorders.</w:t>
      </w:r>
      <w:r w:rsidRPr="005B38F0">
        <w:rPr>
          <w:rFonts w:ascii="Times New Roman" w:eastAsia="Times New Roman" w:hAnsi="Times New Roman" w:cs="Times New Roman"/>
          <w:sz w:val="24"/>
          <w:szCs w:val="24"/>
        </w:rPr>
        <w:t xml:space="preserve"> (pp. 589–605). Elsevier Science Publishers B.V. </w:t>
      </w:r>
      <w:hyperlink r:id="rId546" w:history="1">
        <w:r w:rsidRPr="005B38F0">
          <w:rPr>
            <w:rFonts w:ascii="Times New Roman" w:eastAsia="Times New Roman" w:hAnsi="Times New Roman" w:cs="Times New Roman"/>
            <w:color w:val="0000FF"/>
            <w:sz w:val="24"/>
            <w:szCs w:val="24"/>
            <w:u w:val="single"/>
          </w:rPr>
          <w:t>https://doi.org/10.1016/B978-0-444-52002-9.00035-8</w:t>
        </w:r>
      </w:hyperlink>
    </w:p>
    <w:p w14:paraId="4F9990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Blanco, N. J., Love, B. C., Ramscar, M., Otto, A. R., Smayda, K., &amp; Maddox, W. T. (2016). Exploratory decision-making as a function of lifelong experience, not cognitive decline. </w:t>
      </w:r>
      <w:r w:rsidRPr="005B38F0">
        <w:rPr>
          <w:rFonts w:ascii="Times New Roman" w:eastAsia="Times New Roman" w:hAnsi="Times New Roman" w:cs="Times New Roman"/>
          <w:i/>
          <w:iCs/>
          <w:sz w:val="24"/>
          <w:szCs w:val="24"/>
        </w:rPr>
        <w:lastRenderedPageBreak/>
        <w:t>Journal of Experimental Psychology: General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145</w:t>
      </w:r>
      <w:r w:rsidRPr="005B38F0">
        <w:rPr>
          <w:rFonts w:ascii="Times New Roman" w:eastAsia="Times New Roman" w:hAnsi="Times New Roman" w:cs="Times New Roman"/>
          <w:sz w:val="24"/>
          <w:szCs w:val="24"/>
        </w:rPr>
        <w:t xml:space="preserve">(3), 284–297. </w:t>
      </w:r>
      <w:hyperlink r:id="rId547" w:history="1">
        <w:r w:rsidRPr="005B38F0">
          <w:rPr>
            <w:rFonts w:ascii="Times New Roman" w:eastAsia="Times New Roman" w:hAnsi="Times New Roman" w:cs="Times New Roman"/>
            <w:color w:val="0000FF"/>
            <w:sz w:val="24"/>
            <w:szCs w:val="24"/>
            <w:u w:val="single"/>
          </w:rPr>
          <w:t>https://doi.org/10.1037/xge0000133</w:t>
        </w:r>
      </w:hyperlink>
    </w:p>
    <w:p w14:paraId="51428F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Bland, R., Farhall, J., Fernbacher, S., Fossey, E., Happell, B., Kazantzis, N., King, R., Meadows, G., Minas, H., Petrik, A. M., &amp; Willshire, D. (2012). Assessment: Specialised assessment skills. In </w:t>
      </w:r>
      <w:r w:rsidRPr="005B38F0">
        <w:rPr>
          <w:rFonts w:ascii="Times New Roman" w:eastAsia="Times New Roman" w:hAnsi="Times New Roman" w:cs="Times New Roman"/>
          <w:i/>
          <w:iCs/>
          <w:sz w:val="24"/>
          <w:szCs w:val="24"/>
        </w:rPr>
        <w:t>Mental health in Australia: Collaborative community practice, 3rd ed.</w:t>
      </w:r>
      <w:r w:rsidRPr="005B38F0">
        <w:rPr>
          <w:rFonts w:ascii="Times New Roman" w:eastAsia="Times New Roman" w:hAnsi="Times New Roman" w:cs="Times New Roman"/>
          <w:sz w:val="24"/>
          <w:szCs w:val="24"/>
        </w:rPr>
        <w:t xml:space="preserve"> (pp. 394–427). Oxford University Press.</w:t>
      </w:r>
    </w:p>
    <w:p w14:paraId="018DC8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Blankenship, T. L., &amp; Bell, M. A. (2015). Frontotemporal coherence and executive functions contribute to episodic memory during middle childhood.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(7–8), 430–444. </w:t>
      </w:r>
      <w:hyperlink r:id="rId548" w:history="1">
        <w:r w:rsidRPr="005B38F0">
          <w:rPr>
            <w:rFonts w:ascii="Times New Roman" w:eastAsia="Times New Roman" w:hAnsi="Times New Roman" w:cs="Times New Roman"/>
            <w:color w:val="0000FF"/>
            <w:sz w:val="24"/>
            <w:szCs w:val="24"/>
            <w:u w:val="single"/>
          </w:rPr>
          <w:t>https://doi.org/10.1080/87565641.2016.1153099</w:t>
        </w:r>
      </w:hyperlink>
    </w:p>
    <w:p w14:paraId="375CE6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Blasi, G., &amp; Bertolino, A. (2006). Imaging genomics and response to treatment with antipsychotics in schizophrenia. </w:t>
      </w:r>
      <w:r w:rsidRPr="005B38F0">
        <w:rPr>
          <w:rFonts w:ascii="Times New Roman" w:eastAsia="Times New Roman" w:hAnsi="Times New Roman" w:cs="Times New Roman"/>
          <w:i/>
          <w:iCs/>
          <w:sz w:val="24"/>
          <w:szCs w:val="24"/>
        </w:rPr>
        <w:t>NeuroRX®</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(1), 117–130. </w:t>
      </w:r>
      <w:hyperlink r:id="rId549" w:history="1">
        <w:r w:rsidRPr="005B38F0">
          <w:rPr>
            <w:rFonts w:ascii="Times New Roman" w:eastAsia="Times New Roman" w:hAnsi="Times New Roman" w:cs="Times New Roman"/>
            <w:color w:val="0000FF"/>
            <w:sz w:val="24"/>
            <w:szCs w:val="24"/>
            <w:u w:val="single"/>
          </w:rPr>
          <w:t>https://doi.org/10.1016/j.nurx.2005.12.001</w:t>
        </w:r>
      </w:hyperlink>
    </w:p>
    <w:p w14:paraId="01FF71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Blasi, G., De Virgilio, C., Papazacharias, A., Taurisano, P., Gelao, B., Fazio, L., Ursini, G., Sinibaldi, L., Andriola, I., Masellis, R., Romano, R., Rampino, A., Di Giorgio, A., Lo Bianco, L., Caforio, G., Piva, F., Popolizio, T., Bellantuono, C., Todarello, O., … Bertolino, A. (2013). Converging evidence for the association of functional genetic variation in the serotonin receptor 2a gene with prefrontal function and olanzapine treatment. </w:t>
      </w:r>
      <w:r w:rsidRPr="005B38F0">
        <w:rPr>
          <w:rFonts w:ascii="Times New Roman" w:eastAsia="Times New Roman" w:hAnsi="Times New Roman" w:cs="Times New Roman"/>
          <w:i/>
          <w:iCs/>
          <w:sz w:val="24"/>
          <w:szCs w:val="24"/>
        </w:rPr>
        <w:t>JAMA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70</w:t>
      </w:r>
      <w:r w:rsidRPr="005B38F0">
        <w:rPr>
          <w:rFonts w:ascii="Times New Roman" w:eastAsia="Times New Roman" w:hAnsi="Times New Roman" w:cs="Times New Roman"/>
          <w:sz w:val="24"/>
          <w:szCs w:val="24"/>
        </w:rPr>
        <w:t xml:space="preserve">(9), 921–930. </w:t>
      </w:r>
      <w:hyperlink r:id="rId550" w:history="1">
        <w:r w:rsidRPr="005B38F0">
          <w:rPr>
            <w:rFonts w:ascii="Times New Roman" w:eastAsia="Times New Roman" w:hAnsi="Times New Roman" w:cs="Times New Roman"/>
            <w:color w:val="0000FF"/>
            <w:sz w:val="24"/>
            <w:szCs w:val="24"/>
            <w:u w:val="single"/>
          </w:rPr>
          <w:t>https://doi.org/10.1001/jamapsychiatry.2013.1378</w:t>
        </w:r>
      </w:hyperlink>
    </w:p>
    <w:p w14:paraId="3FB52B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Bliokas, V. V., Taylor, J. E., Leung, J., &amp; Deane, F. P. (2011). Neuropsychological assessment of fitness to drive following acquired cognitive impairment.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(5), 471–487. </w:t>
      </w:r>
      <w:hyperlink r:id="rId551" w:history="1">
        <w:r w:rsidRPr="005B38F0">
          <w:rPr>
            <w:rFonts w:ascii="Times New Roman" w:eastAsia="Times New Roman" w:hAnsi="Times New Roman" w:cs="Times New Roman"/>
            <w:color w:val="0000FF"/>
            <w:sz w:val="24"/>
            <w:szCs w:val="24"/>
            <w:u w:val="single"/>
          </w:rPr>
          <w:t>https://doi.org/10.3109/02699052.2011.559609</w:t>
        </w:r>
      </w:hyperlink>
    </w:p>
    <w:p w14:paraId="2456C8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Blokland, G. A. M., del Re, E. C., Mesholam-Gately, R. I., Jovicich, J., Trampush, J. W., Keshavan, M. S., DeLisi, L. E., Walters, J. T. R., Turner, J. A., Malhotra, A. K., Lencz, T., Shenton, M. E., Voineskos, A. N., Rujescu, D., Giegling, I., Kahn, R. S., Roffman, J. L., Holt, D. J., Ehrlich, S., … Petryshen, T. L. (2018). The Genetics of Endophenotypes of Neurofunction to Understand Schizophrenia (GENUS) consortium: A collaborative cognitive and neuroimaging genetics project .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195</w:t>
      </w:r>
      <w:r w:rsidRPr="005B38F0">
        <w:rPr>
          <w:rFonts w:ascii="Times New Roman" w:eastAsia="Times New Roman" w:hAnsi="Times New Roman" w:cs="Times New Roman"/>
          <w:sz w:val="24"/>
          <w:szCs w:val="24"/>
        </w:rPr>
        <w:t xml:space="preserve">, 306–317. </w:t>
      </w:r>
      <w:hyperlink r:id="rId552" w:history="1">
        <w:r w:rsidRPr="005B38F0">
          <w:rPr>
            <w:rFonts w:ascii="Times New Roman" w:eastAsia="Times New Roman" w:hAnsi="Times New Roman" w:cs="Times New Roman"/>
            <w:color w:val="0000FF"/>
            <w:sz w:val="24"/>
            <w:szCs w:val="24"/>
            <w:u w:val="single"/>
          </w:rPr>
          <w:t>https://doi.org/10.1016/j.schres.2017.09.024</w:t>
        </w:r>
      </w:hyperlink>
    </w:p>
    <w:p w14:paraId="304E3D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Blume, A. W., &amp; Marlatt, G. A. (2009). The role of executive functions in changing substance use: What we know and what we need to know. </w:t>
      </w:r>
      <w:r w:rsidRPr="005B38F0">
        <w:rPr>
          <w:rFonts w:ascii="Times New Roman" w:eastAsia="Times New Roman" w:hAnsi="Times New Roman" w:cs="Times New Roman"/>
          <w:i/>
          <w:iCs/>
          <w:sz w:val="24"/>
          <w:szCs w:val="24"/>
        </w:rPr>
        <w:t>Annals of Behavioral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(2), 117–125. </w:t>
      </w:r>
      <w:hyperlink r:id="rId553" w:history="1">
        <w:r w:rsidRPr="005B38F0">
          <w:rPr>
            <w:rFonts w:ascii="Times New Roman" w:eastAsia="Times New Roman" w:hAnsi="Times New Roman" w:cs="Times New Roman"/>
            <w:color w:val="0000FF"/>
            <w:sz w:val="24"/>
            <w:szCs w:val="24"/>
            <w:u w:val="single"/>
          </w:rPr>
          <w:t>https://doi.org/10.1007/s12160-009-9093-8</w:t>
        </w:r>
      </w:hyperlink>
    </w:p>
    <w:p w14:paraId="448761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Blume, A. W., Schmaling, K. B., &amp; Marlatt, G. A. (2005). Memory, executive cognitive function, and readiness to change drinking behavior.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301–314. </w:t>
      </w:r>
      <w:hyperlink r:id="rId554" w:history="1">
        <w:r w:rsidRPr="005B38F0">
          <w:rPr>
            <w:rFonts w:ascii="Times New Roman" w:eastAsia="Times New Roman" w:hAnsi="Times New Roman" w:cs="Times New Roman"/>
            <w:color w:val="0000FF"/>
            <w:sz w:val="24"/>
            <w:szCs w:val="24"/>
            <w:u w:val="single"/>
          </w:rPr>
          <w:t>https://doi.org/10.1016/j.addbeh.2004.05.019</w:t>
        </w:r>
      </w:hyperlink>
    </w:p>
    <w:p w14:paraId="18A7C0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Blumen, S. C., Bouchard, J.-P., Brais, B., Carasso, R. L., Paleacu, D., Drory, V. E., Chantal, S., Blumen, N., &amp; Braverman, I. (2009). Cognitive impairment and reduced life span of oculopharyngeal muscular dystrophy homozygotes.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73</w:t>
      </w:r>
      <w:r w:rsidRPr="005B38F0">
        <w:rPr>
          <w:rFonts w:ascii="Times New Roman" w:eastAsia="Times New Roman" w:hAnsi="Times New Roman" w:cs="Times New Roman"/>
          <w:sz w:val="24"/>
          <w:szCs w:val="24"/>
        </w:rPr>
        <w:t xml:space="preserve">(8), 596–601. </w:t>
      </w:r>
      <w:hyperlink r:id="rId555" w:history="1">
        <w:r w:rsidRPr="005B38F0">
          <w:rPr>
            <w:rFonts w:ascii="Times New Roman" w:eastAsia="Times New Roman" w:hAnsi="Times New Roman" w:cs="Times New Roman"/>
            <w:color w:val="0000FF"/>
            <w:sz w:val="24"/>
            <w:szCs w:val="24"/>
            <w:u w:val="single"/>
          </w:rPr>
          <w:t>https://doi.org/10.1212/WNL.0b013e3181b388a3</w:t>
        </w:r>
      </w:hyperlink>
    </w:p>
    <w:p w14:paraId="76A247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Blumenau, J., &amp; Broom, Y. (2011). Performance of South African adolescents on two versions of the Rey Auditory Verbal Learning Test. </w:t>
      </w:r>
      <w:r w:rsidRPr="005B38F0">
        <w:rPr>
          <w:rFonts w:ascii="Times New Roman" w:eastAsia="Times New Roman" w:hAnsi="Times New Roman" w:cs="Times New Roman"/>
          <w:i/>
          <w:iCs/>
          <w:sz w:val="24"/>
          <w:szCs w:val="24"/>
        </w:rPr>
        <w:t>South African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(2), 228–238. </w:t>
      </w:r>
      <w:hyperlink r:id="rId556" w:history="1">
        <w:r w:rsidRPr="005B38F0">
          <w:rPr>
            <w:rFonts w:ascii="Times New Roman" w:eastAsia="Times New Roman" w:hAnsi="Times New Roman" w:cs="Times New Roman"/>
            <w:color w:val="0000FF"/>
            <w:sz w:val="24"/>
            <w:szCs w:val="24"/>
            <w:u w:val="single"/>
          </w:rPr>
          <w:t>https://doi.org/10.1177/008124631104100211</w:t>
        </w:r>
      </w:hyperlink>
    </w:p>
    <w:p w14:paraId="4A8BB1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Boa, I. N. F., de Medeiros Rimkus, C., Campanholo, K. R., Pereira, S. L. A., de Faria Junqueira, T., de Almeida Rodrigues Machado, M., Callegaro, D., Otaduy, M. C. G., da Costa Leite, C., &amp; Miotto, E. C. (2018). Longitudinal analysis of verbal episodic memory in patients with relapsing-remitting multiple sclerosis.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(5), 302–309. </w:t>
      </w:r>
      <w:hyperlink r:id="rId557" w:history="1">
        <w:r w:rsidRPr="005B38F0">
          <w:rPr>
            <w:rFonts w:ascii="Times New Roman" w:eastAsia="Times New Roman" w:hAnsi="Times New Roman" w:cs="Times New Roman"/>
            <w:color w:val="0000FF"/>
            <w:sz w:val="24"/>
            <w:szCs w:val="24"/>
            <w:u w:val="single"/>
          </w:rPr>
          <w:t>https://doi.org/10.1590/0004-282x20180038</w:t>
        </w:r>
      </w:hyperlink>
    </w:p>
    <w:p w14:paraId="6C154E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Boada, R., Janusz, J., Hutaff-Lee, C., &amp; Tartaglia, N. (2009). The cognitive phenotype in Klinefelter syndrome: A review of the literature including genetic and hormonal factors. </w:t>
      </w:r>
      <w:r w:rsidRPr="005B38F0">
        <w:rPr>
          <w:rFonts w:ascii="Times New Roman" w:eastAsia="Times New Roman" w:hAnsi="Times New Roman" w:cs="Times New Roman"/>
          <w:i/>
          <w:iCs/>
          <w:sz w:val="24"/>
          <w:szCs w:val="24"/>
        </w:rPr>
        <w:t>Developmental Disabilities Research Reviews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(4), 284–294. </w:t>
      </w:r>
      <w:hyperlink r:id="rId558" w:history="1">
        <w:r w:rsidRPr="005B38F0">
          <w:rPr>
            <w:rFonts w:ascii="Times New Roman" w:eastAsia="Times New Roman" w:hAnsi="Times New Roman" w:cs="Times New Roman"/>
            <w:color w:val="0000FF"/>
            <w:sz w:val="24"/>
            <w:szCs w:val="24"/>
            <w:u w:val="single"/>
          </w:rPr>
          <w:t>https://doi.org/10.1002/ddrr.83</w:t>
        </w:r>
      </w:hyperlink>
    </w:p>
    <w:p w14:paraId="087F652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Boban, M., Črnac, P., Junaković, A., Garami, Z., &amp; Malojčić, B. (2014). Blood flow velocity changes in anterior cerebral arteries during cognitive tasks performance.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84</w:t>
      </w:r>
      <w:r w:rsidRPr="005B38F0">
        <w:rPr>
          <w:rFonts w:ascii="Times New Roman" w:eastAsia="Times New Roman" w:hAnsi="Times New Roman" w:cs="Times New Roman"/>
          <w:sz w:val="24"/>
          <w:szCs w:val="24"/>
        </w:rPr>
        <w:t xml:space="preserve">(1), 26–33. </w:t>
      </w:r>
      <w:hyperlink r:id="rId559" w:history="1">
        <w:r w:rsidRPr="005B38F0">
          <w:rPr>
            <w:rFonts w:ascii="Times New Roman" w:eastAsia="Times New Roman" w:hAnsi="Times New Roman" w:cs="Times New Roman"/>
            <w:color w:val="0000FF"/>
            <w:sz w:val="24"/>
            <w:szCs w:val="24"/>
            <w:u w:val="single"/>
          </w:rPr>
          <w:t>https://doi.org/10.1016/j.bandc.2013.10.006</w:t>
        </w:r>
      </w:hyperlink>
    </w:p>
    <w:p w14:paraId="1A576B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Boban, M., Malojčić, B., Mimica, N., Vuković, S., &amp; Zrilić, I. (2012). The frontal assessment battery in the differential diagnosis of dementia. </w:t>
      </w:r>
      <w:r w:rsidRPr="005B38F0">
        <w:rPr>
          <w:rFonts w:ascii="Times New Roman" w:eastAsia="Times New Roman" w:hAnsi="Times New Roman" w:cs="Times New Roman"/>
          <w:i/>
          <w:iCs/>
          <w:sz w:val="24"/>
          <w:szCs w:val="24"/>
        </w:rPr>
        <w:t>Journal of Geriatric Psychiatry and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201–207. </w:t>
      </w:r>
      <w:hyperlink r:id="rId560" w:history="1">
        <w:r w:rsidRPr="005B38F0">
          <w:rPr>
            <w:rFonts w:ascii="Times New Roman" w:eastAsia="Times New Roman" w:hAnsi="Times New Roman" w:cs="Times New Roman"/>
            <w:color w:val="0000FF"/>
            <w:sz w:val="24"/>
            <w:szCs w:val="24"/>
            <w:u w:val="single"/>
          </w:rPr>
          <w:t>https://doi.org/10.1177/0891988712464821</w:t>
        </w:r>
      </w:hyperlink>
    </w:p>
    <w:p w14:paraId="26CD40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Bobo, W. V., Woodward, N. D., Sim, M. Y., Jayathilake, K., &amp; Meltzer, H. Y. (2011). The effect of adjunctive armodafinil on cognitive performance and psychopathology in antipsychotic-treated patients with schizophrenia/schizoaffective disorder: A randomized, double-blind, placebo-controlled trial.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 xml:space="preserve">(1–3), 106–113. </w:t>
      </w:r>
      <w:hyperlink r:id="rId561" w:history="1">
        <w:r w:rsidRPr="005B38F0">
          <w:rPr>
            <w:rFonts w:ascii="Times New Roman" w:eastAsia="Times New Roman" w:hAnsi="Times New Roman" w:cs="Times New Roman"/>
            <w:color w:val="0000FF"/>
            <w:sz w:val="24"/>
            <w:szCs w:val="24"/>
            <w:u w:val="single"/>
          </w:rPr>
          <w:t>https://doi.org/10.1016/j.schres.2011.05.015</w:t>
        </w:r>
      </w:hyperlink>
    </w:p>
    <w:p w14:paraId="2B23C4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Bocti, C., Rockel, C., Roy, P., Gao, F., &amp; Black, S. E. (2006). Topographical Patterns of Lobar Atrophy in Frontotemporal Dementia and Alzheimer’s Disease.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(5–6), 364–372. </w:t>
      </w:r>
      <w:hyperlink r:id="rId562" w:history="1">
        <w:r w:rsidRPr="005B38F0">
          <w:rPr>
            <w:rFonts w:ascii="Times New Roman" w:eastAsia="Times New Roman" w:hAnsi="Times New Roman" w:cs="Times New Roman"/>
            <w:color w:val="0000FF"/>
            <w:sz w:val="24"/>
            <w:szCs w:val="24"/>
            <w:u w:val="single"/>
          </w:rPr>
          <w:t>https://doi.org/10.1159/000091838</w:t>
        </w:r>
      </w:hyperlink>
    </w:p>
    <w:p w14:paraId="162CDD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Bodimeade, H. L., Whittingham, K., Lloyd, O., &amp; Boyd, R. N. (2013). Executive function in children and adolescents with unilateral cerebral palsy. </w:t>
      </w:r>
      <w:r w:rsidRPr="005B38F0">
        <w:rPr>
          <w:rFonts w:ascii="Times New Roman" w:eastAsia="Times New Roman" w:hAnsi="Times New Roman" w:cs="Times New Roman"/>
          <w:i/>
          <w:iCs/>
          <w:sz w:val="24"/>
          <w:szCs w:val="24"/>
        </w:rPr>
        <w:t>Developmental Medicine &amp;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(10), 926–933. </w:t>
      </w:r>
      <w:hyperlink r:id="rId563" w:history="1">
        <w:r w:rsidRPr="005B38F0">
          <w:rPr>
            <w:rFonts w:ascii="Times New Roman" w:eastAsia="Times New Roman" w:hAnsi="Times New Roman" w:cs="Times New Roman"/>
            <w:color w:val="0000FF"/>
            <w:sz w:val="24"/>
            <w:szCs w:val="24"/>
            <w:u w:val="single"/>
          </w:rPr>
          <w:t>https://doi.org/10.1111/dmcn.12195</w:t>
        </w:r>
      </w:hyperlink>
    </w:p>
    <w:p w14:paraId="523AB3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Bodnar, A., &amp; Rybakowski, J. K. (2017). Mentalization deficit in bipolar patients during an acute depressive and manic episode: Association with cognitive functions. </w:t>
      </w:r>
      <w:r w:rsidRPr="005B38F0">
        <w:rPr>
          <w:rFonts w:ascii="Times New Roman" w:eastAsia="Times New Roman" w:hAnsi="Times New Roman" w:cs="Times New Roman"/>
          <w:i/>
          <w:iCs/>
          <w:sz w:val="24"/>
          <w:szCs w:val="24"/>
        </w:rPr>
        <w:t>International Journal of 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 </w:t>
      </w:r>
      <w:hyperlink r:id="rId564" w:history="1">
        <w:r w:rsidRPr="005B38F0">
          <w:rPr>
            <w:rFonts w:ascii="Times New Roman" w:eastAsia="Times New Roman" w:hAnsi="Times New Roman" w:cs="Times New Roman"/>
            <w:color w:val="0000FF"/>
            <w:sz w:val="24"/>
            <w:szCs w:val="24"/>
            <w:u w:val="single"/>
          </w:rPr>
          <w:t>https://doi.org/10.1186/s40345-017-0107-3</w:t>
        </w:r>
      </w:hyperlink>
    </w:p>
    <w:p w14:paraId="310A9E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Bodoni, P. S. B., Leoni, R. F., do Vale, A. B., da Silva, P. H. R., Meira Junior, S. G., Richieri Costa, A., &amp; Tabaquim, M. D. L. M. (2021). Neuropsychological functioning and its relationship with brain anatomical measures of children and adolescents with non-syndromic cleft lip and palate.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2–16. </w:t>
      </w:r>
      <w:hyperlink r:id="rId565" w:history="1">
        <w:r w:rsidRPr="005B38F0">
          <w:rPr>
            <w:rFonts w:ascii="Times New Roman" w:eastAsia="Times New Roman" w:hAnsi="Times New Roman" w:cs="Times New Roman"/>
            <w:color w:val="0000FF"/>
            <w:sz w:val="24"/>
            <w:szCs w:val="24"/>
            <w:u w:val="single"/>
          </w:rPr>
          <w:t>https://doi.org/10.1080/09297049.2020.1776240</w:t>
        </w:r>
      </w:hyperlink>
    </w:p>
    <w:p w14:paraId="7F7355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Boes, A. D., Grafft, A., Espe-Pfeifer, P., Rowe, J., &amp; Stein, M. T. (2012). Manipulative and antisocial behavior in an 11-year-old boy with epilepsy. </w:t>
      </w:r>
      <w:r w:rsidRPr="005B38F0">
        <w:rPr>
          <w:rFonts w:ascii="Times New Roman" w:eastAsia="Times New Roman" w:hAnsi="Times New Roman" w:cs="Times New Roman"/>
          <w:i/>
          <w:iCs/>
          <w:sz w:val="24"/>
          <w:szCs w:val="24"/>
        </w:rPr>
        <w:t>Journal of Developmental and Behavioral Pediatrics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(4), 365–368. </w:t>
      </w:r>
      <w:hyperlink r:id="rId566" w:history="1">
        <w:r w:rsidRPr="005B38F0">
          <w:rPr>
            <w:rFonts w:ascii="Times New Roman" w:eastAsia="Times New Roman" w:hAnsi="Times New Roman" w:cs="Times New Roman"/>
            <w:color w:val="0000FF"/>
            <w:sz w:val="24"/>
            <w:szCs w:val="24"/>
            <w:u w:val="single"/>
          </w:rPr>
          <w:t>https://doi.org/10.1097/DBP.0b013e31825417bb</w:t>
        </w:r>
      </w:hyperlink>
    </w:p>
    <w:p w14:paraId="06ACD4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Boes, A. D., Grafft, A. H., Joshi, C., Chuang, N. A., Nopoulos, P., &amp; Anderson, S. W. (2011). Behavioral effects of congenital ventromedial prefrontal cortex malformation. </w:t>
      </w:r>
      <w:r w:rsidRPr="005B38F0">
        <w:rPr>
          <w:rFonts w:ascii="Times New Roman" w:eastAsia="Times New Roman" w:hAnsi="Times New Roman" w:cs="Times New Roman"/>
          <w:i/>
          <w:iCs/>
          <w:sz w:val="24"/>
          <w:szCs w:val="24"/>
        </w:rPr>
        <w:t>BMC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567" w:history="1">
        <w:r w:rsidRPr="005B38F0">
          <w:rPr>
            <w:rFonts w:ascii="Times New Roman" w:eastAsia="Times New Roman" w:hAnsi="Times New Roman" w:cs="Times New Roman"/>
            <w:color w:val="0000FF"/>
            <w:sz w:val="24"/>
            <w:szCs w:val="24"/>
            <w:u w:val="single"/>
          </w:rPr>
          <w:t>https://doi.org/10.1186/1471-2377-11-151</w:t>
        </w:r>
      </w:hyperlink>
    </w:p>
    <w:p w14:paraId="2F5A7BD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Boeve, B. F., Baker, M., Dickson, D. W., Parisi, J. E., Giannini, C., Josephs, K. A., Hutton, M., Pickering-Brown, S. M., Rademakers, R., Tang-Wai, D., Jack Jr., C. R., Kantarci, K., Shiung, M. M., Golde, T., Smith, G. E., Geda, Y. E., Knopman, D. S., &amp; Petersen, R. C. (2006). Frontotemporal dementia and parkinsonism associated with the IVS1 + 1G→A mutation in progranulin: A clinicopathologic study.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(11), 3103–3114. </w:t>
      </w:r>
      <w:hyperlink r:id="rId568" w:history="1">
        <w:r w:rsidRPr="005B38F0">
          <w:rPr>
            <w:rFonts w:ascii="Times New Roman" w:eastAsia="Times New Roman" w:hAnsi="Times New Roman" w:cs="Times New Roman"/>
            <w:color w:val="0000FF"/>
            <w:sz w:val="24"/>
            <w:szCs w:val="24"/>
            <w:u w:val="single"/>
          </w:rPr>
          <w:t>https://doi.org/10.1093/brain/awl268</w:t>
        </w:r>
      </w:hyperlink>
    </w:p>
    <w:p w14:paraId="3D4E0B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Boeve, B. F., Tremont-Lukats, I. W., Waclawik, A. J., Murrell, J. R., Hermann, B., Jack Jr., C. R., Shiung, M. M., Smith, G. E., Nair, A. R., Lindor, N., Koppikar, V., &amp; Ghetti, B. (2005). Longitudinal characterization of two siblings with frontotemporal dementia and parkinsonism linked to chromosome 17 associated with the S305N tau mutation.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128</w:t>
      </w:r>
      <w:r w:rsidRPr="005B38F0">
        <w:rPr>
          <w:rFonts w:ascii="Times New Roman" w:eastAsia="Times New Roman" w:hAnsi="Times New Roman" w:cs="Times New Roman"/>
          <w:sz w:val="24"/>
          <w:szCs w:val="24"/>
        </w:rPr>
        <w:t xml:space="preserve">(4), 752–772. </w:t>
      </w:r>
      <w:hyperlink r:id="rId569" w:history="1">
        <w:r w:rsidRPr="005B38F0">
          <w:rPr>
            <w:rFonts w:ascii="Times New Roman" w:eastAsia="Times New Roman" w:hAnsi="Times New Roman" w:cs="Times New Roman"/>
            <w:color w:val="0000FF"/>
            <w:sz w:val="24"/>
            <w:szCs w:val="24"/>
            <w:u w:val="single"/>
          </w:rPr>
          <w:t>https://doi.org/10.1093/brain/awh356</w:t>
        </w:r>
      </w:hyperlink>
    </w:p>
    <w:p w14:paraId="762774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Bofill, M. S. (2002). </w:t>
      </w:r>
      <w:r w:rsidRPr="005B38F0">
        <w:rPr>
          <w:rFonts w:ascii="Times New Roman" w:eastAsia="Times New Roman" w:hAnsi="Times New Roman" w:cs="Times New Roman"/>
          <w:i/>
          <w:iCs/>
          <w:sz w:val="24"/>
          <w:szCs w:val="24"/>
        </w:rPr>
        <w:t>A meta-analysis of multiple sclerosis and nonverbal conceptual reasoning deficits.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(6-B), 3032–3032.</w:t>
      </w:r>
    </w:p>
    <w:p w14:paraId="62A8ED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Boggio, P. S., Rocha, M., Oliveira, M. O., Fecteau, S., Cohen, R. B., Campanhã, C., Ferreira-Santos, E., Meleiro, A., Corchs, F., Zaghi, S., Pascual-Leone, A., &amp; Fregni, F. (2010). Noninvasive brain stimulation with high-frequency and low-intensity repetitive transcranial </w:t>
      </w:r>
      <w:r w:rsidRPr="005B38F0">
        <w:rPr>
          <w:rFonts w:ascii="Times New Roman" w:eastAsia="Times New Roman" w:hAnsi="Times New Roman" w:cs="Times New Roman"/>
          <w:sz w:val="24"/>
          <w:szCs w:val="24"/>
        </w:rPr>
        <w:lastRenderedPageBreak/>
        <w:t xml:space="preserve">magnetic stimulation treatment for posttraumatic stress disorder.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(8), 992–999. </w:t>
      </w:r>
      <w:hyperlink r:id="rId570" w:history="1">
        <w:r w:rsidRPr="005B38F0">
          <w:rPr>
            <w:rFonts w:ascii="Times New Roman" w:eastAsia="Times New Roman" w:hAnsi="Times New Roman" w:cs="Times New Roman"/>
            <w:color w:val="0000FF"/>
            <w:sz w:val="24"/>
            <w:szCs w:val="24"/>
            <w:u w:val="single"/>
          </w:rPr>
          <w:t>https://doi.org/10.4088/JCP.08m04638blu</w:t>
        </w:r>
      </w:hyperlink>
    </w:p>
    <w:p w14:paraId="05B20A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Bohne, A., Savage, C. R., Deckersbach, T., Keuthen, N. J., Jenike, M. A., Tuschen-Caffier, B., &amp; Wilhelm, S. (2005). Visuospatial Abilities, Memory, and Executive Functioning in Trichotillomania and Obsessive-Compulsive Disorder.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385–399. </w:t>
      </w:r>
      <w:hyperlink r:id="rId571" w:history="1">
        <w:r w:rsidRPr="005B38F0">
          <w:rPr>
            <w:rFonts w:ascii="Times New Roman" w:eastAsia="Times New Roman" w:hAnsi="Times New Roman" w:cs="Times New Roman"/>
            <w:color w:val="0000FF"/>
            <w:sz w:val="24"/>
            <w:szCs w:val="24"/>
            <w:u w:val="single"/>
          </w:rPr>
          <w:t>https://doi.org/10.1080/13803390490520418</w:t>
        </w:r>
      </w:hyperlink>
    </w:p>
    <w:p w14:paraId="1A58A3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Boileau, I., Nakajima, S., &amp; Payer, D. (2015). Imaging the D₃ dopamine receptor across behavioral and drug addictions: Positron emission tomography studies with [11C]-(+)-PHNO.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(9), 1410–1420. </w:t>
      </w:r>
      <w:hyperlink r:id="rId572" w:history="1">
        <w:r w:rsidRPr="005B38F0">
          <w:rPr>
            <w:rFonts w:ascii="Times New Roman" w:eastAsia="Times New Roman" w:hAnsi="Times New Roman" w:cs="Times New Roman"/>
            <w:color w:val="0000FF"/>
            <w:sz w:val="24"/>
            <w:szCs w:val="24"/>
            <w:u w:val="single"/>
          </w:rPr>
          <w:t>https://doi.org/10.1016/j.euroneuro.2015.06.002</w:t>
        </w:r>
      </w:hyperlink>
    </w:p>
    <w:p w14:paraId="559464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Bokura, H., Yamaguchi, S., &amp; Kobayashi, S. (2005). Event-related potentials for response inhibition in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(6), 967–975. </w:t>
      </w:r>
      <w:hyperlink r:id="rId573" w:history="1">
        <w:r w:rsidRPr="005B38F0">
          <w:rPr>
            <w:rFonts w:ascii="Times New Roman" w:eastAsia="Times New Roman" w:hAnsi="Times New Roman" w:cs="Times New Roman"/>
            <w:color w:val="0000FF"/>
            <w:sz w:val="24"/>
            <w:szCs w:val="24"/>
            <w:u w:val="single"/>
          </w:rPr>
          <w:t>https://doi.org/10.1016/j.neuropsychologia.2004.08.010</w:t>
        </w:r>
      </w:hyperlink>
    </w:p>
    <w:p w14:paraId="38E35A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 Y., Duits, A. A., Hupperts, R. M. M., Verlinden, I., &amp; Verhey, F. R. J. (2010). The impact of fatigue on cognitive functioning in patients with multiple sclerosis. </w:t>
      </w:r>
      <w:r w:rsidRPr="005B38F0">
        <w:rPr>
          <w:rFonts w:ascii="Times New Roman" w:eastAsia="Times New Roman" w:hAnsi="Times New Roman" w:cs="Times New Roman"/>
          <w:i/>
          <w:iCs/>
          <w:sz w:val="24"/>
          <w:szCs w:val="24"/>
        </w:rPr>
        <w:t>Clinical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(9), 854–862. </w:t>
      </w:r>
      <w:hyperlink r:id="rId574" w:history="1">
        <w:r w:rsidRPr="005B38F0">
          <w:rPr>
            <w:rFonts w:ascii="Times New Roman" w:eastAsia="Times New Roman" w:hAnsi="Times New Roman" w:cs="Times New Roman"/>
            <w:color w:val="0000FF"/>
            <w:sz w:val="24"/>
            <w:szCs w:val="24"/>
            <w:u w:val="single"/>
          </w:rPr>
          <w:t>https://doi.org/10.1177/0269215510367540</w:t>
        </w:r>
      </w:hyperlink>
    </w:p>
    <w:p w14:paraId="05077D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Boland, E. M., &amp; Alloy, L. B. (2013). Sleep disturbance and cognitive deficits in bipolar disorder: Toward an integrated examination of disorder maintenance and functional impairment.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33–44. </w:t>
      </w:r>
      <w:hyperlink r:id="rId575" w:history="1">
        <w:r w:rsidRPr="005B38F0">
          <w:rPr>
            <w:rFonts w:ascii="Times New Roman" w:eastAsia="Times New Roman" w:hAnsi="Times New Roman" w:cs="Times New Roman"/>
            <w:color w:val="0000FF"/>
            <w:sz w:val="24"/>
            <w:szCs w:val="24"/>
            <w:u w:val="single"/>
          </w:rPr>
          <w:t>https://doi.org/10.1016/j.cpr.2012.10.001</w:t>
        </w:r>
      </w:hyperlink>
    </w:p>
    <w:p w14:paraId="0B640C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Bolden, L. B., Griffis, J. C., Nenert, R., Allendorfer, J. B., &amp; Szaflarski, J. P. (2018). Cortical excitability and seizure control influence attention performance in patients with idiopathic </w:t>
      </w:r>
      <w:r w:rsidRPr="005B38F0">
        <w:rPr>
          <w:rFonts w:ascii="Times New Roman" w:eastAsia="Times New Roman" w:hAnsi="Times New Roman" w:cs="Times New Roman"/>
          <w:sz w:val="24"/>
          <w:szCs w:val="24"/>
        </w:rPr>
        <w:lastRenderedPageBreak/>
        <w:t xml:space="preserve">generalized epilepsies (IGEs).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 135–142. </w:t>
      </w:r>
      <w:hyperlink r:id="rId576" w:history="1">
        <w:r w:rsidRPr="005B38F0">
          <w:rPr>
            <w:rFonts w:ascii="Times New Roman" w:eastAsia="Times New Roman" w:hAnsi="Times New Roman" w:cs="Times New Roman"/>
            <w:color w:val="0000FF"/>
            <w:sz w:val="24"/>
            <w:szCs w:val="24"/>
            <w:u w:val="single"/>
          </w:rPr>
          <w:t>https://doi.org/10.1016/j.yebeh.2018.10.026</w:t>
        </w:r>
      </w:hyperlink>
    </w:p>
    <w:p w14:paraId="184629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Bolden, L. B., Griffis, J. C., Pati, S., &amp; Szaflarski, J. P. (2017). Cortical excitability and neuropsychological functioning in healthy adults.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102</w:t>
      </w:r>
      <w:r w:rsidRPr="005B38F0">
        <w:rPr>
          <w:rFonts w:ascii="Times New Roman" w:eastAsia="Times New Roman" w:hAnsi="Times New Roman" w:cs="Times New Roman"/>
          <w:sz w:val="24"/>
          <w:szCs w:val="24"/>
        </w:rPr>
        <w:t xml:space="preserve">, 190–196. </w:t>
      </w:r>
      <w:hyperlink r:id="rId577" w:history="1">
        <w:r w:rsidRPr="005B38F0">
          <w:rPr>
            <w:rFonts w:ascii="Times New Roman" w:eastAsia="Times New Roman" w:hAnsi="Times New Roman" w:cs="Times New Roman"/>
            <w:color w:val="0000FF"/>
            <w:sz w:val="24"/>
            <w:szCs w:val="24"/>
            <w:u w:val="single"/>
          </w:rPr>
          <w:t>https://doi.org/10.1016/j.neuropsychologia.2017.06.028</w:t>
        </w:r>
      </w:hyperlink>
    </w:p>
    <w:p w14:paraId="56BD79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Boldrini, M., Del Pace, L., Placidi, G. P. A., Keilp, J., Ellis, S. P., Signori, S., Placidi, G. F., &amp; Cappa, S. F. (2005). Selective cognitive deficits in obsessive-compulsive disorder compared to panic disorder with agoraphobia.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111</w:t>
      </w:r>
      <w:r w:rsidRPr="005B38F0">
        <w:rPr>
          <w:rFonts w:ascii="Times New Roman" w:eastAsia="Times New Roman" w:hAnsi="Times New Roman" w:cs="Times New Roman"/>
          <w:sz w:val="24"/>
          <w:szCs w:val="24"/>
        </w:rPr>
        <w:t xml:space="preserve">(2), 150–158. </w:t>
      </w:r>
      <w:hyperlink r:id="rId578" w:history="1">
        <w:r w:rsidRPr="005B38F0">
          <w:rPr>
            <w:rFonts w:ascii="Times New Roman" w:eastAsia="Times New Roman" w:hAnsi="Times New Roman" w:cs="Times New Roman"/>
            <w:color w:val="0000FF"/>
            <w:sz w:val="24"/>
            <w:szCs w:val="24"/>
            <w:u w:val="single"/>
          </w:rPr>
          <w:t>https://doi.org/10.1111/j.1600-0447.2004.00247.x</w:t>
        </w:r>
      </w:hyperlink>
    </w:p>
    <w:p w14:paraId="3DE0A0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Bolla, K. I. (2012). Neurotoxic injury. In </w:t>
      </w:r>
      <w:r w:rsidRPr="005B38F0">
        <w:rPr>
          <w:rFonts w:ascii="Times New Roman" w:eastAsia="Times New Roman" w:hAnsi="Times New Roman" w:cs="Times New Roman"/>
          <w:i/>
          <w:iCs/>
          <w:sz w:val="24"/>
          <w:szCs w:val="24"/>
        </w:rPr>
        <w:t>Forensic neuropsychology: A scientific approach, 2nd ed.</w:t>
      </w:r>
      <w:r w:rsidRPr="005B38F0">
        <w:rPr>
          <w:rFonts w:ascii="Times New Roman" w:eastAsia="Times New Roman" w:hAnsi="Times New Roman" w:cs="Times New Roman"/>
          <w:sz w:val="24"/>
          <w:szCs w:val="24"/>
        </w:rPr>
        <w:t xml:space="preserve"> (pp. 281–301). Oxford University Press.</w:t>
      </w:r>
    </w:p>
    <w:p w14:paraId="6D71A7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Bölte, S., Duketis, E., Poustka, F., &amp; Holtmann, M. (2011). Sex differences in cognitive domains and their clinical correlates in higher-functioning autism spectrum disorders. </w:t>
      </w:r>
      <w:r w:rsidRPr="005B38F0">
        <w:rPr>
          <w:rFonts w:ascii="Times New Roman" w:eastAsia="Times New Roman" w:hAnsi="Times New Roman" w:cs="Times New Roman"/>
          <w:i/>
          <w:iCs/>
          <w:sz w:val="24"/>
          <w:szCs w:val="24"/>
        </w:rPr>
        <w:t>Autism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(4), 497–511. </w:t>
      </w:r>
      <w:hyperlink r:id="rId579" w:history="1">
        <w:r w:rsidRPr="005B38F0">
          <w:rPr>
            <w:rFonts w:ascii="Times New Roman" w:eastAsia="Times New Roman" w:hAnsi="Times New Roman" w:cs="Times New Roman"/>
            <w:color w:val="0000FF"/>
            <w:sz w:val="24"/>
            <w:szCs w:val="24"/>
            <w:u w:val="single"/>
          </w:rPr>
          <w:t>https://doi.org/10.1177/1362361310391116</w:t>
        </w:r>
      </w:hyperlink>
    </w:p>
    <w:p w14:paraId="3C31B09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Bölte, S., &amp; Poustka, F. (2006). The broader cognitive phenotype of autism in parents: How specific is the tendency for local processing and executive dysfunction?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(6), 639–645. </w:t>
      </w:r>
      <w:hyperlink r:id="rId580" w:history="1">
        <w:r w:rsidRPr="005B38F0">
          <w:rPr>
            <w:rFonts w:ascii="Times New Roman" w:eastAsia="Times New Roman" w:hAnsi="Times New Roman" w:cs="Times New Roman"/>
            <w:color w:val="0000FF"/>
            <w:sz w:val="24"/>
            <w:szCs w:val="24"/>
            <w:u w:val="single"/>
          </w:rPr>
          <w:t>https://doi.org/10.1111/j.1469-7610.2006.01603.x</w:t>
        </w:r>
      </w:hyperlink>
    </w:p>
    <w:p w14:paraId="59501A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Bölte, S., Willfors, C., Berggren, S., Norberg, J., Poltrago, L., Mevel, K., Coco, C., Fransson, P., Borg, J., Sitnikov, R., Toro, R., Tammimies, K., Anderlid, B.-M., Nordgren, A., Falk, A., Meyer, U., Kere, J., Landén, M., Dalman, C., … Lichtenstein, P. (2014). The Roots of Autism and ADHD Twin Study in Sweden (RATSS). </w:t>
      </w:r>
      <w:r w:rsidRPr="005B38F0">
        <w:rPr>
          <w:rFonts w:ascii="Times New Roman" w:eastAsia="Times New Roman" w:hAnsi="Times New Roman" w:cs="Times New Roman"/>
          <w:i/>
          <w:iCs/>
          <w:sz w:val="24"/>
          <w:szCs w:val="24"/>
        </w:rPr>
        <w:t>Twin Research and Human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164–176. </w:t>
      </w:r>
      <w:hyperlink r:id="rId581" w:history="1">
        <w:r w:rsidRPr="005B38F0">
          <w:rPr>
            <w:rFonts w:ascii="Times New Roman" w:eastAsia="Times New Roman" w:hAnsi="Times New Roman" w:cs="Times New Roman"/>
            <w:color w:val="0000FF"/>
            <w:sz w:val="24"/>
            <w:szCs w:val="24"/>
            <w:u w:val="single"/>
          </w:rPr>
          <w:t>https://doi.org/10.1017/thg.2014.12</w:t>
        </w:r>
      </w:hyperlink>
    </w:p>
    <w:p w14:paraId="7121CA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Bolzenius, J. D., Roskos, P. T., Salminen, L. E., Paul, R. H., &amp; Bucholz, R. D. (2015). Cognitive and self-reported psychological outcomes of blast-induced mild traumatic brain injury in veterans: A preliminary study.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79–87. </w:t>
      </w:r>
      <w:hyperlink r:id="rId582" w:history="1">
        <w:r w:rsidRPr="005B38F0">
          <w:rPr>
            <w:rFonts w:ascii="Times New Roman" w:eastAsia="Times New Roman" w:hAnsi="Times New Roman" w:cs="Times New Roman"/>
            <w:color w:val="0000FF"/>
            <w:sz w:val="24"/>
            <w:szCs w:val="24"/>
            <w:u w:val="single"/>
          </w:rPr>
          <w:t>https://doi.org/10.1080/23279095.2013.845823</w:t>
        </w:r>
      </w:hyperlink>
    </w:p>
    <w:p w14:paraId="3856CD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Boman, I.-L., Bartfai, A., Borell, L., Tham, K., &amp; Hemmingsson, H. (2010). Support in everyday activities with a home-based electronic memory aid for persons with memory impairments. </w:t>
      </w:r>
      <w:r w:rsidRPr="005B38F0">
        <w:rPr>
          <w:rFonts w:ascii="Times New Roman" w:eastAsia="Times New Roman" w:hAnsi="Times New Roman" w:cs="Times New Roman"/>
          <w:i/>
          <w:iCs/>
          <w:sz w:val="24"/>
          <w:szCs w:val="24"/>
        </w:rPr>
        <w:t>Disability and Rehabilitation: Assistive Technology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(5), 339–350. </w:t>
      </w:r>
      <w:hyperlink r:id="rId583" w:history="1">
        <w:r w:rsidRPr="005B38F0">
          <w:rPr>
            <w:rFonts w:ascii="Times New Roman" w:eastAsia="Times New Roman" w:hAnsi="Times New Roman" w:cs="Times New Roman"/>
            <w:color w:val="0000FF"/>
            <w:sz w:val="24"/>
            <w:szCs w:val="24"/>
            <w:u w:val="single"/>
          </w:rPr>
          <w:t>https://doi.org/10.3109/17483100903131777</w:t>
        </w:r>
      </w:hyperlink>
    </w:p>
    <w:p w14:paraId="750A69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Bombin, I., Arango, C., Mayoral, M., Castro‐Fornieles, J., Gonzalez‐Pinto, A., Gonzalez‐Gomez, C., Moreno, D., Parellada, M., Baeza, I., Graell, M., Otero, S., Saiz, P. A., &amp; Patiño‐Garcia, A. (2008). DRD3, but not COMT or DRD2, genotype affects executive functions in healthy and first-episode psychosis adolescents.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147B</w:t>
      </w:r>
      <w:r w:rsidRPr="005B38F0">
        <w:rPr>
          <w:rFonts w:ascii="Times New Roman" w:eastAsia="Times New Roman" w:hAnsi="Times New Roman" w:cs="Times New Roman"/>
          <w:sz w:val="24"/>
          <w:szCs w:val="24"/>
        </w:rPr>
        <w:t xml:space="preserve">(6), 873–879. </w:t>
      </w:r>
      <w:hyperlink r:id="rId584" w:history="1">
        <w:r w:rsidRPr="005B38F0">
          <w:rPr>
            <w:rFonts w:ascii="Times New Roman" w:eastAsia="Times New Roman" w:hAnsi="Times New Roman" w:cs="Times New Roman"/>
            <w:color w:val="0000FF"/>
            <w:sz w:val="24"/>
            <w:szCs w:val="24"/>
            <w:u w:val="single"/>
          </w:rPr>
          <w:t>https://doi.org/10.1002/ajmg.b.30710</w:t>
        </w:r>
      </w:hyperlink>
    </w:p>
    <w:p w14:paraId="2B6B18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Bombin, I., Mayoral, M., Castro-Fornieles, J., Gonzalez-Pinto, A., de la Serna, E., Rapado-Castro, M., Barbeito, S., Parellada, M., Baeza, I., Graell, M., Payá, B., &amp; Arango, C. (2013). Neuropsychological evidence for abnormal neurodevelopment associated with early-onset psychoses.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(4), 757–768. </w:t>
      </w:r>
      <w:hyperlink r:id="rId585" w:history="1">
        <w:r w:rsidRPr="005B38F0">
          <w:rPr>
            <w:rFonts w:ascii="Times New Roman" w:eastAsia="Times New Roman" w:hAnsi="Times New Roman" w:cs="Times New Roman"/>
            <w:color w:val="0000FF"/>
            <w:sz w:val="24"/>
            <w:szCs w:val="24"/>
            <w:u w:val="single"/>
          </w:rPr>
          <w:t>https://doi.org/10.1017/S0033291712001535</w:t>
        </w:r>
      </w:hyperlink>
    </w:p>
    <w:p w14:paraId="469943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Bömmer, I., &amp; Brüne, M. (2007). Neuropsychologische aspekte wahnhafter störungen. Charakteristischer attribuierungsstil oder kognitives defizit? [Neuropsychological aspects of delusional disorders: Characteristic attributional style or cognitive deficit?]. </w:t>
      </w:r>
      <w:r w:rsidRPr="005B38F0">
        <w:rPr>
          <w:rFonts w:ascii="Times New Roman" w:eastAsia="Times New Roman" w:hAnsi="Times New Roman" w:cs="Times New Roman"/>
          <w:i/>
          <w:iCs/>
          <w:sz w:val="24"/>
          <w:szCs w:val="24"/>
        </w:rPr>
        <w:t>Der Nervenarzt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(7), 796–801. </w:t>
      </w:r>
      <w:hyperlink r:id="rId586" w:history="1">
        <w:r w:rsidRPr="005B38F0">
          <w:rPr>
            <w:rFonts w:ascii="Times New Roman" w:eastAsia="Times New Roman" w:hAnsi="Times New Roman" w:cs="Times New Roman"/>
            <w:color w:val="0000FF"/>
            <w:sz w:val="24"/>
            <w:szCs w:val="24"/>
            <w:u w:val="single"/>
          </w:rPr>
          <w:t>https://doi.org/10.1007/s00115-006-2213-9</w:t>
        </w:r>
      </w:hyperlink>
    </w:p>
    <w:p w14:paraId="00C1FE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Bondi, C. O., Cheng, J. P., Tennant, H. M., Monaco, C. M., &amp; Kline, A. E. (2014). Old dog, new tricks: The attentional set-shifting test as a novel cognitive behavioral task after controlled cortical impact injury.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(10), 926–937.</w:t>
      </w:r>
    </w:p>
    <w:p w14:paraId="2D5D772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Bondi, M. W., Monsch, A. U., Butters, N., Salmon, D. P., &amp; Paulsen, J. S. (1993). Utility of a modified version of the Wisconsin Card Sorting Test in the detection of dementia of the Alzheimer type.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(2), 161–170. </w:t>
      </w:r>
      <w:hyperlink r:id="rId587" w:history="1">
        <w:r w:rsidRPr="005B38F0">
          <w:rPr>
            <w:rFonts w:ascii="Times New Roman" w:eastAsia="Times New Roman" w:hAnsi="Times New Roman" w:cs="Times New Roman"/>
            <w:color w:val="0000FF"/>
            <w:sz w:val="24"/>
            <w:szCs w:val="24"/>
            <w:u w:val="single"/>
          </w:rPr>
          <w:t>https://doi.org/10.1080/13854049308401518</w:t>
        </w:r>
      </w:hyperlink>
    </w:p>
    <w:p w14:paraId="75B00D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Bonfils, K. A., Painter, J. M., Luther, J. F., Congedo, B. A., &amp; Haas, G. L. (2020). Preliminary examination of a measure of metacognitive perspective-taking: The Interpersonal Block Assembly Task. </w:t>
      </w:r>
      <w:r w:rsidRPr="005B38F0">
        <w:rPr>
          <w:rFonts w:ascii="Times New Roman" w:eastAsia="Times New Roman" w:hAnsi="Times New Roman" w:cs="Times New Roman"/>
          <w:i/>
          <w:iCs/>
          <w:sz w:val="24"/>
          <w:szCs w:val="24"/>
        </w:rPr>
        <w:t>Psychiatric Rehabilitation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(4), 299–307. </w:t>
      </w:r>
      <w:hyperlink r:id="rId588" w:history="1">
        <w:r w:rsidRPr="005B38F0">
          <w:rPr>
            <w:rFonts w:ascii="Times New Roman" w:eastAsia="Times New Roman" w:hAnsi="Times New Roman" w:cs="Times New Roman"/>
            <w:color w:val="0000FF"/>
            <w:sz w:val="24"/>
            <w:szCs w:val="24"/>
            <w:u w:val="single"/>
          </w:rPr>
          <w:t>https://doi.org/10.1037/prj0000414</w:t>
        </w:r>
      </w:hyperlink>
    </w:p>
    <w:p w14:paraId="7DF725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Bonilha, L., Alessio, A., Rorden, C., Baylis, G., Damascene, B. P., Min, L. L., &amp; Cendes, F. (2007). Extrahippocampal gray matter atrophy and memory impairment in patients with medial temporal lobe epilepsy.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(12), 1376–1390. </w:t>
      </w:r>
      <w:hyperlink r:id="rId589" w:history="1">
        <w:r w:rsidRPr="005B38F0">
          <w:rPr>
            <w:rFonts w:ascii="Times New Roman" w:eastAsia="Times New Roman" w:hAnsi="Times New Roman" w:cs="Times New Roman"/>
            <w:color w:val="0000FF"/>
            <w:sz w:val="24"/>
            <w:szCs w:val="24"/>
            <w:u w:val="single"/>
          </w:rPr>
          <w:t>https://doi.org/10.1002/hbm.20373</w:t>
        </w:r>
      </w:hyperlink>
    </w:p>
    <w:p w14:paraId="0D5AD2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Bonino, S., &amp; Cattellino, E. (1997). Flessibilità del pensiero e interazione sociale cooperativa e competitiva. [Flexibility in thinking and cooperative/competitive social interactions.]. </w:t>
      </w:r>
      <w:r w:rsidRPr="005B38F0">
        <w:rPr>
          <w:rFonts w:ascii="Times New Roman" w:eastAsia="Times New Roman" w:hAnsi="Times New Roman" w:cs="Times New Roman"/>
          <w:i/>
          <w:iCs/>
          <w:sz w:val="24"/>
          <w:szCs w:val="24"/>
        </w:rPr>
        <w:t>Età Evolutiva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 57–69.</w:t>
      </w:r>
    </w:p>
    <w:p w14:paraId="70426D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Bonnì, S., Perri, R., Fadda, L., Tomaiuolo, F., Koch, G., Caltagirone, C., &amp; Carlesimo, G. A. (2014). Selective deficit of spatial short-term memory: Role of storage and rehearsal mechanisms.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 xml:space="preserve">, 22–32. </w:t>
      </w:r>
      <w:hyperlink r:id="rId590" w:history="1">
        <w:r w:rsidRPr="005B38F0">
          <w:rPr>
            <w:rFonts w:ascii="Times New Roman" w:eastAsia="Times New Roman" w:hAnsi="Times New Roman" w:cs="Times New Roman"/>
            <w:color w:val="0000FF"/>
            <w:sz w:val="24"/>
            <w:szCs w:val="24"/>
            <w:u w:val="single"/>
          </w:rPr>
          <w:t>https://doi.org/10.1016/j.cortex.2014.06.004</w:t>
        </w:r>
      </w:hyperlink>
    </w:p>
    <w:p w14:paraId="3F5F45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Bonnín, C. del M., Solé, B., Reinares, M., García-Estela, A., Samalin, L., Martínez-Arán, A., Sánchez-Moreno, J., Colom, F., Vieta, E., &amp; Hidalgo-Mazzei, D. (2021). Does cognitive impairment in bipolar disorder impact on a SIMPLe app use?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282</w:t>
      </w:r>
      <w:r w:rsidRPr="005B38F0">
        <w:rPr>
          <w:rFonts w:ascii="Times New Roman" w:eastAsia="Times New Roman" w:hAnsi="Times New Roman" w:cs="Times New Roman"/>
          <w:sz w:val="24"/>
          <w:szCs w:val="24"/>
        </w:rPr>
        <w:t xml:space="preserve">, 488–494. </w:t>
      </w:r>
      <w:hyperlink r:id="rId591" w:history="1">
        <w:r w:rsidRPr="005B38F0">
          <w:rPr>
            <w:rFonts w:ascii="Times New Roman" w:eastAsia="Times New Roman" w:hAnsi="Times New Roman" w:cs="Times New Roman"/>
            <w:color w:val="0000FF"/>
            <w:sz w:val="24"/>
            <w:szCs w:val="24"/>
            <w:u w:val="single"/>
          </w:rPr>
          <w:t>https://doi.org/10.1016/j.jad.2020.12.168</w:t>
        </w:r>
      </w:hyperlink>
    </w:p>
    <w:p w14:paraId="450C33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Bonnin, C. del M., Valls, E., Rosa, A. R., Reinares, M., Jimenez, E., Solé, B., Montejo, L., Meseguer, A., Pacchiarotti, I., Colom, F., Martinez-Aran, A., Tomioka, Y., Vieta, E., &amp; Torrent, C. (2019). Functional remediation improves bipolar disorder functioning with no effects on brain-derived neurotrophic factor levels.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(6), 701–710. </w:t>
      </w:r>
      <w:hyperlink r:id="rId592" w:history="1">
        <w:r w:rsidRPr="005B38F0">
          <w:rPr>
            <w:rFonts w:ascii="Times New Roman" w:eastAsia="Times New Roman" w:hAnsi="Times New Roman" w:cs="Times New Roman"/>
            <w:color w:val="0000FF"/>
            <w:sz w:val="24"/>
            <w:szCs w:val="24"/>
            <w:u w:val="single"/>
          </w:rPr>
          <w:t>https://doi.org/10.1016/j.euroneuro.2019.04.002</w:t>
        </w:r>
      </w:hyperlink>
    </w:p>
    <w:p w14:paraId="002C31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M., Martínez-Arán, A., Torrent, C., Pacchiarotti, I., Rosa, A. R., Franco, C., Murru, A., Sanchez-Moreno, J., &amp; Vieta, E. (2010). Clinical and neurocognitive predictors of functional outcome in bipolar euthymic patients: A long-term, follow-up study.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w:t>
      </w:r>
      <w:r w:rsidRPr="005B38F0">
        <w:rPr>
          <w:rFonts w:ascii="Times New Roman" w:eastAsia="Times New Roman" w:hAnsi="Times New Roman" w:cs="Times New Roman"/>
          <w:sz w:val="24"/>
          <w:szCs w:val="24"/>
        </w:rPr>
        <w:t xml:space="preserve">(1–2), 156–160. </w:t>
      </w:r>
      <w:hyperlink r:id="rId593" w:history="1">
        <w:r w:rsidRPr="005B38F0">
          <w:rPr>
            <w:rFonts w:ascii="Times New Roman" w:eastAsia="Times New Roman" w:hAnsi="Times New Roman" w:cs="Times New Roman"/>
            <w:color w:val="0000FF"/>
            <w:sz w:val="24"/>
            <w:szCs w:val="24"/>
            <w:u w:val="single"/>
          </w:rPr>
          <w:t>https://doi.org/10.1016/j.jad.2009.05.014</w:t>
        </w:r>
      </w:hyperlink>
    </w:p>
    <w:p w14:paraId="3A68DA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Bonnin, C. M., Reinares, M., Martínez-Arán, A., Balanzá-Martínez, V., Sole, B., Torrent, C., Tabarés-Seisdedos, R., García-Portilla, M. P., Ibáñez, A., Amann, B. L., Arango, C., Ayuso-Mateos, J. L., Crespo, J. M., González-Pinto, A., Colom, F., &amp; Vieta, E. (2016). Effects of functional remediation on neurocognitively impaired bipolar patients: Enhancement of verbal memory.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(2), 291–301. </w:t>
      </w:r>
      <w:hyperlink r:id="rId594" w:history="1">
        <w:r w:rsidRPr="005B38F0">
          <w:rPr>
            <w:rFonts w:ascii="Times New Roman" w:eastAsia="Times New Roman" w:hAnsi="Times New Roman" w:cs="Times New Roman"/>
            <w:color w:val="0000FF"/>
            <w:sz w:val="24"/>
            <w:szCs w:val="24"/>
            <w:u w:val="single"/>
          </w:rPr>
          <w:t>https://doi.org/10.1017/S0033291715001713</w:t>
        </w:r>
      </w:hyperlink>
    </w:p>
    <w:p w14:paraId="63926F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M., Sánchez-Moreno, J., Martínez-Arán, A., Solé, B., Reinares, M., Rosa, A. R., Goikolea, J. M., Benabarre, A., Ayuso-Mateos, J. L., Ferrer, M., Vieta, E., &amp; Torrent, C. (2012). Subthreshold symptoms in bipolar disorder: Impact on neurocognition, quality of </w:t>
      </w:r>
      <w:r w:rsidRPr="005B38F0">
        <w:rPr>
          <w:rFonts w:ascii="Times New Roman" w:eastAsia="Times New Roman" w:hAnsi="Times New Roman" w:cs="Times New Roman"/>
          <w:sz w:val="24"/>
          <w:szCs w:val="24"/>
        </w:rPr>
        <w:lastRenderedPageBreak/>
        <w:t xml:space="preserve">life and disability.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136</w:t>
      </w:r>
      <w:r w:rsidRPr="005B38F0">
        <w:rPr>
          <w:rFonts w:ascii="Times New Roman" w:eastAsia="Times New Roman" w:hAnsi="Times New Roman" w:cs="Times New Roman"/>
          <w:sz w:val="24"/>
          <w:szCs w:val="24"/>
        </w:rPr>
        <w:t xml:space="preserve">(3), 650–659. </w:t>
      </w:r>
      <w:hyperlink r:id="rId595" w:history="1">
        <w:r w:rsidRPr="005B38F0">
          <w:rPr>
            <w:rFonts w:ascii="Times New Roman" w:eastAsia="Times New Roman" w:hAnsi="Times New Roman" w:cs="Times New Roman"/>
            <w:color w:val="0000FF"/>
            <w:sz w:val="24"/>
            <w:szCs w:val="24"/>
            <w:u w:val="single"/>
          </w:rPr>
          <w:t>https://doi.org/10.1016/j.jad.2011.10.012</w:t>
        </w:r>
      </w:hyperlink>
    </w:p>
    <w:p w14:paraId="03D839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Bonnin, C. M., Torrent, C., Arango, C., Amann, B. L., Solé, B., González-Pinto, A., Crespo, J. M., Tabarés-Seisdedos, R., Reinares, M., Ayuso-Mateos, J. L., García-Portilla, M. P., Ibañez, Á., Salamero, M., Vieta, E., &amp; Martinez-Aran, A. (2016). Functional remediation in bipolar disorder: 1-year follow-up of neurocognitive and functional outcome.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208</w:t>
      </w:r>
      <w:r w:rsidRPr="005B38F0">
        <w:rPr>
          <w:rFonts w:ascii="Times New Roman" w:eastAsia="Times New Roman" w:hAnsi="Times New Roman" w:cs="Times New Roman"/>
          <w:sz w:val="24"/>
          <w:szCs w:val="24"/>
        </w:rPr>
        <w:t xml:space="preserve">(1), 87–93. </w:t>
      </w:r>
      <w:hyperlink r:id="rId596" w:history="1">
        <w:r w:rsidRPr="005B38F0">
          <w:rPr>
            <w:rFonts w:ascii="Times New Roman" w:eastAsia="Times New Roman" w:hAnsi="Times New Roman" w:cs="Times New Roman"/>
            <w:color w:val="0000FF"/>
            <w:sz w:val="24"/>
            <w:szCs w:val="24"/>
            <w:u w:val="single"/>
          </w:rPr>
          <w:t>https://doi.org/10.1192/bjp.bp.114.162123</w:t>
        </w:r>
      </w:hyperlink>
    </w:p>
    <w:p w14:paraId="19186E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Bonnín, C. M., Torrent, C., Goikolea, J. M., Reinares, M., Solé, B., Valentí, M., Sánchez-Moreno, J., Hidalgo, D., Tabarés-Seisdedos, R., Martínez-Arán, A., &amp; Vieta, E. (2014). The impact of repeated manic episodes and executive dysfunction on work adjustment in bipolar disorder.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264</w:t>
      </w:r>
      <w:r w:rsidRPr="005B38F0">
        <w:rPr>
          <w:rFonts w:ascii="Times New Roman" w:eastAsia="Times New Roman" w:hAnsi="Times New Roman" w:cs="Times New Roman"/>
          <w:sz w:val="24"/>
          <w:szCs w:val="24"/>
        </w:rPr>
        <w:t xml:space="preserve">(3), 247–254. </w:t>
      </w:r>
      <w:hyperlink r:id="rId597" w:history="1">
        <w:r w:rsidRPr="005B38F0">
          <w:rPr>
            <w:rFonts w:ascii="Times New Roman" w:eastAsia="Times New Roman" w:hAnsi="Times New Roman" w:cs="Times New Roman"/>
            <w:color w:val="0000FF"/>
            <w:sz w:val="24"/>
            <w:szCs w:val="24"/>
            <w:u w:val="single"/>
          </w:rPr>
          <w:t>https://doi.org/10.1007/s00406-013-0431-2</w:t>
        </w:r>
      </w:hyperlink>
    </w:p>
    <w:p w14:paraId="5962EE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Boog, M., Höppener, P., v. d. Wetering, B. J. M., Goudriaa, A. E., Boog, M. C., &amp; Franken, I. H. A. (2014). Cognitive inflexibility in gamblers is primarily present in reward-related decision making.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w:t>
      </w:r>
    </w:p>
    <w:p w14:paraId="435A194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(1999). Neuropsychological assessment of executive functions: Impact of age, education, gender, intellectual level, and vascular status on executive test scores. In </w:t>
      </w:r>
      <w:r w:rsidRPr="005B38F0">
        <w:rPr>
          <w:rFonts w:ascii="Times New Roman" w:eastAsia="Times New Roman" w:hAnsi="Times New Roman" w:cs="Times New Roman"/>
          <w:i/>
          <w:iCs/>
          <w:sz w:val="24"/>
          <w:szCs w:val="24"/>
        </w:rPr>
        <w:t>The human frontal lobes: Functions and disorders.</w:t>
      </w:r>
      <w:r w:rsidRPr="005B38F0">
        <w:rPr>
          <w:rFonts w:ascii="Times New Roman" w:eastAsia="Times New Roman" w:hAnsi="Times New Roman" w:cs="Times New Roman"/>
          <w:sz w:val="24"/>
          <w:szCs w:val="24"/>
        </w:rPr>
        <w:t xml:space="preserve"> (pp. 247–260). The Guilford Press.</w:t>
      </w:r>
    </w:p>
    <w:p w14:paraId="7287F2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(2013). </w:t>
      </w:r>
      <w:r w:rsidRPr="005B38F0">
        <w:rPr>
          <w:rFonts w:ascii="Times New Roman" w:eastAsia="Times New Roman" w:hAnsi="Times New Roman" w:cs="Times New Roman"/>
          <w:i/>
          <w:iCs/>
          <w:sz w:val="24"/>
          <w:szCs w:val="24"/>
        </w:rPr>
        <w:t>Clinical practice of forensic neuropsychology: An evidence-based approach.</w:t>
      </w:r>
      <w:r w:rsidRPr="005B38F0">
        <w:rPr>
          <w:rFonts w:ascii="Times New Roman" w:eastAsia="Times New Roman" w:hAnsi="Times New Roman" w:cs="Times New Roman"/>
          <w:sz w:val="24"/>
          <w:szCs w:val="24"/>
        </w:rPr>
        <w:t xml:space="preserve"> Guilford Press. </w:t>
      </w:r>
      <w:hyperlink r:id="rId598" w:history="1">
        <w:r w:rsidRPr="005B38F0">
          <w:rPr>
            <w:rFonts w:ascii="Times New Roman" w:eastAsia="Times New Roman" w:hAnsi="Times New Roman" w:cs="Times New Roman"/>
            <w:color w:val="0000FF"/>
            <w:sz w:val="24"/>
            <w:szCs w:val="24"/>
            <w:u w:val="single"/>
          </w:rPr>
          <w:t>http://search.ebscohost.com/login.aspx?direct=true&amp;db=psyh&amp;AN=2012-28909-000&amp;site=ehost-live</w:t>
        </w:r>
      </w:hyperlink>
    </w:p>
    <w:p w14:paraId="6466B7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Boone, K. B., Ghaffarian, S., Lesser, I. M., Hill-Gutierrez, E., &amp; Berman, N. G. (1993). Wisconsin Card Sorting Test performance in healthy, older adults: Relationship to age, sex, education, and IQ. </w:t>
      </w:r>
      <w:r w:rsidRPr="005B38F0">
        <w:rPr>
          <w:rFonts w:ascii="Times New Roman" w:eastAsia="Times New Roman" w:hAnsi="Times New Roman" w:cs="Times New Roman"/>
          <w:i/>
          <w:iCs/>
          <w:sz w:val="24"/>
          <w:szCs w:val="24"/>
        </w:rPr>
        <w:t>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(1), 54–60. </w:t>
      </w:r>
      <w:hyperlink r:id="rId599" w:history="1">
        <w:r w:rsidRPr="005B38F0">
          <w:rPr>
            <w:rFonts w:ascii="Times New Roman" w:eastAsia="Times New Roman" w:hAnsi="Times New Roman" w:cs="Times New Roman"/>
            <w:color w:val="0000FF"/>
            <w:sz w:val="24"/>
            <w:szCs w:val="24"/>
            <w:u w:val="single"/>
          </w:rPr>
          <w:t>https://doi.org/10.1002/1097-4679(199301)49:1&lt;54::AID-JCLP2270490108&gt;3.0.CO;2-6</w:t>
        </w:r>
      </w:hyperlink>
    </w:p>
    <w:p w14:paraId="53921A3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Miller, B. L., Lee, A., Berman, N., Sherman, D., &amp; Stuss, D. T. (1999). Neuropsychological patterns in right versus left frontotemporal dementia.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(7), 616–622. </w:t>
      </w:r>
      <w:hyperlink r:id="rId600" w:history="1">
        <w:r w:rsidRPr="005B38F0">
          <w:rPr>
            <w:rFonts w:ascii="Times New Roman" w:eastAsia="Times New Roman" w:hAnsi="Times New Roman" w:cs="Times New Roman"/>
            <w:color w:val="0000FF"/>
            <w:sz w:val="24"/>
            <w:szCs w:val="24"/>
            <w:u w:val="single"/>
          </w:rPr>
          <w:t>https://doi.org/10.1017/S1355617799577047</w:t>
        </w:r>
      </w:hyperlink>
    </w:p>
    <w:p w14:paraId="2703F6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Pontón, M. O., Gorsuch, R. L., González, J. J., &amp; Miller, B. L. (1998). Factor analysis of four measures of prefrontal lobe functioning.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(7), 585–595. </w:t>
      </w:r>
      <w:hyperlink r:id="rId601" w:history="1">
        <w:r w:rsidRPr="005B38F0">
          <w:rPr>
            <w:rFonts w:ascii="Times New Roman" w:eastAsia="Times New Roman" w:hAnsi="Times New Roman" w:cs="Times New Roman"/>
            <w:color w:val="0000FF"/>
            <w:sz w:val="24"/>
            <w:szCs w:val="24"/>
            <w:u w:val="single"/>
          </w:rPr>
          <w:t>https://doi.org/10.1016/S0887-6177(97)00074-7</w:t>
        </w:r>
      </w:hyperlink>
    </w:p>
    <w:p w14:paraId="5E17AD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Boone, K. B., Victor, T. L., Wen, J., Razani, J., &amp; Pontón, M. (2007). The association between neuropsychological scores and ethnicity, language, and acculturation variables in a large patient population.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355–365. </w:t>
      </w:r>
      <w:hyperlink r:id="rId602" w:history="1">
        <w:r w:rsidRPr="005B38F0">
          <w:rPr>
            <w:rFonts w:ascii="Times New Roman" w:eastAsia="Times New Roman" w:hAnsi="Times New Roman" w:cs="Times New Roman"/>
            <w:color w:val="0000FF"/>
            <w:sz w:val="24"/>
            <w:szCs w:val="24"/>
            <w:u w:val="single"/>
          </w:rPr>
          <w:t>https://doi.org/10.1016/j.acn.2007.01.010</w:t>
        </w:r>
      </w:hyperlink>
    </w:p>
    <w:p w14:paraId="4D5801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Boosman, H., Bovend’Eerdt, T. J. H., Visser‐Meily, J. M. A., Nijboer, T. C. W., &amp; van Heugten, C. M. (2016). Dynamic testing of learning potential in adults with cognitive impairments: A systematic review of methodology and predictive value.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186–210. </w:t>
      </w:r>
      <w:hyperlink r:id="rId603" w:history="1">
        <w:r w:rsidRPr="005B38F0">
          <w:rPr>
            <w:rFonts w:ascii="Times New Roman" w:eastAsia="Times New Roman" w:hAnsi="Times New Roman" w:cs="Times New Roman"/>
            <w:color w:val="0000FF"/>
            <w:sz w:val="24"/>
            <w:szCs w:val="24"/>
            <w:u w:val="single"/>
          </w:rPr>
          <w:t>https://doi.org/10.1111/jnp.12063</w:t>
        </w:r>
      </w:hyperlink>
    </w:p>
    <w:p w14:paraId="44425E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Boosman, H., Visser-Meily, J. M. A., Ownsworth, T., Winkens, I., &amp; Van Heugten, C. M. (2014). Validity of the dynamic Wisconsin Card Sorting Test for assessing learning potential in brain injury rehabilitation.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(10), 1034–1044. </w:t>
      </w:r>
      <w:hyperlink r:id="rId604" w:history="1">
        <w:r w:rsidRPr="005B38F0">
          <w:rPr>
            <w:rFonts w:ascii="Times New Roman" w:eastAsia="Times New Roman" w:hAnsi="Times New Roman" w:cs="Times New Roman"/>
            <w:color w:val="0000FF"/>
            <w:sz w:val="24"/>
            <w:szCs w:val="24"/>
            <w:u w:val="single"/>
          </w:rPr>
          <w:t>https://doi.org/10.1017/S1355617714000897</w:t>
        </w:r>
      </w:hyperlink>
    </w:p>
    <w:p w14:paraId="412731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Boosman, H., Winkens, I., van Heugten, C. M., Rasquin, S. M. C., Heijnen, V. A., &amp; Visser-Meily, J. M. A. (2017). Predictors of health-related quality of life and participation after brain injury rehabilitation: The role of neuropsychological factors.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581–598. </w:t>
      </w:r>
      <w:hyperlink r:id="rId605" w:history="1">
        <w:r w:rsidRPr="005B38F0">
          <w:rPr>
            <w:rFonts w:ascii="Times New Roman" w:eastAsia="Times New Roman" w:hAnsi="Times New Roman" w:cs="Times New Roman"/>
            <w:color w:val="0000FF"/>
            <w:sz w:val="24"/>
            <w:szCs w:val="24"/>
            <w:u w:val="single"/>
          </w:rPr>
          <w:t>https://doi.org/10.1080/09602011.2015.1113996</w:t>
        </w:r>
      </w:hyperlink>
    </w:p>
    <w:p w14:paraId="179235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(2015). Developmental trajectory of cognitive impairment in bipolar disorder: Comparison with schizophrenia.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(2), 158–168. </w:t>
      </w:r>
      <w:hyperlink r:id="rId606" w:history="1">
        <w:r w:rsidRPr="005B38F0">
          <w:rPr>
            <w:rFonts w:ascii="Times New Roman" w:eastAsia="Times New Roman" w:hAnsi="Times New Roman" w:cs="Times New Roman"/>
            <w:color w:val="0000FF"/>
            <w:sz w:val="24"/>
            <w:szCs w:val="24"/>
            <w:u w:val="single"/>
          </w:rPr>
          <w:t>https://doi.org/10.1016/j.euroneuro.2014.09.007</w:t>
        </w:r>
      </w:hyperlink>
    </w:p>
    <w:p w14:paraId="5F122E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(2018). Neurocognitive features in clinical subgroups of bipolar disorder: A meta-analysis.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229</w:t>
      </w:r>
      <w:r w:rsidRPr="005B38F0">
        <w:rPr>
          <w:rFonts w:ascii="Times New Roman" w:eastAsia="Times New Roman" w:hAnsi="Times New Roman" w:cs="Times New Roman"/>
          <w:sz w:val="24"/>
          <w:szCs w:val="24"/>
        </w:rPr>
        <w:t xml:space="preserve">, 125–134. </w:t>
      </w:r>
      <w:hyperlink r:id="rId607" w:history="1">
        <w:r w:rsidRPr="005B38F0">
          <w:rPr>
            <w:rFonts w:ascii="Times New Roman" w:eastAsia="Times New Roman" w:hAnsi="Times New Roman" w:cs="Times New Roman"/>
            <w:color w:val="0000FF"/>
            <w:sz w:val="24"/>
            <w:szCs w:val="24"/>
            <w:u w:val="single"/>
          </w:rPr>
          <w:t>https://doi.org/10.1016/j.jad.2017.12.057</w:t>
        </w:r>
      </w:hyperlink>
    </w:p>
    <w:p w14:paraId="5784F7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Binnur Akdede, B., &amp; Alptekin, K. (2017). Neurocognitive impairment in deficit and non-deficit schizophrenia: A meta-analysis.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(14), 2401–2413. </w:t>
      </w:r>
      <w:hyperlink r:id="rId608" w:history="1">
        <w:r w:rsidRPr="005B38F0">
          <w:rPr>
            <w:rFonts w:ascii="Times New Roman" w:eastAsia="Times New Roman" w:hAnsi="Times New Roman" w:cs="Times New Roman"/>
            <w:color w:val="0000FF"/>
            <w:sz w:val="24"/>
            <w:szCs w:val="24"/>
            <w:u w:val="single"/>
          </w:rPr>
          <w:t>https://doi.org/10.1017/S0033291717000952</w:t>
        </w:r>
      </w:hyperlink>
    </w:p>
    <w:p w14:paraId="2320C0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Can, G., Ildız, A., Ulas, G., Ongun, C. H., Inal, N. E., &amp; Ozerdem, A. (2019). Neurocognitive heterogeneity in young offspring of patients with bipolar disorder: The effect of putative clinical stages.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257</w:t>
      </w:r>
      <w:r w:rsidRPr="005B38F0">
        <w:rPr>
          <w:rFonts w:ascii="Times New Roman" w:eastAsia="Times New Roman" w:hAnsi="Times New Roman" w:cs="Times New Roman"/>
          <w:sz w:val="24"/>
          <w:szCs w:val="24"/>
        </w:rPr>
        <w:t xml:space="preserve">, 130–135. </w:t>
      </w:r>
      <w:hyperlink r:id="rId609" w:history="1">
        <w:r w:rsidRPr="005B38F0">
          <w:rPr>
            <w:rFonts w:ascii="Times New Roman" w:eastAsia="Times New Roman" w:hAnsi="Times New Roman" w:cs="Times New Roman"/>
            <w:color w:val="0000FF"/>
            <w:sz w:val="24"/>
            <w:szCs w:val="24"/>
            <w:u w:val="single"/>
          </w:rPr>
          <w:t>https://doi.org/10.1016/j.jad.2019.07.015</w:t>
        </w:r>
      </w:hyperlink>
    </w:p>
    <w:p w14:paraId="3A8FCE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Harrison, B. J., Yucel, M., &amp; Pantelis, C. (2013). Cognitive impairment in euthymic major depressive disorder: A meta-analysis.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(10), 2017–2026. </w:t>
      </w:r>
      <w:hyperlink r:id="rId610" w:history="1">
        <w:r w:rsidRPr="005B38F0">
          <w:rPr>
            <w:rFonts w:ascii="Times New Roman" w:eastAsia="Times New Roman" w:hAnsi="Times New Roman" w:cs="Times New Roman"/>
            <w:color w:val="0000FF"/>
            <w:sz w:val="24"/>
            <w:szCs w:val="24"/>
            <w:u w:val="single"/>
          </w:rPr>
          <w:t>https://doi.org/10.1017/S0033291712002085</w:t>
        </w:r>
      </w:hyperlink>
    </w:p>
    <w:p w14:paraId="39DFF6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Özerdem, A. (2017a). A meta-analysis of neurocognition in youth with familial high risk for bipolar disorder.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 17–23. </w:t>
      </w:r>
      <w:hyperlink r:id="rId611" w:history="1">
        <w:r w:rsidRPr="005B38F0">
          <w:rPr>
            <w:rFonts w:ascii="Times New Roman" w:eastAsia="Times New Roman" w:hAnsi="Times New Roman" w:cs="Times New Roman"/>
            <w:color w:val="0000FF"/>
            <w:sz w:val="24"/>
            <w:szCs w:val="24"/>
            <w:u w:val="single"/>
          </w:rPr>
          <w:t>https://doi.org/10.1016/j.eurpsy.2017.02.483</w:t>
        </w:r>
      </w:hyperlink>
    </w:p>
    <w:p w14:paraId="600FC8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Bora, E., &amp; Özerdem, A. (2017b). Meta-analysis of longitudinal studies of cognition in bipolar disorder: Comparison with healthy controls and schizophrenia.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(16), 2753–2766. </w:t>
      </w:r>
      <w:hyperlink r:id="rId612" w:history="1">
        <w:r w:rsidRPr="005B38F0">
          <w:rPr>
            <w:rFonts w:ascii="Times New Roman" w:eastAsia="Times New Roman" w:hAnsi="Times New Roman" w:cs="Times New Roman"/>
            <w:color w:val="0000FF"/>
            <w:sz w:val="24"/>
            <w:szCs w:val="24"/>
            <w:u w:val="single"/>
          </w:rPr>
          <w:t>https://doi.org/10.1017/S0033291717001490</w:t>
        </w:r>
      </w:hyperlink>
    </w:p>
    <w:p w14:paraId="5882DC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Pantelis, C. (2011). Domains of cognitive impairment in bipolar disorder: Commentary on “The International Society for Bipolar Disorders–Battery for Assessment of Neurocognition (ISBD-BANC).”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217–218. </w:t>
      </w:r>
      <w:hyperlink r:id="rId613" w:history="1">
        <w:r w:rsidRPr="005B38F0">
          <w:rPr>
            <w:rFonts w:ascii="Times New Roman" w:eastAsia="Times New Roman" w:hAnsi="Times New Roman" w:cs="Times New Roman"/>
            <w:color w:val="0000FF"/>
            <w:sz w:val="24"/>
            <w:szCs w:val="24"/>
            <w:u w:val="single"/>
          </w:rPr>
          <w:t>https://doi.org/10.1111/j.1399-5618.2011.00899.x</w:t>
        </w:r>
      </w:hyperlink>
    </w:p>
    <w:p w14:paraId="2F4F27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Pantelis, C. (2013). Theory of mind impairments in first-episode psychosis, individuals at ultra-high risk for psychosis and in first-degree relatives of schizophrenia: Systematic review and meta-analysis.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144</w:t>
      </w:r>
      <w:r w:rsidRPr="005B38F0">
        <w:rPr>
          <w:rFonts w:ascii="Times New Roman" w:eastAsia="Times New Roman" w:hAnsi="Times New Roman" w:cs="Times New Roman"/>
          <w:sz w:val="24"/>
          <w:szCs w:val="24"/>
        </w:rPr>
        <w:t xml:space="preserve">(1–3), 31–36. </w:t>
      </w:r>
      <w:hyperlink r:id="rId614" w:history="1">
        <w:r w:rsidRPr="005B38F0">
          <w:rPr>
            <w:rFonts w:ascii="Times New Roman" w:eastAsia="Times New Roman" w:hAnsi="Times New Roman" w:cs="Times New Roman"/>
            <w:color w:val="0000FF"/>
            <w:sz w:val="24"/>
            <w:szCs w:val="24"/>
            <w:u w:val="single"/>
          </w:rPr>
          <w:t>https://doi.org/10.1016/j.schres.2012.12.013</w:t>
        </w:r>
      </w:hyperlink>
    </w:p>
    <w:p w14:paraId="0AB993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Pantelis, C. (2015). Meta-analysis of cognitive impairment in first-episode bipolar disorder: Comparison with first-episode schizophrenia and healthy controls.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(5), 1095–1104. </w:t>
      </w:r>
      <w:hyperlink r:id="rId615" w:history="1">
        <w:r w:rsidRPr="005B38F0">
          <w:rPr>
            <w:rFonts w:ascii="Times New Roman" w:eastAsia="Times New Roman" w:hAnsi="Times New Roman" w:cs="Times New Roman"/>
            <w:color w:val="0000FF"/>
            <w:sz w:val="24"/>
            <w:szCs w:val="24"/>
            <w:u w:val="single"/>
          </w:rPr>
          <w:t>https://doi.org/10.1093/schbul/sbu198</w:t>
        </w:r>
      </w:hyperlink>
    </w:p>
    <w:p w14:paraId="0C6B71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Sehitoglu, G., Aslier, M., Atabay, I., &amp; Veznedaroglu, B. (2007). Theory of mind and unawareness of illness in schizophrenia: Is poor insight a mentalizing deficit?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257</w:t>
      </w:r>
      <w:r w:rsidRPr="005B38F0">
        <w:rPr>
          <w:rFonts w:ascii="Times New Roman" w:eastAsia="Times New Roman" w:hAnsi="Times New Roman" w:cs="Times New Roman"/>
          <w:sz w:val="24"/>
          <w:szCs w:val="24"/>
        </w:rPr>
        <w:t xml:space="preserve">(2), 104–111. </w:t>
      </w:r>
      <w:hyperlink r:id="rId616" w:history="1">
        <w:r w:rsidRPr="005B38F0">
          <w:rPr>
            <w:rFonts w:ascii="Times New Roman" w:eastAsia="Times New Roman" w:hAnsi="Times New Roman" w:cs="Times New Roman"/>
            <w:color w:val="0000FF"/>
            <w:sz w:val="24"/>
            <w:szCs w:val="24"/>
            <w:u w:val="single"/>
          </w:rPr>
          <w:t>https://doi.org/10.1007/s00406-006-0681-3</w:t>
        </w:r>
      </w:hyperlink>
    </w:p>
    <w:p w14:paraId="10F446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Vahip, S., Gonul, A. S., Akdeniz, F., Alkan, M., Ogut, M., &amp; Eryavuz, A. (2005). Evidence for theory of mind deficits in euthymic patients with bipolar disorder.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112</w:t>
      </w:r>
      <w:r w:rsidRPr="005B38F0">
        <w:rPr>
          <w:rFonts w:ascii="Times New Roman" w:eastAsia="Times New Roman" w:hAnsi="Times New Roman" w:cs="Times New Roman"/>
          <w:sz w:val="24"/>
          <w:szCs w:val="24"/>
        </w:rPr>
        <w:t xml:space="preserve">(2), 110–116. </w:t>
      </w:r>
      <w:hyperlink r:id="rId617" w:history="1">
        <w:r w:rsidRPr="005B38F0">
          <w:rPr>
            <w:rFonts w:ascii="Times New Roman" w:eastAsia="Times New Roman" w:hAnsi="Times New Roman" w:cs="Times New Roman"/>
            <w:color w:val="0000FF"/>
            <w:sz w:val="24"/>
            <w:szCs w:val="24"/>
            <w:u w:val="single"/>
          </w:rPr>
          <w:t>https://doi.org/10.1111/j.1600-0447.2005.00570.x</w:t>
        </w:r>
      </w:hyperlink>
    </w:p>
    <w:p w14:paraId="063F6C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Bora, E., Veznedaroğlu, B., &amp; Vahip, S. (2016). Theory of mind and executive functions in schizophrenia and bipolar disorder: A cross-diagnostic latent class analysis for identification of neuropsychological subtypes.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176</w:t>
      </w:r>
      <w:r w:rsidRPr="005B38F0">
        <w:rPr>
          <w:rFonts w:ascii="Times New Roman" w:eastAsia="Times New Roman" w:hAnsi="Times New Roman" w:cs="Times New Roman"/>
          <w:sz w:val="24"/>
          <w:szCs w:val="24"/>
        </w:rPr>
        <w:t xml:space="preserve">(2–3), 500–505. </w:t>
      </w:r>
      <w:hyperlink r:id="rId618" w:history="1">
        <w:r w:rsidRPr="005B38F0">
          <w:rPr>
            <w:rFonts w:ascii="Times New Roman" w:eastAsia="Times New Roman" w:hAnsi="Times New Roman" w:cs="Times New Roman"/>
            <w:color w:val="0000FF"/>
            <w:sz w:val="24"/>
            <w:szCs w:val="24"/>
            <w:u w:val="single"/>
          </w:rPr>
          <w:t>https://doi.org/10.1016/j.schres.2016.06.007</w:t>
        </w:r>
      </w:hyperlink>
    </w:p>
    <w:p w14:paraId="4A2DFE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Bora, E., &amp; Zorlu, N. (2017). Social cognition in alcohol use disorder: A meta‐analysis. </w:t>
      </w:r>
      <w:r w:rsidRPr="005B38F0">
        <w:rPr>
          <w:rFonts w:ascii="Times New Roman" w:eastAsia="Times New Roman" w:hAnsi="Times New Roman" w:cs="Times New Roman"/>
          <w:i/>
          <w:iCs/>
          <w:sz w:val="24"/>
          <w:szCs w:val="24"/>
        </w:rPr>
        <w:t>Addiction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112</w:t>
      </w:r>
      <w:r w:rsidRPr="005B38F0">
        <w:rPr>
          <w:rFonts w:ascii="Times New Roman" w:eastAsia="Times New Roman" w:hAnsi="Times New Roman" w:cs="Times New Roman"/>
          <w:sz w:val="24"/>
          <w:szCs w:val="24"/>
        </w:rPr>
        <w:t xml:space="preserve">(1), 40–48. </w:t>
      </w:r>
      <w:hyperlink r:id="rId619" w:history="1">
        <w:r w:rsidRPr="005B38F0">
          <w:rPr>
            <w:rFonts w:ascii="Times New Roman" w:eastAsia="Times New Roman" w:hAnsi="Times New Roman" w:cs="Times New Roman"/>
            <w:color w:val="0000FF"/>
            <w:sz w:val="24"/>
            <w:szCs w:val="24"/>
            <w:u w:val="single"/>
          </w:rPr>
          <w:t>https://doi.org/10.1111/add.13486</w:t>
        </w:r>
      </w:hyperlink>
    </w:p>
    <w:p w14:paraId="617C4F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Borda, T., Cremaschi, G., &amp; Sterin-Borda, L. (2000). Anticuerpos antimuscarínicos en pacientes esquizofrénicos. [Anti-muscarinic antibodies in schizophrenic patients.]. </w:t>
      </w:r>
      <w:r w:rsidRPr="005B38F0">
        <w:rPr>
          <w:rFonts w:ascii="Times New Roman" w:eastAsia="Times New Roman" w:hAnsi="Times New Roman" w:cs="Times New Roman"/>
          <w:i/>
          <w:iCs/>
          <w:sz w:val="24"/>
          <w:szCs w:val="24"/>
        </w:rPr>
        <w:t>Acta Psiquiátrica y Psicológica de América Latina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(1), 13–22.</w:t>
      </w:r>
    </w:p>
    <w:p w14:paraId="790F1ED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Borelli, L. A. (2001). </w:t>
      </w:r>
      <w:r w:rsidRPr="005B38F0">
        <w:rPr>
          <w:rFonts w:ascii="Times New Roman" w:eastAsia="Times New Roman" w:hAnsi="Times New Roman" w:cs="Times New Roman"/>
          <w:i/>
          <w:iCs/>
          <w:sz w:val="24"/>
          <w:szCs w:val="24"/>
        </w:rPr>
        <w:t>Learning disabilities and cognitive functioning in a child psychiatric population.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(5-B), 2476–2476.</w:t>
      </w:r>
    </w:p>
    <w:p w14:paraId="541E88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 C., Bedoin, N., Peyron, R., Bogey, S., Laurent, B., &amp; Thomas-Antérion, C. (2013). Impaired emotional processing in a patient with a left posterior insula-SII lesion.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592–603. </w:t>
      </w:r>
      <w:hyperlink r:id="rId620" w:history="1">
        <w:r w:rsidRPr="005B38F0">
          <w:rPr>
            <w:rFonts w:ascii="Times New Roman" w:eastAsia="Times New Roman" w:hAnsi="Times New Roman" w:cs="Times New Roman"/>
            <w:color w:val="0000FF"/>
            <w:sz w:val="24"/>
            <w:szCs w:val="24"/>
            <w:u w:val="single"/>
          </w:rPr>
          <w:t>https://doi.org/10.1080/13554794.2012.713491</w:t>
        </w:r>
      </w:hyperlink>
    </w:p>
    <w:p w14:paraId="325FD1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 J., Andrée, B., Lundberg, J., Halldin, C., &amp; Farde, L. (2006). Search for correlations between serotonin 5-HT1A receptor expression and cognitive functions—A strategy in translational psychopharmacology. </w:t>
      </w:r>
      <w:r w:rsidRPr="005B38F0">
        <w:rPr>
          <w:rFonts w:ascii="Times New Roman" w:eastAsia="Times New Roman" w:hAnsi="Times New Roman" w:cs="Times New Roman"/>
          <w:i/>
          <w:iCs/>
          <w:sz w:val="24"/>
          <w:szCs w:val="24"/>
        </w:rPr>
        <w:t>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185</w:t>
      </w:r>
      <w:r w:rsidRPr="005B38F0">
        <w:rPr>
          <w:rFonts w:ascii="Times New Roman" w:eastAsia="Times New Roman" w:hAnsi="Times New Roman" w:cs="Times New Roman"/>
          <w:sz w:val="24"/>
          <w:szCs w:val="24"/>
        </w:rPr>
        <w:t xml:space="preserve">(3), 389–394. </w:t>
      </w:r>
      <w:hyperlink r:id="rId621" w:history="1">
        <w:r w:rsidRPr="005B38F0">
          <w:rPr>
            <w:rFonts w:ascii="Times New Roman" w:eastAsia="Times New Roman" w:hAnsi="Times New Roman" w:cs="Times New Roman"/>
            <w:color w:val="0000FF"/>
            <w:sz w:val="24"/>
            <w:szCs w:val="24"/>
            <w:u w:val="single"/>
          </w:rPr>
          <w:t>https://doi.org/10.1007/s00213-006-0329-z</w:t>
        </w:r>
      </w:hyperlink>
    </w:p>
    <w:p w14:paraId="20EF72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 J., Henningsson, S., Saijo, T., Inoue, M., Bah, J., Westberg, L., Lundberg, J., Jovanovic, H., Andrée, B., Nordstrom, A.-L., Halldin, C., Eriksson, E., &amp; Farde, L. (2009). Serotonin transporter genotype is associated with cognitive performance but not regional 5-HT1A receptor binding in humans. </w:t>
      </w:r>
      <w:r w:rsidRPr="005B38F0">
        <w:rPr>
          <w:rFonts w:ascii="Times New Roman" w:eastAsia="Times New Roman" w:hAnsi="Times New Roman" w:cs="Times New Roman"/>
          <w:i/>
          <w:iCs/>
          <w:sz w:val="24"/>
          <w:szCs w:val="24"/>
        </w:rPr>
        <w:t>International Journal of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(6), 783–792. </w:t>
      </w:r>
      <w:hyperlink r:id="rId622" w:history="1">
        <w:r w:rsidRPr="005B38F0">
          <w:rPr>
            <w:rFonts w:ascii="Times New Roman" w:eastAsia="Times New Roman" w:hAnsi="Times New Roman" w:cs="Times New Roman"/>
            <w:color w:val="0000FF"/>
            <w:sz w:val="24"/>
            <w:szCs w:val="24"/>
            <w:u w:val="single"/>
          </w:rPr>
          <w:t>https://doi.org/10.1017/S1461145708009759</w:t>
        </w:r>
      </w:hyperlink>
    </w:p>
    <w:p w14:paraId="1D0EBF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Borgaro, S. R. (1999). </w:t>
      </w:r>
      <w:r w:rsidRPr="005B38F0">
        <w:rPr>
          <w:rFonts w:ascii="Times New Roman" w:eastAsia="Times New Roman" w:hAnsi="Times New Roman" w:cs="Times New Roman"/>
          <w:i/>
          <w:iCs/>
          <w:sz w:val="24"/>
          <w:szCs w:val="24"/>
        </w:rPr>
        <w:t>The discriminant and convergent validity of alternate continuous performance task paradigms as measures of inattention and impulsivity in adolescent psychiatric inpatients.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(2-B), 819–819.</w:t>
      </w:r>
    </w:p>
    <w:p w14:paraId="59C5E5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Borges, M. C., Braga, D. T., Iêgo, S., D’Alcante, C. C., Sidrim, I., Machado, M. C., Pinto, P. S. P., Cordioli, A. V., do Rosário, M. C., Petribú, K., Mendlowicz, M. V., Mari, J. J., Miguel, E. C., &amp; Fontenelle, L. F. (2011). Cognitive dysfunction in post-traumatic obsessive–compulsive disorder.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 76–85. </w:t>
      </w:r>
      <w:hyperlink r:id="rId623" w:history="1">
        <w:r w:rsidRPr="005B38F0">
          <w:rPr>
            <w:rFonts w:ascii="Times New Roman" w:eastAsia="Times New Roman" w:hAnsi="Times New Roman" w:cs="Times New Roman"/>
            <w:color w:val="0000FF"/>
            <w:sz w:val="24"/>
            <w:szCs w:val="24"/>
            <w:u w:val="single"/>
          </w:rPr>
          <w:t>https://doi.org/10.3109/00048674.2010.527822</w:t>
        </w:r>
      </w:hyperlink>
    </w:p>
    <w:p w14:paraId="1808A4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Borghammer, P., Østergaard, K., Cumming, P., Gjedde, A., Rodell, A., Hall, N., &amp; Chakravarty, M. M. (2010). A deformation-based morphometry study of patients with early-stage Parkinson’s disease.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314–320. </w:t>
      </w:r>
      <w:hyperlink r:id="rId624" w:history="1">
        <w:r w:rsidRPr="005B38F0">
          <w:rPr>
            <w:rFonts w:ascii="Times New Roman" w:eastAsia="Times New Roman" w:hAnsi="Times New Roman" w:cs="Times New Roman"/>
            <w:color w:val="0000FF"/>
            <w:sz w:val="24"/>
            <w:szCs w:val="24"/>
            <w:u w:val="single"/>
          </w:rPr>
          <w:t>https://doi.org/10.1111/j.1468-1331.2009.02807.x</w:t>
        </w:r>
      </w:hyperlink>
    </w:p>
    <w:p w14:paraId="1EA7BB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Araszkiewicz, A., Rajewski, A., &amp; Rybakowski, J. K. (2002). Risperidone treatment of schizophrenia: Improvement in psychopathology and neuropsychological tests.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(2), 85–89. </w:t>
      </w:r>
      <w:hyperlink r:id="rId625" w:history="1">
        <w:r w:rsidRPr="005B38F0">
          <w:rPr>
            <w:rFonts w:ascii="Times New Roman" w:eastAsia="Times New Roman" w:hAnsi="Times New Roman" w:cs="Times New Roman"/>
            <w:color w:val="0000FF"/>
            <w:sz w:val="24"/>
            <w:szCs w:val="24"/>
            <w:u w:val="single"/>
          </w:rPr>
          <w:t>https://doi.org/10.1159/000065417</w:t>
        </w:r>
      </w:hyperlink>
    </w:p>
    <w:p w14:paraId="23D67AF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Leszczyńska-Rodziewicz, A., Kapelski, P., Hauser, J., &amp; Rybakowski, J. (2005). Zaburzenia ruchów oczu i deficyt pamięci operacyjnej w chorobie afektywnej dwubiegunowej. [Eye movement disturbances and working memory deficit in bipolar affective disorder.]. </w:t>
      </w:r>
      <w:r w:rsidRPr="005B38F0">
        <w:rPr>
          <w:rFonts w:ascii="Times New Roman" w:eastAsia="Times New Roman" w:hAnsi="Times New Roman" w:cs="Times New Roman"/>
          <w:i/>
          <w:iCs/>
          <w:sz w:val="24"/>
          <w:szCs w:val="24"/>
        </w:rPr>
        <w:t>Psychiatria Polska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(3), 481–495.</w:t>
      </w:r>
    </w:p>
    <w:p w14:paraId="763911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Borkowska, A., Pilaczyñska, E., &amp; Rybakowski, J. K. (2003). The Frontal Lobe Neuropsychological Tests in Patients With Schizophrenia and/or Obsessive-Compulsive Disorder.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(3), 359–362. </w:t>
      </w:r>
      <w:hyperlink r:id="rId626" w:history="1">
        <w:r w:rsidRPr="005B38F0">
          <w:rPr>
            <w:rFonts w:ascii="Times New Roman" w:eastAsia="Times New Roman" w:hAnsi="Times New Roman" w:cs="Times New Roman"/>
            <w:color w:val="0000FF"/>
            <w:sz w:val="24"/>
            <w:szCs w:val="24"/>
            <w:u w:val="single"/>
          </w:rPr>
          <w:t>https://doi.org/10.1176/appi.neuropsych.15.3.359</w:t>
        </w:r>
      </w:hyperlink>
    </w:p>
    <w:p w14:paraId="066BDF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Borkowska, A., &amp; Rybakowski, J. (2001). Neuropsychological frontal lobe tests indicate that bipolar depressed patients are more impaired than unipolar.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(2), 88–94. </w:t>
      </w:r>
      <w:hyperlink r:id="rId627" w:history="1">
        <w:r w:rsidRPr="005B38F0">
          <w:rPr>
            <w:rFonts w:ascii="Times New Roman" w:eastAsia="Times New Roman" w:hAnsi="Times New Roman" w:cs="Times New Roman"/>
            <w:color w:val="0000FF"/>
            <w:sz w:val="24"/>
            <w:szCs w:val="24"/>
            <w:u w:val="single"/>
          </w:rPr>
          <w:t>https://doi.org/10.1034/j.1399-5618.2001.030207.x</w:t>
        </w:r>
      </w:hyperlink>
    </w:p>
    <w:p w14:paraId="736174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Bormann, T., Wallesch, C.-W., &amp; Blanken, G. (2008). Verbal planning in a case of ‘dynamic aphasia’: An impairment at the level of macroplanning.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(5), 431–450. </w:t>
      </w:r>
      <w:hyperlink r:id="rId628" w:history="1">
        <w:r w:rsidRPr="005B38F0">
          <w:rPr>
            <w:rFonts w:ascii="Times New Roman" w:eastAsia="Times New Roman" w:hAnsi="Times New Roman" w:cs="Times New Roman"/>
            <w:color w:val="0000FF"/>
            <w:sz w:val="24"/>
            <w:szCs w:val="24"/>
            <w:u w:val="single"/>
          </w:rPr>
          <w:t>https://doi.org/10.1080/13554790802459478</w:t>
        </w:r>
      </w:hyperlink>
    </w:p>
    <w:p w14:paraId="7CBEED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Bormann, T., Wolfer, S., Hachmann, W., Neubauer, C., &amp; Konieczny, L. (2015). Fast word reading in pure alexia: “Fast, yet serial”.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251–267. </w:t>
      </w:r>
      <w:hyperlink r:id="rId629" w:history="1">
        <w:r w:rsidRPr="005B38F0">
          <w:rPr>
            <w:rFonts w:ascii="Times New Roman" w:eastAsia="Times New Roman" w:hAnsi="Times New Roman" w:cs="Times New Roman"/>
            <w:color w:val="0000FF"/>
            <w:sz w:val="24"/>
            <w:szCs w:val="24"/>
            <w:u w:val="single"/>
          </w:rPr>
          <w:t>https://doi.org/10.1080/13554794.2014.890732</w:t>
        </w:r>
      </w:hyperlink>
    </w:p>
    <w:p w14:paraId="43A923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Borriello, A., Balbi, A., Menichincheri, R. M., &amp; Mirabella, F. (2015). Valutazione di efficacia del training cognitivo IPT di Brenner nell’esordio psicotico. Uno studio pilota. [Timing and effectiveness of Brenner’s IPT cognitive training in early psychosis. A pilot study.]. </w:t>
      </w:r>
      <w:r w:rsidRPr="005B38F0">
        <w:rPr>
          <w:rFonts w:ascii="Times New Roman" w:eastAsia="Times New Roman" w:hAnsi="Times New Roman" w:cs="Times New Roman"/>
          <w:i/>
          <w:iCs/>
          <w:sz w:val="24"/>
          <w:szCs w:val="24"/>
        </w:rPr>
        <w:t>Rivista Di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(3), 127–133.</w:t>
      </w:r>
    </w:p>
    <w:p w14:paraId="4ACE8D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Borriello, A., Dionisi, A., Iannucci, C., &amp; Balbi, A. (2002). Criteri operativi di misurazione dei deficit cognitivi nel paziente schizofrenico in un contesto psichiatrico pubblico. [Operative criteria for the measurement of schizophrenic patient cognitive deficits within a public operated psychiatric environment.]. </w:t>
      </w:r>
      <w:r w:rsidRPr="005B38F0">
        <w:rPr>
          <w:rFonts w:ascii="Times New Roman" w:eastAsia="Times New Roman" w:hAnsi="Times New Roman" w:cs="Times New Roman"/>
          <w:i/>
          <w:iCs/>
          <w:sz w:val="24"/>
          <w:szCs w:val="24"/>
        </w:rPr>
        <w:t>Rivista Di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(1), 20–28.</w:t>
      </w:r>
    </w:p>
    <w:p w14:paraId="712A17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Borriello, A., Iannucci, C., Dionisi, A., &amp; Balbi, A. (2002). Applicazione di un protocollo diagnostico neuropsicologico. Evidenze di deficit cognitivi in un gruppo di pazienti psichiatrici dei Centri Ciurni del DSM della ASL Roma D. [Neuropsychological diagnostic protocol treatment of cognitive deficits: Evidence f. </w:t>
      </w:r>
      <w:r w:rsidRPr="005B38F0">
        <w:rPr>
          <w:rFonts w:ascii="Times New Roman" w:eastAsia="Times New Roman" w:hAnsi="Times New Roman" w:cs="Times New Roman"/>
          <w:i/>
          <w:iCs/>
          <w:sz w:val="24"/>
          <w:szCs w:val="24"/>
        </w:rPr>
        <w:t>Rivista Di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(2), 61–68.</w:t>
      </w:r>
    </w:p>
    <w:p w14:paraId="76C316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Borroni, B., Alberici, A., Cercignani, M., Premi, E., Serra, L., Cerini, C., Cosseddu, M., Pettenati, C., Turla, M., Archetti, S., Gasparotti, R., Caltagirone, C., Padovani, A., &amp; </w:t>
      </w:r>
      <w:r w:rsidRPr="005B38F0">
        <w:rPr>
          <w:rFonts w:ascii="Times New Roman" w:eastAsia="Times New Roman" w:hAnsi="Times New Roman" w:cs="Times New Roman"/>
          <w:sz w:val="24"/>
          <w:szCs w:val="24"/>
        </w:rPr>
        <w:lastRenderedPageBreak/>
        <w:t xml:space="preserve">Bozzali, M. (2012). Granulin mutation drives brain damage and reorganization from preclinical to symptomatic FTLD.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(10), 2506–2520. </w:t>
      </w:r>
      <w:hyperlink r:id="rId630" w:history="1">
        <w:r w:rsidRPr="005B38F0">
          <w:rPr>
            <w:rFonts w:ascii="Times New Roman" w:eastAsia="Times New Roman" w:hAnsi="Times New Roman" w:cs="Times New Roman"/>
            <w:color w:val="0000FF"/>
            <w:sz w:val="24"/>
            <w:szCs w:val="24"/>
            <w:u w:val="single"/>
          </w:rPr>
          <w:t>https://doi.org/10.1016/j.neurobiolaging.2011.10.031</w:t>
        </w:r>
      </w:hyperlink>
    </w:p>
    <w:p w14:paraId="3530EF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Borroni, B., &amp; Padovani, A. (2015). Progressive supranuclear palsy. In </w:t>
      </w:r>
      <w:r w:rsidRPr="005B38F0">
        <w:rPr>
          <w:rFonts w:ascii="Times New Roman" w:eastAsia="Times New Roman" w:hAnsi="Times New Roman" w:cs="Times New Roman"/>
          <w:i/>
          <w:iCs/>
          <w:sz w:val="24"/>
          <w:szCs w:val="24"/>
        </w:rPr>
        <w:t>Clinical neuropsychology and cognitive neurology of Parkinson’s disease and other movement disorders.</w:t>
      </w:r>
      <w:r w:rsidRPr="005B38F0">
        <w:rPr>
          <w:rFonts w:ascii="Times New Roman" w:eastAsia="Times New Roman" w:hAnsi="Times New Roman" w:cs="Times New Roman"/>
          <w:sz w:val="24"/>
          <w:szCs w:val="24"/>
        </w:rPr>
        <w:t xml:space="preserve"> (pp. 440–454). Oxford University Press.</w:t>
      </w:r>
    </w:p>
    <w:p w14:paraId="315A02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Borsutzky, S., Fujiwara, E., Brand, M., &amp; Markowitsch, H. J. (2010). Susceptibility to false memories in patients with ACoA aneurysm.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(10), 2811–2823. </w:t>
      </w:r>
      <w:hyperlink r:id="rId631" w:history="1">
        <w:r w:rsidRPr="005B38F0">
          <w:rPr>
            <w:rFonts w:ascii="Times New Roman" w:eastAsia="Times New Roman" w:hAnsi="Times New Roman" w:cs="Times New Roman"/>
            <w:color w:val="0000FF"/>
            <w:sz w:val="24"/>
            <w:szCs w:val="24"/>
            <w:u w:val="single"/>
          </w:rPr>
          <w:t>https://doi.org/10.1016/j.neuropsychologia.2010.05.023</w:t>
        </w:r>
      </w:hyperlink>
    </w:p>
    <w:p w14:paraId="651D7B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Bosbach, S., Kornblum, C., Schröder, R., &amp; Wagner, M. (2003). Executive and visuospatial deficits in patients with chronic progressive external ophthalmoplegia and Kearns-Sayre syndrome.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126</w:t>
      </w:r>
      <w:r w:rsidRPr="005B38F0">
        <w:rPr>
          <w:rFonts w:ascii="Times New Roman" w:eastAsia="Times New Roman" w:hAnsi="Times New Roman" w:cs="Times New Roman"/>
          <w:sz w:val="24"/>
          <w:szCs w:val="24"/>
        </w:rPr>
        <w:t xml:space="preserve">(5), 1231–1240. </w:t>
      </w:r>
      <w:hyperlink r:id="rId632" w:history="1">
        <w:r w:rsidRPr="005B38F0">
          <w:rPr>
            <w:rFonts w:ascii="Times New Roman" w:eastAsia="Times New Roman" w:hAnsi="Times New Roman" w:cs="Times New Roman"/>
            <w:color w:val="0000FF"/>
            <w:sz w:val="24"/>
            <w:szCs w:val="24"/>
            <w:u w:val="single"/>
          </w:rPr>
          <w:t>https://doi.org/10.1093/brain/awg101</w:t>
        </w:r>
      </w:hyperlink>
    </w:p>
    <w:p w14:paraId="372069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Boschin, E. A., Mars, R. B., &amp; Buckley, M. J. (2017). Transcranial magnetic stimulation to dorsolateral prefrontal cortex affects conflict-induced behavioural adaptation in a Wisconsin Card Sorting Test analogue.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 36–43. </w:t>
      </w:r>
      <w:hyperlink r:id="rId633" w:history="1">
        <w:r w:rsidRPr="005B38F0">
          <w:rPr>
            <w:rFonts w:ascii="Times New Roman" w:eastAsia="Times New Roman" w:hAnsi="Times New Roman" w:cs="Times New Roman"/>
            <w:color w:val="0000FF"/>
            <w:sz w:val="24"/>
            <w:szCs w:val="24"/>
            <w:u w:val="single"/>
          </w:rPr>
          <w:t>https://doi.org/10.1016/j.neuropsychologia.2016.11.015</w:t>
        </w:r>
      </w:hyperlink>
    </w:p>
    <w:p w14:paraId="716954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Boseck, J. J., Roberds, E. L., &amp; Davis, A. S. (2013). Pervasive developmental disorders. In </w:t>
      </w:r>
      <w:r w:rsidRPr="005B38F0">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5B38F0">
        <w:rPr>
          <w:rFonts w:ascii="Times New Roman" w:eastAsia="Times New Roman" w:hAnsi="Times New Roman" w:cs="Times New Roman"/>
          <w:sz w:val="24"/>
          <w:szCs w:val="24"/>
        </w:rPr>
        <w:t xml:space="preserve"> (pp. 247–269). American Psychological Association. </w:t>
      </w:r>
      <w:hyperlink r:id="rId634" w:history="1">
        <w:r w:rsidRPr="005B38F0">
          <w:rPr>
            <w:rFonts w:ascii="Times New Roman" w:eastAsia="Times New Roman" w:hAnsi="Times New Roman" w:cs="Times New Roman"/>
            <w:color w:val="0000FF"/>
            <w:sz w:val="24"/>
            <w:szCs w:val="24"/>
            <w:u w:val="single"/>
          </w:rPr>
          <w:t>https://doi.org/10.1037/14091-011</w:t>
        </w:r>
      </w:hyperlink>
    </w:p>
    <w:p w14:paraId="70E65B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Boselie, J. J. L. M., Vancleef, L. M. G., &amp; Peters, M. L. (2018). Filling the glass: Effects of a positive psychology intervention on executive task performance in chronic pain patients. </w:t>
      </w:r>
      <w:r w:rsidRPr="005B38F0">
        <w:rPr>
          <w:rFonts w:ascii="Times New Roman" w:eastAsia="Times New Roman" w:hAnsi="Times New Roman" w:cs="Times New Roman"/>
          <w:i/>
          <w:iCs/>
          <w:sz w:val="24"/>
          <w:szCs w:val="24"/>
        </w:rPr>
        <w:t>European Journal of Pain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(7), 1268–1280. </w:t>
      </w:r>
      <w:hyperlink r:id="rId635" w:history="1">
        <w:r w:rsidRPr="005B38F0">
          <w:rPr>
            <w:rFonts w:ascii="Times New Roman" w:eastAsia="Times New Roman" w:hAnsi="Times New Roman" w:cs="Times New Roman"/>
            <w:color w:val="0000FF"/>
            <w:sz w:val="24"/>
            <w:szCs w:val="24"/>
            <w:u w:val="single"/>
          </w:rPr>
          <w:t>https://doi.org/10.1002/ejp.1214</w:t>
        </w:r>
      </w:hyperlink>
    </w:p>
    <w:p w14:paraId="504ECF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Anselmetti, S., Bechi, M., Lorenzi, C., Pirovano, A., Cocchi, F., Buonocore, M., Bramanti, P., Smeraldi, E., &amp; Cavallaro, R. (2011). Effect of 5-HT1A-receptor functional polymorphism on theory of mind performances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188</w:t>
      </w:r>
      <w:r w:rsidRPr="005B38F0">
        <w:rPr>
          <w:rFonts w:ascii="Times New Roman" w:eastAsia="Times New Roman" w:hAnsi="Times New Roman" w:cs="Times New Roman"/>
          <w:sz w:val="24"/>
          <w:szCs w:val="24"/>
        </w:rPr>
        <w:t xml:space="preserve">(2), 187–190. </w:t>
      </w:r>
      <w:hyperlink r:id="rId636" w:history="1">
        <w:r w:rsidRPr="005B38F0">
          <w:rPr>
            <w:rFonts w:ascii="Times New Roman" w:eastAsia="Times New Roman" w:hAnsi="Times New Roman" w:cs="Times New Roman"/>
            <w:color w:val="0000FF"/>
            <w:sz w:val="24"/>
            <w:szCs w:val="24"/>
            <w:u w:val="single"/>
          </w:rPr>
          <w:t>https://doi.org/10.1016/j.psychres.2010.11.014</w:t>
        </w:r>
      </w:hyperlink>
    </w:p>
    <w:p w14:paraId="7A7566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Anselmetti, S., Pirovano, A., Ermoli, E., Marino, E., Bramanti, P., Smeraldi, E., &amp; Cavallaro, R. (2010). HTTLPR functional polymorphism in schizophrenia: Executive functions vs. Sustained attention dissociation.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 81–85. </w:t>
      </w:r>
      <w:hyperlink r:id="rId637" w:history="1">
        <w:r w:rsidRPr="005B38F0">
          <w:rPr>
            <w:rFonts w:ascii="Times New Roman" w:eastAsia="Times New Roman" w:hAnsi="Times New Roman" w:cs="Times New Roman"/>
            <w:color w:val="0000FF"/>
            <w:sz w:val="24"/>
            <w:szCs w:val="24"/>
            <w:u w:val="single"/>
          </w:rPr>
          <w:t>https://doi.org/10.1016/j.pnpbp.2009.10.001</w:t>
        </w:r>
      </w:hyperlink>
    </w:p>
    <w:p w14:paraId="04E31B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Bechi, M., Bosinelli, F., Politi, E., Buonocore, M., Spangaro, M., Bianchi, L., Cocchi, F., Guglielmino, C., &amp; Cavallaro, R. (2019). From cognitive and clinical substrates to functional profiles: Disentangling heterogeneity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271</w:t>
      </w:r>
      <w:r w:rsidRPr="005B38F0">
        <w:rPr>
          <w:rFonts w:ascii="Times New Roman" w:eastAsia="Times New Roman" w:hAnsi="Times New Roman" w:cs="Times New Roman"/>
          <w:sz w:val="24"/>
          <w:szCs w:val="24"/>
        </w:rPr>
        <w:t xml:space="preserve">, 446–453. </w:t>
      </w:r>
      <w:hyperlink r:id="rId638" w:history="1">
        <w:r w:rsidRPr="005B38F0">
          <w:rPr>
            <w:rFonts w:ascii="Times New Roman" w:eastAsia="Times New Roman" w:hAnsi="Times New Roman" w:cs="Times New Roman"/>
            <w:color w:val="0000FF"/>
            <w:sz w:val="24"/>
            <w:szCs w:val="24"/>
            <w:u w:val="single"/>
          </w:rPr>
          <w:t>https://doi.org/10.1016/j.psychres.2018.12.026</w:t>
        </w:r>
      </w:hyperlink>
    </w:p>
    <w:p w14:paraId="179845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Buonocore, M., Guglielmino, C., Pirovano, A., Lorenzi, C., Marcone, A., Bramanti, P., Cappa, S. F., Aguglia, E., Smeraldi, E., &amp; Cavallaro, R. (2012). Saitohin polymorphism and executive dysfunction in schizophrenia.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1051–1056. </w:t>
      </w:r>
      <w:hyperlink r:id="rId639" w:history="1">
        <w:r w:rsidRPr="005B38F0">
          <w:rPr>
            <w:rFonts w:ascii="Times New Roman" w:eastAsia="Times New Roman" w:hAnsi="Times New Roman" w:cs="Times New Roman"/>
            <w:color w:val="0000FF"/>
            <w:sz w:val="24"/>
            <w:szCs w:val="24"/>
            <w:u w:val="single"/>
          </w:rPr>
          <w:t>https://doi.org/10.1007/s10072-011-0893-9</w:t>
        </w:r>
      </w:hyperlink>
    </w:p>
    <w:p w14:paraId="47BBB3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Bosia, M., Pigoni, A., Pirovano, A., Lorenzi, C., Spangaro, M., Buonocore, M., Bechi, M., Cocchi, F., Guglielmino, C., Bramanti, P., Smeraldi, E., &amp; Cavallaro, R. (2015). COMT and STH polymorphisms interaction on cognition in schizophrenia.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(2), 215–220. </w:t>
      </w:r>
      <w:hyperlink r:id="rId640" w:history="1">
        <w:r w:rsidRPr="005B38F0">
          <w:rPr>
            <w:rFonts w:ascii="Times New Roman" w:eastAsia="Times New Roman" w:hAnsi="Times New Roman" w:cs="Times New Roman"/>
            <w:color w:val="0000FF"/>
            <w:sz w:val="24"/>
            <w:szCs w:val="24"/>
            <w:u w:val="single"/>
          </w:rPr>
          <w:t>https://doi.org/10.1007/s10072-014-1936-9</w:t>
        </w:r>
      </w:hyperlink>
    </w:p>
    <w:p w14:paraId="06F44F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Boss, L., Kang, D.-H., Marcus, M., &amp; Bergstrom, N. (2014). Endogenous sex hormones and cognitive function in older adults: A systematic review. </w:t>
      </w:r>
      <w:r w:rsidRPr="005B38F0">
        <w:rPr>
          <w:rFonts w:ascii="Times New Roman" w:eastAsia="Times New Roman" w:hAnsi="Times New Roman" w:cs="Times New Roman"/>
          <w:i/>
          <w:iCs/>
          <w:sz w:val="24"/>
          <w:szCs w:val="24"/>
        </w:rPr>
        <w:t>Western Journal of Nursing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(3), 388–426. </w:t>
      </w:r>
      <w:hyperlink r:id="rId641" w:history="1">
        <w:r w:rsidRPr="005B38F0">
          <w:rPr>
            <w:rFonts w:ascii="Times New Roman" w:eastAsia="Times New Roman" w:hAnsi="Times New Roman" w:cs="Times New Roman"/>
            <w:color w:val="0000FF"/>
            <w:sz w:val="24"/>
            <w:szCs w:val="24"/>
            <w:u w:val="single"/>
          </w:rPr>
          <w:t>https://doi.org/10.1177/0193945913500566</w:t>
        </w:r>
      </w:hyperlink>
    </w:p>
    <w:p w14:paraId="658C0E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Botero, J. C. R., Medina, C. M. A., Rizzo, A. A., Aristizabal, A. C. G., &amp; Zuluaga, E. H. (2016). Relación entre cognición social y funciones ejecutivas en niños con trastorno negativista desafiante. [Relationship between social cognition and executive functions in children with oppositional defiant disorder.]. </w:t>
      </w:r>
      <w:r w:rsidRPr="005B38F0">
        <w:rPr>
          <w:rFonts w:ascii="Times New Roman" w:eastAsia="Times New Roman" w:hAnsi="Times New Roman" w:cs="Times New Roman"/>
          <w:i/>
          <w:iCs/>
          <w:sz w:val="24"/>
          <w:szCs w:val="24"/>
        </w:rPr>
        <w:t>Revista Iberoamericana de Diagnóstico y Evaluación Psicologica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(2), 49–58. </w:t>
      </w:r>
      <w:hyperlink r:id="rId642" w:history="1">
        <w:r w:rsidRPr="005B38F0">
          <w:rPr>
            <w:rFonts w:ascii="Times New Roman" w:eastAsia="Times New Roman" w:hAnsi="Times New Roman" w:cs="Times New Roman"/>
            <w:color w:val="0000FF"/>
            <w:sz w:val="24"/>
            <w:szCs w:val="24"/>
            <w:u w:val="single"/>
          </w:rPr>
          <w:t>https://doi.org/10.21865/RIDEP42_49</w:t>
        </w:r>
      </w:hyperlink>
    </w:p>
    <w:p w14:paraId="4920FE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Bouazzaoui, B., Angel, L., Fay, S., Taconnat, L., Charlotte, F., &amp; Isingrini, M. (2014). Does the greater involvement of executive control in memory with age act as a compensatory mechanism? </w:t>
      </w:r>
      <w:r w:rsidRPr="005B38F0">
        <w:rPr>
          <w:rFonts w:ascii="Times New Roman" w:eastAsia="Times New Roman" w:hAnsi="Times New Roman" w:cs="Times New Roman"/>
          <w:i/>
          <w:iCs/>
          <w:sz w:val="24"/>
          <w:szCs w:val="24"/>
        </w:rPr>
        <w:t>Canadian Journal of Experimental Psychology/Revue Canadienne de Psychologie Expérimentale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(1), 59–66. </w:t>
      </w:r>
      <w:hyperlink r:id="rId643" w:history="1">
        <w:r w:rsidRPr="005B38F0">
          <w:rPr>
            <w:rFonts w:ascii="Times New Roman" w:eastAsia="Times New Roman" w:hAnsi="Times New Roman" w:cs="Times New Roman"/>
            <w:color w:val="0000FF"/>
            <w:sz w:val="24"/>
            <w:szCs w:val="24"/>
            <w:u w:val="single"/>
          </w:rPr>
          <w:t>https://doi.org/10.1037/cep0000005</w:t>
        </w:r>
      </w:hyperlink>
    </w:p>
    <w:p w14:paraId="11BE42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Bouazzaoui, B., Fay, S., Taconnat, L., Angel, L., Vanneste, S., &amp; Isingrini, M. (2013). Differential involvement of knowledge representation and executive control in episodic memory performance in young and older adults. </w:t>
      </w:r>
      <w:r w:rsidRPr="005B38F0">
        <w:rPr>
          <w:rFonts w:ascii="Times New Roman" w:eastAsia="Times New Roman" w:hAnsi="Times New Roman" w:cs="Times New Roman"/>
          <w:i/>
          <w:iCs/>
          <w:sz w:val="24"/>
          <w:szCs w:val="24"/>
        </w:rPr>
        <w:t>Canadian Journal of Experimental Psychology/Revue Canadienne de Psychologie Expérimentale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(2), 100–107. </w:t>
      </w:r>
      <w:hyperlink r:id="rId644" w:history="1">
        <w:r w:rsidRPr="005B38F0">
          <w:rPr>
            <w:rFonts w:ascii="Times New Roman" w:eastAsia="Times New Roman" w:hAnsi="Times New Roman" w:cs="Times New Roman"/>
            <w:color w:val="0000FF"/>
            <w:sz w:val="24"/>
            <w:szCs w:val="24"/>
            <w:u w:val="single"/>
          </w:rPr>
          <w:t>https://doi.org/10.1037/a0028517</w:t>
        </w:r>
      </w:hyperlink>
    </w:p>
    <w:p w14:paraId="4B14F6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Bourne, C., Aydemir, Ö., Balanzá‐Martínez, V., Bora, E., Brissos, S., Cavanagh, J. T. O., Clark, L., Cubukcuoglu, Z., Dias, V. V., Dittmann, S., Ferrier, I. N., Fleck, D. E., Frangou, S., Gallagher, P., Jones, L., Kieseppä, T., Martínez‐Aran, A., Melle, I., Moore, P. B., … Goodwin, G. M. (2013). Neuropsychological testing of cognitive impairment in euthymic bipolar disorder: An individual patient data meta‐analysis.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128</w:t>
      </w:r>
      <w:r w:rsidRPr="005B38F0">
        <w:rPr>
          <w:rFonts w:ascii="Times New Roman" w:eastAsia="Times New Roman" w:hAnsi="Times New Roman" w:cs="Times New Roman"/>
          <w:sz w:val="24"/>
          <w:szCs w:val="24"/>
        </w:rPr>
        <w:t xml:space="preserve">(3), 149–162. </w:t>
      </w:r>
      <w:hyperlink r:id="rId645" w:history="1">
        <w:r w:rsidRPr="005B38F0">
          <w:rPr>
            <w:rFonts w:ascii="Times New Roman" w:eastAsia="Times New Roman" w:hAnsi="Times New Roman" w:cs="Times New Roman"/>
            <w:color w:val="0000FF"/>
            <w:sz w:val="24"/>
            <w:szCs w:val="24"/>
            <w:u w:val="single"/>
          </w:rPr>
          <w:t>https://doi.org/10.1111/acps.12133</w:t>
        </w:r>
      </w:hyperlink>
    </w:p>
    <w:p w14:paraId="7E456D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Bousman, C. A., Cherner, M., Emory, K. T., Barron, D., Grebenstein, P., Atkinson, J. H., Heaton, R. K., &amp; Grant, I. (2010). Preliminary evidence of motor impairment among polysubstance 3, 4-methylenedioxymefhamphetamine users with intact neuropsychological functioning.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(6), 1047–1055. </w:t>
      </w:r>
      <w:hyperlink r:id="rId646" w:history="1">
        <w:r w:rsidRPr="005B38F0">
          <w:rPr>
            <w:rFonts w:ascii="Times New Roman" w:eastAsia="Times New Roman" w:hAnsi="Times New Roman" w:cs="Times New Roman"/>
            <w:color w:val="0000FF"/>
            <w:sz w:val="24"/>
            <w:szCs w:val="24"/>
            <w:u w:val="single"/>
          </w:rPr>
          <w:t>https://doi.org/10.1017/S1355617710000846</w:t>
        </w:r>
      </w:hyperlink>
    </w:p>
    <w:p w14:paraId="487856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Bouso, J. C., González, D., Fondevila, S., Cutchet, M., Fernández, X., Ribeiro Barbosa, P. C., Alcázar-Córcoles, M. Á., Araújo, W. S., Barbanoj, M. J., Fábregas, J. M., &amp; Riba, J. (2012). Personality, psychopathology, life attitudes and neuropsychological performance among ritual users of ayahuasca: A longitudinal study.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(8). </w:t>
      </w:r>
      <w:hyperlink r:id="rId647" w:history="1">
        <w:r w:rsidRPr="005B38F0">
          <w:rPr>
            <w:rFonts w:ascii="Times New Roman" w:eastAsia="Times New Roman" w:hAnsi="Times New Roman" w:cs="Times New Roman"/>
            <w:color w:val="0000FF"/>
            <w:sz w:val="24"/>
            <w:szCs w:val="24"/>
            <w:u w:val="single"/>
          </w:rPr>
          <w:t>https://doi.org/10.1371/journal.pone.0042421</w:t>
        </w:r>
      </w:hyperlink>
    </w:p>
    <w:p w14:paraId="4B8D84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Bouso, J. C., Palhano-Fontes, F., Rodríguez-Fornells, A., Ribeiro, S., Sanches, R., Crippa, J. A. S., Hallak, J. E. C., Araujo, D. B., &amp; Riba, J. (2015). Long-term use of psychedelic drugs is associated with differences in brain structure and personality in humans.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483–492. </w:t>
      </w:r>
      <w:hyperlink r:id="rId648" w:history="1">
        <w:r w:rsidRPr="005B38F0">
          <w:rPr>
            <w:rFonts w:ascii="Times New Roman" w:eastAsia="Times New Roman" w:hAnsi="Times New Roman" w:cs="Times New Roman"/>
            <w:color w:val="0000FF"/>
            <w:sz w:val="24"/>
            <w:szCs w:val="24"/>
            <w:u w:val="single"/>
          </w:rPr>
          <w:t>https://doi.org/10.1016/j.euroneuro.2015.01.008</w:t>
        </w:r>
      </w:hyperlink>
    </w:p>
    <w:p w14:paraId="0F1208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Boutros, N. N., Brockhaus-Dumke, A., Gjini, K., Vedeniapin, A., Elfakhani, M., Burroughs, S., &amp; Keshavan, M. (2009). Sensory-gating deficit of the N100 mid-latency auditory evoked potential in medicated schizophrenia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113</w:t>
      </w:r>
      <w:r w:rsidRPr="005B38F0">
        <w:rPr>
          <w:rFonts w:ascii="Times New Roman" w:eastAsia="Times New Roman" w:hAnsi="Times New Roman" w:cs="Times New Roman"/>
          <w:sz w:val="24"/>
          <w:szCs w:val="24"/>
        </w:rPr>
        <w:t xml:space="preserve">(2–3), 339–346. </w:t>
      </w:r>
      <w:hyperlink r:id="rId649" w:history="1">
        <w:r w:rsidRPr="005B38F0">
          <w:rPr>
            <w:rFonts w:ascii="Times New Roman" w:eastAsia="Times New Roman" w:hAnsi="Times New Roman" w:cs="Times New Roman"/>
            <w:color w:val="0000FF"/>
            <w:sz w:val="24"/>
            <w:szCs w:val="24"/>
            <w:u w:val="single"/>
          </w:rPr>
          <w:t>https://doi.org/10.1016/j.schres.2009.05.019</w:t>
        </w:r>
      </w:hyperlink>
    </w:p>
    <w:p w14:paraId="41E1D5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Bowden, S. C., Fowler, K. S., Bell, R. C., Whelan, G., Clifford, C. C., Ritter, A. J., &amp; Long, C. M. (1998). The reliability and internal validity of the Wisconsin Card Sorting Test.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(3), 243–254. </w:t>
      </w:r>
      <w:hyperlink r:id="rId650" w:history="1">
        <w:r w:rsidRPr="005B38F0">
          <w:rPr>
            <w:rFonts w:ascii="Times New Roman" w:eastAsia="Times New Roman" w:hAnsi="Times New Roman" w:cs="Times New Roman"/>
            <w:color w:val="0000FF"/>
            <w:sz w:val="24"/>
            <w:szCs w:val="24"/>
            <w:u w:val="single"/>
          </w:rPr>
          <w:t>https://doi.org/10.1080/713755573</w:t>
        </w:r>
      </w:hyperlink>
    </w:p>
    <w:p w14:paraId="0FD757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Bowie, C. R., Best, M. W., Depp, C., Mausbach, B. T., Patterson, T. L., Pulver, A. E., &amp; Harvey, P. D. (2018). Cognitive and functional deficits in bipolar disorder and schizophrenia as a function of the presence and history of psychosis.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(7), 604–613. </w:t>
      </w:r>
      <w:hyperlink r:id="rId651" w:history="1">
        <w:r w:rsidRPr="005B38F0">
          <w:rPr>
            <w:rFonts w:ascii="Times New Roman" w:eastAsia="Times New Roman" w:hAnsi="Times New Roman" w:cs="Times New Roman"/>
            <w:color w:val="0000FF"/>
            <w:sz w:val="24"/>
            <w:szCs w:val="24"/>
            <w:u w:val="single"/>
          </w:rPr>
          <w:t>https://doi.org/10.1111/bdi.12654</w:t>
        </w:r>
      </w:hyperlink>
    </w:p>
    <w:p w14:paraId="534A9A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Depp, C., McGrath, J. A., Wolyniec, P., Mausbach, B. T., Thornquist, M. H., Luke, J., Patterson, T. L., Harvey, P. D., &amp; Pulver, A. E. (2010). Prediction of real-world functional disability in chronic mental disorders: A comparison of schizophrenia and bipolar disorder.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(9), 1116–1124. </w:t>
      </w:r>
      <w:hyperlink r:id="rId652" w:history="1">
        <w:r w:rsidRPr="005B38F0">
          <w:rPr>
            <w:rFonts w:ascii="Times New Roman" w:eastAsia="Times New Roman" w:hAnsi="Times New Roman" w:cs="Times New Roman"/>
            <w:color w:val="0000FF"/>
            <w:sz w:val="24"/>
            <w:szCs w:val="24"/>
            <w:u w:val="single"/>
          </w:rPr>
          <w:t>https://doi.org/10.1176/appi.ajp.2010.09101406</w:t>
        </w:r>
      </w:hyperlink>
    </w:p>
    <w:p w14:paraId="702845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Leung, W. W., Reichenberg, A., McClure, M. M., Patterson, T. L., Heaton, R. K., &amp; Harvey, P. D. (2008). Predicting schizophrenia patients’ real-world behavior with specific neuropsychological and functional capacity measures.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 xml:space="preserve">(5), 505–511. </w:t>
      </w:r>
      <w:hyperlink r:id="rId653" w:history="1">
        <w:r w:rsidRPr="005B38F0">
          <w:rPr>
            <w:rFonts w:ascii="Times New Roman" w:eastAsia="Times New Roman" w:hAnsi="Times New Roman" w:cs="Times New Roman"/>
            <w:color w:val="0000FF"/>
            <w:sz w:val="24"/>
            <w:szCs w:val="24"/>
            <w:u w:val="single"/>
          </w:rPr>
          <w:t>https://doi.org/10.1016/j.biopsych.2007.05.022</w:t>
        </w:r>
      </w:hyperlink>
    </w:p>
    <w:p w14:paraId="54023A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Reichenberg, A., McClure, M. M., Leung, W. L., &amp; Harvey, P. D. (2008). Age-associated differences in cognitive performance in older community dwelling schizophrenia patients: Differential sensitivity of clinical neuropsychological and experimental information processing tests.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 xml:space="preserve">(1), 50–58. </w:t>
      </w:r>
      <w:hyperlink r:id="rId654" w:history="1">
        <w:r w:rsidRPr="005B38F0">
          <w:rPr>
            <w:rFonts w:ascii="Times New Roman" w:eastAsia="Times New Roman" w:hAnsi="Times New Roman" w:cs="Times New Roman"/>
            <w:color w:val="0000FF"/>
            <w:sz w:val="24"/>
            <w:szCs w:val="24"/>
            <w:u w:val="single"/>
          </w:rPr>
          <w:t>https://doi.org/10.1016/j.schres.2007.10.026</w:t>
        </w:r>
      </w:hyperlink>
    </w:p>
    <w:p w14:paraId="7478CA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Bowie, C. R., Reichenberg, A., Patterson, T. L., Heaton, R. K., &amp; Harvey, P. D. (2006). Determinants of Real-World Functional Performance in Schizophrenia Subjects: Correlations With Cognition, Functional Capacity, and Symptoms.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163</w:t>
      </w:r>
      <w:r w:rsidRPr="005B38F0">
        <w:rPr>
          <w:rFonts w:ascii="Times New Roman" w:eastAsia="Times New Roman" w:hAnsi="Times New Roman" w:cs="Times New Roman"/>
          <w:sz w:val="24"/>
          <w:szCs w:val="24"/>
        </w:rPr>
        <w:t xml:space="preserve">(3), 418–425. </w:t>
      </w:r>
      <w:hyperlink r:id="rId655" w:history="1">
        <w:r w:rsidRPr="005B38F0">
          <w:rPr>
            <w:rFonts w:ascii="Times New Roman" w:eastAsia="Times New Roman" w:hAnsi="Times New Roman" w:cs="Times New Roman"/>
            <w:color w:val="0000FF"/>
            <w:sz w:val="24"/>
            <w:szCs w:val="24"/>
            <w:u w:val="single"/>
          </w:rPr>
          <w:t>https://doi.org/10.1176/appi.ajp.163.3.418</w:t>
        </w:r>
      </w:hyperlink>
    </w:p>
    <w:p w14:paraId="58F8A8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Boyd, B., Rodgers, C., Aupperle, R., &amp; Jak, A. (2016). Case report on the effects of cognitive processing therapy on psychological, neuropsychological, and speech symptoms in comorbid PTSD and TBI. </w:t>
      </w:r>
      <w:r w:rsidRPr="005B38F0">
        <w:rPr>
          <w:rFonts w:ascii="Times New Roman" w:eastAsia="Times New Roman" w:hAnsi="Times New Roman" w:cs="Times New Roman"/>
          <w:i/>
          <w:iCs/>
          <w:sz w:val="24"/>
          <w:szCs w:val="24"/>
        </w:rPr>
        <w:t>Cognitive and Behavioral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173–183. </w:t>
      </w:r>
      <w:hyperlink r:id="rId656" w:history="1">
        <w:r w:rsidRPr="005B38F0">
          <w:rPr>
            <w:rFonts w:ascii="Times New Roman" w:eastAsia="Times New Roman" w:hAnsi="Times New Roman" w:cs="Times New Roman"/>
            <w:color w:val="0000FF"/>
            <w:sz w:val="24"/>
            <w:szCs w:val="24"/>
            <w:u w:val="single"/>
          </w:rPr>
          <w:t>https://doi.org/10.1016/j.cbpra.2015.10.001</w:t>
        </w:r>
      </w:hyperlink>
    </w:p>
    <w:p w14:paraId="566BF2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Giannakou, M., Kosmidis, M. H., Kargopoulos, P., Kioseoglou, G., Liolios, D., &amp; Garyfallos, G. (2011). Insights into theory of mind in schizophrenia: The impact of cognitive impairment.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 xml:space="preserve">(1–3), 130–136. </w:t>
      </w:r>
      <w:hyperlink r:id="rId657" w:history="1">
        <w:r w:rsidRPr="005B38F0">
          <w:rPr>
            <w:rFonts w:ascii="Times New Roman" w:eastAsia="Times New Roman" w:hAnsi="Times New Roman" w:cs="Times New Roman"/>
            <w:color w:val="0000FF"/>
            <w:sz w:val="24"/>
            <w:szCs w:val="24"/>
            <w:u w:val="single"/>
          </w:rPr>
          <w:t>https://doi.org/10.1016/j.schres.2011.04.025</w:t>
        </w:r>
      </w:hyperlink>
    </w:p>
    <w:p w14:paraId="065449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Anezoulaki, D., Giannakou, M., &amp; Karavatos, A. (2004). Relationship of affect recognition with psychopathology and cognitive performance in schizophrenia.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549–558. </w:t>
      </w:r>
      <w:hyperlink r:id="rId658" w:history="1">
        <w:r w:rsidRPr="005B38F0">
          <w:rPr>
            <w:rFonts w:ascii="Times New Roman" w:eastAsia="Times New Roman" w:hAnsi="Times New Roman" w:cs="Times New Roman"/>
            <w:color w:val="0000FF"/>
            <w:sz w:val="24"/>
            <w:szCs w:val="24"/>
            <w:u w:val="single"/>
          </w:rPr>
          <w:t>https://doi.org/10.1017/S1355617704104074</w:t>
        </w:r>
      </w:hyperlink>
    </w:p>
    <w:p w14:paraId="6A81F8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Giannakou, M., Anezoulaki, D., Petrikis, P., Fokas, K., &amp; Karavatos, A. (2007). Humor appreciation deficit in schizophrenia: The relevance of basic neurocognitive functioning.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195</w:t>
      </w:r>
      <w:r w:rsidRPr="005B38F0">
        <w:rPr>
          <w:rFonts w:ascii="Times New Roman" w:eastAsia="Times New Roman" w:hAnsi="Times New Roman" w:cs="Times New Roman"/>
          <w:sz w:val="24"/>
          <w:szCs w:val="24"/>
        </w:rPr>
        <w:t xml:space="preserve">(4), 325–331. </w:t>
      </w:r>
      <w:hyperlink r:id="rId659" w:history="1">
        <w:r w:rsidRPr="005B38F0">
          <w:rPr>
            <w:rFonts w:ascii="Times New Roman" w:eastAsia="Times New Roman" w:hAnsi="Times New Roman" w:cs="Times New Roman"/>
            <w:color w:val="0000FF"/>
            <w:sz w:val="24"/>
            <w:szCs w:val="24"/>
            <w:u w:val="single"/>
          </w:rPr>
          <w:t>https://doi.org/10.1097/01.nmd.0000243798.10242.e2</w:t>
        </w:r>
      </w:hyperlink>
    </w:p>
    <w:p w14:paraId="171967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Kafantari, A., Gamvrula, K., Vasiliadou, E., Petrikis, P., Fokas, K., &amp; Karavatos, A. (2006). Community dysfunction in schizophrenia: Rate-limiting factors.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(3), 463–470. </w:t>
      </w:r>
      <w:hyperlink r:id="rId660" w:history="1">
        <w:r w:rsidRPr="005B38F0">
          <w:rPr>
            <w:rFonts w:ascii="Times New Roman" w:eastAsia="Times New Roman" w:hAnsi="Times New Roman" w:cs="Times New Roman"/>
            <w:color w:val="0000FF"/>
            <w:sz w:val="24"/>
            <w:szCs w:val="24"/>
            <w:u w:val="single"/>
          </w:rPr>
          <w:t>https://doi.org/10.1016/j.pnpbp.2005.11.017</w:t>
        </w:r>
      </w:hyperlink>
    </w:p>
    <w:p w14:paraId="44980A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Bozikas, V. P., Kosmidis, M. H., Kioperlidou, K., &amp; Karavatos, A. (2004). Relationship between psychopathology and cognitive functioning in schizophrenia.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(5), 392–400. </w:t>
      </w:r>
      <w:hyperlink r:id="rId661" w:history="1">
        <w:r w:rsidRPr="005B38F0">
          <w:rPr>
            <w:rFonts w:ascii="Times New Roman" w:eastAsia="Times New Roman" w:hAnsi="Times New Roman" w:cs="Times New Roman"/>
            <w:color w:val="0000FF"/>
            <w:sz w:val="24"/>
            <w:szCs w:val="24"/>
            <w:u w:val="single"/>
          </w:rPr>
          <w:t>https://doi.org/10.1016/j.comppsych.2004.03.006</w:t>
        </w:r>
      </w:hyperlink>
    </w:p>
    <w:p w14:paraId="17EA0C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Bozikas, V. P., Kosmidis, M. H., Kiosseoglou, G., &amp; Karavatos, A. (2006). Neuropsychological profile of cognitively impaired patients with schizophrenia.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(2), 136–143. </w:t>
      </w:r>
      <w:hyperlink r:id="rId662" w:history="1">
        <w:r w:rsidRPr="005B38F0">
          <w:rPr>
            <w:rFonts w:ascii="Times New Roman" w:eastAsia="Times New Roman" w:hAnsi="Times New Roman" w:cs="Times New Roman"/>
            <w:color w:val="0000FF"/>
            <w:sz w:val="24"/>
            <w:szCs w:val="24"/>
            <w:u w:val="single"/>
          </w:rPr>
          <w:t>https://doi.org/10.1016/j.comppsych.2005.05.002</w:t>
        </w:r>
      </w:hyperlink>
    </w:p>
    <w:p w14:paraId="08F482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Bracken, B. K., Penetar, D. M., Rodolico, J., Ryan, E. T., &amp; Lukas, S. E. (2011). Eight weeks of citicoline treatment does not perturb sleep/wake cycles in cocaine-dependent adults. </w:t>
      </w:r>
      <w:r w:rsidRPr="005B38F0">
        <w:rPr>
          <w:rFonts w:ascii="Times New Roman" w:eastAsia="Times New Roman" w:hAnsi="Times New Roman" w:cs="Times New Roman"/>
          <w:i/>
          <w:iCs/>
          <w:sz w:val="24"/>
          <w:szCs w:val="24"/>
        </w:rPr>
        <w:t>Pharmacology, Biochemistry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98</w:t>
      </w:r>
      <w:r w:rsidRPr="005B38F0">
        <w:rPr>
          <w:rFonts w:ascii="Times New Roman" w:eastAsia="Times New Roman" w:hAnsi="Times New Roman" w:cs="Times New Roman"/>
          <w:sz w:val="24"/>
          <w:szCs w:val="24"/>
        </w:rPr>
        <w:t xml:space="preserve">(4), 518–524. </w:t>
      </w:r>
      <w:hyperlink r:id="rId663" w:history="1">
        <w:r w:rsidRPr="005B38F0">
          <w:rPr>
            <w:rFonts w:ascii="Times New Roman" w:eastAsia="Times New Roman" w:hAnsi="Times New Roman" w:cs="Times New Roman"/>
            <w:color w:val="0000FF"/>
            <w:sz w:val="24"/>
            <w:szCs w:val="24"/>
            <w:u w:val="single"/>
          </w:rPr>
          <w:t>https://doi.org/10.1016/j.pbb.2011.03.003</w:t>
        </w:r>
      </w:hyperlink>
    </w:p>
    <w:p w14:paraId="273360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Bradbury, C., Cassin, S. E., &amp; Rector, N. A. (2011). Obsessive beliefs and neurocognitive flexibility in obsessive–compulsive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160–165. </w:t>
      </w:r>
      <w:hyperlink r:id="rId664" w:history="1">
        <w:r w:rsidRPr="005B38F0">
          <w:rPr>
            <w:rFonts w:ascii="Times New Roman" w:eastAsia="Times New Roman" w:hAnsi="Times New Roman" w:cs="Times New Roman"/>
            <w:color w:val="0000FF"/>
            <w:sz w:val="24"/>
            <w:szCs w:val="24"/>
            <w:u w:val="single"/>
          </w:rPr>
          <w:t>https://doi.org/10.1016/j.psychres.2010.11.008</w:t>
        </w:r>
      </w:hyperlink>
    </w:p>
    <w:p w14:paraId="790EB7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Braden, B. B., Smith, C. J., Thompson, A., Glaspy, T. K., Wood, E., Vatsa, D., Abbott, A. E., McGee, S. C., &amp; Baxter, L. C. (2017). Executive function and functional and structural brain differences in middle‐age adults with autism spectrum disorder. </w:t>
      </w:r>
      <w:r w:rsidRPr="005B38F0">
        <w:rPr>
          <w:rFonts w:ascii="Times New Roman" w:eastAsia="Times New Roman" w:hAnsi="Times New Roman" w:cs="Times New Roman"/>
          <w:i/>
          <w:iCs/>
          <w:sz w:val="24"/>
          <w:szCs w:val="24"/>
        </w:rPr>
        <w:t>Autism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(12), 1945–1959. </w:t>
      </w:r>
      <w:hyperlink r:id="rId665" w:history="1">
        <w:r w:rsidRPr="005B38F0">
          <w:rPr>
            <w:rFonts w:ascii="Times New Roman" w:eastAsia="Times New Roman" w:hAnsi="Times New Roman" w:cs="Times New Roman"/>
            <w:color w:val="0000FF"/>
            <w:sz w:val="24"/>
            <w:szCs w:val="24"/>
            <w:u w:val="single"/>
          </w:rPr>
          <w:t>https://doi.org/10.1002/aur.1842</w:t>
        </w:r>
      </w:hyperlink>
    </w:p>
    <w:p w14:paraId="449956B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Brady, D. I., Schwean, V. L., Saklofske, D. H., McCrimmon, A. W., Montgomery, J. M., &amp; Thorne, K. J. (2013). Conceptual and perceptual set-shifting executive abilities in young adults with Asperger’s syndrome.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(12), 1631–1637. </w:t>
      </w:r>
      <w:hyperlink r:id="rId666" w:history="1">
        <w:r w:rsidRPr="005B38F0">
          <w:rPr>
            <w:rFonts w:ascii="Times New Roman" w:eastAsia="Times New Roman" w:hAnsi="Times New Roman" w:cs="Times New Roman"/>
            <w:color w:val="0000FF"/>
            <w:sz w:val="24"/>
            <w:szCs w:val="24"/>
            <w:u w:val="single"/>
          </w:rPr>
          <w:t>https://doi.org/10.1016/j.rasd.2013.09.009</w:t>
        </w:r>
      </w:hyperlink>
    </w:p>
    <w:p w14:paraId="49A068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Bragança, M., Marinho, M., Marques, J., Moreira, R., Palha, A., Marques-Teixeira, J., &amp; Esteves, M. (2016). The influence of espresso coffee on neurocognitive function in HIV-infected patients. </w:t>
      </w:r>
      <w:r w:rsidRPr="005B38F0">
        <w:rPr>
          <w:rFonts w:ascii="Times New Roman" w:eastAsia="Times New Roman" w:hAnsi="Times New Roman" w:cs="Times New Roman"/>
          <w:i/>
          <w:iCs/>
          <w:sz w:val="24"/>
          <w:szCs w:val="24"/>
        </w:rPr>
        <w:t>AIDS Care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(9), 1149–1153. </w:t>
      </w:r>
      <w:hyperlink r:id="rId667" w:history="1">
        <w:r w:rsidRPr="005B38F0">
          <w:rPr>
            <w:rFonts w:ascii="Times New Roman" w:eastAsia="Times New Roman" w:hAnsi="Times New Roman" w:cs="Times New Roman"/>
            <w:color w:val="0000FF"/>
            <w:sz w:val="24"/>
            <w:szCs w:val="24"/>
            <w:u w:val="single"/>
          </w:rPr>
          <w:t>https://doi.org/10.1080/09540121.2016.1153589</w:t>
        </w:r>
      </w:hyperlink>
    </w:p>
    <w:p w14:paraId="29C8401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Bragança, M., &amp; Palha, A. (2011). Depression and neurocognitive performance in Portuguese patients infected with HIV. </w:t>
      </w:r>
      <w:r w:rsidRPr="005B38F0">
        <w:rPr>
          <w:rFonts w:ascii="Times New Roman" w:eastAsia="Times New Roman" w:hAnsi="Times New Roman" w:cs="Times New Roman"/>
          <w:i/>
          <w:iCs/>
          <w:sz w:val="24"/>
          <w:szCs w:val="24"/>
        </w:rPr>
        <w:t>AIDS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(8), 1879–1887. </w:t>
      </w:r>
      <w:hyperlink r:id="rId668" w:history="1">
        <w:r w:rsidRPr="005B38F0">
          <w:rPr>
            <w:rFonts w:ascii="Times New Roman" w:eastAsia="Times New Roman" w:hAnsi="Times New Roman" w:cs="Times New Roman"/>
            <w:color w:val="0000FF"/>
            <w:sz w:val="24"/>
            <w:szCs w:val="24"/>
            <w:u w:val="single"/>
          </w:rPr>
          <w:t>https://doi.org/10.1007/s10461-011-9973-3</w:t>
        </w:r>
      </w:hyperlink>
    </w:p>
    <w:p w14:paraId="024F74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Braga-Neto, P., Pedroso, J. L., Alessi, H., Dutra, L. A., Felício, A. C., Minett, T., Weisman, P., Santos-Galduroz, R. F., Bertolucci, P. H. F., Gabbai, A. A., &amp; Barsottini, O. G. P. (2012). Cerebellar cognitive affective syndrome in Machado Joseph disease: Core clinical features.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549–556. </w:t>
      </w:r>
      <w:hyperlink r:id="rId669" w:history="1">
        <w:r w:rsidRPr="005B38F0">
          <w:rPr>
            <w:rFonts w:ascii="Times New Roman" w:eastAsia="Times New Roman" w:hAnsi="Times New Roman" w:cs="Times New Roman"/>
            <w:color w:val="0000FF"/>
            <w:sz w:val="24"/>
            <w:szCs w:val="24"/>
            <w:u w:val="single"/>
          </w:rPr>
          <w:t>https://doi.org/10.1007/s12311-011-0318-6</w:t>
        </w:r>
      </w:hyperlink>
    </w:p>
    <w:p w14:paraId="3D3014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Bragin, V., Chemodanova, M., Dzhafarova, N., Bragin, I., Czerniawski, J. L., &amp; Aliev, G. (2005). Integrated treatment approach improves cognitive function in demented and clinically depressed patients. </w:t>
      </w:r>
      <w:r w:rsidRPr="005B38F0">
        <w:rPr>
          <w:rFonts w:ascii="Times New Roman" w:eastAsia="Times New Roman" w:hAnsi="Times New Roman" w:cs="Times New Roman"/>
          <w:i/>
          <w:iCs/>
          <w:sz w:val="24"/>
          <w:szCs w:val="24"/>
        </w:rPr>
        <w:t>American Journal of Alzheimer’s Disease and Other Dementias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21–26. </w:t>
      </w:r>
      <w:hyperlink r:id="rId670" w:history="1">
        <w:r w:rsidRPr="005B38F0">
          <w:rPr>
            <w:rFonts w:ascii="Times New Roman" w:eastAsia="Times New Roman" w:hAnsi="Times New Roman" w:cs="Times New Roman"/>
            <w:color w:val="0000FF"/>
            <w:sz w:val="24"/>
            <w:szCs w:val="24"/>
            <w:u w:val="single"/>
          </w:rPr>
          <w:t>https://doi.org/10.1177/153331750502000103</w:t>
        </w:r>
      </w:hyperlink>
    </w:p>
    <w:p w14:paraId="78A100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Brain, C., Allerby, K., Sameby, B., Quinlan, P., Joas, E., Karilampi, U., Lindström, E., Eberhard, J., Burns, T., &amp; Waern, M. (2013). Drug attitude and other predictors of medication adherence in schizophrenia: 12 months of electronic monitoring (MEMS®) in the Swedish COAST-study.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(12), 1754–1762. </w:t>
      </w:r>
      <w:hyperlink r:id="rId671" w:history="1">
        <w:r w:rsidRPr="005B38F0">
          <w:rPr>
            <w:rFonts w:ascii="Times New Roman" w:eastAsia="Times New Roman" w:hAnsi="Times New Roman" w:cs="Times New Roman"/>
            <w:color w:val="0000FF"/>
            <w:sz w:val="24"/>
            <w:szCs w:val="24"/>
            <w:u w:val="single"/>
          </w:rPr>
          <w:t>https://doi.org/10.1016/j.euroneuro.2013.09.001</w:t>
        </w:r>
      </w:hyperlink>
    </w:p>
    <w:p w14:paraId="53AC7F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Brakoulias, V., Langdon, R., Sloss, G., Coltheart, M., Meares, R., &amp; Harris, A. (2008). Delusions and reasoning: A study involving cognitive behavioural therapy. </w:t>
      </w:r>
      <w:r w:rsidRPr="005B38F0">
        <w:rPr>
          <w:rFonts w:ascii="Times New Roman" w:eastAsia="Times New Roman" w:hAnsi="Times New Roman" w:cs="Times New Roman"/>
          <w:i/>
          <w:iCs/>
          <w:sz w:val="24"/>
          <w:szCs w:val="24"/>
        </w:rPr>
        <w:t>Cognitive Neuropsychiatry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148–165. </w:t>
      </w:r>
      <w:hyperlink r:id="rId672" w:history="1">
        <w:r w:rsidRPr="005B38F0">
          <w:rPr>
            <w:rFonts w:ascii="Times New Roman" w:eastAsia="Times New Roman" w:hAnsi="Times New Roman" w:cs="Times New Roman"/>
            <w:color w:val="0000FF"/>
            <w:sz w:val="24"/>
            <w:szCs w:val="24"/>
            <w:u w:val="single"/>
          </w:rPr>
          <w:t>https://doi.org/10.1080/13546800801900587</w:t>
        </w:r>
      </w:hyperlink>
    </w:p>
    <w:p w14:paraId="1B94D2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Bralet, M. C., Navarre, M., Eskenazi, A. M., Lucas-Ross, M., &amp; Falissard, B. (2008). Intérêt d’un nouvel instrument dans l’évaluation cognitive dans la schizophrénie. [Interest of a new instrument to assess cognition in schizophrenia: The Brief Assessment of Cognition in </w:t>
      </w:r>
      <w:r w:rsidRPr="005B38F0">
        <w:rPr>
          <w:rFonts w:ascii="Times New Roman" w:eastAsia="Times New Roman" w:hAnsi="Times New Roman" w:cs="Times New Roman"/>
          <w:sz w:val="24"/>
          <w:szCs w:val="24"/>
        </w:rPr>
        <w:lastRenderedPageBreak/>
        <w:t xml:space="preserve">Schizophrenia (BACS).].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(6), 557–562. </w:t>
      </w:r>
      <w:hyperlink r:id="rId673" w:history="1">
        <w:r w:rsidRPr="005B38F0">
          <w:rPr>
            <w:rFonts w:ascii="Times New Roman" w:eastAsia="Times New Roman" w:hAnsi="Times New Roman" w:cs="Times New Roman"/>
            <w:color w:val="0000FF"/>
            <w:sz w:val="24"/>
            <w:szCs w:val="24"/>
            <w:u w:val="single"/>
          </w:rPr>
          <w:t>https://doi.org/10.1016/j.encep.2007.12.005</w:t>
        </w:r>
      </w:hyperlink>
    </w:p>
    <w:p w14:paraId="375E37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Bralet, M.-C., Falissard, B., Neveu, X., Lucas-Ross, M., Eskenazi, A.-M., &amp; Keefe, R. S. E. (2007). Validation of the French version of the BACS (the brief assessment of cognition in schizophrenia) among 50 French schizophrenic patients.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365–370. </w:t>
      </w:r>
      <w:hyperlink r:id="rId674" w:history="1">
        <w:r w:rsidRPr="005B38F0">
          <w:rPr>
            <w:rFonts w:ascii="Times New Roman" w:eastAsia="Times New Roman" w:hAnsi="Times New Roman" w:cs="Times New Roman"/>
            <w:color w:val="0000FF"/>
            <w:sz w:val="24"/>
            <w:szCs w:val="24"/>
            <w:u w:val="single"/>
          </w:rPr>
          <w:t>https://doi.org/10.1016/j.eurpsy.2007.02.001</w:t>
        </w:r>
      </w:hyperlink>
    </w:p>
    <w:p w14:paraId="347E40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Bram, A. D. (2014). Object relations, interpersonal functioning, and health in a nonclinical sample: Construct validation and norms for the TAT SCORS-G. </w:t>
      </w:r>
      <w:r w:rsidRPr="005B38F0">
        <w:rPr>
          <w:rFonts w:ascii="Times New Roman" w:eastAsia="Times New Roman" w:hAnsi="Times New Roman" w:cs="Times New Roman"/>
          <w:i/>
          <w:iCs/>
          <w:sz w:val="24"/>
          <w:szCs w:val="24"/>
        </w:rPr>
        <w:t>Psychoanalytic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(3), 314–342. </w:t>
      </w:r>
      <w:hyperlink r:id="rId675" w:history="1">
        <w:r w:rsidRPr="005B38F0">
          <w:rPr>
            <w:rFonts w:ascii="Times New Roman" w:eastAsia="Times New Roman" w:hAnsi="Times New Roman" w:cs="Times New Roman"/>
            <w:color w:val="0000FF"/>
            <w:sz w:val="24"/>
            <w:szCs w:val="24"/>
            <w:u w:val="single"/>
          </w:rPr>
          <w:t>https://doi.org/10.1037/a0036286</w:t>
        </w:r>
      </w:hyperlink>
    </w:p>
    <w:p w14:paraId="6A6FE4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Bram, A. D., &amp; Peebles, M. J. (2014). Principles of inference-making. In </w:t>
      </w:r>
      <w:r w:rsidRPr="005B38F0">
        <w:rPr>
          <w:rFonts w:ascii="Times New Roman" w:eastAsia="Times New Roman" w:hAnsi="Times New Roman" w:cs="Times New Roman"/>
          <w:i/>
          <w:iCs/>
          <w:sz w:val="24"/>
          <w:szCs w:val="24"/>
        </w:rPr>
        <w:t>Psychological testing that matters: Creating a road map for effective treatment.</w:t>
      </w:r>
      <w:r w:rsidRPr="005B38F0">
        <w:rPr>
          <w:rFonts w:ascii="Times New Roman" w:eastAsia="Times New Roman" w:hAnsi="Times New Roman" w:cs="Times New Roman"/>
          <w:sz w:val="24"/>
          <w:szCs w:val="24"/>
        </w:rPr>
        <w:t xml:space="preserve"> (pp. 31–54). American Psychological Association. </w:t>
      </w:r>
      <w:hyperlink r:id="rId676" w:history="1">
        <w:r w:rsidRPr="005B38F0">
          <w:rPr>
            <w:rFonts w:ascii="Times New Roman" w:eastAsia="Times New Roman" w:hAnsi="Times New Roman" w:cs="Times New Roman"/>
            <w:color w:val="0000FF"/>
            <w:sz w:val="24"/>
            <w:szCs w:val="24"/>
            <w:u w:val="single"/>
          </w:rPr>
          <w:t>https://doi.org/10.1037/14340-003</w:t>
        </w:r>
      </w:hyperlink>
    </w:p>
    <w:p w14:paraId="619BBF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Branco, L. D., Cotrena, C., Pereira, N., Kochhann, R., &amp; Fonseca, R. P. (2014). Verbal and visuospatial executive functions in healthy elderly: The impact of education and frequency of reading and writing.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(2), 155–161. </w:t>
      </w:r>
      <w:hyperlink r:id="rId677" w:history="1">
        <w:r w:rsidRPr="005B38F0">
          <w:rPr>
            <w:rFonts w:ascii="Times New Roman" w:eastAsia="Times New Roman" w:hAnsi="Times New Roman" w:cs="Times New Roman"/>
            <w:color w:val="0000FF"/>
            <w:sz w:val="24"/>
            <w:szCs w:val="24"/>
            <w:u w:val="single"/>
          </w:rPr>
          <w:t>https://doi.org/10.1590/S1980-57642014DN82000011</w:t>
        </w:r>
      </w:hyperlink>
    </w:p>
    <w:p w14:paraId="2F1A2C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Branco Lopes, A., Leal, G., Malvy, L., Wauquiez, G., Ponchel, A., Rivera, D., &amp; Arango-Lasprilla, J. C. (2021). Neuropsychology in France.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(3), 328–339. </w:t>
      </w:r>
      <w:hyperlink r:id="rId678" w:history="1">
        <w:r w:rsidRPr="005B38F0">
          <w:rPr>
            <w:rFonts w:ascii="Times New Roman" w:eastAsia="Times New Roman" w:hAnsi="Times New Roman" w:cs="Times New Roman"/>
            <w:color w:val="0000FF"/>
            <w:sz w:val="24"/>
            <w:szCs w:val="24"/>
            <w:u w:val="single"/>
          </w:rPr>
          <w:t>https://doi.org/10.1080/23279095.2019.1633329</w:t>
        </w:r>
      </w:hyperlink>
    </w:p>
    <w:p w14:paraId="1A1FD0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 J., Reid, J. M., &amp; McKay, D. (2013). Neuropsychological assessment of obsessive-compulsive disorder. In </w:t>
      </w:r>
      <w:r w:rsidRPr="005B38F0">
        <w:rPr>
          <w:rFonts w:ascii="Times New Roman" w:eastAsia="Times New Roman" w:hAnsi="Times New Roman" w:cs="Times New Roman"/>
          <w:i/>
          <w:iCs/>
          <w:sz w:val="24"/>
          <w:szCs w:val="24"/>
        </w:rPr>
        <w:t>Handbook of assessing variants and complications in anxiety disorders.</w:t>
      </w:r>
      <w:r w:rsidRPr="005B38F0">
        <w:rPr>
          <w:rFonts w:ascii="Times New Roman" w:eastAsia="Times New Roman" w:hAnsi="Times New Roman" w:cs="Times New Roman"/>
          <w:sz w:val="24"/>
          <w:szCs w:val="24"/>
        </w:rPr>
        <w:t xml:space="preserve"> (pp. 43–61). Springer Science + Business Media. </w:t>
      </w:r>
      <w:hyperlink r:id="rId679" w:history="1">
        <w:r w:rsidRPr="005B38F0">
          <w:rPr>
            <w:rFonts w:ascii="Times New Roman" w:eastAsia="Times New Roman" w:hAnsi="Times New Roman" w:cs="Times New Roman"/>
            <w:color w:val="0000FF"/>
            <w:sz w:val="24"/>
            <w:szCs w:val="24"/>
            <w:u w:val="single"/>
          </w:rPr>
          <w:t>https://doi.org/10.1007/978-1-4614-6452-5_4</w:t>
        </w:r>
      </w:hyperlink>
    </w:p>
    <w:p w14:paraId="519F6A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Brand, M., Recknor, E. C., Grabenhorst, F., &amp; Bechara, A. (2007). Decisions under ambiguity and decisions under risk: Correlations with executive functions and comparisons of two different gambling tasks with implicit and explicit rules.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(1), 86–99. </w:t>
      </w:r>
      <w:hyperlink r:id="rId680" w:history="1">
        <w:r w:rsidRPr="005B38F0">
          <w:rPr>
            <w:rFonts w:ascii="Times New Roman" w:eastAsia="Times New Roman" w:hAnsi="Times New Roman" w:cs="Times New Roman"/>
            <w:color w:val="0000FF"/>
            <w:sz w:val="24"/>
            <w:szCs w:val="24"/>
            <w:u w:val="single"/>
          </w:rPr>
          <w:t>https://doi.org/10.1080/13803390500507196</w:t>
        </w:r>
      </w:hyperlink>
    </w:p>
    <w:p w14:paraId="6BC72A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Brandt, J. (2009). Huntington’s disease. In </w:t>
      </w:r>
      <w:r w:rsidRPr="005B38F0">
        <w:rPr>
          <w:rFonts w:ascii="Times New Roman" w:eastAsia="Times New Roman" w:hAnsi="Times New Roman" w:cs="Times New Roman"/>
          <w:i/>
          <w:iCs/>
          <w:sz w:val="24"/>
          <w:szCs w:val="24"/>
        </w:rPr>
        <w:t>Neuropsychological assessment of neuropsychiatric and neuromedical disorders, 3rd ed.</w:t>
      </w:r>
      <w:r w:rsidRPr="005B38F0">
        <w:rPr>
          <w:rFonts w:ascii="Times New Roman" w:eastAsia="Times New Roman" w:hAnsi="Times New Roman" w:cs="Times New Roman"/>
          <w:sz w:val="24"/>
          <w:szCs w:val="24"/>
        </w:rPr>
        <w:t xml:space="preserve"> (pp. 223–240). Oxford University Press.</w:t>
      </w:r>
    </w:p>
    <w:p w14:paraId="52C16E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Brandt, J., Inscore, A. B., Ward, J., Shpritz, B., Rosenblatt, A., Margolis, R. L., &amp; Ross, C. A. (2008). Neuropsychological deficits in Huntington’s disease gene carriers and correlates of early “conversion.”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(4), 466–472. </w:t>
      </w:r>
      <w:hyperlink r:id="rId681" w:history="1">
        <w:r w:rsidRPr="005B38F0">
          <w:rPr>
            <w:rFonts w:ascii="Times New Roman" w:eastAsia="Times New Roman" w:hAnsi="Times New Roman" w:cs="Times New Roman"/>
            <w:color w:val="0000FF"/>
            <w:sz w:val="24"/>
            <w:szCs w:val="24"/>
            <w:u w:val="single"/>
          </w:rPr>
          <w:t>https://doi.org/10.1176/appi.neuropsych.20.4.466</w:t>
        </w:r>
      </w:hyperlink>
    </w:p>
    <w:p w14:paraId="61B862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Braskie, M. N., Wilcox, C. E., Landau, S. M., O’Neil, J. P., Baker, S. L., Madison, C. M., Kluth, J. T., &amp; Jagust, W. J. (2008). Relationship of striatal dopamine synthesis capacity to age and cognition.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(52), 14320–14328. </w:t>
      </w:r>
      <w:hyperlink r:id="rId682" w:history="1">
        <w:r w:rsidRPr="005B38F0">
          <w:rPr>
            <w:rFonts w:ascii="Times New Roman" w:eastAsia="Times New Roman" w:hAnsi="Times New Roman" w:cs="Times New Roman"/>
            <w:color w:val="0000FF"/>
            <w:sz w:val="24"/>
            <w:szCs w:val="24"/>
            <w:u w:val="single"/>
          </w:rPr>
          <w:t>https://doi.org/10.1523/JNEUROSCI.3729-08.2008</w:t>
        </w:r>
      </w:hyperlink>
    </w:p>
    <w:p w14:paraId="79A72E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Braus, D. F., Ende, G., Weber-Fahr, W., Demirakea, T., Tost, H., &amp; Henn, F. A. (2002). Functional and neuronal viability of the anterior cingulate neurons following antipsychotic treatment: MR-spectroscopic imaging in chronic schizophrenia.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145–152. </w:t>
      </w:r>
      <w:hyperlink r:id="rId683" w:history="1">
        <w:r w:rsidRPr="005B38F0">
          <w:rPr>
            <w:rFonts w:ascii="Times New Roman" w:eastAsia="Times New Roman" w:hAnsi="Times New Roman" w:cs="Times New Roman"/>
            <w:color w:val="0000FF"/>
            <w:sz w:val="24"/>
            <w:szCs w:val="24"/>
            <w:u w:val="single"/>
          </w:rPr>
          <w:t>https://doi.org/10.1016/S0924-977X(02)00003-2</w:t>
        </w:r>
      </w:hyperlink>
    </w:p>
    <w:p w14:paraId="1DA71D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Braw, Y., Aviram, S., Bloch, Y., &amp; Levkovitz, Y. (2011). The effect of age on frontal lobe related cognitive functions of unmedicated depressed patients.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(1–3), 342–347. </w:t>
      </w:r>
      <w:hyperlink r:id="rId684" w:history="1">
        <w:r w:rsidRPr="005B38F0">
          <w:rPr>
            <w:rFonts w:ascii="Times New Roman" w:eastAsia="Times New Roman" w:hAnsi="Times New Roman" w:cs="Times New Roman"/>
            <w:color w:val="0000FF"/>
            <w:sz w:val="24"/>
            <w:szCs w:val="24"/>
            <w:u w:val="single"/>
          </w:rPr>
          <w:t>https://doi.org/10.1016/j.jad.2010.07.032</w:t>
        </w:r>
      </w:hyperlink>
    </w:p>
    <w:p w14:paraId="2F2785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Braw, Y., Sitman, R., Cohen, M., Berger, U., Lev-Ran, S., Segev, A., Bloch, Y., &amp; Levkovitz, Y. (2013). Remission of positive symptoms according to the “remission in Schizophrenia Working Group” criteria: A longitudinal study of cognitive functioning.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282–287. </w:t>
      </w:r>
      <w:hyperlink r:id="rId685" w:history="1">
        <w:r w:rsidRPr="005B38F0">
          <w:rPr>
            <w:rFonts w:ascii="Times New Roman" w:eastAsia="Times New Roman" w:hAnsi="Times New Roman" w:cs="Times New Roman"/>
            <w:color w:val="0000FF"/>
            <w:sz w:val="24"/>
            <w:szCs w:val="24"/>
            <w:u w:val="single"/>
          </w:rPr>
          <w:t>https://doi.org/10.1016/j.eurpsy.2012.04.003</w:t>
        </w:r>
      </w:hyperlink>
    </w:p>
    <w:p w14:paraId="1A3DF5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Brazo, P., Delamillieure, P., Morello, R., Halbecq, I., Marié, R.-M., &amp; Dollfus, S. (2005). Impairments of executive/attentional functions in schizophrenia with primary and secondary negative symptoms.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(1), 45–55. </w:t>
      </w:r>
      <w:hyperlink r:id="rId686" w:history="1">
        <w:r w:rsidRPr="005B38F0">
          <w:rPr>
            <w:rFonts w:ascii="Times New Roman" w:eastAsia="Times New Roman" w:hAnsi="Times New Roman" w:cs="Times New Roman"/>
            <w:color w:val="0000FF"/>
            <w:sz w:val="24"/>
            <w:szCs w:val="24"/>
            <w:u w:val="single"/>
          </w:rPr>
          <w:t>https://doi.org/10.1016/j.psychres.2004.10.001</w:t>
        </w:r>
      </w:hyperlink>
    </w:p>
    <w:p w14:paraId="55F01C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Breckenridge, K., Braddick, O., Anker, S., Woodhouse, M., &amp; Atkinson, J. (2013). Attention in Williams syndrome and Down’s syndrome: Performance on the new early childhood attention battery. </w:t>
      </w:r>
      <w:r w:rsidRPr="005B38F0">
        <w:rPr>
          <w:rFonts w:ascii="Times New Roman" w:eastAsia="Times New Roman" w:hAnsi="Times New Roman" w:cs="Times New Roman"/>
          <w:i/>
          <w:iCs/>
          <w:sz w:val="24"/>
          <w:szCs w:val="24"/>
        </w:rPr>
        <w:t>British Journal of Developmental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(2), 257–269. </w:t>
      </w:r>
      <w:hyperlink r:id="rId687" w:history="1">
        <w:r w:rsidRPr="005B38F0">
          <w:rPr>
            <w:rFonts w:ascii="Times New Roman" w:eastAsia="Times New Roman" w:hAnsi="Times New Roman" w:cs="Times New Roman"/>
            <w:color w:val="0000FF"/>
            <w:sz w:val="24"/>
            <w:szCs w:val="24"/>
            <w:u w:val="single"/>
          </w:rPr>
          <w:t>https://doi.org/10.1111/bjdp.12003</w:t>
        </w:r>
      </w:hyperlink>
    </w:p>
    <w:p w14:paraId="77709D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Kay, D. D., Lee, K. S., &amp; Green, M. F. (2005). Biosocial pathways to functional outcome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80</w:t>
      </w:r>
      <w:r w:rsidRPr="005B38F0">
        <w:rPr>
          <w:rFonts w:ascii="Times New Roman" w:eastAsia="Times New Roman" w:hAnsi="Times New Roman" w:cs="Times New Roman"/>
          <w:sz w:val="24"/>
          <w:szCs w:val="24"/>
        </w:rPr>
        <w:t xml:space="preserve">(2–3), 213–225. </w:t>
      </w:r>
      <w:hyperlink r:id="rId688" w:history="1">
        <w:r w:rsidRPr="005B38F0">
          <w:rPr>
            <w:rFonts w:ascii="Times New Roman" w:eastAsia="Times New Roman" w:hAnsi="Times New Roman" w:cs="Times New Roman"/>
            <w:color w:val="0000FF"/>
            <w:sz w:val="24"/>
            <w:szCs w:val="24"/>
            <w:u w:val="single"/>
          </w:rPr>
          <w:t>https://doi.org/10.1016/j.schres.2005.07.008</w:t>
        </w:r>
      </w:hyperlink>
    </w:p>
    <w:p w14:paraId="365DBA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Hoe, M., &amp; Green, M. F. (2009). Neurocognitive change, functional change and service intensity during community-based psychosocial rehabilitation for schizophrenia.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(10), 1637–1647. </w:t>
      </w:r>
      <w:hyperlink r:id="rId689" w:history="1">
        <w:r w:rsidRPr="005B38F0">
          <w:rPr>
            <w:rFonts w:ascii="Times New Roman" w:eastAsia="Times New Roman" w:hAnsi="Times New Roman" w:cs="Times New Roman"/>
            <w:color w:val="0000FF"/>
            <w:sz w:val="24"/>
            <w:szCs w:val="24"/>
            <w:u w:val="single"/>
          </w:rPr>
          <w:t>https://doi.org/10.1017/S003329170900539X</w:t>
        </w:r>
      </w:hyperlink>
    </w:p>
    <w:p w14:paraId="44D648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Hoe, M., Long, J., &amp; Green, M. F. (2007). How neurocognition and social cognition influence functional change during community-based psychosocial rehabilitation for individuals with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1247–1256. </w:t>
      </w:r>
      <w:hyperlink r:id="rId690" w:history="1">
        <w:r w:rsidRPr="005B38F0">
          <w:rPr>
            <w:rFonts w:ascii="Times New Roman" w:eastAsia="Times New Roman" w:hAnsi="Times New Roman" w:cs="Times New Roman"/>
            <w:color w:val="0000FF"/>
            <w:sz w:val="24"/>
            <w:szCs w:val="24"/>
            <w:u w:val="single"/>
          </w:rPr>
          <w:t>https://doi.org/10.1093/schbul/sbl072</w:t>
        </w:r>
      </w:hyperlink>
    </w:p>
    <w:p w14:paraId="6BAD70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Brekke, J. S., Kohrt, B., &amp; Green, M. F. (2001). Neuropsychological functioning as a moderator of the relationship between psychosocial functioning and the subjective experience of self and life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697–708. </w:t>
      </w:r>
      <w:hyperlink r:id="rId691" w:history="1">
        <w:r w:rsidRPr="005B38F0">
          <w:rPr>
            <w:rFonts w:ascii="Times New Roman" w:eastAsia="Times New Roman" w:hAnsi="Times New Roman" w:cs="Times New Roman"/>
            <w:color w:val="0000FF"/>
            <w:sz w:val="24"/>
            <w:szCs w:val="24"/>
            <w:u w:val="single"/>
          </w:rPr>
          <w:t>https://doi.org/10.1093/oxfordjournals.schbul.a006908</w:t>
        </w:r>
      </w:hyperlink>
    </w:p>
    <w:p w14:paraId="77BB1B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Brekke, J. S., Nakagami, E., Kee, K. S., &amp; Green, M. F. (2005). Cross-ethnic differences in perception of emotion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(2–3), 289–298. </w:t>
      </w:r>
      <w:hyperlink r:id="rId692" w:history="1">
        <w:r w:rsidRPr="005B38F0">
          <w:rPr>
            <w:rFonts w:ascii="Times New Roman" w:eastAsia="Times New Roman" w:hAnsi="Times New Roman" w:cs="Times New Roman"/>
            <w:color w:val="0000FF"/>
            <w:sz w:val="24"/>
            <w:szCs w:val="24"/>
            <w:u w:val="single"/>
          </w:rPr>
          <w:t>https://doi.org/10.1016/j.schres.2005.04.004</w:t>
        </w:r>
      </w:hyperlink>
    </w:p>
    <w:p w14:paraId="601D1D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Brennan, S. G. C. (2003). </w:t>
      </w:r>
      <w:r w:rsidRPr="005B38F0">
        <w:rPr>
          <w:rFonts w:ascii="Times New Roman" w:eastAsia="Times New Roman" w:hAnsi="Times New Roman" w:cs="Times New Roman"/>
          <w:i/>
          <w:iCs/>
          <w:sz w:val="24"/>
          <w:szCs w:val="24"/>
        </w:rPr>
        <w:t>The relationship between maltreatment in childhood and delinquency: An examination of iq and executive functions.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(11-B), 5505–5505.</w:t>
      </w:r>
    </w:p>
    <w:p w14:paraId="57F18A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Bressan, R. A., Quarantini, L. C., Andreoli, S. B., Araújo, C., Breen, G., Guindalini, C., Hoexter, M., Jackowski, A. P., Jorge, M. R., Lacerda, A. L. T., Lara, D. R., Malta, S., Moriyama, T. S., Quintana, M. I., Ribeiro, W. S., Ruiz, J., Schoedl, A. F., Shih, M. C., Figueira, I., … Mari, J. J. (2009). The posttraumatic stress disorder project in Brazil: Neuropsychological, structural and molecular neuroimaging studies in victims of urban violence.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 </w:t>
      </w:r>
      <w:hyperlink r:id="rId693" w:history="1">
        <w:r w:rsidRPr="005B38F0">
          <w:rPr>
            <w:rFonts w:ascii="Times New Roman" w:eastAsia="Times New Roman" w:hAnsi="Times New Roman" w:cs="Times New Roman"/>
            <w:color w:val="0000FF"/>
            <w:sz w:val="24"/>
            <w:szCs w:val="24"/>
            <w:u w:val="single"/>
          </w:rPr>
          <w:t>https://doi.org/10.1186/1471-244X-9-30</w:t>
        </w:r>
      </w:hyperlink>
    </w:p>
    <w:p w14:paraId="685232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Brewer, V. R. (1997). </w:t>
      </w:r>
      <w:r w:rsidRPr="005B38F0">
        <w:rPr>
          <w:rFonts w:ascii="Times New Roman" w:eastAsia="Times New Roman" w:hAnsi="Times New Roman" w:cs="Times New Roman"/>
          <w:i/>
          <w:iCs/>
          <w:sz w:val="24"/>
          <w:szCs w:val="24"/>
        </w:rPr>
        <w:t>Comparison of attention deficits in children with hydrocephalus and ADHD.</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(3-B), 1586–1586.</w:t>
      </w:r>
    </w:p>
    <w:p w14:paraId="345B38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Brewer, V. R., Fletcher, J. M., Hiscock, M., &amp; Davidson, K. C. (2001). Attention processes in children with shunted hydrocephalus versus attention deficit-hyperactivity disorder.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185–198. </w:t>
      </w:r>
      <w:hyperlink r:id="rId694" w:history="1">
        <w:r w:rsidRPr="005B38F0">
          <w:rPr>
            <w:rFonts w:ascii="Times New Roman" w:eastAsia="Times New Roman" w:hAnsi="Times New Roman" w:cs="Times New Roman"/>
            <w:color w:val="0000FF"/>
            <w:sz w:val="24"/>
            <w:szCs w:val="24"/>
            <w:u w:val="single"/>
          </w:rPr>
          <w:t>https://doi.org/10.1037/0894-4105.15.2.185</w:t>
        </w:r>
      </w:hyperlink>
    </w:p>
    <w:p w14:paraId="2A922A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Brewer, W. J., Edwards, J., Anderson, V., Robinson, T., &amp; Pantelis, C. (1996). Neuropsychological, olfactory, and hygiene deficits in men with negative symptom </w:t>
      </w:r>
      <w:r w:rsidRPr="005B38F0">
        <w:rPr>
          <w:rFonts w:ascii="Times New Roman" w:eastAsia="Times New Roman" w:hAnsi="Times New Roman" w:cs="Times New Roman"/>
          <w:sz w:val="24"/>
          <w:szCs w:val="24"/>
        </w:rPr>
        <w:lastRenderedPageBreak/>
        <w:t xml:space="preserve">schizophrenia.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(10), 1021–1031. </w:t>
      </w:r>
      <w:hyperlink r:id="rId695" w:history="1">
        <w:r w:rsidRPr="005B38F0">
          <w:rPr>
            <w:rFonts w:ascii="Times New Roman" w:eastAsia="Times New Roman" w:hAnsi="Times New Roman" w:cs="Times New Roman"/>
            <w:color w:val="0000FF"/>
            <w:sz w:val="24"/>
            <w:szCs w:val="24"/>
            <w:u w:val="single"/>
          </w:rPr>
          <w:t>https://doi.org/10.1016/0006-3223(95)00594-3</w:t>
        </w:r>
      </w:hyperlink>
    </w:p>
    <w:p w14:paraId="448131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Brickman, A. M., Buchsbaum, M. S., Bloom, R., Bokhoven, P., Paul-Odouard, R., Haznedar, M. M., Dahlman, K. L., Hazlett, E. A., Aronowitz, J., Heath, D., &amp; Shihabuddin, L. (2004). Neuropsychological functioning in first-break, never-medicated adolescents with psychosis.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192</w:t>
      </w:r>
      <w:r w:rsidRPr="005B38F0">
        <w:rPr>
          <w:rFonts w:ascii="Times New Roman" w:eastAsia="Times New Roman" w:hAnsi="Times New Roman" w:cs="Times New Roman"/>
          <w:sz w:val="24"/>
          <w:szCs w:val="24"/>
        </w:rPr>
        <w:t xml:space="preserve">(9), 615–622. </w:t>
      </w:r>
      <w:hyperlink r:id="rId696" w:history="1">
        <w:r w:rsidRPr="005B38F0">
          <w:rPr>
            <w:rFonts w:ascii="Times New Roman" w:eastAsia="Times New Roman" w:hAnsi="Times New Roman" w:cs="Times New Roman"/>
            <w:color w:val="0000FF"/>
            <w:sz w:val="24"/>
            <w:szCs w:val="24"/>
            <w:u w:val="single"/>
          </w:rPr>
          <w:t>https://doi.org/10.1097/01.nmd.0000138229.29157.3e</w:t>
        </w:r>
      </w:hyperlink>
    </w:p>
    <w:p w14:paraId="2B55B1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Brieant, A., Holmes, C. J., Deater-Deckard, K., King-Casas, B., &amp; Kim-Spoon, J. (2017). Household chaos as a context for intergenerational transmission of executive functioning. </w:t>
      </w:r>
      <w:r w:rsidRPr="005B38F0">
        <w:rPr>
          <w:rFonts w:ascii="Times New Roman" w:eastAsia="Times New Roman" w:hAnsi="Times New Roman" w:cs="Times New Roman"/>
          <w:i/>
          <w:iCs/>
          <w:sz w:val="24"/>
          <w:szCs w:val="24"/>
        </w:rPr>
        <w:t>Journal of Adolescence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 40–48. </w:t>
      </w:r>
      <w:hyperlink r:id="rId697" w:history="1">
        <w:r w:rsidRPr="005B38F0">
          <w:rPr>
            <w:rFonts w:ascii="Times New Roman" w:eastAsia="Times New Roman" w:hAnsi="Times New Roman" w:cs="Times New Roman"/>
            <w:color w:val="0000FF"/>
            <w:sz w:val="24"/>
            <w:szCs w:val="24"/>
            <w:u w:val="single"/>
          </w:rPr>
          <w:t>https://doi.org/10.1016/j.adolescence.2017.05.001</w:t>
        </w:r>
      </w:hyperlink>
    </w:p>
    <w:p w14:paraId="1194DF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Brinker, J. K., Campisi, M., Gibbs, L., &amp; Izzard, R. (2013). Rumination, mood and cognitive performance. </w:t>
      </w:r>
      <w:r w:rsidRPr="005B38F0">
        <w:rPr>
          <w:rFonts w:ascii="Times New Roman" w:eastAsia="Times New Roman" w:hAnsi="Times New Roman" w:cs="Times New Roman"/>
          <w:i/>
          <w:iCs/>
          <w:sz w:val="24"/>
          <w:szCs w:val="24"/>
        </w:rPr>
        <w:t>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(3A), 224–231. </w:t>
      </w:r>
      <w:hyperlink r:id="rId698" w:history="1">
        <w:r w:rsidRPr="005B38F0">
          <w:rPr>
            <w:rFonts w:ascii="Times New Roman" w:eastAsia="Times New Roman" w:hAnsi="Times New Roman" w:cs="Times New Roman"/>
            <w:color w:val="0000FF"/>
            <w:sz w:val="24"/>
            <w:szCs w:val="24"/>
            <w:u w:val="single"/>
          </w:rPr>
          <w:t>https://doi.org/10.4236/psych.2013.43A034</w:t>
        </w:r>
      </w:hyperlink>
    </w:p>
    <w:p w14:paraId="17559D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Brissart, H., Leininger, M., Le Perf, M., Taillemite, L., Morele, E., &amp; Debouverie, M. (2012). La mémoire de travail dans la sclérose en plaques: Revue de la littérature. [Working memory in multiple sclerosis: A review.]. </w:t>
      </w:r>
      <w:r w:rsidRPr="005B38F0">
        <w:rPr>
          <w:rFonts w:ascii="Times New Roman" w:eastAsia="Times New Roman" w:hAnsi="Times New Roman" w:cs="Times New Roman"/>
          <w:i/>
          <w:iCs/>
          <w:sz w:val="24"/>
          <w:szCs w:val="24"/>
        </w:rPr>
        <w:t>Revue Neurologique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168</w:t>
      </w:r>
      <w:r w:rsidRPr="005B38F0">
        <w:rPr>
          <w:rFonts w:ascii="Times New Roman" w:eastAsia="Times New Roman" w:hAnsi="Times New Roman" w:cs="Times New Roman"/>
          <w:sz w:val="24"/>
          <w:szCs w:val="24"/>
        </w:rPr>
        <w:t xml:space="preserve">(1), 15–27. </w:t>
      </w:r>
      <w:hyperlink r:id="rId699" w:history="1">
        <w:r w:rsidRPr="005B38F0">
          <w:rPr>
            <w:rFonts w:ascii="Times New Roman" w:eastAsia="Times New Roman" w:hAnsi="Times New Roman" w:cs="Times New Roman"/>
            <w:color w:val="0000FF"/>
            <w:sz w:val="24"/>
            <w:szCs w:val="24"/>
            <w:u w:val="single"/>
          </w:rPr>
          <w:t>https://doi.org/10.1016/j.neurol.2011.05.005</w:t>
        </w:r>
      </w:hyperlink>
    </w:p>
    <w:p w14:paraId="4A8463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Brissart, H., Morele, E., Baumann, C., &amp; Debouverie, M. (2012). Verbal episodic memory in 426 multiple sclerosis patients: Impairment in encoding, retrieval or both?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1117–1123. </w:t>
      </w:r>
      <w:hyperlink r:id="rId700" w:history="1">
        <w:r w:rsidRPr="005B38F0">
          <w:rPr>
            <w:rFonts w:ascii="Times New Roman" w:eastAsia="Times New Roman" w:hAnsi="Times New Roman" w:cs="Times New Roman"/>
            <w:color w:val="0000FF"/>
            <w:sz w:val="24"/>
            <w:szCs w:val="24"/>
            <w:u w:val="single"/>
          </w:rPr>
          <w:t>https://doi.org/10.1007/s10072-011-0915-7</w:t>
        </w:r>
      </w:hyperlink>
    </w:p>
    <w:p w14:paraId="53D862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Brissart, H., Sauvée, M., Latarche, C., Dillier, C., &amp; Debouverie, M. (2010). Integration of cognitive impairment in the Expanded Disability Status Scale of 215 patients with multiple sclerosis. </w:t>
      </w:r>
      <w:r w:rsidRPr="005B38F0">
        <w:rPr>
          <w:rFonts w:ascii="Times New Roman" w:eastAsia="Times New Roman" w:hAnsi="Times New Roman" w:cs="Times New Roman"/>
          <w:i/>
          <w:iCs/>
          <w:sz w:val="24"/>
          <w:szCs w:val="24"/>
        </w:rPr>
        <w:t>European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(6), 345–350. </w:t>
      </w:r>
      <w:hyperlink r:id="rId701" w:history="1">
        <w:r w:rsidRPr="005B38F0">
          <w:rPr>
            <w:rFonts w:ascii="Times New Roman" w:eastAsia="Times New Roman" w:hAnsi="Times New Roman" w:cs="Times New Roman"/>
            <w:color w:val="0000FF"/>
            <w:sz w:val="24"/>
            <w:szCs w:val="24"/>
            <w:u w:val="single"/>
          </w:rPr>
          <w:t>https://doi.org/10.1159/000322140</w:t>
        </w:r>
      </w:hyperlink>
    </w:p>
    <w:p w14:paraId="2F4E84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Britton, J. C., Kennedy, S. M., Seager, llana, Queen, A. H., Hernandez, M. V., Spiro, C. N., &amp; Ehrenreich-May, J. (2015). Pediatric depression: Neurocognitive function and treatment implications. In </w:t>
      </w:r>
      <w:r w:rsidRPr="005B38F0">
        <w:rPr>
          <w:rFonts w:ascii="Times New Roman" w:eastAsia="Times New Roman" w:hAnsi="Times New Roman" w:cs="Times New Roman"/>
          <w:i/>
          <w:iCs/>
          <w:sz w:val="24"/>
          <w:szCs w:val="24"/>
        </w:rPr>
        <w:t>From symptom to synapse: A neurocognitive perspective on clinical psychology.</w:t>
      </w:r>
      <w:r w:rsidRPr="005B38F0">
        <w:rPr>
          <w:rFonts w:ascii="Times New Roman" w:eastAsia="Times New Roman" w:hAnsi="Times New Roman" w:cs="Times New Roman"/>
          <w:sz w:val="24"/>
          <w:szCs w:val="24"/>
        </w:rPr>
        <w:t xml:space="preserve"> (pp. 211–246). Routledge/Taylor &amp; Francis Group.</w:t>
      </w:r>
    </w:p>
    <w:p w14:paraId="723294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Broadbent, J., &amp; Stokes, M. A. (2013). Removal of negative feedback enhances WCST performance for individuals with ASD.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(6), 785–792. </w:t>
      </w:r>
      <w:hyperlink r:id="rId702" w:history="1">
        <w:r w:rsidRPr="005B38F0">
          <w:rPr>
            <w:rFonts w:ascii="Times New Roman" w:eastAsia="Times New Roman" w:hAnsi="Times New Roman" w:cs="Times New Roman"/>
            <w:color w:val="0000FF"/>
            <w:sz w:val="24"/>
            <w:szCs w:val="24"/>
            <w:u w:val="single"/>
          </w:rPr>
          <w:t>https://doi.org/10.1016/j.rasd.2013.03.002</w:t>
        </w:r>
      </w:hyperlink>
    </w:p>
    <w:p w14:paraId="197077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Brockmeyer, T., Schmidt, H., Leiteritz-Rausch, A., Zimmermann, J., Wünsch-Leiteritz, W., Leiteritz, A., &amp; Friederich, H.-C. (2021). Cognitive remediation therapy in anorexia nervosa—A randomized clinical trial. </w:t>
      </w:r>
      <w:r w:rsidRPr="005B38F0">
        <w:rPr>
          <w:rFonts w:ascii="Times New Roman" w:eastAsia="Times New Roman" w:hAnsi="Times New Roman" w:cs="Times New Roman"/>
          <w:i/>
          <w:iCs/>
          <w:sz w:val="24"/>
          <w:szCs w:val="24"/>
        </w:rPr>
        <w:t>Journal of Consulting and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(10), 805–815. </w:t>
      </w:r>
      <w:hyperlink r:id="rId703" w:history="1">
        <w:r w:rsidRPr="005B38F0">
          <w:rPr>
            <w:rFonts w:ascii="Times New Roman" w:eastAsia="Times New Roman" w:hAnsi="Times New Roman" w:cs="Times New Roman"/>
            <w:color w:val="0000FF"/>
            <w:sz w:val="24"/>
            <w:szCs w:val="24"/>
            <w:u w:val="single"/>
          </w:rPr>
          <w:t>https://doi.org/10.1037/ccp0000675</w:t>
        </w:r>
      </w:hyperlink>
    </w:p>
    <w:p w14:paraId="0A9B1F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Broeders, M., de Bie, R. M. A., Velseboer, D. C., Speelman, J. D., Muslimovic, D., &amp; Schmand, B. (2013). Evolution of mild cognitive impairment in Parkinson disease.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(4), 346–352. </w:t>
      </w:r>
      <w:hyperlink r:id="rId704" w:history="1">
        <w:r w:rsidRPr="005B38F0">
          <w:rPr>
            <w:rFonts w:ascii="Times New Roman" w:eastAsia="Times New Roman" w:hAnsi="Times New Roman" w:cs="Times New Roman"/>
            <w:color w:val="0000FF"/>
            <w:sz w:val="24"/>
            <w:szCs w:val="24"/>
            <w:u w:val="single"/>
          </w:rPr>
          <w:t>https://doi.org/10.1212/WNL.0b013e31829c5c86</w:t>
        </w:r>
      </w:hyperlink>
    </w:p>
    <w:p w14:paraId="7C09B3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Broeders, M., Velseboer, D. C., de Bie, R., Speelman, J. D., Muslimovic, D., Post, B., de Haan, R., &amp; Schmand, B. (2013). Cognitive change in newly-diagnosed patients with Parkinson’s disease: A 5-year follow-up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695–708. </w:t>
      </w:r>
      <w:hyperlink r:id="rId705" w:history="1">
        <w:r w:rsidRPr="005B38F0">
          <w:rPr>
            <w:rFonts w:ascii="Times New Roman" w:eastAsia="Times New Roman" w:hAnsi="Times New Roman" w:cs="Times New Roman"/>
            <w:color w:val="0000FF"/>
            <w:sz w:val="24"/>
            <w:szCs w:val="24"/>
            <w:u w:val="single"/>
          </w:rPr>
          <w:t>https://doi.org/10.1017/S1355617713000295</w:t>
        </w:r>
      </w:hyperlink>
    </w:p>
    <w:p w14:paraId="1B2B03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Brokate, B., Hildebrandt, H., Eling, P., Fichtner, H., Runge, K., &amp; Timm, C. (2003). Frontal lobe dysfunctions in Korsakoff’s syndrome and chronic alcoholism: Continuity or discontinuity?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420–428. </w:t>
      </w:r>
      <w:hyperlink r:id="rId706" w:history="1">
        <w:r w:rsidRPr="005B38F0">
          <w:rPr>
            <w:rFonts w:ascii="Times New Roman" w:eastAsia="Times New Roman" w:hAnsi="Times New Roman" w:cs="Times New Roman"/>
            <w:color w:val="0000FF"/>
            <w:sz w:val="24"/>
            <w:szCs w:val="24"/>
            <w:u w:val="single"/>
          </w:rPr>
          <w:t>https://doi.org/10.1037/0894-4105.17.3.420</w:t>
        </w:r>
      </w:hyperlink>
    </w:p>
    <w:p w14:paraId="5C3192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Bromley, E., Adams, G. F., &amp; Brekke, J. S. (2012). A video ethnography approach for linking naturalistic behaviors to research constructs of neurocognition in schizophrenia. </w:t>
      </w:r>
      <w:r w:rsidRPr="005B38F0">
        <w:rPr>
          <w:rFonts w:ascii="Times New Roman" w:eastAsia="Times New Roman" w:hAnsi="Times New Roman" w:cs="Times New Roman"/>
          <w:i/>
          <w:iCs/>
          <w:sz w:val="24"/>
          <w:szCs w:val="24"/>
        </w:rPr>
        <w:t xml:space="preserve">The Journal </w:t>
      </w:r>
      <w:r w:rsidRPr="005B38F0">
        <w:rPr>
          <w:rFonts w:ascii="Times New Roman" w:eastAsia="Times New Roman" w:hAnsi="Times New Roman" w:cs="Times New Roman"/>
          <w:i/>
          <w:iCs/>
          <w:sz w:val="24"/>
          <w:szCs w:val="24"/>
        </w:rPr>
        <w:lastRenderedPageBreak/>
        <w:t>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125–140. </w:t>
      </w:r>
      <w:hyperlink r:id="rId707" w:history="1">
        <w:r w:rsidRPr="005B38F0">
          <w:rPr>
            <w:rFonts w:ascii="Times New Roman" w:eastAsia="Times New Roman" w:hAnsi="Times New Roman" w:cs="Times New Roman"/>
            <w:color w:val="0000FF"/>
            <w:sz w:val="24"/>
            <w:szCs w:val="24"/>
            <w:u w:val="single"/>
          </w:rPr>
          <w:t>https://doi.org/10.1176/appi.neuropsych.11080201</w:t>
        </w:r>
      </w:hyperlink>
    </w:p>
    <w:p w14:paraId="74DE50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 B. L., Iverson, G. L., Lanting, S. C., Horton, A. M., &amp; Reynolds, C. R. (2012). Improving test interpretation for detecting executive dysfunction in adults and older adults: Prevalence of low scores on the test of verbal conceptualization and fluency.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61–70. </w:t>
      </w:r>
      <w:hyperlink r:id="rId708" w:history="1">
        <w:r w:rsidRPr="005B38F0">
          <w:rPr>
            <w:rFonts w:ascii="Times New Roman" w:eastAsia="Times New Roman" w:hAnsi="Times New Roman" w:cs="Times New Roman"/>
            <w:color w:val="0000FF"/>
            <w:sz w:val="24"/>
            <w:szCs w:val="24"/>
            <w:u w:val="single"/>
          </w:rPr>
          <w:t>https://doi.org/10.1080/09084282.2012.651951</w:t>
        </w:r>
      </w:hyperlink>
    </w:p>
    <w:p w14:paraId="0FC83C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 B. L. ;, Sherman, E. M. S. ; I., Grant L. ;, Slick, D. J. ;, &amp; Strauss, E. (2011). </w:t>
      </w:r>
      <w:r w:rsidRPr="005B38F0">
        <w:rPr>
          <w:rFonts w:ascii="Times New Roman" w:eastAsia="Times New Roman" w:hAnsi="Times New Roman" w:cs="Times New Roman"/>
          <w:i/>
          <w:iCs/>
          <w:sz w:val="24"/>
          <w:szCs w:val="24"/>
        </w:rPr>
        <w:t>Psychometric foundations for the interpretation of neuropsychological test results.</w:t>
      </w:r>
      <w:r w:rsidRPr="005B38F0">
        <w:rPr>
          <w:rFonts w:ascii="Times New Roman" w:eastAsia="Times New Roman" w:hAnsi="Times New Roman" w:cs="Times New Roman"/>
          <w:sz w:val="24"/>
          <w:szCs w:val="24"/>
        </w:rPr>
        <w:t xml:space="preserve"> (pp. 893-922.).</w:t>
      </w:r>
    </w:p>
    <w:p w14:paraId="0FB5B4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 B. L., Weaver, L. E., &amp; Scialfa, C. T. (2006). Does impaired executive functioning differentially impact verbal memory measures in older adults with suspected dementia?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230–242. </w:t>
      </w:r>
      <w:hyperlink r:id="rId709" w:history="1">
        <w:r w:rsidRPr="005B38F0">
          <w:rPr>
            <w:rFonts w:ascii="Times New Roman" w:eastAsia="Times New Roman" w:hAnsi="Times New Roman" w:cs="Times New Roman"/>
            <w:color w:val="0000FF"/>
            <w:sz w:val="24"/>
            <w:szCs w:val="24"/>
            <w:u w:val="single"/>
          </w:rPr>
          <w:t>https://doi.org/10.1080/13854040590947461</w:t>
        </w:r>
      </w:hyperlink>
    </w:p>
    <w:p w14:paraId="48D634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Brookshire, B., Levin, H. S., Song, J. X., &amp; Zhang, L. (2004). Components of Executive Function in Typically Developing and Head-Injured Children.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(1–2), 61–83. </w:t>
      </w:r>
      <w:hyperlink r:id="rId710" w:history="1">
        <w:r w:rsidRPr="005B38F0">
          <w:rPr>
            <w:rFonts w:ascii="Times New Roman" w:eastAsia="Times New Roman" w:hAnsi="Times New Roman" w:cs="Times New Roman"/>
            <w:color w:val="0000FF"/>
            <w:sz w:val="24"/>
            <w:szCs w:val="24"/>
            <w:u w:val="single"/>
          </w:rPr>
          <w:t>https://doi.org/10.1207/s15326942dn2501&amp;2_5</w:t>
        </w:r>
      </w:hyperlink>
    </w:p>
    <w:p w14:paraId="5C997F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Broomand, C. E. (2003). </w:t>
      </w:r>
      <w:r w:rsidRPr="005B38F0">
        <w:rPr>
          <w:rFonts w:ascii="Times New Roman" w:eastAsia="Times New Roman" w:hAnsi="Times New Roman" w:cs="Times New Roman"/>
          <w:i/>
          <w:iCs/>
          <w:sz w:val="24"/>
          <w:szCs w:val="24"/>
        </w:rPr>
        <w:t>The effects of physical abuse on the development of executive functions in children.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(11-B), 5544–5544.</w:t>
      </w:r>
    </w:p>
    <w:p w14:paraId="07C776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Broustal, O., Camuzat, A., Guillot-Noël, L., Guy, N., Millecamps, S., Deffond, D., Lacomblez, L., Golfier, V., Hannequin, D., Salachas, F., Camu, W., Didic, M., Dubois, B., Meininger, V., Le Ber, I., &amp; Brice, A. (2010). FUS mutations in frontotemporal lobar degeneration with amyotrophic lateral sclerosis.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(3), 765–769.</w:t>
      </w:r>
    </w:p>
    <w:p w14:paraId="0A1996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Brown, A. S., &amp; Lau, F. S. (2016). A review of the epidemiology of schizophrenia. In </w:t>
      </w:r>
      <w:r w:rsidRPr="005B38F0">
        <w:rPr>
          <w:rFonts w:ascii="Times New Roman" w:eastAsia="Times New Roman" w:hAnsi="Times New Roman" w:cs="Times New Roman"/>
          <w:i/>
          <w:iCs/>
          <w:sz w:val="24"/>
          <w:szCs w:val="24"/>
        </w:rPr>
        <w:t>Modeling the psychopathological dimensions of schizophrenia: From molecules to behavior.</w:t>
      </w:r>
      <w:r w:rsidRPr="005B38F0">
        <w:rPr>
          <w:rFonts w:ascii="Times New Roman" w:eastAsia="Times New Roman" w:hAnsi="Times New Roman" w:cs="Times New Roman"/>
          <w:sz w:val="24"/>
          <w:szCs w:val="24"/>
        </w:rPr>
        <w:t xml:space="preserve"> (pp. 17–30). Elsevier Academic Press. </w:t>
      </w:r>
      <w:hyperlink r:id="rId711" w:history="1">
        <w:r w:rsidRPr="005B38F0">
          <w:rPr>
            <w:rFonts w:ascii="Times New Roman" w:eastAsia="Times New Roman" w:hAnsi="Times New Roman" w:cs="Times New Roman"/>
            <w:color w:val="0000FF"/>
            <w:sz w:val="24"/>
            <w:szCs w:val="24"/>
            <w:u w:val="single"/>
          </w:rPr>
          <w:t>https://doi.org/10.1016/B978-0-12-800981-9.00002-X</w:t>
        </w:r>
      </w:hyperlink>
    </w:p>
    <w:p w14:paraId="129CF3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A. S., Vinogradov, S., Kremen, W. S., Poole, J. H., Bao, Y., Kern, D., &amp; McKeague, I. W. (2011). Association of maternal genital and reproductive infections with verbal memory and motor deficits in adult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188</w:t>
      </w:r>
      <w:r w:rsidRPr="005B38F0">
        <w:rPr>
          <w:rFonts w:ascii="Times New Roman" w:eastAsia="Times New Roman" w:hAnsi="Times New Roman" w:cs="Times New Roman"/>
          <w:sz w:val="24"/>
          <w:szCs w:val="24"/>
        </w:rPr>
        <w:t xml:space="preserve">(2), 179–186. </w:t>
      </w:r>
      <w:hyperlink r:id="rId712" w:history="1">
        <w:r w:rsidRPr="005B38F0">
          <w:rPr>
            <w:rFonts w:ascii="Times New Roman" w:eastAsia="Times New Roman" w:hAnsi="Times New Roman" w:cs="Times New Roman"/>
            <w:color w:val="0000FF"/>
            <w:sz w:val="24"/>
            <w:szCs w:val="24"/>
            <w:u w:val="single"/>
          </w:rPr>
          <w:t>https://doi.org/10.1016/j.psychres.2011.04.020</w:t>
        </w:r>
      </w:hyperlink>
    </w:p>
    <w:p w14:paraId="2A4637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A. S., Vinogradov, S., Kremen, W. S., Poole, J. H., Deicken, R. F., Penner, J. D., McKeague, I. W., Kochetkova, A., Kern, D., &amp; Schaefer, C. A. (2009). Prenatal exposure to maternal infection and executive dysfunction in adult schizophrenia.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166</w:t>
      </w:r>
      <w:r w:rsidRPr="005B38F0">
        <w:rPr>
          <w:rFonts w:ascii="Times New Roman" w:eastAsia="Times New Roman" w:hAnsi="Times New Roman" w:cs="Times New Roman"/>
          <w:sz w:val="24"/>
          <w:szCs w:val="24"/>
        </w:rPr>
        <w:t xml:space="preserve">(6), 683–690. </w:t>
      </w:r>
      <w:hyperlink r:id="rId713" w:history="1">
        <w:r w:rsidRPr="005B38F0">
          <w:rPr>
            <w:rFonts w:ascii="Times New Roman" w:eastAsia="Times New Roman" w:hAnsi="Times New Roman" w:cs="Times New Roman"/>
            <w:color w:val="0000FF"/>
            <w:sz w:val="24"/>
            <w:szCs w:val="24"/>
            <w:u w:val="single"/>
          </w:rPr>
          <w:t>https://doi.org/10.1176/appi.ajp.2008.08010089</w:t>
        </w:r>
      </w:hyperlink>
    </w:p>
    <w:p w14:paraId="62C7D9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C. (2000). Clinical interpretation of “A comparison of the Allen Cognitive Level Test and the Wisconsin Card Sorting Test in adults with schizophrenia.” </w:t>
      </w:r>
      <w:r w:rsidRPr="005B38F0">
        <w:rPr>
          <w:rFonts w:ascii="Times New Roman" w:eastAsia="Times New Roman" w:hAnsi="Times New Roman" w:cs="Times New Roman"/>
          <w:i/>
          <w:iCs/>
          <w:sz w:val="24"/>
          <w:szCs w:val="24"/>
        </w:rPr>
        <w:t>American Journal of Occupational 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(2), 134–136. </w:t>
      </w:r>
      <w:hyperlink r:id="rId714" w:history="1">
        <w:r w:rsidRPr="005B38F0">
          <w:rPr>
            <w:rFonts w:ascii="Times New Roman" w:eastAsia="Times New Roman" w:hAnsi="Times New Roman" w:cs="Times New Roman"/>
            <w:color w:val="0000FF"/>
            <w:sz w:val="24"/>
            <w:szCs w:val="24"/>
            <w:u w:val="single"/>
          </w:rPr>
          <w:t>https://doi.org/10.5014/ajot.54.2.134</w:t>
        </w:r>
      </w:hyperlink>
    </w:p>
    <w:p w14:paraId="280081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C. E., Rempfer, M. V., Hamera, E., &amp; Bothwell, R. (2006). Knowledge of grocery shopping skills as a mediator of cognition and performance. </w:t>
      </w:r>
      <w:r w:rsidRPr="005B38F0">
        <w:rPr>
          <w:rFonts w:ascii="Times New Roman" w:eastAsia="Times New Roman" w:hAnsi="Times New Roman" w:cs="Times New Roman"/>
          <w:i/>
          <w:iCs/>
          <w:sz w:val="24"/>
          <w:szCs w:val="24"/>
        </w:rPr>
        <w:t>Psychiatric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 xml:space="preserve">(4), 573–575. </w:t>
      </w:r>
      <w:hyperlink r:id="rId715" w:history="1">
        <w:r w:rsidRPr="005B38F0">
          <w:rPr>
            <w:rFonts w:ascii="Times New Roman" w:eastAsia="Times New Roman" w:hAnsi="Times New Roman" w:cs="Times New Roman"/>
            <w:color w:val="0000FF"/>
            <w:sz w:val="24"/>
            <w:szCs w:val="24"/>
            <w:u w:val="single"/>
          </w:rPr>
          <w:t>https://doi.org/10.1176/appi.ps.57.4.573</w:t>
        </w:r>
      </w:hyperlink>
    </w:p>
    <w:p w14:paraId="3667EB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N. N., Wartnik, A. P., Connor, P. D., &amp; Adler, R. S. (2010). A proposed model standard for forensic assessment of Fetal Alcohol Spectrum Disorders. </w:t>
      </w:r>
      <w:r w:rsidRPr="005B38F0">
        <w:rPr>
          <w:rFonts w:ascii="Times New Roman" w:eastAsia="Times New Roman" w:hAnsi="Times New Roman" w:cs="Times New Roman"/>
          <w:i/>
          <w:iCs/>
          <w:sz w:val="24"/>
          <w:szCs w:val="24"/>
        </w:rPr>
        <w:t>Journal of Psychiatry &amp; Law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(4), 383–418. </w:t>
      </w:r>
      <w:hyperlink r:id="rId716" w:history="1">
        <w:r w:rsidRPr="005B38F0">
          <w:rPr>
            <w:rFonts w:ascii="Times New Roman" w:eastAsia="Times New Roman" w:hAnsi="Times New Roman" w:cs="Times New Roman"/>
            <w:color w:val="0000FF"/>
            <w:sz w:val="24"/>
            <w:szCs w:val="24"/>
            <w:u w:val="single"/>
          </w:rPr>
          <w:t>https://doi.org/10.1177/009318531003800403</w:t>
        </w:r>
      </w:hyperlink>
    </w:p>
    <w:p w14:paraId="4BCF91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Brown, T. E., Holdnack, J., Saylor, K., Adler, L., Spencer, T., Williams, D. W., Padival, A. K., Schuh, K., Trzepacz, P. T., &amp; Kelsey, D. (2011). Effect of atomoxetine on executive </w:t>
      </w:r>
      <w:r w:rsidRPr="005B38F0">
        <w:rPr>
          <w:rFonts w:ascii="Times New Roman" w:eastAsia="Times New Roman" w:hAnsi="Times New Roman" w:cs="Times New Roman"/>
          <w:sz w:val="24"/>
          <w:szCs w:val="24"/>
        </w:rPr>
        <w:lastRenderedPageBreak/>
        <w:t xml:space="preserve">function impairments in with ADHD.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(2), 130–138. </w:t>
      </w:r>
      <w:hyperlink r:id="rId717" w:history="1">
        <w:r w:rsidRPr="005B38F0">
          <w:rPr>
            <w:rFonts w:ascii="Times New Roman" w:eastAsia="Times New Roman" w:hAnsi="Times New Roman" w:cs="Times New Roman"/>
            <w:color w:val="0000FF"/>
            <w:sz w:val="24"/>
            <w:szCs w:val="24"/>
            <w:u w:val="single"/>
          </w:rPr>
          <w:t>https://doi.org/10.1177/1087054709356165</w:t>
        </w:r>
      </w:hyperlink>
    </w:p>
    <w:p w14:paraId="7500CD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A. S., Ray, W. J., Bruce, J. M., Arnett, P. A., &amp; Carlson, R. A. (2007). The relationship between executive functioning and dissociation.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(6), 626–633. </w:t>
      </w:r>
      <w:hyperlink r:id="rId718" w:history="1">
        <w:r w:rsidRPr="005B38F0">
          <w:rPr>
            <w:rFonts w:ascii="Times New Roman" w:eastAsia="Times New Roman" w:hAnsi="Times New Roman" w:cs="Times New Roman"/>
            <w:color w:val="0000FF"/>
            <w:sz w:val="24"/>
            <w:szCs w:val="24"/>
            <w:u w:val="single"/>
          </w:rPr>
          <w:t>https://doi.org/10.1080/13803390600878901</w:t>
        </w:r>
      </w:hyperlink>
    </w:p>
    <w:p w14:paraId="3AEAC1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J. M., Bruce, A. S., Hancock, L., &amp; Lynch, S. (2010). Self-reported memory problems in multiple sclerosis: Influence of psychiatric status and normative dissociative experiences.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39–48. </w:t>
      </w:r>
      <w:hyperlink r:id="rId719" w:history="1">
        <w:r w:rsidRPr="005B38F0">
          <w:rPr>
            <w:rFonts w:ascii="Times New Roman" w:eastAsia="Times New Roman" w:hAnsi="Times New Roman" w:cs="Times New Roman"/>
            <w:color w:val="0000FF"/>
            <w:sz w:val="24"/>
            <w:szCs w:val="24"/>
            <w:u w:val="single"/>
          </w:rPr>
          <w:t>https://doi.org/10.1093/arclin/acp092</w:t>
        </w:r>
      </w:hyperlink>
    </w:p>
    <w:p w14:paraId="5B1C37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J. M., Hancock, L. M., Arnett, P., &amp; Lynch, S. (2010). Treatment adherence in multiple sclerosis: Association with emotional status, personality, and cognition. </w:t>
      </w:r>
      <w:r w:rsidRPr="005B38F0">
        <w:rPr>
          <w:rFonts w:ascii="Times New Roman" w:eastAsia="Times New Roman" w:hAnsi="Times New Roman" w:cs="Times New Roman"/>
          <w:i/>
          <w:iCs/>
          <w:sz w:val="24"/>
          <w:szCs w:val="24"/>
        </w:rPr>
        <w:t>Journal of Behavioral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219–227. </w:t>
      </w:r>
      <w:hyperlink r:id="rId720" w:history="1">
        <w:r w:rsidRPr="005B38F0">
          <w:rPr>
            <w:rFonts w:ascii="Times New Roman" w:eastAsia="Times New Roman" w:hAnsi="Times New Roman" w:cs="Times New Roman"/>
            <w:color w:val="0000FF"/>
            <w:sz w:val="24"/>
            <w:szCs w:val="24"/>
            <w:u w:val="single"/>
          </w:rPr>
          <w:t>https://doi.org/10.1007/s10865-010-9247-y</w:t>
        </w:r>
      </w:hyperlink>
    </w:p>
    <w:p w14:paraId="648D82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Bruce, J. M., Thelen, J. M., &amp; Westervelt, H. J. (2013). Secondary influences on cognition in multiple sclerosis. In </w:t>
      </w:r>
      <w:r w:rsidRPr="005B38F0">
        <w:rPr>
          <w:rFonts w:ascii="Times New Roman" w:eastAsia="Times New Roman" w:hAnsi="Times New Roman" w:cs="Times New Roman"/>
          <w:i/>
          <w:iCs/>
          <w:sz w:val="24"/>
          <w:szCs w:val="24"/>
        </w:rPr>
        <w:t>Secondary influences on neuropsychological test performance: Research findings and practical applications.</w:t>
      </w:r>
      <w:r w:rsidRPr="005B38F0">
        <w:rPr>
          <w:rFonts w:ascii="Times New Roman" w:eastAsia="Times New Roman" w:hAnsi="Times New Roman" w:cs="Times New Roman"/>
          <w:sz w:val="24"/>
          <w:szCs w:val="24"/>
        </w:rPr>
        <w:t xml:space="preserve"> (pp. 203–227). Oxford University Press.</w:t>
      </w:r>
    </w:p>
    <w:p w14:paraId="23E008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Bruder, G. E., Keilp, J. G., Xu, H., Shikhman, M., Schori, E., Gorman, J. M., &amp; Gilliam, T. C. (2005). Catechol-o-methyltransferase (comt) genotypes and working memory: Associations with differing cognitive operations.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(11), 901–907. </w:t>
      </w:r>
      <w:hyperlink r:id="rId721" w:history="1">
        <w:r w:rsidRPr="005B38F0">
          <w:rPr>
            <w:rFonts w:ascii="Times New Roman" w:eastAsia="Times New Roman" w:hAnsi="Times New Roman" w:cs="Times New Roman"/>
            <w:color w:val="0000FF"/>
            <w:sz w:val="24"/>
            <w:szCs w:val="24"/>
            <w:u w:val="single"/>
          </w:rPr>
          <w:t>https://doi.org/10.1016/j.biopsych.2005.05.010</w:t>
        </w:r>
      </w:hyperlink>
    </w:p>
    <w:p w14:paraId="64BAC2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Brumm, V. L. (1996). </w:t>
      </w:r>
      <w:r w:rsidRPr="005B38F0">
        <w:rPr>
          <w:rFonts w:ascii="Times New Roman" w:eastAsia="Times New Roman" w:hAnsi="Times New Roman" w:cs="Times New Roman"/>
          <w:i/>
          <w:iCs/>
          <w:sz w:val="24"/>
          <w:szCs w:val="24"/>
        </w:rPr>
        <w:t>Neuropsychological and psychological correlates of marital violence in a clinical sample.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(10-B), 5759–5759.</w:t>
      </w:r>
    </w:p>
    <w:p w14:paraId="6BC46B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Brunborg, G. S., Johnsen, B. H., Pallesen, S., Molde, H., Mentzoni, R. A., &amp; Myrseth, H. (2010). The relationship between aversive conditioning and risk-avoidance in gambling. </w:t>
      </w:r>
      <w:r w:rsidRPr="005B38F0">
        <w:rPr>
          <w:rFonts w:ascii="Times New Roman" w:eastAsia="Times New Roman" w:hAnsi="Times New Roman" w:cs="Times New Roman"/>
          <w:i/>
          <w:iCs/>
          <w:sz w:val="24"/>
          <w:szCs w:val="24"/>
        </w:rPr>
        <w:t>Journal of Gambling Studies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545–559. </w:t>
      </w:r>
      <w:hyperlink r:id="rId722" w:history="1">
        <w:r w:rsidRPr="005B38F0">
          <w:rPr>
            <w:rFonts w:ascii="Times New Roman" w:eastAsia="Times New Roman" w:hAnsi="Times New Roman" w:cs="Times New Roman"/>
            <w:color w:val="0000FF"/>
            <w:sz w:val="24"/>
            <w:szCs w:val="24"/>
            <w:u w:val="single"/>
          </w:rPr>
          <w:t>https://doi.org/10.1007/s10899-010-9178-0</w:t>
        </w:r>
      </w:hyperlink>
    </w:p>
    <w:p w14:paraId="695F3C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Brüne, M. (2005). Emotion recognition, “theory of mind,” and social behavior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(2–3), 135–147. </w:t>
      </w:r>
      <w:hyperlink r:id="rId723" w:history="1">
        <w:r w:rsidRPr="005B38F0">
          <w:rPr>
            <w:rFonts w:ascii="Times New Roman" w:eastAsia="Times New Roman" w:hAnsi="Times New Roman" w:cs="Times New Roman"/>
            <w:color w:val="0000FF"/>
            <w:sz w:val="24"/>
            <w:szCs w:val="24"/>
            <w:u w:val="single"/>
          </w:rPr>
          <w:t>https://doi.org/10.1016/j.psychres.2004.10.007</w:t>
        </w:r>
      </w:hyperlink>
    </w:p>
    <w:p w14:paraId="05A45F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Abdel-Hamid, M., Lehmkämper, C., &amp; Sonntag, C. (2007). Mental state attribution, neurocognitive functioning, and psychopathology: What predicts poor social competence in schizophrenia best?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92</w:t>
      </w:r>
      <w:r w:rsidRPr="005B38F0">
        <w:rPr>
          <w:rFonts w:ascii="Times New Roman" w:eastAsia="Times New Roman" w:hAnsi="Times New Roman" w:cs="Times New Roman"/>
          <w:sz w:val="24"/>
          <w:szCs w:val="24"/>
        </w:rPr>
        <w:t xml:space="preserve">(1–3), 151–159. </w:t>
      </w:r>
      <w:hyperlink r:id="rId724" w:history="1">
        <w:r w:rsidRPr="005B38F0">
          <w:rPr>
            <w:rFonts w:ascii="Times New Roman" w:eastAsia="Times New Roman" w:hAnsi="Times New Roman" w:cs="Times New Roman"/>
            <w:color w:val="0000FF"/>
            <w:sz w:val="24"/>
            <w:szCs w:val="24"/>
            <w:u w:val="single"/>
          </w:rPr>
          <w:t>https://doi.org/10.1016/j.schres.2007.01.006</w:t>
        </w:r>
      </w:hyperlink>
    </w:p>
    <w:p w14:paraId="0DF341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Abdel-Hamid, M., Sonntag, C., Lehmkämper, C., &amp; Langdon, R. (2009). Linking social cognition with social interaction: Non-verbal expressivity, social competence and “mentalising” in patients with schizophrenia spectrum disorders. </w:t>
      </w:r>
      <w:r w:rsidRPr="005B38F0">
        <w:rPr>
          <w:rFonts w:ascii="Times New Roman" w:eastAsia="Times New Roman" w:hAnsi="Times New Roman" w:cs="Times New Roman"/>
          <w:i/>
          <w:iCs/>
          <w:sz w:val="24"/>
          <w:szCs w:val="24"/>
        </w:rPr>
        <w:t>Behavioral and Brain Functions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 </w:t>
      </w:r>
      <w:hyperlink r:id="rId725" w:history="1">
        <w:r w:rsidRPr="005B38F0">
          <w:rPr>
            <w:rFonts w:ascii="Times New Roman" w:eastAsia="Times New Roman" w:hAnsi="Times New Roman" w:cs="Times New Roman"/>
            <w:color w:val="0000FF"/>
            <w:sz w:val="24"/>
            <w:szCs w:val="24"/>
            <w:u w:val="single"/>
          </w:rPr>
          <w:t>https://doi.org/10.1186/1744-9081-5-6</w:t>
        </w:r>
      </w:hyperlink>
    </w:p>
    <w:p w14:paraId="4820CC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Basilowski, M., Bömmer, I., Juckel, G., &amp; Assion, H.-J. (2010). Machiavellianism and executive functioning in patients with delusional disorder.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 xml:space="preserve">(1), 205–215. </w:t>
      </w:r>
      <w:hyperlink r:id="rId726" w:history="1">
        <w:r w:rsidRPr="005B38F0">
          <w:rPr>
            <w:rFonts w:ascii="Times New Roman" w:eastAsia="Times New Roman" w:hAnsi="Times New Roman" w:cs="Times New Roman"/>
            <w:color w:val="0000FF"/>
            <w:sz w:val="24"/>
            <w:szCs w:val="24"/>
            <w:u w:val="single"/>
          </w:rPr>
          <w:t>https://doi.org/10.2466/PR0.106.1.205-215</w:t>
        </w:r>
      </w:hyperlink>
    </w:p>
    <w:p w14:paraId="2D4BB0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&amp; Bodenstein, L. (2005). Proverb comprehension reconsidered—’theory of mind’ and the pragmatic use of language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(2–3), 233–239. </w:t>
      </w:r>
      <w:hyperlink r:id="rId727" w:history="1">
        <w:r w:rsidRPr="005B38F0">
          <w:rPr>
            <w:rFonts w:ascii="Times New Roman" w:eastAsia="Times New Roman" w:hAnsi="Times New Roman" w:cs="Times New Roman"/>
            <w:color w:val="0000FF"/>
            <w:sz w:val="24"/>
            <w:szCs w:val="24"/>
            <w:u w:val="single"/>
          </w:rPr>
          <w:t>https://doi.org/10.1016/j.schres.2004.11.006</w:t>
        </w:r>
      </w:hyperlink>
    </w:p>
    <w:p w14:paraId="4BBAF2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&amp; Schaub, D. (2012). Mental state attribution in schizophrenia: What distinguishes patients with “poor” from patients with “fair” mentalising skills?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358–364. </w:t>
      </w:r>
      <w:hyperlink r:id="rId728" w:history="1">
        <w:r w:rsidRPr="005B38F0">
          <w:rPr>
            <w:rFonts w:ascii="Times New Roman" w:eastAsia="Times New Roman" w:hAnsi="Times New Roman" w:cs="Times New Roman"/>
            <w:color w:val="0000FF"/>
            <w:sz w:val="24"/>
            <w:szCs w:val="24"/>
            <w:u w:val="single"/>
          </w:rPr>
          <w:t>https://doi.org/10.1016/j.eurpsy.2010.10.002</w:t>
        </w:r>
      </w:hyperlink>
    </w:p>
    <w:p w14:paraId="5DF6E4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Brüne, M., Schaub, D., Juckel, G., &amp; Langdon, R. (2011). Social skills and behavioral problems in schizophrenia: The role of mental state attribution, neurocognition and clinical symptomatology.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(1), 9–17. </w:t>
      </w:r>
      <w:hyperlink r:id="rId729" w:history="1">
        <w:r w:rsidRPr="005B38F0">
          <w:rPr>
            <w:rFonts w:ascii="Times New Roman" w:eastAsia="Times New Roman" w:hAnsi="Times New Roman" w:cs="Times New Roman"/>
            <w:color w:val="0000FF"/>
            <w:sz w:val="24"/>
            <w:szCs w:val="24"/>
            <w:u w:val="single"/>
          </w:rPr>
          <w:t>https://doi.org/10.1016/j.psychres.2010.03.015</w:t>
        </w:r>
      </w:hyperlink>
    </w:p>
    <w:p w14:paraId="63B1C2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Bruneau-Bhérer, R., Achim, A. M., &amp; Jackson, P. L. (2012). Measuring the different components of social cognition in children and adolescents. In </w:t>
      </w:r>
      <w:r w:rsidRPr="005B38F0">
        <w:rPr>
          <w:rFonts w:ascii="Times New Roman" w:eastAsia="Times New Roman" w:hAnsi="Times New Roman" w:cs="Times New Roman"/>
          <w:i/>
          <w:iCs/>
          <w:sz w:val="24"/>
          <w:szCs w:val="24"/>
        </w:rPr>
        <w:t>Developmental social neuroscience and childhood brain insult: Theory and practice.</w:t>
      </w:r>
      <w:r w:rsidRPr="005B38F0">
        <w:rPr>
          <w:rFonts w:ascii="Times New Roman" w:eastAsia="Times New Roman" w:hAnsi="Times New Roman" w:cs="Times New Roman"/>
          <w:sz w:val="24"/>
          <w:szCs w:val="24"/>
        </w:rPr>
        <w:t xml:space="preserve"> (pp. 138–164). The Guilford Press.</w:t>
      </w:r>
    </w:p>
    <w:p w14:paraId="358F2A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Brunet-Gouet, E., Achim, A. M., Vistoli, D., Passerieux, C., Hardy-Baylé, M.-C., &amp; Jackson, P. L. (2011). The study of social cognition with neuroimaging methods as a means to explore future directions of deficit evaluation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(1), 23–31. </w:t>
      </w:r>
      <w:hyperlink r:id="rId730" w:history="1">
        <w:r w:rsidRPr="005B38F0">
          <w:rPr>
            <w:rFonts w:ascii="Times New Roman" w:eastAsia="Times New Roman" w:hAnsi="Times New Roman" w:cs="Times New Roman"/>
            <w:color w:val="0000FF"/>
            <w:sz w:val="24"/>
            <w:szCs w:val="24"/>
            <w:u w:val="single"/>
          </w:rPr>
          <w:t>https://doi.org/10.1016/j.psychres.2010.11.029</w:t>
        </w:r>
      </w:hyperlink>
    </w:p>
    <w:p w14:paraId="505D6F4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Brunette, M. F., Mueser, K. T., Xie, H., &amp; Drake, R. E. (1997). Relationships between symptoms of schizophrenia and substance abuse.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185</w:t>
      </w:r>
      <w:r w:rsidRPr="005B38F0">
        <w:rPr>
          <w:rFonts w:ascii="Times New Roman" w:eastAsia="Times New Roman" w:hAnsi="Times New Roman" w:cs="Times New Roman"/>
          <w:sz w:val="24"/>
          <w:szCs w:val="24"/>
        </w:rPr>
        <w:t xml:space="preserve">(1), 13–20. </w:t>
      </w:r>
      <w:hyperlink r:id="rId731" w:history="1">
        <w:r w:rsidRPr="005B38F0">
          <w:rPr>
            <w:rFonts w:ascii="Times New Roman" w:eastAsia="Times New Roman" w:hAnsi="Times New Roman" w:cs="Times New Roman"/>
            <w:color w:val="0000FF"/>
            <w:sz w:val="24"/>
            <w:szCs w:val="24"/>
            <w:u w:val="single"/>
          </w:rPr>
          <w:t>https://doi.org/10.1097/00005053-199701000-00003</w:t>
        </w:r>
      </w:hyperlink>
    </w:p>
    <w:p w14:paraId="2B81B7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Brunnekreef, J. A., De Sonneville, L. M. J., Althaus, M., Minderaa, R. B., Oldehinkel, A. J., Verhulst, F. C., &amp; Ormel, J. (2007). Information processing profiles of internalizing and externalizing behavior problems: Evidence from a population-based sample of preadolescents.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(2), 185–193. </w:t>
      </w:r>
      <w:hyperlink r:id="rId732" w:history="1">
        <w:r w:rsidRPr="005B38F0">
          <w:rPr>
            <w:rFonts w:ascii="Times New Roman" w:eastAsia="Times New Roman" w:hAnsi="Times New Roman" w:cs="Times New Roman"/>
            <w:color w:val="0000FF"/>
            <w:sz w:val="24"/>
            <w:szCs w:val="24"/>
            <w:u w:val="single"/>
          </w:rPr>
          <w:t>https://doi.org/10.1111/j.1469-7610.2006.01695.x</w:t>
        </w:r>
      </w:hyperlink>
    </w:p>
    <w:p w14:paraId="2A66ADE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Micò, U., Lorusso, S., Cogliandro, N., Pandolfo, G., Caminiti, M., Zoccali, R. A., &amp; Muscatello, M. R. A. (2013). Agomelatine in the treatment of fibromyalgia: A 12-week, open-label, uncontrolled preliminary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(4), 507–511. </w:t>
      </w:r>
      <w:hyperlink r:id="rId733" w:history="1">
        <w:r w:rsidRPr="005B38F0">
          <w:rPr>
            <w:rFonts w:ascii="Times New Roman" w:eastAsia="Times New Roman" w:hAnsi="Times New Roman" w:cs="Times New Roman"/>
            <w:color w:val="0000FF"/>
            <w:sz w:val="24"/>
            <w:szCs w:val="24"/>
            <w:u w:val="single"/>
          </w:rPr>
          <w:t>https://doi.org/10.1097/JCP.0b013e31829057ae</w:t>
        </w:r>
      </w:hyperlink>
    </w:p>
    <w:p w14:paraId="4029966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Micò, U., Pandolfo, G., Mallamace, D., Abenavoli, E., Di Nardo, F., D’Arrigo, C., Spina, E., Zoccali, R. A., &amp; Muscatello, M. R. A. (2012). Lamotrigine augmentation of serotonin reuptake inhibitors in treatment-resistant obsessive-compulsive disorder: A </w:t>
      </w:r>
      <w:r w:rsidRPr="005B38F0">
        <w:rPr>
          <w:rFonts w:ascii="Times New Roman" w:eastAsia="Times New Roman" w:hAnsi="Times New Roman" w:cs="Times New Roman"/>
          <w:sz w:val="24"/>
          <w:szCs w:val="24"/>
        </w:rPr>
        <w:lastRenderedPageBreak/>
        <w:t xml:space="preserve">double-blind, placebo-controlled study. </w:t>
      </w:r>
      <w:r w:rsidRPr="005B38F0">
        <w:rPr>
          <w:rFonts w:ascii="Times New Roman" w:eastAsia="Times New Roman" w:hAnsi="Times New Roman" w:cs="Times New Roman"/>
          <w:i/>
          <w:iCs/>
          <w:sz w:val="24"/>
          <w:szCs w:val="24"/>
        </w:rPr>
        <w:t>Journal of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(11), 1456–1462. </w:t>
      </w:r>
      <w:hyperlink r:id="rId734" w:history="1">
        <w:r w:rsidRPr="005B38F0">
          <w:rPr>
            <w:rFonts w:ascii="Times New Roman" w:eastAsia="Times New Roman" w:hAnsi="Times New Roman" w:cs="Times New Roman"/>
            <w:color w:val="0000FF"/>
            <w:sz w:val="24"/>
            <w:szCs w:val="24"/>
            <w:u w:val="single"/>
          </w:rPr>
          <w:t>https://doi.org/10.1177/0269881111431751</w:t>
        </w:r>
      </w:hyperlink>
    </w:p>
    <w:p w14:paraId="167C15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Cedro, C., Gallo, G., De Felice, M., Zoccali, R. A., &amp; Muscatello, M. R. A. (2016). Effect of ziprasidone augmentation of serotonin reuptake inhibitors in treatment-resistant obsessive-compulsive disorder: A 12-week, open-label uncontrolled preliminary study.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(1), 6–9. </w:t>
      </w:r>
      <w:hyperlink r:id="rId735" w:history="1">
        <w:r w:rsidRPr="005B38F0">
          <w:rPr>
            <w:rFonts w:ascii="Times New Roman" w:eastAsia="Times New Roman" w:hAnsi="Times New Roman" w:cs="Times New Roman"/>
            <w:color w:val="0000FF"/>
            <w:sz w:val="24"/>
            <w:szCs w:val="24"/>
            <w:u w:val="single"/>
          </w:rPr>
          <w:t>https://doi.org/10.1097/WNF.0000000000000123</w:t>
        </w:r>
      </w:hyperlink>
    </w:p>
    <w:p w14:paraId="315C79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Crucitti, M., Cedro, C., Zoccali, R. A., &amp; Muscatello, M. R. A. (2017). Bergamot polyphenolic fraction supplementation improves cognitive functioning in schizophrenia: Data from an 8-week, open-label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468–471. </w:t>
      </w:r>
      <w:hyperlink r:id="rId736" w:history="1">
        <w:r w:rsidRPr="005B38F0">
          <w:rPr>
            <w:rFonts w:ascii="Times New Roman" w:eastAsia="Times New Roman" w:hAnsi="Times New Roman" w:cs="Times New Roman"/>
            <w:color w:val="0000FF"/>
            <w:sz w:val="24"/>
            <w:szCs w:val="24"/>
            <w:u w:val="single"/>
          </w:rPr>
          <w:t>https://doi.org/10.1097/JCP.0000000000000730</w:t>
        </w:r>
      </w:hyperlink>
    </w:p>
    <w:p w14:paraId="439F37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Crucitti, M., Lorusso, S., Zoccali, R. A., &amp; Muscatello, M. R. A. (2016). Acetyl-L-carnitine augmentation of clozapine in partial-responder schizophrenia: A 12-week, open-label uncontrolled preliminary study.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(6), 277–280. </w:t>
      </w:r>
      <w:hyperlink r:id="rId737" w:history="1">
        <w:r w:rsidRPr="005B38F0">
          <w:rPr>
            <w:rFonts w:ascii="Times New Roman" w:eastAsia="Times New Roman" w:hAnsi="Times New Roman" w:cs="Times New Roman"/>
            <w:color w:val="0000FF"/>
            <w:sz w:val="24"/>
            <w:szCs w:val="24"/>
            <w:u w:val="single"/>
          </w:rPr>
          <w:t>https://doi.org/10.1097/WNF.0000000000000170</w:t>
        </w:r>
      </w:hyperlink>
    </w:p>
    <w:p w14:paraId="4E1204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Pandolfo, G., Crucitti, M., Troili, G. M., Battaglia, F., Zoccali, R. A., &amp; Muscatello, M. R. A. (2019). Effect of red yeast rice on cognitive functioning in schizophrenia: Data from a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(3), 210–213. </w:t>
      </w:r>
      <w:hyperlink r:id="rId738" w:history="1">
        <w:r w:rsidRPr="005B38F0">
          <w:rPr>
            <w:rFonts w:ascii="Times New Roman" w:eastAsia="Times New Roman" w:hAnsi="Times New Roman" w:cs="Times New Roman"/>
            <w:color w:val="0000FF"/>
            <w:sz w:val="24"/>
            <w:szCs w:val="24"/>
            <w:u w:val="single"/>
          </w:rPr>
          <w:t>https://doi.org/10.1097/JCP.0000000000001025</w:t>
        </w:r>
      </w:hyperlink>
    </w:p>
    <w:p w14:paraId="243F34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Zoccali, R. A., Abenavoli, E., Pandolfo, G., Scimeca, G., Spina, E., &amp; Muscatello, M. R. A. (2014). Augmentation of clozapine with agomelatine in partial-responder schizophrenia: A 16-week, open-label, uncontrolled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491–494. </w:t>
      </w:r>
      <w:hyperlink r:id="rId739" w:history="1">
        <w:r w:rsidRPr="005B38F0">
          <w:rPr>
            <w:rFonts w:ascii="Times New Roman" w:eastAsia="Times New Roman" w:hAnsi="Times New Roman" w:cs="Times New Roman"/>
            <w:color w:val="0000FF"/>
            <w:sz w:val="24"/>
            <w:szCs w:val="24"/>
            <w:u w:val="single"/>
          </w:rPr>
          <w:t>https://doi.org/10.1097/JCP.0000000000000157</w:t>
        </w:r>
      </w:hyperlink>
    </w:p>
    <w:p w14:paraId="27C5CB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Bruno, A., Zoccali, R. A., Troili, G. M., Scala, L., Pandolfo, G., Cedro, C., Mento, C., Santoro, V., Spina, E., &amp; Muscatello, M. R. A. (2020). Vortioxetine on cognition in schizophrenia: A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(4), 381–385. </w:t>
      </w:r>
      <w:hyperlink r:id="rId740" w:history="1">
        <w:r w:rsidRPr="005B38F0">
          <w:rPr>
            <w:rFonts w:ascii="Times New Roman" w:eastAsia="Times New Roman" w:hAnsi="Times New Roman" w:cs="Times New Roman"/>
            <w:color w:val="0000FF"/>
            <w:sz w:val="24"/>
            <w:szCs w:val="24"/>
            <w:u w:val="single"/>
          </w:rPr>
          <w:t>https://doi.org/10.1097/JCP.0000000000001242</w:t>
        </w:r>
      </w:hyperlink>
    </w:p>
    <w:p w14:paraId="6A0BBF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A., Zoccali, R., Bellinghieri, P. M., Pandolfo, G., De Fazio, P., Spina, E., &amp; Muscatello, M. R. A. (2014). Reboxetine adjuvant therapy in patients with schizophrenia showing a suboptimal response to clozapine: A 12-week, open-label, pilot study.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(5), 620–623. </w:t>
      </w:r>
      <w:hyperlink r:id="rId741" w:history="1">
        <w:r w:rsidRPr="005B38F0">
          <w:rPr>
            <w:rFonts w:ascii="Times New Roman" w:eastAsia="Times New Roman" w:hAnsi="Times New Roman" w:cs="Times New Roman"/>
            <w:color w:val="0000FF"/>
            <w:sz w:val="24"/>
            <w:szCs w:val="24"/>
            <w:u w:val="single"/>
          </w:rPr>
          <w:t>https://doi.org/10.1097/JCP.0000000000000196</w:t>
        </w:r>
      </w:hyperlink>
    </w:p>
    <w:p w14:paraId="5FC0CB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Bruno, D., Torralva, T., Marenco, V., Ardilla, J. T., Baez, S., Gleichgerrcht, E., Sinay, V., &amp; Roca, M. (2015). Utility of the INECO frontal screening (IFS) in the detection of executive dysfunction in patients with relapsing-remitting multiple sclerosis (RRMS).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(11), 2035–2041. </w:t>
      </w:r>
      <w:hyperlink r:id="rId742" w:history="1">
        <w:r w:rsidRPr="005B38F0">
          <w:rPr>
            <w:rFonts w:ascii="Times New Roman" w:eastAsia="Times New Roman" w:hAnsi="Times New Roman" w:cs="Times New Roman"/>
            <w:color w:val="0000FF"/>
            <w:sz w:val="24"/>
            <w:szCs w:val="24"/>
            <w:u w:val="single"/>
          </w:rPr>
          <w:t>https://doi.org/10.1007/s10072-015-2299-6</w:t>
        </w:r>
      </w:hyperlink>
    </w:p>
    <w:p w14:paraId="024181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Bruzzo, A., Gesierich, B., &amp; Wohlschläger, A. (2008). Simulating biological and non-biological motion.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(2), 145–149. </w:t>
      </w:r>
      <w:hyperlink r:id="rId743" w:history="1">
        <w:r w:rsidRPr="005B38F0">
          <w:rPr>
            <w:rFonts w:ascii="Times New Roman" w:eastAsia="Times New Roman" w:hAnsi="Times New Roman" w:cs="Times New Roman"/>
            <w:color w:val="0000FF"/>
            <w:sz w:val="24"/>
            <w:szCs w:val="24"/>
            <w:u w:val="single"/>
          </w:rPr>
          <w:t>https://doi.org/10.1016/j.bandc.2007.06.006</w:t>
        </w:r>
      </w:hyperlink>
    </w:p>
    <w:p w14:paraId="2600E22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Bryant, D., Chiaravalloti, N. D., &amp; DeLuca, J. (2004). Objective Measurement of Cognitive Fatigue in Multiple Sclerosis. </w:t>
      </w:r>
      <w:r w:rsidRPr="005B38F0">
        <w:rPr>
          <w:rFonts w:ascii="Times New Roman" w:eastAsia="Times New Roman" w:hAnsi="Times New Roman" w:cs="Times New Roman"/>
          <w:i/>
          <w:iCs/>
          <w:sz w:val="24"/>
          <w:szCs w:val="24"/>
        </w:rPr>
        <w:t>Rehabilitation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(2), 114–122. </w:t>
      </w:r>
      <w:hyperlink r:id="rId744" w:history="1">
        <w:r w:rsidRPr="005B38F0">
          <w:rPr>
            <w:rFonts w:ascii="Times New Roman" w:eastAsia="Times New Roman" w:hAnsi="Times New Roman" w:cs="Times New Roman"/>
            <w:color w:val="0000FF"/>
            <w:sz w:val="24"/>
            <w:szCs w:val="24"/>
            <w:u w:val="single"/>
          </w:rPr>
          <w:t>https://doi.org/10.1037/0090-5550.49.2.114</w:t>
        </w:r>
      </w:hyperlink>
    </w:p>
    <w:p w14:paraId="0AF009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Brydges, C. R., Fox, A. M., Reid, C. L., &amp; Anderson, M. (2014a). Predictive validity of the N2 and P3 ERP components to executive functioning in children: A latent-variable analysis. </w:t>
      </w:r>
      <w:r w:rsidRPr="005B38F0">
        <w:rPr>
          <w:rFonts w:ascii="Times New Roman" w:eastAsia="Times New Roman" w:hAnsi="Times New Roman" w:cs="Times New Roman"/>
          <w:i/>
          <w:iCs/>
          <w:sz w:val="24"/>
          <w:szCs w:val="24"/>
        </w:rPr>
        <w:t>Frontiers in Human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745" w:history="1">
        <w:r w:rsidRPr="005B38F0">
          <w:rPr>
            <w:rFonts w:ascii="Times New Roman" w:eastAsia="Times New Roman" w:hAnsi="Times New Roman" w:cs="Times New Roman"/>
            <w:color w:val="0000FF"/>
            <w:sz w:val="24"/>
            <w:szCs w:val="24"/>
            <w:u w:val="single"/>
          </w:rPr>
          <w:t>https://doi.org/10.3389/fnhum.2014.00080</w:t>
        </w:r>
      </w:hyperlink>
    </w:p>
    <w:p w14:paraId="35A361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Brydges, C. R., Fox, A. M., Reid, C. L., &amp; Anderson, M. (2014b). The differentiation of executive functions in middle and late childhood: A longitudinal latent-variable analysis. </w:t>
      </w:r>
      <w:r w:rsidRPr="005B38F0">
        <w:rPr>
          <w:rFonts w:ascii="Times New Roman" w:eastAsia="Times New Roman" w:hAnsi="Times New Roman" w:cs="Times New Roman"/>
          <w:i/>
          <w:iCs/>
          <w:sz w:val="24"/>
          <w:szCs w:val="24"/>
        </w:rPr>
        <w:t>Intelligence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 34–43. </w:t>
      </w:r>
      <w:hyperlink r:id="rId746" w:history="1">
        <w:r w:rsidRPr="005B38F0">
          <w:rPr>
            <w:rFonts w:ascii="Times New Roman" w:eastAsia="Times New Roman" w:hAnsi="Times New Roman" w:cs="Times New Roman"/>
            <w:color w:val="0000FF"/>
            <w:sz w:val="24"/>
            <w:szCs w:val="24"/>
            <w:u w:val="single"/>
          </w:rPr>
          <w:t>https://doi.org/10.1016/j.intell.2014.08.010</w:t>
        </w:r>
      </w:hyperlink>
    </w:p>
    <w:p w14:paraId="57DC0C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Brydges, C. R., Reid, C. L., Fox, A. M., &amp; Anderson, M. (2012). A unitary executive function predicts intelligence in children. </w:t>
      </w:r>
      <w:r w:rsidRPr="005B38F0">
        <w:rPr>
          <w:rFonts w:ascii="Times New Roman" w:eastAsia="Times New Roman" w:hAnsi="Times New Roman" w:cs="Times New Roman"/>
          <w:i/>
          <w:iCs/>
          <w:sz w:val="24"/>
          <w:szCs w:val="24"/>
        </w:rPr>
        <w:t>Intelligence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(5), 458–469. </w:t>
      </w:r>
      <w:hyperlink r:id="rId747" w:history="1">
        <w:r w:rsidRPr="005B38F0">
          <w:rPr>
            <w:rFonts w:ascii="Times New Roman" w:eastAsia="Times New Roman" w:hAnsi="Times New Roman" w:cs="Times New Roman"/>
            <w:color w:val="0000FF"/>
            <w:sz w:val="24"/>
            <w:szCs w:val="24"/>
            <w:u w:val="single"/>
          </w:rPr>
          <w:t>https://doi.org/10.1016/j.intell.2012.05.006</w:t>
        </w:r>
      </w:hyperlink>
    </w:p>
    <w:p w14:paraId="2FE3D5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Bryson, G., Bell, M., &amp; Lysaker, P. (1997). Affect recognition in schizophrenia: A function of global impairment or a specific cognitive deficit.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105–113. </w:t>
      </w:r>
      <w:hyperlink r:id="rId748" w:history="1">
        <w:r w:rsidRPr="005B38F0">
          <w:rPr>
            <w:rFonts w:ascii="Times New Roman" w:eastAsia="Times New Roman" w:hAnsi="Times New Roman" w:cs="Times New Roman"/>
            <w:color w:val="0000FF"/>
            <w:sz w:val="24"/>
            <w:szCs w:val="24"/>
            <w:u w:val="single"/>
          </w:rPr>
          <w:t>https://doi.org/10.1016/S0165-1781(97)00050-4</w:t>
        </w:r>
      </w:hyperlink>
    </w:p>
    <w:p w14:paraId="527A2F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Bryson, G., Greig, T., Lysaker, P., &amp; Bell, M. (2002). Longitudinal Wisconsin Card Sorting performance in schizophrenia patients in rehabilitation.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(4), 203–209. </w:t>
      </w:r>
      <w:hyperlink r:id="rId749" w:history="1">
        <w:r w:rsidRPr="005B38F0">
          <w:rPr>
            <w:rFonts w:ascii="Times New Roman" w:eastAsia="Times New Roman" w:hAnsi="Times New Roman" w:cs="Times New Roman"/>
            <w:color w:val="0000FF"/>
            <w:sz w:val="24"/>
            <w:szCs w:val="24"/>
            <w:u w:val="single"/>
          </w:rPr>
          <w:t>https://doi.org/10.1207/S15324826AN0904_2</w:t>
        </w:r>
      </w:hyperlink>
    </w:p>
    <w:p w14:paraId="348D92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Bryson, G., Whelahan, H. A., &amp; Bell, M. (2001). Memory and executive function impairments in deficit syndrome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102</w:t>
      </w:r>
      <w:r w:rsidRPr="005B38F0">
        <w:rPr>
          <w:rFonts w:ascii="Times New Roman" w:eastAsia="Times New Roman" w:hAnsi="Times New Roman" w:cs="Times New Roman"/>
          <w:sz w:val="24"/>
          <w:szCs w:val="24"/>
        </w:rPr>
        <w:t xml:space="preserve">(1), 29–37. </w:t>
      </w:r>
      <w:hyperlink r:id="rId750" w:history="1">
        <w:r w:rsidRPr="005B38F0">
          <w:rPr>
            <w:rFonts w:ascii="Times New Roman" w:eastAsia="Times New Roman" w:hAnsi="Times New Roman" w:cs="Times New Roman"/>
            <w:color w:val="0000FF"/>
            <w:sz w:val="24"/>
            <w:szCs w:val="24"/>
            <w:u w:val="single"/>
          </w:rPr>
          <w:t>https://doi.org/10.1016/S0165-1781(01)00245-1</w:t>
        </w:r>
      </w:hyperlink>
    </w:p>
    <w:p w14:paraId="362EBF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Bubber, P., Hartounian, V., Gibson, G. E., &amp; Blass, J. P. (2011). Abnormalities in the tricarboxylic acid (TCA) cycle in the brains of schizophrenia patients. </w:t>
      </w:r>
      <w:r w:rsidRPr="005B38F0">
        <w:rPr>
          <w:rFonts w:ascii="Times New Roman" w:eastAsia="Times New Roman" w:hAnsi="Times New Roman" w:cs="Times New Roman"/>
          <w:i/>
          <w:iCs/>
          <w:sz w:val="24"/>
          <w:szCs w:val="24"/>
        </w:rPr>
        <w:t>European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254–260. </w:t>
      </w:r>
      <w:hyperlink r:id="rId751" w:history="1">
        <w:r w:rsidRPr="005B38F0">
          <w:rPr>
            <w:rFonts w:ascii="Times New Roman" w:eastAsia="Times New Roman" w:hAnsi="Times New Roman" w:cs="Times New Roman"/>
            <w:color w:val="0000FF"/>
            <w:sz w:val="24"/>
            <w:szCs w:val="24"/>
            <w:u w:val="single"/>
          </w:rPr>
          <w:t>https://doi.org/10.1016/j.euroneuro.2010.10.007</w:t>
        </w:r>
      </w:hyperlink>
    </w:p>
    <w:p w14:paraId="3A7310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Bucci, P., Galderisi, S., Catapano, F., Di Benedetto, R., Piegari, G., Mucci, A., &amp; Maj, M. (2007). Neurocognitive indices of executive hypercontrol in obsessive-compulsive disorder.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115</w:t>
      </w:r>
      <w:r w:rsidRPr="005B38F0">
        <w:rPr>
          <w:rFonts w:ascii="Times New Roman" w:eastAsia="Times New Roman" w:hAnsi="Times New Roman" w:cs="Times New Roman"/>
          <w:sz w:val="24"/>
          <w:szCs w:val="24"/>
        </w:rPr>
        <w:t xml:space="preserve">(5), 380–387. </w:t>
      </w:r>
      <w:hyperlink r:id="rId752" w:history="1">
        <w:r w:rsidRPr="005B38F0">
          <w:rPr>
            <w:rFonts w:ascii="Times New Roman" w:eastAsia="Times New Roman" w:hAnsi="Times New Roman" w:cs="Times New Roman"/>
            <w:color w:val="0000FF"/>
            <w:sz w:val="24"/>
            <w:szCs w:val="24"/>
            <w:u w:val="single"/>
          </w:rPr>
          <w:t>https://doi.org/10.1111/j.1600-0447.2006.00911.x</w:t>
        </w:r>
      </w:hyperlink>
    </w:p>
    <w:p w14:paraId="6B570A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Bucci, P., Mucci, A., Merlotti, E., Piegari, G., &amp; Galderisi, S. (2011). Neuropsychophysiological correlates of eating disorders: Implications for treatment. </w:t>
      </w:r>
      <w:r w:rsidRPr="005B38F0">
        <w:rPr>
          <w:rFonts w:ascii="Times New Roman" w:eastAsia="Times New Roman" w:hAnsi="Times New Roman" w:cs="Times New Roman"/>
          <w:i/>
          <w:iCs/>
          <w:sz w:val="24"/>
          <w:szCs w:val="24"/>
        </w:rPr>
        <w:t>Yearbook of International Psychiatry and Behavioral Neurosciences - 2009.</w:t>
      </w:r>
      <w:r w:rsidRPr="005B38F0">
        <w:rPr>
          <w:rFonts w:ascii="Times New Roman" w:eastAsia="Times New Roman" w:hAnsi="Times New Roman" w:cs="Times New Roman"/>
          <w:sz w:val="24"/>
          <w:szCs w:val="24"/>
        </w:rPr>
        <w:t>, 233–243.</w:t>
      </w:r>
    </w:p>
    <w:p w14:paraId="05339A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Bucci, P., Piegari, G., Mucci, A., Merlotti, E., Chieffi, M., De Riso, F., De Angelis, M., Di Munzio, W., &amp; Galderisi, S. (2013). Neurocognitive individualized training versus social skills individualized training: A randomized trial in patients with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150</w:t>
      </w:r>
      <w:r w:rsidRPr="005B38F0">
        <w:rPr>
          <w:rFonts w:ascii="Times New Roman" w:eastAsia="Times New Roman" w:hAnsi="Times New Roman" w:cs="Times New Roman"/>
          <w:sz w:val="24"/>
          <w:szCs w:val="24"/>
        </w:rPr>
        <w:t xml:space="preserve">(1), 69–75. </w:t>
      </w:r>
      <w:hyperlink r:id="rId753" w:history="1">
        <w:r w:rsidRPr="005B38F0">
          <w:rPr>
            <w:rFonts w:ascii="Times New Roman" w:eastAsia="Times New Roman" w:hAnsi="Times New Roman" w:cs="Times New Roman"/>
            <w:color w:val="0000FF"/>
            <w:sz w:val="24"/>
            <w:szCs w:val="24"/>
            <w:u w:val="single"/>
          </w:rPr>
          <w:t>https://doi.org/10.1016/j.schres.2013.07.053</w:t>
        </w:r>
      </w:hyperlink>
    </w:p>
    <w:p w14:paraId="27B9CD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Buchanan, T. W., Etzel, J. A., Adolphs, R., &amp; Tranel, D. (2006). The influence of autonomic arousal and semantic relatedness on memory for emotional words.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 26–33. </w:t>
      </w:r>
      <w:hyperlink r:id="rId754" w:history="1">
        <w:r w:rsidRPr="005B38F0">
          <w:rPr>
            <w:rFonts w:ascii="Times New Roman" w:eastAsia="Times New Roman" w:hAnsi="Times New Roman" w:cs="Times New Roman"/>
            <w:color w:val="0000FF"/>
            <w:sz w:val="24"/>
            <w:szCs w:val="24"/>
            <w:u w:val="single"/>
          </w:rPr>
          <w:t>https://doi.org/10.1016/j.ijpsycho.2005.10.022</w:t>
        </w:r>
      </w:hyperlink>
    </w:p>
    <w:p w14:paraId="1E1634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Buchanan, T. W., Tranel, D., &amp; Adolphs, R. (2003). A specific role for the human amygdala in olfactory memory. </w:t>
      </w:r>
      <w:r w:rsidRPr="005B38F0">
        <w:rPr>
          <w:rFonts w:ascii="Times New Roman" w:eastAsia="Times New Roman" w:hAnsi="Times New Roman" w:cs="Times New Roman"/>
          <w:i/>
          <w:iCs/>
          <w:sz w:val="24"/>
          <w:szCs w:val="24"/>
        </w:rPr>
        <w:t>Learning &amp;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(5), 319–325. </w:t>
      </w:r>
      <w:hyperlink r:id="rId755" w:history="1">
        <w:r w:rsidRPr="005B38F0">
          <w:rPr>
            <w:rFonts w:ascii="Times New Roman" w:eastAsia="Times New Roman" w:hAnsi="Times New Roman" w:cs="Times New Roman"/>
            <w:color w:val="0000FF"/>
            <w:sz w:val="24"/>
            <w:szCs w:val="24"/>
            <w:u w:val="single"/>
          </w:rPr>
          <w:t>https://doi.org/10.1101/lm.62303</w:t>
        </w:r>
      </w:hyperlink>
    </w:p>
    <w:p w14:paraId="54DAD4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Buchmann, A., Dentico, D., Peterson, M. J., Riedner, B. A., Sarasso, S., Massimini, M., Tononi, G., &amp; Ferrarelli, F. (2014). Reduced mediodorsal thalamic volume and prefrontal cortical spindle activity in schizophrenia.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102</w:t>
      </w:r>
      <w:r w:rsidRPr="005B38F0">
        <w:rPr>
          <w:rFonts w:ascii="Times New Roman" w:eastAsia="Times New Roman" w:hAnsi="Times New Roman" w:cs="Times New Roman"/>
          <w:sz w:val="24"/>
          <w:szCs w:val="24"/>
        </w:rPr>
        <w:t xml:space="preserve">(Part 2), 540–547. </w:t>
      </w:r>
      <w:hyperlink r:id="rId756" w:history="1">
        <w:r w:rsidRPr="005B38F0">
          <w:rPr>
            <w:rFonts w:ascii="Times New Roman" w:eastAsia="Times New Roman" w:hAnsi="Times New Roman" w:cs="Times New Roman"/>
            <w:color w:val="0000FF"/>
            <w:sz w:val="24"/>
            <w:szCs w:val="24"/>
            <w:u w:val="single"/>
          </w:rPr>
          <w:t>https://doi.org/10.1016/j.neuroimage.2014.08.017</w:t>
        </w:r>
      </w:hyperlink>
    </w:p>
    <w:p w14:paraId="6A2429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Buck, K. D., Warman, D. M., Huddy, V., &amp; Lysaker, P. H. (2012). The relationship of metacognition with jumping to conclusions among persons with schizophrenia spectrum disorders.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(5), 271–275. </w:t>
      </w:r>
      <w:hyperlink r:id="rId757" w:history="1">
        <w:r w:rsidRPr="005B38F0">
          <w:rPr>
            <w:rFonts w:ascii="Times New Roman" w:eastAsia="Times New Roman" w:hAnsi="Times New Roman" w:cs="Times New Roman"/>
            <w:color w:val="0000FF"/>
            <w:sz w:val="24"/>
            <w:szCs w:val="24"/>
            <w:u w:val="single"/>
          </w:rPr>
          <w:t>https://doi.org/10.1159/000330892</w:t>
        </w:r>
      </w:hyperlink>
    </w:p>
    <w:p w14:paraId="086474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Bücker, J., Kapczinski, F., Post, R., Ceresér, K. M., Szobot, C., Yatham, L. N., Kapczinski, N. S., &amp; Kauer-Sant’Anna, M. (2012). Cognitive impairment in school-aged children with early trauma.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(6), 758–764. </w:t>
      </w:r>
      <w:hyperlink r:id="rId758" w:history="1">
        <w:r w:rsidRPr="005B38F0">
          <w:rPr>
            <w:rFonts w:ascii="Times New Roman" w:eastAsia="Times New Roman" w:hAnsi="Times New Roman" w:cs="Times New Roman"/>
            <w:color w:val="0000FF"/>
            <w:sz w:val="24"/>
            <w:szCs w:val="24"/>
            <w:u w:val="single"/>
          </w:rPr>
          <w:t>https://doi.org/10.1016/j.comppsych.2011.12.006</w:t>
        </w:r>
      </w:hyperlink>
    </w:p>
    <w:p w14:paraId="10CF0E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Buckley, M. J., Mansouri, F. A., Hoda, H., Mahboubi, M., Browning, P. G. F., Kwok, S. C., Phillips, A., &amp; Tanaka, K. (2009). Dissociable components of rule-guided behavior depend </w:t>
      </w:r>
      <w:r w:rsidRPr="005B38F0">
        <w:rPr>
          <w:rFonts w:ascii="Times New Roman" w:eastAsia="Times New Roman" w:hAnsi="Times New Roman" w:cs="Times New Roman"/>
          <w:sz w:val="24"/>
          <w:szCs w:val="24"/>
        </w:rPr>
        <w:lastRenderedPageBreak/>
        <w:t xml:space="preserve">on distinct medial and prefrontal regions. </w:t>
      </w:r>
      <w:r w:rsidRPr="005B38F0">
        <w:rPr>
          <w:rFonts w:ascii="Times New Roman" w:eastAsia="Times New Roman" w:hAnsi="Times New Roman" w:cs="Times New Roman"/>
          <w:i/>
          <w:iCs/>
          <w:sz w:val="24"/>
          <w:szCs w:val="24"/>
        </w:rPr>
        <w:t>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325</w:t>
      </w:r>
      <w:r w:rsidRPr="005B38F0">
        <w:rPr>
          <w:rFonts w:ascii="Times New Roman" w:eastAsia="Times New Roman" w:hAnsi="Times New Roman" w:cs="Times New Roman"/>
          <w:sz w:val="24"/>
          <w:szCs w:val="24"/>
        </w:rPr>
        <w:t xml:space="preserve">(5936), 52–58. </w:t>
      </w:r>
      <w:hyperlink r:id="rId759" w:history="1">
        <w:r w:rsidRPr="005B38F0">
          <w:rPr>
            <w:rFonts w:ascii="Times New Roman" w:eastAsia="Times New Roman" w:hAnsi="Times New Roman" w:cs="Times New Roman"/>
            <w:color w:val="0000FF"/>
            <w:sz w:val="24"/>
            <w:szCs w:val="24"/>
            <w:u w:val="single"/>
          </w:rPr>
          <w:t>https://doi.org/10.1126/science.1172377</w:t>
        </w:r>
      </w:hyperlink>
    </w:p>
    <w:p w14:paraId="727BBF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Buckley, P. F., Harvey, P. D., Bowie, C. R., &amp; Loebel, A. (2007). The relationship between symptomatic remission and neuropsychological improvement in schizophrenia patients switched to treatment with ziprasidone.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94</w:t>
      </w:r>
      <w:r w:rsidRPr="005B38F0">
        <w:rPr>
          <w:rFonts w:ascii="Times New Roman" w:eastAsia="Times New Roman" w:hAnsi="Times New Roman" w:cs="Times New Roman"/>
          <w:sz w:val="24"/>
          <w:szCs w:val="24"/>
        </w:rPr>
        <w:t xml:space="preserve">(1–3), 99–106. </w:t>
      </w:r>
      <w:hyperlink r:id="rId760" w:history="1">
        <w:r w:rsidRPr="005B38F0">
          <w:rPr>
            <w:rFonts w:ascii="Times New Roman" w:eastAsia="Times New Roman" w:hAnsi="Times New Roman" w:cs="Times New Roman"/>
            <w:color w:val="0000FF"/>
            <w:sz w:val="24"/>
            <w:szCs w:val="24"/>
            <w:u w:val="single"/>
          </w:rPr>
          <w:t>https://doi.org/10.1016/j.schres.2006.12.032</w:t>
        </w:r>
      </w:hyperlink>
    </w:p>
    <w:p w14:paraId="105D88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Budson, A. E., Sullivan, A. L., Mayer, E., Daffner, K. R., Black, P. M., &amp; Schacter, D. L. (2002). Suppression of false recognition in Alzheimer’s disease and in patients with frontal lobe lesions.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125</w:t>
      </w:r>
      <w:r w:rsidRPr="005B38F0">
        <w:rPr>
          <w:rFonts w:ascii="Times New Roman" w:eastAsia="Times New Roman" w:hAnsi="Times New Roman" w:cs="Times New Roman"/>
          <w:sz w:val="24"/>
          <w:szCs w:val="24"/>
        </w:rPr>
        <w:t xml:space="preserve">(12), 2750–2765. </w:t>
      </w:r>
      <w:hyperlink r:id="rId761" w:history="1">
        <w:r w:rsidRPr="005B38F0">
          <w:rPr>
            <w:rFonts w:ascii="Times New Roman" w:eastAsia="Times New Roman" w:hAnsi="Times New Roman" w:cs="Times New Roman"/>
            <w:color w:val="0000FF"/>
            <w:sz w:val="24"/>
            <w:szCs w:val="24"/>
            <w:u w:val="single"/>
          </w:rPr>
          <w:t>https://doi.org/10.1093/brain/awf277</w:t>
        </w:r>
      </w:hyperlink>
    </w:p>
    <w:p w14:paraId="6F3940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Buelow, M. T., Okdie, B. M., Brunell, A. B., &amp; Trost, Z. (2015). Stuck in a moment and you cannot get out of it: The lingering effects of ostracism on cognition and satisfaction of basic needs.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 39–43. </w:t>
      </w:r>
      <w:hyperlink r:id="rId762" w:history="1">
        <w:r w:rsidRPr="005B38F0">
          <w:rPr>
            <w:rFonts w:ascii="Times New Roman" w:eastAsia="Times New Roman" w:hAnsi="Times New Roman" w:cs="Times New Roman"/>
            <w:color w:val="0000FF"/>
            <w:sz w:val="24"/>
            <w:szCs w:val="24"/>
            <w:u w:val="single"/>
          </w:rPr>
          <w:t>https://doi.org/10.1016/j.paid.2014.11.051</w:t>
        </w:r>
      </w:hyperlink>
    </w:p>
    <w:p w14:paraId="0262B5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Buffon, F., Porcher, R., Hernandez, K., Kurtz, A., Pointeau, S., Vahedi, K., Bousser, M.-G., &amp; Chabriat, H. (2006). Cognitive profile in CADASIL.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(2), 175–180. </w:t>
      </w:r>
      <w:hyperlink r:id="rId763" w:history="1">
        <w:r w:rsidRPr="005B38F0">
          <w:rPr>
            <w:rFonts w:ascii="Times New Roman" w:eastAsia="Times New Roman" w:hAnsi="Times New Roman" w:cs="Times New Roman"/>
            <w:color w:val="0000FF"/>
            <w:sz w:val="24"/>
            <w:szCs w:val="24"/>
            <w:u w:val="single"/>
          </w:rPr>
          <w:t>https://doi.org/10.1136/jnnp.2005.068726</w:t>
        </w:r>
      </w:hyperlink>
    </w:p>
    <w:p w14:paraId="1FE5A9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Bugaiska, A., Clarys, D., Jarry, C., Taconnat, L., Tapia, G., Vanneste, S., &amp; Isingrini, M. (2007). The effect of aging in recollective experience: The processing speed and executive functioning hypothesis. </w:t>
      </w:r>
      <w:r w:rsidRPr="005B38F0">
        <w:rPr>
          <w:rFonts w:ascii="Times New Roman" w:eastAsia="Times New Roman" w:hAnsi="Times New Roman" w:cs="Times New Roman"/>
          <w:i/>
          <w:iCs/>
          <w:sz w:val="24"/>
          <w:szCs w:val="24"/>
        </w:rPr>
        <w:t>Consciousness and Cognition: An International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(4), 797–808. </w:t>
      </w:r>
      <w:hyperlink r:id="rId764" w:history="1">
        <w:r w:rsidRPr="005B38F0">
          <w:rPr>
            <w:rFonts w:ascii="Times New Roman" w:eastAsia="Times New Roman" w:hAnsi="Times New Roman" w:cs="Times New Roman"/>
            <w:color w:val="0000FF"/>
            <w:sz w:val="24"/>
            <w:szCs w:val="24"/>
            <w:u w:val="single"/>
          </w:rPr>
          <w:t>https://doi.org/10.1016/j.concog.2006.11.007</w:t>
        </w:r>
      </w:hyperlink>
    </w:p>
    <w:p w14:paraId="489261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Bugg, J. M., DeLosh, E. L., Davalos, D. B., &amp; Davis, H. P. (2007). Age differences in Stroop interference: Contributions of general slowing and task-specific deficits. </w:t>
      </w:r>
      <w:r w:rsidRPr="005B38F0">
        <w:rPr>
          <w:rFonts w:ascii="Times New Roman" w:eastAsia="Times New Roman" w:hAnsi="Times New Roman" w:cs="Times New Roman"/>
          <w:i/>
          <w:iCs/>
          <w:sz w:val="24"/>
          <w:szCs w:val="24"/>
        </w:rPr>
        <w:t xml:space="preserve">Aging, </w:t>
      </w:r>
      <w:r w:rsidRPr="005B38F0">
        <w:rPr>
          <w:rFonts w:ascii="Times New Roman" w:eastAsia="Times New Roman" w:hAnsi="Times New Roman" w:cs="Times New Roman"/>
          <w:i/>
          <w:iCs/>
          <w:sz w:val="24"/>
          <w:szCs w:val="24"/>
        </w:rPr>
        <w:lastRenderedPageBreak/>
        <w:t>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(2), 155–167. </w:t>
      </w:r>
      <w:hyperlink r:id="rId765" w:history="1">
        <w:r w:rsidRPr="005B38F0">
          <w:rPr>
            <w:rFonts w:ascii="Times New Roman" w:eastAsia="Times New Roman" w:hAnsi="Times New Roman" w:cs="Times New Roman"/>
            <w:color w:val="0000FF"/>
            <w:sz w:val="24"/>
            <w:szCs w:val="24"/>
            <w:u w:val="single"/>
          </w:rPr>
          <w:t>https://doi.org/10.1080/138255891007065</w:t>
        </w:r>
      </w:hyperlink>
    </w:p>
    <w:p w14:paraId="32BE50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Bugg, J. M., Zook, N. A., DeLosh, E. L., Davalos, D. B., &amp; Davis, H. P. (2006). Age differences in fluid intelligence: Contributions of general slowing and frontal decline.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(1), 9–16. </w:t>
      </w:r>
      <w:hyperlink r:id="rId766" w:history="1">
        <w:r w:rsidRPr="005B38F0">
          <w:rPr>
            <w:rFonts w:ascii="Times New Roman" w:eastAsia="Times New Roman" w:hAnsi="Times New Roman" w:cs="Times New Roman"/>
            <w:color w:val="0000FF"/>
            <w:sz w:val="24"/>
            <w:szCs w:val="24"/>
            <w:u w:val="single"/>
          </w:rPr>
          <w:t>https://doi.org/10.1016/j.bandc.2006.02.006</w:t>
        </w:r>
      </w:hyperlink>
    </w:p>
    <w:p w14:paraId="4A273C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Buhler, J., Oades, L. G., Leicester, S. J., Bensley, C. J., &amp; Fox, A. M. (2001). Effect of executive functioning on perceived needs in chronic schizophrenia. </w:t>
      </w:r>
      <w:r w:rsidRPr="005B38F0">
        <w:rPr>
          <w:rFonts w:ascii="Times New Roman" w:eastAsia="Times New Roman" w:hAnsi="Times New Roman" w:cs="Times New Roman"/>
          <w:i/>
          <w:iCs/>
          <w:sz w:val="24"/>
          <w:szCs w:val="24"/>
        </w:rPr>
        <w:t>International Journal of Psychiatry in Clinical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119–122. </w:t>
      </w:r>
      <w:hyperlink r:id="rId767" w:history="1">
        <w:r w:rsidRPr="005B38F0">
          <w:rPr>
            <w:rFonts w:ascii="Times New Roman" w:eastAsia="Times New Roman" w:hAnsi="Times New Roman" w:cs="Times New Roman"/>
            <w:color w:val="0000FF"/>
            <w:sz w:val="24"/>
            <w:szCs w:val="24"/>
            <w:u w:val="single"/>
          </w:rPr>
          <w:t>https://doi.org/10.1080/136515001300375307</w:t>
        </w:r>
      </w:hyperlink>
    </w:p>
    <w:p w14:paraId="5E45ED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Bühren, K., Mainz, V., Herpertz-Dahlmann, B., Schäfer, K., Kahraman-Lanzerath, B., Lente, C., &amp; Konrad, K. (2012). Cognitive flexibility in juvenile anorexia nervosa patients before and after weight recovery. </w:t>
      </w:r>
      <w:r w:rsidRPr="005B38F0">
        <w:rPr>
          <w:rFonts w:ascii="Times New Roman" w:eastAsia="Times New Roman" w:hAnsi="Times New Roman" w:cs="Times New Roman"/>
          <w:i/>
          <w:iCs/>
          <w:sz w:val="24"/>
          <w:szCs w:val="24"/>
        </w:rPr>
        <w:t>Journal of Neural Transmission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119</w:t>
      </w:r>
      <w:r w:rsidRPr="005B38F0">
        <w:rPr>
          <w:rFonts w:ascii="Times New Roman" w:eastAsia="Times New Roman" w:hAnsi="Times New Roman" w:cs="Times New Roman"/>
          <w:sz w:val="24"/>
          <w:szCs w:val="24"/>
        </w:rPr>
        <w:t xml:space="preserve">(9), 1047–1057. </w:t>
      </w:r>
      <w:hyperlink r:id="rId768" w:history="1">
        <w:r w:rsidRPr="005B38F0">
          <w:rPr>
            <w:rFonts w:ascii="Times New Roman" w:eastAsia="Times New Roman" w:hAnsi="Times New Roman" w:cs="Times New Roman"/>
            <w:color w:val="0000FF"/>
            <w:sz w:val="24"/>
            <w:szCs w:val="24"/>
            <w:u w:val="single"/>
          </w:rPr>
          <w:t>https://doi.org/10.1007/s00702-012-0821-z</w:t>
        </w:r>
      </w:hyperlink>
    </w:p>
    <w:p w14:paraId="3BB801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Bujoreanu, I. S., &amp; Willis, W. G. (2008). Developmental and neuropsychological perspectives on the Wisconsin Card Sorting Test in children.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584–600. </w:t>
      </w:r>
      <w:hyperlink r:id="rId769" w:history="1">
        <w:r w:rsidRPr="005B38F0">
          <w:rPr>
            <w:rFonts w:ascii="Times New Roman" w:eastAsia="Times New Roman" w:hAnsi="Times New Roman" w:cs="Times New Roman"/>
            <w:color w:val="0000FF"/>
            <w:sz w:val="24"/>
            <w:szCs w:val="24"/>
            <w:u w:val="single"/>
          </w:rPr>
          <w:t>https://doi.org/10.1080/87565640802254364</w:t>
        </w:r>
      </w:hyperlink>
    </w:p>
    <w:p w14:paraId="1D1622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Bulgari, V., Iozzino, L., Ferrari, C., Picchioni, M., Candini, V., De Francesco, A., Maggi, P., Segalini, B., &amp; de Girolamo, G. (2017). Clinical and neuropsychological features of violence in schizophrenia: A prospective cohort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181</w:t>
      </w:r>
      <w:r w:rsidRPr="005B38F0">
        <w:rPr>
          <w:rFonts w:ascii="Times New Roman" w:eastAsia="Times New Roman" w:hAnsi="Times New Roman" w:cs="Times New Roman"/>
          <w:sz w:val="24"/>
          <w:szCs w:val="24"/>
        </w:rPr>
        <w:t xml:space="preserve">, 124–130. </w:t>
      </w:r>
      <w:hyperlink r:id="rId770" w:history="1">
        <w:r w:rsidRPr="005B38F0">
          <w:rPr>
            <w:rFonts w:ascii="Times New Roman" w:eastAsia="Times New Roman" w:hAnsi="Times New Roman" w:cs="Times New Roman"/>
            <w:color w:val="0000FF"/>
            <w:sz w:val="24"/>
            <w:szCs w:val="24"/>
            <w:u w:val="single"/>
          </w:rPr>
          <w:t>https://doi.org/10.1016/j.schres.2016.10.016</w:t>
        </w:r>
      </w:hyperlink>
    </w:p>
    <w:p w14:paraId="7524AF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Bull, R., Johnston, R. S., &amp; Roy, J. A. (1999). Exploring the roles of the visual-spatial sketch pad and central executive in children’s arithmetical skills: Views from cognition and </w:t>
      </w:r>
      <w:r w:rsidRPr="005B38F0">
        <w:rPr>
          <w:rFonts w:ascii="Times New Roman" w:eastAsia="Times New Roman" w:hAnsi="Times New Roman" w:cs="Times New Roman"/>
          <w:sz w:val="24"/>
          <w:szCs w:val="24"/>
        </w:rPr>
        <w:lastRenderedPageBreak/>
        <w:t xml:space="preserve">developmental neuropsychology.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(3), 421–442. </w:t>
      </w:r>
      <w:hyperlink r:id="rId771" w:history="1">
        <w:r w:rsidRPr="005B38F0">
          <w:rPr>
            <w:rFonts w:ascii="Times New Roman" w:eastAsia="Times New Roman" w:hAnsi="Times New Roman" w:cs="Times New Roman"/>
            <w:color w:val="0000FF"/>
            <w:sz w:val="24"/>
            <w:szCs w:val="24"/>
            <w:u w:val="single"/>
          </w:rPr>
          <w:t>https://doi.org/10.1080/87565649909540759</w:t>
        </w:r>
      </w:hyperlink>
    </w:p>
    <w:p w14:paraId="1B6501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Bullard, O., Penner, S., &amp; Main, K. J. (2019). Can implicit theory influence construal level? </w:t>
      </w:r>
      <w:r w:rsidRPr="005B38F0">
        <w:rPr>
          <w:rFonts w:ascii="Times New Roman" w:eastAsia="Times New Roman" w:hAnsi="Times New Roman" w:cs="Times New Roman"/>
          <w:i/>
          <w:iCs/>
          <w:sz w:val="24"/>
          <w:szCs w:val="24"/>
        </w:rPr>
        <w:t>Journal of Consumer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(4), 662–670. </w:t>
      </w:r>
      <w:hyperlink r:id="rId772" w:history="1">
        <w:r w:rsidRPr="005B38F0">
          <w:rPr>
            <w:rFonts w:ascii="Times New Roman" w:eastAsia="Times New Roman" w:hAnsi="Times New Roman" w:cs="Times New Roman"/>
            <w:color w:val="0000FF"/>
            <w:sz w:val="24"/>
            <w:szCs w:val="24"/>
            <w:u w:val="single"/>
          </w:rPr>
          <w:t>https://doi.org/10.1002/jcpy.1101</w:t>
        </w:r>
      </w:hyperlink>
    </w:p>
    <w:p w14:paraId="0D05A2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Bulot, V., Thomas, P., &amp; Delevoye-Turrell, Y. (2007). A pre-reflective indicator of an impaired sense of agency in patients with schizophrenia. </w:t>
      </w:r>
      <w:r w:rsidRPr="005B38F0">
        <w:rPr>
          <w:rFonts w:ascii="Times New Roman" w:eastAsia="Times New Roman" w:hAnsi="Times New Roman" w:cs="Times New Roman"/>
          <w:i/>
          <w:iCs/>
          <w:sz w:val="24"/>
          <w:szCs w:val="24"/>
        </w:rPr>
        <w:t>Experimental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183</w:t>
      </w:r>
      <w:r w:rsidRPr="005B38F0">
        <w:rPr>
          <w:rFonts w:ascii="Times New Roman" w:eastAsia="Times New Roman" w:hAnsi="Times New Roman" w:cs="Times New Roman"/>
          <w:sz w:val="24"/>
          <w:szCs w:val="24"/>
        </w:rPr>
        <w:t xml:space="preserve">(1), 115–126. </w:t>
      </w:r>
      <w:hyperlink r:id="rId773" w:history="1">
        <w:r w:rsidRPr="005B38F0">
          <w:rPr>
            <w:rFonts w:ascii="Times New Roman" w:eastAsia="Times New Roman" w:hAnsi="Times New Roman" w:cs="Times New Roman"/>
            <w:color w:val="0000FF"/>
            <w:sz w:val="24"/>
            <w:szCs w:val="24"/>
            <w:u w:val="single"/>
          </w:rPr>
          <w:t>https://doi.org/10.1007/s00221-007-1027-8</w:t>
        </w:r>
      </w:hyperlink>
    </w:p>
    <w:p w14:paraId="2C2A79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Bulzacka, E., Delourme, G., Hutin, V., Burban, N., Méary, A., Lajnef, M., Leboyer, M., &amp; Schürhoff, F. (2016). Clinical utility of the Multiple Errands Test in schizophrenia: A preliminary assessment.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240</w:t>
      </w:r>
      <w:r w:rsidRPr="005B38F0">
        <w:rPr>
          <w:rFonts w:ascii="Times New Roman" w:eastAsia="Times New Roman" w:hAnsi="Times New Roman" w:cs="Times New Roman"/>
          <w:sz w:val="24"/>
          <w:szCs w:val="24"/>
        </w:rPr>
        <w:t xml:space="preserve">, 390–397. </w:t>
      </w:r>
      <w:hyperlink r:id="rId774" w:history="1">
        <w:r w:rsidRPr="005B38F0">
          <w:rPr>
            <w:rFonts w:ascii="Times New Roman" w:eastAsia="Times New Roman" w:hAnsi="Times New Roman" w:cs="Times New Roman"/>
            <w:color w:val="0000FF"/>
            <w:sz w:val="24"/>
            <w:szCs w:val="24"/>
            <w:u w:val="single"/>
          </w:rPr>
          <w:t>https://doi.org/10.1016/j.psychres.2016.04.056</w:t>
        </w:r>
      </w:hyperlink>
    </w:p>
    <w:p w14:paraId="747E3A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Burden, M. J., Jacobson, S. W., Sokol, R. J., &amp; Jacobson, J. L. (2005). Effects of Prenatal Alcohol Exposure on Attention and Working Memory at 7.5 Years of Age.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(3), 443–452. </w:t>
      </w:r>
      <w:hyperlink r:id="rId775" w:history="1">
        <w:r w:rsidRPr="005B38F0">
          <w:rPr>
            <w:rFonts w:ascii="Times New Roman" w:eastAsia="Times New Roman" w:hAnsi="Times New Roman" w:cs="Times New Roman"/>
            <w:color w:val="0000FF"/>
            <w:sz w:val="24"/>
            <w:szCs w:val="24"/>
            <w:u w:val="single"/>
          </w:rPr>
          <w:t>https://doi.org/10.1097/01.ALC.0000156125.50577.EC</w:t>
        </w:r>
      </w:hyperlink>
    </w:p>
    <w:p w14:paraId="299AF5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Burden, M. J., &amp; Mitchell, D. B. (2005). Implicit memory development in school-aged children with attention deficit hyperactivity disorder (ADHD): Conceptual priming deficit?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(3), 779–807. </w:t>
      </w:r>
      <w:hyperlink r:id="rId776" w:history="1">
        <w:r w:rsidRPr="005B38F0">
          <w:rPr>
            <w:rFonts w:ascii="Times New Roman" w:eastAsia="Times New Roman" w:hAnsi="Times New Roman" w:cs="Times New Roman"/>
            <w:color w:val="0000FF"/>
            <w:sz w:val="24"/>
            <w:szCs w:val="24"/>
            <w:u w:val="single"/>
          </w:rPr>
          <w:t>https://doi.org/10.1207/s15326942dn2803_3</w:t>
        </w:r>
      </w:hyperlink>
    </w:p>
    <w:p w14:paraId="38CF85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Burdick, K. E., Goldberg, J. F., &amp; Harrow, M. (2010). Neurocognitive dysfunction and psychosocial outcome in patients with bipolar I disorder at 15-year follow-up.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(6), 499–506. </w:t>
      </w:r>
      <w:hyperlink r:id="rId777" w:history="1">
        <w:r w:rsidRPr="005B38F0">
          <w:rPr>
            <w:rFonts w:ascii="Times New Roman" w:eastAsia="Times New Roman" w:hAnsi="Times New Roman" w:cs="Times New Roman"/>
            <w:color w:val="0000FF"/>
            <w:sz w:val="24"/>
            <w:szCs w:val="24"/>
            <w:u w:val="single"/>
          </w:rPr>
          <w:t>https://doi.org/10.1111/j.1600-0447.2010.01590.x</w:t>
        </w:r>
      </w:hyperlink>
    </w:p>
    <w:p w14:paraId="0C33EF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Burdick, K. E., Goldberg, J. F., Harrow, M., Faull, R. N., &amp; Malhotra, A. K. (2006). Neurocognition as a Stable Endophenotype in Bipolar Disorder and Schizophrenia.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194</w:t>
      </w:r>
      <w:r w:rsidRPr="005B38F0">
        <w:rPr>
          <w:rFonts w:ascii="Times New Roman" w:eastAsia="Times New Roman" w:hAnsi="Times New Roman" w:cs="Times New Roman"/>
          <w:sz w:val="24"/>
          <w:szCs w:val="24"/>
        </w:rPr>
        <w:t xml:space="preserve">(4), 255–267. </w:t>
      </w:r>
      <w:hyperlink r:id="rId778" w:history="1">
        <w:r w:rsidRPr="005B38F0">
          <w:rPr>
            <w:rFonts w:ascii="Times New Roman" w:eastAsia="Times New Roman" w:hAnsi="Times New Roman" w:cs="Times New Roman"/>
            <w:color w:val="0000FF"/>
            <w:sz w:val="24"/>
            <w:szCs w:val="24"/>
            <w:u w:val="single"/>
          </w:rPr>
          <w:t>https://doi.org/10.1097/01.nmd.0000207360.70337.7e</w:t>
        </w:r>
      </w:hyperlink>
    </w:p>
    <w:p w14:paraId="3F75F7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Burgess, P. W., Alderman, N., Evans, J., Emslie, H., &amp; Wilson, B. A. (1998). The ecological validity of tests of executive function.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(6), 547–558. </w:t>
      </w:r>
      <w:hyperlink r:id="rId779" w:history="1">
        <w:r w:rsidRPr="005B38F0">
          <w:rPr>
            <w:rFonts w:ascii="Times New Roman" w:eastAsia="Times New Roman" w:hAnsi="Times New Roman" w:cs="Times New Roman"/>
            <w:color w:val="0000FF"/>
            <w:sz w:val="24"/>
            <w:szCs w:val="24"/>
            <w:u w:val="single"/>
          </w:rPr>
          <w:t>https://doi.org/10.1017/S1355617798466037</w:t>
        </w:r>
      </w:hyperlink>
    </w:p>
    <w:p w14:paraId="2B976D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Burgmans, S., Gronenschild, E. H. B. M., Fandakova, Y., Shing, Y. L., van Boxtel, M. P. J., Vuurman, E. F. P. M., Uylings, H. B. M., Jolles, J., &amp; Raz, N. (2011). Age differences in speed of processing are partially mediated by differences in axonal integrity.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(3), 1287–1297. </w:t>
      </w:r>
      <w:hyperlink r:id="rId780" w:history="1">
        <w:r w:rsidRPr="005B38F0">
          <w:rPr>
            <w:rFonts w:ascii="Times New Roman" w:eastAsia="Times New Roman" w:hAnsi="Times New Roman" w:cs="Times New Roman"/>
            <w:color w:val="0000FF"/>
            <w:sz w:val="24"/>
            <w:szCs w:val="24"/>
            <w:u w:val="single"/>
          </w:rPr>
          <w:t>https://doi.org/10.1016/j.neuroimage.2011.01.002</w:t>
        </w:r>
      </w:hyperlink>
    </w:p>
    <w:p w14:paraId="6B6315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Burin, D. I., Acion, L., Kurczek, J., Duff, M. C., Tranel, D., &amp; Jorge, R. E. (2014). The role of ventromedial prefrontal cortex in text comprehension inferences: Semantic coherence or socio-emotional perspective?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129</w:t>
      </w:r>
      <w:r w:rsidRPr="005B38F0">
        <w:rPr>
          <w:rFonts w:ascii="Times New Roman" w:eastAsia="Times New Roman" w:hAnsi="Times New Roman" w:cs="Times New Roman"/>
          <w:sz w:val="24"/>
          <w:szCs w:val="24"/>
        </w:rPr>
        <w:t xml:space="preserve">(1), 58–64. </w:t>
      </w:r>
      <w:hyperlink r:id="rId781" w:history="1">
        <w:r w:rsidRPr="005B38F0">
          <w:rPr>
            <w:rFonts w:ascii="Times New Roman" w:eastAsia="Times New Roman" w:hAnsi="Times New Roman" w:cs="Times New Roman"/>
            <w:color w:val="0000FF"/>
            <w:sz w:val="24"/>
            <w:szCs w:val="24"/>
            <w:u w:val="single"/>
          </w:rPr>
          <w:t>https://doi.org/10.1016/j.bandl.2013.12.003</w:t>
        </w:r>
      </w:hyperlink>
    </w:p>
    <w:p w14:paraId="5344FE0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Burns, N. R., Nettelbeck, T., &amp; McPherson, J. (2009). Attention and intelligence: A factor analytic study. </w:t>
      </w:r>
      <w:r w:rsidRPr="005B38F0">
        <w:rPr>
          <w:rFonts w:ascii="Times New Roman" w:eastAsia="Times New Roman" w:hAnsi="Times New Roman" w:cs="Times New Roman"/>
          <w:i/>
          <w:iCs/>
          <w:sz w:val="24"/>
          <w:szCs w:val="24"/>
        </w:rPr>
        <w:t>Journal of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(1), 44–57. </w:t>
      </w:r>
      <w:hyperlink r:id="rId782" w:history="1">
        <w:r w:rsidRPr="005B38F0">
          <w:rPr>
            <w:rFonts w:ascii="Times New Roman" w:eastAsia="Times New Roman" w:hAnsi="Times New Roman" w:cs="Times New Roman"/>
            <w:color w:val="0000FF"/>
            <w:sz w:val="24"/>
            <w:szCs w:val="24"/>
            <w:u w:val="single"/>
          </w:rPr>
          <w:t>https://doi.org/10.1027/1614-0001.30.1.44</w:t>
        </w:r>
      </w:hyperlink>
    </w:p>
    <w:p w14:paraId="18D1FF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Burrows, S., &amp; Lucas, M. D. (2000). Comparison of two tests of executive functioning. </w:t>
      </w:r>
      <w:r w:rsidRPr="005B38F0">
        <w:rPr>
          <w:rFonts w:ascii="Times New Roman" w:eastAsia="Times New Roman" w:hAnsi="Times New Roman" w:cs="Times New Roman"/>
          <w:i/>
          <w:iCs/>
          <w:sz w:val="24"/>
          <w:szCs w:val="24"/>
        </w:rPr>
        <w:t>The Journal of Genetic Psychology: Research and Theory on Human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161</w:t>
      </w:r>
      <w:r w:rsidRPr="005B38F0">
        <w:rPr>
          <w:rFonts w:ascii="Times New Roman" w:eastAsia="Times New Roman" w:hAnsi="Times New Roman" w:cs="Times New Roman"/>
          <w:sz w:val="24"/>
          <w:szCs w:val="24"/>
        </w:rPr>
        <w:t xml:space="preserve">(2), 253–255. </w:t>
      </w:r>
      <w:hyperlink r:id="rId783" w:history="1">
        <w:r w:rsidRPr="005B38F0">
          <w:rPr>
            <w:rFonts w:ascii="Times New Roman" w:eastAsia="Times New Roman" w:hAnsi="Times New Roman" w:cs="Times New Roman"/>
            <w:color w:val="0000FF"/>
            <w:sz w:val="24"/>
            <w:szCs w:val="24"/>
            <w:u w:val="single"/>
          </w:rPr>
          <w:t>https://doi.org/10.1080/00221320009596709</w:t>
        </w:r>
      </w:hyperlink>
    </w:p>
    <w:p w14:paraId="4B40CA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Burton, C. Z., Harvey, P. D., Patterson, T. L., &amp; Twamley, E. W. (2016). Neurocognitive insight and objective cognitive functioning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171</w:t>
      </w:r>
      <w:r w:rsidRPr="005B38F0">
        <w:rPr>
          <w:rFonts w:ascii="Times New Roman" w:eastAsia="Times New Roman" w:hAnsi="Times New Roman" w:cs="Times New Roman"/>
          <w:sz w:val="24"/>
          <w:szCs w:val="24"/>
        </w:rPr>
        <w:t xml:space="preserve">(1–3), 131–136. </w:t>
      </w:r>
      <w:hyperlink r:id="rId784" w:history="1">
        <w:r w:rsidRPr="005B38F0">
          <w:rPr>
            <w:rFonts w:ascii="Times New Roman" w:eastAsia="Times New Roman" w:hAnsi="Times New Roman" w:cs="Times New Roman"/>
            <w:color w:val="0000FF"/>
            <w:sz w:val="24"/>
            <w:szCs w:val="24"/>
            <w:u w:val="single"/>
          </w:rPr>
          <w:t>https://doi.org/10.1016/j.schres.2016.01.021</w:t>
        </w:r>
      </w:hyperlink>
    </w:p>
    <w:p w14:paraId="0FB391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Ryan, K. A., Kamali, M., Marshall, D. F., Harrington, G., McInnis, M. G., &amp; Tso, I. F. (2018). Psychosis in bipolar disorder: Does it represent a more “severe” illness?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18–26. </w:t>
      </w:r>
      <w:hyperlink r:id="rId785" w:history="1">
        <w:r w:rsidRPr="005B38F0">
          <w:rPr>
            <w:rFonts w:ascii="Times New Roman" w:eastAsia="Times New Roman" w:hAnsi="Times New Roman" w:cs="Times New Roman"/>
            <w:color w:val="0000FF"/>
            <w:sz w:val="24"/>
            <w:szCs w:val="24"/>
            <w:u w:val="single"/>
          </w:rPr>
          <w:t>https://doi.org/10.1111/bdi.12527</w:t>
        </w:r>
      </w:hyperlink>
    </w:p>
    <w:p w14:paraId="76DEAF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&amp; Twamley, E. W. (2015). Neurocognitive insight, treatment utilization, and cognitive training outcomes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161</w:t>
      </w:r>
      <w:r w:rsidRPr="005B38F0">
        <w:rPr>
          <w:rFonts w:ascii="Times New Roman" w:eastAsia="Times New Roman" w:hAnsi="Times New Roman" w:cs="Times New Roman"/>
          <w:sz w:val="24"/>
          <w:szCs w:val="24"/>
        </w:rPr>
        <w:t xml:space="preserve">(2–3), 399–402. </w:t>
      </w:r>
      <w:hyperlink r:id="rId786" w:history="1">
        <w:r w:rsidRPr="005B38F0">
          <w:rPr>
            <w:rFonts w:ascii="Times New Roman" w:eastAsia="Times New Roman" w:hAnsi="Times New Roman" w:cs="Times New Roman"/>
            <w:color w:val="0000FF"/>
            <w:sz w:val="24"/>
            <w:szCs w:val="24"/>
            <w:u w:val="single"/>
          </w:rPr>
          <w:t>https://doi.org/10.1016/j.schres.2014.12.002</w:t>
        </w:r>
      </w:hyperlink>
    </w:p>
    <w:p w14:paraId="580D33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Vella, L., Kelsoe, J. R., Bilder, R. M., &amp; Twamley, E. W. (2015). Catechol-O-methyltransferase genotype and response to Compensatory Cognitive Training in outpatients with schizophrenia.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(3), 131–134. </w:t>
      </w:r>
      <w:hyperlink r:id="rId787" w:history="1">
        <w:r w:rsidRPr="005B38F0">
          <w:rPr>
            <w:rFonts w:ascii="Times New Roman" w:eastAsia="Times New Roman" w:hAnsi="Times New Roman" w:cs="Times New Roman"/>
            <w:color w:val="0000FF"/>
            <w:sz w:val="24"/>
            <w:szCs w:val="24"/>
            <w:u w:val="single"/>
          </w:rPr>
          <w:t>https://doi.org/10.1097/YPG.0000000000000085</w:t>
        </w:r>
      </w:hyperlink>
    </w:p>
    <w:p w14:paraId="0D7633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Vella, L., &amp; Twamley, E. W. (2011). Clinical and cognitive insight in a compensatory cognitive training intervention. </w:t>
      </w:r>
      <w:r w:rsidRPr="005B38F0">
        <w:rPr>
          <w:rFonts w:ascii="Times New Roman" w:eastAsia="Times New Roman" w:hAnsi="Times New Roman" w:cs="Times New Roman"/>
          <w:i/>
          <w:iCs/>
          <w:sz w:val="24"/>
          <w:szCs w:val="24"/>
        </w:rPr>
        <w:t>American Journal of Psychiatric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(4), 307–326. </w:t>
      </w:r>
      <w:hyperlink r:id="rId788" w:history="1">
        <w:r w:rsidRPr="005B38F0">
          <w:rPr>
            <w:rFonts w:ascii="Times New Roman" w:eastAsia="Times New Roman" w:hAnsi="Times New Roman" w:cs="Times New Roman"/>
            <w:color w:val="0000FF"/>
            <w:sz w:val="24"/>
            <w:szCs w:val="24"/>
            <w:u w:val="single"/>
          </w:rPr>
          <w:t>https://doi.org/10.1080/15487768.2011.622159</w:t>
        </w:r>
      </w:hyperlink>
    </w:p>
    <w:p w14:paraId="0AB381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C. Z., Vella, L., Weller, J. A., &amp; Twamley, E. W. (2011). Differential effects of executive functioning on suicide effects.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173–179. </w:t>
      </w:r>
      <w:hyperlink r:id="rId789" w:history="1">
        <w:r w:rsidRPr="005B38F0">
          <w:rPr>
            <w:rFonts w:ascii="Times New Roman" w:eastAsia="Times New Roman" w:hAnsi="Times New Roman" w:cs="Times New Roman"/>
            <w:color w:val="0000FF"/>
            <w:sz w:val="24"/>
            <w:szCs w:val="24"/>
            <w:u w:val="single"/>
          </w:rPr>
          <w:t>https://doi.org/10.1176/appi.neuropsych.23.2.173</w:t>
        </w:r>
      </w:hyperlink>
    </w:p>
    <w:p w14:paraId="23692F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Burton, K. L. O., Williams, T. A., Catchpoole, S. E., &amp; Brunsdon, R. K. (2017). Long-term neuropsychological outcomes of childhood onset acute disseminated encephalomyelitis (ADEM): A meta-analysis. </w:t>
      </w:r>
      <w:r w:rsidRPr="005B38F0">
        <w:rPr>
          <w:rFonts w:ascii="Times New Roman" w:eastAsia="Times New Roman" w:hAnsi="Times New Roman" w:cs="Times New Roman"/>
          <w:i/>
          <w:iCs/>
          <w:sz w:val="24"/>
          <w:szCs w:val="24"/>
        </w:rPr>
        <w:t>Neuropsychology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124–133. </w:t>
      </w:r>
      <w:hyperlink r:id="rId790" w:history="1">
        <w:r w:rsidRPr="005B38F0">
          <w:rPr>
            <w:rFonts w:ascii="Times New Roman" w:eastAsia="Times New Roman" w:hAnsi="Times New Roman" w:cs="Times New Roman"/>
            <w:color w:val="0000FF"/>
            <w:sz w:val="24"/>
            <w:szCs w:val="24"/>
            <w:u w:val="single"/>
          </w:rPr>
          <w:t>https://doi.org/10.1007/s11065-017-9343-7</w:t>
        </w:r>
      </w:hyperlink>
    </w:p>
    <w:p w14:paraId="154F17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Burzynska, A. Z., Nagel, I. E., Preuschhof, C., Gluth, S., Bäckman, L., Li, S., Lindenberger, U., &amp; Heekeren, H. R. (2012). Cortical thickness is linked to executive functioning in adulthood and aging.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(7), 1607–1620. </w:t>
      </w:r>
      <w:hyperlink r:id="rId791" w:history="1">
        <w:r w:rsidRPr="005B38F0">
          <w:rPr>
            <w:rFonts w:ascii="Times New Roman" w:eastAsia="Times New Roman" w:hAnsi="Times New Roman" w:cs="Times New Roman"/>
            <w:color w:val="0000FF"/>
            <w:sz w:val="24"/>
            <w:szCs w:val="24"/>
            <w:u w:val="single"/>
          </w:rPr>
          <w:t>https://doi.org/10.1002/hbm.21311</w:t>
        </w:r>
      </w:hyperlink>
    </w:p>
    <w:p w14:paraId="1647CA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Booth, J. E., McBride, A., Vanderploeg, R. D., Curtiss, G., &amp; Duchnick, J. J. (2005). Role of Executive Functioning in Verbal and Visual Memory.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(2), 171–180. </w:t>
      </w:r>
      <w:hyperlink r:id="rId792" w:history="1">
        <w:r w:rsidRPr="005B38F0">
          <w:rPr>
            <w:rFonts w:ascii="Times New Roman" w:eastAsia="Times New Roman" w:hAnsi="Times New Roman" w:cs="Times New Roman"/>
            <w:color w:val="0000FF"/>
            <w:sz w:val="24"/>
            <w:szCs w:val="24"/>
            <w:u w:val="single"/>
          </w:rPr>
          <w:t>https://doi.org/10.1037/0894-4105.19.2.171</w:t>
        </w:r>
      </w:hyperlink>
    </w:p>
    <w:p w14:paraId="5B362C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Floden, D. P., Ferguson, L., Mahmoud, S., Mullane, A., Jones, S., Jehi, L., Bingaman, W., &amp; Najm, I. M. (2017). Neuropsychological outcome following frontal lobectomy for pharmacoresistant epilepsy in adults.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88</w:t>
      </w:r>
      <w:r w:rsidRPr="005B38F0">
        <w:rPr>
          <w:rFonts w:ascii="Times New Roman" w:eastAsia="Times New Roman" w:hAnsi="Times New Roman" w:cs="Times New Roman"/>
          <w:sz w:val="24"/>
          <w:szCs w:val="24"/>
        </w:rPr>
        <w:t xml:space="preserve">(7), 692–700. </w:t>
      </w:r>
      <w:hyperlink r:id="rId793" w:history="1">
        <w:r w:rsidRPr="005B38F0">
          <w:rPr>
            <w:rFonts w:ascii="Times New Roman" w:eastAsia="Times New Roman" w:hAnsi="Times New Roman" w:cs="Times New Roman"/>
            <w:color w:val="0000FF"/>
            <w:sz w:val="24"/>
            <w:szCs w:val="24"/>
            <w:u w:val="single"/>
          </w:rPr>
          <w:t>https://doi.org/10.1212/WNL.0000000000003611</w:t>
        </w:r>
      </w:hyperlink>
    </w:p>
    <w:p w14:paraId="484C8D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Lineweaver, T. T., Ferguson, L., &amp; Haut, J. S. (2015). Reliable change indices and standardized regression-based change score norms for evaluating neuropsychological change in children with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 45–54. </w:t>
      </w:r>
      <w:hyperlink r:id="rId794" w:history="1">
        <w:r w:rsidRPr="005B38F0">
          <w:rPr>
            <w:rFonts w:ascii="Times New Roman" w:eastAsia="Times New Roman" w:hAnsi="Times New Roman" w:cs="Times New Roman"/>
            <w:color w:val="0000FF"/>
            <w:sz w:val="24"/>
            <w:szCs w:val="24"/>
            <w:u w:val="single"/>
          </w:rPr>
          <w:t>https://doi.org/10.1016/j.yebeh.2015.04.052</w:t>
        </w:r>
      </w:hyperlink>
    </w:p>
    <w:p w14:paraId="3BD5E5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Busch, R. M., McBride, A., Curtiss, G., &amp; Vanderploeg, R. D. (2005). The components of executive functioning in traumatic brain injury.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(8), 1022–1032. </w:t>
      </w:r>
      <w:hyperlink r:id="rId795" w:history="1">
        <w:r w:rsidRPr="005B38F0">
          <w:rPr>
            <w:rFonts w:ascii="Times New Roman" w:eastAsia="Times New Roman" w:hAnsi="Times New Roman" w:cs="Times New Roman"/>
            <w:color w:val="0000FF"/>
            <w:sz w:val="24"/>
            <w:szCs w:val="24"/>
            <w:u w:val="single"/>
          </w:rPr>
          <w:t>https://doi.org/10.1080/13803390490919263</w:t>
        </w:r>
      </w:hyperlink>
    </w:p>
    <w:p w14:paraId="17CF0BE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H. H., Eisenhower, A., Briggs-Gowan, M., &amp; Carter, A. S. (2015). Feasibility and validity of the structured attention module among economically disadvantaged preschool-age children.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167–190. </w:t>
      </w:r>
      <w:hyperlink r:id="rId796" w:history="1">
        <w:r w:rsidRPr="005B38F0">
          <w:rPr>
            <w:rFonts w:ascii="Times New Roman" w:eastAsia="Times New Roman" w:hAnsi="Times New Roman" w:cs="Times New Roman"/>
            <w:color w:val="0000FF"/>
            <w:sz w:val="24"/>
            <w:szCs w:val="24"/>
            <w:u w:val="single"/>
          </w:rPr>
          <w:t>https://doi.org/10.1080/09297049.2014.886676</w:t>
        </w:r>
      </w:hyperlink>
    </w:p>
    <w:p w14:paraId="7D090C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Bush, S. S., Allen, R. S., &amp; Molinari, V. A. (2017). Assessment of older adults. In </w:t>
      </w:r>
      <w:r w:rsidRPr="005B38F0">
        <w:rPr>
          <w:rFonts w:ascii="Times New Roman" w:eastAsia="Times New Roman" w:hAnsi="Times New Roman" w:cs="Times New Roman"/>
          <w:i/>
          <w:iCs/>
          <w:sz w:val="24"/>
          <w:szCs w:val="24"/>
        </w:rPr>
        <w:t>Ethical practice in geropsychology.</w:t>
      </w:r>
      <w:r w:rsidRPr="005B38F0">
        <w:rPr>
          <w:rFonts w:ascii="Times New Roman" w:eastAsia="Times New Roman" w:hAnsi="Times New Roman" w:cs="Times New Roman"/>
          <w:sz w:val="24"/>
          <w:szCs w:val="24"/>
        </w:rPr>
        <w:t xml:space="preserve"> (pp. 59–86). American Psychological Association. </w:t>
      </w:r>
      <w:hyperlink r:id="rId797" w:history="1">
        <w:r w:rsidRPr="005B38F0">
          <w:rPr>
            <w:rFonts w:ascii="Times New Roman" w:eastAsia="Times New Roman" w:hAnsi="Times New Roman" w:cs="Times New Roman"/>
            <w:color w:val="0000FF"/>
            <w:sz w:val="24"/>
            <w:szCs w:val="24"/>
            <w:u w:val="single"/>
          </w:rPr>
          <w:t>https://doi.org/10.1037/0000010-005</w:t>
        </w:r>
      </w:hyperlink>
    </w:p>
    <w:p w14:paraId="5F2760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Demakis, G. J., &amp; Rohling, M. L. (2017). </w:t>
      </w:r>
      <w:r w:rsidRPr="005B38F0">
        <w:rPr>
          <w:rFonts w:ascii="Times New Roman" w:eastAsia="Times New Roman" w:hAnsi="Times New Roman" w:cs="Times New Roman"/>
          <w:i/>
          <w:iCs/>
          <w:sz w:val="24"/>
          <w:szCs w:val="24"/>
        </w:rPr>
        <w:t>APA handbook of forensic neuropsychology</w:t>
      </w:r>
      <w:r w:rsidRPr="005B38F0">
        <w:rPr>
          <w:rFonts w:ascii="Times New Roman" w:eastAsia="Times New Roman" w:hAnsi="Times New Roman" w:cs="Times New Roman"/>
          <w:sz w:val="24"/>
          <w:szCs w:val="24"/>
        </w:rPr>
        <w:t xml:space="preserve"> (S. S. Bush, G. J. Demakis, &amp; M. L. Rohling, Eds.). American Psychological Association. </w:t>
      </w:r>
      <w:hyperlink r:id="rId798" w:history="1">
        <w:r w:rsidRPr="005B38F0">
          <w:rPr>
            <w:rFonts w:ascii="Times New Roman" w:eastAsia="Times New Roman" w:hAnsi="Times New Roman" w:cs="Times New Roman"/>
            <w:color w:val="0000FF"/>
            <w:sz w:val="24"/>
            <w:szCs w:val="24"/>
            <w:u w:val="single"/>
          </w:rPr>
          <w:t>https://doi.org/10.1037/0000032-000</w:t>
        </w:r>
      </w:hyperlink>
    </w:p>
    <w:p w14:paraId="04A039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&amp; Heilbronner, R. L. (2012). The neuropsychological IME. In </w:t>
      </w:r>
      <w:r w:rsidRPr="005B38F0">
        <w:rPr>
          <w:rFonts w:ascii="Times New Roman" w:eastAsia="Times New Roman" w:hAnsi="Times New Roman" w:cs="Times New Roman"/>
          <w:i/>
          <w:iCs/>
          <w:sz w:val="24"/>
          <w:szCs w:val="24"/>
        </w:rPr>
        <w:t>Neuropsychological assessment of work-related injuries.</w:t>
      </w:r>
      <w:r w:rsidRPr="005B38F0">
        <w:rPr>
          <w:rFonts w:ascii="Times New Roman" w:eastAsia="Times New Roman" w:hAnsi="Times New Roman" w:cs="Times New Roman"/>
          <w:sz w:val="24"/>
          <w:szCs w:val="24"/>
        </w:rPr>
        <w:t xml:space="preserve"> (pp. 280–302). Guilford Press.</w:t>
      </w:r>
    </w:p>
    <w:p w14:paraId="11BD01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Bush, S. S., &amp; Morgan, J. E. (2017). Ethical practice in forensic neuropsychology. In S. S. Bush, G. J. Demakis, &amp; M. L. Rohling (Eds.), </w:t>
      </w:r>
      <w:r w:rsidRPr="005B38F0">
        <w:rPr>
          <w:rFonts w:ascii="Times New Roman" w:eastAsia="Times New Roman" w:hAnsi="Times New Roman" w:cs="Times New Roman"/>
          <w:i/>
          <w:iCs/>
          <w:sz w:val="24"/>
          <w:szCs w:val="24"/>
        </w:rPr>
        <w:t>APA handbook of forensic neuropsychology.</w:t>
      </w:r>
      <w:r w:rsidRPr="005B38F0">
        <w:rPr>
          <w:rFonts w:ascii="Times New Roman" w:eastAsia="Times New Roman" w:hAnsi="Times New Roman" w:cs="Times New Roman"/>
          <w:sz w:val="24"/>
          <w:szCs w:val="24"/>
        </w:rPr>
        <w:t xml:space="preserve"> (pp. 23–37). American Psychological Association. </w:t>
      </w:r>
      <w:hyperlink r:id="rId799" w:history="1">
        <w:r w:rsidRPr="005B38F0">
          <w:rPr>
            <w:rFonts w:ascii="Times New Roman" w:eastAsia="Times New Roman" w:hAnsi="Times New Roman" w:cs="Times New Roman"/>
            <w:color w:val="0000FF"/>
            <w:sz w:val="24"/>
            <w:szCs w:val="24"/>
            <w:u w:val="single"/>
          </w:rPr>
          <w:t>https://doi.org/10.1037/0000032-002</w:t>
        </w:r>
      </w:hyperlink>
    </w:p>
    <w:p w14:paraId="1AFA18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Busigny, T., de Boissezon, X., Puel, M., Nespoulous, J.-L., &amp; Barbeau, E. J. (2015). Proper name anomia with preserved lexical and semantic knowledge after left anterior temporal lesion: A two-way convergence defect.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 1–18. </w:t>
      </w:r>
      <w:hyperlink r:id="rId800" w:history="1">
        <w:r w:rsidRPr="005B38F0">
          <w:rPr>
            <w:rFonts w:ascii="Times New Roman" w:eastAsia="Times New Roman" w:hAnsi="Times New Roman" w:cs="Times New Roman"/>
            <w:color w:val="0000FF"/>
            <w:sz w:val="24"/>
            <w:szCs w:val="24"/>
            <w:u w:val="single"/>
          </w:rPr>
          <w:t>https://doi.org/10.1016/j.cortex.2014.12.008</w:t>
        </w:r>
      </w:hyperlink>
    </w:p>
    <w:p w14:paraId="077C15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Busigny, T., Joubert, S., Felician, O., Ceccaldi, M., &amp; Rossion, B. (2010). Holistic perception of the individual face is specific and necessary: Evidence from an extensive case study of acquired prosopagnosia.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(14), 4057–4092. </w:t>
      </w:r>
      <w:hyperlink r:id="rId801" w:history="1">
        <w:r w:rsidRPr="005B38F0">
          <w:rPr>
            <w:rFonts w:ascii="Times New Roman" w:eastAsia="Times New Roman" w:hAnsi="Times New Roman" w:cs="Times New Roman"/>
            <w:color w:val="0000FF"/>
            <w:sz w:val="24"/>
            <w:szCs w:val="24"/>
            <w:u w:val="single"/>
          </w:rPr>
          <w:t>https://doi.org/10.1016/j.neuropsychologia.2010.09.017</w:t>
        </w:r>
      </w:hyperlink>
    </w:p>
    <w:p w14:paraId="3E448C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Bustini, M., Stratta, P., Daneluzzo, E., Pollice, R., Prosperini, P., &amp; Rossi, A. (1999). Tower of Hanoi and WCST performance in schizophrenia: Problem-solving capacity and clinical correlates.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(3), 285–290. </w:t>
      </w:r>
      <w:hyperlink r:id="rId802" w:history="1">
        <w:r w:rsidRPr="005B38F0">
          <w:rPr>
            <w:rFonts w:ascii="Times New Roman" w:eastAsia="Times New Roman" w:hAnsi="Times New Roman" w:cs="Times New Roman"/>
            <w:color w:val="0000FF"/>
            <w:sz w:val="24"/>
            <w:szCs w:val="24"/>
            <w:u w:val="single"/>
          </w:rPr>
          <w:t>https://doi.org/10.1016/S0022-3956(98)00063-6</w:t>
        </w:r>
      </w:hyperlink>
    </w:p>
    <w:p w14:paraId="66D6A1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Butler, C. R., Bhaduri, A., Acosta-Cabronero, J., Nestor, P. J., Kapur, N., Graham, K. S., Hodges, J. R., &amp; Zeman, A. Z. (2009). Transient epileptic amnesia: Regional brain atrophy and its relationship to memory deficits.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132</w:t>
      </w:r>
      <w:r w:rsidRPr="005B38F0">
        <w:rPr>
          <w:rFonts w:ascii="Times New Roman" w:eastAsia="Times New Roman" w:hAnsi="Times New Roman" w:cs="Times New Roman"/>
          <w:sz w:val="24"/>
          <w:szCs w:val="24"/>
        </w:rPr>
        <w:t xml:space="preserve">(2), 357–368. </w:t>
      </w:r>
      <w:hyperlink r:id="rId803" w:history="1">
        <w:r w:rsidRPr="005B38F0">
          <w:rPr>
            <w:rFonts w:ascii="Times New Roman" w:eastAsia="Times New Roman" w:hAnsi="Times New Roman" w:cs="Times New Roman"/>
            <w:color w:val="0000FF"/>
            <w:sz w:val="24"/>
            <w:szCs w:val="24"/>
            <w:u w:val="single"/>
          </w:rPr>
          <w:t>https://doi.org/10.1093/brain/awn336</w:t>
        </w:r>
      </w:hyperlink>
    </w:p>
    <w:p w14:paraId="530AB3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C. R., Graham, K. S., Hodges, J. R., Kapur, N., Wardlaw, J. M., &amp; Zeman, A. Z. J. (2007). The syndrome of transient epileptic amnesia. </w:t>
      </w:r>
      <w:r w:rsidRPr="005B38F0">
        <w:rPr>
          <w:rFonts w:ascii="Times New Roman" w:eastAsia="Times New Roman" w:hAnsi="Times New Roman" w:cs="Times New Roman"/>
          <w:i/>
          <w:iCs/>
          <w:sz w:val="24"/>
          <w:szCs w:val="24"/>
        </w:rPr>
        <w:t>Annals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(6), 587–598. </w:t>
      </w:r>
      <w:hyperlink r:id="rId804" w:history="1">
        <w:r w:rsidRPr="005B38F0">
          <w:rPr>
            <w:rFonts w:ascii="Times New Roman" w:eastAsia="Times New Roman" w:hAnsi="Times New Roman" w:cs="Times New Roman"/>
            <w:color w:val="0000FF"/>
            <w:sz w:val="24"/>
            <w:szCs w:val="24"/>
            <w:u w:val="single"/>
          </w:rPr>
          <w:t>https://doi.org/10.1002/ana.21111</w:t>
        </w:r>
      </w:hyperlink>
    </w:p>
    <w:p w14:paraId="5C8BA6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K. M., McDaniel, M. A., Dornburg, C. C., Price, A. L., &amp; Roediger III, H. L. (2004). Age differences in veridical and false recall are not inevitable: The role of frontal lobe function. </w:t>
      </w:r>
      <w:r w:rsidRPr="005B38F0">
        <w:rPr>
          <w:rFonts w:ascii="Times New Roman" w:eastAsia="Times New Roman" w:hAnsi="Times New Roman" w:cs="Times New Roman"/>
          <w:i/>
          <w:iCs/>
          <w:sz w:val="24"/>
          <w:szCs w:val="24"/>
        </w:rPr>
        <w:t>Psychonomic Bulletin &amp;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(5), 921–925. </w:t>
      </w:r>
      <w:hyperlink r:id="rId805" w:history="1">
        <w:r w:rsidRPr="005B38F0">
          <w:rPr>
            <w:rFonts w:ascii="Times New Roman" w:eastAsia="Times New Roman" w:hAnsi="Times New Roman" w:cs="Times New Roman"/>
            <w:color w:val="0000FF"/>
            <w:sz w:val="24"/>
            <w:szCs w:val="24"/>
            <w:u w:val="single"/>
          </w:rPr>
          <w:t>https://doi.org/10.3758/BF03196722</w:t>
        </w:r>
      </w:hyperlink>
    </w:p>
    <w:p w14:paraId="7489AB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K. M., McDaniel, M. A., McCabe, D. P., &amp; Dornburg, C. C. (2010). The influence of distinctive processing manipulations on older adults’ false memory.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129–159. </w:t>
      </w:r>
      <w:hyperlink r:id="rId806" w:history="1">
        <w:r w:rsidRPr="005B38F0">
          <w:rPr>
            <w:rFonts w:ascii="Times New Roman" w:eastAsia="Times New Roman" w:hAnsi="Times New Roman" w:cs="Times New Roman"/>
            <w:color w:val="0000FF"/>
            <w:sz w:val="24"/>
            <w:szCs w:val="24"/>
            <w:u w:val="single"/>
          </w:rPr>
          <w:t>https://doi.org/10.1080/13825580903029715</w:t>
        </w:r>
      </w:hyperlink>
    </w:p>
    <w:p w14:paraId="608383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M. A. (1998). </w:t>
      </w:r>
      <w:r w:rsidRPr="005B38F0">
        <w:rPr>
          <w:rFonts w:ascii="Times New Roman" w:eastAsia="Times New Roman" w:hAnsi="Times New Roman" w:cs="Times New Roman"/>
          <w:i/>
          <w:iCs/>
          <w:sz w:val="24"/>
          <w:szCs w:val="24"/>
        </w:rPr>
        <w:t>Memory deficits in individuals with multiple sclerosis: Relationships between encoding strategies and recall performance.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(12-B), 6862–6862.</w:t>
      </w:r>
    </w:p>
    <w:p w14:paraId="3064BA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P. D., Zemon, V., Schecter, I., Saperstein, A. M., Hoptman, M. J., Lim, K. O., Revheim, N., Silipo, G., &amp; Javitt, D. C. (2005). Early-Stage Visual Processing and Cortical Amplification Deficits in Schizophrenia. </w:t>
      </w:r>
      <w:r w:rsidRPr="005B38F0">
        <w:rPr>
          <w:rFonts w:ascii="Times New Roman" w:eastAsia="Times New Roman" w:hAnsi="Times New Roman" w:cs="Times New Roman"/>
          <w:i/>
          <w:iCs/>
          <w:sz w:val="24"/>
          <w:szCs w:val="24"/>
        </w:rPr>
        <w:t>Archives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(5), 495–504. </w:t>
      </w:r>
      <w:hyperlink r:id="rId807" w:history="1">
        <w:r w:rsidRPr="005B38F0">
          <w:rPr>
            <w:rFonts w:ascii="Times New Roman" w:eastAsia="Times New Roman" w:hAnsi="Times New Roman" w:cs="Times New Roman"/>
            <w:color w:val="0000FF"/>
            <w:sz w:val="24"/>
            <w:szCs w:val="24"/>
            <w:u w:val="single"/>
          </w:rPr>
          <w:t>https://doi.org/10.1001/archpsyc.62.5.495</w:t>
        </w:r>
      </w:hyperlink>
    </w:p>
    <w:p w14:paraId="234EB9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Butler, R. W., &amp; Light, R. (2003). Late Diagnosis of Neurodegenerative Disease in Children: Anosognosia by Proxy.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374–382. </w:t>
      </w:r>
      <w:hyperlink r:id="rId808" w:history="1">
        <w:r w:rsidRPr="005B38F0">
          <w:rPr>
            <w:rFonts w:ascii="Times New Roman" w:eastAsia="Times New Roman" w:hAnsi="Times New Roman" w:cs="Times New Roman"/>
            <w:color w:val="0000FF"/>
            <w:sz w:val="24"/>
            <w:szCs w:val="24"/>
            <w:u w:val="single"/>
          </w:rPr>
          <w:t>https://doi.org/10.1076/clin.17.3.374.18084</w:t>
        </w:r>
      </w:hyperlink>
    </w:p>
    <w:p w14:paraId="1E29D9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Butman, T. J. (2001). Hacia un protocolo clínico de detección precoz de demencia en asistencia primaria. [Designing an instrument of early diagnosis of dementia in primary care.]. </w:t>
      </w:r>
      <w:r w:rsidRPr="005B38F0">
        <w:rPr>
          <w:rFonts w:ascii="Times New Roman" w:eastAsia="Times New Roman" w:hAnsi="Times New Roman" w:cs="Times New Roman"/>
          <w:i/>
          <w:iCs/>
          <w:sz w:val="24"/>
          <w:szCs w:val="24"/>
        </w:rPr>
        <w:t>Acta Psiquiátrica y Psicológica de América Latina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(1), 79–87.</w:t>
      </w:r>
    </w:p>
    <w:p w14:paraId="467712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Buzzichelli, S., Marzola, E., Amianto, F., Fassino, S., &amp; Abbate‐Daga, G. (2018). Perfectionism and cognitive rigidity in anorexia nervosa: Is there an association?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360–366. </w:t>
      </w:r>
      <w:hyperlink r:id="rId809" w:history="1">
        <w:r w:rsidRPr="005B38F0">
          <w:rPr>
            <w:rFonts w:ascii="Times New Roman" w:eastAsia="Times New Roman" w:hAnsi="Times New Roman" w:cs="Times New Roman"/>
            <w:color w:val="0000FF"/>
            <w:sz w:val="24"/>
            <w:szCs w:val="24"/>
            <w:u w:val="single"/>
          </w:rPr>
          <w:t>https://doi.org/10.1002/erv.2591</w:t>
        </w:r>
      </w:hyperlink>
    </w:p>
    <w:p w14:paraId="6115F3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Byars, A. W., Byars, K. C., Johnson, C. S., deGrauw, T. J., Fastenau, P. S., Perkins, S., Austin, J. K., &amp; Dunn, D. W. (2008). The relationship between sleep problems and neuropsychological functioning in children with first recognized seizures.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607–613. </w:t>
      </w:r>
      <w:hyperlink r:id="rId810" w:history="1">
        <w:r w:rsidRPr="005B38F0">
          <w:rPr>
            <w:rFonts w:ascii="Times New Roman" w:eastAsia="Times New Roman" w:hAnsi="Times New Roman" w:cs="Times New Roman"/>
            <w:color w:val="0000FF"/>
            <w:sz w:val="24"/>
            <w:szCs w:val="24"/>
            <w:u w:val="single"/>
          </w:rPr>
          <w:t>https://doi.org/10.1016/j.yebeh.2008.07.009</w:t>
        </w:r>
      </w:hyperlink>
    </w:p>
    <w:p w14:paraId="2226EE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Byars, A. W., deGrauw, T. J., Johnson, C. S., Fastenau, P. S., Perkins, S. M., Egelhoff, J. C., Kalnin, A., Dunn, D. W., &amp; Austin, J. K. (2007). The association of MRI findings and neuropsychological functioning after the first recognized seizure. </w:t>
      </w:r>
      <w:r w:rsidRPr="005B38F0">
        <w:rPr>
          <w:rFonts w:ascii="Times New Roman" w:eastAsia="Times New Roman" w:hAnsi="Times New Roman" w:cs="Times New Roman"/>
          <w:i/>
          <w:iCs/>
          <w:sz w:val="24"/>
          <w:szCs w:val="24"/>
        </w:rPr>
        <w:t>Epilepsia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(6), 1067–1074. </w:t>
      </w:r>
      <w:hyperlink r:id="rId811" w:history="1">
        <w:r w:rsidRPr="005B38F0">
          <w:rPr>
            <w:rFonts w:ascii="Times New Roman" w:eastAsia="Times New Roman" w:hAnsi="Times New Roman" w:cs="Times New Roman"/>
            <w:color w:val="0000FF"/>
            <w:sz w:val="24"/>
            <w:szCs w:val="24"/>
            <w:u w:val="single"/>
          </w:rPr>
          <w:t>https://doi.org/10.1111/j.1528-1167.2007.01088.x</w:t>
        </w:r>
      </w:hyperlink>
    </w:p>
    <w:p w14:paraId="4AA93C1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Byrd, D. A., Robinson-Papp, J., Mindt, M. R., Mintz, L., Elliott, K., Lighty, Q., &amp; Morgello, S. (2013). Isolating cognitive and neurologic HIV effects in substance-dependent, confounded cohorts: A pilot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(4), 463–473. </w:t>
      </w:r>
      <w:hyperlink r:id="rId812" w:history="1">
        <w:r w:rsidRPr="005B38F0">
          <w:rPr>
            <w:rFonts w:ascii="Times New Roman" w:eastAsia="Times New Roman" w:hAnsi="Times New Roman" w:cs="Times New Roman"/>
            <w:color w:val="0000FF"/>
            <w:sz w:val="24"/>
            <w:szCs w:val="24"/>
            <w:u w:val="single"/>
          </w:rPr>
          <w:t>https://doi.org/10.1017/S1355617712001634</w:t>
        </w:r>
      </w:hyperlink>
    </w:p>
    <w:p w14:paraId="5972FC1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Cabrera, B., Bioque, M., Penadés, R., González-Pinto, A., Parellada, M., Bobes, J., Lobo, A., García-Bueno, B., Leza, J. C., &amp; Bernardo, M. (2016). Cognition and psychopathology in first-episode psychosis: Are they related to inflammation?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(10), 2133–2144. </w:t>
      </w:r>
      <w:hyperlink r:id="rId813" w:history="1">
        <w:r w:rsidRPr="005B38F0">
          <w:rPr>
            <w:rFonts w:ascii="Times New Roman" w:eastAsia="Times New Roman" w:hAnsi="Times New Roman" w:cs="Times New Roman"/>
            <w:color w:val="0000FF"/>
            <w:sz w:val="24"/>
            <w:szCs w:val="24"/>
            <w:u w:val="single"/>
          </w:rPr>
          <w:t>https://doi.org/10.1017/S0033291716000659</w:t>
        </w:r>
      </w:hyperlink>
    </w:p>
    <w:p w14:paraId="2B3E18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Cacciari, C., Pellicano, C., Cravello, L., Assogna, F., Piras, F., Paravia, P., Gili, T., Iorio, M., Stefani, A., Pierantozzi, M., Caltagirone, C., Pontieri, F. E., &amp; Spalletta, G. (2015). Unraveling predictors affecting compliance to MRI in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(8), 964–967. </w:t>
      </w:r>
      <w:hyperlink r:id="rId814" w:history="1">
        <w:r w:rsidRPr="005B38F0">
          <w:rPr>
            <w:rFonts w:ascii="Times New Roman" w:eastAsia="Times New Roman" w:hAnsi="Times New Roman" w:cs="Times New Roman"/>
            <w:color w:val="0000FF"/>
            <w:sz w:val="24"/>
            <w:szCs w:val="24"/>
            <w:u w:val="single"/>
          </w:rPr>
          <w:t>https://doi.org/10.1016/j.parkreldis.2015.05.009</w:t>
        </w:r>
      </w:hyperlink>
    </w:p>
    <w:p w14:paraId="083859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Caffarra, P., Concari, L., Gardini, S., Spaggiari, S., Dieci, F., Copelli, S., Ghetti, C., &amp; Venneri, A. (2009). Recovery from transient global amnesia following restoration of hippocampal and fronto–cingulate perfusion.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(3–4), 131–139. </w:t>
      </w:r>
      <w:hyperlink r:id="rId815" w:history="1">
        <w:r w:rsidRPr="005B38F0">
          <w:rPr>
            <w:rFonts w:ascii="Times New Roman" w:eastAsia="Times New Roman" w:hAnsi="Times New Roman" w:cs="Times New Roman"/>
            <w:color w:val="0000FF"/>
            <w:sz w:val="24"/>
            <w:szCs w:val="24"/>
            <w:u w:val="single"/>
          </w:rPr>
          <w:t>https://doi.org/10.1155/2010/768153</w:t>
        </w:r>
      </w:hyperlink>
    </w:p>
    <w:p w14:paraId="74C0488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Caffarra, P., Vezzadini, G., Dieci, F., Zonato, F., &amp; Venneri, A. (2004). Modified Card Sorting Test: Normative data.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246–250. </w:t>
      </w:r>
      <w:hyperlink r:id="rId816" w:history="1">
        <w:r w:rsidRPr="005B38F0">
          <w:rPr>
            <w:rFonts w:ascii="Times New Roman" w:eastAsia="Times New Roman" w:hAnsi="Times New Roman" w:cs="Times New Roman"/>
            <w:color w:val="0000FF"/>
            <w:sz w:val="24"/>
            <w:szCs w:val="24"/>
            <w:u w:val="single"/>
          </w:rPr>
          <w:t>https://doi.org/10.1076/jcen.26.2.246.28087</w:t>
        </w:r>
      </w:hyperlink>
    </w:p>
    <w:p w14:paraId="0FABB2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Caillava-Santos, F., Margis, R., &amp; de Mello Rieder, C. R. (2015). Wearing-off in Parkinson’s disease: Neuropsychological differences between on and off periods.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w:t>
      </w:r>
    </w:p>
    <w:p w14:paraId="48DE11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Caine, D., Breen, N., &amp; Patterson, K. (2009). Emergence and progression of “non-semantic” deficits in semantic dementia.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(4), 483–494. </w:t>
      </w:r>
      <w:hyperlink r:id="rId817" w:history="1">
        <w:r w:rsidRPr="005B38F0">
          <w:rPr>
            <w:rFonts w:ascii="Times New Roman" w:eastAsia="Times New Roman" w:hAnsi="Times New Roman" w:cs="Times New Roman"/>
            <w:color w:val="0000FF"/>
            <w:sz w:val="24"/>
            <w:szCs w:val="24"/>
            <w:u w:val="single"/>
          </w:rPr>
          <w:t>https://doi.org/10.1016/j.cortex.2007.07.005</w:t>
        </w:r>
      </w:hyperlink>
    </w:p>
    <w:p w14:paraId="0A4D8B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Caixeta, L. (2009). Fluoxetine associated with severe extrapyramidal symptoms in a patient with basal ganglia lesion.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(2), 182–183. </w:t>
      </w:r>
      <w:hyperlink r:id="rId818" w:history="1">
        <w:r w:rsidRPr="005B38F0">
          <w:rPr>
            <w:rFonts w:ascii="Times New Roman" w:eastAsia="Times New Roman" w:hAnsi="Times New Roman" w:cs="Times New Roman"/>
            <w:color w:val="0000FF"/>
            <w:sz w:val="24"/>
            <w:szCs w:val="24"/>
            <w:u w:val="single"/>
          </w:rPr>
          <w:t>https://doi.org/10.1590/S1516-44462009000200017</w:t>
        </w:r>
      </w:hyperlink>
    </w:p>
    <w:p w14:paraId="5BE249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Caixeta, L., Soares, V. L. D., Vieira, R. T., Soares, C. D., Caixeta, V., Ferreira, S. B., &amp; Aversi-Ferreira, T. A. (2017). Executive function is selectively impaired in old age bipolar depression.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819" w:history="1">
        <w:r w:rsidRPr="005B38F0">
          <w:rPr>
            <w:rFonts w:ascii="Times New Roman" w:eastAsia="Times New Roman" w:hAnsi="Times New Roman" w:cs="Times New Roman"/>
            <w:color w:val="0000FF"/>
            <w:sz w:val="24"/>
            <w:szCs w:val="24"/>
            <w:u w:val="single"/>
          </w:rPr>
          <w:t>https://doi.org/10.3389/fpsyg.2017.00194</w:t>
        </w:r>
      </w:hyperlink>
    </w:p>
    <w:p w14:paraId="13248D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Calabrese, M., Rinaldi, F., Grossi, P., &amp; Gallo, P. (2011). Cortical pathology and cognitive impairment in multiple sclerosis. </w:t>
      </w:r>
      <w:r w:rsidRPr="005B38F0">
        <w:rPr>
          <w:rFonts w:ascii="Times New Roman" w:eastAsia="Times New Roman" w:hAnsi="Times New Roman" w:cs="Times New Roman"/>
          <w:i/>
          <w:iCs/>
          <w:sz w:val="24"/>
          <w:szCs w:val="24"/>
        </w:rPr>
        <w:t>Expert Review of Neurotherapeutics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(3), 425–432. </w:t>
      </w:r>
      <w:hyperlink r:id="rId820" w:history="1">
        <w:r w:rsidRPr="005B38F0">
          <w:rPr>
            <w:rFonts w:ascii="Times New Roman" w:eastAsia="Times New Roman" w:hAnsi="Times New Roman" w:cs="Times New Roman"/>
            <w:color w:val="0000FF"/>
            <w:sz w:val="24"/>
            <w:szCs w:val="24"/>
            <w:u w:val="single"/>
          </w:rPr>
          <w:t>https://doi.org/10.1586/ern.10.155</w:t>
        </w:r>
      </w:hyperlink>
    </w:p>
    <w:p w14:paraId="7C5C4E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Calamia, M., Markon, K., &amp; Tranel, D. (2012). Scoring higher the second time around: Meta-analyses of practice effects in neuropsychological assessment.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543–570. </w:t>
      </w:r>
      <w:hyperlink r:id="rId821" w:history="1">
        <w:r w:rsidRPr="005B38F0">
          <w:rPr>
            <w:rFonts w:ascii="Times New Roman" w:eastAsia="Times New Roman" w:hAnsi="Times New Roman" w:cs="Times New Roman"/>
            <w:color w:val="0000FF"/>
            <w:sz w:val="24"/>
            <w:szCs w:val="24"/>
            <w:u w:val="single"/>
          </w:rPr>
          <w:t>https://doi.org/10.1080/13854046.2012.680913</w:t>
        </w:r>
      </w:hyperlink>
    </w:p>
    <w:p w14:paraId="7C484C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Calamia, M., Markon, K., &amp; Tranel, D. (2013). The robust reliability of neuropsychological measures: Meta-analyses of test–retest correlations.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(7), 1077–1105. </w:t>
      </w:r>
      <w:hyperlink r:id="rId822" w:history="1">
        <w:r w:rsidRPr="005B38F0">
          <w:rPr>
            <w:rFonts w:ascii="Times New Roman" w:eastAsia="Times New Roman" w:hAnsi="Times New Roman" w:cs="Times New Roman"/>
            <w:color w:val="0000FF"/>
            <w:sz w:val="24"/>
            <w:szCs w:val="24"/>
            <w:u w:val="single"/>
          </w:rPr>
          <w:t>https://doi.org/10.1080/13854046.2013.809795</w:t>
        </w:r>
      </w:hyperlink>
    </w:p>
    <w:p w14:paraId="7C9A0A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Calderoni, S., Bellani, M., Hardan, A. Y., Muratori, F., &amp; Brambilla, P. (2014). Basal ganglia and restricted and repetitive behaviours in Autism Spectrum Disorders: Current status and future perspectives. </w:t>
      </w:r>
      <w:r w:rsidRPr="005B38F0">
        <w:rPr>
          <w:rFonts w:ascii="Times New Roman" w:eastAsia="Times New Roman" w:hAnsi="Times New Roman" w:cs="Times New Roman"/>
          <w:i/>
          <w:iCs/>
          <w:sz w:val="24"/>
          <w:szCs w:val="24"/>
        </w:rPr>
        <w:t>Epidemiology and Psychiatric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235–238. </w:t>
      </w:r>
      <w:hyperlink r:id="rId823" w:history="1">
        <w:r w:rsidRPr="005B38F0">
          <w:rPr>
            <w:rFonts w:ascii="Times New Roman" w:eastAsia="Times New Roman" w:hAnsi="Times New Roman" w:cs="Times New Roman"/>
            <w:color w:val="0000FF"/>
            <w:sz w:val="24"/>
            <w:szCs w:val="24"/>
            <w:u w:val="single"/>
          </w:rPr>
          <w:t>https://doi.org/10.1017/S2045796014000171</w:t>
        </w:r>
      </w:hyperlink>
    </w:p>
    <w:p w14:paraId="3C9B4F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Caldú, X., Ottino‐González, J., Sánchez‐Garre, C., Hernan, I., Tor, E., Sender‐Palacios, M., Dreher, J., Garolera, M., &amp; Jurado, M. Á. (2019). Effect of the catechol‐o‐methyltransferase val </w:t>
      </w:r>
      <w:r w:rsidRPr="005B38F0">
        <w:rPr>
          <w:rFonts w:ascii="Times New Roman" w:eastAsia="Times New Roman" w:hAnsi="Times New Roman" w:cs="Times New Roman"/>
          <w:sz w:val="24"/>
          <w:szCs w:val="24"/>
          <w:vertAlign w:val="superscript"/>
        </w:rPr>
        <w:t>158</w:t>
      </w:r>
      <w:r w:rsidRPr="005B38F0">
        <w:rPr>
          <w:rFonts w:ascii="Times New Roman" w:eastAsia="Times New Roman" w:hAnsi="Times New Roman" w:cs="Times New Roman"/>
          <w:sz w:val="24"/>
          <w:szCs w:val="24"/>
        </w:rPr>
        <w:t xml:space="preserve">met polymorphism on theory of mind in obesity.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(4), 401–409. </w:t>
      </w:r>
      <w:hyperlink r:id="rId824" w:history="1">
        <w:r w:rsidRPr="005B38F0">
          <w:rPr>
            <w:rFonts w:ascii="Times New Roman" w:eastAsia="Times New Roman" w:hAnsi="Times New Roman" w:cs="Times New Roman"/>
            <w:color w:val="0000FF"/>
            <w:sz w:val="24"/>
            <w:szCs w:val="24"/>
            <w:u w:val="single"/>
          </w:rPr>
          <w:t>https://doi.org/10.1002/erv.2665</w:t>
        </w:r>
      </w:hyperlink>
    </w:p>
    <w:p w14:paraId="2D57F6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Caldwell, J. L., Schroeder, V. M., Kunkle, C. L., &amp; Stephenson, H. G. (2020). Differential effects of modafinil on performance of low-performing and high-performing individuals during total sleep deprivation. </w:t>
      </w:r>
      <w:r w:rsidRPr="005B38F0">
        <w:rPr>
          <w:rFonts w:ascii="Times New Roman" w:eastAsia="Times New Roman" w:hAnsi="Times New Roman" w:cs="Times New Roman"/>
          <w:i/>
          <w:iCs/>
          <w:sz w:val="24"/>
          <w:szCs w:val="24"/>
        </w:rPr>
        <w:t>Pharmacology, Biochemistry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196</w:t>
      </w:r>
      <w:r w:rsidRPr="005B38F0">
        <w:rPr>
          <w:rFonts w:ascii="Times New Roman" w:eastAsia="Times New Roman" w:hAnsi="Times New Roman" w:cs="Times New Roman"/>
          <w:sz w:val="24"/>
          <w:szCs w:val="24"/>
        </w:rPr>
        <w:t xml:space="preserve">. </w:t>
      </w:r>
      <w:hyperlink r:id="rId825" w:history="1">
        <w:r w:rsidRPr="005B38F0">
          <w:rPr>
            <w:rFonts w:ascii="Times New Roman" w:eastAsia="Times New Roman" w:hAnsi="Times New Roman" w:cs="Times New Roman"/>
            <w:color w:val="0000FF"/>
            <w:sz w:val="24"/>
            <w:szCs w:val="24"/>
            <w:u w:val="single"/>
          </w:rPr>
          <w:t>https://doi.org/10.1016/j.pbb.2020.172968</w:t>
        </w:r>
      </w:hyperlink>
    </w:p>
    <w:p w14:paraId="22A2D2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Caldwell, S. B., Wilson, F. C., McBrinn, J., Carton, S., Delargy, M., McCann, J. P., Walsh, J., &amp; McGuire, B. E. (2014). Self-awareness following acquired brain injury: Measurement and </w:t>
      </w:r>
      <w:r w:rsidRPr="005B38F0">
        <w:rPr>
          <w:rFonts w:ascii="Times New Roman" w:eastAsia="Times New Roman" w:hAnsi="Times New Roman" w:cs="Times New Roman"/>
          <w:sz w:val="24"/>
          <w:szCs w:val="24"/>
        </w:rPr>
        <w:lastRenderedPageBreak/>
        <w:t xml:space="preserve">relationship to executive functioning. </w:t>
      </w:r>
      <w:r w:rsidRPr="005B38F0">
        <w:rPr>
          <w:rFonts w:ascii="Times New Roman" w:eastAsia="Times New Roman" w:hAnsi="Times New Roman" w:cs="Times New Roman"/>
          <w:i/>
          <w:iCs/>
          <w:sz w:val="24"/>
          <w:szCs w:val="24"/>
        </w:rPr>
        <w:t>The Irish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(2–3), 53–68. </w:t>
      </w:r>
      <w:hyperlink r:id="rId826" w:history="1">
        <w:r w:rsidRPr="005B38F0">
          <w:rPr>
            <w:rFonts w:ascii="Times New Roman" w:eastAsia="Times New Roman" w:hAnsi="Times New Roman" w:cs="Times New Roman"/>
            <w:color w:val="0000FF"/>
            <w:sz w:val="24"/>
            <w:szCs w:val="24"/>
            <w:u w:val="single"/>
          </w:rPr>
          <w:t>https://doi.org/10.1080/03033910.2014.921228</w:t>
        </w:r>
      </w:hyperlink>
    </w:p>
    <w:p w14:paraId="5B6B0C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Calero, M. D., Gómez-Pérez, M. M., &amp; Sierra, S. M. (2017). Learning potential and executive functions in children in social exclusion: Using a mediational training programme. </w:t>
      </w:r>
      <w:r w:rsidRPr="005B38F0">
        <w:rPr>
          <w:rFonts w:ascii="Times New Roman" w:eastAsia="Times New Roman" w:hAnsi="Times New Roman" w:cs="Times New Roman"/>
          <w:i/>
          <w:iCs/>
          <w:sz w:val="24"/>
          <w:szCs w:val="24"/>
        </w:rPr>
        <w:t>Educational and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(1), 9–20.</w:t>
      </w:r>
    </w:p>
    <w:p w14:paraId="34C673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Calero, M. D., Mata, S., Bonete, S., Molinero, C., &amp; Mar Gómez-Pérez, M. (2015). Relations between learning potential, cognitive and interpersonal skills in Asperger children. </w:t>
      </w:r>
      <w:r w:rsidRPr="005B38F0">
        <w:rPr>
          <w:rFonts w:ascii="Times New Roman" w:eastAsia="Times New Roman" w:hAnsi="Times New Roman" w:cs="Times New Roman"/>
          <w:i/>
          <w:iCs/>
          <w:sz w:val="24"/>
          <w:szCs w:val="24"/>
        </w:rPr>
        <w:t>Learning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 53–60. </w:t>
      </w:r>
      <w:hyperlink r:id="rId827" w:history="1">
        <w:r w:rsidRPr="005B38F0">
          <w:rPr>
            <w:rFonts w:ascii="Times New Roman" w:eastAsia="Times New Roman" w:hAnsi="Times New Roman" w:cs="Times New Roman"/>
            <w:color w:val="0000FF"/>
            <w:sz w:val="24"/>
            <w:szCs w:val="24"/>
            <w:u w:val="single"/>
          </w:rPr>
          <w:t>https://doi.org/10.1016/j.lindif.2015.07.004</w:t>
        </w:r>
      </w:hyperlink>
    </w:p>
    <w:p w14:paraId="3C37973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Calhoun, S. L., Fernandez-Mendoza, J., Vgontzas, A. N., Mayes, S. D., Tsaoussoglou, M., Rodriguez-Muñoz, A., &amp; Bixler, E. O. (2012). Learning, attention/hyperactivity, and conduct problems as sequelae of excessive daytime sleepiness in a general population study of young children. </w:t>
      </w:r>
      <w:r w:rsidRPr="005B38F0">
        <w:rPr>
          <w:rFonts w:ascii="Times New Roman" w:eastAsia="Times New Roman" w:hAnsi="Times New Roman" w:cs="Times New Roman"/>
          <w:i/>
          <w:iCs/>
          <w:sz w:val="24"/>
          <w:szCs w:val="24"/>
        </w:rPr>
        <w:t>Sleep: Journal of Sleep and Sleep Disorders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(5), 627–632.</w:t>
      </w:r>
    </w:p>
    <w:p w14:paraId="3BB080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Caligiore, D., Mustile, M., Fineschi, A., Romano, L., Piras, F., Assogna, F., Pontieri, F. E., Spalletta, G., &amp; Baldassarre, G. (2019). Action observation with dual task for improving cognitive abilities in Parkinson’s disease: A pilot study. </w:t>
      </w:r>
      <w:r w:rsidRPr="005B38F0">
        <w:rPr>
          <w:rFonts w:ascii="Times New Roman" w:eastAsia="Times New Roman" w:hAnsi="Times New Roman" w:cs="Times New Roman"/>
          <w:i/>
          <w:iCs/>
          <w:sz w:val="24"/>
          <w:szCs w:val="24"/>
        </w:rPr>
        <w:t>Frontiers in Systems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828" w:history="1">
        <w:r w:rsidRPr="005B38F0">
          <w:rPr>
            <w:rFonts w:ascii="Times New Roman" w:eastAsia="Times New Roman" w:hAnsi="Times New Roman" w:cs="Times New Roman"/>
            <w:color w:val="0000FF"/>
            <w:sz w:val="24"/>
            <w:szCs w:val="24"/>
            <w:u w:val="single"/>
          </w:rPr>
          <w:t>https://doi.org/10.3389/fnsys.2019.00007</w:t>
        </w:r>
      </w:hyperlink>
    </w:p>
    <w:p w14:paraId="7D4099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Camacho, M., Wong, T. M., &amp; Llorente, A. M. (2011). Cultural considerations in pediatric neuropsychology. </w:t>
      </w:r>
      <w:r w:rsidRPr="005B38F0">
        <w:rPr>
          <w:rFonts w:ascii="Times New Roman" w:eastAsia="Times New Roman" w:hAnsi="Times New Roman" w:cs="Times New Roman"/>
          <w:i/>
          <w:iCs/>
          <w:sz w:val="24"/>
          <w:szCs w:val="24"/>
        </w:rPr>
        <w:t>Handbook of Pediatric Neuropsychology.</w:t>
      </w:r>
      <w:r w:rsidRPr="005B38F0">
        <w:rPr>
          <w:rFonts w:ascii="Times New Roman" w:eastAsia="Times New Roman" w:hAnsi="Times New Roman" w:cs="Times New Roman"/>
          <w:sz w:val="24"/>
          <w:szCs w:val="24"/>
        </w:rPr>
        <w:t>, 995–1004.</w:t>
      </w:r>
    </w:p>
    <w:p w14:paraId="324172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Camarda, C., Monastero, R., Pipia, C., Recca, D., &amp; Camarda, R. (2007). Interictal executive dysfunction in migraineurs without aura: Relationship with duration and intensity of attacks. </w:t>
      </w:r>
      <w:r w:rsidRPr="005B38F0">
        <w:rPr>
          <w:rFonts w:ascii="Times New Roman" w:eastAsia="Times New Roman" w:hAnsi="Times New Roman" w:cs="Times New Roman"/>
          <w:i/>
          <w:iCs/>
          <w:sz w:val="24"/>
          <w:szCs w:val="24"/>
        </w:rPr>
        <w:t>Cephalalgia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(10), 1094–1100. </w:t>
      </w:r>
      <w:hyperlink r:id="rId829" w:history="1">
        <w:r w:rsidRPr="005B38F0">
          <w:rPr>
            <w:rFonts w:ascii="Times New Roman" w:eastAsia="Times New Roman" w:hAnsi="Times New Roman" w:cs="Times New Roman"/>
            <w:color w:val="0000FF"/>
            <w:sz w:val="24"/>
            <w:szCs w:val="24"/>
            <w:u w:val="single"/>
          </w:rPr>
          <w:t>https://doi.org/10.1111/j.1468-2982.2007.01394.x</w:t>
        </w:r>
      </w:hyperlink>
    </w:p>
    <w:p w14:paraId="13D244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Campana, A., Macciardi, F., Gambini, O., &amp; Scarone, S. (1996). The Wisconsin Card Sorting Test (WCST) performance in normal subjects: A twin study.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 14–17. </w:t>
      </w:r>
      <w:hyperlink r:id="rId830" w:history="1">
        <w:r w:rsidRPr="005B38F0">
          <w:rPr>
            <w:rFonts w:ascii="Times New Roman" w:eastAsia="Times New Roman" w:hAnsi="Times New Roman" w:cs="Times New Roman"/>
            <w:color w:val="0000FF"/>
            <w:sz w:val="24"/>
            <w:szCs w:val="24"/>
            <w:u w:val="single"/>
          </w:rPr>
          <w:t>https://doi.org/10.1159/000119284</w:t>
        </w:r>
      </w:hyperlink>
    </w:p>
    <w:p w14:paraId="049A14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Campanella, F., Crescentini, C., Mussoni, A., &amp; Skrap, M. (2013). Refractory semantic access dysphasia resulting from resection of a left frontal glioma.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27–35. </w:t>
      </w:r>
      <w:hyperlink r:id="rId831" w:history="1">
        <w:r w:rsidRPr="005B38F0">
          <w:rPr>
            <w:rFonts w:ascii="Times New Roman" w:eastAsia="Times New Roman" w:hAnsi="Times New Roman" w:cs="Times New Roman"/>
            <w:color w:val="0000FF"/>
            <w:sz w:val="24"/>
            <w:szCs w:val="24"/>
            <w:u w:val="single"/>
          </w:rPr>
          <w:t>https://doi.org/10.1080/13554794.2011.654212</w:t>
        </w:r>
      </w:hyperlink>
    </w:p>
    <w:p w14:paraId="260E69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A. M., Davalos, D. B., McCabe, D. P., &amp; Troup, L. J. (2011). Executive functions and extraversion.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(6), 720–725. </w:t>
      </w:r>
      <w:hyperlink r:id="rId832" w:history="1">
        <w:r w:rsidRPr="005B38F0">
          <w:rPr>
            <w:rFonts w:ascii="Times New Roman" w:eastAsia="Times New Roman" w:hAnsi="Times New Roman" w:cs="Times New Roman"/>
            <w:color w:val="0000FF"/>
            <w:sz w:val="24"/>
            <w:szCs w:val="24"/>
            <w:u w:val="single"/>
          </w:rPr>
          <w:t>https://doi.org/10.1016/j.paid.2011.06.018</w:t>
        </w:r>
      </w:hyperlink>
    </w:p>
    <w:p w14:paraId="11E2B3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G. B., Whyte, E. M., Sereika, S. M., Dew, M. A., Reynolds III, C. F., &amp; Butters, M. A. (2014). Reliability and validity of the executive interview (EXIT) and quick EXIT among community dwelling older adults. </w:t>
      </w:r>
      <w:r w:rsidRPr="005B38F0">
        <w:rPr>
          <w:rFonts w:ascii="Times New Roman" w:eastAsia="Times New Roman" w:hAnsi="Times New Roman" w:cs="Times New Roman"/>
          <w:i/>
          <w:iCs/>
          <w:sz w:val="24"/>
          <w:szCs w:val="24"/>
        </w:rPr>
        <w:t>The American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(12), 1444–1451. </w:t>
      </w:r>
      <w:hyperlink r:id="rId833" w:history="1">
        <w:r w:rsidRPr="005B38F0">
          <w:rPr>
            <w:rFonts w:ascii="Times New Roman" w:eastAsia="Times New Roman" w:hAnsi="Times New Roman" w:cs="Times New Roman"/>
            <w:color w:val="0000FF"/>
            <w:sz w:val="24"/>
            <w:szCs w:val="24"/>
            <w:u w:val="single"/>
          </w:rPr>
          <w:t>https://doi.org/10.1016/j.jagp.2013.08.009</w:t>
        </w:r>
      </w:hyperlink>
    </w:p>
    <w:p w14:paraId="4101CA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H. L., Tivarus, M. E., Hillier, A., &amp; Beversdorf, D. Q. (2008). Increased task difficulty results in greater impact of noradrenergic modulation of cognitive flexibility. </w:t>
      </w:r>
      <w:r w:rsidRPr="005B38F0">
        <w:rPr>
          <w:rFonts w:ascii="Times New Roman" w:eastAsia="Times New Roman" w:hAnsi="Times New Roman" w:cs="Times New Roman"/>
          <w:i/>
          <w:iCs/>
          <w:sz w:val="24"/>
          <w:szCs w:val="24"/>
        </w:rPr>
        <w:t>Pharmacology, Biochemistry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88</w:t>
      </w:r>
      <w:r w:rsidRPr="005B38F0">
        <w:rPr>
          <w:rFonts w:ascii="Times New Roman" w:eastAsia="Times New Roman" w:hAnsi="Times New Roman" w:cs="Times New Roman"/>
          <w:sz w:val="24"/>
          <w:szCs w:val="24"/>
        </w:rPr>
        <w:t xml:space="preserve">(3), 222–229. </w:t>
      </w:r>
      <w:hyperlink r:id="rId834" w:history="1">
        <w:r w:rsidRPr="005B38F0">
          <w:rPr>
            <w:rFonts w:ascii="Times New Roman" w:eastAsia="Times New Roman" w:hAnsi="Times New Roman" w:cs="Times New Roman"/>
            <w:color w:val="0000FF"/>
            <w:sz w:val="24"/>
            <w:szCs w:val="24"/>
            <w:u w:val="single"/>
          </w:rPr>
          <w:t>https://doi.org/10.1016/j.pbb.2007.08.003</w:t>
        </w:r>
      </w:hyperlink>
    </w:p>
    <w:p w14:paraId="7CD1C0C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Campbell, J. A., Samartgis, J. R., &amp; Crowe, S. F. (2013). Impaired decision making on the Balloon Analogue Risk Task as a result of long-term alcohol use.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1071–1081. </w:t>
      </w:r>
      <w:hyperlink r:id="rId835" w:history="1">
        <w:r w:rsidRPr="005B38F0">
          <w:rPr>
            <w:rFonts w:ascii="Times New Roman" w:eastAsia="Times New Roman" w:hAnsi="Times New Roman" w:cs="Times New Roman"/>
            <w:color w:val="0000FF"/>
            <w:sz w:val="24"/>
            <w:szCs w:val="24"/>
            <w:u w:val="single"/>
          </w:rPr>
          <w:t>https://doi.org/10.1080/13803395.2013.856382</w:t>
        </w:r>
      </w:hyperlink>
    </w:p>
    <w:p w14:paraId="15DE84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Campos-Sousa, I. S., Campos-Sousa, R. N., Ataíde Jr., L., de Brito Soares, M. M., &amp; Almeida, K. J. (2010). Executive dysfunction and motor symptoms in Parkinson’s disease.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(2), 246–251. </w:t>
      </w:r>
      <w:hyperlink r:id="rId836" w:history="1">
        <w:r w:rsidRPr="005B38F0">
          <w:rPr>
            <w:rFonts w:ascii="Times New Roman" w:eastAsia="Times New Roman" w:hAnsi="Times New Roman" w:cs="Times New Roman"/>
            <w:color w:val="0000FF"/>
            <w:sz w:val="24"/>
            <w:szCs w:val="24"/>
            <w:u w:val="single"/>
          </w:rPr>
          <w:t>https://doi.org/10.1590/S0004-282X2010000200018</w:t>
        </w:r>
      </w:hyperlink>
    </w:p>
    <w:p w14:paraId="148302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 G., Bora, E., Ildız, A., Ulas, G., Ongun, C. H., Sprooten, E., Frangou, S., Inal, N. E., &amp; Ozerdem, A. (2019). Neurocognition in young offspring of individuals with bipolar disorder: The role of co-existing familial and clinical high-risk for bipolar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281</w:t>
      </w:r>
      <w:r w:rsidRPr="005B38F0">
        <w:rPr>
          <w:rFonts w:ascii="Times New Roman" w:eastAsia="Times New Roman" w:hAnsi="Times New Roman" w:cs="Times New Roman"/>
          <w:sz w:val="24"/>
          <w:szCs w:val="24"/>
        </w:rPr>
        <w:t xml:space="preserve">. </w:t>
      </w:r>
      <w:hyperlink r:id="rId837" w:history="1">
        <w:r w:rsidRPr="005B38F0">
          <w:rPr>
            <w:rFonts w:ascii="Times New Roman" w:eastAsia="Times New Roman" w:hAnsi="Times New Roman" w:cs="Times New Roman"/>
            <w:color w:val="0000FF"/>
            <w:sz w:val="24"/>
            <w:szCs w:val="24"/>
            <w:u w:val="single"/>
          </w:rPr>
          <w:t>https://doi.org/10.1016/j.psychres.2019.112565</w:t>
        </w:r>
      </w:hyperlink>
    </w:p>
    <w:p w14:paraId="010A98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 H., Irkeç, C., &amp; Karakaş, S. (2006). Alzheimer tipi demansin farkli evrelerinin nöropsikolojik profili. [Neuropsychological profile of different stages of Alzheimer’s dementia.]. </w:t>
      </w:r>
      <w:r w:rsidRPr="005B38F0">
        <w:rPr>
          <w:rFonts w:ascii="Times New Roman" w:eastAsia="Times New Roman" w:hAnsi="Times New Roman" w:cs="Times New Roman"/>
          <w:i/>
          <w:iCs/>
          <w:sz w:val="24"/>
          <w:szCs w:val="24"/>
        </w:rPr>
        <w:t>Yeni Symposium: Psikiyatri, Nöroloji ve Davraniş Bilimleri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(3), 115–135.</w:t>
      </w:r>
    </w:p>
    <w:p w14:paraId="0E9268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Cangas, A. J., Errasti, J. M., García-Montes, J. M., Álvarez, R., &amp; Ruiz, R. (2006). Metacognitive factors and alterations of attention related to predisposition to hallucinations. </w:t>
      </w:r>
      <w:r w:rsidRPr="005B38F0">
        <w:rPr>
          <w:rFonts w:ascii="Times New Roman" w:eastAsia="Times New Roman" w:hAnsi="Times New Roman" w:cs="Times New Roman"/>
          <w:i/>
          <w:iCs/>
          <w:sz w:val="24"/>
          <w:szCs w:val="24"/>
        </w:rPr>
        <w:t>Personality and Individual Differences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(3), 487–496. </w:t>
      </w:r>
      <w:hyperlink r:id="rId838" w:history="1">
        <w:r w:rsidRPr="005B38F0">
          <w:rPr>
            <w:rFonts w:ascii="Times New Roman" w:eastAsia="Times New Roman" w:hAnsi="Times New Roman" w:cs="Times New Roman"/>
            <w:color w:val="0000FF"/>
            <w:sz w:val="24"/>
            <w:szCs w:val="24"/>
            <w:u w:val="single"/>
          </w:rPr>
          <w:t>https://doi.org/10.1016/j.paid.2005.07.005</w:t>
        </w:r>
      </w:hyperlink>
    </w:p>
    <w:p w14:paraId="21B04D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Cannon, M., Moffitt, T. E., Caspi, A., Murray, R. M., Harrington, H., &amp; Poulton, R. (2006). Neuropsychological performance at the age of 13 years and adult schizophreniform disorder: Prospective birth cohort study.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189</w:t>
      </w:r>
      <w:r w:rsidRPr="005B38F0">
        <w:rPr>
          <w:rFonts w:ascii="Times New Roman" w:eastAsia="Times New Roman" w:hAnsi="Times New Roman" w:cs="Times New Roman"/>
          <w:sz w:val="24"/>
          <w:szCs w:val="24"/>
        </w:rPr>
        <w:t xml:space="preserve">, 463–464. </w:t>
      </w:r>
      <w:hyperlink r:id="rId839" w:history="1">
        <w:r w:rsidRPr="005B38F0">
          <w:rPr>
            <w:rFonts w:ascii="Times New Roman" w:eastAsia="Times New Roman" w:hAnsi="Times New Roman" w:cs="Times New Roman"/>
            <w:color w:val="0000FF"/>
            <w:sz w:val="24"/>
            <w:szCs w:val="24"/>
            <w:u w:val="single"/>
          </w:rPr>
          <w:t>https://doi.org/10.1192/bjp.bp.105.020552</w:t>
        </w:r>
      </w:hyperlink>
    </w:p>
    <w:p w14:paraId="03ABDB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Canosa, A., Pagani, M., Cistaro, A., Montuschi, A., Iazzolino, B., Fania, P., Cammarosano, S., Ilardi, A., Moglia, C., Calvo, A., &amp; Chiò, A. (2016). </w:t>
      </w:r>
      <w:r w:rsidRPr="005B38F0">
        <w:rPr>
          <w:rFonts w:ascii="Times New Roman" w:eastAsia="Times New Roman" w:hAnsi="Times New Roman" w:cs="Times New Roman"/>
          <w:sz w:val="24"/>
          <w:szCs w:val="24"/>
          <w:vertAlign w:val="superscript"/>
        </w:rPr>
        <w:t>18</w:t>
      </w:r>
      <w:r w:rsidRPr="005B38F0">
        <w:rPr>
          <w:rFonts w:ascii="Times New Roman" w:eastAsia="Times New Roman" w:hAnsi="Times New Roman" w:cs="Times New Roman"/>
          <w:sz w:val="24"/>
          <w:szCs w:val="24"/>
        </w:rPr>
        <w:t xml:space="preserve">F-FDG-PET correlates of cognitive impairment in ALS.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86</w:t>
      </w:r>
      <w:r w:rsidRPr="005B38F0">
        <w:rPr>
          <w:rFonts w:ascii="Times New Roman" w:eastAsia="Times New Roman" w:hAnsi="Times New Roman" w:cs="Times New Roman"/>
          <w:sz w:val="24"/>
          <w:szCs w:val="24"/>
        </w:rPr>
        <w:t xml:space="preserve">(1), 44–49. </w:t>
      </w:r>
      <w:hyperlink r:id="rId840" w:history="1">
        <w:r w:rsidRPr="005B38F0">
          <w:rPr>
            <w:rFonts w:ascii="Times New Roman" w:eastAsia="Times New Roman" w:hAnsi="Times New Roman" w:cs="Times New Roman"/>
            <w:color w:val="0000FF"/>
            <w:sz w:val="24"/>
            <w:szCs w:val="24"/>
            <w:u w:val="single"/>
          </w:rPr>
          <w:t>https://doi.org/10.1212/WNL.0000000000002242</w:t>
        </w:r>
      </w:hyperlink>
    </w:p>
    <w:p w14:paraId="731577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Cantagallo, A., Di Russo, F., Favilla, M., &amp; Zoccolotti, P. (2015). Targeted isometric force impulses in patients with traumatic brain injury reveal delayed motor programming and change of strategy.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563–570. </w:t>
      </w:r>
      <w:hyperlink r:id="rId841" w:history="1">
        <w:r w:rsidRPr="005B38F0">
          <w:rPr>
            <w:rFonts w:ascii="Times New Roman" w:eastAsia="Times New Roman" w:hAnsi="Times New Roman" w:cs="Times New Roman"/>
            <w:color w:val="0000FF"/>
            <w:sz w:val="24"/>
            <w:szCs w:val="24"/>
            <w:u w:val="single"/>
          </w:rPr>
          <w:t>https://doi.org/10.1089/neu.2014.3571</w:t>
        </w:r>
      </w:hyperlink>
    </w:p>
    <w:p w14:paraId="19A8BB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Cantagallo, A., Spinazzola, L., Rabuffetti, M., &amp; Della Sala, S. (2010). Verbal commands help the execution of endogenous movements in anarchic hand.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406–422. </w:t>
      </w:r>
      <w:hyperlink r:id="rId842" w:history="1">
        <w:r w:rsidRPr="005B38F0">
          <w:rPr>
            <w:rFonts w:ascii="Times New Roman" w:eastAsia="Times New Roman" w:hAnsi="Times New Roman" w:cs="Times New Roman"/>
            <w:color w:val="0000FF"/>
            <w:sz w:val="24"/>
            <w:szCs w:val="24"/>
            <w:u w:val="single"/>
          </w:rPr>
          <w:t>https://doi.org/10.1080/09602010903345298</w:t>
        </w:r>
      </w:hyperlink>
    </w:p>
    <w:p w14:paraId="791FA23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Cantoni, C., Fenoglio, C., Cortini, F., Venturelli, E., Villa, C., Clerici, F., Marcone, A., Benussi, L., Ghidoni, R., Gallone, S., Scalabrini, D., Franceschi, M., Cappa, S., Binetti, G., Mariani, C., Rainero, I., Giordana, M. T., Bresolin, N., Scarpini, E., &amp; Galimberti, D. (2010). FUS/TLS genetic variability in sporadic frontotemporal lobar degeneration.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(4), 1317–1322.</w:t>
      </w:r>
    </w:p>
    <w:p w14:paraId="4DA053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Cantor-Graae, E., Warkentin, S., Franzén, G., &amp; Risberg, J. (1993). Frontal lobe challenge: A comparison of activation procedures during rCBF measurements in normal subjects. </w:t>
      </w:r>
      <w:r w:rsidRPr="005B38F0">
        <w:rPr>
          <w:rFonts w:ascii="Times New Roman" w:eastAsia="Times New Roman" w:hAnsi="Times New Roman" w:cs="Times New Roman"/>
          <w:i/>
          <w:iCs/>
          <w:sz w:val="24"/>
          <w:szCs w:val="24"/>
        </w:rPr>
        <w:t>Neuropsychiatry, Neuropsychology, &amp;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(2), 83–92.</w:t>
      </w:r>
    </w:p>
    <w:p w14:paraId="1AA115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Canzano, L., Piccardi, L., Bureca, I., &amp; Guariglia, C. (2011). Mirror writing resulting from an egocentric representation disorder: A case report.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(5), 447–460. </w:t>
      </w:r>
      <w:hyperlink r:id="rId843" w:history="1">
        <w:r w:rsidRPr="005B38F0">
          <w:rPr>
            <w:rFonts w:ascii="Times New Roman" w:eastAsia="Times New Roman" w:hAnsi="Times New Roman" w:cs="Times New Roman"/>
            <w:color w:val="0000FF"/>
            <w:sz w:val="24"/>
            <w:szCs w:val="24"/>
            <w:u w:val="single"/>
          </w:rPr>
          <w:t>https://doi.org/10.1080/13554794.2010.532143</w:t>
        </w:r>
      </w:hyperlink>
    </w:p>
    <w:p w14:paraId="30BC7E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Caplan, B., Schutt, R. K., Turner, W. M., Goldfinger, S. M., &amp; Seidman, L. J. (2006). Change in neurocognition by housing type and substance abuse among formerly homeless seriously mentally ill persons.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(1), 77–86. </w:t>
      </w:r>
      <w:hyperlink r:id="rId844" w:history="1">
        <w:r w:rsidRPr="005B38F0">
          <w:rPr>
            <w:rFonts w:ascii="Times New Roman" w:eastAsia="Times New Roman" w:hAnsi="Times New Roman" w:cs="Times New Roman"/>
            <w:color w:val="0000FF"/>
            <w:sz w:val="24"/>
            <w:szCs w:val="24"/>
            <w:u w:val="single"/>
          </w:rPr>
          <w:t>https://doi.org/10.1016/j.schres.2005.11.013</w:t>
        </w:r>
      </w:hyperlink>
    </w:p>
    <w:p w14:paraId="4A6004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Capleton, R. A. (1996). Cognitive function in schizophrenia: Association with negative and positive symptoms.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(1), 123–128. </w:t>
      </w:r>
      <w:hyperlink r:id="rId845" w:history="1">
        <w:r w:rsidRPr="005B38F0">
          <w:rPr>
            <w:rFonts w:ascii="Times New Roman" w:eastAsia="Times New Roman" w:hAnsi="Times New Roman" w:cs="Times New Roman"/>
            <w:color w:val="0000FF"/>
            <w:sz w:val="24"/>
            <w:szCs w:val="24"/>
            <w:u w:val="single"/>
          </w:rPr>
          <w:t>https://doi.org/10.2466/pr0.1996.78.1.123</w:t>
        </w:r>
      </w:hyperlink>
    </w:p>
    <w:p w14:paraId="609A82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 K. A., Gmeindl, L., &amp; Reuter-Lorenz, P. A. (2010). Age differences in prefontal recruitment during verbal working memory maintenance depend on memory load.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462–473. </w:t>
      </w:r>
      <w:hyperlink r:id="rId846" w:history="1">
        <w:r w:rsidRPr="005B38F0">
          <w:rPr>
            <w:rFonts w:ascii="Times New Roman" w:eastAsia="Times New Roman" w:hAnsi="Times New Roman" w:cs="Times New Roman"/>
            <w:color w:val="0000FF"/>
            <w:sz w:val="24"/>
            <w:szCs w:val="24"/>
            <w:u w:val="single"/>
          </w:rPr>
          <w:t>https://doi.org/10.1016/j.cortex.2009.11.009</w:t>
        </w:r>
      </w:hyperlink>
    </w:p>
    <w:p w14:paraId="2288030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Cappelletti, M., Butterworth, B., &amp; Kopelman, M. (2012). Numeracy skills in patients with degenerative disorders and focal brain lesions: A neuropsychological investigation.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1–19. </w:t>
      </w:r>
      <w:hyperlink r:id="rId847" w:history="1">
        <w:r w:rsidRPr="005B38F0">
          <w:rPr>
            <w:rFonts w:ascii="Times New Roman" w:eastAsia="Times New Roman" w:hAnsi="Times New Roman" w:cs="Times New Roman"/>
            <w:color w:val="0000FF"/>
            <w:sz w:val="24"/>
            <w:szCs w:val="24"/>
            <w:u w:val="single"/>
          </w:rPr>
          <w:t>https://doi.org/10.1037/a0026328</w:t>
        </w:r>
      </w:hyperlink>
    </w:p>
    <w:p w14:paraId="56E8E3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Cappelletti, M., &amp; Cipolotti, L. (2006). Unconscious processing of Arabic numerals in unilateral neglect.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(10), 1999–2006. </w:t>
      </w:r>
      <w:hyperlink r:id="rId848" w:history="1">
        <w:r w:rsidRPr="005B38F0">
          <w:rPr>
            <w:rFonts w:ascii="Times New Roman" w:eastAsia="Times New Roman" w:hAnsi="Times New Roman" w:cs="Times New Roman"/>
            <w:color w:val="0000FF"/>
            <w:sz w:val="24"/>
            <w:szCs w:val="24"/>
            <w:u w:val="single"/>
          </w:rPr>
          <w:t>https://doi.org/10.1016/j.neuropsychologia.2006.03.014</w:t>
        </w:r>
      </w:hyperlink>
    </w:p>
    <w:p w14:paraId="3F7936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Cappelletti, M., Freeman, E. D., &amp; Cipolotti, L. (2011). Numbers and time doubly dissociate.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(11), 3078–3092. </w:t>
      </w:r>
      <w:hyperlink r:id="rId849" w:history="1">
        <w:r w:rsidRPr="005B38F0">
          <w:rPr>
            <w:rFonts w:ascii="Times New Roman" w:eastAsia="Times New Roman" w:hAnsi="Times New Roman" w:cs="Times New Roman"/>
            <w:color w:val="0000FF"/>
            <w:sz w:val="24"/>
            <w:szCs w:val="24"/>
            <w:u w:val="single"/>
          </w:rPr>
          <w:t>https://doi.org/10.1016/j.neuropsychologia.2011.07.014</w:t>
        </w:r>
      </w:hyperlink>
    </w:p>
    <w:p w14:paraId="2827CC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Cappelli, G., Noccetti, S., Arcara, G., &amp; Bambini, V. (2018). Pragmatic competence and its relationship with the linguistic and cognitive profile of young adults with dyslexia. </w:t>
      </w:r>
      <w:r w:rsidRPr="005B38F0">
        <w:rPr>
          <w:rFonts w:ascii="Times New Roman" w:eastAsia="Times New Roman" w:hAnsi="Times New Roman" w:cs="Times New Roman"/>
          <w:i/>
          <w:iCs/>
          <w:sz w:val="24"/>
          <w:szCs w:val="24"/>
        </w:rPr>
        <w:t>Dyslexia: An International Journal of Research and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(3), 294–306. </w:t>
      </w:r>
      <w:hyperlink r:id="rId850" w:history="1">
        <w:r w:rsidRPr="005B38F0">
          <w:rPr>
            <w:rFonts w:ascii="Times New Roman" w:eastAsia="Times New Roman" w:hAnsi="Times New Roman" w:cs="Times New Roman"/>
            <w:color w:val="0000FF"/>
            <w:sz w:val="24"/>
            <w:szCs w:val="24"/>
            <w:u w:val="single"/>
          </w:rPr>
          <w:t>https://doi.org/10.1002/dys.1588</w:t>
        </w:r>
      </w:hyperlink>
    </w:p>
    <w:p w14:paraId="19CDE9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Capuron, L., Welberg, L., Heim, C., Wagner, D., Solomon, L., Papanicolaou, D. A., Craddock, R. C., Miller, A. H., &amp; Reeves, W. C. (2006). Cognitive Dysfunction Relates to Subjective </w:t>
      </w:r>
      <w:r w:rsidRPr="005B38F0">
        <w:rPr>
          <w:rFonts w:ascii="Times New Roman" w:eastAsia="Times New Roman" w:hAnsi="Times New Roman" w:cs="Times New Roman"/>
          <w:sz w:val="24"/>
          <w:szCs w:val="24"/>
        </w:rPr>
        <w:lastRenderedPageBreak/>
        <w:t xml:space="preserve">Report of Mental Fatigue in Patients with Chronic Fatigue Syndrome.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(8), 1777–1784. </w:t>
      </w:r>
      <w:hyperlink r:id="rId851" w:history="1">
        <w:r w:rsidRPr="005B38F0">
          <w:rPr>
            <w:rFonts w:ascii="Times New Roman" w:eastAsia="Times New Roman" w:hAnsi="Times New Roman" w:cs="Times New Roman"/>
            <w:color w:val="0000FF"/>
            <w:sz w:val="24"/>
            <w:szCs w:val="24"/>
            <w:u w:val="single"/>
          </w:rPr>
          <w:t>https://doi.org/10.1038/sj.npp.1301005</w:t>
        </w:r>
      </w:hyperlink>
    </w:p>
    <w:p w14:paraId="0B7EB8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Caravasso, C. F., de Pasquale, F., Ciurli, P., Catani, S., Formisano, R., &amp; Sabatini, U. (2016). The default mode network connectivity predicts cognitive recovery in severe acquired brain injured patients: A longitudinal study. </w:t>
      </w:r>
      <w:r w:rsidRPr="005B38F0">
        <w:rPr>
          <w:rFonts w:ascii="Times New Roman" w:eastAsia="Times New Roman" w:hAnsi="Times New Roman" w:cs="Times New Roman"/>
          <w:i/>
          <w:iCs/>
          <w:sz w:val="24"/>
          <w:szCs w:val="24"/>
        </w:rPr>
        <w:t>Journal of Neurotrauma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(13), 1247–1262. </w:t>
      </w:r>
      <w:hyperlink r:id="rId852" w:history="1">
        <w:r w:rsidRPr="005B38F0">
          <w:rPr>
            <w:rFonts w:ascii="Times New Roman" w:eastAsia="Times New Roman" w:hAnsi="Times New Roman" w:cs="Times New Roman"/>
            <w:color w:val="0000FF"/>
            <w:sz w:val="24"/>
            <w:szCs w:val="24"/>
            <w:u w:val="single"/>
          </w:rPr>
          <w:t>https://doi.org/10.1089/neu.2015.4003</w:t>
        </w:r>
      </w:hyperlink>
    </w:p>
    <w:p w14:paraId="178761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Carbon, C.-C., &amp; Schoormans, J. P. L. (2012). Rigidity rather than age as a limiting factor in the appreciation of innovative design. </w:t>
      </w:r>
      <w:r w:rsidRPr="005B38F0">
        <w:rPr>
          <w:rFonts w:ascii="Times New Roman" w:eastAsia="Times New Roman" w:hAnsi="Times New Roman" w:cs="Times New Roman"/>
          <w:i/>
          <w:iCs/>
          <w:sz w:val="24"/>
          <w:szCs w:val="24"/>
        </w:rPr>
        <w:t>Swiss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51–58. </w:t>
      </w:r>
      <w:hyperlink r:id="rId853" w:history="1">
        <w:r w:rsidRPr="005B38F0">
          <w:rPr>
            <w:rFonts w:ascii="Times New Roman" w:eastAsia="Times New Roman" w:hAnsi="Times New Roman" w:cs="Times New Roman"/>
            <w:color w:val="0000FF"/>
            <w:sz w:val="24"/>
            <w:szCs w:val="24"/>
            <w:u w:val="single"/>
          </w:rPr>
          <w:t>https://doi.org/10.1024/1421-0185/a000070</w:t>
        </w:r>
      </w:hyperlink>
    </w:p>
    <w:p w14:paraId="3FB9722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Cardoso, C. de O., Branco, L. D., Cotrena, C., &amp; Fonseca, R. P. (2015). Correlational analysis of performance in executive function tasks after stroke.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56–65. </w:t>
      </w:r>
      <w:hyperlink r:id="rId854" w:history="1">
        <w:r w:rsidRPr="005B38F0">
          <w:rPr>
            <w:rFonts w:ascii="Times New Roman" w:eastAsia="Times New Roman" w:hAnsi="Times New Roman" w:cs="Times New Roman"/>
            <w:color w:val="0000FF"/>
            <w:sz w:val="24"/>
            <w:szCs w:val="24"/>
            <w:u w:val="single"/>
          </w:rPr>
          <w:t>https://doi.org/10.1037/h0101021</w:t>
        </w:r>
      </w:hyperlink>
    </w:p>
    <w:p w14:paraId="485CDD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Cardoso, C. de O., Seabra, A. G., Gomes, C. M. A., &amp; Fonseca, R. P. (2019). Program for the neuropsychological stimulation of cognition in students: Impact, effectiveness, and transfer effects on student cognitive performance.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 </w:t>
      </w:r>
      <w:hyperlink r:id="rId855" w:history="1">
        <w:r w:rsidRPr="005B38F0">
          <w:rPr>
            <w:rFonts w:ascii="Times New Roman" w:eastAsia="Times New Roman" w:hAnsi="Times New Roman" w:cs="Times New Roman"/>
            <w:color w:val="0000FF"/>
            <w:sz w:val="24"/>
            <w:szCs w:val="24"/>
            <w:u w:val="single"/>
          </w:rPr>
          <w:t>https://doi.org/10.3389/fpsyg.2019.01784</w:t>
        </w:r>
      </w:hyperlink>
    </w:p>
    <w:p w14:paraId="2DB0B6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Gonzalez, R., Conover, E., Marcotte, T. D., Grant, I., &amp; Heaton, R. K. (2004). Predictive Validity of Global Deficit Scores in Detecting Neuropsychological Impairment in HIV Infection.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307–319. </w:t>
      </w:r>
      <w:hyperlink r:id="rId856" w:history="1">
        <w:r w:rsidRPr="005B38F0">
          <w:rPr>
            <w:rFonts w:ascii="Times New Roman" w:eastAsia="Times New Roman" w:hAnsi="Times New Roman" w:cs="Times New Roman"/>
            <w:color w:val="0000FF"/>
            <w:sz w:val="24"/>
            <w:szCs w:val="24"/>
            <w:u w:val="single"/>
          </w:rPr>
          <w:t>https://doi.org/10.1080/13803390490510031</w:t>
        </w:r>
      </w:hyperlink>
    </w:p>
    <w:p w14:paraId="6F42DF6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Rippeth, J. D., Gonzalez, R., Heaton, R. K., &amp; Grant, I. (2006). Additive Deleterious Effects of Methamphetamine Dependence and Immunosuppression on </w:t>
      </w:r>
      <w:r w:rsidRPr="005B38F0">
        <w:rPr>
          <w:rFonts w:ascii="Times New Roman" w:eastAsia="Times New Roman" w:hAnsi="Times New Roman" w:cs="Times New Roman"/>
          <w:sz w:val="24"/>
          <w:szCs w:val="24"/>
        </w:rPr>
        <w:lastRenderedPageBreak/>
        <w:t xml:space="preserve">Neuropsychological Functioning in HIV Infection. </w:t>
      </w:r>
      <w:r w:rsidRPr="005B38F0">
        <w:rPr>
          <w:rFonts w:ascii="Times New Roman" w:eastAsia="Times New Roman" w:hAnsi="Times New Roman" w:cs="Times New Roman"/>
          <w:i/>
          <w:iCs/>
          <w:sz w:val="24"/>
          <w:szCs w:val="24"/>
        </w:rPr>
        <w:t>AIDS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185–190. </w:t>
      </w:r>
      <w:hyperlink r:id="rId857" w:history="1">
        <w:r w:rsidRPr="005B38F0">
          <w:rPr>
            <w:rFonts w:ascii="Times New Roman" w:eastAsia="Times New Roman" w:hAnsi="Times New Roman" w:cs="Times New Roman"/>
            <w:color w:val="0000FF"/>
            <w:sz w:val="24"/>
            <w:szCs w:val="24"/>
            <w:u w:val="single"/>
          </w:rPr>
          <w:t>https://doi.org/10.1007/s10461-005-9056-4</w:t>
        </w:r>
      </w:hyperlink>
    </w:p>
    <w:p w14:paraId="7381AE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Rippeth, J. D., Gonzalez, R., Moore, D. J., Marcotte, T. D., Grant, I., &amp; Heaton, R. K. (2004). Initial validation of a screening battery for the detection of HIV-associated cognitive impairment.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(2), 234–248. </w:t>
      </w:r>
      <w:hyperlink r:id="rId858" w:history="1">
        <w:r w:rsidRPr="005B38F0">
          <w:rPr>
            <w:rFonts w:ascii="Times New Roman" w:eastAsia="Times New Roman" w:hAnsi="Times New Roman" w:cs="Times New Roman"/>
            <w:color w:val="0000FF"/>
            <w:sz w:val="24"/>
            <w:szCs w:val="24"/>
            <w:u w:val="single"/>
          </w:rPr>
          <w:t>https://doi.org/10.1080/13854040490501448</w:t>
        </w:r>
      </w:hyperlink>
    </w:p>
    <w:p w14:paraId="512107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Carey, C. L., Woods, S. P., Rippeth, J. D., Heaton, R. K., &amp; Grant, I. (2006). Prospective Memory in HIV-1 Infection.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(4), 536–548. </w:t>
      </w:r>
      <w:hyperlink r:id="rId859" w:history="1">
        <w:r w:rsidRPr="005B38F0">
          <w:rPr>
            <w:rFonts w:ascii="Times New Roman" w:eastAsia="Times New Roman" w:hAnsi="Times New Roman" w:cs="Times New Roman"/>
            <w:color w:val="0000FF"/>
            <w:sz w:val="24"/>
            <w:szCs w:val="24"/>
            <w:u w:val="single"/>
          </w:rPr>
          <w:t>https://doi.org/10.1080/13803390590949494</w:t>
        </w:r>
      </w:hyperlink>
    </w:p>
    <w:p w14:paraId="7B22E8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Carim, D. de B., &amp; Fichman, H. C. (2013). Neuropsychological assessment of ADHD and executive function deficits in adults. In </w:t>
      </w:r>
      <w:r w:rsidRPr="005B38F0">
        <w:rPr>
          <w:rFonts w:ascii="Times New Roman" w:eastAsia="Times New Roman" w:hAnsi="Times New Roman" w:cs="Times New Roman"/>
          <w:i/>
          <w:iCs/>
          <w:sz w:val="24"/>
          <w:szCs w:val="24"/>
        </w:rPr>
        <w:t>ADHD in adults: A practical guide to evaluation and management.</w:t>
      </w:r>
      <w:r w:rsidRPr="005B38F0">
        <w:rPr>
          <w:rFonts w:ascii="Times New Roman" w:eastAsia="Times New Roman" w:hAnsi="Times New Roman" w:cs="Times New Roman"/>
          <w:sz w:val="24"/>
          <w:szCs w:val="24"/>
        </w:rPr>
        <w:t xml:space="preserve"> (pp. 59–70). Humana Press. </w:t>
      </w:r>
      <w:hyperlink r:id="rId860" w:history="1">
        <w:r w:rsidRPr="005B38F0">
          <w:rPr>
            <w:rFonts w:ascii="Times New Roman" w:eastAsia="Times New Roman" w:hAnsi="Times New Roman" w:cs="Times New Roman"/>
            <w:color w:val="0000FF"/>
            <w:sz w:val="24"/>
            <w:szCs w:val="24"/>
            <w:u w:val="single"/>
          </w:rPr>
          <w:t>https://doi.org/10.1007/978-1-62703-248-3_4</w:t>
        </w:r>
      </w:hyperlink>
    </w:p>
    <w:p w14:paraId="0548C3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Carleton, R. N., Duranceau, S., Shulman, E. P., Zerff, M., Gonzales, J., &amp; Mishra, S. (2016). Self-reported intolerance of uncertainty and behavioural decisions. </w:t>
      </w:r>
      <w:r w:rsidRPr="005B38F0">
        <w:rPr>
          <w:rFonts w:ascii="Times New Roman" w:eastAsia="Times New Roman" w:hAnsi="Times New Roman" w:cs="Times New Roman"/>
          <w:i/>
          <w:iCs/>
          <w:sz w:val="24"/>
          <w:szCs w:val="24"/>
        </w:rPr>
        <w:t>Journal of Behavior Therapy and Experimental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 58–65. </w:t>
      </w:r>
      <w:hyperlink r:id="rId861" w:history="1">
        <w:r w:rsidRPr="005B38F0">
          <w:rPr>
            <w:rFonts w:ascii="Times New Roman" w:eastAsia="Times New Roman" w:hAnsi="Times New Roman" w:cs="Times New Roman"/>
            <w:color w:val="0000FF"/>
            <w:sz w:val="24"/>
            <w:szCs w:val="24"/>
            <w:u w:val="single"/>
          </w:rPr>
          <w:t>https://doi.org/10.1016/j.jbtep.2015.12.004</w:t>
        </w:r>
      </w:hyperlink>
    </w:p>
    <w:p w14:paraId="538C81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Carlos Farias, A., Cordeiro, M. L., Felden, E. P. G., Bara, T. S., Benko, C. R., Coutinho, D., Martins, L. F., Ferreira, R. T. C., &amp; McCracken, J. T. (2017). Attention–memory training yields behavioral and academic improvements in children diagnosed with attention-deficit hyperactivity disorder comorbid with a learning disorder.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w:t>
      </w:r>
    </w:p>
    <w:p w14:paraId="505449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Carlozzi, N. E., &amp; Horner, M. D. (2007). Convergent and divergent validity of the Gordon Diagnostic System in adults.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37–44. </w:t>
      </w:r>
      <w:hyperlink r:id="rId862" w:history="1">
        <w:r w:rsidRPr="005B38F0">
          <w:rPr>
            <w:rFonts w:ascii="Times New Roman" w:eastAsia="Times New Roman" w:hAnsi="Times New Roman" w:cs="Times New Roman"/>
            <w:color w:val="0000FF"/>
            <w:sz w:val="24"/>
            <w:szCs w:val="24"/>
            <w:u w:val="single"/>
          </w:rPr>
          <w:t>https://doi.org/10.1016/j.acn.2006.08.012</w:t>
        </w:r>
      </w:hyperlink>
    </w:p>
    <w:p w14:paraId="4CA1514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Carlson, S. M., Faja, S., &amp; Beck, D. M. (2016). Incorporating early development into the measurement of executive function: The need for a continuum of measures across development. In </w:t>
      </w:r>
      <w:r w:rsidRPr="005B38F0">
        <w:rPr>
          <w:rFonts w:ascii="Times New Roman" w:eastAsia="Times New Roman" w:hAnsi="Times New Roman" w:cs="Times New Roman"/>
          <w:i/>
          <w:iCs/>
          <w:sz w:val="24"/>
          <w:szCs w:val="24"/>
        </w:rPr>
        <w:t>Executive function in preschool-age children: Integrating measurement, neurodevelopment, and translational research.</w:t>
      </w:r>
      <w:r w:rsidRPr="005B38F0">
        <w:rPr>
          <w:rFonts w:ascii="Times New Roman" w:eastAsia="Times New Roman" w:hAnsi="Times New Roman" w:cs="Times New Roman"/>
          <w:sz w:val="24"/>
          <w:szCs w:val="24"/>
        </w:rPr>
        <w:t xml:space="preserve"> (pp. 45–64). American Psychological Association. </w:t>
      </w:r>
      <w:hyperlink r:id="rId863" w:history="1">
        <w:r w:rsidRPr="005B38F0">
          <w:rPr>
            <w:rFonts w:ascii="Times New Roman" w:eastAsia="Times New Roman" w:hAnsi="Times New Roman" w:cs="Times New Roman"/>
            <w:color w:val="0000FF"/>
            <w:sz w:val="24"/>
            <w:szCs w:val="24"/>
            <w:u w:val="single"/>
          </w:rPr>
          <w:t>https://doi.org/10.1037/14797-003</w:t>
        </w:r>
      </w:hyperlink>
    </w:p>
    <w:p w14:paraId="63B74B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Caroleo, M., Primerano, A., Rania, M., Aloi, M., Pugliese, V., Magliocco, F., Fazia, G., Filippo, A., Sinopoli, F., Ricchio, M., Arturi, F., Jimenez-Murcia, S., Fernandez-Aranda, F., De Fazio, P., &amp; Segura-Garcia, C. (2018). A real world study on the genetic, cognitive and psychopathological differences of obese patients clustered according to eating behaviours.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 58–64. </w:t>
      </w:r>
      <w:hyperlink r:id="rId864" w:history="1">
        <w:r w:rsidRPr="005B38F0">
          <w:rPr>
            <w:rFonts w:ascii="Times New Roman" w:eastAsia="Times New Roman" w:hAnsi="Times New Roman" w:cs="Times New Roman"/>
            <w:color w:val="0000FF"/>
            <w:sz w:val="24"/>
            <w:szCs w:val="24"/>
            <w:u w:val="single"/>
          </w:rPr>
          <w:t>https://doi.org/10.1016/j.eurpsy.2017.11.009</w:t>
        </w:r>
      </w:hyperlink>
    </w:p>
    <w:p w14:paraId="09E60C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Caroppo, P., Le Ber, I., Clot, F., Rivaud-Péchoux, S., Camuzat, A., De Septenville, A., Boutoleau-Bretonnière, C., Mourlon, V., Sauvée, M., Lebouvier, T., Bonnet, A.-M., Levy, R., Vercelletto, M., &amp; Brice, A. (2014). DCTN1 mutation analysis in families with progressive supranuclear palsy-like phenotypes. </w:t>
      </w:r>
      <w:r w:rsidRPr="005B38F0">
        <w:rPr>
          <w:rFonts w:ascii="Times New Roman" w:eastAsia="Times New Roman" w:hAnsi="Times New Roman" w:cs="Times New Roman"/>
          <w:i/>
          <w:iCs/>
          <w:sz w:val="24"/>
          <w:szCs w:val="24"/>
        </w:rPr>
        <w:t>JAMA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208–215. </w:t>
      </w:r>
      <w:hyperlink r:id="rId865" w:history="1">
        <w:r w:rsidRPr="005B38F0">
          <w:rPr>
            <w:rFonts w:ascii="Times New Roman" w:eastAsia="Times New Roman" w:hAnsi="Times New Roman" w:cs="Times New Roman"/>
            <w:color w:val="0000FF"/>
            <w:sz w:val="24"/>
            <w:szCs w:val="24"/>
            <w:u w:val="single"/>
          </w:rPr>
          <w:t>https://doi.org/10.1001/jamaneurol.2013.5100</w:t>
        </w:r>
      </w:hyperlink>
    </w:p>
    <w:p w14:paraId="597CE1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Carota, A., Marangolo, P., Markowitsch, H. J., &amp; Calabrese, P. (2013). When solving 22–7 is much more difficult than 99–12.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 54–66. </w:t>
      </w:r>
      <w:hyperlink r:id="rId866" w:history="1">
        <w:r w:rsidRPr="005B38F0">
          <w:rPr>
            <w:rFonts w:ascii="Times New Roman" w:eastAsia="Times New Roman" w:hAnsi="Times New Roman" w:cs="Times New Roman"/>
            <w:color w:val="0000FF"/>
            <w:sz w:val="24"/>
            <w:szCs w:val="24"/>
            <w:u w:val="single"/>
          </w:rPr>
          <w:t>https://doi.org/10.1080/13554794.2011.654216</w:t>
        </w:r>
      </w:hyperlink>
    </w:p>
    <w:p w14:paraId="26ED83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 A. R., Paholpak, P., Daianu, M., Fong, S. S., Mather, M., Jimenez, E. E., Thompson, P., &amp; Mendez, M. F. (2015). An investigation of care-based vs. Rule-based morality in </w:t>
      </w:r>
      <w:r w:rsidRPr="005B38F0">
        <w:rPr>
          <w:rFonts w:ascii="Times New Roman" w:eastAsia="Times New Roman" w:hAnsi="Times New Roman" w:cs="Times New Roman"/>
          <w:sz w:val="24"/>
          <w:szCs w:val="24"/>
        </w:rPr>
        <w:lastRenderedPageBreak/>
        <w:t xml:space="preserve">frontotemporal dementia, Alzheimer’s disease, and healthy controls.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 73–79. </w:t>
      </w:r>
      <w:hyperlink r:id="rId867" w:history="1">
        <w:r w:rsidRPr="005B38F0">
          <w:rPr>
            <w:rFonts w:ascii="Times New Roman" w:eastAsia="Times New Roman" w:hAnsi="Times New Roman" w:cs="Times New Roman"/>
            <w:color w:val="0000FF"/>
            <w:sz w:val="24"/>
            <w:szCs w:val="24"/>
            <w:u w:val="single"/>
          </w:rPr>
          <w:t>https://doi.org/10.1016/j.neuropsychologia.2015.09.033</w:t>
        </w:r>
      </w:hyperlink>
    </w:p>
    <w:p w14:paraId="00CB5C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 P. B., &amp; Steele, C. M. (2009). Stereotype threat and inflexible perseverance in problem solving. </w:t>
      </w:r>
      <w:r w:rsidRPr="005B38F0">
        <w:rPr>
          <w:rFonts w:ascii="Times New Roman" w:eastAsia="Times New Roman" w:hAnsi="Times New Roman" w:cs="Times New Roman"/>
          <w:i/>
          <w:iCs/>
          <w:sz w:val="24"/>
          <w:szCs w:val="24"/>
        </w:rPr>
        <w:t>Journal of Experimental Social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(4), 853–859. </w:t>
      </w:r>
      <w:hyperlink r:id="rId868" w:history="1">
        <w:r w:rsidRPr="005B38F0">
          <w:rPr>
            <w:rFonts w:ascii="Times New Roman" w:eastAsia="Times New Roman" w:hAnsi="Times New Roman" w:cs="Times New Roman"/>
            <w:color w:val="0000FF"/>
            <w:sz w:val="24"/>
            <w:szCs w:val="24"/>
            <w:u w:val="single"/>
          </w:rPr>
          <w:t>https://doi.org/10.1016/j.jesp.2009.03.003</w:t>
        </w:r>
      </w:hyperlink>
    </w:p>
    <w:p w14:paraId="149756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Carragher, M., Sage, K., &amp; Conroy, P. (2013). The effects of verb retrieval therapy for people with non-fluent aphasia: Evidence from assessment tasks and conversation.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846–887. </w:t>
      </w:r>
      <w:hyperlink r:id="rId869" w:history="1">
        <w:r w:rsidRPr="005B38F0">
          <w:rPr>
            <w:rFonts w:ascii="Times New Roman" w:eastAsia="Times New Roman" w:hAnsi="Times New Roman" w:cs="Times New Roman"/>
            <w:color w:val="0000FF"/>
            <w:sz w:val="24"/>
            <w:szCs w:val="24"/>
            <w:u w:val="single"/>
          </w:rPr>
          <w:t>https://doi.org/10.1080/09602011.2013.832335</w:t>
        </w:r>
      </w:hyperlink>
    </w:p>
    <w:p w14:paraId="0CD40A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Carrión, R. E., Goldberg, T. E., McLaughlin, D., Auther, A. M., Correll, C. U., &amp; Cornblatt, B. A. (2011). Impact of neurocognition on social and role functioning in individuals at clinical high risk for psychosis.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168</w:t>
      </w:r>
      <w:r w:rsidRPr="005B38F0">
        <w:rPr>
          <w:rFonts w:ascii="Times New Roman" w:eastAsia="Times New Roman" w:hAnsi="Times New Roman" w:cs="Times New Roman"/>
          <w:sz w:val="24"/>
          <w:szCs w:val="24"/>
        </w:rPr>
        <w:t xml:space="preserve">(8), 806–813. </w:t>
      </w:r>
      <w:hyperlink r:id="rId870" w:history="1">
        <w:r w:rsidRPr="005B38F0">
          <w:rPr>
            <w:rFonts w:ascii="Times New Roman" w:eastAsia="Times New Roman" w:hAnsi="Times New Roman" w:cs="Times New Roman"/>
            <w:color w:val="0000FF"/>
            <w:sz w:val="24"/>
            <w:szCs w:val="24"/>
            <w:u w:val="single"/>
          </w:rPr>
          <w:t>https://doi.org/10.1176/appi.ajp.2011.10081209</w:t>
        </w:r>
      </w:hyperlink>
    </w:p>
    <w:p w14:paraId="3DAE1E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Carrión, R. E., McLaughlin, D., Auther, A. M., Olsen, R., Correll, C. U., &amp; Cornblatt, B. A. (2015). The impact of psychosis on the course of cognition: A prospective, nested case-control study in individuals at clinical high-risk for psychosis.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(15), 3341–3354. </w:t>
      </w:r>
      <w:hyperlink r:id="rId871" w:history="1">
        <w:r w:rsidRPr="005B38F0">
          <w:rPr>
            <w:rFonts w:ascii="Times New Roman" w:eastAsia="Times New Roman" w:hAnsi="Times New Roman" w:cs="Times New Roman"/>
            <w:color w:val="0000FF"/>
            <w:sz w:val="24"/>
            <w:szCs w:val="24"/>
            <w:u w:val="single"/>
          </w:rPr>
          <w:t>https://doi.org/10.1017/S0033291715001233</w:t>
        </w:r>
      </w:hyperlink>
    </w:p>
    <w:p w14:paraId="5BC722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Carrus, D., Christodoulou, T., Hadjulis, M., Haldane, M., Galea, A., Koukopoulos, A., Kumari, V., &amp; Frangou, S. (2010). Gender differences in immediate memory in bipolar disorder.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(8), 1349–1355. </w:t>
      </w:r>
      <w:hyperlink r:id="rId872" w:history="1">
        <w:r w:rsidRPr="005B38F0">
          <w:rPr>
            <w:rFonts w:ascii="Times New Roman" w:eastAsia="Times New Roman" w:hAnsi="Times New Roman" w:cs="Times New Roman"/>
            <w:color w:val="0000FF"/>
            <w:sz w:val="24"/>
            <w:szCs w:val="24"/>
            <w:u w:val="single"/>
          </w:rPr>
          <w:t>https://doi.org/10.1017/S0033291709991644</w:t>
        </w:r>
      </w:hyperlink>
    </w:p>
    <w:p w14:paraId="019110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P. (2013). Mindreading the self. In </w:t>
      </w:r>
      <w:r w:rsidRPr="005B38F0">
        <w:rPr>
          <w:rFonts w:ascii="Times New Roman" w:eastAsia="Times New Roman" w:hAnsi="Times New Roman" w:cs="Times New Roman"/>
          <w:i/>
          <w:iCs/>
          <w:sz w:val="24"/>
          <w:szCs w:val="24"/>
        </w:rPr>
        <w:t>Understanding other minds: Perspectives from developmental social neuroscience, 3rd ed.</w:t>
      </w:r>
      <w:r w:rsidRPr="005B38F0">
        <w:rPr>
          <w:rFonts w:ascii="Times New Roman" w:eastAsia="Times New Roman" w:hAnsi="Times New Roman" w:cs="Times New Roman"/>
          <w:sz w:val="24"/>
          <w:szCs w:val="24"/>
        </w:rPr>
        <w:t xml:space="preserve"> (pp. 467–485). Oxford University Press. </w:t>
      </w:r>
      <w:hyperlink r:id="rId873" w:history="1">
        <w:r w:rsidRPr="005B38F0">
          <w:rPr>
            <w:rFonts w:ascii="Times New Roman" w:eastAsia="Times New Roman" w:hAnsi="Times New Roman" w:cs="Times New Roman"/>
            <w:color w:val="0000FF"/>
            <w:sz w:val="24"/>
            <w:szCs w:val="24"/>
            <w:u w:val="single"/>
          </w:rPr>
          <w:t>https://doi.org/10.1093/acprof:oso/9780199692972.003.0026</w:t>
        </w:r>
      </w:hyperlink>
    </w:p>
    <w:p w14:paraId="353538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Carruthers, P. (2015). </w:t>
      </w:r>
      <w:r w:rsidRPr="005B38F0">
        <w:rPr>
          <w:rFonts w:ascii="Times New Roman" w:eastAsia="Times New Roman" w:hAnsi="Times New Roman" w:cs="Times New Roman"/>
          <w:i/>
          <w:iCs/>
          <w:sz w:val="24"/>
          <w:szCs w:val="24"/>
        </w:rPr>
        <w:t>The centered mind: What the science of working memory shows us about the nature of human thought.</w:t>
      </w:r>
      <w:r w:rsidRPr="005B38F0">
        <w:rPr>
          <w:rFonts w:ascii="Times New Roman" w:eastAsia="Times New Roman" w:hAnsi="Times New Roman" w:cs="Times New Roman"/>
          <w:sz w:val="24"/>
          <w:szCs w:val="24"/>
        </w:rPr>
        <w:t xml:space="preserve"> (pp. xiv, 290). Oxford University Press. </w:t>
      </w:r>
      <w:hyperlink r:id="rId874" w:history="1">
        <w:r w:rsidRPr="005B38F0">
          <w:rPr>
            <w:rFonts w:ascii="Times New Roman" w:eastAsia="Times New Roman" w:hAnsi="Times New Roman" w:cs="Times New Roman"/>
            <w:color w:val="0000FF"/>
            <w:sz w:val="24"/>
            <w:szCs w:val="24"/>
            <w:u w:val="single"/>
          </w:rPr>
          <w:t>https://doi.org/10.1093/acprof:oso/9780198738824.001.0001</w:t>
        </w:r>
      </w:hyperlink>
    </w:p>
    <w:p w14:paraId="55C3B9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S. P., Cropley, V., Bousman, C., Everall, I. P., Neill, E., Pantelis, C., Sumner, P. J., Tan, E. J., Bozaoglu, K., Thomas, E. H. X., Van Rheenen, T. E., Gurvich, C. T., &amp; Rossell, S. L. (2019). The effects of a muscarinic receptor 1 gene variant on executive and non-executive cognition in schizophrenia spectrum disorders.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273</w:t>
      </w:r>
      <w:r w:rsidRPr="005B38F0">
        <w:rPr>
          <w:rFonts w:ascii="Times New Roman" w:eastAsia="Times New Roman" w:hAnsi="Times New Roman" w:cs="Times New Roman"/>
          <w:sz w:val="24"/>
          <w:szCs w:val="24"/>
        </w:rPr>
        <w:t xml:space="preserve">, 178–180. </w:t>
      </w:r>
      <w:hyperlink r:id="rId875" w:history="1">
        <w:r w:rsidRPr="005B38F0">
          <w:rPr>
            <w:rFonts w:ascii="Times New Roman" w:eastAsia="Times New Roman" w:hAnsi="Times New Roman" w:cs="Times New Roman"/>
            <w:color w:val="0000FF"/>
            <w:sz w:val="24"/>
            <w:szCs w:val="24"/>
            <w:u w:val="single"/>
          </w:rPr>
          <w:t>https://doi.org/10.1016/j.psychres.2019.01.032</w:t>
        </w:r>
      </w:hyperlink>
    </w:p>
    <w:p w14:paraId="50B6C0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Carruthers, S. P., Gurvich, C. T., Meyer, D., Bousman, C., Everall, I. P., Neill, E., Pantelis, C., Sumner, P. J., Tan, E. J., Thomas, E. H. X., Van Rheenen, T. E., &amp; Rossell, S. L. (2019). Exploring heterogeneity on the Wisconsin Card Sorting Test in schizophrenia spectrum disorders: A cluster analytical investigation.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(7), 750–760. </w:t>
      </w:r>
      <w:hyperlink r:id="rId876" w:history="1">
        <w:r w:rsidRPr="005B38F0">
          <w:rPr>
            <w:rFonts w:ascii="Times New Roman" w:eastAsia="Times New Roman" w:hAnsi="Times New Roman" w:cs="Times New Roman"/>
            <w:color w:val="0000FF"/>
            <w:sz w:val="24"/>
            <w:szCs w:val="24"/>
            <w:u w:val="single"/>
          </w:rPr>
          <w:t>https://doi.org/10.1017/S1355617719000420</w:t>
        </w:r>
      </w:hyperlink>
    </w:p>
    <w:p w14:paraId="0DFC57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Carteau-Martin, I., Amado, I., Thillay, A., Houy-Durand, E., Barthelemy, C., &amp; Bonnet-Brilhault, F. (2015). Aspects théoriques et pratiques de la remédiation cognitive dans la déficience intellectuelle du jeune adulte: La «Cognitive Remediation Therapy» (CRT) peut-elle être adaptée? [Theoretical and practical aspects of cognitive remediation in intellectual dis.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(6), 534–540. </w:t>
      </w:r>
      <w:hyperlink r:id="rId877" w:history="1">
        <w:r w:rsidRPr="005B38F0">
          <w:rPr>
            <w:rFonts w:ascii="Times New Roman" w:eastAsia="Times New Roman" w:hAnsi="Times New Roman" w:cs="Times New Roman"/>
            <w:color w:val="0000FF"/>
            <w:sz w:val="24"/>
            <w:szCs w:val="24"/>
            <w:u w:val="single"/>
          </w:rPr>
          <w:t>https://doi.org/10.1016/j.encep.2014.02.004</w:t>
        </w:r>
      </w:hyperlink>
    </w:p>
    <w:p w14:paraId="24A7BB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Carter, C. S., Krener, P., Chaderjian, M., Northcutt, C., &amp; Wolfe, V. (1995). Abnormal processing of irrelevant information in attention deficit hyperactivity disorder.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(1), 59–70. </w:t>
      </w:r>
      <w:hyperlink r:id="rId878" w:history="1">
        <w:r w:rsidRPr="005B38F0">
          <w:rPr>
            <w:rFonts w:ascii="Times New Roman" w:eastAsia="Times New Roman" w:hAnsi="Times New Roman" w:cs="Times New Roman"/>
            <w:color w:val="0000FF"/>
            <w:sz w:val="24"/>
            <w:szCs w:val="24"/>
            <w:u w:val="single"/>
          </w:rPr>
          <w:t>https://doi.org/10.1016/0165-1781(94)02509-H</w:t>
        </w:r>
      </w:hyperlink>
    </w:p>
    <w:p w14:paraId="51D6924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Carter, S. F., Caine, D., Burns, A., Herholz, K., &amp; Ralph, M. A. L. (2012). Staging of the cognitive decline in Alzheimer’s disease: Insights from a detailed neuropsychological investigation of mild cognitive impairment and mild Alzheimer’s disease.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(4), 423–432.</w:t>
      </w:r>
    </w:p>
    <w:p w14:paraId="2FB709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Casaletto, K. B., Cattie, J., Franklin, D. R., Moore, D. J., Woods, S. P., Grant, I., &amp; Heaton, R. K. (2014). The Wide Range Achievement Test–4 reading subtest “holds” in HIV-infected individuals.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(9), 992–1001. </w:t>
      </w:r>
      <w:hyperlink r:id="rId879" w:history="1">
        <w:r w:rsidRPr="005B38F0">
          <w:rPr>
            <w:rFonts w:ascii="Times New Roman" w:eastAsia="Times New Roman" w:hAnsi="Times New Roman" w:cs="Times New Roman"/>
            <w:color w:val="0000FF"/>
            <w:sz w:val="24"/>
            <w:szCs w:val="24"/>
            <w:u w:val="single"/>
          </w:rPr>
          <w:t>https://doi.org/10.1080/13803395.2014.960370</w:t>
        </w:r>
      </w:hyperlink>
    </w:p>
    <w:p w14:paraId="1BF683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Casaletto, K. B., Kwan, S., Montoya, J. L., Obermeit, L. C., Gouaux, B., Poquette, A., Heaton, R. K., Atkinson, J. H., &amp; Moore, D. J. (2016). Predictors of psychotropic medication adherence among HIV+ individuals living with bipolar disorder. </w:t>
      </w:r>
      <w:r w:rsidRPr="005B38F0">
        <w:rPr>
          <w:rFonts w:ascii="Times New Roman" w:eastAsia="Times New Roman" w:hAnsi="Times New Roman" w:cs="Times New Roman"/>
          <w:i/>
          <w:iCs/>
          <w:sz w:val="24"/>
          <w:szCs w:val="24"/>
        </w:rPr>
        <w:t>International Journal of Psychiatry in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(1), 69–83. </w:t>
      </w:r>
      <w:hyperlink r:id="rId880" w:history="1">
        <w:r w:rsidRPr="005B38F0">
          <w:rPr>
            <w:rFonts w:ascii="Times New Roman" w:eastAsia="Times New Roman" w:hAnsi="Times New Roman" w:cs="Times New Roman"/>
            <w:color w:val="0000FF"/>
            <w:sz w:val="24"/>
            <w:szCs w:val="24"/>
            <w:u w:val="single"/>
          </w:rPr>
          <w:t>https://doi.org/10.1177/0091217415621267</w:t>
        </w:r>
      </w:hyperlink>
    </w:p>
    <w:p w14:paraId="5B16E3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Casas, A. M., Mateo, V. F., &amp; Rivera, C. Á. (2005). Validez de las Tareas Neuropsicológicas en la Evaluación del Trastorno por Déficit de Atención con Hiperactividad. [Ecological Validity of Neuropsychological Tasks for the Assessment and Treatment of Attention Deficit Hyperactivity Disorder.]. </w:t>
      </w:r>
      <w:r w:rsidRPr="005B38F0">
        <w:rPr>
          <w:rFonts w:ascii="Times New Roman" w:eastAsia="Times New Roman" w:hAnsi="Times New Roman" w:cs="Times New Roman"/>
          <w:i/>
          <w:iCs/>
          <w:sz w:val="24"/>
          <w:szCs w:val="24"/>
        </w:rPr>
        <w:t>Revista de Psicología General y Aplicada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(3), 297–307.</w:t>
      </w:r>
    </w:p>
    <w:p w14:paraId="1821B1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Chen, K., Bandy, D., Smilovici, O., Boeve, B. F., Osborne, D., Alexander, G. E., Parish, J. M., Krahn, L. E., &amp; Reiman, E. M. (2006). A preliminary fluorodeoxyglucose Positron emission tomography study in healthy adults reporting dream-enactment behavior. </w:t>
      </w:r>
      <w:r w:rsidRPr="005B38F0">
        <w:rPr>
          <w:rFonts w:ascii="Times New Roman" w:eastAsia="Times New Roman" w:hAnsi="Times New Roman" w:cs="Times New Roman"/>
          <w:i/>
          <w:iCs/>
          <w:sz w:val="24"/>
          <w:szCs w:val="24"/>
        </w:rPr>
        <w:t>Sleep: Journal of Sleep and Sleep Disorders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(7), 927–933. </w:t>
      </w:r>
      <w:hyperlink r:id="rId881" w:history="1">
        <w:r w:rsidRPr="005B38F0">
          <w:rPr>
            <w:rFonts w:ascii="Times New Roman" w:eastAsia="Times New Roman" w:hAnsi="Times New Roman" w:cs="Times New Roman"/>
            <w:color w:val="0000FF"/>
            <w:sz w:val="24"/>
            <w:szCs w:val="24"/>
            <w:u w:val="single"/>
          </w:rPr>
          <w:t>https://doi.org/10.1093/sleep/29.7.927</w:t>
        </w:r>
      </w:hyperlink>
    </w:p>
    <w:p w14:paraId="5F9E01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Chen, K., Locke, D. E. C., Lee, W., Roontiva, A., Bandy, D., Fleisher, A. S., &amp; Reiman, E. M. (2014). Subjective cognitive decline: Self and informant comparisons. </w:t>
      </w:r>
      <w:r w:rsidRPr="005B38F0">
        <w:rPr>
          <w:rFonts w:ascii="Times New Roman" w:eastAsia="Times New Roman" w:hAnsi="Times New Roman" w:cs="Times New Roman"/>
          <w:i/>
          <w:iCs/>
          <w:sz w:val="24"/>
          <w:szCs w:val="24"/>
        </w:rPr>
        <w:lastRenderedPageBreak/>
        <w:t>Alzheimer’s &amp; Dementia: The Journal of the Alzheimer’s Association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93–98. </w:t>
      </w:r>
      <w:hyperlink r:id="rId882" w:history="1">
        <w:r w:rsidRPr="005B38F0">
          <w:rPr>
            <w:rFonts w:ascii="Times New Roman" w:eastAsia="Times New Roman" w:hAnsi="Times New Roman" w:cs="Times New Roman"/>
            <w:color w:val="0000FF"/>
            <w:sz w:val="24"/>
            <w:szCs w:val="24"/>
            <w:u w:val="single"/>
          </w:rPr>
          <w:t>https://doi.org/10.1016/j.jalz.2013.01.003</w:t>
        </w:r>
      </w:hyperlink>
    </w:p>
    <w:p w14:paraId="4BB7AD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Dueck, A. C., Locke, D. E. C., Henslin, B. R., Johnson, T. A., Woodruff, B. K., Hoffman-Snyder, C., &amp; Geda, Y. E. (2016). Impact of personality on cognitive aging: A prospective cohort study.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(7), 765–776. </w:t>
      </w:r>
      <w:hyperlink r:id="rId883" w:history="1">
        <w:r w:rsidRPr="005B38F0">
          <w:rPr>
            <w:rFonts w:ascii="Times New Roman" w:eastAsia="Times New Roman" w:hAnsi="Times New Roman" w:cs="Times New Roman"/>
            <w:color w:val="0000FF"/>
            <w:sz w:val="24"/>
            <w:szCs w:val="24"/>
            <w:u w:val="single"/>
          </w:rPr>
          <w:t>https://doi.org/10.1017/S1355617716000527</w:t>
        </w:r>
      </w:hyperlink>
    </w:p>
    <w:p w14:paraId="609172E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Dueck, A. C., Locke, D. E. C., Hoffman-Snyder, C. R., Woodruff, B. K., Rapcsak, S. Z., &amp; Reiman, E. M. (2011). Longitudinal modeling of frontal cognition in APOE ε4 homozygotes, heterozygotes, and noncarriers.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(16), 1383–1388. </w:t>
      </w:r>
      <w:hyperlink r:id="rId884" w:history="1">
        <w:r w:rsidRPr="005B38F0">
          <w:rPr>
            <w:rFonts w:ascii="Times New Roman" w:eastAsia="Times New Roman" w:hAnsi="Times New Roman" w:cs="Times New Roman"/>
            <w:color w:val="0000FF"/>
            <w:sz w:val="24"/>
            <w:szCs w:val="24"/>
            <w:u w:val="single"/>
          </w:rPr>
          <w:t>https://doi.org/10.1212/WNL.0b013e3182167147</w:t>
        </w:r>
      </w:hyperlink>
    </w:p>
    <w:p w14:paraId="46F194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Langlais, B. T., Dueck, A. C., Henslin, B. R., Johnson, T. A., Woodruff, B. K., Hoffman‐Snyder, C., &amp; Locke, D. E. C. (2018). Personality changes during the transition from cognitive health to mild cognitive impairment. </w:t>
      </w:r>
      <w:r w:rsidRPr="005B38F0">
        <w:rPr>
          <w:rFonts w:ascii="Times New Roman" w:eastAsia="Times New Roman" w:hAnsi="Times New Roman" w:cs="Times New Roman"/>
          <w:i/>
          <w:iCs/>
          <w:sz w:val="24"/>
          <w:szCs w:val="24"/>
        </w:rPr>
        <w:t>Journal of the American Geriatrics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(4), 671–678. </w:t>
      </w:r>
      <w:hyperlink r:id="rId885" w:history="1">
        <w:r w:rsidRPr="005B38F0">
          <w:rPr>
            <w:rFonts w:ascii="Times New Roman" w:eastAsia="Times New Roman" w:hAnsi="Times New Roman" w:cs="Times New Roman"/>
            <w:color w:val="0000FF"/>
            <w:sz w:val="24"/>
            <w:szCs w:val="24"/>
            <w:u w:val="single"/>
          </w:rPr>
          <w:t>https://doi.org/10.1111/jgs.15182</w:t>
        </w:r>
      </w:hyperlink>
    </w:p>
    <w:p w14:paraId="3CD546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Langlais, B. T., Dueck, A. C., Locke, D. E. C., &amp; Woodruff, B. K. (2018). Subjective cognitive impairment and the broad autism phenotype. </w:t>
      </w:r>
      <w:r w:rsidRPr="005B38F0">
        <w:rPr>
          <w:rFonts w:ascii="Times New Roman" w:eastAsia="Times New Roman" w:hAnsi="Times New Roman" w:cs="Times New Roman"/>
          <w:i/>
          <w:iCs/>
          <w:sz w:val="24"/>
          <w:szCs w:val="24"/>
        </w:rPr>
        <w:t>Alzheimer Disease and Associated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(4), 284–290.</w:t>
      </w:r>
    </w:p>
    <w:p w14:paraId="5D07BF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Locke, D. E. C., Dueck, A. C., Knopman, D. S., Woodruff, B. K., Hoffman-Snyder, C., Rademakers, R., Fleisher, A. S., &amp; Reiman, E. M. (2014). The neuropsychology of normal aging and preclinical Alzheimer’s disease. </w:t>
      </w:r>
      <w:r w:rsidRPr="005B38F0">
        <w:rPr>
          <w:rFonts w:ascii="Times New Roman" w:eastAsia="Times New Roman" w:hAnsi="Times New Roman" w:cs="Times New Roman"/>
          <w:i/>
          <w:iCs/>
          <w:sz w:val="24"/>
          <w:szCs w:val="24"/>
        </w:rPr>
        <w:t>Alzheimer’s &amp; Dementia: The Journal of the Alzheimer’s Association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84–92. </w:t>
      </w:r>
      <w:hyperlink r:id="rId886" w:history="1">
        <w:r w:rsidRPr="005B38F0">
          <w:rPr>
            <w:rFonts w:ascii="Times New Roman" w:eastAsia="Times New Roman" w:hAnsi="Times New Roman" w:cs="Times New Roman"/>
            <w:color w:val="0000FF"/>
            <w:sz w:val="24"/>
            <w:szCs w:val="24"/>
            <w:u w:val="single"/>
          </w:rPr>
          <w:t>https://doi.org/10.1016/j.jalz.2013.01.004</w:t>
        </w:r>
      </w:hyperlink>
    </w:p>
    <w:p w14:paraId="0D3C92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Reiman, E. M., Hentz, J. G., Osborne, D., &amp; Alexander, G. E. (2004). A Distinctive Interaction Between Chronic Anxiety and Problem Solving in Asymptomatic </w:t>
      </w:r>
      <w:r w:rsidRPr="005B38F0">
        <w:rPr>
          <w:rFonts w:ascii="Times New Roman" w:eastAsia="Times New Roman" w:hAnsi="Times New Roman" w:cs="Times New Roman"/>
          <w:sz w:val="24"/>
          <w:szCs w:val="24"/>
        </w:rPr>
        <w:lastRenderedPageBreak/>
        <w:t xml:space="preserve">APOE e4 Homozygotes.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320–329. </w:t>
      </w:r>
      <w:hyperlink r:id="rId887" w:history="1">
        <w:r w:rsidRPr="005B38F0">
          <w:rPr>
            <w:rFonts w:ascii="Times New Roman" w:eastAsia="Times New Roman" w:hAnsi="Times New Roman" w:cs="Times New Roman"/>
            <w:color w:val="0000FF"/>
            <w:sz w:val="24"/>
            <w:szCs w:val="24"/>
            <w:u w:val="single"/>
          </w:rPr>
          <w:t>https://doi.org/10.1176/appi.neuropsych.16.3.320</w:t>
        </w:r>
      </w:hyperlink>
    </w:p>
    <w:p w14:paraId="67DD9F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Caselli, R. J., Reiman, E. M., Locke, D. E. C., Hutton, M. L., Hentz, J. G., Hoffman-Snyder, C., Woodruff, B. K., Alexander, G. E., &amp; Osborne, D. (2007). Cognitive domain decline in healthy apolipoprotein E ε4 homozygotes before the diagnosis of mild cognitive impairment. </w:t>
      </w:r>
      <w:r w:rsidRPr="005B38F0">
        <w:rPr>
          <w:rFonts w:ascii="Times New Roman" w:eastAsia="Times New Roman" w:hAnsi="Times New Roman" w:cs="Times New Roman"/>
          <w:i/>
          <w:iCs/>
          <w:sz w:val="24"/>
          <w:szCs w:val="24"/>
        </w:rPr>
        <w:t>Archives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(9), 1306–1311. </w:t>
      </w:r>
      <w:hyperlink r:id="rId888" w:history="1">
        <w:r w:rsidRPr="005B38F0">
          <w:rPr>
            <w:rFonts w:ascii="Times New Roman" w:eastAsia="Times New Roman" w:hAnsi="Times New Roman" w:cs="Times New Roman"/>
            <w:color w:val="0000FF"/>
            <w:sz w:val="24"/>
            <w:szCs w:val="24"/>
            <w:u w:val="single"/>
          </w:rPr>
          <w:t>https://doi.org/10.1001/archneur.64.9.1306</w:t>
        </w:r>
      </w:hyperlink>
    </w:p>
    <w:p w14:paraId="3C4C73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Caserta, M. T., Ragin, A., Hermida, A. P., Ahrens, R. J., &amp; Wise, L. (2008). Single voxel magnetic resonance spectroscopy at 3 Tesla in a memory disorders clinic: Early right hippocampal NAA/Cr loss in mildly impaired subjects.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164</w:t>
      </w:r>
      <w:r w:rsidRPr="005B38F0">
        <w:rPr>
          <w:rFonts w:ascii="Times New Roman" w:eastAsia="Times New Roman" w:hAnsi="Times New Roman" w:cs="Times New Roman"/>
          <w:sz w:val="24"/>
          <w:szCs w:val="24"/>
        </w:rPr>
        <w:t xml:space="preserve">(2), 154–159. </w:t>
      </w:r>
      <w:hyperlink r:id="rId889" w:history="1">
        <w:r w:rsidRPr="005B38F0">
          <w:rPr>
            <w:rFonts w:ascii="Times New Roman" w:eastAsia="Times New Roman" w:hAnsi="Times New Roman" w:cs="Times New Roman"/>
            <w:color w:val="0000FF"/>
            <w:sz w:val="24"/>
            <w:szCs w:val="24"/>
            <w:u w:val="single"/>
          </w:rPr>
          <w:t>https://doi.org/10.1016/j.pscychresns.2008.04.002</w:t>
        </w:r>
      </w:hyperlink>
    </w:p>
    <w:p w14:paraId="5BEE54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Casey, B. J., Vauss, Y. C., Chused, A., &amp; Swedo, S. E. (1994). Cognitive functioning in Sydenham’s chorea: II. Executive functioning.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89–96. </w:t>
      </w:r>
      <w:hyperlink r:id="rId890" w:history="1">
        <w:r w:rsidRPr="005B38F0">
          <w:rPr>
            <w:rFonts w:ascii="Times New Roman" w:eastAsia="Times New Roman" w:hAnsi="Times New Roman" w:cs="Times New Roman"/>
            <w:color w:val="0000FF"/>
            <w:sz w:val="24"/>
            <w:szCs w:val="24"/>
            <w:u w:val="single"/>
          </w:rPr>
          <w:t>https://doi.org/10.1080/87565649409540570</w:t>
        </w:r>
      </w:hyperlink>
    </w:p>
    <w:p w14:paraId="6131CA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Casey, J. E. (2012). A model to guide the conceptualization, assessment, and diagnosis of nonverbal learning disorder. </w:t>
      </w:r>
      <w:r w:rsidRPr="005B38F0">
        <w:rPr>
          <w:rFonts w:ascii="Times New Roman" w:eastAsia="Times New Roman" w:hAnsi="Times New Roman" w:cs="Times New Roman"/>
          <w:i/>
          <w:iCs/>
          <w:sz w:val="24"/>
          <w:szCs w:val="24"/>
        </w:rPr>
        <w:t>Canadian Journal of School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35–57. </w:t>
      </w:r>
      <w:hyperlink r:id="rId891" w:history="1">
        <w:r w:rsidRPr="005B38F0">
          <w:rPr>
            <w:rFonts w:ascii="Times New Roman" w:eastAsia="Times New Roman" w:hAnsi="Times New Roman" w:cs="Times New Roman"/>
            <w:color w:val="0000FF"/>
            <w:sz w:val="24"/>
            <w:szCs w:val="24"/>
            <w:u w:val="single"/>
          </w:rPr>
          <w:t>https://doi.org/10.1177/0829573512436966</w:t>
        </w:r>
      </w:hyperlink>
    </w:p>
    <w:p w14:paraId="4E3C2A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Caso, A., &amp; Cooper, R. P. (2020). A neurally plausible schema-theoretic approach to modelling cognitive dysfunction and neurophysiological markers in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140</w:t>
      </w:r>
      <w:r w:rsidRPr="005B38F0">
        <w:rPr>
          <w:rFonts w:ascii="Times New Roman" w:eastAsia="Times New Roman" w:hAnsi="Times New Roman" w:cs="Times New Roman"/>
          <w:sz w:val="24"/>
          <w:szCs w:val="24"/>
        </w:rPr>
        <w:t xml:space="preserve">. </w:t>
      </w:r>
      <w:hyperlink r:id="rId892" w:history="1">
        <w:r w:rsidRPr="005B38F0">
          <w:rPr>
            <w:rFonts w:ascii="Times New Roman" w:eastAsia="Times New Roman" w:hAnsi="Times New Roman" w:cs="Times New Roman"/>
            <w:color w:val="0000FF"/>
            <w:sz w:val="24"/>
            <w:szCs w:val="24"/>
            <w:u w:val="single"/>
          </w:rPr>
          <w:t>https://doi.org/10.1016/j.neuropsychologia.2020.107359</w:t>
        </w:r>
      </w:hyperlink>
    </w:p>
    <w:p w14:paraId="752EA9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Caspers, K., Arndt, S., Yucuis, R., McKirgan, L., &amp; Spinks, R. (2010). Effects of alcohol- and cigarette-use disorders on global and specific measures of cognition in middle-age adults. </w:t>
      </w:r>
      <w:r w:rsidRPr="005B38F0">
        <w:rPr>
          <w:rFonts w:ascii="Times New Roman" w:eastAsia="Times New Roman" w:hAnsi="Times New Roman" w:cs="Times New Roman"/>
          <w:i/>
          <w:iCs/>
          <w:sz w:val="24"/>
          <w:szCs w:val="24"/>
        </w:rPr>
        <w:lastRenderedPageBreak/>
        <w:t>Journal of Studies on Alcohol and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71</w:t>
      </w:r>
      <w:r w:rsidRPr="005B38F0">
        <w:rPr>
          <w:rFonts w:ascii="Times New Roman" w:eastAsia="Times New Roman" w:hAnsi="Times New Roman" w:cs="Times New Roman"/>
          <w:sz w:val="24"/>
          <w:szCs w:val="24"/>
        </w:rPr>
        <w:t xml:space="preserve">(2), 192–200. </w:t>
      </w:r>
      <w:hyperlink r:id="rId893" w:history="1">
        <w:r w:rsidRPr="005B38F0">
          <w:rPr>
            <w:rFonts w:ascii="Times New Roman" w:eastAsia="Times New Roman" w:hAnsi="Times New Roman" w:cs="Times New Roman"/>
            <w:color w:val="0000FF"/>
            <w:sz w:val="24"/>
            <w:szCs w:val="24"/>
            <w:u w:val="single"/>
          </w:rPr>
          <w:t>https://doi.org/10.15288/jsad.2010.71.192</w:t>
        </w:r>
      </w:hyperlink>
    </w:p>
    <w:p w14:paraId="1A21E2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Cassidy, B. S., Hughes, C., Lanie, S. T., &amp; Krendl, A. C. (2020). Effects of executive ability on bias and ingroup perceptions in aging. </w:t>
      </w:r>
      <w:r w:rsidRPr="005B38F0">
        <w:rPr>
          <w:rFonts w:ascii="Times New Roman" w:eastAsia="Times New Roman" w:hAnsi="Times New Roman" w:cs="Times New Roman"/>
          <w:i/>
          <w:iCs/>
          <w:sz w:val="24"/>
          <w:szCs w:val="24"/>
        </w:rPr>
        <w:t>Psychology and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283–294. </w:t>
      </w:r>
      <w:hyperlink r:id="rId894" w:history="1">
        <w:r w:rsidRPr="005B38F0">
          <w:rPr>
            <w:rFonts w:ascii="Times New Roman" w:eastAsia="Times New Roman" w:hAnsi="Times New Roman" w:cs="Times New Roman"/>
            <w:color w:val="0000FF"/>
            <w:sz w:val="24"/>
            <w:szCs w:val="24"/>
            <w:u w:val="single"/>
          </w:rPr>
          <w:t>https://doi.org/10.1037/pag0000420</w:t>
        </w:r>
      </w:hyperlink>
    </w:p>
    <w:p w14:paraId="20EA59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Cassimiro, L., Fuentes, D., Nitrini, R., &amp; Yassuda, M. S. (2017). Decision-making in cognitively unimpaired illiterate and low-educated older women: Results on the Iowa Gambling Task.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(1), 71–80.</w:t>
      </w:r>
    </w:p>
    <w:p w14:paraId="597E2D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Castagna, F., Montemagni, C., Milani, A. M., Rocca, G., Rocca, P., Casacchia, M., &amp; Bogetto, F. (2013). Prosody recognition and audiovisual emotion matching in schizophrenia: The contribution of cognition and psychopathology.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205</w:t>
      </w:r>
      <w:r w:rsidRPr="005B38F0">
        <w:rPr>
          <w:rFonts w:ascii="Times New Roman" w:eastAsia="Times New Roman" w:hAnsi="Times New Roman" w:cs="Times New Roman"/>
          <w:sz w:val="24"/>
          <w:szCs w:val="24"/>
        </w:rPr>
        <w:t xml:space="preserve">(3), 192–198. </w:t>
      </w:r>
      <w:hyperlink r:id="rId895" w:history="1">
        <w:r w:rsidRPr="005B38F0">
          <w:rPr>
            <w:rFonts w:ascii="Times New Roman" w:eastAsia="Times New Roman" w:hAnsi="Times New Roman" w:cs="Times New Roman"/>
            <w:color w:val="0000FF"/>
            <w:sz w:val="24"/>
            <w:szCs w:val="24"/>
            <w:u w:val="single"/>
          </w:rPr>
          <w:t>https://doi.org/10.1016/j.psychres.2012.08.038</w:t>
        </w:r>
      </w:hyperlink>
    </w:p>
    <w:p w14:paraId="589E3B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Castellanos, N. P., Paúl, N., Ordóñez, V. E., Demuynck, O., Bajo, R., Campo, P., Bilbao, A., Ortiz, T., del-Pozo, F., &amp; Maestú, F. (2010). Reorganization of functional connectivity as a correlate of cognitive recovery in acquired brain injury.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(8), 2365–2381. </w:t>
      </w:r>
      <w:hyperlink r:id="rId896" w:history="1">
        <w:r w:rsidRPr="005B38F0">
          <w:rPr>
            <w:rFonts w:ascii="Times New Roman" w:eastAsia="Times New Roman" w:hAnsi="Times New Roman" w:cs="Times New Roman"/>
            <w:color w:val="0000FF"/>
            <w:sz w:val="24"/>
            <w:szCs w:val="24"/>
            <w:u w:val="single"/>
          </w:rPr>
          <w:t>https://doi.org/10.1093/brain/awq174</w:t>
        </w:r>
      </w:hyperlink>
    </w:p>
    <w:p w14:paraId="497073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Castiel, M., Alderman, N., Jenkins, K., Knight, C., &amp; Burgess, P. (2012). Use of the Multiple Errands Test—Simplified Version in the assessment of suboptimal effort.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734–751. </w:t>
      </w:r>
      <w:hyperlink r:id="rId897" w:history="1">
        <w:r w:rsidRPr="005B38F0">
          <w:rPr>
            <w:rFonts w:ascii="Times New Roman" w:eastAsia="Times New Roman" w:hAnsi="Times New Roman" w:cs="Times New Roman"/>
            <w:color w:val="0000FF"/>
            <w:sz w:val="24"/>
            <w:szCs w:val="24"/>
            <w:u w:val="single"/>
          </w:rPr>
          <w:t>https://doi.org/10.1080/09602011.2012.686884</w:t>
        </w:r>
      </w:hyperlink>
    </w:p>
    <w:p w14:paraId="7A19B10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Castro-Fornieles, J., Serna, E. de la, Calvo, A., Blázquez, A., Moya, J., Lázaro, L., Andrés-Perpiñá, S., Plana, M. T., Gil, L., Flamarique, I., Martínez, E., Pariente, J., Moreno, E., &amp; Bargallo, N. (2019). Functional MRI with a set-shifting task in adolescent anorexia nervosa: </w:t>
      </w:r>
      <w:r w:rsidRPr="005B38F0">
        <w:rPr>
          <w:rFonts w:ascii="Times New Roman" w:eastAsia="Times New Roman" w:hAnsi="Times New Roman" w:cs="Times New Roman"/>
          <w:sz w:val="24"/>
          <w:szCs w:val="24"/>
        </w:rPr>
        <w:lastRenderedPageBreak/>
        <w:t xml:space="preserve">A cross-sectional and follow-up study.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131</w:t>
      </w:r>
      <w:r w:rsidRPr="005B38F0">
        <w:rPr>
          <w:rFonts w:ascii="Times New Roman" w:eastAsia="Times New Roman" w:hAnsi="Times New Roman" w:cs="Times New Roman"/>
          <w:sz w:val="24"/>
          <w:szCs w:val="24"/>
        </w:rPr>
        <w:t xml:space="preserve">, 1–8. </w:t>
      </w:r>
      <w:hyperlink r:id="rId898" w:history="1">
        <w:r w:rsidRPr="005B38F0">
          <w:rPr>
            <w:rFonts w:ascii="Times New Roman" w:eastAsia="Times New Roman" w:hAnsi="Times New Roman" w:cs="Times New Roman"/>
            <w:color w:val="0000FF"/>
            <w:sz w:val="24"/>
            <w:szCs w:val="24"/>
            <w:u w:val="single"/>
          </w:rPr>
          <w:t>https://doi.org/10.1016/j.neuropsychologia.2019.05.019</w:t>
        </w:r>
      </w:hyperlink>
    </w:p>
    <w:p w14:paraId="46A998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Catafau, A. M., Parellada, E., Lomeña, F., Bernardo, M., Setoain, J., Catarineu, S., Pavía, J., &amp; Herranz, R. (1998). Role of the cingulate gyrus during the Wisconsin Card Sorting Test: A single photon emission computed tomography study in normal volunteers.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(2), 67–74. </w:t>
      </w:r>
      <w:hyperlink r:id="rId899" w:history="1">
        <w:r w:rsidRPr="005B38F0">
          <w:rPr>
            <w:rFonts w:ascii="Times New Roman" w:eastAsia="Times New Roman" w:hAnsi="Times New Roman" w:cs="Times New Roman"/>
            <w:color w:val="0000FF"/>
            <w:sz w:val="24"/>
            <w:szCs w:val="24"/>
            <w:u w:val="single"/>
          </w:rPr>
          <w:t>https://doi.org/10.1016/S0925-4927(98)00031-6</w:t>
        </w:r>
      </w:hyperlink>
    </w:p>
    <w:p w14:paraId="735079B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Catani, M., Piccirilli, M., Geloso, M. C., Cherubini, A., Finali, G., Pelliccioli, G., Senin, U., &amp; Mecocci, P. (2003). Rapidly progressive aphasic Dementia with motor neuron disease: A distinctive clinical entity. </w:t>
      </w:r>
      <w:r w:rsidRPr="005B38F0">
        <w:rPr>
          <w:rFonts w:ascii="Times New Roman" w:eastAsia="Times New Roman" w:hAnsi="Times New Roman" w:cs="Times New Roman"/>
          <w:i/>
          <w:iCs/>
          <w:sz w:val="24"/>
          <w:szCs w:val="24"/>
        </w:rPr>
        <w:t>Dementia and Geriatric Cognitive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(1–2), 21–28. </w:t>
      </w:r>
      <w:hyperlink r:id="rId900" w:history="1">
        <w:r w:rsidRPr="005B38F0">
          <w:rPr>
            <w:rFonts w:ascii="Times New Roman" w:eastAsia="Times New Roman" w:hAnsi="Times New Roman" w:cs="Times New Roman"/>
            <w:color w:val="0000FF"/>
            <w:sz w:val="24"/>
            <w:szCs w:val="24"/>
            <w:u w:val="single"/>
          </w:rPr>
          <w:t>https://doi.org/10.1159/000074139</w:t>
        </w:r>
      </w:hyperlink>
    </w:p>
    <w:p w14:paraId="7159D0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Cato, M. A., Delis, D. C., Abildskov, T. J., &amp; Bigler, E. (2004). Assessing the elusive cognitive deficits associated with ventromedial prefrontal damage: A case of a modern-day Phineas Gage.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453–465. </w:t>
      </w:r>
      <w:hyperlink r:id="rId901" w:history="1">
        <w:r w:rsidRPr="005B38F0">
          <w:rPr>
            <w:rFonts w:ascii="Times New Roman" w:eastAsia="Times New Roman" w:hAnsi="Times New Roman" w:cs="Times New Roman"/>
            <w:color w:val="0000FF"/>
            <w:sz w:val="24"/>
            <w:szCs w:val="24"/>
            <w:u w:val="single"/>
          </w:rPr>
          <w:t>https://doi.org/10.1017/S1355617704103123</w:t>
        </w:r>
      </w:hyperlink>
    </w:p>
    <w:p w14:paraId="1DADE2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Catoira, N. P., Tapajóz, F., Allegri, R. F., Lajfer, J., Rodríguez Cámara, M. J., Iturry, M. L., &amp; Castaño, G. O. (2016). Obesity, metabolic profile, and inhibition failure: Young women under scrutiny. </w:t>
      </w:r>
      <w:r w:rsidRPr="005B38F0">
        <w:rPr>
          <w:rFonts w:ascii="Times New Roman" w:eastAsia="Times New Roman" w:hAnsi="Times New Roman" w:cs="Times New Roman"/>
          <w:i/>
          <w:iCs/>
          <w:sz w:val="24"/>
          <w:szCs w:val="24"/>
        </w:rPr>
        <w:t>Physiology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157</w:t>
      </w:r>
      <w:r w:rsidRPr="005B38F0">
        <w:rPr>
          <w:rFonts w:ascii="Times New Roman" w:eastAsia="Times New Roman" w:hAnsi="Times New Roman" w:cs="Times New Roman"/>
          <w:sz w:val="24"/>
          <w:szCs w:val="24"/>
        </w:rPr>
        <w:t xml:space="preserve">, 87–93. </w:t>
      </w:r>
      <w:hyperlink r:id="rId902" w:history="1">
        <w:r w:rsidRPr="005B38F0">
          <w:rPr>
            <w:rFonts w:ascii="Times New Roman" w:eastAsia="Times New Roman" w:hAnsi="Times New Roman" w:cs="Times New Roman"/>
            <w:color w:val="0000FF"/>
            <w:sz w:val="24"/>
            <w:szCs w:val="24"/>
            <w:u w:val="single"/>
          </w:rPr>
          <w:t>https://doi.org/10.1016/j.physbeh.2016.01.040</w:t>
        </w:r>
      </w:hyperlink>
    </w:p>
    <w:p w14:paraId="32D2A3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Cattelani, R., Patruno, M., Catellani, A., Cesana, L., Lombardi, F., &amp; Mazzucchi, A. (1998). Il metodo Rorschach in soggetti traumatizzati cranici. [The Rorschach inkblot method in traumatic brain injured subjects.]. </w:t>
      </w:r>
      <w:r w:rsidRPr="005B38F0">
        <w:rPr>
          <w:rFonts w:ascii="Times New Roman" w:eastAsia="Times New Roman" w:hAnsi="Times New Roman" w:cs="Times New Roman"/>
          <w:i/>
          <w:iCs/>
          <w:sz w:val="24"/>
          <w:szCs w:val="24"/>
        </w:rPr>
        <w:t>Archivio Di Psicologia, Neurologia e Psichiatria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(3–4), 314–326.</w:t>
      </w:r>
    </w:p>
    <w:p w14:paraId="55D4F7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Caulfield, J. B. (1996). </w:t>
      </w:r>
      <w:r w:rsidRPr="005B38F0">
        <w:rPr>
          <w:rFonts w:ascii="Times New Roman" w:eastAsia="Times New Roman" w:hAnsi="Times New Roman" w:cs="Times New Roman"/>
          <w:i/>
          <w:iCs/>
          <w:sz w:val="24"/>
          <w:szCs w:val="24"/>
        </w:rPr>
        <w:t>An exploration of error response time variables as a neuropsychological marker in boys with Attention Deficit Hyperactivity Disorder.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(3-B), 2144–2144.</w:t>
      </w:r>
    </w:p>
    <w:p w14:paraId="66304D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Causse, M., Dehais, F., Arexis, M., &amp; Pastor, J. (2011). Cognitive aging and flight performances in general aviation pilots.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544–561. </w:t>
      </w:r>
      <w:hyperlink r:id="rId903" w:history="1">
        <w:r w:rsidRPr="005B38F0">
          <w:rPr>
            <w:rFonts w:ascii="Times New Roman" w:eastAsia="Times New Roman" w:hAnsi="Times New Roman" w:cs="Times New Roman"/>
            <w:color w:val="0000FF"/>
            <w:sz w:val="24"/>
            <w:szCs w:val="24"/>
            <w:u w:val="single"/>
          </w:rPr>
          <w:t>https://doi.org/10.1080/13825585.2011.586018</w:t>
        </w:r>
      </w:hyperlink>
    </w:p>
    <w:p w14:paraId="661DB4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Causse, M., Dehais, F., &amp; Pastor, J. (2011). Executive functions and pilot characteristics predict flight simulator performance in general aviation pilots. </w:t>
      </w:r>
      <w:r w:rsidRPr="005B38F0">
        <w:rPr>
          <w:rFonts w:ascii="Times New Roman" w:eastAsia="Times New Roman" w:hAnsi="Times New Roman" w:cs="Times New Roman"/>
          <w:i/>
          <w:iCs/>
          <w:sz w:val="24"/>
          <w:szCs w:val="24"/>
        </w:rPr>
        <w:t>The International Journal of Aviation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217–234. </w:t>
      </w:r>
      <w:hyperlink r:id="rId904" w:history="1">
        <w:r w:rsidRPr="005B38F0">
          <w:rPr>
            <w:rFonts w:ascii="Times New Roman" w:eastAsia="Times New Roman" w:hAnsi="Times New Roman" w:cs="Times New Roman"/>
            <w:color w:val="0000FF"/>
            <w:sz w:val="24"/>
            <w:szCs w:val="24"/>
            <w:u w:val="single"/>
          </w:rPr>
          <w:t>https://doi.org/10.1080/10508414.2011.582441</w:t>
        </w:r>
      </w:hyperlink>
    </w:p>
    <w:p w14:paraId="1CAE34F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Caute, A., &amp; Woolf, C. (2016). Using voice recognition software to improve communicative writing and social participation in an individual with severe acquired dysgraphia: An experimental single-case therapy study.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(2–3), 245–268.</w:t>
      </w:r>
    </w:p>
    <w:p w14:paraId="623240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Cavaco, S., Anderson, S. W., Correia, M., Magalhães, M., Pereira, C., Tuna, A., Taipa, R., Pinto, P., Pinto, C., Cruz, R., Lima, A. B., Castro-Caldas, A., da Silva, A. M., &amp; Damásio, H. (2011). Task-specific contribution of the human striatum to perceptual-motor skill learning.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51–62. </w:t>
      </w:r>
      <w:hyperlink r:id="rId905" w:history="1">
        <w:r w:rsidRPr="005B38F0">
          <w:rPr>
            <w:rFonts w:ascii="Times New Roman" w:eastAsia="Times New Roman" w:hAnsi="Times New Roman" w:cs="Times New Roman"/>
            <w:color w:val="0000FF"/>
            <w:sz w:val="24"/>
            <w:szCs w:val="24"/>
            <w:u w:val="single"/>
          </w:rPr>
          <w:t>https://doi.org/10.1080/13803395.2010.493144</w:t>
        </w:r>
      </w:hyperlink>
    </w:p>
    <w:p w14:paraId="3CE5CE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Cavaco, S., Malec, J. F., &amp; Bergquist, T. (2005). Non-declarative memory in the rehabilitation of amnesia.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(10), 853–859. </w:t>
      </w:r>
      <w:hyperlink r:id="rId906" w:history="1">
        <w:r w:rsidRPr="005B38F0">
          <w:rPr>
            <w:rFonts w:ascii="Times New Roman" w:eastAsia="Times New Roman" w:hAnsi="Times New Roman" w:cs="Times New Roman"/>
            <w:color w:val="0000FF"/>
            <w:sz w:val="24"/>
            <w:szCs w:val="24"/>
            <w:u w:val="single"/>
          </w:rPr>
          <w:t>https://doi.org/10.1080/01449290500109917</w:t>
        </w:r>
      </w:hyperlink>
    </w:p>
    <w:p w14:paraId="572774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Cavalari, R. N. S., &amp; Donovick, P. J. (2015). Agenesis of the corpus callosum: Symptoms consistent with developmental disability in two siblings.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 95–102. </w:t>
      </w:r>
      <w:hyperlink r:id="rId907" w:history="1">
        <w:r w:rsidRPr="005B38F0">
          <w:rPr>
            <w:rFonts w:ascii="Times New Roman" w:eastAsia="Times New Roman" w:hAnsi="Times New Roman" w:cs="Times New Roman"/>
            <w:color w:val="0000FF"/>
            <w:sz w:val="24"/>
            <w:szCs w:val="24"/>
            <w:u w:val="single"/>
          </w:rPr>
          <w:t>https://doi.org/10.1080/13554794.2013.873059</w:t>
        </w:r>
      </w:hyperlink>
    </w:p>
    <w:p w14:paraId="1FB3E6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Cavallaro, R., Anselmetti, S., Poletti, S., Bechi, M., Ermoli, E., Cocchi, F., Stratta, P., Vita, A., Rossi, A., &amp; Smeraldi, E. (2009). Computer-aided neurocognitive remediation as an </w:t>
      </w:r>
      <w:r w:rsidRPr="005B38F0">
        <w:rPr>
          <w:rFonts w:ascii="Times New Roman" w:eastAsia="Times New Roman" w:hAnsi="Times New Roman" w:cs="Times New Roman"/>
          <w:sz w:val="24"/>
          <w:szCs w:val="24"/>
        </w:rPr>
        <w:lastRenderedPageBreak/>
        <w:t xml:space="preserve">enhancing strategy for schizophrenia rehabilitation.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169</w:t>
      </w:r>
      <w:r w:rsidRPr="005B38F0">
        <w:rPr>
          <w:rFonts w:ascii="Times New Roman" w:eastAsia="Times New Roman" w:hAnsi="Times New Roman" w:cs="Times New Roman"/>
          <w:sz w:val="24"/>
          <w:szCs w:val="24"/>
        </w:rPr>
        <w:t xml:space="preserve">(3), 191–196. </w:t>
      </w:r>
      <w:hyperlink r:id="rId908" w:history="1">
        <w:r w:rsidRPr="005B38F0">
          <w:rPr>
            <w:rFonts w:ascii="Times New Roman" w:eastAsia="Times New Roman" w:hAnsi="Times New Roman" w:cs="Times New Roman"/>
            <w:color w:val="0000FF"/>
            <w:sz w:val="24"/>
            <w:szCs w:val="24"/>
            <w:u w:val="single"/>
          </w:rPr>
          <w:t>https://doi.org/10.1016/j.psychres.2008.06.027</w:t>
        </w:r>
      </w:hyperlink>
    </w:p>
    <w:p w14:paraId="539E3A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Cavallaro, R., Cavedini, P., Mistretta, P., Bassi, T., Angelone, S. M., Ubbiali, A., &amp; Bellodi, L. (2003). Basal-Corticofrontal Circuits in Schizophrenia and Obsessive-Compulsive Disorder: A Controlled, Double Dissociation Study.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54</w:t>
      </w:r>
      <w:r w:rsidRPr="005B38F0">
        <w:rPr>
          <w:rFonts w:ascii="Times New Roman" w:eastAsia="Times New Roman" w:hAnsi="Times New Roman" w:cs="Times New Roman"/>
          <w:sz w:val="24"/>
          <w:szCs w:val="24"/>
        </w:rPr>
        <w:t xml:space="preserve">(4), 437–443. </w:t>
      </w:r>
      <w:hyperlink r:id="rId909" w:history="1">
        <w:r w:rsidRPr="005B38F0">
          <w:rPr>
            <w:rFonts w:ascii="Times New Roman" w:eastAsia="Times New Roman" w:hAnsi="Times New Roman" w:cs="Times New Roman"/>
            <w:color w:val="0000FF"/>
            <w:sz w:val="24"/>
            <w:szCs w:val="24"/>
            <w:u w:val="single"/>
          </w:rPr>
          <w:t>https://doi.org/10.1016/S0006-3223(02)01814-0</w:t>
        </w:r>
      </w:hyperlink>
    </w:p>
    <w:p w14:paraId="784497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Cavatorta, C., Meroni, S., Montin, E., Oprandi, M. C., Pecori, E., Lecchi, M., Diletto, B., Alessandro, O., Peruzzo, D., Biassoni, V., Schiavello, E., Bologna, M., Massimino, M., Poggi, G., Mainardi, L., Arrigoni, F., Spreafico, F., Verderio, P., Pignoli, E., &amp; Gandola, L. (2021). Retrospective study of late radiation-induced damages after focal radiotherapy for childhood brain tumors.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(2). </w:t>
      </w:r>
      <w:hyperlink r:id="rId910" w:history="1">
        <w:r w:rsidRPr="005B38F0">
          <w:rPr>
            <w:rFonts w:ascii="Times New Roman" w:eastAsia="Times New Roman" w:hAnsi="Times New Roman" w:cs="Times New Roman"/>
            <w:color w:val="0000FF"/>
            <w:sz w:val="24"/>
            <w:szCs w:val="24"/>
            <w:u w:val="single"/>
          </w:rPr>
          <w:t>https://doi.org/10.1371/journal.pone.0247748</w:t>
        </w:r>
      </w:hyperlink>
    </w:p>
    <w:p w14:paraId="7A68C5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Cavedini, P., Bassi, T., Ubbiali, A., Casolari, A., Giordani, S., Zorzi, C., &amp; Bellodi, L. (2004). Neuropsychological investigation of decision-making in anorexia nervosa.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(3), 259–266. </w:t>
      </w:r>
      <w:hyperlink r:id="rId911" w:history="1">
        <w:r w:rsidRPr="005B38F0">
          <w:rPr>
            <w:rFonts w:ascii="Times New Roman" w:eastAsia="Times New Roman" w:hAnsi="Times New Roman" w:cs="Times New Roman"/>
            <w:color w:val="0000FF"/>
            <w:sz w:val="24"/>
            <w:szCs w:val="24"/>
            <w:u w:val="single"/>
          </w:rPr>
          <w:t>https://doi.org/10.1016/j.psychres.2004.03.012</w:t>
        </w:r>
      </w:hyperlink>
    </w:p>
    <w:p w14:paraId="20749B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Cavedini, P., Bassi, T., Zorzi, C., &amp; Bellodi, L. (2004). The Advantages of Choosing Antiobsessive Therapy According to Decision-Making Functioning.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(6), 628–631. </w:t>
      </w:r>
      <w:hyperlink r:id="rId912" w:history="1">
        <w:r w:rsidRPr="005B38F0">
          <w:rPr>
            <w:rFonts w:ascii="Times New Roman" w:eastAsia="Times New Roman" w:hAnsi="Times New Roman" w:cs="Times New Roman"/>
            <w:color w:val="0000FF"/>
            <w:sz w:val="24"/>
            <w:szCs w:val="24"/>
            <w:u w:val="single"/>
          </w:rPr>
          <w:t>https://doi.org/10.1097/01.jcp.0000144889.51072.03</w:t>
        </w:r>
      </w:hyperlink>
    </w:p>
    <w:p w14:paraId="3486D7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Cavedini, P., Zorzi, C., Piccinni, M., Cavallini, M. C., &amp; Bellodi, L. (2010). Executive dysfunctions in obsessive-compulsive patients and unaffected relatives: Searching for a new intermediate phenotype.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(12), 1178–1184. </w:t>
      </w:r>
      <w:hyperlink r:id="rId913" w:history="1">
        <w:r w:rsidRPr="005B38F0">
          <w:rPr>
            <w:rFonts w:ascii="Times New Roman" w:eastAsia="Times New Roman" w:hAnsi="Times New Roman" w:cs="Times New Roman"/>
            <w:color w:val="0000FF"/>
            <w:sz w:val="24"/>
            <w:szCs w:val="24"/>
            <w:u w:val="single"/>
          </w:rPr>
          <w:t>https://doi.org/10.1016/j.biopsych.2010.02.012</w:t>
        </w:r>
      </w:hyperlink>
    </w:p>
    <w:p w14:paraId="33FCCA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Cazalis, F., Feydy, A., Valabrègue, R., Pélégrini-Issac, M., Pierot, L., &amp; Azouvi, P. (2006). FMRI study of problem-solving after severe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(10), 1019–1028. </w:t>
      </w:r>
      <w:hyperlink r:id="rId914" w:history="1">
        <w:r w:rsidRPr="005B38F0">
          <w:rPr>
            <w:rFonts w:ascii="Times New Roman" w:eastAsia="Times New Roman" w:hAnsi="Times New Roman" w:cs="Times New Roman"/>
            <w:color w:val="0000FF"/>
            <w:sz w:val="24"/>
            <w:szCs w:val="24"/>
            <w:u w:val="single"/>
          </w:rPr>
          <w:t>https://doi.org/10.1080/02699050600664384</w:t>
        </w:r>
      </w:hyperlink>
    </w:p>
    <w:p w14:paraId="03F754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Ceccarelli, F., Perricone, C., Pirone, C., Massaro, L., Alessandri, C., Mina, C., Marianetti, M., Spinelli, F. R., Valesini, G., &amp; Conti, F. (2018). Cognitive dysfunction improves in systemic lupus erythematosus: Results of a 10 years prospective study.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(5). </w:t>
      </w:r>
      <w:hyperlink r:id="rId915" w:history="1">
        <w:r w:rsidRPr="005B38F0">
          <w:rPr>
            <w:rFonts w:ascii="Times New Roman" w:eastAsia="Times New Roman" w:hAnsi="Times New Roman" w:cs="Times New Roman"/>
            <w:color w:val="0000FF"/>
            <w:sz w:val="24"/>
            <w:szCs w:val="24"/>
            <w:u w:val="single"/>
          </w:rPr>
          <w:t>https://doi.org/10.1371/journal.pone.0196103</w:t>
        </w:r>
      </w:hyperlink>
    </w:p>
    <w:p w14:paraId="425FE8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Bishara, A. J., Medin, E., Swan, S., Reeder, C., &amp; Wykes, T. (2014). Identifying cognitive remediation change through computational modelling—Effects on reinforcement learning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(6), 1422–1432. </w:t>
      </w:r>
      <w:hyperlink r:id="rId916" w:history="1">
        <w:r w:rsidRPr="005B38F0">
          <w:rPr>
            <w:rFonts w:ascii="Times New Roman" w:eastAsia="Times New Roman" w:hAnsi="Times New Roman" w:cs="Times New Roman"/>
            <w:color w:val="0000FF"/>
            <w:sz w:val="24"/>
            <w:szCs w:val="24"/>
            <w:u w:val="single"/>
          </w:rPr>
          <w:t>https://doi.org/10.1093/schbul/sbt152</w:t>
        </w:r>
      </w:hyperlink>
    </w:p>
    <w:p w14:paraId="746C89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Edwards, C., Swan, S., Elliot, K., Reeder, C., &amp; Wykes, T. (2019). Exploring the effects of cognitive remediation on metacognition in people with schizophrenia. </w:t>
      </w:r>
      <w:r w:rsidRPr="005B38F0">
        <w:rPr>
          <w:rFonts w:ascii="Times New Roman" w:eastAsia="Times New Roman" w:hAnsi="Times New Roman" w:cs="Times New Roman"/>
          <w:i/>
          <w:iCs/>
          <w:sz w:val="24"/>
          <w:szCs w:val="24"/>
        </w:rPr>
        <w:t>Journal of Experimental 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w:t>
      </w:r>
      <w:hyperlink r:id="rId917" w:history="1">
        <w:r w:rsidRPr="005B38F0">
          <w:rPr>
            <w:rFonts w:ascii="Times New Roman" w:eastAsia="Times New Roman" w:hAnsi="Times New Roman" w:cs="Times New Roman"/>
            <w:color w:val="0000FF"/>
            <w:sz w:val="24"/>
            <w:szCs w:val="24"/>
            <w:u w:val="single"/>
          </w:rPr>
          <w:t>https://doi.org/10.1177/2043808719826846</w:t>
        </w:r>
      </w:hyperlink>
    </w:p>
    <w:p w14:paraId="02DE67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Huddy, V., Reeder, C., &amp; Wykes, T. (2012). Cognitive remediation therapy for schizophrenia. </w:t>
      </w:r>
      <w:r w:rsidRPr="005B38F0">
        <w:rPr>
          <w:rFonts w:ascii="Times New Roman" w:eastAsia="Times New Roman" w:hAnsi="Times New Roman" w:cs="Times New Roman"/>
          <w:i/>
          <w:iCs/>
          <w:sz w:val="24"/>
          <w:szCs w:val="24"/>
        </w:rPr>
        <w:t>Minerva Psichiatrica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(3), 185–196.</w:t>
      </w:r>
    </w:p>
    <w:p w14:paraId="2938C55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Reeder, C., &amp; Wykes, T. (2014). It is all in the factors: Effects of cognitive remediation on symptom dimensions.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156</w:t>
      </w:r>
      <w:r w:rsidRPr="005B38F0">
        <w:rPr>
          <w:rFonts w:ascii="Times New Roman" w:eastAsia="Times New Roman" w:hAnsi="Times New Roman" w:cs="Times New Roman"/>
          <w:sz w:val="24"/>
          <w:szCs w:val="24"/>
        </w:rPr>
        <w:t xml:space="preserve">(1), 60–62. </w:t>
      </w:r>
      <w:hyperlink r:id="rId918" w:history="1">
        <w:r w:rsidRPr="005B38F0">
          <w:rPr>
            <w:rFonts w:ascii="Times New Roman" w:eastAsia="Times New Roman" w:hAnsi="Times New Roman" w:cs="Times New Roman"/>
            <w:color w:val="0000FF"/>
            <w:sz w:val="24"/>
            <w:szCs w:val="24"/>
            <w:u w:val="single"/>
          </w:rPr>
          <w:t>https://doi.org/10.1016/j.schres.2014.03.032</w:t>
        </w:r>
      </w:hyperlink>
    </w:p>
    <w:p w14:paraId="01F6E7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Swan, S., Medin, E., Reeder, C., &amp; Wykes, T. (2014). Metacognitive awareness of cognitive problems in schizophrenia: Exploring the role of symptoms and self-esteem.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469–476. </w:t>
      </w:r>
      <w:hyperlink r:id="rId919" w:history="1">
        <w:r w:rsidRPr="005B38F0">
          <w:rPr>
            <w:rFonts w:ascii="Times New Roman" w:eastAsia="Times New Roman" w:hAnsi="Times New Roman" w:cs="Times New Roman"/>
            <w:color w:val="0000FF"/>
            <w:sz w:val="24"/>
            <w:szCs w:val="24"/>
            <w:u w:val="single"/>
          </w:rPr>
          <w:t>https://doi.org/10.1017/S0033291713001189</w:t>
        </w:r>
      </w:hyperlink>
    </w:p>
    <w:p w14:paraId="7810B5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Cella, M., &amp; Wykes, T. (2013). Understanding processing speed—Its subcomponents and their relationship to characteristics of people with schizophrenia. </w:t>
      </w:r>
      <w:r w:rsidRPr="005B38F0">
        <w:rPr>
          <w:rFonts w:ascii="Times New Roman" w:eastAsia="Times New Roman" w:hAnsi="Times New Roman" w:cs="Times New Roman"/>
          <w:i/>
          <w:iCs/>
          <w:sz w:val="24"/>
          <w:szCs w:val="24"/>
        </w:rPr>
        <w:t>Cognitive Neuropsychiatry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437–451. </w:t>
      </w:r>
      <w:hyperlink r:id="rId920" w:history="1">
        <w:r w:rsidRPr="005B38F0">
          <w:rPr>
            <w:rFonts w:ascii="Times New Roman" w:eastAsia="Times New Roman" w:hAnsi="Times New Roman" w:cs="Times New Roman"/>
            <w:color w:val="0000FF"/>
            <w:sz w:val="24"/>
            <w:szCs w:val="24"/>
            <w:u w:val="single"/>
          </w:rPr>
          <w:t>https://doi.org/10.1080/13546805.2012.730038</w:t>
        </w:r>
      </w:hyperlink>
    </w:p>
    <w:p w14:paraId="341DE8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 M., &amp; Wykes, T. (2019). The nuts and bolts of cognitive remediation: Exploring how different training components relate to cognitive and functional gains.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203</w:t>
      </w:r>
      <w:r w:rsidRPr="005B38F0">
        <w:rPr>
          <w:rFonts w:ascii="Times New Roman" w:eastAsia="Times New Roman" w:hAnsi="Times New Roman" w:cs="Times New Roman"/>
          <w:sz w:val="24"/>
          <w:szCs w:val="24"/>
        </w:rPr>
        <w:t xml:space="preserve">, 12–16. </w:t>
      </w:r>
      <w:hyperlink r:id="rId921" w:history="1">
        <w:r w:rsidRPr="005B38F0">
          <w:rPr>
            <w:rFonts w:ascii="Times New Roman" w:eastAsia="Times New Roman" w:hAnsi="Times New Roman" w:cs="Times New Roman"/>
            <w:color w:val="0000FF"/>
            <w:sz w:val="24"/>
            <w:szCs w:val="24"/>
            <w:u w:val="single"/>
          </w:rPr>
          <w:t>https://doi.org/10.1016/j.schres.2017.09.012</w:t>
        </w:r>
      </w:hyperlink>
    </w:p>
    <w:p w14:paraId="7A7817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Cellard, C., Reeder, C., Paradis-Giroux, A.-A., Roy, M.-A., Gilbert, E., Ivers, H., Bouchard, R.-H., Maziade, M., &amp; Wykes, T. (2016). A feasibility study of a new computerised cognitive remediation for young adults with schizophrenia.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321–344. </w:t>
      </w:r>
      <w:hyperlink r:id="rId922" w:history="1">
        <w:r w:rsidRPr="005B38F0">
          <w:rPr>
            <w:rFonts w:ascii="Times New Roman" w:eastAsia="Times New Roman" w:hAnsi="Times New Roman" w:cs="Times New Roman"/>
            <w:color w:val="0000FF"/>
            <w:sz w:val="24"/>
            <w:szCs w:val="24"/>
            <w:u w:val="single"/>
          </w:rPr>
          <w:t>https://doi.org/10.1080/09602011.2015.1019891</w:t>
        </w:r>
      </w:hyperlink>
    </w:p>
    <w:p w14:paraId="6C1911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Celone, K. A., Thompson-Brenner, H., Ross, R. S., Pratt, E. M., &amp; Stern, C. E. (2011). An fMRI investigation of the fronto-striatal learning system in women who exhibit eating disorder behaviors.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(3), 1749–1757. </w:t>
      </w:r>
      <w:hyperlink r:id="rId923" w:history="1">
        <w:r w:rsidRPr="005B38F0">
          <w:rPr>
            <w:rFonts w:ascii="Times New Roman" w:eastAsia="Times New Roman" w:hAnsi="Times New Roman" w:cs="Times New Roman"/>
            <w:color w:val="0000FF"/>
            <w:sz w:val="24"/>
            <w:szCs w:val="24"/>
            <w:u w:val="single"/>
          </w:rPr>
          <w:t>https://doi.org/10.1016/j.neuroimage.2011.03.026</w:t>
        </w:r>
      </w:hyperlink>
    </w:p>
    <w:p w14:paraId="18CB16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Cerami, C., Dodich, A., Iannaccone, S., Marcone, A., Lettieri, G., Crespi, C., Gianolli, L., Cappa, S. F., &amp; Perani, D. (2015). Right limbic FDG=PET hypometabolism correlates with emotion recognition and attribution in probable behavioral variant of frontotemporal dementia patients.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(10).</w:t>
      </w:r>
    </w:p>
    <w:p w14:paraId="422F8E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Cerasa, A., Cherubini, A., Quattrone, A., Gioia, M. C., Magariello, A., Muglia, M., Manna, I., Assogna, F., Caltagirone, C., &amp; Spalletta, G. (2010). Morphological correlates of MAO A VNTR polymorphism: New evidence from cortical thickness measurement. </w:t>
      </w:r>
      <w:r w:rsidRPr="005B38F0">
        <w:rPr>
          <w:rFonts w:ascii="Times New Roman" w:eastAsia="Times New Roman" w:hAnsi="Times New Roman" w:cs="Times New Roman"/>
          <w:i/>
          <w:iCs/>
          <w:sz w:val="24"/>
          <w:szCs w:val="24"/>
        </w:rPr>
        <w:t>Behavioural Brain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211</w:t>
      </w:r>
      <w:r w:rsidRPr="005B38F0">
        <w:rPr>
          <w:rFonts w:ascii="Times New Roman" w:eastAsia="Times New Roman" w:hAnsi="Times New Roman" w:cs="Times New Roman"/>
          <w:sz w:val="24"/>
          <w:szCs w:val="24"/>
        </w:rPr>
        <w:t xml:space="preserve">(1), 118–124. </w:t>
      </w:r>
      <w:hyperlink r:id="rId924" w:history="1">
        <w:r w:rsidRPr="005B38F0">
          <w:rPr>
            <w:rFonts w:ascii="Times New Roman" w:eastAsia="Times New Roman" w:hAnsi="Times New Roman" w:cs="Times New Roman"/>
            <w:color w:val="0000FF"/>
            <w:sz w:val="24"/>
            <w:szCs w:val="24"/>
            <w:u w:val="single"/>
          </w:rPr>
          <w:t>https://doi.org/10.1016/j.bbr.2010.03.021</w:t>
        </w:r>
      </w:hyperlink>
    </w:p>
    <w:p w14:paraId="358736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Cerasa, A., Quattrone, A., Gioia, M. C., Tarantino, P., Annesi, G., Assogna, F., Caltagirone, C., De Luca, V., &amp; Spalletta, G. (2011). Dysbindin C–A–T haplotype is associated with thicker medial orbitofrontal cortex in healthy population.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(2), 508–513. </w:t>
      </w:r>
      <w:hyperlink r:id="rId925" w:history="1">
        <w:r w:rsidRPr="005B38F0">
          <w:rPr>
            <w:rFonts w:ascii="Times New Roman" w:eastAsia="Times New Roman" w:hAnsi="Times New Roman" w:cs="Times New Roman"/>
            <w:color w:val="0000FF"/>
            <w:sz w:val="24"/>
            <w:szCs w:val="24"/>
            <w:u w:val="single"/>
          </w:rPr>
          <w:t>https://doi.org/10.1016/j.neuroimage.2010.12.042</w:t>
        </w:r>
      </w:hyperlink>
    </w:p>
    <w:p w14:paraId="1F3A24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Cercy, S. P. (2012). The Verbal Clock test: Preliminary validation of a brief, vision- and motor-free measure of executive function in a clinical sample.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(8), 1312–1341. </w:t>
      </w:r>
      <w:hyperlink r:id="rId926" w:history="1">
        <w:r w:rsidRPr="005B38F0">
          <w:rPr>
            <w:rFonts w:ascii="Times New Roman" w:eastAsia="Times New Roman" w:hAnsi="Times New Roman" w:cs="Times New Roman"/>
            <w:color w:val="0000FF"/>
            <w:sz w:val="24"/>
            <w:szCs w:val="24"/>
            <w:u w:val="single"/>
          </w:rPr>
          <w:t>https://doi.org/10.1080/13854046.2012.725100</w:t>
        </w:r>
      </w:hyperlink>
    </w:p>
    <w:p w14:paraId="14A197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Cercy, S. P., &amp; Bronson, B. (2010). Putative mechanisms of cognitive dysfunction in chemotherapy-naïve diffuse large B-cell lymphoma: A case report and review of the literature. </w:t>
      </w:r>
      <w:r w:rsidRPr="005B38F0">
        <w:rPr>
          <w:rFonts w:ascii="Times New Roman" w:eastAsia="Times New Roman" w:hAnsi="Times New Roman" w:cs="Times New Roman"/>
          <w:i/>
          <w:iCs/>
          <w:sz w:val="24"/>
          <w:szCs w:val="24"/>
        </w:rPr>
        <w:t>Applied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223–233. </w:t>
      </w:r>
      <w:hyperlink r:id="rId927" w:history="1">
        <w:r w:rsidRPr="005B38F0">
          <w:rPr>
            <w:rFonts w:ascii="Times New Roman" w:eastAsia="Times New Roman" w:hAnsi="Times New Roman" w:cs="Times New Roman"/>
            <w:color w:val="0000FF"/>
            <w:sz w:val="24"/>
            <w:szCs w:val="24"/>
            <w:u w:val="single"/>
          </w:rPr>
          <w:t>https://doi.org/10.1080/09084282.2010.499809</w:t>
        </w:r>
      </w:hyperlink>
    </w:p>
    <w:p w14:paraId="16474F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Cernich, A. N. (2002). </w:t>
      </w:r>
      <w:r w:rsidRPr="005B38F0">
        <w:rPr>
          <w:rFonts w:ascii="Times New Roman" w:eastAsia="Times New Roman" w:hAnsi="Times New Roman" w:cs="Times New Roman"/>
          <w:i/>
          <w:iCs/>
          <w:sz w:val="24"/>
          <w:szCs w:val="24"/>
        </w:rPr>
        <w:t>Predictors of post-injury substance use in traumatic brain injury: Neuropsychological and motivational variables.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(11-B), 5366–5366.</w:t>
      </w:r>
    </w:p>
    <w:p w14:paraId="48CA8E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Cerulla, N., Arcusa, À., Navarro, J.-B., de la Osa, N., Garolera, M., Enero, C., Chico, G., &amp; Fernández-Morales, L. (2019). Cognitive impairment following chemotherapy for breast cancer: The impact of practice effect on results.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(3), 290–299. </w:t>
      </w:r>
      <w:hyperlink r:id="rId928" w:history="1">
        <w:r w:rsidRPr="005B38F0">
          <w:rPr>
            <w:rFonts w:ascii="Times New Roman" w:eastAsia="Times New Roman" w:hAnsi="Times New Roman" w:cs="Times New Roman"/>
            <w:color w:val="0000FF"/>
            <w:sz w:val="24"/>
            <w:szCs w:val="24"/>
            <w:u w:val="single"/>
          </w:rPr>
          <w:t>https://doi.org/10.1080/13803395.2018.1546381</w:t>
        </w:r>
      </w:hyperlink>
    </w:p>
    <w:p w14:paraId="1DC9AE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Cervellione, K. L., Burdick, K. E., Cottone, J. G., Rhinewine, J. P., &amp; Kumra, S. (2007). Neurocognitive deficits in adolescents with schizophrenia: Longitudinal stability and predictive untility for short-term functional outcome. </w:t>
      </w:r>
      <w:r w:rsidRPr="005B38F0">
        <w:rPr>
          <w:rFonts w:ascii="Times New Roman" w:eastAsia="Times New Roman" w:hAnsi="Times New Roman" w:cs="Times New Roman"/>
          <w:i/>
          <w:iCs/>
          <w:sz w:val="24"/>
          <w:szCs w:val="24"/>
        </w:rPr>
        <w:t>Journal of the American Academy of Child &amp; Adolescent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(7), 867–878. </w:t>
      </w:r>
      <w:hyperlink r:id="rId929" w:history="1">
        <w:r w:rsidRPr="005B38F0">
          <w:rPr>
            <w:rFonts w:ascii="Times New Roman" w:eastAsia="Times New Roman" w:hAnsi="Times New Roman" w:cs="Times New Roman"/>
            <w:color w:val="0000FF"/>
            <w:sz w:val="24"/>
            <w:szCs w:val="24"/>
            <w:u w:val="single"/>
          </w:rPr>
          <w:t>https://doi.org/10.1097/chi.0b013e318054678d</w:t>
        </w:r>
      </w:hyperlink>
    </w:p>
    <w:p w14:paraId="5D4A64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Ceskova, E., Prikryl, R., Kucerova, H., &amp; Navratilova, P. (2007). Cognitive functioning in first-episode schizophrenic patients: A longitudinal study. In </w:t>
      </w:r>
      <w:r w:rsidRPr="005B38F0">
        <w:rPr>
          <w:rFonts w:ascii="Times New Roman" w:eastAsia="Times New Roman" w:hAnsi="Times New Roman" w:cs="Times New Roman"/>
          <w:i/>
          <w:iCs/>
          <w:sz w:val="24"/>
          <w:szCs w:val="24"/>
        </w:rPr>
        <w:t>Cognitive disorders research trends.</w:t>
      </w:r>
      <w:r w:rsidRPr="005B38F0">
        <w:rPr>
          <w:rFonts w:ascii="Times New Roman" w:eastAsia="Times New Roman" w:hAnsi="Times New Roman" w:cs="Times New Roman"/>
          <w:sz w:val="24"/>
          <w:szCs w:val="24"/>
        </w:rPr>
        <w:t xml:space="preserve"> (pp. 85–115). Nova Science Publishers.</w:t>
      </w:r>
    </w:p>
    <w:p w14:paraId="0A00EDE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Cevik, N., Koksal, A., Dogan, V. B., Dirican, A. C., Bayramoglu, S., Ozturk, M., &amp; Baybas, S. (2016). Evaluation of cognitive functions of juvenile myoclonic epileptic patients by magnetic resonance spectroscopy and neuropsychiatric cognitive tests concurrently.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623–627. </w:t>
      </w:r>
      <w:hyperlink r:id="rId930" w:history="1">
        <w:r w:rsidRPr="005B38F0">
          <w:rPr>
            <w:rFonts w:ascii="Times New Roman" w:eastAsia="Times New Roman" w:hAnsi="Times New Roman" w:cs="Times New Roman"/>
            <w:color w:val="0000FF"/>
            <w:sz w:val="24"/>
            <w:szCs w:val="24"/>
            <w:u w:val="single"/>
          </w:rPr>
          <w:t>https://doi.org/10.1007/s10072-015-2425-5</w:t>
        </w:r>
      </w:hyperlink>
    </w:p>
    <w:p w14:paraId="60B3D8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 Y.-J., &amp; Kim, H. (2013). Effect of computer-based cognitive rehabilitation (CBCR) for people with stroke: A systematic review and meta-analysis. </w:t>
      </w:r>
      <w:r w:rsidRPr="005B38F0">
        <w:rPr>
          <w:rFonts w:ascii="Times New Roman" w:eastAsia="Times New Roman" w:hAnsi="Times New Roman" w:cs="Times New Roman"/>
          <w:i/>
          <w:iCs/>
          <w:sz w:val="24"/>
          <w:szCs w:val="24"/>
        </w:rPr>
        <w:t>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(2), 359–368. </w:t>
      </w:r>
      <w:hyperlink r:id="rId931" w:history="1">
        <w:r w:rsidRPr="005B38F0">
          <w:rPr>
            <w:rFonts w:ascii="Times New Roman" w:eastAsia="Times New Roman" w:hAnsi="Times New Roman" w:cs="Times New Roman"/>
            <w:color w:val="0000FF"/>
            <w:sz w:val="24"/>
            <w:szCs w:val="24"/>
            <w:u w:val="single"/>
          </w:rPr>
          <w:t>https://doi.org/10.3233/NRE-130856</w:t>
        </w:r>
      </w:hyperlink>
    </w:p>
    <w:p w14:paraId="6E7E58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Chacoma, A., &amp; Zanette, D. H. (2015). Opinion formation by social influence: From experiments to modeling.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(10).</w:t>
      </w:r>
    </w:p>
    <w:p w14:paraId="001B74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Chamberlain, S. R., &amp; Fineberg, N. A. (2014). The neurobiology of obsessive-compulsive disorder. In </w:t>
      </w:r>
      <w:r w:rsidRPr="005B38F0">
        <w:rPr>
          <w:rFonts w:ascii="Times New Roman" w:eastAsia="Times New Roman" w:hAnsi="Times New Roman" w:cs="Times New Roman"/>
          <w:i/>
          <w:iCs/>
          <w:sz w:val="24"/>
          <w:szCs w:val="24"/>
        </w:rPr>
        <w:t>The Oxford handbook of cognitive neuroscience, Vol. 2: The cutting edges.</w:t>
      </w:r>
      <w:r w:rsidRPr="005B38F0">
        <w:rPr>
          <w:rFonts w:ascii="Times New Roman" w:eastAsia="Times New Roman" w:hAnsi="Times New Roman" w:cs="Times New Roman"/>
          <w:sz w:val="24"/>
          <w:szCs w:val="24"/>
        </w:rPr>
        <w:t xml:space="preserve"> (pp. 463–473). Oxford University Press.</w:t>
      </w:r>
    </w:p>
    <w:p w14:paraId="385BD1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Chamberlain, S. R., Leppink, E. W., Redden, S. A., &amp; Grant, J. E. (2016). Are obsessive–compulsive symptoms impulsive, compulsive or both?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 111–118. </w:t>
      </w:r>
      <w:hyperlink r:id="rId932" w:history="1">
        <w:r w:rsidRPr="005B38F0">
          <w:rPr>
            <w:rFonts w:ascii="Times New Roman" w:eastAsia="Times New Roman" w:hAnsi="Times New Roman" w:cs="Times New Roman"/>
            <w:color w:val="0000FF"/>
            <w:sz w:val="24"/>
            <w:szCs w:val="24"/>
            <w:u w:val="single"/>
          </w:rPr>
          <w:t>https://doi.org/10.1016/j.comppsych.2016.04.010</w:t>
        </w:r>
      </w:hyperlink>
    </w:p>
    <w:p w14:paraId="356EF8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Chamberlain, S. R., &amp; Robbins, T. W. (2013). Noradrenergic modulation of cognition: Therapeutic implications. </w:t>
      </w:r>
      <w:r w:rsidRPr="005B38F0">
        <w:rPr>
          <w:rFonts w:ascii="Times New Roman" w:eastAsia="Times New Roman" w:hAnsi="Times New Roman" w:cs="Times New Roman"/>
          <w:i/>
          <w:iCs/>
          <w:sz w:val="24"/>
          <w:szCs w:val="24"/>
        </w:rPr>
        <w:t>Journal of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(8), 694–718. </w:t>
      </w:r>
      <w:hyperlink r:id="rId933" w:history="1">
        <w:r w:rsidRPr="005B38F0">
          <w:rPr>
            <w:rFonts w:ascii="Times New Roman" w:eastAsia="Times New Roman" w:hAnsi="Times New Roman" w:cs="Times New Roman"/>
            <w:color w:val="0000FF"/>
            <w:sz w:val="24"/>
            <w:szCs w:val="24"/>
            <w:u w:val="single"/>
          </w:rPr>
          <w:t>https://doi.org/10.1177/0269881113480988</w:t>
        </w:r>
      </w:hyperlink>
    </w:p>
    <w:p w14:paraId="7D3F16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Chamelian, L., &amp; Feinstein, A. (2006). The effect of major depression on subjective and objective cognitive deficits in mild to moderate traumatic brain injury. </w:t>
      </w:r>
      <w:r w:rsidRPr="005B38F0">
        <w:rPr>
          <w:rFonts w:ascii="Times New Roman" w:eastAsia="Times New Roman" w:hAnsi="Times New Roman" w:cs="Times New Roman"/>
          <w:i/>
          <w:iCs/>
          <w:sz w:val="24"/>
          <w:szCs w:val="24"/>
        </w:rPr>
        <w:t xml:space="preserve">The Journal of </w:t>
      </w:r>
      <w:r w:rsidRPr="005B38F0">
        <w:rPr>
          <w:rFonts w:ascii="Times New Roman" w:eastAsia="Times New Roman" w:hAnsi="Times New Roman" w:cs="Times New Roman"/>
          <w:i/>
          <w:iCs/>
          <w:sz w:val="24"/>
          <w:szCs w:val="24"/>
        </w:rPr>
        <w:lastRenderedPageBreak/>
        <w:t>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 33–38. </w:t>
      </w:r>
      <w:hyperlink r:id="rId934" w:history="1">
        <w:r w:rsidRPr="005B38F0">
          <w:rPr>
            <w:rFonts w:ascii="Times New Roman" w:eastAsia="Times New Roman" w:hAnsi="Times New Roman" w:cs="Times New Roman"/>
            <w:color w:val="0000FF"/>
            <w:sz w:val="24"/>
            <w:szCs w:val="24"/>
            <w:u w:val="single"/>
          </w:rPr>
          <w:t>https://doi.org/10.1176/appi.neuropsych.18.1.33</w:t>
        </w:r>
      </w:hyperlink>
    </w:p>
    <w:p w14:paraId="785485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Chamelian, L., Reis, M., &amp; Feinstein, A. (2004). Six-month recovery from mild to moderate Traumatic Brain Injury: The role of APOE-ε4 allele.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127</w:t>
      </w:r>
      <w:r w:rsidRPr="005B38F0">
        <w:rPr>
          <w:rFonts w:ascii="Times New Roman" w:eastAsia="Times New Roman" w:hAnsi="Times New Roman" w:cs="Times New Roman"/>
          <w:sz w:val="24"/>
          <w:szCs w:val="24"/>
        </w:rPr>
        <w:t xml:space="preserve">(12), 2621–2628. </w:t>
      </w:r>
      <w:hyperlink r:id="rId935" w:history="1">
        <w:r w:rsidRPr="005B38F0">
          <w:rPr>
            <w:rFonts w:ascii="Times New Roman" w:eastAsia="Times New Roman" w:hAnsi="Times New Roman" w:cs="Times New Roman"/>
            <w:color w:val="0000FF"/>
            <w:sz w:val="24"/>
            <w:szCs w:val="24"/>
            <w:u w:val="single"/>
          </w:rPr>
          <w:t>https://doi.org/10.1093/brain/awh296</w:t>
        </w:r>
      </w:hyperlink>
    </w:p>
    <w:p w14:paraId="5DA06BE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Charest, A., Anselmo, K., Rodriguez, J.-P., &amp; Blouin, G. (2012). Theory of mind and context processing in schizophrenia: The role of cognitive flexibility.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(2–3), 184–192. </w:t>
      </w:r>
      <w:hyperlink r:id="rId936" w:history="1">
        <w:r w:rsidRPr="005B38F0">
          <w:rPr>
            <w:rFonts w:ascii="Times New Roman" w:eastAsia="Times New Roman" w:hAnsi="Times New Roman" w:cs="Times New Roman"/>
            <w:color w:val="0000FF"/>
            <w:sz w:val="24"/>
            <w:szCs w:val="24"/>
            <w:u w:val="single"/>
          </w:rPr>
          <w:t>https://doi.org/10.1016/j.psychres.2012.06.011</w:t>
        </w:r>
      </w:hyperlink>
    </w:p>
    <w:p w14:paraId="6E57E6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Cordonier, N., Bellmann, A., &amp; Fossard, M. (2018). Context processing during irony comprehension in right-frontal brain-damaged individuals. </w:t>
      </w:r>
      <w:r w:rsidRPr="005B38F0">
        <w:rPr>
          <w:rFonts w:ascii="Times New Roman" w:eastAsia="Times New Roman" w:hAnsi="Times New Roman" w:cs="Times New Roman"/>
          <w:i/>
          <w:iCs/>
          <w:sz w:val="24"/>
          <w:szCs w:val="24"/>
        </w:rPr>
        <w:t>Clinical Linguistics &amp; Phonetics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721–738. </w:t>
      </w:r>
      <w:hyperlink r:id="rId937" w:history="1">
        <w:r w:rsidRPr="005B38F0">
          <w:rPr>
            <w:rFonts w:ascii="Times New Roman" w:eastAsia="Times New Roman" w:hAnsi="Times New Roman" w:cs="Times New Roman"/>
            <w:color w:val="0000FF"/>
            <w:sz w:val="24"/>
            <w:szCs w:val="24"/>
            <w:u w:val="single"/>
          </w:rPr>
          <w:t>https://doi.org/10.1080/02699206.2018.1430851</w:t>
        </w:r>
      </w:hyperlink>
    </w:p>
    <w:p w14:paraId="3D2D642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&amp; Joanette, Y. (2009). Pragmatics, theory of mind and executive functions after a right-hemisphere lesion: Different patterns of deficits. </w:t>
      </w:r>
      <w:r w:rsidRPr="005B38F0">
        <w:rPr>
          <w:rFonts w:ascii="Times New Roman" w:eastAsia="Times New Roman" w:hAnsi="Times New Roman" w:cs="Times New Roman"/>
          <w:i/>
          <w:iCs/>
          <w:sz w:val="24"/>
          <w:szCs w:val="24"/>
        </w:rPr>
        <w:t>Journal of Neurolinguistics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413–426. </w:t>
      </w:r>
      <w:hyperlink r:id="rId938" w:history="1">
        <w:r w:rsidRPr="005B38F0">
          <w:rPr>
            <w:rFonts w:ascii="Times New Roman" w:eastAsia="Times New Roman" w:hAnsi="Times New Roman" w:cs="Times New Roman"/>
            <w:color w:val="0000FF"/>
            <w:sz w:val="24"/>
            <w:szCs w:val="24"/>
            <w:u w:val="single"/>
          </w:rPr>
          <w:t>https://doi.org/10.1016/j.jneuroling.2009.02.002</w:t>
        </w:r>
      </w:hyperlink>
    </w:p>
    <w:p w14:paraId="116771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Champagne-Lavau, M., &amp; Stip, E. (2010). Pragmatic and executive dysfunction in schizophrenia. </w:t>
      </w:r>
      <w:r w:rsidRPr="005B38F0">
        <w:rPr>
          <w:rFonts w:ascii="Times New Roman" w:eastAsia="Times New Roman" w:hAnsi="Times New Roman" w:cs="Times New Roman"/>
          <w:i/>
          <w:iCs/>
          <w:sz w:val="24"/>
          <w:szCs w:val="24"/>
        </w:rPr>
        <w:t>Journal of Neurolinguistics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(3), 285–296. </w:t>
      </w:r>
      <w:hyperlink r:id="rId939" w:history="1">
        <w:r w:rsidRPr="005B38F0">
          <w:rPr>
            <w:rFonts w:ascii="Times New Roman" w:eastAsia="Times New Roman" w:hAnsi="Times New Roman" w:cs="Times New Roman"/>
            <w:color w:val="0000FF"/>
            <w:sz w:val="24"/>
            <w:szCs w:val="24"/>
            <w:u w:val="single"/>
          </w:rPr>
          <w:t>https://doi.org/10.1016/j.jneuroling.2009.08.009</w:t>
        </w:r>
      </w:hyperlink>
    </w:p>
    <w:p w14:paraId="48744C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A. S., Leung, W. W., &amp; Cheung, M.-C. (2011). Neuropsychology in China. </w:t>
      </w:r>
      <w:r w:rsidRPr="005B38F0">
        <w:rPr>
          <w:rFonts w:ascii="Times New Roman" w:eastAsia="Times New Roman" w:hAnsi="Times New Roman" w:cs="Times New Roman"/>
          <w:i/>
          <w:iCs/>
          <w:sz w:val="24"/>
          <w:szCs w:val="24"/>
        </w:rPr>
        <w:t>The Neuropsychology of Asian Americans.</w:t>
      </w:r>
      <w:r w:rsidRPr="005B38F0">
        <w:rPr>
          <w:rFonts w:ascii="Times New Roman" w:eastAsia="Times New Roman" w:hAnsi="Times New Roman" w:cs="Times New Roman"/>
          <w:sz w:val="24"/>
          <w:szCs w:val="24"/>
        </w:rPr>
        <w:t>, 201–217.</w:t>
      </w:r>
    </w:p>
    <w:p w14:paraId="30BA17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J. C. K., &amp; Mcdermott, K. B. (2007). The effects of frontal lobe functioning and age on veridical and false recall. </w:t>
      </w:r>
      <w:r w:rsidRPr="005B38F0">
        <w:rPr>
          <w:rFonts w:ascii="Times New Roman" w:eastAsia="Times New Roman" w:hAnsi="Times New Roman" w:cs="Times New Roman"/>
          <w:i/>
          <w:iCs/>
          <w:sz w:val="24"/>
          <w:szCs w:val="24"/>
        </w:rPr>
        <w:t>Psychonomic Bulletin &amp;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(4), 606–611. </w:t>
      </w:r>
      <w:hyperlink r:id="rId940" w:history="1">
        <w:r w:rsidRPr="005B38F0">
          <w:rPr>
            <w:rFonts w:ascii="Times New Roman" w:eastAsia="Times New Roman" w:hAnsi="Times New Roman" w:cs="Times New Roman"/>
            <w:color w:val="0000FF"/>
            <w:sz w:val="24"/>
            <w:szCs w:val="24"/>
            <w:u w:val="single"/>
          </w:rPr>
          <w:t>https://doi.org/10.3758/BF03196809</w:t>
        </w:r>
      </w:hyperlink>
    </w:p>
    <w:p w14:paraId="6E1F57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Chan, K. K. S., &amp; Mak, W. W. S. (2012). Shared decision making in the recovery of people with schizophrenia: The role of metacognitive capacities in insight and pragmatic language use. </w:t>
      </w:r>
      <w:r w:rsidRPr="005B38F0">
        <w:rPr>
          <w:rFonts w:ascii="Times New Roman" w:eastAsia="Times New Roman" w:hAnsi="Times New Roman" w:cs="Times New Roman"/>
          <w:i/>
          <w:iCs/>
          <w:sz w:val="24"/>
          <w:szCs w:val="24"/>
        </w:rPr>
        <w:t>Clinical Psychology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(6), 535–544. </w:t>
      </w:r>
      <w:hyperlink r:id="rId941" w:history="1">
        <w:r w:rsidRPr="005B38F0">
          <w:rPr>
            <w:rFonts w:ascii="Times New Roman" w:eastAsia="Times New Roman" w:hAnsi="Times New Roman" w:cs="Times New Roman"/>
            <w:color w:val="0000FF"/>
            <w:sz w:val="24"/>
            <w:szCs w:val="24"/>
            <w:u w:val="single"/>
          </w:rPr>
          <w:t>https://doi.org/10.1016/j.cpr.2012.06.001</w:t>
        </w:r>
      </w:hyperlink>
    </w:p>
    <w:p w14:paraId="4366E8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K. K. S., Xu, J. Q., Liu, K. C. M., Hui, C. L. M., Wong, G. H. Y., &amp; Chen, E. Y. H. (2012). Executive function in first-episode schizophrenia: A three-year prospective study of the Hayling Sentence Completion Test.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135</w:t>
      </w:r>
      <w:r w:rsidRPr="005B38F0">
        <w:rPr>
          <w:rFonts w:ascii="Times New Roman" w:eastAsia="Times New Roman" w:hAnsi="Times New Roman" w:cs="Times New Roman"/>
          <w:sz w:val="24"/>
          <w:szCs w:val="24"/>
        </w:rPr>
        <w:t xml:space="preserve">(1–3), 62–67. </w:t>
      </w:r>
      <w:hyperlink r:id="rId942" w:history="1">
        <w:r w:rsidRPr="005B38F0">
          <w:rPr>
            <w:rFonts w:ascii="Times New Roman" w:eastAsia="Times New Roman" w:hAnsi="Times New Roman" w:cs="Times New Roman"/>
            <w:color w:val="0000FF"/>
            <w:sz w:val="24"/>
            <w:szCs w:val="24"/>
            <w:u w:val="single"/>
          </w:rPr>
          <w:t>https://doi.org/10.1016/j.schres.2011.12.022</w:t>
        </w:r>
      </w:hyperlink>
    </w:p>
    <w:p w14:paraId="5DE876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Chen, E. Y. H., Cheung, E. F. C., Chen, R. Y. L., &amp; Cheung, H. K. (2006). The components of executive functioning in a cohort of patients with chronic schizophrenia: A multiple single-case study design.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(2–3), 173–189. </w:t>
      </w:r>
      <w:hyperlink r:id="rId943" w:history="1">
        <w:r w:rsidRPr="005B38F0">
          <w:rPr>
            <w:rFonts w:ascii="Times New Roman" w:eastAsia="Times New Roman" w:hAnsi="Times New Roman" w:cs="Times New Roman"/>
            <w:color w:val="0000FF"/>
            <w:sz w:val="24"/>
            <w:szCs w:val="24"/>
            <w:u w:val="single"/>
          </w:rPr>
          <w:t>https://doi.org/10.1016/j.schres.2005.08.011</w:t>
        </w:r>
      </w:hyperlink>
    </w:p>
    <w:p w14:paraId="3A18EB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Chen, E. Y. H., &amp; Law, C. W. (2006). Specific executive dysfunction in patients with first-episode medication-naïve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(1), 51–64. </w:t>
      </w:r>
      <w:hyperlink r:id="rId944" w:history="1">
        <w:r w:rsidRPr="005B38F0">
          <w:rPr>
            <w:rFonts w:ascii="Times New Roman" w:eastAsia="Times New Roman" w:hAnsi="Times New Roman" w:cs="Times New Roman"/>
            <w:color w:val="0000FF"/>
            <w:sz w:val="24"/>
            <w:szCs w:val="24"/>
            <w:u w:val="single"/>
          </w:rPr>
          <w:t>https://doi.org/10.1016/j.schres.2005.09.020</w:t>
        </w:r>
      </w:hyperlink>
    </w:p>
    <w:p w14:paraId="691D8C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Guo, M., Zou, X., Li, D., Hu, Z., &amp; Yang, B. (2006). Multitasking performance of Chinese children with ADHD.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(4), 575–579. </w:t>
      </w:r>
      <w:hyperlink r:id="rId945" w:history="1">
        <w:r w:rsidRPr="005B38F0">
          <w:rPr>
            <w:rFonts w:ascii="Times New Roman" w:eastAsia="Times New Roman" w:hAnsi="Times New Roman" w:cs="Times New Roman"/>
            <w:color w:val="0000FF"/>
            <w:sz w:val="24"/>
            <w:szCs w:val="24"/>
            <w:u w:val="single"/>
          </w:rPr>
          <w:t>https://doi.org/10.1017/S1355617706060693</w:t>
        </w:r>
      </w:hyperlink>
    </w:p>
    <w:p w14:paraId="2D919C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Hu, Z., Cui, J., Wang, Y., &amp; McAlonan, G. M. (2011). Social attribution in children with high functioning autism and Asperger syndrome: An exploratory study in the Chinese setting.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1538–1548. </w:t>
      </w:r>
      <w:hyperlink r:id="rId946" w:history="1">
        <w:r w:rsidRPr="005B38F0">
          <w:rPr>
            <w:rFonts w:ascii="Times New Roman" w:eastAsia="Times New Roman" w:hAnsi="Times New Roman" w:cs="Times New Roman"/>
            <w:color w:val="0000FF"/>
            <w:sz w:val="24"/>
            <w:szCs w:val="24"/>
            <w:u w:val="single"/>
          </w:rPr>
          <w:t>https://doi.org/10.1016/j.rasd.2011.02.017</w:t>
        </w:r>
      </w:hyperlink>
    </w:p>
    <w:p w14:paraId="46409B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McAlonan, G. M., Yang, B., Lin, L., Shum, D., &amp; Manschreck, T. C. (2010). Prevalence of neurological soft signs and their neuropsychological correlates in typically </w:t>
      </w:r>
      <w:r w:rsidRPr="005B38F0">
        <w:rPr>
          <w:rFonts w:ascii="Times New Roman" w:eastAsia="Times New Roman" w:hAnsi="Times New Roman" w:cs="Times New Roman"/>
          <w:sz w:val="24"/>
          <w:szCs w:val="24"/>
        </w:rPr>
        <w:lastRenderedPageBreak/>
        <w:t xml:space="preserve">developing Chinese children and Chinese children with ADHD.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(6), 698–711. </w:t>
      </w:r>
      <w:hyperlink r:id="rId947" w:history="1">
        <w:r w:rsidRPr="005B38F0">
          <w:rPr>
            <w:rFonts w:ascii="Times New Roman" w:eastAsia="Times New Roman" w:hAnsi="Times New Roman" w:cs="Times New Roman"/>
            <w:color w:val="0000FF"/>
            <w:sz w:val="24"/>
            <w:szCs w:val="24"/>
            <w:u w:val="single"/>
          </w:rPr>
          <w:t>https://doi.org/10.1080/87565641.2010.508552</w:t>
        </w:r>
      </w:hyperlink>
    </w:p>
    <w:p w14:paraId="37A61E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Deng, Y., Zhang, Y., Yiao, X., &amp; Zhang, C. (2008). The development of a Chinese equivalence version of Letter-Number Span Test.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112–121. </w:t>
      </w:r>
      <w:hyperlink r:id="rId948" w:history="1">
        <w:r w:rsidRPr="005B38F0">
          <w:rPr>
            <w:rFonts w:ascii="Times New Roman" w:eastAsia="Times New Roman" w:hAnsi="Times New Roman" w:cs="Times New Roman"/>
            <w:color w:val="0000FF"/>
            <w:sz w:val="24"/>
            <w:szCs w:val="24"/>
            <w:u w:val="single"/>
          </w:rPr>
          <w:t>https://doi.org/10.1080/13825580601025957</w:t>
        </w:r>
      </w:hyperlink>
    </w:p>
    <w:p w14:paraId="7AE8425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Ma, Z., Hong, X., Yuan, Y., Yu, X., Li, Z., Shum, D., &amp; Gong, Q.-Y. (2008). Objective measures of prospective memory do not correlate with subjective complaints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103</w:t>
      </w:r>
      <w:r w:rsidRPr="005B38F0">
        <w:rPr>
          <w:rFonts w:ascii="Times New Roman" w:eastAsia="Times New Roman" w:hAnsi="Times New Roman" w:cs="Times New Roman"/>
          <w:sz w:val="24"/>
          <w:szCs w:val="24"/>
        </w:rPr>
        <w:t xml:space="preserve">(1–3), 229–239. </w:t>
      </w:r>
      <w:hyperlink r:id="rId949" w:history="1">
        <w:r w:rsidRPr="005B38F0">
          <w:rPr>
            <w:rFonts w:ascii="Times New Roman" w:eastAsia="Times New Roman" w:hAnsi="Times New Roman" w:cs="Times New Roman"/>
            <w:color w:val="0000FF"/>
            <w:sz w:val="24"/>
            <w:szCs w:val="24"/>
            <w:u w:val="single"/>
          </w:rPr>
          <w:t>https://doi.org/10.1016/j.schres.2008.02.019</w:t>
        </w:r>
      </w:hyperlink>
    </w:p>
    <w:p w14:paraId="3B45A19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Wang, L., Chen, E. Y. H., Manschreck, T. C., Li, Z., Yu, X., &amp; Gong, Q. (2009). Neurological soft signs and their relationships to neurocognitive functions: A re-visit with the structural equation modeling design.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(12). </w:t>
      </w:r>
      <w:hyperlink r:id="rId950" w:history="1">
        <w:r w:rsidRPr="005B38F0">
          <w:rPr>
            <w:rFonts w:ascii="Times New Roman" w:eastAsia="Times New Roman" w:hAnsi="Times New Roman" w:cs="Times New Roman"/>
            <w:color w:val="0000FF"/>
            <w:sz w:val="24"/>
            <w:szCs w:val="24"/>
            <w:u w:val="single"/>
          </w:rPr>
          <w:t>https://doi.org/10.1371/journal.pone.0008469</w:t>
        </w:r>
      </w:hyperlink>
    </w:p>
    <w:p w14:paraId="7954776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Wang, Y., Yan, C., Song, L., Wang, Y., Shi, Y., Gong, Q., &amp; Cheung, E. F. C. (2011). Contribution of specific cognitive dysfunction to people with schizotypal personality.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186</w:t>
      </w:r>
      <w:r w:rsidRPr="005B38F0">
        <w:rPr>
          <w:rFonts w:ascii="Times New Roman" w:eastAsia="Times New Roman" w:hAnsi="Times New Roman" w:cs="Times New Roman"/>
          <w:sz w:val="24"/>
          <w:szCs w:val="24"/>
        </w:rPr>
        <w:t xml:space="preserve">(1), 71–75. </w:t>
      </w:r>
      <w:hyperlink r:id="rId951" w:history="1">
        <w:r w:rsidRPr="005B38F0">
          <w:rPr>
            <w:rFonts w:ascii="Times New Roman" w:eastAsia="Times New Roman" w:hAnsi="Times New Roman" w:cs="Times New Roman"/>
            <w:color w:val="0000FF"/>
            <w:sz w:val="24"/>
            <w:szCs w:val="24"/>
            <w:u w:val="single"/>
          </w:rPr>
          <w:t>https://doi.org/10.1016/j.psychres.2010.06.016</w:t>
        </w:r>
      </w:hyperlink>
    </w:p>
    <w:p w14:paraId="387616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R. C. K., Yan, C., Qing, Y.-H., Wang, Y., Wang, Y.-N., Ma, Z., Hong, X.-H., Li, Z.-J., Gong, Q.-Y., &amp; Yu, X. (2011). Subjective awareness of everyday dysexecutive behavior precedes ‘objective’ executive problems in schizotypy: A replication and extension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185</w:t>
      </w:r>
      <w:r w:rsidRPr="005B38F0">
        <w:rPr>
          <w:rFonts w:ascii="Times New Roman" w:eastAsia="Times New Roman" w:hAnsi="Times New Roman" w:cs="Times New Roman"/>
          <w:sz w:val="24"/>
          <w:szCs w:val="24"/>
        </w:rPr>
        <w:t xml:space="preserve">(3), 340–346. </w:t>
      </w:r>
      <w:hyperlink r:id="rId952" w:history="1">
        <w:r w:rsidRPr="005B38F0">
          <w:rPr>
            <w:rFonts w:ascii="Times New Roman" w:eastAsia="Times New Roman" w:hAnsi="Times New Roman" w:cs="Times New Roman"/>
            <w:color w:val="0000FF"/>
            <w:sz w:val="24"/>
            <w:szCs w:val="24"/>
            <w:u w:val="single"/>
          </w:rPr>
          <w:t>https://doi.org/10.1016/j.psychres.2010.06.009</w:t>
        </w:r>
      </w:hyperlink>
    </w:p>
    <w:p w14:paraId="25534C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K. W., Chan, K. K. S., Hui, C. L., Wong, G. H. Y., Chang, W. C., Lee, E. H. M., Tang, J. Y. M., &amp; Chen, E. Y. H. (2014). Correlates of insight with symptomatology and executive </w:t>
      </w:r>
      <w:r w:rsidRPr="005B38F0">
        <w:rPr>
          <w:rFonts w:ascii="Times New Roman" w:eastAsia="Times New Roman" w:hAnsi="Times New Roman" w:cs="Times New Roman"/>
          <w:sz w:val="24"/>
          <w:szCs w:val="24"/>
        </w:rPr>
        <w:lastRenderedPageBreak/>
        <w:t xml:space="preserve">function in patients with first-episode schizophrenia-spectrum disorder: A longitudinal perspective.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216</w:t>
      </w:r>
      <w:r w:rsidRPr="005B38F0">
        <w:rPr>
          <w:rFonts w:ascii="Times New Roman" w:eastAsia="Times New Roman" w:hAnsi="Times New Roman" w:cs="Times New Roman"/>
          <w:sz w:val="24"/>
          <w:szCs w:val="24"/>
        </w:rPr>
        <w:t xml:space="preserve">(2), 177–184. </w:t>
      </w:r>
      <w:hyperlink r:id="rId953" w:history="1">
        <w:r w:rsidRPr="005B38F0">
          <w:rPr>
            <w:rFonts w:ascii="Times New Roman" w:eastAsia="Times New Roman" w:hAnsi="Times New Roman" w:cs="Times New Roman"/>
            <w:color w:val="0000FF"/>
            <w:sz w:val="24"/>
            <w:szCs w:val="24"/>
            <w:u w:val="single"/>
          </w:rPr>
          <w:t>https://doi.org/10.1016/j.psychres.2013.11.028</w:t>
        </w:r>
      </w:hyperlink>
    </w:p>
    <w:p w14:paraId="07BC86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K. W., Chan, K. K. S., Lam, M. M. L., Chiu, C. P. Y., Hui, C. L. M., Wong, G. H. Y., Chang, W. C., &amp; Chen, E. Y. H. (2012). Clinical and cognitive correlates of insight in first-episode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135</w:t>
      </w:r>
      <w:r w:rsidRPr="005B38F0">
        <w:rPr>
          <w:rFonts w:ascii="Times New Roman" w:eastAsia="Times New Roman" w:hAnsi="Times New Roman" w:cs="Times New Roman"/>
          <w:sz w:val="24"/>
          <w:szCs w:val="24"/>
        </w:rPr>
        <w:t xml:space="preserve">(1–3), 40–45. </w:t>
      </w:r>
      <w:hyperlink r:id="rId954" w:history="1">
        <w:r w:rsidRPr="005B38F0">
          <w:rPr>
            <w:rFonts w:ascii="Times New Roman" w:eastAsia="Times New Roman" w:hAnsi="Times New Roman" w:cs="Times New Roman"/>
            <w:color w:val="0000FF"/>
            <w:sz w:val="24"/>
            <w:szCs w:val="24"/>
            <w:u w:val="single"/>
          </w:rPr>
          <w:t>https://doi.org/10.1016/j.schres.2011.12.013</w:t>
        </w:r>
      </w:hyperlink>
    </w:p>
    <w:p w14:paraId="6687B11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M. S., Chiu, F. K. H., &amp; Lam, C. W. L. (2006). Correlational study of the Chinese version of the executive interview (C-EXIT25) to other cognitive measures in a psychogeriatric population in Hong Kong Chinese.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(6), 535–541. </w:t>
      </w:r>
      <w:hyperlink r:id="rId955" w:history="1">
        <w:r w:rsidRPr="005B38F0">
          <w:rPr>
            <w:rFonts w:ascii="Times New Roman" w:eastAsia="Times New Roman" w:hAnsi="Times New Roman" w:cs="Times New Roman"/>
            <w:color w:val="0000FF"/>
            <w:sz w:val="24"/>
            <w:szCs w:val="24"/>
            <w:u w:val="single"/>
          </w:rPr>
          <w:t>https://doi.org/10.1002/gps.1521</w:t>
        </w:r>
      </w:hyperlink>
    </w:p>
    <w:p w14:paraId="7EA12D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 S. S. M., Li, C. H. M., Pang, S. L. K., Wong, C. S. M., Chiu, H. F. K., &amp; Lam, L. C. W. (2009). Optimal cut-off score on the Chinese version of Executive Interview (C-EXIT25) in a Hong Kong Chinese population. </w:t>
      </w:r>
      <w:r w:rsidRPr="005B38F0">
        <w:rPr>
          <w:rFonts w:ascii="Times New Roman" w:eastAsia="Times New Roman" w:hAnsi="Times New Roman" w:cs="Times New Roman"/>
          <w:i/>
          <w:iCs/>
          <w:sz w:val="24"/>
          <w:szCs w:val="24"/>
        </w:rPr>
        <w:t>Hong Kong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(3), 97–102.</w:t>
      </w:r>
    </w:p>
    <w:p w14:paraId="08567E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H. H., Lee, I. H., Gean, P. W., Lee, S.-Y., Chi, M. H., Yang, Y. K., Lu, R.-B., &amp; Chen, P. S. (2012). Treatment response and cognitive impairment in major depression: Association with C-reactive protein. </w:t>
      </w:r>
      <w:r w:rsidRPr="005B38F0">
        <w:rPr>
          <w:rFonts w:ascii="Times New Roman" w:eastAsia="Times New Roman" w:hAnsi="Times New Roman" w:cs="Times New Roman"/>
          <w:i/>
          <w:iCs/>
          <w:sz w:val="24"/>
          <w:szCs w:val="24"/>
        </w:rPr>
        <w:t>Brain, Behavior, and Immunity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90–95. </w:t>
      </w:r>
      <w:hyperlink r:id="rId956" w:history="1">
        <w:r w:rsidRPr="005B38F0">
          <w:rPr>
            <w:rFonts w:ascii="Times New Roman" w:eastAsia="Times New Roman" w:hAnsi="Times New Roman" w:cs="Times New Roman"/>
            <w:color w:val="0000FF"/>
            <w:sz w:val="24"/>
            <w:szCs w:val="24"/>
            <w:u w:val="single"/>
          </w:rPr>
          <w:t>https://doi.org/10.1016/j.bbi.2011.07.239</w:t>
        </w:r>
      </w:hyperlink>
    </w:p>
    <w:p w14:paraId="7950868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H.-J., Lane, H.-Y., &amp; Tsai, G. E. (2013). N-methyl-D-aspartate enhancing agents: A new class of novel antipsychotic drugs. In </w:t>
      </w:r>
      <w:r w:rsidRPr="005B38F0">
        <w:rPr>
          <w:rFonts w:ascii="Times New Roman" w:eastAsia="Times New Roman" w:hAnsi="Times New Roman" w:cs="Times New Roman"/>
          <w:i/>
          <w:iCs/>
          <w:sz w:val="24"/>
          <w:szCs w:val="24"/>
        </w:rPr>
        <w:t>Advances in psychology research, Vol. 96</w:t>
      </w:r>
      <w:r w:rsidRPr="005B38F0">
        <w:rPr>
          <w:rFonts w:ascii="Times New Roman" w:eastAsia="Times New Roman" w:hAnsi="Times New Roman" w:cs="Times New Roman"/>
          <w:sz w:val="24"/>
          <w:szCs w:val="24"/>
        </w:rPr>
        <w:t xml:space="preserve"> (pp. 97–144). Nova Biomedical Books.</w:t>
      </w:r>
    </w:p>
    <w:p w14:paraId="214655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Chang, H.-S., &amp; Gibson, J. M. (2011). The odd-even effect in Sudoku puzzles: Effects of working memory, aging, and experience. </w:t>
      </w:r>
      <w:r w:rsidRPr="005B38F0">
        <w:rPr>
          <w:rFonts w:ascii="Times New Roman" w:eastAsia="Times New Roman" w:hAnsi="Times New Roman" w:cs="Times New Roman"/>
          <w:i/>
          <w:iCs/>
          <w:sz w:val="24"/>
          <w:szCs w:val="24"/>
        </w:rPr>
        <w:t>The American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124</w:t>
      </w:r>
      <w:r w:rsidRPr="005B38F0">
        <w:rPr>
          <w:rFonts w:ascii="Times New Roman" w:eastAsia="Times New Roman" w:hAnsi="Times New Roman" w:cs="Times New Roman"/>
          <w:sz w:val="24"/>
          <w:szCs w:val="24"/>
        </w:rPr>
        <w:t xml:space="preserve">(3), 313–324. </w:t>
      </w:r>
      <w:hyperlink r:id="rId957" w:history="1">
        <w:r w:rsidRPr="005B38F0">
          <w:rPr>
            <w:rFonts w:ascii="Times New Roman" w:eastAsia="Times New Roman" w:hAnsi="Times New Roman" w:cs="Times New Roman"/>
            <w:color w:val="0000FF"/>
            <w:sz w:val="24"/>
            <w:szCs w:val="24"/>
            <w:u w:val="single"/>
          </w:rPr>
          <w:t>https://doi.org/10.5406/amerjpsyc.124.3.0313</w:t>
        </w:r>
      </w:hyperlink>
    </w:p>
    <w:p w14:paraId="22514C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M., Sun, L., Liu, X., Sun, W., Ji, M., Wang, Z., Wang, Y., &amp; You, X. (2015). Evaluation of relationship between GRM3 polymorphisms and cognitive function in schizophrenia of Han Chinese.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229</w:t>
      </w:r>
      <w:r w:rsidRPr="005B38F0">
        <w:rPr>
          <w:rFonts w:ascii="Times New Roman" w:eastAsia="Times New Roman" w:hAnsi="Times New Roman" w:cs="Times New Roman"/>
          <w:sz w:val="24"/>
          <w:szCs w:val="24"/>
        </w:rPr>
        <w:t xml:space="preserve">(3), 1043–1046. </w:t>
      </w:r>
      <w:hyperlink r:id="rId958" w:history="1">
        <w:r w:rsidRPr="005B38F0">
          <w:rPr>
            <w:rFonts w:ascii="Times New Roman" w:eastAsia="Times New Roman" w:hAnsi="Times New Roman" w:cs="Times New Roman"/>
            <w:color w:val="0000FF"/>
            <w:sz w:val="24"/>
            <w:szCs w:val="24"/>
            <w:u w:val="single"/>
          </w:rPr>
          <w:t>https://doi.org/10.1016/j.psychres.2015.06.012</w:t>
        </w:r>
      </w:hyperlink>
    </w:p>
    <w:p w14:paraId="23F379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M., Womer, F. Y., Edmiston, E. K., Bai, C., Zhou, Q., Jiang, X., Wei, S., Wei, Y., Ye, Y., Huang, H., He, Y., Xu, K., Tang, Y., &amp; Wang, F. (2018). Neurobiological commonalities and distinctions among three major psychiatric diagnostic categories: A structural MRI study.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(1), 65–74. </w:t>
      </w:r>
      <w:hyperlink r:id="rId959" w:history="1">
        <w:r w:rsidRPr="005B38F0">
          <w:rPr>
            <w:rFonts w:ascii="Times New Roman" w:eastAsia="Times New Roman" w:hAnsi="Times New Roman" w:cs="Times New Roman"/>
            <w:color w:val="0000FF"/>
            <w:sz w:val="24"/>
            <w:szCs w:val="24"/>
            <w:u w:val="single"/>
          </w:rPr>
          <w:t>https://doi.org/10.1093/schbul/sbx028</w:t>
        </w:r>
      </w:hyperlink>
    </w:p>
    <w:p w14:paraId="4E972B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S. W., O’Neill, J., &amp; Rosenberg, D. (2013a). Depressive disorders. In </w:t>
      </w:r>
      <w:r w:rsidRPr="005B38F0">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5B38F0">
        <w:rPr>
          <w:rFonts w:ascii="Times New Roman" w:eastAsia="Times New Roman" w:hAnsi="Times New Roman" w:cs="Times New Roman"/>
          <w:sz w:val="24"/>
          <w:szCs w:val="24"/>
        </w:rPr>
        <w:t xml:space="preserve"> (pp. 73–95). American Psychological Association. </w:t>
      </w:r>
      <w:hyperlink r:id="rId960" w:history="1">
        <w:r w:rsidRPr="005B38F0">
          <w:rPr>
            <w:rFonts w:ascii="Times New Roman" w:eastAsia="Times New Roman" w:hAnsi="Times New Roman" w:cs="Times New Roman"/>
            <w:color w:val="0000FF"/>
            <w:sz w:val="24"/>
            <w:szCs w:val="24"/>
            <w:u w:val="single"/>
          </w:rPr>
          <w:t>https://doi.org/10.1037/14091-004</w:t>
        </w:r>
      </w:hyperlink>
    </w:p>
    <w:p w14:paraId="185A0B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S. W., O’Neill, J., &amp; Rosenberg, D. (2013b). </w:t>
      </w:r>
      <w:r w:rsidRPr="005B38F0">
        <w:rPr>
          <w:rFonts w:ascii="Times New Roman" w:eastAsia="Times New Roman" w:hAnsi="Times New Roman" w:cs="Times New Roman"/>
          <w:i/>
          <w:iCs/>
          <w:sz w:val="24"/>
          <w:szCs w:val="24"/>
        </w:rPr>
        <w:t>Obsessive-compulsive disorder.</w:t>
      </w:r>
      <w:r w:rsidRPr="005B38F0">
        <w:rPr>
          <w:rFonts w:ascii="Times New Roman" w:eastAsia="Times New Roman" w:hAnsi="Times New Roman" w:cs="Times New Roman"/>
          <w:sz w:val="24"/>
          <w:szCs w:val="24"/>
        </w:rPr>
        <w:t xml:space="preserve"> (pp. 41–71).</w:t>
      </w:r>
    </w:p>
    <w:p w14:paraId="517704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T. G., Lee, I. H., Chang, C., Yang, Y. K., Huang, S. S., Chen, K. C., Wang, C. H., &amp; Chang, Y. (2011). Poorer Wisconsin Card-Sorting Test performance in healthy adults with higher positive and negative schizotypal traits. </w:t>
      </w:r>
      <w:r w:rsidRPr="005B38F0">
        <w:rPr>
          <w:rFonts w:ascii="Times New Roman" w:eastAsia="Times New Roman" w:hAnsi="Times New Roman" w:cs="Times New Roman"/>
          <w:i/>
          <w:iCs/>
          <w:sz w:val="24"/>
          <w:szCs w:val="24"/>
        </w:rPr>
        <w:t>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(6), 596–599. </w:t>
      </w:r>
      <w:hyperlink r:id="rId961" w:history="1">
        <w:r w:rsidRPr="005B38F0">
          <w:rPr>
            <w:rFonts w:ascii="Times New Roman" w:eastAsia="Times New Roman" w:hAnsi="Times New Roman" w:cs="Times New Roman"/>
            <w:color w:val="0000FF"/>
            <w:sz w:val="24"/>
            <w:szCs w:val="24"/>
            <w:u w:val="single"/>
          </w:rPr>
          <w:t>https://doi.org/10.1111/j.1440-1819.2011.02255.x</w:t>
        </w:r>
      </w:hyperlink>
    </w:p>
    <w:p w14:paraId="5DFBA4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Chang, W. C., Chan, T. C. W., Chiu, S. S., Hui, C. L. M., Chan, S. K. W., Lee, E. H. M., &amp; Chen, E. Y. H. (2015). Self-perceived cognitive functioning and its relationship with objective performance in first-episode schizophrenia: The Subjective Cognitive Impairment Scale.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42–50. </w:t>
      </w:r>
      <w:hyperlink r:id="rId962" w:history="1">
        <w:r w:rsidRPr="005B38F0">
          <w:rPr>
            <w:rFonts w:ascii="Times New Roman" w:eastAsia="Times New Roman" w:hAnsi="Times New Roman" w:cs="Times New Roman"/>
            <w:color w:val="0000FF"/>
            <w:sz w:val="24"/>
            <w:szCs w:val="24"/>
            <w:u w:val="single"/>
          </w:rPr>
          <w:t>https://doi.org/10.1016/j.comppsych.2014.10.004</w:t>
        </w:r>
      </w:hyperlink>
    </w:p>
    <w:p w14:paraId="19EAAC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Chen, E. S. M., Hui, C. L. M., Chan, S. K. W., Lee, E. H. M., &amp; Chen, E. Y. H. (2014). The relationships of suicidal ideation with symptoms, neurocognitive function, and psychological factors in patients with first-episode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157</w:t>
      </w:r>
      <w:r w:rsidRPr="005B38F0">
        <w:rPr>
          <w:rFonts w:ascii="Times New Roman" w:eastAsia="Times New Roman" w:hAnsi="Times New Roman" w:cs="Times New Roman"/>
          <w:sz w:val="24"/>
          <w:szCs w:val="24"/>
        </w:rPr>
        <w:t xml:space="preserve">(1–3), 12–18. </w:t>
      </w:r>
      <w:hyperlink r:id="rId963" w:history="1">
        <w:r w:rsidRPr="005B38F0">
          <w:rPr>
            <w:rFonts w:ascii="Times New Roman" w:eastAsia="Times New Roman" w:hAnsi="Times New Roman" w:cs="Times New Roman"/>
            <w:color w:val="0000FF"/>
            <w:sz w:val="24"/>
            <w:szCs w:val="24"/>
            <w:u w:val="single"/>
          </w:rPr>
          <w:t>https://doi.org/10.1016/j.schres.2014.06.009</w:t>
        </w:r>
      </w:hyperlink>
    </w:p>
    <w:p w14:paraId="5AECDC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Chan, S. K. W., Lee, E. H. M., Wong, G. H. Y., &amp; Chen, E. Y. H. (2014). Relationship between diminished expression and cognitive impairment in first-episode schizophrenia: A prospective three-year follow-up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152</w:t>
      </w:r>
      <w:r w:rsidRPr="005B38F0">
        <w:rPr>
          <w:rFonts w:ascii="Times New Roman" w:eastAsia="Times New Roman" w:hAnsi="Times New Roman" w:cs="Times New Roman"/>
          <w:sz w:val="24"/>
          <w:szCs w:val="24"/>
        </w:rPr>
        <w:t xml:space="preserve">(1), 146–151. </w:t>
      </w:r>
      <w:hyperlink r:id="rId964" w:history="1">
        <w:r w:rsidRPr="005B38F0">
          <w:rPr>
            <w:rFonts w:ascii="Times New Roman" w:eastAsia="Times New Roman" w:hAnsi="Times New Roman" w:cs="Times New Roman"/>
            <w:color w:val="0000FF"/>
            <w:sz w:val="24"/>
            <w:szCs w:val="24"/>
            <w:u w:val="single"/>
          </w:rPr>
          <w:t>https://doi.org/10.1016/j.schres.2013.11.027</w:t>
        </w:r>
      </w:hyperlink>
    </w:p>
    <w:p w14:paraId="4BCE2FF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Tang, J. Y. M., Wong, G. H. Y., Chan, S. K. W., Lee, E. H. M., &amp; Chen, E. Y. H. (2013). Impacts of duration of untreated psychosis on cognition and negative symptoms in first-episode schizophrenia: A 3-year prospective follow-up study.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(9), 1883–1893. </w:t>
      </w:r>
      <w:hyperlink r:id="rId965" w:history="1">
        <w:r w:rsidRPr="005B38F0">
          <w:rPr>
            <w:rFonts w:ascii="Times New Roman" w:eastAsia="Times New Roman" w:hAnsi="Times New Roman" w:cs="Times New Roman"/>
            <w:color w:val="0000FF"/>
            <w:sz w:val="24"/>
            <w:szCs w:val="24"/>
            <w:u w:val="single"/>
          </w:rPr>
          <w:t>https://doi.org/10.1017/S0033291712002838</w:t>
        </w:r>
      </w:hyperlink>
    </w:p>
    <w:p w14:paraId="4012738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Tang, J. Y. M., Wong, G. H. Y., Lam, M. M. L., Chan, S. K. W., &amp; Chen, E. Y. H. (2011). Persistent negative symptoms in first-episode schizophrenia: A prospective three-year follow-up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(1–3), 22–28. </w:t>
      </w:r>
      <w:hyperlink r:id="rId966" w:history="1">
        <w:r w:rsidRPr="005B38F0">
          <w:rPr>
            <w:rFonts w:ascii="Times New Roman" w:eastAsia="Times New Roman" w:hAnsi="Times New Roman" w:cs="Times New Roman"/>
            <w:color w:val="0000FF"/>
            <w:sz w:val="24"/>
            <w:szCs w:val="24"/>
            <w:u w:val="single"/>
          </w:rPr>
          <w:t>https://doi.org/10.1016/j.schres.2011.09.006</w:t>
        </w:r>
      </w:hyperlink>
    </w:p>
    <w:p w14:paraId="1EE65A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Hui, C. L. M., Wong, G. H. Y., Chan, S. K. W., Lee, E. H. M., &amp; Chen, E. Y. H. (2013). Symptomatic remission and cognitive impairment in first-episode schizophrenia: A </w:t>
      </w:r>
      <w:r w:rsidRPr="005B38F0">
        <w:rPr>
          <w:rFonts w:ascii="Times New Roman" w:eastAsia="Times New Roman" w:hAnsi="Times New Roman" w:cs="Times New Roman"/>
          <w:sz w:val="24"/>
          <w:szCs w:val="24"/>
        </w:rPr>
        <w:lastRenderedPageBreak/>
        <w:t xml:space="preserve">prospective 3-year follow-up study. </w:t>
      </w:r>
      <w:r w:rsidRPr="005B38F0">
        <w:rPr>
          <w:rFonts w:ascii="Times New Roman" w:eastAsia="Times New Roman" w:hAnsi="Times New Roman" w:cs="Times New Roman"/>
          <w:i/>
          <w:iCs/>
          <w:sz w:val="24"/>
          <w:szCs w:val="24"/>
        </w:rPr>
        <w:t>The Journal of Clinical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(11), e1046–e1053. </w:t>
      </w:r>
      <w:hyperlink r:id="rId967" w:history="1">
        <w:r w:rsidRPr="005B38F0">
          <w:rPr>
            <w:rFonts w:ascii="Times New Roman" w:eastAsia="Times New Roman" w:hAnsi="Times New Roman" w:cs="Times New Roman"/>
            <w:color w:val="0000FF"/>
            <w:sz w:val="24"/>
            <w:szCs w:val="24"/>
            <w:u w:val="single"/>
          </w:rPr>
          <w:t>https://doi.org/10.4088/JCP.13m08355</w:t>
        </w:r>
      </w:hyperlink>
    </w:p>
    <w:p w14:paraId="062CDD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Kwong, V. W. Y., Hui, C. L. M., Chan, S. K. W., Lee, E. H. M., &amp; Chen, E. Y. H. (2017). Relationship of amotivation to neurocognition, self-efficacy and functioning in first-episode psychosis: A structural equation modeling approach.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755–765. </w:t>
      </w:r>
      <w:hyperlink r:id="rId968" w:history="1">
        <w:r w:rsidRPr="005B38F0">
          <w:rPr>
            <w:rFonts w:ascii="Times New Roman" w:eastAsia="Times New Roman" w:hAnsi="Times New Roman" w:cs="Times New Roman"/>
            <w:color w:val="0000FF"/>
            <w:sz w:val="24"/>
            <w:szCs w:val="24"/>
            <w:u w:val="single"/>
          </w:rPr>
          <w:t>https://doi.org/10.1017/S0033291716003044</w:t>
        </w:r>
      </w:hyperlink>
    </w:p>
    <w:p w14:paraId="024D1C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Lau, C. F. C., Chan, S. S. I., Hui, C. L. M., Chan, S. K. W., Lee, E. H. M., Lin, J., &amp; Chen, E. Y. H. (2016). Premorbid, clinical and cognitive correlates of primary negative symptoms in first-episode psychosis.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242</w:t>
      </w:r>
      <w:r w:rsidRPr="005B38F0">
        <w:rPr>
          <w:rFonts w:ascii="Times New Roman" w:eastAsia="Times New Roman" w:hAnsi="Times New Roman" w:cs="Times New Roman"/>
          <w:sz w:val="24"/>
          <w:szCs w:val="24"/>
        </w:rPr>
        <w:t xml:space="preserve">, 144–149. </w:t>
      </w:r>
      <w:hyperlink r:id="rId969" w:history="1">
        <w:r w:rsidRPr="005B38F0">
          <w:rPr>
            <w:rFonts w:ascii="Times New Roman" w:eastAsia="Times New Roman" w:hAnsi="Times New Roman" w:cs="Times New Roman"/>
            <w:color w:val="0000FF"/>
            <w:sz w:val="24"/>
            <w:szCs w:val="24"/>
            <w:u w:val="single"/>
          </w:rPr>
          <w:t>https://doi.org/10.1016/j.psychres.2016.05.045</w:t>
        </w:r>
      </w:hyperlink>
    </w:p>
    <w:p w14:paraId="633959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Man Tang, J. Y., Hui, C. L. M., Hoi Yan Wong, G., Chan, S. K. W., Lee, E. H. M., &amp; Chen, E. Y. H. (2013). The relationship of early premorbid adjustment with negative symptoms and cognitive functions in first-episode schizophrenia: A prospective three-year follow-up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209</w:t>
      </w:r>
      <w:r w:rsidRPr="005B38F0">
        <w:rPr>
          <w:rFonts w:ascii="Times New Roman" w:eastAsia="Times New Roman" w:hAnsi="Times New Roman" w:cs="Times New Roman"/>
          <w:sz w:val="24"/>
          <w:szCs w:val="24"/>
        </w:rPr>
        <w:t xml:space="preserve">(3), 353–360. </w:t>
      </w:r>
      <w:hyperlink r:id="rId970" w:history="1">
        <w:r w:rsidRPr="005B38F0">
          <w:rPr>
            <w:rFonts w:ascii="Times New Roman" w:eastAsia="Times New Roman" w:hAnsi="Times New Roman" w:cs="Times New Roman"/>
            <w:color w:val="0000FF"/>
            <w:sz w:val="24"/>
            <w:szCs w:val="24"/>
            <w:u w:val="single"/>
          </w:rPr>
          <w:t>https://doi.org/10.1016/j.psychres.2013.02.014</w:t>
        </w:r>
      </w:hyperlink>
    </w:p>
    <w:p w14:paraId="2A19B1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W. C., Tang, J. Y. M., Hui, C. L. M., Chan, S. K. W., Lee, E. H. M., &amp; Chen, E. Y. H. (2014). Clinical and cognitive predictors of vocational outcome in first-episode schizophrenia: A prospective 3 year follow-up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220</w:t>
      </w:r>
      <w:r w:rsidRPr="005B38F0">
        <w:rPr>
          <w:rFonts w:ascii="Times New Roman" w:eastAsia="Times New Roman" w:hAnsi="Times New Roman" w:cs="Times New Roman"/>
          <w:sz w:val="24"/>
          <w:szCs w:val="24"/>
        </w:rPr>
        <w:t xml:space="preserve">(3), 834–839. </w:t>
      </w:r>
      <w:hyperlink r:id="rId971" w:history="1">
        <w:r w:rsidRPr="005B38F0">
          <w:rPr>
            <w:rFonts w:ascii="Times New Roman" w:eastAsia="Times New Roman" w:hAnsi="Times New Roman" w:cs="Times New Roman"/>
            <w:color w:val="0000FF"/>
            <w:sz w:val="24"/>
            <w:szCs w:val="24"/>
            <w:u w:val="single"/>
          </w:rPr>
          <w:t>https://doi.org/10.1016/j.psychres.2014.09.012</w:t>
        </w:r>
      </w:hyperlink>
    </w:p>
    <w:p w14:paraId="36B47B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 S., Wu, Y. H., Hsu, C. Y., Tang, S. H., Yang, L. L., &amp; Su, S. F. (2011). Impairment of perceptual and motor abilities at the end of a night shift is greater in nurses working fast rotating shifts. </w:t>
      </w:r>
      <w:r w:rsidRPr="005B38F0">
        <w:rPr>
          <w:rFonts w:ascii="Times New Roman" w:eastAsia="Times New Roman" w:hAnsi="Times New Roman" w:cs="Times New Roman"/>
          <w:i/>
          <w:iCs/>
          <w:sz w:val="24"/>
          <w:szCs w:val="24"/>
        </w:rPr>
        <w:t>Sleep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(9), 866–869. </w:t>
      </w:r>
      <w:hyperlink r:id="rId972" w:history="1">
        <w:r w:rsidRPr="005B38F0">
          <w:rPr>
            <w:rFonts w:ascii="Times New Roman" w:eastAsia="Times New Roman" w:hAnsi="Times New Roman" w:cs="Times New Roman"/>
            <w:color w:val="0000FF"/>
            <w:sz w:val="24"/>
            <w:szCs w:val="24"/>
            <w:u w:val="single"/>
          </w:rPr>
          <w:t>https://doi.org/10.1016/j.sleep.2011.03.018</w:t>
        </w:r>
      </w:hyperlink>
    </w:p>
    <w:p w14:paraId="44FB0F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Chang, Y.-H., Liu, M.-E., Huang, C.-C., Ku, Y.-C., Lee, S.-Y., Chen, S.-L., Liu, W.-C., &amp; Lu, R.-B. (2013). Cognitive performance in older elderly men with late-life depression and cardiovascular comorbidities: Symptomatological correlation. </w:t>
      </w:r>
      <w:r w:rsidRPr="005B38F0">
        <w:rPr>
          <w:rFonts w:ascii="Times New Roman" w:eastAsia="Times New Roman" w:hAnsi="Times New Roman" w:cs="Times New Roman"/>
          <w:i/>
          <w:iCs/>
          <w:sz w:val="24"/>
          <w:szCs w:val="24"/>
        </w:rPr>
        <w:t>Annals of General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w:t>
      </w:r>
    </w:p>
    <w:p w14:paraId="6E7C10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Y.-K. (2016). Acute exercise and event-related potential: Current status and future prospects. In </w:t>
      </w:r>
      <w:r w:rsidRPr="005B38F0">
        <w:rPr>
          <w:rFonts w:ascii="Times New Roman" w:eastAsia="Times New Roman" w:hAnsi="Times New Roman" w:cs="Times New Roman"/>
          <w:i/>
          <w:iCs/>
          <w:sz w:val="24"/>
          <w:szCs w:val="24"/>
        </w:rPr>
        <w:t>Exercise-cognition interaction: Neuroscience perspectives.</w:t>
      </w:r>
      <w:r w:rsidRPr="005B38F0">
        <w:rPr>
          <w:rFonts w:ascii="Times New Roman" w:eastAsia="Times New Roman" w:hAnsi="Times New Roman" w:cs="Times New Roman"/>
          <w:sz w:val="24"/>
          <w:szCs w:val="24"/>
        </w:rPr>
        <w:t xml:space="preserve"> (pp. 105–130). Elsevier Academic Press. </w:t>
      </w:r>
      <w:hyperlink r:id="rId973" w:history="1">
        <w:r w:rsidRPr="005B38F0">
          <w:rPr>
            <w:rFonts w:ascii="Times New Roman" w:eastAsia="Times New Roman" w:hAnsi="Times New Roman" w:cs="Times New Roman"/>
            <w:color w:val="0000FF"/>
            <w:sz w:val="24"/>
            <w:szCs w:val="24"/>
            <w:u w:val="single"/>
          </w:rPr>
          <w:t>https://doi.org/10.1016/B978-0-12-800778-5.00005-0</w:t>
        </w:r>
      </w:hyperlink>
    </w:p>
    <w:p w14:paraId="288294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Y.-K., Liu, S., Yu, H.-H., &amp; Lee, Y.-H. (2012). Effect of acute exercise on executive function in children with attention deficit hyperactivity disorder.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(2), 225–237.</w:t>
      </w:r>
    </w:p>
    <w:p w14:paraId="34918B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Y.-L., Chen, T.-F., Shih, Y.-C., Chiu, M.-J., Yan, S.-H., &amp; Tseng, W.-Y. I. (2015). Regional cingulum disruption, not gray matter atrophy, detects cognitive changes in amnestic mild cognitive impairment subtypes.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(1), 125–138.</w:t>
      </w:r>
    </w:p>
    <w:p w14:paraId="4EAB24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Y.-L., Yen, Y.-S., Chen, T.-F., Yan, S.-H., &amp; Tseng, W.-Y. I. (2016). Clinical dementia rating scale detects white matter changes in older adults at risk for Alzheimer’s disease.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 xml:space="preserve">(2), 411–423. </w:t>
      </w:r>
      <w:hyperlink r:id="rId974" w:history="1">
        <w:r w:rsidRPr="005B38F0">
          <w:rPr>
            <w:rFonts w:ascii="Times New Roman" w:eastAsia="Times New Roman" w:hAnsi="Times New Roman" w:cs="Times New Roman"/>
            <w:color w:val="0000FF"/>
            <w:sz w:val="24"/>
            <w:szCs w:val="24"/>
            <w:u w:val="single"/>
          </w:rPr>
          <w:t>https://doi.org/10.3233/JAD-150599</w:t>
        </w:r>
      </w:hyperlink>
    </w:p>
    <w:p w14:paraId="1698EE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Chen, H.-L., Hsu, C.-Y., Su, S.-F., Liu, C.-K., &amp; Hsu, C. (2013). Nurses working on fast rotating shifts overestimate cognitive function and the capacity of maintaining wakefulness during the daytime after a rotating shift. </w:t>
      </w:r>
      <w:r w:rsidRPr="005B38F0">
        <w:rPr>
          <w:rFonts w:ascii="Times New Roman" w:eastAsia="Times New Roman" w:hAnsi="Times New Roman" w:cs="Times New Roman"/>
          <w:i/>
          <w:iCs/>
          <w:sz w:val="24"/>
          <w:szCs w:val="24"/>
        </w:rPr>
        <w:t>Sleep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(7), 605–613. </w:t>
      </w:r>
      <w:hyperlink r:id="rId975" w:history="1">
        <w:r w:rsidRPr="005B38F0">
          <w:rPr>
            <w:rFonts w:ascii="Times New Roman" w:eastAsia="Times New Roman" w:hAnsi="Times New Roman" w:cs="Times New Roman"/>
            <w:color w:val="0000FF"/>
            <w:sz w:val="24"/>
            <w:szCs w:val="24"/>
            <w:u w:val="single"/>
          </w:rPr>
          <w:t>https://doi.org/10.1016/j.sleep.2013.03.011</w:t>
        </w:r>
      </w:hyperlink>
    </w:p>
    <w:p w14:paraId="040F12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Chang, Y.-S., Chen, H.-L., Wu, Y.-H., Hsu, C.-Y., Liu, C.-K., &amp; Hsu, C. (2014). Rotating night shifts too quickly may cause anxiety and decreased attentional performance, and impact prolactin levels during the subsequent day: A case control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w:t>
      </w:r>
    </w:p>
    <w:p w14:paraId="513B4B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Wu, Y.-H., Chen, H.-L., &amp; Hsu, C.-Y. (2017). Four night shifts have a degree of performance adaptation. </w:t>
      </w:r>
      <w:r w:rsidRPr="005B38F0">
        <w:rPr>
          <w:rFonts w:ascii="Times New Roman" w:eastAsia="Times New Roman" w:hAnsi="Times New Roman" w:cs="Times New Roman"/>
          <w:i/>
          <w:iCs/>
          <w:sz w:val="24"/>
          <w:szCs w:val="24"/>
        </w:rPr>
        <w:t>Human Factors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 xml:space="preserve">(6), 925–936. </w:t>
      </w:r>
      <w:hyperlink r:id="rId976" w:history="1">
        <w:r w:rsidRPr="005B38F0">
          <w:rPr>
            <w:rFonts w:ascii="Times New Roman" w:eastAsia="Times New Roman" w:hAnsi="Times New Roman" w:cs="Times New Roman"/>
            <w:color w:val="0000FF"/>
            <w:sz w:val="24"/>
            <w:szCs w:val="24"/>
            <w:u w:val="single"/>
          </w:rPr>
          <w:t>https://doi.org/10.1177/0018720817711285</w:t>
        </w:r>
      </w:hyperlink>
    </w:p>
    <w:p w14:paraId="6AD621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Wu, Y.-H., Chen, H.-L., &amp; Hsu, C.-Y. (2018). Is one day off sufficient for re-adaptation to a daytime routine after two consecutive nights of work? </w:t>
      </w:r>
      <w:r w:rsidRPr="005B38F0">
        <w:rPr>
          <w:rFonts w:ascii="Times New Roman" w:eastAsia="Times New Roman" w:hAnsi="Times New Roman" w:cs="Times New Roman"/>
          <w:i/>
          <w:iCs/>
          <w:sz w:val="24"/>
          <w:szCs w:val="24"/>
        </w:rPr>
        <w:t>Ergonomics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 162–168. </w:t>
      </w:r>
      <w:hyperlink r:id="rId977" w:history="1">
        <w:r w:rsidRPr="005B38F0">
          <w:rPr>
            <w:rFonts w:ascii="Times New Roman" w:eastAsia="Times New Roman" w:hAnsi="Times New Roman" w:cs="Times New Roman"/>
            <w:color w:val="0000FF"/>
            <w:sz w:val="24"/>
            <w:szCs w:val="24"/>
            <w:u w:val="single"/>
          </w:rPr>
          <w:t>https://doi.org/10.1080/00140139.2017.1330492</w:t>
        </w:r>
      </w:hyperlink>
    </w:p>
    <w:p w14:paraId="33D5C4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 Y.-S., Wu, Y.-H., Lu, M. R., Hsu, C.-Y., Liu, C.-K., &amp; Hsu, C. (2015). Did a brief nap break have positive benefits on information processing among nurses working on the first 8-h night shift? </w:t>
      </w:r>
      <w:r w:rsidRPr="005B38F0">
        <w:rPr>
          <w:rFonts w:ascii="Times New Roman" w:eastAsia="Times New Roman" w:hAnsi="Times New Roman" w:cs="Times New Roman"/>
          <w:i/>
          <w:iCs/>
          <w:sz w:val="24"/>
          <w:szCs w:val="24"/>
        </w:rPr>
        <w:t>Applied Ergonomics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 104–108. </w:t>
      </w:r>
      <w:hyperlink r:id="rId978" w:history="1">
        <w:r w:rsidRPr="005B38F0">
          <w:rPr>
            <w:rFonts w:ascii="Times New Roman" w:eastAsia="Times New Roman" w:hAnsi="Times New Roman" w:cs="Times New Roman"/>
            <w:color w:val="0000FF"/>
            <w:sz w:val="24"/>
            <w:szCs w:val="24"/>
            <w:u w:val="single"/>
          </w:rPr>
          <w:t>https://doi.org/10.1016/j.apergo.2014.11.005</w:t>
        </w:r>
      </w:hyperlink>
    </w:p>
    <w:p w14:paraId="2AEB00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Chang-Hong, W., Dong-Feng, Z., &amp; Zhen-Quan, G. (2006). The changes of cognitive functions, plasma cortisol and cytokines levels of depressed patients after treatment. [The changes of cognitive functions, plasma cortisol and cytokines levels of depressed patients after treatment.].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(7), 434–436.</w:t>
      </w:r>
    </w:p>
    <w:p w14:paraId="1484D1E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Channon, S. (1996). Executive dysfunction in depression: The Wisconsin Card Sorting Test.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(2), 107–114. </w:t>
      </w:r>
      <w:hyperlink r:id="rId979" w:history="1">
        <w:r w:rsidRPr="005B38F0">
          <w:rPr>
            <w:rFonts w:ascii="Times New Roman" w:eastAsia="Times New Roman" w:hAnsi="Times New Roman" w:cs="Times New Roman"/>
            <w:color w:val="0000FF"/>
            <w:sz w:val="24"/>
            <w:szCs w:val="24"/>
            <w:u w:val="single"/>
          </w:rPr>
          <w:t>https://doi.org/10.1016/0165-0327(96)00027-4</w:t>
        </w:r>
      </w:hyperlink>
    </w:p>
    <w:p w14:paraId="467526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Channon, S. (2004). Frontal lobe dysfunction and everyday problem-solving: Social and non-social contributions. </w:t>
      </w:r>
      <w:r w:rsidRPr="005B38F0">
        <w:rPr>
          <w:rFonts w:ascii="Times New Roman" w:eastAsia="Times New Roman" w:hAnsi="Times New Roman" w:cs="Times New Roman"/>
          <w:i/>
          <w:iCs/>
          <w:sz w:val="24"/>
          <w:szCs w:val="24"/>
        </w:rPr>
        <w:t>Acta Psychologica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115</w:t>
      </w:r>
      <w:r w:rsidRPr="005B38F0">
        <w:rPr>
          <w:rFonts w:ascii="Times New Roman" w:eastAsia="Times New Roman" w:hAnsi="Times New Roman" w:cs="Times New Roman"/>
          <w:sz w:val="24"/>
          <w:szCs w:val="24"/>
        </w:rPr>
        <w:t xml:space="preserve">(2–3), 235–254. </w:t>
      </w:r>
      <w:hyperlink r:id="rId980" w:history="1">
        <w:r w:rsidRPr="005B38F0">
          <w:rPr>
            <w:rFonts w:ascii="Times New Roman" w:eastAsia="Times New Roman" w:hAnsi="Times New Roman" w:cs="Times New Roman"/>
            <w:color w:val="0000FF"/>
            <w:sz w:val="24"/>
            <w:szCs w:val="24"/>
            <w:u w:val="single"/>
          </w:rPr>
          <w:t>https://doi.org/10.1016/j.actpsy.2003.12.008</w:t>
        </w:r>
      </w:hyperlink>
    </w:p>
    <w:p w14:paraId="174424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Channon, S., Sinclair, E., Waller, D., Healey, L., &amp; Robertson, M. M. (2004). Social Cognition in Tourette’s Syndrome: Intact Theory of Mind and Impaired Inhibitory Functioning.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(6), 669–677. </w:t>
      </w:r>
      <w:hyperlink r:id="rId981" w:history="1">
        <w:r w:rsidRPr="005B38F0">
          <w:rPr>
            <w:rFonts w:ascii="Times New Roman" w:eastAsia="Times New Roman" w:hAnsi="Times New Roman" w:cs="Times New Roman"/>
            <w:color w:val="0000FF"/>
            <w:sz w:val="24"/>
            <w:szCs w:val="24"/>
            <w:u w:val="single"/>
          </w:rPr>
          <w:t>https://doi.org/10.1007/s10803-004-5287-x</w:t>
        </w:r>
      </w:hyperlink>
    </w:p>
    <w:p w14:paraId="2C3016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Chanraud, S., Martelli, C., Delain, F., Kostogianni, N., Douaud, G., Aubin, H.-J., Reynaud, M., &amp; Martinot, J.-L. (2007). Brain Morphometry and Cognitive Performance in Detoxified Alcohol-Dependents with Preserved Psychosocial Functioning.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(2), 429–438. </w:t>
      </w:r>
      <w:hyperlink r:id="rId982" w:history="1">
        <w:r w:rsidRPr="005B38F0">
          <w:rPr>
            <w:rFonts w:ascii="Times New Roman" w:eastAsia="Times New Roman" w:hAnsi="Times New Roman" w:cs="Times New Roman"/>
            <w:color w:val="0000FF"/>
            <w:sz w:val="24"/>
            <w:szCs w:val="24"/>
            <w:u w:val="single"/>
          </w:rPr>
          <w:t>https://doi.org/10.1038/sj.npp.1301219</w:t>
        </w:r>
      </w:hyperlink>
    </w:p>
    <w:p w14:paraId="4BDFD9E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Chanraud-Guillermo, S., Andoh, J., Martelli, C., Artiges, E., Pallier, C., Aubin, H.-J., Martinot, J.-L., &amp; Reynaud, M. (2009). Imaging of language-related brain regions in detoxified alcoholics.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(6), 977–984. </w:t>
      </w:r>
      <w:hyperlink r:id="rId983" w:history="1">
        <w:r w:rsidRPr="005B38F0">
          <w:rPr>
            <w:rFonts w:ascii="Times New Roman" w:eastAsia="Times New Roman" w:hAnsi="Times New Roman" w:cs="Times New Roman"/>
            <w:color w:val="0000FF"/>
            <w:sz w:val="24"/>
            <w:szCs w:val="24"/>
            <w:u w:val="single"/>
          </w:rPr>
          <w:t>https://doi.org/10.1111/j.1530-0277.2009.00918.x</w:t>
        </w:r>
      </w:hyperlink>
    </w:p>
    <w:p w14:paraId="65B64E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Chao, L. L., &amp; Knight, R. T. (1997). Prefrontal deficits in attention and inhibitory control with aging. </w:t>
      </w:r>
      <w:r w:rsidRPr="005B38F0">
        <w:rPr>
          <w:rFonts w:ascii="Times New Roman" w:eastAsia="Times New Roman" w:hAnsi="Times New Roman" w:cs="Times New Roman"/>
          <w:i/>
          <w:iCs/>
          <w:sz w:val="24"/>
          <w:szCs w:val="24"/>
        </w:rPr>
        <w:t>Cerebral Cortex</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63–69. </w:t>
      </w:r>
      <w:hyperlink r:id="rId984" w:history="1">
        <w:r w:rsidRPr="005B38F0">
          <w:rPr>
            <w:rFonts w:ascii="Times New Roman" w:eastAsia="Times New Roman" w:hAnsi="Times New Roman" w:cs="Times New Roman"/>
            <w:color w:val="0000FF"/>
            <w:sz w:val="24"/>
            <w:szCs w:val="24"/>
            <w:u w:val="single"/>
          </w:rPr>
          <w:t>https://doi.org/10.1093/cercor/7.1.63</w:t>
        </w:r>
      </w:hyperlink>
    </w:p>
    <w:p w14:paraId="1DF236D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Chapados, C., &amp; Petrides, M. (2013). Impairment only on the fluency subtest of the Frontal Assessment Battery after prefrontal lesions.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136</w:t>
      </w:r>
      <w:r w:rsidRPr="005B38F0">
        <w:rPr>
          <w:rFonts w:ascii="Times New Roman" w:eastAsia="Times New Roman" w:hAnsi="Times New Roman" w:cs="Times New Roman"/>
          <w:sz w:val="24"/>
          <w:szCs w:val="24"/>
        </w:rPr>
        <w:t xml:space="preserve">(10), 2966–2978. </w:t>
      </w:r>
      <w:hyperlink r:id="rId985" w:history="1">
        <w:r w:rsidRPr="005B38F0">
          <w:rPr>
            <w:rFonts w:ascii="Times New Roman" w:eastAsia="Times New Roman" w:hAnsi="Times New Roman" w:cs="Times New Roman"/>
            <w:color w:val="0000FF"/>
            <w:sz w:val="24"/>
            <w:szCs w:val="24"/>
            <w:u w:val="single"/>
          </w:rPr>
          <w:t>https://doi.org/10.1093/brain/awt228</w:t>
        </w:r>
      </w:hyperlink>
    </w:p>
    <w:p w14:paraId="702DFE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Chapados, C., &amp; Petrides, M. (2014). Utilization behavior after lesions restricted to the frontal cortex.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 xml:space="preserve">, 46–51. </w:t>
      </w:r>
      <w:hyperlink r:id="rId986" w:history="1">
        <w:r w:rsidRPr="005B38F0">
          <w:rPr>
            <w:rFonts w:ascii="Times New Roman" w:eastAsia="Times New Roman" w:hAnsi="Times New Roman" w:cs="Times New Roman"/>
            <w:color w:val="0000FF"/>
            <w:sz w:val="24"/>
            <w:szCs w:val="24"/>
            <w:u w:val="single"/>
          </w:rPr>
          <w:t>https://doi.org/10.1016/j.neuropsychologia.2014.05.017</w:t>
        </w:r>
      </w:hyperlink>
    </w:p>
    <w:p w14:paraId="2F789B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Barrick, T. R., Markus, H. S., &amp; Morris, R. G. (2009). Theory of mind associations with other cognitive functions and brain imaging in normal aging. </w:t>
      </w:r>
      <w:r w:rsidRPr="005B38F0">
        <w:rPr>
          <w:rFonts w:ascii="Times New Roman" w:eastAsia="Times New Roman" w:hAnsi="Times New Roman" w:cs="Times New Roman"/>
          <w:i/>
          <w:iCs/>
          <w:sz w:val="24"/>
          <w:szCs w:val="24"/>
        </w:rPr>
        <w:t>Psychology and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338–348. </w:t>
      </w:r>
      <w:hyperlink r:id="rId987" w:history="1">
        <w:r w:rsidRPr="005B38F0">
          <w:rPr>
            <w:rFonts w:ascii="Times New Roman" w:eastAsia="Times New Roman" w:hAnsi="Times New Roman" w:cs="Times New Roman"/>
            <w:color w:val="0000FF"/>
            <w:sz w:val="24"/>
            <w:szCs w:val="24"/>
            <w:u w:val="single"/>
          </w:rPr>
          <w:t>https://doi.org/10.1037/a0015225</w:t>
        </w:r>
      </w:hyperlink>
    </w:p>
    <w:p w14:paraId="40F663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Charlton, R. A., Barrick, T. R., Markus, H. S., &amp; Morris, R. G. (2010). The relationship between episodic long-term memory and white matter integrity in normal aging.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 114–122. </w:t>
      </w:r>
      <w:hyperlink r:id="rId988" w:history="1">
        <w:r w:rsidRPr="005B38F0">
          <w:rPr>
            <w:rFonts w:ascii="Times New Roman" w:eastAsia="Times New Roman" w:hAnsi="Times New Roman" w:cs="Times New Roman"/>
            <w:color w:val="0000FF"/>
            <w:sz w:val="24"/>
            <w:szCs w:val="24"/>
            <w:u w:val="single"/>
          </w:rPr>
          <w:t>https://doi.org/10.1016/j.neuropsychologia.2009.08.018</w:t>
        </w:r>
      </w:hyperlink>
    </w:p>
    <w:p w14:paraId="4751F9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Barrick, T. R., Mclntyre, D. J., Shen, Y., O’Sullivan, M., Howe, F. A., Clark, C. A., Morris, R. G., &amp; Markus, H. S. (2006). White matter damage on diffusion tensor imaging correlates with age-related cognitive decline. </w:t>
      </w:r>
      <w:r w:rsidRPr="005B38F0">
        <w:rPr>
          <w:rFonts w:ascii="Times New Roman" w:eastAsia="Times New Roman" w:hAnsi="Times New Roman" w:cs="Times New Roman"/>
          <w:i/>
          <w:iCs/>
          <w:sz w:val="24"/>
          <w:szCs w:val="24"/>
        </w:rPr>
        <w:t>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(2), 217–222. </w:t>
      </w:r>
      <w:hyperlink r:id="rId989" w:history="1">
        <w:r w:rsidRPr="005B38F0">
          <w:rPr>
            <w:rFonts w:ascii="Times New Roman" w:eastAsia="Times New Roman" w:hAnsi="Times New Roman" w:cs="Times New Roman"/>
            <w:color w:val="0000FF"/>
            <w:sz w:val="24"/>
            <w:szCs w:val="24"/>
            <w:u w:val="single"/>
          </w:rPr>
          <w:t>https://doi.org/10.1212/01.wnl.0000194256.15247.83</w:t>
        </w:r>
      </w:hyperlink>
    </w:p>
    <w:p w14:paraId="2EEF1B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Landau, S., Schiavone, F., Barrick, T. R., Clark, C. A., Markus, H. S., &amp; Morris, R. G. (2008). A structural equation modeling investigation of age-related variance in executive function and DTI measured white matter damage.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(10), 1547–1555. </w:t>
      </w:r>
      <w:hyperlink r:id="rId990" w:history="1">
        <w:r w:rsidRPr="005B38F0">
          <w:rPr>
            <w:rFonts w:ascii="Times New Roman" w:eastAsia="Times New Roman" w:hAnsi="Times New Roman" w:cs="Times New Roman"/>
            <w:color w:val="0000FF"/>
            <w:sz w:val="24"/>
            <w:szCs w:val="24"/>
            <w:u w:val="single"/>
          </w:rPr>
          <w:t>https://doi.org/10.1016/j.neurobiolaging.2007.03.017</w:t>
        </w:r>
      </w:hyperlink>
    </w:p>
    <w:p w14:paraId="25F61C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Charlton, R. A., &amp; Morris, R. G. (2015). Associations between working memory and white matter integrity in normal ageing. In </w:t>
      </w:r>
      <w:r w:rsidRPr="005B38F0">
        <w:rPr>
          <w:rFonts w:ascii="Times New Roman" w:eastAsia="Times New Roman" w:hAnsi="Times New Roman" w:cs="Times New Roman"/>
          <w:i/>
          <w:iCs/>
          <w:sz w:val="24"/>
          <w:szCs w:val="24"/>
        </w:rPr>
        <w:t>Working memory and ageing.</w:t>
      </w:r>
      <w:r w:rsidRPr="005B38F0">
        <w:rPr>
          <w:rFonts w:ascii="Times New Roman" w:eastAsia="Times New Roman" w:hAnsi="Times New Roman" w:cs="Times New Roman"/>
          <w:sz w:val="24"/>
          <w:szCs w:val="24"/>
        </w:rPr>
        <w:t xml:space="preserve"> (pp. 97–128). Psychology Press.</w:t>
      </w:r>
    </w:p>
    <w:p w14:paraId="6DA2E8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Charman, T., Hood, J., &amp; Howlin, P. (2008). Psychological assessment in the clinical context. In </w:t>
      </w:r>
      <w:r w:rsidRPr="005B38F0">
        <w:rPr>
          <w:rFonts w:ascii="Times New Roman" w:eastAsia="Times New Roman" w:hAnsi="Times New Roman" w:cs="Times New Roman"/>
          <w:i/>
          <w:iCs/>
          <w:sz w:val="24"/>
          <w:szCs w:val="24"/>
        </w:rPr>
        <w:t>Rutter’s child and adolescent psychiatry, 5th ed.</w:t>
      </w:r>
      <w:r w:rsidRPr="005B38F0">
        <w:rPr>
          <w:rFonts w:ascii="Times New Roman" w:eastAsia="Times New Roman" w:hAnsi="Times New Roman" w:cs="Times New Roman"/>
          <w:sz w:val="24"/>
          <w:szCs w:val="24"/>
        </w:rPr>
        <w:t xml:space="preserve"> (pp. 299–316). Wiley-Blackwell. </w:t>
      </w:r>
      <w:hyperlink r:id="rId991" w:history="1">
        <w:r w:rsidRPr="005B38F0">
          <w:rPr>
            <w:rFonts w:ascii="Times New Roman" w:eastAsia="Times New Roman" w:hAnsi="Times New Roman" w:cs="Times New Roman"/>
            <w:color w:val="0000FF"/>
            <w:sz w:val="24"/>
            <w:szCs w:val="24"/>
            <w:u w:val="single"/>
          </w:rPr>
          <w:t>https://doi.org/10.1002/9781444300895.ch21</w:t>
        </w:r>
      </w:hyperlink>
    </w:p>
    <w:p w14:paraId="1DB2B2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Chase, D., Schatz, P., Smyk, N., &amp; Franks, R. R. (2018). The stability of engagement over comprehensive neuropsychological assessment in student athletes diagnosed with sports related concussion.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(4), 345–355. </w:t>
      </w:r>
      <w:hyperlink r:id="rId992" w:history="1">
        <w:r w:rsidRPr="005B38F0">
          <w:rPr>
            <w:rFonts w:ascii="Times New Roman" w:eastAsia="Times New Roman" w:hAnsi="Times New Roman" w:cs="Times New Roman"/>
            <w:color w:val="0000FF"/>
            <w:sz w:val="24"/>
            <w:szCs w:val="24"/>
            <w:u w:val="single"/>
          </w:rPr>
          <w:t>https://doi.org/10.1080/87565641.2018.1428326</w:t>
        </w:r>
      </w:hyperlink>
    </w:p>
    <w:p w14:paraId="6B8297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Chase-Carmichael, C. A., Ris, M. D., Weber, A. M., &amp; Schefft, B. K. (1999). Neurologic validity of the Wisconsin Card Sorting Test with a pediatric population. </w:t>
      </w:r>
      <w:r w:rsidRPr="005B38F0">
        <w:rPr>
          <w:rFonts w:ascii="Times New Roman" w:eastAsia="Times New Roman" w:hAnsi="Times New Roman" w:cs="Times New Roman"/>
          <w:i/>
          <w:iCs/>
          <w:sz w:val="24"/>
          <w:szCs w:val="24"/>
        </w:rPr>
        <w:t xml:space="preserve">Clinical </w:t>
      </w:r>
      <w:r w:rsidRPr="005B38F0">
        <w:rPr>
          <w:rFonts w:ascii="Times New Roman" w:eastAsia="Times New Roman" w:hAnsi="Times New Roman" w:cs="Times New Roman"/>
          <w:i/>
          <w:iCs/>
          <w:sz w:val="24"/>
          <w:szCs w:val="24"/>
        </w:rPr>
        <w:lastRenderedPageBreak/>
        <w:t>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(4), 405–413. </w:t>
      </w:r>
      <w:hyperlink r:id="rId993" w:history="1">
        <w:r w:rsidRPr="005B38F0">
          <w:rPr>
            <w:rFonts w:ascii="Times New Roman" w:eastAsia="Times New Roman" w:hAnsi="Times New Roman" w:cs="Times New Roman"/>
            <w:color w:val="0000FF"/>
            <w:sz w:val="24"/>
            <w:szCs w:val="24"/>
            <w:u w:val="single"/>
          </w:rPr>
          <w:t>https://doi.org/10.1076/1385-4046(199911)13:04;1-Y;FT405</w:t>
        </w:r>
      </w:hyperlink>
    </w:p>
    <w:p w14:paraId="0C037CF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Chassé, V., &amp; Belleville, S. (2009). Input and output modes modulate phonological and semantic contributions to immediate serial recall: Evidence from a brain-damaged patient. </w:t>
      </w:r>
      <w:r w:rsidRPr="005B38F0">
        <w:rPr>
          <w:rFonts w:ascii="Times New Roman" w:eastAsia="Times New Roman" w:hAnsi="Times New Roman" w:cs="Times New Roman"/>
          <w:i/>
          <w:iCs/>
          <w:sz w:val="24"/>
          <w:szCs w:val="24"/>
        </w:rPr>
        <w:t>Cognitive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195–216. </w:t>
      </w:r>
      <w:hyperlink r:id="rId994" w:history="1">
        <w:r w:rsidRPr="005B38F0">
          <w:rPr>
            <w:rFonts w:ascii="Times New Roman" w:eastAsia="Times New Roman" w:hAnsi="Times New Roman" w:cs="Times New Roman"/>
            <w:color w:val="0000FF"/>
            <w:sz w:val="24"/>
            <w:szCs w:val="24"/>
            <w:u w:val="single"/>
          </w:rPr>
          <w:t>https://doi.org/10.1080/02643290902868534</w:t>
        </w:r>
      </w:hyperlink>
    </w:p>
    <w:p w14:paraId="7CDD9A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Chaves, C., Trzesniak, C., Derenusson, G. N., Araújo, D., Wichert-Ana, L., Machado-de-Sousa, J. P., Carlotti, C. G., Nardi, A. E., Zuardi, A. W., Crippa, J. A. de s., &amp; Hallak, J. E. C. (2012). Late-onset social anxiety disorder following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(6), 882–886. </w:t>
      </w:r>
      <w:hyperlink r:id="rId995" w:history="1">
        <w:r w:rsidRPr="005B38F0">
          <w:rPr>
            <w:rFonts w:ascii="Times New Roman" w:eastAsia="Times New Roman" w:hAnsi="Times New Roman" w:cs="Times New Roman"/>
            <w:color w:val="0000FF"/>
            <w:sz w:val="24"/>
            <w:szCs w:val="24"/>
            <w:u w:val="single"/>
          </w:rPr>
          <w:t>https://doi.org/10.3109/02699052.2012.666373</w:t>
        </w:r>
      </w:hyperlink>
    </w:p>
    <w:p w14:paraId="5C7AE0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Chawner, S. J. R. A., Doherty, J. L., Moss, H., Niarchou, M., Walters, J. T. R., Owen, M. J., &amp; van den Bree, M. B. M. (2017). Childhood cognitive development in 22q11.2 deletion syndrome: Case–control study.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211</w:t>
      </w:r>
      <w:r w:rsidRPr="005B38F0">
        <w:rPr>
          <w:rFonts w:ascii="Times New Roman" w:eastAsia="Times New Roman" w:hAnsi="Times New Roman" w:cs="Times New Roman"/>
          <w:sz w:val="24"/>
          <w:szCs w:val="24"/>
        </w:rPr>
        <w:t xml:space="preserve">(4), 223–230. </w:t>
      </w:r>
      <w:hyperlink r:id="rId996" w:history="1">
        <w:r w:rsidRPr="005B38F0">
          <w:rPr>
            <w:rFonts w:ascii="Times New Roman" w:eastAsia="Times New Roman" w:hAnsi="Times New Roman" w:cs="Times New Roman"/>
            <w:color w:val="0000FF"/>
            <w:sz w:val="24"/>
            <w:szCs w:val="24"/>
            <w:u w:val="single"/>
          </w:rPr>
          <w:t>https://doi.org/10.1192/bjp.bp.116.195651</w:t>
        </w:r>
      </w:hyperlink>
    </w:p>
    <w:p w14:paraId="70FAEE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Chawner, S. J. R. A., Niarchou, M., Doherty, J. L., Moss, H., Owen, M. J., &amp; van den Bree, M. B. M. (2019). The emergence of psychotic experiences in the early adolescence of 22q11.2 Deletion Syndrome.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109</w:t>
      </w:r>
      <w:r w:rsidRPr="005B38F0">
        <w:rPr>
          <w:rFonts w:ascii="Times New Roman" w:eastAsia="Times New Roman" w:hAnsi="Times New Roman" w:cs="Times New Roman"/>
          <w:sz w:val="24"/>
          <w:szCs w:val="24"/>
        </w:rPr>
        <w:t xml:space="preserve">, 10–17. </w:t>
      </w:r>
      <w:hyperlink r:id="rId997" w:history="1">
        <w:r w:rsidRPr="005B38F0">
          <w:rPr>
            <w:rFonts w:ascii="Times New Roman" w:eastAsia="Times New Roman" w:hAnsi="Times New Roman" w:cs="Times New Roman"/>
            <w:color w:val="0000FF"/>
            <w:sz w:val="24"/>
            <w:szCs w:val="24"/>
            <w:u w:val="single"/>
          </w:rPr>
          <w:t>https://doi.org/10.1016/j.jpsychires.2018.11.002</w:t>
        </w:r>
      </w:hyperlink>
    </w:p>
    <w:p w14:paraId="658DC5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Chawner, S. J. R. A., Owen, M. J., Holmans, P., Raymond, F. L., Skuse, D., Hall, J., &amp; van den Bree, M. B. M. (2019). Genotype–phenotype associations in children with copy number variants associated with high neuropsychiatric risk in the UK (IMAGINE-ID): A case-control cohort study. </w:t>
      </w:r>
      <w:r w:rsidRPr="005B38F0">
        <w:rPr>
          <w:rFonts w:ascii="Times New Roman" w:eastAsia="Times New Roman" w:hAnsi="Times New Roman" w:cs="Times New Roman"/>
          <w:i/>
          <w:iCs/>
          <w:sz w:val="24"/>
          <w:szCs w:val="24"/>
        </w:rPr>
        <w:t>The Lancet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(6), 493–505. </w:t>
      </w:r>
      <w:hyperlink r:id="rId998" w:history="1">
        <w:r w:rsidRPr="005B38F0">
          <w:rPr>
            <w:rFonts w:ascii="Times New Roman" w:eastAsia="Times New Roman" w:hAnsi="Times New Roman" w:cs="Times New Roman"/>
            <w:color w:val="0000FF"/>
            <w:sz w:val="24"/>
            <w:szCs w:val="24"/>
            <w:u w:val="single"/>
          </w:rPr>
          <w:t>https://doi.org/10.1016/S2215-0366(19)30123-3</w:t>
        </w:r>
      </w:hyperlink>
    </w:p>
    <w:p w14:paraId="0ACE2B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Chaytor, N., Schmitter-Edgecombe, M., &amp; Burr, R. (2006). Improving the ecological validity of executive functioning assessment.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217–227. </w:t>
      </w:r>
      <w:hyperlink r:id="rId999" w:history="1">
        <w:r w:rsidRPr="005B38F0">
          <w:rPr>
            <w:rFonts w:ascii="Times New Roman" w:eastAsia="Times New Roman" w:hAnsi="Times New Roman" w:cs="Times New Roman"/>
            <w:color w:val="0000FF"/>
            <w:sz w:val="24"/>
            <w:szCs w:val="24"/>
            <w:u w:val="single"/>
          </w:rPr>
          <w:t>https://doi.org/10.1016/j.acn.2005.12.002</w:t>
        </w:r>
      </w:hyperlink>
    </w:p>
    <w:p w14:paraId="225ACC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Cheang, H. S., &amp; Pell, M. D. (2007). An acoustic investigation of Parkinsonian speech in linguistic and emotional contexts. </w:t>
      </w:r>
      <w:r w:rsidRPr="005B38F0">
        <w:rPr>
          <w:rFonts w:ascii="Times New Roman" w:eastAsia="Times New Roman" w:hAnsi="Times New Roman" w:cs="Times New Roman"/>
          <w:i/>
          <w:iCs/>
          <w:sz w:val="24"/>
          <w:szCs w:val="24"/>
        </w:rPr>
        <w:t>Journal of Neurolinguistics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221–241. </w:t>
      </w:r>
      <w:hyperlink r:id="rId1000" w:history="1">
        <w:r w:rsidRPr="005B38F0">
          <w:rPr>
            <w:rFonts w:ascii="Times New Roman" w:eastAsia="Times New Roman" w:hAnsi="Times New Roman" w:cs="Times New Roman"/>
            <w:color w:val="0000FF"/>
            <w:sz w:val="24"/>
            <w:szCs w:val="24"/>
            <w:u w:val="single"/>
          </w:rPr>
          <w:t>https://doi.org/10.1016/j.jneuroling.2006.07.001</w:t>
        </w:r>
      </w:hyperlink>
    </w:p>
    <w:p w14:paraId="105556E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Chemerinski, E., &amp; Siever, L. J. (2011). The schizophrenia spectrum personality disorders. </w:t>
      </w:r>
      <w:r w:rsidRPr="005B38F0">
        <w:rPr>
          <w:rFonts w:ascii="Times New Roman" w:eastAsia="Times New Roman" w:hAnsi="Times New Roman" w:cs="Times New Roman"/>
          <w:i/>
          <w:iCs/>
          <w:sz w:val="24"/>
          <w:szCs w:val="24"/>
        </w:rPr>
        <w:t>Schizophrenia, 3rd Ed.</w:t>
      </w:r>
      <w:r w:rsidRPr="005B38F0">
        <w:rPr>
          <w:rFonts w:ascii="Times New Roman" w:eastAsia="Times New Roman" w:hAnsi="Times New Roman" w:cs="Times New Roman"/>
          <w:sz w:val="24"/>
          <w:szCs w:val="24"/>
        </w:rPr>
        <w:t xml:space="preserve">, 62–90. </w:t>
      </w:r>
      <w:hyperlink r:id="rId1001" w:history="1">
        <w:r w:rsidRPr="005B38F0">
          <w:rPr>
            <w:rFonts w:ascii="Times New Roman" w:eastAsia="Times New Roman" w:hAnsi="Times New Roman" w:cs="Times New Roman"/>
            <w:color w:val="0000FF"/>
            <w:sz w:val="24"/>
            <w:szCs w:val="24"/>
            <w:u w:val="single"/>
          </w:rPr>
          <w:t>https://doi.org/10.1002/9781444327298.ch5</w:t>
        </w:r>
      </w:hyperlink>
    </w:p>
    <w:p w14:paraId="34F43B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Chemerinski, E., Triebwasser, J., Roussos, P., &amp; Siever, L. J. (2013). Schizotypal personality disorder. </w:t>
      </w:r>
      <w:r w:rsidRPr="005B38F0">
        <w:rPr>
          <w:rFonts w:ascii="Times New Roman" w:eastAsia="Times New Roman" w:hAnsi="Times New Roman" w:cs="Times New Roman"/>
          <w:i/>
          <w:iCs/>
          <w:sz w:val="24"/>
          <w:szCs w:val="24"/>
        </w:rPr>
        <w:t>Journal of Personality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652–679. </w:t>
      </w:r>
      <w:hyperlink r:id="rId1002" w:history="1">
        <w:r w:rsidRPr="005B38F0">
          <w:rPr>
            <w:rFonts w:ascii="Times New Roman" w:eastAsia="Times New Roman" w:hAnsi="Times New Roman" w:cs="Times New Roman"/>
            <w:color w:val="0000FF"/>
            <w:sz w:val="24"/>
            <w:szCs w:val="24"/>
            <w:u w:val="single"/>
          </w:rPr>
          <w:t>https://doi.org/10.1521/pedi_2012_26_053</w:t>
        </w:r>
      </w:hyperlink>
    </w:p>
    <w:p w14:paraId="18A71D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A. C., Rangaswamy, M., &amp; Porjesz, B. (2012). Endophenotypes in psychiatric genetics. In </w:t>
      </w:r>
      <w:r w:rsidRPr="005B38F0">
        <w:rPr>
          <w:rFonts w:ascii="Times New Roman" w:eastAsia="Times New Roman" w:hAnsi="Times New Roman" w:cs="Times New Roman"/>
          <w:i/>
          <w:iCs/>
          <w:sz w:val="24"/>
          <w:szCs w:val="24"/>
        </w:rPr>
        <w:t>Principles of psychiatric genetics.</w:t>
      </w:r>
      <w:r w:rsidRPr="005B38F0">
        <w:rPr>
          <w:rFonts w:ascii="Times New Roman" w:eastAsia="Times New Roman" w:hAnsi="Times New Roman" w:cs="Times New Roman"/>
          <w:sz w:val="24"/>
          <w:szCs w:val="24"/>
        </w:rPr>
        <w:t xml:space="preserve"> (pp. 347–362). Cambridge University Press. </w:t>
      </w:r>
      <w:hyperlink r:id="rId1003" w:history="1">
        <w:r w:rsidRPr="005B38F0">
          <w:rPr>
            <w:rFonts w:ascii="Times New Roman" w:eastAsia="Times New Roman" w:hAnsi="Times New Roman" w:cs="Times New Roman"/>
            <w:color w:val="0000FF"/>
            <w:sz w:val="24"/>
            <w:szCs w:val="24"/>
            <w:u w:val="single"/>
          </w:rPr>
          <w:t>https://doi.org/10.1017/CBO9781139025997.030</w:t>
        </w:r>
      </w:hyperlink>
    </w:p>
    <w:p w14:paraId="5E2E7A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D.-C., Zhang, X.-Y., Li, Y.-L., Wang, N., Nie, Y., Yang, K.-B., Tan, Y.-L., &amp; Zhou, D.-F. (2009). Association of smoking and psychiatric symptoms, clinical characteristics and cognitive function in first-episode schizophrenia patients. [Association of smoking and psychiatric symptoms, clinical characteristics and cognitive function in first-episode sc.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(1), 1-4,9.</w:t>
      </w:r>
    </w:p>
    <w:p w14:paraId="3821D32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 H., Kwok, C. L., Chen, R. L., &amp; Kwong, P. P. K. (2001). Insight changes in acute psychotic episodes: A prospective study of Hong Kong Chinese patients.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189</w:t>
      </w:r>
      <w:r w:rsidRPr="005B38F0">
        <w:rPr>
          <w:rFonts w:ascii="Times New Roman" w:eastAsia="Times New Roman" w:hAnsi="Times New Roman" w:cs="Times New Roman"/>
          <w:sz w:val="24"/>
          <w:szCs w:val="24"/>
        </w:rPr>
        <w:t xml:space="preserve">(1), 24–30. </w:t>
      </w:r>
      <w:hyperlink r:id="rId1004" w:history="1">
        <w:r w:rsidRPr="005B38F0">
          <w:rPr>
            <w:rFonts w:ascii="Times New Roman" w:eastAsia="Times New Roman" w:hAnsi="Times New Roman" w:cs="Times New Roman"/>
            <w:color w:val="0000FF"/>
            <w:sz w:val="24"/>
            <w:szCs w:val="24"/>
            <w:u w:val="single"/>
          </w:rPr>
          <w:t>https://doi.org/10.1097/00005053-200101000-00005</w:t>
        </w:r>
      </w:hyperlink>
    </w:p>
    <w:p w14:paraId="04ADCF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Chen, E. Y. H., Lam, L. C. W., Chen, R. Y. L., Nguyen, D. G. H., &amp; Chan, C. K. Y. (1996). Prefrontal neuropsychological impairment and illness duration in schizophrenia: A study of 204 patients in Hong Kong. </w:t>
      </w:r>
      <w:r w:rsidRPr="005B38F0">
        <w:rPr>
          <w:rFonts w:ascii="Times New Roman" w:eastAsia="Times New Roman" w:hAnsi="Times New Roman" w:cs="Times New Roman"/>
          <w:i/>
          <w:iCs/>
          <w:sz w:val="24"/>
          <w:szCs w:val="24"/>
        </w:rPr>
        <w:t>Acta Psychiatrica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93</w:t>
      </w:r>
      <w:r w:rsidRPr="005B38F0">
        <w:rPr>
          <w:rFonts w:ascii="Times New Roman" w:eastAsia="Times New Roman" w:hAnsi="Times New Roman" w:cs="Times New Roman"/>
          <w:sz w:val="24"/>
          <w:szCs w:val="24"/>
        </w:rPr>
        <w:t xml:space="preserve">(2), 144–150. </w:t>
      </w:r>
      <w:hyperlink r:id="rId1005" w:history="1">
        <w:r w:rsidRPr="005B38F0">
          <w:rPr>
            <w:rFonts w:ascii="Times New Roman" w:eastAsia="Times New Roman" w:hAnsi="Times New Roman" w:cs="Times New Roman"/>
            <w:color w:val="0000FF"/>
            <w:sz w:val="24"/>
            <w:szCs w:val="24"/>
            <w:u w:val="single"/>
          </w:rPr>
          <w:t>https://doi.org/10.1111/j.1600-0447.1996.tb09816.x</w:t>
        </w:r>
      </w:hyperlink>
    </w:p>
    <w:p w14:paraId="1AF341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 H., Lam, L. C. W., Chen, R. Y. L., Nguyen, D. G. H., Chan, C. K. Y., &amp; Wilkins, A. J. (1997). Neuropsychological correlates of sustained attention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(3), 299–310. </w:t>
      </w:r>
      <w:hyperlink r:id="rId1006" w:history="1">
        <w:r w:rsidRPr="005B38F0">
          <w:rPr>
            <w:rFonts w:ascii="Times New Roman" w:eastAsia="Times New Roman" w:hAnsi="Times New Roman" w:cs="Times New Roman"/>
            <w:color w:val="0000FF"/>
            <w:sz w:val="24"/>
            <w:szCs w:val="24"/>
            <w:u w:val="single"/>
          </w:rPr>
          <w:t>https://doi.org/10.1016/S0920-9964(96)00120-X</w:t>
        </w:r>
      </w:hyperlink>
    </w:p>
    <w:p w14:paraId="011A3C8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E. Y.-H., Hui, C. L.-M., Dunn, E. L.-W., Miao, M. Y.-K., Yeung, W.-S., Wong, C.-K., Chan, W.-F., &amp; Tang, W.-N. (2005). A prospective 3-year longitudinal study of cognitive predictors of relapse in first-episode schizophrenic patients.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(1), 99–104. </w:t>
      </w:r>
      <w:hyperlink r:id="rId1007" w:history="1">
        <w:r w:rsidRPr="005B38F0">
          <w:rPr>
            <w:rFonts w:ascii="Times New Roman" w:eastAsia="Times New Roman" w:hAnsi="Times New Roman" w:cs="Times New Roman"/>
            <w:color w:val="0000FF"/>
            <w:sz w:val="24"/>
            <w:szCs w:val="24"/>
            <w:u w:val="single"/>
          </w:rPr>
          <w:t>https://doi.org/10.1016/j.schres.2005.02.020</w:t>
        </w:r>
      </w:hyperlink>
    </w:p>
    <w:p w14:paraId="669063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H.-L., Chen, P.-C., Lu, C.-H., Hsu, N.-W., Chou, K.-H., Lin, C.-P., Wu, R.-W., Li, S.-H., Cheng, Y.-F., &amp; Lin, W.-C. (2013). Structural and cognitive deficits in chronic carbon monoxide intoxication: A voxel-based morphometry study. </w:t>
      </w:r>
      <w:r w:rsidRPr="005B38F0">
        <w:rPr>
          <w:rFonts w:ascii="Times New Roman" w:eastAsia="Times New Roman" w:hAnsi="Times New Roman" w:cs="Times New Roman"/>
          <w:i/>
          <w:iCs/>
          <w:sz w:val="24"/>
          <w:szCs w:val="24"/>
        </w:rPr>
        <w:t>BMC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008" w:history="1">
        <w:r w:rsidRPr="005B38F0">
          <w:rPr>
            <w:rFonts w:ascii="Times New Roman" w:eastAsia="Times New Roman" w:hAnsi="Times New Roman" w:cs="Times New Roman"/>
            <w:color w:val="0000FF"/>
            <w:sz w:val="24"/>
            <w:szCs w:val="24"/>
            <w:u w:val="single"/>
          </w:rPr>
          <w:t>https://doi.org/10.1186/1471-2377-13-129</w:t>
        </w:r>
      </w:hyperlink>
    </w:p>
    <w:p w14:paraId="4C4FA7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K.-H., Okerstrom, K. L., Kingyon, J. R., Anderson, S. W., Cavanagh, J. F., &amp; Narayanan, N. S. (2016). Startle habituation and midfrontal theta activity in Parkinson disease.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(12), 1923–1932. </w:t>
      </w:r>
      <w:hyperlink r:id="rId1009" w:history="1">
        <w:r w:rsidRPr="005B38F0">
          <w:rPr>
            <w:rFonts w:ascii="Times New Roman" w:eastAsia="Times New Roman" w:hAnsi="Times New Roman" w:cs="Times New Roman"/>
            <w:color w:val="0000FF"/>
            <w:sz w:val="24"/>
            <w:szCs w:val="24"/>
            <w:u w:val="single"/>
          </w:rPr>
          <w:t>https://doi.org/10.1162/jocn_a_01012</w:t>
        </w:r>
      </w:hyperlink>
    </w:p>
    <w:p w14:paraId="26E33E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K.-J., Lin, R.-T., Liu, C.-K., Tai, C.-T., &amp; Lai, C.-L. (2006). Relationship between event-related potentials and frontal-subcortical dysfunction in Parkinson’s disease.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(7), 453–458. </w:t>
      </w:r>
      <w:hyperlink r:id="rId1010" w:history="1">
        <w:r w:rsidRPr="005B38F0">
          <w:rPr>
            <w:rFonts w:ascii="Times New Roman" w:eastAsia="Times New Roman" w:hAnsi="Times New Roman" w:cs="Times New Roman"/>
            <w:color w:val="0000FF"/>
            <w:sz w:val="24"/>
            <w:szCs w:val="24"/>
            <w:u w:val="single"/>
          </w:rPr>
          <w:t>https://doi.org/10.1016/j.parkreldis.2006.04.008</w:t>
        </w:r>
      </w:hyperlink>
    </w:p>
    <w:p w14:paraId="76DCC99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L., Chen, X., Liu, W., Wang, Q., Jiang, T., Wang, J., Wang, X., Zhou, B., &amp; Tang, J. (2013). White matter microstructural abnormalities in patients with late-onset schizophrenia </w:t>
      </w:r>
      <w:r w:rsidRPr="005B38F0">
        <w:rPr>
          <w:rFonts w:ascii="Times New Roman" w:eastAsia="Times New Roman" w:hAnsi="Times New Roman" w:cs="Times New Roman"/>
          <w:sz w:val="24"/>
          <w:szCs w:val="24"/>
        </w:rPr>
        <w:lastRenderedPageBreak/>
        <w:t xml:space="preserve">identified by a voxel-based diffusion tensor imaging.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212</w:t>
      </w:r>
      <w:r w:rsidRPr="005B38F0">
        <w:rPr>
          <w:rFonts w:ascii="Times New Roman" w:eastAsia="Times New Roman" w:hAnsi="Times New Roman" w:cs="Times New Roman"/>
          <w:sz w:val="24"/>
          <w:szCs w:val="24"/>
        </w:rPr>
        <w:t xml:space="preserve">(3), 201–207. </w:t>
      </w:r>
      <w:hyperlink r:id="rId1011" w:history="1">
        <w:r w:rsidRPr="005B38F0">
          <w:rPr>
            <w:rFonts w:ascii="Times New Roman" w:eastAsia="Times New Roman" w:hAnsi="Times New Roman" w:cs="Times New Roman"/>
            <w:color w:val="0000FF"/>
            <w:sz w:val="24"/>
            <w:szCs w:val="24"/>
            <w:u w:val="single"/>
          </w:rPr>
          <w:t>https://doi.org/10.1016/j.pscychresns.2012.05.009</w:t>
        </w:r>
      </w:hyperlink>
    </w:p>
    <w:p w14:paraId="0F2F2C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L., Huang, X., Lei, D., He, N., Hu, X., Chen, Y., Li, Y., Zhou, J., Guo, L., Kemp, G. J., &amp; Gong, Q. (2015). Microstructural abnormalities of the brain white matter in attention-deficit/hyperactivity disorder.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(4), 280–287.</w:t>
      </w:r>
    </w:p>
    <w:p w14:paraId="1FC197A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L.-S., Rice, T. K., Thompson, P. A., Barch, D. M., &amp; Csernansky, J. G. (2009). Familial aggregation of clinical and neurocognitive features in sibling pairs with and without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111</w:t>
      </w:r>
      <w:r w:rsidRPr="005B38F0">
        <w:rPr>
          <w:rFonts w:ascii="Times New Roman" w:eastAsia="Times New Roman" w:hAnsi="Times New Roman" w:cs="Times New Roman"/>
          <w:sz w:val="24"/>
          <w:szCs w:val="24"/>
        </w:rPr>
        <w:t xml:space="preserve">(1–3), 159–166. </w:t>
      </w:r>
      <w:hyperlink r:id="rId1012" w:history="1">
        <w:r w:rsidRPr="005B38F0">
          <w:rPr>
            <w:rFonts w:ascii="Times New Roman" w:eastAsia="Times New Roman" w:hAnsi="Times New Roman" w:cs="Times New Roman"/>
            <w:color w:val="0000FF"/>
            <w:sz w:val="24"/>
            <w:szCs w:val="24"/>
            <w:u w:val="single"/>
          </w:rPr>
          <w:t>https://doi.org/10.1016/j.schres.2009.03.030</w:t>
        </w:r>
      </w:hyperlink>
    </w:p>
    <w:p w14:paraId="60E393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M.-D., Tsai, H.-Y., Wang, C.-C., &amp; Wuang, Y.-P. (2015). The effectiveness of racket-sport intervention on visual perception and executive functions in children with mild intellectual disabilities and borderline intellectual functioning. </w:t>
      </w:r>
      <w:r w:rsidRPr="005B38F0">
        <w:rPr>
          <w:rFonts w:ascii="Times New Roman" w:eastAsia="Times New Roman" w:hAnsi="Times New Roman" w:cs="Times New Roman"/>
          <w:i/>
          <w:iCs/>
          <w:sz w:val="24"/>
          <w:szCs w:val="24"/>
        </w:rPr>
        <w:t>Neuropsychiatric Disease and 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w:t>
      </w:r>
    </w:p>
    <w:p w14:paraId="15A120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M.-H., Kao, Z.-K., Chang, W.-C., Tu, P.-C., Hsu, J.-W., Huang, K.-L., Su, T.-P., Li, C.-T., Lin, W.-C., Tsai, S.-J., &amp; Bai, Y.-M. (2020). Increased proinflammatory cytokines, executive dysfunction, and reduced gray matter volumes in first-episode bipolar disorder and major depressive disorder.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274</w:t>
      </w:r>
      <w:r w:rsidRPr="005B38F0">
        <w:rPr>
          <w:rFonts w:ascii="Times New Roman" w:eastAsia="Times New Roman" w:hAnsi="Times New Roman" w:cs="Times New Roman"/>
          <w:sz w:val="24"/>
          <w:szCs w:val="24"/>
        </w:rPr>
        <w:t xml:space="preserve">, 825–831. </w:t>
      </w:r>
      <w:hyperlink r:id="rId1013" w:history="1">
        <w:r w:rsidRPr="005B38F0">
          <w:rPr>
            <w:rFonts w:ascii="Times New Roman" w:eastAsia="Times New Roman" w:hAnsi="Times New Roman" w:cs="Times New Roman"/>
            <w:color w:val="0000FF"/>
            <w:sz w:val="24"/>
            <w:szCs w:val="24"/>
            <w:u w:val="single"/>
          </w:rPr>
          <w:t>https://doi.org/10.1016/j.jad.2020.05.158</w:t>
        </w:r>
      </w:hyperlink>
    </w:p>
    <w:p w14:paraId="617548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N. Y. C., &amp; Batchelor, J. (2019). Length of post-traumatic amnesia and its prediction of neuropsychological outcome following severe to extremely severe traumatic brain injury in a litigating sample.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1087–1096. </w:t>
      </w:r>
      <w:hyperlink r:id="rId1014" w:history="1">
        <w:r w:rsidRPr="005B38F0">
          <w:rPr>
            <w:rFonts w:ascii="Times New Roman" w:eastAsia="Times New Roman" w:hAnsi="Times New Roman" w:cs="Times New Roman"/>
            <w:color w:val="0000FF"/>
            <w:sz w:val="24"/>
            <w:szCs w:val="24"/>
            <w:u w:val="single"/>
          </w:rPr>
          <w:t>https://doi.org/10.1080/02699052.2019.1610797</w:t>
        </w:r>
      </w:hyperlink>
    </w:p>
    <w:p w14:paraId="6B6079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Chen, N., Zou, Y.-Z., Tan, S.-P., Cui, J.-F., Fan, H.-Z., &amp; Yao, J. (2013). Effect of insufficient effort on cognitive assessments in patients with schizophrenia. [Effect of insufficient effort on cognitive assessments in patients with schizophrenia.].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(11), 850–857.</w:t>
      </w:r>
    </w:p>
    <w:p w14:paraId="6F114A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P.-C., &amp; Chang, Y.-L. (2016). Associative memory and underlying brain correlates in older adults with mild cognitive impairment.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85</w:t>
      </w:r>
      <w:r w:rsidRPr="005B38F0">
        <w:rPr>
          <w:rFonts w:ascii="Times New Roman" w:eastAsia="Times New Roman" w:hAnsi="Times New Roman" w:cs="Times New Roman"/>
          <w:sz w:val="24"/>
          <w:szCs w:val="24"/>
        </w:rPr>
        <w:t xml:space="preserve">, 216–225. </w:t>
      </w:r>
      <w:hyperlink r:id="rId1015" w:history="1">
        <w:r w:rsidRPr="005B38F0">
          <w:rPr>
            <w:rFonts w:ascii="Times New Roman" w:eastAsia="Times New Roman" w:hAnsi="Times New Roman" w:cs="Times New Roman"/>
            <w:color w:val="0000FF"/>
            <w:sz w:val="24"/>
            <w:szCs w:val="24"/>
            <w:u w:val="single"/>
          </w:rPr>
          <w:t>https://doi.org/10.1016/j.neuropsychologia.2016.03.032</w:t>
        </w:r>
      </w:hyperlink>
    </w:p>
    <w:p w14:paraId="0556B7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R. Y. L., &amp; Ho, W. Y. (2000). A five-year longitudinal study of the regional cerebral metabolic changes of a schizophrenic patient from the first episode using Tc-99m HMPAO SPECT.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250</w:t>
      </w:r>
      <w:r w:rsidRPr="005B38F0">
        <w:rPr>
          <w:rFonts w:ascii="Times New Roman" w:eastAsia="Times New Roman" w:hAnsi="Times New Roman" w:cs="Times New Roman"/>
          <w:sz w:val="24"/>
          <w:szCs w:val="24"/>
        </w:rPr>
        <w:t xml:space="preserve">(2), 69–72. </w:t>
      </w:r>
      <w:hyperlink r:id="rId1016" w:history="1">
        <w:r w:rsidRPr="005B38F0">
          <w:rPr>
            <w:rFonts w:ascii="Times New Roman" w:eastAsia="Times New Roman" w:hAnsi="Times New Roman" w:cs="Times New Roman"/>
            <w:color w:val="0000FF"/>
            <w:sz w:val="24"/>
            <w:szCs w:val="24"/>
            <w:u w:val="single"/>
          </w:rPr>
          <w:t>https://doi.org/10.1007/s004060070036</w:t>
        </w:r>
      </w:hyperlink>
    </w:p>
    <w:p w14:paraId="6AC5A5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S.-R., Tseng, C.-L., Kuo, S.-Y., &amp; Chang, Y.-K. (2016). Effects of a Physical Activity Intervention on Autonomic and Executive Functions in Obese Young Adolescents: A Randomized Controlled Trial. </w:t>
      </w:r>
      <w:r w:rsidRPr="005B38F0">
        <w:rPr>
          <w:rFonts w:ascii="Times New Roman" w:eastAsia="Times New Roman" w:hAnsi="Times New Roman" w:cs="Times New Roman"/>
          <w:i/>
          <w:iCs/>
          <w:sz w:val="24"/>
          <w:szCs w:val="24"/>
        </w:rPr>
        <w:t>Health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1120–1125. </w:t>
      </w:r>
      <w:hyperlink r:id="rId1017" w:history="1">
        <w:r w:rsidRPr="005B38F0">
          <w:rPr>
            <w:rFonts w:ascii="Times New Roman" w:eastAsia="Times New Roman" w:hAnsi="Times New Roman" w:cs="Times New Roman"/>
            <w:color w:val="0000FF"/>
            <w:sz w:val="24"/>
            <w:szCs w:val="24"/>
            <w:u w:val="single"/>
          </w:rPr>
          <w:t>https://doi.org/10.1037/hea0000390</w:t>
        </w:r>
      </w:hyperlink>
    </w:p>
    <w:p w14:paraId="3B6858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W. J. (2013). Taiwan schizophrenia linkage study: Lessons learned from endophenotype‐based genome‐wide linkage scans and perspective. </w:t>
      </w:r>
      <w:r w:rsidRPr="005B38F0">
        <w:rPr>
          <w:rFonts w:ascii="Times New Roman" w:eastAsia="Times New Roman" w:hAnsi="Times New Roman" w:cs="Times New Roman"/>
          <w:i/>
          <w:iCs/>
          <w:sz w:val="24"/>
          <w:szCs w:val="24"/>
        </w:rPr>
        <w:t>American Journal of Medical Genetics Part B: Neuropsychiatric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162</w:t>
      </w:r>
      <w:r w:rsidRPr="005B38F0">
        <w:rPr>
          <w:rFonts w:ascii="Times New Roman" w:eastAsia="Times New Roman" w:hAnsi="Times New Roman" w:cs="Times New Roman"/>
          <w:sz w:val="24"/>
          <w:szCs w:val="24"/>
        </w:rPr>
        <w:t xml:space="preserve">(7), 636–647. </w:t>
      </w:r>
      <w:hyperlink r:id="rId1018" w:history="1">
        <w:r w:rsidRPr="005B38F0">
          <w:rPr>
            <w:rFonts w:ascii="Times New Roman" w:eastAsia="Times New Roman" w:hAnsi="Times New Roman" w:cs="Times New Roman"/>
            <w:color w:val="0000FF"/>
            <w:sz w:val="24"/>
            <w:szCs w:val="24"/>
            <w:u w:val="single"/>
          </w:rPr>
          <w:t>https://doi.org/10.1002/ajmg.b.32166</w:t>
        </w:r>
      </w:hyperlink>
    </w:p>
    <w:p w14:paraId="2D1FF9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W., Xiao, Z., Wang, P., Zeng, H., &amp; Qian, H. (2012). Relationship between cholesteryl ester transfer protein (CETP)-TaqIB gene polymorphism and sporadic Alzheimer’s disease. [Relationship between cholesteryl ester transfer protein (CETP)-TaqIB gene polymorphism and sporadic Alzheimer’s disease.]. </w:t>
      </w:r>
      <w:r w:rsidRPr="005B38F0">
        <w:rPr>
          <w:rFonts w:ascii="Times New Roman" w:eastAsia="Times New Roman" w:hAnsi="Times New Roman" w:cs="Times New Roman"/>
          <w:i/>
          <w:iCs/>
          <w:sz w:val="24"/>
          <w:szCs w:val="24"/>
        </w:rPr>
        <w:t>Chinese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(5), 619–622.</w:t>
      </w:r>
    </w:p>
    <w:p w14:paraId="3EAF18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Chen, X., Li, J., Zhang, J., He, X., Zhu, C., Zhang, L., Hu, X., &amp; Wang, K. (2017). Impairment of the executive attention network in premenopausal women with hormone receptor-positive breast cancer treated with tamoxifen. </w:t>
      </w:r>
      <w:r w:rsidRPr="005B38F0">
        <w:rPr>
          <w:rFonts w:ascii="Times New Roman" w:eastAsia="Times New Roman" w:hAnsi="Times New Roman" w:cs="Times New Roman"/>
          <w:i/>
          <w:iCs/>
          <w:sz w:val="24"/>
          <w:szCs w:val="24"/>
        </w:rPr>
        <w:t>Psychoneuroendocrinology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 116–123. </w:t>
      </w:r>
      <w:hyperlink r:id="rId1019" w:history="1">
        <w:r w:rsidRPr="005B38F0">
          <w:rPr>
            <w:rFonts w:ascii="Times New Roman" w:eastAsia="Times New Roman" w:hAnsi="Times New Roman" w:cs="Times New Roman"/>
            <w:color w:val="0000FF"/>
            <w:sz w:val="24"/>
            <w:szCs w:val="24"/>
            <w:u w:val="single"/>
          </w:rPr>
          <w:t>https://doi.org/10.1016/j.psyneuen.2016.10.020</w:t>
        </w:r>
      </w:hyperlink>
    </w:p>
    <w:p w14:paraId="5E4979D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X., Liu, W., Wang, L., Tang, J., Wang, X., Han, X., Stone, W. S., &amp; Tan, L. (2012). Psychosocial functioning and cognitive deficits are not associated with membrane bound catechol-O-methyltransferase deoxyribonucleic acid methylation in siblings of patients with schizophrenia.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200</w:t>
      </w:r>
      <w:r w:rsidRPr="005B38F0">
        <w:rPr>
          <w:rFonts w:ascii="Times New Roman" w:eastAsia="Times New Roman" w:hAnsi="Times New Roman" w:cs="Times New Roman"/>
          <w:sz w:val="24"/>
          <w:szCs w:val="24"/>
        </w:rPr>
        <w:t xml:space="preserve">(11), 941–945. </w:t>
      </w:r>
      <w:hyperlink r:id="rId1020" w:history="1">
        <w:r w:rsidRPr="005B38F0">
          <w:rPr>
            <w:rFonts w:ascii="Times New Roman" w:eastAsia="Times New Roman" w:hAnsi="Times New Roman" w:cs="Times New Roman"/>
            <w:color w:val="0000FF"/>
            <w:sz w:val="24"/>
            <w:szCs w:val="24"/>
            <w:u w:val="single"/>
          </w:rPr>
          <w:t>https://doi.org/10.1097/NMD.0b013e3182718c35</w:t>
        </w:r>
      </w:hyperlink>
    </w:p>
    <w:p w14:paraId="43D448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X.-F., Sun, Y.-J., Liu, Q.-G., &amp; al., et. (2005). Working Memory after Stroke. [Working Memory after Stroke.].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(8), 549–552.</w:t>
      </w:r>
    </w:p>
    <w:p w14:paraId="41F432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 L. R., Chen, Y. H. E., &amp; Lieh, M. F. (2000). Semantic verbal fluency deficit as a familial trait marker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95</w:t>
      </w:r>
      <w:r w:rsidRPr="005B38F0">
        <w:rPr>
          <w:rFonts w:ascii="Times New Roman" w:eastAsia="Times New Roman" w:hAnsi="Times New Roman" w:cs="Times New Roman"/>
          <w:sz w:val="24"/>
          <w:szCs w:val="24"/>
        </w:rPr>
        <w:t xml:space="preserve">(2), 133–148. </w:t>
      </w:r>
      <w:hyperlink r:id="rId1021" w:history="1">
        <w:r w:rsidRPr="005B38F0">
          <w:rPr>
            <w:rFonts w:ascii="Times New Roman" w:eastAsia="Times New Roman" w:hAnsi="Times New Roman" w:cs="Times New Roman"/>
            <w:color w:val="0000FF"/>
            <w:sz w:val="24"/>
            <w:szCs w:val="24"/>
            <w:u w:val="single"/>
          </w:rPr>
          <w:t>https://doi.org/10.1016/S0165-1781(00)00166-9</w:t>
        </w:r>
      </w:hyperlink>
    </w:p>
    <w:p w14:paraId="50356CF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 L. R., Chen, Y. H. E., &amp; Lieh-Mak, F. (2000). Erratum to “Semantic verbal fluency deficit as a familial trait marker in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(3), 281–281. </w:t>
      </w:r>
      <w:hyperlink r:id="rId1022" w:history="1">
        <w:r w:rsidRPr="005B38F0">
          <w:rPr>
            <w:rFonts w:ascii="Times New Roman" w:eastAsia="Times New Roman" w:hAnsi="Times New Roman" w:cs="Times New Roman"/>
            <w:color w:val="0000FF"/>
            <w:sz w:val="24"/>
            <w:szCs w:val="24"/>
            <w:u w:val="single"/>
          </w:rPr>
          <w:t>https://doi.org/10.1016/S0165-1781(00)00237-7</w:t>
        </w:r>
      </w:hyperlink>
    </w:p>
    <w:p w14:paraId="2CA330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Chen, C.-K., &amp; Wang, L.-J. (2015). Predictors of relapse and dropout during a 12-week relapse prevention program for methamphetamine users. </w:t>
      </w:r>
      <w:r w:rsidRPr="005B38F0">
        <w:rPr>
          <w:rFonts w:ascii="Times New Roman" w:eastAsia="Times New Roman" w:hAnsi="Times New Roman" w:cs="Times New Roman"/>
          <w:i/>
          <w:iCs/>
          <w:sz w:val="24"/>
          <w:szCs w:val="24"/>
        </w:rPr>
        <w:t>Journal of Psychoactive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317–324. </w:t>
      </w:r>
      <w:hyperlink r:id="rId1023" w:history="1">
        <w:r w:rsidRPr="005B38F0">
          <w:rPr>
            <w:rFonts w:ascii="Times New Roman" w:eastAsia="Times New Roman" w:hAnsi="Times New Roman" w:cs="Times New Roman"/>
            <w:color w:val="0000FF"/>
            <w:sz w:val="24"/>
            <w:szCs w:val="24"/>
            <w:u w:val="single"/>
          </w:rPr>
          <w:t>https://doi.org/10.1080/02791072.2015.1071447</w:t>
        </w:r>
      </w:hyperlink>
    </w:p>
    <w:p w14:paraId="0B7B26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Lu, Y.-C., &amp; Lung, F.-W. (2011). Confirmatory factor analysis in neurophysiological and neuropsychological dimensions of schizophrenia. </w:t>
      </w:r>
      <w:r w:rsidRPr="005B38F0">
        <w:rPr>
          <w:rFonts w:ascii="Times New Roman" w:eastAsia="Times New Roman" w:hAnsi="Times New Roman" w:cs="Times New Roman"/>
          <w:i/>
          <w:iCs/>
          <w:sz w:val="24"/>
          <w:szCs w:val="24"/>
        </w:rPr>
        <w:t>International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121</w:t>
      </w:r>
      <w:r w:rsidRPr="005B38F0">
        <w:rPr>
          <w:rFonts w:ascii="Times New Roman" w:eastAsia="Times New Roman" w:hAnsi="Times New Roman" w:cs="Times New Roman"/>
          <w:sz w:val="24"/>
          <w:szCs w:val="24"/>
        </w:rPr>
        <w:t xml:space="preserve">(9), 528–535. </w:t>
      </w:r>
      <w:hyperlink r:id="rId1024" w:history="1">
        <w:r w:rsidRPr="005B38F0">
          <w:rPr>
            <w:rFonts w:ascii="Times New Roman" w:eastAsia="Times New Roman" w:hAnsi="Times New Roman" w:cs="Times New Roman"/>
            <w:color w:val="0000FF"/>
            <w:sz w:val="24"/>
            <w:szCs w:val="24"/>
            <w:u w:val="single"/>
          </w:rPr>
          <w:t>https://doi.org/10.3109/00207454.2011.582239</w:t>
        </w:r>
      </w:hyperlink>
    </w:p>
    <w:p w14:paraId="0E8F4F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Chen, Y.-C., Tsao, H.-H., Chu, Y.-C., Wang, J.-J., Lee, J.-D., Chang, P.-Y., &amp; Hsu, W.-C. (2018). Exploring the spectrum of subcortical hyperintensities and cognitive decline.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130–138. </w:t>
      </w:r>
      <w:hyperlink r:id="rId1025" w:history="1">
        <w:r w:rsidRPr="005B38F0">
          <w:rPr>
            <w:rFonts w:ascii="Times New Roman" w:eastAsia="Times New Roman" w:hAnsi="Times New Roman" w:cs="Times New Roman"/>
            <w:color w:val="0000FF"/>
            <w:sz w:val="24"/>
            <w:szCs w:val="24"/>
            <w:u w:val="single"/>
          </w:rPr>
          <w:t>https://doi.org/10.1176/appi.neuropsych.17050099</w:t>
        </w:r>
      </w:hyperlink>
    </w:p>
    <w:p w14:paraId="2AFC9D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Y.-C., Wang, L.-J., Lin, S.-K., &amp; Chen, C.-K. (2015). Neurocognitive profiles of methamphetamine users: Comparison of those with or without concomitant ketamine use. </w:t>
      </w:r>
      <w:r w:rsidRPr="005B38F0">
        <w:rPr>
          <w:rFonts w:ascii="Times New Roman" w:eastAsia="Times New Roman" w:hAnsi="Times New Roman" w:cs="Times New Roman"/>
          <w:i/>
          <w:iCs/>
          <w:sz w:val="24"/>
          <w:szCs w:val="24"/>
        </w:rPr>
        <w:t>Substance Use &amp; Misuse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 xml:space="preserve">(14), 1778–1785. </w:t>
      </w:r>
      <w:hyperlink r:id="rId1026" w:history="1">
        <w:r w:rsidRPr="005B38F0">
          <w:rPr>
            <w:rFonts w:ascii="Times New Roman" w:eastAsia="Times New Roman" w:hAnsi="Times New Roman" w:cs="Times New Roman"/>
            <w:color w:val="0000FF"/>
            <w:sz w:val="24"/>
            <w:szCs w:val="24"/>
            <w:u w:val="single"/>
          </w:rPr>
          <w:t>https://doi.org/10.3109/10826084.2015.1050110</w:t>
        </w:r>
      </w:hyperlink>
    </w:p>
    <w:p w14:paraId="382CD2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 Z., Wang, G., Wang, X., Chen, R., Wang, H., Yang, M., Huo, Y., &amp; Mei, H. (2008). Effects of warm-supplementing kidney yang (WSKY) capsule added on risperidone on cognition in chronic schizophrenic patients: A randomized, double-blind, placebo-controlled, multi-center clinical trial. </w:t>
      </w:r>
      <w:r w:rsidRPr="005B38F0">
        <w:rPr>
          <w:rFonts w:ascii="Times New Roman" w:eastAsia="Times New Roman" w:hAnsi="Times New Roman" w:cs="Times New Roman"/>
          <w:i/>
          <w:iCs/>
          <w:sz w:val="24"/>
          <w:szCs w:val="24"/>
        </w:rPr>
        <w:t>Human Psychopharmacology: Clinical and Experimental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465–470. </w:t>
      </w:r>
      <w:hyperlink r:id="rId1027" w:history="1">
        <w:r w:rsidRPr="005B38F0">
          <w:rPr>
            <w:rFonts w:ascii="Times New Roman" w:eastAsia="Times New Roman" w:hAnsi="Times New Roman" w:cs="Times New Roman"/>
            <w:color w:val="0000FF"/>
            <w:sz w:val="24"/>
            <w:szCs w:val="24"/>
            <w:u w:val="single"/>
          </w:rPr>
          <w:t>https://doi.org/10.1002/hup.958</w:t>
        </w:r>
      </w:hyperlink>
    </w:p>
    <w:p w14:paraId="2AA08F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C.-M., Juan, C.-H., Chen, M.-H., Chang, C.-F., Lu, H. J., Su, T.-P., Lee, Y.-C., &amp; Li, C.-T. (2016). Different forms of prefrontal theta burst stimulation for executive function of medication- resistant depression: Evidence from a randomized sham-controlled study.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 35–40. </w:t>
      </w:r>
      <w:hyperlink r:id="rId1028" w:history="1">
        <w:r w:rsidRPr="005B38F0">
          <w:rPr>
            <w:rFonts w:ascii="Times New Roman" w:eastAsia="Times New Roman" w:hAnsi="Times New Roman" w:cs="Times New Roman"/>
            <w:color w:val="0000FF"/>
            <w:sz w:val="24"/>
            <w:szCs w:val="24"/>
            <w:u w:val="single"/>
          </w:rPr>
          <w:t>https://doi.org/10.1016/j.pnpbp.2015.11.009</w:t>
        </w:r>
      </w:hyperlink>
    </w:p>
    <w:p w14:paraId="6CA6E5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D. T., Rice, L. C., McCaul, M. E., Rilee, J. J., Faulkner, M. L., Sheu, Y., Mathena, J. R., &amp; Desmond, J. E. (2020). Neural substrates underlying eyeblink classical conditioning in adults with alcohol use disorders.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620–631. </w:t>
      </w:r>
      <w:hyperlink r:id="rId1029" w:history="1">
        <w:r w:rsidRPr="005B38F0">
          <w:rPr>
            <w:rFonts w:ascii="Times New Roman" w:eastAsia="Times New Roman" w:hAnsi="Times New Roman" w:cs="Times New Roman"/>
            <w:color w:val="0000FF"/>
            <w:sz w:val="24"/>
            <w:szCs w:val="24"/>
            <w:u w:val="single"/>
          </w:rPr>
          <w:t>https://doi.org/10.1111/acer.14288</w:t>
        </w:r>
      </w:hyperlink>
    </w:p>
    <w:p w14:paraId="59C9C4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Cheng, D., Yan, X., Gao, Z., Xu, K., &amp; Chen, Q. (2017). Attention contributes to arithmetic deficits in new-onset childhood absence epilepsy.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1030" w:history="1">
        <w:r w:rsidRPr="005B38F0">
          <w:rPr>
            <w:rFonts w:ascii="Times New Roman" w:eastAsia="Times New Roman" w:hAnsi="Times New Roman" w:cs="Times New Roman"/>
            <w:color w:val="0000FF"/>
            <w:sz w:val="24"/>
            <w:szCs w:val="24"/>
            <w:u w:val="single"/>
          </w:rPr>
          <w:t>https://doi.org/10.3389/fpsyt.2017.00166</w:t>
        </w:r>
      </w:hyperlink>
    </w:p>
    <w:p w14:paraId="2C837D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 D., Yan, X., Gao, Z., Xu, K., Zhou, X., &amp; Chen, Q. (2017). Neurocognitive profiles in childhood absence epilepsy: A focus on cognitive dysfunction associated with the frontal lobe. </w:t>
      </w:r>
      <w:r w:rsidRPr="005B38F0">
        <w:rPr>
          <w:rFonts w:ascii="Times New Roman" w:eastAsia="Times New Roman" w:hAnsi="Times New Roman" w:cs="Times New Roman"/>
          <w:i/>
          <w:iCs/>
          <w:sz w:val="24"/>
          <w:szCs w:val="24"/>
        </w:rPr>
        <w:t>Journal of Child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(1), 46–52.</w:t>
      </w:r>
    </w:p>
    <w:p w14:paraId="4B7AF0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Chengappa, K. N. R., Turkin, S. R., DeSanti, S., Bowie, C. R., Brar, J. S., Schlicht, P. J., Murphy, S. L., Hetrick, M. L., Bilder, R., &amp; Fleet, D. (2012). A preliminary, randomized, double-blind, placebo-controlled trial of l-carnosine to improve cognition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142</w:t>
      </w:r>
      <w:r w:rsidRPr="005B38F0">
        <w:rPr>
          <w:rFonts w:ascii="Times New Roman" w:eastAsia="Times New Roman" w:hAnsi="Times New Roman" w:cs="Times New Roman"/>
          <w:sz w:val="24"/>
          <w:szCs w:val="24"/>
        </w:rPr>
        <w:t xml:space="preserve">(1–3), 145–152. </w:t>
      </w:r>
      <w:hyperlink r:id="rId1031" w:history="1">
        <w:r w:rsidRPr="005B38F0">
          <w:rPr>
            <w:rFonts w:ascii="Times New Roman" w:eastAsia="Times New Roman" w:hAnsi="Times New Roman" w:cs="Times New Roman"/>
            <w:color w:val="0000FF"/>
            <w:sz w:val="24"/>
            <w:szCs w:val="24"/>
            <w:u w:val="single"/>
          </w:rPr>
          <w:t>https://doi.org/10.1016/j.schres.2012.10.001</w:t>
        </w:r>
      </w:hyperlink>
    </w:p>
    <w:p w14:paraId="4660DE5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Cherner, M., Ellis, R. J., Lazzaretto, D., Young, C., Mindt, M. R., Atkinson, J. H., Grant, I., &amp; Heaton, R. K. (2004). Effects of HIV-1 infection and aging on neurobehavioral functioning: Preliminary findings. </w:t>
      </w:r>
      <w:r w:rsidRPr="005B38F0">
        <w:rPr>
          <w:rFonts w:ascii="Times New Roman" w:eastAsia="Times New Roman" w:hAnsi="Times New Roman" w:cs="Times New Roman"/>
          <w:i/>
          <w:iCs/>
          <w:sz w:val="24"/>
          <w:szCs w:val="24"/>
        </w:rPr>
        <w:t>AIDS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(Suppl1), S27–S34. </w:t>
      </w:r>
      <w:hyperlink r:id="rId1032" w:history="1">
        <w:r w:rsidRPr="005B38F0">
          <w:rPr>
            <w:rFonts w:ascii="Times New Roman" w:eastAsia="Times New Roman" w:hAnsi="Times New Roman" w:cs="Times New Roman"/>
            <w:color w:val="0000FF"/>
            <w:sz w:val="24"/>
            <w:szCs w:val="24"/>
            <w:u w:val="single"/>
          </w:rPr>
          <w:t>https://doi.org/10.1097/00002030-200401001-00005</w:t>
        </w:r>
      </w:hyperlink>
    </w:p>
    <w:p w14:paraId="0D3E5D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Cherner, M., Suarez, P., Casey, C., Deiss, R., Letendre, S., Marcotte, T., Vaida, F., Atkinson, J. H., Grant, I., &amp; Heaton, R. K. (2010). Methamphetamine use parameters do not predict neuropsychological impairment in currently abstinent dependent adults.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 xml:space="preserve">(2–3), 154–163. </w:t>
      </w:r>
      <w:hyperlink r:id="rId1033" w:history="1">
        <w:r w:rsidRPr="005B38F0">
          <w:rPr>
            <w:rFonts w:ascii="Times New Roman" w:eastAsia="Times New Roman" w:hAnsi="Times New Roman" w:cs="Times New Roman"/>
            <w:color w:val="0000FF"/>
            <w:sz w:val="24"/>
            <w:szCs w:val="24"/>
            <w:u w:val="single"/>
          </w:rPr>
          <w:t>https://doi.org/10.1016/j.drugalcdep.2009.08.010</w:t>
        </w:r>
      </w:hyperlink>
    </w:p>
    <w:p w14:paraId="2C9458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Cherner, M., Watson, C. W.-M., Saloner, R., Halpin, L. E., Minassian, A., Murray, S. S., Vaida, F., Bousman, C., &amp; Everall, I. (2019). Adverse effect of catechol-o-methyltransferase (COMT) Val158Met met/met genotype in methamphetamine-related executive dysfunction.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98</w:t>
      </w:r>
      <w:r w:rsidRPr="005B38F0">
        <w:rPr>
          <w:rFonts w:ascii="Times New Roman" w:eastAsia="Times New Roman" w:hAnsi="Times New Roman" w:cs="Times New Roman"/>
          <w:sz w:val="24"/>
          <w:szCs w:val="24"/>
        </w:rPr>
        <w:t xml:space="preserve">. </w:t>
      </w:r>
      <w:hyperlink r:id="rId1034" w:history="1">
        <w:r w:rsidRPr="005B38F0">
          <w:rPr>
            <w:rFonts w:ascii="Times New Roman" w:eastAsia="Times New Roman" w:hAnsi="Times New Roman" w:cs="Times New Roman"/>
            <w:color w:val="0000FF"/>
            <w:sz w:val="24"/>
            <w:szCs w:val="24"/>
            <w:u w:val="single"/>
          </w:rPr>
          <w:t>https://doi.org/10.1016/j.addbeh.2019.06.012</w:t>
        </w:r>
      </w:hyperlink>
    </w:p>
    <w:p w14:paraId="5200D3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Cherry, B. J., Yamashiro, M., Anderson, E., Barrett, C., Adamson, M. M., &amp; Hellige, J. B. (2010). Exploring interhemispheric collaboration in older compared to younger adults.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(2), 218–227. </w:t>
      </w:r>
      <w:hyperlink r:id="rId1035" w:history="1">
        <w:r w:rsidRPr="005B38F0">
          <w:rPr>
            <w:rFonts w:ascii="Times New Roman" w:eastAsia="Times New Roman" w:hAnsi="Times New Roman" w:cs="Times New Roman"/>
            <w:color w:val="0000FF"/>
            <w:sz w:val="24"/>
            <w:szCs w:val="24"/>
            <w:u w:val="single"/>
          </w:rPr>
          <w:t>https://doi.org/10.1016/j.bandc.2009.09.003</w:t>
        </w:r>
      </w:hyperlink>
    </w:p>
    <w:p w14:paraId="04C113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Chevalère, J., Postal, V., Jauregui, J., Copet, P., Laurier, V., &amp; Thuilleaux, D. (2013). Assessment of executive functions in Prader–Willi syndrome and relationship with intellectual level. </w:t>
      </w:r>
      <w:r w:rsidRPr="005B38F0">
        <w:rPr>
          <w:rFonts w:ascii="Times New Roman" w:eastAsia="Times New Roman" w:hAnsi="Times New Roman" w:cs="Times New Roman"/>
          <w:i/>
          <w:iCs/>
          <w:sz w:val="24"/>
          <w:szCs w:val="24"/>
        </w:rPr>
        <w:t>Journal of Applied Research in Intellectual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(4), 309–318. </w:t>
      </w:r>
      <w:hyperlink r:id="rId1036" w:history="1">
        <w:r w:rsidRPr="005B38F0">
          <w:rPr>
            <w:rFonts w:ascii="Times New Roman" w:eastAsia="Times New Roman" w:hAnsi="Times New Roman" w:cs="Times New Roman"/>
            <w:color w:val="0000FF"/>
            <w:sz w:val="24"/>
            <w:szCs w:val="24"/>
            <w:u w:val="single"/>
          </w:rPr>
          <w:t>https://doi.org/10.1111/jar.12044</w:t>
        </w:r>
      </w:hyperlink>
    </w:p>
    <w:p w14:paraId="7E218D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Chevance, G., Stephan, Y., Héraud, N., &amp; Boiché, J. (2018). Interaction between self-regulation, intentions and implicit attitudes in the prediction of physical activity among persons with obesity. </w:t>
      </w:r>
      <w:r w:rsidRPr="005B38F0">
        <w:rPr>
          <w:rFonts w:ascii="Times New Roman" w:eastAsia="Times New Roman" w:hAnsi="Times New Roman" w:cs="Times New Roman"/>
          <w:i/>
          <w:iCs/>
          <w:sz w:val="24"/>
          <w:szCs w:val="24"/>
        </w:rPr>
        <w:t>Health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(3), 257–261. </w:t>
      </w:r>
      <w:hyperlink r:id="rId1037" w:history="1">
        <w:r w:rsidRPr="005B38F0">
          <w:rPr>
            <w:rFonts w:ascii="Times New Roman" w:eastAsia="Times New Roman" w:hAnsi="Times New Roman" w:cs="Times New Roman"/>
            <w:color w:val="0000FF"/>
            <w:sz w:val="24"/>
            <w:szCs w:val="24"/>
            <w:u w:val="single"/>
          </w:rPr>
          <w:t>https://doi.org/10.1037/hea0000572</w:t>
        </w:r>
      </w:hyperlink>
    </w:p>
    <w:p w14:paraId="683181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Chevignard, M. P., Servant, V., Mariller, A., Abada, G., Pradat-Diehl, P., &amp; Laurent-Vannier, A. (2009). Assessment of executive functioning in children after TBI with a naturalistic open-ended task: A pilot study. </w:t>
      </w:r>
      <w:r w:rsidRPr="005B38F0">
        <w:rPr>
          <w:rFonts w:ascii="Times New Roman" w:eastAsia="Times New Roman" w:hAnsi="Times New Roman" w:cs="Times New Roman"/>
          <w:i/>
          <w:iCs/>
          <w:sz w:val="24"/>
          <w:szCs w:val="24"/>
        </w:rPr>
        <w:t>Developmental Neurorehabilitation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(2), 76–91. </w:t>
      </w:r>
      <w:hyperlink r:id="rId1038" w:history="1">
        <w:r w:rsidRPr="005B38F0">
          <w:rPr>
            <w:rFonts w:ascii="Times New Roman" w:eastAsia="Times New Roman" w:hAnsi="Times New Roman" w:cs="Times New Roman"/>
            <w:color w:val="0000FF"/>
            <w:sz w:val="24"/>
            <w:szCs w:val="24"/>
            <w:u w:val="single"/>
          </w:rPr>
          <w:t>https://doi.org/10.1080/17518420902777019</w:t>
        </w:r>
      </w:hyperlink>
    </w:p>
    <w:p w14:paraId="4E4079C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Chevignard, M. P., Taillefer, C., Picq, C., Poncet, F., Noulhiane, M., &amp; Pradat-Diehl, P. (2008). Ecological assessment of the dysexecutive syndrome using execution of a cooking task.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461–485. </w:t>
      </w:r>
      <w:hyperlink r:id="rId1039" w:history="1">
        <w:r w:rsidRPr="005B38F0">
          <w:rPr>
            <w:rFonts w:ascii="Times New Roman" w:eastAsia="Times New Roman" w:hAnsi="Times New Roman" w:cs="Times New Roman"/>
            <w:color w:val="0000FF"/>
            <w:sz w:val="24"/>
            <w:szCs w:val="24"/>
            <w:u w:val="single"/>
          </w:rPr>
          <w:t>https://doi.org/10.1080/09602010701643472</w:t>
        </w:r>
      </w:hyperlink>
    </w:p>
    <w:p w14:paraId="1A8CFF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 M. H., Chu, C.-L., Lee, I. H., Hsieh, Y.-T., Chen, K. C., Chen, P. S., &amp; Yang, Y. K. (2019). Altered auditory P300 performance in parents with attention deficit hyperactivity disorder offspring. </w:t>
      </w:r>
      <w:r w:rsidRPr="005B38F0">
        <w:rPr>
          <w:rFonts w:ascii="Times New Roman" w:eastAsia="Times New Roman" w:hAnsi="Times New Roman" w:cs="Times New Roman"/>
          <w:i/>
          <w:iCs/>
          <w:sz w:val="24"/>
          <w:szCs w:val="24"/>
        </w:rPr>
        <w:t>Clinical Psychopharmacology and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(4), 509–516. </w:t>
      </w:r>
      <w:hyperlink r:id="rId1040" w:history="1">
        <w:r w:rsidRPr="005B38F0">
          <w:rPr>
            <w:rFonts w:ascii="Times New Roman" w:eastAsia="Times New Roman" w:hAnsi="Times New Roman" w:cs="Times New Roman"/>
            <w:color w:val="0000FF"/>
            <w:sz w:val="24"/>
            <w:szCs w:val="24"/>
            <w:u w:val="single"/>
          </w:rPr>
          <w:t>https://doi.org/10.9758/cpn.2019.17.4.509</w:t>
        </w:r>
      </w:hyperlink>
    </w:p>
    <w:p w14:paraId="2E3CE3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Chiavarino, C., Apperly, I. A., &amp; Humphreys, G. W. (2009). Frontal and parietal lobe involvement in the processing of pretence and intention. </w:t>
      </w:r>
      <w:r w:rsidRPr="005B38F0">
        <w:rPr>
          <w:rFonts w:ascii="Times New Roman" w:eastAsia="Times New Roman" w:hAnsi="Times New Roman" w:cs="Times New Roman"/>
          <w:i/>
          <w:iCs/>
          <w:sz w:val="24"/>
          <w:szCs w:val="24"/>
        </w:rPr>
        <w:t>The Quarterly Journal of Experimental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(9), 1738–1756. </w:t>
      </w:r>
      <w:hyperlink r:id="rId1041" w:history="1">
        <w:r w:rsidRPr="005B38F0">
          <w:rPr>
            <w:rFonts w:ascii="Times New Roman" w:eastAsia="Times New Roman" w:hAnsi="Times New Roman" w:cs="Times New Roman"/>
            <w:color w:val="0000FF"/>
            <w:sz w:val="24"/>
            <w:szCs w:val="24"/>
            <w:u w:val="single"/>
          </w:rPr>
          <w:t>https://doi.org/10.1080/17470210802633313</w:t>
        </w:r>
      </w:hyperlink>
    </w:p>
    <w:p w14:paraId="70F7967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Chicchi Giglioli, I. A., de Juan Ripoll, C., Parra, E., &amp; Alcañiz Raya, M. (2021). Are 3D virtual environments better than 2D interfaces in serious games performance? An explorative study for the assessment of executive functions.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(2), 148–157. </w:t>
      </w:r>
      <w:hyperlink r:id="rId1042" w:history="1">
        <w:r w:rsidRPr="005B38F0">
          <w:rPr>
            <w:rFonts w:ascii="Times New Roman" w:eastAsia="Times New Roman" w:hAnsi="Times New Roman" w:cs="Times New Roman"/>
            <w:color w:val="0000FF"/>
            <w:sz w:val="24"/>
            <w:szCs w:val="24"/>
            <w:u w:val="single"/>
          </w:rPr>
          <w:t>https://doi.org/10.1080/23279095.2019.1607735</w:t>
        </w:r>
      </w:hyperlink>
    </w:p>
    <w:p w14:paraId="6554A1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Chien, Y.-L., Liu, C.-M., Shan, J.-C., Lee, H.-J., Hsieh, M. H., Hwu, H.-G., &amp; Chiou, L.-C. (2015). Elevated plasma orexin A levels in a subgroup of patients with schizophrenia associated with fewer negative and disorganized symptoms. </w:t>
      </w:r>
      <w:r w:rsidRPr="005B38F0">
        <w:rPr>
          <w:rFonts w:ascii="Times New Roman" w:eastAsia="Times New Roman" w:hAnsi="Times New Roman" w:cs="Times New Roman"/>
          <w:i/>
          <w:iCs/>
          <w:sz w:val="24"/>
          <w:szCs w:val="24"/>
        </w:rPr>
        <w:t>Psychoneuroendocrinology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 1–9. </w:t>
      </w:r>
      <w:hyperlink r:id="rId1043" w:history="1">
        <w:r w:rsidRPr="005B38F0">
          <w:rPr>
            <w:rFonts w:ascii="Times New Roman" w:eastAsia="Times New Roman" w:hAnsi="Times New Roman" w:cs="Times New Roman"/>
            <w:color w:val="0000FF"/>
            <w:sz w:val="24"/>
            <w:szCs w:val="24"/>
            <w:u w:val="single"/>
          </w:rPr>
          <w:t>https://doi.org/10.1016/j.psyneuen.2014.12.012</w:t>
        </w:r>
      </w:hyperlink>
    </w:p>
    <w:p w14:paraId="7ABF149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Chien, Y.-L., Wu, Y.-Y., Chen, C.-H., Gau, S. S.-F., Huang, Y.-S., Chien, W.-H., Hu, F.-C., &amp; Chao, Y.-L. (2012). Association of HLA-DRB1 alleles and neuropsychological function in autism. </w:t>
      </w:r>
      <w:r w:rsidRPr="005B38F0">
        <w:rPr>
          <w:rFonts w:ascii="Times New Roman" w:eastAsia="Times New Roman" w:hAnsi="Times New Roman" w:cs="Times New Roman"/>
          <w:i/>
          <w:iCs/>
          <w:sz w:val="24"/>
          <w:szCs w:val="24"/>
        </w:rPr>
        <w:t>Psychiatric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(1), 46–49. </w:t>
      </w:r>
      <w:hyperlink r:id="rId1044" w:history="1">
        <w:r w:rsidRPr="005B38F0">
          <w:rPr>
            <w:rFonts w:ascii="Times New Roman" w:eastAsia="Times New Roman" w:hAnsi="Times New Roman" w:cs="Times New Roman"/>
            <w:color w:val="0000FF"/>
            <w:sz w:val="24"/>
            <w:szCs w:val="24"/>
            <w:u w:val="single"/>
          </w:rPr>
          <w:t>https://doi.org/10.1097/YPG.0b013e32834915ae</w:t>
        </w:r>
      </w:hyperlink>
    </w:p>
    <w:p w14:paraId="0F8510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Chik, D. (2012). Does dynamical synchronization among neurons facilitate learning and enhance task performance? </w:t>
      </w:r>
      <w:r w:rsidRPr="005B38F0">
        <w:rPr>
          <w:rFonts w:ascii="Times New Roman" w:eastAsia="Times New Roman" w:hAnsi="Times New Roman" w:cs="Times New Roman"/>
          <w:i/>
          <w:iCs/>
          <w:sz w:val="24"/>
          <w:szCs w:val="24"/>
        </w:rPr>
        <w:t>Journal of Computational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169–177. </w:t>
      </w:r>
      <w:hyperlink r:id="rId1045" w:history="1">
        <w:r w:rsidRPr="005B38F0">
          <w:rPr>
            <w:rFonts w:ascii="Times New Roman" w:eastAsia="Times New Roman" w:hAnsi="Times New Roman" w:cs="Times New Roman"/>
            <w:color w:val="0000FF"/>
            <w:sz w:val="24"/>
            <w:szCs w:val="24"/>
            <w:u w:val="single"/>
          </w:rPr>
          <w:t>https://doi.org/10.1007/s10827-011-0380-6</w:t>
        </w:r>
      </w:hyperlink>
    </w:p>
    <w:p w14:paraId="7ECAD1A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Childers, M. E., Woods, S. P., Letendre, S., McCutchan, J. A., Rosario, D., Grant, I., Mindt, M. R., &amp; Ellis, R. J. (2008). Cognitive functioning during highly active antiretroviral therapy interruption in human immunodeficiency virus type 1 infection. </w:t>
      </w:r>
      <w:r w:rsidRPr="005B38F0">
        <w:rPr>
          <w:rFonts w:ascii="Times New Roman" w:eastAsia="Times New Roman" w:hAnsi="Times New Roman" w:cs="Times New Roman"/>
          <w:i/>
          <w:iCs/>
          <w:sz w:val="24"/>
          <w:szCs w:val="24"/>
        </w:rPr>
        <w:t>Journal of Neurovirology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(6), 550–557. </w:t>
      </w:r>
      <w:hyperlink r:id="rId1046" w:history="1">
        <w:r w:rsidRPr="005B38F0">
          <w:rPr>
            <w:rFonts w:ascii="Times New Roman" w:eastAsia="Times New Roman" w:hAnsi="Times New Roman" w:cs="Times New Roman"/>
            <w:color w:val="0000FF"/>
            <w:sz w:val="24"/>
            <w:szCs w:val="24"/>
            <w:u w:val="single"/>
          </w:rPr>
          <w:t>https://doi.org/10.1080/13550280802372313</w:t>
        </w:r>
      </w:hyperlink>
    </w:p>
    <w:p w14:paraId="45DB15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Chin, J., &amp; Scharfman, H. E. (2013). Shared cognitive and behavioral impairments in epilepsy and Alzheimer’s disease and potential underlying mechanisms.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343–351. </w:t>
      </w:r>
      <w:hyperlink r:id="rId1047" w:history="1">
        <w:r w:rsidRPr="005B38F0">
          <w:rPr>
            <w:rFonts w:ascii="Times New Roman" w:eastAsia="Times New Roman" w:hAnsi="Times New Roman" w:cs="Times New Roman"/>
            <w:color w:val="0000FF"/>
            <w:sz w:val="24"/>
            <w:szCs w:val="24"/>
            <w:u w:val="single"/>
          </w:rPr>
          <w:t>https://doi.org/10.1016/j.yebeh.2012.11.040</w:t>
        </w:r>
      </w:hyperlink>
    </w:p>
    <w:p w14:paraId="00C230C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Chiò, A., Brunetti, M., Barberis, M., Iazzolino, B., Montuschi, A., Ilardi, A., Cammarosano, S., Canosa, A., Moglia, C., &amp; Calvo, A. (2016). The role of APOE in the occurrence of frontotemporal dementia in amyotrophic lateral sclerosis. </w:t>
      </w:r>
      <w:r w:rsidRPr="005B38F0">
        <w:rPr>
          <w:rFonts w:ascii="Times New Roman" w:eastAsia="Times New Roman" w:hAnsi="Times New Roman" w:cs="Times New Roman"/>
          <w:i/>
          <w:iCs/>
          <w:sz w:val="24"/>
          <w:szCs w:val="24"/>
        </w:rPr>
        <w:t>JAMA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73</w:t>
      </w:r>
      <w:r w:rsidRPr="005B38F0">
        <w:rPr>
          <w:rFonts w:ascii="Times New Roman" w:eastAsia="Times New Roman" w:hAnsi="Times New Roman" w:cs="Times New Roman"/>
          <w:sz w:val="24"/>
          <w:szCs w:val="24"/>
        </w:rPr>
        <w:t xml:space="preserve">(4), 425–430. </w:t>
      </w:r>
      <w:hyperlink r:id="rId1048" w:history="1">
        <w:r w:rsidRPr="005B38F0">
          <w:rPr>
            <w:rFonts w:ascii="Times New Roman" w:eastAsia="Times New Roman" w:hAnsi="Times New Roman" w:cs="Times New Roman"/>
            <w:color w:val="0000FF"/>
            <w:sz w:val="24"/>
            <w:szCs w:val="24"/>
            <w:u w:val="single"/>
          </w:rPr>
          <w:t>https://doi.org/10.1001/jamaneurol.2015.4773</w:t>
        </w:r>
      </w:hyperlink>
    </w:p>
    <w:p w14:paraId="34D5A1C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Chiò, A., Calvo, A., Moglia, C., Restagno, G., Ossola, I., Brunetti, M., Montuschi, A., Cistaro, A., Ticca, A., Traynor, B. J., Schymick, J. C., Mutani, R., Marrosu, M. G., Murru, M. R., &amp; Borghero, G. (2010). Amyotrophic lateral sclerosis-frontotemporal lobar dementia in 3 families with p.Ala382Thr TARDBP mutations. </w:t>
      </w:r>
      <w:r w:rsidRPr="005B38F0">
        <w:rPr>
          <w:rFonts w:ascii="Times New Roman" w:eastAsia="Times New Roman" w:hAnsi="Times New Roman" w:cs="Times New Roman"/>
          <w:i/>
          <w:iCs/>
          <w:sz w:val="24"/>
          <w:szCs w:val="24"/>
        </w:rPr>
        <w:t>Archives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(8), 1002–1009. </w:t>
      </w:r>
      <w:hyperlink r:id="rId1049" w:history="1">
        <w:r w:rsidRPr="005B38F0">
          <w:rPr>
            <w:rFonts w:ascii="Times New Roman" w:eastAsia="Times New Roman" w:hAnsi="Times New Roman" w:cs="Times New Roman"/>
            <w:color w:val="0000FF"/>
            <w:sz w:val="24"/>
            <w:szCs w:val="24"/>
            <w:u w:val="single"/>
          </w:rPr>
          <w:t>https://doi.org/10.1001/archneurol.2010.173</w:t>
        </w:r>
      </w:hyperlink>
    </w:p>
    <w:p w14:paraId="02AC09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Chiodo, L. M., Jacobson, S. W., &amp; Jacobson, J. L. (2004). Neurodevelopmental effects of postnatal lead exposure at very low levels. </w:t>
      </w:r>
      <w:r w:rsidRPr="005B38F0">
        <w:rPr>
          <w:rFonts w:ascii="Times New Roman" w:eastAsia="Times New Roman" w:hAnsi="Times New Roman" w:cs="Times New Roman"/>
          <w:i/>
          <w:iCs/>
          <w:sz w:val="24"/>
          <w:szCs w:val="24"/>
        </w:rPr>
        <w:t>Neurotoxicology and Teratology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359–371. </w:t>
      </w:r>
      <w:hyperlink r:id="rId1050" w:history="1">
        <w:r w:rsidRPr="005B38F0">
          <w:rPr>
            <w:rFonts w:ascii="Times New Roman" w:eastAsia="Times New Roman" w:hAnsi="Times New Roman" w:cs="Times New Roman"/>
            <w:color w:val="0000FF"/>
            <w:sz w:val="24"/>
            <w:szCs w:val="24"/>
            <w:u w:val="single"/>
          </w:rPr>
          <w:t>https://doi.org/10.1016/j.ntt.2004.01.010</w:t>
        </w:r>
      </w:hyperlink>
    </w:p>
    <w:p w14:paraId="1CEA51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Chiodo, L. M., Janisse, J., Delaney-Black, V., Sokol, R. J., &amp; Hannigan, J. H. (2009). A metric of maternal prenatal risk drinking predicts neurobehavioral outcomes in preschool children. </w:t>
      </w:r>
      <w:r w:rsidRPr="005B38F0">
        <w:rPr>
          <w:rFonts w:ascii="Times New Roman" w:eastAsia="Times New Roman" w:hAnsi="Times New Roman" w:cs="Times New Roman"/>
          <w:i/>
          <w:iCs/>
          <w:sz w:val="24"/>
          <w:szCs w:val="24"/>
        </w:rPr>
        <w:t>Alcoholism: Clinical and Experimental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(4), 634–644. </w:t>
      </w:r>
      <w:hyperlink r:id="rId1051" w:history="1">
        <w:r w:rsidRPr="005B38F0">
          <w:rPr>
            <w:rFonts w:ascii="Times New Roman" w:eastAsia="Times New Roman" w:hAnsi="Times New Roman" w:cs="Times New Roman"/>
            <w:color w:val="0000FF"/>
            <w:sz w:val="24"/>
            <w:szCs w:val="24"/>
            <w:u w:val="single"/>
          </w:rPr>
          <w:t>https://doi.org/10.1111/j.1530-0277.2008.00878.x</w:t>
        </w:r>
      </w:hyperlink>
    </w:p>
    <w:p w14:paraId="6449F94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E.-C., &amp; Lee, S.-C. (2021). Test–retest reliability of the Wisconsin Card Sorting Test in people with schizophrenia. </w:t>
      </w:r>
      <w:r w:rsidRPr="005B38F0">
        <w:rPr>
          <w:rFonts w:ascii="Times New Roman" w:eastAsia="Times New Roman" w:hAnsi="Times New Roman" w:cs="Times New Roman"/>
          <w:i/>
          <w:iCs/>
          <w:sz w:val="24"/>
          <w:szCs w:val="24"/>
        </w:rPr>
        <w:t>Disability and Rehabilitation: An International, Multidisciplinary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(7), 996–1000. </w:t>
      </w:r>
      <w:hyperlink r:id="rId1052" w:history="1">
        <w:r w:rsidRPr="005B38F0">
          <w:rPr>
            <w:rFonts w:ascii="Times New Roman" w:eastAsia="Times New Roman" w:hAnsi="Times New Roman" w:cs="Times New Roman"/>
            <w:color w:val="0000FF"/>
            <w:sz w:val="24"/>
            <w:szCs w:val="24"/>
            <w:u w:val="single"/>
          </w:rPr>
          <w:t>https://doi.org/10.1080/09638288.2019.1647295</w:t>
        </w:r>
      </w:hyperlink>
    </w:p>
    <w:p w14:paraId="04EDB8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Chiu, E.-C., Wu, W.-C., Hung, J.-W., &amp; Tseng, Y.-H. (2018). Validity of the Wisconsin Card Sorting Test in patients with stroke. </w:t>
      </w:r>
      <w:r w:rsidRPr="005B38F0">
        <w:rPr>
          <w:rFonts w:ascii="Times New Roman" w:eastAsia="Times New Roman" w:hAnsi="Times New Roman" w:cs="Times New Roman"/>
          <w:i/>
          <w:iCs/>
          <w:sz w:val="24"/>
          <w:szCs w:val="24"/>
        </w:rPr>
        <w:t>Disability and Rehabilitation: An International, Multidisciplinary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(16), 1967–1971. </w:t>
      </w:r>
      <w:hyperlink r:id="rId1053" w:history="1">
        <w:r w:rsidRPr="005B38F0">
          <w:rPr>
            <w:rFonts w:ascii="Times New Roman" w:eastAsia="Times New Roman" w:hAnsi="Times New Roman" w:cs="Times New Roman"/>
            <w:color w:val="0000FF"/>
            <w:sz w:val="24"/>
            <w:szCs w:val="24"/>
            <w:u w:val="single"/>
          </w:rPr>
          <w:t>https://doi.org/10.1080/09638288.2017.1323020</w:t>
        </w:r>
      </w:hyperlink>
    </w:p>
    <w:p w14:paraId="2EBCBD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E.-C., Yu, M.-Y., Wu, W.-C., Chou, C.-X., Hung, J.-W., &amp; Chen, P.-C. (2019). Validation of the Test of Visual Perceptual Skills-Third Edition in patients with stroke. </w:t>
      </w:r>
      <w:r w:rsidRPr="005B38F0">
        <w:rPr>
          <w:rFonts w:ascii="Times New Roman" w:eastAsia="Times New Roman" w:hAnsi="Times New Roman" w:cs="Times New Roman"/>
          <w:i/>
          <w:iCs/>
          <w:sz w:val="24"/>
          <w:szCs w:val="24"/>
        </w:rPr>
        <w:t>Disability and Rehabilitation: An International, Multidisciplinary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(1), 104–109. </w:t>
      </w:r>
      <w:hyperlink r:id="rId1054" w:history="1">
        <w:r w:rsidRPr="005B38F0">
          <w:rPr>
            <w:rFonts w:ascii="Times New Roman" w:eastAsia="Times New Roman" w:hAnsi="Times New Roman" w:cs="Times New Roman"/>
            <w:color w:val="0000FF"/>
            <w:sz w:val="24"/>
            <w:szCs w:val="24"/>
            <w:u w:val="single"/>
          </w:rPr>
          <w:t>https://doi.org/10.1080/09638288.2017.1378389</w:t>
        </w:r>
      </w:hyperlink>
    </w:p>
    <w:p w14:paraId="19C73A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H.-L., Chu, H., Tsai, J.-C., Liu, D., Chen, Y.-R., Yang, H.-L., &amp; Chou, K.-R. (2017). The effect of cognitive-based training for the healthy older people: A meta-analysis of randomized controlled trials.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(5).</w:t>
      </w:r>
    </w:p>
    <w:p w14:paraId="0B296C1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M.-J., Chen, Y.-F., Chen, T.-F., Yang, S.-Y., Yang, F.-P. G., Tseng, T.-W., Chieh, J.-J., Chen, J.-C. R., Tzen, K.-Y., Hua, M.-S., &amp; Horng, H.-E. (2014). Plasma tau as a window to the brain—Negative associations with brain volume and memory function in mild cognitive impairment and early Alzheimer’s disease.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(7), 3132–3142. </w:t>
      </w:r>
      <w:hyperlink r:id="rId1055" w:history="1">
        <w:r w:rsidRPr="005B38F0">
          <w:rPr>
            <w:rFonts w:ascii="Times New Roman" w:eastAsia="Times New Roman" w:hAnsi="Times New Roman" w:cs="Times New Roman"/>
            <w:color w:val="0000FF"/>
            <w:sz w:val="24"/>
            <w:szCs w:val="24"/>
            <w:u w:val="single"/>
          </w:rPr>
          <w:t>https://doi.org/10.1002/hbm.22390</w:t>
        </w:r>
      </w:hyperlink>
    </w:p>
    <w:p w14:paraId="4F24F00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Chiu, W. Z., Papma, J. M., de Koning, I., Kaat, L. D., Seelaar, H., Reijs, A. E. M., Valkema, R., Hasan, D., Boon, A. J. W., &amp; van Swieten, J. C. (2012). Midcingulate involvement in progressive supranuclear palsy and tau positive frontotemporal dementia.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83</w:t>
      </w:r>
      <w:r w:rsidRPr="005B38F0">
        <w:rPr>
          <w:rFonts w:ascii="Times New Roman" w:eastAsia="Times New Roman" w:hAnsi="Times New Roman" w:cs="Times New Roman"/>
          <w:sz w:val="24"/>
          <w:szCs w:val="24"/>
        </w:rPr>
        <w:t xml:space="preserve">(9), 910–915. </w:t>
      </w:r>
      <w:hyperlink r:id="rId1056" w:history="1">
        <w:r w:rsidRPr="005B38F0">
          <w:rPr>
            <w:rFonts w:ascii="Times New Roman" w:eastAsia="Times New Roman" w:hAnsi="Times New Roman" w:cs="Times New Roman"/>
            <w:color w:val="0000FF"/>
            <w:sz w:val="24"/>
            <w:szCs w:val="24"/>
            <w:u w:val="single"/>
          </w:rPr>
          <w:t>https://doi.org/10.1136/jnnp-2011-302035</w:t>
        </w:r>
      </w:hyperlink>
    </w:p>
    <w:p w14:paraId="5719C49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Cho, I., &amp; Cohen, A. S. (2019). Explaining age-related decline in theory of mind: Evidence for intact competence but compromised executive function.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w:t>
      </w:r>
      <w:r w:rsidRPr="005B38F0">
        <w:rPr>
          <w:rFonts w:ascii="Times New Roman" w:eastAsia="Times New Roman" w:hAnsi="Times New Roman" w:cs="Times New Roman"/>
          <w:sz w:val="24"/>
          <w:szCs w:val="24"/>
        </w:rPr>
        <w:t xml:space="preserve">(9). </w:t>
      </w:r>
      <w:hyperlink r:id="rId1057" w:history="1">
        <w:r w:rsidRPr="005B38F0">
          <w:rPr>
            <w:rFonts w:ascii="Times New Roman" w:eastAsia="Times New Roman" w:hAnsi="Times New Roman" w:cs="Times New Roman"/>
            <w:color w:val="0000FF"/>
            <w:sz w:val="24"/>
            <w:szCs w:val="24"/>
            <w:u w:val="single"/>
          </w:rPr>
          <w:t>https://doi.org/10.1371/journal.pone.0222890</w:t>
        </w:r>
      </w:hyperlink>
    </w:p>
    <w:p w14:paraId="1297B2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 J. R., Koo, D. L., Joo, E. Y., Yoon, S. M., Ju, E., Lee, J., Kim, D. Y., &amp; Hong, S. B. (2012). Effect of levetiracetam monotherapy on background EEG activity and cognition in drug-naïve epilepsy patients. </w:t>
      </w:r>
      <w:r w:rsidRPr="005B38F0">
        <w:rPr>
          <w:rFonts w:ascii="Times New Roman" w:eastAsia="Times New Roman" w:hAnsi="Times New Roman" w:cs="Times New Roman"/>
          <w:i/>
          <w:iCs/>
          <w:sz w:val="24"/>
          <w:szCs w:val="24"/>
        </w:rPr>
        <w:t>Clinical Neurophysiology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(5), 883–891. </w:t>
      </w:r>
      <w:hyperlink r:id="rId1058" w:history="1">
        <w:r w:rsidRPr="005B38F0">
          <w:rPr>
            <w:rFonts w:ascii="Times New Roman" w:eastAsia="Times New Roman" w:hAnsi="Times New Roman" w:cs="Times New Roman"/>
            <w:color w:val="0000FF"/>
            <w:sz w:val="24"/>
            <w:szCs w:val="24"/>
            <w:u w:val="single"/>
          </w:rPr>
          <w:t>https://doi.org/10.1016/j.clinph.2011.09.012</w:t>
        </w:r>
      </w:hyperlink>
    </w:p>
    <w:p w14:paraId="60AB2D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 K. I. K., Kwak, Y. B., Hwang, W. J., Lee, J., Kim, M., Lee, T. Y., &amp; Kwon, J. S. (2019). Microstructural changes in higher-order nuclei of the thalamus in patients with first-episode psychosis.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85</w:t>
      </w:r>
      <w:r w:rsidRPr="005B38F0">
        <w:rPr>
          <w:rFonts w:ascii="Times New Roman" w:eastAsia="Times New Roman" w:hAnsi="Times New Roman" w:cs="Times New Roman"/>
          <w:sz w:val="24"/>
          <w:szCs w:val="24"/>
        </w:rPr>
        <w:t xml:space="preserve">(1), 70–78. </w:t>
      </w:r>
      <w:hyperlink r:id="rId1059" w:history="1">
        <w:r w:rsidRPr="005B38F0">
          <w:rPr>
            <w:rFonts w:ascii="Times New Roman" w:eastAsia="Times New Roman" w:hAnsi="Times New Roman" w:cs="Times New Roman"/>
            <w:color w:val="0000FF"/>
            <w:sz w:val="24"/>
            <w:szCs w:val="24"/>
            <w:u w:val="single"/>
          </w:rPr>
          <w:t>https://doi.org/10.1016/j.biopsych.2018.05.019</w:t>
        </w:r>
      </w:hyperlink>
    </w:p>
    <w:p w14:paraId="2201A2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H., Wong, J. B., Mendiratta, A., Heiman, G. A., &amp; Hamberger, M. J. (2011). Numeracy and framing bias in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29–33. </w:t>
      </w:r>
      <w:hyperlink r:id="rId1060" w:history="1">
        <w:r w:rsidRPr="005B38F0">
          <w:rPr>
            <w:rFonts w:ascii="Times New Roman" w:eastAsia="Times New Roman" w:hAnsi="Times New Roman" w:cs="Times New Roman"/>
            <w:color w:val="0000FF"/>
            <w:sz w:val="24"/>
            <w:szCs w:val="24"/>
            <w:u w:val="single"/>
          </w:rPr>
          <w:t>https://doi.org/10.1016/j.yebeh.2010.10.005</w:t>
        </w:r>
      </w:hyperlink>
    </w:p>
    <w:p w14:paraId="33D4FF9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 Choi, K.-H., Reddy, L. F., &amp; Fiszdon, J. M. (2014). Measuring motivation in schizophrenia: Is a general state of motivation necessary for task-specific motivation?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w:t>
      </w:r>
      <w:r w:rsidRPr="005B38F0">
        <w:rPr>
          <w:rFonts w:ascii="Times New Roman" w:eastAsia="Times New Roman" w:hAnsi="Times New Roman" w:cs="Times New Roman"/>
          <w:sz w:val="24"/>
          <w:szCs w:val="24"/>
        </w:rPr>
        <w:t xml:space="preserve">(1–3), 209–213. </w:t>
      </w:r>
      <w:hyperlink r:id="rId1061" w:history="1">
        <w:r w:rsidRPr="005B38F0">
          <w:rPr>
            <w:rFonts w:ascii="Times New Roman" w:eastAsia="Times New Roman" w:hAnsi="Times New Roman" w:cs="Times New Roman"/>
            <w:color w:val="0000FF"/>
            <w:sz w:val="24"/>
            <w:szCs w:val="24"/>
            <w:u w:val="single"/>
          </w:rPr>
          <w:t>https://doi.org/10.1016/j.schres.2014.01.027</w:t>
        </w:r>
      </w:hyperlink>
    </w:p>
    <w:p w14:paraId="0D5F4B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 &amp; Kurtz, M. M. (2009). A comparison of remediation techniques on the Wisconsin Card Sorting Test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107</w:t>
      </w:r>
      <w:r w:rsidRPr="005B38F0">
        <w:rPr>
          <w:rFonts w:ascii="Times New Roman" w:eastAsia="Times New Roman" w:hAnsi="Times New Roman" w:cs="Times New Roman"/>
          <w:sz w:val="24"/>
          <w:szCs w:val="24"/>
        </w:rPr>
        <w:t xml:space="preserve">(1), 76–82. </w:t>
      </w:r>
      <w:hyperlink r:id="rId1062" w:history="1">
        <w:r w:rsidRPr="005B38F0">
          <w:rPr>
            <w:rFonts w:ascii="Times New Roman" w:eastAsia="Times New Roman" w:hAnsi="Times New Roman" w:cs="Times New Roman"/>
            <w:color w:val="0000FF"/>
            <w:sz w:val="24"/>
            <w:szCs w:val="24"/>
            <w:u w:val="single"/>
          </w:rPr>
          <w:t>https://doi.org/10.1016/j.schres.2008.09.017</w:t>
        </w:r>
      </w:hyperlink>
    </w:p>
    <w:p w14:paraId="1BD4FE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 Lysaker, P. H., Bell, M. D., Dixon, L., Margolies, P., Gold, M., Golden-Roose, E., Thime, W., Haber, L. C., Dewberry, M. J., Stevens, M., Pearlson, G. D., &amp; Fiszdon, J. M. (2017). Decisional informatics for psychosocial rehabilitation: A feasibility pilot on tailored </w:t>
      </w:r>
      <w:r w:rsidRPr="005B38F0">
        <w:rPr>
          <w:rFonts w:ascii="Times New Roman" w:eastAsia="Times New Roman" w:hAnsi="Times New Roman" w:cs="Times New Roman"/>
          <w:sz w:val="24"/>
          <w:szCs w:val="24"/>
        </w:rPr>
        <w:lastRenderedPageBreak/>
        <w:t xml:space="preserve">and fluid treatment algorithms for serious mental illness.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205</w:t>
      </w:r>
      <w:r w:rsidRPr="005B38F0">
        <w:rPr>
          <w:rFonts w:ascii="Times New Roman" w:eastAsia="Times New Roman" w:hAnsi="Times New Roman" w:cs="Times New Roman"/>
          <w:sz w:val="24"/>
          <w:szCs w:val="24"/>
        </w:rPr>
        <w:t xml:space="preserve">(11), 867–872. </w:t>
      </w:r>
      <w:hyperlink r:id="rId1063" w:history="1">
        <w:r w:rsidRPr="005B38F0">
          <w:rPr>
            <w:rFonts w:ascii="Times New Roman" w:eastAsia="Times New Roman" w:hAnsi="Times New Roman" w:cs="Times New Roman"/>
            <w:color w:val="0000FF"/>
            <w:sz w:val="24"/>
            <w:szCs w:val="24"/>
            <w:u w:val="single"/>
          </w:rPr>
          <w:t>https://doi.org/10.1097/NMD.0000000000000747</w:t>
        </w:r>
      </w:hyperlink>
    </w:p>
    <w:p w14:paraId="5544BF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J.-S., Kang, D.-H., Kim, J.-J., Ha, T.-H., Lee, J.-M., Youn, T., Kim, I. Y., Kim, S. I., &amp; Kwon, J. S. (2004). Left anterior subregion of orbitofrontal cortex volume reduction and impaired organizational strategies in obsessive-compulsive disorder.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(2), 193–199. </w:t>
      </w:r>
      <w:hyperlink r:id="rId1064" w:history="1">
        <w:r w:rsidRPr="005B38F0">
          <w:rPr>
            <w:rFonts w:ascii="Times New Roman" w:eastAsia="Times New Roman" w:hAnsi="Times New Roman" w:cs="Times New Roman"/>
            <w:color w:val="0000FF"/>
            <w:sz w:val="24"/>
            <w:szCs w:val="24"/>
            <w:u w:val="single"/>
          </w:rPr>
          <w:t>https://doi.org/10.1016/j.jpsychires.2003.08.001</w:t>
        </w:r>
      </w:hyperlink>
    </w:p>
    <w:p w14:paraId="497990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K.-H., Fiszdon, J. M., &amp; Bell, M. D. (2013). Beyond cognition: A longitudinal investigation of the role of motivation during a vocational rehabilitation program.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w:t>
      </w:r>
      <w:r w:rsidRPr="005B38F0">
        <w:rPr>
          <w:rFonts w:ascii="Times New Roman" w:eastAsia="Times New Roman" w:hAnsi="Times New Roman" w:cs="Times New Roman"/>
          <w:sz w:val="24"/>
          <w:szCs w:val="24"/>
        </w:rPr>
        <w:t xml:space="preserve">(3), 173–178. </w:t>
      </w:r>
      <w:hyperlink r:id="rId1065" w:history="1">
        <w:r w:rsidRPr="005B38F0">
          <w:rPr>
            <w:rFonts w:ascii="Times New Roman" w:eastAsia="Times New Roman" w:hAnsi="Times New Roman" w:cs="Times New Roman"/>
            <w:color w:val="0000FF"/>
            <w:sz w:val="24"/>
            <w:szCs w:val="24"/>
            <w:u w:val="single"/>
          </w:rPr>
          <w:t>https://doi.org/10.1097/NMD.0b013e3182848bd4</w:t>
        </w:r>
      </w:hyperlink>
    </w:p>
    <w:p w14:paraId="57967F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K.-H., Kang, J., Kim, S.-M., Lee, S.-H., Park, S.-C., Lee, W.-H., Choi, S., Park, K., &amp; Hwang, T.-Y. (2018). Cognitive remediation in middle-aged or older inpatients with chronic schizophrenia: A randomized controlled trial in Korea.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 </w:t>
      </w:r>
      <w:hyperlink r:id="rId1066" w:history="1">
        <w:r w:rsidRPr="005B38F0">
          <w:rPr>
            <w:rFonts w:ascii="Times New Roman" w:eastAsia="Times New Roman" w:hAnsi="Times New Roman" w:cs="Times New Roman"/>
            <w:color w:val="0000FF"/>
            <w:sz w:val="24"/>
            <w:szCs w:val="24"/>
            <w:u w:val="single"/>
          </w:rPr>
          <w:t>https://doi.org/10.3389/fpsyg.2017.02364</w:t>
        </w:r>
      </w:hyperlink>
    </w:p>
    <w:p w14:paraId="43B3DA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K.-H., Wykes, T., &amp; Kurtz, M. M. (2013). Adjunctive pharmacotherapy for cognitive deficits in schizophrenia: Meta-analytical investigation of efficacy.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203</w:t>
      </w:r>
      <w:r w:rsidRPr="005B38F0">
        <w:rPr>
          <w:rFonts w:ascii="Times New Roman" w:eastAsia="Times New Roman" w:hAnsi="Times New Roman" w:cs="Times New Roman"/>
          <w:sz w:val="24"/>
          <w:szCs w:val="24"/>
        </w:rPr>
        <w:t xml:space="preserve">(3), 172–178. </w:t>
      </w:r>
      <w:hyperlink r:id="rId1067" w:history="1">
        <w:r w:rsidRPr="005B38F0">
          <w:rPr>
            <w:rFonts w:ascii="Times New Roman" w:eastAsia="Times New Roman" w:hAnsi="Times New Roman" w:cs="Times New Roman"/>
            <w:color w:val="0000FF"/>
            <w:sz w:val="24"/>
            <w:szCs w:val="24"/>
            <w:u w:val="single"/>
          </w:rPr>
          <w:t>https://doi.org/10.1192/bjp.bp.111.107359</w:t>
        </w:r>
      </w:hyperlink>
    </w:p>
    <w:p w14:paraId="65CAFC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Choi, S.-H., Kyeong, S., Cho, K. I. K., Yun, J.-Y., Lee, T. Y., Park, H. Y., Kim, S. N., &amp; Kwon, J. S. (2017). Brain network characteristics separating individuals at clinical high risk for psychosis into normality or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 107–114. </w:t>
      </w:r>
      <w:hyperlink r:id="rId1068" w:history="1">
        <w:r w:rsidRPr="005B38F0">
          <w:rPr>
            <w:rFonts w:ascii="Times New Roman" w:eastAsia="Times New Roman" w:hAnsi="Times New Roman" w:cs="Times New Roman"/>
            <w:color w:val="0000FF"/>
            <w:sz w:val="24"/>
            <w:szCs w:val="24"/>
            <w:u w:val="single"/>
          </w:rPr>
          <w:t>https://doi.org/10.1016/j.schres.2017.03.028</w:t>
        </w:r>
      </w:hyperlink>
    </w:p>
    <w:p w14:paraId="3738AD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 L.-N., Kuo, P.-H., Lin, C. C. H., &amp; Chen, W. J. (2010). Genetic and environmental influences on the Wisconsin Card Sorting Test performance in healthy adolescents: A </w:t>
      </w:r>
      <w:r w:rsidRPr="005B38F0">
        <w:rPr>
          <w:rFonts w:ascii="Times New Roman" w:eastAsia="Times New Roman" w:hAnsi="Times New Roman" w:cs="Times New Roman"/>
          <w:sz w:val="24"/>
          <w:szCs w:val="24"/>
        </w:rPr>
        <w:lastRenderedPageBreak/>
        <w:t xml:space="preserve">twin/sibling study. </w:t>
      </w:r>
      <w:r w:rsidRPr="005B38F0">
        <w:rPr>
          <w:rFonts w:ascii="Times New Roman" w:eastAsia="Times New Roman" w:hAnsi="Times New Roman" w:cs="Times New Roman"/>
          <w:i/>
          <w:iCs/>
          <w:sz w:val="24"/>
          <w:szCs w:val="24"/>
        </w:rPr>
        <w:t>Behavior Genetics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(1), 22–30. </w:t>
      </w:r>
      <w:hyperlink r:id="rId1069" w:history="1">
        <w:r w:rsidRPr="005B38F0">
          <w:rPr>
            <w:rFonts w:ascii="Times New Roman" w:eastAsia="Times New Roman" w:hAnsi="Times New Roman" w:cs="Times New Roman"/>
            <w:color w:val="0000FF"/>
            <w:sz w:val="24"/>
            <w:szCs w:val="24"/>
            <w:u w:val="single"/>
          </w:rPr>
          <w:t>https://doi.org/10.1007/s10519-009-9299-3</w:t>
        </w:r>
      </w:hyperlink>
    </w:p>
    <w:p w14:paraId="1467C3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 Y.-H., Wang, S.-J., Lirng, J.-F., Lin, C.-L., Yang, K.-C., Chen, C.-K., Yeh, C.-B., &amp; Liao, M.-H. (2012). Impaired cognition in bipolar I disorder: The roles of the serotonin transporter and brain-derived neurotrophic factor.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143</w:t>
      </w:r>
      <w:r w:rsidRPr="005B38F0">
        <w:rPr>
          <w:rFonts w:ascii="Times New Roman" w:eastAsia="Times New Roman" w:hAnsi="Times New Roman" w:cs="Times New Roman"/>
          <w:sz w:val="24"/>
          <w:szCs w:val="24"/>
        </w:rPr>
        <w:t xml:space="preserve">(1–3), 131–137. </w:t>
      </w:r>
      <w:hyperlink r:id="rId1070" w:history="1">
        <w:r w:rsidRPr="005B38F0">
          <w:rPr>
            <w:rFonts w:ascii="Times New Roman" w:eastAsia="Times New Roman" w:hAnsi="Times New Roman" w:cs="Times New Roman"/>
            <w:color w:val="0000FF"/>
            <w:sz w:val="24"/>
            <w:szCs w:val="24"/>
            <w:u w:val="single"/>
          </w:rPr>
          <w:t>https://doi.org/10.1016/j.jad.2012.05.043</w:t>
        </w:r>
      </w:hyperlink>
    </w:p>
    <w:p w14:paraId="6BD09D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M., Grizenko, N., Fortier, M., Thakur, G. A., Bellingham, J., &amp; Joober, R. (2012). LPHN3 and attention‐deficit/hyperactivity disorder: Interaction with maternal stress during pregnancy.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(8), 892–902. </w:t>
      </w:r>
      <w:hyperlink r:id="rId1071" w:history="1">
        <w:r w:rsidRPr="005B38F0">
          <w:rPr>
            <w:rFonts w:ascii="Times New Roman" w:eastAsia="Times New Roman" w:hAnsi="Times New Roman" w:cs="Times New Roman"/>
            <w:color w:val="0000FF"/>
            <w:sz w:val="24"/>
            <w:szCs w:val="24"/>
            <w:u w:val="single"/>
          </w:rPr>
          <w:t>https://doi.org/10.1111/j.1469-7610.2012.02551.x</w:t>
        </w:r>
      </w:hyperlink>
    </w:p>
    <w:p w14:paraId="3D3C7F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M., Grizenko, N., Harvey, W. J., Fortier, M.-E. ve, Schmitz, N., &amp; Joober, R. (2013). Body weight and ADHD: Examining the role of self-regulation.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 xml:space="preserve">(1). </w:t>
      </w:r>
      <w:hyperlink r:id="rId1072" w:history="1">
        <w:r w:rsidRPr="005B38F0">
          <w:rPr>
            <w:rFonts w:ascii="Times New Roman" w:eastAsia="Times New Roman" w:hAnsi="Times New Roman" w:cs="Times New Roman"/>
            <w:color w:val="0000FF"/>
            <w:sz w:val="24"/>
            <w:szCs w:val="24"/>
            <w:u w:val="single"/>
          </w:rPr>
          <w:t>https://doi.org/10.1371/journal.pone.0055351</w:t>
        </w:r>
      </w:hyperlink>
    </w:p>
    <w:p w14:paraId="54F668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M., Grizenko, N., Thakur, G. A., Fortier, M., Schmitz, N., &amp; Joober, R. (2013). Association between obesity‐related gene FTO and ADHD. </w:t>
      </w:r>
      <w:r w:rsidRPr="005B38F0">
        <w:rPr>
          <w:rFonts w:ascii="Times New Roman" w:eastAsia="Times New Roman" w:hAnsi="Times New Roman" w:cs="Times New Roman"/>
          <w:i/>
          <w:iCs/>
          <w:sz w:val="24"/>
          <w:szCs w:val="24"/>
        </w:rPr>
        <w:t>Obesity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(12), E738–E744. </w:t>
      </w:r>
      <w:hyperlink r:id="rId1073" w:history="1">
        <w:r w:rsidRPr="005B38F0">
          <w:rPr>
            <w:rFonts w:ascii="Times New Roman" w:eastAsia="Times New Roman" w:hAnsi="Times New Roman" w:cs="Times New Roman"/>
            <w:color w:val="0000FF"/>
            <w:sz w:val="24"/>
            <w:szCs w:val="24"/>
            <w:u w:val="single"/>
          </w:rPr>
          <w:t>https://doi.org/10.1002/oby.20444</w:t>
        </w:r>
      </w:hyperlink>
    </w:p>
    <w:p w14:paraId="0C20DC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Choudhry, Z., Sengupta, S., Thakur, G., Page, V., Schmitz, N., Grizenko, N., &amp; Joober, R. (2014). Catechol-o-methyltransferase gene and executive function in children with ADHD.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202–211. </w:t>
      </w:r>
      <w:hyperlink r:id="rId1074" w:history="1">
        <w:r w:rsidRPr="005B38F0">
          <w:rPr>
            <w:rFonts w:ascii="Times New Roman" w:eastAsia="Times New Roman" w:hAnsi="Times New Roman" w:cs="Times New Roman"/>
            <w:color w:val="0000FF"/>
            <w:sz w:val="24"/>
            <w:szCs w:val="24"/>
            <w:u w:val="single"/>
          </w:rPr>
          <w:t>https://doi.org/10.1177/1087054712438135</w:t>
        </w:r>
      </w:hyperlink>
    </w:p>
    <w:p w14:paraId="63B4C6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Choudhury, T. K., Davidson, J. E., Viswanathan, A., &amp; Strutt, A. M. (2017). Deep brain stimulation of the anterior limb of the internal capsule for treatment of therapy-refractory obsessive compulsive disorder (OCD): A case study highlighting neurocognitive and </w:t>
      </w:r>
      <w:r w:rsidRPr="005B38F0">
        <w:rPr>
          <w:rFonts w:ascii="Times New Roman" w:eastAsia="Times New Roman" w:hAnsi="Times New Roman" w:cs="Times New Roman"/>
          <w:sz w:val="24"/>
          <w:szCs w:val="24"/>
        </w:rPr>
        <w:lastRenderedPageBreak/>
        <w:t xml:space="preserve">psychiatric changes.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138–145. </w:t>
      </w:r>
      <w:hyperlink r:id="rId1075" w:history="1">
        <w:r w:rsidRPr="005B38F0">
          <w:rPr>
            <w:rFonts w:ascii="Times New Roman" w:eastAsia="Times New Roman" w:hAnsi="Times New Roman" w:cs="Times New Roman"/>
            <w:color w:val="0000FF"/>
            <w:sz w:val="24"/>
            <w:szCs w:val="24"/>
            <w:u w:val="single"/>
          </w:rPr>
          <w:t>https://doi.org/10.1080/13554794.2017.1319958</w:t>
        </w:r>
      </w:hyperlink>
    </w:p>
    <w:p w14:paraId="2928FC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Chow, E. W. C., Watson, M., Young, D. A., &amp; Bassett, A. S. (2006). Neurocognitive profile in 22q11 deletion syndrome and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87</w:t>
      </w:r>
      <w:r w:rsidRPr="005B38F0">
        <w:rPr>
          <w:rFonts w:ascii="Times New Roman" w:eastAsia="Times New Roman" w:hAnsi="Times New Roman" w:cs="Times New Roman"/>
          <w:sz w:val="24"/>
          <w:szCs w:val="24"/>
        </w:rPr>
        <w:t xml:space="preserve">(1–3), 270–278. </w:t>
      </w:r>
      <w:hyperlink r:id="rId1076" w:history="1">
        <w:r w:rsidRPr="005B38F0">
          <w:rPr>
            <w:rFonts w:ascii="Times New Roman" w:eastAsia="Times New Roman" w:hAnsi="Times New Roman" w:cs="Times New Roman"/>
            <w:color w:val="0000FF"/>
            <w:sz w:val="24"/>
            <w:szCs w:val="24"/>
            <w:u w:val="single"/>
          </w:rPr>
          <w:t>https://doi.org/10.1016/j.schres.2006.04.007</w:t>
        </w:r>
      </w:hyperlink>
    </w:p>
    <w:p w14:paraId="2462E4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 S. E., Steiner, R. D., Grange, D. K., Abrams, R. A., &amp; White, D. A. (2006). Inhibitory Control in Children With Phenylketonuria. </w:t>
      </w:r>
      <w:r w:rsidRPr="005B38F0">
        <w:rPr>
          <w:rFonts w:ascii="Times New Roman" w:eastAsia="Times New Roman" w:hAnsi="Times New Roman" w:cs="Times New Roman"/>
          <w:i/>
          <w:iCs/>
          <w:sz w:val="24"/>
          <w:szCs w:val="24"/>
        </w:rPr>
        <w:t>Developmental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(3), 845–864. </w:t>
      </w:r>
      <w:hyperlink r:id="rId1077" w:history="1">
        <w:r w:rsidRPr="005B38F0">
          <w:rPr>
            <w:rFonts w:ascii="Times New Roman" w:eastAsia="Times New Roman" w:hAnsi="Times New Roman" w:cs="Times New Roman"/>
            <w:color w:val="0000FF"/>
            <w:sz w:val="24"/>
            <w:szCs w:val="24"/>
            <w:u w:val="single"/>
          </w:rPr>
          <w:t>https://doi.org/10.1207/s15326942dn3003_5</w:t>
        </w:r>
      </w:hyperlink>
    </w:p>
    <w:p w14:paraId="00D25E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Christian, C. J., Lencz, T., Robinson, D. G., Burdick, K. E., Ashtari, M., Malhotra, A. K., Betensky, J. D., &amp; Szeszko, P. R. (2008). Gray matter structural alterations in obsessive–compulsive disorder: Relationship to neuropsychological functions.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164</w:t>
      </w:r>
      <w:r w:rsidRPr="005B38F0">
        <w:rPr>
          <w:rFonts w:ascii="Times New Roman" w:eastAsia="Times New Roman" w:hAnsi="Times New Roman" w:cs="Times New Roman"/>
          <w:sz w:val="24"/>
          <w:szCs w:val="24"/>
        </w:rPr>
        <w:t xml:space="preserve">(2), 123–131. </w:t>
      </w:r>
      <w:hyperlink r:id="rId1078" w:history="1">
        <w:r w:rsidRPr="005B38F0">
          <w:rPr>
            <w:rFonts w:ascii="Times New Roman" w:eastAsia="Times New Roman" w:hAnsi="Times New Roman" w:cs="Times New Roman"/>
            <w:color w:val="0000FF"/>
            <w:sz w:val="24"/>
            <w:szCs w:val="24"/>
            <w:u w:val="single"/>
          </w:rPr>
          <w:t>https://doi.org/10.1016/j.pscychresns.2008.03.005</w:t>
        </w:r>
      </w:hyperlink>
    </w:p>
    <w:p w14:paraId="217E11F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Christidi, F., Kararizou, E., Potagas, C., Triantafyllou, N. I., Stamboulis, E., &amp; Zalonis, I. (2014). Neurocognitive impairment in Whipple disease with central nervous system involvement.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51–56. </w:t>
      </w:r>
      <w:hyperlink r:id="rId1079" w:history="1">
        <w:r w:rsidRPr="005B38F0">
          <w:rPr>
            <w:rFonts w:ascii="Times New Roman" w:eastAsia="Times New Roman" w:hAnsi="Times New Roman" w:cs="Times New Roman"/>
            <w:color w:val="0000FF"/>
            <w:sz w:val="24"/>
            <w:szCs w:val="24"/>
            <w:u w:val="single"/>
          </w:rPr>
          <w:t>https://doi.org/10.1097/WNN.0000000000000016</w:t>
        </w:r>
      </w:hyperlink>
    </w:p>
    <w:p w14:paraId="7C83B5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Christidi, F., Kararizou, E., Triantafyllou, N. I., Paraskevas, G. P., &amp; Zalonis, I. (2013). Trail Making Test error analysis in classic motor neuron disease.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(8), 1367–1374. </w:t>
      </w:r>
      <w:hyperlink r:id="rId1080" w:history="1">
        <w:r w:rsidRPr="005B38F0">
          <w:rPr>
            <w:rFonts w:ascii="Times New Roman" w:eastAsia="Times New Roman" w:hAnsi="Times New Roman" w:cs="Times New Roman"/>
            <w:color w:val="0000FF"/>
            <w:sz w:val="24"/>
            <w:szCs w:val="24"/>
            <w:u w:val="single"/>
          </w:rPr>
          <w:t>https://doi.org/10.1007/s10072-012-1243-2</w:t>
        </w:r>
      </w:hyperlink>
    </w:p>
    <w:p w14:paraId="63E9123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Christman, A. L., Vannorsdall, T. D., Pearlson, G. D., Hill-Briggs, F., &amp; Schretlen, D. J. (2010). Cranial volume, mild cognitive deficits, and functional limitations associated with diabetes in a community sample.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49–59. </w:t>
      </w:r>
      <w:hyperlink r:id="rId1081" w:history="1">
        <w:r w:rsidRPr="005B38F0">
          <w:rPr>
            <w:rFonts w:ascii="Times New Roman" w:eastAsia="Times New Roman" w:hAnsi="Times New Roman" w:cs="Times New Roman"/>
            <w:color w:val="0000FF"/>
            <w:sz w:val="24"/>
            <w:szCs w:val="24"/>
            <w:u w:val="single"/>
          </w:rPr>
          <w:t>https://doi.org/10.1093/arclin/acp091</w:t>
        </w:r>
      </w:hyperlink>
    </w:p>
    <w:p w14:paraId="7F6CE1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Chu, W.-L., Huang, M.-W., Jian, B.-L., Hsu, C.-Y., &amp; Cheng, K.-S. (2016). A correlative classification study of schizophrenic patients with results of clinical evaluation and structural magnetic resonance images.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2016</w:t>
      </w:r>
      <w:r w:rsidRPr="005B38F0">
        <w:rPr>
          <w:rFonts w:ascii="Times New Roman" w:eastAsia="Times New Roman" w:hAnsi="Times New Roman" w:cs="Times New Roman"/>
          <w:sz w:val="24"/>
          <w:szCs w:val="24"/>
        </w:rPr>
        <w:t xml:space="preserve">. </w:t>
      </w:r>
      <w:hyperlink r:id="rId1082" w:history="1">
        <w:r w:rsidRPr="005B38F0">
          <w:rPr>
            <w:rFonts w:ascii="Times New Roman" w:eastAsia="Times New Roman" w:hAnsi="Times New Roman" w:cs="Times New Roman"/>
            <w:color w:val="0000FF"/>
            <w:sz w:val="24"/>
            <w:szCs w:val="24"/>
            <w:u w:val="single"/>
          </w:rPr>
          <w:t>https://doi.org/10.1155/2016/7849526</w:t>
        </w:r>
      </w:hyperlink>
    </w:p>
    <w:p w14:paraId="0F0899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Chuang, S. P., Wu, J. Y. W., Wang, C. S., Liu, C. H., &amp; Pan, L. H. (2016). Self concepts, health locus of control and cognitive functioning associated with health-promoting lifestyles in schizophrenia.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70</w:t>
      </w:r>
      <w:r w:rsidRPr="005B38F0">
        <w:rPr>
          <w:rFonts w:ascii="Times New Roman" w:eastAsia="Times New Roman" w:hAnsi="Times New Roman" w:cs="Times New Roman"/>
          <w:sz w:val="24"/>
          <w:szCs w:val="24"/>
        </w:rPr>
        <w:t xml:space="preserve">, 82–89. </w:t>
      </w:r>
      <w:hyperlink r:id="rId1083" w:history="1">
        <w:r w:rsidRPr="005B38F0">
          <w:rPr>
            <w:rFonts w:ascii="Times New Roman" w:eastAsia="Times New Roman" w:hAnsi="Times New Roman" w:cs="Times New Roman"/>
            <w:color w:val="0000FF"/>
            <w:sz w:val="24"/>
            <w:szCs w:val="24"/>
            <w:u w:val="single"/>
          </w:rPr>
          <w:t>https://doi.org/10.1016/j.comppsych.2016.06.014</w:t>
        </w:r>
      </w:hyperlink>
    </w:p>
    <w:p w14:paraId="57F794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Chuang, Y., &amp; Jiaxiu, Z. (2004). A Controlled Study of Executive Function in Heroin Addicts. [A Controlled Study of Executive Function in Heroin Addicts.].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(10), 682–684.</w:t>
      </w:r>
    </w:p>
    <w:p w14:paraId="4FFF80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Chubarov, E., Sommerfeld, E., Hermesh, H., Shoval, G., Weiser, M., &amp; Zalsman, G. (2015). Dynamic occupation assessment of executive function in adolescents with schizophrenia spectrum disorders: An initial report. </w:t>
      </w:r>
      <w:r w:rsidRPr="005B38F0">
        <w:rPr>
          <w:rFonts w:ascii="Times New Roman" w:eastAsia="Times New Roman" w:hAnsi="Times New Roman" w:cs="Times New Roman"/>
          <w:i/>
          <w:iCs/>
          <w:sz w:val="24"/>
          <w:szCs w:val="24"/>
        </w:rPr>
        <w:t>European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(8), 894–899. </w:t>
      </w:r>
      <w:hyperlink r:id="rId1084" w:history="1">
        <w:r w:rsidRPr="005B38F0">
          <w:rPr>
            <w:rFonts w:ascii="Times New Roman" w:eastAsia="Times New Roman" w:hAnsi="Times New Roman" w:cs="Times New Roman"/>
            <w:color w:val="0000FF"/>
            <w:sz w:val="24"/>
            <w:szCs w:val="24"/>
            <w:u w:val="single"/>
          </w:rPr>
          <w:t>https://doi.org/10.1016/j.eurpsy.2015.09.001</w:t>
        </w:r>
      </w:hyperlink>
    </w:p>
    <w:p w14:paraId="17E7A3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A., Lyoo, I. K., Kim, S. J., Hwang, J., Bae, S. C., Sung, Y. H., Sim, M. E., Song, I. C., Kim, J., Chang, K. H., &amp; Renshaw, P. F. (2007). Decreased frontal white-matter integrity in abstinent methamphetamine abusers. </w:t>
      </w:r>
      <w:r w:rsidRPr="005B38F0">
        <w:rPr>
          <w:rFonts w:ascii="Times New Roman" w:eastAsia="Times New Roman" w:hAnsi="Times New Roman" w:cs="Times New Roman"/>
          <w:i/>
          <w:iCs/>
          <w:sz w:val="24"/>
          <w:szCs w:val="24"/>
        </w:rPr>
        <w:t>International Journal of 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(6), 765–775. </w:t>
      </w:r>
      <w:hyperlink r:id="rId1085" w:history="1">
        <w:r w:rsidRPr="005B38F0">
          <w:rPr>
            <w:rFonts w:ascii="Times New Roman" w:eastAsia="Times New Roman" w:hAnsi="Times New Roman" w:cs="Times New Roman"/>
            <w:color w:val="0000FF"/>
            <w:sz w:val="24"/>
            <w:szCs w:val="24"/>
            <w:u w:val="single"/>
          </w:rPr>
          <w:t>https://doi.org/10.1017/S1461145706007395</w:t>
        </w:r>
      </w:hyperlink>
    </w:p>
    <w:p w14:paraId="2C7117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D. M.-T., Jerram, M. W., Lee, J. K., Katz, H., &amp; Gansler, D. A. (2013). Convergence and divergence of neuroanatomic correlates and executive task performance in healthy controls and psychiatric participants.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214</w:t>
      </w:r>
      <w:r w:rsidRPr="005B38F0">
        <w:rPr>
          <w:rFonts w:ascii="Times New Roman" w:eastAsia="Times New Roman" w:hAnsi="Times New Roman" w:cs="Times New Roman"/>
          <w:sz w:val="24"/>
          <w:szCs w:val="24"/>
        </w:rPr>
        <w:t xml:space="preserve">(3), 221–228. </w:t>
      </w:r>
      <w:hyperlink r:id="rId1086" w:history="1">
        <w:r w:rsidRPr="005B38F0">
          <w:rPr>
            <w:rFonts w:ascii="Times New Roman" w:eastAsia="Times New Roman" w:hAnsi="Times New Roman" w:cs="Times New Roman"/>
            <w:color w:val="0000FF"/>
            <w:sz w:val="24"/>
            <w:szCs w:val="24"/>
            <w:u w:val="single"/>
          </w:rPr>
          <w:t>https://doi.org/10.1016/j.pscychresns.2013.08.006</w:t>
        </w:r>
      </w:hyperlink>
    </w:p>
    <w:p w14:paraId="099678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Chung, K.-H., Huang, S.-H., Wu, J.-Y., Chen, P.-H., Hsu, J.-L., &amp; Tsai, S.-Y. (2013). The link between high-sensitivity C-reactive protein and orbitofrontal cortex in euthymic bipolar disorder. </w:t>
      </w:r>
      <w:r w:rsidRPr="005B38F0">
        <w:rPr>
          <w:rFonts w:ascii="Times New Roman" w:eastAsia="Times New Roman" w:hAnsi="Times New Roman" w:cs="Times New Roman"/>
          <w:i/>
          <w:iCs/>
          <w:sz w:val="24"/>
          <w:szCs w:val="24"/>
        </w:rPr>
        <w:t>Neuropsychobiology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(3), 168–173. </w:t>
      </w:r>
      <w:hyperlink r:id="rId1087" w:history="1">
        <w:r w:rsidRPr="005B38F0">
          <w:rPr>
            <w:rFonts w:ascii="Times New Roman" w:eastAsia="Times New Roman" w:hAnsi="Times New Roman" w:cs="Times New Roman"/>
            <w:color w:val="0000FF"/>
            <w:sz w:val="24"/>
            <w:szCs w:val="24"/>
            <w:u w:val="single"/>
          </w:rPr>
          <w:t>https://doi.org/10.1159/000353613</w:t>
        </w:r>
      </w:hyperlink>
    </w:p>
    <w:p w14:paraId="6C96B69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S., Chung, H. Y., Jung, J., Chang, J. K., &amp; Hong, J. P. (2010). Association among aggressiveness, neurocognitive function, and the Val66Met polymorphism of brain-derived neurotrophic factor gene in male schizophrenic patients.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51</w:t>
      </w:r>
      <w:r w:rsidRPr="005B38F0">
        <w:rPr>
          <w:rFonts w:ascii="Times New Roman" w:eastAsia="Times New Roman" w:hAnsi="Times New Roman" w:cs="Times New Roman"/>
          <w:sz w:val="24"/>
          <w:szCs w:val="24"/>
        </w:rPr>
        <w:t xml:space="preserve">(4), 367–372. </w:t>
      </w:r>
      <w:hyperlink r:id="rId1088" w:history="1">
        <w:r w:rsidRPr="005B38F0">
          <w:rPr>
            <w:rFonts w:ascii="Times New Roman" w:eastAsia="Times New Roman" w:hAnsi="Times New Roman" w:cs="Times New Roman"/>
            <w:color w:val="0000FF"/>
            <w:sz w:val="24"/>
            <w:szCs w:val="24"/>
            <w:u w:val="single"/>
          </w:rPr>
          <w:t>https://doi.org/10.1016/j.comppsych.2009.10.003</w:t>
        </w:r>
      </w:hyperlink>
    </w:p>
    <w:p w14:paraId="6CE722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Y. S., Kang, D.-H., Shin, N. Y., Yoo, S. Y., &amp; Kwon, J. S. (2008). Deficit of theory of mind in individuals at ultra-high-risk for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99</w:t>
      </w:r>
      <w:r w:rsidRPr="005B38F0">
        <w:rPr>
          <w:rFonts w:ascii="Times New Roman" w:eastAsia="Times New Roman" w:hAnsi="Times New Roman" w:cs="Times New Roman"/>
          <w:sz w:val="24"/>
          <w:szCs w:val="24"/>
        </w:rPr>
        <w:t xml:space="preserve">(1–3), 111–118. </w:t>
      </w:r>
      <w:hyperlink r:id="rId1089" w:history="1">
        <w:r w:rsidRPr="005B38F0">
          <w:rPr>
            <w:rFonts w:ascii="Times New Roman" w:eastAsia="Times New Roman" w:hAnsi="Times New Roman" w:cs="Times New Roman"/>
            <w:color w:val="0000FF"/>
            <w:sz w:val="24"/>
            <w:szCs w:val="24"/>
            <w:u w:val="single"/>
          </w:rPr>
          <w:t>https://doi.org/10.1016/j.schres.2007.11.012</w:t>
        </w:r>
      </w:hyperlink>
    </w:p>
    <w:p w14:paraId="7A21C2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Y.-C., Fisher, B. E., Finley, J. M., Kim, A., Petkus, A. J., Schiehser, D. M., Jakowec, M. W., &amp; Petzinger, G. M. (2021). Cognition and motor learning in a Parkinson’s disease cohort: Importance of recall in episodic memory. </w:t>
      </w:r>
      <w:r w:rsidRPr="005B38F0">
        <w:rPr>
          <w:rFonts w:ascii="Times New Roman" w:eastAsia="Times New Roman" w:hAnsi="Times New Roman" w:cs="Times New Roman"/>
          <w:i/>
          <w:iCs/>
          <w:sz w:val="24"/>
          <w:szCs w:val="24"/>
        </w:rPr>
        <w:t>NeuroReport: For Rapid Communication of Neuroscience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(14), 1153–1160. </w:t>
      </w:r>
      <w:hyperlink r:id="rId1090" w:history="1">
        <w:r w:rsidRPr="005B38F0">
          <w:rPr>
            <w:rFonts w:ascii="Times New Roman" w:eastAsia="Times New Roman" w:hAnsi="Times New Roman" w:cs="Times New Roman"/>
            <w:color w:val="0000FF"/>
            <w:sz w:val="24"/>
            <w:szCs w:val="24"/>
            <w:u w:val="single"/>
          </w:rPr>
          <w:t>https://doi.org/10.1097/WNR.0000000000001707</w:t>
        </w:r>
      </w:hyperlink>
    </w:p>
    <w:p w14:paraId="7C2F03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Chung, Y.-C., Park, T.-W., Yang, J.-C., Huang, G.-B., Zhao, T., Oh, K.-Y., &amp; Kim, M.-G. (2012). Cognitive effects of a single dose of atypical antipsychotics in healthy volunteers compared with placebo or haloperidol.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(6), 778–786. </w:t>
      </w:r>
      <w:hyperlink r:id="rId1091" w:history="1">
        <w:r w:rsidRPr="005B38F0">
          <w:rPr>
            <w:rFonts w:ascii="Times New Roman" w:eastAsia="Times New Roman" w:hAnsi="Times New Roman" w:cs="Times New Roman"/>
            <w:color w:val="0000FF"/>
            <w:sz w:val="24"/>
            <w:szCs w:val="24"/>
            <w:u w:val="single"/>
          </w:rPr>
          <w:t>https://doi.org/10.1097/JCP.0b013e318272d10c</w:t>
        </w:r>
      </w:hyperlink>
    </w:p>
    <w:p w14:paraId="329730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Chunling, W., &amp; Zheng, X. (2016). Review on clinical update of essential tremor.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(4), 495–502. </w:t>
      </w:r>
      <w:hyperlink r:id="rId1092" w:history="1">
        <w:r w:rsidRPr="005B38F0">
          <w:rPr>
            <w:rFonts w:ascii="Times New Roman" w:eastAsia="Times New Roman" w:hAnsi="Times New Roman" w:cs="Times New Roman"/>
            <w:color w:val="0000FF"/>
            <w:sz w:val="24"/>
            <w:szCs w:val="24"/>
            <w:u w:val="single"/>
          </w:rPr>
          <w:t>https://doi.org/10.1007/s10072-015-2380-1</w:t>
        </w:r>
      </w:hyperlink>
    </w:p>
    <w:p w14:paraId="6D3DA3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Cianchetti, C., Corona, S., Foscoliano, M., Contu, D., &amp; Sannio-Fancello, G. (2007). Modified Wisconsin Card Sorting Test (MCST, MWCST): Normative data in children 4-13 years old, </w:t>
      </w:r>
      <w:r w:rsidRPr="005B38F0">
        <w:rPr>
          <w:rFonts w:ascii="Times New Roman" w:eastAsia="Times New Roman" w:hAnsi="Times New Roman" w:cs="Times New Roman"/>
          <w:sz w:val="24"/>
          <w:szCs w:val="24"/>
        </w:rPr>
        <w:lastRenderedPageBreak/>
        <w:t xml:space="preserve">according to classical and new types of scoring.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456–478. </w:t>
      </w:r>
      <w:hyperlink r:id="rId1093" w:history="1">
        <w:r w:rsidRPr="005B38F0">
          <w:rPr>
            <w:rFonts w:ascii="Times New Roman" w:eastAsia="Times New Roman" w:hAnsi="Times New Roman" w:cs="Times New Roman"/>
            <w:color w:val="0000FF"/>
            <w:sz w:val="24"/>
            <w:szCs w:val="24"/>
            <w:u w:val="single"/>
          </w:rPr>
          <w:t>https://doi.org/10.1080/13854040600629766</w:t>
        </w:r>
      </w:hyperlink>
    </w:p>
    <w:p w14:paraId="70C110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Ciaramelli, E., Muccioli, M., Làdavas, E., &amp; di Pellegrino, G. (2007). Selective deficit in personal moral judgment following damage to ventromedial prefrontal cortex. </w:t>
      </w:r>
      <w:r w:rsidRPr="005B38F0">
        <w:rPr>
          <w:rFonts w:ascii="Times New Roman" w:eastAsia="Times New Roman" w:hAnsi="Times New Roman" w:cs="Times New Roman"/>
          <w:i/>
          <w:iCs/>
          <w:sz w:val="24"/>
          <w:szCs w:val="24"/>
        </w:rPr>
        <w:t>Social Cognitive and Affective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(2), 84–92. </w:t>
      </w:r>
      <w:hyperlink r:id="rId1094" w:history="1">
        <w:r w:rsidRPr="005B38F0">
          <w:rPr>
            <w:rFonts w:ascii="Times New Roman" w:eastAsia="Times New Roman" w:hAnsi="Times New Roman" w:cs="Times New Roman"/>
            <w:color w:val="0000FF"/>
            <w:sz w:val="24"/>
            <w:szCs w:val="24"/>
            <w:u w:val="single"/>
          </w:rPr>
          <w:t>https://doi.org/10.1093/scan/nsm001</w:t>
        </w:r>
      </w:hyperlink>
    </w:p>
    <w:p w14:paraId="39ACF24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Ciaramelli, E., Neri, F., Marini, L., &amp; Braghittoni, D. (2015). Improving memory following prefrontal cortex damage with the PQRST method. </w:t>
      </w:r>
      <w:r w:rsidRPr="005B38F0">
        <w:rPr>
          <w:rFonts w:ascii="Times New Roman" w:eastAsia="Times New Roman" w:hAnsi="Times New Roman" w:cs="Times New Roman"/>
          <w:i/>
          <w:iCs/>
          <w:sz w:val="24"/>
          <w:szCs w:val="24"/>
        </w:rPr>
        <w:t>Frontiers in Behavioral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w:t>
      </w:r>
    </w:p>
    <w:p w14:paraId="3AD6E4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Ciaramelli, E., Rosenbaum, R. S., Solcz, S., Levine, B., &amp; Moscovitch, M. (2010). Mental space travel: Damage to posterior parietal cortex prevents egocentric navigation and reexperiencing of remote spatial memories. </w:t>
      </w:r>
      <w:r w:rsidRPr="005B38F0">
        <w:rPr>
          <w:rFonts w:ascii="Times New Roman" w:eastAsia="Times New Roman" w:hAnsi="Times New Roman" w:cs="Times New Roman"/>
          <w:i/>
          <w:iCs/>
          <w:sz w:val="24"/>
          <w:szCs w:val="24"/>
        </w:rPr>
        <w:t>Journal of Experimental Psychology: Learning, Memory,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(3), 619–634. </w:t>
      </w:r>
      <w:hyperlink r:id="rId1095" w:history="1">
        <w:r w:rsidRPr="005B38F0">
          <w:rPr>
            <w:rFonts w:ascii="Times New Roman" w:eastAsia="Times New Roman" w:hAnsi="Times New Roman" w:cs="Times New Roman"/>
            <w:color w:val="0000FF"/>
            <w:sz w:val="24"/>
            <w:szCs w:val="24"/>
            <w:u w:val="single"/>
          </w:rPr>
          <w:t>https://doi.org/10.1037/a0019181</w:t>
        </w:r>
      </w:hyperlink>
    </w:p>
    <w:p w14:paraId="60F7E6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Çiçek, M., &amp; Nalçaci, E. (2001). Interhemispheric asymmetry of EEG alpha activity at rest and during the Wisconsin Card Sorting Test: Relations with performance. </w:t>
      </w:r>
      <w:r w:rsidRPr="005B38F0">
        <w:rPr>
          <w:rFonts w:ascii="Times New Roman" w:eastAsia="Times New Roman" w:hAnsi="Times New Roman" w:cs="Times New Roman"/>
          <w:i/>
          <w:iCs/>
          <w:sz w:val="24"/>
          <w:szCs w:val="24"/>
        </w:rPr>
        <w:t>Biological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75–88. </w:t>
      </w:r>
      <w:hyperlink r:id="rId1096" w:history="1">
        <w:r w:rsidRPr="005B38F0">
          <w:rPr>
            <w:rFonts w:ascii="Times New Roman" w:eastAsia="Times New Roman" w:hAnsi="Times New Roman" w:cs="Times New Roman"/>
            <w:color w:val="0000FF"/>
            <w:sz w:val="24"/>
            <w:szCs w:val="24"/>
            <w:u w:val="single"/>
          </w:rPr>
          <w:t>https://doi.org/10.1016/S0301-0511(01)00103-X</w:t>
        </w:r>
      </w:hyperlink>
    </w:p>
    <w:p w14:paraId="21572D1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Ciesielski, K. T., Ahlfors, S. P., Bedrick, E. J., Kerwin, A. A., &amp; Hämäläinen, M. S. (2010). Top-down control of MEG alpha-band activity in children performing categorical N-back task.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(12), 3573–3579. </w:t>
      </w:r>
      <w:hyperlink r:id="rId1097" w:history="1">
        <w:r w:rsidRPr="005B38F0">
          <w:rPr>
            <w:rFonts w:ascii="Times New Roman" w:eastAsia="Times New Roman" w:hAnsi="Times New Roman" w:cs="Times New Roman"/>
            <w:color w:val="0000FF"/>
            <w:sz w:val="24"/>
            <w:szCs w:val="24"/>
            <w:u w:val="single"/>
          </w:rPr>
          <w:t>https://doi.org/10.1016/j.neuropsychologia.2010.08.006</w:t>
        </w:r>
      </w:hyperlink>
    </w:p>
    <w:p w14:paraId="2868AD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Ciesielski, K. T., Harris, R. J., &amp; Cofer, L. F. (2004). Posterior brain ERP patterns related to the go/no-go task in children. </w:t>
      </w:r>
      <w:r w:rsidRPr="005B38F0">
        <w:rPr>
          <w:rFonts w:ascii="Times New Roman" w:eastAsia="Times New Roman" w:hAnsi="Times New Roman" w:cs="Times New Roman"/>
          <w:i/>
          <w:iCs/>
          <w:sz w:val="24"/>
          <w:szCs w:val="24"/>
        </w:rPr>
        <w:t>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(6), 882–892. </w:t>
      </w:r>
      <w:hyperlink r:id="rId1098" w:history="1">
        <w:r w:rsidRPr="005B38F0">
          <w:rPr>
            <w:rFonts w:ascii="Times New Roman" w:eastAsia="Times New Roman" w:hAnsi="Times New Roman" w:cs="Times New Roman"/>
            <w:color w:val="0000FF"/>
            <w:sz w:val="24"/>
            <w:szCs w:val="24"/>
            <w:u w:val="single"/>
          </w:rPr>
          <w:t>https://doi.org/10.1111/j.1469-8986.2004.00250.x</w:t>
        </w:r>
      </w:hyperlink>
    </w:p>
    <w:p w14:paraId="52DCCC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Cilia, R., Siri, C., Marotta, G., De Gaspari, D., Landi, A., Mariani, C. B., Benti, R., Isaias, I. U., Vergani, F., Pezzoli, G., &amp; Antonini, A. (2007). Brain networks underlining verbal fluency </w:t>
      </w:r>
      <w:r w:rsidRPr="005B38F0">
        <w:rPr>
          <w:rFonts w:ascii="Times New Roman" w:eastAsia="Times New Roman" w:hAnsi="Times New Roman" w:cs="Times New Roman"/>
          <w:sz w:val="24"/>
          <w:szCs w:val="24"/>
        </w:rPr>
        <w:lastRenderedPageBreak/>
        <w:t xml:space="preserve">decline during STN-DBS in Parkinson’s disease: An ECD-PECT study. </w:t>
      </w:r>
      <w:r w:rsidRPr="005B38F0">
        <w:rPr>
          <w:rFonts w:ascii="Times New Roman" w:eastAsia="Times New Roman" w:hAnsi="Times New Roman" w:cs="Times New Roman"/>
          <w:i/>
          <w:iCs/>
          <w:sz w:val="24"/>
          <w:szCs w:val="24"/>
        </w:rPr>
        <w:t>Parkinsonism &amp; Related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(5), 290–294. </w:t>
      </w:r>
      <w:hyperlink r:id="rId1099" w:history="1">
        <w:r w:rsidRPr="005B38F0">
          <w:rPr>
            <w:rFonts w:ascii="Times New Roman" w:eastAsia="Times New Roman" w:hAnsi="Times New Roman" w:cs="Times New Roman"/>
            <w:color w:val="0000FF"/>
            <w:sz w:val="24"/>
            <w:szCs w:val="24"/>
            <w:u w:val="single"/>
          </w:rPr>
          <w:t>https://doi.org/10.1016/j.parkreldis.2006.11.011</w:t>
        </w:r>
      </w:hyperlink>
    </w:p>
    <w:p w14:paraId="7B8AEE4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Cinan, S. (2006a). Age-related changes in concept formation, rule switching, and perseverative behaviors: A study using WCST with 12 unidimensional target. </w:t>
      </w:r>
      <w:r w:rsidRPr="005B38F0">
        <w:rPr>
          <w:rFonts w:ascii="Times New Roman" w:eastAsia="Times New Roman" w:hAnsi="Times New Roman" w:cs="Times New Roman"/>
          <w:i/>
          <w:iCs/>
          <w:sz w:val="24"/>
          <w:szCs w:val="24"/>
        </w:rPr>
        <w:t>Cognitive Development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377–382. </w:t>
      </w:r>
      <w:hyperlink r:id="rId1100" w:history="1">
        <w:r w:rsidRPr="005B38F0">
          <w:rPr>
            <w:rFonts w:ascii="Times New Roman" w:eastAsia="Times New Roman" w:hAnsi="Times New Roman" w:cs="Times New Roman"/>
            <w:color w:val="0000FF"/>
            <w:sz w:val="24"/>
            <w:szCs w:val="24"/>
            <w:u w:val="single"/>
          </w:rPr>
          <w:t>https://doi.org/10.1016/j.cogdev.2006.03.002</w:t>
        </w:r>
      </w:hyperlink>
    </w:p>
    <w:p w14:paraId="1BE3B7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Cinan, S. (2006b). Ketleyici Kontrolün Gelişimi ve Wisconsin Kart Eşleme Testi. [Development of Inhibitory Control and the Wisconsin Card Sorting Test.]. </w:t>
      </w:r>
      <w:r w:rsidRPr="005B38F0">
        <w:rPr>
          <w:rFonts w:ascii="Times New Roman" w:eastAsia="Times New Roman" w:hAnsi="Times New Roman" w:cs="Times New Roman"/>
          <w:i/>
          <w:iCs/>
          <w:sz w:val="24"/>
          <w:szCs w:val="24"/>
        </w:rPr>
        <w:t>Türk Psikoloji Yazilari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(18), 101–112.</w:t>
      </w:r>
    </w:p>
    <w:p w14:paraId="0A1086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Cinan, S., &amp; Tanör, Ö. Ö. (2002). An attempt to discriminate different types of executive functions in the Wisconsin Card Sorting Test. </w:t>
      </w:r>
      <w:r w:rsidRPr="005B38F0">
        <w:rPr>
          <w:rFonts w:ascii="Times New Roman" w:eastAsia="Times New Roman" w:hAnsi="Times New Roman" w:cs="Times New Roman"/>
          <w:i/>
          <w:iCs/>
          <w:sz w:val="24"/>
          <w:szCs w:val="24"/>
        </w:rPr>
        <w:t>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(4), 277–289. </w:t>
      </w:r>
      <w:hyperlink r:id="rId1101" w:history="1">
        <w:r w:rsidRPr="005B38F0">
          <w:rPr>
            <w:rFonts w:ascii="Times New Roman" w:eastAsia="Times New Roman" w:hAnsi="Times New Roman" w:cs="Times New Roman"/>
            <w:color w:val="0000FF"/>
            <w:sz w:val="24"/>
            <w:szCs w:val="24"/>
            <w:u w:val="single"/>
          </w:rPr>
          <w:t>https://doi.org/10.1080/09658210143000399</w:t>
        </w:r>
      </w:hyperlink>
    </w:p>
    <w:p w14:paraId="37103C3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Cirino, P. T., Chapieski, M. L., &amp; Massman, P. J. (2000). Card sorting performance and ADHD symptomatology in children and adolescents with Tourette Syndrome.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245–256. </w:t>
      </w:r>
      <w:hyperlink r:id="rId1102" w:history="1">
        <w:r w:rsidRPr="005B38F0">
          <w:rPr>
            <w:rFonts w:ascii="Times New Roman" w:eastAsia="Times New Roman" w:hAnsi="Times New Roman" w:cs="Times New Roman"/>
            <w:color w:val="0000FF"/>
            <w:sz w:val="24"/>
            <w:szCs w:val="24"/>
            <w:u w:val="single"/>
          </w:rPr>
          <w:t>https://doi.org/10.1076/1380-3395(200004)22:2;1-1;FT245</w:t>
        </w:r>
      </w:hyperlink>
    </w:p>
    <w:p w14:paraId="04E1F5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Ciscar, S., Perpiñá, C., Blasco, L., &amp; Segura, M. (2019). Funcionamiento ejecutivo, afecto y autorregulación alimentaria en los trastornos alimentarios y la obesidad. [Executive functioning, affect and eating self-regulation in eating disorders and obesity.]. </w:t>
      </w:r>
      <w:r w:rsidRPr="005B38F0">
        <w:rPr>
          <w:rFonts w:ascii="Times New Roman" w:eastAsia="Times New Roman" w:hAnsi="Times New Roman" w:cs="Times New Roman"/>
          <w:i/>
          <w:iCs/>
          <w:sz w:val="24"/>
          <w:szCs w:val="24"/>
        </w:rPr>
        <w:t>Revista Argentina de Clínica Psicológica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(1), 1–11.</w:t>
      </w:r>
    </w:p>
    <w:p w14:paraId="6BA15BB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Citak, S., Cakici, E. T., Cakici, M., &amp; Kose, S. (2013). Neuropsychological assessment in patients with paranoid and non-paranoid schizophrenia. </w:t>
      </w:r>
      <w:r w:rsidRPr="005B38F0">
        <w:rPr>
          <w:rFonts w:ascii="Times New Roman" w:eastAsia="Times New Roman" w:hAnsi="Times New Roman" w:cs="Times New Roman"/>
          <w:i/>
          <w:iCs/>
          <w:sz w:val="24"/>
          <w:szCs w:val="24"/>
        </w:rPr>
        <w:t>Klinik Psikofarmakoloji Bülteni / Bulletin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(4), 294–304. </w:t>
      </w:r>
      <w:hyperlink r:id="rId1103" w:history="1">
        <w:r w:rsidRPr="005B38F0">
          <w:rPr>
            <w:rFonts w:ascii="Times New Roman" w:eastAsia="Times New Roman" w:hAnsi="Times New Roman" w:cs="Times New Roman"/>
            <w:color w:val="0000FF"/>
            <w:sz w:val="24"/>
            <w:szCs w:val="24"/>
            <w:u w:val="single"/>
          </w:rPr>
          <w:t>https://doi.org/10.5455/bcp.20131213040431</w:t>
        </w:r>
      </w:hyperlink>
    </w:p>
    <w:p w14:paraId="2847C2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Ciurli, P., Bivona, U., Barba, C., Onder, G., Silvestro, D., Azicnuda, E., Rigon, J., &amp; Formisano, R. (2010). Metacognitive unawareness correlates with executive function impairment after severe traumatic brain injury.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(2), 360–368. </w:t>
      </w:r>
      <w:hyperlink r:id="rId1104" w:history="1">
        <w:r w:rsidRPr="005B38F0">
          <w:rPr>
            <w:rFonts w:ascii="Times New Roman" w:eastAsia="Times New Roman" w:hAnsi="Times New Roman" w:cs="Times New Roman"/>
            <w:color w:val="0000FF"/>
            <w:sz w:val="24"/>
            <w:szCs w:val="24"/>
            <w:u w:val="single"/>
          </w:rPr>
          <w:t>https://doi.org/10.1017/S135561770999141X</w:t>
        </w:r>
      </w:hyperlink>
    </w:p>
    <w:p w14:paraId="63EABA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Ci̇vi̇l Arslan, F., Ti̇ryaki̇, A., Özkorumak, E., Aral, G., Sarioğlu, O., İnce, İ., Çankaya, S., &amp; Alver, A. (2017). The relationship of interleukin-18 and interleukin-6 levels with cognitive functions in bipolar disorder. </w:t>
      </w:r>
      <w:r w:rsidRPr="005B38F0">
        <w:rPr>
          <w:rFonts w:ascii="Times New Roman" w:eastAsia="Times New Roman" w:hAnsi="Times New Roman" w:cs="Times New Roman"/>
          <w:i/>
          <w:iCs/>
          <w:sz w:val="24"/>
          <w:szCs w:val="24"/>
        </w:rPr>
        <w:t>Türk Psikiyatri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(2), 1–8.</w:t>
      </w:r>
    </w:p>
    <w:p w14:paraId="3F0CBF1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Claes, L., Fagundo, A. B., Jiménez‐Murcia, S., Agüera, Z., Giner‐Bartolome, C., Granero, R., Sánchez, I., Riesco, N., Menchón, J. M., Tarrega, S., &amp; Fernandez‐Aranda, F. (2015). Is non‐suicidal self‐injury related to impulsivity in anorexia nervosa? Results from self‐report and performance‐based tasks.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 28–33. </w:t>
      </w:r>
      <w:hyperlink r:id="rId1105" w:history="1">
        <w:r w:rsidRPr="005B38F0">
          <w:rPr>
            <w:rFonts w:ascii="Times New Roman" w:eastAsia="Times New Roman" w:hAnsi="Times New Roman" w:cs="Times New Roman"/>
            <w:color w:val="0000FF"/>
            <w:sz w:val="24"/>
            <w:szCs w:val="24"/>
            <w:u w:val="single"/>
          </w:rPr>
          <w:t>https://doi.org/10.1002/erv.2329</w:t>
        </w:r>
      </w:hyperlink>
    </w:p>
    <w:p w14:paraId="670B717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Clague, F., Dudas, R. B., Thompson, S. A., Graham, K. S., &amp; Hodges, J. R. (2005). Multidimensional measures of person knowledge and spatial associative learning: Can these be applied to the differentiation of Alzheimer’s disease from frontotemporal and vascular dementia?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(9), 1338–1350. </w:t>
      </w:r>
      <w:hyperlink r:id="rId1106" w:history="1">
        <w:r w:rsidRPr="005B38F0">
          <w:rPr>
            <w:rFonts w:ascii="Times New Roman" w:eastAsia="Times New Roman" w:hAnsi="Times New Roman" w:cs="Times New Roman"/>
            <w:color w:val="0000FF"/>
            <w:sz w:val="24"/>
            <w:szCs w:val="24"/>
            <w:u w:val="single"/>
          </w:rPr>
          <w:t>https://doi.org/10.1016/j.neuropsychologia.2004.11.023</w:t>
        </w:r>
      </w:hyperlink>
    </w:p>
    <w:p w14:paraId="3D0C4D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Clarici, A., &amp; Giuliani, R. (2008). Growing up with a brain-damaged mother: Anosognosia by proxy? </w:t>
      </w:r>
      <w:r w:rsidRPr="005B38F0">
        <w:rPr>
          <w:rFonts w:ascii="Times New Roman" w:eastAsia="Times New Roman" w:hAnsi="Times New Roman" w:cs="Times New Roman"/>
          <w:i/>
          <w:iCs/>
          <w:sz w:val="24"/>
          <w:szCs w:val="24"/>
        </w:rPr>
        <w:t>Neuro-Psychoanalysis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(1), 59–79. </w:t>
      </w:r>
      <w:hyperlink r:id="rId1107" w:history="1">
        <w:r w:rsidRPr="005B38F0">
          <w:rPr>
            <w:rFonts w:ascii="Times New Roman" w:eastAsia="Times New Roman" w:hAnsi="Times New Roman" w:cs="Times New Roman"/>
            <w:color w:val="0000FF"/>
            <w:sz w:val="24"/>
            <w:szCs w:val="24"/>
            <w:u w:val="single"/>
          </w:rPr>
          <w:t>https://doi.org/10.1080/15294145.2008.10773572</w:t>
        </w:r>
      </w:hyperlink>
    </w:p>
    <w:p w14:paraId="1C022F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A. J., Anderson, N. D., Nalder, E., Arshad, S., &amp; Dawson, D. R. (2017). Reliability and construct validity of a revised Baycrest Multiple Errands Test.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(5), 667–684. </w:t>
      </w:r>
      <w:hyperlink r:id="rId1108" w:history="1">
        <w:r w:rsidRPr="005B38F0">
          <w:rPr>
            <w:rFonts w:ascii="Times New Roman" w:eastAsia="Times New Roman" w:hAnsi="Times New Roman" w:cs="Times New Roman"/>
            <w:color w:val="0000FF"/>
            <w:sz w:val="24"/>
            <w:szCs w:val="24"/>
            <w:u w:val="single"/>
          </w:rPr>
          <w:t>https://doi.org/10.1080/09602011.2015.1117981</w:t>
        </w:r>
      </w:hyperlink>
    </w:p>
    <w:p w14:paraId="1ADA908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Clark, A. L., Sorg, S. F., Schiehser, D. M., Bigler, E. D., Bondi, M. W., Jacobson, M. W., Jak, A. J., &amp; Delano-Wood, L. (2016). White matter associations with performance validity testing in veterans with mild traumatic brain injury: The utility of biomarkers in complicated assessment.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(5), 346–359. </w:t>
      </w:r>
      <w:hyperlink r:id="rId1109" w:history="1">
        <w:r w:rsidRPr="005B38F0">
          <w:rPr>
            <w:rFonts w:ascii="Times New Roman" w:eastAsia="Times New Roman" w:hAnsi="Times New Roman" w:cs="Times New Roman"/>
            <w:color w:val="0000FF"/>
            <w:sz w:val="24"/>
            <w:szCs w:val="24"/>
            <w:u w:val="single"/>
          </w:rPr>
          <w:t>https://doi.org/10.1097/HTR.0000000000000183</w:t>
        </w:r>
      </w:hyperlink>
    </w:p>
    <w:p w14:paraId="4DE63C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D. L., Arnold, L. E., Crowl, L., Bozzolo, H., Peruggia, M., Ramadan, Y., Bornstein, R., Hollway, J. A., Thompson, S., Malone, K., Hall, K. L., Shelton, S. B., Bozzolo, D. R., &amp; Cook, A. (2008). Vestibular stimulation for ADHD: Randomized controlled trial of comprehensive motion apparatus. </w:t>
      </w:r>
      <w:r w:rsidRPr="005B38F0">
        <w:rPr>
          <w:rFonts w:ascii="Times New Roman" w:eastAsia="Times New Roman" w:hAnsi="Times New Roman" w:cs="Times New Roman"/>
          <w:i/>
          <w:iCs/>
          <w:sz w:val="24"/>
          <w:szCs w:val="24"/>
        </w:rPr>
        <w:t>Journal of Attention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(5), 599–611. </w:t>
      </w:r>
      <w:hyperlink r:id="rId1110" w:history="1">
        <w:r w:rsidRPr="005B38F0">
          <w:rPr>
            <w:rFonts w:ascii="Times New Roman" w:eastAsia="Times New Roman" w:hAnsi="Times New Roman" w:cs="Times New Roman"/>
            <w:color w:val="0000FF"/>
            <w:sz w:val="24"/>
            <w:szCs w:val="24"/>
            <w:u w:val="single"/>
          </w:rPr>
          <w:t>https://doi.org/10.1177/1087054707311042</w:t>
        </w:r>
      </w:hyperlink>
    </w:p>
    <w:p w14:paraId="14AA83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R. J. (2008). Lost in space: Nonverbal learning disability. In </w:t>
      </w:r>
      <w:r w:rsidRPr="005B38F0">
        <w:rPr>
          <w:rFonts w:ascii="Times New Roman" w:eastAsia="Times New Roman" w:hAnsi="Times New Roman" w:cs="Times New Roman"/>
          <w:i/>
          <w:iCs/>
          <w:sz w:val="24"/>
          <w:szCs w:val="24"/>
        </w:rPr>
        <w:t>Pediatric neuropsychology case studies: From the exceptional to the commonplace.</w:t>
      </w:r>
      <w:r w:rsidRPr="005B38F0">
        <w:rPr>
          <w:rFonts w:ascii="Times New Roman" w:eastAsia="Times New Roman" w:hAnsi="Times New Roman" w:cs="Times New Roman"/>
          <w:sz w:val="24"/>
          <w:szCs w:val="24"/>
        </w:rPr>
        <w:t xml:space="preserve"> (pp. 201–215). Springer Science + Business Media. </w:t>
      </w:r>
      <w:hyperlink r:id="rId1111" w:history="1">
        <w:r w:rsidRPr="005B38F0">
          <w:rPr>
            <w:rFonts w:ascii="Times New Roman" w:eastAsia="Times New Roman" w:hAnsi="Times New Roman" w:cs="Times New Roman"/>
            <w:color w:val="0000FF"/>
            <w:sz w:val="24"/>
            <w:szCs w:val="24"/>
            <w:u w:val="single"/>
          </w:rPr>
          <w:t>https://doi.org/10.1007/978-0-387-78965-1_21</w:t>
        </w:r>
      </w:hyperlink>
    </w:p>
    <w:p w14:paraId="6C7F44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 V. P., Beatty, G. K., Anderson, R. E., Kodituwakku, P., Phillips, J. P., Lane, T. D. R., Kiehl, K. A., &amp; Calhoun, V. D. (2014). Reduced fMRI activity predicts relapse in patients recovering from stimulant dependence. </w:t>
      </w:r>
      <w:r w:rsidRPr="005B38F0">
        <w:rPr>
          <w:rFonts w:ascii="Times New Roman" w:eastAsia="Times New Roman" w:hAnsi="Times New Roman" w:cs="Times New Roman"/>
          <w:i/>
          <w:iCs/>
          <w:sz w:val="24"/>
          <w:szCs w:val="24"/>
        </w:rPr>
        <w:t>Human Brain Mapping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(2), 414–428. </w:t>
      </w:r>
      <w:hyperlink r:id="rId1112" w:history="1">
        <w:r w:rsidRPr="005B38F0">
          <w:rPr>
            <w:rFonts w:ascii="Times New Roman" w:eastAsia="Times New Roman" w:hAnsi="Times New Roman" w:cs="Times New Roman"/>
            <w:color w:val="0000FF"/>
            <w:sz w:val="24"/>
            <w:szCs w:val="24"/>
            <w:u w:val="single"/>
          </w:rPr>
          <w:t>https://doi.org/10.1002/hbm.22184</w:t>
        </w:r>
      </w:hyperlink>
    </w:p>
    <w:p w14:paraId="698161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Clarke, K. A. (1998). </w:t>
      </w:r>
      <w:r w:rsidRPr="005B38F0">
        <w:rPr>
          <w:rFonts w:ascii="Times New Roman" w:eastAsia="Times New Roman" w:hAnsi="Times New Roman" w:cs="Times New Roman"/>
          <w:i/>
          <w:iCs/>
          <w:sz w:val="24"/>
          <w:szCs w:val="24"/>
        </w:rPr>
        <w:t>The relationship of race and ethnicity to performance on the Wisconsin Card Sorting Test with male veterans.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(8-B), 4514–4514.</w:t>
      </w:r>
    </w:p>
    <w:p w14:paraId="239479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Clarys, D., Bugaiska, A., Tapia, G., &amp; Baudouin, A. (2009). Ageing, remembering, and executive function. </w:t>
      </w:r>
      <w:r w:rsidRPr="005B38F0">
        <w:rPr>
          <w:rFonts w:ascii="Times New Roman" w:eastAsia="Times New Roman" w:hAnsi="Times New Roman" w:cs="Times New Roman"/>
          <w:i/>
          <w:iCs/>
          <w:sz w:val="24"/>
          <w:szCs w:val="24"/>
        </w:rPr>
        <w:t>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158–168. </w:t>
      </w:r>
      <w:hyperlink r:id="rId1113" w:history="1">
        <w:r w:rsidRPr="005B38F0">
          <w:rPr>
            <w:rFonts w:ascii="Times New Roman" w:eastAsia="Times New Roman" w:hAnsi="Times New Roman" w:cs="Times New Roman"/>
            <w:color w:val="0000FF"/>
            <w:sz w:val="24"/>
            <w:szCs w:val="24"/>
            <w:u w:val="single"/>
          </w:rPr>
          <w:t>https://doi.org/10.1080/09658210802188301</w:t>
        </w:r>
      </w:hyperlink>
    </w:p>
    <w:p w14:paraId="1204685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Clarys, D., Souchay, C., Baudouin, A., Fay, S., Vanneste, S., Taconnat, L., &amp; Isingrini, M. (2007). Contribution des fonctions exécutives et de la vitesse de traitement au vieillissement </w:t>
      </w:r>
      <w:r w:rsidRPr="005B38F0">
        <w:rPr>
          <w:rFonts w:ascii="Times New Roman" w:eastAsia="Times New Roman" w:hAnsi="Times New Roman" w:cs="Times New Roman"/>
          <w:sz w:val="24"/>
          <w:szCs w:val="24"/>
        </w:rPr>
        <w:lastRenderedPageBreak/>
        <w:t xml:space="preserve">de la mémoire épisodique. [Aging and episodic memory: Contributions of executive function and processing speed.]. </w:t>
      </w:r>
      <w:r w:rsidRPr="005B38F0">
        <w:rPr>
          <w:rFonts w:ascii="Times New Roman" w:eastAsia="Times New Roman" w:hAnsi="Times New Roman" w:cs="Times New Roman"/>
          <w:i/>
          <w:iCs/>
          <w:sz w:val="24"/>
          <w:szCs w:val="24"/>
        </w:rPr>
        <w:t>L’Année Psychologique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107</w:t>
      </w:r>
      <w:r w:rsidRPr="005B38F0">
        <w:rPr>
          <w:rFonts w:ascii="Times New Roman" w:eastAsia="Times New Roman" w:hAnsi="Times New Roman" w:cs="Times New Roman"/>
          <w:sz w:val="24"/>
          <w:szCs w:val="24"/>
        </w:rPr>
        <w:t xml:space="preserve">(1), 15–38. </w:t>
      </w:r>
      <w:hyperlink r:id="rId1114" w:history="1">
        <w:r w:rsidRPr="005B38F0">
          <w:rPr>
            <w:rFonts w:ascii="Times New Roman" w:eastAsia="Times New Roman" w:hAnsi="Times New Roman" w:cs="Times New Roman"/>
            <w:color w:val="0000FF"/>
            <w:sz w:val="24"/>
            <w:szCs w:val="24"/>
            <w:u w:val="single"/>
          </w:rPr>
          <w:t>https://doi.org/10.4074/S0003503307001029</w:t>
        </w:r>
      </w:hyperlink>
    </w:p>
    <w:p w14:paraId="4E241F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Clausi, S., Olivito, G., Siciliano, L., Lupo, M., Bozzali, M., Masciullo, M., Molinari, M., Romano, S., &amp; Leggio, M. (2021). The neurobiological underpinning of the social cognition impairments in patients with spinocerebellar ataxia type 2.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138</w:t>
      </w:r>
      <w:r w:rsidRPr="005B38F0">
        <w:rPr>
          <w:rFonts w:ascii="Times New Roman" w:eastAsia="Times New Roman" w:hAnsi="Times New Roman" w:cs="Times New Roman"/>
          <w:sz w:val="24"/>
          <w:szCs w:val="24"/>
        </w:rPr>
        <w:t xml:space="preserve">, 101–112. </w:t>
      </w:r>
      <w:hyperlink r:id="rId1115" w:history="1">
        <w:r w:rsidRPr="005B38F0">
          <w:rPr>
            <w:rFonts w:ascii="Times New Roman" w:eastAsia="Times New Roman" w:hAnsi="Times New Roman" w:cs="Times New Roman"/>
            <w:color w:val="0000FF"/>
            <w:sz w:val="24"/>
            <w:szCs w:val="24"/>
            <w:u w:val="single"/>
          </w:rPr>
          <w:t>https://doi.org/10.1016/j.cortex.2020.12.027</w:t>
        </w:r>
      </w:hyperlink>
    </w:p>
    <w:p w14:paraId="5AD0FE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Claypoole, K. H., Noonan, C., Mahurin, R. K., Goldberg, J., Erickson, T., &amp; Buchwald, D. (2007). A twin study of cognitive function in chronic fatigue syndrome: The effects of sudden illness onset.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(4), 507–513. </w:t>
      </w:r>
      <w:hyperlink r:id="rId1116" w:history="1">
        <w:r w:rsidRPr="005B38F0">
          <w:rPr>
            <w:rFonts w:ascii="Times New Roman" w:eastAsia="Times New Roman" w:hAnsi="Times New Roman" w:cs="Times New Roman"/>
            <w:color w:val="0000FF"/>
            <w:sz w:val="24"/>
            <w:szCs w:val="24"/>
            <w:u w:val="single"/>
          </w:rPr>
          <w:t>https://doi.org/10.1037/0894-4105.21.4.507</w:t>
        </w:r>
      </w:hyperlink>
    </w:p>
    <w:p w14:paraId="1EB2CE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Clemente, R., Gherardelli, S., &amp; Bersani, G. (2004). Funzioni esecutive e “neurological soft signs” nella schizofrenia. [Executive functions and “neurological soft signs” in schizophrenia.]. </w:t>
      </w:r>
      <w:r w:rsidRPr="005B38F0">
        <w:rPr>
          <w:rFonts w:ascii="Times New Roman" w:eastAsia="Times New Roman" w:hAnsi="Times New Roman" w:cs="Times New Roman"/>
          <w:i/>
          <w:iCs/>
          <w:sz w:val="24"/>
          <w:szCs w:val="24"/>
        </w:rPr>
        <w:t>Psichiatria e Psicoterapia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(2), 151–161.</w:t>
      </w:r>
    </w:p>
    <w:p w14:paraId="4CA2FE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Clemmons, D. C., Fraser, R. T., Rosenbaum, G., Getter, A., &amp; Johnson, E. (2004). An Abbreviated Neuropsychological Battery in Multiple Sclerosis Vocational Rehabilitation: Findings and Implications. </w:t>
      </w:r>
      <w:r w:rsidRPr="005B38F0">
        <w:rPr>
          <w:rFonts w:ascii="Times New Roman" w:eastAsia="Times New Roman" w:hAnsi="Times New Roman" w:cs="Times New Roman"/>
          <w:i/>
          <w:iCs/>
          <w:sz w:val="24"/>
          <w:szCs w:val="24"/>
        </w:rPr>
        <w:t>Rehabilitation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(2), 100–105. </w:t>
      </w:r>
      <w:hyperlink r:id="rId1117" w:history="1">
        <w:r w:rsidRPr="005B38F0">
          <w:rPr>
            <w:rFonts w:ascii="Times New Roman" w:eastAsia="Times New Roman" w:hAnsi="Times New Roman" w:cs="Times New Roman"/>
            <w:color w:val="0000FF"/>
            <w:sz w:val="24"/>
            <w:szCs w:val="24"/>
            <w:u w:val="single"/>
          </w:rPr>
          <w:t>https://doi.org/10.1037/0090-5550.49.2.100</w:t>
        </w:r>
      </w:hyperlink>
    </w:p>
    <w:p w14:paraId="2402C5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Clifford, A., Lang, L., &amp; Chen, R. (2012). Effects of maternal cigarette smoking during pregnancy on cognitive parameters of children and young adults: A literature review. </w:t>
      </w:r>
      <w:r w:rsidRPr="005B38F0">
        <w:rPr>
          <w:rFonts w:ascii="Times New Roman" w:eastAsia="Times New Roman" w:hAnsi="Times New Roman" w:cs="Times New Roman"/>
          <w:i/>
          <w:iCs/>
          <w:sz w:val="24"/>
          <w:szCs w:val="24"/>
        </w:rPr>
        <w:t>Neurotoxicology and Teratology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(6), 560–570. </w:t>
      </w:r>
      <w:hyperlink r:id="rId1118" w:history="1">
        <w:r w:rsidRPr="005B38F0">
          <w:rPr>
            <w:rFonts w:ascii="Times New Roman" w:eastAsia="Times New Roman" w:hAnsi="Times New Roman" w:cs="Times New Roman"/>
            <w:color w:val="0000FF"/>
            <w:sz w:val="24"/>
            <w:szCs w:val="24"/>
            <w:u w:val="single"/>
          </w:rPr>
          <w:t>https://doi.org/10.1016/j.ntt.2012.09.004</w:t>
        </w:r>
      </w:hyperlink>
    </w:p>
    <w:p w14:paraId="195572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Clyne, S. E. (1999). </w:t>
      </w:r>
      <w:r w:rsidRPr="005B38F0">
        <w:rPr>
          <w:rFonts w:ascii="Times New Roman" w:eastAsia="Times New Roman" w:hAnsi="Times New Roman" w:cs="Times New Roman"/>
          <w:i/>
          <w:iCs/>
          <w:sz w:val="24"/>
          <w:szCs w:val="24"/>
        </w:rPr>
        <w:t>Executive function and cognitive style in adolescent college students, including those with learning disabilities.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60</w:t>
      </w:r>
      <w:r w:rsidRPr="005B38F0">
        <w:rPr>
          <w:rFonts w:ascii="Times New Roman" w:eastAsia="Times New Roman" w:hAnsi="Times New Roman" w:cs="Times New Roman"/>
          <w:sz w:val="24"/>
          <w:szCs w:val="24"/>
        </w:rPr>
        <w:t>(5-A), 1448–1448.</w:t>
      </w:r>
    </w:p>
    <w:p w14:paraId="7E25D5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Cochet, A., Saoud, M., Gabriele, S., Broallier, V., El Asmar, C., Daléry, J., &amp; D’Amato, T. (2006). Impact de la remédiation cognitive dans la schizophrénie sur les stratégies de résolution de problèmes et l’autonomie sociale: Utilisation du logiciel REHACOM®. [Impact of a new cognitive remediation strategy on interpersonal problem solving skills and 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(2,Pt1), 189–195. </w:t>
      </w:r>
      <w:hyperlink r:id="rId1119" w:history="1">
        <w:r w:rsidRPr="005B38F0">
          <w:rPr>
            <w:rFonts w:ascii="Times New Roman" w:eastAsia="Times New Roman" w:hAnsi="Times New Roman" w:cs="Times New Roman"/>
            <w:color w:val="0000FF"/>
            <w:sz w:val="24"/>
            <w:szCs w:val="24"/>
            <w:u w:val="single"/>
          </w:rPr>
          <w:t>https://doi.org/10.1016/S0013-7006(06)76144-9</w:t>
        </w:r>
      </w:hyperlink>
    </w:p>
    <w:p w14:paraId="0C6FB6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Cockburn, J. (1995). Performance on the Tower of London test after severe head injury.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w:t>
      </w:r>
      <w:r w:rsidRPr="005B38F0">
        <w:rPr>
          <w:rFonts w:ascii="Times New Roman" w:eastAsia="Times New Roman" w:hAnsi="Times New Roman" w:cs="Times New Roman"/>
          <w:sz w:val="24"/>
          <w:szCs w:val="24"/>
        </w:rPr>
        <w:t xml:space="preserve">(6), 537–544. </w:t>
      </w:r>
      <w:hyperlink r:id="rId1120" w:history="1">
        <w:r w:rsidRPr="005B38F0">
          <w:rPr>
            <w:rFonts w:ascii="Times New Roman" w:eastAsia="Times New Roman" w:hAnsi="Times New Roman" w:cs="Times New Roman"/>
            <w:color w:val="0000FF"/>
            <w:sz w:val="24"/>
            <w:szCs w:val="24"/>
            <w:u w:val="single"/>
          </w:rPr>
          <w:t>https://doi.org/10.1017/S1355617700000667</w:t>
        </w:r>
      </w:hyperlink>
    </w:p>
    <w:p w14:paraId="34C78AB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Code, C., Müller, N., Tree, J. T., &amp; Ball, M. J. (2006). Syntactic impairments can emerge later: Progressive agrammatic agraphia and syntactic comprehension impairment.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(9–11), 1035–1058. </w:t>
      </w:r>
      <w:hyperlink r:id="rId1121" w:history="1">
        <w:r w:rsidRPr="005B38F0">
          <w:rPr>
            <w:rFonts w:ascii="Times New Roman" w:eastAsia="Times New Roman" w:hAnsi="Times New Roman" w:cs="Times New Roman"/>
            <w:color w:val="0000FF"/>
            <w:sz w:val="24"/>
            <w:szCs w:val="24"/>
            <w:u w:val="single"/>
          </w:rPr>
          <w:t>https://doi.org/10.1080/02687030600739539</w:t>
        </w:r>
      </w:hyperlink>
    </w:p>
    <w:p w14:paraId="662152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Code, C., Tree, J. J., &amp; Mariën, P. (2017). Squaring the round: An unusual progressive graphomotor impairment with post‐mortem findings.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222–237. </w:t>
      </w:r>
      <w:hyperlink r:id="rId1122" w:history="1">
        <w:r w:rsidRPr="005B38F0">
          <w:rPr>
            <w:rFonts w:ascii="Times New Roman" w:eastAsia="Times New Roman" w:hAnsi="Times New Roman" w:cs="Times New Roman"/>
            <w:color w:val="0000FF"/>
            <w:sz w:val="24"/>
            <w:szCs w:val="24"/>
            <w:u w:val="single"/>
          </w:rPr>
          <w:t>https://doi.org/10.1111/jnp.12083</w:t>
        </w:r>
      </w:hyperlink>
    </w:p>
    <w:p w14:paraId="275629D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Cody, S. L., Fazeli, P. L., &amp; Vance, D. E. (2015). Feasibility of a home-based speed of processing training program in middle-aged and older adults with HIV. </w:t>
      </w:r>
      <w:r w:rsidRPr="005B38F0">
        <w:rPr>
          <w:rFonts w:ascii="Times New Roman" w:eastAsia="Times New Roman" w:hAnsi="Times New Roman" w:cs="Times New Roman"/>
          <w:i/>
          <w:iCs/>
          <w:sz w:val="24"/>
          <w:szCs w:val="24"/>
        </w:rPr>
        <w:t>Journal of Neuroscience Nursing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(4), 247–254. </w:t>
      </w:r>
      <w:hyperlink r:id="rId1123" w:history="1">
        <w:r w:rsidRPr="005B38F0">
          <w:rPr>
            <w:rFonts w:ascii="Times New Roman" w:eastAsia="Times New Roman" w:hAnsi="Times New Roman" w:cs="Times New Roman"/>
            <w:color w:val="0000FF"/>
            <w:sz w:val="24"/>
            <w:szCs w:val="24"/>
            <w:u w:val="single"/>
          </w:rPr>
          <w:t>https://doi.org/10.1097/JNN.0000000000000147</w:t>
        </w:r>
      </w:hyperlink>
    </w:p>
    <w:p w14:paraId="2F9125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C. A. (2002). Story narratives of adults with closed head injury and non-brain-injured adults: Influence of socioeconomic status, elicitation task, and executive functioning. </w:t>
      </w:r>
      <w:r w:rsidRPr="005B38F0">
        <w:rPr>
          <w:rFonts w:ascii="Times New Roman" w:eastAsia="Times New Roman" w:hAnsi="Times New Roman" w:cs="Times New Roman"/>
          <w:i/>
          <w:iCs/>
          <w:sz w:val="24"/>
          <w:szCs w:val="24"/>
        </w:rPr>
        <w:lastRenderedPageBreak/>
        <w:t>Journal of Speech, Language, and Hearing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(6), 1232–1248. </w:t>
      </w:r>
      <w:hyperlink r:id="rId1124" w:history="1">
        <w:r w:rsidRPr="005B38F0">
          <w:rPr>
            <w:rFonts w:ascii="Times New Roman" w:eastAsia="Times New Roman" w:hAnsi="Times New Roman" w:cs="Times New Roman"/>
            <w:color w:val="0000FF"/>
            <w:sz w:val="24"/>
            <w:szCs w:val="24"/>
            <w:u w:val="single"/>
          </w:rPr>
          <w:t>https://doi.org/10.1044/1092-4388(2002/099)</w:t>
        </w:r>
      </w:hyperlink>
    </w:p>
    <w:p w14:paraId="6E6148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C. A., Liles, B. Z., &amp; Duffy, R. J. (1995). Impairments of discourse abilities and executive functions in traumatically brain-injured adults.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(5), 471–477. </w:t>
      </w:r>
      <w:hyperlink r:id="rId1125" w:history="1">
        <w:r w:rsidRPr="005B38F0">
          <w:rPr>
            <w:rFonts w:ascii="Times New Roman" w:eastAsia="Times New Roman" w:hAnsi="Times New Roman" w:cs="Times New Roman"/>
            <w:color w:val="0000FF"/>
            <w:sz w:val="24"/>
            <w:szCs w:val="24"/>
            <w:u w:val="single"/>
          </w:rPr>
          <w:t>https://doi.org/10.3109/02699059509008206</w:t>
        </w:r>
      </w:hyperlink>
    </w:p>
    <w:p w14:paraId="25399B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L. F., do Rosário, M. C., Mastrorosa, R. S., Miranda, M. C., &amp; Bueno, O. F. A. (2012). Performance of a Brazilian sample on the computerized Wisconsin Card Sorting Test. </w:t>
      </w:r>
      <w:r w:rsidRPr="005B38F0">
        <w:rPr>
          <w:rFonts w:ascii="Times New Roman" w:eastAsia="Times New Roman" w:hAnsi="Times New Roman" w:cs="Times New Roman"/>
          <w:i/>
          <w:iCs/>
          <w:sz w:val="24"/>
          <w:szCs w:val="24"/>
        </w:rPr>
        <w:t>Psychology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147–156. </w:t>
      </w:r>
      <w:hyperlink r:id="rId1126" w:history="1">
        <w:r w:rsidRPr="005B38F0">
          <w:rPr>
            <w:rFonts w:ascii="Times New Roman" w:eastAsia="Times New Roman" w:hAnsi="Times New Roman" w:cs="Times New Roman"/>
            <w:color w:val="0000FF"/>
            <w:sz w:val="24"/>
            <w:szCs w:val="24"/>
            <w:u w:val="single"/>
          </w:rPr>
          <w:t>https://doi.org/10.3922/j.psns.2012.2.04</w:t>
        </w:r>
      </w:hyperlink>
    </w:p>
    <w:p w14:paraId="2DFE21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Coelho Mosch, S., Max, J. E., &amp; Tranel, D. (2005). A Matched Lesion Analysis of Childhood Versus Adult-Onset Brain Injury Due to Unilateral Stroke: Another Perspective on Neural Plasticity and Recovery of Social Functioning.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(1), 5–17. </w:t>
      </w:r>
      <w:hyperlink r:id="rId1127" w:history="1">
        <w:r w:rsidRPr="005B38F0">
          <w:rPr>
            <w:rFonts w:ascii="Times New Roman" w:eastAsia="Times New Roman" w:hAnsi="Times New Roman" w:cs="Times New Roman"/>
            <w:color w:val="0000FF"/>
            <w:sz w:val="24"/>
            <w:szCs w:val="24"/>
            <w:u w:val="single"/>
          </w:rPr>
          <w:t>https://doi.org/10.1097/01.wnn.0000152207.80819.3c</w:t>
        </w:r>
      </w:hyperlink>
    </w:p>
    <w:p w14:paraId="0965AA2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Coentre, R., Mendes, T., Rebelo, A., Fonseca, A., &amp; Levy, P. (2019). PROFIP: A Portuguese early intervention programme for first‐episode psychosis in Lisbon. </w:t>
      </w:r>
      <w:r w:rsidRPr="005B38F0">
        <w:rPr>
          <w:rFonts w:ascii="Times New Roman" w:eastAsia="Times New Roman" w:hAnsi="Times New Roman" w:cs="Times New Roman"/>
          <w:i/>
          <w:iCs/>
          <w:sz w:val="24"/>
          <w:szCs w:val="24"/>
        </w:rPr>
        <w:t>Early Intervention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(6), 1525–1529. </w:t>
      </w:r>
      <w:hyperlink r:id="rId1128" w:history="1">
        <w:r w:rsidRPr="005B38F0">
          <w:rPr>
            <w:rFonts w:ascii="Times New Roman" w:eastAsia="Times New Roman" w:hAnsi="Times New Roman" w:cs="Times New Roman"/>
            <w:color w:val="0000FF"/>
            <w:sz w:val="24"/>
            <w:szCs w:val="24"/>
            <w:u w:val="single"/>
          </w:rPr>
          <w:t>https://doi.org/10.1111/eip.12852</w:t>
        </w:r>
      </w:hyperlink>
    </w:p>
    <w:p w14:paraId="1C3C3F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Coffey, D. M., Marmol, L., Schock, L., &amp; Adams, W. (2005). The influence of acculturation on the Wisconsin Card Sorting Test by Mexican Americans.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(6), 795–803. </w:t>
      </w:r>
      <w:hyperlink r:id="rId1129" w:history="1">
        <w:r w:rsidRPr="005B38F0">
          <w:rPr>
            <w:rFonts w:ascii="Times New Roman" w:eastAsia="Times New Roman" w:hAnsi="Times New Roman" w:cs="Times New Roman"/>
            <w:color w:val="0000FF"/>
            <w:sz w:val="24"/>
            <w:szCs w:val="24"/>
            <w:u w:val="single"/>
          </w:rPr>
          <w:t>https://doi.org/10.1016/j.acn.2005.04.009</w:t>
        </w:r>
      </w:hyperlink>
    </w:p>
    <w:p w14:paraId="4E6696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Cogo, M. G., Rota, S., Fusco, M. L., Mapelli, C., Ferri, F., Appollonio, I. M., &amp; Isella, V. (2014). Cognitive correlates of under-ambiguity and under-risk decision making in high-functioning patients with relapsing remitting multiple sclerosis.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(10), 1066–1075. </w:t>
      </w:r>
      <w:hyperlink r:id="rId1130" w:history="1">
        <w:r w:rsidRPr="005B38F0">
          <w:rPr>
            <w:rFonts w:ascii="Times New Roman" w:eastAsia="Times New Roman" w:hAnsi="Times New Roman" w:cs="Times New Roman"/>
            <w:color w:val="0000FF"/>
            <w:sz w:val="24"/>
            <w:szCs w:val="24"/>
            <w:u w:val="single"/>
          </w:rPr>
          <w:t>https://doi.org/10.1080/13803395.2014.971718</w:t>
        </w:r>
      </w:hyperlink>
    </w:p>
    <w:p w14:paraId="50A66A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Cohen, A. S., Couture, S. M., &amp; Blanchard, J. J. (2012). Neuropsychological functioning and social anhedonia: Three-year follow-up data from a longitudinal community high risk study.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(7), 898–904. </w:t>
      </w:r>
      <w:hyperlink r:id="rId1131" w:history="1">
        <w:r w:rsidRPr="005B38F0">
          <w:rPr>
            <w:rFonts w:ascii="Times New Roman" w:eastAsia="Times New Roman" w:hAnsi="Times New Roman" w:cs="Times New Roman"/>
            <w:color w:val="0000FF"/>
            <w:sz w:val="24"/>
            <w:szCs w:val="24"/>
            <w:u w:val="single"/>
          </w:rPr>
          <w:t>https://doi.org/10.1016/j.jpsychires.2012.03.020</w:t>
        </w:r>
      </w:hyperlink>
    </w:p>
    <w:p w14:paraId="1B472D7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&amp; Docherty, N. M. (2004). Deficit Versus Negative Syndrome in Schizophrenia: Prediction of Attentional Impairment.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(4), 827–835. </w:t>
      </w:r>
      <w:hyperlink r:id="rId1132" w:history="1">
        <w:r w:rsidRPr="005B38F0">
          <w:rPr>
            <w:rFonts w:ascii="Times New Roman" w:eastAsia="Times New Roman" w:hAnsi="Times New Roman" w:cs="Times New Roman"/>
            <w:color w:val="0000FF"/>
            <w:sz w:val="24"/>
            <w:szCs w:val="24"/>
            <w:u w:val="single"/>
          </w:rPr>
          <w:t>https://doi.org/10.1093/oxfordjournals.schbul.a007135</w:t>
        </w:r>
      </w:hyperlink>
    </w:p>
    <w:p w14:paraId="14A7C6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&amp; Docherty, N. M. (2005). Symptom-Oriented Versus Syndrome Approaches to Resolving Heterogeneity of Neuropsychological Functioning in Schizophrenia.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(3), 384–390. </w:t>
      </w:r>
      <w:hyperlink r:id="rId1133" w:history="1">
        <w:r w:rsidRPr="005B38F0">
          <w:rPr>
            <w:rFonts w:ascii="Times New Roman" w:eastAsia="Times New Roman" w:hAnsi="Times New Roman" w:cs="Times New Roman"/>
            <w:color w:val="0000FF"/>
            <w:sz w:val="24"/>
            <w:szCs w:val="24"/>
            <w:u w:val="single"/>
          </w:rPr>
          <w:t>https://doi.org/10.1176/appi.neuropsych.17.3.384</w:t>
        </w:r>
      </w:hyperlink>
    </w:p>
    <w:p w14:paraId="036E9D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A. S., Forbes, C. B., Mann, M. C., &amp; Blanchard, J. J. (2006). Specific cognitive deficits and differential domains of social functioning impairment in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(2–3), 227–238. </w:t>
      </w:r>
      <w:hyperlink r:id="rId1134" w:history="1">
        <w:r w:rsidRPr="005B38F0">
          <w:rPr>
            <w:rFonts w:ascii="Times New Roman" w:eastAsia="Times New Roman" w:hAnsi="Times New Roman" w:cs="Times New Roman"/>
            <w:color w:val="0000FF"/>
            <w:sz w:val="24"/>
            <w:szCs w:val="24"/>
            <w:u w:val="single"/>
          </w:rPr>
          <w:t>https://doi.org/10.1016/j.schres.2005.09.007</w:t>
        </w:r>
      </w:hyperlink>
    </w:p>
    <w:p w14:paraId="45A701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L. J., Nesci, C., Steinfeld, M., Haeri, S., &amp; Galynker, I. (2010). Investigating the relationship between sexual and chemical addictions by comparing executive function in subjects with pedophilia or opiate addiction and healthy controls. </w:t>
      </w:r>
      <w:r w:rsidRPr="005B38F0">
        <w:rPr>
          <w:rFonts w:ascii="Times New Roman" w:eastAsia="Times New Roman" w:hAnsi="Times New Roman" w:cs="Times New Roman"/>
          <w:i/>
          <w:iCs/>
          <w:sz w:val="24"/>
          <w:szCs w:val="24"/>
        </w:rPr>
        <w:t>Journal of Psychiatric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(6), 405–412. </w:t>
      </w:r>
      <w:hyperlink r:id="rId1135" w:history="1">
        <w:r w:rsidRPr="005B38F0">
          <w:rPr>
            <w:rFonts w:ascii="Times New Roman" w:eastAsia="Times New Roman" w:hAnsi="Times New Roman" w:cs="Times New Roman"/>
            <w:color w:val="0000FF"/>
            <w:sz w:val="24"/>
            <w:szCs w:val="24"/>
            <w:u w:val="single"/>
          </w:rPr>
          <w:t>https://doi.org/10.1097/01.pra.0000390759.04581.7c</w:t>
        </w:r>
      </w:hyperlink>
    </w:p>
    <w:p w14:paraId="32DE61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M., Brochet, B., Clavelou, P., Le Page, E., Vermersch, P., Tourbah, A., Moreau, T., Joly, H., Sakarovitch, C., &amp; Lebrun, C. (2017). Cognition and quality of life in clinically isolated syndrome patients starting a disease modifying therapy in the QUALICIS study may not predict treatment response at one year.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382</w:t>
      </w:r>
      <w:r w:rsidRPr="005B38F0">
        <w:rPr>
          <w:rFonts w:ascii="Times New Roman" w:eastAsia="Times New Roman" w:hAnsi="Times New Roman" w:cs="Times New Roman"/>
          <w:sz w:val="24"/>
          <w:szCs w:val="24"/>
        </w:rPr>
        <w:t xml:space="preserve">, 73–78. </w:t>
      </w:r>
      <w:hyperlink r:id="rId1136" w:history="1">
        <w:r w:rsidRPr="005B38F0">
          <w:rPr>
            <w:rFonts w:ascii="Times New Roman" w:eastAsia="Times New Roman" w:hAnsi="Times New Roman" w:cs="Times New Roman"/>
            <w:color w:val="0000FF"/>
            <w:sz w:val="24"/>
            <w:szCs w:val="24"/>
            <w:u w:val="single"/>
          </w:rPr>
          <w:t>https://doi.org/10.1016/j.jns.2017.09.030</w:t>
        </w:r>
      </w:hyperlink>
    </w:p>
    <w:p w14:paraId="185F7D6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Cohen, M. L., Schwab, N. A., Price, C. C., &amp; Heilman, K. M. (2015). Impaired switching from self-prepared actions in mild Parkinson disease. </w:t>
      </w:r>
      <w:r w:rsidRPr="005B38F0">
        <w:rPr>
          <w:rFonts w:ascii="Times New Roman" w:eastAsia="Times New Roman" w:hAnsi="Times New Roman" w:cs="Times New Roman"/>
          <w:i/>
          <w:iCs/>
          <w:sz w:val="24"/>
          <w:szCs w:val="24"/>
        </w:rPr>
        <w:t>Journal of Parkinson’s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(4), 961–970. </w:t>
      </w:r>
      <w:hyperlink r:id="rId1137" w:history="1">
        <w:r w:rsidRPr="005B38F0">
          <w:rPr>
            <w:rFonts w:ascii="Times New Roman" w:eastAsia="Times New Roman" w:hAnsi="Times New Roman" w:cs="Times New Roman"/>
            <w:color w:val="0000FF"/>
            <w:sz w:val="24"/>
            <w:szCs w:val="24"/>
            <w:u w:val="single"/>
          </w:rPr>
          <w:t>https://doi.org/10.3233/JPD-150672</w:t>
        </w:r>
      </w:hyperlink>
    </w:p>
    <w:p w14:paraId="225B2D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Cohen, R. A., &amp; Hoth, K. F. (2015). Neuropsychology of heart failure. In </w:t>
      </w:r>
      <w:r w:rsidRPr="005B38F0">
        <w:rPr>
          <w:rFonts w:ascii="Times New Roman" w:eastAsia="Times New Roman" w:hAnsi="Times New Roman" w:cs="Times New Roman"/>
          <w:i/>
          <w:iCs/>
          <w:sz w:val="24"/>
          <w:szCs w:val="24"/>
        </w:rPr>
        <w:t>Neuropsychology of cardiovascular disease, 2nd ed.</w:t>
      </w:r>
      <w:r w:rsidRPr="005B38F0">
        <w:rPr>
          <w:rFonts w:ascii="Times New Roman" w:eastAsia="Times New Roman" w:hAnsi="Times New Roman" w:cs="Times New Roman"/>
          <w:sz w:val="24"/>
          <w:szCs w:val="24"/>
        </w:rPr>
        <w:t xml:space="preserve"> (pp. 409–473). Psychology Press.</w:t>
      </w:r>
    </w:p>
    <w:p w14:paraId="1EF96A6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Cohn, M., Giannoylis, I., De Belder, M., Saint-Cyr, J. A., &amp; McAndrews, M. P. (2016). Associative reinstatement memory measures hippocampal function in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90</w:t>
      </w:r>
      <w:r w:rsidRPr="005B38F0">
        <w:rPr>
          <w:rFonts w:ascii="Times New Roman" w:eastAsia="Times New Roman" w:hAnsi="Times New Roman" w:cs="Times New Roman"/>
          <w:sz w:val="24"/>
          <w:szCs w:val="24"/>
        </w:rPr>
        <w:t xml:space="preserve">, 25–32. </w:t>
      </w:r>
      <w:hyperlink r:id="rId1138" w:history="1">
        <w:r w:rsidRPr="005B38F0">
          <w:rPr>
            <w:rFonts w:ascii="Times New Roman" w:eastAsia="Times New Roman" w:hAnsi="Times New Roman" w:cs="Times New Roman"/>
            <w:color w:val="0000FF"/>
            <w:sz w:val="24"/>
            <w:szCs w:val="24"/>
            <w:u w:val="single"/>
          </w:rPr>
          <w:t>https://doi.org/10.1016/j.neuropsychologia.2016.04.026</w:t>
        </w:r>
      </w:hyperlink>
    </w:p>
    <w:p w14:paraId="6173526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Coifman, K. G., Halachoff, D. J., &amp; Nylocks, K. M. (2018). Mitigating risk? Set-shifting ability in high threat sensitive individuals predicts approach behavior during simulated peer-rejection. </w:t>
      </w:r>
      <w:r w:rsidRPr="005B38F0">
        <w:rPr>
          <w:rFonts w:ascii="Times New Roman" w:eastAsia="Times New Roman" w:hAnsi="Times New Roman" w:cs="Times New Roman"/>
          <w:i/>
          <w:iCs/>
          <w:sz w:val="24"/>
          <w:szCs w:val="24"/>
        </w:rPr>
        <w:t>Journal of Social and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37</w:t>
      </w:r>
      <w:r w:rsidRPr="005B38F0">
        <w:rPr>
          <w:rFonts w:ascii="Times New Roman" w:eastAsia="Times New Roman" w:hAnsi="Times New Roman" w:cs="Times New Roman"/>
          <w:sz w:val="24"/>
          <w:szCs w:val="24"/>
        </w:rPr>
        <w:t xml:space="preserve">(7), 481–513. </w:t>
      </w:r>
      <w:hyperlink r:id="rId1139" w:history="1">
        <w:r w:rsidRPr="005B38F0">
          <w:rPr>
            <w:rFonts w:ascii="Times New Roman" w:eastAsia="Times New Roman" w:hAnsi="Times New Roman" w:cs="Times New Roman"/>
            <w:color w:val="0000FF"/>
            <w:sz w:val="24"/>
            <w:szCs w:val="24"/>
            <w:u w:val="single"/>
          </w:rPr>
          <w:t>https://doi.org/10.1521/jscp.2018.37.7.481</w:t>
        </w:r>
      </w:hyperlink>
    </w:p>
    <w:p w14:paraId="202CE5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 S. N., Fotopoulou, A., Oddy, M., &amp; Moulin, C. J. A. (2014). Implausible future events in a confabulating patient with an anterior communicating artery aneurysm.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(2), 208–224. </w:t>
      </w:r>
      <w:hyperlink r:id="rId1140" w:history="1">
        <w:r w:rsidRPr="005B38F0">
          <w:rPr>
            <w:rFonts w:ascii="Times New Roman" w:eastAsia="Times New Roman" w:hAnsi="Times New Roman" w:cs="Times New Roman"/>
            <w:color w:val="0000FF"/>
            <w:sz w:val="24"/>
            <w:szCs w:val="24"/>
            <w:u w:val="single"/>
          </w:rPr>
          <w:t>https://doi.org/10.1080/13554794.2012.741259</w:t>
        </w:r>
      </w:hyperlink>
    </w:p>
    <w:p w14:paraId="7563AC0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 S. N., Morrison, C. M., &amp; Conway, M. A. (2013). Episodic future thinking: Linking neuropsychological performance with episodic detail in young and old adults. </w:t>
      </w:r>
      <w:r w:rsidRPr="005B38F0">
        <w:rPr>
          <w:rFonts w:ascii="Times New Roman" w:eastAsia="Times New Roman" w:hAnsi="Times New Roman" w:cs="Times New Roman"/>
          <w:i/>
          <w:iCs/>
          <w:sz w:val="24"/>
          <w:szCs w:val="24"/>
        </w:rPr>
        <w:t>The Quarterly Journal of Experimental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66</w:t>
      </w:r>
      <w:r w:rsidRPr="005B38F0">
        <w:rPr>
          <w:rFonts w:ascii="Times New Roman" w:eastAsia="Times New Roman" w:hAnsi="Times New Roman" w:cs="Times New Roman"/>
          <w:sz w:val="24"/>
          <w:szCs w:val="24"/>
        </w:rPr>
        <w:t xml:space="preserve">(9), 1687–1706. </w:t>
      </w:r>
      <w:hyperlink r:id="rId1141" w:history="1">
        <w:r w:rsidRPr="005B38F0">
          <w:rPr>
            <w:rFonts w:ascii="Times New Roman" w:eastAsia="Times New Roman" w:hAnsi="Times New Roman" w:cs="Times New Roman"/>
            <w:color w:val="0000FF"/>
            <w:sz w:val="24"/>
            <w:szCs w:val="24"/>
            <w:u w:val="single"/>
          </w:rPr>
          <w:t>https://doi.org/10.1080/17470218.2012.758157</w:t>
        </w:r>
      </w:hyperlink>
    </w:p>
    <w:p w14:paraId="0BCC6C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Coleman, R. R., &amp; Ostrem, J. L. (2015). Patient selection: When to consider deep brain stimulation for patients with Parkinson’s disease, essential tremor, or dystonia. In </w:t>
      </w:r>
      <w:r w:rsidRPr="005B38F0">
        <w:rPr>
          <w:rFonts w:ascii="Times New Roman" w:eastAsia="Times New Roman" w:hAnsi="Times New Roman" w:cs="Times New Roman"/>
          <w:i/>
          <w:iCs/>
          <w:sz w:val="24"/>
          <w:szCs w:val="24"/>
        </w:rPr>
        <w:t>Deep brain stimulation management, 2nd ed.</w:t>
      </w:r>
      <w:r w:rsidRPr="005B38F0">
        <w:rPr>
          <w:rFonts w:ascii="Times New Roman" w:eastAsia="Times New Roman" w:hAnsi="Times New Roman" w:cs="Times New Roman"/>
          <w:sz w:val="24"/>
          <w:szCs w:val="24"/>
        </w:rPr>
        <w:t xml:space="preserve"> (pp. 5–30). Cambridge University Press. </w:t>
      </w:r>
      <w:hyperlink r:id="rId1142" w:history="1">
        <w:r w:rsidRPr="005B38F0">
          <w:rPr>
            <w:rFonts w:ascii="Times New Roman" w:eastAsia="Times New Roman" w:hAnsi="Times New Roman" w:cs="Times New Roman"/>
            <w:color w:val="0000FF"/>
            <w:sz w:val="24"/>
            <w:szCs w:val="24"/>
            <w:u w:val="single"/>
          </w:rPr>
          <w:t>https://doi.org/10.1017/CBO9781316026625.003</w:t>
        </w:r>
      </w:hyperlink>
    </w:p>
    <w:p w14:paraId="3C77CF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Coles, C. D. (2011). Discriminating the effects of prenatal alcohol exposure from other behavioral and learning disorders. </w:t>
      </w:r>
      <w:r w:rsidRPr="005B38F0">
        <w:rPr>
          <w:rFonts w:ascii="Times New Roman" w:eastAsia="Times New Roman" w:hAnsi="Times New Roman" w:cs="Times New Roman"/>
          <w:i/>
          <w:iCs/>
          <w:sz w:val="24"/>
          <w:szCs w:val="24"/>
        </w:rPr>
        <w:t>Alcohol Research &amp;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(1), 42–50.</w:t>
      </w:r>
    </w:p>
    <w:p w14:paraId="5B5EE8E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A. A., Remington, G. J., Coulter, K., &amp; Birkett, K. (1997). Insight, neurocognitive function and symptom clusters in chronic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(1), 37–44. </w:t>
      </w:r>
      <w:hyperlink r:id="rId1143" w:history="1">
        <w:r w:rsidRPr="005B38F0">
          <w:rPr>
            <w:rFonts w:ascii="Times New Roman" w:eastAsia="Times New Roman" w:hAnsi="Times New Roman" w:cs="Times New Roman"/>
            <w:color w:val="0000FF"/>
            <w:sz w:val="24"/>
            <w:szCs w:val="24"/>
            <w:u w:val="single"/>
          </w:rPr>
          <w:t>https://doi.org/10.1016/S0920-9964(97)00075-3</w:t>
        </w:r>
      </w:hyperlink>
    </w:p>
    <w:p w14:paraId="631932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A. G. E., Brown, J. K., Gold, J. M., Waltz, J. A., &amp; Frank, M. J. (2014). Working memory contributions to reinforcement learning impairments in schizophrenia.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(41), 13747–13756. </w:t>
      </w:r>
      <w:hyperlink r:id="rId1144" w:history="1">
        <w:r w:rsidRPr="005B38F0">
          <w:rPr>
            <w:rFonts w:ascii="Times New Roman" w:eastAsia="Times New Roman" w:hAnsi="Times New Roman" w:cs="Times New Roman"/>
            <w:color w:val="0000FF"/>
            <w:sz w:val="24"/>
            <w:szCs w:val="24"/>
            <w:u w:val="single"/>
          </w:rPr>
          <w:t>https://doi.org/10.1523/JNEUROSCI.0989-14.2014</w:t>
        </w:r>
      </w:hyperlink>
    </w:p>
    <w:p w14:paraId="58B0FB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B., Mackenzie, J., &amp; Kyeremanteng, C. (2013). Study of the cognitive effects of chemotherapy: Considerations in selection of a control group.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435–444. </w:t>
      </w:r>
      <w:hyperlink r:id="rId1145" w:history="1">
        <w:r w:rsidRPr="005B38F0">
          <w:rPr>
            <w:rFonts w:ascii="Times New Roman" w:eastAsia="Times New Roman" w:hAnsi="Times New Roman" w:cs="Times New Roman"/>
            <w:color w:val="0000FF"/>
            <w:sz w:val="24"/>
            <w:szCs w:val="24"/>
            <w:u w:val="single"/>
          </w:rPr>
          <w:t>https://doi.org/10.1080/13803395.2013.781995</w:t>
        </w:r>
      </w:hyperlink>
    </w:p>
    <w:p w14:paraId="189C38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 B., &amp; Tellier, A. (1994). Differences in conceptual flexibility with age as measured by a modified version of the Visual Verbal Test. </w:t>
      </w:r>
      <w:r w:rsidRPr="005B38F0">
        <w:rPr>
          <w:rFonts w:ascii="Times New Roman" w:eastAsia="Times New Roman" w:hAnsi="Times New Roman" w:cs="Times New Roman"/>
          <w:i/>
          <w:iCs/>
          <w:sz w:val="24"/>
          <w:szCs w:val="24"/>
        </w:rPr>
        <w:t>Canadian Journal on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(3), 368–377. </w:t>
      </w:r>
      <w:hyperlink r:id="rId1146" w:history="1">
        <w:r w:rsidRPr="005B38F0">
          <w:rPr>
            <w:rFonts w:ascii="Times New Roman" w:eastAsia="Times New Roman" w:hAnsi="Times New Roman" w:cs="Times New Roman"/>
            <w:color w:val="0000FF"/>
            <w:sz w:val="24"/>
            <w:szCs w:val="24"/>
            <w:u w:val="single"/>
          </w:rPr>
          <w:t>https://doi.org/10.1017/S0714980800006188</w:t>
        </w:r>
      </w:hyperlink>
    </w:p>
    <w:p w14:paraId="3C2CAB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Collinson, S. L., Meyyappan, A., &amp; Rosenfeld, J. V. (2009). Injury and recovery: Severe amnestic syndrome following traumatic brain injury.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 71–76. </w:t>
      </w:r>
      <w:hyperlink r:id="rId1147" w:history="1">
        <w:r w:rsidRPr="005B38F0">
          <w:rPr>
            <w:rFonts w:ascii="Times New Roman" w:eastAsia="Times New Roman" w:hAnsi="Times New Roman" w:cs="Times New Roman"/>
            <w:color w:val="0000FF"/>
            <w:sz w:val="24"/>
            <w:szCs w:val="24"/>
            <w:u w:val="single"/>
          </w:rPr>
          <w:t>https://doi.org/10.1080/02699050802649647</w:t>
        </w:r>
      </w:hyperlink>
    </w:p>
    <w:p w14:paraId="18CE402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Collot d’Escury, A. (2007). Lopen jongeren met een lichte verstandelijke beperking meer kans om in aanraking te komen met justitie? [Are adolescents with mild intellectual disabilities (MID) more likely to appear before judicial authorities?]. </w:t>
      </w:r>
      <w:r w:rsidRPr="005B38F0">
        <w:rPr>
          <w:rFonts w:ascii="Times New Roman" w:eastAsia="Times New Roman" w:hAnsi="Times New Roman" w:cs="Times New Roman"/>
          <w:i/>
          <w:iCs/>
          <w:sz w:val="24"/>
          <w:szCs w:val="24"/>
        </w:rPr>
        <w:t>Kind En Adolescent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(3), 128–137. </w:t>
      </w:r>
      <w:hyperlink r:id="rId1148" w:history="1">
        <w:r w:rsidRPr="005B38F0">
          <w:rPr>
            <w:rFonts w:ascii="Times New Roman" w:eastAsia="Times New Roman" w:hAnsi="Times New Roman" w:cs="Times New Roman"/>
            <w:color w:val="0000FF"/>
            <w:sz w:val="24"/>
            <w:szCs w:val="24"/>
            <w:u w:val="single"/>
          </w:rPr>
          <w:t>https://doi.org/10.1007/BF03061031</w:t>
        </w:r>
      </w:hyperlink>
    </w:p>
    <w:p w14:paraId="3B800A0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Collste, K., Plavén-Sigray, P., Fatouros-Bergman, H., Victorsson, P., Schain, M., Forsberg, A., Amini, N., Aeinehband, S., Erhardt, S., Halldin, C., Flyckt, L., Farde, L., &amp; Cervenka, S. (2017). Lower levels of the glial cell marker TSPO in drug-naive first-episode psychosis patients as measured using PET and [</w:t>
      </w:r>
      <w:r w:rsidRPr="005B38F0">
        <w:rPr>
          <w:rFonts w:ascii="Times New Roman" w:eastAsia="Times New Roman" w:hAnsi="Times New Roman" w:cs="Times New Roman"/>
          <w:sz w:val="24"/>
          <w:szCs w:val="24"/>
          <w:vertAlign w:val="superscript"/>
        </w:rPr>
        <w:t>11</w:t>
      </w:r>
      <w:r w:rsidRPr="005B38F0">
        <w:rPr>
          <w:rFonts w:ascii="Times New Roman" w:eastAsia="Times New Roman" w:hAnsi="Times New Roman" w:cs="Times New Roman"/>
          <w:sz w:val="24"/>
          <w:szCs w:val="24"/>
        </w:rPr>
        <w:t xml:space="preserve">C]PBR28. </w:t>
      </w:r>
      <w:r w:rsidRPr="005B38F0">
        <w:rPr>
          <w:rFonts w:ascii="Times New Roman" w:eastAsia="Times New Roman" w:hAnsi="Times New Roman" w:cs="Times New Roman"/>
          <w:i/>
          <w:iCs/>
          <w:sz w:val="24"/>
          <w:szCs w:val="24"/>
        </w:rPr>
        <w:t>Molecular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850–856. </w:t>
      </w:r>
      <w:hyperlink r:id="rId1149" w:history="1">
        <w:r w:rsidRPr="005B38F0">
          <w:rPr>
            <w:rFonts w:ascii="Times New Roman" w:eastAsia="Times New Roman" w:hAnsi="Times New Roman" w:cs="Times New Roman"/>
            <w:color w:val="0000FF"/>
            <w:sz w:val="24"/>
            <w:szCs w:val="24"/>
            <w:u w:val="single"/>
          </w:rPr>
          <w:t>https://doi.org/10.1038/mp.2016.247</w:t>
        </w:r>
      </w:hyperlink>
    </w:p>
    <w:p w14:paraId="3A0EBEE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Colosimo, C., &amp; Guidi, M. (2009). Parkinsonism due to ephedrone neurotoxicity: A case report.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(6), e114–e115. </w:t>
      </w:r>
      <w:hyperlink r:id="rId1150" w:history="1">
        <w:r w:rsidRPr="005B38F0">
          <w:rPr>
            <w:rFonts w:ascii="Times New Roman" w:eastAsia="Times New Roman" w:hAnsi="Times New Roman" w:cs="Times New Roman"/>
            <w:color w:val="0000FF"/>
            <w:sz w:val="24"/>
            <w:szCs w:val="24"/>
            <w:u w:val="single"/>
          </w:rPr>
          <w:t>https://doi.org/10.1111/j.1468-1331.2009.02606.x</w:t>
        </w:r>
      </w:hyperlink>
    </w:p>
    <w:p w14:paraId="62BDD1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Colzato, L. S., Huizinga, M., &amp; Hommel, B. (2009). Recreational cocaine polydrug use impairs cognitive flexibility but not working memory. </w:t>
      </w:r>
      <w:r w:rsidRPr="005B38F0">
        <w:rPr>
          <w:rFonts w:ascii="Times New Roman" w:eastAsia="Times New Roman" w:hAnsi="Times New Roman" w:cs="Times New Roman"/>
          <w:i/>
          <w:iCs/>
          <w:sz w:val="24"/>
          <w:szCs w:val="24"/>
        </w:rPr>
        <w:t>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207</w:t>
      </w:r>
      <w:r w:rsidRPr="005B38F0">
        <w:rPr>
          <w:rFonts w:ascii="Times New Roman" w:eastAsia="Times New Roman" w:hAnsi="Times New Roman" w:cs="Times New Roman"/>
          <w:sz w:val="24"/>
          <w:szCs w:val="24"/>
        </w:rPr>
        <w:t xml:space="preserve">(2), 225–234. </w:t>
      </w:r>
      <w:hyperlink r:id="rId1151" w:history="1">
        <w:r w:rsidRPr="005B38F0">
          <w:rPr>
            <w:rFonts w:ascii="Times New Roman" w:eastAsia="Times New Roman" w:hAnsi="Times New Roman" w:cs="Times New Roman"/>
            <w:color w:val="0000FF"/>
            <w:sz w:val="24"/>
            <w:szCs w:val="24"/>
            <w:u w:val="single"/>
          </w:rPr>
          <w:t>https://doi.org/10.1007/s00213-009-1650-0</w:t>
        </w:r>
      </w:hyperlink>
    </w:p>
    <w:p w14:paraId="271516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Comparelli, A., Corigliano, V., Forcina, F., Bargagna, P., Montalbani, B., Falcone, G., Nardella, A., Stampatore, L., Salzer, M., &amp; Pompili, M. (2020). The complex relationship among formal thought disorders, neurocognition, and functioning in nonacutely Ill schizophrenia patients.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208</w:t>
      </w:r>
      <w:r w:rsidRPr="005B38F0">
        <w:rPr>
          <w:rFonts w:ascii="Times New Roman" w:eastAsia="Times New Roman" w:hAnsi="Times New Roman" w:cs="Times New Roman"/>
          <w:sz w:val="24"/>
          <w:szCs w:val="24"/>
        </w:rPr>
        <w:t xml:space="preserve">(1), 48–55. </w:t>
      </w:r>
      <w:hyperlink r:id="rId1152" w:history="1">
        <w:r w:rsidRPr="005B38F0">
          <w:rPr>
            <w:rFonts w:ascii="Times New Roman" w:eastAsia="Times New Roman" w:hAnsi="Times New Roman" w:cs="Times New Roman"/>
            <w:color w:val="0000FF"/>
            <w:sz w:val="24"/>
            <w:szCs w:val="24"/>
            <w:u w:val="single"/>
          </w:rPr>
          <w:t>https://doi.org/10.1097/NMD.0000000000001087</w:t>
        </w:r>
      </w:hyperlink>
    </w:p>
    <w:p w14:paraId="6F15BD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Comparelli, A., De Carolis, A., Corigliano, V., Romano, S., Kotzalidis, G., Brugnoli, R., Tamorri, S., Curto, M., Tatarelli, R., Ferracuti, S., &amp; Girardi, P. (2012). Neurocognition, psychopathology, and subjective disturbances in schizophrenia: A comparison between short-term and remitted patients.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(7), 931–939. </w:t>
      </w:r>
      <w:hyperlink r:id="rId1153" w:history="1">
        <w:r w:rsidRPr="005B38F0">
          <w:rPr>
            <w:rFonts w:ascii="Times New Roman" w:eastAsia="Times New Roman" w:hAnsi="Times New Roman" w:cs="Times New Roman"/>
            <w:color w:val="0000FF"/>
            <w:sz w:val="24"/>
            <w:szCs w:val="24"/>
            <w:u w:val="single"/>
          </w:rPr>
          <w:t>https://doi.org/10.1016/j.comppsych.2012.02.007</w:t>
        </w:r>
      </w:hyperlink>
    </w:p>
    <w:p w14:paraId="301E5DD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Compton, D. M., Avet-Compton, T. L., Bachman, L. D., &amp; Brand, D. (2003). Working Memory and Perceptual Speed Mediation of Age-Associated Changes in Cognition Within a Sample of Highly-Educated Adults. </w:t>
      </w:r>
      <w:r w:rsidRPr="005B38F0">
        <w:rPr>
          <w:rFonts w:ascii="Times New Roman" w:eastAsia="Times New Roman" w:hAnsi="Times New Roman" w:cs="Times New Roman"/>
          <w:i/>
          <w:iCs/>
          <w:sz w:val="24"/>
          <w:szCs w:val="24"/>
        </w:rPr>
        <w:t>North American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(3), 451–477.</w:t>
      </w:r>
    </w:p>
    <w:p w14:paraId="18023C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Compton, D. M., Bachman, L. D., Brand, D., &amp; Avet, T. L. (2000). Age-associated changes in cognitive function in highly educated adults: Emerging myths and realities.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(1), 75–85. </w:t>
      </w:r>
      <w:hyperlink r:id="rId1154" w:history="1">
        <w:r w:rsidRPr="005B38F0">
          <w:rPr>
            <w:rFonts w:ascii="Times New Roman" w:eastAsia="Times New Roman" w:hAnsi="Times New Roman" w:cs="Times New Roman"/>
            <w:color w:val="0000FF"/>
            <w:sz w:val="24"/>
            <w:szCs w:val="24"/>
            <w:u w:val="single"/>
          </w:rPr>
          <w:t>https://doi.org/10.1002/(SICI)1099-1166(200001)15:1&lt;75::AID-GPS81&gt;3.0.CO;2-M</w:t>
        </w:r>
      </w:hyperlink>
    </w:p>
    <w:p w14:paraId="28C859C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Compton, D. M., Bachman, L. D., &amp; Logan, J. A. (1997). Aging and intellectual ability in young, middle-aged, and older educated adults: Preliminary results from a sample of college faculty. </w:t>
      </w:r>
      <w:r w:rsidRPr="005B38F0">
        <w:rPr>
          <w:rFonts w:ascii="Times New Roman" w:eastAsia="Times New Roman" w:hAnsi="Times New Roman" w:cs="Times New Roman"/>
          <w:i/>
          <w:iCs/>
          <w:sz w:val="24"/>
          <w:szCs w:val="24"/>
        </w:rPr>
        <w:t>Psychological Reports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81</w:t>
      </w:r>
      <w:r w:rsidRPr="005B38F0">
        <w:rPr>
          <w:rFonts w:ascii="Times New Roman" w:eastAsia="Times New Roman" w:hAnsi="Times New Roman" w:cs="Times New Roman"/>
          <w:sz w:val="24"/>
          <w:szCs w:val="24"/>
        </w:rPr>
        <w:t xml:space="preserve">(1), 79–90. </w:t>
      </w:r>
      <w:hyperlink r:id="rId1155" w:history="1">
        <w:r w:rsidRPr="005B38F0">
          <w:rPr>
            <w:rFonts w:ascii="Times New Roman" w:eastAsia="Times New Roman" w:hAnsi="Times New Roman" w:cs="Times New Roman"/>
            <w:color w:val="0000FF"/>
            <w:sz w:val="24"/>
            <w:szCs w:val="24"/>
            <w:u w:val="single"/>
          </w:rPr>
          <w:t>https://doi.org/10.2466/PR0.81.5.79-90</w:t>
        </w:r>
      </w:hyperlink>
    </w:p>
    <w:p w14:paraId="292836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Conant, L. L., Wilfong, A., Inglese, C., &amp; Schwarte, A. (2010). Dysfunction of executive and related processes in childhood absence epilepsy. </w:t>
      </w:r>
      <w:r w:rsidRPr="005B38F0">
        <w:rPr>
          <w:rFonts w:ascii="Times New Roman" w:eastAsia="Times New Roman" w:hAnsi="Times New Roman" w:cs="Times New Roman"/>
          <w:i/>
          <w:iCs/>
          <w:sz w:val="24"/>
          <w:szCs w:val="24"/>
        </w:rPr>
        <w:t>Epilepsy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414–423. </w:t>
      </w:r>
      <w:hyperlink r:id="rId1156" w:history="1">
        <w:r w:rsidRPr="005B38F0">
          <w:rPr>
            <w:rFonts w:ascii="Times New Roman" w:eastAsia="Times New Roman" w:hAnsi="Times New Roman" w:cs="Times New Roman"/>
            <w:color w:val="0000FF"/>
            <w:sz w:val="24"/>
            <w:szCs w:val="24"/>
            <w:u w:val="single"/>
          </w:rPr>
          <w:t>https://doi.org/10.1016/j.yebeh.2010.05.010</w:t>
        </w:r>
      </w:hyperlink>
    </w:p>
    <w:p w14:paraId="06C6647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Connor, L. T., &amp; Maeir, A. (2011). Putting executive performance in a theoretical context. </w:t>
      </w:r>
      <w:r w:rsidRPr="005B38F0">
        <w:rPr>
          <w:rFonts w:ascii="Times New Roman" w:eastAsia="Times New Roman" w:hAnsi="Times New Roman" w:cs="Times New Roman"/>
          <w:i/>
          <w:iCs/>
          <w:sz w:val="24"/>
          <w:szCs w:val="24"/>
        </w:rPr>
        <w:t>OTJR: Occupation, Participation and Health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(Suppl 1), S3–S7. </w:t>
      </w:r>
      <w:hyperlink r:id="rId1157" w:history="1">
        <w:r w:rsidRPr="005B38F0">
          <w:rPr>
            <w:rFonts w:ascii="Times New Roman" w:eastAsia="Times New Roman" w:hAnsi="Times New Roman" w:cs="Times New Roman"/>
            <w:color w:val="0000FF"/>
            <w:sz w:val="24"/>
            <w:szCs w:val="24"/>
            <w:u w:val="single"/>
          </w:rPr>
          <w:t>https://doi.org/10.3928/15394492-20101108-02</w:t>
        </w:r>
      </w:hyperlink>
    </w:p>
    <w:p w14:paraId="0408E6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A. L. (2009a). A comparison of word versus sentence cues as therapy for verb naming in aphasia.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(4), 462–482. </w:t>
      </w:r>
      <w:hyperlink r:id="rId1158" w:history="1">
        <w:r w:rsidRPr="005B38F0">
          <w:rPr>
            <w:rFonts w:ascii="Times New Roman" w:eastAsia="Times New Roman" w:hAnsi="Times New Roman" w:cs="Times New Roman"/>
            <w:color w:val="0000FF"/>
            <w:sz w:val="24"/>
            <w:szCs w:val="24"/>
            <w:u w:val="single"/>
          </w:rPr>
          <w:t>https://doi.org/10.1080/02687030802514920</w:t>
        </w:r>
      </w:hyperlink>
    </w:p>
    <w:p w14:paraId="646C4D6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A. L. (2009b). Errorless and errorful therapy for verb and noun naming in aphasia.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(11), 1311–1337. </w:t>
      </w:r>
      <w:hyperlink r:id="rId1159" w:history="1">
        <w:r w:rsidRPr="005B38F0">
          <w:rPr>
            <w:rFonts w:ascii="Times New Roman" w:eastAsia="Times New Roman" w:hAnsi="Times New Roman" w:cs="Times New Roman"/>
            <w:color w:val="0000FF"/>
            <w:sz w:val="24"/>
            <w:szCs w:val="24"/>
            <w:u w:val="single"/>
          </w:rPr>
          <w:t>https://doi.org/10.1080/02687030902756439</w:t>
        </w:r>
      </w:hyperlink>
    </w:p>
    <w:p w14:paraId="29E1C2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Conroy, P., Sage, K., &amp; Ralph, M. A. L. (2009c). The effects of decreasing and increasing cue therapy on improving naming speed and accuracy for verbs and nouns in aphasia. </w:t>
      </w:r>
      <w:r w:rsidRPr="005B38F0">
        <w:rPr>
          <w:rFonts w:ascii="Times New Roman" w:eastAsia="Times New Roman" w:hAnsi="Times New Roman" w:cs="Times New Roman"/>
          <w:i/>
          <w:iCs/>
          <w:sz w:val="24"/>
          <w:szCs w:val="24"/>
        </w:rPr>
        <w:t>Aphasiology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707–730. </w:t>
      </w:r>
      <w:hyperlink r:id="rId1160" w:history="1">
        <w:r w:rsidRPr="005B38F0">
          <w:rPr>
            <w:rFonts w:ascii="Times New Roman" w:eastAsia="Times New Roman" w:hAnsi="Times New Roman" w:cs="Times New Roman"/>
            <w:color w:val="0000FF"/>
            <w:sz w:val="24"/>
            <w:szCs w:val="24"/>
            <w:u w:val="single"/>
          </w:rPr>
          <w:t>https://doi.org/10.1080/02687030802165574</w:t>
        </w:r>
      </w:hyperlink>
    </w:p>
    <w:p w14:paraId="54ECCC4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Sage, K., &amp; Ralph, M. L. (2009d). Improved vocabulary production after naming therapy in aphasia: Can gains in picture naming generalise to connected speech? </w:t>
      </w:r>
      <w:r w:rsidRPr="005B38F0">
        <w:rPr>
          <w:rFonts w:ascii="Times New Roman" w:eastAsia="Times New Roman" w:hAnsi="Times New Roman" w:cs="Times New Roman"/>
          <w:i/>
          <w:iCs/>
          <w:sz w:val="24"/>
          <w:szCs w:val="24"/>
        </w:rPr>
        <w:t>International Journal of Language &amp;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(6), 1036–1062. </w:t>
      </w:r>
      <w:hyperlink r:id="rId1161" w:history="1">
        <w:r w:rsidRPr="005B38F0">
          <w:rPr>
            <w:rFonts w:ascii="Times New Roman" w:eastAsia="Times New Roman" w:hAnsi="Times New Roman" w:cs="Times New Roman"/>
            <w:color w:val="0000FF"/>
            <w:sz w:val="24"/>
            <w:szCs w:val="24"/>
            <w:u w:val="single"/>
          </w:rPr>
          <w:t>https://doi.org/10.1080/13682820802585975</w:t>
        </w:r>
      </w:hyperlink>
    </w:p>
    <w:p w14:paraId="1B65A33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Conroy, P., &amp; Scowcroft, J. (2012). Decreasing cues for a dynamic list of noun and verb naming targets: A case-series aphasia therapy study. </w:t>
      </w:r>
      <w:r w:rsidRPr="005B38F0">
        <w:rPr>
          <w:rFonts w:ascii="Times New Roman" w:eastAsia="Times New Roman" w:hAnsi="Times New Roman" w:cs="Times New Roman"/>
          <w:i/>
          <w:iCs/>
          <w:sz w:val="24"/>
          <w:szCs w:val="24"/>
        </w:rPr>
        <w:t>Neuropsychological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295–318. </w:t>
      </w:r>
      <w:hyperlink r:id="rId1162" w:history="1">
        <w:r w:rsidRPr="005B38F0">
          <w:rPr>
            <w:rFonts w:ascii="Times New Roman" w:eastAsia="Times New Roman" w:hAnsi="Times New Roman" w:cs="Times New Roman"/>
            <w:color w:val="0000FF"/>
            <w:sz w:val="24"/>
            <w:szCs w:val="24"/>
            <w:u w:val="single"/>
          </w:rPr>
          <w:t>https://doi.org/10.1080/09602011.2011.641434</w:t>
        </w:r>
      </w:hyperlink>
    </w:p>
    <w:p w14:paraId="25339C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Consonni, M., Iannaccone, S., Cerami, C., Frasson, P., Lacerenza, M., Lunetta, C., Corbo, M., &amp; Cappa, S. F. (2013). The cognitive and behavioural profile of amyotrophic lateral sclerosis: Application of the consensus criteria.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143–153. </w:t>
      </w:r>
      <w:hyperlink r:id="rId1163" w:history="1">
        <w:r w:rsidRPr="005B38F0">
          <w:rPr>
            <w:rFonts w:ascii="Times New Roman" w:eastAsia="Times New Roman" w:hAnsi="Times New Roman" w:cs="Times New Roman"/>
            <w:color w:val="0000FF"/>
            <w:sz w:val="24"/>
            <w:szCs w:val="24"/>
            <w:u w:val="single"/>
          </w:rPr>
          <w:t>https://doi.org/10.1155/2013/126010</w:t>
        </w:r>
      </w:hyperlink>
    </w:p>
    <w:p w14:paraId="4819B9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Constantinidou, F. (2019). Efforts of systematic categorization training on cognitive performance in healthy older adults and in adults with traumatic brain injury.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2019</w:t>
      </w:r>
      <w:r w:rsidRPr="005B38F0">
        <w:rPr>
          <w:rFonts w:ascii="Times New Roman" w:eastAsia="Times New Roman" w:hAnsi="Times New Roman" w:cs="Times New Roman"/>
          <w:sz w:val="24"/>
          <w:szCs w:val="24"/>
        </w:rPr>
        <w:t xml:space="preserve">. </w:t>
      </w:r>
      <w:hyperlink r:id="rId1164" w:history="1">
        <w:r w:rsidRPr="005B38F0">
          <w:rPr>
            <w:rFonts w:ascii="Times New Roman" w:eastAsia="Times New Roman" w:hAnsi="Times New Roman" w:cs="Times New Roman"/>
            <w:color w:val="0000FF"/>
            <w:sz w:val="24"/>
            <w:szCs w:val="24"/>
            <w:u w:val="single"/>
          </w:rPr>
          <w:t>https://doi.org/10.1155/2019/9785319</w:t>
        </w:r>
      </w:hyperlink>
    </w:p>
    <w:p w14:paraId="1DDDE5B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Constantinidou, F., &amp; Kreimer, L. (2004). Feature description and categorization of common objects after traumatic brain injury: The effects of a multi-trial paradigm. </w:t>
      </w:r>
      <w:r w:rsidRPr="005B38F0">
        <w:rPr>
          <w:rFonts w:ascii="Times New Roman" w:eastAsia="Times New Roman" w:hAnsi="Times New Roman" w:cs="Times New Roman"/>
          <w:i/>
          <w:iCs/>
          <w:sz w:val="24"/>
          <w:szCs w:val="24"/>
        </w:rPr>
        <w:t>Brain and Language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(1), 216–225. </w:t>
      </w:r>
      <w:hyperlink r:id="rId1165" w:history="1">
        <w:r w:rsidRPr="005B38F0">
          <w:rPr>
            <w:rFonts w:ascii="Times New Roman" w:eastAsia="Times New Roman" w:hAnsi="Times New Roman" w:cs="Times New Roman"/>
            <w:color w:val="0000FF"/>
            <w:sz w:val="24"/>
            <w:szCs w:val="24"/>
            <w:u w:val="single"/>
          </w:rPr>
          <w:t>https://doi.org/10.1016/S0093-934X(03)00399-7</w:t>
        </w:r>
      </w:hyperlink>
    </w:p>
    <w:p w14:paraId="64C299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Constantinidou, F., Wertheimer, J. C., Tsanadis, J., Evans, C., &amp; Paul, D. R. (2012). Assessment of executive functioning in brain injury: Collaboration between speech-language pathology </w:t>
      </w:r>
      <w:r w:rsidRPr="005B38F0">
        <w:rPr>
          <w:rFonts w:ascii="Times New Roman" w:eastAsia="Times New Roman" w:hAnsi="Times New Roman" w:cs="Times New Roman"/>
          <w:sz w:val="24"/>
          <w:szCs w:val="24"/>
        </w:rPr>
        <w:lastRenderedPageBreak/>
        <w:t xml:space="preserve">and neuropsychology for an integrative nueropsychological perspective. </w:t>
      </w:r>
      <w:r w:rsidRPr="005B38F0">
        <w:rPr>
          <w:rFonts w:ascii="Times New Roman" w:eastAsia="Times New Roman" w:hAnsi="Times New Roman" w:cs="Times New Roman"/>
          <w:i/>
          <w:iCs/>
          <w:sz w:val="24"/>
          <w:szCs w:val="24"/>
        </w:rPr>
        <w:t>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(13–14), 1549–1563.</w:t>
      </w:r>
    </w:p>
    <w:p w14:paraId="187B9C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Contarino, M. F., Daniele, A., Sibilia, A. H., Romito, L. M. A., Benlivoglio, A. R., Gainotti, G., &amp; Albanese, A. (2007). Cognitive outcome 5 years after bilateral chronic stimulation of subthalamic nucleus in patients with Parkinson’s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78</w:t>
      </w:r>
      <w:r w:rsidRPr="005B38F0">
        <w:rPr>
          <w:rFonts w:ascii="Times New Roman" w:eastAsia="Times New Roman" w:hAnsi="Times New Roman" w:cs="Times New Roman"/>
          <w:sz w:val="24"/>
          <w:szCs w:val="24"/>
        </w:rPr>
        <w:t xml:space="preserve">(3), 248–252. </w:t>
      </w:r>
      <w:hyperlink r:id="rId1166" w:history="1">
        <w:r w:rsidRPr="005B38F0">
          <w:rPr>
            <w:rFonts w:ascii="Times New Roman" w:eastAsia="Times New Roman" w:hAnsi="Times New Roman" w:cs="Times New Roman"/>
            <w:color w:val="0000FF"/>
            <w:sz w:val="24"/>
            <w:szCs w:val="24"/>
            <w:u w:val="single"/>
          </w:rPr>
          <w:t>https://doi.org/10.1136/jnnp.2005.086660</w:t>
        </w:r>
      </w:hyperlink>
    </w:p>
    <w:p w14:paraId="591CBC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Conti, F., Alessandri, C., Perricone, C., Scrivo, R., Rezai, S., Ceccarelli, F., Spinelli, F. R., Ortona, E., Marianetti, M., Mina, C., &amp; Valesini, G. (2012). Neurocognitive dysfunction in systemic lupus erythematosus: Association with antiphospholipid antibodies, disease activity and chronic damage.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(3). </w:t>
      </w:r>
      <w:hyperlink r:id="rId1167" w:history="1">
        <w:r w:rsidRPr="005B38F0">
          <w:rPr>
            <w:rFonts w:ascii="Times New Roman" w:eastAsia="Times New Roman" w:hAnsi="Times New Roman" w:cs="Times New Roman"/>
            <w:color w:val="0000FF"/>
            <w:sz w:val="24"/>
            <w:szCs w:val="24"/>
            <w:u w:val="single"/>
          </w:rPr>
          <w:t>https://doi.org/10.1371/journal.pone.0033824</w:t>
        </w:r>
      </w:hyperlink>
    </w:p>
    <w:p w14:paraId="3E853B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Converse, P. D., Pathak, J., Steinhauser, E., &amp; Homan, E. W. (2012). Repeated self-regulation and asymmetric hemispheric activation. </w:t>
      </w:r>
      <w:r w:rsidRPr="005B38F0">
        <w:rPr>
          <w:rFonts w:ascii="Times New Roman" w:eastAsia="Times New Roman" w:hAnsi="Times New Roman" w:cs="Times New Roman"/>
          <w:i/>
          <w:iCs/>
          <w:sz w:val="24"/>
          <w:szCs w:val="24"/>
        </w:rPr>
        <w:t>Basic and Applied Social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(2), 152–167. </w:t>
      </w:r>
      <w:hyperlink r:id="rId1168" w:history="1">
        <w:r w:rsidRPr="005B38F0">
          <w:rPr>
            <w:rFonts w:ascii="Times New Roman" w:eastAsia="Times New Roman" w:hAnsi="Times New Roman" w:cs="Times New Roman"/>
            <w:color w:val="0000FF"/>
            <w:sz w:val="24"/>
            <w:szCs w:val="24"/>
            <w:u w:val="single"/>
          </w:rPr>
          <w:t>https://doi.org/10.1080/01973533.2012.655989</w:t>
        </w:r>
      </w:hyperlink>
    </w:p>
    <w:p w14:paraId="1855F96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Cook-Cottone, C. P. (2013). A case study: Eating disorders. In </w:t>
      </w:r>
      <w:r w:rsidRPr="005B38F0">
        <w:rPr>
          <w:rFonts w:ascii="Times New Roman" w:eastAsia="Times New Roman" w:hAnsi="Times New Roman" w:cs="Times New Roman"/>
          <w:i/>
          <w:iCs/>
          <w:sz w:val="24"/>
          <w:szCs w:val="24"/>
        </w:rPr>
        <w:t>Psychopathology of childhood and adolescence: A neuropsychological approach.</w:t>
      </w:r>
      <w:r w:rsidRPr="005B38F0">
        <w:rPr>
          <w:rFonts w:ascii="Times New Roman" w:eastAsia="Times New Roman" w:hAnsi="Times New Roman" w:cs="Times New Roman"/>
          <w:sz w:val="24"/>
          <w:szCs w:val="24"/>
        </w:rPr>
        <w:t xml:space="preserve"> (pp. 313–318). Springer Publishing Company.</w:t>
      </w:r>
    </w:p>
    <w:p w14:paraId="354EC5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Cooke, M. A., Peters, E. R., Fannon, D., Aasen, I., Kuipers, E., &amp; Kumari, V. (2010). Cognitive insight in psychosis: The relationship between self-certainty and self-reflection dimensions and neuropsychological measures.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178</w:t>
      </w:r>
      <w:r w:rsidRPr="005B38F0">
        <w:rPr>
          <w:rFonts w:ascii="Times New Roman" w:eastAsia="Times New Roman" w:hAnsi="Times New Roman" w:cs="Times New Roman"/>
          <w:sz w:val="24"/>
          <w:szCs w:val="24"/>
        </w:rPr>
        <w:t xml:space="preserve">(2), 284–289. </w:t>
      </w:r>
      <w:hyperlink r:id="rId1169" w:history="1">
        <w:r w:rsidRPr="005B38F0">
          <w:rPr>
            <w:rFonts w:ascii="Times New Roman" w:eastAsia="Times New Roman" w:hAnsi="Times New Roman" w:cs="Times New Roman"/>
            <w:color w:val="0000FF"/>
            <w:sz w:val="24"/>
            <w:szCs w:val="24"/>
            <w:u w:val="single"/>
          </w:rPr>
          <w:t>https://doi.org/10.1016/j.psychres.2009.05.009</w:t>
        </w:r>
      </w:hyperlink>
    </w:p>
    <w:p w14:paraId="2A00951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Cools, R., &amp; D’Esposito, M. (2011). Inverted-U–shaped dopamine actions on human working memory and cognitive control.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69</w:t>
      </w:r>
      <w:r w:rsidRPr="005B38F0">
        <w:rPr>
          <w:rFonts w:ascii="Times New Roman" w:eastAsia="Times New Roman" w:hAnsi="Times New Roman" w:cs="Times New Roman"/>
          <w:sz w:val="24"/>
          <w:szCs w:val="24"/>
        </w:rPr>
        <w:t xml:space="preserve">(12), e113–e125. </w:t>
      </w:r>
      <w:hyperlink r:id="rId1170" w:history="1">
        <w:r w:rsidRPr="005B38F0">
          <w:rPr>
            <w:rFonts w:ascii="Times New Roman" w:eastAsia="Times New Roman" w:hAnsi="Times New Roman" w:cs="Times New Roman"/>
            <w:color w:val="0000FF"/>
            <w:sz w:val="24"/>
            <w:szCs w:val="24"/>
            <w:u w:val="single"/>
          </w:rPr>
          <w:t>https://doi.org/10.1016/j.biopsych.2011.03.028</w:t>
        </w:r>
      </w:hyperlink>
    </w:p>
    <w:p w14:paraId="736396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Cools, R., Gibbs, S. E., Miyakawa, A., Jagust, W., &amp; D’Esposito, M. (2008). Working memory capacity predicts dopamine synthesis capacity in the human striatum.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(5), 1208–1212. </w:t>
      </w:r>
      <w:hyperlink r:id="rId1171" w:history="1">
        <w:r w:rsidRPr="005B38F0">
          <w:rPr>
            <w:rFonts w:ascii="Times New Roman" w:eastAsia="Times New Roman" w:hAnsi="Times New Roman" w:cs="Times New Roman"/>
            <w:color w:val="0000FF"/>
            <w:sz w:val="24"/>
            <w:szCs w:val="24"/>
            <w:u w:val="single"/>
          </w:rPr>
          <w:t>https://doi.org/10.1523/JNEUROSCI.4475-07.2008</w:t>
        </w:r>
      </w:hyperlink>
    </w:p>
    <w:p w14:paraId="4E8CBB9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Cools, R., Sheridan, M., Jacobs, E., &amp; D’Esposito, M. (2007). Impulsive personality predicts dopamine-dependent changes in frontostriatal activity during component processes of working memory. </w:t>
      </w:r>
      <w:r w:rsidRPr="005B38F0">
        <w:rPr>
          <w:rFonts w:ascii="Times New Roman" w:eastAsia="Times New Roman" w:hAnsi="Times New Roman" w:cs="Times New Roman"/>
          <w:i/>
          <w:iCs/>
          <w:sz w:val="24"/>
          <w:szCs w:val="24"/>
        </w:rPr>
        <w:t>The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(20), 5506–5514. </w:t>
      </w:r>
      <w:hyperlink r:id="rId1172" w:history="1">
        <w:r w:rsidRPr="005B38F0">
          <w:rPr>
            <w:rFonts w:ascii="Times New Roman" w:eastAsia="Times New Roman" w:hAnsi="Times New Roman" w:cs="Times New Roman"/>
            <w:color w:val="0000FF"/>
            <w:sz w:val="24"/>
            <w:szCs w:val="24"/>
            <w:u w:val="single"/>
          </w:rPr>
          <w:t>https://doi.org/10.1523/JNEUROSCI.0601-07.2007</w:t>
        </w:r>
      </w:hyperlink>
    </w:p>
    <w:p w14:paraId="08064E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Cooper, D. B., Ales, G., Lange, C., &amp; Clement, P. (2006). Atypical Onset of Symptoms in Huntington Disease: Severe Cognitive Decline Preceding Chorea or Other Motor Manifestations. </w:t>
      </w:r>
      <w:r w:rsidRPr="005B38F0">
        <w:rPr>
          <w:rFonts w:ascii="Times New Roman" w:eastAsia="Times New Roman" w:hAnsi="Times New Roman" w:cs="Times New Roman"/>
          <w:i/>
          <w:iCs/>
          <w:sz w:val="24"/>
          <w:szCs w:val="24"/>
        </w:rPr>
        <w:t>Cognitive and Behavioral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(4), 222–224. </w:t>
      </w:r>
      <w:hyperlink r:id="rId1173" w:history="1">
        <w:r w:rsidRPr="005B38F0">
          <w:rPr>
            <w:rFonts w:ascii="Times New Roman" w:eastAsia="Times New Roman" w:hAnsi="Times New Roman" w:cs="Times New Roman"/>
            <w:color w:val="0000FF"/>
            <w:sz w:val="24"/>
            <w:szCs w:val="24"/>
            <w:u w:val="single"/>
          </w:rPr>
          <w:t>https://doi.org/10.1097/01.wnn.0000213917.10514.1e</w:t>
        </w:r>
      </w:hyperlink>
    </w:p>
    <w:p w14:paraId="750518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Cooper, R. P., Wutke, K., &amp; Davelaar, E. J. (2012). Differential contributions of set-shifting and monitoring to dual-task interference. </w:t>
      </w:r>
      <w:r w:rsidRPr="005B38F0">
        <w:rPr>
          <w:rFonts w:ascii="Times New Roman" w:eastAsia="Times New Roman" w:hAnsi="Times New Roman" w:cs="Times New Roman"/>
          <w:i/>
          <w:iCs/>
          <w:sz w:val="24"/>
          <w:szCs w:val="24"/>
        </w:rPr>
        <w:t>The Quarterly Journal of Experimental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(3), 587–612. </w:t>
      </w:r>
      <w:hyperlink r:id="rId1174" w:history="1">
        <w:r w:rsidRPr="005B38F0">
          <w:rPr>
            <w:rFonts w:ascii="Times New Roman" w:eastAsia="Times New Roman" w:hAnsi="Times New Roman" w:cs="Times New Roman"/>
            <w:color w:val="0000FF"/>
            <w:sz w:val="24"/>
            <w:szCs w:val="24"/>
            <w:u w:val="single"/>
          </w:rPr>
          <w:t>https://doi.org/10.1080/17470218.2011.629053</w:t>
        </w:r>
      </w:hyperlink>
    </w:p>
    <w:p w14:paraId="5F7B05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Çöp, E., Tüzün, Z., &amp; Çuhadaroğlu Çetin, F. (2013). Ağır Duygudurum Düzensizliği: Dikkat Eksikliği Hiperaktivite Bozukluğu ve Eş Hastalanımı Olan Çocuklardan Nöropsikiyatrik Farkları. [Severe mood dysregulation: ADHD and neuropsychiatric differences of children with comorbid disorders.]. </w:t>
      </w:r>
      <w:r w:rsidRPr="005B38F0">
        <w:rPr>
          <w:rFonts w:ascii="Times New Roman" w:eastAsia="Times New Roman" w:hAnsi="Times New Roman" w:cs="Times New Roman"/>
          <w:i/>
          <w:iCs/>
          <w:sz w:val="24"/>
          <w:szCs w:val="24"/>
        </w:rPr>
        <w:t>Çocuk ve Gençlik Ruh Sağliği Dergisi</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(2), 97–108.</w:t>
      </w:r>
    </w:p>
    <w:p w14:paraId="0D8EC7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Copenhaver, B. R., Rabin, L. A., Saykin, A. J., Roth, R. M., Wishart, H. A., Flashman, L. A., Santulli, R. B., McHugh, T. L., &amp; Mamourian, A. C. (2006). The fornix and mammillary bodies in older adults with Alzheimer’s disease, mild cognitive impairment, and cognitive complaints: A volumetric MRI study.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147</w:t>
      </w:r>
      <w:r w:rsidRPr="005B38F0">
        <w:rPr>
          <w:rFonts w:ascii="Times New Roman" w:eastAsia="Times New Roman" w:hAnsi="Times New Roman" w:cs="Times New Roman"/>
          <w:sz w:val="24"/>
          <w:szCs w:val="24"/>
        </w:rPr>
        <w:t xml:space="preserve">(2–3), 93–103. </w:t>
      </w:r>
      <w:hyperlink r:id="rId1175" w:history="1">
        <w:r w:rsidRPr="005B38F0">
          <w:rPr>
            <w:rFonts w:ascii="Times New Roman" w:eastAsia="Times New Roman" w:hAnsi="Times New Roman" w:cs="Times New Roman"/>
            <w:color w:val="0000FF"/>
            <w:sz w:val="24"/>
            <w:szCs w:val="24"/>
            <w:u w:val="single"/>
          </w:rPr>
          <w:t>https://doi.org/10.1016/j.pscychresns.2006.01.015</w:t>
        </w:r>
      </w:hyperlink>
    </w:p>
    <w:p w14:paraId="39940E8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Corbett, F., Jefferies, E., Burns, A., &amp; Lambon Ralph, M. A. (2015). Deregulated semantic cognition contributes to object‐use deficits in Alzheimer’s disease: A comparison with semantic aphasia and semantic dementia.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219–241. </w:t>
      </w:r>
      <w:hyperlink r:id="rId1176" w:history="1">
        <w:r w:rsidRPr="005B38F0">
          <w:rPr>
            <w:rFonts w:ascii="Times New Roman" w:eastAsia="Times New Roman" w:hAnsi="Times New Roman" w:cs="Times New Roman"/>
            <w:color w:val="0000FF"/>
            <w:sz w:val="24"/>
            <w:szCs w:val="24"/>
            <w:u w:val="single"/>
          </w:rPr>
          <w:t>https://doi.org/10.1111/jnp.12047</w:t>
        </w:r>
      </w:hyperlink>
    </w:p>
    <w:p w14:paraId="7FFEA2C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Burns, A., &amp; Ralph, M. A. L. (2012). Unpicking the semantic impairment in Alzheimer’s disease: Qualitative changes with disease severity.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(1), 23–34. </w:t>
      </w:r>
      <w:hyperlink r:id="rId1177" w:history="1">
        <w:r w:rsidRPr="005B38F0">
          <w:rPr>
            <w:rFonts w:ascii="Times New Roman" w:eastAsia="Times New Roman" w:hAnsi="Times New Roman" w:cs="Times New Roman"/>
            <w:color w:val="0000FF"/>
            <w:sz w:val="24"/>
            <w:szCs w:val="24"/>
            <w:u w:val="single"/>
          </w:rPr>
          <w:t>https://doi.org/10.1155/2012/902451</w:t>
        </w:r>
      </w:hyperlink>
    </w:p>
    <w:p w14:paraId="66B722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Ehsan, S., &amp; Lambon Ralph, M. A. (2009). Different impairments of semantic cognition in semantic dementia and semantic aphasia: Evidence from the non-verbal domain.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132</w:t>
      </w:r>
      <w:r w:rsidRPr="005B38F0">
        <w:rPr>
          <w:rFonts w:ascii="Times New Roman" w:eastAsia="Times New Roman" w:hAnsi="Times New Roman" w:cs="Times New Roman"/>
          <w:sz w:val="24"/>
          <w:szCs w:val="24"/>
        </w:rPr>
        <w:t xml:space="preserve">(9), 2593–2608. </w:t>
      </w:r>
      <w:hyperlink r:id="rId1178" w:history="1">
        <w:r w:rsidRPr="005B38F0">
          <w:rPr>
            <w:rFonts w:ascii="Times New Roman" w:eastAsia="Times New Roman" w:hAnsi="Times New Roman" w:cs="Times New Roman"/>
            <w:color w:val="0000FF"/>
            <w:sz w:val="24"/>
            <w:szCs w:val="24"/>
            <w:u w:val="single"/>
          </w:rPr>
          <w:t>https://doi.org/10.1093/brain/awp146</w:t>
        </w:r>
      </w:hyperlink>
    </w:p>
    <w:p w14:paraId="1AC0E3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&amp; Lambon Ralph, M. A. (2009). Exploring multimodal semantic control impairments in semantic aphasia: Evidence from naturalistic object use.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(13), 2721–2731. </w:t>
      </w:r>
      <w:hyperlink r:id="rId1179" w:history="1">
        <w:r w:rsidRPr="005B38F0">
          <w:rPr>
            <w:rFonts w:ascii="Times New Roman" w:eastAsia="Times New Roman" w:hAnsi="Times New Roman" w:cs="Times New Roman"/>
            <w:color w:val="0000FF"/>
            <w:sz w:val="24"/>
            <w:szCs w:val="24"/>
            <w:u w:val="single"/>
          </w:rPr>
          <w:t>https://doi.org/10.1016/j.neuropsychologia.2009.05.020</w:t>
        </w:r>
      </w:hyperlink>
    </w:p>
    <w:p w14:paraId="74E5A62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Corbett, F., Jefferies, E., &amp; Ralph, M. A. L. (2011). Deregulated semantic cognition follows prefrontal and temporo-parietal damage: Evidence from the impact of task constraint on nonverbal object use.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(5), 1125–1135. </w:t>
      </w:r>
      <w:hyperlink r:id="rId1180" w:history="1">
        <w:r w:rsidRPr="005B38F0">
          <w:rPr>
            <w:rFonts w:ascii="Times New Roman" w:eastAsia="Times New Roman" w:hAnsi="Times New Roman" w:cs="Times New Roman"/>
            <w:color w:val="0000FF"/>
            <w:sz w:val="24"/>
            <w:szCs w:val="24"/>
            <w:u w:val="single"/>
          </w:rPr>
          <w:t>https://doi.org/10.1162/jocn.2010.21539</w:t>
        </w:r>
      </w:hyperlink>
    </w:p>
    <w:p w14:paraId="292521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Corcoran, R., &amp; Upton, D. (1993). A role for the hippocampus in card sorting?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29</w:t>
      </w:r>
      <w:r w:rsidRPr="005B38F0">
        <w:rPr>
          <w:rFonts w:ascii="Times New Roman" w:eastAsia="Times New Roman" w:hAnsi="Times New Roman" w:cs="Times New Roman"/>
          <w:sz w:val="24"/>
          <w:szCs w:val="24"/>
        </w:rPr>
        <w:t xml:space="preserve">(2), 293–304. </w:t>
      </w:r>
      <w:hyperlink r:id="rId1181" w:history="1">
        <w:r w:rsidRPr="005B38F0">
          <w:rPr>
            <w:rFonts w:ascii="Times New Roman" w:eastAsia="Times New Roman" w:hAnsi="Times New Roman" w:cs="Times New Roman"/>
            <w:color w:val="0000FF"/>
            <w:sz w:val="24"/>
            <w:szCs w:val="24"/>
            <w:u w:val="single"/>
          </w:rPr>
          <w:t>https://doi.org/10.1016/S0010-9452(13)80182-7</w:t>
        </w:r>
      </w:hyperlink>
    </w:p>
    <w:p w14:paraId="107E6B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Cordery, R. J., Alner, K., Cipolotti, L., Ron, M., Kennedy, A., Collinge, J., &amp; Rossor, M. N. (2005). The neuropsychology of variant CJD: A comparative study with inherited and sporadic forms of prion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(3), 330–336. </w:t>
      </w:r>
      <w:hyperlink r:id="rId1182" w:history="1">
        <w:r w:rsidRPr="005B38F0">
          <w:rPr>
            <w:rFonts w:ascii="Times New Roman" w:eastAsia="Times New Roman" w:hAnsi="Times New Roman" w:cs="Times New Roman"/>
            <w:color w:val="0000FF"/>
            <w:sz w:val="24"/>
            <w:szCs w:val="24"/>
            <w:u w:val="single"/>
          </w:rPr>
          <w:t>https://doi.org/10.1136/jnnp.2003.030320</w:t>
        </w:r>
      </w:hyperlink>
    </w:p>
    <w:p w14:paraId="5CDC5E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Cordery, R. J., Hall, M., Cipolotti, L., Al-Sarraj, S., O’Donovan, D. G., Davidson, L., Adlard, P., &amp; Rossor, M. N. (2003). Early cognitive decline in Creutzfeldt-Jakob disease associated with human growth hormone treatment.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(10), 1412–1416. </w:t>
      </w:r>
      <w:hyperlink r:id="rId1183" w:history="1">
        <w:r w:rsidRPr="005B38F0">
          <w:rPr>
            <w:rFonts w:ascii="Times New Roman" w:eastAsia="Times New Roman" w:hAnsi="Times New Roman" w:cs="Times New Roman"/>
            <w:color w:val="0000FF"/>
            <w:sz w:val="24"/>
            <w:szCs w:val="24"/>
            <w:u w:val="single"/>
          </w:rPr>
          <w:t>https://doi.org/10.1136/jnnp.74.10.1412</w:t>
        </w:r>
      </w:hyperlink>
    </w:p>
    <w:p w14:paraId="0D1124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Cordes, J., Falkai, P., Guse, B., Hasan, A., Schneider-Axmann, T., Arends, M., Winterer, G., Wölwer, W., Ben Sliman, E., Ramacher, M., Schmidt-Kraepelin, C., Ohmann, C., Langguth, B., Landgrebe, M., Eichhammer, P., Frank, E., Burger, J., Hajak, G., Rietschel, M., &amp; Wobrock, T. (2009). Repetitive transcranial magnetic stimulation for the treatment of negative symptoms in residual schizophrenia: Rationale and design of a sham-controlled, randomized multicenter study. </w:t>
      </w:r>
      <w:r w:rsidRPr="005B38F0">
        <w:rPr>
          <w:rFonts w:ascii="Times New Roman" w:eastAsia="Times New Roman" w:hAnsi="Times New Roman" w:cs="Times New Roman"/>
          <w:i/>
          <w:iCs/>
          <w:sz w:val="24"/>
          <w:szCs w:val="24"/>
        </w:rPr>
        <w:t>European Archives of Psychiatry and Clinical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259</w:t>
      </w:r>
      <w:r w:rsidRPr="005B38F0">
        <w:rPr>
          <w:rFonts w:ascii="Times New Roman" w:eastAsia="Times New Roman" w:hAnsi="Times New Roman" w:cs="Times New Roman"/>
          <w:sz w:val="24"/>
          <w:szCs w:val="24"/>
        </w:rPr>
        <w:t xml:space="preserve">(Suppl 2), S189–S197. </w:t>
      </w:r>
      <w:hyperlink r:id="rId1184" w:history="1">
        <w:r w:rsidRPr="005B38F0">
          <w:rPr>
            <w:rFonts w:ascii="Times New Roman" w:eastAsia="Times New Roman" w:hAnsi="Times New Roman" w:cs="Times New Roman"/>
            <w:color w:val="0000FF"/>
            <w:sz w:val="24"/>
            <w:szCs w:val="24"/>
            <w:u w:val="single"/>
          </w:rPr>
          <w:t>https://doi.org/10.1007/s00406-009-0060-y</w:t>
        </w:r>
      </w:hyperlink>
    </w:p>
    <w:p w14:paraId="65B679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Corigliano, V., De Carolis, A., Trovini, G., Dehning, J., Di Pietro, S., Curto, M., Donato, N., De Pisa, E., Girardi, P., &amp; Comparelli, A. (2014). Neurocognition in schizophrenia: From prodrome to multi-episode illness.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220</w:t>
      </w:r>
      <w:r w:rsidRPr="005B38F0">
        <w:rPr>
          <w:rFonts w:ascii="Times New Roman" w:eastAsia="Times New Roman" w:hAnsi="Times New Roman" w:cs="Times New Roman"/>
          <w:sz w:val="24"/>
          <w:szCs w:val="24"/>
        </w:rPr>
        <w:t xml:space="preserve">(1–2), 129–134. </w:t>
      </w:r>
      <w:hyperlink r:id="rId1185" w:history="1">
        <w:r w:rsidRPr="005B38F0">
          <w:rPr>
            <w:rFonts w:ascii="Times New Roman" w:eastAsia="Times New Roman" w:hAnsi="Times New Roman" w:cs="Times New Roman"/>
            <w:color w:val="0000FF"/>
            <w:sz w:val="24"/>
            <w:szCs w:val="24"/>
            <w:u w:val="single"/>
          </w:rPr>
          <w:t>https://doi.org/10.1016/j.psychres.2014.07.067</w:t>
        </w:r>
      </w:hyperlink>
    </w:p>
    <w:p w14:paraId="24639EE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Cornet, L. J. M., van der Laan, P. H., Nijman, H. L. I., Tollenaar, N., &amp; de Kogel, C. H. (2016). Does a cognitive skills training program for prisoners affect neurocognitive functioning and heart rate activity? </w:t>
      </w:r>
      <w:r w:rsidRPr="005B38F0">
        <w:rPr>
          <w:rFonts w:ascii="Times New Roman" w:eastAsia="Times New Roman" w:hAnsi="Times New Roman" w:cs="Times New Roman"/>
          <w:i/>
          <w:iCs/>
          <w:sz w:val="24"/>
          <w:szCs w:val="24"/>
        </w:rPr>
        <w:t>Criminal Justice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 xml:space="preserve">(11), 1481–1504. </w:t>
      </w:r>
      <w:hyperlink r:id="rId1186" w:history="1">
        <w:r w:rsidRPr="005B38F0">
          <w:rPr>
            <w:rFonts w:ascii="Times New Roman" w:eastAsia="Times New Roman" w:hAnsi="Times New Roman" w:cs="Times New Roman"/>
            <w:color w:val="0000FF"/>
            <w:sz w:val="24"/>
            <w:szCs w:val="24"/>
            <w:u w:val="single"/>
          </w:rPr>
          <w:t>https://doi.org/10.1177/0093854816643732</w:t>
        </w:r>
      </w:hyperlink>
    </w:p>
    <w:p w14:paraId="1CD3BFD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Corral, M., Holguín, S. R., &amp; Cadaveira, F. (2003). Neuropsychological characteristics of young children from high-density alcoholism families: A three-year follow-up. </w:t>
      </w:r>
      <w:r w:rsidRPr="005B38F0">
        <w:rPr>
          <w:rFonts w:ascii="Times New Roman" w:eastAsia="Times New Roman" w:hAnsi="Times New Roman" w:cs="Times New Roman"/>
          <w:i/>
          <w:iCs/>
          <w:sz w:val="24"/>
          <w:szCs w:val="24"/>
        </w:rPr>
        <w:t>Journal of Studies on Alcohol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 xml:space="preserve">(2), 195–199. </w:t>
      </w:r>
      <w:hyperlink r:id="rId1187" w:history="1">
        <w:r w:rsidRPr="005B38F0">
          <w:rPr>
            <w:rFonts w:ascii="Times New Roman" w:eastAsia="Times New Roman" w:hAnsi="Times New Roman" w:cs="Times New Roman"/>
            <w:color w:val="0000FF"/>
            <w:sz w:val="24"/>
            <w:szCs w:val="24"/>
            <w:u w:val="single"/>
          </w:rPr>
          <w:t>https://doi.org/10.15288/jsa.2003.64.195</w:t>
        </w:r>
      </w:hyperlink>
    </w:p>
    <w:p w14:paraId="027440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Correa, Á., Miró, E., Martínez, M. P., Sánchez, A. I., &amp; Lupiáñez, J. (2011). Temporal preparation and inhibitory deficit in fibromyalgia syndrome. </w:t>
      </w:r>
      <w:r w:rsidRPr="005B38F0">
        <w:rPr>
          <w:rFonts w:ascii="Times New Roman" w:eastAsia="Times New Roman" w:hAnsi="Times New Roman" w:cs="Times New Roman"/>
          <w:i/>
          <w:iCs/>
          <w:sz w:val="24"/>
          <w:szCs w:val="24"/>
        </w:rPr>
        <w:t>Brain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75</w:t>
      </w:r>
      <w:r w:rsidRPr="005B38F0">
        <w:rPr>
          <w:rFonts w:ascii="Times New Roman" w:eastAsia="Times New Roman" w:hAnsi="Times New Roman" w:cs="Times New Roman"/>
          <w:sz w:val="24"/>
          <w:szCs w:val="24"/>
        </w:rPr>
        <w:t xml:space="preserve">(3), 211–216. </w:t>
      </w:r>
      <w:hyperlink r:id="rId1188" w:history="1">
        <w:r w:rsidRPr="005B38F0">
          <w:rPr>
            <w:rFonts w:ascii="Times New Roman" w:eastAsia="Times New Roman" w:hAnsi="Times New Roman" w:cs="Times New Roman"/>
            <w:color w:val="0000FF"/>
            <w:sz w:val="24"/>
            <w:szCs w:val="24"/>
            <w:u w:val="single"/>
          </w:rPr>
          <w:t>https://doi.org/10.1016/j.bandc.2010.11.005</w:t>
        </w:r>
      </w:hyperlink>
    </w:p>
    <w:p w14:paraId="40E4D9D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Corrêa, M. S., Balardin, J. B., Caldieraro, M. A. K., Fleck, M. P., Argimon, I., Luz, C., &amp; Bromberg, E. (2012). Contextual recognition memory deficits in major depression are suppressed by cognitive support at encoding. </w:t>
      </w:r>
      <w:r w:rsidRPr="005B38F0">
        <w:rPr>
          <w:rFonts w:ascii="Times New Roman" w:eastAsia="Times New Roman" w:hAnsi="Times New Roman" w:cs="Times New Roman"/>
          <w:i/>
          <w:iCs/>
          <w:sz w:val="24"/>
          <w:szCs w:val="24"/>
        </w:rPr>
        <w:t>Biological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89</w:t>
      </w:r>
      <w:r w:rsidRPr="005B38F0">
        <w:rPr>
          <w:rFonts w:ascii="Times New Roman" w:eastAsia="Times New Roman" w:hAnsi="Times New Roman" w:cs="Times New Roman"/>
          <w:sz w:val="24"/>
          <w:szCs w:val="24"/>
        </w:rPr>
        <w:t xml:space="preserve">(2), 293–299. </w:t>
      </w:r>
      <w:hyperlink r:id="rId1189" w:history="1">
        <w:r w:rsidRPr="005B38F0">
          <w:rPr>
            <w:rFonts w:ascii="Times New Roman" w:eastAsia="Times New Roman" w:hAnsi="Times New Roman" w:cs="Times New Roman"/>
            <w:color w:val="0000FF"/>
            <w:sz w:val="24"/>
            <w:szCs w:val="24"/>
            <w:u w:val="single"/>
          </w:rPr>
          <w:t>https://doi.org/10.1016/j.biopsycho.2011.11.001</w:t>
        </w:r>
      </w:hyperlink>
    </w:p>
    <w:p w14:paraId="26851F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Correll, C. U., Smith, C. W., Auther, A. M., McLaughlin, D., Shah, M., Foley, C., Olsen, R., Lencz, T., Kane, J. M., &amp; Cornblatt, B. A. (2008). Predictors of remission, schizophrenia, and bipolar disorder in adolescents with brief psychotic disorder or psychotic disorder not otherwise specified considered at very high risk for schizophrenia. </w:t>
      </w:r>
      <w:r w:rsidRPr="005B38F0">
        <w:rPr>
          <w:rFonts w:ascii="Times New Roman" w:eastAsia="Times New Roman" w:hAnsi="Times New Roman" w:cs="Times New Roman"/>
          <w:i/>
          <w:iCs/>
          <w:sz w:val="24"/>
          <w:szCs w:val="24"/>
        </w:rPr>
        <w:t>Journal of Child and Adolescent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(5), 475–490. </w:t>
      </w:r>
      <w:hyperlink r:id="rId1190" w:history="1">
        <w:r w:rsidRPr="005B38F0">
          <w:rPr>
            <w:rFonts w:ascii="Times New Roman" w:eastAsia="Times New Roman" w:hAnsi="Times New Roman" w:cs="Times New Roman"/>
            <w:color w:val="0000FF"/>
            <w:sz w:val="24"/>
            <w:szCs w:val="24"/>
            <w:u w:val="single"/>
          </w:rPr>
          <w:t>https://doi.org/10.1089/cap.2007.110</w:t>
        </w:r>
      </w:hyperlink>
    </w:p>
    <w:p w14:paraId="5C15D2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Corrigan, J. D., &amp; Bogner, J. (2007). Initial reliability and validity of the Ohio State University TBI Identification Method. </w:t>
      </w:r>
      <w:r w:rsidRPr="005B38F0">
        <w:rPr>
          <w:rFonts w:ascii="Times New Roman" w:eastAsia="Times New Roman" w:hAnsi="Times New Roman" w:cs="Times New Roman"/>
          <w:i/>
          <w:iCs/>
          <w:sz w:val="24"/>
          <w:szCs w:val="24"/>
        </w:rPr>
        <w:t>The Journal of Head Trauma Rehabilitation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(6), 318–329. </w:t>
      </w:r>
      <w:hyperlink r:id="rId1191" w:history="1">
        <w:r w:rsidRPr="005B38F0">
          <w:rPr>
            <w:rFonts w:ascii="Times New Roman" w:eastAsia="Times New Roman" w:hAnsi="Times New Roman" w:cs="Times New Roman"/>
            <w:color w:val="0000FF"/>
            <w:sz w:val="24"/>
            <w:szCs w:val="24"/>
            <w:u w:val="single"/>
          </w:rPr>
          <w:t>https://doi.org/10.1097/01.HTR.0000300227.67748.77</w:t>
        </w:r>
      </w:hyperlink>
    </w:p>
    <w:p w14:paraId="4C46EA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Corrigan, P. W., &amp; Toomey, R. (1995). Interpersonal problem solving and information processing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(3), 395–403. </w:t>
      </w:r>
      <w:hyperlink r:id="rId1192" w:history="1">
        <w:r w:rsidRPr="005B38F0">
          <w:rPr>
            <w:rFonts w:ascii="Times New Roman" w:eastAsia="Times New Roman" w:hAnsi="Times New Roman" w:cs="Times New Roman"/>
            <w:color w:val="0000FF"/>
            <w:sz w:val="24"/>
            <w:szCs w:val="24"/>
            <w:u w:val="single"/>
          </w:rPr>
          <w:t>https://doi.org/10.1093/schbul/21.3.395</w:t>
        </w:r>
      </w:hyperlink>
    </w:p>
    <w:p w14:paraId="5794CE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Corsi-Cabrera, M., Rosales-Lagarde, A., del Río-Portilla, Y., Sifuentes-Ortega, R., &amp; Alcántara-Quintero, B. (2015). Effects of selective REM sleep deprivation on prefrontal gamma </w:t>
      </w:r>
      <w:r w:rsidRPr="005B38F0">
        <w:rPr>
          <w:rFonts w:ascii="Times New Roman" w:eastAsia="Times New Roman" w:hAnsi="Times New Roman" w:cs="Times New Roman"/>
          <w:sz w:val="24"/>
          <w:szCs w:val="24"/>
        </w:rPr>
        <w:lastRenderedPageBreak/>
        <w:t xml:space="preserve">activity and executive functions.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(2), 115–124. </w:t>
      </w:r>
      <w:hyperlink r:id="rId1193" w:history="1">
        <w:r w:rsidRPr="005B38F0">
          <w:rPr>
            <w:rFonts w:ascii="Times New Roman" w:eastAsia="Times New Roman" w:hAnsi="Times New Roman" w:cs="Times New Roman"/>
            <w:color w:val="0000FF"/>
            <w:sz w:val="24"/>
            <w:szCs w:val="24"/>
            <w:u w:val="single"/>
          </w:rPr>
          <w:t>https://doi.org/10.1016/j.ijpsycho.2015.02.027</w:t>
        </w:r>
      </w:hyperlink>
    </w:p>
    <w:p w14:paraId="02D5E6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Cortini, F., Fenoglio, C., Guidi, I., Venturelli, E., Pomati, S., Marcone, A., Scalabrini, D., Villa, C., Clerici, F., Dalla Valle, E., Mariani, C., Cappa, S., Bresolin, N., Scarpini, E., &amp; Galimberti, D. (2008). Novel exon 1 progranulin gene variant in Alzheimer’s disease.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w:t>
      </w:r>
      <w:r w:rsidRPr="005B38F0">
        <w:rPr>
          <w:rFonts w:ascii="Times New Roman" w:eastAsia="Times New Roman" w:hAnsi="Times New Roman" w:cs="Times New Roman"/>
          <w:sz w:val="24"/>
          <w:szCs w:val="24"/>
        </w:rPr>
        <w:t xml:space="preserve">(10), 1111–1117. </w:t>
      </w:r>
      <w:hyperlink r:id="rId1194" w:history="1">
        <w:r w:rsidRPr="005B38F0">
          <w:rPr>
            <w:rFonts w:ascii="Times New Roman" w:eastAsia="Times New Roman" w:hAnsi="Times New Roman" w:cs="Times New Roman"/>
            <w:color w:val="0000FF"/>
            <w:sz w:val="24"/>
            <w:szCs w:val="24"/>
            <w:u w:val="single"/>
          </w:rPr>
          <w:t>https://doi.org/10.1111/j.1468-1331.2008.02266.x</w:t>
        </w:r>
      </w:hyperlink>
    </w:p>
    <w:p w14:paraId="62EF08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Corvo, K. (2014). The role of executive function deficits in domestic violence perpetration. </w:t>
      </w:r>
      <w:r w:rsidRPr="005B38F0">
        <w:rPr>
          <w:rFonts w:ascii="Times New Roman" w:eastAsia="Times New Roman" w:hAnsi="Times New Roman" w:cs="Times New Roman"/>
          <w:i/>
          <w:iCs/>
          <w:sz w:val="24"/>
          <w:szCs w:val="24"/>
        </w:rPr>
        <w:t>Partner Abuse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(3), 342–355. </w:t>
      </w:r>
      <w:hyperlink r:id="rId1195" w:history="1">
        <w:r w:rsidRPr="005B38F0">
          <w:rPr>
            <w:rFonts w:ascii="Times New Roman" w:eastAsia="Times New Roman" w:hAnsi="Times New Roman" w:cs="Times New Roman"/>
            <w:color w:val="0000FF"/>
            <w:sz w:val="24"/>
            <w:szCs w:val="24"/>
            <w:u w:val="single"/>
          </w:rPr>
          <w:t>https://doi.org/10.1891/1946-6560.5.3.342</w:t>
        </w:r>
      </w:hyperlink>
    </w:p>
    <w:p w14:paraId="072156F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Corvo, K., Halpern, J., &amp; Ferraro, F. R. (2006). Frontal Lobe Deficits and Alcohol Abuse: Possible Interactions in Predicting Domestic Violence. </w:t>
      </w:r>
      <w:r w:rsidRPr="005B38F0">
        <w:rPr>
          <w:rFonts w:ascii="Times New Roman" w:eastAsia="Times New Roman" w:hAnsi="Times New Roman" w:cs="Times New Roman"/>
          <w:i/>
          <w:iCs/>
          <w:sz w:val="24"/>
          <w:szCs w:val="24"/>
        </w:rPr>
        <w:t>Journal of Aggression, Maltreatment &amp; Trauma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49–63. </w:t>
      </w:r>
      <w:hyperlink r:id="rId1196" w:history="1">
        <w:r w:rsidRPr="005B38F0">
          <w:rPr>
            <w:rFonts w:ascii="Times New Roman" w:eastAsia="Times New Roman" w:hAnsi="Times New Roman" w:cs="Times New Roman"/>
            <w:color w:val="0000FF"/>
            <w:sz w:val="24"/>
            <w:szCs w:val="24"/>
            <w:u w:val="single"/>
          </w:rPr>
          <w:t>https://doi.org/10.1300/J146v13n02_04</w:t>
        </w:r>
      </w:hyperlink>
    </w:p>
    <w:p w14:paraId="251332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Cosseddu, M., Gazzina, S., Borroni, B., Padovani, A., &amp; Gainotti, G. (2018). Multimodal face and voice recognition disorders in a case with unilateral right anterior temporal lobe atrophy.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(8), 920–930. </w:t>
      </w:r>
      <w:hyperlink r:id="rId1197" w:history="1">
        <w:r w:rsidRPr="005B38F0">
          <w:rPr>
            <w:rFonts w:ascii="Times New Roman" w:eastAsia="Times New Roman" w:hAnsi="Times New Roman" w:cs="Times New Roman"/>
            <w:color w:val="0000FF"/>
            <w:sz w:val="24"/>
            <w:szCs w:val="24"/>
            <w:u w:val="single"/>
          </w:rPr>
          <w:t>https://doi.org/10.1037/neu0000480</w:t>
        </w:r>
      </w:hyperlink>
    </w:p>
    <w:p w14:paraId="6C80807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 A., Bagoj, E., Monaco, M., Zabberoni, S., De Rosa, S., Mundi, C., Caltagirone, C., &amp; Carlesimo, G. A. (2013). Mini mental Parkinson test: Standardization and normative data on an Italian sample. </w:t>
      </w:r>
      <w:r w:rsidRPr="005B38F0">
        <w:rPr>
          <w:rFonts w:ascii="Times New Roman" w:eastAsia="Times New Roman" w:hAnsi="Times New Roman" w:cs="Times New Roman"/>
          <w:i/>
          <w:iCs/>
          <w:sz w:val="24"/>
          <w:szCs w:val="24"/>
        </w:rPr>
        <w:t>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(10), 1797–1803. </w:t>
      </w:r>
      <w:hyperlink r:id="rId1198" w:history="1">
        <w:r w:rsidRPr="005B38F0">
          <w:rPr>
            <w:rFonts w:ascii="Times New Roman" w:eastAsia="Times New Roman" w:hAnsi="Times New Roman" w:cs="Times New Roman"/>
            <w:color w:val="0000FF"/>
            <w:sz w:val="24"/>
            <w:szCs w:val="24"/>
            <w:u w:val="single"/>
          </w:rPr>
          <w:t>https://doi.org/10.1007/s10072-013-1342-8</w:t>
        </w:r>
      </w:hyperlink>
    </w:p>
    <w:p w14:paraId="18CE1FA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 A., Peppe, A., Carlesimo, G. A., Salamone, G., &amp; Caltagirone, C. (2007). Neuropsychological correlates of alexithymia in Parkinson’s disease.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(6), 980–992. </w:t>
      </w:r>
      <w:hyperlink r:id="rId1199" w:history="1">
        <w:r w:rsidRPr="005B38F0">
          <w:rPr>
            <w:rFonts w:ascii="Times New Roman" w:eastAsia="Times New Roman" w:hAnsi="Times New Roman" w:cs="Times New Roman"/>
            <w:color w:val="0000FF"/>
            <w:sz w:val="24"/>
            <w:szCs w:val="24"/>
            <w:u w:val="single"/>
          </w:rPr>
          <w:t>https://doi.org/10.1017/S1355617707071329</w:t>
        </w:r>
      </w:hyperlink>
    </w:p>
    <w:p w14:paraId="36A198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Costa, S. L., DeLuca, J., Sandroff, B. M., Goverover, Y., &amp; Chiaravalloti, N. D. (2018). Role of demographic and clinical factors in cognitive functioning of persons with relapsing-remitting and progressive multiple sclerosis.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139–146. </w:t>
      </w:r>
      <w:hyperlink r:id="rId1200" w:history="1">
        <w:r w:rsidRPr="005B38F0">
          <w:rPr>
            <w:rFonts w:ascii="Times New Roman" w:eastAsia="Times New Roman" w:hAnsi="Times New Roman" w:cs="Times New Roman"/>
            <w:color w:val="0000FF"/>
            <w:sz w:val="24"/>
            <w:szCs w:val="24"/>
            <w:u w:val="single"/>
          </w:rPr>
          <w:t>https://doi.org/10.1017/S1355617717000777</w:t>
        </w:r>
      </w:hyperlink>
    </w:p>
    <w:p w14:paraId="7054BA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Costa-Ribeiro, A., Andrade, S. M. M. dos S., Férrer, M. L. V., Silva, O. A. P. D., Salvador, M. L. S., Smaili, S., &amp; Lindquist, A. R. R. (2021). Can task specificity impact tDCS-linked to dual task training gains in Parkinson’s disease? A protocol for a randomized controlled trial.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201" w:history="1">
        <w:r w:rsidRPr="005B38F0">
          <w:rPr>
            <w:rFonts w:ascii="Times New Roman" w:eastAsia="Times New Roman" w:hAnsi="Times New Roman" w:cs="Times New Roman"/>
            <w:color w:val="0000FF"/>
            <w:sz w:val="24"/>
            <w:szCs w:val="24"/>
            <w:u w:val="single"/>
          </w:rPr>
          <w:t>https://doi.org/10.3389/fnagi.2021.684689</w:t>
        </w:r>
      </w:hyperlink>
    </w:p>
    <w:p w14:paraId="7D8A05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Cotelli, M., Calabria, M., Manenti, R., Rosini, S., Maioli, C., Zanetti, O., &amp; Miniussi, C. (2012). Brain stimulation improves associative memory in an individual with amnestic mild cognitive impairment.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217–223. </w:t>
      </w:r>
      <w:hyperlink r:id="rId1202" w:history="1">
        <w:r w:rsidRPr="005B38F0">
          <w:rPr>
            <w:rFonts w:ascii="Times New Roman" w:eastAsia="Times New Roman" w:hAnsi="Times New Roman" w:cs="Times New Roman"/>
            <w:color w:val="0000FF"/>
            <w:sz w:val="24"/>
            <w:szCs w:val="24"/>
            <w:u w:val="single"/>
          </w:rPr>
          <w:t>https://doi.org/10.1080/13554794.2011.588176</w:t>
        </w:r>
      </w:hyperlink>
    </w:p>
    <w:p w14:paraId="330DF8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Cotelli, M., Manenti, R., Brambilla, M., &amp; Borroni, B. (2018). The role of the motor system in action naming in patients with neurodegenerative extrapyramidal syndromes.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100</w:t>
      </w:r>
      <w:r w:rsidRPr="005B38F0">
        <w:rPr>
          <w:rFonts w:ascii="Times New Roman" w:eastAsia="Times New Roman" w:hAnsi="Times New Roman" w:cs="Times New Roman"/>
          <w:sz w:val="24"/>
          <w:szCs w:val="24"/>
        </w:rPr>
        <w:t xml:space="preserve">, 191–214. </w:t>
      </w:r>
      <w:hyperlink r:id="rId1203" w:history="1">
        <w:r w:rsidRPr="005B38F0">
          <w:rPr>
            <w:rFonts w:ascii="Times New Roman" w:eastAsia="Times New Roman" w:hAnsi="Times New Roman" w:cs="Times New Roman"/>
            <w:color w:val="0000FF"/>
            <w:sz w:val="24"/>
            <w:szCs w:val="24"/>
            <w:u w:val="single"/>
          </w:rPr>
          <w:t>https://doi.org/10.1016/j.cortex.2017.05.011</w:t>
        </w:r>
      </w:hyperlink>
    </w:p>
    <w:p w14:paraId="3A0B83E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Cotrena, C., Branco, L. D., Kochhann, R., Shansis, F. M., &amp; Fonseca, R. P. (2016). Quality of life, functioning and cognition in bipolar disorder and major depression: A latent profile analysis.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241</w:t>
      </w:r>
      <w:r w:rsidRPr="005B38F0">
        <w:rPr>
          <w:rFonts w:ascii="Times New Roman" w:eastAsia="Times New Roman" w:hAnsi="Times New Roman" w:cs="Times New Roman"/>
          <w:sz w:val="24"/>
          <w:szCs w:val="24"/>
        </w:rPr>
        <w:t xml:space="preserve">, 289–296. </w:t>
      </w:r>
      <w:hyperlink r:id="rId1204" w:history="1">
        <w:r w:rsidRPr="005B38F0">
          <w:rPr>
            <w:rFonts w:ascii="Times New Roman" w:eastAsia="Times New Roman" w:hAnsi="Times New Roman" w:cs="Times New Roman"/>
            <w:color w:val="0000FF"/>
            <w:sz w:val="24"/>
            <w:szCs w:val="24"/>
            <w:u w:val="single"/>
          </w:rPr>
          <w:t>https://doi.org/10.1016/j.psychres.2016.04.102</w:t>
        </w:r>
      </w:hyperlink>
    </w:p>
    <w:p w14:paraId="66D1408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Cotrena, C., Branco, L. D., Shansis, F. M., &amp; Fonseca, R. P. (2016). Executive function impairments in depression and bipolar disorder: Association with functional impairment and </w:t>
      </w:r>
      <w:r w:rsidRPr="005B38F0">
        <w:rPr>
          <w:rFonts w:ascii="Times New Roman" w:eastAsia="Times New Roman" w:hAnsi="Times New Roman" w:cs="Times New Roman"/>
          <w:sz w:val="24"/>
          <w:szCs w:val="24"/>
        </w:rPr>
        <w:lastRenderedPageBreak/>
        <w:t xml:space="preserve">quality of life.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190</w:t>
      </w:r>
      <w:r w:rsidRPr="005B38F0">
        <w:rPr>
          <w:rFonts w:ascii="Times New Roman" w:eastAsia="Times New Roman" w:hAnsi="Times New Roman" w:cs="Times New Roman"/>
          <w:sz w:val="24"/>
          <w:szCs w:val="24"/>
        </w:rPr>
        <w:t xml:space="preserve">, 744–753. </w:t>
      </w:r>
      <w:hyperlink r:id="rId1205" w:history="1">
        <w:r w:rsidRPr="005B38F0">
          <w:rPr>
            <w:rFonts w:ascii="Times New Roman" w:eastAsia="Times New Roman" w:hAnsi="Times New Roman" w:cs="Times New Roman"/>
            <w:color w:val="0000FF"/>
            <w:sz w:val="24"/>
            <w:szCs w:val="24"/>
            <w:u w:val="single"/>
          </w:rPr>
          <w:t>https://doi.org/10.1016/j.jad.2015.11.007</w:t>
        </w:r>
      </w:hyperlink>
    </w:p>
    <w:p w14:paraId="04A5CA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Coulehan, K., &amp; Bender, H. A. (2019). Evaluation of comorbid epilepsy and dementia. </w:t>
      </w:r>
      <w:r w:rsidRPr="005B38F0">
        <w:rPr>
          <w:rFonts w:ascii="Times New Roman" w:eastAsia="Times New Roman" w:hAnsi="Times New Roman" w:cs="Times New Roman"/>
          <w:i/>
          <w:iCs/>
          <w:sz w:val="24"/>
          <w:szCs w:val="24"/>
        </w:rPr>
        <w:t>Handbook on the Neuropsychology of Aging and Dementia, 2nd Ed.</w:t>
      </w:r>
      <w:r w:rsidRPr="005B38F0">
        <w:rPr>
          <w:rFonts w:ascii="Times New Roman" w:eastAsia="Times New Roman" w:hAnsi="Times New Roman" w:cs="Times New Roman"/>
          <w:sz w:val="24"/>
          <w:szCs w:val="24"/>
        </w:rPr>
        <w:t xml:space="preserve">, 641–660. </w:t>
      </w:r>
      <w:hyperlink r:id="rId1206" w:history="1">
        <w:r w:rsidRPr="005B38F0">
          <w:rPr>
            <w:rFonts w:ascii="Times New Roman" w:eastAsia="Times New Roman" w:hAnsi="Times New Roman" w:cs="Times New Roman"/>
            <w:color w:val="0000FF"/>
            <w:sz w:val="24"/>
            <w:szCs w:val="24"/>
            <w:u w:val="single"/>
          </w:rPr>
          <w:t>https://doi.org/10.1007/978-3-319-93497-6_38</w:t>
        </w:r>
      </w:hyperlink>
    </w:p>
    <w:p w14:paraId="675168F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Coulehan, K., Byrd, D., Arentoft, A., Monzones, J., Fuentes, A., Fraser, F., Rosario, A., Morgello, S., &amp; Mindt, M. R. (2014). The role of decision-making ability in HIV/AIDS: Impact on prospective memory.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36</w:t>
      </w:r>
      <w:r w:rsidRPr="005B38F0">
        <w:rPr>
          <w:rFonts w:ascii="Times New Roman" w:eastAsia="Times New Roman" w:hAnsi="Times New Roman" w:cs="Times New Roman"/>
          <w:sz w:val="24"/>
          <w:szCs w:val="24"/>
        </w:rPr>
        <w:t xml:space="preserve">(7), 730–741. </w:t>
      </w:r>
      <w:hyperlink r:id="rId1207" w:history="1">
        <w:r w:rsidRPr="005B38F0">
          <w:rPr>
            <w:rFonts w:ascii="Times New Roman" w:eastAsia="Times New Roman" w:hAnsi="Times New Roman" w:cs="Times New Roman"/>
            <w:color w:val="0000FF"/>
            <w:sz w:val="24"/>
            <w:szCs w:val="24"/>
            <w:u w:val="single"/>
          </w:rPr>
          <w:t>https://doi.org/10.1080/13803395.2014.935705</w:t>
        </w:r>
      </w:hyperlink>
    </w:p>
    <w:p w14:paraId="3935A0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Coulston, C. M., Perdices, M., &amp; Tennant, C. C. (2007). The neuropsychological correlates of cannabis use in schizophrenia: Lifetime abuse/dependence, frequency of use, and recency of use.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96</w:t>
      </w:r>
      <w:r w:rsidRPr="005B38F0">
        <w:rPr>
          <w:rFonts w:ascii="Times New Roman" w:eastAsia="Times New Roman" w:hAnsi="Times New Roman" w:cs="Times New Roman"/>
          <w:sz w:val="24"/>
          <w:szCs w:val="24"/>
        </w:rPr>
        <w:t xml:space="preserve">(1–3), 169–184. </w:t>
      </w:r>
      <w:hyperlink r:id="rId1208" w:history="1">
        <w:r w:rsidRPr="005B38F0">
          <w:rPr>
            <w:rFonts w:ascii="Times New Roman" w:eastAsia="Times New Roman" w:hAnsi="Times New Roman" w:cs="Times New Roman"/>
            <w:color w:val="0000FF"/>
            <w:sz w:val="24"/>
            <w:szCs w:val="24"/>
            <w:u w:val="single"/>
          </w:rPr>
          <w:t>https://doi.org/10.1016/j.schres.2007.08.006</w:t>
        </w:r>
      </w:hyperlink>
    </w:p>
    <w:p w14:paraId="5969B1F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Coulston, C. M., Tanious, M., Mulder, R. T., Porter, R. J., &amp; Malhi, G. S. (2012). Bordering on bipolar: The overlap between borderline personality and bipolarity. </w:t>
      </w:r>
      <w:r w:rsidRPr="005B38F0">
        <w:rPr>
          <w:rFonts w:ascii="Times New Roman" w:eastAsia="Times New Roman" w:hAnsi="Times New Roman" w:cs="Times New Roman"/>
          <w:i/>
          <w:iCs/>
          <w:sz w:val="24"/>
          <w:szCs w:val="24"/>
        </w:rPr>
        <w:t>Australian and New Zealand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(6), 506–521. </w:t>
      </w:r>
      <w:hyperlink r:id="rId1209" w:history="1">
        <w:r w:rsidRPr="005B38F0">
          <w:rPr>
            <w:rFonts w:ascii="Times New Roman" w:eastAsia="Times New Roman" w:hAnsi="Times New Roman" w:cs="Times New Roman"/>
            <w:color w:val="0000FF"/>
            <w:sz w:val="24"/>
            <w:szCs w:val="24"/>
            <w:u w:val="single"/>
          </w:rPr>
          <w:t>https://doi.org/10.1177/0004867412445528</w:t>
        </w:r>
      </w:hyperlink>
    </w:p>
    <w:p w14:paraId="46DCABC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Coutinho, G., Miele, F., Moll, J., Mattos, P., &amp; de Oliveira-Souza, R. (2016). Remission of lifelong episodic dyscontrol after bilateral dorsolateral temporal lobe damage.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339–345. </w:t>
      </w:r>
      <w:hyperlink r:id="rId1210" w:history="1">
        <w:r w:rsidRPr="005B38F0">
          <w:rPr>
            <w:rFonts w:ascii="Times New Roman" w:eastAsia="Times New Roman" w:hAnsi="Times New Roman" w:cs="Times New Roman"/>
            <w:color w:val="0000FF"/>
            <w:sz w:val="24"/>
            <w:szCs w:val="24"/>
            <w:u w:val="single"/>
          </w:rPr>
          <w:t>https://doi.org/10.1080/13554794.2016.1194999</w:t>
        </w:r>
      </w:hyperlink>
    </w:p>
    <w:p w14:paraId="1AB74F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Covington, N. V., Brown-Schmidt, S., &amp; Duff, M. C. (2018). The necessity of the hippocampus for statistical learning. </w:t>
      </w:r>
      <w:r w:rsidRPr="005B38F0">
        <w:rPr>
          <w:rFonts w:ascii="Times New Roman" w:eastAsia="Times New Roman" w:hAnsi="Times New Roman" w:cs="Times New Roman"/>
          <w:i/>
          <w:iCs/>
          <w:sz w:val="24"/>
          <w:szCs w:val="24"/>
        </w:rPr>
        <w:t>Journal of Cognitive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(5), 680–697. </w:t>
      </w:r>
      <w:hyperlink r:id="rId1211" w:history="1">
        <w:r w:rsidRPr="005B38F0">
          <w:rPr>
            <w:rFonts w:ascii="Times New Roman" w:eastAsia="Times New Roman" w:hAnsi="Times New Roman" w:cs="Times New Roman"/>
            <w:color w:val="0000FF"/>
            <w:sz w:val="24"/>
            <w:szCs w:val="24"/>
            <w:u w:val="single"/>
          </w:rPr>
          <w:t>https://doi.org/10.1162/jocn_a_01228</w:t>
        </w:r>
      </w:hyperlink>
    </w:p>
    <w:p w14:paraId="0572E48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Cowley, B., &amp; Lukander, K. (2016). Forest, trees, dynamics: Results from a novel Wisconsin Card Sorting Test variant protocol for studying global-local attention and complex cognitive processes.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23B5095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Cox, R. M., &amp; Xu, J. (2010). Short and long compression release times: Speech understanding, real-world preferences, and association with cognitive ability. </w:t>
      </w:r>
      <w:r w:rsidRPr="005B38F0">
        <w:rPr>
          <w:rFonts w:ascii="Times New Roman" w:eastAsia="Times New Roman" w:hAnsi="Times New Roman" w:cs="Times New Roman"/>
          <w:i/>
          <w:iCs/>
          <w:sz w:val="24"/>
          <w:szCs w:val="24"/>
        </w:rPr>
        <w:t>Journal of the American Academy of Audiology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(2), 121–138. </w:t>
      </w:r>
      <w:hyperlink r:id="rId1212" w:history="1">
        <w:r w:rsidRPr="005B38F0">
          <w:rPr>
            <w:rFonts w:ascii="Times New Roman" w:eastAsia="Times New Roman" w:hAnsi="Times New Roman" w:cs="Times New Roman"/>
            <w:color w:val="0000FF"/>
            <w:sz w:val="24"/>
            <w:szCs w:val="24"/>
            <w:u w:val="single"/>
          </w:rPr>
          <w:t>https://doi.org/10.3766/jaaa.21.2.6</w:t>
        </w:r>
      </w:hyperlink>
    </w:p>
    <w:p w14:paraId="733559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Craig, A. B., Phillips, M. E., Zaldivar, A., Bhattacharyya, R., &amp; Krichmar, J. L. (2016). Investigation of biases and compensatory strategies using a probabilistic variant of the Wisconsin Card Sorting Test.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w:t>
      </w:r>
    </w:p>
    <w:p w14:paraId="60B960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Craik, F. I. M., Barense, M. D., Rathbone, C. J., Grusec, J. E., Stuss, D. T., Gao, F., Scott, C. J. M., &amp; Black, S. E. (2014). VL: A further case of erroneous recollection.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 xml:space="preserve">, 367–380. </w:t>
      </w:r>
      <w:hyperlink r:id="rId1213" w:history="1">
        <w:r w:rsidRPr="005B38F0">
          <w:rPr>
            <w:rFonts w:ascii="Times New Roman" w:eastAsia="Times New Roman" w:hAnsi="Times New Roman" w:cs="Times New Roman"/>
            <w:color w:val="0000FF"/>
            <w:sz w:val="24"/>
            <w:szCs w:val="24"/>
            <w:u w:val="single"/>
          </w:rPr>
          <w:t>https://doi.org/10.1016/j.neuropsychologia.2014.02.007</w:t>
        </w:r>
      </w:hyperlink>
    </w:p>
    <w:p w14:paraId="42B6CB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Crandall, A., Ghazarian, S. R., Deater‐Deckard, K., Bell, M. A., &amp; Riley, A. W. (2018). The interface of maternal cognitions and executive function in parenting and child conduct problems. </w:t>
      </w:r>
      <w:r w:rsidRPr="005B38F0">
        <w:rPr>
          <w:rFonts w:ascii="Times New Roman" w:eastAsia="Times New Roman" w:hAnsi="Times New Roman" w:cs="Times New Roman"/>
          <w:i/>
          <w:iCs/>
          <w:sz w:val="24"/>
          <w:szCs w:val="24"/>
        </w:rPr>
        <w:t>Family Relations: An Interdisciplinary Journal of Applied Family Studies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(3), 339–353. </w:t>
      </w:r>
      <w:hyperlink r:id="rId1214" w:history="1">
        <w:r w:rsidRPr="005B38F0">
          <w:rPr>
            <w:rFonts w:ascii="Times New Roman" w:eastAsia="Times New Roman" w:hAnsi="Times New Roman" w:cs="Times New Roman"/>
            <w:color w:val="0000FF"/>
            <w:sz w:val="24"/>
            <w:szCs w:val="24"/>
            <w:u w:val="single"/>
          </w:rPr>
          <w:t>https://doi.org/10.1111/fare.12318</w:t>
        </w:r>
      </w:hyperlink>
    </w:p>
    <w:p w14:paraId="79A28F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Crane, C. A., Hawes, S. W., Mandel, D., &amp; Easton, C. J. (2013). Informed consent: An ethical issue in conducting research with male partner violent offenders. </w:t>
      </w:r>
      <w:r w:rsidRPr="005B38F0">
        <w:rPr>
          <w:rFonts w:ascii="Times New Roman" w:eastAsia="Times New Roman" w:hAnsi="Times New Roman" w:cs="Times New Roman"/>
          <w:i/>
          <w:iCs/>
          <w:sz w:val="24"/>
          <w:szCs w:val="24"/>
        </w:rPr>
        <w:t>Ethics &amp;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477–488. </w:t>
      </w:r>
      <w:hyperlink r:id="rId1215" w:history="1">
        <w:r w:rsidRPr="005B38F0">
          <w:rPr>
            <w:rFonts w:ascii="Times New Roman" w:eastAsia="Times New Roman" w:hAnsi="Times New Roman" w:cs="Times New Roman"/>
            <w:color w:val="0000FF"/>
            <w:sz w:val="24"/>
            <w:szCs w:val="24"/>
            <w:u w:val="single"/>
          </w:rPr>
          <w:t>https://doi.org/10.1080/10508422.2013.804795</w:t>
        </w:r>
      </w:hyperlink>
    </w:p>
    <w:p w14:paraId="6C5DBC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Crane, L., Pring, L., Ryder, N., &amp; Hermelin, B. (2011). Executive functions in savant artists with autism. </w:t>
      </w:r>
      <w:r w:rsidRPr="005B38F0">
        <w:rPr>
          <w:rFonts w:ascii="Times New Roman" w:eastAsia="Times New Roman" w:hAnsi="Times New Roman" w:cs="Times New Roman"/>
          <w:i/>
          <w:iCs/>
          <w:sz w:val="24"/>
          <w:szCs w:val="24"/>
        </w:rPr>
        <w:t>Research in Autism Spectrum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 xml:space="preserve">(2), 790–797. </w:t>
      </w:r>
      <w:hyperlink r:id="rId1216" w:history="1">
        <w:r w:rsidRPr="005B38F0">
          <w:rPr>
            <w:rFonts w:ascii="Times New Roman" w:eastAsia="Times New Roman" w:hAnsi="Times New Roman" w:cs="Times New Roman"/>
            <w:color w:val="0000FF"/>
            <w:sz w:val="24"/>
            <w:szCs w:val="24"/>
            <w:u w:val="single"/>
          </w:rPr>
          <w:t>https://doi.org/10.1016/j.rasd.2010.09.007</w:t>
        </w:r>
      </w:hyperlink>
    </w:p>
    <w:p w14:paraId="6305FA0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Craun, E., Lachance, K., Williams, C., &amp; Wong, M. M. (2019). Parent depressive symptoms and offspring executive functioning.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41</w:t>
      </w:r>
      <w:r w:rsidRPr="005B38F0">
        <w:rPr>
          <w:rFonts w:ascii="Times New Roman" w:eastAsia="Times New Roman" w:hAnsi="Times New Roman" w:cs="Times New Roman"/>
          <w:sz w:val="24"/>
          <w:szCs w:val="24"/>
        </w:rPr>
        <w:t xml:space="preserve">(2), 147–157. </w:t>
      </w:r>
      <w:hyperlink r:id="rId1217" w:history="1">
        <w:r w:rsidRPr="005B38F0">
          <w:rPr>
            <w:rFonts w:ascii="Times New Roman" w:eastAsia="Times New Roman" w:hAnsi="Times New Roman" w:cs="Times New Roman"/>
            <w:color w:val="0000FF"/>
            <w:sz w:val="24"/>
            <w:szCs w:val="24"/>
            <w:u w:val="single"/>
          </w:rPr>
          <w:t>https://doi.org/10.1080/13803395.2018.1504893</w:t>
        </w:r>
      </w:hyperlink>
    </w:p>
    <w:p w14:paraId="77569F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Crawford, J. R., Garthwaite, P. H., Howell, D. C., &amp; Venneri, A. (2003). Intra-individual measures of association in neuropsychology: Inferential methods for comparing a single case with a control or normative sample.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(7), 989–1000. </w:t>
      </w:r>
      <w:hyperlink r:id="rId1218" w:history="1">
        <w:r w:rsidRPr="005B38F0">
          <w:rPr>
            <w:rFonts w:ascii="Times New Roman" w:eastAsia="Times New Roman" w:hAnsi="Times New Roman" w:cs="Times New Roman"/>
            <w:color w:val="0000FF"/>
            <w:sz w:val="24"/>
            <w:szCs w:val="24"/>
            <w:u w:val="single"/>
          </w:rPr>
          <w:t>https://doi.org/10.1017/S1355617703970032</w:t>
        </w:r>
      </w:hyperlink>
    </w:p>
    <w:p w14:paraId="511F0B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Crawford, J. R., &amp; Henry, J. D. (2005). Assessment of executive dysfunction. In </w:t>
      </w:r>
      <w:r w:rsidRPr="005B38F0">
        <w:rPr>
          <w:rFonts w:ascii="Times New Roman" w:eastAsia="Times New Roman" w:hAnsi="Times New Roman" w:cs="Times New Roman"/>
          <w:i/>
          <w:iCs/>
          <w:sz w:val="24"/>
          <w:szCs w:val="24"/>
        </w:rPr>
        <w:t>Effectiveness of rehabilitation for cognitive deficits.</w:t>
      </w:r>
      <w:r w:rsidRPr="005B38F0">
        <w:rPr>
          <w:rFonts w:ascii="Times New Roman" w:eastAsia="Times New Roman" w:hAnsi="Times New Roman" w:cs="Times New Roman"/>
          <w:sz w:val="24"/>
          <w:szCs w:val="24"/>
        </w:rPr>
        <w:t xml:space="preserve"> (pp. 233–245). Oxford University Press. </w:t>
      </w:r>
      <w:hyperlink r:id="rId1219" w:history="1">
        <w:r w:rsidRPr="005B38F0">
          <w:rPr>
            <w:rFonts w:ascii="Times New Roman" w:eastAsia="Times New Roman" w:hAnsi="Times New Roman" w:cs="Times New Roman"/>
            <w:color w:val="0000FF"/>
            <w:sz w:val="24"/>
            <w:szCs w:val="24"/>
            <w:u w:val="single"/>
          </w:rPr>
          <w:t>https://doi.org/10.1093/acprof:oso/9780198526544.003.0019</w:t>
        </w:r>
      </w:hyperlink>
    </w:p>
    <w:p w14:paraId="2EFDD74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Crean, R. D. (2003). </w:t>
      </w:r>
      <w:r w:rsidRPr="005B38F0">
        <w:rPr>
          <w:rFonts w:ascii="Times New Roman" w:eastAsia="Times New Roman" w:hAnsi="Times New Roman" w:cs="Times New Roman"/>
          <w:i/>
          <w:iCs/>
          <w:sz w:val="24"/>
          <w:szCs w:val="24"/>
        </w:rPr>
        <w:t>Ecological validity of neuropsychological performance as a predictor of work outcome following mild traumatic brain injury.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64</w:t>
      </w:r>
      <w:r w:rsidRPr="005B38F0">
        <w:rPr>
          <w:rFonts w:ascii="Times New Roman" w:eastAsia="Times New Roman" w:hAnsi="Times New Roman" w:cs="Times New Roman"/>
          <w:sz w:val="24"/>
          <w:szCs w:val="24"/>
        </w:rPr>
        <w:t>(2-B), 958–958.</w:t>
      </w:r>
    </w:p>
    <w:p w14:paraId="5B38B5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Creeden, K. (2018). Adjusting the lens: A developmental perspective for treating youth with sexual behavior problems. </w:t>
      </w:r>
      <w:r w:rsidRPr="005B38F0">
        <w:rPr>
          <w:rFonts w:ascii="Times New Roman" w:eastAsia="Times New Roman" w:hAnsi="Times New Roman" w:cs="Times New Roman"/>
          <w:i/>
          <w:iCs/>
          <w:sz w:val="24"/>
          <w:szCs w:val="24"/>
        </w:rPr>
        <w:t>The Wiley Blackwell Handbook of Forensic Neuroscience, Vols. 1-2</w:t>
      </w:r>
      <w:r w:rsidRPr="005B38F0">
        <w:rPr>
          <w:rFonts w:ascii="Times New Roman" w:eastAsia="Times New Roman" w:hAnsi="Times New Roman" w:cs="Times New Roman"/>
          <w:sz w:val="24"/>
          <w:szCs w:val="24"/>
        </w:rPr>
        <w:t xml:space="preserve">, 783–811. </w:t>
      </w:r>
      <w:hyperlink r:id="rId1220" w:history="1">
        <w:r w:rsidRPr="005B38F0">
          <w:rPr>
            <w:rFonts w:ascii="Times New Roman" w:eastAsia="Times New Roman" w:hAnsi="Times New Roman" w:cs="Times New Roman"/>
            <w:color w:val="0000FF"/>
            <w:sz w:val="24"/>
            <w:szCs w:val="24"/>
            <w:u w:val="single"/>
          </w:rPr>
          <w:t>https://doi.org/10.1002/9781118650868.ch30</w:t>
        </w:r>
      </w:hyperlink>
    </w:p>
    <w:p w14:paraId="299CBE7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Crescentini, C., Mondolo, F., Biasutti, E., &amp; Shallice, T. (2008). Supervisory and routine processes in noun and verb generation in nondemented patients with Parkinson’s disease.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(2), 434–447. </w:t>
      </w:r>
      <w:hyperlink r:id="rId1221" w:history="1">
        <w:r w:rsidRPr="005B38F0">
          <w:rPr>
            <w:rFonts w:ascii="Times New Roman" w:eastAsia="Times New Roman" w:hAnsi="Times New Roman" w:cs="Times New Roman"/>
            <w:color w:val="0000FF"/>
            <w:sz w:val="24"/>
            <w:szCs w:val="24"/>
            <w:u w:val="single"/>
          </w:rPr>
          <w:t>https://doi.org/10.1016/j.neuropsychologia.2007.08.021</w:t>
        </w:r>
      </w:hyperlink>
    </w:p>
    <w:p w14:paraId="7D4411C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Crescentini, C., Mondolo, F., Biasutti, E., &amp; Shallice, T. (2012). Preserved and impaired task-switching abilities in non-demented patients with Parkinson’s disease.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(1), 94–118. </w:t>
      </w:r>
      <w:hyperlink r:id="rId1222" w:history="1">
        <w:r w:rsidRPr="005B38F0">
          <w:rPr>
            <w:rFonts w:ascii="Times New Roman" w:eastAsia="Times New Roman" w:hAnsi="Times New Roman" w:cs="Times New Roman"/>
            <w:color w:val="0000FF"/>
            <w:sz w:val="24"/>
            <w:szCs w:val="24"/>
            <w:u w:val="single"/>
          </w:rPr>
          <w:t>https://doi.org/10.1111/j.1748-6653.2011.02018.x</w:t>
        </w:r>
      </w:hyperlink>
    </w:p>
    <w:p w14:paraId="376A05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Crespi, C., Cerami, C., Dodich, A., Canessa, N., Arpone, M., Iannaccone, S., Corbo, M., Lunetta, C., Scola, E., Falini, A., &amp; Cappa, S. F. (2014). Microstructural white matter correlates of </w:t>
      </w:r>
      <w:r w:rsidRPr="005B38F0">
        <w:rPr>
          <w:rFonts w:ascii="Times New Roman" w:eastAsia="Times New Roman" w:hAnsi="Times New Roman" w:cs="Times New Roman"/>
          <w:sz w:val="24"/>
          <w:szCs w:val="24"/>
        </w:rPr>
        <w:lastRenderedPageBreak/>
        <w:t xml:space="preserve">emotion recognition impairment in amyotrophic lateral sclerosis.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 1–8. </w:t>
      </w:r>
      <w:hyperlink r:id="rId1223" w:history="1">
        <w:r w:rsidRPr="005B38F0">
          <w:rPr>
            <w:rFonts w:ascii="Times New Roman" w:eastAsia="Times New Roman" w:hAnsi="Times New Roman" w:cs="Times New Roman"/>
            <w:color w:val="0000FF"/>
            <w:sz w:val="24"/>
            <w:szCs w:val="24"/>
            <w:u w:val="single"/>
          </w:rPr>
          <w:t>https://doi.org/10.1016/j.cortex.2014.01.002</w:t>
        </w:r>
      </w:hyperlink>
    </w:p>
    <w:p w14:paraId="7957ACD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Crespi, C., Dodich, A., Cappa, S. F., Canessa, N., Iannaccone, S., Corbo, M., Lunetta, C., Falini, A., &amp; Cerami, C. (2018). Multimodal MRI quantification of the common neurostructural bases within the FTD-ALS continuum. </w:t>
      </w:r>
      <w:r w:rsidRPr="005B38F0">
        <w:rPr>
          <w:rFonts w:ascii="Times New Roman" w:eastAsia="Times New Roman" w:hAnsi="Times New Roman" w:cs="Times New Roman"/>
          <w:i/>
          <w:iCs/>
          <w:sz w:val="24"/>
          <w:szCs w:val="24"/>
        </w:rPr>
        <w:t>Neurobiology of 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62</w:t>
      </w:r>
      <w:r w:rsidRPr="005B38F0">
        <w:rPr>
          <w:rFonts w:ascii="Times New Roman" w:eastAsia="Times New Roman" w:hAnsi="Times New Roman" w:cs="Times New Roman"/>
          <w:sz w:val="24"/>
          <w:szCs w:val="24"/>
        </w:rPr>
        <w:t xml:space="preserve">, 95–104. </w:t>
      </w:r>
      <w:hyperlink r:id="rId1224" w:history="1">
        <w:r w:rsidRPr="005B38F0">
          <w:rPr>
            <w:rFonts w:ascii="Times New Roman" w:eastAsia="Times New Roman" w:hAnsi="Times New Roman" w:cs="Times New Roman"/>
            <w:color w:val="0000FF"/>
            <w:sz w:val="24"/>
            <w:szCs w:val="24"/>
            <w:u w:val="single"/>
          </w:rPr>
          <w:t>https://doi.org/10.1016/j.neurobiolaging.2017.09.019</w:t>
        </w:r>
      </w:hyperlink>
    </w:p>
    <w:p w14:paraId="338E3FA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Creswell, K. G., Wright, A. G. C., Flory, J. D., Skrzynski, C. J., &amp; Manuck, S. B. (2019). Multidimensional assessment of impulsivity-related measures in relation to externalizing behaviors.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(10), 1678–1690. </w:t>
      </w:r>
      <w:hyperlink r:id="rId1225" w:history="1">
        <w:r w:rsidRPr="005B38F0">
          <w:rPr>
            <w:rFonts w:ascii="Times New Roman" w:eastAsia="Times New Roman" w:hAnsi="Times New Roman" w:cs="Times New Roman"/>
            <w:color w:val="0000FF"/>
            <w:sz w:val="24"/>
            <w:szCs w:val="24"/>
            <w:u w:val="single"/>
          </w:rPr>
          <w:t>https://doi.org/10.1017/S0033291718002295</w:t>
        </w:r>
      </w:hyperlink>
    </w:p>
    <w:p w14:paraId="732C75E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Crews, W. D., Jefferson, A. L., Bolduc, T., Elliott, J. B., Ferro, N. M., Broshek, D. K., Barth, J. T., &amp; Robbins, M. K. (2001). Neuropsychological dysfunction in patients suffering from end-stage chronic obstructive pulmonary disease.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(7), 643–652. </w:t>
      </w:r>
      <w:hyperlink r:id="rId1226" w:history="1">
        <w:r w:rsidRPr="005B38F0">
          <w:rPr>
            <w:rFonts w:ascii="Times New Roman" w:eastAsia="Times New Roman" w:hAnsi="Times New Roman" w:cs="Times New Roman"/>
            <w:color w:val="0000FF"/>
            <w:sz w:val="24"/>
            <w:szCs w:val="24"/>
            <w:u w:val="single"/>
          </w:rPr>
          <w:t>https://doi.org/10.1016/S0887-6177(00)00075-5</w:t>
        </w:r>
      </w:hyperlink>
    </w:p>
    <w:p w14:paraId="0BB329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Cristiani, S. A., Pukay-Martin, N. D., &amp; Bornstein, R. A. (2004). Marijuana Use and Cognitive Function in HIV-infected People. </w:t>
      </w:r>
      <w:r w:rsidRPr="005B38F0">
        <w:rPr>
          <w:rFonts w:ascii="Times New Roman" w:eastAsia="Times New Roman" w:hAnsi="Times New Roman" w:cs="Times New Roman"/>
          <w:i/>
          <w:iCs/>
          <w:sz w:val="24"/>
          <w:szCs w:val="24"/>
        </w:rPr>
        <w:t>The Journal of Neuropsychiatry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(3), 330–335. </w:t>
      </w:r>
      <w:hyperlink r:id="rId1227" w:history="1">
        <w:r w:rsidRPr="005B38F0">
          <w:rPr>
            <w:rFonts w:ascii="Times New Roman" w:eastAsia="Times New Roman" w:hAnsi="Times New Roman" w:cs="Times New Roman"/>
            <w:color w:val="0000FF"/>
            <w:sz w:val="24"/>
            <w:szCs w:val="24"/>
            <w:u w:val="single"/>
          </w:rPr>
          <w:t>https://doi.org/10.1176/appi.neuropsych.16.3.330</w:t>
        </w:r>
      </w:hyperlink>
    </w:p>
    <w:p w14:paraId="735A815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Cristinzio, C., Bourlon, C., Pradat-Diehl, P., Trojano, L., Grossi, D., Chokron, S., &amp; Bartolomeo, P. (2009). Representational neglect in “invisible” drawing from memory. </w:t>
      </w:r>
      <w:r w:rsidRPr="005B38F0">
        <w:rPr>
          <w:rFonts w:ascii="Times New Roman" w:eastAsia="Times New Roman" w:hAnsi="Times New Roman" w:cs="Times New Roman"/>
          <w:i/>
          <w:iCs/>
          <w:sz w:val="24"/>
          <w:szCs w:val="24"/>
        </w:rPr>
        <w:t>Cortex: A Journal Devoted to the Study of the Nervous System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(3), 313–317. </w:t>
      </w:r>
      <w:hyperlink r:id="rId1228" w:history="1">
        <w:r w:rsidRPr="005B38F0">
          <w:rPr>
            <w:rFonts w:ascii="Times New Roman" w:eastAsia="Times New Roman" w:hAnsi="Times New Roman" w:cs="Times New Roman"/>
            <w:color w:val="0000FF"/>
            <w:sz w:val="24"/>
            <w:szCs w:val="24"/>
            <w:u w:val="single"/>
          </w:rPr>
          <w:t>https://doi.org/10.1016/j.cortex.2008.03.013</w:t>
        </w:r>
      </w:hyperlink>
    </w:p>
    <w:p w14:paraId="7221CAD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Croca, M., Lagodka, A., Gadel, R., Bourdel, M. C., Bendjemaa, N., Gaillard, R., Olié, J. P., Champagne-Lavau, M., Krebs, M. O., &amp; Amado, I. (2018). Theory of mind and schizophrenia in young and middle-aged patients: Influence of executive functions.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259</w:t>
      </w:r>
      <w:r w:rsidRPr="005B38F0">
        <w:rPr>
          <w:rFonts w:ascii="Times New Roman" w:eastAsia="Times New Roman" w:hAnsi="Times New Roman" w:cs="Times New Roman"/>
          <w:sz w:val="24"/>
          <w:szCs w:val="24"/>
        </w:rPr>
        <w:t xml:space="preserve">, 532–537. </w:t>
      </w:r>
      <w:hyperlink r:id="rId1229" w:history="1">
        <w:r w:rsidRPr="005B38F0">
          <w:rPr>
            <w:rFonts w:ascii="Times New Roman" w:eastAsia="Times New Roman" w:hAnsi="Times New Roman" w:cs="Times New Roman"/>
            <w:color w:val="0000FF"/>
            <w:sz w:val="24"/>
            <w:szCs w:val="24"/>
            <w:u w:val="single"/>
          </w:rPr>
          <w:t>https://doi.org/10.1016/j.psychres.2017.10.041</w:t>
        </w:r>
      </w:hyperlink>
    </w:p>
    <w:p w14:paraId="156E7B7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Crocker, L. D., Jurick, S. M., Thomas, K. R., Keller, A. V., Sanderson-Cimino, M., Boyd, B., Rodgers, C., Twamley, E. W., &amp; Jak, A. J. (2018). Worse baseline executive functioning is associated with dropout and poorer response to trauma-focused treatment for veterans with PTSD and comorbid traumatic brain injury. </w:t>
      </w:r>
      <w:r w:rsidRPr="005B38F0">
        <w:rPr>
          <w:rFonts w:ascii="Times New Roman" w:eastAsia="Times New Roman" w:hAnsi="Times New Roman" w:cs="Times New Roman"/>
          <w:i/>
          <w:iCs/>
          <w:sz w:val="24"/>
          <w:szCs w:val="24"/>
        </w:rPr>
        <w:t>Behaviour Research and 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108</w:t>
      </w:r>
      <w:r w:rsidRPr="005B38F0">
        <w:rPr>
          <w:rFonts w:ascii="Times New Roman" w:eastAsia="Times New Roman" w:hAnsi="Times New Roman" w:cs="Times New Roman"/>
          <w:sz w:val="24"/>
          <w:szCs w:val="24"/>
        </w:rPr>
        <w:t xml:space="preserve">, 68–77. </w:t>
      </w:r>
      <w:hyperlink r:id="rId1230" w:history="1">
        <w:r w:rsidRPr="005B38F0">
          <w:rPr>
            <w:rFonts w:ascii="Times New Roman" w:eastAsia="Times New Roman" w:hAnsi="Times New Roman" w:cs="Times New Roman"/>
            <w:color w:val="0000FF"/>
            <w:sz w:val="24"/>
            <w:szCs w:val="24"/>
            <w:u w:val="single"/>
          </w:rPr>
          <w:t>https://doi.org/10.1016/j.brat.2018.07.004</w:t>
        </w:r>
      </w:hyperlink>
    </w:p>
    <w:p w14:paraId="4A8409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Crone, E. A., Ridderinkhof, K. R., Worm, M., Somsen, R. J. M., &amp; van der Molen, M. W. (2004). Switching between spatial stimulus-response mappings: A developmental study of cognitive flexibility. </w:t>
      </w:r>
      <w:r w:rsidRPr="005B38F0">
        <w:rPr>
          <w:rFonts w:ascii="Times New Roman" w:eastAsia="Times New Roman" w:hAnsi="Times New Roman" w:cs="Times New Roman"/>
          <w:i/>
          <w:iCs/>
          <w:sz w:val="24"/>
          <w:szCs w:val="24"/>
        </w:rPr>
        <w:t>Developmental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(4), 443–455. </w:t>
      </w:r>
      <w:hyperlink r:id="rId1231" w:history="1">
        <w:r w:rsidRPr="005B38F0">
          <w:rPr>
            <w:rFonts w:ascii="Times New Roman" w:eastAsia="Times New Roman" w:hAnsi="Times New Roman" w:cs="Times New Roman"/>
            <w:color w:val="0000FF"/>
            <w:sz w:val="24"/>
            <w:szCs w:val="24"/>
            <w:u w:val="single"/>
          </w:rPr>
          <w:t>https://doi.org/10.1111/j.1467-7687.2004.00365.x</w:t>
        </w:r>
      </w:hyperlink>
    </w:p>
    <w:p w14:paraId="466D825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Cronenwett, W. J., Agarwal, G., &amp; Csernansky, J. G. (2012). Basic science underlying schizophrenia. In </w:t>
      </w:r>
      <w:r w:rsidRPr="005B38F0">
        <w:rPr>
          <w:rFonts w:ascii="Times New Roman" w:eastAsia="Times New Roman" w:hAnsi="Times New Roman" w:cs="Times New Roman"/>
          <w:i/>
          <w:iCs/>
          <w:sz w:val="24"/>
          <w:szCs w:val="24"/>
        </w:rPr>
        <w:t>Clinical manual for treatment of schizophrenia.</w:t>
      </w:r>
      <w:r w:rsidRPr="005B38F0">
        <w:rPr>
          <w:rFonts w:ascii="Times New Roman" w:eastAsia="Times New Roman" w:hAnsi="Times New Roman" w:cs="Times New Roman"/>
          <w:sz w:val="24"/>
          <w:szCs w:val="24"/>
        </w:rPr>
        <w:t xml:space="preserve"> (pp. 25–69). American Psychiatric Publishing, Inc.</w:t>
      </w:r>
    </w:p>
    <w:p w14:paraId="722D18D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Crook, T. H., Kay, G. G., &amp; Larrabee, G. J. (2009). Computer-based cognitive testing. In </w:t>
      </w:r>
      <w:r w:rsidRPr="005B38F0">
        <w:rPr>
          <w:rFonts w:ascii="Times New Roman" w:eastAsia="Times New Roman" w:hAnsi="Times New Roman" w:cs="Times New Roman"/>
          <w:i/>
          <w:iCs/>
          <w:sz w:val="24"/>
          <w:szCs w:val="24"/>
        </w:rPr>
        <w:t>Neuropsychological assessment of neuropsychiatric and neuromedical disorders, 3rd ed.</w:t>
      </w:r>
      <w:r w:rsidRPr="005B38F0">
        <w:rPr>
          <w:rFonts w:ascii="Times New Roman" w:eastAsia="Times New Roman" w:hAnsi="Times New Roman" w:cs="Times New Roman"/>
          <w:sz w:val="24"/>
          <w:szCs w:val="24"/>
        </w:rPr>
        <w:t xml:space="preserve"> (pp. 84–100). Oxford University Press.</w:t>
      </w:r>
    </w:p>
    <w:p w14:paraId="471EF1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Crowe, S. F. (1996). The performance of schizophrenic and depressed subjects on tests of fluency: Support for a compromise in dorsolateral prefrontal functioning. </w:t>
      </w:r>
      <w:r w:rsidRPr="005B38F0">
        <w:rPr>
          <w:rFonts w:ascii="Times New Roman" w:eastAsia="Times New Roman" w:hAnsi="Times New Roman" w:cs="Times New Roman"/>
          <w:i/>
          <w:iCs/>
          <w:sz w:val="24"/>
          <w:szCs w:val="24"/>
        </w:rPr>
        <w:t>Australian 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(3), 204–209. </w:t>
      </w:r>
      <w:hyperlink r:id="rId1232" w:history="1">
        <w:r w:rsidRPr="005B38F0">
          <w:rPr>
            <w:rFonts w:ascii="Times New Roman" w:eastAsia="Times New Roman" w:hAnsi="Times New Roman" w:cs="Times New Roman"/>
            <w:color w:val="0000FF"/>
            <w:sz w:val="24"/>
            <w:szCs w:val="24"/>
            <w:u w:val="single"/>
          </w:rPr>
          <w:t>https://doi.org/10.1080/00050069608260207</w:t>
        </w:r>
      </w:hyperlink>
    </w:p>
    <w:p w14:paraId="093235A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Crowe, S. F., &amp; Crowe, L. M. (2013). Does the presence of posttraumatic anosmia mean that you will be disinhibited?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(3), 298–308. </w:t>
      </w:r>
      <w:hyperlink r:id="rId1233" w:history="1">
        <w:r w:rsidRPr="005B38F0">
          <w:rPr>
            <w:rFonts w:ascii="Times New Roman" w:eastAsia="Times New Roman" w:hAnsi="Times New Roman" w:cs="Times New Roman"/>
            <w:color w:val="0000FF"/>
            <w:sz w:val="24"/>
            <w:szCs w:val="24"/>
            <w:u w:val="single"/>
          </w:rPr>
          <w:t>https://doi.org/10.1080/13803395.2013.771616</w:t>
        </w:r>
      </w:hyperlink>
    </w:p>
    <w:p w14:paraId="66413D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Crown, J. (1996). </w:t>
      </w:r>
      <w:r w:rsidRPr="005B38F0">
        <w:rPr>
          <w:rFonts w:ascii="Times New Roman" w:eastAsia="Times New Roman" w:hAnsi="Times New Roman" w:cs="Times New Roman"/>
          <w:i/>
          <w:iCs/>
          <w:sz w:val="24"/>
          <w:szCs w:val="24"/>
        </w:rPr>
        <w:t>Schizophrenia and frontal lobe development: A twin and sibling study of development during young adulthood.</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(9-B), 5163–5163.</w:t>
      </w:r>
    </w:p>
    <w:p w14:paraId="6FE539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Cruise, K. E., Bucks, R. S., Loftus, A. M., Newton, R. U., Pegoraro, R., &amp; Thomas, M. G. (2011). Exercise and Parkinson’s: Benefits for cognition and quality of life.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(1), 13–19. </w:t>
      </w:r>
      <w:hyperlink r:id="rId1234" w:history="1">
        <w:r w:rsidRPr="005B38F0">
          <w:rPr>
            <w:rFonts w:ascii="Times New Roman" w:eastAsia="Times New Roman" w:hAnsi="Times New Roman" w:cs="Times New Roman"/>
            <w:color w:val="0000FF"/>
            <w:sz w:val="24"/>
            <w:szCs w:val="24"/>
            <w:u w:val="single"/>
          </w:rPr>
          <w:t>https://doi.org/10.1111/j.1600-0404.2010.01338.x</w:t>
        </w:r>
      </w:hyperlink>
    </w:p>
    <w:p w14:paraId="47D7F2F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Cruz-Rodrigues, C., Barbos, T., Toledo-Piza, C. M. J., Miranda, M. C., &amp; Buen, O. F. A. (2014). Neuropsychological characteristics of dyslexic children.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(3), 539–546. </w:t>
      </w:r>
      <w:hyperlink r:id="rId1235" w:history="1">
        <w:r w:rsidRPr="005B38F0">
          <w:rPr>
            <w:rFonts w:ascii="Times New Roman" w:eastAsia="Times New Roman" w:hAnsi="Times New Roman" w:cs="Times New Roman"/>
            <w:color w:val="0000FF"/>
            <w:sz w:val="24"/>
            <w:szCs w:val="24"/>
            <w:u w:val="single"/>
          </w:rPr>
          <w:t>https://doi.org/10.1590/1678-7153.201427315</w:t>
        </w:r>
      </w:hyperlink>
    </w:p>
    <w:p w14:paraId="428FEF2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Cserjési, R., Molnár, D., Luminet, O., &amp; Lénárd, L. (2007). Is there any relationship between obesity and mental flexibility in children? </w:t>
      </w:r>
      <w:r w:rsidRPr="005B38F0">
        <w:rPr>
          <w:rFonts w:ascii="Times New Roman" w:eastAsia="Times New Roman" w:hAnsi="Times New Roman" w:cs="Times New Roman"/>
          <w:i/>
          <w:iCs/>
          <w:sz w:val="24"/>
          <w:szCs w:val="24"/>
        </w:rPr>
        <w:t>Appetite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(3), 675–678. </w:t>
      </w:r>
      <w:hyperlink r:id="rId1236" w:history="1">
        <w:r w:rsidRPr="005B38F0">
          <w:rPr>
            <w:rFonts w:ascii="Times New Roman" w:eastAsia="Times New Roman" w:hAnsi="Times New Roman" w:cs="Times New Roman"/>
            <w:color w:val="0000FF"/>
            <w:sz w:val="24"/>
            <w:szCs w:val="24"/>
            <w:u w:val="single"/>
          </w:rPr>
          <w:t>https://doi.org/10.1016/j.appet.2007.04.001</w:t>
        </w:r>
      </w:hyperlink>
    </w:p>
    <w:p w14:paraId="26D773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Cservenka, A., Herting, M. M., &amp; Nagel, B. J. (2012). Atypical frontal lobe activity during verbal working memory in youth with a family history of alcoholism.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123</w:t>
      </w:r>
      <w:r w:rsidRPr="005B38F0">
        <w:rPr>
          <w:rFonts w:ascii="Times New Roman" w:eastAsia="Times New Roman" w:hAnsi="Times New Roman" w:cs="Times New Roman"/>
          <w:sz w:val="24"/>
          <w:szCs w:val="24"/>
        </w:rPr>
        <w:t xml:space="preserve">(1–3), 98–104. </w:t>
      </w:r>
      <w:hyperlink r:id="rId1237" w:history="1">
        <w:r w:rsidRPr="005B38F0">
          <w:rPr>
            <w:rFonts w:ascii="Times New Roman" w:eastAsia="Times New Roman" w:hAnsi="Times New Roman" w:cs="Times New Roman"/>
            <w:color w:val="0000FF"/>
            <w:sz w:val="24"/>
            <w:szCs w:val="24"/>
            <w:u w:val="single"/>
          </w:rPr>
          <w:t>https://doi.org/10.1016/j.drugalcdep.2011.10.021</w:t>
        </w:r>
      </w:hyperlink>
    </w:p>
    <w:p w14:paraId="326B744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Csukly, G., Polgár, P., Tombor, L., Réthelyi, J., &amp; Kéri, S. (2011). Are patients with schizophrenia rational maximizers? Evidence from an ultimatum game study.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187</w:t>
      </w:r>
      <w:r w:rsidRPr="005B38F0">
        <w:rPr>
          <w:rFonts w:ascii="Times New Roman" w:eastAsia="Times New Roman" w:hAnsi="Times New Roman" w:cs="Times New Roman"/>
          <w:sz w:val="24"/>
          <w:szCs w:val="24"/>
        </w:rPr>
        <w:t xml:space="preserve">(1–2), 11–17. </w:t>
      </w:r>
      <w:hyperlink r:id="rId1238" w:history="1">
        <w:r w:rsidRPr="005B38F0">
          <w:rPr>
            <w:rFonts w:ascii="Times New Roman" w:eastAsia="Times New Roman" w:hAnsi="Times New Roman" w:cs="Times New Roman"/>
            <w:color w:val="0000FF"/>
            <w:sz w:val="24"/>
            <w:szCs w:val="24"/>
            <w:u w:val="single"/>
          </w:rPr>
          <w:t>https://doi.org/10.1016/j.psychres.2010.10.005</w:t>
        </w:r>
      </w:hyperlink>
    </w:p>
    <w:p w14:paraId="5F5867D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Cubelli, R., Della Sala, S., Beschin, N., &amp; McIntosh, R. D. (2014). Distance-mediated spatial neglect.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338–345. </w:t>
      </w:r>
      <w:hyperlink r:id="rId1239" w:history="1">
        <w:r w:rsidRPr="005B38F0">
          <w:rPr>
            <w:rFonts w:ascii="Times New Roman" w:eastAsia="Times New Roman" w:hAnsi="Times New Roman" w:cs="Times New Roman"/>
            <w:color w:val="0000FF"/>
            <w:sz w:val="24"/>
            <w:szCs w:val="24"/>
            <w:u w:val="single"/>
          </w:rPr>
          <w:t>https://doi.org/10.1080/13554794.2013.770885</w:t>
        </w:r>
      </w:hyperlink>
    </w:p>
    <w:p w14:paraId="5D9559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Cubo, E., Jaén, A. F., Moreno, C., Anaya, B., González, M., &amp; Kompoliti, K. (2008). Donepezil use in children and adolescents with tics and attention-deficit/hyperactivity disorder: An 18-week, single-center, dose-escalating, prospective, open-label study. </w:t>
      </w:r>
      <w:r w:rsidRPr="005B38F0">
        <w:rPr>
          <w:rFonts w:ascii="Times New Roman" w:eastAsia="Times New Roman" w:hAnsi="Times New Roman" w:cs="Times New Roman"/>
          <w:i/>
          <w:iCs/>
          <w:sz w:val="24"/>
          <w:szCs w:val="24"/>
        </w:rPr>
        <w:t>Clinical Therapeutics: The International Peer-Reviewed Journal of Drug Therapy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(1), 182–189. </w:t>
      </w:r>
      <w:hyperlink r:id="rId1240" w:history="1">
        <w:r w:rsidRPr="005B38F0">
          <w:rPr>
            <w:rFonts w:ascii="Times New Roman" w:eastAsia="Times New Roman" w:hAnsi="Times New Roman" w:cs="Times New Roman"/>
            <w:color w:val="0000FF"/>
            <w:sz w:val="24"/>
            <w:szCs w:val="24"/>
            <w:u w:val="single"/>
          </w:rPr>
          <w:t>https://doi.org/10.1016/j.clinthera.2008.01.010</w:t>
        </w:r>
      </w:hyperlink>
    </w:p>
    <w:p w14:paraId="458D25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Cuervo-Lombard, C., Jovenin, N., Hedelin, G., Rizzo-Peter, L., Conway, M. A., &amp; Danion, J.-M. (2007). Autobiographical memory of adolescence and early adulthood events: An investigation in schizophrenia.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335–343. </w:t>
      </w:r>
      <w:hyperlink r:id="rId1241" w:history="1">
        <w:r w:rsidRPr="005B38F0">
          <w:rPr>
            <w:rFonts w:ascii="Times New Roman" w:eastAsia="Times New Roman" w:hAnsi="Times New Roman" w:cs="Times New Roman"/>
            <w:color w:val="0000FF"/>
            <w:sz w:val="24"/>
            <w:szCs w:val="24"/>
            <w:u w:val="single"/>
          </w:rPr>
          <w:t>https://doi.org/10.1017/S135561770707035X</w:t>
        </w:r>
      </w:hyperlink>
    </w:p>
    <w:p w14:paraId="52DF676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de Jalón, E. G., Campos, M. S., Ibáñez, B., Sánchez-Torres, A. M., &amp; Peralta, V. (2012). Duration of untreated negative and positive symptoms of psychosis and cognitive impairment in first episode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141</w:t>
      </w:r>
      <w:r w:rsidRPr="005B38F0">
        <w:rPr>
          <w:rFonts w:ascii="Times New Roman" w:eastAsia="Times New Roman" w:hAnsi="Times New Roman" w:cs="Times New Roman"/>
          <w:sz w:val="24"/>
          <w:szCs w:val="24"/>
        </w:rPr>
        <w:t xml:space="preserve">(2–3), 222–227. </w:t>
      </w:r>
      <w:hyperlink r:id="rId1242" w:history="1">
        <w:r w:rsidRPr="005B38F0">
          <w:rPr>
            <w:rFonts w:ascii="Times New Roman" w:eastAsia="Times New Roman" w:hAnsi="Times New Roman" w:cs="Times New Roman"/>
            <w:color w:val="0000FF"/>
            <w:sz w:val="24"/>
            <w:szCs w:val="24"/>
            <w:u w:val="single"/>
          </w:rPr>
          <w:t>https://doi.org/10.1016/j.schres.2012.08.019</w:t>
        </w:r>
      </w:hyperlink>
    </w:p>
    <w:p w14:paraId="5F8FD0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de Jalon, E. G., Campos, M. S., &amp; Peralta, V. (2009). Cognitive effectiveness of olanzapine and risperidone in first-episode psychosis.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194</w:t>
      </w:r>
      <w:r w:rsidRPr="005B38F0">
        <w:rPr>
          <w:rFonts w:ascii="Times New Roman" w:eastAsia="Times New Roman" w:hAnsi="Times New Roman" w:cs="Times New Roman"/>
          <w:sz w:val="24"/>
          <w:szCs w:val="24"/>
        </w:rPr>
        <w:t xml:space="preserve">(5), 439–445. </w:t>
      </w:r>
      <w:hyperlink r:id="rId1243" w:history="1">
        <w:r w:rsidRPr="005B38F0">
          <w:rPr>
            <w:rFonts w:ascii="Times New Roman" w:eastAsia="Times New Roman" w:hAnsi="Times New Roman" w:cs="Times New Roman"/>
            <w:color w:val="0000FF"/>
            <w:sz w:val="24"/>
            <w:szCs w:val="24"/>
            <w:u w:val="single"/>
          </w:rPr>
          <w:t>https://doi.org/10.1192/bjp.bp.108.055137</w:t>
        </w:r>
      </w:hyperlink>
    </w:p>
    <w:p w14:paraId="2B3D0F1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Campos, M. S., &amp; Garcia-Jalon, E. (2011). Can insight be predicted in first-episode psychosis patients? A longitudinal and hierarchical analysis of predictors in a drug-naïve sample.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 xml:space="preserve">(1–3), 148–156. </w:t>
      </w:r>
      <w:hyperlink r:id="rId1244" w:history="1">
        <w:r w:rsidRPr="005B38F0">
          <w:rPr>
            <w:rFonts w:ascii="Times New Roman" w:eastAsia="Times New Roman" w:hAnsi="Times New Roman" w:cs="Times New Roman"/>
            <w:color w:val="0000FF"/>
            <w:sz w:val="24"/>
            <w:szCs w:val="24"/>
            <w:u w:val="single"/>
          </w:rPr>
          <w:t>https://doi.org/10.1016/j.schres.2011.04.032</w:t>
        </w:r>
      </w:hyperlink>
    </w:p>
    <w:p w14:paraId="6079B9F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Caro, F., &amp; de Leon, J. (1995). Schizophrenic syndrome and Wisconsin Card Sorting Test dimensions.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58</w:t>
      </w:r>
      <w:r w:rsidRPr="005B38F0">
        <w:rPr>
          <w:rFonts w:ascii="Times New Roman" w:eastAsia="Times New Roman" w:hAnsi="Times New Roman" w:cs="Times New Roman"/>
          <w:sz w:val="24"/>
          <w:szCs w:val="24"/>
        </w:rPr>
        <w:t xml:space="preserve">(1), 45–51. </w:t>
      </w:r>
      <w:hyperlink r:id="rId1245" w:history="1">
        <w:r w:rsidRPr="005B38F0">
          <w:rPr>
            <w:rFonts w:ascii="Times New Roman" w:eastAsia="Times New Roman" w:hAnsi="Times New Roman" w:cs="Times New Roman"/>
            <w:color w:val="0000FF"/>
            <w:sz w:val="24"/>
            <w:szCs w:val="24"/>
            <w:u w:val="single"/>
          </w:rPr>
          <w:t>https://doi.org/10.1016/0165-1781(95)02649-H</w:t>
        </w:r>
      </w:hyperlink>
    </w:p>
    <w:p w14:paraId="38E0A1F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Cuesta, M. J., Peralta, V., Caro, F., &amp; de Leon, J. (1996). “Is poor sight in psychotic disorders associated with poor performance on the Wisconsin Card Sorting Test?”: Correction. </w:t>
      </w:r>
      <w:r w:rsidRPr="005B38F0">
        <w:rPr>
          <w:rFonts w:ascii="Times New Roman" w:eastAsia="Times New Roman" w:hAnsi="Times New Roman" w:cs="Times New Roman"/>
          <w:i/>
          <w:iCs/>
          <w:sz w:val="24"/>
          <w:szCs w:val="24"/>
        </w:rPr>
        <w:t>The American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w:t>
      </w:r>
      <w:r w:rsidRPr="005B38F0">
        <w:rPr>
          <w:rFonts w:ascii="Times New Roman" w:eastAsia="Times New Roman" w:hAnsi="Times New Roman" w:cs="Times New Roman"/>
          <w:sz w:val="24"/>
          <w:szCs w:val="24"/>
        </w:rPr>
        <w:t xml:space="preserve">(2), 270–270. </w:t>
      </w:r>
      <w:hyperlink r:id="rId1246" w:history="1">
        <w:r w:rsidRPr="005B38F0">
          <w:rPr>
            <w:rFonts w:ascii="Times New Roman" w:eastAsia="Times New Roman" w:hAnsi="Times New Roman" w:cs="Times New Roman"/>
            <w:color w:val="0000FF"/>
            <w:sz w:val="24"/>
            <w:szCs w:val="24"/>
            <w:u w:val="single"/>
          </w:rPr>
          <w:t>https://doi.org/10.1176/ajp.153.2.270</w:t>
        </w:r>
      </w:hyperlink>
    </w:p>
    <w:p w14:paraId="1CB305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&amp; Zarzuela, A. (2001). Effects of olanzapine and other antipsychotics on cognitive function in chronic schizophrenia: A longitudinal study.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(1), 17–28. </w:t>
      </w:r>
      <w:hyperlink r:id="rId1247" w:history="1">
        <w:r w:rsidRPr="005B38F0">
          <w:rPr>
            <w:rFonts w:ascii="Times New Roman" w:eastAsia="Times New Roman" w:hAnsi="Times New Roman" w:cs="Times New Roman"/>
            <w:color w:val="0000FF"/>
            <w:sz w:val="24"/>
            <w:szCs w:val="24"/>
            <w:u w:val="single"/>
          </w:rPr>
          <w:t>https://doi.org/10.1016/S0920-9964(00)00112-2</w:t>
        </w:r>
      </w:hyperlink>
    </w:p>
    <w:p w14:paraId="1ADA9E3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&amp; Zarzuela, A. (2007). Empirical validation of competing definitions of schizophrenia: A poly-diagnostic study of cognitive impairment in non-affective psychosis.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95</w:t>
      </w:r>
      <w:r w:rsidRPr="005B38F0">
        <w:rPr>
          <w:rFonts w:ascii="Times New Roman" w:eastAsia="Times New Roman" w:hAnsi="Times New Roman" w:cs="Times New Roman"/>
          <w:sz w:val="24"/>
          <w:szCs w:val="24"/>
        </w:rPr>
        <w:t xml:space="preserve">(1–3), 39–47. </w:t>
      </w:r>
      <w:hyperlink r:id="rId1248" w:history="1">
        <w:r w:rsidRPr="005B38F0">
          <w:rPr>
            <w:rFonts w:ascii="Times New Roman" w:eastAsia="Times New Roman" w:hAnsi="Times New Roman" w:cs="Times New Roman"/>
            <w:color w:val="0000FF"/>
            <w:sz w:val="24"/>
            <w:szCs w:val="24"/>
            <w:u w:val="single"/>
          </w:rPr>
          <w:t>https://doi.org/10.1016/j.schres.2007.06.021</w:t>
        </w:r>
      </w:hyperlink>
    </w:p>
    <w:p w14:paraId="4FF54C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Peralta, V., Zarzuela, A., &amp; Zandio, M. (2006). Insight dimensions and cognitive function in psychosis: A longitudinal study.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 </w:t>
      </w:r>
      <w:hyperlink r:id="rId1249" w:history="1">
        <w:r w:rsidRPr="005B38F0">
          <w:rPr>
            <w:rFonts w:ascii="Times New Roman" w:eastAsia="Times New Roman" w:hAnsi="Times New Roman" w:cs="Times New Roman"/>
            <w:color w:val="0000FF"/>
            <w:sz w:val="24"/>
            <w:szCs w:val="24"/>
            <w:u w:val="single"/>
          </w:rPr>
          <w:t>https://doi.org/10.1186/1471-244X-6-26</w:t>
        </w:r>
      </w:hyperlink>
    </w:p>
    <w:p w14:paraId="10866E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Pino, O., Guilera, G., Rojo, J. E., Gómez-Benito, J., Purdon, S. E., Franco, M., Martínez-Arán, A., Segarra, N., Tabarés-Seisdedos, R., Vieta, E., Bernardo, M., Crespo-Facorro, B., Mesa, F., &amp; Rejas, J. (2011). Brief cognitive assessment instruments in schizophrenia and bipolar patients, and healthy control subjects: A comparison study between the Brief Cognitive Assessment Tool for Schizophrenia (B-CATS) and the Screen for Cognitive Impairment in Psychiatry (SC.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130</w:t>
      </w:r>
      <w:r w:rsidRPr="005B38F0">
        <w:rPr>
          <w:rFonts w:ascii="Times New Roman" w:eastAsia="Times New Roman" w:hAnsi="Times New Roman" w:cs="Times New Roman"/>
          <w:sz w:val="24"/>
          <w:szCs w:val="24"/>
        </w:rPr>
        <w:t>(1–3), 137–142.</w:t>
      </w:r>
    </w:p>
    <w:p w14:paraId="103C991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Cuesta, M. J., Sánchez-Torres, A. M., de Jalón, E. G., Campos, M. S., Ibáñez, B., Moreno-Izco, L., &amp; Peralta, V. (2014). Spontaneous parkinsonism is associated with cognitive impairment in antipsychotic-naive patients with first-episode psychosis: A 6-month follow-up study.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40</w:t>
      </w:r>
      <w:r w:rsidRPr="005B38F0">
        <w:rPr>
          <w:rFonts w:ascii="Times New Roman" w:eastAsia="Times New Roman" w:hAnsi="Times New Roman" w:cs="Times New Roman"/>
          <w:sz w:val="24"/>
          <w:szCs w:val="24"/>
        </w:rPr>
        <w:t xml:space="preserve">(5), 1164–1173. </w:t>
      </w:r>
      <w:hyperlink r:id="rId1250" w:history="1">
        <w:r w:rsidRPr="005B38F0">
          <w:rPr>
            <w:rFonts w:ascii="Times New Roman" w:eastAsia="Times New Roman" w:hAnsi="Times New Roman" w:cs="Times New Roman"/>
            <w:color w:val="0000FF"/>
            <w:sz w:val="24"/>
            <w:szCs w:val="24"/>
            <w:u w:val="single"/>
          </w:rPr>
          <w:t>https://doi.org/10.1093/schbul/sbt125</w:t>
        </w:r>
      </w:hyperlink>
    </w:p>
    <w:p w14:paraId="7FCA20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Cuesta, M. J., Zarzuela, A., Sánchez-Torres, A. M., Lorente-Omeñaca, R., Moreno-Izco, L., Sanjuán, J., &amp; Peralta, V. (2015). Familial liability to schizophrenia and mood disorders and cognitive impairment in psychosis.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227</w:t>
      </w:r>
      <w:r w:rsidRPr="005B38F0">
        <w:rPr>
          <w:rFonts w:ascii="Times New Roman" w:eastAsia="Times New Roman" w:hAnsi="Times New Roman" w:cs="Times New Roman"/>
          <w:sz w:val="24"/>
          <w:szCs w:val="24"/>
        </w:rPr>
        <w:t xml:space="preserve">(2–3), 258–264. </w:t>
      </w:r>
      <w:hyperlink r:id="rId1251" w:history="1">
        <w:r w:rsidRPr="005B38F0">
          <w:rPr>
            <w:rFonts w:ascii="Times New Roman" w:eastAsia="Times New Roman" w:hAnsi="Times New Roman" w:cs="Times New Roman"/>
            <w:color w:val="0000FF"/>
            <w:sz w:val="24"/>
            <w:szCs w:val="24"/>
            <w:u w:val="single"/>
          </w:rPr>
          <w:t>https://doi.org/10.1016/j.psychres.2015.03.024</w:t>
        </w:r>
      </w:hyperlink>
    </w:p>
    <w:p w14:paraId="083FA0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Cuevas, K., Deater‐Deckard, K., Kim‐Spoon, J., Wang, Z., Morasch, K. C., &amp; Bell, M. A. (2014). A longitudinal intergenerational analysis of executive functions during early childhood. </w:t>
      </w:r>
      <w:r w:rsidRPr="005B38F0">
        <w:rPr>
          <w:rFonts w:ascii="Times New Roman" w:eastAsia="Times New Roman" w:hAnsi="Times New Roman" w:cs="Times New Roman"/>
          <w:i/>
          <w:iCs/>
          <w:sz w:val="24"/>
          <w:szCs w:val="24"/>
        </w:rPr>
        <w:t>British Journal of Developmental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(1), 50–64. </w:t>
      </w:r>
      <w:hyperlink r:id="rId1252" w:history="1">
        <w:r w:rsidRPr="005B38F0">
          <w:rPr>
            <w:rFonts w:ascii="Times New Roman" w:eastAsia="Times New Roman" w:hAnsi="Times New Roman" w:cs="Times New Roman"/>
            <w:color w:val="0000FF"/>
            <w:sz w:val="24"/>
            <w:szCs w:val="24"/>
            <w:u w:val="single"/>
          </w:rPr>
          <w:t>https://doi.org/10.1111/bjdp.12021</w:t>
        </w:r>
      </w:hyperlink>
    </w:p>
    <w:p w14:paraId="0BF1BB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Cuevas, K., Deater-Deckard, K., Kim-Spoon, J., Watson, A. J., Morasch, K. C., &amp; Bell, M. A. (2014). What’s mom got to do with it? Contributions of maternal executive function and caregiving to the development of executive function across early childhood. </w:t>
      </w:r>
      <w:r w:rsidRPr="005B38F0">
        <w:rPr>
          <w:rFonts w:ascii="Times New Roman" w:eastAsia="Times New Roman" w:hAnsi="Times New Roman" w:cs="Times New Roman"/>
          <w:i/>
          <w:iCs/>
          <w:sz w:val="24"/>
          <w:szCs w:val="24"/>
        </w:rPr>
        <w:t>Developmental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 xml:space="preserve">(2), 224–238. </w:t>
      </w:r>
      <w:hyperlink r:id="rId1253" w:history="1">
        <w:r w:rsidRPr="005B38F0">
          <w:rPr>
            <w:rFonts w:ascii="Times New Roman" w:eastAsia="Times New Roman" w:hAnsi="Times New Roman" w:cs="Times New Roman"/>
            <w:color w:val="0000FF"/>
            <w:sz w:val="24"/>
            <w:szCs w:val="24"/>
            <w:u w:val="single"/>
          </w:rPr>
          <w:t>https://doi.org/10.1111/desc.12073</w:t>
        </w:r>
      </w:hyperlink>
    </w:p>
    <w:p w14:paraId="53B09BA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Cuevas-Toro, A. M. A., López-Torrecillas, F., Díaz-Batanero, M. A. C., &amp; Pérez-Marfil, M. A. N. (2014). Neuropsychological function, anxiety, depression and pain impact in fibromyalgia patients. </w:t>
      </w:r>
      <w:r w:rsidRPr="005B38F0">
        <w:rPr>
          <w:rFonts w:ascii="Times New Roman" w:eastAsia="Times New Roman" w:hAnsi="Times New Roman" w:cs="Times New Roman"/>
          <w:i/>
          <w:iCs/>
          <w:sz w:val="24"/>
          <w:szCs w:val="24"/>
        </w:rPr>
        <w:t>The Spanish Journal of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w:t>
      </w:r>
      <w:r w:rsidRPr="005B38F0">
        <w:rPr>
          <w:rFonts w:ascii="Times New Roman" w:eastAsia="Times New Roman" w:hAnsi="Times New Roman" w:cs="Times New Roman"/>
          <w:sz w:val="24"/>
          <w:szCs w:val="24"/>
        </w:rPr>
        <w:t>.</w:t>
      </w:r>
    </w:p>
    <w:p w14:paraId="394FC8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J., Chen, Y., Zhang, X., Wang, Y., Gao, D., &amp; Zou, X. (2012). Cognitive inhibition and shifting in Asperger’s syndrome. </w:t>
      </w:r>
      <w:r w:rsidRPr="005B38F0">
        <w:rPr>
          <w:rFonts w:ascii="Times New Roman" w:eastAsia="Times New Roman" w:hAnsi="Times New Roman" w:cs="Times New Roman"/>
          <w:i/>
          <w:iCs/>
          <w:sz w:val="24"/>
          <w:szCs w:val="24"/>
        </w:rPr>
        <w:t>Psychopathology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 xml:space="preserve">(2), 130–132. </w:t>
      </w:r>
      <w:hyperlink r:id="rId1254" w:history="1">
        <w:r w:rsidRPr="005B38F0">
          <w:rPr>
            <w:rFonts w:ascii="Times New Roman" w:eastAsia="Times New Roman" w:hAnsi="Times New Roman" w:cs="Times New Roman"/>
            <w:color w:val="0000FF"/>
            <w:sz w:val="24"/>
            <w:szCs w:val="24"/>
            <w:u w:val="single"/>
          </w:rPr>
          <w:t>https://doi.org/10.1159/000328626</w:t>
        </w:r>
      </w:hyperlink>
    </w:p>
    <w:p w14:paraId="44C252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J.-F., Zou, Y.-Z., Li, Y., Wang, J., Chen, N., Fan, H.-Z., Zhang, D., Xu, Z., Song, S.-G., Wang, Y.-H., Gao, W.-J., &amp; Duan, J.-H. (2009). Reliability and validity of the Brief Assessment of Cognition in Schizophrenia. [Reliability and validity of the Brief Assessment of Cognition in Schizophrenia.].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(3), 183–187.</w:t>
      </w:r>
    </w:p>
    <w:p w14:paraId="6DD4D6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Cui, R., Haller, M., Skidmore, J. R., Goldsteinholm, K., Norman, S., &amp; Tate, S. R. (2016). Treatment attendance among veterans with depression, substance use disorder, and trauma. </w:t>
      </w:r>
      <w:r w:rsidRPr="005B38F0">
        <w:rPr>
          <w:rFonts w:ascii="Times New Roman" w:eastAsia="Times New Roman" w:hAnsi="Times New Roman" w:cs="Times New Roman"/>
          <w:i/>
          <w:iCs/>
          <w:sz w:val="24"/>
          <w:szCs w:val="24"/>
        </w:rPr>
        <w:t>Journal of Dual Diagnosis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(1), 15–26. </w:t>
      </w:r>
      <w:hyperlink r:id="rId1255" w:history="1">
        <w:r w:rsidRPr="005B38F0">
          <w:rPr>
            <w:rFonts w:ascii="Times New Roman" w:eastAsia="Times New Roman" w:hAnsi="Times New Roman" w:cs="Times New Roman"/>
            <w:color w:val="0000FF"/>
            <w:sz w:val="24"/>
            <w:szCs w:val="24"/>
            <w:u w:val="single"/>
          </w:rPr>
          <w:t>https://doi.org/10.1080/15504263.2016.1146384</w:t>
        </w:r>
      </w:hyperlink>
    </w:p>
    <w:p w14:paraId="193A01B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Cui, Y., Yang, W., &amp; Weng, Y. (2004). Effectiveness of Social Skills Training in Patients with Chronic Schizophrenia. [Effectiveness of Social Skills Training in Patients with Chronic Schizophrenia.]. </w:t>
      </w:r>
      <w:r w:rsidRPr="005B38F0">
        <w:rPr>
          <w:rFonts w:ascii="Times New Roman" w:eastAsia="Times New Roman" w:hAnsi="Times New Roman" w:cs="Times New Roman"/>
          <w:i/>
          <w:iCs/>
          <w:sz w:val="24"/>
          <w:szCs w:val="24"/>
        </w:rPr>
        <w:t>Chinese Mental Health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(11), 799–805.</w:t>
      </w:r>
    </w:p>
    <w:p w14:paraId="61611B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Cukiert, A., Burattini, J. A., Lima, A. M., Cukiert, C. M., Argentoni-Baldochi, M., Baise, C., Forster, C. R., &amp; Mello, V. A. (2011). Speech preservation using a non-linear paradigm for determination of the extent of neocortical resection in patients with mesial temporal sclerosis submitted to cortico-amygdalo-hippocampectomy (CAH). </w:t>
      </w:r>
      <w:r w:rsidRPr="005B38F0">
        <w:rPr>
          <w:rFonts w:ascii="Times New Roman" w:eastAsia="Times New Roman" w:hAnsi="Times New Roman" w:cs="Times New Roman"/>
          <w:i/>
          <w:iCs/>
          <w:sz w:val="24"/>
          <w:szCs w:val="24"/>
        </w:rPr>
        <w:t>Seizure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(8), 612–615. </w:t>
      </w:r>
      <w:hyperlink r:id="rId1256" w:history="1">
        <w:r w:rsidRPr="005B38F0">
          <w:rPr>
            <w:rFonts w:ascii="Times New Roman" w:eastAsia="Times New Roman" w:hAnsi="Times New Roman" w:cs="Times New Roman"/>
            <w:color w:val="0000FF"/>
            <w:sz w:val="24"/>
            <w:szCs w:val="24"/>
            <w:u w:val="single"/>
          </w:rPr>
          <w:t>https://doi.org/10.1016/j.seizure.2011.06.002</w:t>
        </w:r>
      </w:hyperlink>
    </w:p>
    <w:p w14:paraId="656903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Cukiert, A., Burattini, J. A., Mariani, P. P., Cukiert, C. M., Argentoni, M., Baise-Zung, C., Forster, C. R., &amp; Mello, V. A. (2010). Outcome after cortico-amygdalo-hippocampectomy in patients with temporal lobe epilepsy and normal MRI. </w:t>
      </w:r>
      <w:r w:rsidRPr="005B38F0">
        <w:rPr>
          <w:rFonts w:ascii="Times New Roman" w:eastAsia="Times New Roman" w:hAnsi="Times New Roman" w:cs="Times New Roman"/>
          <w:i/>
          <w:iCs/>
          <w:sz w:val="24"/>
          <w:szCs w:val="24"/>
        </w:rPr>
        <w:t>Seizure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319–323. </w:t>
      </w:r>
      <w:hyperlink r:id="rId1257" w:history="1">
        <w:r w:rsidRPr="005B38F0">
          <w:rPr>
            <w:rFonts w:ascii="Times New Roman" w:eastAsia="Times New Roman" w:hAnsi="Times New Roman" w:cs="Times New Roman"/>
            <w:color w:val="0000FF"/>
            <w:sz w:val="24"/>
            <w:szCs w:val="24"/>
            <w:u w:val="single"/>
          </w:rPr>
          <w:t>https://doi.org/10.1016/j.seizure.2010.04.012</w:t>
        </w:r>
      </w:hyperlink>
    </w:p>
    <w:p w14:paraId="08A5CAE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Cukiert, A., Cukiert, C. M., Argentoni, M., Baise-Zung, C., Forster, C. R., Mello, V. A., Burattini, J. A., &amp; Mariani, P. P. (2009). Outcome after corticoamygdalohippocampectomy in patients with refractory temporal lobe epilepsy and mesial temporal sclerosis without preoperative ictal recording. </w:t>
      </w:r>
      <w:r w:rsidRPr="005B38F0">
        <w:rPr>
          <w:rFonts w:ascii="Times New Roman" w:eastAsia="Times New Roman" w:hAnsi="Times New Roman" w:cs="Times New Roman"/>
          <w:i/>
          <w:iCs/>
          <w:sz w:val="24"/>
          <w:szCs w:val="24"/>
        </w:rPr>
        <w:t>Epilepsia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50</w:t>
      </w:r>
      <w:r w:rsidRPr="005B38F0">
        <w:rPr>
          <w:rFonts w:ascii="Times New Roman" w:eastAsia="Times New Roman" w:hAnsi="Times New Roman" w:cs="Times New Roman"/>
          <w:sz w:val="24"/>
          <w:szCs w:val="24"/>
        </w:rPr>
        <w:t xml:space="preserve">(6), 1371–1376. </w:t>
      </w:r>
      <w:hyperlink r:id="rId1258" w:history="1">
        <w:r w:rsidRPr="005B38F0">
          <w:rPr>
            <w:rFonts w:ascii="Times New Roman" w:eastAsia="Times New Roman" w:hAnsi="Times New Roman" w:cs="Times New Roman"/>
            <w:color w:val="0000FF"/>
            <w:sz w:val="24"/>
            <w:szCs w:val="24"/>
            <w:u w:val="single"/>
          </w:rPr>
          <w:t>https://doi.org/10.1111/j.1528-1167.2008.01738.x</w:t>
        </w:r>
      </w:hyperlink>
    </w:p>
    <w:p w14:paraId="5B6501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Culbertson, S. S., Huffcutt, A. I., &amp; Goebl, A. P. (2013). Introduction and empirical assessment of executive functioning as a predictor of job performance. </w:t>
      </w:r>
      <w:r w:rsidRPr="005B38F0">
        <w:rPr>
          <w:rFonts w:ascii="Times New Roman" w:eastAsia="Times New Roman" w:hAnsi="Times New Roman" w:cs="Times New Roman"/>
          <w:i/>
          <w:iCs/>
          <w:sz w:val="24"/>
          <w:szCs w:val="24"/>
        </w:rPr>
        <w:t>PsyCh Journal</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(2), 75–85. </w:t>
      </w:r>
      <w:hyperlink r:id="rId1259" w:history="1">
        <w:r w:rsidRPr="005B38F0">
          <w:rPr>
            <w:rFonts w:ascii="Times New Roman" w:eastAsia="Times New Roman" w:hAnsi="Times New Roman" w:cs="Times New Roman"/>
            <w:color w:val="0000FF"/>
            <w:sz w:val="24"/>
            <w:szCs w:val="24"/>
            <w:u w:val="single"/>
          </w:rPr>
          <w:t>https://doi.org/10.1002/pchj.20</w:t>
        </w:r>
      </w:hyperlink>
    </w:p>
    <w:p w14:paraId="4CF50E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Cullen, B., Coen, R. F., Lynch, C. A., Cunningham, C. J., Coakley, D., Robertson, I. H., &amp; Lawlor, B. A. (2005). Repetitive behaviour in Alzheimer’s disease: Description, correlates and functions. </w:t>
      </w:r>
      <w:r w:rsidRPr="005B38F0">
        <w:rPr>
          <w:rFonts w:ascii="Times New Roman" w:eastAsia="Times New Roman" w:hAnsi="Times New Roman" w:cs="Times New Roman"/>
          <w:i/>
          <w:iCs/>
          <w:sz w:val="24"/>
          <w:szCs w:val="24"/>
        </w:rPr>
        <w:t>International Journal of Geriatric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(7), 686–693. </w:t>
      </w:r>
      <w:hyperlink r:id="rId1260" w:history="1">
        <w:r w:rsidRPr="005B38F0">
          <w:rPr>
            <w:rFonts w:ascii="Times New Roman" w:eastAsia="Times New Roman" w:hAnsi="Times New Roman" w:cs="Times New Roman"/>
            <w:color w:val="0000FF"/>
            <w:sz w:val="24"/>
            <w:szCs w:val="24"/>
            <w:u w:val="single"/>
          </w:rPr>
          <w:t>https://doi.org/10.1002/gps.1344</w:t>
        </w:r>
      </w:hyperlink>
    </w:p>
    <w:p w14:paraId="703A95D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Cullum, C. M. (2013). Neuropsychological assessment. In </w:t>
      </w:r>
      <w:r w:rsidRPr="005B38F0">
        <w:rPr>
          <w:rFonts w:ascii="Times New Roman" w:eastAsia="Times New Roman" w:hAnsi="Times New Roman" w:cs="Times New Roman"/>
          <w:i/>
          <w:iCs/>
          <w:sz w:val="24"/>
          <w:szCs w:val="24"/>
        </w:rPr>
        <w:t>Behavioral neurology and neuropsychiatry.</w:t>
      </w:r>
      <w:r w:rsidRPr="005B38F0">
        <w:rPr>
          <w:rFonts w:ascii="Times New Roman" w:eastAsia="Times New Roman" w:hAnsi="Times New Roman" w:cs="Times New Roman"/>
          <w:sz w:val="24"/>
          <w:szCs w:val="24"/>
        </w:rPr>
        <w:t xml:space="preserve"> (pp. 394–405). Cambridge University Press. </w:t>
      </w:r>
      <w:hyperlink r:id="rId1261" w:history="1">
        <w:r w:rsidRPr="005B38F0">
          <w:rPr>
            <w:rFonts w:ascii="Times New Roman" w:eastAsia="Times New Roman" w:hAnsi="Times New Roman" w:cs="Times New Roman"/>
            <w:color w:val="0000FF"/>
            <w:sz w:val="24"/>
            <w:szCs w:val="24"/>
            <w:u w:val="single"/>
          </w:rPr>
          <w:t>https://doi.org/10.1017/CBO9781139016919.026</w:t>
        </w:r>
      </w:hyperlink>
    </w:p>
    <w:p w14:paraId="129393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Cullum, C. M., &amp; Lacritz, L. H. (2012). Neuropsychological assessment. In </w:t>
      </w:r>
      <w:r w:rsidRPr="005B38F0">
        <w:rPr>
          <w:rFonts w:ascii="Times New Roman" w:eastAsia="Times New Roman" w:hAnsi="Times New Roman" w:cs="Times New Roman"/>
          <w:i/>
          <w:iCs/>
          <w:sz w:val="24"/>
          <w:szCs w:val="24"/>
        </w:rPr>
        <w:t>Clinical manual of Alzheimer disease and other dementias.</w:t>
      </w:r>
      <w:r w:rsidRPr="005B38F0">
        <w:rPr>
          <w:rFonts w:ascii="Times New Roman" w:eastAsia="Times New Roman" w:hAnsi="Times New Roman" w:cs="Times New Roman"/>
          <w:sz w:val="24"/>
          <w:szCs w:val="24"/>
        </w:rPr>
        <w:t xml:space="preserve"> (pp. 65–88). American Psychiatric Publishing, Inc.</w:t>
      </w:r>
    </w:p>
    <w:p w14:paraId="427B59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Cumming, T. B., Tyedin, K., Churilov, L., Morris, M. E., &amp; Bernhardt, J. (2012). The effect of physical activity on cognitive function after stroke: A systematic review. </w:t>
      </w:r>
      <w:r w:rsidRPr="005B38F0">
        <w:rPr>
          <w:rFonts w:ascii="Times New Roman" w:eastAsia="Times New Roman" w:hAnsi="Times New Roman" w:cs="Times New Roman"/>
          <w:i/>
          <w:iCs/>
          <w:sz w:val="24"/>
          <w:szCs w:val="24"/>
        </w:rPr>
        <w:t>International Psychogeriatrics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(4), 557–567. </w:t>
      </w:r>
      <w:hyperlink r:id="rId1262" w:history="1">
        <w:r w:rsidRPr="005B38F0">
          <w:rPr>
            <w:rFonts w:ascii="Times New Roman" w:eastAsia="Times New Roman" w:hAnsi="Times New Roman" w:cs="Times New Roman"/>
            <w:color w:val="0000FF"/>
            <w:sz w:val="24"/>
            <w:szCs w:val="24"/>
            <w:u w:val="single"/>
          </w:rPr>
          <w:t>https://doi.org/10.1017/S1041610211001980</w:t>
        </w:r>
      </w:hyperlink>
    </w:p>
    <w:p w14:paraId="11335E9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Cummings, L. (2014). </w:t>
      </w:r>
      <w:r w:rsidRPr="005B38F0">
        <w:rPr>
          <w:rFonts w:ascii="Times New Roman" w:eastAsia="Times New Roman" w:hAnsi="Times New Roman" w:cs="Times New Roman"/>
          <w:i/>
          <w:iCs/>
          <w:sz w:val="24"/>
          <w:szCs w:val="24"/>
        </w:rPr>
        <w:t>Pragmatic disorders.</w:t>
      </w:r>
      <w:r w:rsidRPr="005B38F0">
        <w:rPr>
          <w:rFonts w:ascii="Times New Roman" w:eastAsia="Times New Roman" w:hAnsi="Times New Roman" w:cs="Times New Roman"/>
          <w:sz w:val="24"/>
          <w:szCs w:val="24"/>
        </w:rPr>
        <w:t xml:space="preserve"> (pp. xiii, 255). Springer Science + Business Media. </w:t>
      </w:r>
      <w:hyperlink r:id="rId1263" w:history="1">
        <w:r w:rsidRPr="005B38F0">
          <w:rPr>
            <w:rFonts w:ascii="Times New Roman" w:eastAsia="Times New Roman" w:hAnsi="Times New Roman" w:cs="Times New Roman"/>
            <w:color w:val="0000FF"/>
            <w:sz w:val="24"/>
            <w:szCs w:val="24"/>
            <w:u w:val="single"/>
          </w:rPr>
          <w:t>https://doi.org/10.1007/978-94-007-7954-9</w:t>
        </w:r>
      </w:hyperlink>
    </w:p>
    <w:p w14:paraId="7AC058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Bechara, A., de Andrade, A. G., &amp; Nicastri, S. (2011). Decision‐making deficits linked to real‐life social dysfunction in crack cocaine‐dependent individuals. </w:t>
      </w:r>
      <w:r w:rsidRPr="005B38F0">
        <w:rPr>
          <w:rFonts w:ascii="Times New Roman" w:eastAsia="Times New Roman" w:hAnsi="Times New Roman" w:cs="Times New Roman"/>
          <w:i/>
          <w:iCs/>
          <w:sz w:val="24"/>
          <w:szCs w:val="24"/>
        </w:rPr>
        <w:t>The American Journal on Addictions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(1), 78–86. </w:t>
      </w:r>
      <w:hyperlink r:id="rId1264" w:history="1">
        <w:r w:rsidRPr="005B38F0">
          <w:rPr>
            <w:rFonts w:ascii="Times New Roman" w:eastAsia="Times New Roman" w:hAnsi="Times New Roman" w:cs="Times New Roman"/>
            <w:color w:val="0000FF"/>
            <w:sz w:val="24"/>
            <w:szCs w:val="24"/>
            <w:u w:val="single"/>
          </w:rPr>
          <w:t>https://doi.org/10.1111/j.1521-0391.2010.00097.x</w:t>
        </w:r>
      </w:hyperlink>
    </w:p>
    <w:p w14:paraId="40031B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Gonçalves, P. D., Ometto, M., dos Santos, B., Nicastri, S., Busatto, G. F., &amp; de Andrade, A. G. (2013). Executive cognitive dysfunction and ADHD in cocaine dependence: Searching for a common cognitive endophenotype for addictive disorders.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 </w:t>
      </w:r>
      <w:hyperlink r:id="rId1265" w:history="1">
        <w:r w:rsidRPr="005B38F0">
          <w:rPr>
            <w:rFonts w:ascii="Times New Roman" w:eastAsia="Times New Roman" w:hAnsi="Times New Roman" w:cs="Times New Roman"/>
            <w:color w:val="0000FF"/>
            <w:sz w:val="24"/>
            <w:szCs w:val="24"/>
            <w:u w:val="single"/>
          </w:rPr>
          <w:t>https://doi.org/10.3389/fpsyt.2013.00126</w:t>
        </w:r>
      </w:hyperlink>
    </w:p>
    <w:p w14:paraId="5243BC9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Nicastri, S., de Andrade, A. G., &amp; Bolla, K. I. (2010). The Frontal Assessment Battery (FAB) reveals neurocognitive dysfunction in substance-dependent individuals in </w:t>
      </w:r>
      <w:r w:rsidRPr="005B38F0">
        <w:rPr>
          <w:rFonts w:ascii="Times New Roman" w:eastAsia="Times New Roman" w:hAnsi="Times New Roman" w:cs="Times New Roman"/>
          <w:sz w:val="24"/>
          <w:szCs w:val="24"/>
        </w:rPr>
        <w:lastRenderedPageBreak/>
        <w:t xml:space="preserve">distinct executive domains: Abstract reasoning, motor programming, and cognitive flexibility. </w:t>
      </w:r>
      <w:r w:rsidRPr="005B38F0">
        <w:rPr>
          <w:rFonts w:ascii="Times New Roman" w:eastAsia="Times New Roman" w:hAnsi="Times New Roman" w:cs="Times New Roman"/>
          <w:i/>
          <w:iCs/>
          <w:sz w:val="24"/>
          <w:szCs w:val="24"/>
        </w:rPr>
        <w:t>Addictive Behaviors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(10), 875–881. </w:t>
      </w:r>
      <w:hyperlink r:id="rId1266" w:history="1">
        <w:r w:rsidRPr="005B38F0">
          <w:rPr>
            <w:rFonts w:ascii="Times New Roman" w:eastAsia="Times New Roman" w:hAnsi="Times New Roman" w:cs="Times New Roman"/>
            <w:color w:val="0000FF"/>
            <w:sz w:val="24"/>
            <w:szCs w:val="24"/>
            <w:u w:val="single"/>
          </w:rPr>
          <w:t>https://doi.org/10.1016/j.addbeh.2010.05.005</w:t>
        </w:r>
      </w:hyperlink>
    </w:p>
    <w:p w14:paraId="0BA7EA8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Cunha, P. J., Nicastri, S., Gomes, L. P., Moino, R. M., &amp; Peluso, M. A. (2004). Alterações neuropsicológicas em dependentes de cocaína/crack internados: Dados preliminares. [Neuropsychological impairments in crack cocaine-dependent inpatients: Preliminary findings.].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103–106. </w:t>
      </w:r>
      <w:hyperlink r:id="rId1267" w:history="1">
        <w:r w:rsidRPr="005B38F0">
          <w:rPr>
            <w:rFonts w:ascii="Times New Roman" w:eastAsia="Times New Roman" w:hAnsi="Times New Roman" w:cs="Times New Roman"/>
            <w:color w:val="0000FF"/>
            <w:sz w:val="24"/>
            <w:szCs w:val="24"/>
            <w:u w:val="single"/>
          </w:rPr>
          <w:t>https://doi.org/10.1590/S1516-44462004000200007</w:t>
        </w:r>
      </w:hyperlink>
    </w:p>
    <w:p w14:paraId="43DD949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Cunningham, A. C., Delport, S., Cumines, W., Busse, M., Linden, D. E. J., Hall, J., Owen, M. J., &amp; van den Bree, M. B. M. (2018). Developmental coordination disorder, psychopathology and IQ in 22q11.2 deletion syndrome. </w:t>
      </w:r>
      <w:r w:rsidRPr="005B38F0">
        <w:rPr>
          <w:rFonts w:ascii="Times New Roman" w:eastAsia="Times New Roman" w:hAnsi="Times New Roman" w:cs="Times New Roman"/>
          <w:i/>
          <w:iCs/>
          <w:sz w:val="24"/>
          <w:szCs w:val="24"/>
        </w:rPr>
        <w:t>The British Journal of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212</w:t>
      </w:r>
      <w:r w:rsidRPr="005B38F0">
        <w:rPr>
          <w:rFonts w:ascii="Times New Roman" w:eastAsia="Times New Roman" w:hAnsi="Times New Roman" w:cs="Times New Roman"/>
          <w:sz w:val="24"/>
          <w:szCs w:val="24"/>
        </w:rPr>
        <w:t xml:space="preserve">(1), 27–33. </w:t>
      </w:r>
      <w:hyperlink r:id="rId1268" w:history="1">
        <w:r w:rsidRPr="005B38F0">
          <w:rPr>
            <w:rFonts w:ascii="Times New Roman" w:eastAsia="Times New Roman" w:hAnsi="Times New Roman" w:cs="Times New Roman"/>
            <w:color w:val="0000FF"/>
            <w:sz w:val="24"/>
            <w:szCs w:val="24"/>
            <w:u w:val="single"/>
          </w:rPr>
          <w:t>https://doi.org/10.1192/bjp.2017.6</w:t>
        </w:r>
      </w:hyperlink>
    </w:p>
    <w:p w14:paraId="269B14C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Curci, A., &amp; Rampino, A. (2020). Grey matter heterotopia and criminal responsibility in a case of personal injury defense.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 </w:t>
      </w:r>
      <w:hyperlink r:id="rId1269" w:history="1">
        <w:r w:rsidRPr="005B38F0">
          <w:rPr>
            <w:rFonts w:ascii="Times New Roman" w:eastAsia="Times New Roman" w:hAnsi="Times New Roman" w:cs="Times New Roman"/>
            <w:color w:val="0000FF"/>
            <w:sz w:val="24"/>
            <w:szCs w:val="24"/>
            <w:u w:val="single"/>
          </w:rPr>
          <w:t>https://doi.org/10.3389/fpsyt.2020.00261</w:t>
        </w:r>
      </w:hyperlink>
    </w:p>
    <w:p w14:paraId="267872D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Curiel, R. E., Raffo, A., &amp; Loewenstein, D. A. (2019). Assessment of Alzheimer’s disease. </w:t>
      </w:r>
      <w:r w:rsidRPr="005B38F0">
        <w:rPr>
          <w:rFonts w:ascii="Times New Roman" w:eastAsia="Times New Roman" w:hAnsi="Times New Roman" w:cs="Times New Roman"/>
          <w:i/>
          <w:iCs/>
          <w:sz w:val="24"/>
          <w:szCs w:val="24"/>
        </w:rPr>
        <w:t>Handbook on the Neuropsychology of Aging and Dementia, 2nd Ed.</w:t>
      </w:r>
      <w:r w:rsidRPr="005B38F0">
        <w:rPr>
          <w:rFonts w:ascii="Times New Roman" w:eastAsia="Times New Roman" w:hAnsi="Times New Roman" w:cs="Times New Roman"/>
          <w:sz w:val="24"/>
          <w:szCs w:val="24"/>
        </w:rPr>
        <w:t xml:space="preserve">, 465–478. </w:t>
      </w:r>
      <w:hyperlink r:id="rId1270" w:history="1">
        <w:r w:rsidRPr="005B38F0">
          <w:rPr>
            <w:rFonts w:ascii="Times New Roman" w:eastAsia="Times New Roman" w:hAnsi="Times New Roman" w:cs="Times New Roman"/>
            <w:color w:val="0000FF"/>
            <w:sz w:val="24"/>
            <w:szCs w:val="24"/>
            <w:u w:val="single"/>
          </w:rPr>
          <w:t>https://doi.org/10.1007/978-3-319-93497-6_29</w:t>
        </w:r>
      </w:hyperlink>
    </w:p>
    <w:p w14:paraId="75DAF24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Curtis, K. L., Greve, K. W., Bianchini, K. J., &amp; Brennan, A. (2006). California Verbal Learning Test Indicators of Malingered Neurocognitive Dysfunction: Sensitivity and Specificity in Traumatic Brain Injury. </w:t>
      </w:r>
      <w:r w:rsidRPr="005B38F0">
        <w:rPr>
          <w:rFonts w:ascii="Times New Roman" w:eastAsia="Times New Roman" w:hAnsi="Times New Roman" w:cs="Times New Roman"/>
          <w:i/>
          <w:iCs/>
          <w:sz w:val="24"/>
          <w:szCs w:val="24"/>
        </w:rPr>
        <w:t>Assessment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(1), 46–61. </w:t>
      </w:r>
      <w:hyperlink r:id="rId1271" w:history="1">
        <w:r w:rsidRPr="005B38F0">
          <w:rPr>
            <w:rFonts w:ascii="Times New Roman" w:eastAsia="Times New Roman" w:hAnsi="Times New Roman" w:cs="Times New Roman"/>
            <w:color w:val="0000FF"/>
            <w:sz w:val="24"/>
            <w:szCs w:val="24"/>
            <w:u w:val="single"/>
          </w:rPr>
          <w:t>https://doi.org/10.1177/1073191105285210</w:t>
        </w:r>
      </w:hyperlink>
    </w:p>
    <w:p w14:paraId="6B8C986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Curtis, K. L., Greve, K. W., Brasseux, R., &amp; Bianchini, K. J. (2010). Criterion groups validation of the Seashore Rhythm Test and Speech Sounds Perception Test for the detection of malingering in traumatic brain injury.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(5), 882–897. </w:t>
      </w:r>
      <w:hyperlink r:id="rId1272" w:history="1">
        <w:r w:rsidRPr="005B38F0">
          <w:rPr>
            <w:rFonts w:ascii="Times New Roman" w:eastAsia="Times New Roman" w:hAnsi="Times New Roman" w:cs="Times New Roman"/>
            <w:color w:val="0000FF"/>
            <w:sz w:val="24"/>
            <w:szCs w:val="24"/>
            <w:u w:val="single"/>
          </w:rPr>
          <w:t>https://doi.org/10.1080/13854041003762113</w:t>
        </w:r>
      </w:hyperlink>
    </w:p>
    <w:p w14:paraId="0BBEA9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Curtis, K. L., Thompson, L. K., Greve, K. W., &amp; Bianchini, K. J. (2008). Verbal fluency indicators of malingering in traumatic brain injury: Classification accuracy in known groups.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(5), 930–945. </w:t>
      </w:r>
      <w:hyperlink r:id="rId1273" w:history="1">
        <w:r w:rsidRPr="005B38F0">
          <w:rPr>
            <w:rFonts w:ascii="Times New Roman" w:eastAsia="Times New Roman" w:hAnsi="Times New Roman" w:cs="Times New Roman"/>
            <w:color w:val="0000FF"/>
            <w:sz w:val="24"/>
            <w:szCs w:val="24"/>
            <w:u w:val="single"/>
          </w:rPr>
          <w:t>https://doi.org/10.1080/13854040701563591</w:t>
        </w:r>
      </w:hyperlink>
    </w:p>
    <w:p w14:paraId="2C72477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Cusimano, M. D., Rewilak, D., Stuss, D. T., Barrera-Martinez, J. C., Salehi, F., &amp; Freedman, M. (2011). Normal-pressure hydrocephalus: Is there a genetic predisposition? </w:t>
      </w:r>
      <w:r w:rsidRPr="005B38F0">
        <w:rPr>
          <w:rFonts w:ascii="Times New Roman" w:eastAsia="Times New Roman" w:hAnsi="Times New Roman" w:cs="Times New Roman"/>
          <w:i/>
          <w:iCs/>
          <w:sz w:val="24"/>
          <w:szCs w:val="24"/>
        </w:rPr>
        <w:t>The Canadian Journal of Neurological Sciences / Le Journal Canadien Des Sciences Neurologiques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(2), 274–281. </w:t>
      </w:r>
      <w:hyperlink r:id="rId1274" w:history="1">
        <w:r w:rsidRPr="005B38F0">
          <w:rPr>
            <w:rFonts w:ascii="Times New Roman" w:eastAsia="Times New Roman" w:hAnsi="Times New Roman" w:cs="Times New Roman"/>
            <w:color w:val="0000FF"/>
            <w:sz w:val="24"/>
            <w:szCs w:val="24"/>
            <w:u w:val="single"/>
          </w:rPr>
          <w:t>https://doi.org/10.1017/S031716710001146X</w:t>
        </w:r>
      </w:hyperlink>
    </w:p>
    <w:p w14:paraId="372B8AA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Custodio, N., Lira, D., Herrera-Perez, E., Montesinos, R., Castro-Suarez, S., Cuenca-Alfaro, J., &amp; Valeriano-Lorenzo, L. (2017). Memory alteration test to detect amnestic mild cognitive impairment and early Alzheimer’s dementia in population with low educational level.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 </w:t>
      </w:r>
      <w:hyperlink r:id="rId1275" w:history="1">
        <w:r w:rsidRPr="005B38F0">
          <w:rPr>
            <w:rFonts w:ascii="Times New Roman" w:eastAsia="Times New Roman" w:hAnsi="Times New Roman" w:cs="Times New Roman"/>
            <w:color w:val="0000FF"/>
            <w:sz w:val="24"/>
            <w:szCs w:val="24"/>
            <w:u w:val="single"/>
          </w:rPr>
          <w:t>https://doi.org/10.3389/fnagi.2017.00278</w:t>
        </w:r>
      </w:hyperlink>
    </w:p>
    <w:p w14:paraId="1C73D36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Custodio, N., Montesinos, R., Lira, D., Herrera-Perez, E., Bardales, Y., &amp; Valeriano-Lorenzo, L. (2017). Evolution of short cognitive test performance in stroke patients with vascular cognitive impairment and vascular dementia: Baseline evaluation and follow-up.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(4), 381–388. </w:t>
      </w:r>
      <w:hyperlink r:id="rId1276" w:history="1">
        <w:r w:rsidRPr="005B38F0">
          <w:rPr>
            <w:rFonts w:ascii="Times New Roman" w:eastAsia="Times New Roman" w:hAnsi="Times New Roman" w:cs="Times New Roman"/>
            <w:color w:val="0000FF"/>
            <w:sz w:val="24"/>
            <w:szCs w:val="24"/>
            <w:u w:val="single"/>
          </w:rPr>
          <w:t>https://doi.org/10.1590/1980-57642016dn11-040007</w:t>
        </w:r>
      </w:hyperlink>
    </w:p>
    <w:p w14:paraId="22821E5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Custodio, N., Montesinos, R., Lira, D., Herrera-Perez, E., Chavez, K., Hernandez-Córdova, G., Cuenca, J., Gamboa, C., &amp; Metcalf, T. (2019). Validation of the RUDAS in patients with a </w:t>
      </w:r>
      <w:r w:rsidRPr="005B38F0">
        <w:rPr>
          <w:rFonts w:ascii="Times New Roman" w:eastAsia="Times New Roman" w:hAnsi="Times New Roman" w:cs="Times New Roman"/>
          <w:sz w:val="24"/>
          <w:szCs w:val="24"/>
        </w:rPr>
        <w:lastRenderedPageBreak/>
        <w:t xml:space="preserve">middle-level education in Lima, Peru. </w:t>
      </w:r>
      <w:r w:rsidRPr="005B38F0">
        <w:rPr>
          <w:rFonts w:ascii="Times New Roman" w:eastAsia="Times New Roman" w:hAnsi="Times New Roman" w:cs="Times New Roman"/>
          <w:i/>
          <w:iCs/>
          <w:sz w:val="24"/>
          <w:szCs w:val="24"/>
        </w:rPr>
        <w:t>American Journal of Alzheimer’s Disease and Other Dementias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(7–8), 513–522. </w:t>
      </w:r>
      <w:hyperlink r:id="rId1277" w:history="1">
        <w:r w:rsidRPr="005B38F0">
          <w:rPr>
            <w:rFonts w:ascii="Times New Roman" w:eastAsia="Times New Roman" w:hAnsi="Times New Roman" w:cs="Times New Roman"/>
            <w:color w:val="0000FF"/>
            <w:sz w:val="24"/>
            <w:szCs w:val="24"/>
            <w:u w:val="single"/>
          </w:rPr>
          <w:t>https://doi.org/10.1177/1533317519869709</w:t>
        </w:r>
      </w:hyperlink>
    </w:p>
    <w:p w14:paraId="74D2B6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Cutler-Landsman, D., Simon, T. J., &amp; Kates, W. (2013). Introduction to education and the neurocognitive profile. In </w:t>
      </w:r>
      <w:r w:rsidRPr="005B38F0">
        <w:rPr>
          <w:rFonts w:ascii="Times New Roman" w:eastAsia="Times New Roman" w:hAnsi="Times New Roman" w:cs="Times New Roman"/>
          <w:i/>
          <w:iCs/>
          <w:sz w:val="24"/>
          <w:szCs w:val="24"/>
        </w:rPr>
        <w:t>Educating children with velo-cardio-facial syndrome (also known as 22q11.2 deletion syndrome and DiGeorge syndrome), 2nd ed.</w:t>
      </w:r>
      <w:r w:rsidRPr="005B38F0">
        <w:rPr>
          <w:rFonts w:ascii="Times New Roman" w:eastAsia="Times New Roman" w:hAnsi="Times New Roman" w:cs="Times New Roman"/>
          <w:sz w:val="24"/>
          <w:szCs w:val="24"/>
        </w:rPr>
        <w:t xml:space="preserve"> (pp. 17–47). Plural Publishing.</w:t>
      </w:r>
    </w:p>
    <w:p w14:paraId="52A14D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Cwojdzińska, A., Markowska-Regulska, K., &amp; Rybakowski, F. (2009). Terapia usprawniania poznawczego w młodzieńczym jadłowstręcie psychicznym—Opis przypadku. [Cognitive remediation therapy in adolescent anorexia nervosa—Case report.]. </w:t>
      </w:r>
      <w:r w:rsidRPr="005B38F0">
        <w:rPr>
          <w:rFonts w:ascii="Times New Roman" w:eastAsia="Times New Roman" w:hAnsi="Times New Roman" w:cs="Times New Roman"/>
          <w:i/>
          <w:iCs/>
          <w:sz w:val="24"/>
          <w:szCs w:val="24"/>
        </w:rPr>
        <w:t>Psychiatria Polska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43</w:t>
      </w:r>
      <w:r w:rsidRPr="005B38F0">
        <w:rPr>
          <w:rFonts w:ascii="Times New Roman" w:eastAsia="Times New Roman" w:hAnsi="Times New Roman" w:cs="Times New Roman"/>
          <w:sz w:val="24"/>
          <w:szCs w:val="24"/>
        </w:rPr>
        <w:t>(1), 115–124.</w:t>
      </w:r>
    </w:p>
    <w:p w14:paraId="112529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Cyarto, E. V., Lautenschlager, N. T., Desmond, P. M., Ames, D., Szoeke, C., Salvado, O., Sharman, M. J., Ellis, K. A., Phal, P. M., Masters, C. L., Rowe, C. C., Martins, R. N., &amp; Cox, K. L. (2012). Protocol for a randomized controlled trial evaluating the effect of physical activity on delaying the progression of white matter changes on MRI in older adults with memory complaints and mild cognitive impairment: The AIBL Active trial.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w:t>
      </w:r>
    </w:p>
    <w:p w14:paraId="59B9668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Cysique, L. A., Franklin Jr., D., Abramson, I., Ellis, R. J., Letendre, S., Collier, A., Clifford, D., Gelman, B., McArthur, J., Morgello, S., Simpson, D., McCutchan, J. A., Grant, I., &amp; Heaton, R. K. (2011). Normative data and validation of a regression based summary score for assessing meaningful neuropsychological change.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(5), 505–522. </w:t>
      </w:r>
      <w:hyperlink r:id="rId1278" w:history="1">
        <w:r w:rsidRPr="005B38F0">
          <w:rPr>
            <w:rFonts w:ascii="Times New Roman" w:eastAsia="Times New Roman" w:hAnsi="Times New Roman" w:cs="Times New Roman"/>
            <w:color w:val="0000FF"/>
            <w:sz w:val="24"/>
            <w:szCs w:val="24"/>
            <w:u w:val="single"/>
          </w:rPr>
          <w:t>https://doi.org/10.1080/13803395.2010.535504</w:t>
        </w:r>
      </w:hyperlink>
    </w:p>
    <w:p w14:paraId="389E95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Czapka, S., &amp; Festman, J. (2021). Wisconsin Card Sorting Test reveals a monitoring advantage but not a switching advantage in multilingual children. </w:t>
      </w:r>
      <w:r w:rsidRPr="005B38F0">
        <w:rPr>
          <w:rFonts w:ascii="Times New Roman" w:eastAsia="Times New Roman" w:hAnsi="Times New Roman" w:cs="Times New Roman"/>
          <w:i/>
          <w:iCs/>
          <w:sz w:val="24"/>
          <w:szCs w:val="24"/>
        </w:rPr>
        <w:t>Journal of Experimental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204</w:t>
      </w:r>
      <w:r w:rsidRPr="005B38F0">
        <w:rPr>
          <w:rFonts w:ascii="Times New Roman" w:eastAsia="Times New Roman" w:hAnsi="Times New Roman" w:cs="Times New Roman"/>
          <w:sz w:val="24"/>
          <w:szCs w:val="24"/>
        </w:rPr>
        <w:t xml:space="preserve">. </w:t>
      </w:r>
      <w:hyperlink r:id="rId1279" w:history="1">
        <w:r w:rsidRPr="005B38F0">
          <w:rPr>
            <w:rFonts w:ascii="Times New Roman" w:eastAsia="Times New Roman" w:hAnsi="Times New Roman" w:cs="Times New Roman"/>
            <w:color w:val="0000FF"/>
            <w:sz w:val="24"/>
            <w:szCs w:val="24"/>
            <w:u w:val="single"/>
          </w:rPr>
          <w:t>https://doi.org/10.1016/j.jecp.2020.105038</w:t>
        </w:r>
      </w:hyperlink>
    </w:p>
    <w:p w14:paraId="36DCBDA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Czapka, S., Klassert, A., &amp; Festman, J. (2019). Executive functions and language: Their differential influence on mono- vs. Multilingual spelling in primary school.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 </w:t>
      </w:r>
      <w:hyperlink r:id="rId1280" w:history="1">
        <w:r w:rsidRPr="005B38F0">
          <w:rPr>
            <w:rFonts w:ascii="Times New Roman" w:eastAsia="Times New Roman" w:hAnsi="Times New Roman" w:cs="Times New Roman"/>
            <w:color w:val="0000FF"/>
            <w:sz w:val="24"/>
            <w:szCs w:val="24"/>
            <w:u w:val="single"/>
          </w:rPr>
          <w:t>https://doi.org/10.3389/fpsyg.2019.00097</w:t>
        </w:r>
      </w:hyperlink>
    </w:p>
    <w:p w14:paraId="4D65AC8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Czermak, C., Wallner, S. J., Kresse, A., Schauer, S., Aigner, R., Hoefler, G., Lehofer, M., &amp; Liebmann, P. M. (2009). Baseline plasma epinephrine levels predict Wisconsin Card Sorting Test scores in healthy volunteers. </w:t>
      </w:r>
      <w:r w:rsidRPr="005B38F0">
        <w:rPr>
          <w:rFonts w:ascii="Times New Roman" w:eastAsia="Times New Roman" w:hAnsi="Times New Roman" w:cs="Times New Roman"/>
          <w:i/>
          <w:iCs/>
          <w:sz w:val="24"/>
          <w:szCs w:val="24"/>
        </w:rPr>
        <w:t>Psychoneuroendocrinology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34</w:t>
      </w:r>
      <w:r w:rsidRPr="005B38F0">
        <w:rPr>
          <w:rFonts w:ascii="Times New Roman" w:eastAsia="Times New Roman" w:hAnsi="Times New Roman" w:cs="Times New Roman"/>
          <w:sz w:val="24"/>
          <w:szCs w:val="24"/>
        </w:rPr>
        <w:t xml:space="preserve">(4), 625–628. </w:t>
      </w:r>
      <w:hyperlink r:id="rId1281" w:history="1">
        <w:r w:rsidRPr="005B38F0">
          <w:rPr>
            <w:rFonts w:ascii="Times New Roman" w:eastAsia="Times New Roman" w:hAnsi="Times New Roman" w:cs="Times New Roman"/>
            <w:color w:val="0000FF"/>
            <w:sz w:val="24"/>
            <w:szCs w:val="24"/>
            <w:u w:val="single"/>
          </w:rPr>
          <w:t>https://doi.org/10.1016/j.psyneuen.2008.10.015</w:t>
        </w:r>
      </w:hyperlink>
    </w:p>
    <w:p w14:paraId="50989B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Czerniak, S. M., Sikoglu, E. M., Liso Navarro, A. A., McCafferty, J., Eisenstock, J., Stevenson, J. H., King, J. A., &amp; Moore, C. M. (2015). A resting state functional magnetic resonance imaging study of concussion in collegiate athletes. </w:t>
      </w:r>
      <w:r w:rsidRPr="005B38F0">
        <w:rPr>
          <w:rFonts w:ascii="Times New Roman" w:eastAsia="Times New Roman" w:hAnsi="Times New Roman" w:cs="Times New Roman"/>
          <w:i/>
          <w:iCs/>
          <w:sz w:val="24"/>
          <w:szCs w:val="24"/>
        </w:rPr>
        <w:t>Brain Imaging and Behavior</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(2), 323–332. </w:t>
      </w:r>
      <w:hyperlink r:id="rId1282" w:history="1">
        <w:r w:rsidRPr="005B38F0">
          <w:rPr>
            <w:rFonts w:ascii="Times New Roman" w:eastAsia="Times New Roman" w:hAnsi="Times New Roman" w:cs="Times New Roman"/>
            <w:color w:val="0000FF"/>
            <w:sz w:val="24"/>
            <w:szCs w:val="24"/>
            <w:u w:val="single"/>
          </w:rPr>
          <w:t>https://doi.org/10.1007/s11682-014-9312-1</w:t>
        </w:r>
      </w:hyperlink>
    </w:p>
    <w:p w14:paraId="09960D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Czobor, P., Jaeger, J., Berns, S. M., Gonzalez, C., &amp; Loftus, S. (2007). Neuropsychological symptom dimensions in bipolar disorder and schizophrenia. </w:t>
      </w:r>
      <w:r w:rsidRPr="005B38F0">
        <w:rPr>
          <w:rFonts w:ascii="Times New Roman" w:eastAsia="Times New Roman" w:hAnsi="Times New Roman" w:cs="Times New Roman"/>
          <w:i/>
          <w:iCs/>
          <w:sz w:val="24"/>
          <w:szCs w:val="24"/>
        </w:rPr>
        <w:t>Bipolar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(1–2), 71–92. </w:t>
      </w:r>
      <w:hyperlink r:id="rId1283" w:history="1">
        <w:r w:rsidRPr="005B38F0">
          <w:rPr>
            <w:rFonts w:ascii="Times New Roman" w:eastAsia="Times New Roman" w:hAnsi="Times New Roman" w:cs="Times New Roman"/>
            <w:color w:val="0000FF"/>
            <w:sz w:val="24"/>
            <w:szCs w:val="24"/>
            <w:u w:val="single"/>
          </w:rPr>
          <w:t>https://doi.org/10.1111/j.1399-5618.2007.00428.x</w:t>
        </w:r>
      </w:hyperlink>
    </w:p>
    <w:p w14:paraId="5C884EA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 Amato, T., Saoud, M., Triboulet, P., Bertaud, J.-P., &amp; Daléry, J. (1998). Vulnérabilité à la schizophrénie: I. Nature familiale des indicateurs neuropsychologiques. [Vulnerability to schizophrenia: I. Familial nature of neuropsychological indicators.]. </w:t>
      </w:r>
      <w:r w:rsidRPr="005B38F0">
        <w:rPr>
          <w:rFonts w:ascii="Times New Roman" w:eastAsia="Times New Roman" w:hAnsi="Times New Roman" w:cs="Times New Roman"/>
          <w:i/>
          <w:iCs/>
          <w:sz w:val="24"/>
          <w:szCs w:val="24"/>
        </w:rPr>
        <w:t>L’Encéphale: Revue de Psychiatrie Clinique Biologique et Thérapeutique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(5), 442–448.</w:t>
      </w:r>
    </w:p>
    <w:p w14:paraId="743F6D0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d’Amato, T., Bation, R., Cochet, A., Jalenques, I., Galland, F., Giraud-Baro, E., Pacaud-Troncin, M., Augier-Astolfi, F., Llorca, P.-M., Saoud, M., &amp; Brunelin, J. (2011). A randomized, </w:t>
      </w:r>
      <w:r w:rsidRPr="005B38F0">
        <w:rPr>
          <w:rFonts w:ascii="Times New Roman" w:eastAsia="Times New Roman" w:hAnsi="Times New Roman" w:cs="Times New Roman"/>
          <w:sz w:val="24"/>
          <w:szCs w:val="24"/>
        </w:rPr>
        <w:lastRenderedPageBreak/>
        <w:t xml:space="preserve">controlled trial of computer-assisted cognitive remediation for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125</w:t>
      </w:r>
      <w:r w:rsidRPr="005B38F0">
        <w:rPr>
          <w:rFonts w:ascii="Times New Roman" w:eastAsia="Times New Roman" w:hAnsi="Times New Roman" w:cs="Times New Roman"/>
          <w:sz w:val="24"/>
          <w:szCs w:val="24"/>
        </w:rPr>
        <w:t xml:space="preserve">(2–3), 284–290. </w:t>
      </w:r>
      <w:hyperlink r:id="rId1284" w:history="1">
        <w:r w:rsidRPr="005B38F0">
          <w:rPr>
            <w:rFonts w:ascii="Times New Roman" w:eastAsia="Times New Roman" w:hAnsi="Times New Roman" w:cs="Times New Roman"/>
            <w:color w:val="0000FF"/>
            <w:sz w:val="24"/>
            <w:szCs w:val="24"/>
            <w:u w:val="single"/>
          </w:rPr>
          <w:t>https://doi.org/10.1016/j.schres.2010.10.023</w:t>
        </w:r>
      </w:hyperlink>
    </w:p>
    <w:p w14:paraId="4045D2F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 Glória Portugal, M., Marinho, V., &amp; Laks, J. (2011). Pharmacological treatment of frontotemporal lobar degeneration: Systematic review. </w:t>
      </w:r>
      <w:r w:rsidRPr="005B38F0">
        <w:rPr>
          <w:rFonts w:ascii="Times New Roman" w:eastAsia="Times New Roman" w:hAnsi="Times New Roman" w:cs="Times New Roman"/>
          <w:i/>
          <w:iCs/>
          <w:sz w:val="24"/>
          <w:szCs w:val="24"/>
        </w:rPr>
        <w:t>Revista Brasileira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81–90. </w:t>
      </w:r>
      <w:hyperlink r:id="rId1285" w:history="1">
        <w:r w:rsidRPr="005B38F0">
          <w:rPr>
            <w:rFonts w:ascii="Times New Roman" w:eastAsia="Times New Roman" w:hAnsi="Times New Roman" w:cs="Times New Roman"/>
            <w:color w:val="0000FF"/>
            <w:sz w:val="24"/>
            <w:szCs w:val="24"/>
            <w:u w:val="single"/>
          </w:rPr>
          <w:t>https://doi.org/10.1590/S1516-44462011000100016</w:t>
        </w:r>
      </w:hyperlink>
    </w:p>
    <w:p w14:paraId="51BB6E0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Daban, C., Amado, I., Baylé, F., Gut, A., Willard, D., Bourdel, M.-C., Loo, H., Olié, J.-P., Millet, B., Krebs, M.-O., &amp; Poirier, M.-F. (2002). Correlation between clinical syndromes and neuropsychological tasks in unmedicated patients with recent onset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113</w:t>
      </w:r>
      <w:r w:rsidRPr="005B38F0">
        <w:rPr>
          <w:rFonts w:ascii="Times New Roman" w:eastAsia="Times New Roman" w:hAnsi="Times New Roman" w:cs="Times New Roman"/>
          <w:sz w:val="24"/>
          <w:szCs w:val="24"/>
        </w:rPr>
        <w:t xml:space="preserve">(1–2), 83–92. </w:t>
      </w:r>
      <w:hyperlink r:id="rId1286" w:history="1">
        <w:r w:rsidRPr="005B38F0">
          <w:rPr>
            <w:rFonts w:ascii="Times New Roman" w:eastAsia="Times New Roman" w:hAnsi="Times New Roman" w:cs="Times New Roman"/>
            <w:color w:val="0000FF"/>
            <w:sz w:val="24"/>
            <w:szCs w:val="24"/>
            <w:u w:val="single"/>
          </w:rPr>
          <w:t>https://doi.org/10.1016/S0165-1781(02)00228-7</w:t>
        </w:r>
      </w:hyperlink>
    </w:p>
    <w:p w14:paraId="1E77E42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Daban, C., Amado, I., Bourdel, M.-C., Loo, H., Olié, J.-P., Poirier, M.-F., &amp; Krebs, M.-O. (2005). Cognitive dysfunctions in medicated and unmedicated patients with recent-onset schizophrenia.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(4), 391–398. </w:t>
      </w:r>
      <w:hyperlink r:id="rId1287" w:history="1">
        <w:r w:rsidRPr="005B38F0">
          <w:rPr>
            <w:rFonts w:ascii="Times New Roman" w:eastAsia="Times New Roman" w:hAnsi="Times New Roman" w:cs="Times New Roman"/>
            <w:color w:val="0000FF"/>
            <w:sz w:val="24"/>
            <w:szCs w:val="24"/>
            <w:u w:val="single"/>
          </w:rPr>
          <w:t>https://doi.org/10.1016/j.jpsychires.2004.09.001</w:t>
        </w:r>
      </w:hyperlink>
    </w:p>
    <w:p w14:paraId="787839B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Daban, C., Martínez-Arán, A., Torrent, C., Sánchez-Moreno, J., Goikolea, J. M., Benabarre, A., Comes, M., Colom, F., &amp; Vieta, E. (2006). Cognitive functioning in bipolar patients receiving lamotrigine: Preliminary results. </w:t>
      </w:r>
      <w:r w:rsidRPr="005B38F0">
        <w:rPr>
          <w:rFonts w:ascii="Times New Roman" w:eastAsia="Times New Roman" w:hAnsi="Times New Roman" w:cs="Times New Roman"/>
          <w:i/>
          <w:iCs/>
          <w:sz w:val="24"/>
          <w:szCs w:val="24"/>
        </w:rPr>
        <w:t>Journal of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(2), 178–181. </w:t>
      </w:r>
      <w:hyperlink r:id="rId1288" w:history="1">
        <w:r w:rsidRPr="005B38F0">
          <w:rPr>
            <w:rFonts w:ascii="Times New Roman" w:eastAsia="Times New Roman" w:hAnsi="Times New Roman" w:cs="Times New Roman"/>
            <w:color w:val="0000FF"/>
            <w:sz w:val="24"/>
            <w:szCs w:val="24"/>
            <w:u w:val="single"/>
          </w:rPr>
          <w:t>https://doi.org/10.1097/01.jcp.0000204332.64390.f3</w:t>
        </w:r>
      </w:hyperlink>
    </w:p>
    <w:p w14:paraId="374B900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Dadsetan, P., Delazar, R., &amp; Alipour, A. (2010). Executive functioning in children with attention deficit/hyperactivity disorder. [Executive functioning in children with attention deficit/hyperactivity disorder.]. </w:t>
      </w:r>
      <w:r w:rsidRPr="005B38F0">
        <w:rPr>
          <w:rFonts w:ascii="Times New Roman" w:eastAsia="Times New Roman" w:hAnsi="Times New Roman" w:cs="Times New Roman"/>
          <w:i/>
          <w:iCs/>
          <w:sz w:val="24"/>
          <w:szCs w:val="24"/>
        </w:rPr>
        <w:t>Developmental Psychology: Journal of Iranian Psychologists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(25), 27–38.</w:t>
      </w:r>
    </w:p>
    <w:p w14:paraId="68E229B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D’Agata, F., Caroppo, P., Baudino, B., Caglio, M., Croce, M., Bergui, M., Tamietto, M., Mortara, P., &amp; Orsi, L. (2011). The recognition of facial emotions in spinocerebellar ataxia patients.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600–610. </w:t>
      </w:r>
      <w:hyperlink r:id="rId1289" w:history="1">
        <w:r w:rsidRPr="005B38F0">
          <w:rPr>
            <w:rFonts w:ascii="Times New Roman" w:eastAsia="Times New Roman" w:hAnsi="Times New Roman" w:cs="Times New Roman"/>
            <w:color w:val="0000FF"/>
            <w:sz w:val="24"/>
            <w:szCs w:val="24"/>
            <w:u w:val="single"/>
          </w:rPr>
          <w:t>https://doi.org/10.1007/s12311-011-0276-z</w:t>
        </w:r>
      </w:hyperlink>
    </w:p>
    <w:p w14:paraId="47687B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Dahlgren, M. K., Hooley, J. M., Best, S. G., Sagar, K. A., Gonenc, A., &amp; Gruber, S. A. (2018). Prefrontal cortex activation during cognitive interference in nonsuicidal self-injury. </w:t>
      </w:r>
      <w:r w:rsidRPr="005B38F0">
        <w:rPr>
          <w:rFonts w:ascii="Times New Roman" w:eastAsia="Times New Roman" w:hAnsi="Times New Roman" w:cs="Times New Roman"/>
          <w:i/>
          <w:iCs/>
          <w:sz w:val="24"/>
          <w:szCs w:val="24"/>
        </w:rPr>
        <w:t>Psychiatry Research: Neuroimaging</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277</w:t>
      </w:r>
      <w:r w:rsidRPr="005B38F0">
        <w:rPr>
          <w:rFonts w:ascii="Times New Roman" w:eastAsia="Times New Roman" w:hAnsi="Times New Roman" w:cs="Times New Roman"/>
          <w:sz w:val="24"/>
          <w:szCs w:val="24"/>
        </w:rPr>
        <w:t xml:space="preserve">, 28–38. </w:t>
      </w:r>
      <w:hyperlink r:id="rId1290" w:history="1">
        <w:r w:rsidRPr="005B38F0">
          <w:rPr>
            <w:rFonts w:ascii="Times New Roman" w:eastAsia="Times New Roman" w:hAnsi="Times New Roman" w:cs="Times New Roman"/>
            <w:color w:val="0000FF"/>
            <w:sz w:val="24"/>
            <w:szCs w:val="24"/>
            <w:u w:val="single"/>
          </w:rPr>
          <w:t>https://doi.org/10.1016/j.pscychresns.2018.04.006</w:t>
        </w:r>
      </w:hyperlink>
    </w:p>
    <w:p w14:paraId="0E4C16B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Dahlgren, M. K., Sagar, K. A., Racine, M. T., Dreman, M. W., &amp; Gruber, S. A. (2016). Marijuana use predicts cognitive performance on tasks of executive function. </w:t>
      </w:r>
      <w:r w:rsidRPr="005B38F0">
        <w:rPr>
          <w:rFonts w:ascii="Times New Roman" w:eastAsia="Times New Roman" w:hAnsi="Times New Roman" w:cs="Times New Roman"/>
          <w:i/>
          <w:iCs/>
          <w:sz w:val="24"/>
          <w:szCs w:val="24"/>
        </w:rPr>
        <w:t>Journal of Studies on Alcohol and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77</w:t>
      </w:r>
      <w:r w:rsidRPr="005B38F0">
        <w:rPr>
          <w:rFonts w:ascii="Times New Roman" w:eastAsia="Times New Roman" w:hAnsi="Times New Roman" w:cs="Times New Roman"/>
          <w:sz w:val="24"/>
          <w:szCs w:val="24"/>
        </w:rPr>
        <w:t xml:space="preserve">(2), 298–308. </w:t>
      </w:r>
      <w:hyperlink r:id="rId1291" w:history="1">
        <w:r w:rsidRPr="005B38F0">
          <w:rPr>
            <w:rFonts w:ascii="Times New Roman" w:eastAsia="Times New Roman" w:hAnsi="Times New Roman" w:cs="Times New Roman"/>
            <w:color w:val="0000FF"/>
            <w:sz w:val="24"/>
            <w:szCs w:val="24"/>
            <w:u w:val="single"/>
          </w:rPr>
          <w:t>https://doi.org/10.15288/jsad.2016.77.298</w:t>
        </w:r>
      </w:hyperlink>
    </w:p>
    <w:p w14:paraId="180F6E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Dahlman, S., Bäckström, P., Bohlin, G., &amp; Frans, Ö. (2013). Cognitive abilities of street children: Low-SES Bolivian boys with and without experience of living in the street. </w:t>
      </w:r>
      <w:r w:rsidRPr="005B38F0">
        <w:rPr>
          <w:rFonts w:ascii="Times New Roman" w:eastAsia="Times New Roman" w:hAnsi="Times New Roman" w:cs="Times New Roman"/>
          <w:i/>
          <w:iCs/>
          <w:sz w:val="24"/>
          <w:szCs w:val="24"/>
        </w:rPr>
        <w:t>Child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(5), 540–556. </w:t>
      </w:r>
      <w:hyperlink r:id="rId1292" w:history="1">
        <w:r w:rsidRPr="005B38F0">
          <w:rPr>
            <w:rFonts w:ascii="Times New Roman" w:eastAsia="Times New Roman" w:hAnsi="Times New Roman" w:cs="Times New Roman"/>
            <w:color w:val="0000FF"/>
            <w:sz w:val="24"/>
            <w:szCs w:val="24"/>
            <w:u w:val="single"/>
          </w:rPr>
          <w:t>https://doi.org/10.1080/09297049.2012.731499</w:t>
        </w:r>
      </w:hyperlink>
    </w:p>
    <w:p w14:paraId="22FFA13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Dahlöf, P., Norlin-Bagge, E., Hedner, J., Ejnell, H., Hetta, J., &amp; Hällström, T. (2002). Improvement in neuropsychological performance following surgical treatment for obstructive sleep apnea syndrome. </w:t>
      </w:r>
      <w:r w:rsidRPr="005B38F0">
        <w:rPr>
          <w:rFonts w:ascii="Times New Roman" w:eastAsia="Times New Roman" w:hAnsi="Times New Roman" w:cs="Times New Roman"/>
          <w:i/>
          <w:iCs/>
          <w:sz w:val="24"/>
          <w:szCs w:val="24"/>
        </w:rPr>
        <w:t>Acta Oto-Laryngologica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122</w:t>
      </w:r>
      <w:r w:rsidRPr="005B38F0">
        <w:rPr>
          <w:rFonts w:ascii="Times New Roman" w:eastAsia="Times New Roman" w:hAnsi="Times New Roman" w:cs="Times New Roman"/>
          <w:sz w:val="24"/>
          <w:szCs w:val="24"/>
        </w:rPr>
        <w:t xml:space="preserve">(1), 86–91. </w:t>
      </w:r>
      <w:hyperlink r:id="rId1293" w:history="1">
        <w:r w:rsidRPr="005B38F0">
          <w:rPr>
            <w:rFonts w:ascii="Times New Roman" w:eastAsia="Times New Roman" w:hAnsi="Times New Roman" w:cs="Times New Roman"/>
            <w:color w:val="0000FF"/>
            <w:sz w:val="24"/>
            <w:szCs w:val="24"/>
            <w:u w:val="single"/>
          </w:rPr>
          <w:t>https://doi.org/10.1080/00016480252775797</w:t>
        </w:r>
      </w:hyperlink>
    </w:p>
    <w:p w14:paraId="43D825D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Dai, D., Cheng, J., Zhou, K., Lv, Y., Zhuang, Q., Zheng, R., Zhang, K., Jiang, D., Gao, S., &amp; Duan, S. (2014). Significant association between DRD3 gene body methylation and schizophrenia.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220</w:t>
      </w:r>
      <w:r w:rsidRPr="005B38F0">
        <w:rPr>
          <w:rFonts w:ascii="Times New Roman" w:eastAsia="Times New Roman" w:hAnsi="Times New Roman" w:cs="Times New Roman"/>
          <w:sz w:val="24"/>
          <w:szCs w:val="24"/>
        </w:rPr>
        <w:t xml:space="preserve">(3), 772–777. </w:t>
      </w:r>
      <w:hyperlink r:id="rId1294" w:history="1">
        <w:r w:rsidRPr="005B38F0">
          <w:rPr>
            <w:rFonts w:ascii="Times New Roman" w:eastAsia="Times New Roman" w:hAnsi="Times New Roman" w:cs="Times New Roman"/>
            <w:color w:val="0000FF"/>
            <w:sz w:val="24"/>
            <w:szCs w:val="24"/>
            <w:u w:val="single"/>
          </w:rPr>
          <w:t>https://doi.org/10.1016/j.psychres.2014.08.032</w:t>
        </w:r>
      </w:hyperlink>
    </w:p>
    <w:p w14:paraId="5630ED7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Dai, M., Lin, L., Liang, J., Wang, Z., &amp; Jing, J. (2019). Gender difference in the association between executive function and autistic traits in typically developing children. </w:t>
      </w:r>
      <w:r w:rsidRPr="005B38F0">
        <w:rPr>
          <w:rFonts w:ascii="Times New Roman" w:eastAsia="Times New Roman" w:hAnsi="Times New Roman" w:cs="Times New Roman"/>
          <w:i/>
          <w:iCs/>
          <w:sz w:val="24"/>
          <w:szCs w:val="24"/>
        </w:rPr>
        <w:t xml:space="preserve">Journal of </w:t>
      </w:r>
      <w:r w:rsidRPr="005B38F0">
        <w:rPr>
          <w:rFonts w:ascii="Times New Roman" w:eastAsia="Times New Roman" w:hAnsi="Times New Roman" w:cs="Times New Roman"/>
          <w:i/>
          <w:iCs/>
          <w:sz w:val="24"/>
          <w:szCs w:val="24"/>
        </w:rPr>
        <w:lastRenderedPageBreak/>
        <w:t>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49</w:t>
      </w:r>
      <w:r w:rsidRPr="005B38F0">
        <w:rPr>
          <w:rFonts w:ascii="Times New Roman" w:eastAsia="Times New Roman" w:hAnsi="Times New Roman" w:cs="Times New Roman"/>
          <w:sz w:val="24"/>
          <w:szCs w:val="24"/>
        </w:rPr>
        <w:t xml:space="preserve">(3), 1182–1192. </w:t>
      </w:r>
      <w:hyperlink r:id="rId1295" w:history="1">
        <w:r w:rsidRPr="005B38F0">
          <w:rPr>
            <w:rFonts w:ascii="Times New Roman" w:eastAsia="Times New Roman" w:hAnsi="Times New Roman" w:cs="Times New Roman"/>
            <w:color w:val="0000FF"/>
            <w:sz w:val="24"/>
            <w:szCs w:val="24"/>
            <w:u w:val="single"/>
          </w:rPr>
          <w:t>https://doi.org/10.1007/s10803-018-3813-5</w:t>
        </w:r>
      </w:hyperlink>
    </w:p>
    <w:p w14:paraId="2E13D7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Dai, X., Ye, F., Wu, H., Xia, X., &amp; Zhao, X. (2015). Relationship of serum homocysteine with cognitive function in chronic schizophrenia. [Relationship of serum homocysteine with cognitive function in chronic schizophrenia.]. </w:t>
      </w:r>
      <w:r w:rsidRPr="005B38F0">
        <w:rPr>
          <w:rFonts w:ascii="Times New Roman" w:eastAsia="Times New Roman" w:hAnsi="Times New Roman" w:cs="Times New Roman"/>
          <w:i/>
          <w:iCs/>
          <w:sz w:val="24"/>
          <w:szCs w:val="24"/>
        </w:rPr>
        <w:t>Chinese Journal of Clinical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(5), 865–866.</w:t>
      </w:r>
    </w:p>
    <w:p w14:paraId="4A4637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D’Alcante, C. C., Diniz, J. B., Fossaluza, V., Batistuzzo, M. C., Lopes, A. C., Shavitt, R. G., Deckersbach, T., Malloy-Diniz, L., Miguel, E. C., &amp; Hoexter, M. Q. (2012). Neuropsychological predictors of response to randomized treatment in obsessive–compulsive disorder.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(2), 310–317. </w:t>
      </w:r>
      <w:hyperlink r:id="rId1296" w:history="1">
        <w:r w:rsidRPr="005B38F0">
          <w:rPr>
            <w:rFonts w:ascii="Times New Roman" w:eastAsia="Times New Roman" w:hAnsi="Times New Roman" w:cs="Times New Roman"/>
            <w:color w:val="0000FF"/>
            <w:sz w:val="24"/>
            <w:szCs w:val="24"/>
            <w:u w:val="single"/>
          </w:rPr>
          <w:t>https://doi.org/10.1016/j.pnpbp.2012.07.002</w:t>
        </w:r>
      </w:hyperlink>
    </w:p>
    <w:p w14:paraId="02C85AA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Dalrymple-Alford, J. C., Jamieson, C. F., &amp; Donaldson, I. MacG. (1995). Effects of selegiline (deprenyl) on cognition in early Parkinson’s disease.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(4), 348–359. </w:t>
      </w:r>
      <w:hyperlink r:id="rId1297" w:history="1">
        <w:r w:rsidRPr="005B38F0">
          <w:rPr>
            <w:rFonts w:ascii="Times New Roman" w:eastAsia="Times New Roman" w:hAnsi="Times New Roman" w:cs="Times New Roman"/>
            <w:color w:val="0000FF"/>
            <w:sz w:val="24"/>
            <w:szCs w:val="24"/>
            <w:u w:val="single"/>
          </w:rPr>
          <w:t>https://doi.org/10.1097/00002826-199508000-00007</w:t>
        </w:r>
      </w:hyperlink>
    </w:p>
    <w:p w14:paraId="5B4AE2F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Dalrymple-Alford, J. C., Kalders, A. S., Jones, R. D., &amp; Watson, R. W. (1994). A central executive deficit in patients with Parkinson’s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57</w:t>
      </w:r>
      <w:r w:rsidRPr="005B38F0">
        <w:rPr>
          <w:rFonts w:ascii="Times New Roman" w:eastAsia="Times New Roman" w:hAnsi="Times New Roman" w:cs="Times New Roman"/>
          <w:sz w:val="24"/>
          <w:szCs w:val="24"/>
        </w:rPr>
        <w:t xml:space="preserve">(3), 360–367. </w:t>
      </w:r>
      <w:hyperlink r:id="rId1298" w:history="1">
        <w:r w:rsidRPr="005B38F0">
          <w:rPr>
            <w:rFonts w:ascii="Times New Roman" w:eastAsia="Times New Roman" w:hAnsi="Times New Roman" w:cs="Times New Roman"/>
            <w:color w:val="0000FF"/>
            <w:sz w:val="24"/>
            <w:szCs w:val="24"/>
            <w:u w:val="single"/>
          </w:rPr>
          <w:t>https://doi.org/10.1136/jnnp.57.3.360</w:t>
        </w:r>
      </w:hyperlink>
    </w:p>
    <w:p w14:paraId="62F28C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Daly, B., Kral, M. C., &amp; Tarazi, R. A. (2011). The role of neuropsychological evaluation in pediatric sickle cell disease.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(6), 903–925. </w:t>
      </w:r>
      <w:hyperlink r:id="rId1299" w:history="1">
        <w:r w:rsidRPr="005B38F0">
          <w:rPr>
            <w:rFonts w:ascii="Times New Roman" w:eastAsia="Times New Roman" w:hAnsi="Times New Roman" w:cs="Times New Roman"/>
            <w:color w:val="0000FF"/>
            <w:sz w:val="24"/>
            <w:szCs w:val="24"/>
            <w:u w:val="single"/>
          </w:rPr>
          <w:t>https://doi.org/10.1080/13854046.2011.560190</w:t>
        </w:r>
      </w:hyperlink>
    </w:p>
    <w:p w14:paraId="0DF1E4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Damholdt, M. F., Shevlin, M., Borghammer, P., Larsen, L., &amp; Østergaard, K. (2012). Clinical heterogeneity in Parkinson’s disease revisited: A latent profile analysis. </w:t>
      </w:r>
      <w:r w:rsidRPr="005B38F0">
        <w:rPr>
          <w:rFonts w:ascii="Times New Roman" w:eastAsia="Times New Roman" w:hAnsi="Times New Roman" w:cs="Times New Roman"/>
          <w:i/>
          <w:iCs/>
          <w:sz w:val="24"/>
          <w:szCs w:val="24"/>
        </w:rPr>
        <w:t>Acta Neurologica Scandinavica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125</w:t>
      </w:r>
      <w:r w:rsidRPr="005B38F0">
        <w:rPr>
          <w:rFonts w:ascii="Times New Roman" w:eastAsia="Times New Roman" w:hAnsi="Times New Roman" w:cs="Times New Roman"/>
          <w:sz w:val="24"/>
          <w:szCs w:val="24"/>
        </w:rPr>
        <w:t xml:space="preserve">(5), 311–318. </w:t>
      </w:r>
      <w:hyperlink r:id="rId1300" w:history="1">
        <w:r w:rsidRPr="005B38F0">
          <w:rPr>
            <w:rFonts w:ascii="Times New Roman" w:eastAsia="Times New Roman" w:hAnsi="Times New Roman" w:cs="Times New Roman"/>
            <w:color w:val="0000FF"/>
            <w:sz w:val="24"/>
            <w:szCs w:val="24"/>
            <w:u w:val="single"/>
          </w:rPr>
          <w:t>https://doi.org/10.1111/j.1600-0404.2011.01561.x</w:t>
        </w:r>
      </w:hyperlink>
    </w:p>
    <w:p w14:paraId="13D89A3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Damoiseaux, J. S., Viviano, R. P., Yuan, P., &amp; Raz, N. (2016). Differential effect of age on posterior and anterior hippocampal functional connectivity.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 468–476. </w:t>
      </w:r>
      <w:hyperlink r:id="rId1301" w:history="1">
        <w:r w:rsidRPr="005B38F0">
          <w:rPr>
            <w:rFonts w:ascii="Times New Roman" w:eastAsia="Times New Roman" w:hAnsi="Times New Roman" w:cs="Times New Roman"/>
            <w:color w:val="0000FF"/>
            <w:sz w:val="24"/>
            <w:szCs w:val="24"/>
            <w:u w:val="single"/>
          </w:rPr>
          <w:t>https://doi.org/10.1016/j.neuroimage.2016.03.047</w:t>
        </w:r>
      </w:hyperlink>
    </w:p>
    <w:p w14:paraId="77A0BF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Dandachi-FitzGerald, B., Ponds, R. W. H. M., &amp; Merten, T. (2013). Symptom validity and neuropsychological assessment: A survey of practices and beliefs of neuropsychologists in six European countries.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771–783. </w:t>
      </w:r>
      <w:hyperlink r:id="rId1302" w:history="1">
        <w:r w:rsidRPr="005B38F0">
          <w:rPr>
            <w:rFonts w:ascii="Times New Roman" w:eastAsia="Times New Roman" w:hAnsi="Times New Roman" w:cs="Times New Roman"/>
            <w:color w:val="0000FF"/>
            <w:sz w:val="24"/>
            <w:szCs w:val="24"/>
            <w:u w:val="single"/>
          </w:rPr>
          <w:t>https://doi.org/10.1093/arclin/act073</w:t>
        </w:r>
      </w:hyperlink>
    </w:p>
    <w:p w14:paraId="6CE1EF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Daneluzzo, E., Bustini, M., Stratta, P., Casacchia, M., &amp; Rossi, A. (1998). Schizotypal Personality Questionnaire and Wisconsin Card Sorting Test in a population of DSM-III-R schizophrenic patients and control subjects. </w:t>
      </w:r>
      <w:r w:rsidRPr="005B38F0">
        <w:rPr>
          <w:rFonts w:ascii="Times New Roman" w:eastAsia="Times New Roman" w:hAnsi="Times New Roman" w:cs="Times New Roman"/>
          <w:i/>
          <w:iCs/>
          <w:sz w:val="24"/>
          <w:szCs w:val="24"/>
        </w:rPr>
        <w:t>Comprehensive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39</w:t>
      </w:r>
      <w:r w:rsidRPr="005B38F0">
        <w:rPr>
          <w:rFonts w:ascii="Times New Roman" w:eastAsia="Times New Roman" w:hAnsi="Times New Roman" w:cs="Times New Roman"/>
          <w:sz w:val="24"/>
          <w:szCs w:val="24"/>
        </w:rPr>
        <w:t xml:space="preserve">(3), 143–148. </w:t>
      </w:r>
      <w:hyperlink r:id="rId1303" w:history="1">
        <w:r w:rsidRPr="005B38F0">
          <w:rPr>
            <w:rFonts w:ascii="Times New Roman" w:eastAsia="Times New Roman" w:hAnsi="Times New Roman" w:cs="Times New Roman"/>
            <w:color w:val="0000FF"/>
            <w:sz w:val="24"/>
            <w:szCs w:val="24"/>
            <w:u w:val="single"/>
          </w:rPr>
          <w:t>https://doi.org/10.1016/S0010-440X(98)90073-6</w:t>
        </w:r>
      </w:hyperlink>
    </w:p>
    <w:p w14:paraId="329F632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Daniel, B. D., Montali, A., Gerra, M. L., Innamorati, M., Girardi, P., Pompili, M., &amp; Amore, M. (2013). Cognitive impairment and its associations with the path of illness in affective disorders: A comparison between patients with bipolar and unipolar depression in remission. </w:t>
      </w:r>
      <w:r w:rsidRPr="005B38F0">
        <w:rPr>
          <w:rFonts w:ascii="Times New Roman" w:eastAsia="Times New Roman" w:hAnsi="Times New Roman" w:cs="Times New Roman"/>
          <w:i/>
          <w:iCs/>
          <w:sz w:val="24"/>
          <w:szCs w:val="24"/>
        </w:rPr>
        <w:t>Journal of Psychiatric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(4), 275–287. </w:t>
      </w:r>
      <w:hyperlink r:id="rId1304" w:history="1">
        <w:r w:rsidRPr="005B38F0">
          <w:rPr>
            <w:rFonts w:ascii="Times New Roman" w:eastAsia="Times New Roman" w:hAnsi="Times New Roman" w:cs="Times New Roman"/>
            <w:color w:val="0000FF"/>
            <w:sz w:val="24"/>
            <w:szCs w:val="24"/>
            <w:u w:val="single"/>
          </w:rPr>
          <w:t>https://doi.org/10.1097/01.pra.0000432597.79019.e2</w:t>
        </w:r>
      </w:hyperlink>
    </w:p>
    <w:p w14:paraId="27ACE3B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Daniele, A., Albanese, A., Contarino, M. F., Zinzi, P., Barbier, A., Gasparini, F., Romito, L. M. A., Bentivoglio, A. R., &amp; Scerrati, M. (2003). Cognitive and behavioural effects of chronic stimulation of the subthalamic nucleus in patients with Parkinson’s disease. </w:t>
      </w:r>
      <w:r w:rsidRPr="005B38F0">
        <w:rPr>
          <w:rFonts w:ascii="Times New Roman" w:eastAsia="Times New Roman" w:hAnsi="Times New Roman" w:cs="Times New Roman"/>
          <w:i/>
          <w:iCs/>
          <w:sz w:val="24"/>
          <w:szCs w:val="24"/>
        </w:rPr>
        <w:t>Journal of Neurology, Neurosurgery &amp;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(2), 175–182. </w:t>
      </w:r>
      <w:hyperlink r:id="rId1305" w:history="1">
        <w:r w:rsidRPr="005B38F0">
          <w:rPr>
            <w:rFonts w:ascii="Times New Roman" w:eastAsia="Times New Roman" w:hAnsi="Times New Roman" w:cs="Times New Roman"/>
            <w:color w:val="0000FF"/>
            <w:sz w:val="24"/>
            <w:szCs w:val="24"/>
            <w:u w:val="single"/>
          </w:rPr>
          <w:t>https://doi.org/10.1136/jnnp.74.2.175</w:t>
        </w:r>
      </w:hyperlink>
    </w:p>
    <w:p w14:paraId="2EA8643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Darcy, A. M., Fitzpatrick, K. K., Colborn, D., Manasse, S., Datta, N., Aspen, V., Shields, C. S., Le Grange, D., &amp; Lock, J. (2012). Set-shifting among adolescents with bulimic spectrum </w:t>
      </w:r>
      <w:r w:rsidRPr="005B38F0">
        <w:rPr>
          <w:rFonts w:ascii="Times New Roman" w:eastAsia="Times New Roman" w:hAnsi="Times New Roman" w:cs="Times New Roman"/>
          <w:sz w:val="24"/>
          <w:szCs w:val="24"/>
        </w:rPr>
        <w:lastRenderedPageBreak/>
        <w:t xml:space="preserve">eating disorders. </w:t>
      </w:r>
      <w:r w:rsidRPr="005B38F0">
        <w:rPr>
          <w:rFonts w:ascii="Times New Roman" w:eastAsia="Times New Roman" w:hAnsi="Times New Roman" w:cs="Times New Roman"/>
          <w:i/>
          <w:iCs/>
          <w:sz w:val="24"/>
          <w:szCs w:val="24"/>
        </w:rPr>
        <w:t>Psychosomatic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(8), 869–872. </w:t>
      </w:r>
      <w:hyperlink r:id="rId1306" w:history="1">
        <w:r w:rsidRPr="005B38F0">
          <w:rPr>
            <w:rFonts w:ascii="Times New Roman" w:eastAsia="Times New Roman" w:hAnsi="Times New Roman" w:cs="Times New Roman"/>
            <w:color w:val="0000FF"/>
            <w:sz w:val="24"/>
            <w:szCs w:val="24"/>
            <w:u w:val="single"/>
          </w:rPr>
          <w:t>https://doi.org/10.1097/PSY.0b013e31826af636</w:t>
        </w:r>
      </w:hyperlink>
    </w:p>
    <w:p w14:paraId="0D19FE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Dardier, V., Bernicot, J., Delanoë, A., Vanberten, M., Fayada, C., Chevignard, M., Delaye, C., Laurent-Vannier, A., &amp; Dubois, B. (2011). Severe traumatic brain injury, frontal lesions, and social aspects of language use: A study of French-speaking adults. </w:t>
      </w:r>
      <w:r w:rsidRPr="005B38F0">
        <w:rPr>
          <w:rFonts w:ascii="Times New Roman" w:eastAsia="Times New Roman" w:hAnsi="Times New Roman" w:cs="Times New Roman"/>
          <w:i/>
          <w:iCs/>
          <w:sz w:val="24"/>
          <w:szCs w:val="24"/>
        </w:rPr>
        <w:t>Journal of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44</w:t>
      </w:r>
      <w:r w:rsidRPr="005B38F0">
        <w:rPr>
          <w:rFonts w:ascii="Times New Roman" w:eastAsia="Times New Roman" w:hAnsi="Times New Roman" w:cs="Times New Roman"/>
          <w:sz w:val="24"/>
          <w:szCs w:val="24"/>
        </w:rPr>
        <w:t xml:space="preserve">(3), 359–378. </w:t>
      </w:r>
      <w:hyperlink r:id="rId1307" w:history="1">
        <w:r w:rsidRPr="005B38F0">
          <w:rPr>
            <w:rFonts w:ascii="Times New Roman" w:eastAsia="Times New Roman" w:hAnsi="Times New Roman" w:cs="Times New Roman"/>
            <w:color w:val="0000FF"/>
            <w:sz w:val="24"/>
            <w:szCs w:val="24"/>
            <w:u w:val="single"/>
          </w:rPr>
          <w:t>https://doi.org/10.1016/j.jcomdis.2011.02.001</w:t>
        </w:r>
      </w:hyperlink>
    </w:p>
    <w:p w14:paraId="393AEC4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Dary-Auriol, M., Ingrand, P., Bonnaud, V., Dumas, P., Neau, J.-P., &amp; Gil, R. (1997). Sclérose latérale amyotrophique et troubles cognitifs: Étude neuropsychologique d’une population de 26 patients. [Cognitive impairment and amyotrophic lateral sclerosis.]. </w:t>
      </w:r>
      <w:r w:rsidRPr="005B38F0">
        <w:rPr>
          <w:rFonts w:ascii="Times New Roman" w:eastAsia="Times New Roman" w:hAnsi="Times New Roman" w:cs="Times New Roman"/>
          <w:i/>
          <w:iCs/>
          <w:sz w:val="24"/>
          <w:szCs w:val="24"/>
        </w:rPr>
        <w:t>Revue Neurologique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153</w:t>
      </w:r>
      <w:r w:rsidRPr="005B38F0">
        <w:rPr>
          <w:rFonts w:ascii="Times New Roman" w:eastAsia="Times New Roman" w:hAnsi="Times New Roman" w:cs="Times New Roman"/>
          <w:sz w:val="24"/>
          <w:szCs w:val="24"/>
        </w:rPr>
        <w:t>(4), 244–250.</w:t>
      </w:r>
    </w:p>
    <w:p w14:paraId="24867D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Das, M., Kumari, V., Soni, W., Ettinger, U., Binneman, B., Hughes, C., Mehrotra, R., &amp; Sharma, T. (2004). Neurological Soft Signs and Their Relationship to Cognitive and Clinical Efficacy of Atypical Antipsychotics in Schizophrenia. </w:t>
      </w:r>
      <w:r w:rsidRPr="005B38F0">
        <w:rPr>
          <w:rFonts w:ascii="Times New Roman" w:eastAsia="Times New Roman" w:hAnsi="Times New Roman" w:cs="Times New Roman"/>
          <w:i/>
          <w:iCs/>
          <w:sz w:val="24"/>
          <w:szCs w:val="24"/>
        </w:rPr>
        <w:t>Schizophrenia Bulletin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(2), 241–253. </w:t>
      </w:r>
      <w:hyperlink r:id="rId1308" w:history="1">
        <w:r w:rsidRPr="005B38F0">
          <w:rPr>
            <w:rFonts w:ascii="Times New Roman" w:eastAsia="Times New Roman" w:hAnsi="Times New Roman" w:cs="Times New Roman"/>
            <w:color w:val="0000FF"/>
            <w:sz w:val="24"/>
            <w:szCs w:val="24"/>
            <w:u w:val="single"/>
          </w:rPr>
          <w:t>https://doi.org/10.1093/oxfordjournals.schbul.a007075</w:t>
        </w:r>
      </w:hyperlink>
    </w:p>
    <w:p w14:paraId="567A92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Dasilva, D. N. (1996). </w:t>
      </w:r>
      <w:r w:rsidRPr="005B38F0">
        <w:rPr>
          <w:rFonts w:ascii="Times New Roman" w:eastAsia="Times New Roman" w:hAnsi="Times New Roman" w:cs="Times New Roman"/>
          <w:i/>
          <w:iCs/>
          <w:sz w:val="24"/>
          <w:szCs w:val="24"/>
        </w:rPr>
        <w:t>An analysis of the factor structure of the Wisconsin Card Sorting Test in psychiatric inpatients.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56</w:t>
      </w:r>
      <w:r w:rsidRPr="005B38F0">
        <w:rPr>
          <w:rFonts w:ascii="Times New Roman" w:eastAsia="Times New Roman" w:hAnsi="Times New Roman" w:cs="Times New Roman"/>
          <w:sz w:val="24"/>
          <w:szCs w:val="24"/>
        </w:rPr>
        <w:t>(9-B), 5164–5164.</w:t>
      </w:r>
    </w:p>
    <w:p w14:paraId="3762B2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Dassel, K. B., &amp; Schmitt, F. A. (2008). The impact of caregiver executive skills on reports of patient functioning. </w:t>
      </w:r>
      <w:r w:rsidRPr="005B38F0">
        <w:rPr>
          <w:rFonts w:ascii="Times New Roman" w:eastAsia="Times New Roman" w:hAnsi="Times New Roman" w:cs="Times New Roman"/>
          <w:i/>
          <w:iCs/>
          <w:sz w:val="24"/>
          <w:szCs w:val="24"/>
        </w:rPr>
        <w:t>The Gerontologist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(6), 781–792. </w:t>
      </w:r>
      <w:hyperlink r:id="rId1309" w:history="1">
        <w:r w:rsidRPr="005B38F0">
          <w:rPr>
            <w:rFonts w:ascii="Times New Roman" w:eastAsia="Times New Roman" w:hAnsi="Times New Roman" w:cs="Times New Roman"/>
            <w:color w:val="0000FF"/>
            <w:sz w:val="24"/>
            <w:szCs w:val="24"/>
            <w:u w:val="single"/>
          </w:rPr>
          <w:t>https://doi.org/10.1093/geront/48.6.781</w:t>
        </w:r>
      </w:hyperlink>
    </w:p>
    <w:p w14:paraId="6059AD9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 A. S., Bedford, N., Wiffen, B., &amp; Gilleen, J. (2014). Failures of metacognition and lack of insight in neuropsychiatric disorders. In </w:t>
      </w:r>
      <w:r w:rsidRPr="005B38F0">
        <w:rPr>
          <w:rFonts w:ascii="Times New Roman" w:eastAsia="Times New Roman" w:hAnsi="Times New Roman" w:cs="Times New Roman"/>
          <w:i/>
          <w:iCs/>
          <w:sz w:val="24"/>
          <w:szCs w:val="24"/>
        </w:rPr>
        <w:t>The cognitive neuroscience of metacognition.</w:t>
      </w:r>
      <w:r w:rsidRPr="005B38F0">
        <w:rPr>
          <w:rFonts w:ascii="Times New Roman" w:eastAsia="Times New Roman" w:hAnsi="Times New Roman" w:cs="Times New Roman"/>
          <w:sz w:val="24"/>
          <w:szCs w:val="24"/>
        </w:rPr>
        <w:t xml:space="preserve"> (pp. 345–365). Springer-Verlag Publishing. </w:t>
      </w:r>
      <w:hyperlink r:id="rId1310" w:history="1">
        <w:r w:rsidRPr="005B38F0">
          <w:rPr>
            <w:rFonts w:ascii="Times New Roman" w:eastAsia="Times New Roman" w:hAnsi="Times New Roman" w:cs="Times New Roman"/>
            <w:color w:val="0000FF"/>
            <w:sz w:val="24"/>
            <w:szCs w:val="24"/>
            <w:u w:val="single"/>
          </w:rPr>
          <w:t>https://doi.org/10.1007/978-3-642-45190-4_15</w:t>
        </w:r>
      </w:hyperlink>
    </w:p>
    <w:p w14:paraId="6B65DD8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David, D. P., Soeiro-de-Souza, M. G., Moreno, R. A., &amp; Bio, D. S. (2014). Facial emotion recognition and its correlation with executive functions in bipolar I patients and healthy controls.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152–154</w:t>
      </w:r>
      <w:r w:rsidRPr="005B38F0">
        <w:rPr>
          <w:rFonts w:ascii="Times New Roman" w:eastAsia="Times New Roman" w:hAnsi="Times New Roman" w:cs="Times New Roman"/>
          <w:sz w:val="24"/>
          <w:szCs w:val="24"/>
        </w:rPr>
        <w:t xml:space="preserve">, 288–294. </w:t>
      </w:r>
      <w:hyperlink r:id="rId1311" w:history="1">
        <w:r w:rsidRPr="005B38F0">
          <w:rPr>
            <w:rFonts w:ascii="Times New Roman" w:eastAsia="Times New Roman" w:hAnsi="Times New Roman" w:cs="Times New Roman"/>
            <w:color w:val="0000FF"/>
            <w:sz w:val="24"/>
            <w:szCs w:val="24"/>
            <w:u w:val="single"/>
          </w:rPr>
          <w:t>https://doi.org/10.1016/j.jad.2013.09.027</w:t>
        </w:r>
      </w:hyperlink>
    </w:p>
    <w:p w14:paraId="3DF1B7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 Hill, B., Alosco, M., Bauer, L., &amp; Tremont, G. (2012). The relation of executive functioning to CVLT-II learning, memory, and process indexes. </w:t>
      </w:r>
      <w:r w:rsidRPr="005B38F0">
        <w:rPr>
          <w:rFonts w:ascii="Times New Roman" w:eastAsia="Times New Roman" w:hAnsi="Times New Roman" w:cs="Times New Roman"/>
          <w:i/>
          <w:iCs/>
          <w:sz w:val="24"/>
          <w:szCs w:val="24"/>
        </w:rPr>
        <w:t>Applied Neuropsychology: Adult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(3), 198–206. </w:t>
      </w:r>
      <w:hyperlink r:id="rId1312" w:history="1">
        <w:r w:rsidRPr="005B38F0">
          <w:rPr>
            <w:rFonts w:ascii="Times New Roman" w:eastAsia="Times New Roman" w:hAnsi="Times New Roman" w:cs="Times New Roman"/>
            <w:color w:val="0000FF"/>
            <w:sz w:val="24"/>
            <w:szCs w:val="24"/>
            <w:u w:val="single"/>
          </w:rPr>
          <w:t>https://doi.org/10.1080/09084282.2011.643960</w:t>
        </w:r>
      </w:hyperlink>
    </w:p>
    <w:p w14:paraId="7D14C4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C. A., Johannesen, J. K., &amp; Fiszdon, J. M. (2016). Role of learning potential in cognitive remediation: Construct and predictive validity.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171</w:t>
      </w:r>
      <w:r w:rsidRPr="005B38F0">
        <w:rPr>
          <w:rFonts w:ascii="Times New Roman" w:eastAsia="Times New Roman" w:hAnsi="Times New Roman" w:cs="Times New Roman"/>
          <w:sz w:val="24"/>
          <w:szCs w:val="24"/>
        </w:rPr>
        <w:t xml:space="preserve">(1–3), 117–124. </w:t>
      </w:r>
      <w:hyperlink r:id="rId1313" w:history="1">
        <w:r w:rsidRPr="005B38F0">
          <w:rPr>
            <w:rFonts w:ascii="Times New Roman" w:eastAsia="Times New Roman" w:hAnsi="Times New Roman" w:cs="Times New Roman"/>
            <w:color w:val="0000FF"/>
            <w:sz w:val="24"/>
            <w:szCs w:val="24"/>
            <w:u w:val="single"/>
          </w:rPr>
          <w:t>https://doi.org/10.1016/j.schres.2016.01.044</w:t>
        </w:r>
      </w:hyperlink>
    </w:p>
    <w:p w14:paraId="20C722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D. J., &amp; Indefrey, P. (2011). Error-related activity and correlates of grammatical plasticity.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w:t>
      </w:r>
      <w:r w:rsidRPr="005B38F0">
        <w:rPr>
          <w:rFonts w:ascii="Times New Roman" w:eastAsia="Times New Roman" w:hAnsi="Times New Roman" w:cs="Times New Roman"/>
          <w:sz w:val="24"/>
          <w:szCs w:val="24"/>
        </w:rPr>
        <w:t xml:space="preserve">. </w:t>
      </w:r>
      <w:hyperlink r:id="rId1314" w:history="1">
        <w:r w:rsidRPr="005B38F0">
          <w:rPr>
            <w:rFonts w:ascii="Times New Roman" w:eastAsia="Times New Roman" w:hAnsi="Times New Roman" w:cs="Times New Roman"/>
            <w:color w:val="0000FF"/>
            <w:sz w:val="24"/>
            <w:szCs w:val="24"/>
            <w:u w:val="single"/>
          </w:rPr>
          <w:t>https://doi.org/10.3389/fpsyg.2011.00219</w:t>
        </w:r>
      </w:hyperlink>
    </w:p>
    <w:p w14:paraId="12930BE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Cook, S. P., &amp; Glisky, E. L. (2006). Flashbulb Memories for September 11th can be Preserved in Older Adults.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(2), 196–206. </w:t>
      </w:r>
      <w:hyperlink r:id="rId1315" w:history="1">
        <w:r w:rsidRPr="005B38F0">
          <w:rPr>
            <w:rFonts w:ascii="Times New Roman" w:eastAsia="Times New Roman" w:hAnsi="Times New Roman" w:cs="Times New Roman"/>
            <w:color w:val="0000FF"/>
            <w:sz w:val="24"/>
            <w:szCs w:val="24"/>
            <w:u w:val="single"/>
          </w:rPr>
          <w:t>https://doi.org/10.1080/13825580490904192</w:t>
        </w:r>
      </w:hyperlink>
    </w:p>
    <w:p w14:paraId="2E3C6CC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Cook, S. P., Glisky, E. l., Verfaellie, M., &amp; Rapcsak, S. Z. (2005). Source Memory in the Real World: A Neuropsychological Study of Flashbulb Memory.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(7), 915–929. </w:t>
      </w:r>
      <w:hyperlink r:id="rId1316" w:history="1">
        <w:r w:rsidRPr="005B38F0">
          <w:rPr>
            <w:rFonts w:ascii="Times New Roman" w:eastAsia="Times New Roman" w:hAnsi="Times New Roman" w:cs="Times New Roman"/>
            <w:color w:val="0000FF"/>
            <w:sz w:val="24"/>
            <w:szCs w:val="24"/>
            <w:u w:val="single"/>
          </w:rPr>
          <w:t>https://doi.org/10.1080/13803390490919335</w:t>
        </w:r>
      </w:hyperlink>
    </w:p>
    <w:p w14:paraId="5F2673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Cook, S. P., McGhan, L., Bouchard, T., &amp; Camicioli, R. (2013). Source memory in normal aging and Parkinson’s disease. </w:t>
      </w:r>
      <w:r w:rsidRPr="005B38F0">
        <w:rPr>
          <w:rFonts w:ascii="Times New Roman" w:eastAsia="Times New Roman" w:hAnsi="Times New Roman" w:cs="Times New Roman"/>
          <w:i/>
          <w:iCs/>
          <w:sz w:val="24"/>
          <w:szCs w:val="24"/>
        </w:rPr>
        <w:t>Journal of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(2), 179–192. </w:t>
      </w:r>
      <w:hyperlink r:id="rId1317" w:history="1">
        <w:r w:rsidRPr="005B38F0">
          <w:rPr>
            <w:rFonts w:ascii="Times New Roman" w:eastAsia="Times New Roman" w:hAnsi="Times New Roman" w:cs="Times New Roman"/>
            <w:color w:val="0000FF"/>
            <w:sz w:val="24"/>
            <w:szCs w:val="24"/>
            <w:u w:val="single"/>
          </w:rPr>
          <w:t>https://doi.org/10.1111/jnp.12018</w:t>
        </w:r>
      </w:hyperlink>
    </w:p>
    <w:p w14:paraId="612401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Davidson, P. S. R., Drouin, H., Kwan, D., Moscovitch, M., &amp; Rosenbaum, R. S. (2012). Memory as social glue: Close interpersonal relationships in amnesic patients. </w:t>
      </w:r>
      <w:r w:rsidRPr="005B38F0">
        <w:rPr>
          <w:rFonts w:ascii="Times New Roman" w:eastAsia="Times New Roman" w:hAnsi="Times New Roman" w:cs="Times New Roman"/>
          <w:i/>
          <w:iCs/>
          <w:sz w:val="24"/>
          <w:szCs w:val="24"/>
        </w:rPr>
        <w:t>Frontiers in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w:t>
      </w:r>
      <w:r w:rsidRPr="005B38F0">
        <w:rPr>
          <w:rFonts w:ascii="Times New Roman" w:eastAsia="Times New Roman" w:hAnsi="Times New Roman" w:cs="Times New Roman"/>
          <w:sz w:val="24"/>
          <w:szCs w:val="24"/>
        </w:rPr>
        <w:t xml:space="preserve">. </w:t>
      </w:r>
      <w:hyperlink r:id="rId1318" w:history="1">
        <w:r w:rsidRPr="005B38F0">
          <w:rPr>
            <w:rFonts w:ascii="Times New Roman" w:eastAsia="Times New Roman" w:hAnsi="Times New Roman" w:cs="Times New Roman"/>
            <w:color w:val="0000FF"/>
            <w:sz w:val="24"/>
            <w:szCs w:val="24"/>
            <w:u w:val="single"/>
          </w:rPr>
          <w:t>https://doi.org/10.3389/fpsyg.2012.00531</w:t>
        </w:r>
      </w:hyperlink>
    </w:p>
    <w:p w14:paraId="3D63726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Gao, F. Q., Mason, W. P., Winocur, G., &amp; Anderson, N. D. (2008). Verbal fluency, Trail Making, and Wisconsin Card Sorting Test performance following right frontal lobe tumor resection.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(1), 18–32. </w:t>
      </w:r>
      <w:hyperlink r:id="rId1319" w:history="1">
        <w:r w:rsidRPr="005B38F0">
          <w:rPr>
            <w:rFonts w:ascii="Times New Roman" w:eastAsia="Times New Roman" w:hAnsi="Times New Roman" w:cs="Times New Roman"/>
            <w:color w:val="0000FF"/>
            <w:sz w:val="24"/>
            <w:szCs w:val="24"/>
            <w:u w:val="single"/>
          </w:rPr>
          <w:t>https://doi.org/10.1080/13803390601161166</w:t>
        </w:r>
      </w:hyperlink>
    </w:p>
    <w:p w14:paraId="2B296D0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Davidson, P. S. R., Vidjen, P., Trincao-Batra, S., &amp; Collin, C. A. (2019). Older adults’ lure discrimination difficulties on the mnemonic similarity task are significantly correlated with their visual perception. </w:t>
      </w:r>
      <w:r w:rsidRPr="005B38F0">
        <w:rPr>
          <w:rFonts w:ascii="Times New Roman" w:eastAsia="Times New Roman" w:hAnsi="Times New Roman" w:cs="Times New Roman"/>
          <w:i/>
          <w:iCs/>
          <w:sz w:val="24"/>
          <w:szCs w:val="24"/>
        </w:rPr>
        <w:t>The Journals of Gerontology: Series B: Psychological Sciences and Social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(8), 1298–1307. </w:t>
      </w:r>
      <w:hyperlink r:id="rId1320" w:history="1">
        <w:r w:rsidRPr="005B38F0">
          <w:rPr>
            <w:rFonts w:ascii="Times New Roman" w:eastAsia="Times New Roman" w:hAnsi="Times New Roman" w:cs="Times New Roman"/>
            <w:color w:val="0000FF"/>
            <w:sz w:val="24"/>
            <w:szCs w:val="24"/>
            <w:u w:val="single"/>
          </w:rPr>
          <w:t>https://doi.org/10.1093/geronb/gby130</w:t>
        </w:r>
      </w:hyperlink>
    </w:p>
    <w:p w14:paraId="6F479C0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Davies, H., Fox, J., Naumann, U., Treasure, J., Schmidt, U., &amp; Tchanturia, K. (2012). Cognitive remediation and emotion skills training for anorexia nervosa: An observational study using neuropsychological outcomes.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(3), 211–217. </w:t>
      </w:r>
      <w:hyperlink r:id="rId1321" w:history="1">
        <w:r w:rsidRPr="005B38F0">
          <w:rPr>
            <w:rFonts w:ascii="Times New Roman" w:eastAsia="Times New Roman" w:hAnsi="Times New Roman" w:cs="Times New Roman"/>
            <w:color w:val="0000FF"/>
            <w:sz w:val="24"/>
            <w:szCs w:val="24"/>
            <w:u w:val="single"/>
          </w:rPr>
          <w:t>https://doi.org/10.1002/erv.2170</w:t>
        </w:r>
      </w:hyperlink>
    </w:p>
    <w:p w14:paraId="293A6CA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Davies, S. R. ;, Field, A. R. J. ;, Andersen, T., &amp; Pestell, C. (2011). The ecological validity of the Rey–Osterrieth complex figure: Predicting everyday problems in children with neuropsychological disorders.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(7), 820–831.</w:t>
      </w:r>
    </w:p>
    <w:p w14:paraId="4166F2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B. K. (2001). </w:t>
      </w:r>
      <w:r w:rsidRPr="005B38F0">
        <w:rPr>
          <w:rFonts w:ascii="Times New Roman" w:eastAsia="Times New Roman" w:hAnsi="Times New Roman" w:cs="Times New Roman"/>
          <w:i/>
          <w:iCs/>
          <w:sz w:val="24"/>
          <w:szCs w:val="24"/>
        </w:rPr>
        <w:t>Source monitoring and frontal lobe functioning among conduct disordered and non-conduct disordered youths.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(8-B), 4438–4438.</w:t>
      </w:r>
    </w:p>
    <w:p w14:paraId="2573C15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Davis, C. E., Hauf, J. D., Wu, D. Q., &amp; Everhart, D. E. (2011). Brain function with complex decision making using electroencephalography. </w:t>
      </w:r>
      <w:r w:rsidRPr="005B38F0">
        <w:rPr>
          <w:rFonts w:ascii="Times New Roman" w:eastAsia="Times New Roman" w:hAnsi="Times New Roman" w:cs="Times New Roman"/>
          <w:i/>
          <w:iCs/>
          <w:sz w:val="24"/>
          <w:szCs w:val="24"/>
        </w:rPr>
        <w:t>International Journal of Psychophysiology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79</w:t>
      </w:r>
      <w:r w:rsidRPr="005B38F0">
        <w:rPr>
          <w:rFonts w:ascii="Times New Roman" w:eastAsia="Times New Roman" w:hAnsi="Times New Roman" w:cs="Times New Roman"/>
          <w:sz w:val="24"/>
          <w:szCs w:val="24"/>
        </w:rPr>
        <w:t xml:space="preserve">(2), 175–183. </w:t>
      </w:r>
      <w:hyperlink r:id="rId1322" w:history="1">
        <w:r w:rsidRPr="005B38F0">
          <w:rPr>
            <w:rFonts w:ascii="Times New Roman" w:eastAsia="Times New Roman" w:hAnsi="Times New Roman" w:cs="Times New Roman"/>
            <w:color w:val="0000FF"/>
            <w:sz w:val="24"/>
            <w:szCs w:val="24"/>
            <w:u w:val="single"/>
          </w:rPr>
          <w:t>https://doi.org/10.1016/j.ijpsycho.2010.10.004</w:t>
        </w:r>
      </w:hyperlink>
    </w:p>
    <w:p w14:paraId="64CC46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(2014). Further consideration of Advanced Clinical Solutions Word Choice: Comparison to the Recognition Memory Test-Words and classification accuracy in a clinical sample.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(8), 1278–1294. </w:t>
      </w:r>
      <w:hyperlink r:id="rId1323" w:history="1">
        <w:r w:rsidRPr="005B38F0">
          <w:rPr>
            <w:rFonts w:ascii="Times New Roman" w:eastAsia="Times New Roman" w:hAnsi="Times New Roman" w:cs="Times New Roman"/>
            <w:color w:val="0000FF"/>
            <w:sz w:val="24"/>
            <w:szCs w:val="24"/>
            <w:u w:val="single"/>
          </w:rPr>
          <w:t>https://doi.org/10.1080/13854046.2014.975844</w:t>
        </w:r>
      </w:hyperlink>
    </w:p>
    <w:p w14:paraId="0BACE8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Axelrod, B. N., McHugh, T. S., Hanks, R. A., &amp; Millis, S. R. (2013). Number of impaired scores as a performance validity indicator.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(4), 413–420. </w:t>
      </w:r>
      <w:hyperlink r:id="rId1324" w:history="1">
        <w:r w:rsidRPr="005B38F0">
          <w:rPr>
            <w:rFonts w:ascii="Times New Roman" w:eastAsia="Times New Roman" w:hAnsi="Times New Roman" w:cs="Times New Roman"/>
            <w:color w:val="0000FF"/>
            <w:sz w:val="24"/>
            <w:szCs w:val="24"/>
            <w:u w:val="single"/>
          </w:rPr>
          <w:t>https://doi.org/10.1080/13803395.2013.781134</w:t>
        </w:r>
      </w:hyperlink>
    </w:p>
    <w:p w14:paraId="0363C43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McHugh, T. S., Bagley, A. D., Axelrod, B. N., &amp; Hanks, R. A. (2011). Cross-validation of Picture Completion effort indices in personal injury litigants and disability claimants.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(8), 768–773. </w:t>
      </w:r>
      <w:hyperlink r:id="rId1325" w:history="1">
        <w:r w:rsidRPr="005B38F0">
          <w:rPr>
            <w:rFonts w:ascii="Times New Roman" w:eastAsia="Times New Roman" w:hAnsi="Times New Roman" w:cs="Times New Roman"/>
            <w:color w:val="0000FF"/>
            <w:sz w:val="24"/>
            <w:szCs w:val="24"/>
            <w:u w:val="single"/>
          </w:rPr>
          <w:t>https://doi.org/10.1093/arclin/acr079</w:t>
        </w:r>
      </w:hyperlink>
    </w:p>
    <w:p w14:paraId="256A75C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J., Millis, S. R., &amp; Axelrod, B. N. (2012). Derivation of an embedded Rey Auditory Verbal Learning Test performance validity indicator.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(8), 1397–1408. </w:t>
      </w:r>
      <w:hyperlink r:id="rId1326" w:history="1">
        <w:r w:rsidRPr="005B38F0">
          <w:rPr>
            <w:rFonts w:ascii="Times New Roman" w:eastAsia="Times New Roman" w:hAnsi="Times New Roman" w:cs="Times New Roman"/>
            <w:color w:val="0000FF"/>
            <w:sz w:val="24"/>
            <w:szCs w:val="24"/>
            <w:u w:val="single"/>
          </w:rPr>
          <w:t>https://doi.org/10.1080/13854046.2012.728627</w:t>
        </w:r>
      </w:hyperlink>
    </w:p>
    <w:p w14:paraId="00341A7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J. N., McHugh, T. S., Axelrod, B. N., &amp; Hanks, R. A. (2012). Performance validity and neuropsychological outcomes in litigants and disability claimants.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(5), 850–865. </w:t>
      </w:r>
      <w:hyperlink r:id="rId1327" w:history="1">
        <w:r w:rsidRPr="005B38F0">
          <w:rPr>
            <w:rFonts w:ascii="Times New Roman" w:eastAsia="Times New Roman" w:hAnsi="Times New Roman" w:cs="Times New Roman"/>
            <w:color w:val="0000FF"/>
            <w:sz w:val="24"/>
            <w:szCs w:val="24"/>
            <w:u w:val="single"/>
          </w:rPr>
          <w:t>https://doi.org/10.1080/13854046.2012.686631</w:t>
        </w:r>
      </w:hyperlink>
    </w:p>
    <w:p w14:paraId="69E75D2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K. M., Gagnier, K. R., Moore, T. E., &amp; Todorow, M. (2013). Cognitive aspects of fetal alcohol spectrum disorder. </w:t>
      </w:r>
      <w:r w:rsidRPr="005B38F0">
        <w:rPr>
          <w:rFonts w:ascii="Times New Roman" w:eastAsia="Times New Roman" w:hAnsi="Times New Roman" w:cs="Times New Roman"/>
          <w:i/>
          <w:iCs/>
          <w:sz w:val="24"/>
          <w:szCs w:val="24"/>
        </w:rPr>
        <w:t>WIREs Cognitive 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w:t>
      </w:r>
      <w:r w:rsidRPr="005B38F0">
        <w:rPr>
          <w:rFonts w:ascii="Times New Roman" w:eastAsia="Times New Roman" w:hAnsi="Times New Roman" w:cs="Times New Roman"/>
          <w:sz w:val="24"/>
          <w:szCs w:val="24"/>
        </w:rPr>
        <w:t xml:space="preserve">(1), 81–92. </w:t>
      </w:r>
      <w:hyperlink r:id="rId1328" w:history="1">
        <w:r w:rsidRPr="005B38F0">
          <w:rPr>
            <w:rFonts w:ascii="Times New Roman" w:eastAsia="Times New Roman" w:hAnsi="Times New Roman" w:cs="Times New Roman"/>
            <w:color w:val="0000FF"/>
            <w:sz w:val="24"/>
            <w:szCs w:val="24"/>
            <w:u w:val="single"/>
          </w:rPr>
          <w:t>https://doi.org/10.1002/wcs.1202</w:t>
        </w:r>
      </w:hyperlink>
    </w:p>
    <w:p w14:paraId="6BECB36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Davis, L. W., &amp; Lysaker, P. H. (2004). Neurocognitive correlates of therapeutic alliance in schizophrenia. </w:t>
      </w:r>
      <w:r w:rsidRPr="005B38F0">
        <w:rPr>
          <w:rFonts w:ascii="Times New Roman" w:eastAsia="Times New Roman" w:hAnsi="Times New Roman" w:cs="Times New Roman"/>
          <w:i/>
          <w:iCs/>
          <w:sz w:val="24"/>
          <w:szCs w:val="24"/>
        </w:rPr>
        <w:t>Journal of Nervous and Mental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192</w:t>
      </w:r>
      <w:r w:rsidRPr="005B38F0">
        <w:rPr>
          <w:rFonts w:ascii="Times New Roman" w:eastAsia="Times New Roman" w:hAnsi="Times New Roman" w:cs="Times New Roman"/>
          <w:sz w:val="24"/>
          <w:szCs w:val="24"/>
        </w:rPr>
        <w:t xml:space="preserve">(7), 508–510. </w:t>
      </w:r>
      <w:hyperlink r:id="rId1329" w:history="1">
        <w:r w:rsidRPr="005B38F0">
          <w:rPr>
            <w:rFonts w:ascii="Times New Roman" w:eastAsia="Times New Roman" w:hAnsi="Times New Roman" w:cs="Times New Roman"/>
            <w:color w:val="0000FF"/>
            <w:sz w:val="24"/>
            <w:szCs w:val="24"/>
            <w:u w:val="single"/>
          </w:rPr>
          <w:t>https://doi.org/10.1097/01.nmd.0000131919.60151.a7</w:t>
        </w:r>
      </w:hyperlink>
    </w:p>
    <w:p w14:paraId="72AB344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L. W., &amp; Lysaker, P. H. (2005). Cognitive behavioral therapy and functional and metacognitive outcomes in schizophrenia: A single case study. </w:t>
      </w:r>
      <w:r w:rsidRPr="005B38F0">
        <w:rPr>
          <w:rFonts w:ascii="Times New Roman" w:eastAsia="Times New Roman" w:hAnsi="Times New Roman" w:cs="Times New Roman"/>
          <w:i/>
          <w:iCs/>
          <w:sz w:val="24"/>
          <w:szCs w:val="24"/>
        </w:rPr>
        <w:t>Cognitive and Behavioral Practice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(4), 468–478. </w:t>
      </w:r>
      <w:hyperlink r:id="rId1330" w:history="1">
        <w:r w:rsidRPr="005B38F0">
          <w:rPr>
            <w:rFonts w:ascii="Times New Roman" w:eastAsia="Times New Roman" w:hAnsi="Times New Roman" w:cs="Times New Roman"/>
            <w:color w:val="0000FF"/>
            <w:sz w:val="24"/>
            <w:szCs w:val="24"/>
            <w:u w:val="single"/>
          </w:rPr>
          <w:t>https://doi.org/10.1016/S1077-7229(05)80074-4</w:t>
        </w:r>
      </w:hyperlink>
    </w:p>
    <w:p w14:paraId="2D02960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L. W., Nees, M. A., Hunter, N. L., &amp; Lysaker, P. H. (2004). Hopelessness as a Predictor of Work Functioning Among Patients With Schizophrenia. </w:t>
      </w:r>
      <w:r w:rsidRPr="005B38F0">
        <w:rPr>
          <w:rFonts w:ascii="Times New Roman" w:eastAsia="Times New Roman" w:hAnsi="Times New Roman" w:cs="Times New Roman"/>
          <w:i/>
          <w:iCs/>
          <w:sz w:val="24"/>
          <w:szCs w:val="24"/>
        </w:rPr>
        <w:t>Psychiatric Services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(4), 434–436. </w:t>
      </w:r>
      <w:hyperlink r:id="rId1331" w:history="1">
        <w:r w:rsidRPr="005B38F0">
          <w:rPr>
            <w:rFonts w:ascii="Times New Roman" w:eastAsia="Times New Roman" w:hAnsi="Times New Roman" w:cs="Times New Roman"/>
            <w:color w:val="0000FF"/>
            <w:sz w:val="24"/>
            <w:szCs w:val="24"/>
            <w:u w:val="single"/>
          </w:rPr>
          <w:t>https://doi.org/10.1176/appi.ps.55.4.434</w:t>
        </w:r>
      </w:hyperlink>
    </w:p>
    <w:p w14:paraId="5742C14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R. D. (1993). </w:t>
      </w:r>
      <w:r w:rsidRPr="005B38F0">
        <w:rPr>
          <w:rFonts w:ascii="Times New Roman" w:eastAsia="Times New Roman" w:hAnsi="Times New Roman" w:cs="Times New Roman"/>
          <w:i/>
          <w:iCs/>
          <w:sz w:val="24"/>
          <w:szCs w:val="24"/>
        </w:rPr>
        <w:t>Performance on a modified version of the Wisconsin card sorting test as a function of intelligence.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(11-B), 5971–5971.</w:t>
      </w:r>
    </w:p>
    <w:p w14:paraId="36FE34E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R. N., &amp; Nolen-Hoeksema, S. (2000). Cognitive inflexibility among ruminators and nonruminators. </w:t>
      </w:r>
      <w:r w:rsidRPr="005B38F0">
        <w:rPr>
          <w:rFonts w:ascii="Times New Roman" w:eastAsia="Times New Roman" w:hAnsi="Times New Roman" w:cs="Times New Roman"/>
          <w:i/>
          <w:iCs/>
          <w:sz w:val="24"/>
          <w:szCs w:val="24"/>
        </w:rPr>
        <w:t>Cognitive Therapy and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(6), 699–711. </w:t>
      </w:r>
      <w:hyperlink r:id="rId1332" w:history="1">
        <w:r w:rsidRPr="005B38F0">
          <w:rPr>
            <w:rFonts w:ascii="Times New Roman" w:eastAsia="Times New Roman" w:hAnsi="Times New Roman" w:cs="Times New Roman"/>
            <w:color w:val="0000FF"/>
            <w:sz w:val="24"/>
            <w:szCs w:val="24"/>
            <w:u w:val="single"/>
          </w:rPr>
          <w:t>https://doi.org/10.1023/A:1005591412406</w:t>
        </w:r>
      </w:hyperlink>
    </w:p>
    <w:p w14:paraId="5140A03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Davis, T., Love, B. C., &amp; Maddox, W. T. (2012). Age-related declines in the fidelity of newly acquired category representations. </w:t>
      </w:r>
      <w:r w:rsidRPr="005B38F0">
        <w:rPr>
          <w:rFonts w:ascii="Times New Roman" w:eastAsia="Times New Roman" w:hAnsi="Times New Roman" w:cs="Times New Roman"/>
          <w:i/>
          <w:iCs/>
          <w:sz w:val="24"/>
          <w:szCs w:val="24"/>
        </w:rPr>
        <w:t>Learning &amp;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(8), 325–329. </w:t>
      </w:r>
      <w:hyperlink r:id="rId1333" w:history="1">
        <w:r w:rsidRPr="005B38F0">
          <w:rPr>
            <w:rFonts w:ascii="Times New Roman" w:eastAsia="Times New Roman" w:hAnsi="Times New Roman" w:cs="Times New Roman"/>
            <w:color w:val="0000FF"/>
            <w:sz w:val="24"/>
            <w:szCs w:val="24"/>
            <w:u w:val="single"/>
          </w:rPr>
          <w:t>https://doi.org/10.1101/lm.024919.111</w:t>
        </w:r>
      </w:hyperlink>
    </w:p>
    <w:p w14:paraId="37503C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Davydov, D. M., &amp; Polunina, A. G. (2004). Heroin abusers’ performance on the Tower of London Test relates to the baseline EEG alpha2 mean frequency shifts.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(7), 1143–1152. </w:t>
      </w:r>
      <w:hyperlink r:id="rId1334" w:history="1">
        <w:r w:rsidRPr="005B38F0">
          <w:rPr>
            <w:rFonts w:ascii="Times New Roman" w:eastAsia="Times New Roman" w:hAnsi="Times New Roman" w:cs="Times New Roman"/>
            <w:color w:val="0000FF"/>
            <w:sz w:val="24"/>
            <w:szCs w:val="24"/>
            <w:u w:val="single"/>
          </w:rPr>
          <w:t>https://doi.org/10.1016/j.pnpbp.2004.06.006</w:t>
        </w:r>
      </w:hyperlink>
    </w:p>
    <w:p w14:paraId="1C3EE24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Dawes, S., Jeste, D., &amp; Palmer, B. (2011). Cognitive profiles in persons with chronic schizophrenia. </w:t>
      </w:r>
      <w:r w:rsidRPr="005B38F0">
        <w:rPr>
          <w:rFonts w:ascii="Times New Roman" w:eastAsia="Times New Roman" w:hAnsi="Times New Roman" w:cs="Times New Roman"/>
          <w:i/>
          <w:iCs/>
          <w:sz w:val="24"/>
          <w:szCs w:val="24"/>
        </w:rPr>
        <w:t>Journal of Clinical and Experimental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(8), 929–936. </w:t>
      </w:r>
      <w:hyperlink r:id="rId1335" w:history="1">
        <w:r w:rsidRPr="005B38F0">
          <w:rPr>
            <w:rFonts w:ascii="Times New Roman" w:eastAsia="Times New Roman" w:hAnsi="Times New Roman" w:cs="Times New Roman"/>
            <w:color w:val="0000FF"/>
            <w:sz w:val="24"/>
            <w:szCs w:val="24"/>
            <w:u w:val="single"/>
          </w:rPr>
          <w:t>https://doi.org/10.1080/13803395.2011.578569</w:t>
        </w:r>
      </w:hyperlink>
    </w:p>
    <w:p w14:paraId="337AEF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Dawson, D. R., Gaya, A., Hunt, A., Levine, B., Lemsky, C., &amp; Polatajko, H. J. (2009). Using the Cognitive Orientation to Occupational Performance (CO-OP) with adults with executive dysfunction following traumatic brain injury. </w:t>
      </w:r>
      <w:r w:rsidRPr="005B38F0">
        <w:rPr>
          <w:rFonts w:ascii="Times New Roman" w:eastAsia="Times New Roman" w:hAnsi="Times New Roman" w:cs="Times New Roman"/>
          <w:i/>
          <w:iCs/>
          <w:sz w:val="24"/>
          <w:szCs w:val="24"/>
        </w:rPr>
        <w:t>Canadian Journal of Occupational Therapy / Revue Canadienne D’Ergothérapie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76</w:t>
      </w:r>
      <w:r w:rsidRPr="005B38F0">
        <w:rPr>
          <w:rFonts w:ascii="Times New Roman" w:eastAsia="Times New Roman" w:hAnsi="Times New Roman" w:cs="Times New Roman"/>
          <w:sz w:val="24"/>
          <w:szCs w:val="24"/>
        </w:rPr>
        <w:t xml:space="preserve">(2), 115–127. </w:t>
      </w:r>
      <w:hyperlink r:id="rId1336" w:history="1">
        <w:r w:rsidRPr="005B38F0">
          <w:rPr>
            <w:rFonts w:ascii="Times New Roman" w:eastAsia="Times New Roman" w:hAnsi="Times New Roman" w:cs="Times New Roman"/>
            <w:color w:val="0000FF"/>
            <w:sz w:val="24"/>
            <w:szCs w:val="24"/>
            <w:u w:val="single"/>
          </w:rPr>
          <w:t>https://doi.org/10.1177/000841740907600209</w:t>
        </w:r>
      </w:hyperlink>
    </w:p>
    <w:p w14:paraId="0E4B355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Aguiar Assis, R. L., Junho, B. T., &amp; Campos, V. R. (2019). Menor performance das funções executivas prediz maior consumo de álcool e tabaco em adolescentes. [Lower performance of executive functions predicts higher alcohol and tobacco consumption among adolescents.]. </w:t>
      </w:r>
      <w:r w:rsidRPr="005B38F0">
        <w:rPr>
          <w:rFonts w:ascii="Times New Roman" w:eastAsia="Times New Roman" w:hAnsi="Times New Roman" w:cs="Times New Roman"/>
          <w:i/>
          <w:iCs/>
          <w:sz w:val="24"/>
          <w:szCs w:val="24"/>
        </w:rPr>
        <w:t>Jornal Brasileiro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68</w:t>
      </w:r>
      <w:r w:rsidRPr="005B38F0">
        <w:rPr>
          <w:rFonts w:ascii="Times New Roman" w:eastAsia="Times New Roman" w:hAnsi="Times New Roman" w:cs="Times New Roman"/>
          <w:sz w:val="24"/>
          <w:szCs w:val="24"/>
        </w:rPr>
        <w:t xml:space="preserve">(3), 146–152. </w:t>
      </w:r>
      <w:hyperlink r:id="rId1337" w:history="1">
        <w:r w:rsidRPr="005B38F0">
          <w:rPr>
            <w:rFonts w:ascii="Times New Roman" w:eastAsia="Times New Roman" w:hAnsi="Times New Roman" w:cs="Times New Roman"/>
            <w:color w:val="0000FF"/>
            <w:sz w:val="24"/>
            <w:szCs w:val="24"/>
            <w:u w:val="single"/>
          </w:rPr>
          <w:t>https://doi.org/10.1590/0047-2085000000240</w:t>
        </w:r>
      </w:hyperlink>
    </w:p>
    <w:p w14:paraId="764A401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Almeida, M., Kamat, R., Cherner, M., Umlauf, A., Ribeiro, C. E., de Pereira, A. P., Franklin, D., Heaton, R. K., &amp; Ellis, R. J. (2017). Improving detection of HIV-associated cognitive impairment: Comparison of the International HIV Dementia Scale and a brief screening battery. </w:t>
      </w:r>
      <w:r w:rsidRPr="005B38F0">
        <w:rPr>
          <w:rFonts w:ascii="Times New Roman" w:eastAsia="Times New Roman" w:hAnsi="Times New Roman" w:cs="Times New Roman"/>
          <w:i/>
          <w:iCs/>
          <w:sz w:val="24"/>
          <w:szCs w:val="24"/>
        </w:rPr>
        <w:t>JAIDS Journal of Acquired Immune Deficiency Syndromes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74</w:t>
      </w:r>
      <w:r w:rsidRPr="005B38F0">
        <w:rPr>
          <w:rFonts w:ascii="Times New Roman" w:eastAsia="Times New Roman" w:hAnsi="Times New Roman" w:cs="Times New Roman"/>
          <w:sz w:val="24"/>
          <w:szCs w:val="24"/>
        </w:rPr>
        <w:t xml:space="preserve">(3), 332–338. </w:t>
      </w:r>
      <w:hyperlink r:id="rId1338" w:history="1">
        <w:r w:rsidRPr="005B38F0">
          <w:rPr>
            <w:rFonts w:ascii="Times New Roman" w:eastAsia="Times New Roman" w:hAnsi="Times New Roman" w:cs="Times New Roman"/>
            <w:color w:val="0000FF"/>
            <w:sz w:val="24"/>
            <w:szCs w:val="24"/>
            <w:u w:val="single"/>
          </w:rPr>
          <w:t>https://doi.org/10.1097/QAI.0000000000001224</w:t>
        </w:r>
      </w:hyperlink>
    </w:p>
    <w:p w14:paraId="1989AB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Almeida, R. M. M., Flores, A. C. S., &amp; Scheffer, M. (2013). Ideação suicida, resolução de problemas, expressão de raiva e impulsividade em dependentes de substâncias psicoativas. [Suicidal ideation, problem solving, expression of anger and impulsiveness in dependents on psychoactive substances.].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(1), 1–9. </w:t>
      </w:r>
      <w:hyperlink r:id="rId1339" w:history="1">
        <w:r w:rsidRPr="005B38F0">
          <w:rPr>
            <w:rFonts w:ascii="Times New Roman" w:eastAsia="Times New Roman" w:hAnsi="Times New Roman" w:cs="Times New Roman"/>
            <w:color w:val="0000FF"/>
            <w:sz w:val="24"/>
            <w:szCs w:val="24"/>
            <w:u w:val="single"/>
          </w:rPr>
          <w:t>https://doi.org/10.1590/S0102-79722013000100001</w:t>
        </w:r>
      </w:hyperlink>
    </w:p>
    <w:p w14:paraId="517FF61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 Almeida, S. M., Ribeiro, C. E., de Pereira, A. P., Badiee, J., Cherner, M., Smith, D., Maich, I., Raboni, S. M., Rotta, I., Barbosa, F. J., Heaton, R. K., Umlauf, A., &amp; Ellis, R. J. (2013). Neurocognitive impairment in HIV-1 clade C- versus B-infected individuals in Southern Brazil. </w:t>
      </w:r>
      <w:r w:rsidRPr="005B38F0">
        <w:rPr>
          <w:rFonts w:ascii="Times New Roman" w:eastAsia="Times New Roman" w:hAnsi="Times New Roman" w:cs="Times New Roman"/>
          <w:i/>
          <w:iCs/>
          <w:sz w:val="24"/>
          <w:szCs w:val="24"/>
        </w:rPr>
        <w:t>Journal of Neurovirology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(6), 550–556. </w:t>
      </w:r>
      <w:hyperlink r:id="rId1340" w:history="1">
        <w:r w:rsidRPr="005B38F0">
          <w:rPr>
            <w:rFonts w:ascii="Times New Roman" w:eastAsia="Times New Roman" w:hAnsi="Times New Roman" w:cs="Times New Roman"/>
            <w:color w:val="0000FF"/>
            <w:sz w:val="24"/>
            <w:szCs w:val="24"/>
            <w:u w:val="single"/>
          </w:rPr>
          <w:t>https://doi.org/10.1007/s13365-013-0215-5</w:t>
        </w:r>
      </w:hyperlink>
    </w:p>
    <w:p w14:paraId="35117C8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Almondes, K. M., Matos Leonardo, M. E., &amp; Souza Moreira, A. M. (2017). Effects of a cognitive training program and sleep hygiene for executive functions and sleep quality in healthy elderly.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(1), 69–78. </w:t>
      </w:r>
      <w:hyperlink r:id="rId1341" w:history="1">
        <w:r w:rsidRPr="005B38F0">
          <w:rPr>
            <w:rFonts w:ascii="Times New Roman" w:eastAsia="Times New Roman" w:hAnsi="Times New Roman" w:cs="Times New Roman"/>
            <w:color w:val="0000FF"/>
            <w:sz w:val="24"/>
            <w:szCs w:val="24"/>
            <w:u w:val="single"/>
          </w:rPr>
          <w:t>https://doi.org/10.1590/1980-57642016dn11-010011</w:t>
        </w:r>
      </w:hyperlink>
    </w:p>
    <w:p w14:paraId="7AE2C6D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Amorim, R. H. C., de Castro Magalhães, L., Malloy-Diniz, L. F., &amp; Campos, A. F. (2013). Cognitive profile of seven years old children born preterm with weight below 1500 grams. </w:t>
      </w:r>
      <w:r w:rsidRPr="005B38F0">
        <w:rPr>
          <w:rFonts w:ascii="Times New Roman" w:eastAsia="Times New Roman" w:hAnsi="Times New Roman" w:cs="Times New Roman"/>
          <w:i/>
          <w:iCs/>
          <w:sz w:val="24"/>
          <w:szCs w:val="24"/>
        </w:rPr>
        <w:t>Clinical Neuropsychiatry: Journal of Treatment Evaluation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(2), 72–78.</w:t>
      </w:r>
    </w:p>
    <w:p w14:paraId="68F22B3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Andrade, S. P. C., Brucki, S. M. D., Bueno, O. F. A., &amp; Neto, J. I. S. (2012). Neuropsychological performance in patients with subcortical stroke.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70</w:t>
      </w:r>
      <w:r w:rsidRPr="005B38F0">
        <w:rPr>
          <w:rFonts w:ascii="Times New Roman" w:eastAsia="Times New Roman" w:hAnsi="Times New Roman" w:cs="Times New Roman"/>
          <w:sz w:val="24"/>
          <w:szCs w:val="24"/>
        </w:rPr>
        <w:t xml:space="preserve">(5), 341–347. </w:t>
      </w:r>
      <w:hyperlink r:id="rId1342" w:history="1">
        <w:r w:rsidRPr="005B38F0">
          <w:rPr>
            <w:rFonts w:ascii="Times New Roman" w:eastAsia="Times New Roman" w:hAnsi="Times New Roman" w:cs="Times New Roman"/>
            <w:color w:val="0000FF"/>
            <w:sz w:val="24"/>
            <w:szCs w:val="24"/>
            <w:u w:val="single"/>
          </w:rPr>
          <w:t>https://doi.org/10.1590/S0004-282X2012005000012</w:t>
        </w:r>
      </w:hyperlink>
    </w:p>
    <w:p w14:paraId="2D7107B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Andrade Varanda, C., &amp; Fernandes, F. D. M. (2015). Assessing cognitive flexibility, communication, social interaction and interest patterns of persons with autism as a basis for intervention. </w:t>
      </w:r>
      <w:r w:rsidRPr="005B38F0">
        <w:rPr>
          <w:rFonts w:ascii="Times New Roman" w:eastAsia="Times New Roman" w:hAnsi="Times New Roman" w:cs="Times New Roman"/>
          <w:i/>
          <w:iCs/>
          <w:sz w:val="24"/>
          <w:szCs w:val="24"/>
        </w:rPr>
        <w:t>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w:t>
      </w:r>
      <w:r w:rsidRPr="005B38F0">
        <w:rPr>
          <w:rFonts w:ascii="Times New Roman" w:eastAsia="Times New Roman" w:hAnsi="Times New Roman" w:cs="Times New Roman"/>
          <w:sz w:val="24"/>
          <w:szCs w:val="24"/>
        </w:rPr>
        <w:t xml:space="preserve">(4), 387–392. </w:t>
      </w:r>
      <w:hyperlink r:id="rId1343" w:history="1">
        <w:r w:rsidRPr="005B38F0">
          <w:rPr>
            <w:rFonts w:ascii="Times New Roman" w:eastAsia="Times New Roman" w:hAnsi="Times New Roman" w:cs="Times New Roman"/>
            <w:color w:val="0000FF"/>
            <w:sz w:val="24"/>
            <w:szCs w:val="24"/>
            <w:u w:val="single"/>
          </w:rPr>
          <w:t>https://doi.org/10.4236/psych.2015.64035</w:t>
        </w:r>
      </w:hyperlink>
    </w:p>
    <w:p w14:paraId="6442DC4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Assis da Silva, R., Mograbi, D. C., Landeira-Fernandez, J., &amp; Cheniaux, E. (2014). O insight no transtorno bipolar: Uma revisão sistemática. [Insight in bipolar disorder: A systematic review.]. </w:t>
      </w:r>
      <w:r w:rsidRPr="005B38F0">
        <w:rPr>
          <w:rFonts w:ascii="Times New Roman" w:eastAsia="Times New Roman" w:hAnsi="Times New Roman" w:cs="Times New Roman"/>
          <w:i/>
          <w:iCs/>
          <w:sz w:val="24"/>
          <w:szCs w:val="24"/>
        </w:rPr>
        <w:t>Jornal Brasileiro de 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63</w:t>
      </w:r>
      <w:r w:rsidRPr="005B38F0">
        <w:rPr>
          <w:rFonts w:ascii="Times New Roman" w:eastAsia="Times New Roman" w:hAnsi="Times New Roman" w:cs="Times New Roman"/>
          <w:sz w:val="24"/>
          <w:szCs w:val="24"/>
        </w:rPr>
        <w:t xml:space="preserve">(3), 242–254. </w:t>
      </w:r>
      <w:hyperlink r:id="rId1344" w:history="1">
        <w:r w:rsidRPr="005B38F0">
          <w:rPr>
            <w:rFonts w:ascii="Times New Roman" w:eastAsia="Times New Roman" w:hAnsi="Times New Roman" w:cs="Times New Roman"/>
            <w:color w:val="0000FF"/>
            <w:sz w:val="24"/>
            <w:szCs w:val="24"/>
            <w:u w:val="single"/>
          </w:rPr>
          <w:t>https://doi.org/10.1590/0047-2085000000032</w:t>
        </w:r>
      </w:hyperlink>
    </w:p>
    <w:p w14:paraId="7409DBA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 Azua, S. R., Matute, C., Stertz, L., Mosquera, F., Palomino, A., de la Rosa, I., Barbeito, S., Vega, P., Kapczinski, F., &amp; González-Pinto, A. (2013). Plasma brain-derived neurotrophic factor levels, learning capacity and cognition in patients with first episode psychosis. </w:t>
      </w:r>
      <w:r w:rsidRPr="005B38F0">
        <w:rPr>
          <w:rFonts w:ascii="Times New Roman" w:eastAsia="Times New Roman" w:hAnsi="Times New Roman" w:cs="Times New Roman"/>
          <w:i/>
          <w:iCs/>
          <w:sz w:val="24"/>
          <w:szCs w:val="24"/>
        </w:rPr>
        <w:t>BMC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w:t>
      </w:r>
      <w:r w:rsidRPr="005B38F0">
        <w:rPr>
          <w:rFonts w:ascii="Times New Roman" w:eastAsia="Times New Roman" w:hAnsi="Times New Roman" w:cs="Times New Roman"/>
          <w:sz w:val="24"/>
          <w:szCs w:val="24"/>
        </w:rPr>
        <w:t xml:space="preserve">. </w:t>
      </w:r>
      <w:hyperlink r:id="rId1345" w:history="1">
        <w:r w:rsidRPr="005B38F0">
          <w:rPr>
            <w:rFonts w:ascii="Times New Roman" w:eastAsia="Times New Roman" w:hAnsi="Times New Roman" w:cs="Times New Roman"/>
            <w:color w:val="0000FF"/>
            <w:sz w:val="24"/>
            <w:szCs w:val="24"/>
            <w:u w:val="single"/>
          </w:rPr>
          <w:t>https://doi.org/10.1186/1471-244X-13-27</w:t>
        </w:r>
      </w:hyperlink>
    </w:p>
    <w:p w14:paraId="393D38B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Baene, W., Rijnen, S. J. M., Gehring, K., Meskal, I., Rutten, G.-J. M., &amp; Sitskoorn, M. M. (2019). Lesion symptom mapping at the regional level in patients with a meningioma.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33</w:t>
      </w:r>
      <w:r w:rsidRPr="005B38F0">
        <w:rPr>
          <w:rFonts w:ascii="Times New Roman" w:eastAsia="Times New Roman" w:hAnsi="Times New Roman" w:cs="Times New Roman"/>
          <w:sz w:val="24"/>
          <w:szCs w:val="24"/>
        </w:rPr>
        <w:t xml:space="preserve">(1), 103–110. </w:t>
      </w:r>
      <w:hyperlink r:id="rId1346" w:history="1">
        <w:r w:rsidRPr="005B38F0">
          <w:rPr>
            <w:rFonts w:ascii="Times New Roman" w:eastAsia="Times New Roman" w:hAnsi="Times New Roman" w:cs="Times New Roman"/>
            <w:color w:val="0000FF"/>
            <w:sz w:val="24"/>
            <w:szCs w:val="24"/>
            <w:u w:val="single"/>
          </w:rPr>
          <w:t>https://doi.org/10.1037/neu0000490</w:t>
        </w:r>
      </w:hyperlink>
    </w:p>
    <w:p w14:paraId="7CB4A4A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Bellis, M. D., Morey, R. A., Nooner, K. B., Woolley, D. P., Haswell, C. C., &amp; Hooper, S. R. (2019). A pilot study of neurocognitive function and brain structures in adolescents with alcohol use disorders: Does maltreatment history matter? </w:t>
      </w:r>
      <w:r w:rsidRPr="005B38F0">
        <w:rPr>
          <w:rFonts w:ascii="Times New Roman" w:eastAsia="Times New Roman" w:hAnsi="Times New Roman" w:cs="Times New Roman"/>
          <w:i/>
          <w:iCs/>
          <w:sz w:val="24"/>
          <w:szCs w:val="24"/>
        </w:rPr>
        <w:t>Child Maltreatment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(4), 374–388. </w:t>
      </w:r>
      <w:hyperlink r:id="rId1347" w:history="1">
        <w:r w:rsidRPr="005B38F0">
          <w:rPr>
            <w:rFonts w:ascii="Times New Roman" w:eastAsia="Times New Roman" w:hAnsi="Times New Roman" w:cs="Times New Roman"/>
            <w:color w:val="0000FF"/>
            <w:sz w:val="24"/>
            <w:szCs w:val="24"/>
            <w:u w:val="single"/>
          </w:rPr>
          <w:t>https://doi.org/10.1177/1077559518810525</w:t>
        </w:r>
      </w:hyperlink>
    </w:p>
    <w:p w14:paraId="391DB06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Bellis, M. D., Spratt, E. G., &amp; Hooper, S. R. (2011). Cutting edge technologies: Neurodevelopmental biology associated with childhood sexual abuse. </w:t>
      </w:r>
      <w:r w:rsidRPr="005B38F0">
        <w:rPr>
          <w:rFonts w:ascii="Times New Roman" w:eastAsia="Times New Roman" w:hAnsi="Times New Roman" w:cs="Times New Roman"/>
          <w:i/>
          <w:iCs/>
          <w:sz w:val="24"/>
          <w:szCs w:val="24"/>
        </w:rPr>
        <w:t>Journal of Child Sexual Abuse: Research, Treatment, &amp; Program Innovations for Victims, Survivors, &amp; Offenders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w:t>
      </w:r>
      <w:r w:rsidRPr="005B38F0">
        <w:rPr>
          <w:rFonts w:ascii="Times New Roman" w:eastAsia="Times New Roman" w:hAnsi="Times New Roman" w:cs="Times New Roman"/>
          <w:sz w:val="24"/>
          <w:szCs w:val="24"/>
        </w:rPr>
        <w:t xml:space="preserve">(5), 548–587. </w:t>
      </w:r>
      <w:hyperlink r:id="rId1348" w:history="1">
        <w:r w:rsidRPr="005B38F0">
          <w:rPr>
            <w:rFonts w:ascii="Times New Roman" w:eastAsia="Times New Roman" w:hAnsi="Times New Roman" w:cs="Times New Roman"/>
            <w:color w:val="0000FF"/>
            <w:sz w:val="24"/>
            <w:szCs w:val="24"/>
            <w:u w:val="single"/>
          </w:rPr>
          <w:t>https://doi.org/10.1080/10538712.2011.607753</w:t>
        </w:r>
      </w:hyperlink>
    </w:p>
    <w:p w14:paraId="430429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Bellis, M. D., Woolley, D. P., &amp; Hooper, S. R. (2013). Neuropsychological findings in pediatric maltreatment: Relationship of PTSD, dissociative symptoms, and abuse/neglect indices to neurocognitive outcomes. </w:t>
      </w:r>
      <w:r w:rsidRPr="005B38F0">
        <w:rPr>
          <w:rFonts w:ascii="Times New Roman" w:eastAsia="Times New Roman" w:hAnsi="Times New Roman" w:cs="Times New Roman"/>
          <w:i/>
          <w:iCs/>
          <w:sz w:val="24"/>
          <w:szCs w:val="24"/>
        </w:rPr>
        <w:t>Child Maltreatment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w:t>
      </w:r>
      <w:r w:rsidRPr="005B38F0">
        <w:rPr>
          <w:rFonts w:ascii="Times New Roman" w:eastAsia="Times New Roman" w:hAnsi="Times New Roman" w:cs="Times New Roman"/>
          <w:sz w:val="24"/>
          <w:szCs w:val="24"/>
        </w:rPr>
        <w:t xml:space="preserve">(3), 171–183. </w:t>
      </w:r>
      <w:hyperlink r:id="rId1349" w:history="1">
        <w:r w:rsidRPr="005B38F0">
          <w:rPr>
            <w:rFonts w:ascii="Times New Roman" w:eastAsia="Times New Roman" w:hAnsi="Times New Roman" w:cs="Times New Roman"/>
            <w:color w:val="0000FF"/>
            <w:sz w:val="24"/>
            <w:szCs w:val="24"/>
            <w:u w:val="single"/>
          </w:rPr>
          <w:t>https://doi.org/10.1177/1077559513497420</w:t>
        </w:r>
      </w:hyperlink>
    </w:p>
    <w:p w14:paraId="11C13F5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Brigard, F., Langella, S., Stanley, M. L., Castel, A. D., &amp; Giovanello, K. S. (2020). Age-related differences in recognition in associative memory. </w:t>
      </w:r>
      <w:r w:rsidRPr="005B38F0">
        <w:rPr>
          <w:rFonts w:ascii="Times New Roman" w:eastAsia="Times New Roman" w:hAnsi="Times New Roman" w:cs="Times New Roman"/>
          <w:i/>
          <w:iCs/>
          <w:sz w:val="24"/>
          <w:szCs w:val="24"/>
        </w:rPr>
        <w:t>Aging, Neuropsychology, and Cognition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27</w:t>
      </w:r>
      <w:r w:rsidRPr="005B38F0">
        <w:rPr>
          <w:rFonts w:ascii="Times New Roman" w:eastAsia="Times New Roman" w:hAnsi="Times New Roman" w:cs="Times New Roman"/>
          <w:sz w:val="24"/>
          <w:szCs w:val="24"/>
        </w:rPr>
        <w:t xml:space="preserve">(2), 289–301. </w:t>
      </w:r>
      <w:hyperlink r:id="rId1350" w:history="1">
        <w:r w:rsidRPr="005B38F0">
          <w:rPr>
            <w:rFonts w:ascii="Times New Roman" w:eastAsia="Times New Roman" w:hAnsi="Times New Roman" w:cs="Times New Roman"/>
            <w:color w:val="0000FF"/>
            <w:sz w:val="24"/>
            <w:szCs w:val="24"/>
            <w:u w:val="single"/>
          </w:rPr>
          <w:t>https://doi.org/10.1080/13825585.2019.1607820</w:t>
        </w:r>
      </w:hyperlink>
    </w:p>
    <w:p w14:paraId="3DA737E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 Bruijn, A. G. M., Hartman, E., Kostons, D., Visscher, C., &amp; Bosker, R. J. (2018). Exploring the relations among physical fitness, executive functioning, and low academic achievement. </w:t>
      </w:r>
      <w:r w:rsidRPr="005B38F0">
        <w:rPr>
          <w:rFonts w:ascii="Times New Roman" w:eastAsia="Times New Roman" w:hAnsi="Times New Roman" w:cs="Times New Roman"/>
          <w:i/>
          <w:iCs/>
          <w:sz w:val="24"/>
          <w:szCs w:val="24"/>
        </w:rPr>
        <w:t>Journal of Experimental Child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167</w:t>
      </w:r>
      <w:r w:rsidRPr="005B38F0">
        <w:rPr>
          <w:rFonts w:ascii="Times New Roman" w:eastAsia="Times New Roman" w:hAnsi="Times New Roman" w:cs="Times New Roman"/>
          <w:sz w:val="24"/>
          <w:szCs w:val="24"/>
        </w:rPr>
        <w:t xml:space="preserve">, 204–221. </w:t>
      </w:r>
      <w:hyperlink r:id="rId1351" w:history="1">
        <w:r w:rsidRPr="005B38F0">
          <w:rPr>
            <w:rFonts w:ascii="Times New Roman" w:eastAsia="Times New Roman" w:hAnsi="Times New Roman" w:cs="Times New Roman"/>
            <w:color w:val="0000FF"/>
            <w:sz w:val="24"/>
            <w:szCs w:val="24"/>
            <w:u w:val="single"/>
          </w:rPr>
          <w:t>https://doi.org/10.1016/j.jecp.2017.10.010</w:t>
        </w:r>
      </w:hyperlink>
    </w:p>
    <w:p w14:paraId="53198B1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Bustamante Carim, D., Miranda, M. C., &amp; Bueno, O. F. A. (2012). Tradução e Adaptação para o Português do Behavior Rating Inventory of Executive Function—BRIEF. [Translation and adaptation into Portuguese of the Behavior Rating Inventory of Executive Function—BRIEF.].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25</w:t>
      </w:r>
      <w:r w:rsidRPr="005B38F0">
        <w:rPr>
          <w:rFonts w:ascii="Times New Roman" w:eastAsia="Times New Roman" w:hAnsi="Times New Roman" w:cs="Times New Roman"/>
          <w:sz w:val="24"/>
          <w:szCs w:val="24"/>
        </w:rPr>
        <w:t xml:space="preserve">(4), 653–661. </w:t>
      </w:r>
      <w:hyperlink r:id="rId1352" w:history="1">
        <w:r w:rsidRPr="005B38F0">
          <w:rPr>
            <w:rFonts w:ascii="Times New Roman" w:eastAsia="Times New Roman" w:hAnsi="Times New Roman" w:cs="Times New Roman"/>
            <w:color w:val="0000FF"/>
            <w:sz w:val="24"/>
            <w:szCs w:val="24"/>
            <w:u w:val="single"/>
          </w:rPr>
          <w:t>https://doi.org/10.1590/S0102-79722012000400004</w:t>
        </w:r>
      </w:hyperlink>
    </w:p>
    <w:p w14:paraId="15F8CA5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Felice, S., Romani, C., Geberhiwot, T., MacDonald, A., &amp; Palermo, L. (2018). Language processing and executive functions in early treated adults with phenylketonuria (PKU). </w:t>
      </w:r>
      <w:r w:rsidRPr="005B38F0">
        <w:rPr>
          <w:rFonts w:ascii="Times New Roman" w:eastAsia="Times New Roman" w:hAnsi="Times New Roman" w:cs="Times New Roman"/>
          <w:i/>
          <w:iCs/>
          <w:sz w:val="24"/>
          <w:szCs w:val="24"/>
        </w:rPr>
        <w:t>Cognitive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(3–4), 148–170. </w:t>
      </w:r>
      <w:hyperlink r:id="rId1353" w:history="1">
        <w:r w:rsidRPr="005B38F0">
          <w:rPr>
            <w:rFonts w:ascii="Times New Roman" w:eastAsia="Times New Roman" w:hAnsi="Times New Roman" w:cs="Times New Roman"/>
            <w:color w:val="0000FF"/>
            <w:sz w:val="24"/>
            <w:szCs w:val="24"/>
            <w:u w:val="single"/>
          </w:rPr>
          <w:t>https://doi.org/10.1080/02643294.2017.1422709</w:t>
        </w:r>
      </w:hyperlink>
    </w:p>
    <w:p w14:paraId="04774A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Filippis, R., Aloi, M., Bruni, A., Gaetano, R., Segura-Garcia, C., &amp; De Fazio, P. (2018). Bipolar disorder and obsessive compulsive disorder: The comorbidity does not further impair the neurocognitive profile. </w:t>
      </w:r>
      <w:r w:rsidRPr="005B38F0">
        <w:rPr>
          <w:rFonts w:ascii="Times New Roman" w:eastAsia="Times New Roman" w:hAnsi="Times New Roman" w:cs="Times New Roman"/>
          <w:i/>
          <w:iCs/>
          <w:sz w:val="24"/>
          <w:szCs w:val="24"/>
        </w:rPr>
        <w:t>Journal of Affective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235</w:t>
      </w:r>
      <w:r w:rsidRPr="005B38F0">
        <w:rPr>
          <w:rFonts w:ascii="Times New Roman" w:eastAsia="Times New Roman" w:hAnsi="Times New Roman" w:cs="Times New Roman"/>
          <w:sz w:val="24"/>
          <w:szCs w:val="24"/>
        </w:rPr>
        <w:t xml:space="preserve">, 1–6. </w:t>
      </w:r>
      <w:hyperlink r:id="rId1354" w:history="1">
        <w:r w:rsidRPr="005B38F0">
          <w:rPr>
            <w:rFonts w:ascii="Times New Roman" w:eastAsia="Times New Roman" w:hAnsi="Times New Roman" w:cs="Times New Roman"/>
            <w:color w:val="0000FF"/>
            <w:sz w:val="24"/>
            <w:szCs w:val="24"/>
            <w:u w:val="single"/>
          </w:rPr>
          <w:t>https://doi.org/10.1016/j.jad.2018.03.010</w:t>
        </w:r>
      </w:hyperlink>
    </w:p>
    <w:p w14:paraId="6F650FF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Geus, F., Denys, D. A. J. P., Sitskoorn, M. M., &amp; Westenberg, H. G. M. (2007). Attention and cognition in patients with obsessive-compulsive disorder. </w:t>
      </w:r>
      <w:r w:rsidRPr="005B38F0">
        <w:rPr>
          <w:rFonts w:ascii="Times New Roman" w:eastAsia="Times New Roman" w:hAnsi="Times New Roman" w:cs="Times New Roman"/>
          <w:i/>
          <w:iCs/>
          <w:sz w:val="24"/>
          <w:szCs w:val="24"/>
        </w:rPr>
        <w:t>Psychiatry and Clinical Neurosciences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61</w:t>
      </w:r>
      <w:r w:rsidRPr="005B38F0">
        <w:rPr>
          <w:rFonts w:ascii="Times New Roman" w:eastAsia="Times New Roman" w:hAnsi="Times New Roman" w:cs="Times New Roman"/>
          <w:sz w:val="24"/>
          <w:szCs w:val="24"/>
        </w:rPr>
        <w:t xml:space="preserve">(1), 45–53. </w:t>
      </w:r>
      <w:hyperlink r:id="rId1355" w:history="1">
        <w:r w:rsidRPr="005B38F0">
          <w:rPr>
            <w:rFonts w:ascii="Times New Roman" w:eastAsia="Times New Roman" w:hAnsi="Times New Roman" w:cs="Times New Roman"/>
            <w:color w:val="0000FF"/>
            <w:sz w:val="24"/>
            <w:szCs w:val="24"/>
            <w:u w:val="single"/>
          </w:rPr>
          <w:t>https://doi.org/10.1111/j.1440-1819.2007.01609.x</w:t>
        </w:r>
      </w:hyperlink>
    </w:p>
    <w:p w14:paraId="13214C7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Geus, F., Denys, D., &amp; Westenberg, H. G. M. (2007). Effects of quetiapine on cognitive functioning in obsessive-compulsive disorder. </w:t>
      </w:r>
      <w:r w:rsidRPr="005B38F0">
        <w:rPr>
          <w:rFonts w:ascii="Times New Roman" w:eastAsia="Times New Roman" w:hAnsi="Times New Roman" w:cs="Times New Roman"/>
          <w:i/>
          <w:iCs/>
          <w:sz w:val="24"/>
          <w:szCs w:val="24"/>
        </w:rPr>
        <w:t>International Clinical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77–84. </w:t>
      </w:r>
      <w:hyperlink r:id="rId1356" w:history="1">
        <w:r w:rsidRPr="005B38F0">
          <w:rPr>
            <w:rFonts w:ascii="Times New Roman" w:eastAsia="Times New Roman" w:hAnsi="Times New Roman" w:cs="Times New Roman"/>
            <w:color w:val="0000FF"/>
            <w:sz w:val="24"/>
            <w:szCs w:val="24"/>
            <w:u w:val="single"/>
          </w:rPr>
          <w:t>https://doi.org/10.1097/YIC.0b013e32801182f7</w:t>
        </w:r>
      </w:hyperlink>
    </w:p>
    <w:p w14:paraId="7F8063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 Greeff, J. W., Hartman, E., Mullender-Wijnsma, M. J., Bosker, R. J., Doolaard, S., &amp; Visscher, C. (2016). Long-term effects of physically active academic lessons on physical fitness and executive functions in primary school children. </w:t>
      </w:r>
      <w:r w:rsidRPr="005B38F0">
        <w:rPr>
          <w:rFonts w:ascii="Times New Roman" w:eastAsia="Times New Roman" w:hAnsi="Times New Roman" w:cs="Times New Roman"/>
          <w:i/>
          <w:iCs/>
          <w:sz w:val="24"/>
          <w:szCs w:val="24"/>
        </w:rPr>
        <w:t>Health Education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(2), 185–194. </w:t>
      </w:r>
      <w:hyperlink r:id="rId1357" w:history="1">
        <w:r w:rsidRPr="005B38F0">
          <w:rPr>
            <w:rFonts w:ascii="Times New Roman" w:eastAsia="Times New Roman" w:hAnsi="Times New Roman" w:cs="Times New Roman"/>
            <w:color w:val="0000FF"/>
            <w:sz w:val="24"/>
            <w:szCs w:val="24"/>
            <w:u w:val="single"/>
          </w:rPr>
          <w:t>https://doi.org/10.1093/her/cyv102</w:t>
        </w:r>
      </w:hyperlink>
    </w:p>
    <w:p w14:paraId="7B79DF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Herdt, A., Wampers, M., Vancampfort, D., De Hert, M., Vanhees, L., Demunter, H., Van Bouwel, L., Brunner, E., &amp; Probst, M. (2013). Neurocognition in clinical high risk young adults who did or did not convert to a first schizophrenic psychosis: A meta-analysis.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149</w:t>
      </w:r>
      <w:r w:rsidRPr="005B38F0">
        <w:rPr>
          <w:rFonts w:ascii="Times New Roman" w:eastAsia="Times New Roman" w:hAnsi="Times New Roman" w:cs="Times New Roman"/>
          <w:sz w:val="24"/>
          <w:szCs w:val="24"/>
        </w:rPr>
        <w:t xml:space="preserve">(1–3), 48–55. </w:t>
      </w:r>
      <w:hyperlink r:id="rId1358" w:history="1">
        <w:r w:rsidRPr="005B38F0">
          <w:rPr>
            <w:rFonts w:ascii="Times New Roman" w:eastAsia="Times New Roman" w:hAnsi="Times New Roman" w:cs="Times New Roman"/>
            <w:color w:val="0000FF"/>
            <w:sz w:val="24"/>
            <w:szCs w:val="24"/>
            <w:u w:val="single"/>
          </w:rPr>
          <w:t>https://doi.org/10.1016/j.schres.2013.06.017</w:t>
        </w:r>
      </w:hyperlink>
    </w:p>
    <w:p w14:paraId="0D6D6EC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Jong, J. (Sjakko) J., de Gelder, B. (Beatrice), &amp; Hodiamont, P. (Paul) P. G. (2013). Sensory processing, neurocognition, and social cognition in schizophrenia: Towards a cohesive cognitive model.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146</w:t>
      </w:r>
      <w:r w:rsidRPr="005B38F0">
        <w:rPr>
          <w:rFonts w:ascii="Times New Roman" w:eastAsia="Times New Roman" w:hAnsi="Times New Roman" w:cs="Times New Roman"/>
          <w:sz w:val="24"/>
          <w:szCs w:val="24"/>
        </w:rPr>
        <w:t xml:space="preserve">(1–3), 209–216. </w:t>
      </w:r>
      <w:hyperlink r:id="rId1359" w:history="1">
        <w:r w:rsidRPr="005B38F0">
          <w:rPr>
            <w:rFonts w:ascii="Times New Roman" w:eastAsia="Times New Roman" w:hAnsi="Times New Roman" w:cs="Times New Roman"/>
            <w:color w:val="0000FF"/>
            <w:sz w:val="24"/>
            <w:szCs w:val="24"/>
            <w:u w:val="single"/>
          </w:rPr>
          <w:t>https://doi.org/10.1016/j.schres.2013.02.034</w:t>
        </w:r>
      </w:hyperlink>
    </w:p>
    <w:p w14:paraId="3A4079E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Fuente, A., Vignaga, S. S., Prado, P., Figueras, R., Lizaso, L., Manes, F., Cetkovich, M., Tagliazucchi, E., &amp; Torralva, T. (2021). Early onset consumption of coca paste associated with executive-attention vulnerability markers linked to caudate-frontal structural and functional abnormalities.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227</w:t>
      </w:r>
      <w:r w:rsidRPr="005B38F0">
        <w:rPr>
          <w:rFonts w:ascii="Times New Roman" w:eastAsia="Times New Roman" w:hAnsi="Times New Roman" w:cs="Times New Roman"/>
          <w:sz w:val="24"/>
          <w:szCs w:val="24"/>
        </w:rPr>
        <w:t xml:space="preserve">. </w:t>
      </w:r>
      <w:hyperlink r:id="rId1360" w:history="1">
        <w:r w:rsidRPr="005B38F0">
          <w:rPr>
            <w:rFonts w:ascii="Times New Roman" w:eastAsia="Times New Roman" w:hAnsi="Times New Roman" w:cs="Times New Roman"/>
            <w:color w:val="0000FF"/>
            <w:sz w:val="24"/>
            <w:szCs w:val="24"/>
            <w:u w:val="single"/>
          </w:rPr>
          <w:t>https://doi.org/10.1016/j.drugalcdep.2021.108926</w:t>
        </w:r>
      </w:hyperlink>
    </w:p>
    <w:p w14:paraId="56924F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Andrés-Perpiñá, S., Puig, O., Baeza, I., Bombin, I., Bartrés-Faz, D., Arango, C., Gonzalez-Pinto, A., Parellada, M., Mayoral, M., Graell, M., Otero, S., Guardia, J., &amp; Castro-Fornieles, J. (2013). Cognitive reserve as a predictor of two year neuropsychological performance in early onset first-episode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143</w:t>
      </w:r>
      <w:r w:rsidRPr="005B38F0">
        <w:rPr>
          <w:rFonts w:ascii="Times New Roman" w:eastAsia="Times New Roman" w:hAnsi="Times New Roman" w:cs="Times New Roman"/>
          <w:sz w:val="24"/>
          <w:szCs w:val="24"/>
        </w:rPr>
        <w:t xml:space="preserve">(1), 125–131. </w:t>
      </w:r>
      <w:hyperlink r:id="rId1361" w:history="1">
        <w:r w:rsidRPr="005B38F0">
          <w:rPr>
            <w:rFonts w:ascii="Times New Roman" w:eastAsia="Times New Roman" w:hAnsi="Times New Roman" w:cs="Times New Roman"/>
            <w:color w:val="0000FF"/>
            <w:sz w:val="24"/>
            <w:szCs w:val="24"/>
            <w:u w:val="single"/>
          </w:rPr>
          <w:t>https://doi.org/10.1016/j.schres.2012.10.026</w:t>
        </w:r>
      </w:hyperlink>
    </w:p>
    <w:p w14:paraId="460338A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 la Serna, E., Baeza, I., Andrés, S., Puig, O., Sánchez-Guistau, V., Romero, S., Bernardo, M., Moreno, D., Noguera, A., &amp; Castro-Fornieles, J. (2011). Comparison between young siblings and offspring of subjects with schizophrenia: Clinical and neuropsychological characteristics.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131</w:t>
      </w:r>
      <w:r w:rsidRPr="005B38F0">
        <w:rPr>
          <w:rFonts w:ascii="Times New Roman" w:eastAsia="Times New Roman" w:hAnsi="Times New Roman" w:cs="Times New Roman"/>
          <w:sz w:val="24"/>
          <w:szCs w:val="24"/>
        </w:rPr>
        <w:t xml:space="preserve">(1–3), 35–42. </w:t>
      </w:r>
      <w:hyperlink r:id="rId1362" w:history="1">
        <w:r w:rsidRPr="005B38F0">
          <w:rPr>
            <w:rFonts w:ascii="Times New Roman" w:eastAsia="Times New Roman" w:hAnsi="Times New Roman" w:cs="Times New Roman"/>
            <w:color w:val="0000FF"/>
            <w:sz w:val="24"/>
            <w:szCs w:val="24"/>
            <w:u w:val="single"/>
          </w:rPr>
          <w:t>https://doi.org/10.1016/j.schres.2011.06.015</w:t>
        </w:r>
      </w:hyperlink>
    </w:p>
    <w:p w14:paraId="04A23E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Baeza, I., Toro, J., Andrés, S., Puig, O., Sánchez-Guistau, V., Romero, S., Bernardo, M., &amp; Castro-Fornieles, J. (2010). Relationship between clinical and neuropsychological characteristics in child and adolescent first degree relatives of subjects with schizophrenia.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116</w:t>
      </w:r>
      <w:r w:rsidRPr="005B38F0">
        <w:rPr>
          <w:rFonts w:ascii="Times New Roman" w:eastAsia="Times New Roman" w:hAnsi="Times New Roman" w:cs="Times New Roman"/>
          <w:sz w:val="24"/>
          <w:szCs w:val="24"/>
        </w:rPr>
        <w:t xml:space="preserve">(2–3), 159–167. </w:t>
      </w:r>
      <w:hyperlink r:id="rId1363" w:history="1">
        <w:r w:rsidRPr="005B38F0">
          <w:rPr>
            <w:rFonts w:ascii="Times New Roman" w:eastAsia="Times New Roman" w:hAnsi="Times New Roman" w:cs="Times New Roman"/>
            <w:color w:val="0000FF"/>
            <w:sz w:val="24"/>
            <w:szCs w:val="24"/>
            <w:u w:val="single"/>
          </w:rPr>
          <w:t>https://doi.org/10.1016/j.schres.2009.09.001</w:t>
        </w:r>
      </w:hyperlink>
    </w:p>
    <w:p w14:paraId="5F3A412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Flamarique, I., Castro-Fornieles, J., Pons, A., Puig, O., Andrés-Perpiña, S., Lázaro, L., Garrido, J. M., Bernardo, M., &amp; Baeza, I. (2011). Two-year follow-up of cognitive functions in schizophrenia spectrum disorders of adolescent patients treated with electroconvulsive therapy. </w:t>
      </w:r>
      <w:r w:rsidRPr="005B38F0">
        <w:rPr>
          <w:rFonts w:ascii="Times New Roman" w:eastAsia="Times New Roman" w:hAnsi="Times New Roman" w:cs="Times New Roman"/>
          <w:i/>
          <w:iCs/>
          <w:sz w:val="24"/>
          <w:szCs w:val="24"/>
        </w:rPr>
        <w:t>Journal of Child and Adolescent 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(6), 611–619. </w:t>
      </w:r>
      <w:hyperlink r:id="rId1364" w:history="1">
        <w:r w:rsidRPr="005B38F0">
          <w:rPr>
            <w:rFonts w:ascii="Times New Roman" w:eastAsia="Times New Roman" w:hAnsi="Times New Roman" w:cs="Times New Roman"/>
            <w:color w:val="0000FF"/>
            <w:sz w:val="24"/>
            <w:szCs w:val="24"/>
            <w:u w:val="single"/>
          </w:rPr>
          <w:t>https://doi.org/10.1089/cap.2011.0012</w:t>
        </w:r>
      </w:hyperlink>
    </w:p>
    <w:p w14:paraId="58E2B90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Sugranyes, G., Sanchez-Gistau, V., Rodriguez-Toscano, E., Baeza, I., Vila, M., Romero, S., Sanchez-Gutierrez, T., Penzol, M. J., Moreno, D., &amp; Castro-Fornieles, J. (2017). Neuropsychological characteristics of child and adolescent offspring of patients with schizophrenia or bipolar disorder.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183</w:t>
      </w:r>
      <w:r w:rsidRPr="005B38F0">
        <w:rPr>
          <w:rFonts w:ascii="Times New Roman" w:eastAsia="Times New Roman" w:hAnsi="Times New Roman" w:cs="Times New Roman"/>
          <w:sz w:val="24"/>
          <w:szCs w:val="24"/>
        </w:rPr>
        <w:t xml:space="preserve">, 110–115. </w:t>
      </w:r>
      <w:hyperlink r:id="rId1365" w:history="1">
        <w:r w:rsidRPr="005B38F0">
          <w:rPr>
            <w:rFonts w:ascii="Times New Roman" w:eastAsia="Times New Roman" w:hAnsi="Times New Roman" w:cs="Times New Roman"/>
            <w:color w:val="0000FF"/>
            <w:sz w:val="24"/>
            <w:szCs w:val="24"/>
            <w:u w:val="single"/>
          </w:rPr>
          <w:t>https://doi.org/10.1016/j.schres.2016.11.007</w:t>
        </w:r>
      </w:hyperlink>
    </w:p>
    <w:p w14:paraId="0CE13A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 Serna, E., Vila, M., Sanchez-Gistau, V., Moreno, D., Romero, S., Sugranyes, G., Baeza, I., Llorente, C., Rodriguez-Toscano, E., Sánchez-Gutierrez, T., &amp; Castro-Fornieles, J. (2016). Neuropsychological characteristics of child and adolescent offspring of patients with bipolar </w:t>
      </w:r>
      <w:r w:rsidRPr="005B38F0">
        <w:rPr>
          <w:rFonts w:ascii="Times New Roman" w:eastAsia="Times New Roman" w:hAnsi="Times New Roman" w:cs="Times New Roman"/>
          <w:sz w:val="24"/>
          <w:szCs w:val="24"/>
        </w:rPr>
        <w:lastRenderedPageBreak/>
        <w:t xml:space="preserve">disorder.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65</w:t>
      </w:r>
      <w:r w:rsidRPr="005B38F0">
        <w:rPr>
          <w:rFonts w:ascii="Times New Roman" w:eastAsia="Times New Roman" w:hAnsi="Times New Roman" w:cs="Times New Roman"/>
          <w:sz w:val="24"/>
          <w:szCs w:val="24"/>
        </w:rPr>
        <w:t xml:space="preserve">, 54–59. </w:t>
      </w:r>
      <w:hyperlink r:id="rId1366" w:history="1">
        <w:r w:rsidRPr="005B38F0">
          <w:rPr>
            <w:rFonts w:ascii="Times New Roman" w:eastAsia="Times New Roman" w:hAnsi="Times New Roman" w:cs="Times New Roman"/>
            <w:color w:val="0000FF"/>
            <w:sz w:val="24"/>
            <w:szCs w:val="24"/>
            <w:u w:val="single"/>
          </w:rPr>
          <w:t>https://doi.org/10.1016/j.pnpbp.2015.08.014</w:t>
        </w:r>
      </w:hyperlink>
    </w:p>
    <w:p w14:paraId="378A5AB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Langavant, L. C., Fénelon, G., Benisty, S., Boissé, M.-F., Jacquemot, C., &amp; Bachoud-Lévi, A.-C. (2013). Awareness of memory deficits in early stage Huntington’s disease. </w:t>
      </w:r>
      <w:r w:rsidRPr="005B38F0">
        <w:rPr>
          <w:rFonts w:ascii="Times New Roman" w:eastAsia="Times New Roman" w:hAnsi="Times New Roman" w:cs="Times New Roman"/>
          <w:i/>
          <w:iCs/>
          <w:sz w:val="24"/>
          <w:szCs w:val="24"/>
        </w:rPr>
        <w:t>PLoS ONE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w:t>
      </w:r>
      <w:r w:rsidRPr="005B38F0">
        <w:rPr>
          <w:rFonts w:ascii="Times New Roman" w:eastAsia="Times New Roman" w:hAnsi="Times New Roman" w:cs="Times New Roman"/>
          <w:sz w:val="24"/>
          <w:szCs w:val="24"/>
        </w:rPr>
        <w:t>(4).</w:t>
      </w:r>
    </w:p>
    <w:p w14:paraId="51C7A58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Letter, M., Santens, P., De Bodt, M., Boon, P., &amp; Van Borsel, J. (2006). Levodopa-induced alterations in speech rate in advanced Parkinson’s disease. </w:t>
      </w:r>
      <w:r w:rsidRPr="005B38F0">
        <w:rPr>
          <w:rFonts w:ascii="Times New Roman" w:eastAsia="Times New Roman" w:hAnsi="Times New Roman" w:cs="Times New Roman"/>
          <w:i/>
          <w:iCs/>
          <w:sz w:val="24"/>
          <w:szCs w:val="24"/>
        </w:rPr>
        <w:t>Acta Neurologica Belgica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106</w:t>
      </w:r>
      <w:r w:rsidRPr="005B38F0">
        <w:rPr>
          <w:rFonts w:ascii="Times New Roman" w:eastAsia="Times New Roman" w:hAnsi="Times New Roman" w:cs="Times New Roman"/>
          <w:sz w:val="24"/>
          <w:szCs w:val="24"/>
        </w:rPr>
        <w:t>(1), 19–22.</w:t>
      </w:r>
    </w:p>
    <w:p w14:paraId="732708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Letter, M., Santens, P., Estercam, I., Van Maele, G., De Bodt, M., Boon, P., &amp; Van Borsel, J. (2007). Levodopa-induced modifications of prosody and comprehensibility in advanced Parkinson’s disease as perceived by professional listeners. </w:t>
      </w:r>
      <w:r w:rsidRPr="005B38F0">
        <w:rPr>
          <w:rFonts w:ascii="Times New Roman" w:eastAsia="Times New Roman" w:hAnsi="Times New Roman" w:cs="Times New Roman"/>
          <w:i/>
          <w:iCs/>
          <w:sz w:val="24"/>
          <w:szCs w:val="24"/>
        </w:rPr>
        <w:t>Clinical Linguistics &amp; Phonetics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(10), 783–791. </w:t>
      </w:r>
      <w:hyperlink r:id="rId1367" w:history="1">
        <w:r w:rsidRPr="005B38F0">
          <w:rPr>
            <w:rFonts w:ascii="Times New Roman" w:eastAsia="Times New Roman" w:hAnsi="Times New Roman" w:cs="Times New Roman"/>
            <w:color w:val="0000FF"/>
            <w:sz w:val="24"/>
            <w:szCs w:val="24"/>
            <w:u w:val="single"/>
          </w:rPr>
          <w:t>https://doi.org/10.1080/02699200701538181</w:t>
        </w:r>
      </w:hyperlink>
    </w:p>
    <w:p w14:paraId="3B7C62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Letter, M., Santens, P., &amp; Van Borsel, J. (2005). The effects of levodopa on word intelligibility in Parkinson’s disease. </w:t>
      </w:r>
      <w:r w:rsidRPr="005B38F0">
        <w:rPr>
          <w:rFonts w:ascii="Times New Roman" w:eastAsia="Times New Roman" w:hAnsi="Times New Roman" w:cs="Times New Roman"/>
          <w:i/>
          <w:iCs/>
          <w:sz w:val="24"/>
          <w:szCs w:val="24"/>
        </w:rPr>
        <w:t>Journal of Communication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(3), 187–196. </w:t>
      </w:r>
      <w:hyperlink r:id="rId1368" w:history="1">
        <w:r w:rsidRPr="005B38F0">
          <w:rPr>
            <w:rFonts w:ascii="Times New Roman" w:eastAsia="Times New Roman" w:hAnsi="Times New Roman" w:cs="Times New Roman"/>
            <w:color w:val="0000FF"/>
            <w:sz w:val="24"/>
            <w:szCs w:val="24"/>
            <w:u w:val="single"/>
          </w:rPr>
          <w:t>https://doi.org/10.1016/j.jcomdis.2004.09.001</w:t>
        </w:r>
      </w:hyperlink>
    </w:p>
    <w:p w14:paraId="2DDA7A1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Lima, A. B., Moreira, F., da Mota Gomes, M., &amp; Maia-Filho, H. (2014). Clinical and neuropsychological assessment of executive function in a sample of children and adolescents with idiopathic epilepsy. </w:t>
      </w:r>
      <w:r w:rsidRPr="005B38F0">
        <w:rPr>
          <w:rFonts w:ascii="Times New Roman" w:eastAsia="Times New Roman" w:hAnsi="Times New Roman" w:cs="Times New Roman"/>
          <w:i/>
          <w:iCs/>
          <w:sz w:val="24"/>
          <w:szCs w:val="24"/>
        </w:rPr>
        <w:t>Arquivos de Neuro-Psiquiatria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72</w:t>
      </w:r>
      <w:r w:rsidRPr="005B38F0">
        <w:rPr>
          <w:rFonts w:ascii="Times New Roman" w:eastAsia="Times New Roman" w:hAnsi="Times New Roman" w:cs="Times New Roman"/>
          <w:sz w:val="24"/>
          <w:szCs w:val="24"/>
        </w:rPr>
        <w:t xml:space="preserve">(12), 954–959. </w:t>
      </w:r>
      <w:hyperlink r:id="rId1369" w:history="1">
        <w:r w:rsidRPr="005B38F0">
          <w:rPr>
            <w:rFonts w:ascii="Times New Roman" w:eastAsia="Times New Roman" w:hAnsi="Times New Roman" w:cs="Times New Roman"/>
            <w:color w:val="0000FF"/>
            <w:sz w:val="24"/>
            <w:szCs w:val="24"/>
            <w:u w:val="single"/>
          </w:rPr>
          <w:t>https://doi.org/10.1590/0004-282X20140191</w:t>
        </w:r>
      </w:hyperlink>
    </w:p>
    <w:p w14:paraId="3189F4A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Luca, F., Benuzzi, F., Bertossi, E., Braghittoni, D., di Pellegrino, G., &amp; Ciaramelli, E. (2018). Episodic future thinking and future-based decision-making in a case of retrograde amnesia.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110</w:t>
      </w:r>
      <w:r w:rsidRPr="005B38F0">
        <w:rPr>
          <w:rFonts w:ascii="Times New Roman" w:eastAsia="Times New Roman" w:hAnsi="Times New Roman" w:cs="Times New Roman"/>
          <w:sz w:val="24"/>
          <w:szCs w:val="24"/>
        </w:rPr>
        <w:t xml:space="preserve">, 92–103. </w:t>
      </w:r>
      <w:hyperlink r:id="rId1370" w:history="1">
        <w:r w:rsidRPr="005B38F0">
          <w:rPr>
            <w:rFonts w:ascii="Times New Roman" w:eastAsia="Times New Roman" w:hAnsi="Times New Roman" w:cs="Times New Roman"/>
            <w:color w:val="0000FF"/>
            <w:sz w:val="24"/>
            <w:szCs w:val="24"/>
            <w:u w:val="single"/>
          </w:rPr>
          <w:t>https://doi.org/10.1016/j.neuropsychologia.2017.08.007</w:t>
        </w:r>
      </w:hyperlink>
    </w:p>
    <w:p w14:paraId="147ABA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 Marco, M. C., Sani, G., Manfredi, G., Pacchiarotti, I., Savoja, V., Balbi, A., Mazzarini, L., Borriello, A., Kotzalidis, G. D., Tatarelli, R., Girardi, P., &amp; Ferracuti, S. (2010). Assessment of the capacity to express informed consent for organ donation in patients with schizophrenia. </w:t>
      </w:r>
      <w:r w:rsidRPr="005B38F0">
        <w:rPr>
          <w:rFonts w:ascii="Times New Roman" w:eastAsia="Times New Roman" w:hAnsi="Times New Roman" w:cs="Times New Roman"/>
          <w:i/>
          <w:iCs/>
          <w:sz w:val="24"/>
          <w:szCs w:val="24"/>
        </w:rPr>
        <w:t>Journal of Forensic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55</w:t>
      </w:r>
      <w:r w:rsidRPr="005B38F0">
        <w:rPr>
          <w:rFonts w:ascii="Times New Roman" w:eastAsia="Times New Roman" w:hAnsi="Times New Roman" w:cs="Times New Roman"/>
          <w:sz w:val="24"/>
          <w:szCs w:val="24"/>
        </w:rPr>
        <w:t xml:space="preserve">(3), 669–676. </w:t>
      </w:r>
      <w:hyperlink r:id="rId1371" w:history="1">
        <w:r w:rsidRPr="005B38F0">
          <w:rPr>
            <w:rFonts w:ascii="Times New Roman" w:eastAsia="Times New Roman" w:hAnsi="Times New Roman" w:cs="Times New Roman"/>
            <w:color w:val="0000FF"/>
            <w:sz w:val="24"/>
            <w:szCs w:val="24"/>
            <w:u w:val="single"/>
          </w:rPr>
          <w:t>https://doi.org/10.1111/j.1556-4029.2010.01364.x</w:t>
        </w:r>
      </w:hyperlink>
    </w:p>
    <w:p w14:paraId="43519D9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 Jr., H. P., Gonçalves, P. dib, Ometto, M., dos Santos, B., Malbergier, A., Amaral, R., Nicastri, S., de Andrade, A. G., &amp; Cunha, P. J. (2019). Distinct effects of cocaine and cocaine + cannabis on neurocognitive functioning and abstinence: A six-month follow-up study. </w:t>
      </w:r>
      <w:r w:rsidRPr="005B38F0">
        <w:rPr>
          <w:rFonts w:ascii="Times New Roman" w:eastAsia="Times New Roman" w:hAnsi="Times New Roman" w:cs="Times New Roman"/>
          <w:i/>
          <w:iCs/>
          <w:sz w:val="24"/>
          <w:szCs w:val="24"/>
        </w:rPr>
        <w:t>Drug and Alcohol Dependence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205</w:t>
      </w:r>
      <w:r w:rsidRPr="005B38F0">
        <w:rPr>
          <w:rFonts w:ascii="Times New Roman" w:eastAsia="Times New Roman" w:hAnsi="Times New Roman" w:cs="Times New Roman"/>
          <w:sz w:val="24"/>
          <w:szCs w:val="24"/>
        </w:rPr>
        <w:t xml:space="preserve">. </w:t>
      </w:r>
      <w:hyperlink r:id="rId1372" w:history="1">
        <w:r w:rsidRPr="005B38F0">
          <w:rPr>
            <w:rFonts w:ascii="Times New Roman" w:eastAsia="Times New Roman" w:hAnsi="Times New Roman" w:cs="Times New Roman"/>
            <w:color w:val="0000FF"/>
            <w:sz w:val="24"/>
            <w:szCs w:val="24"/>
            <w:u w:val="single"/>
          </w:rPr>
          <w:t>https://doi.org/10.1016/j.drugalcdep.2019.107642</w:t>
        </w:r>
      </w:hyperlink>
    </w:p>
    <w:p w14:paraId="2D1667B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 Matos, F., Vido, A., Garcia, W. F., Lopes, W. A., &amp; Pereira, A. (2020). A neurovisceral integrative study on cognition, heart rate variability, and fitness in the elderly. </w:t>
      </w:r>
      <w:r w:rsidRPr="005B38F0">
        <w:rPr>
          <w:rFonts w:ascii="Times New Roman" w:eastAsia="Times New Roman" w:hAnsi="Times New Roman" w:cs="Times New Roman"/>
          <w:i/>
          <w:iCs/>
          <w:sz w:val="24"/>
          <w:szCs w:val="24"/>
        </w:rPr>
        <w:t>Frontiers in Aging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12</w:t>
      </w:r>
      <w:r w:rsidRPr="005B38F0">
        <w:rPr>
          <w:rFonts w:ascii="Times New Roman" w:eastAsia="Times New Roman" w:hAnsi="Times New Roman" w:cs="Times New Roman"/>
          <w:sz w:val="24"/>
          <w:szCs w:val="24"/>
        </w:rPr>
        <w:t xml:space="preserve">. </w:t>
      </w:r>
      <w:hyperlink r:id="rId1373" w:history="1">
        <w:r w:rsidRPr="005B38F0">
          <w:rPr>
            <w:rFonts w:ascii="Times New Roman" w:eastAsia="Times New Roman" w:hAnsi="Times New Roman" w:cs="Times New Roman"/>
            <w:color w:val="0000FF"/>
            <w:sz w:val="24"/>
            <w:szCs w:val="24"/>
            <w:u w:val="single"/>
          </w:rPr>
          <w:t>https://doi.org/10.3389/fnagi.2020.00051</w:t>
        </w:r>
      </w:hyperlink>
    </w:p>
    <w:p w14:paraId="4F95BF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Oliveira-Souza, R., Moll, J., Tovar Moll, F., &amp; Gusmão de Oliveira, D. L. (2001). Executive amnesia in a patient with pre-frontal damage due to a gunshot wound.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(5), 383–389. </w:t>
      </w:r>
      <w:hyperlink r:id="rId1374" w:history="1">
        <w:r w:rsidRPr="005B38F0">
          <w:rPr>
            <w:rFonts w:ascii="Times New Roman" w:eastAsia="Times New Roman" w:hAnsi="Times New Roman" w:cs="Times New Roman"/>
            <w:color w:val="0000FF"/>
            <w:sz w:val="24"/>
            <w:szCs w:val="24"/>
            <w:u w:val="single"/>
          </w:rPr>
          <w:t>https://doi.org/10.1076/neur.7.5.383.16244</w:t>
        </w:r>
      </w:hyperlink>
    </w:p>
    <w:p w14:paraId="3EDFB00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Oliveira-Souza, R., Monteiro, M., Pacheco, P., Tovar-Moll, F., Mattos, P., Moll, J., &amp; Nazar, B. P. (2016). Right hemisphere dominance for language in a woman with schizophrenia and a porencephalic cyst of the left hemisphere. </w:t>
      </w:r>
      <w:r w:rsidRPr="005B38F0">
        <w:rPr>
          <w:rFonts w:ascii="Times New Roman" w:eastAsia="Times New Roman" w:hAnsi="Times New Roman" w:cs="Times New Roman"/>
          <w:i/>
          <w:iCs/>
          <w:sz w:val="24"/>
          <w:szCs w:val="24"/>
        </w:rPr>
        <w:t>Neurocase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(3), 324–331. </w:t>
      </w:r>
      <w:hyperlink r:id="rId1375" w:history="1">
        <w:r w:rsidRPr="005B38F0">
          <w:rPr>
            <w:rFonts w:ascii="Times New Roman" w:eastAsia="Times New Roman" w:hAnsi="Times New Roman" w:cs="Times New Roman"/>
            <w:color w:val="0000FF"/>
            <w:sz w:val="24"/>
            <w:szCs w:val="24"/>
            <w:u w:val="single"/>
          </w:rPr>
          <w:t>https://doi.org/10.1080/13554794.2016.1186199</w:t>
        </w:r>
      </w:hyperlink>
    </w:p>
    <w:p w14:paraId="26707D9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Picker, L. J., Cornelis, C., Hulstijn, W., Dumont, G., Fransen, E., Timmers, M., Janssens, L., Morrens, M., &amp; Sabbe, B. G. C. (2014). Stable schizophrenia patients learn equally well as </w:t>
      </w:r>
      <w:r w:rsidRPr="005B38F0">
        <w:rPr>
          <w:rFonts w:ascii="Times New Roman" w:eastAsia="Times New Roman" w:hAnsi="Times New Roman" w:cs="Times New Roman"/>
          <w:sz w:val="24"/>
          <w:szCs w:val="24"/>
        </w:rPr>
        <w:lastRenderedPageBreak/>
        <w:t xml:space="preserve">age-matched controls and better than elderly controls in two sensorimotor rotary pursuit tasks.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w:t>
      </w:r>
      <w:r w:rsidRPr="005B38F0">
        <w:rPr>
          <w:rFonts w:ascii="Times New Roman" w:eastAsia="Times New Roman" w:hAnsi="Times New Roman" w:cs="Times New Roman"/>
          <w:sz w:val="24"/>
          <w:szCs w:val="24"/>
        </w:rPr>
        <w:t>.</w:t>
      </w:r>
    </w:p>
    <w:p w14:paraId="448EF88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Rezende, T. J. R., D’Abreu, A., Guimarães, R. P., Lopes, T. M., Lopes‐Cendes, I., Cendes, F., Castellano, G., &amp; França Jr., M. C. (2015). Cerebral cortex involvement in Machado−Joseph disease. </w:t>
      </w:r>
      <w:r w:rsidRPr="005B38F0">
        <w:rPr>
          <w:rFonts w:ascii="Times New Roman" w:eastAsia="Times New Roman" w:hAnsi="Times New Roman" w:cs="Times New Roman"/>
          <w:i/>
          <w:iCs/>
          <w:sz w:val="24"/>
          <w:szCs w:val="24"/>
        </w:rPr>
        <w:t>European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22</w:t>
      </w:r>
      <w:r w:rsidRPr="005B38F0">
        <w:rPr>
          <w:rFonts w:ascii="Times New Roman" w:eastAsia="Times New Roman" w:hAnsi="Times New Roman" w:cs="Times New Roman"/>
          <w:sz w:val="24"/>
          <w:szCs w:val="24"/>
        </w:rPr>
        <w:t xml:space="preserve">(2), 277–283. </w:t>
      </w:r>
      <w:hyperlink r:id="rId1376" w:history="1">
        <w:r w:rsidRPr="005B38F0">
          <w:rPr>
            <w:rFonts w:ascii="Times New Roman" w:eastAsia="Times New Roman" w:hAnsi="Times New Roman" w:cs="Times New Roman"/>
            <w:color w:val="0000FF"/>
            <w:sz w:val="24"/>
            <w:szCs w:val="24"/>
            <w:u w:val="single"/>
          </w:rPr>
          <w:t>https://doi.org/10.1111/ene.12559</w:t>
        </w:r>
      </w:hyperlink>
    </w:p>
    <w:p w14:paraId="3BE1116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Smet, H. J., Baillieux, H., Wackenier, P., De Praeter, M., Engelborghs, S., Paquier, P. F., De Deyn, P. P., &amp; Mariën, P. (2009). Long-term cognitive deficits following posterior fossa tumor resection: A neuropsychological and functional neuroimaging follow-up study. </w:t>
      </w:r>
      <w:r w:rsidRPr="005B38F0">
        <w:rPr>
          <w:rFonts w:ascii="Times New Roman" w:eastAsia="Times New Roman" w:hAnsi="Times New Roman" w:cs="Times New Roman"/>
          <w:i/>
          <w:iCs/>
          <w:sz w:val="24"/>
          <w:szCs w:val="24"/>
        </w:rPr>
        <w:t>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(6), 694–704. </w:t>
      </w:r>
      <w:hyperlink r:id="rId1377" w:history="1">
        <w:r w:rsidRPr="005B38F0">
          <w:rPr>
            <w:rFonts w:ascii="Times New Roman" w:eastAsia="Times New Roman" w:hAnsi="Times New Roman" w:cs="Times New Roman"/>
            <w:color w:val="0000FF"/>
            <w:sz w:val="24"/>
            <w:szCs w:val="24"/>
            <w:u w:val="single"/>
          </w:rPr>
          <w:t>https://doi.org/10.1037/a0016106</w:t>
        </w:r>
      </w:hyperlink>
    </w:p>
    <w:p w14:paraId="4464BB3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Smet, H. J., &amp; Mariën, P. (2012). Posterior fossa syndrome in an adult patient following surgical evacuation of an intracerebellar haematoma. </w:t>
      </w:r>
      <w:r w:rsidRPr="005B38F0">
        <w:rPr>
          <w:rFonts w:ascii="Times New Roman" w:eastAsia="Times New Roman" w:hAnsi="Times New Roman" w:cs="Times New Roman"/>
          <w:i/>
          <w:iCs/>
          <w:sz w:val="24"/>
          <w:szCs w:val="24"/>
        </w:rPr>
        <w:t>The Cerebellum</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(2), 587–592. </w:t>
      </w:r>
      <w:hyperlink r:id="rId1378" w:history="1">
        <w:r w:rsidRPr="005B38F0">
          <w:rPr>
            <w:rFonts w:ascii="Times New Roman" w:eastAsia="Times New Roman" w:hAnsi="Times New Roman" w:cs="Times New Roman"/>
            <w:color w:val="0000FF"/>
            <w:sz w:val="24"/>
            <w:szCs w:val="24"/>
            <w:u w:val="single"/>
          </w:rPr>
          <w:t>https://doi.org/10.1007/s12311-011-0322-x</w:t>
        </w:r>
      </w:hyperlink>
    </w:p>
    <w:p w14:paraId="676FD67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Souza, L. C., Bertoux, M., Funkiewiez, A., Samri, D., Azuar, C., Habert, M.-O., Kas, A., Lamari, F., Sarazin, M., &amp; Dubois, B. (2013). Frontal presentation of Alzheimer’s disease: A series of patients with biological evidence by CSF biomarkers. </w:t>
      </w:r>
      <w:r w:rsidRPr="005B38F0">
        <w:rPr>
          <w:rFonts w:ascii="Times New Roman" w:eastAsia="Times New Roman" w:hAnsi="Times New Roman" w:cs="Times New Roman"/>
          <w:i/>
          <w:iCs/>
          <w:sz w:val="24"/>
          <w:szCs w:val="24"/>
        </w:rPr>
        <w:t>Dementia &amp; 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7</w:t>
      </w:r>
      <w:r w:rsidRPr="005B38F0">
        <w:rPr>
          <w:rFonts w:ascii="Times New Roman" w:eastAsia="Times New Roman" w:hAnsi="Times New Roman" w:cs="Times New Roman"/>
          <w:sz w:val="24"/>
          <w:szCs w:val="24"/>
        </w:rPr>
        <w:t xml:space="preserve">(1), 66–74. </w:t>
      </w:r>
      <w:hyperlink r:id="rId1379" w:history="1">
        <w:r w:rsidRPr="005B38F0">
          <w:rPr>
            <w:rFonts w:ascii="Times New Roman" w:eastAsia="Times New Roman" w:hAnsi="Times New Roman" w:cs="Times New Roman"/>
            <w:color w:val="0000FF"/>
            <w:sz w:val="24"/>
            <w:szCs w:val="24"/>
            <w:u w:val="single"/>
          </w:rPr>
          <w:t>https://doi.org/10.1590/S1980-57642013DN70100011</w:t>
        </w:r>
      </w:hyperlink>
    </w:p>
    <w:p w14:paraId="4882B199"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Souza, M. G. S., Bio, D. S., Dias, V. V., do Prado, C. M., Campos, R. N., de Oliveira Costa, L. F., Moreno, D. H., Ojopi, E. B., Gattaz, W. F., &amp; Moreno, R. A. (2010). Apolipoprotein E genotype and cognition in bipolar disorder. </w:t>
      </w:r>
      <w:r w:rsidRPr="005B38F0">
        <w:rPr>
          <w:rFonts w:ascii="Times New Roman" w:eastAsia="Times New Roman" w:hAnsi="Times New Roman" w:cs="Times New Roman"/>
          <w:i/>
          <w:iCs/>
          <w:sz w:val="24"/>
          <w:szCs w:val="24"/>
        </w:rPr>
        <w:t>CNS Neuroscience &amp; Therapeutics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16</w:t>
      </w:r>
      <w:r w:rsidRPr="005B38F0">
        <w:rPr>
          <w:rFonts w:ascii="Times New Roman" w:eastAsia="Times New Roman" w:hAnsi="Times New Roman" w:cs="Times New Roman"/>
          <w:sz w:val="24"/>
          <w:szCs w:val="24"/>
        </w:rPr>
        <w:t xml:space="preserve">(5), 316–321. </w:t>
      </w:r>
      <w:hyperlink r:id="rId1380" w:history="1">
        <w:r w:rsidRPr="005B38F0">
          <w:rPr>
            <w:rFonts w:ascii="Times New Roman" w:eastAsia="Times New Roman" w:hAnsi="Times New Roman" w:cs="Times New Roman"/>
            <w:color w:val="0000FF"/>
            <w:sz w:val="24"/>
            <w:szCs w:val="24"/>
            <w:u w:val="single"/>
          </w:rPr>
          <w:t>https://doi.org/10.1111/j.1755-5949.2010.00153.x</w:t>
        </w:r>
      </w:hyperlink>
    </w:p>
    <w:p w14:paraId="58E420C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Visser, L., van der Knaap, L. J., van de Loo, A. J. A. E., van der Weerd, C. M. M., Ohl, F., &amp; van den Bos, R. (2010). Trait anxiety affects decision-making differently in healthy men and </w:t>
      </w:r>
      <w:r w:rsidRPr="005B38F0">
        <w:rPr>
          <w:rFonts w:ascii="Times New Roman" w:eastAsia="Times New Roman" w:hAnsi="Times New Roman" w:cs="Times New Roman"/>
          <w:sz w:val="24"/>
          <w:szCs w:val="24"/>
        </w:rPr>
        <w:lastRenderedPageBreak/>
        <w:t xml:space="preserve">women: Towards gender-specific endophenotypes of anxiety. </w:t>
      </w:r>
      <w:r w:rsidRPr="005B38F0">
        <w:rPr>
          <w:rFonts w:ascii="Times New Roman" w:eastAsia="Times New Roman" w:hAnsi="Times New Roman" w:cs="Times New Roman"/>
          <w:i/>
          <w:iCs/>
          <w:sz w:val="24"/>
          <w:szCs w:val="24"/>
        </w:rPr>
        <w:t>Neuropsychologia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(6), 1598–1606. </w:t>
      </w:r>
      <w:hyperlink r:id="rId1381" w:history="1">
        <w:r w:rsidRPr="005B38F0">
          <w:rPr>
            <w:rFonts w:ascii="Times New Roman" w:eastAsia="Times New Roman" w:hAnsi="Times New Roman" w:cs="Times New Roman"/>
            <w:color w:val="0000FF"/>
            <w:sz w:val="24"/>
            <w:szCs w:val="24"/>
            <w:u w:val="single"/>
          </w:rPr>
          <w:t>https://doi.org/10.1016/j.neuropsychologia.2010.01.027</w:t>
        </w:r>
      </w:hyperlink>
    </w:p>
    <w:p w14:paraId="42CA8F9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Vries, M., &amp; Geurts, H. M. (2012). Cognitive flexibility in ASD; Task switching with emotional faces.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(12), 2558–2568. </w:t>
      </w:r>
      <w:hyperlink r:id="rId1382" w:history="1">
        <w:r w:rsidRPr="005B38F0">
          <w:rPr>
            <w:rFonts w:ascii="Times New Roman" w:eastAsia="Times New Roman" w:hAnsi="Times New Roman" w:cs="Times New Roman"/>
            <w:color w:val="0000FF"/>
            <w:sz w:val="24"/>
            <w:szCs w:val="24"/>
            <w:u w:val="single"/>
          </w:rPr>
          <w:t>https://doi.org/10.1007/s10803-012-1512-1</w:t>
        </w:r>
      </w:hyperlink>
    </w:p>
    <w:p w14:paraId="6FF291A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Witte, L., Engelborghs, S., Verhoeven, J., De Deyn, P. P., &amp; Mariën, P. (2008). Disrupted auto-activation, dysexecutive and confabulating syndrome following bilateral thalamic and right putaminal stroke. </w:t>
      </w:r>
      <w:r w:rsidRPr="005B38F0">
        <w:rPr>
          <w:rFonts w:ascii="Times New Roman" w:eastAsia="Times New Roman" w:hAnsi="Times New Roman" w:cs="Times New Roman"/>
          <w:i/>
          <w:iCs/>
          <w:sz w:val="24"/>
          <w:szCs w:val="24"/>
        </w:rPr>
        <w:t>Behavioural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19</w:t>
      </w:r>
      <w:r w:rsidRPr="005B38F0">
        <w:rPr>
          <w:rFonts w:ascii="Times New Roman" w:eastAsia="Times New Roman" w:hAnsi="Times New Roman" w:cs="Times New Roman"/>
          <w:sz w:val="24"/>
          <w:szCs w:val="24"/>
        </w:rPr>
        <w:t xml:space="preserve">(3), 145–151. </w:t>
      </w:r>
      <w:hyperlink r:id="rId1383" w:history="1">
        <w:r w:rsidRPr="005B38F0">
          <w:rPr>
            <w:rFonts w:ascii="Times New Roman" w:eastAsia="Times New Roman" w:hAnsi="Times New Roman" w:cs="Times New Roman"/>
            <w:color w:val="0000FF"/>
            <w:sz w:val="24"/>
            <w:szCs w:val="24"/>
            <w:u w:val="single"/>
          </w:rPr>
          <w:t>https://doi.org/10.1155/2008/693671</w:t>
        </w:r>
      </w:hyperlink>
    </w:p>
    <w:p w14:paraId="47C9B32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 Zubicaray, G., &amp; Ashton, R. (1996). Nelson’s (1976) Modified Card Sorting Test: A review. </w:t>
      </w:r>
      <w:r w:rsidRPr="005B38F0">
        <w:rPr>
          <w:rFonts w:ascii="Times New Roman" w:eastAsia="Times New Roman" w:hAnsi="Times New Roman" w:cs="Times New Roman"/>
          <w:i/>
          <w:iCs/>
          <w:sz w:val="24"/>
          <w:szCs w:val="24"/>
        </w:rPr>
        <w:t>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(3), 245–254. </w:t>
      </w:r>
      <w:hyperlink r:id="rId1384" w:history="1">
        <w:r w:rsidRPr="005B38F0">
          <w:rPr>
            <w:rFonts w:ascii="Times New Roman" w:eastAsia="Times New Roman" w:hAnsi="Times New Roman" w:cs="Times New Roman"/>
            <w:color w:val="0000FF"/>
            <w:sz w:val="24"/>
            <w:szCs w:val="24"/>
            <w:u w:val="single"/>
          </w:rPr>
          <w:t>https://doi.org/10.1080/13854049608406687</w:t>
        </w:r>
      </w:hyperlink>
    </w:p>
    <w:p w14:paraId="1FEB3ED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Dean, B., Copolov, D., &amp; Scarr, E. (2016). Understanding the pathophysiology of schizophrenia: Contributions from the Melbourne Psychiatric Brain Bank. </w:t>
      </w:r>
      <w:r w:rsidRPr="005B38F0">
        <w:rPr>
          <w:rFonts w:ascii="Times New Roman" w:eastAsia="Times New Roman" w:hAnsi="Times New Roman" w:cs="Times New Roman"/>
          <w:i/>
          <w:iCs/>
          <w:sz w:val="24"/>
          <w:szCs w:val="24"/>
        </w:rPr>
        <w:t>Schizophrenia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177</w:t>
      </w:r>
      <w:r w:rsidRPr="005B38F0">
        <w:rPr>
          <w:rFonts w:ascii="Times New Roman" w:eastAsia="Times New Roman" w:hAnsi="Times New Roman" w:cs="Times New Roman"/>
          <w:sz w:val="24"/>
          <w:szCs w:val="24"/>
        </w:rPr>
        <w:t xml:space="preserve">(1–3), 108–114. </w:t>
      </w:r>
      <w:hyperlink r:id="rId1385" w:history="1">
        <w:r w:rsidRPr="005B38F0">
          <w:rPr>
            <w:rFonts w:ascii="Times New Roman" w:eastAsia="Times New Roman" w:hAnsi="Times New Roman" w:cs="Times New Roman"/>
            <w:color w:val="0000FF"/>
            <w:sz w:val="24"/>
            <w:szCs w:val="24"/>
            <w:u w:val="single"/>
          </w:rPr>
          <w:t>https://doi.org/10.1016/j.schres.2016.04.037</w:t>
        </w:r>
      </w:hyperlink>
    </w:p>
    <w:p w14:paraId="1ED62C6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Dean, C., Elvevåg, B., Storms, G., &amp; Diaz-Asper, C. (2009). Perception of self and other in psychosis: A method for analyzing the structure of the phenomenology. </w:t>
      </w:r>
      <w:r w:rsidRPr="005B38F0">
        <w:rPr>
          <w:rFonts w:ascii="Times New Roman" w:eastAsia="Times New Roman" w:hAnsi="Times New Roman" w:cs="Times New Roman"/>
          <w:i/>
          <w:iCs/>
          <w:sz w:val="24"/>
          <w:szCs w:val="24"/>
        </w:rPr>
        <w:t>Psychiatry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170</w:t>
      </w:r>
      <w:r w:rsidRPr="005B38F0">
        <w:rPr>
          <w:rFonts w:ascii="Times New Roman" w:eastAsia="Times New Roman" w:hAnsi="Times New Roman" w:cs="Times New Roman"/>
          <w:sz w:val="24"/>
          <w:szCs w:val="24"/>
        </w:rPr>
        <w:t xml:space="preserve">(2–3), 128–131. </w:t>
      </w:r>
      <w:hyperlink r:id="rId1386" w:history="1">
        <w:r w:rsidRPr="005B38F0">
          <w:rPr>
            <w:rFonts w:ascii="Times New Roman" w:eastAsia="Times New Roman" w:hAnsi="Times New Roman" w:cs="Times New Roman"/>
            <w:color w:val="0000FF"/>
            <w:sz w:val="24"/>
            <w:szCs w:val="24"/>
            <w:u w:val="single"/>
          </w:rPr>
          <w:t>https://doi.org/10.1016/j.psychres.2008.12.017</w:t>
        </w:r>
      </w:hyperlink>
    </w:p>
    <w:p w14:paraId="19730A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Dean, R. S., &amp; Noggle, C. A. (2013). Neuropsychological assessment within the psychiatric setting. In </w:t>
      </w:r>
      <w:r w:rsidRPr="005B38F0">
        <w:rPr>
          <w:rFonts w:ascii="Times New Roman" w:eastAsia="Times New Roman" w:hAnsi="Times New Roman" w:cs="Times New Roman"/>
          <w:i/>
          <w:iCs/>
          <w:sz w:val="24"/>
          <w:szCs w:val="24"/>
        </w:rPr>
        <w:t>The neuropsychology of psychopathology.</w:t>
      </w:r>
      <w:r w:rsidRPr="005B38F0">
        <w:rPr>
          <w:rFonts w:ascii="Times New Roman" w:eastAsia="Times New Roman" w:hAnsi="Times New Roman" w:cs="Times New Roman"/>
          <w:sz w:val="24"/>
          <w:szCs w:val="24"/>
        </w:rPr>
        <w:t xml:space="preserve"> (pp. 459–471). Springer Publishing Co.</w:t>
      </w:r>
    </w:p>
    <w:p w14:paraId="6D59F2C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&amp; Bell, M. A. (2017). Maternal executive function, heart rate, and EEG alpha reactivity interact in the prediction of harsh parenting. </w:t>
      </w:r>
      <w:r w:rsidRPr="005B38F0">
        <w:rPr>
          <w:rFonts w:ascii="Times New Roman" w:eastAsia="Times New Roman" w:hAnsi="Times New Roman" w:cs="Times New Roman"/>
          <w:i/>
          <w:iCs/>
          <w:sz w:val="24"/>
          <w:szCs w:val="24"/>
        </w:rPr>
        <w:t>Journal of Family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w:t>
      </w:r>
      <w:r w:rsidRPr="005B38F0">
        <w:rPr>
          <w:rFonts w:ascii="Times New Roman" w:eastAsia="Times New Roman" w:hAnsi="Times New Roman" w:cs="Times New Roman"/>
          <w:sz w:val="24"/>
          <w:szCs w:val="24"/>
        </w:rPr>
        <w:t xml:space="preserve">(1), 41–50. </w:t>
      </w:r>
      <w:hyperlink r:id="rId1387" w:history="1">
        <w:r w:rsidRPr="005B38F0">
          <w:rPr>
            <w:rFonts w:ascii="Times New Roman" w:eastAsia="Times New Roman" w:hAnsi="Times New Roman" w:cs="Times New Roman"/>
            <w:color w:val="0000FF"/>
            <w:sz w:val="24"/>
            <w:szCs w:val="24"/>
            <w:u w:val="single"/>
          </w:rPr>
          <w:t>https://doi.org/10.1037/fam0000286</w:t>
        </w:r>
      </w:hyperlink>
    </w:p>
    <w:p w14:paraId="2EC3B05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Deater-Deckard, K., Chen, N., Wang, Z., &amp; Bell, M. A. (2012). Socioeconomic risk moderates the link between household chaos and maternal executive function. </w:t>
      </w:r>
      <w:r w:rsidRPr="005B38F0">
        <w:rPr>
          <w:rFonts w:ascii="Times New Roman" w:eastAsia="Times New Roman" w:hAnsi="Times New Roman" w:cs="Times New Roman"/>
          <w:i/>
          <w:iCs/>
          <w:sz w:val="24"/>
          <w:szCs w:val="24"/>
        </w:rPr>
        <w:t>Journal of Family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 xml:space="preserve">(3), 391–399. </w:t>
      </w:r>
      <w:hyperlink r:id="rId1388" w:history="1">
        <w:r w:rsidRPr="005B38F0">
          <w:rPr>
            <w:rFonts w:ascii="Times New Roman" w:eastAsia="Times New Roman" w:hAnsi="Times New Roman" w:cs="Times New Roman"/>
            <w:color w:val="0000FF"/>
            <w:sz w:val="24"/>
            <w:szCs w:val="24"/>
            <w:u w:val="single"/>
          </w:rPr>
          <w:t>https://doi.org/10.1037/a0028331</w:t>
        </w:r>
      </w:hyperlink>
    </w:p>
    <w:p w14:paraId="24517AD6"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Li, M., &amp; Bell, M. A. (2016). Multifaceted emotion regulation, stress and affect in mothers of young children. </w:t>
      </w:r>
      <w:r w:rsidRPr="005B38F0">
        <w:rPr>
          <w:rFonts w:ascii="Times New Roman" w:eastAsia="Times New Roman" w:hAnsi="Times New Roman" w:cs="Times New Roman"/>
          <w:i/>
          <w:iCs/>
          <w:sz w:val="24"/>
          <w:szCs w:val="24"/>
        </w:rPr>
        <w:t>Cognition and Emotion</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30</w:t>
      </w:r>
      <w:r w:rsidRPr="005B38F0">
        <w:rPr>
          <w:rFonts w:ascii="Times New Roman" w:eastAsia="Times New Roman" w:hAnsi="Times New Roman" w:cs="Times New Roman"/>
          <w:sz w:val="24"/>
          <w:szCs w:val="24"/>
        </w:rPr>
        <w:t xml:space="preserve">(3), 444–457. </w:t>
      </w:r>
      <w:hyperlink r:id="rId1389" w:history="1">
        <w:r w:rsidRPr="005B38F0">
          <w:rPr>
            <w:rFonts w:ascii="Times New Roman" w:eastAsia="Times New Roman" w:hAnsi="Times New Roman" w:cs="Times New Roman"/>
            <w:color w:val="0000FF"/>
            <w:sz w:val="24"/>
            <w:szCs w:val="24"/>
            <w:u w:val="single"/>
          </w:rPr>
          <w:t>https://doi.org/10.1080/02699931.2015.1013087</w:t>
        </w:r>
      </w:hyperlink>
    </w:p>
    <w:p w14:paraId="64E22D2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Deater-Deckard, K., Wang, Z., Chen, N., &amp; Bell, M. A. (2012). Maternal executive function, harsh parenting, and child conduct problems. </w:t>
      </w:r>
      <w:r w:rsidRPr="005B38F0">
        <w:rPr>
          <w:rFonts w:ascii="Times New Roman" w:eastAsia="Times New Roman" w:hAnsi="Times New Roman" w:cs="Times New Roman"/>
          <w:i/>
          <w:iCs/>
          <w:sz w:val="24"/>
          <w:szCs w:val="24"/>
        </w:rPr>
        <w:t>Journal of Child Psychology and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53</w:t>
      </w:r>
      <w:r w:rsidRPr="005B38F0">
        <w:rPr>
          <w:rFonts w:ascii="Times New Roman" w:eastAsia="Times New Roman" w:hAnsi="Times New Roman" w:cs="Times New Roman"/>
          <w:sz w:val="24"/>
          <w:szCs w:val="24"/>
        </w:rPr>
        <w:t xml:space="preserve">(10), 1084–1091. </w:t>
      </w:r>
      <w:hyperlink r:id="rId1390" w:history="1">
        <w:r w:rsidRPr="005B38F0">
          <w:rPr>
            <w:rFonts w:ascii="Times New Roman" w:eastAsia="Times New Roman" w:hAnsi="Times New Roman" w:cs="Times New Roman"/>
            <w:color w:val="0000FF"/>
            <w:sz w:val="24"/>
            <w:szCs w:val="24"/>
            <w:u w:val="single"/>
          </w:rPr>
          <w:t>https://doi.org/10.1111/j.1469-7610.2012.02582.x</w:t>
        </w:r>
      </w:hyperlink>
    </w:p>
    <w:p w14:paraId="53EBCB1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Debarnot, U., Abichou, K., Kalenzaga, S., Sperduti, M., &amp; Piolino, P. (2015). Variable motor imagery training induces sleep memory consolidation and transfer improvements. </w:t>
      </w:r>
      <w:r w:rsidRPr="005B38F0">
        <w:rPr>
          <w:rFonts w:ascii="Times New Roman" w:eastAsia="Times New Roman" w:hAnsi="Times New Roman" w:cs="Times New Roman"/>
          <w:i/>
          <w:iCs/>
          <w:sz w:val="24"/>
          <w:szCs w:val="24"/>
        </w:rPr>
        <w:t>Neurobiology of Learning and Memory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119</w:t>
      </w:r>
      <w:r w:rsidRPr="005B38F0">
        <w:rPr>
          <w:rFonts w:ascii="Times New Roman" w:eastAsia="Times New Roman" w:hAnsi="Times New Roman" w:cs="Times New Roman"/>
          <w:sz w:val="24"/>
          <w:szCs w:val="24"/>
        </w:rPr>
        <w:t xml:space="preserve">, 85–92. </w:t>
      </w:r>
      <w:hyperlink r:id="rId1391" w:history="1">
        <w:r w:rsidRPr="005B38F0">
          <w:rPr>
            <w:rFonts w:ascii="Times New Roman" w:eastAsia="Times New Roman" w:hAnsi="Times New Roman" w:cs="Times New Roman"/>
            <w:color w:val="0000FF"/>
            <w:sz w:val="24"/>
            <w:szCs w:val="24"/>
            <w:u w:val="single"/>
          </w:rPr>
          <w:t>https://doi.org/10.1016/j.nlm.2014.12.010</w:t>
        </w:r>
      </w:hyperlink>
    </w:p>
    <w:p w14:paraId="17DC51C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Debeus, M. E. (1999). </w:t>
      </w:r>
      <w:r w:rsidRPr="005B38F0">
        <w:rPr>
          <w:rFonts w:ascii="Times New Roman" w:eastAsia="Times New Roman" w:hAnsi="Times New Roman" w:cs="Times New Roman"/>
          <w:i/>
          <w:iCs/>
          <w:sz w:val="24"/>
          <w:szCs w:val="24"/>
        </w:rPr>
        <w:t>Electroencephalographic events during the wisconsin card sorting test.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59</w:t>
      </w:r>
      <w:r w:rsidRPr="005B38F0">
        <w:rPr>
          <w:rFonts w:ascii="Times New Roman" w:eastAsia="Times New Roman" w:hAnsi="Times New Roman" w:cs="Times New Roman"/>
          <w:sz w:val="24"/>
          <w:szCs w:val="24"/>
        </w:rPr>
        <w:t>(7-B), 3675–3675.</w:t>
      </w:r>
    </w:p>
    <w:p w14:paraId="7A3B3B1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Debnath, M., Cannon, D. M., &amp; Venkatasubramanian, G. (2013). Variation in the major histocompatibility complex [MHC] gene family in schizophrenia: Associations and functional implications.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42</w:t>
      </w:r>
      <w:r w:rsidRPr="005B38F0">
        <w:rPr>
          <w:rFonts w:ascii="Times New Roman" w:eastAsia="Times New Roman" w:hAnsi="Times New Roman" w:cs="Times New Roman"/>
          <w:sz w:val="24"/>
          <w:szCs w:val="24"/>
        </w:rPr>
        <w:t xml:space="preserve">, 49–62. </w:t>
      </w:r>
      <w:hyperlink r:id="rId1392" w:history="1">
        <w:r w:rsidRPr="005B38F0">
          <w:rPr>
            <w:rFonts w:ascii="Times New Roman" w:eastAsia="Times New Roman" w:hAnsi="Times New Roman" w:cs="Times New Roman"/>
            <w:color w:val="0000FF"/>
            <w:sz w:val="24"/>
            <w:szCs w:val="24"/>
            <w:u w:val="single"/>
          </w:rPr>
          <w:t>https://doi.org/10.1016/j.pnpbp.2012.07.009</w:t>
        </w:r>
      </w:hyperlink>
    </w:p>
    <w:p w14:paraId="4D574A8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Deckel, A. W. (1999). Tests of executive functioning predict scores on the MacAndrew Alcoholism Scale. </w:t>
      </w:r>
      <w:r w:rsidRPr="005B38F0">
        <w:rPr>
          <w:rFonts w:ascii="Times New Roman" w:eastAsia="Times New Roman" w:hAnsi="Times New Roman" w:cs="Times New Roman"/>
          <w:i/>
          <w:iCs/>
          <w:sz w:val="24"/>
          <w:szCs w:val="24"/>
        </w:rPr>
        <w:t>Progress in Neuro-Psychopharmacology &amp; 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(2), 209–223. </w:t>
      </w:r>
      <w:hyperlink r:id="rId1393" w:history="1">
        <w:r w:rsidRPr="005B38F0">
          <w:rPr>
            <w:rFonts w:ascii="Times New Roman" w:eastAsia="Times New Roman" w:hAnsi="Times New Roman" w:cs="Times New Roman"/>
            <w:color w:val="0000FF"/>
            <w:sz w:val="24"/>
            <w:szCs w:val="24"/>
            <w:u w:val="single"/>
          </w:rPr>
          <w:t>https://doi.org/10.1016/S0278-5846(98)00108-0</w:t>
        </w:r>
      </w:hyperlink>
    </w:p>
    <w:p w14:paraId="28D3277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Deckel, A. W., &amp; Morrison, D. (1996). Evidence of a neurologically based “denial of illness” in patients with Huntington’s disease. </w:t>
      </w:r>
      <w:r w:rsidRPr="005B38F0">
        <w:rPr>
          <w:rFonts w:ascii="Times New Roman" w:eastAsia="Times New Roman" w:hAnsi="Times New Roman" w:cs="Times New Roman"/>
          <w:i/>
          <w:iCs/>
          <w:sz w:val="24"/>
          <w:szCs w:val="24"/>
        </w:rPr>
        <w:t>Archives of Clinical Neuropsychology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w:t>
      </w:r>
      <w:r w:rsidRPr="005B38F0">
        <w:rPr>
          <w:rFonts w:ascii="Times New Roman" w:eastAsia="Times New Roman" w:hAnsi="Times New Roman" w:cs="Times New Roman"/>
          <w:sz w:val="24"/>
          <w:szCs w:val="24"/>
        </w:rPr>
        <w:t xml:space="preserve">(4), 295–302. </w:t>
      </w:r>
      <w:hyperlink r:id="rId1394" w:history="1">
        <w:r w:rsidRPr="005B38F0">
          <w:rPr>
            <w:rFonts w:ascii="Times New Roman" w:eastAsia="Times New Roman" w:hAnsi="Times New Roman" w:cs="Times New Roman"/>
            <w:color w:val="0000FF"/>
            <w:sz w:val="24"/>
            <w:szCs w:val="24"/>
            <w:u w:val="single"/>
          </w:rPr>
          <w:t>https://doi.org/10.1093/arclin/11.4.295</w:t>
        </w:r>
      </w:hyperlink>
    </w:p>
    <w:p w14:paraId="479CB9F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Decker, S. L., Hill, S. K., &amp; Dean, R. S. (2007). Evidence of construct similarity in executive functions and fluid reasoning abilities. </w:t>
      </w:r>
      <w:r w:rsidRPr="005B38F0">
        <w:rPr>
          <w:rFonts w:ascii="Times New Roman" w:eastAsia="Times New Roman" w:hAnsi="Times New Roman" w:cs="Times New Roman"/>
          <w:i/>
          <w:iCs/>
          <w:sz w:val="24"/>
          <w:szCs w:val="24"/>
        </w:rPr>
        <w:t>International Journal of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117</w:t>
      </w:r>
      <w:r w:rsidRPr="005B38F0">
        <w:rPr>
          <w:rFonts w:ascii="Times New Roman" w:eastAsia="Times New Roman" w:hAnsi="Times New Roman" w:cs="Times New Roman"/>
          <w:sz w:val="24"/>
          <w:szCs w:val="24"/>
        </w:rPr>
        <w:t xml:space="preserve">(6), 735–748. </w:t>
      </w:r>
      <w:hyperlink r:id="rId1395" w:history="1">
        <w:r w:rsidRPr="005B38F0">
          <w:rPr>
            <w:rFonts w:ascii="Times New Roman" w:eastAsia="Times New Roman" w:hAnsi="Times New Roman" w:cs="Times New Roman"/>
            <w:color w:val="0000FF"/>
            <w:sz w:val="24"/>
            <w:szCs w:val="24"/>
            <w:u w:val="single"/>
          </w:rPr>
          <w:t>https://doi.org/10.1080/00207450600910085</w:t>
        </w:r>
      </w:hyperlink>
    </w:p>
    <w:p w14:paraId="6297477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Deckersbach, T., Kaur, N., &amp; Hansen, N. S. (2015). Bipolar disorder: A neurocognitive perspective. In </w:t>
      </w:r>
      <w:r w:rsidRPr="005B38F0">
        <w:rPr>
          <w:rFonts w:ascii="Times New Roman" w:eastAsia="Times New Roman" w:hAnsi="Times New Roman" w:cs="Times New Roman"/>
          <w:i/>
          <w:iCs/>
          <w:sz w:val="24"/>
          <w:szCs w:val="24"/>
        </w:rPr>
        <w:t>From symptom to synapse: A neurocognitive perspective on clinical psychology.</w:t>
      </w:r>
      <w:r w:rsidRPr="005B38F0">
        <w:rPr>
          <w:rFonts w:ascii="Times New Roman" w:eastAsia="Times New Roman" w:hAnsi="Times New Roman" w:cs="Times New Roman"/>
          <w:sz w:val="24"/>
          <w:szCs w:val="24"/>
        </w:rPr>
        <w:t xml:space="preserve"> (pp. 278–302). Routledge/Taylor &amp; Francis Group.</w:t>
      </w:r>
    </w:p>
    <w:p w14:paraId="609DA16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DeDios-Stern, S., Gotra, M. Y., &amp; Soble, J. R. (2021). Comprehensive neuropsychological findings in a case of Marchiafava-Bignami disease. </w:t>
      </w:r>
      <w:r w:rsidRPr="005B38F0">
        <w:rPr>
          <w:rFonts w:ascii="Times New Roman" w:eastAsia="Times New Roman" w:hAnsi="Times New Roman" w:cs="Times New Roman"/>
          <w:i/>
          <w:iCs/>
          <w:sz w:val="24"/>
          <w:szCs w:val="24"/>
        </w:rPr>
        <w:t>The Clinical Neuropsychologist</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35</w:t>
      </w:r>
      <w:r w:rsidRPr="005B38F0">
        <w:rPr>
          <w:rFonts w:ascii="Times New Roman" w:eastAsia="Times New Roman" w:hAnsi="Times New Roman" w:cs="Times New Roman"/>
          <w:sz w:val="24"/>
          <w:szCs w:val="24"/>
        </w:rPr>
        <w:t xml:space="preserve">(6), 1191–1202. </w:t>
      </w:r>
      <w:hyperlink r:id="rId1396" w:history="1">
        <w:r w:rsidRPr="005B38F0">
          <w:rPr>
            <w:rFonts w:ascii="Times New Roman" w:eastAsia="Times New Roman" w:hAnsi="Times New Roman" w:cs="Times New Roman"/>
            <w:color w:val="0000FF"/>
            <w:sz w:val="24"/>
            <w:szCs w:val="24"/>
            <w:u w:val="single"/>
          </w:rPr>
          <w:t>https://doi.org/10.1080/13854046.2020.1731608</w:t>
        </w:r>
      </w:hyperlink>
    </w:p>
    <w:p w14:paraId="1A45F25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Deeks, E. D., &amp; Keating, G. M. (2010). Blonanserin: A review of its use in the management of schizophrenia. </w:t>
      </w:r>
      <w:r w:rsidRPr="005B38F0">
        <w:rPr>
          <w:rFonts w:ascii="Times New Roman" w:eastAsia="Times New Roman" w:hAnsi="Times New Roman" w:cs="Times New Roman"/>
          <w:i/>
          <w:iCs/>
          <w:sz w:val="24"/>
          <w:szCs w:val="24"/>
        </w:rPr>
        <w:t>CNS Drugs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(1), 65–84. </w:t>
      </w:r>
      <w:hyperlink r:id="rId1397" w:history="1">
        <w:r w:rsidRPr="005B38F0">
          <w:rPr>
            <w:rFonts w:ascii="Times New Roman" w:eastAsia="Times New Roman" w:hAnsi="Times New Roman" w:cs="Times New Roman"/>
            <w:color w:val="0000FF"/>
            <w:sz w:val="24"/>
            <w:szCs w:val="24"/>
            <w:u w:val="single"/>
          </w:rPr>
          <w:t>https://doi.org/10.2165/11202620-000000000-00000</w:t>
        </w:r>
      </w:hyperlink>
    </w:p>
    <w:p w14:paraId="086DD79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Deep-Soboslay, A., Hyde, T. M., Callicott, J. P., Lener, M. S., Verchinski, B. A., Apud, J. A., Weinberger, D. R., &amp; Elvevåg, B. (2010). Handedness, heritability, neurocognition and brain asymmetry in schizophrenia.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133</w:t>
      </w:r>
      <w:r w:rsidRPr="005B38F0">
        <w:rPr>
          <w:rFonts w:ascii="Times New Roman" w:eastAsia="Times New Roman" w:hAnsi="Times New Roman" w:cs="Times New Roman"/>
          <w:sz w:val="24"/>
          <w:szCs w:val="24"/>
        </w:rPr>
        <w:t xml:space="preserve">(10), 3113–3122. </w:t>
      </w:r>
      <w:hyperlink r:id="rId1398" w:history="1">
        <w:r w:rsidRPr="005B38F0">
          <w:rPr>
            <w:rFonts w:ascii="Times New Roman" w:eastAsia="Times New Roman" w:hAnsi="Times New Roman" w:cs="Times New Roman"/>
            <w:color w:val="0000FF"/>
            <w:sz w:val="24"/>
            <w:szCs w:val="24"/>
            <w:u w:val="single"/>
          </w:rPr>
          <w:t>https://doi.org/10.1093/brain/awq160</w:t>
        </w:r>
      </w:hyperlink>
    </w:p>
    <w:p w14:paraId="78F5286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Deepthi, K., Roopesh, B. N., Balachander, S., Vijay Sagar, J. K., Kandavel, T., &amp; Reddy, Y. C. J. (2021). Neuropsychological performance in youth with obsessive-compulsive disorder. </w:t>
      </w:r>
      <w:r w:rsidRPr="005B38F0">
        <w:rPr>
          <w:rFonts w:ascii="Times New Roman" w:eastAsia="Times New Roman" w:hAnsi="Times New Roman" w:cs="Times New Roman"/>
          <w:i/>
          <w:iCs/>
          <w:sz w:val="24"/>
          <w:szCs w:val="24"/>
        </w:rPr>
        <w:t>Journal of Psychiatric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138</w:t>
      </w:r>
      <w:r w:rsidRPr="005B38F0">
        <w:rPr>
          <w:rFonts w:ascii="Times New Roman" w:eastAsia="Times New Roman" w:hAnsi="Times New Roman" w:cs="Times New Roman"/>
          <w:sz w:val="24"/>
          <w:szCs w:val="24"/>
        </w:rPr>
        <w:t xml:space="preserve">, 301–310. </w:t>
      </w:r>
      <w:hyperlink r:id="rId1399" w:history="1">
        <w:r w:rsidRPr="005B38F0">
          <w:rPr>
            <w:rFonts w:ascii="Times New Roman" w:eastAsia="Times New Roman" w:hAnsi="Times New Roman" w:cs="Times New Roman"/>
            <w:color w:val="0000FF"/>
            <w:sz w:val="24"/>
            <w:szCs w:val="24"/>
            <w:u w:val="single"/>
          </w:rPr>
          <w:t>https://doi.org/10.1016/j.jpsychires.2021.03.066</w:t>
        </w:r>
      </w:hyperlink>
    </w:p>
    <w:p w14:paraId="701BE21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Degl’Innocenti, A., Ågren, H., Zachrisson, O., &amp; Bäckman, L. (1999). The influence of prolactin response to d-fenfluramine on executive functioning in major depression. </w:t>
      </w:r>
      <w:r w:rsidRPr="005B38F0">
        <w:rPr>
          <w:rFonts w:ascii="Times New Roman" w:eastAsia="Times New Roman" w:hAnsi="Times New Roman" w:cs="Times New Roman"/>
          <w:i/>
          <w:iCs/>
          <w:sz w:val="24"/>
          <w:szCs w:val="24"/>
        </w:rPr>
        <w:t>Biological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46</w:t>
      </w:r>
      <w:r w:rsidRPr="005B38F0">
        <w:rPr>
          <w:rFonts w:ascii="Times New Roman" w:eastAsia="Times New Roman" w:hAnsi="Times New Roman" w:cs="Times New Roman"/>
          <w:sz w:val="24"/>
          <w:szCs w:val="24"/>
        </w:rPr>
        <w:t xml:space="preserve">(4), 512–517. </w:t>
      </w:r>
      <w:hyperlink r:id="rId1400" w:history="1">
        <w:r w:rsidRPr="005B38F0">
          <w:rPr>
            <w:rFonts w:ascii="Times New Roman" w:eastAsia="Times New Roman" w:hAnsi="Times New Roman" w:cs="Times New Roman"/>
            <w:color w:val="0000FF"/>
            <w:sz w:val="24"/>
            <w:szCs w:val="24"/>
            <w:u w:val="single"/>
          </w:rPr>
          <w:t>https://doi.org/10.1016/S0006-3223(98)00325-4</w:t>
        </w:r>
      </w:hyperlink>
    </w:p>
    <w:p w14:paraId="78BE658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Degortes, D., Tenconi, E., Santonastaso, P., &amp; Favaro, A. (2016). Executive functioning and visuospatial abilities in bulimia nervosa with or without a previous history of anorexia nervosa. </w:t>
      </w:r>
      <w:r w:rsidRPr="005B38F0">
        <w:rPr>
          <w:rFonts w:ascii="Times New Roman" w:eastAsia="Times New Roman" w:hAnsi="Times New Roman" w:cs="Times New Roman"/>
          <w:i/>
          <w:iCs/>
          <w:sz w:val="24"/>
          <w:szCs w:val="24"/>
        </w:rPr>
        <w:t>European Eating Disorders Review</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24</w:t>
      </w:r>
      <w:r w:rsidRPr="005B38F0">
        <w:rPr>
          <w:rFonts w:ascii="Times New Roman" w:eastAsia="Times New Roman" w:hAnsi="Times New Roman" w:cs="Times New Roman"/>
          <w:sz w:val="24"/>
          <w:szCs w:val="24"/>
        </w:rPr>
        <w:t xml:space="preserve">(2), 139–146. </w:t>
      </w:r>
      <w:hyperlink r:id="rId1401" w:history="1">
        <w:r w:rsidRPr="005B38F0">
          <w:rPr>
            <w:rFonts w:ascii="Times New Roman" w:eastAsia="Times New Roman" w:hAnsi="Times New Roman" w:cs="Times New Roman"/>
            <w:color w:val="0000FF"/>
            <w:sz w:val="24"/>
            <w:szCs w:val="24"/>
            <w:u w:val="single"/>
          </w:rPr>
          <w:t>https://doi.org/10.1002/erv.2430</w:t>
        </w:r>
      </w:hyperlink>
    </w:p>
    <w:p w14:paraId="3B4AA52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Dehaene, S., &amp; Changeux, J.-P. (1995). Neuronal models of prefrontal cortical functions. In </w:t>
      </w:r>
      <w:r w:rsidRPr="005B38F0">
        <w:rPr>
          <w:rFonts w:ascii="Times New Roman" w:eastAsia="Times New Roman" w:hAnsi="Times New Roman" w:cs="Times New Roman"/>
          <w:i/>
          <w:iCs/>
          <w:sz w:val="24"/>
          <w:szCs w:val="24"/>
        </w:rPr>
        <w:t>Structure and functions of the human prefrontal cortex.</w:t>
      </w:r>
      <w:r w:rsidRPr="005B38F0">
        <w:rPr>
          <w:rFonts w:ascii="Times New Roman" w:eastAsia="Times New Roman" w:hAnsi="Times New Roman" w:cs="Times New Roman"/>
          <w:sz w:val="24"/>
          <w:szCs w:val="24"/>
        </w:rPr>
        <w:t xml:space="preserve"> (pp. 305–319). New York Academy of Sciences.</w:t>
      </w:r>
    </w:p>
    <w:p w14:paraId="39AF3F75"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Dehaene, S., Cohen, L., &amp; Changeux, J.-P. (1998). Neuronal network models of acalculia and prefrontal deficits. In </w:t>
      </w:r>
      <w:r w:rsidRPr="005B38F0">
        <w:rPr>
          <w:rFonts w:ascii="Times New Roman" w:eastAsia="Times New Roman" w:hAnsi="Times New Roman" w:cs="Times New Roman"/>
          <w:i/>
          <w:iCs/>
          <w:sz w:val="24"/>
          <w:szCs w:val="24"/>
        </w:rPr>
        <w:t>Fundamentals of neural network modeling: Neuropsychology and cognitive neuroscience.</w:t>
      </w:r>
      <w:r w:rsidRPr="005B38F0">
        <w:rPr>
          <w:rFonts w:ascii="Times New Roman" w:eastAsia="Times New Roman" w:hAnsi="Times New Roman" w:cs="Times New Roman"/>
          <w:sz w:val="24"/>
          <w:szCs w:val="24"/>
        </w:rPr>
        <w:t xml:space="preserve"> (pp. 233–255). The MIT Press.</w:t>
      </w:r>
    </w:p>
    <w:p w14:paraId="1322475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Deiber, M.-P., Ib´a˜nez, V., Herrmann, F., Rodriguez, C., Emch, J., Missonnier, P., Millet, P., Gold, G., &amp; Giannakopoulos, P. (2011). Face short-term memory-related electroencephalographic patterns can differentiate multi- versus single-domain amnestic mild cognitive impairment.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26</w:t>
      </w:r>
      <w:r w:rsidRPr="005B38F0">
        <w:rPr>
          <w:rFonts w:ascii="Times New Roman" w:eastAsia="Times New Roman" w:hAnsi="Times New Roman" w:cs="Times New Roman"/>
          <w:sz w:val="24"/>
          <w:szCs w:val="24"/>
        </w:rPr>
        <w:t>(1), 157–169.</w:t>
      </w:r>
    </w:p>
    <w:p w14:paraId="2518AF27"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Deiber, M.-P., Ibañez, V., Missonnier, P., Rodriguez, C., &amp; Giannakopoulos, P. (2013). Age-associated modulations of cerebral oscillatory patterns related to attention control. </w:t>
      </w:r>
      <w:r w:rsidRPr="005B38F0">
        <w:rPr>
          <w:rFonts w:ascii="Times New Roman" w:eastAsia="Times New Roman" w:hAnsi="Times New Roman" w:cs="Times New Roman"/>
          <w:i/>
          <w:iCs/>
          <w:sz w:val="24"/>
          <w:szCs w:val="24"/>
        </w:rPr>
        <w:t>NeuroImage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 531–546. </w:t>
      </w:r>
      <w:hyperlink r:id="rId1402" w:history="1">
        <w:r w:rsidRPr="005B38F0">
          <w:rPr>
            <w:rFonts w:ascii="Times New Roman" w:eastAsia="Times New Roman" w:hAnsi="Times New Roman" w:cs="Times New Roman"/>
            <w:color w:val="0000FF"/>
            <w:sz w:val="24"/>
            <w:szCs w:val="24"/>
            <w:u w:val="single"/>
          </w:rPr>
          <w:t>https://doi.org/10.1016/j.neuroimage.2013.06.037</w:t>
        </w:r>
      </w:hyperlink>
    </w:p>
    <w:p w14:paraId="3F042204"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Deiber, M.-P., Meziane, H. B., Hasler, R., Rodriguez, C., Toma, S., Ackermann, M., Herrmann, F., &amp; Giannakopoulos, P. (2015). Attention and working memory-related EEG markers of </w:t>
      </w:r>
      <w:r w:rsidRPr="005B38F0">
        <w:rPr>
          <w:rFonts w:ascii="Times New Roman" w:eastAsia="Times New Roman" w:hAnsi="Times New Roman" w:cs="Times New Roman"/>
          <w:sz w:val="24"/>
          <w:szCs w:val="24"/>
        </w:rPr>
        <w:lastRenderedPageBreak/>
        <w:t xml:space="preserve">subtle cognitive deterioration in healthy elderly individuals.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47</w:t>
      </w:r>
      <w:r w:rsidRPr="005B38F0">
        <w:rPr>
          <w:rFonts w:ascii="Times New Roman" w:eastAsia="Times New Roman" w:hAnsi="Times New Roman" w:cs="Times New Roman"/>
          <w:sz w:val="24"/>
          <w:szCs w:val="24"/>
        </w:rPr>
        <w:t xml:space="preserve">(2), 335–349. </w:t>
      </w:r>
      <w:hyperlink r:id="rId1403" w:history="1">
        <w:r w:rsidRPr="005B38F0">
          <w:rPr>
            <w:rFonts w:ascii="Times New Roman" w:eastAsia="Times New Roman" w:hAnsi="Times New Roman" w:cs="Times New Roman"/>
            <w:color w:val="0000FF"/>
            <w:sz w:val="24"/>
            <w:szCs w:val="24"/>
            <w:u w:val="single"/>
          </w:rPr>
          <w:t>https://doi.org/10.3233/JAD-150111</w:t>
        </w:r>
      </w:hyperlink>
    </w:p>
    <w:p w14:paraId="1C99CBCC"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Deiss, R., Campbell, Cdr. J., Watson, C. W.-M., Moore, R. C., Crum-Cianflone, N. F., Wang, X., Ganesan, A., Okulicz, Lt. Col. J., Letendre, S., Maves, R. C., Moore, D. J., &amp; Agan, B. K. (2019). Posttraumatic stress disorder and neurocognitive impairment in a U.S. military cohort of persons living with HIV. </w:t>
      </w:r>
      <w:r w:rsidRPr="005B38F0">
        <w:rPr>
          <w:rFonts w:ascii="Times New Roman" w:eastAsia="Times New Roman" w:hAnsi="Times New Roman" w:cs="Times New Roman"/>
          <w:i/>
          <w:iCs/>
          <w:sz w:val="24"/>
          <w:szCs w:val="24"/>
        </w:rPr>
        <w:t>Psychiatry: Interpersonal and Biological Processes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82</w:t>
      </w:r>
      <w:r w:rsidRPr="005B38F0">
        <w:rPr>
          <w:rFonts w:ascii="Times New Roman" w:eastAsia="Times New Roman" w:hAnsi="Times New Roman" w:cs="Times New Roman"/>
          <w:sz w:val="24"/>
          <w:szCs w:val="24"/>
        </w:rPr>
        <w:t xml:space="preserve">(3), 228–239. </w:t>
      </w:r>
      <w:hyperlink r:id="rId1404" w:history="1">
        <w:r w:rsidRPr="005B38F0">
          <w:rPr>
            <w:rFonts w:ascii="Times New Roman" w:eastAsia="Times New Roman" w:hAnsi="Times New Roman" w:cs="Times New Roman"/>
            <w:color w:val="0000FF"/>
            <w:sz w:val="24"/>
            <w:szCs w:val="24"/>
            <w:u w:val="single"/>
          </w:rPr>
          <w:t>https://doi.org/10.1080/00332747.2019.1586503</w:t>
        </w:r>
      </w:hyperlink>
    </w:p>
    <w:p w14:paraId="532C0A81"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Cul, A., Dehaene, S., Reyes, P., Bravo, E., &amp; Slachevsky, A. (2009). Causal role of prefrontal cortex in the threshold for access to consciousness. </w:t>
      </w:r>
      <w:r w:rsidRPr="005B38F0">
        <w:rPr>
          <w:rFonts w:ascii="Times New Roman" w:eastAsia="Times New Roman" w:hAnsi="Times New Roman" w:cs="Times New Roman"/>
          <w:i/>
          <w:iCs/>
          <w:sz w:val="24"/>
          <w:szCs w:val="24"/>
        </w:rPr>
        <w:t>Brain: A Journal of Neurology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132</w:t>
      </w:r>
      <w:r w:rsidRPr="005B38F0">
        <w:rPr>
          <w:rFonts w:ascii="Times New Roman" w:eastAsia="Times New Roman" w:hAnsi="Times New Roman" w:cs="Times New Roman"/>
          <w:sz w:val="24"/>
          <w:szCs w:val="24"/>
        </w:rPr>
        <w:t xml:space="preserve">(9), 2531–2540. </w:t>
      </w:r>
      <w:hyperlink r:id="rId1405" w:history="1">
        <w:r w:rsidRPr="005B38F0">
          <w:rPr>
            <w:rFonts w:ascii="Times New Roman" w:eastAsia="Times New Roman" w:hAnsi="Times New Roman" w:cs="Times New Roman"/>
            <w:color w:val="0000FF"/>
            <w:sz w:val="24"/>
            <w:szCs w:val="24"/>
            <w:u w:val="single"/>
          </w:rPr>
          <w:t>https://doi.org/10.1093/brain/awp111</w:t>
        </w:r>
      </w:hyperlink>
    </w:p>
    <w:p w14:paraId="5B9BD5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Giorno, J. M., Hall, E. E., O’Leary, K. C., Bixby, W. R., &amp; Miller, P. C. (2010). Cognitive function during acute exercise: A test of the transient hypofrontality theory. </w:t>
      </w:r>
      <w:r w:rsidRPr="005B38F0">
        <w:rPr>
          <w:rFonts w:ascii="Times New Roman" w:eastAsia="Times New Roman" w:hAnsi="Times New Roman" w:cs="Times New Roman"/>
          <w:i/>
          <w:iCs/>
          <w:sz w:val="24"/>
          <w:szCs w:val="24"/>
        </w:rPr>
        <w:t>Journal of Sport &amp; Exercise Psychology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32</w:t>
      </w:r>
      <w:r w:rsidRPr="005B38F0">
        <w:rPr>
          <w:rFonts w:ascii="Times New Roman" w:eastAsia="Times New Roman" w:hAnsi="Times New Roman" w:cs="Times New Roman"/>
          <w:sz w:val="24"/>
          <w:szCs w:val="24"/>
        </w:rPr>
        <w:t xml:space="preserve">(3), 312–323. </w:t>
      </w:r>
      <w:hyperlink r:id="rId1406" w:history="1">
        <w:r w:rsidRPr="005B38F0">
          <w:rPr>
            <w:rFonts w:ascii="Times New Roman" w:eastAsia="Times New Roman" w:hAnsi="Times New Roman" w:cs="Times New Roman"/>
            <w:color w:val="0000FF"/>
            <w:sz w:val="24"/>
            <w:szCs w:val="24"/>
            <w:u w:val="single"/>
          </w:rPr>
          <w:t>https://doi.org/10.1123/jsep.32.3.312</w:t>
        </w:r>
      </w:hyperlink>
    </w:p>
    <w:p w14:paraId="046B920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Mar Amador, M., &amp; Mauras, T. (2016). Personality changes after encephalitis: When “organic personality disorder” is not enough. In </w:t>
      </w:r>
      <w:r w:rsidRPr="005B38F0">
        <w:rPr>
          <w:rFonts w:ascii="Times New Roman" w:eastAsia="Times New Roman" w:hAnsi="Times New Roman" w:cs="Times New Roman"/>
          <w:i/>
          <w:iCs/>
          <w:sz w:val="24"/>
          <w:szCs w:val="24"/>
        </w:rPr>
        <w:t>Neuropsychiatry case studies.</w:t>
      </w:r>
      <w:r w:rsidRPr="005B38F0">
        <w:rPr>
          <w:rFonts w:ascii="Times New Roman" w:eastAsia="Times New Roman" w:hAnsi="Times New Roman" w:cs="Times New Roman"/>
          <w:sz w:val="24"/>
          <w:szCs w:val="24"/>
        </w:rPr>
        <w:t xml:space="preserve"> (pp. 199–205). Springer International Publishing. </w:t>
      </w:r>
      <w:hyperlink r:id="rId1407" w:history="1">
        <w:r w:rsidRPr="005B38F0">
          <w:rPr>
            <w:rFonts w:ascii="Times New Roman" w:eastAsia="Times New Roman" w:hAnsi="Times New Roman" w:cs="Times New Roman"/>
            <w:color w:val="0000FF"/>
            <w:sz w:val="24"/>
            <w:szCs w:val="24"/>
            <w:u w:val="single"/>
          </w:rPr>
          <w:t>https://doi.org/10.1007/978-3-319-42190-2_35</w:t>
        </w:r>
      </w:hyperlink>
    </w:p>
    <w:p w14:paraId="2DCD428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Miglio, C., Paluzzi, S., Falanga, M., &amp; Talli, M. (1996). Field dependence and characteristics of conceptualization in identical twins. </w:t>
      </w:r>
      <w:r w:rsidRPr="005B38F0">
        <w:rPr>
          <w:rFonts w:ascii="Times New Roman" w:eastAsia="Times New Roman" w:hAnsi="Times New Roman" w:cs="Times New Roman"/>
          <w:i/>
          <w:iCs/>
          <w:sz w:val="24"/>
          <w:szCs w:val="24"/>
        </w:rPr>
        <w:t>Acta Geneticae Medicae et Gemellologiae: Twin Research</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45</w:t>
      </w:r>
      <w:r w:rsidRPr="005B38F0">
        <w:rPr>
          <w:rFonts w:ascii="Times New Roman" w:eastAsia="Times New Roman" w:hAnsi="Times New Roman" w:cs="Times New Roman"/>
          <w:sz w:val="24"/>
          <w:szCs w:val="24"/>
        </w:rPr>
        <w:t>(4), 449–460.</w:t>
      </w:r>
    </w:p>
    <w:p w14:paraId="367EDD4F"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 Pino, V., &amp; Werlang, B. S. G. (2008). Flexibilidade mental na resolução de problemas em indivíduos que cumprem pena por homicídio qualificado. [Problem-solving mental flexibility in individuals who were convicted for murder.]. </w:t>
      </w:r>
      <w:r w:rsidRPr="005B38F0">
        <w:rPr>
          <w:rFonts w:ascii="Times New Roman" w:eastAsia="Times New Roman" w:hAnsi="Times New Roman" w:cs="Times New Roman"/>
          <w:i/>
          <w:iCs/>
          <w:sz w:val="24"/>
          <w:szCs w:val="24"/>
        </w:rPr>
        <w:t>Psicologia: Reflexão e Crítica</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21</w:t>
      </w:r>
      <w:r w:rsidRPr="005B38F0">
        <w:rPr>
          <w:rFonts w:ascii="Times New Roman" w:eastAsia="Times New Roman" w:hAnsi="Times New Roman" w:cs="Times New Roman"/>
          <w:sz w:val="24"/>
          <w:szCs w:val="24"/>
        </w:rPr>
        <w:t xml:space="preserve">(1), 142–150. </w:t>
      </w:r>
      <w:hyperlink r:id="rId1408" w:history="1">
        <w:r w:rsidRPr="005B38F0">
          <w:rPr>
            <w:rFonts w:ascii="Times New Roman" w:eastAsia="Times New Roman" w:hAnsi="Times New Roman" w:cs="Times New Roman"/>
            <w:color w:val="0000FF"/>
            <w:sz w:val="24"/>
            <w:szCs w:val="24"/>
            <w:u w:val="single"/>
          </w:rPr>
          <w:t>https://doi.org/10.1590/S0102-79722008000100018</w:t>
        </w:r>
      </w:hyperlink>
    </w:p>
    <w:p w14:paraId="3BFD017B"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Delahunty, A., Morice, R., &amp; Frost, B. (1993). Specific cognitive flexibility rehabilitation in schizophrenia. </w:t>
      </w:r>
      <w:r w:rsidRPr="005B38F0">
        <w:rPr>
          <w:rFonts w:ascii="Times New Roman" w:eastAsia="Times New Roman" w:hAnsi="Times New Roman" w:cs="Times New Roman"/>
          <w:i/>
          <w:iCs/>
          <w:sz w:val="24"/>
          <w:szCs w:val="24"/>
        </w:rPr>
        <w:t>Psychological Medicine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23</w:t>
      </w:r>
      <w:r w:rsidRPr="005B38F0">
        <w:rPr>
          <w:rFonts w:ascii="Times New Roman" w:eastAsia="Times New Roman" w:hAnsi="Times New Roman" w:cs="Times New Roman"/>
          <w:sz w:val="24"/>
          <w:szCs w:val="24"/>
        </w:rPr>
        <w:t xml:space="preserve">(1), 221–227. </w:t>
      </w:r>
      <w:hyperlink r:id="rId1409" w:history="1">
        <w:r w:rsidRPr="005B38F0">
          <w:rPr>
            <w:rFonts w:ascii="Times New Roman" w:eastAsia="Times New Roman" w:hAnsi="Times New Roman" w:cs="Times New Roman"/>
            <w:color w:val="0000FF"/>
            <w:sz w:val="24"/>
            <w:szCs w:val="24"/>
            <w:u w:val="single"/>
          </w:rPr>
          <w:t>https://doi.org/10.1017/S0033291700039015</w:t>
        </w:r>
      </w:hyperlink>
    </w:p>
    <w:p w14:paraId="742EA718"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Delaveau, P., Salgado-Pineda, P., Wicker, B., Micallef-Roll, J., &amp; Blin, O. (2005). Effect of Levodopa on Healthy Volunteers’ Facial Emotion Perception: An fMRI Study. </w:t>
      </w:r>
      <w:r w:rsidRPr="005B38F0">
        <w:rPr>
          <w:rFonts w:ascii="Times New Roman" w:eastAsia="Times New Roman" w:hAnsi="Times New Roman" w:cs="Times New Roman"/>
          <w:i/>
          <w:iCs/>
          <w:sz w:val="24"/>
          <w:szCs w:val="24"/>
        </w:rPr>
        <w:t>Clinical Neuropharmacology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28</w:t>
      </w:r>
      <w:r w:rsidRPr="005B38F0">
        <w:rPr>
          <w:rFonts w:ascii="Times New Roman" w:eastAsia="Times New Roman" w:hAnsi="Times New Roman" w:cs="Times New Roman"/>
          <w:sz w:val="24"/>
          <w:szCs w:val="24"/>
        </w:rPr>
        <w:t xml:space="preserve">(6), 255–261. </w:t>
      </w:r>
      <w:hyperlink r:id="rId1410" w:history="1">
        <w:r w:rsidRPr="005B38F0">
          <w:rPr>
            <w:rFonts w:ascii="Times New Roman" w:eastAsia="Times New Roman" w:hAnsi="Times New Roman" w:cs="Times New Roman"/>
            <w:color w:val="0000FF"/>
            <w:sz w:val="24"/>
            <w:szCs w:val="24"/>
            <w:u w:val="single"/>
          </w:rPr>
          <w:t>https://doi.org/10.1097/01.wnf.0000186651.96351.2e</w:t>
        </w:r>
      </w:hyperlink>
    </w:p>
    <w:p w14:paraId="3CCD34A3"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Delerue, C., Hayhoe, M., &amp; Boucart, M. (2013). Eye movements during natural actions in patients with schizophrenia. </w:t>
      </w:r>
      <w:r w:rsidRPr="005B38F0">
        <w:rPr>
          <w:rFonts w:ascii="Times New Roman" w:eastAsia="Times New Roman" w:hAnsi="Times New Roman" w:cs="Times New Roman"/>
          <w:i/>
          <w:iCs/>
          <w:sz w:val="24"/>
          <w:szCs w:val="24"/>
        </w:rPr>
        <w:t>Journal of Psychiatry &amp; Neuroscience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(5), 317–324. </w:t>
      </w:r>
      <w:hyperlink r:id="rId1411" w:history="1">
        <w:r w:rsidRPr="005B38F0">
          <w:rPr>
            <w:rFonts w:ascii="Times New Roman" w:eastAsia="Times New Roman" w:hAnsi="Times New Roman" w:cs="Times New Roman"/>
            <w:color w:val="0000FF"/>
            <w:sz w:val="24"/>
            <w:szCs w:val="24"/>
            <w:u w:val="single"/>
          </w:rPr>
          <w:t>https://doi.org/10.1503/jpn.120143</w:t>
        </w:r>
      </w:hyperlink>
    </w:p>
    <w:p w14:paraId="276920DE"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Delfin, C., Andiné, P., Hofvander, B., Billstedt, E., &amp; Wallinius, M. (2018). Examining associations between psychopathic traits and executive functions in incarcerated violent offenders. </w:t>
      </w:r>
      <w:r w:rsidRPr="005B38F0">
        <w:rPr>
          <w:rFonts w:ascii="Times New Roman" w:eastAsia="Times New Roman" w:hAnsi="Times New Roman" w:cs="Times New Roman"/>
          <w:i/>
          <w:iCs/>
          <w:sz w:val="24"/>
          <w:szCs w:val="24"/>
        </w:rPr>
        <w:t>Frontiers in Psychiatry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9</w:t>
      </w:r>
      <w:r w:rsidRPr="005B38F0">
        <w:rPr>
          <w:rFonts w:ascii="Times New Roman" w:eastAsia="Times New Roman" w:hAnsi="Times New Roman" w:cs="Times New Roman"/>
          <w:sz w:val="24"/>
          <w:szCs w:val="24"/>
        </w:rPr>
        <w:t xml:space="preserve">. </w:t>
      </w:r>
      <w:hyperlink r:id="rId1412" w:history="1">
        <w:r w:rsidRPr="005B38F0">
          <w:rPr>
            <w:rFonts w:ascii="Times New Roman" w:eastAsia="Times New Roman" w:hAnsi="Times New Roman" w:cs="Times New Roman"/>
            <w:color w:val="0000FF"/>
            <w:sz w:val="24"/>
            <w:szCs w:val="24"/>
            <w:u w:val="single"/>
          </w:rPr>
          <w:t>https://doi.org/10.3389/fpsyt.2018.00310</w:t>
        </w:r>
      </w:hyperlink>
    </w:p>
    <w:p w14:paraId="071E9B5A"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Delgado, C., Vergara, R. C., Martínez, M., Musa, G., Henríquez, F., &amp; Slachevsky, A. (2019). Neuropsychiatric symptoms in Alzheimer’s disease are the main determinants of functional impairment in advanced everyday activities. </w:t>
      </w:r>
      <w:r w:rsidRPr="005B38F0">
        <w:rPr>
          <w:rFonts w:ascii="Times New Roman" w:eastAsia="Times New Roman" w:hAnsi="Times New Roman" w:cs="Times New Roman"/>
          <w:i/>
          <w:iCs/>
          <w:sz w:val="24"/>
          <w:szCs w:val="24"/>
        </w:rPr>
        <w:t>Journal of Alzheimer’s Disease</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67</w:t>
      </w:r>
      <w:r w:rsidRPr="005B38F0">
        <w:rPr>
          <w:rFonts w:ascii="Times New Roman" w:eastAsia="Times New Roman" w:hAnsi="Times New Roman" w:cs="Times New Roman"/>
          <w:sz w:val="24"/>
          <w:szCs w:val="24"/>
        </w:rPr>
        <w:t xml:space="preserve">(1), 381–392. </w:t>
      </w:r>
      <w:hyperlink r:id="rId1413" w:history="1">
        <w:r w:rsidRPr="005B38F0">
          <w:rPr>
            <w:rFonts w:ascii="Times New Roman" w:eastAsia="Times New Roman" w:hAnsi="Times New Roman" w:cs="Times New Roman"/>
            <w:color w:val="0000FF"/>
            <w:sz w:val="24"/>
            <w:szCs w:val="24"/>
            <w:u w:val="single"/>
          </w:rPr>
          <w:t>https://doi.org/10.3233/JAD-180771</w:t>
        </w:r>
      </w:hyperlink>
    </w:p>
    <w:p w14:paraId="3C3A6FB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Deliens, G., Papastamou, F., Ruytenbeek, N., Geelhand, P., &amp; Kissine, M. (2018). Selective pragmatic impairment in autism spectrum disorder: Indirect requests versus irony. </w:t>
      </w:r>
      <w:r w:rsidRPr="005B38F0">
        <w:rPr>
          <w:rFonts w:ascii="Times New Roman" w:eastAsia="Times New Roman" w:hAnsi="Times New Roman" w:cs="Times New Roman"/>
          <w:i/>
          <w:iCs/>
          <w:sz w:val="24"/>
          <w:szCs w:val="24"/>
        </w:rPr>
        <w:t>Journal of Autism and Developmental Disorders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48</w:t>
      </w:r>
      <w:r w:rsidRPr="005B38F0">
        <w:rPr>
          <w:rFonts w:ascii="Times New Roman" w:eastAsia="Times New Roman" w:hAnsi="Times New Roman" w:cs="Times New Roman"/>
          <w:sz w:val="24"/>
          <w:szCs w:val="24"/>
        </w:rPr>
        <w:t xml:space="preserve">(9), 2938–2952. </w:t>
      </w:r>
      <w:hyperlink r:id="rId1414" w:history="1">
        <w:r w:rsidRPr="005B38F0">
          <w:rPr>
            <w:rFonts w:ascii="Times New Roman" w:eastAsia="Times New Roman" w:hAnsi="Times New Roman" w:cs="Times New Roman"/>
            <w:color w:val="0000FF"/>
            <w:sz w:val="24"/>
            <w:szCs w:val="24"/>
            <w:u w:val="single"/>
          </w:rPr>
          <w:t>https://doi.org/10.1007/s10803-018-3561-6</w:t>
        </w:r>
      </w:hyperlink>
    </w:p>
    <w:p w14:paraId="28DD674D"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Delis, D. C., Kramer, J. H., Kaplan, E., &amp; Holdnack, J. (2004). Reliability and validity of the Delis-Kaplan Executive Function System: An update. </w:t>
      </w:r>
      <w:r w:rsidRPr="005B38F0">
        <w:rPr>
          <w:rFonts w:ascii="Times New Roman" w:eastAsia="Times New Roman" w:hAnsi="Times New Roman" w:cs="Times New Roman"/>
          <w:i/>
          <w:iCs/>
          <w:sz w:val="24"/>
          <w:szCs w:val="24"/>
        </w:rPr>
        <w:t>Journal of the International Neuropsychological Society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10</w:t>
      </w:r>
      <w:r w:rsidRPr="005B38F0">
        <w:rPr>
          <w:rFonts w:ascii="Times New Roman" w:eastAsia="Times New Roman" w:hAnsi="Times New Roman" w:cs="Times New Roman"/>
          <w:sz w:val="24"/>
          <w:szCs w:val="24"/>
        </w:rPr>
        <w:t xml:space="preserve">(2), 301–303. </w:t>
      </w:r>
      <w:hyperlink r:id="rId1415" w:history="1">
        <w:r w:rsidRPr="005B38F0">
          <w:rPr>
            <w:rFonts w:ascii="Times New Roman" w:eastAsia="Times New Roman" w:hAnsi="Times New Roman" w:cs="Times New Roman"/>
            <w:color w:val="0000FF"/>
            <w:sz w:val="24"/>
            <w:szCs w:val="24"/>
            <w:u w:val="single"/>
          </w:rPr>
          <w:t>https://doi.org/10.1017/S1355617704102191</w:t>
        </w:r>
      </w:hyperlink>
    </w:p>
    <w:p w14:paraId="50D0ACF2"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lastRenderedPageBreak/>
        <w:t xml:space="preserve">D’Orio, V. L., Foley, F. W., Armentano, F., Picone, M. A., Kim, S., &amp; Holtzer, R. (2012). Cognitive and motor functioning in patients with multiple sclerosis: Neuropsychological predictors of walking speed and falls. </w:t>
      </w:r>
      <w:r w:rsidRPr="005B38F0">
        <w:rPr>
          <w:rFonts w:ascii="Times New Roman" w:eastAsia="Times New Roman" w:hAnsi="Times New Roman" w:cs="Times New Roman"/>
          <w:i/>
          <w:iCs/>
          <w:sz w:val="24"/>
          <w:szCs w:val="24"/>
        </w:rPr>
        <w:t>Journal of the Neurological Sciences</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316</w:t>
      </w:r>
      <w:r w:rsidRPr="005B38F0">
        <w:rPr>
          <w:rFonts w:ascii="Times New Roman" w:eastAsia="Times New Roman" w:hAnsi="Times New Roman" w:cs="Times New Roman"/>
          <w:sz w:val="24"/>
          <w:szCs w:val="24"/>
        </w:rPr>
        <w:t xml:space="preserve">(1–2), 42–46. </w:t>
      </w:r>
      <w:hyperlink r:id="rId1416" w:history="1">
        <w:r w:rsidRPr="005B38F0">
          <w:rPr>
            <w:rFonts w:ascii="Times New Roman" w:eastAsia="Times New Roman" w:hAnsi="Times New Roman" w:cs="Times New Roman"/>
            <w:color w:val="0000FF"/>
            <w:sz w:val="24"/>
            <w:szCs w:val="24"/>
            <w:u w:val="single"/>
          </w:rPr>
          <w:t>https://doi.org/10.1016/j.jns.2012.02.003</w:t>
        </w:r>
      </w:hyperlink>
    </w:p>
    <w:p w14:paraId="70878DB0" w14:textId="77777777" w:rsidR="005B38F0" w:rsidRPr="005B38F0" w:rsidRDefault="005B38F0" w:rsidP="003B57E5">
      <w:pPr>
        <w:spacing w:before="240" w:after="0" w:line="240" w:lineRule="auto"/>
        <w:ind w:left="450" w:hanging="450"/>
        <w:rPr>
          <w:rFonts w:ascii="Times New Roman" w:eastAsia="Times New Roman" w:hAnsi="Times New Roman" w:cs="Times New Roman"/>
          <w:sz w:val="24"/>
          <w:szCs w:val="24"/>
        </w:rPr>
      </w:pPr>
      <w:r w:rsidRPr="005B38F0">
        <w:rPr>
          <w:rFonts w:ascii="Times New Roman" w:eastAsia="Times New Roman" w:hAnsi="Times New Roman" w:cs="Times New Roman"/>
          <w:sz w:val="24"/>
          <w:szCs w:val="24"/>
        </w:rPr>
        <w:t xml:space="preserve">D’Souza, D. C., Radhakrishnan, R., Perry, E., Bhakta, S., Singh, N. M., Yadav, R., Abi-Saab, D., Pittman, B., Chaturvedi, S. K., Sharma, M. P., Bell, M., &amp; Andrade, C. (2013). Feasibility, safety, and efficacy of the combination of D-serine and computerized cognitive retraining in schizophrenia: An international collaborative pilot study. </w:t>
      </w:r>
      <w:r w:rsidRPr="005B38F0">
        <w:rPr>
          <w:rFonts w:ascii="Times New Roman" w:eastAsia="Times New Roman" w:hAnsi="Times New Roman" w:cs="Times New Roman"/>
          <w:i/>
          <w:iCs/>
          <w:sz w:val="24"/>
          <w:szCs w:val="24"/>
        </w:rPr>
        <w:t>Neuropsychopharmacology</w:t>
      </w:r>
      <w:r w:rsidRPr="005B38F0">
        <w:rPr>
          <w:rFonts w:ascii="Times New Roman" w:eastAsia="Times New Roman" w:hAnsi="Times New Roman" w:cs="Times New Roman"/>
          <w:sz w:val="24"/>
          <w:szCs w:val="24"/>
        </w:rPr>
        <w:t xml:space="preserve">, </w:t>
      </w:r>
      <w:r w:rsidRPr="005B38F0">
        <w:rPr>
          <w:rFonts w:ascii="Times New Roman" w:eastAsia="Times New Roman" w:hAnsi="Times New Roman" w:cs="Times New Roman"/>
          <w:i/>
          <w:iCs/>
          <w:sz w:val="24"/>
          <w:szCs w:val="24"/>
        </w:rPr>
        <w:t>38</w:t>
      </w:r>
      <w:r w:rsidRPr="005B38F0">
        <w:rPr>
          <w:rFonts w:ascii="Times New Roman" w:eastAsia="Times New Roman" w:hAnsi="Times New Roman" w:cs="Times New Roman"/>
          <w:sz w:val="24"/>
          <w:szCs w:val="24"/>
        </w:rPr>
        <w:t xml:space="preserve">(3), 492–503. </w:t>
      </w:r>
      <w:hyperlink r:id="rId1417" w:history="1">
        <w:r w:rsidRPr="005B38F0">
          <w:rPr>
            <w:rFonts w:ascii="Times New Roman" w:eastAsia="Times New Roman" w:hAnsi="Times New Roman" w:cs="Times New Roman"/>
            <w:color w:val="0000FF"/>
            <w:sz w:val="24"/>
            <w:szCs w:val="24"/>
            <w:u w:val="single"/>
          </w:rPr>
          <w:t>https://doi.org/10.1038/npp.2012.208</w:t>
        </w:r>
      </w:hyperlink>
    </w:p>
    <w:p w14:paraId="7A1CE9E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DeLisi, L. E., Maurizio, A. M., Svetina, C., Ardekani, B., Szulc, K., Nierenberg, J., Leonard, J., &amp; Harvey, P. D. (2005). Klinefelter’s syndrome (XXY) as a genetic model for psychotic disorders. </w:t>
      </w:r>
      <w:r w:rsidRPr="00600FC7">
        <w:rPr>
          <w:rFonts w:ascii="Times New Roman" w:eastAsia="Times New Roman" w:hAnsi="Times New Roman" w:cs="Times New Roman"/>
          <w:i/>
          <w:iCs/>
          <w:sz w:val="24"/>
          <w:szCs w:val="24"/>
        </w:rPr>
        <w:t>American Journal of Medical Genetics Part B: Neuropsychiatric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135B</w:t>
      </w:r>
      <w:r w:rsidRPr="00600FC7">
        <w:rPr>
          <w:rFonts w:ascii="Times New Roman" w:eastAsia="Times New Roman" w:hAnsi="Times New Roman" w:cs="Times New Roman"/>
          <w:sz w:val="24"/>
          <w:szCs w:val="24"/>
        </w:rPr>
        <w:t xml:space="preserve">(1), 15–23. </w:t>
      </w:r>
      <w:hyperlink r:id="rId1418" w:history="1">
        <w:r w:rsidRPr="00600FC7">
          <w:rPr>
            <w:rFonts w:ascii="Times New Roman" w:eastAsia="Times New Roman" w:hAnsi="Times New Roman" w:cs="Times New Roman"/>
            <w:color w:val="0000FF"/>
            <w:sz w:val="24"/>
            <w:szCs w:val="24"/>
            <w:u w:val="single"/>
          </w:rPr>
          <w:t>https://doi.org/10.1002/ajmg.b.30163</w:t>
        </w:r>
      </w:hyperlink>
    </w:p>
    <w:p w14:paraId="42467E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Delogu, F., Barnewold, M., Meloni, C., Toffalini, E., Zizi, A., &amp; Fanari, R. (2020). The Morra game as a naturalistic test bed for investigating automatic and voluntary processes in random sequence generation.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 </w:t>
      </w:r>
      <w:hyperlink r:id="rId1419" w:history="1">
        <w:r w:rsidRPr="00600FC7">
          <w:rPr>
            <w:rFonts w:ascii="Times New Roman" w:eastAsia="Times New Roman" w:hAnsi="Times New Roman" w:cs="Times New Roman"/>
            <w:color w:val="0000FF"/>
            <w:sz w:val="24"/>
            <w:szCs w:val="24"/>
            <w:u w:val="single"/>
          </w:rPr>
          <w:t>https://doi.org/10.3389/fpsyg.2020.551126</w:t>
        </w:r>
      </w:hyperlink>
    </w:p>
    <w:p w14:paraId="257FA6C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Delpero, C., Mioni, G., Rubio, J. L., Juárez Ramos, V., Gómez Milán, E., &amp; Stablum, F. (2015). Decision-making and feedback sensitivity: A comparison between older and younger adults. </w:t>
      </w:r>
      <w:r w:rsidRPr="00600FC7">
        <w:rPr>
          <w:rFonts w:ascii="Times New Roman" w:eastAsia="Times New Roman" w:hAnsi="Times New Roman" w:cs="Times New Roman"/>
          <w:i/>
          <w:iCs/>
          <w:sz w:val="24"/>
          <w:szCs w:val="24"/>
        </w:rPr>
        <w:t>Journal of Cognitive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(7), 882–897. </w:t>
      </w:r>
      <w:hyperlink r:id="rId1420" w:history="1">
        <w:r w:rsidRPr="00600FC7">
          <w:rPr>
            <w:rFonts w:ascii="Times New Roman" w:eastAsia="Times New Roman" w:hAnsi="Times New Roman" w:cs="Times New Roman"/>
            <w:color w:val="0000FF"/>
            <w:sz w:val="24"/>
            <w:szCs w:val="24"/>
            <w:u w:val="single"/>
          </w:rPr>
          <w:t>https://doi.org/10.1080/20445911.2015.1036759</w:t>
        </w:r>
      </w:hyperlink>
    </w:p>
    <w:p w14:paraId="2D2F17D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Demakis, G. J. (2003). A meta-analytic review of the sensitivity of the Wisconsin Card Sorting Test to frontal and lateralized frontal brain damage.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(2), 255–264. </w:t>
      </w:r>
      <w:hyperlink r:id="rId1421" w:history="1">
        <w:r w:rsidRPr="00600FC7">
          <w:rPr>
            <w:rFonts w:ascii="Times New Roman" w:eastAsia="Times New Roman" w:hAnsi="Times New Roman" w:cs="Times New Roman"/>
            <w:color w:val="0000FF"/>
            <w:sz w:val="24"/>
            <w:szCs w:val="24"/>
            <w:u w:val="single"/>
          </w:rPr>
          <w:t>https://doi.org/10.1037/0894-4105.17.2.255</w:t>
        </w:r>
      </w:hyperlink>
    </w:p>
    <w:p w14:paraId="02B22E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Demakis, G. J., Gervais, R. O., &amp; Rohling, M. L. (2008). The effect of failure on cognitive and psychological symptom validity tests in litigants with symptoms of post-traumatic stress disorder.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(5), 879–895. </w:t>
      </w:r>
      <w:hyperlink r:id="rId1422" w:history="1">
        <w:r w:rsidRPr="00600FC7">
          <w:rPr>
            <w:rFonts w:ascii="Times New Roman" w:eastAsia="Times New Roman" w:hAnsi="Times New Roman" w:cs="Times New Roman"/>
            <w:color w:val="0000FF"/>
            <w:sz w:val="24"/>
            <w:szCs w:val="24"/>
            <w:u w:val="single"/>
          </w:rPr>
          <w:t>https://doi.org/10.1080/13854040701564482</w:t>
        </w:r>
      </w:hyperlink>
    </w:p>
    <w:p w14:paraId="08BE3C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Demakis, G. J., Szczepkowski, K. V., &amp; Johnson, A. N. (2019). Predictors of financial capacity in young adults.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(4), 503–510.</w:t>
      </w:r>
    </w:p>
    <w:p w14:paraId="052A43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Demers, M., Rouleau, I., Scherzer, P., Ouellet, J., Jobin, C., &amp; Duquette, P. (2011). Impact of the cognitive status on the memory complaints in MS patients. </w:t>
      </w:r>
      <w:r w:rsidRPr="00600FC7">
        <w:rPr>
          <w:rFonts w:ascii="Times New Roman" w:eastAsia="Times New Roman" w:hAnsi="Times New Roman" w:cs="Times New Roman"/>
          <w:i/>
          <w:iCs/>
          <w:sz w:val="24"/>
          <w:szCs w:val="24"/>
        </w:rPr>
        <w:t>The Canadian Journal of Neurological Sciences / Le Journal Canadien Des Sciences Neurologiques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(5), 728–733. </w:t>
      </w:r>
      <w:hyperlink r:id="rId1423" w:history="1">
        <w:r w:rsidRPr="00600FC7">
          <w:rPr>
            <w:rFonts w:ascii="Times New Roman" w:eastAsia="Times New Roman" w:hAnsi="Times New Roman" w:cs="Times New Roman"/>
            <w:color w:val="0000FF"/>
            <w:sz w:val="24"/>
            <w:szCs w:val="24"/>
            <w:u w:val="single"/>
          </w:rPr>
          <w:t>https://doi.org/10.1017/S031716710005410X</w:t>
        </w:r>
      </w:hyperlink>
    </w:p>
    <w:p w14:paraId="41691B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Demery, J. A., Larson, M. J., Dixit, N. K., Bauer, R. M., &amp; Perlstein, W. M. (2010). Operating characteristics of executive functioning tests following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(8), 1292–1308. </w:t>
      </w:r>
      <w:hyperlink r:id="rId1424" w:history="1">
        <w:r w:rsidRPr="00600FC7">
          <w:rPr>
            <w:rFonts w:ascii="Times New Roman" w:eastAsia="Times New Roman" w:hAnsi="Times New Roman" w:cs="Times New Roman"/>
            <w:color w:val="0000FF"/>
            <w:sz w:val="24"/>
            <w:szCs w:val="24"/>
            <w:u w:val="single"/>
          </w:rPr>
          <w:t>https://doi.org/10.1080/13854046.2010.528452</w:t>
        </w:r>
      </w:hyperlink>
    </w:p>
    <w:p w14:paraId="784E25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Demeter, G., Szendi, I., Domján, N., Juhász, M., Greminger, N., Szőllősi, Á., &amp; Racsmány, M. (2016). Preserved intention maintenance and impaired execution of prospective memory responses in schizophrenia: Evidence from an event-based prospective memory study.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w:t>
      </w:r>
    </w:p>
    <w:p w14:paraId="68F051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Demily, C., Desmurget, M., Chambon, V., Franck, N., Cavézian, C., &amp; Berquand-Merle, M. (2009). The game of chess enhances cognitive abilities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107</w:t>
      </w:r>
      <w:r w:rsidRPr="00600FC7">
        <w:rPr>
          <w:rFonts w:ascii="Times New Roman" w:eastAsia="Times New Roman" w:hAnsi="Times New Roman" w:cs="Times New Roman"/>
          <w:sz w:val="24"/>
          <w:szCs w:val="24"/>
        </w:rPr>
        <w:t xml:space="preserve">(1), 112–113. </w:t>
      </w:r>
      <w:hyperlink r:id="rId1425" w:history="1">
        <w:r w:rsidRPr="00600FC7">
          <w:rPr>
            <w:rFonts w:ascii="Times New Roman" w:eastAsia="Times New Roman" w:hAnsi="Times New Roman" w:cs="Times New Roman"/>
            <w:color w:val="0000FF"/>
            <w:sz w:val="24"/>
            <w:szCs w:val="24"/>
            <w:u w:val="single"/>
          </w:rPr>
          <w:t>https://doi.org/10.1016/j.schres.2008.09.024</w:t>
        </w:r>
      </w:hyperlink>
    </w:p>
    <w:p w14:paraId="667BCC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Demir, B., Batur, S., Mercan, S., &amp; Uluğ, B. (2002). Erken ve geç başlanfiçli alkol bağimliliği tiplerinde yürütücü ışlevler ve kişilik özellikleri. [Executive functions and personality profiles in early and late onset alcoholism.]. </w:t>
      </w:r>
      <w:r w:rsidRPr="00600FC7">
        <w:rPr>
          <w:rFonts w:ascii="Times New Roman" w:eastAsia="Times New Roman" w:hAnsi="Times New Roman" w:cs="Times New Roman"/>
          <w:i/>
          <w:iCs/>
          <w:sz w:val="24"/>
          <w:szCs w:val="24"/>
        </w:rPr>
        <w:t>Türk Psikoloji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(49), 63–76.</w:t>
      </w:r>
    </w:p>
    <w:p w14:paraId="365577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 B., Uçar, G., Uluĝ, B., Ulusoy, S., Sevinç, I., &amp; Batur, S. (2002). Platelet monoamine oxidase activity in alcoholism subtypes: Relationship to personality traits and executive functions. </w:t>
      </w:r>
      <w:r w:rsidRPr="00600FC7">
        <w:rPr>
          <w:rFonts w:ascii="Times New Roman" w:eastAsia="Times New Roman" w:hAnsi="Times New Roman" w:cs="Times New Roman"/>
          <w:i/>
          <w:iCs/>
          <w:sz w:val="24"/>
          <w:szCs w:val="24"/>
        </w:rPr>
        <w:t>Alcohol and Alcoholism</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(6), 597–602. </w:t>
      </w:r>
      <w:hyperlink r:id="rId1426" w:history="1">
        <w:r w:rsidRPr="00600FC7">
          <w:rPr>
            <w:rFonts w:ascii="Times New Roman" w:eastAsia="Times New Roman" w:hAnsi="Times New Roman" w:cs="Times New Roman"/>
            <w:color w:val="0000FF"/>
            <w:sz w:val="24"/>
            <w:szCs w:val="24"/>
            <w:u w:val="single"/>
          </w:rPr>
          <w:t>https://doi.org/10.1093/alcalc/37.6.597</w:t>
        </w:r>
      </w:hyperlink>
    </w:p>
    <w:p w14:paraId="07D735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 B., &amp; Uluğ, B. (2002). Erken ve geç başlangiçh alkol bağimliliği tiplerinde nöropsikolojik işlevler. [Neuropsychological functions in early and late onset alcoholism.]. </w:t>
      </w:r>
      <w:r w:rsidRPr="00600FC7">
        <w:rPr>
          <w:rFonts w:ascii="Times New Roman" w:eastAsia="Times New Roman" w:hAnsi="Times New Roman" w:cs="Times New Roman"/>
          <w:i/>
          <w:iCs/>
          <w:sz w:val="24"/>
          <w:szCs w:val="24"/>
        </w:rPr>
        <w:t>Türk Psikiyatri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(1), 15–21.</w:t>
      </w:r>
    </w:p>
    <w:p w14:paraId="663DCF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Demirtas-Tatlidede, A., Vahabzadeh-Hagh, A. M., &amp; Pascual-Leone, A. (2013). Can noninvasive brain stimulation enhance cognition in neuropsychiatric disorders? </w:t>
      </w:r>
      <w:r w:rsidRPr="00600FC7">
        <w:rPr>
          <w:rFonts w:ascii="Times New Roman" w:eastAsia="Times New Roman" w:hAnsi="Times New Roman" w:cs="Times New Roman"/>
          <w:i/>
          <w:iCs/>
          <w:sz w:val="24"/>
          <w:szCs w:val="24"/>
        </w:rPr>
        <w:t>Neuropharmacology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 566–578. </w:t>
      </w:r>
      <w:hyperlink r:id="rId1427" w:history="1">
        <w:r w:rsidRPr="00600FC7">
          <w:rPr>
            <w:rFonts w:ascii="Times New Roman" w:eastAsia="Times New Roman" w:hAnsi="Times New Roman" w:cs="Times New Roman"/>
            <w:color w:val="0000FF"/>
            <w:sz w:val="24"/>
            <w:szCs w:val="24"/>
            <w:u w:val="single"/>
          </w:rPr>
          <w:t>https://doi.org/10.1016/j.neuropharm.2012.06.020</w:t>
        </w:r>
      </w:hyperlink>
    </w:p>
    <w:p w14:paraId="6C4F01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Dempster, K., Norman, R., Théberge, J., Densmore, M., Schaefer, B., &amp; Williamson, P. (2015). Glutamatergic metabolite correlations with neuropsychological tests in first episode schizophrenia.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233</w:t>
      </w:r>
      <w:r w:rsidRPr="00600FC7">
        <w:rPr>
          <w:rFonts w:ascii="Times New Roman" w:eastAsia="Times New Roman" w:hAnsi="Times New Roman" w:cs="Times New Roman"/>
          <w:sz w:val="24"/>
          <w:szCs w:val="24"/>
        </w:rPr>
        <w:t xml:space="preserve">(2), 180–185. </w:t>
      </w:r>
      <w:hyperlink r:id="rId1428" w:history="1">
        <w:r w:rsidRPr="00600FC7">
          <w:rPr>
            <w:rFonts w:ascii="Times New Roman" w:eastAsia="Times New Roman" w:hAnsi="Times New Roman" w:cs="Times New Roman"/>
            <w:color w:val="0000FF"/>
            <w:sz w:val="24"/>
            <w:szCs w:val="24"/>
            <w:u w:val="single"/>
          </w:rPr>
          <w:t>https://doi.org/10.1016/j.pscychresns.2015.06.003</w:t>
        </w:r>
      </w:hyperlink>
    </w:p>
    <w:p w14:paraId="2DEBF4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Dempster, K., Norman, R., Théberge, J., Densmore, M., Schaefer, B., &amp; Williamson, P. (2017). Cognitive performance is associated with gray matter decline in first-episode psychosis.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264</w:t>
      </w:r>
      <w:r w:rsidRPr="00600FC7">
        <w:rPr>
          <w:rFonts w:ascii="Times New Roman" w:eastAsia="Times New Roman" w:hAnsi="Times New Roman" w:cs="Times New Roman"/>
          <w:sz w:val="24"/>
          <w:szCs w:val="24"/>
        </w:rPr>
        <w:t xml:space="preserve">, 46–51. </w:t>
      </w:r>
      <w:hyperlink r:id="rId1429" w:history="1">
        <w:r w:rsidRPr="00600FC7">
          <w:rPr>
            <w:rFonts w:ascii="Times New Roman" w:eastAsia="Times New Roman" w:hAnsi="Times New Roman" w:cs="Times New Roman"/>
            <w:color w:val="0000FF"/>
            <w:sz w:val="24"/>
            <w:szCs w:val="24"/>
            <w:u w:val="single"/>
          </w:rPr>
          <w:t>https://doi.org/10.1016/j.pscychresns.2017.04.007</w:t>
        </w:r>
      </w:hyperlink>
    </w:p>
    <w:p w14:paraId="501D5E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DenBoer, J. W., &amp; Hall, S. (2007). Neuropsychological test performance of successful brain injury simulators.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(6), 943–955. </w:t>
      </w:r>
      <w:hyperlink r:id="rId1430" w:history="1">
        <w:r w:rsidRPr="00600FC7">
          <w:rPr>
            <w:rFonts w:ascii="Times New Roman" w:eastAsia="Times New Roman" w:hAnsi="Times New Roman" w:cs="Times New Roman"/>
            <w:color w:val="0000FF"/>
            <w:sz w:val="24"/>
            <w:szCs w:val="24"/>
            <w:u w:val="single"/>
          </w:rPr>
          <w:t>https://doi.org/10.1080/13854040601020783</w:t>
        </w:r>
      </w:hyperlink>
    </w:p>
    <w:p w14:paraId="11C633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Denburg, N. L., Buchanan, T. W., Tranel, D., &amp; Adolphs, R. (2003). Evidence for preserved emotional memory in normal older persons. </w:t>
      </w:r>
      <w:r w:rsidRPr="00600FC7">
        <w:rPr>
          <w:rFonts w:ascii="Times New Roman" w:eastAsia="Times New Roman" w:hAnsi="Times New Roman" w:cs="Times New Roman"/>
          <w:i/>
          <w:iCs/>
          <w:sz w:val="24"/>
          <w:szCs w:val="24"/>
        </w:rPr>
        <w:t>Emotion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(3), 239–253. </w:t>
      </w:r>
      <w:hyperlink r:id="rId1431" w:history="1">
        <w:r w:rsidRPr="00600FC7">
          <w:rPr>
            <w:rFonts w:ascii="Times New Roman" w:eastAsia="Times New Roman" w:hAnsi="Times New Roman" w:cs="Times New Roman"/>
            <w:color w:val="0000FF"/>
            <w:sz w:val="24"/>
            <w:szCs w:val="24"/>
            <w:u w:val="single"/>
          </w:rPr>
          <w:t>https://doi.org/10.1037/1528-3542.3.3.239</w:t>
        </w:r>
      </w:hyperlink>
    </w:p>
    <w:p w14:paraId="7BAC93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Denburg, N. L., Recknor, E. C., Bechara, A., &amp; Tranel, D. (2006). Psychophysiological anticipation of positive outcomes promotes advantageous decision-making in normal older persons. </w:t>
      </w:r>
      <w:r w:rsidRPr="00600FC7">
        <w:rPr>
          <w:rFonts w:ascii="Times New Roman" w:eastAsia="Times New Roman" w:hAnsi="Times New Roman" w:cs="Times New Roman"/>
          <w:i/>
          <w:iCs/>
          <w:sz w:val="24"/>
          <w:szCs w:val="24"/>
        </w:rPr>
        <w:t>International 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(1), 19–25. </w:t>
      </w:r>
      <w:hyperlink r:id="rId1432" w:history="1">
        <w:r w:rsidRPr="00600FC7">
          <w:rPr>
            <w:rFonts w:ascii="Times New Roman" w:eastAsia="Times New Roman" w:hAnsi="Times New Roman" w:cs="Times New Roman"/>
            <w:color w:val="0000FF"/>
            <w:sz w:val="24"/>
            <w:szCs w:val="24"/>
            <w:u w:val="single"/>
          </w:rPr>
          <w:t>https://doi.org/10.1016/j.ijpsycho.2005.10.021</w:t>
        </w:r>
      </w:hyperlink>
    </w:p>
    <w:p w14:paraId="26A961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Denburg, N. L., Tranel, D., &amp; Bechara, A. (2005). The ability to decide advantageously declines prematurely in some normal older persons.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(7), 1099–1106. </w:t>
      </w:r>
      <w:hyperlink r:id="rId1433" w:history="1">
        <w:r w:rsidRPr="00600FC7">
          <w:rPr>
            <w:rFonts w:ascii="Times New Roman" w:eastAsia="Times New Roman" w:hAnsi="Times New Roman" w:cs="Times New Roman"/>
            <w:color w:val="0000FF"/>
            <w:sz w:val="24"/>
            <w:szCs w:val="24"/>
            <w:u w:val="single"/>
          </w:rPr>
          <w:t>https://doi.org/10.1016/j.neuropsychologia.2004.09.012</w:t>
        </w:r>
      </w:hyperlink>
    </w:p>
    <w:p w14:paraId="4B1FCA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Denckla, C. A., Spies, G., Heaton, R., Vasterling, J., Franklin, D., Korte, K. J., Colgan, C., Henderson, D. C., Koenen, K. C., &amp; Seedat, S. (2019). Generalizability of demographically corrected Zambian neuropsychological norms to South African women.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(Suppl 1), 40–57. </w:t>
      </w:r>
      <w:hyperlink r:id="rId1434" w:history="1">
        <w:r w:rsidRPr="00600FC7">
          <w:rPr>
            <w:rFonts w:ascii="Times New Roman" w:eastAsia="Times New Roman" w:hAnsi="Times New Roman" w:cs="Times New Roman"/>
            <w:color w:val="0000FF"/>
            <w:sz w:val="24"/>
            <w:szCs w:val="24"/>
            <w:u w:val="single"/>
          </w:rPr>
          <w:t>https://doi.org/10.1080/13854046.2019.1588995</w:t>
        </w:r>
      </w:hyperlink>
    </w:p>
    <w:p w14:paraId="1D9EAF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Denheyer, M., Kiss, Z. H., &amp; Haffenden, A. M. (2009). Behavioral effects of subthalamic deep brain stimulation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(14), 3203–3209. </w:t>
      </w:r>
      <w:hyperlink r:id="rId1435" w:history="1">
        <w:r w:rsidRPr="00600FC7">
          <w:rPr>
            <w:rFonts w:ascii="Times New Roman" w:eastAsia="Times New Roman" w:hAnsi="Times New Roman" w:cs="Times New Roman"/>
            <w:color w:val="0000FF"/>
            <w:sz w:val="24"/>
            <w:szCs w:val="24"/>
            <w:u w:val="single"/>
          </w:rPr>
          <w:t>https://doi.org/10.1016/j.neuropsychologia.2009.07.022</w:t>
        </w:r>
      </w:hyperlink>
    </w:p>
    <w:p w14:paraId="6BB9C8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Denney, D. R., Lynch, S. G., &amp; Parmenter, B. A. (2008). A 3-year longitudinal study of cognitive impairment in patients with primary progressive multiple sclerosis: Speed matters.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267</w:t>
      </w:r>
      <w:r w:rsidRPr="00600FC7">
        <w:rPr>
          <w:rFonts w:ascii="Times New Roman" w:eastAsia="Times New Roman" w:hAnsi="Times New Roman" w:cs="Times New Roman"/>
          <w:sz w:val="24"/>
          <w:szCs w:val="24"/>
        </w:rPr>
        <w:t xml:space="preserve">(1–2), 129–136. </w:t>
      </w:r>
      <w:hyperlink r:id="rId1436" w:history="1">
        <w:r w:rsidRPr="00600FC7">
          <w:rPr>
            <w:rFonts w:ascii="Times New Roman" w:eastAsia="Times New Roman" w:hAnsi="Times New Roman" w:cs="Times New Roman"/>
            <w:color w:val="0000FF"/>
            <w:sz w:val="24"/>
            <w:szCs w:val="24"/>
            <w:u w:val="single"/>
          </w:rPr>
          <w:t>https://doi.org/10.1016/j.jns.2007.10.007</w:t>
        </w:r>
      </w:hyperlink>
    </w:p>
    <w:p w14:paraId="5155F7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Denney, R. L. (2005). Gambling, Money Laundering, Competency, Sanity, Neuropathology, and Intrigue. In </w:t>
      </w:r>
      <w:r w:rsidRPr="00600FC7">
        <w:rPr>
          <w:rFonts w:ascii="Times New Roman" w:eastAsia="Times New Roman" w:hAnsi="Times New Roman" w:cs="Times New Roman"/>
          <w:i/>
          <w:iCs/>
          <w:sz w:val="24"/>
          <w:szCs w:val="24"/>
        </w:rPr>
        <w:t>Forensic neuropsychology casebook.</w:t>
      </w:r>
      <w:r w:rsidRPr="00600FC7">
        <w:rPr>
          <w:rFonts w:ascii="Times New Roman" w:eastAsia="Times New Roman" w:hAnsi="Times New Roman" w:cs="Times New Roman"/>
          <w:sz w:val="24"/>
          <w:szCs w:val="24"/>
        </w:rPr>
        <w:t xml:space="preserve"> (pp. 305–325). The Guilford Press.</w:t>
      </w:r>
    </w:p>
    <w:p w14:paraId="69F4E2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Denney, R. L. (2012). Criminal forensic neuropsychology and assessment of competency. In </w:t>
      </w:r>
      <w:r w:rsidRPr="00600FC7">
        <w:rPr>
          <w:rFonts w:ascii="Times New Roman" w:eastAsia="Times New Roman" w:hAnsi="Times New Roman" w:cs="Times New Roman"/>
          <w:i/>
          <w:iCs/>
          <w:sz w:val="24"/>
          <w:szCs w:val="24"/>
        </w:rPr>
        <w:t>Forensic neuropsychology: A scientific approach, 2nd ed.</w:t>
      </w:r>
      <w:r w:rsidRPr="00600FC7">
        <w:rPr>
          <w:rFonts w:ascii="Times New Roman" w:eastAsia="Times New Roman" w:hAnsi="Times New Roman" w:cs="Times New Roman"/>
          <w:sz w:val="24"/>
          <w:szCs w:val="24"/>
        </w:rPr>
        <w:t xml:space="preserve"> (pp. 438–472). Oxford University Press.</w:t>
      </w:r>
    </w:p>
    <w:p w14:paraId="729B9A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Denning, J. H. (2012). The efficiency and accuracy of The Test of Memory Malingering Trial 1, errors on the first 10 Items of The Test of Memory Malingering, and five embedded measures in predicting invalid test performance.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417–432. </w:t>
      </w:r>
      <w:hyperlink r:id="rId1437" w:history="1">
        <w:r w:rsidRPr="00600FC7">
          <w:rPr>
            <w:rFonts w:ascii="Times New Roman" w:eastAsia="Times New Roman" w:hAnsi="Times New Roman" w:cs="Times New Roman"/>
            <w:color w:val="0000FF"/>
            <w:sz w:val="24"/>
            <w:szCs w:val="24"/>
            <w:u w:val="single"/>
          </w:rPr>
          <w:t>https://doi.org/10.1093/arclin/acs044</w:t>
        </w:r>
      </w:hyperlink>
    </w:p>
    <w:p w14:paraId="56819A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Bowie, C. R., Mausbach, B. T., Wolyniec, P., Thornquist, M. H., Luke, J. R., McGrath, J. A., Pulver, A. E., Patterson, T. L., &amp; Harvey, P. D. (2015). Current smoking is associated with worse cognitive and adaptive functioning in serious mental illness.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131</w:t>
      </w:r>
      <w:r w:rsidRPr="00600FC7">
        <w:rPr>
          <w:rFonts w:ascii="Times New Roman" w:eastAsia="Times New Roman" w:hAnsi="Times New Roman" w:cs="Times New Roman"/>
          <w:sz w:val="24"/>
          <w:szCs w:val="24"/>
        </w:rPr>
        <w:t xml:space="preserve">(5), 333–341. </w:t>
      </w:r>
      <w:hyperlink r:id="rId1438" w:history="1">
        <w:r w:rsidRPr="00600FC7">
          <w:rPr>
            <w:rFonts w:ascii="Times New Roman" w:eastAsia="Times New Roman" w:hAnsi="Times New Roman" w:cs="Times New Roman"/>
            <w:color w:val="0000FF"/>
            <w:sz w:val="24"/>
            <w:szCs w:val="24"/>
            <w:u w:val="single"/>
          </w:rPr>
          <w:t>https://doi.org/10.1111/acps.12380</w:t>
        </w:r>
      </w:hyperlink>
    </w:p>
    <w:p w14:paraId="45214B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Mausbach, B. T., Bowie, C., Wolyniec, P., Thornquist, M. H., Luke, J. R., McGrath, J. A., Pulver, A. E., Harvey, P. D., &amp; Patterson, T. L. (2012). Determinants of occupational and residential functioning in bipolar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136</w:t>
      </w:r>
      <w:r w:rsidRPr="00600FC7">
        <w:rPr>
          <w:rFonts w:ascii="Times New Roman" w:eastAsia="Times New Roman" w:hAnsi="Times New Roman" w:cs="Times New Roman"/>
          <w:sz w:val="24"/>
          <w:szCs w:val="24"/>
        </w:rPr>
        <w:t xml:space="preserve">(3), 812–818. </w:t>
      </w:r>
      <w:hyperlink r:id="rId1439" w:history="1">
        <w:r w:rsidRPr="00600FC7">
          <w:rPr>
            <w:rFonts w:ascii="Times New Roman" w:eastAsia="Times New Roman" w:hAnsi="Times New Roman" w:cs="Times New Roman"/>
            <w:color w:val="0000FF"/>
            <w:sz w:val="24"/>
            <w:szCs w:val="24"/>
            <w:u w:val="single"/>
          </w:rPr>
          <w:t>https://doi.org/10.1016/j.jad.2011.09.035</w:t>
        </w:r>
      </w:hyperlink>
    </w:p>
    <w:p w14:paraId="296942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Mausbach, B. T., Harvey, P. D., Bowie, C. R., Wolyniec, P. S., Thornquist, M. H., Luke, J. R., McGrath, J. A., Pulver, A. E., &amp; Patterson, T. L. (2010). Social competence and observer‐rated social functioning in bipolar disorder.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(8), 843–850. </w:t>
      </w:r>
      <w:hyperlink r:id="rId1440" w:history="1">
        <w:r w:rsidRPr="00600FC7">
          <w:rPr>
            <w:rFonts w:ascii="Times New Roman" w:eastAsia="Times New Roman" w:hAnsi="Times New Roman" w:cs="Times New Roman"/>
            <w:color w:val="0000FF"/>
            <w:sz w:val="24"/>
            <w:szCs w:val="24"/>
            <w:u w:val="single"/>
          </w:rPr>
          <w:t>https://doi.org/10.1111/j.1399-5618.2010.00880.x</w:t>
        </w:r>
      </w:hyperlink>
    </w:p>
    <w:p w14:paraId="46362A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Moore, D. J., Sitzer, D., Palmer, B. W., Eyler, L. T., Roesch, S., Lebowitz, B. D., &amp; Jeste, D. V. (2007). Neurocognitive impairment in middle-aged and older adults with bipolar disorder: Comparison to schizophrenia and normal comparison subjects.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101</w:t>
      </w:r>
      <w:r w:rsidRPr="00600FC7">
        <w:rPr>
          <w:rFonts w:ascii="Times New Roman" w:eastAsia="Times New Roman" w:hAnsi="Times New Roman" w:cs="Times New Roman"/>
          <w:sz w:val="24"/>
          <w:szCs w:val="24"/>
        </w:rPr>
        <w:t xml:space="preserve">(1–3), 201–209. </w:t>
      </w:r>
      <w:hyperlink r:id="rId1441" w:history="1">
        <w:r w:rsidRPr="00600FC7">
          <w:rPr>
            <w:rFonts w:ascii="Times New Roman" w:eastAsia="Times New Roman" w:hAnsi="Times New Roman" w:cs="Times New Roman"/>
            <w:color w:val="0000FF"/>
            <w:sz w:val="24"/>
            <w:szCs w:val="24"/>
            <w:u w:val="single"/>
          </w:rPr>
          <w:t>https://doi.org/10.1016/j.jad.2006.11.022</w:t>
        </w:r>
      </w:hyperlink>
    </w:p>
    <w:p w14:paraId="26FE60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Depp, C. A., Savla, G., Moore, D. J., Palmer, B. W., Stricker, J. L., Lebowitz, B. D., &amp; Jeste, D. V. (2008). Short-term course of neuropsychological abilities in middle-aged and older adults with bipolar disorder.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(6), 684–690. </w:t>
      </w:r>
      <w:hyperlink r:id="rId1442" w:history="1">
        <w:r w:rsidRPr="00600FC7">
          <w:rPr>
            <w:rFonts w:ascii="Times New Roman" w:eastAsia="Times New Roman" w:hAnsi="Times New Roman" w:cs="Times New Roman"/>
            <w:color w:val="0000FF"/>
            <w:sz w:val="24"/>
            <w:szCs w:val="24"/>
            <w:u w:val="single"/>
          </w:rPr>
          <w:t>https://doi.org/10.1111/j.1399-5618.2008.00601.x</w:t>
        </w:r>
      </w:hyperlink>
    </w:p>
    <w:p w14:paraId="07C2B3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Strassnig, M., Mausbach, B. T., Bowie, C. R., Wolyniec, P., Thornquist, M. H., Luke, J. R., McGrath, J. A., Pulver, A. E., Patterson, T. L., &amp; Harvey, P. D. (2014). Association of obesity and treated hypertension and diabetes with cognitive ability in bipolar disorder and schizophrenia.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(4), 422–431. </w:t>
      </w:r>
      <w:hyperlink r:id="rId1443" w:history="1">
        <w:r w:rsidRPr="00600FC7">
          <w:rPr>
            <w:rFonts w:ascii="Times New Roman" w:eastAsia="Times New Roman" w:hAnsi="Times New Roman" w:cs="Times New Roman"/>
            <w:color w:val="0000FF"/>
            <w:sz w:val="24"/>
            <w:szCs w:val="24"/>
            <w:u w:val="single"/>
          </w:rPr>
          <w:t>https://doi.org/10.1111/bdi.12200</w:t>
        </w:r>
      </w:hyperlink>
    </w:p>
    <w:p w14:paraId="537519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Depp, C. A., Vella, L., Orff, H. J., &amp; Twamley, E. W. (2015). A quantitative review of cognitive functioning in homeless adults.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203</w:t>
      </w:r>
      <w:r w:rsidRPr="00600FC7">
        <w:rPr>
          <w:rFonts w:ascii="Times New Roman" w:eastAsia="Times New Roman" w:hAnsi="Times New Roman" w:cs="Times New Roman"/>
          <w:sz w:val="24"/>
          <w:szCs w:val="24"/>
        </w:rPr>
        <w:t xml:space="preserve">(2), 126–131. </w:t>
      </w:r>
      <w:hyperlink r:id="rId1444" w:history="1">
        <w:r w:rsidRPr="00600FC7">
          <w:rPr>
            <w:rFonts w:ascii="Times New Roman" w:eastAsia="Times New Roman" w:hAnsi="Times New Roman" w:cs="Times New Roman"/>
            <w:color w:val="0000FF"/>
            <w:sz w:val="24"/>
            <w:szCs w:val="24"/>
            <w:u w:val="single"/>
          </w:rPr>
          <w:t>https://doi.org/10.1097/NMD.0000000000000248</w:t>
        </w:r>
      </w:hyperlink>
    </w:p>
    <w:p w14:paraId="4E564E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Deramecourt, V., Lebert, F., &amp; Pasquier, F. (2013). Frontotemporal dementia. In </w:t>
      </w:r>
      <w:r w:rsidRPr="00600FC7">
        <w:rPr>
          <w:rFonts w:ascii="Times New Roman" w:eastAsia="Times New Roman" w:hAnsi="Times New Roman" w:cs="Times New Roman"/>
          <w:i/>
          <w:iCs/>
          <w:sz w:val="24"/>
          <w:szCs w:val="24"/>
        </w:rPr>
        <w:t>Oxford textbook of old age psychiatry, 2nd ed.</w:t>
      </w:r>
      <w:r w:rsidRPr="00600FC7">
        <w:rPr>
          <w:rFonts w:ascii="Times New Roman" w:eastAsia="Times New Roman" w:hAnsi="Times New Roman" w:cs="Times New Roman"/>
          <w:sz w:val="24"/>
          <w:szCs w:val="24"/>
        </w:rPr>
        <w:t xml:space="preserve"> (pp. 479–489). Oxford University Press. </w:t>
      </w:r>
      <w:hyperlink r:id="rId1445" w:history="1">
        <w:r w:rsidRPr="00600FC7">
          <w:rPr>
            <w:rFonts w:ascii="Times New Roman" w:eastAsia="Times New Roman" w:hAnsi="Times New Roman" w:cs="Times New Roman"/>
            <w:color w:val="0000FF"/>
            <w:sz w:val="24"/>
            <w:szCs w:val="24"/>
            <w:u w:val="single"/>
          </w:rPr>
          <w:t>https://doi.org/10.1093/med/9780199644957.003.0036</w:t>
        </w:r>
      </w:hyperlink>
    </w:p>
    <w:p w14:paraId="600852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Derbyshire, K. L., Chamberlain, S. R., Odlaug, B. L., Schreiber, L. R. N., &amp; Grant, J. E. (2014). Neurocognitive functioning in compulsive buying disorder. </w:t>
      </w:r>
      <w:r w:rsidRPr="00600FC7">
        <w:rPr>
          <w:rFonts w:ascii="Times New Roman" w:eastAsia="Times New Roman" w:hAnsi="Times New Roman" w:cs="Times New Roman"/>
          <w:i/>
          <w:iCs/>
          <w:sz w:val="24"/>
          <w:szCs w:val="24"/>
        </w:rPr>
        <w:t>Annals of Clinical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(1), 57–63.</w:t>
      </w:r>
    </w:p>
    <w:p w14:paraId="3A4811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Derrick, J. L., Houston, R. J., Quigley, B. M., Testa, M., Kubiak, A., Levitt, A., Homish, G. G., &amp; Leonard, K. E. (2016). (Dis)similarity in impulsivity and marital satisfaction: A comparison of volatility, compatibility, and incompatibility hypotheses. </w:t>
      </w:r>
      <w:r w:rsidRPr="00600FC7">
        <w:rPr>
          <w:rFonts w:ascii="Times New Roman" w:eastAsia="Times New Roman" w:hAnsi="Times New Roman" w:cs="Times New Roman"/>
          <w:i/>
          <w:iCs/>
          <w:sz w:val="24"/>
          <w:szCs w:val="24"/>
        </w:rPr>
        <w:t>Journal of Research in Personality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 35–49. </w:t>
      </w:r>
      <w:hyperlink r:id="rId1446" w:history="1">
        <w:r w:rsidRPr="00600FC7">
          <w:rPr>
            <w:rFonts w:ascii="Times New Roman" w:eastAsia="Times New Roman" w:hAnsi="Times New Roman" w:cs="Times New Roman"/>
            <w:color w:val="0000FF"/>
            <w:sz w:val="24"/>
            <w:szCs w:val="24"/>
            <w:u w:val="single"/>
          </w:rPr>
          <w:t>https://doi.org/10.1016/j.jrp.2016.02.001</w:t>
        </w:r>
      </w:hyperlink>
    </w:p>
    <w:p w14:paraId="79CBBB3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Déry, M., Toupin, J., &amp; Durette, C. (2009). Habiletés cognitives et trouble des conduites précoce chez les filles. [Cognitive abilities and conduct disorder in elementary school girls.]. </w:t>
      </w:r>
      <w:r w:rsidRPr="00600FC7">
        <w:rPr>
          <w:rFonts w:ascii="Times New Roman" w:eastAsia="Times New Roman" w:hAnsi="Times New Roman" w:cs="Times New Roman"/>
          <w:i/>
          <w:iCs/>
          <w:sz w:val="24"/>
          <w:szCs w:val="24"/>
        </w:rPr>
        <w:t>Revue Québécoise de Psychologie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(1), 217–231.</w:t>
      </w:r>
    </w:p>
    <w:p w14:paraId="17D91D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Deserno, L., Beck, A., Huys, Q. J. M., Lorenz, R. C., Buchert, R., Buchholz, H., Plotkin, M., Kumakara, Y., Cumming, P., Heinze, H., Grace, A. A., Rapp, M. A., Schlagenhauf, F., &amp; Heinz, A. (2015). Chronic alcohol intake abolishes the relationship between dopamine synthesis capacity and learning signals in the ventral striatum. </w:t>
      </w:r>
      <w:r w:rsidRPr="00600FC7">
        <w:rPr>
          <w:rFonts w:ascii="Times New Roman" w:eastAsia="Times New Roman" w:hAnsi="Times New Roman" w:cs="Times New Roman"/>
          <w:i/>
          <w:iCs/>
          <w:sz w:val="24"/>
          <w:szCs w:val="24"/>
        </w:rPr>
        <w:t>European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(4), 477–486. </w:t>
      </w:r>
      <w:hyperlink r:id="rId1447" w:history="1">
        <w:r w:rsidRPr="00600FC7">
          <w:rPr>
            <w:rFonts w:ascii="Times New Roman" w:eastAsia="Times New Roman" w:hAnsi="Times New Roman" w:cs="Times New Roman"/>
            <w:color w:val="0000FF"/>
            <w:sz w:val="24"/>
            <w:szCs w:val="24"/>
            <w:u w:val="single"/>
          </w:rPr>
          <w:t>https://doi.org/10.1111/ejn.12802</w:t>
        </w:r>
      </w:hyperlink>
    </w:p>
    <w:p w14:paraId="7F5E8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Desfosses, M., Meadows, H., Jackson, M., &amp; Crowe, S. F. (2014). The relationship between neuropsychological functioning and mental health outcomes of chronic alcohol users involved in counselling: Prediction of treatment outcome. </w:t>
      </w:r>
      <w:r w:rsidRPr="00600FC7">
        <w:rPr>
          <w:rFonts w:ascii="Times New Roman" w:eastAsia="Times New Roman" w:hAnsi="Times New Roman" w:cs="Times New Roman"/>
          <w:i/>
          <w:iCs/>
          <w:sz w:val="24"/>
          <w:szCs w:val="24"/>
        </w:rPr>
        <w:t>Australian 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(5), 287–296. </w:t>
      </w:r>
      <w:hyperlink r:id="rId1448" w:history="1">
        <w:r w:rsidRPr="00600FC7">
          <w:rPr>
            <w:rFonts w:ascii="Times New Roman" w:eastAsia="Times New Roman" w:hAnsi="Times New Roman" w:cs="Times New Roman"/>
            <w:color w:val="0000FF"/>
            <w:sz w:val="24"/>
            <w:szCs w:val="24"/>
            <w:u w:val="single"/>
          </w:rPr>
          <w:t>https://doi.org/10.1111/ap.12071</w:t>
        </w:r>
      </w:hyperlink>
    </w:p>
    <w:p w14:paraId="68E03D7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Deshpande, S. A., Lichtenberg, P. A., &amp; Youngblade, L. (1997). Clinical utility of the modified Wisconsin Card Sorting Test. </w:t>
      </w:r>
      <w:r w:rsidRPr="00600FC7">
        <w:rPr>
          <w:rFonts w:ascii="Times New Roman" w:eastAsia="Times New Roman" w:hAnsi="Times New Roman" w:cs="Times New Roman"/>
          <w:i/>
          <w:iCs/>
          <w:sz w:val="24"/>
          <w:szCs w:val="24"/>
        </w:rPr>
        <w:t>Clinical Gerontologist: The Journal of Aging and Mental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(3), 55–58. </w:t>
      </w:r>
      <w:hyperlink r:id="rId1449" w:history="1">
        <w:r w:rsidRPr="00600FC7">
          <w:rPr>
            <w:rFonts w:ascii="Times New Roman" w:eastAsia="Times New Roman" w:hAnsi="Times New Roman" w:cs="Times New Roman"/>
            <w:color w:val="0000FF"/>
            <w:sz w:val="24"/>
            <w:szCs w:val="24"/>
            <w:u w:val="single"/>
          </w:rPr>
          <w:t>https://doi.org/10.1300/J018v17n03_06</w:t>
        </w:r>
      </w:hyperlink>
    </w:p>
    <w:p w14:paraId="7DA221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Desrochers, T. M., Burk, D. C., Badre, D., &amp; Sheinberg, D. L. (2016). The monitoring and control of task sequences in human and non-human primates. </w:t>
      </w:r>
      <w:r w:rsidRPr="00600FC7">
        <w:rPr>
          <w:rFonts w:ascii="Times New Roman" w:eastAsia="Times New Roman" w:hAnsi="Times New Roman" w:cs="Times New Roman"/>
          <w:i/>
          <w:iCs/>
          <w:sz w:val="24"/>
          <w:szCs w:val="24"/>
        </w:rPr>
        <w:t>Frontiers in Systems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 </w:t>
      </w:r>
      <w:hyperlink r:id="rId1450" w:history="1">
        <w:r w:rsidRPr="00600FC7">
          <w:rPr>
            <w:rFonts w:ascii="Times New Roman" w:eastAsia="Times New Roman" w:hAnsi="Times New Roman" w:cs="Times New Roman"/>
            <w:color w:val="0000FF"/>
            <w:sz w:val="24"/>
            <w:szCs w:val="24"/>
            <w:u w:val="single"/>
          </w:rPr>
          <w:t>https://doi.org/10.3389/fnsys.2015.00185</w:t>
        </w:r>
      </w:hyperlink>
    </w:p>
    <w:p w14:paraId="4FEDB7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Deste, G., Barlati, S., Galluzzo, A., Corsini, P., Valsecchi, P., Turrina, C., &amp; Vita, A. (2019). Effectiveness of cognitive remediation in early versus chronic schizophrenia: A preliminary report. </w:t>
      </w:r>
      <w:r w:rsidRPr="00600FC7">
        <w:rPr>
          <w:rFonts w:ascii="Times New Roman" w:eastAsia="Times New Roman" w:hAnsi="Times New Roman" w:cs="Times New Roman"/>
          <w:i/>
          <w:iCs/>
          <w:sz w:val="24"/>
          <w:szCs w:val="24"/>
        </w:rPr>
        <w:t>Frontiers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 </w:t>
      </w:r>
      <w:hyperlink r:id="rId1451" w:history="1">
        <w:r w:rsidRPr="00600FC7">
          <w:rPr>
            <w:rFonts w:ascii="Times New Roman" w:eastAsia="Times New Roman" w:hAnsi="Times New Roman" w:cs="Times New Roman"/>
            <w:color w:val="0000FF"/>
            <w:sz w:val="24"/>
            <w:szCs w:val="24"/>
            <w:u w:val="single"/>
          </w:rPr>
          <w:t>https://doi.org/10.3389/fpsyt.2019.00236</w:t>
        </w:r>
      </w:hyperlink>
    </w:p>
    <w:p w14:paraId="6D9BDF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DeTore, N. R., Mueser, K. T., Byrd, J. A., &amp; McGurk, S. R. (2019). Cognitive functioning as a predictor of response to comprehensive cognitive remediation.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113</w:t>
      </w:r>
      <w:r w:rsidRPr="00600FC7">
        <w:rPr>
          <w:rFonts w:ascii="Times New Roman" w:eastAsia="Times New Roman" w:hAnsi="Times New Roman" w:cs="Times New Roman"/>
          <w:sz w:val="24"/>
          <w:szCs w:val="24"/>
        </w:rPr>
        <w:t xml:space="preserve">, 117–124. </w:t>
      </w:r>
      <w:hyperlink r:id="rId1452" w:history="1">
        <w:r w:rsidRPr="00600FC7">
          <w:rPr>
            <w:rFonts w:ascii="Times New Roman" w:eastAsia="Times New Roman" w:hAnsi="Times New Roman" w:cs="Times New Roman"/>
            <w:color w:val="0000FF"/>
            <w:sz w:val="24"/>
            <w:szCs w:val="24"/>
            <w:u w:val="single"/>
          </w:rPr>
          <w:t>https://doi.org/10.1016/j.jpsychires.2019.03.012</w:t>
        </w:r>
      </w:hyperlink>
    </w:p>
    <w:p w14:paraId="0FDA15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Deveci, E., Kocacenk, T., Şahan, E., Yılmaz, O., Öztürk, A., &amp; Kırpınar, İ. (2019). Oxidative stress and inflammatory response in patients with psoriasis; is there any relationship with psychiatric comorbidity and cognitive functions? </w:t>
      </w:r>
      <w:r w:rsidRPr="00600FC7">
        <w:rPr>
          <w:rFonts w:ascii="Times New Roman" w:eastAsia="Times New Roman" w:hAnsi="Times New Roman" w:cs="Times New Roman"/>
          <w:i/>
          <w:iCs/>
          <w:sz w:val="24"/>
          <w:szCs w:val="24"/>
        </w:rPr>
        <w:t>Psychiatry and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(4), 682–695. </w:t>
      </w:r>
      <w:hyperlink r:id="rId1453" w:history="1">
        <w:r w:rsidRPr="00600FC7">
          <w:rPr>
            <w:rFonts w:ascii="Times New Roman" w:eastAsia="Times New Roman" w:hAnsi="Times New Roman" w:cs="Times New Roman"/>
            <w:color w:val="0000FF"/>
            <w:sz w:val="24"/>
            <w:szCs w:val="24"/>
            <w:u w:val="single"/>
          </w:rPr>
          <w:t>https://doi.org/10.1080/24750573.2019.1589176</w:t>
        </w:r>
      </w:hyperlink>
    </w:p>
    <w:p w14:paraId="3C8168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Fabio, R. P., Zampieri, C., Henke, J., Olson, K., Rickheim, D., &amp; Russell, M. (2005). Influence of Elderly Executive Cognitive Function on Attention in the Lower Visual Field during Step Initiation. </w:t>
      </w:r>
      <w:r w:rsidRPr="00600FC7">
        <w:rPr>
          <w:rFonts w:ascii="Times New Roman" w:eastAsia="Times New Roman" w:hAnsi="Times New Roman" w:cs="Times New Roman"/>
          <w:i/>
          <w:iCs/>
          <w:sz w:val="24"/>
          <w:szCs w:val="24"/>
        </w:rPr>
        <w:t>Gerontology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(2), 94–107. </w:t>
      </w:r>
      <w:hyperlink r:id="rId1454" w:history="1">
        <w:r w:rsidRPr="00600FC7">
          <w:rPr>
            <w:rFonts w:ascii="Times New Roman" w:eastAsia="Times New Roman" w:hAnsi="Times New Roman" w:cs="Times New Roman"/>
            <w:color w:val="0000FF"/>
            <w:sz w:val="24"/>
            <w:szCs w:val="24"/>
            <w:u w:val="single"/>
          </w:rPr>
          <w:t>https://doi.org/10.1159/000082194</w:t>
        </w:r>
      </w:hyperlink>
    </w:p>
    <w:p w14:paraId="4B90ED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Lodovico, L., Hatteea, H., Couton, C., Duriez, P., Treasure, J., &amp; Gorwood, P. (2021). Physical exercise‐related endophenotypes in anorexia nervosa. </w:t>
      </w:r>
      <w:r w:rsidRPr="00600FC7">
        <w:rPr>
          <w:rFonts w:ascii="Times New Roman" w:eastAsia="Times New Roman" w:hAnsi="Times New Roman" w:cs="Times New Roman"/>
          <w:i/>
          <w:iCs/>
          <w:sz w:val="24"/>
          <w:szCs w:val="24"/>
        </w:rPr>
        <w:t>International 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(7), 1181–1188. </w:t>
      </w:r>
      <w:hyperlink r:id="rId1455" w:history="1">
        <w:r w:rsidRPr="00600FC7">
          <w:rPr>
            <w:rFonts w:ascii="Times New Roman" w:eastAsia="Times New Roman" w:hAnsi="Times New Roman" w:cs="Times New Roman"/>
            <w:color w:val="0000FF"/>
            <w:sz w:val="24"/>
            <w:szCs w:val="24"/>
            <w:u w:val="single"/>
          </w:rPr>
          <w:t>https://doi.org/10.1002/eat.23503</w:t>
        </w:r>
      </w:hyperlink>
    </w:p>
    <w:p w14:paraId="11FCCC4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Paola, M., Luders, E., Rubino, I. A., Siracusano, A., Manfredi, G., Girardi, P., Martinotti, G., Thompson, P. M., Chou, Y.-Y., Toga, A. W., Caltagirone, C., &amp; Spalletta, G. (2013). The structure of the corpus callosum in obsessive compulsive disorder.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(8), 499–506. </w:t>
      </w:r>
      <w:hyperlink r:id="rId1456" w:history="1">
        <w:r w:rsidRPr="00600FC7">
          <w:rPr>
            <w:rFonts w:ascii="Times New Roman" w:eastAsia="Times New Roman" w:hAnsi="Times New Roman" w:cs="Times New Roman"/>
            <w:color w:val="0000FF"/>
            <w:sz w:val="24"/>
            <w:szCs w:val="24"/>
            <w:u w:val="single"/>
          </w:rPr>
          <w:t>https://doi.org/10.1016/j.eurpsy.2012.07.001</w:t>
        </w:r>
      </w:hyperlink>
    </w:p>
    <w:p w14:paraId="2A3522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 Scala, G., Dupuy, M., Guillaud, E., Doat, E., Barse, E., Dillhareguy, B., Jean, F. A. M., Audiffren, M., Cazalets, J. R., &amp; Chanraud, S. (2019). Efficiency of sensorimotor networks: Posture and gait in young and older adults. </w:t>
      </w:r>
      <w:r w:rsidRPr="00600FC7">
        <w:rPr>
          <w:rFonts w:ascii="Times New Roman" w:eastAsia="Times New Roman" w:hAnsi="Times New Roman" w:cs="Times New Roman"/>
          <w:i/>
          <w:iCs/>
          <w:sz w:val="24"/>
          <w:szCs w:val="24"/>
        </w:rPr>
        <w:t>Experimental Aging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 41–56. </w:t>
      </w:r>
      <w:hyperlink r:id="rId1457" w:history="1">
        <w:r w:rsidRPr="00600FC7">
          <w:rPr>
            <w:rFonts w:ascii="Times New Roman" w:eastAsia="Times New Roman" w:hAnsi="Times New Roman" w:cs="Times New Roman"/>
            <w:color w:val="0000FF"/>
            <w:sz w:val="24"/>
            <w:szCs w:val="24"/>
            <w:u w:val="single"/>
          </w:rPr>
          <w:t>https://doi.org/10.1080/0361073X.2018.1560108</w:t>
        </w:r>
      </w:hyperlink>
    </w:p>
    <w:p w14:paraId="53765B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Di Stefano, C., Rinaldesi, M. L., Quinquinio, C., Ridolfi, C., Vallasciani, M., Sturiale, C., &amp; Piperno, R. (2016). Neuropsychological changes and cranioplasty: A group analysis.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(2), 164–171. </w:t>
      </w:r>
      <w:hyperlink r:id="rId1458" w:history="1">
        <w:r w:rsidRPr="00600FC7">
          <w:rPr>
            <w:rFonts w:ascii="Times New Roman" w:eastAsia="Times New Roman" w:hAnsi="Times New Roman" w:cs="Times New Roman"/>
            <w:color w:val="0000FF"/>
            <w:sz w:val="24"/>
            <w:szCs w:val="24"/>
            <w:u w:val="single"/>
          </w:rPr>
          <w:t>https://doi.org/10.3109/02699052.2015.1090013</w:t>
        </w:r>
      </w:hyperlink>
    </w:p>
    <w:p w14:paraId="7E98AF0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Dias, R., Robbins, T. W., &amp; Roberts, A. C. (1996). Primate analogue of the Wisconsin card sorting test: Effects of excitotoxic lesions of the prefrontal cortex in the marmoset. </w:t>
      </w:r>
      <w:r w:rsidRPr="00600FC7">
        <w:rPr>
          <w:rFonts w:ascii="Times New Roman" w:eastAsia="Times New Roman" w:hAnsi="Times New Roman" w:cs="Times New Roman"/>
          <w:i/>
          <w:iCs/>
          <w:sz w:val="24"/>
          <w:szCs w:val="24"/>
        </w:rPr>
        <w:t>Behavioral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110</w:t>
      </w:r>
      <w:r w:rsidRPr="00600FC7">
        <w:rPr>
          <w:rFonts w:ascii="Times New Roman" w:eastAsia="Times New Roman" w:hAnsi="Times New Roman" w:cs="Times New Roman"/>
          <w:sz w:val="24"/>
          <w:szCs w:val="24"/>
        </w:rPr>
        <w:t xml:space="preserve">(5), 872–886. </w:t>
      </w:r>
      <w:hyperlink r:id="rId1459" w:history="1">
        <w:r w:rsidRPr="00600FC7">
          <w:rPr>
            <w:rFonts w:ascii="Times New Roman" w:eastAsia="Times New Roman" w:hAnsi="Times New Roman" w:cs="Times New Roman"/>
            <w:color w:val="0000FF"/>
            <w:sz w:val="24"/>
            <w:szCs w:val="24"/>
            <w:u w:val="single"/>
          </w:rPr>
          <w:t>https://doi.org/10.1037/0735-7044.110.5.872</w:t>
        </w:r>
      </w:hyperlink>
    </w:p>
    <w:p w14:paraId="427F59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Dias, R., Robbins, T. W., &amp; Roberts, A. C. (1997). Dissociable forms of inhibitory control within prefrontal cortex with an analog of the Wisconsin Card Sort Test: Restriction to novel situations and independence from “on-line” processing. </w:t>
      </w:r>
      <w:r w:rsidRPr="00600FC7">
        <w:rPr>
          <w:rFonts w:ascii="Times New Roman" w:eastAsia="Times New Roman" w:hAnsi="Times New Roman" w:cs="Times New Roman"/>
          <w:i/>
          <w:iCs/>
          <w:sz w:val="24"/>
          <w:szCs w:val="24"/>
        </w:rPr>
        <w:t>The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(23), 9285–9297.</w:t>
      </w:r>
    </w:p>
    <w:p w14:paraId="2A8C6D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Diaz-Asper, C. M., Schretlen, D. J., &amp; Pearlson, G. D. (2004). How well does IQ predict neuropsychological test performance in normal adults?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82–90. </w:t>
      </w:r>
      <w:hyperlink r:id="rId1460" w:history="1">
        <w:r w:rsidRPr="00600FC7">
          <w:rPr>
            <w:rFonts w:ascii="Times New Roman" w:eastAsia="Times New Roman" w:hAnsi="Times New Roman" w:cs="Times New Roman"/>
            <w:color w:val="0000FF"/>
            <w:sz w:val="24"/>
            <w:szCs w:val="24"/>
            <w:u w:val="single"/>
          </w:rPr>
          <w:t>https://doi.org/10.1017/S1355617704101100</w:t>
        </w:r>
      </w:hyperlink>
    </w:p>
    <w:p w14:paraId="686337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Diaz-Asper, C. M., Weinberger, D. R., &amp; Goldberg, T. E. (2006). Catechol-O-methyltransferase polymorphisms and some implications for cognitive therapeutics. </w:t>
      </w:r>
      <w:r w:rsidRPr="00600FC7">
        <w:rPr>
          <w:rFonts w:ascii="Times New Roman" w:eastAsia="Times New Roman" w:hAnsi="Times New Roman" w:cs="Times New Roman"/>
          <w:i/>
          <w:iCs/>
          <w:sz w:val="24"/>
          <w:szCs w:val="24"/>
        </w:rPr>
        <w:t>NeuroRX®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(1), 97–105. </w:t>
      </w:r>
      <w:hyperlink r:id="rId1461" w:history="1">
        <w:r w:rsidRPr="00600FC7">
          <w:rPr>
            <w:rFonts w:ascii="Times New Roman" w:eastAsia="Times New Roman" w:hAnsi="Times New Roman" w:cs="Times New Roman"/>
            <w:color w:val="0000FF"/>
            <w:sz w:val="24"/>
            <w:szCs w:val="24"/>
            <w:u w:val="single"/>
          </w:rPr>
          <w:t>https://doi.org/10.1016/j.nurx.2005.12.010</w:t>
        </w:r>
      </w:hyperlink>
    </w:p>
    <w:p w14:paraId="415CDD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Díaz-Blancat, G., García-Prieto, J., Maestú, F., &amp; Barceló, F. (2018). Fast neural dynamics of proactive cognitive control in a task-switching analogue of the Wisconsin Card Sorting Test. </w:t>
      </w:r>
      <w:r w:rsidRPr="00600FC7">
        <w:rPr>
          <w:rFonts w:ascii="Times New Roman" w:eastAsia="Times New Roman" w:hAnsi="Times New Roman" w:cs="Times New Roman"/>
          <w:i/>
          <w:iCs/>
          <w:sz w:val="24"/>
          <w:szCs w:val="24"/>
        </w:rPr>
        <w:t>Brain Topography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407–418. </w:t>
      </w:r>
      <w:hyperlink r:id="rId1462" w:history="1">
        <w:r w:rsidRPr="00600FC7">
          <w:rPr>
            <w:rFonts w:ascii="Times New Roman" w:eastAsia="Times New Roman" w:hAnsi="Times New Roman" w:cs="Times New Roman"/>
            <w:color w:val="0000FF"/>
            <w:sz w:val="24"/>
            <w:szCs w:val="24"/>
            <w:u w:val="single"/>
          </w:rPr>
          <w:t>https://doi.org/10.1007/s10548-017-0607-6</w:t>
        </w:r>
      </w:hyperlink>
    </w:p>
    <w:p w14:paraId="229F65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Díaz-Santos, M., Cao, B., Yazdanbakhsh, A., Norton, D. J., Neargarder, S., &amp; Cronin-Golomb, A. (2015). Perceptual, cognitive, and personality rigidity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 183–193. </w:t>
      </w:r>
      <w:hyperlink r:id="rId1463" w:history="1">
        <w:r w:rsidRPr="00600FC7">
          <w:rPr>
            <w:rFonts w:ascii="Times New Roman" w:eastAsia="Times New Roman" w:hAnsi="Times New Roman" w:cs="Times New Roman"/>
            <w:color w:val="0000FF"/>
            <w:sz w:val="24"/>
            <w:szCs w:val="24"/>
            <w:u w:val="single"/>
          </w:rPr>
          <w:t>https://doi.org/10.1016/j.neuropsychologia.2015.01.044</w:t>
        </w:r>
      </w:hyperlink>
    </w:p>
    <w:p w14:paraId="57FBC2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Dib Gonçalves, P., Malbergier, A., de Andrade, A. G., Fontes, M. A., &amp; Cunha, P. J. (2010). Evidence of persistent executive function deficits in cannabis dependence after one month of abstinence. </w:t>
      </w:r>
      <w:r w:rsidRPr="00600FC7">
        <w:rPr>
          <w:rFonts w:ascii="Times New Roman" w:eastAsia="Times New Roman" w:hAnsi="Times New Roman" w:cs="Times New Roman"/>
          <w:i/>
          <w:iCs/>
          <w:sz w:val="24"/>
          <w:szCs w:val="24"/>
        </w:rPr>
        <w:t>Revista Brasileira de 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461–464. </w:t>
      </w:r>
      <w:hyperlink r:id="rId1464" w:history="1">
        <w:r w:rsidRPr="00600FC7">
          <w:rPr>
            <w:rFonts w:ascii="Times New Roman" w:eastAsia="Times New Roman" w:hAnsi="Times New Roman" w:cs="Times New Roman"/>
            <w:color w:val="0000FF"/>
            <w:sz w:val="24"/>
            <w:szCs w:val="24"/>
            <w:u w:val="single"/>
          </w:rPr>
          <w:t>https://doi.org/10.1590/S1516-44462010000400025</w:t>
        </w:r>
      </w:hyperlink>
    </w:p>
    <w:p w14:paraId="705B03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Dichter, G. S., Felder, J. N., &amp; Bodfish, J. W. (2009). Autism is characterized by dorsal anterior cingulate hyperactivation during social target detection. </w:t>
      </w:r>
      <w:r w:rsidRPr="00600FC7">
        <w:rPr>
          <w:rFonts w:ascii="Times New Roman" w:eastAsia="Times New Roman" w:hAnsi="Times New Roman" w:cs="Times New Roman"/>
          <w:i/>
          <w:iCs/>
          <w:sz w:val="24"/>
          <w:szCs w:val="24"/>
        </w:rPr>
        <w:t>Social Cognitive and Affective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(3), 215–226. </w:t>
      </w:r>
      <w:hyperlink r:id="rId1465" w:history="1">
        <w:r w:rsidRPr="00600FC7">
          <w:rPr>
            <w:rFonts w:ascii="Times New Roman" w:eastAsia="Times New Roman" w:hAnsi="Times New Roman" w:cs="Times New Roman"/>
            <w:color w:val="0000FF"/>
            <w:sz w:val="24"/>
            <w:szCs w:val="24"/>
            <w:u w:val="single"/>
          </w:rPr>
          <w:t>https://doi.org/10.1093/scan/nsp017</w:t>
        </w:r>
      </w:hyperlink>
    </w:p>
    <w:p w14:paraId="6E9AABA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Dichter, G. S., van der Stelt, O., Boch, J. L., &amp; Belger, A. (2006). Relations among intelligence, executive function, and P300 event related potentials in schizophrenia.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194</w:t>
      </w:r>
      <w:r w:rsidRPr="00600FC7">
        <w:rPr>
          <w:rFonts w:ascii="Times New Roman" w:eastAsia="Times New Roman" w:hAnsi="Times New Roman" w:cs="Times New Roman"/>
          <w:sz w:val="24"/>
          <w:szCs w:val="24"/>
        </w:rPr>
        <w:t xml:space="preserve">(3), 179–187. </w:t>
      </w:r>
      <w:hyperlink r:id="rId1466" w:history="1">
        <w:r w:rsidRPr="00600FC7">
          <w:rPr>
            <w:rFonts w:ascii="Times New Roman" w:eastAsia="Times New Roman" w:hAnsi="Times New Roman" w:cs="Times New Roman"/>
            <w:color w:val="0000FF"/>
            <w:sz w:val="24"/>
            <w:szCs w:val="24"/>
            <w:u w:val="single"/>
          </w:rPr>
          <w:t>https://doi.org/10.1097/01.nmd.0000202490.97425.de</w:t>
        </w:r>
      </w:hyperlink>
    </w:p>
    <w:p w14:paraId="3EB87A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B., Boronow, J. J., Stallings, C., Origoni, A. E., Cole, S., Leister, F., Krivogorsky, B., &amp; Yolken, R. H. (2006). The catechol O-methyltransferase Val158Met polymorphism and herpes simplex virus type 1 infection are risk factors for cognitive impairment in bipolar disorder: Additive gene-environmental effects in a complex human psychiatric disorder .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(2), 124–132. </w:t>
      </w:r>
      <w:hyperlink r:id="rId1467" w:history="1">
        <w:r w:rsidRPr="00600FC7">
          <w:rPr>
            <w:rFonts w:ascii="Times New Roman" w:eastAsia="Times New Roman" w:hAnsi="Times New Roman" w:cs="Times New Roman"/>
            <w:color w:val="0000FF"/>
            <w:sz w:val="24"/>
            <w:szCs w:val="24"/>
            <w:u w:val="single"/>
          </w:rPr>
          <w:t>https://doi.org/10.1111/j.1399-5618.2006.00288.x</w:t>
        </w:r>
      </w:hyperlink>
    </w:p>
    <w:p w14:paraId="46531A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B., Stallings, C., Origoni, A., Boronow, J. J., Sullens, A., &amp; Yolken, R. (2007). The association between cognitive functioning and occupational status in persons with a recent onset of psychosis.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(7), 566–571. </w:t>
      </w:r>
      <w:hyperlink r:id="rId1468" w:history="1">
        <w:r w:rsidRPr="00600FC7">
          <w:rPr>
            <w:rFonts w:ascii="Times New Roman" w:eastAsia="Times New Roman" w:hAnsi="Times New Roman" w:cs="Times New Roman"/>
            <w:color w:val="0000FF"/>
            <w:sz w:val="24"/>
            <w:szCs w:val="24"/>
            <w:u w:val="single"/>
          </w:rPr>
          <w:t>https://doi.org/10.1097/NMD.0b013e318093ed46</w:t>
        </w:r>
      </w:hyperlink>
    </w:p>
    <w:p w14:paraId="7D39AFA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B., Stallings, C., Origoni, A., Boronow, J. J., Sullens, A., &amp; Yolken, R. (2008). Predictors of occupational status six months after hospitalization in persons with a recent </w:t>
      </w:r>
      <w:r w:rsidRPr="00600FC7">
        <w:rPr>
          <w:rFonts w:ascii="Times New Roman" w:eastAsia="Times New Roman" w:hAnsi="Times New Roman" w:cs="Times New Roman"/>
          <w:sz w:val="24"/>
          <w:szCs w:val="24"/>
        </w:rPr>
        <w:lastRenderedPageBreak/>
        <w:t xml:space="preserve">onset of psychosis.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160</w:t>
      </w:r>
      <w:r w:rsidRPr="00600FC7">
        <w:rPr>
          <w:rFonts w:ascii="Times New Roman" w:eastAsia="Times New Roman" w:hAnsi="Times New Roman" w:cs="Times New Roman"/>
          <w:sz w:val="24"/>
          <w:szCs w:val="24"/>
        </w:rPr>
        <w:t xml:space="preserve">(3), 278–284. </w:t>
      </w:r>
      <w:hyperlink r:id="rId1469" w:history="1">
        <w:r w:rsidRPr="00600FC7">
          <w:rPr>
            <w:rFonts w:ascii="Times New Roman" w:eastAsia="Times New Roman" w:hAnsi="Times New Roman" w:cs="Times New Roman"/>
            <w:color w:val="0000FF"/>
            <w:sz w:val="24"/>
            <w:szCs w:val="24"/>
            <w:u w:val="single"/>
          </w:rPr>
          <w:t>https://doi.org/10.1016/j.psychres.2007.07.030</w:t>
        </w:r>
      </w:hyperlink>
    </w:p>
    <w:p w14:paraId="2913813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Origoni, A., Stallings, C., Khushalani, S., Dickinson, D., &amp; Medoff, D. (2010). Occupational status and social adjustment six months after hospitalization early in the course of bipolar disorder: A prospective study.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 10–20. </w:t>
      </w:r>
      <w:hyperlink r:id="rId1470" w:history="1">
        <w:r w:rsidRPr="00600FC7">
          <w:rPr>
            <w:rFonts w:ascii="Times New Roman" w:eastAsia="Times New Roman" w:hAnsi="Times New Roman" w:cs="Times New Roman"/>
            <w:color w:val="0000FF"/>
            <w:sz w:val="24"/>
            <w:szCs w:val="24"/>
            <w:u w:val="single"/>
          </w:rPr>
          <w:t>https://doi.org/10.1111/j.1399-5618.2009.00784.x</w:t>
        </w:r>
      </w:hyperlink>
    </w:p>
    <w:p w14:paraId="6C4FF63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Stallings, C., Sullens, A., Origoni, A., Leister, F., Krivogorsky, B., &amp; Yolken, R. (2008). Association between cognitive functioning, exposure to Herpes Simplex Virus type 1, and the COMT Val158Met genetic polymorphism in adults without psychiatric disorder. </w:t>
      </w:r>
      <w:r w:rsidRPr="00600FC7">
        <w:rPr>
          <w:rFonts w:ascii="Times New Roman" w:eastAsia="Times New Roman" w:hAnsi="Times New Roman" w:cs="Times New Roman"/>
          <w:i/>
          <w:iCs/>
          <w:sz w:val="24"/>
          <w:szCs w:val="24"/>
        </w:rPr>
        <w:t>Brain, Behavior, and Immunity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(7), 1103–1107. </w:t>
      </w:r>
      <w:hyperlink r:id="rId1471" w:history="1">
        <w:r w:rsidRPr="00600FC7">
          <w:rPr>
            <w:rFonts w:ascii="Times New Roman" w:eastAsia="Times New Roman" w:hAnsi="Times New Roman" w:cs="Times New Roman"/>
            <w:color w:val="0000FF"/>
            <w:sz w:val="24"/>
            <w:szCs w:val="24"/>
            <w:u w:val="single"/>
          </w:rPr>
          <w:t>https://doi.org/10.1016/j.bbi.2008.04.156</w:t>
        </w:r>
      </w:hyperlink>
    </w:p>
    <w:p w14:paraId="52A565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Dickerson, F., Stallings, C., Vaughan, C., Origoni, A., Khushalani, S., Dickinson, D., &amp; Medoff, D. (2011). Cognitive functioning in recent onset psychosis.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199</w:t>
      </w:r>
      <w:r w:rsidRPr="00600FC7">
        <w:rPr>
          <w:rFonts w:ascii="Times New Roman" w:eastAsia="Times New Roman" w:hAnsi="Times New Roman" w:cs="Times New Roman"/>
          <w:sz w:val="24"/>
          <w:szCs w:val="24"/>
        </w:rPr>
        <w:t xml:space="preserve">(6), 367–371. </w:t>
      </w:r>
      <w:hyperlink r:id="rId1472" w:history="1">
        <w:r w:rsidRPr="00600FC7">
          <w:rPr>
            <w:rFonts w:ascii="Times New Roman" w:eastAsia="Times New Roman" w:hAnsi="Times New Roman" w:cs="Times New Roman"/>
            <w:color w:val="0000FF"/>
            <w:sz w:val="24"/>
            <w:szCs w:val="24"/>
            <w:u w:val="single"/>
          </w:rPr>
          <w:t>https://doi.org/10.1097/NMD.0b013e31821cd0ff</w:t>
        </w:r>
      </w:hyperlink>
    </w:p>
    <w:p w14:paraId="2E3047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Bellack, A. S., &amp; Gold, J. M. (2007). Social/communication skills, cognition, and vocational functioning in schizophrenia.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(5), 1213–1220. </w:t>
      </w:r>
      <w:hyperlink r:id="rId1473" w:history="1">
        <w:r w:rsidRPr="00600FC7">
          <w:rPr>
            <w:rFonts w:ascii="Times New Roman" w:eastAsia="Times New Roman" w:hAnsi="Times New Roman" w:cs="Times New Roman"/>
            <w:color w:val="0000FF"/>
            <w:sz w:val="24"/>
            <w:szCs w:val="24"/>
            <w:u w:val="single"/>
          </w:rPr>
          <w:t>https://doi.org/10.1093/schbul/sbl067</w:t>
        </w:r>
      </w:hyperlink>
    </w:p>
    <w:p w14:paraId="0D2B82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Goldberg, T. E., Gold, J. M., Elvevåg, B., &amp; Weinberger, D. R. (2011). Cognitive factor structure and invariance in people with schizophrenia, their unaffected siblings, and controls.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(6), 1157–1167. </w:t>
      </w:r>
      <w:hyperlink r:id="rId1474" w:history="1">
        <w:r w:rsidRPr="00600FC7">
          <w:rPr>
            <w:rFonts w:ascii="Times New Roman" w:eastAsia="Times New Roman" w:hAnsi="Times New Roman" w:cs="Times New Roman"/>
            <w:color w:val="0000FF"/>
            <w:sz w:val="24"/>
            <w:szCs w:val="24"/>
            <w:u w:val="single"/>
          </w:rPr>
          <w:t>https://doi.org/10.1093/schbul/sbq018</w:t>
        </w:r>
      </w:hyperlink>
    </w:p>
    <w:p w14:paraId="5941FC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Ragland, J. D., Calkins, M. E., Gold, J. M., &amp; Gur, R. C. (2006). A comparison of cognitive structure in schizophrenia patients and healthy controls using confirmatory factor </w:t>
      </w:r>
      <w:r w:rsidRPr="00600FC7">
        <w:rPr>
          <w:rFonts w:ascii="Times New Roman" w:eastAsia="Times New Roman" w:hAnsi="Times New Roman" w:cs="Times New Roman"/>
          <w:sz w:val="24"/>
          <w:szCs w:val="24"/>
        </w:rPr>
        <w:lastRenderedPageBreak/>
        <w:t xml:space="preserve">analysis.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85</w:t>
      </w:r>
      <w:r w:rsidRPr="00600FC7">
        <w:rPr>
          <w:rFonts w:ascii="Times New Roman" w:eastAsia="Times New Roman" w:hAnsi="Times New Roman" w:cs="Times New Roman"/>
          <w:sz w:val="24"/>
          <w:szCs w:val="24"/>
        </w:rPr>
        <w:t xml:space="preserve">(1–3), 20–29. </w:t>
      </w:r>
      <w:hyperlink r:id="rId1475" w:history="1">
        <w:r w:rsidRPr="00600FC7">
          <w:rPr>
            <w:rFonts w:ascii="Times New Roman" w:eastAsia="Times New Roman" w:hAnsi="Times New Roman" w:cs="Times New Roman"/>
            <w:color w:val="0000FF"/>
            <w:sz w:val="24"/>
            <w:szCs w:val="24"/>
            <w:u w:val="single"/>
          </w:rPr>
          <w:t>https://doi.org/10.1016/j.schres.2006.03.003</w:t>
        </w:r>
      </w:hyperlink>
    </w:p>
    <w:p w14:paraId="5378BF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Ragland, J. D., Gold, J. M., &amp; Gur, R. C. (2008). General and specific cognitive deficits in schizophrenia: Goliath defeats David?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(9), 823–827. </w:t>
      </w:r>
      <w:hyperlink r:id="rId1476" w:history="1">
        <w:r w:rsidRPr="00600FC7">
          <w:rPr>
            <w:rFonts w:ascii="Times New Roman" w:eastAsia="Times New Roman" w:hAnsi="Times New Roman" w:cs="Times New Roman"/>
            <w:color w:val="0000FF"/>
            <w:sz w:val="24"/>
            <w:szCs w:val="24"/>
            <w:u w:val="single"/>
          </w:rPr>
          <w:t>https://doi.org/10.1016/j.biopsych.2008.04.005</w:t>
        </w:r>
      </w:hyperlink>
    </w:p>
    <w:p w14:paraId="5A5103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Dickinson, D., Schaefer, J., &amp; Weinberger, D. R. (2013). The multi-faceted, “global” cognitive impairment profile in schizophrenia. In </w:t>
      </w:r>
      <w:r w:rsidRPr="00600FC7">
        <w:rPr>
          <w:rFonts w:ascii="Times New Roman" w:eastAsia="Times New Roman" w:hAnsi="Times New Roman" w:cs="Times New Roman"/>
          <w:i/>
          <w:iCs/>
          <w:sz w:val="24"/>
          <w:szCs w:val="24"/>
        </w:rPr>
        <w:t>Cognitive impairment in schizophrenia: Characteristics, assessment and treatment.</w:t>
      </w:r>
      <w:r w:rsidRPr="00600FC7">
        <w:rPr>
          <w:rFonts w:ascii="Times New Roman" w:eastAsia="Times New Roman" w:hAnsi="Times New Roman" w:cs="Times New Roman"/>
          <w:sz w:val="24"/>
          <w:szCs w:val="24"/>
        </w:rPr>
        <w:t xml:space="preserve"> (pp. 24–49). Cambridge University Press. </w:t>
      </w:r>
      <w:hyperlink r:id="rId1477" w:history="1">
        <w:r w:rsidRPr="00600FC7">
          <w:rPr>
            <w:rFonts w:ascii="Times New Roman" w:eastAsia="Times New Roman" w:hAnsi="Times New Roman" w:cs="Times New Roman"/>
            <w:color w:val="0000FF"/>
            <w:sz w:val="24"/>
            <w:szCs w:val="24"/>
            <w:u w:val="single"/>
          </w:rPr>
          <w:t>https://doi.org/10.1017/CBO9781139003872.003</w:t>
        </w:r>
      </w:hyperlink>
    </w:p>
    <w:p w14:paraId="710FC7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Dickson, K. S., Ciesla, J. A., &amp; Zelic, K. (2017). The role of executive functioning in adolescent rumination and depression. </w:t>
      </w:r>
      <w:r w:rsidRPr="00600FC7">
        <w:rPr>
          <w:rFonts w:ascii="Times New Roman" w:eastAsia="Times New Roman" w:hAnsi="Times New Roman" w:cs="Times New Roman"/>
          <w:i/>
          <w:iCs/>
          <w:sz w:val="24"/>
          <w:szCs w:val="24"/>
        </w:rPr>
        <w:t>Cognitive Therapy and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(1), 62–72. </w:t>
      </w:r>
      <w:hyperlink r:id="rId1478" w:history="1">
        <w:r w:rsidRPr="00600FC7">
          <w:rPr>
            <w:rFonts w:ascii="Times New Roman" w:eastAsia="Times New Roman" w:hAnsi="Times New Roman" w:cs="Times New Roman"/>
            <w:color w:val="0000FF"/>
            <w:sz w:val="24"/>
            <w:szCs w:val="24"/>
            <w:u w:val="single"/>
          </w:rPr>
          <w:t>https://doi.org/10.1007/s10608-016-9802-0</w:t>
        </w:r>
      </w:hyperlink>
    </w:p>
    <w:p w14:paraId="0575B7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Dickstein, D. P., Treland, J. E., Snow, J., McClure, E. B., Mehta, M. S., Towbin, K. E., Pine, D. S., &amp; Leibenluft, E. (2004). Neuropsychological performance in pediatric bipolar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(1), 32–39. </w:t>
      </w:r>
      <w:hyperlink r:id="rId1479" w:history="1">
        <w:r w:rsidRPr="00600FC7">
          <w:rPr>
            <w:rFonts w:ascii="Times New Roman" w:eastAsia="Times New Roman" w:hAnsi="Times New Roman" w:cs="Times New Roman"/>
            <w:color w:val="0000FF"/>
            <w:sz w:val="24"/>
            <w:szCs w:val="24"/>
            <w:u w:val="single"/>
          </w:rPr>
          <w:t>https://doi.org/10.1016/S0006-3223(03)00701-7</w:t>
        </w:r>
      </w:hyperlink>
    </w:p>
    <w:p w14:paraId="100C77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Dieci, M., Vita, A., Silenzi, C., Caputo, A., Comazzi, M., Ferrari, L., Ghiringhelli, L., Mezzetti, M., Tenconi, F., &amp; Invernizzi, G. (1997). Non-selective impairment of Wisconsin Card Sorting Test performance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 33–42. </w:t>
      </w:r>
      <w:hyperlink r:id="rId1480" w:history="1">
        <w:r w:rsidRPr="00600FC7">
          <w:rPr>
            <w:rFonts w:ascii="Times New Roman" w:eastAsia="Times New Roman" w:hAnsi="Times New Roman" w:cs="Times New Roman"/>
            <w:color w:val="0000FF"/>
            <w:sz w:val="24"/>
            <w:szCs w:val="24"/>
            <w:u w:val="single"/>
          </w:rPr>
          <w:t>https://doi.org/10.1016/S0920-9964(96)00125-9</w:t>
        </w:r>
      </w:hyperlink>
    </w:p>
    <w:p w14:paraId="495E7F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Diehl, J., Grimmer, T., Drzezga, A., Riemenschneider, M., Förstl, H., &amp; Kurz, A. (2004). Cerebral metabolic patterns at early stages of frontotemporal dementia and semantic dementia: A PET study.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(8), 1051–1056. </w:t>
      </w:r>
      <w:hyperlink r:id="rId1481" w:history="1">
        <w:r w:rsidRPr="00600FC7">
          <w:rPr>
            <w:rFonts w:ascii="Times New Roman" w:eastAsia="Times New Roman" w:hAnsi="Times New Roman" w:cs="Times New Roman"/>
            <w:color w:val="0000FF"/>
            <w:sz w:val="24"/>
            <w:szCs w:val="24"/>
            <w:u w:val="single"/>
          </w:rPr>
          <w:t>https://doi.org/10.1016/j.neurobiolaging.2003.10.007</w:t>
        </w:r>
      </w:hyperlink>
    </w:p>
    <w:p w14:paraId="496039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Dietrich, A., &amp; Sparling, P. B. (2004). Endurance exercise selectively impairs prefrontal-dependent cognition.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(3), 516–524. </w:t>
      </w:r>
      <w:hyperlink r:id="rId1482" w:history="1">
        <w:r w:rsidRPr="00600FC7">
          <w:rPr>
            <w:rFonts w:ascii="Times New Roman" w:eastAsia="Times New Roman" w:hAnsi="Times New Roman" w:cs="Times New Roman"/>
            <w:color w:val="0000FF"/>
            <w:sz w:val="24"/>
            <w:szCs w:val="24"/>
            <w:u w:val="single"/>
          </w:rPr>
          <w:t>https://doi.org/10.1016/j.bandc.2004.03.002</w:t>
        </w:r>
      </w:hyperlink>
    </w:p>
    <w:p w14:paraId="0B8B506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Diforio, D., Walker, E. F., &amp; Kestler, L. P. (2000). Executive functions in adolescents with schizotypal personality disorder.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(2), 125–134. </w:t>
      </w:r>
      <w:hyperlink r:id="rId1483" w:history="1">
        <w:r w:rsidRPr="00600FC7">
          <w:rPr>
            <w:rFonts w:ascii="Times New Roman" w:eastAsia="Times New Roman" w:hAnsi="Times New Roman" w:cs="Times New Roman"/>
            <w:color w:val="0000FF"/>
            <w:sz w:val="24"/>
            <w:szCs w:val="24"/>
            <w:u w:val="single"/>
          </w:rPr>
          <w:t>https://doi.org/10.1016/S0920-9964(99)00119-X</w:t>
        </w:r>
      </w:hyperlink>
    </w:p>
    <w:p w14:paraId="7A9926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DiGangi, J. A., Kujawa, A., Aase, D. M., Babione, J. M., Schroth, C., Levy, D. M., Kennedy, A. E., Greenstein, J. E., Proescher, E., Walters, R., Passi, H., Langenecker, S. A., &amp; Phan, K. L. (2017). Affective and cognitive correlates of PTSD: Electrocortical processing of threat and perseverative errors on the WCST in combat-related PTSD.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 xml:space="preserve">, 63–69. </w:t>
      </w:r>
      <w:hyperlink r:id="rId1484" w:history="1">
        <w:r w:rsidRPr="00600FC7">
          <w:rPr>
            <w:rFonts w:ascii="Times New Roman" w:eastAsia="Times New Roman" w:hAnsi="Times New Roman" w:cs="Times New Roman"/>
            <w:color w:val="0000FF"/>
            <w:sz w:val="24"/>
            <w:szCs w:val="24"/>
            <w:u w:val="single"/>
          </w:rPr>
          <w:t>https://doi.org/10.1016/j.pnpbp.2017.01.004</w:t>
        </w:r>
      </w:hyperlink>
    </w:p>
    <w:p w14:paraId="606368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Dige, N., &amp; Wik, G. (2005). Adult Attention Deficit Hyperactivity Disorder Identified by Neuropsychological Testing.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115</w:t>
      </w:r>
      <w:r w:rsidRPr="00600FC7">
        <w:rPr>
          <w:rFonts w:ascii="Times New Roman" w:eastAsia="Times New Roman" w:hAnsi="Times New Roman" w:cs="Times New Roman"/>
          <w:sz w:val="24"/>
          <w:szCs w:val="24"/>
        </w:rPr>
        <w:t xml:space="preserve">(2), 169–183. </w:t>
      </w:r>
      <w:hyperlink r:id="rId1485" w:history="1">
        <w:r w:rsidRPr="00600FC7">
          <w:rPr>
            <w:rFonts w:ascii="Times New Roman" w:eastAsia="Times New Roman" w:hAnsi="Times New Roman" w:cs="Times New Roman"/>
            <w:color w:val="0000FF"/>
            <w:sz w:val="24"/>
            <w:szCs w:val="24"/>
            <w:u w:val="single"/>
          </w:rPr>
          <w:t>https://doi.org/10.1080/00207450590519058</w:t>
        </w:r>
      </w:hyperlink>
    </w:p>
    <w:p w14:paraId="60AEE4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Dijksterhuis, A. (2013). Automaticity. In </w:t>
      </w:r>
      <w:r w:rsidRPr="00600FC7">
        <w:rPr>
          <w:rFonts w:ascii="Times New Roman" w:eastAsia="Times New Roman" w:hAnsi="Times New Roman" w:cs="Times New Roman"/>
          <w:i/>
          <w:iCs/>
          <w:sz w:val="24"/>
          <w:szCs w:val="24"/>
        </w:rPr>
        <w:t>The Oxford handbook of social cognition.</w:t>
      </w:r>
      <w:r w:rsidRPr="00600FC7">
        <w:rPr>
          <w:rFonts w:ascii="Times New Roman" w:eastAsia="Times New Roman" w:hAnsi="Times New Roman" w:cs="Times New Roman"/>
          <w:sz w:val="24"/>
          <w:szCs w:val="24"/>
        </w:rPr>
        <w:t xml:space="preserve"> (pp. 239–256). Oxford University Press.</w:t>
      </w:r>
    </w:p>
    <w:p w14:paraId="307A55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Dimitry, T. L. (1998). </w:t>
      </w:r>
      <w:r w:rsidRPr="00600FC7">
        <w:rPr>
          <w:rFonts w:ascii="Times New Roman" w:eastAsia="Times New Roman" w:hAnsi="Times New Roman" w:cs="Times New Roman"/>
          <w:i/>
          <w:iCs/>
          <w:sz w:val="24"/>
          <w:szCs w:val="24"/>
        </w:rPr>
        <w:t>Attentional functioning in conduct disordered adolescents.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(5-B), 2415–2415.</w:t>
      </w:r>
    </w:p>
    <w:p w14:paraId="601E2B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Dimoska-Di Marco, A., McDonald, S., Kelly, M., Tate, R., &amp; Johnstone, S. (2011). A meta-analysis of response inhibition and Stroop interference control deficits in adults with traumatic brain injury (TBI).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(4), 471–485. </w:t>
      </w:r>
      <w:hyperlink r:id="rId1486" w:history="1">
        <w:r w:rsidRPr="00600FC7">
          <w:rPr>
            <w:rFonts w:ascii="Times New Roman" w:eastAsia="Times New Roman" w:hAnsi="Times New Roman" w:cs="Times New Roman"/>
            <w:color w:val="0000FF"/>
            <w:sz w:val="24"/>
            <w:szCs w:val="24"/>
            <w:u w:val="single"/>
          </w:rPr>
          <w:t>https://doi.org/10.1080/13803395.2010.533158</w:t>
        </w:r>
      </w:hyperlink>
    </w:p>
    <w:p w14:paraId="0086A4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Din, N. C. (2011). Neuropsychology in Malaysia. </w:t>
      </w:r>
      <w:r w:rsidRPr="00600FC7">
        <w:rPr>
          <w:rFonts w:ascii="Times New Roman" w:eastAsia="Times New Roman" w:hAnsi="Times New Roman" w:cs="Times New Roman"/>
          <w:i/>
          <w:iCs/>
          <w:sz w:val="24"/>
          <w:szCs w:val="24"/>
        </w:rPr>
        <w:t>The Neuropsychology of Asian Americans.</w:t>
      </w:r>
      <w:r w:rsidRPr="00600FC7">
        <w:rPr>
          <w:rFonts w:ascii="Times New Roman" w:eastAsia="Times New Roman" w:hAnsi="Times New Roman" w:cs="Times New Roman"/>
          <w:sz w:val="24"/>
          <w:szCs w:val="24"/>
        </w:rPr>
        <w:t>, 269–283.</w:t>
      </w:r>
    </w:p>
    <w:p w14:paraId="4872869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Ding, K., Tarumi, T., Zhu, D. C., Tseng, B. Y., Thomas, B. P., Turner, M., Repshas, J., Kerwin, D. R., Womack, K. B., Lu, H., Cullum, C. M., &amp; Zhang, R. (2018). Cardiorespiratory fitness and white matter neuronal fiber integrity in mild cognitive impairment.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(2), 729–739. </w:t>
      </w:r>
      <w:hyperlink r:id="rId1487" w:history="1">
        <w:r w:rsidRPr="00600FC7">
          <w:rPr>
            <w:rFonts w:ascii="Times New Roman" w:eastAsia="Times New Roman" w:hAnsi="Times New Roman" w:cs="Times New Roman"/>
            <w:color w:val="0000FF"/>
            <w:sz w:val="24"/>
            <w:szCs w:val="24"/>
            <w:u w:val="single"/>
          </w:rPr>
          <w:t>https://doi.org/10.3233/JAD-170415</w:t>
        </w:r>
      </w:hyperlink>
    </w:p>
    <w:p w14:paraId="6CA255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Dingemans, A. E., Danner, U. N., Donker, J. M., Aardoom, J. J., van Meer, F., Tobias, K., van Elburg, A. A., &amp; van Furth, E. F. (2014). The effectiveness of cognitive remediation therapy in patients with a severe or enduring eating disorder: A randomized controlled trial. </w:t>
      </w:r>
      <w:r w:rsidRPr="00600FC7">
        <w:rPr>
          <w:rFonts w:ascii="Times New Roman" w:eastAsia="Times New Roman" w:hAnsi="Times New Roman" w:cs="Times New Roman"/>
          <w:i/>
          <w:iCs/>
          <w:sz w:val="24"/>
          <w:szCs w:val="24"/>
        </w:rPr>
        <w:t>Psychotherapy and Psychosomatics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(1), 29–36. </w:t>
      </w:r>
      <w:hyperlink r:id="rId1488" w:history="1">
        <w:r w:rsidRPr="00600FC7">
          <w:rPr>
            <w:rFonts w:ascii="Times New Roman" w:eastAsia="Times New Roman" w:hAnsi="Times New Roman" w:cs="Times New Roman"/>
            <w:color w:val="0000FF"/>
            <w:sz w:val="24"/>
            <w:szCs w:val="24"/>
            <w:u w:val="single"/>
          </w:rPr>
          <w:t>https://doi.org/10.1159/000355240</w:t>
        </w:r>
      </w:hyperlink>
    </w:p>
    <w:p w14:paraId="2AAE64D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Dingemans, A. E., Vanhaelen, C. B., Aardoom, J. J., &amp; van Furth, E. F. (2019). The influence of depressive symptoms on executive functioning in binge eating disorder: A comparison of patients and non-obese healthy controls.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274</w:t>
      </w:r>
      <w:r w:rsidRPr="00600FC7">
        <w:rPr>
          <w:rFonts w:ascii="Times New Roman" w:eastAsia="Times New Roman" w:hAnsi="Times New Roman" w:cs="Times New Roman"/>
          <w:sz w:val="24"/>
          <w:szCs w:val="24"/>
        </w:rPr>
        <w:t xml:space="preserve">, 138–145. </w:t>
      </w:r>
      <w:hyperlink r:id="rId1489" w:history="1">
        <w:r w:rsidRPr="00600FC7">
          <w:rPr>
            <w:rFonts w:ascii="Times New Roman" w:eastAsia="Times New Roman" w:hAnsi="Times New Roman" w:cs="Times New Roman"/>
            <w:color w:val="0000FF"/>
            <w:sz w:val="24"/>
            <w:szCs w:val="24"/>
            <w:u w:val="single"/>
          </w:rPr>
          <w:t>https://doi.org/10.1016/j.psychres.2019.02.033</w:t>
        </w:r>
      </w:hyperlink>
    </w:p>
    <w:p w14:paraId="7F5FD3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Diniz, B. S. O., Yassuda, M. S., Nunes, P. V., Radanovic, M., &amp; Forlenza, O. V. (2007). Mini-Mental State Examination performance in mild cognitive impairment subtypes.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647–656. </w:t>
      </w:r>
      <w:hyperlink r:id="rId1490" w:history="1">
        <w:r w:rsidRPr="00600FC7">
          <w:rPr>
            <w:rFonts w:ascii="Times New Roman" w:eastAsia="Times New Roman" w:hAnsi="Times New Roman" w:cs="Times New Roman"/>
            <w:color w:val="0000FF"/>
            <w:sz w:val="24"/>
            <w:szCs w:val="24"/>
            <w:u w:val="single"/>
          </w:rPr>
          <w:t>https://doi.org/10.1017/S104161020700542X</w:t>
        </w:r>
      </w:hyperlink>
    </w:p>
    <w:p w14:paraId="1A5288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Dinkelacker, V., Xin, X., Baulac, M., Samson, S., &amp; Dupont, S. (2016). Interictal epileptic discharge correlates with global and frontal cognitive dysfunction in temporal lobe epilepsy.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 197–203. </w:t>
      </w:r>
      <w:hyperlink r:id="rId1491" w:history="1">
        <w:r w:rsidRPr="00600FC7">
          <w:rPr>
            <w:rFonts w:ascii="Times New Roman" w:eastAsia="Times New Roman" w:hAnsi="Times New Roman" w:cs="Times New Roman"/>
            <w:color w:val="0000FF"/>
            <w:sz w:val="24"/>
            <w:szCs w:val="24"/>
            <w:u w:val="single"/>
          </w:rPr>
          <w:t>https://doi.org/10.1016/j.yebeh.2016.07.009</w:t>
        </w:r>
      </w:hyperlink>
    </w:p>
    <w:p w14:paraId="6B54798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Dinn, W. M., Gansler, D. A., Moczynski, N., &amp; Fulwiler, C. (2009). Brain dysfunction and community violence in patients with major mental illness. </w:t>
      </w:r>
      <w:r w:rsidRPr="00600FC7">
        <w:rPr>
          <w:rFonts w:ascii="Times New Roman" w:eastAsia="Times New Roman" w:hAnsi="Times New Roman" w:cs="Times New Roman"/>
          <w:i/>
          <w:iCs/>
          <w:sz w:val="24"/>
          <w:szCs w:val="24"/>
        </w:rPr>
        <w:t>Criminal Justice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117–136. </w:t>
      </w:r>
      <w:hyperlink r:id="rId1492" w:history="1">
        <w:r w:rsidRPr="00600FC7">
          <w:rPr>
            <w:rFonts w:ascii="Times New Roman" w:eastAsia="Times New Roman" w:hAnsi="Times New Roman" w:cs="Times New Roman"/>
            <w:color w:val="0000FF"/>
            <w:sz w:val="24"/>
            <w:szCs w:val="24"/>
            <w:u w:val="single"/>
          </w:rPr>
          <w:t>https://doi.org/10.1177/0093854808327507</w:t>
        </w:r>
      </w:hyperlink>
    </w:p>
    <w:p w14:paraId="22C6F2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Dionne, G., Déry, M., &amp; Toupin, J. (2010). Les habiletés cognitives d’élèves du primaire présentant un trouble oppositionnel avec provocation ou un trouble des conduites. [Cognitive skills of primary students with oppositional defiant disorder or conduct disorder.]. </w:t>
      </w:r>
      <w:r w:rsidRPr="00600FC7">
        <w:rPr>
          <w:rFonts w:ascii="Times New Roman" w:eastAsia="Times New Roman" w:hAnsi="Times New Roman" w:cs="Times New Roman"/>
          <w:i/>
          <w:iCs/>
          <w:sz w:val="24"/>
          <w:szCs w:val="24"/>
        </w:rPr>
        <w:t>Canadian Journal of Education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(1), 57–82.</w:t>
      </w:r>
    </w:p>
    <w:p w14:paraId="455ABC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Dirksen, C. L. (2003). </w:t>
      </w:r>
      <w:r w:rsidRPr="00600FC7">
        <w:rPr>
          <w:rFonts w:ascii="Times New Roman" w:eastAsia="Times New Roman" w:hAnsi="Times New Roman" w:cs="Times New Roman"/>
          <w:i/>
          <w:iCs/>
          <w:sz w:val="24"/>
          <w:szCs w:val="24"/>
        </w:rPr>
        <w:t>Specific cognitive deficits in patient groups with dysfunction of frontal brain systems of various etiologies.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(3-B), 1486–1486.</w:t>
      </w:r>
    </w:p>
    <w:p w14:paraId="450D18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Dirksen, C. L., Howard, J. A., Cronin-Golomb, A., &amp; Oscar-Berman, M. (2006). Patterns of prefrontal dysfunction in alcoholics with and without Korsakoff’s syndrome, patients with Parkinson’s disease, and patients with rupture and repair of the anterior communicating artery. </w:t>
      </w:r>
      <w:r w:rsidRPr="00600FC7">
        <w:rPr>
          <w:rFonts w:ascii="Times New Roman" w:eastAsia="Times New Roman" w:hAnsi="Times New Roman" w:cs="Times New Roman"/>
          <w:i/>
          <w:iCs/>
          <w:sz w:val="24"/>
          <w:szCs w:val="24"/>
        </w:rPr>
        <w:t>Neuropsychiatric Disease and Treatment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(3), 327–339. </w:t>
      </w:r>
      <w:hyperlink r:id="rId1493" w:history="1">
        <w:r w:rsidRPr="00600FC7">
          <w:rPr>
            <w:rFonts w:ascii="Times New Roman" w:eastAsia="Times New Roman" w:hAnsi="Times New Roman" w:cs="Times New Roman"/>
            <w:color w:val="0000FF"/>
            <w:sz w:val="24"/>
            <w:szCs w:val="24"/>
            <w:u w:val="single"/>
          </w:rPr>
          <w:t>https://doi.org/10.2147/nedt.2006.2.3.327</w:t>
        </w:r>
      </w:hyperlink>
    </w:p>
    <w:p w14:paraId="227F022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Dirnberger, G., Novak, J., Nasel, C., &amp; Zehnter, M. (2010). Separating coordinative and executive dysfunction in cerebellar patients during motor skill acquisition.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(5), 1200–1208. </w:t>
      </w:r>
      <w:hyperlink r:id="rId1494" w:history="1">
        <w:r w:rsidRPr="00600FC7">
          <w:rPr>
            <w:rFonts w:ascii="Times New Roman" w:eastAsia="Times New Roman" w:hAnsi="Times New Roman" w:cs="Times New Roman"/>
            <w:color w:val="0000FF"/>
            <w:sz w:val="24"/>
            <w:szCs w:val="24"/>
            <w:u w:val="single"/>
          </w:rPr>
          <w:t>https://doi.org/10.1016/j.neuropsychologia.2009.12.016</w:t>
        </w:r>
      </w:hyperlink>
    </w:p>
    <w:p w14:paraId="7D81F9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Disabato, B. M., Morris, C., Hranilovich, J., D’Angelo, G. M., Zhou, G., Wu, N., Doraiswamy, P. M., &amp; Sheline, Y. I. (2014). Comparison of brain structural variables, neuropsychological factors, and treatment outcome in early-onset versus late-onset late-life depression.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(10), 1039–1046. </w:t>
      </w:r>
      <w:hyperlink r:id="rId1495" w:history="1">
        <w:r w:rsidRPr="00600FC7">
          <w:rPr>
            <w:rFonts w:ascii="Times New Roman" w:eastAsia="Times New Roman" w:hAnsi="Times New Roman" w:cs="Times New Roman"/>
            <w:color w:val="0000FF"/>
            <w:sz w:val="24"/>
            <w:szCs w:val="24"/>
            <w:u w:val="single"/>
          </w:rPr>
          <w:t>https://doi.org/10.1016/j.jagp.2013.02.005</w:t>
        </w:r>
      </w:hyperlink>
    </w:p>
    <w:p w14:paraId="7E50FFE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Dittrich, W. H., &amp; Johansen, T. (2013). Cognitive deficits of executive functions and decision‐making in obsessive‐compulsive disorder. </w:t>
      </w:r>
      <w:r w:rsidRPr="00600FC7">
        <w:rPr>
          <w:rFonts w:ascii="Times New Roman" w:eastAsia="Times New Roman" w:hAnsi="Times New Roman" w:cs="Times New Roman"/>
          <w:i/>
          <w:iCs/>
          <w:sz w:val="24"/>
          <w:szCs w:val="24"/>
        </w:rPr>
        <w:t>Scandinavian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(5), 393–400. </w:t>
      </w:r>
      <w:hyperlink r:id="rId1496" w:history="1">
        <w:r w:rsidRPr="00600FC7">
          <w:rPr>
            <w:rFonts w:ascii="Times New Roman" w:eastAsia="Times New Roman" w:hAnsi="Times New Roman" w:cs="Times New Roman"/>
            <w:color w:val="0000FF"/>
            <w:sz w:val="24"/>
            <w:szCs w:val="24"/>
            <w:u w:val="single"/>
          </w:rPr>
          <w:t>https://doi.org/10.1111/sjop.12066</w:t>
        </w:r>
      </w:hyperlink>
    </w:p>
    <w:p w14:paraId="047535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Divya, K. P., Menon, R. N., Varma, R. P., Sylaja, P. N., Thomas, B., Kesavadas, C., Sunitha, J., Lekha, V. S., &amp; Deepak, S. (2017). Post-stroke cognitive impairment—A cross-sectional comparison study between mild cognitive impairment of vascular and non-vascular etiology.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372</w:t>
      </w:r>
      <w:r w:rsidRPr="00600FC7">
        <w:rPr>
          <w:rFonts w:ascii="Times New Roman" w:eastAsia="Times New Roman" w:hAnsi="Times New Roman" w:cs="Times New Roman"/>
          <w:sz w:val="24"/>
          <w:szCs w:val="24"/>
        </w:rPr>
        <w:t xml:space="preserve">, 356–362. </w:t>
      </w:r>
      <w:hyperlink r:id="rId1497" w:history="1">
        <w:r w:rsidRPr="00600FC7">
          <w:rPr>
            <w:rFonts w:ascii="Times New Roman" w:eastAsia="Times New Roman" w:hAnsi="Times New Roman" w:cs="Times New Roman"/>
            <w:color w:val="0000FF"/>
            <w:sz w:val="24"/>
            <w:szCs w:val="24"/>
            <w:u w:val="single"/>
          </w:rPr>
          <w:t>https://doi.org/10.1016/j.jns.2016.10.031</w:t>
        </w:r>
      </w:hyperlink>
    </w:p>
    <w:p w14:paraId="1F9161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Dixon, F. G. (2001). </w:t>
      </w:r>
      <w:r w:rsidRPr="00600FC7">
        <w:rPr>
          <w:rFonts w:ascii="Times New Roman" w:eastAsia="Times New Roman" w:hAnsi="Times New Roman" w:cs="Times New Roman"/>
          <w:i/>
          <w:iCs/>
          <w:sz w:val="24"/>
          <w:szCs w:val="24"/>
        </w:rPr>
        <w:t>Age-related differences in cortical volumes and white matter hyperintensities: Do they influence age-related cognitive declines?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(7-B), 3839–3839.</w:t>
      </w:r>
    </w:p>
    <w:p w14:paraId="2767EF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Dlabac-de Lange, J. J., Bais, L., van Es, F. D., Visser, B. G. J., Reinink, E., Bakker, B., van den Heuvel, E. R., Aleman, A., &amp; Knegtering, H. (2015). Efficacy of bilateral repetitive transcranial magnetic stimulation for negative symptoms of schizophrenia: Results of a multicenter double-blind randomized controlled trial.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(6), 1263–1275. </w:t>
      </w:r>
      <w:hyperlink r:id="rId1498" w:history="1">
        <w:r w:rsidRPr="00600FC7">
          <w:rPr>
            <w:rFonts w:ascii="Times New Roman" w:eastAsia="Times New Roman" w:hAnsi="Times New Roman" w:cs="Times New Roman"/>
            <w:color w:val="0000FF"/>
            <w:sz w:val="24"/>
            <w:szCs w:val="24"/>
            <w:u w:val="single"/>
          </w:rPr>
          <w:t>https://doi.org/10.1017/S0033291714002360</w:t>
        </w:r>
      </w:hyperlink>
    </w:p>
    <w:p w14:paraId="59610ED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Dlugos, D., Shinnar, S., Cnaan, A., Hu, F., Moshé, S., Mizrahi, E., Masur, D., Sogawa, Y., Le Pichon, J. B., Levine, C., Hirtz, D., Clark, P., Adamson, P. C., &amp; Glauser, T. (2013). Pretreatment EEG in childhood absence epilepsy: Associations with attention and treatment outcome.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81</w:t>
      </w:r>
      <w:r w:rsidRPr="00600FC7">
        <w:rPr>
          <w:rFonts w:ascii="Times New Roman" w:eastAsia="Times New Roman" w:hAnsi="Times New Roman" w:cs="Times New Roman"/>
          <w:sz w:val="24"/>
          <w:szCs w:val="24"/>
        </w:rPr>
        <w:t xml:space="preserve">(2), 150–156. </w:t>
      </w:r>
      <w:hyperlink r:id="rId1499" w:history="1">
        <w:r w:rsidRPr="00600FC7">
          <w:rPr>
            <w:rFonts w:ascii="Times New Roman" w:eastAsia="Times New Roman" w:hAnsi="Times New Roman" w:cs="Times New Roman"/>
            <w:color w:val="0000FF"/>
            <w:sz w:val="24"/>
            <w:szCs w:val="24"/>
            <w:u w:val="single"/>
          </w:rPr>
          <w:t>https://doi.org/10.1212/WNL.0b013e31829a3373</w:t>
        </w:r>
      </w:hyperlink>
    </w:p>
    <w:p w14:paraId="7B8230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Dmitrzak-Weglarz, M., Rybakowski, J. K., Slopien, A., Czerski, P. M., Leszczynska-Rodziewicz, A., Kapelski, P., Kaczmarkiewicz-Fass, M., &amp; Hauser, J. (2006). Dopamine Receptor D₁ Gene -48A/G Polymorphism Is Associated with Bipolar Illness but Not with </w:t>
      </w:r>
      <w:r w:rsidRPr="00600FC7">
        <w:rPr>
          <w:rFonts w:ascii="Times New Roman" w:eastAsia="Times New Roman" w:hAnsi="Times New Roman" w:cs="Times New Roman"/>
          <w:sz w:val="24"/>
          <w:szCs w:val="24"/>
        </w:rPr>
        <w:lastRenderedPageBreak/>
        <w:t xml:space="preserve">Schizophrenia in a Polish Population.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53</w:t>
      </w:r>
      <w:r w:rsidRPr="00600FC7">
        <w:rPr>
          <w:rFonts w:ascii="Times New Roman" w:eastAsia="Times New Roman" w:hAnsi="Times New Roman" w:cs="Times New Roman"/>
          <w:sz w:val="24"/>
          <w:szCs w:val="24"/>
        </w:rPr>
        <w:t xml:space="preserve">(1), 46–50. </w:t>
      </w:r>
      <w:hyperlink r:id="rId1500" w:history="1">
        <w:r w:rsidRPr="00600FC7">
          <w:rPr>
            <w:rFonts w:ascii="Times New Roman" w:eastAsia="Times New Roman" w:hAnsi="Times New Roman" w:cs="Times New Roman"/>
            <w:color w:val="0000FF"/>
            <w:sz w:val="24"/>
            <w:szCs w:val="24"/>
            <w:u w:val="single"/>
          </w:rPr>
          <w:t>https://doi.org/10.1159/000090703</w:t>
        </w:r>
      </w:hyperlink>
    </w:p>
    <w:p w14:paraId="4C7E4C4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Dmitrzak-Weglarz, M., Skibinska, M., Slopien, A., Tyszkiewicz, M., Pawlak, J., Maciukiewicz, M., Zaremba, D., Rajewski, A., &amp; Hauser, J. (2012). Serum neurotrophin concentrations in Polish adolescent girls with anorexia nervosa.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(1), 25–32. </w:t>
      </w:r>
      <w:hyperlink r:id="rId1501" w:history="1">
        <w:r w:rsidRPr="00600FC7">
          <w:rPr>
            <w:rFonts w:ascii="Times New Roman" w:eastAsia="Times New Roman" w:hAnsi="Times New Roman" w:cs="Times New Roman"/>
            <w:color w:val="0000FF"/>
            <w:sz w:val="24"/>
            <w:szCs w:val="24"/>
            <w:u w:val="single"/>
          </w:rPr>
          <w:t>https://doi.org/10.1159/000343500</w:t>
        </w:r>
      </w:hyperlink>
    </w:p>
    <w:p w14:paraId="2440AF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Dmitrzak-Węglarz, M., Słopień, A., Tyszkiewicz, M., Rybakowski, F., Rajewski, A., &amp; Hauser, J. (2011). Polymorphisms of the SNAP-25 gene and performance on the Wisconsin Card Sorting Test in anorexia nervosa and in healthy adolescent participants. </w:t>
      </w:r>
      <w:r w:rsidRPr="00600FC7">
        <w:rPr>
          <w:rFonts w:ascii="Times New Roman" w:eastAsia="Times New Roman" w:hAnsi="Times New Roman" w:cs="Times New Roman"/>
          <w:i/>
          <w:iCs/>
          <w:sz w:val="24"/>
          <w:szCs w:val="24"/>
        </w:rPr>
        <w:t>Archives of Psychiatry and Psychotherapy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(1), 43–51.</w:t>
      </w:r>
    </w:p>
    <w:p w14:paraId="609AE4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Dobson-Patterson, R., O’Gorman, J. G., Chan, R. C. K., &amp; Shum, D. H. K. (2016). ADHD subtypes and neuropsychological performance in an adult sample. </w:t>
      </w:r>
      <w:r w:rsidRPr="00600FC7">
        <w:rPr>
          <w:rFonts w:ascii="Times New Roman" w:eastAsia="Times New Roman" w:hAnsi="Times New Roman" w:cs="Times New Roman"/>
          <w:i/>
          <w:iCs/>
          <w:sz w:val="24"/>
          <w:szCs w:val="24"/>
        </w:rPr>
        <w:t>Research in Developmental Disabilities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 55–63. </w:t>
      </w:r>
      <w:hyperlink r:id="rId1502" w:history="1">
        <w:r w:rsidRPr="00600FC7">
          <w:rPr>
            <w:rFonts w:ascii="Times New Roman" w:eastAsia="Times New Roman" w:hAnsi="Times New Roman" w:cs="Times New Roman"/>
            <w:color w:val="0000FF"/>
            <w:sz w:val="24"/>
            <w:szCs w:val="24"/>
            <w:u w:val="single"/>
          </w:rPr>
          <w:t>https://doi.org/10.1016/j.ridd.2016.03.013</w:t>
        </w:r>
      </w:hyperlink>
    </w:p>
    <w:p w14:paraId="314291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Docherty, N. M. (2012). On identifying the processes underlying schizophrenic speech disorder.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(6), 1327–1335. </w:t>
      </w:r>
      <w:hyperlink r:id="rId1503" w:history="1">
        <w:r w:rsidRPr="00600FC7">
          <w:rPr>
            <w:rFonts w:ascii="Times New Roman" w:eastAsia="Times New Roman" w:hAnsi="Times New Roman" w:cs="Times New Roman"/>
            <w:color w:val="0000FF"/>
            <w:sz w:val="24"/>
            <w:szCs w:val="24"/>
            <w:u w:val="single"/>
          </w:rPr>
          <w:t>https://doi.org/10.1093/schbul/sbr048</w:t>
        </w:r>
      </w:hyperlink>
    </w:p>
    <w:p w14:paraId="61E3AC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Doering, B. K., Conrad, N., Rief, W., &amp; Exner, C. (2011). Living with acquired brain injury: Self-concept as mediating variable in the adjustment process.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42–63. </w:t>
      </w:r>
      <w:hyperlink r:id="rId1504" w:history="1">
        <w:r w:rsidRPr="00600FC7">
          <w:rPr>
            <w:rFonts w:ascii="Times New Roman" w:eastAsia="Times New Roman" w:hAnsi="Times New Roman" w:cs="Times New Roman"/>
            <w:color w:val="0000FF"/>
            <w:sz w:val="24"/>
            <w:szCs w:val="24"/>
            <w:u w:val="single"/>
          </w:rPr>
          <w:t>https://doi.org/10.1080/09602011.2010.525947</w:t>
        </w:r>
      </w:hyperlink>
    </w:p>
    <w:p w14:paraId="766327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Dogan, I., Saß, C., Mirzazade, S., Kleiman, A., Werner, C. J., Pohl, A., Schiefer, J., Binkofski, F., Schulz, J. B., Shah, N. J., &amp; Reetz, K. (2014). Neural correlates of impaired emotion processing in manifest Huntington’s disease. </w:t>
      </w:r>
      <w:r w:rsidRPr="00600FC7">
        <w:rPr>
          <w:rFonts w:ascii="Times New Roman" w:eastAsia="Times New Roman" w:hAnsi="Times New Roman" w:cs="Times New Roman"/>
          <w:i/>
          <w:iCs/>
          <w:sz w:val="24"/>
          <w:szCs w:val="24"/>
        </w:rPr>
        <w:t>Social Cognitive and Affective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(5), 671–680. </w:t>
      </w:r>
      <w:hyperlink r:id="rId1505" w:history="1">
        <w:r w:rsidRPr="00600FC7">
          <w:rPr>
            <w:rFonts w:ascii="Times New Roman" w:eastAsia="Times New Roman" w:hAnsi="Times New Roman" w:cs="Times New Roman"/>
            <w:color w:val="0000FF"/>
            <w:sz w:val="24"/>
            <w:szCs w:val="24"/>
            <w:u w:val="single"/>
          </w:rPr>
          <w:t>https://doi.org/10.1093/scan/nst029</w:t>
        </w:r>
      </w:hyperlink>
    </w:p>
    <w:p w14:paraId="54ED94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Doganavsargil‐Baysal, O., Cinemre, B., Aksoy, U. M., Akbas, H., Metin, O., Fettahoglu, C., Gokmen, Z., &amp; Davran, F. (2013). Levels of TNF-α, soluble TNF receptors (sTNFR1, sTNFR2), and cognition in bipolar disorder. </w:t>
      </w:r>
      <w:r w:rsidRPr="00600FC7">
        <w:rPr>
          <w:rFonts w:ascii="Times New Roman" w:eastAsia="Times New Roman" w:hAnsi="Times New Roman" w:cs="Times New Roman"/>
          <w:i/>
          <w:iCs/>
          <w:sz w:val="24"/>
          <w:szCs w:val="24"/>
        </w:rPr>
        <w:t>Human Psychopharmacology: Clinical and Experimental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160–167. </w:t>
      </w:r>
      <w:hyperlink r:id="rId1506" w:history="1">
        <w:r w:rsidRPr="00600FC7">
          <w:rPr>
            <w:rFonts w:ascii="Times New Roman" w:eastAsia="Times New Roman" w:hAnsi="Times New Roman" w:cs="Times New Roman"/>
            <w:color w:val="0000FF"/>
            <w:sz w:val="24"/>
            <w:szCs w:val="24"/>
            <w:u w:val="single"/>
          </w:rPr>
          <w:t>https://doi.org/10.1002/hup.2301</w:t>
        </w:r>
      </w:hyperlink>
    </w:p>
    <w:p w14:paraId="39654E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Doi, H., Koyano, S., Miyatake, S., Matsumoto, N., Kameda, T., Tomita, A., Miyaji, Y., Suzuki, Y., Sawaishi, Y., &amp; Kuroiwa, Y. (2010). Siblings with the adult-onset slowly progressive type of pantothenate kinase-associated neurodegeneration and a novel mutation, Ile346Ser, in PANK2: Clinical features and 99mTc-ECD brain perfusion SPECT findings.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290</w:t>
      </w:r>
      <w:r w:rsidRPr="00600FC7">
        <w:rPr>
          <w:rFonts w:ascii="Times New Roman" w:eastAsia="Times New Roman" w:hAnsi="Times New Roman" w:cs="Times New Roman"/>
          <w:sz w:val="24"/>
          <w:szCs w:val="24"/>
        </w:rPr>
        <w:t xml:space="preserve">(1–2), 172–176. </w:t>
      </w:r>
      <w:hyperlink r:id="rId1507" w:history="1">
        <w:r w:rsidRPr="00600FC7">
          <w:rPr>
            <w:rFonts w:ascii="Times New Roman" w:eastAsia="Times New Roman" w:hAnsi="Times New Roman" w:cs="Times New Roman"/>
            <w:color w:val="0000FF"/>
            <w:sz w:val="24"/>
            <w:szCs w:val="24"/>
            <w:u w:val="single"/>
          </w:rPr>
          <w:t>https://doi.org/10.1016/j.jns.2009.11.008</w:t>
        </w:r>
      </w:hyperlink>
    </w:p>
    <w:p w14:paraId="7E818A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Doiseau, F., &amp; Isingrini, M. (2005). Updating Information in Verbal Working Memory and Executive Functioning. </w:t>
      </w:r>
      <w:r w:rsidRPr="00600FC7">
        <w:rPr>
          <w:rFonts w:ascii="Times New Roman" w:eastAsia="Times New Roman" w:hAnsi="Times New Roman" w:cs="Times New Roman"/>
          <w:i/>
          <w:iCs/>
          <w:sz w:val="24"/>
          <w:szCs w:val="24"/>
        </w:rPr>
        <w:t>Psychological Reports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96</w:t>
      </w:r>
      <w:r w:rsidRPr="00600FC7">
        <w:rPr>
          <w:rFonts w:ascii="Times New Roman" w:eastAsia="Times New Roman" w:hAnsi="Times New Roman" w:cs="Times New Roman"/>
          <w:sz w:val="24"/>
          <w:szCs w:val="24"/>
        </w:rPr>
        <w:t xml:space="preserve">(1), 67–76. </w:t>
      </w:r>
      <w:hyperlink r:id="rId1508" w:history="1">
        <w:r w:rsidRPr="00600FC7">
          <w:rPr>
            <w:rFonts w:ascii="Times New Roman" w:eastAsia="Times New Roman" w:hAnsi="Times New Roman" w:cs="Times New Roman"/>
            <w:color w:val="0000FF"/>
            <w:sz w:val="24"/>
            <w:szCs w:val="24"/>
            <w:u w:val="single"/>
          </w:rPr>
          <w:t>https://doi.org/10.2466/PR0.96.1.67-76</w:t>
        </w:r>
      </w:hyperlink>
    </w:p>
    <w:p w14:paraId="4AA455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Dolan, M. (2012). The neuropsychology of prefrontal function in antisocial personality disordered offenders with varying degrees of psychopathy.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(8), 1715–1725. </w:t>
      </w:r>
      <w:hyperlink r:id="rId1509" w:history="1">
        <w:r w:rsidRPr="00600FC7">
          <w:rPr>
            <w:rFonts w:ascii="Times New Roman" w:eastAsia="Times New Roman" w:hAnsi="Times New Roman" w:cs="Times New Roman"/>
            <w:color w:val="0000FF"/>
            <w:sz w:val="24"/>
            <w:szCs w:val="24"/>
            <w:u w:val="single"/>
          </w:rPr>
          <w:t>https://doi.org/10.1017/S0033291711002686</w:t>
        </w:r>
      </w:hyperlink>
    </w:p>
    <w:p w14:paraId="1D6BA81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Dolan, S. L., Bechara, A., &amp; Nathan, P. E. (2008). Executive dysfunction as a risk marker for substance abuse: The role of impulsive personality traits. </w:t>
      </w:r>
      <w:r w:rsidRPr="00600FC7">
        <w:rPr>
          <w:rFonts w:ascii="Times New Roman" w:eastAsia="Times New Roman" w:hAnsi="Times New Roman" w:cs="Times New Roman"/>
          <w:i/>
          <w:iCs/>
          <w:sz w:val="24"/>
          <w:szCs w:val="24"/>
        </w:rPr>
        <w:t>Behavioral Sciences &amp; the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799–822. </w:t>
      </w:r>
      <w:hyperlink r:id="rId1510" w:history="1">
        <w:r w:rsidRPr="00600FC7">
          <w:rPr>
            <w:rFonts w:ascii="Times New Roman" w:eastAsia="Times New Roman" w:hAnsi="Times New Roman" w:cs="Times New Roman"/>
            <w:color w:val="0000FF"/>
            <w:sz w:val="24"/>
            <w:szCs w:val="24"/>
            <w:u w:val="single"/>
          </w:rPr>
          <w:t>https://doi.org/10.1002/bsl.845</w:t>
        </w:r>
      </w:hyperlink>
    </w:p>
    <w:p w14:paraId="461BD2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Dolan, S. L., Sacco, K. A., Termine, A., Seyal, A. A., Dudas, M. M., Vessicchio, J. C., Wexler, B. E., &amp; George, T. P. (2004). Neuropsychological deficits are associated with smoking cessation treatment failure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(2–3), 263–275. </w:t>
      </w:r>
      <w:hyperlink r:id="rId1511" w:history="1">
        <w:r w:rsidRPr="00600FC7">
          <w:rPr>
            <w:rFonts w:ascii="Times New Roman" w:eastAsia="Times New Roman" w:hAnsi="Times New Roman" w:cs="Times New Roman"/>
            <w:color w:val="0000FF"/>
            <w:sz w:val="24"/>
            <w:szCs w:val="24"/>
            <w:u w:val="single"/>
          </w:rPr>
          <w:t>https://doi.org/10.1016/j.schres.2004.01.006</w:t>
        </w:r>
      </w:hyperlink>
    </w:p>
    <w:p w14:paraId="345B943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Domahs, F., Benke, T., &amp; Delazer, M. (2011). A case of “task-switching acalculia.”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24–40. </w:t>
      </w:r>
      <w:hyperlink r:id="rId1512" w:history="1">
        <w:r w:rsidRPr="00600FC7">
          <w:rPr>
            <w:rFonts w:ascii="Times New Roman" w:eastAsia="Times New Roman" w:hAnsi="Times New Roman" w:cs="Times New Roman"/>
            <w:color w:val="0000FF"/>
            <w:sz w:val="24"/>
            <w:szCs w:val="24"/>
            <w:u w:val="single"/>
          </w:rPr>
          <w:t>https://doi.org/10.1080/13554794.2010.487829</w:t>
        </w:r>
      </w:hyperlink>
    </w:p>
    <w:p w14:paraId="3851E9D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Domellöf, M. E., Ekman, U., Forsgren, L., &amp; Elgh, E. (2015). Cognitive function in the early phase of Parkinson’s disease, a five‐year follow‐up.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132</w:t>
      </w:r>
      <w:r w:rsidRPr="00600FC7">
        <w:rPr>
          <w:rFonts w:ascii="Times New Roman" w:eastAsia="Times New Roman" w:hAnsi="Times New Roman" w:cs="Times New Roman"/>
          <w:sz w:val="24"/>
          <w:szCs w:val="24"/>
        </w:rPr>
        <w:t xml:space="preserve">(2), 79–88. </w:t>
      </w:r>
      <w:hyperlink r:id="rId1513" w:history="1">
        <w:r w:rsidRPr="00600FC7">
          <w:rPr>
            <w:rFonts w:ascii="Times New Roman" w:eastAsia="Times New Roman" w:hAnsi="Times New Roman" w:cs="Times New Roman"/>
            <w:color w:val="0000FF"/>
            <w:sz w:val="24"/>
            <w:szCs w:val="24"/>
            <w:u w:val="single"/>
          </w:rPr>
          <w:t>https://doi.org/10.1111/ane.12375</w:t>
        </w:r>
      </w:hyperlink>
    </w:p>
    <w:p w14:paraId="398460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Domenech, P., Rheims, S., &amp; Koechlin, E. (2020). Neural mechanisms resolving exploitation-exploration dilemmas in the medial prefrontal cortex. </w:t>
      </w:r>
      <w:r w:rsidRPr="00600FC7">
        <w:rPr>
          <w:rFonts w:ascii="Times New Roman" w:eastAsia="Times New Roman" w:hAnsi="Times New Roman" w:cs="Times New Roman"/>
          <w:i/>
          <w:iCs/>
          <w:sz w:val="24"/>
          <w:szCs w:val="24"/>
        </w:rPr>
        <w:t>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369</w:t>
      </w:r>
      <w:r w:rsidRPr="00600FC7">
        <w:rPr>
          <w:rFonts w:ascii="Times New Roman" w:eastAsia="Times New Roman" w:hAnsi="Times New Roman" w:cs="Times New Roman"/>
          <w:sz w:val="24"/>
          <w:szCs w:val="24"/>
        </w:rPr>
        <w:t xml:space="preserve">(6507), 1–9. </w:t>
      </w:r>
      <w:hyperlink r:id="rId1514" w:history="1">
        <w:r w:rsidRPr="00600FC7">
          <w:rPr>
            <w:rFonts w:ascii="Times New Roman" w:eastAsia="Times New Roman" w:hAnsi="Times New Roman" w:cs="Times New Roman"/>
            <w:color w:val="0000FF"/>
            <w:sz w:val="24"/>
            <w:szCs w:val="24"/>
            <w:u w:val="single"/>
          </w:rPr>
          <w:t>https://doi.org/10.1126/science.abb0184</w:t>
        </w:r>
      </w:hyperlink>
    </w:p>
    <w:p w14:paraId="268188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Dondaine, T., Robert, G., Péron, J., Grandjean, D., Vérin, M., Drapier, D., &amp; Millet, B. (2014). Biases in facial and vocal emotion recognition in chronic schizophrenia.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w:t>
      </w:r>
    </w:p>
    <w:p w14:paraId="52572C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(1999). Specificity of a malingering formula for the Wisconsin Card Sorting Test. </w:t>
      </w:r>
      <w:r w:rsidRPr="00600FC7">
        <w:rPr>
          <w:rFonts w:ascii="Times New Roman" w:eastAsia="Times New Roman" w:hAnsi="Times New Roman" w:cs="Times New Roman"/>
          <w:i/>
          <w:iCs/>
          <w:sz w:val="24"/>
          <w:szCs w:val="24"/>
        </w:rPr>
        <w:t>Journal of Forensic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w:t>
      </w:r>
      <w:r w:rsidRPr="00600FC7">
        <w:rPr>
          <w:rFonts w:ascii="Times New Roman" w:eastAsia="Times New Roman" w:hAnsi="Times New Roman" w:cs="Times New Roman"/>
          <w:sz w:val="24"/>
          <w:szCs w:val="24"/>
        </w:rPr>
        <w:t xml:space="preserve">(3), 35–42. </w:t>
      </w:r>
      <w:hyperlink r:id="rId1515" w:history="1">
        <w:r w:rsidRPr="00600FC7">
          <w:rPr>
            <w:rFonts w:ascii="Times New Roman" w:eastAsia="Times New Roman" w:hAnsi="Times New Roman" w:cs="Times New Roman"/>
            <w:color w:val="0000FF"/>
            <w:sz w:val="24"/>
            <w:szCs w:val="24"/>
            <w:u w:val="single"/>
          </w:rPr>
          <w:t>https://doi.org/10.1300/J151v01n03_03</w:t>
        </w:r>
      </w:hyperlink>
    </w:p>
    <w:p w14:paraId="755795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(2012a). Forensic considerations. In </w:t>
      </w:r>
      <w:r w:rsidRPr="00600FC7">
        <w:rPr>
          <w:rFonts w:ascii="Times New Roman" w:eastAsia="Times New Roman" w:hAnsi="Times New Roman" w:cs="Times New Roman"/>
          <w:i/>
          <w:iCs/>
          <w:sz w:val="24"/>
          <w:szCs w:val="24"/>
        </w:rPr>
        <w:t>Mild traumatic brain injury in children and adolescents: From basic science to clinical management.</w:t>
      </w:r>
      <w:r w:rsidRPr="00600FC7">
        <w:rPr>
          <w:rFonts w:ascii="Times New Roman" w:eastAsia="Times New Roman" w:hAnsi="Times New Roman" w:cs="Times New Roman"/>
          <w:sz w:val="24"/>
          <w:szCs w:val="24"/>
        </w:rPr>
        <w:t xml:space="preserve"> (pp. 374–390). Guilford Press.</w:t>
      </w:r>
    </w:p>
    <w:p w14:paraId="3C018D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(2012b). </w:t>
      </w:r>
      <w:r w:rsidRPr="00600FC7">
        <w:rPr>
          <w:rFonts w:ascii="Times New Roman" w:eastAsia="Times New Roman" w:hAnsi="Times New Roman" w:cs="Times New Roman"/>
          <w:i/>
          <w:iCs/>
          <w:sz w:val="24"/>
          <w:szCs w:val="24"/>
        </w:rPr>
        <w:t>Interpretive confounds in the independent pediatric neuropsychological evaluation.</w:t>
      </w:r>
      <w:r w:rsidRPr="00600FC7">
        <w:rPr>
          <w:rFonts w:ascii="Times New Roman" w:eastAsia="Times New Roman" w:hAnsi="Times New Roman" w:cs="Times New Roman"/>
          <w:sz w:val="24"/>
          <w:szCs w:val="24"/>
        </w:rPr>
        <w:t xml:space="preserve"> (pp. 182–201).</w:t>
      </w:r>
    </w:p>
    <w:p w14:paraId="22AE7C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(2015). Pediatric forensic neuropsychological evaluations. In </w:t>
      </w:r>
      <w:r w:rsidRPr="00600FC7">
        <w:rPr>
          <w:rFonts w:ascii="Times New Roman" w:eastAsia="Times New Roman" w:hAnsi="Times New Roman" w:cs="Times New Roman"/>
          <w:i/>
          <w:iCs/>
          <w:sz w:val="24"/>
          <w:szCs w:val="24"/>
        </w:rPr>
        <w:t>Validity testing in child and adolescent assessment: Evaluating exaggeration, feigning, and noncredible effort.</w:t>
      </w:r>
      <w:r w:rsidRPr="00600FC7">
        <w:rPr>
          <w:rFonts w:ascii="Times New Roman" w:eastAsia="Times New Roman" w:hAnsi="Times New Roman" w:cs="Times New Roman"/>
          <w:sz w:val="24"/>
          <w:szCs w:val="24"/>
        </w:rPr>
        <w:t xml:space="preserve"> (pp. 250–271). Guilford Press.</w:t>
      </w:r>
    </w:p>
    <w:p w14:paraId="1AF334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&amp; Larsen, T. (2012). Clinical utility of the Tower of London—Drexel University, Second Edition (TOL DX ) after adolescent traumatic brain injury. </w:t>
      </w:r>
      <w:r w:rsidRPr="00600FC7">
        <w:rPr>
          <w:rFonts w:ascii="Times New Roman" w:eastAsia="Times New Roman" w:hAnsi="Times New Roman" w:cs="Times New Roman"/>
          <w:i/>
          <w:iCs/>
          <w:sz w:val="24"/>
          <w:szCs w:val="24"/>
        </w:rPr>
        <w:t>Developmental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(4), 333–342.</w:t>
      </w:r>
    </w:p>
    <w:p w14:paraId="7F23799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Donders, J., Oh, Y. I., &amp; Gable, J. (2015). Self- and informant ratings of executive functioning after mild traumatic brain injury. </w:t>
      </w:r>
      <w:r w:rsidRPr="00600FC7">
        <w:rPr>
          <w:rFonts w:ascii="Times New Roman" w:eastAsia="Times New Roman" w:hAnsi="Times New Roman" w:cs="Times New Roman"/>
          <w:i/>
          <w:iCs/>
          <w:sz w:val="24"/>
          <w:szCs w:val="24"/>
        </w:rPr>
        <w:t>The Journal of Head Trauma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e30–e39. </w:t>
      </w:r>
      <w:hyperlink r:id="rId1516" w:history="1">
        <w:r w:rsidRPr="00600FC7">
          <w:rPr>
            <w:rFonts w:ascii="Times New Roman" w:eastAsia="Times New Roman" w:hAnsi="Times New Roman" w:cs="Times New Roman"/>
            <w:color w:val="0000FF"/>
            <w:sz w:val="24"/>
            <w:szCs w:val="24"/>
            <w:u w:val="single"/>
          </w:rPr>
          <w:t>https://doi.org/10.1097/HTR.0000000000000120</w:t>
        </w:r>
      </w:hyperlink>
    </w:p>
    <w:p w14:paraId="0EFC07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Donders, J., &amp; Strong, C.-A. H. (2016). General principles of neuropsychological report preparation. In </w:t>
      </w:r>
      <w:r w:rsidRPr="00600FC7">
        <w:rPr>
          <w:rFonts w:ascii="Times New Roman" w:eastAsia="Times New Roman" w:hAnsi="Times New Roman" w:cs="Times New Roman"/>
          <w:i/>
          <w:iCs/>
          <w:sz w:val="24"/>
          <w:szCs w:val="24"/>
        </w:rPr>
        <w:t>Neuropsychological report writing.</w:t>
      </w:r>
      <w:r w:rsidRPr="00600FC7">
        <w:rPr>
          <w:rFonts w:ascii="Times New Roman" w:eastAsia="Times New Roman" w:hAnsi="Times New Roman" w:cs="Times New Roman"/>
          <w:sz w:val="24"/>
          <w:szCs w:val="24"/>
        </w:rPr>
        <w:t xml:space="preserve"> (pp. 1–29). Guilford Press.</w:t>
      </w:r>
    </w:p>
    <w:p w14:paraId="75B1A5A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Dong, H.-S., Han, C., Jeon, S. W., Yoon, S., Jeong, H.-G., Huh, Y. J., Pae, C.-U., Patkar, A. A., &amp; Steffens, D. C. (2016). Characteristics of neurocognitive functions in mild cognitive impairment with depression.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(7), 1181–1190. </w:t>
      </w:r>
      <w:hyperlink r:id="rId1517" w:history="1">
        <w:r w:rsidRPr="00600FC7">
          <w:rPr>
            <w:rFonts w:ascii="Times New Roman" w:eastAsia="Times New Roman" w:hAnsi="Times New Roman" w:cs="Times New Roman"/>
            <w:color w:val="0000FF"/>
            <w:sz w:val="24"/>
            <w:szCs w:val="24"/>
            <w:u w:val="single"/>
          </w:rPr>
          <w:t>https://doi.org/10.1017/S1041610216000314</w:t>
        </w:r>
      </w:hyperlink>
    </w:p>
    <w:p w14:paraId="3B2C37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Dong, Y., &amp; Xie, Z. (2014). Contributions of second language proficiency and interpreting experience to cognitive control differences among young adult bilinguals. </w:t>
      </w:r>
      <w:r w:rsidRPr="00600FC7">
        <w:rPr>
          <w:rFonts w:ascii="Times New Roman" w:eastAsia="Times New Roman" w:hAnsi="Times New Roman" w:cs="Times New Roman"/>
          <w:i/>
          <w:iCs/>
          <w:sz w:val="24"/>
          <w:szCs w:val="24"/>
        </w:rPr>
        <w:t>Journal of Cognitive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(5), 506–519. </w:t>
      </w:r>
      <w:hyperlink r:id="rId1518" w:history="1">
        <w:r w:rsidRPr="00600FC7">
          <w:rPr>
            <w:rFonts w:ascii="Times New Roman" w:eastAsia="Times New Roman" w:hAnsi="Times New Roman" w:cs="Times New Roman"/>
            <w:color w:val="0000FF"/>
            <w:sz w:val="24"/>
            <w:szCs w:val="24"/>
            <w:u w:val="single"/>
          </w:rPr>
          <w:t>https://doi.org/10.1080/20445911.2014.924951</w:t>
        </w:r>
      </w:hyperlink>
    </w:p>
    <w:p w14:paraId="2A60E38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Doniger, G. M., Jo, M.-Y., Simon, E. S., &amp; Crystal, H. A. (2009). Computerized cognitive assessment of mild cognitive impairment in urban African Americans.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(5), 396–403. </w:t>
      </w:r>
      <w:hyperlink r:id="rId1519" w:history="1">
        <w:r w:rsidRPr="00600FC7">
          <w:rPr>
            <w:rFonts w:ascii="Times New Roman" w:eastAsia="Times New Roman" w:hAnsi="Times New Roman" w:cs="Times New Roman"/>
            <w:color w:val="0000FF"/>
            <w:sz w:val="24"/>
            <w:szCs w:val="24"/>
            <w:u w:val="single"/>
          </w:rPr>
          <w:t>https://doi.org/10.1177/1533317509342982</w:t>
        </w:r>
      </w:hyperlink>
    </w:p>
    <w:p w14:paraId="620694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Donix, M., Burggren, A. C., Scharf, M., Marschner, K., Suthana, N. A., Siddarth, P., Krupa, A. K., Jones, M., Martin-Harris, L., Ercoli, L. M., Miller, K. J., Werner, A., von Kummer, R., Sauer, C., Small, G. W., Holthoff, V. A., &amp; Bookheimer, S. Y. (2013). APOE associated hemispheric asymmetry of entorhinal cortical thickness in aging and Alzheimer’s disease.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214</w:t>
      </w:r>
      <w:r w:rsidRPr="00600FC7">
        <w:rPr>
          <w:rFonts w:ascii="Times New Roman" w:eastAsia="Times New Roman" w:hAnsi="Times New Roman" w:cs="Times New Roman"/>
          <w:sz w:val="24"/>
          <w:szCs w:val="24"/>
        </w:rPr>
        <w:t xml:space="preserve">(3), 212–220. </w:t>
      </w:r>
      <w:hyperlink r:id="rId1520" w:history="1">
        <w:r w:rsidRPr="00600FC7">
          <w:rPr>
            <w:rFonts w:ascii="Times New Roman" w:eastAsia="Times New Roman" w:hAnsi="Times New Roman" w:cs="Times New Roman"/>
            <w:color w:val="0000FF"/>
            <w:sz w:val="24"/>
            <w:szCs w:val="24"/>
            <w:u w:val="single"/>
          </w:rPr>
          <w:t>https://doi.org/10.1016/j.pscychresns.2013.09.006</w:t>
        </w:r>
      </w:hyperlink>
    </w:p>
    <w:p w14:paraId="316E86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Donix, M., Burggren, A. C., Suthana, N. A., Siddarth, P., Ekstrom, A. D., Krupa, A. K., Jones, M., Martin-Harris, L., Ercoli, L. M., Miller, K. J., Small, G. W., &amp; Bookheimer, S. Y. (2010). Family history of Alzheimer’s disease and hippocampal structure in healthy people.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167</w:t>
      </w:r>
      <w:r w:rsidRPr="00600FC7">
        <w:rPr>
          <w:rFonts w:ascii="Times New Roman" w:eastAsia="Times New Roman" w:hAnsi="Times New Roman" w:cs="Times New Roman"/>
          <w:sz w:val="24"/>
          <w:szCs w:val="24"/>
        </w:rPr>
        <w:t xml:space="preserve">(11), 1399–1406. </w:t>
      </w:r>
      <w:hyperlink r:id="rId1521" w:history="1">
        <w:r w:rsidRPr="00600FC7">
          <w:rPr>
            <w:rFonts w:ascii="Times New Roman" w:eastAsia="Times New Roman" w:hAnsi="Times New Roman" w:cs="Times New Roman"/>
            <w:color w:val="0000FF"/>
            <w:sz w:val="24"/>
            <w:szCs w:val="24"/>
            <w:u w:val="single"/>
          </w:rPr>
          <w:t>https://doi.org/10.1176/appi.ajp.2010.09111575</w:t>
        </w:r>
      </w:hyperlink>
    </w:p>
    <w:p w14:paraId="78301F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Donnell, A., Belanger, H., &amp; Vanderploeg, R. (2011). Implications of psychometric measurement for neuropsychological interpretation.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(7), 1097–1118. </w:t>
      </w:r>
      <w:hyperlink r:id="rId1522" w:history="1">
        <w:r w:rsidRPr="00600FC7">
          <w:rPr>
            <w:rFonts w:ascii="Times New Roman" w:eastAsia="Times New Roman" w:hAnsi="Times New Roman" w:cs="Times New Roman"/>
            <w:color w:val="0000FF"/>
            <w:sz w:val="24"/>
            <w:szCs w:val="24"/>
            <w:u w:val="single"/>
          </w:rPr>
          <w:t>https://doi.org/10.1080/13854046.2011.599819</w:t>
        </w:r>
      </w:hyperlink>
    </w:p>
    <w:p w14:paraId="693C82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Donoghue, K., &amp; Doody, G. A. (2012). Effect of illegal substance use on cognitive function in individuals with a psychotic disorder, a review and meta-analysis.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785–801. </w:t>
      </w:r>
      <w:hyperlink r:id="rId1523" w:history="1">
        <w:r w:rsidRPr="00600FC7">
          <w:rPr>
            <w:rFonts w:ascii="Times New Roman" w:eastAsia="Times New Roman" w:hAnsi="Times New Roman" w:cs="Times New Roman"/>
            <w:color w:val="0000FF"/>
            <w:sz w:val="24"/>
            <w:szCs w:val="24"/>
            <w:u w:val="single"/>
          </w:rPr>
          <w:t>https://doi.org/10.1037/a0029685</w:t>
        </w:r>
      </w:hyperlink>
    </w:p>
    <w:p w14:paraId="515AA6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Donohoe, G., Dillon, R., Hargreaves, A., Mothersill, O., Castorina, M., Furey, E., Fagan, A. J., Meaney, J. F., Fitzmaurice, B., Hallahan, B., McDonald, C., Wykes, T., Corvin, A., &amp; Robertson, I. H. (2018). Effectiveness of a low support, remotely accessible, cognitive remediation training programme for chronic psychosis: Cognitive, functional and cortical outcomes from a single blind randomised controlled trial.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(5), 751–764. </w:t>
      </w:r>
      <w:hyperlink r:id="rId1524" w:history="1">
        <w:r w:rsidRPr="00600FC7">
          <w:rPr>
            <w:rFonts w:ascii="Times New Roman" w:eastAsia="Times New Roman" w:hAnsi="Times New Roman" w:cs="Times New Roman"/>
            <w:color w:val="0000FF"/>
            <w:sz w:val="24"/>
            <w:szCs w:val="24"/>
            <w:u w:val="single"/>
          </w:rPr>
          <w:t>https://doi.org/10.1017/S0033291717001982</w:t>
        </w:r>
      </w:hyperlink>
    </w:p>
    <w:p w14:paraId="1DBB18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Donohoe, G., Frodl, T., Morris, D., Spoletini, I., Cannon, D. M., Cherubini, A., Caltagirone, C., Bossù, P., McDonald, C., Gill, M., Corvin, A. P., &amp; Spalletta, G. (2010). Reduced occipital and prefrontal brain volumes in dysbindin-associated schizophrenia.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(2), 368–373. </w:t>
      </w:r>
      <w:hyperlink r:id="rId1525" w:history="1">
        <w:r w:rsidRPr="00600FC7">
          <w:rPr>
            <w:rFonts w:ascii="Times New Roman" w:eastAsia="Times New Roman" w:hAnsi="Times New Roman" w:cs="Times New Roman"/>
            <w:color w:val="0000FF"/>
            <w:sz w:val="24"/>
            <w:szCs w:val="24"/>
            <w:u w:val="single"/>
          </w:rPr>
          <w:t>https://doi.org/10.1038/npp.2009.140</w:t>
        </w:r>
      </w:hyperlink>
    </w:p>
    <w:p w14:paraId="2D991B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Donohoe, G., &amp; Robertson, I. H. (2003). Can specific deficits in executive functioning explain the negative symptoms of schizophrenia? A review.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97–108. </w:t>
      </w:r>
      <w:hyperlink r:id="rId1526" w:history="1">
        <w:r w:rsidRPr="00600FC7">
          <w:rPr>
            <w:rFonts w:ascii="Times New Roman" w:eastAsia="Times New Roman" w:hAnsi="Times New Roman" w:cs="Times New Roman"/>
            <w:color w:val="0000FF"/>
            <w:sz w:val="24"/>
            <w:szCs w:val="24"/>
            <w:u w:val="single"/>
          </w:rPr>
          <w:t>https://doi.org/10.1076/neur.9.2.97.15075</w:t>
        </w:r>
      </w:hyperlink>
    </w:p>
    <w:p w14:paraId="65D320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Donovan, N. J. ;, Heaton, S. C. ;, Kimberg, C. I. ;, Wen, P.-S., Waid-Ebbs, J. Ka. ;, Coster, W. S., Floris;, &amp; Velozo, C. A. (2011). Conceptualizing functional cognition in traumatic brain injury rehabilitation.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(4), 348–364.</w:t>
      </w:r>
    </w:p>
    <w:p w14:paraId="6FA345D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Donovan, N. J., Kendall, D. L., Moore, A. B., Rosenbek, J. C., &amp; Rothi, L. J. G. (2007). Why Consider Impaired Social Language Usage in a Case of Corticobasal Degeneration?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190–203. </w:t>
      </w:r>
      <w:hyperlink r:id="rId1527" w:history="1">
        <w:r w:rsidRPr="00600FC7">
          <w:rPr>
            <w:rFonts w:ascii="Times New Roman" w:eastAsia="Times New Roman" w:hAnsi="Times New Roman" w:cs="Times New Roman"/>
            <w:color w:val="0000FF"/>
            <w:sz w:val="24"/>
            <w:szCs w:val="24"/>
            <w:u w:val="single"/>
          </w:rPr>
          <w:t>https://doi.org/10.1080/13854040600634584</w:t>
        </w:r>
      </w:hyperlink>
    </w:p>
    <w:p w14:paraId="65BC35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Donovan Westby, M., &amp; Ferraro, F. R. (1999). Frontal lobe deficits in domestic violence offenders. </w:t>
      </w:r>
      <w:r w:rsidRPr="00600FC7">
        <w:rPr>
          <w:rFonts w:ascii="Times New Roman" w:eastAsia="Times New Roman" w:hAnsi="Times New Roman" w:cs="Times New Roman"/>
          <w:i/>
          <w:iCs/>
          <w:sz w:val="24"/>
          <w:szCs w:val="24"/>
        </w:rPr>
        <w:t>Genetic, Social, and General Psychology Monographs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125</w:t>
      </w:r>
      <w:r w:rsidRPr="00600FC7">
        <w:rPr>
          <w:rFonts w:ascii="Times New Roman" w:eastAsia="Times New Roman" w:hAnsi="Times New Roman" w:cs="Times New Roman"/>
          <w:sz w:val="24"/>
          <w:szCs w:val="24"/>
        </w:rPr>
        <w:t>(1), 71–102.</w:t>
      </w:r>
    </w:p>
    <w:p w14:paraId="006535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Dopper, E. G. P., Rombouts, S. A. R. B., Jiskoot, L. C., den Heijer, T., de Graaf, J. R. A., de Koning, I., Hammerschlag, A. R., Seelaar, H., Seeley, W. W., Veer, I. M., van Buchem, M. A., Rizzu, P., &amp; van Swieten, J. C. (2013). Structural and functional brain connectivity in presymptomatic familial frontotemporal dementia.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(9), 814–823. </w:t>
      </w:r>
      <w:hyperlink r:id="rId1528" w:history="1">
        <w:r w:rsidRPr="00600FC7">
          <w:rPr>
            <w:rFonts w:ascii="Times New Roman" w:eastAsia="Times New Roman" w:hAnsi="Times New Roman" w:cs="Times New Roman"/>
            <w:color w:val="0000FF"/>
            <w:sz w:val="24"/>
            <w:szCs w:val="24"/>
            <w:u w:val="single"/>
          </w:rPr>
          <w:t>https://doi.org/10.1212/WNL.0b013e31828407bc</w:t>
        </w:r>
      </w:hyperlink>
    </w:p>
    <w:p w14:paraId="45C233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Dopper, E. G. P., Rombouts, S. A. R. B., Jiskoot, L. C., den Heijer, T., de Graaf, J. R. A., de Koning, I., Hammerschlag, A. R., Seelaar, H., Seeley, W. W., Veer, I. M., van Buchem, M. A., Rizzu, P., &amp; van Swieten, J. C. (2014). Structural and functional brain connectivity in presymptomatic familial frontotemporal dementia.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(2), e19–e26. </w:t>
      </w:r>
      <w:hyperlink r:id="rId1529" w:history="1">
        <w:r w:rsidRPr="00600FC7">
          <w:rPr>
            <w:rFonts w:ascii="Times New Roman" w:eastAsia="Times New Roman" w:hAnsi="Times New Roman" w:cs="Times New Roman"/>
            <w:color w:val="0000FF"/>
            <w:sz w:val="24"/>
            <w:szCs w:val="24"/>
            <w:u w:val="single"/>
          </w:rPr>
          <w:t>https://doi.org/10.1212/WNL.0000000000000583</w:t>
        </w:r>
      </w:hyperlink>
    </w:p>
    <w:p w14:paraId="4645A5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Doris, E. P., Behzadi, A., Kish, S. J., Houle, S., Wilson, A. A., Rusjan, P. M., Tong, J., Selby, P., George, T. P., McCluskey, T., &amp; Boileau, I. (2014). Heightened D₃ dopamine receptor </w:t>
      </w:r>
      <w:r w:rsidRPr="00600FC7">
        <w:rPr>
          <w:rFonts w:ascii="Times New Roman" w:eastAsia="Times New Roman" w:hAnsi="Times New Roman" w:cs="Times New Roman"/>
          <w:sz w:val="24"/>
          <w:szCs w:val="24"/>
        </w:rPr>
        <w:lastRenderedPageBreak/>
        <w:t>levels in cocaine dependence and contributions to the addiction behavioral phenotype: A positron emission tomography study with [</w:t>
      </w:r>
      <w:r w:rsidRPr="00600FC7">
        <w:rPr>
          <w:rFonts w:ascii="Times New Roman" w:eastAsia="Times New Roman" w:hAnsi="Times New Roman" w:cs="Times New Roman"/>
          <w:sz w:val="24"/>
          <w:szCs w:val="24"/>
          <w:vertAlign w:val="superscript"/>
        </w:rPr>
        <w:t>11</w:t>
      </w:r>
      <w:r w:rsidRPr="00600FC7">
        <w:rPr>
          <w:rFonts w:ascii="Times New Roman" w:eastAsia="Times New Roman" w:hAnsi="Times New Roman" w:cs="Times New Roman"/>
          <w:sz w:val="24"/>
          <w:szCs w:val="24"/>
        </w:rPr>
        <w:t xml:space="preserve"> C]-(+)-PHNO.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(2), 311–318.</w:t>
      </w:r>
    </w:p>
    <w:p w14:paraId="78F0E1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Passos, G. R., Fernández, A. C., Vasques, A. M., Martins, W. A., &amp; Palmini, A. (2016). Mother and daughter with adolescent-onset severe frontal lobe dysfunction and epilepsy. </w:t>
      </w:r>
      <w:r w:rsidRPr="00600FC7">
        <w:rPr>
          <w:rFonts w:ascii="Times New Roman" w:eastAsia="Times New Roman" w:hAnsi="Times New Roman" w:cs="Times New Roman"/>
          <w:i/>
          <w:iCs/>
          <w:sz w:val="24"/>
          <w:szCs w:val="24"/>
        </w:rPr>
        <w:t>Dementia &amp; 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238–243. </w:t>
      </w:r>
      <w:hyperlink r:id="rId1530" w:history="1">
        <w:r w:rsidRPr="00600FC7">
          <w:rPr>
            <w:rFonts w:ascii="Times New Roman" w:eastAsia="Times New Roman" w:hAnsi="Times New Roman" w:cs="Times New Roman"/>
            <w:color w:val="0000FF"/>
            <w:sz w:val="24"/>
            <w:szCs w:val="24"/>
            <w:u w:val="single"/>
          </w:rPr>
          <w:t>https://doi.org/10.1590/S1980-5764-2016DN1003011</w:t>
        </w:r>
      </w:hyperlink>
    </w:p>
    <w:p w14:paraId="4BFAFED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Santos, C. M., Balardin, J. B., Irigaray, T. Q., Schröder, N., Rieder, C. R. M., &amp; Bromberg, E. (2010). Incidental encoding strategies did not improve contextual memory in Parkinson’s disease patients. </w:t>
      </w:r>
      <w:r w:rsidRPr="00600FC7">
        <w:rPr>
          <w:rFonts w:ascii="Times New Roman" w:eastAsia="Times New Roman" w:hAnsi="Times New Roman" w:cs="Times New Roman"/>
          <w:i/>
          <w:iCs/>
          <w:sz w:val="24"/>
          <w:szCs w:val="24"/>
        </w:rPr>
        <w:t>Neurorehabilitation and Neural Repair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(5), 450–456. </w:t>
      </w:r>
      <w:hyperlink r:id="rId1531" w:history="1">
        <w:r w:rsidRPr="00600FC7">
          <w:rPr>
            <w:rFonts w:ascii="Times New Roman" w:eastAsia="Times New Roman" w:hAnsi="Times New Roman" w:cs="Times New Roman"/>
            <w:color w:val="0000FF"/>
            <w:sz w:val="24"/>
            <w:szCs w:val="24"/>
            <w:u w:val="single"/>
          </w:rPr>
          <w:t>https://doi.org/10.1177/1545968309355987</w:t>
        </w:r>
      </w:hyperlink>
    </w:p>
    <w:p w14:paraId="771079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Santos Rigoni, M., da Silva Oliveira, M., de Moraes, J. F. D., &amp; Zambom, L. F. (2007). O consumo de maconha na adolescência e as conseqüências nas funções cognitivas. [The use of cannabis in adolescence and its effects in the cognitive functions.]. </w:t>
      </w:r>
      <w:r w:rsidRPr="00600FC7">
        <w:rPr>
          <w:rFonts w:ascii="Times New Roman" w:eastAsia="Times New Roman" w:hAnsi="Times New Roman" w:cs="Times New Roman"/>
          <w:i/>
          <w:iCs/>
          <w:sz w:val="24"/>
          <w:szCs w:val="24"/>
        </w:rPr>
        <w:t>Psicologia Em Estudo</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(2), 267–275. </w:t>
      </w:r>
      <w:hyperlink r:id="rId1532" w:history="1">
        <w:r w:rsidRPr="00600FC7">
          <w:rPr>
            <w:rFonts w:ascii="Times New Roman" w:eastAsia="Times New Roman" w:hAnsi="Times New Roman" w:cs="Times New Roman"/>
            <w:color w:val="0000FF"/>
            <w:sz w:val="24"/>
            <w:szCs w:val="24"/>
            <w:u w:val="single"/>
          </w:rPr>
          <w:t>https://doi.org/10.1590/S1413-73722007000200007</w:t>
        </w:r>
      </w:hyperlink>
    </w:p>
    <w:p w14:paraId="4E053D6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Dos Santos Rigoni, M., Irigaray, T. Q., De Moraes, J. F. D., Ferrào, Y., &amp; Da Silva Oliveira, M. (2014). Desempeño neuropsicológico y características sociodemográficas en pacientes alcohólicos en tratamiento. [Neuropsychological performance and demographic characteristics in alcoholic patients in treatment.]. </w:t>
      </w:r>
      <w:r w:rsidRPr="00600FC7">
        <w:rPr>
          <w:rFonts w:ascii="Times New Roman" w:eastAsia="Times New Roman" w:hAnsi="Times New Roman" w:cs="Times New Roman"/>
          <w:i/>
          <w:iCs/>
          <w:sz w:val="24"/>
          <w:szCs w:val="24"/>
        </w:rPr>
        <w:t>Adicciones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221–229. </w:t>
      </w:r>
      <w:hyperlink r:id="rId1533" w:history="1">
        <w:r w:rsidRPr="00600FC7">
          <w:rPr>
            <w:rFonts w:ascii="Times New Roman" w:eastAsia="Times New Roman" w:hAnsi="Times New Roman" w:cs="Times New Roman"/>
            <w:color w:val="0000FF"/>
            <w:sz w:val="24"/>
            <w:szCs w:val="24"/>
            <w:u w:val="single"/>
          </w:rPr>
          <w:t>https://doi.org/10.20882/adicciones.3</w:t>
        </w:r>
      </w:hyperlink>
    </w:p>
    <w:p w14:paraId="3A10E5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Douglas, J. M. (2010). Relation of executive functioning to pragmatic outcome following severe traumatic brain injury. </w:t>
      </w:r>
      <w:r w:rsidRPr="00600FC7">
        <w:rPr>
          <w:rFonts w:ascii="Times New Roman" w:eastAsia="Times New Roman" w:hAnsi="Times New Roman" w:cs="Times New Roman"/>
          <w:i/>
          <w:iCs/>
          <w:sz w:val="24"/>
          <w:szCs w:val="24"/>
        </w:rPr>
        <w:t>Journal of Speech, Language, and Hearing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53</w:t>
      </w:r>
      <w:r w:rsidRPr="00600FC7">
        <w:rPr>
          <w:rFonts w:ascii="Times New Roman" w:eastAsia="Times New Roman" w:hAnsi="Times New Roman" w:cs="Times New Roman"/>
          <w:sz w:val="24"/>
          <w:szCs w:val="24"/>
        </w:rPr>
        <w:t xml:space="preserve">(2), 365–382. </w:t>
      </w:r>
      <w:hyperlink r:id="rId1534" w:history="1">
        <w:r w:rsidRPr="00600FC7">
          <w:rPr>
            <w:rFonts w:ascii="Times New Roman" w:eastAsia="Times New Roman" w:hAnsi="Times New Roman" w:cs="Times New Roman"/>
            <w:color w:val="0000FF"/>
            <w:sz w:val="24"/>
            <w:szCs w:val="24"/>
            <w:u w:val="single"/>
          </w:rPr>
          <w:t>https://doi.org/10.1044/1092-4388(2009/08-0205)</w:t>
        </w:r>
      </w:hyperlink>
    </w:p>
    <w:p w14:paraId="355411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Doyle, A. E., Ferreira, M. A. R., Sklar, P. B., Lasky‐Su, J., Petty, C., Fusillo, S. J., Seidman, L. J., Willcutt, E. G., Smoller, J. W., Purcell, S., Biederman, J., &amp; Faraone, S. V. (2008). Multivariate genomewide linkage scan of neurocognitive traits and ADHD symptoms: Suggestive linkage to 3q13. </w:t>
      </w:r>
      <w:r w:rsidRPr="00600FC7">
        <w:rPr>
          <w:rFonts w:ascii="Times New Roman" w:eastAsia="Times New Roman" w:hAnsi="Times New Roman" w:cs="Times New Roman"/>
          <w:i/>
          <w:iCs/>
          <w:sz w:val="24"/>
          <w:szCs w:val="24"/>
        </w:rPr>
        <w:t>American Journal of Medical Genetics Part B: Neuropsychiatric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147B</w:t>
      </w:r>
      <w:r w:rsidRPr="00600FC7">
        <w:rPr>
          <w:rFonts w:ascii="Times New Roman" w:eastAsia="Times New Roman" w:hAnsi="Times New Roman" w:cs="Times New Roman"/>
          <w:sz w:val="24"/>
          <w:szCs w:val="24"/>
        </w:rPr>
        <w:t xml:space="preserve">(8), 1399–1411. </w:t>
      </w:r>
      <w:hyperlink r:id="rId1535" w:history="1">
        <w:r w:rsidRPr="00600FC7">
          <w:rPr>
            <w:rFonts w:ascii="Times New Roman" w:eastAsia="Times New Roman" w:hAnsi="Times New Roman" w:cs="Times New Roman"/>
            <w:color w:val="0000FF"/>
            <w:sz w:val="24"/>
            <w:szCs w:val="24"/>
            <w:u w:val="single"/>
          </w:rPr>
          <w:t>https://doi.org/10.1002/ajmg.b.30868</w:t>
        </w:r>
      </w:hyperlink>
    </w:p>
    <w:p w14:paraId="7539A95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Doyle, A. E., Wozniak, J., Wilens, T. E., Henin, A., Seidman, L. J., Petty, C., Fried, R., Gross, L. M., Faraone, S. V., &amp; Biederman, J. (2009). Neurocognitive impairment in unaffected siblings of youth with bipolar disorder.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1253–1263. </w:t>
      </w:r>
      <w:hyperlink r:id="rId1536" w:history="1">
        <w:r w:rsidRPr="00600FC7">
          <w:rPr>
            <w:rFonts w:ascii="Times New Roman" w:eastAsia="Times New Roman" w:hAnsi="Times New Roman" w:cs="Times New Roman"/>
            <w:color w:val="0000FF"/>
            <w:sz w:val="24"/>
            <w:szCs w:val="24"/>
            <w:u w:val="single"/>
          </w:rPr>
          <w:t>https://doi.org/10.1017/S0033291708004832</w:t>
        </w:r>
      </w:hyperlink>
    </w:p>
    <w:p w14:paraId="40238B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Dozier, M. E., Wetherell, J. L., Twamley, E. W., Schiehser, D. M., &amp; Ayers, C. R. (2016). The relationship between age and neurocognitive and daily functioning in adults with hoarding disorder.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(12), 1329–1336. </w:t>
      </w:r>
      <w:hyperlink r:id="rId1537" w:history="1">
        <w:r w:rsidRPr="00600FC7">
          <w:rPr>
            <w:rFonts w:ascii="Times New Roman" w:eastAsia="Times New Roman" w:hAnsi="Times New Roman" w:cs="Times New Roman"/>
            <w:color w:val="0000FF"/>
            <w:sz w:val="24"/>
            <w:szCs w:val="24"/>
            <w:u w:val="single"/>
          </w:rPr>
          <w:t>https://doi.org/10.1002/gps.4438</w:t>
        </w:r>
      </w:hyperlink>
    </w:p>
    <w:p w14:paraId="2EA441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Drag, L. L., Bieliauskas, L. A., Kaszniak, A. W., Bohnen, N. I., &amp; Glisky, E. L. (2009). Source memory and frontal functioning in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399–406. </w:t>
      </w:r>
      <w:hyperlink r:id="rId1538" w:history="1">
        <w:r w:rsidRPr="00600FC7">
          <w:rPr>
            <w:rFonts w:ascii="Times New Roman" w:eastAsia="Times New Roman" w:hAnsi="Times New Roman" w:cs="Times New Roman"/>
            <w:color w:val="0000FF"/>
            <w:sz w:val="24"/>
            <w:szCs w:val="24"/>
            <w:u w:val="single"/>
          </w:rPr>
          <w:t>https://doi.org/10.1017/S1355617709090572</w:t>
        </w:r>
      </w:hyperlink>
    </w:p>
    <w:p w14:paraId="6E7DF3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Drake, R. J., Day, C. J., Picucci, R., Warburton, J., Larkin, W., Husain, N., Reeder, C., Wykes, T., &amp; Marshall, M. (2014). A naturalistic, randomized, controlled trial combining cognitive remediation with cognitive–behavioural therapy after first-episode non-affective psychosis.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(9), 1889–1899. </w:t>
      </w:r>
      <w:hyperlink r:id="rId1539" w:history="1">
        <w:r w:rsidRPr="00600FC7">
          <w:rPr>
            <w:rFonts w:ascii="Times New Roman" w:eastAsia="Times New Roman" w:hAnsi="Times New Roman" w:cs="Times New Roman"/>
            <w:color w:val="0000FF"/>
            <w:sz w:val="24"/>
            <w:szCs w:val="24"/>
            <w:u w:val="single"/>
          </w:rPr>
          <w:t>https://doi.org/10.1017/S0033291713002559</w:t>
        </w:r>
      </w:hyperlink>
    </w:p>
    <w:p w14:paraId="70E9AF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Drakeford, J. L., Edelstyn, N. M. J., Oyebode, F., Srivastava, S., Calthorpe, W. R., &amp; Mukherjee, T. (2010). Recollection deficiencies in patients with major depressive disorder.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175</w:t>
      </w:r>
      <w:r w:rsidRPr="00600FC7">
        <w:rPr>
          <w:rFonts w:ascii="Times New Roman" w:eastAsia="Times New Roman" w:hAnsi="Times New Roman" w:cs="Times New Roman"/>
          <w:sz w:val="24"/>
          <w:szCs w:val="24"/>
        </w:rPr>
        <w:t xml:space="preserve">(3), 205–210. </w:t>
      </w:r>
      <w:hyperlink r:id="rId1540" w:history="1">
        <w:r w:rsidRPr="00600FC7">
          <w:rPr>
            <w:rFonts w:ascii="Times New Roman" w:eastAsia="Times New Roman" w:hAnsi="Times New Roman" w:cs="Times New Roman"/>
            <w:color w:val="0000FF"/>
            <w:sz w:val="24"/>
            <w:szCs w:val="24"/>
            <w:u w:val="single"/>
          </w:rPr>
          <w:t>https://doi.org/10.1016/j.psychres.2008.08.010</w:t>
        </w:r>
      </w:hyperlink>
    </w:p>
    <w:p w14:paraId="50006A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Drane, D. L., Coady, E. L., Williamson, D. J., Miller, J. W., &amp; Benbadis, S. (2011). Neuropsychology of psychogenic nonepileptic seizures. In M. R. Schoenberg, J. G. Scott, M. R. Schoenberg  (Ed), &amp; J. G. Scott  (Ed) (Eds.), </w:t>
      </w:r>
      <w:r w:rsidRPr="00600FC7">
        <w:rPr>
          <w:rFonts w:ascii="Times New Roman" w:eastAsia="Times New Roman" w:hAnsi="Times New Roman" w:cs="Times New Roman"/>
          <w:i/>
          <w:iCs/>
          <w:sz w:val="24"/>
          <w:szCs w:val="24"/>
        </w:rPr>
        <w:t>The little black book of neuropsychology: A syndrome-based approach.</w:t>
      </w:r>
      <w:r w:rsidRPr="00600FC7">
        <w:rPr>
          <w:rFonts w:ascii="Times New Roman" w:eastAsia="Times New Roman" w:hAnsi="Times New Roman" w:cs="Times New Roman"/>
          <w:sz w:val="24"/>
          <w:szCs w:val="24"/>
        </w:rPr>
        <w:t xml:space="preserve"> (pp. 521–550). Springer Science + Business Media. </w:t>
      </w:r>
      <w:hyperlink r:id="rId1541" w:history="1">
        <w:r w:rsidRPr="00600FC7">
          <w:rPr>
            <w:rFonts w:ascii="Times New Roman" w:eastAsia="Times New Roman" w:hAnsi="Times New Roman" w:cs="Times New Roman"/>
            <w:color w:val="0000FF"/>
            <w:sz w:val="24"/>
            <w:szCs w:val="24"/>
            <w:u w:val="single"/>
          </w:rPr>
          <w:t>https://doi.org/10.1007/978-0-387-76978-3_17</w:t>
        </w:r>
      </w:hyperlink>
    </w:p>
    <w:p w14:paraId="3B0FCA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Drapier, D., Péron, J., Leray, E., Sauleau, P., Biseul, I., Drapier, S., Le Jeune, F., Travers, D., Bourguignon, A., Haegelen, C., Millet, B., &amp; Vérin, M. (2008). Emotion recognition impairment and apathy after subthalamic nucleus stimulation in Parkinson’s disease have separate neural substrates.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(11), 2796–2801. </w:t>
      </w:r>
      <w:hyperlink r:id="rId1542" w:history="1">
        <w:r w:rsidRPr="00600FC7">
          <w:rPr>
            <w:rFonts w:ascii="Times New Roman" w:eastAsia="Times New Roman" w:hAnsi="Times New Roman" w:cs="Times New Roman"/>
            <w:color w:val="0000FF"/>
            <w:sz w:val="24"/>
            <w:szCs w:val="24"/>
            <w:u w:val="single"/>
          </w:rPr>
          <w:t>https://doi.org/10.1016/j.neuropsychologia.2008.05.006</w:t>
        </w:r>
      </w:hyperlink>
    </w:p>
    <w:p w14:paraId="67D25E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Drapier, S., Gillioz, A.-S., Leray, E., Péron, J., Rouaud, T., Marchand, A., &amp; Vérin, M. (2012). Apomorphine infusion in advanced Parkinson’s patients with subthalamic stimulation contraindications. </w:t>
      </w:r>
      <w:r w:rsidRPr="00600FC7">
        <w:rPr>
          <w:rFonts w:ascii="Times New Roman" w:eastAsia="Times New Roman" w:hAnsi="Times New Roman" w:cs="Times New Roman"/>
          <w:i/>
          <w:iCs/>
          <w:sz w:val="24"/>
          <w:szCs w:val="24"/>
        </w:rPr>
        <w:t>Parkinsonism &amp;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(1), 40–44. </w:t>
      </w:r>
      <w:hyperlink r:id="rId1543" w:history="1">
        <w:r w:rsidRPr="00600FC7">
          <w:rPr>
            <w:rFonts w:ascii="Times New Roman" w:eastAsia="Times New Roman" w:hAnsi="Times New Roman" w:cs="Times New Roman"/>
            <w:color w:val="0000FF"/>
            <w:sz w:val="24"/>
            <w:szCs w:val="24"/>
            <w:u w:val="single"/>
          </w:rPr>
          <w:t>https://doi.org/10.1016/j.parkreldis.2011.08.010</w:t>
        </w:r>
      </w:hyperlink>
    </w:p>
    <w:p w14:paraId="0C87AC8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Dreer, L. E., Copeland, J. N., &amp; Cheavens, J. S. (2011). Integrating neuropsychological functioning into cognitive behavioral therapy: Implications for older adults. </w:t>
      </w:r>
      <w:r w:rsidRPr="00600FC7">
        <w:rPr>
          <w:rFonts w:ascii="Times New Roman" w:eastAsia="Times New Roman" w:hAnsi="Times New Roman" w:cs="Times New Roman"/>
          <w:i/>
          <w:iCs/>
          <w:sz w:val="24"/>
          <w:szCs w:val="24"/>
        </w:rPr>
        <w:t>Cognitive Behavior Therapy with Older Adults: Innovations across Care Settings.</w:t>
      </w:r>
      <w:r w:rsidRPr="00600FC7">
        <w:rPr>
          <w:rFonts w:ascii="Times New Roman" w:eastAsia="Times New Roman" w:hAnsi="Times New Roman" w:cs="Times New Roman"/>
          <w:sz w:val="24"/>
          <w:szCs w:val="24"/>
        </w:rPr>
        <w:t>, 317–365.</w:t>
      </w:r>
    </w:p>
    <w:p w14:paraId="4BF1A2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Dritschel, B., Beltsos, S., &amp; McClintock, S. M. (2014). An “Alternating Instructions” version of the Autobiographical Memory Test for assessing autobiographical memory specificity in non-clinical populations. </w:t>
      </w:r>
      <w:r w:rsidRPr="00600FC7">
        <w:rPr>
          <w:rFonts w:ascii="Times New Roman" w:eastAsia="Times New Roman" w:hAnsi="Times New Roman" w:cs="Times New Roman"/>
          <w:i/>
          <w:iCs/>
          <w:sz w:val="24"/>
          <w:szCs w:val="24"/>
        </w:rPr>
        <w:t>Memory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(8), 881–889. </w:t>
      </w:r>
      <w:hyperlink r:id="rId1544" w:history="1">
        <w:r w:rsidRPr="00600FC7">
          <w:rPr>
            <w:rFonts w:ascii="Times New Roman" w:eastAsia="Times New Roman" w:hAnsi="Times New Roman" w:cs="Times New Roman"/>
            <w:color w:val="0000FF"/>
            <w:sz w:val="24"/>
            <w:szCs w:val="24"/>
            <w:u w:val="single"/>
          </w:rPr>
          <w:t>https://doi.org/10.1080/09658211.2013.839710</w:t>
        </w:r>
      </w:hyperlink>
    </w:p>
    <w:p w14:paraId="0FF53B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Drozdz, W., Borkowska, A., Wilkosc, M., Halota, W., Dybowska, D., &amp; Rybakowski, J. K. (2007). Chronic paranoid psychosis and dementia following interferon-α treatment of </w:t>
      </w:r>
      <w:r w:rsidRPr="00600FC7">
        <w:rPr>
          <w:rFonts w:ascii="Times New Roman" w:eastAsia="Times New Roman" w:hAnsi="Times New Roman" w:cs="Times New Roman"/>
          <w:sz w:val="24"/>
          <w:szCs w:val="24"/>
        </w:rPr>
        <w:lastRenderedPageBreak/>
        <w:t xml:space="preserve">hepatitis C: A case report. </w:t>
      </w:r>
      <w:r w:rsidRPr="00600FC7">
        <w:rPr>
          <w:rFonts w:ascii="Times New Roman" w:eastAsia="Times New Roman" w:hAnsi="Times New Roman" w:cs="Times New Roman"/>
          <w:i/>
          <w:iCs/>
          <w:sz w:val="24"/>
          <w:szCs w:val="24"/>
        </w:rPr>
        <w:t>Pharmacopsychiatry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(4), 146–148. </w:t>
      </w:r>
      <w:hyperlink r:id="rId1545" w:history="1">
        <w:r w:rsidRPr="00600FC7">
          <w:rPr>
            <w:rFonts w:ascii="Times New Roman" w:eastAsia="Times New Roman" w:hAnsi="Times New Roman" w:cs="Times New Roman"/>
            <w:color w:val="0000FF"/>
            <w:sz w:val="24"/>
            <w:szCs w:val="24"/>
            <w:u w:val="single"/>
          </w:rPr>
          <w:t>https://doi.org/10.1055/s-2007-984390</w:t>
        </w:r>
      </w:hyperlink>
    </w:p>
    <w:p w14:paraId="4DEB62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Drühe-Wienholt, C., &amp; König, N. (2000). Kategorisierungsfähigkeit bei Multipler Sklerose. [Abstraction ability in multiple sclerosis.]. </w:t>
      </w:r>
      <w:r w:rsidRPr="00600FC7">
        <w:rPr>
          <w:rFonts w:ascii="Times New Roman" w:eastAsia="Times New Roman" w:hAnsi="Times New Roman" w:cs="Times New Roman"/>
          <w:i/>
          <w:iCs/>
          <w:sz w:val="24"/>
          <w:szCs w:val="24"/>
        </w:rPr>
        <w:t>Zeitschrift Für Neuropsychologie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141–153. </w:t>
      </w:r>
      <w:hyperlink r:id="rId1546" w:history="1">
        <w:r w:rsidRPr="00600FC7">
          <w:rPr>
            <w:rFonts w:ascii="Times New Roman" w:eastAsia="Times New Roman" w:hAnsi="Times New Roman" w:cs="Times New Roman"/>
            <w:color w:val="0000FF"/>
            <w:sz w:val="24"/>
            <w:szCs w:val="24"/>
            <w:u w:val="single"/>
          </w:rPr>
          <w:t>https://doi.org/10.1024//1016-264X.11.3.141</w:t>
        </w:r>
      </w:hyperlink>
    </w:p>
    <w:p w14:paraId="5A200B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Drummond, L. E., Dritschel, B., Astell, A., O’Carroll, R. E., &amp; Dalgleish, T. (2006). Effects of age, dysphoria, and emotion-focusing on autobiographical memory specificity in children. </w:t>
      </w:r>
      <w:r w:rsidRPr="00600FC7">
        <w:rPr>
          <w:rFonts w:ascii="Times New Roman" w:eastAsia="Times New Roman" w:hAnsi="Times New Roman" w:cs="Times New Roman"/>
          <w:i/>
          <w:iCs/>
          <w:sz w:val="24"/>
          <w:szCs w:val="24"/>
        </w:rPr>
        <w:t>Cognition and Emotion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(3–4), 488–505. </w:t>
      </w:r>
      <w:hyperlink r:id="rId1547" w:history="1">
        <w:r w:rsidRPr="00600FC7">
          <w:rPr>
            <w:rFonts w:ascii="Times New Roman" w:eastAsia="Times New Roman" w:hAnsi="Times New Roman" w:cs="Times New Roman"/>
            <w:color w:val="0000FF"/>
            <w:sz w:val="24"/>
            <w:szCs w:val="24"/>
            <w:u w:val="single"/>
          </w:rPr>
          <w:t>https://doi.org/10.1080/02699930500341342</w:t>
        </w:r>
      </w:hyperlink>
    </w:p>
    <w:p w14:paraId="1A53646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 W., Guo, S., &amp; Jiang, Z. (2002). Cognitive impairment of alcoholic dependents measured by the Wisconsin Card Sorting Test. [Cognitive impairment of alcoholic dependents measured by the Wisconsin Card Sorting Test.].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(5), 296–298.</w:t>
      </w:r>
    </w:p>
    <w:p w14:paraId="0C40B0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Duara, R., Loewenstein, D. A., Wright, C., Crocco, E., &amp; Varan, D. (2014). Mild cognitive impairment. In </w:t>
      </w:r>
      <w:r w:rsidRPr="00600FC7">
        <w:rPr>
          <w:rFonts w:ascii="Times New Roman" w:eastAsia="Times New Roman" w:hAnsi="Times New Roman" w:cs="Times New Roman"/>
          <w:i/>
          <w:iCs/>
          <w:sz w:val="24"/>
          <w:szCs w:val="24"/>
        </w:rPr>
        <w:t>Dementia.</w:t>
      </w:r>
      <w:r w:rsidRPr="00600FC7">
        <w:rPr>
          <w:rFonts w:ascii="Times New Roman" w:eastAsia="Times New Roman" w:hAnsi="Times New Roman" w:cs="Times New Roman"/>
          <w:sz w:val="24"/>
          <w:szCs w:val="24"/>
        </w:rPr>
        <w:t xml:space="preserve"> (pp. 77–95). Wiley-Blackwell.</w:t>
      </w:r>
    </w:p>
    <w:p w14:paraId="28CD22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Graham, K. S., &amp; Henson, R. N. (2010). Age-related changes in neural activity associated with familiarity, recollection and false recognition.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(10), 1814–1830. </w:t>
      </w:r>
      <w:hyperlink r:id="rId1548" w:history="1">
        <w:r w:rsidRPr="00600FC7">
          <w:rPr>
            <w:rFonts w:ascii="Times New Roman" w:eastAsia="Times New Roman" w:hAnsi="Times New Roman" w:cs="Times New Roman"/>
            <w:color w:val="0000FF"/>
            <w:sz w:val="24"/>
            <w:szCs w:val="24"/>
            <w:u w:val="single"/>
          </w:rPr>
          <w:t>https://doi.org/10.1016/j.neurobiolaging.2008.09.014</w:t>
        </w:r>
      </w:hyperlink>
    </w:p>
    <w:p w14:paraId="60C419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Hearons, P., Jiang, Y., Delvin, M. C., Newsome, R. N., &amp; Verhaeghen, P. (2013). Retrospective attention enhances visual working memory in the young but not the old: An ERP study.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50</w:t>
      </w:r>
      <w:r w:rsidRPr="00600FC7">
        <w:rPr>
          <w:rFonts w:ascii="Times New Roman" w:eastAsia="Times New Roman" w:hAnsi="Times New Roman" w:cs="Times New Roman"/>
          <w:sz w:val="24"/>
          <w:szCs w:val="24"/>
        </w:rPr>
        <w:t xml:space="preserve">(5), 465–476. </w:t>
      </w:r>
      <w:hyperlink r:id="rId1549" w:history="1">
        <w:r w:rsidRPr="00600FC7">
          <w:rPr>
            <w:rFonts w:ascii="Times New Roman" w:eastAsia="Times New Roman" w:hAnsi="Times New Roman" w:cs="Times New Roman"/>
            <w:color w:val="0000FF"/>
            <w:sz w:val="24"/>
            <w:szCs w:val="24"/>
            <w:u w:val="single"/>
          </w:rPr>
          <w:t>https://doi.org/10.1111/psyp.12034</w:t>
        </w:r>
      </w:hyperlink>
    </w:p>
    <w:p w14:paraId="5E1527A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Duarte, A., Henson, R. N., &amp; Graham, K. S. (2008). The effect of aging on the neural correlates of subjective and objective recollection.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(9), 2169–2180. </w:t>
      </w:r>
      <w:hyperlink r:id="rId1550" w:history="1">
        <w:r w:rsidRPr="00600FC7">
          <w:rPr>
            <w:rFonts w:ascii="Times New Roman" w:eastAsia="Times New Roman" w:hAnsi="Times New Roman" w:cs="Times New Roman"/>
            <w:color w:val="0000FF"/>
            <w:sz w:val="24"/>
            <w:szCs w:val="24"/>
            <w:u w:val="single"/>
          </w:rPr>
          <w:t>https://doi.org/10.1093/cercor/bhm243</w:t>
        </w:r>
      </w:hyperlink>
    </w:p>
    <w:p w14:paraId="6C9F7E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Duarte, A., Henson, R. N., Knight, R. T., Emery, T., &amp; Graham, K. S. (2010). Orbito-frontal cortex is necessary for temporal context memory. </w:t>
      </w:r>
      <w:r w:rsidRPr="00600FC7">
        <w:rPr>
          <w:rFonts w:ascii="Times New Roman" w:eastAsia="Times New Roman" w:hAnsi="Times New Roman" w:cs="Times New Roman"/>
          <w:i/>
          <w:iCs/>
          <w:sz w:val="24"/>
          <w:szCs w:val="24"/>
        </w:rPr>
        <w:t>Journal of Cognitive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(8), 1819–1831. </w:t>
      </w:r>
      <w:hyperlink r:id="rId1551" w:history="1">
        <w:r w:rsidRPr="00600FC7">
          <w:rPr>
            <w:rFonts w:ascii="Times New Roman" w:eastAsia="Times New Roman" w:hAnsi="Times New Roman" w:cs="Times New Roman"/>
            <w:color w:val="0000FF"/>
            <w:sz w:val="24"/>
            <w:szCs w:val="24"/>
            <w:u w:val="single"/>
          </w:rPr>
          <w:t>https://doi.org/10.1162/jocn.2009.21316</w:t>
        </w:r>
      </w:hyperlink>
    </w:p>
    <w:p w14:paraId="3DCE44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Dubois, B., Slachevsky, A., Litvan, I., &amp; Pillon, B. (2000). The FAB: A frontal assessment battery at bedside.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(11), 1621–1626. </w:t>
      </w:r>
      <w:hyperlink r:id="rId1552" w:history="1">
        <w:r w:rsidRPr="00600FC7">
          <w:rPr>
            <w:rFonts w:ascii="Times New Roman" w:eastAsia="Times New Roman" w:hAnsi="Times New Roman" w:cs="Times New Roman"/>
            <w:color w:val="0000FF"/>
            <w:sz w:val="24"/>
            <w:szCs w:val="24"/>
            <w:u w:val="single"/>
          </w:rPr>
          <w:t>https://doi.org/10.1212/WNL.55.11.1621</w:t>
        </w:r>
      </w:hyperlink>
    </w:p>
    <w:p w14:paraId="2D39BBC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Dubois, B., Slachevsky, A., Pillon, B., Beato, R., Villalponda, J. M., &amp; Litvan, I. (2005). “Applause sign” helps to discriminate PSP from FTD and PD.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(12), 2132–2133. </w:t>
      </w:r>
      <w:hyperlink r:id="rId1553" w:history="1">
        <w:r w:rsidRPr="00600FC7">
          <w:rPr>
            <w:rFonts w:ascii="Times New Roman" w:eastAsia="Times New Roman" w:hAnsi="Times New Roman" w:cs="Times New Roman"/>
            <w:color w:val="0000FF"/>
            <w:sz w:val="24"/>
            <w:szCs w:val="24"/>
            <w:u w:val="single"/>
          </w:rPr>
          <w:t>https://doi.org/10.1212/01.WNL.0000165977.38272.15</w:t>
        </w:r>
      </w:hyperlink>
    </w:p>
    <w:p w14:paraId="1AE5DC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Duchesne, M., Mattos, P., Appolinário, J. C., de Freitas, S. R., Coutinho, G., Santos, C., &amp; Coutinho, W. (2010). Assessment of executive functions in obese individuals with binge eating disorder. </w:t>
      </w:r>
      <w:r w:rsidRPr="00600FC7">
        <w:rPr>
          <w:rFonts w:ascii="Times New Roman" w:eastAsia="Times New Roman" w:hAnsi="Times New Roman" w:cs="Times New Roman"/>
          <w:i/>
          <w:iCs/>
          <w:sz w:val="24"/>
          <w:szCs w:val="24"/>
        </w:rPr>
        <w:t>Revista Brasileira de 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381–388. </w:t>
      </w:r>
      <w:hyperlink r:id="rId1554" w:history="1">
        <w:r w:rsidRPr="00600FC7">
          <w:rPr>
            <w:rFonts w:ascii="Times New Roman" w:eastAsia="Times New Roman" w:hAnsi="Times New Roman" w:cs="Times New Roman"/>
            <w:color w:val="0000FF"/>
            <w:sz w:val="24"/>
            <w:szCs w:val="24"/>
            <w:u w:val="single"/>
          </w:rPr>
          <w:t>https://doi.org/10.1590/S1516-44462010000400011</w:t>
        </w:r>
      </w:hyperlink>
    </w:p>
    <w:p w14:paraId="7F5BE7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Duckworth, A. L., &amp; Kern, M. L. (2011). A meta-analysis of the convergent validity of self-control measures. </w:t>
      </w:r>
      <w:r w:rsidRPr="00600FC7">
        <w:rPr>
          <w:rFonts w:ascii="Times New Roman" w:eastAsia="Times New Roman" w:hAnsi="Times New Roman" w:cs="Times New Roman"/>
          <w:i/>
          <w:iCs/>
          <w:sz w:val="24"/>
          <w:szCs w:val="24"/>
        </w:rPr>
        <w:t>Journal of Research in Personality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(3), 259–268. </w:t>
      </w:r>
      <w:hyperlink r:id="rId1555" w:history="1">
        <w:r w:rsidRPr="00600FC7">
          <w:rPr>
            <w:rFonts w:ascii="Times New Roman" w:eastAsia="Times New Roman" w:hAnsi="Times New Roman" w:cs="Times New Roman"/>
            <w:color w:val="0000FF"/>
            <w:sz w:val="24"/>
            <w:szCs w:val="24"/>
            <w:u w:val="single"/>
          </w:rPr>
          <w:t>https://doi.org/10.1016/j.jrp.2011.02.004</w:t>
        </w:r>
      </w:hyperlink>
    </w:p>
    <w:p w14:paraId="03C70A7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Dudas, R. B., Berrios, G. E., &amp; Hodges, J. R. (2005). The Addenbrooke’s Cognitive Examination (ACE) in the Differential Diagnosis of Early Dementias Versus Affective Disorder.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218–226. </w:t>
      </w:r>
      <w:hyperlink r:id="rId1556" w:history="1">
        <w:r w:rsidRPr="00600FC7">
          <w:rPr>
            <w:rFonts w:ascii="Times New Roman" w:eastAsia="Times New Roman" w:hAnsi="Times New Roman" w:cs="Times New Roman"/>
            <w:color w:val="0000FF"/>
            <w:sz w:val="24"/>
            <w:szCs w:val="24"/>
            <w:u w:val="single"/>
          </w:rPr>
          <w:t>https://doi.org/10.1176/appi.ajgp.13.3.218</w:t>
        </w:r>
      </w:hyperlink>
    </w:p>
    <w:p w14:paraId="05E935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Duering, M., Gesierich, B., Seiler, S., Pirpamer, L., Gonik, M., Hofer, E., Jouvent, E., Duchesnay, E., Chabriat, H., Ropele, S., Schmidt, R., &amp; Dichgans, M. (2014). Strategic white matter tracts for processing speed deficits in age-related small vessel disease.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(22), 1946–1950. </w:t>
      </w:r>
      <w:hyperlink r:id="rId1557" w:history="1">
        <w:r w:rsidRPr="00600FC7">
          <w:rPr>
            <w:rFonts w:ascii="Times New Roman" w:eastAsia="Times New Roman" w:hAnsi="Times New Roman" w:cs="Times New Roman"/>
            <w:color w:val="0000FF"/>
            <w:sz w:val="24"/>
            <w:szCs w:val="24"/>
            <w:u w:val="single"/>
          </w:rPr>
          <w:t>https://doi.org/10.1212/WNL.0000000000000475</w:t>
        </w:r>
      </w:hyperlink>
    </w:p>
    <w:p w14:paraId="5EB620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Duff, C. T., &amp; Sulla, E. M. (2015). Measuring Executive Function in the Differential Diagnosis of Attention-Deficit/Hyperactivity Disorder: Does It Really Tell Us Anything?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(3), 188–196. </w:t>
      </w:r>
      <w:hyperlink r:id="rId1558" w:history="1">
        <w:r w:rsidRPr="00600FC7">
          <w:rPr>
            <w:rFonts w:ascii="Times New Roman" w:eastAsia="Times New Roman" w:hAnsi="Times New Roman" w:cs="Times New Roman"/>
            <w:color w:val="0000FF"/>
            <w:sz w:val="24"/>
            <w:szCs w:val="24"/>
            <w:u w:val="single"/>
          </w:rPr>
          <w:t>https://doi.org/10.1080/21622965.2013.848329</w:t>
        </w:r>
      </w:hyperlink>
    </w:p>
    <w:p w14:paraId="0C1546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K., Schoenberg, M. R., Scott, J. G., &amp; Adams, R. L. (2005). The relationship between executive functioning and verbal and visual learning and memory.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111–122. </w:t>
      </w:r>
      <w:hyperlink r:id="rId1559" w:history="1">
        <w:r w:rsidRPr="00600FC7">
          <w:rPr>
            <w:rFonts w:ascii="Times New Roman" w:eastAsia="Times New Roman" w:hAnsi="Times New Roman" w:cs="Times New Roman"/>
            <w:color w:val="0000FF"/>
            <w:sz w:val="24"/>
            <w:szCs w:val="24"/>
            <w:u w:val="single"/>
          </w:rPr>
          <w:t>https://doi.org/10.1016/j.acn.2004.03.003</w:t>
        </w:r>
      </w:hyperlink>
    </w:p>
    <w:p w14:paraId="273496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M. C., Kurczek, J., Rubin, R., Cohen, N. J., &amp; Tranel, D. (2013). Hippocampal amnesia disrupts creative thinking. </w:t>
      </w:r>
      <w:r w:rsidRPr="00600FC7">
        <w:rPr>
          <w:rFonts w:ascii="Times New Roman" w:eastAsia="Times New Roman" w:hAnsi="Times New Roman" w:cs="Times New Roman"/>
          <w:i/>
          <w:iCs/>
          <w:sz w:val="24"/>
          <w:szCs w:val="24"/>
        </w:rPr>
        <w:t>Hippocampus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(12), 1143–1149. </w:t>
      </w:r>
      <w:hyperlink r:id="rId1560" w:history="1">
        <w:r w:rsidRPr="00600FC7">
          <w:rPr>
            <w:rFonts w:ascii="Times New Roman" w:eastAsia="Times New Roman" w:hAnsi="Times New Roman" w:cs="Times New Roman"/>
            <w:color w:val="0000FF"/>
            <w:sz w:val="24"/>
            <w:szCs w:val="24"/>
            <w:u w:val="single"/>
          </w:rPr>
          <w:t>https://doi.org/10.1002/hipo.22208</w:t>
        </w:r>
      </w:hyperlink>
    </w:p>
    <w:p w14:paraId="277824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Duff, M. C., Wszalek, T., Tranel, D., &amp; Cohen, N. J. (2008). Successful life outcome and management of real-world memory demands despite profound anterograde amnesia.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(8), 931–945. </w:t>
      </w:r>
      <w:hyperlink r:id="rId1561" w:history="1">
        <w:r w:rsidRPr="00600FC7">
          <w:rPr>
            <w:rFonts w:ascii="Times New Roman" w:eastAsia="Times New Roman" w:hAnsi="Times New Roman" w:cs="Times New Roman"/>
            <w:color w:val="0000FF"/>
            <w:sz w:val="24"/>
            <w:szCs w:val="24"/>
            <w:u w:val="single"/>
          </w:rPr>
          <w:t>https://doi.org/10.1080/13803390801894681</w:t>
        </w:r>
      </w:hyperlink>
    </w:p>
    <w:p w14:paraId="47210D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Dufour, C. A., Marquine, M. J., Fazeli, P. L., Henry, B. L., Ellis, R. J., Grant, I., &amp; Moore, D. J. (2013). Physical exercise is associated with less neurocognitive impairment among HIV-infected adults. </w:t>
      </w:r>
      <w:r w:rsidRPr="00600FC7">
        <w:rPr>
          <w:rFonts w:ascii="Times New Roman" w:eastAsia="Times New Roman" w:hAnsi="Times New Roman" w:cs="Times New Roman"/>
          <w:i/>
          <w:iCs/>
          <w:sz w:val="24"/>
          <w:szCs w:val="24"/>
        </w:rPr>
        <w:t>Journal of Neurovirology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(5), 410–417. </w:t>
      </w:r>
      <w:hyperlink r:id="rId1562" w:history="1">
        <w:r w:rsidRPr="00600FC7">
          <w:rPr>
            <w:rFonts w:ascii="Times New Roman" w:eastAsia="Times New Roman" w:hAnsi="Times New Roman" w:cs="Times New Roman"/>
            <w:color w:val="0000FF"/>
            <w:sz w:val="24"/>
            <w:szCs w:val="24"/>
            <w:u w:val="single"/>
          </w:rPr>
          <w:t>https://doi.org/10.1007/s13365-013-0184-8</w:t>
        </w:r>
      </w:hyperlink>
    </w:p>
    <w:p w14:paraId="5A005A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Dujardin, K., &amp; Defebvre, L. (2015). Multiple system atrophy. In </w:t>
      </w:r>
      <w:r w:rsidRPr="00600FC7">
        <w:rPr>
          <w:rFonts w:ascii="Times New Roman" w:eastAsia="Times New Roman" w:hAnsi="Times New Roman" w:cs="Times New Roman"/>
          <w:i/>
          <w:iCs/>
          <w:sz w:val="24"/>
          <w:szCs w:val="24"/>
        </w:rPr>
        <w:t>Clinical neuropsychology and cognitive neurology of Parkinson’s disease and other movement disorders.</w:t>
      </w:r>
      <w:r w:rsidRPr="00600FC7">
        <w:rPr>
          <w:rFonts w:ascii="Times New Roman" w:eastAsia="Times New Roman" w:hAnsi="Times New Roman" w:cs="Times New Roman"/>
          <w:sz w:val="24"/>
          <w:szCs w:val="24"/>
        </w:rPr>
        <w:t xml:space="preserve"> (pp. 421–439). Oxford University Press.</w:t>
      </w:r>
    </w:p>
    <w:p w14:paraId="5A8FCE2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Duka, T., Townshend, J. M., Collier, K., &amp; Stephens, D. N. (2003). Impairment in Cognitive Functions After Multiple Detoxifications in Alcoholic Inpatients. </w:t>
      </w:r>
      <w:r w:rsidRPr="00600FC7">
        <w:rPr>
          <w:rFonts w:ascii="Times New Roman" w:eastAsia="Times New Roman" w:hAnsi="Times New Roman" w:cs="Times New Roman"/>
          <w:i/>
          <w:iCs/>
          <w:sz w:val="24"/>
          <w:szCs w:val="24"/>
        </w:rPr>
        <w:t xml:space="preserve">Alcoholism: Clinical and </w:t>
      </w:r>
      <w:r w:rsidRPr="00600FC7">
        <w:rPr>
          <w:rFonts w:ascii="Times New Roman" w:eastAsia="Times New Roman" w:hAnsi="Times New Roman" w:cs="Times New Roman"/>
          <w:i/>
          <w:iCs/>
          <w:sz w:val="24"/>
          <w:szCs w:val="24"/>
        </w:rPr>
        <w:lastRenderedPageBreak/>
        <w:t>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(10), 1563–1572. </w:t>
      </w:r>
      <w:hyperlink r:id="rId1563" w:history="1">
        <w:r w:rsidRPr="00600FC7">
          <w:rPr>
            <w:rFonts w:ascii="Times New Roman" w:eastAsia="Times New Roman" w:hAnsi="Times New Roman" w:cs="Times New Roman"/>
            <w:color w:val="0000FF"/>
            <w:sz w:val="24"/>
            <w:szCs w:val="24"/>
            <w:u w:val="single"/>
          </w:rPr>
          <w:t>https://doi.org/10.1097/01.ALC.0000090142.11260.D7</w:t>
        </w:r>
      </w:hyperlink>
    </w:p>
    <w:p w14:paraId="59E59B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Duke, L. A., Allen, D. N., Ross, S. A., Strauss, G. P., &amp; Schwartz, J. (2010). Neurocognitive function in schizophrenia with comorbid posttraumatic stress disorder.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(7), 737–751. </w:t>
      </w:r>
      <w:hyperlink r:id="rId1564" w:history="1">
        <w:r w:rsidRPr="00600FC7">
          <w:rPr>
            <w:rFonts w:ascii="Times New Roman" w:eastAsia="Times New Roman" w:hAnsi="Times New Roman" w:cs="Times New Roman"/>
            <w:color w:val="0000FF"/>
            <w:sz w:val="24"/>
            <w:szCs w:val="24"/>
            <w:u w:val="single"/>
          </w:rPr>
          <w:t>https://doi.org/10.1080/13803390903512660</w:t>
        </w:r>
      </w:hyperlink>
    </w:p>
    <w:p w14:paraId="587DAB8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Dulas, M. R., &amp; Duarte, A. (2013). The influence of directed attention at encoding on source memory retrieval in the young and old: An ERP study. </w:t>
      </w:r>
      <w:r w:rsidRPr="00600FC7">
        <w:rPr>
          <w:rFonts w:ascii="Times New Roman" w:eastAsia="Times New Roman" w:hAnsi="Times New Roman" w:cs="Times New Roman"/>
          <w:i/>
          <w:iCs/>
          <w:sz w:val="24"/>
          <w:szCs w:val="24"/>
        </w:rPr>
        <w:t>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1500</w:t>
      </w:r>
      <w:r w:rsidRPr="00600FC7">
        <w:rPr>
          <w:rFonts w:ascii="Times New Roman" w:eastAsia="Times New Roman" w:hAnsi="Times New Roman" w:cs="Times New Roman"/>
          <w:sz w:val="24"/>
          <w:szCs w:val="24"/>
        </w:rPr>
        <w:t xml:space="preserve">, 55–71. </w:t>
      </w:r>
      <w:hyperlink r:id="rId1565" w:history="1">
        <w:r w:rsidRPr="00600FC7">
          <w:rPr>
            <w:rFonts w:ascii="Times New Roman" w:eastAsia="Times New Roman" w:hAnsi="Times New Roman" w:cs="Times New Roman"/>
            <w:color w:val="0000FF"/>
            <w:sz w:val="24"/>
            <w:szCs w:val="24"/>
            <w:u w:val="single"/>
          </w:rPr>
          <w:t>https://doi.org/10.1016/j.brainres.2013.01.018</w:t>
        </w:r>
      </w:hyperlink>
    </w:p>
    <w:p w14:paraId="6829AE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Dulay, M. F., Busch, R. M., Chapin, J. S., Jehi, L., &amp; Najm, I. (2013). Executive functioning and depressed mood before and after unilateral frontal lobe resection for intractable epilepsy.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(7), 1370–1376. </w:t>
      </w:r>
      <w:hyperlink r:id="rId1566" w:history="1">
        <w:r w:rsidRPr="00600FC7">
          <w:rPr>
            <w:rFonts w:ascii="Times New Roman" w:eastAsia="Times New Roman" w:hAnsi="Times New Roman" w:cs="Times New Roman"/>
            <w:color w:val="0000FF"/>
            <w:sz w:val="24"/>
            <w:szCs w:val="24"/>
            <w:u w:val="single"/>
          </w:rPr>
          <w:t>https://doi.org/10.1016/j.neuropsychologia.2012.07.004</w:t>
        </w:r>
      </w:hyperlink>
    </w:p>
    <w:p w14:paraId="2229DC3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Dumitrascu, N. (2018). Using R-PAS in a neuropsychological evaluation of a high</w:t>
      </w:r>
      <w:r w:rsidRPr="00600FC7">
        <w:rPr>
          <w:rFonts w:ascii="Times New Roman" w:eastAsia="Times New Roman" w:hAnsi="Times New Roman" w:cs="Times New Roman"/>
          <w:sz w:val="24"/>
          <w:szCs w:val="24"/>
        </w:rPr>
        <w:noBreakHyphen/>
        <w:t xml:space="preserve">functioning adult patient with depression, anxiety, and a relational trauma history. In </w:t>
      </w:r>
      <w:r w:rsidRPr="00600FC7">
        <w:rPr>
          <w:rFonts w:ascii="Times New Roman" w:eastAsia="Times New Roman" w:hAnsi="Times New Roman" w:cs="Times New Roman"/>
          <w:i/>
          <w:iCs/>
          <w:sz w:val="24"/>
          <w:szCs w:val="24"/>
        </w:rPr>
        <w:t>Using the Rorschach Performance Assessment System® (R-PAS®).</w:t>
      </w:r>
      <w:r w:rsidRPr="00600FC7">
        <w:rPr>
          <w:rFonts w:ascii="Times New Roman" w:eastAsia="Times New Roman" w:hAnsi="Times New Roman" w:cs="Times New Roman"/>
          <w:sz w:val="24"/>
          <w:szCs w:val="24"/>
        </w:rPr>
        <w:t xml:space="preserve"> (pp. 330–347). The Guilford Press.</w:t>
      </w:r>
    </w:p>
    <w:p w14:paraId="3AF159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Dunbar, K., &amp; Sussman, D. (1995). Toward a cognitive account of frontal lobe function: Simulating frontal lobe deficits in normal subjects. In </w:t>
      </w:r>
      <w:r w:rsidRPr="00600FC7">
        <w:rPr>
          <w:rFonts w:ascii="Times New Roman" w:eastAsia="Times New Roman" w:hAnsi="Times New Roman" w:cs="Times New Roman"/>
          <w:i/>
          <w:iCs/>
          <w:sz w:val="24"/>
          <w:szCs w:val="24"/>
        </w:rPr>
        <w:t>Structure and functions of the human prefrontal cortex.</w:t>
      </w:r>
      <w:r w:rsidRPr="00600FC7">
        <w:rPr>
          <w:rFonts w:ascii="Times New Roman" w:eastAsia="Times New Roman" w:hAnsi="Times New Roman" w:cs="Times New Roman"/>
          <w:sz w:val="24"/>
          <w:szCs w:val="24"/>
        </w:rPr>
        <w:t xml:space="preserve"> (pp. 289–304). New York Academy of Sciences.</w:t>
      </w:r>
    </w:p>
    <w:p w14:paraId="57FB07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Duncan, C. C., &amp; Mirsky, A. F. (2004). The Attention Battery for Adults: A Systematic Approach to Assessment. In </w:t>
      </w:r>
      <w:r w:rsidRPr="00600FC7">
        <w:rPr>
          <w:rFonts w:ascii="Times New Roman" w:eastAsia="Times New Roman" w:hAnsi="Times New Roman" w:cs="Times New Roman"/>
          <w:i/>
          <w:iCs/>
          <w:sz w:val="24"/>
          <w:szCs w:val="24"/>
        </w:rPr>
        <w:t>Comprehensive handbook of psychological assessment, Vol. 1: Intellectual and neuropsychological assessment.</w:t>
      </w:r>
      <w:r w:rsidRPr="00600FC7">
        <w:rPr>
          <w:rFonts w:ascii="Times New Roman" w:eastAsia="Times New Roman" w:hAnsi="Times New Roman" w:cs="Times New Roman"/>
          <w:sz w:val="24"/>
          <w:szCs w:val="24"/>
        </w:rPr>
        <w:t xml:space="preserve"> (pp. 263–276). John Wiley &amp; Sons Inc.</w:t>
      </w:r>
    </w:p>
    <w:p w14:paraId="545427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Dunkin, J., Rasgon, N., Wagner-Steh, K., David, S., Altshuler, L., &amp; Rapkin, A. (2005). Reproductive events modify the effects of estrogen replacement therapy on cognition in healthy postmenopausal women. </w:t>
      </w:r>
      <w:r w:rsidRPr="00600FC7">
        <w:rPr>
          <w:rFonts w:ascii="Times New Roman" w:eastAsia="Times New Roman" w:hAnsi="Times New Roman" w:cs="Times New Roman"/>
          <w:i/>
          <w:iCs/>
          <w:sz w:val="24"/>
          <w:szCs w:val="24"/>
        </w:rPr>
        <w:t>Psychoneuroendocrinology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(3), 284–296. </w:t>
      </w:r>
      <w:hyperlink r:id="rId1567" w:history="1">
        <w:r w:rsidRPr="00600FC7">
          <w:rPr>
            <w:rFonts w:ascii="Times New Roman" w:eastAsia="Times New Roman" w:hAnsi="Times New Roman" w:cs="Times New Roman"/>
            <w:color w:val="0000FF"/>
            <w:sz w:val="24"/>
            <w:szCs w:val="24"/>
            <w:u w:val="single"/>
          </w:rPr>
          <w:t>https://doi.org/10.1016/j.psyneuen.2004.09.002</w:t>
        </w:r>
      </w:hyperlink>
    </w:p>
    <w:p w14:paraId="3B80513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Dunn, A., Pyne, S., Tyson, B., Roth, R., Shahein, A., &amp; Erdodi, L. (2021). Critical item analysis enhances the classification accuracy of the Logical Memory Recognition trial as a performance validity indicator. </w:t>
      </w:r>
      <w:r w:rsidRPr="00600FC7">
        <w:rPr>
          <w:rFonts w:ascii="Times New Roman" w:eastAsia="Times New Roman" w:hAnsi="Times New Roman" w:cs="Times New Roman"/>
          <w:i/>
          <w:iCs/>
          <w:sz w:val="24"/>
          <w:szCs w:val="24"/>
        </w:rPr>
        <w:t>Developmental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(5), 327–346. </w:t>
      </w:r>
      <w:hyperlink r:id="rId1568" w:history="1">
        <w:r w:rsidRPr="00600FC7">
          <w:rPr>
            <w:rFonts w:ascii="Times New Roman" w:eastAsia="Times New Roman" w:hAnsi="Times New Roman" w:cs="Times New Roman"/>
            <w:color w:val="0000FF"/>
            <w:sz w:val="24"/>
            <w:szCs w:val="24"/>
            <w:u w:val="single"/>
          </w:rPr>
          <w:t>https://doi.org/10.1080/87565641.2021.1956499</w:t>
        </w:r>
      </w:hyperlink>
    </w:p>
    <w:p w14:paraId="44B827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Dunn, C. B., Price, C. C., Schwab, N. A., &amp; Shukla, A. A. W. (2012). A case of an arachnoid cyst masquerading as corticobasal degeneration.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(8), 1342–1357. </w:t>
      </w:r>
      <w:hyperlink r:id="rId1569" w:history="1">
        <w:r w:rsidRPr="00600FC7">
          <w:rPr>
            <w:rFonts w:ascii="Times New Roman" w:eastAsia="Times New Roman" w:hAnsi="Times New Roman" w:cs="Times New Roman"/>
            <w:color w:val="0000FF"/>
            <w:sz w:val="24"/>
            <w:szCs w:val="24"/>
            <w:u w:val="single"/>
          </w:rPr>
          <w:t>https://doi.org/10.1080/13854046.2012.728247</w:t>
        </w:r>
      </w:hyperlink>
    </w:p>
    <w:p w14:paraId="67C8DF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Dunn, L. B., Palmer, B. W., Appelbaum, P. S., Saks, E. R., Aarons, G. A., &amp; Jeste, D. V. (2007). Prevalence and correlates of adequate performance on a measure of abilities related to decisional capacity: Differences among three standards for the MacCAT-CR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(1–3), 110–118. </w:t>
      </w:r>
      <w:hyperlink r:id="rId1570" w:history="1">
        <w:r w:rsidRPr="00600FC7">
          <w:rPr>
            <w:rFonts w:ascii="Times New Roman" w:eastAsia="Times New Roman" w:hAnsi="Times New Roman" w:cs="Times New Roman"/>
            <w:color w:val="0000FF"/>
            <w:sz w:val="24"/>
            <w:szCs w:val="24"/>
            <w:u w:val="single"/>
          </w:rPr>
          <w:t>https://doi.org/10.1016/j.schres.2006.08.005</w:t>
        </w:r>
      </w:hyperlink>
    </w:p>
    <w:p w14:paraId="202DA83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Durán, E. T., Ricardo-Garcell, J., Zamorano, E. R., &amp; Mendoza, C. L. (2007). Neuropsychological characterization in clinical subtypes of an Obsessive-Compulsive Disorder (OCD) sample of patients. </w:t>
      </w:r>
      <w:r w:rsidRPr="00600FC7">
        <w:rPr>
          <w:rFonts w:ascii="Times New Roman" w:eastAsia="Times New Roman" w:hAnsi="Times New Roman" w:cs="Times New Roman"/>
          <w:i/>
          <w:iCs/>
          <w:sz w:val="24"/>
          <w:szCs w:val="24"/>
        </w:rPr>
        <w:t>Salud 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(1), 1–8.</w:t>
      </w:r>
    </w:p>
    <w:p w14:paraId="129AE6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Abadjian, L., Kincaid, A., Bilovsky-Muniz, T., Boreta, L., &amp; Gauger, G. E. (2013). The influence of chronic cigarette smoking on neurocognitive recovery after mild traumatic brain injury. </w:t>
      </w:r>
      <w:r w:rsidRPr="00600FC7">
        <w:rPr>
          <w:rFonts w:ascii="Times New Roman" w:eastAsia="Times New Roman" w:hAnsi="Times New Roman" w:cs="Times New Roman"/>
          <w:i/>
          <w:iCs/>
          <w:sz w:val="24"/>
          <w:szCs w:val="24"/>
        </w:rPr>
        <w:t>Journal of Neurotrauma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(11), 1013–1022. </w:t>
      </w:r>
      <w:hyperlink r:id="rId1571" w:history="1">
        <w:r w:rsidRPr="00600FC7">
          <w:rPr>
            <w:rFonts w:ascii="Times New Roman" w:eastAsia="Times New Roman" w:hAnsi="Times New Roman" w:cs="Times New Roman"/>
            <w:color w:val="0000FF"/>
            <w:sz w:val="24"/>
            <w:szCs w:val="24"/>
            <w:u w:val="single"/>
          </w:rPr>
          <w:t>https://doi.org/10.1089/neu.2012.2676</w:t>
        </w:r>
      </w:hyperlink>
    </w:p>
    <w:p w14:paraId="5B8F4F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Durazzo, T. C., Gazdzinski, S., Rothlind, J. C., Banys, P., &amp; Meyerhoff, D. J. (2006). Brain metabolite concentrations and neurocognition during short-term recovery from alcohol dependence: Preliminary evidence of the effects of concurrent chronic cigarette smoking.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(3), 539–551. </w:t>
      </w:r>
      <w:hyperlink r:id="rId1572" w:history="1">
        <w:r w:rsidRPr="00600FC7">
          <w:rPr>
            <w:rFonts w:ascii="Times New Roman" w:eastAsia="Times New Roman" w:hAnsi="Times New Roman" w:cs="Times New Roman"/>
            <w:color w:val="0000FF"/>
            <w:sz w:val="24"/>
            <w:szCs w:val="24"/>
            <w:u w:val="single"/>
          </w:rPr>
          <w:t>https://doi.org/10.1111/j.1530-0277.2006.00060.x</w:t>
        </w:r>
      </w:hyperlink>
    </w:p>
    <w:p w14:paraId="23EEF82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Meyerhoff, D. J., &amp; Nixon, S. J. (2012). A comprehensive assessment of neurocognition in middle-aged chronic cigarette smokers.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122</w:t>
      </w:r>
      <w:r w:rsidRPr="00600FC7">
        <w:rPr>
          <w:rFonts w:ascii="Times New Roman" w:eastAsia="Times New Roman" w:hAnsi="Times New Roman" w:cs="Times New Roman"/>
          <w:sz w:val="24"/>
          <w:szCs w:val="24"/>
        </w:rPr>
        <w:t xml:space="preserve">(1–2), 105–111. </w:t>
      </w:r>
      <w:hyperlink r:id="rId1573" w:history="1">
        <w:r w:rsidRPr="00600FC7">
          <w:rPr>
            <w:rFonts w:ascii="Times New Roman" w:eastAsia="Times New Roman" w:hAnsi="Times New Roman" w:cs="Times New Roman"/>
            <w:color w:val="0000FF"/>
            <w:sz w:val="24"/>
            <w:szCs w:val="24"/>
            <w:u w:val="single"/>
          </w:rPr>
          <w:t>https://doi.org/10.1016/j.drugalcdep.2011.09.019</w:t>
        </w:r>
      </w:hyperlink>
    </w:p>
    <w:p w14:paraId="21B3DF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Pennington, D. L., Schmidt, T. P., Mon, A., Abé, C., &amp; Meyerhoff, D. J. (2013). Neurocognition in 1‐month‐abstinent treatment‐seeking alcohol‐dependent individuals: Interactive effects of age and chronic cigarette smoking.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(10), 1794–1803.</w:t>
      </w:r>
    </w:p>
    <w:p w14:paraId="0CA4E0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Cardenas, V. A., Studholme, C., Weiner, M. W., &amp; Meyerhoff, D. J. (2007). Chronic cigarette smoking and heavy drinking in human immunodeficiency virus: Consequences for neurocognition and brain morphology. </w:t>
      </w:r>
      <w:r w:rsidRPr="00600FC7">
        <w:rPr>
          <w:rFonts w:ascii="Times New Roman" w:eastAsia="Times New Roman" w:hAnsi="Times New Roman" w:cs="Times New Roman"/>
          <w:i/>
          <w:iCs/>
          <w:sz w:val="24"/>
          <w:szCs w:val="24"/>
        </w:rPr>
        <w:t>Alcohol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(7), 489–501. </w:t>
      </w:r>
      <w:hyperlink r:id="rId1574" w:history="1">
        <w:r w:rsidRPr="00600FC7">
          <w:rPr>
            <w:rFonts w:ascii="Times New Roman" w:eastAsia="Times New Roman" w:hAnsi="Times New Roman" w:cs="Times New Roman"/>
            <w:color w:val="0000FF"/>
            <w:sz w:val="24"/>
            <w:szCs w:val="24"/>
            <w:u w:val="single"/>
          </w:rPr>
          <w:t>https://doi.org/10.1016/j.alcohol.2007.07.007</w:t>
        </w:r>
      </w:hyperlink>
    </w:p>
    <w:p w14:paraId="2C4938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Gazdzinski, S., Banys, P., &amp; Meyerhoff, D. J. (2006). A comparison of neurocognitive function in nonsmoking and chronically smoking short-term abstinent alcoholics. </w:t>
      </w:r>
      <w:r w:rsidRPr="00600FC7">
        <w:rPr>
          <w:rFonts w:ascii="Times New Roman" w:eastAsia="Times New Roman" w:hAnsi="Times New Roman" w:cs="Times New Roman"/>
          <w:i/>
          <w:iCs/>
          <w:sz w:val="24"/>
          <w:szCs w:val="24"/>
        </w:rPr>
        <w:t>Alcohol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(1), 1–11. </w:t>
      </w:r>
      <w:hyperlink r:id="rId1575" w:history="1">
        <w:r w:rsidRPr="00600FC7">
          <w:rPr>
            <w:rFonts w:ascii="Times New Roman" w:eastAsia="Times New Roman" w:hAnsi="Times New Roman" w:cs="Times New Roman"/>
            <w:color w:val="0000FF"/>
            <w:sz w:val="24"/>
            <w:szCs w:val="24"/>
            <w:u w:val="single"/>
          </w:rPr>
          <w:t>https://doi.org/10.1016/j.alcohol.2006.06.006</w:t>
        </w:r>
      </w:hyperlink>
    </w:p>
    <w:p w14:paraId="10150D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Durazzo, T. C., Rothlind, J. C., Gazdzinski, S., Banys, P., &amp; Meyerhoff, D. J. (2007). Chronic smoking is associated with differential neurocognitive recovery in abstinent alcoholic patients: A preliminary investigation.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(7), 1114–1127. </w:t>
      </w:r>
      <w:hyperlink r:id="rId1576" w:history="1">
        <w:r w:rsidRPr="00600FC7">
          <w:rPr>
            <w:rFonts w:ascii="Times New Roman" w:eastAsia="Times New Roman" w:hAnsi="Times New Roman" w:cs="Times New Roman"/>
            <w:color w:val="0000FF"/>
            <w:sz w:val="24"/>
            <w:szCs w:val="24"/>
            <w:u w:val="single"/>
          </w:rPr>
          <w:t>https://doi.org/10.1111/j.1530-0277.2007.00398.x</w:t>
        </w:r>
      </w:hyperlink>
    </w:p>
    <w:p w14:paraId="12C333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Durazzo, T. C., Rothlind, J. C., Gazdzinski, S., &amp; Meyerhoff, D. J. (2008). The relationships of sociodemographic factors, medical, psychiatric, and substance-misuse co-morbidities to neurocognition in short-term abstinent alcohol-dependent individuals. </w:t>
      </w:r>
      <w:r w:rsidRPr="00600FC7">
        <w:rPr>
          <w:rFonts w:ascii="Times New Roman" w:eastAsia="Times New Roman" w:hAnsi="Times New Roman" w:cs="Times New Roman"/>
          <w:i/>
          <w:iCs/>
          <w:sz w:val="24"/>
          <w:szCs w:val="24"/>
        </w:rPr>
        <w:t>Alcohol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(6), 439–449. </w:t>
      </w:r>
      <w:hyperlink r:id="rId1577" w:history="1">
        <w:r w:rsidRPr="00600FC7">
          <w:rPr>
            <w:rFonts w:ascii="Times New Roman" w:eastAsia="Times New Roman" w:hAnsi="Times New Roman" w:cs="Times New Roman"/>
            <w:color w:val="0000FF"/>
            <w:sz w:val="24"/>
            <w:szCs w:val="24"/>
            <w:u w:val="single"/>
          </w:rPr>
          <w:t>https://doi.org/10.1016/j.alcohol.2008.06.001</w:t>
        </w:r>
      </w:hyperlink>
    </w:p>
    <w:p w14:paraId="65940F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Durso, R. (2011). Dementia in Parkinson disease: Current concepts in neuropathology, neuroanatomy, and neurochemistry. </w:t>
      </w:r>
      <w:r w:rsidRPr="00600FC7">
        <w:rPr>
          <w:rFonts w:ascii="Times New Roman" w:eastAsia="Times New Roman" w:hAnsi="Times New Roman" w:cs="Times New Roman"/>
          <w:i/>
          <w:iCs/>
          <w:sz w:val="24"/>
          <w:szCs w:val="24"/>
        </w:rPr>
        <w:t>Dementia, Vols 1–3: History and Incidence, Science and Biology, Treatments and Developments.</w:t>
      </w:r>
      <w:r w:rsidRPr="00600FC7">
        <w:rPr>
          <w:rFonts w:ascii="Times New Roman" w:eastAsia="Times New Roman" w:hAnsi="Times New Roman" w:cs="Times New Roman"/>
          <w:sz w:val="24"/>
          <w:szCs w:val="24"/>
        </w:rPr>
        <w:t>, 159–182.</w:t>
      </w:r>
    </w:p>
    <w:p w14:paraId="7C2D1F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Durston, S., van Belle, J., &amp; de Zeeuw, P. (2011). Differentiating frontostriatal and fronto-cerebellar circuits in attention-deficit/hyperactivity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(12), 1178–1184. </w:t>
      </w:r>
      <w:hyperlink r:id="rId1578" w:history="1">
        <w:r w:rsidRPr="00600FC7">
          <w:rPr>
            <w:rFonts w:ascii="Times New Roman" w:eastAsia="Times New Roman" w:hAnsi="Times New Roman" w:cs="Times New Roman"/>
            <w:color w:val="0000FF"/>
            <w:sz w:val="24"/>
            <w:szCs w:val="24"/>
            <w:u w:val="single"/>
          </w:rPr>
          <w:t>https://doi.org/10.1016/j.biopsych.2010.07.037</w:t>
        </w:r>
      </w:hyperlink>
    </w:p>
    <w:p w14:paraId="6A1D66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Duwors, R. M. C. (1998). </w:t>
      </w:r>
      <w:r w:rsidRPr="00600FC7">
        <w:rPr>
          <w:rFonts w:ascii="Times New Roman" w:eastAsia="Times New Roman" w:hAnsi="Times New Roman" w:cs="Times New Roman"/>
          <w:i/>
          <w:iCs/>
          <w:sz w:val="24"/>
          <w:szCs w:val="24"/>
        </w:rPr>
        <w:t>An exploratory study of the relationship between neuropsychological deficit and selected personality disorders, impulsivity and violence.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(8-B), 4442–4442.</w:t>
      </w:r>
    </w:p>
    <w:p w14:paraId="04E9C5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Duyme, M., Arseneault, L., &amp; Dumaret, A.-C. (2004). Environmental Influences on Intellectual Abilities in Childhood: Findings from a Longitudinal Adoption Study. In </w:t>
      </w:r>
      <w:r w:rsidRPr="00600FC7">
        <w:rPr>
          <w:rFonts w:ascii="Times New Roman" w:eastAsia="Times New Roman" w:hAnsi="Times New Roman" w:cs="Times New Roman"/>
          <w:i/>
          <w:iCs/>
          <w:sz w:val="24"/>
          <w:szCs w:val="24"/>
        </w:rPr>
        <w:t>Human development across lives and generations: The potential for change.</w:t>
      </w:r>
      <w:r w:rsidRPr="00600FC7">
        <w:rPr>
          <w:rFonts w:ascii="Times New Roman" w:eastAsia="Times New Roman" w:hAnsi="Times New Roman" w:cs="Times New Roman"/>
          <w:sz w:val="24"/>
          <w:szCs w:val="24"/>
        </w:rPr>
        <w:t xml:space="preserve"> (pp. 278–292). Cambridge University Press.</w:t>
      </w:r>
    </w:p>
    <w:p w14:paraId="175533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Dwelle, D. G., Anderson, C. D., &amp; Butler, R. W. (2013). Childhood cancers: Neurological development and integrity. In </w:t>
      </w:r>
      <w:r w:rsidRPr="00600FC7">
        <w:rPr>
          <w:rFonts w:ascii="Times New Roman" w:eastAsia="Times New Roman" w:hAnsi="Times New Roman" w:cs="Times New Roman"/>
          <w:i/>
          <w:iCs/>
          <w:sz w:val="24"/>
          <w:szCs w:val="24"/>
        </w:rPr>
        <w:t>The neuropsychology of cancer and oncology.</w:t>
      </w:r>
      <w:r w:rsidRPr="00600FC7">
        <w:rPr>
          <w:rFonts w:ascii="Times New Roman" w:eastAsia="Times New Roman" w:hAnsi="Times New Roman" w:cs="Times New Roman"/>
          <w:sz w:val="24"/>
          <w:szCs w:val="24"/>
        </w:rPr>
        <w:t xml:space="preserve"> (pp. 363–377). Springer Publishing Co.</w:t>
      </w:r>
    </w:p>
    <w:p w14:paraId="3A98C4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Dywan, J., Segalowitz, S. J., Henderson, D., &amp; Jacoby, L. L. (1993). Memory for source after traumatic brain injury.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20–43. </w:t>
      </w:r>
      <w:hyperlink r:id="rId1579" w:history="1">
        <w:r w:rsidRPr="00600FC7">
          <w:rPr>
            <w:rFonts w:ascii="Times New Roman" w:eastAsia="Times New Roman" w:hAnsi="Times New Roman" w:cs="Times New Roman"/>
            <w:color w:val="0000FF"/>
            <w:sz w:val="24"/>
            <w:szCs w:val="24"/>
            <w:u w:val="single"/>
          </w:rPr>
          <w:t>https://doi.org/10.1006/brcg.1993.1002</w:t>
        </w:r>
      </w:hyperlink>
    </w:p>
    <w:p w14:paraId="11ACA3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Dywan, J., Segalowitz, S. J., &amp; Williamson, L. (1994). Source monitoring during name recognition in older adults: Psychometric and electrophysiological correlates. </w:t>
      </w:r>
      <w:r w:rsidRPr="00600FC7">
        <w:rPr>
          <w:rFonts w:ascii="Times New Roman" w:eastAsia="Times New Roman" w:hAnsi="Times New Roman" w:cs="Times New Roman"/>
          <w:i/>
          <w:iCs/>
          <w:sz w:val="24"/>
          <w:szCs w:val="24"/>
        </w:rPr>
        <w:t>Psychology and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(4), 568–577. </w:t>
      </w:r>
      <w:hyperlink r:id="rId1580" w:history="1">
        <w:r w:rsidRPr="00600FC7">
          <w:rPr>
            <w:rFonts w:ascii="Times New Roman" w:eastAsia="Times New Roman" w:hAnsi="Times New Roman" w:cs="Times New Roman"/>
            <w:color w:val="0000FF"/>
            <w:sz w:val="24"/>
            <w:szCs w:val="24"/>
            <w:u w:val="single"/>
          </w:rPr>
          <w:t>https://doi.org/10.1037/0882-7974.9.4.568</w:t>
        </w:r>
      </w:hyperlink>
    </w:p>
    <w:p w14:paraId="26FA52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(2013). Cognitive Enhancement Therapy. In </w:t>
      </w:r>
      <w:r w:rsidRPr="00600FC7">
        <w:rPr>
          <w:rFonts w:ascii="Times New Roman" w:eastAsia="Times New Roman" w:hAnsi="Times New Roman" w:cs="Times New Roman"/>
          <w:i/>
          <w:iCs/>
          <w:sz w:val="24"/>
          <w:szCs w:val="24"/>
        </w:rPr>
        <w:t>Social cognition in schizophrenia: From evidence to treatment.</w:t>
      </w:r>
      <w:r w:rsidRPr="00600FC7">
        <w:rPr>
          <w:rFonts w:ascii="Times New Roman" w:eastAsia="Times New Roman" w:hAnsi="Times New Roman" w:cs="Times New Roman"/>
          <w:sz w:val="24"/>
          <w:szCs w:val="24"/>
        </w:rPr>
        <w:t xml:space="preserve"> (pp. 335–357). Oxford University Press. </w:t>
      </w:r>
      <w:hyperlink r:id="rId1581" w:history="1">
        <w:r w:rsidRPr="00600FC7">
          <w:rPr>
            <w:rFonts w:ascii="Times New Roman" w:eastAsia="Times New Roman" w:hAnsi="Times New Roman" w:cs="Times New Roman"/>
            <w:color w:val="0000FF"/>
            <w:sz w:val="24"/>
            <w:szCs w:val="24"/>
            <w:u w:val="single"/>
          </w:rPr>
          <w:t>https://doi.org/10.1093/med:psych/9780199777587.003.0014</w:t>
        </w:r>
      </w:hyperlink>
    </w:p>
    <w:p w14:paraId="6C34016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Bahorik, A. L., Hogarty, S. S., Greenwald, D. P., Litschge, M. Y., Mazefsky, C. A., &amp; Minshew, N. J. (2013). Brief report: Is cognitive rehabilitation needed in verbal adults with autism? Insights from initial enrollment in a trial of cognitive enhancement therapy.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(9), 2233–2237. </w:t>
      </w:r>
      <w:hyperlink r:id="rId1582" w:history="1">
        <w:r w:rsidRPr="00600FC7">
          <w:rPr>
            <w:rFonts w:ascii="Times New Roman" w:eastAsia="Times New Roman" w:hAnsi="Times New Roman" w:cs="Times New Roman"/>
            <w:color w:val="0000FF"/>
            <w:sz w:val="24"/>
            <w:szCs w:val="24"/>
            <w:u w:val="single"/>
          </w:rPr>
          <w:t>https://doi.org/10.1007/s10803-013-1774-2</w:t>
        </w:r>
      </w:hyperlink>
    </w:p>
    <w:p w14:paraId="2225C2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Bahorik, A. L., McKnight, S. A. F., Hogarty, S. S., Greenwald, D. P., Newhill, C. E., Phillips, M. L., Keshavan, M. S., &amp; Minshew, N. J. (2013). Commonalities in social and non-social cognitive impairments in adults with autism spectrum disorder and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148</w:t>
      </w:r>
      <w:r w:rsidRPr="00600FC7">
        <w:rPr>
          <w:rFonts w:ascii="Times New Roman" w:eastAsia="Times New Roman" w:hAnsi="Times New Roman" w:cs="Times New Roman"/>
          <w:sz w:val="24"/>
          <w:szCs w:val="24"/>
        </w:rPr>
        <w:t xml:space="preserve">(1–3), 24–28. </w:t>
      </w:r>
      <w:hyperlink r:id="rId1583" w:history="1">
        <w:r w:rsidRPr="00600FC7">
          <w:rPr>
            <w:rFonts w:ascii="Times New Roman" w:eastAsia="Times New Roman" w:hAnsi="Times New Roman" w:cs="Times New Roman"/>
            <w:color w:val="0000FF"/>
            <w:sz w:val="24"/>
            <w:szCs w:val="24"/>
            <w:u w:val="single"/>
          </w:rPr>
          <w:t>https://doi.org/10.1016/j.schres.2013.05.013</w:t>
        </w:r>
      </w:hyperlink>
    </w:p>
    <w:p w14:paraId="1DB3CC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Greeno, C. G., Pogue-Geile, M. F., Newhill, C. E., Hogarty, G. E., &amp; Keshavan, M. S. (2010). Assessing social-cognitive deficits in schizophrenia with the Mayer-Salovey-Emotional Intelligence Test.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370–380. </w:t>
      </w:r>
      <w:hyperlink r:id="rId1584" w:history="1">
        <w:r w:rsidRPr="00600FC7">
          <w:rPr>
            <w:rFonts w:ascii="Times New Roman" w:eastAsia="Times New Roman" w:hAnsi="Times New Roman" w:cs="Times New Roman"/>
            <w:color w:val="0000FF"/>
            <w:sz w:val="24"/>
            <w:szCs w:val="24"/>
            <w:u w:val="single"/>
          </w:rPr>
          <w:t>https://doi.org/10.1093/schbul/sbn091</w:t>
        </w:r>
      </w:hyperlink>
    </w:p>
    <w:p w14:paraId="15A9B8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Greenwald, D. P., Hogarty, S. S., Bahorik, A. L., Litschge, M. Y., Mazefsky, C. A., &amp; Minshew, N. J. (2013). Cognitive enhancement therapy for adults with autism spectrum </w:t>
      </w:r>
      <w:r w:rsidRPr="00600FC7">
        <w:rPr>
          <w:rFonts w:ascii="Times New Roman" w:eastAsia="Times New Roman" w:hAnsi="Times New Roman" w:cs="Times New Roman"/>
          <w:sz w:val="24"/>
          <w:szCs w:val="24"/>
        </w:rPr>
        <w:lastRenderedPageBreak/>
        <w:t xml:space="preserve">disorder: Results of an 18-month feasibility study.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(12), 2866–2877. </w:t>
      </w:r>
      <w:hyperlink r:id="rId1585" w:history="1">
        <w:r w:rsidRPr="00600FC7">
          <w:rPr>
            <w:rFonts w:ascii="Times New Roman" w:eastAsia="Times New Roman" w:hAnsi="Times New Roman" w:cs="Times New Roman"/>
            <w:color w:val="0000FF"/>
            <w:sz w:val="24"/>
            <w:szCs w:val="24"/>
            <w:u w:val="single"/>
          </w:rPr>
          <w:t>https://doi.org/10.1007/s10803-013-1834-7</w:t>
        </w:r>
      </w:hyperlink>
    </w:p>
    <w:p w14:paraId="2B0FED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Greenwald, D. P., Hogarty, S. S., Cooley, S. J., DiBarry, A. L., Montrose, D. M., &amp; Keshavan, M. S. (2009). Cognitive enhancement therapy for early-course schizophrenia: Effects of a two-year randomized controlled trial. </w:t>
      </w:r>
      <w:r w:rsidRPr="00600FC7">
        <w:rPr>
          <w:rFonts w:ascii="Times New Roman" w:eastAsia="Times New Roman" w:hAnsi="Times New Roman" w:cs="Times New Roman"/>
          <w:i/>
          <w:iCs/>
          <w:sz w:val="24"/>
          <w:szCs w:val="24"/>
        </w:rPr>
        <w:t>Psychiatric Services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(11), 1468–1476. </w:t>
      </w:r>
      <w:hyperlink r:id="rId1586" w:history="1">
        <w:r w:rsidRPr="00600FC7">
          <w:rPr>
            <w:rFonts w:ascii="Times New Roman" w:eastAsia="Times New Roman" w:hAnsi="Times New Roman" w:cs="Times New Roman"/>
            <w:color w:val="0000FF"/>
            <w:sz w:val="24"/>
            <w:szCs w:val="24"/>
            <w:u w:val="single"/>
          </w:rPr>
          <w:t>https://doi.org/10.1176/appi.ps.60.11.1468</w:t>
        </w:r>
      </w:hyperlink>
    </w:p>
    <w:p w14:paraId="1D1A73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Hogarty, G. E., Cho, R. Y., Prasad, K. M. R., Greenwald, D. P., Hogarty, S. S., &amp; Keshavan, M. S. (2010). Neuroprotective effects of cognitive enhancement therapy against gray matter loss in early schizophrenia: Results from a 2-year randomized controlled trial.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(7), 674–682. </w:t>
      </w:r>
      <w:hyperlink r:id="rId1587" w:history="1">
        <w:r w:rsidRPr="00600FC7">
          <w:rPr>
            <w:rFonts w:ascii="Times New Roman" w:eastAsia="Times New Roman" w:hAnsi="Times New Roman" w:cs="Times New Roman"/>
            <w:color w:val="0000FF"/>
            <w:sz w:val="24"/>
            <w:szCs w:val="24"/>
            <w:u w:val="single"/>
          </w:rPr>
          <w:t>https://doi.org/10.1001/archgenpsychiatry.2010.63</w:t>
        </w:r>
      </w:hyperlink>
    </w:p>
    <w:p w14:paraId="1AC43D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Hogarty, G. E., Greenwald, D. P., Hogarty, S. S., &amp; Keshavan, M. S. (2011). Effects of cognitive enhancement therapy on employment outcomes in early schizophrenia: Results from a 2-year randomized trial. </w:t>
      </w:r>
      <w:r w:rsidRPr="00600FC7">
        <w:rPr>
          <w:rFonts w:ascii="Times New Roman" w:eastAsia="Times New Roman" w:hAnsi="Times New Roman" w:cs="Times New Roman"/>
          <w:i/>
          <w:iCs/>
          <w:sz w:val="24"/>
          <w:szCs w:val="24"/>
        </w:rPr>
        <w:t>Research on Social Work Practice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32–42. </w:t>
      </w:r>
      <w:hyperlink r:id="rId1588" w:history="1">
        <w:r w:rsidRPr="00600FC7">
          <w:rPr>
            <w:rFonts w:ascii="Times New Roman" w:eastAsia="Times New Roman" w:hAnsi="Times New Roman" w:cs="Times New Roman"/>
            <w:color w:val="0000FF"/>
            <w:sz w:val="24"/>
            <w:szCs w:val="24"/>
            <w:u w:val="single"/>
          </w:rPr>
          <w:t>https://doi.org/10.1177/1049731509355812</w:t>
        </w:r>
      </w:hyperlink>
    </w:p>
    <w:p w14:paraId="7571D2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Hogarty, S. S., Greenwald, D. P., Litschge, M. Y., Porton, S. A., Mazefsky, C. A., &amp; Minshew, N. J. (2018). Cognitive enhancement therapy for adult autism spectrum disorder: Results of an 18‐month randomized clinical trial. </w:t>
      </w:r>
      <w:r w:rsidRPr="00600FC7">
        <w:rPr>
          <w:rFonts w:ascii="Times New Roman" w:eastAsia="Times New Roman" w:hAnsi="Times New Roman" w:cs="Times New Roman"/>
          <w:i/>
          <w:iCs/>
          <w:sz w:val="24"/>
          <w:szCs w:val="24"/>
        </w:rPr>
        <w:t>Autism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519–530. </w:t>
      </w:r>
      <w:hyperlink r:id="rId1589" w:history="1">
        <w:r w:rsidRPr="00600FC7">
          <w:rPr>
            <w:rFonts w:ascii="Times New Roman" w:eastAsia="Times New Roman" w:hAnsi="Times New Roman" w:cs="Times New Roman"/>
            <w:color w:val="0000FF"/>
            <w:sz w:val="24"/>
            <w:szCs w:val="24"/>
            <w:u w:val="single"/>
          </w:rPr>
          <w:t>https://doi.org/10.1002/aur.1913</w:t>
        </w:r>
      </w:hyperlink>
    </w:p>
    <w:p w14:paraId="2AB786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&amp; Keshavan, M. S. (2008). Foresight in schizophrenia: A potentially unique and relevant factor to functional disability. </w:t>
      </w:r>
      <w:r w:rsidRPr="00600FC7">
        <w:rPr>
          <w:rFonts w:ascii="Times New Roman" w:eastAsia="Times New Roman" w:hAnsi="Times New Roman" w:cs="Times New Roman"/>
          <w:i/>
          <w:iCs/>
          <w:sz w:val="24"/>
          <w:szCs w:val="24"/>
        </w:rPr>
        <w:t>Psychiatric Services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(3), 256–260. </w:t>
      </w:r>
      <w:hyperlink r:id="rId1590" w:history="1">
        <w:r w:rsidRPr="00600FC7">
          <w:rPr>
            <w:rFonts w:ascii="Times New Roman" w:eastAsia="Times New Roman" w:hAnsi="Times New Roman" w:cs="Times New Roman"/>
            <w:color w:val="0000FF"/>
            <w:sz w:val="24"/>
            <w:szCs w:val="24"/>
            <w:u w:val="single"/>
          </w:rPr>
          <w:t>https://doi.org/10.1176/appi.ps.59.3.256</w:t>
        </w:r>
      </w:hyperlink>
    </w:p>
    <w:p w14:paraId="5DA73A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Eack, S. M., Mermon, D. E., Montrose, D. M., Miewald, J., Gur, R. E., Gur, R. C., Sweeney, J. A., &amp; Keshavan, M. S. (2010). Social cognition deficits among individuals at familial high risk for schizophrenia.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(6), 1081–1088. </w:t>
      </w:r>
      <w:hyperlink r:id="rId1591" w:history="1">
        <w:r w:rsidRPr="00600FC7">
          <w:rPr>
            <w:rFonts w:ascii="Times New Roman" w:eastAsia="Times New Roman" w:hAnsi="Times New Roman" w:cs="Times New Roman"/>
            <w:color w:val="0000FF"/>
            <w:sz w:val="24"/>
            <w:szCs w:val="24"/>
            <w:u w:val="single"/>
          </w:rPr>
          <w:t>https://doi.org/10.1093/schbul/sbp026</w:t>
        </w:r>
      </w:hyperlink>
    </w:p>
    <w:p w14:paraId="73751E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Mesholam-Gately, R. I., Greenwald, D. P., Hogarty, S. S., &amp; Keshavan, M. S. (2013). Negative symptom improvement during cognitive rehabilitation: Results from a 2-year trial of Cognitive Enhancement Therapy.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209</w:t>
      </w:r>
      <w:r w:rsidRPr="00600FC7">
        <w:rPr>
          <w:rFonts w:ascii="Times New Roman" w:eastAsia="Times New Roman" w:hAnsi="Times New Roman" w:cs="Times New Roman"/>
          <w:sz w:val="24"/>
          <w:szCs w:val="24"/>
        </w:rPr>
        <w:t xml:space="preserve">(1), 21–26. </w:t>
      </w:r>
      <w:hyperlink r:id="rId1592" w:history="1">
        <w:r w:rsidRPr="00600FC7">
          <w:rPr>
            <w:rFonts w:ascii="Times New Roman" w:eastAsia="Times New Roman" w:hAnsi="Times New Roman" w:cs="Times New Roman"/>
            <w:color w:val="0000FF"/>
            <w:sz w:val="24"/>
            <w:szCs w:val="24"/>
            <w:u w:val="single"/>
          </w:rPr>
          <w:t>https://doi.org/10.1016/j.psychres.2013.03.020</w:t>
        </w:r>
      </w:hyperlink>
    </w:p>
    <w:p w14:paraId="6F137B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Pogue-Geile, M. F., Greenwald, D. P., Hogarty, S. S., &amp; Keshavan, M. S. (2011). Mechanisms of functional improvement in a 2-year trial of cognitive enhancement therapy for early schizophrenia.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(6), 1253–1261. </w:t>
      </w:r>
      <w:hyperlink r:id="rId1593" w:history="1">
        <w:r w:rsidRPr="00600FC7">
          <w:rPr>
            <w:rFonts w:ascii="Times New Roman" w:eastAsia="Times New Roman" w:hAnsi="Times New Roman" w:cs="Times New Roman"/>
            <w:color w:val="0000FF"/>
            <w:sz w:val="24"/>
            <w:szCs w:val="24"/>
            <w:u w:val="single"/>
          </w:rPr>
          <w:t>https://doi.org/10.1017/S0033291710001765</w:t>
        </w:r>
      </w:hyperlink>
    </w:p>
    <w:p w14:paraId="597B0D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Eack, S. M., Prasad, K. M. R., Montrose, D. M., Goradia, D. D., Dworakowski, D., Miewald, J., &amp; Keshavan, M. S. (2008). An integrated psychobiological predictive model of emergent psychopathology among young relatives at risk for schizophrenia.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(8), 1873–1878. </w:t>
      </w:r>
      <w:hyperlink r:id="rId1594" w:history="1">
        <w:r w:rsidRPr="00600FC7">
          <w:rPr>
            <w:rFonts w:ascii="Times New Roman" w:eastAsia="Times New Roman" w:hAnsi="Times New Roman" w:cs="Times New Roman"/>
            <w:color w:val="0000FF"/>
            <w:sz w:val="24"/>
            <w:szCs w:val="24"/>
            <w:u w:val="single"/>
          </w:rPr>
          <w:t>https://doi.org/10.1016/j.pnpbp.2008.08.024</w:t>
        </w:r>
      </w:hyperlink>
    </w:p>
    <w:p w14:paraId="60C4E0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Eastvold, A. D., Belanger, H. G., &amp; Vanderploeg, R. D. (2012). Does a third party observer affect neuropsychological test performance? It depends.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520–541. </w:t>
      </w:r>
      <w:hyperlink r:id="rId1595" w:history="1">
        <w:r w:rsidRPr="00600FC7">
          <w:rPr>
            <w:rFonts w:ascii="Times New Roman" w:eastAsia="Times New Roman" w:hAnsi="Times New Roman" w:cs="Times New Roman"/>
            <w:color w:val="0000FF"/>
            <w:sz w:val="24"/>
            <w:szCs w:val="24"/>
            <w:u w:val="single"/>
          </w:rPr>
          <w:t>https://doi.org/10.1080/13854046.2012.663000</w:t>
        </w:r>
      </w:hyperlink>
    </w:p>
    <w:p w14:paraId="7BDAD5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Eastvold, A. D., Heaton, R. K., &amp; Cadenhead, K. S. (2007). Neurocognitive deficits in the (putative) prodrome and first episode of psychosis.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93</w:t>
      </w:r>
      <w:r w:rsidRPr="00600FC7">
        <w:rPr>
          <w:rFonts w:ascii="Times New Roman" w:eastAsia="Times New Roman" w:hAnsi="Times New Roman" w:cs="Times New Roman"/>
          <w:sz w:val="24"/>
          <w:szCs w:val="24"/>
        </w:rPr>
        <w:t xml:space="preserve">(1–3), 266–277. </w:t>
      </w:r>
      <w:hyperlink r:id="rId1596" w:history="1">
        <w:r w:rsidRPr="00600FC7">
          <w:rPr>
            <w:rFonts w:ascii="Times New Roman" w:eastAsia="Times New Roman" w:hAnsi="Times New Roman" w:cs="Times New Roman"/>
            <w:color w:val="0000FF"/>
            <w:sz w:val="24"/>
            <w:szCs w:val="24"/>
            <w:u w:val="single"/>
          </w:rPr>
          <w:t>https://doi.org/10.1016/j.schres.2007.03.013</w:t>
        </w:r>
      </w:hyperlink>
    </w:p>
    <w:p w14:paraId="1539C37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Ebersbach, M., &amp; Hagedorn, H. (2011). The role of cognitive flexibility in the spatial representation of children’s drawings. </w:t>
      </w:r>
      <w:r w:rsidRPr="00600FC7">
        <w:rPr>
          <w:rFonts w:ascii="Times New Roman" w:eastAsia="Times New Roman" w:hAnsi="Times New Roman" w:cs="Times New Roman"/>
          <w:i/>
          <w:iCs/>
          <w:sz w:val="24"/>
          <w:szCs w:val="24"/>
        </w:rPr>
        <w:t>Journal of Cognition and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 32–55. </w:t>
      </w:r>
      <w:hyperlink r:id="rId1597" w:history="1">
        <w:r w:rsidRPr="00600FC7">
          <w:rPr>
            <w:rFonts w:ascii="Times New Roman" w:eastAsia="Times New Roman" w:hAnsi="Times New Roman" w:cs="Times New Roman"/>
            <w:color w:val="0000FF"/>
            <w:sz w:val="24"/>
            <w:szCs w:val="24"/>
            <w:u w:val="single"/>
          </w:rPr>
          <w:t>https://doi.org/10.1080/15248372.2011.539526</w:t>
        </w:r>
      </w:hyperlink>
    </w:p>
    <w:p w14:paraId="640B4C4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Ebert, K. D., &amp; Kohnert, K. (2011). Sustained attention in children with primary language impairment: A meta-analysis. </w:t>
      </w:r>
      <w:r w:rsidRPr="00600FC7">
        <w:rPr>
          <w:rFonts w:ascii="Times New Roman" w:eastAsia="Times New Roman" w:hAnsi="Times New Roman" w:cs="Times New Roman"/>
          <w:i/>
          <w:iCs/>
          <w:sz w:val="24"/>
          <w:szCs w:val="24"/>
        </w:rPr>
        <w:t>Journal of Speech, Language, and Hearing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(5), 1372–1384. </w:t>
      </w:r>
      <w:hyperlink r:id="rId1598" w:history="1">
        <w:r w:rsidRPr="00600FC7">
          <w:rPr>
            <w:rFonts w:ascii="Times New Roman" w:eastAsia="Times New Roman" w:hAnsi="Times New Roman" w:cs="Times New Roman"/>
            <w:color w:val="0000FF"/>
            <w:sz w:val="24"/>
            <w:szCs w:val="24"/>
            <w:u w:val="single"/>
          </w:rPr>
          <w:t>https://doi.org/10.1044/1092-4388(2011/10-0231)</w:t>
        </w:r>
      </w:hyperlink>
    </w:p>
    <w:p w14:paraId="2079CF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Eddy, C. M., &amp; Cavanna, A. E. (2017). Set-shifting deficits: A possible neurocognitive endophenotype for Tourette syndrome without ADHD. </w:t>
      </w:r>
      <w:r w:rsidRPr="00600FC7">
        <w:rPr>
          <w:rFonts w:ascii="Times New Roman" w:eastAsia="Times New Roman" w:hAnsi="Times New Roman" w:cs="Times New Roman"/>
          <w:i/>
          <w:iCs/>
          <w:sz w:val="24"/>
          <w:szCs w:val="24"/>
        </w:rPr>
        <w:t>Journal of Attention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(10), 824–834. </w:t>
      </w:r>
      <w:hyperlink r:id="rId1599" w:history="1">
        <w:r w:rsidRPr="00600FC7">
          <w:rPr>
            <w:rFonts w:ascii="Times New Roman" w:eastAsia="Times New Roman" w:hAnsi="Times New Roman" w:cs="Times New Roman"/>
            <w:color w:val="0000FF"/>
            <w:sz w:val="24"/>
            <w:szCs w:val="24"/>
            <w:u w:val="single"/>
          </w:rPr>
          <w:t>https://doi.org/10.1177/1087054714545536</w:t>
        </w:r>
      </w:hyperlink>
    </w:p>
    <w:p w14:paraId="7C26CC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Eddy, C. M., Cavanna, A. E., Rickards, H. E., &amp; Hansen, P. C. (2016). Temporo-parietal dysfunction in Tourette syndrome: Insights from an fMRI study of Theory of Mind.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81</w:t>
      </w:r>
      <w:r w:rsidRPr="00600FC7">
        <w:rPr>
          <w:rFonts w:ascii="Times New Roman" w:eastAsia="Times New Roman" w:hAnsi="Times New Roman" w:cs="Times New Roman"/>
          <w:sz w:val="24"/>
          <w:szCs w:val="24"/>
        </w:rPr>
        <w:t xml:space="preserve">, 102–111. </w:t>
      </w:r>
      <w:hyperlink r:id="rId1600" w:history="1">
        <w:r w:rsidRPr="00600FC7">
          <w:rPr>
            <w:rFonts w:ascii="Times New Roman" w:eastAsia="Times New Roman" w:hAnsi="Times New Roman" w:cs="Times New Roman"/>
            <w:color w:val="0000FF"/>
            <w:sz w:val="24"/>
            <w:szCs w:val="24"/>
            <w:u w:val="single"/>
          </w:rPr>
          <w:t>https://doi.org/10.1016/j.jpsychires.2016.07.002</w:t>
        </w:r>
      </w:hyperlink>
    </w:p>
    <w:p w14:paraId="778FD8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Eddy, C. M., &amp; Rickards, H. E. (2015). Theory of mind can be impaired prior to motor onset in Huntington’s disease.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(5), 792–798. </w:t>
      </w:r>
      <w:hyperlink r:id="rId1601" w:history="1">
        <w:r w:rsidRPr="00600FC7">
          <w:rPr>
            <w:rFonts w:ascii="Times New Roman" w:eastAsia="Times New Roman" w:hAnsi="Times New Roman" w:cs="Times New Roman"/>
            <w:color w:val="0000FF"/>
            <w:sz w:val="24"/>
            <w:szCs w:val="24"/>
            <w:u w:val="single"/>
          </w:rPr>
          <w:t>https://doi.org/10.1037/neu0000190</w:t>
        </w:r>
      </w:hyperlink>
    </w:p>
    <w:p w14:paraId="647BB4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Edelen, M. O., Huang, W., &amp; Stucky, B. D. (2016). Additional validity evidence for the PROMIS Smoking Assessment Toolkit. </w:t>
      </w:r>
      <w:r w:rsidRPr="00600FC7">
        <w:rPr>
          <w:rFonts w:ascii="Times New Roman" w:eastAsia="Times New Roman" w:hAnsi="Times New Roman" w:cs="Times New Roman"/>
          <w:i/>
          <w:iCs/>
          <w:sz w:val="24"/>
          <w:szCs w:val="24"/>
        </w:rPr>
        <w:t>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 80–84. </w:t>
      </w:r>
      <w:hyperlink r:id="rId1602" w:history="1">
        <w:r w:rsidRPr="00600FC7">
          <w:rPr>
            <w:rFonts w:ascii="Times New Roman" w:eastAsia="Times New Roman" w:hAnsi="Times New Roman" w:cs="Times New Roman"/>
            <w:color w:val="0000FF"/>
            <w:sz w:val="24"/>
            <w:szCs w:val="24"/>
            <w:u w:val="single"/>
          </w:rPr>
          <w:t>https://doi.org/10.1016/j.addbeh.2016.02.035</w:t>
        </w:r>
      </w:hyperlink>
    </w:p>
    <w:p w14:paraId="78B6BF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Edelstyn, N. M. J., Baker, S. R., Ellis, S. J., &amp; Jenkinson, P. (2004). A cognitive neuropsychological and psychophysiological investigation of a patient who exhibited an acute exacerbated behavioural response during innocuous somatosensory stimulation and movement. </w:t>
      </w:r>
      <w:r w:rsidRPr="00600FC7">
        <w:rPr>
          <w:rFonts w:ascii="Times New Roman" w:eastAsia="Times New Roman" w:hAnsi="Times New Roman" w:cs="Times New Roman"/>
          <w:i/>
          <w:iCs/>
          <w:sz w:val="24"/>
          <w:szCs w:val="24"/>
        </w:rPr>
        <w:t>Behavioural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(1–2), 15–22. </w:t>
      </w:r>
      <w:hyperlink r:id="rId1603" w:history="1">
        <w:r w:rsidRPr="00600FC7">
          <w:rPr>
            <w:rFonts w:ascii="Times New Roman" w:eastAsia="Times New Roman" w:hAnsi="Times New Roman" w:cs="Times New Roman"/>
            <w:color w:val="0000FF"/>
            <w:sz w:val="24"/>
            <w:szCs w:val="24"/>
            <w:u w:val="single"/>
          </w:rPr>
          <w:t>https://doi.org/10.1155/2004/458327</w:t>
        </w:r>
      </w:hyperlink>
    </w:p>
    <w:p w14:paraId="15E019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Edelstyn, N. M. J., Drakeford, J., Oyebode, F., &amp; Findlay, C. (2003). Investigation of Conscious Recollection, False Recognition and Delusional Misidentification in Patients with Schizophrenia.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(6), 312–319. </w:t>
      </w:r>
      <w:hyperlink r:id="rId1604" w:history="1">
        <w:r w:rsidRPr="00600FC7">
          <w:rPr>
            <w:rFonts w:ascii="Times New Roman" w:eastAsia="Times New Roman" w:hAnsi="Times New Roman" w:cs="Times New Roman"/>
            <w:color w:val="0000FF"/>
            <w:sz w:val="24"/>
            <w:szCs w:val="24"/>
            <w:u w:val="single"/>
          </w:rPr>
          <w:t>https://doi.org/10.1159/000075831</w:t>
        </w:r>
      </w:hyperlink>
    </w:p>
    <w:p w14:paraId="512C3A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Edidin, J. P., &amp; Hunter, S. J. (2013). Neuropsychological assessment in rehabilitation. In C. A. Noggle, R. S. Dean, &amp; M. T. Barisa (Eds.),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(pp. 203–231). Springer Publishing Company. </w:t>
      </w:r>
      <w:hyperlink r:id="rId1605" w:history="1">
        <w:r w:rsidRPr="00600FC7">
          <w:rPr>
            <w:rFonts w:ascii="Times New Roman" w:eastAsia="Times New Roman" w:hAnsi="Times New Roman" w:cs="Times New Roman"/>
            <w:color w:val="0000FF"/>
            <w:sz w:val="24"/>
            <w:szCs w:val="24"/>
            <w:u w:val="single"/>
          </w:rPr>
          <w:t>http://search.ebscohost.com/login.aspx?direct=true&amp;db=psyh&amp;AN=2013-17458-012&amp;site=ehost-live</w:t>
        </w:r>
      </w:hyperlink>
    </w:p>
    <w:p w14:paraId="28DEFC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Edwards-Lee, T., Wen, J., Chung, J. A., Vasinrapee, P., &amp; Mishkin, F. S. (2009). Relative hyperperfusion by SPECT in a family with a presenilin 1 (T245P) mutation.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53–59. </w:t>
      </w:r>
      <w:hyperlink r:id="rId1606" w:history="1">
        <w:r w:rsidRPr="00600FC7">
          <w:rPr>
            <w:rFonts w:ascii="Times New Roman" w:eastAsia="Times New Roman" w:hAnsi="Times New Roman" w:cs="Times New Roman"/>
            <w:color w:val="0000FF"/>
            <w:sz w:val="24"/>
            <w:szCs w:val="24"/>
            <w:u w:val="single"/>
          </w:rPr>
          <w:t>https://doi.org/10.1080/13554790802613017</w:t>
        </w:r>
      </w:hyperlink>
    </w:p>
    <w:p w14:paraId="0D850F9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Egan, G. J., Hasenkamp, W., Wilcox, L., Green, A., Hsu, N., Boshoven, W., Lewison, B., Keyes, M. D., &amp; Duncan, E. (2011). Declarative memory and WCST-64 performance in subjects with schizophrenia and healthy controls.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188</w:t>
      </w:r>
      <w:r w:rsidRPr="00600FC7">
        <w:rPr>
          <w:rFonts w:ascii="Times New Roman" w:eastAsia="Times New Roman" w:hAnsi="Times New Roman" w:cs="Times New Roman"/>
          <w:sz w:val="24"/>
          <w:szCs w:val="24"/>
        </w:rPr>
        <w:t xml:space="preserve">(2), 191–196. </w:t>
      </w:r>
      <w:hyperlink r:id="rId1607" w:history="1">
        <w:r w:rsidRPr="00600FC7">
          <w:rPr>
            <w:rFonts w:ascii="Times New Roman" w:eastAsia="Times New Roman" w:hAnsi="Times New Roman" w:cs="Times New Roman"/>
            <w:color w:val="0000FF"/>
            <w:sz w:val="24"/>
            <w:szCs w:val="24"/>
            <w:u w:val="single"/>
          </w:rPr>
          <w:t>https://doi.org/10.1016/j.psychres.2011.02.026</w:t>
        </w:r>
      </w:hyperlink>
    </w:p>
    <w:p w14:paraId="44B42BC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Egan, K. R., &amp; Gleason, C. E. (2012). Longer duration of hormonal contraceptive use predicts better cognitive outcomes later in life. </w:t>
      </w:r>
      <w:r w:rsidRPr="00600FC7">
        <w:rPr>
          <w:rFonts w:ascii="Times New Roman" w:eastAsia="Times New Roman" w:hAnsi="Times New Roman" w:cs="Times New Roman"/>
          <w:i/>
          <w:iCs/>
          <w:sz w:val="24"/>
          <w:szCs w:val="24"/>
        </w:rPr>
        <w:t>Journal of Women’s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(12), 1259–1266. </w:t>
      </w:r>
      <w:hyperlink r:id="rId1608" w:history="1">
        <w:r w:rsidRPr="00600FC7">
          <w:rPr>
            <w:rFonts w:ascii="Times New Roman" w:eastAsia="Times New Roman" w:hAnsi="Times New Roman" w:cs="Times New Roman"/>
            <w:color w:val="0000FF"/>
            <w:sz w:val="24"/>
            <w:szCs w:val="24"/>
            <w:u w:val="single"/>
          </w:rPr>
          <w:t>https://doi.org/10.1089/jwh.2012.3522</w:t>
        </w:r>
      </w:hyperlink>
    </w:p>
    <w:p w14:paraId="4F018C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Egbert, A. R., Biswal, B., Karunakaran, K. D., Pluta, A., Wolak, T., Rao, S., Bornstein, R., Szymańska, B., Horban, A., Firląg-Burkacka, E., Sobańska, M., Gawron, N., Bieńkowski, P., Sienkiewicz-Jarosz, H., Ścińska-Bieńkowska, A., &amp; Łojek, E. (2019). HIV infection across aging: Synergistic effects on intrinsic functional connectivity of the brain. </w:t>
      </w:r>
      <w:r w:rsidRPr="00600FC7">
        <w:rPr>
          <w:rFonts w:ascii="Times New Roman" w:eastAsia="Times New Roman" w:hAnsi="Times New Roman" w:cs="Times New Roman"/>
          <w:i/>
          <w:iCs/>
          <w:sz w:val="24"/>
          <w:szCs w:val="24"/>
        </w:rPr>
        <w:t xml:space="preserve">Progress </w:t>
      </w:r>
      <w:r w:rsidRPr="00600FC7">
        <w:rPr>
          <w:rFonts w:ascii="Times New Roman" w:eastAsia="Times New Roman" w:hAnsi="Times New Roman" w:cs="Times New Roman"/>
          <w:i/>
          <w:iCs/>
          <w:sz w:val="24"/>
          <w:szCs w:val="24"/>
        </w:rPr>
        <w:lastRenderedPageBreak/>
        <w:t>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 19–30. </w:t>
      </w:r>
      <w:hyperlink r:id="rId1609" w:history="1">
        <w:r w:rsidRPr="00600FC7">
          <w:rPr>
            <w:rFonts w:ascii="Times New Roman" w:eastAsia="Times New Roman" w:hAnsi="Times New Roman" w:cs="Times New Roman"/>
            <w:color w:val="0000FF"/>
            <w:sz w:val="24"/>
            <w:szCs w:val="24"/>
            <w:u w:val="single"/>
          </w:rPr>
          <w:t>https://doi.org/10.1016/j.pnpbp.2018.06.006</w:t>
        </w:r>
      </w:hyperlink>
    </w:p>
    <w:p w14:paraId="09697E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Egbert, A. R., Biswal, B., Karunakaran, K., Gohel, S., Pluta, A., Wolak, T., Szymańska, B., Firląg-Burkacka, E., Sobańska, M., Gawron, N., Bieńkowski, P., Sienkiewicz-Jarosz, H., Ścińska-Bieńkowska, A., Bornstein, R., Rao, S., &amp; Łojek, E. (2018). Age and HIV effects on resting state of the brain in relationship to neurocognitive functioning. </w:t>
      </w:r>
      <w:r w:rsidRPr="00600FC7">
        <w:rPr>
          <w:rFonts w:ascii="Times New Roman" w:eastAsia="Times New Roman" w:hAnsi="Times New Roman" w:cs="Times New Roman"/>
          <w:i/>
          <w:iCs/>
          <w:sz w:val="24"/>
          <w:szCs w:val="24"/>
        </w:rPr>
        <w:t>Behavioural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344</w:t>
      </w:r>
      <w:r w:rsidRPr="00600FC7">
        <w:rPr>
          <w:rFonts w:ascii="Times New Roman" w:eastAsia="Times New Roman" w:hAnsi="Times New Roman" w:cs="Times New Roman"/>
          <w:sz w:val="24"/>
          <w:szCs w:val="24"/>
        </w:rPr>
        <w:t xml:space="preserve">, 20–27. </w:t>
      </w:r>
      <w:hyperlink r:id="rId1610" w:history="1">
        <w:r w:rsidRPr="00600FC7">
          <w:rPr>
            <w:rFonts w:ascii="Times New Roman" w:eastAsia="Times New Roman" w:hAnsi="Times New Roman" w:cs="Times New Roman"/>
            <w:color w:val="0000FF"/>
            <w:sz w:val="24"/>
            <w:szCs w:val="24"/>
            <w:u w:val="single"/>
          </w:rPr>
          <w:t>https://doi.org/10.1016/j.bbr.2018.02.007</w:t>
        </w:r>
      </w:hyperlink>
    </w:p>
    <w:p w14:paraId="2F39A8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Egbert, A. R., Pluta, A., Sobańska, M., Gawron, N., Szymańska-Kotwica, B., Łojek, E., &amp; Group, H. (2020). HIV-related decreased brain activity during a semantic memory task is reflected in spontaneous brain functional connectivity. </w:t>
      </w:r>
      <w:r w:rsidRPr="00600FC7">
        <w:rPr>
          <w:rFonts w:ascii="Times New Roman" w:eastAsia="Times New Roman" w:hAnsi="Times New Roman" w:cs="Times New Roman"/>
          <w:i/>
          <w:iCs/>
          <w:sz w:val="24"/>
          <w:szCs w:val="24"/>
        </w:rPr>
        <w:t>Health Psychology Report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(2), 120–135. </w:t>
      </w:r>
      <w:hyperlink r:id="rId1611" w:history="1">
        <w:r w:rsidRPr="00600FC7">
          <w:rPr>
            <w:rFonts w:ascii="Times New Roman" w:eastAsia="Times New Roman" w:hAnsi="Times New Roman" w:cs="Times New Roman"/>
            <w:color w:val="0000FF"/>
            <w:sz w:val="24"/>
            <w:szCs w:val="24"/>
            <w:u w:val="single"/>
          </w:rPr>
          <w:t>https://doi.org/10.5114/hpr.2020.94720</w:t>
        </w:r>
      </w:hyperlink>
    </w:p>
    <w:p w14:paraId="51F567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Egeland, J., Landrø, N. I., Tjemsland, E., &amp; Walbækken, K. (2006). Norwegian norms and factor-structure of phonemic and semantic word list generation.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716–728. </w:t>
      </w:r>
      <w:hyperlink r:id="rId1612" w:history="1">
        <w:r w:rsidRPr="00600FC7">
          <w:rPr>
            <w:rFonts w:ascii="Times New Roman" w:eastAsia="Times New Roman" w:hAnsi="Times New Roman" w:cs="Times New Roman"/>
            <w:color w:val="0000FF"/>
            <w:sz w:val="24"/>
            <w:szCs w:val="24"/>
            <w:u w:val="single"/>
          </w:rPr>
          <w:t>https://doi.org/10.1080/13854040500351008</w:t>
        </w:r>
      </w:hyperlink>
    </w:p>
    <w:p w14:paraId="4EA0643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Egeland, J., Lund, A., Landrø, N. I., Rund, B. R., Sundet, K., Asbjørnsen, A., Mjellem, N., Roness, A., &amp; Stordal, K. I. (2005). Cortisol level predicts executive and memory function in depression, symptom level predicts psychomotor speed.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112</w:t>
      </w:r>
      <w:r w:rsidRPr="00600FC7">
        <w:rPr>
          <w:rFonts w:ascii="Times New Roman" w:eastAsia="Times New Roman" w:hAnsi="Times New Roman" w:cs="Times New Roman"/>
          <w:sz w:val="24"/>
          <w:szCs w:val="24"/>
        </w:rPr>
        <w:t xml:space="preserve">(6), 434–441. </w:t>
      </w:r>
      <w:hyperlink r:id="rId1613" w:history="1">
        <w:r w:rsidRPr="00600FC7">
          <w:rPr>
            <w:rFonts w:ascii="Times New Roman" w:eastAsia="Times New Roman" w:hAnsi="Times New Roman" w:cs="Times New Roman"/>
            <w:color w:val="0000FF"/>
            <w:sz w:val="24"/>
            <w:szCs w:val="24"/>
            <w:u w:val="single"/>
          </w:rPr>
          <w:t>https://doi.org/10.1111/j.1600-0447.2005.00599.x</w:t>
        </w:r>
      </w:hyperlink>
    </w:p>
    <w:p w14:paraId="7A321E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Eggen, C., Huber, O., Bär, A., Huber, O. W., Perrig, W. J., Müri, R., &amp; Gutbrod, K. (2015). Impairments in an early stage of the decision-making process in patients with ventromedial prefrontal damage: Preliminary results.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(4), 509–519. </w:t>
      </w:r>
      <w:hyperlink r:id="rId1614" w:history="1">
        <w:r w:rsidRPr="00600FC7">
          <w:rPr>
            <w:rFonts w:ascii="Times New Roman" w:eastAsia="Times New Roman" w:hAnsi="Times New Roman" w:cs="Times New Roman"/>
            <w:color w:val="0000FF"/>
            <w:sz w:val="24"/>
            <w:szCs w:val="24"/>
            <w:u w:val="single"/>
          </w:rPr>
          <w:t>https://doi.org/10.1080/13554794.2014.944545</w:t>
        </w:r>
      </w:hyperlink>
    </w:p>
    <w:p w14:paraId="6FCF944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Eghtedari, A., Shariat, V., &amp; Farahani, H. (2012). The comparison of cognitive functions in patients with methamphetamine induced psychosis and control group. [The comparison of cognitive functions in patients with methamphetamine induced psychosis and control group.]. </w:t>
      </w:r>
      <w:r w:rsidRPr="00600FC7">
        <w:rPr>
          <w:rFonts w:ascii="Times New Roman" w:eastAsia="Times New Roman" w:hAnsi="Times New Roman" w:cs="Times New Roman"/>
          <w:i/>
          <w:iCs/>
          <w:sz w:val="24"/>
          <w:szCs w:val="24"/>
        </w:rPr>
        <w:t>Advances in Cognitive 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(4[52]), 19–26.</w:t>
      </w:r>
    </w:p>
    <w:p w14:paraId="097797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Ehrenreich, H., Bartels, C., Krampe, H., &amp; Begemann, M. (2010). Recombinant human erythropoietin: Novel approach to neuroprotection and neuroregeneration in schizophrenia. In </w:t>
      </w:r>
      <w:r w:rsidRPr="00600FC7">
        <w:rPr>
          <w:rFonts w:ascii="Times New Roman" w:eastAsia="Times New Roman" w:hAnsi="Times New Roman" w:cs="Times New Roman"/>
          <w:i/>
          <w:iCs/>
          <w:sz w:val="24"/>
          <w:szCs w:val="24"/>
        </w:rPr>
        <w:t>Brain protection in schizophrenia, mood and cognitive disorders.</w:t>
      </w:r>
      <w:r w:rsidRPr="00600FC7">
        <w:rPr>
          <w:rFonts w:ascii="Times New Roman" w:eastAsia="Times New Roman" w:hAnsi="Times New Roman" w:cs="Times New Roman"/>
          <w:sz w:val="24"/>
          <w:szCs w:val="24"/>
        </w:rPr>
        <w:t xml:space="preserve"> (pp. 397–415). Springer Science + Business Media. </w:t>
      </w:r>
      <w:hyperlink r:id="rId1615" w:history="1">
        <w:r w:rsidRPr="00600FC7">
          <w:rPr>
            <w:rFonts w:ascii="Times New Roman" w:eastAsia="Times New Roman" w:hAnsi="Times New Roman" w:cs="Times New Roman"/>
            <w:color w:val="0000FF"/>
            <w:sz w:val="24"/>
            <w:szCs w:val="24"/>
            <w:u w:val="single"/>
          </w:rPr>
          <w:t>https://doi.org/10.1007/978-90-481-8553-5_13</w:t>
        </w:r>
      </w:hyperlink>
    </w:p>
    <w:p w14:paraId="4C091A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Ehrenreich, H., Hinze-Selch, D., Stawicki, S., Aust, C., Knolle-Veentjer, S., Wilms, S., Heinz, G., Erdag, S., Jahn, H., Degner, D., Ritzen, M., Mohr, A., Wagner, M., Schneider, U., Bohn, M., Huber, M., Czernik, A., Pollmächer, T., Maier, W., … Krampe, H. (2007). Improvement of cognitive functions in chronic schizophrenic patients by recombinant human erythropoietin. </w:t>
      </w:r>
      <w:r w:rsidRPr="00600FC7">
        <w:rPr>
          <w:rFonts w:ascii="Times New Roman" w:eastAsia="Times New Roman" w:hAnsi="Times New Roman" w:cs="Times New Roman"/>
          <w:i/>
          <w:iCs/>
          <w:sz w:val="24"/>
          <w:szCs w:val="24"/>
        </w:rPr>
        <w:t>Molecular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(2), 206–220. </w:t>
      </w:r>
      <w:hyperlink r:id="rId1616" w:history="1">
        <w:r w:rsidRPr="00600FC7">
          <w:rPr>
            <w:rFonts w:ascii="Times New Roman" w:eastAsia="Times New Roman" w:hAnsi="Times New Roman" w:cs="Times New Roman"/>
            <w:color w:val="0000FF"/>
            <w:sz w:val="24"/>
            <w:szCs w:val="24"/>
            <w:u w:val="single"/>
          </w:rPr>
          <w:t>https://doi.org/10.1038/sj.mp.4001907</w:t>
        </w:r>
      </w:hyperlink>
    </w:p>
    <w:p w14:paraId="145042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Ehrensperger, M. M., Berres, M., Taylor, K. I., &amp; Monsch, A. U. (2010). Early detection of Alzheimer’s disease with a total score of the German CERAD.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(5), 910–920. </w:t>
      </w:r>
      <w:hyperlink r:id="rId1617" w:history="1">
        <w:r w:rsidRPr="00600FC7">
          <w:rPr>
            <w:rFonts w:ascii="Times New Roman" w:eastAsia="Times New Roman" w:hAnsi="Times New Roman" w:cs="Times New Roman"/>
            <w:color w:val="0000FF"/>
            <w:sz w:val="24"/>
            <w:szCs w:val="24"/>
            <w:u w:val="single"/>
          </w:rPr>
          <w:t>https://doi.org/10.1017/S1355617710000822</w:t>
        </w:r>
      </w:hyperlink>
    </w:p>
    <w:p w14:paraId="661B922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Eichen, D. M., Matheson, B. E., Liang, J., Strong, D. R., Rhee, K., &amp; Boutelle, K. N. (2018). The relationship between executive functioning and weight loss and maintenance in children and parents participating in family-based treatment for childhood obesity. </w:t>
      </w:r>
      <w:r w:rsidRPr="00600FC7">
        <w:rPr>
          <w:rFonts w:ascii="Times New Roman" w:eastAsia="Times New Roman" w:hAnsi="Times New Roman" w:cs="Times New Roman"/>
          <w:i/>
          <w:iCs/>
          <w:sz w:val="24"/>
          <w:szCs w:val="24"/>
        </w:rPr>
        <w:t>Behaviour Research and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 10–16. </w:t>
      </w:r>
      <w:hyperlink r:id="rId1618" w:history="1">
        <w:r w:rsidRPr="00600FC7">
          <w:rPr>
            <w:rFonts w:ascii="Times New Roman" w:eastAsia="Times New Roman" w:hAnsi="Times New Roman" w:cs="Times New Roman"/>
            <w:color w:val="0000FF"/>
            <w:sz w:val="24"/>
            <w:szCs w:val="24"/>
            <w:u w:val="single"/>
          </w:rPr>
          <w:t>https://doi.org/10.1016/j.brat.2018.03.010</w:t>
        </w:r>
      </w:hyperlink>
    </w:p>
    <w:p w14:paraId="4AC408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Eifler, S., Rausch, F., Schirmbeck, F., Veckenstedt, R., Englisch, S., Meyer-Lindenberg, A., Kirsch, P., &amp; Zink, M. (2014). Neurocognitive capabilities modulate the integration of </w:t>
      </w:r>
      <w:r w:rsidRPr="00600FC7">
        <w:rPr>
          <w:rFonts w:ascii="Times New Roman" w:eastAsia="Times New Roman" w:hAnsi="Times New Roman" w:cs="Times New Roman"/>
          <w:sz w:val="24"/>
          <w:szCs w:val="24"/>
        </w:rPr>
        <w:lastRenderedPageBreak/>
        <w:t xml:space="preserve">evidence in schizophrenia.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219</w:t>
      </w:r>
      <w:r w:rsidRPr="00600FC7">
        <w:rPr>
          <w:rFonts w:ascii="Times New Roman" w:eastAsia="Times New Roman" w:hAnsi="Times New Roman" w:cs="Times New Roman"/>
          <w:sz w:val="24"/>
          <w:szCs w:val="24"/>
        </w:rPr>
        <w:t xml:space="preserve">(1), 72–78. </w:t>
      </w:r>
      <w:hyperlink r:id="rId1619" w:history="1">
        <w:r w:rsidRPr="00600FC7">
          <w:rPr>
            <w:rFonts w:ascii="Times New Roman" w:eastAsia="Times New Roman" w:hAnsi="Times New Roman" w:cs="Times New Roman"/>
            <w:color w:val="0000FF"/>
            <w:sz w:val="24"/>
            <w:szCs w:val="24"/>
            <w:u w:val="single"/>
          </w:rPr>
          <w:t>https://doi.org/10.1016/j.psychres.2014.04.056</w:t>
        </w:r>
      </w:hyperlink>
    </w:p>
    <w:p w14:paraId="5D744D5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Eifler, S., Rausch, F., Schirmbeck, F., Veckenstedt, R., Mier, D., Esslinger, C., Englisch, S., Meyer-Lindenberg, A., Kirsch, P., &amp; Zink, M. (2015). Metamemory in schizophrenia: Retrospective confidence ratings interact with neurocognitive deficits.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225</w:t>
      </w:r>
      <w:r w:rsidRPr="00600FC7">
        <w:rPr>
          <w:rFonts w:ascii="Times New Roman" w:eastAsia="Times New Roman" w:hAnsi="Times New Roman" w:cs="Times New Roman"/>
          <w:sz w:val="24"/>
          <w:szCs w:val="24"/>
        </w:rPr>
        <w:t xml:space="preserve">(3), 596–603. </w:t>
      </w:r>
      <w:hyperlink r:id="rId1620" w:history="1">
        <w:r w:rsidRPr="00600FC7">
          <w:rPr>
            <w:rFonts w:ascii="Times New Roman" w:eastAsia="Times New Roman" w:hAnsi="Times New Roman" w:cs="Times New Roman"/>
            <w:color w:val="0000FF"/>
            <w:sz w:val="24"/>
            <w:szCs w:val="24"/>
            <w:u w:val="single"/>
          </w:rPr>
          <w:t>https://doi.org/10.1016/j.psychres.2014.11.040</w:t>
        </w:r>
      </w:hyperlink>
    </w:p>
    <w:p w14:paraId="51C875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Eisenacher, S., Rausch, F., Ainser, F., Englisch, S., Becker, A., Mier, D., Fenske, S., Meyer‐Lindenberg, A., Kirsch, P., &amp; Zink, M. (2018). Early cognitive basic symptoms are accompanied by neurocognitive impairment in patients with an ‘at‐risk mental state’ for psychosis. </w:t>
      </w:r>
      <w:r w:rsidRPr="00600FC7">
        <w:rPr>
          <w:rFonts w:ascii="Times New Roman" w:eastAsia="Times New Roman" w:hAnsi="Times New Roman" w:cs="Times New Roman"/>
          <w:i/>
          <w:iCs/>
          <w:sz w:val="24"/>
          <w:szCs w:val="24"/>
        </w:rPr>
        <w:t>Early Intervention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(4), 586–595. </w:t>
      </w:r>
      <w:hyperlink r:id="rId1621" w:history="1">
        <w:r w:rsidRPr="00600FC7">
          <w:rPr>
            <w:rFonts w:ascii="Times New Roman" w:eastAsia="Times New Roman" w:hAnsi="Times New Roman" w:cs="Times New Roman"/>
            <w:color w:val="0000FF"/>
            <w:sz w:val="24"/>
            <w:szCs w:val="24"/>
            <w:u w:val="single"/>
          </w:rPr>
          <w:t>https://doi.org/10.1111/eip.12350</w:t>
        </w:r>
      </w:hyperlink>
    </w:p>
    <w:p w14:paraId="1262AA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Eisenacher, S., Rausch, F., Ainser, F., Mier, D., Veckenstedt, R., Schirmbeck, F., Lewien, A., Englisch, S., Andreou, C., Moritz, S., Meyer-Lindenberg, A., Kirsch, P., &amp; Zink, M. (2015). Investigation of metamemory functioning in the at-risk mental state for psychosis.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(15), 3329–3340. </w:t>
      </w:r>
      <w:hyperlink r:id="rId1622" w:history="1">
        <w:r w:rsidRPr="00600FC7">
          <w:rPr>
            <w:rFonts w:ascii="Times New Roman" w:eastAsia="Times New Roman" w:hAnsi="Times New Roman" w:cs="Times New Roman"/>
            <w:color w:val="0000FF"/>
            <w:sz w:val="24"/>
            <w:szCs w:val="24"/>
            <w:u w:val="single"/>
          </w:rPr>
          <w:t>https://doi.org/10.1017/S0033291715001373</w:t>
        </w:r>
      </w:hyperlink>
    </w:p>
    <w:p w14:paraId="6E2456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Eisenacher, S., Rausch, F., Mier, D., Fenske, S., Veckenstedt, R., Englisch, S., Becker, A., Andreou, C., Moritz, S., Meyer-Lindenberg, A., Kirsch, P., &amp; Zink, M. (2016). Bias against disconfirmatory evidence in the ‘at-risk mental state’ and during psychosis.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238</w:t>
      </w:r>
      <w:r w:rsidRPr="00600FC7">
        <w:rPr>
          <w:rFonts w:ascii="Times New Roman" w:eastAsia="Times New Roman" w:hAnsi="Times New Roman" w:cs="Times New Roman"/>
          <w:sz w:val="24"/>
          <w:szCs w:val="24"/>
        </w:rPr>
        <w:t xml:space="preserve">, 242–250. </w:t>
      </w:r>
      <w:hyperlink r:id="rId1623" w:history="1">
        <w:r w:rsidRPr="00600FC7">
          <w:rPr>
            <w:rFonts w:ascii="Times New Roman" w:eastAsia="Times New Roman" w:hAnsi="Times New Roman" w:cs="Times New Roman"/>
            <w:color w:val="0000FF"/>
            <w:sz w:val="24"/>
            <w:szCs w:val="24"/>
            <w:u w:val="single"/>
          </w:rPr>
          <w:t>https://doi.org/10.1016/j.psychres.2016.02.028</w:t>
        </w:r>
      </w:hyperlink>
    </w:p>
    <w:p w14:paraId="0311894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Ekerholm, M., Waltersson, S. F., Fagerberg, T., Söderman, E., Terenius, L., Agartz, I., Jönsson, E. G., &amp; Nyman, H. (2012). Neurocognitive function in long-term treated schizophrenia: A five-year follow-up study.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200</w:t>
      </w:r>
      <w:r w:rsidRPr="00600FC7">
        <w:rPr>
          <w:rFonts w:ascii="Times New Roman" w:eastAsia="Times New Roman" w:hAnsi="Times New Roman" w:cs="Times New Roman"/>
          <w:sz w:val="24"/>
          <w:szCs w:val="24"/>
        </w:rPr>
        <w:t xml:space="preserve">(2–3), 144–152. </w:t>
      </w:r>
      <w:hyperlink r:id="rId1624" w:history="1">
        <w:r w:rsidRPr="00600FC7">
          <w:rPr>
            <w:rFonts w:ascii="Times New Roman" w:eastAsia="Times New Roman" w:hAnsi="Times New Roman" w:cs="Times New Roman"/>
            <w:color w:val="0000FF"/>
            <w:sz w:val="24"/>
            <w:szCs w:val="24"/>
            <w:u w:val="single"/>
          </w:rPr>
          <w:t>https://doi.org/10.1016/j.psychres.2012.05.008</w:t>
        </w:r>
      </w:hyperlink>
    </w:p>
    <w:p w14:paraId="52CCF0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Ekman, U., Eriksson, J., Forsgren, L., Mo, S. J., Riklund, K., &amp; Nyberg, L. (2012). Functional brain activity and presynaptic dopamine uptake in patients with Parkinson’s disease and mild cognitive impairment: A cross-sectional study. </w:t>
      </w:r>
      <w:r w:rsidRPr="00600FC7">
        <w:rPr>
          <w:rFonts w:ascii="Times New Roman" w:eastAsia="Times New Roman" w:hAnsi="Times New Roman" w:cs="Times New Roman"/>
          <w:i/>
          <w:iCs/>
          <w:sz w:val="24"/>
          <w:szCs w:val="24"/>
        </w:rPr>
        <w:t>The Lancet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(8), 679–687. </w:t>
      </w:r>
      <w:hyperlink r:id="rId1625" w:history="1">
        <w:r w:rsidRPr="00600FC7">
          <w:rPr>
            <w:rFonts w:ascii="Times New Roman" w:eastAsia="Times New Roman" w:hAnsi="Times New Roman" w:cs="Times New Roman"/>
            <w:color w:val="0000FF"/>
            <w:sz w:val="24"/>
            <w:szCs w:val="24"/>
            <w:u w:val="single"/>
          </w:rPr>
          <w:t>https://doi.org/10.1016/S1474-4422(12)70138-2</w:t>
        </w:r>
      </w:hyperlink>
    </w:p>
    <w:p w14:paraId="1B4325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 Hachioui, H., Visch-Brink, E. G., Lingsma, H. F., van de Sandt-Koenderman, M. W. M. E., Dippel, D. W. J., Koudstaal, P. J., &amp; Middelkoop, H. A. M. (2014). Nonlinguistic cognitive impairment in poststroke aphasia: A prospective study. </w:t>
      </w:r>
      <w:r w:rsidRPr="00600FC7">
        <w:rPr>
          <w:rFonts w:ascii="Times New Roman" w:eastAsia="Times New Roman" w:hAnsi="Times New Roman" w:cs="Times New Roman"/>
          <w:i/>
          <w:iCs/>
          <w:sz w:val="24"/>
          <w:szCs w:val="24"/>
        </w:rPr>
        <w:t>Neurorehabilitation and Neural Repair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(3), 273–281. </w:t>
      </w:r>
      <w:hyperlink r:id="rId1626" w:history="1">
        <w:r w:rsidRPr="00600FC7">
          <w:rPr>
            <w:rFonts w:ascii="Times New Roman" w:eastAsia="Times New Roman" w:hAnsi="Times New Roman" w:cs="Times New Roman"/>
            <w:color w:val="0000FF"/>
            <w:sz w:val="24"/>
            <w:szCs w:val="24"/>
            <w:u w:val="single"/>
          </w:rPr>
          <w:t>https://doi.org/10.1177/1545968313508467</w:t>
        </w:r>
      </w:hyperlink>
    </w:p>
    <w:p w14:paraId="7A0AAC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 Haj, M., &amp; Allain, P. (2012). What do we know about the relationship between source monitoring deficits and executive dysfunction?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449–472. </w:t>
      </w:r>
      <w:hyperlink r:id="rId1627" w:history="1">
        <w:r w:rsidRPr="00600FC7">
          <w:rPr>
            <w:rFonts w:ascii="Times New Roman" w:eastAsia="Times New Roman" w:hAnsi="Times New Roman" w:cs="Times New Roman"/>
            <w:color w:val="0000FF"/>
            <w:sz w:val="24"/>
            <w:szCs w:val="24"/>
            <w:u w:val="single"/>
          </w:rPr>
          <w:t>https://doi.org/10.1080/09602011.2012.658267</w:t>
        </w:r>
      </w:hyperlink>
    </w:p>
    <w:p w14:paraId="069248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 Haj, M., Fasotti, L., &amp; Allain, P. (2012). Source monitoring in Alzheimer’s disease.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(2), 185–191. </w:t>
      </w:r>
      <w:hyperlink r:id="rId1628" w:history="1">
        <w:r w:rsidRPr="00600FC7">
          <w:rPr>
            <w:rFonts w:ascii="Times New Roman" w:eastAsia="Times New Roman" w:hAnsi="Times New Roman" w:cs="Times New Roman"/>
            <w:color w:val="0000FF"/>
            <w:sz w:val="24"/>
            <w:szCs w:val="24"/>
            <w:u w:val="single"/>
          </w:rPr>
          <w:t>https://doi.org/10.1016/j.bandc.2012.06.004</w:t>
        </w:r>
      </w:hyperlink>
    </w:p>
    <w:p w14:paraId="34FBB3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Ballmaier, M., Hellemann, G., Pham, D., &amp; Kumar, A. (2008). Executive function and MRI prefrontal volumes among healthy older adults.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(5), 626–637. </w:t>
      </w:r>
      <w:hyperlink r:id="rId1629" w:history="1">
        <w:r w:rsidRPr="00600FC7">
          <w:rPr>
            <w:rFonts w:ascii="Times New Roman" w:eastAsia="Times New Roman" w:hAnsi="Times New Roman" w:cs="Times New Roman"/>
            <w:color w:val="0000FF"/>
            <w:sz w:val="24"/>
            <w:szCs w:val="24"/>
            <w:u w:val="single"/>
          </w:rPr>
          <w:t>https://doi.org/10.1037/0894-4105.22.5.626</w:t>
        </w:r>
      </w:hyperlink>
    </w:p>
    <w:p w14:paraId="372B93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Irwin, M. R., Hellemann, G., &amp; Kumar, A. (2012). Interleukin-6 and memory functions of encoding and recall in healthy and depressed elderly adults.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(9), 753–763. </w:t>
      </w:r>
      <w:hyperlink r:id="rId1630" w:history="1">
        <w:r w:rsidRPr="00600FC7">
          <w:rPr>
            <w:rFonts w:ascii="Times New Roman" w:eastAsia="Times New Roman" w:hAnsi="Times New Roman" w:cs="Times New Roman"/>
            <w:color w:val="0000FF"/>
            <w:sz w:val="24"/>
            <w:szCs w:val="24"/>
            <w:u w:val="single"/>
          </w:rPr>
          <w:t>https://doi.org/10.1097/JGP.0b013e31825d08d6</w:t>
        </w:r>
      </w:hyperlink>
    </w:p>
    <w:p w14:paraId="1DC5C18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Mintz, J., Haroon, E., Lavretsky, H., &amp; Kumar, A. (2006). Executive dysfunction and memory in older patients with major and minor depression.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(7), 669–676. </w:t>
      </w:r>
      <w:hyperlink r:id="rId1631" w:history="1">
        <w:r w:rsidRPr="00600FC7">
          <w:rPr>
            <w:rFonts w:ascii="Times New Roman" w:eastAsia="Times New Roman" w:hAnsi="Times New Roman" w:cs="Times New Roman"/>
            <w:color w:val="0000FF"/>
            <w:sz w:val="24"/>
            <w:szCs w:val="24"/>
            <w:u w:val="single"/>
          </w:rPr>
          <w:t>https://doi.org/10.1016/j.acn.2006.05.011</w:t>
        </w:r>
      </w:hyperlink>
    </w:p>
    <w:p w14:paraId="469D5A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Elderkin-Thompson, V., Mintz, J., Haroon, E., Lavretsky, H., &amp; Kumar, A. (2007). Executive dysfunction and memory in older patients with major and minor depression.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261–270. </w:t>
      </w:r>
      <w:hyperlink r:id="rId1632" w:history="1">
        <w:r w:rsidRPr="00600FC7">
          <w:rPr>
            <w:rFonts w:ascii="Times New Roman" w:eastAsia="Times New Roman" w:hAnsi="Times New Roman" w:cs="Times New Roman"/>
            <w:color w:val="0000FF"/>
            <w:sz w:val="24"/>
            <w:szCs w:val="24"/>
            <w:u w:val="single"/>
          </w:rPr>
          <w:t>https://doi.org/10.1016/j.acn.2007.01.021</w:t>
        </w:r>
      </w:hyperlink>
    </w:p>
    <w:p w14:paraId="1D9E90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Elderkin-Thompson, V., Thomas, M. A., Binesh, N., Mintz, J., Haroon, E., Dunkin, J. J., &amp; Kumar, A. (2004). Brain Metabolites and Cognitive Function among Older Depressed and Healthy Individuals Using 2D MR Spectroscopy.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(12), 2251–2257. </w:t>
      </w:r>
      <w:hyperlink r:id="rId1633" w:history="1">
        <w:r w:rsidRPr="00600FC7">
          <w:rPr>
            <w:rFonts w:ascii="Times New Roman" w:eastAsia="Times New Roman" w:hAnsi="Times New Roman" w:cs="Times New Roman"/>
            <w:color w:val="0000FF"/>
            <w:sz w:val="24"/>
            <w:szCs w:val="24"/>
            <w:u w:val="single"/>
          </w:rPr>
          <w:t>https://doi.org/10.1038/sj.npp.1300553</w:t>
        </w:r>
      </w:hyperlink>
    </w:p>
    <w:p w14:paraId="672789E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Elferink-Gemser, M. T., Faber, I. R., Visscher, C., Hung, T.-M., de Vries, S. J., &amp; Nijhuis-Van der Sanden, M. W. G. (2018). Higher-level cognitive functions in Dutch elite and sub-elite table tennis players.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(11). </w:t>
      </w:r>
      <w:hyperlink r:id="rId1634" w:history="1">
        <w:r w:rsidRPr="00600FC7">
          <w:rPr>
            <w:rFonts w:ascii="Times New Roman" w:eastAsia="Times New Roman" w:hAnsi="Times New Roman" w:cs="Times New Roman"/>
            <w:color w:val="0000FF"/>
            <w:sz w:val="24"/>
            <w:szCs w:val="24"/>
            <w:u w:val="single"/>
          </w:rPr>
          <w:t>https://doi.org/10.1371/journal.pone.0206151</w:t>
        </w:r>
      </w:hyperlink>
    </w:p>
    <w:p w14:paraId="72E16D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Elgh, E., Domellöf, M., Linder, J., Edström, M., Stenlund, H., &amp; Forsgren, L. (2009). Cognitive function in early Parkinson’s disease: A population-based study. </w:t>
      </w:r>
      <w:r w:rsidRPr="00600FC7">
        <w:rPr>
          <w:rFonts w:ascii="Times New Roman" w:eastAsia="Times New Roman" w:hAnsi="Times New Roman" w:cs="Times New Roman"/>
          <w:i/>
          <w:iCs/>
          <w:sz w:val="24"/>
          <w:szCs w:val="24"/>
        </w:rPr>
        <w:t>European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(12), 1278–1284. </w:t>
      </w:r>
      <w:hyperlink r:id="rId1635" w:history="1">
        <w:r w:rsidRPr="00600FC7">
          <w:rPr>
            <w:rFonts w:ascii="Times New Roman" w:eastAsia="Times New Roman" w:hAnsi="Times New Roman" w:cs="Times New Roman"/>
            <w:color w:val="0000FF"/>
            <w:sz w:val="24"/>
            <w:szCs w:val="24"/>
            <w:u w:val="single"/>
          </w:rPr>
          <w:t>https://doi.org/10.1111/j.1468-1331.2009.02707.x</w:t>
        </w:r>
      </w:hyperlink>
    </w:p>
    <w:p w14:paraId="4D3895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El-Hage, W., Phillips, M. L., Radua, J., Gohier, B., Zelaya, F. O., Collier, D. A., &amp; Surguladze, S. A. (2013). Genetic modulation of neural response during working memory in healthy individuals: Interaction of glucocorticoid receptor and dopaminergic genes. </w:t>
      </w:r>
      <w:r w:rsidRPr="00600FC7">
        <w:rPr>
          <w:rFonts w:ascii="Times New Roman" w:eastAsia="Times New Roman" w:hAnsi="Times New Roman" w:cs="Times New Roman"/>
          <w:i/>
          <w:iCs/>
          <w:sz w:val="24"/>
          <w:szCs w:val="24"/>
        </w:rPr>
        <w:t>Molecular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(2), 174–182. </w:t>
      </w:r>
      <w:hyperlink r:id="rId1636" w:history="1">
        <w:r w:rsidRPr="00600FC7">
          <w:rPr>
            <w:rFonts w:ascii="Times New Roman" w:eastAsia="Times New Roman" w:hAnsi="Times New Roman" w:cs="Times New Roman"/>
            <w:color w:val="0000FF"/>
            <w:sz w:val="24"/>
            <w:szCs w:val="24"/>
            <w:u w:val="single"/>
          </w:rPr>
          <w:t>https://doi.org/10.1038/mp.2011.145</w:t>
        </w:r>
      </w:hyperlink>
    </w:p>
    <w:p w14:paraId="0ED0318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Elham, M.-T., Vahid, N., Ahmad, S. A. S., Omid, D., Andrea, C., Cristina, M., Sara, A. N., Leila, S., Mohammad, G., Hanieh, G., &amp; Minoo, M. (2020). Prevalence of HIV-associated Neurocognitive Disorder (HAND) and its subgroups among HIV-positive persons on anti-retroviral therapy in Iran. </w:t>
      </w:r>
      <w:r w:rsidRPr="00600FC7">
        <w:rPr>
          <w:rFonts w:ascii="Times New Roman" w:eastAsia="Times New Roman" w:hAnsi="Times New Roman" w:cs="Times New Roman"/>
          <w:i/>
          <w:iCs/>
          <w:sz w:val="24"/>
          <w:szCs w:val="24"/>
        </w:rPr>
        <w:t>Psihologija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53</w:t>
      </w:r>
      <w:r w:rsidRPr="00600FC7">
        <w:rPr>
          <w:rFonts w:ascii="Times New Roman" w:eastAsia="Times New Roman" w:hAnsi="Times New Roman" w:cs="Times New Roman"/>
          <w:sz w:val="24"/>
          <w:szCs w:val="24"/>
        </w:rPr>
        <w:t>(2), 115–127.</w:t>
      </w:r>
    </w:p>
    <w:p w14:paraId="6409CA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Elkana, O., Conti, Y., Heyman, O., Hamdan, S., Franko, M., &amp; Vatine, J.-J. (2020). The associations between executive functions and different aspects of perceived pain, beyond the </w:t>
      </w:r>
      <w:r w:rsidRPr="00600FC7">
        <w:rPr>
          <w:rFonts w:ascii="Times New Roman" w:eastAsia="Times New Roman" w:hAnsi="Times New Roman" w:cs="Times New Roman"/>
          <w:sz w:val="24"/>
          <w:szCs w:val="24"/>
        </w:rPr>
        <w:lastRenderedPageBreak/>
        <w:t xml:space="preserve">influence of depression, in rehabilitation setting.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(7), 1303–1317. </w:t>
      </w:r>
      <w:hyperlink r:id="rId1637" w:history="1">
        <w:r w:rsidRPr="00600FC7">
          <w:rPr>
            <w:rFonts w:ascii="Times New Roman" w:eastAsia="Times New Roman" w:hAnsi="Times New Roman" w:cs="Times New Roman"/>
            <w:color w:val="0000FF"/>
            <w:sz w:val="24"/>
            <w:szCs w:val="24"/>
            <w:u w:val="single"/>
          </w:rPr>
          <w:t>https://doi.org/10.1080/09602011.2019.1574590</w:t>
        </w:r>
      </w:hyperlink>
    </w:p>
    <w:p w14:paraId="66B17A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Elkind, J. S., Rubin, E., Rosenthal, S., Skoff, B., &amp; Prather, P. (2001). A simulated reality scenario compared with the computerized Wisconsin Card Sorting Test: An analysis of preliminary results. </w:t>
      </w:r>
      <w:r w:rsidRPr="00600FC7">
        <w:rPr>
          <w:rFonts w:ascii="Times New Roman" w:eastAsia="Times New Roman" w:hAnsi="Times New Roman" w:cs="Times New Roman"/>
          <w:i/>
          <w:iCs/>
          <w:sz w:val="24"/>
          <w:szCs w:val="24"/>
        </w:rPr>
        <w:t>CyberPsychology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(4), 489–496. </w:t>
      </w:r>
      <w:hyperlink r:id="rId1638" w:history="1">
        <w:r w:rsidRPr="00600FC7">
          <w:rPr>
            <w:rFonts w:ascii="Times New Roman" w:eastAsia="Times New Roman" w:hAnsi="Times New Roman" w:cs="Times New Roman"/>
            <w:color w:val="0000FF"/>
            <w:sz w:val="24"/>
            <w:szCs w:val="24"/>
            <w:u w:val="single"/>
          </w:rPr>
          <w:t>https://doi.org/10.1089/109493101750527042</w:t>
        </w:r>
      </w:hyperlink>
    </w:p>
    <w:p w14:paraId="41C6EB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Elliott, C. S., &amp; Fiszdon, J. M. (2014). Comparison of self-report and performance-based measures of everyday functioning in individuals with schizophrenia: Implications for measure selection. </w:t>
      </w:r>
      <w:r w:rsidRPr="00600FC7">
        <w:rPr>
          <w:rFonts w:ascii="Times New Roman" w:eastAsia="Times New Roman" w:hAnsi="Times New Roman" w:cs="Times New Roman"/>
          <w:i/>
          <w:iCs/>
          <w:sz w:val="24"/>
          <w:szCs w:val="24"/>
        </w:rPr>
        <w:t>Cognitive Neuropsychiatry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(6), 485–494. </w:t>
      </w:r>
      <w:hyperlink r:id="rId1639" w:history="1">
        <w:r w:rsidRPr="00600FC7">
          <w:rPr>
            <w:rFonts w:ascii="Times New Roman" w:eastAsia="Times New Roman" w:hAnsi="Times New Roman" w:cs="Times New Roman"/>
            <w:color w:val="0000FF"/>
            <w:sz w:val="24"/>
            <w:szCs w:val="24"/>
            <w:u w:val="single"/>
          </w:rPr>
          <w:t>https://doi.org/10.1080/13546805.2014.922062</w:t>
        </w:r>
      </w:hyperlink>
    </w:p>
    <w:p w14:paraId="07499B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Ellis, J. D., Carr, M. M., &amp; Ledgerwood, D. M. (2018). Executive function in problem gamblers with and without history of depression. </w:t>
      </w:r>
      <w:r w:rsidRPr="00600FC7">
        <w:rPr>
          <w:rFonts w:ascii="Times New Roman" w:eastAsia="Times New Roman" w:hAnsi="Times New Roman" w:cs="Times New Roman"/>
          <w:i/>
          <w:iCs/>
          <w:sz w:val="24"/>
          <w:szCs w:val="24"/>
        </w:rPr>
        <w:t>International Journal of Mental Health and 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(5), 1085–1094. </w:t>
      </w:r>
      <w:hyperlink r:id="rId1640" w:history="1">
        <w:r w:rsidRPr="00600FC7">
          <w:rPr>
            <w:rFonts w:ascii="Times New Roman" w:eastAsia="Times New Roman" w:hAnsi="Times New Roman" w:cs="Times New Roman"/>
            <w:color w:val="0000FF"/>
            <w:sz w:val="24"/>
            <w:szCs w:val="24"/>
            <w:u w:val="single"/>
          </w:rPr>
          <w:t>https://doi.org/10.1007/s11469-017-9804-5</w:t>
        </w:r>
      </w:hyperlink>
    </w:p>
    <w:p w14:paraId="2DCC85A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Ellis, M. L., Weiss, B., &amp; Lochman, J. E. (2009). Executive functions in children: Associations with aggressive behavior and appraisal processing. </w:t>
      </w:r>
      <w:r w:rsidRPr="00600FC7">
        <w:rPr>
          <w:rFonts w:ascii="Times New Roman" w:eastAsia="Times New Roman" w:hAnsi="Times New Roman" w:cs="Times New Roman"/>
          <w:i/>
          <w:iCs/>
          <w:sz w:val="24"/>
          <w:szCs w:val="24"/>
        </w:rPr>
        <w:t>Journal of Abnormal Child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(7), 945–956. </w:t>
      </w:r>
      <w:hyperlink r:id="rId1641" w:history="1">
        <w:r w:rsidRPr="00600FC7">
          <w:rPr>
            <w:rFonts w:ascii="Times New Roman" w:eastAsia="Times New Roman" w:hAnsi="Times New Roman" w:cs="Times New Roman"/>
            <w:color w:val="0000FF"/>
            <w:sz w:val="24"/>
            <w:szCs w:val="24"/>
            <w:u w:val="single"/>
          </w:rPr>
          <w:t>https://doi.org/10.1007/s10802-009-9321-5</w:t>
        </w:r>
      </w:hyperlink>
    </w:p>
    <w:p w14:paraId="1A31118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Ellman, L. M., Vinogradov, S., Kremen, W. S., Poole, J. H., Kern, D. M., Deicken, R. F., &amp; Brown, A. S. (2012). Low maternal hemoglobin during pregnancy and diminished neuromotor and neurocognitive performance in offspring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138</w:t>
      </w:r>
      <w:r w:rsidRPr="00600FC7">
        <w:rPr>
          <w:rFonts w:ascii="Times New Roman" w:eastAsia="Times New Roman" w:hAnsi="Times New Roman" w:cs="Times New Roman"/>
          <w:sz w:val="24"/>
          <w:szCs w:val="24"/>
        </w:rPr>
        <w:t xml:space="preserve">(1), 81–87. </w:t>
      </w:r>
      <w:hyperlink r:id="rId1642" w:history="1">
        <w:r w:rsidRPr="00600FC7">
          <w:rPr>
            <w:rFonts w:ascii="Times New Roman" w:eastAsia="Times New Roman" w:hAnsi="Times New Roman" w:cs="Times New Roman"/>
            <w:color w:val="0000FF"/>
            <w:sz w:val="24"/>
            <w:szCs w:val="24"/>
            <w:u w:val="single"/>
          </w:rPr>
          <w:t>https://doi.org/10.1016/j.schres.2012.04.008</w:t>
        </w:r>
      </w:hyperlink>
    </w:p>
    <w:p w14:paraId="677AD73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El-Missiry, A., Elbatrawy, A., El Missiry, M., Moneim, D. A., Ali, R., &amp; Essawy, H. (2015). Comparing cognitive functions in medication adherent and non-adherent patients with </w:t>
      </w:r>
      <w:r w:rsidRPr="00600FC7">
        <w:rPr>
          <w:rFonts w:ascii="Times New Roman" w:eastAsia="Times New Roman" w:hAnsi="Times New Roman" w:cs="Times New Roman"/>
          <w:sz w:val="24"/>
          <w:szCs w:val="24"/>
        </w:rPr>
        <w:lastRenderedPageBreak/>
        <w:t xml:space="preserve">schizophrenia.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 106–112. </w:t>
      </w:r>
      <w:hyperlink r:id="rId1643" w:history="1">
        <w:r w:rsidRPr="00600FC7">
          <w:rPr>
            <w:rFonts w:ascii="Times New Roman" w:eastAsia="Times New Roman" w:hAnsi="Times New Roman" w:cs="Times New Roman"/>
            <w:color w:val="0000FF"/>
            <w:sz w:val="24"/>
            <w:szCs w:val="24"/>
            <w:u w:val="single"/>
          </w:rPr>
          <w:t>https://doi.org/10.1016/j.jpsychires.2015.09.006</w:t>
        </w:r>
      </w:hyperlink>
    </w:p>
    <w:p w14:paraId="6E9F2B0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Elshahawi, H. H., Essawi, H., Rabie, M. A., Mansour, M., Beshry, Z. A., &amp; Mansour, A. N. (2011). Cognitive functions among euthymic bipolar I patients after a single manic episode versus recurrent episodes.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130</w:t>
      </w:r>
      <w:r w:rsidRPr="00600FC7">
        <w:rPr>
          <w:rFonts w:ascii="Times New Roman" w:eastAsia="Times New Roman" w:hAnsi="Times New Roman" w:cs="Times New Roman"/>
          <w:sz w:val="24"/>
          <w:szCs w:val="24"/>
        </w:rPr>
        <w:t xml:space="preserve">(1–2), 180–191. </w:t>
      </w:r>
      <w:hyperlink r:id="rId1644" w:history="1">
        <w:r w:rsidRPr="00600FC7">
          <w:rPr>
            <w:rFonts w:ascii="Times New Roman" w:eastAsia="Times New Roman" w:hAnsi="Times New Roman" w:cs="Times New Roman"/>
            <w:color w:val="0000FF"/>
            <w:sz w:val="24"/>
            <w:szCs w:val="24"/>
            <w:u w:val="single"/>
          </w:rPr>
          <w:t>https://doi.org/10.1016/j.jad.2010.10.027</w:t>
        </w:r>
      </w:hyperlink>
    </w:p>
    <w:p w14:paraId="6B4281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ElShahawi, H. H., Sakr, H. M., Hashim, M. A., Mohamed, H. H., &amp; Abdeen, M. S. (2020). Social cognition correlation to white matter integrity alteration in mirror neurons of schizophrenic patients: DTI study. </w:t>
      </w:r>
      <w:r w:rsidRPr="00600FC7">
        <w:rPr>
          <w:rFonts w:ascii="Times New Roman" w:eastAsia="Times New Roman" w:hAnsi="Times New Roman" w:cs="Times New Roman"/>
          <w:i/>
          <w:iCs/>
          <w:sz w:val="24"/>
          <w:szCs w:val="24"/>
        </w:rPr>
        <w:t>Neurology, Psychiatry and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 65–73. </w:t>
      </w:r>
      <w:hyperlink r:id="rId1645" w:history="1">
        <w:r w:rsidRPr="00600FC7">
          <w:rPr>
            <w:rFonts w:ascii="Times New Roman" w:eastAsia="Times New Roman" w:hAnsi="Times New Roman" w:cs="Times New Roman"/>
            <w:color w:val="0000FF"/>
            <w:sz w:val="24"/>
            <w:szCs w:val="24"/>
            <w:u w:val="single"/>
          </w:rPr>
          <w:t>https://doi.org/10.1016/j.npbr.2020.10.004</w:t>
        </w:r>
      </w:hyperlink>
    </w:p>
    <w:p w14:paraId="716B794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Elshiekh, A., Subramaniapillai, S., Rajagopal, S., Pasvanis, S., Ankudowich, E., &amp; Rajah, M. N. (2020). The association between cognitive reserve and performance-related brain activity during episodic encoding and retrieval across the adult lifespan.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129</w:t>
      </w:r>
      <w:r w:rsidRPr="00600FC7">
        <w:rPr>
          <w:rFonts w:ascii="Times New Roman" w:eastAsia="Times New Roman" w:hAnsi="Times New Roman" w:cs="Times New Roman"/>
          <w:sz w:val="24"/>
          <w:szCs w:val="24"/>
        </w:rPr>
        <w:t xml:space="preserve">, 296–313. </w:t>
      </w:r>
      <w:hyperlink r:id="rId1646" w:history="1">
        <w:r w:rsidRPr="00600FC7">
          <w:rPr>
            <w:rFonts w:ascii="Times New Roman" w:eastAsia="Times New Roman" w:hAnsi="Times New Roman" w:cs="Times New Roman"/>
            <w:color w:val="0000FF"/>
            <w:sz w:val="24"/>
            <w:szCs w:val="24"/>
            <w:u w:val="single"/>
          </w:rPr>
          <w:t>https://doi.org/10.1016/j.cortex.2020.05.003</w:t>
        </w:r>
      </w:hyperlink>
    </w:p>
    <w:p w14:paraId="431874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Elverman, K. H., Resch, Z. J., Quasney, E. E., Sabsevitz, D. S., Binder, J. R., &amp; Swanson, S. J. (2019). Temporal lobe epilepsy is associated with distinct cognitive phenotypes.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96</w:t>
      </w:r>
      <w:r w:rsidRPr="00600FC7">
        <w:rPr>
          <w:rFonts w:ascii="Times New Roman" w:eastAsia="Times New Roman" w:hAnsi="Times New Roman" w:cs="Times New Roman"/>
          <w:sz w:val="24"/>
          <w:szCs w:val="24"/>
        </w:rPr>
        <w:t xml:space="preserve">, 61–68. </w:t>
      </w:r>
      <w:hyperlink r:id="rId1647" w:history="1">
        <w:r w:rsidRPr="00600FC7">
          <w:rPr>
            <w:rFonts w:ascii="Times New Roman" w:eastAsia="Times New Roman" w:hAnsi="Times New Roman" w:cs="Times New Roman"/>
            <w:color w:val="0000FF"/>
            <w:sz w:val="24"/>
            <w:szCs w:val="24"/>
            <w:u w:val="single"/>
          </w:rPr>
          <w:t>https://doi.org/10.1016/j.yebeh.2019.04.015</w:t>
        </w:r>
      </w:hyperlink>
    </w:p>
    <w:p w14:paraId="1C377F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Elvevåg, B., Fisher, J. E., Weickert, T. W., Weinberger, D. R., &amp; Goldberg, T. E. (2004). Lack of false recognition in schizophrenia: A consequence of poor memory?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(4), 546–554. </w:t>
      </w:r>
      <w:hyperlink r:id="rId1648" w:history="1">
        <w:r w:rsidRPr="00600FC7">
          <w:rPr>
            <w:rFonts w:ascii="Times New Roman" w:eastAsia="Times New Roman" w:hAnsi="Times New Roman" w:cs="Times New Roman"/>
            <w:color w:val="0000FF"/>
            <w:sz w:val="24"/>
            <w:szCs w:val="24"/>
            <w:u w:val="single"/>
          </w:rPr>
          <w:t>https://doi.org/10.1016/j.neuropsychologia.2003.08.013</w:t>
        </w:r>
      </w:hyperlink>
    </w:p>
    <w:p w14:paraId="1822F5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Elward, R. L., Evans, L. H., &amp; Wilding, E. L. (2013). The role of working memory capacity in the control of recollection.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(6), 1452–1462. </w:t>
      </w:r>
      <w:hyperlink r:id="rId1649" w:history="1">
        <w:r w:rsidRPr="00600FC7">
          <w:rPr>
            <w:rFonts w:ascii="Times New Roman" w:eastAsia="Times New Roman" w:hAnsi="Times New Roman" w:cs="Times New Roman"/>
            <w:color w:val="0000FF"/>
            <w:sz w:val="24"/>
            <w:szCs w:val="24"/>
            <w:u w:val="single"/>
          </w:rPr>
          <w:t>https://doi.org/10.1016/j.cortex.2012.07.003</w:t>
        </w:r>
      </w:hyperlink>
    </w:p>
    <w:p w14:paraId="1029F78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Emery, R. L., Levine, M. D., Creswell, K. G., Wright, A. G. C., Marsland, A. L., Matthews, K. A., Flory, J. D., &amp; Manuck, S. B. (2020). Impulsivity and midlife cardiometabolic risk: The role of maladaptive health behaviors. </w:t>
      </w:r>
      <w:r w:rsidRPr="00600FC7">
        <w:rPr>
          <w:rFonts w:ascii="Times New Roman" w:eastAsia="Times New Roman" w:hAnsi="Times New Roman" w:cs="Times New Roman"/>
          <w:i/>
          <w:iCs/>
          <w:sz w:val="24"/>
          <w:szCs w:val="24"/>
        </w:rPr>
        <w:t>Health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642–654. </w:t>
      </w:r>
      <w:hyperlink r:id="rId1650" w:history="1">
        <w:r w:rsidRPr="00600FC7">
          <w:rPr>
            <w:rFonts w:ascii="Times New Roman" w:eastAsia="Times New Roman" w:hAnsi="Times New Roman" w:cs="Times New Roman"/>
            <w:color w:val="0000FF"/>
            <w:sz w:val="24"/>
            <w:szCs w:val="24"/>
            <w:u w:val="single"/>
          </w:rPr>
          <w:t>https://doi.org/10.1037/hea0000884</w:t>
        </w:r>
      </w:hyperlink>
    </w:p>
    <w:p w14:paraId="350994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Emmanouel, A., Kessels, R. P. C., Mouza, E., &amp; Fasotti, L. (2014). Sensitivity, specificity and predictive value of the BADS to anterior executive dysfunction.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 1–25. </w:t>
      </w:r>
      <w:hyperlink r:id="rId1651" w:history="1">
        <w:r w:rsidRPr="00600FC7">
          <w:rPr>
            <w:rFonts w:ascii="Times New Roman" w:eastAsia="Times New Roman" w:hAnsi="Times New Roman" w:cs="Times New Roman"/>
            <w:color w:val="0000FF"/>
            <w:sz w:val="24"/>
            <w:szCs w:val="24"/>
            <w:u w:val="single"/>
          </w:rPr>
          <w:t>https://doi.org/10.1080/09602011.2013.863731</w:t>
        </w:r>
      </w:hyperlink>
    </w:p>
    <w:p w14:paraId="4B802A1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Emmanouel, A., Kontrafouri, E., Nikolaos, P., Kessels, R. P. C., &amp; Fasotti, L. (2020). Incorporation of a working memory strategy in GMT to facilitate serial-order behaviour in brain-injured patients.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(5), 888–914. </w:t>
      </w:r>
      <w:hyperlink r:id="rId1652" w:history="1">
        <w:r w:rsidRPr="00600FC7">
          <w:rPr>
            <w:rFonts w:ascii="Times New Roman" w:eastAsia="Times New Roman" w:hAnsi="Times New Roman" w:cs="Times New Roman"/>
            <w:color w:val="0000FF"/>
            <w:sz w:val="24"/>
            <w:szCs w:val="24"/>
            <w:u w:val="single"/>
          </w:rPr>
          <w:t>https://doi.org/10.1080/09602011.2018.1517369</w:t>
        </w:r>
      </w:hyperlink>
    </w:p>
    <w:p w14:paraId="0EDC20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Emmanouel, A., Mouza, E., Kessels, R. P. C., &amp; Fasotti, L. (2014). Validity of the Dysexecutive Questionnaire (DEX). Ratings by patients with brain injury and their therapists.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(12), 1581–1589. </w:t>
      </w:r>
      <w:hyperlink r:id="rId1653" w:history="1">
        <w:r w:rsidRPr="00600FC7">
          <w:rPr>
            <w:rFonts w:ascii="Times New Roman" w:eastAsia="Times New Roman" w:hAnsi="Times New Roman" w:cs="Times New Roman"/>
            <w:color w:val="0000FF"/>
            <w:sz w:val="24"/>
            <w:szCs w:val="24"/>
            <w:u w:val="single"/>
          </w:rPr>
          <w:t>https://doi.org/10.3109/02699052.2014.942371</w:t>
        </w:r>
      </w:hyperlink>
    </w:p>
    <w:p w14:paraId="2DDE89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Emori, A., Matsushima, E., Aihara, O., Ohta, K., Koike, R., Miyasaka, N., &amp; Kato, M. (2005). Cognitive dysfunction in systemic lupus erythematosus.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(5), 584–589. </w:t>
      </w:r>
      <w:hyperlink r:id="rId1654" w:history="1">
        <w:r w:rsidRPr="00600FC7">
          <w:rPr>
            <w:rFonts w:ascii="Times New Roman" w:eastAsia="Times New Roman" w:hAnsi="Times New Roman" w:cs="Times New Roman"/>
            <w:color w:val="0000FF"/>
            <w:sz w:val="24"/>
            <w:szCs w:val="24"/>
            <w:u w:val="single"/>
          </w:rPr>
          <w:t>https://doi.org/10.1111/j.1440-1819.2005.01418.x</w:t>
        </w:r>
      </w:hyperlink>
    </w:p>
    <w:p w14:paraId="4D3AC4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Emsley, R., Rabinowitz, J., &amp; Medori, R. (2007). Remission in early psychosis: Rates, predictors, and clinical and functional outcome correlates.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(1–3), 129–139. </w:t>
      </w:r>
      <w:hyperlink r:id="rId1655" w:history="1">
        <w:r w:rsidRPr="00600FC7">
          <w:rPr>
            <w:rFonts w:ascii="Times New Roman" w:eastAsia="Times New Roman" w:hAnsi="Times New Roman" w:cs="Times New Roman"/>
            <w:color w:val="0000FF"/>
            <w:sz w:val="24"/>
            <w:szCs w:val="24"/>
            <w:u w:val="single"/>
          </w:rPr>
          <w:t>https://doi.org/10.1016/j.schres.2006.09.013</w:t>
        </w:r>
      </w:hyperlink>
    </w:p>
    <w:p w14:paraId="628C8E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Endrass, T., Koehne, S., Riesel, A., &amp; Kathmann, N. (2013). Neural correlates of feedback processing in obsessive–compulsive disorder.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122</w:t>
      </w:r>
      <w:r w:rsidRPr="00600FC7">
        <w:rPr>
          <w:rFonts w:ascii="Times New Roman" w:eastAsia="Times New Roman" w:hAnsi="Times New Roman" w:cs="Times New Roman"/>
          <w:sz w:val="24"/>
          <w:szCs w:val="24"/>
        </w:rPr>
        <w:t xml:space="preserve">(2), 387–396. </w:t>
      </w:r>
      <w:hyperlink r:id="rId1656" w:history="1">
        <w:r w:rsidRPr="00600FC7">
          <w:rPr>
            <w:rFonts w:ascii="Times New Roman" w:eastAsia="Times New Roman" w:hAnsi="Times New Roman" w:cs="Times New Roman"/>
            <w:color w:val="0000FF"/>
            <w:sz w:val="24"/>
            <w:szCs w:val="24"/>
            <w:u w:val="single"/>
          </w:rPr>
          <w:t>https://doi.org/10.1037/a0031496</w:t>
        </w:r>
      </w:hyperlink>
    </w:p>
    <w:p w14:paraId="455639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Ene, L., Franklin, D. R., Burlacu, R., Luca, A. E., Blaglosov, A. G., Ellis, R. J., Alexander, T. J., Umlauf, A., Grant, I., Duiculescu, D. C., Achim, C. L., &amp; Marcotte, T. D. (2014). Neurocognitive functioning in a Romanian cohort of young adults with parenterally-acquired HIV-infection during childhood. </w:t>
      </w:r>
      <w:r w:rsidRPr="00600FC7">
        <w:rPr>
          <w:rFonts w:ascii="Times New Roman" w:eastAsia="Times New Roman" w:hAnsi="Times New Roman" w:cs="Times New Roman"/>
          <w:i/>
          <w:iCs/>
          <w:sz w:val="24"/>
          <w:szCs w:val="24"/>
        </w:rPr>
        <w:t>Journal of Neurovirology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(5), 496–504. </w:t>
      </w:r>
      <w:hyperlink r:id="rId1657" w:history="1">
        <w:r w:rsidRPr="00600FC7">
          <w:rPr>
            <w:rFonts w:ascii="Times New Roman" w:eastAsia="Times New Roman" w:hAnsi="Times New Roman" w:cs="Times New Roman"/>
            <w:color w:val="0000FF"/>
            <w:sz w:val="24"/>
            <w:szCs w:val="24"/>
            <w:u w:val="single"/>
          </w:rPr>
          <w:t>https://doi.org/10.1007/s13365-014-0275-1</w:t>
        </w:r>
      </w:hyperlink>
    </w:p>
    <w:p w14:paraId="17F8436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Ene, L., Marcotte, T. D., Umlauf, A., Grancea, C., Temereanca, A., Bharti, A., Achim, C. L., Letendre, S., &amp; Ruta, S. M. (2016). Latent toxoplasmosis is associated with neurocognitive impairment in young adults with and without chronic HIV infection. </w:t>
      </w:r>
      <w:r w:rsidRPr="00600FC7">
        <w:rPr>
          <w:rFonts w:ascii="Times New Roman" w:eastAsia="Times New Roman" w:hAnsi="Times New Roman" w:cs="Times New Roman"/>
          <w:i/>
          <w:iCs/>
          <w:sz w:val="24"/>
          <w:szCs w:val="24"/>
        </w:rPr>
        <w:t>Journal of Neuroimmunology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299</w:t>
      </w:r>
      <w:r w:rsidRPr="00600FC7">
        <w:rPr>
          <w:rFonts w:ascii="Times New Roman" w:eastAsia="Times New Roman" w:hAnsi="Times New Roman" w:cs="Times New Roman"/>
          <w:sz w:val="24"/>
          <w:szCs w:val="24"/>
        </w:rPr>
        <w:t xml:space="preserve">, 1–7. </w:t>
      </w:r>
      <w:hyperlink r:id="rId1658" w:history="1">
        <w:r w:rsidRPr="00600FC7">
          <w:rPr>
            <w:rFonts w:ascii="Times New Roman" w:eastAsia="Times New Roman" w:hAnsi="Times New Roman" w:cs="Times New Roman"/>
            <w:color w:val="0000FF"/>
            <w:sz w:val="24"/>
            <w:szCs w:val="24"/>
            <w:u w:val="single"/>
          </w:rPr>
          <w:t>https://doi.org/10.1016/j.jneuroim.2016.08.003</w:t>
        </w:r>
      </w:hyperlink>
    </w:p>
    <w:p w14:paraId="2A3DF9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Enea, V., &amp; Dafinoiu, I. (2013). Flexibility in processing visual information: Effects of mood and hypnosis. </w:t>
      </w:r>
      <w:r w:rsidRPr="00600FC7">
        <w:rPr>
          <w:rFonts w:ascii="Times New Roman" w:eastAsia="Times New Roman" w:hAnsi="Times New Roman" w:cs="Times New Roman"/>
          <w:i/>
          <w:iCs/>
          <w:sz w:val="24"/>
          <w:szCs w:val="24"/>
        </w:rPr>
        <w:t>International Journal of Clinical and Experimental Hypnosis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(1), 55–70. </w:t>
      </w:r>
      <w:hyperlink r:id="rId1659" w:history="1">
        <w:r w:rsidRPr="00600FC7">
          <w:rPr>
            <w:rFonts w:ascii="Times New Roman" w:eastAsia="Times New Roman" w:hAnsi="Times New Roman" w:cs="Times New Roman"/>
            <w:color w:val="0000FF"/>
            <w:sz w:val="24"/>
            <w:szCs w:val="24"/>
            <w:u w:val="single"/>
          </w:rPr>
          <w:t>https://doi.org/10.1080/00207144.2013.729435</w:t>
        </w:r>
      </w:hyperlink>
    </w:p>
    <w:p w14:paraId="2689D6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Enge, S., Fleischhauer, M., Lesch, K.-P., Reif, A., &amp; Strobel, A. (2011). Serotonergic modulation in executive functioning: Linking genetic variations to working memory performance.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(13), 3776–3785. </w:t>
      </w:r>
      <w:hyperlink r:id="rId1660" w:history="1">
        <w:r w:rsidRPr="00600FC7">
          <w:rPr>
            <w:rFonts w:ascii="Times New Roman" w:eastAsia="Times New Roman" w:hAnsi="Times New Roman" w:cs="Times New Roman"/>
            <w:color w:val="0000FF"/>
            <w:sz w:val="24"/>
            <w:szCs w:val="24"/>
            <w:u w:val="single"/>
          </w:rPr>
          <w:t>https://doi.org/10.1016/j.neuropsychologia.2011.09.038</w:t>
        </w:r>
      </w:hyperlink>
    </w:p>
    <w:p w14:paraId="10EA48A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Engelhardt, P. E., Nigg, J. T., &amp; Ferreira, F. (2013). Is the fluency of language outputs related to individual differences in intelligence and executive function? </w:t>
      </w:r>
      <w:r w:rsidRPr="00600FC7">
        <w:rPr>
          <w:rFonts w:ascii="Times New Roman" w:eastAsia="Times New Roman" w:hAnsi="Times New Roman" w:cs="Times New Roman"/>
          <w:i/>
          <w:iCs/>
          <w:sz w:val="24"/>
          <w:szCs w:val="24"/>
        </w:rPr>
        <w:t>Acta 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144</w:t>
      </w:r>
      <w:r w:rsidRPr="00600FC7">
        <w:rPr>
          <w:rFonts w:ascii="Times New Roman" w:eastAsia="Times New Roman" w:hAnsi="Times New Roman" w:cs="Times New Roman"/>
          <w:sz w:val="24"/>
          <w:szCs w:val="24"/>
        </w:rPr>
        <w:t xml:space="preserve">(2), 424–432. </w:t>
      </w:r>
      <w:hyperlink r:id="rId1661" w:history="1">
        <w:r w:rsidRPr="00600FC7">
          <w:rPr>
            <w:rFonts w:ascii="Times New Roman" w:eastAsia="Times New Roman" w:hAnsi="Times New Roman" w:cs="Times New Roman"/>
            <w:color w:val="0000FF"/>
            <w:sz w:val="24"/>
            <w:szCs w:val="24"/>
            <w:u w:val="single"/>
          </w:rPr>
          <w:t>https://doi.org/10.1016/j.actpsy.2013.08.002</w:t>
        </w:r>
      </w:hyperlink>
    </w:p>
    <w:p w14:paraId="06F0F8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Engelhardt, P. E., Veld, S. N., Nigg, J. T., &amp; Ferreira, F. (2012). Are language production problems apparent in adults who no longer meet diagnostic criteria for attention-deficit/hyperactivity disorder? </w:t>
      </w:r>
      <w:r w:rsidRPr="00600FC7">
        <w:rPr>
          <w:rFonts w:ascii="Times New Roman" w:eastAsia="Times New Roman" w:hAnsi="Times New Roman" w:cs="Times New Roman"/>
          <w:i/>
          <w:iCs/>
          <w:sz w:val="24"/>
          <w:szCs w:val="24"/>
        </w:rPr>
        <w:t>Cognitive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275–299. </w:t>
      </w:r>
      <w:hyperlink r:id="rId1662" w:history="1">
        <w:r w:rsidRPr="00600FC7">
          <w:rPr>
            <w:rFonts w:ascii="Times New Roman" w:eastAsia="Times New Roman" w:hAnsi="Times New Roman" w:cs="Times New Roman"/>
            <w:color w:val="0000FF"/>
            <w:sz w:val="24"/>
            <w:szCs w:val="24"/>
            <w:u w:val="single"/>
          </w:rPr>
          <w:t>https://doi.org/10.1080/02643294.2012.712957</w:t>
        </w:r>
      </w:hyperlink>
    </w:p>
    <w:p w14:paraId="657ACA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Englot, D. J., D’Haese, P.-F., Konrad, P. E., Jacobs, M. L., Gore, J. C., Abou-Khalil, B. W., &amp; Morgan, V. L. (2017). Functional connectivity disturbances of the ascending reticular activating system in temporal lobe epilepsy.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(11), 925–932. </w:t>
      </w:r>
      <w:hyperlink r:id="rId1663" w:history="1">
        <w:r w:rsidRPr="00600FC7">
          <w:rPr>
            <w:rFonts w:ascii="Times New Roman" w:eastAsia="Times New Roman" w:hAnsi="Times New Roman" w:cs="Times New Roman"/>
            <w:color w:val="0000FF"/>
            <w:sz w:val="24"/>
            <w:szCs w:val="24"/>
            <w:u w:val="single"/>
          </w:rPr>
          <w:t>https://doi.org/10.1136/jnnp-2017-315732</w:t>
        </w:r>
      </w:hyperlink>
    </w:p>
    <w:p w14:paraId="32B1B5D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Epelbaum, S., Benisty, S., Reyes, S., O’Sullivan, M., Jouvent, E., Düring, M., Hervé, D., Opherk, C., Hernandez, K., Kurtz, A., Viswanathan, A., Bousser, M. G., Dichgans, M., &amp; Chabriat, H. (2011). Verbal memory impairment in subcortical ischemic vascular disease: A descriptive analysis in CADASIL.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(12), 2172–2182. </w:t>
      </w:r>
      <w:hyperlink r:id="rId1664" w:history="1">
        <w:r w:rsidRPr="00600FC7">
          <w:rPr>
            <w:rFonts w:ascii="Times New Roman" w:eastAsia="Times New Roman" w:hAnsi="Times New Roman" w:cs="Times New Roman"/>
            <w:color w:val="0000FF"/>
            <w:sz w:val="24"/>
            <w:szCs w:val="24"/>
            <w:u w:val="single"/>
          </w:rPr>
          <w:t>https://doi.org/10.1016/j.neurobiolaging.2009.12.018</w:t>
        </w:r>
      </w:hyperlink>
    </w:p>
    <w:p w14:paraId="6699B6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Erberk-Ozen, N., Birol, A., Boratav, C., &amp; Kocak, M. (2006). Executive dysfunctions and depression in Behçet’s disease without explicit neurological involvement.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(4), 465–472. </w:t>
      </w:r>
      <w:hyperlink r:id="rId1665" w:history="1">
        <w:r w:rsidRPr="00600FC7">
          <w:rPr>
            <w:rFonts w:ascii="Times New Roman" w:eastAsia="Times New Roman" w:hAnsi="Times New Roman" w:cs="Times New Roman"/>
            <w:color w:val="0000FF"/>
            <w:sz w:val="24"/>
            <w:szCs w:val="24"/>
            <w:u w:val="single"/>
          </w:rPr>
          <w:t>https://doi.org/10.1111/j.1440-1819.2006.01533.x</w:t>
        </w:r>
      </w:hyperlink>
    </w:p>
    <w:p w14:paraId="31EBB1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Erberk-Özen, N., Yüksel, N., Boratav, C., &amp; Karakaş, S. (2005). Şizofreni, Depresyon ve Alkol Bağimliliğinda Frontal Bölge İşlevselliğinin Değerlendirilmesi. [Assessment of frontal lobe functions in schizophrenia, depression and alcohol dependence.]. </w:t>
      </w:r>
      <w:r w:rsidRPr="00600FC7">
        <w:rPr>
          <w:rFonts w:ascii="Times New Roman" w:eastAsia="Times New Roman" w:hAnsi="Times New Roman" w:cs="Times New Roman"/>
          <w:i/>
          <w:iCs/>
          <w:sz w:val="24"/>
          <w:szCs w:val="24"/>
        </w:rPr>
        <w:t>Klinik Psikofarmakoloji Bülteni / Bulletin of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(3), 93–103.</w:t>
      </w:r>
    </w:p>
    <w:p w14:paraId="3A0096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(2019). Aggregating validity indicators: The salience of domain specificity and the indeterminate range in multivariate models of performance validity assessment.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(2), 155–172. </w:t>
      </w:r>
      <w:hyperlink r:id="rId1666" w:history="1">
        <w:r w:rsidRPr="00600FC7">
          <w:rPr>
            <w:rFonts w:ascii="Times New Roman" w:eastAsia="Times New Roman" w:hAnsi="Times New Roman" w:cs="Times New Roman"/>
            <w:color w:val="0000FF"/>
            <w:sz w:val="24"/>
            <w:szCs w:val="24"/>
            <w:u w:val="single"/>
          </w:rPr>
          <w:t>https://doi.org/10.1080/23279095.2017.1384925</w:t>
        </w:r>
      </w:hyperlink>
    </w:p>
    <w:p w14:paraId="43ACCC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Erdodi, L. A., Abeare, C. A., Lichtenstein, J. D., Tyson, B. T., Kucharski, B., Zuccato, B. G., &amp; Roth, R. M. (2017). Wechsler Adult Intelligence Scale-Fourth Edition (WAIS-IV) processing speed scores as measures of noncredible responding: The third generation of embedded performance validity indicators.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(2), 148–157. </w:t>
      </w:r>
      <w:hyperlink r:id="rId1667" w:history="1">
        <w:r w:rsidRPr="00600FC7">
          <w:rPr>
            <w:rFonts w:ascii="Times New Roman" w:eastAsia="Times New Roman" w:hAnsi="Times New Roman" w:cs="Times New Roman"/>
            <w:color w:val="0000FF"/>
            <w:sz w:val="24"/>
            <w:szCs w:val="24"/>
            <w:u w:val="single"/>
          </w:rPr>
          <w:t>https://doi.org/10.1037/pas0000319</w:t>
        </w:r>
      </w:hyperlink>
    </w:p>
    <w:p w14:paraId="5724FF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Abeare, C. A., Medoff, B., Seke, K. R., Sagar, S., &amp; Kirsch, N. L. (2018). A single error is one too many: The Forced Choice Recognition Trial of the CVLT-II as a measure of performance validity in adults with TBI.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(7), 845–860. </w:t>
      </w:r>
      <w:hyperlink r:id="rId1668" w:history="1">
        <w:r w:rsidRPr="00600FC7">
          <w:rPr>
            <w:rFonts w:ascii="Times New Roman" w:eastAsia="Times New Roman" w:hAnsi="Times New Roman" w:cs="Times New Roman"/>
            <w:color w:val="0000FF"/>
            <w:sz w:val="24"/>
            <w:szCs w:val="24"/>
            <w:u w:val="single"/>
          </w:rPr>
          <w:t>https://doi.org/10.1093/acn/acx110</w:t>
        </w:r>
      </w:hyperlink>
    </w:p>
    <w:p w14:paraId="415F58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Dunn, A. G., Seke, K. R., Charron, C., McDermott, A., Enache, A., Maytham, C., &amp; Hurtubise, J. L. (2018). The Boston Naming Test as a measure of performance validity.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(1), 1–8. </w:t>
      </w:r>
      <w:hyperlink r:id="rId1669" w:history="1">
        <w:r w:rsidRPr="00600FC7">
          <w:rPr>
            <w:rFonts w:ascii="Times New Roman" w:eastAsia="Times New Roman" w:hAnsi="Times New Roman" w:cs="Times New Roman"/>
            <w:color w:val="0000FF"/>
            <w:sz w:val="24"/>
            <w:szCs w:val="24"/>
            <w:u w:val="single"/>
          </w:rPr>
          <w:t>https://doi.org/10.1007/s12207-017-9309-3</w:t>
        </w:r>
      </w:hyperlink>
    </w:p>
    <w:p w14:paraId="01C246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Kirsch, N. L., Lajiness-O’Neill, R., Vingilis, E., &amp; Medoff, B. (2014). Comparing the Recognition Memory Test and the Word Choice Test in a mixed clinical sample: Are they equivalent?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(3), 255–263. </w:t>
      </w:r>
      <w:hyperlink r:id="rId1670" w:history="1">
        <w:r w:rsidRPr="00600FC7">
          <w:rPr>
            <w:rFonts w:ascii="Times New Roman" w:eastAsia="Times New Roman" w:hAnsi="Times New Roman" w:cs="Times New Roman"/>
            <w:color w:val="0000FF"/>
            <w:sz w:val="24"/>
            <w:szCs w:val="24"/>
            <w:u w:val="single"/>
          </w:rPr>
          <w:t>https://doi.org/10.1007/s12207-014-9197-8</w:t>
        </w:r>
      </w:hyperlink>
    </w:p>
    <w:p w14:paraId="151419D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Kirsch, N. L., Sabelli, A. G., &amp; Abeare, C. A. (2018). The Grooved Pegboard test as a validity indicator—A study on psychogenic interference as a confound in performance validity research.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(4), 307–324. </w:t>
      </w:r>
      <w:hyperlink r:id="rId1671" w:history="1">
        <w:r w:rsidRPr="00600FC7">
          <w:rPr>
            <w:rFonts w:ascii="Times New Roman" w:eastAsia="Times New Roman" w:hAnsi="Times New Roman" w:cs="Times New Roman"/>
            <w:color w:val="0000FF"/>
            <w:sz w:val="24"/>
            <w:szCs w:val="24"/>
            <w:u w:val="single"/>
          </w:rPr>
          <w:t>https://doi.org/10.1007/s12207-018-9337-7</w:t>
        </w:r>
      </w:hyperlink>
    </w:p>
    <w:p w14:paraId="3F3106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Lichtenstein, J. D., Rai, J. K., &amp; Flaro, L. (2017). Embedded validity indicators in Conners’ CPT-II: Do adult cutoffs work the same way in children?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(4), 355–363. </w:t>
      </w:r>
      <w:hyperlink r:id="rId1672" w:history="1">
        <w:r w:rsidRPr="00600FC7">
          <w:rPr>
            <w:rFonts w:ascii="Times New Roman" w:eastAsia="Times New Roman" w:hAnsi="Times New Roman" w:cs="Times New Roman"/>
            <w:color w:val="0000FF"/>
            <w:sz w:val="24"/>
            <w:szCs w:val="24"/>
            <w:u w:val="single"/>
          </w:rPr>
          <w:t>https://doi.org/10.1080/21622965.2016.1198908</w:t>
        </w:r>
      </w:hyperlink>
    </w:p>
    <w:p w14:paraId="56D198C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Erdodi, L. A., Sabelli, A. G., An, K. Y., Hastings, M., McCoy, C., &amp; Abeare, C. A. (2020). Introducing a Five-Variable Psychiatric Screener based on the Visual Analog Scale (V-5).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(2), 219–239. </w:t>
      </w:r>
      <w:hyperlink r:id="rId1673" w:history="1">
        <w:r w:rsidRPr="00600FC7">
          <w:rPr>
            <w:rFonts w:ascii="Times New Roman" w:eastAsia="Times New Roman" w:hAnsi="Times New Roman" w:cs="Times New Roman"/>
            <w:color w:val="0000FF"/>
            <w:sz w:val="24"/>
            <w:szCs w:val="24"/>
            <w:u w:val="single"/>
          </w:rPr>
          <w:t>https://doi.org/10.1037/pne0000201</w:t>
        </w:r>
      </w:hyperlink>
    </w:p>
    <w:p w14:paraId="41E0230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Sagar, S., Seke, K., Zuccato, B. G., Schwartz, E. S., &amp; Roth, R. M. (2018). The Stroop test as a measure of performance validity in adults clinically referred for neuropsychological assessment.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755–766. </w:t>
      </w:r>
      <w:hyperlink r:id="rId1674" w:history="1">
        <w:r w:rsidRPr="00600FC7">
          <w:rPr>
            <w:rFonts w:ascii="Times New Roman" w:eastAsia="Times New Roman" w:hAnsi="Times New Roman" w:cs="Times New Roman"/>
            <w:color w:val="0000FF"/>
            <w:sz w:val="24"/>
            <w:szCs w:val="24"/>
            <w:u w:val="single"/>
          </w:rPr>
          <w:t>https://doi.org/10.1037/pas0000525</w:t>
        </w:r>
      </w:hyperlink>
    </w:p>
    <w:p w14:paraId="4EAC979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Erdődi, L. A., Seke, K. R., Shahein, A., Tyson, B. T., Sagar, S., &amp; Roth, R. M. (2017). Low scores on the Grooved Pegboard Test are associated with invalid responding and psychiatric symptoms.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325–344. </w:t>
      </w:r>
      <w:hyperlink r:id="rId1675" w:history="1">
        <w:r w:rsidRPr="00600FC7">
          <w:rPr>
            <w:rFonts w:ascii="Times New Roman" w:eastAsia="Times New Roman" w:hAnsi="Times New Roman" w:cs="Times New Roman"/>
            <w:color w:val="0000FF"/>
            <w:sz w:val="24"/>
            <w:szCs w:val="24"/>
            <w:u w:val="single"/>
          </w:rPr>
          <w:t>https://doi.org/10.1037/pne0000103</w:t>
        </w:r>
      </w:hyperlink>
    </w:p>
    <w:p w14:paraId="4E4134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Erdődi, L. A., Shahein, A. G., Fareez, F., Rykulski, N., Sabelli, A. G., &amp; Roth, R. M. (2020). Increasing the cutoff on the MMSE and DRS-2 improves clinical classification accuracy in highly educated older adults.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(1), 93–113. </w:t>
      </w:r>
      <w:hyperlink r:id="rId1676" w:history="1">
        <w:r w:rsidRPr="00600FC7">
          <w:rPr>
            <w:rFonts w:ascii="Times New Roman" w:eastAsia="Times New Roman" w:hAnsi="Times New Roman" w:cs="Times New Roman"/>
            <w:color w:val="0000FF"/>
            <w:sz w:val="24"/>
            <w:szCs w:val="24"/>
            <w:u w:val="single"/>
          </w:rPr>
          <w:t>https://doi.org/10.1037/pne0000185</w:t>
        </w:r>
      </w:hyperlink>
    </w:p>
    <w:p w14:paraId="367D9F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Taylor, B., Sabelli, A. G., Malleck, M., Kirsch, N. L., &amp; Abeare, C. A. (2019). Demographically adjusted validity cutoffs on the finger tapping test are superior to raw score cutoffs in adults with TBI.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(2), 113–126. </w:t>
      </w:r>
      <w:hyperlink r:id="rId1677" w:history="1">
        <w:r w:rsidRPr="00600FC7">
          <w:rPr>
            <w:rFonts w:ascii="Times New Roman" w:eastAsia="Times New Roman" w:hAnsi="Times New Roman" w:cs="Times New Roman"/>
            <w:color w:val="0000FF"/>
            <w:sz w:val="24"/>
            <w:szCs w:val="24"/>
            <w:u w:val="single"/>
          </w:rPr>
          <w:t>https://doi.org/10.1007/s12207-019-09352-y</w:t>
        </w:r>
      </w:hyperlink>
    </w:p>
    <w:p w14:paraId="0C52BE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Tyson, B. T., Abeare, C. A., Lichtenstein, J. D., Pelletier, C. L., Rai, J. K., &amp; Roth, R. M. (2016). The BDAE Complex Ideational Material—A measure of receptive language or performance validity? </w:t>
      </w:r>
      <w:r w:rsidRPr="00600FC7">
        <w:rPr>
          <w:rFonts w:ascii="Times New Roman" w:eastAsia="Times New Roman" w:hAnsi="Times New Roman" w:cs="Times New Roman"/>
          <w:i/>
          <w:iCs/>
          <w:sz w:val="24"/>
          <w:szCs w:val="24"/>
        </w:rPr>
        <w:t>Psychological Injury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112–120. </w:t>
      </w:r>
      <w:hyperlink r:id="rId1678" w:history="1">
        <w:r w:rsidRPr="00600FC7">
          <w:rPr>
            <w:rFonts w:ascii="Times New Roman" w:eastAsia="Times New Roman" w:hAnsi="Times New Roman" w:cs="Times New Roman"/>
            <w:color w:val="0000FF"/>
            <w:sz w:val="24"/>
            <w:szCs w:val="24"/>
            <w:u w:val="single"/>
          </w:rPr>
          <w:t>https://doi.org/10.1007/s12207-016-9254-6</w:t>
        </w:r>
      </w:hyperlink>
    </w:p>
    <w:p w14:paraId="5D7272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Erdodi, L. A., Tyson, B. T., Abeare, C. A., Zuccato, B. G., Rai, J. K., Seke, K. R., Sagar, S., &amp; Roth, R. M. (2018). Utility of critical items within the Recognition Memory Test and Word Choice Test.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(4), 327–339. </w:t>
      </w:r>
      <w:hyperlink r:id="rId1679" w:history="1">
        <w:r w:rsidRPr="00600FC7">
          <w:rPr>
            <w:rFonts w:ascii="Times New Roman" w:eastAsia="Times New Roman" w:hAnsi="Times New Roman" w:cs="Times New Roman"/>
            <w:color w:val="0000FF"/>
            <w:sz w:val="24"/>
            <w:szCs w:val="24"/>
            <w:u w:val="single"/>
          </w:rPr>
          <w:t>https://doi.org/10.1080/23279095.2017.1298600</w:t>
        </w:r>
      </w:hyperlink>
    </w:p>
    <w:p w14:paraId="0A9780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Erdodi, L. A., Tyson, B. T., Shahein, A. G., Lichtenstein, J. D., Abeare, C. A., Pelletier, C. L., Zuccato, B. G., Kucharski, B., &amp; Roth, R. M. (2017). The power of timing: Adding a time-to-completion cutoff to the Word Choice Test and Recognition Memory Test improves classification accuracy.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(4), 369–383. </w:t>
      </w:r>
      <w:hyperlink r:id="rId1680" w:history="1">
        <w:r w:rsidRPr="00600FC7">
          <w:rPr>
            <w:rFonts w:ascii="Times New Roman" w:eastAsia="Times New Roman" w:hAnsi="Times New Roman" w:cs="Times New Roman"/>
            <w:color w:val="0000FF"/>
            <w:sz w:val="24"/>
            <w:szCs w:val="24"/>
            <w:u w:val="single"/>
          </w:rPr>
          <w:t>https://doi.org/10.1080/13803395.2016.1230181</w:t>
        </w:r>
      </w:hyperlink>
    </w:p>
    <w:p w14:paraId="713A3A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ErEl, H., &amp; Meiran, N. (2011). Mindset changes lead to drastic impairments in rule finding. </w:t>
      </w:r>
      <w:r w:rsidRPr="00600FC7">
        <w:rPr>
          <w:rFonts w:ascii="Times New Roman" w:eastAsia="Times New Roman" w:hAnsi="Times New Roman" w:cs="Times New Roman"/>
          <w:i/>
          <w:iCs/>
          <w:sz w:val="24"/>
          <w:szCs w:val="24"/>
        </w:rPr>
        <w:t>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(2), 149–165. </w:t>
      </w:r>
      <w:hyperlink r:id="rId1681" w:history="1">
        <w:r w:rsidRPr="00600FC7">
          <w:rPr>
            <w:rFonts w:ascii="Times New Roman" w:eastAsia="Times New Roman" w:hAnsi="Times New Roman" w:cs="Times New Roman"/>
            <w:color w:val="0000FF"/>
            <w:sz w:val="24"/>
            <w:szCs w:val="24"/>
            <w:u w:val="single"/>
          </w:rPr>
          <w:t>https://doi.org/10.1016/j.cognition.2011.01.002</w:t>
        </w:r>
      </w:hyperlink>
    </w:p>
    <w:p w14:paraId="61F351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Eren, O. E., Straube, A., Tonn, J. C., Ilmberger, J., &amp; Kraft, E. (2015). Kognitive funktion bei patienten vor und nach mikrochirurgischer resektion von frontalen hirntumoren. [Cognitive function in patients before and after micro-neurosurgical resection of frontal brain tumors.]. </w:t>
      </w:r>
      <w:r w:rsidRPr="00600FC7">
        <w:rPr>
          <w:rFonts w:ascii="Times New Roman" w:eastAsia="Times New Roman" w:hAnsi="Times New Roman" w:cs="Times New Roman"/>
          <w:i/>
          <w:iCs/>
          <w:sz w:val="24"/>
          <w:szCs w:val="24"/>
        </w:rPr>
        <w:t>Fortschritte Der Neurologie, Psychiatrie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(11), 628–633. </w:t>
      </w:r>
      <w:hyperlink r:id="rId1682" w:history="1">
        <w:r w:rsidRPr="00600FC7">
          <w:rPr>
            <w:rFonts w:ascii="Times New Roman" w:eastAsia="Times New Roman" w:hAnsi="Times New Roman" w:cs="Times New Roman"/>
            <w:color w:val="0000FF"/>
            <w:sz w:val="24"/>
            <w:szCs w:val="24"/>
            <w:u w:val="single"/>
          </w:rPr>
          <w:t>https://doi.org/10.1055/s-0041-109189</w:t>
        </w:r>
      </w:hyperlink>
    </w:p>
    <w:p w14:paraId="4E8550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Erez, J., Lee, A. C. H., &amp; Barense, M. D. (2013). It does not look odd to me: Perceptual impairments and eye movements in amnesic patients with medial temporal lobe damage.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(1), 168–180. </w:t>
      </w:r>
      <w:hyperlink r:id="rId1683" w:history="1">
        <w:r w:rsidRPr="00600FC7">
          <w:rPr>
            <w:rFonts w:ascii="Times New Roman" w:eastAsia="Times New Roman" w:hAnsi="Times New Roman" w:cs="Times New Roman"/>
            <w:color w:val="0000FF"/>
            <w:sz w:val="24"/>
            <w:szCs w:val="24"/>
            <w:u w:val="single"/>
          </w:rPr>
          <w:t>https://doi.org/10.1016/j.neuropsychologia.2012.11.003</w:t>
        </w:r>
      </w:hyperlink>
    </w:p>
    <w:p w14:paraId="6B75BCC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Ergül, C., &amp; Üçok, A. (2015). Negative symptom subgroups have different effects on the clinical course of schizophrenia after the first episode: A 24-month follow up study.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 14–19. </w:t>
      </w:r>
      <w:hyperlink r:id="rId1684" w:history="1">
        <w:r w:rsidRPr="00600FC7">
          <w:rPr>
            <w:rFonts w:ascii="Times New Roman" w:eastAsia="Times New Roman" w:hAnsi="Times New Roman" w:cs="Times New Roman"/>
            <w:color w:val="0000FF"/>
            <w:sz w:val="24"/>
            <w:szCs w:val="24"/>
            <w:u w:val="single"/>
          </w:rPr>
          <w:t>https://doi.org/10.1016/j.eurpsy.2014.07.005</w:t>
        </w:r>
      </w:hyperlink>
    </w:p>
    <w:p w14:paraId="1ED882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Ergün, S., Yanartaş, Ö., Kandemir, G., Yaman, A., Yıldız, M., Haklar, G., &amp; Sayar, K. (2018). The relationship between psychopathology and cognitive functions with cytokines in clinically stable patients with schizophrenia. </w:t>
      </w:r>
      <w:r w:rsidRPr="00600FC7">
        <w:rPr>
          <w:rFonts w:ascii="Times New Roman" w:eastAsia="Times New Roman" w:hAnsi="Times New Roman" w:cs="Times New Roman"/>
          <w:i/>
          <w:iCs/>
          <w:sz w:val="24"/>
          <w:szCs w:val="24"/>
        </w:rPr>
        <w:t>Psychiatry and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66–72. </w:t>
      </w:r>
      <w:hyperlink r:id="rId1685" w:history="1">
        <w:r w:rsidRPr="00600FC7">
          <w:rPr>
            <w:rFonts w:ascii="Times New Roman" w:eastAsia="Times New Roman" w:hAnsi="Times New Roman" w:cs="Times New Roman"/>
            <w:color w:val="0000FF"/>
            <w:sz w:val="24"/>
            <w:szCs w:val="24"/>
            <w:u w:val="single"/>
          </w:rPr>
          <w:t>https://doi.org/10.1080/24750573.2017.1380920</w:t>
        </w:r>
      </w:hyperlink>
    </w:p>
    <w:p w14:paraId="731153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Erickson, K. I., Colcombe, S. J., Elavsky, S., McAuley, E., Korol, D. L., Scalf, P. E., &amp; Kramer, A. F. (2007). Interactive effects of fitness and hormone treatment on brain health in postmenopausal women.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179–185. </w:t>
      </w:r>
      <w:hyperlink r:id="rId1686" w:history="1">
        <w:r w:rsidRPr="00600FC7">
          <w:rPr>
            <w:rFonts w:ascii="Times New Roman" w:eastAsia="Times New Roman" w:hAnsi="Times New Roman" w:cs="Times New Roman"/>
            <w:color w:val="0000FF"/>
            <w:sz w:val="24"/>
            <w:szCs w:val="24"/>
            <w:u w:val="single"/>
          </w:rPr>
          <w:t>https://doi.org/10.1016/j.neurobiolaging.2005.11.016</w:t>
        </w:r>
      </w:hyperlink>
    </w:p>
    <w:p w14:paraId="7AB7EB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Ermoli, E., Anselmetti, S., Bechi, M., Cocchi, F., Smeraldi, E., &amp; Cavallaro, R. (2005). Assessment of psychosis in schizophrenia: Neuropsychological profile of chronic schizophrenia. </w:t>
      </w:r>
      <w:r w:rsidRPr="00600FC7">
        <w:rPr>
          <w:rFonts w:ascii="Times New Roman" w:eastAsia="Times New Roman" w:hAnsi="Times New Roman" w:cs="Times New Roman"/>
          <w:i/>
          <w:iCs/>
          <w:sz w:val="24"/>
          <w:szCs w:val="24"/>
        </w:rPr>
        <w:t>Clinical Neuropsychiatry: Journal of Treatment Evaluation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(4), 243–249.</w:t>
      </w:r>
    </w:p>
    <w:p w14:paraId="7CD664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Erol, A., Bayram, S., Kosger, F., &amp; Mete, L. (2012). Executive functions in patients with familial versus sporadic schizophrenia and their parents.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(2), 93–99. </w:t>
      </w:r>
      <w:hyperlink r:id="rId1687" w:history="1">
        <w:r w:rsidRPr="00600FC7">
          <w:rPr>
            <w:rFonts w:ascii="Times New Roman" w:eastAsia="Times New Roman" w:hAnsi="Times New Roman" w:cs="Times New Roman"/>
            <w:color w:val="0000FF"/>
            <w:sz w:val="24"/>
            <w:szCs w:val="24"/>
            <w:u w:val="single"/>
          </w:rPr>
          <w:t>https://doi.org/10.1159/000337738</w:t>
        </w:r>
      </w:hyperlink>
    </w:p>
    <w:p w14:paraId="47D8E3E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Erol, A., Kosger, F., Putgul, G., &amp; Ersoy, B. (2014). Ventral prefrontal executive function impairment as a potential endophenotypic marker for bipolar disorder. </w:t>
      </w:r>
      <w:r w:rsidRPr="00600FC7">
        <w:rPr>
          <w:rFonts w:ascii="Times New Roman" w:eastAsia="Times New Roman" w:hAnsi="Times New Roman" w:cs="Times New Roman"/>
          <w:i/>
          <w:iCs/>
          <w:sz w:val="24"/>
          <w:szCs w:val="24"/>
        </w:rPr>
        <w:t>Nordic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(1), 18–23. </w:t>
      </w:r>
      <w:hyperlink r:id="rId1688" w:history="1">
        <w:r w:rsidRPr="00600FC7">
          <w:rPr>
            <w:rFonts w:ascii="Times New Roman" w:eastAsia="Times New Roman" w:hAnsi="Times New Roman" w:cs="Times New Roman"/>
            <w:color w:val="0000FF"/>
            <w:sz w:val="24"/>
            <w:szCs w:val="24"/>
            <w:u w:val="single"/>
          </w:rPr>
          <w:t>https://doi.org/10.3109/08039488.2012.756062</w:t>
        </w:r>
      </w:hyperlink>
    </w:p>
    <w:p w14:paraId="66ABD11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Errico, A. L., King, A. C., Lovallo, W. R., &amp; Parsons, O. A. (2002). Cortisol dysregulation and cognitive impairment in abstinent male alcoholics.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(8), 1198–1204. </w:t>
      </w:r>
      <w:hyperlink r:id="rId1689" w:history="1">
        <w:r w:rsidRPr="00600FC7">
          <w:rPr>
            <w:rFonts w:ascii="Times New Roman" w:eastAsia="Times New Roman" w:hAnsi="Times New Roman" w:cs="Times New Roman"/>
            <w:color w:val="0000FF"/>
            <w:sz w:val="24"/>
            <w:szCs w:val="24"/>
            <w:u w:val="single"/>
          </w:rPr>
          <w:t>https://doi.org/10.1097/00000374-200208000-00010</w:t>
        </w:r>
      </w:hyperlink>
    </w:p>
    <w:p w14:paraId="68810D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Ertugrul, A., Ucar, G., Basar, K., Demir, B., Yabanoglu, S., &amp; Ulug, B. (2007). Influence of clozapine on platelet serotonin, monoamine oxidase and plasma serotonin levels.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149</w:t>
      </w:r>
      <w:r w:rsidRPr="00600FC7">
        <w:rPr>
          <w:rFonts w:ascii="Times New Roman" w:eastAsia="Times New Roman" w:hAnsi="Times New Roman" w:cs="Times New Roman"/>
          <w:sz w:val="24"/>
          <w:szCs w:val="24"/>
        </w:rPr>
        <w:t xml:space="preserve">(1–3), 49–57. </w:t>
      </w:r>
      <w:hyperlink r:id="rId1690" w:history="1">
        <w:r w:rsidRPr="00600FC7">
          <w:rPr>
            <w:rFonts w:ascii="Times New Roman" w:eastAsia="Times New Roman" w:hAnsi="Times New Roman" w:cs="Times New Roman"/>
            <w:color w:val="0000FF"/>
            <w:sz w:val="24"/>
            <w:szCs w:val="24"/>
            <w:u w:val="single"/>
          </w:rPr>
          <w:t>https://doi.org/10.1016/j.psychres.2005.12.009</w:t>
        </w:r>
      </w:hyperlink>
    </w:p>
    <w:p w14:paraId="39EA707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Ertugrul, A., &amp; Uluğ, B. (2007). The effect of clozapine on neuroimaging findings in schizophrenia. </w:t>
      </w:r>
      <w:r w:rsidRPr="00600FC7">
        <w:rPr>
          <w:rFonts w:ascii="Times New Roman" w:eastAsia="Times New Roman" w:hAnsi="Times New Roman" w:cs="Times New Roman"/>
          <w:i/>
          <w:iCs/>
          <w:sz w:val="24"/>
          <w:szCs w:val="24"/>
        </w:rPr>
        <w:t>Psychiatria Danubina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(4), 367–369.</w:t>
      </w:r>
    </w:p>
    <w:p w14:paraId="71EA651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Ertugrul, A., Volkan-Salanci, B., Basar, K., Oguz, K. K., Demir, B., Ergun, E. L., Senturk, S., Erbas, B., Cila, A., &amp; Ulug, B. (2009). The effect of clozapine on regional cerebral blood flow and brain metabolite ratios in schizophrenia: Relationship with treatment response.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174</w:t>
      </w:r>
      <w:r w:rsidRPr="00600FC7">
        <w:rPr>
          <w:rFonts w:ascii="Times New Roman" w:eastAsia="Times New Roman" w:hAnsi="Times New Roman" w:cs="Times New Roman"/>
          <w:sz w:val="24"/>
          <w:szCs w:val="24"/>
        </w:rPr>
        <w:t xml:space="preserve">(2), 121–129. </w:t>
      </w:r>
      <w:hyperlink r:id="rId1691" w:history="1">
        <w:r w:rsidRPr="00600FC7">
          <w:rPr>
            <w:rFonts w:ascii="Times New Roman" w:eastAsia="Times New Roman" w:hAnsi="Times New Roman" w:cs="Times New Roman"/>
            <w:color w:val="0000FF"/>
            <w:sz w:val="24"/>
            <w:szCs w:val="24"/>
            <w:u w:val="single"/>
          </w:rPr>
          <w:t>https://doi.org/10.1016/j.pscychresns.2009.04.007</w:t>
        </w:r>
      </w:hyperlink>
    </w:p>
    <w:p w14:paraId="483522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Escorpizo, R., Finger, M. E., Glässel, A., Gradinger, F., Lückenkemper, M., &amp; Cieza, A. (2011). A systematic review of functioning in vocational rehabilitation using the International Classification of Functioning, Disability and Health. </w:t>
      </w:r>
      <w:r w:rsidRPr="00600FC7">
        <w:rPr>
          <w:rFonts w:ascii="Times New Roman" w:eastAsia="Times New Roman" w:hAnsi="Times New Roman" w:cs="Times New Roman"/>
          <w:i/>
          <w:iCs/>
          <w:sz w:val="24"/>
          <w:szCs w:val="24"/>
        </w:rPr>
        <w:t>Journal of Occupational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(2), 134–146. </w:t>
      </w:r>
      <w:hyperlink r:id="rId1692" w:history="1">
        <w:r w:rsidRPr="00600FC7">
          <w:rPr>
            <w:rFonts w:ascii="Times New Roman" w:eastAsia="Times New Roman" w:hAnsi="Times New Roman" w:cs="Times New Roman"/>
            <w:color w:val="0000FF"/>
            <w:sz w:val="24"/>
            <w:szCs w:val="24"/>
            <w:u w:val="single"/>
          </w:rPr>
          <w:t>https://doi.org/10.1007/s10926-011-9290-8</w:t>
        </w:r>
      </w:hyperlink>
    </w:p>
    <w:p w14:paraId="398AF7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Eslami, A., Jahshan, C., &amp; Cadenhead, K. S. (2011). Disorganized symptoms and executive functioning predict impaired social functioning in subjects at risk for psychosis.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(4), 457–460. </w:t>
      </w:r>
      <w:hyperlink r:id="rId1693" w:history="1">
        <w:r w:rsidRPr="00600FC7">
          <w:rPr>
            <w:rFonts w:ascii="Times New Roman" w:eastAsia="Times New Roman" w:hAnsi="Times New Roman" w:cs="Times New Roman"/>
            <w:color w:val="0000FF"/>
            <w:sz w:val="24"/>
            <w:szCs w:val="24"/>
            <w:u w:val="single"/>
          </w:rPr>
          <w:t>https://doi.org/10.1176/appi.neuropsych.23.4.457</w:t>
        </w:r>
      </w:hyperlink>
    </w:p>
    <w:p w14:paraId="234E9BE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Eslinger, P. J., Blair, C., Wang, J., Lipovsky, B., Realmuto, J., Baker, D., Thorne, S., Gamson, D., Zimmerman, E., Rohrer, L., &amp; Yang, Q. X. (2009). Developmental shifts in fMRI activations during visuospatial relational reasoning.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(1), 1–10. </w:t>
      </w:r>
      <w:hyperlink r:id="rId1694" w:history="1">
        <w:r w:rsidRPr="00600FC7">
          <w:rPr>
            <w:rFonts w:ascii="Times New Roman" w:eastAsia="Times New Roman" w:hAnsi="Times New Roman" w:cs="Times New Roman"/>
            <w:color w:val="0000FF"/>
            <w:sz w:val="24"/>
            <w:szCs w:val="24"/>
            <w:u w:val="single"/>
          </w:rPr>
          <w:t>https://doi.org/10.1016/j.bandc.2008.04.010</w:t>
        </w:r>
      </w:hyperlink>
    </w:p>
    <w:p w14:paraId="19BF8DA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Esopenko, C., Chow, T. W., Tartaglia, M. C., Bacopulos, A., Kumar, P., Binns, M. A., Kennedy, J. L., Müller, D. J., &amp; Levine, B. (2017). Cognitive and psychosocial function in retired professional hockey players.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(6), 512–519. </w:t>
      </w:r>
      <w:hyperlink r:id="rId1695" w:history="1">
        <w:r w:rsidRPr="00600FC7">
          <w:rPr>
            <w:rFonts w:ascii="Times New Roman" w:eastAsia="Times New Roman" w:hAnsi="Times New Roman" w:cs="Times New Roman"/>
            <w:color w:val="0000FF"/>
            <w:sz w:val="24"/>
            <w:szCs w:val="24"/>
            <w:u w:val="single"/>
          </w:rPr>
          <w:t>https://doi.org/10.1136/jnnp-2016-315260</w:t>
        </w:r>
      </w:hyperlink>
    </w:p>
    <w:p w14:paraId="64AA74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Esopenko, C., &amp; Levine, B. (2017). Autobiographical memory and structural brain changes in chronic phase TBI.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 1–10. </w:t>
      </w:r>
      <w:hyperlink r:id="rId1696" w:history="1">
        <w:r w:rsidRPr="00600FC7">
          <w:rPr>
            <w:rFonts w:ascii="Times New Roman" w:eastAsia="Times New Roman" w:hAnsi="Times New Roman" w:cs="Times New Roman"/>
            <w:color w:val="0000FF"/>
            <w:sz w:val="24"/>
            <w:szCs w:val="24"/>
            <w:u w:val="single"/>
          </w:rPr>
          <w:t>https://doi.org/10.1016/j.cortex.2017.01.007</w:t>
        </w:r>
      </w:hyperlink>
    </w:p>
    <w:p w14:paraId="7A4BA4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Espinosa, A. G., Machado, R. A., González, S. B., González, M. E. G., Montoto, A. P., &amp; Sotomayor, G. T. (2010). Wisconsin Card Sorting Test performance and impulsivity in patients with temporal lobe epilepsy: Suicidal risk and suicide attempts.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39–45. </w:t>
      </w:r>
      <w:hyperlink r:id="rId1697" w:history="1">
        <w:r w:rsidRPr="00600FC7">
          <w:rPr>
            <w:rFonts w:ascii="Times New Roman" w:eastAsia="Times New Roman" w:hAnsi="Times New Roman" w:cs="Times New Roman"/>
            <w:color w:val="0000FF"/>
            <w:sz w:val="24"/>
            <w:szCs w:val="24"/>
            <w:u w:val="single"/>
          </w:rPr>
          <w:t>https://doi.org/10.1016/j.yebeh.2009.09.010</w:t>
        </w:r>
      </w:hyperlink>
    </w:p>
    <w:p w14:paraId="42F2F2E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Esposito, G., Kirkby, B. S., Van Horn, J. D., Ellmore, T. M., &amp; Berman, K. F. (1999). Context-dependent, neural system-specific neurophysiological concomitants of ageing: Mapping PET correlates during cognitive activation.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122</w:t>
      </w:r>
      <w:r w:rsidRPr="00600FC7">
        <w:rPr>
          <w:rFonts w:ascii="Times New Roman" w:eastAsia="Times New Roman" w:hAnsi="Times New Roman" w:cs="Times New Roman"/>
          <w:sz w:val="24"/>
          <w:szCs w:val="24"/>
        </w:rPr>
        <w:t xml:space="preserve">(5), 963–979. </w:t>
      </w:r>
      <w:hyperlink r:id="rId1698" w:history="1">
        <w:r w:rsidRPr="00600FC7">
          <w:rPr>
            <w:rFonts w:ascii="Times New Roman" w:eastAsia="Times New Roman" w:hAnsi="Times New Roman" w:cs="Times New Roman"/>
            <w:color w:val="0000FF"/>
            <w:sz w:val="24"/>
            <w:szCs w:val="24"/>
            <w:u w:val="single"/>
          </w:rPr>
          <w:t>https://doi.org/10.1093/brain/122.5.963</w:t>
        </w:r>
      </w:hyperlink>
    </w:p>
    <w:p w14:paraId="7D5C92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Eşsizoğlu, A., Köşger, F., Akarsu, F. Ö., Özaydın, Ö., &amp; Güleç, G. (2017). ?Izofreni hastalar?Nda seçici dikkat, yan?T ?Nhibisyonu, bili?Sel esneklik ve zihin kuram?. [Theory of mind and selective attention, response inhibition, cognitive flexibility in patients with schizophrenia.]. </w:t>
      </w:r>
      <w:r w:rsidRPr="00600FC7">
        <w:rPr>
          <w:rFonts w:ascii="Times New Roman" w:eastAsia="Times New Roman" w:hAnsi="Times New Roman" w:cs="Times New Roman"/>
          <w:i/>
          <w:iCs/>
          <w:sz w:val="24"/>
          <w:szCs w:val="24"/>
        </w:rPr>
        <w:t>Nöropsikiyatri Arşivi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(2), 162–167.</w:t>
      </w:r>
    </w:p>
    <w:p w14:paraId="635C07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Esslinger, C., Englisch, S., Inta, D., Rausch, F., Schirmbeck, F., Mier, D., Kirsch, P., Meyer-Lindenberg, A., &amp; Zink, M. (2012). Ventral striatal activation during attribution of stimulus saliency and reward anticipation is correlated in unmedicated first episode schizophrenia patients.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140</w:t>
      </w:r>
      <w:r w:rsidRPr="00600FC7">
        <w:rPr>
          <w:rFonts w:ascii="Times New Roman" w:eastAsia="Times New Roman" w:hAnsi="Times New Roman" w:cs="Times New Roman"/>
          <w:sz w:val="24"/>
          <w:szCs w:val="24"/>
        </w:rPr>
        <w:t xml:space="preserve">(1–3), 114–121. </w:t>
      </w:r>
      <w:hyperlink r:id="rId1699" w:history="1">
        <w:r w:rsidRPr="00600FC7">
          <w:rPr>
            <w:rFonts w:ascii="Times New Roman" w:eastAsia="Times New Roman" w:hAnsi="Times New Roman" w:cs="Times New Roman"/>
            <w:color w:val="0000FF"/>
            <w:sz w:val="24"/>
            <w:szCs w:val="24"/>
            <w:u w:val="single"/>
          </w:rPr>
          <w:t>https://doi.org/10.1016/j.schres.2012.06.025</w:t>
        </w:r>
      </w:hyperlink>
    </w:p>
    <w:p w14:paraId="5C9DEF6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Esteves, C. S., de Oliveira, C. R., Irigaray, T. Q., &amp; Argimon, I. I. de L. (2016). Desempenho de idosos com e sem sintomas depressivos no WCST-64. [Elderly performance with and </w:t>
      </w:r>
      <w:r w:rsidRPr="00600FC7">
        <w:rPr>
          <w:rFonts w:ascii="Times New Roman" w:eastAsia="Times New Roman" w:hAnsi="Times New Roman" w:cs="Times New Roman"/>
          <w:sz w:val="24"/>
          <w:szCs w:val="24"/>
        </w:rPr>
        <w:lastRenderedPageBreak/>
        <w:t xml:space="preserve">without depressive symptoms on the WCST-64.]. </w:t>
      </w:r>
      <w:r w:rsidRPr="00600FC7">
        <w:rPr>
          <w:rFonts w:ascii="Times New Roman" w:eastAsia="Times New Roman" w:hAnsi="Times New Roman" w:cs="Times New Roman"/>
          <w:i/>
          <w:iCs/>
          <w:sz w:val="24"/>
          <w:szCs w:val="24"/>
        </w:rPr>
        <w:t>Avaliação Psicológica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31–39. </w:t>
      </w:r>
      <w:hyperlink r:id="rId1700" w:history="1">
        <w:r w:rsidRPr="00600FC7">
          <w:rPr>
            <w:rFonts w:ascii="Times New Roman" w:eastAsia="Times New Roman" w:hAnsi="Times New Roman" w:cs="Times New Roman"/>
            <w:color w:val="0000FF"/>
            <w:sz w:val="24"/>
            <w:szCs w:val="24"/>
            <w:u w:val="single"/>
          </w:rPr>
          <w:t>https://doi.org/10.15689/ap.2016.1501.04</w:t>
        </w:r>
      </w:hyperlink>
    </w:p>
    <w:p w14:paraId="31F702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Esteves, S., Gleichgerrcht, E., Torralva, T., Chade, A., Gómez Arévalo, G., Gershanik, O., Manes, F., &amp; Roca, M. (2018). Performance of patients with early parkinson disease on an executive and social cognition battery.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142–150. </w:t>
      </w:r>
      <w:hyperlink r:id="rId1701" w:history="1">
        <w:r w:rsidRPr="00600FC7">
          <w:rPr>
            <w:rFonts w:ascii="Times New Roman" w:eastAsia="Times New Roman" w:hAnsi="Times New Roman" w:cs="Times New Roman"/>
            <w:color w:val="0000FF"/>
            <w:sz w:val="24"/>
            <w:szCs w:val="24"/>
            <w:u w:val="single"/>
          </w:rPr>
          <w:t>https://doi.org/10.1097/WNN.0000000000000159</w:t>
        </w:r>
      </w:hyperlink>
    </w:p>
    <w:p w14:paraId="6C16F5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Etchepare, A., Roux, S., Destaillats, J.-M., Cady, F., Fontanier, D., Couhet, G., &amp; Prouteau, A. (2019). What are the specificities of social cognition in schizophrenia? A cluster-analytic study comparing schizophrenia with the general population.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272</w:t>
      </w:r>
      <w:r w:rsidRPr="00600FC7">
        <w:rPr>
          <w:rFonts w:ascii="Times New Roman" w:eastAsia="Times New Roman" w:hAnsi="Times New Roman" w:cs="Times New Roman"/>
          <w:sz w:val="24"/>
          <w:szCs w:val="24"/>
        </w:rPr>
        <w:t xml:space="preserve">, 369–379. </w:t>
      </w:r>
      <w:hyperlink r:id="rId1702" w:history="1">
        <w:r w:rsidRPr="00600FC7">
          <w:rPr>
            <w:rFonts w:ascii="Times New Roman" w:eastAsia="Times New Roman" w:hAnsi="Times New Roman" w:cs="Times New Roman"/>
            <w:color w:val="0000FF"/>
            <w:sz w:val="24"/>
            <w:szCs w:val="24"/>
            <w:u w:val="single"/>
          </w:rPr>
          <w:t>https://doi.org/10.1016/j.psychres.2018.12.042</w:t>
        </w:r>
      </w:hyperlink>
    </w:p>
    <w:p w14:paraId="47C215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Etcheverry, I., Baccino, T., Terrier, P., Marquié, J.-C., &amp; Mojahid, M. (2012). Age differences in information finding tasks: Performance and visual exploration strategy with different web page layouts. </w:t>
      </w:r>
      <w:r w:rsidRPr="00600FC7">
        <w:rPr>
          <w:rFonts w:ascii="Times New Roman" w:eastAsia="Times New Roman" w:hAnsi="Times New Roman" w:cs="Times New Roman"/>
          <w:i/>
          <w:iCs/>
          <w:sz w:val="24"/>
          <w:szCs w:val="24"/>
        </w:rPr>
        <w:t>Computers in Human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(5), 1670–1680. </w:t>
      </w:r>
      <w:hyperlink r:id="rId1703" w:history="1">
        <w:r w:rsidRPr="00600FC7">
          <w:rPr>
            <w:rFonts w:ascii="Times New Roman" w:eastAsia="Times New Roman" w:hAnsi="Times New Roman" w:cs="Times New Roman"/>
            <w:color w:val="0000FF"/>
            <w:sz w:val="24"/>
            <w:szCs w:val="24"/>
            <w:u w:val="single"/>
          </w:rPr>
          <w:t>https://doi.org/10.1016/j.chb.2012.04.005</w:t>
        </w:r>
      </w:hyperlink>
    </w:p>
    <w:p w14:paraId="7BBA36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Etcheverry, I., Terrier, P., &amp; Marquié, J.-C. (2012). Are older adults less efficient in making attributions about the origin of memories for web interaction? </w:t>
      </w:r>
      <w:r w:rsidRPr="00600FC7">
        <w:rPr>
          <w:rFonts w:ascii="Times New Roman" w:eastAsia="Times New Roman" w:hAnsi="Times New Roman" w:cs="Times New Roman"/>
          <w:i/>
          <w:iCs/>
          <w:sz w:val="24"/>
          <w:szCs w:val="24"/>
        </w:rPr>
        <w:t>European Review of Applied Psychology / Revue Européenne de Psychologie Appliquée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(2), 93–102. </w:t>
      </w:r>
      <w:hyperlink r:id="rId1704" w:history="1">
        <w:r w:rsidRPr="00600FC7">
          <w:rPr>
            <w:rFonts w:ascii="Times New Roman" w:eastAsia="Times New Roman" w:hAnsi="Times New Roman" w:cs="Times New Roman"/>
            <w:color w:val="0000FF"/>
            <w:sz w:val="24"/>
            <w:szCs w:val="24"/>
            <w:u w:val="single"/>
          </w:rPr>
          <w:t>https://doi.org/10.1016/j.erap.2010.11.002</w:t>
        </w:r>
      </w:hyperlink>
    </w:p>
    <w:p w14:paraId="31D427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Etherton, J. L., Bianchini, K. J., Heinly, M. T., &amp; Greve, K. W. (2006). Pain, Malingering, and Performance on the WAIS-III Processing Speed Index.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(7), 1218–1237. </w:t>
      </w:r>
      <w:hyperlink r:id="rId1705" w:history="1">
        <w:r w:rsidRPr="00600FC7">
          <w:rPr>
            <w:rFonts w:ascii="Times New Roman" w:eastAsia="Times New Roman" w:hAnsi="Times New Roman" w:cs="Times New Roman"/>
            <w:color w:val="0000FF"/>
            <w:sz w:val="24"/>
            <w:szCs w:val="24"/>
            <w:u w:val="single"/>
          </w:rPr>
          <w:t>https://doi.org/10.1080/13803390500346595</w:t>
        </w:r>
      </w:hyperlink>
    </w:p>
    <w:p w14:paraId="32F428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Etnier, J. L. (2012). Cognitive measures related to exercise and physical activity. In </w:t>
      </w:r>
      <w:r w:rsidRPr="00600FC7">
        <w:rPr>
          <w:rFonts w:ascii="Times New Roman" w:eastAsia="Times New Roman" w:hAnsi="Times New Roman" w:cs="Times New Roman"/>
          <w:i/>
          <w:iCs/>
          <w:sz w:val="24"/>
          <w:szCs w:val="24"/>
        </w:rPr>
        <w:t>Measurement in sport and exercise psychology.</w:t>
      </w:r>
      <w:r w:rsidRPr="00600FC7">
        <w:rPr>
          <w:rFonts w:ascii="Times New Roman" w:eastAsia="Times New Roman" w:hAnsi="Times New Roman" w:cs="Times New Roman"/>
          <w:sz w:val="24"/>
          <w:szCs w:val="24"/>
        </w:rPr>
        <w:t xml:space="preserve"> (pp. 179–189). Human Kinetics.</w:t>
      </w:r>
    </w:p>
    <w:p w14:paraId="5BBB44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Etnier, J. L., Karper, W. B., Gapin, J. I., Barella, L. A., Chang, Y. K., &amp; Murphy, K. J. (2009). Exercise, fibromyalgia, and fibrofog: A pilot study. </w:t>
      </w:r>
      <w:r w:rsidRPr="00600FC7">
        <w:rPr>
          <w:rFonts w:ascii="Times New Roman" w:eastAsia="Times New Roman" w:hAnsi="Times New Roman" w:cs="Times New Roman"/>
          <w:i/>
          <w:iCs/>
          <w:sz w:val="24"/>
          <w:szCs w:val="24"/>
        </w:rPr>
        <w:t>Journal of Physical Activity &amp;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(2), 239–246. </w:t>
      </w:r>
      <w:hyperlink r:id="rId1706" w:history="1">
        <w:r w:rsidRPr="00600FC7">
          <w:rPr>
            <w:rFonts w:ascii="Times New Roman" w:eastAsia="Times New Roman" w:hAnsi="Times New Roman" w:cs="Times New Roman"/>
            <w:color w:val="0000FF"/>
            <w:sz w:val="24"/>
            <w:szCs w:val="24"/>
            <w:u w:val="single"/>
          </w:rPr>
          <w:t>https://doi.org/10.1123/jpah.6.2.239</w:t>
        </w:r>
      </w:hyperlink>
    </w:p>
    <w:p w14:paraId="3A3263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Etnier, J. L., &amp; Labban, J. D. (2012). Physical activity and cognitive function: Theoretical bases, mechanisms, and moderators. In </w:t>
      </w:r>
      <w:r w:rsidRPr="00600FC7">
        <w:rPr>
          <w:rFonts w:ascii="Times New Roman" w:eastAsia="Times New Roman" w:hAnsi="Times New Roman" w:cs="Times New Roman"/>
          <w:i/>
          <w:iCs/>
          <w:sz w:val="24"/>
          <w:szCs w:val="24"/>
        </w:rPr>
        <w:t>The Oxford handbook of exercise psychology.</w:t>
      </w:r>
      <w:r w:rsidRPr="00600FC7">
        <w:rPr>
          <w:rFonts w:ascii="Times New Roman" w:eastAsia="Times New Roman" w:hAnsi="Times New Roman" w:cs="Times New Roman"/>
          <w:sz w:val="24"/>
          <w:szCs w:val="24"/>
        </w:rPr>
        <w:t xml:space="preserve"> (pp. 76–96). Oxford University Press. </w:t>
      </w:r>
      <w:hyperlink r:id="rId1707" w:history="1">
        <w:r w:rsidRPr="00600FC7">
          <w:rPr>
            <w:rFonts w:ascii="Times New Roman" w:eastAsia="Times New Roman" w:hAnsi="Times New Roman" w:cs="Times New Roman"/>
            <w:color w:val="0000FF"/>
            <w:sz w:val="24"/>
            <w:szCs w:val="24"/>
            <w:u w:val="single"/>
          </w:rPr>
          <w:t>https://doi.org/10.1093/oxfordhb/9780195394313.013.0005</w:t>
        </w:r>
      </w:hyperlink>
    </w:p>
    <w:p w14:paraId="3A29F0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Ettenhofer, M. L., Foley, J., Behdin, N., Levine, A. J., Castellon, S. A., &amp; Hinkin, C. H. (2010). Reaction time variability in HIV-positive individuals.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(8), 791–798. </w:t>
      </w:r>
      <w:hyperlink r:id="rId1708" w:history="1">
        <w:r w:rsidRPr="00600FC7">
          <w:rPr>
            <w:rFonts w:ascii="Times New Roman" w:eastAsia="Times New Roman" w:hAnsi="Times New Roman" w:cs="Times New Roman"/>
            <w:color w:val="0000FF"/>
            <w:sz w:val="24"/>
            <w:szCs w:val="24"/>
            <w:u w:val="single"/>
          </w:rPr>
          <w:t>https://doi.org/10.1093/arclin/acq064</w:t>
        </w:r>
      </w:hyperlink>
    </w:p>
    <w:p w14:paraId="75F3B5B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Ettenhofer, M. L., Hambrick, D. Z., &amp; Abeles, N. (2006). Reliability and stability of executive functioning in older adults.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(5), 607–613. </w:t>
      </w:r>
      <w:hyperlink r:id="rId1709" w:history="1">
        <w:r w:rsidRPr="00600FC7">
          <w:rPr>
            <w:rFonts w:ascii="Times New Roman" w:eastAsia="Times New Roman" w:hAnsi="Times New Roman" w:cs="Times New Roman"/>
            <w:color w:val="0000FF"/>
            <w:sz w:val="24"/>
            <w:szCs w:val="24"/>
            <w:u w:val="single"/>
          </w:rPr>
          <w:t>https://doi.org/10.1037/0894-4105.20.5.607</w:t>
        </w:r>
      </w:hyperlink>
    </w:p>
    <w:p w14:paraId="218F638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Ettenhofer, M. L., Melrose, R. J., Delawalla, Z., Castellon, S. A., &amp; Okonek, A. (2012). Correlates of functional status among OEF-OIF Veterans with a history of traumatic brain injury. </w:t>
      </w:r>
      <w:r w:rsidRPr="00600FC7">
        <w:rPr>
          <w:rFonts w:ascii="Times New Roman" w:eastAsia="Times New Roman" w:hAnsi="Times New Roman" w:cs="Times New Roman"/>
          <w:i/>
          <w:iCs/>
          <w:sz w:val="24"/>
          <w:szCs w:val="24"/>
        </w:rPr>
        <w:t>Military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177</w:t>
      </w:r>
      <w:r w:rsidRPr="00600FC7">
        <w:rPr>
          <w:rFonts w:ascii="Times New Roman" w:eastAsia="Times New Roman" w:hAnsi="Times New Roman" w:cs="Times New Roman"/>
          <w:sz w:val="24"/>
          <w:szCs w:val="24"/>
        </w:rPr>
        <w:t xml:space="preserve">(11), 1272–1278. </w:t>
      </w:r>
      <w:hyperlink r:id="rId1710" w:history="1">
        <w:r w:rsidRPr="00600FC7">
          <w:rPr>
            <w:rFonts w:ascii="Times New Roman" w:eastAsia="Times New Roman" w:hAnsi="Times New Roman" w:cs="Times New Roman"/>
            <w:color w:val="0000FF"/>
            <w:sz w:val="24"/>
            <w:szCs w:val="24"/>
            <w:u w:val="single"/>
          </w:rPr>
          <w:t>https://doi.org/10.7205/MILMED-D-12-00095</w:t>
        </w:r>
      </w:hyperlink>
    </w:p>
    <w:p w14:paraId="14EB276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Ettinger, U., Meyhöfer, I., Steffens, M., Wagner, M., &amp; Koutsouleris, N. (2014). Genetics, cognition, and neurobiology of schizotypal personality: A review of the overlap with schizophrenia. </w:t>
      </w:r>
      <w:r w:rsidRPr="00600FC7">
        <w:rPr>
          <w:rFonts w:ascii="Times New Roman" w:eastAsia="Times New Roman" w:hAnsi="Times New Roman" w:cs="Times New Roman"/>
          <w:i/>
          <w:iCs/>
          <w:sz w:val="24"/>
          <w:szCs w:val="24"/>
        </w:rPr>
        <w:t>Frontiers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 xml:space="preserve">. </w:t>
      </w:r>
      <w:hyperlink r:id="rId1711" w:history="1">
        <w:r w:rsidRPr="00600FC7">
          <w:rPr>
            <w:rFonts w:ascii="Times New Roman" w:eastAsia="Times New Roman" w:hAnsi="Times New Roman" w:cs="Times New Roman"/>
            <w:color w:val="0000FF"/>
            <w:sz w:val="24"/>
            <w:szCs w:val="24"/>
            <w:u w:val="single"/>
          </w:rPr>
          <w:t>https://doi.org/10.3389/fpsyt.2014.00018</w:t>
        </w:r>
      </w:hyperlink>
    </w:p>
    <w:p w14:paraId="1C53C5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Evans, C. E. Y., Kemish, K., &amp; Turnbull, O. H. (2004). Paradoxical effects of education on the Iowa Gambling Task.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(3), 240–244. </w:t>
      </w:r>
      <w:hyperlink r:id="rId1712" w:history="1">
        <w:r w:rsidRPr="00600FC7">
          <w:rPr>
            <w:rFonts w:ascii="Times New Roman" w:eastAsia="Times New Roman" w:hAnsi="Times New Roman" w:cs="Times New Roman"/>
            <w:color w:val="0000FF"/>
            <w:sz w:val="24"/>
            <w:szCs w:val="24"/>
            <w:u w:val="single"/>
          </w:rPr>
          <w:t>https://doi.org/10.1016/j.bandc.2004.02.022</w:t>
        </w:r>
      </w:hyperlink>
    </w:p>
    <w:p w14:paraId="54C8ED9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J. D., Bond, G. R., Meyer, P. S., Kim, H. W., Lysaker, P. H., Gibson, P. J., &amp; Tunis, S. (2004). Cognitive and clinical predictors of success in vocational rehabilitation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(2–3), 331–342. </w:t>
      </w:r>
      <w:hyperlink r:id="rId1713" w:history="1">
        <w:r w:rsidRPr="00600FC7">
          <w:rPr>
            <w:rFonts w:ascii="Times New Roman" w:eastAsia="Times New Roman" w:hAnsi="Times New Roman" w:cs="Times New Roman"/>
            <w:color w:val="0000FF"/>
            <w:sz w:val="24"/>
            <w:szCs w:val="24"/>
            <w:u w:val="single"/>
          </w:rPr>
          <w:t>https://doi.org/10.1016/j.schres.2004.01.011</w:t>
        </w:r>
      </w:hyperlink>
    </w:p>
    <w:p w14:paraId="3B4F86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J., Olm, C., McCluskey, L., Elman, L., Boller, A., Moran, E., Rascovsky, K., Bisbing, T., McMillan, C. T., &amp; Grossman, M. (2015). Impaired cognitive flexibility in amyotrophic lateral sclerosis.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17–26. </w:t>
      </w:r>
      <w:hyperlink r:id="rId1714" w:history="1">
        <w:r w:rsidRPr="00600FC7">
          <w:rPr>
            <w:rFonts w:ascii="Times New Roman" w:eastAsia="Times New Roman" w:hAnsi="Times New Roman" w:cs="Times New Roman"/>
            <w:color w:val="0000FF"/>
            <w:sz w:val="24"/>
            <w:szCs w:val="24"/>
            <w:u w:val="single"/>
          </w:rPr>
          <w:t>https://doi.org/10.1097/WNN.0000000000000049</w:t>
        </w:r>
      </w:hyperlink>
    </w:p>
    <w:p w14:paraId="74DF5C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Evans, L. D., Kouros, C. D., Samanez-Larkin, S., &amp; Garber, J. (2016). Concurrent and short-term prospective relations among neurocognitive functioning, coping, and depressive symptoms in youth. </w:t>
      </w:r>
      <w:r w:rsidRPr="00600FC7">
        <w:rPr>
          <w:rFonts w:ascii="Times New Roman" w:eastAsia="Times New Roman" w:hAnsi="Times New Roman" w:cs="Times New Roman"/>
          <w:i/>
          <w:iCs/>
          <w:sz w:val="24"/>
          <w:szCs w:val="24"/>
        </w:rPr>
        <w:t>Journal of Clinical Child and Adolescent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 6–20. </w:t>
      </w:r>
      <w:hyperlink r:id="rId1715" w:history="1">
        <w:r w:rsidRPr="00600FC7">
          <w:rPr>
            <w:rFonts w:ascii="Times New Roman" w:eastAsia="Times New Roman" w:hAnsi="Times New Roman" w:cs="Times New Roman"/>
            <w:color w:val="0000FF"/>
            <w:sz w:val="24"/>
            <w:szCs w:val="24"/>
            <w:u w:val="single"/>
          </w:rPr>
          <w:t>https://doi.org/10.1080/15374416.2014.982282</w:t>
        </w:r>
      </w:hyperlink>
    </w:p>
    <w:p w14:paraId="37EBE3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Everatt, J., Weeks, S., &amp; Brooks, P. (2008). Profiles of strengths and weaknesses in dyslexia and other learning difficulties. </w:t>
      </w:r>
      <w:r w:rsidRPr="00600FC7">
        <w:rPr>
          <w:rFonts w:ascii="Times New Roman" w:eastAsia="Times New Roman" w:hAnsi="Times New Roman" w:cs="Times New Roman"/>
          <w:i/>
          <w:iCs/>
          <w:sz w:val="24"/>
          <w:szCs w:val="24"/>
        </w:rPr>
        <w:t>Dyslexia: An International Journal of Research and Practice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(1), 16–41. </w:t>
      </w:r>
      <w:hyperlink r:id="rId1716" w:history="1">
        <w:r w:rsidRPr="00600FC7">
          <w:rPr>
            <w:rFonts w:ascii="Times New Roman" w:eastAsia="Times New Roman" w:hAnsi="Times New Roman" w:cs="Times New Roman"/>
            <w:color w:val="0000FF"/>
            <w:sz w:val="24"/>
            <w:szCs w:val="24"/>
            <w:u w:val="single"/>
          </w:rPr>
          <w:t>https://doi.org/10.1002/dys.342</w:t>
        </w:r>
      </w:hyperlink>
    </w:p>
    <w:p w14:paraId="6F7819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Everett, J., Lavoie, K., Gagnon, J.-F., &amp; Gosselin, N. (2001). Performance of patients with schizophrenia on the Wisconsin Card Sorting Test (WCST).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(2), 123–130.</w:t>
      </w:r>
    </w:p>
    <w:p w14:paraId="6D87A9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Everly Jr., G. S., &amp; Lating, J. M. (2004). Neuropsychological Assessment and Posttraumatic Stress. In </w:t>
      </w:r>
      <w:r w:rsidRPr="00600FC7">
        <w:rPr>
          <w:rFonts w:ascii="Times New Roman" w:eastAsia="Times New Roman" w:hAnsi="Times New Roman" w:cs="Times New Roman"/>
          <w:i/>
          <w:iCs/>
          <w:sz w:val="24"/>
          <w:szCs w:val="24"/>
        </w:rPr>
        <w:t>Personality-guided therapy for posttraumatic stress disorder.</w:t>
      </w:r>
      <w:r w:rsidRPr="00600FC7">
        <w:rPr>
          <w:rFonts w:ascii="Times New Roman" w:eastAsia="Times New Roman" w:hAnsi="Times New Roman" w:cs="Times New Roman"/>
          <w:sz w:val="24"/>
          <w:szCs w:val="24"/>
        </w:rPr>
        <w:t xml:space="preserve"> (pp. 89–99). American Psychological Association. </w:t>
      </w:r>
      <w:hyperlink r:id="rId1717" w:history="1">
        <w:r w:rsidRPr="00600FC7">
          <w:rPr>
            <w:rFonts w:ascii="Times New Roman" w:eastAsia="Times New Roman" w:hAnsi="Times New Roman" w:cs="Times New Roman"/>
            <w:color w:val="0000FF"/>
            <w:sz w:val="24"/>
            <w:szCs w:val="24"/>
            <w:u w:val="single"/>
          </w:rPr>
          <w:t>https://doi.org/10.1037/10649-006</w:t>
        </w:r>
      </w:hyperlink>
    </w:p>
    <w:p w14:paraId="088674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Evers, K., Kilander, L., &amp; Lindau, M. (2007). Insight in frontotemporal dementia: Conceptual analysis and empirical evaluation of the consensus criterion “loss of insight” in frontotemporal dementia.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(1), 13–23. </w:t>
      </w:r>
      <w:hyperlink r:id="rId1718" w:history="1">
        <w:r w:rsidRPr="00600FC7">
          <w:rPr>
            <w:rFonts w:ascii="Times New Roman" w:eastAsia="Times New Roman" w:hAnsi="Times New Roman" w:cs="Times New Roman"/>
            <w:color w:val="0000FF"/>
            <w:sz w:val="24"/>
            <w:szCs w:val="24"/>
            <w:u w:val="single"/>
          </w:rPr>
          <w:t>https://doi.org/10.1016/j.bandc.2006.07.001</w:t>
        </w:r>
      </w:hyperlink>
    </w:p>
    <w:p w14:paraId="292F19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Expósito, M. S., &amp; Felipe-Castaño, E. (2018). Cognitive insight, neurocognition and life skills in patients with schizophrenia.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(3), 251–256.</w:t>
      </w:r>
    </w:p>
    <w:p w14:paraId="0EE6B2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Eysenck, M. W. (2012). Anxiety and cognitive performance. In </w:t>
      </w:r>
      <w:r w:rsidRPr="00600FC7">
        <w:rPr>
          <w:rFonts w:ascii="Times New Roman" w:eastAsia="Times New Roman" w:hAnsi="Times New Roman" w:cs="Times New Roman"/>
          <w:i/>
          <w:iCs/>
          <w:sz w:val="24"/>
          <w:szCs w:val="24"/>
        </w:rPr>
        <w:t>Personality, cognition, and emotion.</w:t>
      </w:r>
      <w:r w:rsidRPr="00600FC7">
        <w:rPr>
          <w:rFonts w:ascii="Times New Roman" w:eastAsia="Times New Roman" w:hAnsi="Times New Roman" w:cs="Times New Roman"/>
          <w:sz w:val="24"/>
          <w:szCs w:val="24"/>
        </w:rPr>
        <w:t xml:space="preserve"> (pp. 13–24). Eliot Werner Publications.</w:t>
      </w:r>
    </w:p>
    <w:p w14:paraId="434DB9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Fabiani, M. (2012). It was the best of times, it was the worst of times: A psychophysiologist’s view of cognitive aging.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(3), 283–304. </w:t>
      </w:r>
      <w:hyperlink r:id="rId1719" w:history="1">
        <w:r w:rsidRPr="00600FC7">
          <w:rPr>
            <w:rFonts w:ascii="Times New Roman" w:eastAsia="Times New Roman" w:hAnsi="Times New Roman" w:cs="Times New Roman"/>
            <w:color w:val="0000FF"/>
            <w:sz w:val="24"/>
            <w:szCs w:val="24"/>
            <w:u w:val="single"/>
          </w:rPr>
          <w:t>https://doi.org/10.1111/j.1469-8986.2011.01331.x</w:t>
        </w:r>
      </w:hyperlink>
    </w:p>
    <w:p w14:paraId="17D8A8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Fabiani, M., &amp; Friedman, D. (1997). Dissociations between memory for temporal order and recognition memory in aging.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(2), 129–141. </w:t>
      </w:r>
      <w:hyperlink r:id="rId1720" w:history="1">
        <w:r w:rsidRPr="00600FC7">
          <w:rPr>
            <w:rFonts w:ascii="Times New Roman" w:eastAsia="Times New Roman" w:hAnsi="Times New Roman" w:cs="Times New Roman"/>
            <w:color w:val="0000FF"/>
            <w:sz w:val="24"/>
            <w:szCs w:val="24"/>
            <w:u w:val="single"/>
          </w:rPr>
          <w:t>https://doi.org/10.1016/S0028-3932(96)00073-5</w:t>
        </w:r>
      </w:hyperlink>
    </w:p>
    <w:p w14:paraId="6DCE4F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Fabiani, M., Low, K. A., Tan, C., Zimmerman, B., Fletcher, M. A., Schneider-Garces, N., Maclin, E. L., Chiarelli, A. M., Sutton, B. P., &amp; Gratton, G. (2014). Taking the pulse of aging: Mapping pulse pressure and elasticity in cerebral arteries with optical methods.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(11), 1072–1088. </w:t>
      </w:r>
      <w:hyperlink r:id="rId1721" w:history="1">
        <w:r w:rsidRPr="00600FC7">
          <w:rPr>
            <w:rFonts w:ascii="Times New Roman" w:eastAsia="Times New Roman" w:hAnsi="Times New Roman" w:cs="Times New Roman"/>
            <w:color w:val="0000FF"/>
            <w:sz w:val="24"/>
            <w:szCs w:val="24"/>
            <w:u w:val="single"/>
          </w:rPr>
          <w:t>https://doi.org/10.1111/psyp.12288</w:t>
        </w:r>
      </w:hyperlink>
    </w:p>
    <w:p w14:paraId="1ED735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Factor, S. A., Scullin, M. K., Sollinger, A. B., Land, J. O., Wood-Siverio, C., Zanders, L., Freeman, A., Bliwise, D. L., &amp; Goldstein, F. C. (2014). Freezing of gait subtypes have </w:t>
      </w:r>
      <w:r w:rsidRPr="00600FC7">
        <w:rPr>
          <w:rFonts w:ascii="Times New Roman" w:eastAsia="Times New Roman" w:hAnsi="Times New Roman" w:cs="Times New Roman"/>
          <w:sz w:val="24"/>
          <w:szCs w:val="24"/>
        </w:rPr>
        <w:lastRenderedPageBreak/>
        <w:t xml:space="preserve">different cognitive correlates in Parkinson’s disease. </w:t>
      </w:r>
      <w:r w:rsidRPr="00600FC7">
        <w:rPr>
          <w:rFonts w:ascii="Times New Roman" w:eastAsia="Times New Roman" w:hAnsi="Times New Roman" w:cs="Times New Roman"/>
          <w:i/>
          <w:iCs/>
          <w:sz w:val="24"/>
          <w:szCs w:val="24"/>
        </w:rPr>
        <w:t>Parkinsonism &amp;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(12), 1359–1364. </w:t>
      </w:r>
      <w:hyperlink r:id="rId1722" w:history="1">
        <w:r w:rsidRPr="00600FC7">
          <w:rPr>
            <w:rFonts w:ascii="Times New Roman" w:eastAsia="Times New Roman" w:hAnsi="Times New Roman" w:cs="Times New Roman"/>
            <w:color w:val="0000FF"/>
            <w:sz w:val="24"/>
            <w:szCs w:val="24"/>
            <w:u w:val="single"/>
          </w:rPr>
          <w:t>https://doi.org/10.1016/j.parkreldis.2014.09.023</w:t>
        </w:r>
      </w:hyperlink>
    </w:p>
    <w:p w14:paraId="411CD5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Factor, S. A., Scullin, M. K., Sollinger, A. B., Land, J. O., Wood-Siverio, C., Zanders, L., Freeman, A., Bliwise, D. L., McDonald, W. M., &amp; Goldstein, F. C. (2014). Cognitive correlates of hallucinations and delusions in Parkinson’s disease.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347</w:t>
      </w:r>
      <w:r w:rsidRPr="00600FC7">
        <w:rPr>
          <w:rFonts w:ascii="Times New Roman" w:eastAsia="Times New Roman" w:hAnsi="Times New Roman" w:cs="Times New Roman"/>
          <w:sz w:val="24"/>
          <w:szCs w:val="24"/>
        </w:rPr>
        <w:t xml:space="preserve">(1–2), 316–321. </w:t>
      </w:r>
      <w:hyperlink r:id="rId1723" w:history="1">
        <w:r w:rsidRPr="00600FC7">
          <w:rPr>
            <w:rFonts w:ascii="Times New Roman" w:eastAsia="Times New Roman" w:hAnsi="Times New Roman" w:cs="Times New Roman"/>
            <w:color w:val="0000FF"/>
            <w:sz w:val="24"/>
            <w:szCs w:val="24"/>
            <w:u w:val="single"/>
          </w:rPr>
          <w:t>https://doi.org/10.1016/j.jns.2014.10.033</w:t>
        </w:r>
      </w:hyperlink>
    </w:p>
    <w:p w14:paraId="0A400B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Fadardi, J. S., &amp; Cox, W. M. (2006). Alcohol attentional bias: Drinking salience or cognitive impairment?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185</w:t>
      </w:r>
      <w:r w:rsidRPr="00600FC7">
        <w:rPr>
          <w:rFonts w:ascii="Times New Roman" w:eastAsia="Times New Roman" w:hAnsi="Times New Roman" w:cs="Times New Roman"/>
          <w:sz w:val="24"/>
          <w:szCs w:val="24"/>
        </w:rPr>
        <w:t xml:space="preserve">(2), 169–178. </w:t>
      </w:r>
      <w:hyperlink r:id="rId1724" w:history="1">
        <w:r w:rsidRPr="00600FC7">
          <w:rPr>
            <w:rFonts w:ascii="Times New Roman" w:eastAsia="Times New Roman" w:hAnsi="Times New Roman" w:cs="Times New Roman"/>
            <w:color w:val="0000FF"/>
            <w:sz w:val="24"/>
            <w:szCs w:val="24"/>
            <w:u w:val="single"/>
          </w:rPr>
          <w:t>https://doi.org/10.1007/s00213-005-0268-0</w:t>
        </w:r>
      </w:hyperlink>
    </w:p>
    <w:p w14:paraId="560BB9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Fagerlund, B., Mackeprang, T., Gade, A., Hemmingsen, R., &amp; Glenthøj, B. Y. (2004). Effects of Low-Dose Risperidone and Low-Dose Zuclopenthixol on Cognitive Functions in First-Episode Drug-Naive Schizophrenic Patients. </w:t>
      </w:r>
      <w:r w:rsidRPr="00600FC7">
        <w:rPr>
          <w:rFonts w:ascii="Times New Roman" w:eastAsia="Times New Roman" w:hAnsi="Times New Roman" w:cs="Times New Roman"/>
          <w:i/>
          <w:iCs/>
          <w:sz w:val="24"/>
          <w:szCs w:val="24"/>
        </w:rPr>
        <w:t>CNS Spectrums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(5), 364–374.</w:t>
      </w:r>
    </w:p>
    <w:p w14:paraId="1AD051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Fagerlund, B., Pagsberg, A. K., &amp; Hemmingsen, R. P. (2006). Cognitive deficits and levels of IQ in adolescent onset schizophrenia and other psychotic disorders.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85</w:t>
      </w:r>
      <w:r w:rsidRPr="00600FC7">
        <w:rPr>
          <w:rFonts w:ascii="Times New Roman" w:eastAsia="Times New Roman" w:hAnsi="Times New Roman" w:cs="Times New Roman"/>
          <w:sz w:val="24"/>
          <w:szCs w:val="24"/>
        </w:rPr>
        <w:t xml:space="preserve">(1–3), 30–39. </w:t>
      </w:r>
      <w:hyperlink r:id="rId1725" w:history="1">
        <w:r w:rsidRPr="00600FC7">
          <w:rPr>
            <w:rFonts w:ascii="Times New Roman" w:eastAsia="Times New Roman" w:hAnsi="Times New Roman" w:cs="Times New Roman"/>
            <w:color w:val="0000FF"/>
            <w:sz w:val="24"/>
            <w:szCs w:val="24"/>
            <w:u w:val="single"/>
          </w:rPr>
          <w:t>https://doi.org/10.1016/j.schres.2006.03.004</w:t>
        </w:r>
      </w:hyperlink>
    </w:p>
    <w:p w14:paraId="44E10F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Fagundo, A. B., Fernández-Aranda, F., de la Torre, R., Verdejo-García, A., Granero, R., Penelo, E., Gené, M., Barrot, C., Sánchez, C., Alvarez-Moya, E., Ochoa, C., Aymamí, M. N., Gómez-Peña, M., Menchón, J. M., &amp; Jiménez-Murcia, S. (2014). Dopamine DRD2/ANKK1 Taq1A and DAT1 VNTR polymorphisms are associated with a cognitive flexibility profile in pathological gamblers.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(12), 1170–1177. </w:t>
      </w:r>
      <w:hyperlink r:id="rId1726" w:history="1">
        <w:r w:rsidRPr="00600FC7">
          <w:rPr>
            <w:rFonts w:ascii="Times New Roman" w:eastAsia="Times New Roman" w:hAnsi="Times New Roman" w:cs="Times New Roman"/>
            <w:color w:val="0000FF"/>
            <w:sz w:val="24"/>
            <w:szCs w:val="24"/>
            <w:u w:val="single"/>
          </w:rPr>
          <w:t>https://doi.org/10.1177/0269881114551079</w:t>
        </w:r>
      </w:hyperlink>
    </w:p>
    <w:p w14:paraId="092461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Fagundo, A. B., Jiménez-Murcia, S., Giner-Bartolomé, C., Islam, M. A., de la Torre, R., Pastor, A., Casanueva, F. F., Crujeiras, A. B., Granero, R., Baños, R., Botella, C., Fernández- Real, </w:t>
      </w:r>
      <w:r w:rsidRPr="00600FC7">
        <w:rPr>
          <w:rFonts w:ascii="Times New Roman" w:eastAsia="Times New Roman" w:hAnsi="Times New Roman" w:cs="Times New Roman"/>
          <w:sz w:val="24"/>
          <w:szCs w:val="24"/>
        </w:rPr>
        <w:lastRenderedPageBreak/>
        <w:t xml:space="preserve">J. M., Frühbeck, G., Gómez-Ambrosi, J., Menchón, J. M., Tinahones, F. J., &amp; Fernández-Aranda, F. (2015). Modulation of higher-order olfaction components on executive functions in humans.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(6).</w:t>
      </w:r>
    </w:p>
    <w:p w14:paraId="53C607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Fairchild, G., van Goozen, S. H. M., Calder, A. J., &amp; Goodyer, I. M. (2013). Research review: Evaluating and reformulating the developmental taxonomic theory of antisocial behaviour. </w:t>
      </w:r>
      <w:r w:rsidRPr="00600FC7">
        <w:rPr>
          <w:rFonts w:ascii="Times New Roman" w:eastAsia="Times New Roman" w:hAnsi="Times New Roman" w:cs="Times New Roman"/>
          <w:i/>
          <w:iCs/>
          <w:sz w:val="24"/>
          <w:szCs w:val="24"/>
        </w:rPr>
        <w:t>Journal of Child Psychology and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(9), 924–940. </w:t>
      </w:r>
      <w:hyperlink r:id="rId1727" w:history="1">
        <w:r w:rsidRPr="00600FC7">
          <w:rPr>
            <w:rFonts w:ascii="Times New Roman" w:eastAsia="Times New Roman" w:hAnsi="Times New Roman" w:cs="Times New Roman"/>
            <w:color w:val="0000FF"/>
            <w:sz w:val="24"/>
            <w:szCs w:val="24"/>
            <w:u w:val="single"/>
          </w:rPr>
          <w:t>https://doi.org/10.1111/jcpp.12102</w:t>
        </w:r>
      </w:hyperlink>
    </w:p>
    <w:p w14:paraId="6F200E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Fairchild, G., van Goozen, S. H. M., Stollery, S. J., Aitken, M. R. F., Savage, J., Moore, S. C., &amp; Goodyer, I. M. (2009). Decision making and executive function in male adolescents with early-onset or adolescence-onset conduct disorder and control subjects.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(2), 162–168. </w:t>
      </w:r>
      <w:hyperlink r:id="rId1728" w:history="1">
        <w:r w:rsidRPr="00600FC7">
          <w:rPr>
            <w:rFonts w:ascii="Times New Roman" w:eastAsia="Times New Roman" w:hAnsi="Times New Roman" w:cs="Times New Roman"/>
            <w:color w:val="0000FF"/>
            <w:sz w:val="24"/>
            <w:szCs w:val="24"/>
            <w:u w:val="single"/>
          </w:rPr>
          <w:t>https://doi.org/10.1016/j.biopsych.2009.02.024</w:t>
        </w:r>
      </w:hyperlink>
    </w:p>
    <w:p w14:paraId="3BC8AD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Fairchild, S., &amp; Papafragou, A. (2020). Language and categorization in monolinguals and bilinguals. </w:t>
      </w:r>
      <w:r w:rsidRPr="00600FC7">
        <w:rPr>
          <w:rFonts w:ascii="Times New Roman" w:eastAsia="Times New Roman" w:hAnsi="Times New Roman" w:cs="Times New Roman"/>
          <w:i/>
          <w:iCs/>
          <w:sz w:val="24"/>
          <w:szCs w:val="24"/>
        </w:rPr>
        <w:t>Bilingualism: Language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(3), 618–630. </w:t>
      </w:r>
      <w:hyperlink r:id="rId1729" w:history="1">
        <w:r w:rsidRPr="00600FC7">
          <w:rPr>
            <w:rFonts w:ascii="Times New Roman" w:eastAsia="Times New Roman" w:hAnsi="Times New Roman" w:cs="Times New Roman"/>
            <w:color w:val="0000FF"/>
            <w:sz w:val="24"/>
            <w:szCs w:val="24"/>
            <w:u w:val="single"/>
          </w:rPr>
          <w:t>https://doi.org/10.1017/S1366728919000488</w:t>
        </w:r>
      </w:hyperlink>
    </w:p>
    <w:p w14:paraId="1CA822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Falatooni, S., Pirkhaefi, A., &amp; Dodangi, N. (2016). Comparing executive cognitive functions of brain in two groups of ADHD children with and without anxiety. [Comparing executive cognitive functions of brain in two groups of ADHD children with and without anxiety.]. </w:t>
      </w:r>
      <w:r w:rsidRPr="00600FC7">
        <w:rPr>
          <w:rFonts w:ascii="Times New Roman" w:eastAsia="Times New Roman" w:hAnsi="Times New Roman" w:cs="Times New Roman"/>
          <w:i/>
          <w:iCs/>
          <w:sz w:val="24"/>
          <w:szCs w:val="24"/>
        </w:rPr>
        <w:t>Iranian Journal of Psychiatry and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200–211. </w:t>
      </w:r>
      <w:hyperlink r:id="rId1730" w:history="1">
        <w:r w:rsidRPr="00600FC7">
          <w:rPr>
            <w:rFonts w:ascii="Times New Roman" w:eastAsia="Times New Roman" w:hAnsi="Times New Roman" w:cs="Times New Roman"/>
            <w:color w:val="0000FF"/>
            <w:sz w:val="24"/>
            <w:szCs w:val="24"/>
            <w:u w:val="single"/>
          </w:rPr>
          <w:t>https://doi.org/10.18869/acadpub.ijpcp.22.3.200</w:t>
        </w:r>
      </w:hyperlink>
    </w:p>
    <w:p w14:paraId="793B182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Fales, C. L., Vanek, Z. F., &amp; Knowlton, B. J. (2006). Backward inhibition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(7), 1041–1049. </w:t>
      </w:r>
      <w:hyperlink r:id="rId1731" w:history="1">
        <w:r w:rsidRPr="00600FC7">
          <w:rPr>
            <w:rFonts w:ascii="Times New Roman" w:eastAsia="Times New Roman" w:hAnsi="Times New Roman" w:cs="Times New Roman"/>
            <w:color w:val="0000FF"/>
            <w:sz w:val="24"/>
            <w:szCs w:val="24"/>
            <w:u w:val="single"/>
          </w:rPr>
          <w:t>https://doi.org/10.1016/j.neuropsychologia.2005.11.002</w:t>
        </w:r>
      </w:hyperlink>
    </w:p>
    <w:p w14:paraId="6B1AB6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Falkai, P., Honer, W. G., Kamer, T., Dustert, S., Vogeley, K., Schneider-Axmann, T., Dani, I., Wagner, M., Rietschel, M., Müller, D. J., Schulze, T. G., Gaebel, W., Cordes, J., Schönell, H., Schild, H. H., Block, W., Träber, F., Steinmetz, H., Maier, W., &amp; Tepest, R. (2007). Disturbed frontal gyrification within families affected with schizophrenia.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(10), 805–813. </w:t>
      </w:r>
      <w:hyperlink r:id="rId1732" w:history="1">
        <w:r w:rsidRPr="00600FC7">
          <w:rPr>
            <w:rFonts w:ascii="Times New Roman" w:eastAsia="Times New Roman" w:hAnsi="Times New Roman" w:cs="Times New Roman"/>
            <w:color w:val="0000FF"/>
            <w:sz w:val="24"/>
            <w:szCs w:val="24"/>
            <w:u w:val="single"/>
          </w:rPr>
          <w:t>https://doi.org/10.1016/j.jpsychires.2006.07.018</w:t>
        </w:r>
      </w:hyperlink>
    </w:p>
    <w:p w14:paraId="7ADB5C4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Falkenstein, M., Willemssen, R., Hohnsbein, J., &amp; Hielscher, H. (2005). Error processing in Parkinson’s disease: The error positivity (Pe). </w:t>
      </w:r>
      <w:r w:rsidRPr="00600FC7">
        <w:rPr>
          <w:rFonts w:ascii="Times New Roman" w:eastAsia="Times New Roman" w:hAnsi="Times New Roman" w:cs="Times New Roman"/>
          <w:i/>
          <w:iCs/>
          <w:sz w:val="24"/>
          <w:szCs w:val="24"/>
        </w:rPr>
        <w:t>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305–310. </w:t>
      </w:r>
      <w:hyperlink r:id="rId1733" w:history="1">
        <w:r w:rsidRPr="00600FC7">
          <w:rPr>
            <w:rFonts w:ascii="Times New Roman" w:eastAsia="Times New Roman" w:hAnsi="Times New Roman" w:cs="Times New Roman"/>
            <w:color w:val="0000FF"/>
            <w:sz w:val="24"/>
            <w:szCs w:val="24"/>
            <w:u w:val="single"/>
          </w:rPr>
          <w:t>https://doi.org/10.1027/0269-8803.19.4.305</w:t>
        </w:r>
      </w:hyperlink>
    </w:p>
    <w:p w14:paraId="4C70DE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Fallon, B. A., Keilp, J., Prohovnik, I., Van Heertum, R., &amp; Mann, J. J. (2003). Regional Cerebral Blood Flow and Cognitive Deficits in Chronic Lyme Disease.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326–332. </w:t>
      </w:r>
      <w:hyperlink r:id="rId1734" w:history="1">
        <w:r w:rsidRPr="00600FC7">
          <w:rPr>
            <w:rFonts w:ascii="Times New Roman" w:eastAsia="Times New Roman" w:hAnsi="Times New Roman" w:cs="Times New Roman"/>
            <w:color w:val="0000FF"/>
            <w:sz w:val="24"/>
            <w:szCs w:val="24"/>
            <w:u w:val="single"/>
          </w:rPr>
          <w:t>https://doi.org/10.1176/appi.neuropsych.15.3.326</w:t>
        </w:r>
      </w:hyperlink>
    </w:p>
    <w:p w14:paraId="211A56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Fallon, S. J., Smulders, K., Esselink, R. A., van de Warrenburg, B. P., Bloem, B. R., &amp; Cools, R. (2015). Differential optimal dopamine levels for set-shifting and working memory in Parkinson’s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77</w:t>
      </w:r>
      <w:r w:rsidRPr="00600FC7">
        <w:rPr>
          <w:rFonts w:ascii="Times New Roman" w:eastAsia="Times New Roman" w:hAnsi="Times New Roman" w:cs="Times New Roman"/>
          <w:sz w:val="24"/>
          <w:szCs w:val="24"/>
        </w:rPr>
        <w:t xml:space="preserve">, 42–51. </w:t>
      </w:r>
      <w:hyperlink r:id="rId1735" w:history="1">
        <w:r w:rsidRPr="00600FC7">
          <w:rPr>
            <w:rFonts w:ascii="Times New Roman" w:eastAsia="Times New Roman" w:hAnsi="Times New Roman" w:cs="Times New Roman"/>
            <w:color w:val="0000FF"/>
            <w:sz w:val="24"/>
            <w:szCs w:val="24"/>
            <w:u w:val="single"/>
          </w:rPr>
          <w:t>https://doi.org/10.1016/j.neuropsychologia.2015.07.031</w:t>
        </w:r>
      </w:hyperlink>
    </w:p>
    <w:p w14:paraId="0A7D0D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Fallon, S. J., Williams-Gray, C. H., Barker, R. A., Owen, A. M., &amp; Hampshire, A. (2013). Prefrontal dopamine levels determine the balance between cognitive stability and flexibility.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(2), 361–369. </w:t>
      </w:r>
      <w:hyperlink r:id="rId1736" w:history="1">
        <w:r w:rsidRPr="00600FC7">
          <w:rPr>
            <w:rFonts w:ascii="Times New Roman" w:eastAsia="Times New Roman" w:hAnsi="Times New Roman" w:cs="Times New Roman"/>
            <w:color w:val="0000FF"/>
            <w:sz w:val="24"/>
            <w:szCs w:val="24"/>
            <w:u w:val="single"/>
          </w:rPr>
          <w:t>https://doi.org/10.1093/cercor/bhs025</w:t>
        </w:r>
      </w:hyperlink>
    </w:p>
    <w:p w14:paraId="7A783C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Fallows, R. R., &amp; Hilsabeck, R. C. (2012). WAIS-IV Visual Puzzles in a mixed clinical sample.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942–950. </w:t>
      </w:r>
      <w:hyperlink r:id="rId1737" w:history="1">
        <w:r w:rsidRPr="00600FC7">
          <w:rPr>
            <w:rFonts w:ascii="Times New Roman" w:eastAsia="Times New Roman" w:hAnsi="Times New Roman" w:cs="Times New Roman"/>
            <w:color w:val="0000FF"/>
            <w:sz w:val="24"/>
            <w:szCs w:val="24"/>
            <w:u w:val="single"/>
          </w:rPr>
          <w:t>https://doi.org/10.1080/13854046.2012.697193</w:t>
        </w:r>
      </w:hyperlink>
    </w:p>
    <w:p w14:paraId="71BD8AC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Fama, R., Marsh, L., &amp; Sullivan, E. V. (2004). Dissociation of remote and anterograde memory impairment and neural correlates in alcoholic Korsakoff syndrome.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427–441. </w:t>
      </w:r>
      <w:hyperlink r:id="rId1738" w:history="1">
        <w:r w:rsidRPr="00600FC7">
          <w:rPr>
            <w:rFonts w:ascii="Times New Roman" w:eastAsia="Times New Roman" w:hAnsi="Times New Roman" w:cs="Times New Roman"/>
            <w:color w:val="0000FF"/>
            <w:sz w:val="24"/>
            <w:szCs w:val="24"/>
            <w:u w:val="single"/>
          </w:rPr>
          <w:t>https://doi.org/10.1017/S135561770410310X</w:t>
        </w:r>
      </w:hyperlink>
    </w:p>
    <w:p w14:paraId="0F81AF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Fama, R., Pfefferbaum, A., &amp; Sullivan, E. V. (2004). Perceptual Learning in Detoxified Alcoholic Men: Contributions From Explicit Memory, Executive Function, and Age.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(11), 1657–1665. </w:t>
      </w:r>
      <w:hyperlink r:id="rId1739" w:history="1">
        <w:r w:rsidRPr="00600FC7">
          <w:rPr>
            <w:rFonts w:ascii="Times New Roman" w:eastAsia="Times New Roman" w:hAnsi="Times New Roman" w:cs="Times New Roman"/>
            <w:color w:val="0000FF"/>
            <w:sz w:val="24"/>
            <w:szCs w:val="24"/>
            <w:u w:val="single"/>
          </w:rPr>
          <w:t>https://doi.org/10.1097/01.ALC.0000145690.48510.DA</w:t>
        </w:r>
      </w:hyperlink>
    </w:p>
    <w:p w14:paraId="7D38F4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Fan, L.-Y., Tzen, K.-Y., Chen, Y.-F., Chen, T.-F., Lai, Y.-M., Yen, R.-F., Huang, Y.-Y., Shiue, C.-Y., Yang, S.-Y., &amp; Chiu, M.-J. (2018). The relation between brain amyloid deposition, cortical atrophy, and plasma biomarkers in amnesic mild cognitive impairment and Alzheimer’s disease. </w:t>
      </w:r>
      <w:r w:rsidRPr="00600FC7">
        <w:rPr>
          <w:rFonts w:ascii="Times New Roman" w:eastAsia="Times New Roman" w:hAnsi="Times New Roman" w:cs="Times New Roman"/>
          <w:i/>
          <w:iCs/>
          <w:sz w:val="24"/>
          <w:szCs w:val="24"/>
        </w:rPr>
        <w:t>Frontiers in Aging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 </w:t>
      </w:r>
      <w:hyperlink r:id="rId1740" w:history="1">
        <w:r w:rsidRPr="00600FC7">
          <w:rPr>
            <w:rFonts w:ascii="Times New Roman" w:eastAsia="Times New Roman" w:hAnsi="Times New Roman" w:cs="Times New Roman"/>
            <w:color w:val="0000FF"/>
            <w:sz w:val="24"/>
            <w:szCs w:val="24"/>
            <w:u w:val="single"/>
          </w:rPr>
          <w:t>https://doi.org/10.3389/fnagi.2018.00175</w:t>
        </w:r>
      </w:hyperlink>
    </w:p>
    <w:p w14:paraId="0D169C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Fanchke, P. V., Sinning, M., &amp; Miranda, M. (2005). Primary Sjögren’s syndrome presenting as a generalized Chorea. </w:t>
      </w:r>
      <w:r w:rsidRPr="00600FC7">
        <w:rPr>
          <w:rFonts w:ascii="Times New Roman" w:eastAsia="Times New Roman" w:hAnsi="Times New Roman" w:cs="Times New Roman"/>
          <w:i/>
          <w:iCs/>
          <w:sz w:val="24"/>
          <w:szCs w:val="24"/>
        </w:rPr>
        <w:t>Parkinsonism &amp;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193–194. </w:t>
      </w:r>
      <w:hyperlink r:id="rId1741" w:history="1">
        <w:r w:rsidRPr="00600FC7">
          <w:rPr>
            <w:rFonts w:ascii="Times New Roman" w:eastAsia="Times New Roman" w:hAnsi="Times New Roman" w:cs="Times New Roman"/>
            <w:color w:val="0000FF"/>
            <w:sz w:val="24"/>
            <w:szCs w:val="24"/>
            <w:u w:val="single"/>
          </w:rPr>
          <w:t>https://doi.org/10.1016/j.parkreldis.2004.10.006</w:t>
        </w:r>
      </w:hyperlink>
    </w:p>
    <w:p w14:paraId="376D69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Fandakova, Y., Shing, Y. L., &amp; Lindenberger, U. (2013). High-confidence memory errors in old age: The roles of monitoring and binding processes. </w:t>
      </w:r>
      <w:r w:rsidRPr="00600FC7">
        <w:rPr>
          <w:rFonts w:ascii="Times New Roman" w:eastAsia="Times New Roman" w:hAnsi="Times New Roman" w:cs="Times New Roman"/>
          <w:i/>
          <w:iCs/>
          <w:sz w:val="24"/>
          <w:szCs w:val="24"/>
        </w:rPr>
        <w:t>Memory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(6), 732–750. </w:t>
      </w:r>
      <w:hyperlink r:id="rId1742" w:history="1">
        <w:r w:rsidRPr="00600FC7">
          <w:rPr>
            <w:rFonts w:ascii="Times New Roman" w:eastAsia="Times New Roman" w:hAnsi="Times New Roman" w:cs="Times New Roman"/>
            <w:color w:val="0000FF"/>
            <w:sz w:val="24"/>
            <w:szCs w:val="24"/>
            <w:u w:val="single"/>
          </w:rPr>
          <w:t>https://doi.org/10.1080/09658211.2012.756038</w:t>
        </w:r>
      </w:hyperlink>
    </w:p>
    <w:p w14:paraId="7B7817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Adamson, J. J., Wilens, T. E., Monuteaux, M. C., &amp; Biederman, J. (2007). Deriving phenotypes for molecular genetic studies of substance use disorders: A family study approach.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88</w:t>
      </w:r>
      <w:r w:rsidRPr="00600FC7">
        <w:rPr>
          <w:rFonts w:ascii="Times New Roman" w:eastAsia="Times New Roman" w:hAnsi="Times New Roman" w:cs="Times New Roman"/>
          <w:sz w:val="24"/>
          <w:szCs w:val="24"/>
        </w:rPr>
        <w:t xml:space="preserve">(2–3), 244–250. </w:t>
      </w:r>
      <w:hyperlink r:id="rId1743" w:history="1">
        <w:r w:rsidRPr="00600FC7">
          <w:rPr>
            <w:rFonts w:ascii="Times New Roman" w:eastAsia="Times New Roman" w:hAnsi="Times New Roman" w:cs="Times New Roman"/>
            <w:color w:val="0000FF"/>
            <w:sz w:val="24"/>
            <w:szCs w:val="24"/>
            <w:u w:val="single"/>
          </w:rPr>
          <w:t>https://doi.org/10.1016/j.drugalcdep.2006.11.002</w:t>
        </w:r>
      </w:hyperlink>
    </w:p>
    <w:p w14:paraId="4937CB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Faraone, S. V., Adamson, J. J., Wilens, T. E., Monuteaux, M. C., &amp; Biederman, J. (2008). Familial transmission of derived phenotypes for molecular genetic studies of substance use disorders.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92</w:t>
      </w:r>
      <w:r w:rsidRPr="00600FC7">
        <w:rPr>
          <w:rFonts w:ascii="Times New Roman" w:eastAsia="Times New Roman" w:hAnsi="Times New Roman" w:cs="Times New Roman"/>
          <w:sz w:val="24"/>
          <w:szCs w:val="24"/>
        </w:rPr>
        <w:t xml:space="preserve">(1–3), 100–107. </w:t>
      </w:r>
      <w:hyperlink r:id="rId1744" w:history="1">
        <w:r w:rsidRPr="00600FC7">
          <w:rPr>
            <w:rFonts w:ascii="Times New Roman" w:eastAsia="Times New Roman" w:hAnsi="Times New Roman" w:cs="Times New Roman"/>
            <w:color w:val="0000FF"/>
            <w:sz w:val="24"/>
            <w:szCs w:val="24"/>
            <w:u w:val="single"/>
          </w:rPr>
          <w:t>https://doi.org/10.1016/j.drugalcdep.2007.07.002</w:t>
        </w:r>
      </w:hyperlink>
    </w:p>
    <w:p w14:paraId="7C926D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&amp; Biederman, J. (2013). Neurobiology of attention deficit/hyperactivity disorder. In </w:t>
      </w:r>
      <w:r w:rsidRPr="00600FC7">
        <w:rPr>
          <w:rFonts w:ascii="Times New Roman" w:eastAsia="Times New Roman" w:hAnsi="Times New Roman" w:cs="Times New Roman"/>
          <w:i/>
          <w:iCs/>
          <w:sz w:val="24"/>
          <w:szCs w:val="24"/>
        </w:rPr>
        <w:t>Neurobiology of mental illness, 4th ed.</w:t>
      </w:r>
      <w:r w:rsidRPr="00600FC7">
        <w:rPr>
          <w:rFonts w:ascii="Times New Roman" w:eastAsia="Times New Roman" w:hAnsi="Times New Roman" w:cs="Times New Roman"/>
          <w:sz w:val="24"/>
          <w:szCs w:val="24"/>
        </w:rPr>
        <w:t xml:space="preserve"> (pp. 1034–1047). Oxford University Press. </w:t>
      </w:r>
      <w:hyperlink r:id="rId1745" w:history="1">
        <w:r w:rsidRPr="00600FC7">
          <w:rPr>
            <w:rFonts w:ascii="Times New Roman" w:eastAsia="Times New Roman" w:hAnsi="Times New Roman" w:cs="Times New Roman"/>
            <w:color w:val="0000FF"/>
            <w:sz w:val="24"/>
            <w:szCs w:val="24"/>
            <w:u w:val="single"/>
          </w:rPr>
          <w:t>https://doi.org/10.1093/med/9780199934959.003.0078</w:t>
        </w:r>
      </w:hyperlink>
    </w:p>
    <w:p w14:paraId="18904A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Faraone, S. V., Biederman, J., Doyle, A., Murray, K., Petty, C., Adamson, J. J., &amp; Seidman, L. (2006). Neuropsychological Studies of Late Onset and Subthreshold Diagnoses of Adult Attention-Deficit/Hyperactivity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(10), 1081–1087. </w:t>
      </w:r>
      <w:hyperlink r:id="rId1746" w:history="1">
        <w:r w:rsidRPr="00600FC7">
          <w:rPr>
            <w:rFonts w:ascii="Times New Roman" w:eastAsia="Times New Roman" w:hAnsi="Times New Roman" w:cs="Times New Roman"/>
            <w:color w:val="0000FF"/>
            <w:sz w:val="24"/>
            <w:szCs w:val="24"/>
            <w:u w:val="single"/>
          </w:rPr>
          <w:t>https://doi.org/10.1016/j.biopsych.2006.03.060</w:t>
        </w:r>
      </w:hyperlink>
    </w:p>
    <w:p w14:paraId="728076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Färdig, R., Fredriksson, A., Lewander, T., Melin, L., &amp; Mueser, K. T. (2016). Neurocognitive functioning and outcome of the Illness Management and Recovery Program for clients with schizophrenia and schizoaffective disorder. </w:t>
      </w:r>
      <w:r w:rsidRPr="00600FC7">
        <w:rPr>
          <w:rFonts w:ascii="Times New Roman" w:eastAsia="Times New Roman" w:hAnsi="Times New Roman" w:cs="Times New Roman"/>
          <w:i/>
          <w:iCs/>
          <w:sz w:val="24"/>
          <w:szCs w:val="24"/>
        </w:rPr>
        <w:t>Nordic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(6), 430–435. </w:t>
      </w:r>
      <w:hyperlink r:id="rId1747" w:history="1">
        <w:r w:rsidRPr="00600FC7">
          <w:rPr>
            <w:rFonts w:ascii="Times New Roman" w:eastAsia="Times New Roman" w:hAnsi="Times New Roman" w:cs="Times New Roman"/>
            <w:color w:val="0000FF"/>
            <w:sz w:val="24"/>
            <w:szCs w:val="24"/>
            <w:u w:val="single"/>
          </w:rPr>
          <w:t>https://doi.org/10.3109/08039488.2016.1146797</w:t>
        </w:r>
      </w:hyperlink>
    </w:p>
    <w:p w14:paraId="455EFF9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Fargeau, M. N., Jaafari, N., Ragot, S., Houeto, J. L., Pluchon, C., &amp; Gil, R. (2010). Alzheimer’s disease and impairment of the self. </w:t>
      </w:r>
      <w:r w:rsidRPr="00600FC7">
        <w:rPr>
          <w:rFonts w:ascii="Times New Roman" w:eastAsia="Times New Roman" w:hAnsi="Times New Roman" w:cs="Times New Roman"/>
          <w:i/>
          <w:iCs/>
          <w:sz w:val="24"/>
          <w:szCs w:val="24"/>
        </w:rPr>
        <w:t>Consciousness and Cognition: An International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969–976. </w:t>
      </w:r>
      <w:hyperlink r:id="rId1748" w:history="1">
        <w:r w:rsidRPr="00600FC7">
          <w:rPr>
            <w:rFonts w:ascii="Times New Roman" w:eastAsia="Times New Roman" w:hAnsi="Times New Roman" w:cs="Times New Roman"/>
            <w:color w:val="0000FF"/>
            <w:sz w:val="24"/>
            <w:szCs w:val="24"/>
            <w:u w:val="single"/>
          </w:rPr>
          <w:t>https://doi.org/10.1016/j.concog.2010.06.014</w:t>
        </w:r>
      </w:hyperlink>
    </w:p>
    <w:p w14:paraId="688140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Farkas, M., Polgár, P., Kelemen, O., Réthelyi, J., Bitter, I., Myers, C. E., Gluck, M. A., &amp; Kéri, S. (2008). Associative learning in deficit and nondeficit schizophrenia. </w:t>
      </w:r>
      <w:r w:rsidRPr="00600FC7">
        <w:rPr>
          <w:rFonts w:ascii="Times New Roman" w:eastAsia="Times New Roman" w:hAnsi="Times New Roman" w:cs="Times New Roman"/>
          <w:i/>
          <w:iCs/>
          <w:sz w:val="24"/>
          <w:szCs w:val="24"/>
        </w:rPr>
        <w:t>NeuroReport: For Rapid Communication of Neuroscience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(1), 55–58. </w:t>
      </w:r>
      <w:hyperlink r:id="rId1749" w:history="1">
        <w:r w:rsidRPr="00600FC7">
          <w:rPr>
            <w:rFonts w:ascii="Times New Roman" w:eastAsia="Times New Roman" w:hAnsi="Times New Roman" w:cs="Times New Roman"/>
            <w:color w:val="0000FF"/>
            <w:sz w:val="24"/>
            <w:szCs w:val="24"/>
            <w:u w:val="single"/>
          </w:rPr>
          <w:t>https://doi.org/10.1097/WNR.0b013e3282f2dff6</w:t>
        </w:r>
      </w:hyperlink>
    </w:p>
    <w:p w14:paraId="418592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Farreny, A., del Rey-Mejías, Á., Escartin, G., Usall, J., Tous, N., Haro, J. M., &amp; Ochoa, S. (2016). Study of positive and negative feedback sensitivity in psychosis using the Wisconsin Card Sorting Test. </w:t>
      </w:r>
      <w:r w:rsidRPr="00600FC7">
        <w:rPr>
          <w:rFonts w:ascii="Times New Roman" w:eastAsia="Times New Roman" w:hAnsi="Times New Roman" w:cs="Times New Roman"/>
          <w:i/>
          <w:iCs/>
          <w:sz w:val="24"/>
          <w:szCs w:val="24"/>
        </w:rPr>
        <w:t>Comprehensive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 119–128. </w:t>
      </w:r>
      <w:hyperlink r:id="rId1750" w:history="1">
        <w:r w:rsidRPr="00600FC7">
          <w:rPr>
            <w:rFonts w:ascii="Times New Roman" w:eastAsia="Times New Roman" w:hAnsi="Times New Roman" w:cs="Times New Roman"/>
            <w:color w:val="0000FF"/>
            <w:sz w:val="24"/>
            <w:szCs w:val="24"/>
            <w:u w:val="single"/>
          </w:rPr>
          <w:t>https://doi.org/10.1016/j.comppsych.2016.04.011</w:t>
        </w:r>
      </w:hyperlink>
    </w:p>
    <w:p w14:paraId="3C4187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Farzanfar, D., Statucka, M., &amp; Cohn, M. (2018). Automated indices of clustering and switching of semantic verbal fluency in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(10), 1047–1056. </w:t>
      </w:r>
      <w:hyperlink r:id="rId1751" w:history="1">
        <w:r w:rsidRPr="00600FC7">
          <w:rPr>
            <w:rFonts w:ascii="Times New Roman" w:eastAsia="Times New Roman" w:hAnsi="Times New Roman" w:cs="Times New Roman"/>
            <w:color w:val="0000FF"/>
            <w:sz w:val="24"/>
            <w:szCs w:val="24"/>
            <w:u w:val="single"/>
          </w:rPr>
          <w:t>https://doi.org/10.1017/S1355617718000759</w:t>
        </w:r>
      </w:hyperlink>
    </w:p>
    <w:p w14:paraId="3905320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Fasano, A., Romito, L. M., Daniele, A., Piano, C., Zinno, M., Bentivoglio, A. R., &amp; Albanese, A. (2010). Motor and cognitive outcome in patients with Parkinson’s disease 8 years after subthalamic implants.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133</w:t>
      </w:r>
      <w:r w:rsidRPr="00600FC7">
        <w:rPr>
          <w:rFonts w:ascii="Times New Roman" w:eastAsia="Times New Roman" w:hAnsi="Times New Roman" w:cs="Times New Roman"/>
          <w:sz w:val="24"/>
          <w:szCs w:val="24"/>
        </w:rPr>
        <w:t xml:space="preserve">(9), 2664–2676. </w:t>
      </w:r>
      <w:hyperlink r:id="rId1752" w:history="1">
        <w:r w:rsidRPr="00600FC7">
          <w:rPr>
            <w:rFonts w:ascii="Times New Roman" w:eastAsia="Times New Roman" w:hAnsi="Times New Roman" w:cs="Times New Roman"/>
            <w:color w:val="0000FF"/>
            <w:sz w:val="24"/>
            <w:szCs w:val="24"/>
            <w:u w:val="single"/>
          </w:rPr>
          <w:t>https://doi.org/10.1093/brain/awq221</w:t>
        </w:r>
      </w:hyperlink>
    </w:p>
    <w:p w14:paraId="175BFD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Fasano, F., Mitolo, M., Gardini, S., Venneri, A., Caffarra, P., &amp; Pazzaglia, F. (2018). Combining structural magnetic resonance imaging and visuospatial tests to classify mild cognitive impairment. </w:t>
      </w:r>
      <w:r w:rsidRPr="00600FC7">
        <w:rPr>
          <w:rFonts w:ascii="Times New Roman" w:eastAsia="Times New Roman" w:hAnsi="Times New Roman" w:cs="Times New Roman"/>
          <w:i/>
          <w:iCs/>
          <w:sz w:val="24"/>
          <w:szCs w:val="24"/>
        </w:rPr>
        <w:t>Current Alzheimer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237–246. </w:t>
      </w:r>
      <w:hyperlink r:id="rId1753" w:history="1">
        <w:r w:rsidRPr="00600FC7">
          <w:rPr>
            <w:rFonts w:ascii="Times New Roman" w:eastAsia="Times New Roman" w:hAnsi="Times New Roman" w:cs="Times New Roman"/>
            <w:color w:val="0000FF"/>
            <w:sz w:val="24"/>
            <w:szCs w:val="24"/>
            <w:u w:val="single"/>
          </w:rPr>
          <w:t>https://doi.org/10.2174/1567205014666171030112339</w:t>
        </w:r>
      </w:hyperlink>
    </w:p>
    <w:p w14:paraId="3F0F2C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Fasilis, Th., Patrikelis, P., Siatouni, A., Alexoudi, A., Veretzioti, A., Zachou, L., &amp; Gatzonis, S.-St. (2018). A pilot study and brief overview of rehabilitation via virtual environment in patients suffering from dementia. </w:t>
      </w:r>
      <w:r w:rsidRPr="00600FC7">
        <w:rPr>
          <w:rFonts w:ascii="Times New Roman" w:eastAsia="Times New Roman" w:hAnsi="Times New Roman" w:cs="Times New Roman"/>
          <w:i/>
          <w:iCs/>
          <w:sz w:val="24"/>
          <w:szCs w:val="24"/>
        </w:rPr>
        <w:t>Psychiatriki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 42–51. </w:t>
      </w:r>
      <w:hyperlink r:id="rId1754" w:history="1">
        <w:r w:rsidRPr="00600FC7">
          <w:rPr>
            <w:rFonts w:ascii="Times New Roman" w:eastAsia="Times New Roman" w:hAnsi="Times New Roman" w:cs="Times New Roman"/>
            <w:color w:val="0000FF"/>
            <w:sz w:val="24"/>
            <w:szCs w:val="24"/>
            <w:u w:val="single"/>
          </w:rPr>
          <w:t>https://doi.org/10.22365/jpsych.2018.291.42</w:t>
        </w:r>
      </w:hyperlink>
    </w:p>
    <w:p w14:paraId="441DE5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Fassino, S., Pieró, A., Daga, G. A., Leombruni, P., Mortara, P., &amp; Rovera, G. G. (2002). Attentional biases and frontal functioning in anorexia nervosa. </w:t>
      </w:r>
      <w:r w:rsidRPr="00600FC7">
        <w:rPr>
          <w:rFonts w:ascii="Times New Roman" w:eastAsia="Times New Roman" w:hAnsi="Times New Roman" w:cs="Times New Roman"/>
          <w:i/>
          <w:iCs/>
          <w:sz w:val="24"/>
          <w:szCs w:val="24"/>
        </w:rPr>
        <w:t>International 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274–283. </w:t>
      </w:r>
      <w:hyperlink r:id="rId1755" w:history="1">
        <w:r w:rsidRPr="00600FC7">
          <w:rPr>
            <w:rFonts w:ascii="Times New Roman" w:eastAsia="Times New Roman" w:hAnsi="Times New Roman" w:cs="Times New Roman"/>
            <w:color w:val="0000FF"/>
            <w:sz w:val="24"/>
            <w:szCs w:val="24"/>
            <w:u w:val="single"/>
          </w:rPr>
          <w:t>https://doi.org/10.1002/eat.10028</w:t>
        </w:r>
      </w:hyperlink>
    </w:p>
    <w:p w14:paraId="49F2B4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Fastenau, P. S. (1998). Validity of regression-based norms: An empirical test of the comprehensive norms with older adults.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906–916. </w:t>
      </w:r>
      <w:hyperlink r:id="rId1756" w:history="1">
        <w:r w:rsidRPr="00600FC7">
          <w:rPr>
            <w:rFonts w:ascii="Times New Roman" w:eastAsia="Times New Roman" w:hAnsi="Times New Roman" w:cs="Times New Roman"/>
            <w:color w:val="0000FF"/>
            <w:sz w:val="24"/>
            <w:szCs w:val="24"/>
            <w:u w:val="single"/>
          </w:rPr>
          <w:t>https://doi.org/10.1076/jcen.20.6.906.1104</w:t>
        </w:r>
      </w:hyperlink>
    </w:p>
    <w:p w14:paraId="7F14E9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Fastenau, P. S., Johnson, C. S., Perkins, S. M., Byars, A. W., deGrauw, T. J., Austin, J. K., &amp; Dunn, D. W. (2009). Neuropsychological status at seizure onset in children: Risk factors for early cognitive deficits.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73</w:t>
      </w:r>
      <w:r w:rsidRPr="00600FC7">
        <w:rPr>
          <w:rFonts w:ascii="Times New Roman" w:eastAsia="Times New Roman" w:hAnsi="Times New Roman" w:cs="Times New Roman"/>
          <w:sz w:val="24"/>
          <w:szCs w:val="24"/>
        </w:rPr>
        <w:t xml:space="preserve">(7), 526–534. </w:t>
      </w:r>
      <w:hyperlink r:id="rId1757" w:history="1">
        <w:r w:rsidRPr="00600FC7">
          <w:rPr>
            <w:rFonts w:ascii="Times New Roman" w:eastAsia="Times New Roman" w:hAnsi="Times New Roman" w:cs="Times New Roman"/>
            <w:color w:val="0000FF"/>
            <w:sz w:val="24"/>
            <w:szCs w:val="24"/>
            <w:u w:val="single"/>
          </w:rPr>
          <w:t>https://doi.org/10.1212/WNL.0b013e3181b23551</w:t>
        </w:r>
      </w:hyperlink>
    </w:p>
    <w:p w14:paraId="605867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Fatima, S., &amp; Sharif, I. (2017). Executive functions, parental punishment, and aggression: Direct and moderated relations. </w:t>
      </w:r>
      <w:r w:rsidRPr="00600FC7">
        <w:rPr>
          <w:rFonts w:ascii="Times New Roman" w:eastAsia="Times New Roman" w:hAnsi="Times New Roman" w:cs="Times New Roman"/>
          <w:i/>
          <w:iCs/>
          <w:sz w:val="24"/>
          <w:szCs w:val="24"/>
        </w:rPr>
        <w:t>Social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(6), 717–729.</w:t>
      </w:r>
    </w:p>
    <w:p w14:paraId="3A7F0A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Fatjó‐Vilas, M., Papiol, S., Estrada, G., Bombín, I., Peralta, V., Rosa, A., Parellada, M., Miret, S., Martín, M., Lázaro, L., Campanera, S., Muñoz, M. J., Lera‐Miguel, S., Arias, B., Navarro, M. E., Castro‐Fornieles, J., Cuesta, M. J., Arango, C., &amp; Fañanás, L. (2011). Dysbindin-1 gene contributes differentially to early- and adult-onset forms of functional psychosis. </w:t>
      </w:r>
      <w:r w:rsidRPr="00600FC7">
        <w:rPr>
          <w:rFonts w:ascii="Times New Roman" w:eastAsia="Times New Roman" w:hAnsi="Times New Roman" w:cs="Times New Roman"/>
          <w:i/>
          <w:iCs/>
          <w:sz w:val="24"/>
          <w:szCs w:val="24"/>
        </w:rPr>
        <w:t>American Journal of Medical Genetics Part B: Neuropsychiatric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156</w:t>
      </w:r>
      <w:r w:rsidRPr="00600FC7">
        <w:rPr>
          <w:rFonts w:ascii="Times New Roman" w:eastAsia="Times New Roman" w:hAnsi="Times New Roman" w:cs="Times New Roman"/>
          <w:sz w:val="24"/>
          <w:szCs w:val="24"/>
        </w:rPr>
        <w:t xml:space="preserve">(3), 322–333. </w:t>
      </w:r>
      <w:hyperlink r:id="rId1758" w:history="1">
        <w:r w:rsidRPr="00600FC7">
          <w:rPr>
            <w:rFonts w:ascii="Times New Roman" w:eastAsia="Times New Roman" w:hAnsi="Times New Roman" w:cs="Times New Roman"/>
            <w:color w:val="0000FF"/>
            <w:sz w:val="24"/>
            <w:szCs w:val="24"/>
            <w:u w:val="single"/>
          </w:rPr>
          <w:t>https://doi.org/10.1002/ajmg.b.31166</w:t>
        </w:r>
      </w:hyperlink>
    </w:p>
    <w:p w14:paraId="36CE25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Fatjó-Vilas, M., Soler, J., Ibáñez, M. I., Moya-Higueras, J., Ortet, G., Guardiola-Ripoll, M., Fañanás, L., &amp; Arias, B. (2020). The effect of the AKT1 gene and cannabis use on cognitive performance in healthy subjects.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(9), 990–998. </w:t>
      </w:r>
      <w:hyperlink r:id="rId1759" w:history="1">
        <w:r w:rsidRPr="00600FC7">
          <w:rPr>
            <w:rFonts w:ascii="Times New Roman" w:eastAsia="Times New Roman" w:hAnsi="Times New Roman" w:cs="Times New Roman"/>
            <w:color w:val="0000FF"/>
            <w:sz w:val="24"/>
            <w:szCs w:val="24"/>
            <w:u w:val="single"/>
          </w:rPr>
          <w:t>https://doi.org/10.1177/0269881120928179</w:t>
        </w:r>
      </w:hyperlink>
    </w:p>
    <w:p w14:paraId="1D836C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Faust, D., Ahern, D. C., &amp; Bridges, A. J. (2012). Neuropsychological (brain damage) assessment. In D. Faust (Ed.), </w:t>
      </w:r>
      <w:r w:rsidRPr="00600FC7">
        <w:rPr>
          <w:rFonts w:ascii="Times New Roman" w:eastAsia="Times New Roman" w:hAnsi="Times New Roman" w:cs="Times New Roman"/>
          <w:i/>
          <w:iCs/>
          <w:sz w:val="24"/>
          <w:szCs w:val="24"/>
        </w:rPr>
        <w:t>Coping with psychiatric and psychological testimony: Based on the original work by Jay Ziskin., 6th ed.</w:t>
      </w:r>
      <w:r w:rsidRPr="00600FC7">
        <w:rPr>
          <w:rFonts w:ascii="Times New Roman" w:eastAsia="Times New Roman" w:hAnsi="Times New Roman" w:cs="Times New Roman"/>
          <w:sz w:val="24"/>
          <w:szCs w:val="24"/>
        </w:rPr>
        <w:t xml:space="preserve"> (pp. 363–469). Oxford University Press. </w:t>
      </w:r>
      <w:hyperlink r:id="rId1760" w:history="1">
        <w:r w:rsidRPr="00600FC7">
          <w:rPr>
            <w:rFonts w:ascii="Times New Roman" w:eastAsia="Times New Roman" w:hAnsi="Times New Roman" w:cs="Times New Roman"/>
            <w:color w:val="0000FF"/>
            <w:sz w:val="24"/>
            <w:szCs w:val="24"/>
            <w:u w:val="single"/>
          </w:rPr>
          <w:t>https://doi.org/10.1093/med:psych/9780195174113.003.0018</w:t>
        </w:r>
      </w:hyperlink>
    </w:p>
    <w:p w14:paraId="55DB33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Faustino, B., Oliveira, J., &amp; Lopes, P. (2021). Diagnostic precision of the Wisconsin card sorting test in assessing cognitive deficits in substance use disorders.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165–172. </w:t>
      </w:r>
      <w:hyperlink r:id="rId1761" w:history="1">
        <w:r w:rsidRPr="00600FC7">
          <w:rPr>
            <w:rFonts w:ascii="Times New Roman" w:eastAsia="Times New Roman" w:hAnsi="Times New Roman" w:cs="Times New Roman"/>
            <w:color w:val="0000FF"/>
            <w:sz w:val="24"/>
            <w:szCs w:val="24"/>
            <w:u w:val="single"/>
          </w:rPr>
          <w:t>https://doi.org/10.1080/23279095.2019.1607737</w:t>
        </w:r>
      </w:hyperlink>
    </w:p>
    <w:p w14:paraId="554909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Favaro, A., Clementi, M., Manara, R., Bosello, R., Forzan, M., Bruson, A., Tenconi, E., Degortes, D., Titton, F., Di Salle, F., &amp; Santonastaso, P. (2013). Catechol-O-methyltransferase genotype modifies executive functioning and prefrontal functional connectivity in women with anorexia nervosa.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(4), 241–248. </w:t>
      </w:r>
      <w:hyperlink r:id="rId1762" w:history="1">
        <w:r w:rsidRPr="00600FC7">
          <w:rPr>
            <w:rFonts w:ascii="Times New Roman" w:eastAsia="Times New Roman" w:hAnsi="Times New Roman" w:cs="Times New Roman"/>
            <w:color w:val="0000FF"/>
            <w:sz w:val="24"/>
            <w:szCs w:val="24"/>
            <w:u w:val="single"/>
          </w:rPr>
          <w:t>https://doi.org/10.1503/jpn.120068</w:t>
        </w:r>
      </w:hyperlink>
    </w:p>
    <w:p w14:paraId="6DF378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Favre, T., Hughes, C., Emslie, G., Stavinoha, P., Kennard, B., &amp; Carmody, T. (2009). Executive functioning in children and adolescents with major depressive disorder. </w:t>
      </w:r>
      <w:r w:rsidRPr="00600FC7">
        <w:rPr>
          <w:rFonts w:ascii="Times New Roman" w:eastAsia="Times New Roman" w:hAnsi="Times New Roman" w:cs="Times New Roman"/>
          <w:i/>
          <w:iCs/>
          <w:sz w:val="24"/>
          <w:szCs w:val="24"/>
        </w:rPr>
        <w:t>Child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85–98. </w:t>
      </w:r>
      <w:hyperlink r:id="rId1763" w:history="1">
        <w:r w:rsidRPr="00600FC7">
          <w:rPr>
            <w:rFonts w:ascii="Times New Roman" w:eastAsia="Times New Roman" w:hAnsi="Times New Roman" w:cs="Times New Roman"/>
            <w:color w:val="0000FF"/>
            <w:sz w:val="24"/>
            <w:szCs w:val="24"/>
            <w:u w:val="single"/>
          </w:rPr>
          <w:t>https://doi.org/10.1080/09297040802577311</w:t>
        </w:r>
      </w:hyperlink>
    </w:p>
    <w:p w14:paraId="305BA6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Fazeli, P. L., Casaletto, K. B., Paolillo, E., Moore, R. C., Moore, D. J., &amp; Group, the H. (2017). Screening for neurocognitive impairment in HIV-positive adults aged 50 years and older: Montreal Cognitive Assessment relates to self-reported and clinician-rated everyday functioning.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(9), 842–853. </w:t>
      </w:r>
      <w:hyperlink r:id="rId1764" w:history="1">
        <w:r w:rsidRPr="00600FC7">
          <w:rPr>
            <w:rFonts w:ascii="Times New Roman" w:eastAsia="Times New Roman" w:hAnsi="Times New Roman" w:cs="Times New Roman"/>
            <w:color w:val="0000FF"/>
            <w:sz w:val="24"/>
            <w:szCs w:val="24"/>
            <w:u w:val="single"/>
          </w:rPr>
          <w:t>https://doi.org/10.1080/13803395.2016.1273319</w:t>
        </w:r>
      </w:hyperlink>
    </w:p>
    <w:p w14:paraId="470F45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Fazeli, P. L., Woods, S. P., Lambert, C. C., Waldrop-Valverde, D., &amp; Vance, D. E. (2020). Neurocognitive functioning is associated with self-reported and performance-based treatment management abilities in people living with HIV with low health literacy.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517–527. </w:t>
      </w:r>
      <w:hyperlink r:id="rId1765" w:history="1">
        <w:r w:rsidRPr="00600FC7">
          <w:rPr>
            <w:rFonts w:ascii="Times New Roman" w:eastAsia="Times New Roman" w:hAnsi="Times New Roman" w:cs="Times New Roman"/>
            <w:color w:val="0000FF"/>
            <w:sz w:val="24"/>
            <w:szCs w:val="24"/>
            <w:u w:val="single"/>
          </w:rPr>
          <w:t>https://doi.org/10.1093/arclin/acaa005</w:t>
        </w:r>
      </w:hyperlink>
    </w:p>
    <w:p w14:paraId="2FF1F5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Fazio, R., &amp; Denney, R. L. (2015). Assessment of neurophysiological and neuropsychological bases for violence. In </w:t>
      </w:r>
      <w:r w:rsidRPr="00600FC7">
        <w:rPr>
          <w:rFonts w:ascii="Times New Roman" w:eastAsia="Times New Roman" w:hAnsi="Times New Roman" w:cs="Times New Roman"/>
          <w:i/>
          <w:iCs/>
          <w:sz w:val="24"/>
          <w:szCs w:val="24"/>
        </w:rPr>
        <w:t>Violent offenders: Understanding and assessment.</w:t>
      </w:r>
      <w:r w:rsidRPr="00600FC7">
        <w:rPr>
          <w:rFonts w:ascii="Times New Roman" w:eastAsia="Times New Roman" w:hAnsi="Times New Roman" w:cs="Times New Roman"/>
          <w:sz w:val="24"/>
          <w:szCs w:val="24"/>
        </w:rPr>
        <w:t xml:space="preserve"> (pp. 425–451). Oxford University Press.</w:t>
      </w:r>
    </w:p>
    <w:p w14:paraId="7076BE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Fehring, D. J., Samandra, R., Rosa, M. G., &amp; Mansouri, F. A. (2019). Negative emotional stimuli enhance conflict resolution without altering arousal. </w:t>
      </w:r>
      <w:r w:rsidRPr="00600FC7">
        <w:rPr>
          <w:rFonts w:ascii="Times New Roman" w:eastAsia="Times New Roman" w:hAnsi="Times New Roman" w:cs="Times New Roman"/>
          <w:i/>
          <w:iCs/>
          <w:sz w:val="24"/>
          <w:szCs w:val="24"/>
        </w:rPr>
        <w:t>Frontiers in Human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 </w:t>
      </w:r>
      <w:hyperlink r:id="rId1766" w:history="1">
        <w:r w:rsidRPr="00600FC7">
          <w:rPr>
            <w:rFonts w:ascii="Times New Roman" w:eastAsia="Times New Roman" w:hAnsi="Times New Roman" w:cs="Times New Roman"/>
            <w:color w:val="0000FF"/>
            <w:sz w:val="24"/>
            <w:szCs w:val="24"/>
            <w:u w:val="single"/>
          </w:rPr>
          <w:t>https://doi.org/10.3389/fnhum.2019.00282</w:t>
        </w:r>
      </w:hyperlink>
    </w:p>
    <w:p w14:paraId="167556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Feil, D., Razani, J., Boone, K., &amp; Lesser, I. (2003). Apathy and cognitive performance in older adults with depression.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(6), 479–485. </w:t>
      </w:r>
      <w:hyperlink r:id="rId1767" w:history="1">
        <w:r w:rsidRPr="00600FC7">
          <w:rPr>
            <w:rFonts w:ascii="Times New Roman" w:eastAsia="Times New Roman" w:hAnsi="Times New Roman" w:cs="Times New Roman"/>
            <w:color w:val="0000FF"/>
            <w:sz w:val="24"/>
            <w:szCs w:val="24"/>
            <w:u w:val="single"/>
          </w:rPr>
          <w:t>https://doi.org/10.1002/gps.869</w:t>
        </w:r>
      </w:hyperlink>
    </w:p>
    <w:p w14:paraId="2E7C08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Feis, R. A., van der Grond, J., Bouts, M. J. R. J., Panman, J. L., Poos, J. M., Schouten, T. M., de Vos, F., Jiskoot, L. C., Dopper, E. G. P., van Buchem, M. A., van Swieten, J. C., &amp; Rombouts, S. A. R. B. (2020). Classification using fractional anisotropy predicts conversion in genetic frontotemporal dementia, a proof of concept. </w:t>
      </w:r>
      <w:r w:rsidRPr="00600FC7">
        <w:rPr>
          <w:rFonts w:ascii="Times New Roman" w:eastAsia="Times New Roman" w:hAnsi="Times New Roman" w:cs="Times New Roman"/>
          <w:i/>
          <w:iCs/>
          <w:sz w:val="24"/>
          <w:szCs w:val="24"/>
        </w:rPr>
        <w:t>Brain Communications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(2). </w:t>
      </w:r>
      <w:hyperlink r:id="rId1768" w:history="1">
        <w:r w:rsidRPr="00600FC7">
          <w:rPr>
            <w:rFonts w:ascii="Times New Roman" w:eastAsia="Times New Roman" w:hAnsi="Times New Roman" w:cs="Times New Roman"/>
            <w:color w:val="0000FF"/>
            <w:sz w:val="24"/>
            <w:szCs w:val="24"/>
            <w:u w:val="single"/>
          </w:rPr>
          <w:t>https://doi.org/10.1093/braincomms/fcaa079</w:t>
        </w:r>
      </w:hyperlink>
    </w:p>
    <w:p w14:paraId="677082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Feizpour, A., Parkington, H. C., &amp; Mansouri, F. A. (2020). Cognitive sex differences in effects of music in Wisconsin Card Sorting Test. </w:t>
      </w:r>
      <w:r w:rsidRPr="00600FC7">
        <w:rPr>
          <w:rFonts w:ascii="Times New Roman" w:eastAsia="Times New Roman" w:hAnsi="Times New Roman" w:cs="Times New Roman"/>
          <w:i/>
          <w:iCs/>
          <w:sz w:val="24"/>
          <w:szCs w:val="24"/>
        </w:rPr>
        <w:t>Psychology of Music</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(2), 252–265. </w:t>
      </w:r>
      <w:hyperlink r:id="rId1769" w:history="1">
        <w:r w:rsidRPr="00600FC7">
          <w:rPr>
            <w:rFonts w:ascii="Times New Roman" w:eastAsia="Times New Roman" w:hAnsi="Times New Roman" w:cs="Times New Roman"/>
            <w:color w:val="0000FF"/>
            <w:sz w:val="24"/>
            <w:szCs w:val="24"/>
            <w:u w:val="single"/>
          </w:rPr>
          <w:t>https://doi.org/10.1177/0305735618795030</w:t>
        </w:r>
      </w:hyperlink>
    </w:p>
    <w:p w14:paraId="623A58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Feldmann, D., Schuepbach, D., von Rickenbach, B., Theodoridou, A., &amp; Hell, D. (2006). Association between two distinct executive tasks in schizophrenia: A functional transcranial Doppler sonography study.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 </w:t>
      </w:r>
      <w:hyperlink r:id="rId1770" w:history="1">
        <w:r w:rsidRPr="00600FC7">
          <w:rPr>
            <w:rFonts w:ascii="Times New Roman" w:eastAsia="Times New Roman" w:hAnsi="Times New Roman" w:cs="Times New Roman"/>
            <w:color w:val="0000FF"/>
            <w:sz w:val="24"/>
            <w:szCs w:val="24"/>
            <w:u w:val="single"/>
          </w:rPr>
          <w:t>https://doi.org/10.1186/1471-244X-6-25</w:t>
        </w:r>
      </w:hyperlink>
    </w:p>
    <w:p w14:paraId="7357C7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Feldstein, S. N., Keller, F. R., Portman, R. E., Durham, R. L., Klebe, K. J., &amp; Davis, H. P. (1999). A comparison of computerized and standard versions of the Wisconsin Card Sorting Test. </w:t>
      </w:r>
      <w:r w:rsidRPr="00600FC7">
        <w:rPr>
          <w:rFonts w:ascii="Times New Roman" w:eastAsia="Times New Roman" w:hAnsi="Times New Roman" w:cs="Times New Roman"/>
          <w:i/>
          <w:iCs/>
          <w:sz w:val="24"/>
          <w:szCs w:val="24"/>
        </w:rPr>
        <w:t>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303–313. </w:t>
      </w:r>
      <w:hyperlink r:id="rId1771" w:history="1">
        <w:r w:rsidRPr="00600FC7">
          <w:rPr>
            <w:rFonts w:ascii="Times New Roman" w:eastAsia="Times New Roman" w:hAnsi="Times New Roman" w:cs="Times New Roman"/>
            <w:color w:val="0000FF"/>
            <w:sz w:val="24"/>
            <w:szCs w:val="24"/>
            <w:u w:val="single"/>
          </w:rPr>
          <w:t>https://doi.org/10.1076/clin.13.3.303.1744</w:t>
        </w:r>
      </w:hyperlink>
    </w:p>
    <w:p w14:paraId="097AE0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Feliciano, L., Horning, S. M., Klebe, K. J., Anderson, S. L., Cornwell, R. E., &amp; Davis, H. P. (2013). Utility of the SLUMS as a cognitive screening tool among a nonveteran sample of </w:t>
      </w:r>
      <w:r w:rsidRPr="00600FC7">
        <w:rPr>
          <w:rFonts w:ascii="Times New Roman" w:eastAsia="Times New Roman" w:hAnsi="Times New Roman" w:cs="Times New Roman"/>
          <w:sz w:val="24"/>
          <w:szCs w:val="24"/>
        </w:rPr>
        <w:lastRenderedPageBreak/>
        <w:t xml:space="preserve">older adults.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(7), 623–630. </w:t>
      </w:r>
      <w:hyperlink r:id="rId1772" w:history="1">
        <w:r w:rsidRPr="00600FC7">
          <w:rPr>
            <w:rFonts w:ascii="Times New Roman" w:eastAsia="Times New Roman" w:hAnsi="Times New Roman" w:cs="Times New Roman"/>
            <w:color w:val="0000FF"/>
            <w:sz w:val="24"/>
            <w:szCs w:val="24"/>
            <w:u w:val="single"/>
          </w:rPr>
          <w:t>https://doi.org/10.1016/j.jagp.2013.01.024</w:t>
        </w:r>
      </w:hyperlink>
    </w:p>
    <w:p w14:paraId="4A0D598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Fellows, R. P., Byrd, D. A., Elliott, K., Robinson-Papp, J., Mindt, M. R., &amp; Morgello, S. (2012). Distal sensory polyneuropathy is associated with neuropsychological test performance among persons with HIV.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(5), 898–907. </w:t>
      </w:r>
      <w:hyperlink r:id="rId1773" w:history="1">
        <w:r w:rsidRPr="00600FC7">
          <w:rPr>
            <w:rFonts w:ascii="Times New Roman" w:eastAsia="Times New Roman" w:hAnsi="Times New Roman" w:cs="Times New Roman"/>
            <w:color w:val="0000FF"/>
            <w:sz w:val="24"/>
            <w:szCs w:val="24"/>
            <w:u w:val="single"/>
          </w:rPr>
          <w:t>https://doi.org/10.1017/S1355617712000707</w:t>
        </w:r>
      </w:hyperlink>
    </w:p>
    <w:p w14:paraId="7D2F7A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Fellows, R. P., Byrd, D. A., &amp; Morgello, S. (2013). Major depressive disorder, cognitive symptoms, and neuropsychological performance among ethnically diverse HIV+ men and women.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(2), 216–225. </w:t>
      </w:r>
      <w:hyperlink r:id="rId1774" w:history="1">
        <w:r w:rsidRPr="00600FC7">
          <w:rPr>
            <w:rFonts w:ascii="Times New Roman" w:eastAsia="Times New Roman" w:hAnsi="Times New Roman" w:cs="Times New Roman"/>
            <w:color w:val="0000FF"/>
            <w:sz w:val="24"/>
            <w:szCs w:val="24"/>
            <w:u w:val="single"/>
          </w:rPr>
          <w:t>https://doi.org/10.1017/S1355617712001245</w:t>
        </w:r>
      </w:hyperlink>
    </w:p>
    <w:p w14:paraId="217512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Fellows, R. P., Byrd, D. A., &amp; Morgello, S. (2014). Effects of information processing speed on learning, memory, and executive functioning in people living with HIV/AIDS.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(8), 806–817. </w:t>
      </w:r>
      <w:hyperlink r:id="rId1775" w:history="1">
        <w:r w:rsidRPr="00600FC7">
          <w:rPr>
            <w:rFonts w:ascii="Times New Roman" w:eastAsia="Times New Roman" w:hAnsi="Times New Roman" w:cs="Times New Roman"/>
            <w:color w:val="0000FF"/>
            <w:sz w:val="24"/>
            <w:szCs w:val="24"/>
            <w:u w:val="single"/>
          </w:rPr>
          <w:t>https://doi.org/10.1080/13803395.2014.943696</w:t>
        </w:r>
      </w:hyperlink>
    </w:p>
    <w:p w14:paraId="234924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Fenger, M. M., Gade, A., Adams, K. H., Hansen, E. S., Bolwig, T. G., &amp; Knudsen, G. M. (2005). Cognitive deficits in obsessive-compulsive disorder on tests of frontal lobe functions. </w:t>
      </w:r>
      <w:r w:rsidRPr="00600FC7">
        <w:rPr>
          <w:rFonts w:ascii="Times New Roman" w:eastAsia="Times New Roman" w:hAnsi="Times New Roman" w:cs="Times New Roman"/>
          <w:i/>
          <w:iCs/>
          <w:sz w:val="24"/>
          <w:szCs w:val="24"/>
        </w:rPr>
        <w:t>Nordic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(1), 39–44. </w:t>
      </w:r>
      <w:hyperlink r:id="rId1776" w:history="1">
        <w:r w:rsidRPr="00600FC7">
          <w:rPr>
            <w:rFonts w:ascii="Times New Roman" w:eastAsia="Times New Roman" w:hAnsi="Times New Roman" w:cs="Times New Roman"/>
            <w:color w:val="0000FF"/>
            <w:sz w:val="24"/>
            <w:szCs w:val="24"/>
            <w:u w:val="single"/>
          </w:rPr>
          <w:t>https://doi.org/10.1080/08039480510018814</w:t>
        </w:r>
      </w:hyperlink>
    </w:p>
    <w:p w14:paraId="481B24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Ferentinos, P. P., Kontaxakis, V. P., Havaki-Kontaxaki, B. J., Paplos, K. G., Pappa, D. A., &amp; Soldatos, C. R. (2007). Refractory psychosis and prominent cognitive deficits in a patient with mega-cisterna magna.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(2), 561–563. </w:t>
      </w:r>
      <w:hyperlink r:id="rId1777" w:history="1">
        <w:r w:rsidRPr="00600FC7">
          <w:rPr>
            <w:rFonts w:ascii="Times New Roman" w:eastAsia="Times New Roman" w:hAnsi="Times New Roman" w:cs="Times New Roman"/>
            <w:color w:val="0000FF"/>
            <w:sz w:val="24"/>
            <w:szCs w:val="24"/>
            <w:u w:val="single"/>
          </w:rPr>
          <w:t>https://doi.org/10.1016/j.pnpbp.2006.10.013</w:t>
        </w:r>
      </w:hyperlink>
    </w:p>
    <w:p w14:paraId="545981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Ferland, M. B., Ramsay, J., Engeland, C., &amp; O’Hara, P. (1998). Comparison of the performance of normal individuals and survivors of traumatic brain injury on repeat administrations of </w:t>
      </w:r>
      <w:r w:rsidRPr="00600FC7">
        <w:rPr>
          <w:rFonts w:ascii="Times New Roman" w:eastAsia="Times New Roman" w:hAnsi="Times New Roman" w:cs="Times New Roman"/>
          <w:sz w:val="24"/>
          <w:szCs w:val="24"/>
        </w:rPr>
        <w:lastRenderedPageBreak/>
        <w:t xml:space="preserve">the Wisconsin Card Sorting Test.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473–482. </w:t>
      </w:r>
      <w:hyperlink r:id="rId1778" w:history="1">
        <w:r w:rsidRPr="00600FC7">
          <w:rPr>
            <w:rFonts w:ascii="Times New Roman" w:eastAsia="Times New Roman" w:hAnsi="Times New Roman" w:cs="Times New Roman"/>
            <w:color w:val="0000FF"/>
            <w:sz w:val="24"/>
            <w:szCs w:val="24"/>
            <w:u w:val="single"/>
          </w:rPr>
          <w:t>https://doi.org/10.1076/jcen.20.4.473.1475</w:t>
        </w:r>
      </w:hyperlink>
    </w:p>
    <w:p w14:paraId="08C6B78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Ferlazzo, E., Gagliano, A., Calarese, T., Magaudda, A., Striano, P., Cortese, L., Cedro, C., Laguitton, V., Bramanti, P., Carbonaro, M., Albachiara, A., Fragassi, N., Italiano, D., Sessa, E., Coppola, A., &amp; Genton, P. (2009). Neuropsychological findings in patients with Unverricht–Lundborg disease.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(3), 545–549. </w:t>
      </w:r>
      <w:hyperlink r:id="rId1779" w:history="1">
        <w:r w:rsidRPr="00600FC7">
          <w:rPr>
            <w:rFonts w:ascii="Times New Roman" w:eastAsia="Times New Roman" w:hAnsi="Times New Roman" w:cs="Times New Roman"/>
            <w:color w:val="0000FF"/>
            <w:sz w:val="24"/>
            <w:szCs w:val="24"/>
            <w:u w:val="single"/>
          </w:rPr>
          <w:t>https://doi.org/10.1016/j.yebeh.2009.01.001</w:t>
        </w:r>
      </w:hyperlink>
    </w:p>
    <w:p w14:paraId="4A7C28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M. A., Davidson, P. S. R., Glisky, E. L., &amp; Moscovitch, M. (2004). Contribution of Frontal and Temporal Lobe Function to Memory Interference From Divided Attention at Retrieval.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(3), 514–525. </w:t>
      </w:r>
      <w:hyperlink r:id="rId1780" w:history="1">
        <w:r w:rsidRPr="00600FC7">
          <w:rPr>
            <w:rFonts w:ascii="Times New Roman" w:eastAsia="Times New Roman" w:hAnsi="Times New Roman" w:cs="Times New Roman"/>
            <w:color w:val="0000FF"/>
            <w:sz w:val="24"/>
            <w:szCs w:val="24"/>
            <w:u w:val="single"/>
          </w:rPr>
          <w:t>https://doi.org/10.1037/0894-4105.18.3.514</w:t>
        </w:r>
      </w:hyperlink>
    </w:p>
    <w:p w14:paraId="18395A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S. M., Araújo, A. M., Vázquez-Justo, E., Pereira, C., Silva, A., Paul, N., Yubero, R., &amp; Maestú, F. (2018). Effects of aging on memory strategies: A validation of the Portuguese version of the Test of Memory Strategies.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(Suppl 1), 133–151. </w:t>
      </w:r>
      <w:hyperlink r:id="rId1781" w:history="1">
        <w:r w:rsidRPr="00600FC7">
          <w:rPr>
            <w:rFonts w:ascii="Times New Roman" w:eastAsia="Times New Roman" w:hAnsi="Times New Roman" w:cs="Times New Roman"/>
            <w:color w:val="0000FF"/>
            <w:sz w:val="24"/>
            <w:szCs w:val="24"/>
            <w:u w:val="single"/>
          </w:rPr>
          <w:t>https://doi.org/10.1080/13854046.2018.1490456</w:t>
        </w:r>
      </w:hyperlink>
    </w:p>
    <w:p w14:paraId="6B5904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S. M. S. R., &amp; Rodriguez, J. L. S. (2007). Rendmento neuropsicológico en el Test de clasificación de Tarjetas de Wisconsin en una muestra Portuguesa. La importancia de una validación. [Neuropsychological performance in the Wisconsin Card Sorting Test in a Portuguese sample. The importance of a val. </w:t>
      </w:r>
      <w:r w:rsidRPr="00600FC7">
        <w:rPr>
          <w:rFonts w:ascii="Times New Roman" w:eastAsia="Times New Roman" w:hAnsi="Times New Roman" w:cs="Times New Roman"/>
          <w:i/>
          <w:iCs/>
          <w:sz w:val="24"/>
          <w:szCs w:val="24"/>
        </w:rPr>
        <w:t>EduPsykhé: Revista de Psicología y Educación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(2), 199–222.</w:t>
      </w:r>
    </w:p>
    <w:p w14:paraId="50FD59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Fernandes, T. P., Shaqiri, A., Brand, A., Nogueira, R. L., Herzog, M. H., Roinishvili, M., Santos, N. A., &amp; Chkonia, E. (2019). Schizophrenia patients using atypical medication perform better in visual tasks than patients using typical medication.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275</w:t>
      </w:r>
      <w:r w:rsidRPr="00600FC7">
        <w:rPr>
          <w:rFonts w:ascii="Times New Roman" w:eastAsia="Times New Roman" w:hAnsi="Times New Roman" w:cs="Times New Roman"/>
          <w:sz w:val="24"/>
          <w:szCs w:val="24"/>
        </w:rPr>
        <w:t xml:space="preserve">, 31–38. </w:t>
      </w:r>
      <w:hyperlink r:id="rId1782" w:history="1">
        <w:r w:rsidRPr="00600FC7">
          <w:rPr>
            <w:rFonts w:ascii="Times New Roman" w:eastAsia="Times New Roman" w:hAnsi="Times New Roman" w:cs="Times New Roman"/>
            <w:color w:val="0000FF"/>
            <w:sz w:val="24"/>
            <w:szCs w:val="24"/>
            <w:u w:val="single"/>
          </w:rPr>
          <w:t>https://doi.org/10.1016/j.psychres.2019.03.008</w:t>
        </w:r>
      </w:hyperlink>
    </w:p>
    <w:p w14:paraId="224E9B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Fernandes-Lopes, R. M., &amp; de Lima-Argimon, I. I. (2010). Idosos com diabetes mellitus tipo 2 e o desempenho cognitivo no teste Wisconsin de classificação de cartas (WCST). [Elderly people with diabetes mellitus type 2 and cognitive performance in the Wisconsin Card Sorting Test (WCST).]. </w:t>
      </w:r>
      <w:r w:rsidRPr="00600FC7">
        <w:rPr>
          <w:rFonts w:ascii="Times New Roman" w:eastAsia="Times New Roman" w:hAnsi="Times New Roman" w:cs="Times New Roman"/>
          <w:i/>
          <w:iCs/>
          <w:sz w:val="24"/>
          <w:szCs w:val="24"/>
        </w:rPr>
        <w:t>Universitas 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(3), 697–713.</w:t>
      </w:r>
    </w:p>
    <w:p w14:paraId="3CBD8F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 A. L., Ferreres, A., Morlett-Paredes, A., Rivera, D., &amp; Arango-Lasprilla, J. C. (2016). Past, present, and future of neuropsychology in Argentina.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(8), 1154–1178. </w:t>
      </w:r>
      <w:hyperlink r:id="rId1783" w:history="1">
        <w:r w:rsidRPr="00600FC7">
          <w:rPr>
            <w:rFonts w:ascii="Times New Roman" w:eastAsia="Times New Roman" w:hAnsi="Times New Roman" w:cs="Times New Roman"/>
            <w:color w:val="0000FF"/>
            <w:sz w:val="24"/>
            <w:szCs w:val="24"/>
            <w:u w:val="single"/>
          </w:rPr>
          <w:t>https://doi.org/10.1080/13854046.2016.1197313</w:t>
        </w:r>
      </w:hyperlink>
    </w:p>
    <w:p w14:paraId="4F4744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 A., Turrero, A., Zuluaga, P., Gil-Gregorio, P., del Pozo, F., Maestu, F., &amp; Moratti, S. (2013). MEG delta mapping along the healthy aging-Alzheimer’s disease continuum: Diagnostic implications.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(3), 495–507.</w:t>
      </w:r>
    </w:p>
    <w:p w14:paraId="7C1BAE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 T. G., González-Pienda, J. A., Pérez, C. R., García, D. Á., &amp; Pérez, L. Á. (2014). Psychometric characteristics of the BRIEF scale for the assessment of executive functions in Spanish clinical population.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(1), 47–54.</w:t>
      </w:r>
    </w:p>
    <w:p w14:paraId="4CFB9F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Fernández-Andújar, M., Doornink, F., Dacosta-Aguayo, R., Soriano-Raya, J. J., Miralbell, J., Bargalló, N., López-Cancio, E., Pérez de la Ossa, N., Gomis, M., Millán, M., Barrios, M., Cáceres, C., Pera, G., Forés, R., Clemente, I., Dávalos, A., &amp; Mataró, M. (2014). Remote thalamic microstructural abnormalities related to cognitive function in ischemic stroke patients.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(6), 984–996. </w:t>
      </w:r>
      <w:hyperlink r:id="rId1784" w:history="1">
        <w:r w:rsidRPr="00600FC7">
          <w:rPr>
            <w:rFonts w:ascii="Times New Roman" w:eastAsia="Times New Roman" w:hAnsi="Times New Roman" w:cs="Times New Roman"/>
            <w:color w:val="0000FF"/>
            <w:sz w:val="24"/>
            <w:szCs w:val="24"/>
            <w:u w:val="single"/>
          </w:rPr>
          <w:t>https://doi.org/10.1037/neu0000087</w:t>
        </w:r>
      </w:hyperlink>
    </w:p>
    <w:p w14:paraId="6C214E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Fernández-Andújar, M., Soriano-Raya, J. J., Miralbell, J., López-Cancio, E., Cáceres, C., Bargalló, N., Barrios, M., Arenillas, J. F., Toran, P., Alzamora, M., Clemente, I., Dávalos, A., &amp; Mataró, M. (2014). Thalamic diffusion differences related to cognitive function in white matter lesions.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1103–1110. </w:t>
      </w:r>
      <w:hyperlink r:id="rId1785" w:history="1">
        <w:r w:rsidRPr="00600FC7">
          <w:rPr>
            <w:rFonts w:ascii="Times New Roman" w:eastAsia="Times New Roman" w:hAnsi="Times New Roman" w:cs="Times New Roman"/>
            <w:color w:val="0000FF"/>
            <w:sz w:val="24"/>
            <w:szCs w:val="24"/>
            <w:u w:val="single"/>
          </w:rPr>
          <w:t>https://doi.org/10.1016/j.neurobiolaging.2013.10.087</w:t>
        </w:r>
      </w:hyperlink>
    </w:p>
    <w:p w14:paraId="54D52B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Fernandez-Duque, D., &amp; Black, S. E. (2005). Impaired recognition of negative facial emotions in patients with frontotemporal dementia.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(11), 1673–1687. </w:t>
      </w:r>
      <w:hyperlink r:id="rId1786" w:history="1">
        <w:r w:rsidRPr="00600FC7">
          <w:rPr>
            <w:rFonts w:ascii="Times New Roman" w:eastAsia="Times New Roman" w:hAnsi="Times New Roman" w:cs="Times New Roman"/>
            <w:color w:val="0000FF"/>
            <w:sz w:val="24"/>
            <w:szCs w:val="24"/>
            <w:u w:val="single"/>
          </w:rPr>
          <w:t>https://doi.org/10.1016/j.neuropsychologia.2005.01.005</w:t>
        </w:r>
      </w:hyperlink>
    </w:p>
    <w:p w14:paraId="10E92AC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Fernandez-Duque, D., &amp; Black, S. E. (2006). Attentional networks in normal aging and Alzheimer’s disease.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(2), 133–143. </w:t>
      </w:r>
      <w:hyperlink r:id="rId1787" w:history="1">
        <w:r w:rsidRPr="00600FC7">
          <w:rPr>
            <w:rFonts w:ascii="Times New Roman" w:eastAsia="Times New Roman" w:hAnsi="Times New Roman" w:cs="Times New Roman"/>
            <w:color w:val="0000FF"/>
            <w:sz w:val="24"/>
            <w:szCs w:val="24"/>
            <w:u w:val="single"/>
          </w:rPr>
          <w:t>https://doi.org/10.1037/0894-4105.20.2.133</w:t>
        </w:r>
      </w:hyperlink>
    </w:p>
    <w:p w14:paraId="5C1A65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Fernandez-Duque, D., Hodges, S. D., Baird, J. A., &amp; Black, S. E. (2010). Empathy in frontotemporal dementia and Alzheimer’s disease.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(3), 289–298. </w:t>
      </w:r>
      <w:hyperlink r:id="rId1788" w:history="1">
        <w:r w:rsidRPr="00600FC7">
          <w:rPr>
            <w:rFonts w:ascii="Times New Roman" w:eastAsia="Times New Roman" w:hAnsi="Times New Roman" w:cs="Times New Roman"/>
            <w:color w:val="0000FF"/>
            <w:sz w:val="24"/>
            <w:szCs w:val="24"/>
            <w:u w:val="single"/>
          </w:rPr>
          <w:t>https://doi.org/10.1080/13803390903002191</w:t>
        </w:r>
      </w:hyperlink>
    </w:p>
    <w:p w14:paraId="7BC76B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Fernández-Linsenbarth, I., Planchuelo-Gómez, Á., Díez, Á., Arjona-Valladares, A., de Luis, R., Martín-Santiago, Ó., Benito-Sánchez, J. A., Pérez-Laureano, Á., González-Parra, D., Montes-Gonzalo, C., Melero-Lerma, R., Morante, S. F., Sanz-Fuentenebro, J., Gómez-Pilar, J., Núñez-Novo, P., &amp; Molina, V. (2021). Neurobiological underpinnings of cognitive subtypes in psychoses: A cross-diagnostic cluster analysis.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229</w:t>
      </w:r>
      <w:r w:rsidRPr="00600FC7">
        <w:rPr>
          <w:rFonts w:ascii="Times New Roman" w:eastAsia="Times New Roman" w:hAnsi="Times New Roman" w:cs="Times New Roman"/>
          <w:sz w:val="24"/>
          <w:szCs w:val="24"/>
        </w:rPr>
        <w:t xml:space="preserve">, 102–111. </w:t>
      </w:r>
      <w:hyperlink r:id="rId1789" w:history="1">
        <w:r w:rsidRPr="00600FC7">
          <w:rPr>
            <w:rFonts w:ascii="Times New Roman" w:eastAsia="Times New Roman" w:hAnsi="Times New Roman" w:cs="Times New Roman"/>
            <w:color w:val="0000FF"/>
            <w:sz w:val="24"/>
            <w:szCs w:val="24"/>
            <w:u w:val="single"/>
          </w:rPr>
          <w:t>https://doi.org/10.1016/j.schres.2020.11.013</w:t>
        </w:r>
      </w:hyperlink>
    </w:p>
    <w:p w14:paraId="2C610C3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Ferraye, M. U., Ardouin, C., Lhommée, E., Fraix, V., Krack, P., Chabardés, S., Seigneuret, E., Benabid, A.-L., Pollak, P., &amp; Debû, B. (2013). Levodopa-resistant freezing of gait and executive dysfunction in Parkinson’s disease. </w:t>
      </w:r>
      <w:r w:rsidRPr="00600FC7">
        <w:rPr>
          <w:rFonts w:ascii="Times New Roman" w:eastAsia="Times New Roman" w:hAnsi="Times New Roman" w:cs="Times New Roman"/>
          <w:i/>
          <w:iCs/>
          <w:sz w:val="24"/>
          <w:szCs w:val="24"/>
        </w:rPr>
        <w:t>European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 xml:space="preserve">(5), 281–288. </w:t>
      </w:r>
      <w:hyperlink r:id="rId1790" w:history="1">
        <w:r w:rsidRPr="00600FC7">
          <w:rPr>
            <w:rFonts w:ascii="Times New Roman" w:eastAsia="Times New Roman" w:hAnsi="Times New Roman" w:cs="Times New Roman"/>
            <w:color w:val="0000FF"/>
            <w:sz w:val="24"/>
            <w:szCs w:val="24"/>
            <w:u w:val="single"/>
          </w:rPr>
          <w:t>https://doi.org/10.1159/000346432</w:t>
        </w:r>
      </w:hyperlink>
    </w:p>
    <w:p w14:paraId="221F31D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Ferrazzoli, D., Ortelli, P., Zivi, I., Cian, V., Urso, E., Ghilardi, M. F., Maestri, R., &amp; Frazzitta, G. (2018). Efficacy of intensive multidisciplinary rehabilitation in Parkinson’s disease: A randomised controlled study.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89</w:t>
      </w:r>
      <w:r w:rsidRPr="00600FC7">
        <w:rPr>
          <w:rFonts w:ascii="Times New Roman" w:eastAsia="Times New Roman" w:hAnsi="Times New Roman" w:cs="Times New Roman"/>
          <w:sz w:val="24"/>
          <w:szCs w:val="24"/>
        </w:rPr>
        <w:t xml:space="preserve">(8), 828–835. </w:t>
      </w:r>
      <w:hyperlink r:id="rId1791" w:history="1">
        <w:r w:rsidRPr="00600FC7">
          <w:rPr>
            <w:rFonts w:ascii="Times New Roman" w:eastAsia="Times New Roman" w:hAnsi="Times New Roman" w:cs="Times New Roman"/>
            <w:color w:val="0000FF"/>
            <w:sz w:val="24"/>
            <w:szCs w:val="24"/>
            <w:u w:val="single"/>
          </w:rPr>
          <w:t>https://doi.org/10.1136/jnnp-2017-316437</w:t>
        </w:r>
      </w:hyperlink>
    </w:p>
    <w:p w14:paraId="21C7C8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Ferreira, C. D., de Souza, M. G. D., Fernández-Calvo, B., Machado-de-Sousa, J. P., Cecilio Hallak, J. E., &amp; Torro-Alves, N. (2016). Neurocognitive functions in schizophrenia: A systematic review of the effects of typical and atypical antipsychotic drugs.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(1), 12–31. </w:t>
      </w:r>
      <w:hyperlink r:id="rId1792" w:history="1">
        <w:r w:rsidRPr="00600FC7">
          <w:rPr>
            <w:rFonts w:ascii="Times New Roman" w:eastAsia="Times New Roman" w:hAnsi="Times New Roman" w:cs="Times New Roman"/>
            <w:color w:val="0000FF"/>
            <w:sz w:val="24"/>
            <w:szCs w:val="24"/>
            <w:u w:val="single"/>
          </w:rPr>
          <w:t>https://doi.org/10.1037/pne0000045</w:t>
        </w:r>
      </w:hyperlink>
    </w:p>
    <w:p w14:paraId="087681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D., Molina, Y., Machado, A., Westman, E., Wahlund, L.-O., Nieto, A., Correia, R., Junqué, C., Díaz-Flores, L., &amp; Barroso, J. (2014). Cognitive decline is mediated by gray matter changes during middle age.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1086–1094. </w:t>
      </w:r>
      <w:hyperlink r:id="rId1793" w:history="1">
        <w:r w:rsidRPr="00600FC7">
          <w:rPr>
            <w:rFonts w:ascii="Times New Roman" w:eastAsia="Times New Roman" w:hAnsi="Times New Roman" w:cs="Times New Roman"/>
            <w:color w:val="0000FF"/>
            <w:sz w:val="24"/>
            <w:szCs w:val="24"/>
            <w:u w:val="single"/>
          </w:rPr>
          <w:t>https://doi.org/10.1016/j.neurobiolaging.2013.10.095</w:t>
        </w:r>
      </w:hyperlink>
    </w:p>
    <w:p w14:paraId="455210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Frota, N. A., Pinto, L. F., Porto, C. S., de Aguia, P. H. P., Martins Castro, L. H., &amp; Caramelli, P. (2007). Visual agnosia and prosopagnosia secondary to melanoma metastases: Case report. </w:t>
      </w:r>
      <w:r w:rsidRPr="00600FC7">
        <w:rPr>
          <w:rFonts w:ascii="Times New Roman" w:eastAsia="Times New Roman" w:hAnsi="Times New Roman" w:cs="Times New Roman"/>
          <w:i/>
          <w:iCs/>
          <w:sz w:val="24"/>
          <w:szCs w:val="24"/>
        </w:rPr>
        <w:t>Dementia &amp; 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w:t>
      </w:r>
      <w:r w:rsidRPr="00600FC7">
        <w:rPr>
          <w:rFonts w:ascii="Times New Roman" w:eastAsia="Times New Roman" w:hAnsi="Times New Roman" w:cs="Times New Roman"/>
          <w:sz w:val="24"/>
          <w:szCs w:val="24"/>
        </w:rPr>
        <w:t xml:space="preserve">(1), 104–107. </w:t>
      </w:r>
      <w:hyperlink r:id="rId1794" w:history="1">
        <w:r w:rsidRPr="00600FC7">
          <w:rPr>
            <w:rFonts w:ascii="Times New Roman" w:eastAsia="Times New Roman" w:hAnsi="Times New Roman" w:cs="Times New Roman"/>
            <w:color w:val="0000FF"/>
            <w:sz w:val="24"/>
            <w:szCs w:val="24"/>
            <w:u w:val="single"/>
          </w:rPr>
          <w:t>https://doi.org/10.1590/S1980-57642008DN10100016</w:t>
        </w:r>
      </w:hyperlink>
    </w:p>
    <w:p w14:paraId="785FDA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I. S., &amp; Simões, M. R. (2009). Avaliação neuropsicológica de condutores idosos: Relações entre resultados em testes cognitivos, desempenho de condução automóvel eacidentes. [Neuropsychological assessment of older drivers: Relationships between results on cognitive tests, driving perfor. </w:t>
      </w:r>
      <w:r w:rsidRPr="00600FC7">
        <w:rPr>
          <w:rFonts w:ascii="Times New Roman" w:eastAsia="Times New Roman" w:hAnsi="Times New Roman" w:cs="Times New Roman"/>
          <w:i/>
          <w:iCs/>
          <w:sz w:val="24"/>
          <w:szCs w:val="24"/>
        </w:rPr>
        <w:t>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 227–249. </w:t>
      </w:r>
      <w:hyperlink r:id="rId1795" w:history="1">
        <w:r w:rsidRPr="00600FC7">
          <w:rPr>
            <w:rFonts w:ascii="Times New Roman" w:eastAsia="Times New Roman" w:hAnsi="Times New Roman" w:cs="Times New Roman"/>
            <w:color w:val="0000FF"/>
            <w:sz w:val="24"/>
            <w:szCs w:val="24"/>
            <w:u w:val="single"/>
          </w:rPr>
          <w:t>https://doi.org/10.14195/1647-8606_51_14</w:t>
        </w:r>
      </w:hyperlink>
    </w:p>
    <w:p w14:paraId="105E312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Ferreira, L. K., Regina, A. C. B., Kovacevic, N., Martin, M. da G. M., Santos, P. P., Carneiro, C. de G., Kerr, D. S., Amaro, E., McIntosh, A. R., &amp; Busatto, G. F. (2016). Aging effects on whole-brain functional connectivity in adults free of cognitive and psychiatric disorders.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(9), 3851–3865. </w:t>
      </w:r>
      <w:hyperlink r:id="rId1796" w:history="1">
        <w:r w:rsidRPr="00600FC7">
          <w:rPr>
            <w:rFonts w:ascii="Times New Roman" w:eastAsia="Times New Roman" w:hAnsi="Times New Roman" w:cs="Times New Roman"/>
            <w:color w:val="0000FF"/>
            <w:sz w:val="24"/>
            <w:szCs w:val="24"/>
            <w:u w:val="single"/>
          </w:rPr>
          <w:t>https://doi.org/10.1093/cercor/bhv190</w:t>
        </w:r>
      </w:hyperlink>
    </w:p>
    <w:p w14:paraId="08907F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Ferreira, M. G. R., Moro, C. H. C., &amp; Franco, S. C. (2015). Cognitive performance after ischaemic stroke. </w:t>
      </w:r>
      <w:r w:rsidRPr="00600FC7">
        <w:rPr>
          <w:rFonts w:ascii="Times New Roman" w:eastAsia="Times New Roman" w:hAnsi="Times New Roman" w:cs="Times New Roman"/>
          <w:i/>
          <w:iCs/>
          <w:sz w:val="24"/>
          <w:szCs w:val="24"/>
        </w:rPr>
        <w:t>Dementia &amp; 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165–175. </w:t>
      </w:r>
      <w:hyperlink r:id="rId1797" w:history="1">
        <w:r w:rsidRPr="00600FC7">
          <w:rPr>
            <w:rFonts w:ascii="Times New Roman" w:eastAsia="Times New Roman" w:hAnsi="Times New Roman" w:cs="Times New Roman"/>
            <w:color w:val="0000FF"/>
            <w:sz w:val="24"/>
            <w:szCs w:val="24"/>
            <w:u w:val="single"/>
          </w:rPr>
          <w:t>https://doi.org/10.1590/1980-57642015DN92000011</w:t>
        </w:r>
      </w:hyperlink>
    </w:p>
    <w:p w14:paraId="2A7C405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Ferreiro-Vilasante, M.-C., Buceta-Cancela, M.-J., &amp; Rial-Boubeta, A. (2013). Comparación de la flexibilidad cognitiva en el TDAH y la dislexia. [Comparison of cognitive flexibility in ADHD and dyslexia.]. </w:t>
      </w:r>
      <w:r w:rsidRPr="00600FC7">
        <w:rPr>
          <w:rFonts w:ascii="Times New Roman" w:eastAsia="Times New Roman" w:hAnsi="Times New Roman" w:cs="Times New Roman"/>
          <w:i/>
          <w:iCs/>
          <w:sz w:val="24"/>
          <w:szCs w:val="24"/>
        </w:rPr>
        <w:t>Infancia y Aprendizaje: Journal for the Study of Education and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(1), 105–117. </w:t>
      </w:r>
      <w:hyperlink r:id="rId1798" w:history="1">
        <w:r w:rsidRPr="00600FC7">
          <w:rPr>
            <w:rFonts w:ascii="Times New Roman" w:eastAsia="Times New Roman" w:hAnsi="Times New Roman" w:cs="Times New Roman"/>
            <w:color w:val="0000FF"/>
            <w:sz w:val="24"/>
            <w:szCs w:val="24"/>
            <w:u w:val="single"/>
          </w:rPr>
          <w:t>https://doi.org/10.1174/021037013804826500</w:t>
        </w:r>
      </w:hyperlink>
    </w:p>
    <w:p w14:paraId="7BBE0E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Ferreri, L., Bigand, E., Perrey, S., &amp; Bugaiska, A. (2014). The promise of Near-Infrared Spectroscopy (NIRS) for psychological research: A brief review. </w:t>
      </w:r>
      <w:r w:rsidRPr="00600FC7">
        <w:rPr>
          <w:rFonts w:ascii="Times New Roman" w:eastAsia="Times New Roman" w:hAnsi="Times New Roman" w:cs="Times New Roman"/>
          <w:i/>
          <w:iCs/>
          <w:sz w:val="24"/>
          <w:szCs w:val="24"/>
        </w:rPr>
        <w:t>L’Année Psychologique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114</w:t>
      </w:r>
      <w:r w:rsidRPr="00600FC7">
        <w:rPr>
          <w:rFonts w:ascii="Times New Roman" w:eastAsia="Times New Roman" w:hAnsi="Times New Roman" w:cs="Times New Roman"/>
          <w:sz w:val="24"/>
          <w:szCs w:val="24"/>
        </w:rPr>
        <w:t xml:space="preserve">(3), 537–569. </w:t>
      </w:r>
      <w:hyperlink r:id="rId1799" w:history="1">
        <w:r w:rsidRPr="00600FC7">
          <w:rPr>
            <w:rFonts w:ascii="Times New Roman" w:eastAsia="Times New Roman" w:hAnsi="Times New Roman" w:cs="Times New Roman"/>
            <w:color w:val="0000FF"/>
            <w:sz w:val="24"/>
            <w:szCs w:val="24"/>
            <w:u w:val="single"/>
          </w:rPr>
          <w:t>https://doi.org/10.4074/S0003503314003054</w:t>
        </w:r>
      </w:hyperlink>
    </w:p>
    <w:p w14:paraId="4541C8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Fertuck, E. A., Keilp, J., Song, I., Morris, M. C., Wilson, S. T., Brodsky, B. S., &amp; Stanley, B. (2011). Higher executive control and visual memory performance predict treatment completion in borderline personality disorder. </w:t>
      </w:r>
      <w:r w:rsidRPr="00600FC7">
        <w:rPr>
          <w:rFonts w:ascii="Times New Roman" w:eastAsia="Times New Roman" w:hAnsi="Times New Roman" w:cs="Times New Roman"/>
          <w:i/>
          <w:iCs/>
          <w:sz w:val="24"/>
          <w:szCs w:val="24"/>
        </w:rPr>
        <w:t>Psychotherapy and Psychosomatics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81</w:t>
      </w:r>
      <w:r w:rsidRPr="00600FC7">
        <w:rPr>
          <w:rFonts w:ascii="Times New Roman" w:eastAsia="Times New Roman" w:hAnsi="Times New Roman" w:cs="Times New Roman"/>
          <w:sz w:val="24"/>
          <w:szCs w:val="24"/>
        </w:rPr>
        <w:t xml:space="preserve">(1), 38–43. </w:t>
      </w:r>
      <w:hyperlink r:id="rId1800" w:history="1">
        <w:r w:rsidRPr="00600FC7">
          <w:rPr>
            <w:rFonts w:ascii="Times New Roman" w:eastAsia="Times New Roman" w:hAnsi="Times New Roman" w:cs="Times New Roman"/>
            <w:color w:val="0000FF"/>
            <w:sz w:val="24"/>
            <w:szCs w:val="24"/>
            <w:u w:val="single"/>
          </w:rPr>
          <w:t>https://doi.org/10.1159/000329700</w:t>
        </w:r>
      </w:hyperlink>
    </w:p>
    <w:p w14:paraId="07AC88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Fertuck, E. A., Lenzenweger, M. F., &amp; Clarkin, J. F. (2005). The Association between Attentional and Executive Controls in the Expression of Borderline Personality Disorder Features: A Preliminary Study.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75–81. </w:t>
      </w:r>
      <w:hyperlink r:id="rId1801" w:history="1">
        <w:r w:rsidRPr="00600FC7">
          <w:rPr>
            <w:rFonts w:ascii="Times New Roman" w:eastAsia="Times New Roman" w:hAnsi="Times New Roman" w:cs="Times New Roman"/>
            <w:color w:val="0000FF"/>
            <w:sz w:val="24"/>
            <w:szCs w:val="24"/>
            <w:u w:val="single"/>
          </w:rPr>
          <w:t>https://doi.org/10.1159/000084814</w:t>
        </w:r>
      </w:hyperlink>
    </w:p>
    <w:p w14:paraId="00F519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Fertuck, E. A., Marsano-Jozefowicz, S., Stanley, B., Tryon, W. W., Oquendo, M., Mann, J. J., &amp; Keilp, J. G. (2006). The Impact of Borderline Personality Disorder and Anxiety on Neuropsychological Performance in Major Depression. </w:t>
      </w:r>
      <w:r w:rsidRPr="00600FC7">
        <w:rPr>
          <w:rFonts w:ascii="Times New Roman" w:eastAsia="Times New Roman" w:hAnsi="Times New Roman" w:cs="Times New Roman"/>
          <w:i/>
          <w:iCs/>
          <w:sz w:val="24"/>
          <w:szCs w:val="24"/>
        </w:rPr>
        <w:t>Journal of Personality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55–70. </w:t>
      </w:r>
      <w:hyperlink r:id="rId1802" w:history="1">
        <w:r w:rsidRPr="00600FC7">
          <w:rPr>
            <w:rFonts w:ascii="Times New Roman" w:eastAsia="Times New Roman" w:hAnsi="Times New Roman" w:cs="Times New Roman"/>
            <w:color w:val="0000FF"/>
            <w:sz w:val="24"/>
            <w:szCs w:val="24"/>
            <w:u w:val="single"/>
          </w:rPr>
          <w:t>https://doi.org/10.1521/pedi.2006.20.1.55</w:t>
        </w:r>
      </w:hyperlink>
    </w:p>
    <w:p w14:paraId="55D110A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Fervaha, G., Agid, O., Foussias, G., Siddiqui, I., Takeuchi, H., &amp; Remington, G. (2016). Neurocognitive impairment in the deficit subtype of schizophrenia.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266</w:t>
      </w:r>
      <w:r w:rsidRPr="00600FC7">
        <w:rPr>
          <w:rFonts w:ascii="Times New Roman" w:eastAsia="Times New Roman" w:hAnsi="Times New Roman" w:cs="Times New Roman"/>
          <w:sz w:val="24"/>
          <w:szCs w:val="24"/>
        </w:rPr>
        <w:t xml:space="preserve">(5), 397–407. </w:t>
      </w:r>
      <w:hyperlink r:id="rId1803" w:history="1">
        <w:r w:rsidRPr="00600FC7">
          <w:rPr>
            <w:rFonts w:ascii="Times New Roman" w:eastAsia="Times New Roman" w:hAnsi="Times New Roman" w:cs="Times New Roman"/>
            <w:color w:val="0000FF"/>
            <w:sz w:val="24"/>
            <w:szCs w:val="24"/>
            <w:u w:val="single"/>
          </w:rPr>
          <w:t>https://doi.org/10.1007/s00406-015-0629-6</w:t>
        </w:r>
      </w:hyperlink>
    </w:p>
    <w:p w14:paraId="50799D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Fervaha, G., Agid, O., Takeuchi, H., Lee, J., Foussias, G., Zakzanis, K. K., Graff-Guerrero, A., &amp; Remington, G. (2015). Extrapyramidal symptoms and cognitive test performance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161</w:t>
      </w:r>
      <w:r w:rsidRPr="00600FC7">
        <w:rPr>
          <w:rFonts w:ascii="Times New Roman" w:eastAsia="Times New Roman" w:hAnsi="Times New Roman" w:cs="Times New Roman"/>
          <w:sz w:val="24"/>
          <w:szCs w:val="24"/>
        </w:rPr>
        <w:t xml:space="preserve">(2–3), 351–356. </w:t>
      </w:r>
      <w:hyperlink r:id="rId1804" w:history="1">
        <w:r w:rsidRPr="00600FC7">
          <w:rPr>
            <w:rFonts w:ascii="Times New Roman" w:eastAsia="Times New Roman" w:hAnsi="Times New Roman" w:cs="Times New Roman"/>
            <w:color w:val="0000FF"/>
            <w:sz w:val="24"/>
            <w:szCs w:val="24"/>
            <w:u w:val="single"/>
          </w:rPr>
          <w:t>https://doi.org/10.1016/j.schres.2014.11.018</w:t>
        </w:r>
      </w:hyperlink>
    </w:p>
    <w:p w14:paraId="64AD8E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Fervaha, G., Zakzanis, K. K., Foussias, G., Graff-Guerrero, A., Agid, O., &amp; Remington, G. (2014). Motivational deficits and cognitive test performance in schizophrenia. </w:t>
      </w:r>
      <w:r w:rsidRPr="00600FC7">
        <w:rPr>
          <w:rFonts w:ascii="Times New Roman" w:eastAsia="Times New Roman" w:hAnsi="Times New Roman" w:cs="Times New Roman"/>
          <w:i/>
          <w:iCs/>
          <w:sz w:val="24"/>
          <w:szCs w:val="24"/>
        </w:rPr>
        <w:t>JAMA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71</w:t>
      </w:r>
      <w:r w:rsidRPr="00600FC7">
        <w:rPr>
          <w:rFonts w:ascii="Times New Roman" w:eastAsia="Times New Roman" w:hAnsi="Times New Roman" w:cs="Times New Roman"/>
          <w:sz w:val="24"/>
          <w:szCs w:val="24"/>
        </w:rPr>
        <w:t xml:space="preserve">(9), 1058–1065. </w:t>
      </w:r>
      <w:hyperlink r:id="rId1805" w:history="1">
        <w:r w:rsidRPr="00600FC7">
          <w:rPr>
            <w:rFonts w:ascii="Times New Roman" w:eastAsia="Times New Roman" w:hAnsi="Times New Roman" w:cs="Times New Roman"/>
            <w:color w:val="0000FF"/>
            <w:sz w:val="24"/>
            <w:szCs w:val="24"/>
            <w:u w:val="single"/>
          </w:rPr>
          <w:t>https://doi.org/10.1001/jamapsychiatry.2014.1105</w:t>
        </w:r>
      </w:hyperlink>
    </w:p>
    <w:p w14:paraId="7141B8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Festinger, D. S., Ratanadilok, K., Marlowe, D. B., Dugosh, K. L., Patapis, N. S., &amp; DeMatteo, D. S. (2007). Neuropsychological functioning and recall of research consent information among drug court clients. </w:t>
      </w:r>
      <w:r w:rsidRPr="00600FC7">
        <w:rPr>
          <w:rFonts w:ascii="Times New Roman" w:eastAsia="Times New Roman" w:hAnsi="Times New Roman" w:cs="Times New Roman"/>
          <w:i/>
          <w:iCs/>
          <w:sz w:val="24"/>
          <w:szCs w:val="24"/>
        </w:rPr>
        <w:t>Ethics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(2), 163–186. </w:t>
      </w:r>
      <w:hyperlink r:id="rId1806" w:history="1">
        <w:r w:rsidRPr="00600FC7">
          <w:rPr>
            <w:rFonts w:ascii="Times New Roman" w:eastAsia="Times New Roman" w:hAnsi="Times New Roman" w:cs="Times New Roman"/>
            <w:color w:val="0000FF"/>
            <w:sz w:val="24"/>
            <w:szCs w:val="24"/>
            <w:u w:val="single"/>
          </w:rPr>
          <w:t>https://doi.org/10.1080/10508420701378115</w:t>
        </w:r>
      </w:hyperlink>
    </w:p>
    <w:p w14:paraId="015659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Festman, J., &amp; Münte, T. F. (2012). Cognitive control in Russian–German bilinguals.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 </w:t>
      </w:r>
      <w:hyperlink r:id="rId1807" w:history="1">
        <w:r w:rsidRPr="00600FC7">
          <w:rPr>
            <w:rFonts w:ascii="Times New Roman" w:eastAsia="Times New Roman" w:hAnsi="Times New Roman" w:cs="Times New Roman"/>
            <w:color w:val="0000FF"/>
            <w:sz w:val="24"/>
            <w:szCs w:val="24"/>
            <w:u w:val="single"/>
          </w:rPr>
          <w:t>https://doi.org/10.3389/fpsyg.2012.00115</w:t>
        </w:r>
      </w:hyperlink>
    </w:p>
    <w:p w14:paraId="68C6AE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Fields, J. A. (2015). Effects of deep brain stimulation in movement disorders on cognition and behavior. In </w:t>
      </w:r>
      <w:r w:rsidRPr="00600FC7">
        <w:rPr>
          <w:rFonts w:ascii="Times New Roman" w:eastAsia="Times New Roman" w:hAnsi="Times New Roman" w:cs="Times New Roman"/>
          <w:i/>
          <w:iCs/>
          <w:sz w:val="24"/>
          <w:szCs w:val="24"/>
        </w:rPr>
        <w:t>Clinical neuropsychology and cognitive neurology of Parkinson’s disease and other movement disorders.</w:t>
      </w:r>
      <w:r w:rsidRPr="00600FC7">
        <w:rPr>
          <w:rFonts w:ascii="Times New Roman" w:eastAsia="Times New Roman" w:hAnsi="Times New Roman" w:cs="Times New Roman"/>
          <w:sz w:val="24"/>
          <w:szCs w:val="24"/>
        </w:rPr>
        <w:t xml:space="preserve"> (pp. 332–375). Oxford University Press.</w:t>
      </w:r>
    </w:p>
    <w:p w14:paraId="291B87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Filion, D. L., Kelly, K. A., &amp; Hazlett, E. A. (1999). Behavioral analogies of short lead interval startle inhibition. In </w:t>
      </w:r>
      <w:r w:rsidRPr="00600FC7">
        <w:rPr>
          <w:rFonts w:ascii="Times New Roman" w:eastAsia="Times New Roman" w:hAnsi="Times New Roman" w:cs="Times New Roman"/>
          <w:i/>
          <w:iCs/>
          <w:sz w:val="24"/>
          <w:szCs w:val="24"/>
        </w:rPr>
        <w:t xml:space="preserve">Startle modification: Implications for neuroscience, cognitive science, </w:t>
      </w:r>
      <w:r w:rsidRPr="00600FC7">
        <w:rPr>
          <w:rFonts w:ascii="Times New Roman" w:eastAsia="Times New Roman" w:hAnsi="Times New Roman" w:cs="Times New Roman"/>
          <w:i/>
          <w:iCs/>
          <w:sz w:val="24"/>
          <w:szCs w:val="24"/>
        </w:rPr>
        <w:lastRenderedPageBreak/>
        <w:t>and clinical science.</w:t>
      </w:r>
      <w:r w:rsidRPr="00600FC7">
        <w:rPr>
          <w:rFonts w:ascii="Times New Roman" w:eastAsia="Times New Roman" w:hAnsi="Times New Roman" w:cs="Times New Roman"/>
          <w:sz w:val="24"/>
          <w:szCs w:val="24"/>
        </w:rPr>
        <w:t xml:space="preserve"> (pp. 269–283). Cambridge University Press. </w:t>
      </w:r>
      <w:hyperlink r:id="rId1808" w:history="1">
        <w:r w:rsidRPr="00600FC7">
          <w:rPr>
            <w:rFonts w:ascii="Times New Roman" w:eastAsia="Times New Roman" w:hAnsi="Times New Roman" w:cs="Times New Roman"/>
            <w:color w:val="0000FF"/>
            <w:sz w:val="24"/>
            <w:szCs w:val="24"/>
            <w:u w:val="single"/>
          </w:rPr>
          <w:t>https://doi.org/10.1017/CBO9780511665523.015</w:t>
        </w:r>
      </w:hyperlink>
    </w:p>
    <w:p w14:paraId="20196A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Filippetti, V. A., &amp; Allegri, R. F. (2011). Verbal fluency in Spanish-speaking children: Analysis model according to task type, clustering, and switching strategies and performance over time.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(3), 413–436. </w:t>
      </w:r>
      <w:hyperlink r:id="rId1809" w:history="1">
        <w:r w:rsidRPr="00600FC7">
          <w:rPr>
            <w:rFonts w:ascii="Times New Roman" w:eastAsia="Times New Roman" w:hAnsi="Times New Roman" w:cs="Times New Roman"/>
            <w:color w:val="0000FF"/>
            <w:sz w:val="24"/>
            <w:szCs w:val="24"/>
            <w:u w:val="single"/>
          </w:rPr>
          <w:t>https://doi.org/10.1080/13854046.2011.559481</w:t>
        </w:r>
      </w:hyperlink>
    </w:p>
    <w:p w14:paraId="0A11A3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Filippi, M., Tedeschi, G., Pantano, P., De Stefano, N., Zaratin, P., &amp; Rocca, M. A. (2017). The Italian Neuroimaging Network Initiative (INNI): Enabling the use of advanced MRI techniques in patients with MS.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(6), 1029–1038. </w:t>
      </w:r>
      <w:hyperlink r:id="rId1810" w:history="1">
        <w:r w:rsidRPr="00600FC7">
          <w:rPr>
            <w:rFonts w:ascii="Times New Roman" w:eastAsia="Times New Roman" w:hAnsi="Times New Roman" w:cs="Times New Roman"/>
            <w:color w:val="0000FF"/>
            <w:sz w:val="24"/>
            <w:szCs w:val="24"/>
            <w:u w:val="single"/>
          </w:rPr>
          <w:t>https://doi.org/10.1007/s10072-017-2903-z</w:t>
        </w:r>
      </w:hyperlink>
    </w:p>
    <w:p w14:paraId="61BF6C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Filley, C. M., Kleinschmidt-DeMasters, B. K., Lillehei, K. O., Damek, D. M., &amp; Harris, J. G. (2003). Gliomatosis Cerebri: Neurobehavioral and Neuropathological Observations.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(3), 149–159. </w:t>
      </w:r>
      <w:hyperlink r:id="rId1811" w:history="1">
        <w:r w:rsidRPr="00600FC7">
          <w:rPr>
            <w:rFonts w:ascii="Times New Roman" w:eastAsia="Times New Roman" w:hAnsi="Times New Roman" w:cs="Times New Roman"/>
            <w:color w:val="0000FF"/>
            <w:sz w:val="24"/>
            <w:szCs w:val="24"/>
            <w:u w:val="single"/>
          </w:rPr>
          <w:t>https://doi.org/10.1097/00146965-200309000-00002</w:t>
        </w:r>
      </w:hyperlink>
    </w:p>
    <w:p w14:paraId="07BBAE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Filley, C. M., Young, D. A., Reardon, M. S., &amp; Wilkening, G. N. (1999). Frontal lobe lesions and executive dysfunction in children. </w:t>
      </w:r>
      <w:r w:rsidRPr="00600FC7">
        <w:rPr>
          <w:rFonts w:ascii="Times New Roman" w:eastAsia="Times New Roman" w:hAnsi="Times New Roman" w:cs="Times New Roman"/>
          <w:i/>
          <w:iCs/>
          <w:sz w:val="24"/>
          <w:szCs w:val="24"/>
        </w:rPr>
        <w:t>Neuropsychiatry, Neuropsychology, &amp;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(3), 156–160.</w:t>
      </w:r>
    </w:p>
    <w:p w14:paraId="46274F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Fillingham, J. K., Sage, K., &amp; Ralph, M. A. L. (2005). Treatment of anomia using errorless versus errorful learning: Are frontal executive skills and feedback important? </w:t>
      </w:r>
      <w:r w:rsidRPr="00600FC7">
        <w:rPr>
          <w:rFonts w:ascii="Times New Roman" w:eastAsia="Times New Roman" w:hAnsi="Times New Roman" w:cs="Times New Roman"/>
          <w:i/>
          <w:iCs/>
          <w:sz w:val="24"/>
          <w:szCs w:val="24"/>
        </w:rPr>
        <w:t>International Journal of Language &amp; Communication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(4), 505–523. </w:t>
      </w:r>
      <w:hyperlink r:id="rId1812" w:history="1">
        <w:r w:rsidRPr="00600FC7">
          <w:rPr>
            <w:rFonts w:ascii="Times New Roman" w:eastAsia="Times New Roman" w:hAnsi="Times New Roman" w:cs="Times New Roman"/>
            <w:color w:val="0000FF"/>
            <w:sz w:val="24"/>
            <w:szCs w:val="24"/>
            <w:u w:val="single"/>
          </w:rPr>
          <w:t>https://doi.org/10.1080/13682820500138572</w:t>
        </w:r>
      </w:hyperlink>
    </w:p>
    <w:p w14:paraId="6D1343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Filoteo, J. V., Maddox, W. T., Ing, A. D., Zizak, V., &amp; Song, D. D. (2005). The impact of irrelevant dimensional variation on rule-based category learning in patients with Parkinson’s </w:t>
      </w:r>
      <w:r w:rsidRPr="00600FC7">
        <w:rPr>
          <w:rFonts w:ascii="Times New Roman" w:eastAsia="Times New Roman" w:hAnsi="Times New Roman" w:cs="Times New Roman"/>
          <w:sz w:val="24"/>
          <w:szCs w:val="24"/>
        </w:rPr>
        <w:lastRenderedPageBreak/>
        <w:t xml:space="preserve">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(5), 503–513. </w:t>
      </w:r>
      <w:hyperlink r:id="rId1813" w:history="1">
        <w:r w:rsidRPr="00600FC7">
          <w:rPr>
            <w:rFonts w:ascii="Times New Roman" w:eastAsia="Times New Roman" w:hAnsi="Times New Roman" w:cs="Times New Roman"/>
            <w:color w:val="0000FF"/>
            <w:sz w:val="24"/>
            <w:szCs w:val="24"/>
            <w:u w:val="single"/>
          </w:rPr>
          <w:t>https://doi.org/10.1017/S1355617705050617</w:t>
        </w:r>
      </w:hyperlink>
    </w:p>
    <w:p w14:paraId="16FF83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Filoteo, J. V., Maddox, W. T., Salmon, D. P., &amp; Song, D. D. (2007). Implicit category learning performance predicts rate of cognitive decline in nondemented patients with Parkinson’s disease.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(2), 183–192. </w:t>
      </w:r>
      <w:hyperlink r:id="rId1814" w:history="1">
        <w:r w:rsidRPr="00600FC7">
          <w:rPr>
            <w:rFonts w:ascii="Times New Roman" w:eastAsia="Times New Roman" w:hAnsi="Times New Roman" w:cs="Times New Roman"/>
            <w:color w:val="0000FF"/>
            <w:sz w:val="24"/>
            <w:szCs w:val="24"/>
            <w:u w:val="single"/>
          </w:rPr>
          <w:t>https://doi.org/10.1037/0894-4105.21.2.183</w:t>
        </w:r>
      </w:hyperlink>
    </w:p>
    <w:p w14:paraId="6373909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Finke, M., Escera, C., &amp; Barceló, F. (2012). The effects of foreknowledge and task-set shifting as mirrored in cue- and target-locked event-related potentials.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(11). </w:t>
      </w:r>
      <w:hyperlink r:id="rId1815" w:history="1">
        <w:r w:rsidRPr="00600FC7">
          <w:rPr>
            <w:rFonts w:ascii="Times New Roman" w:eastAsia="Times New Roman" w:hAnsi="Times New Roman" w:cs="Times New Roman"/>
            <w:color w:val="0000FF"/>
            <w:sz w:val="24"/>
            <w:szCs w:val="24"/>
            <w:u w:val="single"/>
          </w:rPr>
          <w:t>https://doi.org/10.1371/journal.pone.0049486</w:t>
        </w:r>
      </w:hyperlink>
    </w:p>
    <w:p w14:paraId="637E53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Finn, P. R., &amp; Hall, J. (2004). Cognitive Ability and Risk for Alcoholism: Short-Term Memory Capacity and Intelligence Moderate Personality Risk for Alcohol Problems.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113</w:t>
      </w:r>
      <w:r w:rsidRPr="00600FC7">
        <w:rPr>
          <w:rFonts w:ascii="Times New Roman" w:eastAsia="Times New Roman" w:hAnsi="Times New Roman" w:cs="Times New Roman"/>
          <w:sz w:val="24"/>
          <w:szCs w:val="24"/>
        </w:rPr>
        <w:t xml:space="preserve">(4), 569–581. </w:t>
      </w:r>
      <w:hyperlink r:id="rId1816" w:history="1">
        <w:r w:rsidRPr="00600FC7">
          <w:rPr>
            <w:rFonts w:ascii="Times New Roman" w:eastAsia="Times New Roman" w:hAnsi="Times New Roman" w:cs="Times New Roman"/>
            <w:color w:val="0000FF"/>
            <w:sz w:val="24"/>
            <w:szCs w:val="24"/>
            <w:u w:val="single"/>
          </w:rPr>
          <w:t>https://doi.org/10.1037/0021-843X.113.4.569</w:t>
        </w:r>
      </w:hyperlink>
    </w:p>
    <w:p w14:paraId="0066CD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Finnanger, T. G., Olsen, A., Skandsen, T., Lydersen, S., Vik, A., Evensen, K. A. I., Catroppa, C., Håberg, A. K., Andersson, S., &amp; Indredavik, M. S. (2015). Life after adolescent and adult moderate and severe traumatic brain injury: Self-reported executive, emotional, and behavioural function 2–5 years after injury. </w:t>
      </w:r>
      <w:r w:rsidRPr="00600FC7">
        <w:rPr>
          <w:rFonts w:ascii="Times New Roman" w:eastAsia="Times New Roman" w:hAnsi="Times New Roman" w:cs="Times New Roman"/>
          <w:i/>
          <w:iCs/>
          <w:sz w:val="24"/>
          <w:szCs w:val="24"/>
        </w:rPr>
        <w:t>Behavioural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2015</w:t>
      </w:r>
      <w:r w:rsidRPr="00600FC7">
        <w:rPr>
          <w:rFonts w:ascii="Times New Roman" w:eastAsia="Times New Roman" w:hAnsi="Times New Roman" w:cs="Times New Roman"/>
          <w:sz w:val="24"/>
          <w:szCs w:val="24"/>
        </w:rPr>
        <w:t>.</w:t>
      </w:r>
    </w:p>
    <w:p w14:paraId="02DF7FE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Finsterer, J. (2012). Cognitive dysfunction in mitochondrial disorders.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126</w:t>
      </w:r>
      <w:r w:rsidRPr="00600FC7">
        <w:rPr>
          <w:rFonts w:ascii="Times New Roman" w:eastAsia="Times New Roman" w:hAnsi="Times New Roman" w:cs="Times New Roman"/>
          <w:sz w:val="24"/>
          <w:szCs w:val="24"/>
        </w:rPr>
        <w:t xml:space="preserve">(1), 1–11. </w:t>
      </w:r>
      <w:hyperlink r:id="rId1817" w:history="1">
        <w:r w:rsidRPr="00600FC7">
          <w:rPr>
            <w:rFonts w:ascii="Times New Roman" w:eastAsia="Times New Roman" w:hAnsi="Times New Roman" w:cs="Times New Roman"/>
            <w:color w:val="0000FF"/>
            <w:sz w:val="24"/>
            <w:szCs w:val="24"/>
            <w:u w:val="single"/>
          </w:rPr>
          <w:t>https://doi.org/10.1111/j.1600-0404.2012.01649.x</w:t>
        </w:r>
      </w:hyperlink>
    </w:p>
    <w:p w14:paraId="533BAF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Fioravanti, M., Bianchi, V., &amp; Cinti, M. E. (2012). Cognitive deficits in schizophrenia: An updated metanalysis of the scientific evidence.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w:t>
      </w:r>
    </w:p>
    <w:p w14:paraId="33D006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Fioravanti, M., Carlone, O., Vitale, B., Cinti, M. E., &amp; Clare, L. (2005). A meta-analysis of cognitive deficits in adults with a diagnosis of schizophrenia. </w:t>
      </w:r>
      <w:r w:rsidRPr="00600FC7">
        <w:rPr>
          <w:rFonts w:ascii="Times New Roman" w:eastAsia="Times New Roman" w:hAnsi="Times New Roman" w:cs="Times New Roman"/>
          <w:i/>
          <w:iCs/>
          <w:sz w:val="24"/>
          <w:szCs w:val="24"/>
        </w:rPr>
        <w:t>Neuropsychology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(2), 73–95. </w:t>
      </w:r>
      <w:hyperlink r:id="rId1818" w:history="1">
        <w:r w:rsidRPr="00600FC7">
          <w:rPr>
            <w:rFonts w:ascii="Times New Roman" w:eastAsia="Times New Roman" w:hAnsi="Times New Roman" w:cs="Times New Roman"/>
            <w:color w:val="0000FF"/>
            <w:sz w:val="24"/>
            <w:szCs w:val="24"/>
            <w:u w:val="single"/>
          </w:rPr>
          <w:t>https://doi.org/10.1007/s11065-005-6254-9</w:t>
        </w:r>
      </w:hyperlink>
    </w:p>
    <w:p w14:paraId="4E9789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Fischer, C. E., Ismail, Z., &amp; Schweizer, T. A. (2012). Delusions increase functional impairment in Alzheimer’s disease. </w:t>
      </w:r>
      <w:r w:rsidRPr="00600FC7">
        <w:rPr>
          <w:rFonts w:ascii="Times New Roman" w:eastAsia="Times New Roman" w:hAnsi="Times New Roman" w:cs="Times New Roman"/>
          <w:i/>
          <w:iCs/>
          <w:sz w:val="24"/>
          <w:szCs w:val="24"/>
        </w:rPr>
        <w:t>Dementia and Geriatric Cognitive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(6), 393–399. </w:t>
      </w:r>
      <w:hyperlink r:id="rId1819" w:history="1">
        <w:r w:rsidRPr="00600FC7">
          <w:rPr>
            <w:rFonts w:ascii="Times New Roman" w:eastAsia="Times New Roman" w:hAnsi="Times New Roman" w:cs="Times New Roman"/>
            <w:color w:val="0000FF"/>
            <w:sz w:val="24"/>
            <w:szCs w:val="24"/>
            <w:u w:val="single"/>
          </w:rPr>
          <w:t>https://doi.org/10.1159/000339954</w:t>
        </w:r>
      </w:hyperlink>
    </w:p>
    <w:p w14:paraId="2678D0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Fischer, M. W., Dimaggio, G., Hochheiser, J., Vohs, J. L., Phalen, P., &amp; Lysaker, P. H. (2020). Metacognitive capacity is related to self-reported social functioning and may moderate the effects of symptoms on interpersonal behavior.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208</w:t>
      </w:r>
      <w:r w:rsidRPr="00600FC7">
        <w:rPr>
          <w:rFonts w:ascii="Times New Roman" w:eastAsia="Times New Roman" w:hAnsi="Times New Roman" w:cs="Times New Roman"/>
          <w:sz w:val="24"/>
          <w:szCs w:val="24"/>
        </w:rPr>
        <w:t>(2), 138–142.</w:t>
      </w:r>
    </w:p>
    <w:p w14:paraId="03DD51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 J., Manly, T., &amp; Wilson, B. A. (2008). Long-term compensatory treatment of organizational deficits in a patient with bilateral frontal lobe damage.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(1), 154–163. </w:t>
      </w:r>
      <w:hyperlink r:id="rId1820" w:history="1">
        <w:r w:rsidRPr="00600FC7">
          <w:rPr>
            <w:rFonts w:ascii="Times New Roman" w:eastAsia="Times New Roman" w:hAnsi="Times New Roman" w:cs="Times New Roman"/>
            <w:color w:val="0000FF"/>
            <w:sz w:val="24"/>
            <w:szCs w:val="24"/>
            <w:u w:val="single"/>
          </w:rPr>
          <w:t>https://doi.org/10.1017/S1355617708080120</w:t>
        </w:r>
      </w:hyperlink>
    </w:p>
    <w:p w14:paraId="5C9248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A., &amp; Kloos, H. (2016). Development of selective sustained attention: The role of executive functions. In </w:t>
      </w:r>
      <w:r w:rsidRPr="00600FC7">
        <w:rPr>
          <w:rFonts w:ascii="Times New Roman" w:eastAsia="Times New Roman" w:hAnsi="Times New Roman" w:cs="Times New Roman"/>
          <w:i/>
          <w:iCs/>
          <w:sz w:val="24"/>
          <w:szCs w:val="24"/>
        </w:rPr>
        <w:t>Executive function in preschool-age children: Integrating measurement, neurodevelopment, and translational research.</w:t>
      </w:r>
      <w:r w:rsidRPr="00600FC7">
        <w:rPr>
          <w:rFonts w:ascii="Times New Roman" w:eastAsia="Times New Roman" w:hAnsi="Times New Roman" w:cs="Times New Roman"/>
          <w:sz w:val="24"/>
          <w:szCs w:val="24"/>
        </w:rPr>
        <w:t xml:space="preserve"> (pp. 215–237). American Psychological Association. </w:t>
      </w:r>
      <w:hyperlink r:id="rId1821" w:history="1">
        <w:r w:rsidRPr="00600FC7">
          <w:rPr>
            <w:rFonts w:ascii="Times New Roman" w:eastAsia="Times New Roman" w:hAnsi="Times New Roman" w:cs="Times New Roman"/>
            <w:color w:val="0000FF"/>
            <w:sz w:val="24"/>
            <w:szCs w:val="24"/>
            <w:u w:val="single"/>
          </w:rPr>
          <w:t>https://doi.org/10.1037/14797-010</w:t>
        </w:r>
      </w:hyperlink>
    </w:p>
    <w:p w14:paraId="72F0CE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A. V. (2011). Processing of perceptual information is more robust than processing of conceptual information in preschool-age children: Evidence from costs of switching. </w:t>
      </w:r>
      <w:r w:rsidRPr="00600FC7">
        <w:rPr>
          <w:rFonts w:ascii="Times New Roman" w:eastAsia="Times New Roman" w:hAnsi="Times New Roman" w:cs="Times New Roman"/>
          <w:i/>
          <w:iCs/>
          <w:sz w:val="24"/>
          <w:szCs w:val="24"/>
        </w:rPr>
        <w:t>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(2), 253–264. </w:t>
      </w:r>
      <w:hyperlink r:id="rId1822" w:history="1">
        <w:r w:rsidRPr="00600FC7">
          <w:rPr>
            <w:rFonts w:ascii="Times New Roman" w:eastAsia="Times New Roman" w:hAnsi="Times New Roman" w:cs="Times New Roman"/>
            <w:color w:val="0000FF"/>
            <w:sz w:val="24"/>
            <w:szCs w:val="24"/>
            <w:u w:val="single"/>
          </w:rPr>
          <w:t>https://doi.org/10.1016/j.cognition.2011.01.015</w:t>
        </w:r>
      </w:hyperlink>
    </w:p>
    <w:p w14:paraId="1B3641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M., McCoy, K., Poole, J. H., &amp; Vinogradov, S. (2008). Self and other in schizophrenia: A cognitive neuroscience perspective.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165</w:t>
      </w:r>
      <w:r w:rsidRPr="00600FC7">
        <w:rPr>
          <w:rFonts w:ascii="Times New Roman" w:eastAsia="Times New Roman" w:hAnsi="Times New Roman" w:cs="Times New Roman"/>
          <w:sz w:val="24"/>
          <w:szCs w:val="24"/>
        </w:rPr>
        <w:t xml:space="preserve">(11), 1465–1472. </w:t>
      </w:r>
      <w:hyperlink r:id="rId1823" w:history="1">
        <w:r w:rsidRPr="00600FC7">
          <w:rPr>
            <w:rFonts w:ascii="Times New Roman" w:eastAsia="Times New Roman" w:hAnsi="Times New Roman" w:cs="Times New Roman"/>
            <w:color w:val="0000FF"/>
            <w:sz w:val="24"/>
            <w:szCs w:val="24"/>
            <w:u w:val="single"/>
          </w:rPr>
          <w:t>https://doi.org/10.1176/appi.ajp.2008.07111806</w:t>
        </w:r>
      </w:hyperlink>
    </w:p>
    <w:p w14:paraId="0B7701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N. J., DeLuca, J. W., &amp; Rourke, B. P. (1997). Wisconsin Card Sorting Test and Halstead Category Test Performances of Children and adolescents who exhibit the syndrome of </w:t>
      </w:r>
      <w:r w:rsidRPr="00600FC7">
        <w:rPr>
          <w:rFonts w:ascii="Times New Roman" w:eastAsia="Times New Roman" w:hAnsi="Times New Roman" w:cs="Times New Roman"/>
          <w:sz w:val="24"/>
          <w:szCs w:val="24"/>
        </w:rPr>
        <w:lastRenderedPageBreak/>
        <w:t xml:space="preserve">nonverbal learning disabilities. </w:t>
      </w:r>
      <w:r w:rsidRPr="00600FC7">
        <w:rPr>
          <w:rFonts w:ascii="Times New Roman" w:eastAsia="Times New Roman" w:hAnsi="Times New Roman" w:cs="Times New Roman"/>
          <w:i/>
          <w:iCs/>
          <w:sz w:val="24"/>
          <w:szCs w:val="24"/>
        </w:rPr>
        <w:t>Child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(1), 61–70. </w:t>
      </w:r>
      <w:hyperlink r:id="rId1824" w:history="1">
        <w:r w:rsidRPr="00600FC7">
          <w:rPr>
            <w:rFonts w:ascii="Times New Roman" w:eastAsia="Times New Roman" w:hAnsi="Times New Roman" w:cs="Times New Roman"/>
            <w:color w:val="0000FF"/>
            <w:sz w:val="24"/>
            <w:szCs w:val="24"/>
            <w:u w:val="single"/>
          </w:rPr>
          <w:t>https://doi.org/10.1080/09297049708401368</w:t>
        </w:r>
      </w:hyperlink>
    </w:p>
    <w:p w14:paraId="6F7E8E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Fisher, T., Shamay-Tsoory, S. G., Eran, A., &amp; Aharon-Peretz, J. (2011). Characterization of recovery and neuropsychological consequences of orbitofrontal lesion: A case study.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(3), 285–293. </w:t>
      </w:r>
      <w:hyperlink r:id="rId1825" w:history="1">
        <w:r w:rsidRPr="00600FC7">
          <w:rPr>
            <w:rFonts w:ascii="Times New Roman" w:eastAsia="Times New Roman" w:hAnsi="Times New Roman" w:cs="Times New Roman"/>
            <w:color w:val="0000FF"/>
            <w:sz w:val="24"/>
            <w:szCs w:val="24"/>
            <w:u w:val="single"/>
          </w:rPr>
          <w:t>https://doi.org/10.1080/13554794.2010.536955</w:t>
        </w:r>
      </w:hyperlink>
    </w:p>
    <w:p w14:paraId="6531D2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Fisk, J. E., Murphy, P. N., Montgomery, C., &amp; Wareing, M. (2011). Comment on Halpern et al. (2011).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106</w:t>
      </w:r>
      <w:r w:rsidRPr="00600FC7">
        <w:rPr>
          <w:rFonts w:ascii="Times New Roman" w:eastAsia="Times New Roman" w:hAnsi="Times New Roman" w:cs="Times New Roman"/>
          <w:sz w:val="24"/>
          <w:szCs w:val="24"/>
        </w:rPr>
        <w:t xml:space="preserve">(7), 1368–1369. </w:t>
      </w:r>
      <w:hyperlink r:id="rId1826" w:history="1">
        <w:r w:rsidRPr="00600FC7">
          <w:rPr>
            <w:rFonts w:ascii="Times New Roman" w:eastAsia="Times New Roman" w:hAnsi="Times New Roman" w:cs="Times New Roman"/>
            <w:color w:val="0000FF"/>
            <w:sz w:val="24"/>
            <w:szCs w:val="24"/>
            <w:u w:val="single"/>
          </w:rPr>
          <w:t>https://doi.org/10.1111/j.1360-0443.2011.03455.x</w:t>
        </w:r>
      </w:hyperlink>
    </w:p>
    <w:p w14:paraId="43697F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Fisk, J. E., &amp; Sharp, C. A. (2004). Age-Related Impairment in Executive Functioning: Updating, Inhibition, Shifting, and Access.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(7), 874–890. </w:t>
      </w:r>
      <w:hyperlink r:id="rId1827" w:history="1">
        <w:r w:rsidRPr="00600FC7">
          <w:rPr>
            <w:rFonts w:ascii="Times New Roman" w:eastAsia="Times New Roman" w:hAnsi="Times New Roman" w:cs="Times New Roman"/>
            <w:color w:val="0000FF"/>
            <w:sz w:val="24"/>
            <w:szCs w:val="24"/>
            <w:u w:val="single"/>
          </w:rPr>
          <w:t>https://doi.org/10.1080/13803390490510680</w:t>
        </w:r>
      </w:hyperlink>
    </w:p>
    <w:p w14:paraId="41556F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Fistikci, N., Canturk, G., Saatcioglu, O., Erten, E., Keyvan, A., &amp; Turan, N. (2014). Executive functions and thyroid volumes in bipolar patients on lithium treatment. </w:t>
      </w:r>
      <w:r w:rsidRPr="00600FC7">
        <w:rPr>
          <w:rFonts w:ascii="Times New Roman" w:eastAsia="Times New Roman" w:hAnsi="Times New Roman" w:cs="Times New Roman"/>
          <w:i/>
          <w:iCs/>
          <w:sz w:val="24"/>
          <w:szCs w:val="24"/>
        </w:rPr>
        <w:t>African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(6), 1–6.</w:t>
      </w:r>
    </w:p>
    <w:p w14:paraId="05A4D5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Choi, J., Bryson, G. J., &amp; Bell, M. D. (2006). Impact of intellectual status on response to cognitive task training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87</w:t>
      </w:r>
      <w:r w:rsidRPr="00600FC7">
        <w:rPr>
          <w:rFonts w:ascii="Times New Roman" w:eastAsia="Times New Roman" w:hAnsi="Times New Roman" w:cs="Times New Roman"/>
          <w:sz w:val="24"/>
          <w:szCs w:val="24"/>
        </w:rPr>
        <w:t xml:space="preserve">(1–3), 261–269. </w:t>
      </w:r>
      <w:hyperlink r:id="rId1828" w:history="1">
        <w:r w:rsidRPr="00600FC7">
          <w:rPr>
            <w:rFonts w:ascii="Times New Roman" w:eastAsia="Times New Roman" w:hAnsi="Times New Roman" w:cs="Times New Roman"/>
            <w:color w:val="0000FF"/>
            <w:sz w:val="24"/>
            <w:szCs w:val="24"/>
            <w:u w:val="single"/>
          </w:rPr>
          <w:t>https://doi.org/10.1016/j.schres.2006.04.011</w:t>
        </w:r>
      </w:hyperlink>
    </w:p>
    <w:p w14:paraId="1FA81D2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Choi, J., Goulet, J., &amp; Bell, M. D. (2008). Temporal relationship between change in cognition and change in functioning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(1–3), 105–113. </w:t>
      </w:r>
      <w:hyperlink r:id="rId1829" w:history="1">
        <w:r w:rsidRPr="00600FC7">
          <w:rPr>
            <w:rFonts w:ascii="Times New Roman" w:eastAsia="Times New Roman" w:hAnsi="Times New Roman" w:cs="Times New Roman"/>
            <w:color w:val="0000FF"/>
            <w:sz w:val="24"/>
            <w:szCs w:val="24"/>
            <w:u w:val="single"/>
          </w:rPr>
          <w:t>https://doi.org/10.1016/j.schres.2008.06.010</w:t>
        </w:r>
      </w:hyperlink>
    </w:p>
    <w:p w14:paraId="0F745B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Choi, K. H., Bell, M. D., Choi, J., &amp; Silverstein, S. M. (2016). Cognitive remediation for individuals with psychosis: Efficacy and mechanisms of treatment effects.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(16), 3275–3289. </w:t>
      </w:r>
      <w:hyperlink r:id="rId1830" w:history="1">
        <w:r w:rsidRPr="00600FC7">
          <w:rPr>
            <w:rFonts w:ascii="Times New Roman" w:eastAsia="Times New Roman" w:hAnsi="Times New Roman" w:cs="Times New Roman"/>
            <w:color w:val="0000FF"/>
            <w:sz w:val="24"/>
            <w:szCs w:val="24"/>
            <w:u w:val="single"/>
          </w:rPr>
          <w:t>https://doi.org/10.1017/S0033291716001951</w:t>
        </w:r>
      </w:hyperlink>
    </w:p>
    <w:p w14:paraId="7DD51C4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Fiszdon, J. M., &amp; Johannesen, J. K. (2010a). Comparison of computational methods for the evaluation of learning potential in schizophrenia.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(4), 613–620. </w:t>
      </w:r>
      <w:hyperlink r:id="rId1831" w:history="1">
        <w:r w:rsidRPr="00600FC7">
          <w:rPr>
            <w:rFonts w:ascii="Times New Roman" w:eastAsia="Times New Roman" w:hAnsi="Times New Roman" w:cs="Times New Roman"/>
            <w:color w:val="0000FF"/>
            <w:sz w:val="24"/>
            <w:szCs w:val="24"/>
            <w:u w:val="single"/>
          </w:rPr>
          <w:t>https://doi.org/10.1017/S1355617710000317</w:t>
        </w:r>
      </w:hyperlink>
    </w:p>
    <w:p w14:paraId="73AA5F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&amp; Johannesen, J. K. (2010b). Functional significance of preserved affect recognition in schizophrenia.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176</w:t>
      </w:r>
      <w:r w:rsidRPr="00600FC7">
        <w:rPr>
          <w:rFonts w:ascii="Times New Roman" w:eastAsia="Times New Roman" w:hAnsi="Times New Roman" w:cs="Times New Roman"/>
          <w:sz w:val="24"/>
          <w:szCs w:val="24"/>
        </w:rPr>
        <w:t xml:space="preserve">(2–3), 120–125. </w:t>
      </w:r>
      <w:hyperlink r:id="rId1832" w:history="1">
        <w:r w:rsidRPr="00600FC7">
          <w:rPr>
            <w:rFonts w:ascii="Times New Roman" w:eastAsia="Times New Roman" w:hAnsi="Times New Roman" w:cs="Times New Roman"/>
            <w:color w:val="0000FF"/>
            <w:sz w:val="24"/>
            <w:szCs w:val="24"/>
            <w:u w:val="single"/>
          </w:rPr>
          <w:t>https://doi.org/10.1016/j.psychres.2009.08.006</w:t>
        </w:r>
      </w:hyperlink>
    </w:p>
    <w:p w14:paraId="6A113E2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Fiszdon, J. M., Richardson, R., Greig, T., &amp; Bell, M. D. (2007). A comparison of basic and social cognition between schizophrenia and schizoaffective disorder.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91</w:t>
      </w:r>
      <w:r w:rsidRPr="00600FC7">
        <w:rPr>
          <w:rFonts w:ascii="Times New Roman" w:eastAsia="Times New Roman" w:hAnsi="Times New Roman" w:cs="Times New Roman"/>
          <w:sz w:val="24"/>
          <w:szCs w:val="24"/>
        </w:rPr>
        <w:t xml:space="preserve">(1–3), 117–121. </w:t>
      </w:r>
      <w:hyperlink r:id="rId1833" w:history="1">
        <w:r w:rsidRPr="00600FC7">
          <w:rPr>
            <w:rFonts w:ascii="Times New Roman" w:eastAsia="Times New Roman" w:hAnsi="Times New Roman" w:cs="Times New Roman"/>
            <w:color w:val="0000FF"/>
            <w:sz w:val="24"/>
            <w:szCs w:val="24"/>
            <w:u w:val="single"/>
          </w:rPr>
          <w:t>https://doi.org/10.1016/j.schres.2006.12.012</w:t>
        </w:r>
      </w:hyperlink>
    </w:p>
    <w:p w14:paraId="328A0F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FitzGerald, D. B., &amp; Crosson, B. A. (2011). Diffusion weighted imaging and neuropsychological correlates in adults with mild traumatic brain injury. </w:t>
      </w:r>
      <w:r w:rsidRPr="00600FC7">
        <w:rPr>
          <w:rFonts w:ascii="Times New Roman" w:eastAsia="Times New Roman" w:hAnsi="Times New Roman" w:cs="Times New Roman"/>
          <w:i/>
          <w:iCs/>
          <w:sz w:val="24"/>
          <w:szCs w:val="24"/>
        </w:rPr>
        <w:t>International 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(1), 79–85. </w:t>
      </w:r>
      <w:hyperlink r:id="rId1834" w:history="1">
        <w:r w:rsidRPr="00600FC7">
          <w:rPr>
            <w:rFonts w:ascii="Times New Roman" w:eastAsia="Times New Roman" w:hAnsi="Times New Roman" w:cs="Times New Roman"/>
            <w:color w:val="0000FF"/>
            <w:sz w:val="24"/>
            <w:szCs w:val="24"/>
            <w:u w:val="single"/>
          </w:rPr>
          <w:t>https://doi.org/10.1016/j.ijpsycho.2011.02.011</w:t>
        </w:r>
      </w:hyperlink>
    </w:p>
    <w:p w14:paraId="7588FB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Fitzgerald, D., Lucas, S., Redoblado, M. A., Winter, V., Brennan, J., Anderson, J., &amp; Harris, A. (2004). Cognitive functioning in young people with first episode psychosis: Relationship to diagnosis and clinical characteristics. </w:t>
      </w:r>
      <w:r w:rsidRPr="00600FC7">
        <w:rPr>
          <w:rFonts w:ascii="Times New Roman" w:eastAsia="Times New Roman" w:hAnsi="Times New Roman" w:cs="Times New Roman"/>
          <w:i/>
          <w:iCs/>
          <w:sz w:val="24"/>
          <w:szCs w:val="24"/>
        </w:rPr>
        <w:t>Australian and New Zealand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(7), 501–510. </w:t>
      </w:r>
      <w:hyperlink r:id="rId1835" w:history="1">
        <w:r w:rsidRPr="00600FC7">
          <w:rPr>
            <w:rFonts w:ascii="Times New Roman" w:eastAsia="Times New Roman" w:hAnsi="Times New Roman" w:cs="Times New Roman"/>
            <w:color w:val="0000FF"/>
            <w:sz w:val="24"/>
            <w:szCs w:val="24"/>
            <w:u w:val="single"/>
          </w:rPr>
          <w:t>https://doi.org/10.1111/j.1440-1614.2004.01403.x</w:t>
        </w:r>
      </w:hyperlink>
    </w:p>
    <w:p w14:paraId="2337774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Fitzpatrick, K. K., Darcy, A., Colborn, D., Gudorf, C., &amp; Lock, J. (2012). Set-shifting among adolescents with anorexia nervosa. </w:t>
      </w:r>
      <w:r w:rsidRPr="00600FC7">
        <w:rPr>
          <w:rFonts w:ascii="Times New Roman" w:eastAsia="Times New Roman" w:hAnsi="Times New Roman" w:cs="Times New Roman"/>
          <w:i/>
          <w:iCs/>
          <w:sz w:val="24"/>
          <w:szCs w:val="24"/>
        </w:rPr>
        <w:t>International 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(7), 909–912. </w:t>
      </w:r>
      <w:hyperlink r:id="rId1836" w:history="1">
        <w:r w:rsidRPr="00600FC7">
          <w:rPr>
            <w:rFonts w:ascii="Times New Roman" w:eastAsia="Times New Roman" w:hAnsi="Times New Roman" w:cs="Times New Roman"/>
            <w:color w:val="0000FF"/>
            <w:sz w:val="24"/>
            <w:szCs w:val="24"/>
            <w:u w:val="single"/>
          </w:rPr>
          <w:t>https://doi.org/10.1002/eat.22027</w:t>
        </w:r>
      </w:hyperlink>
    </w:p>
    <w:p w14:paraId="21E756A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Fitzpatrick, K. K., &amp; Lock, J. D. (2015). Cognitive remediation therapy with children and adolescents. In </w:t>
      </w:r>
      <w:r w:rsidRPr="00600FC7">
        <w:rPr>
          <w:rFonts w:ascii="Times New Roman" w:eastAsia="Times New Roman" w:hAnsi="Times New Roman" w:cs="Times New Roman"/>
          <w:i/>
          <w:iCs/>
          <w:sz w:val="24"/>
          <w:szCs w:val="24"/>
        </w:rPr>
        <w:t>Cognitive remediation therapy (CRT) for eating and weight disorders.</w:t>
      </w:r>
      <w:r w:rsidRPr="00600FC7">
        <w:rPr>
          <w:rFonts w:ascii="Times New Roman" w:eastAsia="Times New Roman" w:hAnsi="Times New Roman" w:cs="Times New Roman"/>
          <w:sz w:val="24"/>
          <w:szCs w:val="24"/>
        </w:rPr>
        <w:t xml:space="preserve"> (pp. 111–129). Routledge/Taylor &amp; Francis Group.</w:t>
      </w:r>
    </w:p>
    <w:p w14:paraId="42F319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Fitzpatrick, L. E., &amp; Crowe, S. F. (2013). Cognitive and emotional deficits in chronic alcoholics: A role for the cerebellum? </w:t>
      </w:r>
      <w:r w:rsidRPr="00600FC7">
        <w:rPr>
          <w:rFonts w:ascii="Times New Roman" w:eastAsia="Times New Roman" w:hAnsi="Times New Roman" w:cs="Times New Roman"/>
          <w:i/>
          <w:iCs/>
          <w:sz w:val="24"/>
          <w:szCs w:val="24"/>
        </w:rPr>
        <w:t>The Cerebellum</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(4), 520–533. </w:t>
      </w:r>
      <w:hyperlink r:id="rId1837" w:history="1">
        <w:r w:rsidRPr="00600FC7">
          <w:rPr>
            <w:rFonts w:ascii="Times New Roman" w:eastAsia="Times New Roman" w:hAnsi="Times New Roman" w:cs="Times New Roman"/>
            <w:color w:val="0000FF"/>
            <w:sz w:val="24"/>
            <w:szCs w:val="24"/>
            <w:u w:val="single"/>
          </w:rPr>
          <w:t>https://doi.org/10.1007/s12311-013-0461-3</w:t>
        </w:r>
      </w:hyperlink>
    </w:p>
    <w:p w14:paraId="032D15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Fitzsimmons, J., Rosa, P., Sydnor, V. J., Reid, B. E., Makris, N., Goldstein, J. M., Mesholam-Gately, R. I., Woodberry, K., Wojcik, J., McCarley, R. W., Seidman, L. J., Shenton, M. E., &amp; Kubicki, M. (2020). Cingulum bundle abnormalities and risk for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215</w:t>
      </w:r>
      <w:r w:rsidRPr="00600FC7">
        <w:rPr>
          <w:rFonts w:ascii="Times New Roman" w:eastAsia="Times New Roman" w:hAnsi="Times New Roman" w:cs="Times New Roman"/>
          <w:sz w:val="24"/>
          <w:szCs w:val="24"/>
        </w:rPr>
        <w:t xml:space="preserve">, 385–391. </w:t>
      </w:r>
      <w:hyperlink r:id="rId1838" w:history="1">
        <w:r w:rsidRPr="00600FC7">
          <w:rPr>
            <w:rFonts w:ascii="Times New Roman" w:eastAsia="Times New Roman" w:hAnsi="Times New Roman" w:cs="Times New Roman"/>
            <w:color w:val="0000FF"/>
            <w:sz w:val="24"/>
            <w:szCs w:val="24"/>
            <w:u w:val="single"/>
          </w:rPr>
          <w:t>https://doi.org/10.1016/j.schres.2019.08.017</w:t>
        </w:r>
      </w:hyperlink>
    </w:p>
    <w:p w14:paraId="738E9D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Flaks, M. K., Malta, S. M., Almeida, P. P., Bueno, O. F. A., Pupo, M. C., Andreoli, S. B., Mello, M. F., Lacerda, A. L. T., Mari, J. J., &amp; Bressan, R. A. (2014). Attentional and executive functions are differentially affected by post-traumatic stress disorder and trauma.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(1), 32–39. </w:t>
      </w:r>
      <w:hyperlink r:id="rId1839" w:history="1">
        <w:r w:rsidRPr="00600FC7">
          <w:rPr>
            <w:rFonts w:ascii="Times New Roman" w:eastAsia="Times New Roman" w:hAnsi="Times New Roman" w:cs="Times New Roman"/>
            <w:color w:val="0000FF"/>
            <w:sz w:val="24"/>
            <w:szCs w:val="24"/>
            <w:u w:val="single"/>
          </w:rPr>
          <w:t>https://doi.org/10.1016/j.jpsychires.2013.10.009</w:t>
        </w:r>
      </w:hyperlink>
    </w:p>
    <w:p w14:paraId="413ED2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Flaks, M. K., Yassuda, M. S., Regina, A. C. B., Cid, C. G., Camargo, C. H. P., Cattaz, W. F., &amp; Forlenza, O. V. (2006). The Short Cognitive Performance Test (SKT): A preliminary study of its psychometric properties in Brazil.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(1), 121–133. </w:t>
      </w:r>
      <w:hyperlink r:id="rId1840" w:history="1">
        <w:r w:rsidRPr="00600FC7">
          <w:rPr>
            <w:rFonts w:ascii="Times New Roman" w:eastAsia="Times New Roman" w:hAnsi="Times New Roman" w:cs="Times New Roman"/>
            <w:color w:val="0000FF"/>
            <w:sz w:val="24"/>
            <w:szCs w:val="24"/>
            <w:u w:val="single"/>
          </w:rPr>
          <w:t>https://doi.org/10.1017/S1041610205002577</w:t>
        </w:r>
      </w:hyperlink>
    </w:p>
    <w:p w14:paraId="221718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Flanagan, E. C., Lagarde, J., Hahn, V., Guichart-Gomez, E., Sarazin, M., Hornberger, M., &amp; Bertoux, M. (2018). Executive and social-cognitive determinants of environmental dependency syndrome in behavioral frontotemporal dementia.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377–384. </w:t>
      </w:r>
      <w:hyperlink r:id="rId1841" w:history="1">
        <w:r w:rsidRPr="00600FC7">
          <w:rPr>
            <w:rFonts w:ascii="Times New Roman" w:eastAsia="Times New Roman" w:hAnsi="Times New Roman" w:cs="Times New Roman"/>
            <w:color w:val="0000FF"/>
            <w:sz w:val="24"/>
            <w:szCs w:val="24"/>
            <w:u w:val="single"/>
          </w:rPr>
          <w:t>https://doi.org/10.1037/neu0000433</w:t>
        </w:r>
      </w:hyperlink>
    </w:p>
    <w:p w14:paraId="6B0E5E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Flashman, L. A., Roth, R. M., Pixley, H. S., Cleavinger, H. B., McAllister, T. W., Vidaver, R., &amp; Saykin, A. J. (2007). Cavum septum pellucidum in schizophrenia: Clinical and neuropsychological correlates.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154</w:t>
      </w:r>
      <w:r w:rsidRPr="00600FC7">
        <w:rPr>
          <w:rFonts w:ascii="Times New Roman" w:eastAsia="Times New Roman" w:hAnsi="Times New Roman" w:cs="Times New Roman"/>
          <w:sz w:val="24"/>
          <w:szCs w:val="24"/>
        </w:rPr>
        <w:t xml:space="preserve">(2), 147–155. </w:t>
      </w:r>
      <w:hyperlink r:id="rId1842" w:history="1">
        <w:r w:rsidRPr="00600FC7">
          <w:rPr>
            <w:rFonts w:ascii="Times New Roman" w:eastAsia="Times New Roman" w:hAnsi="Times New Roman" w:cs="Times New Roman"/>
            <w:color w:val="0000FF"/>
            <w:sz w:val="24"/>
            <w:szCs w:val="24"/>
            <w:u w:val="single"/>
          </w:rPr>
          <w:t>https://doi.org/10.1016/j.pscychresns.2006.09.001</w:t>
        </w:r>
      </w:hyperlink>
    </w:p>
    <w:p w14:paraId="2145C5B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Flavia, M., Stampatori, C., Zanotti, D., Parrinello, G., &amp; Capra, R. (2010). Efficacy and specificity of intensive cognitive rehabilitation of attention and executive functions in multiple sclerosis. </w:t>
      </w:r>
      <w:r w:rsidRPr="00600FC7">
        <w:rPr>
          <w:rFonts w:ascii="Times New Roman" w:eastAsia="Times New Roman" w:hAnsi="Times New Roman" w:cs="Times New Roman"/>
          <w:i/>
          <w:iCs/>
          <w:sz w:val="24"/>
          <w:szCs w:val="24"/>
        </w:rPr>
        <w:t>Journal of the 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288</w:t>
      </w:r>
      <w:r w:rsidRPr="00600FC7">
        <w:rPr>
          <w:rFonts w:ascii="Times New Roman" w:eastAsia="Times New Roman" w:hAnsi="Times New Roman" w:cs="Times New Roman"/>
          <w:sz w:val="24"/>
          <w:szCs w:val="24"/>
        </w:rPr>
        <w:t xml:space="preserve">(1–2), 101–105. </w:t>
      </w:r>
      <w:hyperlink r:id="rId1843" w:history="1">
        <w:r w:rsidRPr="00600FC7">
          <w:rPr>
            <w:rFonts w:ascii="Times New Roman" w:eastAsia="Times New Roman" w:hAnsi="Times New Roman" w:cs="Times New Roman"/>
            <w:color w:val="0000FF"/>
            <w:sz w:val="24"/>
            <w:szCs w:val="24"/>
            <w:u w:val="single"/>
          </w:rPr>
          <w:t>https://doi.org/10.1016/j.jns.2009.09.024</w:t>
        </w:r>
      </w:hyperlink>
    </w:p>
    <w:p w14:paraId="0CBEA1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Fleischhacker, W. W. (2003). Second-generation antipsychotics: Are their similarities greater than their differences?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(Suppl2), 38s–45s. </w:t>
      </w:r>
      <w:hyperlink r:id="rId1844" w:history="1">
        <w:r w:rsidRPr="00600FC7">
          <w:rPr>
            <w:rFonts w:ascii="Times New Roman" w:eastAsia="Times New Roman" w:hAnsi="Times New Roman" w:cs="Times New Roman"/>
            <w:color w:val="0000FF"/>
            <w:sz w:val="24"/>
            <w:szCs w:val="24"/>
            <w:u w:val="single"/>
          </w:rPr>
          <w:t>https://doi.org/10.1016/S0924-9338(03)80004-4</w:t>
        </w:r>
      </w:hyperlink>
    </w:p>
    <w:p w14:paraId="083614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Fleming, S. K., Blasey, C., &amp; Schatzberg, A. F. (2004). Neuropsychological correlates of psychotic features in major depressive disorders: A review and meta-analysis.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(1), 27–35. </w:t>
      </w:r>
      <w:hyperlink r:id="rId1845" w:history="1">
        <w:r w:rsidRPr="00600FC7">
          <w:rPr>
            <w:rFonts w:ascii="Times New Roman" w:eastAsia="Times New Roman" w:hAnsi="Times New Roman" w:cs="Times New Roman"/>
            <w:color w:val="0000FF"/>
            <w:sz w:val="24"/>
            <w:szCs w:val="24"/>
            <w:u w:val="single"/>
          </w:rPr>
          <w:t>https://doi.org/10.1016/S0022-3956(03)00100-6</w:t>
        </w:r>
      </w:hyperlink>
    </w:p>
    <w:p w14:paraId="1DADAD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Floden, D., Alexander, M. P., Kubu, C. S., Katz, D., &amp; Stuss, D. T. (2008). Impulsivity and risk-taking behavior in focal frontal lobe lesions.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 213–223. </w:t>
      </w:r>
      <w:hyperlink r:id="rId1846" w:history="1">
        <w:r w:rsidRPr="00600FC7">
          <w:rPr>
            <w:rFonts w:ascii="Times New Roman" w:eastAsia="Times New Roman" w:hAnsi="Times New Roman" w:cs="Times New Roman"/>
            <w:color w:val="0000FF"/>
            <w:sz w:val="24"/>
            <w:szCs w:val="24"/>
            <w:u w:val="single"/>
          </w:rPr>
          <w:t>https://doi.org/10.1016/j.neuropsychologia.2007.07.020</w:t>
        </w:r>
      </w:hyperlink>
    </w:p>
    <w:p w14:paraId="2AE2AD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Floden, D., Cooper, S. E., Griffith, S. D., &amp; Machado, A. G. (2014). Predicting quality of life outcomes after subthalamic nucleus deep brain stimulation.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(18), 1627–1633. </w:t>
      </w:r>
      <w:hyperlink r:id="rId1847" w:history="1">
        <w:r w:rsidRPr="00600FC7">
          <w:rPr>
            <w:rFonts w:ascii="Times New Roman" w:eastAsia="Times New Roman" w:hAnsi="Times New Roman" w:cs="Times New Roman"/>
            <w:color w:val="0000FF"/>
            <w:sz w:val="24"/>
            <w:szCs w:val="24"/>
            <w:u w:val="single"/>
          </w:rPr>
          <w:t>https://doi.org/10.1212/WNL.0000000000000943</w:t>
        </w:r>
      </w:hyperlink>
    </w:p>
    <w:p w14:paraId="5522FF7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Floris, D. L., Chura, L. R., Holt, R. J., Suckling, J., Bullmore, E. T., Baron-Cohen, S., &amp; Spencer, M. D. (2013). Psychological correlates of handedness and corpus callosum asymmetry in autism: The left hemisphere dysfunction theory revisited.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(8), 1758–1772. </w:t>
      </w:r>
      <w:hyperlink r:id="rId1848" w:history="1">
        <w:r w:rsidRPr="00600FC7">
          <w:rPr>
            <w:rFonts w:ascii="Times New Roman" w:eastAsia="Times New Roman" w:hAnsi="Times New Roman" w:cs="Times New Roman"/>
            <w:color w:val="0000FF"/>
            <w:sz w:val="24"/>
            <w:szCs w:val="24"/>
            <w:u w:val="single"/>
          </w:rPr>
          <w:t>https://doi.org/10.1007/s10803-012-1720-8</w:t>
        </w:r>
      </w:hyperlink>
    </w:p>
    <w:p w14:paraId="3AB04B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Flyckt, L., Edman, G., Venizelos, N., &amp; Borg, K. (2011). Aberrant tyrosine transport across the fibroblast membrane in patients with schizophrenia-–Indications of maternal inheritance. </w:t>
      </w:r>
      <w:r w:rsidRPr="00600FC7">
        <w:rPr>
          <w:rFonts w:ascii="Times New Roman" w:eastAsia="Times New Roman" w:hAnsi="Times New Roman" w:cs="Times New Roman"/>
          <w:i/>
          <w:iCs/>
          <w:sz w:val="24"/>
          <w:szCs w:val="24"/>
        </w:rPr>
        <w:lastRenderedPageBreak/>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(4), 519–525. </w:t>
      </w:r>
      <w:hyperlink r:id="rId1849" w:history="1">
        <w:r w:rsidRPr="00600FC7">
          <w:rPr>
            <w:rFonts w:ascii="Times New Roman" w:eastAsia="Times New Roman" w:hAnsi="Times New Roman" w:cs="Times New Roman"/>
            <w:color w:val="0000FF"/>
            <w:sz w:val="24"/>
            <w:szCs w:val="24"/>
            <w:u w:val="single"/>
          </w:rPr>
          <w:t>https://doi.org/10.1016/j.jpsychires.2010.08.001</w:t>
        </w:r>
      </w:hyperlink>
    </w:p>
    <w:p w14:paraId="18533F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Flynn, F. G. (2010). Memory impairment after mild traumatic brain injury. </w:t>
      </w:r>
      <w:r w:rsidRPr="00600FC7">
        <w:rPr>
          <w:rFonts w:ascii="Times New Roman" w:eastAsia="Times New Roman" w:hAnsi="Times New Roman" w:cs="Times New Roman"/>
          <w:i/>
          <w:iCs/>
          <w:sz w:val="24"/>
          <w:szCs w:val="24"/>
        </w:rPr>
        <w:t>CONTINUUM: Lifelong Learning in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(6), 79–109.</w:t>
      </w:r>
    </w:p>
    <w:p w14:paraId="4CB518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Fogazzi, D. V., Neary, J. P., Sonza, A., Reppold, C. T., Kaiser, V., Scassola, C. M., Casali, K. R., &amp; Rasia-Filho, A. A. (2020). The prefrontal cortex conscious and unconscious response to social/emotional facial expressions involve sex, hemispheric laterality, and selective activation of the central cardiac modulation. </w:t>
      </w:r>
      <w:r w:rsidRPr="00600FC7">
        <w:rPr>
          <w:rFonts w:ascii="Times New Roman" w:eastAsia="Times New Roman" w:hAnsi="Times New Roman" w:cs="Times New Roman"/>
          <w:i/>
          <w:iCs/>
          <w:sz w:val="24"/>
          <w:szCs w:val="24"/>
        </w:rPr>
        <w:t>Behavioural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393</w:t>
      </w:r>
      <w:r w:rsidRPr="00600FC7">
        <w:rPr>
          <w:rFonts w:ascii="Times New Roman" w:eastAsia="Times New Roman" w:hAnsi="Times New Roman" w:cs="Times New Roman"/>
          <w:sz w:val="24"/>
          <w:szCs w:val="24"/>
        </w:rPr>
        <w:t xml:space="preserve">. </w:t>
      </w:r>
      <w:hyperlink r:id="rId1850" w:history="1">
        <w:r w:rsidRPr="00600FC7">
          <w:rPr>
            <w:rFonts w:ascii="Times New Roman" w:eastAsia="Times New Roman" w:hAnsi="Times New Roman" w:cs="Times New Roman"/>
            <w:color w:val="0000FF"/>
            <w:sz w:val="24"/>
            <w:szCs w:val="24"/>
            <w:u w:val="single"/>
          </w:rPr>
          <w:t>https://doi.org/10.1016/j.bbr.2020.112773</w:t>
        </w:r>
      </w:hyperlink>
    </w:p>
    <w:p w14:paraId="5A85795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Fogelson, D. L., Nuechterlein, K. H., Asarnow, R. F., Payne, D. L., Subotnik, K. L., &amp; Giannini, C. A. (1999). The factor structure of schizophrenia spectrum personality disorders: Signs and symptoms in relatives of psychotic patients from the UCLA family members study.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87</w:t>
      </w:r>
      <w:r w:rsidRPr="00600FC7">
        <w:rPr>
          <w:rFonts w:ascii="Times New Roman" w:eastAsia="Times New Roman" w:hAnsi="Times New Roman" w:cs="Times New Roman"/>
          <w:sz w:val="24"/>
          <w:szCs w:val="24"/>
        </w:rPr>
        <w:t xml:space="preserve">(2–3), 137–146. </w:t>
      </w:r>
      <w:hyperlink r:id="rId1851" w:history="1">
        <w:r w:rsidRPr="00600FC7">
          <w:rPr>
            <w:rFonts w:ascii="Times New Roman" w:eastAsia="Times New Roman" w:hAnsi="Times New Roman" w:cs="Times New Roman"/>
            <w:color w:val="0000FF"/>
            <w:sz w:val="24"/>
            <w:szCs w:val="24"/>
            <w:u w:val="single"/>
          </w:rPr>
          <w:t>https://doi.org/10.1016/S0165-1781(99)00086-4</w:t>
        </w:r>
      </w:hyperlink>
    </w:p>
    <w:p w14:paraId="4D8DDF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F. W., &amp; Portnoy, J. G. (2018). Neuropsychology in the integrated MS care setting.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(3), 330–338. </w:t>
      </w:r>
      <w:hyperlink r:id="rId1852" w:history="1">
        <w:r w:rsidRPr="00600FC7">
          <w:rPr>
            <w:rFonts w:ascii="Times New Roman" w:eastAsia="Times New Roman" w:hAnsi="Times New Roman" w:cs="Times New Roman"/>
            <w:color w:val="0000FF"/>
            <w:sz w:val="24"/>
            <w:szCs w:val="24"/>
            <w:u w:val="single"/>
          </w:rPr>
          <w:t>https://doi.org/10.1093/arclin/acy003</w:t>
        </w:r>
      </w:hyperlink>
    </w:p>
    <w:p w14:paraId="56C4B90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A., Cantagallo, A., Sala, S. D., &amp; Logie, R. H. (2010). Dual task performance and post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(6), 851–858. </w:t>
      </w:r>
      <w:hyperlink r:id="rId1853" w:history="1">
        <w:r w:rsidRPr="00600FC7">
          <w:rPr>
            <w:rFonts w:ascii="Times New Roman" w:eastAsia="Times New Roman" w:hAnsi="Times New Roman" w:cs="Times New Roman"/>
            <w:color w:val="0000FF"/>
            <w:sz w:val="24"/>
            <w:szCs w:val="24"/>
            <w:u w:val="single"/>
          </w:rPr>
          <w:t>https://doi.org/10.3109/02699051003789278</w:t>
        </w:r>
      </w:hyperlink>
    </w:p>
    <w:p w14:paraId="53FAEE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Garcia, J., Shaw, L., &amp; Golden, C. (2009). IQ predicts neuropsychological performance in children.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(10), 1830–1847. </w:t>
      </w:r>
      <w:hyperlink r:id="rId1854" w:history="1">
        <w:r w:rsidRPr="00600FC7">
          <w:rPr>
            <w:rFonts w:ascii="Times New Roman" w:eastAsia="Times New Roman" w:hAnsi="Times New Roman" w:cs="Times New Roman"/>
            <w:color w:val="0000FF"/>
            <w:sz w:val="24"/>
            <w:szCs w:val="24"/>
            <w:u w:val="single"/>
          </w:rPr>
          <w:t>https://doi.org/10.1080/00207450903192852</w:t>
        </w:r>
      </w:hyperlink>
    </w:p>
    <w:p w14:paraId="5C9C7D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Foley, J. M., Ettenhofer, M. L., Kim, M. S., Behdin, N., Castellon, S. A., &amp; Hinkin, C. H. (2012). Cognitive reserve as a protective factor in older HIV-positive patients at risk for cognitive decline.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(1), 16–25. </w:t>
      </w:r>
      <w:hyperlink r:id="rId1855" w:history="1">
        <w:r w:rsidRPr="00600FC7">
          <w:rPr>
            <w:rFonts w:ascii="Times New Roman" w:eastAsia="Times New Roman" w:hAnsi="Times New Roman" w:cs="Times New Roman"/>
            <w:color w:val="0000FF"/>
            <w:sz w:val="24"/>
            <w:szCs w:val="24"/>
            <w:u w:val="single"/>
          </w:rPr>
          <w:t>https://doi.org/10.1080/09084282.2011.595601</w:t>
        </w:r>
      </w:hyperlink>
    </w:p>
    <w:p w14:paraId="7A90A2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M., Gooding, A. L., Thames, A. D., Ettenhofer, M. L., Kim, M. S., Castellon, S. A., Marcotte, T. D., Sadek, J. R., Heaton, R. K., van Gorp, W. G., &amp; Hinkin, C. H. (2013). Visuospatial and attentional abilities predict driving simulator performance among older HIV-infected adults.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(2), 185–194. </w:t>
      </w:r>
      <w:hyperlink r:id="rId1856" w:history="1">
        <w:r w:rsidRPr="00600FC7">
          <w:rPr>
            <w:rFonts w:ascii="Times New Roman" w:eastAsia="Times New Roman" w:hAnsi="Times New Roman" w:cs="Times New Roman"/>
            <w:color w:val="0000FF"/>
            <w:sz w:val="24"/>
            <w:szCs w:val="24"/>
            <w:u w:val="single"/>
          </w:rPr>
          <w:t>https://doi.org/10.1177/1533317512473192</w:t>
        </w:r>
      </w:hyperlink>
    </w:p>
    <w:p w14:paraId="19AFAB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Foley, J. M., Wright, M. J., Gooding, A. L., Ettenhofer, M., Kim, M., Choi, M., Castellon, S. A., Sadek, J., Heaton, R. K., van Gorp, W. G., Marcotte, T. D., &amp; Hinkin, C. H. (2011). Operationalization of the updated diagnostic algorithm for classifying HIV-related cognitive impairment and dementia.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(5), 835–843. </w:t>
      </w:r>
      <w:hyperlink r:id="rId1857" w:history="1">
        <w:r w:rsidRPr="00600FC7">
          <w:rPr>
            <w:rFonts w:ascii="Times New Roman" w:eastAsia="Times New Roman" w:hAnsi="Times New Roman" w:cs="Times New Roman"/>
            <w:color w:val="0000FF"/>
            <w:sz w:val="24"/>
            <w:szCs w:val="24"/>
            <w:u w:val="single"/>
          </w:rPr>
          <w:t>https://doi.org/10.1017/S1041610210002085</w:t>
        </w:r>
      </w:hyperlink>
    </w:p>
    <w:p w14:paraId="034229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Follett, K. A., Weaver, F. M., Stern, M., Hur, K., Harris, C. L., Luo, P., Marks Jr., W. J., Rothlind, J., Burchiel, K., Hogarth, P., Lai, E. C., Duda, J. E., Holloway, K., Horn, S., Bronstein, J. M., Stoner, G., Starr, P. A., Simpson, R., Baltuch, G., … Reda, D. J. (2010). Pallidal versus subthalamic deep-brain stimulation for Parkinson’s disease. </w:t>
      </w:r>
      <w:r w:rsidRPr="00600FC7">
        <w:rPr>
          <w:rFonts w:ascii="Times New Roman" w:eastAsia="Times New Roman" w:hAnsi="Times New Roman" w:cs="Times New Roman"/>
          <w:i/>
          <w:iCs/>
          <w:sz w:val="24"/>
          <w:szCs w:val="24"/>
        </w:rPr>
        <w:t>The New England Journal of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362</w:t>
      </w:r>
      <w:r w:rsidRPr="00600FC7">
        <w:rPr>
          <w:rFonts w:ascii="Times New Roman" w:eastAsia="Times New Roman" w:hAnsi="Times New Roman" w:cs="Times New Roman"/>
          <w:sz w:val="24"/>
          <w:szCs w:val="24"/>
        </w:rPr>
        <w:t xml:space="preserve">(22), 2078–2091. </w:t>
      </w:r>
      <w:hyperlink r:id="rId1858" w:history="1">
        <w:r w:rsidRPr="00600FC7">
          <w:rPr>
            <w:rFonts w:ascii="Times New Roman" w:eastAsia="Times New Roman" w:hAnsi="Times New Roman" w:cs="Times New Roman"/>
            <w:color w:val="0000FF"/>
            <w:sz w:val="24"/>
            <w:szCs w:val="24"/>
            <w:u w:val="single"/>
          </w:rPr>
          <w:t>https://doi.org/10.1056/NEJMoa0907083</w:t>
        </w:r>
      </w:hyperlink>
    </w:p>
    <w:p w14:paraId="1C4899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Foncke, E. M. J., Cath, D., Zwinderman, K., Smit, J., Schmand, B., &amp; Tijssen, M. (2009). Is psychopathology part of the phenotypic spectrum of myoclonus-dystonia? A study of a large </w:t>
      </w:r>
      <w:r w:rsidRPr="00600FC7">
        <w:rPr>
          <w:rFonts w:ascii="Times New Roman" w:eastAsia="Times New Roman" w:hAnsi="Times New Roman" w:cs="Times New Roman"/>
          <w:sz w:val="24"/>
          <w:szCs w:val="24"/>
        </w:rPr>
        <w:lastRenderedPageBreak/>
        <w:t xml:space="preserve">Dutch M-D family.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127–133. </w:t>
      </w:r>
      <w:hyperlink r:id="rId1859" w:history="1">
        <w:r w:rsidRPr="00600FC7">
          <w:rPr>
            <w:rFonts w:ascii="Times New Roman" w:eastAsia="Times New Roman" w:hAnsi="Times New Roman" w:cs="Times New Roman"/>
            <w:color w:val="0000FF"/>
            <w:sz w:val="24"/>
            <w:szCs w:val="24"/>
            <w:u w:val="single"/>
          </w:rPr>
          <w:t>https://doi.org/10.1097/WNN.0b013e3181a7228f</w:t>
        </w:r>
      </w:hyperlink>
    </w:p>
    <w:p w14:paraId="283B223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Fond, G., Macgregor, A., Attal, J., Larue, A., Brittner, M., Ducasse, D., &amp; Capdevielle, D. (2012). Treating patients with schizophrenia deficit with erythropoietin?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(5), 375–382. </w:t>
      </w:r>
      <w:hyperlink r:id="rId1860" w:history="1">
        <w:r w:rsidRPr="00600FC7">
          <w:rPr>
            <w:rFonts w:ascii="Times New Roman" w:eastAsia="Times New Roman" w:hAnsi="Times New Roman" w:cs="Times New Roman"/>
            <w:color w:val="0000FF"/>
            <w:sz w:val="24"/>
            <w:szCs w:val="24"/>
            <w:u w:val="single"/>
          </w:rPr>
          <w:t>https://doi.org/10.1111/j.1440-1819.2012.02359.x</w:t>
        </w:r>
      </w:hyperlink>
    </w:p>
    <w:p w14:paraId="7F9B74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Fonoff, F. C., Fonoff, E. T., Barbosa, E. R., Quaranta, T., Machado, R. B., de Andrade, D. C., Teixeira, M. J., &amp; Fuentes, D. (2015). Correlation between impulsivity and executive function in patients with Parkinson disease experiencing depression and anxiety symptoms. </w:t>
      </w:r>
      <w:r w:rsidRPr="00600FC7">
        <w:rPr>
          <w:rFonts w:ascii="Times New Roman" w:eastAsia="Times New Roman" w:hAnsi="Times New Roman" w:cs="Times New Roman"/>
          <w:i/>
          <w:iCs/>
          <w:sz w:val="24"/>
          <w:szCs w:val="24"/>
        </w:rPr>
        <w:t>Journal of Geriatric Psychiatry and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49–56. </w:t>
      </w:r>
      <w:hyperlink r:id="rId1861" w:history="1">
        <w:r w:rsidRPr="00600FC7">
          <w:rPr>
            <w:rFonts w:ascii="Times New Roman" w:eastAsia="Times New Roman" w:hAnsi="Times New Roman" w:cs="Times New Roman"/>
            <w:color w:val="0000FF"/>
            <w:sz w:val="24"/>
            <w:szCs w:val="24"/>
            <w:u w:val="single"/>
          </w:rPr>
          <w:t>https://doi.org/10.1177/0891988714541870</w:t>
        </w:r>
      </w:hyperlink>
    </w:p>
    <w:p w14:paraId="09D94B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Fonseca-Pedrero, E., Gooding, D. C., Paino, M., Lemos-Giráldez, S., &amp; Muñiz, J. (2014). Measuring anhedonia in schizophrenia-spectrum disorders: A selective update. In </w:t>
      </w:r>
      <w:r w:rsidRPr="00600FC7">
        <w:rPr>
          <w:rFonts w:ascii="Times New Roman" w:eastAsia="Times New Roman" w:hAnsi="Times New Roman" w:cs="Times New Roman"/>
          <w:i/>
          <w:iCs/>
          <w:sz w:val="24"/>
          <w:szCs w:val="24"/>
        </w:rPr>
        <w:t>Anhedonia: A comprehensive handbook: Neuropsychiatric and physical disorders, Vol. II</w:t>
      </w:r>
      <w:r w:rsidRPr="00600FC7">
        <w:rPr>
          <w:rFonts w:ascii="Times New Roman" w:eastAsia="Times New Roman" w:hAnsi="Times New Roman" w:cs="Times New Roman"/>
          <w:sz w:val="24"/>
          <w:szCs w:val="24"/>
        </w:rPr>
        <w:t xml:space="preserve"> (pp. 19–54). Springer Science + Business Media.</w:t>
      </w:r>
    </w:p>
    <w:p w14:paraId="703EB2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Fontes, M. A., Bolla, K. I., Cunha, P. J., Almeida, P. P., Jungerman, F., Laranjeira, R. R., Bressan, R. A., &amp; Lacerda, A. L. T. (2011). Cannabis use before age 15 and subsequent executive functioning. </w:t>
      </w:r>
      <w:r w:rsidRPr="00600FC7">
        <w:rPr>
          <w:rFonts w:ascii="Times New Roman" w:eastAsia="Times New Roman" w:hAnsi="Times New Roman" w:cs="Times New Roman"/>
          <w:i/>
          <w:iCs/>
          <w:sz w:val="24"/>
          <w:szCs w:val="24"/>
        </w:rPr>
        <w:t>The British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198</w:t>
      </w:r>
      <w:r w:rsidRPr="00600FC7">
        <w:rPr>
          <w:rFonts w:ascii="Times New Roman" w:eastAsia="Times New Roman" w:hAnsi="Times New Roman" w:cs="Times New Roman"/>
          <w:sz w:val="24"/>
          <w:szCs w:val="24"/>
        </w:rPr>
        <w:t xml:space="preserve">(6), 442–447. </w:t>
      </w:r>
      <w:hyperlink r:id="rId1862" w:history="1">
        <w:r w:rsidRPr="00600FC7">
          <w:rPr>
            <w:rFonts w:ascii="Times New Roman" w:eastAsia="Times New Roman" w:hAnsi="Times New Roman" w:cs="Times New Roman"/>
            <w:color w:val="0000FF"/>
            <w:sz w:val="24"/>
            <w:szCs w:val="24"/>
            <w:u w:val="single"/>
          </w:rPr>
          <w:t>https://doi.org/10.1192/bjp.bp.110.077479</w:t>
        </w:r>
      </w:hyperlink>
    </w:p>
    <w:p w14:paraId="304337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Fonville, L., Lao-Kaim, N. P., &amp; Tchanturia, K. (2015). Exploring brain structure and the neurocognitive profile of anorexia nervosa using magnetic resonance imaging. In </w:t>
      </w:r>
      <w:r w:rsidRPr="00600FC7">
        <w:rPr>
          <w:rFonts w:ascii="Times New Roman" w:eastAsia="Times New Roman" w:hAnsi="Times New Roman" w:cs="Times New Roman"/>
          <w:i/>
          <w:iCs/>
          <w:sz w:val="24"/>
          <w:szCs w:val="24"/>
        </w:rPr>
        <w:t>Cognitive remediation therapy (CRT) for eating and weight disorders.</w:t>
      </w:r>
      <w:r w:rsidRPr="00600FC7">
        <w:rPr>
          <w:rFonts w:ascii="Times New Roman" w:eastAsia="Times New Roman" w:hAnsi="Times New Roman" w:cs="Times New Roman"/>
          <w:sz w:val="24"/>
          <w:szCs w:val="24"/>
        </w:rPr>
        <w:t xml:space="preserve"> (pp. 160–175). Routledge/Taylor &amp; Francis Group.</w:t>
      </w:r>
    </w:p>
    <w:p w14:paraId="1DBEDC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Forbush, K. T., Shaw, M., Graeber, M. A., Hovick, L., Meyer, V. J., Moser, D. J., Bayless, J., Watson, D., &amp; Black, D. W. (2008). Neuropsychological characteristics and personality traits in pathological gambling. </w:t>
      </w:r>
      <w:r w:rsidRPr="00600FC7">
        <w:rPr>
          <w:rFonts w:ascii="Times New Roman" w:eastAsia="Times New Roman" w:hAnsi="Times New Roman" w:cs="Times New Roman"/>
          <w:i/>
          <w:iCs/>
          <w:sz w:val="24"/>
          <w:szCs w:val="24"/>
        </w:rPr>
        <w:t>CNS Spectrums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(4), 306–315. </w:t>
      </w:r>
      <w:hyperlink r:id="rId1863" w:history="1">
        <w:r w:rsidRPr="00600FC7">
          <w:rPr>
            <w:rFonts w:ascii="Times New Roman" w:eastAsia="Times New Roman" w:hAnsi="Times New Roman" w:cs="Times New Roman"/>
            <w:color w:val="0000FF"/>
            <w:sz w:val="24"/>
            <w:szCs w:val="24"/>
            <w:u w:val="single"/>
          </w:rPr>
          <w:t>https://doi.org/10.1017/S1092852900016424</w:t>
        </w:r>
      </w:hyperlink>
    </w:p>
    <w:p w14:paraId="3E2A72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Forcada, I., Papachristou, E., Mur, M., Christodoulou, T., Jogia, J., Reichenberg, A., Vieta, E., &amp; Frangou, S. (2011). The impact of general intellectual ability and white matter volume on the functional outcome of patients with bipolar disorder and their relatives.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130</w:t>
      </w:r>
      <w:r w:rsidRPr="00600FC7">
        <w:rPr>
          <w:rFonts w:ascii="Times New Roman" w:eastAsia="Times New Roman" w:hAnsi="Times New Roman" w:cs="Times New Roman"/>
          <w:sz w:val="24"/>
          <w:szCs w:val="24"/>
        </w:rPr>
        <w:t xml:space="preserve">(3), 413–420. </w:t>
      </w:r>
      <w:hyperlink r:id="rId1864" w:history="1">
        <w:r w:rsidRPr="00600FC7">
          <w:rPr>
            <w:rFonts w:ascii="Times New Roman" w:eastAsia="Times New Roman" w:hAnsi="Times New Roman" w:cs="Times New Roman"/>
            <w:color w:val="0000FF"/>
            <w:sz w:val="24"/>
            <w:szCs w:val="24"/>
            <w:u w:val="single"/>
          </w:rPr>
          <w:t>https://doi.org/10.1016/j.jad.2010.10.048</w:t>
        </w:r>
      </w:hyperlink>
    </w:p>
    <w:p w14:paraId="7D6C0FC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Forester, B. P., Streeter, C. C., Berlow, Y. A., Tian, H., Wardrop, M., Finn, C. T., Harper, D., Renshaw, P. F., &amp; Moore, C. M. (2009). Brain lithium levels and effects on cognition and mood in geriatric bipolar disorder: A lithium-7 Magnetic Resonance Spectroscopy study.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13–23. </w:t>
      </w:r>
      <w:hyperlink r:id="rId1865" w:history="1">
        <w:r w:rsidRPr="00600FC7">
          <w:rPr>
            <w:rFonts w:ascii="Times New Roman" w:eastAsia="Times New Roman" w:hAnsi="Times New Roman" w:cs="Times New Roman"/>
            <w:color w:val="0000FF"/>
            <w:sz w:val="24"/>
            <w:szCs w:val="24"/>
            <w:u w:val="single"/>
          </w:rPr>
          <w:t>https://doi.org/10.1097/JGP.0b013e318172b3d0</w:t>
        </w:r>
      </w:hyperlink>
    </w:p>
    <w:p w14:paraId="35A62B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Forgan, J. W., &amp; Richey, M. A. (2015). </w:t>
      </w:r>
      <w:r w:rsidRPr="00600FC7">
        <w:rPr>
          <w:rFonts w:ascii="Times New Roman" w:eastAsia="Times New Roman" w:hAnsi="Times New Roman" w:cs="Times New Roman"/>
          <w:i/>
          <w:iCs/>
          <w:sz w:val="24"/>
          <w:szCs w:val="24"/>
        </w:rPr>
        <w:t>The impulsive, disorganized child: Solutions for parenting kids with executive functioning difficulties.</w:t>
      </w:r>
      <w:r w:rsidRPr="00600FC7">
        <w:rPr>
          <w:rFonts w:ascii="Times New Roman" w:eastAsia="Times New Roman" w:hAnsi="Times New Roman" w:cs="Times New Roman"/>
          <w:sz w:val="24"/>
          <w:szCs w:val="24"/>
        </w:rPr>
        <w:t xml:space="preserve"> (pp. xiv, 258). Prufrock Press.</w:t>
      </w:r>
    </w:p>
    <w:p w14:paraId="42EAF72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Formisano, R., Longo, E., Azicnuda, E., Silvestro, D., D’Ippolito, M., Truelle, J.-L., Steinbüchel, N., Wild, K., Wilson, L., Rigon, J., Barba, C., Forcina, A., &amp; Giustini, M. (2017). Quality of life in persons after traumatic brain injury as self-perceived and as perceived by the caregivers.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279–286. </w:t>
      </w:r>
      <w:hyperlink r:id="rId1866" w:history="1">
        <w:r w:rsidRPr="00600FC7">
          <w:rPr>
            <w:rFonts w:ascii="Times New Roman" w:eastAsia="Times New Roman" w:hAnsi="Times New Roman" w:cs="Times New Roman"/>
            <w:color w:val="0000FF"/>
            <w:sz w:val="24"/>
            <w:szCs w:val="24"/>
            <w:u w:val="single"/>
          </w:rPr>
          <w:t>https://doi.org/10.1007/s10072-016-2755-y</w:t>
        </w:r>
      </w:hyperlink>
    </w:p>
    <w:p w14:paraId="4B19001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Fornells-Ambrojo, M., Craig, T., &amp; Garety, P. (2014). Occupational functioning in early non-affective psychosis: The role of attributional biases, symptoms and executive functioning. </w:t>
      </w:r>
      <w:r w:rsidRPr="00600FC7">
        <w:rPr>
          <w:rFonts w:ascii="Times New Roman" w:eastAsia="Times New Roman" w:hAnsi="Times New Roman" w:cs="Times New Roman"/>
          <w:i/>
          <w:iCs/>
          <w:sz w:val="24"/>
          <w:szCs w:val="24"/>
        </w:rPr>
        <w:lastRenderedPageBreak/>
        <w:t>Epidemiology and Psychiatric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(1), 71–84. </w:t>
      </w:r>
      <w:hyperlink r:id="rId1867" w:history="1">
        <w:r w:rsidRPr="00600FC7">
          <w:rPr>
            <w:rFonts w:ascii="Times New Roman" w:eastAsia="Times New Roman" w:hAnsi="Times New Roman" w:cs="Times New Roman"/>
            <w:color w:val="0000FF"/>
            <w:sz w:val="24"/>
            <w:szCs w:val="24"/>
            <w:u w:val="single"/>
          </w:rPr>
          <w:t>https://doi.org/10.1017/S2045796013000103</w:t>
        </w:r>
      </w:hyperlink>
    </w:p>
    <w:p w14:paraId="192559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Förster, K., Jörgens, S., Air, T. M., Bürger, C., Enneking, V., Redlich, R., Zaremba, D., Grotegerd, D., Dohm, K., Meinert, S., Leehr, E. J., Böhnlein, J., Repple, J., Opel, N., Kavakbasi, E., Arolt, V., Zwitserlood, P., Dannlowski, U., &amp; Baune, B. T. (2018). The relationship between social cognition and executive function in Major Depressive Disorder in high-functioning adolescents and young adults.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263</w:t>
      </w:r>
      <w:r w:rsidRPr="00600FC7">
        <w:rPr>
          <w:rFonts w:ascii="Times New Roman" w:eastAsia="Times New Roman" w:hAnsi="Times New Roman" w:cs="Times New Roman"/>
          <w:sz w:val="24"/>
          <w:szCs w:val="24"/>
        </w:rPr>
        <w:t xml:space="preserve">, 139–146. </w:t>
      </w:r>
      <w:hyperlink r:id="rId1868" w:history="1">
        <w:r w:rsidRPr="00600FC7">
          <w:rPr>
            <w:rFonts w:ascii="Times New Roman" w:eastAsia="Times New Roman" w:hAnsi="Times New Roman" w:cs="Times New Roman"/>
            <w:color w:val="0000FF"/>
            <w:sz w:val="24"/>
            <w:szCs w:val="24"/>
            <w:u w:val="single"/>
          </w:rPr>
          <w:t>https://doi.org/10.1016/j.psychres.2018.02.046</w:t>
        </w:r>
      </w:hyperlink>
    </w:p>
    <w:p w14:paraId="48E894D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Fortier, C. B., Steffen, E. M., LaFleche, G., Venne, J. R., Disterhoft, J. F., &amp; McGlinchey, R. E. (2008). Delay discrimination and reversal eyeblink classical conditioning in abstinent chronic alcoholics.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196–208. </w:t>
      </w:r>
      <w:hyperlink r:id="rId1869" w:history="1">
        <w:r w:rsidRPr="00600FC7">
          <w:rPr>
            <w:rFonts w:ascii="Times New Roman" w:eastAsia="Times New Roman" w:hAnsi="Times New Roman" w:cs="Times New Roman"/>
            <w:color w:val="0000FF"/>
            <w:sz w:val="24"/>
            <w:szCs w:val="24"/>
            <w:u w:val="single"/>
          </w:rPr>
          <w:t>https://doi.org/10.1037/0894-4105.22.2.196</w:t>
        </w:r>
      </w:hyperlink>
    </w:p>
    <w:p w14:paraId="1DA1EA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Fortier, M.-È., Sengupta, S. M., Grizenko, N., Choudhry, Z., Thakur, G., &amp; Joober, R. (2013). Genetic evidence for the association of the hypothalamic–pituitary–adrenal (HPA) axis with ADHD and methylphenidate treatment response. </w:t>
      </w:r>
      <w:r w:rsidRPr="00600FC7">
        <w:rPr>
          <w:rFonts w:ascii="Times New Roman" w:eastAsia="Times New Roman" w:hAnsi="Times New Roman" w:cs="Times New Roman"/>
          <w:i/>
          <w:iCs/>
          <w:sz w:val="24"/>
          <w:szCs w:val="24"/>
        </w:rPr>
        <w:t>NeuroMolecular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122–132. </w:t>
      </w:r>
      <w:hyperlink r:id="rId1870" w:history="1">
        <w:r w:rsidRPr="00600FC7">
          <w:rPr>
            <w:rFonts w:ascii="Times New Roman" w:eastAsia="Times New Roman" w:hAnsi="Times New Roman" w:cs="Times New Roman"/>
            <w:color w:val="0000FF"/>
            <w:sz w:val="24"/>
            <w:szCs w:val="24"/>
            <w:u w:val="single"/>
          </w:rPr>
          <w:t>https://doi.org/10.1007/s12017-012-8202-1</w:t>
        </w:r>
      </w:hyperlink>
    </w:p>
    <w:p w14:paraId="67B48C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Fortier-Brochu, É., Beaulieu-Bonneau, S., Ivers, H., &amp; Morin, C. M. (2012). Insomnia and daytime cognitive performance: A meta-analysis. </w:t>
      </w:r>
      <w:r w:rsidRPr="00600FC7">
        <w:rPr>
          <w:rFonts w:ascii="Times New Roman" w:eastAsia="Times New Roman" w:hAnsi="Times New Roman" w:cs="Times New Roman"/>
          <w:i/>
          <w:iCs/>
          <w:sz w:val="24"/>
          <w:szCs w:val="24"/>
        </w:rPr>
        <w:t>Sleep Medicine Reviews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83–94. </w:t>
      </w:r>
      <w:hyperlink r:id="rId1871" w:history="1">
        <w:r w:rsidRPr="00600FC7">
          <w:rPr>
            <w:rFonts w:ascii="Times New Roman" w:eastAsia="Times New Roman" w:hAnsi="Times New Roman" w:cs="Times New Roman"/>
            <w:color w:val="0000FF"/>
            <w:sz w:val="24"/>
            <w:szCs w:val="24"/>
            <w:u w:val="single"/>
          </w:rPr>
          <w:t>https://doi.org/10.1016/j.smrv.2011.03.008</w:t>
        </w:r>
      </w:hyperlink>
    </w:p>
    <w:p w14:paraId="148561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Fortner, C. P. (1995). </w:t>
      </w:r>
      <w:r w:rsidRPr="00600FC7">
        <w:rPr>
          <w:rFonts w:ascii="Times New Roman" w:eastAsia="Times New Roman" w:hAnsi="Times New Roman" w:cs="Times New Roman"/>
          <w:i/>
          <w:iCs/>
          <w:sz w:val="24"/>
          <w:szCs w:val="24"/>
        </w:rPr>
        <w:t>A comparison of neuropsychological functioning and social skills development for attention deficit hyperactivity disordered students.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(9-B), 4160–4160.</w:t>
      </w:r>
    </w:p>
    <w:p w14:paraId="5BEEBC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Fossati, A., Somma, A., Borroni, S., Markon, K. E., &amp; Krueger, R. F. (2018). Executive functioning correlates of DSM-5 maladaptive personality traits: Initial evidence from an </w:t>
      </w:r>
      <w:r w:rsidRPr="00600FC7">
        <w:rPr>
          <w:rFonts w:ascii="Times New Roman" w:eastAsia="Times New Roman" w:hAnsi="Times New Roman" w:cs="Times New Roman"/>
          <w:sz w:val="24"/>
          <w:szCs w:val="24"/>
        </w:rPr>
        <w:lastRenderedPageBreak/>
        <w:t xml:space="preserve">Italian sample of consecutively admitted adult outpatients. </w:t>
      </w:r>
      <w:r w:rsidRPr="00600FC7">
        <w:rPr>
          <w:rFonts w:ascii="Times New Roman" w:eastAsia="Times New Roman" w:hAnsi="Times New Roman" w:cs="Times New Roman"/>
          <w:i/>
          <w:iCs/>
          <w:sz w:val="24"/>
          <w:szCs w:val="24"/>
        </w:rPr>
        <w:t>Journal of Psychopathology and Behavioral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(3), 484–496. </w:t>
      </w:r>
      <w:hyperlink r:id="rId1872" w:history="1">
        <w:r w:rsidRPr="00600FC7">
          <w:rPr>
            <w:rFonts w:ascii="Times New Roman" w:eastAsia="Times New Roman" w:hAnsi="Times New Roman" w:cs="Times New Roman"/>
            <w:color w:val="0000FF"/>
            <w:sz w:val="24"/>
            <w:szCs w:val="24"/>
            <w:u w:val="single"/>
          </w:rPr>
          <w:t>https://doi.org/10.1007/s10862-018-9645-y</w:t>
        </w:r>
      </w:hyperlink>
    </w:p>
    <w:p w14:paraId="70C7B4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Fossati, P., Coyette, F., Ergis, A.-M., &amp; Allilaire, J.-F. (2002). Influence of age and executive functioning on verbal memory of inpatients with depression.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(2–3), 261–271. </w:t>
      </w:r>
      <w:hyperlink r:id="rId1873" w:history="1">
        <w:r w:rsidRPr="00600FC7">
          <w:rPr>
            <w:rFonts w:ascii="Times New Roman" w:eastAsia="Times New Roman" w:hAnsi="Times New Roman" w:cs="Times New Roman"/>
            <w:color w:val="0000FF"/>
            <w:sz w:val="24"/>
            <w:szCs w:val="24"/>
            <w:u w:val="single"/>
          </w:rPr>
          <w:t>https://doi.org/10.1016/S0165-0327(00)00362-1</w:t>
        </w:r>
      </w:hyperlink>
    </w:p>
    <w:p w14:paraId="386917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Fossati, P., Ergis, A.-M., &amp; Allilaire, J.-F. (2001). Problem-solving abilities in unipolar depressed patients: Comparison of performance on the modified version of the Wisconsin and the California sorting tests.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(2), 145–156. </w:t>
      </w:r>
      <w:hyperlink r:id="rId1874" w:history="1">
        <w:r w:rsidRPr="00600FC7">
          <w:rPr>
            <w:rFonts w:ascii="Times New Roman" w:eastAsia="Times New Roman" w:hAnsi="Times New Roman" w:cs="Times New Roman"/>
            <w:color w:val="0000FF"/>
            <w:sz w:val="24"/>
            <w:szCs w:val="24"/>
            <w:u w:val="single"/>
          </w:rPr>
          <w:t>https://doi.org/10.1016/S0165-1781(01)00307-9</w:t>
        </w:r>
      </w:hyperlink>
    </w:p>
    <w:p w14:paraId="32C3A8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Foster, H. G., Hillbrand, M., &amp; Silverstein, M. (1993). Neuropsychological deficit and aggressive behavior: A prospective study.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(6), 939–946. </w:t>
      </w:r>
      <w:hyperlink r:id="rId1875" w:history="1">
        <w:r w:rsidRPr="00600FC7">
          <w:rPr>
            <w:rFonts w:ascii="Times New Roman" w:eastAsia="Times New Roman" w:hAnsi="Times New Roman" w:cs="Times New Roman"/>
            <w:color w:val="0000FF"/>
            <w:sz w:val="24"/>
            <w:szCs w:val="24"/>
            <w:u w:val="single"/>
          </w:rPr>
          <w:t>https://doi.org/10.1016/0278-5846(93)90021-J</w:t>
        </w:r>
      </w:hyperlink>
    </w:p>
    <w:p w14:paraId="171225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Foster, S. M., Davis, H. P., &amp; Kisley, M. A. (2013). Brain responses to emotional images related to cognitive ability in older adults. </w:t>
      </w:r>
      <w:r w:rsidRPr="00600FC7">
        <w:rPr>
          <w:rFonts w:ascii="Times New Roman" w:eastAsia="Times New Roman" w:hAnsi="Times New Roman" w:cs="Times New Roman"/>
          <w:i/>
          <w:iCs/>
          <w:sz w:val="24"/>
          <w:szCs w:val="24"/>
        </w:rPr>
        <w:t>Psychology and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179–190. </w:t>
      </w:r>
      <w:hyperlink r:id="rId1876" w:history="1">
        <w:r w:rsidRPr="00600FC7">
          <w:rPr>
            <w:rFonts w:ascii="Times New Roman" w:eastAsia="Times New Roman" w:hAnsi="Times New Roman" w:cs="Times New Roman"/>
            <w:color w:val="0000FF"/>
            <w:sz w:val="24"/>
            <w:szCs w:val="24"/>
            <w:u w:val="single"/>
          </w:rPr>
          <w:t>https://doi.org/10.1037/a0030928</w:t>
        </w:r>
      </w:hyperlink>
    </w:p>
    <w:p w14:paraId="2E33B83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Foster, S. M., Kisley, M. A., Davis, H. P., Diede, N. T., Campbell, A. M., &amp; Davalos, D. B. (2013). Cognitive function predicts neural activity associated with pre-attentive temporal processing.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(2), 211–219. </w:t>
      </w:r>
      <w:hyperlink r:id="rId1877" w:history="1">
        <w:r w:rsidRPr="00600FC7">
          <w:rPr>
            <w:rFonts w:ascii="Times New Roman" w:eastAsia="Times New Roman" w:hAnsi="Times New Roman" w:cs="Times New Roman"/>
            <w:color w:val="0000FF"/>
            <w:sz w:val="24"/>
            <w:szCs w:val="24"/>
            <w:u w:val="single"/>
          </w:rPr>
          <w:t>https://doi.org/10.1016/j.neuropsychologia.2012.09.017</w:t>
        </w:r>
      </w:hyperlink>
    </w:p>
    <w:p w14:paraId="112F17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Fountoulakis, K. N. (2015). </w:t>
      </w:r>
      <w:r w:rsidRPr="00600FC7">
        <w:rPr>
          <w:rFonts w:ascii="Times New Roman" w:eastAsia="Times New Roman" w:hAnsi="Times New Roman" w:cs="Times New Roman"/>
          <w:i/>
          <w:iCs/>
          <w:sz w:val="24"/>
          <w:szCs w:val="24"/>
        </w:rPr>
        <w:t>Bipolar disorder: An evidence-based guide to manic depression.</w:t>
      </w:r>
      <w:r w:rsidRPr="00600FC7">
        <w:rPr>
          <w:rFonts w:ascii="Times New Roman" w:eastAsia="Times New Roman" w:hAnsi="Times New Roman" w:cs="Times New Roman"/>
          <w:sz w:val="24"/>
          <w:szCs w:val="24"/>
        </w:rPr>
        <w:t xml:space="preserve"> (pp. xx, 721). Springer-Verlag Publishing. </w:t>
      </w:r>
      <w:hyperlink r:id="rId1878" w:history="1">
        <w:r w:rsidRPr="00600FC7">
          <w:rPr>
            <w:rFonts w:ascii="Times New Roman" w:eastAsia="Times New Roman" w:hAnsi="Times New Roman" w:cs="Times New Roman"/>
            <w:color w:val="0000FF"/>
            <w:sz w:val="24"/>
            <w:szCs w:val="24"/>
            <w:u w:val="single"/>
          </w:rPr>
          <w:t>https://doi.org/10.1007/978-3-642-37216-2</w:t>
        </w:r>
      </w:hyperlink>
    </w:p>
    <w:p w14:paraId="56A3B88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Fowler Jr., L. T. (2000). </w:t>
      </w:r>
      <w:r w:rsidRPr="00600FC7">
        <w:rPr>
          <w:rFonts w:ascii="Times New Roman" w:eastAsia="Times New Roman" w:hAnsi="Times New Roman" w:cs="Times New Roman"/>
          <w:i/>
          <w:iCs/>
          <w:sz w:val="24"/>
          <w:szCs w:val="24"/>
        </w:rPr>
        <w:t>Early indicators of familial Alzheimer’s disease: A case study.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(5-B), 2757–2757.</w:t>
      </w:r>
    </w:p>
    <w:p w14:paraId="61EBB2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Fox, D. P. (1999). </w:t>
      </w:r>
      <w:r w:rsidRPr="00600FC7">
        <w:rPr>
          <w:rFonts w:ascii="Times New Roman" w:eastAsia="Times New Roman" w:hAnsi="Times New Roman" w:cs="Times New Roman"/>
          <w:i/>
          <w:iCs/>
          <w:sz w:val="24"/>
          <w:szCs w:val="24"/>
        </w:rPr>
        <w:t>Effects of collaboration on problem-solving performance in healthy elderly couples and Parkinsonian-caregiver dyads. (Parkinson’s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(11-B), 6063–6063.</w:t>
      </w:r>
    </w:p>
    <w:p w14:paraId="2A3BB5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Fox, J., Cooper, R. P., &amp; Glasspool, D. W. (2013). A canonical theory of dynamic decision-making.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 </w:t>
      </w:r>
      <w:hyperlink r:id="rId1879" w:history="1">
        <w:r w:rsidRPr="00600FC7">
          <w:rPr>
            <w:rFonts w:ascii="Times New Roman" w:eastAsia="Times New Roman" w:hAnsi="Times New Roman" w:cs="Times New Roman"/>
            <w:color w:val="0000FF"/>
            <w:sz w:val="24"/>
            <w:szCs w:val="24"/>
            <w:u w:val="single"/>
          </w:rPr>
          <w:t>https://doi.org/10.3389/fpsyg.2013.00150</w:t>
        </w:r>
      </w:hyperlink>
    </w:p>
    <w:p w14:paraId="4FC0A1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Fraguas, D., Merchán-Naranjo, J., del Rey-Mejías, Á., Castro-Fornieles, J., González-Pinto, A., Rapado-Castro, M., Pina-Camacho, L., Díaz-Caneja, C. M., Graell, M., Otero, S., Baeza, I., Moreno, C., Martínez-Cengotitabengoa, M., Rodríguez-Toscano, E., Arango, C., &amp; Parellada, M. (2014). A longitudinal study on the relationship between duration of untreated psychosis and executive function in early-onset first-episode psychosis.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158</w:t>
      </w:r>
      <w:r w:rsidRPr="00600FC7">
        <w:rPr>
          <w:rFonts w:ascii="Times New Roman" w:eastAsia="Times New Roman" w:hAnsi="Times New Roman" w:cs="Times New Roman"/>
          <w:sz w:val="24"/>
          <w:szCs w:val="24"/>
        </w:rPr>
        <w:t xml:space="preserve">(1–3), 126–133. </w:t>
      </w:r>
      <w:hyperlink r:id="rId1880" w:history="1">
        <w:r w:rsidRPr="00600FC7">
          <w:rPr>
            <w:rFonts w:ascii="Times New Roman" w:eastAsia="Times New Roman" w:hAnsi="Times New Roman" w:cs="Times New Roman"/>
            <w:color w:val="0000FF"/>
            <w:sz w:val="24"/>
            <w:szCs w:val="24"/>
            <w:u w:val="single"/>
          </w:rPr>
          <w:t>https://doi.org/10.1016/j.schres.2014.06.038</w:t>
        </w:r>
      </w:hyperlink>
    </w:p>
    <w:p w14:paraId="2BFA73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Frakey, L. L., &amp; Davidoff, D. A. (2018). Neuropsychological assessment in geriatric forensic psychiatry. In </w:t>
      </w:r>
      <w:r w:rsidRPr="00600FC7">
        <w:rPr>
          <w:rFonts w:ascii="Times New Roman" w:eastAsia="Times New Roman" w:hAnsi="Times New Roman" w:cs="Times New Roman"/>
          <w:i/>
          <w:iCs/>
          <w:sz w:val="24"/>
          <w:szCs w:val="24"/>
        </w:rPr>
        <w:t>Geriatric forensic psychiatry: Principles and practice.</w:t>
      </w:r>
      <w:r w:rsidRPr="00600FC7">
        <w:rPr>
          <w:rFonts w:ascii="Times New Roman" w:eastAsia="Times New Roman" w:hAnsi="Times New Roman" w:cs="Times New Roman"/>
          <w:sz w:val="24"/>
          <w:szCs w:val="24"/>
        </w:rPr>
        <w:t xml:space="preserve"> (pp. 27–40). Oxford University Press.</w:t>
      </w:r>
    </w:p>
    <w:p w14:paraId="423E25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Franck, N., Duboc, C., Sundby, C., Amado, I., Wykes, T., Demily, C., Launay, C., Le Roy, V., Bloch, P., Willard, D., Todd, A., Petitjean, F., Foullu, S., Briant, P., Grillon, M.-L., Deppen, P., Verdoux, H., Bralet, M.-C., Januel, D., … Vianin, P. (2013). Specific vs general cognitive remediation for executive functioning in schizophrenia: A multicenter randomized trial.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147</w:t>
      </w:r>
      <w:r w:rsidRPr="00600FC7">
        <w:rPr>
          <w:rFonts w:ascii="Times New Roman" w:eastAsia="Times New Roman" w:hAnsi="Times New Roman" w:cs="Times New Roman"/>
          <w:sz w:val="24"/>
          <w:szCs w:val="24"/>
        </w:rPr>
        <w:t xml:space="preserve">(1), 68–74. </w:t>
      </w:r>
      <w:hyperlink r:id="rId1881" w:history="1">
        <w:r w:rsidRPr="00600FC7">
          <w:rPr>
            <w:rFonts w:ascii="Times New Roman" w:eastAsia="Times New Roman" w:hAnsi="Times New Roman" w:cs="Times New Roman"/>
            <w:color w:val="0000FF"/>
            <w:sz w:val="24"/>
            <w:szCs w:val="24"/>
            <w:u w:val="single"/>
          </w:rPr>
          <w:t>https://doi.org/10.1016/j.schres.2013.03.009</w:t>
        </w:r>
      </w:hyperlink>
    </w:p>
    <w:p w14:paraId="652FFB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Francomano, A., Bonanno, B., Fucà, L., La Placa, M., &amp; La Barbera, D. (2011). The role of antidepressant treatments on cognitive deficits: A review of recent literature. </w:t>
      </w:r>
      <w:r w:rsidRPr="00600FC7">
        <w:rPr>
          <w:rFonts w:ascii="Times New Roman" w:eastAsia="Times New Roman" w:hAnsi="Times New Roman" w:cs="Times New Roman"/>
          <w:i/>
          <w:iCs/>
          <w:sz w:val="24"/>
          <w:szCs w:val="24"/>
        </w:rPr>
        <w:t>Clinical Neuropsychiatry: Journal of Treatment Evaluation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(6), 354–366.</w:t>
      </w:r>
    </w:p>
    <w:p w14:paraId="7CE1A2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Frangou, S. (2013). Neurocognition in early-onset schizophrenia. </w:t>
      </w:r>
      <w:r w:rsidRPr="00600FC7">
        <w:rPr>
          <w:rFonts w:ascii="Times New Roman" w:eastAsia="Times New Roman" w:hAnsi="Times New Roman" w:cs="Times New Roman"/>
          <w:i/>
          <w:iCs/>
          <w:sz w:val="24"/>
          <w:szCs w:val="24"/>
        </w:rPr>
        <w:t>Child and Adolescent Psychiatric Clinics of North America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(4), 715–726. </w:t>
      </w:r>
      <w:hyperlink r:id="rId1882" w:history="1">
        <w:r w:rsidRPr="00600FC7">
          <w:rPr>
            <w:rFonts w:ascii="Times New Roman" w:eastAsia="Times New Roman" w:hAnsi="Times New Roman" w:cs="Times New Roman"/>
            <w:color w:val="0000FF"/>
            <w:sz w:val="24"/>
            <w:szCs w:val="24"/>
            <w:u w:val="single"/>
          </w:rPr>
          <w:t>https://doi.org/10.1016/j.chc.2013.04.007</w:t>
        </w:r>
      </w:hyperlink>
    </w:p>
    <w:p w14:paraId="7725A5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Dakhil, N., Landau, S., &amp; Kumari, V. (2006). Fronto-temporal function may distinguish bipolar disorder from schizophrenia.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(1), 47–55. </w:t>
      </w:r>
      <w:hyperlink r:id="rId1883" w:history="1">
        <w:r w:rsidRPr="00600FC7">
          <w:rPr>
            <w:rFonts w:ascii="Times New Roman" w:eastAsia="Times New Roman" w:hAnsi="Times New Roman" w:cs="Times New Roman"/>
            <w:color w:val="0000FF"/>
            <w:sz w:val="24"/>
            <w:szCs w:val="24"/>
            <w:u w:val="single"/>
          </w:rPr>
          <w:t>https://doi.org/10.1111/j.1399-5618.2006.00274.x</w:t>
        </w:r>
      </w:hyperlink>
    </w:p>
    <w:p w14:paraId="7A52EA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Donaldson, S., Hadjulis, M., Landau, S., &amp; Goldstein, L. H. (2005). The Maudsley Bipolar Disorder Project: Executive dysfunction in bipolar disorder I and its clinical correlates.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(11), 859–864. </w:t>
      </w:r>
      <w:hyperlink r:id="rId1884" w:history="1">
        <w:r w:rsidRPr="00600FC7">
          <w:rPr>
            <w:rFonts w:ascii="Times New Roman" w:eastAsia="Times New Roman" w:hAnsi="Times New Roman" w:cs="Times New Roman"/>
            <w:color w:val="0000FF"/>
            <w:sz w:val="24"/>
            <w:szCs w:val="24"/>
            <w:u w:val="single"/>
          </w:rPr>
          <w:t>https://doi.org/10.1016/j.biopsych.2005.04.056</w:t>
        </w:r>
      </w:hyperlink>
    </w:p>
    <w:p w14:paraId="59F31B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Frangou, S., Haldane, M., Roddy, D., &amp; Kumari, V. (2005). Evidence for Deficit in Tasks of Ventral, but not Dorsal, Prefrontal Executive Function as an Endophenotypic Marker for Bipolar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(10), 838–839. </w:t>
      </w:r>
      <w:hyperlink r:id="rId1885" w:history="1">
        <w:r w:rsidRPr="00600FC7">
          <w:rPr>
            <w:rFonts w:ascii="Times New Roman" w:eastAsia="Times New Roman" w:hAnsi="Times New Roman" w:cs="Times New Roman"/>
            <w:color w:val="0000FF"/>
            <w:sz w:val="24"/>
            <w:szCs w:val="24"/>
            <w:u w:val="single"/>
          </w:rPr>
          <w:t>https://doi.org/10.1016/j.biopsych.2005.05.020</w:t>
        </w:r>
      </w:hyperlink>
    </w:p>
    <w:p w14:paraId="5E722E9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 B., Roszyk, M., Hurley, L., Drejaj, L., &amp; McKay, D. (2020). Inattention in misophonia: Difficulties achieving and maintaining alertness.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(1), 66–75. </w:t>
      </w:r>
      <w:hyperlink r:id="rId1886" w:history="1">
        <w:r w:rsidRPr="00600FC7">
          <w:rPr>
            <w:rFonts w:ascii="Times New Roman" w:eastAsia="Times New Roman" w:hAnsi="Times New Roman" w:cs="Times New Roman"/>
            <w:color w:val="0000FF"/>
            <w:sz w:val="24"/>
            <w:szCs w:val="24"/>
            <w:u w:val="single"/>
          </w:rPr>
          <w:t>https://doi.org/10.1080/13803395.2019.1666801</w:t>
        </w:r>
      </w:hyperlink>
    </w:p>
    <w:p w14:paraId="5D7299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 A. G., Gränsmark, P., Agricola, A., Schühle, K., Rommel, T., Sebastian, A., Balló, H. E., Gorbulev, S., Gerdes, C., Frank, B., Ruckes, C., Tüscher, O., &amp; Lieb, K. (2017). Methylphenidate, modafinil, and caffeine for cognitive enhancement in chess: A double-blind, randomised controlled trial. </w:t>
      </w:r>
      <w:r w:rsidRPr="00600FC7">
        <w:rPr>
          <w:rFonts w:ascii="Times New Roman" w:eastAsia="Times New Roman" w:hAnsi="Times New Roman" w:cs="Times New Roman"/>
          <w:i/>
          <w:iCs/>
          <w:sz w:val="24"/>
          <w:szCs w:val="24"/>
        </w:rPr>
        <w:t>European 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248–260. </w:t>
      </w:r>
      <w:hyperlink r:id="rId1887" w:history="1">
        <w:r w:rsidRPr="00600FC7">
          <w:rPr>
            <w:rFonts w:ascii="Times New Roman" w:eastAsia="Times New Roman" w:hAnsi="Times New Roman" w:cs="Times New Roman"/>
            <w:color w:val="0000FF"/>
            <w:sz w:val="24"/>
            <w:szCs w:val="24"/>
            <w:u w:val="single"/>
          </w:rPr>
          <w:t>https://doi.org/10.1016/j.euroneuro.2017.01.006</w:t>
        </w:r>
      </w:hyperlink>
    </w:p>
    <w:p w14:paraId="1078596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Franke, P., Maier, W., Hardt, J., Frieboes, R., Lichtermann, D., &amp; Hain, C. (1993). Assessment of frontal lobe functioning in schizophrenia and unipolar major depression.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(2), 76–84. </w:t>
      </w:r>
      <w:hyperlink r:id="rId1888" w:history="1">
        <w:r w:rsidRPr="00600FC7">
          <w:rPr>
            <w:rFonts w:ascii="Times New Roman" w:eastAsia="Times New Roman" w:hAnsi="Times New Roman" w:cs="Times New Roman"/>
            <w:color w:val="0000FF"/>
            <w:sz w:val="24"/>
            <w:szCs w:val="24"/>
            <w:u w:val="single"/>
          </w:rPr>
          <w:t>https://doi.org/10.1159/000284803</w:t>
        </w:r>
      </w:hyperlink>
    </w:p>
    <w:p w14:paraId="740ADF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 P., Maier, W., Hardt, J., &amp; Hain, C. (1993). Cognitive functioning and anhedonia in subjects at risk for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77–84. </w:t>
      </w:r>
      <w:hyperlink r:id="rId1889" w:history="1">
        <w:r w:rsidRPr="00600FC7">
          <w:rPr>
            <w:rFonts w:ascii="Times New Roman" w:eastAsia="Times New Roman" w:hAnsi="Times New Roman" w:cs="Times New Roman"/>
            <w:color w:val="0000FF"/>
            <w:sz w:val="24"/>
            <w:szCs w:val="24"/>
            <w:u w:val="single"/>
          </w:rPr>
          <w:t>https://doi.org/10.1016/0920-9964(93)90079-X</w:t>
        </w:r>
      </w:hyperlink>
    </w:p>
    <w:p w14:paraId="60338A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Frankel, T., &amp; Penn, C. (2007). Perseveration and conversation in TBI: Response to pharmacological intervention.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(10–11), 1039–1078. </w:t>
      </w:r>
      <w:hyperlink r:id="rId1890" w:history="1">
        <w:r w:rsidRPr="00600FC7">
          <w:rPr>
            <w:rFonts w:ascii="Times New Roman" w:eastAsia="Times New Roman" w:hAnsi="Times New Roman" w:cs="Times New Roman"/>
            <w:color w:val="0000FF"/>
            <w:sz w:val="24"/>
            <w:szCs w:val="24"/>
            <w:u w:val="single"/>
          </w:rPr>
          <w:t>https://doi.org/10.1080/02687030701198395</w:t>
        </w:r>
      </w:hyperlink>
    </w:p>
    <w:p w14:paraId="345EA3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Franklin Jr., R. G., &amp; Zebrowitz, L. A. (2013). Older adults’ trait impressions of faces are sensitive to subtle resemblance to emotions. </w:t>
      </w:r>
      <w:r w:rsidRPr="00600FC7">
        <w:rPr>
          <w:rFonts w:ascii="Times New Roman" w:eastAsia="Times New Roman" w:hAnsi="Times New Roman" w:cs="Times New Roman"/>
          <w:i/>
          <w:iCs/>
          <w:sz w:val="24"/>
          <w:szCs w:val="24"/>
        </w:rPr>
        <w:t>Journal of Nonverbal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(3), 139–151. </w:t>
      </w:r>
      <w:hyperlink r:id="rId1891" w:history="1">
        <w:r w:rsidRPr="00600FC7">
          <w:rPr>
            <w:rFonts w:ascii="Times New Roman" w:eastAsia="Times New Roman" w:hAnsi="Times New Roman" w:cs="Times New Roman"/>
            <w:color w:val="0000FF"/>
            <w:sz w:val="24"/>
            <w:szCs w:val="24"/>
            <w:u w:val="single"/>
          </w:rPr>
          <w:t>https://doi.org/10.1007/s10919-013-0150-4</w:t>
        </w:r>
      </w:hyperlink>
    </w:p>
    <w:p w14:paraId="2DAC43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Franks, K. W., Sreenivasan, S., Spray, B. J., &amp; Kirkish, P. (2009). The mangled butterfly: Rorschach results from 45 violent psychopaths. </w:t>
      </w:r>
      <w:r w:rsidRPr="00600FC7">
        <w:rPr>
          <w:rFonts w:ascii="Times New Roman" w:eastAsia="Times New Roman" w:hAnsi="Times New Roman" w:cs="Times New Roman"/>
          <w:i/>
          <w:iCs/>
          <w:sz w:val="24"/>
          <w:szCs w:val="24"/>
        </w:rPr>
        <w:t>Behavioral Sciences &amp; the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491–506. </w:t>
      </w:r>
      <w:hyperlink r:id="rId1892" w:history="1">
        <w:r w:rsidRPr="00600FC7">
          <w:rPr>
            <w:rFonts w:ascii="Times New Roman" w:eastAsia="Times New Roman" w:hAnsi="Times New Roman" w:cs="Times New Roman"/>
            <w:color w:val="0000FF"/>
            <w:sz w:val="24"/>
            <w:szCs w:val="24"/>
            <w:u w:val="single"/>
          </w:rPr>
          <w:t>https://doi.org/10.1002/bsl.866</w:t>
        </w:r>
      </w:hyperlink>
    </w:p>
    <w:p w14:paraId="44B0EB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Franzen, M. D., &amp; Harris, C. V. (1993). Neuropsychological rehabilitation: Application of a modified multiple baseline design.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(6), 525–534. </w:t>
      </w:r>
      <w:hyperlink r:id="rId1893" w:history="1">
        <w:r w:rsidRPr="00600FC7">
          <w:rPr>
            <w:rFonts w:ascii="Times New Roman" w:eastAsia="Times New Roman" w:hAnsi="Times New Roman" w:cs="Times New Roman"/>
            <w:color w:val="0000FF"/>
            <w:sz w:val="24"/>
            <w:szCs w:val="24"/>
            <w:u w:val="single"/>
          </w:rPr>
          <w:t>https://doi.org/10.3109/02699059309008180</w:t>
        </w:r>
      </w:hyperlink>
    </w:p>
    <w:p w14:paraId="524B69A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Franzen, M. D., Smith, S. S., Paul, D. S., &amp; MacInnes, W. D. (1993). Order effects in the administration of the Booklet Category Test and Wisconsin Card Sorting Test.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(2), 105–110. </w:t>
      </w:r>
      <w:hyperlink r:id="rId1894" w:history="1">
        <w:r w:rsidRPr="00600FC7">
          <w:rPr>
            <w:rFonts w:ascii="Times New Roman" w:eastAsia="Times New Roman" w:hAnsi="Times New Roman" w:cs="Times New Roman"/>
            <w:color w:val="0000FF"/>
            <w:sz w:val="24"/>
            <w:szCs w:val="24"/>
            <w:u w:val="single"/>
          </w:rPr>
          <w:t>https://doi.org/10.1016/0887-6177(93)90028-Y</w:t>
        </w:r>
      </w:hyperlink>
    </w:p>
    <w:p w14:paraId="32203AE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Frascarelli, M., Tognin, S., Mirigliani, A., Parente, F., Buzzanca, A., Torti, M. C., Tinelli, E., Caramia, F., Di Fabio, F., Biondi, M., &amp; Fusar-Poli, P. (2015). Medial frontal gyrus </w:t>
      </w:r>
      <w:r w:rsidRPr="00600FC7">
        <w:rPr>
          <w:rFonts w:ascii="Times New Roman" w:eastAsia="Times New Roman" w:hAnsi="Times New Roman" w:cs="Times New Roman"/>
          <w:sz w:val="24"/>
          <w:szCs w:val="24"/>
        </w:rPr>
        <w:lastRenderedPageBreak/>
        <w:t xml:space="preserve">alterations in schizophrenia: Relationship with duration of illness and executive dysfunction.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231</w:t>
      </w:r>
      <w:r w:rsidRPr="00600FC7">
        <w:rPr>
          <w:rFonts w:ascii="Times New Roman" w:eastAsia="Times New Roman" w:hAnsi="Times New Roman" w:cs="Times New Roman"/>
          <w:sz w:val="24"/>
          <w:szCs w:val="24"/>
        </w:rPr>
        <w:t xml:space="preserve">(2), 103–110. </w:t>
      </w:r>
      <w:hyperlink r:id="rId1895" w:history="1">
        <w:r w:rsidRPr="00600FC7">
          <w:rPr>
            <w:rFonts w:ascii="Times New Roman" w:eastAsia="Times New Roman" w:hAnsi="Times New Roman" w:cs="Times New Roman"/>
            <w:color w:val="0000FF"/>
            <w:sz w:val="24"/>
            <w:szCs w:val="24"/>
            <w:u w:val="single"/>
          </w:rPr>
          <w:t>https://doi.org/10.1016/j.pscychresns.2014.10.017</w:t>
        </w:r>
      </w:hyperlink>
    </w:p>
    <w:p w14:paraId="19807B9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Frazier, J. A., Giuliano, A. J., Johnson, J. L., Yakutis, L., Youngstrom, E. A., Breiger, D., Sikich, L., Findling, R. L., McClellan, J., Hamer, R. M., Vitiello, B., Lieberman, J. A., &amp; Hooper, S. R. (2012). Neurocognitive outcomes in the treatment of early-onset schizophrenia spectrum disorders study. </w:t>
      </w:r>
      <w:r w:rsidRPr="00600FC7">
        <w:rPr>
          <w:rFonts w:ascii="Times New Roman" w:eastAsia="Times New Roman" w:hAnsi="Times New Roman" w:cs="Times New Roman"/>
          <w:i/>
          <w:iCs/>
          <w:sz w:val="24"/>
          <w:szCs w:val="24"/>
        </w:rPr>
        <w:t>Journal of the American Academy of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(5), 496–505. </w:t>
      </w:r>
      <w:hyperlink r:id="rId1896" w:history="1">
        <w:r w:rsidRPr="00600FC7">
          <w:rPr>
            <w:rFonts w:ascii="Times New Roman" w:eastAsia="Times New Roman" w:hAnsi="Times New Roman" w:cs="Times New Roman"/>
            <w:color w:val="0000FF"/>
            <w:sz w:val="24"/>
            <w:szCs w:val="24"/>
            <w:u w:val="single"/>
          </w:rPr>
          <w:t>https://doi.org/10.1016/j.jaac.2012.02.001</w:t>
        </w:r>
      </w:hyperlink>
    </w:p>
    <w:p w14:paraId="711261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Frazier, T. W., Demaree, H. A., &amp; Youngstrom, E. A. (2004). Meta-Analysis of Intellectual and Neuropsychological Test Performance in Attention-Deficit/Hyperactivity Disorder.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(3), 543–555. </w:t>
      </w:r>
      <w:hyperlink r:id="rId1897" w:history="1">
        <w:r w:rsidRPr="00600FC7">
          <w:rPr>
            <w:rFonts w:ascii="Times New Roman" w:eastAsia="Times New Roman" w:hAnsi="Times New Roman" w:cs="Times New Roman"/>
            <w:color w:val="0000FF"/>
            <w:sz w:val="24"/>
            <w:szCs w:val="24"/>
            <w:u w:val="single"/>
          </w:rPr>
          <w:t>https://doi.org/10.1037/0894-4105.18.3.543</w:t>
        </w:r>
      </w:hyperlink>
    </w:p>
    <w:p w14:paraId="6936C2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Frazier, T. W., Youngstrom, E. A., Chelune, G. J., Naugle, R. I., &amp; Lineweaver, T. T. (2004). Increasing the reliability of ipsative interpretations in neuropsychology: A comparison of reliable components analysis and other factor analytic methods.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(4), 578–589. </w:t>
      </w:r>
      <w:hyperlink r:id="rId1898" w:history="1">
        <w:r w:rsidRPr="00600FC7">
          <w:rPr>
            <w:rFonts w:ascii="Times New Roman" w:eastAsia="Times New Roman" w:hAnsi="Times New Roman" w:cs="Times New Roman"/>
            <w:color w:val="0000FF"/>
            <w:sz w:val="24"/>
            <w:szCs w:val="24"/>
            <w:u w:val="single"/>
          </w:rPr>
          <w:t>https://doi.org/10.1017/S1355617704104049</w:t>
        </w:r>
      </w:hyperlink>
    </w:p>
    <w:p w14:paraId="74DE46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Fredrick, M. M., Mintz, J., Roberts, D. L., Maples, N. J., Sarkar, S., Li, X., &amp; Velligan, D. I. (2015). Is cognitive adaptation training (CAT) compensatory, restorative, or both?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166</w:t>
      </w:r>
      <w:r w:rsidRPr="00600FC7">
        <w:rPr>
          <w:rFonts w:ascii="Times New Roman" w:eastAsia="Times New Roman" w:hAnsi="Times New Roman" w:cs="Times New Roman"/>
          <w:sz w:val="24"/>
          <w:szCs w:val="24"/>
        </w:rPr>
        <w:t xml:space="preserve">(1–3), 290–296. </w:t>
      </w:r>
      <w:hyperlink r:id="rId1899" w:history="1">
        <w:r w:rsidRPr="00600FC7">
          <w:rPr>
            <w:rFonts w:ascii="Times New Roman" w:eastAsia="Times New Roman" w:hAnsi="Times New Roman" w:cs="Times New Roman"/>
            <w:color w:val="0000FF"/>
            <w:sz w:val="24"/>
            <w:szCs w:val="24"/>
            <w:u w:val="single"/>
          </w:rPr>
          <w:t>https://doi.org/10.1016/j.schres.2015.06.003</w:t>
        </w:r>
      </w:hyperlink>
    </w:p>
    <w:p w14:paraId="0E32D35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Freedman, D., Bao, Y., Kremen, W. S., Vinogradov, S., McKeague, I. W., &amp; Brown, A. S. (2013). Birth weight and neurocognition in schizophrenia spectrum disorders.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(3), 592–600. </w:t>
      </w:r>
      <w:hyperlink r:id="rId1900" w:history="1">
        <w:r w:rsidRPr="00600FC7">
          <w:rPr>
            <w:rFonts w:ascii="Times New Roman" w:eastAsia="Times New Roman" w:hAnsi="Times New Roman" w:cs="Times New Roman"/>
            <w:color w:val="0000FF"/>
            <w:sz w:val="24"/>
            <w:szCs w:val="24"/>
            <w:u w:val="single"/>
          </w:rPr>
          <w:t>https://doi.org/10.1093/schbul/sbs008</w:t>
        </w:r>
      </w:hyperlink>
    </w:p>
    <w:p w14:paraId="4EE2907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Freedman, M., Binns, M. A., Black, S. E., Murphy, C., &amp; Stuss, D. T. (2013). Theory of mind and recognition of facial emotion in dementia: Challenge to current concepts. </w:t>
      </w:r>
      <w:r w:rsidRPr="00600FC7">
        <w:rPr>
          <w:rFonts w:ascii="Times New Roman" w:eastAsia="Times New Roman" w:hAnsi="Times New Roman" w:cs="Times New Roman"/>
          <w:i/>
          <w:iCs/>
          <w:sz w:val="24"/>
          <w:szCs w:val="24"/>
        </w:rPr>
        <w:t xml:space="preserve">Alzheimer </w:t>
      </w:r>
      <w:r w:rsidRPr="00600FC7">
        <w:rPr>
          <w:rFonts w:ascii="Times New Roman" w:eastAsia="Times New Roman" w:hAnsi="Times New Roman" w:cs="Times New Roman"/>
          <w:i/>
          <w:iCs/>
          <w:sz w:val="24"/>
          <w:szCs w:val="24"/>
        </w:rPr>
        <w:lastRenderedPageBreak/>
        <w:t>Disease and Associated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(1), 56–61. </w:t>
      </w:r>
      <w:hyperlink r:id="rId1901" w:history="1">
        <w:r w:rsidRPr="00600FC7">
          <w:rPr>
            <w:rFonts w:ascii="Times New Roman" w:eastAsia="Times New Roman" w:hAnsi="Times New Roman" w:cs="Times New Roman"/>
            <w:color w:val="0000FF"/>
            <w:sz w:val="24"/>
            <w:szCs w:val="24"/>
            <w:u w:val="single"/>
          </w:rPr>
          <w:t>https://doi.org/10.1097/WAD.0b013e31824ea5db</w:t>
        </w:r>
      </w:hyperlink>
    </w:p>
    <w:p w14:paraId="64CBFE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Freedman, M., Black, S., Ebert, P., &amp; Binns, M. (1998). Orbitofrontal function, object alternation and perseveration. </w:t>
      </w:r>
      <w:r w:rsidRPr="00600FC7">
        <w:rPr>
          <w:rFonts w:ascii="Times New Roman" w:eastAsia="Times New Roman" w:hAnsi="Times New Roman" w:cs="Times New Roman"/>
          <w:i/>
          <w:iCs/>
          <w:sz w:val="24"/>
          <w:szCs w:val="24"/>
        </w:rPr>
        <w:t>Cerebral Cortex</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(1), 18–27. </w:t>
      </w:r>
      <w:hyperlink r:id="rId1902" w:history="1">
        <w:r w:rsidRPr="00600FC7">
          <w:rPr>
            <w:rFonts w:ascii="Times New Roman" w:eastAsia="Times New Roman" w:hAnsi="Times New Roman" w:cs="Times New Roman"/>
            <w:color w:val="0000FF"/>
            <w:sz w:val="24"/>
            <w:szCs w:val="24"/>
            <w:u w:val="single"/>
          </w:rPr>
          <w:t>https://doi.org/10.1093/cercor/8.1.18</w:t>
        </w:r>
      </w:hyperlink>
    </w:p>
    <w:p w14:paraId="00F881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Freeman, T., Roca, V., Guggenheim, F., Kimbrell, T., &amp; Griffin, W. S. T. (2005). Neuropsychiatric associations of apolipoprotein E alleles in subjects with combat-related posttraumatic stress disorder.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(4), 541–543. </w:t>
      </w:r>
      <w:hyperlink r:id="rId1903" w:history="1">
        <w:r w:rsidRPr="00600FC7">
          <w:rPr>
            <w:rFonts w:ascii="Times New Roman" w:eastAsia="Times New Roman" w:hAnsi="Times New Roman" w:cs="Times New Roman"/>
            <w:color w:val="0000FF"/>
            <w:sz w:val="24"/>
            <w:szCs w:val="24"/>
            <w:u w:val="single"/>
          </w:rPr>
          <w:t>https://doi.org/10.1176/appi.neuropsych.17.4.541</w:t>
        </w:r>
      </w:hyperlink>
    </w:p>
    <w:p w14:paraId="589210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French, L. M., Iverson, G. L., Lange, R. T., &amp; Bryant, R. A. (2012). Neuropsychological consequences of injury in military personnel. In </w:t>
      </w:r>
      <w:r w:rsidRPr="00600FC7">
        <w:rPr>
          <w:rFonts w:ascii="Times New Roman" w:eastAsia="Times New Roman" w:hAnsi="Times New Roman" w:cs="Times New Roman"/>
          <w:i/>
          <w:iCs/>
          <w:sz w:val="24"/>
          <w:szCs w:val="24"/>
        </w:rPr>
        <w:t>Neuropsychological assessment of work-related injuries.</w:t>
      </w:r>
      <w:r w:rsidRPr="00600FC7">
        <w:rPr>
          <w:rFonts w:ascii="Times New Roman" w:eastAsia="Times New Roman" w:hAnsi="Times New Roman" w:cs="Times New Roman"/>
          <w:sz w:val="24"/>
          <w:szCs w:val="24"/>
        </w:rPr>
        <w:t xml:space="preserve"> (pp. 127–160). Guilford Press.</w:t>
      </w:r>
    </w:p>
    <w:p w14:paraId="767E81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Frenette, A. J., Kanji, S., Rees, L., Williamson, D. R., Perreault, M. M., Turgeon, A. F., Bernard, F., &amp; Fergusson, D. A. (2012). Efficacy and safety of dopamine agonists in traumatic brain injury: A systematic review of randomized controlled trials. </w:t>
      </w:r>
      <w:r w:rsidRPr="00600FC7">
        <w:rPr>
          <w:rFonts w:ascii="Times New Roman" w:eastAsia="Times New Roman" w:hAnsi="Times New Roman" w:cs="Times New Roman"/>
          <w:i/>
          <w:iCs/>
          <w:sz w:val="24"/>
          <w:szCs w:val="24"/>
        </w:rPr>
        <w:t>Journal of Neurotrauma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 1–18. </w:t>
      </w:r>
      <w:hyperlink r:id="rId1904" w:history="1">
        <w:r w:rsidRPr="00600FC7">
          <w:rPr>
            <w:rFonts w:ascii="Times New Roman" w:eastAsia="Times New Roman" w:hAnsi="Times New Roman" w:cs="Times New Roman"/>
            <w:color w:val="0000FF"/>
            <w:sz w:val="24"/>
            <w:szCs w:val="24"/>
            <w:u w:val="single"/>
          </w:rPr>
          <w:t>https://doi.org/10.1089/neu.2011.1812</w:t>
        </w:r>
      </w:hyperlink>
    </w:p>
    <w:p w14:paraId="6E32CC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Freudenberger, P., Petrovic, K., Sen, A., Töglhofer, A. M., Fixa, A., Hofer, E., Perl, S., Zweiker, R., Seshadri, S., Schmidt, R., &amp; Schmidt, H. (2016). Fitness and cognition in the elderly: The Austrian Stroke Prevention Study.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86</w:t>
      </w:r>
      <w:r w:rsidRPr="00600FC7">
        <w:rPr>
          <w:rFonts w:ascii="Times New Roman" w:eastAsia="Times New Roman" w:hAnsi="Times New Roman" w:cs="Times New Roman"/>
          <w:sz w:val="24"/>
          <w:szCs w:val="24"/>
        </w:rPr>
        <w:t xml:space="preserve">(5), 418–424. </w:t>
      </w:r>
      <w:hyperlink r:id="rId1905" w:history="1">
        <w:r w:rsidRPr="00600FC7">
          <w:rPr>
            <w:rFonts w:ascii="Times New Roman" w:eastAsia="Times New Roman" w:hAnsi="Times New Roman" w:cs="Times New Roman"/>
            <w:color w:val="0000FF"/>
            <w:sz w:val="24"/>
            <w:szCs w:val="24"/>
            <w:u w:val="single"/>
          </w:rPr>
          <w:t>https://doi.org/10.1212/WNL.0000000000002329</w:t>
        </w:r>
      </w:hyperlink>
    </w:p>
    <w:p w14:paraId="2DDD060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Freudenmann, R. W., Schönfeldt-Lecuona, C., Spitzer, M., Hermle, L., &amp; Grön, G. (2006). Electroconvulsive therapy in the treatment of depression in a former ecstasy user.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860–862. </w:t>
      </w:r>
      <w:hyperlink r:id="rId1906" w:history="1">
        <w:r w:rsidRPr="00600FC7">
          <w:rPr>
            <w:rFonts w:ascii="Times New Roman" w:eastAsia="Times New Roman" w:hAnsi="Times New Roman" w:cs="Times New Roman"/>
            <w:color w:val="0000FF"/>
            <w:sz w:val="24"/>
            <w:szCs w:val="24"/>
            <w:u w:val="single"/>
          </w:rPr>
          <w:t>https://doi.org/10.1177/0269881106067243</w:t>
        </w:r>
      </w:hyperlink>
    </w:p>
    <w:p w14:paraId="133CE9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Freudenreich, O., Deckersbach, T., &amp; Goff, D. C. (2004). Insight into current symptoms of schizophrenia. Association with frontal cortical function and affect.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110</w:t>
      </w:r>
      <w:r w:rsidRPr="00600FC7">
        <w:rPr>
          <w:rFonts w:ascii="Times New Roman" w:eastAsia="Times New Roman" w:hAnsi="Times New Roman" w:cs="Times New Roman"/>
          <w:sz w:val="24"/>
          <w:szCs w:val="24"/>
        </w:rPr>
        <w:t xml:space="preserve">(1), 14–20. </w:t>
      </w:r>
      <w:hyperlink r:id="rId1907" w:history="1">
        <w:r w:rsidRPr="00600FC7">
          <w:rPr>
            <w:rFonts w:ascii="Times New Roman" w:eastAsia="Times New Roman" w:hAnsi="Times New Roman" w:cs="Times New Roman"/>
            <w:color w:val="0000FF"/>
            <w:sz w:val="24"/>
            <w:szCs w:val="24"/>
            <w:u w:val="single"/>
          </w:rPr>
          <w:t>https://doi.org/10.1111/j.1600-0447.2004.00319.x</w:t>
        </w:r>
      </w:hyperlink>
    </w:p>
    <w:p w14:paraId="22E30E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Freudenreich, O., Henderson, D. C., Macklin, E. A., Evins, A. E., Fan, X., Cather, C., Walsh, J. P., &amp; Goff, D. C. (2009). Modafinil for clozapine-treated schizophrenia patients: A double-blind, placebo-controlled pilot trial. </w:t>
      </w:r>
      <w:r w:rsidRPr="00600FC7">
        <w:rPr>
          <w:rFonts w:ascii="Times New Roman" w:eastAsia="Times New Roman" w:hAnsi="Times New Roman" w:cs="Times New Roman"/>
          <w:i/>
          <w:iCs/>
          <w:sz w:val="24"/>
          <w:szCs w:val="24"/>
        </w:rPr>
        <w:t>The Journal of Clinical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(12), 1674–1680. </w:t>
      </w:r>
      <w:hyperlink r:id="rId1908" w:history="1">
        <w:r w:rsidRPr="00600FC7">
          <w:rPr>
            <w:rFonts w:ascii="Times New Roman" w:eastAsia="Times New Roman" w:hAnsi="Times New Roman" w:cs="Times New Roman"/>
            <w:color w:val="0000FF"/>
            <w:sz w:val="24"/>
            <w:szCs w:val="24"/>
            <w:u w:val="single"/>
          </w:rPr>
          <w:t>https://doi.org/10.4088/JCP.08m04683</w:t>
        </w:r>
      </w:hyperlink>
    </w:p>
    <w:p w14:paraId="7BB8F5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Freyslinger, M. G. (1996). </w:t>
      </w:r>
      <w:r w:rsidRPr="00600FC7">
        <w:rPr>
          <w:rFonts w:ascii="Times New Roman" w:eastAsia="Times New Roman" w:hAnsi="Times New Roman" w:cs="Times New Roman"/>
          <w:i/>
          <w:iCs/>
          <w:sz w:val="24"/>
          <w:szCs w:val="24"/>
        </w:rPr>
        <w:t>A comparison of instructional techniques in the remediation of Wisconsin Card Sorting Test deficits of chronic schizophrenic patients.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57</w:t>
      </w:r>
      <w:r w:rsidRPr="00600FC7">
        <w:rPr>
          <w:rFonts w:ascii="Times New Roman" w:eastAsia="Times New Roman" w:hAnsi="Times New Roman" w:cs="Times New Roman"/>
          <w:sz w:val="24"/>
          <w:szCs w:val="24"/>
        </w:rPr>
        <w:t>(6-A), 2355–2355.</w:t>
      </w:r>
    </w:p>
    <w:p w14:paraId="01BF3E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Frías, Á., Dickstein, D. P., Merranko, J., Gill, M. K., Goldstein, T. R., Goldstein, B. I., Hower, H., Yen, S., Hafeman, D. M., Liao, F., Diler, R., Axelson, D., Strober, M., Hunt, J. I., Ryan, N. D., Keller, M. B., &amp; Birmaher, B. (2017). Longitudinal cognitive trajectories and associated clinical variables in youth with bipolar disorder. </w:t>
      </w:r>
      <w:r w:rsidRPr="00600FC7">
        <w:rPr>
          <w:rFonts w:ascii="Times New Roman" w:eastAsia="Times New Roman" w:hAnsi="Times New Roman" w:cs="Times New Roman"/>
          <w:i/>
          <w:iCs/>
          <w:sz w:val="24"/>
          <w:szCs w:val="24"/>
        </w:rPr>
        <w:t>Bipolar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273–284. </w:t>
      </w:r>
      <w:hyperlink r:id="rId1909" w:history="1">
        <w:r w:rsidRPr="00600FC7">
          <w:rPr>
            <w:rFonts w:ascii="Times New Roman" w:eastAsia="Times New Roman" w:hAnsi="Times New Roman" w:cs="Times New Roman"/>
            <w:color w:val="0000FF"/>
            <w:sz w:val="24"/>
            <w:szCs w:val="24"/>
            <w:u w:val="single"/>
          </w:rPr>
          <w:t>https://doi.org/10.1111/bdi.12510</w:t>
        </w:r>
      </w:hyperlink>
    </w:p>
    <w:p w14:paraId="20C7871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Frías-Armenta, M., Valdez-Ramírez, P., Nava-Cruz, G., Figueredo, A. J., &amp; Corral-Verdugo, V. (2010). Executive functions, attention and juvenile delinquency. In </w:t>
      </w:r>
      <w:r w:rsidRPr="00600FC7">
        <w:rPr>
          <w:rFonts w:ascii="Times New Roman" w:eastAsia="Times New Roman" w:hAnsi="Times New Roman" w:cs="Times New Roman"/>
          <w:i/>
          <w:iCs/>
          <w:sz w:val="24"/>
          <w:szCs w:val="24"/>
        </w:rPr>
        <w:t>Bio-psycho-social perspectives on interpersonal violence.</w:t>
      </w:r>
      <w:r w:rsidRPr="00600FC7">
        <w:rPr>
          <w:rFonts w:ascii="Times New Roman" w:eastAsia="Times New Roman" w:hAnsi="Times New Roman" w:cs="Times New Roman"/>
          <w:sz w:val="24"/>
          <w:szCs w:val="24"/>
        </w:rPr>
        <w:t xml:space="preserve"> (pp. 29–49). Nova Science Publishers.</w:t>
      </w:r>
    </w:p>
    <w:p w14:paraId="219758E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Fridberg, D. J., Brenner, A., &amp; Lysaker, P. H. (2010). Verbal memory intrusions in schizophrenia: Associations with self-reflectivity, symptomatology, and neurocognition.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179</w:t>
      </w:r>
      <w:r w:rsidRPr="00600FC7">
        <w:rPr>
          <w:rFonts w:ascii="Times New Roman" w:eastAsia="Times New Roman" w:hAnsi="Times New Roman" w:cs="Times New Roman"/>
          <w:sz w:val="24"/>
          <w:szCs w:val="24"/>
        </w:rPr>
        <w:t xml:space="preserve">(1), 6–11. </w:t>
      </w:r>
      <w:hyperlink r:id="rId1910" w:history="1">
        <w:r w:rsidRPr="00600FC7">
          <w:rPr>
            <w:rFonts w:ascii="Times New Roman" w:eastAsia="Times New Roman" w:hAnsi="Times New Roman" w:cs="Times New Roman"/>
            <w:color w:val="0000FF"/>
            <w:sz w:val="24"/>
            <w:szCs w:val="24"/>
            <w:u w:val="single"/>
          </w:rPr>
          <w:t>https://doi.org/10.1016/j.psychres.2010.06.026</w:t>
        </w:r>
      </w:hyperlink>
    </w:p>
    <w:p w14:paraId="463965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Fridriksson, J., Nettles, C., Davis, M., Morrow, L., &amp; Montgomery, A. (2006). Functional communication and executive function in aphasia. </w:t>
      </w:r>
      <w:r w:rsidRPr="00600FC7">
        <w:rPr>
          <w:rFonts w:ascii="Times New Roman" w:eastAsia="Times New Roman" w:hAnsi="Times New Roman" w:cs="Times New Roman"/>
          <w:i/>
          <w:iCs/>
          <w:sz w:val="24"/>
          <w:szCs w:val="24"/>
        </w:rPr>
        <w:t>Clinical Linguistics &amp; Phonetics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401–410. </w:t>
      </w:r>
      <w:hyperlink r:id="rId1911" w:history="1">
        <w:r w:rsidRPr="00600FC7">
          <w:rPr>
            <w:rFonts w:ascii="Times New Roman" w:eastAsia="Times New Roman" w:hAnsi="Times New Roman" w:cs="Times New Roman"/>
            <w:color w:val="0000FF"/>
            <w:sz w:val="24"/>
            <w:szCs w:val="24"/>
            <w:u w:val="single"/>
          </w:rPr>
          <w:t>https://doi.org/10.1080/02699200500075781</w:t>
        </w:r>
      </w:hyperlink>
    </w:p>
    <w:p w14:paraId="22E7E3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Fridriksson, J., Ryalls, J., Rorden, C., Morgan, P. S., George, M. S., &amp; Baylis, G. C. (2005). Brain damage and cortical compensation in foreign accent syndrome.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(5), 319–324. </w:t>
      </w:r>
      <w:hyperlink r:id="rId1912" w:history="1">
        <w:r w:rsidRPr="00600FC7">
          <w:rPr>
            <w:rFonts w:ascii="Times New Roman" w:eastAsia="Times New Roman" w:hAnsi="Times New Roman" w:cs="Times New Roman"/>
            <w:color w:val="0000FF"/>
            <w:sz w:val="24"/>
            <w:szCs w:val="24"/>
            <w:u w:val="single"/>
          </w:rPr>
          <w:t>https://doi.org/10.1080/13554790591006302</w:t>
        </w:r>
      </w:hyperlink>
    </w:p>
    <w:p w14:paraId="350C65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 P. A., &amp; Watkinson, B. (2001). Differential effects on facets of attention in adolescents prenatally exposed to cigarettes and marihuana. </w:t>
      </w:r>
      <w:r w:rsidRPr="00600FC7">
        <w:rPr>
          <w:rFonts w:ascii="Times New Roman" w:eastAsia="Times New Roman" w:hAnsi="Times New Roman" w:cs="Times New Roman"/>
          <w:i/>
          <w:iCs/>
          <w:sz w:val="24"/>
          <w:szCs w:val="24"/>
        </w:rPr>
        <w:t>Neurotoxicology and Teratology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(5), 421–430. </w:t>
      </w:r>
      <w:hyperlink r:id="rId1913" w:history="1">
        <w:r w:rsidRPr="00600FC7">
          <w:rPr>
            <w:rFonts w:ascii="Times New Roman" w:eastAsia="Times New Roman" w:hAnsi="Times New Roman" w:cs="Times New Roman"/>
            <w:color w:val="0000FF"/>
            <w:sz w:val="24"/>
            <w:szCs w:val="24"/>
            <w:u w:val="single"/>
          </w:rPr>
          <w:t>https://doi.org/10.1016/S0892-0362(01)00160-X</w:t>
        </w:r>
      </w:hyperlink>
    </w:p>
    <w:p w14:paraId="3797F8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 R., Hirshfeld-Becker, D., Petty, C., Batchelder, H., &amp; Biederman, J. (2015). How informative is the CANTAB to assess executive functioning in children with ADHD? A controlled study. </w:t>
      </w:r>
      <w:r w:rsidRPr="00600FC7">
        <w:rPr>
          <w:rFonts w:ascii="Times New Roman" w:eastAsia="Times New Roman" w:hAnsi="Times New Roman" w:cs="Times New Roman"/>
          <w:i/>
          <w:iCs/>
          <w:sz w:val="24"/>
          <w:szCs w:val="24"/>
        </w:rPr>
        <w:t>Journal of Attention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(6), 468–475. </w:t>
      </w:r>
      <w:hyperlink r:id="rId1914" w:history="1">
        <w:r w:rsidRPr="00600FC7">
          <w:rPr>
            <w:rFonts w:ascii="Times New Roman" w:eastAsia="Times New Roman" w:hAnsi="Times New Roman" w:cs="Times New Roman"/>
            <w:color w:val="0000FF"/>
            <w:sz w:val="24"/>
            <w:szCs w:val="24"/>
            <w:u w:val="single"/>
          </w:rPr>
          <w:t>https://doi.org/10.1177/1087054712457038</w:t>
        </w:r>
      </w:hyperlink>
    </w:p>
    <w:p w14:paraId="5C2E77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Friederich, H.-C., &amp; Herzog, W. (2011). Cognitive-behavioral flexibility in anorexia nervosa. In </w:t>
      </w:r>
      <w:r w:rsidRPr="00600FC7">
        <w:rPr>
          <w:rFonts w:ascii="Times New Roman" w:eastAsia="Times New Roman" w:hAnsi="Times New Roman" w:cs="Times New Roman"/>
          <w:i/>
          <w:iCs/>
          <w:sz w:val="24"/>
          <w:szCs w:val="24"/>
        </w:rPr>
        <w:t>Behavioral neurobiology of eating disorders.</w:t>
      </w:r>
      <w:r w:rsidRPr="00600FC7">
        <w:rPr>
          <w:rFonts w:ascii="Times New Roman" w:eastAsia="Times New Roman" w:hAnsi="Times New Roman" w:cs="Times New Roman"/>
          <w:sz w:val="24"/>
          <w:szCs w:val="24"/>
        </w:rPr>
        <w:t xml:space="preserve"> (pp. 111–123). Springer-Verlag Publishing.</w:t>
      </w:r>
    </w:p>
    <w:p w14:paraId="7DB7BB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Friedman, J. I., Ocampo, R., Elbaz, Z., Parrella, M., White, L., Bowler, S., Davis, K. L., &amp; Harvey, P. D. (2005). The Effect of Citalopram Adjunctive Treatment Added to Atypical Antipsychotic Medications for Cognitive Performance in Patients With Schizophrenia. </w:t>
      </w:r>
      <w:r w:rsidRPr="00600FC7">
        <w:rPr>
          <w:rFonts w:ascii="Times New Roman" w:eastAsia="Times New Roman" w:hAnsi="Times New Roman" w:cs="Times New Roman"/>
          <w:i/>
          <w:iCs/>
          <w:sz w:val="24"/>
          <w:szCs w:val="24"/>
        </w:rPr>
        <w:t>Journal of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(3), 237–242. </w:t>
      </w:r>
      <w:hyperlink r:id="rId1915" w:history="1">
        <w:r w:rsidRPr="00600FC7">
          <w:rPr>
            <w:rFonts w:ascii="Times New Roman" w:eastAsia="Times New Roman" w:hAnsi="Times New Roman" w:cs="Times New Roman"/>
            <w:color w:val="0000FF"/>
            <w:sz w:val="24"/>
            <w:szCs w:val="24"/>
            <w:u w:val="single"/>
          </w:rPr>
          <w:t>https://doi.org/10.1097/01.jcp.0000161499.58266.51</w:t>
        </w:r>
      </w:hyperlink>
    </w:p>
    <w:p w14:paraId="0CA42C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Friedman, L., Kenny, J. T., Jesberger, J. A., Choy, M. M., &amp; Meltzer, H. Y. (1995). Relationship between smooth pursuit eye-tracking and cognitive performance in schizophrenia.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(4), 265–272. </w:t>
      </w:r>
      <w:hyperlink r:id="rId1916" w:history="1">
        <w:r w:rsidRPr="00600FC7">
          <w:rPr>
            <w:rFonts w:ascii="Times New Roman" w:eastAsia="Times New Roman" w:hAnsi="Times New Roman" w:cs="Times New Roman"/>
            <w:color w:val="0000FF"/>
            <w:sz w:val="24"/>
            <w:szCs w:val="24"/>
            <w:u w:val="single"/>
          </w:rPr>
          <w:t>https://doi.org/10.1016/0006-3223(94)00170-8</w:t>
        </w:r>
      </w:hyperlink>
    </w:p>
    <w:p w14:paraId="114B2D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Friend, M., &amp; Bates, R. P. (2014). The union of narrative and executive function: Different but complementary.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w:t>
      </w:r>
    </w:p>
    <w:p w14:paraId="0C0FC2B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Friesen, D. C., Luo, L., Luk, G., &amp; Bialystok, E. (2015). Proficiency and control in verbal fluency performance across the lifespan for monolinguals and bilinguals. </w:t>
      </w:r>
      <w:r w:rsidRPr="00600FC7">
        <w:rPr>
          <w:rFonts w:ascii="Times New Roman" w:eastAsia="Times New Roman" w:hAnsi="Times New Roman" w:cs="Times New Roman"/>
          <w:i/>
          <w:iCs/>
          <w:sz w:val="24"/>
          <w:szCs w:val="24"/>
        </w:rPr>
        <w:t>Language, Cognition and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(3), 238–250. </w:t>
      </w:r>
      <w:hyperlink r:id="rId1917" w:history="1">
        <w:r w:rsidRPr="00600FC7">
          <w:rPr>
            <w:rFonts w:ascii="Times New Roman" w:eastAsia="Times New Roman" w:hAnsi="Times New Roman" w:cs="Times New Roman"/>
            <w:color w:val="0000FF"/>
            <w:sz w:val="24"/>
            <w:szCs w:val="24"/>
            <w:u w:val="single"/>
          </w:rPr>
          <w:t>https://doi.org/10.1080/23273798.2014.918630</w:t>
        </w:r>
      </w:hyperlink>
    </w:p>
    <w:p w14:paraId="53AD3A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Fristoe, N. M., Salthouse, T. A., &amp; Woodard, J. L. (1997). Examination of age-related deficits on the Wisconsin Card Sorting Test.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428–436. </w:t>
      </w:r>
      <w:hyperlink r:id="rId1918" w:history="1">
        <w:r w:rsidRPr="00600FC7">
          <w:rPr>
            <w:rFonts w:ascii="Times New Roman" w:eastAsia="Times New Roman" w:hAnsi="Times New Roman" w:cs="Times New Roman"/>
            <w:color w:val="0000FF"/>
            <w:sz w:val="24"/>
            <w:szCs w:val="24"/>
            <w:u w:val="single"/>
          </w:rPr>
          <w:t>https://doi.org/10.1037/0894-4105.11.3.428</w:t>
        </w:r>
      </w:hyperlink>
    </w:p>
    <w:p w14:paraId="379E82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Frodl, T., Schaub, A., Banac, S., Charypar, M., Jäger, M., Kümmler, P., Bottlender, R., Zetzsche, T., Born, C., Leinsinger, G., Reiser, M., Möller, H.-J., &amp; Meisenzahl, E. M. (2006). Reduced hippocampal volume correlates with executive dysfunctioning in major depression.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(5), 316–325.</w:t>
      </w:r>
    </w:p>
    <w:p w14:paraId="5712AE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Fromm, N. M., Salisbury, D. B., Driver, S. J., Dahdah, M. N., &amp; Monden, K. R. (2015). Functional recovery from neuroinvasive West Nile Virus: A tale of two courses. </w:t>
      </w:r>
      <w:r w:rsidRPr="00600FC7">
        <w:rPr>
          <w:rFonts w:ascii="Times New Roman" w:eastAsia="Times New Roman" w:hAnsi="Times New Roman" w:cs="Times New Roman"/>
          <w:i/>
          <w:iCs/>
          <w:sz w:val="24"/>
          <w:szCs w:val="24"/>
        </w:rPr>
        <w:t>Rehabilitation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(4), 383–390. </w:t>
      </w:r>
      <w:hyperlink r:id="rId1919" w:history="1">
        <w:r w:rsidRPr="00600FC7">
          <w:rPr>
            <w:rFonts w:ascii="Times New Roman" w:eastAsia="Times New Roman" w:hAnsi="Times New Roman" w:cs="Times New Roman"/>
            <w:color w:val="0000FF"/>
            <w:sz w:val="24"/>
            <w:szCs w:val="24"/>
            <w:u w:val="single"/>
          </w:rPr>
          <w:t>https://doi.org/10.1037/rep0000058</w:t>
        </w:r>
      </w:hyperlink>
    </w:p>
    <w:p w14:paraId="02CF42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Frota, N. A. F., Barbosa, E. R., Porto, C. S., Lucato, L. T., Ono, C. R., Buchpiguel, C. A., &amp; Caramelli, P. (2013). Cognitive impairment and magnetic resonance imaging correlations in Wilson’s disease.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127</w:t>
      </w:r>
      <w:r w:rsidRPr="00600FC7">
        <w:rPr>
          <w:rFonts w:ascii="Times New Roman" w:eastAsia="Times New Roman" w:hAnsi="Times New Roman" w:cs="Times New Roman"/>
          <w:sz w:val="24"/>
          <w:szCs w:val="24"/>
        </w:rPr>
        <w:t xml:space="preserve">(6), 391–398. </w:t>
      </w:r>
      <w:hyperlink r:id="rId1920" w:history="1">
        <w:r w:rsidRPr="00600FC7">
          <w:rPr>
            <w:rFonts w:ascii="Times New Roman" w:eastAsia="Times New Roman" w:hAnsi="Times New Roman" w:cs="Times New Roman"/>
            <w:color w:val="0000FF"/>
            <w:sz w:val="24"/>
            <w:szCs w:val="24"/>
            <w:u w:val="single"/>
          </w:rPr>
          <w:t>https://doi.org/10.1111/ane.12037</w:t>
        </w:r>
      </w:hyperlink>
    </w:p>
    <w:p w14:paraId="642D69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Fryer, S. L., Mattson, S. N., Jernigan, T. L., Archibald, S. L., Jones, K. L., &amp; Riley, E. P. (2012). Caudate volume predicts neurocognitive performance in youth with heavy prenatal alcohol </w:t>
      </w:r>
      <w:r w:rsidRPr="00600FC7">
        <w:rPr>
          <w:rFonts w:ascii="Times New Roman" w:eastAsia="Times New Roman" w:hAnsi="Times New Roman" w:cs="Times New Roman"/>
          <w:sz w:val="24"/>
          <w:szCs w:val="24"/>
        </w:rPr>
        <w:lastRenderedPageBreak/>
        <w:t xml:space="preserve">exposure.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(11), 1932–1941. </w:t>
      </w:r>
      <w:hyperlink r:id="rId1921" w:history="1">
        <w:r w:rsidRPr="00600FC7">
          <w:rPr>
            <w:rFonts w:ascii="Times New Roman" w:eastAsia="Times New Roman" w:hAnsi="Times New Roman" w:cs="Times New Roman"/>
            <w:color w:val="0000FF"/>
            <w:sz w:val="24"/>
            <w:szCs w:val="24"/>
            <w:u w:val="single"/>
          </w:rPr>
          <w:t>https://doi.org/10.1111/j.1530-0277.2012.01811.x</w:t>
        </w:r>
      </w:hyperlink>
    </w:p>
    <w:p w14:paraId="3D27666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 Y.-X., Hou, X., Meng, H.-Q., Li, T., Xie, P., Jia, L., Xuang, Y., Luo, Q.-H., Ma, X.-H., Deng, W., Ying-Cheng, W., Hu, H., Du, L., Feng, K., Qiu, H.-T., &amp; Xiang, Y. (2008). A pilot study of Wisconsin Card Sorting Test parameters as the index stability of twins gene function. [A pilot study of Wisconsin Card Sorting Test parameters as the index stability of twins gene function.].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(10), 766–769.</w:t>
      </w:r>
    </w:p>
    <w:p w14:paraId="2B8FF2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Fuentes, A., McKay, C., &amp; Hay, C. (2010). Cognitive reserve in paediatric traumatic brain injury: Relationship with neuropsychological outcome.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(7–8), 995–1002. </w:t>
      </w:r>
      <w:hyperlink r:id="rId1922" w:history="1">
        <w:r w:rsidRPr="00600FC7">
          <w:rPr>
            <w:rFonts w:ascii="Times New Roman" w:eastAsia="Times New Roman" w:hAnsi="Times New Roman" w:cs="Times New Roman"/>
            <w:color w:val="0000FF"/>
            <w:sz w:val="24"/>
            <w:szCs w:val="24"/>
            <w:u w:val="single"/>
          </w:rPr>
          <w:t>https://doi.org/10.3109/02699052.2010.489791</w:t>
        </w:r>
      </w:hyperlink>
    </w:p>
    <w:p w14:paraId="4C619E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Fuentes, I., Rizo-Méndez, A., &amp; Jarne-Esparcia, A. (2016). Low compliance to pharmacological treatment is linked to cognitive impairment in euthymic phase of bipolar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 215–220. </w:t>
      </w:r>
      <w:hyperlink r:id="rId1923" w:history="1">
        <w:r w:rsidRPr="00600FC7">
          <w:rPr>
            <w:rFonts w:ascii="Times New Roman" w:eastAsia="Times New Roman" w:hAnsi="Times New Roman" w:cs="Times New Roman"/>
            <w:color w:val="0000FF"/>
            <w:sz w:val="24"/>
            <w:szCs w:val="24"/>
            <w:u w:val="single"/>
          </w:rPr>
          <w:t>https://doi.org/10.1016/j.jad.2016.02.005</w:t>
        </w:r>
      </w:hyperlink>
    </w:p>
    <w:p w14:paraId="57FA1A5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Fuermaier, A. B. M., Fricke, J. A., de Vries, S. M., Tucha, L., &amp; Tucha, O. (2019). Neuropsychological assessment of adults with adhd: A delphi consensus study.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(4), 340–354. </w:t>
      </w:r>
      <w:hyperlink r:id="rId1924" w:history="1">
        <w:r w:rsidRPr="00600FC7">
          <w:rPr>
            <w:rFonts w:ascii="Times New Roman" w:eastAsia="Times New Roman" w:hAnsi="Times New Roman" w:cs="Times New Roman"/>
            <w:color w:val="0000FF"/>
            <w:sz w:val="24"/>
            <w:szCs w:val="24"/>
            <w:u w:val="single"/>
          </w:rPr>
          <w:t>https://doi.org/10.1080/23279095.2018.1429441</w:t>
        </w:r>
      </w:hyperlink>
    </w:p>
    <w:p w14:paraId="30D05F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Fuglset, T. S., Landrø, N. I., Reas, D. L., &amp; Rø, Ø. (2016). Functional brain alterations in anorexia nervosa: A scoping review. </w:t>
      </w:r>
      <w:r w:rsidRPr="00600FC7">
        <w:rPr>
          <w:rFonts w:ascii="Times New Roman" w:eastAsia="Times New Roman" w:hAnsi="Times New Roman" w:cs="Times New Roman"/>
          <w:i/>
          <w:iCs/>
          <w:sz w:val="24"/>
          <w:szCs w:val="24"/>
        </w:rPr>
        <w:t>Journal of Eating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w:t>
      </w:r>
      <w:r w:rsidRPr="00600FC7">
        <w:rPr>
          <w:rFonts w:ascii="Times New Roman" w:eastAsia="Times New Roman" w:hAnsi="Times New Roman" w:cs="Times New Roman"/>
          <w:sz w:val="24"/>
          <w:szCs w:val="24"/>
        </w:rPr>
        <w:t xml:space="preserve">. </w:t>
      </w:r>
      <w:hyperlink r:id="rId1925" w:history="1">
        <w:r w:rsidRPr="00600FC7">
          <w:rPr>
            <w:rFonts w:ascii="Times New Roman" w:eastAsia="Times New Roman" w:hAnsi="Times New Roman" w:cs="Times New Roman"/>
            <w:color w:val="0000FF"/>
            <w:sz w:val="24"/>
            <w:szCs w:val="24"/>
            <w:u w:val="single"/>
          </w:rPr>
          <w:t>https://doi.org/10.1186/s40337-016-0118-y</w:t>
        </w:r>
      </w:hyperlink>
    </w:p>
    <w:p w14:paraId="44FEEF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Fujii, D., Ahmed, I., &amp; Hishinuma, E. (2004). A Neuropsychological Comparison of Psychotic Disorder Following Traumatic Brain Injury, Traumatic Brain Injury Without Psychotic Disorder, and Schizophrenia.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(3), 306–314. </w:t>
      </w:r>
      <w:hyperlink r:id="rId1926" w:history="1">
        <w:r w:rsidRPr="00600FC7">
          <w:rPr>
            <w:rFonts w:ascii="Times New Roman" w:eastAsia="Times New Roman" w:hAnsi="Times New Roman" w:cs="Times New Roman"/>
            <w:color w:val="0000FF"/>
            <w:sz w:val="24"/>
            <w:szCs w:val="24"/>
            <w:u w:val="single"/>
          </w:rPr>
          <w:t>https://doi.org/10.1176/appi.neuropsych.16.3.306</w:t>
        </w:r>
      </w:hyperlink>
    </w:p>
    <w:p w14:paraId="0340BB9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Fujii, D. E. M. (2011). Introduction. </w:t>
      </w:r>
      <w:r w:rsidRPr="00600FC7">
        <w:rPr>
          <w:rFonts w:ascii="Times New Roman" w:eastAsia="Times New Roman" w:hAnsi="Times New Roman" w:cs="Times New Roman"/>
          <w:i/>
          <w:iCs/>
          <w:sz w:val="24"/>
          <w:szCs w:val="24"/>
        </w:rPr>
        <w:t>The Neuropsychology of Asian Americans.</w:t>
      </w:r>
      <w:r w:rsidRPr="00600FC7">
        <w:rPr>
          <w:rFonts w:ascii="Times New Roman" w:eastAsia="Times New Roman" w:hAnsi="Times New Roman" w:cs="Times New Roman"/>
          <w:sz w:val="24"/>
          <w:szCs w:val="24"/>
        </w:rPr>
        <w:t>, 1–10.</w:t>
      </w:r>
    </w:p>
    <w:p w14:paraId="65689E9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Fujii, D. E. M., Ahmed, I., Jokumsen, M., &amp; Compton, J. M. (1997). The effects of clozapine on cognitive functioning in treatment-resistant schizophrenic patients.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(2), 240–245. </w:t>
      </w:r>
      <w:hyperlink r:id="rId1927" w:history="1">
        <w:r w:rsidRPr="00600FC7">
          <w:rPr>
            <w:rFonts w:ascii="Times New Roman" w:eastAsia="Times New Roman" w:hAnsi="Times New Roman" w:cs="Times New Roman"/>
            <w:color w:val="0000FF"/>
            <w:sz w:val="24"/>
            <w:szCs w:val="24"/>
            <w:u w:val="single"/>
          </w:rPr>
          <w:t>https://doi.org/10.1176/jnp.9.2.240</w:t>
        </w:r>
      </w:hyperlink>
    </w:p>
    <w:p w14:paraId="7997E1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Fujikawa, D. G., Licht, E. A., &amp; Jacobsen, R. H. (2012). Chronic epileptic encephalopathy in adult patients with bilaterally synchronous frequent and/or prolonged subclinical epileptiform discharges.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(3), 442–448. </w:t>
      </w:r>
      <w:hyperlink r:id="rId1928" w:history="1">
        <w:r w:rsidRPr="00600FC7">
          <w:rPr>
            <w:rFonts w:ascii="Times New Roman" w:eastAsia="Times New Roman" w:hAnsi="Times New Roman" w:cs="Times New Roman"/>
            <w:color w:val="0000FF"/>
            <w:sz w:val="24"/>
            <w:szCs w:val="24"/>
            <w:u w:val="single"/>
          </w:rPr>
          <w:t>https://doi.org/10.1016/j.yebeh.2012.08.001</w:t>
        </w:r>
      </w:hyperlink>
    </w:p>
    <w:p w14:paraId="52C3AD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Fujiwara, E., Tomlinson, S. E., Purdon, S. E., Gill, M. J., &amp; Power, C. (2015). Decision making under explicit risk is impaired in individuals with human immunodeficiency virus (HIV).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(7), 733–750. </w:t>
      </w:r>
      <w:hyperlink r:id="rId1929" w:history="1">
        <w:r w:rsidRPr="00600FC7">
          <w:rPr>
            <w:rFonts w:ascii="Times New Roman" w:eastAsia="Times New Roman" w:hAnsi="Times New Roman" w:cs="Times New Roman"/>
            <w:color w:val="0000FF"/>
            <w:sz w:val="24"/>
            <w:szCs w:val="24"/>
            <w:u w:val="single"/>
          </w:rPr>
          <w:t>https://doi.org/10.1080/13803395.2015.1057481</w:t>
        </w:r>
      </w:hyperlink>
    </w:p>
    <w:p w14:paraId="37D27E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Fukui, T., &amp; Lee, E. (2008). Progressive agraphia can be a harbinger of degenerative dementia. </w:t>
      </w:r>
      <w:r w:rsidRPr="00600FC7">
        <w:rPr>
          <w:rFonts w:ascii="Times New Roman" w:eastAsia="Times New Roman" w:hAnsi="Times New Roman" w:cs="Times New Roman"/>
          <w:i/>
          <w:iCs/>
          <w:sz w:val="24"/>
          <w:szCs w:val="24"/>
        </w:rPr>
        <w:t>Brain and Language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(3), 201–210. </w:t>
      </w:r>
      <w:hyperlink r:id="rId1930" w:history="1">
        <w:r w:rsidRPr="00600FC7">
          <w:rPr>
            <w:rFonts w:ascii="Times New Roman" w:eastAsia="Times New Roman" w:hAnsi="Times New Roman" w:cs="Times New Roman"/>
            <w:color w:val="0000FF"/>
            <w:sz w:val="24"/>
            <w:szCs w:val="24"/>
            <w:u w:val="single"/>
          </w:rPr>
          <w:t>https://doi.org/10.1016/j.bandl.2007.10.005</w:t>
        </w:r>
      </w:hyperlink>
    </w:p>
    <w:p w14:paraId="21555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Fukunaga, R., &amp; Lysaker, P. H. (2013). Criminal history in schizophrenia: Associations with substance use and disorganized symptoms. </w:t>
      </w:r>
      <w:r w:rsidRPr="00600FC7">
        <w:rPr>
          <w:rFonts w:ascii="Times New Roman" w:eastAsia="Times New Roman" w:hAnsi="Times New Roman" w:cs="Times New Roman"/>
          <w:i/>
          <w:iCs/>
          <w:sz w:val="24"/>
          <w:szCs w:val="24"/>
        </w:rPr>
        <w:t>Journal of Forensic Psychiatry &amp;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(3), 293–308. </w:t>
      </w:r>
      <w:hyperlink r:id="rId1931" w:history="1">
        <w:r w:rsidRPr="00600FC7">
          <w:rPr>
            <w:rFonts w:ascii="Times New Roman" w:eastAsia="Times New Roman" w:hAnsi="Times New Roman" w:cs="Times New Roman"/>
            <w:color w:val="0000FF"/>
            <w:sz w:val="24"/>
            <w:szCs w:val="24"/>
            <w:u w:val="single"/>
          </w:rPr>
          <w:t>https://doi.org/10.1080/14789949.2013.776617</w:t>
        </w:r>
      </w:hyperlink>
    </w:p>
    <w:p w14:paraId="626997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Fukunaga, S., Okada, Y., lnoue, T., Hattori, F., &amp; Hirata, K. (2006). Neuropsychological Changes in Patients with Carotid Stenosis after Carotid Endarterectomy. </w:t>
      </w:r>
      <w:r w:rsidRPr="00600FC7">
        <w:rPr>
          <w:rFonts w:ascii="Times New Roman" w:eastAsia="Times New Roman" w:hAnsi="Times New Roman" w:cs="Times New Roman"/>
          <w:i/>
          <w:iCs/>
          <w:sz w:val="24"/>
          <w:szCs w:val="24"/>
        </w:rPr>
        <w:t>European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(3), 145–150. </w:t>
      </w:r>
      <w:hyperlink r:id="rId1932" w:history="1">
        <w:r w:rsidRPr="00600FC7">
          <w:rPr>
            <w:rFonts w:ascii="Times New Roman" w:eastAsia="Times New Roman" w:hAnsi="Times New Roman" w:cs="Times New Roman"/>
            <w:color w:val="0000FF"/>
            <w:sz w:val="24"/>
            <w:szCs w:val="24"/>
            <w:u w:val="single"/>
          </w:rPr>
          <w:t>https://doi.org/10.1159/000093214</w:t>
        </w:r>
      </w:hyperlink>
    </w:p>
    <w:p w14:paraId="07E8AE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Fulda, S., Szesny, N., Ising, M., Heck, A., Grübl, A., Lieb, R., &amp; Reppermund, S. (2011). Further evidence for executive dysfunction in subjects with RLS from a non-clinical sample. </w:t>
      </w:r>
      <w:r w:rsidRPr="00600FC7">
        <w:rPr>
          <w:rFonts w:ascii="Times New Roman" w:eastAsia="Times New Roman" w:hAnsi="Times New Roman" w:cs="Times New Roman"/>
          <w:i/>
          <w:iCs/>
          <w:sz w:val="24"/>
          <w:szCs w:val="24"/>
        </w:rPr>
        <w:t>Sleep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(10), 1003–1007. </w:t>
      </w:r>
      <w:hyperlink r:id="rId1933" w:history="1">
        <w:r w:rsidRPr="00600FC7">
          <w:rPr>
            <w:rFonts w:ascii="Times New Roman" w:eastAsia="Times New Roman" w:hAnsi="Times New Roman" w:cs="Times New Roman"/>
            <w:color w:val="0000FF"/>
            <w:sz w:val="24"/>
            <w:szCs w:val="24"/>
            <w:u w:val="single"/>
          </w:rPr>
          <w:t>https://doi.org/10.1016/j.sleep.2011.04.013</w:t>
        </w:r>
      </w:hyperlink>
    </w:p>
    <w:p w14:paraId="0476A0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Funahashi, S. (2013). Thalamic mediodorsal nucleus and its participation in spatial working memory processes: Comparison with the prefrontal cortex. </w:t>
      </w:r>
      <w:r w:rsidRPr="00600FC7">
        <w:rPr>
          <w:rFonts w:ascii="Times New Roman" w:eastAsia="Times New Roman" w:hAnsi="Times New Roman" w:cs="Times New Roman"/>
          <w:i/>
          <w:iCs/>
          <w:sz w:val="24"/>
          <w:szCs w:val="24"/>
        </w:rPr>
        <w:t>Frontiers in Systems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 </w:t>
      </w:r>
      <w:hyperlink r:id="rId1934" w:history="1">
        <w:r w:rsidRPr="00600FC7">
          <w:rPr>
            <w:rFonts w:ascii="Times New Roman" w:eastAsia="Times New Roman" w:hAnsi="Times New Roman" w:cs="Times New Roman"/>
            <w:color w:val="0000FF"/>
            <w:sz w:val="24"/>
            <w:szCs w:val="24"/>
            <w:u w:val="single"/>
          </w:rPr>
          <w:t>https://doi.org/10.3389/fnsys.2013.00036</w:t>
        </w:r>
      </w:hyperlink>
    </w:p>
    <w:p w14:paraId="55E999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Funayama, M., Koreki, A., Muramatsu, T., Mimura, M., Kato, M., &amp; Abe, T. (2019). Impairment in judgement of the moral emotion guilt following orbitofrontal cortex damage. </w:t>
      </w:r>
      <w:r w:rsidRPr="00600FC7">
        <w:rPr>
          <w:rFonts w:ascii="Times New Roman" w:eastAsia="Times New Roman" w:hAnsi="Times New Roman" w:cs="Times New Roman"/>
          <w:i/>
          <w:iCs/>
          <w:sz w:val="24"/>
          <w:szCs w:val="24"/>
        </w:rPr>
        <w:t>Journal of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550–563. </w:t>
      </w:r>
      <w:hyperlink r:id="rId1935" w:history="1">
        <w:r w:rsidRPr="00600FC7">
          <w:rPr>
            <w:rFonts w:ascii="Times New Roman" w:eastAsia="Times New Roman" w:hAnsi="Times New Roman" w:cs="Times New Roman"/>
            <w:color w:val="0000FF"/>
            <w:sz w:val="24"/>
            <w:szCs w:val="24"/>
            <w:u w:val="single"/>
          </w:rPr>
          <w:t>https://doi.org/10.1111/jnp.12158</w:t>
        </w:r>
      </w:hyperlink>
    </w:p>
    <w:p w14:paraId="7DBD63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Funayama, M., Mimura, M., Koshibe, Y., &amp; Kato, Y. (2010). Squalor syndrome after focal orbitofrontal damage.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(2), 135–139. </w:t>
      </w:r>
      <w:hyperlink r:id="rId1936" w:history="1">
        <w:r w:rsidRPr="00600FC7">
          <w:rPr>
            <w:rFonts w:ascii="Times New Roman" w:eastAsia="Times New Roman" w:hAnsi="Times New Roman" w:cs="Times New Roman"/>
            <w:color w:val="0000FF"/>
            <w:sz w:val="24"/>
            <w:szCs w:val="24"/>
            <w:u w:val="single"/>
          </w:rPr>
          <w:t>https://doi.org/10.1097/WNN.0b013e3181d746ba</w:t>
        </w:r>
      </w:hyperlink>
    </w:p>
    <w:p w14:paraId="65974C0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Funes, M. J., Lupiáñez, J., &amp; Humphreys, G. (2010). Top-down and bottom-up deficits in conflict adaptation after frontal lobe damage. </w:t>
      </w:r>
      <w:r w:rsidRPr="00600FC7">
        <w:rPr>
          <w:rFonts w:ascii="Times New Roman" w:eastAsia="Times New Roman" w:hAnsi="Times New Roman" w:cs="Times New Roman"/>
          <w:i/>
          <w:iCs/>
          <w:sz w:val="24"/>
          <w:szCs w:val="24"/>
        </w:rPr>
        <w:t>Cognitive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360–375. </w:t>
      </w:r>
      <w:hyperlink r:id="rId1937" w:history="1">
        <w:r w:rsidRPr="00600FC7">
          <w:rPr>
            <w:rFonts w:ascii="Times New Roman" w:eastAsia="Times New Roman" w:hAnsi="Times New Roman" w:cs="Times New Roman"/>
            <w:color w:val="0000FF"/>
            <w:sz w:val="24"/>
            <w:szCs w:val="24"/>
            <w:u w:val="single"/>
          </w:rPr>
          <w:t>https://doi.org/10.1080/02643294.2010.532618</w:t>
        </w:r>
      </w:hyperlink>
    </w:p>
    <w:p w14:paraId="784D68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Funkiewiez, A., Ardouin, C., Caputo, E., Krack, P., Fraix, V., Klinger, H., Chabardes, S., Foote, K., Benabid, A.-L., &amp; Pollak, P. (2004). Long term effects of bilateral subthalamic nucleus stimulation on cognitive function, mood, and behaviour in Parkinson’s disease.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 xml:space="preserve">(6), 834–839. </w:t>
      </w:r>
      <w:hyperlink r:id="rId1938" w:history="1">
        <w:r w:rsidRPr="00600FC7">
          <w:rPr>
            <w:rFonts w:ascii="Times New Roman" w:eastAsia="Times New Roman" w:hAnsi="Times New Roman" w:cs="Times New Roman"/>
            <w:color w:val="0000FF"/>
            <w:sz w:val="24"/>
            <w:szCs w:val="24"/>
            <w:u w:val="single"/>
          </w:rPr>
          <w:t>https://doi.org/10.1136/jnnp.2002.009803</w:t>
        </w:r>
      </w:hyperlink>
    </w:p>
    <w:p w14:paraId="4CBCAD7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Funkiewiez, A., Bertoux, M., de Souza, L. C., Lévy, R., &amp; Dubois, B. (2012). The SEA (Social Cognition and Emotional Assessment): A clinical neuropsychological tool for early </w:t>
      </w:r>
      <w:r w:rsidRPr="00600FC7">
        <w:rPr>
          <w:rFonts w:ascii="Times New Roman" w:eastAsia="Times New Roman" w:hAnsi="Times New Roman" w:cs="Times New Roman"/>
          <w:sz w:val="24"/>
          <w:szCs w:val="24"/>
        </w:rPr>
        <w:lastRenderedPageBreak/>
        <w:t xml:space="preserve">diagnosis of frontal variant of frontotemporal lobar degeneration.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(1), 81–90. </w:t>
      </w:r>
      <w:hyperlink r:id="rId1939" w:history="1">
        <w:r w:rsidRPr="00600FC7">
          <w:rPr>
            <w:rFonts w:ascii="Times New Roman" w:eastAsia="Times New Roman" w:hAnsi="Times New Roman" w:cs="Times New Roman"/>
            <w:color w:val="0000FF"/>
            <w:sz w:val="24"/>
            <w:szCs w:val="24"/>
            <w:u w:val="single"/>
          </w:rPr>
          <w:t>https://doi.org/10.1037/a0025318</w:t>
        </w:r>
      </w:hyperlink>
    </w:p>
    <w:p w14:paraId="7D579D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Funnell, E., &amp; Sheridan, J. (2017). Categories of knowledge? Unfamiliar aspects of living and nonliving things. In </w:t>
      </w:r>
      <w:r w:rsidRPr="00600FC7">
        <w:rPr>
          <w:rFonts w:ascii="Times New Roman" w:eastAsia="Times New Roman" w:hAnsi="Times New Roman" w:cs="Times New Roman"/>
          <w:i/>
          <w:iCs/>
          <w:sz w:val="24"/>
          <w:szCs w:val="24"/>
        </w:rPr>
        <w:t>Acquired language disorders in adulthood and childhood: Selected works of Elaine Funnell.</w:t>
      </w:r>
      <w:r w:rsidRPr="00600FC7">
        <w:rPr>
          <w:rFonts w:ascii="Times New Roman" w:eastAsia="Times New Roman" w:hAnsi="Times New Roman" w:cs="Times New Roman"/>
          <w:sz w:val="24"/>
          <w:szCs w:val="24"/>
        </w:rPr>
        <w:t xml:space="preserve"> (pp. 22–39). Routledge/Taylor &amp; Francis Group.</w:t>
      </w:r>
    </w:p>
    <w:p w14:paraId="2547C6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Furtado, E. F., &amp; de Sá Roriz, S. T. (2016). Inattention and impulsivity associated with prenatal alcohol exposure in a prospective cohort study with 11-years-old Brazilian children. </w:t>
      </w:r>
      <w:r w:rsidRPr="00600FC7">
        <w:rPr>
          <w:rFonts w:ascii="Times New Roman" w:eastAsia="Times New Roman" w:hAnsi="Times New Roman" w:cs="Times New Roman"/>
          <w:i/>
          <w:iCs/>
          <w:sz w:val="24"/>
          <w:szCs w:val="24"/>
        </w:rPr>
        <w:t>European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(12), 1327–1335. </w:t>
      </w:r>
      <w:hyperlink r:id="rId1940" w:history="1">
        <w:r w:rsidRPr="00600FC7">
          <w:rPr>
            <w:rFonts w:ascii="Times New Roman" w:eastAsia="Times New Roman" w:hAnsi="Times New Roman" w:cs="Times New Roman"/>
            <w:color w:val="0000FF"/>
            <w:sz w:val="24"/>
            <w:szCs w:val="24"/>
            <w:u w:val="single"/>
          </w:rPr>
          <w:t>https://doi.org/10.1007/s00787-016-0857-y</w:t>
        </w:r>
      </w:hyperlink>
    </w:p>
    <w:p w14:paraId="4DA8CD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Fusar-Poli, P., Deste, G., Smieskova, R., Barlati, S., Yung, A. R., Howes, O., Stieglitz, R.-D., Vita, A., McGuire, P., &amp; Borgwardt, S. (2012). Cognitive functioning in prodromal psychosis: A meta-analysis. </w:t>
      </w:r>
      <w:r w:rsidRPr="00600FC7">
        <w:rPr>
          <w:rFonts w:ascii="Times New Roman" w:eastAsia="Times New Roman" w:hAnsi="Times New Roman" w:cs="Times New Roman"/>
          <w:i/>
          <w:iCs/>
          <w:sz w:val="24"/>
          <w:szCs w:val="24"/>
        </w:rPr>
        <w:t>JAMA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69</w:t>
      </w:r>
      <w:r w:rsidRPr="00600FC7">
        <w:rPr>
          <w:rFonts w:ascii="Times New Roman" w:eastAsia="Times New Roman" w:hAnsi="Times New Roman" w:cs="Times New Roman"/>
          <w:sz w:val="24"/>
          <w:szCs w:val="24"/>
        </w:rPr>
        <w:t>(6), 562–571.</w:t>
      </w:r>
    </w:p>
    <w:p w14:paraId="5FE6EE1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Fusar-Poli, P., Howes, O. D., Allen, P., Broome, M., Valli, I., Asselin, M.-C., Montgomery, A. J., Grasby, P. M., &amp; McGuire, P. (2011). Abnormal prefrontal activation directly related to pre-synaptic striatal dopamine dysfunction in people at clinical high risk for psychosis. </w:t>
      </w:r>
      <w:r w:rsidRPr="00600FC7">
        <w:rPr>
          <w:rFonts w:ascii="Times New Roman" w:eastAsia="Times New Roman" w:hAnsi="Times New Roman" w:cs="Times New Roman"/>
          <w:i/>
          <w:iCs/>
          <w:sz w:val="24"/>
          <w:szCs w:val="24"/>
        </w:rPr>
        <w:t>Molecular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67–75. </w:t>
      </w:r>
      <w:hyperlink r:id="rId1941" w:history="1">
        <w:r w:rsidRPr="00600FC7">
          <w:rPr>
            <w:rFonts w:ascii="Times New Roman" w:eastAsia="Times New Roman" w:hAnsi="Times New Roman" w:cs="Times New Roman"/>
            <w:color w:val="0000FF"/>
            <w:sz w:val="24"/>
            <w:szCs w:val="24"/>
            <w:u w:val="single"/>
          </w:rPr>
          <w:t>https://doi.org/10.1038/mp.2009.108</w:t>
        </w:r>
      </w:hyperlink>
    </w:p>
    <w:p w14:paraId="3948C17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Gaasedelen, O. J., Whiteside, D. M., &amp; Basso, M. (2017). Exploring the sensitivity of the Personality Assessment Inventory symptom validity tests in detecting response bias in a mixed neuropsychological outpatient sample.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(5), 844–856. </w:t>
      </w:r>
      <w:hyperlink r:id="rId1942" w:history="1">
        <w:r w:rsidRPr="00600FC7">
          <w:rPr>
            <w:rFonts w:ascii="Times New Roman" w:eastAsia="Times New Roman" w:hAnsi="Times New Roman" w:cs="Times New Roman"/>
            <w:color w:val="0000FF"/>
            <w:sz w:val="24"/>
            <w:szCs w:val="24"/>
            <w:u w:val="single"/>
          </w:rPr>
          <w:t>https://doi.org/10.1080/13854046.2017.1312700</w:t>
        </w:r>
      </w:hyperlink>
    </w:p>
    <w:p w14:paraId="37320B2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Gabbard, G. O., Schmahl, C., Siever, L. J., &amp; Iskander, E. G. (2012). Personality disorders. In </w:t>
      </w:r>
      <w:r w:rsidRPr="00600FC7">
        <w:rPr>
          <w:rFonts w:ascii="Times New Roman" w:eastAsia="Times New Roman" w:hAnsi="Times New Roman" w:cs="Times New Roman"/>
          <w:i/>
          <w:iCs/>
          <w:sz w:val="24"/>
          <w:szCs w:val="24"/>
        </w:rPr>
        <w:t>Neurobiology of psychiatric disorders.</w:t>
      </w:r>
      <w:r w:rsidRPr="00600FC7">
        <w:rPr>
          <w:rFonts w:ascii="Times New Roman" w:eastAsia="Times New Roman" w:hAnsi="Times New Roman" w:cs="Times New Roman"/>
          <w:sz w:val="24"/>
          <w:szCs w:val="24"/>
        </w:rPr>
        <w:t xml:space="preserve"> (pp. 463–475). Elsevier Science Publishers B.V. </w:t>
      </w:r>
      <w:hyperlink r:id="rId1943" w:history="1">
        <w:r w:rsidRPr="00600FC7">
          <w:rPr>
            <w:rFonts w:ascii="Times New Roman" w:eastAsia="Times New Roman" w:hAnsi="Times New Roman" w:cs="Times New Roman"/>
            <w:color w:val="0000FF"/>
            <w:sz w:val="24"/>
            <w:szCs w:val="24"/>
            <w:u w:val="single"/>
          </w:rPr>
          <w:t>https://doi.org/10.1016/B978-0-444-52002-9.00027-9</w:t>
        </w:r>
      </w:hyperlink>
    </w:p>
    <w:p w14:paraId="15E1CD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Gabbatore, I., Sacco, K., Angeleri, R., Zettin, M., Bara, B. G., &amp; Bosco, F. M. (2015). Cognitive Pragmatic Treatment: A rehabilitative program for traumatic brain injury individuals. </w:t>
      </w:r>
      <w:r w:rsidRPr="00600FC7">
        <w:rPr>
          <w:rFonts w:ascii="Times New Roman" w:eastAsia="Times New Roman" w:hAnsi="Times New Roman" w:cs="Times New Roman"/>
          <w:i/>
          <w:iCs/>
          <w:sz w:val="24"/>
          <w:szCs w:val="24"/>
        </w:rPr>
        <w:t>The Journal of Head Trauma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(5), E14–E28. </w:t>
      </w:r>
      <w:hyperlink r:id="rId1944" w:history="1">
        <w:r w:rsidRPr="00600FC7">
          <w:rPr>
            <w:rFonts w:ascii="Times New Roman" w:eastAsia="Times New Roman" w:hAnsi="Times New Roman" w:cs="Times New Roman"/>
            <w:color w:val="0000FF"/>
            <w:sz w:val="24"/>
            <w:szCs w:val="24"/>
            <w:u w:val="single"/>
          </w:rPr>
          <w:t>https://doi.org/10.1097/HTR.0000000000000087</w:t>
        </w:r>
      </w:hyperlink>
    </w:p>
    <w:p w14:paraId="128AF4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Gabrovska-Johnson, V. S., Scott, M., Jeffries, S., Thacker, N., Baldwin, R. C., Burns, A., Lewis, S. W., &amp; Deakin, J. F. W. (2003). Right-hemisphere encephalopathy in elderly subjects with schizophrenia: Evidence from neuropsychological and brain imaging studies.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169</w:t>
      </w:r>
      <w:r w:rsidRPr="00600FC7">
        <w:rPr>
          <w:rFonts w:ascii="Times New Roman" w:eastAsia="Times New Roman" w:hAnsi="Times New Roman" w:cs="Times New Roman"/>
          <w:sz w:val="24"/>
          <w:szCs w:val="24"/>
        </w:rPr>
        <w:t xml:space="preserve">(3–4), 367–375. </w:t>
      </w:r>
      <w:hyperlink r:id="rId1945" w:history="1">
        <w:r w:rsidRPr="00600FC7">
          <w:rPr>
            <w:rFonts w:ascii="Times New Roman" w:eastAsia="Times New Roman" w:hAnsi="Times New Roman" w:cs="Times New Roman"/>
            <w:color w:val="0000FF"/>
            <w:sz w:val="24"/>
            <w:szCs w:val="24"/>
            <w:u w:val="single"/>
          </w:rPr>
          <w:t>https://doi.org/10.1007/s00213-003-1524-9</w:t>
        </w:r>
      </w:hyperlink>
    </w:p>
    <w:p w14:paraId="77D48D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Gadd, C., &amp; Phipps, W. D. (2012). A preliminary standardisation of the Wisconsin Card Sorting Test for Setswana-speaking university students. </w:t>
      </w:r>
      <w:r w:rsidRPr="00600FC7">
        <w:rPr>
          <w:rFonts w:ascii="Times New Roman" w:eastAsia="Times New Roman" w:hAnsi="Times New Roman" w:cs="Times New Roman"/>
          <w:i/>
          <w:iCs/>
          <w:sz w:val="24"/>
          <w:szCs w:val="24"/>
        </w:rPr>
        <w:t>South African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(3), 389–398. </w:t>
      </w:r>
      <w:hyperlink r:id="rId1946" w:history="1">
        <w:r w:rsidRPr="00600FC7">
          <w:rPr>
            <w:rFonts w:ascii="Times New Roman" w:eastAsia="Times New Roman" w:hAnsi="Times New Roman" w:cs="Times New Roman"/>
            <w:color w:val="0000FF"/>
            <w:sz w:val="24"/>
            <w:szCs w:val="24"/>
            <w:u w:val="single"/>
          </w:rPr>
          <w:t>https://doi.org/10.1177/008124631204200311</w:t>
        </w:r>
      </w:hyperlink>
    </w:p>
    <w:p w14:paraId="3051D8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Gaines, K. D., &amp; Soper, H. V. (2018). Neuropsychological assessment of executive functions following pediatric traumatic brain injury.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(1), 31–43. </w:t>
      </w:r>
      <w:hyperlink r:id="rId1947" w:history="1">
        <w:r w:rsidRPr="00600FC7">
          <w:rPr>
            <w:rFonts w:ascii="Times New Roman" w:eastAsia="Times New Roman" w:hAnsi="Times New Roman" w:cs="Times New Roman"/>
            <w:color w:val="0000FF"/>
            <w:sz w:val="24"/>
            <w:szCs w:val="24"/>
            <w:u w:val="single"/>
          </w:rPr>
          <w:t>https://doi.org/10.1080/21622965.2016.1229406</w:t>
        </w:r>
      </w:hyperlink>
    </w:p>
    <w:p w14:paraId="4EE11D9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Gairing, S., Wiest, R., Metzler, S., Theodoridou, A., &amp; Hoff, P. (2011). Fabry’s disease and psychosis: Causality or coincidence? </w:t>
      </w:r>
      <w:r w:rsidRPr="00600FC7">
        <w:rPr>
          <w:rFonts w:ascii="Times New Roman" w:eastAsia="Times New Roman" w:hAnsi="Times New Roman" w:cs="Times New Roman"/>
          <w:i/>
          <w:iCs/>
          <w:sz w:val="24"/>
          <w:szCs w:val="24"/>
        </w:rPr>
        <w:t>Psychopathology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(3), 201–204. </w:t>
      </w:r>
      <w:hyperlink r:id="rId1948" w:history="1">
        <w:r w:rsidRPr="00600FC7">
          <w:rPr>
            <w:rFonts w:ascii="Times New Roman" w:eastAsia="Times New Roman" w:hAnsi="Times New Roman" w:cs="Times New Roman"/>
            <w:color w:val="0000FF"/>
            <w:sz w:val="24"/>
            <w:szCs w:val="24"/>
            <w:u w:val="single"/>
          </w:rPr>
          <w:t>https://doi.org/10.1159/000322794</w:t>
        </w:r>
      </w:hyperlink>
    </w:p>
    <w:p w14:paraId="2D38C84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Gaitán, A., Garolera, M., Cerulla, N., Chico, G., Rodriguez‐Querol, M., &amp; Canela‐Soler, J. (2013). Efficacy of an adjunctive computer‐based cognitive training program in amnestic mild cognitive impairment and Alzheimer’s disease: A single‐blind, randomized clinical trial.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(1), 91–99. </w:t>
      </w:r>
      <w:hyperlink r:id="rId1949" w:history="1">
        <w:r w:rsidRPr="00600FC7">
          <w:rPr>
            <w:rFonts w:ascii="Times New Roman" w:eastAsia="Times New Roman" w:hAnsi="Times New Roman" w:cs="Times New Roman"/>
            <w:color w:val="0000FF"/>
            <w:sz w:val="24"/>
            <w:szCs w:val="24"/>
            <w:u w:val="single"/>
          </w:rPr>
          <w:t>https://doi.org/10.1002/gps.3794</w:t>
        </w:r>
      </w:hyperlink>
    </w:p>
    <w:p w14:paraId="76681B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Galbiati, A., Marelli, S., Giora, E., Zucconi, M., Oldani, A., &amp; Ferini-Strambi, L. (2015). Neurocognitive function in patients with idiopathic Restless Legs Syndrome before and after treatment with dopamine-agonist. </w:t>
      </w:r>
      <w:r w:rsidRPr="00600FC7">
        <w:rPr>
          <w:rFonts w:ascii="Times New Roman" w:eastAsia="Times New Roman" w:hAnsi="Times New Roman" w:cs="Times New Roman"/>
          <w:i/>
          <w:iCs/>
          <w:sz w:val="24"/>
          <w:szCs w:val="24"/>
        </w:rPr>
        <w:t>International Journal of 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95</w:t>
      </w:r>
      <w:r w:rsidRPr="00600FC7">
        <w:rPr>
          <w:rFonts w:ascii="Times New Roman" w:eastAsia="Times New Roman" w:hAnsi="Times New Roman" w:cs="Times New Roman"/>
          <w:sz w:val="24"/>
          <w:szCs w:val="24"/>
        </w:rPr>
        <w:t xml:space="preserve">(3), 304–309. </w:t>
      </w:r>
      <w:hyperlink r:id="rId1950" w:history="1">
        <w:r w:rsidRPr="00600FC7">
          <w:rPr>
            <w:rFonts w:ascii="Times New Roman" w:eastAsia="Times New Roman" w:hAnsi="Times New Roman" w:cs="Times New Roman"/>
            <w:color w:val="0000FF"/>
            <w:sz w:val="24"/>
            <w:szCs w:val="24"/>
            <w:u w:val="single"/>
          </w:rPr>
          <w:t>https://doi.org/10.1016/j.ijpsycho.2014.12.005</w:t>
        </w:r>
      </w:hyperlink>
    </w:p>
    <w:p w14:paraId="1302DA5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Galderisi, S., Bucci, P., Mucci, A., Bellodi, L., Cassano, G. B., Santonastaso, P., Erzegovesi, S., Favaro, A., Mauri, M., Monteleone, P., &amp; Maj, M. (2011). Neurocognitive functioning in bulimia nervosa: The role of neuroendocrine, personality and clinical aspects.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(4), 839–848. </w:t>
      </w:r>
      <w:hyperlink r:id="rId1951" w:history="1">
        <w:r w:rsidRPr="00600FC7">
          <w:rPr>
            <w:rFonts w:ascii="Times New Roman" w:eastAsia="Times New Roman" w:hAnsi="Times New Roman" w:cs="Times New Roman"/>
            <w:color w:val="0000FF"/>
            <w:sz w:val="24"/>
            <w:szCs w:val="24"/>
            <w:u w:val="single"/>
          </w:rPr>
          <w:t>https://doi.org/10.1017/S0033291710001303</w:t>
        </w:r>
      </w:hyperlink>
    </w:p>
    <w:p w14:paraId="6F7EED4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Galderisi, S., Bucci, P., Mucci, A., Kirkpatrick, B., Pini, S., Rossi, A., Vita, A., &amp; Maj, M. (2013). Categorical and dimensional approaches to negative symptoms of schizophrenia: Focus on long-term stability and functional outcome.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147</w:t>
      </w:r>
      <w:r w:rsidRPr="00600FC7">
        <w:rPr>
          <w:rFonts w:ascii="Times New Roman" w:eastAsia="Times New Roman" w:hAnsi="Times New Roman" w:cs="Times New Roman"/>
          <w:sz w:val="24"/>
          <w:szCs w:val="24"/>
        </w:rPr>
        <w:t xml:space="preserve">(1), 157–162. </w:t>
      </w:r>
      <w:hyperlink r:id="rId1952" w:history="1">
        <w:r w:rsidRPr="00600FC7">
          <w:rPr>
            <w:rFonts w:ascii="Times New Roman" w:eastAsia="Times New Roman" w:hAnsi="Times New Roman" w:cs="Times New Roman"/>
            <w:color w:val="0000FF"/>
            <w:sz w:val="24"/>
            <w:szCs w:val="24"/>
            <w:u w:val="single"/>
          </w:rPr>
          <w:t>https://doi.org/10.1016/j.schres.2013.03.020</w:t>
        </w:r>
      </w:hyperlink>
    </w:p>
    <w:p w14:paraId="7361CD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Galderisi, S., Maj, M., Kirkpatrick, B., Piccardi, P., Mucci, A., lnvernizzi, G., Rossi, A., Pini, S., Vita, A., Cassano, P., Stratta, P., Severino, G., &amp; Del Zompo, M. (2005). Catechol-O-Methyltransferase Val</w:t>
      </w:r>
      <w:r w:rsidRPr="00600FC7">
        <w:rPr>
          <w:rFonts w:ascii="Times New Roman" w:eastAsia="Times New Roman" w:hAnsi="Times New Roman" w:cs="Times New Roman"/>
          <w:sz w:val="24"/>
          <w:szCs w:val="24"/>
          <w:vertAlign w:val="superscript"/>
        </w:rPr>
        <w:t>158</w:t>
      </w:r>
      <w:r w:rsidRPr="00600FC7">
        <w:rPr>
          <w:rFonts w:ascii="Times New Roman" w:eastAsia="Times New Roman" w:hAnsi="Times New Roman" w:cs="Times New Roman"/>
          <w:sz w:val="24"/>
          <w:szCs w:val="24"/>
        </w:rPr>
        <w:t xml:space="preserve">Met Polymorphism in Schizophrenia: Associations with Cognitive and Motor Impairment. </w:t>
      </w:r>
      <w:r w:rsidRPr="00600FC7">
        <w:rPr>
          <w:rFonts w:ascii="Times New Roman" w:eastAsia="Times New Roman" w:hAnsi="Times New Roman" w:cs="Times New Roman"/>
          <w:i/>
          <w:iCs/>
          <w:sz w:val="24"/>
          <w:szCs w:val="24"/>
        </w:rPr>
        <w:t>Neuropsychobiology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52</w:t>
      </w:r>
      <w:r w:rsidRPr="00600FC7">
        <w:rPr>
          <w:rFonts w:ascii="Times New Roman" w:eastAsia="Times New Roman" w:hAnsi="Times New Roman" w:cs="Times New Roman"/>
          <w:sz w:val="24"/>
          <w:szCs w:val="24"/>
        </w:rPr>
        <w:t xml:space="preserve">(2), 83–89. </w:t>
      </w:r>
      <w:hyperlink r:id="rId1953" w:history="1">
        <w:r w:rsidRPr="00600FC7">
          <w:rPr>
            <w:rFonts w:ascii="Times New Roman" w:eastAsia="Times New Roman" w:hAnsi="Times New Roman" w:cs="Times New Roman"/>
            <w:color w:val="0000FF"/>
            <w:sz w:val="24"/>
            <w:szCs w:val="24"/>
            <w:u w:val="single"/>
          </w:rPr>
          <w:t>https://doi.org/10.1159/000087096</w:t>
        </w:r>
      </w:hyperlink>
    </w:p>
    <w:p w14:paraId="0A11D8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Galderisi, S., Piegari, G., Mucci, A., Acerra, A., Luciano, L., Rabasca, A. F., Santucci, F., Valente, A., Volpe, M., Mastantuono, P., &amp; Maj, M. (2010). Social skills and neurocognitive individualized training in schizophrenia: Comparison with structured leisure activities.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260</w:t>
      </w:r>
      <w:r w:rsidRPr="00600FC7">
        <w:rPr>
          <w:rFonts w:ascii="Times New Roman" w:eastAsia="Times New Roman" w:hAnsi="Times New Roman" w:cs="Times New Roman"/>
          <w:sz w:val="24"/>
          <w:szCs w:val="24"/>
        </w:rPr>
        <w:t xml:space="preserve">(4), 305–315. </w:t>
      </w:r>
      <w:hyperlink r:id="rId1954" w:history="1">
        <w:r w:rsidRPr="00600FC7">
          <w:rPr>
            <w:rFonts w:ascii="Times New Roman" w:eastAsia="Times New Roman" w:hAnsi="Times New Roman" w:cs="Times New Roman"/>
            <w:color w:val="0000FF"/>
            <w:sz w:val="24"/>
            <w:szCs w:val="24"/>
            <w:u w:val="single"/>
          </w:rPr>
          <w:t>https://doi.org/10.1007/s00406-009-0078-1</w:t>
        </w:r>
      </w:hyperlink>
    </w:p>
    <w:p w14:paraId="699D89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Galetto, V., Andreetta, S., Zettin, M., &amp; Marini, A. (2013). Patterns of impairment of narrative language in mild traumatic brain injury. </w:t>
      </w:r>
      <w:r w:rsidRPr="00600FC7">
        <w:rPr>
          <w:rFonts w:ascii="Times New Roman" w:eastAsia="Times New Roman" w:hAnsi="Times New Roman" w:cs="Times New Roman"/>
          <w:i/>
          <w:iCs/>
          <w:sz w:val="24"/>
          <w:szCs w:val="24"/>
        </w:rPr>
        <w:t>Journal of Neurolinguistics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(6), 649–661. </w:t>
      </w:r>
      <w:hyperlink r:id="rId1955" w:history="1">
        <w:r w:rsidRPr="00600FC7">
          <w:rPr>
            <w:rFonts w:ascii="Times New Roman" w:eastAsia="Times New Roman" w:hAnsi="Times New Roman" w:cs="Times New Roman"/>
            <w:color w:val="0000FF"/>
            <w:sz w:val="24"/>
            <w:szCs w:val="24"/>
            <w:u w:val="single"/>
          </w:rPr>
          <w:t>https://doi.org/10.1016/j.jneuroling.2013.05.004</w:t>
        </w:r>
      </w:hyperlink>
    </w:p>
    <w:p w14:paraId="5BC274A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Galić, S. (2007a). Poremećaji knoceptualnog mišljenja i izvršhih funkcija u shizofrenih osoba. [Disorders of conceptual reasoning and executive functions in schizophrenic individuals.]. </w:t>
      </w:r>
      <w:r w:rsidRPr="00600FC7">
        <w:rPr>
          <w:rFonts w:ascii="Times New Roman" w:eastAsia="Times New Roman" w:hAnsi="Times New Roman" w:cs="Times New Roman"/>
          <w:i/>
          <w:iCs/>
          <w:sz w:val="24"/>
          <w:szCs w:val="24"/>
        </w:rPr>
        <w:t>Suvremena Psihologija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(1), 77–94.</w:t>
      </w:r>
    </w:p>
    <w:p w14:paraId="4E017B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Galić, S. (2007b). Wisconsin test razvrstavanja karata u diferencijalnoj dijagnostici shizofrenije i lezija mozga. [Wisconsin Card Sorting Test in differential diagnosis of schizophrenia and brain disorder.]. </w:t>
      </w:r>
      <w:r w:rsidRPr="00600FC7">
        <w:rPr>
          <w:rFonts w:ascii="Times New Roman" w:eastAsia="Times New Roman" w:hAnsi="Times New Roman" w:cs="Times New Roman"/>
          <w:i/>
          <w:iCs/>
          <w:sz w:val="24"/>
          <w:szCs w:val="24"/>
        </w:rPr>
        <w:t>Suvremena Psihologija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(2), 223–236.</w:t>
      </w:r>
    </w:p>
    <w:p w14:paraId="29FE6C8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D’Addario, C., Dell’Osso, B., Fenoglio, C., Marcone, A., Cerami, C., Cappa, S. F., Palazzo, M. C., Arosio, B., Mari, D., Maccarrone, M., Bresolin, N., Altamura, A. C., &amp; Scarpini, E. (2013). Progranulin gene (GRN) promoter methylation is increased in patients with sporadic frontotemporal lobar degeneration.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(6), 899–903. </w:t>
      </w:r>
      <w:hyperlink r:id="rId1956" w:history="1">
        <w:r w:rsidRPr="00600FC7">
          <w:rPr>
            <w:rFonts w:ascii="Times New Roman" w:eastAsia="Times New Roman" w:hAnsi="Times New Roman" w:cs="Times New Roman"/>
            <w:color w:val="0000FF"/>
            <w:sz w:val="24"/>
            <w:szCs w:val="24"/>
            <w:u w:val="single"/>
          </w:rPr>
          <w:t>https://doi.org/10.1007/s10072-012-1151-5</w:t>
        </w:r>
      </w:hyperlink>
    </w:p>
    <w:p w14:paraId="20966C2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Fenoglio, C., Cortini, F., Serpente, M., Venturelli, E., Villa, C., Clerici, F., Marcone, A., Benussi, L., Ghidoni, R., Gallone, S., Scalabrini, D., Restelli, I., Boneschi, F. M., Cappa, S., Binetti, G., Mariani, C., Rainero, I., Giordana, M. T., … Scarpini, E. (2010). GRN variability contributes to sporadic frontotemporal lobar degeneration.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(1), 171–177.</w:t>
      </w:r>
    </w:p>
    <w:p w14:paraId="45C010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Venturelli, E., Villa, C., Fenoglio, C., Clerici, F., Marcone, A., Benussi, L., Cortini, F., Scalabrini, D., Perini, L., Restelli, I., Binetti, G., Cappa, S., Mariani, C., Bresolin, N., &amp; Scarpini, E. (2009). MCP-1 A-2518G polymorphism: Effect on </w:t>
      </w:r>
      <w:r w:rsidRPr="00600FC7">
        <w:rPr>
          <w:rFonts w:ascii="Times New Roman" w:eastAsia="Times New Roman" w:hAnsi="Times New Roman" w:cs="Times New Roman"/>
          <w:sz w:val="24"/>
          <w:szCs w:val="24"/>
        </w:rPr>
        <w:lastRenderedPageBreak/>
        <w:t xml:space="preserve">susceptibility for frontotemporal lobar degeneration and on cerebrospinal fluid MCP-1 levels.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(1), 125–133.</w:t>
      </w:r>
    </w:p>
    <w:p w14:paraId="744D78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Galimberti, D., Villa, C., Fenoglio, C., Serpente, M., Ghezzi, L., Cioffi, S. M. G., Arighi, A., Fumagalli, G., &amp; Scarpini, E. (2014). Circulating miRNAs as potential biomarkers in Alzheimer’s disease.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(4), 1261–1267.</w:t>
      </w:r>
    </w:p>
    <w:p w14:paraId="5B1569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Galindo y Villa, G., Robles, E., Ibarrarán, G., &amp; Cortés, J. (1997). Evaluación neuropsicológica de un grupo de pacientes con esquizofrenia. [Neuropsychological evaluation of a group of schizophrenic patients.]. </w:t>
      </w:r>
      <w:r w:rsidRPr="00600FC7">
        <w:rPr>
          <w:rFonts w:ascii="Times New Roman" w:eastAsia="Times New Roman" w:hAnsi="Times New Roman" w:cs="Times New Roman"/>
          <w:i/>
          <w:iCs/>
          <w:sz w:val="24"/>
          <w:szCs w:val="24"/>
        </w:rPr>
        <w:t>Salud 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(Suppl 3), 28–31.</w:t>
      </w:r>
    </w:p>
    <w:p w14:paraId="5F897F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Galińska, B., Szulc, A., &amp; Czernikiewicz, A. (2005). Czas nieleczonej psychozy a objawy kliniczne i funkcje poznawcze w grupie pacjentów z pierwszym epizodem schizofrenii. [Duration of untreated psychosis in first-episode schizophrenia: Clinical and cognitive correlates.]. </w:t>
      </w:r>
      <w:r w:rsidRPr="00600FC7">
        <w:rPr>
          <w:rFonts w:ascii="Times New Roman" w:eastAsia="Times New Roman" w:hAnsi="Times New Roman" w:cs="Times New Roman"/>
          <w:i/>
          <w:iCs/>
          <w:sz w:val="24"/>
          <w:szCs w:val="24"/>
        </w:rPr>
        <w:t>Psychiatria Polska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(5), 859–868.</w:t>
      </w:r>
    </w:p>
    <w:p w14:paraId="38EDF0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Galińska-Skok, B., Szulc, A., Małus, A., Konarzewska, B., Cwalina, U., Tarasów, E., &amp; Waszkiewicz, N. (2019). Proton magnetic resonance spectroscopy changes in a longitudinal schizophrenia study: A pilot study in eleven patients. </w:t>
      </w:r>
      <w:r w:rsidRPr="00600FC7">
        <w:rPr>
          <w:rFonts w:ascii="Times New Roman" w:eastAsia="Times New Roman" w:hAnsi="Times New Roman" w:cs="Times New Roman"/>
          <w:i/>
          <w:iCs/>
          <w:sz w:val="24"/>
          <w:szCs w:val="24"/>
        </w:rPr>
        <w:t>Neuropsychiatric Disease and Treatment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 </w:t>
      </w:r>
      <w:hyperlink r:id="rId1957" w:history="1">
        <w:r w:rsidRPr="00600FC7">
          <w:rPr>
            <w:rFonts w:ascii="Times New Roman" w:eastAsia="Times New Roman" w:hAnsi="Times New Roman" w:cs="Times New Roman"/>
            <w:color w:val="0000FF"/>
            <w:sz w:val="24"/>
            <w:szCs w:val="24"/>
            <w:u w:val="single"/>
          </w:rPr>
          <w:t>https://doi.org/10.2147/NDT.S196932</w:t>
        </w:r>
      </w:hyperlink>
    </w:p>
    <w:p w14:paraId="1B23C6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C., Bell, B., Bendlin, B., Palotti, M., Okonkwo, O., Sodhi, A., Wong, R., Buyan-Dent, L., Johnson, S., Wilette, A., Harding, S., Ninman, N., Kastman, E., &amp; Alexander, A. (2013). White matter microstructural integrity and executive function in Parkinson’s disease.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(3), 349–354. </w:t>
      </w:r>
      <w:hyperlink r:id="rId1958" w:history="1">
        <w:r w:rsidRPr="00600FC7">
          <w:rPr>
            <w:rFonts w:ascii="Times New Roman" w:eastAsia="Times New Roman" w:hAnsi="Times New Roman" w:cs="Times New Roman"/>
            <w:color w:val="0000FF"/>
            <w:sz w:val="24"/>
            <w:szCs w:val="24"/>
            <w:u w:val="single"/>
          </w:rPr>
          <w:t>https://doi.org/10.1017/S1355617712001373</w:t>
        </w:r>
      </w:hyperlink>
    </w:p>
    <w:p w14:paraId="46846D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C. L., Bell, B., Palotti, M., Oh, J., Christian, B. T., Okonkwo, O., Sojkova, J., Buyan-Dent, L., Nickles, R. J., Harding, S. J., Stone, C. K., Johnson, S. C., &amp; Holden, J. E. (2015). </w:t>
      </w:r>
      <w:r w:rsidRPr="00600FC7">
        <w:rPr>
          <w:rFonts w:ascii="Times New Roman" w:eastAsia="Times New Roman" w:hAnsi="Times New Roman" w:cs="Times New Roman"/>
          <w:sz w:val="24"/>
          <w:szCs w:val="24"/>
        </w:rPr>
        <w:lastRenderedPageBreak/>
        <w:t xml:space="preserve">Anterior cingulate dopamine turnover and behavior change in Parkinson’s disease. </w:t>
      </w:r>
      <w:r w:rsidRPr="00600FC7">
        <w:rPr>
          <w:rFonts w:ascii="Times New Roman" w:eastAsia="Times New Roman" w:hAnsi="Times New Roman" w:cs="Times New Roman"/>
          <w:i/>
          <w:iCs/>
          <w:sz w:val="24"/>
          <w:szCs w:val="24"/>
        </w:rPr>
        <w:t>Brain Imaging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(4), 821–827. </w:t>
      </w:r>
      <w:hyperlink r:id="rId1959" w:history="1">
        <w:r w:rsidRPr="00600FC7">
          <w:rPr>
            <w:rFonts w:ascii="Times New Roman" w:eastAsia="Times New Roman" w:hAnsi="Times New Roman" w:cs="Times New Roman"/>
            <w:color w:val="0000FF"/>
            <w:sz w:val="24"/>
            <w:szCs w:val="24"/>
            <w:u w:val="single"/>
          </w:rPr>
          <w:t>https://doi.org/10.1007/s11682-014-9338-4</w:t>
        </w:r>
      </w:hyperlink>
    </w:p>
    <w:p w14:paraId="617B10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P., Massey, A. E., Young, A. H., &amp; McAllister-Williams, R. H. (2003). Effects of acute tryptophan depletion on executive function in healthy male volunteers.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 xml:space="preserve">. </w:t>
      </w:r>
      <w:hyperlink r:id="rId1960" w:history="1">
        <w:r w:rsidRPr="00600FC7">
          <w:rPr>
            <w:rFonts w:ascii="Times New Roman" w:eastAsia="Times New Roman" w:hAnsi="Times New Roman" w:cs="Times New Roman"/>
            <w:color w:val="0000FF"/>
            <w:sz w:val="24"/>
            <w:szCs w:val="24"/>
            <w:u w:val="single"/>
          </w:rPr>
          <w:t>https://doi.org/10.1186/1471-244X-3-10</w:t>
        </w:r>
      </w:hyperlink>
    </w:p>
    <w:p w14:paraId="4946C01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Gallagher, R., &amp; Rosenblatt, J. L. ; (2013). </w:t>
      </w:r>
      <w:r w:rsidRPr="00600FC7">
        <w:rPr>
          <w:rFonts w:ascii="Times New Roman" w:eastAsia="Times New Roman" w:hAnsi="Times New Roman" w:cs="Times New Roman"/>
          <w:i/>
          <w:iCs/>
          <w:sz w:val="24"/>
          <w:szCs w:val="24"/>
        </w:rPr>
        <w:t>Attention-deficit/hyperactivity disorder predominantly inattentive type.</w:t>
      </w:r>
      <w:r w:rsidRPr="00600FC7">
        <w:rPr>
          <w:rFonts w:ascii="Times New Roman" w:eastAsia="Times New Roman" w:hAnsi="Times New Roman" w:cs="Times New Roman"/>
          <w:sz w:val="24"/>
          <w:szCs w:val="24"/>
        </w:rPr>
        <w:t xml:space="preserve"> (pp. 155–176).</w:t>
      </w:r>
    </w:p>
    <w:p w14:paraId="3A438B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Gallassi, R., Sambati, L., Poda, R., Oppi, F., Maserati, M. S., Cevolani, D., Agati, R., &amp; Lodi, R. (2011). Slowly progressive aphemia: A neuropsychological, conventional, and functional MRI study. </w:t>
      </w:r>
      <w:r w:rsidRPr="00600FC7">
        <w:rPr>
          <w:rFonts w:ascii="Times New Roman" w:eastAsia="Times New Roman" w:hAnsi="Times New Roman" w:cs="Times New Roman"/>
          <w:i/>
          <w:iCs/>
          <w:sz w:val="24"/>
          <w:szCs w:val="24"/>
        </w:rPr>
        <w:t>Neurological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(6), 1179–1186. </w:t>
      </w:r>
      <w:hyperlink r:id="rId1961" w:history="1">
        <w:r w:rsidRPr="00600FC7">
          <w:rPr>
            <w:rFonts w:ascii="Times New Roman" w:eastAsia="Times New Roman" w:hAnsi="Times New Roman" w:cs="Times New Roman"/>
            <w:color w:val="0000FF"/>
            <w:sz w:val="24"/>
            <w:szCs w:val="24"/>
            <w:u w:val="single"/>
          </w:rPr>
          <w:t>https://doi.org/10.1007/s10072-011-0625-1</w:t>
        </w:r>
      </w:hyperlink>
    </w:p>
    <w:p w14:paraId="4C55C9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Galletly, C. A., Clark, C. R., &amp; MacFarlane, A. C. (2000). Treating cognitive dysfunction in patients with schizophrenia.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(2), 117–124.</w:t>
      </w:r>
    </w:p>
    <w:p w14:paraId="1220118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Gallhofer, B., Jaanson, P., Mittoux, A., Tanghøj, P., Lis, S., &amp; Krieger, S. (2007). Course of recovery of cognitive impairment in patients with schizophrenia: A randomised double-blind study comparing sertindole and haloperidol. </w:t>
      </w:r>
      <w:r w:rsidRPr="00600FC7">
        <w:rPr>
          <w:rFonts w:ascii="Times New Roman" w:eastAsia="Times New Roman" w:hAnsi="Times New Roman" w:cs="Times New Roman"/>
          <w:i/>
          <w:iCs/>
          <w:sz w:val="24"/>
          <w:szCs w:val="24"/>
        </w:rPr>
        <w:t>Pharmacopsychiatry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(6), 275–286. </w:t>
      </w:r>
      <w:hyperlink r:id="rId1962" w:history="1">
        <w:r w:rsidRPr="00600FC7">
          <w:rPr>
            <w:rFonts w:ascii="Times New Roman" w:eastAsia="Times New Roman" w:hAnsi="Times New Roman" w:cs="Times New Roman"/>
            <w:color w:val="0000FF"/>
            <w:sz w:val="24"/>
            <w:szCs w:val="24"/>
            <w:u w:val="single"/>
          </w:rPr>
          <w:t>https://doi.org/10.1055/s-2007-990291</w:t>
        </w:r>
      </w:hyperlink>
    </w:p>
    <w:p w14:paraId="734D8D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Galluzzi, S., Sheu, C.-F., Zanetti, O., &amp; Frisoni, G. B. (2005). Distinctive Clinical Features of Mild Cognitive Impairment with Subcortical Cerebrovascular Disease. </w:t>
      </w:r>
      <w:r w:rsidRPr="00600FC7">
        <w:rPr>
          <w:rFonts w:ascii="Times New Roman" w:eastAsia="Times New Roman" w:hAnsi="Times New Roman" w:cs="Times New Roman"/>
          <w:i/>
          <w:iCs/>
          <w:sz w:val="24"/>
          <w:szCs w:val="24"/>
        </w:rPr>
        <w:t>Dementia and Geriatric Cognitive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196–203. </w:t>
      </w:r>
      <w:hyperlink r:id="rId1963" w:history="1">
        <w:r w:rsidRPr="00600FC7">
          <w:rPr>
            <w:rFonts w:ascii="Times New Roman" w:eastAsia="Times New Roman" w:hAnsi="Times New Roman" w:cs="Times New Roman"/>
            <w:color w:val="0000FF"/>
            <w:sz w:val="24"/>
            <w:szCs w:val="24"/>
            <w:u w:val="single"/>
          </w:rPr>
          <w:t>https://doi.org/10.1159/000083499</w:t>
        </w:r>
      </w:hyperlink>
    </w:p>
    <w:p w14:paraId="01286B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 A., Lorenzo, J. N., &amp; Barroso, J. (2014). Cognitive impairment in Parkinson’s disease: More than a frontostriatal dysfunction. </w:t>
      </w:r>
      <w:r w:rsidRPr="00600FC7">
        <w:rPr>
          <w:rFonts w:ascii="Times New Roman" w:eastAsia="Times New Roman" w:hAnsi="Times New Roman" w:cs="Times New Roman"/>
          <w:i/>
          <w:iCs/>
          <w:sz w:val="24"/>
          <w:szCs w:val="24"/>
        </w:rPr>
        <w:t>The Spanish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w:t>
      </w:r>
    </w:p>
    <w:p w14:paraId="06A001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Galtier, I., Nieto, A., Lorenzo, J. N., &amp; Barroso, J. (2016). Mild cognitive impairment in Parkinson’s disease: Diagnosis and progression to dementia.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(1), 40–50. </w:t>
      </w:r>
      <w:hyperlink r:id="rId1964" w:history="1">
        <w:r w:rsidRPr="00600FC7">
          <w:rPr>
            <w:rFonts w:ascii="Times New Roman" w:eastAsia="Times New Roman" w:hAnsi="Times New Roman" w:cs="Times New Roman"/>
            <w:color w:val="0000FF"/>
            <w:sz w:val="24"/>
            <w:szCs w:val="24"/>
            <w:u w:val="single"/>
          </w:rPr>
          <w:t>https://doi.org/10.1080/13803395.2015.1087465</w:t>
        </w:r>
      </w:hyperlink>
    </w:p>
    <w:p w14:paraId="436F30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Nieto, A., Lorenzo, J. N., &amp; Barroso, J. (2017). Mild cognitive impairment in Parkinson’s disease: Clustering and switching analyses in Verbal Fluency Test.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(6), 511–520. </w:t>
      </w:r>
      <w:hyperlink r:id="rId1965" w:history="1">
        <w:r w:rsidRPr="00600FC7">
          <w:rPr>
            <w:rFonts w:ascii="Times New Roman" w:eastAsia="Times New Roman" w:hAnsi="Times New Roman" w:cs="Times New Roman"/>
            <w:color w:val="0000FF"/>
            <w:sz w:val="24"/>
            <w:szCs w:val="24"/>
            <w:u w:val="single"/>
          </w:rPr>
          <w:t>https://doi.org/10.1017/S1355617717000297</w:t>
        </w:r>
      </w:hyperlink>
    </w:p>
    <w:p w14:paraId="1B9B4AB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Galtier, I., Nieto, A., Mata, M., Lorenzo, J. N., &amp; Barroso, J. (2021). Analyses of visuospatial and visuoperceptual errors as predictors of dementia in Parkinson’s disease patients with subjective cognitive decline and mild cognitive impairment.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(7), 722–732. </w:t>
      </w:r>
      <w:hyperlink r:id="rId1966" w:history="1">
        <w:r w:rsidRPr="00600FC7">
          <w:rPr>
            <w:rFonts w:ascii="Times New Roman" w:eastAsia="Times New Roman" w:hAnsi="Times New Roman" w:cs="Times New Roman"/>
            <w:color w:val="0000FF"/>
            <w:sz w:val="24"/>
            <w:szCs w:val="24"/>
            <w:u w:val="single"/>
          </w:rPr>
          <w:t>https://doi.org/10.1017/S1355617720001216</w:t>
        </w:r>
      </w:hyperlink>
    </w:p>
    <w:p w14:paraId="2F8D6CC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Gama, A. P., Taura, M., Alonso, N. B., Sousa, A. M., Noffs, M. H. da S., Yacubian, E. M., &amp; Guilhoto, L. M. (2020). Impulsiveness, personality traits and executive functioning in patients with juvenile myoclonic epilepsy. </w:t>
      </w:r>
      <w:r w:rsidRPr="00600FC7">
        <w:rPr>
          <w:rFonts w:ascii="Times New Roman" w:eastAsia="Times New Roman" w:hAnsi="Times New Roman" w:cs="Times New Roman"/>
          <w:i/>
          <w:iCs/>
          <w:sz w:val="24"/>
          <w:szCs w:val="24"/>
        </w:rPr>
        <w:t>Seizure: European Journal of Epilepsy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 125–132. </w:t>
      </w:r>
      <w:hyperlink r:id="rId1967" w:history="1">
        <w:r w:rsidRPr="00600FC7">
          <w:rPr>
            <w:rFonts w:ascii="Times New Roman" w:eastAsia="Times New Roman" w:hAnsi="Times New Roman" w:cs="Times New Roman"/>
            <w:color w:val="0000FF"/>
            <w:sz w:val="24"/>
            <w:szCs w:val="24"/>
            <w:u w:val="single"/>
          </w:rPr>
          <w:t>https://doi.org/10.1016/j.seizure.2020.09.029</w:t>
        </w:r>
      </w:hyperlink>
    </w:p>
    <w:p w14:paraId="5F92C7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Gama, C. S., Kunz, M., Magalhães, P. V. S., &amp; Kapczinski, F. (2013). Staging and neuroprogression in bipolar disorder: A systematic review of the literature. </w:t>
      </w:r>
      <w:r w:rsidRPr="00600FC7">
        <w:rPr>
          <w:rFonts w:ascii="Times New Roman" w:eastAsia="Times New Roman" w:hAnsi="Times New Roman" w:cs="Times New Roman"/>
          <w:i/>
          <w:iCs/>
          <w:sz w:val="24"/>
          <w:szCs w:val="24"/>
        </w:rPr>
        <w:t>Revista Brasileira de 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(1), 70–74. </w:t>
      </w:r>
      <w:hyperlink r:id="rId1968" w:history="1">
        <w:r w:rsidRPr="00600FC7">
          <w:rPr>
            <w:rFonts w:ascii="Times New Roman" w:eastAsia="Times New Roman" w:hAnsi="Times New Roman" w:cs="Times New Roman"/>
            <w:color w:val="0000FF"/>
            <w:sz w:val="24"/>
            <w:szCs w:val="24"/>
            <w:u w:val="single"/>
          </w:rPr>
          <w:t>https://doi.org/10.1016/j.rbp.2012.09.001</w:t>
        </w:r>
      </w:hyperlink>
    </w:p>
    <w:p w14:paraId="1CEF6AE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Gamaldo, C. E., Gamaldo, A., Creighton, J., Salas, R. E., Selnes, O. A., David, P. M., Mbeo, G., Parker, B. S., Brown, A., McArthur, J. C., &amp; Smith, M. T. (2013). Evaluating sleep and cognition in HIV. </w:t>
      </w:r>
      <w:r w:rsidRPr="00600FC7">
        <w:rPr>
          <w:rFonts w:ascii="Times New Roman" w:eastAsia="Times New Roman" w:hAnsi="Times New Roman" w:cs="Times New Roman"/>
          <w:i/>
          <w:iCs/>
          <w:sz w:val="24"/>
          <w:szCs w:val="24"/>
        </w:rPr>
        <w:t>JAIDS Journal of Acquired Immune Deficiency Syndromes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(5), 609–616. </w:t>
      </w:r>
      <w:hyperlink r:id="rId1969" w:history="1">
        <w:r w:rsidRPr="00600FC7">
          <w:rPr>
            <w:rFonts w:ascii="Times New Roman" w:eastAsia="Times New Roman" w:hAnsi="Times New Roman" w:cs="Times New Roman"/>
            <w:color w:val="0000FF"/>
            <w:sz w:val="24"/>
            <w:szCs w:val="24"/>
            <w:u w:val="single"/>
          </w:rPr>
          <w:t>https://doi.org/10.1097/QAI.0b013e31829d63ab</w:t>
        </w:r>
      </w:hyperlink>
    </w:p>
    <w:p w14:paraId="27E5E9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Gambardella, A., Aguglia, U., Chifari, R., Labate, A., Manna, lda, Serra, P., Romeo, N., Sibilia, G., LePiane, E., La Russa, A., Ventura, P., Cittadella, R., Sasanelli, F., Colosimo, E., Leggio, U., Zappia, M., &amp; Quattrone, A. (2005). ApoE Epsilon4 Allele and Disease Duration Affect Verbal Learning in Mild Temporal Lobe Epilepsy. </w:t>
      </w:r>
      <w:r w:rsidRPr="00600FC7">
        <w:rPr>
          <w:rFonts w:ascii="Times New Roman" w:eastAsia="Times New Roman" w:hAnsi="Times New Roman" w:cs="Times New Roman"/>
          <w:i/>
          <w:iCs/>
          <w:sz w:val="24"/>
          <w:szCs w:val="24"/>
        </w:rPr>
        <w:t>Epilepsia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 110–117. </w:t>
      </w:r>
      <w:hyperlink r:id="rId1970" w:history="1">
        <w:r w:rsidRPr="00600FC7">
          <w:rPr>
            <w:rFonts w:ascii="Times New Roman" w:eastAsia="Times New Roman" w:hAnsi="Times New Roman" w:cs="Times New Roman"/>
            <w:color w:val="0000FF"/>
            <w:sz w:val="24"/>
            <w:szCs w:val="24"/>
            <w:u w:val="single"/>
          </w:rPr>
          <w:t>https://doi.org/10.1111/j.0013-9580.2005.15804.x</w:t>
        </w:r>
      </w:hyperlink>
    </w:p>
    <w:p w14:paraId="3A427B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Gambini, O., Abbruzzese, M., &amp; Scarone, S. (1993). Smooth pursuit and saccadic eye movements and Wisconsin Card Sorting Test performance in obsessive-compulsive disorder.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(3), 191–200. </w:t>
      </w:r>
      <w:hyperlink r:id="rId1971" w:history="1">
        <w:r w:rsidRPr="00600FC7">
          <w:rPr>
            <w:rFonts w:ascii="Times New Roman" w:eastAsia="Times New Roman" w:hAnsi="Times New Roman" w:cs="Times New Roman"/>
            <w:color w:val="0000FF"/>
            <w:sz w:val="24"/>
            <w:szCs w:val="24"/>
            <w:u w:val="single"/>
          </w:rPr>
          <w:t>https://doi.org/10.1016/0165-1781(93)90071-N</w:t>
        </w:r>
      </w:hyperlink>
    </w:p>
    <w:p w14:paraId="237756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Gamboz, N., Borella, E., &amp; Brandimonte, M. A. (2009). The role of switching, inhibition and working memory in older adults’ performance in the Wisconsin Card Sorting Test. </w:t>
      </w:r>
      <w:r w:rsidRPr="00600FC7">
        <w:rPr>
          <w:rFonts w:ascii="Times New Roman" w:eastAsia="Times New Roman" w:hAnsi="Times New Roman" w:cs="Times New Roman"/>
          <w:i/>
          <w:iCs/>
          <w:sz w:val="24"/>
          <w:szCs w:val="24"/>
        </w:rPr>
        <w:t>Aging, Neuropsychology,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(3), 260–284. </w:t>
      </w:r>
      <w:hyperlink r:id="rId1972" w:history="1">
        <w:r w:rsidRPr="00600FC7">
          <w:rPr>
            <w:rFonts w:ascii="Times New Roman" w:eastAsia="Times New Roman" w:hAnsi="Times New Roman" w:cs="Times New Roman"/>
            <w:color w:val="0000FF"/>
            <w:sz w:val="24"/>
            <w:szCs w:val="24"/>
            <w:u w:val="single"/>
          </w:rPr>
          <w:t>https://doi.org/10.1080/13825580802573045</w:t>
        </w:r>
      </w:hyperlink>
    </w:p>
    <w:p w14:paraId="342ED5A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Gameiro, F., Perea, M. V., Ladera, V., Rosa, B., &amp; García, R. (2017). Executive functioning in obese individuals waiting for clinical treatment.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(1), 61–66.</w:t>
      </w:r>
    </w:p>
    <w:p w14:paraId="03C70F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Gamito, P., Oliveira, J., Lopes, P., Morais, D., Brito, R., Saraiva, T., Bastos, M., Cristóvão, S., Caçôete, C., &amp; Picareli, F. (2013). Assessment of frontal brain functions in alcoholics following a health mobile cognitive stimulation approach. </w:t>
      </w:r>
      <w:r w:rsidRPr="00600FC7">
        <w:rPr>
          <w:rFonts w:ascii="Times New Roman" w:eastAsia="Times New Roman" w:hAnsi="Times New Roman" w:cs="Times New Roman"/>
          <w:i/>
          <w:iCs/>
          <w:sz w:val="24"/>
          <w:szCs w:val="24"/>
        </w:rPr>
        <w:t>Annual Review of CyberTherapy and Telemedicine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110–114.</w:t>
      </w:r>
    </w:p>
    <w:p w14:paraId="06AE80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Gamito, P., Oliveira, J., Matias, M., Cunha, E., Brito, R., Lopes, P. F., &amp; Deus, A. (2021). Virtual reality cognitive training among individuals with alcohol use disorder undergoing residential treatment: Pilot randomized controlled trial. </w:t>
      </w:r>
      <w:r w:rsidRPr="00600FC7">
        <w:rPr>
          <w:rFonts w:ascii="Times New Roman" w:eastAsia="Times New Roman" w:hAnsi="Times New Roman" w:cs="Times New Roman"/>
          <w:i/>
          <w:iCs/>
          <w:sz w:val="24"/>
          <w:szCs w:val="24"/>
        </w:rPr>
        <w:t>Journal of Medical Internet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(1). </w:t>
      </w:r>
      <w:hyperlink r:id="rId1973" w:history="1">
        <w:r w:rsidRPr="00600FC7">
          <w:rPr>
            <w:rFonts w:ascii="Times New Roman" w:eastAsia="Times New Roman" w:hAnsi="Times New Roman" w:cs="Times New Roman"/>
            <w:color w:val="0000FF"/>
            <w:sz w:val="24"/>
            <w:szCs w:val="24"/>
            <w:u w:val="single"/>
          </w:rPr>
          <w:t>https://doi.org/10.2196/18482</w:t>
        </w:r>
      </w:hyperlink>
    </w:p>
    <w:p w14:paraId="6F727A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Gamito, P., Oliveira, J., Morais, D., Coelho, C., Santos, N., Alves, C., Galamba, A., Soeiro, M., Yerra, M., French, H., Talmers, L., Gomes, T., &amp; Brito, R. (2019). Cognitive stimulation of elderly individuals with instrumental virtual reality-based activities of daily life: Pre-post treatment study. </w:t>
      </w:r>
      <w:r w:rsidRPr="00600FC7">
        <w:rPr>
          <w:rFonts w:ascii="Times New Roman" w:eastAsia="Times New Roman" w:hAnsi="Times New Roman" w:cs="Times New Roman"/>
          <w:i/>
          <w:iCs/>
          <w:sz w:val="24"/>
          <w:szCs w:val="24"/>
        </w:rPr>
        <w:t>Cyberpsychology, Behavior, and Social Networking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 69–75. </w:t>
      </w:r>
      <w:hyperlink r:id="rId1974" w:history="1">
        <w:r w:rsidRPr="00600FC7">
          <w:rPr>
            <w:rFonts w:ascii="Times New Roman" w:eastAsia="Times New Roman" w:hAnsi="Times New Roman" w:cs="Times New Roman"/>
            <w:color w:val="0000FF"/>
            <w:sz w:val="24"/>
            <w:szCs w:val="24"/>
            <w:u w:val="single"/>
          </w:rPr>
          <w:t>https://doi.org/10.1089/cyber.2017.0679</w:t>
        </w:r>
      </w:hyperlink>
    </w:p>
    <w:p w14:paraId="15DC6C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Ganguly, R., Miller, L. S., &amp; Martin, B. C. (2003). Future employability, a new approach to cost-effectiveness analysis of antipsychotic therapy.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(1–2), 111–119. </w:t>
      </w:r>
      <w:hyperlink r:id="rId1975" w:history="1">
        <w:r w:rsidRPr="00600FC7">
          <w:rPr>
            <w:rFonts w:ascii="Times New Roman" w:eastAsia="Times New Roman" w:hAnsi="Times New Roman" w:cs="Times New Roman"/>
            <w:color w:val="0000FF"/>
            <w:sz w:val="24"/>
            <w:szCs w:val="24"/>
            <w:u w:val="single"/>
          </w:rPr>
          <w:t>https://doi.org/10.1016/S0920-9964(02)00377-8</w:t>
        </w:r>
      </w:hyperlink>
    </w:p>
    <w:p w14:paraId="442BCC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Fucetola, R., Krengel, M., Stetson, S., Zimering, R., &amp; Makary, C. (1998). Are there cognitive subtypes in adult attention deficit/hyperactivity disorder?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186</w:t>
      </w:r>
      <w:r w:rsidRPr="00600FC7">
        <w:rPr>
          <w:rFonts w:ascii="Times New Roman" w:eastAsia="Times New Roman" w:hAnsi="Times New Roman" w:cs="Times New Roman"/>
          <w:sz w:val="24"/>
          <w:szCs w:val="24"/>
        </w:rPr>
        <w:t xml:space="preserve">(12), 776–781. </w:t>
      </w:r>
      <w:hyperlink r:id="rId1976" w:history="1">
        <w:r w:rsidRPr="00600FC7">
          <w:rPr>
            <w:rFonts w:ascii="Times New Roman" w:eastAsia="Times New Roman" w:hAnsi="Times New Roman" w:cs="Times New Roman"/>
            <w:color w:val="0000FF"/>
            <w:sz w:val="24"/>
            <w:szCs w:val="24"/>
            <w:u w:val="single"/>
          </w:rPr>
          <w:t>https://doi.org/10.1097/00005053-199812000-00006</w:t>
        </w:r>
      </w:hyperlink>
    </w:p>
    <w:p w14:paraId="5F46C2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Jerram, M. W., Vannorsdall, T. D., &amp; Schretlen, D. J. (2011a). Comparing alternative metrics to assess performance on the Iowa Gambling Task.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(9), 1040–1048. </w:t>
      </w:r>
      <w:hyperlink r:id="rId1977" w:history="1">
        <w:r w:rsidRPr="00600FC7">
          <w:rPr>
            <w:rFonts w:ascii="Times New Roman" w:eastAsia="Times New Roman" w:hAnsi="Times New Roman" w:cs="Times New Roman"/>
            <w:color w:val="0000FF"/>
            <w:sz w:val="24"/>
            <w:szCs w:val="24"/>
            <w:u w:val="single"/>
          </w:rPr>
          <w:t>https://doi.org/10.1080/13803395.2011.596820</w:t>
        </w:r>
      </w:hyperlink>
    </w:p>
    <w:p w14:paraId="389CFA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Jerram, M. W., Vannorsdall, T. D., &amp; Schretlen, D. J. (2011b). Does the Iowa Gambling Task measure executive function?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(8), 706–717. </w:t>
      </w:r>
      <w:hyperlink r:id="rId1978" w:history="1">
        <w:r w:rsidRPr="00600FC7">
          <w:rPr>
            <w:rFonts w:ascii="Times New Roman" w:eastAsia="Times New Roman" w:hAnsi="Times New Roman" w:cs="Times New Roman"/>
            <w:color w:val="0000FF"/>
            <w:sz w:val="24"/>
            <w:szCs w:val="24"/>
            <w:u w:val="single"/>
          </w:rPr>
          <w:t>https://doi.org/10.1093/arclin/acr082</w:t>
        </w:r>
      </w:hyperlink>
    </w:p>
    <w:p w14:paraId="79506CA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Gansler, D. A., Moore, D. W., Susmaras, T. M., Jerram, M. W., Sousa, J., &amp; Heilman, K. M. (2011). Cortical morphology of visual creativity.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(9), 2527–2532. </w:t>
      </w:r>
      <w:hyperlink r:id="rId1979" w:history="1">
        <w:r w:rsidRPr="00600FC7">
          <w:rPr>
            <w:rFonts w:ascii="Times New Roman" w:eastAsia="Times New Roman" w:hAnsi="Times New Roman" w:cs="Times New Roman"/>
            <w:color w:val="0000FF"/>
            <w:sz w:val="24"/>
            <w:szCs w:val="24"/>
            <w:u w:val="single"/>
          </w:rPr>
          <w:t>https://doi.org/10.1016/j.neuropsychologia.2011.05.001</w:t>
        </w:r>
      </w:hyperlink>
    </w:p>
    <w:p w14:paraId="1D6680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Gansler, D. A., Varvaris, M., Swenson, L., &amp; Schretlen, D. J. (2014). Cognitive estimation and its assessment.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(6), 559–568. </w:t>
      </w:r>
      <w:hyperlink r:id="rId1980" w:history="1">
        <w:r w:rsidRPr="00600FC7">
          <w:rPr>
            <w:rFonts w:ascii="Times New Roman" w:eastAsia="Times New Roman" w:hAnsi="Times New Roman" w:cs="Times New Roman"/>
            <w:color w:val="0000FF"/>
            <w:sz w:val="24"/>
            <w:szCs w:val="24"/>
            <w:u w:val="single"/>
          </w:rPr>
          <w:t>https://doi.org/10.1080/13803395.2014.915933</w:t>
        </w:r>
      </w:hyperlink>
    </w:p>
    <w:p w14:paraId="005F12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Gao, T., Zhao, J., Dou, K., Wang, Y., Li, X., &amp; Harrison, S. E. (2018). Impact of cognitive flexibility on rapid reading skills training outcomes for primary school students in China. </w:t>
      </w:r>
      <w:r w:rsidRPr="00600FC7">
        <w:rPr>
          <w:rFonts w:ascii="Times New Roman" w:eastAsia="Times New Roman" w:hAnsi="Times New Roman" w:cs="Times New Roman"/>
          <w:i/>
          <w:iCs/>
          <w:sz w:val="24"/>
          <w:szCs w:val="24"/>
        </w:rPr>
        <w:t>School Psychology International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(3), 273–290. </w:t>
      </w:r>
      <w:hyperlink r:id="rId1981" w:history="1">
        <w:r w:rsidRPr="00600FC7">
          <w:rPr>
            <w:rFonts w:ascii="Times New Roman" w:eastAsia="Times New Roman" w:hAnsi="Times New Roman" w:cs="Times New Roman"/>
            <w:color w:val="0000FF"/>
            <w:sz w:val="24"/>
            <w:szCs w:val="24"/>
            <w:u w:val="single"/>
          </w:rPr>
          <w:t>https://doi.org/10.1177/0143034318773787</w:t>
        </w:r>
      </w:hyperlink>
    </w:p>
    <w:p w14:paraId="5A52613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Garb, H. N., &amp; Boyle, P. A. (2003). The diagnosis of neurological disorders in older adults. </w:t>
      </w:r>
      <w:r w:rsidRPr="00600FC7">
        <w:rPr>
          <w:rFonts w:ascii="Times New Roman" w:eastAsia="Times New Roman" w:hAnsi="Times New Roman" w:cs="Times New Roman"/>
          <w:i/>
          <w:iCs/>
          <w:sz w:val="24"/>
          <w:szCs w:val="24"/>
        </w:rPr>
        <w:t>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(2), 129–134. </w:t>
      </w:r>
      <w:hyperlink r:id="rId1982" w:history="1">
        <w:r w:rsidRPr="00600FC7">
          <w:rPr>
            <w:rFonts w:ascii="Times New Roman" w:eastAsia="Times New Roman" w:hAnsi="Times New Roman" w:cs="Times New Roman"/>
            <w:color w:val="0000FF"/>
            <w:sz w:val="24"/>
            <w:szCs w:val="24"/>
            <w:u w:val="single"/>
          </w:rPr>
          <w:t>https://doi.org/10.1177/1073191103010002003</w:t>
        </w:r>
      </w:hyperlink>
    </w:p>
    <w:p w14:paraId="256987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 M. C., Plasencia, P. M., &amp; Benito, Y. A. (2015). Alteration profile of executive functions in multiple sclerosis. </w:t>
      </w:r>
      <w:r w:rsidRPr="00600FC7">
        <w:rPr>
          <w:rFonts w:ascii="Times New Roman" w:eastAsia="Times New Roman" w:hAnsi="Times New Roman" w:cs="Times New Roman"/>
          <w:i/>
          <w:iCs/>
          <w:sz w:val="24"/>
          <w:szCs w:val="24"/>
        </w:rPr>
        <w:t>Acta Neurologica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131</w:t>
      </w:r>
      <w:r w:rsidRPr="00600FC7">
        <w:rPr>
          <w:rFonts w:ascii="Times New Roman" w:eastAsia="Times New Roman" w:hAnsi="Times New Roman" w:cs="Times New Roman"/>
          <w:sz w:val="24"/>
          <w:szCs w:val="24"/>
        </w:rPr>
        <w:t xml:space="preserve">(5), 313–320. </w:t>
      </w:r>
      <w:hyperlink r:id="rId1983" w:history="1">
        <w:r w:rsidRPr="00600FC7">
          <w:rPr>
            <w:rFonts w:ascii="Times New Roman" w:eastAsia="Times New Roman" w:hAnsi="Times New Roman" w:cs="Times New Roman"/>
            <w:color w:val="0000FF"/>
            <w:sz w:val="24"/>
            <w:szCs w:val="24"/>
            <w:u w:val="single"/>
          </w:rPr>
          <w:t>https://doi.org/10.1111/ane.12345</w:t>
        </w:r>
      </w:hyperlink>
    </w:p>
    <w:p w14:paraId="5C830A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 T., Rodríguez, C., González-Castro, P., Álvarez, D., Cueli, M., &amp; González-Pienda, J. A. (2013). Funciones ejecutivas en niños y adolescentes con trastorno por déficit de atención con hiperactividad y dificultades lectoras. [Executive functioning in children and adolescents with attention deficit hyperactivity disorder and reading disabilities.]. </w:t>
      </w:r>
      <w:r w:rsidRPr="00600FC7">
        <w:rPr>
          <w:rFonts w:ascii="Times New Roman" w:eastAsia="Times New Roman" w:hAnsi="Times New Roman" w:cs="Times New Roman"/>
          <w:i/>
          <w:iCs/>
          <w:sz w:val="24"/>
          <w:szCs w:val="24"/>
        </w:rPr>
        <w:t>International Journal of Psychology &amp; Psychological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(2), 179–194.</w:t>
      </w:r>
    </w:p>
    <w:p w14:paraId="2A45834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Garcia-Barrera, M. A. (2013). Psychopathology of mood disorders. In </w:t>
      </w:r>
      <w:r w:rsidRPr="00600FC7">
        <w:rPr>
          <w:rFonts w:ascii="Times New Roman" w:eastAsia="Times New Roman" w:hAnsi="Times New Roman" w:cs="Times New Roman"/>
          <w:i/>
          <w:iCs/>
          <w:sz w:val="24"/>
          <w:szCs w:val="24"/>
        </w:rPr>
        <w:t>Psychopathology of childhood and adolescence: A neuropsychological approach.</w:t>
      </w:r>
      <w:r w:rsidRPr="00600FC7">
        <w:rPr>
          <w:rFonts w:ascii="Times New Roman" w:eastAsia="Times New Roman" w:hAnsi="Times New Roman" w:cs="Times New Roman"/>
          <w:sz w:val="24"/>
          <w:szCs w:val="24"/>
        </w:rPr>
        <w:t xml:space="preserve"> (pp. 385–413). Springer Publishing Company.</w:t>
      </w:r>
    </w:p>
    <w:p w14:paraId="47CAFCD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Garcia-Barrera, M. A., Duggan, E. C., Karr, J. E., &amp; Reynolds, C. R. (2014). Examining executive functioning using the Behavior Assessment System for Children (BASC). In </w:t>
      </w:r>
      <w:r w:rsidRPr="00600FC7">
        <w:rPr>
          <w:rFonts w:ascii="Times New Roman" w:eastAsia="Times New Roman" w:hAnsi="Times New Roman" w:cs="Times New Roman"/>
          <w:i/>
          <w:iCs/>
          <w:sz w:val="24"/>
          <w:szCs w:val="24"/>
        </w:rPr>
        <w:lastRenderedPageBreak/>
        <w:t>Handbook of executive functioning.</w:t>
      </w:r>
      <w:r w:rsidRPr="00600FC7">
        <w:rPr>
          <w:rFonts w:ascii="Times New Roman" w:eastAsia="Times New Roman" w:hAnsi="Times New Roman" w:cs="Times New Roman"/>
          <w:sz w:val="24"/>
          <w:szCs w:val="24"/>
        </w:rPr>
        <w:t xml:space="preserve"> (pp. 283–299). Springer Science + Business Media. </w:t>
      </w:r>
      <w:hyperlink r:id="rId1984" w:history="1">
        <w:r w:rsidRPr="00600FC7">
          <w:rPr>
            <w:rFonts w:ascii="Times New Roman" w:eastAsia="Times New Roman" w:hAnsi="Times New Roman" w:cs="Times New Roman"/>
            <w:color w:val="0000FF"/>
            <w:sz w:val="24"/>
            <w:szCs w:val="24"/>
            <w:u w:val="single"/>
          </w:rPr>
          <w:t>https://doi.org/10.1007/978-1-4614-8106-5_17</w:t>
        </w:r>
      </w:hyperlink>
    </w:p>
    <w:p w14:paraId="51526B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Garcia-Barrera, M. A., Karr, J. E., Duran, V., Direnfeld, E., &amp; Pineda, D. A. (2015). Cross-cultural validation of a behavioral screener for executive functions: Guidelines for clinical use among Colombian children with and without ADHD.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1349–1363. </w:t>
      </w:r>
      <w:hyperlink r:id="rId1985" w:history="1">
        <w:r w:rsidRPr="00600FC7">
          <w:rPr>
            <w:rFonts w:ascii="Times New Roman" w:eastAsia="Times New Roman" w:hAnsi="Times New Roman" w:cs="Times New Roman"/>
            <w:color w:val="0000FF"/>
            <w:sz w:val="24"/>
            <w:szCs w:val="24"/>
            <w:u w:val="single"/>
          </w:rPr>
          <w:t>https://doi.org/10.1037/pas0000117</w:t>
        </w:r>
      </w:hyperlink>
    </w:p>
    <w:p w14:paraId="61FC353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García-Caballero, A., García-Lado, I., González-Hermida, J., Recimil, M. J., Area, R., Manes, F., Lamas, S., &amp; Berrios, G. E. (2006). Validation of the Spanish version of the Addenbrooke’s Cognitive Examination in a rural community in Spain.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(3), 239–245. </w:t>
      </w:r>
      <w:hyperlink r:id="rId1986" w:history="1">
        <w:r w:rsidRPr="00600FC7">
          <w:rPr>
            <w:rFonts w:ascii="Times New Roman" w:eastAsia="Times New Roman" w:hAnsi="Times New Roman" w:cs="Times New Roman"/>
            <w:color w:val="0000FF"/>
            <w:sz w:val="24"/>
            <w:szCs w:val="24"/>
            <w:u w:val="single"/>
          </w:rPr>
          <w:t>https://doi.org/10.1002/gps.1450</w:t>
        </w:r>
      </w:hyperlink>
    </w:p>
    <w:p w14:paraId="239317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García‐García, I., Jurado, M. Á., Garolera, M., Segura, B., Sala‐Llonch, R., Marqués‐Iturria, I., Pueyo, R., Sender‐Palacios, M. J., Vernet‐Vernet, M., Narberhaus, A., Ariza, M., &amp; Junqué, C. (2013). Alterations of the salience network in obesity: A resting‐state fMRI study.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(11), 2786–2797. </w:t>
      </w:r>
      <w:hyperlink r:id="rId1987" w:history="1">
        <w:r w:rsidRPr="00600FC7">
          <w:rPr>
            <w:rFonts w:ascii="Times New Roman" w:eastAsia="Times New Roman" w:hAnsi="Times New Roman" w:cs="Times New Roman"/>
            <w:color w:val="0000FF"/>
            <w:sz w:val="24"/>
            <w:szCs w:val="24"/>
            <w:u w:val="single"/>
          </w:rPr>
          <w:t>https://doi.org/10.1002/hbm.22104</w:t>
        </w:r>
      </w:hyperlink>
    </w:p>
    <w:p w14:paraId="5CEB79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Garcia-Garcia, M., Barceló, F., Clemente, I. C., &amp; Escera, C. (2010). The role of DAT1 gene on the rapid detection of task novelty.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(14), 4136–4141. </w:t>
      </w:r>
      <w:hyperlink r:id="rId1988" w:history="1">
        <w:r w:rsidRPr="00600FC7">
          <w:rPr>
            <w:rFonts w:ascii="Times New Roman" w:eastAsia="Times New Roman" w:hAnsi="Times New Roman" w:cs="Times New Roman"/>
            <w:color w:val="0000FF"/>
            <w:sz w:val="24"/>
            <w:szCs w:val="24"/>
            <w:u w:val="single"/>
          </w:rPr>
          <w:t>https://doi.org/10.1016/j.neuropsychologia.2010.10.005</w:t>
        </w:r>
      </w:hyperlink>
    </w:p>
    <w:p w14:paraId="509FF6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García-Mieres, H., Villaplana, A., López-Carrilero, R., Grasa, E., Barajas, A., Pousa, E., Feixas, G., &amp; Ochoa, S. (2020). The role of personal identity on positive and negative symptoms in psychosis: A study using the repertory grid technique.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(3), 572–580. </w:t>
      </w:r>
      <w:hyperlink r:id="rId1989" w:history="1">
        <w:r w:rsidRPr="00600FC7">
          <w:rPr>
            <w:rFonts w:ascii="Times New Roman" w:eastAsia="Times New Roman" w:hAnsi="Times New Roman" w:cs="Times New Roman"/>
            <w:color w:val="0000FF"/>
            <w:sz w:val="24"/>
            <w:szCs w:val="24"/>
            <w:u w:val="single"/>
          </w:rPr>
          <w:t>https://doi.org/10.1093/schbul/sbz082</w:t>
        </w:r>
      </w:hyperlink>
    </w:p>
    <w:p w14:paraId="23AECA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García-Molina, A., Guitart, M. B., &amp; Roig-Rovira, T. (2010). Traumatismo craneoencefálico y vida cotidiana: El papel de las funciones ejecutivas. [Traumatic brain injury and daily life: The role of executive function.].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(3), 430–435.</w:t>
      </w:r>
    </w:p>
    <w:p w14:paraId="03A42D6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García-Molina, A., Tormos, J. M., Bernabeu, M., Junqué, C., &amp; Roig-Rovira, T. (2012). Do traditional executive measures tell us anything about daily-life functioning after traumatic brain injury in Spanish-speaking individuals?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864–874.</w:t>
      </w:r>
    </w:p>
    <w:p w14:paraId="4C6E3D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García-Viedma, M. R., Fernández-Guinea, S., &amp; Martos-Montes, R. (2012). Procesos de control ejecutivo en la enfermedad de Alzheimer. [Executive control processes in Alzheimer’s disease.]. </w:t>
      </w:r>
      <w:r w:rsidRPr="00600FC7">
        <w:rPr>
          <w:rFonts w:ascii="Times New Roman" w:eastAsia="Times New Roman" w:hAnsi="Times New Roman" w:cs="Times New Roman"/>
          <w:i/>
          <w:iCs/>
          <w:sz w:val="24"/>
          <w:szCs w:val="24"/>
        </w:rPr>
        <w:t>Anales de Psicología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(3), 1021–1032. </w:t>
      </w:r>
      <w:hyperlink r:id="rId1990" w:history="1">
        <w:r w:rsidRPr="00600FC7">
          <w:rPr>
            <w:rFonts w:ascii="Times New Roman" w:eastAsia="Times New Roman" w:hAnsi="Times New Roman" w:cs="Times New Roman"/>
            <w:color w:val="0000FF"/>
            <w:sz w:val="24"/>
            <w:szCs w:val="24"/>
            <w:u w:val="single"/>
          </w:rPr>
          <w:t>https://doi.org/10.6018/analesps.28.3.124051</w:t>
        </w:r>
      </w:hyperlink>
    </w:p>
    <w:p w14:paraId="3C44DD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Garcia</w:t>
      </w:r>
      <w:r w:rsidRPr="00600FC7">
        <w:rPr>
          <w:rFonts w:ascii="Times New Roman" w:eastAsia="Times New Roman" w:hAnsi="Times New Roman" w:cs="Times New Roman"/>
          <w:sz w:val="24"/>
          <w:szCs w:val="24"/>
        </w:rPr>
        <w:noBreakHyphen/>
        <w:t xml:space="preserve">Willingham, N. E., Bosch, C. M., Walls, B. D., &amp; Berry, D. T. R. (2018). Assessment of feigned cognitive impairment using standard neuropsychological tests. In </w:t>
      </w:r>
      <w:r w:rsidRPr="00600FC7">
        <w:rPr>
          <w:rFonts w:ascii="Times New Roman" w:eastAsia="Times New Roman" w:hAnsi="Times New Roman" w:cs="Times New Roman"/>
          <w:i/>
          <w:iCs/>
          <w:sz w:val="24"/>
          <w:szCs w:val="24"/>
        </w:rPr>
        <w:t>Clinical assessment of malingering and deception, 4th ed.</w:t>
      </w:r>
      <w:r w:rsidRPr="00600FC7">
        <w:rPr>
          <w:rFonts w:ascii="Times New Roman" w:eastAsia="Times New Roman" w:hAnsi="Times New Roman" w:cs="Times New Roman"/>
          <w:sz w:val="24"/>
          <w:szCs w:val="24"/>
        </w:rPr>
        <w:t xml:space="preserve"> (pp. 329–358). The Guilford Press.</w:t>
      </w:r>
    </w:p>
    <w:p w14:paraId="38E1FD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Garcia-Willingham, N. E., Roach, A. R., Kasarskis, E. J., &amp; Segerstrom, S. C. (2018). Self-regulation and executive functioning as related to survival in motor neuron disease: Preliminary findings. </w:t>
      </w:r>
      <w:r w:rsidRPr="00600FC7">
        <w:rPr>
          <w:rFonts w:ascii="Times New Roman" w:eastAsia="Times New Roman" w:hAnsi="Times New Roman" w:cs="Times New Roman"/>
          <w:i/>
          <w:iCs/>
          <w:sz w:val="24"/>
          <w:szCs w:val="24"/>
        </w:rPr>
        <w:t>Psychosomatic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(7), 665–672. </w:t>
      </w:r>
      <w:hyperlink r:id="rId1991" w:history="1">
        <w:r w:rsidRPr="00600FC7">
          <w:rPr>
            <w:rFonts w:ascii="Times New Roman" w:eastAsia="Times New Roman" w:hAnsi="Times New Roman" w:cs="Times New Roman"/>
            <w:color w:val="0000FF"/>
            <w:sz w:val="24"/>
            <w:szCs w:val="24"/>
            <w:u w:val="single"/>
          </w:rPr>
          <w:t>https://doi.org/10.1097/PSY.0000000000000602</w:t>
        </w:r>
      </w:hyperlink>
    </w:p>
    <w:p w14:paraId="50BFD6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Garden, S. E., Phillips, L. H., &amp; MacPherson, S. E. (2001). Midlife aging, open-ended planning, and laboratory measures of executive function.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472–482. </w:t>
      </w:r>
      <w:hyperlink r:id="rId1992" w:history="1">
        <w:r w:rsidRPr="00600FC7">
          <w:rPr>
            <w:rFonts w:ascii="Times New Roman" w:eastAsia="Times New Roman" w:hAnsi="Times New Roman" w:cs="Times New Roman"/>
            <w:color w:val="0000FF"/>
            <w:sz w:val="24"/>
            <w:szCs w:val="24"/>
            <w:u w:val="single"/>
          </w:rPr>
          <w:t>https://doi.org/10.1037/0894-4105.15.4.472</w:t>
        </w:r>
      </w:hyperlink>
    </w:p>
    <w:p w14:paraId="6AA72AC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Gardizi, E., King, J. P., McNeely, H. E., &amp; Vaz, S. M. (2019). Comparability of the WCST and WCST-64 in the assessment of first-episode psychosis. </w:t>
      </w:r>
      <w:r w:rsidRPr="00600FC7">
        <w:rPr>
          <w:rFonts w:ascii="Times New Roman" w:eastAsia="Times New Roman" w:hAnsi="Times New Roman" w:cs="Times New Roman"/>
          <w:i/>
          <w:iCs/>
          <w:sz w:val="24"/>
          <w:szCs w:val="24"/>
        </w:rPr>
        <w:t>Psychological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(2), 271–276. </w:t>
      </w:r>
      <w:hyperlink r:id="rId1993" w:history="1">
        <w:r w:rsidRPr="00600FC7">
          <w:rPr>
            <w:rFonts w:ascii="Times New Roman" w:eastAsia="Times New Roman" w:hAnsi="Times New Roman" w:cs="Times New Roman"/>
            <w:color w:val="0000FF"/>
            <w:sz w:val="24"/>
            <w:szCs w:val="24"/>
            <w:u w:val="single"/>
          </w:rPr>
          <w:t>https://doi.org/10.1037/pas0000670</w:t>
        </w:r>
      </w:hyperlink>
    </w:p>
    <w:p w14:paraId="2A202A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Gardizi, E., MacKillop, E., &amp; Gaind, G. (2019). Self-injurious behavior in a patient with dementia: A case report and literature review.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207</w:t>
      </w:r>
      <w:r w:rsidRPr="00600FC7">
        <w:rPr>
          <w:rFonts w:ascii="Times New Roman" w:eastAsia="Times New Roman" w:hAnsi="Times New Roman" w:cs="Times New Roman"/>
          <w:sz w:val="24"/>
          <w:szCs w:val="24"/>
        </w:rPr>
        <w:t xml:space="preserve">(1), 6–11. </w:t>
      </w:r>
      <w:hyperlink r:id="rId1994" w:history="1">
        <w:r w:rsidRPr="00600FC7">
          <w:rPr>
            <w:rFonts w:ascii="Times New Roman" w:eastAsia="Times New Roman" w:hAnsi="Times New Roman" w:cs="Times New Roman"/>
            <w:color w:val="0000FF"/>
            <w:sz w:val="24"/>
            <w:szCs w:val="24"/>
            <w:u w:val="single"/>
          </w:rPr>
          <w:t>https://doi.org/10.1097/NMD.0000000000000924</w:t>
        </w:r>
      </w:hyperlink>
    </w:p>
    <w:p w14:paraId="2F0DF19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Garnier, C., Enot-Joyeux, F., Jokic, C., Le Thiec, F., Desgranges, B., &amp; Eustache, F. (1998). Une évaluation des fonctions exécutives chez les traumatisés crâniens: L’adaptation du test des six éléments. [Evaluation of executive functions in head-injured patients: A French adaptation of the Six Element Task.]. </w:t>
      </w:r>
      <w:r w:rsidRPr="00600FC7">
        <w:rPr>
          <w:rFonts w:ascii="Times New Roman" w:eastAsia="Times New Roman" w:hAnsi="Times New Roman" w:cs="Times New Roman"/>
          <w:i/>
          <w:iCs/>
          <w:sz w:val="24"/>
          <w:szCs w:val="24"/>
        </w:rPr>
        <w:t>Revue de Neuropsychologie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(3), 385–414.</w:t>
      </w:r>
    </w:p>
    <w:p w14:paraId="44F908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Garrido, G., Barrios, M., Penadés, R., Enríquez, M., Garolera, M., Aragay, N., Pajares, M., Vallès, V., Delgado, L., Alberni, J., Faixa, C., &amp; Vendrell, J. M. (2013). Computer-assisted cognitive remediation therapy: Cognition, self-esteem and quality of life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150</w:t>
      </w:r>
      <w:r w:rsidRPr="00600FC7">
        <w:rPr>
          <w:rFonts w:ascii="Times New Roman" w:eastAsia="Times New Roman" w:hAnsi="Times New Roman" w:cs="Times New Roman"/>
          <w:sz w:val="24"/>
          <w:szCs w:val="24"/>
        </w:rPr>
        <w:t xml:space="preserve">(2–3), 563–569. </w:t>
      </w:r>
      <w:hyperlink r:id="rId1995" w:history="1">
        <w:r w:rsidRPr="00600FC7">
          <w:rPr>
            <w:rFonts w:ascii="Times New Roman" w:eastAsia="Times New Roman" w:hAnsi="Times New Roman" w:cs="Times New Roman"/>
            <w:color w:val="0000FF"/>
            <w:sz w:val="24"/>
            <w:szCs w:val="24"/>
            <w:u w:val="single"/>
          </w:rPr>
          <w:t>https://doi.org/10.1016/j.schres.2013.08.025</w:t>
        </w:r>
      </w:hyperlink>
    </w:p>
    <w:p w14:paraId="20D8C1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Garrido, G., Penadés, R., Barrios, M., Aragay, N., Ramos, I., Vallès, V., Faixa, C., &amp; Vendrell, J. M. (2017). Computer-assisted cognitive remediation therapy in schizophrenia: Durability of the effects and cost-utility analysis.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254</w:t>
      </w:r>
      <w:r w:rsidRPr="00600FC7">
        <w:rPr>
          <w:rFonts w:ascii="Times New Roman" w:eastAsia="Times New Roman" w:hAnsi="Times New Roman" w:cs="Times New Roman"/>
          <w:sz w:val="24"/>
          <w:szCs w:val="24"/>
        </w:rPr>
        <w:t xml:space="preserve">, 198–204. </w:t>
      </w:r>
      <w:hyperlink r:id="rId1996" w:history="1">
        <w:r w:rsidRPr="00600FC7">
          <w:rPr>
            <w:rFonts w:ascii="Times New Roman" w:eastAsia="Times New Roman" w:hAnsi="Times New Roman" w:cs="Times New Roman"/>
            <w:color w:val="0000FF"/>
            <w:sz w:val="24"/>
            <w:szCs w:val="24"/>
            <w:u w:val="single"/>
          </w:rPr>
          <w:t>https://doi.org/10.1016/j.psychres.2017.04.065</w:t>
        </w:r>
      </w:hyperlink>
    </w:p>
    <w:p w14:paraId="3672A5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Gasparovic, C., Prestopnik, J., Thompson, J., Taheri, S., Huisa, B., Schrader, R., Adair, J. C., &amp; Rosenberg, G. A. (2013). </w:t>
      </w:r>
      <w:r w:rsidRPr="00600FC7">
        <w:rPr>
          <w:rFonts w:ascii="Times New Roman" w:eastAsia="Times New Roman" w:hAnsi="Times New Roman" w:cs="Times New Roman"/>
          <w:sz w:val="24"/>
          <w:szCs w:val="24"/>
          <w:vertAlign w:val="superscript"/>
        </w:rPr>
        <w:t>1</w:t>
      </w:r>
      <w:r w:rsidRPr="00600FC7">
        <w:rPr>
          <w:rFonts w:ascii="Times New Roman" w:eastAsia="Times New Roman" w:hAnsi="Times New Roman" w:cs="Times New Roman"/>
          <w:sz w:val="24"/>
          <w:szCs w:val="24"/>
        </w:rPr>
        <w:t xml:space="preserve">H-MR spectroscopy metabolite levels correlate with executive function in vascular cognitive impairment.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84</w:t>
      </w:r>
      <w:r w:rsidRPr="00600FC7">
        <w:rPr>
          <w:rFonts w:ascii="Times New Roman" w:eastAsia="Times New Roman" w:hAnsi="Times New Roman" w:cs="Times New Roman"/>
          <w:sz w:val="24"/>
          <w:szCs w:val="24"/>
        </w:rPr>
        <w:t xml:space="preserve">(7), 715–721. </w:t>
      </w:r>
      <w:hyperlink r:id="rId1997" w:history="1">
        <w:r w:rsidRPr="00600FC7">
          <w:rPr>
            <w:rFonts w:ascii="Times New Roman" w:eastAsia="Times New Roman" w:hAnsi="Times New Roman" w:cs="Times New Roman"/>
            <w:color w:val="0000FF"/>
            <w:sz w:val="24"/>
            <w:szCs w:val="24"/>
            <w:u w:val="single"/>
          </w:rPr>
          <w:t>https://doi.org/10.1136/jnnp-2012-303878</w:t>
        </w:r>
      </w:hyperlink>
    </w:p>
    <w:p w14:paraId="673F40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Gasquoine, P. G., Croyle, K. L., Cavazos-Gonzalez, C., &amp; Sandoval, O. (2007). Language of administration and neuropsychological test performance in neurologically intact Hispanic American bilingual adults.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(8), 991–1001. </w:t>
      </w:r>
      <w:hyperlink r:id="rId1998" w:history="1">
        <w:r w:rsidRPr="00600FC7">
          <w:rPr>
            <w:rFonts w:ascii="Times New Roman" w:eastAsia="Times New Roman" w:hAnsi="Times New Roman" w:cs="Times New Roman"/>
            <w:color w:val="0000FF"/>
            <w:sz w:val="24"/>
            <w:szCs w:val="24"/>
            <w:u w:val="single"/>
          </w:rPr>
          <w:t>https://doi.org/10.1016/j.acn.2007.08.003</w:t>
        </w:r>
      </w:hyperlink>
    </w:p>
    <w:p w14:paraId="00A0D67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Gasquoine, P. G., &amp; Gonzalez, C. D. (2012). Using monolingual neuropsychological test norms with bilingual Hispanic Americans: Application of an individual comparison standard.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268–276. </w:t>
      </w:r>
      <w:hyperlink r:id="rId1999" w:history="1">
        <w:r w:rsidRPr="00600FC7">
          <w:rPr>
            <w:rFonts w:ascii="Times New Roman" w:eastAsia="Times New Roman" w:hAnsi="Times New Roman" w:cs="Times New Roman"/>
            <w:color w:val="0000FF"/>
            <w:sz w:val="24"/>
            <w:szCs w:val="24"/>
            <w:u w:val="single"/>
          </w:rPr>
          <w:t>https://doi.org/10.1093/arclin/acs004</w:t>
        </w:r>
      </w:hyperlink>
    </w:p>
    <w:p w14:paraId="354F32E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Gast, H., Schwalen, S., Ringendahl, H., Jörg, J., &amp; Hirshkowitz, M. (2006). Sleep-related breathing disorders and continuous positive airway pressure-related changes in cognition. </w:t>
      </w:r>
      <w:r w:rsidRPr="00600FC7">
        <w:rPr>
          <w:rFonts w:ascii="Times New Roman" w:eastAsia="Times New Roman" w:hAnsi="Times New Roman" w:cs="Times New Roman"/>
          <w:i/>
          <w:iCs/>
          <w:sz w:val="24"/>
          <w:szCs w:val="24"/>
        </w:rPr>
        <w:t>Sleep Medicine Clinics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w:t>
      </w:r>
      <w:r w:rsidRPr="00600FC7">
        <w:rPr>
          <w:rFonts w:ascii="Times New Roman" w:eastAsia="Times New Roman" w:hAnsi="Times New Roman" w:cs="Times New Roman"/>
          <w:sz w:val="24"/>
          <w:szCs w:val="24"/>
        </w:rPr>
        <w:t xml:space="preserve">(4), 499–511. </w:t>
      </w:r>
      <w:hyperlink r:id="rId2000" w:history="1">
        <w:r w:rsidRPr="00600FC7">
          <w:rPr>
            <w:rFonts w:ascii="Times New Roman" w:eastAsia="Times New Roman" w:hAnsi="Times New Roman" w:cs="Times New Roman"/>
            <w:color w:val="0000FF"/>
            <w:sz w:val="24"/>
            <w:szCs w:val="24"/>
            <w:u w:val="single"/>
          </w:rPr>
          <w:t>https://doi.org/10.1016/j.jsmc.2006.10.006</w:t>
        </w:r>
      </w:hyperlink>
    </w:p>
    <w:p w14:paraId="3A605B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Gau, S. S.-F., Chiu, C.-D., Shang, C.-Y., Cheng, A. T.-A., &amp; Soong, W.-T. (2009). Executive function in adolescence among children with attention-deficit/hyperactivity disorder in Taiwan. </w:t>
      </w:r>
      <w:r w:rsidRPr="00600FC7">
        <w:rPr>
          <w:rFonts w:ascii="Times New Roman" w:eastAsia="Times New Roman" w:hAnsi="Times New Roman" w:cs="Times New Roman"/>
          <w:i/>
          <w:iCs/>
          <w:sz w:val="24"/>
          <w:szCs w:val="24"/>
        </w:rPr>
        <w:t>Journal of Developmental and Behavioral Pediatrics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525–534. </w:t>
      </w:r>
      <w:hyperlink r:id="rId2001" w:history="1">
        <w:r w:rsidRPr="00600FC7">
          <w:rPr>
            <w:rFonts w:ascii="Times New Roman" w:eastAsia="Times New Roman" w:hAnsi="Times New Roman" w:cs="Times New Roman"/>
            <w:color w:val="0000FF"/>
            <w:sz w:val="24"/>
            <w:szCs w:val="24"/>
            <w:u w:val="single"/>
          </w:rPr>
          <w:t>https://doi.org/10.1097/DBP.0b013e3181c21c97</w:t>
        </w:r>
      </w:hyperlink>
    </w:p>
    <w:p w14:paraId="1DA225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Gawrilow, C., Gollwitzer, P. M., &amp; Oettingen, G. (2011). If-then plans benefit executive functions in children with ADHD. </w:t>
      </w:r>
      <w:r w:rsidRPr="00600FC7">
        <w:rPr>
          <w:rFonts w:ascii="Times New Roman" w:eastAsia="Times New Roman" w:hAnsi="Times New Roman" w:cs="Times New Roman"/>
          <w:i/>
          <w:iCs/>
          <w:sz w:val="24"/>
          <w:szCs w:val="24"/>
        </w:rPr>
        <w:t>Journal of Social and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(6), 616–646. </w:t>
      </w:r>
      <w:hyperlink r:id="rId2002" w:history="1">
        <w:r w:rsidRPr="00600FC7">
          <w:rPr>
            <w:rFonts w:ascii="Times New Roman" w:eastAsia="Times New Roman" w:hAnsi="Times New Roman" w:cs="Times New Roman"/>
            <w:color w:val="0000FF"/>
            <w:sz w:val="24"/>
            <w:szCs w:val="24"/>
            <w:u w:val="single"/>
          </w:rPr>
          <w:t>https://doi.org/10.1521/jscp.2011.30.6.616</w:t>
        </w:r>
      </w:hyperlink>
    </w:p>
    <w:p w14:paraId="709706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Gawryluk, J. R., Ritchie, L. J., Sicz, G., Kilgour, A. R., &amp; Schmidt, B. J. (2017). Case report: A comprehensive neuropsychological assessment of a case of superficial siderosis.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483–490. </w:t>
      </w:r>
      <w:hyperlink r:id="rId2003" w:history="1">
        <w:r w:rsidRPr="00600FC7">
          <w:rPr>
            <w:rFonts w:ascii="Times New Roman" w:eastAsia="Times New Roman" w:hAnsi="Times New Roman" w:cs="Times New Roman"/>
            <w:color w:val="0000FF"/>
            <w:sz w:val="24"/>
            <w:szCs w:val="24"/>
            <w:u w:val="single"/>
          </w:rPr>
          <w:t>https://doi.org/10.1093/arclin/acx012</w:t>
        </w:r>
      </w:hyperlink>
    </w:p>
    <w:p w14:paraId="6CEF24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Gawrys, L., Falkiewicz, M., Pilacinski, A., Riegel, M., Piatkowska-Janko, E., Bogorodzki, P., Wolak, T., Andrysiak, R., Krolicki, L., Kulinski, R., Koziorowski, D., Janik, P., Rymarczyk, K., Grabowska, A., Kaczmarek, L., &amp; Szatkowska, I. (2014). The neural correlates of specific executive dysfunctions in Parkinson’s disease. </w:t>
      </w:r>
      <w:r w:rsidRPr="00600FC7">
        <w:rPr>
          <w:rFonts w:ascii="Times New Roman" w:eastAsia="Times New Roman" w:hAnsi="Times New Roman" w:cs="Times New Roman"/>
          <w:i/>
          <w:iCs/>
          <w:sz w:val="24"/>
          <w:szCs w:val="24"/>
        </w:rPr>
        <w:t>Acta Neurobiologiae Experimentalis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74</w:t>
      </w:r>
      <w:r w:rsidRPr="00600FC7">
        <w:rPr>
          <w:rFonts w:ascii="Times New Roman" w:eastAsia="Times New Roman" w:hAnsi="Times New Roman" w:cs="Times New Roman"/>
          <w:sz w:val="24"/>
          <w:szCs w:val="24"/>
        </w:rPr>
        <w:t>(4), 465–478.</w:t>
      </w:r>
    </w:p>
    <w:p w14:paraId="2D572E3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Gawrys, L., Szatkowska, I., Jamrozik, Z., Janik, P., Friedman, A., &amp; Kaczmarek, L. (2008). Nonverbal deficits in explicit and implicit memory of Parkinson’s disease patients. </w:t>
      </w:r>
      <w:r w:rsidRPr="00600FC7">
        <w:rPr>
          <w:rFonts w:ascii="Times New Roman" w:eastAsia="Times New Roman" w:hAnsi="Times New Roman" w:cs="Times New Roman"/>
          <w:i/>
          <w:iCs/>
          <w:sz w:val="24"/>
          <w:szCs w:val="24"/>
        </w:rPr>
        <w:t>Acta Neurobiologiae Experimentalis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(1), 58–72.</w:t>
      </w:r>
    </w:p>
    <w:p w14:paraId="0494E25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Gayraud, F., Martinie, B., Bentot, E., Lepilliez, A., Tell, L., Cotton, F., &amp; Rode, G. (2015). Written production in a case of locked-in syndrome with bilateral corticopontic degeneration.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(5), 780–797. </w:t>
      </w:r>
      <w:hyperlink r:id="rId2004" w:history="1">
        <w:r w:rsidRPr="00600FC7">
          <w:rPr>
            <w:rFonts w:ascii="Times New Roman" w:eastAsia="Times New Roman" w:hAnsi="Times New Roman" w:cs="Times New Roman"/>
            <w:color w:val="0000FF"/>
            <w:sz w:val="24"/>
            <w:szCs w:val="24"/>
            <w:u w:val="single"/>
          </w:rPr>
          <w:t>https://doi.org/10.1080/09602011.2014.975253</w:t>
        </w:r>
      </w:hyperlink>
    </w:p>
    <w:p w14:paraId="5EBC5F8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Geeraerts, S. B., Endendijk, J., Deater-Deckard, K., Huijding, J., Deutz, M. H. F., van den Boomen, C., &amp; Deković, M. (2021). The role of parental self-regulation and household chaos in parent-toddler interactions: A time-series study. </w:t>
      </w:r>
      <w:r w:rsidRPr="00600FC7">
        <w:rPr>
          <w:rFonts w:ascii="Times New Roman" w:eastAsia="Times New Roman" w:hAnsi="Times New Roman" w:cs="Times New Roman"/>
          <w:i/>
          <w:iCs/>
          <w:sz w:val="24"/>
          <w:szCs w:val="24"/>
        </w:rPr>
        <w:t>Journal of Family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(2), 236–246. </w:t>
      </w:r>
      <w:hyperlink r:id="rId2005" w:history="1">
        <w:r w:rsidRPr="00600FC7">
          <w:rPr>
            <w:rFonts w:ascii="Times New Roman" w:eastAsia="Times New Roman" w:hAnsi="Times New Roman" w:cs="Times New Roman"/>
            <w:color w:val="0000FF"/>
            <w:sz w:val="24"/>
            <w:szCs w:val="24"/>
            <w:u w:val="single"/>
          </w:rPr>
          <w:t>https://doi.org/10.1037/fam0000814</w:t>
        </w:r>
      </w:hyperlink>
    </w:p>
    <w:p w14:paraId="7BA986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Geffen, G., Isles, R., Preece, M., &amp; Geffen, L. (2008). Memory systems involved in professional skills: A case of dense amnesia due to herpes simplex viral encephalitis.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(1), 89–108. </w:t>
      </w:r>
      <w:hyperlink r:id="rId2006" w:history="1">
        <w:r w:rsidRPr="00600FC7">
          <w:rPr>
            <w:rFonts w:ascii="Times New Roman" w:eastAsia="Times New Roman" w:hAnsi="Times New Roman" w:cs="Times New Roman"/>
            <w:color w:val="0000FF"/>
            <w:sz w:val="24"/>
            <w:szCs w:val="24"/>
            <w:u w:val="single"/>
          </w:rPr>
          <w:t>https://doi.org/10.1080/09602010701529325</w:t>
        </w:r>
      </w:hyperlink>
    </w:p>
    <w:p w14:paraId="31A528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Geisinger, K. F., Bracken, B. A., Carlson, J. F., Hansen, J.-I. C., Kuncel, N. R., Reise, S. P., &amp; Rodriguez, M. C. (Eds.). (2013). </w:t>
      </w:r>
      <w:r w:rsidRPr="00600FC7">
        <w:rPr>
          <w:rFonts w:ascii="Times New Roman" w:eastAsia="Times New Roman" w:hAnsi="Times New Roman" w:cs="Times New Roman"/>
          <w:i/>
          <w:iCs/>
          <w:sz w:val="24"/>
          <w:szCs w:val="24"/>
        </w:rPr>
        <w:t>APA handbook of testing and assessment in psychology, Vol. 2: Testing and assessment in clinical and counseling psychology.</w:t>
      </w:r>
      <w:r w:rsidRPr="00600FC7">
        <w:rPr>
          <w:rFonts w:ascii="Times New Roman" w:eastAsia="Times New Roman" w:hAnsi="Times New Roman" w:cs="Times New Roman"/>
          <w:sz w:val="24"/>
          <w:szCs w:val="24"/>
        </w:rPr>
        <w:t xml:space="preserve"> (pp. ix, 605). American Psychological Association. </w:t>
      </w:r>
      <w:hyperlink r:id="rId2007" w:history="1">
        <w:r w:rsidRPr="00600FC7">
          <w:rPr>
            <w:rFonts w:ascii="Times New Roman" w:eastAsia="Times New Roman" w:hAnsi="Times New Roman" w:cs="Times New Roman"/>
            <w:color w:val="0000FF"/>
            <w:sz w:val="24"/>
            <w:szCs w:val="24"/>
            <w:u w:val="single"/>
          </w:rPr>
          <w:t>https://doi.org/10.1037/14048-000</w:t>
        </w:r>
      </w:hyperlink>
    </w:p>
    <w:p w14:paraId="2806586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Geller, D. A., Abramovitch, A., Mittelman, A., Stark, A., Ramsey, K., Cooperman, A., Baer, L., &amp; Stewart, S. E. (2018). Neurocognitive function in paediatric obsessive-compulsive disorder. </w:t>
      </w:r>
      <w:r w:rsidRPr="00600FC7">
        <w:rPr>
          <w:rFonts w:ascii="Times New Roman" w:eastAsia="Times New Roman" w:hAnsi="Times New Roman" w:cs="Times New Roman"/>
          <w:i/>
          <w:iCs/>
          <w:sz w:val="24"/>
          <w:szCs w:val="24"/>
        </w:rPr>
        <w:t>The World Journal of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(2), 142–151. </w:t>
      </w:r>
      <w:hyperlink r:id="rId2008" w:history="1">
        <w:r w:rsidRPr="00600FC7">
          <w:rPr>
            <w:rFonts w:ascii="Times New Roman" w:eastAsia="Times New Roman" w:hAnsi="Times New Roman" w:cs="Times New Roman"/>
            <w:color w:val="0000FF"/>
            <w:sz w:val="24"/>
            <w:szCs w:val="24"/>
            <w:u w:val="single"/>
          </w:rPr>
          <w:t>https://doi.org/10.1080/15622975.2017.1282173</w:t>
        </w:r>
      </w:hyperlink>
    </w:p>
    <w:p w14:paraId="167A14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Gelonch, O., Garolera, M., Valls, J., Rosselló, L., &amp; Pifarré, J. (2016). Executive function in fibromyalgia: Comparing subjective and objective measures. </w:t>
      </w:r>
      <w:r w:rsidRPr="00600FC7">
        <w:rPr>
          <w:rFonts w:ascii="Times New Roman" w:eastAsia="Times New Roman" w:hAnsi="Times New Roman" w:cs="Times New Roman"/>
          <w:i/>
          <w:iCs/>
          <w:sz w:val="24"/>
          <w:szCs w:val="24"/>
        </w:rPr>
        <w:t>Comprehensive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66</w:t>
      </w:r>
      <w:r w:rsidRPr="00600FC7">
        <w:rPr>
          <w:rFonts w:ascii="Times New Roman" w:eastAsia="Times New Roman" w:hAnsi="Times New Roman" w:cs="Times New Roman"/>
          <w:sz w:val="24"/>
          <w:szCs w:val="24"/>
        </w:rPr>
        <w:t xml:space="preserve">, 113–122. </w:t>
      </w:r>
      <w:hyperlink r:id="rId2009" w:history="1">
        <w:r w:rsidRPr="00600FC7">
          <w:rPr>
            <w:rFonts w:ascii="Times New Roman" w:eastAsia="Times New Roman" w:hAnsi="Times New Roman" w:cs="Times New Roman"/>
            <w:color w:val="0000FF"/>
            <w:sz w:val="24"/>
            <w:szCs w:val="24"/>
            <w:u w:val="single"/>
          </w:rPr>
          <w:t>https://doi.org/10.1016/j.comppsych.2016.01.002</w:t>
        </w:r>
      </w:hyperlink>
    </w:p>
    <w:p w14:paraId="64723F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Gencpinar, P., Kalay, Z., Turgut, S., Bozkurt, Ö., Duman, Ö., Ozel, D., &amp; Haspolat, S. (2016). Evaluation of executive functions in patients with childhood absence epilepsy. </w:t>
      </w:r>
      <w:r w:rsidRPr="00600FC7">
        <w:rPr>
          <w:rFonts w:ascii="Times New Roman" w:eastAsia="Times New Roman" w:hAnsi="Times New Roman" w:cs="Times New Roman"/>
          <w:i/>
          <w:iCs/>
          <w:sz w:val="24"/>
          <w:szCs w:val="24"/>
        </w:rPr>
        <w:t>Journal of Child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(7), 824–830. </w:t>
      </w:r>
      <w:hyperlink r:id="rId2010" w:history="1">
        <w:r w:rsidRPr="00600FC7">
          <w:rPr>
            <w:rFonts w:ascii="Times New Roman" w:eastAsia="Times New Roman" w:hAnsi="Times New Roman" w:cs="Times New Roman"/>
            <w:color w:val="0000FF"/>
            <w:sz w:val="24"/>
            <w:szCs w:val="24"/>
            <w:u w:val="single"/>
          </w:rPr>
          <w:t>https://doi.org/10.1177/0883073815623632</w:t>
        </w:r>
      </w:hyperlink>
    </w:p>
    <w:p w14:paraId="0E0892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Genderson, M. R., Dickinson, D., Diaz-Asper, C. M., Egan, M. F., Weinberger, D. R., &amp; Goldberg, T. E. (2007). Factor analysis of neurocognitive tests in a large sample of schizophrenic probands, their siblings, and healthy controls.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94</w:t>
      </w:r>
      <w:r w:rsidRPr="00600FC7">
        <w:rPr>
          <w:rFonts w:ascii="Times New Roman" w:eastAsia="Times New Roman" w:hAnsi="Times New Roman" w:cs="Times New Roman"/>
          <w:sz w:val="24"/>
          <w:szCs w:val="24"/>
        </w:rPr>
        <w:t xml:space="preserve">(1–3), 231–239. </w:t>
      </w:r>
      <w:hyperlink r:id="rId2011" w:history="1">
        <w:r w:rsidRPr="00600FC7">
          <w:rPr>
            <w:rFonts w:ascii="Times New Roman" w:eastAsia="Times New Roman" w:hAnsi="Times New Roman" w:cs="Times New Roman"/>
            <w:color w:val="0000FF"/>
            <w:sz w:val="24"/>
            <w:szCs w:val="24"/>
            <w:u w:val="single"/>
          </w:rPr>
          <w:t>https://doi.org/10.1016/j.schres.2006.12.031</w:t>
        </w:r>
      </w:hyperlink>
    </w:p>
    <w:p w14:paraId="79FB08D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Geng, Y., Su, L., &amp; Wang, H. (2010). Psychological characteristics and influencing factors of impulsivity of children with attention deficit hyperactivity disorder. [Psychological characteristics and influencing factors of impulsivity of children with attention deficit hyperactivity disorder. </w:t>
      </w:r>
      <w:r w:rsidRPr="00600FC7">
        <w:rPr>
          <w:rFonts w:ascii="Times New Roman" w:eastAsia="Times New Roman" w:hAnsi="Times New Roman" w:cs="Times New Roman"/>
          <w:i/>
          <w:iCs/>
          <w:sz w:val="24"/>
          <w:szCs w:val="24"/>
        </w:rPr>
        <w:t>Chinese Journal of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(2), 212–214.</w:t>
      </w:r>
    </w:p>
    <w:p w14:paraId="2E8EE4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Genış, B., &amp; Coşar, B. (2020). A case of arachnoid cyst presenting with cognitive impairment and hypomania symptoms. </w:t>
      </w:r>
      <w:r w:rsidRPr="00600FC7">
        <w:rPr>
          <w:rFonts w:ascii="Times New Roman" w:eastAsia="Times New Roman" w:hAnsi="Times New Roman" w:cs="Times New Roman"/>
          <w:i/>
          <w:iCs/>
          <w:sz w:val="24"/>
          <w:szCs w:val="24"/>
        </w:rPr>
        <w:t>Türk Psikiyatri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(2), 131–136.</w:t>
      </w:r>
    </w:p>
    <w:p w14:paraId="3AD8D0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George, M. S., Ketter, T. A., &amp; Post, R. M. (1994). Activation studies in mood disorders. </w:t>
      </w:r>
      <w:r w:rsidRPr="00600FC7">
        <w:rPr>
          <w:rFonts w:ascii="Times New Roman" w:eastAsia="Times New Roman" w:hAnsi="Times New Roman" w:cs="Times New Roman"/>
          <w:i/>
          <w:iCs/>
          <w:sz w:val="24"/>
          <w:szCs w:val="24"/>
        </w:rPr>
        <w:t>Psychiatric Annals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(12), 648–652. </w:t>
      </w:r>
      <w:hyperlink r:id="rId2012" w:history="1">
        <w:r w:rsidRPr="00600FC7">
          <w:rPr>
            <w:rFonts w:ascii="Times New Roman" w:eastAsia="Times New Roman" w:hAnsi="Times New Roman" w:cs="Times New Roman"/>
            <w:color w:val="0000FF"/>
            <w:sz w:val="24"/>
            <w:szCs w:val="24"/>
            <w:u w:val="single"/>
          </w:rPr>
          <w:t>https://doi.org/10.3928/0048-5713-19941201-09</w:t>
        </w:r>
      </w:hyperlink>
    </w:p>
    <w:p w14:paraId="2AB4AB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Geraci, A., &amp; Cantagallo, A. (2011). Inferential reasoning: Comparison of patients with schizophrenia and patients with traumatic brain injury.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188</w:t>
      </w:r>
      <w:r w:rsidRPr="00600FC7">
        <w:rPr>
          <w:rFonts w:ascii="Times New Roman" w:eastAsia="Times New Roman" w:hAnsi="Times New Roman" w:cs="Times New Roman"/>
          <w:sz w:val="24"/>
          <w:szCs w:val="24"/>
        </w:rPr>
        <w:t xml:space="preserve">(2), 291–293. </w:t>
      </w:r>
      <w:hyperlink r:id="rId2013" w:history="1">
        <w:r w:rsidRPr="00600FC7">
          <w:rPr>
            <w:rFonts w:ascii="Times New Roman" w:eastAsia="Times New Roman" w:hAnsi="Times New Roman" w:cs="Times New Roman"/>
            <w:color w:val="0000FF"/>
            <w:sz w:val="24"/>
            <w:szCs w:val="24"/>
            <w:u w:val="single"/>
          </w:rPr>
          <w:t>https://doi.org/10.1016/j.psychres.2010.12.012</w:t>
        </w:r>
      </w:hyperlink>
    </w:p>
    <w:p w14:paraId="7019768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Geraci, A., Surian, L., Ferraro, M., &amp; Cantagallo, A. (2010). Theory of mind in patients with ventromedial or dorsolateral prefrontal lesions following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(7–8), 978–987. </w:t>
      </w:r>
      <w:hyperlink r:id="rId2014" w:history="1">
        <w:r w:rsidRPr="00600FC7">
          <w:rPr>
            <w:rFonts w:ascii="Times New Roman" w:eastAsia="Times New Roman" w:hAnsi="Times New Roman" w:cs="Times New Roman"/>
            <w:color w:val="0000FF"/>
            <w:sz w:val="24"/>
            <w:szCs w:val="24"/>
            <w:u w:val="single"/>
          </w:rPr>
          <w:t>https://doi.org/10.3109/02699052.2010.487477</w:t>
        </w:r>
      </w:hyperlink>
    </w:p>
    <w:p w14:paraId="1BE43A0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Geraci, L. (2006). A test of the frontal lobe functioning hypothesis of age deficits in production priming.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(5), 539–548. </w:t>
      </w:r>
      <w:hyperlink r:id="rId2015" w:history="1">
        <w:r w:rsidRPr="00600FC7">
          <w:rPr>
            <w:rFonts w:ascii="Times New Roman" w:eastAsia="Times New Roman" w:hAnsi="Times New Roman" w:cs="Times New Roman"/>
            <w:color w:val="0000FF"/>
            <w:sz w:val="24"/>
            <w:szCs w:val="24"/>
            <w:u w:val="single"/>
          </w:rPr>
          <w:t>https://doi.org/10.1037/0894-4105.20.5.539</w:t>
        </w:r>
      </w:hyperlink>
    </w:p>
    <w:p w14:paraId="1D9338D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Gerbaud, L., Deffond, D., Mulliez, A., Benausse, F., Vernay, D., &amp; Clavelou, P. (2006). Déficit cognitif et mesure de la qualité de vie dans la sclérose en plaques. [Cognitive impairment and quality of life in multiple sclerosis patients.]. </w:t>
      </w:r>
      <w:r w:rsidRPr="00600FC7">
        <w:rPr>
          <w:rFonts w:ascii="Times New Roman" w:eastAsia="Times New Roman" w:hAnsi="Times New Roman" w:cs="Times New Roman"/>
          <w:i/>
          <w:iCs/>
          <w:sz w:val="24"/>
          <w:szCs w:val="24"/>
        </w:rPr>
        <w:t>Revue Neurologique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162</w:t>
      </w:r>
      <w:r w:rsidRPr="00600FC7">
        <w:rPr>
          <w:rFonts w:ascii="Times New Roman" w:eastAsia="Times New Roman" w:hAnsi="Times New Roman" w:cs="Times New Roman"/>
          <w:sz w:val="24"/>
          <w:szCs w:val="24"/>
        </w:rPr>
        <w:t xml:space="preserve">(10), 970–979. </w:t>
      </w:r>
      <w:hyperlink r:id="rId2016" w:history="1">
        <w:r w:rsidRPr="00600FC7">
          <w:rPr>
            <w:rFonts w:ascii="Times New Roman" w:eastAsia="Times New Roman" w:hAnsi="Times New Roman" w:cs="Times New Roman"/>
            <w:color w:val="0000FF"/>
            <w:sz w:val="24"/>
            <w:szCs w:val="24"/>
            <w:u w:val="single"/>
          </w:rPr>
          <w:t>https://doi.org/10.1016/S0035-3787(06)75107-4</w:t>
        </w:r>
      </w:hyperlink>
    </w:p>
    <w:p w14:paraId="33F7AA0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Gerolimatos, L. A., Gregg, J. J., &amp; Edelstein, B. A. (2013). Assessment of anxiety in long-term care: Examination of the Geriatric Anxiety Inventory (GAI) and its short form. </w:t>
      </w:r>
      <w:r w:rsidRPr="00600FC7">
        <w:rPr>
          <w:rFonts w:ascii="Times New Roman" w:eastAsia="Times New Roman" w:hAnsi="Times New Roman" w:cs="Times New Roman"/>
          <w:i/>
          <w:iCs/>
          <w:sz w:val="24"/>
          <w:szCs w:val="24"/>
        </w:rPr>
        <w:t>International Psychogeriatrics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(9), 1533–1542. </w:t>
      </w:r>
      <w:hyperlink r:id="rId2017" w:history="1">
        <w:r w:rsidRPr="00600FC7">
          <w:rPr>
            <w:rFonts w:ascii="Times New Roman" w:eastAsia="Times New Roman" w:hAnsi="Times New Roman" w:cs="Times New Roman"/>
            <w:color w:val="0000FF"/>
            <w:sz w:val="24"/>
            <w:szCs w:val="24"/>
            <w:u w:val="single"/>
          </w:rPr>
          <w:t>https://doi.org/10.1017/S1041610213000847</w:t>
        </w:r>
      </w:hyperlink>
    </w:p>
    <w:p w14:paraId="3F43A5C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Gerschcovich, E. R., Cerquetti, D., Tenca, E., &amp; Leiguarda, R. (2011). The impact of bilateral cerebellar damage on theory of mind, empathy and decision making.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(3), 270–275. </w:t>
      </w:r>
      <w:hyperlink r:id="rId2018" w:history="1">
        <w:r w:rsidRPr="00600FC7">
          <w:rPr>
            <w:rFonts w:ascii="Times New Roman" w:eastAsia="Times New Roman" w:hAnsi="Times New Roman" w:cs="Times New Roman"/>
            <w:color w:val="0000FF"/>
            <w:sz w:val="24"/>
            <w:szCs w:val="24"/>
            <w:u w:val="single"/>
          </w:rPr>
          <w:t>https://doi.org/10.1080/13554791003730618</w:t>
        </w:r>
      </w:hyperlink>
    </w:p>
    <w:p w14:paraId="213C13E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Gershuny, B. S., &amp; Sher, K. J. (1995). Compulsive checking and anxiety in a nonclinical sample: Differences in cognition, behavior, personality, and affect. </w:t>
      </w:r>
      <w:r w:rsidRPr="00600FC7">
        <w:rPr>
          <w:rFonts w:ascii="Times New Roman" w:eastAsia="Times New Roman" w:hAnsi="Times New Roman" w:cs="Times New Roman"/>
          <w:i/>
          <w:iCs/>
          <w:sz w:val="24"/>
          <w:szCs w:val="24"/>
        </w:rPr>
        <w:t>Journal of Psychopathology and Behavioral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19–38. </w:t>
      </w:r>
      <w:hyperlink r:id="rId2019" w:history="1">
        <w:r w:rsidRPr="00600FC7">
          <w:rPr>
            <w:rFonts w:ascii="Times New Roman" w:eastAsia="Times New Roman" w:hAnsi="Times New Roman" w:cs="Times New Roman"/>
            <w:color w:val="0000FF"/>
            <w:sz w:val="24"/>
            <w:szCs w:val="24"/>
            <w:u w:val="single"/>
          </w:rPr>
          <w:t>https://doi.org/10.1007/BF02229201</w:t>
        </w:r>
      </w:hyperlink>
    </w:p>
    <w:p w14:paraId="18D4060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Gervais, R. O., Ben-Porath, Y. S., &amp; Wygant, D. B. (2009). Empirical correlates and interpretation of the MMPI-2-RF Cognitive Complaints (COG) scale.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(6), 996–1015. </w:t>
      </w:r>
      <w:hyperlink r:id="rId2020" w:history="1">
        <w:r w:rsidRPr="00600FC7">
          <w:rPr>
            <w:rFonts w:ascii="Times New Roman" w:eastAsia="Times New Roman" w:hAnsi="Times New Roman" w:cs="Times New Roman"/>
            <w:color w:val="0000FF"/>
            <w:sz w:val="24"/>
            <w:szCs w:val="24"/>
            <w:u w:val="single"/>
          </w:rPr>
          <w:t>https://doi.org/10.1080/13854040902748249</w:t>
        </w:r>
      </w:hyperlink>
    </w:p>
    <w:p w14:paraId="18F8A34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Getz, G. E. (2014). </w:t>
      </w:r>
      <w:r w:rsidRPr="00600FC7">
        <w:rPr>
          <w:rFonts w:ascii="Times New Roman" w:eastAsia="Times New Roman" w:hAnsi="Times New Roman" w:cs="Times New Roman"/>
          <w:i/>
          <w:iCs/>
          <w:sz w:val="24"/>
          <w:szCs w:val="24"/>
        </w:rPr>
        <w:t>Applied biological psychology.</w:t>
      </w:r>
      <w:r w:rsidRPr="00600FC7">
        <w:rPr>
          <w:rFonts w:ascii="Times New Roman" w:eastAsia="Times New Roman" w:hAnsi="Times New Roman" w:cs="Times New Roman"/>
          <w:sz w:val="24"/>
          <w:szCs w:val="24"/>
        </w:rPr>
        <w:t xml:space="preserve"> (pp. xix, 284). Springer Publishing Co.</w:t>
      </w:r>
    </w:p>
    <w:p w14:paraId="159C6E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Getz, G. E., Edner, B. J., &amp; Nickell, P. V. (2014). The effect of electroconvulsive therapy on executive functioning in a treatment-resistant man with depression: A case report. </w:t>
      </w:r>
      <w:r w:rsidRPr="00600FC7">
        <w:rPr>
          <w:rFonts w:ascii="Times New Roman" w:eastAsia="Times New Roman" w:hAnsi="Times New Roman" w:cs="Times New Roman"/>
          <w:i/>
          <w:iCs/>
          <w:sz w:val="24"/>
          <w:szCs w:val="24"/>
        </w:rPr>
        <w:t>The Journal of ECT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 e11–e12. </w:t>
      </w:r>
      <w:hyperlink r:id="rId2021" w:history="1">
        <w:r w:rsidRPr="00600FC7">
          <w:rPr>
            <w:rFonts w:ascii="Times New Roman" w:eastAsia="Times New Roman" w:hAnsi="Times New Roman" w:cs="Times New Roman"/>
            <w:color w:val="0000FF"/>
            <w:sz w:val="24"/>
            <w:szCs w:val="24"/>
            <w:u w:val="single"/>
          </w:rPr>
          <w:t>https://doi.org/10.1097/YCT.0000000000000086</w:t>
        </w:r>
      </w:hyperlink>
    </w:p>
    <w:p w14:paraId="2D4DB5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Geurts, H. M., Pol, S. E., Lobbestael, J., &amp; Simons, C. J. P. (2020). Executive functioning in 60+ autistic males: The discrepancy between experienced challenges and cognitive performance.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50</w:t>
      </w:r>
      <w:r w:rsidRPr="00600FC7">
        <w:rPr>
          <w:rFonts w:ascii="Times New Roman" w:eastAsia="Times New Roman" w:hAnsi="Times New Roman" w:cs="Times New Roman"/>
          <w:sz w:val="24"/>
          <w:szCs w:val="24"/>
        </w:rPr>
        <w:t xml:space="preserve">(4), 1380–1390. </w:t>
      </w:r>
      <w:hyperlink r:id="rId2022" w:history="1">
        <w:r w:rsidRPr="00600FC7">
          <w:rPr>
            <w:rFonts w:ascii="Times New Roman" w:eastAsia="Times New Roman" w:hAnsi="Times New Roman" w:cs="Times New Roman"/>
            <w:color w:val="0000FF"/>
            <w:sz w:val="24"/>
            <w:szCs w:val="24"/>
            <w:u w:val="single"/>
          </w:rPr>
          <w:t>https://doi.org/10.1007/s10803-020-04368-9</w:t>
        </w:r>
      </w:hyperlink>
    </w:p>
    <w:p w14:paraId="1931A43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Geurts, H. M., Sinzig, J., Booth, R., &amp; Happé, F. (2014). Neuropsychological heterogeneity in executive functioning in autism spectrum disorders. </w:t>
      </w:r>
      <w:r w:rsidRPr="00600FC7">
        <w:rPr>
          <w:rFonts w:ascii="Times New Roman" w:eastAsia="Times New Roman" w:hAnsi="Times New Roman" w:cs="Times New Roman"/>
          <w:i/>
          <w:iCs/>
          <w:sz w:val="24"/>
          <w:szCs w:val="24"/>
        </w:rPr>
        <w:t>International Journal of Developmental Disabilities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60</w:t>
      </w:r>
      <w:r w:rsidRPr="00600FC7">
        <w:rPr>
          <w:rFonts w:ascii="Times New Roman" w:eastAsia="Times New Roman" w:hAnsi="Times New Roman" w:cs="Times New Roman"/>
          <w:sz w:val="24"/>
          <w:szCs w:val="24"/>
        </w:rPr>
        <w:t xml:space="preserve">(3), 155–162. </w:t>
      </w:r>
      <w:hyperlink r:id="rId2023" w:history="1">
        <w:r w:rsidRPr="00600FC7">
          <w:rPr>
            <w:rFonts w:ascii="Times New Roman" w:eastAsia="Times New Roman" w:hAnsi="Times New Roman" w:cs="Times New Roman"/>
            <w:color w:val="0000FF"/>
            <w:sz w:val="24"/>
            <w:szCs w:val="24"/>
            <w:u w:val="single"/>
          </w:rPr>
          <w:t>https://doi.org/10.1179/2047387714Y.0000000047</w:t>
        </w:r>
      </w:hyperlink>
    </w:p>
    <w:p w14:paraId="2074B5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Geurts, H. M., Verté, S., Oosterlaan, J., Roeyers, H., &amp; Sergeant, J. A. (2004). How specific are executive functioning deficits in attention deficit hyperactivity disorder and autism? </w:t>
      </w:r>
      <w:r w:rsidRPr="00600FC7">
        <w:rPr>
          <w:rFonts w:ascii="Times New Roman" w:eastAsia="Times New Roman" w:hAnsi="Times New Roman" w:cs="Times New Roman"/>
          <w:i/>
          <w:iCs/>
          <w:sz w:val="24"/>
          <w:szCs w:val="24"/>
        </w:rPr>
        <w:t>Journal of Child Psychology and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(4), 836–854. </w:t>
      </w:r>
      <w:hyperlink r:id="rId2024" w:history="1">
        <w:r w:rsidRPr="00600FC7">
          <w:rPr>
            <w:rFonts w:ascii="Times New Roman" w:eastAsia="Times New Roman" w:hAnsi="Times New Roman" w:cs="Times New Roman"/>
            <w:color w:val="0000FF"/>
            <w:sz w:val="24"/>
            <w:szCs w:val="24"/>
            <w:u w:val="single"/>
          </w:rPr>
          <w:t>https://doi.org/10.1111/j.1469-7610.2004.00276.x</w:t>
        </w:r>
      </w:hyperlink>
    </w:p>
    <w:p w14:paraId="385F325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Gfeller, J. D., &amp; Roskos, P. T. (2013). A comparison of insufficient effort rates, neuropsychological functioning, and neuropsychiatric symptom reporting in military veterans and civilians with chronic traumatic brain injury. </w:t>
      </w:r>
      <w:r w:rsidRPr="00600FC7">
        <w:rPr>
          <w:rFonts w:ascii="Times New Roman" w:eastAsia="Times New Roman" w:hAnsi="Times New Roman" w:cs="Times New Roman"/>
          <w:i/>
          <w:iCs/>
          <w:sz w:val="24"/>
          <w:szCs w:val="24"/>
        </w:rPr>
        <w:t>Behavioral Sciences &amp; the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(6), 833–849. </w:t>
      </w:r>
      <w:hyperlink r:id="rId2025" w:history="1">
        <w:r w:rsidRPr="00600FC7">
          <w:rPr>
            <w:rFonts w:ascii="Times New Roman" w:eastAsia="Times New Roman" w:hAnsi="Times New Roman" w:cs="Times New Roman"/>
            <w:color w:val="0000FF"/>
            <w:sz w:val="24"/>
            <w:szCs w:val="24"/>
            <w:u w:val="single"/>
          </w:rPr>
          <w:t>https://doi.org/10.1002/bsl.2084</w:t>
        </w:r>
      </w:hyperlink>
    </w:p>
    <w:p w14:paraId="371A0C5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Ghadery, C., Pirpamer, L., Hofer, E., Langkammer, C., Petrovic, K., Loitfelder, M., Schwingenschuh, P., Seiler, S., Duering, M., Jouvent, E., Schmidt, H., Fazekas, F., Mangin, J.-F., Chabriat, H., Dichgans, M., Ropele, S., &amp; Schmidt, R. (2015). R2* mapping for brain iron: Associations with cognition in normal aging.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925–932. </w:t>
      </w:r>
      <w:hyperlink r:id="rId2026" w:history="1">
        <w:r w:rsidRPr="00600FC7">
          <w:rPr>
            <w:rFonts w:ascii="Times New Roman" w:eastAsia="Times New Roman" w:hAnsi="Times New Roman" w:cs="Times New Roman"/>
            <w:color w:val="0000FF"/>
            <w:sz w:val="24"/>
            <w:szCs w:val="24"/>
            <w:u w:val="single"/>
          </w:rPr>
          <w:t>https://doi.org/10.1016/j.neurobiolaging.2014.09.013</w:t>
        </w:r>
      </w:hyperlink>
    </w:p>
    <w:p w14:paraId="7D593B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Ghaemi, S. N., Gilmer, W. S., Dunn, R. T., Hanlon, R. E., Kemp, D. E., Bauer, A. D., Chriki, L., Filkowski, M. M., &amp; Harvey, P. D. (2009). A double-blind, placebo-controlled pilot study of galantamine to improve cognitive dysfunction in minimally symptomatic bipolar disorder. </w:t>
      </w:r>
      <w:r w:rsidRPr="00600FC7">
        <w:rPr>
          <w:rFonts w:ascii="Times New Roman" w:eastAsia="Times New Roman" w:hAnsi="Times New Roman" w:cs="Times New Roman"/>
          <w:i/>
          <w:iCs/>
          <w:sz w:val="24"/>
          <w:szCs w:val="24"/>
        </w:rPr>
        <w:t>Journal of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291–295. </w:t>
      </w:r>
      <w:hyperlink r:id="rId2027" w:history="1">
        <w:r w:rsidRPr="00600FC7">
          <w:rPr>
            <w:rFonts w:ascii="Times New Roman" w:eastAsia="Times New Roman" w:hAnsi="Times New Roman" w:cs="Times New Roman"/>
            <w:color w:val="0000FF"/>
            <w:sz w:val="24"/>
            <w:szCs w:val="24"/>
            <w:u w:val="single"/>
          </w:rPr>
          <w:t>https://doi.org/10.1097/JCP.0b013e3181a497d7</w:t>
        </w:r>
      </w:hyperlink>
    </w:p>
    <w:p w14:paraId="635816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Ghidoni, R., Boccardi, M., Benussi, L., Testa, C., Villa, A., Pievani, M., Gigola, L., Sabattoli, F., Barbiero, L., Frisoni, G. B., &amp; Binetti, G. (2006). Effects of estrogens on cognition and brain morphology: Involvement of the cerebellum. </w:t>
      </w:r>
      <w:r w:rsidRPr="00600FC7">
        <w:rPr>
          <w:rFonts w:ascii="Times New Roman" w:eastAsia="Times New Roman" w:hAnsi="Times New Roman" w:cs="Times New Roman"/>
          <w:i/>
          <w:iCs/>
          <w:sz w:val="24"/>
          <w:szCs w:val="24"/>
        </w:rPr>
        <w:t>Maturitas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(3), 222–228. </w:t>
      </w:r>
      <w:hyperlink r:id="rId2028" w:history="1">
        <w:r w:rsidRPr="00600FC7">
          <w:rPr>
            <w:rFonts w:ascii="Times New Roman" w:eastAsia="Times New Roman" w:hAnsi="Times New Roman" w:cs="Times New Roman"/>
            <w:color w:val="0000FF"/>
            <w:sz w:val="24"/>
            <w:szCs w:val="24"/>
            <w:u w:val="single"/>
          </w:rPr>
          <w:t>https://doi.org/10.1016/j.maturitas.2005.11.002</w:t>
        </w:r>
      </w:hyperlink>
    </w:p>
    <w:p w14:paraId="4564A74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Ghirasim, N. I., Sandu, N., Raza, A., Micluţia, I. V., &amp; Macrea, R. (2013). Cognitive Remediation Therapy in schizophrenia (CRT)—A pilot study on Romanian patients. </w:t>
      </w:r>
      <w:r w:rsidRPr="00600FC7">
        <w:rPr>
          <w:rFonts w:ascii="Times New Roman" w:eastAsia="Times New Roman" w:hAnsi="Times New Roman" w:cs="Times New Roman"/>
          <w:i/>
          <w:iCs/>
          <w:sz w:val="24"/>
          <w:szCs w:val="24"/>
        </w:rPr>
        <w:t>Journal of Cognitive and Behavioral Psychotherapies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(2), 385–396.</w:t>
      </w:r>
    </w:p>
    <w:p w14:paraId="417273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Ghisletta, P., Kennedy, K. M., Rodrigue, K. M., Lindenberger, U., &amp; Raz, N. (2010). Adult age differences and the role of cognitive resources in perceptual-motor skill acquisition: Application of a multilevel negative exponential model. </w:t>
      </w:r>
      <w:r w:rsidRPr="00600FC7">
        <w:rPr>
          <w:rFonts w:ascii="Times New Roman" w:eastAsia="Times New Roman" w:hAnsi="Times New Roman" w:cs="Times New Roman"/>
          <w:i/>
          <w:iCs/>
          <w:sz w:val="24"/>
          <w:szCs w:val="24"/>
        </w:rPr>
        <w:t>The Journals of Gerontology: Series B: Psychological Sciences and Social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65</w:t>
      </w:r>
      <w:r w:rsidRPr="00600FC7">
        <w:rPr>
          <w:rFonts w:ascii="Times New Roman" w:eastAsia="Times New Roman" w:hAnsi="Times New Roman" w:cs="Times New Roman"/>
          <w:sz w:val="24"/>
          <w:szCs w:val="24"/>
        </w:rPr>
        <w:t xml:space="preserve">(2), 163–173. </w:t>
      </w:r>
      <w:hyperlink r:id="rId2029" w:history="1">
        <w:r w:rsidRPr="00600FC7">
          <w:rPr>
            <w:rFonts w:ascii="Times New Roman" w:eastAsia="Times New Roman" w:hAnsi="Times New Roman" w:cs="Times New Roman"/>
            <w:color w:val="0000FF"/>
            <w:sz w:val="24"/>
            <w:szCs w:val="24"/>
            <w:u w:val="single"/>
          </w:rPr>
          <w:t>https://doi.org/10.1093/geronb/gbp126</w:t>
        </w:r>
      </w:hyperlink>
    </w:p>
    <w:p w14:paraId="5EC53F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Ghormley, C., Basso, M., Candlis, P., &amp; Combs, D. (2011). Neuropsychological impairment corresponds with poor understanding of informed consent disclosures in persons diagnosed with major depression.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187</w:t>
      </w:r>
      <w:r w:rsidRPr="00600FC7">
        <w:rPr>
          <w:rFonts w:ascii="Times New Roman" w:eastAsia="Times New Roman" w:hAnsi="Times New Roman" w:cs="Times New Roman"/>
          <w:sz w:val="24"/>
          <w:szCs w:val="24"/>
        </w:rPr>
        <w:t xml:space="preserve">(1–2), 106–112. </w:t>
      </w:r>
      <w:hyperlink r:id="rId2030" w:history="1">
        <w:r w:rsidRPr="00600FC7">
          <w:rPr>
            <w:rFonts w:ascii="Times New Roman" w:eastAsia="Times New Roman" w:hAnsi="Times New Roman" w:cs="Times New Roman"/>
            <w:color w:val="0000FF"/>
            <w:sz w:val="24"/>
            <w:szCs w:val="24"/>
            <w:u w:val="single"/>
          </w:rPr>
          <w:t>https://doi.org/10.1016/j.psychres.2010.10.024</w:t>
        </w:r>
      </w:hyperlink>
    </w:p>
    <w:p w14:paraId="501B46D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Ghosh, A., Basu, D., Khandelwal, N., Ahuja, C. K., BN, S., &amp; Rana, D. (2019). Risk, reversibility and resilience of brain circuitries linked to opioid dependence: A diffusion </w:t>
      </w:r>
      <w:r w:rsidRPr="00600FC7">
        <w:rPr>
          <w:rFonts w:ascii="Times New Roman" w:eastAsia="Times New Roman" w:hAnsi="Times New Roman" w:cs="Times New Roman"/>
          <w:sz w:val="24"/>
          <w:szCs w:val="24"/>
        </w:rPr>
        <w:lastRenderedPageBreak/>
        <w:t xml:space="preserve">tensor imaging study of actively opioid-using subjects and three comparison groups. </w:t>
      </w:r>
      <w:r w:rsidRPr="00600FC7">
        <w:rPr>
          <w:rFonts w:ascii="Times New Roman" w:eastAsia="Times New Roman" w:hAnsi="Times New Roman" w:cs="Times New Roman"/>
          <w:i/>
          <w:iCs/>
          <w:sz w:val="24"/>
          <w:szCs w:val="24"/>
        </w:rPr>
        <w:t>Asian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 107–115. </w:t>
      </w:r>
      <w:hyperlink r:id="rId2031" w:history="1">
        <w:r w:rsidRPr="00600FC7">
          <w:rPr>
            <w:rFonts w:ascii="Times New Roman" w:eastAsia="Times New Roman" w:hAnsi="Times New Roman" w:cs="Times New Roman"/>
            <w:color w:val="0000FF"/>
            <w:sz w:val="24"/>
            <w:szCs w:val="24"/>
            <w:u w:val="single"/>
          </w:rPr>
          <w:t>https://doi.org/10.1016/j.ajp.2019.02.009</w:t>
        </w:r>
      </w:hyperlink>
    </w:p>
    <w:p w14:paraId="417991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Giakoumaki, S. G. (2012). Cognitive and prepulse inhibition deficits in psychometrically high schizotypal subjects in the general population: Relevance to schizophrenia research.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(4), 643–656. </w:t>
      </w:r>
      <w:hyperlink r:id="rId2032" w:history="1">
        <w:r w:rsidRPr="00600FC7">
          <w:rPr>
            <w:rFonts w:ascii="Times New Roman" w:eastAsia="Times New Roman" w:hAnsi="Times New Roman" w:cs="Times New Roman"/>
            <w:color w:val="0000FF"/>
            <w:sz w:val="24"/>
            <w:szCs w:val="24"/>
            <w:u w:val="single"/>
          </w:rPr>
          <w:t>https://doi.org/10.1017/S135561771200029X</w:t>
        </w:r>
      </w:hyperlink>
    </w:p>
    <w:p w14:paraId="6FC91A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Giakoumaki, S. G., Roussos, P., Pallis, E. G., &amp; Bitsios, P. (2011). Sustained attention and working memory deficits follow a familial pattern in schizophrenia.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(7), 687–695. </w:t>
      </w:r>
      <w:hyperlink r:id="rId2033" w:history="1">
        <w:r w:rsidRPr="00600FC7">
          <w:rPr>
            <w:rFonts w:ascii="Times New Roman" w:eastAsia="Times New Roman" w:hAnsi="Times New Roman" w:cs="Times New Roman"/>
            <w:color w:val="0000FF"/>
            <w:sz w:val="24"/>
            <w:szCs w:val="24"/>
            <w:u w:val="single"/>
          </w:rPr>
          <w:t>https://doi.org/10.1093/arclin/acr060</w:t>
        </w:r>
      </w:hyperlink>
    </w:p>
    <w:p w14:paraId="110DA2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(2004). Executive Functioning and Alcohol-Related Aggression.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113</w:t>
      </w:r>
      <w:r w:rsidRPr="00600FC7">
        <w:rPr>
          <w:rFonts w:ascii="Times New Roman" w:eastAsia="Times New Roman" w:hAnsi="Times New Roman" w:cs="Times New Roman"/>
          <w:sz w:val="24"/>
          <w:szCs w:val="24"/>
        </w:rPr>
        <w:t xml:space="preserve">(4), 541–555. </w:t>
      </w:r>
      <w:hyperlink r:id="rId2034" w:history="1">
        <w:r w:rsidRPr="00600FC7">
          <w:rPr>
            <w:rFonts w:ascii="Times New Roman" w:eastAsia="Times New Roman" w:hAnsi="Times New Roman" w:cs="Times New Roman"/>
            <w:color w:val="0000FF"/>
            <w:sz w:val="24"/>
            <w:szCs w:val="24"/>
            <w:u w:val="single"/>
          </w:rPr>
          <w:t>https://doi.org/10.1037/0021-843X.113.4.541</w:t>
        </w:r>
      </w:hyperlink>
    </w:p>
    <w:p w14:paraId="53207A7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(2007). The underlying role of aggressivity in the relation between executive functioning and alcohol consumption. </w:t>
      </w:r>
      <w:r w:rsidRPr="00600FC7">
        <w:rPr>
          <w:rFonts w:ascii="Times New Roman" w:eastAsia="Times New Roman" w:hAnsi="Times New Roman" w:cs="Times New Roman"/>
          <w:i/>
          <w:iCs/>
          <w:sz w:val="24"/>
          <w:szCs w:val="24"/>
        </w:rPr>
        <w:t>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(4), 765–783. </w:t>
      </w:r>
      <w:hyperlink r:id="rId2035" w:history="1">
        <w:r w:rsidRPr="00600FC7">
          <w:rPr>
            <w:rFonts w:ascii="Times New Roman" w:eastAsia="Times New Roman" w:hAnsi="Times New Roman" w:cs="Times New Roman"/>
            <w:color w:val="0000FF"/>
            <w:sz w:val="24"/>
            <w:szCs w:val="24"/>
            <w:u w:val="single"/>
          </w:rPr>
          <w:t>https://doi.org/10.1016/j.addbeh.2006.06.015</w:t>
        </w:r>
      </w:hyperlink>
    </w:p>
    <w:p w14:paraId="20062E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Parrott, D. J., &amp; Roth, R. M. (2006). The influence of difficult temperament on alcohol-related aggression: Better accounted for by executive functioning? </w:t>
      </w:r>
      <w:r w:rsidRPr="00600FC7">
        <w:rPr>
          <w:rFonts w:ascii="Times New Roman" w:eastAsia="Times New Roman" w:hAnsi="Times New Roman" w:cs="Times New Roman"/>
          <w:i/>
          <w:iCs/>
          <w:sz w:val="24"/>
          <w:szCs w:val="24"/>
        </w:rPr>
        <w:t>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(12), 2169–2187. </w:t>
      </w:r>
      <w:hyperlink r:id="rId2036" w:history="1">
        <w:r w:rsidRPr="00600FC7">
          <w:rPr>
            <w:rFonts w:ascii="Times New Roman" w:eastAsia="Times New Roman" w:hAnsi="Times New Roman" w:cs="Times New Roman"/>
            <w:color w:val="0000FF"/>
            <w:sz w:val="24"/>
            <w:szCs w:val="24"/>
            <w:u w:val="single"/>
          </w:rPr>
          <w:t>https://doi.org/10.1016/j.addbeh.2006.02.019</w:t>
        </w:r>
      </w:hyperlink>
    </w:p>
    <w:p w14:paraId="283C2C3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Roth, R. M., &amp; Parrott, D. J. (2006). The mediating role of executive functioning in the relation between difficult temperament and physical aggression. </w:t>
      </w:r>
      <w:r w:rsidRPr="00600FC7">
        <w:rPr>
          <w:rFonts w:ascii="Times New Roman" w:eastAsia="Times New Roman" w:hAnsi="Times New Roman" w:cs="Times New Roman"/>
          <w:i/>
          <w:iCs/>
          <w:sz w:val="24"/>
          <w:szCs w:val="24"/>
        </w:rPr>
        <w:t>Journal of Psychopathology and Behavioral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28</w:t>
      </w:r>
      <w:r w:rsidRPr="00600FC7">
        <w:rPr>
          <w:rFonts w:ascii="Times New Roman" w:eastAsia="Times New Roman" w:hAnsi="Times New Roman" w:cs="Times New Roman"/>
          <w:sz w:val="24"/>
          <w:szCs w:val="24"/>
        </w:rPr>
        <w:t xml:space="preserve">(4), 211–221. </w:t>
      </w:r>
      <w:hyperlink r:id="rId2037" w:history="1">
        <w:r w:rsidRPr="00600FC7">
          <w:rPr>
            <w:rFonts w:ascii="Times New Roman" w:eastAsia="Times New Roman" w:hAnsi="Times New Roman" w:cs="Times New Roman"/>
            <w:color w:val="0000FF"/>
            <w:sz w:val="24"/>
            <w:szCs w:val="24"/>
            <w:u w:val="single"/>
          </w:rPr>
          <w:t>https://doi.org/10.1007/s10862-005-9015-4</w:t>
        </w:r>
      </w:hyperlink>
    </w:p>
    <w:p w14:paraId="27799A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Giancola, P. R., Zeichner, A., Yarnell, J. E., &amp; Dickson, K. E. (1996). Relation between executive cognitive functioning and the adverse consequences of alcohol use in social </w:t>
      </w:r>
      <w:r w:rsidRPr="00600FC7">
        <w:rPr>
          <w:rFonts w:ascii="Times New Roman" w:eastAsia="Times New Roman" w:hAnsi="Times New Roman" w:cs="Times New Roman"/>
          <w:sz w:val="24"/>
          <w:szCs w:val="24"/>
        </w:rPr>
        <w:lastRenderedPageBreak/>
        <w:t xml:space="preserve">drinkers. </w:t>
      </w:r>
      <w:r w:rsidRPr="00600FC7">
        <w:rPr>
          <w:rFonts w:ascii="Times New Roman" w:eastAsia="Times New Roman" w:hAnsi="Times New Roman" w:cs="Times New Roman"/>
          <w:i/>
          <w:iCs/>
          <w:sz w:val="24"/>
          <w:szCs w:val="24"/>
        </w:rPr>
        <w:t>Alcoholism: Clinical and Experimental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(6), 1094–1098. </w:t>
      </w:r>
      <w:hyperlink r:id="rId2038" w:history="1">
        <w:r w:rsidRPr="00600FC7">
          <w:rPr>
            <w:rFonts w:ascii="Times New Roman" w:eastAsia="Times New Roman" w:hAnsi="Times New Roman" w:cs="Times New Roman"/>
            <w:color w:val="0000FF"/>
            <w:sz w:val="24"/>
            <w:szCs w:val="24"/>
            <w:u w:val="single"/>
          </w:rPr>
          <w:t>https://doi.org/10.1111/j.1530-0277.1996.tb01952.x</w:t>
        </w:r>
      </w:hyperlink>
    </w:p>
    <w:p w14:paraId="7F38E7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Giannakopoulos, P., Montandon, M.-L., Rodriguez, C., Haller, S., Garibotto, V., &amp; Herrmann, F. R. (2021). Prediction of subtle cognitive decline in normal aging: Added value of quantitative MRI and PET imaging. </w:t>
      </w:r>
      <w:r w:rsidRPr="00600FC7">
        <w:rPr>
          <w:rFonts w:ascii="Times New Roman" w:eastAsia="Times New Roman" w:hAnsi="Times New Roman" w:cs="Times New Roman"/>
          <w:i/>
          <w:iCs/>
          <w:sz w:val="24"/>
          <w:szCs w:val="24"/>
        </w:rPr>
        <w:t>Frontiers in Aging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 </w:t>
      </w:r>
      <w:hyperlink r:id="rId2039" w:history="1">
        <w:r w:rsidRPr="00600FC7">
          <w:rPr>
            <w:rFonts w:ascii="Times New Roman" w:eastAsia="Times New Roman" w:hAnsi="Times New Roman" w:cs="Times New Roman"/>
            <w:color w:val="0000FF"/>
            <w:sz w:val="24"/>
            <w:szCs w:val="24"/>
            <w:u w:val="single"/>
          </w:rPr>
          <w:t>https://doi.org/10.3389/fnagi.2021.664224</w:t>
        </w:r>
      </w:hyperlink>
    </w:p>
    <w:p w14:paraId="4520EF9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Giannini, G., Francois, M., Lhommée, E., Polosan, M., Schmitt, E., Fraix, V., Castrioto, A., Ardouin, C., Bichon, A., Pollak, P., Benabid, A.-L., Seigneuret, E., Chabardes, S., Wack, M., Krack, P., &amp; Moro, E. (2019). Suicide and suicide attempts after subthalamic nucleus stimulation in Parkinson disease.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93</w:t>
      </w:r>
      <w:r w:rsidRPr="00600FC7">
        <w:rPr>
          <w:rFonts w:ascii="Times New Roman" w:eastAsia="Times New Roman" w:hAnsi="Times New Roman" w:cs="Times New Roman"/>
          <w:sz w:val="24"/>
          <w:szCs w:val="24"/>
        </w:rPr>
        <w:t xml:space="preserve">(1), e97–e105. </w:t>
      </w:r>
      <w:hyperlink r:id="rId2040" w:history="1">
        <w:r w:rsidRPr="00600FC7">
          <w:rPr>
            <w:rFonts w:ascii="Times New Roman" w:eastAsia="Times New Roman" w:hAnsi="Times New Roman" w:cs="Times New Roman"/>
            <w:color w:val="0000FF"/>
            <w:sz w:val="24"/>
            <w:szCs w:val="24"/>
            <w:u w:val="single"/>
          </w:rPr>
          <w:t>https://doi.org/10.1212/WNL.0000000000007665</w:t>
        </w:r>
      </w:hyperlink>
    </w:p>
    <w:p w14:paraId="1B958C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Giannunzio, V., Degortes, D., Tenconi, E., Collantoni, E., Solmi, M., Santonastaso, P., &amp; Favaro, A. (2018). Decision‐making impairment in anorexia nervosa: New insights into the role of age and decision‐making style. </w:t>
      </w:r>
      <w:r w:rsidRPr="00600FC7">
        <w:rPr>
          <w:rFonts w:ascii="Times New Roman" w:eastAsia="Times New Roman" w:hAnsi="Times New Roman" w:cs="Times New Roman"/>
          <w:i/>
          <w:iCs/>
          <w:sz w:val="24"/>
          <w:szCs w:val="24"/>
        </w:rPr>
        <w:t>European Eating Disorders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(4), 302–314. </w:t>
      </w:r>
      <w:hyperlink r:id="rId2041" w:history="1">
        <w:r w:rsidRPr="00600FC7">
          <w:rPr>
            <w:rFonts w:ascii="Times New Roman" w:eastAsia="Times New Roman" w:hAnsi="Times New Roman" w:cs="Times New Roman"/>
            <w:color w:val="0000FF"/>
            <w:sz w:val="24"/>
            <w:szCs w:val="24"/>
            <w:u w:val="single"/>
          </w:rPr>
          <w:t>https://doi.org/10.1002/erv.2595</w:t>
        </w:r>
      </w:hyperlink>
    </w:p>
    <w:p w14:paraId="5333D17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Gibbons, Z. C., Snowden, J. S., Thompson, J. C., Happé, F., Richardson, A., &amp; Neary, D. (2007). Inferring thought and action in motor neurone disease.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(6), 1196–1207. </w:t>
      </w:r>
      <w:hyperlink r:id="rId2042" w:history="1">
        <w:r w:rsidRPr="00600FC7">
          <w:rPr>
            <w:rFonts w:ascii="Times New Roman" w:eastAsia="Times New Roman" w:hAnsi="Times New Roman" w:cs="Times New Roman"/>
            <w:color w:val="0000FF"/>
            <w:sz w:val="24"/>
            <w:szCs w:val="24"/>
            <w:u w:val="single"/>
          </w:rPr>
          <w:t>https://doi.org/10.1016/j.neuropsychologia.2006.10.008</w:t>
        </w:r>
      </w:hyperlink>
    </w:p>
    <w:p w14:paraId="05F6BE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Giel, K. E., Wittorf, A., Wolkenstein, L., Klingberg, S., Drimmer, E., Schönenberg, M., Rapp, A. M., Fallgatter, A. J., Hautzinger, M., &amp; Zipfel, S. (2012). Is impaired set-shifting a feature of “pure” anorexia nervosa? Investigating the role of depression in set-shifting ability in anorexia nervosa and unipolar depression.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200</w:t>
      </w:r>
      <w:r w:rsidRPr="00600FC7">
        <w:rPr>
          <w:rFonts w:ascii="Times New Roman" w:eastAsia="Times New Roman" w:hAnsi="Times New Roman" w:cs="Times New Roman"/>
          <w:sz w:val="24"/>
          <w:szCs w:val="24"/>
        </w:rPr>
        <w:t xml:space="preserve">(2–3), 538–543. </w:t>
      </w:r>
      <w:hyperlink r:id="rId2043" w:history="1">
        <w:r w:rsidRPr="00600FC7">
          <w:rPr>
            <w:rFonts w:ascii="Times New Roman" w:eastAsia="Times New Roman" w:hAnsi="Times New Roman" w:cs="Times New Roman"/>
            <w:color w:val="0000FF"/>
            <w:sz w:val="24"/>
            <w:szCs w:val="24"/>
            <w:u w:val="single"/>
          </w:rPr>
          <w:t>https://doi.org/10.1016/j.psychres.2012.06.004</w:t>
        </w:r>
      </w:hyperlink>
    </w:p>
    <w:p w14:paraId="65FFEE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Gigi, A., Vakil, E., Kahana, E., &amp; Hadar, U. (2005). Presymptomatic Signs in Healthy CJD Mutation Carriers. </w:t>
      </w:r>
      <w:r w:rsidRPr="00600FC7">
        <w:rPr>
          <w:rFonts w:ascii="Times New Roman" w:eastAsia="Times New Roman" w:hAnsi="Times New Roman" w:cs="Times New Roman"/>
          <w:i/>
          <w:iCs/>
          <w:sz w:val="24"/>
          <w:szCs w:val="24"/>
        </w:rPr>
        <w:t>Dementia and Geriatric Cognitive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(5–6), 246–255. </w:t>
      </w:r>
      <w:hyperlink r:id="rId2044" w:history="1">
        <w:r w:rsidRPr="00600FC7">
          <w:rPr>
            <w:rFonts w:ascii="Times New Roman" w:eastAsia="Times New Roman" w:hAnsi="Times New Roman" w:cs="Times New Roman"/>
            <w:color w:val="0000FF"/>
            <w:sz w:val="24"/>
            <w:szCs w:val="24"/>
            <w:u w:val="single"/>
          </w:rPr>
          <w:t>https://doi.org/10.1159/000084549</w:t>
        </w:r>
      </w:hyperlink>
    </w:p>
    <w:p w14:paraId="26637F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Gigler, K. L., Blomeke, K., Shatil, E., Weintraub, S., &amp; Reber, P. J. (2013). Preliminary evidence for the feasibility of at-home online cognitive training with older adults. </w:t>
      </w:r>
      <w:r w:rsidRPr="00600FC7">
        <w:rPr>
          <w:rFonts w:ascii="Times New Roman" w:eastAsia="Times New Roman" w:hAnsi="Times New Roman" w:cs="Times New Roman"/>
          <w:i/>
          <w:iCs/>
          <w:sz w:val="24"/>
          <w:szCs w:val="24"/>
        </w:rPr>
        <w:t>Gerontechnology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(1), 26–35. </w:t>
      </w:r>
      <w:hyperlink r:id="rId2045" w:history="1">
        <w:r w:rsidRPr="00600FC7">
          <w:rPr>
            <w:rFonts w:ascii="Times New Roman" w:eastAsia="Times New Roman" w:hAnsi="Times New Roman" w:cs="Times New Roman"/>
            <w:color w:val="0000FF"/>
            <w:sz w:val="24"/>
            <w:szCs w:val="24"/>
            <w:u w:val="single"/>
          </w:rPr>
          <w:t>https://doi.org/10.4017/gt.2013.12.1.007.00</w:t>
        </w:r>
      </w:hyperlink>
    </w:p>
    <w:p w14:paraId="5231E0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Giglio, L. M., Magalhães, P. V. S., Kapczinski, N. S., Walz, J. C., &amp; Kapczinski, F. (2010). Functional impact of biological rhythm disturbance in bipolar disorder.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(4), 220–223. </w:t>
      </w:r>
      <w:hyperlink r:id="rId2046" w:history="1">
        <w:r w:rsidRPr="00600FC7">
          <w:rPr>
            <w:rFonts w:ascii="Times New Roman" w:eastAsia="Times New Roman" w:hAnsi="Times New Roman" w:cs="Times New Roman"/>
            <w:color w:val="0000FF"/>
            <w:sz w:val="24"/>
            <w:szCs w:val="24"/>
            <w:u w:val="single"/>
          </w:rPr>
          <w:t>https://doi.org/10.1016/j.jpsychires.2009.08.003</w:t>
        </w:r>
      </w:hyperlink>
    </w:p>
    <w:p w14:paraId="5E90CF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Giglioli, I. A. C., Ripoll, C. de J., Parra, E., &amp; Raya, M. A. (2018). EXPANSE: A novel narrative serious game for the behavioral assessment of cognitive abilities.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(11).</w:t>
      </w:r>
    </w:p>
    <w:p w14:paraId="7470A0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Gilbert, A. M., Garno, J. L., Braga, R. J., Shaya, Y., Goldberg, T. E., Malhotra, A. K., &amp; Burdick, K. E. (2011). Clinical and cognitive correlates of suicide attempts in bipolar disorder: Is suicide predictable? </w:t>
      </w:r>
      <w:r w:rsidRPr="00600FC7">
        <w:rPr>
          <w:rFonts w:ascii="Times New Roman" w:eastAsia="Times New Roman" w:hAnsi="Times New Roman" w:cs="Times New Roman"/>
          <w:i/>
          <w:iCs/>
          <w:sz w:val="24"/>
          <w:szCs w:val="24"/>
        </w:rPr>
        <w:t>The Journal of Clinical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(8), 1027–1033. </w:t>
      </w:r>
      <w:hyperlink r:id="rId2047" w:history="1">
        <w:r w:rsidRPr="00600FC7">
          <w:rPr>
            <w:rFonts w:ascii="Times New Roman" w:eastAsia="Times New Roman" w:hAnsi="Times New Roman" w:cs="Times New Roman"/>
            <w:color w:val="0000FF"/>
            <w:sz w:val="24"/>
            <w:szCs w:val="24"/>
            <w:u w:val="single"/>
          </w:rPr>
          <w:t>https://doi.org/10.4088/JCP.10m06410</w:t>
        </w:r>
      </w:hyperlink>
    </w:p>
    <w:p w14:paraId="1FB89D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Gilbert, E., Mérette, C., Jomphe, V., Émond, C., Rouleau, N., Bouchard, R.-H., Roy, M.-A., Paccalet, T., &amp; Maziade, M. (2014). Cluster analysis of cognitive deficits may mark heterogeneity in schizophrenia in terms of outcome and response to treatment.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264</w:t>
      </w:r>
      <w:r w:rsidRPr="00600FC7">
        <w:rPr>
          <w:rFonts w:ascii="Times New Roman" w:eastAsia="Times New Roman" w:hAnsi="Times New Roman" w:cs="Times New Roman"/>
          <w:sz w:val="24"/>
          <w:szCs w:val="24"/>
        </w:rPr>
        <w:t xml:space="preserve">(4), 333–343. </w:t>
      </w:r>
      <w:hyperlink r:id="rId2048" w:history="1">
        <w:r w:rsidRPr="00600FC7">
          <w:rPr>
            <w:rFonts w:ascii="Times New Roman" w:eastAsia="Times New Roman" w:hAnsi="Times New Roman" w:cs="Times New Roman"/>
            <w:color w:val="0000FF"/>
            <w:sz w:val="24"/>
            <w:szCs w:val="24"/>
            <w:u w:val="single"/>
          </w:rPr>
          <w:t>https://doi.org/10.1007/s00406-013-0463-7</w:t>
        </w:r>
      </w:hyperlink>
    </w:p>
    <w:p w14:paraId="08882A1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Gilbertson, M. W., Paulus, L. A., Williston, S. K., Gurvits, T. V., Lasko, N. B., Pitman, R. K., &amp; Orr, S. P. (2006). Neurocognitive function in monozygotic twins discordant for combat </w:t>
      </w:r>
      <w:r w:rsidRPr="00600FC7">
        <w:rPr>
          <w:rFonts w:ascii="Times New Roman" w:eastAsia="Times New Roman" w:hAnsi="Times New Roman" w:cs="Times New Roman"/>
          <w:sz w:val="24"/>
          <w:szCs w:val="24"/>
        </w:rPr>
        <w:lastRenderedPageBreak/>
        <w:t xml:space="preserve">exposure: Relationship to posttraumatic stress disorder. </w:t>
      </w:r>
      <w:r w:rsidRPr="00600FC7">
        <w:rPr>
          <w:rFonts w:ascii="Times New Roman" w:eastAsia="Times New Roman" w:hAnsi="Times New Roman" w:cs="Times New Roman"/>
          <w:i/>
          <w:iCs/>
          <w:sz w:val="24"/>
          <w:szCs w:val="24"/>
        </w:rPr>
        <w:t>Journal of Abnormal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115</w:t>
      </w:r>
      <w:r w:rsidRPr="00600FC7">
        <w:rPr>
          <w:rFonts w:ascii="Times New Roman" w:eastAsia="Times New Roman" w:hAnsi="Times New Roman" w:cs="Times New Roman"/>
          <w:sz w:val="24"/>
          <w:szCs w:val="24"/>
        </w:rPr>
        <w:t xml:space="preserve">(3), 484–495. </w:t>
      </w:r>
      <w:hyperlink r:id="rId2049" w:history="1">
        <w:r w:rsidRPr="00600FC7">
          <w:rPr>
            <w:rFonts w:ascii="Times New Roman" w:eastAsia="Times New Roman" w:hAnsi="Times New Roman" w:cs="Times New Roman"/>
            <w:color w:val="0000FF"/>
            <w:sz w:val="24"/>
            <w:szCs w:val="24"/>
            <w:u w:val="single"/>
          </w:rPr>
          <w:t>https://doi.org/10.1037/0021-843X.115.3.484</w:t>
        </w:r>
      </w:hyperlink>
    </w:p>
    <w:p w14:paraId="6AC454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Gilboa, A., Alain, C., He, Y., Stuss, D. T., &amp; Moscovitch, M. (2009). Ventromedial prefrontal cortex lesions produce early functional alterations during remote memory retrieval. </w:t>
      </w:r>
      <w:r w:rsidRPr="00600FC7">
        <w:rPr>
          <w:rFonts w:ascii="Times New Roman" w:eastAsia="Times New Roman" w:hAnsi="Times New Roman" w:cs="Times New Roman"/>
          <w:i/>
          <w:iCs/>
          <w:sz w:val="24"/>
          <w:szCs w:val="24"/>
        </w:rPr>
        <w:t>The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(15), 4871–4881. </w:t>
      </w:r>
      <w:hyperlink r:id="rId2050" w:history="1">
        <w:r w:rsidRPr="00600FC7">
          <w:rPr>
            <w:rFonts w:ascii="Times New Roman" w:eastAsia="Times New Roman" w:hAnsi="Times New Roman" w:cs="Times New Roman"/>
            <w:color w:val="0000FF"/>
            <w:sz w:val="24"/>
            <w:szCs w:val="24"/>
            <w:u w:val="single"/>
          </w:rPr>
          <w:t>https://doi.org/10.1523/JNEUROSCI.5210-08.2009</w:t>
        </w:r>
      </w:hyperlink>
    </w:p>
    <w:p w14:paraId="08F72E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Gilboa, A., Alain, C., Stuss, D. T., Melo, B., Miller, S., &amp; Moscovitch, M. (2006). Mechanisms of spontaneous confabulations: A strategic retrieval account.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129</w:t>
      </w:r>
      <w:r w:rsidRPr="00600FC7">
        <w:rPr>
          <w:rFonts w:ascii="Times New Roman" w:eastAsia="Times New Roman" w:hAnsi="Times New Roman" w:cs="Times New Roman"/>
          <w:sz w:val="24"/>
          <w:szCs w:val="24"/>
        </w:rPr>
        <w:t xml:space="preserve">(6), 1399–1414. </w:t>
      </w:r>
      <w:hyperlink r:id="rId2051" w:history="1">
        <w:r w:rsidRPr="00600FC7">
          <w:rPr>
            <w:rFonts w:ascii="Times New Roman" w:eastAsia="Times New Roman" w:hAnsi="Times New Roman" w:cs="Times New Roman"/>
            <w:color w:val="0000FF"/>
            <w:sz w:val="24"/>
            <w:szCs w:val="24"/>
            <w:u w:val="single"/>
          </w:rPr>
          <w:t>https://doi.org/10.1093/brain/awl093</w:t>
        </w:r>
      </w:hyperlink>
    </w:p>
    <w:p w14:paraId="0DD2A8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Gilboa, A., Ramirez, J., Köhler, S., Westmacott, R., Black, S. E., &amp; Moscovitch, M. (2005). Retrieval of Autobiographical Memory in Alzheimer’s Disease: Relation to Volumes of Medial Temporal Lobe and Other Structures. </w:t>
      </w:r>
      <w:r w:rsidRPr="00600FC7">
        <w:rPr>
          <w:rFonts w:ascii="Times New Roman" w:eastAsia="Times New Roman" w:hAnsi="Times New Roman" w:cs="Times New Roman"/>
          <w:i/>
          <w:iCs/>
          <w:sz w:val="24"/>
          <w:szCs w:val="24"/>
        </w:rPr>
        <w:t>Hippocampus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535–550. </w:t>
      </w:r>
      <w:hyperlink r:id="rId2052" w:history="1">
        <w:r w:rsidRPr="00600FC7">
          <w:rPr>
            <w:rFonts w:ascii="Times New Roman" w:eastAsia="Times New Roman" w:hAnsi="Times New Roman" w:cs="Times New Roman"/>
            <w:color w:val="0000FF"/>
            <w:sz w:val="24"/>
            <w:szCs w:val="24"/>
            <w:u w:val="single"/>
          </w:rPr>
          <w:t>https://doi.org/10.1002/hipo.20090</w:t>
        </w:r>
      </w:hyperlink>
    </w:p>
    <w:p w14:paraId="65917B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Gildengers, A. G., Butters, M. A., Chisholm, D., Rogers, J. C., Holm, M. B., Bhalla, R. K., Seligman, K., Dew, M. A., Reynolds III, C. F., Kupfer, D. J., &amp; Mulsant, B. H. (2007). Cognitive Functioning and Instrumental Activities of Daily Living in Late-Life Bipolar Disorder.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(2), 174–179. </w:t>
      </w:r>
      <w:hyperlink r:id="rId2053" w:history="1">
        <w:r w:rsidRPr="00600FC7">
          <w:rPr>
            <w:rFonts w:ascii="Times New Roman" w:eastAsia="Times New Roman" w:hAnsi="Times New Roman" w:cs="Times New Roman"/>
            <w:color w:val="0000FF"/>
            <w:sz w:val="24"/>
            <w:szCs w:val="24"/>
            <w:u w:val="single"/>
          </w:rPr>
          <w:t>https://doi.org/10.1097/JGP.0b013e31802dd367</w:t>
        </w:r>
      </w:hyperlink>
    </w:p>
    <w:p w14:paraId="194E2C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Gildengers, A. G., Chisholm, D., Butters, M. A., Anderson, S. J., Begley, A., Holm, M., Rogers, J. C., Reynolds III, C. F., &amp; Mulsant, B. H. (2013). Two-year course of cognitive function and instrumental activities of daily living in older adults with bipolar disorder: Evidence for neuroprogression?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(4), 801–811. </w:t>
      </w:r>
      <w:hyperlink r:id="rId2054" w:history="1">
        <w:r w:rsidRPr="00600FC7">
          <w:rPr>
            <w:rFonts w:ascii="Times New Roman" w:eastAsia="Times New Roman" w:hAnsi="Times New Roman" w:cs="Times New Roman"/>
            <w:color w:val="0000FF"/>
            <w:sz w:val="24"/>
            <w:szCs w:val="24"/>
            <w:u w:val="single"/>
          </w:rPr>
          <w:t>https://doi.org/10.1017/S0033291712001614</w:t>
        </w:r>
      </w:hyperlink>
    </w:p>
    <w:p w14:paraId="67127A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Giles, G. M. (2011). A neurofunctional approach to rehabilitation after brain injury. </w:t>
      </w:r>
      <w:r w:rsidRPr="00600FC7">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600FC7">
        <w:rPr>
          <w:rFonts w:ascii="Times New Roman" w:eastAsia="Times New Roman" w:hAnsi="Times New Roman" w:cs="Times New Roman"/>
          <w:sz w:val="24"/>
          <w:szCs w:val="24"/>
        </w:rPr>
        <w:t>, 351–381.</w:t>
      </w:r>
    </w:p>
    <w:p w14:paraId="4AF13B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 D. J., &amp; Damann, K. M. (2015). Language dysfunction. </w:t>
      </w:r>
      <w:r w:rsidRPr="00600FC7">
        <w:rPr>
          <w:rFonts w:ascii="Times New Roman" w:eastAsia="Times New Roman" w:hAnsi="Times New Roman" w:cs="Times New Roman"/>
          <w:i/>
          <w:iCs/>
          <w:sz w:val="24"/>
          <w:szCs w:val="24"/>
        </w:rPr>
        <w:t>CONTINUUM: Lifelong Learning in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(3), 627–645.</w:t>
      </w:r>
    </w:p>
    <w:p w14:paraId="23963B9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Gillan, C. M., Kalanthroff, E., Evans, M., Weingarden, H. M., Jacoby, R. J., Gershkovich, M., Snorrason, I., Campeas, R., Cervoni, C., Crimarco, N. C., Sokol, Y., Garnaat, S. L., McLaughlin, N. C. R., Phelps, E. A., Pinto, A., Boisseau, C. L., Wilhelm, S., Daw, N. D., &amp; Simpson, H. B. (2020). Comparison of the association between goal-directed planning and self-reported compulsivity vs obsessive-compulsive disorder diagnosis. </w:t>
      </w:r>
      <w:r w:rsidRPr="00600FC7">
        <w:rPr>
          <w:rFonts w:ascii="Times New Roman" w:eastAsia="Times New Roman" w:hAnsi="Times New Roman" w:cs="Times New Roman"/>
          <w:i/>
          <w:iCs/>
          <w:sz w:val="24"/>
          <w:szCs w:val="24"/>
        </w:rPr>
        <w:t>JAMA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77</w:t>
      </w:r>
      <w:r w:rsidRPr="00600FC7">
        <w:rPr>
          <w:rFonts w:ascii="Times New Roman" w:eastAsia="Times New Roman" w:hAnsi="Times New Roman" w:cs="Times New Roman"/>
          <w:sz w:val="24"/>
          <w:szCs w:val="24"/>
        </w:rPr>
        <w:t>(1), 77–85.</w:t>
      </w:r>
    </w:p>
    <w:p w14:paraId="5577CC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Gillberg, I. C., Råstam, M., Wentz, E., &amp; Gillberg, C. (2007). Cognitive and executive functions in anorexia nervosa ten years after onset of eating disorder.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(2), 170–178. </w:t>
      </w:r>
      <w:hyperlink r:id="rId2055" w:history="1">
        <w:r w:rsidRPr="00600FC7">
          <w:rPr>
            <w:rFonts w:ascii="Times New Roman" w:eastAsia="Times New Roman" w:hAnsi="Times New Roman" w:cs="Times New Roman"/>
            <w:color w:val="0000FF"/>
            <w:sz w:val="24"/>
            <w:szCs w:val="24"/>
            <w:u w:val="single"/>
          </w:rPr>
          <w:t>https://doi.org/10.1080/13803390600584632</w:t>
        </w:r>
      </w:hyperlink>
    </w:p>
    <w:p w14:paraId="6FDC90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Gillies, M. J., Hyam, J. A., Weiss, A. R., Antoniades, C. A., Bogacz, R., Fitzgerald, J. J., Aziz, T. Z., Whittington, M. A., &amp; Green, A. L. (2017). The cognitive role of the globus pallidus interna; insights from disease states. </w:t>
      </w:r>
      <w:r w:rsidRPr="00600FC7">
        <w:rPr>
          <w:rFonts w:ascii="Times New Roman" w:eastAsia="Times New Roman" w:hAnsi="Times New Roman" w:cs="Times New Roman"/>
          <w:i/>
          <w:iCs/>
          <w:sz w:val="24"/>
          <w:szCs w:val="24"/>
        </w:rPr>
        <w:t>Experimental 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235</w:t>
      </w:r>
      <w:r w:rsidRPr="00600FC7">
        <w:rPr>
          <w:rFonts w:ascii="Times New Roman" w:eastAsia="Times New Roman" w:hAnsi="Times New Roman" w:cs="Times New Roman"/>
          <w:sz w:val="24"/>
          <w:szCs w:val="24"/>
        </w:rPr>
        <w:t xml:space="preserve">(5), 1455–1465. </w:t>
      </w:r>
      <w:hyperlink r:id="rId2056" w:history="1">
        <w:r w:rsidRPr="00600FC7">
          <w:rPr>
            <w:rFonts w:ascii="Times New Roman" w:eastAsia="Times New Roman" w:hAnsi="Times New Roman" w:cs="Times New Roman"/>
            <w:color w:val="0000FF"/>
            <w:sz w:val="24"/>
            <w:szCs w:val="24"/>
            <w:u w:val="single"/>
          </w:rPr>
          <w:t>https://doi.org/10.1007/s00221-017-4905-8</w:t>
        </w:r>
      </w:hyperlink>
    </w:p>
    <w:p w14:paraId="7B99AC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Gilligan, D. G., &amp; Lennings, C. J. (2010). Psychopathic and neuropathic pathways to homicide: Examination of Harris and Rice’s two-path model of criminal violence in homicide. </w:t>
      </w:r>
      <w:r w:rsidRPr="00600FC7">
        <w:rPr>
          <w:rFonts w:ascii="Times New Roman" w:eastAsia="Times New Roman" w:hAnsi="Times New Roman" w:cs="Times New Roman"/>
          <w:i/>
          <w:iCs/>
          <w:sz w:val="24"/>
          <w:szCs w:val="24"/>
        </w:rPr>
        <w:t>Psychiatry, Psychology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148–168. </w:t>
      </w:r>
      <w:hyperlink r:id="rId2057" w:history="1">
        <w:r w:rsidRPr="00600FC7">
          <w:rPr>
            <w:rFonts w:ascii="Times New Roman" w:eastAsia="Times New Roman" w:hAnsi="Times New Roman" w:cs="Times New Roman"/>
            <w:color w:val="0000FF"/>
            <w:sz w:val="24"/>
            <w:szCs w:val="24"/>
            <w:u w:val="single"/>
          </w:rPr>
          <w:t>https://doi.org/10.1080/13218710903427875</w:t>
        </w:r>
      </w:hyperlink>
    </w:p>
    <w:p w14:paraId="5178973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Gilligan, D. G., &amp; Lennings, C. J. (2013). Approach–avoidance goals and active–passive self-regulation styles in homicide offending: A pathways analysis. </w:t>
      </w:r>
      <w:r w:rsidRPr="00600FC7">
        <w:rPr>
          <w:rFonts w:ascii="Times New Roman" w:eastAsia="Times New Roman" w:hAnsi="Times New Roman" w:cs="Times New Roman"/>
          <w:i/>
          <w:iCs/>
          <w:sz w:val="24"/>
          <w:szCs w:val="24"/>
        </w:rPr>
        <w:t>Psychiatry, Psychology and Law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590–607. </w:t>
      </w:r>
      <w:hyperlink r:id="rId2058" w:history="1">
        <w:r w:rsidRPr="00600FC7">
          <w:rPr>
            <w:rFonts w:ascii="Times New Roman" w:eastAsia="Times New Roman" w:hAnsi="Times New Roman" w:cs="Times New Roman"/>
            <w:color w:val="0000FF"/>
            <w:sz w:val="24"/>
            <w:szCs w:val="24"/>
            <w:u w:val="single"/>
          </w:rPr>
          <w:t>https://doi.org/10.1080/13218719.2012.727074</w:t>
        </w:r>
      </w:hyperlink>
    </w:p>
    <w:p w14:paraId="1A4D9C5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Gillis, M. M., Quinn, K. M., Phillips, P. A. T., &amp; Hampstead, B. M. (2013). Impaired retention is responsible for temporal order memory deficits in mild cognitive impairment. </w:t>
      </w:r>
      <w:r w:rsidRPr="00600FC7">
        <w:rPr>
          <w:rFonts w:ascii="Times New Roman" w:eastAsia="Times New Roman" w:hAnsi="Times New Roman" w:cs="Times New Roman"/>
          <w:i/>
          <w:iCs/>
          <w:sz w:val="24"/>
          <w:szCs w:val="24"/>
        </w:rPr>
        <w:t>Acta Psychologica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143</w:t>
      </w:r>
      <w:r w:rsidRPr="00600FC7">
        <w:rPr>
          <w:rFonts w:ascii="Times New Roman" w:eastAsia="Times New Roman" w:hAnsi="Times New Roman" w:cs="Times New Roman"/>
          <w:sz w:val="24"/>
          <w:szCs w:val="24"/>
        </w:rPr>
        <w:t xml:space="preserve">(1), 88–95. </w:t>
      </w:r>
      <w:hyperlink r:id="rId2059" w:history="1">
        <w:r w:rsidRPr="00600FC7">
          <w:rPr>
            <w:rFonts w:ascii="Times New Roman" w:eastAsia="Times New Roman" w:hAnsi="Times New Roman" w:cs="Times New Roman"/>
            <w:color w:val="0000FF"/>
            <w:sz w:val="24"/>
            <w:szCs w:val="24"/>
            <w:u w:val="single"/>
          </w:rPr>
          <w:t>https://doi.org/10.1016/j.actpsy.2013.03.001</w:t>
        </w:r>
      </w:hyperlink>
    </w:p>
    <w:p w14:paraId="2E7409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Gindri, G., Zibetti, M. R., &amp; Fonseca, R. P. (2008). Funções executivas pós-lesão de hemisfério direito: Estudo comparativo e freqüência de déficits. [Executive function in post-right brain damage: Comparative study and deficits frequency.]. </w:t>
      </w:r>
      <w:r w:rsidRPr="00600FC7">
        <w:rPr>
          <w:rFonts w:ascii="Times New Roman" w:eastAsia="Times New Roman" w:hAnsi="Times New Roman" w:cs="Times New Roman"/>
          <w:i/>
          <w:iCs/>
          <w:sz w:val="24"/>
          <w:szCs w:val="24"/>
        </w:rPr>
        <w:t>PSICO</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(3), 282–291.</w:t>
      </w:r>
    </w:p>
    <w:p w14:paraId="3491E7E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Gioia, D. (2006). A Contextual Study of Daily Living Strategies in Neurocognitively Impaired Adults With Schizophrenia. </w:t>
      </w:r>
      <w:r w:rsidRPr="00600FC7">
        <w:rPr>
          <w:rFonts w:ascii="Times New Roman" w:eastAsia="Times New Roman" w:hAnsi="Times New Roman" w:cs="Times New Roman"/>
          <w:i/>
          <w:iCs/>
          <w:sz w:val="24"/>
          <w:szCs w:val="24"/>
        </w:rPr>
        <w:t>Qualitative Health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(9), 1217–1235. </w:t>
      </w:r>
      <w:hyperlink r:id="rId2060" w:history="1">
        <w:r w:rsidRPr="00600FC7">
          <w:rPr>
            <w:rFonts w:ascii="Times New Roman" w:eastAsia="Times New Roman" w:hAnsi="Times New Roman" w:cs="Times New Roman"/>
            <w:color w:val="0000FF"/>
            <w:sz w:val="24"/>
            <w:szCs w:val="24"/>
            <w:u w:val="single"/>
          </w:rPr>
          <w:t>https://doi.org/10.1177/1049732306294009</w:t>
        </w:r>
      </w:hyperlink>
    </w:p>
    <w:p w14:paraId="5C7B7F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Gioia, D., &amp; Brekke, J. S. (2009). Neurocognition, ecological validity, and daily living in the community for individuals with schizophrenia: A mixed methods study. </w:t>
      </w:r>
      <w:r w:rsidRPr="00600FC7">
        <w:rPr>
          <w:rFonts w:ascii="Times New Roman" w:eastAsia="Times New Roman" w:hAnsi="Times New Roman" w:cs="Times New Roman"/>
          <w:i/>
          <w:iCs/>
          <w:sz w:val="24"/>
          <w:szCs w:val="24"/>
        </w:rPr>
        <w:t>Psychiatry: Interpersonal and Biological Processes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(1), 94–107. </w:t>
      </w:r>
      <w:hyperlink r:id="rId2061" w:history="1">
        <w:r w:rsidRPr="00600FC7">
          <w:rPr>
            <w:rFonts w:ascii="Times New Roman" w:eastAsia="Times New Roman" w:hAnsi="Times New Roman" w:cs="Times New Roman"/>
            <w:color w:val="0000FF"/>
            <w:sz w:val="24"/>
            <w:szCs w:val="24"/>
            <w:u w:val="single"/>
          </w:rPr>
          <w:t>https://doi.org/10.1521/psyc.2009.72.1.94</w:t>
        </w:r>
      </w:hyperlink>
    </w:p>
    <w:p w14:paraId="08DF32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Giombini, L., Moynihan, J., Turco, M., &amp; Nesbitt, S. (2017). Evaluation of individual cognitive remediation therapy (CRT) for the treatment of young people with anorexia nervosa. </w:t>
      </w:r>
      <w:r w:rsidRPr="00600FC7">
        <w:rPr>
          <w:rFonts w:ascii="Times New Roman" w:eastAsia="Times New Roman" w:hAnsi="Times New Roman" w:cs="Times New Roman"/>
          <w:i/>
          <w:iCs/>
          <w:sz w:val="24"/>
          <w:szCs w:val="24"/>
        </w:rPr>
        <w:t>Eating and Weight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(4), 667–673. </w:t>
      </w:r>
      <w:hyperlink r:id="rId2062" w:history="1">
        <w:r w:rsidRPr="00600FC7">
          <w:rPr>
            <w:rFonts w:ascii="Times New Roman" w:eastAsia="Times New Roman" w:hAnsi="Times New Roman" w:cs="Times New Roman"/>
            <w:color w:val="0000FF"/>
            <w:sz w:val="24"/>
            <w:szCs w:val="24"/>
            <w:u w:val="single"/>
          </w:rPr>
          <w:t>https://doi.org/10.1007/s40519-016-0322-4</w:t>
        </w:r>
      </w:hyperlink>
    </w:p>
    <w:p w14:paraId="759A5F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Giombini, L., Nesbitt, S., Cox, H., Foxall, A., Sharia, T., Easter, A., &amp; Tchanturia, K. (2018). Cognitive remediation therapy (CRT) in a specialist inpatient eating disorder service for children and adolescents: CAN‐CRT study protocol for a pilot randomised controlled trial. </w:t>
      </w:r>
      <w:r w:rsidRPr="00600FC7">
        <w:rPr>
          <w:rFonts w:ascii="Times New Roman" w:eastAsia="Times New Roman" w:hAnsi="Times New Roman" w:cs="Times New Roman"/>
          <w:i/>
          <w:iCs/>
          <w:sz w:val="24"/>
          <w:szCs w:val="24"/>
        </w:rPr>
        <w:t>European Eating Disorders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(5), 438–446. </w:t>
      </w:r>
      <w:hyperlink r:id="rId2063" w:history="1">
        <w:r w:rsidRPr="00600FC7">
          <w:rPr>
            <w:rFonts w:ascii="Times New Roman" w:eastAsia="Times New Roman" w:hAnsi="Times New Roman" w:cs="Times New Roman"/>
            <w:color w:val="0000FF"/>
            <w:sz w:val="24"/>
            <w:szCs w:val="24"/>
            <w:u w:val="single"/>
          </w:rPr>
          <w:t>https://doi.org/10.1002/erv.2592</w:t>
        </w:r>
      </w:hyperlink>
    </w:p>
    <w:p w14:paraId="3E4A2C8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Giovagnoli, A. R. (2001). Relation of sorting impairment to hippocampal damage in temporal lobe epilepsy.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(2), 140–150. </w:t>
      </w:r>
      <w:hyperlink r:id="rId2064" w:history="1">
        <w:r w:rsidRPr="00600FC7">
          <w:rPr>
            <w:rFonts w:ascii="Times New Roman" w:eastAsia="Times New Roman" w:hAnsi="Times New Roman" w:cs="Times New Roman"/>
            <w:color w:val="0000FF"/>
            <w:sz w:val="24"/>
            <w:szCs w:val="24"/>
            <w:u w:val="single"/>
          </w:rPr>
          <w:t>https://doi.org/10.1016/S0028-3932(00)00104-4</w:t>
        </w:r>
      </w:hyperlink>
    </w:p>
    <w:p w14:paraId="3E9A657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(2013). Awareness, overestimation, and underestimation of cognitive functions in epilepsy.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(1), 75–80. </w:t>
      </w:r>
      <w:hyperlink r:id="rId2065" w:history="1">
        <w:r w:rsidRPr="00600FC7">
          <w:rPr>
            <w:rFonts w:ascii="Times New Roman" w:eastAsia="Times New Roman" w:hAnsi="Times New Roman" w:cs="Times New Roman"/>
            <w:color w:val="0000FF"/>
            <w:sz w:val="24"/>
            <w:szCs w:val="24"/>
            <w:u w:val="single"/>
          </w:rPr>
          <w:t>https://doi.org/10.1016/j.yebeh.2012.11.001</w:t>
        </w:r>
      </w:hyperlink>
    </w:p>
    <w:p w14:paraId="4432A7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&amp; Avanzini, G. (1996). Forgetting rate and interference effects on a verbal memory distractor task in patients with temporal lobe epilepsy.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(2), 259–264. </w:t>
      </w:r>
      <w:hyperlink r:id="rId2066" w:history="1">
        <w:r w:rsidRPr="00600FC7">
          <w:rPr>
            <w:rFonts w:ascii="Times New Roman" w:eastAsia="Times New Roman" w:hAnsi="Times New Roman" w:cs="Times New Roman"/>
            <w:color w:val="0000FF"/>
            <w:sz w:val="24"/>
            <w:szCs w:val="24"/>
            <w:u w:val="single"/>
          </w:rPr>
          <w:t>https://doi.org/10.1080/01688639608408280</w:t>
        </w:r>
      </w:hyperlink>
    </w:p>
    <w:p w14:paraId="665742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da Silva, A. M., Federico, A., &amp; Cornelio, F. (2009). On the personal facets of quality of life in chronic neurological disorders. </w:t>
      </w:r>
      <w:r w:rsidRPr="00600FC7">
        <w:rPr>
          <w:rFonts w:ascii="Times New Roman" w:eastAsia="Times New Roman" w:hAnsi="Times New Roman" w:cs="Times New Roman"/>
          <w:i/>
          <w:iCs/>
          <w:sz w:val="24"/>
          <w:szCs w:val="24"/>
        </w:rPr>
        <w:t>Behavioural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(3–4), 155–163. </w:t>
      </w:r>
      <w:hyperlink r:id="rId2067" w:history="1">
        <w:r w:rsidRPr="00600FC7">
          <w:rPr>
            <w:rFonts w:ascii="Times New Roman" w:eastAsia="Times New Roman" w:hAnsi="Times New Roman" w:cs="Times New Roman"/>
            <w:color w:val="0000FF"/>
            <w:sz w:val="24"/>
            <w:szCs w:val="24"/>
            <w:u w:val="single"/>
          </w:rPr>
          <w:t>https://doi.org/10.1155/2009/879576</w:t>
        </w:r>
      </w:hyperlink>
    </w:p>
    <w:p w14:paraId="3C9E50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Franceschetti, S., Reati, F., Parente, A., Maccagnano, C., Villani, F., &amp; Spreafico, R. (2011). Theory of mind in frontal and temporal lobe epilepsy: Cognitive and neural aspects. </w:t>
      </w:r>
      <w:r w:rsidRPr="00600FC7">
        <w:rPr>
          <w:rFonts w:ascii="Times New Roman" w:eastAsia="Times New Roman" w:hAnsi="Times New Roman" w:cs="Times New Roman"/>
          <w:i/>
          <w:iCs/>
          <w:sz w:val="24"/>
          <w:szCs w:val="24"/>
        </w:rPr>
        <w:t>Epilepsia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52</w:t>
      </w:r>
      <w:r w:rsidRPr="00600FC7">
        <w:rPr>
          <w:rFonts w:ascii="Times New Roman" w:eastAsia="Times New Roman" w:hAnsi="Times New Roman" w:cs="Times New Roman"/>
          <w:sz w:val="24"/>
          <w:szCs w:val="24"/>
        </w:rPr>
        <w:t xml:space="preserve">(11), 1995–2002. </w:t>
      </w:r>
      <w:hyperlink r:id="rId2068" w:history="1">
        <w:r w:rsidRPr="00600FC7">
          <w:rPr>
            <w:rFonts w:ascii="Times New Roman" w:eastAsia="Times New Roman" w:hAnsi="Times New Roman" w:cs="Times New Roman"/>
            <w:color w:val="0000FF"/>
            <w:sz w:val="24"/>
            <w:szCs w:val="24"/>
            <w:u w:val="single"/>
          </w:rPr>
          <w:t>https://doi.org/10.1111/j.1528-1167.2011.03215.x</w:t>
        </w:r>
      </w:hyperlink>
    </w:p>
    <w:p w14:paraId="207328F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Giovagnoli, A. R., Meneses, R. F., &amp; da Silva, A. M. (2006). The contribution of spirituality to quality of life in focal epilepsy.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(1), 133–139. </w:t>
      </w:r>
      <w:hyperlink r:id="rId2069" w:history="1">
        <w:r w:rsidRPr="00600FC7">
          <w:rPr>
            <w:rFonts w:ascii="Times New Roman" w:eastAsia="Times New Roman" w:hAnsi="Times New Roman" w:cs="Times New Roman"/>
            <w:color w:val="0000FF"/>
            <w:sz w:val="24"/>
            <w:szCs w:val="24"/>
            <w:u w:val="single"/>
          </w:rPr>
          <w:t>https://doi.org/10.1016/j.yebeh.2006.04.002</w:t>
        </w:r>
      </w:hyperlink>
    </w:p>
    <w:p w14:paraId="7CF694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Giovanello, K. S., Kensinger, E. A., Wong, A. T., &amp; Schacter, D. L. (2010). Age-related neural changes during memory conjunction errors. </w:t>
      </w:r>
      <w:r w:rsidRPr="00600FC7">
        <w:rPr>
          <w:rFonts w:ascii="Times New Roman" w:eastAsia="Times New Roman" w:hAnsi="Times New Roman" w:cs="Times New Roman"/>
          <w:i/>
          <w:iCs/>
          <w:sz w:val="24"/>
          <w:szCs w:val="24"/>
        </w:rPr>
        <w:t>Journal of Cognitive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(7), 1348–1361. </w:t>
      </w:r>
      <w:hyperlink r:id="rId2070" w:history="1">
        <w:r w:rsidRPr="00600FC7">
          <w:rPr>
            <w:rFonts w:ascii="Times New Roman" w:eastAsia="Times New Roman" w:hAnsi="Times New Roman" w:cs="Times New Roman"/>
            <w:color w:val="0000FF"/>
            <w:sz w:val="24"/>
            <w:szCs w:val="24"/>
            <w:u w:val="single"/>
          </w:rPr>
          <w:t>https://doi.org/10.1162/jocn.2009.21274</w:t>
        </w:r>
      </w:hyperlink>
    </w:p>
    <w:p w14:paraId="1AA3EC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Giráldez, S. L., Piñeiro, M. P., Caro, M. I., &amp; González, J. L. B. (2004). A combined measure for detection of schizotaxia.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(2), 299–308.</w:t>
      </w:r>
    </w:p>
    <w:p w14:paraId="1DC4CD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Giraldo, M., Lopera, F., Siniard, A. L., Corneveaux, J. J., Schrauwen, I., Carvajal, J., Muñoz, C., Ramirez-Restrepo, M., Gaiteri, C., Myers, A. J., Caselli, R. J., Kosik, K. S., Reiman, E. M., &amp; Huentelman, M. J. (2013). Variants in triggering receptor expressed on myeloid cells 2 are associated with both behavioral variant frontotemporal lobar degeneration and Alzheimer’s disease. </w:t>
      </w:r>
      <w:r w:rsidRPr="00600FC7">
        <w:rPr>
          <w:rFonts w:ascii="Times New Roman" w:eastAsia="Times New Roman" w:hAnsi="Times New Roman" w:cs="Times New Roman"/>
          <w:i/>
          <w:iCs/>
          <w:sz w:val="24"/>
          <w:szCs w:val="24"/>
        </w:rPr>
        <w:t>Neurobiology of 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(8), e11–e18. </w:t>
      </w:r>
      <w:hyperlink r:id="rId2071" w:history="1">
        <w:r w:rsidRPr="00600FC7">
          <w:rPr>
            <w:rFonts w:ascii="Times New Roman" w:eastAsia="Times New Roman" w:hAnsi="Times New Roman" w:cs="Times New Roman"/>
            <w:color w:val="0000FF"/>
            <w:sz w:val="24"/>
            <w:szCs w:val="24"/>
            <w:u w:val="single"/>
          </w:rPr>
          <w:t>https://doi.org/10.1016/j.neurobiolaging.2013.02.016</w:t>
        </w:r>
      </w:hyperlink>
    </w:p>
    <w:p w14:paraId="221E20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Giraldo-Chica, M., Rogers, B. P., Damon, S. M., Landman, B. A., &amp; Woodward, N. D. (2018). Prefrontal-thalamic anatomical connectivity and executive cognitive function in schizophrenia.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83</w:t>
      </w:r>
      <w:r w:rsidRPr="00600FC7">
        <w:rPr>
          <w:rFonts w:ascii="Times New Roman" w:eastAsia="Times New Roman" w:hAnsi="Times New Roman" w:cs="Times New Roman"/>
          <w:sz w:val="24"/>
          <w:szCs w:val="24"/>
        </w:rPr>
        <w:t xml:space="preserve">(6), 509–517. </w:t>
      </w:r>
      <w:hyperlink r:id="rId2072" w:history="1">
        <w:r w:rsidRPr="00600FC7">
          <w:rPr>
            <w:rFonts w:ascii="Times New Roman" w:eastAsia="Times New Roman" w:hAnsi="Times New Roman" w:cs="Times New Roman"/>
            <w:color w:val="0000FF"/>
            <w:sz w:val="24"/>
            <w:szCs w:val="24"/>
            <w:u w:val="single"/>
          </w:rPr>
          <w:t>https://doi.org/10.1016/j.biopsych.2017.09.022</w:t>
        </w:r>
      </w:hyperlink>
    </w:p>
    <w:p w14:paraId="78E4AD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Gisselgård, J., Anda, L. G., Brønnick, K., Langeveld, J., ten Velden Hegelstad, W., Joa, I., Johannessen, J. O., &amp; Larsen, T. K. (2014). Verbal working memory deficits predict levels of auditory hallucination in first-episode psychosis.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153</w:t>
      </w:r>
      <w:r w:rsidRPr="00600FC7">
        <w:rPr>
          <w:rFonts w:ascii="Times New Roman" w:eastAsia="Times New Roman" w:hAnsi="Times New Roman" w:cs="Times New Roman"/>
          <w:sz w:val="24"/>
          <w:szCs w:val="24"/>
        </w:rPr>
        <w:t xml:space="preserve">(1–3), 38–41. </w:t>
      </w:r>
      <w:hyperlink r:id="rId2073" w:history="1">
        <w:r w:rsidRPr="00600FC7">
          <w:rPr>
            <w:rFonts w:ascii="Times New Roman" w:eastAsia="Times New Roman" w:hAnsi="Times New Roman" w:cs="Times New Roman"/>
            <w:color w:val="0000FF"/>
            <w:sz w:val="24"/>
            <w:szCs w:val="24"/>
            <w:u w:val="single"/>
          </w:rPr>
          <w:t>https://doi.org/10.1016/j.schres.2013.12.018</w:t>
        </w:r>
      </w:hyperlink>
    </w:p>
    <w:p w14:paraId="77D48F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Giuffrida, C. G., Demery, J. A., Reyes, L. R., Lebowitz, B. K., &amp; Hanlon, R. E. (2009). Functional skill learning in men with traumatic brain injury. </w:t>
      </w:r>
      <w:r w:rsidRPr="00600FC7">
        <w:rPr>
          <w:rFonts w:ascii="Times New Roman" w:eastAsia="Times New Roman" w:hAnsi="Times New Roman" w:cs="Times New Roman"/>
          <w:i/>
          <w:iCs/>
          <w:sz w:val="24"/>
          <w:szCs w:val="24"/>
        </w:rPr>
        <w:t>American Journal of Occupational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(4), 398–407. </w:t>
      </w:r>
      <w:hyperlink r:id="rId2074" w:history="1">
        <w:r w:rsidRPr="00600FC7">
          <w:rPr>
            <w:rFonts w:ascii="Times New Roman" w:eastAsia="Times New Roman" w:hAnsi="Times New Roman" w:cs="Times New Roman"/>
            <w:color w:val="0000FF"/>
            <w:sz w:val="24"/>
            <w:szCs w:val="24"/>
            <w:u w:val="single"/>
          </w:rPr>
          <w:t>https://doi.org/10.5014/ajot.63.4.398</w:t>
        </w:r>
      </w:hyperlink>
    </w:p>
    <w:p w14:paraId="3098FBA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Giugiario, M., Crivelli, B., Mingrone, C., Montemagni, C., Scalese, M., Sigaudo, M., Rocca, G., &amp; Rocca, P. (2012). Cognitive function and competitive employment in schizophrenia: Relative contribution of insight and psychopathology. </w:t>
      </w:r>
      <w:r w:rsidRPr="00600FC7">
        <w:rPr>
          <w:rFonts w:ascii="Times New Roman" w:eastAsia="Times New Roman" w:hAnsi="Times New Roman" w:cs="Times New Roman"/>
          <w:i/>
          <w:iCs/>
          <w:sz w:val="24"/>
          <w:szCs w:val="24"/>
        </w:rPr>
        <w:t xml:space="preserve">Social Psychiatry and Psychiatric </w:t>
      </w:r>
      <w:r w:rsidRPr="00600FC7">
        <w:rPr>
          <w:rFonts w:ascii="Times New Roman" w:eastAsia="Times New Roman" w:hAnsi="Times New Roman" w:cs="Times New Roman"/>
          <w:i/>
          <w:iCs/>
          <w:sz w:val="24"/>
          <w:szCs w:val="24"/>
        </w:rPr>
        <w:lastRenderedPageBreak/>
        <w:t>Epidemiology: The International Journal for Research in Social and Genetic Epidemiology and Mental Health Services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(4), 553–561. </w:t>
      </w:r>
      <w:hyperlink r:id="rId2075" w:history="1">
        <w:r w:rsidRPr="00600FC7">
          <w:rPr>
            <w:rFonts w:ascii="Times New Roman" w:eastAsia="Times New Roman" w:hAnsi="Times New Roman" w:cs="Times New Roman"/>
            <w:color w:val="0000FF"/>
            <w:sz w:val="24"/>
            <w:szCs w:val="24"/>
            <w:u w:val="single"/>
          </w:rPr>
          <w:t>https://doi.org/10.1007/s00127-011-0367-7</w:t>
        </w:r>
      </w:hyperlink>
    </w:p>
    <w:p w14:paraId="77F9F4E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Gkintoni, E., Pallis, E. G., Bitsios, P., &amp; Giakoumaki, S. G. (2017). Neurocognitive performance, psychopathology and social functioning in individuals at high risk for schizophrenia or psychotic bipolar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208</w:t>
      </w:r>
      <w:r w:rsidRPr="00600FC7">
        <w:rPr>
          <w:rFonts w:ascii="Times New Roman" w:eastAsia="Times New Roman" w:hAnsi="Times New Roman" w:cs="Times New Roman"/>
          <w:sz w:val="24"/>
          <w:szCs w:val="24"/>
        </w:rPr>
        <w:t xml:space="preserve">, 512–520. </w:t>
      </w:r>
      <w:hyperlink r:id="rId2076" w:history="1">
        <w:r w:rsidRPr="00600FC7">
          <w:rPr>
            <w:rFonts w:ascii="Times New Roman" w:eastAsia="Times New Roman" w:hAnsi="Times New Roman" w:cs="Times New Roman"/>
            <w:color w:val="0000FF"/>
            <w:sz w:val="24"/>
            <w:szCs w:val="24"/>
            <w:u w:val="single"/>
          </w:rPr>
          <w:t>https://doi.org/10.1016/j.jad.2016.10.032</w:t>
        </w:r>
      </w:hyperlink>
    </w:p>
    <w:p w14:paraId="4B3427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Gladsjo, J. A., McAdams, L. A., Palmer, B. W., Moore, D. J., Jeste, D. V., &amp; Heaton, R. K. (2004). A Six-Factor Model of Cognition in Schizophrenia and Related Psychotic Disorders: Relationships With Clinical Symptoms and Functional Capacity.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(4), 739–754. </w:t>
      </w:r>
      <w:hyperlink r:id="rId2077" w:history="1">
        <w:r w:rsidRPr="00600FC7">
          <w:rPr>
            <w:rFonts w:ascii="Times New Roman" w:eastAsia="Times New Roman" w:hAnsi="Times New Roman" w:cs="Times New Roman"/>
            <w:color w:val="0000FF"/>
            <w:sz w:val="24"/>
            <w:szCs w:val="24"/>
            <w:u w:val="single"/>
          </w:rPr>
          <w:t>https://doi.org/10.1093/oxfordjournals.schbul.a007127</w:t>
        </w:r>
      </w:hyperlink>
    </w:p>
    <w:p w14:paraId="2AE478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Glass, J. M., Buu, A., Adams, K. M., Nigg, J. T., Puttler, L. I., Jester, J. M., &amp; Zucker, R. A. (2009). Effects of alcoholism severity and smoking on executive neurocognitive function.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(1), 38–48. </w:t>
      </w:r>
      <w:hyperlink r:id="rId2078" w:history="1">
        <w:r w:rsidRPr="00600FC7">
          <w:rPr>
            <w:rFonts w:ascii="Times New Roman" w:eastAsia="Times New Roman" w:hAnsi="Times New Roman" w:cs="Times New Roman"/>
            <w:color w:val="0000FF"/>
            <w:sz w:val="24"/>
            <w:szCs w:val="24"/>
            <w:u w:val="single"/>
          </w:rPr>
          <w:t>https://doi.org/10.1111/j.1360-0443.2008.02415.x</w:t>
        </w:r>
      </w:hyperlink>
    </w:p>
    <w:p w14:paraId="19F01C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Gleichgerrcht, E., Roca, M., Manes, F., &amp; Torralva, T. (2011). Comparing the clinical usefulness of the Institute of Cognitive Neurology (INECO) Frontal Screening (IFS) and the Frontal Assessment Battery (FAB) in frontotemporal dementia.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(9), 997–1004. </w:t>
      </w:r>
      <w:hyperlink r:id="rId2079" w:history="1">
        <w:r w:rsidRPr="00600FC7">
          <w:rPr>
            <w:rFonts w:ascii="Times New Roman" w:eastAsia="Times New Roman" w:hAnsi="Times New Roman" w:cs="Times New Roman"/>
            <w:color w:val="0000FF"/>
            <w:sz w:val="24"/>
            <w:szCs w:val="24"/>
            <w:u w:val="single"/>
          </w:rPr>
          <w:t>https://doi.org/10.1080/13803395.2011.589375</w:t>
        </w:r>
      </w:hyperlink>
    </w:p>
    <w:p w14:paraId="2B70C5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Gleichgerrcht, E., Torralva, T., Roca, M., &amp; Manes, F. (2010). Utility of an abbreviated version of the executive and social cognition battery in the detection of executive deficits in early behavioral variant frontotemporal dementia patients.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(4), 687–694. </w:t>
      </w:r>
      <w:hyperlink r:id="rId2080" w:history="1">
        <w:r w:rsidRPr="00600FC7">
          <w:rPr>
            <w:rFonts w:ascii="Times New Roman" w:eastAsia="Times New Roman" w:hAnsi="Times New Roman" w:cs="Times New Roman"/>
            <w:color w:val="0000FF"/>
            <w:sz w:val="24"/>
            <w:szCs w:val="24"/>
            <w:u w:val="single"/>
          </w:rPr>
          <w:t>https://doi.org/10.1017/S1355617710000482</w:t>
        </w:r>
      </w:hyperlink>
    </w:p>
    <w:p w14:paraId="205F95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Gleichgerrcht, E., Torralva, T., Roca, M., Pose, M., &amp; Manes, F. (2011). The role of social cognition in moral judgment in frontotemporal dementia. </w:t>
      </w:r>
      <w:r w:rsidRPr="00600FC7">
        <w:rPr>
          <w:rFonts w:ascii="Times New Roman" w:eastAsia="Times New Roman" w:hAnsi="Times New Roman" w:cs="Times New Roman"/>
          <w:i/>
          <w:iCs/>
          <w:sz w:val="24"/>
          <w:szCs w:val="24"/>
        </w:rPr>
        <w:t>Social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(2), 113–122. </w:t>
      </w:r>
      <w:hyperlink r:id="rId2081" w:history="1">
        <w:r w:rsidRPr="00600FC7">
          <w:rPr>
            <w:rFonts w:ascii="Times New Roman" w:eastAsia="Times New Roman" w:hAnsi="Times New Roman" w:cs="Times New Roman"/>
            <w:color w:val="0000FF"/>
            <w:sz w:val="24"/>
            <w:szCs w:val="24"/>
            <w:u w:val="single"/>
          </w:rPr>
          <w:t>https://doi.org/10.1080/17470919.2010.506751</w:t>
        </w:r>
      </w:hyperlink>
    </w:p>
    <w:p w14:paraId="0DFD94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Gligorović, M., &amp; Buha, N. (2013). Conceptual abilities of children with mild intellectual disability: Analysis of Wisconsin Card Sorting Test performance. </w:t>
      </w:r>
      <w:r w:rsidRPr="00600FC7">
        <w:rPr>
          <w:rFonts w:ascii="Times New Roman" w:eastAsia="Times New Roman" w:hAnsi="Times New Roman" w:cs="Times New Roman"/>
          <w:i/>
          <w:iCs/>
          <w:sz w:val="24"/>
          <w:szCs w:val="24"/>
        </w:rPr>
        <w:t>Journal of Intellectual and Developmental Disability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134–140. </w:t>
      </w:r>
      <w:hyperlink r:id="rId2082" w:history="1">
        <w:r w:rsidRPr="00600FC7">
          <w:rPr>
            <w:rFonts w:ascii="Times New Roman" w:eastAsia="Times New Roman" w:hAnsi="Times New Roman" w:cs="Times New Roman"/>
            <w:color w:val="0000FF"/>
            <w:sz w:val="24"/>
            <w:szCs w:val="24"/>
            <w:u w:val="single"/>
          </w:rPr>
          <w:t>https://doi.org/10.3109/13668250.2013.772956</w:t>
        </w:r>
      </w:hyperlink>
    </w:p>
    <w:p w14:paraId="54262CF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Glisky, E. L., &amp; Marquine, M. J. (2009). Semantic and self-referential processing of positive and negative trait adjectives in older adults. </w:t>
      </w:r>
      <w:r w:rsidRPr="00600FC7">
        <w:rPr>
          <w:rFonts w:ascii="Times New Roman" w:eastAsia="Times New Roman" w:hAnsi="Times New Roman" w:cs="Times New Roman"/>
          <w:i/>
          <w:iCs/>
          <w:sz w:val="24"/>
          <w:szCs w:val="24"/>
        </w:rPr>
        <w:t>Memory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(2), 144–157. </w:t>
      </w:r>
      <w:hyperlink r:id="rId2083" w:history="1">
        <w:r w:rsidRPr="00600FC7">
          <w:rPr>
            <w:rFonts w:ascii="Times New Roman" w:eastAsia="Times New Roman" w:hAnsi="Times New Roman" w:cs="Times New Roman"/>
            <w:color w:val="0000FF"/>
            <w:sz w:val="24"/>
            <w:szCs w:val="24"/>
            <w:u w:val="single"/>
          </w:rPr>
          <w:t>https://doi.org/10.1080/09658210802077405</w:t>
        </w:r>
      </w:hyperlink>
    </w:p>
    <w:p w14:paraId="5796C81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Glisky, E. L., Ryan, L., Reminger, S., Hardt, O., Hayes, S. M., &amp; Hupbach, A. (2004). A case of psychogenic fugue: I understand, aber ich verstehe nichts.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(8), 1132–1147. </w:t>
      </w:r>
      <w:hyperlink r:id="rId2084" w:history="1">
        <w:r w:rsidRPr="00600FC7">
          <w:rPr>
            <w:rFonts w:ascii="Times New Roman" w:eastAsia="Times New Roman" w:hAnsi="Times New Roman" w:cs="Times New Roman"/>
            <w:color w:val="0000FF"/>
            <w:sz w:val="24"/>
            <w:szCs w:val="24"/>
            <w:u w:val="single"/>
          </w:rPr>
          <w:t>https://doi.org/10.1016/j.neuropsychologia.2003.08.016</w:t>
        </w:r>
      </w:hyperlink>
    </w:p>
    <w:p w14:paraId="4E869FC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Glozman, J. M., Levin, O. S., &amp; Tupper, D. (2005). Executive Behavior after Cortical and Subcortical Brain Damage. In </w:t>
      </w:r>
      <w:r w:rsidRPr="00600FC7">
        <w:rPr>
          <w:rFonts w:ascii="Times New Roman" w:eastAsia="Times New Roman" w:hAnsi="Times New Roman" w:cs="Times New Roman"/>
          <w:i/>
          <w:iCs/>
          <w:sz w:val="24"/>
          <w:szCs w:val="24"/>
        </w:rPr>
        <w:t>A. R. Luria and contemporary psychology: Festschrift celebrating the centennial of the birth of Luria.</w:t>
      </w:r>
      <w:r w:rsidRPr="00600FC7">
        <w:rPr>
          <w:rFonts w:ascii="Times New Roman" w:eastAsia="Times New Roman" w:hAnsi="Times New Roman" w:cs="Times New Roman"/>
          <w:sz w:val="24"/>
          <w:szCs w:val="24"/>
        </w:rPr>
        <w:t xml:space="preserve"> (pp. 65–76). Nova Science Publishers.</w:t>
      </w:r>
    </w:p>
    <w:p w14:paraId="1DAB65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Glozman, Zh. M., Levin, O. S., &amp; Lycheva, N. Yu. (2003). Impairment of Emotional Memory and Ability to Identify Emotional States in Patients with Parkinson’s Disease. </w:t>
      </w:r>
      <w:r w:rsidRPr="00600FC7">
        <w:rPr>
          <w:rFonts w:ascii="Times New Roman" w:eastAsia="Times New Roman" w:hAnsi="Times New Roman" w:cs="Times New Roman"/>
          <w:i/>
          <w:iCs/>
          <w:sz w:val="24"/>
          <w:szCs w:val="24"/>
        </w:rPr>
        <w:t>Human 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(6), 55–60. </w:t>
      </w:r>
      <w:hyperlink r:id="rId2085" w:history="1">
        <w:r w:rsidRPr="00600FC7">
          <w:rPr>
            <w:rFonts w:ascii="Times New Roman" w:eastAsia="Times New Roman" w:hAnsi="Times New Roman" w:cs="Times New Roman"/>
            <w:color w:val="0000FF"/>
            <w:sz w:val="24"/>
            <w:szCs w:val="24"/>
            <w:u w:val="single"/>
          </w:rPr>
          <w:t>https://doi.org/10.1023/B:HUMP.0000008842.71661.20</w:t>
        </w:r>
      </w:hyperlink>
    </w:p>
    <w:p w14:paraId="536507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Godbolt, A. K., Cipolotti, L., Anderson, V. M., Archer, H., Janssen, J. C., Price, S., Rossor, M. N., &amp; Fox, N. C. (2005). A decade of pre-diagnostic assessment in a case of familial Alzheimer’s disease: Tracking progression from asymptomatic to MCI and dementia. </w:t>
      </w:r>
      <w:r w:rsidRPr="00600FC7">
        <w:rPr>
          <w:rFonts w:ascii="Times New Roman" w:eastAsia="Times New Roman" w:hAnsi="Times New Roman" w:cs="Times New Roman"/>
          <w:i/>
          <w:iCs/>
          <w:sz w:val="24"/>
          <w:szCs w:val="24"/>
        </w:rPr>
        <w:t>Neurocase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(1), 56–64. </w:t>
      </w:r>
      <w:hyperlink r:id="rId2086" w:history="1">
        <w:r w:rsidRPr="00600FC7">
          <w:rPr>
            <w:rFonts w:ascii="Times New Roman" w:eastAsia="Times New Roman" w:hAnsi="Times New Roman" w:cs="Times New Roman"/>
            <w:color w:val="0000FF"/>
            <w:sz w:val="24"/>
            <w:szCs w:val="24"/>
            <w:u w:val="single"/>
          </w:rPr>
          <w:t>https://doi.org/10.1080/13554790490896866</w:t>
        </w:r>
      </w:hyperlink>
    </w:p>
    <w:p w14:paraId="65D7FC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Goddard, E., Carral-Fernández, L., Denneny, E., Campbell, I. C., &amp; Treasure, J. (2014). Cognitive flexibility, central coherence and social emotional processing in males with an eating disorder. </w:t>
      </w:r>
      <w:r w:rsidRPr="00600FC7">
        <w:rPr>
          <w:rFonts w:ascii="Times New Roman" w:eastAsia="Times New Roman" w:hAnsi="Times New Roman" w:cs="Times New Roman"/>
          <w:i/>
          <w:iCs/>
          <w:sz w:val="24"/>
          <w:szCs w:val="24"/>
        </w:rPr>
        <w:t>The World Journal of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317–326. </w:t>
      </w:r>
      <w:hyperlink r:id="rId2087" w:history="1">
        <w:r w:rsidRPr="00600FC7">
          <w:rPr>
            <w:rFonts w:ascii="Times New Roman" w:eastAsia="Times New Roman" w:hAnsi="Times New Roman" w:cs="Times New Roman"/>
            <w:color w:val="0000FF"/>
            <w:sz w:val="24"/>
            <w:szCs w:val="24"/>
            <w:u w:val="single"/>
          </w:rPr>
          <w:t>https://doi.org/10.3109/15622975.2012.750014</w:t>
        </w:r>
      </w:hyperlink>
    </w:p>
    <w:p w14:paraId="29EDA8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Godfrey, M., Gillis, M. M., Khurana, D., Poletto, E., &amp; Tarazi, R. A. (2019). Neuropsychological outcome following thalamic stroke in adolescence: An identical twin comparison.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(5), 905–927. </w:t>
      </w:r>
      <w:hyperlink r:id="rId2088" w:history="1">
        <w:r w:rsidRPr="00600FC7">
          <w:rPr>
            <w:rFonts w:ascii="Times New Roman" w:eastAsia="Times New Roman" w:hAnsi="Times New Roman" w:cs="Times New Roman"/>
            <w:color w:val="0000FF"/>
            <w:sz w:val="24"/>
            <w:szCs w:val="24"/>
            <w:u w:val="single"/>
          </w:rPr>
          <w:t>https://doi.org/10.1080/13854046.2018.1533997</w:t>
        </w:r>
      </w:hyperlink>
    </w:p>
    <w:p w14:paraId="1D6C33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Godinez, D. A., Friedman, N. P., Rhee, S. H., Miyake, A., &amp; Hewitt, J. K. (2012). Phenotypic and genetic analyses of the Wisconsin Card Sort. </w:t>
      </w:r>
      <w:r w:rsidRPr="00600FC7">
        <w:rPr>
          <w:rFonts w:ascii="Times New Roman" w:eastAsia="Times New Roman" w:hAnsi="Times New Roman" w:cs="Times New Roman"/>
          <w:i/>
          <w:iCs/>
          <w:sz w:val="24"/>
          <w:szCs w:val="24"/>
        </w:rPr>
        <w:t>Behavior Genetics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(2), 209–220. </w:t>
      </w:r>
      <w:hyperlink r:id="rId2089" w:history="1">
        <w:r w:rsidRPr="00600FC7">
          <w:rPr>
            <w:rFonts w:ascii="Times New Roman" w:eastAsia="Times New Roman" w:hAnsi="Times New Roman" w:cs="Times New Roman"/>
            <w:color w:val="0000FF"/>
            <w:sz w:val="24"/>
            <w:szCs w:val="24"/>
            <w:u w:val="single"/>
          </w:rPr>
          <w:t>https://doi.org/10.1007/s10519-011-9502-1</w:t>
        </w:r>
      </w:hyperlink>
    </w:p>
    <w:p w14:paraId="5B09930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Godlaski, A. J., &amp; Giancola, P. R. (2009). Executive functioning, irritability, and alcohol-related aggression. </w:t>
      </w:r>
      <w:r w:rsidRPr="00600FC7">
        <w:rPr>
          <w:rFonts w:ascii="Times New Roman" w:eastAsia="Times New Roman" w:hAnsi="Times New Roman" w:cs="Times New Roman"/>
          <w:i/>
          <w:iCs/>
          <w:sz w:val="24"/>
          <w:szCs w:val="24"/>
        </w:rPr>
        <w:t>Psychology of 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(3), 391–403. </w:t>
      </w:r>
      <w:hyperlink r:id="rId2090" w:history="1">
        <w:r w:rsidRPr="00600FC7">
          <w:rPr>
            <w:rFonts w:ascii="Times New Roman" w:eastAsia="Times New Roman" w:hAnsi="Times New Roman" w:cs="Times New Roman"/>
            <w:color w:val="0000FF"/>
            <w:sz w:val="24"/>
            <w:szCs w:val="24"/>
            <w:u w:val="single"/>
          </w:rPr>
          <w:t>https://doi.org/10.1037/a0016582</w:t>
        </w:r>
      </w:hyperlink>
    </w:p>
    <w:p w14:paraId="195B5F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Goel, V., &amp; Grafman, J. (1995). Are the frontal lobes implicated in “planning” functions? Interpreting data from the Tower of Hanoi.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 xml:space="preserve">(5), 623–642. </w:t>
      </w:r>
      <w:hyperlink r:id="rId2091" w:history="1">
        <w:r w:rsidRPr="00600FC7">
          <w:rPr>
            <w:rFonts w:ascii="Times New Roman" w:eastAsia="Times New Roman" w:hAnsi="Times New Roman" w:cs="Times New Roman"/>
            <w:color w:val="0000FF"/>
            <w:sz w:val="24"/>
            <w:szCs w:val="24"/>
            <w:u w:val="single"/>
          </w:rPr>
          <w:t>https://doi.org/10.1016/0028-3932(95)90866-P</w:t>
        </w:r>
      </w:hyperlink>
    </w:p>
    <w:p w14:paraId="615EE1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Goel, V., Vartanian, O., Bartolo, A., Hakim, L., Maria Ferraro, A., Isella, V., Appollonio, I., Drei, S., &amp; Nichelli, P. (2013). Lesions to right prefrontal cortex impair real-world planning through premature commitments.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(4), 713–724. </w:t>
      </w:r>
      <w:hyperlink r:id="rId2092" w:history="1">
        <w:r w:rsidRPr="00600FC7">
          <w:rPr>
            <w:rFonts w:ascii="Times New Roman" w:eastAsia="Times New Roman" w:hAnsi="Times New Roman" w:cs="Times New Roman"/>
            <w:color w:val="0000FF"/>
            <w:sz w:val="24"/>
            <w:szCs w:val="24"/>
            <w:u w:val="single"/>
          </w:rPr>
          <w:t>https://doi.org/10.1016/j.neuropsychologia.2012.11.029</w:t>
        </w:r>
      </w:hyperlink>
    </w:p>
    <w:p w14:paraId="100615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Goette, W. F., &amp; Schmitt, A. L. (2019). Examination of regression-based discrepancy scores for the RBANS in detecting cognitive impairment from an archival sample.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(8), 1329–1339. </w:t>
      </w:r>
      <w:hyperlink r:id="rId2093" w:history="1">
        <w:r w:rsidRPr="00600FC7">
          <w:rPr>
            <w:rFonts w:ascii="Times New Roman" w:eastAsia="Times New Roman" w:hAnsi="Times New Roman" w:cs="Times New Roman"/>
            <w:color w:val="0000FF"/>
            <w:sz w:val="24"/>
            <w:szCs w:val="24"/>
            <w:u w:val="single"/>
          </w:rPr>
          <w:t>https://doi.org/10.1093/arclin/acy100</w:t>
        </w:r>
      </w:hyperlink>
    </w:p>
    <w:p w14:paraId="546C136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Goette, W., Schmitt, A., &amp; Clark, A. (2019). Relationship between smell identification testing and the neuropsychological assessment of dementia in community-dwelling adults. </w:t>
      </w:r>
      <w:r w:rsidRPr="00600FC7">
        <w:rPr>
          <w:rFonts w:ascii="Times New Roman" w:eastAsia="Times New Roman" w:hAnsi="Times New Roman" w:cs="Times New Roman"/>
          <w:i/>
          <w:iCs/>
          <w:sz w:val="24"/>
          <w:szCs w:val="24"/>
        </w:rPr>
        <w:t>Applied Neuropsychology: Adult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201–214. </w:t>
      </w:r>
      <w:hyperlink r:id="rId2094" w:history="1">
        <w:r w:rsidRPr="00600FC7">
          <w:rPr>
            <w:rFonts w:ascii="Times New Roman" w:eastAsia="Times New Roman" w:hAnsi="Times New Roman" w:cs="Times New Roman"/>
            <w:color w:val="0000FF"/>
            <w:sz w:val="24"/>
            <w:szCs w:val="24"/>
            <w:u w:val="single"/>
          </w:rPr>
          <w:t>https://doi.org/10.1080/23279095.2017.1392303</w:t>
        </w:r>
      </w:hyperlink>
    </w:p>
    <w:p w14:paraId="5131F8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Goff, D. C., Bottiglieri, T., Arning, E., Shih, V., Freudenreich, O., Evins, A. E., Henderson, D. C., Baer, L., &amp; Coyle, J. (2004). Folate, homocysteine, and negative symptoms in schizophrenia.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161</w:t>
      </w:r>
      <w:r w:rsidRPr="00600FC7">
        <w:rPr>
          <w:rFonts w:ascii="Times New Roman" w:eastAsia="Times New Roman" w:hAnsi="Times New Roman" w:cs="Times New Roman"/>
          <w:sz w:val="24"/>
          <w:szCs w:val="24"/>
        </w:rPr>
        <w:t xml:space="preserve">(9), 1705–1708. </w:t>
      </w:r>
      <w:hyperlink r:id="rId2095" w:history="1">
        <w:r w:rsidRPr="00600FC7">
          <w:rPr>
            <w:rFonts w:ascii="Times New Roman" w:eastAsia="Times New Roman" w:hAnsi="Times New Roman" w:cs="Times New Roman"/>
            <w:color w:val="0000FF"/>
            <w:sz w:val="24"/>
            <w:szCs w:val="24"/>
            <w:u w:val="single"/>
          </w:rPr>
          <w:t>https://doi.org/10.1176/appi.ajp.161.9.1705</w:t>
        </w:r>
      </w:hyperlink>
    </w:p>
    <w:p w14:paraId="05048CD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Goff, D. C., Cather, C., Gottlieb, J. D., Evins, A. E., Walsh, J., Raeke, L., Otto, M. W., Schoenfeld, D., &amp; Green, M. F. (2008). Once-weekly D-cycloserine effects on negative symptoms and cognition in schizophrenia: An exploratory study.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106</w:t>
      </w:r>
      <w:r w:rsidRPr="00600FC7">
        <w:rPr>
          <w:rFonts w:ascii="Times New Roman" w:eastAsia="Times New Roman" w:hAnsi="Times New Roman" w:cs="Times New Roman"/>
          <w:sz w:val="24"/>
          <w:szCs w:val="24"/>
        </w:rPr>
        <w:t xml:space="preserve">(2–3), 320–327. </w:t>
      </w:r>
      <w:hyperlink r:id="rId2096" w:history="1">
        <w:r w:rsidRPr="00600FC7">
          <w:rPr>
            <w:rFonts w:ascii="Times New Roman" w:eastAsia="Times New Roman" w:hAnsi="Times New Roman" w:cs="Times New Roman"/>
            <w:color w:val="0000FF"/>
            <w:sz w:val="24"/>
            <w:szCs w:val="24"/>
            <w:u w:val="single"/>
          </w:rPr>
          <w:t>https://doi.org/10.1016/j.schres.2008.08.012</w:t>
        </w:r>
      </w:hyperlink>
    </w:p>
    <w:p w14:paraId="1A9CEB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Goff, D. C., Herz, L., Posever, T., Shih, V., Tsai, G., Henderson, D. C., Freudenreich, O., Evins, A. E., Yovel, I., Zhang, H., &amp; Schoenfeld, D. (2005). A six-month, placebo-controlled trial of D-cycloserine co-administered with conventional antipsychotics in schizophrenia patients.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179</w:t>
      </w:r>
      <w:r w:rsidRPr="00600FC7">
        <w:rPr>
          <w:rFonts w:ascii="Times New Roman" w:eastAsia="Times New Roman" w:hAnsi="Times New Roman" w:cs="Times New Roman"/>
          <w:sz w:val="24"/>
          <w:szCs w:val="24"/>
        </w:rPr>
        <w:t xml:space="preserve">(1), 144–150. </w:t>
      </w:r>
      <w:hyperlink r:id="rId2097" w:history="1">
        <w:r w:rsidRPr="00600FC7">
          <w:rPr>
            <w:rFonts w:ascii="Times New Roman" w:eastAsia="Times New Roman" w:hAnsi="Times New Roman" w:cs="Times New Roman"/>
            <w:color w:val="0000FF"/>
            <w:sz w:val="24"/>
            <w:szCs w:val="24"/>
            <w:u w:val="single"/>
          </w:rPr>
          <w:t>https://doi.org/10.1007/s00213-004-2032-2</w:t>
        </w:r>
      </w:hyperlink>
    </w:p>
    <w:p w14:paraId="10F7F9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Gois, J., Valente, K., Vicentiis, S., Moschetta, S., Kuczynski, E., Fiore, L., &amp; Fuentes, D. (2011). Assessment of psychosocial adjustment in patients with temporal lobe epilepsy using a standard measure.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89–94. </w:t>
      </w:r>
      <w:hyperlink r:id="rId2098" w:history="1">
        <w:r w:rsidRPr="00600FC7">
          <w:rPr>
            <w:rFonts w:ascii="Times New Roman" w:eastAsia="Times New Roman" w:hAnsi="Times New Roman" w:cs="Times New Roman"/>
            <w:color w:val="0000FF"/>
            <w:sz w:val="24"/>
            <w:szCs w:val="24"/>
            <w:u w:val="single"/>
          </w:rPr>
          <w:t>https://doi.org/10.1016/j.yebeh.2010.10.033</w:t>
        </w:r>
      </w:hyperlink>
    </w:p>
    <w:p w14:paraId="142A20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Goitia, B., Bruno, D., Abrevaya, S., Sedeño, L., Ibáñez, A., Manes, F., Sigman, M., Sinay, V., Torralva, T., Duncan, J., &amp; Roca, M. (2020). The relationship between executive functions and fluid intelligence in multiple sclerosis.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(4). </w:t>
      </w:r>
      <w:hyperlink r:id="rId2099" w:history="1">
        <w:r w:rsidRPr="00600FC7">
          <w:rPr>
            <w:rFonts w:ascii="Times New Roman" w:eastAsia="Times New Roman" w:hAnsi="Times New Roman" w:cs="Times New Roman"/>
            <w:color w:val="0000FF"/>
            <w:sz w:val="24"/>
            <w:szCs w:val="24"/>
            <w:u w:val="single"/>
          </w:rPr>
          <w:t>https://doi.org/10.1371/journal.pone.0231868</w:t>
        </w:r>
      </w:hyperlink>
    </w:p>
    <w:p w14:paraId="2F26DE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Goitia, B., Manes, F., Torralva, T., Sigman, M., Duncan, J., Cetkovich, M., &amp; Roca, M. (2017). The relationship between executive functions and fluid intelligence in euthymic Bipolar Disorder patients.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257</w:t>
      </w:r>
      <w:r w:rsidRPr="00600FC7">
        <w:rPr>
          <w:rFonts w:ascii="Times New Roman" w:eastAsia="Times New Roman" w:hAnsi="Times New Roman" w:cs="Times New Roman"/>
          <w:sz w:val="24"/>
          <w:szCs w:val="24"/>
        </w:rPr>
        <w:t xml:space="preserve">, 346–351. </w:t>
      </w:r>
      <w:hyperlink r:id="rId2100" w:history="1">
        <w:r w:rsidRPr="00600FC7">
          <w:rPr>
            <w:rFonts w:ascii="Times New Roman" w:eastAsia="Times New Roman" w:hAnsi="Times New Roman" w:cs="Times New Roman"/>
            <w:color w:val="0000FF"/>
            <w:sz w:val="24"/>
            <w:szCs w:val="24"/>
            <w:u w:val="single"/>
          </w:rPr>
          <w:t>https://doi.org/10.1016/j.psychres.2017.07.066</w:t>
        </w:r>
      </w:hyperlink>
    </w:p>
    <w:p w14:paraId="01397A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Gökçen, E., Petrides, K. V., Hudry, K., Frederickson, N., &amp; Smillie, L. D. (2014). Sub‐threshold autism traits: The role of trait emotional intelligence and cognitive flexibility. </w:t>
      </w:r>
      <w:r w:rsidRPr="00600FC7">
        <w:rPr>
          <w:rFonts w:ascii="Times New Roman" w:eastAsia="Times New Roman" w:hAnsi="Times New Roman" w:cs="Times New Roman"/>
          <w:i/>
          <w:iCs/>
          <w:sz w:val="24"/>
          <w:szCs w:val="24"/>
        </w:rPr>
        <w:t>British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(2), 187–199. </w:t>
      </w:r>
      <w:hyperlink r:id="rId2101" w:history="1">
        <w:r w:rsidRPr="00600FC7">
          <w:rPr>
            <w:rFonts w:ascii="Times New Roman" w:eastAsia="Times New Roman" w:hAnsi="Times New Roman" w:cs="Times New Roman"/>
            <w:color w:val="0000FF"/>
            <w:sz w:val="24"/>
            <w:szCs w:val="24"/>
            <w:u w:val="single"/>
          </w:rPr>
          <w:t>https://doi.org/10.1111/bjop.12033</w:t>
        </w:r>
      </w:hyperlink>
    </w:p>
    <w:p w14:paraId="151C55D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J. M., Carpenter, C., Randolph, C., Goldberg, T. E., &amp; Weinberger, D. R. (1997). Auditory working memory and Wisconsin Card Sorting Test performance in schizophrenia.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(2), 159–165. </w:t>
      </w:r>
      <w:hyperlink r:id="rId2102" w:history="1">
        <w:r w:rsidRPr="00600FC7">
          <w:rPr>
            <w:rFonts w:ascii="Times New Roman" w:eastAsia="Times New Roman" w:hAnsi="Times New Roman" w:cs="Times New Roman"/>
            <w:color w:val="0000FF"/>
            <w:sz w:val="24"/>
            <w:szCs w:val="24"/>
            <w:u w:val="single"/>
          </w:rPr>
          <w:t>https://doi.org/10.1001/archpsyc.1997.01830140071013</w:t>
        </w:r>
      </w:hyperlink>
    </w:p>
    <w:p w14:paraId="7B14EEF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J. M., Hermann, B. P., Randolph, C., Wyler, A. R., Goldberg, T. E., &amp; Weinberger, D. R. (1994). Schizophrenia and temporal lobe epilepsy: A neuropsychological analysis.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(4), 265–272. </w:t>
      </w:r>
      <w:hyperlink r:id="rId2103" w:history="1">
        <w:r w:rsidRPr="00600FC7">
          <w:rPr>
            <w:rFonts w:ascii="Times New Roman" w:eastAsia="Times New Roman" w:hAnsi="Times New Roman" w:cs="Times New Roman"/>
            <w:color w:val="0000FF"/>
            <w:sz w:val="24"/>
            <w:szCs w:val="24"/>
            <w:u w:val="single"/>
          </w:rPr>
          <w:t>https://doi.org/10.1001/archpsyc.1994.03950040009001</w:t>
        </w:r>
      </w:hyperlink>
    </w:p>
    <w:p w14:paraId="6D1F8B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 J. M., Waltz, J. A., Prentice, K. J., Morris, S. E., &amp; Heerey, E. A. (2008). Reward processing in schizophrenia: A deficit in the representation of value.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(5), 835–847. </w:t>
      </w:r>
      <w:hyperlink r:id="rId2104" w:history="1">
        <w:r w:rsidRPr="00600FC7">
          <w:rPr>
            <w:rFonts w:ascii="Times New Roman" w:eastAsia="Times New Roman" w:hAnsi="Times New Roman" w:cs="Times New Roman"/>
            <w:color w:val="0000FF"/>
            <w:sz w:val="24"/>
            <w:szCs w:val="24"/>
            <w:u w:val="single"/>
          </w:rPr>
          <w:t>https://doi.org/10.1093/schbul/sbn068</w:t>
        </w:r>
      </w:hyperlink>
    </w:p>
    <w:p w14:paraId="6E44E27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Gold, S., Arndt, S., Nopoulos, P., O’Leary, D. S., &amp; Andreasen, N. C. (1999). Longitudinal study of cognitive function in first-episode and recent-onset schizophrenia.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156</w:t>
      </w:r>
      <w:r w:rsidRPr="00600FC7">
        <w:rPr>
          <w:rFonts w:ascii="Times New Roman" w:eastAsia="Times New Roman" w:hAnsi="Times New Roman" w:cs="Times New Roman"/>
          <w:sz w:val="24"/>
          <w:szCs w:val="24"/>
        </w:rPr>
        <w:t>(9), 1342–1348.</w:t>
      </w:r>
    </w:p>
    <w:p w14:paraId="63B0D8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E., &amp; Podell, K. (2000). Adaptive decision making, ecological validity, and the frontal lobes.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 56–68. </w:t>
      </w:r>
      <w:hyperlink r:id="rId2105" w:history="1">
        <w:r w:rsidRPr="00600FC7">
          <w:rPr>
            <w:rFonts w:ascii="Times New Roman" w:eastAsia="Times New Roman" w:hAnsi="Times New Roman" w:cs="Times New Roman"/>
            <w:color w:val="0000FF"/>
            <w:sz w:val="24"/>
            <w:szCs w:val="24"/>
            <w:u w:val="single"/>
          </w:rPr>
          <w:t>https://doi.org/10.1076/1380-3395(200002)22:1;1-8;FT056</w:t>
        </w:r>
      </w:hyperlink>
    </w:p>
    <w:p w14:paraId="127FEDD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Aloia, M. S., Gourovitch, M. L., Missar, D., Pickar, D., &amp; Weinberger, D. R. (1998). Cognitive substrates of thought disorder, I: The semantic system.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155</w:t>
      </w:r>
      <w:r w:rsidRPr="00600FC7">
        <w:rPr>
          <w:rFonts w:ascii="Times New Roman" w:eastAsia="Times New Roman" w:hAnsi="Times New Roman" w:cs="Times New Roman"/>
          <w:sz w:val="24"/>
          <w:szCs w:val="24"/>
        </w:rPr>
        <w:t xml:space="preserve">(12), 1671–1676. </w:t>
      </w:r>
      <w:hyperlink r:id="rId2106" w:history="1">
        <w:r w:rsidRPr="00600FC7">
          <w:rPr>
            <w:rFonts w:ascii="Times New Roman" w:eastAsia="Times New Roman" w:hAnsi="Times New Roman" w:cs="Times New Roman"/>
            <w:color w:val="0000FF"/>
            <w:sz w:val="24"/>
            <w:szCs w:val="24"/>
            <w:u w:val="single"/>
          </w:rPr>
          <w:t>https://doi.org/10.1176/ajp.155.12.1671</w:t>
        </w:r>
      </w:hyperlink>
    </w:p>
    <w:p w14:paraId="50D546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Goldman, R. S., Burdick, K. E., Malhotra, A. K., Lencz, T., Patel, R. C., Woerner, M. G., Schooler, N. R., Kane, J. M., &amp; Robinson, D. G. (2007). Cognitive improvement after treatment with second-generation antipsychotic medications in first-episode schizophrenia: Is it a practice effect? </w:t>
      </w:r>
      <w:r w:rsidRPr="00600FC7">
        <w:rPr>
          <w:rFonts w:ascii="Times New Roman" w:eastAsia="Times New Roman" w:hAnsi="Times New Roman" w:cs="Times New Roman"/>
          <w:i/>
          <w:iCs/>
          <w:sz w:val="24"/>
          <w:szCs w:val="24"/>
        </w:rPr>
        <w:t>Archives of General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64</w:t>
      </w:r>
      <w:r w:rsidRPr="00600FC7">
        <w:rPr>
          <w:rFonts w:ascii="Times New Roman" w:eastAsia="Times New Roman" w:hAnsi="Times New Roman" w:cs="Times New Roman"/>
          <w:sz w:val="24"/>
          <w:szCs w:val="24"/>
        </w:rPr>
        <w:t xml:space="preserve">(10), 1115–1122. </w:t>
      </w:r>
      <w:hyperlink r:id="rId2107" w:history="1">
        <w:r w:rsidRPr="00600FC7">
          <w:rPr>
            <w:rFonts w:ascii="Times New Roman" w:eastAsia="Times New Roman" w:hAnsi="Times New Roman" w:cs="Times New Roman"/>
            <w:color w:val="0000FF"/>
            <w:sz w:val="24"/>
            <w:szCs w:val="24"/>
            <w:u w:val="single"/>
          </w:rPr>
          <w:t>https://doi.org/10.1001/archpsyc.64.10.1115</w:t>
        </w:r>
      </w:hyperlink>
    </w:p>
    <w:p w14:paraId="21060DD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Keefe, R. S. E., Goldman, R. S., Robinson, D. G., &amp; Harvey, P. D. (2010). Circumstances under which practice does not make perfect: A review of the practice effect literature in schizophrenia and its relevance to clinical treatment studies.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(5), 1063–1072. </w:t>
      </w:r>
      <w:hyperlink r:id="rId2108" w:history="1">
        <w:r w:rsidRPr="00600FC7">
          <w:rPr>
            <w:rFonts w:ascii="Times New Roman" w:eastAsia="Times New Roman" w:hAnsi="Times New Roman" w:cs="Times New Roman"/>
            <w:color w:val="0000FF"/>
            <w:sz w:val="24"/>
            <w:szCs w:val="24"/>
            <w:u w:val="single"/>
          </w:rPr>
          <w:t>https://doi.org/10.1038/npp.2009.211</w:t>
        </w:r>
      </w:hyperlink>
    </w:p>
    <w:p w14:paraId="004D5ED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T. E., Torrey, E. F., Berman, K. F., &amp; Weinberger, D. R. (1994). Relations between neuropsychological performance and brain morphological and physiological measures in monozygotic twins discordant for schizophrenia. </w:t>
      </w:r>
      <w:r w:rsidRPr="00600FC7">
        <w:rPr>
          <w:rFonts w:ascii="Times New Roman" w:eastAsia="Times New Roman" w:hAnsi="Times New Roman" w:cs="Times New Roman"/>
          <w:i/>
          <w:iCs/>
          <w:sz w:val="24"/>
          <w:szCs w:val="24"/>
        </w:rPr>
        <w:t>Psychiatry Research: Neuroimaging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55</w:t>
      </w:r>
      <w:r w:rsidRPr="00600FC7">
        <w:rPr>
          <w:rFonts w:ascii="Times New Roman" w:eastAsia="Times New Roman" w:hAnsi="Times New Roman" w:cs="Times New Roman"/>
          <w:sz w:val="24"/>
          <w:szCs w:val="24"/>
        </w:rPr>
        <w:t xml:space="preserve">(1), 51–61. </w:t>
      </w:r>
      <w:hyperlink r:id="rId2109" w:history="1">
        <w:r w:rsidRPr="00600FC7">
          <w:rPr>
            <w:rFonts w:ascii="Times New Roman" w:eastAsia="Times New Roman" w:hAnsi="Times New Roman" w:cs="Times New Roman"/>
            <w:color w:val="0000FF"/>
            <w:sz w:val="24"/>
            <w:szCs w:val="24"/>
            <w:u w:val="single"/>
          </w:rPr>
          <w:t>https://doi.org/10.1016/0925-4927(94)90011-6</w:t>
        </w:r>
      </w:hyperlink>
    </w:p>
    <w:p w14:paraId="333B92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Goldberg, T. E., &amp; Weinberger, D. R. (1994). Schizophrenia, training paradigms, and the Wisconsin Card Sorting Test redux.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291–296. </w:t>
      </w:r>
      <w:hyperlink r:id="rId2110" w:history="1">
        <w:r w:rsidRPr="00600FC7">
          <w:rPr>
            <w:rFonts w:ascii="Times New Roman" w:eastAsia="Times New Roman" w:hAnsi="Times New Roman" w:cs="Times New Roman"/>
            <w:color w:val="0000FF"/>
            <w:sz w:val="24"/>
            <w:szCs w:val="24"/>
            <w:u w:val="single"/>
          </w:rPr>
          <w:t>https://doi.org/10.1016/0920-9964(94)90024-8</w:t>
        </w:r>
      </w:hyperlink>
    </w:p>
    <w:p w14:paraId="0F64AE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Goldberg, X., Fatjó-Vilas, M., Alemany, S., Nenadic, I., Gastó, C., &amp; Fañanás, L. (2013). Gene–environment interaction on cognition: A twin study of childhood maltreatment and COMT variability.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(7), 989–994. </w:t>
      </w:r>
      <w:hyperlink r:id="rId2111" w:history="1">
        <w:r w:rsidRPr="00600FC7">
          <w:rPr>
            <w:rFonts w:ascii="Times New Roman" w:eastAsia="Times New Roman" w:hAnsi="Times New Roman" w:cs="Times New Roman"/>
            <w:color w:val="0000FF"/>
            <w:sz w:val="24"/>
            <w:szCs w:val="24"/>
            <w:u w:val="single"/>
          </w:rPr>
          <w:t>https://doi.org/10.1016/j.jpsychires.2013.02.002</w:t>
        </w:r>
      </w:hyperlink>
    </w:p>
    <w:p w14:paraId="248D3C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Golden, C. J., &amp; Hines, L. J. (2011). Assessment of executive functions in a pediatric population. </w:t>
      </w:r>
      <w:r w:rsidRPr="00600FC7">
        <w:rPr>
          <w:rFonts w:ascii="Times New Roman" w:eastAsia="Times New Roman" w:hAnsi="Times New Roman" w:cs="Times New Roman"/>
          <w:i/>
          <w:iCs/>
          <w:sz w:val="24"/>
          <w:szCs w:val="24"/>
        </w:rPr>
        <w:t>Handbook of Pediatric Neuropsychology.</w:t>
      </w:r>
      <w:r w:rsidRPr="00600FC7">
        <w:rPr>
          <w:rFonts w:ascii="Times New Roman" w:eastAsia="Times New Roman" w:hAnsi="Times New Roman" w:cs="Times New Roman"/>
          <w:sz w:val="24"/>
          <w:szCs w:val="24"/>
        </w:rPr>
        <w:t>, 261–273.</w:t>
      </w:r>
    </w:p>
    <w:p w14:paraId="59484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Golden, C. J., Kushner, T., Lee, B., &amp; McMorrow, M. A. (1998). Searching for the meaning of the Category Test and the Wisconsin Card Sort Test: A comparative analysis.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93</w:t>
      </w:r>
      <w:r w:rsidRPr="00600FC7">
        <w:rPr>
          <w:rFonts w:ascii="Times New Roman" w:eastAsia="Times New Roman" w:hAnsi="Times New Roman" w:cs="Times New Roman"/>
          <w:sz w:val="24"/>
          <w:szCs w:val="24"/>
        </w:rPr>
        <w:t xml:space="preserve">(1–2), 141–150. </w:t>
      </w:r>
      <w:hyperlink r:id="rId2112" w:history="1">
        <w:r w:rsidRPr="00600FC7">
          <w:rPr>
            <w:rFonts w:ascii="Times New Roman" w:eastAsia="Times New Roman" w:hAnsi="Times New Roman" w:cs="Times New Roman"/>
            <w:color w:val="0000FF"/>
            <w:sz w:val="24"/>
            <w:szCs w:val="24"/>
            <w:u w:val="single"/>
          </w:rPr>
          <w:t>https://doi.org/10.3109/00207459808986419</w:t>
        </w:r>
      </w:hyperlink>
    </w:p>
    <w:p w14:paraId="454AD80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Goldman, R. S., Axelrod, B. N., Heaton, R. K., Chelune, G. J., &amp; al, et. (1996). Latent structure of the WCST with the standardization samples. </w:t>
      </w:r>
      <w:r w:rsidRPr="00600FC7">
        <w:rPr>
          <w:rFonts w:ascii="Times New Roman" w:eastAsia="Times New Roman" w:hAnsi="Times New Roman" w:cs="Times New Roman"/>
          <w:i/>
          <w:iCs/>
          <w:sz w:val="24"/>
          <w:szCs w:val="24"/>
        </w:rPr>
        <w:t>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w:t>
      </w:r>
      <w:r w:rsidRPr="00600FC7">
        <w:rPr>
          <w:rFonts w:ascii="Times New Roman" w:eastAsia="Times New Roman" w:hAnsi="Times New Roman" w:cs="Times New Roman"/>
          <w:sz w:val="24"/>
          <w:szCs w:val="24"/>
        </w:rPr>
        <w:t>(1), 73–78.</w:t>
      </w:r>
    </w:p>
    <w:p w14:paraId="634F81E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Goldner-Vukov, M., Moore, L.-J., &amp; Cupina, D. (2007). Bipolar disorder: From psychoeducational to existential group therapy. </w:t>
      </w:r>
      <w:r w:rsidRPr="00600FC7">
        <w:rPr>
          <w:rFonts w:ascii="Times New Roman" w:eastAsia="Times New Roman" w:hAnsi="Times New Roman" w:cs="Times New Roman"/>
          <w:i/>
          <w:iCs/>
          <w:sz w:val="24"/>
          <w:szCs w:val="24"/>
        </w:rPr>
        <w:t>Australasian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(1), 30–34. </w:t>
      </w:r>
      <w:hyperlink r:id="rId2113" w:history="1">
        <w:r w:rsidRPr="00600FC7">
          <w:rPr>
            <w:rFonts w:ascii="Times New Roman" w:eastAsia="Times New Roman" w:hAnsi="Times New Roman" w:cs="Times New Roman"/>
            <w:color w:val="0000FF"/>
            <w:sz w:val="24"/>
            <w:szCs w:val="24"/>
            <w:u w:val="single"/>
          </w:rPr>
          <w:t>https://doi.org/10.1080/10398560601083100</w:t>
        </w:r>
      </w:hyperlink>
    </w:p>
    <w:p w14:paraId="7C3850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B., Obrzut, J. E., John, C., Ledakis, G., &amp; Armstrong, C. L. (2004). The impact of frontal and non-frontal brain tumor lesions on Wisconsin Card Sorting Test performance.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54</w:t>
      </w:r>
      <w:r w:rsidRPr="00600FC7">
        <w:rPr>
          <w:rFonts w:ascii="Times New Roman" w:eastAsia="Times New Roman" w:hAnsi="Times New Roman" w:cs="Times New Roman"/>
          <w:sz w:val="24"/>
          <w:szCs w:val="24"/>
        </w:rPr>
        <w:t xml:space="preserve">(2), 110–116. </w:t>
      </w:r>
      <w:hyperlink r:id="rId2114" w:history="1">
        <w:r w:rsidRPr="00600FC7">
          <w:rPr>
            <w:rFonts w:ascii="Times New Roman" w:eastAsia="Times New Roman" w:hAnsi="Times New Roman" w:cs="Times New Roman"/>
            <w:color w:val="0000FF"/>
            <w:sz w:val="24"/>
            <w:szCs w:val="24"/>
            <w:u w:val="single"/>
          </w:rPr>
          <w:t>https://doi.org/10.1016/S0278-2626(03)00269-0</w:t>
        </w:r>
      </w:hyperlink>
    </w:p>
    <w:p w14:paraId="176476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D. S. (1999). </w:t>
      </w:r>
      <w:r w:rsidRPr="00600FC7">
        <w:rPr>
          <w:rFonts w:ascii="Times New Roman" w:eastAsia="Times New Roman" w:hAnsi="Times New Roman" w:cs="Times New Roman"/>
          <w:i/>
          <w:iCs/>
          <w:sz w:val="24"/>
          <w:szCs w:val="24"/>
        </w:rPr>
        <w:t>Assessment of frontal lobe functioning in psychopathy.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(7-B), 3756–3756.</w:t>
      </w:r>
    </w:p>
    <w:p w14:paraId="041EA8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Goldstein, G. (2013). Application of cluster analysis to investigate neuropsychological heterogeneity in psychiatric and neurological patients. In </w:t>
      </w:r>
      <w:r w:rsidRPr="00600FC7">
        <w:rPr>
          <w:rFonts w:ascii="Times New Roman" w:eastAsia="Times New Roman" w:hAnsi="Times New Roman" w:cs="Times New Roman"/>
          <w:i/>
          <w:iCs/>
          <w:sz w:val="24"/>
          <w:szCs w:val="24"/>
        </w:rPr>
        <w:t>Cluster analysis in neuropsychological research: Recent applications.</w:t>
      </w:r>
      <w:r w:rsidRPr="00600FC7">
        <w:rPr>
          <w:rFonts w:ascii="Times New Roman" w:eastAsia="Times New Roman" w:hAnsi="Times New Roman" w:cs="Times New Roman"/>
          <w:sz w:val="24"/>
          <w:szCs w:val="24"/>
        </w:rPr>
        <w:t xml:space="preserve"> (pp. 37–70). Springer Science + Business Media. </w:t>
      </w:r>
      <w:hyperlink r:id="rId2115" w:history="1">
        <w:r w:rsidRPr="00600FC7">
          <w:rPr>
            <w:rFonts w:ascii="Times New Roman" w:eastAsia="Times New Roman" w:hAnsi="Times New Roman" w:cs="Times New Roman"/>
            <w:color w:val="0000FF"/>
            <w:sz w:val="24"/>
            <w:szCs w:val="24"/>
            <w:u w:val="single"/>
          </w:rPr>
          <w:t>https://doi.org/10.1007/978-1-4614-6744-1_3</w:t>
        </w:r>
      </w:hyperlink>
    </w:p>
    <w:p w14:paraId="27323B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Beers, S. R., &amp; Shemansky, W. J. (1996). Neuropsychological differences between schizophrenic patients with heterogeneous Wisconsin Card Sorting Test performance.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(1), 13–18. </w:t>
      </w:r>
      <w:hyperlink r:id="rId2116" w:history="1">
        <w:r w:rsidRPr="00600FC7">
          <w:rPr>
            <w:rFonts w:ascii="Times New Roman" w:eastAsia="Times New Roman" w:hAnsi="Times New Roman" w:cs="Times New Roman"/>
            <w:color w:val="0000FF"/>
            <w:sz w:val="24"/>
            <w:szCs w:val="24"/>
            <w:u w:val="single"/>
          </w:rPr>
          <w:t>https://doi.org/10.1016/0920-9964(96)00019-9</w:t>
        </w:r>
      </w:hyperlink>
    </w:p>
    <w:p w14:paraId="4D203AB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Brown, L. H., Haas, G. L., &amp; Allen, D. N. (2013). Schizophrenia. In </w:t>
      </w:r>
      <w:r w:rsidRPr="00600FC7">
        <w:rPr>
          <w:rFonts w:ascii="Times New Roman" w:eastAsia="Times New Roman" w:hAnsi="Times New Roman" w:cs="Times New Roman"/>
          <w:i/>
          <w:iCs/>
          <w:sz w:val="24"/>
          <w:szCs w:val="24"/>
        </w:rPr>
        <w:t>The neuropsychology of psychopathology.</w:t>
      </w:r>
      <w:r w:rsidRPr="00600FC7">
        <w:rPr>
          <w:rFonts w:ascii="Times New Roman" w:eastAsia="Times New Roman" w:hAnsi="Times New Roman" w:cs="Times New Roman"/>
          <w:sz w:val="24"/>
          <w:szCs w:val="24"/>
        </w:rPr>
        <w:t xml:space="preserve"> (pp. 325–343). Springer Publishing Co.</w:t>
      </w:r>
    </w:p>
    <w:p w14:paraId="687878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Haas, G. L., Pakrashi, M., Novero, A. M., &amp; Luther, J. F. (2006). The Cycle of Schizoaffective Disorder, Cognitive Ability, Alcoholism, and Suicidality. </w:t>
      </w:r>
      <w:r w:rsidRPr="00600FC7">
        <w:rPr>
          <w:rFonts w:ascii="Times New Roman" w:eastAsia="Times New Roman" w:hAnsi="Times New Roman" w:cs="Times New Roman"/>
          <w:i/>
          <w:iCs/>
          <w:sz w:val="24"/>
          <w:szCs w:val="24"/>
        </w:rPr>
        <w:t>Suicide and Life-Threatening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(1), 35–43. </w:t>
      </w:r>
      <w:hyperlink r:id="rId2117" w:history="1">
        <w:r w:rsidRPr="00600FC7">
          <w:rPr>
            <w:rFonts w:ascii="Times New Roman" w:eastAsia="Times New Roman" w:hAnsi="Times New Roman" w:cs="Times New Roman"/>
            <w:color w:val="0000FF"/>
            <w:sz w:val="24"/>
            <w:szCs w:val="24"/>
            <w:u w:val="single"/>
          </w:rPr>
          <w:t>https://doi.org/10.1521/suli.2006.36.1.35</w:t>
        </w:r>
      </w:hyperlink>
    </w:p>
    <w:p w14:paraId="70BF75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Jo Shemansky, W., &amp; Allen, D. N. (2005). Cognitive function in schizoaffective disorder and clinical subtypes of schizophrenia.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(2), 153–159. </w:t>
      </w:r>
      <w:hyperlink r:id="rId2118" w:history="1">
        <w:r w:rsidRPr="00600FC7">
          <w:rPr>
            <w:rFonts w:ascii="Times New Roman" w:eastAsia="Times New Roman" w:hAnsi="Times New Roman" w:cs="Times New Roman"/>
            <w:color w:val="0000FF"/>
            <w:sz w:val="24"/>
            <w:szCs w:val="24"/>
            <w:u w:val="single"/>
          </w:rPr>
          <w:t>https://doi.org/10.1016/j.acn.2004.03.008</w:t>
        </w:r>
      </w:hyperlink>
    </w:p>
    <w:p w14:paraId="7C018F6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Minshew, N. J., Allen, D. N., &amp; Seaton, B. E. (2002). High-functioning autism and schizophrenia: A comparison of an early and late onset neurodevelopmental disorder.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(5), 461–475. </w:t>
      </w:r>
      <w:hyperlink r:id="rId2119" w:history="1">
        <w:r w:rsidRPr="00600FC7">
          <w:rPr>
            <w:rFonts w:ascii="Times New Roman" w:eastAsia="Times New Roman" w:hAnsi="Times New Roman" w:cs="Times New Roman"/>
            <w:color w:val="0000FF"/>
            <w:sz w:val="24"/>
            <w:szCs w:val="24"/>
            <w:u w:val="single"/>
          </w:rPr>
          <w:t>https://doi.org/10.1016/S0887-6177(01)00129-9</w:t>
        </w:r>
      </w:hyperlink>
    </w:p>
    <w:p w14:paraId="62E778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G., Panchalingam, K., McClure, R. J., Stanley, J. A., Calhoun, V. D., Pearlson, G. D., &amp; Pettegrew, J. W. (2009). Molecular neurodevelopment: An in vivo </w:t>
      </w:r>
      <w:r w:rsidRPr="00600FC7">
        <w:rPr>
          <w:rFonts w:ascii="Times New Roman" w:eastAsia="Times New Roman" w:hAnsi="Times New Roman" w:cs="Times New Roman"/>
          <w:sz w:val="24"/>
          <w:szCs w:val="24"/>
          <w:vertAlign w:val="superscript"/>
        </w:rPr>
        <w:t>31</w:t>
      </w:r>
      <w:r w:rsidRPr="00600FC7">
        <w:rPr>
          <w:rFonts w:ascii="Times New Roman" w:eastAsia="Times New Roman" w:hAnsi="Times New Roman" w:cs="Times New Roman"/>
          <w:sz w:val="24"/>
          <w:szCs w:val="24"/>
        </w:rPr>
        <w:t>P-</w:t>
      </w:r>
      <w:r w:rsidRPr="00600FC7">
        <w:rPr>
          <w:rFonts w:ascii="Times New Roman" w:eastAsia="Times New Roman" w:hAnsi="Times New Roman" w:cs="Times New Roman"/>
          <w:sz w:val="24"/>
          <w:szCs w:val="24"/>
          <w:vertAlign w:val="superscript"/>
        </w:rPr>
        <w:t>1</w:t>
      </w:r>
      <w:r w:rsidRPr="00600FC7">
        <w:rPr>
          <w:rFonts w:ascii="Times New Roman" w:eastAsia="Times New Roman" w:hAnsi="Times New Roman" w:cs="Times New Roman"/>
          <w:sz w:val="24"/>
          <w:szCs w:val="24"/>
        </w:rPr>
        <w:t xml:space="preserve">H MRSI study. </w:t>
      </w:r>
      <w:r w:rsidRPr="00600FC7">
        <w:rPr>
          <w:rFonts w:ascii="Times New Roman" w:eastAsia="Times New Roman" w:hAnsi="Times New Roman" w:cs="Times New Roman"/>
          <w:i/>
          <w:iCs/>
          <w:sz w:val="24"/>
          <w:szCs w:val="24"/>
        </w:rPr>
        <w:lastRenderedPageBreak/>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(5), 671–683. </w:t>
      </w:r>
      <w:hyperlink r:id="rId2120" w:history="1">
        <w:r w:rsidRPr="00600FC7">
          <w:rPr>
            <w:rFonts w:ascii="Times New Roman" w:eastAsia="Times New Roman" w:hAnsi="Times New Roman" w:cs="Times New Roman"/>
            <w:color w:val="0000FF"/>
            <w:sz w:val="24"/>
            <w:szCs w:val="24"/>
            <w:u w:val="single"/>
          </w:rPr>
          <w:t>https://doi.org/10.1017/S1355617709990233</w:t>
        </w:r>
      </w:hyperlink>
    </w:p>
    <w:p w14:paraId="650699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Goldstein, R. Z., Leskovjan, A. C., Hoff, A. L., Hitzemann, R., Bashan, F., Khalsa, S. S., Wang, G.-J., Fowler, J. S., &amp; Volkow, N. D. (2004). Severity of neuropsychological impairment in cocaine and alcohol addiction: Association with metabolism in the prefrontal cortex.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42</w:t>
      </w:r>
      <w:r w:rsidRPr="00600FC7">
        <w:rPr>
          <w:rFonts w:ascii="Times New Roman" w:eastAsia="Times New Roman" w:hAnsi="Times New Roman" w:cs="Times New Roman"/>
          <w:sz w:val="24"/>
          <w:szCs w:val="24"/>
        </w:rPr>
        <w:t xml:space="preserve">(11), 1447–1458. </w:t>
      </w:r>
      <w:hyperlink r:id="rId2121" w:history="1">
        <w:r w:rsidRPr="00600FC7">
          <w:rPr>
            <w:rFonts w:ascii="Times New Roman" w:eastAsia="Times New Roman" w:hAnsi="Times New Roman" w:cs="Times New Roman"/>
            <w:color w:val="0000FF"/>
            <w:sz w:val="24"/>
            <w:szCs w:val="24"/>
            <w:u w:val="single"/>
          </w:rPr>
          <w:t>https://doi.org/10.1016/j.neuropsychologia.2004.04.002</w:t>
        </w:r>
      </w:hyperlink>
    </w:p>
    <w:p w14:paraId="494506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Gomes, E. R. de O., Leite, D. S., Garcia, D. F., Maranhão, S., &amp; Hazin, I. (2012). Neuropsychological profile of patients with acute lymphoblastic leukemia. </w:t>
      </w:r>
      <w:r w:rsidRPr="00600FC7">
        <w:rPr>
          <w:rFonts w:ascii="Times New Roman" w:eastAsia="Times New Roman" w:hAnsi="Times New Roman" w:cs="Times New Roman"/>
          <w:i/>
          <w:iCs/>
          <w:sz w:val="24"/>
          <w:szCs w:val="24"/>
        </w:rPr>
        <w:t>Psychology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 xml:space="preserve">(2), 175–182. </w:t>
      </w:r>
      <w:hyperlink r:id="rId2122" w:history="1">
        <w:r w:rsidRPr="00600FC7">
          <w:rPr>
            <w:rFonts w:ascii="Times New Roman" w:eastAsia="Times New Roman" w:hAnsi="Times New Roman" w:cs="Times New Roman"/>
            <w:color w:val="0000FF"/>
            <w:sz w:val="24"/>
            <w:szCs w:val="24"/>
            <w:u w:val="single"/>
          </w:rPr>
          <w:t>https://doi.org/10.3922/j.psns.2012.2.07</w:t>
        </w:r>
      </w:hyperlink>
    </w:p>
    <w:p w14:paraId="781D45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 D., Power, C., Gill, M. J., &amp; Fujiwara, E. (2017). Determinants of risk-taking in HIV-associated neurocognitive disorders.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(7), 798–810. </w:t>
      </w:r>
      <w:hyperlink r:id="rId2123" w:history="1">
        <w:r w:rsidRPr="00600FC7">
          <w:rPr>
            <w:rFonts w:ascii="Times New Roman" w:eastAsia="Times New Roman" w:hAnsi="Times New Roman" w:cs="Times New Roman"/>
            <w:color w:val="0000FF"/>
            <w:sz w:val="24"/>
            <w:szCs w:val="24"/>
            <w:u w:val="single"/>
          </w:rPr>
          <w:t>https://doi.org/10.1037/neu0000366</w:t>
        </w:r>
      </w:hyperlink>
    </w:p>
    <w:p w14:paraId="160BC37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Gómez-Beldarrain, M., Carrasco, M., Bilbao, A., &amp; García-Moncó, J. C. (2011). Orbitofrontal dysfunction predicts poor prognosis in chronic migraine with medication overuse. </w:t>
      </w:r>
      <w:r w:rsidRPr="00600FC7">
        <w:rPr>
          <w:rFonts w:ascii="Times New Roman" w:eastAsia="Times New Roman" w:hAnsi="Times New Roman" w:cs="Times New Roman"/>
          <w:i/>
          <w:iCs/>
          <w:sz w:val="24"/>
          <w:szCs w:val="24"/>
        </w:rPr>
        <w:t>The Journal of Headache and Pain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w:t>
      </w:r>
      <w:r w:rsidRPr="00600FC7">
        <w:rPr>
          <w:rFonts w:ascii="Times New Roman" w:eastAsia="Times New Roman" w:hAnsi="Times New Roman" w:cs="Times New Roman"/>
          <w:sz w:val="24"/>
          <w:szCs w:val="24"/>
        </w:rPr>
        <w:t xml:space="preserve">(4), 459–466. </w:t>
      </w:r>
      <w:hyperlink r:id="rId2124" w:history="1">
        <w:r w:rsidRPr="00600FC7">
          <w:rPr>
            <w:rFonts w:ascii="Times New Roman" w:eastAsia="Times New Roman" w:hAnsi="Times New Roman" w:cs="Times New Roman"/>
            <w:color w:val="0000FF"/>
            <w:sz w:val="24"/>
            <w:szCs w:val="24"/>
            <w:u w:val="single"/>
          </w:rPr>
          <w:t>https://doi.org/10.1007/s10194-011-0340-6</w:t>
        </w:r>
      </w:hyperlink>
    </w:p>
    <w:p w14:paraId="5C562E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Gomez-Beldarrain, M., Harries, C., Garcia-Monco, J. C., Ballus, E., &amp; Grafman, J. (2004). Patients with right frontal lesions are unable to assess and use advice to make predictive judgments. </w:t>
      </w:r>
      <w:r w:rsidRPr="00600FC7">
        <w:rPr>
          <w:rFonts w:ascii="Times New Roman" w:eastAsia="Times New Roman" w:hAnsi="Times New Roman" w:cs="Times New Roman"/>
          <w:i/>
          <w:iCs/>
          <w:sz w:val="24"/>
          <w:szCs w:val="24"/>
        </w:rPr>
        <w:t>Journal of Cognitive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74–89. </w:t>
      </w:r>
      <w:hyperlink r:id="rId2125" w:history="1">
        <w:r w:rsidRPr="00600FC7">
          <w:rPr>
            <w:rFonts w:ascii="Times New Roman" w:eastAsia="Times New Roman" w:hAnsi="Times New Roman" w:cs="Times New Roman"/>
            <w:color w:val="0000FF"/>
            <w:sz w:val="24"/>
            <w:szCs w:val="24"/>
            <w:u w:val="single"/>
          </w:rPr>
          <w:t>https://doi.org/10.1162/089892904322755575</w:t>
        </w:r>
      </w:hyperlink>
    </w:p>
    <w:p w14:paraId="713949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Gómez-Pérez, M. M., Calero, M. D., Mata, S., &amp; Molinero, C. (2016). Discrepancies between direct and indirect measures of interpersonal and neurocognitive skills in autism spectrum </w:t>
      </w:r>
      <w:r w:rsidRPr="00600FC7">
        <w:rPr>
          <w:rFonts w:ascii="Times New Roman" w:eastAsia="Times New Roman" w:hAnsi="Times New Roman" w:cs="Times New Roman"/>
          <w:sz w:val="24"/>
          <w:szCs w:val="24"/>
        </w:rPr>
        <w:lastRenderedPageBreak/>
        <w:t xml:space="preserve">disorder children.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(8), 875–886. </w:t>
      </w:r>
      <w:hyperlink r:id="rId2126" w:history="1">
        <w:r w:rsidRPr="00600FC7">
          <w:rPr>
            <w:rFonts w:ascii="Times New Roman" w:eastAsia="Times New Roman" w:hAnsi="Times New Roman" w:cs="Times New Roman"/>
            <w:color w:val="0000FF"/>
            <w:sz w:val="24"/>
            <w:szCs w:val="24"/>
            <w:u w:val="single"/>
          </w:rPr>
          <w:t>https://doi.org/10.1080/13803395.2016.1170106</w:t>
        </w:r>
      </w:hyperlink>
    </w:p>
    <w:p w14:paraId="3DD053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Gomez‐Pilar, J., de Luis‐García, R., Lubeiro, A., de la Red, H., Poza, J., Núñez, P., Hornero, R., &amp; Molina, V. (2018). Relations between structural and EEG‐based graph metrics in healthy controls and schizophrenia patients.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3152–3165. </w:t>
      </w:r>
      <w:hyperlink r:id="rId2127" w:history="1">
        <w:r w:rsidRPr="00600FC7">
          <w:rPr>
            <w:rFonts w:ascii="Times New Roman" w:eastAsia="Times New Roman" w:hAnsi="Times New Roman" w:cs="Times New Roman"/>
            <w:color w:val="0000FF"/>
            <w:sz w:val="24"/>
            <w:szCs w:val="24"/>
            <w:u w:val="single"/>
          </w:rPr>
          <w:t>https://doi.org/10.1002/hbm.24066</w:t>
        </w:r>
      </w:hyperlink>
    </w:p>
    <w:p w14:paraId="7C12BC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Gomez-Pilar, J., Lubeiro, A., Poza, J., Hornero, R., Ayuso, M., Valcárcel, C., Haidar, K., Blanco, J. A., &amp; Molina, V. (2017). Functional EEG network analysis in schizophrenia: Evidence of larger segregation and deficit of modulation.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76</w:t>
      </w:r>
      <w:r w:rsidRPr="00600FC7">
        <w:rPr>
          <w:rFonts w:ascii="Times New Roman" w:eastAsia="Times New Roman" w:hAnsi="Times New Roman" w:cs="Times New Roman"/>
          <w:sz w:val="24"/>
          <w:szCs w:val="24"/>
        </w:rPr>
        <w:t xml:space="preserve">, 116–123. </w:t>
      </w:r>
      <w:hyperlink r:id="rId2128" w:history="1">
        <w:r w:rsidRPr="00600FC7">
          <w:rPr>
            <w:rFonts w:ascii="Times New Roman" w:eastAsia="Times New Roman" w:hAnsi="Times New Roman" w:cs="Times New Roman"/>
            <w:color w:val="0000FF"/>
            <w:sz w:val="24"/>
            <w:szCs w:val="24"/>
            <w:u w:val="single"/>
          </w:rPr>
          <w:t>https://doi.org/10.1016/j.pnpbp.2017.03.004</w:t>
        </w:r>
      </w:hyperlink>
    </w:p>
    <w:p w14:paraId="75D1E4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Gomez‐Pilar, J., Martín‐Santiago, O., Suazo, V., de Azua, S. R., Haidar, M. K., Gallardo, R., Poza, J., Hornero, R., &amp; Molina, V. (2016). Association between electroencephalographic modulation, psychotic‐like experiences and cognitive performance in the general population.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70</w:t>
      </w:r>
      <w:r w:rsidRPr="00600FC7">
        <w:rPr>
          <w:rFonts w:ascii="Times New Roman" w:eastAsia="Times New Roman" w:hAnsi="Times New Roman" w:cs="Times New Roman"/>
          <w:sz w:val="24"/>
          <w:szCs w:val="24"/>
        </w:rPr>
        <w:t xml:space="preserve">(7), 286–294. </w:t>
      </w:r>
      <w:hyperlink r:id="rId2129" w:history="1">
        <w:r w:rsidRPr="00600FC7">
          <w:rPr>
            <w:rFonts w:ascii="Times New Roman" w:eastAsia="Times New Roman" w:hAnsi="Times New Roman" w:cs="Times New Roman"/>
            <w:color w:val="0000FF"/>
            <w:sz w:val="24"/>
            <w:szCs w:val="24"/>
            <w:u w:val="single"/>
          </w:rPr>
          <w:t>https://doi.org/10.1111/pcn.12390</w:t>
        </w:r>
      </w:hyperlink>
    </w:p>
    <w:p w14:paraId="104367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Gonçalves, P. D., Ometto, M., Bechara, A., Malbergier, A., Amaral, R., Nicastri, S., Martins, P. A., Beraldo, L., dos Santos, B., Fuentes, D., Andrade, A. G., Busatto, G. F., &amp; Cunha, P. J. (2014). Motivational interviewing combined with chess accelerates improvement in executive functions in cocaine dependent patients: A one-month prospective study. </w:t>
      </w:r>
      <w:r w:rsidRPr="00600FC7">
        <w:rPr>
          <w:rFonts w:ascii="Times New Roman" w:eastAsia="Times New Roman" w:hAnsi="Times New Roman" w:cs="Times New Roman"/>
          <w:i/>
          <w:iCs/>
          <w:sz w:val="24"/>
          <w:szCs w:val="24"/>
        </w:rPr>
        <w:t>Drug and Alcohol Dependence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141</w:t>
      </w:r>
      <w:r w:rsidRPr="00600FC7">
        <w:rPr>
          <w:rFonts w:ascii="Times New Roman" w:eastAsia="Times New Roman" w:hAnsi="Times New Roman" w:cs="Times New Roman"/>
          <w:sz w:val="24"/>
          <w:szCs w:val="24"/>
        </w:rPr>
        <w:t xml:space="preserve">, 79–84. </w:t>
      </w:r>
      <w:hyperlink r:id="rId2130" w:history="1">
        <w:r w:rsidRPr="00600FC7">
          <w:rPr>
            <w:rFonts w:ascii="Times New Roman" w:eastAsia="Times New Roman" w:hAnsi="Times New Roman" w:cs="Times New Roman"/>
            <w:color w:val="0000FF"/>
            <w:sz w:val="24"/>
            <w:szCs w:val="24"/>
            <w:u w:val="single"/>
          </w:rPr>
          <w:t>https://doi.org/10.1016/j.drugalcdep.2014.05.006</w:t>
        </w:r>
      </w:hyperlink>
    </w:p>
    <w:p w14:paraId="04DB5B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Gong, P., Li, J., Chi, W., Wang, J., Yao, T., Zhang, K., Gao, X., &amp; Zhang, F. (2011). Variants in COMT and DBH influence on response inhibition ability in Chinese Han females. </w:t>
      </w:r>
      <w:r w:rsidRPr="00600FC7">
        <w:rPr>
          <w:rFonts w:ascii="Times New Roman" w:eastAsia="Times New Roman" w:hAnsi="Times New Roman" w:cs="Times New Roman"/>
          <w:i/>
          <w:iCs/>
          <w:sz w:val="24"/>
          <w:szCs w:val="24"/>
        </w:rPr>
        <w:t xml:space="preserve">Cellular </w:t>
      </w:r>
      <w:r w:rsidRPr="00600FC7">
        <w:rPr>
          <w:rFonts w:ascii="Times New Roman" w:eastAsia="Times New Roman" w:hAnsi="Times New Roman" w:cs="Times New Roman"/>
          <w:i/>
          <w:iCs/>
          <w:sz w:val="24"/>
          <w:szCs w:val="24"/>
        </w:rPr>
        <w:lastRenderedPageBreak/>
        <w:t>and Molecular Neurobiology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(8), 1163–1169. </w:t>
      </w:r>
      <w:hyperlink r:id="rId2131" w:history="1">
        <w:r w:rsidRPr="00600FC7">
          <w:rPr>
            <w:rFonts w:ascii="Times New Roman" w:eastAsia="Times New Roman" w:hAnsi="Times New Roman" w:cs="Times New Roman"/>
            <w:color w:val="0000FF"/>
            <w:sz w:val="24"/>
            <w:szCs w:val="24"/>
            <w:u w:val="single"/>
          </w:rPr>
          <w:t>https://doi.org/10.1007/s10571-011-9717-y</w:t>
        </w:r>
      </w:hyperlink>
    </w:p>
    <w:p w14:paraId="6E48C8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Gongvatana, A., Woods, S. P., Taylor, M. J., Vigil, O., &amp; Grant, I. (2007). Semantic Clustering Inefficiency in HIV-Associated Dementia.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(1), 36–42. </w:t>
      </w:r>
      <w:hyperlink r:id="rId2132" w:history="1">
        <w:r w:rsidRPr="00600FC7">
          <w:rPr>
            <w:rFonts w:ascii="Times New Roman" w:eastAsia="Times New Roman" w:hAnsi="Times New Roman" w:cs="Times New Roman"/>
            <w:color w:val="0000FF"/>
            <w:sz w:val="24"/>
            <w:szCs w:val="24"/>
            <w:u w:val="single"/>
          </w:rPr>
          <w:t>https://doi.org/10.1176/appi.neuropsych.19.1.36</w:t>
        </w:r>
      </w:hyperlink>
    </w:p>
    <w:p w14:paraId="7936E7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Gontkovsky, S. T. (2011). Acquired brain injury secondary to systemic sclerosis: A case report.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(11), 1139–1142. </w:t>
      </w:r>
      <w:hyperlink r:id="rId2133" w:history="1">
        <w:r w:rsidRPr="00600FC7">
          <w:rPr>
            <w:rFonts w:ascii="Times New Roman" w:eastAsia="Times New Roman" w:hAnsi="Times New Roman" w:cs="Times New Roman"/>
            <w:color w:val="0000FF"/>
            <w:sz w:val="24"/>
            <w:szCs w:val="24"/>
            <w:u w:val="single"/>
          </w:rPr>
          <w:t>https://doi.org/10.3109/02699052.2011.607784</w:t>
        </w:r>
      </w:hyperlink>
    </w:p>
    <w:p w14:paraId="4A5B6E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Gontkovsky, S. T., &amp; Beatty, W. W. (2006). Practical methods for the clinical assessment of information processing speed. </w:t>
      </w:r>
      <w:r w:rsidRPr="00600FC7">
        <w:rPr>
          <w:rFonts w:ascii="Times New Roman" w:eastAsia="Times New Roman" w:hAnsi="Times New Roman" w:cs="Times New Roman"/>
          <w:i/>
          <w:iCs/>
          <w:sz w:val="24"/>
          <w:szCs w:val="24"/>
        </w:rPr>
        <w:t>International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116</w:t>
      </w:r>
      <w:r w:rsidRPr="00600FC7">
        <w:rPr>
          <w:rFonts w:ascii="Times New Roman" w:eastAsia="Times New Roman" w:hAnsi="Times New Roman" w:cs="Times New Roman"/>
          <w:sz w:val="24"/>
          <w:szCs w:val="24"/>
        </w:rPr>
        <w:t xml:space="preserve">(11), 1317–1325. </w:t>
      </w:r>
      <w:hyperlink r:id="rId2134" w:history="1">
        <w:r w:rsidRPr="00600FC7">
          <w:rPr>
            <w:rFonts w:ascii="Times New Roman" w:eastAsia="Times New Roman" w:hAnsi="Times New Roman" w:cs="Times New Roman"/>
            <w:color w:val="0000FF"/>
            <w:sz w:val="24"/>
            <w:szCs w:val="24"/>
            <w:u w:val="single"/>
          </w:rPr>
          <w:t>https://doi.org/10.1080/00207450500516537</w:t>
        </w:r>
      </w:hyperlink>
    </w:p>
    <w:p w14:paraId="30B347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Gontkovsky, S. T., Vickery, C. D., &amp; Beatty, W. W. (2004). Construct validity of the 7/24 spatial recall test. </w:t>
      </w:r>
      <w:r w:rsidRPr="00600FC7">
        <w:rPr>
          <w:rFonts w:ascii="Times New Roman" w:eastAsia="Times New Roman" w:hAnsi="Times New Roman" w:cs="Times New Roman"/>
          <w:i/>
          <w:iCs/>
          <w:sz w:val="24"/>
          <w:szCs w:val="24"/>
        </w:rPr>
        <w:t>Applied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(2), 75–84. </w:t>
      </w:r>
      <w:hyperlink r:id="rId2135" w:history="1">
        <w:r w:rsidRPr="00600FC7">
          <w:rPr>
            <w:rFonts w:ascii="Times New Roman" w:eastAsia="Times New Roman" w:hAnsi="Times New Roman" w:cs="Times New Roman"/>
            <w:color w:val="0000FF"/>
            <w:sz w:val="24"/>
            <w:szCs w:val="24"/>
            <w:u w:val="single"/>
          </w:rPr>
          <w:t>https://doi.org/10.1207/s15324826an1102_2</w:t>
        </w:r>
      </w:hyperlink>
    </w:p>
    <w:p w14:paraId="68C194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Gonzalez, A., Jenkins, J. M., Steiner, M., &amp; Fleming, A. S. (2012). Maternal early life experiences and parenting: The mediating role of cortisol and executive function. </w:t>
      </w:r>
      <w:r w:rsidRPr="00600FC7">
        <w:rPr>
          <w:rFonts w:ascii="Times New Roman" w:eastAsia="Times New Roman" w:hAnsi="Times New Roman" w:cs="Times New Roman"/>
          <w:i/>
          <w:iCs/>
          <w:sz w:val="24"/>
          <w:szCs w:val="24"/>
        </w:rPr>
        <w:t>Journal of the American Academy of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(7), 673–682. </w:t>
      </w:r>
      <w:hyperlink r:id="rId2136" w:history="1">
        <w:r w:rsidRPr="00600FC7">
          <w:rPr>
            <w:rFonts w:ascii="Times New Roman" w:eastAsia="Times New Roman" w:hAnsi="Times New Roman" w:cs="Times New Roman"/>
            <w:color w:val="0000FF"/>
            <w:sz w:val="24"/>
            <w:szCs w:val="24"/>
            <w:u w:val="single"/>
          </w:rPr>
          <w:t>https://doi.org/10.1016/j.jaac.2012.04.003</w:t>
        </w:r>
      </w:hyperlink>
    </w:p>
    <w:p w14:paraId="656DD7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 L. E., López-Carrilero, R., Barrigón, M. L., Grasa, E., Barajas, A., Pousa, E., González-Higueras, F., Ruiz-Delgado, I., Cid, J., Lorente-Rovira, E., Pélaez, T., &amp; Ochoa, S. (2018). Neuropsychological functioning and jumping to conclusions in recent onset psychosis patients.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 366–371. </w:t>
      </w:r>
      <w:hyperlink r:id="rId2137" w:history="1">
        <w:r w:rsidRPr="00600FC7">
          <w:rPr>
            <w:rFonts w:ascii="Times New Roman" w:eastAsia="Times New Roman" w:hAnsi="Times New Roman" w:cs="Times New Roman"/>
            <w:color w:val="0000FF"/>
            <w:sz w:val="24"/>
            <w:szCs w:val="24"/>
            <w:u w:val="single"/>
          </w:rPr>
          <w:t>https://doi.org/10.1016/j.schres.2017.09.039</w:t>
        </w:r>
      </w:hyperlink>
    </w:p>
    <w:p w14:paraId="41E936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lastRenderedPageBreak/>
        <w:t xml:space="preserve">Gonzalez, R., Vassileva, J., &amp; Scott, J. C. (2009). Neuropsychological consequences of drug abuse. In </w:t>
      </w:r>
      <w:r w:rsidRPr="00600FC7">
        <w:rPr>
          <w:rFonts w:ascii="Times New Roman" w:eastAsia="Times New Roman" w:hAnsi="Times New Roman" w:cs="Times New Roman"/>
          <w:i/>
          <w:iCs/>
          <w:sz w:val="24"/>
          <w:szCs w:val="24"/>
        </w:rPr>
        <w:t>Neuropsychological assessment of neuropsychiatric and neuromedical disorders, 3rd ed.</w:t>
      </w:r>
      <w:r w:rsidRPr="00600FC7">
        <w:rPr>
          <w:rFonts w:ascii="Times New Roman" w:eastAsia="Times New Roman" w:hAnsi="Times New Roman" w:cs="Times New Roman"/>
          <w:sz w:val="24"/>
          <w:szCs w:val="24"/>
        </w:rPr>
        <w:t xml:space="preserve"> (pp. 455–479). Oxford University Press.</w:t>
      </w:r>
    </w:p>
    <w:p w14:paraId="2AE85F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González-Hernández, J. A., Pita-Alcorta, C., Cedeño, I., Bosch-Bayard, J., Galán-Garcia, L., Scherbaum, W. A., &amp; Figueredo-Rodriguez, P. (2002). Wisconsin Card Sorting Test synchronizes the prefrontal, temporal and posterior association cortex in different frequency ranges and extensions.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 37–47. </w:t>
      </w:r>
      <w:hyperlink r:id="rId2138" w:history="1">
        <w:r w:rsidRPr="00600FC7">
          <w:rPr>
            <w:rFonts w:ascii="Times New Roman" w:eastAsia="Times New Roman" w:hAnsi="Times New Roman" w:cs="Times New Roman"/>
            <w:color w:val="0000FF"/>
            <w:sz w:val="24"/>
            <w:szCs w:val="24"/>
            <w:u w:val="single"/>
          </w:rPr>
          <w:t>https://doi.org/10.1002/hbm.10051</w:t>
        </w:r>
      </w:hyperlink>
    </w:p>
    <w:p w14:paraId="2FA52D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González-Hernández, J. A., Pita-Alcorta, C., Cedeño, I., Días-Cosmas, L., &amp; Figueredo-Rodriguez, P. (2003). Abnormal functional asymmetry in occipital areas may prevent frontotemporal regions from achieving functional laterality during the WCST performance in patients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(2–3), 229–233. </w:t>
      </w:r>
      <w:hyperlink r:id="rId2139" w:history="1">
        <w:r w:rsidRPr="00600FC7">
          <w:rPr>
            <w:rFonts w:ascii="Times New Roman" w:eastAsia="Times New Roman" w:hAnsi="Times New Roman" w:cs="Times New Roman"/>
            <w:color w:val="0000FF"/>
            <w:sz w:val="24"/>
            <w:szCs w:val="24"/>
            <w:u w:val="single"/>
          </w:rPr>
          <w:t>https://doi.org/10.1016/S0920-9964(02)00236-0</w:t>
        </w:r>
      </w:hyperlink>
    </w:p>
    <w:p w14:paraId="6EC622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Gonzalez-Liencres, C., Tas, C., Brown, E. C., Erdin, S., Onur, E., Cubukcoglu, Z., Aydemir, O., Esen-Danaci, A., &amp; Brüne, M. (2014). Oxidative stress in schizophrenia: A case–control study on the effects on social cognition and neurocognition.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w:t>
      </w:r>
    </w:p>
    <w:p w14:paraId="42320C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González-Ortega, I., de los Mozos, V., Echeburúa, E., Mezo, M., Besga, A., de Azúa, S. R., González-Pinto, A., Gutierrez, M., Zorrilla, I., &amp; González-Pinto, A. (2013). Working memory as a predictor of negative symptoms and functional outcome in first episode psychosis.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206</w:t>
      </w:r>
      <w:r w:rsidRPr="00600FC7">
        <w:rPr>
          <w:rFonts w:ascii="Times New Roman" w:eastAsia="Times New Roman" w:hAnsi="Times New Roman" w:cs="Times New Roman"/>
          <w:sz w:val="24"/>
          <w:szCs w:val="24"/>
        </w:rPr>
        <w:t xml:space="preserve">(1), 8–16. </w:t>
      </w:r>
      <w:hyperlink r:id="rId2140" w:history="1">
        <w:r w:rsidRPr="00600FC7">
          <w:rPr>
            <w:rFonts w:ascii="Times New Roman" w:eastAsia="Times New Roman" w:hAnsi="Times New Roman" w:cs="Times New Roman"/>
            <w:color w:val="0000FF"/>
            <w:sz w:val="24"/>
            <w:szCs w:val="24"/>
            <w:u w:val="single"/>
          </w:rPr>
          <w:t>https://doi.org/10.1016/j.psychres.2012.08.025</w:t>
        </w:r>
      </w:hyperlink>
    </w:p>
    <w:p w14:paraId="1525F2A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González-Ortega, I., González-Pinto, A., Alberich, S., Echeburúa, E., Bernardo, M., Cabrera, B., Amoretti, S., Lobo, A., Arango, C., Corripio, I., Vieta, E., de la Serna, E., Rodriguez-Jimenez, R., Segarra, R., López-Ilundain, J. M., Sánchez-Torres, A. M., &amp; Cuesta, M. J. (2020). Influence of social cognition as a mediator between cognitive reserve and psychosocial functioning in patients with first episode psychosis.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50</w:t>
      </w:r>
      <w:r w:rsidRPr="00600FC7">
        <w:rPr>
          <w:rFonts w:ascii="Times New Roman" w:eastAsia="Times New Roman" w:hAnsi="Times New Roman" w:cs="Times New Roman"/>
          <w:sz w:val="24"/>
          <w:szCs w:val="24"/>
        </w:rPr>
        <w:t xml:space="preserve">(16), 2702–2710. </w:t>
      </w:r>
      <w:hyperlink r:id="rId2141" w:history="1">
        <w:r w:rsidRPr="00600FC7">
          <w:rPr>
            <w:rFonts w:ascii="Times New Roman" w:eastAsia="Times New Roman" w:hAnsi="Times New Roman" w:cs="Times New Roman"/>
            <w:color w:val="0000FF"/>
            <w:sz w:val="24"/>
            <w:szCs w:val="24"/>
            <w:u w:val="single"/>
          </w:rPr>
          <w:t>https://doi.org/10.1017/S0033291719002794</w:t>
        </w:r>
      </w:hyperlink>
    </w:p>
    <w:p w14:paraId="6BD9D5D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González-Rodríguez, A., Molina-Andreu, O., Odriozola, V. N., Ferrer, C. G., Penadés, R., &amp; Catalan, R. (2013). Delusional disorder: An overview of affective symptoms and antidepressant use. </w:t>
      </w:r>
      <w:r w:rsidRPr="00600FC7">
        <w:rPr>
          <w:rFonts w:ascii="Times New Roman" w:eastAsia="Times New Roman" w:hAnsi="Times New Roman" w:cs="Times New Roman"/>
          <w:i/>
          <w:iCs/>
          <w:sz w:val="24"/>
          <w:szCs w:val="24"/>
        </w:rPr>
        <w:t>The European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265–276. </w:t>
      </w:r>
      <w:hyperlink r:id="rId2142" w:history="1">
        <w:r w:rsidRPr="00600FC7">
          <w:rPr>
            <w:rFonts w:ascii="Times New Roman" w:eastAsia="Times New Roman" w:hAnsi="Times New Roman" w:cs="Times New Roman"/>
            <w:color w:val="0000FF"/>
            <w:sz w:val="24"/>
            <w:szCs w:val="24"/>
            <w:u w:val="single"/>
          </w:rPr>
          <w:t>https://doi.org/10.4321/S0213-61632013000400005</w:t>
        </w:r>
      </w:hyperlink>
    </w:p>
    <w:p w14:paraId="1EEE75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Gonzatti, V., Argimon, I. I. de L., Esteves, C. S., Irigaray, T. Q., Oliveira, C. R. de, &amp; Moret-Tatay, C. (2017). Personality factors in the elderly: The relationship between cognitive functioning and depressive symptoms. </w:t>
      </w:r>
      <w:r w:rsidRPr="00600FC7">
        <w:rPr>
          <w:rFonts w:ascii="Times New Roman" w:eastAsia="Times New Roman" w:hAnsi="Times New Roman" w:cs="Times New Roman"/>
          <w:i/>
          <w:iCs/>
          <w:sz w:val="24"/>
          <w:szCs w:val="24"/>
        </w:rPr>
        <w:t>Avaliação Psicológica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(2), 187–195. </w:t>
      </w:r>
      <w:hyperlink r:id="rId2143" w:history="1">
        <w:r w:rsidRPr="00600FC7">
          <w:rPr>
            <w:rFonts w:ascii="Times New Roman" w:eastAsia="Times New Roman" w:hAnsi="Times New Roman" w:cs="Times New Roman"/>
            <w:color w:val="0000FF"/>
            <w:sz w:val="24"/>
            <w:szCs w:val="24"/>
            <w:u w:val="single"/>
          </w:rPr>
          <w:t>https://doi.org/10.15689/AP.2017.1602.09</w:t>
        </w:r>
      </w:hyperlink>
    </w:p>
    <w:p w14:paraId="3D1102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 K. P., Rabinowitz, J., Whitehorn, D., Harvey, P. D., DeSmedt, G., &amp; Kopala, L. C. (2004). The relationship of neuropsychological test performance with the PANSS in antipsychotic naive, first-episode psychosis patients.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(1), 11–19. </w:t>
      </w:r>
      <w:hyperlink r:id="rId2144" w:history="1">
        <w:r w:rsidRPr="00600FC7">
          <w:rPr>
            <w:rFonts w:ascii="Times New Roman" w:eastAsia="Times New Roman" w:hAnsi="Times New Roman" w:cs="Times New Roman"/>
            <w:color w:val="0000FF"/>
            <w:sz w:val="24"/>
            <w:szCs w:val="24"/>
            <w:u w:val="single"/>
          </w:rPr>
          <w:t>https://doi.org/10.1016/j.schres.2003.07.001</w:t>
        </w:r>
      </w:hyperlink>
    </w:p>
    <w:p w14:paraId="5086B9F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D. C., Iacono, W. G., &amp; Hanson, D. R. (1999). Smooth pursuit and saccadic eye movement performance in a prefrontal leukotomy patient. </w:t>
      </w:r>
      <w:r w:rsidRPr="00600FC7">
        <w:rPr>
          <w:rFonts w:ascii="Times New Roman" w:eastAsia="Times New Roman" w:hAnsi="Times New Roman" w:cs="Times New Roman"/>
          <w:i/>
          <w:iCs/>
          <w:sz w:val="24"/>
          <w:szCs w:val="24"/>
        </w:rPr>
        <w:t>Journal of Psychiatry &amp;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(5), 462–467.</w:t>
      </w:r>
    </w:p>
    <w:p w14:paraId="5B998EF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D. C., Kwapil, T. R., &amp; Tallent, K. A. (1999). Wisconsin Card Sorting Test deficits in schizotypic individuals.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(3), 201–209. </w:t>
      </w:r>
      <w:hyperlink r:id="rId2145" w:history="1">
        <w:r w:rsidRPr="00600FC7">
          <w:rPr>
            <w:rFonts w:ascii="Times New Roman" w:eastAsia="Times New Roman" w:hAnsi="Times New Roman" w:cs="Times New Roman"/>
            <w:color w:val="0000FF"/>
            <w:sz w:val="24"/>
            <w:szCs w:val="24"/>
            <w:u w:val="single"/>
          </w:rPr>
          <w:t>https://doi.org/10.1016/S0920-9964(99)00124-3</w:t>
        </w:r>
      </w:hyperlink>
    </w:p>
    <w:p w14:paraId="2D0DE6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D. C., Tallant, K. A., &amp; Hegyi, J. V. (2001). Cognitive slippage in schizotypic individuals.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189</w:t>
      </w:r>
      <w:r w:rsidRPr="00600FC7">
        <w:rPr>
          <w:rFonts w:ascii="Times New Roman" w:eastAsia="Times New Roman" w:hAnsi="Times New Roman" w:cs="Times New Roman"/>
          <w:sz w:val="24"/>
          <w:szCs w:val="24"/>
        </w:rPr>
        <w:t xml:space="preserve">(11), 750–756. </w:t>
      </w:r>
      <w:hyperlink r:id="rId2146" w:history="1">
        <w:r w:rsidRPr="00600FC7">
          <w:rPr>
            <w:rFonts w:ascii="Times New Roman" w:eastAsia="Times New Roman" w:hAnsi="Times New Roman" w:cs="Times New Roman"/>
            <w:color w:val="0000FF"/>
            <w:sz w:val="24"/>
            <w:szCs w:val="24"/>
            <w:u w:val="single"/>
          </w:rPr>
          <w:t>https://doi.org/10.1097/00005053-200111000-00004</w:t>
        </w:r>
      </w:hyperlink>
    </w:p>
    <w:p w14:paraId="093E8E0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Gooding, P. A., Isaac, C. L., &amp; Mayes, A. R. (2005). Prose recall and amnesia: More implications for the episodic buffer.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43</w:t>
      </w:r>
      <w:r w:rsidRPr="00600FC7">
        <w:rPr>
          <w:rFonts w:ascii="Times New Roman" w:eastAsia="Times New Roman" w:hAnsi="Times New Roman" w:cs="Times New Roman"/>
          <w:sz w:val="24"/>
          <w:szCs w:val="24"/>
        </w:rPr>
        <w:t xml:space="preserve">(4), 583–587. </w:t>
      </w:r>
      <w:hyperlink r:id="rId2147" w:history="1">
        <w:r w:rsidRPr="00600FC7">
          <w:rPr>
            <w:rFonts w:ascii="Times New Roman" w:eastAsia="Times New Roman" w:hAnsi="Times New Roman" w:cs="Times New Roman"/>
            <w:color w:val="0000FF"/>
            <w:sz w:val="24"/>
            <w:szCs w:val="24"/>
            <w:u w:val="single"/>
          </w:rPr>
          <w:t>https://doi.org/10.1016/j.neuropsychologia.2004.07.004</w:t>
        </w:r>
      </w:hyperlink>
    </w:p>
    <w:p w14:paraId="3FDAB90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Goodkind, M. S., Gallagher‐Thompson, D., Thompson, L. W., Kesler, S. R., Anker, L., Flournoy, J., Berman, M. P., Holland, J. M., &amp; O’Hara, R. M. (2016). The impact of executive function on response to cognitive behavioral therapy in late‐life depression.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(4), 334–339. </w:t>
      </w:r>
      <w:hyperlink r:id="rId2148" w:history="1">
        <w:r w:rsidRPr="00600FC7">
          <w:rPr>
            <w:rFonts w:ascii="Times New Roman" w:eastAsia="Times New Roman" w:hAnsi="Times New Roman" w:cs="Times New Roman"/>
            <w:color w:val="0000FF"/>
            <w:sz w:val="24"/>
            <w:szCs w:val="24"/>
            <w:u w:val="single"/>
          </w:rPr>
          <w:t>https://doi.org/10.1002/gps.4325</w:t>
        </w:r>
      </w:hyperlink>
    </w:p>
    <w:p w14:paraId="44F9BE6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Goodman, W. K., Foote, K. D., Greenberg, B. D., Ricciuti, N., Bauer, R., Ward, H., Shapira, N. A., Wu, S. S., Hill, C. L., Rasmussen, S. A., &amp; Okun, M. S. (2010). Deep brain stimulation for intractable obsessive compulsive disorder: Pilot study using a blinded, staggered-onset design.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(6), 535–542. </w:t>
      </w:r>
      <w:hyperlink r:id="rId2149" w:history="1">
        <w:r w:rsidRPr="00600FC7">
          <w:rPr>
            <w:rFonts w:ascii="Times New Roman" w:eastAsia="Times New Roman" w:hAnsi="Times New Roman" w:cs="Times New Roman"/>
            <w:color w:val="0000FF"/>
            <w:sz w:val="24"/>
            <w:szCs w:val="24"/>
            <w:u w:val="single"/>
          </w:rPr>
          <w:t>https://doi.org/10.1016/j.biopsych.2009.11.028</w:t>
        </w:r>
      </w:hyperlink>
    </w:p>
    <w:p w14:paraId="3C0B36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Goral, M. (2013). Bilingualism, language, and aging. In </w:t>
      </w:r>
      <w:r w:rsidRPr="00600FC7">
        <w:rPr>
          <w:rFonts w:ascii="Times New Roman" w:eastAsia="Times New Roman" w:hAnsi="Times New Roman" w:cs="Times New Roman"/>
          <w:i/>
          <w:iCs/>
          <w:sz w:val="24"/>
          <w:szCs w:val="24"/>
        </w:rPr>
        <w:t>Memory, language, and bilingualism: Theoretical and applied approaches.</w:t>
      </w:r>
      <w:r w:rsidRPr="00600FC7">
        <w:rPr>
          <w:rFonts w:ascii="Times New Roman" w:eastAsia="Times New Roman" w:hAnsi="Times New Roman" w:cs="Times New Roman"/>
          <w:sz w:val="24"/>
          <w:szCs w:val="24"/>
        </w:rPr>
        <w:t xml:space="preserve"> (pp. 188–210). Cambridge University Press.</w:t>
      </w:r>
    </w:p>
    <w:p w14:paraId="154478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Goral, M., Clark-Cotton, M., Spiro III, A., Obler, L., Verkuilen, J., &amp; Albert, M. L. (2011). The contribution of set switching and working memory to sentence processing in older adults. </w:t>
      </w:r>
      <w:r w:rsidRPr="00600FC7">
        <w:rPr>
          <w:rFonts w:ascii="Times New Roman" w:eastAsia="Times New Roman" w:hAnsi="Times New Roman" w:cs="Times New Roman"/>
          <w:i/>
          <w:iCs/>
          <w:sz w:val="24"/>
          <w:szCs w:val="24"/>
        </w:rPr>
        <w:t>Experimental Aging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(5), 516–538. </w:t>
      </w:r>
      <w:hyperlink r:id="rId2150" w:history="1">
        <w:r w:rsidRPr="00600FC7">
          <w:rPr>
            <w:rFonts w:ascii="Times New Roman" w:eastAsia="Times New Roman" w:hAnsi="Times New Roman" w:cs="Times New Roman"/>
            <w:color w:val="0000FF"/>
            <w:sz w:val="24"/>
            <w:szCs w:val="24"/>
            <w:u w:val="single"/>
          </w:rPr>
          <w:t>https://doi.org/10.1080/0361073X.2011.619858</w:t>
        </w:r>
      </w:hyperlink>
    </w:p>
    <w:p w14:paraId="7EDF0DB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Gordon, B. A., Rykhlevskaia, E. I., Brumback, C. R., Lee, Y., Elavsky, S., Konopack, J. F., McAuley, E., Kramer, A. F., Colcombe, S., Gratton, G., &amp; Fabiani, M. (2008). Neuroanatomical correlates of aging, cardiopulmonary fitness level, and education. </w:t>
      </w:r>
      <w:r w:rsidRPr="00600FC7">
        <w:rPr>
          <w:rFonts w:ascii="Times New Roman" w:eastAsia="Times New Roman" w:hAnsi="Times New Roman" w:cs="Times New Roman"/>
          <w:i/>
          <w:iCs/>
          <w:sz w:val="24"/>
          <w:szCs w:val="24"/>
        </w:rPr>
        <w:t>Psychophysiology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(5), 825–838.</w:t>
      </w:r>
    </w:p>
    <w:p w14:paraId="4E1EBAA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Gordon, R. G., &amp; Duff, M. C. (2016). Incorporating principles of the collaborative contextualised intervention approach with the empirical study of learning and communication in traumatic brain injury.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(12), 1461–1482. </w:t>
      </w:r>
      <w:hyperlink r:id="rId2151" w:history="1">
        <w:r w:rsidRPr="00600FC7">
          <w:rPr>
            <w:rFonts w:ascii="Times New Roman" w:eastAsia="Times New Roman" w:hAnsi="Times New Roman" w:cs="Times New Roman"/>
            <w:color w:val="0000FF"/>
            <w:sz w:val="24"/>
            <w:szCs w:val="24"/>
            <w:u w:val="single"/>
          </w:rPr>
          <w:t>https://doi.org/10.1080/02687038.2015.1136050</w:t>
        </w:r>
      </w:hyperlink>
    </w:p>
    <w:p w14:paraId="0BEAFB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Gordon, R. G., Rigon, A., &amp; Duff, M. C. (2015). Conversational synchrony in the communicative interactions of individuals with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(11), 1300–1308. </w:t>
      </w:r>
      <w:hyperlink r:id="rId2152" w:history="1">
        <w:r w:rsidRPr="00600FC7">
          <w:rPr>
            <w:rFonts w:ascii="Times New Roman" w:eastAsia="Times New Roman" w:hAnsi="Times New Roman" w:cs="Times New Roman"/>
            <w:color w:val="0000FF"/>
            <w:sz w:val="24"/>
            <w:szCs w:val="24"/>
            <w:u w:val="single"/>
          </w:rPr>
          <w:t>https://doi.org/10.3109/02699052.2015.1042408</w:t>
        </w:r>
      </w:hyperlink>
    </w:p>
    <w:p w14:paraId="50B484C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Gorlick, M. A., Giguère, G., Glass, B. D., Nix, B. N., Mather, M., &amp; Maddox, W. T. (2013). Attenuating age-related learning deficits: Emotional valenced feedback interacts with task complexity. </w:t>
      </w:r>
      <w:r w:rsidRPr="00600FC7">
        <w:rPr>
          <w:rFonts w:ascii="Times New Roman" w:eastAsia="Times New Roman" w:hAnsi="Times New Roman" w:cs="Times New Roman"/>
          <w:i/>
          <w:iCs/>
          <w:sz w:val="24"/>
          <w:szCs w:val="24"/>
        </w:rPr>
        <w:t>Emotion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(2), 250–261. </w:t>
      </w:r>
      <w:hyperlink r:id="rId2153" w:history="1">
        <w:r w:rsidRPr="00600FC7">
          <w:rPr>
            <w:rFonts w:ascii="Times New Roman" w:eastAsia="Times New Roman" w:hAnsi="Times New Roman" w:cs="Times New Roman"/>
            <w:color w:val="0000FF"/>
            <w:sz w:val="24"/>
            <w:szCs w:val="24"/>
            <w:u w:val="single"/>
          </w:rPr>
          <w:t>https://doi.org/10.1037/a0030071</w:t>
        </w:r>
      </w:hyperlink>
    </w:p>
    <w:p w14:paraId="3856ED0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Gorlick, M. A., &amp; Maddox, W. T. (2015). Social incentives improve deliberative but not procedural learning in older adults.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w:t>
      </w:r>
    </w:p>
    <w:p w14:paraId="79CF455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Gorno-Tempini, M. L., Rankin, K. P., Woolley, J. D., Rosen, H. J., Phengrasamy, L., &amp; Miller, B. L. (2004). Cognitive and behavioral profile in a case of right anterior temporal lobe neurodegeneration.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(4–5), 631–644. </w:t>
      </w:r>
      <w:hyperlink r:id="rId2154" w:history="1">
        <w:r w:rsidRPr="00600FC7">
          <w:rPr>
            <w:rFonts w:ascii="Times New Roman" w:eastAsia="Times New Roman" w:hAnsi="Times New Roman" w:cs="Times New Roman"/>
            <w:color w:val="0000FF"/>
            <w:sz w:val="24"/>
            <w:szCs w:val="24"/>
            <w:u w:val="single"/>
          </w:rPr>
          <w:t>https://doi.org/10.1016/S0010-9452(08)70159-X</w:t>
        </w:r>
      </w:hyperlink>
    </w:p>
    <w:p w14:paraId="1FA3C5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Gorske, T. T., &amp; Smith, S. R. (2012). Case studies in collaborative neuropsychology: A man with brain injury and a child with learning problems. In </w:t>
      </w:r>
      <w:r w:rsidRPr="00600FC7">
        <w:rPr>
          <w:rFonts w:ascii="Times New Roman" w:eastAsia="Times New Roman" w:hAnsi="Times New Roman" w:cs="Times New Roman"/>
          <w:i/>
          <w:iCs/>
          <w:sz w:val="24"/>
          <w:szCs w:val="24"/>
        </w:rPr>
        <w:t>Collaborative/therapeutic assessment: A casebook and guide.</w:t>
      </w:r>
      <w:r w:rsidRPr="00600FC7">
        <w:rPr>
          <w:rFonts w:ascii="Times New Roman" w:eastAsia="Times New Roman" w:hAnsi="Times New Roman" w:cs="Times New Roman"/>
          <w:sz w:val="24"/>
          <w:szCs w:val="24"/>
        </w:rPr>
        <w:t xml:space="preserve"> (pp. 401–420). John Wiley &amp; Sons Inc.</w:t>
      </w:r>
    </w:p>
    <w:p w14:paraId="68D85C6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Goshiki, T., &amp; Miyahara, M. (2008). Effects of individual differences and irrelevant speech on WCST and Stroop test. </w:t>
      </w:r>
      <w:r w:rsidRPr="00600FC7">
        <w:rPr>
          <w:rFonts w:ascii="Times New Roman" w:eastAsia="Times New Roman" w:hAnsi="Times New Roman" w:cs="Times New Roman"/>
          <w:i/>
          <w:iCs/>
          <w:sz w:val="24"/>
          <w:szCs w:val="24"/>
        </w:rPr>
        <w:t>Psychologia: An International Journal of Psychology in the Orient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 xml:space="preserve">(1), 28–45. </w:t>
      </w:r>
      <w:hyperlink r:id="rId2155" w:history="1">
        <w:r w:rsidRPr="00600FC7">
          <w:rPr>
            <w:rFonts w:ascii="Times New Roman" w:eastAsia="Times New Roman" w:hAnsi="Times New Roman" w:cs="Times New Roman"/>
            <w:color w:val="0000FF"/>
            <w:sz w:val="24"/>
            <w:szCs w:val="24"/>
            <w:u w:val="single"/>
          </w:rPr>
          <w:t>https://doi.org/10.2117/psysoc.2008.28</w:t>
        </w:r>
      </w:hyperlink>
    </w:p>
    <w:p w14:paraId="4F5CC0E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Gothe, N. P., Fanning, J., Awick, E., Chung, D., Wójcicki, T. R., Olson, E. A., Mullen, S. P., Voss, M., Erickson, K. I., Kramer, A. F., &amp; McAuley, E. (2014). Executive function processes predict mobility outcomes in older adults. </w:t>
      </w:r>
      <w:r w:rsidRPr="00600FC7">
        <w:rPr>
          <w:rFonts w:ascii="Times New Roman" w:eastAsia="Times New Roman" w:hAnsi="Times New Roman" w:cs="Times New Roman"/>
          <w:i/>
          <w:iCs/>
          <w:sz w:val="24"/>
          <w:szCs w:val="24"/>
        </w:rPr>
        <w:t>Journal of the American Geriatrics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(2), 285–290. </w:t>
      </w:r>
      <w:hyperlink r:id="rId2156" w:history="1">
        <w:r w:rsidRPr="00600FC7">
          <w:rPr>
            <w:rFonts w:ascii="Times New Roman" w:eastAsia="Times New Roman" w:hAnsi="Times New Roman" w:cs="Times New Roman"/>
            <w:color w:val="0000FF"/>
            <w:sz w:val="24"/>
            <w:szCs w:val="24"/>
            <w:u w:val="single"/>
          </w:rPr>
          <w:t>https://doi.org/10.1111/jgs.12654</w:t>
        </w:r>
      </w:hyperlink>
    </w:p>
    <w:p w14:paraId="3461BC6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Goto, N., Yoshimura, R., Kakeda, S., Moriya, J., Hayashi, K., Ikenouchi-Sugita, A., Umene-Nakano, W., Hori, H., Ueda, N., Korogi, Y., &amp; Nakamura, J. (2009). Associations between plasma levels of 3-methoxy-4-hydroxyphenylglycol (MHPG) and negative symptoms or cognitive impairments in early-stage schizophrenia. </w:t>
      </w:r>
      <w:r w:rsidRPr="00600FC7">
        <w:rPr>
          <w:rFonts w:ascii="Times New Roman" w:eastAsia="Times New Roman" w:hAnsi="Times New Roman" w:cs="Times New Roman"/>
          <w:i/>
          <w:iCs/>
          <w:sz w:val="24"/>
          <w:szCs w:val="24"/>
        </w:rPr>
        <w:t>Human Psychopharmacology: Clinical and Experimental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(8), 639–645. </w:t>
      </w:r>
      <w:hyperlink r:id="rId2157" w:history="1">
        <w:r w:rsidRPr="00600FC7">
          <w:rPr>
            <w:rFonts w:ascii="Times New Roman" w:eastAsia="Times New Roman" w:hAnsi="Times New Roman" w:cs="Times New Roman"/>
            <w:color w:val="0000FF"/>
            <w:sz w:val="24"/>
            <w:szCs w:val="24"/>
            <w:u w:val="single"/>
          </w:rPr>
          <w:t>https://doi.org/10.1002/hup.1070</w:t>
        </w:r>
      </w:hyperlink>
    </w:p>
    <w:p w14:paraId="2484BA3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Goto, Y., Hatakeyama, K., Kitama, T., Sato, Y., Kanemura, H., Aoyagi, K., Sugita, K., &amp; Aihara, M. (2010). Saccade eye movements as a quantitative measure of frontostriatal network in children with ADHD. </w:t>
      </w:r>
      <w:r w:rsidRPr="00600FC7">
        <w:rPr>
          <w:rFonts w:ascii="Times New Roman" w:eastAsia="Times New Roman" w:hAnsi="Times New Roman" w:cs="Times New Roman"/>
          <w:i/>
          <w:iCs/>
          <w:sz w:val="24"/>
          <w:szCs w:val="24"/>
        </w:rPr>
        <w:t>Brain &amp;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32</w:t>
      </w:r>
      <w:r w:rsidRPr="00600FC7">
        <w:rPr>
          <w:rFonts w:ascii="Times New Roman" w:eastAsia="Times New Roman" w:hAnsi="Times New Roman" w:cs="Times New Roman"/>
          <w:sz w:val="24"/>
          <w:szCs w:val="24"/>
        </w:rPr>
        <w:t xml:space="preserve">(5), 347–355. </w:t>
      </w:r>
      <w:hyperlink r:id="rId2158" w:history="1">
        <w:r w:rsidRPr="00600FC7">
          <w:rPr>
            <w:rFonts w:ascii="Times New Roman" w:eastAsia="Times New Roman" w:hAnsi="Times New Roman" w:cs="Times New Roman"/>
            <w:color w:val="0000FF"/>
            <w:sz w:val="24"/>
            <w:szCs w:val="24"/>
            <w:u w:val="single"/>
          </w:rPr>
          <w:t>https://doi.org/10.1016/j.braindev.2009.04.017</w:t>
        </w:r>
      </w:hyperlink>
    </w:p>
    <w:p w14:paraId="12E9B0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Goudriaan, A. E., Oosterlaan, J., de Beurs, E., &amp; van den Brink, W. (2006). Neurocognitive functions in pathological gambling: A comparison with alcohol dependence, Tourette syndrome and normal controls.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101</w:t>
      </w:r>
      <w:r w:rsidRPr="00600FC7">
        <w:rPr>
          <w:rFonts w:ascii="Times New Roman" w:eastAsia="Times New Roman" w:hAnsi="Times New Roman" w:cs="Times New Roman"/>
          <w:sz w:val="24"/>
          <w:szCs w:val="24"/>
        </w:rPr>
        <w:t xml:space="preserve">(4), 534–547. </w:t>
      </w:r>
      <w:hyperlink r:id="rId2159" w:history="1">
        <w:r w:rsidRPr="00600FC7">
          <w:rPr>
            <w:rFonts w:ascii="Times New Roman" w:eastAsia="Times New Roman" w:hAnsi="Times New Roman" w:cs="Times New Roman"/>
            <w:color w:val="0000FF"/>
            <w:sz w:val="24"/>
            <w:szCs w:val="24"/>
            <w:u w:val="single"/>
          </w:rPr>
          <w:t>https://doi.org/10.1111/j.1360-0443.2006.01380.x</w:t>
        </w:r>
      </w:hyperlink>
    </w:p>
    <w:p w14:paraId="2A2B69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Goudriaan, A. E., Yücel, M., &amp; van Holst, R. J. (2014). Getting a grip on problem gambling: What can neuroscience tell us? </w:t>
      </w:r>
      <w:r w:rsidRPr="00600FC7">
        <w:rPr>
          <w:rFonts w:ascii="Times New Roman" w:eastAsia="Times New Roman" w:hAnsi="Times New Roman" w:cs="Times New Roman"/>
          <w:i/>
          <w:iCs/>
          <w:sz w:val="24"/>
          <w:szCs w:val="24"/>
        </w:rPr>
        <w:t>Frontiers in Behavioral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w:t>
      </w:r>
    </w:p>
    <w:p w14:paraId="5E72F5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Goukon, A., Ohuchi, T., Kikuchi, T., Hirano, M., Noguchi, K., &amp; Hosokawa, T. (2006). Developmental order driving the relationship between executive functions and theory of mind: A case study. </w:t>
      </w:r>
      <w:r w:rsidRPr="00600FC7">
        <w:rPr>
          <w:rFonts w:ascii="Times New Roman" w:eastAsia="Times New Roman" w:hAnsi="Times New Roman" w:cs="Times New Roman"/>
          <w:i/>
          <w:iCs/>
          <w:sz w:val="24"/>
          <w:szCs w:val="24"/>
        </w:rPr>
        <w:t>Psychological Reports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98</w:t>
      </w:r>
      <w:r w:rsidRPr="00600FC7">
        <w:rPr>
          <w:rFonts w:ascii="Times New Roman" w:eastAsia="Times New Roman" w:hAnsi="Times New Roman" w:cs="Times New Roman"/>
          <w:sz w:val="24"/>
          <w:szCs w:val="24"/>
        </w:rPr>
        <w:t xml:space="preserve">(3), 662–670. </w:t>
      </w:r>
      <w:hyperlink r:id="rId2160" w:history="1">
        <w:r w:rsidRPr="00600FC7">
          <w:rPr>
            <w:rFonts w:ascii="Times New Roman" w:eastAsia="Times New Roman" w:hAnsi="Times New Roman" w:cs="Times New Roman"/>
            <w:color w:val="0000FF"/>
            <w:sz w:val="24"/>
            <w:szCs w:val="24"/>
            <w:u w:val="single"/>
          </w:rPr>
          <w:t>https://doi.org/10.2466/PR0.98.3.662-670</w:t>
        </w:r>
      </w:hyperlink>
    </w:p>
    <w:p w14:paraId="7B35A40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 F., Bowie, C. R., &amp; Harvey, P. D. (2012). The influence of demographic factors on functional capacity and everyday functional outcomes in schizophrenia.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(5), 467–475. </w:t>
      </w:r>
      <w:hyperlink r:id="rId2161" w:history="1">
        <w:r w:rsidRPr="00600FC7">
          <w:rPr>
            <w:rFonts w:ascii="Times New Roman" w:eastAsia="Times New Roman" w:hAnsi="Times New Roman" w:cs="Times New Roman"/>
            <w:color w:val="0000FF"/>
            <w:sz w:val="24"/>
            <w:szCs w:val="24"/>
            <w:u w:val="single"/>
          </w:rPr>
          <w:t>https://doi.org/10.1080/13803395.2011.651102</w:t>
        </w:r>
      </w:hyperlink>
    </w:p>
    <w:p w14:paraId="53E1AB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 F., McGuire, L. S., Durand, D., Sabbag, S., Larrauri, C., Patterson, T. L., Twamley, E. W., &amp; Harvey, P. D. (2015). Self-assessment in schizophrenia: Accuracy of evaluation of cognition and everyday functioning. </w:t>
      </w:r>
      <w:r w:rsidRPr="00600FC7">
        <w:rPr>
          <w:rFonts w:ascii="Times New Roman" w:eastAsia="Times New Roman" w:hAnsi="Times New Roman" w:cs="Times New Roman"/>
          <w:i/>
          <w:iCs/>
          <w:sz w:val="24"/>
          <w:szCs w:val="24"/>
        </w:rPr>
        <w:t>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(5), 675–682. </w:t>
      </w:r>
      <w:hyperlink r:id="rId2162" w:history="1">
        <w:r w:rsidRPr="00600FC7">
          <w:rPr>
            <w:rFonts w:ascii="Times New Roman" w:eastAsia="Times New Roman" w:hAnsi="Times New Roman" w:cs="Times New Roman"/>
            <w:color w:val="0000FF"/>
            <w:sz w:val="24"/>
            <w:szCs w:val="24"/>
            <w:u w:val="single"/>
          </w:rPr>
          <w:t>https://doi.org/10.1037/neu0000175</w:t>
        </w:r>
      </w:hyperlink>
    </w:p>
    <w:p w14:paraId="1380384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Goulden, L. G. (1999). </w:t>
      </w:r>
      <w:r w:rsidRPr="00600FC7">
        <w:rPr>
          <w:rFonts w:ascii="Times New Roman" w:eastAsia="Times New Roman" w:hAnsi="Times New Roman" w:cs="Times New Roman"/>
          <w:i/>
          <w:iCs/>
          <w:sz w:val="24"/>
          <w:szCs w:val="24"/>
        </w:rPr>
        <w:t>An investigation of the validity of the Children’s Executive Functions Scale in a mixed pediatric sample.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(7-B), 3757–3757.</w:t>
      </w:r>
    </w:p>
    <w:p w14:paraId="38FC3B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Goulden, L. G., &amp; Silver, C. H. (2009). Concordance of the Children’s Executive Functions Scale with established tests and parent rating scales. </w:t>
      </w:r>
      <w:r w:rsidRPr="00600FC7">
        <w:rPr>
          <w:rFonts w:ascii="Times New Roman" w:eastAsia="Times New Roman" w:hAnsi="Times New Roman" w:cs="Times New Roman"/>
          <w:i/>
          <w:iCs/>
          <w:sz w:val="24"/>
          <w:szCs w:val="24"/>
        </w:rPr>
        <w:t>Journal of Psychoeducational 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(6), 439–451. </w:t>
      </w:r>
      <w:hyperlink r:id="rId2163" w:history="1">
        <w:r w:rsidRPr="00600FC7">
          <w:rPr>
            <w:rFonts w:ascii="Times New Roman" w:eastAsia="Times New Roman" w:hAnsi="Times New Roman" w:cs="Times New Roman"/>
            <w:color w:val="0000FF"/>
            <w:sz w:val="24"/>
            <w:szCs w:val="24"/>
            <w:u w:val="single"/>
          </w:rPr>
          <w:t>https://doi.org/10.1177/0734282909335574</w:t>
        </w:r>
      </w:hyperlink>
    </w:p>
    <w:p w14:paraId="3F81E9C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Gour, N., Felician, O., Didic, M., Koric, L., Gueriot, C., Chanoine, V., Confort-Gouny, S., Guye, M., Ceccaldi, M., &amp; Ranjeva, J. P. (2014). Functional connectivity changes differ in early and late-onset Alzheimer’s disease. </w:t>
      </w:r>
      <w:r w:rsidRPr="00600FC7">
        <w:rPr>
          <w:rFonts w:ascii="Times New Roman" w:eastAsia="Times New Roman" w:hAnsi="Times New Roman" w:cs="Times New Roman"/>
          <w:i/>
          <w:iCs/>
          <w:sz w:val="24"/>
          <w:szCs w:val="24"/>
        </w:rPr>
        <w:t>Human Brain Mapping</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35</w:t>
      </w:r>
      <w:r w:rsidRPr="00600FC7">
        <w:rPr>
          <w:rFonts w:ascii="Times New Roman" w:eastAsia="Times New Roman" w:hAnsi="Times New Roman" w:cs="Times New Roman"/>
          <w:sz w:val="24"/>
          <w:szCs w:val="24"/>
        </w:rPr>
        <w:t xml:space="preserve">(7), 2978–2994. </w:t>
      </w:r>
      <w:hyperlink r:id="rId2164" w:history="1">
        <w:r w:rsidRPr="00600FC7">
          <w:rPr>
            <w:rFonts w:ascii="Times New Roman" w:eastAsia="Times New Roman" w:hAnsi="Times New Roman" w:cs="Times New Roman"/>
            <w:color w:val="0000FF"/>
            <w:sz w:val="24"/>
            <w:szCs w:val="24"/>
            <w:u w:val="single"/>
          </w:rPr>
          <w:t>https://doi.org/10.1002/hbm.22379</w:t>
        </w:r>
      </w:hyperlink>
    </w:p>
    <w:p w14:paraId="75F2047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Gouveia, P. A. R., Brucki, S. M. D., Malheiros, S. M. F., &amp; Bueno, O. F. A. (2007). Disorders in planning and strategy application in frontal lobe lesion patients.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 xml:space="preserve">(3), 240–246. </w:t>
      </w:r>
      <w:hyperlink r:id="rId2165" w:history="1">
        <w:r w:rsidRPr="00600FC7">
          <w:rPr>
            <w:rFonts w:ascii="Times New Roman" w:eastAsia="Times New Roman" w:hAnsi="Times New Roman" w:cs="Times New Roman"/>
            <w:color w:val="0000FF"/>
            <w:sz w:val="24"/>
            <w:szCs w:val="24"/>
            <w:u w:val="single"/>
          </w:rPr>
          <w:t>https://doi.org/10.1016/j.bandc.2006.09.001</w:t>
        </w:r>
      </w:hyperlink>
    </w:p>
    <w:p w14:paraId="60A2BB5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Grace, G. M., Orange, J. B., Rowe, A., Findlater, K., Freedman, M., &amp; Strong, M. J. (2011). Neuropsychological functioning in PLS: A comparison with ALS. </w:t>
      </w:r>
      <w:r w:rsidRPr="00600FC7">
        <w:rPr>
          <w:rFonts w:ascii="Times New Roman" w:eastAsia="Times New Roman" w:hAnsi="Times New Roman" w:cs="Times New Roman"/>
          <w:i/>
          <w:iCs/>
          <w:sz w:val="24"/>
          <w:szCs w:val="24"/>
        </w:rPr>
        <w:t>The Canadian Journal of Neurological Sciences / Le Journal Canadien Des Sciences Neurologiques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(1), 88–97.</w:t>
      </w:r>
    </w:p>
    <w:p w14:paraId="5DF934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A., Davies, R., Xucreb, J., Halliday, G., Kril, J., Creasey, H., Graham, K., &amp; Hodges, J. (2005). Pathologically proven frontotemporal dementia presenting with severe amnesia. </w:t>
      </w:r>
      <w:r w:rsidRPr="00600FC7">
        <w:rPr>
          <w:rFonts w:ascii="Times New Roman" w:eastAsia="Times New Roman" w:hAnsi="Times New Roman" w:cs="Times New Roman"/>
          <w:i/>
          <w:iCs/>
          <w:sz w:val="24"/>
          <w:szCs w:val="24"/>
        </w:rPr>
        <w:t>Brain: A Journal of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128</w:t>
      </w:r>
      <w:r w:rsidRPr="00600FC7">
        <w:rPr>
          <w:rFonts w:ascii="Times New Roman" w:eastAsia="Times New Roman" w:hAnsi="Times New Roman" w:cs="Times New Roman"/>
          <w:sz w:val="24"/>
          <w:szCs w:val="24"/>
        </w:rPr>
        <w:t xml:space="preserve">(3), 597–605. </w:t>
      </w:r>
      <w:hyperlink r:id="rId2166" w:history="1">
        <w:r w:rsidRPr="00600FC7">
          <w:rPr>
            <w:rFonts w:ascii="Times New Roman" w:eastAsia="Times New Roman" w:hAnsi="Times New Roman" w:cs="Times New Roman"/>
            <w:color w:val="0000FF"/>
            <w:sz w:val="24"/>
            <w:szCs w:val="24"/>
            <w:u w:val="single"/>
          </w:rPr>
          <w:t>https://doi.org/10.1093/brain/awh348</w:t>
        </w:r>
      </w:hyperlink>
    </w:p>
    <w:p w14:paraId="3C5FC1B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A. L., Gluck, M. E., Votruba, S. B., Krakoff, J., &amp; Thearle, M. S. (2014). Perseveration augments the effects of cognitive restraint on ad libitum food intake in adults seeking weight loss. </w:t>
      </w:r>
      <w:r w:rsidRPr="00600FC7">
        <w:rPr>
          <w:rFonts w:ascii="Times New Roman" w:eastAsia="Times New Roman" w:hAnsi="Times New Roman" w:cs="Times New Roman"/>
          <w:i/>
          <w:iCs/>
          <w:sz w:val="24"/>
          <w:szCs w:val="24"/>
        </w:rPr>
        <w:t>Appetite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82</w:t>
      </w:r>
      <w:r w:rsidRPr="00600FC7">
        <w:rPr>
          <w:rFonts w:ascii="Times New Roman" w:eastAsia="Times New Roman" w:hAnsi="Times New Roman" w:cs="Times New Roman"/>
          <w:sz w:val="24"/>
          <w:szCs w:val="24"/>
        </w:rPr>
        <w:t xml:space="preserve">, 78–84. </w:t>
      </w:r>
      <w:hyperlink r:id="rId2167" w:history="1">
        <w:r w:rsidRPr="00600FC7">
          <w:rPr>
            <w:rFonts w:ascii="Times New Roman" w:eastAsia="Times New Roman" w:hAnsi="Times New Roman" w:cs="Times New Roman"/>
            <w:color w:val="0000FF"/>
            <w:sz w:val="24"/>
            <w:szCs w:val="24"/>
            <w:u w:val="single"/>
          </w:rPr>
          <w:t>https://doi.org/10.1016/j.appet.2014.07.008</w:t>
        </w:r>
      </w:hyperlink>
    </w:p>
    <w:p w14:paraId="409700D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K. A., Keefe, R. S., Lieberman, J. A., Calikoglu, A. S., Lansing, K. M., &amp; Perkins, D. O. (2015). Relationship of low vitamin D status with positive, negative and cognitive symptom domains in people with first‐episode schizophrenia. </w:t>
      </w:r>
      <w:r w:rsidRPr="00600FC7">
        <w:rPr>
          <w:rFonts w:ascii="Times New Roman" w:eastAsia="Times New Roman" w:hAnsi="Times New Roman" w:cs="Times New Roman"/>
          <w:i/>
          <w:iCs/>
          <w:sz w:val="24"/>
          <w:szCs w:val="24"/>
        </w:rPr>
        <w:t>Early Intervention in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(5), 397–405. </w:t>
      </w:r>
      <w:hyperlink r:id="rId2168" w:history="1">
        <w:r w:rsidRPr="00600FC7">
          <w:rPr>
            <w:rFonts w:ascii="Times New Roman" w:eastAsia="Times New Roman" w:hAnsi="Times New Roman" w:cs="Times New Roman"/>
            <w:color w:val="0000FF"/>
            <w:sz w:val="24"/>
            <w:szCs w:val="24"/>
            <w:u w:val="single"/>
          </w:rPr>
          <w:t>https://doi.org/10.1111/eip.12122</w:t>
        </w:r>
      </w:hyperlink>
    </w:p>
    <w:p w14:paraId="7C08FC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N. L., Emery, T., &amp; Hodges, J. R. (2004). Distinctive cognitive profiles in Alzheimer’s disease and subcortical vascular dementia. </w:t>
      </w:r>
      <w:r w:rsidRPr="00600FC7">
        <w:rPr>
          <w:rFonts w:ascii="Times New Roman" w:eastAsia="Times New Roman" w:hAnsi="Times New Roman" w:cs="Times New Roman"/>
          <w:i/>
          <w:iCs/>
          <w:sz w:val="24"/>
          <w:szCs w:val="24"/>
        </w:rPr>
        <w:t>Journal of Neurology, Neurosurgery &amp;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(1), 61–717.</w:t>
      </w:r>
    </w:p>
    <w:p w14:paraId="7FC78D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Graham, S., Phua, E., Soon, C. S., Oh, T., Au, C., Shuter, B., Wang, S.-C., &amp; Yeh, I. B. (2009). Role of medial cortical, hippocampal and striatal interactions during cognitive set-shifting. </w:t>
      </w:r>
      <w:r w:rsidRPr="00600FC7">
        <w:rPr>
          <w:rFonts w:ascii="Times New Roman" w:eastAsia="Times New Roman" w:hAnsi="Times New Roman" w:cs="Times New Roman"/>
          <w:i/>
          <w:iCs/>
          <w:sz w:val="24"/>
          <w:szCs w:val="24"/>
        </w:rPr>
        <w:t>NeuroImage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(4), 1359–1367. </w:t>
      </w:r>
      <w:hyperlink r:id="rId2169" w:history="1">
        <w:r w:rsidRPr="00600FC7">
          <w:rPr>
            <w:rFonts w:ascii="Times New Roman" w:eastAsia="Times New Roman" w:hAnsi="Times New Roman" w:cs="Times New Roman"/>
            <w:color w:val="0000FF"/>
            <w:sz w:val="24"/>
            <w:szCs w:val="24"/>
            <w:u w:val="single"/>
          </w:rPr>
          <w:t>https://doi.org/10.1016/j.neuroimage.2008.12.040</w:t>
        </w:r>
      </w:hyperlink>
    </w:p>
    <w:p w14:paraId="259C91D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Granacher Jr., R. P. (2013). Forensic issues and traumatic brain injury. In </w:t>
      </w:r>
      <w:r w:rsidRPr="00600FC7">
        <w:rPr>
          <w:rFonts w:ascii="Times New Roman" w:eastAsia="Times New Roman" w:hAnsi="Times New Roman" w:cs="Times New Roman"/>
          <w:i/>
          <w:iCs/>
          <w:sz w:val="24"/>
          <w:szCs w:val="24"/>
        </w:rPr>
        <w:t>Management of adults with traumatic brain injury.</w:t>
      </w:r>
      <w:r w:rsidRPr="00600FC7">
        <w:rPr>
          <w:rFonts w:ascii="Times New Roman" w:eastAsia="Times New Roman" w:hAnsi="Times New Roman" w:cs="Times New Roman"/>
          <w:sz w:val="24"/>
          <w:szCs w:val="24"/>
        </w:rPr>
        <w:t xml:space="preserve"> (pp. 501–527). American Psychiatric Publishing, Inc. </w:t>
      </w:r>
      <w:hyperlink r:id="rId2170" w:history="1">
        <w:r w:rsidRPr="00600FC7">
          <w:rPr>
            <w:rFonts w:ascii="Times New Roman" w:eastAsia="Times New Roman" w:hAnsi="Times New Roman" w:cs="Times New Roman"/>
            <w:color w:val="0000FF"/>
            <w:sz w:val="24"/>
            <w:szCs w:val="24"/>
            <w:u w:val="single"/>
          </w:rPr>
          <w:t>https://doi.org/10.1176/appi.books.9781585625154.da21</w:t>
        </w:r>
      </w:hyperlink>
    </w:p>
    <w:p w14:paraId="0293CFB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Grande, I., Sanchez-Moreno, J., Sole, B., Jimenez, E., Torrent, C., Bonnin, C. M., Varo, C., Tabares-Seisdedos, R., Balanzá-Martínez, V., Valls, E., Morilla, I., Carvalho, A. F., Ayuso-Mateos, J. L., Vieta, E., &amp; Martinez-Aran, A. (2017). High cognitive reserve in bipolar disorders as a moderator of neurocognitive impairment.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208</w:t>
      </w:r>
      <w:r w:rsidRPr="00600FC7">
        <w:rPr>
          <w:rFonts w:ascii="Times New Roman" w:eastAsia="Times New Roman" w:hAnsi="Times New Roman" w:cs="Times New Roman"/>
          <w:sz w:val="24"/>
          <w:szCs w:val="24"/>
        </w:rPr>
        <w:t xml:space="preserve">, 621–627. </w:t>
      </w:r>
      <w:hyperlink r:id="rId2171" w:history="1">
        <w:r w:rsidRPr="00600FC7">
          <w:rPr>
            <w:rFonts w:ascii="Times New Roman" w:eastAsia="Times New Roman" w:hAnsi="Times New Roman" w:cs="Times New Roman"/>
            <w:color w:val="0000FF"/>
            <w:sz w:val="24"/>
            <w:szCs w:val="24"/>
            <w:u w:val="single"/>
          </w:rPr>
          <w:t>https://doi.org/10.1016/j.jad.2016.10.012</w:t>
        </w:r>
      </w:hyperlink>
    </w:p>
    <w:p w14:paraId="7B94FE9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Grande, L. J., Rudolph, J. L., Milberg, W. P., Barber, C. E., &amp; McGlinchey, R. E. (2011). Detecting cognitive impairment in individuals at risk for cardiovascular disease: The “Clock‐in‐the‐Box” screening test. </w:t>
      </w:r>
      <w:r w:rsidRPr="00600FC7">
        <w:rPr>
          <w:rFonts w:ascii="Times New Roman" w:eastAsia="Times New Roman" w:hAnsi="Times New Roman" w:cs="Times New Roman"/>
          <w:i/>
          <w:iCs/>
          <w:sz w:val="24"/>
          <w:szCs w:val="24"/>
        </w:rPr>
        <w:t>International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(9), 969–975. </w:t>
      </w:r>
      <w:hyperlink r:id="rId2172" w:history="1">
        <w:r w:rsidRPr="00600FC7">
          <w:rPr>
            <w:rFonts w:ascii="Times New Roman" w:eastAsia="Times New Roman" w:hAnsi="Times New Roman" w:cs="Times New Roman"/>
            <w:color w:val="0000FF"/>
            <w:sz w:val="24"/>
            <w:szCs w:val="24"/>
            <w:u w:val="single"/>
          </w:rPr>
          <w:t>https://doi.org/10.1002/gps.2635</w:t>
        </w:r>
      </w:hyperlink>
    </w:p>
    <w:p w14:paraId="1DF8CA6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Grandjean, J., &amp; Collette, F. (2011). Influence of response prepotency strength, general working memory resources, and specific working memory load on the ability to inhibit predominant responses: A comparison of young and elderly participants.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77</w:t>
      </w:r>
      <w:r w:rsidRPr="00600FC7">
        <w:rPr>
          <w:rFonts w:ascii="Times New Roman" w:eastAsia="Times New Roman" w:hAnsi="Times New Roman" w:cs="Times New Roman"/>
          <w:sz w:val="24"/>
          <w:szCs w:val="24"/>
        </w:rPr>
        <w:t xml:space="preserve">(2), 237–247. </w:t>
      </w:r>
      <w:hyperlink r:id="rId2173" w:history="1">
        <w:r w:rsidRPr="00600FC7">
          <w:rPr>
            <w:rFonts w:ascii="Times New Roman" w:eastAsia="Times New Roman" w:hAnsi="Times New Roman" w:cs="Times New Roman"/>
            <w:color w:val="0000FF"/>
            <w:sz w:val="24"/>
            <w:szCs w:val="24"/>
            <w:u w:val="single"/>
          </w:rPr>
          <w:t>https://doi.org/10.1016/j.bandc.2011.08.004</w:t>
        </w:r>
      </w:hyperlink>
    </w:p>
    <w:p w14:paraId="6C794AB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Granholm, E., McQuaid, J. R., Link, P. C., Fish, S., Patterson, T., &amp; Jeste, D. V. (2008). Neuropsychological predictors of functional outcome in Cognitive Behavioral Social Skills Training for older people with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100</w:t>
      </w:r>
      <w:r w:rsidRPr="00600FC7">
        <w:rPr>
          <w:rFonts w:ascii="Times New Roman" w:eastAsia="Times New Roman" w:hAnsi="Times New Roman" w:cs="Times New Roman"/>
          <w:sz w:val="24"/>
          <w:szCs w:val="24"/>
        </w:rPr>
        <w:t xml:space="preserve">(1–3), 133–143. </w:t>
      </w:r>
      <w:hyperlink r:id="rId2174" w:history="1">
        <w:r w:rsidRPr="00600FC7">
          <w:rPr>
            <w:rFonts w:ascii="Times New Roman" w:eastAsia="Times New Roman" w:hAnsi="Times New Roman" w:cs="Times New Roman"/>
            <w:color w:val="0000FF"/>
            <w:sz w:val="24"/>
            <w:szCs w:val="24"/>
            <w:u w:val="single"/>
          </w:rPr>
          <w:t>https://doi.org/10.1016/j.schres.2007.11.032</w:t>
        </w:r>
      </w:hyperlink>
    </w:p>
    <w:p w14:paraId="04357B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&amp; Chamberlain, S. R. (2021). Personality traits and their clinical associations in trichotillomania and skin picking disorder.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 </w:t>
      </w:r>
      <w:hyperlink r:id="rId2175" w:history="1">
        <w:r w:rsidRPr="00600FC7">
          <w:rPr>
            <w:rFonts w:ascii="Times New Roman" w:eastAsia="Times New Roman" w:hAnsi="Times New Roman" w:cs="Times New Roman"/>
            <w:color w:val="0000FF"/>
            <w:sz w:val="24"/>
            <w:szCs w:val="24"/>
            <w:u w:val="single"/>
          </w:rPr>
          <w:t>https://doi.org/10.1186/s12888-021-03209-y</w:t>
        </w:r>
      </w:hyperlink>
    </w:p>
    <w:p w14:paraId="12C4FA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Chamberlain, S. R., Odlaug, B. L., Potenza, M. N., &amp; Kim, S. W. (2010). Memantine shows promise in reducing gambling severity and cognitive inflexibility in pathological gambling: A pilot study. </w:t>
      </w:r>
      <w:r w:rsidRPr="00600FC7">
        <w:rPr>
          <w:rFonts w:ascii="Times New Roman" w:eastAsia="Times New Roman" w:hAnsi="Times New Roman" w:cs="Times New Roman"/>
          <w:i/>
          <w:iCs/>
          <w:sz w:val="24"/>
          <w:szCs w:val="24"/>
        </w:rPr>
        <w:t>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212</w:t>
      </w:r>
      <w:r w:rsidRPr="00600FC7">
        <w:rPr>
          <w:rFonts w:ascii="Times New Roman" w:eastAsia="Times New Roman" w:hAnsi="Times New Roman" w:cs="Times New Roman"/>
          <w:sz w:val="24"/>
          <w:szCs w:val="24"/>
        </w:rPr>
        <w:t xml:space="preserve">(4), 603–612. </w:t>
      </w:r>
      <w:hyperlink r:id="rId2176" w:history="1">
        <w:r w:rsidRPr="00600FC7">
          <w:rPr>
            <w:rFonts w:ascii="Times New Roman" w:eastAsia="Times New Roman" w:hAnsi="Times New Roman" w:cs="Times New Roman"/>
            <w:color w:val="0000FF"/>
            <w:sz w:val="24"/>
            <w:szCs w:val="24"/>
            <w:u w:val="single"/>
          </w:rPr>
          <w:t>https://doi.org/10.1007/s00213-010-1994-5</w:t>
        </w:r>
      </w:hyperlink>
    </w:p>
    <w:p w14:paraId="29D15E7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Correia, S., Brennan-Krohn, T., Malloy, P. F., Laidlaw, D. H., &amp; Schulz, S. C. (2007). Frontal white matter integrity in borderline personality disorder with self-injurious behavior.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383–390. </w:t>
      </w:r>
      <w:hyperlink r:id="rId2177" w:history="1">
        <w:r w:rsidRPr="00600FC7">
          <w:rPr>
            <w:rFonts w:ascii="Times New Roman" w:eastAsia="Times New Roman" w:hAnsi="Times New Roman" w:cs="Times New Roman"/>
            <w:color w:val="0000FF"/>
            <w:sz w:val="24"/>
            <w:szCs w:val="24"/>
            <w:u w:val="single"/>
          </w:rPr>
          <w:t>https://doi.org/10.1176/appi.neuropsych.19.4.383</w:t>
        </w:r>
      </w:hyperlink>
    </w:p>
    <w:p w14:paraId="6021EE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Odlaug, B. L., &amp; Chamberlain, S. R. (2011). A cognitive comparison of pathological skin picking and trichotillomania.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(12), 1634–1638. </w:t>
      </w:r>
      <w:hyperlink r:id="rId2178" w:history="1">
        <w:r w:rsidRPr="00600FC7">
          <w:rPr>
            <w:rFonts w:ascii="Times New Roman" w:eastAsia="Times New Roman" w:hAnsi="Times New Roman" w:cs="Times New Roman"/>
            <w:color w:val="0000FF"/>
            <w:sz w:val="24"/>
            <w:szCs w:val="24"/>
            <w:u w:val="single"/>
          </w:rPr>
          <w:t>https://doi.org/10.1016/j.jpsychires.2011.07.012</w:t>
        </w:r>
      </w:hyperlink>
    </w:p>
    <w:p w14:paraId="10B7FA0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Grant, J. E., Odlaug, B. L., &amp; Wozniak, J. R. (2007). Neuropsychological functioning in kleptomania. </w:t>
      </w:r>
      <w:r w:rsidRPr="00600FC7">
        <w:rPr>
          <w:rFonts w:ascii="Times New Roman" w:eastAsia="Times New Roman" w:hAnsi="Times New Roman" w:cs="Times New Roman"/>
          <w:i/>
          <w:iCs/>
          <w:sz w:val="24"/>
          <w:szCs w:val="24"/>
        </w:rPr>
        <w:t>Behaviour Research and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(7), 1663–1670. </w:t>
      </w:r>
      <w:hyperlink r:id="rId2179" w:history="1">
        <w:r w:rsidRPr="00600FC7">
          <w:rPr>
            <w:rFonts w:ascii="Times New Roman" w:eastAsia="Times New Roman" w:hAnsi="Times New Roman" w:cs="Times New Roman"/>
            <w:color w:val="0000FF"/>
            <w:sz w:val="24"/>
            <w:szCs w:val="24"/>
            <w:u w:val="single"/>
          </w:rPr>
          <w:t>https://doi.org/10.1016/j.brat.2006.08.013</w:t>
        </w:r>
      </w:hyperlink>
    </w:p>
    <w:p w14:paraId="7CFF497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Grau-Pérez, G., &amp; Moreira, K. (2017). A study of the influence of chess on the Executive Functions in school-aged children. </w:t>
      </w:r>
      <w:r w:rsidRPr="00600FC7">
        <w:rPr>
          <w:rFonts w:ascii="Times New Roman" w:eastAsia="Times New Roman" w:hAnsi="Times New Roman" w:cs="Times New Roman"/>
          <w:i/>
          <w:iCs/>
          <w:sz w:val="24"/>
          <w:szCs w:val="24"/>
        </w:rPr>
        <w:t>Estudios de Psicología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(2), 473–494. </w:t>
      </w:r>
      <w:hyperlink r:id="rId2180" w:history="1">
        <w:r w:rsidRPr="00600FC7">
          <w:rPr>
            <w:rFonts w:ascii="Times New Roman" w:eastAsia="Times New Roman" w:hAnsi="Times New Roman" w:cs="Times New Roman"/>
            <w:color w:val="0000FF"/>
            <w:sz w:val="24"/>
            <w:szCs w:val="24"/>
            <w:u w:val="single"/>
          </w:rPr>
          <w:t>https://doi.org/10.1080/02109395.2017.1295578</w:t>
        </w:r>
      </w:hyperlink>
    </w:p>
    <w:p w14:paraId="68B318A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Graver, C., Hajek, C., &amp; Bieliauskas, L. (2011). An investigation of impaired scores on the Frontal Assessment Battery in a VA population. </w:t>
      </w:r>
      <w:r w:rsidRPr="00600FC7">
        <w:rPr>
          <w:rFonts w:ascii="Times New Roman" w:eastAsia="Times New Roman" w:hAnsi="Times New Roman" w:cs="Times New Roman"/>
          <w:i/>
          <w:iCs/>
          <w:sz w:val="24"/>
          <w:szCs w:val="24"/>
        </w:rPr>
        <w:t>Applied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(4), 278–283. </w:t>
      </w:r>
      <w:hyperlink r:id="rId2181" w:history="1">
        <w:r w:rsidRPr="00600FC7">
          <w:rPr>
            <w:rFonts w:ascii="Times New Roman" w:eastAsia="Times New Roman" w:hAnsi="Times New Roman" w:cs="Times New Roman"/>
            <w:color w:val="0000FF"/>
            <w:sz w:val="24"/>
            <w:szCs w:val="24"/>
            <w:u w:val="single"/>
          </w:rPr>
          <w:t>https://doi.org/10.1080/09084282.2011.595454</w:t>
        </w:r>
      </w:hyperlink>
    </w:p>
    <w:p w14:paraId="39C67DC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Graver, C. J., &amp; White, P. M. (2007). Neuropsychological effects of stress on social phobia with and without comorbid depression. </w:t>
      </w:r>
      <w:r w:rsidRPr="00600FC7">
        <w:rPr>
          <w:rFonts w:ascii="Times New Roman" w:eastAsia="Times New Roman" w:hAnsi="Times New Roman" w:cs="Times New Roman"/>
          <w:i/>
          <w:iCs/>
          <w:sz w:val="24"/>
          <w:szCs w:val="24"/>
        </w:rPr>
        <w:t>Behaviour Research and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(6), 1193–1206. </w:t>
      </w:r>
      <w:hyperlink r:id="rId2182" w:history="1">
        <w:r w:rsidRPr="00600FC7">
          <w:rPr>
            <w:rFonts w:ascii="Times New Roman" w:eastAsia="Times New Roman" w:hAnsi="Times New Roman" w:cs="Times New Roman"/>
            <w:color w:val="0000FF"/>
            <w:sz w:val="24"/>
            <w:szCs w:val="24"/>
            <w:u w:val="single"/>
          </w:rPr>
          <w:t>https://doi.org/10.1016/j.brat.2006.08.002</w:t>
        </w:r>
      </w:hyperlink>
    </w:p>
    <w:p w14:paraId="0ED479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Gråwe, R. W., &amp; Levander, S. (1995). Smooth pursuit eye movements and neuropsychological impairments in schizophrenia.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92</w:t>
      </w:r>
      <w:r w:rsidRPr="00600FC7">
        <w:rPr>
          <w:rFonts w:ascii="Times New Roman" w:eastAsia="Times New Roman" w:hAnsi="Times New Roman" w:cs="Times New Roman"/>
          <w:sz w:val="24"/>
          <w:szCs w:val="24"/>
        </w:rPr>
        <w:t xml:space="preserve">(2), 108–114. </w:t>
      </w:r>
      <w:hyperlink r:id="rId2183" w:history="1">
        <w:r w:rsidRPr="00600FC7">
          <w:rPr>
            <w:rFonts w:ascii="Times New Roman" w:eastAsia="Times New Roman" w:hAnsi="Times New Roman" w:cs="Times New Roman"/>
            <w:color w:val="0000FF"/>
            <w:sz w:val="24"/>
            <w:szCs w:val="24"/>
            <w:u w:val="single"/>
          </w:rPr>
          <w:t>https://doi.org/10.1111/j.1600-0447.1995.tb09552.x</w:t>
        </w:r>
      </w:hyperlink>
    </w:p>
    <w:p w14:paraId="0838FE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J. E., Saveanu, R. V., &amp; Bornstein, R. A. (2004). The Effect of Previous Alcohol Abuse on Cognitive Function in HIV Infection.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161</w:t>
      </w:r>
      <w:r w:rsidRPr="00600FC7">
        <w:rPr>
          <w:rFonts w:ascii="Times New Roman" w:eastAsia="Times New Roman" w:hAnsi="Times New Roman" w:cs="Times New Roman"/>
          <w:sz w:val="24"/>
          <w:szCs w:val="24"/>
        </w:rPr>
        <w:t xml:space="preserve">(2), 249–254. </w:t>
      </w:r>
      <w:hyperlink r:id="rId2184" w:history="1">
        <w:r w:rsidRPr="00600FC7">
          <w:rPr>
            <w:rFonts w:ascii="Times New Roman" w:eastAsia="Times New Roman" w:hAnsi="Times New Roman" w:cs="Times New Roman"/>
            <w:color w:val="0000FF"/>
            <w:sz w:val="24"/>
            <w:szCs w:val="24"/>
            <w:u w:val="single"/>
          </w:rPr>
          <w:t>https://doi.org/10.1176/appi.ajp.161.2.249</w:t>
        </w:r>
      </w:hyperlink>
    </w:p>
    <w:p w14:paraId="0D8372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J., McDonald, W. M., Vitek, J. L., Evatt, M., Freeman, A., Haber, M., Bakay, R. A. E., Triche, S., Sirockman, B., &amp; DeLong, M. R. (2002). Cognitive impairments in advanced PD without dementia.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 xml:space="preserve">(9), 1320–1324. </w:t>
      </w:r>
      <w:hyperlink r:id="rId2185" w:history="1">
        <w:r w:rsidRPr="00600FC7">
          <w:rPr>
            <w:rFonts w:ascii="Times New Roman" w:eastAsia="Times New Roman" w:hAnsi="Times New Roman" w:cs="Times New Roman"/>
            <w:color w:val="0000FF"/>
            <w:sz w:val="24"/>
            <w:szCs w:val="24"/>
            <w:u w:val="single"/>
          </w:rPr>
          <w:t>https://doi.org/10.1212/01.WNL.0000031426.21683.E2</w:t>
        </w:r>
      </w:hyperlink>
    </w:p>
    <w:p w14:paraId="06D073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M. F., Hellman, S., &amp; Kern, R. S. (1997). Feasibility studies of cognitive remediation in schizophrenia: Grasping the little picture. In </w:t>
      </w:r>
      <w:r w:rsidRPr="00600FC7">
        <w:rPr>
          <w:rFonts w:ascii="Times New Roman" w:eastAsia="Times New Roman" w:hAnsi="Times New Roman" w:cs="Times New Roman"/>
          <w:i/>
          <w:iCs/>
          <w:sz w:val="24"/>
          <w:szCs w:val="24"/>
        </w:rPr>
        <w:t>Towards a comprehensive therapy for schizophrenia.</w:t>
      </w:r>
      <w:r w:rsidRPr="00600FC7">
        <w:rPr>
          <w:rFonts w:ascii="Times New Roman" w:eastAsia="Times New Roman" w:hAnsi="Times New Roman" w:cs="Times New Roman"/>
          <w:sz w:val="24"/>
          <w:szCs w:val="24"/>
        </w:rPr>
        <w:t xml:space="preserve"> (pp. 79–93). Hogrefe &amp; Huber Publishers.</w:t>
      </w:r>
    </w:p>
    <w:p w14:paraId="05FD5B1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P., &amp; Flaro, L. (2021). Performance validity test failure predicts suppression of neuropsychological test results in developmentally disabled children. </w:t>
      </w:r>
      <w:r w:rsidRPr="00600FC7">
        <w:rPr>
          <w:rFonts w:ascii="Times New Roman" w:eastAsia="Times New Roman" w:hAnsi="Times New Roman" w:cs="Times New Roman"/>
          <w:i/>
          <w:iCs/>
          <w:sz w:val="24"/>
          <w:szCs w:val="24"/>
        </w:rPr>
        <w:t>Applied Neuropsychology: Child</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65–81. </w:t>
      </w:r>
      <w:hyperlink r:id="rId2186" w:history="1">
        <w:r w:rsidRPr="00600FC7">
          <w:rPr>
            <w:rFonts w:ascii="Times New Roman" w:eastAsia="Times New Roman" w:hAnsi="Times New Roman" w:cs="Times New Roman"/>
            <w:color w:val="0000FF"/>
            <w:sz w:val="24"/>
            <w:szCs w:val="24"/>
            <w:u w:val="single"/>
          </w:rPr>
          <w:t>https://doi.org/10.1080/21622965.2019.1604342</w:t>
        </w:r>
      </w:hyperlink>
    </w:p>
    <w:p w14:paraId="639B65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 P., Rohling, M. L., Iverson, G. L., &amp; Gervais, R. O. (2003). Relationships between olfactory discrimination and head injury severity.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(6), 479–496. </w:t>
      </w:r>
      <w:hyperlink r:id="rId2187" w:history="1">
        <w:r w:rsidRPr="00600FC7">
          <w:rPr>
            <w:rFonts w:ascii="Times New Roman" w:eastAsia="Times New Roman" w:hAnsi="Times New Roman" w:cs="Times New Roman"/>
            <w:color w:val="0000FF"/>
            <w:sz w:val="24"/>
            <w:szCs w:val="24"/>
            <w:u w:val="single"/>
          </w:rPr>
          <w:t>https://doi.org/10.1080/0269905031000070242</w:t>
        </w:r>
      </w:hyperlink>
    </w:p>
    <w:p w14:paraId="5B94C6C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Greenaway, R., &amp; Howlin, P. (2010). Dysfunctional attitudes and perfectionism and their relationship to anxious and depressive symptoms in boys with autism spectrum disorders. </w:t>
      </w:r>
      <w:r w:rsidRPr="00600FC7">
        <w:rPr>
          <w:rFonts w:ascii="Times New Roman" w:eastAsia="Times New Roman" w:hAnsi="Times New Roman" w:cs="Times New Roman"/>
          <w:i/>
          <w:iCs/>
          <w:sz w:val="24"/>
          <w:szCs w:val="24"/>
        </w:rPr>
        <w:t>Journal of Autism and Developmental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(10), 1179–1187. </w:t>
      </w:r>
      <w:hyperlink r:id="rId2188" w:history="1">
        <w:r w:rsidRPr="00600FC7">
          <w:rPr>
            <w:rFonts w:ascii="Times New Roman" w:eastAsia="Times New Roman" w:hAnsi="Times New Roman" w:cs="Times New Roman"/>
            <w:color w:val="0000FF"/>
            <w:sz w:val="24"/>
            <w:szCs w:val="24"/>
            <w:u w:val="single"/>
          </w:rPr>
          <w:t>https://doi.org/10.1007/s10803-010-0977-z</w:t>
        </w:r>
      </w:hyperlink>
    </w:p>
    <w:p w14:paraId="759A2B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Greenberg, M. S., Wood, N. E., Spring, J. D., Gurvits, T. V., Nagurney, J. T., Zafonte, R. D., &amp; Pitman, R. K. (2015). Pilot study of neurological soft signs and depressive and postconcussive symptoms during recovery from mild traumatic brain injury (mTBI).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199–205. </w:t>
      </w:r>
      <w:hyperlink r:id="rId2189" w:history="1">
        <w:r w:rsidRPr="00600FC7">
          <w:rPr>
            <w:rFonts w:ascii="Times New Roman" w:eastAsia="Times New Roman" w:hAnsi="Times New Roman" w:cs="Times New Roman"/>
            <w:color w:val="0000FF"/>
            <w:sz w:val="24"/>
            <w:szCs w:val="24"/>
            <w:u w:val="single"/>
          </w:rPr>
          <w:t>https://doi.org/10.1176/appi.neuropsych.14050111</w:t>
        </w:r>
      </w:hyperlink>
    </w:p>
    <w:p w14:paraId="36851AE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Greene, K. K., Donders, J., &amp; Thoits, T. (2006). Topographical heading disorientation: A case study. </w:t>
      </w:r>
      <w:r w:rsidRPr="00600FC7">
        <w:rPr>
          <w:rFonts w:ascii="Times New Roman" w:eastAsia="Times New Roman" w:hAnsi="Times New Roman" w:cs="Times New Roman"/>
          <w:i/>
          <w:iCs/>
          <w:sz w:val="24"/>
          <w:szCs w:val="24"/>
        </w:rPr>
        <w:t>Applied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(4), 269–274. </w:t>
      </w:r>
      <w:hyperlink r:id="rId2190" w:history="1">
        <w:r w:rsidRPr="00600FC7">
          <w:rPr>
            <w:rFonts w:ascii="Times New Roman" w:eastAsia="Times New Roman" w:hAnsi="Times New Roman" w:cs="Times New Roman"/>
            <w:color w:val="0000FF"/>
            <w:sz w:val="24"/>
            <w:szCs w:val="24"/>
            <w:u w:val="single"/>
          </w:rPr>
          <w:t>https://doi.org/10.1207/s15324826an1304_8</w:t>
        </w:r>
      </w:hyperlink>
    </w:p>
    <w:p w14:paraId="2B6625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Greenwood, K. E., Landau, S., &amp; Wykes, T. (2005). Negative symptoms and specific cognitive impairments as combined targets for improved functional outcome within cognitive remediation therapy. </w:t>
      </w:r>
      <w:r w:rsidRPr="00600FC7">
        <w:rPr>
          <w:rFonts w:ascii="Times New Roman" w:eastAsia="Times New Roman" w:hAnsi="Times New Roman" w:cs="Times New Roman"/>
          <w:i/>
          <w:iCs/>
          <w:sz w:val="24"/>
          <w:szCs w:val="24"/>
        </w:rPr>
        <w:t>Schizophrenia Bulletin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(4), 910–921. </w:t>
      </w:r>
      <w:hyperlink r:id="rId2191" w:history="1">
        <w:r w:rsidRPr="00600FC7">
          <w:rPr>
            <w:rFonts w:ascii="Times New Roman" w:eastAsia="Times New Roman" w:hAnsi="Times New Roman" w:cs="Times New Roman"/>
            <w:color w:val="0000FF"/>
            <w:sz w:val="24"/>
            <w:szCs w:val="24"/>
            <w:u w:val="single"/>
          </w:rPr>
          <w:t>https://doi.org/10.1093/schbul/sbi035</w:t>
        </w:r>
      </w:hyperlink>
    </w:p>
    <w:p w14:paraId="08AA22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Greenwood, T. A., Light, G. A., Swerdlow, N. R., Radant, A. D., &amp; Braff, D. L. (2012). Association analysis of 94 candidate genes and schizophrenia-related endophenotypes.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w:t>
      </w:r>
      <w:r w:rsidRPr="00600FC7">
        <w:rPr>
          <w:rFonts w:ascii="Times New Roman" w:eastAsia="Times New Roman" w:hAnsi="Times New Roman" w:cs="Times New Roman"/>
          <w:sz w:val="24"/>
          <w:szCs w:val="24"/>
        </w:rPr>
        <w:t xml:space="preserve">(1). </w:t>
      </w:r>
      <w:hyperlink r:id="rId2192" w:history="1">
        <w:r w:rsidRPr="00600FC7">
          <w:rPr>
            <w:rFonts w:ascii="Times New Roman" w:eastAsia="Times New Roman" w:hAnsi="Times New Roman" w:cs="Times New Roman"/>
            <w:color w:val="0000FF"/>
            <w:sz w:val="24"/>
            <w:szCs w:val="24"/>
            <w:u w:val="single"/>
          </w:rPr>
          <w:t>https://doi.org/10.1371/journal.pone.0029630</w:t>
        </w:r>
      </w:hyperlink>
    </w:p>
    <w:p w14:paraId="0202E9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Gregory, A. M., Caspi, A., Moffitt, T. E., &amp; Poulton, R. (2009). Sleep problems in childhood predict neuropsychological functioning in adolescence. </w:t>
      </w:r>
      <w:r w:rsidRPr="00600FC7">
        <w:rPr>
          <w:rFonts w:ascii="Times New Roman" w:eastAsia="Times New Roman" w:hAnsi="Times New Roman" w:cs="Times New Roman"/>
          <w:i/>
          <w:iCs/>
          <w:sz w:val="24"/>
          <w:szCs w:val="24"/>
        </w:rPr>
        <w:t>Pediatrics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123</w:t>
      </w:r>
      <w:r w:rsidRPr="00600FC7">
        <w:rPr>
          <w:rFonts w:ascii="Times New Roman" w:eastAsia="Times New Roman" w:hAnsi="Times New Roman" w:cs="Times New Roman"/>
          <w:sz w:val="24"/>
          <w:szCs w:val="24"/>
        </w:rPr>
        <w:t xml:space="preserve">(4), 1171–1176. </w:t>
      </w:r>
      <w:hyperlink r:id="rId2193" w:history="1">
        <w:r w:rsidRPr="00600FC7">
          <w:rPr>
            <w:rFonts w:ascii="Times New Roman" w:eastAsia="Times New Roman" w:hAnsi="Times New Roman" w:cs="Times New Roman"/>
            <w:color w:val="0000FF"/>
            <w:sz w:val="24"/>
            <w:szCs w:val="24"/>
            <w:u w:val="single"/>
          </w:rPr>
          <w:t>https://doi.org/10.1542/peds.2008-0825</w:t>
        </w:r>
      </w:hyperlink>
    </w:p>
    <w:p w14:paraId="44C87C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Greiffenstein, M. F., &amp; Baker, W. J. (2003). Premorbid Clues? Preinjury Scholastic Performance and Present Neuropsychological Functioning in Late Postconcussion Syndrome.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(4), 561–573. </w:t>
      </w:r>
      <w:hyperlink r:id="rId2194" w:history="1">
        <w:r w:rsidRPr="00600FC7">
          <w:rPr>
            <w:rFonts w:ascii="Times New Roman" w:eastAsia="Times New Roman" w:hAnsi="Times New Roman" w:cs="Times New Roman"/>
            <w:color w:val="0000FF"/>
            <w:sz w:val="24"/>
            <w:szCs w:val="24"/>
            <w:u w:val="single"/>
          </w:rPr>
          <w:t>https://doi.org/10.1076/clin.17.4.561.27937</w:t>
        </w:r>
      </w:hyperlink>
    </w:p>
    <w:p w14:paraId="5A6F80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Greig, T. C., Bryson, G. J., &amp; Bell, M. D. (2004). Theory of Mind Performance in Schizophrenia: Diagnostic, Symptom, and Neuropsychological Correlates.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192</w:t>
      </w:r>
      <w:r w:rsidRPr="00600FC7">
        <w:rPr>
          <w:rFonts w:ascii="Times New Roman" w:eastAsia="Times New Roman" w:hAnsi="Times New Roman" w:cs="Times New Roman"/>
          <w:sz w:val="24"/>
          <w:szCs w:val="24"/>
        </w:rPr>
        <w:t xml:space="preserve">(1), 12–18. </w:t>
      </w:r>
      <w:hyperlink r:id="rId2195" w:history="1">
        <w:r w:rsidRPr="00600FC7">
          <w:rPr>
            <w:rFonts w:ascii="Times New Roman" w:eastAsia="Times New Roman" w:hAnsi="Times New Roman" w:cs="Times New Roman"/>
            <w:color w:val="0000FF"/>
            <w:sz w:val="24"/>
            <w:szCs w:val="24"/>
            <w:u w:val="single"/>
          </w:rPr>
          <w:t>https://doi.org/10.1097/01.nmd.0000105995.67947.fc</w:t>
        </w:r>
      </w:hyperlink>
    </w:p>
    <w:p w14:paraId="029AEA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Greig, T. C., Nicholls, S. S., Bryson, G. J., &amp; Bell, M. D. (2004). The Vocational Cognitive Rating Scale: A scale for the assessment of cognitive functioning at work for clients with severe mental illness. </w:t>
      </w:r>
      <w:r w:rsidRPr="00600FC7">
        <w:rPr>
          <w:rFonts w:ascii="Times New Roman" w:eastAsia="Times New Roman" w:hAnsi="Times New Roman" w:cs="Times New Roman"/>
          <w:i/>
          <w:iCs/>
          <w:sz w:val="24"/>
          <w:szCs w:val="24"/>
        </w:rPr>
        <w:t>Journal of Vocational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(2), 71–81.</w:t>
      </w:r>
    </w:p>
    <w:p w14:paraId="0C236E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Greig, T. C., Zito, W., Wexler, B. E., Fiszdon, J., &amp; Bell, M. D. (2007). Improved cognitive function in schizophrenia after one year of cognitive training and vocational services.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96</w:t>
      </w:r>
      <w:r w:rsidRPr="00600FC7">
        <w:rPr>
          <w:rFonts w:ascii="Times New Roman" w:eastAsia="Times New Roman" w:hAnsi="Times New Roman" w:cs="Times New Roman"/>
          <w:sz w:val="24"/>
          <w:szCs w:val="24"/>
        </w:rPr>
        <w:t xml:space="preserve">(1–3), 156–161. </w:t>
      </w:r>
      <w:hyperlink r:id="rId2196" w:history="1">
        <w:r w:rsidRPr="00600FC7">
          <w:rPr>
            <w:rFonts w:ascii="Times New Roman" w:eastAsia="Times New Roman" w:hAnsi="Times New Roman" w:cs="Times New Roman"/>
            <w:color w:val="0000FF"/>
            <w:sz w:val="24"/>
            <w:szCs w:val="24"/>
            <w:u w:val="single"/>
          </w:rPr>
          <w:t>https://doi.org/10.1016/j.schres.2007.07.003</w:t>
        </w:r>
      </w:hyperlink>
    </w:p>
    <w:p w14:paraId="465F2FD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Grenard, J. L., Ames, S. L., Wiers, R. W., Thush, C., Sussman, S., &amp; Stacy, A. W. (2008). Working memory capacity moderates the predictive effects of drug-related associations on substance use. </w:t>
      </w:r>
      <w:r w:rsidRPr="00600FC7">
        <w:rPr>
          <w:rFonts w:ascii="Times New Roman" w:eastAsia="Times New Roman" w:hAnsi="Times New Roman" w:cs="Times New Roman"/>
          <w:i/>
          <w:iCs/>
          <w:sz w:val="24"/>
          <w:szCs w:val="24"/>
        </w:rPr>
        <w:t>Psychology of 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426–432. </w:t>
      </w:r>
      <w:hyperlink r:id="rId2197" w:history="1">
        <w:r w:rsidRPr="00600FC7">
          <w:rPr>
            <w:rFonts w:ascii="Times New Roman" w:eastAsia="Times New Roman" w:hAnsi="Times New Roman" w:cs="Times New Roman"/>
            <w:color w:val="0000FF"/>
            <w:sz w:val="24"/>
            <w:szCs w:val="24"/>
            <w:u w:val="single"/>
          </w:rPr>
          <w:t>https://doi.org/10.1037/0893-164X.22.3.426</w:t>
        </w:r>
      </w:hyperlink>
    </w:p>
    <w:p w14:paraId="4CBBAC8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Grenèche, J., Krieger, J., Bertrand, F., Erhardt, C., Maumy, M., &amp; Tassi, P. (2011). Short-term memory performances during sustained wakefulness in patients with obstructive sleep apnea–hypopnea syndrome.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75</w:t>
      </w:r>
      <w:r w:rsidRPr="00600FC7">
        <w:rPr>
          <w:rFonts w:ascii="Times New Roman" w:eastAsia="Times New Roman" w:hAnsi="Times New Roman" w:cs="Times New Roman"/>
          <w:sz w:val="24"/>
          <w:szCs w:val="24"/>
        </w:rPr>
        <w:t xml:space="preserve">(1), 39–50. </w:t>
      </w:r>
      <w:hyperlink r:id="rId2198" w:history="1">
        <w:r w:rsidRPr="00600FC7">
          <w:rPr>
            <w:rFonts w:ascii="Times New Roman" w:eastAsia="Times New Roman" w:hAnsi="Times New Roman" w:cs="Times New Roman"/>
            <w:color w:val="0000FF"/>
            <w:sz w:val="24"/>
            <w:szCs w:val="24"/>
            <w:u w:val="single"/>
          </w:rPr>
          <w:t>https://doi.org/10.1016/j.bandc.2010.10.003</w:t>
        </w:r>
      </w:hyperlink>
    </w:p>
    <w:p w14:paraId="56D7A37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Grenèche, J., Krieger, J., Bertrand, F., Erhardt, C., Maumy, M., &amp; Tassi, P. (2013). Effect of continuous positive airway pressure treatment on short-term memory performance over 24h of sustained wakefulness in patients with obstructive sleep apnea–hypopnea syndrome. </w:t>
      </w:r>
      <w:r w:rsidRPr="00600FC7">
        <w:rPr>
          <w:rFonts w:ascii="Times New Roman" w:eastAsia="Times New Roman" w:hAnsi="Times New Roman" w:cs="Times New Roman"/>
          <w:i/>
          <w:iCs/>
          <w:sz w:val="24"/>
          <w:szCs w:val="24"/>
        </w:rPr>
        <w:t>Sleep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(10), 964–972. </w:t>
      </w:r>
      <w:hyperlink r:id="rId2199" w:history="1">
        <w:r w:rsidRPr="00600FC7">
          <w:rPr>
            <w:rFonts w:ascii="Times New Roman" w:eastAsia="Times New Roman" w:hAnsi="Times New Roman" w:cs="Times New Roman"/>
            <w:color w:val="0000FF"/>
            <w:sz w:val="24"/>
            <w:szCs w:val="24"/>
            <w:u w:val="single"/>
          </w:rPr>
          <w:t>https://doi.org/10.1016/j.sleep.2013.07.002</w:t>
        </w:r>
      </w:hyperlink>
    </w:p>
    <w:p w14:paraId="29A805C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(1993). Can perseverative responses on the Wisconsin Card Sorting Test be scored accurately?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(6), 511–517. </w:t>
      </w:r>
      <w:hyperlink r:id="rId2200" w:history="1">
        <w:r w:rsidRPr="00600FC7">
          <w:rPr>
            <w:rFonts w:ascii="Times New Roman" w:eastAsia="Times New Roman" w:hAnsi="Times New Roman" w:cs="Times New Roman"/>
            <w:color w:val="0000FF"/>
            <w:sz w:val="24"/>
            <w:szCs w:val="24"/>
            <w:u w:val="single"/>
          </w:rPr>
          <w:t>https://doi.org/10.1016/0887-6177(93)90051-2</w:t>
        </w:r>
      </w:hyperlink>
    </w:p>
    <w:p w14:paraId="2DF321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(2001). The WCST-64: A standardized short-form of the Wisconsin Card Sorting Test.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(2), 228–234. </w:t>
      </w:r>
      <w:hyperlink r:id="rId2201" w:history="1">
        <w:r w:rsidRPr="00600FC7">
          <w:rPr>
            <w:rFonts w:ascii="Times New Roman" w:eastAsia="Times New Roman" w:hAnsi="Times New Roman" w:cs="Times New Roman"/>
            <w:color w:val="0000FF"/>
            <w:sz w:val="24"/>
            <w:szCs w:val="24"/>
            <w:u w:val="single"/>
          </w:rPr>
          <w:t>https://doi.org/10.1076/clin.15.2.228.1901</w:t>
        </w:r>
      </w:hyperlink>
    </w:p>
    <w:p w14:paraId="635CD72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&amp; Bianchini, K. J. (2002). Using the Wisconsin Card Sorting Test to detect malingering: An analysis of the specificity of two methods in nonmalingering normal and patient samples.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 48–54. </w:t>
      </w:r>
      <w:hyperlink r:id="rId2202" w:history="1">
        <w:r w:rsidRPr="00600FC7">
          <w:rPr>
            <w:rFonts w:ascii="Times New Roman" w:eastAsia="Times New Roman" w:hAnsi="Times New Roman" w:cs="Times New Roman"/>
            <w:color w:val="0000FF"/>
            <w:sz w:val="24"/>
            <w:szCs w:val="24"/>
            <w:u w:val="single"/>
          </w:rPr>
          <w:t>https://doi.org/10.1076/jcen.24.1.48.968</w:t>
        </w:r>
      </w:hyperlink>
    </w:p>
    <w:p w14:paraId="7BB6D4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&amp; Bianchini, K. J. (2006). Classification accuracy of the Portland Digit Recognition Test in traumatic brain injury: Results of a known-groups analysis.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(4), 816–830. </w:t>
      </w:r>
      <w:hyperlink r:id="rId2203" w:history="1">
        <w:r w:rsidRPr="00600FC7">
          <w:rPr>
            <w:rFonts w:ascii="Times New Roman" w:eastAsia="Times New Roman" w:hAnsi="Times New Roman" w:cs="Times New Roman"/>
            <w:color w:val="0000FF"/>
            <w:sz w:val="24"/>
            <w:szCs w:val="24"/>
            <w:u w:val="single"/>
          </w:rPr>
          <w:t>https://doi.org/10.1080/13854040500346610</w:t>
        </w:r>
      </w:hyperlink>
    </w:p>
    <w:p w14:paraId="3005EA5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Black, F. W., Heinly, M. T., Love, J. M., Swift, D. A., &amp; Ciota, M. (2006). Classification accuracy of the Test of Memory Malingering in persons reporting exposure to environmental and industrial toxins: Results of a known-groups analysis.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(5), 439–448. </w:t>
      </w:r>
      <w:hyperlink r:id="rId2204" w:history="1">
        <w:r w:rsidRPr="00600FC7">
          <w:rPr>
            <w:rFonts w:ascii="Times New Roman" w:eastAsia="Times New Roman" w:hAnsi="Times New Roman" w:cs="Times New Roman"/>
            <w:color w:val="0000FF"/>
            <w:sz w:val="24"/>
            <w:szCs w:val="24"/>
            <w:u w:val="single"/>
          </w:rPr>
          <w:t>https://doi.org/10.1016/j.acn.2006.06.004</w:t>
        </w:r>
      </w:hyperlink>
    </w:p>
    <w:p w14:paraId="6DFBC4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Hartley, S. M., &amp; Adams, D. (1999). The Wisconsin Card Sorting Test in stroke rehabilitation: Factor structure and relationship to outcome.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 xml:space="preserve">(6), 497–509. </w:t>
      </w:r>
      <w:hyperlink r:id="rId2205" w:history="1">
        <w:r w:rsidRPr="00600FC7">
          <w:rPr>
            <w:rFonts w:ascii="Times New Roman" w:eastAsia="Times New Roman" w:hAnsi="Times New Roman" w:cs="Times New Roman"/>
            <w:color w:val="0000FF"/>
            <w:sz w:val="24"/>
            <w:szCs w:val="24"/>
            <w:u w:val="single"/>
          </w:rPr>
          <w:t>https://doi.org/10.1016/S0887-6177(98)00045-6</w:t>
        </w:r>
      </w:hyperlink>
    </w:p>
    <w:p w14:paraId="6EAD50F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Love, J. M., Brennan, A., &amp; Heinly, M. T. (2006). Sensitivity and specificity of MMPI-2 validity scales and indicators to malingered neurocognitive dysfunction in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(3), 491–512. </w:t>
      </w:r>
      <w:hyperlink r:id="rId2206" w:history="1">
        <w:r w:rsidRPr="00600FC7">
          <w:rPr>
            <w:rFonts w:ascii="Times New Roman" w:eastAsia="Times New Roman" w:hAnsi="Times New Roman" w:cs="Times New Roman"/>
            <w:color w:val="0000FF"/>
            <w:sz w:val="24"/>
            <w:szCs w:val="24"/>
            <w:u w:val="single"/>
          </w:rPr>
          <w:t>https://doi.org/10.1080/13854040590967144</w:t>
        </w:r>
      </w:hyperlink>
    </w:p>
    <w:p w14:paraId="0A08DDA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Mathias, C. W., Houston, R. J., &amp; Crouch, J. A. (2002). Detecting malingered performance with the Wisconsin Card Sorting Test: A preliminary investigation in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(2), 179–191. </w:t>
      </w:r>
      <w:hyperlink r:id="rId2207" w:history="1">
        <w:r w:rsidRPr="00600FC7">
          <w:rPr>
            <w:rFonts w:ascii="Times New Roman" w:eastAsia="Times New Roman" w:hAnsi="Times New Roman" w:cs="Times New Roman"/>
            <w:color w:val="0000FF"/>
            <w:sz w:val="24"/>
            <w:szCs w:val="24"/>
            <w:u w:val="single"/>
          </w:rPr>
          <w:t>https://doi.org/10.1076/clin.16.2.179.13241</w:t>
        </w:r>
      </w:hyperlink>
    </w:p>
    <w:p w14:paraId="112BAD6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Bianchini, K. J., &amp; Roberson, T. (2007). The Booklet Category Test and malingering in traumatic brain injury: Classification accuracy in known groups.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(2), 318–337. </w:t>
      </w:r>
      <w:hyperlink r:id="rId2208" w:history="1">
        <w:r w:rsidRPr="00600FC7">
          <w:rPr>
            <w:rFonts w:ascii="Times New Roman" w:eastAsia="Times New Roman" w:hAnsi="Times New Roman" w:cs="Times New Roman"/>
            <w:color w:val="0000FF"/>
            <w:sz w:val="24"/>
            <w:szCs w:val="24"/>
            <w:u w:val="single"/>
          </w:rPr>
          <w:t>https://doi.org/10.1080/13854040500488552</w:t>
        </w:r>
      </w:hyperlink>
    </w:p>
    <w:p w14:paraId="53A908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Brooks, J., Crouch, J. A., Williams, M. C., &amp; Rice, W. J. (1997). Factorial structure of the Wisconsin Card Sorting Test. </w:t>
      </w:r>
      <w:r w:rsidRPr="00600FC7">
        <w:rPr>
          <w:rFonts w:ascii="Times New Roman" w:eastAsia="Times New Roman" w:hAnsi="Times New Roman" w:cs="Times New Roman"/>
          <w:i/>
          <w:iCs/>
          <w:sz w:val="24"/>
          <w:szCs w:val="24"/>
        </w:rPr>
        <w:t>British Journal of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(2), 283–285. </w:t>
      </w:r>
      <w:hyperlink r:id="rId2209" w:history="1">
        <w:r w:rsidRPr="00600FC7">
          <w:rPr>
            <w:rFonts w:ascii="Times New Roman" w:eastAsia="Times New Roman" w:hAnsi="Times New Roman" w:cs="Times New Roman"/>
            <w:color w:val="0000FF"/>
            <w:sz w:val="24"/>
            <w:szCs w:val="24"/>
            <w:u w:val="single"/>
          </w:rPr>
          <w:t>https://doi.org/10.1111/j.2044-8260.1997.tb01414.x</w:t>
        </w:r>
      </w:hyperlink>
    </w:p>
    <w:p w14:paraId="16A7230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Farrell, J. F., Besson, P. S., &amp; Crouch, J. A. (1995). A psychometric analysis of the California Card Sorting Test.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(3), 265–278. </w:t>
      </w:r>
      <w:hyperlink r:id="rId2210" w:history="1">
        <w:r w:rsidRPr="00600FC7">
          <w:rPr>
            <w:rFonts w:ascii="Times New Roman" w:eastAsia="Times New Roman" w:hAnsi="Times New Roman" w:cs="Times New Roman"/>
            <w:color w:val="0000FF"/>
            <w:sz w:val="24"/>
            <w:szCs w:val="24"/>
            <w:u w:val="single"/>
          </w:rPr>
          <w:t>https://doi.org/10.1016/0887-6177(94)00046-S</w:t>
        </w:r>
      </w:hyperlink>
    </w:p>
    <w:p w14:paraId="24F6CB5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Heinly, M. T., Bianchini, K. J., &amp; Love, J. M. (2009). Malingering detection with the Wisconsin Card Sorting Test in mild traumatic brain injury.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(2), 343–362. </w:t>
      </w:r>
      <w:hyperlink r:id="rId2211" w:history="1">
        <w:r w:rsidRPr="00600FC7">
          <w:rPr>
            <w:rFonts w:ascii="Times New Roman" w:eastAsia="Times New Roman" w:hAnsi="Times New Roman" w:cs="Times New Roman"/>
            <w:color w:val="0000FF"/>
            <w:sz w:val="24"/>
            <w:szCs w:val="24"/>
            <w:u w:val="single"/>
          </w:rPr>
          <w:t>https://doi.org/10.1080/13854040802054169</w:t>
        </w:r>
      </w:hyperlink>
    </w:p>
    <w:p w14:paraId="2AE454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Ingram, F., &amp; Bianchini, K. J. (1998). Latent structure of the Wisconsin Card Sorting Test in a clinical sample.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(7), 597–609. </w:t>
      </w:r>
      <w:hyperlink r:id="rId2212" w:history="1">
        <w:r w:rsidRPr="00600FC7">
          <w:rPr>
            <w:rFonts w:ascii="Times New Roman" w:eastAsia="Times New Roman" w:hAnsi="Times New Roman" w:cs="Times New Roman"/>
            <w:color w:val="0000FF"/>
            <w:sz w:val="24"/>
            <w:szCs w:val="24"/>
            <w:u w:val="single"/>
          </w:rPr>
          <w:t>https://doi.org/10.1016/S0887-6177(97)00075-9</w:t>
        </w:r>
      </w:hyperlink>
    </w:p>
    <w:p w14:paraId="14950D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Love, J. M., Sherwin, E., Mathias, C. W., Houston, R. J., &amp; Brennan, A. (2002). Temporal stability of the Wisconsin Card Sorting Test in a chronic traumatic brain injury sample. </w:t>
      </w:r>
      <w:r w:rsidRPr="00600FC7">
        <w:rPr>
          <w:rFonts w:ascii="Times New Roman" w:eastAsia="Times New Roman" w:hAnsi="Times New Roman" w:cs="Times New Roman"/>
          <w:i/>
          <w:iCs/>
          <w:sz w:val="24"/>
          <w:szCs w:val="24"/>
        </w:rPr>
        <w:t>Assessment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 xml:space="preserve">(3), 271–277. </w:t>
      </w:r>
      <w:hyperlink r:id="rId2213" w:history="1">
        <w:r w:rsidRPr="00600FC7">
          <w:rPr>
            <w:rFonts w:ascii="Times New Roman" w:eastAsia="Times New Roman" w:hAnsi="Times New Roman" w:cs="Times New Roman"/>
            <w:color w:val="0000FF"/>
            <w:sz w:val="24"/>
            <w:szCs w:val="24"/>
            <w:u w:val="single"/>
          </w:rPr>
          <w:t>https://doi.org/10.1177/1073191102009003006</w:t>
        </w:r>
      </w:hyperlink>
    </w:p>
    <w:p w14:paraId="352BB6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Love, J. M., Sherwin, E., Mathias, C. W., Ramzinski, P., &amp; Levy, J. (2002). Wisconsin Card Sorting Test in chronic severe traumatic brain injury: Factor structure and performance subgroups.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16</w:t>
      </w:r>
      <w:r w:rsidRPr="00600FC7">
        <w:rPr>
          <w:rFonts w:ascii="Times New Roman" w:eastAsia="Times New Roman" w:hAnsi="Times New Roman" w:cs="Times New Roman"/>
          <w:sz w:val="24"/>
          <w:szCs w:val="24"/>
        </w:rPr>
        <w:t xml:space="preserve">(1), 29–40. </w:t>
      </w:r>
      <w:hyperlink r:id="rId2214" w:history="1">
        <w:r w:rsidRPr="00600FC7">
          <w:rPr>
            <w:rFonts w:ascii="Times New Roman" w:eastAsia="Times New Roman" w:hAnsi="Times New Roman" w:cs="Times New Roman"/>
            <w:color w:val="0000FF"/>
            <w:sz w:val="24"/>
            <w:szCs w:val="24"/>
            <w:u w:val="single"/>
          </w:rPr>
          <w:t>https://doi.org/10.1080/0269905011008803</w:t>
        </w:r>
      </w:hyperlink>
    </w:p>
    <w:p w14:paraId="68F81A6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Stickle, T. R., Love, J. M., Bianchini, K. J., &amp; Stanford, M. S. (2005). Latent structure of the Wisconsin Card Sorting Test: A confirmatory factor analytic study.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(3), 355–364. </w:t>
      </w:r>
      <w:hyperlink r:id="rId2215" w:history="1">
        <w:r w:rsidRPr="00600FC7">
          <w:rPr>
            <w:rFonts w:ascii="Times New Roman" w:eastAsia="Times New Roman" w:hAnsi="Times New Roman" w:cs="Times New Roman"/>
            <w:color w:val="0000FF"/>
            <w:sz w:val="24"/>
            <w:szCs w:val="24"/>
            <w:u w:val="single"/>
          </w:rPr>
          <w:t>https://doi.org/10.1016/j.acn.2004.09.004</w:t>
        </w:r>
      </w:hyperlink>
    </w:p>
    <w:p w14:paraId="111A0D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Greve, K. W., Williams, M. C., Haas, W. G., Littell, R. R., &amp; Reinoso, C. (1996). The role of attention in Wisconsin Card Sorting Test performance.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(3), 215–222. </w:t>
      </w:r>
      <w:hyperlink r:id="rId2216" w:history="1">
        <w:r w:rsidRPr="00600FC7">
          <w:rPr>
            <w:rFonts w:ascii="Times New Roman" w:eastAsia="Times New Roman" w:hAnsi="Times New Roman" w:cs="Times New Roman"/>
            <w:color w:val="0000FF"/>
            <w:sz w:val="24"/>
            <w:szCs w:val="24"/>
            <w:u w:val="single"/>
          </w:rPr>
          <w:t>https://doi.org/10.1016/0887-6177(95)00023-2</w:t>
        </w:r>
      </w:hyperlink>
    </w:p>
    <w:p w14:paraId="2F9715E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Griebling, J., Minshew, N. J., Bodner, K., Libove, R., Bansal, R., Konasale, P., Keshavan, M. S., &amp; Hardan, A. (2010). Dorsolateral prefrontal cortex magnetic resonance imaging measurements and cognitive performance in autism. </w:t>
      </w:r>
      <w:r w:rsidRPr="00600FC7">
        <w:rPr>
          <w:rFonts w:ascii="Times New Roman" w:eastAsia="Times New Roman" w:hAnsi="Times New Roman" w:cs="Times New Roman"/>
          <w:i/>
          <w:iCs/>
          <w:sz w:val="24"/>
          <w:szCs w:val="24"/>
        </w:rPr>
        <w:t>Journal of Child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(7), 856–863. </w:t>
      </w:r>
      <w:hyperlink r:id="rId2217" w:history="1">
        <w:r w:rsidRPr="00600FC7">
          <w:rPr>
            <w:rFonts w:ascii="Times New Roman" w:eastAsia="Times New Roman" w:hAnsi="Times New Roman" w:cs="Times New Roman"/>
            <w:color w:val="0000FF"/>
            <w:sz w:val="24"/>
            <w:szCs w:val="24"/>
            <w:u w:val="single"/>
          </w:rPr>
          <w:t>https://doi.org/10.1177/0883073809351313</w:t>
        </w:r>
      </w:hyperlink>
    </w:p>
    <w:p w14:paraId="522EF4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Griffen, J., &amp; Hanks, R. (2014). Cognitive and behavioral outcomes from traumatic brain injury. In </w:t>
      </w:r>
      <w:r w:rsidRPr="00600FC7">
        <w:rPr>
          <w:rFonts w:ascii="Times New Roman" w:eastAsia="Times New Roman" w:hAnsi="Times New Roman" w:cs="Times New Roman"/>
          <w:i/>
          <w:iCs/>
          <w:sz w:val="24"/>
          <w:szCs w:val="24"/>
        </w:rPr>
        <w:t>Handbook on the neuropsychology of traumatic brain injury.</w:t>
      </w:r>
      <w:r w:rsidRPr="00600FC7">
        <w:rPr>
          <w:rFonts w:ascii="Times New Roman" w:eastAsia="Times New Roman" w:hAnsi="Times New Roman" w:cs="Times New Roman"/>
          <w:sz w:val="24"/>
          <w:szCs w:val="24"/>
        </w:rPr>
        <w:t xml:space="preserve"> (pp. 25–45). Springer Science + Business Media. </w:t>
      </w:r>
      <w:hyperlink r:id="rId2218" w:history="1">
        <w:r w:rsidRPr="00600FC7">
          <w:rPr>
            <w:rFonts w:ascii="Times New Roman" w:eastAsia="Times New Roman" w:hAnsi="Times New Roman" w:cs="Times New Roman"/>
            <w:color w:val="0000FF"/>
            <w:sz w:val="24"/>
            <w:szCs w:val="24"/>
            <w:u w:val="single"/>
          </w:rPr>
          <w:t>https://doi.org/10.1007/978-1-4939-0784-7_2</w:t>
        </w:r>
      </w:hyperlink>
    </w:p>
    <w:p w14:paraId="6E7953B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Griffith, E. M. (2003). </w:t>
      </w:r>
      <w:r w:rsidRPr="00600FC7">
        <w:rPr>
          <w:rFonts w:ascii="Times New Roman" w:eastAsia="Times New Roman" w:hAnsi="Times New Roman" w:cs="Times New Roman"/>
          <w:i/>
          <w:iCs/>
          <w:sz w:val="24"/>
          <w:szCs w:val="24"/>
        </w:rPr>
        <w:t>Examining the feedback hypothesis of the executive function deficit in autism.</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(7-B), 3473–3473.</w:t>
      </w:r>
    </w:p>
    <w:p w14:paraId="3F8E84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Griffith, N. M., Smith, K. M., Schefft, B. K., Szaflarski, J. P., &amp; Privitera, M. D. (2008). Optimism, pessimism, and neuropsychological performance across semiology-based subtypes of psychogenic nonepileptic seizures.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(3), 478–484. </w:t>
      </w:r>
      <w:hyperlink r:id="rId2219" w:history="1">
        <w:r w:rsidRPr="00600FC7">
          <w:rPr>
            <w:rFonts w:ascii="Times New Roman" w:eastAsia="Times New Roman" w:hAnsi="Times New Roman" w:cs="Times New Roman"/>
            <w:color w:val="0000FF"/>
            <w:sz w:val="24"/>
            <w:szCs w:val="24"/>
            <w:u w:val="single"/>
          </w:rPr>
          <w:t>https://doi.org/10.1016/j.yebeh.2008.06.005</w:t>
        </w:r>
      </w:hyperlink>
    </w:p>
    <w:p w14:paraId="598F51E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Griffiths, S., Murray, S. B., &amp; Touyz, S. (2013). Drive for muscularity and muscularity-oriented disordered eating in men: The role of set shifting difficulties and weak central coherence. </w:t>
      </w:r>
      <w:r w:rsidRPr="00600FC7">
        <w:rPr>
          <w:rFonts w:ascii="Times New Roman" w:eastAsia="Times New Roman" w:hAnsi="Times New Roman" w:cs="Times New Roman"/>
          <w:i/>
          <w:iCs/>
          <w:sz w:val="24"/>
          <w:szCs w:val="24"/>
        </w:rPr>
        <w:t>Body Image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(4), 636–639. </w:t>
      </w:r>
      <w:hyperlink r:id="rId2220" w:history="1">
        <w:r w:rsidRPr="00600FC7">
          <w:rPr>
            <w:rFonts w:ascii="Times New Roman" w:eastAsia="Times New Roman" w:hAnsi="Times New Roman" w:cs="Times New Roman"/>
            <w:color w:val="0000FF"/>
            <w:sz w:val="24"/>
            <w:szCs w:val="24"/>
            <w:u w:val="single"/>
          </w:rPr>
          <w:t>https://doi.org/10.1016/j.bodyim.2013.04.002</w:t>
        </w:r>
      </w:hyperlink>
    </w:p>
    <w:p w14:paraId="6A457C1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Grigorenko, E. L., Sternberg, R. J., Jukes, M., Alcock, K., Lambo, J., Ngorosho, D., Nokes, C., &amp; Bundy, D. A. (2006). Effects of antiparasitic treatment on dynamically and statically tested cognitive skills over time. </w:t>
      </w:r>
      <w:r w:rsidRPr="00600FC7">
        <w:rPr>
          <w:rFonts w:ascii="Times New Roman" w:eastAsia="Times New Roman" w:hAnsi="Times New Roman" w:cs="Times New Roman"/>
          <w:i/>
          <w:iCs/>
          <w:sz w:val="24"/>
          <w:szCs w:val="24"/>
        </w:rPr>
        <w:t>Journal of Applied Developmental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(6), 499–526. </w:t>
      </w:r>
      <w:hyperlink r:id="rId2221" w:history="1">
        <w:r w:rsidRPr="00600FC7">
          <w:rPr>
            <w:rFonts w:ascii="Times New Roman" w:eastAsia="Times New Roman" w:hAnsi="Times New Roman" w:cs="Times New Roman"/>
            <w:color w:val="0000FF"/>
            <w:sz w:val="24"/>
            <w:szCs w:val="24"/>
            <w:u w:val="single"/>
          </w:rPr>
          <w:t>https://doi.org/10.1016/j.appdev.2006.08.005</w:t>
        </w:r>
      </w:hyperlink>
    </w:p>
    <w:p w14:paraId="06B60CD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Grigsby, J., Leehey, M. A., Jacquemont, S., Brunberg, J. A., Hagerman, R. J., Wilson, R., Epstein, J. H., Greco, C. M., Tassone, F., &amp; Hagerman, P. J. (2006). Cognitive Impairment in a 65-year-old Male With the Fragile X-associated Tremor-Ataxia Syndrome (FXTAS). </w:t>
      </w:r>
      <w:r w:rsidRPr="00600FC7">
        <w:rPr>
          <w:rFonts w:ascii="Times New Roman" w:eastAsia="Times New Roman" w:hAnsi="Times New Roman" w:cs="Times New Roman"/>
          <w:i/>
          <w:iCs/>
          <w:sz w:val="24"/>
          <w:szCs w:val="24"/>
        </w:rPr>
        <w:t>Cognitive and Behavioral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(3), 165–171. </w:t>
      </w:r>
      <w:hyperlink r:id="rId2222" w:history="1">
        <w:r w:rsidRPr="00600FC7">
          <w:rPr>
            <w:rFonts w:ascii="Times New Roman" w:eastAsia="Times New Roman" w:hAnsi="Times New Roman" w:cs="Times New Roman"/>
            <w:color w:val="0000FF"/>
            <w:sz w:val="24"/>
            <w:szCs w:val="24"/>
            <w:u w:val="single"/>
          </w:rPr>
          <w:t>https://doi.org/10.1097/01.wnn.0000213906.57148.01</w:t>
        </w:r>
      </w:hyperlink>
    </w:p>
    <w:p w14:paraId="111689F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Grilli, M. D., &amp; Glisky, E. L. (2011). The self-imagination effect: Benefits of a self-referential encoding strategy on cued recall in memory-impaired individuals with neurological damage. </w:t>
      </w:r>
      <w:r w:rsidRPr="00600FC7">
        <w:rPr>
          <w:rFonts w:ascii="Times New Roman" w:eastAsia="Times New Roman" w:hAnsi="Times New Roman" w:cs="Times New Roman"/>
          <w:i/>
          <w:iCs/>
          <w:sz w:val="24"/>
          <w:szCs w:val="24"/>
        </w:rPr>
        <w:t>Journal of the International Neuropsychological Society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(5), 929–933. </w:t>
      </w:r>
      <w:hyperlink r:id="rId2223" w:history="1">
        <w:r w:rsidRPr="00600FC7">
          <w:rPr>
            <w:rFonts w:ascii="Times New Roman" w:eastAsia="Times New Roman" w:hAnsi="Times New Roman" w:cs="Times New Roman"/>
            <w:color w:val="0000FF"/>
            <w:sz w:val="24"/>
            <w:szCs w:val="24"/>
            <w:u w:val="single"/>
          </w:rPr>
          <w:t>https://doi.org/10.1017/S1355617711000737</w:t>
        </w:r>
      </w:hyperlink>
    </w:p>
    <w:p w14:paraId="28B6982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Grilli, M. D., &amp; McFarland, C. P. (2011). Imagine that: Self-imagination improves prospective memory in memory-impaired individuals with neurological damage.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w:t>
      </w:r>
      <w:r w:rsidRPr="00600FC7">
        <w:rPr>
          <w:rFonts w:ascii="Times New Roman" w:eastAsia="Times New Roman" w:hAnsi="Times New Roman" w:cs="Times New Roman"/>
          <w:sz w:val="24"/>
          <w:szCs w:val="24"/>
        </w:rPr>
        <w:t xml:space="preserve">(6), 847–859. </w:t>
      </w:r>
      <w:hyperlink r:id="rId2224" w:history="1">
        <w:r w:rsidRPr="00600FC7">
          <w:rPr>
            <w:rFonts w:ascii="Times New Roman" w:eastAsia="Times New Roman" w:hAnsi="Times New Roman" w:cs="Times New Roman"/>
            <w:color w:val="0000FF"/>
            <w:sz w:val="24"/>
            <w:szCs w:val="24"/>
            <w:u w:val="single"/>
          </w:rPr>
          <w:t>https://doi.org/10.1080/09602011.2011.627263</w:t>
        </w:r>
      </w:hyperlink>
    </w:p>
    <w:p w14:paraId="7FF6D89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Grilli, M. D., Woolverton, C. B., Crawford, M., &amp; Glisky, E. L. (2018). Self-reference and emotional memory effects in older adults at increased genetic risk of Alzheimer’s disease. </w:t>
      </w:r>
      <w:r w:rsidRPr="00600FC7">
        <w:rPr>
          <w:rFonts w:ascii="Times New Roman" w:eastAsia="Times New Roman" w:hAnsi="Times New Roman" w:cs="Times New Roman"/>
          <w:i/>
          <w:iCs/>
          <w:sz w:val="24"/>
          <w:szCs w:val="24"/>
        </w:rPr>
        <w:t>Aging, Neuropsychology,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186–199. </w:t>
      </w:r>
      <w:hyperlink r:id="rId2225" w:history="1">
        <w:r w:rsidRPr="00600FC7">
          <w:rPr>
            <w:rFonts w:ascii="Times New Roman" w:eastAsia="Times New Roman" w:hAnsi="Times New Roman" w:cs="Times New Roman"/>
            <w:color w:val="0000FF"/>
            <w:sz w:val="24"/>
            <w:szCs w:val="24"/>
            <w:u w:val="single"/>
          </w:rPr>
          <w:t>https://doi.org/10.1080/13825585.2016.1275508</w:t>
        </w:r>
      </w:hyperlink>
    </w:p>
    <w:p w14:paraId="3BE0184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Grimm, O., &amp; Alm, B. (2007). A case of ciprofloxacin-induced acute polymorphic psychosis with a distinct deficit in executive functions. </w:t>
      </w:r>
      <w:r w:rsidRPr="00600FC7">
        <w:rPr>
          <w:rFonts w:ascii="Times New Roman" w:eastAsia="Times New Roman" w:hAnsi="Times New Roman" w:cs="Times New Roman"/>
          <w:i/>
          <w:iCs/>
          <w:sz w:val="24"/>
          <w:szCs w:val="24"/>
        </w:rPr>
        <w:t>Psychosomatics: Journal of Consultation and Liaison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(3), 269–269. </w:t>
      </w:r>
      <w:hyperlink r:id="rId2226" w:history="1">
        <w:r w:rsidRPr="00600FC7">
          <w:rPr>
            <w:rFonts w:ascii="Times New Roman" w:eastAsia="Times New Roman" w:hAnsi="Times New Roman" w:cs="Times New Roman"/>
            <w:color w:val="0000FF"/>
            <w:sz w:val="24"/>
            <w:szCs w:val="24"/>
            <w:u w:val="single"/>
          </w:rPr>
          <w:t>https://doi.org/10.1176/appi.psy.48.3.269</w:t>
        </w:r>
      </w:hyperlink>
    </w:p>
    <w:p w14:paraId="1F11677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Grippa, E., Sellitto, M., Scarpazza, C., Mattioli, F., &amp; di Pellegrino, G. (2017). Multiple sclerosis reduces sensitivity to immediate reward during decision making. </w:t>
      </w:r>
      <w:r w:rsidRPr="00600FC7">
        <w:rPr>
          <w:rFonts w:ascii="Times New Roman" w:eastAsia="Times New Roman" w:hAnsi="Times New Roman" w:cs="Times New Roman"/>
          <w:i/>
          <w:iCs/>
          <w:sz w:val="24"/>
          <w:szCs w:val="24"/>
        </w:rPr>
        <w:t>Behavioral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131</w:t>
      </w:r>
      <w:r w:rsidRPr="00600FC7">
        <w:rPr>
          <w:rFonts w:ascii="Times New Roman" w:eastAsia="Times New Roman" w:hAnsi="Times New Roman" w:cs="Times New Roman"/>
          <w:sz w:val="24"/>
          <w:szCs w:val="24"/>
        </w:rPr>
        <w:t xml:space="preserve">(4), 325–336. </w:t>
      </w:r>
      <w:hyperlink r:id="rId2227" w:history="1">
        <w:r w:rsidRPr="00600FC7">
          <w:rPr>
            <w:rFonts w:ascii="Times New Roman" w:eastAsia="Times New Roman" w:hAnsi="Times New Roman" w:cs="Times New Roman"/>
            <w:color w:val="0000FF"/>
            <w:sz w:val="24"/>
            <w:szCs w:val="24"/>
            <w:u w:val="single"/>
          </w:rPr>
          <w:t>https://doi.org/10.1037/bne0000206</w:t>
        </w:r>
      </w:hyperlink>
    </w:p>
    <w:p w14:paraId="79BC099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Grisham, J. R., Anderson, T. M., Poulton, R., Moffitt, T. E., &amp; Andrews, G. (2009). Childhood neuropsychological deficits associated with adult obsessive-compulsive disorder. </w:t>
      </w:r>
      <w:r w:rsidRPr="00600FC7">
        <w:rPr>
          <w:rFonts w:ascii="Times New Roman" w:eastAsia="Times New Roman" w:hAnsi="Times New Roman" w:cs="Times New Roman"/>
          <w:i/>
          <w:iCs/>
          <w:sz w:val="24"/>
          <w:szCs w:val="24"/>
        </w:rPr>
        <w:t>The British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195</w:t>
      </w:r>
      <w:r w:rsidRPr="00600FC7">
        <w:rPr>
          <w:rFonts w:ascii="Times New Roman" w:eastAsia="Times New Roman" w:hAnsi="Times New Roman" w:cs="Times New Roman"/>
          <w:sz w:val="24"/>
          <w:szCs w:val="24"/>
        </w:rPr>
        <w:t xml:space="preserve">(2), 138–141. </w:t>
      </w:r>
      <w:hyperlink r:id="rId2228" w:history="1">
        <w:r w:rsidRPr="00600FC7">
          <w:rPr>
            <w:rFonts w:ascii="Times New Roman" w:eastAsia="Times New Roman" w:hAnsi="Times New Roman" w:cs="Times New Roman"/>
            <w:color w:val="0000FF"/>
            <w:sz w:val="24"/>
            <w:szCs w:val="24"/>
            <w:u w:val="single"/>
          </w:rPr>
          <w:t>https://doi.org/10.1192/bjp.bp.108.056812</w:t>
        </w:r>
      </w:hyperlink>
    </w:p>
    <w:p w14:paraId="3DC9B8C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Grön, G. (1998). Auditory and visual working memory performance in patients with frontal lobe damage and in schizophrenic patients with low scores on the Wisconsin Card Sorting Test.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80</w:t>
      </w:r>
      <w:r w:rsidRPr="00600FC7">
        <w:rPr>
          <w:rFonts w:ascii="Times New Roman" w:eastAsia="Times New Roman" w:hAnsi="Times New Roman" w:cs="Times New Roman"/>
          <w:sz w:val="24"/>
          <w:szCs w:val="24"/>
        </w:rPr>
        <w:t xml:space="preserve">(1), 83–96. </w:t>
      </w:r>
      <w:hyperlink r:id="rId2229" w:history="1">
        <w:r w:rsidRPr="00600FC7">
          <w:rPr>
            <w:rFonts w:ascii="Times New Roman" w:eastAsia="Times New Roman" w:hAnsi="Times New Roman" w:cs="Times New Roman"/>
            <w:color w:val="0000FF"/>
            <w:sz w:val="24"/>
            <w:szCs w:val="24"/>
            <w:u w:val="single"/>
          </w:rPr>
          <w:t>https://doi.org/10.1016/S0165-1781(98)00053-5</w:t>
        </w:r>
      </w:hyperlink>
    </w:p>
    <w:p w14:paraId="7EC1B38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Grootens, K. P., van Veelen, N. M. J., Sitskoorn, M. M., Sabbe, B. G. C., Peuskens, J., Buitelaar, J. K., Verkes, R. J., &amp; Kahn, R. S. (2010). Effects on cognitive functioning after olanzapine–ziprasidone crossover in recent-onset schizophrenia. </w:t>
      </w:r>
      <w:r w:rsidRPr="00600FC7">
        <w:rPr>
          <w:rFonts w:ascii="Times New Roman" w:eastAsia="Times New Roman" w:hAnsi="Times New Roman" w:cs="Times New Roman"/>
          <w:i/>
          <w:iCs/>
          <w:sz w:val="24"/>
          <w:szCs w:val="24"/>
        </w:rPr>
        <w:t>European 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(12), 907–912. </w:t>
      </w:r>
      <w:hyperlink r:id="rId2230" w:history="1">
        <w:r w:rsidRPr="00600FC7">
          <w:rPr>
            <w:rFonts w:ascii="Times New Roman" w:eastAsia="Times New Roman" w:hAnsi="Times New Roman" w:cs="Times New Roman"/>
            <w:color w:val="0000FF"/>
            <w:sz w:val="24"/>
            <w:szCs w:val="24"/>
            <w:u w:val="single"/>
          </w:rPr>
          <w:t>https://doi.org/10.1016/j.euroneuro.2010.08.003</w:t>
        </w:r>
      </w:hyperlink>
    </w:p>
    <w:p w14:paraId="681146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Grošić, V., Grošić, P. F., Kalember, P., Janović, M. B., Radoš, M., Mihanović, M., &amp; Henigsberg, N. (2014). The effect of atypical antipsychotics on brain N-acetylaspartate levels in antipsychotic-naïve first-episode patients with schizophrenia: A preliminary study. </w:t>
      </w:r>
      <w:r w:rsidRPr="00600FC7">
        <w:rPr>
          <w:rFonts w:ascii="Times New Roman" w:eastAsia="Times New Roman" w:hAnsi="Times New Roman" w:cs="Times New Roman"/>
          <w:i/>
          <w:iCs/>
          <w:sz w:val="24"/>
          <w:szCs w:val="24"/>
        </w:rPr>
        <w:t>Neuropsychiatric Disease and Treatment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w:t>
      </w:r>
    </w:p>
    <w:p w14:paraId="79B9D61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Grossi, D., Longarzo, M., Quarantelli, M., Salvatore, E., Cavaliere, C., De Luca, P., Trojano, L., &amp; Aiello, M. (2017). Altered functional connectivity of interoception in illness anxiety disorder. </w:t>
      </w:r>
      <w:r w:rsidRPr="00600FC7">
        <w:rPr>
          <w:rFonts w:ascii="Times New Roman" w:eastAsia="Times New Roman" w:hAnsi="Times New Roman" w:cs="Times New Roman"/>
          <w:i/>
          <w:iCs/>
          <w:sz w:val="24"/>
          <w:szCs w:val="24"/>
        </w:rPr>
        <w:t>Cortex: A Journal Devoted to the Study of the Nervous System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86</w:t>
      </w:r>
      <w:r w:rsidRPr="00600FC7">
        <w:rPr>
          <w:rFonts w:ascii="Times New Roman" w:eastAsia="Times New Roman" w:hAnsi="Times New Roman" w:cs="Times New Roman"/>
          <w:sz w:val="24"/>
          <w:szCs w:val="24"/>
        </w:rPr>
        <w:t xml:space="preserve">, 22–32. </w:t>
      </w:r>
      <w:hyperlink r:id="rId2231" w:history="1">
        <w:r w:rsidRPr="00600FC7">
          <w:rPr>
            <w:rFonts w:ascii="Times New Roman" w:eastAsia="Times New Roman" w:hAnsi="Times New Roman" w:cs="Times New Roman"/>
            <w:color w:val="0000FF"/>
            <w:sz w:val="24"/>
            <w:szCs w:val="24"/>
            <w:u w:val="single"/>
          </w:rPr>
          <w:t>https://doi.org/10.1016/j.cortex.2016.10.018</w:t>
        </w:r>
      </w:hyperlink>
    </w:p>
    <w:p w14:paraId="6957EB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Gross-Isseroff, R., Sasson, Y., Voet, H., Hendler, T., Luca-Haimovici, K., Kandel-Sussman, H., &amp; Zohar, J. (1996). Alternation learning in obsessive-compulsive disorder.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(8), 733–738. </w:t>
      </w:r>
      <w:hyperlink r:id="rId2232" w:history="1">
        <w:r w:rsidRPr="00600FC7">
          <w:rPr>
            <w:rFonts w:ascii="Times New Roman" w:eastAsia="Times New Roman" w:hAnsi="Times New Roman" w:cs="Times New Roman"/>
            <w:color w:val="0000FF"/>
            <w:sz w:val="24"/>
            <w:szCs w:val="24"/>
            <w:u w:val="single"/>
          </w:rPr>
          <w:t>https://doi.org/10.1016/0006-3223(95)00179-4</w:t>
        </w:r>
      </w:hyperlink>
    </w:p>
    <w:p w14:paraId="6CF28D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Grossman, A. B., Levin, B. E., Katzen, H. L., &amp; Lechner, S. (2004). PTSD symptoms and onset of neurologic disease in elderly trauma survivors.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(5), 698–705. </w:t>
      </w:r>
      <w:hyperlink r:id="rId2233" w:history="1">
        <w:r w:rsidRPr="00600FC7">
          <w:rPr>
            <w:rFonts w:ascii="Times New Roman" w:eastAsia="Times New Roman" w:hAnsi="Times New Roman" w:cs="Times New Roman"/>
            <w:color w:val="0000FF"/>
            <w:sz w:val="24"/>
            <w:szCs w:val="24"/>
            <w:u w:val="single"/>
          </w:rPr>
          <w:t>https://doi.org/10.1080/13803390490504362</w:t>
        </w:r>
      </w:hyperlink>
    </w:p>
    <w:p w14:paraId="301C051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O., Zilles, D., Kennel, J., Gruber, E., &amp; Falkai, P. (2011). A systematic experimental neuropsychological investigation of the functional integrity of working memory circuits in major depression.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261</w:t>
      </w:r>
      <w:r w:rsidRPr="00600FC7">
        <w:rPr>
          <w:rFonts w:ascii="Times New Roman" w:eastAsia="Times New Roman" w:hAnsi="Times New Roman" w:cs="Times New Roman"/>
          <w:sz w:val="24"/>
          <w:szCs w:val="24"/>
        </w:rPr>
        <w:t xml:space="preserve">(3), 179–184. </w:t>
      </w:r>
      <w:hyperlink r:id="rId2234" w:history="1">
        <w:r w:rsidRPr="00600FC7">
          <w:rPr>
            <w:rFonts w:ascii="Times New Roman" w:eastAsia="Times New Roman" w:hAnsi="Times New Roman" w:cs="Times New Roman"/>
            <w:color w:val="0000FF"/>
            <w:sz w:val="24"/>
            <w:szCs w:val="24"/>
            <w:u w:val="single"/>
          </w:rPr>
          <w:t>https://doi.org/10.1007/s00406-010-0165-3</w:t>
        </w:r>
      </w:hyperlink>
    </w:p>
    <w:p w14:paraId="3DFC64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R., Grizenko, N., Schwartz, G., Amor, L. B., Gauthier, J., De Guzman, R., &amp; Joober, R. (2006). Sleep and COMT Polymorphism in ADHD Children: Preliminary Actigraphic Data. </w:t>
      </w:r>
      <w:r w:rsidRPr="00600FC7">
        <w:rPr>
          <w:rFonts w:ascii="Times New Roman" w:eastAsia="Times New Roman" w:hAnsi="Times New Roman" w:cs="Times New Roman"/>
          <w:i/>
          <w:iCs/>
          <w:sz w:val="24"/>
          <w:szCs w:val="24"/>
        </w:rPr>
        <w:t>Journal of the American Academy of Child &amp; Adolescent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(8), 982–989. </w:t>
      </w:r>
      <w:hyperlink r:id="rId2235" w:history="1">
        <w:r w:rsidRPr="00600FC7">
          <w:rPr>
            <w:rFonts w:ascii="Times New Roman" w:eastAsia="Times New Roman" w:hAnsi="Times New Roman" w:cs="Times New Roman"/>
            <w:color w:val="0000FF"/>
            <w:sz w:val="24"/>
            <w:szCs w:val="24"/>
            <w:u w:val="single"/>
          </w:rPr>
          <w:t>https://doi.org/10.1097/01.chi.0000220848.48650.10</w:t>
        </w:r>
      </w:hyperlink>
    </w:p>
    <w:p w14:paraId="169DDE3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S. A., Rosso, I. M., &amp; Yurgelun-Todd, D. (2008). Neuropsychological performance predicts clinical recovery in bipolar patients.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105</w:t>
      </w:r>
      <w:r w:rsidRPr="00600FC7">
        <w:rPr>
          <w:rFonts w:ascii="Times New Roman" w:eastAsia="Times New Roman" w:hAnsi="Times New Roman" w:cs="Times New Roman"/>
          <w:sz w:val="24"/>
          <w:szCs w:val="24"/>
        </w:rPr>
        <w:t xml:space="preserve">(1–3), 253–260. </w:t>
      </w:r>
      <w:hyperlink r:id="rId2236" w:history="1">
        <w:r w:rsidRPr="00600FC7">
          <w:rPr>
            <w:rFonts w:ascii="Times New Roman" w:eastAsia="Times New Roman" w:hAnsi="Times New Roman" w:cs="Times New Roman"/>
            <w:color w:val="0000FF"/>
            <w:sz w:val="24"/>
            <w:szCs w:val="24"/>
            <w:u w:val="single"/>
          </w:rPr>
          <w:t>https://doi.org/10.1016/j.jad.2007.04.014</w:t>
        </w:r>
      </w:hyperlink>
    </w:p>
    <w:p w14:paraId="4163837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S. A., Sagar, K. A., Dahlgren, M. K., Racine, M., &amp; Lukas, S. E. (2012). Age of onset of marijuana use and executive function. </w:t>
      </w:r>
      <w:r w:rsidRPr="00600FC7">
        <w:rPr>
          <w:rFonts w:ascii="Times New Roman" w:eastAsia="Times New Roman" w:hAnsi="Times New Roman" w:cs="Times New Roman"/>
          <w:i/>
          <w:iCs/>
          <w:sz w:val="24"/>
          <w:szCs w:val="24"/>
        </w:rPr>
        <w:t>Psychology of Addictive Behaviors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(3), 496–506. </w:t>
      </w:r>
      <w:hyperlink r:id="rId2237" w:history="1">
        <w:r w:rsidRPr="00600FC7">
          <w:rPr>
            <w:rFonts w:ascii="Times New Roman" w:eastAsia="Times New Roman" w:hAnsi="Times New Roman" w:cs="Times New Roman"/>
            <w:color w:val="0000FF"/>
            <w:sz w:val="24"/>
            <w:szCs w:val="24"/>
            <w:u w:val="single"/>
          </w:rPr>
          <w:t>https://doi.org/10.1037/a0026269</w:t>
        </w:r>
      </w:hyperlink>
    </w:p>
    <w:p w14:paraId="21B7DDC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Gruber, S., Rathgeber, K., Bräunig, P., &amp; Gauggel, S. (2007). Stability and course of neuropsychological deficits in manic and depressed bipolar patients compared to patients with major depression.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104</w:t>
      </w:r>
      <w:r w:rsidRPr="00600FC7">
        <w:rPr>
          <w:rFonts w:ascii="Times New Roman" w:eastAsia="Times New Roman" w:hAnsi="Times New Roman" w:cs="Times New Roman"/>
          <w:sz w:val="24"/>
          <w:szCs w:val="24"/>
        </w:rPr>
        <w:t xml:space="preserve">(1–3), 61–71. </w:t>
      </w:r>
      <w:hyperlink r:id="rId2238" w:history="1">
        <w:r w:rsidRPr="00600FC7">
          <w:rPr>
            <w:rFonts w:ascii="Times New Roman" w:eastAsia="Times New Roman" w:hAnsi="Times New Roman" w:cs="Times New Roman"/>
            <w:color w:val="0000FF"/>
            <w:sz w:val="24"/>
            <w:szCs w:val="24"/>
            <w:u w:val="single"/>
          </w:rPr>
          <w:t>https://doi.org/10.1016/j.jad.2007.02.011</w:t>
        </w:r>
      </w:hyperlink>
    </w:p>
    <w:p w14:paraId="25C4CC5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Gruner, P., &amp; McKay, D. (2013). Differences in performance on the Wisconsin card sorting test (WCST) between patients with tic related OCD and non-tic related OCD: A preliminary investigation. </w:t>
      </w:r>
      <w:r w:rsidRPr="00600FC7">
        <w:rPr>
          <w:rFonts w:ascii="Times New Roman" w:eastAsia="Times New Roman" w:hAnsi="Times New Roman" w:cs="Times New Roman"/>
          <w:i/>
          <w:iCs/>
          <w:sz w:val="24"/>
          <w:szCs w:val="24"/>
        </w:rPr>
        <w:t>Journal of Obsessive-Compulsive and Related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(4), 444–447. </w:t>
      </w:r>
      <w:hyperlink r:id="rId2239" w:history="1">
        <w:r w:rsidRPr="00600FC7">
          <w:rPr>
            <w:rFonts w:ascii="Times New Roman" w:eastAsia="Times New Roman" w:hAnsi="Times New Roman" w:cs="Times New Roman"/>
            <w:color w:val="0000FF"/>
            <w:sz w:val="24"/>
            <w:szCs w:val="24"/>
            <w:u w:val="single"/>
          </w:rPr>
          <w:t>https://doi.org/10.1016/j.jocrd.2013.10.005</w:t>
        </w:r>
      </w:hyperlink>
    </w:p>
    <w:p w14:paraId="09DF779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Gruner, P., Vo, A., Ikuta, T., Mahon, K., Peters, B. D., Malhotra, A. K., Uluğ, A. M., &amp; Szeszko, P. R. (2012). White matter abnormalities in pediatric obsessive-compulsive disorder. </w:t>
      </w:r>
      <w:r w:rsidRPr="00600FC7">
        <w:rPr>
          <w:rFonts w:ascii="Times New Roman" w:eastAsia="Times New Roman" w:hAnsi="Times New Roman" w:cs="Times New Roman"/>
          <w:i/>
          <w:iCs/>
          <w:sz w:val="24"/>
          <w:szCs w:val="24"/>
        </w:rPr>
        <w:t>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(12), 2730–2739. </w:t>
      </w:r>
      <w:hyperlink r:id="rId2240" w:history="1">
        <w:r w:rsidRPr="00600FC7">
          <w:rPr>
            <w:rFonts w:ascii="Times New Roman" w:eastAsia="Times New Roman" w:hAnsi="Times New Roman" w:cs="Times New Roman"/>
            <w:color w:val="0000FF"/>
            <w:sz w:val="24"/>
            <w:szCs w:val="24"/>
            <w:u w:val="single"/>
          </w:rPr>
          <w:t>https://doi.org/10.1038/npp.2012.138</w:t>
        </w:r>
      </w:hyperlink>
    </w:p>
    <w:p w14:paraId="5CFC14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Gschwandtner, U., Pflüger, M., Aston, J., Borgwardt, S., Drewe, M., Stieglitz, R.-D., &amp; Riecher-Rössler, A. (2006). Fine motor function and neuropsychological deficits in individuals at risk for schizophrenia. </w:t>
      </w:r>
      <w:r w:rsidRPr="00600FC7">
        <w:rPr>
          <w:rFonts w:ascii="Times New Roman" w:eastAsia="Times New Roman" w:hAnsi="Times New Roman" w:cs="Times New Roman"/>
          <w:i/>
          <w:iCs/>
          <w:sz w:val="24"/>
          <w:szCs w:val="24"/>
        </w:rPr>
        <w:t>European Archives of Psychiatry and Clinical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256</w:t>
      </w:r>
      <w:r w:rsidRPr="00600FC7">
        <w:rPr>
          <w:rFonts w:ascii="Times New Roman" w:eastAsia="Times New Roman" w:hAnsi="Times New Roman" w:cs="Times New Roman"/>
          <w:sz w:val="24"/>
          <w:szCs w:val="24"/>
        </w:rPr>
        <w:t xml:space="preserve">(4), 201–206. </w:t>
      </w:r>
      <w:hyperlink r:id="rId2241" w:history="1">
        <w:r w:rsidRPr="00600FC7">
          <w:rPr>
            <w:rFonts w:ascii="Times New Roman" w:eastAsia="Times New Roman" w:hAnsi="Times New Roman" w:cs="Times New Roman"/>
            <w:color w:val="0000FF"/>
            <w:sz w:val="24"/>
            <w:szCs w:val="24"/>
            <w:u w:val="single"/>
          </w:rPr>
          <w:t>https://doi.org/10.1007/s00406-005-0626-2</w:t>
        </w:r>
      </w:hyperlink>
    </w:p>
    <w:p w14:paraId="4DAD5B9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Gsottschneider, A., Keller, Z., Pitschel-Walz, G., Froböse, T., Bäuml, J., &amp; Jahn, T. (2011). The role of encoding strategies in the verbal memory performance in patients with schizophrenia. </w:t>
      </w:r>
      <w:r w:rsidRPr="00600FC7">
        <w:rPr>
          <w:rFonts w:ascii="Times New Roman" w:eastAsia="Times New Roman" w:hAnsi="Times New Roman" w:cs="Times New Roman"/>
          <w:i/>
          <w:iCs/>
          <w:sz w:val="24"/>
          <w:szCs w:val="24"/>
        </w:rPr>
        <w:t>Journal of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w:t>
      </w:r>
      <w:r w:rsidRPr="00600FC7">
        <w:rPr>
          <w:rFonts w:ascii="Times New Roman" w:eastAsia="Times New Roman" w:hAnsi="Times New Roman" w:cs="Times New Roman"/>
          <w:sz w:val="24"/>
          <w:szCs w:val="24"/>
        </w:rPr>
        <w:t xml:space="preserve">(1), 56–72. </w:t>
      </w:r>
      <w:hyperlink r:id="rId2242" w:history="1">
        <w:r w:rsidRPr="00600FC7">
          <w:rPr>
            <w:rFonts w:ascii="Times New Roman" w:eastAsia="Times New Roman" w:hAnsi="Times New Roman" w:cs="Times New Roman"/>
            <w:color w:val="0000FF"/>
            <w:sz w:val="24"/>
            <w:szCs w:val="24"/>
            <w:u w:val="single"/>
          </w:rPr>
          <w:t>https://doi.org/10.1348/174866410X497382</w:t>
        </w:r>
      </w:hyperlink>
    </w:p>
    <w:p w14:paraId="0EA0493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Guaiana, G., Tyson, P., Roberts, K., &amp; Mortimer, A. (2007). Negative symptoms and not cognition predict social functioning among patients with schizophrenia. </w:t>
      </w:r>
      <w:r w:rsidRPr="00600FC7">
        <w:rPr>
          <w:rFonts w:ascii="Times New Roman" w:eastAsia="Times New Roman" w:hAnsi="Times New Roman" w:cs="Times New Roman"/>
          <w:i/>
          <w:iCs/>
          <w:sz w:val="24"/>
          <w:szCs w:val="24"/>
        </w:rPr>
        <w:t>Schweizer Archiv Für Neurologie Und Psychiatrie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158</w:t>
      </w:r>
      <w:r w:rsidRPr="00600FC7">
        <w:rPr>
          <w:rFonts w:ascii="Times New Roman" w:eastAsia="Times New Roman" w:hAnsi="Times New Roman" w:cs="Times New Roman"/>
          <w:sz w:val="24"/>
          <w:szCs w:val="24"/>
        </w:rPr>
        <w:t xml:space="preserve">(1), 25–31. </w:t>
      </w:r>
      <w:hyperlink r:id="rId2243" w:history="1">
        <w:r w:rsidRPr="00600FC7">
          <w:rPr>
            <w:rFonts w:ascii="Times New Roman" w:eastAsia="Times New Roman" w:hAnsi="Times New Roman" w:cs="Times New Roman"/>
            <w:color w:val="0000FF"/>
            <w:sz w:val="24"/>
            <w:szCs w:val="24"/>
            <w:u w:val="single"/>
          </w:rPr>
          <w:t>https://doi.org/10.4414/sanp.2007.01809</w:t>
        </w:r>
      </w:hyperlink>
    </w:p>
    <w:p w14:paraId="362578C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Guàrdia-Olmos, J., Peró-Cebollero, M., Rivera, D., &amp; Arango-Lasprilla, J. C. (2015). Methodology for the development of normative data for ten Spanish-language neuropsychological tests in eleven Latin American countries. </w:t>
      </w:r>
      <w:r w:rsidRPr="00600FC7">
        <w:rPr>
          <w:rFonts w:ascii="Times New Roman" w:eastAsia="Times New Roman" w:hAnsi="Times New Roman" w:cs="Times New Roman"/>
          <w:i/>
          <w:iCs/>
          <w:sz w:val="24"/>
          <w:szCs w:val="24"/>
        </w:rPr>
        <w:t>NeuroRehabilitation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(4), 493–499. </w:t>
      </w:r>
      <w:hyperlink r:id="rId2244" w:history="1">
        <w:r w:rsidRPr="00600FC7">
          <w:rPr>
            <w:rFonts w:ascii="Times New Roman" w:eastAsia="Times New Roman" w:hAnsi="Times New Roman" w:cs="Times New Roman"/>
            <w:color w:val="0000FF"/>
            <w:sz w:val="24"/>
            <w:szCs w:val="24"/>
            <w:u w:val="single"/>
          </w:rPr>
          <w:t>https://doi.org/10.3233/NRE-151277</w:t>
        </w:r>
      </w:hyperlink>
    </w:p>
    <w:p w14:paraId="569754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Guarino, A., Forte, G., Giovannoli, J., &amp; Casagrande, M. (2020). Executive functions in the elderly with mild cognitive impairment: A systematic review on motor and cognitive inhibition, conflict control and cognitive flexibility. </w:t>
      </w:r>
      <w:r w:rsidRPr="00600FC7">
        <w:rPr>
          <w:rFonts w:ascii="Times New Roman" w:eastAsia="Times New Roman" w:hAnsi="Times New Roman" w:cs="Times New Roman"/>
          <w:i/>
          <w:iCs/>
          <w:sz w:val="24"/>
          <w:szCs w:val="24"/>
        </w:rPr>
        <w:t>Aging &amp; Mental Health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(7), 1028–1045. </w:t>
      </w:r>
      <w:hyperlink r:id="rId2245" w:history="1">
        <w:r w:rsidRPr="00600FC7">
          <w:rPr>
            <w:rFonts w:ascii="Times New Roman" w:eastAsia="Times New Roman" w:hAnsi="Times New Roman" w:cs="Times New Roman"/>
            <w:color w:val="0000FF"/>
            <w:sz w:val="24"/>
            <w:szCs w:val="24"/>
            <w:u w:val="single"/>
          </w:rPr>
          <w:t>https://doi.org/10.1080/13607863.2019.1584785</w:t>
        </w:r>
      </w:hyperlink>
    </w:p>
    <w:p w14:paraId="0684C2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Guerrero, A. G., &amp; Lysaker, P. H. (2013). Socially naïve self-appraisal moderates the relationship between cognitive insight and positive symptoms in schizophrenia.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143</w:t>
      </w:r>
      <w:r w:rsidRPr="00600FC7">
        <w:rPr>
          <w:rFonts w:ascii="Times New Roman" w:eastAsia="Times New Roman" w:hAnsi="Times New Roman" w:cs="Times New Roman"/>
          <w:sz w:val="24"/>
          <w:szCs w:val="24"/>
        </w:rPr>
        <w:t xml:space="preserve">(1), 97–101. </w:t>
      </w:r>
      <w:hyperlink r:id="rId2246" w:history="1">
        <w:r w:rsidRPr="00600FC7">
          <w:rPr>
            <w:rFonts w:ascii="Times New Roman" w:eastAsia="Times New Roman" w:hAnsi="Times New Roman" w:cs="Times New Roman"/>
            <w:color w:val="0000FF"/>
            <w:sz w:val="24"/>
            <w:szCs w:val="24"/>
            <w:u w:val="single"/>
          </w:rPr>
          <w:t>https://doi.org/10.1016/j.schres.2012.10.037</w:t>
        </w:r>
      </w:hyperlink>
    </w:p>
    <w:p w14:paraId="2E20AA2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Guerrero, L., Isingrini, M., Angel, L., Fay, S., Taconnat, L., &amp; Bouazzaoui, B. (2021). Effect of self-reported internal memory strategy use on age-related episodic and working memory decline: Contribution of control processes. </w:t>
      </w:r>
      <w:r w:rsidRPr="00600FC7">
        <w:rPr>
          <w:rFonts w:ascii="Times New Roman" w:eastAsia="Times New Roman" w:hAnsi="Times New Roman" w:cs="Times New Roman"/>
          <w:i/>
          <w:iCs/>
          <w:sz w:val="24"/>
          <w:szCs w:val="24"/>
        </w:rPr>
        <w:t>Canadian Journal of Experimental Psychology/Revue Canadienne de Psychologie Expérimentale</w:t>
      </w:r>
      <w:r w:rsidRPr="00600FC7">
        <w:rPr>
          <w:rFonts w:ascii="Times New Roman" w:eastAsia="Times New Roman" w:hAnsi="Times New Roman" w:cs="Times New Roman"/>
          <w:sz w:val="24"/>
          <w:szCs w:val="24"/>
        </w:rPr>
        <w:t xml:space="preserve">, No Pagination Specified-No Pagination Specified. </w:t>
      </w:r>
      <w:hyperlink r:id="rId2247" w:history="1">
        <w:r w:rsidRPr="00600FC7">
          <w:rPr>
            <w:rFonts w:ascii="Times New Roman" w:eastAsia="Times New Roman" w:hAnsi="Times New Roman" w:cs="Times New Roman"/>
            <w:color w:val="0000FF"/>
            <w:sz w:val="24"/>
            <w:szCs w:val="24"/>
            <w:u w:val="single"/>
          </w:rPr>
          <w:t>https://doi.org/10.1037/cep0000240</w:t>
        </w:r>
      </w:hyperlink>
    </w:p>
    <w:p w14:paraId="362D2BA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Guild, E. B., Vasquez, B. P., Maione, A. M., Mah, L., Ween, J., &amp; Anderson, N. D. (2014). Dynamic working memory performance in individuals with single-domain amnestic mild cognitive impairment.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36</w:t>
      </w:r>
      <w:r w:rsidRPr="00600FC7">
        <w:rPr>
          <w:rFonts w:ascii="Times New Roman" w:eastAsia="Times New Roman" w:hAnsi="Times New Roman" w:cs="Times New Roman"/>
          <w:sz w:val="24"/>
          <w:szCs w:val="24"/>
        </w:rPr>
        <w:t xml:space="preserve">(7), 751–760. </w:t>
      </w:r>
      <w:hyperlink r:id="rId2248" w:history="1">
        <w:r w:rsidRPr="00600FC7">
          <w:rPr>
            <w:rFonts w:ascii="Times New Roman" w:eastAsia="Times New Roman" w:hAnsi="Times New Roman" w:cs="Times New Roman"/>
            <w:color w:val="0000FF"/>
            <w:sz w:val="24"/>
            <w:szCs w:val="24"/>
            <w:u w:val="single"/>
          </w:rPr>
          <w:t>https://doi.org/10.1080/13803395.2014.941790</w:t>
        </w:r>
      </w:hyperlink>
    </w:p>
    <w:p w14:paraId="7DF0A56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Guilera, G., Pino, Ó., Gómez-Benito, J., &amp; Rojo, J. E. (2012). Neurocognición en la esquizofrenia: Estudio de la productividady visibilidad de los autores españoles. [Neurocognition in schizophrenia: A study of the productivity and visibility of Spanish authors.]. </w:t>
      </w:r>
      <w:r w:rsidRPr="00600FC7">
        <w:rPr>
          <w:rFonts w:ascii="Times New Roman" w:eastAsia="Times New Roman" w:hAnsi="Times New Roman" w:cs="Times New Roman"/>
          <w:i/>
          <w:iCs/>
          <w:sz w:val="24"/>
          <w:szCs w:val="24"/>
        </w:rPr>
        <w:t>Psicothema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(1), 22–28.</w:t>
      </w:r>
    </w:p>
    <w:p w14:paraId="1406EE7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Guillot, C. R., Fanning, J. R., Bullock, J. S., McCloskey, M. S., &amp; Berman, M. E. (2010). Effects of alcohol on tests of executive functioning in men and women: A dose response examination. </w:t>
      </w:r>
      <w:r w:rsidRPr="00600FC7">
        <w:rPr>
          <w:rFonts w:ascii="Times New Roman" w:eastAsia="Times New Roman" w:hAnsi="Times New Roman" w:cs="Times New Roman"/>
          <w:i/>
          <w:iCs/>
          <w:sz w:val="24"/>
          <w:szCs w:val="24"/>
        </w:rPr>
        <w:t>Experimental and Clinical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18</w:t>
      </w:r>
      <w:r w:rsidRPr="00600FC7">
        <w:rPr>
          <w:rFonts w:ascii="Times New Roman" w:eastAsia="Times New Roman" w:hAnsi="Times New Roman" w:cs="Times New Roman"/>
          <w:sz w:val="24"/>
          <w:szCs w:val="24"/>
        </w:rPr>
        <w:t xml:space="preserve">(5), 409–417. </w:t>
      </w:r>
      <w:hyperlink r:id="rId2249" w:history="1">
        <w:r w:rsidRPr="00600FC7">
          <w:rPr>
            <w:rFonts w:ascii="Times New Roman" w:eastAsia="Times New Roman" w:hAnsi="Times New Roman" w:cs="Times New Roman"/>
            <w:color w:val="0000FF"/>
            <w:sz w:val="24"/>
            <w:szCs w:val="24"/>
            <w:u w:val="single"/>
          </w:rPr>
          <w:t>https://doi.org/10.1037/a0021053</w:t>
        </w:r>
      </w:hyperlink>
    </w:p>
    <w:p w14:paraId="68F6F09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 C. A., Bonilha, L., Franzon, R. C., Li, L. M., Cendes, F., &amp; Guerreiro, M. M. (2007). Distribution of regional gray matter abnormalities in a pediatric population with temporal lobe epilepsy and correlation with neuropsychological performance. </w:t>
      </w:r>
      <w:r w:rsidRPr="00600FC7">
        <w:rPr>
          <w:rFonts w:ascii="Times New Roman" w:eastAsia="Times New Roman" w:hAnsi="Times New Roman" w:cs="Times New Roman"/>
          <w:i/>
          <w:iCs/>
          <w:sz w:val="24"/>
          <w:szCs w:val="24"/>
        </w:rPr>
        <w:t>Epilepsy &amp;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(4), 558–566. </w:t>
      </w:r>
      <w:hyperlink r:id="rId2250" w:history="1">
        <w:r w:rsidRPr="00600FC7">
          <w:rPr>
            <w:rFonts w:ascii="Times New Roman" w:eastAsia="Times New Roman" w:hAnsi="Times New Roman" w:cs="Times New Roman"/>
            <w:color w:val="0000FF"/>
            <w:sz w:val="24"/>
            <w:szCs w:val="24"/>
            <w:u w:val="single"/>
          </w:rPr>
          <w:t>https://doi.org/10.1016/j.yebeh.2007.07.005</w:t>
        </w:r>
      </w:hyperlink>
    </w:p>
    <w:p w14:paraId="6479CFB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 C. A., Li, L. M., Rzezak, P., Fuentes, D., Franzon, R. C., Montenegro, M. A., Cendes, F., Thomé-Souza, S., Valente, K., &amp; Guerreiro, M. M. (2007). Temporal lobe epilepsy in childhood: Comprehensive neuropsychological assessment. </w:t>
      </w:r>
      <w:r w:rsidRPr="00600FC7">
        <w:rPr>
          <w:rFonts w:ascii="Times New Roman" w:eastAsia="Times New Roman" w:hAnsi="Times New Roman" w:cs="Times New Roman"/>
          <w:i/>
          <w:iCs/>
          <w:sz w:val="24"/>
          <w:szCs w:val="24"/>
        </w:rPr>
        <w:t>Journal of Child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(7), 836–840. </w:t>
      </w:r>
      <w:hyperlink r:id="rId2251" w:history="1">
        <w:r w:rsidRPr="00600FC7">
          <w:rPr>
            <w:rFonts w:ascii="Times New Roman" w:eastAsia="Times New Roman" w:hAnsi="Times New Roman" w:cs="Times New Roman"/>
            <w:color w:val="0000FF"/>
            <w:sz w:val="24"/>
            <w:szCs w:val="24"/>
            <w:u w:val="single"/>
          </w:rPr>
          <w:t>https://doi.org/10.1177/0883073807304701</w:t>
        </w:r>
      </w:hyperlink>
    </w:p>
    <w:p w14:paraId="3023668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Guimarães-da-Silva, P. O., Rovaris, D. L., Silva, K. L., Karam, R. G., Rohde, L. A., Grevet, E. H., &amp; Bau, C. H. D. (2018). Exploring neuropsychological predictors of ADHD remission or persistence during adulthood. </w:t>
      </w:r>
      <w:r w:rsidRPr="00600FC7">
        <w:rPr>
          <w:rFonts w:ascii="Times New Roman" w:eastAsia="Times New Roman" w:hAnsi="Times New Roman" w:cs="Times New Roman"/>
          <w:i/>
          <w:iCs/>
          <w:sz w:val="24"/>
          <w:szCs w:val="24"/>
        </w:rPr>
        <w:t>Cognitive Neuropsychiatry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(5), 321–328. </w:t>
      </w:r>
      <w:hyperlink r:id="rId2252" w:history="1">
        <w:r w:rsidRPr="00600FC7">
          <w:rPr>
            <w:rFonts w:ascii="Times New Roman" w:eastAsia="Times New Roman" w:hAnsi="Times New Roman" w:cs="Times New Roman"/>
            <w:color w:val="0000FF"/>
            <w:sz w:val="24"/>
            <w:szCs w:val="24"/>
            <w:u w:val="single"/>
          </w:rPr>
          <w:t>https://doi.org/10.1080/13546805.2018.1506324</w:t>
        </w:r>
      </w:hyperlink>
    </w:p>
    <w:p w14:paraId="5921B70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Guimarães-da-Silva, P. O., Silva, K. L., Grevet, E. H., Salgado, C. A. I., Karam, R. G., Victor, M. M., Vitola, E. S., Mota, N. R., Fischer, A. G., Picon, F. A., Bertuzzi, G. P., Polina, E. R., Rohde, L. A., Belmonte-de-Abreu, P., &amp; Bau, C. H. D. (2012). Does age of onset of impairment impact on neuropsychological and personality features of adult ADHD?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(10), 1307–1311. </w:t>
      </w:r>
      <w:hyperlink r:id="rId2253" w:history="1">
        <w:r w:rsidRPr="00600FC7">
          <w:rPr>
            <w:rFonts w:ascii="Times New Roman" w:eastAsia="Times New Roman" w:hAnsi="Times New Roman" w:cs="Times New Roman"/>
            <w:color w:val="0000FF"/>
            <w:sz w:val="24"/>
            <w:szCs w:val="24"/>
            <w:u w:val="single"/>
          </w:rPr>
          <w:t>https://doi.org/10.1016/j.jpsychires.2012.06.010</w:t>
        </w:r>
      </w:hyperlink>
    </w:p>
    <w:p w14:paraId="7D76EA1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Guiney, H., &amp; Machado, L. (2013). Benefits of regular aerobic exercise for executive functioning in healthy populations. </w:t>
      </w:r>
      <w:r w:rsidRPr="00600FC7">
        <w:rPr>
          <w:rFonts w:ascii="Times New Roman" w:eastAsia="Times New Roman" w:hAnsi="Times New Roman" w:cs="Times New Roman"/>
          <w:i/>
          <w:iCs/>
          <w:sz w:val="24"/>
          <w:szCs w:val="24"/>
        </w:rPr>
        <w:t>Psychonomic Bulletin &amp;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w:t>
      </w:r>
      <w:r w:rsidRPr="00600FC7">
        <w:rPr>
          <w:rFonts w:ascii="Times New Roman" w:eastAsia="Times New Roman" w:hAnsi="Times New Roman" w:cs="Times New Roman"/>
          <w:sz w:val="24"/>
          <w:szCs w:val="24"/>
        </w:rPr>
        <w:t xml:space="preserve">(1), 73–86. </w:t>
      </w:r>
      <w:hyperlink r:id="rId2254" w:history="1">
        <w:r w:rsidRPr="00600FC7">
          <w:rPr>
            <w:rFonts w:ascii="Times New Roman" w:eastAsia="Times New Roman" w:hAnsi="Times New Roman" w:cs="Times New Roman"/>
            <w:color w:val="0000FF"/>
            <w:sz w:val="24"/>
            <w:szCs w:val="24"/>
            <w:u w:val="single"/>
          </w:rPr>
          <w:t>https://doi.org/10.3758/s13423-012-0345-4</w:t>
        </w:r>
      </w:hyperlink>
    </w:p>
    <w:p w14:paraId="55FF8C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Guinjoan, S. M., Mayberg, H. S., Costanzo, E. Y., Fahrer, R. D., Tenca, E., Antico, J., Cerquetti, D., Smyth, E., Leiguarda, R. C., &amp; Nemeroff, C. B. (2010). Asymmetrical contribution of brain structures to treatment-resistant depression as illustrated by effects of right subgenual cingulum stimulation.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(3), 265–277. </w:t>
      </w:r>
      <w:hyperlink r:id="rId2255" w:history="1">
        <w:r w:rsidRPr="00600FC7">
          <w:rPr>
            <w:rFonts w:ascii="Times New Roman" w:eastAsia="Times New Roman" w:hAnsi="Times New Roman" w:cs="Times New Roman"/>
            <w:color w:val="0000FF"/>
            <w:sz w:val="24"/>
            <w:szCs w:val="24"/>
            <w:u w:val="single"/>
          </w:rPr>
          <w:t>https://doi.org/10.1176/appi.neuropsych.22.3.265</w:t>
        </w:r>
      </w:hyperlink>
    </w:p>
    <w:p w14:paraId="47B0DB0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Guise, B. J., Thompson, M. D., Greve, K. W., Bianchini, K. J., &amp; West, L. (2014). Assessment of performance validity in the Stroop Color and Word Test in mild traumatic brain injury patients: A criterion‐groups validation design. </w:t>
      </w:r>
      <w:r w:rsidRPr="00600FC7">
        <w:rPr>
          <w:rFonts w:ascii="Times New Roman" w:eastAsia="Times New Roman" w:hAnsi="Times New Roman" w:cs="Times New Roman"/>
          <w:i/>
          <w:iCs/>
          <w:sz w:val="24"/>
          <w:szCs w:val="24"/>
        </w:rPr>
        <w:t>Journal of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8</w:t>
      </w:r>
      <w:r w:rsidRPr="00600FC7">
        <w:rPr>
          <w:rFonts w:ascii="Times New Roman" w:eastAsia="Times New Roman" w:hAnsi="Times New Roman" w:cs="Times New Roman"/>
          <w:sz w:val="24"/>
          <w:szCs w:val="24"/>
        </w:rPr>
        <w:t xml:space="preserve">(1), 20–33. </w:t>
      </w:r>
      <w:hyperlink r:id="rId2256" w:history="1">
        <w:r w:rsidRPr="00600FC7">
          <w:rPr>
            <w:rFonts w:ascii="Times New Roman" w:eastAsia="Times New Roman" w:hAnsi="Times New Roman" w:cs="Times New Roman"/>
            <w:color w:val="0000FF"/>
            <w:sz w:val="24"/>
            <w:szCs w:val="24"/>
            <w:u w:val="single"/>
          </w:rPr>
          <w:t>https://doi.org/10.1111/jnp.12002</w:t>
        </w:r>
      </w:hyperlink>
    </w:p>
    <w:p w14:paraId="66CFAF7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Güleç, G., Akarsu, Ö., Şahin, F. M., Eşsizoğlu, A., Köşger, F., Sezer, E., &amp; Sonkurt, H. O. (2018). The effect of chronic cigarette use on cognitive function. </w:t>
      </w:r>
      <w:r w:rsidRPr="00600FC7">
        <w:rPr>
          <w:rFonts w:ascii="Times New Roman" w:eastAsia="Times New Roman" w:hAnsi="Times New Roman" w:cs="Times New Roman"/>
          <w:i/>
          <w:iCs/>
          <w:sz w:val="24"/>
          <w:szCs w:val="24"/>
        </w:rPr>
        <w:t>Türk Psikiyatri Dergisi</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(3), 1–8.</w:t>
      </w:r>
    </w:p>
    <w:p w14:paraId="488ABE0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Güler, A. S., Berkem, M., Yazgan, Y., &amp; Kalaça, S. (2015). Cognitive flexibility and social responsiveness in children and adolescents with Tourette Syndrome. </w:t>
      </w:r>
      <w:r w:rsidRPr="00600FC7">
        <w:rPr>
          <w:rFonts w:ascii="Times New Roman" w:eastAsia="Times New Roman" w:hAnsi="Times New Roman" w:cs="Times New Roman"/>
          <w:i/>
          <w:iCs/>
          <w:sz w:val="24"/>
          <w:szCs w:val="24"/>
        </w:rPr>
        <w:t>Child Psychiatry and Human Development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(6), 940–950. </w:t>
      </w:r>
      <w:hyperlink r:id="rId2257" w:history="1">
        <w:r w:rsidRPr="00600FC7">
          <w:rPr>
            <w:rFonts w:ascii="Times New Roman" w:eastAsia="Times New Roman" w:hAnsi="Times New Roman" w:cs="Times New Roman"/>
            <w:color w:val="0000FF"/>
            <w:sz w:val="24"/>
            <w:szCs w:val="24"/>
            <w:u w:val="single"/>
          </w:rPr>
          <w:t>https://doi.org/10.1007/s10578-015-0533-3</w:t>
        </w:r>
      </w:hyperlink>
    </w:p>
    <w:p w14:paraId="0DA9A21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Gumley, A. (2011). Metacognition, affect regulation and symptom expression: A transdiagnostic perspective.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190</w:t>
      </w:r>
      <w:r w:rsidRPr="00600FC7">
        <w:rPr>
          <w:rFonts w:ascii="Times New Roman" w:eastAsia="Times New Roman" w:hAnsi="Times New Roman" w:cs="Times New Roman"/>
          <w:sz w:val="24"/>
          <w:szCs w:val="24"/>
        </w:rPr>
        <w:t xml:space="preserve">(1), 72–78. </w:t>
      </w:r>
      <w:hyperlink r:id="rId2258" w:history="1">
        <w:r w:rsidRPr="00600FC7">
          <w:rPr>
            <w:rFonts w:ascii="Times New Roman" w:eastAsia="Times New Roman" w:hAnsi="Times New Roman" w:cs="Times New Roman"/>
            <w:color w:val="0000FF"/>
            <w:sz w:val="24"/>
            <w:szCs w:val="24"/>
            <w:u w:val="single"/>
          </w:rPr>
          <w:t>https://doi.org/10.1016/j.psychres.2011.09.025</w:t>
        </w:r>
      </w:hyperlink>
    </w:p>
    <w:p w14:paraId="3FBBE3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Gunner, J. H., Miele, A. S., Lynch, J. K., &amp; McCaffrey, R. J. (2012). Performance of non-neurological older adults on the Wisconsin Card Sorting Test and the Stroop Color–Word Test: Normal variability or cognitive impairment?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398–405. </w:t>
      </w:r>
      <w:hyperlink r:id="rId2259" w:history="1">
        <w:r w:rsidRPr="00600FC7">
          <w:rPr>
            <w:rFonts w:ascii="Times New Roman" w:eastAsia="Times New Roman" w:hAnsi="Times New Roman" w:cs="Times New Roman"/>
            <w:color w:val="0000FF"/>
            <w:sz w:val="24"/>
            <w:szCs w:val="24"/>
            <w:u w:val="single"/>
          </w:rPr>
          <w:t>https://doi.org/10.1093/arclin/acs047</w:t>
        </w:r>
      </w:hyperlink>
    </w:p>
    <w:p w14:paraId="261990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Gunning-Dixon, F. M., &amp; Raz, N. (2003). Neuroanatomical correlates of selected executive functions in middle-aged and older adults: A prospective MRI study.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(14), 1929–1941. </w:t>
      </w:r>
      <w:hyperlink r:id="rId2260" w:history="1">
        <w:r w:rsidRPr="00600FC7">
          <w:rPr>
            <w:rFonts w:ascii="Times New Roman" w:eastAsia="Times New Roman" w:hAnsi="Times New Roman" w:cs="Times New Roman"/>
            <w:color w:val="0000FF"/>
            <w:sz w:val="24"/>
            <w:szCs w:val="24"/>
            <w:u w:val="single"/>
          </w:rPr>
          <w:t>https://doi.org/10.1016/S0028-3932(03)00129-5</w:t>
        </w:r>
      </w:hyperlink>
    </w:p>
    <w:p w14:paraId="3DD0253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Gunzler, S. A., Schoenberg, M. R., Riley, D. E., Walter, B., &amp; Maciunas, R. J. (2011). Parkinson’s disease and other movement disorders. </w:t>
      </w:r>
      <w:r w:rsidRPr="00600FC7">
        <w:rPr>
          <w:rFonts w:ascii="Times New Roman" w:eastAsia="Times New Roman" w:hAnsi="Times New Roman" w:cs="Times New Roman"/>
          <w:i/>
          <w:iCs/>
          <w:sz w:val="24"/>
          <w:szCs w:val="24"/>
        </w:rPr>
        <w:t>The Little Black Book of Neuropsychology: A Syndrome-Based Approach.</w:t>
      </w:r>
      <w:r w:rsidRPr="00600FC7">
        <w:rPr>
          <w:rFonts w:ascii="Times New Roman" w:eastAsia="Times New Roman" w:hAnsi="Times New Roman" w:cs="Times New Roman"/>
          <w:sz w:val="24"/>
          <w:szCs w:val="24"/>
        </w:rPr>
        <w:t xml:space="preserve">, 567–646. </w:t>
      </w:r>
      <w:hyperlink r:id="rId2261" w:history="1">
        <w:r w:rsidRPr="00600FC7">
          <w:rPr>
            <w:rFonts w:ascii="Times New Roman" w:eastAsia="Times New Roman" w:hAnsi="Times New Roman" w:cs="Times New Roman"/>
            <w:color w:val="0000FF"/>
            <w:sz w:val="24"/>
            <w:szCs w:val="24"/>
            <w:u w:val="single"/>
          </w:rPr>
          <w:t>https://doi.org/10.1007/978-0-387-76978-3_19</w:t>
        </w:r>
      </w:hyperlink>
    </w:p>
    <w:p w14:paraId="7530D68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H., Zhao, N., Li, Z., Zhu, B., Cui, H., &amp; Li, Y. (2014). Regional cerebral blood flow and cognitive function in patients with obsessive-compulsive disorder. </w:t>
      </w:r>
      <w:r w:rsidRPr="00600FC7">
        <w:rPr>
          <w:rFonts w:ascii="Times New Roman" w:eastAsia="Times New Roman" w:hAnsi="Times New Roman" w:cs="Times New Roman"/>
          <w:i/>
          <w:iCs/>
          <w:sz w:val="24"/>
          <w:szCs w:val="24"/>
        </w:rPr>
        <w:t>Arquivos de Neuro-Psiquiatria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(1), 44–48. </w:t>
      </w:r>
      <w:hyperlink r:id="rId2262" w:history="1">
        <w:r w:rsidRPr="00600FC7">
          <w:rPr>
            <w:rFonts w:ascii="Times New Roman" w:eastAsia="Times New Roman" w:hAnsi="Times New Roman" w:cs="Times New Roman"/>
            <w:color w:val="0000FF"/>
            <w:sz w:val="24"/>
            <w:szCs w:val="24"/>
            <w:u w:val="single"/>
          </w:rPr>
          <w:t>https://doi.org/10.1590/0004-282X20130205</w:t>
        </w:r>
      </w:hyperlink>
    </w:p>
    <w:p w14:paraId="6DA28BD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Chen, J., Wu, R., Li, L., Zhang, Z., Chen, H., &amp; Zhao, J. (2017). Anatomical distance affects cortical-subcortical connectivity in first-episode, drug-naive somatization disorder.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217</w:t>
      </w:r>
      <w:r w:rsidRPr="00600FC7">
        <w:rPr>
          <w:rFonts w:ascii="Times New Roman" w:eastAsia="Times New Roman" w:hAnsi="Times New Roman" w:cs="Times New Roman"/>
          <w:sz w:val="24"/>
          <w:szCs w:val="24"/>
        </w:rPr>
        <w:t xml:space="preserve">, 153–158. </w:t>
      </w:r>
      <w:hyperlink r:id="rId2263" w:history="1">
        <w:r w:rsidRPr="00600FC7">
          <w:rPr>
            <w:rFonts w:ascii="Times New Roman" w:eastAsia="Times New Roman" w:hAnsi="Times New Roman" w:cs="Times New Roman"/>
            <w:color w:val="0000FF"/>
            <w:sz w:val="24"/>
            <w:szCs w:val="24"/>
            <w:u w:val="single"/>
          </w:rPr>
          <w:t>https://doi.org/10.1016/j.jad.2017.04.008</w:t>
        </w:r>
      </w:hyperlink>
    </w:p>
    <w:p w14:paraId="0FDBF47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Dai, Y., Jiang, M., Zhang, J., Yu, L., Long, L., Chen, H., Gao, Q., &amp; Xiao, C. (2013). Decreased interhemispheric resting-state functional connectivity in first-episode, drug-naive major depressive disorder.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 xml:space="preserve">, 24–29. </w:t>
      </w:r>
      <w:hyperlink r:id="rId2264" w:history="1">
        <w:r w:rsidRPr="00600FC7">
          <w:rPr>
            <w:rFonts w:ascii="Times New Roman" w:eastAsia="Times New Roman" w:hAnsi="Times New Roman" w:cs="Times New Roman"/>
            <w:color w:val="0000FF"/>
            <w:sz w:val="24"/>
            <w:szCs w:val="24"/>
            <w:u w:val="single"/>
          </w:rPr>
          <w:t>https://doi.org/10.1016/j.pnpbp.2012.11.003</w:t>
        </w:r>
      </w:hyperlink>
    </w:p>
    <w:p w14:paraId="043DB9E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Liu, J., Yu, L., Zhang, Z., Zhang, J., Chen, H., &amp; Xiao, C. (2013). Is there a cerebellar compensatory effort in first-episode, treatment-naive major depressive disorder at rest? </w:t>
      </w:r>
      <w:r w:rsidRPr="00600FC7">
        <w:rPr>
          <w:rFonts w:ascii="Times New Roman" w:eastAsia="Times New Roman" w:hAnsi="Times New Roman" w:cs="Times New Roman"/>
          <w:i/>
          <w:iCs/>
          <w:sz w:val="24"/>
          <w:szCs w:val="24"/>
        </w:rPr>
        <w:t>Progress in Neuro-Psychopharmacology &amp;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 13–18. </w:t>
      </w:r>
      <w:hyperlink r:id="rId2265" w:history="1">
        <w:r w:rsidRPr="00600FC7">
          <w:rPr>
            <w:rFonts w:ascii="Times New Roman" w:eastAsia="Times New Roman" w:hAnsi="Times New Roman" w:cs="Times New Roman"/>
            <w:color w:val="0000FF"/>
            <w:sz w:val="24"/>
            <w:szCs w:val="24"/>
            <w:u w:val="single"/>
          </w:rPr>
          <w:t>https://doi.org/10.1016/j.pnpbp.2013.06.009</w:t>
        </w:r>
      </w:hyperlink>
    </w:p>
    <w:p w14:paraId="4F12338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Zhang, J., Zhang, Z., Yu, L., Liu, J., Chen, H., &amp; Xiao, C. (2013). Dissociation of regional activity in the default mode network in first-episode, drug-naive major depressive disorder at rest.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151</w:t>
      </w:r>
      <w:r w:rsidRPr="00600FC7">
        <w:rPr>
          <w:rFonts w:ascii="Times New Roman" w:eastAsia="Times New Roman" w:hAnsi="Times New Roman" w:cs="Times New Roman"/>
          <w:sz w:val="24"/>
          <w:szCs w:val="24"/>
        </w:rPr>
        <w:t xml:space="preserve">(3), 1097–1101. </w:t>
      </w:r>
      <w:hyperlink r:id="rId2266" w:history="1">
        <w:r w:rsidRPr="00600FC7">
          <w:rPr>
            <w:rFonts w:ascii="Times New Roman" w:eastAsia="Times New Roman" w:hAnsi="Times New Roman" w:cs="Times New Roman"/>
            <w:color w:val="0000FF"/>
            <w:sz w:val="24"/>
            <w:szCs w:val="24"/>
            <w:u w:val="single"/>
          </w:rPr>
          <w:t>https://doi.org/10.1016/j.jad.2013.09.003</w:t>
        </w:r>
      </w:hyperlink>
    </w:p>
    <w:p w14:paraId="0850977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W., Liu, F., Zhang, J., Zhang, Z., Yu, L., Liu, J., Chen, H., &amp; Xiao, C. (2014). Abnormal default-mode network homogeneity in first-episode, drug-naive major depressive disorder. </w:t>
      </w:r>
      <w:r w:rsidRPr="00600FC7">
        <w:rPr>
          <w:rFonts w:ascii="Times New Roman" w:eastAsia="Times New Roman" w:hAnsi="Times New Roman" w:cs="Times New Roman"/>
          <w:i/>
          <w:iCs/>
          <w:sz w:val="24"/>
          <w:szCs w:val="24"/>
        </w:rPr>
        <w:t>PLoS ONE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w:t>
      </w:r>
      <w:r w:rsidRPr="00600FC7">
        <w:rPr>
          <w:rFonts w:ascii="Times New Roman" w:eastAsia="Times New Roman" w:hAnsi="Times New Roman" w:cs="Times New Roman"/>
          <w:sz w:val="24"/>
          <w:szCs w:val="24"/>
        </w:rPr>
        <w:t>(3).</w:t>
      </w:r>
    </w:p>
    <w:p w14:paraId="16D08C8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Guo, X., Zhang, Z., Wei, Q., Lv, H., Wu, R., &amp; Zhao, J. (2013). The relationship between obesity and neurocognitive function in Chinese patients with schizophrenia. </w:t>
      </w:r>
      <w:r w:rsidRPr="00600FC7">
        <w:rPr>
          <w:rFonts w:ascii="Times New Roman" w:eastAsia="Times New Roman" w:hAnsi="Times New Roman" w:cs="Times New Roman"/>
          <w:i/>
          <w:iCs/>
          <w:sz w:val="24"/>
          <w:szCs w:val="24"/>
        </w:rPr>
        <w:t>BMC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 </w:t>
      </w:r>
      <w:hyperlink r:id="rId2267" w:history="1">
        <w:r w:rsidRPr="00600FC7">
          <w:rPr>
            <w:rFonts w:ascii="Times New Roman" w:eastAsia="Times New Roman" w:hAnsi="Times New Roman" w:cs="Times New Roman"/>
            <w:color w:val="0000FF"/>
            <w:sz w:val="24"/>
            <w:szCs w:val="24"/>
            <w:u w:val="single"/>
          </w:rPr>
          <w:t>https://doi.org/10.1186/1471-244X-13-109</w:t>
        </w:r>
      </w:hyperlink>
    </w:p>
    <w:p w14:paraId="59AAC8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Gupta, R., Duff, M. C., Denburg, N. L., Cohen, N. J., Bechara, A., &amp; Tranel, D. (2009). Declarative memory is critical for sustained advantageous complex decision-making. </w:t>
      </w:r>
      <w:r w:rsidRPr="00600FC7">
        <w:rPr>
          <w:rFonts w:ascii="Times New Roman" w:eastAsia="Times New Roman" w:hAnsi="Times New Roman" w:cs="Times New Roman"/>
          <w:i/>
          <w:iCs/>
          <w:sz w:val="24"/>
          <w:szCs w:val="24"/>
        </w:rPr>
        <w:t>Neuropsychologia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47</w:t>
      </w:r>
      <w:r w:rsidRPr="00600FC7">
        <w:rPr>
          <w:rFonts w:ascii="Times New Roman" w:eastAsia="Times New Roman" w:hAnsi="Times New Roman" w:cs="Times New Roman"/>
          <w:sz w:val="24"/>
          <w:szCs w:val="24"/>
        </w:rPr>
        <w:t xml:space="preserve">(7), 1686–1693. </w:t>
      </w:r>
      <w:hyperlink r:id="rId2268" w:history="1">
        <w:r w:rsidRPr="00600FC7">
          <w:rPr>
            <w:rFonts w:ascii="Times New Roman" w:eastAsia="Times New Roman" w:hAnsi="Times New Roman" w:cs="Times New Roman"/>
            <w:color w:val="0000FF"/>
            <w:sz w:val="24"/>
            <w:szCs w:val="24"/>
            <w:u w:val="single"/>
          </w:rPr>
          <w:t>https://doi.org/10.1016/j.neuropsychologia.2009.02.007</w:t>
        </w:r>
      </w:hyperlink>
    </w:p>
    <w:p w14:paraId="07CDDFE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 R. C., Irani, F., Seligman, S., Calkins, M. E., Richard, J., &amp; Gur, R. E. (2011). Challenges and opportunities for genomic developmental neuropsychology: Examples from the Penn-Drexel collaborative battery. </w:t>
      </w:r>
      <w:r w:rsidRPr="00600FC7">
        <w:rPr>
          <w:rFonts w:ascii="Times New Roman" w:eastAsia="Times New Roman" w:hAnsi="Times New Roman" w:cs="Times New Roman"/>
          <w:i/>
          <w:iCs/>
          <w:sz w:val="24"/>
          <w:szCs w:val="24"/>
        </w:rPr>
        <w:t>The Clinical Neuropsychologist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(6), 1029–1041. </w:t>
      </w:r>
      <w:hyperlink r:id="rId2269" w:history="1">
        <w:r w:rsidRPr="00600FC7">
          <w:rPr>
            <w:rFonts w:ascii="Times New Roman" w:eastAsia="Times New Roman" w:hAnsi="Times New Roman" w:cs="Times New Roman"/>
            <w:color w:val="0000FF"/>
            <w:sz w:val="24"/>
            <w:szCs w:val="24"/>
            <w:u w:val="single"/>
          </w:rPr>
          <w:t>https://doi.org/10.1080/13854046.2011.585142</w:t>
        </w:r>
      </w:hyperlink>
    </w:p>
    <w:p w14:paraId="001389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 R. E. (2013). Neurobiology of mental illness psychosis proneness. In </w:t>
      </w:r>
      <w:r w:rsidRPr="00600FC7">
        <w:rPr>
          <w:rFonts w:ascii="Times New Roman" w:eastAsia="Times New Roman" w:hAnsi="Times New Roman" w:cs="Times New Roman"/>
          <w:i/>
          <w:iCs/>
          <w:sz w:val="24"/>
          <w:szCs w:val="24"/>
        </w:rPr>
        <w:t>Neurobiology of mental illness, 4th ed.</w:t>
      </w:r>
      <w:r w:rsidRPr="00600FC7">
        <w:rPr>
          <w:rFonts w:ascii="Times New Roman" w:eastAsia="Times New Roman" w:hAnsi="Times New Roman" w:cs="Times New Roman"/>
          <w:sz w:val="24"/>
          <w:szCs w:val="24"/>
        </w:rPr>
        <w:t xml:space="preserve"> (pp. 338–345). Oxford University Press. </w:t>
      </w:r>
      <w:hyperlink r:id="rId2270" w:history="1">
        <w:r w:rsidRPr="00600FC7">
          <w:rPr>
            <w:rFonts w:ascii="Times New Roman" w:eastAsia="Times New Roman" w:hAnsi="Times New Roman" w:cs="Times New Roman"/>
            <w:color w:val="0000FF"/>
            <w:sz w:val="24"/>
            <w:szCs w:val="24"/>
            <w:u w:val="single"/>
          </w:rPr>
          <w:t>https://doi.org/10.1093/med/9780199934959.003.0026</w:t>
        </w:r>
      </w:hyperlink>
    </w:p>
    <w:p w14:paraId="0886DD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Gurin, L., &amp; Blum, S. (2017). Delusions and the right hemisphere: A review of the case for the right hemisphere as a mediator of reality-based belief. </w:t>
      </w:r>
      <w:r w:rsidRPr="00600FC7">
        <w:rPr>
          <w:rFonts w:ascii="Times New Roman" w:eastAsia="Times New Roman" w:hAnsi="Times New Roman" w:cs="Times New Roman"/>
          <w:i/>
          <w:iCs/>
          <w:sz w:val="24"/>
          <w:szCs w:val="24"/>
        </w:rPr>
        <w:t>The Journal of Neuropsychiatry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225–235. </w:t>
      </w:r>
      <w:hyperlink r:id="rId2271" w:history="1">
        <w:r w:rsidRPr="00600FC7">
          <w:rPr>
            <w:rFonts w:ascii="Times New Roman" w:eastAsia="Times New Roman" w:hAnsi="Times New Roman" w:cs="Times New Roman"/>
            <w:color w:val="0000FF"/>
            <w:sz w:val="24"/>
            <w:szCs w:val="24"/>
            <w:u w:val="single"/>
          </w:rPr>
          <w:t>https://doi.org/10.1176/appi.neuropsych.16060118</w:t>
        </w:r>
      </w:hyperlink>
    </w:p>
    <w:p w14:paraId="38DB67F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Gurpegui, M., Álvarez, E., Bousoño, M., Ciudad, A., Gómez, J. C., &amp; Olivares, J. M. (2007). Effect of olanzapine or risperidone treatment on some cognitive functions in a one-year follow-up of schizophrenia outpatients with prominent negative symptoms. </w:t>
      </w:r>
      <w:r w:rsidRPr="00600FC7">
        <w:rPr>
          <w:rFonts w:ascii="Times New Roman" w:eastAsia="Times New Roman" w:hAnsi="Times New Roman" w:cs="Times New Roman"/>
          <w:i/>
          <w:iCs/>
          <w:sz w:val="24"/>
          <w:szCs w:val="24"/>
        </w:rPr>
        <w:t>European Neuropsychopharmacology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17</w:t>
      </w:r>
      <w:r w:rsidRPr="00600FC7">
        <w:rPr>
          <w:rFonts w:ascii="Times New Roman" w:eastAsia="Times New Roman" w:hAnsi="Times New Roman" w:cs="Times New Roman"/>
          <w:sz w:val="24"/>
          <w:szCs w:val="24"/>
        </w:rPr>
        <w:t xml:space="preserve">(11), 725–734. </w:t>
      </w:r>
      <w:hyperlink r:id="rId2272" w:history="1">
        <w:r w:rsidRPr="00600FC7">
          <w:rPr>
            <w:rFonts w:ascii="Times New Roman" w:eastAsia="Times New Roman" w:hAnsi="Times New Roman" w:cs="Times New Roman"/>
            <w:color w:val="0000FF"/>
            <w:sz w:val="24"/>
            <w:szCs w:val="24"/>
            <w:u w:val="single"/>
          </w:rPr>
          <w:t>https://doi.org/10.1016/j.euroneuro.2007.04.003</w:t>
        </w:r>
      </w:hyperlink>
    </w:p>
    <w:p w14:paraId="543106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Gurrera, R. J., Nestor, P. G., O’Donnell, B. F., Rosenberg, V., &amp; McCarley, R. W. (2005). Personality differences in schizophrenia are related to performance on neuropsychological tasks. </w:t>
      </w:r>
      <w:r w:rsidRPr="00600FC7">
        <w:rPr>
          <w:rFonts w:ascii="Times New Roman" w:eastAsia="Times New Roman" w:hAnsi="Times New Roman" w:cs="Times New Roman"/>
          <w:i/>
          <w:iCs/>
          <w:sz w:val="24"/>
          <w:szCs w:val="24"/>
        </w:rPr>
        <w:t>Journal of Nervous and Mental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193</w:t>
      </w:r>
      <w:r w:rsidRPr="00600FC7">
        <w:rPr>
          <w:rFonts w:ascii="Times New Roman" w:eastAsia="Times New Roman" w:hAnsi="Times New Roman" w:cs="Times New Roman"/>
          <w:sz w:val="24"/>
          <w:szCs w:val="24"/>
        </w:rPr>
        <w:t xml:space="preserve">(11), 714–721. </w:t>
      </w:r>
      <w:hyperlink r:id="rId2273" w:history="1">
        <w:r w:rsidRPr="00600FC7">
          <w:rPr>
            <w:rFonts w:ascii="Times New Roman" w:eastAsia="Times New Roman" w:hAnsi="Times New Roman" w:cs="Times New Roman"/>
            <w:color w:val="0000FF"/>
            <w:sz w:val="24"/>
            <w:szCs w:val="24"/>
            <w:u w:val="single"/>
          </w:rPr>
          <w:t>https://doi.org/10.1097/01.nmd.0000185938.30783.6b</w:t>
        </w:r>
      </w:hyperlink>
    </w:p>
    <w:p w14:paraId="77CEAB1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Gustavson, K. A., Alexopoulos, G. S., Niu, G. C., McCulloch, C., Meade, T., &amp; Areán, P. A. (2016). Problem-solving therapy reduces suicidal ideation in depressed older adults with executive dysfunction. </w:t>
      </w:r>
      <w:r w:rsidRPr="00600FC7">
        <w:rPr>
          <w:rFonts w:ascii="Times New Roman" w:eastAsia="Times New Roman" w:hAnsi="Times New Roman" w:cs="Times New Roman"/>
          <w:i/>
          <w:iCs/>
          <w:sz w:val="24"/>
          <w:szCs w:val="24"/>
        </w:rPr>
        <w:t>The American Journal of Geriatric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 xml:space="preserve">(1), 11–17. </w:t>
      </w:r>
      <w:hyperlink r:id="rId2274" w:history="1">
        <w:r w:rsidRPr="00600FC7">
          <w:rPr>
            <w:rFonts w:ascii="Times New Roman" w:eastAsia="Times New Roman" w:hAnsi="Times New Roman" w:cs="Times New Roman"/>
            <w:color w:val="0000FF"/>
            <w:sz w:val="24"/>
            <w:szCs w:val="24"/>
            <w:u w:val="single"/>
          </w:rPr>
          <w:t>https://doi.org/10.1016/j.jagp.2015.07.010</w:t>
        </w:r>
      </w:hyperlink>
    </w:p>
    <w:p w14:paraId="4E85F1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Guzmán-Vélez, E., Jaimes, S., Aguirre-Acevedo, D. C., Norton, D. J., Papp, K. V., Amariglio, R., Rentz, D., Baena, A., Henao, E., Tirado, V., Muñoz, C., Giraldo, M., Sperling, R. A., Lopera, F., &amp; Quiroz, Y. T. (2018). A three-factor structure of cognitive functioning among unimpaired carriers and non-carriers of autosomal-dominant Alzheimer’s disease.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65</w:t>
      </w:r>
      <w:r w:rsidRPr="00600FC7">
        <w:rPr>
          <w:rFonts w:ascii="Times New Roman" w:eastAsia="Times New Roman" w:hAnsi="Times New Roman" w:cs="Times New Roman"/>
          <w:sz w:val="24"/>
          <w:szCs w:val="24"/>
        </w:rPr>
        <w:t xml:space="preserve">(1), 107–115. </w:t>
      </w:r>
      <w:hyperlink r:id="rId2275" w:history="1">
        <w:r w:rsidRPr="00600FC7">
          <w:rPr>
            <w:rFonts w:ascii="Times New Roman" w:eastAsia="Times New Roman" w:hAnsi="Times New Roman" w:cs="Times New Roman"/>
            <w:color w:val="0000FF"/>
            <w:sz w:val="24"/>
            <w:szCs w:val="24"/>
            <w:u w:val="single"/>
          </w:rPr>
          <w:t>https://doi.org/10.3233/JAD-180078</w:t>
        </w:r>
      </w:hyperlink>
    </w:p>
    <w:p w14:paraId="037DC1B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Gvirts, H. Z., Braw, Y., Harari, H., Lozin, M., Bloch, Y., Fefer, K., &amp; Levkovitz, Y. (2015). Executive dysfunction in bipolar disorder and borderline personality disorder. </w:t>
      </w:r>
      <w:r w:rsidRPr="00600FC7">
        <w:rPr>
          <w:rFonts w:ascii="Times New Roman" w:eastAsia="Times New Roman" w:hAnsi="Times New Roman" w:cs="Times New Roman"/>
          <w:i/>
          <w:iCs/>
          <w:sz w:val="24"/>
          <w:szCs w:val="24"/>
        </w:rPr>
        <w:t>European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30</w:t>
      </w:r>
      <w:r w:rsidRPr="00600FC7">
        <w:rPr>
          <w:rFonts w:ascii="Times New Roman" w:eastAsia="Times New Roman" w:hAnsi="Times New Roman" w:cs="Times New Roman"/>
          <w:sz w:val="24"/>
          <w:szCs w:val="24"/>
        </w:rPr>
        <w:t xml:space="preserve">(8), 959–964. </w:t>
      </w:r>
      <w:hyperlink r:id="rId2276" w:history="1">
        <w:r w:rsidRPr="00600FC7">
          <w:rPr>
            <w:rFonts w:ascii="Times New Roman" w:eastAsia="Times New Roman" w:hAnsi="Times New Roman" w:cs="Times New Roman"/>
            <w:color w:val="0000FF"/>
            <w:sz w:val="24"/>
            <w:szCs w:val="24"/>
            <w:u w:val="single"/>
          </w:rPr>
          <w:t>https://doi.org/10.1016/j.eurpsy.2014.12.009</w:t>
        </w:r>
      </w:hyperlink>
    </w:p>
    <w:p w14:paraId="0A7D473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 T. H., Chang, J. S., Oh, S. H., Kim, J. S., Cho, H. S., &amp; Ha, K. (2014). Differential patterns of neuropsychological performance in the euthymic and depressive phases of bipolar disorders.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68</w:t>
      </w:r>
      <w:r w:rsidRPr="00600FC7">
        <w:rPr>
          <w:rFonts w:ascii="Times New Roman" w:eastAsia="Times New Roman" w:hAnsi="Times New Roman" w:cs="Times New Roman"/>
          <w:sz w:val="24"/>
          <w:szCs w:val="24"/>
        </w:rPr>
        <w:t xml:space="preserve">(7), 515–523. </w:t>
      </w:r>
      <w:hyperlink r:id="rId2277" w:history="1">
        <w:r w:rsidRPr="00600FC7">
          <w:rPr>
            <w:rFonts w:ascii="Times New Roman" w:eastAsia="Times New Roman" w:hAnsi="Times New Roman" w:cs="Times New Roman"/>
            <w:color w:val="0000FF"/>
            <w:sz w:val="24"/>
            <w:szCs w:val="24"/>
            <w:u w:val="single"/>
          </w:rPr>
          <w:t>https://doi.org/10.1111/pcn.12158</w:t>
        </w:r>
      </w:hyperlink>
    </w:p>
    <w:p w14:paraId="032222F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Haaland, V. Ø., Esperaas, L., &amp; Landrø, N. I. (2009). Selective deficit in executive functioning among patients with borderline personality disorder. </w:t>
      </w:r>
      <w:r w:rsidRPr="00600FC7">
        <w:rPr>
          <w:rFonts w:ascii="Times New Roman" w:eastAsia="Times New Roman" w:hAnsi="Times New Roman" w:cs="Times New Roman"/>
          <w:i/>
          <w:iCs/>
          <w:sz w:val="24"/>
          <w:szCs w:val="24"/>
        </w:rPr>
        <w:t>Psychological Medicine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39</w:t>
      </w:r>
      <w:r w:rsidRPr="00600FC7">
        <w:rPr>
          <w:rFonts w:ascii="Times New Roman" w:eastAsia="Times New Roman" w:hAnsi="Times New Roman" w:cs="Times New Roman"/>
          <w:sz w:val="24"/>
          <w:szCs w:val="24"/>
        </w:rPr>
        <w:t xml:space="preserve">(10), 1733–1743. </w:t>
      </w:r>
      <w:hyperlink r:id="rId2278" w:history="1">
        <w:r w:rsidRPr="00600FC7">
          <w:rPr>
            <w:rFonts w:ascii="Times New Roman" w:eastAsia="Times New Roman" w:hAnsi="Times New Roman" w:cs="Times New Roman"/>
            <w:color w:val="0000FF"/>
            <w:sz w:val="24"/>
            <w:szCs w:val="24"/>
            <w:u w:val="single"/>
          </w:rPr>
          <w:t>https://doi.org/10.1017/S0033291709005285</w:t>
        </w:r>
      </w:hyperlink>
    </w:p>
    <w:p w14:paraId="4FA3F54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Haaland, V. Ø., &amp; Landrø, N. I. (2009). Pathological dissociation and neuropsychological functioning in borderline personality disorder. </w:t>
      </w:r>
      <w:r w:rsidRPr="00600FC7">
        <w:rPr>
          <w:rFonts w:ascii="Times New Roman" w:eastAsia="Times New Roman" w:hAnsi="Times New Roman" w:cs="Times New Roman"/>
          <w:i/>
          <w:iCs/>
          <w:sz w:val="24"/>
          <w:szCs w:val="24"/>
        </w:rPr>
        <w:t>Acta Psychiatrica Scandinavica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119</w:t>
      </w:r>
      <w:r w:rsidRPr="00600FC7">
        <w:rPr>
          <w:rFonts w:ascii="Times New Roman" w:eastAsia="Times New Roman" w:hAnsi="Times New Roman" w:cs="Times New Roman"/>
          <w:sz w:val="24"/>
          <w:szCs w:val="24"/>
        </w:rPr>
        <w:t xml:space="preserve">(5), 383–392. </w:t>
      </w:r>
      <w:hyperlink r:id="rId2279" w:history="1">
        <w:r w:rsidRPr="00600FC7">
          <w:rPr>
            <w:rFonts w:ascii="Times New Roman" w:eastAsia="Times New Roman" w:hAnsi="Times New Roman" w:cs="Times New Roman"/>
            <w:color w:val="0000FF"/>
            <w:sz w:val="24"/>
            <w:szCs w:val="24"/>
            <w:u w:val="single"/>
          </w:rPr>
          <w:t>https://doi.org/10.1111/j.1600-0447.2008.01323.x</w:t>
        </w:r>
      </w:hyperlink>
    </w:p>
    <w:p w14:paraId="6004C02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Haatveit, B., Vaskinn, A., Sundet, K. S., Jensen, J., Andreassen, O. A., Melle, I., &amp; Ueland, T. (2015). Stability of executive functions in first episode psychosis: One year follow up study. </w:t>
      </w:r>
      <w:r w:rsidRPr="00600FC7">
        <w:rPr>
          <w:rFonts w:ascii="Times New Roman" w:eastAsia="Times New Roman" w:hAnsi="Times New Roman" w:cs="Times New Roman"/>
          <w:i/>
          <w:iCs/>
          <w:sz w:val="24"/>
          <w:szCs w:val="24"/>
        </w:rPr>
        <w:t>Psychiatry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228</w:t>
      </w:r>
      <w:r w:rsidRPr="00600FC7">
        <w:rPr>
          <w:rFonts w:ascii="Times New Roman" w:eastAsia="Times New Roman" w:hAnsi="Times New Roman" w:cs="Times New Roman"/>
          <w:sz w:val="24"/>
          <w:szCs w:val="24"/>
        </w:rPr>
        <w:t xml:space="preserve">(3), 475–481. </w:t>
      </w:r>
      <w:hyperlink r:id="rId2280" w:history="1">
        <w:r w:rsidRPr="00600FC7">
          <w:rPr>
            <w:rFonts w:ascii="Times New Roman" w:eastAsia="Times New Roman" w:hAnsi="Times New Roman" w:cs="Times New Roman"/>
            <w:color w:val="0000FF"/>
            <w:sz w:val="24"/>
            <w:szCs w:val="24"/>
            <w:u w:val="single"/>
          </w:rPr>
          <w:t>https://doi.org/10.1016/j.psychres.2015.05.060</w:t>
        </w:r>
      </w:hyperlink>
    </w:p>
    <w:p w14:paraId="314CFE4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Hackney, M. E., Nocera, J. R., Bowers, D., Altmann, L. J. P., &amp; Hass, C. J. (2016). The chronic exercise–cognition interaction and Parkinson disease. In </w:t>
      </w:r>
      <w:r w:rsidRPr="00600FC7">
        <w:rPr>
          <w:rFonts w:ascii="Times New Roman" w:eastAsia="Times New Roman" w:hAnsi="Times New Roman" w:cs="Times New Roman"/>
          <w:i/>
          <w:iCs/>
          <w:sz w:val="24"/>
          <w:szCs w:val="24"/>
        </w:rPr>
        <w:t>Exercise-cognition interaction: Neuroscience perspectives.</w:t>
      </w:r>
      <w:r w:rsidRPr="00600FC7">
        <w:rPr>
          <w:rFonts w:ascii="Times New Roman" w:eastAsia="Times New Roman" w:hAnsi="Times New Roman" w:cs="Times New Roman"/>
          <w:sz w:val="24"/>
          <w:szCs w:val="24"/>
        </w:rPr>
        <w:t xml:space="preserve"> (pp. 321–343). Elsevier Academic Press. </w:t>
      </w:r>
      <w:hyperlink r:id="rId2281" w:history="1">
        <w:r w:rsidRPr="00600FC7">
          <w:rPr>
            <w:rFonts w:ascii="Times New Roman" w:eastAsia="Times New Roman" w:hAnsi="Times New Roman" w:cs="Times New Roman"/>
            <w:color w:val="0000FF"/>
            <w:sz w:val="24"/>
            <w:szCs w:val="24"/>
            <w:u w:val="single"/>
          </w:rPr>
          <w:t>https://doi.org/10.1016/B978-0-12-800778-5.00015-3</w:t>
        </w:r>
      </w:hyperlink>
    </w:p>
    <w:p w14:paraId="71C3964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Hadas-Lidor, N., Weiss, P., &amp; Kozulin, A. (2011). Dynamic cognitive intervention: Application in occupational therapy. </w:t>
      </w:r>
      <w:r w:rsidRPr="00600FC7">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600FC7">
        <w:rPr>
          <w:rFonts w:ascii="Times New Roman" w:eastAsia="Times New Roman" w:hAnsi="Times New Roman" w:cs="Times New Roman"/>
          <w:sz w:val="24"/>
          <w:szCs w:val="24"/>
        </w:rPr>
        <w:t>, 323–350.</w:t>
      </w:r>
    </w:p>
    <w:p w14:paraId="7769DDC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Hadj-Bouziane, F., Benatru, I., Brovelli, A., Klinger, H., Thobois, S., Broussolle, E., Boussaoud, D., &amp; Meunier, M. (2013). Advanced Parkinson’s disease effect on goal-directed and habitual processes involved in visuomotor associative learning. </w:t>
      </w:r>
      <w:r w:rsidRPr="00600FC7">
        <w:rPr>
          <w:rFonts w:ascii="Times New Roman" w:eastAsia="Times New Roman" w:hAnsi="Times New Roman" w:cs="Times New Roman"/>
          <w:i/>
          <w:iCs/>
          <w:sz w:val="24"/>
          <w:szCs w:val="24"/>
        </w:rPr>
        <w:t>Frontiers in Human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 </w:t>
      </w:r>
      <w:hyperlink r:id="rId2282" w:history="1">
        <w:r w:rsidRPr="00600FC7">
          <w:rPr>
            <w:rFonts w:ascii="Times New Roman" w:eastAsia="Times New Roman" w:hAnsi="Times New Roman" w:cs="Times New Roman"/>
            <w:color w:val="0000FF"/>
            <w:sz w:val="24"/>
            <w:szCs w:val="24"/>
            <w:u w:val="single"/>
          </w:rPr>
          <w:t>https://doi.org/10.3389/fnhum.2012.00351</w:t>
        </w:r>
      </w:hyperlink>
    </w:p>
    <w:p w14:paraId="336D814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Hage, S. de V., Crepaldi Azevedo, N., Nicolielo-Carrilho, A. P., &amp; Tabaquim, M. de L. M. (2016). Syntactic awareness and text production in Brazilian Portuguese students with learning disabilities. </w:t>
      </w:r>
      <w:r w:rsidRPr="00600FC7">
        <w:rPr>
          <w:rFonts w:ascii="Times New Roman" w:eastAsia="Times New Roman" w:hAnsi="Times New Roman" w:cs="Times New Roman"/>
          <w:i/>
          <w:iCs/>
          <w:sz w:val="24"/>
          <w:szCs w:val="24"/>
        </w:rPr>
        <w:t>Folia Phoniatrica et Logopaedica:International Journal of Phoniatrics, Speech Therapy and Communication Pathology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67</w:t>
      </w:r>
      <w:r w:rsidRPr="00600FC7">
        <w:rPr>
          <w:rFonts w:ascii="Times New Roman" w:eastAsia="Times New Roman" w:hAnsi="Times New Roman" w:cs="Times New Roman"/>
          <w:sz w:val="24"/>
          <w:szCs w:val="24"/>
        </w:rPr>
        <w:t xml:space="preserve">(6), 315–320. </w:t>
      </w:r>
      <w:hyperlink r:id="rId2283" w:history="1">
        <w:r w:rsidRPr="00600FC7">
          <w:rPr>
            <w:rFonts w:ascii="Times New Roman" w:eastAsia="Times New Roman" w:hAnsi="Times New Roman" w:cs="Times New Roman"/>
            <w:color w:val="0000FF"/>
            <w:sz w:val="24"/>
            <w:szCs w:val="24"/>
            <w:u w:val="single"/>
          </w:rPr>
          <w:t>https://doi.org/10.1159/000444919</w:t>
        </w:r>
      </w:hyperlink>
    </w:p>
    <w:p w14:paraId="0B05F30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Haghighatfard, A., Andalib, S., Faskhodi, M. A., Sadeghi, S., Ghaderi, A. H., Moradkhani, S., Rostampour, J., Tabrizi, Z., Mahmoodi, A., Karimi, T., &amp; Ghadimi, Z. (2018). Gene expression study of mitochondrial complex I in schizophrenia and paranoid personality disorder. </w:t>
      </w:r>
      <w:r w:rsidRPr="00600FC7">
        <w:rPr>
          <w:rFonts w:ascii="Times New Roman" w:eastAsia="Times New Roman" w:hAnsi="Times New Roman" w:cs="Times New Roman"/>
          <w:i/>
          <w:iCs/>
          <w:sz w:val="24"/>
          <w:szCs w:val="24"/>
        </w:rPr>
        <w:t>The World Journal of 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(Suppl 3), S133–S146. </w:t>
      </w:r>
      <w:hyperlink r:id="rId2284" w:history="1">
        <w:r w:rsidRPr="00600FC7">
          <w:rPr>
            <w:rFonts w:ascii="Times New Roman" w:eastAsia="Times New Roman" w:hAnsi="Times New Roman" w:cs="Times New Roman"/>
            <w:color w:val="0000FF"/>
            <w:sz w:val="24"/>
            <w:szCs w:val="24"/>
            <w:u w:val="single"/>
          </w:rPr>
          <w:t>https://doi.org/10.1080/15622975.2017.1282171</w:t>
        </w:r>
      </w:hyperlink>
    </w:p>
    <w:p w14:paraId="7E49837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Hagh-Shenas, H., &amp; Ghaffari, M. A. (2009). Neuropsychological differences in faulty and safe bus drivers. [Neuropsychological differences in faulty and safe bus drivers.]. </w:t>
      </w:r>
      <w:r w:rsidRPr="00600FC7">
        <w:rPr>
          <w:rFonts w:ascii="Times New Roman" w:eastAsia="Times New Roman" w:hAnsi="Times New Roman" w:cs="Times New Roman"/>
          <w:i/>
          <w:iCs/>
          <w:sz w:val="24"/>
          <w:szCs w:val="24"/>
        </w:rPr>
        <w:t>Iranian Journal of Psychiatry and Clinical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w:t>
      </w:r>
      <w:r w:rsidRPr="00600FC7">
        <w:rPr>
          <w:rFonts w:ascii="Times New Roman" w:eastAsia="Times New Roman" w:hAnsi="Times New Roman" w:cs="Times New Roman"/>
          <w:sz w:val="24"/>
          <w:szCs w:val="24"/>
        </w:rPr>
        <w:t>(4), 428–438.</w:t>
      </w:r>
    </w:p>
    <w:p w14:paraId="6545A5A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Hagh-Shenas, H., Toobai, S., &amp; Makaremi, A. (2002). Selective sustained, and shift in attention in patients with diagnoses of schizophrenia. </w:t>
      </w:r>
      <w:r w:rsidRPr="00600FC7">
        <w:rPr>
          <w:rFonts w:ascii="Times New Roman" w:eastAsia="Times New Roman" w:hAnsi="Times New Roman" w:cs="Times New Roman"/>
          <w:i/>
          <w:iCs/>
          <w:sz w:val="24"/>
          <w:szCs w:val="24"/>
        </w:rPr>
        <w:t>Perceptual and Motor Skills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95</w:t>
      </w:r>
      <w:r w:rsidRPr="00600FC7">
        <w:rPr>
          <w:rFonts w:ascii="Times New Roman" w:eastAsia="Times New Roman" w:hAnsi="Times New Roman" w:cs="Times New Roman"/>
          <w:sz w:val="24"/>
          <w:szCs w:val="24"/>
        </w:rPr>
        <w:t xml:space="preserve">(3,Pt2), 1087–1095. </w:t>
      </w:r>
      <w:hyperlink r:id="rId2285" w:history="1">
        <w:r w:rsidRPr="00600FC7">
          <w:rPr>
            <w:rFonts w:ascii="Times New Roman" w:eastAsia="Times New Roman" w:hAnsi="Times New Roman" w:cs="Times New Roman"/>
            <w:color w:val="0000FF"/>
            <w:sz w:val="24"/>
            <w:szCs w:val="24"/>
            <w:u w:val="single"/>
          </w:rPr>
          <w:t>https://doi.org/10.2466/PMS.95.8.1087-1095</w:t>
        </w:r>
      </w:hyperlink>
    </w:p>
    <w:p w14:paraId="3BF1CD4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Hahn, C., Hahn, E., Dettling, M., Güntürkün, O., Tam Ta, T. M., &amp; Neuhaus, A. H. (2012). Effects of smoking history on selective attention in schizophrenia. </w:t>
      </w:r>
      <w:r w:rsidRPr="00600FC7">
        <w:rPr>
          <w:rFonts w:ascii="Times New Roman" w:eastAsia="Times New Roman" w:hAnsi="Times New Roman" w:cs="Times New Roman"/>
          <w:i/>
          <w:iCs/>
          <w:sz w:val="24"/>
          <w:szCs w:val="24"/>
        </w:rPr>
        <w:t>Neuropharmacology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 xml:space="preserve">(4), 1897–1902. </w:t>
      </w:r>
      <w:hyperlink r:id="rId2286" w:history="1">
        <w:r w:rsidRPr="00600FC7">
          <w:rPr>
            <w:rFonts w:ascii="Times New Roman" w:eastAsia="Times New Roman" w:hAnsi="Times New Roman" w:cs="Times New Roman"/>
            <w:color w:val="0000FF"/>
            <w:sz w:val="24"/>
            <w:szCs w:val="24"/>
            <w:u w:val="single"/>
          </w:rPr>
          <w:t>https://doi.org/10.1016/j.neuropharm.2011.12.032</w:t>
        </w:r>
      </w:hyperlink>
    </w:p>
    <w:p w14:paraId="465C875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Hahn, L. G., &amp; Morgan, J. E. (2012). Neuropsychological contributions to independent education evaluations: Forensic perspectives. In </w:t>
      </w:r>
      <w:r w:rsidRPr="00600FC7">
        <w:rPr>
          <w:rFonts w:ascii="Times New Roman" w:eastAsia="Times New Roman" w:hAnsi="Times New Roman" w:cs="Times New Roman"/>
          <w:i/>
          <w:iCs/>
          <w:sz w:val="24"/>
          <w:szCs w:val="24"/>
        </w:rPr>
        <w:t>Pediatric forensic neuropsychology.</w:t>
      </w:r>
      <w:r w:rsidRPr="00600FC7">
        <w:rPr>
          <w:rFonts w:ascii="Times New Roman" w:eastAsia="Times New Roman" w:hAnsi="Times New Roman" w:cs="Times New Roman"/>
          <w:sz w:val="24"/>
          <w:szCs w:val="24"/>
        </w:rPr>
        <w:t xml:space="preserve"> (pp. 288–317). Oxford University Press.</w:t>
      </w:r>
    </w:p>
    <w:p w14:paraId="66C1D69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Hai, T., Duffy, H., Lemay, J.-F., Swansburg, R., Climie, E. A., &amp; MacMaster, F. P. (2020). Neurochemical correlates of executive function in children with attention-deficit/hyperactivity disorder. </w:t>
      </w:r>
      <w:r w:rsidRPr="00600FC7">
        <w:rPr>
          <w:rFonts w:ascii="Times New Roman" w:eastAsia="Times New Roman" w:hAnsi="Times New Roman" w:cs="Times New Roman"/>
          <w:i/>
          <w:iCs/>
          <w:sz w:val="24"/>
          <w:szCs w:val="24"/>
        </w:rPr>
        <w:t>Journal of the Canadian Academy of Child and Adolescent Psychiatry / Journal de l’Académie Canadienne de Psychiatrie de l’enfant et de l’adolescent</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(1), 15–25.</w:t>
      </w:r>
    </w:p>
    <w:p w14:paraId="35518C6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Haines, J., Hoffman, W., Hanada, J., Brown, P., Labs, S., Loberg, D., &amp; Walter, C. T. (1994). Further evaluation of prefrontal lobe function data in schizophrenic patients during Wisconsin Card Sorting Test. </w:t>
      </w:r>
      <w:r w:rsidRPr="00600FC7">
        <w:rPr>
          <w:rFonts w:ascii="Times New Roman" w:eastAsia="Times New Roman" w:hAnsi="Times New Roman" w:cs="Times New Roman"/>
          <w:i/>
          <w:iCs/>
          <w:sz w:val="24"/>
          <w:szCs w:val="24"/>
        </w:rPr>
        <w:t>The American Journal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151</w:t>
      </w:r>
      <w:r w:rsidRPr="00600FC7">
        <w:rPr>
          <w:rFonts w:ascii="Times New Roman" w:eastAsia="Times New Roman" w:hAnsi="Times New Roman" w:cs="Times New Roman"/>
          <w:sz w:val="24"/>
          <w:szCs w:val="24"/>
        </w:rPr>
        <w:t xml:space="preserve">(12), 1842–1843. </w:t>
      </w:r>
      <w:hyperlink r:id="rId2287" w:history="1">
        <w:r w:rsidRPr="00600FC7">
          <w:rPr>
            <w:rFonts w:ascii="Times New Roman" w:eastAsia="Times New Roman" w:hAnsi="Times New Roman" w:cs="Times New Roman"/>
            <w:color w:val="0000FF"/>
            <w:sz w:val="24"/>
            <w:szCs w:val="24"/>
            <w:u w:val="single"/>
          </w:rPr>
          <w:t>https://doi.org/10.1176/ajp.151.12.1842b</w:t>
        </w:r>
      </w:hyperlink>
    </w:p>
    <w:p w14:paraId="14855FA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Hake, D. L., Hamera, E., &amp; Rempfer, M. (2007). Self-report of cognitive functioning and learning in schizophrenia. </w:t>
      </w:r>
      <w:r w:rsidRPr="00600FC7">
        <w:rPr>
          <w:rFonts w:ascii="Times New Roman" w:eastAsia="Times New Roman" w:hAnsi="Times New Roman" w:cs="Times New Roman"/>
          <w:i/>
          <w:iCs/>
          <w:sz w:val="24"/>
          <w:szCs w:val="24"/>
        </w:rPr>
        <w:t>Journal of the American Psychiatric Nurses Association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w:t>
      </w:r>
      <w:r w:rsidRPr="00600FC7">
        <w:rPr>
          <w:rFonts w:ascii="Times New Roman" w:eastAsia="Times New Roman" w:hAnsi="Times New Roman" w:cs="Times New Roman"/>
          <w:sz w:val="24"/>
          <w:szCs w:val="24"/>
        </w:rPr>
        <w:t xml:space="preserve">(2), 93–100. </w:t>
      </w:r>
      <w:hyperlink r:id="rId2288" w:history="1">
        <w:r w:rsidRPr="00600FC7">
          <w:rPr>
            <w:rFonts w:ascii="Times New Roman" w:eastAsia="Times New Roman" w:hAnsi="Times New Roman" w:cs="Times New Roman"/>
            <w:color w:val="0000FF"/>
            <w:sz w:val="24"/>
            <w:szCs w:val="24"/>
            <w:u w:val="single"/>
          </w:rPr>
          <w:t>https://doi.org/10.1177/1078390307303111</w:t>
        </w:r>
      </w:hyperlink>
    </w:p>
    <w:p w14:paraId="5BB387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Hälbig, T. D., Gruber, D., Kopp, U. A., Scherer, P., Schneider, G.-H., Trottenberg, T., Arnold, G., &amp; Kupsch, A. (2004). Subthalamic stimulation differentially modulates declarative and nondeclarative memory. </w:t>
      </w:r>
      <w:r w:rsidRPr="00600FC7">
        <w:rPr>
          <w:rFonts w:ascii="Times New Roman" w:eastAsia="Times New Roman" w:hAnsi="Times New Roman" w:cs="Times New Roman"/>
          <w:i/>
          <w:iCs/>
          <w:sz w:val="24"/>
          <w:szCs w:val="24"/>
        </w:rPr>
        <w:t>NeuroReport: For Rapid Communication of Neuroscience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 xml:space="preserve">(3), 539–543. </w:t>
      </w:r>
      <w:hyperlink r:id="rId2289" w:history="1">
        <w:r w:rsidRPr="00600FC7">
          <w:rPr>
            <w:rFonts w:ascii="Times New Roman" w:eastAsia="Times New Roman" w:hAnsi="Times New Roman" w:cs="Times New Roman"/>
            <w:color w:val="0000FF"/>
            <w:sz w:val="24"/>
            <w:szCs w:val="24"/>
            <w:u w:val="single"/>
          </w:rPr>
          <w:t>https://doi.org/10.1097/00001756-200403010-00031</w:t>
        </w:r>
      </w:hyperlink>
    </w:p>
    <w:p w14:paraId="117524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Haldane, M., Cunningham, G., Androutsos, C., &amp; Frangou, S. (2008). Structural brain correlates of response inhibition in bipolar disorder I. </w:t>
      </w:r>
      <w:r w:rsidRPr="00600FC7">
        <w:rPr>
          <w:rFonts w:ascii="Times New Roman" w:eastAsia="Times New Roman" w:hAnsi="Times New Roman" w:cs="Times New Roman"/>
          <w:i/>
          <w:iCs/>
          <w:sz w:val="24"/>
          <w:szCs w:val="24"/>
        </w:rPr>
        <w:t>Journal of Psychopharmacology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(2), 138–143. </w:t>
      </w:r>
      <w:hyperlink r:id="rId2290" w:history="1">
        <w:r w:rsidRPr="00600FC7">
          <w:rPr>
            <w:rFonts w:ascii="Times New Roman" w:eastAsia="Times New Roman" w:hAnsi="Times New Roman" w:cs="Times New Roman"/>
            <w:color w:val="0000FF"/>
            <w:sz w:val="24"/>
            <w:szCs w:val="24"/>
            <w:u w:val="single"/>
          </w:rPr>
          <w:t>https://doi.org/10.1177/0269881107082955</w:t>
        </w:r>
      </w:hyperlink>
    </w:p>
    <w:p w14:paraId="561618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Haldane, M., &amp; Frangou, S. (2005). The Maudsley Bipolar Disorder Project: Insights into the role of the prefrontal cortex in bipolar disorder I. </w:t>
      </w:r>
      <w:r w:rsidRPr="00600FC7">
        <w:rPr>
          <w:rFonts w:ascii="Times New Roman" w:eastAsia="Times New Roman" w:hAnsi="Times New Roman" w:cs="Times New Roman"/>
          <w:i/>
          <w:iCs/>
          <w:sz w:val="24"/>
          <w:szCs w:val="24"/>
        </w:rPr>
        <w:t>Revista de Psiquiatria Do Rio Grande Do Sul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(3), 1–20. </w:t>
      </w:r>
      <w:hyperlink r:id="rId2291" w:history="1">
        <w:r w:rsidRPr="00600FC7">
          <w:rPr>
            <w:rFonts w:ascii="Times New Roman" w:eastAsia="Times New Roman" w:hAnsi="Times New Roman" w:cs="Times New Roman"/>
            <w:color w:val="0000FF"/>
            <w:sz w:val="24"/>
            <w:szCs w:val="24"/>
            <w:u w:val="single"/>
          </w:rPr>
          <w:t>https://doi.org/10.1590/S0101-81082005000300003</w:t>
        </w:r>
      </w:hyperlink>
    </w:p>
    <w:p w14:paraId="28BE4FE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 J. B., Fiorello, C. A., &amp; Brown, L. L. (2005). Determining medication treatment effects using teacher ratings and classroom observations of children with ADHD: Does neuropsychological impairment matter? </w:t>
      </w:r>
      <w:r w:rsidRPr="00600FC7">
        <w:rPr>
          <w:rFonts w:ascii="Times New Roman" w:eastAsia="Times New Roman" w:hAnsi="Times New Roman" w:cs="Times New Roman"/>
          <w:i/>
          <w:iCs/>
          <w:sz w:val="24"/>
          <w:szCs w:val="24"/>
        </w:rPr>
        <w:t>Educational and Child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(2), 39–61.</w:t>
      </w:r>
    </w:p>
    <w:p w14:paraId="280B8E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 J. B., Reddy, L. A., Semrud-Clikeman, M., Hain, L. A., Whitaker, J., Morley, J., Lawrence, K., Smith, A., &amp; Jones, N. (2011). Executive impairment determines ADHD medication response: Implications for academic achievement. </w:t>
      </w:r>
      <w:r w:rsidRPr="00600FC7">
        <w:rPr>
          <w:rFonts w:ascii="Times New Roman" w:eastAsia="Times New Roman" w:hAnsi="Times New Roman" w:cs="Times New Roman"/>
          <w:i/>
          <w:iCs/>
          <w:sz w:val="24"/>
          <w:szCs w:val="24"/>
        </w:rPr>
        <w:t>Journal of Learning Disabilities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44</w:t>
      </w:r>
      <w:r w:rsidRPr="00600FC7">
        <w:rPr>
          <w:rFonts w:ascii="Times New Roman" w:eastAsia="Times New Roman" w:hAnsi="Times New Roman" w:cs="Times New Roman"/>
          <w:sz w:val="24"/>
          <w:szCs w:val="24"/>
        </w:rPr>
        <w:t xml:space="preserve">(2), 196–212. </w:t>
      </w:r>
      <w:hyperlink r:id="rId2292" w:history="1">
        <w:r w:rsidRPr="00600FC7">
          <w:rPr>
            <w:rFonts w:ascii="Times New Roman" w:eastAsia="Times New Roman" w:hAnsi="Times New Roman" w:cs="Times New Roman"/>
            <w:color w:val="0000FF"/>
            <w:sz w:val="24"/>
            <w:szCs w:val="24"/>
            <w:u w:val="single"/>
          </w:rPr>
          <w:t>https://doi.org/10.1177/0022219410391191</w:t>
        </w:r>
      </w:hyperlink>
    </w:p>
    <w:p w14:paraId="5E67D3C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 J. B., Reddy, L. A., Weissman, A. S., Lukie, C., &amp; Schneider, A. N. (2013). Attention-deficit/hyperactivity disorder. In </w:t>
      </w:r>
      <w:r w:rsidRPr="00600FC7">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600FC7">
        <w:rPr>
          <w:rFonts w:ascii="Times New Roman" w:eastAsia="Times New Roman" w:hAnsi="Times New Roman" w:cs="Times New Roman"/>
          <w:sz w:val="24"/>
          <w:szCs w:val="24"/>
        </w:rPr>
        <w:t xml:space="preserve"> (pp. 127–154). American Psychological Association. </w:t>
      </w:r>
      <w:hyperlink r:id="rId2293" w:history="1">
        <w:r w:rsidRPr="00600FC7">
          <w:rPr>
            <w:rFonts w:ascii="Times New Roman" w:eastAsia="Times New Roman" w:hAnsi="Times New Roman" w:cs="Times New Roman"/>
            <w:color w:val="0000FF"/>
            <w:sz w:val="24"/>
            <w:szCs w:val="24"/>
            <w:u w:val="single"/>
          </w:rPr>
          <w:t>https://doi.org/10.1037/14091-006</w:t>
        </w:r>
      </w:hyperlink>
    </w:p>
    <w:p w14:paraId="5034EB2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Hales, M. K. (1999). </w:t>
      </w:r>
      <w:r w:rsidRPr="00600FC7">
        <w:rPr>
          <w:rFonts w:ascii="Times New Roman" w:eastAsia="Times New Roman" w:hAnsi="Times New Roman" w:cs="Times New Roman"/>
          <w:i/>
          <w:iCs/>
          <w:sz w:val="24"/>
          <w:szCs w:val="24"/>
        </w:rPr>
        <w:t>Cognitive disengagement, visual disengagement, and semantic priming: An analysis of attentional and automatic processes in traumatic brain injured and control groups.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59</w:t>
      </w:r>
      <w:r w:rsidRPr="00600FC7">
        <w:rPr>
          <w:rFonts w:ascii="Times New Roman" w:eastAsia="Times New Roman" w:hAnsi="Times New Roman" w:cs="Times New Roman"/>
          <w:sz w:val="24"/>
          <w:szCs w:val="24"/>
        </w:rPr>
        <w:t>(8-B), 4499–4499.</w:t>
      </w:r>
    </w:p>
    <w:p w14:paraId="192E6AA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Halfmann, K., Hedgcock, W., Kable, J., &amp; Denburg, N. L. (2016). Individual differences in the neural signature of subjective value among older adults. </w:t>
      </w:r>
      <w:r w:rsidRPr="00600FC7">
        <w:rPr>
          <w:rFonts w:ascii="Times New Roman" w:eastAsia="Times New Roman" w:hAnsi="Times New Roman" w:cs="Times New Roman"/>
          <w:i/>
          <w:iCs/>
          <w:sz w:val="24"/>
          <w:szCs w:val="24"/>
        </w:rPr>
        <w:t>Social Cognitive and Affective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 xml:space="preserve">(7), 1111–1120. </w:t>
      </w:r>
      <w:hyperlink r:id="rId2294" w:history="1">
        <w:r w:rsidRPr="00600FC7">
          <w:rPr>
            <w:rFonts w:ascii="Times New Roman" w:eastAsia="Times New Roman" w:hAnsi="Times New Roman" w:cs="Times New Roman"/>
            <w:color w:val="0000FF"/>
            <w:sz w:val="24"/>
            <w:szCs w:val="24"/>
            <w:u w:val="single"/>
          </w:rPr>
          <w:t>https://doi.org/10.1093/scan/nsv078</w:t>
        </w:r>
      </w:hyperlink>
    </w:p>
    <w:p w14:paraId="24BD30B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 J. A. C. (1996). </w:t>
      </w:r>
      <w:r w:rsidRPr="00600FC7">
        <w:rPr>
          <w:rFonts w:ascii="Times New Roman" w:eastAsia="Times New Roman" w:hAnsi="Times New Roman" w:cs="Times New Roman"/>
          <w:i/>
          <w:iCs/>
          <w:sz w:val="24"/>
          <w:szCs w:val="24"/>
        </w:rPr>
        <w:t>The assessment of cognitive functioning of persons with schizophrenia: Identification of neuropsychological markers.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56</w:t>
      </w:r>
      <w:r w:rsidRPr="00600FC7">
        <w:rPr>
          <w:rFonts w:ascii="Times New Roman" w:eastAsia="Times New Roman" w:hAnsi="Times New Roman" w:cs="Times New Roman"/>
          <w:sz w:val="24"/>
          <w:szCs w:val="24"/>
        </w:rPr>
        <w:t>(12-B), 7046–7046.</w:t>
      </w:r>
    </w:p>
    <w:p w14:paraId="090316A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 J. K. (1997). </w:t>
      </w:r>
      <w:r w:rsidRPr="00600FC7">
        <w:rPr>
          <w:rFonts w:ascii="Times New Roman" w:eastAsia="Times New Roman" w:hAnsi="Times New Roman" w:cs="Times New Roman"/>
          <w:i/>
          <w:iCs/>
          <w:sz w:val="24"/>
          <w:szCs w:val="24"/>
        </w:rPr>
        <w:t>Individual differences in specific cognitive abilities as measured by neuropsychological tests: A twin study.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57</w:t>
      </w:r>
      <w:r w:rsidRPr="00600FC7">
        <w:rPr>
          <w:rFonts w:ascii="Times New Roman" w:eastAsia="Times New Roman" w:hAnsi="Times New Roman" w:cs="Times New Roman"/>
          <w:sz w:val="24"/>
          <w:szCs w:val="24"/>
        </w:rPr>
        <w:t>(10-B), 6573–6573.</w:t>
      </w:r>
    </w:p>
    <w:p w14:paraId="5689D326"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Haller, S., Montandon, M.-L., Rodriguez, C., Moser, D., Toma, S., Hofmeister, J., Sinanaj, I., Lovblad, K.-O., &amp; Giannakopoulos, P. (2014). Acute caffeine administration effect on brain activation patterns in mild cognitive impairment.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(1), 101–112.</w:t>
      </w:r>
    </w:p>
    <w:p w14:paraId="00762C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Haller, S., Nguyen, D., Rodriguez, C., Emch, J., Gold, G., Bartsch, A., Lovblad, K. O., &amp; Giannakopoulos, P. (2010). Individual prediction of cognitive decline in mild cognitive impairment using support vector machine-based analysis of diffusion tensor imaging data. </w:t>
      </w:r>
      <w:r w:rsidRPr="00600FC7">
        <w:rPr>
          <w:rFonts w:ascii="Times New Roman" w:eastAsia="Times New Roman" w:hAnsi="Times New Roman" w:cs="Times New Roman"/>
          <w:i/>
          <w:iCs/>
          <w:sz w:val="24"/>
          <w:szCs w:val="24"/>
        </w:rPr>
        <w:t>Journal of Alzheimer’s Disease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(1), 315–327.</w:t>
      </w:r>
    </w:p>
    <w:p w14:paraId="509BBFF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Halpern, J. H., Sherwood, A. R., Hudson, J. I., Gruber, S., Kozin, D., &amp; Pope Jr., H. G. (2011). Residual neurocognitive features of long‐term ecstasy users with minimal exposure to other drugs. </w:t>
      </w:r>
      <w:r w:rsidRPr="00600FC7">
        <w:rPr>
          <w:rFonts w:ascii="Times New Roman" w:eastAsia="Times New Roman" w:hAnsi="Times New Roman" w:cs="Times New Roman"/>
          <w:i/>
          <w:iCs/>
          <w:sz w:val="24"/>
          <w:szCs w:val="24"/>
        </w:rPr>
        <w:t>Addiction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106</w:t>
      </w:r>
      <w:r w:rsidRPr="00600FC7">
        <w:rPr>
          <w:rFonts w:ascii="Times New Roman" w:eastAsia="Times New Roman" w:hAnsi="Times New Roman" w:cs="Times New Roman"/>
          <w:sz w:val="24"/>
          <w:szCs w:val="24"/>
        </w:rPr>
        <w:t xml:space="preserve">(4), 777–786. </w:t>
      </w:r>
      <w:hyperlink r:id="rId2295" w:history="1">
        <w:r w:rsidRPr="00600FC7">
          <w:rPr>
            <w:rFonts w:ascii="Times New Roman" w:eastAsia="Times New Roman" w:hAnsi="Times New Roman" w:cs="Times New Roman"/>
            <w:color w:val="0000FF"/>
            <w:sz w:val="24"/>
            <w:szCs w:val="24"/>
            <w:u w:val="single"/>
          </w:rPr>
          <w:t>https://doi.org/10.1111/j.1360-0443.2010.03252.x</w:t>
        </w:r>
      </w:hyperlink>
    </w:p>
    <w:p w14:paraId="02200A2D"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Halvorsen, M., Høifødt, R. S., Myrbakk, I. N., Wang, C. E. A., Sundet, K., Eisemann, M., &amp; Waterloo, K. (2012). Cognitive function in unipolar major depression: A comparison of currently depressed, previously depressed, and never depressed individuals. </w:t>
      </w:r>
      <w:r w:rsidRPr="00600FC7">
        <w:rPr>
          <w:rFonts w:ascii="Times New Roman" w:eastAsia="Times New Roman" w:hAnsi="Times New Roman" w:cs="Times New Roman"/>
          <w:i/>
          <w:iCs/>
          <w:sz w:val="24"/>
          <w:szCs w:val="24"/>
        </w:rPr>
        <w:t>Journal of Clinical and Experimental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34</w:t>
      </w:r>
      <w:r w:rsidRPr="00600FC7">
        <w:rPr>
          <w:rFonts w:ascii="Times New Roman" w:eastAsia="Times New Roman" w:hAnsi="Times New Roman" w:cs="Times New Roman"/>
          <w:sz w:val="24"/>
          <w:szCs w:val="24"/>
        </w:rPr>
        <w:t xml:space="preserve">(7), 782–790. </w:t>
      </w:r>
      <w:hyperlink r:id="rId2296" w:history="1">
        <w:r w:rsidRPr="00600FC7">
          <w:rPr>
            <w:rFonts w:ascii="Times New Roman" w:eastAsia="Times New Roman" w:hAnsi="Times New Roman" w:cs="Times New Roman"/>
            <w:color w:val="0000FF"/>
            <w:sz w:val="24"/>
            <w:szCs w:val="24"/>
            <w:u w:val="single"/>
          </w:rPr>
          <w:t>https://doi.org/10.1080/13803395.2012.683853</w:t>
        </w:r>
      </w:hyperlink>
    </w:p>
    <w:p w14:paraId="22331C1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Hämäläinen, H., Kujala, T., Kekoni, J., Hurskainen, H., Pirilä, J., Wikström, H., &amp; Huotilainen, M. (2007). Effects of unilateral hippocampus-amygdala-partial temporal lobe resection on auditory EEG/MEG responses: A case study. </w:t>
      </w:r>
      <w:r w:rsidRPr="00600FC7">
        <w:rPr>
          <w:rFonts w:ascii="Times New Roman" w:eastAsia="Times New Roman" w:hAnsi="Times New Roman" w:cs="Times New Roman"/>
          <w:i/>
          <w:iCs/>
          <w:sz w:val="24"/>
          <w:szCs w:val="24"/>
        </w:rPr>
        <w:t>Scandinavian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(5), 367–373. </w:t>
      </w:r>
      <w:hyperlink r:id="rId2297" w:history="1">
        <w:r w:rsidRPr="00600FC7">
          <w:rPr>
            <w:rFonts w:ascii="Times New Roman" w:eastAsia="Times New Roman" w:hAnsi="Times New Roman" w:cs="Times New Roman"/>
            <w:color w:val="0000FF"/>
            <w:sz w:val="24"/>
            <w:szCs w:val="24"/>
            <w:u w:val="single"/>
          </w:rPr>
          <w:t>https://doi.org/10.1111/j.1467-9450.2007.00597.x</w:t>
        </w:r>
      </w:hyperlink>
    </w:p>
    <w:p w14:paraId="1DC8891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Hamaoui, Y. El., Elyazaji, M., Yaalaoui, S., Rachidi, L., Saoud, M., d’Amato, T., Moussaoui, D., Dalery, J., &amp; Battas, O. (2006). Test Wisconsin chez les patients souffrant de schizophrénic, et leurs frères et soeurs. [Wisconsin Card Sorting Task in Patients with Schizophrenia and their Siblings.]. </w:t>
      </w:r>
      <w:r w:rsidRPr="00600FC7">
        <w:rPr>
          <w:rFonts w:ascii="Times New Roman" w:eastAsia="Times New Roman" w:hAnsi="Times New Roman" w:cs="Times New Roman"/>
          <w:i/>
          <w:iCs/>
          <w:sz w:val="24"/>
          <w:szCs w:val="24"/>
        </w:rPr>
        <w:t>The Canadian Journal of Psychiatry / La Revue Canadienne de Psychiatrie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51</w:t>
      </w:r>
      <w:r w:rsidRPr="00600FC7">
        <w:rPr>
          <w:rFonts w:ascii="Times New Roman" w:eastAsia="Times New Roman" w:hAnsi="Times New Roman" w:cs="Times New Roman"/>
          <w:sz w:val="24"/>
          <w:szCs w:val="24"/>
        </w:rPr>
        <w:t>(1), 48–54.</w:t>
      </w:r>
    </w:p>
    <w:p w14:paraId="31407B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Hamatani, S., Tomotake, M., Takeda, T., Kameoka, N., Kawabata, M., Kubo, H., Tada, Y., Tomioka, Y., Watanabe, S., Inoshita, M., Kinoshita, M., Ohta, M., &amp; Ohmori, T. (2017). Influence of cognitive function on quality of life in anorexia nervosa patients. </w:t>
      </w:r>
      <w:r w:rsidRPr="00600FC7">
        <w:rPr>
          <w:rFonts w:ascii="Times New Roman" w:eastAsia="Times New Roman" w:hAnsi="Times New Roman" w:cs="Times New Roman"/>
          <w:i/>
          <w:iCs/>
          <w:sz w:val="24"/>
          <w:szCs w:val="24"/>
        </w:rPr>
        <w:t>Psychiatry and Clinical Neurosciences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71</w:t>
      </w:r>
      <w:r w:rsidRPr="00600FC7">
        <w:rPr>
          <w:rFonts w:ascii="Times New Roman" w:eastAsia="Times New Roman" w:hAnsi="Times New Roman" w:cs="Times New Roman"/>
          <w:sz w:val="24"/>
          <w:szCs w:val="24"/>
        </w:rPr>
        <w:t xml:space="preserve">(5), 328–335. </w:t>
      </w:r>
      <w:hyperlink r:id="rId2298" w:history="1">
        <w:r w:rsidRPr="00600FC7">
          <w:rPr>
            <w:rFonts w:ascii="Times New Roman" w:eastAsia="Times New Roman" w:hAnsi="Times New Roman" w:cs="Times New Roman"/>
            <w:color w:val="0000FF"/>
            <w:sz w:val="24"/>
            <w:szCs w:val="24"/>
            <w:u w:val="single"/>
          </w:rPr>
          <w:t>https://doi.org/10.1111/pcn.12491</w:t>
        </w:r>
      </w:hyperlink>
    </w:p>
    <w:p w14:paraId="11CF65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Hambrick, D. Z., Rench, T. A., Poposki, E. M., Darowski, E. S., Roland, D., Bearden, R. M., Oswald, F. L., &amp; Brou, R. (2011). The relationship between the ASVAB and multitasking in Navy sailors: A process-specific approach. </w:t>
      </w:r>
      <w:r w:rsidRPr="00600FC7">
        <w:rPr>
          <w:rFonts w:ascii="Times New Roman" w:eastAsia="Times New Roman" w:hAnsi="Times New Roman" w:cs="Times New Roman"/>
          <w:i/>
          <w:iCs/>
          <w:sz w:val="24"/>
          <w:szCs w:val="24"/>
        </w:rPr>
        <w:t>Military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23</w:t>
      </w:r>
      <w:r w:rsidRPr="00600FC7">
        <w:rPr>
          <w:rFonts w:ascii="Times New Roman" w:eastAsia="Times New Roman" w:hAnsi="Times New Roman" w:cs="Times New Roman"/>
          <w:sz w:val="24"/>
          <w:szCs w:val="24"/>
        </w:rPr>
        <w:t xml:space="preserve">(4), 365–380. </w:t>
      </w:r>
      <w:hyperlink r:id="rId2299" w:history="1">
        <w:r w:rsidRPr="00600FC7">
          <w:rPr>
            <w:rFonts w:ascii="Times New Roman" w:eastAsia="Times New Roman" w:hAnsi="Times New Roman" w:cs="Times New Roman"/>
            <w:color w:val="0000FF"/>
            <w:sz w:val="24"/>
            <w:szCs w:val="24"/>
            <w:u w:val="single"/>
          </w:rPr>
          <w:t>https://doi.org/10.1037/h0094762</w:t>
        </w:r>
      </w:hyperlink>
    </w:p>
    <w:p w14:paraId="5C6EE9F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Hamdan, A. C., &amp; Bueno, O. F. A. (2005). Relações entre controle executivo e memória episódica verbal no comprometimento cognitivo leve e na demência tipo Alzheimer. [Relationships between executive control and verbal episodic memory in the mild cognitive impairment and the Alzheimer-type dement. </w:t>
      </w:r>
      <w:r w:rsidRPr="00600FC7">
        <w:rPr>
          <w:rFonts w:ascii="Times New Roman" w:eastAsia="Times New Roman" w:hAnsi="Times New Roman" w:cs="Times New Roman"/>
          <w:i/>
          <w:iCs/>
          <w:sz w:val="24"/>
          <w:szCs w:val="24"/>
        </w:rPr>
        <w:t>Estudos de Psicologia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10</w:t>
      </w:r>
      <w:r w:rsidRPr="00600FC7">
        <w:rPr>
          <w:rFonts w:ascii="Times New Roman" w:eastAsia="Times New Roman" w:hAnsi="Times New Roman" w:cs="Times New Roman"/>
          <w:sz w:val="24"/>
          <w:szCs w:val="24"/>
        </w:rPr>
        <w:t xml:space="preserve">(1), 63–71. </w:t>
      </w:r>
      <w:hyperlink r:id="rId2300" w:history="1">
        <w:r w:rsidRPr="00600FC7">
          <w:rPr>
            <w:rFonts w:ascii="Times New Roman" w:eastAsia="Times New Roman" w:hAnsi="Times New Roman" w:cs="Times New Roman"/>
            <w:color w:val="0000FF"/>
            <w:sz w:val="24"/>
            <w:szCs w:val="24"/>
            <w:u w:val="single"/>
          </w:rPr>
          <w:t>https://doi.org/10.1590/S1413-294X2005000100008</w:t>
        </w:r>
      </w:hyperlink>
    </w:p>
    <w:p w14:paraId="261331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 A., Vielhaber, S., Rodriguez-Fornells, A., Mohammadi, B., &amp; Münte, T. F. (2011). A neurophysiological analysis of working memory in amyotrophic lateral sclerosis. </w:t>
      </w:r>
      <w:r w:rsidRPr="00600FC7">
        <w:rPr>
          <w:rFonts w:ascii="Times New Roman" w:eastAsia="Times New Roman" w:hAnsi="Times New Roman" w:cs="Times New Roman"/>
          <w:i/>
          <w:iCs/>
          <w:sz w:val="24"/>
          <w:szCs w:val="24"/>
        </w:rPr>
        <w:t>Brain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1421</w:t>
      </w:r>
      <w:r w:rsidRPr="00600FC7">
        <w:rPr>
          <w:rFonts w:ascii="Times New Roman" w:eastAsia="Times New Roman" w:hAnsi="Times New Roman" w:cs="Times New Roman"/>
          <w:sz w:val="24"/>
          <w:szCs w:val="24"/>
        </w:rPr>
        <w:t xml:space="preserve">, 90–99. </w:t>
      </w:r>
      <w:hyperlink r:id="rId2301" w:history="1">
        <w:r w:rsidRPr="00600FC7">
          <w:rPr>
            <w:rFonts w:ascii="Times New Roman" w:eastAsia="Times New Roman" w:hAnsi="Times New Roman" w:cs="Times New Roman"/>
            <w:color w:val="0000FF"/>
            <w:sz w:val="24"/>
            <w:szCs w:val="24"/>
            <w:u w:val="single"/>
          </w:rPr>
          <w:t>https://doi.org/10.1016/j.brainres.2011.09.010</w:t>
        </w:r>
      </w:hyperlink>
    </w:p>
    <w:p w14:paraId="49573F1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 M. A., Katsanis, J., &amp; Iacono, W. G. (1995). The relationship between negative symptoms and neuropsychological performance.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37</w:t>
      </w:r>
      <w:r w:rsidRPr="00600FC7">
        <w:rPr>
          <w:rFonts w:ascii="Times New Roman" w:eastAsia="Times New Roman" w:hAnsi="Times New Roman" w:cs="Times New Roman"/>
          <w:sz w:val="24"/>
          <w:szCs w:val="24"/>
        </w:rPr>
        <w:t xml:space="preserve">(11), 828–830. </w:t>
      </w:r>
      <w:hyperlink r:id="rId2302" w:history="1">
        <w:r w:rsidRPr="00600FC7">
          <w:rPr>
            <w:rFonts w:ascii="Times New Roman" w:eastAsia="Times New Roman" w:hAnsi="Times New Roman" w:cs="Times New Roman"/>
            <w:color w:val="0000FF"/>
            <w:sz w:val="24"/>
            <w:szCs w:val="24"/>
            <w:u w:val="single"/>
          </w:rPr>
          <w:t>https://doi.org/10.1016/0006-3223(95)00040-N</w:t>
        </w:r>
      </w:hyperlink>
    </w:p>
    <w:p w14:paraId="331D748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Hammers, D., Ramirez, G., Persad, C., Heidebrink, J., Barbas, N., &amp; Giordani, B. (2016). Diagnostic profiles of patients differentially failing executive functioning measures.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(3), 214–222. </w:t>
      </w:r>
      <w:hyperlink r:id="rId2303" w:history="1">
        <w:r w:rsidRPr="00600FC7">
          <w:rPr>
            <w:rFonts w:ascii="Times New Roman" w:eastAsia="Times New Roman" w:hAnsi="Times New Roman" w:cs="Times New Roman"/>
            <w:color w:val="0000FF"/>
            <w:sz w:val="24"/>
            <w:szCs w:val="24"/>
            <w:u w:val="single"/>
          </w:rPr>
          <w:t>https://doi.org/10.1177/1533317515603114</w:t>
        </w:r>
      </w:hyperlink>
    </w:p>
    <w:p w14:paraId="0C0C714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Hammers, D., Spurgeon, E., Ryan, K., Persad, C., Barbas, N., Heidebrink, J., Darby, D., &amp; Giordani, B. (2012). Validity of a brief computerized cognitive screening test in dementia. </w:t>
      </w:r>
      <w:r w:rsidRPr="00600FC7">
        <w:rPr>
          <w:rFonts w:ascii="Times New Roman" w:eastAsia="Times New Roman" w:hAnsi="Times New Roman" w:cs="Times New Roman"/>
          <w:i/>
          <w:iCs/>
          <w:sz w:val="24"/>
          <w:szCs w:val="24"/>
        </w:rPr>
        <w:t>Journal of Geriatric Psychiatry and 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89–99. </w:t>
      </w:r>
      <w:hyperlink r:id="rId2304" w:history="1">
        <w:r w:rsidRPr="00600FC7">
          <w:rPr>
            <w:rFonts w:ascii="Times New Roman" w:eastAsia="Times New Roman" w:hAnsi="Times New Roman" w:cs="Times New Roman"/>
            <w:color w:val="0000FF"/>
            <w:sz w:val="24"/>
            <w:szCs w:val="24"/>
            <w:u w:val="single"/>
          </w:rPr>
          <w:t>https://doi.org/10.1177/0891988712447894</w:t>
        </w:r>
      </w:hyperlink>
    </w:p>
    <w:p w14:paraId="546386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Hammers, D., Spurgeon, E., Ryan, K., Persad, C., Heidebrink, J., Barbas, N., Albin, R., Frey, K., Darby, D., &amp; Giordani, B. (2011). Reliability of repeated cognitive assessment of dementia using a brief computerized battery.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26</w:t>
      </w:r>
      <w:r w:rsidRPr="00600FC7">
        <w:rPr>
          <w:rFonts w:ascii="Times New Roman" w:eastAsia="Times New Roman" w:hAnsi="Times New Roman" w:cs="Times New Roman"/>
          <w:sz w:val="24"/>
          <w:szCs w:val="24"/>
        </w:rPr>
        <w:t xml:space="preserve">(4), 326–333. </w:t>
      </w:r>
      <w:hyperlink r:id="rId2305" w:history="1">
        <w:r w:rsidRPr="00600FC7">
          <w:rPr>
            <w:rFonts w:ascii="Times New Roman" w:eastAsia="Times New Roman" w:hAnsi="Times New Roman" w:cs="Times New Roman"/>
            <w:color w:val="0000FF"/>
            <w:sz w:val="24"/>
            <w:szCs w:val="24"/>
            <w:u w:val="single"/>
          </w:rPr>
          <w:t>https://doi.org/10.1177/1533317511411907</w:t>
        </w:r>
      </w:hyperlink>
    </w:p>
    <w:p w14:paraId="092787F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Hammond, F. M., Grattan, K. D., Sasser, H., Corrigan, J. D., Rosenthal, M., Bushnik, T., &amp; Shull, W. (2004). Five years after traumatic brain injury: A study of individual outcomes and predictors of change in function. </w:t>
      </w:r>
      <w:r w:rsidRPr="00600FC7">
        <w:rPr>
          <w:rFonts w:ascii="Times New Roman" w:eastAsia="Times New Roman" w:hAnsi="Times New Roman" w:cs="Times New Roman"/>
          <w:i/>
          <w:iCs/>
          <w:sz w:val="24"/>
          <w:szCs w:val="24"/>
        </w:rPr>
        <w:t>NeuroRehabilitation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(1), 25–35.</w:t>
      </w:r>
    </w:p>
    <w:p w14:paraId="4C98D0B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Hamsho, N., Antshel, K. M., Eckert, T. L., &amp; Kates, W. R. (2017). Childhood predictors of written expression in late adolescents with 22q11.2 deletion syndrome: A longitudinal study. </w:t>
      </w:r>
      <w:r w:rsidRPr="00600FC7">
        <w:rPr>
          <w:rFonts w:ascii="Times New Roman" w:eastAsia="Times New Roman" w:hAnsi="Times New Roman" w:cs="Times New Roman"/>
          <w:i/>
          <w:iCs/>
          <w:sz w:val="24"/>
          <w:szCs w:val="24"/>
        </w:rPr>
        <w:t>Journal of Intellectual Disability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(5), 501–511. </w:t>
      </w:r>
      <w:hyperlink r:id="rId2306" w:history="1">
        <w:r w:rsidRPr="00600FC7">
          <w:rPr>
            <w:rFonts w:ascii="Times New Roman" w:eastAsia="Times New Roman" w:hAnsi="Times New Roman" w:cs="Times New Roman"/>
            <w:color w:val="0000FF"/>
            <w:sz w:val="24"/>
            <w:szCs w:val="24"/>
            <w:u w:val="single"/>
          </w:rPr>
          <w:t>https://doi.org/10.1111/jir.12370</w:t>
        </w:r>
      </w:hyperlink>
    </w:p>
    <w:p w14:paraId="1D8B2A1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(Dan) Y., Hoelzle, J. B., Dennis, B. C., &amp; Hoffmann, M. (2011). A brief review of cognitive assessment in neurotoxicology. </w:t>
      </w:r>
      <w:r w:rsidRPr="00600FC7">
        <w:rPr>
          <w:rFonts w:ascii="Times New Roman" w:eastAsia="Times New Roman" w:hAnsi="Times New Roman" w:cs="Times New Roman"/>
          <w:i/>
          <w:iCs/>
          <w:sz w:val="24"/>
          <w:szCs w:val="24"/>
        </w:rPr>
        <w:t>Neurologic Clinics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(3), 581–590. </w:t>
      </w:r>
      <w:hyperlink r:id="rId2307" w:history="1">
        <w:r w:rsidRPr="00600FC7">
          <w:rPr>
            <w:rFonts w:ascii="Times New Roman" w:eastAsia="Times New Roman" w:hAnsi="Times New Roman" w:cs="Times New Roman"/>
            <w:color w:val="0000FF"/>
            <w:sz w:val="24"/>
            <w:szCs w:val="24"/>
            <w:u w:val="single"/>
          </w:rPr>
          <w:t>https://doi.org/10.1016/j.ncl.2011.05.008</w:t>
        </w:r>
      </w:hyperlink>
    </w:p>
    <w:p w14:paraId="7ED962C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H., Kim, S. M., Bae, S., Renshaw, P. F., &amp; Anderson, J. S. (2016). A failure of suppression within the default mode network in depressed adolescents with compulsive internet game play. </w:t>
      </w:r>
      <w:r w:rsidRPr="00600FC7">
        <w:rPr>
          <w:rFonts w:ascii="Times New Roman" w:eastAsia="Times New Roman" w:hAnsi="Times New Roman" w:cs="Times New Roman"/>
          <w:i/>
          <w:iCs/>
          <w:sz w:val="24"/>
          <w:szCs w:val="24"/>
        </w:rPr>
        <w:t>Journal of Affective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194</w:t>
      </w:r>
      <w:r w:rsidRPr="00600FC7">
        <w:rPr>
          <w:rFonts w:ascii="Times New Roman" w:eastAsia="Times New Roman" w:hAnsi="Times New Roman" w:cs="Times New Roman"/>
          <w:sz w:val="24"/>
          <w:szCs w:val="24"/>
        </w:rPr>
        <w:t xml:space="preserve">, 57–64. </w:t>
      </w:r>
      <w:hyperlink r:id="rId2308" w:history="1">
        <w:r w:rsidRPr="00600FC7">
          <w:rPr>
            <w:rFonts w:ascii="Times New Roman" w:eastAsia="Times New Roman" w:hAnsi="Times New Roman" w:cs="Times New Roman"/>
            <w:color w:val="0000FF"/>
            <w:sz w:val="24"/>
            <w:szCs w:val="24"/>
            <w:u w:val="single"/>
          </w:rPr>
          <w:t>https://doi.org/10.1016/j.jad.2016.01.013</w:t>
        </w:r>
      </w:hyperlink>
    </w:p>
    <w:p w14:paraId="74AF6A9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H., Lee, Y. S., Shi, X., &amp; Renshaw, P. F. (2014). Proton magnetic resonance spectroscopy (MRS) in on-line game addiction.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58</w:t>
      </w:r>
      <w:r w:rsidRPr="00600FC7">
        <w:rPr>
          <w:rFonts w:ascii="Times New Roman" w:eastAsia="Times New Roman" w:hAnsi="Times New Roman" w:cs="Times New Roman"/>
          <w:sz w:val="24"/>
          <w:szCs w:val="24"/>
        </w:rPr>
        <w:t xml:space="preserve">, 63–68. </w:t>
      </w:r>
      <w:hyperlink r:id="rId2309" w:history="1">
        <w:r w:rsidRPr="00600FC7">
          <w:rPr>
            <w:rFonts w:ascii="Times New Roman" w:eastAsia="Times New Roman" w:hAnsi="Times New Roman" w:cs="Times New Roman"/>
            <w:color w:val="0000FF"/>
            <w:sz w:val="24"/>
            <w:szCs w:val="24"/>
            <w:u w:val="single"/>
          </w:rPr>
          <w:t>https://doi.org/10.1016/j.jpsychires.2014.07.007</w:t>
        </w:r>
      </w:hyperlink>
    </w:p>
    <w:p w14:paraId="089A393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H., Lyoo, I. K., &amp; Renshaw, P. F. (2012). Differential regional gray matter volumes in patients with on-line game addiction and professional gamers. </w:t>
      </w:r>
      <w:r w:rsidRPr="00600FC7">
        <w:rPr>
          <w:rFonts w:ascii="Times New Roman" w:eastAsia="Times New Roman" w:hAnsi="Times New Roman" w:cs="Times New Roman"/>
          <w:i/>
          <w:iCs/>
          <w:sz w:val="24"/>
          <w:szCs w:val="24"/>
        </w:rPr>
        <w:t>Journal of Psychiatric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46</w:t>
      </w:r>
      <w:r w:rsidRPr="00600FC7">
        <w:rPr>
          <w:rFonts w:ascii="Times New Roman" w:eastAsia="Times New Roman" w:hAnsi="Times New Roman" w:cs="Times New Roman"/>
          <w:sz w:val="24"/>
          <w:szCs w:val="24"/>
        </w:rPr>
        <w:t xml:space="preserve">(4), 507–515. </w:t>
      </w:r>
      <w:hyperlink r:id="rId2310" w:history="1">
        <w:r w:rsidRPr="00600FC7">
          <w:rPr>
            <w:rFonts w:ascii="Times New Roman" w:eastAsia="Times New Roman" w:hAnsi="Times New Roman" w:cs="Times New Roman"/>
            <w:color w:val="0000FF"/>
            <w:sz w:val="24"/>
            <w:szCs w:val="24"/>
            <w:u w:val="single"/>
          </w:rPr>
          <w:t>https://doi.org/10.1016/j.jpsychires.2012.01.004</w:t>
        </w:r>
      </w:hyperlink>
    </w:p>
    <w:p w14:paraId="1F90E8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D. Y., Shandera-Ochsner, A. L., Bell, B. D., &amp; Seeger, S. K. (2014). Diagnosis of posterior cortical atrophy delayed by coexisting Fuchs’ endothelial corneal dystrophy. </w:t>
      </w:r>
      <w:r w:rsidRPr="00600FC7">
        <w:rPr>
          <w:rFonts w:ascii="Times New Roman" w:eastAsia="Times New Roman" w:hAnsi="Times New Roman" w:cs="Times New Roman"/>
          <w:i/>
          <w:iCs/>
          <w:sz w:val="24"/>
          <w:szCs w:val="24"/>
        </w:rPr>
        <w:t>American Journal of Alzheimer’s Disease and Other Dementias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29</w:t>
      </w:r>
      <w:r w:rsidRPr="00600FC7">
        <w:rPr>
          <w:rFonts w:ascii="Times New Roman" w:eastAsia="Times New Roman" w:hAnsi="Times New Roman" w:cs="Times New Roman"/>
          <w:sz w:val="24"/>
          <w:szCs w:val="24"/>
        </w:rPr>
        <w:t xml:space="preserve">(2), 138–141. </w:t>
      </w:r>
      <w:hyperlink r:id="rId2311" w:history="1">
        <w:r w:rsidRPr="00600FC7">
          <w:rPr>
            <w:rFonts w:ascii="Times New Roman" w:eastAsia="Times New Roman" w:hAnsi="Times New Roman" w:cs="Times New Roman"/>
            <w:color w:val="0000FF"/>
            <w:sz w:val="24"/>
            <w:szCs w:val="24"/>
            <w:u w:val="single"/>
          </w:rPr>
          <w:t>https://doi.org/10.1177/1533317513506779</w:t>
        </w:r>
      </w:hyperlink>
    </w:p>
    <w:p w14:paraId="152670A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G., Helm, J., Iucha, C., Zahn-Waxler, C., Hastings, P. D., &amp; Klimes-Dougan, B. (2016). Are executive functioning deficits concurrently and predictively associated with depressive and anxiety symptoms in adolescents? </w:t>
      </w:r>
      <w:r w:rsidRPr="00600FC7">
        <w:rPr>
          <w:rFonts w:ascii="Times New Roman" w:eastAsia="Times New Roman" w:hAnsi="Times New Roman" w:cs="Times New Roman"/>
          <w:i/>
          <w:iCs/>
          <w:sz w:val="24"/>
          <w:szCs w:val="24"/>
        </w:rPr>
        <w:t>Journal of Clinical Child and Adolescent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45</w:t>
      </w:r>
      <w:r w:rsidRPr="00600FC7">
        <w:rPr>
          <w:rFonts w:ascii="Times New Roman" w:eastAsia="Times New Roman" w:hAnsi="Times New Roman" w:cs="Times New Roman"/>
          <w:sz w:val="24"/>
          <w:szCs w:val="24"/>
        </w:rPr>
        <w:t xml:space="preserve">(1), 44–58. </w:t>
      </w:r>
      <w:hyperlink r:id="rId2312" w:history="1">
        <w:r w:rsidRPr="00600FC7">
          <w:rPr>
            <w:rFonts w:ascii="Times New Roman" w:eastAsia="Times New Roman" w:hAnsi="Times New Roman" w:cs="Times New Roman"/>
            <w:color w:val="0000FF"/>
            <w:sz w:val="24"/>
            <w:szCs w:val="24"/>
            <w:u w:val="single"/>
          </w:rPr>
          <w:t>https://doi.org/10.1080/15374416.2015.1041592</w:t>
        </w:r>
      </w:hyperlink>
    </w:p>
    <w:p w14:paraId="7EBCFD7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W., Zhang, T., Ni, T., Zhu, L., Liu, D., Chen, G., Lin, H., Chen, T., &amp; Guan, F. (2019). Relationship of common variants in CHRNA5 with early-onset schizophrenia and executive function.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206</w:t>
      </w:r>
      <w:r w:rsidRPr="00600FC7">
        <w:rPr>
          <w:rFonts w:ascii="Times New Roman" w:eastAsia="Times New Roman" w:hAnsi="Times New Roman" w:cs="Times New Roman"/>
          <w:sz w:val="24"/>
          <w:szCs w:val="24"/>
        </w:rPr>
        <w:t xml:space="preserve">, 407–412. </w:t>
      </w:r>
      <w:hyperlink r:id="rId2313" w:history="1">
        <w:r w:rsidRPr="00600FC7">
          <w:rPr>
            <w:rFonts w:ascii="Times New Roman" w:eastAsia="Times New Roman" w:hAnsi="Times New Roman" w:cs="Times New Roman"/>
            <w:color w:val="0000FF"/>
            <w:sz w:val="24"/>
            <w:szCs w:val="24"/>
            <w:u w:val="single"/>
          </w:rPr>
          <w:t>https://doi.org/10.1016/j.schres.2018.10.011</w:t>
        </w:r>
      </w:hyperlink>
    </w:p>
    <w:p w14:paraId="335420DC"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X., Yuan, Y. B., Yu, X., Zhao, J. P., Wang, C. Y., Lu, Z., Yang, F. D., Dong, H., Wu, Y. F., Ungvari, G. S., Xiang, Y. T., &amp; Chiu, H. F. K. (2014). The Chinese First-Episode Schizophrenia Trial: Background and study design. </w:t>
      </w:r>
      <w:r w:rsidRPr="00600FC7">
        <w:rPr>
          <w:rFonts w:ascii="Times New Roman" w:eastAsia="Times New Roman" w:hAnsi="Times New Roman" w:cs="Times New Roman"/>
          <w:i/>
          <w:iCs/>
          <w:sz w:val="24"/>
          <w:szCs w:val="24"/>
        </w:rPr>
        <w:t>East Asian Archives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(4), 169–173.</w:t>
      </w:r>
    </w:p>
    <w:p w14:paraId="3D7D69F8"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 Y., Zhu, R., Li, R., Wang, H., Wang, X., Zhang, G., Wang, P., Sun, X., Takuya, K., Gao, Q., &amp; Shen, Y. (2001). Tracking exploratory eye movement of schizophrenics and their first-rank relatives. [Tracking exploratory eye movement of schizophrenics and their first-rank relatives.].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15</w:t>
      </w:r>
      <w:r w:rsidRPr="00600FC7">
        <w:rPr>
          <w:rFonts w:ascii="Times New Roman" w:eastAsia="Times New Roman" w:hAnsi="Times New Roman" w:cs="Times New Roman"/>
          <w:sz w:val="24"/>
          <w:szCs w:val="24"/>
        </w:rPr>
        <w:t>(5), 344–346.</w:t>
      </w:r>
    </w:p>
    <w:p w14:paraId="0F5724F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Hanć, T., Dmitrzak-Węglarz, M., Borkowska, A., Wolańczyk, T., Pytlińska, N., Rybakowski, F., Słopień, R., &amp; Słopień, A. (2018). Overweight in boys with ADHD is related to candidate genes and not to deficits in cognitive functions. </w:t>
      </w:r>
      <w:r w:rsidRPr="00600FC7">
        <w:rPr>
          <w:rFonts w:ascii="Times New Roman" w:eastAsia="Times New Roman" w:hAnsi="Times New Roman" w:cs="Times New Roman"/>
          <w:i/>
          <w:iCs/>
          <w:sz w:val="24"/>
          <w:szCs w:val="24"/>
        </w:rPr>
        <w:t>Journal of Attention Disorders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(12), 1158–1172. </w:t>
      </w:r>
      <w:hyperlink r:id="rId2314" w:history="1">
        <w:r w:rsidRPr="00600FC7">
          <w:rPr>
            <w:rFonts w:ascii="Times New Roman" w:eastAsia="Times New Roman" w:hAnsi="Times New Roman" w:cs="Times New Roman"/>
            <w:color w:val="0000FF"/>
            <w:sz w:val="24"/>
            <w:szCs w:val="24"/>
            <w:u w:val="single"/>
          </w:rPr>
          <w:t>https://doi.org/10.1177/1087054716676364</w:t>
        </w:r>
      </w:hyperlink>
    </w:p>
    <w:p w14:paraId="1D31D15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Hang, R.-H., Liu, X.-M., Wang, R.-Q., &amp; Wu, Y.-G. (2010). Effects of sensory integration training on the behaviors, intelligence and executive function in children with ADHD. [Effects of sensory integration training on the behaviors, intelligence and executive function in children with ADHD.]. </w:t>
      </w:r>
      <w:r w:rsidRPr="00600FC7">
        <w:rPr>
          <w:rFonts w:ascii="Times New Roman" w:eastAsia="Times New Roman" w:hAnsi="Times New Roman" w:cs="Times New Roman"/>
          <w:i/>
          <w:iCs/>
          <w:sz w:val="24"/>
          <w:szCs w:val="24"/>
        </w:rPr>
        <w:t>Chinese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24</w:t>
      </w:r>
      <w:r w:rsidRPr="00600FC7">
        <w:rPr>
          <w:rFonts w:ascii="Times New Roman" w:eastAsia="Times New Roman" w:hAnsi="Times New Roman" w:cs="Times New Roman"/>
          <w:sz w:val="24"/>
          <w:szCs w:val="24"/>
        </w:rPr>
        <w:t>(3), 219–223.</w:t>
      </w:r>
    </w:p>
    <w:p w14:paraId="1B39375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Brook, M., Demery, J. A., &amp; Cunningham, M. D. (2016). Domestic homicide: Neuropsychological profiles of murderers who kill family members and intimate partners. </w:t>
      </w:r>
      <w:r w:rsidRPr="00600FC7">
        <w:rPr>
          <w:rFonts w:ascii="Times New Roman" w:eastAsia="Times New Roman" w:hAnsi="Times New Roman" w:cs="Times New Roman"/>
          <w:i/>
          <w:iCs/>
          <w:sz w:val="24"/>
          <w:szCs w:val="24"/>
        </w:rPr>
        <w:t>Journal of Forensic Sciences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(Suppl 1), S163–S170. </w:t>
      </w:r>
      <w:hyperlink r:id="rId2315" w:history="1">
        <w:r w:rsidRPr="00600FC7">
          <w:rPr>
            <w:rFonts w:ascii="Times New Roman" w:eastAsia="Times New Roman" w:hAnsi="Times New Roman" w:cs="Times New Roman"/>
            <w:color w:val="0000FF"/>
            <w:sz w:val="24"/>
            <w:szCs w:val="24"/>
            <w:u w:val="single"/>
          </w:rPr>
          <w:t>https://doi.org/10.1111/1556-4029.12908</w:t>
        </w:r>
      </w:hyperlink>
    </w:p>
    <w:p w14:paraId="7D0C258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Brook, M., Stratton, J., Jensen, M., &amp; Rubin, L. H. (2013). Neuropsychological and intellectual differences between types of murderers: Affective/impulsive versus predatory/instrumental (premeditated) homicide. </w:t>
      </w:r>
      <w:r w:rsidRPr="00600FC7">
        <w:rPr>
          <w:rFonts w:ascii="Times New Roman" w:eastAsia="Times New Roman" w:hAnsi="Times New Roman" w:cs="Times New Roman"/>
          <w:i/>
          <w:iCs/>
          <w:sz w:val="24"/>
          <w:szCs w:val="24"/>
        </w:rPr>
        <w:t>Criminal Justice and Behavior</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40</w:t>
      </w:r>
      <w:r w:rsidRPr="00600FC7">
        <w:rPr>
          <w:rFonts w:ascii="Times New Roman" w:eastAsia="Times New Roman" w:hAnsi="Times New Roman" w:cs="Times New Roman"/>
          <w:sz w:val="24"/>
          <w:szCs w:val="24"/>
        </w:rPr>
        <w:t xml:space="preserve">(8), 933–948. </w:t>
      </w:r>
      <w:hyperlink r:id="rId2316" w:history="1">
        <w:r w:rsidRPr="00600FC7">
          <w:rPr>
            <w:rFonts w:ascii="Times New Roman" w:eastAsia="Times New Roman" w:hAnsi="Times New Roman" w:cs="Times New Roman"/>
            <w:color w:val="0000FF"/>
            <w:sz w:val="24"/>
            <w:szCs w:val="24"/>
            <w:u w:val="single"/>
          </w:rPr>
          <w:t>https://doi.org/10.1177/0093854813479779</w:t>
        </w:r>
      </w:hyperlink>
    </w:p>
    <w:p w14:paraId="56084C43"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Coda, J. J., Cobia, D., &amp; Rubin, L. H. (2012). Psychotic domestic murder: Neuropsychological differences between homicidal and nonhomicidal schizophrenic men. </w:t>
      </w:r>
      <w:r w:rsidRPr="00600FC7">
        <w:rPr>
          <w:rFonts w:ascii="Times New Roman" w:eastAsia="Times New Roman" w:hAnsi="Times New Roman" w:cs="Times New Roman"/>
          <w:i/>
          <w:iCs/>
          <w:sz w:val="24"/>
          <w:szCs w:val="24"/>
        </w:rPr>
        <w:t>Journal of Family Violence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(2), 105–113. </w:t>
      </w:r>
      <w:hyperlink r:id="rId2317" w:history="1">
        <w:r w:rsidRPr="00600FC7">
          <w:rPr>
            <w:rFonts w:ascii="Times New Roman" w:eastAsia="Times New Roman" w:hAnsi="Times New Roman" w:cs="Times New Roman"/>
            <w:color w:val="0000FF"/>
            <w:sz w:val="24"/>
            <w:szCs w:val="24"/>
            <w:u w:val="single"/>
          </w:rPr>
          <w:t>https://doi.org/10.1007/s10896-011-9410-4</w:t>
        </w:r>
      </w:hyperlink>
    </w:p>
    <w:p w14:paraId="1762846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Demery, J. A., Kuczen, C., &amp; Kelly, J. P. (2005). Effect of traumatic subarachnoid haemorrhage on neuropsychological profiles and vocational outcome following moderate or severe traumatic brain injury. </w:t>
      </w:r>
      <w:r w:rsidRPr="00600FC7">
        <w:rPr>
          <w:rFonts w:ascii="Times New Roman" w:eastAsia="Times New Roman" w:hAnsi="Times New Roman" w:cs="Times New Roman"/>
          <w:i/>
          <w:iCs/>
          <w:sz w:val="24"/>
          <w:szCs w:val="24"/>
        </w:rPr>
        <w:t>Brain Injury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19</w:t>
      </w:r>
      <w:r w:rsidRPr="00600FC7">
        <w:rPr>
          <w:rFonts w:ascii="Times New Roman" w:eastAsia="Times New Roman" w:hAnsi="Times New Roman" w:cs="Times New Roman"/>
          <w:sz w:val="24"/>
          <w:szCs w:val="24"/>
        </w:rPr>
        <w:t xml:space="preserve">(4), 257–262. </w:t>
      </w:r>
      <w:hyperlink r:id="rId2318" w:history="1">
        <w:r w:rsidRPr="00600FC7">
          <w:rPr>
            <w:rFonts w:ascii="Times New Roman" w:eastAsia="Times New Roman" w:hAnsi="Times New Roman" w:cs="Times New Roman"/>
            <w:color w:val="0000FF"/>
            <w:sz w:val="24"/>
            <w:szCs w:val="24"/>
            <w:u w:val="single"/>
          </w:rPr>
          <w:t>https://doi.org/10.1080/02699050400004955</w:t>
        </w:r>
      </w:hyperlink>
    </w:p>
    <w:p w14:paraId="397D2F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&amp; Mayfield, M. W. (2005). Murder in Chicago: Insanity and Tragedy. In </w:t>
      </w:r>
      <w:r w:rsidRPr="00600FC7">
        <w:rPr>
          <w:rFonts w:ascii="Times New Roman" w:eastAsia="Times New Roman" w:hAnsi="Times New Roman" w:cs="Times New Roman"/>
          <w:i/>
          <w:iCs/>
          <w:sz w:val="24"/>
          <w:szCs w:val="24"/>
        </w:rPr>
        <w:t>Forensic neuropsychology casebook.</w:t>
      </w:r>
      <w:r w:rsidRPr="00600FC7">
        <w:rPr>
          <w:rFonts w:ascii="Times New Roman" w:eastAsia="Times New Roman" w:hAnsi="Times New Roman" w:cs="Times New Roman"/>
          <w:sz w:val="24"/>
          <w:szCs w:val="24"/>
        </w:rPr>
        <w:t xml:space="preserve"> (pp. 268–284). The Guilford Press.</w:t>
      </w:r>
    </w:p>
    <w:p w14:paraId="128650D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Hanlon, R. E., Rubin, L. H., Jensen, M., &amp; Daoust, S. (2010). Neuropsychological features of indigent murder defendants and death row inmates in relation to homicidal aspects of their crimes. </w:t>
      </w:r>
      <w:r w:rsidRPr="00600FC7">
        <w:rPr>
          <w:rFonts w:ascii="Times New Roman" w:eastAsia="Times New Roman" w:hAnsi="Times New Roman" w:cs="Times New Roman"/>
          <w:i/>
          <w:iCs/>
          <w:sz w:val="24"/>
          <w:szCs w:val="24"/>
        </w:rPr>
        <w:t>Archives of Clinical Neuropsychology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(1), 13–13. </w:t>
      </w:r>
      <w:hyperlink r:id="rId2319" w:history="1">
        <w:r w:rsidRPr="00600FC7">
          <w:rPr>
            <w:rFonts w:ascii="Times New Roman" w:eastAsia="Times New Roman" w:hAnsi="Times New Roman" w:cs="Times New Roman"/>
            <w:color w:val="0000FF"/>
            <w:sz w:val="24"/>
            <w:szCs w:val="24"/>
            <w:u w:val="single"/>
          </w:rPr>
          <w:t>https://doi.org/10.1093/arclin/acp099</w:t>
        </w:r>
      </w:hyperlink>
    </w:p>
    <w:p w14:paraId="45D937DA"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Hanna-Pladdy, B., &amp; Gajewski, B. (2012). Recent and past musical activity predicts cognitive aging variability: Direct comparison with general lifestyle activities. </w:t>
      </w:r>
      <w:r w:rsidRPr="00600FC7">
        <w:rPr>
          <w:rFonts w:ascii="Times New Roman" w:eastAsia="Times New Roman" w:hAnsi="Times New Roman" w:cs="Times New Roman"/>
          <w:i/>
          <w:iCs/>
          <w:sz w:val="24"/>
          <w:szCs w:val="24"/>
        </w:rPr>
        <w:t>Frontiers in Human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w:t>
      </w:r>
      <w:r w:rsidRPr="00600FC7">
        <w:rPr>
          <w:rFonts w:ascii="Times New Roman" w:eastAsia="Times New Roman" w:hAnsi="Times New Roman" w:cs="Times New Roman"/>
          <w:sz w:val="24"/>
          <w:szCs w:val="24"/>
        </w:rPr>
        <w:t xml:space="preserve">. </w:t>
      </w:r>
      <w:hyperlink r:id="rId2320" w:history="1">
        <w:r w:rsidRPr="00600FC7">
          <w:rPr>
            <w:rFonts w:ascii="Times New Roman" w:eastAsia="Times New Roman" w:hAnsi="Times New Roman" w:cs="Times New Roman"/>
            <w:color w:val="0000FF"/>
            <w:sz w:val="24"/>
            <w:szCs w:val="24"/>
            <w:u w:val="single"/>
          </w:rPr>
          <w:t>https://doi.org/10.3389/fnhum.2012.00198</w:t>
        </w:r>
      </w:hyperlink>
    </w:p>
    <w:p w14:paraId="394092E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Hänninen, T., Hallikainen, M., Koivisto, K., Partanen, K., Laakso, M. P., Riekkinen, P. J., &amp; Soininen, H. (1997). Decline of frontal lobe functions in subjects with age-associated memory impairment. </w:t>
      </w:r>
      <w:r w:rsidRPr="00600FC7">
        <w:rPr>
          <w:rFonts w:ascii="Times New Roman" w:eastAsia="Times New Roman" w:hAnsi="Times New Roman" w:cs="Times New Roman"/>
          <w:i/>
          <w:iCs/>
          <w:sz w:val="24"/>
          <w:szCs w:val="24"/>
        </w:rPr>
        <w:t>Neurology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48</w:t>
      </w:r>
      <w:r w:rsidRPr="00600FC7">
        <w:rPr>
          <w:rFonts w:ascii="Times New Roman" w:eastAsia="Times New Roman" w:hAnsi="Times New Roman" w:cs="Times New Roman"/>
          <w:sz w:val="24"/>
          <w:szCs w:val="24"/>
        </w:rPr>
        <w:t xml:space="preserve">(1), 148–153. </w:t>
      </w:r>
      <w:hyperlink r:id="rId2321" w:history="1">
        <w:r w:rsidRPr="00600FC7">
          <w:rPr>
            <w:rFonts w:ascii="Times New Roman" w:eastAsia="Times New Roman" w:hAnsi="Times New Roman" w:cs="Times New Roman"/>
            <w:color w:val="0000FF"/>
            <w:sz w:val="24"/>
            <w:szCs w:val="24"/>
            <w:u w:val="single"/>
          </w:rPr>
          <w:t>https://doi.org/10.1212/WNL.48.1.148</w:t>
        </w:r>
      </w:hyperlink>
    </w:p>
    <w:p w14:paraId="7D510A5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Hansen, J. P., Østergaard, B., Nordentoft, M., &amp; Hounsgaard, L. (2012). Cognitive adaptation training combined with assertive community treatment: A randomised longitudinal trial. </w:t>
      </w:r>
      <w:r w:rsidRPr="00600FC7">
        <w:rPr>
          <w:rFonts w:ascii="Times New Roman" w:eastAsia="Times New Roman" w:hAnsi="Times New Roman" w:cs="Times New Roman"/>
          <w:i/>
          <w:iCs/>
          <w:sz w:val="24"/>
          <w:szCs w:val="24"/>
        </w:rPr>
        <w:t>Schizophrenia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135</w:t>
      </w:r>
      <w:r w:rsidRPr="00600FC7">
        <w:rPr>
          <w:rFonts w:ascii="Times New Roman" w:eastAsia="Times New Roman" w:hAnsi="Times New Roman" w:cs="Times New Roman"/>
          <w:sz w:val="24"/>
          <w:szCs w:val="24"/>
        </w:rPr>
        <w:t xml:space="preserve">(1–3), 105–111. </w:t>
      </w:r>
      <w:hyperlink r:id="rId2322" w:history="1">
        <w:r w:rsidRPr="00600FC7">
          <w:rPr>
            <w:rFonts w:ascii="Times New Roman" w:eastAsia="Times New Roman" w:hAnsi="Times New Roman" w:cs="Times New Roman"/>
            <w:color w:val="0000FF"/>
            <w:sz w:val="24"/>
            <w:szCs w:val="24"/>
            <w:u w:val="single"/>
          </w:rPr>
          <w:t>https://doi.org/10.1016/j.schres.2011.12.014</w:t>
        </w:r>
      </w:hyperlink>
    </w:p>
    <w:p w14:paraId="2906F56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Hansen, J. P., Østergaard, B., Nordentoft, M., &amp; Hounsgaard, L. (2013). The feasibility of cognitive adaptation training for outpatients with schizophrenia in integrated treatment. </w:t>
      </w:r>
      <w:r w:rsidRPr="00600FC7">
        <w:rPr>
          <w:rFonts w:ascii="Times New Roman" w:eastAsia="Times New Roman" w:hAnsi="Times New Roman" w:cs="Times New Roman"/>
          <w:i/>
          <w:iCs/>
          <w:sz w:val="24"/>
          <w:szCs w:val="24"/>
        </w:rPr>
        <w:t>Community Mental Health Journal</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49</w:t>
      </w:r>
      <w:r w:rsidRPr="00600FC7">
        <w:rPr>
          <w:rFonts w:ascii="Times New Roman" w:eastAsia="Times New Roman" w:hAnsi="Times New Roman" w:cs="Times New Roman"/>
          <w:sz w:val="24"/>
          <w:szCs w:val="24"/>
        </w:rPr>
        <w:t xml:space="preserve">(6), 630–635. </w:t>
      </w:r>
      <w:hyperlink r:id="rId2323" w:history="1">
        <w:r w:rsidRPr="00600FC7">
          <w:rPr>
            <w:rFonts w:ascii="Times New Roman" w:eastAsia="Times New Roman" w:hAnsi="Times New Roman" w:cs="Times New Roman"/>
            <w:color w:val="0000FF"/>
            <w:sz w:val="24"/>
            <w:szCs w:val="24"/>
            <w:u w:val="single"/>
          </w:rPr>
          <w:t>https://doi.org/10.1007/s10597-012-9557-3</w:t>
        </w:r>
      </w:hyperlink>
    </w:p>
    <w:p w14:paraId="0B00B6F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Hansen, M., De Amicis, N. K., Anderson, N. D., Binns, M. A., Clark, A. J., &amp; Dawson, D. R. (2018). Cognitive contributors to Multiple Errands Test (MET) performance. </w:t>
      </w:r>
      <w:r w:rsidRPr="00600FC7">
        <w:rPr>
          <w:rFonts w:ascii="Times New Roman" w:eastAsia="Times New Roman" w:hAnsi="Times New Roman" w:cs="Times New Roman"/>
          <w:i/>
          <w:iCs/>
          <w:sz w:val="24"/>
          <w:szCs w:val="24"/>
        </w:rPr>
        <w:t>American Journal of Occupational 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72</w:t>
      </w:r>
      <w:r w:rsidRPr="00600FC7">
        <w:rPr>
          <w:rFonts w:ascii="Times New Roman" w:eastAsia="Times New Roman" w:hAnsi="Times New Roman" w:cs="Times New Roman"/>
          <w:sz w:val="24"/>
          <w:szCs w:val="24"/>
        </w:rPr>
        <w:t xml:space="preserve">(6), No Pagination Specified-No Pagination Specified. </w:t>
      </w:r>
      <w:hyperlink r:id="rId2324" w:history="1">
        <w:r w:rsidRPr="00600FC7">
          <w:rPr>
            <w:rFonts w:ascii="Times New Roman" w:eastAsia="Times New Roman" w:hAnsi="Times New Roman" w:cs="Times New Roman"/>
            <w:color w:val="0000FF"/>
            <w:sz w:val="24"/>
            <w:szCs w:val="24"/>
            <w:u w:val="single"/>
          </w:rPr>
          <w:t>https://doi.org/10.5014/ajot.2018.025049</w:t>
        </w:r>
      </w:hyperlink>
    </w:p>
    <w:p w14:paraId="357755E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Hanuszkiewicz, I., Cechnicki, A., &amp; Kalisz, A. (2007). Związek deficytów poznawczych z przebiegiem schizofrenii. Badania wstępne uczestników programu rehabilitacyjnego. [Correlation between cognitive defects and the course of schizophrenia. Initial study of a rehabilitation programme participants.]. </w:t>
      </w:r>
      <w:r w:rsidRPr="00600FC7">
        <w:rPr>
          <w:rFonts w:ascii="Times New Roman" w:eastAsia="Times New Roman" w:hAnsi="Times New Roman" w:cs="Times New Roman"/>
          <w:i/>
          <w:iCs/>
          <w:sz w:val="24"/>
          <w:szCs w:val="24"/>
        </w:rPr>
        <w:t>Psychiatria Polska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41</w:t>
      </w:r>
      <w:r w:rsidRPr="00600FC7">
        <w:rPr>
          <w:rFonts w:ascii="Times New Roman" w:eastAsia="Times New Roman" w:hAnsi="Times New Roman" w:cs="Times New Roman"/>
          <w:sz w:val="24"/>
          <w:szCs w:val="24"/>
        </w:rPr>
        <w:t>(4), 539–550.</w:t>
      </w:r>
    </w:p>
    <w:p w14:paraId="3E275FA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Hanuszkiewicz, I., Cechnicki, A., &amp; Kalisz, A. (2009). The relationship between cognitive deficits and the course of schizophrenia. Preliminary research on participants of a rehabilitation programme. </w:t>
      </w:r>
      <w:r w:rsidRPr="00600FC7">
        <w:rPr>
          <w:rFonts w:ascii="Times New Roman" w:eastAsia="Times New Roman" w:hAnsi="Times New Roman" w:cs="Times New Roman"/>
          <w:i/>
          <w:iCs/>
          <w:sz w:val="24"/>
          <w:szCs w:val="24"/>
        </w:rPr>
        <w:t>Archives of Psychiatry and Psychotherapy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11</w:t>
      </w:r>
      <w:r w:rsidRPr="00600FC7">
        <w:rPr>
          <w:rFonts w:ascii="Times New Roman" w:eastAsia="Times New Roman" w:hAnsi="Times New Roman" w:cs="Times New Roman"/>
          <w:sz w:val="24"/>
          <w:szCs w:val="24"/>
        </w:rPr>
        <w:t>(3), 27–34.</w:t>
      </w:r>
    </w:p>
    <w:p w14:paraId="078D5041"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Happé, F., Booth, R., Charlton, R., &amp; Hughes, C. (2006). Executive function deficits in autism spectrum disorders and attention-deficit/hyperactivity disorder: Examining profiles across domains and ages. </w:t>
      </w:r>
      <w:r w:rsidRPr="00600FC7">
        <w:rPr>
          <w:rFonts w:ascii="Times New Roman" w:eastAsia="Times New Roman" w:hAnsi="Times New Roman" w:cs="Times New Roman"/>
          <w:i/>
          <w:iCs/>
          <w:sz w:val="24"/>
          <w:szCs w:val="24"/>
        </w:rPr>
        <w:t>Brain and Cognition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61</w:t>
      </w:r>
      <w:r w:rsidRPr="00600FC7">
        <w:rPr>
          <w:rFonts w:ascii="Times New Roman" w:eastAsia="Times New Roman" w:hAnsi="Times New Roman" w:cs="Times New Roman"/>
          <w:sz w:val="24"/>
          <w:szCs w:val="24"/>
        </w:rPr>
        <w:t xml:space="preserve">(1), 25–39. </w:t>
      </w:r>
      <w:hyperlink r:id="rId2325" w:history="1">
        <w:r w:rsidRPr="00600FC7">
          <w:rPr>
            <w:rFonts w:ascii="Times New Roman" w:eastAsia="Times New Roman" w:hAnsi="Times New Roman" w:cs="Times New Roman"/>
            <w:color w:val="0000FF"/>
            <w:sz w:val="24"/>
            <w:szCs w:val="24"/>
            <w:u w:val="single"/>
          </w:rPr>
          <w:t>https://doi.org/10.1016/j.bandc.2006.03.004</w:t>
        </w:r>
      </w:hyperlink>
    </w:p>
    <w:p w14:paraId="534C8522"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Harciarek, M., &amp; Cosentino, S. (2013). Language, executive function and social cognition in the diagnosis of frontotemporal dementia syndromes. </w:t>
      </w:r>
      <w:r w:rsidRPr="00600FC7">
        <w:rPr>
          <w:rFonts w:ascii="Times New Roman" w:eastAsia="Times New Roman" w:hAnsi="Times New Roman" w:cs="Times New Roman"/>
          <w:i/>
          <w:iCs/>
          <w:sz w:val="24"/>
          <w:szCs w:val="24"/>
        </w:rPr>
        <w:t>International Review of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178–196. </w:t>
      </w:r>
      <w:hyperlink r:id="rId2326" w:history="1">
        <w:r w:rsidRPr="00600FC7">
          <w:rPr>
            <w:rFonts w:ascii="Times New Roman" w:eastAsia="Times New Roman" w:hAnsi="Times New Roman" w:cs="Times New Roman"/>
            <w:color w:val="0000FF"/>
            <w:sz w:val="24"/>
            <w:szCs w:val="24"/>
            <w:u w:val="single"/>
          </w:rPr>
          <w:t>https://doi.org/10.3109/09540261.2013.763340</w:t>
        </w:r>
      </w:hyperlink>
    </w:p>
    <w:p w14:paraId="399C5A0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Hare, T. A., Tottenham, N., Davidson, M. C., Glover, G. H., &amp; Casey, B. J. (2005). Contributions of Amygdala and Striatal Activity in Emotion Regulation. </w:t>
      </w:r>
      <w:r w:rsidRPr="00600FC7">
        <w:rPr>
          <w:rFonts w:ascii="Times New Roman" w:eastAsia="Times New Roman" w:hAnsi="Times New Roman" w:cs="Times New Roman"/>
          <w:i/>
          <w:iCs/>
          <w:sz w:val="24"/>
          <w:szCs w:val="24"/>
        </w:rPr>
        <w:t>Biological Psychiatry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57</w:t>
      </w:r>
      <w:r w:rsidRPr="00600FC7">
        <w:rPr>
          <w:rFonts w:ascii="Times New Roman" w:eastAsia="Times New Roman" w:hAnsi="Times New Roman" w:cs="Times New Roman"/>
          <w:sz w:val="24"/>
          <w:szCs w:val="24"/>
        </w:rPr>
        <w:t xml:space="preserve">(6), 624–632. </w:t>
      </w:r>
      <w:hyperlink r:id="rId2327" w:history="1">
        <w:r w:rsidRPr="00600FC7">
          <w:rPr>
            <w:rFonts w:ascii="Times New Roman" w:eastAsia="Times New Roman" w:hAnsi="Times New Roman" w:cs="Times New Roman"/>
            <w:color w:val="0000FF"/>
            <w:sz w:val="24"/>
            <w:szCs w:val="24"/>
            <w:u w:val="single"/>
          </w:rPr>
          <w:t>https://doi.org/10.1016/j.biopsych.2004.12.038</w:t>
        </w:r>
      </w:hyperlink>
    </w:p>
    <w:p w14:paraId="3E37390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Hargrave, D. D., Nupp, J. M., &amp; Erickson, R. J. (2012). Two brief measures of executive function in the prediction of driving ability after acquired brain injury. </w:t>
      </w:r>
      <w:r w:rsidRPr="00600FC7">
        <w:rPr>
          <w:rFonts w:ascii="Times New Roman" w:eastAsia="Times New Roman" w:hAnsi="Times New Roman" w:cs="Times New Roman"/>
          <w:i/>
          <w:iCs/>
          <w:sz w:val="24"/>
          <w:szCs w:val="24"/>
        </w:rPr>
        <w:t>Neuropsychological Rehabilitation</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22</w:t>
      </w:r>
      <w:r w:rsidRPr="00600FC7">
        <w:rPr>
          <w:rFonts w:ascii="Times New Roman" w:eastAsia="Times New Roman" w:hAnsi="Times New Roman" w:cs="Times New Roman"/>
          <w:sz w:val="24"/>
          <w:szCs w:val="24"/>
        </w:rPr>
        <w:t xml:space="preserve">(4), 489–500. </w:t>
      </w:r>
      <w:hyperlink r:id="rId2328" w:history="1">
        <w:r w:rsidRPr="00600FC7">
          <w:rPr>
            <w:rFonts w:ascii="Times New Roman" w:eastAsia="Times New Roman" w:hAnsi="Times New Roman" w:cs="Times New Roman"/>
            <w:color w:val="0000FF"/>
            <w:sz w:val="24"/>
            <w:szCs w:val="24"/>
            <w:u w:val="single"/>
          </w:rPr>
          <w:t>https://doi.org/10.1080/09602011.2012.662333</w:t>
        </w:r>
      </w:hyperlink>
    </w:p>
    <w:p w14:paraId="6793A3FF"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Hariri, A. R. (2015). </w:t>
      </w:r>
      <w:r w:rsidRPr="00600FC7">
        <w:rPr>
          <w:rFonts w:ascii="Times New Roman" w:eastAsia="Times New Roman" w:hAnsi="Times New Roman" w:cs="Times New Roman"/>
          <w:i/>
          <w:iCs/>
          <w:sz w:val="24"/>
          <w:szCs w:val="24"/>
        </w:rPr>
        <w:t>Looking inside the disordered brain: An introduction to the functional neuroanatomy of psychopathology.</w:t>
      </w:r>
      <w:r w:rsidRPr="00600FC7">
        <w:rPr>
          <w:rFonts w:ascii="Times New Roman" w:eastAsia="Times New Roman" w:hAnsi="Times New Roman" w:cs="Times New Roman"/>
          <w:sz w:val="24"/>
          <w:szCs w:val="24"/>
        </w:rPr>
        <w:t xml:space="preserve"> (pp. xiv, 220). Sinauer Associates.</w:t>
      </w:r>
    </w:p>
    <w:p w14:paraId="26076167"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Harkin, B., &amp; Kessler, K. (2011). The role of working memory in compulsive checking and OCD: A systematic classification of 58 experimental findings. </w:t>
      </w:r>
      <w:r w:rsidRPr="00600FC7">
        <w:rPr>
          <w:rFonts w:ascii="Times New Roman" w:eastAsia="Times New Roman" w:hAnsi="Times New Roman" w:cs="Times New Roman"/>
          <w:i/>
          <w:iCs/>
          <w:sz w:val="24"/>
          <w:szCs w:val="24"/>
        </w:rPr>
        <w:t>Clinical Psychology Review</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31</w:t>
      </w:r>
      <w:r w:rsidRPr="00600FC7">
        <w:rPr>
          <w:rFonts w:ascii="Times New Roman" w:eastAsia="Times New Roman" w:hAnsi="Times New Roman" w:cs="Times New Roman"/>
          <w:sz w:val="24"/>
          <w:szCs w:val="24"/>
        </w:rPr>
        <w:t xml:space="preserve">(6), 1004–1021. </w:t>
      </w:r>
      <w:hyperlink r:id="rId2329" w:history="1">
        <w:r w:rsidRPr="00600FC7">
          <w:rPr>
            <w:rFonts w:ascii="Times New Roman" w:eastAsia="Times New Roman" w:hAnsi="Times New Roman" w:cs="Times New Roman"/>
            <w:color w:val="0000FF"/>
            <w:sz w:val="24"/>
            <w:szCs w:val="24"/>
            <w:u w:val="single"/>
          </w:rPr>
          <w:t>https://doi.org/10.1016/j.cpr.2011.06.004</w:t>
        </w:r>
      </w:hyperlink>
    </w:p>
    <w:p w14:paraId="04307840"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Harkin, B., Rutherford, H., &amp; Kessler, K. (2011). Impaired executive functioning in subclinical compulsive checking with ecologically valid stimuli in a working memory task. </w:t>
      </w:r>
      <w:r w:rsidRPr="00600FC7">
        <w:rPr>
          <w:rFonts w:ascii="Times New Roman" w:eastAsia="Times New Roman" w:hAnsi="Times New Roman" w:cs="Times New Roman"/>
          <w:i/>
          <w:iCs/>
          <w:sz w:val="24"/>
          <w:szCs w:val="24"/>
        </w:rPr>
        <w:t>Frontiers in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w:t>
      </w:r>
      <w:r w:rsidRPr="00600FC7">
        <w:rPr>
          <w:rFonts w:ascii="Times New Roman" w:eastAsia="Times New Roman" w:hAnsi="Times New Roman" w:cs="Times New Roman"/>
          <w:sz w:val="24"/>
          <w:szCs w:val="24"/>
        </w:rPr>
        <w:t xml:space="preserve">. </w:t>
      </w:r>
      <w:hyperlink r:id="rId2330" w:history="1">
        <w:r w:rsidRPr="00600FC7">
          <w:rPr>
            <w:rFonts w:ascii="Times New Roman" w:eastAsia="Times New Roman" w:hAnsi="Times New Roman" w:cs="Times New Roman"/>
            <w:color w:val="0000FF"/>
            <w:sz w:val="24"/>
            <w:szCs w:val="24"/>
            <w:u w:val="single"/>
          </w:rPr>
          <w:t>https://doi.org/10.3389/fpsyg.2011.00078</w:t>
        </w:r>
      </w:hyperlink>
    </w:p>
    <w:p w14:paraId="5281DBD5"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Harland, R. E. (2002). </w:t>
      </w:r>
      <w:r w:rsidRPr="00600FC7">
        <w:rPr>
          <w:rFonts w:ascii="Times New Roman" w:eastAsia="Times New Roman" w:hAnsi="Times New Roman" w:cs="Times New Roman"/>
          <w:i/>
          <w:iCs/>
          <w:sz w:val="24"/>
          <w:szCs w:val="24"/>
        </w:rPr>
        <w:t>The relative contributions of executive functions and psychiatric symptomatology to psychosocial competence in schizophrenia.</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63</w:t>
      </w:r>
      <w:r w:rsidRPr="00600FC7">
        <w:rPr>
          <w:rFonts w:ascii="Times New Roman" w:eastAsia="Times New Roman" w:hAnsi="Times New Roman" w:cs="Times New Roman"/>
          <w:sz w:val="24"/>
          <w:szCs w:val="24"/>
        </w:rPr>
        <w:t>(1-B), 558–558.</w:t>
      </w:r>
    </w:p>
    <w:p w14:paraId="5ADB572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Harley, R. M. (2001). </w:t>
      </w:r>
      <w:r w:rsidRPr="00600FC7">
        <w:rPr>
          <w:rFonts w:ascii="Times New Roman" w:eastAsia="Times New Roman" w:hAnsi="Times New Roman" w:cs="Times New Roman"/>
          <w:i/>
          <w:iCs/>
          <w:sz w:val="24"/>
          <w:szCs w:val="24"/>
        </w:rPr>
        <w:t>A twin study of schizotypy: The Psychosis-Proneness scales and their correlates.</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62</w:t>
      </w:r>
      <w:r w:rsidRPr="00600FC7">
        <w:rPr>
          <w:rFonts w:ascii="Times New Roman" w:eastAsia="Times New Roman" w:hAnsi="Times New Roman" w:cs="Times New Roman"/>
          <w:sz w:val="24"/>
          <w:szCs w:val="24"/>
        </w:rPr>
        <w:t>(1-B), 549–549.</w:t>
      </w:r>
    </w:p>
    <w:p w14:paraId="2BAAD4F9"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Harley, T. A., Jessiman, L. J., &amp; MacAndrew, S. B. G. (2011). Decline and fall: A biological, developmental, and psycholinguistic account of deliberative language processes and ageing.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25</w:t>
      </w:r>
      <w:r w:rsidRPr="00600FC7">
        <w:rPr>
          <w:rFonts w:ascii="Times New Roman" w:eastAsia="Times New Roman" w:hAnsi="Times New Roman" w:cs="Times New Roman"/>
          <w:sz w:val="24"/>
          <w:szCs w:val="24"/>
        </w:rPr>
        <w:t xml:space="preserve">(2), 123–153. </w:t>
      </w:r>
      <w:hyperlink r:id="rId2331" w:history="1">
        <w:r w:rsidRPr="00600FC7">
          <w:rPr>
            <w:rFonts w:ascii="Times New Roman" w:eastAsia="Times New Roman" w:hAnsi="Times New Roman" w:cs="Times New Roman"/>
            <w:color w:val="0000FF"/>
            <w:sz w:val="24"/>
            <w:szCs w:val="24"/>
            <w:u w:val="single"/>
          </w:rPr>
          <w:t>https://doi.org/10.1080/02687031003798262</w:t>
        </w:r>
      </w:hyperlink>
    </w:p>
    <w:p w14:paraId="53B9269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Harley, T. A., Oliver, T. M., Jessiman, L. J., &amp; MacAndrew, S. B. G. (2013). Ageing makes us dyslexic. </w:t>
      </w:r>
      <w:r w:rsidRPr="00600FC7">
        <w:rPr>
          <w:rFonts w:ascii="Times New Roman" w:eastAsia="Times New Roman" w:hAnsi="Times New Roman" w:cs="Times New Roman"/>
          <w:i/>
          <w:iCs/>
          <w:sz w:val="24"/>
          <w:szCs w:val="24"/>
        </w:rPr>
        <w:t>Aphasiology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(4), 490–505. </w:t>
      </w:r>
      <w:hyperlink r:id="rId2332" w:history="1">
        <w:r w:rsidRPr="00600FC7">
          <w:rPr>
            <w:rFonts w:ascii="Times New Roman" w:eastAsia="Times New Roman" w:hAnsi="Times New Roman" w:cs="Times New Roman"/>
            <w:color w:val="0000FF"/>
            <w:sz w:val="24"/>
            <w:szCs w:val="24"/>
            <w:u w:val="single"/>
          </w:rPr>
          <w:t>https://doi.org/10.1080/02687038.2013.775564</w:t>
        </w:r>
      </w:hyperlink>
    </w:p>
    <w:p w14:paraId="0109D89B"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Harms, M. P., Wang, L., Mamah, D., Barch, D. M., Thompson, P. A., &amp; Csernansky, J. G. (2007). Thalamic shape abnormalities in individuals with schizophrenia and their nonpsychotic siblings. </w:t>
      </w:r>
      <w:r w:rsidRPr="00600FC7">
        <w:rPr>
          <w:rFonts w:ascii="Times New Roman" w:eastAsia="Times New Roman" w:hAnsi="Times New Roman" w:cs="Times New Roman"/>
          <w:i/>
          <w:iCs/>
          <w:sz w:val="24"/>
          <w:szCs w:val="24"/>
        </w:rPr>
        <w:t>The Journal of Neuroscience</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27</w:t>
      </w:r>
      <w:r w:rsidRPr="00600FC7">
        <w:rPr>
          <w:rFonts w:ascii="Times New Roman" w:eastAsia="Times New Roman" w:hAnsi="Times New Roman" w:cs="Times New Roman"/>
          <w:sz w:val="24"/>
          <w:szCs w:val="24"/>
        </w:rPr>
        <w:t xml:space="preserve">(50), 13835–13842. </w:t>
      </w:r>
      <w:hyperlink r:id="rId2333" w:history="1">
        <w:r w:rsidRPr="00600FC7">
          <w:rPr>
            <w:rFonts w:ascii="Times New Roman" w:eastAsia="Times New Roman" w:hAnsi="Times New Roman" w:cs="Times New Roman"/>
            <w:color w:val="0000FF"/>
            <w:sz w:val="24"/>
            <w:szCs w:val="24"/>
            <w:u w:val="single"/>
          </w:rPr>
          <w:t>https://doi.org/10.1523/JNEUROSCI.2571-07.2007</w:t>
        </w:r>
      </w:hyperlink>
    </w:p>
    <w:p w14:paraId="71C767CE"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Harnett, M. A., Godfrey, H. P. D., &amp; Knight, R. G. (2004). Regression equations for predicting premorbid performance on executive test measures by persons with traumatic brain injuries. </w:t>
      </w:r>
      <w:r w:rsidRPr="00600FC7">
        <w:rPr>
          <w:rFonts w:ascii="Times New Roman" w:eastAsia="Times New Roman" w:hAnsi="Times New Roman" w:cs="Times New Roman"/>
          <w:i/>
          <w:iCs/>
          <w:sz w:val="24"/>
          <w:szCs w:val="24"/>
        </w:rPr>
        <w:t>New Zealand Journal of Psychology</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33</w:t>
      </w:r>
      <w:r w:rsidRPr="00600FC7">
        <w:rPr>
          <w:rFonts w:ascii="Times New Roman" w:eastAsia="Times New Roman" w:hAnsi="Times New Roman" w:cs="Times New Roman"/>
          <w:sz w:val="24"/>
          <w:szCs w:val="24"/>
        </w:rPr>
        <w:t>(2), 78–87.</w:t>
      </w:r>
    </w:p>
    <w:p w14:paraId="09E63E34" w14:textId="77777777" w:rsidR="00600FC7" w:rsidRPr="00600FC7" w:rsidRDefault="00600FC7" w:rsidP="003B57E5">
      <w:pPr>
        <w:spacing w:before="240" w:after="0" w:line="240" w:lineRule="auto"/>
        <w:ind w:left="450" w:hanging="450"/>
        <w:rPr>
          <w:rFonts w:ascii="Times New Roman" w:eastAsia="Times New Roman" w:hAnsi="Times New Roman" w:cs="Times New Roman"/>
          <w:sz w:val="24"/>
          <w:szCs w:val="24"/>
        </w:rPr>
      </w:pPr>
      <w:r w:rsidRPr="00600FC7">
        <w:rPr>
          <w:rFonts w:ascii="Times New Roman" w:eastAsia="Times New Roman" w:hAnsi="Times New Roman" w:cs="Times New Roman"/>
          <w:sz w:val="24"/>
          <w:szCs w:val="24"/>
        </w:rPr>
        <w:t xml:space="preserve">Harney, M. B., &amp; Bardone-Cone, A. M. (2014). The influence of body dissatisfaction on set shifting ability. </w:t>
      </w:r>
      <w:r w:rsidRPr="00600FC7">
        <w:rPr>
          <w:rFonts w:ascii="Times New Roman" w:eastAsia="Times New Roman" w:hAnsi="Times New Roman" w:cs="Times New Roman"/>
          <w:i/>
          <w:iCs/>
          <w:sz w:val="24"/>
          <w:szCs w:val="24"/>
        </w:rPr>
        <w:t>Cognitive Therapy and Research</w:t>
      </w:r>
      <w:r w:rsidRPr="00600FC7">
        <w:rPr>
          <w:rFonts w:ascii="Times New Roman" w:eastAsia="Times New Roman" w:hAnsi="Times New Roman" w:cs="Times New Roman"/>
          <w:sz w:val="24"/>
          <w:szCs w:val="24"/>
        </w:rPr>
        <w:t xml:space="preserve">, </w:t>
      </w:r>
      <w:r w:rsidRPr="00600FC7">
        <w:rPr>
          <w:rFonts w:ascii="Times New Roman" w:eastAsia="Times New Roman" w:hAnsi="Times New Roman" w:cs="Times New Roman"/>
          <w:i/>
          <w:iCs/>
          <w:sz w:val="24"/>
          <w:szCs w:val="24"/>
        </w:rPr>
        <w:t>38</w:t>
      </w:r>
      <w:r w:rsidRPr="00600FC7">
        <w:rPr>
          <w:rFonts w:ascii="Times New Roman" w:eastAsia="Times New Roman" w:hAnsi="Times New Roman" w:cs="Times New Roman"/>
          <w:sz w:val="24"/>
          <w:szCs w:val="24"/>
        </w:rPr>
        <w:t xml:space="preserve">(4), 439–448. </w:t>
      </w:r>
      <w:hyperlink r:id="rId2334" w:history="1">
        <w:r w:rsidRPr="00600FC7">
          <w:rPr>
            <w:rFonts w:ascii="Times New Roman" w:eastAsia="Times New Roman" w:hAnsi="Times New Roman" w:cs="Times New Roman"/>
            <w:color w:val="0000FF"/>
            <w:sz w:val="24"/>
            <w:szCs w:val="24"/>
            <w:u w:val="single"/>
          </w:rPr>
          <w:t>https://doi.org/10.1007/s10608-014-9612-1</w:t>
        </w:r>
      </w:hyperlink>
    </w:p>
    <w:p w14:paraId="336743F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Harper, J. A., Brodrick, B., Van Enkevort, E., &amp; McAdams, C. J. (2017). Neuropsychological and cognitive correlates of recovery in anorexia nervosa. </w:t>
      </w:r>
      <w:r w:rsidRPr="004C4852">
        <w:rPr>
          <w:rFonts w:ascii="Times New Roman" w:eastAsia="Times New Roman" w:hAnsi="Times New Roman" w:cs="Times New Roman"/>
          <w:i/>
          <w:iCs/>
          <w:sz w:val="24"/>
          <w:szCs w:val="24"/>
        </w:rPr>
        <w:t>European Eating Disorders Review</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(6), 491–500. </w:t>
      </w:r>
      <w:hyperlink r:id="rId2335" w:history="1">
        <w:r w:rsidRPr="004C4852">
          <w:rPr>
            <w:rFonts w:ascii="Times New Roman" w:eastAsia="Times New Roman" w:hAnsi="Times New Roman" w:cs="Times New Roman"/>
            <w:color w:val="0000FF"/>
            <w:sz w:val="24"/>
            <w:szCs w:val="24"/>
            <w:u w:val="single"/>
          </w:rPr>
          <w:t>https://doi.org/10.1002/erv.2539</w:t>
        </w:r>
      </w:hyperlink>
    </w:p>
    <w:p w14:paraId="1BA741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Harrell, P. T., Mancha, B. E. E., Martins, S. S., Mauro, P. M., Kuo, J. H., Scherer, M., Bolla, K. I., &amp; Latimer, W. W. (2014). Cognitive performance profiles by latent classes of drug use. </w:t>
      </w:r>
      <w:r w:rsidRPr="004C4852">
        <w:rPr>
          <w:rFonts w:ascii="Times New Roman" w:eastAsia="Times New Roman" w:hAnsi="Times New Roman" w:cs="Times New Roman"/>
          <w:i/>
          <w:iCs/>
          <w:sz w:val="24"/>
          <w:szCs w:val="24"/>
        </w:rPr>
        <w:t>The American Journal on Addictions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(5), 431–439. </w:t>
      </w:r>
      <w:hyperlink r:id="rId2336" w:history="1">
        <w:r w:rsidRPr="004C4852">
          <w:rPr>
            <w:rFonts w:ascii="Times New Roman" w:eastAsia="Times New Roman" w:hAnsi="Times New Roman" w:cs="Times New Roman"/>
            <w:color w:val="0000FF"/>
            <w:sz w:val="24"/>
            <w:szCs w:val="24"/>
            <w:u w:val="single"/>
          </w:rPr>
          <w:t>https://doi.org/10.1111/j.1521-0391.2014.12124.x</w:t>
        </w:r>
      </w:hyperlink>
    </w:p>
    <w:p w14:paraId="7A75C1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Harrington, M. B., Kraft, M., Grande, L. J., &amp; Rudolph, J. L. (2011). Independent association between preoperative cognitive status and discharge location after cardiac surgery. </w:t>
      </w:r>
      <w:r w:rsidRPr="004C4852">
        <w:rPr>
          <w:rFonts w:ascii="Times New Roman" w:eastAsia="Times New Roman" w:hAnsi="Times New Roman" w:cs="Times New Roman"/>
          <w:i/>
          <w:iCs/>
          <w:sz w:val="24"/>
          <w:szCs w:val="24"/>
        </w:rPr>
        <w:t>American Journal of Critical Care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(2), 129–137. </w:t>
      </w:r>
      <w:hyperlink r:id="rId2337" w:history="1">
        <w:r w:rsidRPr="004C4852">
          <w:rPr>
            <w:rFonts w:ascii="Times New Roman" w:eastAsia="Times New Roman" w:hAnsi="Times New Roman" w:cs="Times New Roman"/>
            <w:color w:val="0000FF"/>
            <w:sz w:val="24"/>
            <w:szCs w:val="24"/>
            <w:u w:val="single"/>
          </w:rPr>
          <w:t>https://doi.org/10.4037/ajcc2011275</w:t>
        </w:r>
      </w:hyperlink>
    </w:p>
    <w:p w14:paraId="1283475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E. (2011). Relation of apathy to dementia in patients with Parkinson’s disease. </w:t>
      </w:r>
      <w:r w:rsidRPr="004C4852">
        <w:rPr>
          <w:rFonts w:ascii="Times New Roman" w:eastAsia="Times New Roman" w:hAnsi="Times New Roman" w:cs="Times New Roman"/>
          <w:i/>
          <w:iCs/>
          <w:sz w:val="24"/>
          <w:szCs w:val="24"/>
        </w:rPr>
        <w:t>Dementia, Vols 1–3: History and Incidence, Science and Biology, Treatments and Developments.</w:t>
      </w:r>
      <w:r w:rsidRPr="004C4852">
        <w:rPr>
          <w:rFonts w:ascii="Times New Roman" w:eastAsia="Times New Roman" w:hAnsi="Times New Roman" w:cs="Times New Roman"/>
          <w:sz w:val="24"/>
          <w:szCs w:val="24"/>
        </w:rPr>
        <w:t>, 221–236.</w:t>
      </w:r>
    </w:p>
    <w:p w14:paraId="5155542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E. L., Schuerholz, L. J., Singer, H. S., Reader, M. J., Brown, J. E., Cox, C., Mohr, J., Chase, G. A., &amp; Denckla, M. B. (1995). Executive function in children with Tourette syndrome and/or attention deficit hyperactivity disorder.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 xml:space="preserve">(6), 511–516. </w:t>
      </w:r>
      <w:hyperlink r:id="rId2338" w:history="1">
        <w:r w:rsidRPr="004C4852">
          <w:rPr>
            <w:rFonts w:ascii="Times New Roman" w:eastAsia="Times New Roman" w:hAnsi="Times New Roman" w:cs="Times New Roman"/>
            <w:color w:val="0000FF"/>
            <w:sz w:val="24"/>
            <w:szCs w:val="24"/>
            <w:u w:val="single"/>
          </w:rPr>
          <w:t>https://doi.org/10.1017/S1355617700000631</w:t>
        </w:r>
      </w:hyperlink>
    </w:p>
    <w:p w14:paraId="518B7F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E., McNamara, P., &amp; Durso, R. (2009). Dopamine and alterations of the sense of self and personality in Parkinson’s disease. </w:t>
      </w:r>
      <w:r w:rsidRPr="004C4852">
        <w:rPr>
          <w:rFonts w:ascii="Times New Roman" w:eastAsia="Times New Roman" w:hAnsi="Times New Roman" w:cs="Times New Roman"/>
          <w:i/>
          <w:iCs/>
          <w:sz w:val="24"/>
          <w:szCs w:val="24"/>
        </w:rPr>
        <w:t>Directions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(4), 307–316.</w:t>
      </w:r>
    </w:p>
    <w:p w14:paraId="6F94A4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M., Blanco, E. A., &amp; Rempfer, M. (2021). Cognition and daily life functioning among persons with serious mental illness: A cluster analytic examination of heterogeneity on the Test of Grocery Shopping Skills.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(1), 57–68. </w:t>
      </w:r>
      <w:hyperlink r:id="rId2339" w:history="1">
        <w:r w:rsidRPr="004C4852">
          <w:rPr>
            <w:rFonts w:ascii="Times New Roman" w:eastAsia="Times New Roman" w:hAnsi="Times New Roman" w:cs="Times New Roman"/>
            <w:color w:val="0000FF"/>
            <w:sz w:val="24"/>
            <w:szCs w:val="24"/>
            <w:u w:val="single"/>
          </w:rPr>
          <w:t>https://doi.org/10.1037/neu0000700</w:t>
        </w:r>
      </w:hyperlink>
    </w:p>
    <w:p w14:paraId="3478B4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M., &amp; Westermann, G. (2015). </w:t>
      </w:r>
      <w:r w:rsidRPr="004C4852">
        <w:rPr>
          <w:rFonts w:ascii="Times New Roman" w:eastAsia="Times New Roman" w:hAnsi="Times New Roman" w:cs="Times New Roman"/>
          <w:i/>
          <w:iCs/>
          <w:sz w:val="24"/>
          <w:szCs w:val="24"/>
        </w:rPr>
        <w:t>A student’s guide to developmental psychology.</w:t>
      </w:r>
      <w:r w:rsidRPr="004C4852">
        <w:rPr>
          <w:rFonts w:ascii="Times New Roman" w:eastAsia="Times New Roman" w:hAnsi="Times New Roman" w:cs="Times New Roman"/>
          <w:sz w:val="24"/>
          <w:szCs w:val="24"/>
        </w:rPr>
        <w:t xml:space="preserve"> (pp. xi, 320). Psychology Press.</w:t>
      </w:r>
    </w:p>
    <w:p w14:paraId="15AB83F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 S. T., &amp; Picchioni, M. M. (2013). A review of the role of empathy in violence risk in mental disorders. </w:t>
      </w:r>
      <w:r w:rsidRPr="004C4852">
        <w:rPr>
          <w:rFonts w:ascii="Times New Roman" w:eastAsia="Times New Roman" w:hAnsi="Times New Roman" w:cs="Times New Roman"/>
          <w:i/>
          <w:iCs/>
          <w:sz w:val="24"/>
          <w:szCs w:val="24"/>
        </w:rPr>
        <w:t>Aggression and Violent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335–342. </w:t>
      </w:r>
      <w:hyperlink r:id="rId2340" w:history="1">
        <w:r w:rsidRPr="004C4852">
          <w:rPr>
            <w:rFonts w:ascii="Times New Roman" w:eastAsia="Times New Roman" w:hAnsi="Times New Roman" w:cs="Times New Roman"/>
            <w:color w:val="0000FF"/>
            <w:sz w:val="24"/>
            <w:szCs w:val="24"/>
            <w:u w:val="single"/>
          </w:rPr>
          <w:t>https://doi.org/10.1016/j.avb.2012.12.003</w:t>
        </w:r>
      </w:hyperlink>
    </w:p>
    <w:p w14:paraId="6FF349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A., Tchanturia, K., Naumann, U., &amp; Treasure, J. (2012). Social emotional functioning and cognitive styles in eating disorders. </w:t>
      </w:r>
      <w:r w:rsidRPr="004C4852">
        <w:rPr>
          <w:rFonts w:ascii="Times New Roman" w:eastAsia="Times New Roman" w:hAnsi="Times New Roman" w:cs="Times New Roman"/>
          <w:i/>
          <w:iCs/>
          <w:sz w:val="24"/>
          <w:szCs w:val="24"/>
        </w:rPr>
        <w:t>British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(3), 261–279. </w:t>
      </w:r>
      <w:hyperlink r:id="rId2341" w:history="1">
        <w:r w:rsidRPr="004C4852">
          <w:rPr>
            <w:rFonts w:ascii="Times New Roman" w:eastAsia="Times New Roman" w:hAnsi="Times New Roman" w:cs="Times New Roman"/>
            <w:color w:val="0000FF"/>
            <w:sz w:val="24"/>
            <w:szCs w:val="24"/>
            <w:u w:val="single"/>
          </w:rPr>
          <w:t>https://doi.org/10.1111/j.2044-8260.2011.02026.x</w:t>
        </w:r>
      </w:hyperlink>
    </w:p>
    <w:p w14:paraId="635B07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J. E. (2016). Measuring the mind: Detecting cognitive deficits and measuring cognitive change in patients with depression. In </w:t>
      </w:r>
      <w:r w:rsidRPr="004C4852">
        <w:rPr>
          <w:rFonts w:ascii="Times New Roman" w:eastAsia="Times New Roman" w:hAnsi="Times New Roman" w:cs="Times New Roman"/>
          <w:i/>
          <w:iCs/>
          <w:sz w:val="24"/>
          <w:szCs w:val="24"/>
        </w:rPr>
        <w:t>Cognitive impairment in major depressive disorder: Clinical relevance, biological substrates, and treatment opportunities.</w:t>
      </w:r>
      <w:r w:rsidRPr="004C4852">
        <w:rPr>
          <w:rFonts w:ascii="Times New Roman" w:eastAsia="Times New Roman" w:hAnsi="Times New Roman" w:cs="Times New Roman"/>
          <w:sz w:val="24"/>
          <w:szCs w:val="24"/>
        </w:rPr>
        <w:t xml:space="preserve"> (pp. 229–241). Cambridge University Press. </w:t>
      </w:r>
      <w:hyperlink r:id="rId2342" w:history="1">
        <w:r w:rsidRPr="004C4852">
          <w:rPr>
            <w:rFonts w:ascii="Times New Roman" w:eastAsia="Times New Roman" w:hAnsi="Times New Roman" w:cs="Times New Roman"/>
            <w:color w:val="0000FF"/>
            <w:sz w:val="24"/>
            <w:szCs w:val="24"/>
            <w:u w:val="single"/>
          </w:rPr>
          <w:t>https://doi.org/10.1017/CBO9781139860567.017</w:t>
        </w:r>
      </w:hyperlink>
    </w:p>
    <w:p w14:paraId="3629D4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J. E. (2019). The assessment of cognitive dysfunction in major depressive disorder. </w:t>
      </w:r>
      <w:r w:rsidRPr="004C4852">
        <w:rPr>
          <w:rFonts w:ascii="Times New Roman" w:eastAsia="Times New Roman" w:hAnsi="Times New Roman" w:cs="Times New Roman"/>
          <w:i/>
          <w:iCs/>
          <w:sz w:val="24"/>
          <w:szCs w:val="24"/>
        </w:rPr>
        <w:t>Cognitive Dimensions of Major Depressive Disorder.</w:t>
      </w:r>
      <w:r w:rsidRPr="004C4852">
        <w:rPr>
          <w:rFonts w:ascii="Times New Roman" w:eastAsia="Times New Roman" w:hAnsi="Times New Roman" w:cs="Times New Roman"/>
          <w:sz w:val="24"/>
          <w:szCs w:val="24"/>
        </w:rPr>
        <w:t xml:space="preserve">, 59–71. </w:t>
      </w:r>
      <w:hyperlink r:id="rId2343" w:history="1">
        <w:r w:rsidRPr="004C4852">
          <w:rPr>
            <w:rFonts w:ascii="Times New Roman" w:eastAsia="Times New Roman" w:hAnsi="Times New Roman" w:cs="Times New Roman"/>
            <w:color w:val="0000FF"/>
            <w:sz w:val="24"/>
            <w:szCs w:val="24"/>
            <w:u w:val="single"/>
          </w:rPr>
          <w:t>https://doi.org/10.1093/med/9780198810940.003.0006</w:t>
        </w:r>
      </w:hyperlink>
    </w:p>
    <w:p w14:paraId="7DD322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J. E., Wilkinson, D., Jones, R., Mann, B., Goswami, S., &amp; Sharma, T. (2005). Sensitivity of the Cogtest System to Scopolamine Challenge: Relevance to Studies of Cognitive Enhancement in Schizophrenia. </w:t>
      </w:r>
      <w:r w:rsidRPr="004C4852">
        <w:rPr>
          <w:rFonts w:ascii="Times New Roman" w:eastAsia="Times New Roman" w:hAnsi="Times New Roman" w:cs="Times New Roman"/>
          <w:i/>
          <w:iCs/>
          <w:sz w:val="24"/>
          <w:szCs w:val="24"/>
        </w:rPr>
        <w:t>Clinical Neuropsychiatry: Journal of Treatment Evaluation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w:t>
      </w:r>
      <w:r w:rsidRPr="004C4852">
        <w:rPr>
          <w:rFonts w:ascii="Times New Roman" w:eastAsia="Times New Roman" w:hAnsi="Times New Roman" w:cs="Times New Roman"/>
          <w:sz w:val="24"/>
          <w:szCs w:val="24"/>
        </w:rPr>
        <w:t>(2), 123–127.</w:t>
      </w:r>
    </w:p>
    <w:p w14:paraId="27EA67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P. J., &amp; Tunbridge, E. M. (2008). Catechol-O-methyltransferase (COMT): A gene contributing to sex differences in brain function, and to sexual dimorphism in the predisposition to psychiatric disorders.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(13), 3037–3045. </w:t>
      </w:r>
      <w:hyperlink r:id="rId2344" w:history="1">
        <w:r w:rsidRPr="004C4852">
          <w:rPr>
            <w:rFonts w:ascii="Times New Roman" w:eastAsia="Times New Roman" w:hAnsi="Times New Roman" w:cs="Times New Roman"/>
            <w:color w:val="0000FF"/>
            <w:sz w:val="24"/>
            <w:szCs w:val="24"/>
            <w:u w:val="single"/>
          </w:rPr>
          <w:t>https://doi.org/10.1038/sj.npp.1301543</w:t>
        </w:r>
      </w:hyperlink>
    </w:p>
    <w:p w14:paraId="669E6F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Harrison, T. E. (1998). </w:t>
      </w:r>
      <w:r w:rsidRPr="004C4852">
        <w:rPr>
          <w:rFonts w:ascii="Times New Roman" w:eastAsia="Times New Roman" w:hAnsi="Times New Roman" w:cs="Times New Roman"/>
          <w:i/>
          <w:iCs/>
          <w:sz w:val="24"/>
          <w:szCs w:val="24"/>
        </w:rPr>
        <w:t>Comparison of attentional processes between the two subtypes of attention deficit hyperactivity disorder.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(3-A), 723–723.</w:t>
      </w:r>
    </w:p>
    <w:p w14:paraId="6726B8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Harsányi, A., Csigó, K., Rajkai, C., Demeter, G., Németh, A., &amp; Racsmány, M. (2014). Two types of impairments in OCD: Obsessions, as problems of thought suppression; compulsions, as behavioral-executive impairment.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215</w:t>
      </w:r>
      <w:r w:rsidRPr="004C4852">
        <w:rPr>
          <w:rFonts w:ascii="Times New Roman" w:eastAsia="Times New Roman" w:hAnsi="Times New Roman" w:cs="Times New Roman"/>
          <w:sz w:val="24"/>
          <w:szCs w:val="24"/>
        </w:rPr>
        <w:t xml:space="preserve">(3), 651–658. </w:t>
      </w:r>
      <w:hyperlink r:id="rId2345" w:history="1">
        <w:r w:rsidRPr="004C4852">
          <w:rPr>
            <w:rFonts w:ascii="Times New Roman" w:eastAsia="Times New Roman" w:hAnsi="Times New Roman" w:cs="Times New Roman"/>
            <w:color w:val="0000FF"/>
            <w:sz w:val="24"/>
            <w:szCs w:val="24"/>
            <w:u w:val="single"/>
          </w:rPr>
          <w:t>https://doi.org/10.1016/j.psychres.2013.11.014</w:t>
        </w:r>
      </w:hyperlink>
    </w:p>
    <w:p w14:paraId="538EDC9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Harsányi, A., Csigó, K., Rajkai, C., Németh, A., Demeter, G., Pajkossy, P., &amp; Racsmány, M. (2014). The probability of association between response inhibition and compulsive symptoms of obsessive-compulsive disorder: Response to Abramovitch and Abramowitz.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217</w:t>
      </w:r>
      <w:r w:rsidRPr="004C4852">
        <w:rPr>
          <w:rFonts w:ascii="Times New Roman" w:eastAsia="Times New Roman" w:hAnsi="Times New Roman" w:cs="Times New Roman"/>
          <w:sz w:val="24"/>
          <w:szCs w:val="24"/>
        </w:rPr>
        <w:t xml:space="preserve">(3), 255–256. </w:t>
      </w:r>
      <w:hyperlink r:id="rId2346" w:history="1">
        <w:r w:rsidRPr="004C4852">
          <w:rPr>
            <w:rFonts w:ascii="Times New Roman" w:eastAsia="Times New Roman" w:hAnsi="Times New Roman" w:cs="Times New Roman"/>
            <w:color w:val="0000FF"/>
            <w:sz w:val="24"/>
            <w:szCs w:val="24"/>
            <w:u w:val="single"/>
          </w:rPr>
          <w:t>https://doi.org/10.1016/j.psychres.2014.03.027</w:t>
        </w:r>
      </w:hyperlink>
    </w:p>
    <w:p w14:paraId="2AB057D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C. C. (2001). </w:t>
      </w:r>
      <w:r w:rsidRPr="004C4852">
        <w:rPr>
          <w:rFonts w:ascii="Times New Roman" w:eastAsia="Times New Roman" w:hAnsi="Times New Roman" w:cs="Times New Roman"/>
          <w:i/>
          <w:iCs/>
          <w:sz w:val="24"/>
          <w:szCs w:val="24"/>
        </w:rPr>
        <w:t>Measurement of right frontal lobe functioning and Attention-Deficit/Hyperactivity Disorder.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(2-B), 1080–1080.</w:t>
      </w:r>
    </w:p>
    <w:p w14:paraId="4A263FD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C. L., Marvin, C. B., Silver, R., &amp; Smith, E. E. (2012). Is cognitive functioning impaired in methamphetamine users? A critical review.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(3), 586–608. </w:t>
      </w:r>
      <w:hyperlink r:id="rId2347" w:history="1">
        <w:r w:rsidRPr="004C4852">
          <w:rPr>
            <w:rFonts w:ascii="Times New Roman" w:eastAsia="Times New Roman" w:hAnsi="Times New Roman" w:cs="Times New Roman"/>
            <w:color w:val="0000FF"/>
            <w:sz w:val="24"/>
            <w:szCs w:val="24"/>
            <w:u w:val="single"/>
          </w:rPr>
          <w:t>https://doi.org/10.1038/npp.2011.276</w:t>
        </w:r>
      </w:hyperlink>
    </w:p>
    <w:p w14:paraId="386C4D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R. P., &amp; Bean, M. K. (2011). Executive function, intellectual decline and daily living skills.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(1), 64–85. </w:t>
      </w:r>
      <w:hyperlink r:id="rId2348" w:history="1">
        <w:r w:rsidRPr="004C4852">
          <w:rPr>
            <w:rFonts w:ascii="Times New Roman" w:eastAsia="Times New Roman" w:hAnsi="Times New Roman" w:cs="Times New Roman"/>
            <w:color w:val="0000FF"/>
            <w:sz w:val="24"/>
            <w:szCs w:val="24"/>
            <w:u w:val="single"/>
          </w:rPr>
          <w:t>https://doi.org/10.1080/13825585.2010.510637</w:t>
        </w:r>
      </w:hyperlink>
    </w:p>
    <w:p w14:paraId="2DF4C0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 T., Whyte, J., Kim, J., &amp; Vaccaro, M. (2005). Executive Function and Self-awareness of “Real-world” Behavior and Attention Deficits Following Traumatic Brain Injury. </w:t>
      </w:r>
      <w:r w:rsidRPr="004C4852">
        <w:rPr>
          <w:rFonts w:ascii="Times New Roman" w:eastAsia="Times New Roman" w:hAnsi="Times New Roman" w:cs="Times New Roman"/>
          <w:i/>
          <w:iCs/>
          <w:sz w:val="24"/>
          <w:szCs w:val="24"/>
        </w:rPr>
        <w:t>The Journal of Head Trauma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(4), 333–347. </w:t>
      </w:r>
      <w:hyperlink r:id="rId2349" w:history="1">
        <w:r w:rsidRPr="004C4852">
          <w:rPr>
            <w:rFonts w:ascii="Times New Roman" w:eastAsia="Times New Roman" w:hAnsi="Times New Roman" w:cs="Times New Roman"/>
            <w:color w:val="0000FF"/>
            <w:sz w:val="24"/>
            <w:szCs w:val="24"/>
            <w:u w:val="single"/>
          </w:rPr>
          <w:t>https://doi.org/10.1097/00001199-200507000-00005</w:t>
        </w:r>
      </w:hyperlink>
    </w:p>
    <w:p w14:paraId="217985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Hartberg, C. B., Lawyer, G., Nyman, H., Jönsson, E. G., Haukvik, U. K., Saetre, P., Bjerkan, P. S., Andreassen, O. A., Hall, H., &amp; Agartz, I. (2010). Investigating relationships between cortical thickness and cognitive performance in patients with schizophrenia and healthy adults. </w:t>
      </w:r>
      <w:r w:rsidRPr="004C4852">
        <w:rPr>
          <w:rFonts w:ascii="Times New Roman" w:eastAsia="Times New Roman" w:hAnsi="Times New Roman" w:cs="Times New Roman"/>
          <w:i/>
          <w:iCs/>
          <w:sz w:val="24"/>
          <w:szCs w:val="24"/>
        </w:rPr>
        <w:t>Psychiatry Research: Neuroimaging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182</w:t>
      </w:r>
      <w:r w:rsidRPr="004C4852">
        <w:rPr>
          <w:rFonts w:ascii="Times New Roman" w:eastAsia="Times New Roman" w:hAnsi="Times New Roman" w:cs="Times New Roman"/>
          <w:sz w:val="24"/>
          <w:szCs w:val="24"/>
        </w:rPr>
        <w:t xml:space="preserve">(2), 123–133. </w:t>
      </w:r>
      <w:hyperlink r:id="rId2350" w:history="1">
        <w:r w:rsidRPr="004C4852">
          <w:rPr>
            <w:rFonts w:ascii="Times New Roman" w:eastAsia="Times New Roman" w:hAnsi="Times New Roman" w:cs="Times New Roman"/>
            <w:color w:val="0000FF"/>
            <w:sz w:val="24"/>
            <w:szCs w:val="24"/>
            <w:u w:val="single"/>
          </w:rPr>
          <w:t>https://doi.org/10.1016/j.pscychresns.2010.01.001</w:t>
        </w:r>
      </w:hyperlink>
    </w:p>
    <w:p w14:paraId="4DF3F5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 M., Bolton, E., &amp; Fehnel, S. E. (2001). Accounting for age differences on the Wisconsin Card Sorting Test: Decreased working memory, not inflexibility.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(3), 385–399. </w:t>
      </w:r>
      <w:hyperlink r:id="rId2351" w:history="1">
        <w:r w:rsidRPr="004C4852">
          <w:rPr>
            <w:rFonts w:ascii="Times New Roman" w:eastAsia="Times New Roman" w:hAnsi="Times New Roman" w:cs="Times New Roman"/>
            <w:color w:val="0000FF"/>
            <w:sz w:val="24"/>
            <w:szCs w:val="24"/>
            <w:u w:val="single"/>
          </w:rPr>
          <w:t>https://doi.org/10.1037/0882-7974.16.3.385</w:t>
        </w:r>
      </w:hyperlink>
    </w:p>
    <w:p w14:paraId="230B41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 M., Steketee, M. C., Silva, S., Lanning, K., &amp; Andersson, C. (2003). Wisconsin Card Sorting Test performance in schizophrenia: The role of working memory.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(3), 201–217. </w:t>
      </w:r>
      <w:hyperlink r:id="rId2352" w:history="1">
        <w:r w:rsidRPr="004C4852">
          <w:rPr>
            <w:rFonts w:ascii="Times New Roman" w:eastAsia="Times New Roman" w:hAnsi="Times New Roman" w:cs="Times New Roman"/>
            <w:color w:val="0000FF"/>
            <w:sz w:val="24"/>
            <w:szCs w:val="24"/>
            <w:u w:val="single"/>
          </w:rPr>
          <w:t>https://doi.org/10.1016/S0920-9964(02)00353-5</w:t>
        </w:r>
      </w:hyperlink>
    </w:p>
    <w:p w14:paraId="01D3AA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Hartmann, P., Kruuse, N. H. S., &amp; Nyborg, H. (2007). Testing the cross-racial generality of Spearman’s hypothesis in two samples. </w:t>
      </w:r>
      <w:r w:rsidRPr="004C4852">
        <w:rPr>
          <w:rFonts w:ascii="Times New Roman" w:eastAsia="Times New Roman" w:hAnsi="Times New Roman" w:cs="Times New Roman"/>
          <w:i/>
          <w:iCs/>
          <w:sz w:val="24"/>
          <w:szCs w:val="24"/>
        </w:rPr>
        <w:t>Intelligence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(1), 47–57. </w:t>
      </w:r>
      <w:hyperlink r:id="rId2353" w:history="1">
        <w:r w:rsidRPr="004C4852">
          <w:rPr>
            <w:rFonts w:ascii="Times New Roman" w:eastAsia="Times New Roman" w:hAnsi="Times New Roman" w:cs="Times New Roman"/>
            <w:color w:val="0000FF"/>
            <w:sz w:val="24"/>
            <w:szCs w:val="24"/>
            <w:u w:val="single"/>
          </w:rPr>
          <w:t>https://doi.org/10.1016/j.intell.2006.04.004</w:t>
        </w:r>
      </w:hyperlink>
    </w:p>
    <w:p w14:paraId="30538B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Hartmann, P., Reuter, M., &amp; Nyborg, H. (2006). The relationship between date of birth and individual differences in personality and general intelligence: A large-scale study. </w:t>
      </w:r>
      <w:r w:rsidRPr="004C4852">
        <w:rPr>
          <w:rFonts w:ascii="Times New Roman" w:eastAsia="Times New Roman" w:hAnsi="Times New Roman" w:cs="Times New Roman"/>
          <w:i/>
          <w:iCs/>
          <w:sz w:val="24"/>
          <w:szCs w:val="24"/>
        </w:rPr>
        <w:t>Personality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(7), 1349–1362. </w:t>
      </w:r>
      <w:hyperlink r:id="rId2354" w:history="1">
        <w:r w:rsidRPr="004C4852">
          <w:rPr>
            <w:rFonts w:ascii="Times New Roman" w:eastAsia="Times New Roman" w:hAnsi="Times New Roman" w:cs="Times New Roman"/>
            <w:color w:val="0000FF"/>
            <w:sz w:val="24"/>
            <w:szCs w:val="24"/>
            <w:u w:val="single"/>
          </w:rPr>
          <w:t>https://doi.org/10.1016/j.paid.2005.11.017</w:t>
        </w:r>
      </w:hyperlink>
    </w:p>
    <w:p w14:paraId="1010BEF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Hartwell, N. E. (2001). </w:t>
      </w:r>
      <w:r w:rsidRPr="004C4852">
        <w:rPr>
          <w:rFonts w:ascii="Times New Roman" w:eastAsia="Times New Roman" w:hAnsi="Times New Roman" w:cs="Times New Roman"/>
          <w:i/>
          <w:iCs/>
          <w:sz w:val="24"/>
          <w:szCs w:val="24"/>
        </w:rPr>
        <w:t>The neuropsychology of suicidal states in depressed inpatients.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(11-B), 6136–6136.</w:t>
      </w:r>
    </w:p>
    <w:p w14:paraId="6D7B99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Harvanko, A. M., Odlaug, B. L., Schreiber, L. R. N., &amp; Grant, J. E. (2012). Cognitive task performance and frequency of alcohol usage in young adults. </w:t>
      </w:r>
      <w:r w:rsidRPr="004C4852">
        <w:rPr>
          <w:rFonts w:ascii="Times New Roman" w:eastAsia="Times New Roman" w:hAnsi="Times New Roman" w:cs="Times New Roman"/>
          <w:i/>
          <w:iCs/>
          <w:sz w:val="24"/>
          <w:szCs w:val="24"/>
        </w:rPr>
        <w:t>Journal of Addiction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(2), 106–111. </w:t>
      </w:r>
      <w:hyperlink r:id="rId2355" w:history="1">
        <w:r w:rsidRPr="004C4852">
          <w:rPr>
            <w:rFonts w:ascii="Times New Roman" w:eastAsia="Times New Roman" w:hAnsi="Times New Roman" w:cs="Times New Roman"/>
            <w:color w:val="0000FF"/>
            <w:sz w:val="24"/>
            <w:szCs w:val="24"/>
            <w:u w:val="single"/>
          </w:rPr>
          <w:t>https://doi.org/10.1097/ADM.0b013e31823ae56d</w:t>
        </w:r>
      </w:hyperlink>
    </w:p>
    <w:p w14:paraId="39C22F7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(2013). Pharmacological approaches to cognitive enhancement. In </w:t>
      </w:r>
      <w:r w:rsidRPr="004C4852">
        <w:rPr>
          <w:rFonts w:ascii="Times New Roman" w:eastAsia="Times New Roman" w:hAnsi="Times New Roman" w:cs="Times New Roman"/>
          <w:i/>
          <w:iCs/>
          <w:sz w:val="24"/>
          <w:szCs w:val="24"/>
        </w:rPr>
        <w:t>Cognitive impairment in schizophrenia: Characteristics, assessment and treatment.</w:t>
      </w:r>
      <w:r w:rsidRPr="004C4852">
        <w:rPr>
          <w:rFonts w:ascii="Times New Roman" w:eastAsia="Times New Roman" w:hAnsi="Times New Roman" w:cs="Times New Roman"/>
          <w:sz w:val="24"/>
          <w:szCs w:val="24"/>
        </w:rPr>
        <w:t xml:space="preserve"> (pp. 266–283). Cambridge University Press. </w:t>
      </w:r>
      <w:hyperlink r:id="rId2356" w:history="1">
        <w:r w:rsidRPr="004C4852">
          <w:rPr>
            <w:rFonts w:ascii="Times New Roman" w:eastAsia="Times New Roman" w:hAnsi="Times New Roman" w:cs="Times New Roman"/>
            <w:color w:val="0000FF"/>
            <w:sz w:val="24"/>
            <w:szCs w:val="24"/>
            <w:u w:val="single"/>
          </w:rPr>
          <w:t>https://doi.org/10.1017/CBO9781139003872.016</w:t>
        </w:r>
      </w:hyperlink>
    </w:p>
    <w:p w14:paraId="69A326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Bowie, C. R., &amp; Loebel, A. (2005). Is Cognitive Improvement Associated with Switching to a New Atypical Antipsychotic Sustained Over Time? A Six-Month Extension Study of Patients Switched to Ziprasidone. </w:t>
      </w:r>
      <w:r w:rsidRPr="004C4852">
        <w:rPr>
          <w:rFonts w:ascii="Times New Roman" w:eastAsia="Times New Roman" w:hAnsi="Times New Roman" w:cs="Times New Roman"/>
          <w:i/>
          <w:iCs/>
          <w:sz w:val="24"/>
          <w:szCs w:val="24"/>
        </w:rPr>
        <w:t>Clinical Neuropsychiatry: Journal of Treatment Evaluation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w:t>
      </w:r>
      <w:r w:rsidRPr="004C4852">
        <w:rPr>
          <w:rFonts w:ascii="Times New Roman" w:eastAsia="Times New Roman" w:hAnsi="Times New Roman" w:cs="Times New Roman"/>
          <w:sz w:val="24"/>
          <w:szCs w:val="24"/>
        </w:rPr>
        <w:t>(2), 110–115.</w:t>
      </w:r>
    </w:p>
    <w:p w14:paraId="33150A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Bowie, C. R., &amp; Loebel, A. (2006). Neuropsychological normalization with long-term atypical antipsychotic treatment: Results of a six-month randomized, double-blind comparison of ziprasidone vs. Olanzapine.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(1), 54–63. </w:t>
      </w:r>
      <w:hyperlink r:id="rId2357" w:history="1">
        <w:r w:rsidRPr="004C4852">
          <w:rPr>
            <w:rFonts w:ascii="Times New Roman" w:eastAsia="Times New Roman" w:hAnsi="Times New Roman" w:cs="Times New Roman"/>
            <w:color w:val="0000FF"/>
            <w:sz w:val="24"/>
            <w:szCs w:val="24"/>
            <w:u w:val="single"/>
          </w:rPr>
          <w:t>https://doi.org/10.1176/appi.neuropsych.18.1.54</w:t>
        </w:r>
      </w:hyperlink>
    </w:p>
    <w:p w14:paraId="493429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Green, M. F., Bowie, C., &amp; Loebel, A. (2006). The dimensions of clinical and cognitive change in schizophrenia: Evidence for independence of improvements.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(3), 356–363. </w:t>
      </w:r>
      <w:hyperlink r:id="rId2358" w:history="1">
        <w:r w:rsidRPr="004C4852">
          <w:rPr>
            <w:rFonts w:ascii="Times New Roman" w:eastAsia="Times New Roman" w:hAnsi="Times New Roman" w:cs="Times New Roman"/>
            <w:color w:val="0000FF"/>
            <w:sz w:val="24"/>
            <w:szCs w:val="24"/>
            <w:u w:val="single"/>
          </w:rPr>
          <w:t>https://doi.org/10.1007/s00213-006-0432-1</w:t>
        </w:r>
      </w:hyperlink>
    </w:p>
    <w:p w14:paraId="712AF1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Green, M. F., McGurk, S. R., &amp; Meltzer, H. Y. (2003). Changes in cognitive functioning with risperidone and olanzapine treatment: A large-scale, double blind, randomized study.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169</w:t>
      </w:r>
      <w:r w:rsidRPr="004C4852">
        <w:rPr>
          <w:rFonts w:ascii="Times New Roman" w:eastAsia="Times New Roman" w:hAnsi="Times New Roman" w:cs="Times New Roman"/>
          <w:sz w:val="24"/>
          <w:szCs w:val="24"/>
        </w:rPr>
        <w:t xml:space="preserve">(3–4), 404–411. </w:t>
      </w:r>
      <w:hyperlink r:id="rId2359" w:history="1">
        <w:r w:rsidRPr="004C4852">
          <w:rPr>
            <w:rFonts w:ascii="Times New Roman" w:eastAsia="Times New Roman" w:hAnsi="Times New Roman" w:cs="Times New Roman"/>
            <w:color w:val="0000FF"/>
            <w:sz w:val="24"/>
            <w:szCs w:val="24"/>
            <w:u w:val="single"/>
          </w:rPr>
          <w:t>https://doi.org/10.1007/s00213-002-1342-5</w:t>
        </w:r>
      </w:hyperlink>
    </w:p>
    <w:p w14:paraId="178BD8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Helldin, L., Bowie, C. R., Heaton, R. K., Olsson, A.-K., Hjärthag, F., Norlander, T., &amp; Patterson, T. L. (2009). Performance-based measurement of functional disability in schizophrenia: A cross-national study in the United States and Sweden.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166</w:t>
      </w:r>
      <w:r w:rsidRPr="004C4852">
        <w:rPr>
          <w:rFonts w:ascii="Times New Roman" w:eastAsia="Times New Roman" w:hAnsi="Times New Roman" w:cs="Times New Roman"/>
          <w:sz w:val="24"/>
          <w:szCs w:val="24"/>
        </w:rPr>
        <w:t xml:space="preserve">(7), 821–827. </w:t>
      </w:r>
      <w:hyperlink r:id="rId2360" w:history="1">
        <w:r w:rsidRPr="004C4852">
          <w:rPr>
            <w:rFonts w:ascii="Times New Roman" w:eastAsia="Times New Roman" w:hAnsi="Times New Roman" w:cs="Times New Roman"/>
            <w:color w:val="0000FF"/>
            <w:sz w:val="24"/>
            <w:szCs w:val="24"/>
            <w:u w:val="single"/>
          </w:rPr>
          <w:t>https://doi.org/10.1176/appi.ajp.2009.09010106</w:t>
        </w:r>
      </w:hyperlink>
    </w:p>
    <w:p w14:paraId="6B0A51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&amp; Keefe, R. S. E. (2009). Clinical neuropsychology of schizophrenia. In </w:t>
      </w:r>
      <w:r w:rsidRPr="004C4852">
        <w:rPr>
          <w:rFonts w:ascii="Times New Roman" w:eastAsia="Times New Roman" w:hAnsi="Times New Roman" w:cs="Times New Roman"/>
          <w:i/>
          <w:iCs/>
          <w:sz w:val="24"/>
          <w:szCs w:val="24"/>
        </w:rPr>
        <w:t>Neuropsychological assessment of neuropsychiatric and neuromedical disorders, 3rd ed.</w:t>
      </w:r>
      <w:r w:rsidRPr="004C4852">
        <w:rPr>
          <w:rFonts w:ascii="Times New Roman" w:eastAsia="Times New Roman" w:hAnsi="Times New Roman" w:cs="Times New Roman"/>
          <w:sz w:val="24"/>
          <w:szCs w:val="24"/>
        </w:rPr>
        <w:t xml:space="preserve"> (pp. 507–522). Oxford University Press.</w:t>
      </w:r>
    </w:p>
    <w:p w14:paraId="05E93BD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Keefe, R. S. E., Patterson, T. L., Heaton, R. K., &amp; Bowie, C. R. (2009). Abbreviated neuropsychological assessment in schizophrenia: Prediction of different aspects of outcome.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(4), 462–471. </w:t>
      </w:r>
      <w:hyperlink r:id="rId2361" w:history="1">
        <w:r w:rsidRPr="004C4852">
          <w:rPr>
            <w:rFonts w:ascii="Times New Roman" w:eastAsia="Times New Roman" w:hAnsi="Times New Roman" w:cs="Times New Roman"/>
            <w:color w:val="0000FF"/>
            <w:sz w:val="24"/>
            <w:szCs w:val="24"/>
            <w:u w:val="single"/>
          </w:rPr>
          <w:t>https://doi.org/10.1080/13803390802251386</w:t>
        </w:r>
      </w:hyperlink>
    </w:p>
    <w:p w14:paraId="5FA9784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McClure, M. M., Patterson, T. L., McGrath, J. A., Pulver, A. E., Bowie, C. R., &amp; Siever, L. J. (2012). Impairment in functional capacity as an endophenotype candidate in severe mental illness.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(6), 1318–1326. </w:t>
      </w:r>
      <w:hyperlink r:id="rId2362" w:history="1">
        <w:r w:rsidRPr="004C4852">
          <w:rPr>
            <w:rFonts w:ascii="Times New Roman" w:eastAsia="Times New Roman" w:hAnsi="Times New Roman" w:cs="Times New Roman"/>
            <w:color w:val="0000FF"/>
            <w:sz w:val="24"/>
            <w:szCs w:val="24"/>
            <w:u w:val="single"/>
          </w:rPr>
          <w:t>https://doi.org/10.1093/schbul/sbr046</w:t>
        </w:r>
      </w:hyperlink>
    </w:p>
    <w:p w14:paraId="037724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Meltzer, H., Simpson, G. M., Potkin, S. G., Loebel, A., Siu, C., &amp; Romano, S. J. (2004). Improvement in cognitive function following a switch to ziprasidone from conventional antipsychotics, olanzapine, or risperidone in outpatients with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66</w:t>
      </w:r>
      <w:r w:rsidRPr="004C4852">
        <w:rPr>
          <w:rFonts w:ascii="Times New Roman" w:eastAsia="Times New Roman" w:hAnsi="Times New Roman" w:cs="Times New Roman"/>
          <w:sz w:val="24"/>
          <w:szCs w:val="24"/>
        </w:rPr>
        <w:t xml:space="preserve">(2–3), 101–113. </w:t>
      </w:r>
      <w:hyperlink r:id="rId2363" w:history="1">
        <w:r w:rsidRPr="004C4852">
          <w:rPr>
            <w:rFonts w:ascii="Times New Roman" w:eastAsia="Times New Roman" w:hAnsi="Times New Roman" w:cs="Times New Roman"/>
            <w:color w:val="0000FF"/>
            <w:sz w:val="24"/>
            <w:szCs w:val="24"/>
            <w:u w:val="single"/>
          </w:rPr>
          <w:t>https://doi.org/10.1016/j.schres.2003.07.009</w:t>
        </w:r>
      </w:hyperlink>
    </w:p>
    <w:p w14:paraId="0CC3799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Mohs, R. C., &amp; Davidson, M. (1993). Leukotomy and Aging in Chronic Schizophrenia: A Followup Study 40 Years After Psychosurgery.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723–732. </w:t>
      </w:r>
      <w:hyperlink r:id="rId2364" w:history="1">
        <w:r w:rsidRPr="004C4852">
          <w:rPr>
            <w:rFonts w:ascii="Times New Roman" w:eastAsia="Times New Roman" w:hAnsi="Times New Roman" w:cs="Times New Roman"/>
            <w:color w:val="0000FF"/>
            <w:sz w:val="24"/>
            <w:szCs w:val="24"/>
            <w:u w:val="single"/>
          </w:rPr>
          <w:t>https://doi.org/10.1093/schbul/19.4.723</w:t>
        </w:r>
      </w:hyperlink>
    </w:p>
    <w:p w14:paraId="421B78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Napolitano, J. A., Mao, L., &amp; Gharabawi, G. (2003). Comparative effects of risperidone and olanzapine on cognition in elderly patients with schizophrenia or schizoaffective disorder. </w:t>
      </w:r>
      <w:r w:rsidRPr="004C4852">
        <w:rPr>
          <w:rFonts w:ascii="Times New Roman" w:eastAsia="Times New Roman" w:hAnsi="Times New Roman" w:cs="Times New Roman"/>
          <w:i/>
          <w:iCs/>
          <w:sz w:val="24"/>
          <w:szCs w:val="24"/>
        </w:rPr>
        <w:t>International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(9), 820–828. </w:t>
      </w:r>
      <w:hyperlink r:id="rId2365" w:history="1">
        <w:r w:rsidRPr="004C4852">
          <w:rPr>
            <w:rFonts w:ascii="Times New Roman" w:eastAsia="Times New Roman" w:hAnsi="Times New Roman" w:cs="Times New Roman"/>
            <w:color w:val="0000FF"/>
            <w:sz w:val="24"/>
            <w:szCs w:val="24"/>
            <w:u w:val="single"/>
          </w:rPr>
          <w:t>https://doi.org/10.1002/gps.929</w:t>
        </w:r>
      </w:hyperlink>
    </w:p>
    <w:p w14:paraId="32F65B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Palmer, B. W., Heaton, R. K., Mohamed, S., Kennedy, J., &amp; Brickman, A. (2005). Stability of Cognitive Performance in Older Patients With Schizophrenia: An 8-Week Test-Retest Study.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162</w:t>
      </w:r>
      <w:r w:rsidRPr="004C4852">
        <w:rPr>
          <w:rFonts w:ascii="Times New Roman" w:eastAsia="Times New Roman" w:hAnsi="Times New Roman" w:cs="Times New Roman"/>
          <w:sz w:val="24"/>
          <w:szCs w:val="24"/>
        </w:rPr>
        <w:t xml:space="preserve">(1), 110–117. </w:t>
      </w:r>
      <w:hyperlink r:id="rId2366" w:history="1">
        <w:r w:rsidRPr="004C4852">
          <w:rPr>
            <w:rFonts w:ascii="Times New Roman" w:eastAsia="Times New Roman" w:hAnsi="Times New Roman" w:cs="Times New Roman"/>
            <w:color w:val="0000FF"/>
            <w:sz w:val="24"/>
            <w:szCs w:val="24"/>
            <w:u w:val="single"/>
          </w:rPr>
          <w:t>https://doi.org/10.1176/appi.ajp.162.1.110</w:t>
        </w:r>
      </w:hyperlink>
    </w:p>
    <w:p w14:paraId="301FBB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Paschall, G., &amp; Depp, C. (2015). Factors influencing self-assessment of cognition and functioning in bipolar disorder: A preliminary study. </w:t>
      </w:r>
      <w:r w:rsidRPr="004C4852">
        <w:rPr>
          <w:rFonts w:ascii="Times New Roman" w:eastAsia="Times New Roman" w:hAnsi="Times New Roman" w:cs="Times New Roman"/>
          <w:i/>
          <w:iCs/>
          <w:sz w:val="24"/>
          <w:szCs w:val="24"/>
        </w:rPr>
        <w:t>Cognitive Neuropsychiatry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(4), 361–371. </w:t>
      </w:r>
      <w:hyperlink r:id="rId2367" w:history="1">
        <w:r w:rsidRPr="004C4852">
          <w:rPr>
            <w:rFonts w:ascii="Times New Roman" w:eastAsia="Times New Roman" w:hAnsi="Times New Roman" w:cs="Times New Roman"/>
            <w:color w:val="0000FF"/>
            <w:sz w:val="24"/>
            <w:szCs w:val="24"/>
            <w:u w:val="single"/>
          </w:rPr>
          <w:t>https://doi.org/10.1080/13546805.2015.1044510</w:t>
        </w:r>
      </w:hyperlink>
    </w:p>
    <w:p w14:paraId="4C782D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Rabinowitz, J., Eerdekens, M., &amp; Davidson, M. (2005). Treatment of cognitive impairment in early psychosis: A comparison of risperidone and haloperidol in a large long-term trial.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162</w:t>
      </w:r>
      <w:r w:rsidRPr="004C4852">
        <w:rPr>
          <w:rFonts w:ascii="Times New Roman" w:eastAsia="Times New Roman" w:hAnsi="Times New Roman" w:cs="Times New Roman"/>
          <w:sz w:val="24"/>
          <w:szCs w:val="24"/>
        </w:rPr>
        <w:t xml:space="preserve">(10), 1888–1895. </w:t>
      </w:r>
      <w:hyperlink r:id="rId2368" w:history="1">
        <w:r w:rsidRPr="004C4852">
          <w:rPr>
            <w:rFonts w:ascii="Times New Roman" w:eastAsia="Times New Roman" w:hAnsi="Times New Roman" w:cs="Times New Roman"/>
            <w:color w:val="0000FF"/>
            <w:sz w:val="24"/>
            <w:szCs w:val="24"/>
            <w:u w:val="single"/>
          </w:rPr>
          <w:t>https://doi.org/10.1176/appi.ajp.162.10.1888</w:t>
        </w:r>
      </w:hyperlink>
    </w:p>
    <w:p w14:paraId="3988142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P. D., Reichenberg, A., Bowie, C. R., Patterson, T. L., &amp; Heaton, R. K. (2010). The course of neuropsychological performance and functional capacity in older patients with schizophrenia: Influences of previous history of long-term institutional stay.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67</w:t>
      </w:r>
      <w:r w:rsidRPr="004C4852">
        <w:rPr>
          <w:rFonts w:ascii="Times New Roman" w:eastAsia="Times New Roman" w:hAnsi="Times New Roman" w:cs="Times New Roman"/>
          <w:sz w:val="24"/>
          <w:szCs w:val="24"/>
        </w:rPr>
        <w:t xml:space="preserve">(10), 933–939. </w:t>
      </w:r>
      <w:hyperlink r:id="rId2369" w:history="1">
        <w:r w:rsidRPr="004C4852">
          <w:rPr>
            <w:rFonts w:ascii="Times New Roman" w:eastAsia="Times New Roman" w:hAnsi="Times New Roman" w:cs="Times New Roman"/>
            <w:color w:val="0000FF"/>
            <w:sz w:val="24"/>
            <w:szCs w:val="24"/>
            <w:u w:val="single"/>
          </w:rPr>
          <w:t>https://doi.org/10.1016/j.biopsych.2010.01.008</w:t>
        </w:r>
      </w:hyperlink>
    </w:p>
    <w:p w14:paraId="347AEC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Harvey, R. C., Jordan, C. J., Tassin, D. H., Moody, K. R., Dwoskin, L. P., &amp; Kantak, K. M. (2013). Performance on a strategy set shifting task during adolescence in a genetic model of attention deficit/hyperactivity disorder: Methylphenidate vs. Atomoxetine treatments. </w:t>
      </w:r>
      <w:r w:rsidRPr="004C4852">
        <w:rPr>
          <w:rFonts w:ascii="Times New Roman" w:eastAsia="Times New Roman" w:hAnsi="Times New Roman" w:cs="Times New Roman"/>
          <w:i/>
          <w:iCs/>
          <w:sz w:val="24"/>
          <w:szCs w:val="24"/>
        </w:rPr>
        <w:t>Behavioural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244</w:t>
      </w:r>
      <w:r w:rsidRPr="004C4852">
        <w:rPr>
          <w:rFonts w:ascii="Times New Roman" w:eastAsia="Times New Roman" w:hAnsi="Times New Roman" w:cs="Times New Roman"/>
          <w:sz w:val="24"/>
          <w:szCs w:val="24"/>
        </w:rPr>
        <w:t xml:space="preserve">, 38–47. </w:t>
      </w:r>
      <w:hyperlink r:id="rId2370" w:history="1">
        <w:r w:rsidRPr="004C4852">
          <w:rPr>
            <w:rFonts w:ascii="Times New Roman" w:eastAsia="Times New Roman" w:hAnsi="Times New Roman" w:cs="Times New Roman"/>
            <w:color w:val="0000FF"/>
            <w:sz w:val="24"/>
            <w:szCs w:val="24"/>
            <w:u w:val="single"/>
          </w:rPr>
          <w:t>https://doi.org/10.1016/j.bbr.2013.01.027</w:t>
        </w:r>
      </w:hyperlink>
    </w:p>
    <w:p w14:paraId="6ABF53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Hasan, A., Guse, B., Cordes, J., Wölwer, W., Winterer, G., Gaebel, W., Langguth, B., Landgrebe, M., Eichhammer, P., Frank, E., Hajak, G., Ohmann, C., Verde, P. E., Rietschel, M., Ahmed, R., Honer, W. G., Malchow, B., Karch, S., Schneider-Axmann, T., … Wobrock, T. (2016). Cognitive effects of high-frequency rTMS in schizophrenia patients with predominant negative symptoms: Results from a multicenter randomized sham-controlled trial.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(3), 608–618. </w:t>
      </w:r>
      <w:hyperlink r:id="rId2371" w:history="1">
        <w:r w:rsidRPr="004C4852">
          <w:rPr>
            <w:rFonts w:ascii="Times New Roman" w:eastAsia="Times New Roman" w:hAnsi="Times New Roman" w:cs="Times New Roman"/>
            <w:color w:val="0000FF"/>
            <w:sz w:val="24"/>
            <w:szCs w:val="24"/>
            <w:u w:val="single"/>
          </w:rPr>
          <w:t>https://doi.org/10.1093/schbul/sbv142</w:t>
        </w:r>
      </w:hyperlink>
    </w:p>
    <w:p w14:paraId="48FA8F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Hasan, A., Wobrock, T., Falkai, P., Schneider-Axmann, T., Guse, B., Backens, M., Ecker, U. K. H., Heimes, J., Galea, J. M., Gruber, O., &amp; Scherk, H. (2014). Hippocampal integrity and neurocognition in first-episode schizophrenia: A multidimensional study. </w:t>
      </w:r>
      <w:r w:rsidRPr="004C4852">
        <w:rPr>
          <w:rFonts w:ascii="Times New Roman" w:eastAsia="Times New Roman" w:hAnsi="Times New Roman" w:cs="Times New Roman"/>
          <w:i/>
          <w:iCs/>
          <w:sz w:val="24"/>
          <w:szCs w:val="24"/>
        </w:rPr>
        <w:t>The World Journal of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(3), 188–199. </w:t>
      </w:r>
      <w:hyperlink r:id="rId2372" w:history="1">
        <w:r w:rsidRPr="004C4852">
          <w:rPr>
            <w:rFonts w:ascii="Times New Roman" w:eastAsia="Times New Roman" w:hAnsi="Times New Roman" w:cs="Times New Roman"/>
            <w:color w:val="0000FF"/>
            <w:sz w:val="24"/>
            <w:szCs w:val="24"/>
            <w:u w:val="single"/>
          </w:rPr>
          <w:t>https://doi.org/10.3109/15622975.2011.620002</w:t>
        </w:r>
      </w:hyperlink>
    </w:p>
    <w:p w14:paraId="4F5B738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Hasenkamp, W., Kelley, M., Egan, G., Green, A., Wilcox, L., Boshoven, W., Lewison, B., &amp; Duncan, E. (2011). Lack of relationship between acoustic startle and cognitive variables in schizophrenia and control subjects.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(3), 324–328. </w:t>
      </w:r>
      <w:hyperlink r:id="rId2373" w:history="1">
        <w:r w:rsidRPr="004C4852">
          <w:rPr>
            <w:rFonts w:ascii="Times New Roman" w:eastAsia="Times New Roman" w:hAnsi="Times New Roman" w:cs="Times New Roman"/>
            <w:color w:val="0000FF"/>
            <w:sz w:val="24"/>
            <w:szCs w:val="24"/>
            <w:u w:val="single"/>
          </w:rPr>
          <w:t>https://doi.org/10.1016/j.psychres.2011.02.011</w:t>
        </w:r>
      </w:hyperlink>
    </w:p>
    <w:p w14:paraId="026BBC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K., Tategami, S., Okamoto, T., Seta, H., Abo, M., &amp; Ohashi, M. (2006). Examination by Near-Infrared Spectroscopy for Evaluation of Piano Performance as a Frontal Lobe Activation Task. </w:t>
      </w:r>
      <w:r w:rsidRPr="004C4852">
        <w:rPr>
          <w:rFonts w:ascii="Times New Roman" w:eastAsia="Times New Roman" w:hAnsi="Times New Roman" w:cs="Times New Roman"/>
          <w:i/>
          <w:iCs/>
          <w:sz w:val="24"/>
          <w:szCs w:val="24"/>
        </w:rPr>
        <w:t>European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55</w:t>
      </w:r>
      <w:r w:rsidRPr="004C4852">
        <w:rPr>
          <w:rFonts w:ascii="Times New Roman" w:eastAsia="Times New Roman" w:hAnsi="Times New Roman" w:cs="Times New Roman"/>
          <w:sz w:val="24"/>
          <w:szCs w:val="24"/>
        </w:rPr>
        <w:t xml:space="preserve">(1), 16–21. </w:t>
      </w:r>
      <w:hyperlink r:id="rId2374" w:history="1">
        <w:r w:rsidRPr="004C4852">
          <w:rPr>
            <w:rFonts w:ascii="Times New Roman" w:eastAsia="Times New Roman" w:hAnsi="Times New Roman" w:cs="Times New Roman"/>
            <w:color w:val="0000FF"/>
            <w:sz w:val="24"/>
            <w:szCs w:val="24"/>
            <w:u w:val="single"/>
          </w:rPr>
          <w:t>https://doi.org/10.1159/000091138</w:t>
        </w:r>
      </w:hyperlink>
    </w:p>
    <w:p w14:paraId="7A1C75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K., Uruma, G., &amp; Abo, M. (2007). Activation of the prefrontal cortex during the Wisconsin Card Sorting Test (Keio Version) as measured by two-channel near-infrared spectroscopy in patients with traumatic brain injury. </w:t>
      </w:r>
      <w:r w:rsidRPr="004C4852">
        <w:rPr>
          <w:rFonts w:ascii="Times New Roman" w:eastAsia="Times New Roman" w:hAnsi="Times New Roman" w:cs="Times New Roman"/>
          <w:i/>
          <w:iCs/>
          <w:sz w:val="24"/>
          <w:szCs w:val="24"/>
        </w:rPr>
        <w:t>European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(1–2), 24–30. </w:t>
      </w:r>
      <w:hyperlink r:id="rId2375" w:history="1">
        <w:r w:rsidRPr="004C4852">
          <w:rPr>
            <w:rFonts w:ascii="Times New Roman" w:eastAsia="Times New Roman" w:hAnsi="Times New Roman" w:cs="Times New Roman"/>
            <w:color w:val="0000FF"/>
            <w:sz w:val="24"/>
            <w:szCs w:val="24"/>
            <w:u w:val="single"/>
          </w:rPr>
          <w:t>https://doi.org/10.1159/000109257</w:t>
        </w:r>
      </w:hyperlink>
    </w:p>
    <w:p w14:paraId="30D8A9A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N., Matsui, M., Kusumi, I., Toyomaki, A., Ito, K., Kako, Y., &amp; Koyama, T. (2011). Effect of explicit instruction on japanese verbal learning test in schizophrenia patients.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188</w:t>
      </w:r>
      <w:r w:rsidRPr="004C4852">
        <w:rPr>
          <w:rFonts w:ascii="Times New Roman" w:eastAsia="Times New Roman" w:hAnsi="Times New Roman" w:cs="Times New Roman"/>
          <w:sz w:val="24"/>
          <w:szCs w:val="24"/>
        </w:rPr>
        <w:t xml:space="preserve">(2), 289–290. </w:t>
      </w:r>
      <w:hyperlink r:id="rId2376" w:history="1">
        <w:r w:rsidRPr="004C4852">
          <w:rPr>
            <w:rFonts w:ascii="Times New Roman" w:eastAsia="Times New Roman" w:hAnsi="Times New Roman" w:cs="Times New Roman"/>
            <w:color w:val="0000FF"/>
            <w:sz w:val="24"/>
            <w:szCs w:val="24"/>
            <w:u w:val="single"/>
          </w:rPr>
          <w:t>https://doi.org/10.1016/j.psychres.2010.06.024</w:t>
        </w:r>
      </w:hyperlink>
    </w:p>
    <w:p w14:paraId="02F258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Hashimoto, N., Nakaaki, S., Omori, I. M., Fujioi, J., Noguchi, Y., Murata, Y., Sato, J., Tatsumi, H., Torii, K., Mimura, M., &amp; Furukawa, T. A. (2011). Distinct neuropsychological profiles of three major symptom dimensions in obsessive-compulsive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(1–2), 166–173. </w:t>
      </w:r>
      <w:hyperlink r:id="rId2377" w:history="1">
        <w:r w:rsidRPr="004C4852">
          <w:rPr>
            <w:rFonts w:ascii="Times New Roman" w:eastAsia="Times New Roman" w:hAnsi="Times New Roman" w:cs="Times New Roman"/>
            <w:color w:val="0000FF"/>
            <w:sz w:val="24"/>
            <w:szCs w:val="24"/>
            <w:u w:val="single"/>
          </w:rPr>
          <w:t>https://doi.org/10.1016/j.psychres.2010.08.001</w:t>
        </w:r>
      </w:hyperlink>
    </w:p>
    <w:p w14:paraId="2628840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Hasselbalch, B. J., Knorr, U., Hasselbalch, S. G., Gade, A., &amp; Kessing, L. V. (2012). Cognitive deficits in the remitted state of unipolar depressive disorder.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(5), 642–651. </w:t>
      </w:r>
      <w:hyperlink r:id="rId2378" w:history="1">
        <w:r w:rsidRPr="004C4852">
          <w:rPr>
            <w:rFonts w:ascii="Times New Roman" w:eastAsia="Times New Roman" w:hAnsi="Times New Roman" w:cs="Times New Roman"/>
            <w:color w:val="0000FF"/>
            <w:sz w:val="24"/>
            <w:szCs w:val="24"/>
            <w:u w:val="single"/>
          </w:rPr>
          <w:t>https://doi.org/10.1037/a0029301</w:t>
        </w:r>
      </w:hyperlink>
    </w:p>
    <w:p w14:paraId="7B5EA9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Hasselbalch, B. J., Knorr, U., &amp; Kessing, L. V. (2011). Cognitive impairment in the remitted state of unipolar depressive disorder: A systematic review.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134</w:t>
      </w:r>
      <w:r w:rsidRPr="004C4852">
        <w:rPr>
          <w:rFonts w:ascii="Times New Roman" w:eastAsia="Times New Roman" w:hAnsi="Times New Roman" w:cs="Times New Roman"/>
          <w:sz w:val="24"/>
          <w:szCs w:val="24"/>
        </w:rPr>
        <w:t xml:space="preserve">(1–3), 20–31. </w:t>
      </w:r>
      <w:hyperlink r:id="rId2379" w:history="1">
        <w:r w:rsidRPr="004C4852">
          <w:rPr>
            <w:rFonts w:ascii="Times New Roman" w:eastAsia="Times New Roman" w:hAnsi="Times New Roman" w:cs="Times New Roman"/>
            <w:color w:val="0000FF"/>
            <w:sz w:val="24"/>
            <w:szCs w:val="24"/>
            <w:u w:val="single"/>
          </w:rPr>
          <w:t>https://doi.org/10.1016/j.jad.2010.11.011</w:t>
        </w:r>
      </w:hyperlink>
    </w:p>
    <w:p w14:paraId="799325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Hassin, R. R., Bargh, J. A., &amp; Zimerman, S. (2009). Automatic and flexible: The case of nonconscious goal pursuit. </w:t>
      </w:r>
      <w:r w:rsidRPr="004C4852">
        <w:rPr>
          <w:rFonts w:ascii="Times New Roman" w:eastAsia="Times New Roman" w:hAnsi="Times New Roman" w:cs="Times New Roman"/>
          <w:i/>
          <w:iCs/>
          <w:sz w:val="24"/>
          <w:szCs w:val="24"/>
        </w:rPr>
        <w:t>Social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(1), 20–36. </w:t>
      </w:r>
      <w:hyperlink r:id="rId2380" w:history="1">
        <w:r w:rsidRPr="004C4852">
          <w:rPr>
            <w:rFonts w:ascii="Times New Roman" w:eastAsia="Times New Roman" w:hAnsi="Times New Roman" w:cs="Times New Roman"/>
            <w:color w:val="0000FF"/>
            <w:sz w:val="24"/>
            <w:szCs w:val="24"/>
            <w:u w:val="single"/>
          </w:rPr>
          <w:t>https://doi.org/10.1521/soco.2009.27.1.20</w:t>
        </w:r>
      </w:hyperlink>
    </w:p>
    <w:p w14:paraId="1D024C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Hattingen, E., Rathert, J., Raabe, A., Anjorin, A., Lanfermann, H., &amp; Weidauer, S. (2007). Diffusion tensor tracking of fornix infarction.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(6), 655–656. </w:t>
      </w:r>
      <w:hyperlink r:id="rId2381" w:history="1">
        <w:r w:rsidRPr="004C4852">
          <w:rPr>
            <w:rFonts w:ascii="Times New Roman" w:eastAsia="Times New Roman" w:hAnsi="Times New Roman" w:cs="Times New Roman"/>
            <w:color w:val="0000FF"/>
            <w:sz w:val="24"/>
            <w:szCs w:val="24"/>
            <w:u w:val="single"/>
          </w:rPr>
          <w:t>https://doi.org/10.1136/jnnp.2006.109801</w:t>
        </w:r>
      </w:hyperlink>
    </w:p>
    <w:p w14:paraId="7C323B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Hattori, T., Orimo, S., Aoki, S., Ito, K., Abe, O., Amano, A., Sato, R., Sakai, K., &amp; Mizusawa, H. (2012). Cognitive status correlates with white matter alteration in Parkinson’s disease. </w:t>
      </w:r>
      <w:r w:rsidRPr="004C4852">
        <w:rPr>
          <w:rFonts w:ascii="Times New Roman" w:eastAsia="Times New Roman" w:hAnsi="Times New Roman" w:cs="Times New Roman"/>
          <w:i/>
          <w:iCs/>
          <w:sz w:val="24"/>
          <w:szCs w:val="24"/>
        </w:rPr>
        <w:t>Human Brain Mapping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(3), 727–739. </w:t>
      </w:r>
      <w:hyperlink r:id="rId2382" w:history="1">
        <w:r w:rsidRPr="004C4852">
          <w:rPr>
            <w:rFonts w:ascii="Times New Roman" w:eastAsia="Times New Roman" w:hAnsi="Times New Roman" w:cs="Times New Roman"/>
            <w:color w:val="0000FF"/>
            <w:sz w:val="24"/>
            <w:szCs w:val="24"/>
            <w:u w:val="single"/>
          </w:rPr>
          <w:t>https://doi.org/10.1002/hbm.21245</w:t>
        </w:r>
      </w:hyperlink>
    </w:p>
    <w:p w14:paraId="2E321F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Haut, M. W., Cahill, J., Cutlip, W. D., Stevenson, J. M., Makela, E. H., &amp; Bloomfield, S. M. (1996). On the nature of Wisconsin Card Sorting Test performance in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(1), 15–22. </w:t>
      </w:r>
      <w:hyperlink r:id="rId2383" w:history="1">
        <w:r w:rsidRPr="004C4852">
          <w:rPr>
            <w:rFonts w:ascii="Times New Roman" w:eastAsia="Times New Roman" w:hAnsi="Times New Roman" w:cs="Times New Roman"/>
            <w:color w:val="0000FF"/>
            <w:sz w:val="24"/>
            <w:szCs w:val="24"/>
            <w:u w:val="single"/>
          </w:rPr>
          <w:t>https://doi.org/10.1016/0165-1781(96)02940-X</w:t>
        </w:r>
      </w:hyperlink>
    </w:p>
    <w:p w14:paraId="53FDF5D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Havelka, D., Prikrylova-Kucerova, H., Prikryl, R., &amp; Ceskova, E. (2016). Cognitive impairment and cortisol levels in first-episode schizophrenia patients. </w:t>
      </w:r>
      <w:r w:rsidRPr="004C4852">
        <w:rPr>
          <w:rFonts w:ascii="Times New Roman" w:eastAsia="Times New Roman" w:hAnsi="Times New Roman" w:cs="Times New Roman"/>
          <w:i/>
          <w:iCs/>
          <w:sz w:val="24"/>
          <w:szCs w:val="24"/>
        </w:rPr>
        <w:t>Stress: The International Journal on the Biology of Stress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383–389. </w:t>
      </w:r>
      <w:hyperlink r:id="rId2384" w:history="1">
        <w:r w:rsidRPr="004C4852">
          <w:rPr>
            <w:rFonts w:ascii="Times New Roman" w:eastAsia="Times New Roman" w:hAnsi="Times New Roman" w:cs="Times New Roman"/>
            <w:color w:val="0000FF"/>
            <w:sz w:val="24"/>
            <w:szCs w:val="24"/>
            <w:u w:val="single"/>
          </w:rPr>
          <w:t>https://doi.org/10.1080/10253890.2016.1193146</w:t>
        </w:r>
      </w:hyperlink>
    </w:p>
    <w:p w14:paraId="50CD4A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Hawes, S. W., Perlman, S. B., Byrd, A. L., Raine, A., Loeber, R., &amp; Pardini, D. A. (2016). Chronic anger as a precursor to adult antisocial personality features: The moderating influence of cognitive control. </w:t>
      </w:r>
      <w:r w:rsidRPr="004C4852">
        <w:rPr>
          <w:rFonts w:ascii="Times New Roman" w:eastAsia="Times New Roman" w:hAnsi="Times New Roman" w:cs="Times New Roman"/>
          <w:i/>
          <w:iCs/>
          <w:sz w:val="24"/>
          <w:szCs w:val="24"/>
        </w:rPr>
        <w:t>Journal of Abnormal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125</w:t>
      </w:r>
      <w:r w:rsidRPr="004C4852">
        <w:rPr>
          <w:rFonts w:ascii="Times New Roman" w:eastAsia="Times New Roman" w:hAnsi="Times New Roman" w:cs="Times New Roman"/>
          <w:sz w:val="24"/>
          <w:szCs w:val="24"/>
        </w:rPr>
        <w:t xml:space="preserve">(1), 64–74. </w:t>
      </w:r>
      <w:hyperlink r:id="rId2385" w:history="1">
        <w:r w:rsidRPr="004C4852">
          <w:rPr>
            <w:rFonts w:ascii="Times New Roman" w:eastAsia="Times New Roman" w:hAnsi="Times New Roman" w:cs="Times New Roman"/>
            <w:color w:val="0000FF"/>
            <w:sz w:val="24"/>
            <w:szCs w:val="24"/>
            <w:u w:val="single"/>
          </w:rPr>
          <w:t>https://doi.org/10.1037/abn0000129</w:t>
        </w:r>
      </w:hyperlink>
    </w:p>
    <w:p w14:paraId="6E9D60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Hawkins, K. A., Addington, J., Keefe, R. S. E., Christensen, B., Perkins, D. O., Zipurksy, R., Woods, S. W., Miller, T. J., Marquez, E., Breier, A., &amp; McGlashan, T. H. (2004). Neuropsychological status of subjects at high risk for a first episode of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67</w:t>
      </w:r>
      <w:r w:rsidRPr="004C4852">
        <w:rPr>
          <w:rFonts w:ascii="Times New Roman" w:eastAsia="Times New Roman" w:hAnsi="Times New Roman" w:cs="Times New Roman"/>
          <w:sz w:val="24"/>
          <w:szCs w:val="24"/>
        </w:rPr>
        <w:t xml:space="preserve">(2–3), 115–122. </w:t>
      </w:r>
      <w:hyperlink r:id="rId2386" w:history="1">
        <w:r w:rsidRPr="004C4852">
          <w:rPr>
            <w:rFonts w:ascii="Times New Roman" w:eastAsia="Times New Roman" w:hAnsi="Times New Roman" w:cs="Times New Roman"/>
            <w:color w:val="0000FF"/>
            <w:sz w:val="24"/>
            <w:szCs w:val="24"/>
            <w:u w:val="single"/>
          </w:rPr>
          <w:t>https://doi.org/10.1016/j.schres.2003.08.007</w:t>
        </w:r>
      </w:hyperlink>
    </w:p>
    <w:p w14:paraId="268D1C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Hayatbini, N., &amp; Oberle, C. D. (2019). Are orthorexia nervosa symptoms associated with cognitive inflexibility?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271</w:t>
      </w:r>
      <w:r w:rsidRPr="004C4852">
        <w:rPr>
          <w:rFonts w:ascii="Times New Roman" w:eastAsia="Times New Roman" w:hAnsi="Times New Roman" w:cs="Times New Roman"/>
          <w:sz w:val="24"/>
          <w:szCs w:val="24"/>
        </w:rPr>
        <w:t xml:space="preserve">, 464–468. </w:t>
      </w:r>
      <w:hyperlink r:id="rId2387" w:history="1">
        <w:r w:rsidRPr="004C4852">
          <w:rPr>
            <w:rFonts w:ascii="Times New Roman" w:eastAsia="Times New Roman" w:hAnsi="Times New Roman" w:cs="Times New Roman"/>
            <w:color w:val="0000FF"/>
            <w:sz w:val="24"/>
            <w:szCs w:val="24"/>
            <w:u w:val="single"/>
          </w:rPr>
          <w:t>https://doi.org/10.1016/j.psychres.2018.12.017</w:t>
        </w:r>
      </w:hyperlink>
    </w:p>
    <w:p w14:paraId="0E8BEF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Hayes, J. P., Morey, R. A., &amp; Tupler, L. A. (2012). A case of frontal neuropsychological and neuroimaging signs following multiple primary-blast exposure.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(3), 258–269. </w:t>
      </w:r>
      <w:hyperlink r:id="rId2388" w:history="1">
        <w:r w:rsidRPr="004C4852">
          <w:rPr>
            <w:rFonts w:ascii="Times New Roman" w:eastAsia="Times New Roman" w:hAnsi="Times New Roman" w:cs="Times New Roman"/>
            <w:color w:val="0000FF"/>
            <w:sz w:val="24"/>
            <w:szCs w:val="24"/>
            <w:u w:val="single"/>
          </w:rPr>
          <w:t>https://doi.org/10.1080/13554794.2011.588181</w:t>
        </w:r>
      </w:hyperlink>
    </w:p>
    <w:p w14:paraId="296A7C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Hayes, S. M., Hayes, J. P., Cadden, M., &amp; Verfaellie, M. (2013). A review of cardiorespiratory fitness-related neuroplasticity in the aging brain.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 </w:t>
      </w:r>
      <w:hyperlink r:id="rId2389" w:history="1">
        <w:r w:rsidRPr="004C4852">
          <w:rPr>
            <w:rFonts w:ascii="Times New Roman" w:eastAsia="Times New Roman" w:hAnsi="Times New Roman" w:cs="Times New Roman"/>
            <w:color w:val="0000FF"/>
            <w:sz w:val="24"/>
            <w:szCs w:val="24"/>
            <w:u w:val="single"/>
          </w:rPr>
          <w:t>https://doi.org/10.3389/fnagi.2013.00031</w:t>
        </w:r>
      </w:hyperlink>
    </w:p>
    <w:p w14:paraId="75364F4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Haynes, S. D. (1994). The experience of grief in the head-injured adult.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323–336. </w:t>
      </w:r>
      <w:hyperlink r:id="rId2390" w:history="1">
        <w:r w:rsidRPr="004C4852">
          <w:rPr>
            <w:rFonts w:ascii="Times New Roman" w:eastAsia="Times New Roman" w:hAnsi="Times New Roman" w:cs="Times New Roman"/>
            <w:color w:val="0000FF"/>
            <w:sz w:val="24"/>
            <w:szCs w:val="24"/>
            <w:u w:val="single"/>
          </w:rPr>
          <w:t>https://doi.org/10.1016/0887-6177(94)90020-5</w:t>
        </w:r>
      </w:hyperlink>
    </w:p>
    <w:p w14:paraId="3F8C33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Hazlett, K. E., Figueroa, C. M., &amp; Nielson, K. A. (2015). Executive functioning and risk for Alzheimer’s disease in the cognitively intact: Family history predicts Wisconsin Card Sorting Test performance.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582–591. </w:t>
      </w:r>
      <w:hyperlink r:id="rId2391" w:history="1">
        <w:r w:rsidRPr="004C4852">
          <w:rPr>
            <w:rFonts w:ascii="Times New Roman" w:eastAsia="Times New Roman" w:hAnsi="Times New Roman" w:cs="Times New Roman"/>
            <w:color w:val="0000FF"/>
            <w:sz w:val="24"/>
            <w:szCs w:val="24"/>
            <w:u w:val="single"/>
          </w:rPr>
          <w:t>https://doi.org/10.1037/neu0000181</w:t>
        </w:r>
      </w:hyperlink>
    </w:p>
    <w:p w14:paraId="009CE3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Head, D., Kennedy, K. M., Rodrigue, K. M., &amp; Raz, N. (2009). Age differences in perseveration: Cognitive and neuroanatomical mediators of performance on the Wisconsin Card Sorting Test.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(4), 1200–1203. </w:t>
      </w:r>
      <w:hyperlink r:id="rId2392" w:history="1">
        <w:r w:rsidRPr="004C4852">
          <w:rPr>
            <w:rFonts w:ascii="Times New Roman" w:eastAsia="Times New Roman" w:hAnsi="Times New Roman" w:cs="Times New Roman"/>
            <w:color w:val="0000FF"/>
            <w:sz w:val="24"/>
            <w:szCs w:val="24"/>
            <w:u w:val="single"/>
          </w:rPr>
          <w:t>https://doi.org/10.1016/j.neuropsychologia.2009.01.003</w:t>
        </w:r>
      </w:hyperlink>
    </w:p>
    <w:p w14:paraId="1DD9A40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Head, D., Raz, N., Gunning-Dixon, F., Williamson, A., &amp; Acker, J. D. (2002). Age-related differences in the course of cognitive skill acquisition: The role of regional cortical shrinkage and cognitive resources.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 72–84. </w:t>
      </w:r>
      <w:hyperlink r:id="rId2393" w:history="1">
        <w:r w:rsidRPr="004C4852">
          <w:rPr>
            <w:rFonts w:ascii="Times New Roman" w:eastAsia="Times New Roman" w:hAnsi="Times New Roman" w:cs="Times New Roman"/>
            <w:color w:val="0000FF"/>
            <w:sz w:val="24"/>
            <w:szCs w:val="24"/>
            <w:u w:val="single"/>
          </w:rPr>
          <w:t>https://doi.org/10.1037/0882-7974.17.1.72</w:t>
        </w:r>
      </w:hyperlink>
    </w:p>
    <w:p w14:paraId="417656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Healey, K. M., Penn, D. L., Perkins, D., Woods, S. W., Keefe, R. S. E., &amp; Addington, J. (2018). Latent profile analysis and conversion to psychosis: Characterizing subgroups to enhance risk prediction.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(2), 286–296. </w:t>
      </w:r>
      <w:hyperlink r:id="rId2394" w:history="1">
        <w:r w:rsidRPr="004C4852">
          <w:rPr>
            <w:rFonts w:ascii="Times New Roman" w:eastAsia="Times New Roman" w:hAnsi="Times New Roman" w:cs="Times New Roman"/>
            <w:color w:val="0000FF"/>
            <w:sz w:val="24"/>
            <w:szCs w:val="24"/>
            <w:u w:val="single"/>
          </w:rPr>
          <w:t>https://doi.org/10.1093/schbul/sbx080</w:t>
        </w:r>
      </w:hyperlink>
    </w:p>
    <w:p w14:paraId="73D85D1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Akshoomoff, N., Tulsky, D., Mungas, D., Weintraub, S., Dikmen, S., Beaumont, J., Casaletto, K. B., Conway, K., Slotkin, J., &amp; Gershon, R. (2014). Reliability and validity of composite scores from the NIH Toolbox Cognition Battery in adults.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(6), 588–598. </w:t>
      </w:r>
      <w:hyperlink r:id="rId2395" w:history="1">
        <w:r w:rsidRPr="004C4852">
          <w:rPr>
            <w:rFonts w:ascii="Times New Roman" w:eastAsia="Times New Roman" w:hAnsi="Times New Roman" w:cs="Times New Roman"/>
            <w:color w:val="0000FF"/>
            <w:sz w:val="24"/>
            <w:szCs w:val="24"/>
            <w:u w:val="single"/>
          </w:rPr>
          <w:t>https://doi.org/10.1017/S1355617714000241</w:t>
        </w:r>
      </w:hyperlink>
    </w:p>
    <w:p w14:paraId="4E78DA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Avitable, N., Grant, I., &amp; Matthews, C. G. (1999). Further crossvalidation of regression-based neuropsychological norms with an update for the Boston Naming Test.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(4), 571–582. </w:t>
      </w:r>
      <w:hyperlink r:id="rId2396" w:history="1">
        <w:r w:rsidRPr="004C4852">
          <w:rPr>
            <w:rFonts w:ascii="Times New Roman" w:eastAsia="Times New Roman" w:hAnsi="Times New Roman" w:cs="Times New Roman"/>
            <w:color w:val="0000FF"/>
            <w:sz w:val="24"/>
            <w:szCs w:val="24"/>
            <w:u w:val="single"/>
          </w:rPr>
          <w:t>https://doi.org/10.1076/jcen.21.4.572.882</w:t>
        </w:r>
      </w:hyperlink>
    </w:p>
    <w:p w14:paraId="0D683C3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Franklin, D. R., Ellis, R. J., McCutchan, J. A., Letendre, S. L., LeBlanc, S., Corkran, S. H., Duarte, N. A., Clifford, D. B., Woods, S. P., Collier, A. C., Marra, C. M., Morgello, S., Mindt, M. R., Taylor, M. J., Marcotte, T. D., Atkinson, J. H., Wolfson, T., Gelman, B. B., … Grant, I. (2011). HIV-associated neurocognitive disorders before and during the era of combination antiretroviral therapy: Differences in rates, nature, and predictors. </w:t>
      </w:r>
      <w:r w:rsidRPr="004C4852">
        <w:rPr>
          <w:rFonts w:ascii="Times New Roman" w:eastAsia="Times New Roman" w:hAnsi="Times New Roman" w:cs="Times New Roman"/>
          <w:i/>
          <w:iCs/>
          <w:sz w:val="24"/>
          <w:szCs w:val="24"/>
        </w:rPr>
        <w:t>Journal of Neurovirology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 3–16. </w:t>
      </w:r>
      <w:hyperlink r:id="rId2397" w:history="1">
        <w:r w:rsidRPr="004C4852">
          <w:rPr>
            <w:rFonts w:ascii="Times New Roman" w:eastAsia="Times New Roman" w:hAnsi="Times New Roman" w:cs="Times New Roman"/>
            <w:color w:val="0000FF"/>
            <w:sz w:val="24"/>
            <w:szCs w:val="24"/>
            <w:u w:val="single"/>
          </w:rPr>
          <w:t>https://doi.org/10.1007/s13365-010-0006-1</w:t>
        </w:r>
      </w:hyperlink>
    </w:p>
    <w:p w14:paraId="72DAC8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Heaton, R. K., Ryan, L., &amp; Grant, I. (2009). Demographic influences and use of demographically corrected norms in neuropsychological assessment. In </w:t>
      </w:r>
      <w:r w:rsidRPr="004C4852">
        <w:rPr>
          <w:rFonts w:ascii="Times New Roman" w:eastAsia="Times New Roman" w:hAnsi="Times New Roman" w:cs="Times New Roman"/>
          <w:i/>
          <w:iCs/>
          <w:sz w:val="24"/>
          <w:szCs w:val="24"/>
        </w:rPr>
        <w:t>Neuropsychological assessment of neuropsychiatric and neuromedical disorders, 3rd ed.</w:t>
      </w:r>
      <w:r w:rsidRPr="004C4852">
        <w:rPr>
          <w:rFonts w:ascii="Times New Roman" w:eastAsia="Times New Roman" w:hAnsi="Times New Roman" w:cs="Times New Roman"/>
          <w:sz w:val="24"/>
          <w:szCs w:val="24"/>
        </w:rPr>
        <w:t xml:space="preserve"> (pp. 127–155). Oxford University Press.</w:t>
      </w:r>
    </w:p>
    <w:p w14:paraId="4E550FA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Hebenstreit, C. L., DePrince, A. P., &amp; Chu, A. T. (2014). Interpersonal violence, depression, and executive function. </w:t>
      </w:r>
      <w:r w:rsidRPr="004C4852">
        <w:rPr>
          <w:rFonts w:ascii="Times New Roman" w:eastAsia="Times New Roman" w:hAnsi="Times New Roman" w:cs="Times New Roman"/>
          <w:i/>
          <w:iCs/>
          <w:sz w:val="24"/>
          <w:szCs w:val="24"/>
        </w:rPr>
        <w:t>Journal of Aggression, Maltreatment &amp; Trauma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168–187. </w:t>
      </w:r>
      <w:hyperlink r:id="rId2398" w:history="1">
        <w:r w:rsidRPr="004C4852">
          <w:rPr>
            <w:rFonts w:ascii="Times New Roman" w:eastAsia="Times New Roman" w:hAnsi="Times New Roman" w:cs="Times New Roman"/>
            <w:color w:val="0000FF"/>
            <w:sz w:val="24"/>
            <w:szCs w:val="24"/>
            <w:u w:val="single"/>
          </w:rPr>
          <w:t>https://doi.org/10.1080/10926771.2014.872749</w:t>
        </w:r>
      </w:hyperlink>
    </w:p>
    <w:p w14:paraId="304624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Hedden, T., &amp; Yoon, C. (2006). Individual differences in executive processing predict susceptibility to interference in verbal working memory.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 511–528. </w:t>
      </w:r>
      <w:hyperlink r:id="rId2399" w:history="1">
        <w:r w:rsidRPr="004C4852">
          <w:rPr>
            <w:rFonts w:ascii="Times New Roman" w:eastAsia="Times New Roman" w:hAnsi="Times New Roman" w:cs="Times New Roman"/>
            <w:color w:val="0000FF"/>
            <w:sz w:val="24"/>
            <w:szCs w:val="24"/>
            <w:u w:val="single"/>
          </w:rPr>
          <w:t>https://doi.org/10.1037/0894-4105.20.5.511</w:t>
        </w:r>
      </w:hyperlink>
    </w:p>
    <w:p w14:paraId="0DEB85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Heffelfinger, A. K., Koop, J. I., Fastenau, P. S., Brei, T. J., Conant, L., Katzenstein, J., Cashin, S. E., &amp; Sawin, K. J. (2008). The relationship of neuropsychological functioning to adaptation outcome in adolescents with spina bifida.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(5), 793–804. </w:t>
      </w:r>
      <w:hyperlink r:id="rId2400" w:history="1">
        <w:r w:rsidRPr="004C4852">
          <w:rPr>
            <w:rFonts w:ascii="Times New Roman" w:eastAsia="Times New Roman" w:hAnsi="Times New Roman" w:cs="Times New Roman"/>
            <w:color w:val="0000FF"/>
            <w:sz w:val="24"/>
            <w:szCs w:val="24"/>
            <w:u w:val="single"/>
          </w:rPr>
          <w:t>https://doi.org/10.1017/S1355617708081022</w:t>
        </w:r>
      </w:hyperlink>
    </w:p>
    <w:p w14:paraId="1F6880D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Hegde, S., Rao, S. L., Raguram, A., &amp; Gangadhar, B. N. (2013). Cognitive remediation of neurocognitive deficits in schizophrenia. In </w:t>
      </w:r>
      <w:r w:rsidRPr="004C4852">
        <w:rPr>
          <w:rFonts w:ascii="Times New Roman" w:eastAsia="Times New Roman" w:hAnsi="Times New Roman" w:cs="Times New Roman"/>
          <w:i/>
          <w:iCs/>
          <w:sz w:val="24"/>
          <w:szCs w:val="24"/>
        </w:rPr>
        <w:t>Neuropsychological rehabilitation: Principles and applications.</w:t>
      </w:r>
      <w:r w:rsidRPr="004C4852">
        <w:rPr>
          <w:rFonts w:ascii="Times New Roman" w:eastAsia="Times New Roman" w:hAnsi="Times New Roman" w:cs="Times New Roman"/>
          <w:sz w:val="24"/>
          <w:szCs w:val="24"/>
        </w:rPr>
        <w:t xml:space="preserve"> (pp. 123–153). Elsevier.</w:t>
      </w:r>
    </w:p>
    <w:p w14:paraId="07230D6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Hegde, S., Thirthalli, J., Rao, S. L., Raguram, A., Philip, M., &amp; Gangadhar, B. N. (2013). Cognitive deficits and its relation with psychopathology and global functioning in first episode schizophrenia.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(6), 537–543. </w:t>
      </w:r>
      <w:hyperlink r:id="rId2401" w:history="1">
        <w:r w:rsidRPr="004C4852">
          <w:rPr>
            <w:rFonts w:ascii="Times New Roman" w:eastAsia="Times New Roman" w:hAnsi="Times New Roman" w:cs="Times New Roman"/>
            <w:color w:val="0000FF"/>
            <w:sz w:val="24"/>
            <w:szCs w:val="24"/>
            <w:u w:val="single"/>
          </w:rPr>
          <w:t>https://doi.org/10.1016/j.ajp.2013.07.002</w:t>
        </w:r>
      </w:hyperlink>
    </w:p>
    <w:p w14:paraId="66C5C75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Hegedish, O., &amp; Hoofien, D. (2013). Detection of malingered neurocognitive dysfunction among patients with acquired brain injuries: A Word Memory Test study. </w:t>
      </w:r>
      <w:r w:rsidRPr="004C4852">
        <w:rPr>
          <w:rFonts w:ascii="Times New Roman" w:eastAsia="Times New Roman" w:hAnsi="Times New Roman" w:cs="Times New Roman"/>
          <w:i/>
          <w:iCs/>
          <w:sz w:val="24"/>
          <w:szCs w:val="24"/>
        </w:rPr>
        <w:t>European Journal of Psychological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253–262. </w:t>
      </w:r>
      <w:hyperlink r:id="rId2402" w:history="1">
        <w:r w:rsidRPr="004C4852">
          <w:rPr>
            <w:rFonts w:ascii="Times New Roman" w:eastAsia="Times New Roman" w:hAnsi="Times New Roman" w:cs="Times New Roman"/>
            <w:color w:val="0000FF"/>
            <w:sz w:val="24"/>
            <w:szCs w:val="24"/>
            <w:u w:val="single"/>
          </w:rPr>
          <w:t>https://doi.org/10.1027/1015-5759/a000154</w:t>
        </w:r>
      </w:hyperlink>
    </w:p>
    <w:p w14:paraId="4C7E15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Heikkilä, J., Ilonen, T., Karlsson, H., Taiminen, T., Lauerma, H., Leinonen, K.-M., Wallenius, E., Heinimaa, M., Koponen, S., Jalo, P., Kaljonen, A., &amp; Salokangas, R. K. R. (2006). Cognitive functioning and expressed emotion among patients with first-episode severe psychiatric disorders.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(2), 152–158. </w:t>
      </w:r>
      <w:hyperlink r:id="rId2403" w:history="1">
        <w:r w:rsidRPr="004C4852">
          <w:rPr>
            <w:rFonts w:ascii="Times New Roman" w:eastAsia="Times New Roman" w:hAnsi="Times New Roman" w:cs="Times New Roman"/>
            <w:color w:val="0000FF"/>
            <w:sz w:val="24"/>
            <w:szCs w:val="24"/>
            <w:u w:val="single"/>
          </w:rPr>
          <w:t>https://doi.org/10.1016/j.comppsych.2005.04.010</w:t>
        </w:r>
      </w:hyperlink>
    </w:p>
    <w:p w14:paraId="1C03EE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Heilbronner, R. L. (2005). Medical Malpractice, or “Up the Nose (and Brain) with an Endoscopic Hose.” In </w:t>
      </w:r>
      <w:r w:rsidRPr="004C4852">
        <w:rPr>
          <w:rFonts w:ascii="Times New Roman" w:eastAsia="Times New Roman" w:hAnsi="Times New Roman" w:cs="Times New Roman"/>
          <w:i/>
          <w:iCs/>
          <w:sz w:val="24"/>
          <w:szCs w:val="24"/>
        </w:rPr>
        <w:t>Forensic neuropsychology casebook.</w:t>
      </w:r>
      <w:r w:rsidRPr="004C4852">
        <w:rPr>
          <w:rFonts w:ascii="Times New Roman" w:eastAsia="Times New Roman" w:hAnsi="Times New Roman" w:cs="Times New Roman"/>
          <w:sz w:val="24"/>
          <w:szCs w:val="24"/>
        </w:rPr>
        <w:t xml:space="preserve"> (pp. 56–74). The Guilford Press.</w:t>
      </w:r>
    </w:p>
    <w:p w14:paraId="5DE697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Heilbronner, R. L. (2017). Neuropsychological testimony. In S. S. Bush, G. J. Demakis, &amp; M. L. Rohling (Eds.), </w:t>
      </w:r>
      <w:r w:rsidRPr="004C4852">
        <w:rPr>
          <w:rFonts w:ascii="Times New Roman" w:eastAsia="Times New Roman" w:hAnsi="Times New Roman" w:cs="Times New Roman"/>
          <w:i/>
          <w:iCs/>
          <w:sz w:val="24"/>
          <w:szCs w:val="24"/>
        </w:rPr>
        <w:t>APA handbook of forensic neuropsychology.</w:t>
      </w:r>
      <w:r w:rsidRPr="004C4852">
        <w:rPr>
          <w:rFonts w:ascii="Times New Roman" w:eastAsia="Times New Roman" w:hAnsi="Times New Roman" w:cs="Times New Roman"/>
          <w:sz w:val="24"/>
          <w:szCs w:val="24"/>
        </w:rPr>
        <w:t xml:space="preserve"> (pp. 433–443). American Psychological Association. </w:t>
      </w:r>
      <w:hyperlink r:id="rId2404" w:history="1">
        <w:r w:rsidRPr="004C4852">
          <w:rPr>
            <w:rFonts w:ascii="Times New Roman" w:eastAsia="Times New Roman" w:hAnsi="Times New Roman" w:cs="Times New Roman"/>
            <w:color w:val="0000FF"/>
            <w:sz w:val="24"/>
            <w:szCs w:val="24"/>
            <w:u w:val="single"/>
          </w:rPr>
          <w:t>https://doi.org/10.1037/0000032-019</w:t>
        </w:r>
      </w:hyperlink>
    </w:p>
    <w:p w14:paraId="724F748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Heilbronner, R. L., &amp; Henry, G. K. (2012). Neuropsychological assessment and consultation in forensic practice: A practical approach to work-related injuries. In </w:t>
      </w:r>
      <w:r w:rsidRPr="004C4852">
        <w:rPr>
          <w:rFonts w:ascii="Times New Roman" w:eastAsia="Times New Roman" w:hAnsi="Times New Roman" w:cs="Times New Roman"/>
          <w:i/>
          <w:iCs/>
          <w:sz w:val="24"/>
          <w:szCs w:val="24"/>
        </w:rPr>
        <w:t>Neuropsychological assessment of work-related injuries.</w:t>
      </w:r>
      <w:r w:rsidRPr="004C4852">
        <w:rPr>
          <w:rFonts w:ascii="Times New Roman" w:eastAsia="Times New Roman" w:hAnsi="Times New Roman" w:cs="Times New Roman"/>
          <w:sz w:val="24"/>
          <w:szCs w:val="24"/>
        </w:rPr>
        <w:t xml:space="preserve"> (pp. 303–320). Guilford Press.</w:t>
      </w:r>
    </w:p>
    <w:p w14:paraId="6D3717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Heilig, M., Barbier, E., Johnstone, A. L., Tapocik, J., Meinhardt, M. W., Pfarr, S., Wahlestedt, C., &amp; Sommer, W. H. (2017). Reprogramming of mPFC transcriptome and function in alcohol dependence. </w:t>
      </w:r>
      <w:r w:rsidRPr="004C4852">
        <w:rPr>
          <w:rFonts w:ascii="Times New Roman" w:eastAsia="Times New Roman" w:hAnsi="Times New Roman" w:cs="Times New Roman"/>
          <w:i/>
          <w:iCs/>
          <w:sz w:val="24"/>
          <w:szCs w:val="24"/>
        </w:rPr>
        <w:t>Genes, Brain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(1), 86–100. </w:t>
      </w:r>
      <w:hyperlink r:id="rId2405" w:history="1">
        <w:r w:rsidRPr="004C4852">
          <w:rPr>
            <w:rFonts w:ascii="Times New Roman" w:eastAsia="Times New Roman" w:hAnsi="Times New Roman" w:cs="Times New Roman"/>
            <w:color w:val="0000FF"/>
            <w:sz w:val="24"/>
            <w:szCs w:val="24"/>
            <w:u w:val="single"/>
          </w:rPr>
          <w:t>https://doi.org/10.1111/gbb.12344</w:t>
        </w:r>
      </w:hyperlink>
    </w:p>
    <w:p w14:paraId="7592E7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Heims, H. C., Critchley, H. D., Dolan, R., Mathias, C. J., &amp; Cipolotti, L. (2004). Social and motivational functioning is not critically dependent on feedback of autonomic responses: Neuropsychological evidence from patients with pure autonomic failure.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(14), 1979–1988. </w:t>
      </w:r>
      <w:hyperlink r:id="rId2406" w:history="1">
        <w:r w:rsidRPr="004C4852">
          <w:rPr>
            <w:rFonts w:ascii="Times New Roman" w:eastAsia="Times New Roman" w:hAnsi="Times New Roman" w:cs="Times New Roman"/>
            <w:color w:val="0000FF"/>
            <w:sz w:val="24"/>
            <w:szCs w:val="24"/>
            <w:u w:val="single"/>
          </w:rPr>
          <w:t>https://doi.org/10.1016/j.neuropsychologia.2004.06.001</w:t>
        </w:r>
      </w:hyperlink>
    </w:p>
    <w:p w14:paraId="1FBFCD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Heinly, M. T., Greve, K. W., Bianchini, B., Love, J. M., &amp; Brennan, A. (2005). WAIS Digit Span-Based Indicators of Malingered Neurocognitive Dysfunction: Classification Accuracy in Traumatic Brain Injury. </w:t>
      </w:r>
      <w:r w:rsidRPr="004C4852">
        <w:rPr>
          <w:rFonts w:ascii="Times New Roman" w:eastAsia="Times New Roman" w:hAnsi="Times New Roman" w:cs="Times New Roman"/>
          <w:i/>
          <w:iCs/>
          <w:sz w:val="24"/>
          <w:szCs w:val="24"/>
        </w:rPr>
        <w:t>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(4), 429–444. </w:t>
      </w:r>
      <w:hyperlink r:id="rId2407" w:history="1">
        <w:r w:rsidRPr="004C4852">
          <w:rPr>
            <w:rFonts w:ascii="Times New Roman" w:eastAsia="Times New Roman" w:hAnsi="Times New Roman" w:cs="Times New Roman"/>
            <w:color w:val="0000FF"/>
            <w:sz w:val="24"/>
            <w:szCs w:val="24"/>
            <w:u w:val="single"/>
          </w:rPr>
          <w:t>https://doi.org/10.1177/1073191105281099</w:t>
        </w:r>
      </w:hyperlink>
    </w:p>
    <w:p w14:paraId="1C3532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Heinrichs, R. W., Miles, A. A., Ammari, N., &amp; Muharib, E. (2013). Cognition as a central illness feature in schizophrenia. In </w:t>
      </w:r>
      <w:r w:rsidRPr="004C4852">
        <w:rPr>
          <w:rFonts w:ascii="Times New Roman" w:eastAsia="Times New Roman" w:hAnsi="Times New Roman" w:cs="Times New Roman"/>
          <w:i/>
          <w:iCs/>
          <w:sz w:val="24"/>
          <w:szCs w:val="24"/>
        </w:rPr>
        <w:t>Cognitive impairment in schizophrenia: Characteristics, assessment and treatment.</w:t>
      </w:r>
      <w:r w:rsidRPr="004C4852">
        <w:rPr>
          <w:rFonts w:ascii="Times New Roman" w:eastAsia="Times New Roman" w:hAnsi="Times New Roman" w:cs="Times New Roman"/>
          <w:sz w:val="24"/>
          <w:szCs w:val="24"/>
        </w:rPr>
        <w:t xml:space="preserve"> (pp. 1–23). Cambridge University Press. </w:t>
      </w:r>
      <w:hyperlink r:id="rId2408" w:history="1">
        <w:r w:rsidRPr="004C4852">
          <w:rPr>
            <w:rFonts w:ascii="Times New Roman" w:eastAsia="Times New Roman" w:hAnsi="Times New Roman" w:cs="Times New Roman"/>
            <w:color w:val="0000FF"/>
            <w:sz w:val="24"/>
            <w:szCs w:val="24"/>
            <w:u w:val="single"/>
          </w:rPr>
          <w:t>https://doi.org/10.1017/CBO9781139003872.002</w:t>
        </w:r>
      </w:hyperlink>
    </w:p>
    <w:p w14:paraId="3FEA1A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Heinrichs, R. W., Ruttan, L., Zakzanis, K. K., &amp; Case, D. (1997). Parsing schizophrenia in neurocognitive tests: Evidence of stability and validity.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(2), 207–224. </w:t>
      </w:r>
      <w:hyperlink r:id="rId2409" w:history="1">
        <w:r w:rsidRPr="004C4852">
          <w:rPr>
            <w:rFonts w:ascii="Times New Roman" w:eastAsia="Times New Roman" w:hAnsi="Times New Roman" w:cs="Times New Roman"/>
            <w:color w:val="0000FF"/>
            <w:sz w:val="24"/>
            <w:szCs w:val="24"/>
            <w:u w:val="single"/>
          </w:rPr>
          <w:t>https://doi.org/10.1006/brcg.1997.0938</w:t>
        </w:r>
      </w:hyperlink>
    </w:p>
    <w:p w14:paraId="131A51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Heinz, A. J., Pennington, D. L., Cohen, N., Schmeling, B., Lasher, B. A., Schrodek, E., &amp; Batki, S. L. (2016). Relations between cognitive functioning and alcohol use, craving, and post-traumatic stress: An examination among trauma-exposed military veterans with alcohol use disorder. </w:t>
      </w:r>
      <w:r w:rsidRPr="004C4852">
        <w:rPr>
          <w:rFonts w:ascii="Times New Roman" w:eastAsia="Times New Roman" w:hAnsi="Times New Roman" w:cs="Times New Roman"/>
          <w:i/>
          <w:iCs/>
          <w:sz w:val="24"/>
          <w:szCs w:val="24"/>
        </w:rPr>
        <w:t>Military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181</w:t>
      </w:r>
      <w:r w:rsidRPr="004C4852">
        <w:rPr>
          <w:rFonts w:ascii="Times New Roman" w:eastAsia="Times New Roman" w:hAnsi="Times New Roman" w:cs="Times New Roman"/>
          <w:sz w:val="24"/>
          <w:szCs w:val="24"/>
        </w:rPr>
        <w:t xml:space="preserve">(7), 663–671. </w:t>
      </w:r>
      <w:hyperlink r:id="rId2410" w:history="1">
        <w:r w:rsidRPr="004C4852">
          <w:rPr>
            <w:rFonts w:ascii="Times New Roman" w:eastAsia="Times New Roman" w:hAnsi="Times New Roman" w:cs="Times New Roman"/>
            <w:color w:val="0000FF"/>
            <w:sz w:val="24"/>
            <w:szCs w:val="24"/>
            <w:u w:val="single"/>
          </w:rPr>
          <w:t>https://doi.org/10.7205/MILMED-D-15-00228</w:t>
        </w:r>
      </w:hyperlink>
    </w:p>
    <w:p w14:paraId="73A8E9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Helder, E. J., Zuverza-Chavarria, V., &amp; Whitman, R. D. (2016). Executive functioning and lateralized semantic priming in older adults. </w:t>
      </w:r>
      <w:r w:rsidRPr="004C4852">
        <w:rPr>
          <w:rFonts w:ascii="Times New Roman" w:eastAsia="Times New Roman" w:hAnsi="Times New Roman" w:cs="Times New Roman"/>
          <w:i/>
          <w:iCs/>
          <w:sz w:val="24"/>
          <w:szCs w:val="24"/>
        </w:rPr>
        <w:t>Cogent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(1).</w:t>
      </w:r>
    </w:p>
    <w:p w14:paraId="3202E49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Heled, E., Hoofien, D., Margalit, D., Natovich, R., &amp; Agranov, E. (2012). The Delis–Kaplan executive function system sorting test as an evaluative tool for executive functions after severe traumatic brain injury: A comparative study.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(2), 151–159. </w:t>
      </w:r>
      <w:hyperlink r:id="rId2411" w:history="1">
        <w:r w:rsidRPr="004C4852">
          <w:rPr>
            <w:rFonts w:ascii="Times New Roman" w:eastAsia="Times New Roman" w:hAnsi="Times New Roman" w:cs="Times New Roman"/>
            <w:color w:val="0000FF"/>
            <w:sz w:val="24"/>
            <w:szCs w:val="24"/>
            <w:u w:val="single"/>
          </w:rPr>
          <w:t>https://doi.org/10.1080/13803395.2011.625351</w:t>
        </w:r>
      </w:hyperlink>
    </w:p>
    <w:p w14:paraId="3408F2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Helfritz, L. E., Stanford, M. S., Conklin, S. M., Greve, K. W., Villemarette-Pittman, N. R., &amp; Houston, R. J. (2006). Usefulness of self-report instruments in assessing men accused of domestic violence. </w:t>
      </w:r>
      <w:r w:rsidRPr="004C4852">
        <w:rPr>
          <w:rFonts w:ascii="Times New Roman" w:eastAsia="Times New Roman" w:hAnsi="Times New Roman" w:cs="Times New Roman"/>
          <w:i/>
          <w:iCs/>
          <w:sz w:val="24"/>
          <w:szCs w:val="24"/>
        </w:rPr>
        <w:t>The Psychological Record</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56</w:t>
      </w:r>
      <w:r w:rsidRPr="004C4852">
        <w:rPr>
          <w:rFonts w:ascii="Times New Roman" w:eastAsia="Times New Roman" w:hAnsi="Times New Roman" w:cs="Times New Roman"/>
          <w:sz w:val="24"/>
          <w:szCs w:val="24"/>
        </w:rPr>
        <w:t>(2), 171–180.</w:t>
      </w:r>
    </w:p>
    <w:p w14:paraId="565139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Helland, T., &amp; Asbjørnsen, A. (2000). Executive functions in dyslexia.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(1), 37–48. </w:t>
      </w:r>
      <w:hyperlink r:id="rId2412" w:history="1">
        <w:r w:rsidRPr="004C4852">
          <w:rPr>
            <w:rFonts w:ascii="Times New Roman" w:eastAsia="Times New Roman" w:hAnsi="Times New Roman" w:cs="Times New Roman"/>
            <w:color w:val="0000FF"/>
            <w:sz w:val="24"/>
            <w:szCs w:val="24"/>
            <w:u w:val="single"/>
          </w:rPr>
          <w:t>https://doi.org/10.1076/0929-7049(200003)6:1;1-B;FT037</w:t>
        </w:r>
      </w:hyperlink>
    </w:p>
    <w:p w14:paraId="0512C9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Helldin, L., Hjärthag, F., Olsson, A.-K., &amp; Harvey, P. D. (2015). Cognitive performance, symptom severity, and survival among patients with schizophrenia spectrum disorder: A prospective 15-year study.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169</w:t>
      </w:r>
      <w:r w:rsidRPr="004C4852">
        <w:rPr>
          <w:rFonts w:ascii="Times New Roman" w:eastAsia="Times New Roman" w:hAnsi="Times New Roman" w:cs="Times New Roman"/>
          <w:sz w:val="24"/>
          <w:szCs w:val="24"/>
        </w:rPr>
        <w:t xml:space="preserve">(1–3), 141–146. </w:t>
      </w:r>
      <w:hyperlink r:id="rId2413" w:history="1">
        <w:r w:rsidRPr="004C4852">
          <w:rPr>
            <w:rFonts w:ascii="Times New Roman" w:eastAsia="Times New Roman" w:hAnsi="Times New Roman" w:cs="Times New Roman"/>
            <w:color w:val="0000FF"/>
            <w:sz w:val="24"/>
            <w:szCs w:val="24"/>
            <w:u w:val="single"/>
          </w:rPr>
          <w:t>https://doi.org/10.1016/j.schres.2015.09.009</w:t>
        </w:r>
      </w:hyperlink>
    </w:p>
    <w:p w14:paraId="3CC550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Helldin, L., Kane, J. M., Karilampi, U., Norlander, T., &amp; Archer, T. (2006). Remission and cognitive ability in a cohort of patients with schizophrenia.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(8), 738–745. </w:t>
      </w:r>
      <w:hyperlink r:id="rId2414" w:history="1">
        <w:r w:rsidRPr="004C4852">
          <w:rPr>
            <w:rFonts w:ascii="Times New Roman" w:eastAsia="Times New Roman" w:hAnsi="Times New Roman" w:cs="Times New Roman"/>
            <w:color w:val="0000FF"/>
            <w:sz w:val="24"/>
            <w:szCs w:val="24"/>
            <w:u w:val="single"/>
          </w:rPr>
          <w:t>https://doi.org/10.1016/j.jpsychires.2006.07.005</w:t>
        </w:r>
      </w:hyperlink>
    </w:p>
    <w:p w14:paraId="78B6E7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Hellinger, N., Lipskaya-Velikovsky, L., Weizman, A., &amp; Ratzon, N. Z. (2019). Comparing executive functioning and clinical and sociodemographic characteristics of people with schizophrenia who hold a driver’s license to those who do not. </w:t>
      </w:r>
      <w:r w:rsidRPr="004C4852">
        <w:rPr>
          <w:rFonts w:ascii="Times New Roman" w:eastAsia="Times New Roman" w:hAnsi="Times New Roman" w:cs="Times New Roman"/>
          <w:i/>
          <w:iCs/>
          <w:sz w:val="24"/>
          <w:szCs w:val="24"/>
        </w:rPr>
        <w:t>Canadian Journal of Occupational Therapy / Revue Canadienne D’Ergothérapie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86</w:t>
      </w:r>
      <w:r w:rsidRPr="004C4852">
        <w:rPr>
          <w:rFonts w:ascii="Times New Roman" w:eastAsia="Times New Roman" w:hAnsi="Times New Roman" w:cs="Times New Roman"/>
          <w:sz w:val="24"/>
          <w:szCs w:val="24"/>
        </w:rPr>
        <w:t xml:space="preserve">(1), 70–80. </w:t>
      </w:r>
      <w:hyperlink r:id="rId2415" w:history="1">
        <w:r w:rsidRPr="004C4852">
          <w:rPr>
            <w:rFonts w:ascii="Times New Roman" w:eastAsia="Times New Roman" w:hAnsi="Times New Roman" w:cs="Times New Roman"/>
            <w:color w:val="0000FF"/>
            <w:sz w:val="24"/>
            <w:szCs w:val="24"/>
            <w:u w:val="single"/>
          </w:rPr>
          <w:t>https://doi.org/10.1177/0008417419831399</w:t>
        </w:r>
      </w:hyperlink>
    </w:p>
    <w:p w14:paraId="1BD75F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Hellman, S. G., Kern, R. S., Neilson, L. M., &amp; Green, M. F. (1998). Monetary reinforcement and Wisconsin Card Sorting performance in schizophrenia: Why show me the money?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(1–2), 67–75. </w:t>
      </w:r>
      <w:hyperlink r:id="rId2416" w:history="1">
        <w:r w:rsidRPr="004C4852">
          <w:rPr>
            <w:rFonts w:ascii="Times New Roman" w:eastAsia="Times New Roman" w:hAnsi="Times New Roman" w:cs="Times New Roman"/>
            <w:color w:val="0000FF"/>
            <w:sz w:val="24"/>
            <w:szCs w:val="24"/>
            <w:u w:val="single"/>
          </w:rPr>
          <w:t>https://doi.org/10.1016/S0920-9964(98)00088-7</w:t>
        </w:r>
      </w:hyperlink>
    </w:p>
    <w:p w14:paraId="3067A9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Hellvin, T., Sundet, K., Simonsen, C., Aminoff, S. R., Lagerberg, T. V., Andreassen, O. A., &amp; Melle, I. (2012). Neurocognitive functioning in patients recently diagnosed with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(3), 227–238. </w:t>
      </w:r>
      <w:hyperlink r:id="rId2417" w:history="1">
        <w:r w:rsidRPr="004C4852">
          <w:rPr>
            <w:rFonts w:ascii="Times New Roman" w:eastAsia="Times New Roman" w:hAnsi="Times New Roman" w:cs="Times New Roman"/>
            <w:color w:val="0000FF"/>
            <w:sz w:val="24"/>
            <w:szCs w:val="24"/>
            <w:u w:val="single"/>
          </w:rPr>
          <w:t>https://doi.org/10.1111/j.1399-5618.2012.01004.x</w:t>
        </w:r>
      </w:hyperlink>
    </w:p>
    <w:p w14:paraId="13E743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Helmes, E., &amp; Harris, S. (2017). Exercise and executive functioning in older women. </w:t>
      </w:r>
      <w:r w:rsidRPr="004C4852">
        <w:rPr>
          <w:rFonts w:ascii="Times New Roman" w:eastAsia="Times New Roman" w:hAnsi="Times New Roman" w:cs="Times New Roman"/>
          <w:i/>
          <w:iCs/>
          <w:sz w:val="24"/>
          <w:szCs w:val="24"/>
        </w:rPr>
        <w:t>Journal of Women &amp;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(5), 376–384. </w:t>
      </w:r>
      <w:hyperlink r:id="rId2418" w:history="1">
        <w:r w:rsidRPr="004C4852">
          <w:rPr>
            <w:rFonts w:ascii="Times New Roman" w:eastAsia="Times New Roman" w:hAnsi="Times New Roman" w:cs="Times New Roman"/>
            <w:color w:val="0000FF"/>
            <w:sz w:val="24"/>
            <w:szCs w:val="24"/>
            <w:u w:val="single"/>
          </w:rPr>
          <w:t>https://doi.org/10.1080/08952841.2016.1256736</w:t>
        </w:r>
      </w:hyperlink>
    </w:p>
    <w:p w14:paraId="2A1553C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Heluani, A. S., de Gobbi Porto, F. H., Listik, S., de Campos, A. W., Costa Machado, A. A., Cukiert, A., &amp; de Oliveira Jr., J. O. (2012). Neuropsychological and quality of life assessment in patients with Parkinson’s disease submitted to bilateral deep brain stimulation in the subthalamic nucleus. </w:t>
      </w:r>
      <w:r w:rsidRPr="004C4852">
        <w:rPr>
          <w:rFonts w:ascii="Times New Roman" w:eastAsia="Times New Roman" w:hAnsi="Times New Roman" w:cs="Times New Roman"/>
          <w:i/>
          <w:iCs/>
          <w:sz w:val="24"/>
          <w:szCs w:val="24"/>
        </w:rPr>
        <w:t>Dementia &amp; 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(4), 260–265. </w:t>
      </w:r>
      <w:hyperlink r:id="rId2419" w:history="1">
        <w:r w:rsidRPr="004C4852">
          <w:rPr>
            <w:rFonts w:ascii="Times New Roman" w:eastAsia="Times New Roman" w:hAnsi="Times New Roman" w:cs="Times New Roman"/>
            <w:color w:val="0000FF"/>
            <w:sz w:val="24"/>
            <w:szCs w:val="24"/>
            <w:u w:val="single"/>
          </w:rPr>
          <w:t>https://doi.org/10.1590/S1980-57642012DN06040010</w:t>
        </w:r>
      </w:hyperlink>
    </w:p>
    <w:p w14:paraId="0F3CB2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Hénaff, M.-A., Bayle, D., Krolak-Salmon, P., &amp; Fonlupt, P. (2010). Cortical dynamics of a self driven choice: A MEG study during a card sorting task. </w:t>
      </w:r>
      <w:r w:rsidRPr="004C4852">
        <w:rPr>
          <w:rFonts w:ascii="Times New Roman" w:eastAsia="Times New Roman" w:hAnsi="Times New Roman" w:cs="Times New Roman"/>
          <w:i/>
          <w:iCs/>
          <w:sz w:val="24"/>
          <w:szCs w:val="24"/>
        </w:rPr>
        <w:t>Clinical Neurophysiology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121</w:t>
      </w:r>
      <w:r w:rsidRPr="004C4852">
        <w:rPr>
          <w:rFonts w:ascii="Times New Roman" w:eastAsia="Times New Roman" w:hAnsi="Times New Roman" w:cs="Times New Roman"/>
          <w:sz w:val="24"/>
          <w:szCs w:val="24"/>
        </w:rPr>
        <w:t xml:space="preserve">(4), 508–515. </w:t>
      </w:r>
      <w:hyperlink r:id="rId2420" w:history="1">
        <w:r w:rsidRPr="004C4852">
          <w:rPr>
            <w:rFonts w:ascii="Times New Roman" w:eastAsia="Times New Roman" w:hAnsi="Times New Roman" w:cs="Times New Roman"/>
            <w:color w:val="0000FF"/>
            <w:sz w:val="24"/>
            <w:szCs w:val="24"/>
            <w:u w:val="single"/>
          </w:rPr>
          <w:t>https://doi.org/10.1016/j.clinph.2009.11.082</w:t>
        </w:r>
      </w:hyperlink>
    </w:p>
    <w:p w14:paraId="268CF00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Hendrawan, D., Yamakawa, K., Kimura, M., Murakami, H., &amp; Ohira, H. (2012). Executive functioning performance predicts subjective and physiological acute stress reactivity: Preliminary results.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84</w:t>
      </w:r>
      <w:r w:rsidRPr="004C4852">
        <w:rPr>
          <w:rFonts w:ascii="Times New Roman" w:eastAsia="Times New Roman" w:hAnsi="Times New Roman" w:cs="Times New Roman"/>
          <w:sz w:val="24"/>
          <w:szCs w:val="24"/>
        </w:rPr>
        <w:t xml:space="preserve">(3), 277–283. </w:t>
      </w:r>
      <w:hyperlink r:id="rId2421" w:history="1">
        <w:r w:rsidRPr="004C4852">
          <w:rPr>
            <w:rFonts w:ascii="Times New Roman" w:eastAsia="Times New Roman" w:hAnsi="Times New Roman" w:cs="Times New Roman"/>
            <w:color w:val="0000FF"/>
            <w:sz w:val="24"/>
            <w:szCs w:val="24"/>
            <w:u w:val="single"/>
          </w:rPr>
          <w:t>https://doi.org/10.1016/j.ijpsycho.2012.03.006</w:t>
        </w:r>
      </w:hyperlink>
    </w:p>
    <w:p w14:paraId="07E0D1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Hengst, J. A., Duff, M. C., &amp; Dettmer, A. (2010). Rethinking repetition in therapy: Repeated engagement as the social ground of learning.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(6–8), 887–901. </w:t>
      </w:r>
      <w:hyperlink r:id="rId2422" w:history="1">
        <w:r w:rsidRPr="004C4852">
          <w:rPr>
            <w:rFonts w:ascii="Times New Roman" w:eastAsia="Times New Roman" w:hAnsi="Times New Roman" w:cs="Times New Roman"/>
            <w:color w:val="0000FF"/>
            <w:sz w:val="24"/>
            <w:szCs w:val="24"/>
            <w:u w:val="single"/>
          </w:rPr>
          <w:t>https://doi.org/10.1080/02687030903478330</w:t>
        </w:r>
      </w:hyperlink>
    </w:p>
    <w:p w14:paraId="56C196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Henin, A., Mick, E., Biederman, J., Fried, R., Wozniak, J., Faraone, S. V., Harrington, K., Davis, S., &amp; Doyle, A. E. (2007). Can bipolar disorder-specific neuropsychological impairments in children be identified? </w:t>
      </w:r>
      <w:r w:rsidRPr="004C4852">
        <w:rPr>
          <w:rFonts w:ascii="Times New Roman" w:eastAsia="Times New Roman" w:hAnsi="Times New Roman" w:cs="Times New Roman"/>
          <w:i/>
          <w:iCs/>
          <w:sz w:val="24"/>
          <w:szCs w:val="24"/>
        </w:rPr>
        <w:t>Journal of Consulting and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 xml:space="preserve">(2), 210–220. </w:t>
      </w:r>
      <w:hyperlink r:id="rId2423" w:history="1">
        <w:r w:rsidRPr="004C4852">
          <w:rPr>
            <w:rFonts w:ascii="Times New Roman" w:eastAsia="Times New Roman" w:hAnsi="Times New Roman" w:cs="Times New Roman"/>
            <w:color w:val="0000FF"/>
            <w:sz w:val="24"/>
            <w:szCs w:val="24"/>
            <w:u w:val="single"/>
          </w:rPr>
          <w:t>https://doi.org/10.1037/0022-006X.75.2.210</w:t>
        </w:r>
      </w:hyperlink>
    </w:p>
    <w:p w14:paraId="5BC6DC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A., Tourbah, A., Chaunu, M.-P., Bakchine, S., &amp; Montreuil, M. (2017). Social cognition abilities in patients with different multiple sclerosis subtypes.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(8), 653–664. </w:t>
      </w:r>
      <w:hyperlink r:id="rId2424" w:history="1">
        <w:r w:rsidRPr="004C4852">
          <w:rPr>
            <w:rFonts w:ascii="Times New Roman" w:eastAsia="Times New Roman" w:hAnsi="Times New Roman" w:cs="Times New Roman"/>
            <w:color w:val="0000FF"/>
            <w:sz w:val="24"/>
            <w:szCs w:val="24"/>
            <w:u w:val="single"/>
          </w:rPr>
          <w:t>https://doi.org/10.1017/S1355617717000510</w:t>
        </w:r>
      </w:hyperlink>
    </w:p>
    <w:p w14:paraId="77176F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Minassian, A., &amp; Perry, W. (2010). Effect of methamphetamine dependence on everyday functional ability. </w:t>
      </w:r>
      <w:r w:rsidRPr="004C4852">
        <w:rPr>
          <w:rFonts w:ascii="Times New Roman" w:eastAsia="Times New Roman" w:hAnsi="Times New Roman" w:cs="Times New Roman"/>
          <w:i/>
          <w:iCs/>
          <w:sz w:val="24"/>
          <w:szCs w:val="24"/>
        </w:rPr>
        <w:t>Addictive Behaviors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(6), 593–598. </w:t>
      </w:r>
      <w:hyperlink r:id="rId2425" w:history="1">
        <w:r w:rsidRPr="004C4852">
          <w:rPr>
            <w:rFonts w:ascii="Times New Roman" w:eastAsia="Times New Roman" w:hAnsi="Times New Roman" w:cs="Times New Roman"/>
            <w:color w:val="0000FF"/>
            <w:sz w:val="24"/>
            <w:szCs w:val="24"/>
            <w:u w:val="single"/>
          </w:rPr>
          <w:t>https://doi.org/10.1016/j.addbeh.2010.01.013</w:t>
        </w:r>
      </w:hyperlink>
    </w:p>
    <w:p w14:paraId="592ED2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Minassian, A., &amp; Perry, W. (2013). Everyday functional ability across different phases of bipolar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210</w:t>
      </w:r>
      <w:r w:rsidRPr="004C4852">
        <w:rPr>
          <w:rFonts w:ascii="Times New Roman" w:eastAsia="Times New Roman" w:hAnsi="Times New Roman" w:cs="Times New Roman"/>
          <w:sz w:val="24"/>
          <w:szCs w:val="24"/>
        </w:rPr>
        <w:t xml:space="preserve">(3), 850–856. </w:t>
      </w:r>
      <w:hyperlink r:id="rId2426" w:history="1">
        <w:r w:rsidRPr="004C4852">
          <w:rPr>
            <w:rFonts w:ascii="Times New Roman" w:eastAsia="Times New Roman" w:hAnsi="Times New Roman" w:cs="Times New Roman"/>
            <w:color w:val="0000FF"/>
            <w:sz w:val="24"/>
            <w:szCs w:val="24"/>
            <w:u w:val="single"/>
          </w:rPr>
          <w:t>https://doi.org/10.1016/j.psychres.2013.04.006</w:t>
        </w:r>
      </w:hyperlink>
    </w:p>
    <w:p w14:paraId="7449E5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Minassian, A., van Rhenen, M., Young, J. W., Geyer, M. A., &amp; Perry, W. (2011). Effect of methamphetamine dependence on inhibitory deficits in a novel human open-field paradigm.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215</w:t>
      </w:r>
      <w:r w:rsidRPr="004C4852">
        <w:rPr>
          <w:rFonts w:ascii="Times New Roman" w:eastAsia="Times New Roman" w:hAnsi="Times New Roman" w:cs="Times New Roman"/>
          <w:sz w:val="24"/>
          <w:szCs w:val="24"/>
        </w:rPr>
        <w:t xml:space="preserve">(4), 697–707. </w:t>
      </w:r>
      <w:hyperlink r:id="rId2427" w:history="1">
        <w:r w:rsidRPr="004C4852">
          <w:rPr>
            <w:rFonts w:ascii="Times New Roman" w:eastAsia="Times New Roman" w:hAnsi="Times New Roman" w:cs="Times New Roman"/>
            <w:color w:val="0000FF"/>
            <w:sz w:val="24"/>
            <w:szCs w:val="24"/>
            <w:u w:val="single"/>
          </w:rPr>
          <w:t>https://doi.org/10.1007/s00213-011-2170-2</w:t>
        </w:r>
      </w:hyperlink>
    </w:p>
    <w:p w14:paraId="51F348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B. L., &amp; Moore, D. J. (2016). Preliminary findings describing participant experience with iSTEP, an mHealth intervention to increase physical activity and improve neurocognitive function in people living with HIV. </w:t>
      </w:r>
      <w:r w:rsidRPr="004C4852">
        <w:rPr>
          <w:rFonts w:ascii="Times New Roman" w:eastAsia="Times New Roman" w:hAnsi="Times New Roman" w:cs="Times New Roman"/>
          <w:i/>
          <w:iCs/>
          <w:sz w:val="24"/>
          <w:szCs w:val="24"/>
        </w:rPr>
        <w:t>JANAC: Journal of the Association of Nurses in AIDS Care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(4), 495–511. </w:t>
      </w:r>
      <w:hyperlink r:id="rId2428" w:history="1">
        <w:r w:rsidRPr="004C4852">
          <w:rPr>
            <w:rFonts w:ascii="Times New Roman" w:eastAsia="Times New Roman" w:hAnsi="Times New Roman" w:cs="Times New Roman"/>
            <w:color w:val="0000FF"/>
            <w:sz w:val="24"/>
            <w:szCs w:val="24"/>
            <w:u w:val="single"/>
          </w:rPr>
          <w:t>https://doi.org/10.1016/j.jana.2016.01.001</w:t>
        </w:r>
      </w:hyperlink>
    </w:p>
    <w:p w14:paraId="7D3843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G. K. (2014). Evidence of neuropsychological dysfunction in Stevens–Johnson syndrome and toxic epidermal necrolysis: Case report.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(5), 841–850. </w:t>
      </w:r>
      <w:hyperlink r:id="rId2429" w:history="1">
        <w:r w:rsidRPr="004C4852">
          <w:rPr>
            <w:rFonts w:ascii="Times New Roman" w:eastAsia="Times New Roman" w:hAnsi="Times New Roman" w:cs="Times New Roman"/>
            <w:color w:val="0000FF"/>
            <w:sz w:val="24"/>
            <w:szCs w:val="24"/>
            <w:u w:val="single"/>
          </w:rPr>
          <w:t>https://doi.org/10.1080/13854046.2014.925142</w:t>
        </w:r>
      </w:hyperlink>
    </w:p>
    <w:p w14:paraId="728295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G. K., &amp; Algina, J. (2013). Use of the Color Trails Test as an embedded measure of performance validity.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864–876. </w:t>
      </w:r>
      <w:hyperlink r:id="rId2430" w:history="1">
        <w:r w:rsidRPr="004C4852">
          <w:rPr>
            <w:rFonts w:ascii="Times New Roman" w:eastAsia="Times New Roman" w:hAnsi="Times New Roman" w:cs="Times New Roman"/>
            <w:color w:val="0000FF"/>
            <w:sz w:val="24"/>
            <w:szCs w:val="24"/>
            <w:u w:val="single"/>
          </w:rPr>
          <w:t>https://doi.org/10.1080/13854046.2013.786758</w:t>
        </w:r>
      </w:hyperlink>
    </w:p>
    <w:p w14:paraId="16A321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G. K., Heilbronner, R. L., Suhr, J., Gornbein, J., Wagner, E., &amp; Drane, D. L. (2018). Illness perceptions predict cognitive performance validity.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(7), 735–745. </w:t>
      </w:r>
      <w:hyperlink r:id="rId2431" w:history="1">
        <w:r w:rsidRPr="004C4852">
          <w:rPr>
            <w:rFonts w:ascii="Times New Roman" w:eastAsia="Times New Roman" w:hAnsi="Times New Roman" w:cs="Times New Roman"/>
            <w:color w:val="0000FF"/>
            <w:sz w:val="24"/>
            <w:szCs w:val="24"/>
            <w:u w:val="single"/>
          </w:rPr>
          <w:t>https://doi.org/10.1017/S1355617718000218</w:t>
        </w:r>
      </w:hyperlink>
    </w:p>
    <w:p w14:paraId="0B46CA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J. D., &amp; Beatty, W. W. (2006). Verbal fluency deficits in multiple sclerosis.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(7), 1166–1174. </w:t>
      </w:r>
      <w:hyperlink r:id="rId2432" w:history="1">
        <w:r w:rsidRPr="004C4852">
          <w:rPr>
            <w:rFonts w:ascii="Times New Roman" w:eastAsia="Times New Roman" w:hAnsi="Times New Roman" w:cs="Times New Roman"/>
            <w:color w:val="0000FF"/>
            <w:sz w:val="24"/>
            <w:szCs w:val="24"/>
            <w:u w:val="single"/>
          </w:rPr>
          <w:t>https://doi.org/10.1016/j.neuropsychologia.2005.10.006</w:t>
        </w:r>
      </w:hyperlink>
    </w:p>
    <w:p w14:paraId="35CF05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J. D., &amp; Crawford, J. R. (2004a). A Meta-Analytic Review of Verbal Fluency Performance Following Focal Cortical Lesions.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284–295. </w:t>
      </w:r>
      <w:hyperlink r:id="rId2433" w:history="1">
        <w:r w:rsidRPr="004C4852">
          <w:rPr>
            <w:rFonts w:ascii="Times New Roman" w:eastAsia="Times New Roman" w:hAnsi="Times New Roman" w:cs="Times New Roman"/>
            <w:color w:val="0000FF"/>
            <w:sz w:val="24"/>
            <w:szCs w:val="24"/>
            <w:u w:val="single"/>
          </w:rPr>
          <w:t>https://doi.org/10.1037/0894-4105.18.2.284</w:t>
        </w:r>
      </w:hyperlink>
    </w:p>
    <w:p w14:paraId="621C125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Henry, J. D., &amp; Crawford, J. R. (2004b). A Meta-Analytic Review of Verbal Fluency Performance in Patients With Traumatic Brain Injury.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(4), 621–628. </w:t>
      </w:r>
      <w:hyperlink r:id="rId2434" w:history="1">
        <w:r w:rsidRPr="004C4852">
          <w:rPr>
            <w:rFonts w:ascii="Times New Roman" w:eastAsia="Times New Roman" w:hAnsi="Times New Roman" w:cs="Times New Roman"/>
            <w:color w:val="0000FF"/>
            <w:sz w:val="24"/>
            <w:szCs w:val="24"/>
            <w:u w:val="single"/>
          </w:rPr>
          <w:t>https://doi.org/10.1037/0894-4105.18.4.621</w:t>
        </w:r>
      </w:hyperlink>
    </w:p>
    <w:p w14:paraId="69F805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Heo, J.-H., Lee, K.-M., Paek, S. H., Kim, M.-J., Lee, J.-Y., Kim, J.-Y., Cho, S.-Y., Lim, Y. H., Kim, M.-R., Jeong, S. Y., &amp; Jeon, B. S. (2008). The effects of bilateral subthalmic nucleus deep brain stimulation (STN DBS) on cognition in Parkinson disease.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273</w:t>
      </w:r>
      <w:r w:rsidRPr="004C4852">
        <w:rPr>
          <w:rFonts w:ascii="Times New Roman" w:eastAsia="Times New Roman" w:hAnsi="Times New Roman" w:cs="Times New Roman"/>
          <w:sz w:val="24"/>
          <w:szCs w:val="24"/>
        </w:rPr>
        <w:t xml:space="preserve">(1–2), 19–24. </w:t>
      </w:r>
      <w:hyperlink r:id="rId2435" w:history="1">
        <w:r w:rsidRPr="004C4852">
          <w:rPr>
            <w:rFonts w:ascii="Times New Roman" w:eastAsia="Times New Roman" w:hAnsi="Times New Roman" w:cs="Times New Roman"/>
            <w:color w:val="0000FF"/>
            <w:sz w:val="24"/>
            <w:szCs w:val="24"/>
            <w:u w:val="single"/>
          </w:rPr>
          <w:t>https://doi.org/10.1016/j.jns.2008.06.010</w:t>
        </w:r>
      </w:hyperlink>
    </w:p>
    <w:p w14:paraId="6AED13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Hepner, I. J., Mohamed, A., Fulham, M. J., &amp; Miller, L. A. (2007). Topographical, autobiographical and semantic memory in a patient with bilateral mesial temporal and retrosplenial infarction.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(2), 97–114. </w:t>
      </w:r>
      <w:hyperlink r:id="rId2436" w:history="1">
        <w:r w:rsidRPr="004C4852">
          <w:rPr>
            <w:rFonts w:ascii="Times New Roman" w:eastAsia="Times New Roman" w:hAnsi="Times New Roman" w:cs="Times New Roman"/>
            <w:color w:val="0000FF"/>
            <w:sz w:val="24"/>
            <w:szCs w:val="24"/>
            <w:u w:val="single"/>
          </w:rPr>
          <w:t>https://doi.org/10.1080/13554790701346297</w:t>
        </w:r>
      </w:hyperlink>
    </w:p>
    <w:p w14:paraId="242447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Herdman, K. A., Calarco, N., Moscovitch, M., Hirshhorn, M., &amp; Rosenbaum, R. S. (2015). Impoverished descriptions of familiar routes in three cases of hippocampal/medial temporal lobe amnesia.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 248–263. </w:t>
      </w:r>
      <w:hyperlink r:id="rId2437" w:history="1">
        <w:r w:rsidRPr="004C4852">
          <w:rPr>
            <w:rFonts w:ascii="Times New Roman" w:eastAsia="Times New Roman" w:hAnsi="Times New Roman" w:cs="Times New Roman"/>
            <w:color w:val="0000FF"/>
            <w:sz w:val="24"/>
            <w:szCs w:val="24"/>
            <w:u w:val="single"/>
          </w:rPr>
          <w:t>https://doi.org/10.1016/j.cortex.2015.06.008</w:t>
        </w:r>
      </w:hyperlink>
    </w:p>
    <w:p w14:paraId="1ED6A4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Heresco-Levy, U., Kremer, I., Javitt, D. C., Goichman, R., Reshef, A., Blanaru, M., &amp; Cohen, T. (2002). Pilot-controlled trial of D-cycloserine for the treatment of post-traumatic stress disorder. </w:t>
      </w:r>
      <w:r w:rsidRPr="004C4852">
        <w:rPr>
          <w:rFonts w:ascii="Times New Roman" w:eastAsia="Times New Roman" w:hAnsi="Times New Roman" w:cs="Times New Roman"/>
          <w:i/>
          <w:iCs/>
          <w:sz w:val="24"/>
          <w:szCs w:val="24"/>
        </w:rPr>
        <w:t>International Journal of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(4), 301–307. </w:t>
      </w:r>
      <w:hyperlink r:id="rId2438" w:history="1">
        <w:r w:rsidRPr="004C4852">
          <w:rPr>
            <w:rFonts w:ascii="Times New Roman" w:eastAsia="Times New Roman" w:hAnsi="Times New Roman" w:cs="Times New Roman"/>
            <w:color w:val="0000FF"/>
            <w:sz w:val="24"/>
            <w:szCs w:val="24"/>
            <w:u w:val="single"/>
          </w:rPr>
          <w:t>https://doi.org/10.1017/S1461145702003061</w:t>
        </w:r>
      </w:hyperlink>
    </w:p>
    <w:p w14:paraId="2B820C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Hermann, B. P., &amp; Seidenberg, M. (1995). Executive system dysfunction in temporal lobe epilepsy: Effects of nociferous cortex versus hippocampal pathology.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(6), 809–819. </w:t>
      </w:r>
      <w:hyperlink r:id="rId2439" w:history="1">
        <w:r w:rsidRPr="004C4852">
          <w:rPr>
            <w:rFonts w:ascii="Times New Roman" w:eastAsia="Times New Roman" w:hAnsi="Times New Roman" w:cs="Times New Roman"/>
            <w:color w:val="0000FF"/>
            <w:sz w:val="24"/>
            <w:szCs w:val="24"/>
            <w:u w:val="single"/>
          </w:rPr>
          <w:t>https://doi.org/10.1080/01688639508402430</w:t>
        </w:r>
      </w:hyperlink>
    </w:p>
    <w:p w14:paraId="371C487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Hermann, B., Seidenberg, M., Lee, E.-J., Chan, F., &amp; Rutecki, P. (2007). Cognitive phenotypes in temporal lobe epilepsy.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 12–20. </w:t>
      </w:r>
      <w:hyperlink r:id="rId2440" w:history="1">
        <w:r w:rsidRPr="004C4852">
          <w:rPr>
            <w:rFonts w:ascii="Times New Roman" w:eastAsia="Times New Roman" w:hAnsi="Times New Roman" w:cs="Times New Roman"/>
            <w:color w:val="0000FF"/>
            <w:sz w:val="24"/>
            <w:szCs w:val="24"/>
            <w:u w:val="single"/>
          </w:rPr>
          <w:t>https://doi.org/10.1017/S135561770707004X</w:t>
        </w:r>
      </w:hyperlink>
    </w:p>
    <w:p w14:paraId="5314E1E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Hermann, D., Sartorius, A., Welzel, H., Walter, S., Skopp, G., Ende, G., &amp; Mann, K. (2007). Dorsolateral prefrontal cortex N-acetylaspartate/total creatine (NAA/tCr) loss in male recreational cannabis users.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(11), 1281–1289. </w:t>
      </w:r>
      <w:hyperlink r:id="rId2441" w:history="1">
        <w:r w:rsidRPr="004C4852">
          <w:rPr>
            <w:rFonts w:ascii="Times New Roman" w:eastAsia="Times New Roman" w:hAnsi="Times New Roman" w:cs="Times New Roman"/>
            <w:color w:val="0000FF"/>
            <w:sz w:val="24"/>
            <w:szCs w:val="24"/>
            <w:u w:val="single"/>
          </w:rPr>
          <w:t>https://doi.org/10.1016/j.biopsych.2006.08.027</w:t>
        </w:r>
      </w:hyperlink>
    </w:p>
    <w:p w14:paraId="632C6C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Hermo, X. G., Giráldez, S. L., &amp; Saura, L. F. (2014). A systematic review of the complex organization of human cognitive domains and their heritabiiity. </w:t>
      </w:r>
      <w:r w:rsidRPr="004C4852">
        <w:rPr>
          <w:rFonts w:ascii="Times New Roman" w:eastAsia="Times New Roman" w:hAnsi="Times New Roman" w:cs="Times New Roman"/>
          <w:i/>
          <w:iCs/>
          <w:sz w:val="24"/>
          <w:szCs w:val="24"/>
        </w:rPr>
        <w:t>Psicothema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(1), 1–9.</w:t>
      </w:r>
    </w:p>
    <w:p w14:paraId="3A49AE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 J. A. G., Cedeño, I., Pita-Alcorta, C., Galán, L., Aubert, E., &amp; Figueredo-Rodríguez, P. (2003). Induced oscillations and the distributed cortical sources during the Wisconsin card sorting test performance in schizophrenic patients: New clues to neural connectivity.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(1), 11–24. </w:t>
      </w:r>
      <w:hyperlink r:id="rId2442" w:history="1">
        <w:r w:rsidRPr="004C4852">
          <w:rPr>
            <w:rFonts w:ascii="Times New Roman" w:eastAsia="Times New Roman" w:hAnsi="Times New Roman" w:cs="Times New Roman"/>
            <w:color w:val="0000FF"/>
            <w:sz w:val="24"/>
            <w:szCs w:val="24"/>
            <w:u w:val="single"/>
          </w:rPr>
          <w:t>https://doi.org/10.1016/S0167-8760(03)00019-9</w:t>
        </w:r>
      </w:hyperlink>
    </w:p>
    <w:p w14:paraId="37AAEC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 M., Caño, A., Costa, A., Sebastián-Gallés, N., Juncadella, M., &amp; Gascón-Bayarri, J. (2008). Grammatical category-specific deficits in bilingual aphasia. </w:t>
      </w:r>
      <w:r w:rsidRPr="004C4852">
        <w:rPr>
          <w:rFonts w:ascii="Times New Roman" w:eastAsia="Times New Roman" w:hAnsi="Times New Roman" w:cs="Times New Roman"/>
          <w:i/>
          <w:iCs/>
          <w:sz w:val="24"/>
          <w:szCs w:val="24"/>
        </w:rPr>
        <w:t>Brain and Language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107</w:t>
      </w:r>
      <w:r w:rsidRPr="004C4852">
        <w:rPr>
          <w:rFonts w:ascii="Times New Roman" w:eastAsia="Times New Roman" w:hAnsi="Times New Roman" w:cs="Times New Roman"/>
          <w:sz w:val="24"/>
          <w:szCs w:val="24"/>
        </w:rPr>
        <w:t xml:space="preserve">(1), 68–80. </w:t>
      </w:r>
      <w:hyperlink r:id="rId2443" w:history="1">
        <w:r w:rsidRPr="004C4852">
          <w:rPr>
            <w:rFonts w:ascii="Times New Roman" w:eastAsia="Times New Roman" w:hAnsi="Times New Roman" w:cs="Times New Roman"/>
            <w:color w:val="0000FF"/>
            <w:sz w:val="24"/>
            <w:szCs w:val="24"/>
            <w:u w:val="single"/>
          </w:rPr>
          <w:t>https://doi.org/10.1016/j.bandl.2008.01.006</w:t>
        </w:r>
      </w:hyperlink>
    </w:p>
    <w:p w14:paraId="333A1E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Hernández-Álvarez, D. M., Pacheco, L., Velasco-Segura, R., de la Mora, M. P., Tejeda-Romero, C., &amp; González-García, N. (2020). Default mode network efficiency is correlated with deficits in inhibition in adolescents with inhalant use disorder.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 </w:t>
      </w:r>
      <w:hyperlink r:id="rId2444" w:history="1">
        <w:r w:rsidRPr="004C4852">
          <w:rPr>
            <w:rFonts w:ascii="Times New Roman" w:eastAsia="Times New Roman" w:hAnsi="Times New Roman" w:cs="Times New Roman"/>
            <w:color w:val="0000FF"/>
            <w:sz w:val="24"/>
            <w:szCs w:val="24"/>
            <w:u w:val="single"/>
          </w:rPr>
          <w:t>https://doi.org/10.3389/fpsyt.2020.00209</w:t>
        </w:r>
      </w:hyperlink>
    </w:p>
    <w:p w14:paraId="57C02E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Hernández-Cardenache, R., Curiel, R. E., Raffo, A., Kitalgorodsky, M., &amp; Burguera, L. (2016). Current trends in neuropsychological assessment with Hispanic/Latinos. In </w:t>
      </w:r>
      <w:r w:rsidRPr="004C4852">
        <w:rPr>
          <w:rFonts w:ascii="Times New Roman" w:eastAsia="Times New Roman" w:hAnsi="Times New Roman" w:cs="Times New Roman"/>
          <w:i/>
          <w:iCs/>
          <w:sz w:val="24"/>
          <w:szCs w:val="24"/>
        </w:rPr>
        <w:t>Minority and cross-cultural aspects of neuropsychological assessment: Enduring and emerging trends, 2nd ed.</w:t>
      </w:r>
      <w:r w:rsidRPr="004C4852">
        <w:rPr>
          <w:rFonts w:ascii="Times New Roman" w:eastAsia="Times New Roman" w:hAnsi="Times New Roman" w:cs="Times New Roman"/>
          <w:sz w:val="24"/>
          <w:szCs w:val="24"/>
        </w:rPr>
        <w:t xml:space="preserve"> (pp. 259–278). Taylor &amp; Francis.</w:t>
      </w:r>
    </w:p>
    <w:p w14:paraId="02B57F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Hernandez-Castillo, C. R., Vaca-Palomares, I., Galvez, V., Campos-Romo, A., Diaz, R., &amp; Fernandez-Ruiz, J. (2016). Cognitive deficits correlate with white matter deterioration in spinocerebellar ataxia type 2.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(4), 486–491. </w:t>
      </w:r>
      <w:hyperlink r:id="rId2445" w:history="1">
        <w:r w:rsidRPr="004C4852">
          <w:rPr>
            <w:rFonts w:ascii="Times New Roman" w:eastAsia="Times New Roman" w:hAnsi="Times New Roman" w:cs="Times New Roman"/>
            <w:color w:val="0000FF"/>
            <w:sz w:val="24"/>
            <w:szCs w:val="24"/>
            <w:u w:val="single"/>
          </w:rPr>
          <w:t>https://doi.org/10.1017/S1355617716000084</w:t>
        </w:r>
      </w:hyperlink>
    </w:p>
    <w:p w14:paraId="07E551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Hernández-Torres, A., Montón, F., Medler, S. H., de Nóbrega, É., &amp; Nieto, A. (2021). Longitudinal study of cognitive functioning in Friedreich’s ataxia.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(4), 343–350. </w:t>
      </w:r>
      <w:hyperlink r:id="rId2446" w:history="1">
        <w:r w:rsidRPr="004C4852">
          <w:rPr>
            <w:rFonts w:ascii="Times New Roman" w:eastAsia="Times New Roman" w:hAnsi="Times New Roman" w:cs="Times New Roman"/>
            <w:color w:val="0000FF"/>
            <w:sz w:val="24"/>
            <w:szCs w:val="24"/>
            <w:u w:val="single"/>
          </w:rPr>
          <w:t>https://doi.org/10.1017/S1355617720000958</w:t>
        </w:r>
      </w:hyperlink>
    </w:p>
    <w:p w14:paraId="037D5F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Herranz, E., Giannì, C., Louapre, C., Treaba, C. A., Govindarajan, S. T., Ouellette, R., Loggia, M. L., Sloane, J. A., Madigan, N., Izquierdo‐Garcia, D., Ward, N., Mangeat, G., Granberg, T., Klawiter, E. C., Catana, C., Hooker, J. M., Taylor, N., Ionete, C., Kinkel, R. P., &amp; Mainero, C. (2016). Neuroinflammatory component of gray matter pathology in multiple sclerosis. </w:t>
      </w:r>
      <w:r w:rsidRPr="004C4852">
        <w:rPr>
          <w:rFonts w:ascii="Times New Roman" w:eastAsia="Times New Roman" w:hAnsi="Times New Roman" w:cs="Times New Roman"/>
          <w:i/>
          <w:iCs/>
          <w:sz w:val="24"/>
          <w:szCs w:val="24"/>
        </w:rPr>
        <w:t>Annals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80</w:t>
      </w:r>
      <w:r w:rsidRPr="004C4852">
        <w:rPr>
          <w:rFonts w:ascii="Times New Roman" w:eastAsia="Times New Roman" w:hAnsi="Times New Roman" w:cs="Times New Roman"/>
          <w:sz w:val="24"/>
          <w:szCs w:val="24"/>
        </w:rPr>
        <w:t xml:space="preserve">(5), 776–790. </w:t>
      </w:r>
      <w:hyperlink r:id="rId2447" w:history="1">
        <w:r w:rsidRPr="004C4852">
          <w:rPr>
            <w:rFonts w:ascii="Times New Roman" w:eastAsia="Times New Roman" w:hAnsi="Times New Roman" w:cs="Times New Roman"/>
            <w:color w:val="0000FF"/>
            <w:sz w:val="24"/>
            <w:szCs w:val="24"/>
            <w:u w:val="single"/>
          </w:rPr>
          <w:t>https://doi.org/10.1002/ana.24791</w:t>
        </w:r>
      </w:hyperlink>
    </w:p>
    <w:p w14:paraId="7BC2F0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Herrero, O., Escorial, S., &amp; Colom, R. (2010). Basic executive processes in incarcerated offenders. </w:t>
      </w:r>
      <w:r w:rsidRPr="004C4852">
        <w:rPr>
          <w:rFonts w:ascii="Times New Roman" w:eastAsia="Times New Roman" w:hAnsi="Times New Roman" w:cs="Times New Roman"/>
          <w:i/>
          <w:iCs/>
          <w:sz w:val="24"/>
          <w:szCs w:val="24"/>
        </w:rPr>
        <w:t>Personality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(2), 133–137. </w:t>
      </w:r>
      <w:hyperlink r:id="rId2448" w:history="1">
        <w:r w:rsidRPr="004C4852">
          <w:rPr>
            <w:rFonts w:ascii="Times New Roman" w:eastAsia="Times New Roman" w:hAnsi="Times New Roman" w:cs="Times New Roman"/>
            <w:color w:val="0000FF"/>
            <w:sz w:val="24"/>
            <w:szCs w:val="24"/>
            <w:u w:val="single"/>
          </w:rPr>
          <w:t>https://doi.org/10.1016/j.paid.2009.09.009</w:t>
        </w:r>
      </w:hyperlink>
    </w:p>
    <w:p w14:paraId="008D1D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Herrmann, F. R., Rodriguez, C., Haller, S., Garibotto, V., Montandon, M.-L., &amp; Giannakopoulos, P. (2019). Gray matter densities in limbic areas and APOE4 independently predict cognitive decline in normal brain aging.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 </w:t>
      </w:r>
      <w:hyperlink r:id="rId2449" w:history="1">
        <w:r w:rsidRPr="004C4852">
          <w:rPr>
            <w:rFonts w:ascii="Times New Roman" w:eastAsia="Times New Roman" w:hAnsi="Times New Roman" w:cs="Times New Roman"/>
            <w:color w:val="0000FF"/>
            <w:sz w:val="24"/>
            <w:szCs w:val="24"/>
            <w:u w:val="single"/>
          </w:rPr>
          <w:t>https://doi.org/10.3389/fnagi.2019.00157</w:t>
        </w:r>
      </w:hyperlink>
    </w:p>
    <w:p w14:paraId="40AE9D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 T. M., Queen, T. L., &amp; Patterson, T. R. (2012). To deliberate or not to deliberate: Interactions between age, task characteristics, and cognitive activity on decision making. </w:t>
      </w:r>
      <w:r w:rsidRPr="004C4852">
        <w:rPr>
          <w:rFonts w:ascii="Times New Roman" w:eastAsia="Times New Roman" w:hAnsi="Times New Roman" w:cs="Times New Roman"/>
          <w:i/>
          <w:iCs/>
          <w:sz w:val="24"/>
          <w:szCs w:val="24"/>
        </w:rPr>
        <w:t>Journal of Behavioral Decision Making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29–40. </w:t>
      </w:r>
      <w:hyperlink r:id="rId2450" w:history="1">
        <w:r w:rsidRPr="004C4852">
          <w:rPr>
            <w:rFonts w:ascii="Times New Roman" w:eastAsia="Times New Roman" w:hAnsi="Times New Roman" w:cs="Times New Roman"/>
            <w:color w:val="0000FF"/>
            <w:sz w:val="24"/>
            <w:szCs w:val="24"/>
            <w:u w:val="single"/>
          </w:rPr>
          <w:t>https://doi.org/10.1002/bdm.711</w:t>
        </w:r>
      </w:hyperlink>
    </w:p>
    <w:p w14:paraId="05D021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 T. M., &amp; Smith, B. T. (2014). Aging and the impact of irrelevant information on social judgments.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(3), 542–553. </w:t>
      </w:r>
      <w:hyperlink r:id="rId2451" w:history="1">
        <w:r w:rsidRPr="004C4852">
          <w:rPr>
            <w:rFonts w:ascii="Times New Roman" w:eastAsia="Times New Roman" w:hAnsi="Times New Roman" w:cs="Times New Roman"/>
            <w:color w:val="0000FF"/>
            <w:sz w:val="24"/>
            <w:szCs w:val="24"/>
            <w:u w:val="single"/>
          </w:rPr>
          <w:t>https://doi.org/10.1037/a0036730</w:t>
        </w:r>
      </w:hyperlink>
    </w:p>
    <w:p w14:paraId="1C9F88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Hesse, W. (2001). Motivation, Volition und Ambivalenz: Ein Beitrag zum Verständis langfristiger Beeinträchtigungen bein schizophrenen Patienten. [Motivation, volition, and ambivalence: A contribution to understanding of long-term impairments among schizophrenic patients.]. </w:t>
      </w:r>
      <w:r w:rsidRPr="004C4852">
        <w:rPr>
          <w:rFonts w:ascii="Times New Roman" w:eastAsia="Times New Roman" w:hAnsi="Times New Roman" w:cs="Times New Roman"/>
          <w:i/>
          <w:iCs/>
          <w:sz w:val="24"/>
          <w:szCs w:val="24"/>
        </w:rPr>
        <w:t>Fortschritte Der Neurologie, Psychiatrie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69</w:t>
      </w:r>
      <w:r w:rsidRPr="004C4852">
        <w:rPr>
          <w:rFonts w:ascii="Times New Roman" w:eastAsia="Times New Roman" w:hAnsi="Times New Roman" w:cs="Times New Roman"/>
          <w:sz w:val="24"/>
          <w:szCs w:val="24"/>
        </w:rPr>
        <w:t xml:space="preserve">(9), 410–416. </w:t>
      </w:r>
      <w:hyperlink r:id="rId2452" w:history="1">
        <w:r w:rsidRPr="004C4852">
          <w:rPr>
            <w:rFonts w:ascii="Times New Roman" w:eastAsia="Times New Roman" w:hAnsi="Times New Roman" w:cs="Times New Roman"/>
            <w:color w:val="0000FF"/>
            <w:sz w:val="24"/>
            <w:szCs w:val="24"/>
            <w:u w:val="single"/>
          </w:rPr>
          <w:t>https://doi.org/10.1055/s-2001-16905</w:t>
        </w:r>
      </w:hyperlink>
    </w:p>
    <w:p w14:paraId="2F3418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Hessl, D., Rivera, S. M., &amp; Reiss, A. L. (2004). The Neuroanatomy and Neuroendocrinology of Fragile X Syndrome. </w:t>
      </w:r>
      <w:r w:rsidRPr="004C4852">
        <w:rPr>
          <w:rFonts w:ascii="Times New Roman" w:eastAsia="Times New Roman" w:hAnsi="Times New Roman" w:cs="Times New Roman"/>
          <w:i/>
          <w:iCs/>
          <w:sz w:val="24"/>
          <w:szCs w:val="24"/>
        </w:rPr>
        <w:t>Mental Retardation and Developmental Disabilities Research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(1), 17–24. </w:t>
      </w:r>
      <w:hyperlink r:id="rId2453" w:history="1">
        <w:r w:rsidRPr="004C4852">
          <w:rPr>
            <w:rFonts w:ascii="Times New Roman" w:eastAsia="Times New Roman" w:hAnsi="Times New Roman" w:cs="Times New Roman"/>
            <w:color w:val="0000FF"/>
            <w:sz w:val="24"/>
            <w:szCs w:val="24"/>
            <w:u w:val="single"/>
          </w:rPr>
          <w:t>https://doi.org/10.1002/mrdd.20004</w:t>
        </w:r>
      </w:hyperlink>
    </w:p>
    <w:p w14:paraId="7C9101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Hestad, K. A., Menon, J. A., Serpell, R., Kalungwana, L., Mwaba, S. O. C., Kabuba, N., Franklin Jr., D. R., Umlauf, A., Letendre, S., &amp; Heaton, R. K. (2016). Do neuropsychological test norms from African Americans in the United States generalize to a Zambian population? </w:t>
      </w:r>
      <w:r w:rsidRPr="004C4852">
        <w:rPr>
          <w:rFonts w:ascii="Times New Roman" w:eastAsia="Times New Roman" w:hAnsi="Times New Roman" w:cs="Times New Roman"/>
          <w:i/>
          <w:iCs/>
          <w:sz w:val="24"/>
          <w:szCs w:val="24"/>
        </w:rPr>
        <w:t>Psychological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(1), 18–38. </w:t>
      </w:r>
      <w:hyperlink r:id="rId2454" w:history="1">
        <w:r w:rsidRPr="004C4852">
          <w:rPr>
            <w:rFonts w:ascii="Times New Roman" w:eastAsia="Times New Roman" w:hAnsi="Times New Roman" w:cs="Times New Roman"/>
            <w:color w:val="0000FF"/>
            <w:sz w:val="24"/>
            <w:szCs w:val="24"/>
            <w:u w:val="single"/>
          </w:rPr>
          <w:t>https://doi.org/10.1037/pas0000147</w:t>
        </w:r>
      </w:hyperlink>
    </w:p>
    <w:p w14:paraId="61E3C1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Hestad, K. A., Menon, J. A., Silalukey-Ngoma, M., Franklin Jr., D. R., Imasiku, M. L., Kalima, K., &amp; Heaton, R. K. (2012). Sex differences in neuropsychological performance as an effect of human immunodeficiency virus infection: A pilot study in Zambia, Africa.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200</w:t>
      </w:r>
      <w:r w:rsidRPr="004C4852">
        <w:rPr>
          <w:rFonts w:ascii="Times New Roman" w:eastAsia="Times New Roman" w:hAnsi="Times New Roman" w:cs="Times New Roman"/>
          <w:sz w:val="24"/>
          <w:szCs w:val="24"/>
        </w:rPr>
        <w:t xml:space="preserve">(4), 336–342. </w:t>
      </w:r>
      <w:hyperlink r:id="rId2455" w:history="1">
        <w:r w:rsidRPr="004C4852">
          <w:rPr>
            <w:rFonts w:ascii="Times New Roman" w:eastAsia="Times New Roman" w:hAnsi="Times New Roman" w:cs="Times New Roman"/>
            <w:color w:val="0000FF"/>
            <w:sz w:val="24"/>
            <w:szCs w:val="24"/>
            <w:u w:val="single"/>
          </w:rPr>
          <w:t>https://doi.org/10.1097/NMD.0b013e31824cc225</w:t>
        </w:r>
      </w:hyperlink>
    </w:p>
    <w:p w14:paraId="798D8A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Hetherington, R., &amp; Dennis, M. (2004). Plasticity for Recovery, Plasticity for Development: Cognitive Outcome in Twins Discordant for Mid-Childhood Ischemic Stroke.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(2), 117–128. </w:t>
      </w:r>
      <w:hyperlink r:id="rId2456" w:history="1">
        <w:r w:rsidRPr="004C4852">
          <w:rPr>
            <w:rFonts w:ascii="Times New Roman" w:eastAsia="Times New Roman" w:hAnsi="Times New Roman" w:cs="Times New Roman"/>
            <w:color w:val="0000FF"/>
            <w:sz w:val="24"/>
            <w:szCs w:val="24"/>
            <w:u w:val="single"/>
          </w:rPr>
          <w:t>https://doi.org/10.1080/09297040490911122</w:t>
        </w:r>
      </w:hyperlink>
    </w:p>
    <w:p w14:paraId="4606DB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Heyanka, D. J., Holster, J. L., &amp; Golden, C. J. (2013). Intraindividual neuropsychological test variability in healthy individuals with high average intelligence and educational attainment. </w:t>
      </w:r>
      <w:r w:rsidRPr="004C4852">
        <w:rPr>
          <w:rFonts w:ascii="Times New Roman" w:eastAsia="Times New Roman" w:hAnsi="Times New Roman" w:cs="Times New Roman"/>
          <w:i/>
          <w:iCs/>
          <w:sz w:val="24"/>
          <w:szCs w:val="24"/>
        </w:rPr>
        <w:t>International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123</w:t>
      </w:r>
      <w:r w:rsidRPr="004C4852">
        <w:rPr>
          <w:rFonts w:ascii="Times New Roman" w:eastAsia="Times New Roman" w:hAnsi="Times New Roman" w:cs="Times New Roman"/>
          <w:sz w:val="24"/>
          <w:szCs w:val="24"/>
        </w:rPr>
        <w:t xml:space="preserve">(8), 526–531. </w:t>
      </w:r>
      <w:hyperlink r:id="rId2457" w:history="1">
        <w:r w:rsidRPr="004C4852">
          <w:rPr>
            <w:rFonts w:ascii="Times New Roman" w:eastAsia="Times New Roman" w:hAnsi="Times New Roman" w:cs="Times New Roman"/>
            <w:color w:val="0000FF"/>
            <w:sz w:val="24"/>
            <w:szCs w:val="24"/>
            <w:u w:val="single"/>
          </w:rPr>
          <w:t>https://doi.org/10.3109/00207454.2013.771261</w:t>
        </w:r>
      </w:hyperlink>
    </w:p>
    <w:p w14:paraId="1011C6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Heydebrand, G., Weiser, M., Rabinowitz, J., Hoff, A. L., DeLisi, L. E., &amp; Csernansky, J. G. (2004). Correlates of cognitive deficits in first episode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(1), 1–9. </w:t>
      </w:r>
      <w:hyperlink r:id="rId2458" w:history="1">
        <w:r w:rsidRPr="004C4852">
          <w:rPr>
            <w:rFonts w:ascii="Times New Roman" w:eastAsia="Times New Roman" w:hAnsi="Times New Roman" w:cs="Times New Roman"/>
            <w:color w:val="0000FF"/>
            <w:sz w:val="24"/>
            <w:szCs w:val="24"/>
            <w:u w:val="single"/>
          </w:rPr>
          <w:t>https://doi.org/10.1016/S0920-9964(03)00097-5</w:t>
        </w:r>
      </w:hyperlink>
    </w:p>
    <w:p w14:paraId="14EA8F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Heyder, K., Suchan, B., &amp; Daum, I. (2004). Cortico-subcortical contributions to executive control. </w:t>
      </w:r>
      <w:r w:rsidRPr="004C4852">
        <w:rPr>
          <w:rFonts w:ascii="Times New Roman" w:eastAsia="Times New Roman" w:hAnsi="Times New Roman" w:cs="Times New Roman"/>
          <w:i/>
          <w:iCs/>
          <w:sz w:val="24"/>
          <w:szCs w:val="24"/>
        </w:rPr>
        <w:t>Acta Psychologica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115</w:t>
      </w:r>
      <w:r w:rsidRPr="004C4852">
        <w:rPr>
          <w:rFonts w:ascii="Times New Roman" w:eastAsia="Times New Roman" w:hAnsi="Times New Roman" w:cs="Times New Roman"/>
          <w:sz w:val="24"/>
          <w:szCs w:val="24"/>
        </w:rPr>
        <w:t xml:space="preserve">(2–3), 271–289. </w:t>
      </w:r>
      <w:hyperlink r:id="rId2459" w:history="1">
        <w:r w:rsidRPr="004C4852">
          <w:rPr>
            <w:rFonts w:ascii="Times New Roman" w:eastAsia="Times New Roman" w:hAnsi="Times New Roman" w:cs="Times New Roman"/>
            <w:color w:val="0000FF"/>
            <w:sz w:val="24"/>
            <w:szCs w:val="24"/>
            <w:u w:val="single"/>
          </w:rPr>
          <w:t>https://doi.org/10.1016/j.actpsy.2003.12.010</w:t>
        </w:r>
      </w:hyperlink>
    </w:p>
    <w:p w14:paraId="058FB4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Heywood, W. E., Hallqvist, J., Heslegrave, A. J., Zetterberg, H., Fenoglio, C., Scarpini, E., Rohrer, J. D., Galimberti, D., &amp; Mills, K. (2018). CSF pro-orexin and amyloid-β38 expression in Alzheimer’s disease and frontotemporal dementia. </w:t>
      </w:r>
      <w:r w:rsidRPr="004C4852">
        <w:rPr>
          <w:rFonts w:ascii="Times New Roman" w:eastAsia="Times New Roman" w:hAnsi="Times New Roman" w:cs="Times New Roman"/>
          <w:i/>
          <w:iCs/>
          <w:sz w:val="24"/>
          <w:szCs w:val="24"/>
        </w:rPr>
        <w:t>Neurobiology of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72</w:t>
      </w:r>
      <w:r w:rsidRPr="004C4852">
        <w:rPr>
          <w:rFonts w:ascii="Times New Roman" w:eastAsia="Times New Roman" w:hAnsi="Times New Roman" w:cs="Times New Roman"/>
          <w:sz w:val="24"/>
          <w:szCs w:val="24"/>
        </w:rPr>
        <w:t xml:space="preserve">, 171–176. </w:t>
      </w:r>
      <w:hyperlink r:id="rId2460" w:history="1">
        <w:r w:rsidRPr="004C4852">
          <w:rPr>
            <w:rFonts w:ascii="Times New Roman" w:eastAsia="Times New Roman" w:hAnsi="Times New Roman" w:cs="Times New Roman"/>
            <w:color w:val="0000FF"/>
            <w:sz w:val="24"/>
            <w:szCs w:val="24"/>
            <w:u w:val="single"/>
          </w:rPr>
          <w:t>https://doi.org/10.1016/j.neurobiolaging.2018.08.019</w:t>
        </w:r>
      </w:hyperlink>
    </w:p>
    <w:p w14:paraId="7516441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Hickin, J., Mehta, B., &amp; Dipper, L. (2015). To the sentence and beyond: A single case therapy report for mild aphasia.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(9), 1038–1061. </w:t>
      </w:r>
      <w:hyperlink r:id="rId2461" w:history="1">
        <w:r w:rsidRPr="004C4852">
          <w:rPr>
            <w:rFonts w:ascii="Times New Roman" w:eastAsia="Times New Roman" w:hAnsi="Times New Roman" w:cs="Times New Roman"/>
            <w:color w:val="0000FF"/>
            <w:sz w:val="24"/>
            <w:szCs w:val="24"/>
            <w:u w:val="single"/>
          </w:rPr>
          <w:t>https://doi.org/10.1080/02687038.2015.1010474</w:t>
        </w:r>
      </w:hyperlink>
    </w:p>
    <w:p w14:paraId="723F7A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Higashima, M., Nagasawa, T., Oka, T., Tsukada, T., Okamoto, T., Komai, Y., Kawasaki, Y., &amp; Koshino, Y. (2005). Neuropsychological Correlates of an Attention-Related Negative Component Elicited in an Auditory Oddball Paradigm in Schizophrenia. </w:t>
      </w:r>
      <w:r w:rsidRPr="004C4852">
        <w:rPr>
          <w:rFonts w:ascii="Times New Roman" w:eastAsia="Times New Roman" w:hAnsi="Times New Roman" w:cs="Times New Roman"/>
          <w:i/>
          <w:iCs/>
          <w:sz w:val="24"/>
          <w:szCs w:val="24"/>
        </w:rPr>
        <w:t>Neuropsychobiology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(4), 177–182. </w:t>
      </w:r>
      <w:hyperlink r:id="rId2462" w:history="1">
        <w:r w:rsidRPr="004C4852">
          <w:rPr>
            <w:rFonts w:ascii="Times New Roman" w:eastAsia="Times New Roman" w:hAnsi="Times New Roman" w:cs="Times New Roman"/>
            <w:color w:val="0000FF"/>
            <w:sz w:val="24"/>
            <w:szCs w:val="24"/>
            <w:u w:val="single"/>
          </w:rPr>
          <w:t>https://doi.org/10.1159/000085592</w:t>
        </w:r>
      </w:hyperlink>
    </w:p>
    <w:p w14:paraId="083EFD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Higginson, C. I., King, D. S., Levine, D., Wheelock, V. L., Khamphay, N. O., &amp; Sigvardt, K. A. (2003). The relationship between executive function and verbal memory in Parkinson’s disease.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(3), 343–352. </w:t>
      </w:r>
      <w:hyperlink r:id="rId2463" w:history="1">
        <w:r w:rsidRPr="004C4852">
          <w:rPr>
            <w:rFonts w:ascii="Times New Roman" w:eastAsia="Times New Roman" w:hAnsi="Times New Roman" w:cs="Times New Roman"/>
            <w:color w:val="0000FF"/>
            <w:sz w:val="24"/>
            <w:szCs w:val="24"/>
            <w:u w:val="single"/>
          </w:rPr>
          <w:t>https://doi.org/10.1016/S0278-2626(03)00180-5</w:t>
        </w:r>
      </w:hyperlink>
    </w:p>
    <w:p w14:paraId="738AE4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Higginson, C. I., Wheelock, V. L., Levine, D., King, D. S., Pappas, C. T. E., &amp; Sigvardt, K. A. (2009). The clinical significance of neuropsychological changes following bilateral subthalamic nucleus deep brain stimulation for Parkinson’s disease.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(1), 65–72. </w:t>
      </w:r>
      <w:hyperlink r:id="rId2464" w:history="1">
        <w:r w:rsidRPr="004C4852">
          <w:rPr>
            <w:rFonts w:ascii="Times New Roman" w:eastAsia="Times New Roman" w:hAnsi="Times New Roman" w:cs="Times New Roman"/>
            <w:color w:val="0000FF"/>
            <w:sz w:val="24"/>
            <w:szCs w:val="24"/>
            <w:u w:val="single"/>
          </w:rPr>
          <w:t>https://doi.org/10.1080/13803390801982734</w:t>
        </w:r>
      </w:hyperlink>
    </w:p>
    <w:p w14:paraId="325CA0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Hilbert, A., Neuhaus, P., Köhler, N., Petroff, D., Hay, P., &amp; Hübner, C. (2021). Group cognitive remediation therapy prior to behavioral weight loss treatment for adults with severe obesity: A randomized clinical trial (CRT study). </w:t>
      </w:r>
      <w:r w:rsidRPr="004C4852">
        <w:rPr>
          <w:rFonts w:ascii="Times New Roman" w:eastAsia="Times New Roman" w:hAnsi="Times New Roman" w:cs="Times New Roman"/>
          <w:i/>
          <w:iCs/>
          <w:sz w:val="24"/>
          <w:szCs w:val="24"/>
        </w:rPr>
        <w:t>Journal of Consulting and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(8), 695–706. </w:t>
      </w:r>
      <w:hyperlink r:id="rId2465" w:history="1">
        <w:r w:rsidRPr="004C4852">
          <w:rPr>
            <w:rFonts w:ascii="Times New Roman" w:eastAsia="Times New Roman" w:hAnsi="Times New Roman" w:cs="Times New Roman"/>
            <w:color w:val="0000FF"/>
            <w:sz w:val="24"/>
            <w:szCs w:val="24"/>
            <w:u w:val="single"/>
          </w:rPr>
          <w:t>https://doi.org/10.1037/ccp0000668</w:t>
        </w:r>
      </w:hyperlink>
    </w:p>
    <w:p w14:paraId="2683EC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Hildebrand, B. (1997). </w:t>
      </w:r>
      <w:r w:rsidRPr="004C4852">
        <w:rPr>
          <w:rFonts w:ascii="Times New Roman" w:eastAsia="Times New Roman" w:hAnsi="Times New Roman" w:cs="Times New Roman"/>
          <w:i/>
          <w:iCs/>
          <w:sz w:val="24"/>
          <w:szCs w:val="24"/>
        </w:rPr>
        <w:t>Neuropsychological predictors of academic success: Use of Controlled Oral Word Association Test, Trailmaking Test, and Wisconsin Card Sorting Test as measures of academic success among community college students.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(8-B), 5380–5380.</w:t>
      </w:r>
    </w:p>
    <w:p w14:paraId="2E143E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B. D., Ploetz, D. M., O’Jile, J. R., Bodzy, M., Holler, K. A., &amp; Rohling, M. L. (2013). Self-reported depressive symptoms have minimal effect on executive functioning performance in children and adolescents. </w:t>
      </w:r>
      <w:r w:rsidRPr="004C4852">
        <w:rPr>
          <w:rFonts w:ascii="Times New Roman" w:eastAsia="Times New Roman" w:hAnsi="Times New Roman" w:cs="Times New Roman"/>
          <w:i/>
          <w:iCs/>
          <w:sz w:val="24"/>
          <w:szCs w:val="24"/>
        </w:rPr>
        <w:t>Journal of Child and Family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(3), 398–404. </w:t>
      </w:r>
      <w:hyperlink r:id="rId2466" w:history="1">
        <w:r w:rsidRPr="004C4852">
          <w:rPr>
            <w:rFonts w:ascii="Times New Roman" w:eastAsia="Times New Roman" w:hAnsi="Times New Roman" w:cs="Times New Roman"/>
            <w:color w:val="0000FF"/>
            <w:sz w:val="24"/>
            <w:szCs w:val="24"/>
            <w:u w:val="single"/>
          </w:rPr>
          <w:t>https://doi.org/10.1007/s10826-012-9592-2</w:t>
        </w:r>
      </w:hyperlink>
    </w:p>
    <w:p w14:paraId="59A696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E. L., &amp; Bird, C. M. (2006). Executive processes in Asperger syndrome: Patterns of performance in a multiple case series.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(14), 2822–2835. </w:t>
      </w:r>
      <w:hyperlink r:id="rId2467" w:history="1">
        <w:r w:rsidRPr="004C4852">
          <w:rPr>
            <w:rFonts w:ascii="Times New Roman" w:eastAsia="Times New Roman" w:hAnsi="Times New Roman" w:cs="Times New Roman"/>
            <w:color w:val="0000FF"/>
            <w:sz w:val="24"/>
            <w:szCs w:val="24"/>
            <w:u w:val="single"/>
          </w:rPr>
          <w:t>https://doi.org/10.1016/j.neuropsychologia.2006.06.007</w:t>
        </w:r>
      </w:hyperlink>
    </w:p>
    <w:p w14:paraId="66EDF1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K., Bolo, N., Sarvode Mothi, S., Lizano, P., Guimond, S., Tandon, N., Molokotos, E., &amp; Keshavan, M. (2017). Subcortical surface shape in youth at familial high risk for schizophrenia. </w:t>
      </w:r>
      <w:r w:rsidRPr="004C4852">
        <w:rPr>
          <w:rFonts w:ascii="Times New Roman" w:eastAsia="Times New Roman" w:hAnsi="Times New Roman" w:cs="Times New Roman"/>
          <w:i/>
          <w:iCs/>
          <w:sz w:val="24"/>
          <w:szCs w:val="24"/>
        </w:rPr>
        <w:t>Psychiatry Research: Neuroimaging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267</w:t>
      </w:r>
      <w:r w:rsidRPr="004C4852">
        <w:rPr>
          <w:rFonts w:ascii="Times New Roman" w:eastAsia="Times New Roman" w:hAnsi="Times New Roman" w:cs="Times New Roman"/>
          <w:sz w:val="24"/>
          <w:szCs w:val="24"/>
        </w:rPr>
        <w:t xml:space="preserve">, 36–44. </w:t>
      </w:r>
      <w:hyperlink r:id="rId2468" w:history="1">
        <w:r w:rsidRPr="004C4852">
          <w:rPr>
            <w:rFonts w:ascii="Times New Roman" w:eastAsia="Times New Roman" w:hAnsi="Times New Roman" w:cs="Times New Roman"/>
            <w:color w:val="0000FF"/>
            <w:sz w:val="24"/>
            <w:szCs w:val="24"/>
            <w:u w:val="single"/>
          </w:rPr>
          <w:t>https://doi.org/10.1016/j.pscychresns.2017.07.002</w:t>
        </w:r>
      </w:hyperlink>
    </w:p>
    <w:p w14:paraId="51618E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M., Shannahan, K., Jasinski, S., Macklin, E. A., Raeke, L., Roffman, J. L., &amp; Goff, D. C. (2011). Folate supplementation in schizophrenia: A possible role for MTHFR genotype.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127</w:t>
      </w:r>
      <w:r w:rsidRPr="004C4852">
        <w:rPr>
          <w:rFonts w:ascii="Times New Roman" w:eastAsia="Times New Roman" w:hAnsi="Times New Roman" w:cs="Times New Roman"/>
          <w:sz w:val="24"/>
          <w:szCs w:val="24"/>
        </w:rPr>
        <w:t xml:space="preserve">(1–3), 41–45. </w:t>
      </w:r>
      <w:hyperlink r:id="rId2469" w:history="1">
        <w:r w:rsidRPr="004C4852">
          <w:rPr>
            <w:rFonts w:ascii="Times New Roman" w:eastAsia="Times New Roman" w:hAnsi="Times New Roman" w:cs="Times New Roman"/>
            <w:color w:val="0000FF"/>
            <w:sz w:val="24"/>
            <w:szCs w:val="24"/>
            <w:u w:val="single"/>
          </w:rPr>
          <w:t>https://doi.org/10.1016/j.schres.2010.12.006</w:t>
        </w:r>
      </w:hyperlink>
    </w:p>
    <w:p w14:paraId="26A68B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S. K., Keshavan, M. S., Thase, M. E., &amp; Sweeney, J. A. (2004). Neuropsychological Dysfunction in Antipsychotic-Naive First-Episode Unipolar Psychotic Depression.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161</w:t>
      </w:r>
      <w:r w:rsidRPr="004C4852">
        <w:rPr>
          <w:rFonts w:ascii="Times New Roman" w:eastAsia="Times New Roman" w:hAnsi="Times New Roman" w:cs="Times New Roman"/>
          <w:sz w:val="24"/>
          <w:szCs w:val="24"/>
        </w:rPr>
        <w:t xml:space="preserve">(6), 996–1003. </w:t>
      </w:r>
      <w:hyperlink r:id="rId2470" w:history="1">
        <w:r w:rsidRPr="004C4852">
          <w:rPr>
            <w:rFonts w:ascii="Times New Roman" w:eastAsia="Times New Roman" w:hAnsi="Times New Roman" w:cs="Times New Roman"/>
            <w:color w:val="0000FF"/>
            <w:sz w:val="24"/>
            <w:szCs w:val="24"/>
            <w:u w:val="single"/>
          </w:rPr>
          <w:t>https://doi.org/10.1176/appi.ajp.161.6.996</w:t>
        </w:r>
      </w:hyperlink>
    </w:p>
    <w:p w14:paraId="5E460D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S. K., Schuepbach, D., Herbener, E. S., Keshavan, M. S., &amp; Sweeney, J. A. (2004). Pretreatment and longitudinal studies of neuropsychological deficits in antipsychotic-naïve patients with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(1), 49–63. </w:t>
      </w:r>
      <w:hyperlink r:id="rId2471" w:history="1">
        <w:r w:rsidRPr="004C4852">
          <w:rPr>
            <w:rFonts w:ascii="Times New Roman" w:eastAsia="Times New Roman" w:hAnsi="Times New Roman" w:cs="Times New Roman"/>
            <w:color w:val="0000FF"/>
            <w:sz w:val="24"/>
            <w:szCs w:val="24"/>
            <w:u w:val="single"/>
          </w:rPr>
          <w:t>https://doi.org/10.1016/S0920-9964(03)00213-5</w:t>
        </w:r>
      </w:hyperlink>
    </w:p>
    <w:p w14:paraId="409110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 S. K., Sweeney, J. A., Hamer, R. M., Keefe, R. S. E., Perkins, D. O., Gu, H., McEvoy, J. P., &amp; Lieberman, J. A. (2008). Efficiency of the CATIE and BACS neuropsychological batteries in assessing cognitive effects of antipsychotic treatments in schizophrenia.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(2), 209–221. </w:t>
      </w:r>
      <w:hyperlink r:id="rId2472" w:history="1">
        <w:r w:rsidRPr="004C4852">
          <w:rPr>
            <w:rFonts w:ascii="Times New Roman" w:eastAsia="Times New Roman" w:hAnsi="Times New Roman" w:cs="Times New Roman"/>
            <w:color w:val="0000FF"/>
            <w:sz w:val="24"/>
            <w:szCs w:val="24"/>
            <w:u w:val="single"/>
          </w:rPr>
          <w:t>https://doi.org/10.1017/S1355617708080570</w:t>
        </w:r>
      </w:hyperlink>
    </w:p>
    <w:p w14:paraId="182FB2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Hillary, F. G., Chiaravalloti, N. D., Ricker, J. H., Steffener, J., Bly, B. M., Lange, G., Liu, W. C., Kalnin, A. J., &amp; DeLuca, J. (2003). An Investigation of Working Memory Rehearsal in Multiple Sclerosis Using fMRI.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(7), 965–978. </w:t>
      </w:r>
      <w:hyperlink r:id="rId2473" w:history="1">
        <w:r w:rsidRPr="004C4852">
          <w:rPr>
            <w:rFonts w:ascii="Times New Roman" w:eastAsia="Times New Roman" w:hAnsi="Times New Roman" w:cs="Times New Roman"/>
            <w:color w:val="0000FF"/>
            <w:sz w:val="24"/>
            <w:szCs w:val="24"/>
            <w:u w:val="single"/>
          </w:rPr>
          <w:t>https://doi.org/10.1076/jcen.25.7.965.16490</w:t>
        </w:r>
      </w:hyperlink>
    </w:p>
    <w:p w14:paraId="78D0C2D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Hillbrand, M., &amp; Young, J. L. (1995). Wisconsin Card Sorting Test performance during carbamazepine monotherapy of aggressive behavior: An A-B-A-B case report. </w:t>
      </w:r>
      <w:r w:rsidRPr="004C4852">
        <w:rPr>
          <w:rFonts w:ascii="Times New Roman" w:eastAsia="Times New Roman" w:hAnsi="Times New Roman" w:cs="Times New Roman"/>
          <w:i/>
          <w:iCs/>
          <w:sz w:val="24"/>
          <w:szCs w:val="24"/>
        </w:rPr>
        <w:t>Neuropsychiatry, Neuropsychology, &amp;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(1), 61–63.</w:t>
      </w:r>
    </w:p>
    <w:p w14:paraId="7BCEEC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Hill-Jarrett, T. G., Gravano, J. T., Sozda, C. N., &amp; Perlstein, W. M. (2015). Visuospatial attention after traumatic brain injury: The role of hemispheric specialization.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(13–14), 1617–1629. </w:t>
      </w:r>
      <w:hyperlink r:id="rId2474" w:history="1">
        <w:r w:rsidRPr="004C4852">
          <w:rPr>
            <w:rFonts w:ascii="Times New Roman" w:eastAsia="Times New Roman" w:hAnsi="Times New Roman" w:cs="Times New Roman"/>
            <w:color w:val="0000FF"/>
            <w:sz w:val="24"/>
            <w:szCs w:val="24"/>
            <w:u w:val="single"/>
          </w:rPr>
          <w:t>https://doi.org/10.3109/02699052.2015.1075155</w:t>
        </w:r>
      </w:hyperlink>
    </w:p>
    <w:p w14:paraId="4C5967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Hilsabeck, R. C., Holdnack, J. A., Cullum, C. M., Drozdick, L. W., Edelstein, B., Fiske, A., Lacritz, L., McCoy, K. J. M., &amp; Wahlstrom, D. (2015). The Brief Cognitive Status Examination (BCSE): Comparing diagnostic utility and equating scores to the Mini-Mental State Examination (MMSE).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(5), 458–467. </w:t>
      </w:r>
      <w:hyperlink r:id="rId2475" w:history="1">
        <w:r w:rsidRPr="004C4852">
          <w:rPr>
            <w:rFonts w:ascii="Times New Roman" w:eastAsia="Times New Roman" w:hAnsi="Times New Roman" w:cs="Times New Roman"/>
            <w:color w:val="0000FF"/>
            <w:sz w:val="24"/>
            <w:szCs w:val="24"/>
            <w:u w:val="single"/>
          </w:rPr>
          <w:t>https://doi.org/10.1093/arclin/acv037</w:t>
        </w:r>
      </w:hyperlink>
    </w:p>
    <w:p w14:paraId="1CE8944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Hilsabeck, R. C., &amp; Webb, A. L. (2013). Hepatic encephalopathy. In </w:t>
      </w:r>
      <w:r w:rsidRPr="004C4852">
        <w:rPr>
          <w:rFonts w:ascii="Times New Roman" w:eastAsia="Times New Roman" w:hAnsi="Times New Roman" w:cs="Times New Roman"/>
          <w:i/>
          <w:iCs/>
          <w:sz w:val="24"/>
          <w:szCs w:val="24"/>
        </w:rPr>
        <w:t>Handbook on the neuropsychology of aging and dementia.</w:t>
      </w:r>
      <w:r w:rsidRPr="004C4852">
        <w:rPr>
          <w:rFonts w:ascii="Times New Roman" w:eastAsia="Times New Roman" w:hAnsi="Times New Roman" w:cs="Times New Roman"/>
          <w:sz w:val="24"/>
          <w:szCs w:val="24"/>
        </w:rPr>
        <w:t xml:space="preserve"> (pp. 467–485). Springer Science + Business Media. </w:t>
      </w:r>
      <w:hyperlink r:id="rId2476" w:history="1">
        <w:r w:rsidRPr="004C4852">
          <w:rPr>
            <w:rFonts w:ascii="Times New Roman" w:eastAsia="Times New Roman" w:hAnsi="Times New Roman" w:cs="Times New Roman"/>
            <w:color w:val="0000FF"/>
            <w:sz w:val="24"/>
            <w:szCs w:val="24"/>
            <w:u w:val="single"/>
          </w:rPr>
          <w:t>https://doi.org/10.1007/978-1-4614-3106-0_29</w:t>
        </w:r>
      </w:hyperlink>
    </w:p>
    <w:p w14:paraId="218D42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Himanen, L., Portin, R., Isoniemi, H., Helenius, H., Kurki, T., &amp; Tenovuo, O. (2005). Cognitive functions in relation to MRI findings 30 years after traumatic brain injury.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93–100. </w:t>
      </w:r>
      <w:hyperlink r:id="rId2477" w:history="1">
        <w:r w:rsidRPr="004C4852">
          <w:rPr>
            <w:rFonts w:ascii="Times New Roman" w:eastAsia="Times New Roman" w:hAnsi="Times New Roman" w:cs="Times New Roman"/>
            <w:color w:val="0000FF"/>
            <w:sz w:val="24"/>
            <w:szCs w:val="24"/>
            <w:u w:val="single"/>
          </w:rPr>
          <w:t>https://doi.org/10.1080/02699050410001720031</w:t>
        </w:r>
      </w:hyperlink>
    </w:p>
    <w:p w14:paraId="432A14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Himanen, L., Portin, R., Tenovuo, O., Taiminen, T., Koponen, S., Hiekkanen, H., &amp; Helenius, H. (2009). Attention and depressive symptoms in chronic phase after traumatic brain injury.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(3), 220–227. </w:t>
      </w:r>
      <w:hyperlink r:id="rId2478" w:history="1">
        <w:r w:rsidRPr="004C4852">
          <w:rPr>
            <w:rFonts w:ascii="Times New Roman" w:eastAsia="Times New Roman" w:hAnsi="Times New Roman" w:cs="Times New Roman"/>
            <w:color w:val="0000FF"/>
            <w:sz w:val="24"/>
            <w:szCs w:val="24"/>
            <w:u w:val="single"/>
          </w:rPr>
          <w:t>https://doi.org/10.1080/02699050902748323</w:t>
        </w:r>
      </w:hyperlink>
    </w:p>
    <w:p w14:paraId="406FC08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Himelhoch, S., Taylor, S. F., Goldman, R. S., &amp; Tandon, R. (1996). Frontal lobe tasks, antipsychotic medication, and schizophrenia syndromes.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(3), 227–229. </w:t>
      </w:r>
      <w:hyperlink r:id="rId2479" w:history="1">
        <w:r w:rsidRPr="004C4852">
          <w:rPr>
            <w:rFonts w:ascii="Times New Roman" w:eastAsia="Times New Roman" w:hAnsi="Times New Roman" w:cs="Times New Roman"/>
            <w:color w:val="0000FF"/>
            <w:sz w:val="24"/>
            <w:szCs w:val="24"/>
            <w:u w:val="single"/>
          </w:rPr>
          <w:t>https://doi.org/10.1016/0006-3223(95)00387-8</w:t>
        </w:r>
      </w:hyperlink>
    </w:p>
    <w:p w14:paraId="1A39A4C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Hinckley, J. J. (2014). A case for the implementation of cognitive-communication screenings in acute stroke. </w:t>
      </w:r>
      <w:r w:rsidRPr="004C4852">
        <w:rPr>
          <w:rFonts w:ascii="Times New Roman" w:eastAsia="Times New Roman" w:hAnsi="Times New Roman" w:cs="Times New Roman"/>
          <w:i/>
          <w:iCs/>
          <w:sz w:val="24"/>
          <w:szCs w:val="24"/>
        </w:rPr>
        <w:t>American Journal of Speech-Language 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(1), 4–14. </w:t>
      </w:r>
      <w:hyperlink r:id="rId2480" w:history="1">
        <w:r w:rsidRPr="004C4852">
          <w:rPr>
            <w:rFonts w:ascii="Times New Roman" w:eastAsia="Times New Roman" w:hAnsi="Times New Roman" w:cs="Times New Roman"/>
            <w:color w:val="0000FF"/>
            <w:sz w:val="24"/>
            <w:szCs w:val="24"/>
            <w:u w:val="single"/>
          </w:rPr>
          <w:t>https://doi.org/10.1044/1058-0360(2013/11-0064)</w:t>
        </w:r>
      </w:hyperlink>
    </w:p>
    <w:p w14:paraId="307346C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Hinckley, J. J., &amp; Carr, T. H. (2005). Comparing the outcomes of intensive and non-intensive context-based aphasia treatment.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(10–11), 965–974. </w:t>
      </w:r>
      <w:hyperlink r:id="rId2481" w:history="1">
        <w:r w:rsidRPr="004C4852">
          <w:rPr>
            <w:rFonts w:ascii="Times New Roman" w:eastAsia="Times New Roman" w:hAnsi="Times New Roman" w:cs="Times New Roman"/>
            <w:color w:val="0000FF"/>
            <w:sz w:val="24"/>
            <w:szCs w:val="24"/>
            <w:u w:val="single"/>
          </w:rPr>
          <w:t>https://doi.org/10.1080/02687030544000173</w:t>
        </w:r>
      </w:hyperlink>
    </w:p>
    <w:p w14:paraId="516FFE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Hindle, J. V., Martyr, A., &amp; Clare, L. (2014). Cognitive reserve in Parkinson’s disease: A systematic review and meta-analysis. </w:t>
      </w:r>
      <w:r w:rsidRPr="004C4852">
        <w:rPr>
          <w:rFonts w:ascii="Times New Roman" w:eastAsia="Times New Roman" w:hAnsi="Times New Roman" w:cs="Times New Roman"/>
          <w:i/>
          <w:iCs/>
          <w:sz w:val="24"/>
          <w:szCs w:val="24"/>
        </w:rPr>
        <w:t>Parkinsonism &amp; Related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(1), 1–7. </w:t>
      </w:r>
      <w:hyperlink r:id="rId2482" w:history="1">
        <w:r w:rsidRPr="004C4852">
          <w:rPr>
            <w:rFonts w:ascii="Times New Roman" w:eastAsia="Times New Roman" w:hAnsi="Times New Roman" w:cs="Times New Roman"/>
            <w:color w:val="0000FF"/>
            <w:sz w:val="24"/>
            <w:szCs w:val="24"/>
            <w:u w:val="single"/>
          </w:rPr>
          <w:t>https://doi.org/10.1016/j.parkreldis.2013.08.010</w:t>
        </w:r>
      </w:hyperlink>
    </w:p>
    <w:p w14:paraId="5083D1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Hinrichs, K. H., Easter, R. E., Angers, K., Pester, B., Lai, Z., Marshall, D. F., Kamali, M., McInnis, M., Langenecker, S. A., &amp; Ryan, K. A. (2017). Influence of cognitive reserve on neuropsychological functioning in bipolar disorder: Findings from a 5‐year longitudinal study.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50–59. </w:t>
      </w:r>
      <w:hyperlink r:id="rId2483" w:history="1">
        <w:r w:rsidRPr="004C4852">
          <w:rPr>
            <w:rFonts w:ascii="Times New Roman" w:eastAsia="Times New Roman" w:hAnsi="Times New Roman" w:cs="Times New Roman"/>
            <w:color w:val="0000FF"/>
            <w:sz w:val="24"/>
            <w:szCs w:val="24"/>
            <w:u w:val="single"/>
          </w:rPr>
          <w:t>https://doi.org/10.1111/bdi.12470</w:t>
        </w:r>
      </w:hyperlink>
    </w:p>
    <w:p w14:paraId="6C15EE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Hintze, B., &amp; Borkowska, A. (2011). Nasilenie objawów psychopatologicznych a zaburzenia pamięci operacyjnej i funkcji wykonawczych u chorych na schizofrenię w okresie częściowej remisji objawowej. [Intensity of negative symptoms, working memory and executive functions disturbances in schizo. </w:t>
      </w:r>
      <w:r w:rsidRPr="004C4852">
        <w:rPr>
          <w:rFonts w:ascii="Times New Roman" w:eastAsia="Times New Roman" w:hAnsi="Times New Roman" w:cs="Times New Roman"/>
          <w:i/>
          <w:iCs/>
          <w:sz w:val="24"/>
          <w:szCs w:val="24"/>
        </w:rPr>
        <w:t>Psychiatria Polska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(4), 457–467.</w:t>
      </w:r>
    </w:p>
    <w:p w14:paraId="206438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Hirabayashi, H., Inaki, K., Hirabayashi, J., &amp; Ichikawa, H. (1996). Retrograde amnesia in a case of pure amnesic syndrome. [Retrograde amnesia in a case of pure amnesic syndrome.].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(9), 949–956.</w:t>
      </w:r>
    </w:p>
    <w:p w14:paraId="3FD08F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Hirano, M., Goukon, A., Kikuchi, T., Noguchi, K., &amp; Hosokawa, T. (2007). Recognition and its impairment regarding autobiographical memories in a patient with hippocampal amnesia. </w:t>
      </w:r>
      <w:r w:rsidRPr="004C4852">
        <w:rPr>
          <w:rFonts w:ascii="Times New Roman" w:eastAsia="Times New Roman" w:hAnsi="Times New Roman" w:cs="Times New Roman"/>
          <w:i/>
          <w:iCs/>
          <w:sz w:val="24"/>
          <w:szCs w:val="24"/>
        </w:rPr>
        <w:t>Psychological Reports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101</w:t>
      </w:r>
      <w:r w:rsidRPr="004C4852">
        <w:rPr>
          <w:rFonts w:ascii="Times New Roman" w:eastAsia="Times New Roman" w:hAnsi="Times New Roman" w:cs="Times New Roman"/>
          <w:sz w:val="24"/>
          <w:szCs w:val="24"/>
        </w:rPr>
        <w:t xml:space="preserve">(3), 796–802. </w:t>
      </w:r>
      <w:hyperlink r:id="rId2484" w:history="1">
        <w:r w:rsidRPr="004C4852">
          <w:rPr>
            <w:rFonts w:ascii="Times New Roman" w:eastAsia="Times New Roman" w:hAnsi="Times New Roman" w:cs="Times New Roman"/>
            <w:color w:val="0000FF"/>
            <w:sz w:val="24"/>
            <w:szCs w:val="24"/>
            <w:u w:val="single"/>
          </w:rPr>
          <w:t>https://doi.org/10.2466/PR0.101.7.796-802</w:t>
        </w:r>
      </w:hyperlink>
    </w:p>
    <w:p w14:paraId="3F10B9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Hirose, S., Chikazoe, J., Jimura, K., Yamashita, K., Miyashita, Y., &amp; Konishi, S. (2009). Sub-centimeter scale functional organization in human inferior frontal gyrus. </w:t>
      </w:r>
      <w:r w:rsidRPr="004C4852">
        <w:rPr>
          <w:rFonts w:ascii="Times New Roman" w:eastAsia="Times New Roman" w:hAnsi="Times New Roman" w:cs="Times New Roman"/>
          <w:i/>
          <w:iCs/>
          <w:sz w:val="24"/>
          <w:szCs w:val="24"/>
        </w:rPr>
        <w:t>NeuroImage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(2), 442–450. </w:t>
      </w:r>
      <w:hyperlink r:id="rId2485" w:history="1">
        <w:r w:rsidRPr="004C4852">
          <w:rPr>
            <w:rFonts w:ascii="Times New Roman" w:eastAsia="Times New Roman" w:hAnsi="Times New Roman" w:cs="Times New Roman"/>
            <w:color w:val="0000FF"/>
            <w:sz w:val="24"/>
            <w:szCs w:val="24"/>
            <w:u w:val="single"/>
          </w:rPr>
          <w:t>https://doi.org/10.1016/j.neuroimage.2009.04.094</w:t>
        </w:r>
      </w:hyperlink>
    </w:p>
    <w:p w14:paraId="7FA20C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Hirschtritt, M. E., Hammond, C. J., Luckenbaugh, D., Buhle, J., Thurm, A. E., Casey, B. J., &amp; Swedo, S. E. (2009). Executive and attention functioning among children in the PANDAS subgroup.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179–194. </w:t>
      </w:r>
      <w:hyperlink r:id="rId2486" w:history="1">
        <w:r w:rsidRPr="004C4852">
          <w:rPr>
            <w:rFonts w:ascii="Times New Roman" w:eastAsia="Times New Roman" w:hAnsi="Times New Roman" w:cs="Times New Roman"/>
            <w:color w:val="0000FF"/>
            <w:sz w:val="24"/>
            <w:szCs w:val="24"/>
            <w:u w:val="single"/>
          </w:rPr>
          <w:t>https://doi.org/10.1080/09297040802186899</w:t>
        </w:r>
      </w:hyperlink>
    </w:p>
    <w:p w14:paraId="06C0AD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Hirshhorn, M., Newman, L., &amp; Moscovitch, M. (2011). Detailed descriptions of routes traveled, but not map-like knowledge, correlates with tests of hippocampal function in older adults. </w:t>
      </w:r>
      <w:r w:rsidRPr="004C4852">
        <w:rPr>
          <w:rFonts w:ascii="Times New Roman" w:eastAsia="Times New Roman" w:hAnsi="Times New Roman" w:cs="Times New Roman"/>
          <w:i/>
          <w:iCs/>
          <w:sz w:val="24"/>
          <w:szCs w:val="24"/>
        </w:rPr>
        <w:t>Hippocampus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(11), 1147–1151. </w:t>
      </w:r>
      <w:hyperlink r:id="rId2487" w:history="1">
        <w:r w:rsidRPr="004C4852">
          <w:rPr>
            <w:rFonts w:ascii="Times New Roman" w:eastAsia="Times New Roman" w:hAnsi="Times New Roman" w:cs="Times New Roman"/>
            <w:color w:val="0000FF"/>
            <w:sz w:val="24"/>
            <w:szCs w:val="24"/>
            <w:u w:val="single"/>
          </w:rPr>
          <w:t>https://doi.org/10.1002/hipo.20871</w:t>
        </w:r>
      </w:hyperlink>
    </w:p>
    <w:p w14:paraId="28D8EB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Hirth, V. A., Davis, B., Fridriksson, J., Rorden, C., &amp; Bonilha, L. (2007). Cognitive performance and neural correlates of detecting driving hazards in healthy older adults.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(5), 335–342. </w:t>
      </w:r>
      <w:hyperlink r:id="rId2488" w:history="1">
        <w:r w:rsidRPr="004C4852">
          <w:rPr>
            <w:rFonts w:ascii="Times New Roman" w:eastAsia="Times New Roman" w:hAnsi="Times New Roman" w:cs="Times New Roman"/>
            <w:color w:val="0000FF"/>
            <w:sz w:val="24"/>
            <w:szCs w:val="24"/>
            <w:u w:val="single"/>
          </w:rPr>
          <w:t>https://doi.org/10.1159/000108606</w:t>
        </w:r>
      </w:hyperlink>
    </w:p>
    <w:p w14:paraId="24D2D0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Hjärthag, F., Helldin, L., Karilampi, U., &amp; Norlander, T. (2010). Illness-related components for the family burden of relatives to patients with psychotic illness. </w:t>
      </w:r>
      <w:r w:rsidRPr="004C4852">
        <w:rPr>
          <w:rFonts w:ascii="Times New Roman" w:eastAsia="Times New Roman" w:hAnsi="Times New Roman" w:cs="Times New Roman"/>
          <w:i/>
          <w:iCs/>
          <w:sz w:val="24"/>
          <w:szCs w:val="24"/>
        </w:rPr>
        <w:t>Social Psychiatry and Psychiatric Epidemiology: The International Journal for Research in Social and Genetic Epidemiology and Mental Health Services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xml:space="preserve">(2), 275–283. </w:t>
      </w:r>
      <w:hyperlink r:id="rId2489" w:history="1">
        <w:r w:rsidRPr="004C4852">
          <w:rPr>
            <w:rFonts w:ascii="Times New Roman" w:eastAsia="Times New Roman" w:hAnsi="Times New Roman" w:cs="Times New Roman"/>
            <w:color w:val="0000FF"/>
            <w:sz w:val="24"/>
            <w:szCs w:val="24"/>
            <w:u w:val="single"/>
          </w:rPr>
          <w:t>https://doi.org/10.1007/s00127-009-0065-x</w:t>
        </w:r>
      </w:hyperlink>
    </w:p>
    <w:p w14:paraId="468F03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Hjermind, L. E., Law, I., Jønch, A., Stokholm, J., &amp; Nielsen, J. E. (2011). Huntington’s disease: Effect of memantine of FDG-PET brain metabolism?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206–210. </w:t>
      </w:r>
      <w:hyperlink r:id="rId2490" w:history="1">
        <w:r w:rsidRPr="004C4852">
          <w:rPr>
            <w:rFonts w:ascii="Times New Roman" w:eastAsia="Times New Roman" w:hAnsi="Times New Roman" w:cs="Times New Roman"/>
            <w:color w:val="0000FF"/>
            <w:sz w:val="24"/>
            <w:szCs w:val="24"/>
            <w:u w:val="single"/>
          </w:rPr>
          <w:t>https://doi.org/10.1176/appi.neuropsych.23.2.206</w:t>
        </w:r>
      </w:hyperlink>
    </w:p>
    <w:p w14:paraId="77862F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B.-C., Mola, C., &amp; Andreasen, N. C. (2004). Cerebellar Dysfunction in Neuroleptic Naive Schizophrenia Patients: Clinical, Cognitive, and Neuroanatomic Correlates of Cerebellar Neurologic Signs.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55</w:t>
      </w:r>
      <w:r w:rsidRPr="004C4852">
        <w:rPr>
          <w:rFonts w:ascii="Times New Roman" w:eastAsia="Times New Roman" w:hAnsi="Times New Roman" w:cs="Times New Roman"/>
          <w:sz w:val="24"/>
          <w:szCs w:val="24"/>
        </w:rPr>
        <w:t xml:space="preserve">(12), 1146–1153. </w:t>
      </w:r>
      <w:hyperlink r:id="rId2491" w:history="1">
        <w:r w:rsidRPr="004C4852">
          <w:rPr>
            <w:rFonts w:ascii="Times New Roman" w:eastAsia="Times New Roman" w:hAnsi="Times New Roman" w:cs="Times New Roman"/>
            <w:color w:val="0000FF"/>
            <w:sz w:val="24"/>
            <w:szCs w:val="24"/>
            <w:u w:val="single"/>
          </w:rPr>
          <w:t>https://doi.org/10.1016/j.biopsych.2004.02.020</w:t>
        </w:r>
      </w:hyperlink>
    </w:p>
    <w:p w14:paraId="71D162B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B.-C., Wassink, T. H., Ziebell, S., &amp; Andreasen, N. C. (2011). Cannabinoid receptor 1 gene polymorphisms and marijuana misuse interactions on white matter and cognitive deficits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128</w:t>
      </w:r>
      <w:r w:rsidRPr="004C4852">
        <w:rPr>
          <w:rFonts w:ascii="Times New Roman" w:eastAsia="Times New Roman" w:hAnsi="Times New Roman" w:cs="Times New Roman"/>
          <w:sz w:val="24"/>
          <w:szCs w:val="24"/>
        </w:rPr>
        <w:t xml:space="preserve">(1–3), 66–75. </w:t>
      </w:r>
      <w:hyperlink r:id="rId2492" w:history="1">
        <w:r w:rsidRPr="004C4852">
          <w:rPr>
            <w:rFonts w:ascii="Times New Roman" w:eastAsia="Times New Roman" w:hAnsi="Times New Roman" w:cs="Times New Roman"/>
            <w:color w:val="0000FF"/>
            <w:sz w:val="24"/>
            <w:szCs w:val="24"/>
            <w:u w:val="single"/>
          </w:rPr>
          <w:t>https://doi.org/10.1016/j.schres.2011.02.021</w:t>
        </w:r>
      </w:hyperlink>
    </w:p>
    <w:p w14:paraId="08C57DF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K. K. Y., Lui, S. S. Y., Hung, K. S. Y., Wang, Y., Li, Z., Cheung, E. F. C., &amp; Chan, R. C. K. (2015). Theory of mind impairments in patients with first-episode schizophrenia and their unaffected siblings.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166</w:t>
      </w:r>
      <w:r w:rsidRPr="004C4852">
        <w:rPr>
          <w:rFonts w:ascii="Times New Roman" w:eastAsia="Times New Roman" w:hAnsi="Times New Roman" w:cs="Times New Roman"/>
          <w:sz w:val="24"/>
          <w:szCs w:val="24"/>
        </w:rPr>
        <w:t xml:space="preserve">(1–3), 1–8. </w:t>
      </w:r>
      <w:hyperlink r:id="rId2493" w:history="1">
        <w:r w:rsidRPr="004C4852">
          <w:rPr>
            <w:rFonts w:ascii="Times New Roman" w:eastAsia="Times New Roman" w:hAnsi="Times New Roman" w:cs="Times New Roman"/>
            <w:color w:val="0000FF"/>
            <w:sz w:val="24"/>
            <w:szCs w:val="24"/>
            <w:u w:val="single"/>
          </w:rPr>
          <w:t>https://doi.org/10.1016/j.schres.2015.05.033</w:t>
        </w:r>
      </w:hyperlink>
    </w:p>
    <w:p w14:paraId="1B7E6B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 R. C. M., Fu, E., Tao, R., &amp; Mak, A. (2013). Functional Magnetic Resonance Imaging (fMRI) study of feedback evaluation, response section and maintenance process during Wisconsin Card Sort Test in newly-diagnosed systemic lupus erythematosus. </w:t>
      </w:r>
      <w:r w:rsidRPr="004C4852">
        <w:rPr>
          <w:rFonts w:ascii="Times New Roman" w:eastAsia="Times New Roman" w:hAnsi="Times New Roman" w:cs="Times New Roman"/>
          <w:i/>
          <w:iCs/>
          <w:sz w:val="24"/>
          <w:szCs w:val="24"/>
        </w:rPr>
        <w:t>Journal of Psychosomatic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74</w:t>
      </w:r>
      <w:r w:rsidRPr="004C4852">
        <w:rPr>
          <w:rFonts w:ascii="Times New Roman" w:eastAsia="Times New Roman" w:hAnsi="Times New Roman" w:cs="Times New Roman"/>
          <w:sz w:val="24"/>
          <w:szCs w:val="24"/>
        </w:rPr>
        <w:t xml:space="preserve">(6), 547–547. </w:t>
      </w:r>
      <w:hyperlink r:id="rId2494" w:history="1">
        <w:r w:rsidRPr="004C4852">
          <w:rPr>
            <w:rFonts w:ascii="Times New Roman" w:eastAsia="Times New Roman" w:hAnsi="Times New Roman" w:cs="Times New Roman"/>
            <w:color w:val="0000FF"/>
            <w:sz w:val="24"/>
            <w:szCs w:val="24"/>
            <w:u w:val="single"/>
          </w:rPr>
          <w:t>https://doi.org/10.1016/j.jpsychores.2013.03.041</w:t>
        </w:r>
      </w:hyperlink>
    </w:p>
    <w:p w14:paraId="5BEC611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Hoare, J., Westgarth-Taylor, J., Fouche, J.-P., Combrinck, M., Spottiswoode, B., Stein, D. J., &amp; Joska, J. A. (2013). Relationship between apolipoprotein E4 genotype and white matter integrity in HIV-positive young adults in South Africa.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263</w:t>
      </w:r>
      <w:r w:rsidRPr="004C4852">
        <w:rPr>
          <w:rFonts w:ascii="Times New Roman" w:eastAsia="Times New Roman" w:hAnsi="Times New Roman" w:cs="Times New Roman"/>
          <w:sz w:val="24"/>
          <w:szCs w:val="24"/>
        </w:rPr>
        <w:t xml:space="preserve">(3), 189–195. </w:t>
      </w:r>
      <w:hyperlink r:id="rId2495" w:history="1">
        <w:r w:rsidRPr="004C4852">
          <w:rPr>
            <w:rFonts w:ascii="Times New Roman" w:eastAsia="Times New Roman" w:hAnsi="Times New Roman" w:cs="Times New Roman"/>
            <w:color w:val="0000FF"/>
            <w:sz w:val="24"/>
            <w:szCs w:val="24"/>
            <w:u w:val="single"/>
          </w:rPr>
          <w:t>https://doi.org/10.1007/s00406-012-0341-8</w:t>
        </w:r>
      </w:hyperlink>
    </w:p>
    <w:p w14:paraId="165541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Hobson, C. W., Scott, S., &amp; Rubia, K. (2011). Investigation of cool and hot executive function in ODD/CD independently of ADHD. </w:t>
      </w:r>
      <w:r w:rsidRPr="004C4852">
        <w:rPr>
          <w:rFonts w:ascii="Times New Roman" w:eastAsia="Times New Roman" w:hAnsi="Times New Roman" w:cs="Times New Roman"/>
          <w:i/>
          <w:iCs/>
          <w:sz w:val="24"/>
          <w:szCs w:val="24"/>
        </w:rPr>
        <w:t>Journal of Child Psychology and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(10), 1035–1043. </w:t>
      </w:r>
      <w:hyperlink r:id="rId2496" w:history="1">
        <w:r w:rsidRPr="004C4852">
          <w:rPr>
            <w:rFonts w:ascii="Times New Roman" w:eastAsia="Times New Roman" w:hAnsi="Times New Roman" w:cs="Times New Roman"/>
            <w:color w:val="0000FF"/>
            <w:sz w:val="24"/>
            <w:szCs w:val="24"/>
            <w:u w:val="single"/>
          </w:rPr>
          <w:t>https://doi.org/10.1111/j.1469-7610.2011.02454.x</w:t>
        </w:r>
      </w:hyperlink>
    </w:p>
    <w:p w14:paraId="5FC6D0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Hobson, P., Meara, J., &amp; Taylor, C. (2007). The Weigl Colour-Form Sorting Test: A quick and easily administered bedside screen for dementia and executive dysfunction. </w:t>
      </w:r>
      <w:r w:rsidRPr="004C4852">
        <w:rPr>
          <w:rFonts w:ascii="Times New Roman" w:eastAsia="Times New Roman" w:hAnsi="Times New Roman" w:cs="Times New Roman"/>
          <w:i/>
          <w:iCs/>
          <w:sz w:val="24"/>
          <w:szCs w:val="24"/>
        </w:rPr>
        <w:t>International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(9), 909–915. </w:t>
      </w:r>
      <w:hyperlink r:id="rId2497" w:history="1">
        <w:r w:rsidRPr="004C4852">
          <w:rPr>
            <w:rFonts w:ascii="Times New Roman" w:eastAsia="Times New Roman" w:hAnsi="Times New Roman" w:cs="Times New Roman"/>
            <w:color w:val="0000FF"/>
            <w:sz w:val="24"/>
            <w:szCs w:val="24"/>
            <w:u w:val="single"/>
          </w:rPr>
          <w:t>https://doi.org/10.1002/gps.1765</w:t>
        </w:r>
      </w:hyperlink>
    </w:p>
    <w:p w14:paraId="692E93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Hobson, R. P. (2012). Autism, literal language and concrete thinking: Some developmental considerations. </w:t>
      </w:r>
      <w:r w:rsidRPr="004C4852">
        <w:rPr>
          <w:rFonts w:ascii="Times New Roman" w:eastAsia="Times New Roman" w:hAnsi="Times New Roman" w:cs="Times New Roman"/>
          <w:i/>
          <w:iCs/>
          <w:sz w:val="24"/>
          <w:szCs w:val="24"/>
        </w:rPr>
        <w:t>Metaphor and Symbol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(1), 4–21. </w:t>
      </w:r>
      <w:hyperlink r:id="rId2498" w:history="1">
        <w:r w:rsidRPr="004C4852">
          <w:rPr>
            <w:rFonts w:ascii="Times New Roman" w:eastAsia="Times New Roman" w:hAnsi="Times New Roman" w:cs="Times New Roman"/>
            <w:color w:val="0000FF"/>
            <w:sz w:val="24"/>
            <w:szCs w:val="24"/>
            <w:u w:val="single"/>
          </w:rPr>
          <w:t>https://doi.org/10.1080/10926488.2012.638814</w:t>
        </w:r>
      </w:hyperlink>
    </w:p>
    <w:p w14:paraId="3ADB18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Hocherman, S., Moont, R., &amp; Schwartz, M. (2004). Response selection and execution in patients with Parkinson’s disease. </w:t>
      </w:r>
      <w:r w:rsidRPr="004C4852">
        <w:rPr>
          <w:rFonts w:ascii="Times New Roman" w:eastAsia="Times New Roman" w:hAnsi="Times New Roman" w:cs="Times New Roman"/>
          <w:i/>
          <w:iCs/>
          <w:sz w:val="24"/>
          <w:szCs w:val="24"/>
        </w:rPr>
        <w:t>Cognitive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40–51. </w:t>
      </w:r>
      <w:hyperlink r:id="rId2499" w:history="1">
        <w:r w:rsidRPr="004C4852">
          <w:rPr>
            <w:rFonts w:ascii="Times New Roman" w:eastAsia="Times New Roman" w:hAnsi="Times New Roman" w:cs="Times New Roman"/>
            <w:color w:val="0000FF"/>
            <w:sz w:val="24"/>
            <w:szCs w:val="24"/>
            <w:u w:val="single"/>
          </w:rPr>
          <w:t>https://doi.org/10.1016/j.cogbrainres.2003.11.001</w:t>
        </w:r>
      </w:hyperlink>
    </w:p>
    <w:p w14:paraId="0239D8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Hodgins, D. C., &amp; Holub, A. (2015). Components of impulsivity in gambling disorder. </w:t>
      </w:r>
      <w:r w:rsidRPr="004C4852">
        <w:rPr>
          <w:rFonts w:ascii="Times New Roman" w:eastAsia="Times New Roman" w:hAnsi="Times New Roman" w:cs="Times New Roman"/>
          <w:i/>
          <w:iCs/>
          <w:sz w:val="24"/>
          <w:szCs w:val="24"/>
        </w:rPr>
        <w:t>International Journal of Mental Health and Addiction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(6), 699–711. </w:t>
      </w:r>
      <w:hyperlink r:id="rId2500" w:history="1">
        <w:r w:rsidRPr="004C4852">
          <w:rPr>
            <w:rFonts w:ascii="Times New Roman" w:eastAsia="Times New Roman" w:hAnsi="Times New Roman" w:cs="Times New Roman"/>
            <w:color w:val="0000FF"/>
            <w:sz w:val="24"/>
            <w:szCs w:val="24"/>
            <w:u w:val="single"/>
          </w:rPr>
          <w:t>https://doi.org/10.1007/s11469-015-9572-z</w:t>
        </w:r>
      </w:hyperlink>
    </w:p>
    <w:p w14:paraId="00335B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Hodgson, J., McDonald, S., Tate, R., &amp; Gertler, P. (2005). A Randomised Controlled Trial of a Cognitive-Behavioural Therapy Program for Managing Social Anxiety After Acquired Brain Injury. </w:t>
      </w:r>
      <w:r w:rsidRPr="004C4852">
        <w:rPr>
          <w:rFonts w:ascii="Times New Roman" w:eastAsia="Times New Roman" w:hAnsi="Times New Roman" w:cs="Times New Roman"/>
          <w:i/>
          <w:iCs/>
          <w:sz w:val="24"/>
          <w:szCs w:val="24"/>
        </w:rPr>
        <w:t>Brain Impairment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(3), 169–180. </w:t>
      </w:r>
      <w:hyperlink r:id="rId2501" w:history="1">
        <w:r w:rsidRPr="004C4852">
          <w:rPr>
            <w:rFonts w:ascii="Times New Roman" w:eastAsia="Times New Roman" w:hAnsi="Times New Roman" w:cs="Times New Roman"/>
            <w:color w:val="0000FF"/>
            <w:sz w:val="24"/>
            <w:szCs w:val="24"/>
            <w:u w:val="single"/>
          </w:rPr>
          <w:t>https://doi.org/10.1375/brim.2005.6.3.169</w:t>
        </w:r>
      </w:hyperlink>
    </w:p>
    <w:p w14:paraId="4D4BFA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Hoe, M., Nakagami, E., Green, M. F., &amp; Brekke, J. S. (2012). The causal relationships between neurocognition, social cognition and functional outcome over time in schizophrenia: A latent difference score approach.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(11), 2287–2299. </w:t>
      </w:r>
      <w:hyperlink r:id="rId2502" w:history="1">
        <w:r w:rsidRPr="004C4852">
          <w:rPr>
            <w:rFonts w:ascii="Times New Roman" w:eastAsia="Times New Roman" w:hAnsi="Times New Roman" w:cs="Times New Roman"/>
            <w:color w:val="0000FF"/>
            <w:sz w:val="24"/>
            <w:szCs w:val="24"/>
            <w:u w:val="single"/>
          </w:rPr>
          <w:t>https://doi.org/10.1017/S0033291712000578</w:t>
        </w:r>
      </w:hyperlink>
    </w:p>
    <w:p w14:paraId="76E08AD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Hoefeijzers, S., Dewar, M., Della Sala, S., Zeman, A., &amp; Butler, C. (2013). Accelerated long-term forgetting in transient epileptic amnesia: An acquisition or consolidation deficit?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(8), 1549–1555. </w:t>
      </w:r>
      <w:hyperlink r:id="rId2503" w:history="1">
        <w:r w:rsidRPr="004C4852">
          <w:rPr>
            <w:rFonts w:ascii="Times New Roman" w:eastAsia="Times New Roman" w:hAnsi="Times New Roman" w:cs="Times New Roman"/>
            <w:color w:val="0000FF"/>
            <w:sz w:val="24"/>
            <w:szCs w:val="24"/>
            <w:u w:val="single"/>
          </w:rPr>
          <w:t>https://doi.org/10.1016/j.neuropsychologia.2013.04.017</w:t>
        </w:r>
      </w:hyperlink>
    </w:p>
    <w:p w14:paraId="1F3C23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Hoexter, M. Q., Shavitt, R. G., D’Alcante, C. C., Cecconi, J. P., Diniz, J. B., Belotto-Silva, C., Hounie, A. G., Borcato, S., Moraes, I., Joaquim, M. A., Cappi, C., Sampaio, A. S., de Mathis, M. A., Batistuzzo, M. C., Lopes, A. C., Rosa, A. C. F., Muniz, R. K., Marques, A. H., Santos, L. C., … Miguel, E. C. (2009). The drug-naïve OCD patients imaging genetics, cognitive and treatment response study: Methods and sample description. </w:t>
      </w:r>
      <w:r w:rsidRPr="004C4852">
        <w:rPr>
          <w:rFonts w:ascii="Times New Roman" w:eastAsia="Times New Roman" w:hAnsi="Times New Roman" w:cs="Times New Roman"/>
          <w:i/>
          <w:iCs/>
          <w:sz w:val="24"/>
          <w:szCs w:val="24"/>
        </w:rPr>
        <w:t>Revista Brasileira de Psiquiatria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(4), 345–353. </w:t>
      </w:r>
      <w:hyperlink r:id="rId2504" w:history="1">
        <w:r w:rsidRPr="004C4852">
          <w:rPr>
            <w:rFonts w:ascii="Times New Roman" w:eastAsia="Times New Roman" w:hAnsi="Times New Roman" w:cs="Times New Roman"/>
            <w:color w:val="0000FF"/>
            <w:sz w:val="24"/>
            <w:szCs w:val="24"/>
            <w:u w:val="single"/>
          </w:rPr>
          <w:t>https://doi.org/10.1590/S1516-44462009000400011</w:t>
        </w:r>
      </w:hyperlink>
    </w:p>
    <w:p w14:paraId="61277F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Baumgartner, S., Bodner, T., Edlinger, M., Hummer, M., Kemmler, G., Rettenbacher, M. A., &amp; Fleischhacker, W. W. (2005). Patient outcomes in schizophrenia II: The impact of cognition.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(5–6), 395–402. </w:t>
      </w:r>
      <w:hyperlink r:id="rId2505" w:history="1">
        <w:r w:rsidRPr="004C4852">
          <w:rPr>
            <w:rFonts w:ascii="Times New Roman" w:eastAsia="Times New Roman" w:hAnsi="Times New Roman" w:cs="Times New Roman"/>
            <w:color w:val="0000FF"/>
            <w:sz w:val="24"/>
            <w:szCs w:val="24"/>
            <w:u w:val="single"/>
          </w:rPr>
          <w:t>https://doi.org/10.1016/j.eurpsy.2005.02.006</w:t>
        </w:r>
      </w:hyperlink>
    </w:p>
    <w:p w14:paraId="434CDA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Bodner, T., Kaufmann, A., Kemmler, G., Mattarei, U., Pfaffenberger, N. M., Rettenbacher, M. A., Trebo, E., Yalcin, N., &amp; Fleischhacker, W. W. (2011). Symptomatic remission and neurocognitive functioning in patients with schizophrenia.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(10), 2131–2139. </w:t>
      </w:r>
      <w:hyperlink r:id="rId2506" w:history="1">
        <w:r w:rsidRPr="004C4852">
          <w:rPr>
            <w:rFonts w:ascii="Times New Roman" w:eastAsia="Times New Roman" w:hAnsi="Times New Roman" w:cs="Times New Roman"/>
            <w:color w:val="0000FF"/>
            <w:sz w:val="24"/>
            <w:szCs w:val="24"/>
            <w:u w:val="single"/>
          </w:rPr>
          <w:t>https://doi.org/10.1017/S0033291711000353</w:t>
        </w:r>
      </w:hyperlink>
    </w:p>
    <w:p w14:paraId="766001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Niedermayer, B., Kemmler, G., Rettenbacher, M. A., Trebo, E., Widschwendter, C. G., &amp; Fleischhacker, W. W. (2007). Cognitive impairment in schizophrenia: Clinical ratings are not a suitable alternative to neuropsychological testing.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92</w:t>
      </w:r>
      <w:r w:rsidRPr="004C4852">
        <w:rPr>
          <w:rFonts w:ascii="Times New Roman" w:eastAsia="Times New Roman" w:hAnsi="Times New Roman" w:cs="Times New Roman"/>
          <w:sz w:val="24"/>
          <w:szCs w:val="24"/>
        </w:rPr>
        <w:t xml:space="preserve">(1–3), 126–131. </w:t>
      </w:r>
      <w:hyperlink r:id="rId2507" w:history="1">
        <w:r w:rsidRPr="004C4852">
          <w:rPr>
            <w:rFonts w:ascii="Times New Roman" w:eastAsia="Times New Roman" w:hAnsi="Times New Roman" w:cs="Times New Roman"/>
            <w:color w:val="0000FF"/>
            <w:sz w:val="24"/>
            <w:szCs w:val="24"/>
            <w:u w:val="single"/>
          </w:rPr>
          <w:t>https://doi.org/10.1016/j.schres.2007.01.023</w:t>
        </w:r>
      </w:hyperlink>
    </w:p>
    <w:p w14:paraId="5C1D24C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Hofer, A., Rettenbacher, M. A., Edlinger, M., Huber, R., Bodner, T., Kemmler, G., Sachs, G., &amp; Fleischhacker, W. W. (2007). Outcomes in schizophrenia outpatients treated with Amisulpride or Olanzapine. </w:t>
      </w:r>
      <w:r w:rsidRPr="004C4852">
        <w:rPr>
          <w:rFonts w:ascii="Times New Roman" w:eastAsia="Times New Roman" w:hAnsi="Times New Roman" w:cs="Times New Roman"/>
          <w:i/>
          <w:iCs/>
          <w:sz w:val="24"/>
          <w:szCs w:val="24"/>
        </w:rPr>
        <w:t>Pharmacopsychiatry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(1), 1–8. </w:t>
      </w:r>
      <w:hyperlink r:id="rId2508" w:history="1">
        <w:r w:rsidRPr="004C4852">
          <w:rPr>
            <w:rFonts w:ascii="Times New Roman" w:eastAsia="Times New Roman" w:hAnsi="Times New Roman" w:cs="Times New Roman"/>
            <w:color w:val="0000FF"/>
            <w:sz w:val="24"/>
            <w:szCs w:val="24"/>
            <w:u w:val="single"/>
          </w:rPr>
          <w:t>https://doi.org/10.1055/s-2007-958520</w:t>
        </w:r>
      </w:hyperlink>
    </w:p>
    <w:p w14:paraId="6518E46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 A. L., Riordan, H., Morris, L., Cestaro, V., Wieneke, M., Alpert, R., Wang, G.-J., &amp; Volkow, N. (1996). Effects of crack cocaine on neurocognitive function.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(2–3), 167–176. </w:t>
      </w:r>
      <w:hyperlink r:id="rId2509" w:history="1">
        <w:r w:rsidRPr="004C4852">
          <w:rPr>
            <w:rFonts w:ascii="Times New Roman" w:eastAsia="Times New Roman" w:hAnsi="Times New Roman" w:cs="Times New Roman"/>
            <w:color w:val="0000FF"/>
            <w:sz w:val="24"/>
            <w:szCs w:val="24"/>
            <w:u w:val="single"/>
          </w:rPr>
          <w:t>https://doi.org/10.1016/0165-1781(96)02758-8</w:t>
        </w:r>
      </w:hyperlink>
    </w:p>
    <w:p w14:paraId="06FEEB6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 A. L., Svetina, C., Shields, G., Stewart, J., &amp; DeLisi, L. E. (2005). Ten year longitudinal study of neuropsychological functioning subsequent to a first episode of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(1), 27–34. </w:t>
      </w:r>
      <w:hyperlink r:id="rId2510" w:history="1">
        <w:r w:rsidRPr="004C4852">
          <w:rPr>
            <w:rFonts w:ascii="Times New Roman" w:eastAsia="Times New Roman" w:hAnsi="Times New Roman" w:cs="Times New Roman"/>
            <w:color w:val="0000FF"/>
            <w:sz w:val="24"/>
            <w:szCs w:val="24"/>
            <w:u w:val="single"/>
          </w:rPr>
          <w:t>https://doi.org/10.1016/j.schres.2005.05.010</w:t>
        </w:r>
      </w:hyperlink>
    </w:p>
    <w:p w14:paraId="7C9AB4A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(2019). Divergent effects of healthy ageing on semantic knowledge and control: Evidence from novel comparisons with semantically impaired patients.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(3), 462–484. </w:t>
      </w:r>
      <w:hyperlink r:id="rId2511" w:history="1">
        <w:r w:rsidRPr="004C4852">
          <w:rPr>
            <w:rFonts w:ascii="Times New Roman" w:eastAsia="Times New Roman" w:hAnsi="Times New Roman" w:cs="Times New Roman"/>
            <w:color w:val="0000FF"/>
            <w:sz w:val="24"/>
            <w:szCs w:val="24"/>
            <w:u w:val="single"/>
          </w:rPr>
          <w:t>https://doi.org/10.1111/jnp.12159</w:t>
        </w:r>
      </w:hyperlink>
    </w:p>
    <w:p w14:paraId="56112E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Ehsan, S., Hopper, S., &amp; Ralph, M. A. L. (2009). Selective short-term memory deficits arise from impaired domain-general semantic control mechanisms. </w:t>
      </w:r>
      <w:r w:rsidRPr="004C4852">
        <w:rPr>
          <w:rFonts w:ascii="Times New Roman" w:eastAsia="Times New Roman" w:hAnsi="Times New Roman" w:cs="Times New Roman"/>
          <w:i/>
          <w:iCs/>
          <w:sz w:val="24"/>
          <w:szCs w:val="24"/>
        </w:rPr>
        <w:t>Journal of Experimental Psychology: Learning, Memory,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(1), 137–156. </w:t>
      </w:r>
      <w:hyperlink r:id="rId2512" w:history="1">
        <w:r w:rsidRPr="004C4852">
          <w:rPr>
            <w:rFonts w:ascii="Times New Roman" w:eastAsia="Times New Roman" w:hAnsi="Times New Roman" w:cs="Times New Roman"/>
            <w:color w:val="0000FF"/>
            <w:sz w:val="24"/>
            <w:szCs w:val="24"/>
            <w:u w:val="single"/>
          </w:rPr>
          <w:t>https://doi.org/10.1037/a0013985</w:t>
        </w:r>
      </w:hyperlink>
    </w:p>
    <w:p w14:paraId="6C2E07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Haffey, A., Littlejohns, T., &amp; Ralph, M. A. L. (2013). Domain-specific control of semantic cognition: A dissociation within patients with semantic working memory deficits. </w:t>
      </w:r>
      <w:r w:rsidRPr="004C4852">
        <w:rPr>
          <w:rFonts w:ascii="Times New Roman" w:eastAsia="Times New Roman" w:hAnsi="Times New Roman" w:cs="Times New Roman"/>
          <w:i/>
          <w:iCs/>
          <w:sz w:val="24"/>
          <w:szCs w:val="24"/>
        </w:rPr>
        <w:t>Aphasiology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(6), 740–764. </w:t>
      </w:r>
      <w:hyperlink r:id="rId2513" w:history="1">
        <w:r w:rsidRPr="004C4852">
          <w:rPr>
            <w:rFonts w:ascii="Times New Roman" w:eastAsia="Times New Roman" w:hAnsi="Times New Roman" w:cs="Times New Roman"/>
            <w:color w:val="0000FF"/>
            <w:sz w:val="24"/>
            <w:szCs w:val="24"/>
            <w:u w:val="single"/>
          </w:rPr>
          <w:t>https://doi.org/10.1080/02687038.2012.751578</w:t>
        </w:r>
      </w:hyperlink>
    </w:p>
    <w:p w14:paraId="3CD14B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&amp; Ralph, M. A. L. (2010). Ventrolateral prefrontal cortex plays an executive regulation role in comprehension of abstract words: Convergent neuropsychological and repetitive TMS evidence. </w:t>
      </w:r>
      <w:r w:rsidRPr="004C4852">
        <w:rPr>
          <w:rFonts w:ascii="Times New Roman" w:eastAsia="Times New Roman" w:hAnsi="Times New Roman" w:cs="Times New Roman"/>
          <w:i/>
          <w:iCs/>
          <w:sz w:val="24"/>
          <w:szCs w:val="24"/>
        </w:rPr>
        <w:t>The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(46), 15450–15456. </w:t>
      </w:r>
      <w:hyperlink r:id="rId2514" w:history="1">
        <w:r w:rsidRPr="004C4852">
          <w:rPr>
            <w:rFonts w:ascii="Times New Roman" w:eastAsia="Times New Roman" w:hAnsi="Times New Roman" w:cs="Times New Roman"/>
            <w:color w:val="0000FF"/>
            <w:sz w:val="24"/>
            <w:szCs w:val="24"/>
            <w:u w:val="single"/>
          </w:rPr>
          <w:t>https://doi.org/10.1523/JNEUROSCI.3783-10.2010</w:t>
        </w:r>
      </w:hyperlink>
    </w:p>
    <w:p w14:paraId="443EB6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&amp; Ralph, M. A. L. (2011a). Explaining semantic short-term memory deficits: Evidence for the critical role of semantic control.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(3), 368–381. </w:t>
      </w:r>
      <w:hyperlink r:id="rId2515" w:history="1">
        <w:r w:rsidRPr="004C4852">
          <w:rPr>
            <w:rFonts w:ascii="Times New Roman" w:eastAsia="Times New Roman" w:hAnsi="Times New Roman" w:cs="Times New Roman"/>
            <w:color w:val="0000FF"/>
            <w:sz w:val="24"/>
            <w:szCs w:val="24"/>
            <w:u w:val="single"/>
          </w:rPr>
          <w:t>https://doi.org/10.1016/j.neuropsychologia.2010.12.034</w:t>
        </w:r>
      </w:hyperlink>
    </w:p>
    <w:p w14:paraId="34EB1C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P., Jefferies, E., &amp; Ralph, M. A. L. (2011b). Remembering ‘zeal’ but not ‘thing’: Reverse frequency effects as a consequence of deregulated semantic processing.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(3), 580–584. </w:t>
      </w:r>
      <w:hyperlink r:id="rId2516" w:history="1">
        <w:r w:rsidRPr="004C4852">
          <w:rPr>
            <w:rFonts w:ascii="Times New Roman" w:eastAsia="Times New Roman" w:hAnsi="Times New Roman" w:cs="Times New Roman"/>
            <w:color w:val="0000FF"/>
            <w:sz w:val="24"/>
            <w:szCs w:val="24"/>
            <w:u w:val="single"/>
          </w:rPr>
          <w:t>https://doi.org/10.1016/j.neuropsychologia.2010.12.036</w:t>
        </w:r>
      </w:hyperlink>
    </w:p>
    <w:p w14:paraId="3AB993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 W. F., Moore, M., Templin, R., McFarland, B., Hitzemann, R. J., &amp; Mitchell, S. H. (2006). Neuropsychological function and delay discounting in methamphetamine-dependent individuals.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188</w:t>
      </w:r>
      <w:r w:rsidRPr="004C4852">
        <w:rPr>
          <w:rFonts w:ascii="Times New Roman" w:eastAsia="Times New Roman" w:hAnsi="Times New Roman" w:cs="Times New Roman"/>
          <w:sz w:val="24"/>
          <w:szCs w:val="24"/>
        </w:rPr>
        <w:t xml:space="preserve">(2), 162–170. </w:t>
      </w:r>
      <w:hyperlink r:id="rId2517" w:history="1">
        <w:r w:rsidRPr="004C4852">
          <w:rPr>
            <w:rFonts w:ascii="Times New Roman" w:eastAsia="Times New Roman" w:hAnsi="Times New Roman" w:cs="Times New Roman"/>
            <w:color w:val="0000FF"/>
            <w:sz w:val="24"/>
            <w:szCs w:val="24"/>
            <w:u w:val="single"/>
          </w:rPr>
          <w:t>https://doi.org/10.1007/s00213-006-0494-0</w:t>
        </w:r>
      </w:hyperlink>
    </w:p>
    <w:p w14:paraId="7C658B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(2008). Isolated right temporal lobe stroke patients present with Geschwind Gastaut syndrome, frontal network syndrome and delusional misidentification syndromes.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(3–4), 83–89. </w:t>
      </w:r>
      <w:hyperlink r:id="rId2518" w:history="1">
        <w:r w:rsidRPr="004C4852">
          <w:rPr>
            <w:rFonts w:ascii="Times New Roman" w:eastAsia="Times New Roman" w:hAnsi="Times New Roman" w:cs="Times New Roman"/>
            <w:color w:val="0000FF"/>
            <w:sz w:val="24"/>
            <w:szCs w:val="24"/>
            <w:u w:val="single"/>
          </w:rPr>
          <w:t>https://doi.org/10.1155/2008/847685</w:t>
        </w:r>
      </w:hyperlink>
    </w:p>
    <w:p w14:paraId="5EB054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(2013). Frontal network syndrome testing: Clinical tests and positron emission tomography brain imaging help distinguish the 3 most common dementia subtypes. </w:t>
      </w:r>
      <w:r w:rsidRPr="004C4852">
        <w:rPr>
          <w:rFonts w:ascii="Times New Roman" w:eastAsia="Times New Roman" w:hAnsi="Times New Roman" w:cs="Times New Roman"/>
          <w:i/>
          <w:iCs/>
          <w:sz w:val="24"/>
          <w:szCs w:val="24"/>
        </w:rPr>
        <w:t>American Journal of Alzheimer’s Disease and Other Dementias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477–484.</w:t>
      </w:r>
    </w:p>
    <w:p w14:paraId="2DA641B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(2014). The panoply of field-dependent behavior in 1436 stroke patients. The mirror neuron system uncoupled and the consequences of loss of personal autonomy.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 556–568. </w:t>
      </w:r>
      <w:hyperlink r:id="rId2519" w:history="1">
        <w:r w:rsidRPr="004C4852">
          <w:rPr>
            <w:rFonts w:ascii="Times New Roman" w:eastAsia="Times New Roman" w:hAnsi="Times New Roman" w:cs="Times New Roman"/>
            <w:color w:val="0000FF"/>
            <w:sz w:val="24"/>
            <w:szCs w:val="24"/>
            <w:u w:val="single"/>
          </w:rPr>
          <w:t>https://doi.org/10.1080/13554794.2013.826687</w:t>
        </w:r>
      </w:hyperlink>
    </w:p>
    <w:p w14:paraId="5E33B8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Bar-On, R. (2012). Isolated frontopolar cortex lesion: A case study.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50–56. </w:t>
      </w:r>
      <w:hyperlink r:id="rId2520" w:history="1">
        <w:r w:rsidRPr="004C4852">
          <w:rPr>
            <w:rFonts w:ascii="Times New Roman" w:eastAsia="Times New Roman" w:hAnsi="Times New Roman" w:cs="Times New Roman"/>
            <w:color w:val="0000FF"/>
            <w:sz w:val="24"/>
            <w:szCs w:val="24"/>
            <w:u w:val="single"/>
          </w:rPr>
          <w:t>https://doi.org/10.1097/WNN.0b013e318249a479</w:t>
        </w:r>
      </w:hyperlink>
    </w:p>
    <w:p w14:paraId="0129FD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Cases, L. B. (2008). Etiology of frontal network syndromes in isolated subtentorial stroke.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(3–4), 101–105. </w:t>
      </w:r>
      <w:hyperlink r:id="rId2521" w:history="1">
        <w:r w:rsidRPr="004C4852">
          <w:rPr>
            <w:rFonts w:ascii="Times New Roman" w:eastAsia="Times New Roman" w:hAnsi="Times New Roman" w:cs="Times New Roman"/>
            <w:color w:val="0000FF"/>
            <w:sz w:val="24"/>
            <w:szCs w:val="24"/>
            <w:u w:val="single"/>
          </w:rPr>
          <w:t>https://doi.org/10.1155/2008/635187</w:t>
        </w:r>
      </w:hyperlink>
    </w:p>
    <w:p w14:paraId="42DEE75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Cases, L. B., Hoffmann, B., &amp; Chen, R. (2010). The impact of stroke on emotional intelligence. </w:t>
      </w:r>
      <w:r w:rsidRPr="004C4852">
        <w:rPr>
          <w:rFonts w:ascii="Times New Roman" w:eastAsia="Times New Roman" w:hAnsi="Times New Roman" w:cs="Times New Roman"/>
          <w:i/>
          <w:iCs/>
          <w:sz w:val="24"/>
          <w:szCs w:val="24"/>
        </w:rPr>
        <w:t>BMC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522" w:history="1">
        <w:r w:rsidRPr="004C4852">
          <w:rPr>
            <w:rFonts w:ascii="Times New Roman" w:eastAsia="Times New Roman" w:hAnsi="Times New Roman" w:cs="Times New Roman"/>
            <w:color w:val="0000FF"/>
            <w:sz w:val="24"/>
            <w:szCs w:val="24"/>
            <w:u w:val="single"/>
          </w:rPr>
          <w:t>https://doi.org/10.1186/1471-2377-10-103</w:t>
        </w:r>
      </w:hyperlink>
    </w:p>
    <w:p w14:paraId="7C5DF7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Schmitt, F. (2004). Cognitive impairment in isolated subtentorial stroke.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109</w:t>
      </w:r>
      <w:r w:rsidRPr="004C4852">
        <w:rPr>
          <w:rFonts w:ascii="Times New Roman" w:eastAsia="Times New Roman" w:hAnsi="Times New Roman" w:cs="Times New Roman"/>
          <w:sz w:val="24"/>
          <w:szCs w:val="24"/>
        </w:rPr>
        <w:t xml:space="preserve">(1), 14–24. </w:t>
      </w:r>
      <w:hyperlink r:id="rId2523" w:history="1">
        <w:r w:rsidRPr="004C4852">
          <w:rPr>
            <w:rFonts w:ascii="Times New Roman" w:eastAsia="Times New Roman" w:hAnsi="Times New Roman" w:cs="Times New Roman"/>
            <w:color w:val="0000FF"/>
            <w:sz w:val="24"/>
            <w:szCs w:val="24"/>
            <w:u w:val="single"/>
          </w:rPr>
          <w:t>https://doi.org/10.1034/j.1600-0404.2003.00169.x</w:t>
        </w:r>
      </w:hyperlink>
    </w:p>
    <w:p w14:paraId="3BE182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&amp; Schmitt, F. (2006). Metacognition in Stroke: Bedside Assessment and Relation to Location, Size, and Stroke Severity.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85–94. </w:t>
      </w:r>
      <w:hyperlink r:id="rId2524" w:history="1">
        <w:r w:rsidRPr="004C4852">
          <w:rPr>
            <w:rFonts w:ascii="Times New Roman" w:eastAsia="Times New Roman" w:hAnsi="Times New Roman" w:cs="Times New Roman"/>
            <w:color w:val="0000FF"/>
            <w:sz w:val="24"/>
            <w:szCs w:val="24"/>
            <w:u w:val="single"/>
          </w:rPr>
          <w:t>https://doi.org/10.1097/01.wnn.0000213903.59827.50</w:t>
        </w:r>
      </w:hyperlink>
    </w:p>
    <w:p w14:paraId="554C9F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Hoffmann, M., Schmitt, F., &amp; Bromley, E. (2009). Comprehensive cognitive neurological assessment in stroke.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119</w:t>
      </w:r>
      <w:r w:rsidRPr="004C4852">
        <w:rPr>
          <w:rFonts w:ascii="Times New Roman" w:eastAsia="Times New Roman" w:hAnsi="Times New Roman" w:cs="Times New Roman"/>
          <w:sz w:val="24"/>
          <w:szCs w:val="24"/>
        </w:rPr>
        <w:t xml:space="preserve">(3), 162–171. </w:t>
      </w:r>
      <w:hyperlink r:id="rId2525" w:history="1">
        <w:r w:rsidRPr="004C4852">
          <w:rPr>
            <w:rFonts w:ascii="Times New Roman" w:eastAsia="Times New Roman" w:hAnsi="Times New Roman" w:cs="Times New Roman"/>
            <w:color w:val="0000FF"/>
            <w:sz w:val="24"/>
            <w:szCs w:val="24"/>
            <w:u w:val="single"/>
          </w:rPr>
          <w:t>https://doi.org/10.1111/j.1600-0404.2008.01101.x</w:t>
        </w:r>
      </w:hyperlink>
    </w:p>
    <w:p w14:paraId="7783EB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Hogarty, G. E., Flesher, S., Ulrich, R., Carter, M., Greenwald, D., Pogue-Geile, M., Kechavan, M., Cooley, S., DiBarry, A. L., Garrett, A., Parepally, H., &amp; Zoretich, R. (2004). Cognitive enhancement therapy for schizophrenia. Effects of a 2-year randomized trial on cognition and behavior. </w:t>
      </w:r>
      <w:r w:rsidRPr="004C4852">
        <w:rPr>
          <w:rFonts w:ascii="Times New Roman" w:eastAsia="Times New Roman" w:hAnsi="Times New Roman" w:cs="Times New Roman"/>
          <w:i/>
          <w:iCs/>
          <w:sz w:val="24"/>
          <w:szCs w:val="24"/>
        </w:rPr>
        <w:t>Archives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(9), 866–876. </w:t>
      </w:r>
      <w:hyperlink r:id="rId2526" w:history="1">
        <w:r w:rsidRPr="004C4852">
          <w:rPr>
            <w:rFonts w:ascii="Times New Roman" w:eastAsia="Times New Roman" w:hAnsi="Times New Roman" w:cs="Times New Roman"/>
            <w:color w:val="0000FF"/>
            <w:sz w:val="24"/>
            <w:szCs w:val="24"/>
            <w:u w:val="single"/>
          </w:rPr>
          <w:t>https://doi.org/10.1001/archpsyc.61.9.866</w:t>
        </w:r>
      </w:hyperlink>
    </w:p>
    <w:p w14:paraId="1AE5B9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Hogarty, G. E., Greenwald, D. P., &amp; Eack, S. M. (2006). Durability and mechanism of effects of cognitive enhancement therapy. </w:t>
      </w:r>
      <w:r w:rsidRPr="004C4852">
        <w:rPr>
          <w:rFonts w:ascii="Times New Roman" w:eastAsia="Times New Roman" w:hAnsi="Times New Roman" w:cs="Times New Roman"/>
          <w:i/>
          <w:iCs/>
          <w:sz w:val="24"/>
          <w:szCs w:val="24"/>
        </w:rPr>
        <w:t>Psychiatric Services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(12), 1751–1757. </w:t>
      </w:r>
      <w:hyperlink r:id="rId2527" w:history="1">
        <w:r w:rsidRPr="004C4852">
          <w:rPr>
            <w:rFonts w:ascii="Times New Roman" w:eastAsia="Times New Roman" w:hAnsi="Times New Roman" w:cs="Times New Roman"/>
            <w:color w:val="0000FF"/>
            <w:sz w:val="24"/>
            <w:szCs w:val="24"/>
            <w:u w:val="single"/>
          </w:rPr>
          <w:t>https://doi.org/10.1176/appi.ps.57.12.1751</w:t>
        </w:r>
      </w:hyperlink>
    </w:p>
    <w:p w14:paraId="7A0701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Høifødt, R. S., Waterloo, K., Wang, C. E. A., Eisemann, M., Figenschau, Y., &amp; Halvorsen, M. (2019). Cortisol levels and cognitive profile in major depression: A comparison of currently and previously depressed patients. </w:t>
      </w:r>
      <w:r w:rsidRPr="004C4852">
        <w:rPr>
          <w:rFonts w:ascii="Times New Roman" w:eastAsia="Times New Roman" w:hAnsi="Times New Roman" w:cs="Times New Roman"/>
          <w:i/>
          <w:iCs/>
          <w:sz w:val="24"/>
          <w:szCs w:val="24"/>
        </w:rPr>
        <w:t>Psychoneuroendocrinology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99</w:t>
      </w:r>
      <w:r w:rsidRPr="004C4852">
        <w:rPr>
          <w:rFonts w:ascii="Times New Roman" w:eastAsia="Times New Roman" w:hAnsi="Times New Roman" w:cs="Times New Roman"/>
          <w:sz w:val="24"/>
          <w:szCs w:val="24"/>
        </w:rPr>
        <w:t xml:space="preserve">, 57–65. </w:t>
      </w:r>
      <w:hyperlink r:id="rId2528" w:history="1">
        <w:r w:rsidRPr="004C4852">
          <w:rPr>
            <w:rFonts w:ascii="Times New Roman" w:eastAsia="Times New Roman" w:hAnsi="Times New Roman" w:cs="Times New Roman"/>
            <w:color w:val="0000FF"/>
            <w:sz w:val="24"/>
            <w:szCs w:val="24"/>
            <w:u w:val="single"/>
          </w:rPr>
          <w:t>https://doi.org/10.1016/j.psyneuen.2018.08.024</w:t>
        </w:r>
      </w:hyperlink>
    </w:p>
    <w:p w14:paraId="79CCD95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Hokkanen, L. S. K., Kauranen, V., Roine, R. O., Salonen, O., &amp; Kotila, M. (2006). Subtle cognitive deficits after cerebellar infarcts.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(2), 161–170. </w:t>
      </w:r>
      <w:hyperlink r:id="rId2529" w:history="1">
        <w:r w:rsidRPr="004C4852">
          <w:rPr>
            <w:rFonts w:ascii="Times New Roman" w:eastAsia="Times New Roman" w:hAnsi="Times New Roman" w:cs="Times New Roman"/>
            <w:color w:val="0000FF"/>
            <w:sz w:val="24"/>
            <w:szCs w:val="24"/>
            <w:u w:val="single"/>
          </w:rPr>
          <w:t>https://doi.org/10.1111/j.1468-1331.2006.01157.x</w:t>
        </w:r>
      </w:hyperlink>
    </w:p>
    <w:p w14:paraId="42BA45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Holder, L. J., Prasad, A., Han, J., Torok, M., &amp; Wong, Q. J. J. (2021). Shifting as a key executive function underlying cognitive restructuring for individuals with elevated social anxiety. </w:t>
      </w:r>
      <w:r w:rsidRPr="004C4852">
        <w:rPr>
          <w:rFonts w:ascii="Times New Roman" w:eastAsia="Times New Roman" w:hAnsi="Times New Roman" w:cs="Times New Roman"/>
          <w:i/>
          <w:iCs/>
          <w:sz w:val="24"/>
          <w:szCs w:val="24"/>
        </w:rPr>
        <w:t>Psychology and Psychotherapy: Theory, Research and Practice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94</w:t>
      </w:r>
      <w:r w:rsidRPr="004C4852">
        <w:rPr>
          <w:rFonts w:ascii="Times New Roman" w:eastAsia="Times New Roman" w:hAnsi="Times New Roman" w:cs="Times New Roman"/>
          <w:sz w:val="24"/>
          <w:szCs w:val="24"/>
        </w:rPr>
        <w:t xml:space="preserve">(2), 217–230. </w:t>
      </w:r>
      <w:hyperlink r:id="rId2530" w:history="1">
        <w:r w:rsidRPr="004C4852">
          <w:rPr>
            <w:rFonts w:ascii="Times New Roman" w:eastAsia="Times New Roman" w:hAnsi="Times New Roman" w:cs="Times New Roman"/>
            <w:color w:val="0000FF"/>
            <w:sz w:val="24"/>
            <w:szCs w:val="24"/>
            <w:u w:val="single"/>
          </w:rPr>
          <w:t>https://doi.org/10.1111/papt.12301</w:t>
        </w:r>
      </w:hyperlink>
    </w:p>
    <w:p w14:paraId="7F0385C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Holdnack, J. A., Prifitera, A., Weiss, L. G., &amp; Saklofske, D. H. (2016). WISC-V and the personalized assessment approach. In </w:t>
      </w:r>
      <w:r w:rsidRPr="004C4852">
        <w:rPr>
          <w:rFonts w:ascii="Times New Roman" w:eastAsia="Times New Roman" w:hAnsi="Times New Roman" w:cs="Times New Roman"/>
          <w:i/>
          <w:iCs/>
          <w:sz w:val="24"/>
          <w:szCs w:val="24"/>
        </w:rPr>
        <w:t>WISC-V assessment and interpretation: Scientist-practitioner perspectives.</w:t>
      </w:r>
      <w:r w:rsidRPr="004C4852">
        <w:rPr>
          <w:rFonts w:ascii="Times New Roman" w:eastAsia="Times New Roman" w:hAnsi="Times New Roman" w:cs="Times New Roman"/>
          <w:sz w:val="24"/>
          <w:szCs w:val="24"/>
        </w:rPr>
        <w:t xml:space="preserve"> (pp. 373–413). Elsevier Academic Press. </w:t>
      </w:r>
      <w:hyperlink r:id="rId2531" w:history="1">
        <w:r w:rsidRPr="004C4852">
          <w:rPr>
            <w:rFonts w:ascii="Times New Roman" w:eastAsia="Times New Roman" w:hAnsi="Times New Roman" w:cs="Times New Roman"/>
            <w:color w:val="0000FF"/>
            <w:sz w:val="24"/>
            <w:szCs w:val="24"/>
            <w:u w:val="single"/>
          </w:rPr>
          <w:t>https://doi.org/10.1016/B978-0-12-404697-9.00012-1</w:t>
        </w:r>
      </w:hyperlink>
    </w:p>
    <w:p w14:paraId="453110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Holler, K., &amp; Kavanaugh, B. (2013). Physical aggression, diagnostic presentation, and executive functioning in inpatient adolescents diagnosed with mood disorders. </w:t>
      </w:r>
      <w:r w:rsidRPr="004C4852">
        <w:rPr>
          <w:rFonts w:ascii="Times New Roman" w:eastAsia="Times New Roman" w:hAnsi="Times New Roman" w:cs="Times New Roman"/>
          <w:i/>
          <w:iCs/>
          <w:sz w:val="24"/>
          <w:szCs w:val="24"/>
        </w:rPr>
        <w:t>Child Psychiatry and Human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(4), 573–581. </w:t>
      </w:r>
      <w:hyperlink r:id="rId2532" w:history="1">
        <w:r w:rsidRPr="004C4852">
          <w:rPr>
            <w:rFonts w:ascii="Times New Roman" w:eastAsia="Times New Roman" w:hAnsi="Times New Roman" w:cs="Times New Roman"/>
            <w:color w:val="0000FF"/>
            <w:sz w:val="24"/>
            <w:szCs w:val="24"/>
            <w:u w:val="single"/>
          </w:rPr>
          <w:t>https://doi.org/10.1007/s10578-012-0351-9</w:t>
        </w:r>
      </w:hyperlink>
    </w:p>
    <w:p w14:paraId="064718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Holler, K., Kavanaugh, B., &amp; Cook, N. E. (2014). Executive functioning in adolescent depressive disorders. </w:t>
      </w:r>
      <w:r w:rsidRPr="004C4852">
        <w:rPr>
          <w:rFonts w:ascii="Times New Roman" w:eastAsia="Times New Roman" w:hAnsi="Times New Roman" w:cs="Times New Roman"/>
          <w:i/>
          <w:iCs/>
          <w:sz w:val="24"/>
          <w:szCs w:val="24"/>
        </w:rPr>
        <w:t>Journal of Child and Family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(8), 1315–1324. </w:t>
      </w:r>
      <w:hyperlink r:id="rId2533" w:history="1">
        <w:r w:rsidRPr="004C4852">
          <w:rPr>
            <w:rFonts w:ascii="Times New Roman" w:eastAsia="Times New Roman" w:hAnsi="Times New Roman" w:cs="Times New Roman"/>
            <w:color w:val="0000FF"/>
            <w:sz w:val="24"/>
            <w:szCs w:val="24"/>
            <w:u w:val="single"/>
          </w:rPr>
          <w:t>https://doi.org/10.1007/s10826-013-9789-z</w:t>
        </w:r>
      </w:hyperlink>
    </w:p>
    <w:p w14:paraId="70809AE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Holmén, A., Juuhl-Langseth, M., Thormodsen, R., Sundet, K., Melle, I., &amp; Rund, B. R. (2012). Executive function tests in early‐onset psychosis: Which one to choose? </w:t>
      </w:r>
      <w:r w:rsidRPr="004C4852">
        <w:rPr>
          <w:rFonts w:ascii="Times New Roman" w:eastAsia="Times New Roman" w:hAnsi="Times New Roman" w:cs="Times New Roman"/>
          <w:i/>
          <w:iCs/>
          <w:sz w:val="24"/>
          <w:szCs w:val="24"/>
        </w:rPr>
        <w:t>Scandinavian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(3), 200–205. </w:t>
      </w:r>
      <w:hyperlink r:id="rId2534" w:history="1">
        <w:r w:rsidRPr="004C4852">
          <w:rPr>
            <w:rFonts w:ascii="Times New Roman" w:eastAsia="Times New Roman" w:hAnsi="Times New Roman" w:cs="Times New Roman"/>
            <w:color w:val="0000FF"/>
            <w:sz w:val="24"/>
            <w:szCs w:val="24"/>
            <w:u w:val="single"/>
          </w:rPr>
          <w:t>https://doi.org/10.1111/j.1467-9450.2012.00940.x</w:t>
        </w:r>
      </w:hyperlink>
    </w:p>
    <w:p w14:paraId="10C4A9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Holmes, C., Brieant, A., King‐Casas, B., &amp; Kim‐Spoon, J. (2019). How is religiousness associated with adolescent risk‐taking? The roles of emotion regulation and executive function. </w:t>
      </w:r>
      <w:r w:rsidRPr="004C4852">
        <w:rPr>
          <w:rFonts w:ascii="Times New Roman" w:eastAsia="Times New Roman" w:hAnsi="Times New Roman" w:cs="Times New Roman"/>
          <w:i/>
          <w:iCs/>
          <w:sz w:val="24"/>
          <w:szCs w:val="24"/>
        </w:rPr>
        <w:t>Journal of Research on Adolescence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(2), 334–344. </w:t>
      </w:r>
      <w:hyperlink r:id="rId2535" w:history="1">
        <w:r w:rsidRPr="004C4852">
          <w:rPr>
            <w:rFonts w:ascii="Times New Roman" w:eastAsia="Times New Roman" w:hAnsi="Times New Roman" w:cs="Times New Roman"/>
            <w:color w:val="0000FF"/>
            <w:sz w:val="24"/>
            <w:szCs w:val="24"/>
            <w:u w:val="single"/>
          </w:rPr>
          <w:t>https://doi.org/10.1111/jora.12438</w:t>
        </w:r>
      </w:hyperlink>
    </w:p>
    <w:p w14:paraId="63A3A1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Holshausen, K., Bowie, C. R., Mausbach, B. T., Patterson, T. L., &amp; Harvey, P. D. (2014). Neurocognition, functional capacity, and functional outcomes: The cost of inexperience.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152</w:t>
      </w:r>
      <w:r w:rsidRPr="004C4852">
        <w:rPr>
          <w:rFonts w:ascii="Times New Roman" w:eastAsia="Times New Roman" w:hAnsi="Times New Roman" w:cs="Times New Roman"/>
          <w:sz w:val="24"/>
          <w:szCs w:val="24"/>
        </w:rPr>
        <w:t xml:space="preserve">(2–3), 430–434. </w:t>
      </w:r>
      <w:hyperlink r:id="rId2536" w:history="1">
        <w:r w:rsidRPr="004C4852">
          <w:rPr>
            <w:rFonts w:ascii="Times New Roman" w:eastAsia="Times New Roman" w:hAnsi="Times New Roman" w:cs="Times New Roman"/>
            <w:color w:val="0000FF"/>
            <w:sz w:val="24"/>
            <w:szCs w:val="24"/>
            <w:u w:val="single"/>
          </w:rPr>
          <w:t>https://doi.org/10.1016/j.schres.2013.08.004</w:t>
        </w:r>
      </w:hyperlink>
    </w:p>
    <w:p w14:paraId="177841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Holt, D. V., Wolf, J., Funke, J., Weisbrod, M., &amp; Kaiser, S. (2013). Planning impairments in schizophrenia: Specificity, task independence and functional relevance.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149</w:t>
      </w:r>
      <w:r w:rsidRPr="004C4852">
        <w:rPr>
          <w:rFonts w:ascii="Times New Roman" w:eastAsia="Times New Roman" w:hAnsi="Times New Roman" w:cs="Times New Roman"/>
          <w:sz w:val="24"/>
          <w:szCs w:val="24"/>
        </w:rPr>
        <w:t xml:space="preserve">(1–3), 174–179. </w:t>
      </w:r>
      <w:hyperlink r:id="rId2537" w:history="1">
        <w:r w:rsidRPr="004C4852">
          <w:rPr>
            <w:rFonts w:ascii="Times New Roman" w:eastAsia="Times New Roman" w:hAnsi="Times New Roman" w:cs="Times New Roman"/>
            <w:color w:val="0000FF"/>
            <w:sz w:val="24"/>
            <w:szCs w:val="24"/>
            <w:u w:val="single"/>
          </w:rPr>
          <w:t>https://doi.org/10.1016/j.schres.2013.06.018</w:t>
        </w:r>
      </w:hyperlink>
    </w:p>
    <w:p w14:paraId="7B7AC7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Homer, B. D., Halkitis, P. N., Moeller, R. W., &amp; Solomon, T. M. (2013). Methamphetamine use and HIV in relation to social cognition. </w:t>
      </w:r>
      <w:r w:rsidRPr="004C4852">
        <w:rPr>
          <w:rFonts w:ascii="Times New Roman" w:eastAsia="Times New Roman" w:hAnsi="Times New Roman" w:cs="Times New Roman"/>
          <w:i/>
          <w:iCs/>
          <w:sz w:val="24"/>
          <w:szCs w:val="24"/>
        </w:rPr>
        <w:t>Journal of Health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(7), 900–910. </w:t>
      </w:r>
      <w:hyperlink r:id="rId2538" w:history="1">
        <w:r w:rsidRPr="004C4852">
          <w:rPr>
            <w:rFonts w:ascii="Times New Roman" w:eastAsia="Times New Roman" w:hAnsi="Times New Roman" w:cs="Times New Roman"/>
            <w:color w:val="0000FF"/>
            <w:sz w:val="24"/>
            <w:szCs w:val="24"/>
            <w:u w:val="single"/>
          </w:rPr>
          <w:t>https://doi.org/10.1177/1359105312457802</w:t>
        </w:r>
      </w:hyperlink>
    </w:p>
    <w:p w14:paraId="303BF0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Hong, D., Kent, J. S., &amp; Kesler, S. (2009). Cognitive profile of Turner syndrome. </w:t>
      </w:r>
      <w:r w:rsidRPr="004C4852">
        <w:rPr>
          <w:rFonts w:ascii="Times New Roman" w:eastAsia="Times New Roman" w:hAnsi="Times New Roman" w:cs="Times New Roman"/>
          <w:i/>
          <w:iCs/>
          <w:sz w:val="24"/>
          <w:szCs w:val="24"/>
        </w:rPr>
        <w:t>Developmental Disabilities Research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270–278. </w:t>
      </w:r>
      <w:hyperlink r:id="rId2539" w:history="1">
        <w:r w:rsidRPr="004C4852">
          <w:rPr>
            <w:rFonts w:ascii="Times New Roman" w:eastAsia="Times New Roman" w:hAnsi="Times New Roman" w:cs="Times New Roman"/>
            <w:color w:val="0000FF"/>
            <w:sz w:val="24"/>
            <w:szCs w:val="24"/>
            <w:u w:val="single"/>
          </w:rPr>
          <w:t>https://doi.org/10.1002/ddrr.79</w:t>
        </w:r>
      </w:hyperlink>
    </w:p>
    <w:p w14:paraId="06831C0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Hoogman, M., van de Beek, D., Weisfelt, M., de Gans, J., &amp; Schmand, B. (2007). Cognitive outcome in adults after bacterial meningitis.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(10), 1092–1096. </w:t>
      </w:r>
      <w:hyperlink r:id="rId2540" w:history="1">
        <w:r w:rsidRPr="004C4852">
          <w:rPr>
            <w:rFonts w:ascii="Times New Roman" w:eastAsia="Times New Roman" w:hAnsi="Times New Roman" w:cs="Times New Roman"/>
            <w:color w:val="0000FF"/>
            <w:sz w:val="24"/>
            <w:szCs w:val="24"/>
            <w:u w:val="single"/>
          </w:rPr>
          <w:t>https://doi.org/10.1136/jnnp.2006.110023</w:t>
        </w:r>
      </w:hyperlink>
    </w:p>
    <w:p w14:paraId="6ED611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Curtiss, K., Schoch, K., Keshavan, M. S., Allen, A., &amp; Shashi, V. (2013). A longitudinal examination of the psychoeducational, neurocognitive, and psychiatric functioning in children with 22q11.2 deletion syndrome. </w:t>
      </w:r>
      <w:r w:rsidRPr="004C4852">
        <w:rPr>
          <w:rFonts w:ascii="Times New Roman" w:eastAsia="Times New Roman" w:hAnsi="Times New Roman" w:cs="Times New Roman"/>
          <w:i/>
          <w:iCs/>
          <w:sz w:val="24"/>
          <w:szCs w:val="24"/>
        </w:rPr>
        <w:t>Research in Developmental Disabilities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(5), 1758–1769. </w:t>
      </w:r>
      <w:hyperlink r:id="rId2541" w:history="1">
        <w:r w:rsidRPr="004C4852">
          <w:rPr>
            <w:rFonts w:ascii="Times New Roman" w:eastAsia="Times New Roman" w:hAnsi="Times New Roman" w:cs="Times New Roman"/>
            <w:color w:val="0000FF"/>
            <w:sz w:val="24"/>
            <w:szCs w:val="24"/>
            <w:u w:val="single"/>
          </w:rPr>
          <w:t>https://doi.org/10.1016/j.ridd.2012.12.003</w:t>
        </w:r>
      </w:hyperlink>
    </w:p>
    <w:p w14:paraId="2573E63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Giuliano, A. J., Youngstrom, E. A., Breiger, D., Sikich, L., Frazier, J. A., Finaling, R. L., McClellan, J., Hamer, R. M., Vitiello, B., &amp; Lieberman, J. A. (2010). Neurocognition in early-onset schizophrenia and schizoaffective disorders. </w:t>
      </w:r>
      <w:r w:rsidRPr="004C4852">
        <w:rPr>
          <w:rFonts w:ascii="Times New Roman" w:eastAsia="Times New Roman" w:hAnsi="Times New Roman" w:cs="Times New Roman"/>
          <w:i/>
          <w:iCs/>
          <w:sz w:val="24"/>
          <w:szCs w:val="24"/>
        </w:rPr>
        <w:t>Journal of the American Academy of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(1), 52–60. </w:t>
      </w:r>
      <w:hyperlink r:id="rId2542" w:history="1">
        <w:r w:rsidRPr="004C4852">
          <w:rPr>
            <w:rFonts w:ascii="Times New Roman" w:eastAsia="Times New Roman" w:hAnsi="Times New Roman" w:cs="Times New Roman"/>
            <w:color w:val="0000FF"/>
            <w:sz w:val="24"/>
            <w:szCs w:val="24"/>
            <w:u w:val="single"/>
          </w:rPr>
          <w:t>https://doi.org/10.1097/00004583-201001000-00009</w:t>
        </w:r>
      </w:hyperlink>
    </w:p>
    <w:p w14:paraId="6A53A2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Wakely, M. B., de Kruif, R. E. L., &amp; Swartz, C. W. (2006). Aptitude-Treatment Interactions Revisited: Effect of Metacognitive Intervention on Subtypes of Written Expression in Elementary School Students. </w:t>
      </w:r>
      <w:r w:rsidRPr="004C4852">
        <w:rPr>
          <w:rFonts w:ascii="Times New Roman" w:eastAsia="Times New Roman" w:hAnsi="Times New Roman" w:cs="Times New Roman"/>
          <w:i/>
          <w:iCs/>
          <w:sz w:val="24"/>
          <w:szCs w:val="24"/>
        </w:rPr>
        <w:t>Developmental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217–241. </w:t>
      </w:r>
      <w:hyperlink r:id="rId2543" w:history="1">
        <w:r w:rsidRPr="004C4852">
          <w:rPr>
            <w:rFonts w:ascii="Times New Roman" w:eastAsia="Times New Roman" w:hAnsi="Times New Roman" w:cs="Times New Roman"/>
            <w:color w:val="0000FF"/>
            <w:sz w:val="24"/>
            <w:szCs w:val="24"/>
            <w:u w:val="single"/>
          </w:rPr>
          <w:t>https://doi.org/10.1207/s15326942dn2901_11</w:t>
        </w:r>
      </w:hyperlink>
    </w:p>
    <w:p w14:paraId="258900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Hooper, S. R., Woolley, D., &amp; De Bellis, M. D. (2014). Intellectual, neurocognitive, and academic achievement in abstinent adolescents with cannabis use disorder.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231</w:t>
      </w:r>
      <w:r w:rsidRPr="004C4852">
        <w:rPr>
          <w:rFonts w:ascii="Times New Roman" w:eastAsia="Times New Roman" w:hAnsi="Times New Roman" w:cs="Times New Roman"/>
          <w:sz w:val="24"/>
          <w:szCs w:val="24"/>
        </w:rPr>
        <w:t xml:space="preserve">(8), 1467–1477. </w:t>
      </w:r>
      <w:hyperlink r:id="rId2544" w:history="1">
        <w:r w:rsidRPr="004C4852">
          <w:rPr>
            <w:rFonts w:ascii="Times New Roman" w:eastAsia="Times New Roman" w:hAnsi="Times New Roman" w:cs="Times New Roman"/>
            <w:color w:val="0000FF"/>
            <w:sz w:val="24"/>
            <w:szCs w:val="24"/>
            <w:u w:val="single"/>
          </w:rPr>
          <w:t>https://doi.org/10.1007/s00213-014-3463-z</w:t>
        </w:r>
      </w:hyperlink>
    </w:p>
    <w:p w14:paraId="13F4C1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Hoover, S., Zottoli, T. M., &amp; Grose-Fifer, J. (2014). ERP correlates of malingered executive dysfunction.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91</w:t>
      </w:r>
      <w:r w:rsidRPr="004C4852">
        <w:rPr>
          <w:rFonts w:ascii="Times New Roman" w:eastAsia="Times New Roman" w:hAnsi="Times New Roman" w:cs="Times New Roman"/>
          <w:sz w:val="24"/>
          <w:szCs w:val="24"/>
        </w:rPr>
        <w:t xml:space="preserve">(2), 139–146. </w:t>
      </w:r>
      <w:hyperlink r:id="rId2545" w:history="1">
        <w:r w:rsidRPr="004C4852">
          <w:rPr>
            <w:rFonts w:ascii="Times New Roman" w:eastAsia="Times New Roman" w:hAnsi="Times New Roman" w:cs="Times New Roman"/>
            <w:color w:val="0000FF"/>
            <w:sz w:val="24"/>
            <w:szCs w:val="24"/>
            <w:u w:val="single"/>
          </w:rPr>
          <w:t>https://doi.org/10.1016/j.ijpsycho.2013.12.009</w:t>
        </w:r>
      </w:hyperlink>
    </w:p>
    <w:p w14:paraId="2FBB1F6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Horacek, J., Španiel, F., Novák, T., Brunovský, M., Minárik, M., Mohr, P., Páleníček, T., Bubeníková-Valešová, V., Vrajová, M., &amp; Höschl, C. (2011). The Influence of polymorphism for gene RGS4 (Regulator of G-protein signaling 4) on regional brain metabolism (</w:t>
      </w:r>
      <w:r w:rsidRPr="004C4852">
        <w:rPr>
          <w:rFonts w:ascii="Times New Roman" w:eastAsia="Times New Roman" w:hAnsi="Times New Roman" w:cs="Times New Roman"/>
          <w:sz w:val="24"/>
          <w:szCs w:val="24"/>
          <w:vertAlign w:val="superscript"/>
        </w:rPr>
        <w:t>18</w:t>
      </w:r>
      <w:r w:rsidRPr="004C4852">
        <w:rPr>
          <w:rFonts w:ascii="Times New Roman" w:eastAsia="Times New Roman" w:hAnsi="Times New Roman" w:cs="Times New Roman"/>
          <w:sz w:val="24"/>
          <w:szCs w:val="24"/>
        </w:rPr>
        <w:t xml:space="preserve">FDG PET) and phenotypic variables in schizophrenia. </w:t>
      </w:r>
      <w:r w:rsidRPr="004C4852">
        <w:rPr>
          <w:rFonts w:ascii="Times New Roman" w:eastAsia="Times New Roman" w:hAnsi="Times New Roman" w:cs="Times New Roman"/>
          <w:i/>
          <w:iCs/>
          <w:sz w:val="24"/>
          <w:szCs w:val="24"/>
        </w:rPr>
        <w:t>Yearbook of International Psychiatry and Behavioral Neurosciences - 2009.</w:t>
      </w:r>
      <w:r w:rsidRPr="004C4852">
        <w:rPr>
          <w:rFonts w:ascii="Times New Roman" w:eastAsia="Times New Roman" w:hAnsi="Times New Roman" w:cs="Times New Roman"/>
          <w:sz w:val="24"/>
          <w:szCs w:val="24"/>
        </w:rPr>
        <w:t>, 113–124.</w:t>
      </w:r>
    </w:p>
    <w:p w14:paraId="38AF7A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Horan, W. P., &amp; Goldstein, G. (2003a). A retrospective study of premorbid ability and aging differences in cognitive clusters of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118</w:t>
      </w:r>
      <w:r w:rsidRPr="004C4852">
        <w:rPr>
          <w:rFonts w:ascii="Times New Roman" w:eastAsia="Times New Roman" w:hAnsi="Times New Roman" w:cs="Times New Roman"/>
          <w:sz w:val="24"/>
          <w:szCs w:val="24"/>
        </w:rPr>
        <w:t xml:space="preserve">(3), 209–221. </w:t>
      </w:r>
      <w:hyperlink r:id="rId2546" w:history="1">
        <w:r w:rsidRPr="004C4852">
          <w:rPr>
            <w:rFonts w:ascii="Times New Roman" w:eastAsia="Times New Roman" w:hAnsi="Times New Roman" w:cs="Times New Roman"/>
            <w:color w:val="0000FF"/>
            <w:sz w:val="24"/>
            <w:szCs w:val="24"/>
            <w:u w:val="single"/>
          </w:rPr>
          <w:t>https://doi.org/10.1016/S0165-1781(03)00078-7</w:t>
        </w:r>
      </w:hyperlink>
    </w:p>
    <w:p w14:paraId="3EEEAAB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Horan, W. P., &amp; Goldstein, G. (2003b). Correlations between age and higher cognitive function in schizophrenia subgroups.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(2–3), 325–326. </w:t>
      </w:r>
      <w:hyperlink r:id="rId2547" w:history="1">
        <w:r w:rsidRPr="004C4852">
          <w:rPr>
            <w:rFonts w:ascii="Times New Roman" w:eastAsia="Times New Roman" w:hAnsi="Times New Roman" w:cs="Times New Roman"/>
            <w:color w:val="0000FF"/>
            <w:sz w:val="24"/>
            <w:szCs w:val="24"/>
            <w:u w:val="single"/>
          </w:rPr>
          <w:t>https://doi.org/10.1016/S0920-9964(02)00313-4</w:t>
        </w:r>
      </w:hyperlink>
    </w:p>
    <w:p w14:paraId="651852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Horan, W. P., Harvey, P.-O., Kern, R. S., &amp; Green, M. F. (2011). Neurocognition, social cognition and functional outcome in schizophrenia. In W. Gaebel (Ed.), </w:t>
      </w:r>
      <w:r w:rsidRPr="004C4852">
        <w:rPr>
          <w:rFonts w:ascii="Times New Roman" w:eastAsia="Times New Roman" w:hAnsi="Times New Roman" w:cs="Times New Roman"/>
          <w:i/>
          <w:iCs/>
          <w:sz w:val="24"/>
          <w:szCs w:val="24"/>
        </w:rPr>
        <w:t>Schizophrenia: Current science and clinical practice.</w:t>
      </w:r>
      <w:r w:rsidRPr="004C4852">
        <w:rPr>
          <w:rFonts w:ascii="Times New Roman" w:eastAsia="Times New Roman" w:hAnsi="Times New Roman" w:cs="Times New Roman"/>
          <w:sz w:val="24"/>
          <w:szCs w:val="24"/>
        </w:rPr>
        <w:t xml:space="preserve"> (pp. 67–107). Wiley-Blackwell. </w:t>
      </w:r>
      <w:hyperlink r:id="rId2548" w:history="1">
        <w:r w:rsidRPr="004C4852">
          <w:rPr>
            <w:rFonts w:ascii="Times New Roman" w:eastAsia="Times New Roman" w:hAnsi="Times New Roman" w:cs="Times New Roman"/>
            <w:color w:val="0000FF"/>
            <w:sz w:val="24"/>
            <w:szCs w:val="24"/>
            <w:u w:val="single"/>
          </w:rPr>
          <w:t>https://doi.org/10.1002/9780470978672.ch3</w:t>
        </w:r>
      </w:hyperlink>
    </w:p>
    <w:p w14:paraId="712783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Horecka, K. M., Dulas, M. R., Schwarb, H., Lucas, H. D., Duff, M., &amp; Cohen, N. J. (2018). Reconstructing relational information. </w:t>
      </w:r>
      <w:r w:rsidRPr="004C4852">
        <w:rPr>
          <w:rFonts w:ascii="Times New Roman" w:eastAsia="Times New Roman" w:hAnsi="Times New Roman" w:cs="Times New Roman"/>
          <w:i/>
          <w:iCs/>
          <w:sz w:val="24"/>
          <w:szCs w:val="24"/>
        </w:rPr>
        <w:t>Hippocampus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(2), 164–177. </w:t>
      </w:r>
      <w:hyperlink r:id="rId2549" w:history="1">
        <w:r w:rsidRPr="004C4852">
          <w:rPr>
            <w:rFonts w:ascii="Times New Roman" w:eastAsia="Times New Roman" w:hAnsi="Times New Roman" w:cs="Times New Roman"/>
            <w:color w:val="0000FF"/>
            <w:sz w:val="24"/>
            <w:szCs w:val="24"/>
            <w:u w:val="single"/>
          </w:rPr>
          <w:t>https://doi.org/10.1002/hipo.22819</w:t>
        </w:r>
      </w:hyperlink>
    </w:p>
    <w:p w14:paraId="13DFF2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Matsuo, J., Teraishi, T., Sasayama, D., Kawamoto, Y., Kinoshita, Y., Hattori, K., Hashikura, M., Higuchi, T., &amp; Kunugi, H. (2012). Schizotypy and genetic loading for schizophrenia impact upon neuropsychological status in bipolar II and unipolar major depressive disorders.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142</w:t>
      </w:r>
      <w:r w:rsidRPr="004C4852">
        <w:rPr>
          <w:rFonts w:ascii="Times New Roman" w:eastAsia="Times New Roman" w:hAnsi="Times New Roman" w:cs="Times New Roman"/>
          <w:sz w:val="24"/>
          <w:szCs w:val="24"/>
        </w:rPr>
        <w:t xml:space="preserve">(1–3), 225–232. </w:t>
      </w:r>
      <w:hyperlink r:id="rId2550" w:history="1">
        <w:r w:rsidRPr="004C4852">
          <w:rPr>
            <w:rFonts w:ascii="Times New Roman" w:eastAsia="Times New Roman" w:hAnsi="Times New Roman" w:cs="Times New Roman"/>
            <w:color w:val="0000FF"/>
            <w:sz w:val="24"/>
            <w:szCs w:val="24"/>
            <w:u w:val="single"/>
          </w:rPr>
          <w:t>https://doi.org/10.1016/j.jad.2012.04.031</w:t>
        </w:r>
      </w:hyperlink>
    </w:p>
    <w:p w14:paraId="11723E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Noguchi, H., Hashimoto, R., Nakabayashi, T., Omori, M., Takahashi, S., Tsukue, R., Anami, K., Hirabayashi, N., Harada, S., Saitoh, O., Iwase, M., Kajimoto, O., Takeda, M., Okabe, S., &amp; Kunugi, H. (2006). Antipsychotic medication and cognitive function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86</w:t>
      </w:r>
      <w:r w:rsidRPr="004C4852">
        <w:rPr>
          <w:rFonts w:ascii="Times New Roman" w:eastAsia="Times New Roman" w:hAnsi="Times New Roman" w:cs="Times New Roman"/>
          <w:sz w:val="24"/>
          <w:szCs w:val="24"/>
        </w:rPr>
        <w:t xml:space="preserve">(1–3), 138–146. </w:t>
      </w:r>
      <w:hyperlink r:id="rId2551" w:history="1">
        <w:r w:rsidRPr="004C4852">
          <w:rPr>
            <w:rFonts w:ascii="Times New Roman" w:eastAsia="Times New Roman" w:hAnsi="Times New Roman" w:cs="Times New Roman"/>
            <w:color w:val="0000FF"/>
            <w:sz w:val="24"/>
            <w:szCs w:val="24"/>
            <w:u w:val="single"/>
          </w:rPr>
          <w:t>https://doi.org/10.1016/j.schres.2006.05.004</w:t>
        </w:r>
      </w:hyperlink>
    </w:p>
    <w:p w14:paraId="66D185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Teraishi, T., Sasayama, D., Matsuo, J., Kawamoto, Y., Kinoshita, Y., &amp; Kunugi, H. (2012). Relationships between season of birth, schizotypy, temperament, character and neurocognition in a non-clinical population.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195</w:t>
      </w:r>
      <w:r w:rsidRPr="004C4852">
        <w:rPr>
          <w:rFonts w:ascii="Times New Roman" w:eastAsia="Times New Roman" w:hAnsi="Times New Roman" w:cs="Times New Roman"/>
          <w:sz w:val="24"/>
          <w:szCs w:val="24"/>
        </w:rPr>
        <w:t xml:space="preserve">(1–2), 69–75. </w:t>
      </w:r>
      <w:hyperlink r:id="rId2552" w:history="1">
        <w:r w:rsidRPr="004C4852">
          <w:rPr>
            <w:rFonts w:ascii="Times New Roman" w:eastAsia="Times New Roman" w:hAnsi="Times New Roman" w:cs="Times New Roman"/>
            <w:color w:val="0000FF"/>
            <w:sz w:val="24"/>
            <w:szCs w:val="24"/>
            <w:u w:val="single"/>
          </w:rPr>
          <w:t>https://doi.org/10.1016/j.psychres.2011.07.028</w:t>
        </w:r>
      </w:hyperlink>
    </w:p>
    <w:p w14:paraId="0EFD8E0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 H., Teraishi, T., Sasayama, D., Matsuo, J., Kinoshita, Y., Ota, M., Hattori, K., &amp; Kunugi, H. (2014). A latent profile analysis of schizotypy, temperament and character in a nonclinical population: Association with neurocognition.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(1), 56–64. </w:t>
      </w:r>
      <w:hyperlink r:id="rId2553" w:history="1">
        <w:r w:rsidRPr="004C4852">
          <w:rPr>
            <w:rFonts w:ascii="Times New Roman" w:eastAsia="Times New Roman" w:hAnsi="Times New Roman" w:cs="Times New Roman"/>
            <w:color w:val="0000FF"/>
            <w:sz w:val="24"/>
            <w:szCs w:val="24"/>
            <w:u w:val="single"/>
          </w:rPr>
          <w:t>https://doi.org/10.1016/j.jpsychires.2013.10.006</w:t>
        </w:r>
      </w:hyperlink>
    </w:p>
    <w:p w14:paraId="303D61A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Horiguchi, T., &amp; Takeshita, K. (2003). Neuropsychological developmental change in a case with Noonan syndrome: Longitudinal assessment. </w:t>
      </w:r>
      <w:r w:rsidRPr="004C4852">
        <w:rPr>
          <w:rFonts w:ascii="Times New Roman" w:eastAsia="Times New Roman" w:hAnsi="Times New Roman" w:cs="Times New Roman"/>
          <w:i/>
          <w:iCs/>
          <w:sz w:val="24"/>
          <w:szCs w:val="24"/>
        </w:rPr>
        <w:t>Brain &amp;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(4), 291–293. </w:t>
      </w:r>
      <w:hyperlink r:id="rId2554" w:history="1">
        <w:r w:rsidRPr="004C4852">
          <w:rPr>
            <w:rFonts w:ascii="Times New Roman" w:eastAsia="Times New Roman" w:hAnsi="Times New Roman" w:cs="Times New Roman"/>
            <w:color w:val="0000FF"/>
            <w:sz w:val="24"/>
            <w:szCs w:val="24"/>
            <w:u w:val="single"/>
          </w:rPr>
          <w:t>https://doi.org/10.1016/S0387-7604(02)00227-9</w:t>
        </w:r>
      </w:hyperlink>
    </w:p>
    <w:p w14:paraId="3DD915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 A., Scheller, C., du Plessis, S., Arendt, G., Nolting, T., Joska, J., Sopper, S., Maschke, M., Obermann, M., Husstedt, I. W., Hain, J., Maponga, T., Riederer, P., &amp; Koutsilieri, E. (2013). Increases in CSF dopamine in HIV patients are due to the dopamine transporter 10/10-repeat allele which is more frequent in HIV-infected individuals. </w:t>
      </w:r>
      <w:r w:rsidRPr="004C4852">
        <w:rPr>
          <w:rFonts w:ascii="Times New Roman" w:eastAsia="Times New Roman" w:hAnsi="Times New Roman" w:cs="Times New Roman"/>
          <w:i/>
          <w:iCs/>
          <w:sz w:val="24"/>
          <w:szCs w:val="24"/>
        </w:rPr>
        <w:t>Journal of Neural Transmission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120</w:t>
      </w:r>
      <w:r w:rsidRPr="004C4852">
        <w:rPr>
          <w:rFonts w:ascii="Times New Roman" w:eastAsia="Times New Roman" w:hAnsi="Times New Roman" w:cs="Times New Roman"/>
          <w:sz w:val="24"/>
          <w:szCs w:val="24"/>
        </w:rPr>
        <w:t xml:space="preserve">(10), 1411–1419. </w:t>
      </w:r>
      <w:hyperlink r:id="rId2555" w:history="1">
        <w:r w:rsidRPr="004C4852">
          <w:rPr>
            <w:rFonts w:ascii="Times New Roman" w:eastAsia="Times New Roman" w:hAnsi="Times New Roman" w:cs="Times New Roman"/>
            <w:color w:val="0000FF"/>
            <w:sz w:val="24"/>
            <w:szCs w:val="24"/>
            <w:u w:val="single"/>
          </w:rPr>
          <w:t>https://doi.org/10.1007/s00702-013-1086-x</w:t>
        </w:r>
      </w:hyperlink>
    </w:p>
    <w:p w14:paraId="4C0FEA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 A., Scheller, C., du Plessis, S., Burger, R., Arendt, G., Joska, J., Sopper, S., Maschke, C. M., Obermann, M., Husstedt, I. W., Hain, J., Riederer, P., &amp; Koutsilieri, E. (2017). The dopamine-related polymorphisms BDNF, COMT, DRD2, DRD3, and DRD4 are not linked with changes in CSF dopamine levels and frequency of HIV infection. </w:t>
      </w:r>
      <w:r w:rsidRPr="004C4852">
        <w:rPr>
          <w:rFonts w:ascii="Times New Roman" w:eastAsia="Times New Roman" w:hAnsi="Times New Roman" w:cs="Times New Roman"/>
          <w:i/>
          <w:iCs/>
          <w:sz w:val="24"/>
          <w:szCs w:val="24"/>
        </w:rPr>
        <w:t>Journal of Neural Transmission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124</w:t>
      </w:r>
      <w:r w:rsidRPr="004C4852">
        <w:rPr>
          <w:rFonts w:ascii="Times New Roman" w:eastAsia="Times New Roman" w:hAnsi="Times New Roman" w:cs="Times New Roman"/>
          <w:sz w:val="24"/>
          <w:szCs w:val="24"/>
        </w:rPr>
        <w:t xml:space="preserve">(4), 501–509. </w:t>
      </w:r>
      <w:hyperlink r:id="rId2556" w:history="1">
        <w:r w:rsidRPr="004C4852">
          <w:rPr>
            <w:rFonts w:ascii="Times New Roman" w:eastAsia="Times New Roman" w:hAnsi="Times New Roman" w:cs="Times New Roman"/>
            <w:color w:val="0000FF"/>
            <w:sz w:val="24"/>
            <w:szCs w:val="24"/>
            <w:u w:val="single"/>
          </w:rPr>
          <w:t>https://doi.org/10.1007/s00702-016-1659-6</w:t>
        </w:r>
      </w:hyperlink>
    </w:p>
    <w:p w14:paraId="199E2C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 K., Roessner, V., &amp; Holtmann, M. (2011). Neurocognitive performance in children and adolescents with bipolar disorder: A review. </w:t>
      </w:r>
      <w:r w:rsidRPr="004C4852">
        <w:rPr>
          <w:rFonts w:ascii="Times New Roman" w:eastAsia="Times New Roman" w:hAnsi="Times New Roman" w:cs="Times New Roman"/>
          <w:i/>
          <w:iCs/>
          <w:sz w:val="24"/>
          <w:szCs w:val="24"/>
        </w:rPr>
        <w:t>European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(9), 433–450. </w:t>
      </w:r>
      <w:hyperlink r:id="rId2557" w:history="1">
        <w:r w:rsidRPr="004C4852">
          <w:rPr>
            <w:rFonts w:ascii="Times New Roman" w:eastAsia="Times New Roman" w:hAnsi="Times New Roman" w:cs="Times New Roman"/>
            <w:color w:val="0000FF"/>
            <w:sz w:val="24"/>
            <w:szCs w:val="24"/>
            <w:u w:val="single"/>
          </w:rPr>
          <w:t>https://doi.org/10.1007/s00787-011-0209-x</w:t>
        </w:r>
      </w:hyperlink>
    </w:p>
    <w:p w14:paraId="641D1D7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Horner, M. D., Flashman, L. A., Freides, D., Epstein, C. M., &amp; Bakay, R. A. E. (1996). Temporal lobe epilepsy and performance on the Wisconsin Card Sorting Test.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310–313. </w:t>
      </w:r>
      <w:hyperlink r:id="rId2558" w:history="1">
        <w:r w:rsidRPr="004C4852">
          <w:rPr>
            <w:rFonts w:ascii="Times New Roman" w:eastAsia="Times New Roman" w:hAnsi="Times New Roman" w:cs="Times New Roman"/>
            <w:color w:val="0000FF"/>
            <w:sz w:val="24"/>
            <w:szCs w:val="24"/>
            <w:u w:val="single"/>
          </w:rPr>
          <w:t>https://doi.org/10.1080/01688639608408285</w:t>
        </w:r>
      </w:hyperlink>
    </w:p>
    <w:p w14:paraId="4C00FD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Hornig, T., Valerius, G., Feige, B., Bubl, E., Olbrich, H. M., &amp; van Elst, L. T. (2014). Neuropsychological and cerebral morphometric aspects of negative symptoms in schizophrenia: Negative symptomatology is associated with specific mnestic deficits in schizophrenic patients.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w:t>
      </w:r>
    </w:p>
    <w:p w14:paraId="5D12C7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Horowitz-Kraus, T. (2014). Pinpointing the deficit in executive functions in adolescents with dyslexia performing the Wisconsin Card Sorting Test: An ERP study. </w:t>
      </w:r>
      <w:r w:rsidRPr="004C4852">
        <w:rPr>
          <w:rFonts w:ascii="Times New Roman" w:eastAsia="Times New Roman" w:hAnsi="Times New Roman" w:cs="Times New Roman"/>
          <w:i/>
          <w:iCs/>
          <w:sz w:val="24"/>
          <w:szCs w:val="24"/>
        </w:rPr>
        <w:t>Journal of Learning Disabilities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(3), 208–223. </w:t>
      </w:r>
      <w:hyperlink r:id="rId2559" w:history="1">
        <w:r w:rsidRPr="004C4852">
          <w:rPr>
            <w:rFonts w:ascii="Times New Roman" w:eastAsia="Times New Roman" w:hAnsi="Times New Roman" w:cs="Times New Roman"/>
            <w:color w:val="0000FF"/>
            <w:sz w:val="24"/>
            <w:szCs w:val="24"/>
            <w:u w:val="single"/>
          </w:rPr>
          <w:t>https://doi.org/10.1177/0022219412453084</w:t>
        </w:r>
      </w:hyperlink>
    </w:p>
    <w:p w14:paraId="346B089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Horowitz-Kraus, T. (2015). Differential effect of cognitive training on executive functions and reading abilities in children with ADHD and in children with ADHD comorbid with reading difficulties. </w:t>
      </w:r>
      <w:r w:rsidRPr="004C4852">
        <w:rPr>
          <w:rFonts w:ascii="Times New Roman" w:eastAsia="Times New Roman" w:hAnsi="Times New Roman" w:cs="Times New Roman"/>
          <w:i/>
          <w:iCs/>
          <w:sz w:val="24"/>
          <w:szCs w:val="24"/>
        </w:rPr>
        <w:t>Journal of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(6), 515–526. </w:t>
      </w:r>
      <w:hyperlink r:id="rId2560" w:history="1">
        <w:r w:rsidRPr="004C4852">
          <w:rPr>
            <w:rFonts w:ascii="Times New Roman" w:eastAsia="Times New Roman" w:hAnsi="Times New Roman" w:cs="Times New Roman"/>
            <w:color w:val="0000FF"/>
            <w:sz w:val="24"/>
            <w:szCs w:val="24"/>
            <w:u w:val="single"/>
          </w:rPr>
          <w:t>https://doi.org/10.1177/1087054713502079</w:t>
        </w:r>
      </w:hyperlink>
    </w:p>
    <w:p w14:paraId="0934DAD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Horowitz‐Kraus, T., DiCesare, C., &amp; Kiefer, A. W. (2018). Longer fixation times during reading are correlated with decreased connectivity in cognitive‐control brain regions during rest in children. </w:t>
      </w:r>
      <w:r w:rsidRPr="004C4852">
        <w:rPr>
          <w:rFonts w:ascii="Times New Roman" w:eastAsia="Times New Roman" w:hAnsi="Times New Roman" w:cs="Times New Roman"/>
          <w:i/>
          <w:iCs/>
          <w:sz w:val="24"/>
          <w:szCs w:val="24"/>
        </w:rPr>
        <w:t>Mind, Brain, and Education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49–60. </w:t>
      </w:r>
      <w:hyperlink r:id="rId2561" w:history="1">
        <w:r w:rsidRPr="004C4852">
          <w:rPr>
            <w:rFonts w:ascii="Times New Roman" w:eastAsia="Times New Roman" w:hAnsi="Times New Roman" w:cs="Times New Roman"/>
            <w:color w:val="0000FF"/>
            <w:sz w:val="24"/>
            <w:szCs w:val="24"/>
            <w:u w:val="single"/>
          </w:rPr>
          <w:t>https://doi.org/10.1111/mbe.12168</w:t>
        </w:r>
      </w:hyperlink>
    </w:p>
    <w:p w14:paraId="4BBCA2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Horton Jr., A. M., &amp; Reynolds, C. R. (2007). Early detection of risk of onset for dementia of the Alzheimer type and subtle executive dysfunction after TBI using the Test of Verbal Conceptualization and Fluency during clinical neuropsychological assessment: Two case studies.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(3), 224–229. </w:t>
      </w:r>
      <w:hyperlink r:id="rId2562" w:history="1">
        <w:r w:rsidRPr="004C4852">
          <w:rPr>
            <w:rFonts w:ascii="Times New Roman" w:eastAsia="Times New Roman" w:hAnsi="Times New Roman" w:cs="Times New Roman"/>
            <w:color w:val="0000FF"/>
            <w:sz w:val="24"/>
            <w:szCs w:val="24"/>
            <w:u w:val="single"/>
          </w:rPr>
          <w:t>https://doi.org/10.1080/09084280701509208</w:t>
        </w:r>
      </w:hyperlink>
    </w:p>
    <w:p w14:paraId="1EBE88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Horwitz, J., Gilmore, E., Horwitz, N., McConnell, J., &amp; Johnson, R. (2013). The psychopathology and functional neuroanatomy of psychotherapy. In </w:t>
      </w:r>
      <w:r w:rsidRPr="004C4852">
        <w:rPr>
          <w:rFonts w:ascii="Times New Roman" w:eastAsia="Times New Roman" w:hAnsi="Times New Roman" w:cs="Times New Roman"/>
          <w:i/>
          <w:iCs/>
          <w:sz w:val="24"/>
          <w:szCs w:val="24"/>
        </w:rPr>
        <w:t>The neuropsychology of psychopathology.</w:t>
      </w:r>
      <w:r w:rsidRPr="004C4852">
        <w:rPr>
          <w:rFonts w:ascii="Times New Roman" w:eastAsia="Times New Roman" w:hAnsi="Times New Roman" w:cs="Times New Roman"/>
          <w:sz w:val="24"/>
          <w:szCs w:val="24"/>
        </w:rPr>
        <w:t xml:space="preserve"> (pp. 495–505). Springer Publishing Co.</w:t>
      </w:r>
    </w:p>
    <w:p w14:paraId="0E9539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Hosak, L., Preiss, M., Bazant, J., Tibenska, A., Cermakova, R., &amp; Cermakova, E. (2012). Comparison of Wisconsin Card Sorting Test results between Czech subjects dependent on methamphetamine versus healthy volunteers. </w:t>
      </w:r>
      <w:r w:rsidRPr="004C4852">
        <w:rPr>
          <w:rFonts w:ascii="Times New Roman" w:eastAsia="Times New Roman" w:hAnsi="Times New Roman" w:cs="Times New Roman"/>
          <w:i/>
          <w:iCs/>
          <w:sz w:val="24"/>
          <w:szCs w:val="24"/>
        </w:rPr>
        <w:t>Psychiatria Danubina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(2), 188–193.</w:t>
      </w:r>
    </w:p>
    <w:p w14:paraId="0DCA400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Hoskin, K. M., Jackson, M., &amp; Crowe, S. F. (2005). Can Neuropsychological Assessment Predict Capacity to Manage Personal Finances? A Comparison Between Brain Impaired Individuals With and Without Administrators. </w:t>
      </w:r>
      <w:r w:rsidRPr="004C4852">
        <w:rPr>
          <w:rFonts w:ascii="Times New Roman" w:eastAsia="Times New Roman" w:hAnsi="Times New Roman" w:cs="Times New Roman"/>
          <w:i/>
          <w:iCs/>
          <w:sz w:val="24"/>
          <w:szCs w:val="24"/>
        </w:rPr>
        <w:t>Psychiatry, Psychology and Law</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56–67. </w:t>
      </w:r>
      <w:hyperlink r:id="rId2563" w:history="1">
        <w:r w:rsidRPr="004C4852">
          <w:rPr>
            <w:rFonts w:ascii="Times New Roman" w:eastAsia="Times New Roman" w:hAnsi="Times New Roman" w:cs="Times New Roman"/>
            <w:color w:val="0000FF"/>
            <w:sz w:val="24"/>
            <w:szCs w:val="24"/>
            <w:u w:val="single"/>
          </w:rPr>
          <w:t>https://doi.org/10.1375/pplt.2005.12.1.56</w:t>
        </w:r>
      </w:hyperlink>
    </w:p>
    <w:p w14:paraId="230736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Hoskins, L. L., Roth, R. M., &amp; Giancola, P. R. (2010). Neuroimaging of aggression: Empirical findings and implications. In </w:t>
      </w:r>
      <w:r w:rsidRPr="004C4852">
        <w:rPr>
          <w:rFonts w:ascii="Times New Roman" w:eastAsia="Times New Roman" w:hAnsi="Times New Roman" w:cs="Times New Roman"/>
          <w:i/>
          <w:iCs/>
          <w:sz w:val="24"/>
          <w:szCs w:val="24"/>
        </w:rPr>
        <w:t>Handbook of forensic neuropsychology, 2nd ed.</w:t>
      </w:r>
      <w:r w:rsidRPr="004C4852">
        <w:rPr>
          <w:rFonts w:ascii="Times New Roman" w:eastAsia="Times New Roman" w:hAnsi="Times New Roman" w:cs="Times New Roman"/>
          <w:sz w:val="24"/>
          <w:szCs w:val="24"/>
        </w:rPr>
        <w:t xml:space="preserve"> (pp. 137–174). Springer Publishing Company.</w:t>
      </w:r>
    </w:p>
    <w:p w14:paraId="66BF73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 J., Chen, C., Wang, Y., Liu, Y., He, Q., Li, J., &amp; Dong, Q. (2014). Superior pitch identification ability is associated with better executive functions. </w:t>
      </w:r>
      <w:r w:rsidRPr="004C4852">
        <w:rPr>
          <w:rFonts w:ascii="Times New Roman" w:eastAsia="Times New Roman" w:hAnsi="Times New Roman" w:cs="Times New Roman"/>
          <w:i/>
          <w:iCs/>
          <w:sz w:val="24"/>
          <w:szCs w:val="24"/>
        </w:rPr>
        <w:t>Psychomusicology: Music, Mind, and Brain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(2), 136–146. </w:t>
      </w:r>
      <w:hyperlink r:id="rId2564" w:history="1">
        <w:r w:rsidRPr="004C4852">
          <w:rPr>
            <w:rFonts w:ascii="Times New Roman" w:eastAsia="Times New Roman" w:hAnsi="Times New Roman" w:cs="Times New Roman"/>
            <w:color w:val="0000FF"/>
            <w:sz w:val="24"/>
            <w:szCs w:val="24"/>
            <w:u w:val="single"/>
          </w:rPr>
          <w:t>https://doi.org/10.1037/a0036963</w:t>
        </w:r>
      </w:hyperlink>
    </w:p>
    <w:p w14:paraId="59C28E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 M., Grilli, M. D., &amp; Glisky, E. L. (2019). Self-reference enhances relational memory in young and older adults.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105–120. </w:t>
      </w:r>
      <w:hyperlink r:id="rId2565" w:history="1">
        <w:r w:rsidRPr="004C4852">
          <w:rPr>
            <w:rFonts w:ascii="Times New Roman" w:eastAsia="Times New Roman" w:hAnsi="Times New Roman" w:cs="Times New Roman"/>
            <w:color w:val="0000FF"/>
            <w:sz w:val="24"/>
            <w:szCs w:val="24"/>
            <w:u w:val="single"/>
          </w:rPr>
          <w:t>https://doi.org/10.1080/13825585.2017.1409333</w:t>
        </w:r>
      </w:hyperlink>
    </w:p>
    <w:p w14:paraId="17DE96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Houeto, J.-L., Mallet, L., Mesnage, V., du Montcel, S. T., Béhar, C., Gargiulo, M., Torny, F., Pelissolo, A., Welter, M.-L., &amp; Agid, Y. (2006). Subthalamic Stimulation in Parkinson Disease: Behavior and Social Adaptation. </w:t>
      </w:r>
      <w:r w:rsidRPr="004C4852">
        <w:rPr>
          <w:rFonts w:ascii="Times New Roman" w:eastAsia="Times New Roman" w:hAnsi="Times New Roman" w:cs="Times New Roman"/>
          <w:i/>
          <w:iCs/>
          <w:sz w:val="24"/>
          <w:szCs w:val="24"/>
        </w:rPr>
        <w:t>Archives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(8), 1090–1095. </w:t>
      </w:r>
      <w:hyperlink r:id="rId2566" w:history="1">
        <w:r w:rsidRPr="004C4852">
          <w:rPr>
            <w:rFonts w:ascii="Times New Roman" w:eastAsia="Times New Roman" w:hAnsi="Times New Roman" w:cs="Times New Roman"/>
            <w:color w:val="0000FF"/>
            <w:sz w:val="24"/>
            <w:szCs w:val="24"/>
            <w:u w:val="single"/>
          </w:rPr>
          <w:t>https://doi.org/10.1001/archneur.63.8.1090</w:t>
        </w:r>
      </w:hyperlink>
    </w:p>
    <w:p w14:paraId="51501BA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Houghton, S., Douglas, G., West, J., Whiting, K., Wall, M., Langsford, S., Powell, L., &amp; Carroll, A. (1999). Differential patterns of executive function in children with attention-deficit hyperactivity disorder according to gender and subtype. </w:t>
      </w:r>
      <w:r w:rsidRPr="004C4852">
        <w:rPr>
          <w:rFonts w:ascii="Times New Roman" w:eastAsia="Times New Roman" w:hAnsi="Times New Roman" w:cs="Times New Roman"/>
          <w:i/>
          <w:iCs/>
          <w:sz w:val="24"/>
          <w:szCs w:val="24"/>
        </w:rPr>
        <w:t>Journal of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(12), 801–805. </w:t>
      </w:r>
      <w:hyperlink r:id="rId2567" w:history="1">
        <w:r w:rsidRPr="004C4852">
          <w:rPr>
            <w:rFonts w:ascii="Times New Roman" w:eastAsia="Times New Roman" w:hAnsi="Times New Roman" w:cs="Times New Roman"/>
            <w:color w:val="0000FF"/>
            <w:sz w:val="24"/>
            <w:szCs w:val="24"/>
            <w:u w:val="single"/>
          </w:rPr>
          <w:t>https://doi.org/10.1177/088307389901401206</w:t>
        </w:r>
      </w:hyperlink>
    </w:p>
    <w:p w14:paraId="094263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Houston, R. J., Derrick, J. L., Leonard, K. E., Testa, M., Quigley, B. M., &amp; Kubiak, A. (2014). Effects of heavy drinking on executive cognitive functioning in a community sample. </w:t>
      </w:r>
      <w:r w:rsidRPr="004C4852">
        <w:rPr>
          <w:rFonts w:ascii="Times New Roman" w:eastAsia="Times New Roman" w:hAnsi="Times New Roman" w:cs="Times New Roman"/>
          <w:i/>
          <w:iCs/>
          <w:sz w:val="24"/>
          <w:szCs w:val="24"/>
        </w:rPr>
        <w:t>Addictive Behaviors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(1), 345–349. </w:t>
      </w:r>
      <w:hyperlink r:id="rId2568" w:history="1">
        <w:r w:rsidRPr="004C4852">
          <w:rPr>
            <w:rFonts w:ascii="Times New Roman" w:eastAsia="Times New Roman" w:hAnsi="Times New Roman" w:cs="Times New Roman"/>
            <w:color w:val="0000FF"/>
            <w:sz w:val="24"/>
            <w:szCs w:val="24"/>
            <w:u w:val="single"/>
          </w:rPr>
          <w:t>https://doi.org/10.1016/j.addbeh.2013.09.032</w:t>
        </w:r>
      </w:hyperlink>
    </w:p>
    <w:p w14:paraId="52F808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Houthoofd, S., Morrens, M., Hulstijn, W., &amp; Sabbe, B. (2013). Differentiation between deviant trajectory planning, action planning, and reduced psychomotor speed in schizophrenia. </w:t>
      </w:r>
      <w:r w:rsidRPr="004C4852">
        <w:rPr>
          <w:rFonts w:ascii="Times New Roman" w:eastAsia="Times New Roman" w:hAnsi="Times New Roman" w:cs="Times New Roman"/>
          <w:i/>
          <w:iCs/>
          <w:sz w:val="24"/>
          <w:szCs w:val="24"/>
        </w:rPr>
        <w:t>Cognitive Neuropsychiatry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(4), 284–303. </w:t>
      </w:r>
      <w:hyperlink r:id="rId2569" w:history="1">
        <w:r w:rsidRPr="004C4852">
          <w:rPr>
            <w:rFonts w:ascii="Times New Roman" w:eastAsia="Times New Roman" w:hAnsi="Times New Roman" w:cs="Times New Roman"/>
            <w:color w:val="0000FF"/>
            <w:sz w:val="24"/>
            <w:szCs w:val="24"/>
            <w:u w:val="single"/>
          </w:rPr>
          <w:t>https://doi.org/10.1080/13546805.2012.708654</w:t>
        </w:r>
      </w:hyperlink>
    </w:p>
    <w:p w14:paraId="10791E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Houvenaghel, J.-F., Drapier, S., Duprez, J., Robert, G. H., Riou, A., Drapier, D., Sauleau, P., &amp; Vérin, M. (2018). Effects of continuous subcutaneous apomorphine infusion in Parkinson’s disease without cognitive impairment on motor, cognitive, psychiatric symptoms and quality of life.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395</w:t>
      </w:r>
      <w:r w:rsidRPr="004C4852">
        <w:rPr>
          <w:rFonts w:ascii="Times New Roman" w:eastAsia="Times New Roman" w:hAnsi="Times New Roman" w:cs="Times New Roman"/>
          <w:sz w:val="24"/>
          <w:szCs w:val="24"/>
        </w:rPr>
        <w:t xml:space="preserve">, 113–118. </w:t>
      </w:r>
      <w:hyperlink r:id="rId2570" w:history="1">
        <w:r w:rsidRPr="004C4852">
          <w:rPr>
            <w:rFonts w:ascii="Times New Roman" w:eastAsia="Times New Roman" w:hAnsi="Times New Roman" w:cs="Times New Roman"/>
            <w:color w:val="0000FF"/>
            <w:sz w:val="24"/>
            <w:szCs w:val="24"/>
            <w:u w:val="single"/>
          </w:rPr>
          <w:t>https://doi.org/10.1016/j.jns.2018.10.010</w:t>
        </w:r>
      </w:hyperlink>
    </w:p>
    <w:p w14:paraId="11A6B0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Houvenaghel, J.-F., Le Jeune, F., Dondaine, T., Esquevin, A., Robert, G. H., Péron, J., Haegelen, C., Drapier, S., Jannin, P., Lozachmeur, C., Argaud, S., Duprez, J., Drapier, D., Vérin, M., &amp; Sauleau, P. (2015). Reduced verbal fluency following subthalamic deep brain stimulation: A frontal-related cognitive deficit?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(10).</w:t>
      </w:r>
    </w:p>
    <w:p w14:paraId="42D930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Hovington, C. L., &amp; Lepage, M. (2012). Neurocognition and neuroimaging of persistent negative symptoms of schizophrenia. </w:t>
      </w:r>
      <w:r w:rsidRPr="004C4852">
        <w:rPr>
          <w:rFonts w:ascii="Times New Roman" w:eastAsia="Times New Roman" w:hAnsi="Times New Roman" w:cs="Times New Roman"/>
          <w:i/>
          <w:iCs/>
          <w:sz w:val="24"/>
          <w:szCs w:val="24"/>
        </w:rPr>
        <w:t>Expert Review of Neurotherapeutics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53–69. </w:t>
      </w:r>
      <w:hyperlink r:id="rId2571" w:history="1">
        <w:r w:rsidRPr="004C4852">
          <w:rPr>
            <w:rFonts w:ascii="Times New Roman" w:eastAsia="Times New Roman" w:hAnsi="Times New Roman" w:cs="Times New Roman"/>
            <w:color w:val="0000FF"/>
            <w:sz w:val="24"/>
            <w:szCs w:val="24"/>
            <w:u w:val="single"/>
          </w:rPr>
          <w:t>https://doi.org/10.1586/ern.11.173</w:t>
        </w:r>
      </w:hyperlink>
    </w:p>
    <w:p w14:paraId="211D765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Howe, L. L. S., Kellison, I. L., Fernandez, H. H., Okun, M. S., &amp; Bowers, D. (2009). Neuropsychological profile of a Filipino gentleman with X-linked dystonia-Parkinsonism: A case report of Lubag disease.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(1), 100–117. </w:t>
      </w:r>
      <w:hyperlink r:id="rId2572" w:history="1">
        <w:r w:rsidRPr="004C4852">
          <w:rPr>
            <w:rFonts w:ascii="Times New Roman" w:eastAsia="Times New Roman" w:hAnsi="Times New Roman" w:cs="Times New Roman"/>
            <w:color w:val="0000FF"/>
            <w:sz w:val="24"/>
            <w:szCs w:val="24"/>
            <w:u w:val="single"/>
          </w:rPr>
          <w:t>https://doi.org/10.1080/13854040801894714</w:t>
        </w:r>
      </w:hyperlink>
    </w:p>
    <w:p w14:paraId="0251FF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Howieson, D. B., &amp; Lezak, M. D. (2012). The neuropsychological evaluation. In </w:t>
      </w:r>
      <w:r w:rsidRPr="004C4852">
        <w:rPr>
          <w:rFonts w:ascii="Times New Roman" w:eastAsia="Times New Roman" w:hAnsi="Times New Roman" w:cs="Times New Roman"/>
          <w:i/>
          <w:iCs/>
          <w:sz w:val="24"/>
          <w:szCs w:val="24"/>
        </w:rPr>
        <w:t>Clinical manual of neuropsychiatry.</w:t>
      </w:r>
      <w:r w:rsidRPr="004C4852">
        <w:rPr>
          <w:rFonts w:ascii="Times New Roman" w:eastAsia="Times New Roman" w:hAnsi="Times New Roman" w:cs="Times New Roman"/>
          <w:sz w:val="24"/>
          <w:szCs w:val="24"/>
        </w:rPr>
        <w:t xml:space="preserve"> (pp. 1–26). American Psychiatric Publishing, Inc.</w:t>
      </w:r>
    </w:p>
    <w:p w14:paraId="1EC039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Hromas, G., Polejaeva, E., Sozda, C. N., Heilman, K. M., Schmalfuss, I. M., &amp; Perlstein, W. M. (2020). The influence of traumatic brain injury on the allocation of vertical spatial attention.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 101–110. </w:t>
      </w:r>
      <w:hyperlink r:id="rId2573" w:history="1">
        <w:r w:rsidRPr="004C4852">
          <w:rPr>
            <w:rFonts w:ascii="Times New Roman" w:eastAsia="Times New Roman" w:hAnsi="Times New Roman" w:cs="Times New Roman"/>
            <w:color w:val="0000FF"/>
            <w:sz w:val="24"/>
            <w:szCs w:val="24"/>
            <w:u w:val="single"/>
          </w:rPr>
          <w:t>https://doi.org/10.1080/13803395.2019.1685650</w:t>
        </w:r>
      </w:hyperlink>
    </w:p>
    <w:p w14:paraId="4F5CAC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Hsieh, I.-C., Kuan, T.-S., Hsieh, P.-C., Chen, S.-M., Yen, W.-J., Chang, W.-C., Lin, I.-L., &amp; Lin, Y.-C. (2014). Detection of early cognitive impairment using AD8 in a young patient with stroke with cerebral autosomal dominant arteriopathy with subcortical infarcts and leukoencephalopathy syndrome: A case report. </w:t>
      </w:r>
      <w:r w:rsidRPr="004C4852">
        <w:rPr>
          <w:rFonts w:ascii="Times New Roman" w:eastAsia="Times New Roman" w:hAnsi="Times New Roman" w:cs="Times New Roman"/>
          <w:i/>
          <w:iCs/>
          <w:sz w:val="24"/>
          <w:szCs w:val="24"/>
        </w:rPr>
        <w:t>American Journal of Alzheimer’s Disease and Other Dementias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(2), 133–137. </w:t>
      </w:r>
      <w:hyperlink r:id="rId2574" w:history="1">
        <w:r w:rsidRPr="004C4852">
          <w:rPr>
            <w:rFonts w:ascii="Times New Roman" w:eastAsia="Times New Roman" w:hAnsi="Times New Roman" w:cs="Times New Roman"/>
            <w:color w:val="0000FF"/>
            <w:sz w:val="24"/>
            <w:szCs w:val="24"/>
            <w:u w:val="single"/>
          </w:rPr>
          <w:t>https://doi.org/10.1177/1533317513511289</w:t>
        </w:r>
      </w:hyperlink>
    </w:p>
    <w:p w14:paraId="316441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Hsieh, P. C., Huang, H. Y., Wang, H. C., Liu, Y. C., Bai, Y. M., Chen, K. C., &amp; Yang, Y. K. (2011). Intercorrelations between the personal and social performance scale, cognitive function, and activities of daily living.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199</w:t>
      </w:r>
      <w:r w:rsidRPr="004C4852">
        <w:rPr>
          <w:rFonts w:ascii="Times New Roman" w:eastAsia="Times New Roman" w:hAnsi="Times New Roman" w:cs="Times New Roman"/>
          <w:sz w:val="24"/>
          <w:szCs w:val="24"/>
        </w:rPr>
        <w:t xml:space="preserve">(7), 513–515. </w:t>
      </w:r>
      <w:hyperlink r:id="rId2575" w:history="1">
        <w:r w:rsidRPr="004C4852">
          <w:rPr>
            <w:rFonts w:ascii="Times New Roman" w:eastAsia="Times New Roman" w:hAnsi="Times New Roman" w:cs="Times New Roman"/>
            <w:color w:val="0000FF"/>
            <w:sz w:val="24"/>
            <w:szCs w:val="24"/>
            <w:u w:val="single"/>
          </w:rPr>
          <w:t>https://doi.org/10.1097/NMD.0b013e318221447e</w:t>
        </w:r>
      </w:hyperlink>
    </w:p>
    <w:p w14:paraId="6E32513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Hsieh, P. C., Yeh, T. L., Lee, I. H., Huang, H. C., Chen, P. S., Yang, Y. K., Chiu, N. T., Lu, R. B., &amp; Liao, M.-H. (2010). Correlation between errors on the Wisconsin Card Sorting Test and the availability of striatal dopamine transporters in healthy volunteers. </w:t>
      </w:r>
      <w:r w:rsidRPr="004C4852">
        <w:rPr>
          <w:rFonts w:ascii="Times New Roman" w:eastAsia="Times New Roman" w:hAnsi="Times New Roman" w:cs="Times New Roman"/>
          <w:i/>
          <w:iCs/>
          <w:sz w:val="24"/>
          <w:szCs w:val="24"/>
        </w:rPr>
        <w:t>Journal of Psychiatry &amp;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(2), 90–94. </w:t>
      </w:r>
      <w:hyperlink r:id="rId2576" w:history="1">
        <w:r w:rsidRPr="004C4852">
          <w:rPr>
            <w:rFonts w:ascii="Times New Roman" w:eastAsia="Times New Roman" w:hAnsi="Times New Roman" w:cs="Times New Roman"/>
            <w:color w:val="0000FF"/>
            <w:sz w:val="24"/>
            <w:szCs w:val="24"/>
            <w:u w:val="single"/>
          </w:rPr>
          <w:t>https://doi.org/10.1503/jpn.090007</w:t>
        </w:r>
      </w:hyperlink>
    </w:p>
    <w:p w14:paraId="1B62E3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Hsu, S.-E., Chin Chen, K., Lee, L.-T., Chun Tsai, H., Hui Lee, I., See Chen, P., &amp; Yang, Y. K. (2015). Comparison of cognitive deficits among drug-naive patients with schizophrenia and major depressive disorder.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175</w:t>
      </w:r>
      <w:r w:rsidRPr="004C4852">
        <w:rPr>
          <w:rFonts w:ascii="Times New Roman" w:eastAsia="Times New Roman" w:hAnsi="Times New Roman" w:cs="Times New Roman"/>
          <w:sz w:val="24"/>
          <w:szCs w:val="24"/>
        </w:rPr>
        <w:t xml:space="preserve">, 133–138. </w:t>
      </w:r>
      <w:hyperlink r:id="rId2577" w:history="1">
        <w:r w:rsidRPr="004C4852">
          <w:rPr>
            <w:rFonts w:ascii="Times New Roman" w:eastAsia="Times New Roman" w:hAnsi="Times New Roman" w:cs="Times New Roman"/>
            <w:color w:val="0000FF"/>
            <w:sz w:val="24"/>
            <w:szCs w:val="24"/>
            <w:u w:val="single"/>
          </w:rPr>
          <w:t>https://doi.org/10.1016/j.jad.2014.12.059</w:t>
        </w:r>
      </w:hyperlink>
    </w:p>
    <w:p w14:paraId="3BC27A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 W., Jiang, K., &amp; Chen, H. (2007). Cognitive function in chronic schizophrenic patients with tardive dyskinesia. [Cognitive function in chronic schizophrenic patients with tardive dyskinesia.].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(5), 548–549.</w:t>
      </w:r>
    </w:p>
    <w:p w14:paraId="2EDD1F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 Z., Chan, R. C. K., &amp; McAlonan, G. M. (2010). Maturation of social attribution skills in typically developing children: An investigation using the social attribution task. </w:t>
      </w:r>
      <w:r w:rsidRPr="004C4852">
        <w:rPr>
          <w:rFonts w:ascii="Times New Roman" w:eastAsia="Times New Roman" w:hAnsi="Times New Roman" w:cs="Times New Roman"/>
          <w:i/>
          <w:iCs/>
          <w:sz w:val="24"/>
          <w:szCs w:val="24"/>
        </w:rPr>
        <w:t>Behavioral and Brain Functions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 </w:t>
      </w:r>
      <w:hyperlink r:id="rId2578" w:history="1">
        <w:r w:rsidRPr="004C4852">
          <w:rPr>
            <w:rFonts w:ascii="Times New Roman" w:eastAsia="Times New Roman" w:hAnsi="Times New Roman" w:cs="Times New Roman"/>
            <w:color w:val="0000FF"/>
            <w:sz w:val="24"/>
            <w:szCs w:val="24"/>
            <w:u w:val="single"/>
          </w:rPr>
          <w:t>https://doi.org/10.1186/1744-9081-6-10</w:t>
        </w:r>
      </w:hyperlink>
    </w:p>
    <w:p w14:paraId="740C34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C. L.-C., &amp; Hsiao, S. (2017). The functional significance of affect recognition, neurocognition, and clinical symptoms in schizophrenia.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(1).</w:t>
      </w:r>
    </w:p>
    <w:p w14:paraId="133B75E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G.-H., Tsai, H.-H., Hwu, H.-G., Chen, C.-H., Liu, C.-C., Hua, M.-S., &amp; Chen, W. J. (2011). Patient subgroups of schizophrenia based on the Positive and Negative Syndrome Scale: Composition and transition between acute and subsided disease states.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(5), 469–478. </w:t>
      </w:r>
      <w:hyperlink r:id="rId2579" w:history="1">
        <w:r w:rsidRPr="004C4852">
          <w:rPr>
            <w:rFonts w:ascii="Times New Roman" w:eastAsia="Times New Roman" w:hAnsi="Times New Roman" w:cs="Times New Roman"/>
            <w:color w:val="0000FF"/>
            <w:sz w:val="24"/>
            <w:szCs w:val="24"/>
            <w:u w:val="single"/>
          </w:rPr>
          <w:t>https://doi.org/10.1016/j.comppsych.2010.10.012</w:t>
        </w:r>
      </w:hyperlink>
    </w:p>
    <w:p w14:paraId="6B27C01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M., Huang, Y., Yu, L., Hu, J., Chen, J., Jin, P., Xu, W., Wei, N., Hu, S., Qi, H., &amp; Xu, Y. (2016). Relationship between negative symptoms and neurocognitive functions in adolescent and adult patients with first-episode schizophrenia.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w:t>
      </w:r>
    </w:p>
    <w:p w14:paraId="6F0024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M., Lu, S., Yu, L., Li, L., Zhang, P., Hu, J., Zhou, W., Hu, S., Wei, N., Huang, J., Weng, J., &amp; Xu, Y. (2017). Altered fractional amplitude of low frequency fluctuation associated with cognitive dysfunction in first-episode drug-naïve major depressive disorder patients.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 </w:t>
      </w:r>
      <w:hyperlink r:id="rId2580" w:history="1">
        <w:r w:rsidRPr="004C4852">
          <w:rPr>
            <w:rFonts w:ascii="Times New Roman" w:eastAsia="Times New Roman" w:hAnsi="Times New Roman" w:cs="Times New Roman"/>
            <w:color w:val="0000FF"/>
            <w:sz w:val="24"/>
            <w:szCs w:val="24"/>
            <w:u w:val="single"/>
          </w:rPr>
          <w:t>https://doi.org/10.1186/s12888-016-1190-1</w:t>
        </w:r>
      </w:hyperlink>
    </w:p>
    <w:p w14:paraId="73775C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M., Luo, B., Hu, J., Wang, S.-S., Zhou, W., Wei, N., Hu, S., &amp; Xu, Y. (2012). Repetitive transcranial magnetic stimulation in combination with citalopram in young patients with first-episode major depressive disorder: A double-blind, randomized, sham-controlled trial. </w:t>
      </w:r>
      <w:r w:rsidRPr="004C4852">
        <w:rPr>
          <w:rFonts w:ascii="Times New Roman" w:eastAsia="Times New Roman" w:hAnsi="Times New Roman" w:cs="Times New Roman"/>
          <w:i/>
          <w:iCs/>
          <w:sz w:val="24"/>
          <w:szCs w:val="24"/>
        </w:rPr>
        <w:t>Australian and New Zealand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(3), 257–264. </w:t>
      </w:r>
      <w:hyperlink r:id="rId2581" w:history="1">
        <w:r w:rsidRPr="004C4852">
          <w:rPr>
            <w:rFonts w:ascii="Times New Roman" w:eastAsia="Times New Roman" w:hAnsi="Times New Roman" w:cs="Times New Roman"/>
            <w:color w:val="0000FF"/>
            <w:sz w:val="24"/>
            <w:szCs w:val="24"/>
            <w:u w:val="single"/>
          </w:rPr>
          <w:t>https://doi.org/10.1177/0004867411433216</w:t>
        </w:r>
      </w:hyperlink>
    </w:p>
    <w:p w14:paraId="4524C29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S.-F., Liu, C.-K., Chang, C.-C., &amp; Su, C.-Y. (2017). Sensitivity and specificity of executive function tests for Alzheimer’s disease. </w:t>
      </w:r>
      <w:r w:rsidRPr="004C4852">
        <w:rPr>
          <w:rFonts w:ascii="Times New Roman" w:eastAsia="Times New Roman" w:hAnsi="Times New Roman" w:cs="Times New Roman"/>
          <w:i/>
          <w:iCs/>
          <w:sz w:val="24"/>
          <w:szCs w:val="24"/>
        </w:rPr>
        <w:t>Applied Neuropsychology: Adult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(6), 493–504. </w:t>
      </w:r>
      <w:hyperlink r:id="rId2582" w:history="1">
        <w:r w:rsidRPr="004C4852">
          <w:rPr>
            <w:rFonts w:ascii="Times New Roman" w:eastAsia="Times New Roman" w:hAnsi="Times New Roman" w:cs="Times New Roman"/>
            <w:color w:val="0000FF"/>
            <w:sz w:val="24"/>
            <w:szCs w:val="24"/>
            <w:u w:val="single"/>
          </w:rPr>
          <w:t>https://doi.org/10.1080/23279095.2016.1204301</w:t>
        </w:r>
      </w:hyperlink>
    </w:p>
    <w:p w14:paraId="2E48F85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W., Shen, F., Zhang, J., &amp; Xing, B. (2016). Effect of repetitive transcranial magnetic stimulation on cigarette smoking in patients with schizophrenia. </w:t>
      </w:r>
      <w:r w:rsidRPr="004C4852">
        <w:rPr>
          <w:rFonts w:ascii="Times New Roman" w:eastAsia="Times New Roman" w:hAnsi="Times New Roman" w:cs="Times New Roman"/>
          <w:i/>
          <w:iCs/>
          <w:sz w:val="24"/>
          <w:szCs w:val="24"/>
        </w:rPr>
        <w:t>Shanghai Archives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(6), 309–317.</w:t>
      </w:r>
    </w:p>
    <w:p w14:paraId="406BD5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Y., Zhu, X., Yao, S., &amp; Zhou, S. (2005). Alexithymia and the Cognitive Function of the Male Heroin Addicts. [Alexithymia and the Cognitive Function of the Male Heroin Addicts.].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(2), 217–218.</w:t>
      </w:r>
    </w:p>
    <w:p w14:paraId="03F9F6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Y.-S., Hsiao, I.-T., Liu, F.-Y., Hwang, F.-M., Lin, K.-L., Huang, W.-C., &amp; Guilleminault, C. (2018). Neurocognition, sleep, and PET findings in type 2 vs type 1 narcolepsy.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90</w:t>
      </w:r>
      <w:r w:rsidRPr="004C4852">
        <w:rPr>
          <w:rFonts w:ascii="Times New Roman" w:eastAsia="Times New Roman" w:hAnsi="Times New Roman" w:cs="Times New Roman"/>
          <w:sz w:val="24"/>
          <w:szCs w:val="24"/>
        </w:rPr>
        <w:t xml:space="preserve">(17), e1478–e1487. </w:t>
      </w:r>
      <w:hyperlink r:id="rId2583" w:history="1">
        <w:r w:rsidRPr="004C4852">
          <w:rPr>
            <w:rFonts w:ascii="Times New Roman" w:eastAsia="Times New Roman" w:hAnsi="Times New Roman" w:cs="Times New Roman"/>
            <w:color w:val="0000FF"/>
            <w:sz w:val="24"/>
            <w:szCs w:val="24"/>
            <w:u w:val="single"/>
          </w:rPr>
          <w:t>https://doi.org/10.1212/WNL.0000000000005346</w:t>
        </w:r>
      </w:hyperlink>
    </w:p>
    <w:p w14:paraId="2780E8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Huang, Y.-S., Liu, F.-Y., Lin, C.-Y., Hsiao, I.-T., &amp; Guilleminault, C. (2016). Brain imaging and cognition in young narcoleptic patients. </w:t>
      </w:r>
      <w:r w:rsidRPr="004C4852">
        <w:rPr>
          <w:rFonts w:ascii="Times New Roman" w:eastAsia="Times New Roman" w:hAnsi="Times New Roman" w:cs="Times New Roman"/>
          <w:i/>
          <w:iCs/>
          <w:sz w:val="24"/>
          <w:szCs w:val="24"/>
        </w:rPr>
        <w:t>Sleep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 137–144. </w:t>
      </w:r>
      <w:hyperlink r:id="rId2584" w:history="1">
        <w:r w:rsidRPr="004C4852">
          <w:rPr>
            <w:rFonts w:ascii="Times New Roman" w:eastAsia="Times New Roman" w:hAnsi="Times New Roman" w:cs="Times New Roman"/>
            <w:color w:val="0000FF"/>
            <w:sz w:val="24"/>
            <w:szCs w:val="24"/>
            <w:u w:val="single"/>
          </w:rPr>
          <w:t>https://doi.org/10.1016/j.sleep.2015.11.023</w:t>
        </w:r>
      </w:hyperlink>
    </w:p>
    <w:p w14:paraId="17573F3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Huber, C. G., Schöttle, D., Lambert, M., Hottenrott, B., Agorastos, A., Naber, D., &amp; Schroeder, K. (2012). Brief Psychiatric Rating Scale—Excited Component (BPRS-EC) and neuropsychological dysfunction predict aggression, suicidality, and involuntary treatment in first-episode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134</w:t>
      </w:r>
      <w:r w:rsidRPr="004C4852">
        <w:rPr>
          <w:rFonts w:ascii="Times New Roman" w:eastAsia="Times New Roman" w:hAnsi="Times New Roman" w:cs="Times New Roman"/>
          <w:sz w:val="24"/>
          <w:szCs w:val="24"/>
        </w:rPr>
        <w:t xml:space="preserve">(2–3), 273–278. </w:t>
      </w:r>
      <w:hyperlink r:id="rId2585" w:history="1">
        <w:r w:rsidRPr="004C4852">
          <w:rPr>
            <w:rFonts w:ascii="Times New Roman" w:eastAsia="Times New Roman" w:hAnsi="Times New Roman" w:cs="Times New Roman"/>
            <w:color w:val="0000FF"/>
            <w:sz w:val="24"/>
            <w:szCs w:val="24"/>
            <w:u w:val="single"/>
          </w:rPr>
          <w:t>https://doi.org/10.1016/j.schres.2011.12.002</w:t>
        </w:r>
      </w:hyperlink>
    </w:p>
    <w:p w14:paraId="0921F8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Huber, R. S., Kondo, D. G., Shi, X.-F., Prescot, A. P., Clark, E., Renshaw, P. F., &amp; Yurgelun-Todd, D. A. (2018). Relationship of executive functioning deficits to N-acetyl aspartate (NAA) and gamma-aminobutyric acid (GABA) in youth with bipolar disorder.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225</w:t>
      </w:r>
      <w:r w:rsidRPr="004C4852">
        <w:rPr>
          <w:rFonts w:ascii="Times New Roman" w:eastAsia="Times New Roman" w:hAnsi="Times New Roman" w:cs="Times New Roman"/>
          <w:sz w:val="24"/>
          <w:szCs w:val="24"/>
        </w:rPr>
        <w:t xml:space="preserve">, 71–78. </w:t>
      </w:r>
      <w:hyperlink r:id="rId2586" w:history="1">
        <w:r w:rsidRPr="004C4852">
          <w:rPr>
            <w:rFonts w:ascii="Times New Roman" w:eastAsia="Times New Roman" w:hAnsi="Times New Roman" w:cs="Times New Roman"/>
            <w:color w:val="0000FF"/>
            <w:sz w:val="24"/>
            <w:szCs w:val="24"/>
            <w:u w:val="single"/>
          </w:rPr>
          <w:t>https://doi.org/10.1016/j.jad.2017.07.052</w:t>
        </w:r>
      </w:hyperlink>
    </w:p>
    <w:p w14:paraId="775685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Huddy, V. C., Clark, L., Harrison, I., Ron, M. A., Moutoussis, M., Barnes, T. R. E., &amp; Joyce, E. M. (2013). Reflection impulsivity and response inhibition in first-episode psychosis: Relationship to cannabis use.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(10), 2097–2107. </w:t>
      </w:r>
      <w:hyperlink r:id="rId2587" w:history="1">
        <w:r w:rsidRPr="004C4852">
          <w:rPr>
            <w:rFonts w:ascii="Times New Roman" w:eastAsia="Times New Roman" w:hAnsi="Times New Roman" w:cs="Times New Roman"/>
            <w:color w:val="0000FF"/>
            <w:sz w:val="24"/>
            <w:szCs w:val="24"/>
            <w:u w:val="single"/>
          </w:rPr>
          <w:t>https://doi.org/10.1017/S0033291712003054</w:t>
        </w:r>
      </w:hyperlink>
    </w:p>
    <w:p w14:paraId="4D4928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Huddy, V., Reeder, C., Kontis, D., Wykes, T., &amp; Stahl, D. (2012). The effect of working alliance on adherence and outcome in cognitive remediation therapy.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200</w:t>
      </w:r>
      <w:r w:rsidRPr="004C4852">
        <w:rPr>
          <w:rFonts w:ascii="Times New Roman" w:eastAsia="Times New Roman" w:hAnsi="Times New Roman" w:cs="Times New Roman"/>
          <w:sz w:val="24"/>
          <w:szCs w:val="24"/>
        </w:rPr>
        <w:t xml:space="preserve">(7), 614–619. </w:t>
      </w:r>
      <w:hyperlink r:id="rId2588" w:history="1">
        <w:r w:rsidRPr="004C4852">
          <w:rPr>
            <w:rFonts w:ascii="Times New Roman" w:eastAsia="Times New Roman" w:hAnsi="Times New Roman" w:cs="Times New Roman"/>
            <w:color w:val="0000FF"/>
            <w:sz w:val="24"/>
            <w:szCs w:val="24"/>
            <w:u w:val="single"/>
          </w:rPr>
          <w:t>https://doi.org/10.1097/NMD.0b013e31825bfc31</w:t>
        </w:r>
      </w:hyperlink>
    </w:p>
    <w:p w14:paraId="0AB691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Hudson, J. M., Flowers, K. A., &amp; Walster, K. L. (2014). Attentional control in patients with temporal lobe epilepsy.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(1), 140–146. </w:t>
      </w:r>
      <w:hyperlink r:id="rId2589" w:history="1">
        <w:r w:rsidRPr="004C4852">
          <w:rPr>
            <w:rFonts w:ascii="Times New Roman" w:eastAsia="Times New Roman" w:hAnsi="Times New Roman" w:cs="Times New Roman"/>
            <w:color w:val="0000FF"/>
            <w:sz w:val="24"/>
            <w:szCs w:val="24"/>
            <w:u w:val="single"/>
          </w:rPr>
          <w:t>https://doi.org/10.1111/jnp.12008</w:t>
        </w:r>
      </w:hyperlink>
    </w:p>
    <w:p w14:paraId="18F05E6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Hueng, T., Lee, I. H., Guog, Y., Chen, K. C., Chen, S. S., Chuang, S. P., Yeh, T. L., &amp; Yang, Y. K. (2011). Is a patient‐administered depression rating scale valid for detecting cognitive deficits in patients with major depressive disorder?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(1), 70–76. </w:t>
      </w:r>
      <w:hyperlink r:id="rId2590" w:history="1">
        <w:r w:rsidRPr="004C4852">
          <w:rPr>
            <w:rFonts w:ascii="Times New Roman" w:eastAsia="Times New Roman" w:hAnsi="Times New Roman" w:cs="Times New Roman"/>
            <w:color w:val="0000FF"/>
            <w:sz w:val="24"/>
            <w:szCs w:val="24"/>
            <w:u w:val="single"/>
          </w:rPr>
          <w:t>https://doi.org/10.1111/j.1440-1819.2010.02166.x</w:t>
        </w:r>
      </w:hyperlink>
    </w:p>
    <w:p w14:paraId="5862A1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Huerta, K. C., Téllez, G. Y., Salinas, C. A. A., &amp; Díaz, J. M. M. (2013). Funcionamiento cognoscitivo en la diabetes tipo 2: Una revisión. [Cognitive function in type 2 diabetes: A review.]. </w:t>
      </w:r>
      <w:r w:rsidRPr="004C4852">
        <w:rPr>
          <w:rFonts w:ascii="Times New Roman" w:eastAsia="Times New Roman" w:hAnsi="Times New Roman" w:cs="Times New Roman"/>
          <w:i/>
          <w:iCs/>
          <w:sz w:val="24"/>
          <w:szCs w:val="24"/>
        </w:rPr>
        <w:t>Salud Mental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(2), 167–175. </w:t>
      </w:r>
      <w:hyperlink r:id="rId2591" w:history="1">
        <w:r w:rsidRPr="004C4852">
          <w:rPr>
            <w:rFonts w:ascii="Times New Roman" w:eastAsia="Times New Roman" w:hAnsi="Times New Roman" w:cs="Times New Roman"/>
            <w:color w:val="0000FF"/>
            <w:sz w:val="24"/>
            <w:szCs w:val="24"/>
            <w:u w:val="single"/>
          </w:rPr>
          <w:t>https://doi.org/10.17711/SM.0185-3325.2013.020</w:t>
        </w:r>
      </w:hyperlink>
    </w:p>
    <w:p w14:paraId="5ACD72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Hughes, C., Kumari, V., Das, M., Zachariah, E., Ettinger, U., Sumich, A., &amp; Sharma, T. (2005). Cognitive functioning in siblings discordant for schizophrenia.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111</w:t>
      </w:r>
      <w:r w:rsidRPr="004C4852">
        <w:rPr>
          <w:rFonts w:ascii="Times New Roman" w:eastAsia="Times New Roman" w:hAnsi="Times New Roman" w:cs="Times New Roman"/>
          <w:sz w:val="24"/>
          <w:szCs w:val="24"/>
        </w:rPr>
        <w:t xml:space="preserve">(3), 185–192. </w:t>
      </w:r>
      <w:hyperlink r:id="rId2592" w:history="1">
        <w:r w:rsidRPr="004C4852">
          <w:rPr>
            <w:rFonts w:ascii="Times New Roman" w:eastAsia="Times New Roman" w:hAnsi="Times New Roman" w:cs="Times New Roman"/>
            <w:color w:val="0000FF"/>
            <w:sz w:val="24"/>
            <w:szCs w:val="24"/>
            <w:u w:val="single"/>
          </w:rPr>
          <w:t>https://doi.org/10.1111/j.1600-0447.2004.00392.x</w:t>
        </w:r>
      </w:hyperlink>
    </w:p>
    <w:p w14:paraId="16AF1CE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Hughes, D. M., Turkstra, L. S., &amp; Wulfeck, B. B. (2009). Parent and self-ratings of executive function in adolescents with specific language impairment. </w:t>
      </w:r>
      <w:r w:rsidRPr="004C4852">
        <w:rPr>
          <w:rFonts w:ascii="Times New Roman" w:eastAsia="Times New Roman" w:hAnsi="Times New Roman" w:cs="Times New Roman"/>
          <w:i/>
          <w:iCs/>
          <w:sz w:val="24"/>
          <w:szCs w:val="24"/>
        </w:rPr>
        <w:t>International Journal of Language &amp; Communication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(6), 901–916. </w:t>
      </w:r>
      <w:hyperlink r:id="rId2593" w:history="1">
        <w:r w:rsidRPr="004C4852">
          <w:rPr>
            <w:rFonts w:ascii="Times New Roman" w:eastAsia="Times New Roman" w:hAnsi="Times New Roman" w:cs="Times New Roman"/>
            <w:color w:val="0000FF"/>
            <w:sz w:val="24"/>
            <w:szCs w:val="24"/>
            <w:u w:val="single"/>
          </w:rPr>
          <w:t>https://doi.org/10.1080/13682820802425693</w:t>
        </w:r>
      </w:hyperlink>
    </w:p>
    <w:p w14:paraId="56F39E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Hughes, J. H., Gallagher, P., Stewart, M. E., Matthews, D., Kelly, T. P., &amp; Young, A. H. (2003). The effects of acute tryptophan depletion on neuropsychological function. </w:t>
      </w:r>
      <w:r w:rsidRPr="004C4852">
        <w:rPr>
          <w:rFonts w:ascii="Times New Roman" w:eastAsia="Times New Roman" w:hAnsi="Times New Roman" w:cs="Times New Roman"/>
          <w:i/>
          <w:iCs/>
          <w:sz w:val="24"/>
          <w:szCs w:val="24"/>
        </w:rPr>
        <w:t>Journal of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(3), 300–309. </w:t>
      </w:r>
      <w:hyperlink r:id="rId2594" w:history="1">
        <w:r w:rsidRPr="004C4852">
          <w:rPr>
            <w:rFonts w:ascii="Times New Roman" w:eastAsia="Times New Roman" w:hAnsi="Times New Roman" w:cs="Times New Roman"/>
            <w:color w:val="0000FF"/>
            <w:sz w:val="24"/>
            <w:szCs w:val="24"/>
            <w:u w:val="single"/>
          </w:rPr>
          <w:t>https://doi.org/10.1177/02698811030173012</w:t>
        </w:r>
      </w:hyperlink>
    </w:p>
    <w:p w14:paraId="5B24FD5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Huguelet, P., Zanello, A., &amp; Nicastro, R. (2000). A study of visual and auditory verbal working memory in schizophrenic patients compared to healthy subjects.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250</w:t>
      </w:r>
      <w:r w:rsidRPr="004C4852">
        <w:rPr>
          <w:rFonts w:ascii="Times New Roman" w:eastAsia="Times New Roman" w:hAnsi="Times New Roman" w:cs="Times New Roman"/>
          <w:sz w:val="24"/>
          <w:szCs w:val="24"/>
        </w:rPr>
        <w:t xml:space="preserve">(2), 79–85. </w:t>
      </w:r>
      <w:hyperlink r:id="rId2595" w:history="1">
        <w:r w:rsidRPr="004C4852">
          <w:rPr>
            <w:rFonts w:ascii="Times New Roman" w:eastAsia="Times New Roman" w:hAnsi="Times New Roman" w:cs="Times New Roman"/>
            <w:color w:val="0000FF"/>
            <w:sz w:val="24"/>
            <w:szCs w:val="24"/>
            <w:u w:val="single"/>
          </w:rPr>
          <w:t>https://doi.org/10.1007/s004060070039</w:t>
        </w:r>
      </w:hyperlink>
    </w:p>
    <w:p w14:paraId="35177C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 C. L. M., Chang, W. C., Chan, S. K. W., Lee, E. H. M., Tam, W. W. Y., Lai, D. C., Wong, G. H. Y., Tang, J. Y. M., Li, F. W. S., Leung, K. F., McGhee, S. M., Sham, P. C., &amp; Chen, E. Y. H. (2014). Early intervention and evaluation for adult‐onset psychosis: The JCEP study rationale and design. </w:t>
      </w:r>
      <w:r w:rsidRPr="004C4852">
        <w:rPr>
          <w:rFonts w:ascii="Times New Roman" w:eastAsia="Times New Roman" w:hAnsi="Times New Roman" w:cs="Times New Roman"/>
          <w:i/>
          <w:iCs/>
          <w:sz w:val="24"/>
          <w:szCs w:val="24"/>
        </w:rPr>
        <w:t>Early Intervention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(3), 261–268. </w:t>
      </w:r>
      <w:hyperlink r:id="rId2596" w:history="1">
        <w:r w:rsidRPr="004C4852">
          <w:rPr>
            <w:rFonts w:ascii="Times New Roman" w:eastAsia="Times New Roman" w:hAnsi="Times New Roman" w:cs="Times New Roman"/>
            <w:color w:val="0000FF"/>
            <w:sz w:val="24"/>
            <w:szCs w:val="24"/>
            <w:u w:val="single"/>
          </w:rPr>
          <w:t>https://doi.org/10.1111/eip.12034</w:t>
        </w:r>
      </w:hyperlink>
    </w:p>
    <w:p w14:paraId="611B6C8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 C. L. M., Poon, V. W. Y., Ko, W. T., Miao, H. Y., Chang, W. C., Lee, E. H. M., Chan, S. K. W., Lin, J., &amp; Chen, E. Y. H. (2016). Risk factors for antipsychotic medication non-adherence behaviors and attitudes in adult-onset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174</w:t>
      </w:r>
      <w:r w:rsidRPr="004C4852">
        <w:rPr>
          <w:rFonts w:ascii="Times New Roman" w:eastAsia="Times New Roman" w:hAnsi="Times New Roman" w:cs="Times New Roman"/>
          <w:sz w:val="24"/>
          <w:szCs w:val="24"/>
        </w:rPr>
        <w:t xml:space="preserve">(1–3), 144–149. </w:t>
      </w:r>
      <w:hyperlink r:id="rId2597" w:history="1">
        <w:r w:rsidRPr="004C4852">
          <w:rPr>
            <w:rFonts w:ascii="Times New Roman" w:eastAsia="Times New Roman" w:hAnsi="Times New Roman" w:cs="Times New Roman"/>
            <w:color w:val="0000FF"/>
            <w:sz w:val="24"/>
            <w:szCs w:val="24"/>
            <w:u w:val="single"/>
          </w:rPr>
          <w:t>https://doi.org/10.1016/j.schres.2016.03.026</w:t>
        </w:r>
      </w:hyperlink>
    </w:p>
    <w:p w14:paraId="74208A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 C. L. M., Wong, G. H. Y., Tang, J. Y. M., Chang, W. C., Chan, S. K. W., Lee, E. H. M., Lam, M. M. L., Chiu, C. P. Y., Law, C. W., Chung, D. W. S., Tso, S., Pang, E. P. F., Chan, K. T., Wong, Y. C., Mo, F. Y. M., Chan, K. P. M., Hung, S. F., Honer, W. G., &amp; Chen, E. Y. H. (2013). Predicting 1-year risk for relapse in patients who have discontinued or continued quetiapine after remission from first-episode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150</w:t>
      </w:r>
      <w:r w:rsidRPr="004C4852">
        <w:rPr>
          <w:rFonts w:ascii="Times New Roman" w:eastAsia="Times New Roman" w:hAnsi="Times New Roman" w:cs="Times New Roman"/>
          <w:sz w:val="24"/>
          <w:szCs w:val="24"/>
        </w:rPr>
        <w:t xml:space="preserve">(1), 297–302. </w:t>
      </w:r>
      <w:hyperlink r:id="rId2598" w:history="1">
        <w:r w:rsidRPr="004C4852">
          <w:rPr>
            <w:rFonts w:ascii="Times New Roman" w:eastAsia="Times New Roman" w:hAnsi="Times New Roman" w:cs="Times New Roman"/>
            <w:color w:val="0000FF"/>
            <w:sz w:val="24"/>
            <w:szCs w:val="24"/>
            <w:u w:val="single"/>
          </w:rPr>
          <w:t>https://doi.org/10.1016/j.schres.2013.08.010</w:t>
        </w:r>
      </w:hyperlink>
    </w:p>
    <w:p w14:paraId="1F72424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Huizinga, M., Dolan, C. V., &amp; van der Molen, M. W. (2006). Age-related change in executive function: Developmental trends and a latent variable analysis.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(11), 2017–2036. </w:t>
      </w:r>
      <w:hyperlink r:id="rId2599" w:history="1">
        <w:r w:rsidRPr="004C4852">
          <w:rPr>
            <w:rFonts w:ascii="Times New Roman" w:eastAsia="Times New Roman" w:hAnsi="Times New Roman" w:cs="Times New Roman"/>
            <w:color w:val="0000FF"/>
            <w:sz w:val="24"/>
            <w:szCs w:val="24"/>
            <w:u w:val="single"/>
          </w:rPr>
          <w:t>https://doi.org/10.1016/j.neuropsychologia.2006.01.010</w:t>
        </w:r>
      </w:hyperlink>
    </w:p>
    <w:p w14:paraId="7D65CC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Huizinga, M., &amp; van der Molen, M. W. (2007). Age-group differences in set-switching and set-maintenance on the Wisconsin Card Sorting Task. </w:t>
      </w:r>
      <w:r w:rsidRPr="004C4852">
        <w:rPr>
          <w:rFonts w:ascii="Times New Roman" w:eastAsia="Times New Roman" w:hAnsi="Times New Roman" w:cs="Times New Roman"/>
          <w:i/>
          <w:iCs/>
          <w:sz w:val="24"/>
          <w:szCs w:val="24"/>
        </w:rPr>
        <w:t>Developmental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(2), 193–215. </w:t>
      </w:r>
      <w:hyperlink r:id="rId2600" w:history="1">
        <w:r w:rsidRPr="004C4852">
          <w:rPr>
            <w:rFonts w:ascii="Times New Roman" w:eastAsia="Times New Roman" w:hAnsi="Times New Roman" w:cs="Times New Roman"/>
            <w:color w:val="0000FF"/>
            <w:sz w:val="24"/>
            <w:szCs w:val="24"/>
            <w:u w:val="single"/>
          </w:rPr>
          <w:t>https://doi.org/10.1080/87565640701190817</w:t>
        </w:r>
      </w:hyperlink>
    </w:p>
    <w:p w14:paraId="456700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Hülser, K., Dubowy, K.-O., Knobl, H., Meyer, H., &amp; Schölmerich, A. (2007). Developmental outcome and psychological in adjustment in children after surgery for congenital heart disease during infancy. </w:t>
      </w:r>
      <w:r w:rsidRPr="004C4852">
        <w:rPr>
          <w:rFonts w:ascii="Times New Roman" w:eastAsia="Times New Roman" w:hAnsi="Times New Roman" w:cs="Times New Roman"/>
          <w:i/>
          <w:iCs/>
          <w:sz w:val="24"/>
          <w:szCs w:val="24"/>
        </w:rPr>
        <w:t>Journal of Reproductive and Infant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139–151. </w:t>
      </w:r>
      <w:hyperlink r:id="rId2601" w:history="1">
        <w:r w:rsidRPr="004C4852">
          <w:rPr>
            <w:rFonts w:ascii="Times New Roman" w:eastAsia="Times New Roman" w:hAnsi="Times New Roman" w:cs="Times New Roman"/>
            <w:color w:val="0000FF"/>
            <w:sz w:val="24"/>
            <w:szCs w:val="24"/>
            <w:u w:val="single"/>
          </w:rPr>
          <w:t>https://doi.org/10.1080/02646830701292308</w:t>
        </w:r>
      </w:hyperlink>
    </w:p>
    <w:p w14:paraId="1B99251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Humphreys, G. W., &amp; Forde, E. M. E. (2005). Naming a giraffe but not an animal: Base-level but not superordinate naming in a patient with impaired semantics. </w:t>
      </w:r>
      <w:r w:rsidRPr="004C4852">
        <w:rPr>
          <w:rFonts w:ascii="Times New Roman" w:eastAsia="Times New Roman" w:hAnsi="Times New Roman" w:cs="Times New Roman"/>
          <w:i/>
          <w:iCs/>
          <w:sz w:val="24"/>
          <w:szCs w:val="24"/>
        </w:rPr>
        <w:t>Cognitive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(5), 539–558. </w:t>
      </w:r>
      <w:hyperlink r:id="rId2602" w:history="1">
        <w:r w:rsidRPr="004C4852">
          <w:rPr>
            <w:rFonts w:ascii="Times New Roman" w:eastAsia="Times New Roman" w:hAnsi="Times New Roman" w:cs="Times New Roman"/>
            <w:color w:val="0000FF"/>
            <w:sz w:val="24"/>
            <w:szCs w:val="24"/>
            <w:u w:val="single"/>
          </w:rPr>
          <w:t>https://doi.org/10.1080/02643290442000176</w:t>
        </w:r>
      </w:hyperlink>
    </w:p>
    <w:p w14:paraId="5D3067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Hung, T.-M., Tsai, C.-L., Chen, F.-T., Wang, C.-C., &amp; Chang, Y.-K. (2013). The immediate and sustained effects of acute exercise on planning aspect of executive function. </w:t>
      </w:r>
      <w:r w:rsidRPr="004C4852">
        <w:rPr>
          <w:rFonts w:ascii="Times New Roman" w:eastAsia="Times New Roman" w:hAnsi="Times New Roman" w:cs="Times New Roman"/>
          <w:i/>
          <w:iCs/>
          <w:sz w:val="24"/>
          <w:szCs w:val="24"/>
        </w:rPr>
        <w:t>Psychology of Sport and Exercise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(5), 728–736. </w:t>
      </w:r>
      <w:hyperlink r:id="rId2603" w:history="1">
        <w:r w:rsidRPr="004C4852">
          <w:rPr>
            <w:rFonts w:ascii="Times New Roman" w:eastAsia="Times New Roman" w:hAnsi="Times New Roman" w:cs="Times New Roman"/>
            <w:color w:val="0000FF"/>
            <w:sz w:val="24"/>
            <w:szCs w:val="24"/>
            <w:u w:val="single"/>
          </w:rPr>
          <w:t>https://doi.org/10.1016/j.psychsport.2013.05.004</w:t>
        </w:r>
      </w:hyperlink>
    </w:p>
    <w:p w14:paraId="25072C6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Hunkin, N. M., Awad, M., &amp; Mayes, A. R. (2015). Memory for between‐list and within‐list information in amnesic patients with temporal lobe and diencephalic lesions.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(1), 137–156. </w:t>
      </w:r>
      <w:hyperlink r:id="rId2604" w:history="1">
        <w:r w:rsidRPr="004C4852">
          <w:rPr>
            <w:rFonts w:ascii="Times New Roman" w:eastAsia="Times New Roman" w:hAnsi="Times New Roman" w:cs="Times New Roman"/>
            <w:color w:val="0000FF"/>
            <w:sz w:val="24"/>
            <w:szCs w:val="24"/>
            <w:u w:val="single"/>
          </w:rPr>
          <w:t>https://doi.org/10.1111/jnp.12040</w:t>
        </w:r>
      </w:hyperlink>
    </w:p>
    <w:p w14:paraId="1F3F0D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Hunter, H. K., &amp; Lysaker, P. H. (2015). Associations of comorbid obsessive-compulsive symptoms with psychotic and affective symptoms and general functioning. In </w:t>
      </w:r>
      <w:r w:rsidRPr="004C4852">
        <w:rPr>
          <w:rFonts w:ascii="Times New Roman" w:eastAsia="Times New Roman" w:hAnsi="Times New Roman" w:cs="Times New Roman"/>
          <w:i/>
          <w:iCs/>
          <w:sz w:val="24"/>
          <w:szCs w:val="24"/>
        </w:rPr>
        <w:t>Obsessive-compulsive symptoms in schizophrenia.</w:t>
      </w:r>
      <w:r w:rsidRPr="004C4852">
        <w:rPr>
          <w:rFonts w:ascii="Times New Roman" w:eastAsia="Times New Roman" w:hAnsi="Times New Roman" w:cs="Times New Roman"/>
          <w:sz w:val="24"/>
          <w:szCs w:val="24"/>
        </w:rPr>
        <w:t xml:space="preserve"> (pp. 77–88). Springer International Publishing. </w:t>
      </w:r>
      <w:hyperlink r:id="rId2605" w:history="1">
        <w:r w:rsidRPr="004C4852">
          <w:rPr>
            <w:rFonts w:ascii="Times New Roman" w:eastAsia="Times New Roman" w:hAnsi="Times New Roman" w:cs="Times New Roman"/>
            <w:color w:val="0000FF"/>
            <w:sz w:val="24"/>
            <w:szCs w:val="24"/>
            <w:u w:val="single"/>
          </w:rPr>
          <w:t>https://doi.org/10.1007/978-3-319-12952-5_6</w:t>
        </w:r>
      </w:hyperlink>
    </w:p>
    <w:p w14:paraId="510486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Hunter, J. E., Sherman, S., Grigsby, J., Kogan, C., &amp; Cornish, K. (2012). Capturing the fragile X premutation phenotypes: A collaborative effort across multiple cohorts.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(2), 156–164. </w:t>
      </w:r>
      <w:hyperlink r:id="rId2606" w:history="1">
        <w:r w:rsidRPr="004C4852">
          <w:rPr>
            <w:rFonts w:ascii="Times New Roman" w:eastAsia="Times New Roman" w:hAnsi="Times New Roman" w:cs="Times New Roman"/>
            <w:color w:val="0000FF"/>
            <w:sz w:val="24"/>
            <w:szCs w:val="24"/>
            <w:u w:val="single"/>
          </w:rPr>
          <w:t>https://doi.org/10.1037/a0026799</w:t>
        </w:r>
      </w:hyperlink>
    </w:p>
    <w:p w14:paraId="359DFA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 J.-W., Byun, M. S., Shin, N. Y., Shin, Y. S., Kim, S. N., Jang, J. H., &amp; Kwon, J. S. (2013). General intellectual functioning as a buffer against theory-of-mind deficits in individuals at ultra-high risk for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149</w:t>
      </w:r>
      <w:r w:rsidRPr="004C4852">
        <w:rPr>
          <w:rFonts w:ascii="Times New Roman" w:eastAsia="Times New Roman" w:hAnsi="Times New Roman" w:cs="Times New Roman"/>
          <w:sz w:val="24"/>
          <w:szCs w:val="24"/>
        </w:rPr>
        <w:t xml:space="preserve">(1–3), 83–87. </w:t>
      </w:r>
      <w:hyperlink r:id="rId2607" w:history="1">
        <w:r w:rsidRPr="004C4852">
          <w:rPr>
            <w:rFonts w:ascii="Times New Roman" w:eastAsia="Times New Roman" w:hAnsi="Times New Roman" w:cs="Times New Roman"/>
            <w:color w:val="0000FF"/>
            <w:sz w:val="24"/>
            <w:szCs w:val="24"/>
            <w:u w:val="single"/>
          </w:rPr>
          <w:t>https://doi.org/10.1016/j.schres.2013.06.019</w:t>
        </w:r>
      </w:hyperlink>
    </w:p>
    <w:p w14:paraId="089FA0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 J.-W., Shin, N. Y., Jang, J. H., Shim, G., Park, H. Y., Hwang, J. Y., Kim, S. N., Yoo, J. H., Hong, K. S., &amp; Kwon, J. S. (2012). Clinical and neurocognitive profiles of subjects at high risk for psychosis with and without obsessive–compulsive symptoms. </w:t>
      </w:r>
      <w:r w:rsidRPr="004C4852">
        <w:rPr>
          <w:rFonts w:ascii="Times New Roman" w:eastAsia="Times New Roman" w:hAnsi="Times New Roman" w:cs="Times New Roman"/>
          <w:i/>
          <w:iCs/>
          <w:sz w:val="24"/>
          <w:szCs w:val="24"/>
        </w:rPr>
        <w:t>Australian and New Zealand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(2), 161–169. </w:t>
      </w:r>
      <w:hyperlink r:id="rId2608" w:history="1">
        <w:r w:rsidRPr="004C4852">
          <w:rPr>
            <w:rFonts w:ascii="Times New Roman" w:eastAsia="Times New Roman" w:hAnsi="Times New Roman" w:cs="Times New Roman"/>
            <w:color w:val="0000FF"/>
            <w:sz w:val="24"/>
            <w:szCs w:val="24"/>
            <w:u w:val="single"/>
          </w:rPr>
          <w:t>https://doi.org/10.1177/0004867411432851</w:t>
        </w:r>
      </w:hyperlink>
    </w:p>
    <w:p w14:paraId="6ECBB1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Hurford, I. M., Marder, S. R., Keefe, R. S. E., Reise, S. P., &amp; Bilder, R. M. (2011). A brief cognitive assessment tool for schizophrenia: Construction of a tool for clinicians.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(3), 538–545. </w:t>
      </w:r>
      <w:hyperlink r:id="rId2609" w:history="1">
        <w:r w:rsidRPr="004C4852">
          <w:rPr>
            <w:rFonts w:ascii="Times New Roman" w:eastAsia="Times New Roman" w:hAnsi="Times New Roman" w:cs="Times New Roman"/>
            <w:color w:val="0000FF"/>
            <w:sz w:val="24"/>
            <w:szCs w:val="24"/>
            <w:u w:val="single"/>
          </w:rPr>
          <w:t>https://doi.org/10.1093/schbul/sbp095</w:t>
        </w:r>
      </w:hyperlink>
    </w:p>
    <w:p w14:paraId="1774674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Hurlemann, R., Patin, A., Onur, O. A., Cohen, M. X., Baumgartner, T., Metzler, S., Dziobek, I., Gallinat, J., Wagner, M., Maier, W., &amp; Kendrick, K. M. (2010). Oxytocin enhances amygdala-dependent, socially reinforced learning and emotional empathy in humans. </w:t>
      </w:r>
      <w:r w:rsidRPr="004C4852">
        <w:rPr>
          <w:rFonts w:ascii="Times New Roman" w:eastAsia="Times New Roman" w:hAnsi="Times New Roman" w:cs="Times New Roman"/>
          <w:i/>
          <w:iCs/>
          <w:sz w:val="24"/>
          <w:szCs w:val="24"/>
        </w:rPr>
        <w:t>The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(14), 4999–5007. </w:t>
      </w:r>
      <w:hyperlink r:id="rId2610" w:history="1">
        <w:r w:rsidRPr="004C4852">
          <w:rPr>
            <w:rFonts w:ascii="Times New Roman" w:eastAsia="Times New Roman" w:hAnsi="Times New Roman" w:cs="Times New Roman"/>
            <w:color w:val="0000FF"/>
            <w:sz w:val="24"/>
            <w:szCs w:val="24"/>
            <w:u w:val="single"/>
          </w:rPr>
          <w:t>https://doi.org/10.1523/JNEUROSCI.5538-09.2010</w:t>
        </w:r>
      </w:hyperlink>
    </w:p>
    <w:p w14:paraId="67A9B9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Hurtado, M. M., Triviño, M., Arnedo, M., Roldán, G., &amp; Tudela, P. (2016). Are executive functions related to emotional intelligence? A correlational study in schizophrenia and borderline personality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246</w:t>
      </w:r>
      <w:r w:rsidRPr="004C4852">
        <w:rPr>
          <w:rFonts w:ascii="Times New Roman" w:eastAsia="Times New Roman" w:hAnsi="Times New Roman" w:cs="Times New Roman"/>
          <w:sz w:val="24"/>
          <w:szCs w:val="24"/>
        </w:rPr>
        <w:t xml:space="preserve">, 84–88. </w:t>
      </w:r>
      <w:hyperlink r:id="rId2611" w:history="1">
        <w:r w:rsidRPr="004C4852">
          <w:rPr>
            <w:rFonts w:ascii="Times New Roman" w:eastAsia="Times New Roman" w:hAnsi="Times New Roman" w:cs="Times New Roman"/>
            <w:color w:val="0000FF"/>
            <w:sz w:val="24"/>
            <w:szCs w:val="24"/>
            <w:u w:val="single"/>
          </w:rPr>
          <w:t>https://doi.org/10.1016/j.psychres.2016.09.027</w:t>
        </w:r>
      </w:hyperlink>
    </w:p>
    <w:p w14:paraId="7542EB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Hurwitz, T. A., Honey, C. R., Allen, J., Gosselin, C., Hewko, R., Martzke, J., Bogod, N., &amp; Taylor, P. (2012). Bilateral anterior capsulotomy for intractable depression.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(2), 176–182. </w:t>
      </w:r>
      <w:hyperlink r:id="rId2612" w:history="1">
        <w:r w:rsidRPr="004C4852">
          <w:rPr>
            <w:rFonts w:ascii="Times New Roman" w:eastAsia="Times New Roman" w:hAnsi="Times New Roman" w:cs="Times New Roman"/>
            <w:color w:val="0000FF"/>
            <w:sz w:val="24"/>
            <w:szCs w:val="24"/>
            <w:u w:val="single"/>
          </w:rPr>
          <w:t>https://doi.org/10.1176/appi.neuropsych.11080189</w:t>
        </w:r>
      </w:hyperlink>
    </w:p>
    <w:p w14:paraId="235210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Husain, M., &amp; Mehta, M. A. (2011). Cognitive enhancement by drugs in health and disease. </w:t>
      </w:r>
      <w:r w:rsidRPr="004C4852">
        <w:rPr>
          <w:rFonts w:ascii="Times New Roman" w:eastAsia="Times New Roman" w:hAnsi="Times New Roman" w:cs="Times New Roman"/>
          <w:i/>
          <w:iCs/>
          <w:sz w:val="24"/>
          <w:szCs w:val="24"/>
        </w:rPr>
        <w:t>Trends in Cognitive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(1), 28–36. </w:t>
      </w:r>
      <w:hyperlink r:id="rId2613" w:history="1">
        <w:r w:rsidRPr="004C4852">
          <w:rPr>
            <w:rFonts w:ascii="Times New Roman" w:eastAsia="Times New Roman" w:hAnsi="Times New Roman" w:cs="Times New Roman"/>
            <w:color w:val="0000FF"/>
            <w:sz w:val="24"/>
            <w:szCs w:val="24"/>
            <w:u w:val="single"/>
          </w:rPr>
          <w:t>https://doi.org/10.1016/j.tics.2010.11.002</w:t>
        </w:r>
      </w:hyperlink>
    </w:p>
    <w:p w14:paraId="1E4562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Husted, J. A., Lim, S., Chow, E. W. C., Greenwood, C., &amp; Bassett, A. S. (2009). Heritability of neurocognitive traits in familial schizophrenia. </w:t>
      </w:r>
      <w:r w:rsidRPr="004C4852">
        <w:rPr>
          <w:rFonts w:ascii="Times New Roman" w:eastAsia="Times New Roman" w:hAnsi="Times New Roman" w:cs="Times New Roman"/>
          <w:i/>
          <w:iCs/>
          <w:sz w:val="24"/>
          <w:szCs w:val="24"/>
        </w:rPr>
        <w:t>American Journal of Medical Genetics Part B: Neuropsychiatric 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150B</w:t>
      </w:r>
      <w:r w:rsidRPr="004C4852">
        <w:rPr>
          <w:rFonts w:ascii="Times New Roman" w:eastAsia="Times New Roman" w:hAnsi="Times New Roman" w:cs="Times New Roman"/>
          <w:sz w:val="24"/>
          <w:szCs w:val="24"/>
        </w:rPr>
        <w:t xml:space="preserve">(6), 845–853. </w:t>
      </w:r>
      <w:hyperlink r:id="rId2614" w:history="1">
        <w:r w:rsidRPr="004C4852">
          <w:rPr>
            <w:rFonts w:ascii="Times New Roman" w:eastAsia="Times New Roman" w:hAnsi="Times New Roman" w:cs="Times New Roman"/>
            <w:color w:val="0000FF"/>
            <w:sz w:val="24"/>
            <w:szCs w:val="24"/>
            <w:u w:val="single"/>
          </w:rPr>
          <w:t>https://doi.org/10.1002/ajmg.b.30907</w:t>
        </w:r>
      </w:hyperlink>
    </w:p>
    <w:p w14:paraId="66EE20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Hutton, S. B., &amp; Ettinger, U. (2006). The antisaccade task as a research tool in psychopathology: A critical review. </w:t>
      </w:r>
      <w:r w:rsidRPr="004C4852">
        <w:rPr>
          <w:rFonts w:ascii="Times New Roman" w:eastAsia="Times New Roman" w:hAnsi="Times New Roman" w:cs="Times New Roman"/>
          <w:i/>
          <w:iCs/>
          <w:sz w:val="24"/>
          <w:szCs w:val="24"/>
        </w:rPr>
        <w:t>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(3), 302–313. </w:t>
      </w:r>
      <w:hyperlink r:id="rId2615" w:history="1">
        <w:r w:rsidRPr="004C4852">
          <w:rPr>
            <w:rFonts w:ascii="Times New Roman" w:eastAsia="Times New Roman" w:hAnsi="Times New Roman" w:cs="Times New Roman"/>
            <w:color w:val="0000FF"/>
            <w:sz w:val="24"/>
            <w:szCs w:val="24"/>
            <w:u w:val="single"/>
          </w:rPr>
          <w:t>https://doi.org/10.1111/j.1469-8986.2006.00403.x</w:t>
        </w:r>
      </w:hyperlink>
    </w:p>
    <w:p w14:paraId="5865CB3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Hux, K., &amp; Mahrt, T. (2019). Alexia and agraphia intervention following traumatic brain injury: A single case study. </w:t>
      </w:r>
      <w:r w:rsidRPr="004C4852">
        <w:rPr>
          <w:rFonts w:ascii="Times New Roman" w:eastAsia="Times New Roman" w:hAnsi="Times New Roman" w:cs="Times New Roman"/>
          <w:i/>
          <w:iCs/>
          <w:sz w:val="24"/>
          <w:szCs w:val="24"/>
        </w:rPr>
        <w:t>American Journal of Speech-Language 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(3), 1152–1166. </w:t>
      </w:r>
      <w:hyperlink r:id="rId2616" w:history="1">
        <w:r w:rsidRPr="004C4852">
          <w:rPr>
            <w:rFonts w:ascii="Times New Roman" w:eastAsia="Times New Roman" w:hAnsi="Times New Roman" w:cs="Times New Roman"/>
            <w:color w:val="0000FF"/>
            <w:sz w:val="24"/>
            <w:szCs w:val="24"/>
            <w:u w:val="single"/>
          </w:rPr>
          <w:t>https://doi.org/10.1044/2019_AJSLP-18-0245</w:t>
        </w:r>
      </w:hyperlink>
    </w:p>
    <w:p w14:paraId="54323F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Huxley, N. A. (1998). </w:t>
      </w:r>
      <w:r w:rsidRPr="004C4852">
        <w:rPr>
          <w:rFonts w:ascii="Times New Roman" w:eastAsia="Times New Roman" w:hAnsi="Times New Roman" w:cs="Times New Roman"/>
          <w:i/>
          <w:iCs/>
          <w:sz w:val="24"/>
          <w:szCs w:val="24"/>
        </w:rPr>
        <w:t>Bizarre delusional ideation and cognitive perseveration in schizophrenia.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(4-B), 1853–1853.</w:t>
      </w:r>
    </w:p>
    <w:p w14:paraId="26C073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S. H., Kwon, J. S., Shin, Y.-W., Lee, K. J., Kim, Y. Y., &amp; Kim, M.-S. (2007). Neuropsychological profiles of patients with obsessive-compulsive disorder: Early onset versus late onset.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 30–37. </w:t>
      </w:r>
      <w:hyperlink r:id="rId2617" w:history="1">
        <w:r w:rsidRPr="004C4852">
          <w:rPr>
            <w:rFonts w:ascii="Times New Roman" w:eastAsia="Times New Roman" w:hAnsi="Times New Roman" w:cs="Times New Roman"/>
            <w:color w:val="0000FF"/>
            <w:sz w:val="24"/>
            <w:szCs w:val="24"/>
            <w:u w:val="single"/>
          </w:rPr>
          <w:t>https://doi.org/10.1017/S1355617707070063</w:t>
        </w:r>
      </w:hyperlink>
    </w:p>
    <w:p w14:paraId="4009EE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S. S.-H., Kim, Y., Yun, D. Y., Kim, Y. S., &amp; Jung, H. Y. (2012). Exploration of the associations between neurocognitive function and neuroleptics side effects.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(7), 913–919. </w:t>
      </w:r>
      <w:hyperlink r:id="rId2618" w:history="1">
        <w:r w:rsidRPr="004C4852">
          <w:rPr>
            <w:rFonts w:ascii="Times New Roman" w:eastAsia="Times New Roman" w:hAnsi="Times New Roman" w:cs="Times New Roman"/>
            <w:color w:val="0000FF"/>
            <w:sz w:val="24"/>
            <w:szCs w:val="24"/>
            <w:u w:val="single"/>
          </w:rPr>
          <w:t>https://doi.org/10.1016/j.jpsychires.2012.04.005</w:t>
        </w:r>
      </w:hyperlink>
    </w:p>
    <w:p w14:paraId="581AC9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T. G., Lee, J., Kim, D.-K., Seo, H.-E., Byun, J. C., &amp; Kwon, S. (2013). Potential risk for neuropsychological deficits from subclinical epileptiform discharges in children with benign rolandic epilepsy. </w:t>
      </w:r>
      <w:r w:rsidRPr="004C4852">
        <w:rPr>
          <w:rFonts w:ascii="Times New Roman" w:eastAsia="Times New Roman" w:hAnsi="Times New Roman" w:cs="Times New Roman"/>
          <w:i/>
          <w:iCs/>
          <w:sz w:val="24"/>
          <w:szCs w:val="24"/>
        </w:rPr>
        <w:t>Journal of Pediatric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(2), 89–95.</w:t>
      </w:r>
    </w:p>
    <w:p w14:paraId="16AC23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Hwang, W. J., Lee, T. Y., Shin, W.-G., Kim, M., Kim, J., Lee, J., &amp; Kwon, J. S. (2019). Global and specific profiles of executive functioning in prodromal and early psychosis.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619" w:history="1">
        <w:r w:rsidRPr="004C4852">
          <w:rPr>
            <w:rFonts w:ascii="Times New Roman" w:eastAsia="Times New Roman" w:hAnsi="Times New Roman" w:cs="Times New Roman"/>
            <w:color w:val="0000FF"/>
            <w:sz w:val="24"/>
            <w:szCs w:val="24"/>
            <w:u w:val="single"/>
          </w:rPr>
          <w:t>https://doi.org/10.3389/fpsyt.2019.00356</w:t>
        </w:r>
      </w:hyperlink>
    </w:p>
    <w:p w14:paraId="64D5AF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Hyde, T. M., Deep-Soboslay, A., Iglesias, B., Callicott, J. H., Gold, J. M., Meyer-Lindenberg, A., Honea, R. A., Bigelow, L. B., Egan, M. F., Emsellem, E. M., &amp; Weinberger, D. R. (2008). Enuresis as a premorbid developmental marker of schizophrenia.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131</w:t>
      </w:r>
      <w:r w:rsidRPr="004C4852">
        <w:rPr>
          <w:rFonts w:ascii="Times New Roman" w:eastAsia="Times New Roman" w:hAnsi="Times New Roman" w:cs="Times New Roman"/>
          <w:sz w:val="24"/>
          <w:szCs w:val="24"/>
        </w:rPr>
        <w:t xml:space="preserve">(9), 2489–2498. </w:t>
      </w:r>
      <w:hyperlink r:id="rId2620" w:history="1">
        <w:r w:rsidRPr="004C4852">
          <w:rPr>
            <w:rFonts w:ascii="Times New Roman" w:eastAsia="Times New Roman" w:hAnsi="Times New Roman" w:cs="Times New Roman"/>
            <w:color w:val="0000FF"/>
            <w:sz w:val="24"/>
            <w:szCs w:val="24"/>
            <w:u w:val="single"/>
          </w:rPr>
          <w:t>https://doi.org/10.1093/brain/awn167</w:t>
        </w:r>
      </w:hyperlink>
    </w:p>
    <w:p w14:paraId="74BBBA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Hyman, S. L., Gill, D. S., Shores, E. A., Steinberg, A., Joy, P., Gibikote, S. V., &amp; North, K. N. (2003). Natural history of cognitive deficits and their relationship to MRI T2-hyperintensities in NF1.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(7), 1139–1145. </w:t>
      </w:r>
      <w:hyperlink r:id="rId2621" w:history="1">
        <w:r w:rsidRPr="004C4852">
          <w:rPr>
            <w:rFonts w:ascii="Times New Roman" w:eastAsia="Times New Roman" w:hAnsi="Times New Roman" w:cs="Times New Roman"/>
            <w:color w:val="0000FF"/>
            <w:sz w:val="24"/>
            <w:szCs w:val="24"/>
            <w:u w:val="single"/>
          </w:rPr>
          <w:t>https://doi.org/10.1212/01.WNL.0000055090.78351.C1</w:t>
        </w:r>
      </w:hyperlink>
    </w:p>
    <w:p w14:paraId="60FB9A0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Hynes, C. A., &amp; Mar, R. A. (2009). A case study of long-term cognitive and social functioning following a right temporal lobectomy in infancy.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(1), 37–46. </w:t>
      </w:r>
      <w:hyperlink r:id="rId2622" w:history="1">
        <w:r w:rsidRPr="004C4852">
          <w:rPr>
            <w:rFonts w:ascii="Times New Roman" w:eastAsia="Times New Roman" w:hAnsi="Times New Roman" w:cs="Times New Roman"/>
            <w:color w:val="0000FF"/>
            <w:sz w:val="24"/>
            <w:szCs w:val="24"/>
            <w:u w:val="single"/>
          </w:rPr>
          <w:t>https://doi.org/10.1080/13554790802603679</w:t>
        </w:r>
      </w:hyperlink>
    </w:p>
    <w:p w14:paraId="2F51DD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Hyun, G. J., Han, D. H., Lee, Y. S., Kang, K. D., Yoo, S. K., Chung, U.-S., &amp; Renshaw, P. F. (2015). Risk factors associated with online game addiction: A hierarchical model. </w:t>
      </w:r>
      <w:r w:rsidRPr="004C4852">
        <w:rPr>
          <w:rFonts w:ascii="Times New Roman" w:eastAsia="Times New Roman" w:hAnsi="Times New Roman" w:cs="Times New Roman"/>
          <w:i/>
          <w:iCs/>
          <w:sz w:val="24"/>
          <w:szCs w:val="24"/>
        </w:rPr>
        <w:t>Computers in Human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 706–713. </w:t>
      </w:r>
      <w:hyperlink r:id="rId2623" w:history="1">
        <w:r w:rsidRPr="004C4852">
          <w:rPr>
            <w:rFonts w:ascii="Times New Roman" w:eastAsia="Times New Roman" w:hAnsi="Times New Roman" w:cs="Times New Roman"/>
            <w:color w:val="0000FF"/>
            <w:sz w:val="24"/>
            <w:szCs w:val="24"/>
            <w:u w:val="single"/>
          </w:rPr>
          <w:t>https://doi.org/10.1016/j.chb.2015.02.008</w:t>
        </w:r>
      </w:hyperlink>
    </w:p>
    <w:p w14:paraId="72B4362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Iaria, G., Bogod, N., Fox, C. J., &amp; Barton, J. J. S. (2009). Developmental topographical disorientation: Case one.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(1), 30–40. </w:t>
      </w:r>
      <w:hyperlink r:id="rId2624" w:history="1">
        <w:r w:rsidRPr="004C4852">
          <w:rPr>
            <w:rFonts w:ascii="Times New Roman" w:eastAsia="Times New Roman" w:hAnsi="Times New Roman" w:cs="Times New Roman"/>
            <w:color w:val="0000FF"/>
            <w:sz w:val="24"/>
            <w:szCs w:val="24"/>
            <w:u w:val="single"/>
          </w:rPr>
          <w:t>https://doi.org/10.1016/j.neuropsychologia.2008.08.021</w:t>
        </w:r>
      </w:hyperlink>
    </w:p>
    <w:p w14:paraId="068F8E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Iavarone, A., Patruno, M., Galeone, F., Chieffi, S., &amp; Carlomagno, S. (2007). Brief report: Error pattern in an autistic savant calendar calculator. </w:t>
      </w:r>
      <w:r w:rsidRPr="004C4852">
        <w:rPr>
          <w:rFonts w:ascii="Times New Roman" w:eastAsia="Times New Roman" w:hAnsi="Times New Roman" w:cs="Times New Roman"/>
          <w:i/>
          <w:iCs/>
          <w:sz w:val="24"/>
          <w:szCs w:val="24"/>
        </w:rPr>
        <w:t>Journal of Autism and Developmental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775–779. </w:t>
      </w:r>
      <w:hyperlink r:id="rId2625" w:history="1">
        <w:r w:rsidRPr="004C4852">
          <w:rPr>
            <w:rFonts w:ascii="Times New Roman" w:eastAsia="Times New Roman" w:hAnsi="Times New Roman" w:cs="Times New Roman"/>
            <w:color w:val="0000FF"/>
            <w:sz w:val="24"/>
            <w:szCs w:val="24"/>
            <w:u w:val="single"/>
          </w:rPr>
          <w:t>https://doi.org/10.1007/s10803-006-0190-2</w:t>
        </w:r>
      </w:hyperlink>
    </w:p>
    <w:p w14:paraId="4C58C8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Ibañez, A., &amp; Manes, F. (2012). Contextual social cognition and the behavioral variant of frontotemporal dementia.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78</w:t>
      </w:r>
      <w:r w:rsidRPr="004C4852">
        <w:rPr>
          <w:rFonts w:ascii="Times New Roman" w:eastAsia="Times New Roman" w:hAnsi="Times New Roman" w:cs="Times New Roman"/>
          <w:sz w:val="24"/>
          <w:szCs w:val="24"/>
        </w:rPr>
        <w:t xml:space="preserve">(17), 1354–1362. </w:t>
      </w:r>
      <w:hyperlink r:id="rId2626" w:history="1">
        <w:r w:rsidRPr="004C4852">
          <w:rPr>
            <w:rFonts w:ascii="Times New Roman" w:eastAsia="Times New Roman" w:hAnsi="Times New Roman" w:cs="Times New Roman"/>
            <w:color w:val="0000FF"/>
            <w:sz w:val="24"/>
            <w:szCs w:val="24"/>
            <w:u w:val="single"/>
          </w:rPr>
          <w:t>https://doi.org/10.1212/WNL.0b013e3182518375</w:t>
        </w:r>
      </w:hyperlink>
    </w:p>
    <w:p w14:paraId="051DAB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Ibanez-Casas, I., De Portugal, E., Gonzalez, N., McKenney, K. A., Haro, J. M., Usall, J., Perez-Garcia, M., &amp; Cervilla, J. A. (2013). Deficits in executive and memory processes in delusional disorder: A case-control study.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(7). </w:t>
      </w:r>
      <w:hyperlink r:id="rId2627" w:history="1">
        <w:r w:rsidRPr="004C4852">
          <w:rPr>
            <w:rFonts w:ascii="Times New Roman" w:eastAsia="Times New Roman" w:hAnsi="Times New Roman" w:cs="Times New Roman"/>
            <w:color w:val="0000FF"/>
            <w:sz w:val="24"/>
            <w:szCs w:val="24"/>
            <w:u w:val="single"/>
          </w:rPr>
          <w:t>https://doi.org/10.1371/journal.pone.0067341</w:t>
        </w:r>
      </w:hyperlink>
    </w:p>
    <w:p w14:paraId="5E4E43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Icellioglu, S. (2015). Iowa Gambling Test: Normative data and correlation with executive functions. </w:t>
      </w:r>
      <w:r w:rsidRPr="004C4852">
        <w:rPr>
          <w:rFonts w:ascii="Times New Roman" w:eastAsia="Times New Roman" w:hAnsi="Times New Roman" w:cs="Times New Roman"/>
          <w:i/>
          <w:iCs/>
          <w:sz w:val="24"/>
          <w:szCs w:val="24"/>
        </w:rPr>
        <w:t>Düşünen Adam: Journal of Psychiatry and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(3), 222–230. </w:t>
      </w:r>
      <w:hyperlink r:id="rId2628" w:history="1">
        <w:r w:rsidRPr="004C4852">
          <w:rPr>
            <w:rFonts w:ascii="Times New Roman" w:eastAsia="Times New Roman" w:hAnsi="Times New Roman" w:cs="Times New Roman"/>
            <w:color w:val="0000FF"/>
            <w:sz w:val="24"/>
            <w:szCs w:val="24"/>
            <w:u w:val="single"/>
          </w:rPr>
          <w:t>https://doi.org/10.5350/DAJPN2015280305</w:t>
        </w:r>
      </w:hyperlink>
    </w:p>
    <w:p w14:paraId="7B7834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Ichikawa, H., Koyama, S., Ohno, H., Ishihara, K., Nagumo, K., &amp; Kawamura, M. (2008). Writing errors and anosognosia in amyotrophic lateral sclerosis with dementia.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(3), 107–116. </w:t>
      </w:r>
      <w:hyperlink r:id="rId2629" w:history="1">
        <w:r w:rsidRPr="004C4852">
          <w:rPr>
            <w:rFonts w:ascii="Times New Roman" w:eastAsia="Times New Roman" w:hAnsi="Times New Roman" w:cs="Times New Roman"/>
            <w:color w:val="0000FF"/>
            <w:sz w:val="24"/>
            <w:szCs w:val="24"/>
            <w:u w:val="single"/>
          </w:rPr>
          <w:t>https://doi.org/10.1155/2008/814846</w:t>
        </w:r>
      </w:hyperlink>
    </w:p>
    <w:p w14:paraId="4D8D16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Iezzi, T., Duckworth, M. P., Vuong, L. N., Archibald, Y. M., &amp; Klinck, A. (2004). Predictors of neurocognitive performance in chronic pain patients. </w:t>
      </w:r>
      <w:r w:rsidRPr="004C4852">
        <w:rPr>
          <w:rFonts w:ascii="Times New Roman" w:eastAsia="Times New Roman" w:hAnsi="Times New Roman" w:cs="Times New Roman"/>
          <w:i/>
          <w:iCs/>
          <w:sz w:val="24"/>
          <w:szCs w:val="24"/>
        </w:rPr>
        <w:t>International Journal of Behavioral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(1), 56–61. </w:t>
      </w:r>
      <w:hyperlink r:id="rId2630" w:history="1">
        <w:r w:rsidRPr="004C4852">
          <w:rPr>
            <w:rFonts w:ascii="Times New Roman" w:eastAsia="Times New Roman" w:hAnsi="Times New Roman" w:cs="Times New Roman"/>
            <w:color w:val="0000FF"/>
            <w:sz w:val="24"/>
            <w:szCs w:val="24"/>
            <w:u w:val="single"/>
          </w:rPr>
          <w:t>https://doi.org/10.1207/s15327558ijbm1101_7</w:t>
        </w:r>
      </w:hyperlink>
    </w:p>
    <w:p w14:paraId="38A8CB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Ihori, N., Murayama, J., Mimura, M., Miyazawa, Y., &amp; Kawamura, M. (2006). Right unilateral jargonagraphia as a symptom of callosal disconnection.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 28–37. </w:t>
      </w:r>
      <w:hyperlink r:id="rId2631" w:history="1">
        <w:r w:rsidRPr="004C4852">
          <w:rPr>
            <w:rFonts w:ascii="Times New Roman" w:eastAsia="Times New Roman" w:hAnsi="Times New Roman" w:cs="Times New Roman"/>
            <w:color w:val="0000FF"/>
            <w:sz w:val="24"/>
            <w:szCs w:val="24"/>
            <w:u w:val="single"/>
          </w:rPr>
          <w:t>https://doi.org/10.1016/S0010-9452(08)70319-8</w:t>
        </w:r>
      </w:hyperlink>
    </w:p>
    <w:p w14:paraId="3EA1C6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Iida, S., Nakao, T., &amp; Ohira, H. (2011). Implicit attenuation of subsequent emotion by cognitive activity. </w:t>
      </w:r>
      <w:r w:rsidRPr="004C4852">
        <w:rPr>
          <w:rFonts w:ascii="Times New Roman" w:eastAsia="Times New Roman" w:hAnsi="Times New Roman" w:cs="Times New Roman"/>
          <w:i/>
          <w:iCs/>
          <w:sz w:val="24"/>
          <w:szCs w:val="24"/>
        </w:rPr>
        <w:t>Cognitive, Affective &amp; Behavioral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(4), 476–484. </w:t>
      </w:r>
      <w:hyperlink r:id="rId2632" w:history="1">
        <w:r w:rsidRPr="004C4852">
          <w:rPr>
            <w:rFonts w:ascii="Times New Roman" w:eastAsia="Times New Roman" w:hAnsi="Times New Roman" w:cs="Times New Roman"/>
            <w:color w:val="0000FF"/>
            <w:sz w:val="24"/>
            <w:szCs w:val="24"/>
            <w:u w:val="single"/>
          </w:rPr>
          <w:t>https://doi.org/10.3758/s13415-011-0045-y</w:t>
        </w:r>
      </w:hyperlink>
    </w:p>
    <w:p w14:paraId="5F53DD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Iida, S., Nakao, T., Tanabe, H. C., &amp; Ohira, H. (2013). Modulation of emotion by cognitive activity. </w:t>
      </w:r>
      <w:r w:rsidRPr="004C4852">
        <w:rPr>
          <w:rFonts w:ascii="Times New Roman" w:eastAsia="Times New Roman" w:hAnsi="Times New Roman" w:cs="Times New Roman"/>
          <w:i/>
          <w:iCs/>
          <w:sz w:val="24"/>
          <w:szCs w:val="24"/>
        </w:rPr>
        <w:t>Psihologijske Teme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(2), 205–219.</w:t>
      </w:r>
    </w:p>
    <w:p w14:paraId="2F5C682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Iijima, M., Osawa, M., Iwata, M., Miyazaki, A., &amp; Tei, H. (2000). Topographic mapping of P300 and frontal cognitive function in Parkinson’s disease.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(3), 143–148. </w:t>
      </w:r>
      <w:hyperlink r:id="rId2633" w:history="1">
        <w:r w:rsidRPr="004C4852">
          <w:rPr>
            <w:rFonts w:ascii="Times New Roman" w:eastAsia="Times New Roman" w:hAnsi="Times New Roman" w:cs="Times New Roman"/>
            <w:color w:val="0000FF"/>
            <w:sz w:val="24"/>
            <w:szCs w:val="24"/>
            <w:u w:val="single"/>
          </w:rPr>
          <w:t>https://doi.org/10.1155/2000/764795</w:t>
        </w:r>
      </w:hyperlink>
    </w:p>
    <w:p w14:paraId="071449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Iizuka, O., Suzuki, K., &amp; Mori, E. (2007). Severe amnesic syndrome and collecting behavior after surgery for craniopharyngioma.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(2), 126–130. </w:t>
      </w:r>
      <w:hyperlink r:id="rId2634" w:history="1">
        <w:r w:rsidRPr="004C4852">
          <w:rPr>
            <w:rFonts w:ascii="Times New Roman" w:eastAsia="Times New Roman" w:hAnsi="Times New Roman" w:cs="Times New Roman"/>
            <w:color w:val="0000FF"/>
            <w:sz w:val="24"/>
            <w:szCs w:val="24"/>
            <w:u w:val="single"/>
          </w:rPr>
          <w:t>https://doi.org/10.1097/WNN.0b013e31804c6fb8</w:t>
        </w:r>
      </w:hyperlink>
    </w:p>
    <w:p w14:paraId="305883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Ikram, A. (2006). A case study of epilepsy: Neurological assessment and psychological implications for brain deficits. </w:t>
      </w:r>
      <w:r w:rsidRPr="004C4852">
        <w:rPr>
          <w:rFonts w:ascii="Times New Roman" w:eastAsia="Times New Roman" w:hAnsi="Times New Roman" w:cs="Times New Roman"/>
          <w:i/>
          <w:iCs/>
          <w:sz w:val="24"/>
          <w:szCs w:val="24"/>
        </w:rPr>
        <w:t>Pakistan Journal of Social and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(1–2), 81–87.</w:t>
      </w:r>
    </w:p>
    <w:p w14:paraId="4ECA9D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İlhan, R. S., Demirel, H., &amp; Şentürk-Cankorur, V. (2018). Psychosocial functioning in euthymic patients with bipolar disorder type–II and associated clinical and cognitive factors.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(3), 1–9.</w:t>
      </w:r>
    </w:p>
    <w:p w14:paraId="4DF8CAA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Heinimaa, M., Korkeila, J., Svirskis, T., &amp; Salokangas, R. K. R. (2010). Differentiating adolescents at clinical high risk for psychosis from psychotic and non-psychotic patients with the Rorschach.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179</w:t>
      </w:r>
      <w:r w:rsidRPr="004C4852">
        <w:rPr>
          <w:rFonts w:ascii="Times New Roman" w:eastAsia="Times New Roman" w:hAnsi="Times New Roman" w:cs="Times New Roman"/>
          <w:sz w:val="24"/>
          <w:szCs w:val="24"/>
        </w:rPr>
        <w:t xml:space="preserve">(2), 151–156. </w:t>
      </w:r>
      <w:hyperlink r:id="rId2635" w:history="1">
        <w:r w:rsidRPr="004C4852">
          <w:rPr>
            <w:rFonts w:ascii="Times New Roman" w:eastAsia="Times New Roman" w:hAnsi="Times New Roman" w:cs="Times New Roman"/>
            <w:color w:val="0000FF"/>
            <w:sz w:val="24"/>
            <w:szCs w:val="24"/>
            <w:u w:val="single"/>
          </w:rPr>
          <w:t>https://doi.org/10.1016/j.psychres.2009.04.011</w:t>
        </w:r>
      </w:hyperlink>
    </w:p>
    <w:p w14:paraId="5C833FF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Mattlar, C.-E., &amp; Salokangas, R. K. R. (1997). Rorschach findings and neuropsychological comparison of first-episode psychotic depression with first-episode nonpsychotic depression and schizophrenia: A preliminary report. </w:t>
      </w:r>
      <w:r w:rsidRPr="004C4852">
        <w:rPr>
          <w:rFonts w:ascii="Times New Roman" w:eastAsia="Times New Roman" w:hAnsi="Times New Roman" w:cs="Times New Roman"/>
          <w:i/>
          <w:iCs/>
          <w:sz w:val="24"/>
          <w:szCs w:val="24"/>
        </w:rPr>
        <w:t>Rorschachiana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(1), 198–210. </w:t>
      </w:r>
      <w:hyperlink r:id="rId2636" w:history="1">
        <w:r w:rsidRPr="004C4852">
          <w:rPr>
            <w:rFonts w:ascii="Times New Roman" w:eastAsia="Times New Roman" w:hAnsi="Times New Roman" w:cs="Times New Roman"/>
            <w:color w:val="0000FF"/>
            <w:sz w:val="24"/>
            <w:szCs w:val="24"/>
            <w:u w:val="single"/>
          </w:rPr>
          <w:t>https://doi.org/10.1027/1192-5604.22.1.198</w:t>
        </w:r>
      </w:hyperlink>
    </w:p>
    <w:p w14:paraId="32398B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&amp; Salokangas, R. K. R. (2016). The Rorschach Coping Deficit Index as an indicator of neurocognitive dysfunction. </w:t>
      </w:r>
      <w:r w:rsidRPr="004C4852">
        <w:rPr>
          <w:rFonts w:ascii="Times New Roman" w:eastAsia="Times New Roman" w:hAnsi="Times New Roman" w:cs="Times New Roman"/>
          <w:i/>
          <w:iCs/>
          <w:sz w:val="24"/>
          <w:szCs w:val="24"/>
        </w:rPr>
        <w:t>Rorschachiana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(1), 28–40. </w:t>
      </w:r>
      <w:hyperlink r:id="rId2637" w:history="1">
        <w:r w:rsidRPr="004C4852">
          <w:rPr>
            <w:rFonts w:ascii="Times New Roman" w:eastAsia="Times New Roman" w:hAnsi="Times New Roman" w:cs="Times New Roman"/>
            <w:color w:val="0000FF"/>
            <w:sz w:val="24"/>
            <w:szCs w:val="24"/>
            <w:u w:val="single"/>
          </w:rPr>
          <w:t>https://doi.org/10.1027/1192-5604/a000075</w:t>
        </w:r>
      </w:hyperlink>
    </w:p>
    <w:p w14:paraId="64A1AEA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Taiminen, T., Karlsson, H., Lauerma, H., Leinonen, K.-M., Wallenius, E., &amp; Salokangas, R. K. R. (2004). Neuropsychological subtyping of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129</w:t>
      </w:r>
      <w:r w:rsidRPr="004C4852">
        <w:rPr>
          <w:rFonts w:ascii="Times New Roman" w:eastAsia="Times New Roman" w:hAnsi="Times New Roman" w:cs="Times New Roman"/>
          <w:sz w:val="24"/>
          <w:szCs w:val="24"/>
        </w:rPr>
        <w:t xml:space="preserve">(2), 191–199. </w:t>
      </w:r>
      <w:hyperlink r:id="rId2638" w:history="1">
        <w:r w:rsidRPr="004C4852">
          <w:rPr>
            <w:rFonts w:ascii="Times New Roman" w:eastAsia="Times New Roman" w:hAnsi="Times New Roman" w:cs="Times New Roman"/>
            <w:color w:val="0000FF"/>
            <w:sz w:val="24"/>
            <w:szCs w:val="24"/>
            <w:u w:val="single"/>
          </w:rPr>
          <w:t>https://doi.org/10.1016/j.psychres.2003.08.017</w:t>
        </w:r>
      </w:hyperlink>
    </w:p>
    <w:p w14:paraId="29B671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Taiminen, T., Karlsson, H., Lauerma, H., Tuimala, P., Leinonen, K.-M., Wallenius, E., &amp; Salokangas, R. K. R. (2000). Impaired Wisconsin Card Sorting Test performance in first-episode severe depression. </w:t>
      </w:r>
      <w:r w:rsidRPr="004C4852">
        <w:rPr>
          <w:rFonts w:ascii="Times New Roman" w:eastAsia="Times New Roman" w:hAnsi="Times New Roman" w:cs="Times New Roman"/>
          <w:i/>
          <w:iCs/>
          <w:sz w:val="24"/>
          <w:szCs w:val="24"/>
        </w:rPr>
        <w:t>Nordic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(4), 275–280. </w:t>
      </w:r>
      <w:hyperlink r:id="rId2639" w:history="1">
        <w:r w:rsidRPr="004C4852">
          <w:rPr>
            <w:rFonts w:ascii="Times New Roman" w:eastAsia="Times New Roman" w:hAnsi="Times New Roman" w:cs="Times New Roman"/>
            <w:color w:val="0000FF"/>
            <w:sz w:val="24"/>
            <w:szCs w:val="24"/>
            <w:u w:val="single"/>
          </w:rPr>
          <w:t>https://doi.org/10.1080/080394800448156</w:t>
        </w:r>
      </w:hyperlink>
    </w:p>
    <w:p w14:paraId="57234E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Ilonen, T., Taiminen, T., Lauerma, H., Karlsson, H., Helenius, H. Y. M., Tuimala, P., Leinonen, K.-M., Wallenius, E., &amp; Salokangas, R. K. R. (2000). Impaired Wisconsin Card Sorting Test performance in first-episode schizophrenia: Resource or motivation deficit?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(5), 385–391. </w:t>
      </w:r>
      <w:hyperlink r:id="rId2640" w:history="1">
        <w:r w:rsidRPr="004C4852">
          <w:rPr>
            <w:rFonts w:ascii="Times New Roman" w:eastAsia="Times New Roman" w:hAnsi="Times New Roman" w:cs="Times New Roman"/>
            <w:color w:val="0000FF"/>
            <w:sz w:val="24"/>
            <w:szCs w:val="24"/>
            <w:u w:val="single"/>
          </w:rPr>
          <w:t>https://doi.org/10.1053/comp.2000.9017</w:t>
        </w:r>
      </w:hyperlink>
    </w:p>
    <w:p w14:paraId="007F1C8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Inanli, I. Ç., &amp; Eren, I. (2006). Olanzapinin şizofreni hastalarinda bilişsel işlevlere olan etkisi. [The effect of olanzapine on cognitive functions of patients with schizophrenia.]. </w:t>
      </w:r>
      <w:r w:rsidRPr="004C4852">
        <w:rPr>
          <w:rFonts w:ascii="Times New Roman" w:eastAsia="Times New Roman" w:hAnsi="Times New Roman" w:cs="Times New Roman"/>
          <w:i/>
          <w:iCs/>
          <w:sz w:val="24"/>
          <w:szCs w:val="24"/>
        </w:rPr>
        <w:t>Klinik Psikofarmakoloji Bülteni / Bulletin of Clinical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(4), 213–222.</w:t>
      </w:r>
    </w:p>
    <w:p w14:paraId="2776A1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Inayama, Y., Mizuno, T., Toyoda, H., Hidari, M., Nakashima, M., Tokunaga, Y., &amp; Kidogami, Y. (1997). Assessment of frontal lobe function and memory in mild schizophrenia using the Positive and Negative Syndrome Scale. [Assessment of frontal lobe function and memory in mild schizophrenia using the Positive and Negative Syndrome Scale.].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(9), 975–977.</w:t>
      </w:r>
    </w:p>
    <w:p w14:paraId="0D25C8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Inda-Caro, M., Lemos-Giraldez, S., Paino-Pineiro, M., Besteiro-Gonzalez, E., Alonso-Rionda, J. L., &amp; Bobes-Garcia, J. (2006). Dimensions of personality disorders and neurophysiological correlates. </w:t>
      </w:r>
      <w:r w:rsidRPr="004C4852">
        <w:rPr>
          <w:rFonts w:ascii="Times New Roman" w:eastAsia="Times New Roman" w:hAnsi="Times New Roman" w:cs="Times New Roman"/>
          <w:i/>
          <w:iCs/>
          <w:sz w:val="24"/>
          <w:szCs w:val="24"/>
        </w:rPr>
        <w:t>Actas Españolas de Psiquiatría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(3), 175–184.</w:t>
      </w:r>
    </w:p>
    <w:p w14:paraId="7D90CE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(2008). Mild head injury case from a treating neuropsychologist. In </w:t>
      </w:r>
      <w:r w:rsidRPr="004C4852">
        <w:rPr>
          <w:rFonts w:ascii="Times New Roman" w:eastAsia="Times New Roman" w:hAnsi="Times New Roman" w:cs="Times New Roman"/>
          <w:i/>
          <w:iCs/>
          <w:sz w:val="24"/>
          <w:szCs w:val="24"/>
        </w:rPr>
        <w:t>Neuropsychology in the courtroom: Expert analysis of reports and testimony.</w:t>
      </w:r>
      <w:r w:rsidRPr="004C4852">
        <w:rPr>
          <w:rFonts w:ascii="Times New Roman" w:eastAsia="Times New Roman" w:hAnsi="Times New Roman" w:cs="Times New Roman"/>
          <w:sz w:val="24"/>
          <w:szCs w:val="24"/>
        </w:rPr>
        <w:t xml:space="preserve"> (pp. 117–128). Guilford Press.</w:t>
      </w:r>
    </w:p>
    <w:p w14:paraId="375112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(2011a). Abstracts.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(6), 470–567.</w:t>
      </w:r>
    </w:p>
    <w:p w14:paraId="3C31A4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(2011b). L-lysine in conjunction with normal medication may reduce the severity of symptoms in patients with schizophrenia. </w:t>
      </w:r>
      <w:r w:rsidRPr="004C4852">
        <w:rPr>
          <w:rFonts w:ascii="Times New Roman" w:eastAsia="Times New Roman" w:hAnsi="Times New Roman" w:cs="Times New Roman"/>
          <w:i/>
          <w:iCs/>
          <w:sz w:val="24"/>
          <w:szCs w:val="24"/>
        </w:rPr>
        <w:t>Expert Review of Neurotherapeutics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(6), 780–780.</w:t>
      </w:r>
    </w:p>
    <w:p w14:paraId="5775306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(2011c). Saturday abstracts.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69</w:t>
      </w:r>
      <w:r w:rsidRPr="004C4852">
        <w:rPr>
          <w:rFonts w:ascii="Times New Roman" w:eastAsia="Times New Roman" w:hAnsi="Times New Roman" w:cs="Times New Roman"/>
          <w:sz w:val="24"/>
          <w:szCs w:val="24"/>
        </w:rPr>
        <w:t xml:space="preserve">(9, Suppl), 193–290. </w:t>
      </w:r>
      <w:hyperlink r:id="rId2641" w:history="1">
        <w:r w:rsidRPr="004C4852">
          <w:rPr>
            <w:rFonts w:ascii="Times New Roman" w:eastAsia="Times New Roman" w:hAnsi="Times New Roman" w:cs="Times New Roman"/>
            <w:color w:val="0000FF"/>
            <w:sz w:val="24"/>
            <w:szCs w:val="24"/>
            <w:u w:val="single"/>
          </w:rPr>
          <w:t>https://doi.org/10.1016/j.biopsych.2011.03.032</w:t>
        </w:r>
      </w:hyperlink>
    </w:p>
    <w:p w14:paraId="45CF1D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(2012a). Abstract collection from The 2012 International Neuropsychological Society Mid-Year Meeting/11th Nordic Meeting in Neuropsychology.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(Suppl 2), 1–107.</w:t>
      </w:r>
    </w:p>
    <w:p w14:paraId="35BD3C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(2012b). Abstracts from the proceedings of the 16th World Congress of Psychophysiology of the International Organization of Psychophysiology (IOP), Pisa, Italy, September 13-17, 2012. </w:t>
      </w:r>
      <w:r w:rsidRPr="004C4852">
        <w:rPr>
          <w:rFonts w:ascii="Times New Roman" w:eastAsia="Times New Roman" w:hAnsi="Times New Roman" w:cs="Times New Roman"/>
          <w:i/>
          <w:iCs/>
          <w:sz w:val="24"/>
          <w:szCs w:val="24"/>
        </w:rPr>
        <w:t>International 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(3), 279–284.</w:t>
      </w:r>
    </w:p>
    <w:p w14:paraId="37D3A8B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(2012c). Abstracts from the Society of Biological Psychiatry 2012 annual meeting.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(8, Suppl), 1S-106S. </w:t>
      </w:r>
      <w:hyperlink r:id="rId2642" w:history="1">
        <w:r w:rsidRPr="004C4852">
          <w:rPr>
            <w:rFonts w:ascii="Times New Roman" w:eastAsia="Times New Roman" w:hAnsi="Times New Roman" w:cs="Times New Roman"/>
            <w:color w:val="0000FF"/>
            <w:sz w:val="24"/>
            <w:szCs w:val="24"/>
            <w:u w:val="single"/>
          </w:rPr>
          <w:t>https://doi.org/10.1016/j.biopsych.2012.02.012</w:t>
        </w:r>
      </w:hyperlink>
    </w:p>
    <w:p w14:paraId="4DFD7A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(2012d). Abstracts of the 16th Congress of the EFNS, Stockholm, Sweden, 2012.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(Suppl 1), 1–21. </w:t>
      </w:r>
      <w:hyperlink r:id="rId2643" w:history="1">
        <w:r w:rsidRPr="004C4852">
          <w:rPr>
            <w:rFonts w:ascii="Times New Roman" w:eastAsia="Times New Roman" w:hAnsi="Times New Roman" w:cs="Times New Roman"/>
            <w:color w:val="0000FF"/>
            <w:sz w:val="24"/>
            <w:szCs w:val="24"/>
            <w:u w:val="single"/>
          </w:rPr>
          <w:t>https://doi.org/10.1111/j.1468-1331.2012.03886.x</w:t>
        </w:r>
      </w:hyperlink>
    </w:p>
    <w:p w14:paraId="104DCB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(2012e). Accepted abstracts from the International Brain Injury Association’s Ninth World Congress on Brain Injury.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(4–5), 309–799. </w:t>
      </w:r>
      <w:hyperlink r:id="rId2644" w:history="1">
        <w:r w:rsidRPr="004C4852">
          <w:rPr>
            <w:rFonts w:ascii="Times New Roman" w:eastAsia="Times New Roman" w:hAnsi="Times New Roman" w:cs="Times New Roman"/>
            <w:color w:val="0000FF"/>
            <w:sz w:val="24"/>
            <w:szCs w:val="24"/>
            <w:u w:val="single"/>
          </w:rPr>
          <w:t>https://doi.org/10.3109/02699052.2012.660091</w:t>
        </w:r>
      </w:hyperlink>
    </w:p>
    <w:p w14:paraId="138531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(2012f). Abstracts for the AACN scientific poster session.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(3), 386–472. </w:t>
      </w:r>
      <w:hyperlink r:id="rId2645" w:history="1">
        <w:r w:rsidRPr="004C4852">
          <w:rPr>
            <w:rFonts w:ascii="Times New Roman" w:eastAsia="Times New Roman" w:hAnsi="Times New Roman" w:cs="Times New Roman"/>
            <w:color w:val="0000FF"/>
            <w:sz w:val="24"/>
            <w:szCs w:val="24"/>
            <w:u w:val="single"/>
          </w:rPr>
          <w:t>https://doi.org/10.1080/13854046.2012.681581</w:t>
        </w:r>
      </w:hyperlink>
    </w:p>
    <w:p w14:paraId="77C38F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(2013a). 4th European Conference on Schizophrenia Research: Together for better treatment and care: Abstracts.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263</w:t>
      </w:r>
      <w:r w:rsidRPr="004C4852">
        <w:rPr>
          <w:rFonts w:ascii="Times New Roman" w:eastAsia="Times New Roman" w:hAnsi="Times New Roman" w:cs="Times New Roman"/>
          <w:sz w:val="24"/>
          <w:szCs w:val="24"/>
        </w:rPr>
        <w:t xml:space="preserve">(Suppl 1), S7–S111. </w:t>
      </w:r>
      <w:hyperlink r:id="rId2646" w:history="1">
        <w:r w:rsidRPr="004C4852">
          <w:rPr>
            <w:rFonts w:ascii="Times New Roman" w:eastAsia="Times New Roman" w:hAnsi="Times New Roman" w:cs="Times New Roman"/>
            <w:color w:val="0000FF"/>
            <w:sz w:val="24"/>
            <w:szCs w:val="24"/>
            <w:u w:val="single"/>
          </w:rPr>
          <w:t>https://doi.org/10.1007/s00406-013-0433-0</w:t>
        </w:r>
      </w:hyperlink>
    </w:p>
    <w:p w14:paraId="245C96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(2013b). Abstract collection.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(Suppl 1), 226–297.</w:t>
      </w:r>
    </w:p>
    <w:p w14:paraId="0F0567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(2013c). Abstract issue of archives of clinical neuropsychology.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(6), 513–513. </w:t>
      </w:r>
      <w:hyperlink r:id="rId2647" w:history="1">
        <w:r w:rsidRPr="004C4852">
          <w:rPr>
            <w:rFonts w:ascii="Times New Roman" w:eastAsia="Times New Roman" w:hAnsi="Times New Roman" w:cs="Times New Roman"/>
            <w:color w:val="0000FF"/>
            <w:sz w:val="24"/>
            <w:szCs w:val="24"/>
            <w:u w:val="single"/>
          </w:rPr>
          <w:t>https://doi.org/10.1093/arclin/act067</w:t>
        </w:r>
      </w:hyperlink>
    </w:p>
    <w:p w14:paraId="5D5578D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(2013d). Abstracts for the 14th International Congress on Schizophrenia Research (ICOSR).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(Suppl 1), S1–S358. </w:t>
      </w:r>
      <w:hyperlink r:id="rId2648" w:history="1">
        <w:r w:rsidRPr="004C4852">
          <w:rPr>
            <w:rFonts w:ascii="Times New Roman" w:eastAsia="Times New Roman" w:hAnsi="Times New Roman" w:cs="Times New Roman"/>
            <w:color w:val="0000FF"/>
            <w:sz w:val="24"/>
            <w:szCs w:val="24"/>
            <w:u w:val="single"/>
          </w:rPr>
          <w:t>https://doi.org/10.1093/schbul/sbt011</w:t>
        </w:r>
      </w:hyperlink>
    </w:p>
    <w:p w14:paraId="330A35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(2013e). Abstracts from the 31st annual National Neurotrauma Symposium—Neurotrauma 2013—August 4-7, 2013, Nashville, Tennessee. </w:t>
      </w:r>
      <w:r w:rsidRPr="004C4852">
        <w:rPr>
          <w:rFonts w:ascii="Times New Roman" w:eastAsia="Times New Roman" w:hAnsi="Times New Roman" w:cs="Times New Roman"/>
          <w:i/>
          <w:iCs/>
          <w:sz w:val="24"/>
          <w:szCs w:val="24"/>
        </w:rPr>
        <w:t>Journal of Neurotrauma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(15), A1–A183.</w:t>
      </w:r>
    </w:p>
    <w:p w14:paraId="29A64A4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(2013f). Abstracts from the 2013 Annual Scientific Meeting of the American Psychosomatic Society. </w:t>
      </w:r>
      <w:r w:rsidRPr="004C4852">
        <w:rPr>
          <w:rFonts w:ascii="Times New Roman" w:eastAsia="Times New Roman" w:hAnsi="Times New Roman" w:cs="Times New Roman"/>
          <w:i/>
          <w:iCs/>
          <w:sz w:val="24"/>
          <w:szCs w:val="24"/>
        </w:rPr>
        <w:t>Psychosomatic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(3), No Pagination Specified-No Pagination Specified.</w:t>
      </w:r>
    </w:p>
    <w:p w14:paraId="6B7D2E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(2013g). Abstracts from the joint meeting of the FESN (Federation of the European Societies of Neuropsychology)/GNP (Gesellschaft für Neuropsychologie) September 12–14, 2013 Berlin, Germany.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297–461. </w:t>
      </w:r>
      <w:hyperlink r:id="rId2649" w:history="1">
        <w:r w:rsidRPr="004C4852">
          <w:rPr>
            <w:rFonts w:ascii="Times New Roman" w:eastAsia="Times New Roman" w:hAnsi="Times New Roman" w:cs="Times New Roman"/>
            <w:color w:val="0000FF"/>
            <w:sz w:val="24"/>
            <w:szCs w:val="24"/>
            <w:u w:val="single"/>
          </w:rPr>
          <w:t>https://doi.org/10.1155/2013/976782</w:t>
        </w:r>
      </w:hyperlink>
    </w:p>
    <w:p w14:paraId="3C76B61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(2013h). Abstracts of the International Conference “Aging &amp; Cognition”: Dortmund, Germany, April 25–27, 2013. </w:t>
      </w:r>
      <w:r w:rsidRPr="004C4852">
        <w:rPr>
          <w:rFonts w:ascii="Times New Roman" w:eastAsia="Times New Roman" w:hAnsi="Times New Roman" w:cs="Times New Roman"/>
          <w:i/>
          <w:iCs/>
          <w:sz w:val="24"/>
          <w:szCs w:val="24"/>
        </w:rPr>
        <w:t>Journal of 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(Suppl 1), 9–75. </w:t>
      </w:r>
      <w:hyperlink r:id="rId2650" w:history="1">
        <w:r w:rsidRPr="004C4852">
          <w:rPr>
            <w:rFonts w:ascii="Times New Roman" w:eastAsia="Times New Roman" w:hAnsi="Times New Roman" w:cs="Times New Roman"/>
            <w:color w:val="0000FF"/>
            <w:sz w:val="24"/>
            <w:szCs w:val="24"/>
            <w:u w:val="single"/>
          </w:rPr>
          <w:t>https://doi.org/10.1027/0269-8803/a000095</w:t>
        </w:r>
      </w:hyperlink>
    </w:p>
    <w:p w14:paraId="313387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(2013i). Conference program and abstracts of the 10th annual conference of the special interest group in neuropsychological rehabilitation of the World Federation for NeuroRehabilitation (WFNR) 8-9 July, 2013, Maastricht, The Netherlands—Organising committees. </w:t>
      </w:r>
      <w:r w:rsidRPr="004C4852">
        <w:rPr>
          <w:rFonts w:ascii="Times New Roman" w:eastAsia="Times New Roman" w:hAnsi="Times New Roman" w:cs="Times New Roman"/>
          <w:i/>
          <w:iCs/>
          <w:sz w:val="24"/>
          <w:szCs w:val="24"/>
        </w:rPr>
        <w:t>Brain Impairment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(2), 281–379. </w:t>
      </w:r>
      <w:hyperlink r:id="rId2651" w:history="1">
        <w:r w:rsidRPr="004C4852">
          <w:rPr>
            <w:rFonts w:ascii="Times New Roman" w:eastAsia="Times New Roman" w:hAnsi="Times New Roman" w:cs="Times New Roman"/>
            <w:color w:val="0000FF"/>
            <w:sz w:val="24"/>
            <w:szCs w:val="24"/>
            <w:u w:val="single"/>
          </w:rPr>
          <w:t>https://doi.org/10.1017/BrImp.2013.22</w:t>
        </w:r>
      </w:hyperlink>
    </w:p>
    <w:p w14:paraId="20CF59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(2014a). Friday abstracts.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 xml:space="preserve">(9, Suppl), S135–S274. </w:t>
      </w:r>
      <w:hyperlink r:id="rId2652" w:history="1">
        <w:r w:rsidRPr="004C4852">
          <w:rPr>
            <w:rFonts w:ascii="Times New Roman" w:eastAsia="Times New Roman" w:hAnsi="Times New Roman" w:cs="Times New Roman"/>
            <w:color w:val="0000FF"/>
            <w:sz w:val="24"/>
            <w:szCs w:val="24"/>
            <w:u w:val="single"/>
          </w:rPr>
          <w:t>https://doi.org/10.1016/j.biopsych.2014.03.015</w:t>
        </w:r>
      </w:hyperlink>
    </w:p>
    <w:p w14:paraId="4DBAB3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indicated, N. authorship. (2014b). Thursday abstracts.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75</w:t>
      </w:r>
      <w:r w:rsidRPr="004C4852">
        <w:rPr>
          <w:rFonts w:ascii="Times New Roman" w:eastAsia="Times New Roman" w:hAnsi="Times New Roman" w:cs="Times New Roman"/>
          <w:sz w:val="24"/>
          <w:szCs w:val="24"/>
        </w:rPr>
        <w:t xml:space="preserve">(9, Suppl), S1–S134. </w:t>
      </w:r>
      <w:hyperlink r:id="rId2653" w:history="1">
        <w:r w:rsidRPr="004C4852">
          <w:rPr>
            <w:rFonts w:ascii="Times New Roman" w:eastAsia="Times New Roman" w:hAnsi="Times New Roman" w:cs="Times New Roman"/>
            <w:color w:val="0000FF"/>
            <w:sz w:val="24"/>
            <w:szCs w:val="24"/>
            <w:u w:val="single"/>
          </w:rPr>
          <w:t>https://doi.org/10.1016/j.biopsych.2014.03.014</w:t>
        </w:r>
      </w:hyperlink>
    </w:p>
    <w:p w14:paraId="0E8A77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Ingersoll, B., &amp; Wainer, A. (2014). The broader autism phenotype. In </w:t>
      </w:r>
      <w:r w:rsidRPr="004C4852">
        <w:rPr>
          <w:rFonts w:ascii="Times New Roman" w:eastAsia="Times New Roman" w:hAnsi="Times New Roman" w:cs="Times New Roman"/>
          <w:i/>
          <w:iCs/>
          <w:sz w:val="24"/>
          <w:szCs w:val="24"/>
        </w:rPr>
        <w:t>Handbook of autism and pervasive developmental disorders: Diagnosis, development, and brain mechanisms, Volume 1, 4th ed.</w:t>
      </w:r>
      <w:r w:rsidRPr="004C4852">
        <w:rPr>
          <w:rFonts w:ascii="Times New Roman" w:eastAsia="Times New Roman" w:hAnsi="Times New Roman" w:cs="Times New Roman"/>
          <w:sz w:val="24"/>
          <w:szCs w:val="24"/>
        </w:rPr>
        <w:t xml:space="preserve"> (pp. 28–56). John Wiley &amp; Sons Inc. </w:t>
      </w:r>
      <w:hyperlink r:id="rId2654" w:history="1">
        <w:r w:rsidRPr="004C4852">
          <w:rPr>
            <w:rFonts w:ascii="Times New Roman" w:eastAsia="Times New Roman" w:hAnsi="Times New Roman" w:cs="Times New Roman"/>
            <w:color w:val="0000FF"/>
            <w:sz w:val="24"/>
            <w:szCs w:val="24"/>
            <w:u w:val="single"/>
          </w:rPr>
          <w:t>https://doi.org/10.1002/9781118911389.hautc02</w:t>
        </w:r>
      </w:hyperlink>
    </w:p>
    <w:p w14:paraId="712258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Ingles, J. L., Fisk, J. D., Fleetwood, I., Burrell, S., &amp; Darvesh, S. (2014). Peripheral dysgraphia: Dissociations of lowercase from uppercase letters and of print from cursive writing.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(1), 31–47. </w:t>
      </w:r>
      <w:hyperlink r:id="rId2655" w:history="1">
        <w:r w:rsidRPr="004C4852">
          <w:rPr>
            <w:rFonts w:ascii="Times New Roman" w:eastAsia="Times New Roman" w:hAnsi="Times New Roman" w:cs="Times New Roman"/>
            <w:color w:val="0000FF"/>
            <w:sz w:val="24"/>
            <w:szCs w:val="24"/>
            <w:u w:val="single"/>
          </w:rPr>
          <w:t>https://doi.org/10.1097/WNN.0000000000000022</w:t>
        </w:r>
      </w:hyperlink>
    </w:p>
    <w:p w14:paraId="4DB290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Ingles, J. L., Fisk, J. D., Passmore, M., &amp; Darvesh, S. (2007). Progressive anomia without semantic or phonological impairment.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(4), 558–564. </w:t>
      </w:r>
      <w:hyperlink r:id="rId2656" w:history="1">
        <w:r w:rsidRPr="004C4852">
          <w:rPr>
            <w:rFonts w:ascii="Times New Roman" w:eastAsia="Times New Roman" w:hAnsi="Times New Roman" w:cs="Times New Roman"/>
            <w:color w:val="0000FF"/>
            <w:sz w:val="24"/>
            <w:szCs w:val="24"/>
            <w:u w:val="single"/>
          </w:rPr>
          <w:t>https://doi.org/10.1016/S0010-9452(08)70250-8</w:t>
        </w:r>
      </w:hyperlink>
    </w:p>
    <w:p w14:paraId="567032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Innamorati, M., Pompili, M., Serafini, G., &amp; Lester, D. (2012). The prefrontal cortex and suicide. In </w:t>
      </w:r>
      <w:r w:rsidRPr="004C4852">
        <w:rPr>
          <w:rFonts w:ascii="Times New Roman" w:eastAsia="Times New Roman" w:hAnsi="Times New Roman" w:cs="Times New Roman"/>
          <w:i/>
          <w:iCs/>
          <w:sz w:val="24"/>
          <w:szCs w:val="24"/>
        </w:rPr>
        <w:t>Suicide from a global perspective: Psychiatric approaches.</w:t>
      </w:r>
      <w:r w:rsidRPr="004C4852">
        <w:rPr>
          <w:rFonts w:ascii="Times New Roman" w:eastAsia="Times New Roman" w:hAnsi="Times New Roman" w:cs="Times New Roman"/>
          <w:sz w:val="24"/>
          <w:szCs w:val="24"/>
        </w:rPr>
        <w:t xml:space="preserve"> (pp. 51–56). Nova Science Publishers.</w:t>
      </w:r>
    </w:p>
    <w:p w14:paraId="296002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Inozemtseva, O., Pérez-Solís, L., Matute, E., &amp; Juárez, J. (2016). Differential improvement of executive functions during abstinence in cocaine-dependent patients: A longitudinal study. </w:t>
      </w:r>
      <w:r w:rsidRPr="004C4852">
        <w:rPr>
          <w:rFonts w:ascii="Times New Roman" w:eastAsia="Times New Roman" w:hAnsi="Times New Roman" w:cs="Times New Roman"/>
          <w:i/>
          <w:iCs/>
          <w:sz w:val="24"/>
          <w:szCs w:val="24"/>
        </w:rPr>
        <w:t>Substance Use &amp; Misuse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(11), 1428–1440. </w:t>
      </w:r>
      <w:hyperlink r:id="rId2657" w:history="1">
        <w:r w:rsidRPr="004C4852">
          <w:rPr>
            <w:rFonts w:ascii="Times New Roman" w:eastAsia="Times New Roman" w:hAnsi="Times New Roman" w:cs="Times New Roman"/>
            <w:color w:val="0000FF"/>
            <w:sz w:val="24"/>
            <w:szCs w:val="24"/>
            <w:u w:val="single"/>
          </w:rPr>
          <w:t>https://doi.org/10.1080/10826084.2016.1178293</w:t>
        </w:r>
      </w:hyperlink>
    </w:p>
    <w:p w14:paraId="6348E6A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Insausti, R., Annese, J., Amaral, D. G., &amp; Squire, L. R. (2013). Human amnesia and the medial temporal lobe illuminated by neuropsychological and neurohistological findings for patient E.P. </w:t>
      </w:r>
      <w:r w:rsidRPr="004C4852">
        <w:rPr>
          <w:rFonts w:ascii="Times New Roman" w:eastAsia="Times New Roman" w:hAnsi="Times New Roman" w:cs="Times New Roman"/>
          <w:i/>
          <w:iCs/>
          <w:sz w:val="24"/>
          <w:szCs w:val="24"/>
        </w:rPr>
        <w:t>PNAS Proceedings of the National Academy of Sciences of the United States of America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(21), E1953–E1962. </w:t>
      </w:r>
      <w:hyperlink r:id="rId2658" w:history="1">
        <w:r w:rsidRPr="004C4852">
          <w:rPr>
            <w:rFonts w:ascii="Times New Roman" w:eastAsia="Times New Roman" w:hAnsi="Times New Roman" w:cs="Times New Roman"/>
            <w:color w:val="0000FF"/>
            <w:sz w:val="24"/>
            <w:szCs w:val="24"/>
            <w:u w:val="single"/>
          </w:rPr>
          <w:t>https://doi.org/10.1073/pnas.1306244110</w:t>
        </w:r>
      </w:hyperlink>
    </w:p>
    <w:p w14:paraId="7EC4BE0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Insel, K., Morrow, D., Brewer, B., &amp; Figueredo, A. (2006). Executive Function, Working Memory, and Medication Adherence Among Older Adults. </w:t>
      </w:r>
      <w:r w:rsidRPr="004C4852">
        <w:rPr>
          <w:rFonts w:ascii="Times New Roman" w:eastAsia="Times New Roman" w:hAnsi="Times New Roman" w:cs="Times New Roman"/>
          <w:i/>
          <w:iCs/>
          <w:sz w:val="24"/>
          <w:szCs w:val="24"/>
        </w:rPr>
        <w:t>The Journals of Gerontology: Series B: Psychological Sciences and Social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(2), P102–P107. </w:t>
      </w:r>
      <w:hyperlink r:id="rId2659" w:history="1">
        <w:r w:rsidRPr="004C4852">
          <w:rPr>
            <w:rFonts w:ascii="Times New Roman" w:eastAsia="Times New Roman" w:hAnsi="Times New Roman" w:cs="Times New Roman"/>
            <w:color w:val="0000FF"/>
            <w:sz w:val="24"/>
            <w:szCs w:val="24"/>
            <w:u w:val="single"/>
          </w:rPr>
          <w:t>https://doi.org/10.1093/geronb/61.2.P102</w:t>
        </w:r>
      </w:hyperlink>
    </w:p>
    <w:p w14:paraId="5CBBD37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Inzelberg, R., Plotnik, M., Flash, T., Schechtman, E., Shahar, I., &amp; Korczyn, A. D. (2001). Mental and motor switching in Parkinson’s Disease. </w:t>
      </w:r>
      <w:r w:rsidRPr="004C4852">
        <w:rPr>
          <w:rFonts w:ascii="Times New Roman" w:eastAsia="Times New Roman" w:hAnsi="Times New Roman" w:cs="Times New Roman"/>
          <w:i/>
          <w:iCs/>
          <w:sz w:val="24"/>
          <w:szCs w:val="24"/>
        </w:rPr>
        <w:t>Journal of Motor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(4), 377–385. </w:t>
      </w:r>
      <w:hyperlink r:id="rId2660" w:history="1">
        <w:r w:rsidRPr="004C4852">
          <w:rPr>
            <w:rFonts w:ascii="Times New Roman" w:eastAsia="Times New Roman" w:hAnsi="Times New Roman" w:cs="Times New Roman"/>
            <w:color w:val="0000FF"/>
            <w:sz w:val="24"/>
            <w:szCs w:val="24"/>
            <w:u w:val="single"/>
          </w:rPr>
          <w:t>https://doi.org/10.1080/00222890109601921</w:t>
        </w:r>
      </w:hyperlink>
    </w:p>
    <w:p w14:paraId="2CAC2E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Ioannidi, N., Konstantakopoulos, G., Sakkas, D., &amp; Oulis, P. (2015). The relationship of theory of mind with symptoms and cognitive impairment in bipolar disorder: A prospective study. </w:t>
      </w:r>
      <w:r w:rsidRPr="004C4852">
        <w:rPr>
          <w:rFonts w:ascii="Times New Roman" w:eastAsia="Times New Roman" w:hAnsi="Times New Roman" w:cs="Times New Roman"/>
          <w:i/>
          <w:iCs/>
          <w:sz w:val="24"/>
          <w:szCs w:val="24"/>
        </w:rPr>
        <w:t>Psychiatriki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(1), 17–27.</w:t>
      </w:r>
    </w:p>
    <w:p w14:paraId="648106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IOM (Institute of Medicine). (2011). Cognitive rehabilitation therapy for traumatic brain injury: Evaluating the evidence. </w:t>
      </w:r>
      <w:r w:rsidRPr="004C4852">
        <w:rPr>
          <w:rFonts w:ascii="Times New Roman" w:eastAsia="Times New Roman" w:hAnsi="Times New Roman" w:cs="Times New Roman"/>
          <w:i/>
          <w:iCs/>
          <w:sz w:val="24"/>
          <w:szCs w:val="24"/>
        </w:rPr>
        <w:t>Cognitive Rehabilitation Therapy for Traumatic Brain Injury: Evaluating the Evidence.</w:t>
      </w:r>
      <w:r w:rsidRPr="004C4852">
        <w:rPr>
          <w:rFonts w:ascii="Times New Roman" w:eastAsia="Times New Roman" w:hAnsi="Times New Roman" w:cs="Times New Roman"/>
          <w:sz w:val="24"/>
          <w:szCs w:val="24"/>
        </w:rPr>
        <w:t>, xxii, 333–xxii, 333.</w:t>
      </w:r>
    </w:p>
    <w:p w14:paraId="44E304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Iosifescu, D. V., Moore, C. M., Deckersbach, T., Tilley, C. A., Ostacher, M. J., Sachs, G. S., &amp; Nierenberg, A. A. (2009). Galantamine-ER for cognitive dysfunction in bipolar disorder and correlation with hippocampal neuronal viability: A proof-of-concept study. </w:t>
      </w:r>
      <w:r w:rsidRPr="004C4852">
        <w:rPr>
          <w:rFonts w:ascii="Times New Roman" w:eastAsia="Times New Roman" w:hAnsi="Times New Roman" w:cs="Times New Roman"/>
          <w:i/>
          <w:iCs/>
          <w:sz w:val="24"/>
          <w:szCs w:val="24"/>
        </w:rPr>
        <w:t>CNS Neuroscience &amp; Therapeutics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309–319. </w:t>
      </w:r>
      <w:hyperlink r:id="rId2661" w:history="1">
        <w:r w:rsidRPr="004C4852">
          <w:rPr>
            <w:rFonts w:ascii="Times New Roman" w:eastAsia="Times New Roman" w:hAnsi="Times New Roman" w:cs="Times New Roman"/>
            <w:color w:val="0000FF"/>
            <w:sz w:val="24"/>
            <w:szCs w:val="24"/>
            <w:u w:val="single"/>
          </w:rPr>
          <w:t>https://doi.org/10.1111/j.1755-5949.2009.00090.x</w:t>
        </w:r>
      </w:hyperlink>
    </w:p>
    <w:p w14:paraId="54398E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Irak, M., Soylu, C., &amp; Çapan, D. (2014). Wisconsin Kart Eşleme Testi ve olay-ilişkili beyin potansiyelleri arasındaki ilişkiler. [Relationships between Wisconsin Card Sorting Test and event-related brain potentials.]. </w:t>
      </w:r>
      <w:r w:rsidRPr="004C4852">
        <w:rPr>
          <w:rFonts w:ascii="Times New Roman" w:eastAsia="Times New Roman" w:hAnsi="Times New Roman" w:cs="Times New Roman"/>
          <w:i/>
          <w:iCs/>
          <w:sz w:val="24"/>
          <w:szCs w:val="24"/>
        </w:rPr>
        <w:t>Türk Psikoloji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(74), 95–104.</w:t>
      </w:r>
    </w:p>
    <w:p w14:paraId="3F2B9E9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Irani, F., Kalkstein, S., Moberg, E. A., &amp; Moberg, P. J. (2011). Neuropsychological performance in older patients with schizophrenia: A meta-analysis of cross-sectional and longitudinal studies.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(6), 1318–1326. </w:t>
      </w:r>
      <w:hyperlink r:id="rId2662" w:history="1">
        <w:r w:rsidRPr="004C4852">
          <w:rPr>
            <w:rFonts w:ascii="Times New Roman" w:eastAsia="Times New Roman" w:hAnsi="Times New Roman" w:cs="Times New Roman"/>
            <w:color w:val="0000FF"/>
            <w:sz w:val="24"/>
            <w:szCs w:val="24"/>
            <w:u w:val="single"/>
          </w:rPr>
          <w:t>https://doi.org/10.1093/schbul/sbq057</w:t>
        </w:r>
      </w:hyperlink>
    </w:p>
    <w:p w14:paraId="076EDD1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Iria, C., &amp; Barbosa, F. (2007). Disfunções neuropsicológicas em criminosos reincidentes não psicopatas. [Neurological dysfunctions in non-psychopathic relapsing criminals.]. </w:t>
      </w:r>
      <w:r w:rsidRPr="004C4852">
        <w:rPr>
          <w:rFonts w:ascii="Times New Roman" w:eastAsia="Times New Roman" w:hAnsi="Times New Roman" w:cs="Times New Roman"/>
          <w:i/>
          <w:iCs/>
          <w:sz w:val="24"/>
          <w:szCs w:val="24"/>
        </w:rPr>
        <w:t>Psychologica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57–69.</w:t>
      </w:r>
    </w:p>
    <w:p w14:paraId="4323BE7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Irle, E., Exner, C., Thielen, K., Weniger, G., &amp; Rüther, E. (1998). Obsessive-compulsive disorder and ventromedial frontal lesions: Clinical and neuropsychological findings.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155</w:t>
      </w:r>
      <w:r w:rsidRPr="004C4852">
        <w:rPr>
          <w:rFonts w:ascii="Times New Roman" w:eastAsia="Times New Roman" w:hAnsi="Times New Roman" w:cs="Times New Roman"/>
          <w:sz w:val="24"/>
          <w:szCs w:val="24"/>
        </w:rPr>
        <w:t>(2), 255–263.</w:t>
      </w:r>
    </w:p>
    <w:p w14:paraId="4D4E237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Irwing, P., Booth, T., Nyborg, H., &amp; Rushton, J. P. (2012). Are g and the General Factor of Personality (GFP) correlated? </w:t>
      </w:r>
      <w:r w:rsidRPr="004C4852">
        <w:rPr>
          <w:rFonts w:ascii="Times New Roman" w:eastAsia="Times New Roman" w:hAnsi="Times New Roman" w:cs="Times New Roman"/>
          <w:i/>
          <w:iCs/>
          <w:sz w:val="24"/>
          <w:szCs w:val="24"/>
        </w:rPr>
        <w:t>Intelligence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(3), 296–305. </w:t>
      </w:r>
      <w:hyperlink r:id="rId2663" w:history="1">
        <w:r w:rsidRPr="004C4852">
          <w:rPr>
            <w:rFonts w:ascii="Times New Roman" w:eastAsia="Times New Roman" w:hAnsi="Times New Roman" w:cs="Times New Roman"/>
            <w:color w:val="0000FF"/>
            <w:sz w:val="24"/>
            <w:szCs w:val="24"/>
            <w:u w:val="single"/>
          </w:rPr>
          <w:t>https://doi.org/10.1016/j.intell.2012.03.001</w:t>
        </w:r>
      </w:hyperlink>
    </w:p>
    <w:p w14:paraId="49B420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Ishihara, K., Araki, S., Ihori, N., Shiota, J., Kawamura, M., Yoshida, M., Hashizume, Y., &amp; Nakano, I. (2005). Argyrophilic grain disease presenting with frontotemporal dementia: A neuropsychological and pathological study of an autopsied case with presenile onset. </w:t>
      </w:r>
      <w:r w:rsidRPr="004C4852">
        <w:rPr>
          <w:rFonts w:ascii="Times New Roman" w:eastAsia="Times New Roman" w:hAnsi="Times New Roman" w:cs="Times New Roman"/>
          <w:i/>
          <w:iCs/>
          <w:sz w:val="24"/>
          <w:szCs w:val="24"/>
        </w:rPr>
        <w:t>Neuropathology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165–170. </w:t>
      </w:r>
      <w:hyperlink r:id="rId2664" w:history="1">
        <w:r w:rsidRPr="004C4852">
          <w:rPr>
            <w:rFonts w:ascii="Times New Roman" w:eastAsia="Times New Roman" w:hAnsi="Times New Roman" w:cs="Times New Roman"/>
            <w:color w:val="0000FF"/>
            <w:sz w:val="24"/>
            <w:szCs w:val="24"/>
            <w:u w:val="single"/>
          </w:rPr>
          <w:t>https://doi.org/10.1111/j.1440-1789.2005.00598.x</w:t>
        </w:r>
      </w:hyperlink>
    </w:p>
    <w:p w14:paraId="1E4F507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Ishikawa, S. S., Raine, A., Lencz, T., Bihrle, S., &amp; Lacasse, L. (2001). Autonomic stress reactivity and executive functions in successful and unsuccessful criminal psychopaths from the community. </w:t>
      </w:r>
      <w:r w:rsidRPr="004C4852">
        <w:rPr>
          <w:rFonts w:ascii="Times New Roman" w:eastAsia="Times New Roman" w:hAnsi="Times New Roman" w:cs="Times New Roman"/>
          <w:i/>
          <w:iCs/>
          <w:sz w:val="24"/>
          <w:szCs w:val="24"/>
        </w:rPr>
        <w:t>Journal of Abnormal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(3), 423–432. </w:t>
      </w:r>
      <w:hyperlink r:id="rId2665" w:history="1">
        <w:r w:rsidRPr="004C4852">
          <w:rPr>
            <w:rFonts w:ascii="Times New Roman" w:eastAsia="Times New Roman" w:hAnsi="Times New Roman" w:cs="Times New Roman"/>
            <w:color w:val="0000FF"/>
            <w:sz w:val="24"/>
            <w:szCs w:val="24"/>
            <w:u w:val="single"/>
          </w:rPr>
          <w:t>https://doi.org/10.1037/0021-843X.110.3.423</w:t>
        </w:r>
      </w:hyperlink>
    </w:p>
    <w:p w14:paraId="63CE1A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Ishizawa, K. T., Kumano, H., Sato, A., Sakura, H., &amp; Iwamoto, Y. (2010). Decreased response inhibition in middle-aged male patients with type 2 diabetes. </w:t>
      </w:r>
      <w:r w:rsidRPr="004C4852">
        <w:rPr>
          <w:rFonts w:ascii="Times New Roman" w:eastAsia="Times New Roman" w:hAnsi="Times New Roman" w:cs="Times New Roman"/>
          <w:i/>
          <w:iCs/>
          <w:sz w:val="24"/>
          <w:szCs w:val="24"/>
        </w:rPr>
        <w:t>BioPsychoSocial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 xml:space="preserve">. </w:t>
      </w:r>
      <w:hyperlink r:id="rId2666" w:history="1">
        <w:r w:rsidRPr="004C4852">
          <w:rPr>
            <w:rFonts w:ascii="Times New Roman" w:eastAsia="Times New Roman" w:hAnsi="Times New Roman" w:cs="Times New Roman"/>
            <w:color w:val="0000FF"/>
            <w:sz w:val="24"/>
            <w:szCs w:val="24"/>
            <w:u w:val="single"/>
          </w:rPr>
          <w:t>https://doi.org/10.1186/1751-0759-4-1</w:t>
        </w:r>
      </w:hyperlink>
    </w:p>
    <w:p w14:paraId="74EDC26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Isingrini, M., &amp; Vazou, F. (1997). Relation between fluid intelligence and frontal lobe functioning in older adults. </w:t>
      </w:r>
      <w:r w:rsidRPr="004C4852">
        <w:rPr>
          <w:rFonts w:ascii="Times New Roman" w:eastAsia="Times New Roman" w:hAnsi="Times New Roman" w:cs="Times New Roman"/>
          <w:i/>
          <w:iCs/>
          <w:sz w:val="24"/>
          <w:szCs w:val="24"/>
        </w:rPr>
        <w:t>The International Journal of Aging &amp; Human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xml:space="preserve">(2), 99–109. </w:t>
      </w:r>
      <w:hyperlink r:id="rId2667" w:history="1">
        <w:r w:rsidRPr="004C4852">
          <w:rPr>
            <w:rFonts w:ascii="Times New Roman" w:eastAsia="Times New Roman" w:hAnsi="Times New Roman" w:cs="Times New Roman"/>
            <w:color w:val="0000FF"/>
            <w:sz w:val="24"/>
            <w:szCs w:val="24"/>
            <w:u w:val="single"/>
          </w:rPr>
          <w:t>https://doi.org/10.2190/WHWX-YNVB-079V-2L74</w:t>
        </w:r>
      </w:hyperlink>
    </w:p>
    <w:p w14:paraId="6048FF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Ismail, B., Cantor-Graae, E., &amp; McNeil, T. F. (2000). Minor physical anomalies in schizophrenia: Cognitive, neurological and other clinical correlates.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(1), 45–56. </w:t>
      </w:r>
      <w:hyperlink r:id="rId2668" w:history="1">
        <w:r w:rsidRPr="004C4852">
          <w:rPr>
            <w:rFonts w:ascii="Times New Roman" w:eastAsia="Times New Roman" w:hAnsi="Times New Roman" w:cs="Times New Roman"/>
            <w:color w:val="0000FF"/>
            <w:sz w:val="24"/>
            <w:szCs w:val="24"/>
            <w:u w:val="single"/>
          </w:rPr>
          <w:t>https://doi.org/10.1016/S0022-3956(99)00034-5</w:t>
        </w:r>
      </w:hyperlink>
    </w:p>
    <w:p w14:paraId="6B7CEA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Ismail, Z., Herrmann, N., Francis, P. L., Rothenburg, L. S., Lobaugh, N. J., Leibovitch, F. S., Black, S. E., &amp; Lanctôt, K. L. (2009). A SPECT study of sleep disturbances and Alzheimer’s disease.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254–259. </w:t>
      </w:r>
      <w:hyperlink r:id="rId2669" w:history="1">
        <w:r w:rsidRPr="004C4852">
          <w:rPr>
            <w:rFonts w:ascii="Times New Roman" w:eastAsia="Times New Roman" w:hAnsi="Times New Roman" w:cs="Times New Roman"/>
            <w:color w:val="0000FF"/>
            <w:sz w:val="24"/>
            <w:szCs w:val="24"/>
            <w:u w:val="single"/>
          </w:rPr>
          <w:t>https://doi.org/10.1159/000203889</w:t>
        </w:r>
      </w:hyperlink>
    </w:p>
    <w:p w14:paraId="324F00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Isomura-Motoki, A., &amp; Mimura, M. (2011). Neuropsychology in Japan. </w:t>
      </w:r>
      <w:r w:rsidRPr="004C4852">
        <w:rPr>
          <w:rFonts w:ascii="Times New Roman" w:eastAsia="Times New Roman" w:hAnsi="Times New Roman" w:cs="Times New Roman"/>
          <w:i/>
          <w:iCs/>
          <w:sz w:val="24"/>
          <w:szCs w:val="24"/>
        </w:rPr>
        <w:t>The Neuropsychology of Asian Americans.</w:t>
      </w:r>
      <w:r w:rsidRPr="004C4852">
        <w:rPr>
          <w:rFonts w:ascii="Times New Roman" w:eastAsia="Times New Roman" w:hAnsi="Times New Roman" w:cs="Times New Roman"/>
          <w:sz w:val="24"/>
          <w:szCs w:val="24"/>
        </w:rPr>
        <w:t>, 237–245.</w:t>
      </w:r>
    </w:p>
    <w:p w14:paraId="1BC61D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Ito, J., &amp; Kitagawa, J. (2006). Performance Monitoring and Error Processing During a Lexical Decision Task in Patients With Parkinson’s Disease. </w:t>
      </w:r>
      <w:r w:rsidRPr="004C4852">
        <w:rPr>
          <w:rFonts w:ascii="Times New Roman" w:eastAsia="Times New Roman" w:hAnsi="Times New Roman" w:cs="Times New Roman"/>
          <w:i/>
          <w:iCs/>
          <w:sz w:val="24"/>
          <w:szCs w:val="24"/>
        </w:rPr>
        <w:t>Journal of Geriatric Psychiatry and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46–54. </w:t>
      </w:r>
      <w:hyperlink r:id="rId2670" w:history="1">
        <w:r w:rsidRPr="004C4852">
          <w:rPr>
            <w:rFonts w:ascii="Times New Roman" w:eastAsia="Times New Roman" w:hAnsi="Times New Roman" w:cs="Times New Roman"/>
            <w:color w:val="0000FF"/>
            <w:sz w:val="24"/>
            <w:szCs w:val="24"/>
            <w:u w:val="single"/>
          </w:rPr>
          <w:t>https://doi.org/10.1177/0891988705284716</w:t>
        </w:r>
      </w:hyperlink>
    </w:p>
    <w:p w14:paraId="1A6A8E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Itoh, T., Sumiyoshi, T., Higuchi, Y., Suzuki, M., &amp; Kawasaki, Y. (2011). LORETA analysis of three-dimensional distribution of delta band activity in schizophrenia: Relation to negative symptoms. </w:t>
      </w:r>
      <w:r w:rsidRPr="004C4852">
        <w:rPr>
          <w:rFonts w:ascii="Times New Roman" w:eastAsia="Times New Roman" w:hAnsi="Times New Roman" w:cs="Times New Roman"/>
          <w:i/>
          <w:iCs/>
          <w:sz w:val="24"/>
          <w:szCs w:val="24"/>
        </w:rPr>
        <w:t>Neuroscience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(4), 442–448. </w:t>
      </w:r>
      <w:hyperlink r:id="rId2671" w:history="1">
        <w:r w:rsidRPr="004C4852">
          <w:rPr>
            <w:rFonts w:ascii="Times New Roman" w:eastAsia="Times New Roman" w:hAnsi="Times New Roman" w:cs="Times New Roman"/>
            <w:color w:val="0000FF"/>
            <w:sz w:val="24"/>
            <w:szCs w:val="24"/>
            <w:u w:val="single"/>
          </w:rPr>
          <w:t>https://doi.org/10.1016/j.neures.2011.05.003</w:t>
        </w:r>
      </w:hyperlink>
    </w:p>
    <w:p w14:paraId="04F0C5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Ittig, S., Studerus, E., Papmeyer, M., Uttinger, M., Koranyi, S., Ramyead, A., &amp; Riecher-Rössler, A. (2015). Sex differences in cognitive functioning in at-risk mental state for psychosis, first episode psychosis and healthy control subjects.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(2), 242–250. </w:t>
      </w:r>
      <w:hyperlink r:id="rId2672" w:history="1">
        <w:r w:rsidRPr="004C4852">
          <w:rPr>
            <w:rFonts w:ascii="Times New Roman" w:eastAsia="Times New Roman" w:hAnsi="Times New Roman" w:cs="Times New Roman"/>
            <w:color w:val="0000FF"/>
            <w:sz w:val="24"/>
            <w:szCs w:val="24"/>
            <w:u w:val="single"/>
          </w:rPr>
          <w:t>https://doi.org/10.1016/j.eurpsy.2014.11.006</w:t>
        </w:r>
      </w:hyperlink>
    </w:p>
    <w:p w14:paraId="23D328D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Iudicello, J. E., Woods, S. P., Cattie, J. E., Doyle, K., &amp; Grant, I. (2013). Risky decision-making in HIV-associated neurocognitive disorders (HAND).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(2), 256–275. </w:t>
      </w:r>
      <w:hyperlink r:id="rId2673" w:history="1">
        <w:r w:rsidRPr="004C4852">
          <w:rPr>
            <w:rFonts w:ascii="Times New Roman" w:eastAsia="Times New Roman" w:hAnsi="Times New Roman" w:cs="Times New Roman"/>
            <w:color w:val="0000FF"/>
            <w:sz w:val="24"/>
            <w:szCs w:val="24"/>
            <w:u w:val="single"/>
          </w:rPr>
          <w:t>https://doi.org/10.1080/13854046.2012.740077</w:t>
        </w:r>
      </w:hyperlink>
    </w:p>
    <w:p w14:paraId="76D186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Iudicello, J. E., Woods, S. P., Deutsch, R., &amp; Grant, I. (2012). Combined effects of aging and HIV infection on semantic verbal fluency: A view of the cortical hypothesis through the lens of clustering and switching.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(5), 476–488. </w:t>
      </w:r>
      <w:hyperlink r:id="rId2674" w:history="1">
        <w:r w:rsidRPr="004C4852">
          <w:rPr>
            <w:rFonts w:ascii="Times New Roman" w:eastAsia="Times New Roman" w:hAnsi="Times New Roman" w:cs="Times New Roman"/>
            <w:color w:val="0000FF"/>
            <w:sz w:val="24"/>
            <w:szCs w:val="24"/>
            <w:u w:val="single"/>
          </w:rPr>
          <w:t>https://doi.org/10.1080/13803395.2011.651103</w:t>
        </w:r>
      </w:hyperlink>
    </w:p>
    <w:p w14:paraId="5F1686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Iudicello, J. E., Woods, S. P., Vigil, O., Scott, J. C., Cherner, M., Heaton, R. K., Atkinson, J. H., &amp; Grant, I. (2010). Longer term improvement in neurocognitive functioning and affective distress among methamphetamine users who achieve stable abstinence.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(7), 704–718. </w:t>
      </w:r>
      <w:hyperlink r:id="rId2675" w:history="1">
        <w:r w:rsidRPr="004C4852">
          <w:rPr>
            <w:rFonts w:ascii="Times New Roman" w:eastAsia="Times New Roman" w:hAnsi="Times New Roman" w:cs="Times New Roman"/>
            <w:color w:val="0000FF"/>
            <w:sz w:val="24"/>
            <w:szCs w:val="24"/>
            <w:u w:val="single"/>
          </w:rPr>
          <w:t>https://doi.org/10.1080/13803390903512637</w:t>
        </w:r>
      </w:hyperlink>
    </w:p>
    <w:p w14:paraId="7E32E8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Iverson, G. L. (2006). Complicated vs uncomplicated mild traumatic brain injury: Acute neuropsychological outcome.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(13–14), 1335–1344. </w:t>
      </w:r>
      <w:hyperlink r:id="rId2676" w:history="1">
        <w:r w:rsidRPr="004C4852">
          <w:rPr>
            <w:rFonts w:ascii="Times New Roman" w:eastAsia="Times New Roman" w:hAnsi="Times New Roman" w:cs="Times New Roman"/>
            <w:color w:val="0000FF"/>
            <w:sz w:val="24"/>
            <w:szCs w:val="24"/>
            <w:u w:val="single"/>
          </w:rPr>
          <w:t>https://doi.org/10.1080/02699050601082156</w:t>
        </w:r>
      </w:hyperlink>
    </w:p>
    <w:p w14:paraId="020A22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Iverson, G. L., Slick, D. J., &amp; Franzen, M. D. (2000). Clinical normative data for the WCST–64 following uncomplicated mild head injury.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(4), 247–251. </w:t>
      </w:r>
      <w:hyperlink r:id="rId2677" w:history="1">
        <w:r w:rsidRPr="004C4852">
          <w:rPr>
            <w:rFonts w:ascii="Times New Roman" w:eastAsia="Times New Roman" w:hAnsi="Times New Roman" w:cs="Times New Roman"/>
            <w:color w:val="0000FF"/>
            <w:sz w:val="24"/>
            <w:szCs w:val="24"/>
            <w:u w:val="single"/>
          </w:rPr>
          <w:t>https://doi.org/10.1207/S15324826AN0704_7</w:t>
        </w:r>
      </w:hyperlink>
    </w:p>
    <w:p w14:paraId="59E941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Ivleva, E. I., Morris, D. W., Osuji, J., Moates, A. F., Carmody, T. J., Thaker, G. K., Cullum, M., &amp; Tamminga, C. A. (2012). Cognitive endophenotypes of psychosis within dimension and diagnosis.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196</w:t>
      </w:r>
      <w:r w:rsidRPr="004C4852">
        <w:rPr>
          <w:rFonts w:ascii="Times New Roman" w:eastAsia="Times New Roman" w:hAnsi="Times New Roman" w:cs="Times New Roman"/>
          <w:sz w:val="24"/>
          <w:szCs w:val="24"/>
        </w:rPr>
        <w:t xml:space="preserve">(1), 38–44. </w:t>
      </w:r>
      <w:hyperlink r:id="rId2678" w:history="1">
        <w:r w:rsidRPr="004C4852">
          <w:rPr>
            <w:rFonts w:ascii="Times New Roman" w:eastAsia="Times New Roman" w:hAnsi="Times New Roman" w:cs="Times New Roman"/>
            <w:color w:val="0000FF"/>
            <w:sz w:val="24"/>
            <w:szCs w:val="24"/>
            <w:u w:val="single"/>
          </w:rPr>
          <w:t>https://doi.org/10.1016/j.psychres.2011.08.021</w:t>
        </w:r>
      </w:hyperlink>
    </w:p>
    <w:p w14:paraId="647ACA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Iwamoto, K., Kawamura, Y., Takahashi, M., Uchiyama, Y., Ebe, K., Yoshida, K., Iidaka, T., Noda, Y., &amp; Ozaki, N. (2008). Plasma amitriptyline level after acute administration, and driving performance in healthy volunteers.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 xml:space="preserve">(5), 610–616. </w:t>
      </w:r>
      <w:hyperlink r:id="rId2679" w:history="1">
        <w:r w:rsidRPr="004C4852">
          <w:rPr>
            <w:rFonts w:ascii="Times New Roman" w:eastAsia="Times New Roman" w:hAnsi="Times New Roman" w:cs="Times New Roman"/>
            <w:color w:val="0000FF"/>
            <w:sz w:val="24"/>
            <w:szCs w:val="24"/>
            <w:u w:val="single"/>
          </w:rPr>
          <w:t>https://doi.org/10.1111/j.1440-1819.2008.01838.x</w:t>
        </w:r>
      </w:hyperlink>
    </w:p>
    <w:p w14:paraId="55B711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Iznak, A. F., Iznak, E. V., Damyanovich, E. V., Oleichik, I. V., Bologov, P. V., Kazachinskaya, I. I., &amp; Medvedeva, T. I. (2015). Transcranial magnetic stimulation in combined treatment of pharmacoresistant depression: Dynamics of clinical, psychological, and EEG parameters. </w:t>
      </w:r>
      <w:r w:rsidRPr="004C4852">
        <w:rPr>
          <w:rFonts w:ascii="Times New Roman" w:eastAsia="Times New Roman" w:hAnsi="Times New Roman" w:cs="Times New Roman"/>
          <w:i/>
          <w:iCs/>
          <w:sz w:val="24"/>
          <w:szCs w:val="24"/>
        </w:rPr>
        <w:t>Human 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(5), 503–509. </w:t>
      </w:r>
      <w:hyperlink r:id="rId2680" w:history="1">
        <w:r w:rsidRPr="004C4852">
          <w:rPr>
            <w:rFonts w:ascii="Times New Roman" w:eastAsia="Times New Roman" w:hAnsi="Times New Roman" w:cs="Times New Roman"/>
            <w:color w:val="0000FF"/>
            <w:sz w:val="24"/>
            <w:szCs w:val="24"/>
            <w:u w:val="single"/>
          </w:rPr>
          <w:t>https://doi.org/10.1134/S0362119715050059</w:t>
        </w:r>
      </w:hyperlink>
    </w:p>
    <w:p w14:paraId="6B3A55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Izquierdo, A., Belcher, A. M., Scott, L., Cazares, V. A., Chen, J., O’Dell, S. J., Malvaez, M., Wu, T., &amp; Marshall, J. F. (2010). Reversal-specific learning impairments after a binge regimen of methamphetamine in rats: Possible involvement of striatal dopamine.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(2), 505–514. </w:t>
      </w:r>
      <w:hyperlink r:id="rId2681" w:history="1">
        <w:r w:rsidRPr="004C4852">
          <w:rPr>
            <w:rFonts w:ascii="Times New Roman" w:eastAsia="Times New Roman" w:hAnsi="Times New Roman" w:cs="Times New Roman"/>
            <w:color w:val="0000FF"/>
            <w:sz w:val="24"/>
            <w:szCs w:val="24"/>
            <w:u w:val="single"/>
          </w:rPr>
          <w:t>https://doi.org/10.1038/npp.2009.155</w:t>
        </w:r>
      </w:hyperlink>
    </w:p>
    <w:p w14:paraId="37F899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Izquierdo-Guerra, K. I., Montoya-Arenas, D., Franco, J. G., &amp; Gaviria, A. M. (2018). Relationship between depressive symptomatology and cognitive performance in older people. </w:t>
      </w:r>
      <w:r w:rsidRPr="004C4852">
        <w:rPr>
          <w:rFonts w:ascii="Times New Roman" w:eastAsia="Times New Roman" w:hAnsi="Times New Roman" w:cs="Times New Roman"/>
          <w:i/>
          <w:iCs/>
          <w:sz w:val="24"/>
          <w:szCs w:val="24"/>
        </w:rPr>
        <w:t>International Journal of Psychological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(2), 35–45.</w:t>
      </w:r>
    </w:p>
    <w:p w14:paraId="5715E8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Jaafari, N., Rigalleau, F., Rachid, F., Delamillieure, P., Millet, B., Olié, J. P., Gil, R., Rotge, J. ‐Y., &amp; Vibert, N. (2011). A critical review of the contribution of eye movement recordings to the neuropsychology of obsessive compulsive disorder.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124</w:t>
      </w:r>
      <w:r w:rsidRPr="004C4852">
        <w:rPr>
          <w:rFonts w:ascii="Times New Roman" w:eastAsia="Times New Roman" w:hAnsi="Times New Roman" w:cs="Times New Roman"/>
          <w:sz w:val="24"/>
          <w:szCs w:val="24"/>
        </w:rPr>
        <w:t xml:space="preserve">(2), 87–101. </w:t>
      </w:r>
      <w:hyperlink r:id="rId2682" w:history="1">
        <w:r w:rsidRPr="004C4852">
          <w:rPr>
            <w:rFonts w:ascii="Times New Roman" w:eastAsia="Times New Roman" w:hAnsi="Times New Roman" w:cs="Times New Roman"/>
            <w:color w:val="0000FF"/>
            <w:sz w:val="24"/>
            <w:szCs w:val="24"/>
            <w:u w:val="single"/>
          </w:rPr>
          <w:t>https://doi.org/10.1111/j.1600-0447.2011.01721.x</w:t>
        </w:r>
      </w:hyperlink>
    </w:p>
    <w:p w14:paraId="7E8100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Jabłkowska, K., Karbownik-Lewińska, M., Nowakowska, K., Junik, R., Lewiński, A., &amp; Borkowska, A. (2008). Pamięć operacyjna i funkcje wykonawcze w nadczynności tarczycy w przebiegu choroby Gravesa i Basedowa. [Working memory and executive functions in hyperthyroid patients with Graves’ disease.]. </w:t>
      </w:r>
      <w:r w:rsidRPr="004C4852">
        <w:rPr>
          <w:rFonts w:ascii="Times New Roman" w:eastAsia="Times New Roman" w:hAnsi="Times New Roman" w:cs="Times New Roman"/>
          <w:i/>
          <w:iCs/>
          <w:sz w:val="24"/>
          <w:szCs w:val="24"/>
        </w:rPr>
        <w:t>Psychiatria Polska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(2), 249–259.</w:t>
      </w:r>
    </w:p>
    <w:p w14:paraId="35F9FCA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Jabłkowska, K., Karbownik-Lewińska, M., Nowakowska, K., Junik, R., Lewiński, A., &amp; Borkowska, A. (2009). Working memory and executive functions in hyperthyroid patients with Graves’ disease.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(1), 69–75.</w:t>
      </w:r>
    </w:p>
    <w:p w14:paraId="525DC5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Jackson, C. T., Fein, D., Essock, S. M., &amp; Mueser, K. T. (2001). The effects of cognitive impairment and substance abuse on psychiatric hospitalizations. </w:t>
      </w:r>
      <w:r w:rsidRPr="004C4852">
        <w:rPr>
          <w:rFonts w:ascii="Times New Roman" w:eastAsia="Times New Roman" w:hAnsi="Times New Roman" w:cs="Times New Roman"/>
          <w:i/>
          <w:iCs/>
          <w:sz w:val="24"/>
          <w:szCs w:val="24"/>
        </w:rPr>
        <w:t>Community Mental Health Journal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303–312. </w:t>
      </w:r>
      <w:hyperlink r:id="rId2683" w:history="1">
        <w:r w:rsidRPr="004C4852">
          <w:rPr>
            <w:rFonts w:ascii="Times New Roman" w:eastAsia="Times New Roman" w:hAnsi="Times New Roman" w:cs="Times New Roman"/>
            <w:color w:val="0000FF"/>
            <w:sz w:val="24"/>
            <w:szCs w:val="24"/>
            <w:u w:val="single"/>
          </w:rPr>
          <w:t>https://doi.org/10.1023/A:1017593423538</w:t>
        </w:r>
      </w:hyperlink>
    </w:p>
    <w:p w14:paraId="725FE9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Jacobson, J. L., Dodge, N. C., Burden, M. J., Klorman, R., &amp; Jacobson, S. W. (2011). Number processing in adolescents with prenatal alcohol exposure and ADHD: Differences in the neurobehavioral phenotype. </w:t>
      </w:r>
      <w:r w:rsidRPr="004C4852">
        <w:rPr>
          <w:rFonts w:ascii="Times New Roman" w:eastAsia="Times New Roman" w:hAnsi="Times New Roman" w:cs="Times New Roman"/>
          <w:i/>
          <w:iCs/>
          <w:sz w:val="24"/>
          <w:szCs w:val="24"/>
        </w:rPr>
        <w:t>Alcoholism: Clinical and Experimental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(3), 431–442. </w:t>
      </w:r>
      <w:hyperlink r:id="rId2684" w:history="1">
        <w:r w:rsidRPr="004C4852">
          <w:rPr>
            <w:rFonts w:ascii="Times New Roman" w:eastAsia="Times New Roman" w:hAnsi="Times New Roman" w:cs="Times New Roman"/>
            <w:color w:val="0000FF"/>
            <w:sz w:val="24"/>
            <w:szCs w:val="24"/>
            <w:u w:val="single"/>
          </w:rPr>
          <w:t>https://doi.org/10.1111/j.1530-0277.2010.01360.x</w:t>
        </w:r>
      </w:hyperlink>
    </w:p>
    <w:p w14:paraId="6499A9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Jacobson, M. W., Delis, D. C., Peavy, G. M., Wetter, S. R., Bigler, E. D., Abildskov, T. J., Bondi, M. W., &amp; Salmon, D. P. (2009). The emergence of cognitive discrepancies in preclinical Alzheimer’s disease: A six-year case study.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278–293. </w:t>
      </w:r>
      <w:hyperlink r:id="rId2685" w:history="1">
        <w:r w:rsidRPr="004C4852">
          <w:rPr>
            <w:rFonts w:ascii="Times New Roman" w:eastAsia="Times New Roman" w:hAnsi="Times New Roman" w:cs="Times New Roman"/>
            <w:color w:val="0000FF"/>
            <w:sz w:val="24"/>
            <w:szCs w:val="24"/>
            <w:u w:val="single"/>
          </w:rPr>
          <w:t>https://doi.org/10.1080/13554790902729465</w:t>
        </w:r>
      </w:hyperlink>
    </w:p>
    <w:p w14:paraId="75FD05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Jacqueline, H., Jenny, W.-T., Jean-Paul, F., Bruce, S., Robert, P., Kevin, T., Dan, S., &amp; John, J. (2012). A diffusion tensor imaging and neuropsychological study of prospective memory impairment in South African HIV positive individuals. </w:t>
      </w:r>
      <w:r w:rsidRPr="004C4852">
        <w:rPr>
          <w:rFonts w:ascii="Times New Roman" w:eastAsia="Times New Roman" w:hAnsi="Times New Roman" w:cs="Times New Roman"/>
          <w:i/>
          <w:iCs/>
          <w:sz w:val="24"/>
          <w:szCs w:val="24"/>
        </w:rPr>
        <w:t>Metabolic Brain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289–297. </w:t>
      </w:r>
      <w:hyperlink r:id="rId2686" w:history="1">
        <w:r w:rsidRPr="004C4852">
          <w:rPr>
            <w:rFonts w:ascii="Times New Roman" w:eastAsia="Times New Roman" w:hAnsi="Times New Roman" w:cs="Times New Roman"/>
            <w:color w:val="0000FF"/>
            <w:sz w:val="24"/>
            <w:szCs w:val="24"/>
            <w:u w:val="single"/>
          </w:rPr>
          <w:t>https://doi.org/10.1007/s11011-012-9311-0</w:t>
        </w:r>
      </w:hyperlink>
    </w:p>
    <w:p w14:paraId="06BEA4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Jaeger, J., Berns, S., Loftus, S., Gonzalez, C., &amp; Czobor, P. (2007). Neurocognitive test performance predicts functional recovery from acute exacerbation leading to hospitalization in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(1–2), 93–102. </w:t>
      </w:r>
      <w:hyperlink r:id="rId2687" w:history="1">
        <w:r w:rsidRPr="004C4852">
          <w:rPr>
            <w:rFonts w:ascii="Times New Roman" w:eastAsia="Times New Roman" w:hAnsi="Times New Roman" w:cs="Times New Roman"/>
            <w:color w:val="0000FF"/>
            <w:sz w:val="24"/>
            <w:szCs w:val="24"/>
            <w:u w:val="single"/>
          </w:rPr>
          <w:t>https://doi.org/10.1111/j.1399-5618.2007.00427.x</w:t>
        </w:r>
      </w:hyperlink>
    </w:p>
    <w:p w14:paraId="5AB46E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Jaeger, J., Tatsuoka, C., Bern, S. M., &amp; Varadi, F. (2006). Distinguishing Neurocognitive Functions in Schizophrenia Using Partially Ordered Classification Models.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(4), 679–691. </w:t>
      </w:r>
      <w:hyperlink r:id="rId2688" w:history="1">
        <w:r w:rsidRPr="004C4852">
          <w:rPr>
            <w:rFonts w:ascii="Times New Roman" w:eastAsia="Times New Roman" w:hAnsi="Times New Roman" w:cs="Times New Roman"/>
            <w:color w:val="0000FF"/>
            <w:sz w:val="24"/>
            <w:szCs w:val="24"/>
            <w:u w:val="single"/>
          </w:rPr>
          <w:t>https://doi.org/10.1093/schbul/sbj038</w:t>
        </w:r>
      </w:hyperlink>
    </w:p>
    <w:p w14:paraId="56FC77D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Jaeger, J., Tatsuoka, C., Berns, S., Varadi, F., Czobor, P., &amp; Uzelac, S. (2006). Associating functional recovery with neurocognitive profiles identified using partially ordered classification models.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(1–3), 40–48. </w:t>
      </w:r>
      <w:hyperlink r:id="rId2689" w:history="1">
        <w:r w:rsidRPr="004C4852">
          <w:rPr>
            <w:rFonts w:ascii="Times New Roman" w:eastAsia="Times New Roman" w:hAnsi="Times New Roman" w:cs="Times New Roman"/>
            <w:color w:val="0000FF"/>
            <w:sz w:val="24"/>
            <w:szCs w:val="24"/>
            <w:u w:val="single"/>
          </w:rPr>
          <w:t>https://doi.org/10.1016/j.schres.2006.03.005</w:t>
        </w:r>
      </w:hyperlink>
    </w:p>
    <w:p w14:paraId="2E8DD7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Jahn, T., Pitschel-Walz, G., Gsottschneider, A., Froböse, T., Kraemer, S., &amp; Bäuml, J. (2011). Neurocognitive prediction of illness knowledge after psychoeducation in schizophrenia: Results from the Munich COGPIP study.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(3), 533–544. </w:t>
      </w:r>
      <w:hyperlink r:id="rId2690" w:history="1">
        <w:r w:rsidRPr="004C4852">
          <w:rPr>
            <w:rFonts w:ascii="Times New Roman" w:eastAsia="Times New Roman" w:hAnsi="Times New Roman" w:cs="Times New Roman"/>
            <w:color w:val="0000FF"/>
            <w:sz w:val="24"/>
            <w:szCs w:val="24"/>
            <w:u w:val="single"/>
          </w:rPr>
          <w:t>https://doi.org/10.1017/S0033291710001029</w:t>
        </w:r>
      </w:hyperlink>
    </w:p>
    <w:p w14:paraId="127E3D2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Jahshan, C. S., &amp; Sergi, M. J. (2007). Theory of mind, neurocognition, and functional status in schizotypy.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(1–3), 278–286. </w:t>
      </w:r>
      <w:hyperlink r:id="rId2691" w:history="1">
        <w:r w:rsidRPr="004C4852">
          <w:rPr>
            <w:rFonts w:ascii="Times New Roman" w:eastAsia="Times New Roman" w:hAnsi="Times New Roman" w:cs="Times New Roman"/>
            <w:color w:val="0000FF"/>
            <w:sz w:val="24"/>
            <w:szCs w:val="24"/>
            <w:u w:val="single"/>
          </w:rPr>
          <w:t>https://doi.org/10.1016/j.schres.2006.09.004</w:t>
        </w:r>
      </w:hyperlink>
    </w:p>
    <w:p w14:paraId="0FFC90F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Jain, S., &amp; Kar, B. R. (2014). Effect of cognitive aging on working memory consolidation. </w:t>
      </w:r>
      <w:r w:rsidRPr="004C4852">
        <w:rPr>
          <w:rFonts w:ascii="Times New Roman" w:eastAsia="Times New Roman" w:hAnsi="Times New Roman" w:cs="Times New Roman"/>
          <w:i/>
          <w:iCs/>
          <w:sz w:val="24"/>
          <w:szCs w:val="24"/>
        </w:rPr>
        <w:t>Psychological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(4), 383–393. </w:t>
      </w:r>
      <w:hyperlink r:id="rId2692" w:history="1">
        <w:r w:rsidRPr="004C4852">
          <w:rPr>
            <w:rFonts w:ascii="Times New Roman" w:eastAsia="Times New Roman" w:hAnsi="Times New Roman" w:cs="Times New Roman"/>
            <w:color w:val="0000FF"/>
            <w:sz w:val="24"/>
            <w:szCs w:val="24"/>
            <w:u w:val="single"/>
          </w:rPr>
          <w:t>https://doi.org/10.1007/s12646-014-0276-4</w:t>
        </w:r>
      </w:hyperlink>
    </w:p>
    <w:p w14:paraId="6752AD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 A. J., Bondi, M. W., Delano-Wood, L., Wierenga, C., Corey-Bloom, J., Salmon, D. P., &amp; Delis, D. C. (2009). Quantification of five neuropsychological approaches to defining mild cognitive impairment. </w:t>
      </w:r>
      <w:r w:rsidRPr="004C4852">
        <w:rPr>
          <w:rFonts w:ascii="Times New Roman" w:eastAsia="Times New Roman" w:hAnsi="Times New Roman" w:cs="Times New Roman"/>
          <w:i/>
          <w:iCs/>
          <w:sz w:val="24"/>
          <w:szCs w:val="24"/>
        </w:rPr>
        <w:t>The American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(5), 368–375. </w:t>
      </w:r>
      <w:hyperlink r:id="rId2693" w:history="1">
        <w:r w:rsidRPr="004C4852">
          <w:rPr>
            <w:rFonts w:ascii="Times New Roman" w:eastAsia="Times New Roman" w:hAnsi="Times New Roman" w:cs="Times New Roman"/>
            <w:color w:val="0000FF"/>
            <w:sz w:val="24"/>
            <w:szCs w:val="24"/>
            <w:u w:val="single"/>
          </w:rPr>
          <w:t>https://doi.org/10.1097/JGP.0b013e31819431d5</w:t>
        </w:r>
      </w:hyperlink>
    </w:p>
    <w:p w14:paraId="69CA4F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 A. J., Gregory, A., Orff, H. J., Colón, C., Steele, N., Schiehser, D. M., Delano-Wood, L., Jurick, S. M., &amp; Twamley, E. W. (2015). Neuropsychological performance in treatment-seeking Operation Enduring Freedom/Operation Iraqi Freedom Veterans with a history of mild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379–388. </w:t>
      </w:r>
      <w:hyperlink r:id="rId2694" w:history="1">
        <w:r w:rsidRPr="004C4852">
          <w:rPr>
            <w:rFonts w:ascii="Times New Roman" w:eastAsia="Times New Roman" w:hAnsi="Times New Roman" w:cs="Times New Roman"/>
            <w:color w:val="0000FF"/>
            <w:sz w:val="24"/>
            <w:szCs w:val="24"/>
            <w:u w:val="single"/>
          </w:rPr>
          <w:t>https://doi.org/10.1080/13803395.2015.1020769</w:t>
        </w:r>
      </w:hyperlink>
    </w:p>
    <w:p w14:paraId="11578A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 A. J., Jurick, S., Crocker, L. D., Sanderson-Cimino, M., Aupperle, R., Rodgers, C. S., Thomas, K. R., Boyd, B., Norman, S. B., Lang, A. J., Keller, A. V., Schiehser, D. M., &amp; Twamley, E. W. (2019). SMART-CPT for veterans with comorbid posttraumatic stress disorder and history of traumatic brain injury: A randomised controlled trial.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90</w:t>
      </w:r>
      <w:r w:rsidRPr="004C4852">
        <w:rPr>
          <w:rFonts w:ascii="Times New Roman" w:eastAsia="Times New Roman" w:hAnsi="Times New Roman" w:cs="Times New Roman"/>
          <w:sz w:val="24"/>
          <w:szCs w:val="24"/>
        </w:rPr>
        <w:t xml:space="preserve">(3), 333–341. </w:t>
      </w:r>
      <w:hyperlink r:id="rId2695" w:history="1">
        <w:r w:rsidRPr="004C4852">
          <w:rPr>
            <w:rFonts w:ascii="Times New Roman" w:eastAsia="Times New Roman" w:hAnsi="Times New Roman" w:cs="Times New Roman"/>
            <w:color w:val="0000FF"/>
            <w:sz w:val="24"/>
            <w:szCs w:val="24"/>
            <w:u w:val="single"/>
          </w:rPr>
          <w:t>https://doi.org/10.1136/jnnp-2018-319315</w:t>
        </w:r>
      </w:hyperlink>
    </w:p>
    <w:p w14:paraId="6661B8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Jakob, L., Bojanić, L., Tsvetanova, D. D., Buabang, E. K., de Bles, N. J., Sarafoglou, A., Dijkzeul, A., &amp; Del Pino, R. (2016). Study protocol on cognitive performance in Bulgaria, Croatia, and the Netherlands: The Normacog Brief Battery.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 </w:t>
      </w:r>
      <w:hyperlink r:id="rId2696" w:history="1">
        <w:r w:rsidRPr="004C4852">
          <w:rPr>
            <w:rFonts w:ascii="Times New Roman" w:eastAsia="Times New Roman" w:hAnsi="Times New Roman" w:cs="Times New Roman"/>
            <w:color w:val="0000FF"/>
            <w:sz w:val="24"/>
            <w:szCs w:val="24"/>
            <w:u w:val="single"/>
          </w:rPr>
          <w:t>https://doi.org/10.3389/fpsyg.2016.01658</w:t>
        </w:r>
      </w:hyperlink>
    </w:p>
    <w:p w14:paraId="4DF9F6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Jakubczyk, A., Klimkiewicz, A., Wnorowska, A., Mika, K., Bugaj, M., Podgórska, A., Barry, K., Blow, F. C., Brower, K. J., &amp; Wojnar, M. (2013). Impulsivity, risky behaviors and accidents in alcohol-dependent patients. </w:t>
      </w:r>
      <w:r w:rsidRPr="004C4852">
        <w:rPr>
          <w:rFonts w:ascii="Times New Roman" w:eastAsia="Times New Roman" w:hAnsi="Times New Roman" w:cs="Times New Roman"/>
          <w:i/>
          <w:iCs/>
          <w:sz w:val="24"/>
          <w:szCs w:val="24"/>
        </w:rPr>
        <w:t>Accident Analysis and Prevention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 150–155. </w:t>
      </w:r>
      <w:hyperlink r:id="rId2697" w:history="1">
        <w:r w:rsidRPr="004C4852">
          <w:rPr>
            <w:rFonts w:ascii="Times New Roman" w:eastAsia="Times New Roman" w:hAnsi="Times New Roman" w:cs="Times New Roman"/>
            <w:color w:val="0000FF"/>
            <w:sz w:val="24"/>
            <w:szCs w:val="24"/>
            <w:u w:val="single"/>
          </w:rPr>
          <w:t>https://doi.org/10.1016/j.aap.2012.11.013</w:t>
        </w:r>
      </w:hyperlink>
    </w:p>
    <w:p w14:paraId="096A72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Jakubovski, E., Carlson, J. P., &amp; Bloch, M. H. (2015). Prognostic subgroups for remission, response, and treatment continuation in the Clinical Antipsychotic Trials of Intervention Effectiveness (CATIE) trial. </w:t>
      </w:r>
      <w:r w:rsidRPr="004C4852">
        <w:rPr>
          <w:rFonts w:ascii="Times New Roman" w:eastAsia="Times New Roman" w:hAnsi="Times New Roman" w:cs="Times New Roman"/>
          <w:i/>
          <w:iCs/>
          <w:sz w:val="24"/>
          <w:szCs w:val="24"/>
        </w:rPr>
        <w:t>The Journal of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(11), 1535–1545. </w:t>
      </w:r>
      <w:hyperlink r:id="rId2698" w:history="1">
        <w:r w:rsidRPr="004C4852">
          <w:rPr>
            <w:rFonts w:ascii="Times New Roman" w:eastAsia="Times New Roman" w:hAnsi="Times New Roman" w:cs="Times New Roman"/>
            <w:color w:val="0000FF"/>
            <w:sz w:val="24"/>
            <w:szCs w:val="24"/>
            <w:u w:val="single"/>
          </w:rPr>
          <w:t>https://doi.org/10.4088/JCP.14m09320</w:t>
        </w:r>
      </w:hyperlink>
    </w:p>
    <w:p w14:paraId="53C4628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Jameson, K. G., Nasrallah, H. A., Northern, T. G., &amp; Welge, J. A. (2011). Executive function impairment in first-degree relatives of persons with schizophrenia: A meta-analysis of controlled studies.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 xml:space="preserve">(2), 96–99. </w:t>
      </w:r>
      <w:hyperlink r:id="rId2699" w:history="1">
        <w:r w:rsidRPr="004C4852">
          <w:rPr>
            <w:rFonts w:ascii="Times New Roman" w:eastAsia="Times New Roman" w:hAnsi="Times New Roman" w:cs="Times New Roman"/>
            <w:color w:val="0000FF"/>
            <w:sz w:val="24"/>
            <w:szCs w:val="24"/>
            <w:u w:val="single"/>
          </w:rPr>
          <w:t>https://doi.org/10.1016/j.ajp.2011.04.001</w:t>
        </w:r>
      </w:hyperlink>
    </w:p>
    <w:p w14:paraId="3005506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Jamora, C. W., Young, A., &amp; Ruff, R. M. (2012). Comparison of subjective cognitive complaints with neuropsychological tests in individuals with mild vs more severe traumatic brain injuries.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36–47. </w:t>
      </w:r>
      <w:hyperlink r:id="rId2700" w:history="1">
        <w:r w:rsidRPr="004C4852">
          <w:rPr>
            <w:rFonts w:ascii="Times New Roman" w:eastAsia="Times New Roman" w:hAnsi="Times New Roman" w:cs="Times New Roman"/>
            <w:color w:val="0000FF"/>
            <w:sz w:val="24"/>
            <w:szCs w:val="24"/>
            <w:u w:val="single"/>
          </w:rPr>
          <w:t>https://doi.org/10.3109/02699052.2011.635352</w:t>
        </w:r>
      </w:hyperlink>
    </w:p>
    <w:p w14:paraId="56EB4E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Jamrozinski, K., Gruber, O., Kemmer, C., Falkai, P., &amp; Scherk, H. (2009). Neurocognitive functions in euthymic bipolar patients.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119</w:t>
      </w:r>
      <w:r w:rsidRPr="004C4852">
        <w:rPr>
          <w:rFonts w:ascii="Times New Roman" w:eastAsia="Times New Roman" w:hAnsi="Times New Roman" w:cs="Times New Roman"/>
          <w:sz w:val="24"/>
          <w:szCs w:val="24"/>
        </w:rPr>
        <w:t xml:space="preserve">(5), 365–374. </w:t>
      </w:r>
      <w:hyperlink r:id="rId2701" w:history="1">
        <w:r w:rsidRPr="004C4852">
          <w:rPr>
            <w:rFonts w:ascii="Times New Roman" w:eastAsia="Times New Roman" w:hAnsi="Times New Roman" w:cs="Times New Roman"/>
            <w:color w:val="0000FF"/>
            <w:sz w:val="24"/>
            <w:szCs w:val="24"/>
            <w:u w:val="single"/>
          </w:rPr>
          <w:t>https://doi.org/10.1111/j.1600-0447.2008.01320.x</w:t>
        </w:r>
      </w:hyperlink>
    </w:p>
    <w:p w14:paraId="1C4082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Janacsek, K., &amp; Nemeth, D. (2013). Implicit sequence learning and working memory: Correlated or complicated?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(8), 2001–2006. </w:t>
      </w:r>
      <w:hyperlink r:id="rId2702" w:history="1">
        <w:r w:rsidRPr="004C4852">
          <w:rPr>
            <w:rFonts w:ascii="Times New Roman" w:eastAsia="Times New Roman" w:hAnsi="Times New Roman" w:cs="Times New Roman"/>
            <w:color w:val="0000FF"/>
            <w:sz w:val="24"/>
            <w:szCs w:val="24"/>
            <w:u w:val="single"/>
          </w:rPr>
          <w:t>https://doi.org/10.1016/j.cortex.2013.02.012</w:t>
        </w:r>
      </w:hyperlink>
    </w:p>
    <w:p w14:paraId="71DEAB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Janecek, J. K., Dorociak, K. E., Piper, L. E., Kelleher, T., Pliskin, N. H., Gowhari, M., &amp; Molokie, R. E. (2019). Integration of neuropsychology services in a sickle cell clinic and subsequent healthcare use for pain crises.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(7), 1195–1211. </w:t>
      </w:r>
      <w:hyperlink r:id="rId2703" w:history="1">
        <w:r w:rsidRPr="004C4852">
          <w:rPr>
            <w:rFonts w:ascii="Times New Roman" w:eastAsia="Times New Roman" w:hAnsi="Times New Roman" w:cs="Times New Roman"/>
            <w:color w:val="0000FF"/>
            <w:sz w:val="24"/>
            <w:szCs w:val="24"/>
            <w:u w:val="single"/>
          </w:rPr>
          <w:t>https://doi.org/10.1080/13854046.2018.1535664</w:t>
        </w:r>
      </w:hyperlink>
    </w:p>
    <w:p w14:paraId="0659D2C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Jang, Y. E., Jang, Y., Choi, H. Y., &amp; Park, H. Y. (2021). The relationships between cognitive control and psychological symptoms in patients with somatic symptom disorder: A pilot longitudinal study. </w:t>
      </w:r>
      <w:r w:rsidRPr="004C4852">
        <w:rPr>
          <w:rFonts w:ascii="Times New Roman" w:eastAsia="Times New Roman" w:hAnsi="Times New Roman" w:cs="Times New Roman"/>
          <w:i/>
          <w:iCs/>
          <w:sz w:val="24"/>
          <w:szCs w:val="24"/>
        </w:rPr>
        <w:t>Cognitive Neuropsychiatry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 242–256. </w:t>
      </w:r>
      <w:hyperlink r:id="rId2704" w:history="1">
        <w:r w:rsidRPr="004C4852">
          <w:rPr>
            <w:rFonts w:ascii="Times New Roman" w:eastAsia="Times New Roman" w:hAnsi="Times New Roman" w:cs="Times New Roman"/>
            <w:color w:val="0000FF"/>
            <w:sz w:val="24"/>
            <w:szCs w:val="24"/>
            <w:u w:val="single"/>
          </w:rPr>
          <w:t>https://doi.org/10.1080/13546805.2021.1923470</w:t>
        </w:r>
      </w:hyperlink>
    </w:p>
    <w:p w14:paraId="3EF74E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Jansari, A. S., Davis, K., McGibbon, T., Firminger, S., &amp; Kapur, N. (2010). When “long-term memory” no longer means “forever”: Analysis of accelerated long-term forgetting in a patient with temporal lobe epilepsy.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(6), 1707–1715. </w:t>
      </w:r>
      <w:hyperlink r:id="rId2705" w:history="1">
        <w:r w:rsidRPr="004C4852">
          <w:rPr>
            <w:rFonts w:ascii="Times New Roman" w:eastAsia="Times New Roman" w:hAnsi="Times New Roman" w:cs="Times New Roman"/>
            <w:color w:val="0000FF"/>
            <w:sz w:val="24"/>
            <w:szCs w:val="24"/>
            <w:u w:val="single"/>
          </w:rPr>
          <w:t>https://doi.org/10.1016/j.neuropsychologia.2010.02.018</w:t>
        </w:r>
      </w:hyperlink>
    </w:p>
    <w:p w14:paraId="308EE9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Jansari, A. S., Devlin, A., Agnew, R., Akesson, K., Murphy, L., &amp; Leadbetter, T. (2014). Ecological assessment of executive functions: A new virtual reality paradigm. </w:t>
      </w:r>
      <w:r w:rsidRPr="004C4852">
        <w:rPr>
          <w:rFonts w:ascii="Times New Roman" w:eastAsia="Times New Roman" w:hAnsi="Times New Roman" w:cs="Times New Roman"/>
          <w:i/>
          <w:iCs/>
          <w:sz w:val="24"/>
          <w:szCs w:val="24"/>
        </w:rPr>
        <w:t>Brain Impairment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71–85. </w:t>
      </w:r>
      <w:hyperlink r:id="rId2706" w:history="1">
        <w:r w:rsidRPr="004C4852">
          <w:rPr>
            <w:rFonts w:ascii="Times New Roman" w:eastAsia="Times New Roman" w:hAnsi="Times New Roman" w:cs="Times New Roman"/>
            <w:color w:val="0000FF"/>
            <w:sz w:val="24"/>
            <w:szCs w:val="24"/>
            <w:u w:val="single"/>
          </w:rPr>
          <w:t>https://doi.org/10.1017/BrImp.2014.14</w:t>
        </w:r>
      </w:hyperlink>
    </w:p>
    <w:p w14:paraId="7595040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Jansari, A. S., Froggatt, D., Edginton, T., &amp; Dawkins, L. (2013). Investigating the impact of nicotine on executive functions using a novel virtual reality assessment. </w:t>
      </w:r>
      <w:r w:rsidRPr="004C4852">
        <w:rPr>
          <w:rFonts w:ascii="Times New Roman" w:eastAsia="Times New Roman" w:hAnsi="Times New Roman" w:cs="Times New Roman"/>
          <w:i/>
          <w:iCs/>
          <w:sz w:val="24"/>
          <w:szCs w:val="24"/>
        </w:rPr>
        <w:t>Addiction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108</w:t>
      </w:r>
      <w:r w:rsidRPr="004C4852">
        <w:rPr>
          <w:rFonts w:ascii="Times New Roman" w:eastAsia="Times New Roman" w:hAnsi="Times New Roman" w:cs="Times New Roman"/>
          <w:sz w:val="24"/>
          <w:szCs w:val="24"/>
        </w:rPr>
        <w:t xml:space="preserve">(5), 977–984. </w:t>
      </w:r>
      <w:hyperlink r:id="rId2707" w:history="1">
        <w:r w:rsidRPr="004C4852">
          <w:rPr>
            <w:rFonts w:ascii="Times New Roman" w:eastAsia="Times New Roman" w:hAnsi="Times New Roman" w:cs="Times New Roman"/>
            <w:color w:val="0000FF"/>
            <w:sz w:val="24"/>
            <w:szCs w:val="24"/>
            <w:u w:val="single"/>
          </w:rPr>
          <w:t>https://doi.org/10.1111/add.12082</w:t>
        </w:r>
      </w:hyperlink>
    </w:p>
    <w:p w14:paraId="70C914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 E. (2012). A non-auditory measure of interference predicts distraction by competing speech in older adults.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(6), 741–758. </w:t>
      </w:r>
      <w:hyperlink r:id="rId2708" w:history="1">
        <w:r w:rsidRPr="004C4852">
          <w:rPr>
            <w:rFonts w:ascii="Times New Roman" w:eastAsia="Times New Roman" w:hAnsi="Times New Roman" w:cs="Times New Roman"/>
            <w:color w:val="0000FF"/>
            <w:sz w:val="24"/>
            <w:szCs w:val="24"/>
            <w:u w:val="single"/>
          </w:rPr>
          <w:t>https://doi.org/10.1080/13825585.2011.652590</w:t>
        </w:r>
      </w:hyperlink>
    </w:p>
    <w:p w14:paraId="6D32D16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Jansen, A. C., Leonard, G., Bastos, A. C., Esposito-Festen, J. E., Tampieri, D., Watkins, K., Andermann, F., &amp; Andermann, E. (2005). Cognitive functioning in bilateral perisylvian polymicrogyria (BPP): Clinical and radiological correlations.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(3), 393–404. </w:t>
      </w:r>
      <w:hyperlink r:id="rId2709" w:history="1">
        <w:r w:rsidRPr="004C4852">
          <w:rPr>
            <w:rFonts w:ascii="Times New Roman" w:eastAsia="Times New Roman" w:hAnsi="Times New Roman" w:cs="Times New Roman"/>
            <w:color w:val="0000FF"/>
            <w:sz w:val="24"/>
            <w:szCs w:val="24"/>
            <w:u w:val="single"/>
          </w:rPr>
          <w:t>https://doi.org/10.1016/j.yebeh.2005.01.012</w:t>
        </w:r>
      </w:hyperlink>
    </w:p>
    <w:p w14:paraId="519767C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Jansen, F. E., Vincken, K. L., Algra, A., Anbeek, P., Braams, O., Nellist, M., Zonnenberg, B. A., Jennekens-Schinkel, A., van den Ouweland, A., Halley, D., van Huffelen, A. C., &amp; van Nieuwenhuizen, O. (2008). Cognitive impairment in tuberous sclerosis complex is a multifactorial condition.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(12), 916–923. </w:t>
      </w:r>
      <w:hyperlink r:id="rId2710" w:history="1">
        <w:r w:rsidRPr="004C4852">
          <w:rPr>
            <w:rFonts w:ascii="Times New Roman" w:eastAsia="Times New Roman" w:hAnsi="Times New Roman" w:cs="Times New Roman"/>
            <w:color w:val="0000FF"/>
            <w:sz w:val="24"/>
            <w:szCs w:val="24"/>
            <w:u w:val="single"/>
          </w:rPr>
          <w:t>https://doi.org/10.1212/01.wnl.0000280579.04974.c0</w:t>
        </w:r>
      </w:hyperlink>
    </w:p>
    <w:p w14:paraId="3874382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Jansen, P., Hoja, S., &amp; Jost, L. (2021). Are there gender differences in executive functions in musicians and non-musicians? </w:t>
      </w:r>
      <w:r w:rsidRPr="004C4852">
        <w:rPr>
          <w:rFonts w:ascii="Times New Roman" w:eastAsia="Times New Roman" w:hAnsi="Times New Roman" w:cs="Times New Roman"/>
          <w:i/>
          <w:iCs/>
          <w:sz w:val="24"/>
          <w:szCs w:val="24"/>
        </w:rPr>
        <w:t>Journal of Individual Differences</w:t>
      </w:r>
      <w:r w:rsidRPr="004C4852">
        <w:rPr>
          <w:rFonts w:ascii="Times New Roman" w:eastAsia="Times New Roman" w:hAnsi="Times New Roman" w:cs="Times New Roman"/>
          <w:sz w:val="24"/>
          <w:szCs w:val="24"/>
        </w:rPr>
        <w:t xml:space="preserve">, No Pagination Specified-No Pagination Specified. </w:t>
      </w:r>
      <w:hyperlink r:id="rId2711" w:history="1">
        <w:r w:rsidRPr="004C4852">
          <w:rPr>
            <w:rFonts w:ascii="Times New Roman" w:eastAsia="Times New Roman" w:hAnsi="Times New Roman" w:cs="Times New Roman"/>
            <w:color w:val="0000FF"/>
            <w:sz w:val="24"/>
            <w:szCs w:val="24"/>
            <w:u w:val="single"/>
          </w:rPr>
          <w:t>https://doi.org/10.1027/1614-0001/a000350</w:t>
        </w:r>
      </w:hyperlink>
    </w:p>
    <w:p w14:paraId="5D9AC5E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Jantz, P. B., &amp; Bigler, E. D. (2014). Neuroimaging and the school-based assessment of traumatic brain injury. </w:t>
      </w:r>
      <w:r w:rsidRPr="004C4852">
        <w:rPr>
          <w:rFonts w:ascii="Times New Roman" w:eastAsia="Times New Roman" w:hAnsi="Times New Roman" w:cs="Times New Roman"/>
          <w:i/>
          <w:iCs/>
          <w:sz w:val="24"/>
          <w:szCs w:val="24"/>
        </w:rPr>
        <w:t>NeuroRehabilitation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(3), 479–492.</w:t>
      </w:r>
    </w:p>
    <w:p w14:paraId="15A6D5F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Japee, S., Holiday, K., Satyshur, M. D., Mukai, I., &amp; Ungerleider, L. G. (2015). A role of right middle frontal gyrus in reorienting of attention: A case study. </w:t>
      </w:r>
      <w:r w:rsidRPr="004C4852">
        <w:rPr>
          <w:rFonts w:ascii="Times New Roman" w:eastAsia="Times New Roman" w:hAnsi="Times New Roman" w:cs="Times New Roman"/>
          <w:i/>
          <w:iCs/>
          <w:sz w:val="24"/>
          <w:szCs w:val="24"/>
        </w:rPr>
        <w:t>Frontiers in Systems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w:t>
      </w:r>
    </w:p>
    <w:p w14:paraId="3C6AE3D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Jaquet, I., Lançon, C., Auquier, P., Bougerol, T., &amp; Scotto, J. C. (1997). Étude des perturbations cognitives frontales chez 42 patients schizophrénes comparés à 19 témoins. [Frontal neuropsychological impairments in 42 schizophrenic patients.]. </w:t>
      </w:r>
      <w:r w:rsidRPr="004C4852">
        <w:rPr>
          <w:rFonts w:ascii="Times New Roman" w:eastAsia="Times New Roman" w:hAnsi="Times New Roman" w:cs="Times New Roman"/>
          <w:i/>
          <w:iCs/>
          <w:sz w:val="24"/>
          <w:szCs w:val="24"/>
        </w:rPr>
        <w:t>L’Encéphale: Revue de Psychiatrie Clinique Biologique et Thérapeutique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(1), 34–41.</w:t>
      </w:r>
    </w:p>
    <w:p w14:paraId="6BB335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Jaracz, J., Borkowska, A., Chłopocka-Woźniak, M., &amp; Rybakowski, J. K. (2002). Cognitive functions in remitted unipolar female depressive patients during maintenance treatment with antidepressants.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(3), 15–23.</w:t>
      </w:r>
    </w:p>
    <w:p w14:paraId="55118DE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Jaracz, J., Grzechowiak, M., Raczkowiak, L., &amp; Rybakowski, J. (2011). Rozpoznawanie emocji twarzy w schizofrenii: Związek z funkcjonowaniem poznawczym i społecznym. [Facial emotion perception in schizophrenia: Relationships with cognitive and social functioning.]. </w:t>
      </w:r>
      <w:r w:rsidRPr="004C4852">
        <w:rPr>
          <w:rFonts w:ascii="Times New Roman" w:eastAsia="Times New Roman" w:hAnsi="Times New Roman" w:cs="Times New Roman"/>
          <w:i/>
          <w:iCs/>
          <w:sz w:val="24"/>
          <w:szCs w:val="24"/>
        </w:rPr>
        <w:t>Psychiatria Polska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(6), 839–849.</w:t>
      </w:r>
    </w:p>
    <w:p w14:paraId="1D7E1F0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Jaracz, J., Patrzala, A., &amp; Rybakowski, J. K. (2012). Creative thinking deficits in patients with schizophrenia: Neurocognitive correlates.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200</w:t>
      </w:r>
      <w:r w:rsidRPr="004C4852">
        <w:rPr>
          <w:rFonts w:ascii="Times New Roman" w:eastAsia="Times New Roman" w:hAnsi="Times New Roman" w:cs="Times New Roman"/>
          <w:sz w:val="24"/>
          <w:szCs w:val="24"/>
        </w:rPr>
        <w:t xml:space="preserve">(7), 588–593. </w:t>
      </w:r>
      <w:hyperlink r:id="rId2712" w:history="1">
        <w:r w:rsidRPr="004C4852">
          <w:rPr>
            <w:rFonts w:ascii="Times New Roman" w:eastAsia="Times New Roman" w:hAnsi="Times New Roman" w:cs="Times New Roman"/>
            <w:color w:val="0000FF"/>
            <w:sz w:val="24"/>
            <w:szCs w:val="24"/>
            <w:u w:val="single"/>
          </w:rPr>
          <w:t>https://doi.org/10.1097/NMD.0b013e31825bfc49</w:t>
        </w:r>
      </w:hyperlink>
    </w:p>
    <w:p w14:paraId="0A7A15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Jarros, R. B., Salum, G. A., da Silva, C. T. B., Toazza, R., Becker, N., Agranonik, M., de Salles, J. F., &amp; Manfro, G. G. (2017). Attention, memory, visuoconstructive, and executive task performance in adolescents with anxiety disorders: A case-control community study. </w:t>
      </w:r>
      <w:r w:rsidRPr="004C4852">
        <w:rPr>
          <w:rFonts w:ascii="Times New Roman" w:eastAsia="Times New Roman" w:hAnsi="Times New Roman" w:cs="Times New Roman"/>
          <w:i/>
          <w:iCs/>
          <w:sz w:val="24"/>
          <w:szCs w:val="24"/>
        </w:rPr>
        <w:t>Trends in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(1), 5–11. </w:t>
      </w:r>
      <w:hyperlink r:id="rId2713" w:history="1">
        <w:r w:rsidRPr="004C4852">
          <w:rPr>
            <w:rFonts w:ascii="Times New Roman" w:eastAsia="Times New Roman" w:hAnsi="Times New Roman" w:cs="Times New Roman"/>
            <w:color w:val="0000FF"/>
            <w:sz w:val="24"/>
            <w:szCs w:val="24"/>
            <w:u w:val="single"/>
          </w:rPr>
          <w:t>https://doi.org/10.1590/2237-6089-2016-0032</w:t>
        </w:r>
      </w:hyperlink>
    </w:p>
    <w:p w14:paraId="08A26E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Jarvis, B. P., Holtyn, A. F., Berry, M. S., Subramaniam, S., Umbricht, A., Fingerhood, M., Bigelow, G. E., &amp; Silverman, K. (2018). Predictors of induction onto extended-release naltrexone among unemployed heroin-dependent adults. </w:t>
      </w:r>
      <w:r w:rsidRPr="004C4852">
        <w:rPr>
          <w:rFonts w:ascii="Times New Roman" w:eastAsia="Times New Roman" w:hAnsi="Times New Roman" w:cs="Times New Roman"/>
          <w:i/>
          <w:iCs/>
          <w:sz w:val="24"/>
          <w:szCs w:val="24"/>
        </w:rPr>
        <w:t>Journal of Substance Abuse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 38–44. </w:t>
      </w:r>
      <w:hyperlink r:id="rId2714" w:history="1">
        <w:r w:rsidRPr="004C4852">
          <w:rPr>
            <w:rFonts w:ascii="Times New Roman" w:eastAsia="Times New Roman" w:hAnsi="Times New Roman" w:cs="Times New Roman"/>
            <w:color w:val="0000FF"/>
            <w:sz w:val="24"/>
            <w:szCs w:val="24"/>
            <w:u w:val="single"/>
          </w:rPr>
          <w:t>https://doi.org/10.1016/j.jsat.2017.04.012</w:t>
        </w:r>
      </w:hyperlink>
    </w:p>
    <w:p w14:paraId="5A6C69D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Jarvis, B. P., Holtyn, A. F., DeFulio, A., Koffarnus, M. N., Leoutsakos, J.-M. S., Umbricht, A., Fingerhood, M., Bigelow, G. E., &amp; Silverman, K. (2019). The effects of extended-release injectable naltrexone and incentives for opiate abstinence in heroin-dependent adults in a model therapeutic workplace: A randomized trial. </w:t>
      </w:r>
      <w:r w:rsidRPr="004C4852">
        <w:rPr>
          <w:rFonts w:ascii="Times New Roman" w:eastAsia="Times New Roman" w:hAnsi="Times New Roman" w:cs="Times New Roman"/>
          <w:i/>
          <w:iCs/>
          <w:sz w:val="24"/>
          <w:szCs w:val="24"/>
        </w:rPr>
        <w:t>Drug and Alcohol Dependence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197</w:t>
      </w:r>
      <w:r w:rsidRPr="004C4852">
        <w:rPr>
          <w:rFonts w:ascii="Times New Roman" w:eastAsia="Times New Roman" w:hAnsi="Times New Roman" w:cs="Times New Roman"/>
          <w:sz w:val="24"/>
          <w:szCs w:val="24"/>
        </w:rPr>
        <w:t xml:space="preserve">, 220–227. </w:t>
      </w:r>
      <w:hyperlink r:id="rId2715" w:history="1">
        <w:r w:rsidRPr="004C4852">
          <w:rPr>
            <w:rFonts w:ascii="Times New Roman" w:eastAsia="Times New Roman" w:hAnsi="Times New Roman" w:cs="Times New Roman"/>
            <w:color w:val="0000FF"/>
            <w:sz w:val="24"/>
            <w:szCs w:val="24"/>
            <w:u w:val="single"/>
          </w:rPr>
          <w:t>https://doi.org/10.1016/j.drugalcdep.2018.12.026</w:t>
        </w:r>
      </w:hyperlink>
    </w:p>
    <w:p w14:paraId="0C260A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Jasien, J. M., Bonner, M., D’alli, R., Prange, L., Mclean, M., Sachdev, M., Uchitel, J., Ricano, J., Smith, B., &amp; Mikati, M. A. (2019). Cognitive, adaptive, and behavioral profiles and management of alternating hemiplegia of childhood. </w:t>
      </w:r>
      <w:r w:rsidRPr="004C4852">
        <w:rPr>
          <w:rFonts w:ascii="Times New Roman" w:eastAsia="Times New Roman" w:hAnsi="Times New Roman" w:cs="Times New Roman"/>
          <w:i/>
          <w:iCs/>
          <w:sz w:val="24"/>
          <w:szCs w:val="24"/>
        </w:rPr>
        <w:t>Developmental Medicine &amp;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(5), 547–554. </w:t>
      </w:r>
      <w:hyperlink r:id="rId2716" w:history="1">
        <w:r w:rsidRPr="004C4852">
          <w:rPr>
            <w:rFonts w:ascii="Times New Roman" w:eastAsia="Times New Roman" w:hAnsi="Times New Roman" w:cs="Times New Roman"/>
            <w:color w:val="0000FF"/>
            <w:sz w:val="24"/>
            <w:szCs w:val="24"/>
            <w:u w:val="single"/>
          </w:rPr>
          <w:t>https://doi.org/10.1111/dmcn.14077</w:t>
        </w:r>
      </w:hyperlink>
    </w:p>
    <w:p w14:paraId="2A63C6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Jasinski, L. J., Berry, D. T. R., Shandera, A. L., &amp; Clark, J. A. (2011). Use of the Wechsler Adult Intelligence Scale Digit Span subtest for malingering detection: A meta-analytic review.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(3), 300–314. </w:t>
      </w:r>
      <w:hyperlink r:id="rId2717" w:history="1">
        <w:r w:rsidRPr="004C4852">
          <w:rPr>
            <w:rFonts w:ascii="Times New Roman" w:eastAsia="Times New Roman" w:hAnsi="Times New Roman" w:cs="Times New Roman"/>
            <w:color w:val="0000FF"/>
            <w:sz w:val="24"/>
            <w:szCs w:val="24"/>
            <w:u w:val="single"/>
          </w:rPr>
          <w:t>https://doi.org/10.1080/13803395.2010.516743</w:t>
        </w:r>
      </w:hyperlink>
    </w:p>
    <w:p w14:paraId="50D1CE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Jauhar, S., Blackett, A., Srireddy, P., &amp; McKenna, P. J. (2010). Pernicious anaemia presenting as catatonia without signs of anaemia or macrocytosis. </w:t>
      </w:r>
      <w:r w:rsidRPr="004C4852">
        <w:rPr>
          <w:rFonts w:ascii="Times New Roman" w:eastAsia="Times New Roman" w:hAnsi="Times New Roman" w:cs="Times New Roman"/>
          <w:i/>
          <w:iCs/>
          <w:sz w:val="24"/>
          <w:szCs w:val="24"/>
        </w:rPr>
        <w:t>The British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197</w:t>
      </w:r>
      <w:r w:rsidRPr="004C4852">
        <w:rPr>
          <w:rFonts w:ascii="Times New Roman" w:eastAsia="Times New Roman" w:hAnsi="Times New Roman" w:cs="Times New Roman"/>
          <w:sz w:val="24"/>
          <w:szCs w:val="24"/>
        </w:rPr>
        <w:t xml:space="preserve">(3), 244–245. </w:t>
      </w:r>
      <w:hyperlink r:id="rId2718" w:history="1">
        <w:r w:rsidRPr="004C4852">
          <w:rPr>
            <w:rFonts w:ascii="Times New Roman" w:eastAsia="Times New Roman" w:hAnsi="Times New Roman" w:cs="Times New Roman"/>
            <w:color w:val="0000FF"/>
            <w:sz w:val="24"/>
            <w:szCs w:val="24"/>
            <w:u w:val="single"/>
          </w:rPr>
          <w:t>https://doi.org/10.1192/bjp.bp.108.054072</w:t>
        </w:r>
      </w:hyperlink>
    </w:p>
    <w:p w14:paraId="1BEDDA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Jauregi, J., Arias, C., Vegas, O., Alén, F., Martinez, S., Copet, P., &amp; Thuilleaux, D. (2007). A neuropsychological assessment of frontal cognitive functions in Prader-Willi syndrome. </w:t>
      </w:r>
      <w:r w:rsidRPr="004C4852">
        <w:rPr>
          <w:rFonts w:ascii="Times New Roman" w:eastAsia="Times New Roman" w:hAnsi="Times New Roman" w:cs="Times New Roman"/>
          <w:i/>
          <w:iCs/>
          <w:sz w:val="24"/>
          <w:szCs w:val="24"/>
        </w:rPr>
        <w:t>Journal of Intellectual Disability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(5), 350–365. </w:t>
      </w:r>
      <w:hyperlink r:id="rId2719" w:history="1">
        <w:r w:rsidRPr="004C4852">
          <w:rPr>
            <w:rFonts w:ascii="Times New Roman" w:eastAsia="Times New Roman" w:hAnsi="Times New Roman" w:cs="Times New Roman"/>
            <w:color w:val="0000FF"/>
            <w:sz w:val="24"/>
            <w:szCs w:val="24"/>
            <w:u w:val="single"/>
          </w:rPr>
          <w:t>https://doi.org/10.1111/j.1365-2788.2006.00883.x</w:t>
        </w:r>
      </w:hyperlink>
    </w:p>
    <w:p w14:paraId="0ED5F4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Javan, S. S., &amp; Ghonsooly, B. (2018). Learning a foreign language: A new path to enhancement of cognitive functions. </w:t>
      </w:r>
      <w:r w:rsidRPr="004C4852">
        <w:rPr>
          <w:rFonts w:ascii="Times New Roman" w:eastAsia="Times New Roman" w:hAnsi="Times New Roman" w:cs="Times New Roman"/>
          <w:i/>
          <w:iCs/>
          <w:sz w:val="24"/>
          <w:szCs w:val="24"/>
        </w:rPr>
        <w:t>Journal of Psycholinguistic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(1), 125–138. </w:t>
      </w:r>
      <w:hyperlink r:id="rId2720" w:history="1">
        <w:r w:rsidRPr="004C4852">
          <w:rPr>
            <w:rFonts w:ascii="Times New Roman" w:eastAsia="Times New Roman" w:hAnsi="Times New Roman" w:cs="Times New Roman"/>
            <w:color w:val="0000FF"/>
            <w:sz w:val="24"/>
            <w:szCs w:val="24"/>
            <w:u w:val="single"/>
          </w:rPr>
          <w:t>https://doi.org/10.1007/s10936-017-9518-7</w:t>
        </w:r>
      </w:hyperlink>
    </w:p>
    <w:p w14:paraId="411E8F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Javitt, D. C. (2013). Neurobiological determinants of cognition. In </w:t>
      </w:r>
      <w:r w:rsidRPr="004C4852">
        <w:rPr>
          <w:rFonts w:ascii="Times New Roman" w:eastAsia="Times New Roman" w:hAnsi="Times New Roman" w:cs="Times New Roman"/>
          <w:i/>
          <w:iCs/>
          <w:sz w:val="24"/>
          <w:szCs w:val="24"/>
        </w:rPr>
        <w:t>Cognitive impairment in schizophrenia: Characteristics, assessment and treatment.</w:t>
      </w:r>
      <w:r w:rsidRPr="004C4852">
        <w:rPr>
          <w:rFonts w:ascii="Times New Roman" w:eastAsia="Times New Roman" w:hAnsi="Times New Roman" w:cs="Times New Roman"/>
          <w:sz w:val="24"/>
          <w:szCs w:val="24"/>
        </w:rPr>
        <w:t xml:space="preserve"> (pp. 176–192). Cambridge University Press. </w:t>
      </w:r>
      <w:hyperlink r:id="rId2721" w:history="1">
        <w:r w:rsidRPr="004C4852">
          <w:rPr>
            <w:rFonts w:ascii="Times New Roman" w:eastAsia="Times New Roman" w:hAnsi="Times New Roman" w:cs="Times New Roman"/>
            <w:color w:val="0000FF"/>
            <w:sz w:val="24"/>
            <w:szCs w:val="24"/>
            <w:u w:val="single"/>
          </w:rPr>
          <w:t>https://doi.org/10.1017/CBO9781139003872.012</w:t>
        </w:r>
      </w:hyperlink>
    </w:p>
    <w:p w14:paraId="4C68B9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Jazbec, S., Pantelis, C., Robbins, T., Weickert, T., Weinberger, D. R., &amp; Goldberg, T. E. (2007). Intra-dimensional/extra-dimensional set-shifting performance in schizophrenia: Impact of distractors.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(1–3), 339–349. </w:t>
      </w:r>
      <w:hyperlink r:id="rId2722" w:history="1">
        <w:r w:rsidRPr="004C4852">
          <w:rPr>
            <w:rFonts w:ascii="Times New Roman" w:eastAsia="Times New Roman" w:hAnsi="Times New Roman" w:cs="Times New Roman"/>
            <w:color w:val="0000FF"/>
            <w:sz w:val="24"/>
            <w:szCs w:val="24"/>
            <w:u w:val="single"/>
          </w:rPr>
          <w:t>https://doi.org/10.1016/j.schres.2006.08.014</w:t>
        </w:r>
      </w:hyperlink>
    </w:p>
    <w:p w14:paraId="689F38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Jeejeebhoy, D. R., Tarafder, S., Chatterjee, N., &amp; Mukhopadhyay, P. (2018). Impulsivity versus compulsivity: Personality predisposition and executive functioning in OCD, OCSD and BPD. </w:t>
      </w:r>
      <w:r w:rsidRPr="004C4852">
        <w:rPr>
          <w:rFonts w:ascii="Times New Roman" w:eastAsia="Times New Roman" w:hAnsi="Times New Roman" w:cs="Times New Roman"/>
          <w:i/>
          <w:iCs/>
          <w:sz w:val="24"/>
          <w:szCs w:val="24"/>
        </w:rPr>
        <w:t>Obsessive Compulsive Disorder: A Neuropsychological Approach.</w:t>
      </w:r>
      <w:r w:rsidRPr="004C4852">
        <w:rPr>
          <w:rFonts w:ascii="Times New Roman" w:eastAsia="Times New Roman" w:hAnsi="Times New Roman" w:cs="Times New Roman"/>
          <w:sz w:val="24"/>
          <w:szCs w:val="24"/>
        </w:rPr>
        <w:t xml:space="preserve">, 173–204. </w:t>
      </w:r>
      <w:hyperlink r:id="rId2723" w:history="1">
        <w:r w:rsidRPr="004C4852">
          <w:rPr>
            <w:rFonts w:ascii="Times New Roman" w:eastAsia="Times New Roman" w:hAnsi="Times New Roman" w:cs="Times New Roman"/>
            <w:color w:val="0000FF"/>
            <w:sz w:val="24"/>
            <w:szCs w:val="24"/>
            <w:u w:val="single"/>
          </w:rPr>
          <w:t>https://doi.org/10.4135/9789353280765.n7</w:t>
        </w:r>
      </w:hyperlink>
    </w:p>
    <w:p w14:paraId="3F43E0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Jefferies, E., Baker, S. S., Doran, M., &amp; Lambon Ralph, M. A. (2007). Refractory effects in stroke aphasia: A consequence of poor semantic control.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45</w:t>
      </w:r>
      <w:r w:rsidRPr="004C4852">
        <w:rPr>
          <w:rFonts w:ascii="Times New Roman" w:eastAsia="Times New Roman" w:hAnsi="Times New Roman" w:cs="Times New Roman"/>
          <w:sz w:val="24"/>
          <w:szCs w:val="24"/>
        </w:rPr>
        <w:t xml:space="preserve">(5), 1065–1079. </w:t>
      </w:r>
      <w:hyperlink r:id="rId2724" w:history="1">
        <w:r w:rsidRPr="004C4852">
          <w:rPr>
            <w:rFonts w:ascii="Times New Roman" w:eastAsia="Times New Roman" w:hAnsi="Times New Roman" w:cs="Times New Roman"/>
            <w:color w:val="0000FF"/>
            <w:sz w:val="24"/>
            <w:szCs w:val="24"/>
            <w:u w:val="single"/>
          </w:rPr>
          <w:t>https://doi.org/10.1016/j.neuropsychologia.2006.09.009</w:t>
        </w:r>
      </w:hyperlink>
    </w:p>
    <w:p w14:paraId="2A08458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Jefferies, E., Patterson, K., &amp; Ralph, M. A. L. (2008). Deficits of knowledge versus executive control in semantic cognition: Insights from cued naming.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(2), 649–658. </w:t>
      </w:r>
      <w:hyperlink r:id="rId2725" w:history="1">
        <w:r w:rsidRPr="004C4852">
          <w:rPr>
            <w:rFonts w:ascii="Times New Roman" w:eastAsia="Times New Roman" w:hAnsi="Times New Roman" w:cs="Times New Roman"/>
            <w:color w:val="0000FF"/>
            <w:sz w:val="24"/>
            <w:szCs w:val="24"/>
            <w:u w:val="single"/>
          </w:rPr>
          <w:t>https://doi.org/10.1016/j.neuropsychologia.2007.09.007</w:t>
        </w:r>
      </w:hyperlink>
    </w:p>
    <w:p w14:paraId="1A5EFF6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Jefferies, E., &amp; Ralph, M. A. L. (2006). Semantic impairment in stroke aphasia versus semantic dementia: A case-series comparison.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129</w:t>
      </w:r>
      <w:r w:rsidRPr="004C4852">
        <w:rPr>
          <w:rFonts w:ascii="Times New Roman" w:eastAsia="Times New Roman" w:hAnsi="Times New Roman" w:cs="Times New Roman"/>
          <w:sz w:val="24"/>
          <w:szCs w:val="24"/>
        </w:rPr>
        <w:t xml:space="preserve">(8), 2132–2147. </w:t>
      </w:r>
      <w:hyperlink r:id="rId2726" w:history="1">
        <w:r w:rsidRPr="004C4852">
          <w:rPr>
            <w:rFonts w:ascii="Times New Roman" w:eastAsia="Times New Roman" w:hAnsi="Times New Roman" w:cs="Times New Roman"/>
            <w:color w:val="0000FF"/>
            <w:sz w:val="24"/>
            <w:szCs w:val="24"/>
            <w:u w:val="single"/>
          </w:rPr>
          <w:t>https://doi.org/10.1093/brain/awl153</w:t>
        </w:r>
      </w:hyperlink>
    </w:p>
    <w:p w14:paraId="49795D0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Jehna, M., Langkammer, C., Wallner-Blazek, M., Neuper, C., Loitfelder, M., Ropele, S., Fuchs, S., Khalil, M., Pluta-Fuerst, A., Fazekas, F., &amp; Enzinger, C. (2011). Cognitively preserved MS patients demonstrate functional differences in processing neutral and emotional faces. </w:t>
      </w:r>
      <w:r w:rsidRPr="004C4852">
        <w:rPr>
          <w:rFonts w:ascii="Times New Roman" w:eastAsia="Times New Roman" w:hAnsi="Times New Roman" w:cs="Times New Roman"/>
          <w:i/>
          <w:iCs/>
          <w:sz w:val="24"/>
          <w:szCs w:val="24"/>
        </w:rPr>
        <w:t>Brain Imaging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(4), 241–251. </w:t>
      </w:r>
      <w:hyperlink r:id="rId2727" w:history="1">
        <w:r w:rsidRPr="004C4852">
          <w:rPr>
            <w:rFonts w:ascii="Times New Roman" w:eastAsia="Times New Roman" w:hAnsi="Times New Roman" w:cs="Times New Roman"/>
            <w:color w:val="0000FF"/>
            <w:sz w:val="24"/>
            <w:szCs w:val="24"/>
            <w:u w:val="single"/>
          </w:rPr>
          <w:t>https://doi.org/10.1007/s11682-011-9128-1</w:t>
        </w:r>
      </w:hyperlink>
    </w:p>
    <w:p w14:paraId="4FF28F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Jenkins, M., Cohen, R., Malloy, P., Salloway, S., Johnson, E. G., Penn, J., &amp; Marcotte, A. (1998). Neuropsychological measures which discriminate among adults with residual symptoms of attention deficit disorder and other attentional complaints. </w:t>
      </w:r>
      <w:r w:rsidRPr="004C4852">
        <w:rPr>
          <w:rFonts w:ascii="Times New Roman" w:eastAsia="Times New Roman" w:hAnsi="Times New Roman" w:cs="Times New Roman"/>
          <w:i/>
          <w:iCs/>
          <w:sz w:val="24"/>
          <w:szCs w:val="24"/>
        </w:rPr>
        <w:t>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(1), 74–83. </w:t>
      </w:r>
      <w:hyperlink r:id="rId2728" w:history="1">
        <w:r w:rsidRPr="004C4852">
          <w:rPr>
            <w:rFonts w:ascii="Times New Roman" w:eastAsia="Times New Roman" w:hAnsi="Times New Roman" w:cs="Times New Roman"/>
            <w:color w:val="0000FF"/>
            <w:sz w:val="24"/>
            <w:szCs w:val="24"/>
            <w:u w:val="single"/>
          </w:rPr>
          <w:t>https://doi.org/10.1076/clin.12.1.74.1725</w:t>
        </w:r>
      </w:hyperlink>
    </w:p>
    <w:p w14:paraId="27654C2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Jenner, C., Reali, G., Puopolo, M., &amp; Silveri, M. C. (2006). Can cognitive and behavioural disorders differentiate frontal variant-frontotemporal dementia from Alzheimer’s disease at early stages?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(2), 89–95. </w:t>
      </w:r>
      <w:hyperlink r:id="rId2729" w:history="1">
        <w:r w:rsidRPr="004C4852">
          <w:rPr>
            <w:rFonts w:ascii="Times New Roman" w:eastAsia="Times New Roman" w:hAnsi="Times New Roman" w:cs="Times New Roman"/>
            <w:color w:val="0000FF"/>
            <w:sz w:val="24"/>
            <w:szCs w:val="24"/>
            <w:u w:val="single"/>
          </w:rPr>
          <w:t>https://doi.org/10.1155/2006/812760</w:t>
        </w:r>
      </w:hyperlink>
    </w:p>
    <w:p w14:paraId="7426EA0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Jensen, J., Nilsson, L.-L., &amp; Levander, S. (2004). Neurocognitive and psychopathological correlates of self-monitoring ability in schizophrenia.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254</w:t>
      </w:r>
      <w:r w:rsidRPr="004C4852">
        <w:rPr>
          <w:rFonts w:ascii="Times New Roman" w:eastAsia="Times New Roman" w:hAnsi="Times New Roman" w:cs="Times New Roman"/>
          <w:sz w:val="24"/>
          <w:szCs w:val="24"/>
        </w:rPr>
        <w:t xml:space="preserve">(5), 312–317. </w:t>
      </w:r>
      <w:hyperlink r:id="rId2730" w:history="1">
        <w:r w:rsidRPr="004C4852">
          <w:rPr>
            <w:rFonts w:ascii="Times New Roman" w:eastAsia="Times New Roman" w:hAnsi="Times New Roman" w:cs="Times New Roman"/>
            <w:color w:val="0000FF"/>
            <w:sz w:val="24"/>
            <w:szCs w:val="24"/>
            <w:u w:val="single"/>
          </w:rPr>
          <w:t>https://doi.org/10.1007/s00406-004-0504-3</w:t>
        </w:r>
      </w:hyperlink>
    </w:p>
    <w:p w14:paraId="13EDE0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Jensen-Campbell, L. A., &amp; Graziano, W. G. (2005). The two faces of temptation: Differing motives for self-control. </w:t>
      </w:r>
      <w:r w:rsidRPr="004C4852">
        <w:rPr>
          <w:rFonts w:ascii="Times New Roman" w:eastAsia="Times New Roman" w:hAnsi="Times New Roman" w:cs="Times New Roman"/>
          <w:i/>
          <w:iCs/>
          <w:sz w:val="24"/>
          <w:szCs w:val="24"/>
        </w:rPr>
        <w:t>Merrill-Palmer Quarterly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(3), 287–314. </w:t>
      </w:r>
      <w:hyperlink r:id="rId2731" w:history="1">
        <w:r w:rsidRPr="004C4852">
          <w:rPr>
            <w:rFonts w:ascii="Times New Roman" w:eastAsia="Times New Roman" w:hAnsi="Times New Roman" w:cs="Times New Roman"/>
            <w:color w:val="0000FF"/>
            <w:sz w:val="24"/>
            <w:szCs w:val="24"/>
            <w:u w:val="single"/>
          </w:rPr>
          <w:t>https://doi.org/10.1353/mpq.2005.0014</w:t>
        </w:r>
      </w:hyperlink>
    </w:p>
    <w:p w14:paraId="27DA7C4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Jeon, D.-W., Jung, D.-U., Kim, S.-J., Shim, J.-C., Moon, J.-J., Seo, Y.-S., Jung, S.-S., Seo, B.-J., Kim, J.-E., Oh, M., &amp; Kim, Y.-N. (2018). Adjunct transcranial direct current stimulation improves cognitive function in patients with schizophrenia: A double-blind 12-week study.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197</w:t>
      </w:r>
      <w:r w:rsidRPr="004C4852">
        <w:rPr>
          <w:rFonts w:ascii="Times New Roman" w:eastAsia="Times New Roman" w:hAnsi="Times New Roman" w:cs="Times New Roman"/>
          <w:sz w:val="24"/>
          <w:szCs w:val="24"/>
        </w:rPr>
        <w:t xml:space="preserve">, 378–385. </w:t>
      </w:r>
      <w:hyperlink r:id="rId2732" w:history="1">
        <w:r w:rsidRPr="004C4852">
          <w:rPr>
            <w:rFonts w:ascii="Times New Roman" w:eastAsia="Times New Roman" w:hAnsi="Times New Roman" w:cs="Times New Roman"/>
            <w:color w:val="0000FF"/>
            <w:sz w:val="24"/>
            <w:szCs w:val="24"/>
            <w:u w:val="single"/>
          </w:rPr>
          <w:t>https://doi.org/10.1016/j.schres.2017.12.009</w:t>
        </w:r>
      </w:hyperlink>
    </w:p>
    <w:p w14:paraId="03DF63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Jeong, B. S., Han, D. H., Kim, S. M., Lee, S. W., &amp; Renshaw, P. F. (2016). White matter connectivity and internet gaming disorder. </w:t>
      </w:r>
      <w:r w:rsidRPr="004C4852">
        <w:rPr>
          <w:rFonts w:ascii="Times New Roman" w:eastAsia="Times New Roman" w:hAnsi="Times New Roman" w:cs="Times New Roman"/>
          <w:i/>
          <w:iCs/>
          <w:sz w:val="24"/>
          <w:szCs w:val="24"/>
        </w:rPr>
        <w:t>Addiction Biology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(3), 732–742. </w:t>
      </w:r>
      <w:hyperlink r:id="rId2733" w:history="1">
        <w:r w:rsidRPr="004C4852">
          <w:rPr>
            <w:rFonts w:ascii="Times New Roman" w:eastAsia="Times New Roman" w:hAnsi="Times New Roman" w:cs="Times New Roman"/>
            <w:color w:val="0000FF"/>
            <w:sz w:val="24"/>
            <w:szCs w:val="24"/>
            <w:u w:val="single"/>
          </w:rPr>
          <w:t>https://doi.org/10.1111/adb.12246</w:t>
        </w:r>
      </w:hyperlink>
    </w:p>
    <w:p w14:paraId="2BEB861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Jepsen, J. R. M., Fagerlund, B., Pagsberg, A. K., Christensen, A. M. R., Nordentoft, M., &amp; Mortensen, E. L. (2010). Deficient maturation of aspects of attention and executive functions in early onset schizophrenia. </w:t>
      </w:r>
      <w:r w:rsidRPr="004C4852">
        <w:rPr>
          <w:rFonts w:ascii="Times New Roman" w:eastAsia="Times New Roman" w:hAnsi="Times New Roman" w:cs="Times New Roman"/>
          <w:i/>
          <w:iCs/>
          <w:sz w:val="24"/>
          <w:szCs w:val="24"/>
        </w:rPr>
        <w:t>European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(10), 773–786. </w:t>
      </w:r>
      <w:hyperlink r:id="rId2734" w:history="1">
        <w:r w:rsidRPr="004C4852">
          <w:rPr>
            <w:rFonts w:ascii="Times New Roman" w:eastAsia="Times New Roman" w:hAnsi="Times New Roman" w:cs="Times New Roman"/>
            <w:color w:val="0000FF"/>
            <w:sz w:val="24"/>
            <w:szCs w:val="24"/>
            <w:u w:val="single"/>
          </w:rPr>
          <w:t>https://doi.org/10.1007/s00787-010-0126-4</w:t>
        </w:r>
      </w:hyperlink>
    </w:p>
    <w:p w14:paraId="0583FFA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Jepsen, J. R. M., Fagerlund, B., Pagsberg, A. K., Christensen, A. M. R., Nordentoft, M., &amp; Mortensen, E. L. (2013). Profile of cognitive deficits and associations with depressive symptoms and intelligence in chronic early‐onset schizophrenia patients. </w:t>
      </w:r>
      <w:r w:rsidRPr="004C4852">
        <w:rPr>
          <w:rFonts w:ascii="Times New Roman" w:eastAsia="Times New Roman" w:hAnsi="Times New Roman" w:cs="Times New Roman"/>
          <w:i/>
          <w:iCs/>
          <w:sz w:val="24"/>
          <w:szCs w:val="24"/>
        </w:rPr>
        <w:t>Scandinavian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(5), 363–370. </w:t>
      </w:r>
      <w:hyperlink r:id="rId2735" w:history="1">
        <w:r w:rsidRPr="004C4852">
          <w:rPr>
            <w:rFonts w:ascii="Times New Roman" w:eastAsia="Times New Roman" w:hAnsi="Times New Roman" w:cs="Times New Roman"/>
            <w:color w:val="0000FF"/>
            <w:sz w:val="24"/>
            <w:szCs w:val="24"/>
            <w:u w:val="single"/>
          </w:rPr>
          <w:t>https://doi.org/10.1111/sjop.12062</w:t>
        </w:r>
      </w:hyperlink>
    </w:p>
    <w:p w14:paraId="33F3F86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Jesso, S., Morlog, D., Ross, S., Pell, M. D., Pasternak, S. H., Mitchell, D. G. V., Kertesz, A., &amp; Finger, E. C. (2011). The effects of oxytocin on social cognition and behaviour in frontotemporal dementia.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134</w:t>
      </w:r>
      <w:r w:rsidRPr="004C4852">
        <w:rPr>
          <w:rFonts w:ascii="Times New Roman" w:eastAsia="Times New Roman" w:hAnsi="Times New Roman" w:cs="Times New Roman"/>
          <w:sz w:val="24"/>
          <w:szCs w:val="24"/>
        </w:rPr>
        <w:t xml:space="preserve">(9), 2493–2501. </w:t>
      </w:r>
      <w:hyperlink r:id="rId2736" w:history="1">
        <w:r w:rsidRPr="004C4852">
          <w:rPr>
            <w:rFonts w:ascii="Times New Roman" w:eastAsia="Times New Roman" w:hAnsi="Times New Roman" w:cs="Times New Roman"/>
            <w:color w:val="0000FF"/>
            <w:sz w:val="24"/>
            <w:szCs w:val="24"/>
            <w:u w:val="single"/>
          </w:rPr>
          <w:t>https://doi.org/10.1093/brain/awr171</w:t>
        </w:r>
      </w:hyperlink>
    </w:p>
    <w:p w14:paraId="318D1A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Jeste, D. V., Harris, M. J., Krull, A., Kuck, J., McAdams, L. A., &amp; Heaton, R. (1995). Clinical and neuropsychological characteristics of patients with late-onset schizophrenia.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152</w:t>
      </w:r>
      <w:r w:rsidRPr="004C4852">
        <w:rPr>
          <w:rFonts w:ascii="Times New Roman" w:eastAsia="Times New Roman" w:hAnsi="Times New Roman" w:cs="Times New Roman"/>
          <w:sz w:val="24"/>
          <w:szCs w:val="24"/>
        </w:rPr>
        <w:t xml:space="preserve">(5), 722–730. </w:t>
      </w:r>
      <w:hyperlink r:id="rId2737" w:history="1">
        <w:r w:rsidRPr="004C4852">
          <w:rPr>
            <w:rFonts w:ascii="Times New Roman" w:eastAsia="Times New Roman" w:hAnsi="Times New Roman" w:cs="Times New Roman"/>
            <w:color w:val="0000FF"/>
            <w:sz w:val="24"/>
            <w:szCs w:val="24"/>
            <w:u w:val="single"/>
          </w:rPr>
          <w:t>https://doi.org/10.1176/ajp.152.5.722</w:t>
        </w:r>
      </w:hyperlink>
    </w:p>
    <w:p w14:paraId="0D310D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Jester, J. M., Nigg, J. T., Puttler, L. I., Long, J. C., Fitzgerald, H. E., &amp; Zucker, R. A. (2009). Intergenerational transmission of neuropsychological executive functioning.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(1), 145–153. </w:t>
      </w:r>
      <w:hyperlink r:id="rId2738" w:history="1">
        <w:r w:rsidRPr="004C4852">
          <w:rPr>
            <w:rFonts w:ascii="Times New Roman" w:eastAsia="Times New Roman" w:hAnsi="Times New Roman" w:cs="Times New Roman"/>
            <w:color w:val="0000FF"/>
            <w:sz w:val="24"/>
            <w:szCs w:val="24"/>
            <w:u w:val="single"/>
          </w:rPr>
          <w:t>https://doi.org/10.1016/j.bandc.2009.01.005</w:t>
        </w:r>
      </w:hyperlink>
    </w:p>
    <w:p w14:paraId="2DDB197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Jha, M. (2012). Theory of mind deficit in schizophrenia and associated cognitive functions. </w:t>
      </w:r>
      <w:r w:rsidRPr="004C4852">
        <w:rPr>
          <w:rFonts w:ascii="Times New Roman" w:eastAsia="Times New Roman" w:hAnsi="Times New Roman" w:cs="Times New Roman"/>
          <w:i/>
          <w:iCs/>
          <w:sz w:val="24"/>
          <w:szCs w:val="24"/>
        </w:rPr>
        <w:t>Psychological Studies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(3), 283–291. </w:t>
      </w:r>
      <w:hyperlink r:id="rId2739" w:history="1">
        <w:r w:rsidRPr="004C4852">
          <w:rPr>
            <w:rFonts w:ascii="Times New Roman" w:eastAsia="Times New Roman" w:hAnsi="Times New Roman" w:cs="Times New Roman"/>
            <w:color w:val="0000FF"/>
            <w:sz w:val="24"/>
            <w:szCs w:val="24"/>
            <w:u w:val="single"/>
          </w:rPr>
          <w:t>https://doi.org/10.1007/s12646-012-0148-8</w:t>
        </w:r>
      </w:hyperlink>
    </w:p>
    <w:p w14:paraId="496C617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 W., Li, N., Ju, K., Zheng, H., Yang, C., Xu, P., Chen, S., Cao, A., Chen, X., &amp; Guo, L. (2015). Association of Catechol-O-methyltransferase val/met polymorphism with cognitive function in Gilles de la Tourette syndrome patients. </w:t>
      </w:r>
      <w:r w:rsidRPr="004C4852">
        <w:rPr>
          <w:rFonts w:ascii="Times New Roman" w:eastAsia="Times New Roman" w:hAnsi="Times New Roman" w:cs="Times New Roman"/>
          <w:i/>
          <w:iCs/>
          <w:sz w:val="24"/>
          <w:szCs w:val="24"/>
        </w:rPr>
        <w:t>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(4), 561–570. </w:t>
      </w:r>
      <w:hyperlink r:id="rId2740" w:history="1">
        <w:r w:rsidRPr="004C4852">
          <w:rPr>
            <w:rFonts w:ascii="Times New Roman" w:eastAsia="Times New Roman" w:hAnsi="Times New Roman" w:cs="Times New Roman"/>
            <w:color w:val="0000FF"/>
            <w:sz w:val="24"/>
            <w:szCs w:val="24"/>
            <w:u w:val="single"/>
          </w:rPr>
          <w:t>https://doi.org/10.1007/s10072-014-1992-1</w:t>
        </w:r>
      </w:hyperlink>
    </w:p>
    <w:p w14:paraId="5DE3E2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Jian, Y., &amp; Xue-Rong, L. (2004). The Relationship between Insight and Executive Function in Schizophrenia. [The Relationship between Insight and Executive Function in Schizophrenia.].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(1), 79–80.</w:t>
      </w:r>
    </w:p>
    <w:p w14:paraId="0A7170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Jiang, W., &amp; Lu, Y.-Z. (2010). The efficacy of modified electro-convulsive treatment with different wave-width and the effects on cognitive function in patients with mood disorders. [The efficacy of modified electro-convulsive treatment with different wave-width and the effects on cogn. </w:t>
      </w:r>
      <w:r w:rsidRPr="004C4852">
        <w:rPr>
          <w:rFonts w:ascii="Times New Roman" w:eastAsia="Times New Roman" w:hAnsi="Times New Roman" w:cs="Times New Roman"/>
          <w:i/>
          <w:iCs/>
          <w:sz w:val="24"/>
          <w:szCs w:val="24"/>
        </w:rPr>
        <w:t>Chinese Mental Health Journal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(9), 669–673.</w:t>
      </w:r>
    </w:p>
    <w:p w14:paraId="3D04D5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Jiang, Y., Zhu, Y., Wu, J., Zhou, N., Hu, P., &amp; Wang, K. (2016). Moral judgment in patients with idiopathic generalized epilepsy. </w:t>
      </w:r>
      <w:r w:rsidRPr="004C4852">
        <w:rPr>
          <w:rFonts w:ascii="Times New Roman" w:eastAsia="Times New Roman" w:hAnsi="Times New Roman" w:cs="Times New Roman"/>
          <w:i/>
          <w:iCs/>
          <w:sz w:val="24"/>
          <w:szCs w:val="24"/>
        </w:rPr>
        <w:t>Seizure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 154–159. </w:t>
      </w:r>
      <w:hyperlink r:id="rId2741" w:history="1">
        <w:r w:rsidRPr="004C4852">
          <w:rPr>
            <w:rFonts w:ascii="Times New Roman" w:eastAsia="Times New Roman" w:hAnsi="Times New Roman" w:cs="Times New Roman"/>
            <w:color w:val="0000FF"/>
            <w:sz w:val="24"/>
            <w:szCs w:val="24"/>
            <w:u w:val="single"/>
          </w:rPr>
          <w:t>https://doi.org/10.1016/j.seizure.2016.08.002</w:t>
        </w:r>
      </w:hyperlink>
    </w:p>
    <w:p w14:paraId="7D707D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Jiaxiu, Z., Jing, L., &amp; Weihong, K. (2003). Comparison between Quetiapine and Chlorpromazine in Cognitive Function of Schizophrenic Patients. [Comparison between Quetiapine and Chlorpromazine in Cognitive Function of Schizophrenic Patients.]. </w:t>
      </w:r>
      <w:r w:rsidRPr="004C4852">
        <w:rPr>
          <w:rFonts w:ascii="Times New Roman" w:eastAsia="Times New Roman" w:hAnsi="Times New Roman" w:cs="Times New Roman"/>
          <w:i/>
          <w:iCs/>
          <w:sz w:val="24"/>
          <w:szCs w:val="24"/>
        </w:rPr>
        <w:t>Chinese Mental Health Journal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(10), 699–701.</w:t>
      </w:r>
    </w:p>
    <w:p w14:paraId="5F96C0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Jibiki, I., Kagara, Y., Kishizawa, S., Kurokawa, K., Fukushima, T., Furuta, H., &amp; Yamaguchi, N. (1994). Case study of monosymptomatic delusion of unpleasant body odor with structural frontal abnormality. </w:t>
      </w:r>
      <w:r w:rsidRPr="004C4852">
        <w:rPr>
          <w:rFonts w:ascii="Times New Roman" w:eastAsia="Times New Roman" w:hAnsi="Times New Roman" w:cs="Times New Roman"/>
          <w:i/>
          <w:iCs/>
          <w:sz w:val="24"/>
          <w:szCs w:val="24"/>
        </w:rPr>
        <w:t>Neuropsychobiology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(1), 7–10. </w:t>
      </w:r>
      <w:hyperlink r:id="rId2742" w:history="1">
        <w:r w:rsidRPr="004C4852">
          <w:rPr>
            <w:rFonts w:ascii="Times New Roman" w:eastAsia="Times New Roman" w:hAnsi="Times New Roman" w:cs="Times New Roman"/>
            <w:color w:val="0000FF"/>
            <w:sz w:val="24"/>
            <w:szCs w:val="24"/>
            <w:u w:val="single"/>
          </w:rPr>
          <w:t>https://doi.org/10.1159/000119127</w:t>
        </w:r>
      </w:hyperlink>
    </w:p>
    <w:p w14:paraId="356F02E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Jiménez, E., Solé, B., Arias, B., Mitjans, M., Varo, C., Reinares, M., Bonnín, C. del M., Ruíz, V., Saiz, P. A., García‐Portilla, M. P., Burón, P., Bobes, J., Amann, B. L., Martínez‐Arán, A., Torrent, C., Vieta, E., &amp; Benabarre, A. (2017). Impact of childhood trauma on cognitive profile in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(5), 363–374. </w:t>
      </w:r>
      <w:hyperlink r:id="rId2743" w:history="1">
        <w:r w:rsidRPr="004C4852">
          <w:rPr>
            <w:rFonts w:ascii="Times New Roman" w:eastAsia="Times New Roman" w:hAnsi="Times New Roman" w:cs="Times New Roman"/>
            <w:color w:val="0000FF"/>
            <w:sz w:val="24"/>
            <w:szCs w:val="24"/>
            <w:u w:val="single"/>
          </w:rPr>
          <w:t>https://doi.org/10.1111/bdi.12514</w:t>
        </w:r>
      </w:hyperlink>
    </w:p>
    <w:p w14:paraId="7ECEA1D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Jiménez, E., Solé, B., Arias, B., Mitjans, M., Varo, C., Reinares, M., Bonnín, C. M., Salagre, E., Ruíz, V., Torres, I., Tomioka, Y., Sáiz, P. A., García-Portilla, M. P., Burón, P., Bobes, J., Martínez-Arán, A., Torrent, C., Vieta, E., &amp; Benabarre, A. (2018). Characterizing decision-making and reward processing in bipolar disorder: A cluster analysis. </w:t>
      </w:r>
      <w:r w:rsidRPr="004C4852">
        <w:rPr>
          <w:rFonts w:ascii="Times New Roman" w:eastAsia="Times New Roman" w:hAnsi="Times New Roman" w:cs="Times New Roman"/>
          <w:i/>
          <w:iCs/>
          <w:sz w:val="24"/>
          <w:szCs w:val="24"/>
        </w:rPr>
        <w:t>European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(7), 863–874. </w:t>
      </w:r>
      <w:hyperlink r:id="rId2744" w:history="1">
        <w:r w:rsidRPr="004C4852">
          <w:rPr>
            <w:rFonts w:ascii="Times New Roman" w:eastAsia="Times New Roman" w:hAnsi="Times New Roman" w:cs="Times New Roman"/>
            <w:color w:val="0000FF"/>
            <w:sz w:val="24"/>
            <w:szCs w:val="24"/>
            <w:u w:val="single"/>
          </w:rPr>
          <w:t>https://doi.org/10.1016/j.euroneuro.2018.04.001</w:t>
        </w:r>
      </w:hyperlink>
    </w:p>
    <w:p w14:paraId="5822C99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Jiménez-López, E., Aparicio, A. I., Sánchez-Morla, E. M., Rodriguez-Jimenez, R., Vieta, E., &amp; Santos, J. L. (2017). Neurocognition in patients with psychotic and non-psychotic bipolar I disorder. A comparative study with individuals with schizophrenia.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222</w:t>
      </w:r>
      <w:r w:rsidRPr="004C4852">
        <w:rPr>
          <w:rFonts w:ascii="Times New Roman" w:eastAsia="Times New Roman" w:hAnsi="Times New Roman" w:cs="Times New Roman"/>
          <w:sz w:val="24"/>
          <w:szCs w:val="24"/>
        </w:rPr>
        <w:t xml:space="preserve">, 169–176. </w:t>
      </w:r>
      <w:hyperlink r:id="rId2745" w:history="1">
        <w:r w:rsidRPr="004C4852">
          <w:rPr>
            <w:rFonts w:ascii="Times New Roman" w:eastAsia="Times New Roman" w:hAnsi="Times New Roman" w:cs="Times New Roman"/>
            <w:color w:val="0000FF"/>
            <w:sz w:val="24"/>
            <w:szCs w:val="24"/>
            <w:u w:val="single"/>
          </w:rPr>
          <w:t>https://doi.org/10.1016/j.jad.2017.07.014</w:t>
        </w:r>
      </w:hyperlink>
    </w:p>
    <w:p w14:paraId="499C40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Jing, Y., Xue-li, S., &amp; Hong-ming, W. (2004). Relationships Between Cognitive Functions and Gender, Age, Education among the Normal Adults. [Relationships Between Cognitive Functions and Gender, Age, Education among the Normal Adults.]. </w:t>
      </w:r>
      <w:r w:rsidRPr="004C4852">
        <w:rPr>
          <w:rFonts w:ascii="Times New Roman" w:eastAsia="Times New Roman" w:hAnsi="Times New Roman" w:cs="Times New Roman"/>
          <w:i/>
          <w:iCs/>
          <w:sz w:val="24"/>
          <w:szCs w:val="24"/>
        </w:rPr>
        <w:t>Chinese Journal of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(4), 414–416.</w:t>
      </w:r>
    </w:p>
    <w:p w14:paraId="0A5BCE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Jiongjiong, Y., Xiaolin, Z., Yaxu, Z., &amp; Ling, Y. (2002). Retrograde amnesia, frontal lobe, and remote memory organization. [Retrograde amnesia, frontal lobe, and remote memory organization.]. </w:t>
      </w:r>
      <w:r w:rsidRPr="004C4852">
        <w:rPr>
          <w:rFonts w:ascii="Times New Roman" w:eastAsia="Times New Roman" w:hAnsi="Times New Roman" w:cs="Times New Roman"/>
          <w:i/>
          <w:iCs/>
          <w:sz w:val="24"/>
          <w:szCs w:val="24"/>
        </w:rPr>
        <w:t>Acta Psychologica Sinica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(2), 141–147.</w:t>
      </w:r>
    </w:p>
    <w:p w14:paraId="7F174A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Jiskoot, L. C., Dopper, E. G. P., den Heijer, T., Timman, R., van Minkelen, R., van Swieten, J. C., &amp; Papma, J. M. (2016). Presymptomatic cognitive decline in familial frontotemporal dementia: A longitudinal study. </w:t>
      </w:r>
      <w:r w:rsidRPr="004C4852">
        <w:rPr>
          <w:rFonts w:ascii="Times New Roman" w:eastAsia="Times New Roman" w:hAnsi="Times New Roman" w:cs="Times New Roman"/>
          <w:i/>
          <w:iCs/>
          <w:sz w:val="24"/>
          <w:szCs w:val="24"/>
        </w:rPr>
        <w:t>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87</w:t>
      </w:r>
      <w:r w:rsidRPr="004C4852">
        <w:rPr>
          <w:rFonts w:ascii="Times New Roman" w:eastAsia="Times New Roman" w:hAnsi="Times New Roman" w:cs="Times New Roman"/>
          <w:sz w:val="24"/>
          <w:szCs w:val="24"/>
        </w:rPr>
        <w:t xml:space="preserve">(4), 384–391. </w:t>
      </w:r>
      <w:hyperlink r:id="rId2746" w:history="1">
        <w:r w:rsidRPr="004C4852">
          <w:rPr>
            <w:rFonts w:ascii="Times New Roman" w:eastAsia="Times New Roman" w:hAnsi="Times New Roman" w:cs="Times New Roman"/>
            <w:color w:val="0000FF"/>
            <w:sz w:val="24"/>
            <w:szCs w:val="24"/>
            <w:u w:val="single"/>
          </w:rPr>
          <w:t>https://doi.org/10.1212/WNL.0000000000002895</w:t>
        </w:r>
      </w:hyperlink>
    </w:p>
    <w:p w14:paraId="3B83BE8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Jodar, M., Martos, P., Fernández, S., Canovas, D., &amp; Rovira, A. (2011). Neuropsychological profile of bilateral paramedian infarctions: Three cases.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(4), 345–352. </w:t>
      </w:r>
      <w:hyperlink r:id="rId2747" w:history="1">
        <w:r w:rsidRPr="004C4852">
          <w:rPr>
            <w:rFonts w:ascii="Times New Roman" w:eastAsia="Times New Roman" w:hAnsi="Times New Roman" w:cs="Times New Roman"/>
            <w:color w:val="0000FF"/>
            <w:sz w:val="24"/>
            <w:szCs w:val="24"/>
            <w:u w:val="single"/>
          </w:rPr>
          <w:t>https://doi.org/10.1080/13554794.2010.509324</w:t>
        </w:r>
      </w:hyperlink>
    </w:p>
    <w:p w14:paraId="483172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Jodzio, K., &amp; Biechowska, D. (2010). Wisconsin Card Sorting Test as a measure of executive function impairments in stroke patients.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(4), 267–277. </w:t>
      </w:r>
      <w:hyperlink r:id="rId2748" w:history="1">
        <w:r w:rsidRPr="004C4852">
          <w:rPr>
            <w:rFonts w:ascii="Times New Roman" w:eastAsia="Times New Roman" w:hAnsi="Times New Roman" w:cs="Times New Roman"/>
            <w:color w:val="0000FF"/>
            <w:sz w:val="24"/>
            <w:szCs w:val="24"/>
            <w:u w:val="single"/>
          </w:rPr>
          <w:t>https://doi.org/10.1080/09084282.2010.525104</w:t>
        </w:r>
      </w:hyperlink>
    </w:p>
    <w:p w14:paraId="2C1589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Joel, D., Weiner, I., &amp; Feldon, J. (1997). Electrolytic lesions of the medial prefrontal cortex in rats disrupt performance on an analog of the Wisconsin Card Sorting Test, but do not disrupt latent inhibition: Implications for animal models of schizophrenia. </w:t>
      </w:r>
      <w:r w:rsidRPr="004C4852">
        <w:rPr>
          <w:rFonts w:ascii="Times New Roman" w:eastAsia="Times New Roman" w:hAnsi="Times New Roman" w:cs="Times New Roman"/>
          <w:i/>
          <w:iCs/>
          <w:sz w:val="24"/>
          <w:szCs w:val="24"/>
        </w:rPr>
        <w:t>Behavioural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(2), 187–201. </w:t>
      </w:r>
      <w:hyperlink r:id="rId2749" w:history="1">
        <w:r w:rsidRPr="004C4852">
          <w:rPr>
            <w:rFonts w:ascii="Times New Roman" w:eastAsia="Times New Roman" w:hAnsi="Times New Roman" w:cs="Times New Roman"/>
            <w:color w:val="0000FF"/>
            <w:sz w:val="24"/>
            <w:szCs w:val="24"/>
            <w:u w:val="single"/>
          </w:rPr>
          <w:t>https://doi.org/10.1016/S0166-4328(97)87583-3</w:t>
        </w:r>
      </w:hyperlink>
    </w:p>
    <w:p w14:paraId="514FF1B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Johansen Lundervold, A., &amp; Mathisen, G. E. (1998). En modellbasert kartlegging av kognitiv egnethet for bilkjøring. [A model-based assessment of the cognitive ability to drive.]. </w:t>
      </w:r>
      <w:r w:rsidRPr="004C4852">
        <w:rPr>
          <w:rFonts w:ascii="Times New Roman" w:eastAsia="Times New Roman" w:hAnsi="Times New Roman" w:cs="Times New Roman"/>
          <w:i/>
          <w:iCs/>
          <w:sz w:val="24"/>
          <w:szCs w:val="24"/>
        </w:rPr>
        <w:t>Tidsskrift for Norsk Psykologforening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(10), 960–968.</w:t>
      </w:r>
    </w:p>
    <w:p w14:paraId="02F9C0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Johansen, R., Iversen, V. C., Melle, I., &amp; Hestad, K. A. (2013). Therapeutic alliance in early schizophrenia spectrum disorders: A cross-sectional study. </w:t>
      </w:r>
      <w:r w:rsidRPr="004C4852">
        <w:rPr>
          <w:rFonts w:ascii="Times New Roman" w:eastAsia="Times New Roman" w:hAnsi="Times New Roman" w:cs="Times New Roman"/>
          <w:i/>
          <w:iCs/>
          <w:sz w:val="24"/>
          <w:szCs w:val="24"/>
        </w:rPr>
        <w:t>Annals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 </w:t>
      </w:r>
      <w:hyperlink r:id="rId2750" w:history="1">
        <w:r w:rsidRPr="004C4852">
          <w:rPr>
            <w:rFonts w:ascii="Times New Roman" w:eastAsia="Times New Roman" w:hAnsi="Times New Roman" w:cs="Times New Roman"/>
            <w:color w:val="0000FF"/>
            <w:sz w:val="24"/>
            <w:szCs w:val="24"/>
            <w:u w:val="single"/>
          </w:rPr>
          <w:t>https://doi.org/10.1186/1744-859X-12-14</w:t>
        </w:r>
      </w:hyperlink>
    </w:p>
    <w:p w14:paraId="4259892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Johari, K., Ashrafi, F., Zali, A., Ashayeri, H., Fabbro, F., &amp; Zanini, S. (2013). Grammatical deficits in bilingual Azari–Farsi patients with Parkinson’s disease. </w:t>
      </w:r>
      <w:r w:rsidRPr="004C4852">
        <w:rPr>
          <w:rFonts w:ascii="Times New Roman" w:eastAsia="Times New Roman" w:hAnsi="Times New Roman" w:cs="Times New Roman"/>
          <w:i/>
          <w:iCs/>
          <w:sz w:val="24"/>
          <w:szCs w:val="24"/>
        </w:rPr>
        <w:t>Journal of Neurolinguistics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22–30. </w:t>
      </w:r>
      <w:hyperlink r:id="rId2751" w:history="1">
        <w:r w:rsidRPr="004C4852">
          <w:rPr>
            <w:rFonts w:ascii="Times New Roman" w:eastAsia="Times New Roman" w:hAnsi="Times New Roman" w:cs="Times New Roman"/>
            <w:color w:val="0000FF"/>
            <w:sz w:val="24"/>
            <w:szCs w:val="24"/>
            <w:u w:val="single"/>
          </w:rPr>
          <w:t>https://doi.org/10.1016/j.jneuroling.2012.02.004</w:t>
        </w:r>
      </w:hyperlink>
    </w:p>
    <w:p w14:paraId="7FEF2A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(2013). The role of cognitive flexibility in cognitive restructuring skill acquisition among older adults. </w:t>
      </w:r>
      <w:r w:rsidRPr="004C4852">
        <w:rPr>
          <w:rFonts w:ascii="Times New Roman" w:eastAsia="Times New Roman" w:hAnsi="Times New Roman" w:cs="Times New Roman"/>
          <w:i/>
          <w:iCs/>
          <w:sz w:val="24"/>
          <w:szCs w:val="24"/>
        </w:rPr>
        <w:t>Journal of Anxiety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(6), 576–584. </w:t>
      </w:r>
      <w:hyperlink r:id="rId2752" w:history="1">
        <w:r w:rsidRPr="004C4852">
          <w:rPr>
            <w:rFonts w:ascii="Times New Roman" w:eastAsia="Times New Roman" w:hAnsi="Times New Roman" w:cs="Times New Roman"/>
            <w:color w:val="0000FF"/>
            <w:sz w:val="24"/>
            <w:szCs w:val="24"/>
            <w:u w:val="single"/>
          </w:rPr>
          <w:t>https://doi.org/10.1016/j.janxdis.2012.10.004</w:t>
        </w:r>
      </w:hyperlink>
    </w:p>
    <w:p w14:paraId="153314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(2014a). Reliability and validity of two self-report measures of cognitive flexibility. </w:t>
      </w:r>
      <w:r w:rsidRPr="004C4852">
        <w:rPr>
          <w:rFonts w:ascii="Times New Roman" w:eastAsia="Times New Roman" w:hAnsi="Times New Roman" w:cs="Times New Roman"/>
          <w:i/>
          <w:iCs/>
          <w:sz w:val="24"/>
          <w:szCs w:val="24"/>
        </w:rPr>
        <w:t>Psychological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 1381–1387. </w:t>
      </w:r>
      <w:hyperlink r:id="rId2753" w:history="1">
        <w:r w:rsidRPr="004C4852">
          <w:rPr>
            <w:rFonts w:ascii="Times New Roman" w:eastAsia="Times New Roman" w:hAnsi="Times New Roman" w:cs="Times New Roman"/>
            <w:color w:val="0000FF"/>
            <w:sz w:val="24"/>
            <w:szCs w:val="24"/>
            <w:u w:val="single"/>
          </w:rPr>
          <w:t>https://doi.org/10.1037/a0038009</w:t>
        </w:r>
      </w:hyperlink>
    </w:p>
    <w:p w14:paraId="63B7F5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(2014b). The influence of cognitive flexibility on treatment outcome and cognitive restructuring skill acquisition during cognitive behavioural treatment for anxiety and depression in older adults: Results of a pilot study. </w:t>
      </w:r>
      <w:r w:rsidRPr="004C4852">
        <w:rPr>
          <w:rFonts w:ascii="Times New Roman" w:eastAsia="Times New Roman" w:hAnsi="Times New Roman" w:cs="Times New Roman"/>
          <w:i/>
          <w:iCs/>
          <w:sz w:val="24"/>
          <w:szCs w:val="24"/>
        </w:rPr>
        <w:t>Behaviour Research and 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 55–64. </w:t>
      </w:r>
      <w:hyperlink r:id="rId2754" w:history="1">
        <w:r w:rsidRPr="004C4852">
          <w:rPr>
            <w:rFonts w:ascii="Times New Roman" w:eastAsia="Times New Roman" w:hAnsi="Times New Roman" w:cs="Times New Roman"/>
            <w:color w:val="0000FF"/>
            <w:sz w:val="24"/>
            <w:szCs w:val="24"/>
            <w:u w:val="single"/>
          </w:rPr>
          <w:t>https://doi.org/10.1016/j.brat.2014.04.005</w:t>
        </w:r>
      </w:hyperlink>
    </w:p>
    <w:p w14:paraId="235DFB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Johnco, C., Wuthrich, V. M., &amp; Rapee, R. M. (2015). The impact of late‐life anxiety and depression on cognitive flexibility and cognitive restructuring skill acquisition. </w:t>
      </w:r>
      <w:r w:rsidRPr="004C4852">
        <w:rPr>
          <w:rFonts w:ascii="Times New Roman" w:eastAsia="Times New Roman" w:hAnsi="Times New Roman" w:cs="Times New Roman"/>
          <w:i/>
          <w:iCs/>
          <w:sz w:val="24"/>
          <w:szCs w:val="24"/>
        </w:rPr>
        <w:t>Depression and Anxiety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(10), 754–762. </w:t>
      </w:r>
      <w:hyperlink r:id="rId2755" w:history="1">
        <w:r w:rsidRPr="004C4852">
          <w:rPr>
            <w:rFonts w:ascii="Times New Roman" w:eastAsia="Times New Roman" w:hAnsi="Times New Roman" w:cs="Times New Roman"/>
            <w:color w:val="0000FF"/>
            <w:sz w:val="24"/>
            <w:szCs w:val="24"/>
            <w:u w:val="single"/>
          </w:rPr>
          <w:t>https://doi.org/10.1002/da.22375</w:t>
        </w:r>
      </w:hyperlink>
    </w:p>
    <w:p w14:paraId="677C22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 B. T., Sheppard, C. L., Jones, M. N., &amp; Taler, V. (2016). The role of semantic diversity in word recognition across aging and bilingualism.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w:t>
      </w:r>
    </w:p>
    <w:p w14:paraId="203EFD0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Johnsen, G. E., Kanagaratnam, P., Nordling, T., Wilberg, C., &amp; Asbjørnsen, A. E. (2017). Psychophysiological responses to an executive task in refugees with chronic PTSD and comorbid depression. </w:t>
      </w:r>
      <w:r w:rsidRPr="004C4852">
        <w:rPr>
          <w:rFonts w:ascii="Times New Roman" w:eastAsia="Times New Roman" w:hAnsi="Times New Roman" w:cs="Times New Roman"/>
          <w:i/>
          <w:iCs/>
          <w:sz w:val="24"/>
          <w:szCs w:val="24"/>
        </w:rPr>
        <w:t>Nordic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69</w:t>
      </w:r>
      <w:r w:rsidRPr="004C4852">
        <w:rPr>
          <w:rFonts w:ascii="Times New Roman" w:eastAsia="Times New Roman" w:hAnsi="Times New Roman" w:cs="Times New Roman"/>
          <w:sz w:val="24"/>
          <w:szCs w:val="24"/>
        </w:rPr>
        <w:t xml:space="preserve">(3), 177–194. </w:t>
      </w:r>
      <w:hyperlink r:id="rId2756" w:history="1">
        <w:r w:rsidRPr="004C4852">
          <w:rPr>
            <w:rFonts w:ascii="Times New Roman" w:eastAsia="Times New Roman" w:hAnsi="Times New Roman" w:cs="Times New Roman"/>
            <w:color w:val="0000FF"/>
            <w:sz w:val="24"/>
            <w:szCs w:val="24"/>
            <w:u w:val="single"/>
          </w:rPr>
          <w:t>https://doi.org/10.1080/19012276.2016.1245157</w:t>
        </w:r>
      </w:hyperlink>
    </w:p>
    <w:p w14:paraId="2B7E25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B.-A. (1999). </w:t>
      </w:r>
      <w:r w:rsidRPr="004C4852">
        <w:rPr>
          <w:rFonts w:ascii="Times New Roman" w:eastAsia="Times New Roman" w:hAnsi="Times New Roman" w:cs="Times New Roman"/>
          <w:i/>
          <w:iCs/>
          <w:sz w:val="24"/>
          <w:szCs w:val="24"/>
        </w:rPr>
        <w:t>Neuropsychological findings in Vietnam veterans with combat-related posttraumatic stress disorder.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(2-B), 832–832.</w:t>
      </w:r>
    </w:p>
    <w:p w14:paraId="216D9F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J. K., Tuulio-Henriksson, A., Pirkola, T., Huttunen, M. O., Lönnqvist, J., Kaprio, J., &amp; Cannon, T. D. (2003). Do Schizotypal Symptoms Mediate the Relationship between Genetic Risk for Schizophrenia and Impaired Neuropsychological Performance in Co-Twins of Schizophrenic Patients?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(11), 1200–1204. </w:t>
      </w:r>
      <w:hyperlink r:id="rId2757" w:history="1">
        <w:r w:rsidRPr="004C4852">
          <w:rPr>
            <w:rFonts w:ascii="Times New Roman" w:eastAsia="Times New Roman" w:hAnsi="Times New Roman" w:cs="Times New Roman"/>
            <w:color w:val="0000FF"/>
            <w:sz w:val="24"/>
            <w:szCs w:val="24"/>
            <w:u w:val="single"/>
          </w:rPr>
          <w:t>https://doi.org/10.1016/S0006-3223(03)00637-1</w:t>
        </w:r>
      </w:hyperlink>
    </w:p>
    <w:p w14:paraId="059895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M. K. (1997). </w:t>
      </w:r>
      <w:r w:rsidRPr="004C4852">
        <w:rPr>
          <w:rFonts w:ascii="Times New Roman" w:eastAsia="Times New Roman" w:hAnsi="Times New Roman" w:cs="Times New Roman"/>
          <w:i/>
          <w:iCs/>
          <w:sz w:val="24"/>
          <w:szCs w:val="24"/>
        </w:rPr>
        <w:t>Quantitative EEG correlates of neuropsychological test performance among brain-injured adults.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58</w:t>
      </w:r>
      <w:r w:rsidRPr="004C4852">
        <w:rPr>
          <w:rFonts w:ascii="Times New Roman" w:eastAsia="Times New Roman" w:hAnsi="Times New Roman" w:cs="Times New Roman"/>
          <w:sz w:val="24"/>
          <w:szCs w:val="24"/>
        </w:rPr>
        <w:t>(5-B), 2739–2739.</w:t>
      </w:r>
    </w:p>
    <w:p w14:paraId="49A4814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 S. C., Christian, B. T., Okonkwo, O. C., Oh, J. M., Harding, S., Xu, G., Hillmer, A. T., Wooten, D. W., Murali, D., Barnhart, T. E., Hall, L. T., Racine, A. M., Klunk, W. E., Mathis, C. A., Bendlin, B. B., Gallagher, C. L., Carlsson, C. M., Rowley, H. A., Hermann, B. P., … Sager, M. A. (2014). Amyloid burden and neural function in people at risk for Alzheimer’s Disease. </w:t>
      </w:r>
      <w:r w:rsidRPr="004C4852">
        <w:rPr>
          <w:rFonts w:ascii="Times New Roman" w:eastAsia="Times New Roman" w:hAnsi="Times New Roman" w:cs="Times New Roman"/>
          <w:i/>
          <w:iCs/>
          <w:sz w:val="24"/>
          <w:szCs w:val="24"/>
        </w:rPr>
        <w:t>Neurobiology of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(3), 576–584. </w:t>
      </w:r>
      <w:hyperlink r:id="rId2758" w:history="1">
        <w:r w:rsidRPr="004C4852">
          <w:rPr>
            <w:rFonts w:ascii="Times New Roman" w:eastAsia="Times New Roman" w:hAnsi="Times New Roman" w:cs="Times New Roman"/>
            <w:color w:val="0000FF"/>
            <w:sz w:val="24"/>
            <w:szCs w:val="24"/>
            <w:u w:val="single"/>
          </w:rPr>
          <w:t>https://doi.org/10.1016/j.neurobiolaging.2013.09.028</w:t>
        </w:r>
      </w:hyperlink>
    </w:p>
    <w:p w14:paraId="4700D7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Johnson-Markve, B. L., Lee, G. P., Loring, D. W., &amp; Viner, K. M. (2011). Usefulness of verbal selective reminding in distinguishing frontal lobe memory disorders in epilepsy.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(2), 313–317. </w:t>
      </w:r>
      <w:hyperlink r:id="rId2759" w:history="1">
        <w:r w:rsidRPr="004C4852">
          <w:rPr>
            <w:rFonts w:ascii="Times New Roman" w:eastAsia="Times New Roman" w:hAnsi="Times New Roman" w:cs="Times New Roman"/>
            <w:color w:val="0000FF"/>
            <w:sz w:val="24"/>
            <w:szCs w:val="24"/>
            <w:u w:val="single"/>
          </w:rPr>
          <w:t>https://doi.org/10.1016/j.yebeh.2011.06.039</w:t>
        </w:r>
      </w:hyperlink>
    </w:p>
    <w:p w14:paraId="0650F35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Johnson-Selfridge, M. T. (1998). </w:t>
      </w:r>
      <w:r w:rsidRPr="004C4852">
        <w:rPr>
          <w:rFonts w:ascii="Times New Roman" w:eastAsia="Times New Roman" w:hAnsi="Times New Roman" w:cs="Times New Roman"/>
          <w:i/>
          <w:iCs/>
          <w:sz w:val="24"/>
          <w:szCs w:val="24"/>
        </w:rPr>
        <w:t>Moderator variables of executive functioning in schizophrenia: Meta-analytic findings.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(1-B), 419–419.</w:t>
      </w:r>
    </w:p>
    <w:p w14:paraId="6A939A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Johnson-Selfridge, M., &amp; Zalewski, C. (2001). Moderator variables of executive functioning in schizophrenia: Meta-analytic findings.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(2), 305–316. </w:t>
      </w:r>
      <w:hyperlink r:id="rId2760" w:history="1">
        <w:r w:rsidRPr="004C4852">
          <w:rPr>
            <w:rFonts w:ascii="Times New Roman" w:eastAsia="Times New Roman" w:hAnsi="Times New Roman" w:cs="Times New Roman"/>
            <w:color w:val="0000FF"/>
            <w:sz w:val="24"/>
            <w:szCs w:val="24"/>
            <w:u w:val="single"/>
          </w:rPr>
          <w:t>https://doi.org/10.1093/oxfordjournals.schbul.a006876</w:t>
        </w:r>
      </w:hyperlink>
    </w:p>
    <w:p w14:paraId="3B8CE2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Jokel, R., &amp; Anderson, N. D. (2012). Quest for the best: Effects of errorless and active encoding on word re-learning in semantic dementia. </w:t>
      </w:r>
      <w:r w:rsidRPr="004C4852">
        <w:rPr>
          <w:rFonts w:ascii="Times New Roman" w:eastAsia="Times New Roman" w:hAnsi="Times New Roman" w:cs="Times New Roman"/>
          <w:i/>
          <w:iCs/>
          <w:sz w:val="24"/>
          <w:szCs w:val="24"/>
        </w:rPr>
        <w:t>Neuropsychological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(2), 187–214. </w:t>
      </w:r>
      <w:hyperlink r:id="rId2761" w:history="1">
        <w:r w:rsidRPr="004C4852">
          <w:rPr>
            <w:rFonts w:ascii="Times New Roman" w:eastAsia="Times New Roman" w:hAnsi="Times New Roman" w:cs="Times New Roman"/>
            <w:color w:val="0000FF"/>
            <w:sz w:val="24"/>
            <w:szCs w:val="24"/>
            <w:u w:val="single"/>
          </w:rPr>
          <w:t>https://doi.org/10.1080/09602011.2011.639626</w:t>
        </w:r>
      </w:hyperlink>
    </w:p>
    <w:p w14:paraId="26CD60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Jokinen, H., Kalska, H., Mäntylä, R., Pohjasvaara, T., Ylikoski, R., Hietanen, M., Salonen, O., Kaste, M., &amp; Erkinjuntti, T. (2006). Cognitive profile of subcortical ischaemic vascular disease.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77</w:t>
      </w:r>
      <w:r w:rsidRPr="004C4852">
        <w:rPr>
          <w:rFonts w:ascii="Times New Roman" w:eastAsia="Times New Roman" w:hAnsi="Times New Roman" w:cs="Times New Roman"/>
          <w:sz w:val="24"/>
          <w:szCs w:val="24"/>
        </w:rPr>
        <w:t xml:space="preserve">(1), 28–33. </w:t>
      </w:r>
      <w:hyperlink r:id="rId2762" w:history="1">
        <w:r w:rsidRPr="004C4852">
          <w:rPr>
            <w:rFonts w:ascii="Times New Roman" w:eastAsia="Times New Roman" w:hAnsi="Times New Roman" w:cs="Times New Roman"/>
            <w:color w:val="0000FF"/>
            <w:sz w:val="24"/>
            <w:szCs w:val="24"/>
            <w:u w:val="single"/>
          </w:rPr>
          <w:t>https://doi.org/10.1136/jnnp.2005.069120</w:t>
        </w:r>
      </w:hyperlink>
    </w:p>
    <w:p w14:paraId="300DB94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Jokinen, H., Kalska, H., Mäntylä, R., Ylikoski, R., Hietanen, M., Pohjasvaara, T., Kaste, M., &amp; Erkinjuntti, T. (2005). White matter hyperintensities as a predictor of neuropsychological deficits post-stroke.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(9), 1229–1233. </w:t>
      </w:r>
      <w:hyperlink r:id="rId2763" w:history="1">
        <w:r w:rsidRPr="004C4852">
          <w:rPr>
            <w:rFonts w:ascii="Times New Roman" w:eastAsia="Times New Roman" w:hAnsi="Times New Roman" w:cs="Times New Roman"/>
            <w:color w:val="0000FF"/>
            <w:sz w:val="24"/>
            <w:szCs w:val="24"/>
            <w:u w:val="single"/>
          </w:rPr>
          <w:t>https://doi.org/10.1136/jnnp.2004.055657</w:t>
        </w:r>
      </w:hyperlink>
    </w:p>
    <w:p w14:paraId="198A83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Jokinen, H., Melkas, S., Ylikoski, R., Pohjasvaara, T., Kaste, M., Erkinjuntti, T., &amp; Hietanen, M. (2015). Post‐stroke cognitive impairment is common even after successful clinical recovery.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(9), 1288–1294. </w:t>
      </w:r>
      <w:hyperlink r:id="rId2764" w:history="1">
        <w:r w:rsidRPr="004C4852">
          <w:rPr>
            <w:rFonts w:ascii="Times New Roman" w:eastAsia="Times New Roman" w:hAnsi="Times New Roman" w:cs="Times New Roman"/>
            <w:color w:val="0000FF"/>
            <w:sz w:val="24"/>
            <w:szCs w:val="24"/>
            <w:u w:val="single"/>
          </w:rPr>
          <w:t>https://doi.org/10.1111/ene.12743</w:t>
        </w:r>
      </w:hyperlink>
    </w:p>
    <w:p w14:paraId="71D39A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Jollant, F., Lawrence, N. L., Olié, E., Guillaume, S., &amp; Courtet, P. (2011). The suicidal mind and brain: A review of neuropsychological and neuroimaging studies. </w:t>
      </w:r>
      <w:r w:rsidRPr="004C4852">
        <w:rPr>
          <w:rFonts w:ascii="Times New Roman" w:eastAsia="Times New Roman" w:hAnsi="Times New Roman" w:cs="Times New Roman"/>
          <w:i/>
          <w:iCs/>
          <w:sz w:val="24"/>
          <w:szCs w:val="24"/>
        </w:rPr>
        <w:t>The World Journal of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(5–6), 319–339. </w:t>
      </w:r>
      <w:hyperlink r:id="rId2765" w:history="1">
        <w:r w:rsidRPr="004C4852">
          <w:rPr>
            <w:rFonts w:ascii="Times New Roman" w:eastAsia="Times New Roman" w:hAnsi="Times New Roman" w:cs="Times New Roman"/>
            <w:color w:val="0000FF"/>
            <w:sz w:val="24"/>
            <w:szCs w:val="24"/>
            <w:u w:val="single"/>
          </w:rPr>
          <w:t>https://doi.org/10.3109/15622975.2011.556200</w:t>
        </w:r>
      </w:hyperlink>
    </w:p>
    <w:p w14:paraId="5DE423E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Jones, B. J., Pest, S. M., Vargas, I. M., Glisky, E. L., &amp; Fellous, J.-M. (2015). Contextual reminders fail to trigger memory reconsolidation in aged rats and aged humans. </w:t>
      </w:r>
      <w:r w:rsidRPr="004C4852">
        <w:rPr>
          <w:rFonts w:ascii="Times New Roman" w:eastAsia="Times New Roman" w:hAnsi="Times New Roman" w:cs="Times New Roman"/>
          <w:i/>
          <w:iCs/>
          <w:sz w:val="24"/>
          <w:szCs w:val="24"/>
        </w:rPr>
        <w:t>Neurobiology of Learning and Memory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120</w:t>
      </w:r>
      <w:r w:rsidRPr="004C4852">
        <w:rPr>
          <w:rFonts w:ascii="Times New Roman" w:eastAsia="Times New Roman" w:hAnsi="Times New Roman" w:cs="Times New Roman"/>
          <w:sz w:val="24"/>
          <w:szCs w:val="24"/>
        </w:rPr>
        <w:t xml:space="preserve">, 7–15. </w:t>
      </w:r>
      <w:hyperlink r:id="rId2766" w:history="1">
        <w:r w:rsidRPr="004C4852">
          <w:rPr>
            <w:rFonts w:ascii="Times New Roman" w:eastAsia="Times New Roman" w:hAnsi="Times New Roman" w:cs="Times New Roman"/>
            <w:color w:val="0000FF"/>
            <w:sz w:val="24"/>
            <w:szCs w:val="24"/>
            <w:u w:val="single"/>
          </w:rPr>
          <w:t>https://doi.org/10.1016/j.nlm.2015.02.003</w:t>
        </w:r>
      </w:hyperlink>
    </w:p>
    <w:p w14:paraId="1441DC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Jones, R. D. (2018). Neuropsychological assessment of aging individuals. In </w:t>
      </w:r>
      <w:r w:rsidRPr="004C4852">
        <w:rPr>
          <w:rFonts w:ascii="Times New Roman" w:eastAsia="Times New Roman" w:hAnsi="Times New Roman" w:cs="Times New Roman"/>
          <w:i/>
          <w:iCs/>
          <w:sz w:val="24"/>
          <w:szCs w:val="24"/>
        </w:rPr>
        <w:t>The Wiley handbook on the aging mind and brain.</w:t>
      </w:r>
      <w:r w:rsidRPr="004C4852">
        <w:rPr>
          <w:rFonts w:ascii="Times New Roman" w:eastAsia="Times New Roman" w:hAnsi="Times New Roman" w:cs="Times New Roman"/>
          <w:sz w:val="24"/>
          <w:szCs w:val="24"/>
        </w:rPr>
        <w:t xml:space="preserve"> (pp. 130–145). Wiley-Blackwell. </w:t>
      </w:r>
      <w:hyperlink r:id="rId2767" w:history="1">
        <w:r w:rsidRPr="004C4852">
          <w:rPr>
            <w:rFonts w:ascii="Times New Roman" w:eastAsia="Times New Roman" w:hAnsi="Times New Roman" w:cs="Times New Roman"/>
            <w:color w:val="0000FF"/>
            <w:sz w:val="24"/>
            <w:szCs w:val="24"/>
            <w:u w:val="single"/>
          </w:rPr>
          <w:t>https://doi.org/10.1002/9781118772034.ch7</w:t>
        </w:r>
      </w:hyperlink>
    </w:p>
    <w:p w14:paraId="3DC5A7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Jongkees, B. J., Hommel, B., Kühn, S., &amp; Colzato, L. S. (2015). Effect of tyrosine supplementation on clinical and healthy populations under stress or cognitive demands—A review.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 50–57. </w:t>
      </w:r>
      <w:hyperlink r:id="rId2768" w:history="1">
        <w:r w:rsidRPr="004C4852">
          <w:rPr>
            <w:rFonts w:ascii="Times New Roman" w:eastAsia="Times New Roman" w:hAnsi="Times New Roman" w:cs="Times New Roman"/>
            <w:color w:val="0000FF"/>
            <w:sz w:val="24"/>
            <w:szCs w:val="24"/>
            <w:u w:val="single"/>
          </w:rPr>
          <w:t>https://doi.org/10.1016/j.jpsychires.2015.08.014</w:t>
        </w:r>
      </w:hyperlink>
    </w:p>
    <w:p w14:paraId="62B2CC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Jonker, F. A., Jonker, C., Scheltens, P., &amp; Scherder, E. J. A. (2015). The role of the orbitofrontal cortex in cognition and behavior. </w:t>
      </w:r>
      <w:r w:rsidRPr="004C4852">
        <w:rPr>
          <w:rFonts w:ascii="Times New Roman" w:eastAsia="Times New Roman" w:hAnsi="Times New Roman" w:cs="Times New Roman"/>
          <w:i/>
          <w:iCs/>
          <w:sz w:val="24"/>
          <w:szCs w:val="24"/>
        </w:rPr>
        <w:t>Reviews in the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(1), 1–11. </w:t>
      </w:r>
      <w:hyperlink r:id="rId2769" w:history="1">
        <w:r w:rsidRPr="004C4852">
          <w:rPr>
            <w:rFonts w:ascii="Times New Roman" w:eastAsia="Times New Roman" w:hAnsi="Times New Roman" w:cs="Times New Roman"/>
            <w:color w:val="0000FF"/>
            <w:sz w:val="24"/>
            <w:szCs w:val="24"/>
            <w:u w:val="single"/>
          </w:rPr>
          <w:t>https://doi.org/10.1515/revneuro-2014-0043</w:t>
        </w:r>
      </w:hyperlink>
    </w:p>
    <w:p w14:paraId="005F97F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Jönsson, S. A. T. (1998). The Wechsler Adult Intelligence Scale (WAIS), but not the Defence Mechanism Test (DMTm), separates schizophrenics and normal controls in a factorial cluster analysis. </w:t>
      </w:r>
      <w:r w:rsidRPr="004C4852">
        <w:rPr>
          <w:rFonts w:ascii="Times New Roman" w:eastAsia="Times New Roman" w:hAnsi="Times New Roman" w:cs="Times New Roman"/>
          <w:i/>
          <w:iCs/>
          <w:sz w:val="24"/>
          <w:szCs w:val="24"/>
        </w:rPr>
        <w:t>Scandinavian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(2), 109–116. </w:t>
      </w:r>
      <w:hyperlink r:id="rId2770" w:history="1">
        <w:r w:rsidRPr="004C4852">
          <w:rPr>
            <w:rFonts w:ascii="Times New Roman" w:eastAsia="Times New Roman" w:hAnsi="Times New Roman" w:cs="Times New Roman"/>
            <w:color w:val="0000FF"/>
            <w:sz w:val="24"/>
            <w:szCs w:val="24"/>
            <w:u w:val="single"/>
          </w:rPr>
          <w:t>https://doi.org/10.1111/1467-9450.00063</w:t>
        </w:r>
      </w:hyperlink>
    </w:p>
    <w:p w14:paraId="6E55DA2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Joober, R., Gauthier, J., Lal, S., Bloom, D., Lalonde, P., Rouleau, G., Benkelfat, C., &amp; Labelle, A. (2002). Catechol-O-methyltransferase val-108/158-Met gene variants associated with performance on the Wisconsin Card Sorting Test. </w:t>
      </w:r>
      <w:r w:rsidRPr="004C4852">
        <w:rPr>
          <w:rFonts w:ascii="Times New Roman" w:eastAsia="Times New Roman" w:hAnsi="Times New Roman" w:cs="Times New Roman"/>
          <w:i/>
          <w:iCs/>
          <w:sz w:val="24"/>
          <w:szCs w:val="24"/>
        </w:rPr>
        <w:t>Archives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(7), 662–663. </w:t>
      </w:r>
      <w:hyperlink r:id="rId2771" w:history="1">
        <w:r w:rsidRPr="004C4852">
          <w:rPr>
            <w:rFonts w:ascii="Times New Roman" w:eastAsia="Times New Roman" w:hAnsi="Times New Roman" w:cs="Times New Roman"/>
            <w:color w:val="0000FF"/>
            <w:sz w:val="24"/>
            <w:szCs w:val="24"/>
            <w:u w:val="single"/>
          </w:rPr>
          <w:t>https://doi.org/10.1001/archpsyc.59.7.662</w:t>
        </w:r>
      </w:hyperlink>
    </w:p>
    <w:p w14:paraId="6E9E50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Jorge, R. E., Starkstein, S. E., Arndt, S., Moser, D., Crespo-Facorro, B., &amp; Robinson, R. G. (2005). Alcohol Misuse and Mood Disorders Following Traumatic Brain Injury. </w:t>
      </w:r>
      <w:r w:rsidRPr="004C4852">
        <w:rPr>
          <w:rFonts w:ascii="Times New Roman" w:eastAsia="Times New Roman" w:hAnsi="Times New Roman" w:cs="Times New Roman"/>
          <w:i/>
          <w:iCs/>
          <w:sz w:val="24"/>
          <w:szCs w:val="24"/>
        </w:rPr>
        <w:t>Archives of General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 xml:space="preserve">(7), 742–749. </w:t>
      </w:r>
      <w:hyperlink r:id="rId2772" w:history="1">
        <w:r w:rsidRPr="004C4852">
          <w:rPr>
            <w:rFonts w:ascii="Times New Roman" w:eastAsia="Times New Roman" w:hAnsi="Times New Roman" w:cs="Times New Roman"/>
            <w:color w:val="0000FF"/>
            <w:sz w:val="24"/>
            <w:szCs w:val="24"/>
            <w:u w:val="single"/>
          </w:rPr>
          <w:t>https://doi.org/10.1001/archpsyc.62.7.742</w:t>
        </w:r>
      </w:hyperlink>
    </w:p>
    <w:p w14:paraId="4A8D9E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Jory, J. I., Bruna, A. A., Muñoz-Neira, C., &amp; Chonchol, A. S. (2013). Chilean version of the INECO Frontal Screening (IFS-Ch): Psychometric properties and diagnostic accuracy. </w:t>
      </w:r>
      <w:r w:rsidRPr="004C4852">
        <w:rPr>
          <w:rFonts w:ascii="Times New Roman" w:eastAsia="Times New Roman" w:hAnsi="Times New Roman" w:cs="Times New Roman"/>
          <w:i/>
          <w:iCs/>
          <w:sz w:val="24"/>
          <w:szCs w:val="24"/>
        </w:rPr>
        <w:t>Dementia &amp; 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(1), 40–47. </w:t>
      </w:r>
      <w:hyperlink r:id="rId2773" w:history="1">
        <w:r w:rsidRPr="004C4852">
          <w:rPr>
            <w:rFonts w:ascii="Times New Roman" w:eastAsia="Times New Roman" w:hAnsi="Times New Roman" w:cs="Times New Roman"/>
            <w:color w:val="0000FF"/>
            <w:sz w:val="24"/>
            <w:szCs w:val="24"/>
            <w:u w:val="single"/>
          </w:rPr>
          <w:t>https://doi.org/10.1590/S1980-57642013DN70100007</w:t>
        </w:r>
      </w:hyperlink>
    </w:p>
    <w:p w14:paraId="3616288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Joseph, L., Black, D., &amp; Thurm, A. (2013). Autism spectrum disorders. In </w:t>
      </w:r>
      <w:r w:rsidRPr="004C4852">
        <w:rPr>
          <w:rFonts w:ascii="Times New Roman" w:eastAsia="Times New Roman" w:hAnsi="Times New Roman" w:cs="Times New Roman"/>
          <w:i/>
          <w:iCs/>
          <w:sz w:val="24"/>
          <w:szCs w:val="24"/>
        </w:rPr>
        <w:t>Pediatric neuropsychology: Medical advances and lifespan outcomes.</w:t>
      </w:r>
      <w:r w:rsidRPr="004C4852">
        <w:rPr>
          <w:rFonts w:ascii="Times New Roman" w:eastAsia="Times New Roman" w:hAnsi="Times New Roman" w:cs="Times New Roman"/>
          <w:sz w:val="24"/>
          <w:szCs w:val="24"/>
        </w:rPr>
        <w:t xml:space="preserve"> (pp. 27–52). Oxford University Press.</w:t>
      </w:r>
    </w:p>
    <w:p w14:paraId="0B1DEC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Joska, J. A., Combrinck, M., Valcour, V. G., Hoare, J., Leisegang, F., Mahne, A. C., Myer, L., &amp; Stein, D. J. (2010). Association between apolipoprotein E4 genotype and human immunodeficiency virus–associated dementia in younger adults starting antiretroviral therapy in South Africa. </w:t>
      </w:r>
      <w:r w:rsidRPr="004C4852">
        <w:rPr>
          <w:rFonts w:ascii="Times New Roman" w:eastAsia="Times New Roman" w:hAnsi="Times New Roman" w:cs="Times New Roman"/>
          <w:i/>
          <w:iCs/>
          <w:sz w:val="24"/>
          <w:szCs w:val="24"/>
        </w:rPr>
        <w:t>Journal of Neurovirology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(5), 377–383. </w:t>
      </w:r>
      <w:hyperlink r:id="rId2774" w:history="1">
        <w:r w:rsidRPr="004C4852">
          <w:rPr>
            <w:rFonts w:ascii="Times New Roman" w:eastAsia="Times New Roman" w:hAnsi="Times New Roman" w:cs="Times New Roman"/>
            <w:color w:val="0000FF"/>
            <w:sz w:val="24"/>
            <w:szCs w:val="24"/>
            <w:u w:val="single"/>
          </w:rPr>
          <w:t>https://doi.org/10.3109/13550284.2010.513365</w:t>
        </w:r>
      </w:hyperlink>
    </w:p>
    <w:p w14:paraId="15F6B3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Joska, J. A., Westgarth-Taylor, J., Hoare, J., Thomas, K. G. F., Paul, R., Myer, L., &amp; Stein, D. J. (2011). Validity of the International HIV Dementia Scale in South Africa. </w:t>
      </w:r>
      <w:r w:rsidRPr="004C4852">
        <w:rPr>
          <w:rFonts w:ascii="Times New Roman" w:eastAsia="Times New Roman" w:hAnsi="Times New Roman" w:cs="Times New Roman"/>
          <w:i/>
          <w:iCs/>
          <w:sz w:val="24"/>
          <w:szCs w:val="24"/>
        </w:rPr>
        <w:t>AIDS Patient Care and STDs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95–101. </w:t>
      </w:r>
      <w:hyperlink r:id="rId2775" w:history="1">
        <w:r w:rsidRPr="004C4852">
          <w:rPr>
            <w:rFonts w:ascii="Times New Roman" w:eastAsia="Times New Roman" w:hAnsi="Times New Roman" w:cs="Times New Roman"/>
            <w:color w:val="0000FF"/>
            <w:sz w:val="24"/>
            <w:szCs w:val="24"/>
            <w:u w:val="single"/>
          </w:rPr>
          <w:t>https://doi.org/10.1089/apc.2010.0292</w:t>
        </w:r>
      </w:hyperlink>
    </w:p>
    <w:p w14:paraId="3440CA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Joska, J. A., Witten, J., Thomas, K. G., Robertson, C., Casson-Crook, M., Roosa, H., Creighton, J., Lyons, J., McArthur, J., &amp; Sacktor, N. C. (2016). A comparison of five brief screening tools for HIV-associated neurocognitive disorders in the USA and South Africa. </w:t>
      </w:r>
      <w:r w:rsidRPr="004C4852">
        <w:rPr>
          <w:rFonts w:ascii="Times New Roman" w:eastAsia="Times New Roman" w:hAnsi="Times New Roman" w:cs="Times New Roman"/>
          <w:i/>
          <w:iCs/>
          <w:sz w:val="24"/>
          <w:szCs w:val="24"/>
        </w:rPr>
        <w:t>AIDS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(8), 1621–1631. </w:t>
      </w:r>
      <w:hyperlink r:id="rId2776" w:history="1">
        <w:r w:rsidRPr="004C4852">
          <w:rPr>
            <w:rFonts w:ascii="Times New Roman" w:eastAsia="Times New Roman" w:hAnsi="Times New Roman" w:cs="Times New Roman"/>
            <w:color w:val="0000FF"/>
            <w:sz w:val="24"/>
            <w:szCs w:val="24"/>
            <w:u w:val="single"/>
          </w:rPr>
          <w:t>https://doi.org/10.1007/s10461-016-1316-y</w:t>
        </w:r>
      </w:hyperlink>
    </w:p>
    <w:p w14:paraId="34AF02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Josman, N. (2011). The dynamic interactional model in schizophrenia. </w:t>
      </w:r>
      <w:r w:rsidRPr="004C4852">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4C4852">
        <w:rPr>
          <w:rFonts w:ascii="Times New Roman" w:eastAsia="Times New Roman" w:hAnsi="Times New Roman" w:cs="Times New Roman"/>
          <w:sz w:val="24"/>
          <w:szCs w:val="24"/>
        </w:rPr>
        <w:t>, 203–221.</w:t>
      </w:r>
    </w:p>
    <w:p w14:paraId="38F98E3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Josman, N., &amp; Katz, N. (2006). Relationships of categorization on tests and daily tasks in patients with schizophrenia, post-stroke patients and healthy controls.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141</w:t>
      </w:r>
      <w:r w:rsidRPr="004C4852">
        <w:rPr>
          <w:rFonts w:ascii="Times New Roman" w:eastAsia="Times New Roman" w:hAnsi="Times New Roman" w:cs="Times New Roman"/>
          <w:sz w:val="24"/>
          <w:szCs w:val="24"/>
        </w:rPr>
        <w:t xml:space="preserve">(1), 15–28. </w:t>
      </w:r>
      <w:hyperlink r:id="rId2777" w:history="1">
        <w:r w:rsidRPr="004C4852">
          <w:rPr>
            <w:rFonts w:ascii="Times New Roman" w:eastAsia="Times New Roman" w:hAnsi="Times New Roman" w:cs="Times New Roman"/>
            <w:color w:val="0000FF"/>
            <w:sz w:val="24"/>
            <w:szCs w:val="24"/>
            <w:u w:val="single"/>
          </w:rPr>
          <w:t>https://doi.org/10.1016/j.psychres.2004.03.015</w:t>
        </w:r>
      </w:hyperlink>
    </w:p>
    <w:p w14:paraId="58D26A5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Joubert, S., Barbeau, E., Walter, N., Ceccaldi, M., &amp; Poncet, M. (2003). Preservation of autobiographical memory in a case of pure progressive amnesia.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(2), 235–238. </w:t>
      </w:r>
      <w:hyperlink r:id="rId2778" w:history="1">
        <w:r w:rsidRPr="004C4852">
          <w:rPr>
            <w:rFonts w:ascii="Times New Roman" w:eastAsia="Times New Roman" w:hAnsi="Times New Roman" w:cs="Times New Roman"/>
            <w:color w:val="0000FF"/>
            <w:sz w:val="24"/>
            <w:szCs w:val="24"/>
            <w:u w:val="single"/>
          </w:rPr>
          <w:t>https://doi.org/10.1016/S0278-2626(03)00117-9</w:t>
        </w:r>
      </w:hyperlink>
    </w:p>
    <w:p w14:paraId="1B465D9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Joubert, S., Felician, O., Barbeau, E., Sontheimer, A., Barton, J. J., Ceccaldi, M., &amp; Poncet, M. (2003). Impaired configurational processing in a case of progressive prosopagnosia associated with predominant right temporal lobe atrophy.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126</w:t>
      </w:r>
      <w:r w:rsidRPr="004C4852">
        <w:rPr>
          <w:rFonts w:ascii="Times New Roman" w:eastAsia="Times New Roman" w:hAnsi="Times New Roman" w:cs="Times New Roman"/>
          <w:sz w:val="24"/>
          <w:szCs w:val="24"/>
        </w:rPr>
        <w:t xml:space="preserve">(11), 2537–2550. </w:t>
      </w:r>
      <w:hyperlink r:id="rId2779" w:history="1">
        <w:r w:rsidRPr="004C4852">
          <w:rPr>
            <w:rFonts w:ascii="Times New Roman" w:eastAsia="Times New Roman" w:hAnsi="Times New Roman" w:cs="Times New Roman"/>
            <w:color w:val="0000FF"/>
            <w:sz w:val="24"/>
            <w:szCs w:val="24"/>
            <w:u w:val="single"/>
          </w:rPr>
          <w:t>https://doi.org/10.1093/brain/awg259</w:t>
        </w:r>
      </w:hyperlink>
    </w:p>
    <w:p w14:paraId="7580C5A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Jovanovski, D., Zakzanis, K., Ruttan, L., Campbell, Z., Erb, S., &amp; Nussbaum, D. (2012). Ecologically valid assessment of executive dysfunction using a novel virtual reality task in patients with acquired brain injury. </w:t>
      </w:r>
      <w:r w:rsidRPr="004C4852">
        <w:rPr>
          <w:rFonts w:ascii="Times New Roman" w:eastAsia="Times New Roman" w:hAnsi="Times New Roman" w:cs="Times New Roman"/>
          <w:i/>
          <w:iCs/>
          <w:sz w:val="24"/>
          <w:szCs w:val="24"/>
        </w:rPr>
        <w:t>Applied Neuropsychology: Adult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(3), 207–220. </w:t>
      </w:r>
      <w:hyperlink r:id="rId2780" w:history="1">
        <w:r w:rsidRPr="004C4852">
          <w:rPr>
            <w:rFonts w:ascii="Times New Roman" w:eastAsia="Times New Roman" w:hAnsi="Times New Roman" w:cs="Times New Roman"/>
            <w:color w:val="0000FF"/>
            <w:sz w:val="24"/>
            <w:szCs w:val="24"/>
            <w:u w:val="single"/>
          </w:rPr>
          <w:t>https://doi.org/10.1080/09084282.2011.643956</w:t>
        </w:r>
      </w:hyperlink>
    </w:p>
    <w:p w14:paraId="682BEED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Joyal, C. C., Black, D. N., &amp; Dassylva, B. (2007). The neuropsychology and neurology of sexual deviance: A review and pilot study. </w:t>
      </w:r>
      <w:r w:rsidRPr="004C4852">
        <w:rPr>
          <w:rFonts w:ascii="Times New Roman" w:eastAsia="Times New Roman" w:hAnsi="Times New Roman" w:cs="Times New Roman"/>
          <w:i/>
          <w:iCs/>
          <w:sz w:val="24"/>
          <w:szCs w:val="24"/>
        </w:rPr>
        <w:t>Sexual Abuse: Journal of Research and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155–173. </w:t>
      </w:r>
      <w:hyperlink r:id="rId2781" w:history="1">
        <w:r w:rsidRPr="004C4852">
          <w:rPr>
            <w:rFonts w:ascii="Times New Roman" w:eastAsia="Times New Roman" w:hAnsi="Times New Roman" w:cs="Times New Roman"/>
            <w:color w:val="0000FF"/>
            <w:sz w:val="24"/>
            <w:szCs w:val="24"/>
            <w:u w:val="single"/>
          </w:rPr>
          <w:t>https://doi.org/10.1177/107906320701900206</w:t>
        </w:r>
      </w:hyperlink>
    </w:p>
    <w:p w14:paraId="7877618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Juncos, J. L., Lazarus, J. T., Graves-Allen, E., Shubeck, L., Rusin, M., Novak, G., Hamilton, D., Rohr, J., &amp; Sherman, S. L. (2011). New clinical findings in the fragile X-associated tremor ataxia syndrome (FXTAS). </w:t>
      </w:r>
      <w:r w:rsidRPr="004C4852">
        <w:rPr>
          <w:rFonts w:ascii="Times New Roman" w:eastAsia="Times New Roman" w:hAnsi="Times New Roman" w:cs="Times New Roman"/>
          <w:i/>
          <w:iCs/>
          <w:sz w:val="24"/>
          <w:szCs w:val="24"/>
        </w:rPr>
        <w:t>Neurogenetics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(2), 123–135. </w:t>
      </w:r>
      <w:hyperlink r:id="rId2782" w:history="1">
        <w:r w:rsidRPr="004C4852">
          <w:rPr>
            <w:rFonts w:ascii="Times New Roman" w:eastAsia="Times New Roman" w:hAnsi="Times New Roman" w:cs="Times New Roman"/>
            <w:color w:val="0000FF"/>
            <w:sz w:val="24"/>
            <w:szCs w:val="24"/>
            <w:u w:val="single"/>
          </w:rPr>
          <w:t>https://doi.org/10.1007/s10048-010-0270-5</w:t>
        </w:r>
      </w:hyperlink>
    </w:p>
    <w:p w14:paraId="16E5A90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Juncos-Rabadán, O., Pereiro, A. X., &amp; Rodríguez, M. S. (2005). Narrative speech in aging: Quantity, information content, and cohesion. </w:t>
      </w:r>
      <w:r w:rsidRPr="004C4852">
        <w:rPr>
          <w:rFonts w:ascii="Times New Roman" w:eastAsia="Times New Roman" w:hAnsi="Times New Roman" w:cs="Times New Roman"/>
          <w:i/>
          <w:iCs/>
          <w:sz w:val="24"/>
          <w:szCs w:val="24"/>
        </w:rPr>
        <w:t>Brain and Language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95</w:t>
      </w:r>
      <w:r w:rsidRPr="004C4852">
        <w:rPr>
          <w:rFonts w:ascii="Times New Roman" w:eastAsia="Times New Roman" w:hAnsi="Times New Roman" w:cs="Times New Roman"/>
          <w:sz w:val="24"/>
          <w:szCs w:val="24"/>
        </w:rPr>
        <w:t xml:space="preserve">(3), 423–434. </w:t>
      </w:r>
      <w:hyperlink r:id="rId2783" w:history="1">
        <w:r w:rsidRPr="004C4852">
          <w:rPr>
            <w:rFonts w:ascii="Times New Roman" w:eastAsia="Times New Roman" w:hAnsi="Times New Roman" w:cs="Times New Roman"/>
            <w:color w:val="0000FF"/>
            <w:sz w:val="24"/>
            <w:szCs w:val="24"/>
            <w:u w:val="single"/>
          </w:rPr>
          <w:t>https://doi.org/10.1016/j.bandl.2005.04.001</w:t>
        </w:r>
      </w:hyperlink>
    </w:p>
    <w:p w14:paraId="039226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Jung, C., Choi, S., Jeong, S., Song, C., Seo, W., Chung, U.-S., &amp; Lee, J. (2007). Multicenter, open-label study to evaluate the effects of methylphenidate-oros(concerta®) on cognitive functions in children with attention deficit hyperactivity disorder.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(1), 31–37.</w:t>
      </w:r>
    </w:p>
    <w:p w14:paraId="18DC7F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Jung, K.-Y., Cho, J.-W., Joo, E. Y., Kim, S. H., Choi, K. M., Chin, J., Park, K.-W., &amp; Hong, S. B. (2010). Cognitive effects of topiramate revealed by standardised low-resolution brain electromagnetic tomography (sloreta) of event-related potentials. </w:t>
      </w:r>
      <w:r w:rsidRPr="004C4852">
        <w:rPr>
          <w:rFonts w:ascii="Times New Roman" w:eastAsia="Times New Roman" w:hAnsi="Times New Roman" w:cs="Times New Roman"/>
          <w:i/>
          <w:iCs/>
          <w:sz w:val="24"/>
          <w:szCs w:val="24"/>
        </w:rPr>
        <w:t>Clinical Neurophysiology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121</w:t>
      </w:r>
      <w:r w:rsidRPr="004C4852">
        <w:rPr>
          <w:rFonts w:ascii="Times New Roman" w:eastAsia="Times New Roman" w:hAnsi="Times New Roman" w:cs="Times New Roman"/>
          <w:sz w:val="24"/>
          <w:szCs w:val="24"/>
        </w:rPr>
        <w:t xml:space="preserve">(9), 1494–1501. </w:t>
      </w:r>
      <w:hyperlink r:id="rId2784" w:history="1">
        <w:r w:rsidRPr="004C4852">
          <w:rPr>
            <w:rFonts w:ascii="Times New Roman" w:eastAsia="Times New Roman" w:hAnsi="Times New Roman" w:cs="Times New Roman"/>
            <w:color w:val="0000FF"/>
            <w:sz w:val="24"/>
            <w:szCs w:val="24"/>
            <w:u w:val="single"/>
          </w:rPr>
          <w:t>https://doi.org/10.1016/j.clinph.2010.03.013</w:t>
        </w:r>
      </w:hyperlink>
    </w:p>
    <w:p w14:paraId="5E23949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Jung, R. E., Wertz, C. J., Ramey, S. J., Mims, R. L., Flores, R. A., &amp; Chohan, M. O. (2020). Subcortical contributions to higher cognitive function in tumour patients undergoing awake craniotomy. </w:t>
      </w:r>
      <w:r w:rsidRPr="004C4852">
        <w:rPr>
          <w:rFonts w:ascii="Times New Roman" w:eastAsia="Times New Roman" w:hAnsi="Times New Roman" w:cs="Times New Roman"/>
          <w:i/>
          <w:iCs/>
          <w:sz w:val="24"/>
          <w:szCs w:val="24"/>
        </w:rPr>
        <w:t>Brain Communications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w:t>
      </w:r>
      <w:r w:rsidRPr="004C4852">
        <w:rPr>
          <w:rFonts w:ascii="Times New Roman" w:eastAsia="Times New Roman" w:hAnsi="Times New Roman" w:cs="Times New Roman"/>
          <w:sz w:val="24"/>
          <w:szCs w:val="24"/>
        </w:rPr>
        <w:t xml:space="preserve">(2). </w:t>
      </w:r>
      <w:hyperlink r:id="rId2785" w:history="1">
        <w:r w:rsidRPr="004C4852">
          <w:rPr>
            <w:rFonts w:ascii="Times New Roman" w:eastAsia="Times New Roman" w:hAnsi="Times New Roman" w:cs="Times New Roman"/>
            <w:color w:val="0000FF"/>
            <w:sz w:val="24"/>
            <w:szCs w:val="24"/>
            <w:u w:val="single"/>
          </w:rPr>
          <w:t>https://doi.org/10.1093/braincomms/fcaa084</w:t>
        </w:r>
      </w:hyperlink>
    </w:p>
    <w:p w14:paraId="160920C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Junque, C. (2015). Structural and functional neuroimaging of cognition and emotion in Parkinson’s disease. In </w:t>
      </w:r>
      <w:r w:rsidRPr="004C4852">
        <w:rPr>
          <w:rFonts w:ascii="Times New Roman" w:eastAsia="Times New Roman" w:hAnsi="Times New Roman" w:cs="Times New Roman"/>
          <w:i/>
          <w:iCs/>
          <w:sz w:val="24"/>
          <w:szCs w:val="24"/>
        </w:rPr>
        <w:t>Clinical neuropsychology and cognitive neurology of Parkinson’s disease and other movement disorders.</w:t>
      </w:r>
      <w:r w:rsidRPr="004C4852">
        <w:rPr>
          <w:rFonts w:ascii="Times New Roman" w:eastAsia="Times New Roman" w:hAnsi="Times New Roman" w:cs="Times New Roman"/>
          <w:sz w:val="24"/>
          <w:szCs w:val="24"/>
        </w:rPr>
        <w:t xml:space="preserve"> (pp. 148–178). Oxford University Press.</w:t>
      </w:r>
    </w:p>
    <w:p w14:paraId="773A5E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Jurado, M. Á., Junqué, C., Vallejo, J., &amp; Salgado, P. (2001). Impairment of incidental memory for frequency in patients with obsessive-compulsive disorder.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104</w:t>
      </w:r>
      <w:r w:rsidRPr="004C4852">
        <w:rPr>
          <w:rFonts w:ascii="Times New Roman" w:eastAsia="Times New Roman" w:hAnsi="Times New Roman" w:cs="Times New Roman"/>
          <w:sz w:val="24"/>
          <w:szCs w:val="24"/>
        </w:rPr>
        <w:t xml:space="preserve">(3), 213–220. </w:t>
      </w:r>
      <w:hyperlink r:id="rId2786" w:history="1">
        <w:r w:rsidRPr="004C4852">
          <w:rPr>
            <w:rFonts w:ascii="Times New Roman" w:eastAsia="Times New Roman" w:hAnsi="Times New Roman" w:cs="Times New Roman"/>
            <w:color w:val="0000FF"/>
            <w:sz w:val="24"/>
            <w:szCs w:val="24"/>
            <w:u w:val="single"/>
          </w:rPr>
          <w:t>https://doi.org/10.1016/S0165-1781(01)00322-5</w:t>
        </w:r>
      </w:hyperlink>
    </w:p>
    <w:p w14:paraId="153B20C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Jurado-Barba, R., Morales-Muñoz, I., del Manzano, B. Á., Fernández-Guinea, S., Caballero, M., Martínez-Gras, I., &amp; Rubio-Valladolid, G. (2011). Relationship between measures of inhibitory processes in patients with schizophrenia: Role of substance abuse disorders.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190</w:t>
      </w:r>
      <w:r w:rsidRPr="004C4852">
        <w:rPr>
          <w:rFonts w:ascii="Times New Roman" w:eastAsia="Times New Roman" w:hAnsi="Times New Roman" w:cs="Times New Roman"/>
          <w:sz w:val="24"/>
          <w:szCs w:val="24"/>
        </w:rPr>
        <w:t xml:space="preserve">(2–3), 187–192. </w:t>
      </w:r>
      <w:hyperlink r:id="rId2787" w:history="1">
        <w:r w:rsidRPr="004C4852">
          <w:rPr>
            <w:rFonts w:ascii="Times New Roman" w:eastAsia="Times New Roman" w:hAnsi="Times New Roman" w:cs="Times New Roman"/>
            <w:color w:val="0000FF"/>
            <w:sz w:val="24"/>
            <w:szCs w:val="24"/>
            <w:u w:val="single"/>
          </w:rPr>
          <w:t>https://doi.org/10.1016/j.psychres.2011.06.002</w:t>
        </w:r>
      </w:hyperlink>
    </w:p>
    <w:p w14:paraId="1864B8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Juric, L. C., Richards, M. M., Introzzi, I., Andrés, M. L., &amp; Urquijo, S. (2013). Development patterns of executive functions in children. </w:t>
      </w:r>
      <w:r w:rsidRPr="004C4852">
        <w:rPr>
          <w:rFonts w:ascii="Times New Roman" w:eastAsia="Times New Roman" w:hAnsi="Times New Roman" w:cs="Times New Roman"/>
          <w:i/>
          <w:iCs/>
          <w:sz w:val="24"/>
          <w:szCs w:val="24"/>
        </w:rPr>
        <w:t>The Spanish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w:t>
      </w:r>
    </w:p>
    <w:p w14:paraId="6B1904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Jurick, S. M., Crocker, L. D., Sanderson-Cimino, M., Keller, A. V., Trenova, L. S., Boyd, B. L., Twamley, E. W., Rodgers, C. S., Schiehser, D. M., Aupperle, R. L., &amp; Jak, A. J. (2018). Contributions to executive dysfunction in Operation Enduring Freedom/Operation Iraqi Freedom veterans with posttraumatic stress disorder and history of mild traumatic brain injury. </w:t>
      </w:r>
      <w:r w:rsidRPr="004C4852">
        <w:rPr>
          <w:rFonts w:ascii="Times New Roman" w:eastAsia="Times New Roman" w:hAnsi="Times New Roman" w:cs="Times New Roman"/>
          <w:i/>
          <w:iCs/>
          <w:sz w:val="24"/>
          <w:szCs w:val="24"/>
        </w:rPr>
        <w:t>The Journal of Head Trauma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(2), E41–E52.</w:t>
      </w:r>
    </w:p>
    <w:p w14:paraId="39BC0C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Jurkuvėnas, V., Bagdonas, A., &amp; Germanavičius, A. (2016). Simple and complex information processing speed in psychiatric samples. </w:t>
      </w:r>
      <w:r w:rsidRPr="004C4852">
        <w:rPr>
          <w:rFonts w:ascii="Times New Roman" w:eastAsia="Times New Roman" w:hAnsi="Times New Roman" w:cs="Times New Roman"/>
          <w:i/>
          <w:iCs/>
          <w:sz w:val="24"/>
          <w:szCs w:val="24"/>
        </w:rPr>
        <w:t>Psichologija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 7–23. </w:t>
      </w:r>
      <w:hyperlink r:id="rId2788" w:history="1">
        <w:r w:rsidRPr="004C4852">
          <w:rPr>
            <w:rFonts w:ascii="Times New Roman" w:eastAsia="Times New Roman" w:hAnsi="Times New Roman" w:cs="Times New Roman"/>
            <w:color w:val="0000FF"/>
            <w:sz w:val="24"/>
            <w:szCs w:val="24"/>
            <w:u w:val="single"/>
          </w:rPr>
          <w:t>https://doi.org/10.15388/Psichol.2016.53.10029</w:t>
        </w:r>
      </w:hyperlink>
    </w:p>
    <w:p w14:paraId="7E30FA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Juselius, S., Kieseppä, T., Kaprio, J., Lönnqvist, J., &amp; Tuulio-Henriksson, A. (2009). Executive functioning in twins with bipolar I disorder and healthy co-twins.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(6), 599–606. </w:t>
      </w:r>
      <w:hyperlink r:id="rId2789" w:history="1">
        <w:r w:rsidRPr="004C4852">
          <w:rPr>
            <w:rFonts w:ascii="Times New Roman" w:eastAsia="Times New Roman" w:hAnsi="Times New Roman" w:cs="Times New Roman"/>
            <w:color w:val="0000FF"/>
            <w:sz w:val="24"/>
            <w:szCs w:val="24"/>
            <w:u w:val="single"/>
          </w:rPr>
          <w:t>https://doi.org/10.1093/arclin/acp047</w:t>
        </w:r>
      </w:hyperlink>
    </w:p>
    <w:p w14:paraId="37F7BB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Justice, A. C., McGinnis, K. A., Atkinson, J. H., Heaton, R. K., Young, C., Sadek, J., Madenwald, T., Becker, J. T., Conigliaro, J., Brown, S. T., Rimland, D., Crystal, S., &amp; Simberkoff, M. (2004). Psychiatric and neurocognitive disorders among HIV-positive and negative veterans in care: Veterans Aging Cohort Five-Site Study. </w:t>
      </w:r>
      <w:r w:rsidRPr="004C4852">
        <w:rPr>
          <w:rFonts w:ascii="Times New Roman" w:eastAsia="Times New Roman" w:hAnsi="Times New Roman" w:cs="Times New Roman"/>
          <w:i/>
          <w:iCs/>
          <w:sz w:val="24"/>
          <w:szCs w:val="24"/>
        </w:rPr>
        <w:t>AIDS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(Suppl1), S49–S59. </w:t>
      </w:r>
      <w:hyperlink r:id="rId2790" w:history="1">
        <w:r w:rsidRPr="004C4852">
          <w:rPr>
            <w:rFonts w:ascii="Times New Roman" w:eastAsia="Times New Roman" w:hAnsi="Times New Roman" w:cs="Times New Roman"/>
            <w:color w:val="0000FF"/>
            <w:sz w:val="24"/>
            <w:szCs w:val="24"/>
            <w:u w:val="single"/>
          </w:rPr>
          <w:t>https://doi.org/10.1097/00002030-200401001-00008</w:t>
        </w:r>
      </w:hyperlink>
    </w:p>
    <w:p w14:paraId="35E5862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Juvina, I. (2011). Neural substrates of inhibitory control: A review and critique. </w:t>
      </w:r>
      <w:r w:rsidRPr="004C4852">
        <w:rPr>
          <w:rFonts w:ascii="Times New Roman" w:eastAsia="Times New Roman" w:hAnsi="Times New Roman" w:cs="Times New Roman"/>
          <w:i/>
          <w:iCs/>
          <w:sz w:val="24"/>
          <w:szCs w:val="24"/>
        </w:rPr>
        <w:t>Revista de Psihologie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(2), 135–145.</w:t>
      </w:r>
    </w:p>
    <w:p w14:paraId="415738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Kabuba, N., Menon, J. A., Franklin Jr., D. R., Heaton, R. K., &amp; Hestad, K. A. (2016). HIV- and AIDS-associated neurocognitive functioning in Zambia—A perspective based on differences between the genders. </w:t>
      </w:r>
      <w:r w:rsidRPr="004C4852">
        <w:rPr>
          <w:rFonts w:ascii="Times New Roman" w:eastAsia="Times New Roman" w:hAnsi="Times New Roman" w:cs="Times New Roman"/>
          <w:i/>
          <w:iCs/>
          <w:sz w:val="24"/>
          <w:szCs w:val="24"/>
        </w:rPr>
        <w:t>Neuropsychiatric Disease and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w:t>
      </w:r>
    </w:p>
    <w:p w14:paraId="4A1C1C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Kabuba, N., Menon, J. A., Franklin Jr., D. R., Lydersen, S., Heaton, R. K., &amp; Hestad, K. A. (2018). Effect of age and level of education on neurocognitive impairment in HIV positive Zambian adults.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(5), 519–528. </w:t>
      </w:r>
      <w:hyperlink r:id="rId2791" w:history="1">
        <w:r w:rsidRPr="004C4852">
          <w:rPr>
            <w:rFonts w:ascii="Times New Roman" w:eastAsia="Times New Roman" w:hAnsi="Times New Roman" w:cs="Times New Roman"/>
            <w:color w:val="0000FF"/>
            <w:sz w:val="24"/>
            <w:szCs w:val="24"/>
            <w:u w:val="single"/>
          </w:rPr>
          <w:t>https://doi.org/10.1037/neu0000438</w:t>
        </w:r>
      </w:hyperlink>
    </w:p>
    <w:p w14:paraId="33819D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Kado, Y., Sanada, S., Yanagihara, M., Ogino, T., Ohno, S., Watanabe, K., Nakano, K., Morooka, T., Oka, M., &amp; Ohtsuka, Y. (2012). Executive function in children with pervasive developmental disorder and attention-deficit/hyperactivity disorder assessed by the Keio version of the Wisconsin card sorting test. </w:t>
      </w:r>
      <w:r w:rsidRPr="004C4852">
        <w:rPr>
          <w:rFonts w:ascii="Times New Roman" w:eastAsia="Times New Roman" w:hAnsi="Times New Roman" w:cs="Times New Roman"/>
          <w:i/>
          <w:iCs/>
          <w:sz w:val="24"/>
          <w:szCs w:val="24"/>
        </w:rPr>
        <w:t>Brain &amp;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(5), 354–359. </w:t>
      </w:r>
      <w:hyperlink r:id="rId2792" w:history="1">
        <w:r w:rsidRPr="004C4852">
          <w:rPr>
            <w:rFonts w:ascii="Times New Roman" w:eastAsia="Times New Roman" w:hAnsi="Times New Roman" w:cs="Times New Roman"/>
            <w:color w:val="0000FF"/>
            <w:sz w:val="24"/>
            <w:szCs w:val="24"/>
            <w:u w:val="single"/>
          </w:rPr>
          <w:t>https://doi.org/10.1016/j.braindev.2011.08.008</w:t>
        </w:r>
      </w:hyperlink>
    </w:p>
    <w:p w14:paraId="0E8EBB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Kahler, D. S. (1999). </w:t>
      </w:r>
      <w:r w:rsidRPr="004C4852">
        <w:rPr>
          <w:rFonts w:ascii="Times New Roman" w:eastAsia="Times New Roman" w:hAnsi="Times New Roman" w:cs="Times New Roman"/>
          <w:i/>
          <w:iCs/>
          <w:sz w:val="24"/>
          <w:szCs w:val="24"/>
        </w:rPr>
        <w:t>A factor analysis of the Category Test.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(8-B), 4531–4531.</w:t>
      </w:r>
    </w:p>
    <w:p w14:paraId="14C49F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Kaiser, N. C., Lee, G. J., Lu, P. H., Mather, M. J., Shapira, J., Jimenez, E., Thompson, P. M., &amp; Mendez, M. F. (2013). What dementia reveals about proverb interpretation and its neuroanatomical correlates.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51</w:t>
      </w:r>
      <w:r w:rsidRPr="004C4852">
        <w:rPr>
          <w:rFonts w:ascii="Times New Roman" w:eastAsia="Times New Roman" w:hAnsi="Times New Roman" w:cs="Times New Roman"/>
          <w:sz w:val="24"/>
          <w:szCs w:val="24"/>
        </w:rPr>
        <w:t xml:space="preserve">(9), 1726–1733. </w:t>
      </w:r>
      <w:hyperlink r:id="rId2793" w:history="1">
        <w:r w:rsidRPr="004C4852">
          <w:rPr>
            <w:rFonts w:ascii="Times New Roman" w:eastAsia="Times New Roman" w:hAnsi="Times New Roman" w:cs="Times New Roman"/>
            <w:color w:val="0000FF"/>
            <w:sz w:val="24"/>
            <w:szCs w:val="24"/>
            <w:u w:val="single"/>
          </w:rPr>
          <w:t>https://doi.org/10.1016/j.neuropsychologia.2013.05.021</w:t>
        </w:r>
      </w:hyperlink>
    </w:p>
    <w:p w14:paraId="562D44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Kake, T. R., Garrett, N., &amp; Te Aonui, M. (2016). Cognitive neuropsychological functioning in New Zealand Māori diagnosed with schizophrenia. </w:t>
      </w:r>
      <w:r w:rsidRPr="004C4852">
        <w:rPr>
          <w:rFonts w:ascii="Times New Roman" w:eastAsia="Times New Roman" w:hAnsi="Times New Roman" w:cs="Times New Roman"/>
          <w:i/>
          <w:iCs/>
          <w:sz w:val="24"/>
          <w:szCs w:val="24"/>
        </w:rPr>
        <w:t>Australian and New Zealand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50</w:t>
      </w:r>
      <w:r w:rsidRPr="004C4852">
        <w:rPr>
          <w:rFonts w:ascii="Times New Roman" w:eastAsia="Times New Roman" w:hAnsi="Times New Roman" w:cs="Times New Roman"/>
          <w:sz w:val="24"/>
          <w:szCs w:val="24"/>
        </w:rPr>
        <w:t xml:space="preserve">(6), 566–576. </w:t>
      </w:r>
      <w:hyperlink r:id="rId2794" w:history="1">
        <w:r w:rsidRPr="004C4852">
          <w:rPr>
            <w:rFonts w:ascii="Times New Roman" w:eastAsia="Times New Roman" w:hAnsi="Times New Roman" w:cs="Times New Roman"/>
            <w:color w:val="0000FF"/>
            <w:sz w:val="24"/>
            <w:szCs w:val="24"/>
            <w:u w:val="single"/>
          </w:rPr>
          <w:t>https://doi.org/10.1177/0004867415607986</w:t>
        </w:r>
      </w:hyperlink>
    </w:p>
    <w:p w14:paraId="21BAE71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Kalaycı, D., Özdel, O., Sözeri-Varma, G., Kıroğlu, Y., &amp; Tümkaya, S. (2012). A proton magnetic resonance spectroscopy study in schizoaffective disorder: Comparison of bipolar disorder and schziophrenia.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(1), 176–181. </w:t>
      </w:r>
      <w:hyperlink r:id="rId2795" w:history="1">
        <w:r w:rsidRPr="004C4852">
          <w:rPr>
            <w:rFonts w:ascii="Times New Roman" w:eastAsia="Times New Roman" w:hAnsi="Times New Roman" w:cs="Times New Roman"/>
            <w:color w:val="0000FF"/>
            <w:sz w:val="24"/>
            <w:szCs w:val="24"/>
            <w:u w:val="single"/>
          </w:rPr>
          <w:t>https://doi.org/10.1016/j.pnpbp.2012.01.010</w:t>
        </w:r>
      </w:hyperlink>
    </w:p>
    <w:p w14:paraId="1A40E5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Kalia, V., Fuesting, M., &amp; Cody, M. (2019). Perseverance in solving Sudoku: Role of grit and cognitive flexibility in problem solving. </w:t>
      </w:r>
      <w:r w:rsidRPr="004C4852">
        <w:rPr>
          <w:rFonts w:ascii="Times New Roman" w:eastAsia="Times New Roman" w:hAnsi="Times New Roman" w:cs="Times New Roman"/>
          <w:i/>
          <w:iCs/>
          <w:sz w:val="24"/>
          <w:szCs w:val="24"/>
        </w:rPr>
        <w:t>Journal of Cognitive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(3), 370–378. </w:t>
      </w:r>
      <w:hyperlink r:id="rId2796" w:history="1">
        <w:r w:rsidRPr="004C4852">
          <w:rPr>
            <w:rFonts w:ascii="Times New Roman" w:eastAsia="Times New Roman" w:hAnsi="Times New Roman" w:cs="Times New Roman"/>
            <w:color w:val="0000FF"/>
            <w:sz w:val="24"/>
            <w:szCs w:val="24"/>
            <w:u w:val="single"/>
          </w:rPr>
          <w:t>https://doi.org/10.1080/20445911.2019.1604527</w:t>
        </w:r>
      </w:hyperlink>
    </w:p>
    <w:p w14:paraId="46C19D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Kalia, V., &amp; Knauft, K. (2020). Emotion regulation strategies modulate the effect of adverse childhood experiences on perceived chronic stress with implications for cognitive flexibility.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(6). </w:t>
      </w:r>
      <w:hyperlink r:id="rId2797" w:history="1">
        <w:r w:rsidRPr="004C4852">
          <w:rPr>
            <w:rFonts w:ascii="Times New Roman" w:eastAsia="Times New Roman" w:hAnsi="Times New Roman" w:cs="Times New Roman"/>
            <w:color w:val="0000FF"/>
            <w:sz w:val="24"/>
            <w:szCs w:val="24"/>
            <w:u w:val="single"/>
          </w:rPr>
          <w:t>https://doi.org/10.1371/journal.pone.0235412</w:t>
        </w:r>
      </w:hyperlink>
    </w:p>
    <w:p w14:paraId="0CBA66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Kalia, V., Vishwanath, K., Knauft, K., Von Der Vellen, B., Luebbe, A., &amp; Williams, A. (2018). Acute stress attenuates cognitive flexibility in males only: An fNIRS examination.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 </w:t>
      </w:r>
      <w:hyperlink r:id="rId2798" w:history="1">
        <w:r w:rsidRPr="004C4852">
          <w:rPr>
            <w:rFonts w:ascii="Times New Roman" w:eastAsia="Times New Roman" w:hAnsi="Times New Roman" w:cs="Times New Roman"/>
            <w:color w:val="0000FF"/>
            <w:sz w:val="24"/>
            <w:szCs w:val="24"/>
            <w:u w:val="single"/>
          </w:rPr>
          <w:t>https://doi.org/10.3389/fpsyg.2018.02084</w:t>
        </w:r>
      </w:hyperlink>
    </w:p>
    <w:p w14:paraId="65EDF8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Kałwa, A., Piróg-Balcerzak, A. M., &amp; Święcicki, Ł. (2013). Association of different cognitive domains with lifetime history of psychosis and reported antipsychotic-treatment adverse events in bipolar disorders.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5–12. </w:t>
      </w:r>
      <w:hyperlink r:id="rId2799" w:history="1">
        <w:r w:rsidRPr="004C4852">
          <w:rPr>
            <w:rFonts w:ascii="Times New Roman" w:eastAsia="Times New Roman" w:hAnsi="Times New Roman" w:cs="Times New Roman"/>
            <w:color w:val="0000FF"/>
            <w:sz w:val="24"/>
            <w:szCs w:val="24"/>
            <w:u w:val="single"/>
          </w:rPr>
          <w:t>https://doi.org/10.12740/APP/17268</w:t>
        </w:r>
      </w:hyperlink>
    </w:p>
    <w:p w14:paraId="75605D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Kałwa, A., Rzewuska, M., &amp; Borkowska, A. (2012). Cognitive dysfunction progression in schizophrenia—Relation to functional and clinical outcome.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(1), 5–13.</w:t>
      </w:r>
    </w:p>
    <w:p w14:paraId="0CDD40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Kamat, R., Morgan, E., Marcotte, T. D., Badiee, J., Maich, I., Cherner, M., de Almeida, S., de Pereira, A. P., Ribeiro, C. E., Barbosa, F., Atkinson, J. H., &amp; Ellis, R. (2013). Implications of apathy and depression for everyday functioning in HIV/AIDS in Brazil.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150</w:t>
      </w:r>
      <w:r w:rsidRPr="004C4852">
        <w:rPr>
          <w:rFonts w:ascii="Times New Roman" w:eastAsia="Times New Roman" w:hAnsi="Times New Roman" w:cs="Times New Roman"/>
          <w:sz w:val="24"/>
          <w:szCs w:val="24"/>
        </w:rPr>
        <w:t xml:space="preserve">(3), 1069–1075. </w:t>
      </w:r>
      <w:hyperlink r:id="rId2800" w:history="1">
        <w:r w:rsidRPr="004C4852">
          <w:rPr>
            <w:rFonts w:ascii="Times New Roman" w:eastAsia="Times New Roman" w:hAnsi="Times New Roman" w:cs="Times New Roman"/>
            <w:color w:val="0000FF"/>
            <w:sz w:val="24"/>
            <w:szCs w:val="24"/>
            <w:u w:val="single"/>
          </w:rPr>
          <w:t>https://doi.org/10.1016/j.jad.2012.11.040</w:t>
        </w:r>
      </w:hyperlink>
    </w:p>
    <w:p w14:paraId="1EF174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Kamat, R., Woods, S. P., Marcotte, T. D., Ellis, R. J., &amp; Grant, I. (2012). Implications of apathy for everyday functioning outcomes in persons living with HIV infection.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520–531. </w:t>
      </w:r>
      <w:hyperlink r:id="rId2801" w:history="1">
        <w:r w:rsidRPr="004C4852">
          <w:rPr>
            <w:rFonts w:ascii="Times New Roman" w:eastAsia="Times New Roman" w:hAnsi="Times New Roman" w:cs="Times New Roman"/>
            <w:color w:val="0000FF"/>
            <w:sz w:val="24"/>
            <w:szCs w:val="24"/>
            <w:u w:val="single"/>
          </w:rPr>
          <w:t>https://doi.org/10.1093/arclin/acs055</w:t>
        </w:r>
      </w:hyperlink>
    </w:p>
    <w:p w14:paraId="300E1AE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Kamath, V., Crawford, J., DuBois, S., Nucifora Jr., F. C., Nestadt, G., Sawa, A., &amp; Schretlen, D. (2019). Contributions of olfactory and neuropsychological assessment to the diagnosis of first-episode schizophrenia.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(2), 203–211. </w:t>
      </w:r>
      <w:hyperlink r:id="rId2802" w:history="1">
        <w:r w:rsidRPr="004C4852">
          <w:rPr>
            <w:rFonts w:ascii="Times New Roman" w:eastAsia="Times New Roman" w:hAnsi="Times New Roman" w:cs="Times New Roman"/>
            <w:color w:val="0000FF"/>
            <w:sz w:val="24"/>
            <w:szCs w:val="24"/>
            <w:u w:val="single"/>
          </w:rPr>
          <w:t>https://doi.org/10.1037/neu0000502</w:t>
        </w:r>
      </w:hyperlink>
    </w:p>
    <w:p w14:paraId="282BCF3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Kamble, N., Netravathi, M., &amp; Pal, P. K. (2014). Therapeutic applications of repetitive transcranial magnetic stimulation (rTMS) in movement disorders: A review. </w:t>
      </w:r>
      <w:r w:rsidRPr="004C4852">
        <w:rPr>
          <w:rFonts w:ascii="Times New Roman" w:eastAsia="Times New Roman" w:hAnsi="Times New Roman" w:cs="Times New Roman"/>
          <w:i/>
          <w:iCs/>
          <w:sz w:val="24"/>
          <w:szCs w:val="24"/>
        </w:rPr>
        <w:t>Parkinsonism &amp; Related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(7), 695–707. </w:t>
      </w:r>
      <w:hyperlink r:id="rId2803" w:history="1">
        <w:r w:rsidRPr="004C4852">
          <w:rPr>
            <w:rFonts w:ascii="Times New Roman" w:eastAsia="Times New Roman" w:hAnsi="Times New Roman" w:cs="Times New Roman"/>
            <w:color w:val="0000FF"/>
            <w:sz w:val="24"/>
            <w:szCs w:val="24"/>
            <w:u w:val="single"/>
          </w:rPr>
          <w:t>https://doi.org/10.1016/j.parkreldis.2014.03.018</w:t>
        </w:r>
      </w:hyperlink>
    </w:p>
    <w:p w14:paraId="33B83D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Kamigaki, T., Fukushima, T., &amp; Miyashita, Y. (2011). Neuronal signal dynamics during preparation and execution for behavioral shifting in macaque posterior parietal cortex.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(9), 2503–2520. </w:t>
      </w:r>
      <w:hyperlink r:id="rId2804" w:history="1">
        <w:r w:rsidRPr="004C4852">
          <w:rPr>
            <w:rFonts w:ascii="Times New Roman" w:eastAsia="Times New Roman" w:hAnsi="Times New Roman" w:cs="Times New Roman"/>
            <w:color w:val="0000FF"/>
            <w:sz w:val="24"/>
            <w:szCs w:val="24"/>
            <w:u w:val="single"/>
          </w:rPr>
          <w:t>https://doi.org/10.1162/jocn.2011.21613</w:t>
        </w:r>
      </w:hyperlink>
    </w:p>
    <w:p w14:paraId="3E0EDD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Kanagaratnam, P., &amp; Asbjørnsen, A. E. (2007). Executive deficits in chronic PTSD related to political violence. </w:t>
      </w:r>
      <w:r w:rsidRPr="004C4852">
        <w:rPr>
          <w:rFonts w:ascii="Times New Roman" w:eastAsia="Times New Roman" w:hAnsi="Times New Roman" w:cs="Times New Roman"/>
          <w:i/>
          <w:iCs/>
          <w:sz w:val="24"/>
          <w:szCs w:val="24"/>
        </w:rPr>
        <w:t>Journal of Anxiety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(4), 510–525. </w:t>
      </w:r>
      <w:hyperlink r:id="rId2805" w:history="1">
        <w:r w:rsidRPr="004C4852">
          <w:rPr>
            <w:rFonts w:ascii="Times New Roman" w:eastAsia="Times New Roman" w:hAnsi="Times New Roman" w:cs="Times New Roman"/>
            <w:color w:val="0000FF"/>
            <w:sz w:val="24"/>
            <w:szCs w:val="24"/>
            <w:u w:val="single"/>
          </w:rPr>
          <w:t>https://doi.org/10.1016/j.janxdis.2006.06.008</w:t>
        </w:r>
      </w:hyperlink>
    </w:p>
    <w:p w14:paraId="5B50A94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Kanakam, N., Raoult, C., Collier, D., &amp; Treasure, J. (2013). Set shifting and central coherence as neurocognitive endophenotypes in eating disorders: A preliminary investigation in twins. </w:t>
      </w:r>
      <w:r w:rsidRPr="004C4852">
        <w:rPr>
          <w:rFonts w:ascii="Times New Roman" w:eastAsia="Times New Roman" w:hAnsi="Times New Roman" w:cs="Times New Roman"/>
          <w:i/>
          <w:iCs/>
          <w:sz w:val="24"/>
          <w:szCs w:val="24"/>
        </w:rPr>
        <w:t>The World Journal of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(6), 464–475. </w:t>
      </w:r>
      <w:hyperlink r:id="rId2806" w:history="1">
        <w:r w:rsidRPr="004C4852">
          <w:rPr>
            <w:rFonts w:ascii="Times New Roman" w:eastAsia="Times New Roman" w:hAnsi="Times New Roman" w:cs="Times New Roman"/>
            <w:color w:val="0000FF"/>
            <w:sz w:val="24"/>
            <w:szCs w:val="24"/>
            <w:u w:val="single"/>
          </w:rPr>
          <w:t>https://doi.org/10.3109/15622975.2012.665478</w:t>
        </w:r>
      </w:hyperlink>
    </w:p>
    <w:p w14:paraId="407A37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Kandratsenka, H., Nestsiarovich, A., Goloenko, I., Danilenko, N., Makarevich, A., Obyedkov, V., Davydenko, O., &amp; Waszkiewicz, N. (2018). Association of MIR137 with symptom severity and cognitive functioning in Belarusian schizophrenia patients.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 </w:t>
      </w:r>
      <w:hyperlink r:id="rId2807" w:history="1">
        <w:r w:rsidRPr="004C4852">
          <w:rPr>
            <w:rFonts w:ascii="Times New Roman" w:eastAsia="Times New Roman" w:hAnsi="Times New Roman" w:cs="Times New Roman"/>
            <w:color w:val="0000FF"/>
            <w:sz w:val="24"/>
            <w:szCs w:val="24"/>
            <w:u w:val="single"/>
          </w:rPr>
          <w:t>https://doi.org/10.3389/fpsyt.2018.00295</w:t>
        </w:r>
      </w:hyperlink>
    </w:p>
    <w:p w14:paraId="2BC119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 R. L., &amp; Parsons, T. D. (2019). Technological developments in assessment. </w:t>
      </w:r>
      <w:r w:rsidRPr="004C4852">
        <w:rPr>
          <w:rFonts w:ascii="Times New Roman" w:eastAsia="Times New Roman" w:hAnsi="Times New Roman" w:cs="Times New Roman"/>
          <w:i/>
          <w:iCs/>
          <w:sz w:val="24"/>
          <w:szCs w:val="24"/>
        </w:rPr>
        <w:t>Handbook of Psychological Assessment, 4th Ed.</w:t>
      </w:r>
      <w:r w:rsidRPr="004C4852">
        <w:rPr>
          <w:rFonts w:ascii="Times New Roman" w:eastAsia="Times New Roman" w:hAnsi="Times New Roman" w:cs="Times New Roman"/>
          <w:sz w:val="24"/>
          <w:szCs w:val="24"/>
        </w:rPr>
        <w:t xml:space="preserve">, 573–592. </w:t>
      </w:r>
      <w:hyperlink r:id="rId2808" w:history="1">
        <w:r w:rsidRPr="004C4852">
          <w:rPr>
            <w:rFonts w:ascii="Times New Roman" w:eastAsia="Times New Roman" w:hAnsi="Times New Roman" w:cs="Times New Roman"/>
            <w:color w:val="0000FF"/>
            <w:sz w:val="24"/>
            <w:szCs w:val="24"/>
            <w:u w:val="single"/>
          </w:rPr>
          <w:t>https://doi.org/10.1016/B978-0-12-802203-0.00020-1</w:t>
        </w:r>
      </w:hyperlink>
    </w:p>
    <w:p w14:paraId="29EDD5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A., Katagai, T., &amp; Yasui-Furukori, N. (2013). Comparing the influences of age and disease on the Brief Assessment of Cognition in Schizophrenia in Japanese patients with schizophrenia. </w:t>
      </w:r>
      <w:r w:rsidRPr="004C4852">
        <w:rPr>
          <w:rFonts w:ascii="Times New Roman" w:eastAsia="Times New Roman" w:hAnsi="Times New Roman" w:cs="Times New Roman"/>
          <w:i/>
          <w:iCs/>
          <w:sz w:val="24"/>
          <w:szCs w:val="24"/>
        </w:rPr>
        <w:t>Neuropsychiatric Disease and Treatment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w:t>
      </w:r>
    </w:p>
    <w:p w14:paraId="24168A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Y., Jayathilak, K., &amp; Meltzer, H. (2010). Determinants of work outcome in neuroleptic-resistant schizophrenia and schizoaffective disorder: Cognitive impairment and clozapine treatment.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178</w:t>
      </w:r>
      <w:r w:rsidRPr="004C4852">
        <w:rPr>
          <w:rFonts w:ascii="Times New Roman" w:eastAsia="Times New Roman" w:hAnsi="Times New Roman" w:cs="Times New Roman"/>
          <w:sz w:val="24"/>
          <w:szCs w:val="24"/>
        </w:rPr>
        <w:t xml:space="preserve">(1), 57–62. </w:t>
      </w:r>
      <w:hyperlink r:id="rId2809" w:history="1">
        <w:r w:rsidRPr="004C4852">
          <w:rPr>
            <w:rFonts w:ascii="Times New Roman" w:eastAsia="Times New Roman" w:hAnsi="Times New Roman" w:cs="Times New Roman"/>
            <w:color w:val="0000FF"/>
            <w:sz w:val="24"/>
            <w:szCs w:val="24"/>
            <w:u w:val="single"/>
          </w:rPr>
          <w:t>https://doi.org/10.1016/j.psychres.2009.04.001</w:t>
        </w:r>
      </w:hyperlink>
    </w:p>
    <w:p w14:paraId="0FDA10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Y., Jayathilak, K., &amp; Meltzer, H. Y. (2009). Determinants of work outcome in schizophrenia and schizoaffective disorder: Role of cognitive function.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169</w:t>
      </w:r>
      <w:r w:rsidRPr="004C4852">
        <w:rPr>
          <w:rFonts w:ascii="Times New Roman" w:eastAsia="Times New Roman" w:hAnsi="Times New Roman" w:cs="Times New Roman"/>
          <w:sz w:val="24"/>
          <w:szCs w:val="24"/>
        </w:rPr>
        <w:t xml:space="preserve">(2), 178–179. </w:t>
      </w:r>
      <w:hyperlink r:id="rId2810" w:history="1">
        <w:r w:rsidRPr="004C4852">
          <w:rPr>
            <w:rFonts w:ascii="Times New Roman" w:eastAsia="Times New Roman" w:hAnsi="Times New Roman" w:cs="Times New Roman"/>
            <w:color w:val="0000FF"/>
            <w:sz w:val="24"/>
            <w:szCs w:val="24"/>
            <w:u w:val="single"/>
          </w:rPr>
          <w:t>https://doi.org/10.1016/j.psychres.2008.08.003</w:t>
        </w:r>
      </w:hyperlink>
    </w:p>
    <w:p w14:paraId="3BB3601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Kaneda, Y., Sumiyoshi, T., Keefe, R., Ishimoto, Y., Numata, S., &amp; Ohmori, T. (2007). Brief Assessment of Cognition in Schizophrenia: Validation of the Japanese version.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(6), 602–609. </w:t>
      </w:r>
      <w:hyperlink r:id="rId2811" w:history="1">
        <w:r w:rsidRPr="004C4852">
          <w:rPr>
            <w:rFonts w:ascii="Times New Roman" w:eastAsia="Times New Roman" w:hAnsi="Times New Roman" w:cs="Times New Roman"/>
            <w:color w:val="0000FF"/>
            <w:sz w:val="24"/>
            <w:szCs w:val="24"/>
            <w:u w:val="single"/>
          </w:rPr>
          <w:t>https://doi.org/10.1111/j.1440-1819.2007.01725.x</w:t>
        </w:r>
      </w:hyperlink>
    </w:p>
    <w:p w14:paraId="6B7AEA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Kanehisa, M., Morinaga, K., Kohno, H., Maruyama, Y., Ninomiya, T., Ishitobi, Y., Tanaka, Y., Tsuru, J., Hanada, H., Yoshikawa, T., &amp; Akiyoshi, J. (2012). An uncommon case of random fire-setting behavior associated with Todd paralysis: A case report. </w:t>
      </w:r>
      <w:r w:rsidRPr="004C4852">
        <w:rPr>
          <w:rFonts w:ascii="Times New Roman" w:eastAsia="Times New Roman" w:hAnsi="Times New Roman" w:cs="Times New Roman"/>
          <w:i/>
          <w:iCs/>
          <w:sz w:val="24"/>
          <w:szCs w:val="24"/>
        </w:rPr>
        <w:t>BMC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w:t>
      </w:r>
    </w:p>
    <w:p w14:paraId="657803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Kanemura, H., Sano, F., Tando, T., Sugita, K., &amp; Aihara, M. (2012). Repeated seizures induce prefrontal growth disturbance in frontal lobe epilepsy. </w:t>
      </w:r>
      <w:r w:rsidRPr="004C4852">
        <w:rPr>
          <w:rFonts w:ascii="Times New Roman" w:eastAsia="Times New Roman" w:hAnsi="Times New Roman" w:cs="Times New Roman"/>
          <w:i/>
          <w:iCs/>
          <w:sz w:val="24"/>
          <w:szCs w:val="24"/>
        </w:rPr>
        <w:t>Brain &amp;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(3), 175–180. </w:t>
      </w:r>
      <w:hyperlink r:id="rId2812" w:history="1">
        <w:r w:rsidRPr="004C4852">
          <w:rPr>
            <w:rFonts w:ascii="Times New Roman" w:eastAsia="Times New Roman" w:hAnsi="Times New Roman" w:cs="Times New Roman"/>
            <w:color w:val="0000FF"/>
            <w:sz w:val="24"/>
            <w:szCs w:val="24"/>
            <w:u w:val="single"/>
          </w:rPr>
          <w:t>https://doi.org/10.1016/j.braindev.2011.04.009</w:t>
        </w:r>
      </w:hyperlink>
    </w:p>
    <w:p w14:paraId="4839250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Kang, J. I., Park, H.-J., Kim, S. J., Kim, K. R., Lee, S. Y., Lee, E., An, S. K., Kwon, J. S., &amp; Lee, J. D. (2014). Reduced binding potential of GABA-A/benzodiazepine receptors in individuals at ultra-high risk for psychosis: An [</w:t>
      </w:r>
      <w:r w:rsidRPr="004C4852">
        <w:rPr>
          <w:rFonts w:ascii="Times New Roman" w:eastAsia="Times New Roman" w:hAnsi="Times New Roman" w:cs="Times New Roman"/>
          <w:sz w:val="24"/>
          <w:szCs w:val="24"/>
          <w:vertAlign w:val="superscript"/>
        </w:rPr>
        <w:t>18</w:t>
      </w:r>
      <w:r w:rsidRPr="004C4852">
        <w:rPr>
          <w:rFonts w:ascii="Times New Roman" w:eastAsia="Times New Roman" w:hAnsi="Times New Roman" w:cs="Times New Roman"/>
          <w:sz w:val="24"/>
          <w:szCs w:val="24"/>
        </w:rPr>
        <w:t xml:space="preserve">F]-fluoroflumazenil positron emission tomography study.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(3), 548–557. </w:t>
      </w:r>
      <w:hyperlink r:id="rId2813" w:history="1">
        <w:r w:rsidRPr="004C4852">
          <w:rPr>
            <w:rFonts w:ascii="Times New Roman" w:eastAsia="Times New Roman" w:hAnsi="Times New Roman" w:cs="Times New Roman"/>
            <w:color w:val="0000FF"/>
            <w:sz w:val="24"/>
            <w:szCs w:val="24"/>
            <w:u w:val="single"/>
          </w:rPr>
          <w:t>https://doi.org/10.1093/schbul/sbt052</w:t>
        </w:r>
      </w:hyperlink>
    </w:p>
    <w:p w14:paraId="534D6A8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Kang, K. D., Han, D. H., Kim, S. M., Bae, S., &amp; Renshaw, P. F. (2018). The correlation between cognitive and movement shifting and brain activity in children with ADHD. </w:t>
      </w:r>
      <w:r w:rsidRPr="004C4852">
        <w:rPr>
          <w:rFonts w:ascii="Times New Roman" w:eastAsia="Times New Roman" w:hAnsi="Times New Roman" w:cs="Times New Roman"/>
          <w:i/>
          <w:iCs/>
          <w:sz w:val="24"/>
          <w:szCs w:val="24"/>
        </w:rPr>
        <w:t>Journal of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(7), 661–670. </w:t>
      </w:r>
      <w:hyperlink r:id="rId2814" w:history="1">
        <w:r w:rsidRPr="004C4852">
          <w:rPr>
            <w:rFonts w:ascii="Times New Roman" w:eastAsia="Times New Roman" w:hAnsi="Times New Roman" w:cs="Times New Roman"/>
            <w:color w:val="0000FF"/>
            <w:sz w:val="24"/>
            <w:szCs w:val="24"/>
            <w:u w:val="single"/>
          </w:rPr>
          <w:t>https://doi.org/10.1177/1087054716677816</w:t>
        </w:r>
      </w:hyperlink>
    </w:p>
    <w:p w14:paraId="5BFCD51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Kangiser, M. M., Lochner, A. M., Thomas, A. M., &amp; Lisdahl, K. M. (2019). Gender moderates chronic nicotine cigarette effects on verbal memory in young adults. </w:t>
      </w:r>
      <w:r w:rsidRPr="004C4852">
        <w:rPr>
          <w:rFonts w:ascii="Times New Roman" w:eastAsia="Times New Roman" w:hAnsi="Times New Roman" w:cs="Times New Roman"/>
          <w:i/>
          <w:iCs/>
          <w:sz w:val="24"/>
          <w:szCs w:val="24"/>
        </w:rPr>
        <w:t>Substance Use &amp; Misuse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(11), 1812–1824. </w:t>
      </w:r>
      <w:hyperlink r:id="rId2815" w:history="1">
        <w:r w:rsidRPr="004C4852">
          <w:rPr>
            <w:rFonts w:ascii="Times New Roman" w:eastAsia="Times New Roman" w:hAnsi="Times New Roman" w:cs="Times New Roman"/>
            <w:color w:val="0000FF"/>
            <w:sz w:val="24"/>
            <w:szCs w:val="24"/>
            <w:u w:val="single"/>
          </w:rPr>
          <w:t>https://doi.org/10.1080/10826084.2019.1613432</w:t>
        </w:r>
      </w:hyperlink>
    </w:p>
    <w:p w14:paraId="0D8702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Kanmogne, G. D., Kuate, C. T., Cysique, L. A., Fonsah, J. Y., Eta, S., Doh, R., Njamnshi, D. M., Nchindap, E., Franklin Jr., D. R., Ellis, R. J., McCutchan, J. A., Binam, F., Mbanya, D., Heaton, R. K., &amp; Njamnshi, A. K. (2010). HIV-associated neurocognitive disorders in sub-Saharan Africa: A pilot study in Cameroon. </w:t>
      </w:r>
      <w:r w:rsidRPr="004C4852">
        <w:rPr>
          <w:rFonts w:ascii="Times New Roman" w:eastAsia="Times New Roman" w:hAnsi="Times New Roman" w:cs="Times New Roman"/>
          <w:i/>
          <w:iCs/>
          <w:sz w:val="24"/>
          <w:szCs w:val="24"/>
        </w:rPr>
        <w:t>BMC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816" w:history="1">
        <w:r w:rsidRPr="004C4852">
          <w:rPr>
            <w:rFonts w:ascii="Times New Roman" w:eastAsia="Times New Roman" w:hAnsi="Times New Roman" w:cs="Times New Roman"/>
            <w:color w:val="0000FF"/>
            <w:sz w:val="24"/>
            <w:szCs w:val="24"/>
            <w:u w:val="single"/>
          </w:rPr>
          <w:t>https://doi.org/10.1186/1471-2377-10-60</w:t>
        </w:r>
      </w:hyperlink>
    </w:p>
    <w:p w14:paraId="0F752F9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Kannan, G., &amp; Pletnikov, M. V. (2012). Toxoplasma gondii and cognitive deficits in schizophrenia: An animal model perspective.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(6), 1155–1161. </w:t>
      </w:r>
      <w:hyperlink r:id="rId2817" w:history="1">
        <w:r w:rsidRPr="004C4852">
          <w:rPr>
            <w:rFonts w:ascii="Times New Roman" w:eastAsia="Times New Roman" w:hAnsi="Times New Roman" w:cs="Times New Roman"/>
            <w:color w:val="0000FF"/>
            <w:sz w:val="24"/>
            <w:szCs w:val="24"/>
            <w:u w:val="single"/>
          </w:rPr>
          <w:t>https://doi.org/10.1093/schbul/sbs079</w:t>
        </w:r>
      </w:hyperlink>
    </w:p>
    <w:p w14:paraId="1DAEC65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Kanno, S., Saito, M., Hayashi, A., Uchiyama, M., Hiraoka, K., Nishio, Y., Hisanaga, K., &amp; Mori, E. (2012). Counting-backward test for executive function in idiopathic normal pressure hydrocephalus.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126</w:t>
      </w:r>
      <w:r w:rsidRPr="004C4852">
        <w:rPr>
          <w:rFonts w:ascii="Times New Roman" w:eastAsia="Times New Roman" w:hAnsi="Times New Roman" w:cs="Times New Roman"/>
          <w:sz w:val="24"/>
          <w:szCs w:val="24"/>
        </w:rPr>
        <w:t xml:space="preserve">(4), 279–286. </w:t>
      </w:r>
      <w:hyperlink r:id="rId2818" w:history="1">
        <w:r w:rsidRPr="004C4852">
          <w:rPr>
            <w:rFonts w:ascii="Times New Roman" w:eastAsia="Times New Roman" w:hAnsi="Times New Roman" w:cs="Times New Roman"/>
            <w:color w:val="0000FF"/>
            <w:sz w:val="24"/>
            <w:szCs w:val="24"/>
            <w:u w:val="single"/>
          </w:rPr>
          <w:t>https://doi.org/10.1111/j.1600-0404.2012.01644.x</w:t>
        </w:r>
      </w:hyperlink>
    </w:p>
    <w:p w14:paraId="54FAAF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Kantrowitz, J. T., Revheim, N., Pasternak, R., Silipo, G., &amp; Javitt, D. C. (2009). It’s all in the cards: Effect of stimulus manipulation on Wisconsin Card Sorting Test performance in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168</w:t>
      </w:r>
      <w:r w:rsidRPr="004C4852">
        <w:rPr>
          <w:rFonts w:ascii="Times New Roman" w:eastAsia="Times New Roman" w:hAnsi="Times New Roman" w:cs="Times New Roman"/>
          <w:sz w:val="24"/>
          <w:szCs w:val="24"/>
        </w:rPr>
        <w:t xml:space="preserve">(3), 198–204. </w:t>
      </w:r>
      <w:hyperlink r:id="rId2819" w:history="1">
        <w:r w:rsidRPr="004C4852">
          <w:rPr>
            <w:rFonts w:ascii="Times New Roman" w:eastAsia="Times New Roman" w:hAnsi="Times New Roman" w:cs="Times New Roman"/>
            <w:color w:val="0000FF"/>
            <w:sz w:val="24"/>
            <w:szCs w:val="24"/>
            <w:u w:val="single"/>
          </w:rPr>
          <w:t>https://doi.org/10.1016/j.psychres.2008.05.013</w:t>
        </w:r>
      </w:hyperlink>
    </w:p>
    <w:p w14:paraId="302A889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Kao, Y.-C., Liu, Y.-P., Lien, Y.-J., Lin, S.-J., Lu, C.-W., Wang, T.-S., &amp; Loh, C.-H. (2013). The influence of sex on cognitive insight and neurocognitive functioning in schizophrenia.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 193–200. </w:t>
      </w:r>
      <w:hyperlink r:id="rId2820" w:history="1">
        <w:r w:rsidRPr="004C4852">
          <w:rPr>
            <w:rFonts w:ascii="Times New Roman" w:eastAsia="Times New Roman" w:hAnsi="Times New Roman" w:cs="Times New Roman"/>
            <w:color w:val="0000FF"/>
            <w:sz w:val="24"/>
            <w:szCs w:val="24"/>
            <w:u w:val="single"/>
          </w:rPr>
          <w:t>https://doi.org/10.1016/j.pnpbp.2013.02.006</w:t>
        </w:r>
      </w:hyperlink>
    </w:p>
    <w:p w14:paraId="6AC664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Kapa, L. L., &amp; Colombo, J. (2014). Executive function predicts artificial language learning. </w:t>
      </w:r>
      <w:r w:rsidRPr="004C4852">
        <w:rPr>
          <w:rFonts w:ascii="Times New Roman" w:eastAsia="Times New Roman" w:hAnsi="Times New Roman" w:cs="Times New Roman"/>
          <w:i/>
          <w:iCs/>
          <w:sz w:val="24"/>
          <w:szCs w:val="24"/>
        </w:rPr>
        <w:t>Journal of Memory and Language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 237–252. </w:t>
      </w:r>
      <w:hyperlink r:id="rId2821" w:history="1">
        <w:r w:rsidRPr="004C4852">
          <w:rPr>
            <w:rFonts w:ascii="Times New Roman" w:eastAsia="Times New Roman" w:hAnsi="Times New Roman" w:cs="Times New Roman"/>
            <w:color w:val="0000FF"/>
            <w:sz w:val="24"/>
            <w:szCs w:val="24"/>
            <w:u w:val="single"/>
          </w:rPr>
          <w:t>https://doi.org/10.1016/j.jml.2014.07.004</w:t>
        </w:r>
      </w:hyperlink>
    </w:p>
    <w:p w14:paraId="580AF21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Kapczinski, N. S., Narvaez, J. C., Magalhães, P. V., Bücker, J., Peuker, A. C., Loredo, A. C., Troiano, F., Czepielewski, L., Rosa, A., Fries, G. R., &amp; Gama, C. S. (2016). Cognition and functioning in bipolar depression. </w:t>
      </w:r>
      <w:r w:rsidRPr="004C4852">
        <w:rPr>
          <w:rFonts w:ascii="Times New Roman" w:eastAsia="Times New Roman" w:hAnsi="Times New Roman" w:cs="Times New Roman"/>
          <w:i/>
          <w:iCs/>
          <w:sz w:val="24"/>
          <w:szCs w:val="24"/>
        </w:rPr>
        <w:t>Revista Brasileira de Psiquiatria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(3), 201–206. </w:t>
      </w:r>
      <w:hyperlink r:id="rId2822" w:history="1">
        <w:r w:rsidRPr="004C4852">
          <w:rPr>
            <w:rFonts w:ascii="Times New Roman" w:eastAsia="Times New Roman" w:hAnsi="Times New Roman" w:cs="Times New Roman"/>
            <w:color w:val="0000FF"/>
            <w:sz w:val="24"/>
            <w:szCs w:val="24"/>
            <w:u w:val="single"/>
          </w:rPr>
          <w:t>https://doi.org/10.1590/1516-4446-2014-1558</w:t>
        </w:r>
      </w:hyperlink>
    </w:p>
    <w:p w14:paraId="36F764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Kaptsan, A., Odessky, A., Osher, Y., &amp; Levine, J. (2007). Lack of efficacy of 5 grams daily of creatine in schizophrenia: A randomized, double-blind, placebo-controlled trial. </w:t>
      </w:r>
      <w:r w:rsidRPr="004C4852">
        <w:rPr>
          <w:rFonts w:ascii="Times New Roman" w:eastAsia="Times New Roman" w:hAnsi="Times New Roman" w:cs="Times New Roman"/>
          <w:i/>
          <w:iCs/>
          <w:sz w:val="24"/>
          <w:szCs w:val="24"/>
        </w:rPr>
        <w:t>The Journal of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(6), 881–884. </w:t>
      </w:r>
      <w:hyperlink r:id="rId2823" w:history="1">
        <w:r w:rsidRPr="004C4852">
          <w:rPr>
            <w:rFonts w:ascii="Times New Roman" w:eastAsia="Times New Roman" w:hAnsi="Times New Roman" w:cs="Times New Roman"/>
            <w:color w:val="0000FF"/>
            <w:sz w:val="24"/>
            <w:szCs w:val="24"/>
            <w:u w:val="single"/>
          </w:rPr>
          <w:t>https://doi.org/10.4088/JCP.v68n0609</w:t>
        </w:r>
      </w:hyperlink>
    </w:p>
    <w:p w14:paraId="4BE6E35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 S. K., Trivedi, J. K., Dalal, P. K., Sinha, P. K., &amp; Bajpai, M. (2013). A study on neurocognitive function in recovered Acute psychosis patients. </w:t>
      </w:r>
      <w:r w:rsidRPr="004C4852">
        <w:rPr>
          <w:rFonts w:ascii="Times New Roman" w:eastAsia="Times New Roman" w:hAnsi="Times New Roman" w:cs="Times New Roman"/>
          <w:i/>
          <w:iCs/>
          <w:sz w:val="24"/>
          <w:szCs w:val="24"/>
        </w:rPr>
        <w:t>ASEAN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(2), 134–145.</w:t>
      </w:r>
    </w:p>
    <w:p w14:paraId="73AD1A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 S. K., Trivedi, J. K., Dalal, P. K., Sinha, P. K., &amp; Bajpai, M. (2014). Factors affecting executive functions in patients recovered from acute and transient psychotic disorder. </w:t>
      </w:r>
      <w:r w:rsidRPr="004C4852">
        <w:rPr>
          <w:rFonts w:ascii="Times New Roman" w:eastAsia="Times New Roman" w:hAnsi="Times New Roman" w:cs="Times New Roman"/>
          <w:i/>
          <w:iCs/>
          <w:sz w:val="24"/>
          <w:szCs w:val="24"/>
        </w:rPr>
        <w:t>ASEAN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(2), 196–204.</w:t>
      </w:r>
    </w:p>
    <w:p w14:paraId="52DB0DC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Karabekiroğlu, A., Topçuoğlu, V., Gönentür, A. G., &amp; Karabekiroğlu, K. (2010). İlk epizod major depresyon ve yineleyici major depresyon grupları arasında yönetici işlev farkliliklari. [Executive function differences between first episode and recurrent major depression patients.].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(4), 280–288.</w:t>
      </w:r>
    </w:p>
    <w:p w14:paraId="38AB76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Karagiannopoulou, L., Karamaouna, P., Zouraraki, C., Roussos, P., Bitsios, P., &amp; Giakoumaki, S. G. (2016). Cognitive profiles of schizotypal dimensions in a community cohort: Common properties of differential manifestations.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(9), 1050–1063. </w:t>
      </w:r>
      <w:hyperlink r:id="rId2824" w:history="1">
        <w:r w:rsidRPr="004C4852">
          <w:rPr>
            <w:rFonts w:ascii="Times New Roman" w:eastAsia="Times New Roman" w:hAnsi="Times New Roman" w:cs="Times New Roman"/>
            <w:color w:val="0000FF"/>
            <w:sz w:val="24"/>
            <w:szCs w:val="24"/>
            <w:u w:val="single"/>
          </w:rPr>
          <w:t>https://doi.org/10.1080/13803395.2016.1188890</w:t>
        </w:r>
      </w:hyperlink>
    </w:p>
    <w:p w14:paraId="24E4B75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Karagüzel, E. Ö., Arslan, F. C., Uysal, E. K., Demir, S., Aykut, D. S., Tat, M., &amp; Karahan, S. C. (2019). Blood levels of interleukin-1 beta, interleukin-6 and tumor necrosis factor-alpha and cognitive functions in patients with obsessive compulsive disorder.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89</w:t>
      </w:r>
      <w:r w:rsidRPr="004C4852">
        <w:rPr>
          <w:rFonts w:ascii="Times New Roman" w:eastAsia="Times New Roman" w:hAnsi="Times New Roman" w:cs="Times New Roman"/>
          <w:sz w:val="24"/>
          <w:szCs w:val="24"/>
        </w:rPr>
        <w:t xml:space="preserve">, 61–66. </w:t>
      </w:r>
      <w:hyperlink r:id="rId2825" w:history="1">
        <w:r w:rsidRPr="004C4852">
          <w:rPr>
            <w:rFonts w:ascii="Times New Roman" w:eastAsia="Times New Roman" w:hAnsi="Times New Roman" w:cs="Times New Roman"/>
            <w:color w:val="0000FF"/>
            <w:sz w:val="24"/>
            <w:szCs w:val="24"/>
            <w:u w:val="single"/>
          </w:rPr>
          <w:t>https://doi.org/10.1016/j.comppsych.2018.11.013</w:t>
        </w:r>
      </w:hyperlink>
    </w:p>
    <w:p w14:paraId="7559632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Karakaş, S., Baran, Z., Özkan, A., &amp; Erdemir, C. (2006). Tepki doğruluğunun tepkiye-kilitli olay-ılişkili potansiyellere etkisi. [Effect of correct responses to response-locked event-related potentials.]. </w:t>
      </w:r>
      <w:r w:rsidRPr="004C4852">
        <w:rPr>
          <w:rFonts w:ascii="Times New Roman" w:eastAsia="Times New Roman" w:hAnsi="Times New Roman" w:cs="Times New Roman"/>
          <w:i/>
          <w:iCs/>
          <w:sz w:val="24"/>
          <w:szCs w:val="24"/>
        </w:rPr>
        <w:t>Yeni Symposium: Psikiyatri, Nöroloji ve Davraniş Bilimleri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(2), 64–75.</w:t>
      </w:r>
    </w:p>
    <w:p w14:paraId="013CFED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Karama, S., Amor, L. B., Grizenko, N., Ciampi, A., Mbekou, V., Ter-Stepanian, M., Lageix, P., Baron, C., Schwartz, G., &amp; Joober, R. (2009). Factor structure of the Restricted Academic Situation Scale: Implications for ADHD. </w:t>
      </w:r>
      <w:r w:rsidRPr="004C4852">
        <w:rPr>
          <w:rFonts w:ascii="Times New Roman" w:eastAsia="Times New Roman" w:hAnsi="Times New Roman" w:cs="Times New Roman"/>
          <w:i/>
          <w:iCs/>
          <w:sz w:val="24"/>
          <w:szCs w:val="24"/>
        </w:rPr>
        <w:t>Journal of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(5), 442–448. </w:t>
      </w:r>
      <w:hyperlink r:id="rId2826" w:history="1">
        <w:r w:rsidRPr="004C4852">
          <w:rPr>
            <w:rFonts w:ascii="Times New Roman" w:eastAsia="Times New Roman" w:hAnsi="Times New Roman" w:cs="Times New Roman"/>
            <w:color w:val="0000FF"/>
            <w:sz w:val="24"/>
            <w:szCs w:val="24"/>
            <w:u w:val="single"/>
          </w:rPr>
          <w:t>https://doi.org/10.1177/1087054708314605</w:t>
        </w:r>
      </w:hyperlink>
    </w:p>
    <w:p w14:paraId="1C0989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Karantonis, J. A., Rossell, S. L., Carruthers, S. P., Sumner, P., Hughes, M., Green, M. J., Pantelis, C., Burdick, K. E., Cropley, V., &amp; Van Rheenen, T. E. (2020). Cognitive validation of cross-diagnostic cognitive subgroups on the schizophrenia-bipolar spectrum.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266</w:t>
      </w:r>
      <w:r w:rsidRPr="004C4852">
        <w:rPr>
          <w:rFonts w:ascii="Times New Roman" w:eastAsia="Times New Roman" w:hAnsi="Times New Roman" w:cs="Times New Roman"/>
          <w:sz w:val="24"/>
          <w:szCs w:val="24"/>
        </w:rPr>
        <w:t xml:space="preserve">, 710–721. </w:t>
      </w:r>
      <w:hyperlink r:id="rId2827" w:history="1">
        <w:r w:rsidRPr="004C4852">
          <w:rPr>
            <w:rFonts w:ascii="Times New Roman" w:eastAsia="Times New Roman" w:hAnsi="Times New Roman" w:cs="Times New Roman"/>
            <w:color w:val="0000FF"/>
            <w:sz w:val="24"/>
            <w:szCs w:val="24"/>
            <w:u w:val="single"/>
          </w:rPr>
          <w:t>https://doi.org/10.1016/j.jad.2020.01.123</w:t>
        </w:r>
      </w:hyperlink>
    </w:p>
    <w:p w14:paraId="34DD5B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Karantzoulis, S., Troyer, A. K., &amp; Rich, J. B. (2009). Prospective memory in amnestic mild cognitive impairment.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(3), 407–415. </w:t>
      </w:r>
      <w:hyperlink r:id="rId2828" w:history="1">
        <w:r w:rsidRPr="004C4852">
          <w:rPr>
            <w:rFonts w:ascii="Times New Roman" w:eastAsia="Times New Roman" w:hAnsi="Times New Roman" w:cs="Times New Roman"/>
            <w:color w:val="0000FF"/>
            <w:sz w:val="24"/>
            <w:szCs w:val="24"/>
            <w:u w:val="single"/>
          </w:rPr>
          <w:t>https://doi.org/10.1017/S1355617709090596</w:t>
        </w:r>
      </w:hyperlink>
    </w:p>
    <w:p w14:paraId="2B15A7A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Karbasdehi, E. R., Abolghasemi, A., &amp; Hossein Khanzadeh, A. A. (2019). The effect of self-regulation empowerment program training on neurocognitive and social skills in students with dyscalculia. </w:t>
      </w:r>
      <w:r w:rsidRPr="004C4852">
        <w:rPr>
          <w:rFonts w:ascii="Times New Roman" w:eastAsia="Times New Roman" w:hAnsi="Times New Roman" w:cs="Times New Roman"/>
          <w:i/>
          <w:iCs/>
          <w:sz w:val="24"/>
          <w:szCs w:val="24"/>
        </w:rPr>
        <w:t>Archives of Psychiatry and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(2), 71–80.</w:t>
      </w:r>
    </w:p>
    <w:p w14:paraId="78CDC4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Karch, D., Albers, L., Renner, G., Lichtenauer, N., &amp; von Kries, R. (2013). The efficacy of cognitive training programs in children and adolescents: A meta-analysis. </w:t>
      </w:r>
      <w:r w:rsidRPr="004C4852">
        <w:rPr>
          <w:rFonts w:ascii="Times New Roman" w:eastAsia="Times New Roman" w:hAnsi="Times New Roman" w:cs="Times New Roman"/>
          <w:i/>
          <w:iCs/>
          <w:sz w:val="24"/>
          <w:szCs w:val="24"/>
        </w:rPr>
        <w:t>Deutsches Ärzteblatt International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(39), 643–652.</w:t>
      </w:r>
    </w:p>
    <w:p w14:paraId="08F7D98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Karilampi, U., Helldin, L., &amp; Archer, T. (2011). Cognition and Global Assessment of Functioning in male and female outpatients with schizophrenia spectrum disorders. </w:t>
      </w:r>
      <w:r w:rsidRPr="004C4852">
        <w:rPr>
          <w:rFonts w:ascii="Times New Roman" w:eastAsia="Times New Roman" w:hAnsi="Times New Roman" w:cs="Times New Roman"/>
          <w:i/>
          <w:iCs/>
          <w:sz w:val="24"/>
          <w:szCs w:val="24"/>
        </w:rPr>
        <w:t>Journal of Nervous and Mental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199</w:t>
      </w:r>
      <w:r w:rsidRPr="004C4852">
        <w:rPr>
          <w:rFonts w:ascii="Times New Roman" w:eastAsia="Times New Roman" w:hAnsi="Times New Roman" w:cs="Times New Roman"/>
          <w:sz w:val="24"/>
          <w:szCs w:val="24"/>
        </w:rPr>
        <w:t xml:space="preserve">(7), 445–448. </w:t>
      </w:r>
      <w:hyperlink r:id="rId2829" w:history="1">
        <w:r w:rsidRPr="004C4852">
          <w:rPr>
            <w:rFonts w:ascii="Times New Roman" w:eastAsia="Times New Roman" w:hAnsi="Times New Roman" w:cs="Times New Roman"/>
            <w:color w:val="0000FF"/>
            <w:sz w:val="24"/>
            <w:szCs w:val="24"/>
            <w:u w:val="single"/>
          </w:rPr>
          <w:t>https://doi.org/10.1097/NMD.0b013e318221413e</w:t>
        </w:r>
      </w:hyperlink>
    </w:p>
    <w:p w14:paraId="2761A1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Karilampi, U., Helldin, L., Hjärthag, F., Norlander, T., &amp; Archer, T. (2007). Verbal learning in schizopsychotic outpatients and healthy volunteers as a function of cognitive performance levels.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(2), 161–174. </w:t>
      </w:r>
      <w:hyperlink r:id="rId2830" w:history="1">
        <w:r w:rsidRPr="004C4852">
          <w:rPr>
            <w:rFonts w:ascii="Times New Roman" w:eastAsia="Times New Roman" w:hAnsi="Times New Roman" w:cs="Times New Roman"/>
            <w:color w:val="0000FF"/>
            <w:sz w:val="24"/>
            <w:szCs w:val="24"/>
            <w:u w:val="single"/>
          </w:rPr>
          <w:t>https://doi.org/10.1016/j.acn.2006.12.003</w:t>
        </w:r>
      </w:hyperlink>
    </w:p>
    <w:p w14:paraId="678D172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Karlsson, L. C., Soveri, A., Saarinen, M., &amp; Weizmann-Henelius, G. (2016). The role of set-shifting ability in differentiating between subgroups of female violent offenders. </w:t>
      </w:r>
      <w:r w:rsidRPr="004C4852">
        <w:rPr>
          <w:rFonts w:ascii="Times New Roman" w:eastAsia="Times New Roman" w:hAnsi="Times New Roman" w:cs="Times New Roman"/>
          <w:i/>
          <w:iCs/>
          <w:sz w:val="24"/>
          <w:szCs w:val="24"/>
        </w:rPr>
        <w:t>Journal of Forensic Psychiatry &amp;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745–759. </w:t>
      </w:r>
      <w:hyperlink r:id="rId2831" w:history="1">
        <w:r w:rsidRPr="004C4852">
          <w:rPr>
            <w:rFonts w:ascii="Times New Roman" w:eastAsia="Times New Roman" w:hAnsi="Times New Roman" w:cs="Times New Roman"/>
            <w:color w:val="0000FF"/>
            <w:sz w:val="24"/>
            <w:szCs w:val="24"/>
            <w:u w:val="single"/>
          </w:rPr>
          <w:t>https://doi.org/10.1080/14789949.2016.1152589</w:t>
        </w:r>
      </w:hyperlink>
    </w:p>
    <w:p w14:paraId="2ABDEC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Karlsson, S., Rieckmann, A., Karlsson, P., Farde, L., Nyberg, L., &amp; Bäckman, L. (2011). Relationship of dopamine D1 receptor binding in striatal and extrastriatal regions to cognitive functioning in healthy humans. </w:t>
      </w:r>
      <w:r w:rsidRPr="004C4852">
        <w:rPr>
          <w:rFonts w:ascii="Times New Roman" w:eastAsia="Times New Roman" w:hAnsi="Times New Roman" w:cs="Times New Roman"/>
          <w:i/>
          <w:iCs/>
          <w:sz w:val="24"/>
          <w:szCs w:val="24"/>
        </w:rPr>
        <w:t>NeuroImage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(2), 346–351. </w:t>
      </w:r>
      <w:hyperlink r:id="rId2832" w:history="1">
        <w:r w:rsidRPr="004C4852">
          <w:rPr>
            <w:rFonts w:ascii="Times New Roman" w:eastAsia="Times New Roman" w:hAnsi="Times New Roman" w:cs="Times New Roman"/>
            <w:color w:val="0000FF"/>
            <w:sz w:val="24"/>
            <w:szCs w:val="24"/>
            <w:u w:val="single"/>
          </w:rPr>
          <w:t>https://doi.org/10.1016/j.neuroimage.2011.04.047</w:t>
        </w:r>
      </w:hyperlink>
    </w:p>
    <w:p w14:paraId="5331CF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Karner, E., Delazer, M., Nachbauer, W., Benke, T., &amp; Boesch, S. (2013). Kognition und psychopathologie bei autosomal dominant vererbten ataxien. [Cognition and psychopathology in autosomal dominantly inherited ataxias.]. </w:t>
      </w:r>
      <w:r w:rsidRPr="004C4852">
        <w:rPr>
          <w:rFonts w:ascii="Times New Roman" w:eastAsia="Times New Roman" w:hAnsi="Times New Roman" w:cs="Times New Roman"/>
          <w:i/>
          <w:iCs/>
          <w:sz w:val="24"/>
          <w:szCs w:val="24"/>
        </w:rPr>
        <w:t>Zeitschrift Für Neuropsychologie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(3), 161–190. </w:t>
      </w:r>
      <w:hyperlink r:id="rId2833" w:history="1">
        <w:r w:rsidRPr="004C4852">
          <w:rPr>
            <w:rFonts w:ascii="Times New Roman" w:eastAsia="Times New Roman" w:hAnsi="Times New Roman" w:cs="Times New Roman"/>
            <w:color w:val="0000FF"/>
            <w:sz w:val="24"/>
            <w:szCs w:val="24"/>
            <w:u w:val="single"/>
          </w:rPr>
          <w:t>https://doi.org/10.1024/1016-264X/a000096</w:t>
        </w:r>
      </w:hyperlink>
    </w:p>
    <w:p w14:paraId="38DF607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Karner, E., Nachbauer, W., Bodner, T., Benke, T., Boesch, S., &amp; Delazer, M. (2012). Long-term outcome of cognitive functions, emotional behavior, and quality of life in a family with familial hemiplegic migraine.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(2), 85–92. </w:t>
      </w:r>
      <w:hyperlink r:id="rId2834" w:history="1">
        <w:r w:rsidRPr="004C4852">
          <w:rPr>
            <w:rFonts w:ascii="Times New Roman" w:eastAsia="Times New Roman" w:hAnsi="Times New Roman" w:cs="Times New Roman"/>
            <w:color w:val="0000FF"/>
            <w:sz w:val="24"/>
            <w:szCs w:val="24"/>
            <w:u w:val="single"/>
          </w:rPr>
          <w:t>https://doi.org/10.1097/WNN.0b013e318259cb36</w:t>
        </w:r>
      </w:hyperlink>
    </w:p>
    <w:p w14:paraId="6C8455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Karoumi, B., Ventre-Dominey, J., Vighetto, A., Dalery, J., &amp; d’Amato, T. (1998). Saccadic eye movements in schizophrenic patients.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77</w:t>
      </w:r>
      <w:r w:rsidRPr="004C4852">
        <w:rPr>
          <w:rFonts w:ascii="Times New Roman" w:eastAsia="Times New Roman" w:hAnsi="Times New Roman" w:cs="Times New Roman"/>
          <w:sz w:val="24"/>
          <w:szCs w:val="24"/>
        </w:rPr>
        <w:t xml:space="preserve">(1), 9–19. </w:t>
      </w:r>
      <w:hyperlink r:id="rId2835" w:history="1">
        <w:r w:rsidRPr="004C4852">
          <w:rPr>
            <w:rFonts w:ascii="Times New Roman" w:eastAsia="Times New Roman" w:hAnsi="Times New Roman" w:cs="Times New Roman"/>
            <w:color w:val="0000FF"/>
            <w:sz w:val="24"/>
            <w:szCs w:val="24"/>
            <w:u w:val="single"/>
          </w:rPr>
          <w:t>https://doi.org/10.1016/S0165-1781(97)00126-1</w:t>
        </w:r>
      </w:hyperlink>
    </w:p>
    <w:p w14:paraId="2BCEFAA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Karr, J. E., Rau, H. K., Shofer, J. B., Hendrickson, R. C., Peskind, E. R., &amp; Pagulayan, K. F. (2019). Variables associated with subjective cognitive change among Iraq and Afghanistan war veterans with blast-related mild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(7), 680–693. </w:t>
      </w:r>
      <w:hyperlink r:id="rId2836" w:history="1">
        <w:r w:rsidRPr="004C4852">
          <w:rPr>
            <w:rFonts w:ascii="Times New Roman" w:eastAsia="Times New Roman" w:hAnsi="Times New Roman" w:cs="Times New Roman"/>
            <w:color w:val="0000FF"/>
            <w:sz w:val="24"/>
            <w:szCs w:val="24"/>
            <w:u w:val="single"/>
          </w:rPr>
          <w:t>https://doi.org/10.1080/13803395.2019.1611740</w:t>
        </w:r>
      </w:hyperlink>
    </w:p>
    <w:p w14:paraId="3E7316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Karstens, A. J., Korzun, I., Avery, E. T., Kassel, M. T., Keelan, R., Kales, H., Abercrombie, H., Eisenlohr-Moul, T., Langenecker, S. A., &amp; Weisenbach, S. (2019). Examining HPA-axis functioning as a mediator of the relationship between depression and cognition across the adult lifespan. </w:t>
      </w:r>
      <w:r w:rsidRPr="004C4852">
        <w:rPr>
          <w:rFonts w:ascii="Times New Roman" w:eastAsia="Times New Roman" w:hAnsi="Times New Roman" w:cs="Times New Roman"/>
          <w:i/>
          <w:iCs/>
          <w:sz w:val="24"/>
          <w:szCs w:val="24"/>
        </w:rPr>
        <w:t>Aging, Neuropsychology,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(4), 507–520. </w:t>
      </w:r>
      <w:hyperlink r:id="rId2837" w:history="1">
        <w:r w:rsidRPr="004C4852">
          <w:rPr>
            <w:rFonts w:ascii="Times New Roman" w:eastAsia="Times New Roman" w:hAnsi="Times New Roman" w:cs="Times New Roman"/>
            <w:color w:val="0000FF"/>
            <w:sz w:val="24"/>
            <w:szCs w:val="24"/>
            <w:u w:val="single"/>
          </w:rPr>
          <w:t>https://doi.org/10.1080/13825585.2018.1495309</w:t>
        </w:r>
      </w:hyperlink>
    </w:p>
    <w:p w14:paraId="60260AE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Kartsounis, L. D., &amp; Crewes, H. (2007). Phonological buffer and selective deficits of grammar, with distinct time onsets, in a patient with a focal degenerative disorder.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(2), 65–80. </w:t>
      </w:r>
      <w:hyperlink r:id="rId2838" w:history="1">
        <w:r w:rsidRPr="004C4852">
          <w:rPr>
            <w:rFonts w:ascii="Times New Roman" w:eastAsia="Times New Roman" w:hAnsi="Times New Roman" w:cs="Times New Roman"/>
            <w:color w:val="0000FF"/>
            <w:sz w:val="24"/>
            <w:szCs w:val="24"/>
            <w:u w:val="single"/>
          </w:rPr>
          <w:t>https://doi.org/10.1080/13554790701254681</w:t>
        </w:r>
      </w:hyperlink>
    </w:p>
    <w:p w14:paraId="2E7CD1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Karzmark, P., Llanes, S., Tan, S., Deutsch, G., &amp; Zeifert, P. (2012). Comparison of the Frontal Systems Behavior Scale and neuropsychological tests of executive functioning in predicting instrumental activities of daily living. </w:t>
      </w:r>
      <w:r w:rsidRPr="004C4852">
        <w:rPr>
          <w:rFonts w:ascii="Times New Roman" w:eastAsia="Times New Roman" w:hAnsi="Times New Roman" w:cs="Times New Roman"/>
          <w:i/>
          <w:iCs/>
          <w:sz w:val="24"/>
          <w:szCs w:val="24"/>
        </w:rPr>
        <w:t>Applied Neuropsychology: Adult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81–85. </w:t>
      </w:r>
      <w:hyperlink r:id="rId2839" w:history="1">
        <w:r w:rsidRPr="004C4852">
          <w:rPr>
            <w:rFonts w:ascii="Times New Roman" w:eastAsia="Times New Roman" w:hAnsi="Times New Roman" w:cs="Times New Roman"/>
            <w:color w:val="0000FF"/>
            <w:sz w:val="24"/>
            <w:szCs w:val="24"/>
            <w:u w:val="single"/>
          </w:rPr>
          <w:t>https://doi.org/10.1080/09084282.2011.643942</w:t>
        </w:r>
      </w:hyperlink>
    </w:p>
    <w:p w14:paraId="057EF5D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Kasar, M., Gleichgerrcht, E., Keskinkilic, C., Tabo, A., &amp; Manes, F. F. (2010). Decision-making in people who relapsed to driving under the influence of alcohol. </w:t>
      </w:r>
      <w:r w:rsidRPr="004C4852">
        <w:rPr>
          <w:rFonts w:ascii="Times New Roman" w:eastAsia="Times New Roman" w:hAnsi="Times New Roman" w:cs="Times New Roman"/>
          <w:i/>
          <w:iCs/>
          <w:sz w:val="24"/>
          <w:szCs w:val="24"/>
        </w:rPr>
        <w:t>Alcoholism: Clinical and Experimental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(12), 2162–2168. </w:t>
      </w:r>
      <w:hyperlink r:id="rId2840" w:history="1">
        <w:r w:rsidRPr="004C4852">
          <w:rPr>
            <w:rFonts w:ascii="Times New Roman" w:eastAsia="Times New Roman" w:hAnsi="Times New Roman" w:cs="Times New Roman"/>
            <w:color w:val="0000FF"/>
            <w:sz w:val="24"/>
            <w:szCs w:val="24"/>
            <w:u w:val="single"/>
          </w:rPr>
          <w:t>https://doi.org/10.1111/j.1530-0277.2010.01313.x</w:t>
        </w:r>
      </w:hyperlink>
    </w:p>
    <w:p w14:paraId="72A9419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Kashima, N., Asada, T., Kimura, M., Uno, M., Takahashi, K., Uema, T., &amp; Tahira, T. (1999). A case of clinically diagnosed sudanophilic leukodystrophy. [A case of clinically diagnosed sudanophilic leukodystrophy.].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(1), 63–68.</w:t>
      </w:r>
    </w:p>
    <w:p w14:paraId="624648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Kashyap, H., Kumar, J. K., Kandavel, T., &amp; Reddy, Y. C. J. (2012). Neuropsychological correlates of insight in obsessive–compulsive disorder. </w:t>
      </w:r>
      <w:r w:rsidRPr="004C4852">
        <w:rPr>
          <w:rFonts w:ascii="Times New Roman" w:eastAsia="Times New Roman" w:hAnsi="Times New Roman" w:cs="Times New Roman"/>
          <w:i/>
          <w:iCs/>
          <w:sz w:val="24"/>
          <w:szCs w:val="24"/>
        </w:rPr>
        <w:t>Acta Psychiatrica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126</w:t>
      </w:r>
      <w:r w:rsidRPr="004C4852">
        <w:rPr>
          <w:rFonts w:ascii="Times New Roman" w:eastAsia="Times New Roman" w:hAnsi="Times New Roman" w:cs="Times New Roman"/>
          <w:sz w:val="24"/>
          <w:szCs w:val="24"/>
        </w:rPr>
        <w:t xml:space="preserve">(2), 106–114. </w:t>
      </w:r>
      <w:hyperlink r:id="rId2841" w:history="1">
        <w:r w:rsidRPr="004C4852">
          <w:rPr>
            <w:rFonts w:ascii="Times New Roman" w:eastAsia="Times New Roman" w:hAnsi="Times New Roman" w:cs="Times New Roman"/>
            <w:color w:val="0000FF"/>
            <w:sz w:val="24"/>
            <w:szCs w:val="24"/>
            <w:u w:val="single"/>
          </w:rPr>
          <w:t>https://doi.org/10.1111/j.1600-0447.2012.01845.x</w:t>
        </w:r>
      </w:hyperlink>
    </w:p>
    <w:p w14:paraId="3D6864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Katai, S., Maruyama, T., Hashimoto, T., &amp; Ikeda, S. (2003). Event based and time based prospective memory in Parkinson’s disease.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74</w:t>
      </w:r>
      <w:r w:rsidRPr="004C4852">
        <w:rPr>
          <w:rFonts w:ascii="Times New Roman" w:eastAsia="Times New Roman" w:hAnsi="Times New Roman" w:cs="Times New Roman"/>
          <w:sz w:val="24"/>
          <w:szCs w:val="24"/>
        </w:rPr>
        <w:t xml:space="preserve">(6), 704–709. </w:t>
      </w:r>
      <w:hyperlink r:id="rId2842" w:history="1">
        <w:r w:rsidRPr="004C4852">
          <w:rPr>
            <w:rFonts w:ascii="Times New Roman" w:eastAsia="Times New Roman" w:hAnsi="Times New Roman" w:cs="Times New Roman"/>
            <w:color w:val="0000FF"/>
            <w:sz w:val="24"/>
            <w:szCs w:val="24"/>
            <w:u w:val="single"/>
          </w:rPr>
          <w:t>https://doi.org/10.1136/jnnp.74.6.704</w:t>
        </w:r>
      </w:hyperlink>
    </w:p>
    <w:p w14:paraId="68DF53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Kates, W. R., Antshel, K., Willhite, R., Bessette, B. A., AbdulSabur, N., &amp; Higgins, A. M. (2005). Gender-moderated dorsolateral prefrontal reductions in 22q11.2 Deletion Syndrome: Implications for risk for schizophrenia.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(1), 73–85. </w:t>
      </w:r>
      <w:hyperlink r:id="rId2843" w:history="1">
        <w:r w:rsidRPr="004C4852">
          <w:rPr>
            <w:rFonts w:ascii="Times New Roman" w:eastAsia="Times New Roman" w:hAnsi="Times New Roman" w:cs="Times New Roman"/>
            <w:color w:val="0000FF"/>
            <w:sz w:val="24"/>
            <w:szCs w:val="24"/>
            <w:u w:val="single"/>
          </w:rPr>
          <w:t>https://doi.org/10.1080/09297040590911211</w:t>
        </w:r>
      </w:hyperlink>
    </w:p>
    <w:p w14:paraId="5A9E97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Katsarou, Z., Bostantjopoulou, S., Kimiskidis, V., Rossopoulos, E., &amp; Kazis, A. (2004). Auditory event-related potentials in Parkinson’s disease in relation to cognitive ability. </w:t>
      </w:r>
      <w:r w:rsidRPr="004C4852">
        <w:rPr>
          <w:rFonts w:ascii="Times New Roman" w:eastAsia="Times New Roman" w:hAnsi="Times New Roman" w:cs="Times New Roman"/>
          <w:i/>
          <w:iCs/>
          <w:sz w:val="24"/>
          <w:szCs w:val="24"/>
        </w:rPr>
        <w:t>Perceptual and Motor Skills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98</w:t>
      </w:r>
      <w:r w:rsidRPr="004C4852">
        <w:rPr>
          <w:rFonts w:ascii="Times New Roman" w:eastAsia="Times New Roman" w:hAnsi="Times New Roman" w:cs="Times New Roman"/>
          <w:sz w:val="24"/>
          <w:szCs w:val="24"/>
        </w:rPr>
        <w:t xml:space="preserve">(3,Pt2), 1441–1448. </w:t>
      </w:r>
      <w:hyperlink r:id="rId2844" w:history="1">
        <w:r w:rsidRPr="004C4852">
          <w:rPr>
            <w:rFonts w:ascii="Times New Roman" w:eastAsia="Times New Roman" w:hAnsi="Times New Roman" w:cs="Times New Roman"/>
            <w:color w:val="0000FF"/>
            <w:sz w:val="24"/>
            <w:szCs w:val="24"/>
            <w:u w:val="single"/>
          </w:rPr>
          <w:t>https://doi.org/10.2466/PMS.98.4.1441-1448</w:t>
        </w:r>
      </w:hyperlink>
    </w:p>
    <w:p w14:paraId="111EFE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Katz, L. J. (2011). ADHD in adults: The syndrome and its reconceptualization. </w:t>
      </w:r>
      <w:r w:rsidRPr="004C4852">
        <w:rPr>
          <w:rFonts w:ascii="Times New Roman" w:eastAsia="Times New Roman" w:hAnsi="Times New Roman" w:cs="Times New Roman"/>
          <w:i/>
          <w:iCs/>
          <w:sz w:val="24"/>
          <w:szCs w:val="24"/>
        </w:rPr>
        <w:t>Contemporary Neurobehavioral Syndromes.</w:t>
      </w:r>
      <w:r w:rsidRPr="004C4852">
        <w:rPr>
          <w:rFonts w:ascii="Times New Roman" w:eastAsia="Times New Roman" w:hAnsi="Times New Roman" w:cs="Times New Roman"/>
          <w:sz w:val="24"/>
          <w:szCs w:val="24"/>
        </w:rPr>
        <w:t>, 71–109.</w:t>
      </w:r>
    </w:p>
    <w:p w14:paraId="6D14525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Katz, N., &amp; Keren, N. (2011). Effectiveness of occupational goal intervention for clients with schizophrenia. </w:t>
      </w:r>
      <w:r w:rsidRPr="004C4852">
        <w:rPr>
          <w:rFonts w:ascii="Times New Roman" w:eastAsia="Times New Roman" w:hAnsi="Times New Roman" w:cs="Times New Roman"/>
          <w:i/>
          <w:iCs/>
          <w:sz w:val="24"/>
          <w:szCs w:val="24"/>
        </w:rPr>
        <w:t>American Journal of Occupational 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(3), 287–296. </w:t>
      </w:r>
      <w:hyperlink r:id="rId2845" w:history="1">
        <w:r w:rsidRPr="004C4852">
          <w:rPr>
            <w:rFonts w:ascii="Times New Roman" w:eastAsia="Times New Roman" w:hAnsi="Times New Roman" w:cs="Times New Roman"/>
            <w:color w:val="0000FF"/>
            <w:sz w:val="24"/>
            <w:szCs w:val="24"/>
            <w:u w:val="single"/>
          </w:rPr>
          <w:t>https://doi.org/10.5014/ajot.2011.001347</w:t>
        </w:r>
      </w:hyperlink>
    </w:p>
    <w:p w14:paraId="3FA71E1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Katzen, H., Myerson, C., Papapetropoulos, S., Nahab, F., Gallo, B., &amp; Levin, B. (2010). Multi-modal hallucinations and cognitive function in Parkinson’s disease.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(1), 51–56. </w:t>
      </w:r>
      <w:hyperlink r:id="rId2846" w:history="1">
        <w:r w:rsidRPr="004C4852">
          <w:rPr>
            <w:rFonts w:ascii="Times New Roman" w:eastAsia="Times New Roman" w:hAnsi="Times New Roman" w:cs="Times New Roman"/>
            <w:color w:val="0000FF"/>
            <w:sz w:val="24"/>
            <w:szCs w:val="24"/>
            <w:u w:val="single"/>
          </w:rPr>
          <w:t>https://doi.org/10.1159/000314875</w:t>
        </w:r>
      </w:hyperlink>
    </w:p>
    <w:p w14:paraId="093AD7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Kaufman, D. A. S., Boxer, O., &amp; Bilder, R. M. (2013). Evidence-based science and practice in neuropsychology: A review. In </w:t>
      </w:r>
      <w:r w:rsidRPr="004C4852">
        <w:rPr>
          <w:rFonts w:ascii="Times New Roman" w:eastAsia="Times New Roman" w:hAnsi="Times New Roman" w:cs="Times New Roman"/>
          <w:i/>
          <w:iCs/>
          <w:sz w:val="24"/>
          <w:szCs w:val="24"/>
        </w:rPr>
        <w:t>Neuropsychology: Science and practice, I.</w:t>
      </w:r>
      <w:r w:rsidRPr="004C4852">
        <w:rPr>
          <w:rFonts w:ascii="Times New Roman" w:eastAsia="Times New Roman" w:hAnsi="Times New Roman" w:cs="Times New Roman"/>
          <w:sz w:val="24"/>
          <w:szCs w:val="24"/>
        </w:rPr>
        <w:t xml:space="preserve"> (pp. 1–38). Oxford University Press.</w:t>
      </w:r>
    </w:p>
    <w:p w14:paraId="316F5C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Kaufman, D. A. S., Keith, C. M., &amp; Perlstein, W. M. (2016). Orbitofrontal cortex and the early processing of visual novelty in healthy aging.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w:t>
      </w:r>
    </w:p>
    <w:p w14:paraId="18342E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Kaur, J., Dodson, J. E., Steadman, L., &amp; Vance, D. E. (2014). Predictors of improvement following speed of processing training in middle-aged and older adults with HIV: A pilot study. </w:t>
      </w:r>
      <w:r w:rsidRPr="004C4852">
        <w:rPr>
          <w:rFonts w:ascii="Times New Roman" w:eastAsia="Times New Roman" w:hAnsi="Times New Roman" w:cs="Times New Roman"/>
          <w:i/>
          <w:iCs/>
          <w:sz w:val="24"/>
          <w:szCs w:val="24"/>
        </w:rPr>
        <w:t>Journal of Neuroscience Nursing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(1), 23–33. </w:t>
      </w:r>
      <w:hyperlink r:id="rId2847" w:history="1">
        <w:r w:rsidRPr="004C4852">
          <w:rPr>
            <w:rFonts w:ascii="Times New Roman" w:eastAsia="Times New Roman" w:hAnsi="Times New Roman" w:cs="Times New Roman"/>
            <w:color w:val="0000FF"/>
            <w:sz w:val="24"/>
            <w:szCs w:val="24"/>
            <w:u w:val="single"/>
          </w:rPr>
          <w:t>https://doi.org/10.1097/JNN.0000000000000034</w:t>
        </w:r>
      </w:hyperlink>
    </w:p>
    <w:p w14:paraId="24F106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Kaur, P., Sidana, A., Malhotra, N., &amp; Gupta, A. (2020). Effects of abstinence of alcohol on neurocognitive functioning in patients with alcohol dependence syndrome.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50</w:t>
      </w:r>
      <w:r w:rsidRPr="004C4852">
        <w:rPr>
          <w:rFonts w:ascii="Times New Roman" w:eastAsia="Times New Roman" w:hAnsi="Times New Roman" w:cs="Times New Roman"/>
          <w:sz w:val="24"/>
          <w:szCs w:val="24"/>
        </w:rPr>
        <w:t xml:space="preserve">. </w:t>
      </w:r>
      <w:hyperlink r:id="rId2848" w:history="1">
        <w:r w:rsidRPr="004C4852">
          <w:rPr>
            <w:rFonts w:ascii="Times New Roman" w:eastAsia="Times New Roman" w:hAnsi="Times New Roman" w:cs="Times New Roman"/>
            <w:color w:val="0000FF"/>
            <w:sz w:val="24"/>
            <w:szCs w:val="24"/>
            <w:u w:val="single"/>
          </w:rPr>
          <w:t>https://doi.org/10.1016/j.ajp.2020.101997</w:t>
        </w:r>
      </w:hyperlink>
    </w:p>
    <w:p w14:paraId="4D8AF6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C., Dupont-Frechette, J. A., Tellock, P. P., Maher, I. D., Haisley, L. D., &amp; Holler, K. A. (2015). The role of inhibitory control in the hospitalization of children with severe psychiatric disorders.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(6), 847–862. </w:t>
      </w:r>
      <w:hyperlink r:id="rId2849" w:history="1">
        <w:r w:rsidRPr="004C4852">
          <w:rPr>
            <w:rFonts w:ascii="Times New Roman" w:eastAsia="Times New Roman" w:hAnsi="Times New Roman" w:cs="Times New Roman"/>
            <w:color w:val="0000FF"/>
            <w:sz w:val="24"/>
            <w:szCs w:val="24"/>
            <w:u w:val="single"/>
          </w:rPr>
          <w:t>https://doi.org/10.1080/13854046.2015.1093174</w:t>
        </w:r>
      </w:hyperlink>
    </w:p>
    <w:p w14:paraId="671636B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C., Gaudet, C. E., Dupont-Frechette, J. A., Tellock, P. P., Maher, I. D., Haisley, L. D., &amp; Holler, K. A. (2016). Failure to maintain set as a predictor of childhood depression within a children’s psychiatric inpatient sample.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246</w:t>
      </w:r>
      <w:r w:rsidRPr="004C4852">
        <w:rPr>
          <w:rFonts w:ascii="Times New Roman" w:eastAsia="Times New Roman" w:hAnsi="Times New Roman" w:cs="Times New Roman"/>
          <w:sz w:val="24"/>
          <w:szCs w:val="24"/>
        </w:rPr>
        <w:t xml:space="preserve">, 644–649. </w:t>
      </w:r>
      <w:hyperlink r:id="rId2850" w:history="1">
        <w:r w:rsidRPr="004C4852">
          <w:rPr>
            <w:rFonts w:ascii="Times New Roman" w:eastAsia="Times New Roman" w:hAnsi="Times New Roman" w:cs="Times New Roman"/>
            <w:color w:val="0000FF"/>
            <w:sz w:val="24"/>
            <w:szCs w:val="24"/>
            <w:u w:val="single"/>
          </w:rPr>
          <w:t>https://doi.org/10.1016/j.psychres.2016.10.074</w:t>
        </w:r>
      </w:hyperlink>
    </w:p>
    <w:p w14:paraId="5A3DE4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&amp; Holler, K. (2014). Executive functioning and self-reported depressive symptoms within an adolescent inpatient population. </w:t>
      </w:r>
      <w:r w:rsidRPr="004C4852">
        <w:rPr>
          <w:rFonts w:ascii="Times New Roman" w:eastAsia="Times New Roman" w:hAnsi="Times New Roman" w:cs="Times New Roman"/>
          <w:i/>
          <w:iCs/>
          <w:sz w:val="24"/>
          <w:szCs w:val="24"/>
        </w:rPr>
        <w:t>Applied Neuropsychology: Child</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 xml:space="preserve">(2), 126–134. </w:t>
      </w:r>
      <w:hyperlink r:id="rId2851" w:history="1">
        <w:r w:rsidRPr="004C4852">
          <w:rPr>
            <w:rFonts w:ascii="Times New Roman" w:eastAsia="Times New Roman" w:hAnsi="Times New Roman" w:cs="Times New Roman"/>
            <w:color w:val="0000FF"/>
            <w:sz w:val="24"/>
            <w:szCs w:val="24"/>
            <w:u w:val="single"/>
          </w:rPr>
          <w:t>https://doi.org/10.1080/21622965.2012.731662</w:t>
        </w:r>
      </w:hyperlink>
    </w:p>
    <w:p w14:paraId="13672FB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Kavanaugh, B., Holler, K., &amp; Selke, G. (2015). A neuropsychological profile of childhood maltreatment within an adolescent inpatient sample. </w:t>
      </w:r>
      <w:r w:rsidRPr="004C4852">
        <w:rPr>
          <w:rFonts w:ascii="Times New Roman" w:eastAsia="Times New Roman" w:hAnsi="Times New Roman" w:cs="Times New Roman"/>
          <w:i/>
          <w:iCs/>
          <w:sz w:val="24"/>
          <w:szCs w:val="24"/>
        </w:rPr>
        <w:t>Applied Neuropsychology: Child</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w:t>
      </w:r>
      <w:r w:rsidRPr="004C4852">
        <w:rPr>
          <w:rFonts w:ascii="Times New Roman" w:eastAsia="Times New Roman" w:hAnsi="Times New Roman" w:cs="Times New Roman"/>
          <w:sz w:val="24"/>
          <w:szCs w:val="24"/>
        </w:rPr>
        <w:t xml:space="preserve">(1), 9–19. </w:t>
      </w:r>
      <w:hyperlink r:id="rId2852" w:history="1">
        <w:r w:rsidRPr="004C4852">
          <w:rPr>
            <w:rFonts w:ascii="Times New Roman" w:eastAsia="Times New Roman" w:hAnsi="Times New Roman" w:cs="Times New Roman"/>
            <w:color w:val="0000FF"/>
            <w:sz w:val="24"/>
            <w:szCs w:val="24"/>
            <w:u w:val="single"/>
          </w:rPr>
          <w:t>https://doi.org/10.1080/21622965.2013.789964</w:t>
        </w:r>
      </w:hyperlink>
    </w:p>
    <w:p w14:paraId="789E87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Kawagoe, T., Onoda, K., &amp; Yamaguchi, S. (2017). Apathy and executive function in healthy elderly—Resting state fMRI study.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w:t>
      </w:r>
    </w:p>
    <w:p w14:paraId="74C020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Kawai, N., Yamakawa, Y., Baba, A., Nemoto, K., Tachikawa, H., Hori, T., Asada, T., &amp; Iidaka, T. (2006). High-dose of multiple antipsychotics and cognitive function in schizophrenia: The effect of dose-reduction.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(6), 1009–1014. </w:t>
      </w:r>
      <w:hyperlink r:id="rId2853" w:history="1">
        <w:r w:rsidRPr="004C4852">
          <w:rPr>
            <w:rFonts w:ascii="Times New Roman" w:eastAsia="Times New Roman" w:hAnsi="Times New Roman" w:cs="Times New Roman"/>
            <w:color w:val="0000FF"/>
            <w:sz w:val="24"/>
            <w:szCs w:val="24"/>
            <w:u w:val="single"/>
          </w:rPr>
          <w:t>https://doi.org/10.1016/j.pnpbp.2006.03.013</w:t>
        </w:r>
      </w:hyperlink>
    </w:p>
    <w:p w14:paraId="09B7050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Kawai, Y., Midorikawa, A., Sugimoto, A., Futamura, A., Sobue, G., &amp; Kawamura, M. (2013). A new disorder of praxis in neurodegenerative disease that may be part of Alzheimer’s disease.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408–415. </w:t>
      </w:r>
      <w:hyperlink r:id="rId2854" w:history="1">
        <w:r w:rsidRPr="004C4852">
          <w:rPr>
            <w:rFonts w:ascii="Times New Roman" w:eastAsia="Times New Roman" w:hAnsi="Times New Roman" w:cs="Times New Roman"/>
            <w:color w:val="0000FF"/>
            <w:sz w:val="24"/>
            <w:szCs w:val="24"/>
            <w:u w:val="single"/>
          </w:rPr>
          <w:t>https://doi.org/10.1080/13554794.2012.690425</w:t>
        </w:r>
      </w:hyperlink>
    </w:p>
    <w:p w14:paraId="4D49C6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Kawakubo, Y., Kasai, K., Kudo, N., Rogers, M. A., Nakagome, K., ltoh, K., &amp; Kato, N. (2006). Phonetic mismatch negativity predicts verbal memory deficits in schizophrenia. </w:t>
      </w:r>
      <w:r w:rsidRPr="004C4852">
        <w:rPr>
          <w:rFonts w:ascii="Times New Roman" w:eastAsia="Times New Roman" w:hAnsi="Times New Roman" w:cs="Times New Roman"/>
          <w:i/>
          <w:iCs/>
          <w:sz w:val="24"/>
          <w:szCs w:val="24"/>
        </w:rPr>
        <w:t>NeuroReport: For Rapid Communication of Neuroscience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(10), 1043–1046. </w:t>
      </w:r>
      <w:hyperlink r:id="rId2855" w:history="1">
        <w:r w:rsidRPr="004C4852">
          <w:rPr>
            <w:rFonts w:ascii="Times New Roman" w:eastAsia="Times New Roman" w:hAnsi="Times New Roman" w:cs="Times New Roman"/>
            <w:color w:val="0000FF"/>
            <w:sz w:val="24"/>
            <w:szCs w:val="24"/>
            <w:u w:val="single"/>
          </w:rPr>
          <w:t>https://doi.org/10.1097/01.wnr.0000221828.10846.ba</w:t>
        </w:r>
      </w:hyperlink>
    </w:p>
    <w:p w14:paraId="226127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Kawasaki, Y., Maeda, Y., Suzuki, M., Urata, K., Higashima, M., Kiba, K., Yamaguchi, N., Matsuda, H., &amp; Hisada, K. (1993). SPECT analysis of regional cerebral blood flow changes in patients with schizophrenia during the Wisconsin Card Sorting Test.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(2), 109–116. </w:t>
      </w:r>
      <w:hyperlink r:id="rId2856" w:history="1">
        <w:r w:rsidRPr="004C4852">
          <w:rPr>
            <w:rFonts w:ascii="Times New Roman" w:eastAsia="Times New Roman" w:hAnsi="Times New Roman" w:cs="Times New Roman"/>
            <w:color w:val="0000FF"/>
            <w:sz w:val="24"/>
            <w:szCs w:val="24"/>
            <w:u w:val="single"/>
          </w:rPr>
          <w:t>https://doi.org/10.1016/0920-9964(93)90045-K</w:t>
        </w:r>
      </w:hyperlink>
    </w:p>
    <w:p w14:paraId="0438E69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Kaymak, S. U., Demir, B., Şentürk, S., Tatar, I., Aldur, M. M., &amp; Uluğ, B. (2010). Hippocampus, glucocorticoids and neurocognitive functions in patients with first-episode major depressive disorders.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260</w:t>
      </w:r>
      <w:r w:rsidRPr="004C4852">
        <w:rPr>
          <w:rFonts w:ascii="Times New Roman" w:eastAsia="Times New Roman" w:hAnsi="Times New Roman" w:cs="Times New Roman"/>
          <w:sz w:val="24"/>
          <w:szCs w:val="24"/>
        </w:rPr>
        <w:t xml:space="preserve">(3), 217–223. </w:t>
      </w:r>
      <w:hyperlink r:id="rId2857" w:history="1">
        <w:r w:rsidRPr="004C4852">
          <w:rPr>
            <w:rFonts w:ascii="Times New Roman" w:eastAsia="Times New Roman" w:hAnsi="Times New Roman" w:cs="Times New Roman"/>
            <w:color w:val="0000FF"/>
            <w:sz w:val="24"/>
            <w:szCs w:val="24"/>
            <w:u w:val="single"/>
          </w:rPr>
          <w:t>https://doi.org/10.1007/s00406-009-0045-x</w:t>
        </w:r>
      </w:hyperlink>
    </w:p>
    <w:p w14:paraId="15F2BF5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Kazhungil, F., Kumar, K. J., Viswanath, B., Shankar, R. G., Kandavel, T., Math, S. B., Venkatasubramanian, G., &amp; Reddy, Y. C. J. (2017). Neuropsychological profile of schizophrenia with and without obsessive compulsive disorder.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 30–34. </w:t>
      </w:r>
      <w:hyperlink r:id="rId2858" w:history="1">
        <w:r w:rsidRPr="004C4852">
          <w:rPr>
            <w:rFonts w:ascii="Times New Roman" w:eastAsia="Times New Roman" w:hAnsi="Times New Roman" w:cs="Times New Roman"/>
            <w:color w:val="0000FF"/>
            <w:sz w:val="24"/>
            <w:szCs w:val="24"/>
            <w:u w:val="single"/>
          </w:rPr>
          <w:t>https://doi.org/10.1016/j.ajp.2017.04.004</w:t>
        </w:r>
      </w:hyperlink>
    </w:p>
    <w:p w14:paraId="1CA344F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 X., Ding, Y., Xu, K., He, H., Wang, D., Deng, X., Zhang, X., Zhou, Y., Zhou, C., Liu, Y., Ning, Y., &amp; Fan, N. (2018). The profile of cognitive impairments in chronic ketamine users.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266</w:t>
      </w:r>
      <w:r w:rsidRPr="004C4852">
        <w:rPr>
          <w:rFonts w:ascii="Times New Roman" w:eastAsia="Times New Roman" w:hAnsi="Times New Roman" w:cs="Times New Roman"/>
          <w:sz w:val="24"/>
          <w:szCs w:val="24"/>
        </w:rPr>
        <w:t xml:space="preserve">, 124–131. </w:t>
      </w:r>
      <w:hyperlink r:id="rId2859" w:history="1">
        <w:r w:rsidRPr="004C4852">
          <w:rPr>
            <w:rFonts w:ascii="Times New Roman" w:eastAsia="Times New Roman" w:hAnsi="Times New Roman" w:cs="Times New Roman"/>
            <w:color w:val="0000FF"/>
            <w:sz w:val="24"/>
            <w:szCs w:val="24"/>
            <w:u w:val="single"/>
          </w:rPr>
          <w:t>https://doi.org/10.1016/j.psychres.2018.05.050</w:t>
        </w:r>
      </w:hyperlink>
    </w:p>
    <w:p w14:paraId="3E98D7A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Keary, C. J., Minshew, N. J., Bansal, R., Goradia, D., Fedorov, S., Keshavan, M. S., &amp; Hardan, A. Y. (2009). Corpus callosum volume and neurocognition in autism. </w:t>
      </w:r>
      <w:r w:rsidRPr="004C4852">
        <w:rPr>
          <w:rFonts w:ascii="Times New Roman" w:eastAsia="Times New Roman" w:hAnsi="Times New Roman" w:cs="Times New Roman"/>
          <w:i/>
          <w:iCs/>
          <w:sz w:val="24"/>
          <w:szCs w:val="24"/>
        </w:rPr>
        <w:t>Journal of Autism and Developmental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(6), 834–841. </w:t>
      </w:r>
      <w:hyperlink r:id="rId2860" w:history="1">
        <w:r w:rsidRPr="004C4852">
          <w:rPr>
            <w:rFonts w:ascii="Times New Roman" w:eastAsia="Times New Roman" w:hAnsi="Times New Roman" w:cs="Times New Roman"/>
            <w:color w:val="0000FF"/>
            <w:sz w:val="24"/>
            <w:szCs w:val="24"/>
            <w:u w:val="single"/>
          </w:rPr>
          <w:t>https://doi.org/10.1007/s10803-009-0689-4</w:t>
        </w:r>
      </w:hyperlink>
    </w:p>
    <w:p w14:paraId="0896C09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Keary, T. A., Frazier, T. W., Belzile, C. J., Chapin, J. S., Naugle, R. I., Najm, I. M., &amp; Busch, R. M. (2013). Working memory and intelligence are associated with Victoria symptom validity test hard item performance in patients with intractable epilepsy.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(3), 314–323. </w:t>
      </w:r>
      <w:hyperlink r:id="rId2861" w:history="1">
        <w:r w:rsidRPr="004C4852">
          <w:rPr>
            <w:rFonts w:ascii="Times New Roman" w:eastAsia="Times New Roman" w:hAnsi="Times New Roman" w:cs="Times New Roman"/>
            <w:color w:val="0000FF"/>
            <w:sz w:val="24"/>
            <w:szCs w:val="24"/>
            <w:u w:val="single"/>
          </w:rPr>
          <w:t>https://doi.org/10.1017/S1355617712001397</w:t>
        </w:r>
      </w:hyperlink>
    </w:p>
    <w:p w14:paraId="1A6667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Keary, T. A., Frazier, T. W., Busch, R. M., Kubu, C. S., &amp; Iampietro, M. (2007). Multivariate neuropsychological prediction of seizure lateralization in temporal epilepsy surgical cases. </w:t>
      </w:r>
      <w:r w:rsidRPr="004C4852">
        <w:rPr>
          <w:rFonts w:ascii="Times New Roman" w:eastAsia="Times New Roman" w:hAnsi="Times New Roman" w:cs="Times New Roman"/>
          <w:i/>
          <w:iCs/>
          <w:sz w:val="24"/>
          <w:szCs w:val="24"/>
        </w:rPr>
        <w:t>Epilepsia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48</w:t>
      </w:r>
      <w:r w:rsidRPr="004C4852">
        <w:rPr>
          <w:rFonts w:ascii="Times New Roman" w:eastAsia="Times New Roman" w:hAnsi="Times New Roman" w:cs="Times New Roman"/>
          <w:sz w:val="24"/>
          <w:szCs w:val="24"/>
        </w:rPr>
        <w:t xml:space="preserve">(8), 1438–1446. </w:t>
      </w:r>
      <w:hyperlink r:id="rId2862" w:history="1">
        <w:r w:rsidRPr="004C4852">
          <w:rPr>
            <w:rFonts w:ascii="Times New Roman" w:eastAsia="Times New Roman" w:hAnsi="Times New Roman" w:cs="Times New Roman"/>
            <w:color w:val="0000FF"/>
            <w:sz w:val="24"/>
            <w:szCs w:val="24"/>
            <w:u w:val="single"/>
          </w:rPr>
          <w:t>https://doi.org/10.1111/j.1528-1167.2007.01098.x</w:t>
        </w:r>
      </w:hyperlink>
    </w:p>
    <w:p w14:paraId="65A7DC6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Kebir, O., Dellagi, L., Azouz, O. B., Rabeh, Y., Sidhom, O., &amp; Tabbane, K. (2008). Déficits des fonctions exécutives dans la schizophrénie selon les dimensions positive, négative et de désorganisation. [Executive dysfunctions in schizophrenia correlated to positive and negative dimensions and disorganisation syndromes.]. </w:t>
      </w:r>
      <w:r w:rsidRPr="004C4852">
        <w:rPr>
          <w:rFonts w:ascii="Times New Roman" w:eastAsia="Times New Roman" w:hAnsi="Times New Roman" w:cs="Times New Roman"/>
          <w:i/>
          <w:iCs/>
          <w:sz w:val="24"/>
          <w:szCs w:val="24"/>
        </w:rPr>
        <w:t>Annales Médico-Psychologiques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166</w:t>
      </w:r>
      <w:r w:rsidRPr="004C4852">
        <w:rPr>
          <w:rFonts w:ascii="Times New Roman" w:eastAsia="Times New Roman" w:hAnsi="Times New Roman" w:cs="Times New Roman"/>
          <w:sz w:val="24"/>
          <w:szCs w:val="24"/>
        </w:rPr>
        <w:t xml:space="preserve">(8), 627–632. </w:t>
      </w:r>
      <w:hyperlink r:id="rId2863" w:history="1">
        <w:r w:rsidRPr="004C4852">
          <w:rPr>
            <w:rFonts w:ascii="Times New Roman" w:eastAsia="Times New Roman" w:hAnsi="Times New Roman" w:cs="Times New Roman"/>
            <w:color w:val="0000FF"/>
            <w:sz w:val="24"/>
            <w:szCs w:val="24"/>
            <w:u w:val="single"/>
          </w:rPr>
          <w:t>https://doi.org/10.1016/j.amp.2006.04.010</w:t>
        </w:r>
      </w:hyperlink>
    </w:p>
    <w:p w14:paraId="73BEAA6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Kebir, O., &amp; Joober, R. (2011). Neuropsychological endophenotypes in attention-deficit/hyperactivity disorder: A review of genetic association studies.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261</w:t>
      </w:r>
      <w:r w:rsidRPr="004C4852">
        <w:rPr>
          <w:rFonts w:ascii="Times New Roman" w:eastAsia="Times New Roman" w:hAnsi="Times New Roman" w:cs="Times New Roman"/>
          <w:sz w:val="24"/>
          <w:szCs w:val="24"/>
        </w:rPr>
        <w:t xml:space="preserve">(8), 583–594. </w:t>
      </w:r>
      <w:hyperlink r:id="rId2864" w:history="1">
        <w:r w:rsidRPr="004C4852">
          <w:rPr>
            <w:rFonts w:ascii="Times New Roman" w:eastAsia="Times New Roman" w:hAnsi="Times New Roman" w:cs="Times New Roman"/>
            <w:color w:val="0000FF"/>
            <w:sz w:val="24"/>
            <w:szCs w:val="24"/>
            <w:u w:val="single"/>
          </w:rPr>
          <w:t>https://doi.org/10.1007/s00406-011-0207-5</w:t>
        </w:r>
      </w:hyperlink>
    </w:p>
    <w:p w14:paraId="749C86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Kedzior, K. K., Kochhar, S., Eich, H. S., Rajput, V., &amp; Martin-Iverson, M. T. (2011). Practice effects on the modified Concept Shifting Task (mCST): A convenient assessment for treatment effects on prefrontal cognitive function. </w:t>
      </w:r>
      <w:r w:rsidRPr="004C4852">
        <w:rPr>
          <w:rFonts w:ascii="Times New Roman" w:eastAsia="Times New Roman" w:hAnsi="Times New Roman" w:cs="Times New Roman"/>
          <w:i/>
          <w:iCs/>
          <w:sz w:val="24"/>
          <w:szCs w:val="24"/>
        </w:rPr>
        <w:t>BMC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 </w:t>
      </w:r>
      <w:hyperlink r:id="rId2865" w:history="1">
        <w:r w:rsidRPr="004C4852">
          <w:rPr>
            <w:rFonts w:ascii="Times New Roman" w:eastAsia="Times New Roman" w:hAnsi="Times New Roman" w:cs="Times New Roman"/>
            <w:color w:val="0000FF"/>
            <w:sz w:val="24"/>
            <w:szCs w:val="24"/>
            <w:u w:val="single"/>
          </w:rPr>
          <w:t>https://doi.org/10.1186/1471-2202-12-101</w:t>
        </w:r>
      </w:hyperlink>
    </w:p>
    <w:p w14:paraId="33D8A0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Bilder, R. M., Harvey, P. D., Davis, S. M., Palmer, B. W., Gold, J. M., Meltzer, H. Y., Green, M. F., Miller, D. D., Canive, J. M., Adler, L. W., Manschreck, T. C., Swartz, M., Rosenheck, R., Perkins, D. O., Walker, T. M., Stroup, T. S., McEvoy, J. P., &amp; Lieberman, J. A. (2006). Baseline Neurocognitive Deficits in the CATIE Schizophrenia Trial.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(9), 2033–2046. </w:t>
      </w:r>
      <w:hyperlink r:id="rId2866" w:history="1">
        <w:r w:rsidRPr="004C4852">
          <w:rPr>
            <w:rFonts w:ascii="Times New Roman" w:eastAsia="Times New Roman" w:hAnsi="Times New Roman" w:cs="Times New Roman"/>
            <w:color w:val="0000FF"/>
            <w:sz w:val="24"/>
            <w:szCs w:val="24"/>
            <w:u w:val="single"/>
          </w:rPr>
          <w:t>https://doi.org/10.1038/sj.npp.1301072</w:t>
        </w:r>
      </w:hyperlink>
    </w:p>
    <w:p w14:paraId="188D2E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Buchanan, R. W., Marder, S. R., Schooler, N. R., Dugar, A., Zivkov, M., &amp; Stewart, M. (2013). Clinical trials of potential cognitive-enhancing drugs in schizophrenia: What have we learned so far?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(2), 417–435. </w:t>
      </w:r>
      <w:hyperlink r:id="rId2867" w:history="1">
        <w:r w:rsidRPr="004C4852">
          <w:rPr>
            <w:rFonts w:ascii="Times New Roman" w:eastAsia="Times New Roman" w:hAnsi="Times New Roman" w:cs="Times New Roman"/>
            <w:color w:val="0000FF"/>
            <w:sz w:val="24"/>
            <w:szCs w:val="24"/>
            <w:u w:val="single"/>
          </w:rPr>
          <w:t>https://doi.org/10.1093/schbul/sbr153</w:t>
        </w:r>
      </w:hyperlink>
    </w:p>
    <w:p w14:paraId="7B2EBA9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&amp; Eesley, C. E. (2012). Neurocognitive impairments. In </w:t>
      </w:r>
      <w:r w:rsidRPr="004C4852">
        <w:rPr>
          <w:rFonts w:ascii="Times New Roman" w:eastAsia="Times New Roman" w:hAnsi="Times New Roman" w:cs="Times New Roman"/>
          <w:i/>
          <w:iCs/>
          <w:sz w:val="24"/>
          <w:szCs w:val="24"/>
        </w:rPr>
        <w:t>Essentials of schizophrenia.</w:t>
      </w:r>
      <w:r w:rsidRPr="004C4852">
        <w:rPr>
          <w:rFonts w:ascii="Times New Roman" w:eastAsia="Times New Roman" w:hAnsi="Times New Roman" w:cs="Times New Roman"/>
          <w:sz w:val="24"/>
          <w:szCs w:val="24"/>
        </w:rPr>
        <w:t xml:space="preserve"> (pp. 73–92). American Psychiatric Publishing, Inc.</w:t>
      </w:r>
    </w:p>
    <w:p w14:paraId="4AB92B9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Mohs, R. C., Bilder, R. M., Harvey, P. D., Green, M. F., Meltzer, H. Y., Gold, J. M., &amp; Sano, M. (2003). Neurocognitive Assessment in the Clinical Antipsychotic Trials of Intervention Effectiveness (CATIE) Project Schizophrenia Trial: Development, Methodology, and Rationale.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45–55. </w:t>
      </w:r>
      <w:hyperlink r:id="rId2868" w:history="1">
        <w:r w:rsidRPr="004C4852">
          <w:rPr>
            <w:rFonts w:ascii="Times New Roman" w:eastAsia="Times New Roman" w:hAnsi="Times New Roman" w:cs="Times New Roman"/>
            <w:color w:val="0000FF"/>
            <w:sz w:val="24"/>
            <w:szCs w:val="24"/>
            <w:u w:val="single"/>
          </w:rPr>
          <w:t>https://doi.org/10.1093/oxfordjournals.schbul.a006990</w:t>
        </w:r>
      </w:hyperlink>
    </w:p>
    <w:p w14:paraId="3CC925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Seidman, L. J., Christensen, B. K., Hamer, R. M., Sharma, T., Sitskoorn, M. M., Lewine, R. R. J., Yurgelun-Todd, D. A., Gur, R. C., Tohen, M., Tollefson, G. D., Sanger, T. M., &amp; Lieberman, J. A. (2004). Comparative Effect of Atypical and Conventional Antipsychotic Drugs on Neurocognition in First-Episode Psychosis: A Randomized, Double-Blind Trial of Olanzapine Versus Low Doses of Haloperidol.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161</w:t>
      </w:r>
      <w:r w:rsidRPr="004C4852">
        <w:rPr>
          <w:rFonts w:ascii="Times New Roman" w:eastAsia="Times New Roman" w:hAnsi="Times New Roman" w:cs="Times New Roman"/>
          <w:sz w:val="24"/>
          <w:szCs w:val="24"/>
        </w:rPr>
        <w:t xml:space="preserve">(6), 985–995. </w:t>
      </w:r>
      <w:hyperlink r:id="rId2869" w:history="1">
        <w:r w:rsidRPr="004C4852">
          <w:rPr>
            <w:rFonts w:ascii="Times New Roman" w:eastAsia="Times New Roman" w:hAnsi="Times New Roman" w:cs="Times New Roman"/>
            <w:color w:val="0000FF"/>
            <w:sz w:val="24"/>
            <w:szCs w:val="24"/>
            <w:u w:val="single"/>
          </w:rPr>
          <w:t>https://doi.org/10.1176/appi.ajp.161.6.985</w:t>
        </w:r>
      </w:hyperlink>
    </w:p>
    <w:p w14:paraId="0BA2397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Seidman, L. J., Christensen, B. K., Hamer, R. M., Sharma, T., Sitskoorn, M. M., Rock, S. L., Woolson, S., Tohen, M., Tollefson, G. D., Sanger, T. M., &amp; Lieberman, J. A. (2006). Long-Term Neurocognitive Effects of Olanzapine or Low-Dose Haloperidol in First-Episode Psychosis.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(2), 97–105. </w:t>
      </w:r>
      <w:hyperlink r:id="rId2870" w:history="1">
        <w:r w:rsidRPr="004C4852">
          <w:rPr>
            <w:rFonts w:ascii="Times New Roman" w:eastAsia="Times New Roman" w:hAnsi="Times New Roman" w:cs="Times New Roman"/>
            <w:color w:val="0000FF"/>
            <w:sz w:val="24"/>
            <w:szCs w:val="24"/>
            <w:u w:val="single"/>
          </w:rPr>
          <w:t>https://doi.org/10.1016/j.biopsych.2005.06.022</w:t>
        </w:r>
      </w:hyperlink>
    </w:p>
    <w:p w14:paraId="698308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Silverman, J. M., Roitman, S. E. L., Harvey, P. D., Duncan, M. A., Alroy, D., Siever, L. J., Davis, K. L., &amp; Mohs, R. C. (1994). Performance of nonpsychotic relatives of schizophrenic patients on cognitive tests.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53</w:t>
      </w:r>
      <w:r w:rsidRPr="004C4852">
        <w:rPr>
          <w:rFonts w:ascii="Times New Roman" w:eastAsia="Times New Roman" w:hAnsi="Times New Roman" w:cs="Times New Roman"/>
          <w:sz w:val="24"/>
          <w:szCs w:val="24"/>
        </w:rPr>
        <w:t xml:space="preserve">(1), 1–12. </w:t>
      </w:r>
      <w:hyperlink r:id="rId2871" w:history="1">
        <w:r w:rsidRPr="004C4852">
          <w:rPr>
            <w:rFonts w:ascii="Times New Roman" w:eastAsia="Times New Roman" w:hAnsi="Times New Roman" w:cs="Times New Roman"/>
            <w:color w:val="0000FF"/>
            <w:sz w:val="24"/>
            <w:szCs w:val="24"/>
            <w:u w:val="single"/>
          </w:rPr>
          <w:t>https://doi.org/10.1016/0165-1781(94)90091-4</w:t>
        </w:r>
      </w:hyperlink>
    </w:p>
    <w:p w14:paraId="62EA36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Sweeney, J. A., Gu, H., Hamer, R. M., Perkins, D. O., McEvoy, J. P., &amp; Lieberman, J. A. (2007). Effects of olanzapine, quetiapine, and risperidone on neurocognitive function in early psychosis: A randomized, double-blind 52-week comparison. </w:t>
      </w:r>
      <w:r w:rsidRPr="004C4852">
        <w:rPr>
          <w:rFonts w:ascii="Times New Roman" w:eastAsia="Times New Roman" w:hAnsi="Times New Roman" w:cs="Times New Roman"/>
          <w:i/>
          <w:iCs/>
          <w:sz w:val="24"/>
          <w:szCs w:val="24"/>
        </w:rPr>
        <w:t>The American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164</w:t>
      </w:r>
      <w:r w:rsidRPr="004C4852">
        <w:rPr>
          <w:rFonts w:ascii="Times New Roman" w:eastAsia="Times New Roman" w:hAnsi="Times New Roman" w:cs="Times New Roman"/>
          <w:sz w:val="24"/>
          <w:szCs w:val="24"/>
        </w:rPr>
        <w:t xml:space="preserve">(7), 1061–1071. </w:t>
      </w:r>
      <w:hyperlink r:id="rId2872" w:history="1">
        <w:r w:rsidRPr="004C4852">
          <w:rPr>
            <w:rFonts w:ascii="Times New Roman" w:eastAsia="Times New Roman" w:hAnsi="Times New Roman" w:cs="Times New Roman"/>
            <w:color w:val="0000FF"/>
            <w:sz w:val="24"/>
            <w:szCs w:val="24"/>
            <w:u w:val="single"/>
          </w:rPr>
          <w:t>https://doi.org/10.1176/appi.ajp.164.7.1061</w:t>
        </w:r>
      </w:hyperlink>
    </w:p>
    <w:p w14:paraId="4E2FF29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Keefe, R. S. E., Young, C. A., Rock, S. L., Purdon, S. E., Gold, J. M., &amp; Breier, A. (2006). One-year double-blind study of the neurocognitive efficacy of olanzapine, risperidone, and haloperidol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81</w:t>
      </w:r>
      <w:r w:rsidRPr="004C4852">
        <w:rPr>
          <w:rFonts w:ascii="Times New Roman" w:eastAsia="Times New Roman" w:hAnsi="Times New Roman" w:cs="Times New Roman"/>
          <w:sz w:val="24"/>
          <w:szCs w:val="24"/>
        </w:rPr>
        <w:t xml:space="preserve">(1), 1–15. </w:t>
      </w:r>
      <w:hyperlink r:id="rId2873" w:history="1">
        <w:r w:rsidRPr="004C4852">
          <w:rPr>
            <w:rFonts w:ascii="Times New Roman" w:eastAsia="Times New Roman" w:hAnsi="Times New Roman" w:cs="Times New Roman"/>
            <w:color w:val="0000FF"/>
            <w:sz w:val="24"/>
            <w:szCs w:val="24"/>
            <w:u w:val="single"/>
          </w:rPr>
          <w:t>https://doi.org/10.1016/j.schres.2005.07.038</w:t>
        </w:r>
      </w:hyperlink>
    </w:p>
    <w:p w14:paraId="207B68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Keelan, R. E., Mahoney, E. J., Sherer, M., Hart, T., Giacino, J., Bodien, Y. G., Nakase-Richardson, R., Dams-O’Connor, K., Novack, T. A., &amp; Vanderploeg, R. D. (2019). Neuropsychological characteristics of the confusional state following traumatic brain injury.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(3), 302–313. </w:t>
      </w:r>
      <w:hyperlink r:id="rId2874" w:history="1">
        <w:r w:rsidRPr="004C4852">
          <w:rPr>
            <w:rFonts w:ascii="Times New Roman" w:eastAsia="Times New Roman" w:hAnsi="Times New Roman" w:cs="Times New Roman"/>
            <w:color w:val="0000FF"/>
            <w:sz w:val="24"/>
            <w:szCs w:val="24"/>
            <w:u w:val="single"/>
          </w:rPr>
          <w:t>https://doi.org/10.1017/S1355617718001157</w:t>
        </w:r>
      </w:hyperlink>
    </w:p>
    <w:p w14:paraId="395832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Keen II, L., &amp; Turner, A. D. (2014). Association between interleukin-6 and neurocognitive performance as a function of self-reported lifetime marijuana use in a community based sample of African American adults.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(8), 773–783. </w:t>
      </w:r>
      <w:hyperlink r:id="rId2875" w:history="1">
        <w:r w:rsidRPr="004C4852">
          <w:rPr>
            <w:rFonts w:ascii="Times New Roman" w:eastAsia="Times New Roman" w:hAnsi="Times New Roman" w:cs="Times New Roman"/>
            <w:color w:val="0000FF"/>
            <w:sz w:val="24"/>
            <w:szCs w:val="24"/>
            <w:u w:val="single"/>
          </w:rPr>
          <w:t>https://doi.org/10.1017/S1355617714000691</w:t>
        </w:r>
      </w:hyperlink>
    </w:p>
    <w:p w14:paraId="0795720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Keenan, J. M., &amp; Simon, J. A. (2004). Inference deficits in women with fragile X syndrome: A problem in working memory. </w:t>
      </w:r>
      <w:r w:rsidRPr="004C4852">
        <w:rPr>
          <w:rFonts w:ascii="Times New Roman" w:eastAsia="Times New Roman" w:hAnsi="Times New Roman" w:cs="Times New Roman"/>
          <w:i/>
          <w:iCs/>
          <w:sz w:val="24"/>
          <w:szCs w:val="24"/>
        </w:rPr>
        <w:t>Cognitive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(6), 579–596. </w:t>
      </w:r>
      <w:hyperlink r:id="rId2876" w:history="1">
        <w:r w:rsidRPr="004C4852">
          <w:rPr>
            <w:rFonts w:ascii="Times New Roman" w:eastAsia="Times New Roman" w:hAnsi="Times New Roman" w:cs="Times New Roman"/>
            <w:color w:val="0000FF"/>
            <w:sz w:val="24"/>
            <w:szCs w:val="24"/>
            <w:u w:val="single"/>
          </w:rPr>
          <w:t>https://doi.org/10.1080/02643290342000294</w:t>
        </w:r>
      </w:hyperlink>
    </w:p>
    <w:p w14:paraId="0B4331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Kegel, J., Dux, M., &amp; Macko, R. (2014). Executive function and coping in stroke survivors. </w:t>
      </w:r>
      <w:r w:rsidRPr="004C4852">
        <w:rPr>
          <w:rFonts w:ascii="Times New Roman" w:eastAsia="Times New Roman" w:hAnsi="Times New Roman" w:cs="Times New Roman"/>
          <w:i/>
          <w:iCs/>
          <w:sz w:val="24"/>
          <w:szCs w:val="24"/>
        </w:rPr>
        <w:t>NeuroRehabilitation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(1), 55–63.</w:t>
      </w:r>
    </w:p>
    <w:p w14:paraId="2BC580D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Kehagia, A. A., Barker, R. A., &amp; Robbins, T. W. (2014). Revisiting the effects of Parkinson’s disease and frontal lobe lesions on task switching: The role of rule reconfiguration. </w:t>
      </w:r>
      <w:r w:rsidRPr="004C4852">
        <w:rPr>
          <w:rFonts w:ascii="Times New Roman" w:eastAsia="Times New Roman" w:hAnsi="Times New Roman" w:cs="Times New Roman"/>
          <w:i/>
          <w:iCs/>
          <w:sz w:val="24"/>
          <w:szCs w:val="24"/>
        </w:rPr>
        <w:t>Journal of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(1), 53–74. </w:t>
      </w:r>
      <w:hyperlink r:id="rId2877" w:history="1">
        <w:r w:rsidRPr="004C4852">
          <w:rPr>
            <w:rFonts w:ascii="Times New Roman" w:eastAsia="Times New Roman" w:hAnsi="Times New Roman" w:cs="Times New Roman"/>
            <w:color w:val="0000FF"/>
            <w:sz w:val="24"/>
            <w:szCs w:val="24"/>
            <w:u w:val="single"/>
          </w:rPr>
          <w:t>https://doi.org/10.1111/jnp.12004</w:t>
        </w:r>
      </w:hyperlink>
    </w:p>
    <w:p w14:paraId="52ECF6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Keijzer, M. (2013). Working memory capacity, inhibitory control and the role of L2 proficiency in aging L1 Dutch speakers of near-native L2 English. </w:t>
      </w:r>
      <w:r w:rsidRPr="004C4852">
        <w:rPr>
          <w:rFonts w:ascii="Times New Roman" w:eastAsia="Times New Roman" w:hAnsi="Times New Roman" w:cs="Times New Roman"/>
          <w:i/>
          <w:iCs/>
          <w:sz w:val="24"/>
          <w:szCs w:val="24"/>
        </w:rPr>
        <w:t>Brain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 xml:space="preserve">(3), 1261–1281. </w:t>
      </w:r>
      <w:hyperlink r:id="rId2878" w:history="1">
        <w:r w:rsidRPr="004C4852">
          <w:rPr>
            <w:rFonts w:ascii="Times New Roman" w:eastAsia="Times New Roman" w:hAnsi="Times New Roman" w:cs="Times New Roman"/>
            <w:color w:val="0000FF"/>
            <w:sz w:val="24"/>
            <w:szCs w:val="24"/>
            <w:u w:val="single"/>
          </w:rPr>
          <w:t>https://doi.org/10.3390/brainsci3031261</w:t>
        </w:r>
      </w:hyperlink>
    </w:p>
    <w:p w14:paraId="67C4D4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Beers, S. R., Burke, A. K., Melhem, N. M., Oquendo, M. A., Brent, D. A., &amp; Mann, J. J. (2014). Neuropsychological deficits in past suicide attempters with varying levels of depression severity.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(14), 2965–2974. </w:t>
      </w:r>
      <w:hyperlink r:id="rId2879" w:history="1">
        <w:r w:rsidRPr="004C4852">
          <w:rPr>
            <w:rFonts w:ascii="Times New Roman" w:eastAsia="Times New Roman" w:hAnsi="Times New Roman" w:cs="Times New Roman"/>
            <w:color w:val="0000FF"/>
            <w:sz w:val="24"/>
            <w:szCs w:val="24"/>
            <w:u w:val="single"/>
          </w:rPr>
          <w:t>https://doi.org/10.1017/S0033291714000786</w:t>
        </w:r>
      </w:hyperlink>
    </w:p>
    <w:p w14:paraId="05198E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Gorlyn, M., Russell, M., Oquendo, M. A., Burke, A. K., Harkavy-Friedman, J., &amp; Mann, J. J. (2013). Neuropsychological function and suicidal behavior: Attention control, memory and executive dysfunction in suicide attempt.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(3), 539–551. </w:t>
      </w:r>
      <w:hyperlink r:id="rId2880" w:history="1">
        <w:r w:rsidRPr="004C4852">
          <w:rPr>
            <w:rFonts w:ascii="Times New Roman" w:eastAsia="Times New Roman" w:hAnsi="Times New Roman" w:cs="Times New Roman"/>
            <w:color w:val="0000FF"/>
            <w:sz w:val="24"/>
            <w:szCs w:val="24"/>
            <w:u w:val="single"/>
          </w:rPr>
          <w:t>https://doi.org/10.1017/S0033291712001419</w:t>
        </w:r>
      </w:hyperlink>
    </w:p>
    <w:p w14:paraId="4084D64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Madden, S. P., Gorlyn, M., Burke, A. K., Oquendo, M. A., &amp; Mann, J. J. (2018). The lack of meaningful association between depression severity measures and neurocognitive performance.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241</w:t>
      </w:r>
      <w:r w:rsidRPr="004C4852">
        <w:rPr>
          <w:rFonts w:ascii="Times New Roman" w:eastAsia="Times New Roman" w:hAnsi="Times New Roman" w:cs="Times New Roman"/>
          <w:sz w:val="24"/>
          <w:szCs w:val="24"/>
        </w:rPr>
        <w:t xml:space="preserve">, 164–172. </w:t>
      </w:r>
      <w:hyperlink r:id="rId2881" w:history="1">
        <w:r w:rsidRPr="004C4852">
          <w:rPr>
            <w:rFonts w:ascii="Times New Roman" w:eastAsia="Times New Roman" w:hAnsi="Times New Roman" w:cs="Times New Roman"/>
            <w:color w:val="0000FF"/>
            <w:sz w:val="24"/>
            <w:szCs w:val="24"/>
            <w:u w:val="single"/>
          </w:rPr>
          <w:t>https://doi.org/10.1016/j.jad.2018.08.034</w:t>
        </w:r>
      </w:hyperlink>
    </w:p>
    <w:p w14:paraId="431C31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Keilp, J. G., Sackeim, H. A., &amp; Mann, J. J. (2005). Correlates of trait impulsiveness in performance measures and neuropsychological tests.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(3), 191–201. </w:t>
      </w:r>
      <w:hyperlink r:id="rId2882" w:history="1">
        <w:r w:rsidRPr="004C4852">
          <w:rPr>
            <w:rFonts w:ascii="Times New Roman" w:eastAsia="Times New Roman" w:hAnsi="Times New Roman" w:cs="Times New Roman"/>
            <w:color w:val="0000FF"/>
            <w:sz w:val="24"/>
            <w:szCs w:val="24"/>
            <w:u w:val="single"/>
          </w:rPr>
          <w:t>https://doi.org/10.1016/j.psychres.2005.03.006</w:t>
        </w:r>
      </w:hyperlink>
    </w:p>
    <w:p w14:paraId="2BB4921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Kelleher, J. P., Centorrino, F., Huxley, N. A., Bates, J. A., Drake, J. K., Egli, S., &amp; Baldessarini, R. J. (2012). Pilot randomized, controlled trial of pramipexole to augment antipsychotic treatment. </w:t>
      </w:r>
      <w:r w:rsidRPr="004C4852">
        <w:rPr>
          <w:rFonts w:ascii="Times New Roman" w:eastAsia="Times New Roman" w:hAnsi="Times New Roman" w:cs="Times New Roman"/>
          <w:i/>
          <w:iCs/>
          <w:sz w:val="24"/>
          <w:szCs w:val="24"/>
        </w:rPr>
        <w:t>European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(6), 415–418. </w:t>
      </w:r>
      <w:hyperlink r:id="rId2883" w:history="1">
        <w:r w:rsidRPr="004C4852">
          <w:rPr>
            <w:rFonts w:ascii="Times New Roman" w:eastAsia="Times New Roman" w:hAnsi="Times New Roman" w:cs="Times New Roman"/>
            <w:color w:val="0000FF"/>
            <w:sz w:val="24"/>
            <w:szCs w:val="24"/>
            <w:u w:val="single"/>
          </w:rPr>
          <w:t>https://doi.org/10.1016/j.euroneuro.2011.10.002</w:t>
        </w:r>
      </w:hyperlink>
    </w:p>
    <w:p w14:paraId="495638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Keller, M., &amp; Werlang, B. S. G. (2005). Flexibilidade na resolução de problemas em tentadores de suicídio. [Problem-solving flexibility in suicide attempters.]. </w:t>
      </w:r>
      <w:r w:rsidRPr="004C4852">
        <w:rPr>
          <w:rFonts w:ascii="Times New Roman" w:eastAsia="Times New Roman" w:hAnsi="Times New Roman" w:cs="Times New Roman"/>
          <w:i/>
          <w:iCs/>
          <w:sz w:val="24"/>
          <w:szCs w:val="24"/>
        </w:rPr>
        <w:t>Jornal Brasileiro de Psiquiatria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(2), 128–136.</w:t>
      </w:r>
    </w:p>
    <w:p w14:paraId="0BCD06C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Kellermann, T. S., Bonilha, L., Eskandari, R., Garcia-Ramos, C., Lin, J. J., &amp; Hermann, B. P. (2016). Mapping the neuropsychological profile of temporal lobe epilepsy using cognitive network topology and graph theory.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 9–16. </w:t>
      </w:r>
      <w:hyperlink r:id="rId2884" w:history="1">
        <w:r w:rsidRPr="004C4852">
          <w:rPr>
            <w:rFonts w:ascii="Times New Roman" w:eastAsia="Times New Roman" w:hAnsi="Times New Roman" w:cs="Times New Roman"/>
            <w:color w:val="0000FF"/>
            <w:sz w:val="24"/>
            <w:szCs w:val="24"/>
            <w:u w:val="single"/>
          </w:rPr>
          <w:t>https://doi.org/10.1016/j.yebeh.2016.07.030</w:t>
        </w:r>
      </w:hyperlink>
    </w:p>
    <w:p w14:paraId="5388F97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Kelley, B. J., Yeager, K. R., Pepper, T. H., &amp; Beversdorf, D. Q. (2005). Cognitive Impairment in Acute Cocaine Withdrawal.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(2), 108–112. </w:t>
      </w:r>
      <w:hyperlink r:id="rId2885" w:history="1">
        <w:r w:rsidRPr="004C4852">
          <w:rPr>
            <w:rFonts w:ascii="Times New Roman" w:eastAsia="Times New Roman" w:hAnsi="Times New Roman" w:cs="Times New Roman"/>
            <w:color w:val="0000FF"/>
            <w:sz w:val="24"/>
            <w:szCs w:val="24"/>
            <w:u w:val="single"/>
          </w:rPr>
          <w:t>https://doi.org/10.1097/01.wnn.0000160823.61201.20</w:t>
        </w:r>
      </w:hyperlink>
    </w:p>
    <w:p w14:paraId="48D85F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Kelley, B. J., Yeager, K. R., Pepper, T. H., Bornstein, R. A., &amp; Beversdorf, D. Q. (2007). The effect of propranolol on cognitive flexibility and memory in acute cocaine withdrawal.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(5–6), 320–327. </w:t>
      </w:r>
      <w:hyperlink r:id="rId2886" w:history="1">
        <w:r w:rsidRPr="004C4852">
          <w:rPr>
            <w:rFonts w:ascii="Times New Roman" w:eastAsia="Times New Roman" w:hAnsi="Times New Roman" w:cs="Times New Roman"/>
            <w:color w:val="0000FF"/>
            <w:sz w:val="24"/>
            <w:szCs w:val="24"/>
            <w:u w:val="single"/>
          </w:rPr>
          <w:t>https://doi.org/10.1080/13554790701846148</w:t>
        </w:r>
      </w:hyperlink>
    </w:p>
    <w:p w14:paraId="2FDDD7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Kelley, W. M., Wagner, D. D., &amp; Heatherton, T. F. (2015). In search of a human self-regulation system. </w:t>
      </w:r>
      <w:r w:rsidRPr="004C4852">
        <w:rPr>
          <w:rFonts w:ascii="Times New Roman" w:eastAsia="Times New Roman" w:hAnsi="Times New Roman" w:cs="Times New Roman"/>
          <w:i/>
          <w:iCs/>
          <w:sz w:val="24"/>
          <w:szCs w:val="24"/>
        </w:rPr>
        <w:t>Annual Review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38</w:t>
      </w:r>
      <w:r w:rsidRPr="004C4852">
        <w:rPr>
          <w:rFonts w:ascii="Times New Roman" w:eastAsia="Times New Roman" w:hAnsi="Times New Roman" w:cs="Times New Roman"/>
          <w:sz w:val="24"/>
          <w:szCs w:val="24"/>
        </w:rPr>
        <w:t xml:space="preserve">, 389–411. </w:t>
      </w:r>
      <w:hyperlink r:id="rId2887" w:history="1">
        <w:r w:rsidRPr="004C4852">
          <w:rPr>
            <w:rFonts w:ascii="Times New Roman" w:eastAsia="Times New Roman" w:hAnsi="Times New Roman" w:cs="Times New Roman"/>
            <w:color w:val="0000FF"/>
            <w:sz w:val="24"/>
            <w:szCs w:val="24"/>
            <w:u w:val="single"/>
          </w:rPr>
          <w:t>https://doi.org/10.1146/annurev-neuro-071013-014243</w:t>
        </w:r>
      </w:hyperlink>
    </w:p>
    <w:p w14:paraId="6C9BCE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M., McDonald, S., &amp; Kellett, D. (2014). Development of a novel task for investigating decision making in a social context following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(9), 897–913. </w:t>
      </w:r>
      <w:hyperlink r:id="rId2888" w:history="1">
        <w:r w:rsidRPr="004C4852">
          <w:rPr>
            <w:rFonts w:ascii="Times New Roman" w:eastAsia="Times New Roman" w:hAnsi="Times New Roman" w:cs="Times New Roman"/>
            <w:color w:val="0000FF"/>
            <w:sz w:val="24"/>
            <w:szCs w:val="24"/>
            <w:u w:val="single"/>
          </w:rPr>
          <w:t>https://doi.org/10.1080/13803395.2014.955784</w:t>
        </w:r>
      </w:hyperlink>
    </w:p>
    <w:p w14:paraId="3048E6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M. P., &amp; Doty, R. E. (1995). Neuropsychological dysfunction: Research and evaluation. In </w:t>
      </w:r>
      <w:r w:rsidRPr="004C4852">
        <w:rPr>
          <w:rFonts w:ascii="Times New Roman" w:eastAsia="Times New Roman" w:hAnsi="Times New Roman" w:cs="Times New Roman"/>
          <w:i/>
          <w:iCs/>
          <w:sz w:val="24"/>
          <w:szCs w:val="24"/>
        </w:rPr>
        <w:t>Managing chronic illness: A biopsychosocial perspective.</w:t>
      </w:r>
      <w:r w:rsidRPr="004C4852">
        <w:rPr>
          <w:rFonts w:ascii="Times New Roman" w:eastAsia="Times New Roman" w:hAnsi="Times New Roman" w:cs="Times New Roman"/>
          <w:sz w:val="24"/>
          <w:szCs w:val="24"/>
        </w:rPr>
        <w:t xml:space="preserve"> (pp. 117–162). American Psychological Association. </w:t>
      </w:r>
      <w:hyperlink r:id="rId2889" w:history="1">
        <w:r w:rsidRPr="004C4852">
          <w:rPr>
            <w:rFonts w:ascii="Times New Roman" w:eastAsia="Times New Roman" w:hAnsi="Times New Roman" w:cs="Times New Roman"/>
            <w:color w:val="0000FF"/>
            <w:sz w:val="24"/>
            <w:szCs w:val="24"/>
            <w:u w:val="single"/>
          </w:rPr>
          <w:t>https://doi.org/10.1037/10511-004</w:t>
        </w:r>
      </w:hyperlink>
    </w:p>
    <w:p w14:paraId="77B4550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N. R., Bulik, C. M., &amp; Mazzeo, S. E. (2013). Executive functioning and behavioral impulsivity of young women who binge eat. </w:t>
      </w:r>
      <w:r w:rsidRPr="004C4852">
        <w:rPr>
          <w:rFonts w:ascii="Times New Roman" w:eastAsia="Times New Roman" w:hAnsi="Times New Roman" w:cs="Times New Roman"/>
          <w:i/>
          <w:iCs/>
          <w:sz w:val="24"/>
          <w:szCs w:val="24"/>
        </w:rPr>
        <w:t>International Journal of Eating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(2), 127–139. </w:t>
      </w:r>
      <w:hyperlink r:id="rId2890" w:history="1">
        <w:r w:rsidRPr="004C4852">
          <w:rPr>
            <w:rFonts w:ascii="Times New Roman" w:eastAsia="Times New Roman" w:hAnsi="Times New Roman" w:cs="Times New Roman"/>
            <w:color w:val="0000FF"/>
            <w:sz w:val="24"/>
            <w:szCs w:val="24"/>
            <w:u w:val="single"/>
          </w:rPr>
          <w:t>https://doi.org/10.1002/eat.22096</w:t>
        </w:r>
      </w:hyperlink>
    </w:p>
    <w:p w14:paraId="5C2F865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Kelly, T., Richardson, G., Hunter, R., &amp; Knapp, M. (2002). Attention and executive function deficits in adolescent sex offenders.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(2), 138–143. </w:t>
      </w:r>
      <w:hyperlink r:id="rId2891" w:history="1">
        <w:r w:rsidRPr="004C4852">
          <w:rPr>
            <w:rFonts w:ascii="Times New Roman" w:eastAsia="Times New Roman" w:hAnsi="Times New Roman" w:cs="Times New Roman"/>
            <w:color w:val="0000FF"/>
            <w:sz w:val="24"/>
            <w:szCs w:val="24"/>
            <w:u w:val="single"/>
          </w:rPr>
          <w:t>https://doi.org/10.1076/chin.8.2.138.8722</w:t>
        </w:r>
      </w:hyperlink>
    </w:p>
    <w:p w14:paraId="2642E2A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Kemmerer, D., &amp; Tranel, D. (2003). A double dissociation between the meanings of action verbs and locative prepositions.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(5), 421–435. </w:t>
      </w:r>
      <w:hyperlink r:id="rId2892" w:history="1">
        <w:r w:rsidRPr="004C4852">
          <w:rPr>
            <w:rFonts w:ascii="Times New Roman" w:eastAsia="Times New Roman" w:hAnsi="Times New Roman" w:cs="Times New Roman"/>
            <w:color w:val="0000FF"/>
            <w:sz w:val="24"/>
            <w:szCs w:val="24"/>
            <w:u w:val="single"/>
          </w:rPr>
          <w:t>https://doi.org/10.1076/neur.9.5.421.16551</w:t>
        </w:r>
      </w:hyperlink>
    </w:p>
    <w:p w14:paraId="6EFCCE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Kemper, S., &amp; McDowd, J. M. (2008). Dimensions of cognitive aging: Executive function and verbal fluency. In </w:t>
      </w:r>
      <w:r w:rsidRPr="004C4852">
        <w:rPr>
          <w:rFonts w:ascii="Times New Roman" w:eastAsia="Times New Roman" w:hAnsi="Times New Roman" w:cs="Times New Roman"/>
          <w:i/>
          <w:iCs/>
          <w:sz w:val="24"/>
          <w:szCs w:val="24"/>
        </w:rPr>
        <w:t>Handbook of cognitive aging: Interdisciplinary perspectives.</w:t>
      </w:r>
      <w:r w:rsidRPr="004C4852">
        <w:rPr>
          <w:rFonts w:ascii="Times New Roman" w:eastAsia="Times New Roman" w:hAnsi="Times New Roman" w:cs="Times New Roman"/>
          <w:sz w:val="24"/>
          <w:szCs w:val="24"/>
        </w:rPr>
        <w:t xml:space="preserve"> (pp. 181–192). Sage Publications, Inc. </w:t>
      </w:r>
      <w:hyperlink r:id="rId2893" w:history="1">
        <w:r w:rsidRPr="004C4852">
          <w:rPr>
            <w:rFonts w:ascii="Times New Roman" w:eastAsia="Times New Roman" w:hAnsi="Times New Roman" w:cs="Times New Roman"/>
            <w:color w:val="0000FF"/>
            <w:sz w:val="24"/>
            <w:szCs w:val="24"/>
            <w:u w:val="single"/>
          </w:rPr>
          <w:t>https://doi.org/10.4135/9781412976589.n11</w:t>
        </w:r>
      </w:hyperlink>
    </w:p>
    <w:p w14:paraId="737C45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Kemper, S., &amp; Rozek, E. (2013). Communication disorders and aging. In </w:t>
      </w:r>
      <w:r w:rsidRPr="004C4852">
        <w:rPr>
          <w:rFonts w:ascii="Times New Roman" w:eastAsia="Times New Roman" w:hAnsi="Times New Roman" w:cs="Times New Roman"/>
          <w:i/>
          <w:iCs/>
          <w:sz w:val="24"/>
          <w:szCs w:val="24"/>
        </w:rPr>
        <w:t>Gerontology: Perspectives and issues, 4th ed.</w:t>
      </w:r>
      <w:r w:rsidRPr="004C4852">
        <w:rPr>
          <w:rFonts w:ascii="Times New Roman" w:eastAsia="Times New Roman" w:hAnsi="Times New Roman" w:cs="Times New Roman"/>
          <w:sz w:val="24"/>
          <w:szCs w:val="24"/>
        </w:rPr>
        <w:t xml:space="preserve"> (pp. 69–89). Springer Publishing Co.</w:t>
      </w:r>
    </w:p>
    <w:p w14:paraId="017DF3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Kenar, A. N. İ., &amp; Herken, H. (2014). Erişkin dikkat eksikliği ve hiperaktivite bozukluğunda silik nörolojik belirtiler ve nöropsikolojik işlev düzeyleri. [Neuropsychologic functions and soft neurologic signs in adult ADHD.]. </w:t>
      </w:r>
      <w:r w:rsidRPr="004C4852">
        <w:rPr>
          <w:rFonts w:ascii="Times New Roman" w:eastAsia="Times New Roman" w:hAnsi="Times New Roman" w:cs="Times New Roman"/>
          <w:i/>
          <w:iCs/>
          <w:sz w:val="24"/>
          <w:szCs w:val="24"/>
        </w:rPr>
        <w:t>Anadolu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(4), 318–327.</w:t>
      </w:r>
    </w:p>
    <w:p w14:paraId="57ED93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K. M., &amp; Raz, N. (2009). Aging white matter and cognition: Differential effects of regional variations in diffusion properties on memory, executive functions, and speed.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(3), 915–927. </w:t>
      </w:r>
      <w:hyperlink r:id="rId2894" w:history="1">
        <w:r w:rsidRPr="004C4852">
          <w:rPr>
            <w:rFonts w:ascii="Times New Roman" w:eastAsia="Times New Roman" w:hAnsi="Times New Roman" w:cs="Times New Roman"/>
            <w:color w:val="0000FF"/>
            <w:sz w:val="24"/>
            <w:szCs w:val="24"/>
            <w:u w:val="single"/>
          </w:rPr>
          <w:t>https://doi.org/10.1016/j.neuropsychologia.2009.01.001</w:t>
        </w:r>
      </w:hyperlink>
    </w:p>
    <w:p w14:paraId="5034B44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P. J., Clarke, G., O’Neill, A., Groeger, J. A., Quigley, E. M. M., Shanahan, F., Cryan, J. F., &amp; Dinan, T. G. (2014). Cognitive performance in irritable bowel syndrome: Evidence of a stress-related impairment in visuospatial memory.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(7), 1553–1566. </w:t>
      </w:r>
      <w:hyperlink r:id="rId2895" w:history="1">
        <w:r w:rsidRPr="004C4852">
          <w:rPr>
            <w:rFonts w:ascii="Times New Roman" w:eastAsia="Times New Roman" w:hAnsi="Times New Roman" w:cs="Times New Roman"/>
            <w:color w:val="0000FF"/>
            <w:sz w:val="24"/>
            <w:szCs w:val="24"/>
            <w:u w:val="single"/>
          </w:rPr>
          <w:t>https://doi.org/10.1017/S0033291713002171</w:t>
        </w:r>
      </w:hyperlink>
    </w:p>
    <w:p w14:paraId="10F558F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P. J., Clarke, G., Quigley, E. M. M., Groeger, J. A., Dinan, T. G., &amp; Cryan, J. F. (2012). Gut memories: Towards a cognitive neurobiology of irritable bowel syndrome. </w:t>
      </w:r>
      <w:r w:rsidRPr="004C4852">
        <w:rPr>
          <w:rFonts w:ascii="Times New Roman" w:eastAsia="Times New Roman" w:hAnsi="Times New Roman" w:cs="Times New Roman"/>
          <w:i/>
          <w:iCs/>
          <w:sz w:val="24"/>
          <w:szCs w:val="24"/>
        </w:rPr>
        <w:t>Neuroscience and Biobehavioral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(1), 310–340. </w:t>
      </w:r>
      <w:hyperlink r:id="rId2896" w:history="1">
        <w:r w:rsidRPr="004C4852">
          <w:rPr>
            <w:rFonts w:ascii="Times New Roman" w:eastAsia="Times New Roman" w:hAnsi="Times New Roman" w:cs="Times New Roman"/>
            <w:color w:val="0000FF"/>
            <w:sz w:val="24"/>
            <w:szCs w:val="24"/>
            <w:u w:val="single"/>
          </w:rPr>
          <w:t>https://doi.org/10.1016/j.neubiorev.2011.07.001</w:t>
        </w:r>
      </w:hyperlink>
    </w:p>
    <w:p w14:paraId="2F63E7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Q., Taylor, J., Heraldez, D., Noda, A., Lazzeroni, L. C., &amp; Yesavage, J. (2013). Intraindividual variability in basic reaction time predicts middle-aged and older pilots’ flight simulator performance. </w:t>
      </w:r>
      <w:r w:rsidRPr="004C4852">
        <w:rPr>
          <w:rFonts w:ascii="Times New Roman" w:eastAsia="Times New Roman" w:hAnsi="Times New Roman" w:cs="Times New Roman"/>
          <w:i/>
          <w:iCs/>
          <w:sz w:val="24"/>
          <w:szCs w:val="24"/>
        </w:rPr>
        <w:t>The Journals of Gerontology: Series B: Psychological Sciences and Social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(4), 487–494. </w:t>
      </w:r>
      <w:hyperlink r:id="rId2897" w:history="1">
        <w:r w:rsidRPr="004C4852">
          <w:rPr>
            <w:rFonts w:ascii="Times New Roman" w:eastAsia="Times New Roman" w:hAnsi="Times New Roman" w:cs="Times New Roman"/>
            <w:color w:val="0000FF"/>
            <w:sz w:val="24"/>
            <w:szCs w:val="24"/>
            <w:u w:val="single"/>
          </w:rPr>
          <w:t>https://doi.org/10.1093/geronb/gbs090</w:t>
        </w:r>
      </w:hyperlink>
    </w:p>
    <w:p w14:paraId="26B53A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Q., Taylor, J. L., Noda, A., Adamson, M., Murphy, G. M., Zeitzer, J. M., &amp; Yesavage, J. A. (2011). The roles of COMT val158met status and aviation expertise in flight simulator performance and cognitive ability. </w:t>
      </w:r>
      <w:r w:rsidRPr="004C4852">
        <w:rPr>
          <w:rFonts w:ascii="Times New Roman" w:eastAsia="Times New Roman" w:hAnsi="Times New Roman" w:cs="Times New Roman"/>
          <w:i/>
          <w:iCs/>
          <w:sz w:val="24"/>
          <w:szCs w:val="24"/>
        </w:rPr>
        <w:t>Behavior 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(5), 700–708. </w:t>
      </w:r>
      <w:hyperlink r:id="rId2898" w:history="1">
        <w:r w:rsidRPr="004C4852">
          <w:rPr>
            <w:rFonts w:ascii="Times New Roman" w:eastAsia="Times New Roman" w:hAnsi="Times New Roman" w:cs="Times New Roman"/>
            <w:color w:val="0000FF"/>
            <w:sz w:val="24"/>
            <w:szCs w:val="24"/>
            <w:u w:val="single"/>
          </w:rPr>
          <w:t>https://doi.org/10.1007/s10519-010-9436-z</w:t>
        </w:r>
      </w:hyperlink>
    </w:p>
    <w:p w14:paraId="11A146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Kennedy, Q., Taylor, J., Noda, A., Yesavage, J., &amp; Lazzeroni, L. C. (2015). The STEP model: Characterizing simultaneous time effects on practice for flight simulator performance among middle-aged and older pilots.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(3), 699–711. </w:t>
      </w:r>
      <w:hyperlink r:id="rId2899" w:history="1">
        <w:r w:rsidRPr="004C4852">
          <w:rPr>
            <w:rFonts w:ascii="Times New Roman" w:eastAsia="Times New Roman" w:hAnsi="Times New Roman" w:cs="Times New Roman"/>
            <w:color w:val="0000FF"/>
            <w:sz w:val="24"/>
            <w:szCs w:val="24"/>
            <w:u w:val="single"/>
          </w:rPr>
          <w:t>https://doi.org/10.1037/pag0000043</w:t>
        </w:r>
      </w:hyperlink>
    </w:p>
    <w:p w14:paraId="7324DC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Kennepohl, S. (2002). </w:t>
      </w:r>
      <w:r w:rsidRPr="004C4852">
        <w:rPr>
          <w:rFonts w:ascii="Times New Roman" w:eastAsia="Times New Roman" w:hAnsi="Times New Roman" w:cs="Times New Roman"/>
          <w:i/>
          <w:iCs/>
          <w:sz w:val="24"/>
          <w:szCs w:val="24"/>
        </w:rPr>
        <w:t>African American acculturation and neuropsychological test performance following traumatic brain injury: An exploratory study.].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(4-B), 2061–2061.</w:t>
      </w:r>
    </w:p>
    <w:p w14:paraId="683625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Kennepohl, S., Shore, D., Nabors, N., &amp; Hanks, R. (2004). African American acculturation and neuropsychological test performance following traumatic brain injury.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(4), 566–577. </w:t>
      </w:r>
      <w:hyperlink r:id="rId2900" w:history="1">
        <w:r w:rsidRPr="004C4852">
          <w:rPr>
            <w:rFonts w:ascii="Times New Roman" w:eastAsia="Times New Roman" w:hAnsi="Times New Roman" w:cs="Times New Roman"/>
            <w:color w:val="0000FF"/>
            <w:sz w:val="24"/>
            <w:szCs w:val="24"/>
            <w:u w:val="single"/>
          </w:rPr>
          <w:t>https://doi.org/10.1017/S1355617704104128</w:t>
        </w:r>
      </w:hyperlink>
    </w:p>
    <w:p w14:paraId="005A673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Kercood, S. (2001). </w:t>
      </w:r>
      <w:r w:rsidRPr="004C4852">
        <w:rPr>
          <w:rFonts w:ascii="Times New Roman" w:eastAsia="Times New Roman" w:hAnsi="Times New Roman" w:cs="Times New Roman"/>
          <w:i/>
          <w:iCs/>
          <w:sz w:val="24"/>
          <w:szCs w:val="24"/>
        </w:rPr>
        <w:t>Focusing attention to deep structure in math problems: Effects on students with attention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(6-A), 2077–2077.</w:t>
      </w:r>
    </w:p>
    <w:p w14:paraId="2735981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Kercood, S., Zentall, S. S., &amp; Lee, D. L. (2004). Focusing attention to deep structure in math problems: Effects on elementary education students with and without attentional deficits. </w:t>
      </w:r>
      <w:r w:rsidRPr="004C4852">
        <w:rPr>
          <w:rFonts w:ascii="Times New Roman" w:eastAsia="Times New Roman" w:hAnsi="Times New Roman" w:cs="Times New Roman"/>
          <w:i/>
          <w:iCs/>
          <w:sz w:val="24"/>
          <w:szCs w:val="24"/>
        </w:rPr>
        <w:t>Learning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(2), 91–105. </w:t>
      </w:r>
      <w:hyperlink r:id="rId2901" w:history="1">
        <w:r w:rsidRPr="004C4852">
          <w:rPr>
            <w:rFonts w:ascii="Times New Roman" w:eastAsia="Times New Roman" w:hAnsi="Times New Roman" w:cs="Times New Roman"/>
            <w:color w:val="0000FF"/>
            <w:sz w:val="24"/>
            <w:szCs w:val="24"/>
            <w:u w:val="single"/>
          </w:rPr>
          <w:t>https://doi.org/10.1016/j.lindif.2003.09.001</w:t>
        </w:r>
      </w:hyperlink>
    </w:p>
    <w:p w14:paraId="4E17B9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(2014). Social influence on associative learning: Double dissociation in high-functioning autism, early-stage behavioural variant frontotemporal dementia and Alzheimer’s disease.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 200–209. </w:t>
      </w:r>
      <w:hyperlink r:id="rId2902" w:history="1">
        <w:r w:rsidRPr="004C4852">
          <w:rPr>
            <w:rFonts w:ascii="Times New Roman" w:eastAsia="Times New Roman" w:hAnsi="Times New Roman" w:cs="Times New Roman"/>
            <w:color w:val="0000FF"/>
            <w:sz w:val="24"/>
            <w:szCs w:val="24"/>
            <w:u w:val="single"/>
          </w:rPr>
          <w:t>https://doi.org/10.1016/j.cortex.2014.02.018</w:t>
        </w:r>
      </w:hyperlink>
    </w:p>
    <w:p w14:paraId="7F2670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Beniczky, S., Vörös, E., Janka, Z., Benedek, G., &amp; Vécsei, L. (2002). Dissociation between attentional set shifting and habit learning: A longitudinal case study.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(3), 219–225. </w:t>
      </w:r>
      <w:hyperlink r:id="rId2903" w:history="1">
        <w:r w:rsidRPr="004C4852">
          <w:rPr>
            <w:rFonts w:ascii="Times New Roman" w:eastAsia="Times New Roman" w:hAnsi="Times New Roman" w:cs="Times New Roman"/>
            <w:color w:val="0000FF"/>
            <w:sz w:val="24"/>
            <w:szCs w:val="24"/>
            <w:u w:val="single"/>
          </w:rPr>
          <w:t>https://doi.org/10.1093/neucas/8.3.219</w:t>
        </w:r>
      </w:hyperlink>
    </w:p>
    <w:p w14:paraId="00BE359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Benedek, G., &amp; Janka, Z. (2001a). Different trait markers for schizophrenia and bipolar disorder: A neurocognitive approach.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(5), 915–922. </w:t>
      </w:r>
      <w:hyperlink r:id="rId2904" w:history="1">
        <w:r w:rsidRPr="004C4852">
          <w:rPr>
            <w:rFonts w:ascii="Times New Roman" w:eastAsia="Times New Roman" w:hAnsi="Times New Roman" w:cs="Times New Roman"/>
            <w:color w:val="0000FF"/>
            <w:sz w:val="24"/>
            <w:szCs w:val="24"/>
            <w:u w:val="single"/>
          </w:rPr>
          <w:t>https://doi.org/10.1017/S0033291701004068</w:t>
        </w:r>
      </w:hyperlink>
    </w:p>
    <w:p w14:paraId="1C1B46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Benedek, G., &amp; Janka, Z. (2001b). Intact prototype learning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(3), 261–264. </w:t>
      </w:r>
      <w:hyperlink r:id="rId2905" w:history="1">
        <w:r w:rsidRPr="004C4852">
          <w:rPr>
            <w:rFonts w:ascii="Times New Roman" w:eastAsia="Times New Roman" w:hAnsi="Times New Roman" w:cs="Times New Roman"/>
            <w:color w:val="0000FF"/>
            <w:sz w:val="24"/>
            <w:szCs w:val="24"/>
            <w:u w:val="single"/>
          </w:rPr>
          <w:t>https://doi.org/10.1016/S0920-9964(00)00092-X</w:t>
        </w:r>
      </w:hyperlink>
    </w:p>
    <w:p w14:paraId="5D5F7E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Benedek, G., &amp; Janka, Z. (2004). Patients with schizophreniform disorder use verbal descriptions for the representation of visual categories.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(2), 247–253. </w:t>
      </w:r>
      <w:hyperlink r:id="rId2906" w:history="1">
        <w:r w:rsidRPr="004C4852">
          <w:rPr>
            <w:rFonts w:ascii="Times New Roman" w:eastAsia="Times New Roman" w:hAnsi="Times New Roman" w:cs="Times New Roman"/>
            <w:color w:val="0000FF"/>
            <w:sz w:val="24"/>
            <w:szCs w:val="24"/>
            <w:u w:val="single"/>
          </w:rPr>
          <w:t>https://doi.org/10.1017/S0033291703008754</w:t>
        </w:r>
      </w:hyperlink>
    </w:p>
    <w:p w14:paraId="337EC7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Kelemen, O., Janka, Z., &amp; Benedek, G. (2005). Visual-Perceptual Dysfunctions Are Possible Endophenotypes of Schizophrenia: Evidence From the Psychophysical Investigation of Magnocellular and Parvocellular Pathways.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(5), 649–656. </w:t>
      </w:r>
      <w:hyperlink r:id="rId2907" w:history="1">
        <w:r w:rsidRPr="004C4852">
          <w:rPr>
            <w:rFonts w:ascii="Times New Roman" w:eastAsia="Times New Roman" w:hAnsi="Times New Roman" w:cs="Times New Roman"/>
            <w:color w:val="0000FF"/>
            <w:sz w:val="24"/>
            <w:szCs w:val="24"/>
            <w:u w:val="single"/>
          </w:rPr>
          <w:t>https://doi.org/10.1037/0894-4105.19.5.649</w:t>
        </w:r>
      </w:hyperlink>
    </w:p>
    <w:p w14:paraId="21A828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Nagy, H., Myers, C. E., Benedek, G., Shohamy, D., &amp; Gluck, M. A. (2008). Risk and protective haplotypes of the alpha-synuclein gene associated with Parkinson’s disease differentially affect cognitive sequence learning. </w:t>
      </w:r>
      <w:r w:rsidRPr="004C4852">
        <w:rPr>
          <w:rFonts w:ascii="Times New Roman" w:eastAsia="Times New Roman" w:hAnsi="Times New Roman" w:cs="Times New Roman"/>
          <w:i/>
          <w:iCs/>
          <w:sz w:val="24"/>
          <w:szCs w:val="24"/>
        </w:rPr>
        <w:t>Genes, Brain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(1), 31–36.</w:t>
      </w:r>
    </w:p>
    <w:p w14:paraId="4B38C9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Kéri, S., Szendi, I., Kelemen, O., Benedek, G., &amp; Janka, Z. (2001). Remitted schizophrenia-spectrum patients with spared working memory show information processing abnormalities. </w:t>
      </w:r>
      <w:r w:rsidRPr="004C4852">
        <w:rPr>
          <w:rFonts w:ascii="Times New Roman" w:eastAsia="Times New Roman" w:hAnsi="Times New Roman" w:cs="Times New Roman"/>
          <w:i/>
          <w:iCs/>
          <w:sz w:val="24"/>
          <w:szCs w:val="24"/>
        </w:rPr>
        <w:t>European Archives of Psychiatry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251</w:t>
      </w:r>
      <w:r w:rsidRPr="004C4852">
        <w:rPr>
          <w:rFonts w:ascii="Times New Roman" w:eastAsia="Times New Roman" w:hAnsi="Times New Roman" w:cs="Times New Roman"/>
          <w:sz w:val="24"/>
          <w:szCs w:val="24"/>
        </w:rPr>
        <w:t xml:space="preserve">(2), 60–65. </w:t>
      </w:r>
      <w:hyperlink r:id="rId2908" w:history="1">
        <w:r w:rsidRPr="004C4852">
          <w:rPr>
            <w:rFonts w:ascii="Times New Roman" w:eastAsia="Times New Roman" w:hAnsi="Times New Roman" w:cs="Times New Roman"/>
            <w:color w:val="0000FF"/>
            <w:sz w:val="24"/>
            <w:szCs w:val="24"/>
            <w:u w:val="single"/>
          </w:rPr>
          <w:t>https://doi.org/10.1007/s004060170054</w:t>
        </w:r>
      </w:hyperlink>
    </w:p>
    <w:p w14:paraId="5C86B7F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&amp; Green, M. F. (1998). Cognitive remediation in schizophrenia. In </w:t>
      </w:r>
      <w:r w:rsidRPr="004C4852">
        <w:rPr>
          <w:rFonts w:ascii="Times New Roman" w:eastAsia="Times New Roman" w:hAnsi="Times New Roman" w:cs="Times New Roman"/>
          <w:i/>
          <w:iCs/>
          <w:sz w:val="24"/>
          <w:szCs w:val="24"/>
        </w:rPr>
        <w:t>Handbook of social functioning in schizophrenia.</w:t>
      </w:r>
      <w:r w:rsidRPr="004C4852">
        <w:rPr>
          <w:rFonts w:ascii="Times New Roman" w:eastAsia="Times New Roman" w:hAnsi="Times New Roman" w:cs="Times New Roman"/>
          <w:sz w:val="24"/>
          <w:szCs w:val="24"/>
        </w:rPr>
        <w:t xml:space="preserve"> (pp. 342–354). Allyn &amp; Bacon.</w:t>
      </w:r>
    </w:p>
    <w:p w14:paraId="374C654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Green, M. F., Cornblatt, B. A., Owen, J. R., McQuade, R. D., Carson, W. H., Ali, M., &amp; Marcus, R. (2006). The neurocognitive effects of aripiprazole: An open-label comparison with olanzapine.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187</w:t>
      </w:r>
      <w:r w:rsidRPr="004C4852">
        <w:rPr>
          <w:rFonts w:ascii="Times New Roman" w:eastAsia="Times New Roman" w:hAnsi="Times New Roman" w:cs="Times New Roman"/>
          <w:sz w:val="24"/>
          <w:szCs w:val="24"/>
        </w:rPr>
        <w:t xml:space="preserve">(3), 312–320. </w:t>
      </w:r>
      <w:hyperlink r:id="rId2909" w:history="1">
        <w:r w:rsidRPr="004C4852">
          <w:rPr>
            <w:rFonts w:ascii="Times New Roman" w:eastAsia="Times New Roman" w:hAnsi="Times New Roman" w:cs="Times New Roman"/>
            <w:color w:val="0000FF"/>
            <w:sz w:val="24"/>
            <w:szCs w:val="24"/>
            <w:u w:val="single"/>
          </w:rPr>
          <w:t>https://doi.org/10.1007/s00213-006-0428-x</w:t>
        </w:r>
      </w:hyperlink>
    </w:p>
    <w:p w14:paraId="08D754B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&amp; Reddy, L. F. (2014). Evolution of errorless learning in psychiatric rehabilitation. </w:t>
      </w:r>
      <w:r w:rsidRPr="004C4852">
        <w:rPr>
          <w:rFonts w:ascii="Times New Roman" w:eastAsia="Times New Roman" w:hAnsi="Times New Roman" w:cs="Times New Roman"/>
          <w:i/>
          <w:iCs/>
          <w:sz w:val="24"/>
          <w:szCs w:val="24"/>
        </w:rPr>
        <w:t>American Journal of Psychiatric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(3), 254–271. </w:t>
      </w:r>
      <w:hyperlink r:id="rId2910" w:history="1">
        <w:r w:rsidRPr="004C4852">
          <w:rPr>
            <w:rFonts w:ascii="Times New Roman" w:eastAsia="Times New Roman" w:hAnsi="Times New Roman" w:cs="Times New Roman"/>
            <w:color w:val="0000FF"/>
            <w:sz w:val="24"/>
            <w:szCs w:val="24"/>
            <w:u w:val="single"/>
          </w:rPr>
          <w:t>https://doi.org/10.1080/15487768.2014.935677</w:t>
        </w:r>
      </w:hyperlink>
    </w:p>
    <w:p w14:paraId="47DA32E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Wallace, C. J., Hellman, S. G., Womack, L. M., &amp; Green, M. F. (1996). A training procedure for remediating WCST deficits in chronic psychotic patients: An adaptation of errorless learning principles.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(4), 283–294. </w:t>
      </w:r>
      <w:hyperlink r:id="rId2911" w:history="1">
        <w:r w:rsidRPr="004C4852">
          <w:rPr>
            <w:rFonts w:ascii="Times New Roman" w:eastAsia="Times New Roman" w:hAnsi="Times New Roman" w:cs="Times New Roman"/>
            <w:color w:val="0000FF"/>
            <w:sz w:val="24"/>
            <w:szCs w:val="24"/>
            <w:u w:val="single"/>
          </w:rPr>
          <w:t>https://doi.org/10.1016/0022-3956(96)00028-3</w:t>
        </w:r>
      </w:hyperlink>
    </w:p>
    <w:p w14:paraId="18E048E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Kern, R. S., Wallace, C. J., Hellman, S. G., Womack, L. M., &amp; Green, M. F. (1997). “A training procedure for remediating WCST deficits in chronic psychotic patients: An adaptation of errorless learning principles”: Erratum.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(3), I–I. </w:t>
      </w:r>
      <w:hyperlink r:id="rId2912" w:history="1">
        <w:r w:rsidRPr="004C4852">
          <w:rPr>
            <w:rFonts w:ascii="Times New Roman" w:eastAsia="Times New Roman" w:hAnsi="Times New Roman" w:cs="Times New Roman"/>
            <w:color w:val="0000FF"/>
            <w:sz w:val="24"/>
            <w:szCs w:val="24"/>
            <w:u w:val="single"/>
          </w:rPr>
          <w:t>https://doi.org/10.1016/S0022-3956(97)84629-8</w:t>
        </w:r>
      </w:hyperlink>
    </w:p>
    <w:p w14:paraId="6F5A60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Kertesz, A., Blair, M., McMonagle, P., &amp; Munoz, D. G. (2007). The diagnosis and course of frontotemporal dementia. </w:t>
      </w:r>
      <w:r w:rsidRPr="004C4852">
        <w:rPr>
          <w:rFonts w:ascii="Times New Roman" w:eastAsia="Times New Roman" w:hAnsi="Times New Roman" w:cs="Times New Roman"/>
          <w:i/>
          <w:iCs/>
          <w:sz w:val="24"/>
          <w:szCs w:val="24"/>
        </w:rPr>
        <w:t>Alzheimer Disease and Associated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(2), 155–163. </w:t>
      </w:r>
      <w:hyperlink r:id="rId2913" w:history="1">
        <w:r w:rsidRPr="004C4852">
          <w:rPr>
            <w:rFonts w:ascii="Times New Roman" w:eastAsia="Times New Roman" w:hAnsi="Times New Roman" w:cs="Times New Roman"/>
            <w:color w:val="0000FF"/>
            <w:sz w:val="24"/>
            <w:szCs w:val="24"/>
            <w:u w:val="single"/>
          </w:rPr>
          <w:t>https://doi.org/10.1097/WAD.0b013e31806547eb</w:t>
        </w:r>
      </w:hyperlink>
    </w:p>
    <w:p w14:paraId="79399A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Kertesz, A., Finger, E., Murrell, J., Chertkow, H., Ang, L. C., Baker, M., Ravenscroft, T., Rademakers, R., &amp; Munoz, D. G. (2015). Progressive supranuclear palsy in a family with TDP-43 pathology. </w:t>
      </w:r>
      <w:r w:rsidRPr="004C4852">
        <w:rPr>
          <w:rFonts w:ascii="Times New Roman" w:eastAsia="Times New Roman" w:hAnsi="Times New Roman" w:cs="Times New Roman"/>
          <w:i/>
          <w:iCs/>
          <w:sz w:val="24"/>
          <w:szCs w:val="24"/>
        </w:rPr>
        <w:t>Neurocase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(2), 178–184. </w:t>
      </w:r>
      <w:hyperlink r:id="rId2914" w:history="1">
        <w:r w:rsidRPr="004C4852">
          <w:rPr>
            <w:rFonts w:ascii="Times New Roman" w:eastAsia="Times New Roman" w:hAnsi="Times New Roman" w:cs="Times New Roman"/>
            <w:color w:val="0000FF"/>
            <w:sz w:val="24"/>
            <w:szCs w:val="24"/>
            <w:u w:val="single"/>
          </w:rPr>
          <w:t>https://doi.org/10.1080/13554794.2013.878729</w:t>
        </w:r>
      </w:hyperlink>
    </w:p>
    <w:p w14:paraId="31DFE8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Kertesz, A., McMonagle, P., Blair, M., Davidson, W., &amp; Munoz, D. G. (2005). The evolution and pathology of frontotemporal dementia.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128</w:t>
      </w:r>
      <w:r w:rsidRPr="004C4852">
        <w:rPr>
          <w:rFonts w:ascii="Times New Roman" w:eastAsia="Times New Roman" w:hAnsi="Times New Roman" w:cs="Times New Roman"/>
          <w:sz w:val="24"/>
          <w:szCs w:val="24"/>
        </w:rPr>
        <w:t xml:space="preserve">(9), 1996–2005. </w:t>
      </w:r>
      <w:hyperlink r:id="rId2915" w:history="1">
        <w:r w:rsidRPr="004C4852">
          <w:rPr>
            <w:rFonts w:ascii="Times New Roman" w:eastAsia="Times New Roman" w:hAnsi="Times New Roman" w:cs="Times New Roman"/>
            <w:color w:val="0000FF"/>
            <w:sz w:val="24"/>
            <w:szCs w:val="24"/>
            <w:u w:val="single"/>
          </w:rPr>
          <w:t>https://doi.org/10.1093/brain/awh598</w:t>
        </w:r>
      </w:hyperlink>
    </w:p>
    <w:p w14:paraId="75F154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Kesby, J. P., Heaton, R. K., Young, J. W., Umlauf, A., Woods, S. P., Letendre, S. L., Markou, A., Grant, I., &amp; Semenova, S. (2015). Methamphetamine exposure combined with HIV-1 disease or gp120 expression: Comparison of learning and executive functions in humans and mice.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40</w:t>
      </w:r>
      <w:r w:rsidRPr="004C4852">
        <w:rPr>
          <w:rFonts w:ascii="Times New Roman" w:eastAsia="Times New Roman" w:hAnsi="Times New Roman" w:cs="Times New Roman"/>
          <w:sz w:val="24"/>
          <w:szCs w:val="24"/>
        </w:rPr>
        <w:t xml:space="preserve">(8), 1899–1909. </w:t>
      </w:r>
      <w:hyperlink r:id="rId2916" w:history="1">
        <w:r w:rsidRPr="004C4852">
          <w:rPr>
            <w:rFonts w:ascii="Times New Roman" w:eastAsia="Times New Roman" w:hAnsi="Times New Roman" w:cs="Times New Roman"/>
            <w:color w:val="0000FF"/>
            <w:sz w:val="24"/>
            <w:szCs w:val="24"/>
            <w:u w:val="single"/>
          </w:rPr>
          <w:t>https://doi.org/10.1038/npp.2015.39</w:t>
        </w:r>
      </w:hyperlink>
    </w:p>
    <w:p w14:paraId="463F21B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Cashmere, J. D., Miewald, J., &amp; Yeragani, V. K. (2004). Decreased nonlinear complexity and chaos during sleep in first episode schizophrenia: A preliminary report.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(2–3), 263–272. </w:t>
      </w:r>
      <w:hyperlink r:id="rId2917" w:history="1">
        <w:r w:rsidRPr="004C4852">
          <w:rPr>
            <w:rFonts w:ascii="Times New Roman" w:eastAsia="Times New Roman" w:hAnsi="Times New Roman" w:cs="Times New Roman"/>
            <w:color w:val="0000FF"/>
            <w:sz w:val="24"/>
            <w:szCs w:val="24"/>
            <w:u w:val="single"/>
          </w:rPr>
          <w:t>https://doi.org/10.1016/j.schres.2004.02.015</w:t>
        </w:r>
      </w:hyperlink>
    </w:p>
    <w:p w14:paraId="7EFE76D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Eack, S. M., Wojtalik, J. A., Prasad, K. M. R., Francis, A. N., Bhojraj, T. S., Greenwald, D. P., &amp; Hogarty, S. S. (2011). A broad cortical reserve accelerates response to cognitive enhancement therapy in early course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130</w:t>
      </w:r>
      <w:r w:rsidRPr="004C4852">
        <w:rPr>
          <w:rFonts w:ascii="Times New Roman" w:eastAsia="Times New Roman" w:hAnsi="Times New Roman" w:cs="Times New Roman"/>
          <w:sz w:val="24"/>
          <w:szCs w:val="24"/>
        </w:rPr>
        <w:t xml:space="preserve">(1–3), 123–129. </w:t>
      </w:r>
      <w:hyperlink r:id="rId2918" w:history="1">
        <w:r w:rsidRPr="004C4852">
          <w:rPr>
            <w:rFonts w:ascii="Times New Roman" w:eastAsia="Times New Roman" w:hAnsi="Times New Roman" w:cs="Times New Roman"/>
            <w:color w:val="0000FF"/>
            <w:sz w:val="24"/>
            <w:szCs w:val="24"/>
            <w:u w:val="single"/>
          </w:rPr>
          <w:t>https://doi.org/10.1016/j.schres.2011.05.001</w:t>
        </w:r>
      </w:hyperlink>
    </w:p>
    <w:p w14:paraId="03215FB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Haas, G., Miewald, J., Montrose, D. M., Reddy, R., Schooler, N. R., &amp; Sweeney, J. A. (2003). Prolonged Untreated Illness Duration From Prodromal Onset Predicts Outcome in First Episode Psychoses.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757–769. </w:t>
      </w:r>
      <w:hyperlink r:id="rId2919" w:history="1">
        <w:r w:rsidRPr="004C4852">
          <w:rPr>
            <w:rFonts w:ascii="Times New Roman" w:eastAsia="Times New Roman" w:hAnsi="Times New Roman" w:cs="Times New Roman"/>
            <w:color w:val="0000FF"/>
            <w:sz w:val="24"/>
            <w:szCs w:val="24"/>
            <w:u w:val="single"/>
          </w:rPr>
          <w:t>https://doi.org/10.1093/oxfordjournals.schbul.a007045</w:t>
        </w:r>
      </w:hyperlink>
    </w:p>
    <w:p w14:paraId="326181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Keshavan, M. S., Rabinowitz, J., DeSmedt, G., Harvey, P. D., &amp; Schooler, N. (2004). Correlates of insight in first episode psychosis.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(2–3), 187–194. </w:t>
      </w:r>
      <w:hyperlink r:id="rId2920" w:history="1">
        <w:r w:rsidRPr="004C4852">
          <w:rPr>
            <w:rFonts w:ascii="Times New Roman" w:eastAsia="Times New Roman" w:hAnsi="Times New Roman" w:cs="Times New Roman"/>
            <w:color w:val="0000FF"/>
            <w:sz w:val="24"/>
            <w:szCs w:val="24"/>
            <w:u w:val="single"/>
          </w:rPr>
          <w:t>https://doi.org/10.1016/j.schres.2003.11.007</w:t>
        </w:r>
      </w:hyperlink>
    </w:p>
    <w:p w14:paraId="61B91C1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Janelsins, M., Koovakkattu, D., Palesh, O., Mustian, K., Morrow, G., &amp; Dhabhar, F. S. (2013). Reduced hippocampal volume and verbal memory performance associated with interleukin-6 and tumor necrosis factor-alpha levels in chemotherapy-treated breast cancer survivors. </w:t>
      </w:r>
      <w:r w:rsidRPr="004C4852">
        <w:rPr>
          <w:rFonts w:ascii="Times New Roman" w:eastAsia="Times New Roman" w:hAnsi="Times New Roman" w:cs="Times New Roman"/>
          <w:i/>
          <w:iCs/>
          <w:sz w:val="24"/>
          <w:szCs w:val="24"/>
        </w:rPr>
        <w:t>Brain, Behavior, and Immunity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 xml:space="preserve">(Suppl), S109–S116. </w:t>
      </w:r>
      <w:hyperlink r:id="rId2921" w:history="1">
        <w:r w:rsidRPr="004C4852">
          <w:rPr>
            <w:rFonts w:ascii="Times New Roman" w:eastAsia="Times New Roman" w:hAnsi="Times New Roman" w:cs="Times New Roman"/>
            <w:color w:val="0000FF"/>
            <w:sz w:val="24"/>
            <w:szCs w:val="24"/>
            <w:u w:val="single"/>
          </w:rPr>
          <w:t>https://doi.org/10.1016/j.bbi.2012.05.017</w:t>
        </w:r>
      </w:hyperlink>
    </w:p>
    <w:p w14:paraId="1577CF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 Kent, J. S. ;, &amp; O’Hara, R. (2011). Prefrontal cortex and executive function impairments in primary breast cancer. </w:t>
      </w:r>
      <w:r w:rsidRPr="004C4852">
        <w:rPr>
          <w:rFonts w:ascii="Times New Roman" w:eastAsia="Times New Roman" w:hAnsi="Times New Roman" w:cs="Times New Roman"/>
          <w:i/>
          <w:iCs/>
          <w:sz w:val="24"/>
          <w:szCs w:val="24"/>
        </w:rPr>
        <w:t>Archives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(11), 1447–1453.</w:t>
      </w:r>
    </w:p>
    <w:p w14:paraId="306B30A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Sheau, K., Koovakkattu, D., &amp; Reiss, A. L. (2011). Changes in frontal-parietal activation and math skills performance following adaptive number sense training: Preliminary results from a pilot study. </w:t>
      </w:r>
      <w:r w:rsidRPr="004C4852">
        <w:rPr>
          <w:rFonts w:ascii="Times New Roman" w:eastAsia="Times New Roman" w:hAnsi="Times New Roman" w:cs="Times New Roman"/>
          <w:i/>
          <w:iCs/>
          <w:sz w:val="24"/>
          <w:szCs w:val="24"/>
        </w:rPr>
        <w:t>Neuropsychological 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(4), 433–454. </w:t>
      </w:r>
      <w:hyperlink r:id="rId2922" w:history="1">
        <w:r w:rsidRPr="004C4852">
          <w:rPr>
            <w:rFonts w:ascii="Times New Roman" w:eastAsia="Times New Roman" w:hAnsi="Times New Roman" w:cs="Times New Roman"/>
            <w:color w:val="0000FF"/>
            <w:sz w:val="24"/>
            <w:szCs w:val="24"/>
            <w:u w:val="single"/>
          </w:rPr>
          <w:t>https://doi.org/10.1080/09602011.2011.578446</w:t>
        </w:r>
      </w:hyperlink>
    </w:p>
    <w:p w14:paraId="1B3660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Watson, C., Koovakkattu, D., Lee, C., O’Hara, R., Mahaffey, M. L., &amp; Wefel, J. S. (2013). Elevated prefrontal myo-inositol and choline following breast cancer chemotherapy. </w:t>
      </w:r>
      <w:r w:rsidRPr="004C4852">
        <w:rPr>
          <w:rFonts w:ascii="Times New Roman" w:eastAsia="Times New Roman" w:hAnsi="Times New Roman" w:cs="Times New Roman"/>
          <w:i/>
          <w:iCs/>
          <w:sz w:val="24"/>
          <w:szCs w:val="24"/>
        </w:rPr>
        <w:t>Brain Imaging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(4), 501–510. </w:t>
      </w:r>
      <w:hyperlink r:id="rId2923" w:history="1">
        <w:r w:rsidRPr="004C4852">
          <w:rPr>
            <w:rFonts w:ascii="Times New Roman" w:eastAsia="Times New Roman" w:hAnsi="Times New Roman" w:cs="Times New Roman"/>
            <w:color w:val="0000FF"/>
            <w:sz w:val="24"/>
            <w:szCs w:val="24"/>
            <w:u w:val="single"/>
          </w:rPr>
          <w:t>https://doi.org/10.1007/s11682-013-9228-1</w:t>
        </w:r>
      </w:hyperlink>
    </w:p>
    <w:p w14:paraId="1019E19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Watson, C. L., &amp; Blayney, D. W. (2015). Brain network alterations and vulnerability to simulated neurodegeneration in breast cancer. </w:t>
      </w:r>
      <w:r w:rsidRPr="004C4852">
        <w:rPr>
          <w:rFonts w:ascii="Times New Roman" w:eastAsia="Times New Roman" w:hAnsi="Times New Roman" w:cs="Times New Roman"/>
          <w:i/>
          <w:iCs/>
          <w:sz w:val="24"/>
          <w:szCs w:val="24"/>
        </w:rPr>
        <w:t>Neurobiology of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(8), 2429–2442.</w:t>
      </w:r>
    </w:p>
    <w:p w14:paraId="4BF103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Kesler, S. R., Wefel, J. S., Hosseini, S. M. H., Cheung, M., Watson, C. L., &amp; Hoeft, F. (2013). Default mode network connectivity distinguishes chemotherapy-treated breast cancer survivors from controls. </w:t>
      </w:r>
      <w:r w:rsidRPr="004C4852">
        <w:rPr>
          <w:rFonts w:ascii="Times New Roman" w:eastAsia="Times New Roman" w:hAnsi="Times New Roman" w:cs="Times New Roman"/>
          <w:i/>
          <w:iCs/>
          <w:sz w:val="24"/>
          <w:szCs w:val="24"/>
        </w:rPr>
        <w:t>Proceedings of the National Academy of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(28), 11600–11605. </w:t>
      </w:r>
      <w:hyperlink r:id="rId2924" w:history="1">
        <w:r w:rsidRPr="004C4852">
          <w:rPr>
            <w:rFonts w:ascii="Times New Roman" w:eastAsia="Times New Roman" w:hAnsi="Times New Roman" w:cs="Times New Roman"/>
            <w:color w:val="0000FF"/>
            <w:sz w:val="24"/>
            <w:szCs w:val="24"/>
            <w:u w:val="single"/>
          </w:rPr>
          <w:t>https://doi.org/10.1073/pnas.1214551110</w:t>
        </w:r>
      </w:hyperlink>
    </w:p>
    <w:p w14:paraId="782E78E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Keulen, S., Mariën, P., van Dun, K., Bastiaanse, R., Manto, M., &amp; Verhoeven, J. (2017). The posterior fossa and foreign accent syndrome: Report of two new cases and review of the literature. </w:t>
      </w:r>
      <w:r w:rsidRPr="004C4852">
        <w:rPr>
          <w:rFonts w:ascii="Times New Roman" w:eastAsia="Times New Roman" w:hAnsi="Times New Roman" w:cs="Times New Roman"/>
          <w:i/>
          <w:iCs/>
          <w:sz w:val="24"/>
          <w:szCs w:val="24"/>
        </w:rPr>
        <w:t>The Cerebellum</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(4), 772–785. </w:t>
      </w:r>
      <w:hyperlink r:id="rId2925" w:history="1">
        <w:r w:rsidRPr="004C4852">
          <w:rPr>
            <w:rFonts w:ascii="Times New Roman" w:eastAsia="Times New Roman" w:hAnsi="Times New Roman" w:cs="Times New Roman"/>
            <w:color w:val="0000FF"/>
            <w:sz w:val="24"/>
            <w:szCs w:val="24"/>
            <w:u w:val="single"/>
          </w:rPr>
          <w:t>https://doi.org/10.1007/s12311-017-0849-6</w:t>
        </w:r>
      </w:hyperlink>
    </w:p>
    <w:p w14:paraId="29E1D9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Keulen, S., Mariën, P., Wackenier, P., Jonkers, R., Bastiaanse, R., &amp; Verhoeven, J. (2016). Developmental foreign accent syndrome: Report of a new case.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926" w:history="1">
        <w:r w:rsidRPr="004C4852">
          <w:rPr>
            <w:rFonts w:ascii="Times New Roman" w:eastAsia="Times New Roman" w:hAnsi="Times New Roman" w:cs="Times New Roman"/>
            <w:color w:val="0000FF"/>
            <w:sz w:val="24"/>
            <w:szCs w:val="24"/>
            <w:u w:val="single"/>
          </w:rPr>
          <w:t>https://doi.org/10.3389/fnhum.2016.00065</w:t>
        </w:r>
      </w:hyperlink>
    </w:p>
    <w:p w14:paraId="58691AC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Keulen, S., Verhoeven, J., De Page, L., Jonkers, R., Bastiaanse, R., &amp; Mariën, P. (2016). Psychogenic foreign accent syndrome: A new case.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w:t>
      </w:r>
    </w:p>
    <w:p w14:paraId="5334A54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Keven, N., Kurczek, J., Rosenbaum, R. S., &amp; Craver, C. F. (2018). Narrative construction is intact in episodic amnesia.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110</w:t>
      </w:r>
      <w:r w:rsidRPr="004C4852">
        <w:rPr>
          <w:rFonts w:ascii="Times New Roman" w:eastAsia="Times New Roman" w:hAnsi="Times New Roman" w:cs="Times New Roman"/>
          <w:sz w:val="24"/>
          <w:szCs w:val="24"/>
        </w:rPr>
        <w:t xml:space="preserve">, 104–112. </w:t>
      </w:r>
      <w:hyperlink r:id="rId2927" w:history="1">
        <w:r w:rsidRPr="004C4852">
          <w:rPr>
            <w:rFonts w:ascii="Times New Roman" w:eastAsia="Times New Roman" w:hAnsi="Times New Roman" w:cs="Times New Roman"/>
            <w:color w:val="0000FF"/>
            <w:sz w:val="24"/>
            <w:szCs w:val="24"/>
            <w:u w:val="single"/>
          </w:rPr>
          <w:t>https://doi.org/10.1016/j.neuropsychologia.2017.07.028</w:t>
        </w:r>
      </w:hyperlink>
    </w:p>
    <w:p w14:paraId="25B540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Key-DeLyria, S. E. (2016). Sentence processing in traumatic brain injury: Evidence from the P600. </w:t>
      </w:r>
      <w:r w:rsidRPr="004C4852">
        <w:rPr>
          <w:rFonts w:ascii="Times New Roman" w:eastAsia="Times New Roman" w:hAnsi="Times New Roman" w:cs="Times New Roman"/>
          <w:i/>
          <w:iCs/>
          <w:sz w:val="24"/>
          <w:szCs w:val="24"/>
        </w:rPr>
        <w:t>Journal of Speech, Language, and Hearing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(4), 759–771. </w:t>
      </w:r>
      <w:hyperlink r:id="rId2928" w:history="1">
        <w:r w:rsidRPr="004C4852">
          <w:rPr>
            <w:rFonts w:ascii="Times New Roman" w:eastAsia="Times New Roman" w:hAnsi="Times New Roman" w:cs="Times New Roman"/>
            <w:color w:val="0000FF"/>
            <w:sz w:val="24"/>
            <w:szCs w:val="24"/>
            <w:u w:val="single"/>
          </w:rPr>
          <w:t>https://doi.org/10.1044/2016_JSLHR-L-15-0104</w:t>
        </w:r>
      </w:hyperlink>
    </w:p>
    <w:p w14:paraId="357D1DE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Khalighinejad, N., Kunnumpurath, A., Bertini, C., Ladavas, E., &amp; Haggard, P. (2017). Subliminal modulation of voluntary action experience: A neuropsychological investigation.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90</w:t>
      </w:r>
      <w:r w:rsidRPr="004C4852">
        <w:rPr>
          <w:rFonts w:ascii="Times New Roman" w:eastAsia="Times New Roman" w:hAnsi="Times New Roman" w:cs="Times New Roman"/>
          <w:sz w:val="24"/>
          <w:szCs w:val="24"/>
        </w:rPr>
        <w:t xml:space="preserve">, 58–70. </w:t>
      </w:r>
      <w:hyperlink r:id="rId2929" w:history="1">
        <w:r w:rsidRPr="004C4852">
          <w:rPr>
            <w:rFonts w:ascii="Times New Roman" w:eastAsia="Times New Roman" w:hAnsi="Times New Roman" w:cs="Times New Roman"/>
            <w:color w:val="0000FF"/>
            <w:sz w:val="24"/>
            <w:szCs w:val="24"/>
            <w:u w:val="single"/>
          </w:rPr>
          <w:t>https://doi.org/10.1016/j.cortex.2017.02.012</w:t>
        </w:r>
      </w:hyperlink>
    </w:p>
    <w:p w14:paraId="1BF20B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Khalil, A. H., el-Meguid, M. A., Bastawy, M., Rabei, S., Ali, R., &amp; abd elmoneam, M. H. E. (2020). Correlating cognitive functions to symptom domains and insight in Egyptian patients with schizophrenia. </w:t>
      </w:r>
      <w:r w:rsidRPr="004C4852">
        <w:rPr>
          <w:rFonts w:ascii="Times New Roman" w:eastAsia="Times New Roman" w:hAnsi="Times New Roman" w:cs="Times New Roman"/>
          <w:i/>
          <w:iCs/>
          <w:sz w:val="24"/>
          <w:szCs w:val="24"/>
        </w:rPr>
        <w:t>International Journal of Social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66</w:t>
      </w:r>
      <w:r w:rsidRPr="004C4852">
        <w:rPr>
          <w:rFonts w:ascii="Times New Roman" w:eastAsia="Times New Roman" w:hAnsi="Times New Roman" w:cs="Times New Roman"/>
          <w:sz w:val="24"/>
          <w:szCs w:val="24"/>
        </w:rPr>
        <w:t xml:space="preserve">(3), 240–248. </w:t>
      </w:r>
      <w:hyperlink r:id="rId2930" w:history="1">
        <w:r w:rsidRPr="004C4852">
          <w:rPr>
            <w:rFonts w:ascii="Times New Roman" w:eastAsia="Times New Roman" w:hAnsi="Times New Roman" w:cs="Times New Roman"/>
            <w:color w:val="0000FF"/>
            <w:sz w:val="24"/>
            <w:szCs w:val="24"/>
            <w:u w:val="single"/>
          </w:rPr>
          <w:t>https://doi.org/10.1177/0020764019897697</w:t>
        </w:r>
      </w:hyperlink>
    </w:p>
    <w:p w14:paraId="2FA498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Khandaker, G. M., Zimbron, J., Lewis, G., &amp; Jones, P. B. (2013). Prenatal maternal infection, neurodevelopment and adult schizophrenia: A systematic review of population-based studies.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(2), 239–257. </w:t>
      </w:r>
      <w:hyperlink r:id="rId2931" w:history="1">
        <w:r w:rsidRPr="004C4852">
          <w:rPr>
            <w:rFonts w:ascii="Times New Roman" w:eastAsia="Times New Roman" w:hAnsi="Times New Roman" w:cs="Times New Roman"/>
            <w:color w:val="0000FF"/>
            <w:sz w:val="24"/>
            <w:szCs w:val="24"/>
            <w:u w:val="single"/>
          </w:rPr>
          <w:t>https://doi.org/10.1017/S0033291712000736</w:t>
        </w:r>
      </w:hyperlink>
    </w:p>
    <w:p w14:paraId="587242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Khanna, M. M., &amp; Boland, J. E. (2010). Children’s use of language context in lexical ambiguity resolution. </w:t>
      </w:r>
      <w:r w:rsidRPr="004C4852">
        <w:rPr>
          <w:rFonts w:ascii="Times New Roman" w:eastAsia="Times New Roman" w:hAnsi="Times New Roman" w:cs="Times New Roman"/>
          <w:i/>
          <w:iCs/>
          <w:sz w:val="24"/>
          <w:szCs w:val="24"/>
        </w:rPr>
        <w:t>The Quarterly Journal of Experimental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(1), 160–193. </w:t>
      </w:r>
      <w:hyperlink r:id="rId2932" w:history="1">
        <w:r w:rsidRPr="004C4852">
          <w:rPr>
            <w:rFonts w:ascii="Times New Roman" w:eastAsia="Times New Roman" w:hAnsi="Times New Roman" w:cs="Times New Roman"/>
            <w:color w:val="0000FF"/>
            <w:sz w:val="24"/>
            <w:szCs w:val="24"/>
            <w:u w:val="single"/>
          </w:rPr>
          <w:t>https://doi.org/10.1080/17470210902866664</w:t>
        </w:r>
      </w:hyperlink>
    </w:p>
    <w:p w14:paraId="3269E06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Khng, K. H., &amp; Lee, K. (2009). Inhibiting interference from prior knowledge: Arithmetic intrusions in algebra word problem solving. </w:t>
      </w:r>
      <w:r w:rsidRPr="004C4852">
        <w:rPr>
          <w:rFonts w:ascii="Times New Roman" w:eastAsia="Times New Roman" w:hAnsi="Times New Roman" w:cs="Times New Roman"/>
          <w:i/>
          <w:iCs/>
          <w:sz w:val="24"/>
          <w:szCs w:val="24"/>
        </w:rPr>
        <w:t>Learning and Individual Differences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(2), 262–268. </w:t>
      </w:r>
      <w:hyperlink r:id="rId2933" w:history="1">
        <w:r w:rsidRPr="004C4852">
          <w:rPr>
            <w:rFonts w:ascii="Times New Roman" w:eastAsia="Times New Roman" w:hAnsi="Times New Roman" w:cs="Times New Roman"/>
            <w:color w:val="0000FF"/>
            <w:sz w:val="24"/>
            <w:szCs w:val="24"/>
            <w:u w:val="single"/>
          </w:rPr>
          <w:t>https://doi.org/10.1016/j.lindif.2009.01.004</w:t>
        </w:r>
      </w:hyperlink>
    </w:p>
    <w:p w14:paraId="22D397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Khodadadi, A., Dezfouli, A., Fakhari, P., &amp; Ekhtiari, H. (2010). Effects of methadone maintenance treatment on decision-making processes in heroin-abusers: A cognitive modeling analysis. </w:t>
      </w:r>
      <w:r w:rsidRPr="004C4852">
        <w:rPr>
          <w:rFonts w:ascii="Times New Roman" w:eastAsia="Times New Roman" w:hAnsi="Times New Roman" w:cs="Times New Roman"/>
          <w:i/>
          <w:iCs/>
          <w:sz w:val="24"/>
          <w:szCs w:val="24"/>
        </w:rPr>
        <w:t>Basic and Clinical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(3), 44–49.</w:t>
      </w:r>
    </w:p>
    <w:p w14:paraId="2A5D7FE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Khorramabadi, R., Shamloo, Z. S., Fadardi, J. S., &amp; Bigdeli, I. (2019). Prediction of extramarital relationships based on executive functions with the mediatory role of marital commitment. </w:t>
      </w:r>
      <w:r w:rsidRPr="004C4852">
        <w:rPr>
          <w:rFonts w:ascii="Times New Roman" w:eastAsia="Times New Roman" w:hAnsi="Times New Roman" w:cs="Times New Roman"/>
          <w:i/>
          <w:iCs/>
          <w:sz w:val="24"/>
          <w:szCs w:val="24"/>
        </w:rPr>
        <w:t>Journal of Practice in Clinical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(2), 147–157. </w:t>
      </w:r>
      <w:hyperlink r:id="rId2934" w:history="1">
        <w:r w:rsidRPr="004C4852">
          <w:rPr>
            <w:rFonts w:ascii="Times New Roman" w:eastAsia="Times New Roman" w:hAnsi="Times New Roman" w:cs="Times New Roman"/>
            <w:color w:val="0000FF"/>
            <w:sz w:val="24"/>
            <w:szCs w:val="24"/>
            <w:u w:val="single"/>
          </w:rPr>
          <w:t>https://doi.org/10.32598/jpcp.7.2.147</w:t>
        </w:r>
      </w:hyperlink>
    </w:p>
    <w:p w14:paraId="6000E07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Kiang, M., Light, G. A., Prugh, J., Coulson, S., Braff, D. L., &amp; Kutas, M. (2007). Cognitive, neurophysiological, and functional correlates of proverb interpretation abnormalities in schizophrenia.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(4), 653–663. </w:t>
      </w:r>
      <w:hyperlink r:id="rId2935" w:history="1">
        <w:r w:rsidRPr="004C4852">
          <w:rPr>
            <w:rFonts w:ascii="Times New Roman" w:eastAsia="Times New Roman" w:hAnsi="Times New Roman" w:cs="Times New Roman"/>
            <w:color w:val="0000FF"/>
            <w:sz w:val="24"/>
            <w:szCs w:val="24"/>
            <w:u w:val="single"/>
          </w:rPr>
          <w:t>https://doi.org/10.1017/S1355617707070816</w:t>
        </w:r>
      </w:hyperlink>
    </w:p>
    <w:p w14:paraId="1CAF1DE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Kibby, M. Y., Cohen, M. J., Lee, S. E., Stanford, L., Park, Y. D., &amp; Strickland, S. M. (2014). There are laterality effects in memory functioning in children/adolescents with focal epilepsy. </w:t>
      </w:r>
      <w:r w:rsidRPr="004C4852">
        <w:rPr>
          <w:rFonts w:ascii="Times New Roman" w:eastAsia="Times New Roman" w:hAnsi="Times New Roman" w:cs="Times New Roman"/>
          <w:i/>
          <w:iCs/>
          <w:sz w:val="24"/>
          <w:szCs w:val="24"/>
        </w:rPr>
        <w:t>Developmental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(8), 569–584. </w:t>
      </w:r>
      <w:hyperlink r:id="rId2936" w:history="1">
        <w:r w:rsidRPr="004C4852">
          <w:rPr>
            <w:rFonts w:ascii="Times New Roman" w:eastAsia="Times New Roman" w:hAnsi="Times New Roman" w:cs="Times New Roman"/>
            <w:color w:val="0000FF"/>
            <w:sz w:val="24"/>
            <w:szCs w:val="24"/>
            <w:u w:val="single"/>
          </w:rPr>
          <w:t>https://doi.org/10.1080/87565641.2014.962695</w:t>
        </w:r>
      </w:hyperlink>
    </w:p>
    <w:p w14:paraId="0519F78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Kibby, M. Y., Schmitter-Edgecombe, M., &amp; Long, C. J. (1998). Ecological validity of neuropsychological tests: Focus on the California Verbal Learning Test and the Wisconsin Card Sorting Test.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(6), 523–534. </w:t>
      </w:r>
      <w:hyperlink r:id="rId2937" w:history="1">
        <w:r w:rsidRPr="004C4852">
          <w:rPr>
            <w:rFonts w:ascii="Times New Roman" w:eastAsia="Times New Roman" w:hAnsi="Times New Roman" w:cs="Times New Roman"/>
            <w:color w:val="0000FF"/>
            <w:sz w:val="24"/>
            <w:szCs w:val="24"/>
            <w:u w:val="single"/>
          </w:rPr>
          <w:t>https://doi.org/10.1016/S0887-6177(97)00038-3</w:t>
        </w:r>
      </w:hyperlink>
    </w:p>
    <w:p w14:paraId="50392DF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Kiçik, A., Tüzün, E., Erdoğdu, E., Bilgiç, B., Tüfekçioğlu, Z., Öztürk-Işik, E., Hanağas, H., &amp; Gürvit, H. (2020). Neuroinflammation mediators are reduced in sera of Parkinson’s disease patients with mild cognitive impairment. </w:t>
      </w:r>
      <w:r w:rsidRPr="004C4852">
        <w:rPr>
          <w:rFonts w:ascii="Times New Roman" w:eastAsia="Times New Roman" w:hAnsi="Times New Roman" w:cs="Times New Roman"/>
          <w:i/>
          <w:iCs/>
          <w:sz w:val="24"/>
          <w:szCs w:val="24"/>
        </w:rPr>
        <w:t>Nöropsikiyatri Arşivi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(1), 15–17.</w:t>
      </w:r>
    </w:p>
    <w:p w14:paraId="3CA51A3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Kida, A. de S. B., de Ávila, C. R. B., &amp; Capellini, S. A. (2016). Reading comprehension assessment through retelling: Performance profiles of children with dyslexia and language-based learning disability.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w:t>
      </w:r>
    </w:p>
    <w:p w14:paraId="24ECC1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Kidd, S. A., Kaur, J., Virdee, G., George, T. P., McKenzie, K., &amp; Herman, Y. (2014). Cognitive remediation for individuals with psychosis in a supported education setting: A randomized controlled trial.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157</w:t>
      </w:r>
      <w:r w:rsidRPr="004C4852">
        <w:rPr>
          <w:rFonts w:ascii="Times New Roman" w:eastAsia="Times New Roman" w:hAnsi="Times New Roman" w:cs="Times New Roman"/>
          <w:sz w:val="24"/>
          <w:szCs w:val="24"/>
        </w:rPr>
        <w:t xml:space="preserve">(1–3), 90–98. </w:t>
      </w:r>
      <w:hyperlink r:id="rId2938" w:history="1">
        <w:r w:rsidRPr="004C4852">
          <w:rPr>
            <w:rFonts w:ascii="Times New Roman" w:eastAsia="Times New Roman" w:hAnsi="Times New Roman" w:cs="Times New Roman"/>
            <w:color w:val="0000FF"/>
            <w:sz w:val="24"/>
            <w:szCs w:val="24"/>
            <w:u w:val="single"/>
          </w:rPr>
          <w:t>https://doi.org/10.1016/j.schres.2014.05.007</w:t>
        </w:r>
      </w:hyperlink>
    </w:p>
    <w:p w14:paraId="29CBD4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Kieffaber, P. D., &amp; Hetrick, W. P. (2005). Event-related potential correlates of task switching and switch costs. </w:t>
      </w:r>
      <w:r w:rsidRPr="004C4852">
        <w:rPr>
          <w:rFonts w:ascii="Times New Roman" w:eastAsia="Times New Roman" w:hAnsi="Times New Roman" w:cs="Times New Roman"/>
          <w:i/>
          <w:iCs/>
          <w:sz w:val="24"/>
          <w:szCs w:val="24"/>
        </w:rPr>
        <w:t>Psychophysiology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(1), 56–71. </w:t>
      </w:r>
      <w:hyperlink r:id="rId2939" w:history="1">
        <w:r w:rsidRPr="004C4852">
          <w:rPr>
            <w:rFonts w:ascii="Times New Roman" w:eastAsia="Times New Roman" w:hAnsi="Times New Roman" w:cs="Times New Roman"/>
            <w:color w:val="0000FF"/>
            <w:sz w:val="24"/>
            <w:szCs w:val="24"/>
            <w:u w:val="single"/>
          </w:rPr>
          <w:t>https://doi.org/10.1111/j.1469-8986.2005.00262.x</w:t>
        </w:r>
      </w:hyperlink>
    </w:p>
    <w:p w14:paraId="0BB0EFC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Kiep, M., &amp; Spek, A. A. (2017). Executive functioning in men and women with an autism spectrum disorder. </w:t>
      </w:r>
      <w:r w:rsidRPr="004C4852">
        <w:rPr>
          <w:rFonts w:ascii="Times New Roman" w:eastAsia="Times New Roman" w:hAnsi="Times New Roman" w:cs="Times New Roman"/>
          <w:i/>
          <w:iCs/>
          <w:sz w:val="24"/>
          <w:szCs w:val="24"/>
        </w:rPr>
        <w:t>Autism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(5), 940–948. </w:t>
      </w:r>
      <w:hyperlink r:id="rId2940" w:history="1">
        <w:r w:rsidRPr="004C4852">
          <w:rPr>
            <w:rFonts w:ascii="Times New Roman" w:eastAsia="Times New Roman" w:hAnsi="Times New Roman" w:cs="Times New Roman"/>
            <w:color w:val="0000FF"/>
            <w:sz w:val="24"/>
            <w:szCs w:val="24"/>
            <w:u w:val="single"/>
          </w:rPr>
          <w:t>https://doi.org/10.1002/aur.1721</w:t>
        </w:r>
      </w:hyperlink>
    </w:p>
    <w:p w14:paraId="1DEC98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Kikuchi, H., Fujii, T., Abe, N., Suzuki, M., Takagi, M., Mugikura, S., Takahashi, S., &amp; Mori, E. (2010). Memory repression: Brain mechanisms underlying dissociative amnesia.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 xml:space="preserve">(3), 602–613. </w:t>
      </w:r>
      <w:hyperlink r:id="rId2941" w:history="1">
        <w:r w:rsidRPr="004C4852">
          <w:rPr>
            <w:rFonts w:ascii="Times New Roman" w:eastAsia="Times New Roman" w:hAnsi="Times New Roman" w:cs="Times New Roman"/>
            <w:color w:val="0000FF"/>
            <w:sz w:val="24"/>
            <w:szCs w:val="24"/>
            <w:u w:val="single"/>
          </w:rPr>
          <w:t>https://doi.org/10.1162/jocn.2009.21212</w:t>
        </w:r>
      </w:hyperlink>
    </w:p>
    <w:p w14:paraId="189FE78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Kilinçaslan, A., Mukaddes, N. M., Küçükyazici, G. S., &amp; Gürvit, H. (2010). Asperger bozukluğu olgulannda yürütücü işlevler ve dikkatin değerlendirilmesi. [Assessment of executive/attentional performance in Asperger’s disorder.].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(4), 289–299.</w:t>
      </w:r>
    </w:p>
    <w:p w14:paraId="498242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Killgore, W. D. S., Kahn-Greene, E. T., Grugle, N. L., Killgore, D. B., &amp; Balkin, T. J. (2009). Sustaining executive functions during sleep deprivation: A comparison of caffeine, dextroamphetamine, and modafinil. </w:t>
      </w:r>
      <w:r w:rsidRPr="004C4852">
        <w:rPr>
          <w:rFonts w:ascii="Times New Roman" w:eastAsia="Times New Roman" w:hAnsi="Times New Roman" w:cs="Times New Roman"/>
          <w:i/>
          <w:iCs/>
          <w:sz w:val="24"/>
          <w:szCs w:val="24"/>
        </w:rPr>
        <w:t>Sleep: Journal of Sleep and Sleep Disorders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(2), 205–216. </w:t>
      </w:r>
      <w:hyperlink r:id="rId2942" w:history="1">
        <w:r w:rsidRPr="004C4852">
          <w:rPr>
            <w:rFonts w:ascii="Times New Roman" w:eastAsia="Times New Roman" w:hAnsi="Times New Roman" w:cs="Times New Roman"/>
            <w:color w:val="0000FF"/>
            <w:sz w:val="24"/>
            <w:szCs w:val="24"/>
            <w:u w:val="single"/>
          </w:rPr>
          <w:t>https://doi.org/10.1093/sleep/32.2.205</w:t>
        </w:r>
      </w:hyperlink>
    </w:p>
    <w:p w14:paraId="252F60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Killgore, W. D. S., Killgore, D. B., Grugle, N. L., &amp; Balkin, T. J. (2010). Odor identification ability predicts executive function deficits following sleep deprivation. </w:t>
      </w:r>
      <w:r w:rsidRPr="004C4852">
        <w:rPr>
          <w:rFonts w:ascii="Times New Roman" w:eastAsia="Times New Roman" w:hAnsi="Times New Roman" w:cs="Times New Roman"/>
          <w:i/>
          <w:iCs/>
          <w:sz w:val="24"/>
          <w:szCs w:val="24"/>
        </w:rPr>
        <w:t>International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120</w:t>
      </w:r>
      <w:r w:rsidRPr="004C4852">
        <w:rPr>
          <w:rFonts w:ascii="Times New Roman" w:eastAsia="Times New Roman" w:hAnsi="Times New Roman" w:cs="Times New Roman"/>
          <w:sz w:val="24"/>
          <w:szCs w:val="24"/>
        </w:rPr>
        <w:t xml:space="preserve">(5), 328–334. </w:t>
      </w:r>
      <w:hyperlink r:id="rId2943" w:history="1">
        <w:r w:rsidRPr="004C4852">
          <w:rPr>
            <w:rFonts w:ascii="Times New Roman" w:eastAsia="Times New Roman" w:hAnsi="Times New Roman" w:cs="Times New Roman"/>
            <w:color w:val="0000FF"/>
            <w:sz w:val="24"/>
            <w:szCs w:val="24"/>
            <w:u w:val="single"/>
          </w:rPr>
          <w:t>https://doi.org/10.3109/00207450903389396</w:t>
        </w:r>
      </w:hyperlink>
    </w:p>
    <w:p w14:paraId="2593F6A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Kilpinen, R., Saunamäki, T., &amp; Jehkonen, M. (2014). Information processing speed in obstructive sleep apnea syndrome: A review. </w:t>
      </w:r>
      <w:r w:rsidRPr="004C4852">
        <w:rPr>
          <w:rFonts w:ascii="Times New Roman" w:eastAsia="Times New Roman" w:hAnsi="Times New Roman" w:cs="Times New Roman"/>
          <w:i/>
          <w:iCs/>
          <w:sz w:val="24"/>
          <w:szCs w:val="24"/>
        </w:rPr>
        <w:t>Acta Neurologica Scandinavica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129</w:t>
      </w:r>
      <w:r w:rsidRPr="004C4852">
        <w:rPr>
          <w:rFonts w:ascii="Times New Roman" w:eastAsia="Times New Roman" w:hAnsi="Times New Roman" w:cs="Times New Roman"/>
          <w:sz w:val="24"/>
          <w:szCs w:val="24"/>
        </w:rPr>
        <w:t xml:space="preserve">(4), 209–218. </w:t>
      </w:r>
      <w:hyperlink r:id="rId2944" w:history="1">
        <w:r w:rsidRPr="004C4852">
          <w:rPr>
            <w:rFonts w:ascii="Times New Roman" w:eastAsia="Times New Roman" w:hAnsi="Times New Roman" w:cs="Times New Roman"/>
            <w:color w:val="0000FF"/>
            <w:sz w:val="24"/>
            <w:szCs w:val="24"/>
            <w:u w:val="single"/>
          </w:rPr>
          <w:t>https://doi.org/10.1111/ane.12211</w:t>
        </w:r>
      </w:hyperlink>
    </w:p>
    <w:p w14:paraId="386ABE4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C.-H., Lee, S.-A., Yoo, H.-J., Kang, J.-K., &amp; Lee, J.-K. (2007). Executive Performance on the Wisconsin Card Sorting Test in Mesial Temporal Lobe Epilepsy. </w:t>
      </w:r>
      <w:r w:rsidRPr="004C4852">
        <w:rPr>
          <w:rFonts w:ascii="Times New Roman" w:eastAsia="Times New Roman" w:hAnsi="Times New Roman" w:cs="Times New Roman"/>
          <w:i/>
          <w:iCs/>
          <w:sz w:val="24"/>
          <w:szCs w:val="24"/>
        </w:rPr>
        <w:t>European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(1), 39–46. </w:t>
      </w:r>
      <w:hyperlink r:id="rId2945" w:history="1">
        <w:r w:rsidRPr="004C4852">
          <w:rPr>
            <w:rFonts w:ascii="Times New Roman" w:eastAsia="Times New Roman" w:hAnsi="Times New Roman" w:cs="Times New Roman"/>
            <w:color w:val="0000FF"/>
            <w:sz w:val="24"/>
            <w:szCs w:val="24"/>
            <w:u w:val="single"/>
          </w:rPr>
          <w:t>https://doi.org/10.1159/000097009</w:t>
        </w:r>
      </w:hyperlink>
    </w:p>
    <w:p w14:paraId="7211D66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D., Kim, J., Koo, T., Yun, H., &amp; Won, S. (2015). Shared and distinct neurocognitive endophenotypes of schizophrenia and psychotic bipolar disorder.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 94–102. </w:t>
      </w:r>
      <w:hyperlink r:id="rId2946" w:history="1">
        <w:r w:rsidRPr="004C4852">
          <w:rPr>
            <w:rFonts w:ascii="Times New Roman" w:eastAsia="Times New Roman" w:hAnsi="Times New Roman" w:cs="Times New Roman"/>
            <w:color w:val="0000FF"/>
            <w:sz w:val="24"/>
            <w:szCs w:val="24"/>
            <w:u w:val="single"/>
          </w:rPr>
          <w:t>https://doi.org/10.9758/cpn.2015.13.1.94</w:t>
        </w:r>
      </w:hyperlink>
    </w:p>
    <w:p w14:paraId="315ADA8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D., Seo, J.-H., Joo, E. Y., Lee, H. W., Shin, W. C., &amp; Hong, S. B. (2014). Cognitive and psychosocial effects of oxcarbazepine monotherapy in newly diagnosed partial epilepsy. </w:t>
      </w:r>
      <w:r w:rsidRPr="004C4852">
        <w:rPr>
          <w:rFonts w:ascii="Times New Roman" w:eastAsia="Times New Roman" w:hAnsi="Times New Roman" w:cs="Times New Roman"/>
          <w:i/>
          <w:iCs/>
          <w:sz w:val="24"/>
          <w:szCs w:val="24"/>
        </w:rPr>
        <w:t>Clinical Neuropharmacology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(4), 100–107. </w:t>
      </w:r>
      <w:hyperlink r:id="rId2947" w:history="1">
        <w:r w:rsidRPr="004C4852">
          <w:rPr>
            <w:rFonts w:ascii="Times New Roman" w:eastAsia="Times New Roman" w:hAnsi="Times New Roman" w:cs="Times New Roman"/>
            <w:color w:val="0000FF"/>
            <w:sz w:val="24"/>
            <w:szCs w:val="24"/>
            <w:u w:val="single"/>
          </w:rPr>
          <w:t>https://doi.org/10.1097/WNF.0000000000000038</w:t>
        </w:r>
      </w:hyperlink>
    </w:p>
    <w:p w14:paraId="057E2E0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E. S., Suleman, S., &amp; Hopper, T. (2020). Decision making by people with aphasia: A comparison of linguistic and nonlinguistic measures. </w:t>
      </w:r>
      <w:r w:rsidRPr="004C4852">
        <w:rPr>
          <w:rFonts w:ascii="Times New Roman" w:eastAsia="Times New Roman" w:hAnsi="Times New Roman" w:cs="Times New Roman"/>
          <w:i/>
          <w:iCs/>
          <w:sz w:val="24"/>
          <w:szCs w:val="24"/>
        </w:rPr>
        <w:t>Journal of Speech, Language, and Hearing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63</w:t>
      </w:r>
      <w:r w:rsidRPr="004C4852">
        <w:rPr>
          <w:rFonts w:ascii="Times New Roman" w:eastAsia="Times New Roman" w:hAnsi="Times New Roman" w:cs="Times New Roman"/>
          <w:sz w:val="24"/>
          <w:szCs w:val="24"/>
        </w:rPr>
        <w:t xml:space="preserve">(6), 1845–1860. </w:t>
      </w:r>
      <w:hyperlink r:id="rId2948" w:history="1">
        <w:r w:rsidRPr="004C4852">
          <w:rPr>
            <w:rFonts w:ascii="Times New Roman" w:eastAsia="Times New Roman" w:hAnsi="Times New Roman" w:cs="Times New Roman"/>
            <w:color w:val="0000FF"/>
            <w:sz w:val="24"/>
            <w:szCs w:val="24"/>
            <w:u w:val="single"/>
          </w:rPr>
          <w:t>https://doi.org/10.1044/2020_JSLHR-19-00182</w:t>
        </w:r>
      </w:hyperlink>
    </w:p>
    <w:p w14:paraId="54B7C8B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K., Park, H. Y., Seo, E., Bang, M., Song, Y. Y., Lee, S. Y., Kim, K. R., Park, J. Y., Kang, J. I., Lee, E., &amp; An, S. K. (2019). Factors associated with psychosocial functioning and outcome of individuals with recent-onset schizophrenia and at ultra-high risk for psychosis.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949" w:history="1">
        <w:r w:rsidRPr="004C4852">
          <w:rPr>
            <w:rFonts w:ascii="Times New Roman" w:eastAsia="Times New Roman" w:hAnsi="Times New Roman" w:cs="Times New Roman"/>
            <w:color w:val="0000FF"/>
            <w:sz w:val="24"/>
            <w:szCs w:val="24"/>
            <w:u w:val="single"/>
          </w:rPr>
          <w:t>https://doi.org/10.3389/fpsyt.2019.00459</w:t>
        </w:r>
      </w:hyperlink>
    </w:p>
    <w:p w14:paraId="299BBA9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S., Park, J. W., Bai, D. S., Jeong, J. Y., Hong, J. H., Son, S. M., &amp; Jang, S. H. (2011). Diffusion tensor imaging findings in neurologically asymptomatic patients with end stage renal disease. </w:t>
      </w:r>
      <w:r w:rsidRPr="004C4852">
        <w:rPr>
          <w:rFonts w:ascii="Times New Roman" w:eastAsia="Times New Roman" w:hAnsi="Times New Roman" w:cs="Times New Roman"/>
          <w:i/>
          <w:iCs/>
          <w:sz w:val="24"/>
          <w:szCs w:val="24"/>
        </w:rPr>
        <w:t>NeuroRehabilitation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(1), 111–116.</w:t>
      </w:r>
    </w:p>
    <w:p w14:paraId="56532AB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S., Shin, N. Y., Jang, J. H., Kim, E., Shim, G., Park, H. Y., Hong, K. S., &amp; Kwon, J. S. (2011). Social cognition and neurocognition as predictors of conversion to psychosis in individuals at ultra-high risk.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130</w:t>
      </w:r>
      <w:r w:rsidRPr="004C4852">
        <w:rPr>
          <w:rFonts w:ascii="Times New Roman" w:eastAsia="Times New Roman" w:hAnsi="Times New Roman" w:cs="Times New Roman"/>
          <w:sz w:val="24"/>
          <w:szCs w:val="24"/>
        </w:rPr>
        <w:t xml:space="preserve">(1–3), 170–175. </w:t>
      </w:r>
      <w:hyperlink r:id="rId2950" w:history="1">
        <w:r w:rsidRPr="004C4852">
          <w:rPr>
            <w:rFonts w:ascii="Times New Roman" w:eastAsia="Times New Roman" w:hAnsi="Times New Roman" w:cs="Times New Roman"/>
            <w:color w:val="0000FF"/>
            <w:sz w:val="24"/>
            <w:szCs w:val="24"/>
            <w:u w:val="single"/>
          </w:rPr>
          <w:t>https://doi.org/10.1016/j.schres.2011.04.023</w:t>
        </w:r>
      </w:hyperlink>
    </w:p>
    <w:p w14:paraId="4F99CC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 W., Kang, J. I., Namkoong, K., Jhung, K., Ha, R. Y., &amp; Kim, S. J. (2015). Further evidence of a dissociation between decision-making under ambiguity and decision-making under risk in obsessive–compulsive disorder.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176</w:t>
      </w:r>
      <w:r w:rsidRPr="004C4852">
        <w:rPr>
          <w:rFonts w:ascii="Times New Roman" w:eastAsia="Times New Roman" w:hAnsi="Times New Roman" w:cs="Times New Roman"/>
          <w:sz w:val="24"/>
          <w:szCs w:val="24"/>
        </w:rPr>
        <w:t xml:space="preserve">, 118–124. </w:t>
      </w:r>
      <w:hyperlink r:id="rId2951" w:history="1">
        <w:r w:rsidRPr="004C4852">
          <w:rPr>
            <w:rFonts w:ascii="Times New Roman" w:eastAsia="Times New Roman" w:hAnsi="Times New Roman" w:cs="Times New Roman"/>
            <w:color w:val="0000FF"/>
            <w:sz w:val="24"/>
            <w:szCs w:val="24"/>
            <w:u w:val="single"/>
          </w:rPr>
          <w:t>https://doi.org/10.1016/j.jad.2015.01.060</w:t>
        </w:r>
      </w:hyperlink>
    </w:p>
    <w:p w14:paraId="5A4EC74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H.-C., Tegethoff, M., Meinlschmidt, G., Stalujanis, E., Belardi, A., Jo, S., Lee, J., Kim, D.-Y., Yoo, S.-S., &amp; Lee, J.-H. (2019). Mediation analysis of triple networks revealed functional feature of mindfulness from real-time fMRI neurofeedback. </w:t>
      </w:r>
      <w:r w:rsidRPr="004C4852">
        <w:rPr>
          <w:rFonts w:ascii="Times New Roman" w:eastAsia="Times New Roman" w:hAnsi="Times New Roman" w:cs="Times New Roman"/>
          <w:i/>
          <w:iCs/>
          <w:sz w:val="24"/>
          <w:szCs w:val="24"/>
        </w:rPr>
        <w:t>NeuroImage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195</w:t>
      </w:r>
      <w:r w:rsidRPr="004C4852">
        <w:rPr>
          <w:rFonts w:ascii="Times New Roman" w:eastAsia="Times New Roman" w:hAnsi="Times New Roman" w:cs="Times New Roman"/>
          <w:sz w:val="24"/>
          <w:szCs w:val="24"/>
        </w:rPr>
        <w:t xml:space="preserve">, 409–432. </w:t>
      </w:r>
      <w:hyperlink r:id="rId2952" w:history="1">
        <w:r w:rsidRPr="004C4852">
          <w:rPr>
            <w:rFonts w:ascii="Times New Roman" w:eastAsia="Times New Roman" w:hAnsi="Times New Roman" w:cs="Times New Roman"/>
            <w:color w:val="0000FF"/>
            <w:sz w:val="24"/>
            <w:szCs w:val="24"/>
            <w:u w:val="single"/>
          </w:rPr>
          <w:t>https://doi.org/10.1016/j.neuroimage.2019.03.066</w:t>
        </w:r>
      </w:hyperlink>
    </w:p>
    <w:p w14:paraId="1B40610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J., Whyte, J., Hart, T., Vaccaro, M., Polansky, M., &amp; Coslett, H. B. (2005). Executive function as a predictor of inattentive behavior after traumatic brain injury.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(4), 434–445.</w:t>
      </w:r>
    </w:p>
    <w:p w14:paraId="0FD7797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 Lee, T. H., Kim, J.-H., Hong, H., Lee, T. Y., Lee, Y., Salisbury, D. F., &amp; Kwon, J. S. (2018). Decomposing P300 into correlates of genetic risk and current symptoms in schizophrenia: An inter-trial variability analysis.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192</w:t>
      </w:r>
      <w:r w:rsidRPr="004C4852">
        <w:rPr>
          <w:rFonts w:ascii="Times New Roman" w:eastAsia="Times New Roman" w:hAnsi="Times New Roman" w:cs="Times New Roman"/>
          <w:sz w:val="24"/>
          <w:szCs w:val="24"/>
        </w:rPr>
        <w:t xml:space="preserve">, 232–239. </w:t>
      </w:r>
      <w:hyperlink r:id="rId2953" w:history="1">
        <w:r w:rsidRPr="004C4852">
          <w:rPr>
            <w:rFonts w:ascii="Times New Roman" w:eastAsia="Times New Roman" w:hAnsi="Times New Roman" w:cs="Times New Roman"/>
            <w:color w:val="0000FF"/>
            <w:sz w:val="24"/>
            <w:szCs w:val="24"/>
            <w:u w:val="single"/>
          </w:rPr>
          <w:t>https://doi.org/10.1016/j.schres.2017.04.001</w:t>
        </w:r>
      </w:hyperlink>
    </w:p>
    <w:p w14:paraId="585C03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Jang, K.-M., &amp; Kim, B.-N. (2009). The neuropsychological profile of a subclinical obsessive-compulsive sample.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(2), 286–290. </w:t>
      </w:r>
      <w:hyperlink r:id="rId2954" w:history="1">
        <w:r w:rsidRPr="004C4852">
          <w:rPr>
            <w:rFonts w:ascii="Times New Roman" w:eastAsia="Times New Roman" w:hAnsi="Times New Roman" w:cs="Times New Roman"/>
            <w:color w:val="0000FF"/>
            <w:sz w:val="24"/>
            <w:szCs w:val="24"/>
            <w:u w:val="single"/>
          </w:rPr>
          <w:t>https://doi.org/10.1017/S1355617709090213</w:t>
        </w:r>
      </w:hyperlink>
    </w:p>
    <w:p w14:paraId="5D05F3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Kang, S. S., Shin, K. S., Yoo, S. Y., Kim, Y. Y., &amp; Kwon, J. S. (2006). Neuropsychological correlates of error negativity and positivity in schizophrenia patients.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(3), 303–311. </w:t>
      </w:r>
      <w:hyperlink r:id="rId2955" w:history="1">
        <w:r w:rsidRPr="004C4852">
          <w:rPr>
            <w:rFonts w:ascii="Times New Roman" w:eastAsia="Times New Roman" w:hAnsi="Times New Roman" w:cs="Times New Roman"/>
            <w:color w:val="0000FF"/>
            <w:sz w:val="24"/>
            <w:szCs w:val="24"/>
            <w:u w:val="single"/>
          </w:rPr>
          <w:t>https://doi.org/10.1111/j.1440-1819.2006.01506.x</w:t>
        </w:r>
      </w:hyperlink>
    </w:p>
    <w:p w14:paraId="484F75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Kim, J.-J., &amp; Kwon, J. S. (2001). Frontal P300 decrement and executive dysfunction in adolescents with conduct problems. </w:t>
      </w:r>
      <w:r w:rsidRPr="004C4852">
        <w:rPr>
          <w:rFonts w:ascii="Times New Roman" w:eastAsia="Times New Roman" w:hAnsi="Times New Roman" w:cs="Times New Roman"/>
          <w:i/>
          <w:iCs/>
          <w:sz w:val="24"/>
          <w:szCs w:val="24"/>
        </w:rPr>
        <w:t>Child Psychiatry and Human Development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(2), 93–106. </w:t>
      </w:r>
      <w:hyperlink r:id="rId2956" w:history="1">
        <w:r w:rsidRPr="004C4852">
          <w:rPr>
            <w:rFonts w:ascii="Times New Roman" w:eastAsia="Times New Roman" w:hAnsi="Times New Roman" w:cs="Times New Roman"/>
            <w:color w:val="0000FF"/>
            <w:sz w:val="24"/>
            <w:szCs w:val="24"/>
            <w:u w:val="single"/>
          </w:rPr>
          <w:t>https://doi.org/10.1023/A:1012299822274</w:t>
        </w:r>
      </w:hyperlink>
    </w:p>
    <w:p w14:paraId="2B5B42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M.-S., Oh, S. H., Hong, M.-H., &amp; Choi, D. B. (2011). Neuropsychologic profile of college students with schizotypal traits.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(5), 511–516. </w:t>
      </w:r>
      <w:hyperlink r:id="rId2957" w:history="1">
        <w:r w:rsidRPr="004C4852">
          <w:rPr>
            <w:rFonts w:ascii="Times New Roman" w:eastAsia="Times New Roman" w:hAnsi="Times New Roman" w:cs="Times New Roman"/>
            <w:color w:val="0000FF"/>
            <w:sz w:val="24"/>
            <w:szCs w:val="24"/>
            <w:u w:val="single"/>
          </w:rPr>
          <w:t>https://doi.org/10.1016/j.comppsych.2010.10.010</w:t>
        </w:r>
      </w:hyperlink>
    </w:p>
    <w:p w14:paraId="6719FA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Lee, Y. J., Jang, J. H., Lim, W., Cho, I. H., &amp; Cho, S.-J. (2012). The relationship between psychotic-like experiences and attention deficits in adolescents.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(10), 1354–1358. </w:t>
      </w:r>
      <w:hyperlink r:id="rId2958" w:history="1">
        <w:r w:rsidRPr="004C4852">
          <w:rPr>
            <w:rFonts w:ascii="Times New Roman" w:eastAsia="Times New Roman" w:hAnsi="Times New Roman" w:cs="Times New Roman"/>
            <w:color w:val="0000FF"/>
            <w:sz w:val="24"/>
            <w:szCs w:val="24"/>
            <w:u w:val="single"/>
          </w:rPr>
          <w:t>https://doi.org/10.1016/j.jpsychires.2012.07.002</w:t>
        </w:r>
      </w:hyperlink>
    </w:p>
    <w:p w14:paraId="6AA18E4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Lyoo, I. K., Hwang, J., Chung, A., Sung, Y. H., Kim, J., Kwon, D.-H., Chang, K. H., &amp; Renshaw, P. F. (2006). Prefrontal grey-matter changes in short-term and long-term abstinent methamphetamine abusers. </w:t>
      </w:r>
      <w:r w:rsidRPr="004C4852">
        <w:rPr>
          <w:rFonts w:ascii="Times New Roman" w:eastAsia="Times New Roman" w:hAnsi="Times New Roman" w:cs="Times New Roman"/>
          <w:i/>
          <w:iCs/>
          <w:sz w:val="24"/>
          <w:szCs w:val="24"/>
        </w:rPr>
        <w:t>International Journal of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(2), 221–228. </w:t>
      </w:r>
      <w:hyperlink r:id="rId2959" w:history="1">
        <w:r w:rsidRPr="004C4852">
          <w:rPr>
            <w:rFonts w:ascii="Times New Roman" w:eastAsia="Times New Roman" w:hAnsi="Times New Roman" w:cs="Times New Roman"/>
            <w:color w:val="0000FF"/>
            <w:sz w:val="24"/>
            <w:szCs w:val="24"/>
            <w:u w:val="single"/>
          </w:rPr>
          <w:t>https://doi.org/10.1017/S1461145705005699</w:t>
        </w:r>
      </w:hyperlink>
    </w:p>
    <w:p w14:paraId="52DC731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Lyoo, I. K., Hwang, J., Sung, Y. H., Lee, H. Y., Lee, D. S., Jeong, D.-U., &amp; Renshaw, P. F. (2005). Frontal Glucose Hypometabolism in Abstinent Methamphetamine Users.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30</w:t>
      </w:r>
      <w:r w:rsidRPr="004C4852">
        <w:rPr>
          <w:rFonts w:ascii="Times New Roman" w:eastAsia="Times New Roman" w:hAnsi="Times New Roman" w:cs="Times New Roman"/>
          <w:sz w:val="24"/>
          <w:szCs w:val="24"/>
        </w:rPr>
        <w:t>(7), 1383–1391.</w:t>
      </w:r>
    </w:p>
    <w:p w14:paraId="6E381AC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 J., &amp; Yoo, G. E. (2020). Rhythm-motor dual task intervention for fall prevention in healthy older adults. </w:t>
      </w:r>
      <w:r w:rsidRPr="004C4852">
        <w:rPr>
          <w:rFonts w:ascii="Times New Roman" w:eastAsia="Times New Roman" w:hAnsi="Times New Roman" w:cs="Times New Roman"/>
          <w:i/>
          <w:iCs/>
          <w:sz w:val="24"/>
          <w:szCs w:val="24"/>
        </w:rPr>
        <w:t>Frontiers in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 </w:t>
      </w:r>
      <w:hyperlink r:id="rId2960" w:history="1">
        <w:r w:rsidRPr="004C4852">
          <w:rPr>
            <w:rFonts w:ascii="Times New Roman" w:eastAsia="Times New Roman" w:hAnsi="Times New Roman" w:cs="Times New Roman"/>
            <w:color w:val="0000FF"/>
            <w:sz w:val="24"/>
            <w:szCs w:val="24"/>
            <w:u w:val="single"/>
          </w:rPr>
          <w:t>https://doi.org/10.3389/fpsyg.2019.03027</w:t>
        </w:r>
      </w:hyperlink>
    </w:p>
    <w:p w14:paraId="796789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S.-J., Kim, J.-M., Shim, J.-C., Seo, B.-J., Jung, S.-S., Ryu, J.-W., Seo, Y.-S., Lee, Y.-C., Moon, J.-J., Jeon, D.-W., Park, K.-D., &amp; Jung, D.-U. (2017). The Korean version of the University of California San Diego performance-based skills assessment: Reliability and validity.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(3), 261–268. </w:t>
      </w:r>
      <w:hyperlink r:id="rId2961" w:history="1">
        <w:r w:rsidRPr="004C4852">
          <w:rPr>
            <w:rFonts w:ascii="Times New Roman" w:eastAsia="Times New Roman" w:hAnsi="Times New Roman" w:cs="Times New Roman"/>
            <w:color w:val="0000FF"/>
            <w:sz w:val="24"/>
            <w:szCs w:val="24"/>
            <w:u w:val="single"/>
          </w:rPr>
          <w:t>https://doi.org/10.9758/cpn.2017.15.3.261</w:t>
        </w:r>
      </w:hyperlink>
    </w:p>
    <w:p w14:paraId="141D50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S.-J., Shim, J.-C., Kong, B.-G., Kang, J.-W., Moon, J.-J., Jeon, D.-W., Jung, S.-S., Seo, B.-J., &amp; Jung, D.-U. (2015). The relationship between language ability and cognitive function in patients with schizophrenia.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(3), 288–295. </w:t>
      </w:r>
      <w:hyperlink r:id="rId2962" w:history="1">
        <w:r w:rsidRPr="004C4852">
          <w:rPr>
            <w:rFonts w:ascii="Times New Roman" w:eastAsia="Times New Roman" w:hAnsi="Times New Roman" w:cs="Times New Roman"/>
            <w:color w:val="0000FF"/>
            <w:sz w:val="24"/>
            <w:szCs w:val="24"/>
            <w:u w:val="single"/>
          </w:rPr>
          <w:t>https://doi.org/10.9758/cpn.2015.13.3.288</w:t>
        </w:r>
      </w:hyperlink>
    </w:p>
    <w:p w14:paraId="4399300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Jeong, B.-O., Kim, J.-M., Shin, I.-S., Hwang, M. Y., Amminger, G. P., Nelson, B., Berk, M., McGorry, P., &amp; Yoon, J.-S. (2015). Associations of obsessive–compulsive symptoms with clinical and neurocognitive features in schizophrenia according to stage of illness.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226</w:t>
      </w:r>
      <w:r w:rsidRPr="004C4852">
        <w:rPr>
          <w:rFonts w:ascii="Times New Roman" w:eastAsia="Times New Roman" w:hAnsi="Times New Roman" w:cs="Times New Roman"/>
          <w:sz w:val="24"/>
          <w:szCs w:val="24"/>
        </w:rPr>
        <w:t xml:space="preserve">(1), 368–375. </w:t>
      </w:r>
      <w:hyperlink r:id="rId2963" w:history="1">
        <w:r w:rsidRPr="004C4852">
          <w:rPr>
            <w:rFonts w:ascii="Times New Roman" w:eastAsia="Times New Roman" w:hAnsi="Times New Roman" w:cs="Times New Roman"/>
            <w:color w:val="0000FF"/>
            <w:sz w:val="24"/>
            <w:szCs w:val="24"/>
            <w:u w:val="single"/>
          </w:rPr>
          <w:t>https://doi.org/10.1016/j.psychres.2015.01.021</w:t>
        </w:r>
      </w:hyperlink>
    </w:p>
    <w:p w14:paraId="66D35A8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Lee, J.-Y., Kang, H.-J., Kim, S.-Y., Bae, K.-Y., Kim, J.-M., Shin II, S., &amp; Yoon, J.-S. (2016). Gender-specific associations of the brain-derived neurotrophic factor Val66Met polymorphism with neurocognitive and clinical features in schizophrenia. </w:t>
      </w:r>
      <w:r w:rsidRPr="004C4852">
        <w:rPr>
          <w:rFonts w:ascii="Times New Roman" w:eastAsia="Times New Roman" w:hAnsi="Times New Roman" w:cs="Times New Roman"/>
          <w:i/>
          <w:iCs/>
          <w:sz w:val="24"/>
          <w:szCs w:val="24"/>
        </w:rPr>
        <w:t>Clinical Psychopharmacology and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w:t>
      </w:r>
      <w:r w:rsidRPr="004C4852">
        <w:rPr>
          <w:rFonts w:ascii="Times New Roman" w:eastAsia="Times New Roman" w:hAnsi="Times New Roman" w:cs="Times New Roman"/>
          <w:sz w:val="24"/>
          <w:szCs w:val="24"/>
        </w:rPr>
        <w:t xml:space="preserve">(3), 270–278. </w:t>
      </w:r>
      <w:hyperlink r:id="rId2964" w:history="1">
        <w:r w:rsidRPr="004C4852">
          <w:rPr>
            <w:rFonts w:ascii="Times New Roman" w:eastAsia="Times New Roman" w:hAnsi="Times New Roman" w:cs="Times New Roman"/>
            <w:color w:val="0000FF"/>
            <w:sz w:val="24"/>
            <w:szCs w:val="24"/>
            <w:u w:val="single"/>
          </w:rPr>
          <w:t>https://doi.org/10.9758/cpn.2016.14.3.270</w:t>
        </w:r>
      </w:hyperlink>
    </w:p>
    <w:p w14:paraId="554591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Shin, I.-S., Kim, J.-M., Lee, J.-H., Lee, Y.-H., Yang, S.-J., &amp; Yoon, J.-S. (2009a). Effectiveness of switching to aripiprazole from atypical antipsychotics in patients with schizophrenia. </w:t>
      </w:r>
      <w:r w:rsidRPr="004C4852">
        <w:rPr>
          <w:rFonts w:ascii="Times New Roman" w:eastAsia="Times New Roman" w:hAnsi="Times New Roman" w:cs="Times New Roman"/>
          <w:i/>
          <w:iCs/>
          <w:sz w:val="24"/>
          <w:szCs w:val="24"/>
        </w:rPr>
        <w:t>Clinical Neuropharmacology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(5), 243–249. </w:t>
      </w:r>
      <w:hyperlink r:id="rId2965" w:history="1">
        <w:r w:rsidRPr="004C4852">
          <w:rPr>
            <w:rFonts w:ascii="Times New Roman" w:eastAsia="Times New Roman" w:hAnsi="Times New Roman" w:cs="Times New Roman"/>
            <w:color w:val="0000FF"/>
            <w:sz w:val="24"/>
            <w:szCs w:val="24"/>
            <w:u w:val="single"/>
          </w:rPr>
          <w:t>https://doi.org/10.1097/WNF.0b013e31819a68b5</w:t>
        </w:r>
      </w:hyperlink>
    </w:p>
    <w:p w14:paraId="68FC7F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S.-W., Shin, I.-S., Kim, J.-M., Lee, S.-H., Lee, Y.-H., Yang, S.-J., &amp; Yoon, J.-S. (2009b). Effects of switching to long-acting injectable risperidone from oral atypical antipsychotics on cognitive function in patients with schizophrenia. </w:t>
      </w:r>
      <w:r w:rsidRPr="004C4852">
        <w:rPr>
          <w:rFonts w:ascii="Times New Roman" w:eastAsia="Times New Roman" w:hAnsi="Times New Roman" w:cs="Times New Roman"/>
          <w:i/>
          <w:iCs/>
          <w:sz w:val="24"/>
          <w:szCs w:val="24"/>
        </w:rPr>
        <w:t>Human Psychopharmacology: Clinical and Experimental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(7), 565–573. </w:t>
      </w:r>
      <w:hyperlink r:id="rId2966" w:history="1">
        <w:r w:rsidRPr="004C4852">
          <w:rPr>
            <w:rFonts w:ascii="Times New Roman" w:eastAsia="Times New Roman" w:hAnsi="Times New Roman" w:cs="Times New Roman"/>
            <w:color w:val="0000FF"/>
            <w:sz w:val="24"/>
            <w:szCs w:val="24"/>
            <w:u w:val="single"/>
          </w:rPr>
          <w:t>https://doi.org/10.1002/hup.1057</w:t>
        </w:r>
      </w:hyperlink>
    </w:p>
    <w:p w14:paraId="39AC82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T. H., Huh, Y., Choe, J. Y., Jeong, J. W., Park, J. H., Lee, S. B., Lee, J. J., Jhoo, J. H., Lee, D. Y., Woo, J. I., &amp; Kim, K. W. (2010). Korean version of Frontal Assessment Battery: Psychometric properties and normative data.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(4), 363–370. </w:t>
      </w:r>
      <w:hyperlink r:id="rId2967" w:history="1">
        <w:r w:rsidRPr="004C4852">
          <w:rPr>
            <w:rFonts w:ascii="Times New Roman" w:eastAsia="Times New Roman" w:hAnsi="Times New Roman" w:cs="Times New Roman"/>
            <w:color w:val="0000FF"/>
            <w:sz w:val="24"/>
            <w:szCs w:val="24"/>
            <w:u w:val="single"/>
          </w:rPr>
          <w:t>https://doi.org/10.1159/000297523</w:t>
        </w:r>
      </w:hyperlink>
    </w:p>
    <w:p w14:paraId="2A04B3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T., Lee, K.-H., Oh, H., Lee, T. Y., Cho, K. I. K., Lee, J., &amp; Kwon, J. S. (2018). Cerebellar structural abnormalities associated with cognitive function in patients with first-episode psychosis. </w:t>
      </w:r>
      <w:r w:rsidRPr="004C4852">
        <w:rPr>
          <w:rFonts w:ascii="Times New Roman" w:eastAsia="Times New Roman" w:hAnsi="Times New Roman" w:cs="Times New Roman"/>
          <w:i/>
          <w:iCs/>
          <w:sz w:val="24"/>
          <w:szCs w:val="24"/>
        </w:rPr>
        <w:t>Frontiers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 </w:t>
      </w:r>
      <w:hyperlink r:id="rId2968" w:history="1">
        <w:r w:rsidRPr="004C4852">
          <w:rPr>
            <w:rFonts w:ascii="Times New Roman" w:eastAsia="Times New Roman" w:hAnsi="Times New Roman" w:cs="Times New Roman"/>
            <w:color w:val="0000FF"/>
            <w:sz w:val="24"/>
            <w:szCs w:val="24"/>
            <w:u w:val="single"/>
          </w:rPr>
          <w:t>https://doi.org/10.3389/fpsyt.2018.00286</w:t>
        </w:r>
      </w:hyperlink>
    </w:p>
    <w:p w14:paraId="11677D3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W. J., Ku, N. S., Lee, Y.-J., Ahn, J. Y., Kim, S. B., Ahn, H.-W., Hong, K.-W., Song, J. Y., Cheong, H. J., Kim, W. J., Kim, J. M., Namkoong, K., Choi, J. Y., &amp; Kim, E. (2016). Utility of the Montreal Cognitive Assessment (MoCA) and its subset in HIV-associated neurocognitive disorder (HAND) screening. </w:t>
      </w:r>
      <w:r w:rsidRPr="004C4852">
        <w:rPr>
          <w:rFonts w:ascii="Times New Roman" w:eastAsia="Times New Roman" w:hAnsi="Times New Roman" w:cs="Times New Roman"/>
          <w:i/>
          <w:iCs/>
          <w:sz w:val="24"/>
          <w:szCs w:val="24"/>
        </w:rPr>
        <w:t>Journal of Psychosomatic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80</w:t>
      </w:r>
      <w:r w:rsidRPr="004C4852">
        <w:rPr>
          <w:rFonts w:ascii="Times New Roman" w:eastAsia="Times New Roman" w:hAnsi="Times New Roman" w:cs="Times New Roman"/>
          <w:sz w:val="24"/>
          <w:szCs w:val="24"/>
        </w:rPr>
        <w:t xml:space="preserve">, 53–57. </w:t>
      </w:r>
      <w:hyperlink r:id="rId2969" w:history="1">
        <w:r w:rsidRPr="004C4852">
          <w:rPr>
            <w:rFonts w:ascii="Times New Roman" w:eastAsia="Times New Roman" w:hAnsi="Times New Roman" w:cs="Times New Roman"/>
            <w:color w:val="0000FF"/>
            <w:sz w:val="24"/>
            <w:szCs w:val="24"/>
            <w:u w:val="single"/>
          </w:rPr>
          <w:t>https://doi.org/10.1016/j.jpsychores.2015.11.006</w:t>
        </w:r>
      </w:hyperlink>
    </w:p>
    <w:p w14:paraId="4A3A50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 Park, G., Lee, M., &amp; Lee, J.-H. (2009). Impairment of driving ability and neuropsychological function in patients with MHE disease. </w:t>
      </w:r>
      <w:r w:rsidRPr="004C4852">
        <w:rPr>
          <w:rFonts w:ascii="Times New Roman" w:eastAsia="Times New Roman" w:hAnsi="Times New Roman" w:cs="Times New Roman"/>
          <w:i/>
          <w:iCs/>
          <w:sz w:val="24"/>
          <w:szCs w:val="24"/>
        </w:rPr>
        <w:t>CyberPsychology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(4), 433–436. </w:t>
      </w:r>
      <w:hyperlink r:id="rId2970" w:history="1">
        <w:r w:rsidRPr="004C4852">
          <w:rPr>
            <w:rFonts w:ascii="Times New Roman" w:eastAsia="Times New Roman" w:hAnsi="Times New Roman" w:cs="Times New Roman"/>
            <w:color w:val="0000FF"/>
            <w:sz w:val="24"/>
            <w:szCs w:val="24"/>
            <w:u w:val="single"/>
          </w:rPr>
          <w:t>https://doi.org/10.1089/cpb.2008.0242</w:t>
        </w:r>
      </w:hyperlink>
    </w:p>
    <w:p w14:paraId="3A3636E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 Y., &amp; Jung, Y. S. (2014). Reduced frontal activity during response inhibition in individuals with psychopathic traits: An sLORETA study. </w:t>
      </w:r>
      <w:r w:rsidRPr="004C4852">
        <w:rPr>
          <w:rFonts w:ascii="Times New Roman" w:eastAsia="Times New Roman" w:hAnsi="Times New Roman" w:cs="Times New Roman"/>
          <w:i/>
          <w:iCs/>
          <w:sz w:val="24"/>
          <w:szCs w:val="24"/>
        </w:rPr>
        <w:t>Biological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97</w:t>
      </w:r>
      <w:r w:rsidRPr="004C4852">
        <w:rPr>
          <w:rFonts w:ascii="Times New Roman" w:eastAsia="Times New Roman" w:hAnsi="Times New Roman" w:cs="Times New Roman"/>
          <w:sz w:val="24"/>
          <w:szCs w:val="24"/>
        </w:rPr>
        <w:t xml:space="preserve">, 49–59. </w:t>
      </w:r>
      <w:hyperlink r:id="rId2971" w:history="1">
        <w:r w:rsidRPr="004C4852">
          <w:rPr>
            <w:rFonts w:ascii="Times New Roman" w:eastAsia="Times New Roman" w:hAnsi="Times New Roman" w:cs="Times New Roman"/>
            <w:color w:val="0000FF"/>
            <w:sz w:val="24"/>
            <w:szCs w:val="24"/>
            <w:u w:val="single"/>
          </w:rPr>
          <w:t>https://doi.org/10.1016/j.biopsycho.2014.02.004</w:t>
        </w:r>
      </w:hyperlink>
    </w:p>
    <w:p w14:paraId="4CE4C9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&amp; Kang, B.-J. (2004). A preliminary study of the comparative effects of olanzapine and risperidone on cognition in schizophrenia. </w:t>
      </w:r>
      <w:r w:rsidRPr="004C4852">
        <w:rPr>
          <w:rFonts w:ascii="Times New Roman" w:eastAsia="Times New Roman" w:hAnsi="Times New Roman" w:cs="Times New Roman"/>
          <w:i/>
          <w:iCs/>
          <w:sz w:val="24"/>
          <w:szCs w:val="24"/>
        </w:rPr>
        <w:t>Human Psychopharmacology: Clinical and Experimental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(4), 265–269. </w:t>
      </w:r>
      <w:hyperlink r:id="rId2972" w:history="1">
        <w:r w:rsidRPr="004C4852">
          <w:rPr>
            <w:rFonts w:ascii="Times New Roman" w:eastAsia="Times New Roman" w:hAnsi="Times New Roman" w:cs="Times New Roman"/>
            <w:color w:val="0000FF"/>
            <w:sz w:val="24"/>
            <w:szCs w:val="24"/>
            <w:u w:val="single"/>
          </w:rPr>
          <w:t>https://doi.org/10.1002/hup.584</w:t>
        </w:r>
      </w:hyperlink>
    </w:p>
    <w:p w14:paraId="001528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Kwon, D.-H., &amp; Chang, Y. (2011). Impairments of facial emotion recognition and theory of mind in methamphetamine abusers.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186</w:t>
      </w:r>
      <w:r w:rsidRPr="004C4852">
        <w:rPr>
          <w:rFonts w:ascii="Times New Roman" w:eastAsia="Times New Roman" w:hAnsi="Times New Roman" w:cs="Times New Roman"/>
          <w:sz w:val="24"/>
          <w:szCs w:val="24"/>
        </w:rPr>
        <w:t xml:space="preserve">(1), 80–84. </w:t>
      </w:r>
      <w:hyperlink r:id="rId2973" w:history="1">
        <w:r w:rsidRPr="004C4852">
          <w:rPr>
            <w:rFonts w:ascii="Times New Roman" w:eastAsia="Times New Roman" w:hAnsi="Times New Roman" w:cs="Times New Roman"/>
            <w:color w:val="0000FF"/>
            <w:sz w:val="24"/>
            <w:szCs w:val="24"/>
            <w:u w:val="single"/>
          </w:rPr>
          <w:t>https://doi.org/10.1016/j.psychres.2010.06.027</w:t>
        </w:r>
      </w:hyperlink>
    </w:p>
    <w:p w14:paraId="46C631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Lee, S.-W., Kwon, D.-H., Seo, J.-H., Ahn, B.-C., &amp; Lee, J. (2009). Dose-dependent frontal hypometabolism on FDG-PET in methamphetamine abusers.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(14), 166–1170. </w:t>
      </w:r>
      <w:hyperlink r:id="rId2974" w:history="1">
        <w:r w:rsidRPr="004C4852">
          <w:rPr>
            <w:rFonts w:ascii="Times New Roman" w:eastAsia="Times New Roman" w:hAnsi="Times New Roman" w:cs="Times New Roman"/>
            <w:color w:val="0000FF"/>
            <w:sz w:val="24"/>
            <w:szCs w:val="24"/>
            <w:u w:val="single"/>
          </w:rPr>
          <w:t>https://doi.org/10.1016/j.jpsychires.2009.03.011</w:t>
        </w:r>
      </w:hyperlink>
    </w:p>
    <w:p w14:paraId="3C619A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 Y.-T., Sohn, H., &amp; Jeong, J. (2011). Delayed transition from ambiguous to risky decision making in alcohol dependence during Iowa Gambling Task.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190</w:t>
      </w:r>
      <w:r w:rsidRPr="004C4852">
        <w:rPr>
          <w:rFonts w:ascii="Times New Roman" w:eastAsia="Times New Roman" w:hAnsi="Times New Roman" w:cs="Times New Roman"/>
          <w:sz w:val="24"/>
          <w:szCs w:val="24"/>
        </w:rPr>
        <w:t xml:space="preserve">(2–3), 297–303. </w:t>
      </w:r>
      <w:hyperlink r:id="rId2975" w:history="1">
        <w:r w:rsidRPr="004C4852">
          <w:rPr>
            <w:rFonts w:ascii="Times New Roman" w:eastAsia="Times New Roman" w:hAnsi="Times New Roman" w:cs="Times New Roman"/>
            <w:color w:val="0000FF"/>
            <w:sz w:val="24"/>
            <w:szCs w:val="24"/>
            <w:u w:val="single"/>
          </w:rPr>
          <w:t>https://doi.org/10.1016/j.psychres.2011.05.003</w:t>
        </w:r>
      </w:hyperlink>
    </w:p>
    <w:p w14:paraId="0764977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Kimberg, D. Y., &amp; Farah, M. J. (1993). A unified account of cognitive impairments following frontal lobe damage: The role of working memory in complex, organized behavior. </w:t>
      </w:r>
      <w:r w:rsidRPr="004C4852">
        <w:rPr>
          <w:rFonts w:ascii="Times New Roman" w:eastAsia="Times New Roman" w:hAnsi="Times New Roman" w:cs="Times New Roman"/>
          <w:i/>
          <w:iCs/>
          <w:sz w:val="24"/>
          <w:szCs w:val="24"/>
        </w:rPr>
        <w:t>Journal of Experimental Psychology: General</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122</w:t>
      </w:r>
      <w:r w:rsidRPr="004C4852">
        <w:rPr>
          <w:rFonts w:ascii="Times New Roman" w:eastAsia="Times New Roman" w:hAnsi="Times New Roman" w:cs="Times New Roman"/>
          <w:sz w:val="24"/>
          <w:szCs w:val="24"/>
        </w:rPr>
        <w:t xml:space="preserve">(4), 411–428. </w:t>
      </w:r>
      <w:hyperlink r:id="rId2976" w:history="1">
        <w:r w:rsidRPr="004C4852">
          <w:rPr>
            <w:rFonts w:ascii="Times New Roman" w:eastAsia="Times New Roman" w:hAnsi="Times New Roman" w:cs="Times New Roman"/>
            <w:color w:val="0000FF"/>
            <w:sz w:val="24"/>
            <w:szCs w:val="24"/>
            <w:u w:val="single"/>
          </w:rPr>
          <w:t>https://doi.org/10.1037/0096-3445.122.4.411</w:t>
        </w:r>
      </w:hyperlink>
    </w:p>
    <w:p w14:paraId="3912EE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Kim-Spoon, J., Deater-Deckard, K., Calkins, S. D., King-Casas, B., &amp; Bell, M. A. (2019). Commonality between executive functioning and effortful control related to adjustment. </w:t>
      </w:r>
      <w:r w:rsidRPr="004C4852">
        <w:rPr>
          <w:rFonts w:ascii="Times New Roman" w:eastAsia="Times New Roman" w:hAnsi="Times New Roman" w:cs="Times New Roman"/>
          <w:i/>
          <w:iCs/>
          <w:sz w:val="24"/>
          <w:szCs w:val="24"/>
        </w:rPr>
        <w:t>Journal of Applied Developmental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 47–55. </w:t>
      </w:r>
      <w:hyperlink r:id="rId2977" w:history="1">
        <w:r w:rsidRPr="004C4852">
          <w:rPr>
            <w:rFonts w:ascii="Times New Roman" w:eastAsia="Times New Roman" w:hAnsi="Times New Roman" w:cs="Times New Roman"/>
            <w:color w:val="0000FF"/>
            <w:sz w:val="24"/>
            <w:szCs w:val="24"/>
            <w:u w:val="single"/>
          </w:rPr>
          <w:t>https://doi.org/10.1016/j.appdev.2018.10.004</w:t>
        </w:r>
      </w:hyperlink>
    </w:p>
    <w:p w14:paraId="2649B33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Kimura, T., Shono, M., Yokota, S., Ishizuka, K., Watanabe, M., Takamatsu, J., &amp; Miyakawa, T. (2000). Apolipoprotein E ε4 and tardive dyskinesia in a Japanese population.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(4–5), 329–332. </w:t>
      </w:r>
      <w:hyperlink r:id="rId2978" w:history="1">
        <w:r w:rsidRPr="004C4852">
          <w:rPr>
            <w:rFonts w:ascii="Times New Roman" w:eastAsia="Times New Roman" w:hAnsi="Times New Roman" w:cs="Times New Roman"/>
            <w:color w:val="0000FF"/>
            <w:sz w:val="24"/>
            <w:szCs w:val="24"/>
            <w:u w:val="single"/>
          </w:rPr>
          <w:t>https://doi.org/10.1016/S0022-3956(00)00023-6</w:t>
        </w:r>
      </w:hyperlink>
    </w:p>
    <w:p w14:paraId="746CE2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Kindermann, S. S., Kalayam, B., Brown, G. G., Burdick, K. E., &amp; Alexopoulos, G. S. (2000). Executive functions and P300 latency in elderly depressed patients and control subjects. </w:t>
      </w:r>
      <w:r w:rsidRPr="004C4852">
        <w:rPr>
          <w:rFonts w:ascii="Times New Roman" w:eastAsia="Times New Roman" w:hAnsi="Times New Roman" w:cs="Times New Roman"/>
          <w:i/>
          <w:iCs/>
          <w:sz w:val="24"/>
          <w:szCs w:val="24"/>
        </w:rPr>
        <w:t>The American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(1), 57–65. </w:t>
      </w:r>
      <w:hyperlink r:id="rId2979" w:history="1">
        <w:r w:rsidRPr="004C4852">
          <w:rPr>
            <w:rFonts w:ascii="Times New Roman" w:eastAsia="Times New Roman" w:hAnsi="Times New Roman" w:cs="Times New Roman"/>
            <w:color w:val="0000FF"/>
            <w:sz w:val="24"/>
            <w:szCs w:val="24"/>
            <w:u w:val="single"/>
          </w:rPr>
          <w:t>https://doi.org/10.1097/00019442-200002000-00008</w:t>
        </w:r>
      </w:hyperlink>
    </w:p>
    <w:p w14:paraId="1037583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 G., Alicata, D., Cloak, C., &amp; Chang, L. (2010). Neuropsychological deficits in adolescent methamphetamine abusers.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212</w:t>
      </w:r>
      <w:r w:rsidRPr="004C4852">
        <w:rPr>
          <w:rFonts w:ascii="Times New Roman" w:eastAsia="Times New Roman" w:hAnsi="Times New Roman" w:cs="Times New Roman"/>
          <w:sz w:val="24"/>
          <w:szCs w:val="24"/>
        </w:rPr>
        <w:t xml:space="preserve">(2), 243–249. </w:t>
      </w:r>
      <w:hyperlink r:id="rId2980" w:history="1">
        <w:r w:rsidRPr="004C4852">
          <w:rPr>
            <w:rFonts w:ascii="Times New Roman" w:eastAsia="Times New Roman" w:hAnsi="Times New Roman" w:cs="Times New Roman"/>
            <w:color w:val="0000FF"/>
            <w:sz w:val="24"/>
            <w:szCs w:val="24"/>
            <w:u w:val="single"/>
          </w:rPr>
          <w:t>https://doi.org/10.1007/s00213-010-1949-x</w:t>
        </w:r>
      </w:hyperlink>
    </w:p>
    <w:p w14:paraId="363F65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 J. H., Rolin, S. N., &amp; Frost, R. B. (2017). Moderate to severe traumatic brain injury. In S. S. Bush, G. J. Demakis, &amp; M. L. Rohling (Eds.), </w:t>
      </w:r>
      <w:r w:rsidRPr="004C4852">
        <w:rPr>
          <w:rFonts w:ascii="Times New Roman" w:eastAsia="Times New Roman" w:hAnsi="Times New Roman" w:cs="Times New Roman"/>
          <w:i/>
          <w:iCs/>
          <w:sz w:val="24"/>
          <w:szCs w:val="24"/>
        </w:rPr>
        <w:t>APA handbook of forensic neuropsychology.</w:t>
      </w:r>
      <w:r w:rsidRPr="004C4852">
        <w:rPr>
          <w:rFonts w:ascii="Times New Roman" w:eastAsia="Times New Roman" w:hAnsi="Times New Roman" w:cs="Times New Roman"/>
          <w:sz w:val="24"/>
          <w:szCs w:val="24"/>
        </w:rPr>
        <w:t xml:space="preserve"> (pp. 201–222). American Psychological Association. </w:t>
      </w:r>
      <w:hyperlink r:id="rId2981" w:history="1">
        <w:r w:rsidRPr="004C4852">
          <w:rPr>
            <w:rFonts w:ascii="Times New Roman" w:eastAsia="Times New Roman" w:hAnsi="Times New Roman" w:cs="Times New Roman"/>
            <w:color w:val="0000FF"/>
            <w:sz w:val="24"/>
            <w:szCs w:val="24"/>
            <w:u w:val="single"/>
          </w:rPr>
          <w:t>https://doi.org/10.1037/0000032-008</w:t>
        </w:r>
      </w:hyperlink>
    </w:p>
    <w:p w14:paraId="3934624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 J. H., Sweet, J. J., Sherer, M., Curtiss, G., &amp; Vanderploeg, R. D. (2002). Validity indicators within the Wisconsin Card Sorting Test: Application of new and previously researched multivariate procedures in multiple traumatic brain injury samples.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(4), 506–523. </w:t>
      </w:r>
      <w:hyperlink r:id="rId2982" w:history="1">
        <w:r w:rsidRPr="004C4852">
          <w:rPr>
            <w:rFonts w:ascii="Times New Roman" w:eastAsia="Times New Roman" w:hAnsi="Times New Roman" w:cs="Times New Roman"/>
            <w:color w:val="0000FF"/>
            <w:sz w:val="24"/>
            <w:szCs w:val="24"/>
            <w:u w:val="single"/>
          </w:rPr>
          <w:t>https://doi.org/10.1076/clin.16.4.506.13912</w:t>
        </w:r>
      </w:hyperlink>
    </w:p>
    <w:p w14:paraId="29AAE2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Kinga, K. J. (2012). The influence of diabetes on cognitive functions—A quantitative meta-analysis. </w:t>
      </w:r>
      <w:r w:rsidRPr="004C4852">
        <w:rPr>
          <w:rFonts w:ascii="Times New Roman" w:eastAsia="Times New Roman" w:hAnsi="Times New Roman" w:cs="Times New Roman"/>
          <w:i/>
          <w:iCs/>
          <w:sz w:val="24"/>
          <w:szCs w:val="24"/>
        </w:rPr>
        <w:t>Erdélyi Pszichológiai Szemle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(1), 19–38.</w:t>
      </w:r>
    </w:p>
    <w:p w14:paraId="1BC90ED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Kirby, J. R., Kim, H.-J., &amp; Silvestri, R. (2015). Cognitive constructs and individual differences underlying ADHD and dyslexia: A cognitive mosaic approach. In </w:t>
      </w:r>
      <w:r w:rsidRPr="004C4852">
        <w:rPr>
          <w:rFonts w:ascii="Times New Roman" w:eastAsia="Times New Roman" w:hAnsi="Times New Roman" w:cs="Times New Roman"/>
          <w:i/>
          <w:iCs/>
          <w:sz w:val="24"/>
          <w:szCs w:val="24"/>
        </w:rPr>
        <w:t>Cognition, intelligence, and achievement: A tribute to J. P. Das.</w:t>
      </w:r>
      <w:r w:rsidRPr="004C4852">
        <w:rPr>
          <w:rFonts w:ascii="Times New Roman" w:eastAsia="Times New Roman" w:hAnsi="Times New Roman" w:cs="Times New Roman"/>
          <w:sz w:val="24"/>
          <w:szCs w:val="24"/>
        </w:rPr>
        <w:t xml:space="preserve"> (pp. 197–223). Elsevier Academic Press. </w:t>
      </w:r>
      <w:hyperlink r:id="rId2983" w:history="1">
        <w:r w:rsidRPr="004C4852">
          <w:rPr>
            <w:rFonts w:ascii="Times New Roman" w:eastAsia="Times New Roman" w:hAnsi="Times New Roman" w:cs="Times New Roman"/>
            <w:color w:val="0000FF"/>
            <w:sz w:val="24"/>
            <w:szCs w:val="24"/>
            <w:u w:val="single"/>
          </w:rPr>
          <w:t>https://doi.org/10.1016/B978-0-12-410388-7.00011-7</w:t>
        </w:r>
      </w:hyperlink>
    </w:p>
    <w:p w14:paraId="0B4AAE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Kirihara, K., Rissling, A. J., Swerdlow, N. R., Braff, D. L., &amp; Light, G. A. (2012). Hierarchical organization of gamma and theta oscillatory dynamics in schizophrenia.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(10), 873–880. </w:t>
      </w:r>
      <w:hyperlink r:id="rId2984" w:history="1">
        <w:r w:rsidRPr="004C4852">
          <w:rPr>
            <w:rFonts w:ascii="Times New Roman" w:eastAsia="Times New Roman" w:hAnsi="Times New Roman" w:cs="Times New Roman"/>
            <w:color w:val="0000FF"/>
            <w:sz w:val="24"/>
            <w:szCs w:val="24"/>
            <w:u w:val="single"/>
          </w:rPr>
          <w:t>https://doi.org/10.1016/j.biopsych.2012.01.016</w:t>
        </w:r>
      </w:hyperlink>
    </w:p>
    <w:p w14:paraId="4B0C129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Kirkby, B. S. (1999). </w:t>
      </w:r>
      <w:r w:rsidRPr="004C4852">
        <w:rPr>
          <w:rFonts w:ascii="Times New Roman" w:eastAsia="Times New Roman" w:hAnsi="Times New Roman" w:cs="Times New Roman"/>
          <w:i/>
          <w:iCs/>
          <w:sz w:val="24"/>
          <w:szCs w:val="24"/>
        </w:rPr>
        <w:t>A positron emission tomography study of the functional neuroanatomy of closed head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(11-B), 6110–6110.</w:t>
      </w:r>
    </w:p>
    <w:p w14:paraId="2932D57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Kirkby, B. S., van Horn, J. D., Ostrem, J. L., Weinberger, D. R., &amp; Berman, K. F. (1996). Cognitive activation during PET: A case study of monozygotic twins discordant for closed head injury.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 xml:space="preserve">(7), 689–697. </w:t>
      </w:r>
      <w:hyperlink r:id="rId2985" w:history="1">
        <w:r w:rsidRPr="004C4852">
          <w:rPr>
            <w:rFonts w:ascii="Times New Roman" w:eastAsia="Times New Roman" w:hAnsi="Times New Roman" w:cs="Times New Roman"/>
            <w:color w:val="0000FF"/>
            <w:sz w:val="24"/>
            <w:szCs w:val="24"/>
            <w:u w:val="single"/>
          </w:rPr>
          <w:t>https://doi.org/10.1016/0028-3932(95)00147-6</w:t>
        </w:r>
      </w:hyperlink>
    </w:p>
    <w:p w14:paraId="1E334A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Kirkby, K. C., Montgomery, I. M., Badcock, R., &amp; Daniels, B. A. (1995). A comparison of age-related deficits in memory and frontal lobe function following oral lorazepam administration. </w:t>
      </w:r>
      <w:r w:rsidRPr="004C4852">
        <w:rPr>
          <w:rFonts w:ascii="Times New Roman" w:eastAsia="Times New Roman" w:hAnsi="Times New Roman" w:cs="Times New Roman"/>
          <w:i/>
          <w:iCs/>
          <w:sz w:val="24"/>
          <w:szCs w:val="24"/>
        </w:rPr>
        <w:t>Journal of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319–325. </w:t>
      </w:r>
      <w:hyperlink r:id="rId2986" w:history="1">
        <w:r w:rsidRPr="004C4852">
          <w:rPr>
            <w:rFonts w:ascii="Times New Roman" w:eastAsia="Times New Roman" w:hAnsi="Times New Roman" w:cs="Times New Roman"/>
            <w:color w:val="0000FF"/>
            <w:sz w:val="24"/>
            <w:szCs w:val="24"/>
            <w:u w:val="single"/>
          </w:rPr>
          <w:t>https://doi.org/10.1177/026988119500900405</w:t>
        </w:r>
      </w:hyperlink>
    </w:p>
    <w:p w14:paraId="30AC0A0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Kirsch, V., Pritzel, M., &amp; Goldbeck, L. (2007). Eine untersuchung zur spezifität kognitiver leistungen depressiver kinder und jugendlicher im HAWIK-III. [The specifity of cognitive performance of depressive children and adolescents in WISC-III results.]. </w:t>
      </w:r>
      <w:r w:rsidRPr="004C4852">
        <w:rPr>
          <w:rFonts w:ascii="Times New Roman" w:eastAsia="Times New Roman" w:hAnsi="Times New Roman" w:cs="Times New Roman"/>
          <w:i/>
          <w:iCs/>
          <w:sz w:val="24"/>
          <w:szCs w:val="24"/>
        </w:rPr>
        <w:t>Zeitschrift Für Klinische Psychologie Und Psychotherapie: Forschung Und Praxis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(2), 105–111. </w:t>
      </w:r>
      <w:hyperlink r:id="rId2987" w:history="1">
        <w:r w:rsidRPr="004C4852">
          <w:rPr>
            <w:rFonts w:ascii="Times New Roman" w:eastAsia="Times New Roman" w:hAnsi="Times New Roman" w:cs="Times New Roman"/>
            <w:color w:val="0000FF"/>
            <w:sz w:val="24"/>
            <w:szCs w:val="24"/>
            <w:u w:val="single"/>
          </w:rPr>
          <w:t>https://doi.org/10.1026/1616-3443.36.2.105</w:t>
        </w:r>
      </w:hyperlink>
    </w:p>
    <w:p w14:paraId="530937F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Kirsch, W., McAuley, G., Holshouser, B., Petersen, F., Ayaz, M., Vinters, H. V., Dickson, C., Haacke, E. M., Britt III, W., Larsen, J., Kim, I., Mueller, C., Schrag, M., &amp; Kido, D. (2009). Serial susceptibility weighted MRI measures brain iron and microbleeds in dementia. </w:t>
      </w:r>
      <w:r w:rsidRPr="004C4852">
        <w:rPr>
          <w:rFonts w:ascii="Times New Roman" w:eastAsia="Times New Roman" w:hAnsi="Times New Roman" w:cs="Times New Roman"/>
          <w:i/>
          <w:iCs/>
          <w:sz w:val="24"/>
          <w:szCs w:val="24"/>
        </w:rPr>
        <w:t>Journal of Alzheimer’s Disease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(3), 599–609.</w:t>
      </w:r>
    </w:p>
    <w:p w14:paraId="23B5940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Kishi, T., Meltzer, H. Y., &amp; Iwata, N. (2013). Augmentation of antipsychotic drug action by azapirone 5-HT1A receptor partial agonists: A meta-analysis. </w:t>
      </w:r>
      <w:r w:rsidRPr="004C4852">
        <w:rPr>
          <w:rFonts w:ascii="Times New Roman" w:eastAsia="Times New Roman" w:hAnsi="Times New Roman" w:cs="Times New Roman"/>
          <w:i/>
          <w:iCs/>
          <w:sz w:val="24"/>
          <w:szCs w:val="24"/>
        </w:rPr>
        <w:t>International Journal of 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(6), 1259–1266. </w:t>
      </w:r>
      <w:hyperlink r:id="rId2988" w:history="1">
        <w:r w:rsidRPr="004C4852">
          <w:rPr>
            <w:rFonts w:ascii="Times New Roman" w:eastAsia="Times New Roman" w:hAnsi="Times New Roman" w:cs="Times New Roman"/>
            <w:color w:val="0000FF"/>
            <w:sz w:val="24"/>
            <w:szCs w:val="24"/>
            <w:u w:val="single"/>
          </w:rPr>
          <w:t>https://doi.org/10.1017/S1461145713000151</w:t>
        </w:r>
      </w:hyperlink>
    </w:p>
    <w:p w14:paraId="07FD272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Kishiyama, M. M., Yonelinas, A. P., Kroll, N. E. A., Lazzara, M. M., Nolan, E. C., Jones, E. G., &amp; Jagust, W. J. (2005). Bilateral thalamic lesions affect recollection- and familiarity-based recognition memory judgments.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(6), 778–788. </w:t>
      </w:r>
      <w:hyperlink r:id="rId2989" w:history="1">
        <w:r w:rsidRPr="004C4852">
          <w:rPr>
            <w:rFonts w:ascii="Times New Roman" w:eastAsia="Times New Roman" w:hAnsi="Times New Roman" w:cs="Times New Roman"/>
            <w:color w:val="0000FF"/>
            <w:sz w:val="24"/>
            <w:szCs w:val="24"/>
            <w:u w:val="single"/>
          </w:rPr>
          <w:t>https://doi.org/10.1016/S0010-9452(08)70296-X</w:t>
        </w:r>
      </w:hyperlink>
    </w:p>
    <w:p w14:paraId="15D34BF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Kisley, M. A., Davalos, D. B., Engleman, L. L., Guinther, P. M., &amp; Davis, H. P. (2005). Age-related change in neural processing of time-dependent stimulus features. </w:t>
      </w:r>
      <w:r w:rsidRPr="004C4852">
        <w:rPr>
          <w:rFonts w:ascii="Times New Roman" w:eastAsia="Times New Roman" w:hAnsi="Times New Roman" w:cs="Times New Roman"/>
          <w:i/>
          <w:iCs/>
          <w:sz w:val="24"/>
          <w:szCs w:val="24"/>
        </w:rPr>
        <w:t>Cognitive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(3), 913–925. </w:t>
      </w:r>
      <w:hyperlink r:id="rId2990" w:history="1">
        <w:r w:rsidRPr="004C4852">
          <w:rPr>
            <w:rFonts w:ascii="Times New Roman" w:eastAsia="Times New Roman" w:hAnsi="Times New Roman" w:cs="Times New Roman"/>
            <w:color w:val="0000FF"/>
            <w:sz w:val="24"/>
            <w:szCs w:val="24"/>
            <w:u w:val="single"/>
          </w:rPr>
          <w:t>https://doi.org/10.1016/j.cogbrainres.2005.09.014</w:t>
        </w:r>
      </w:hyperlink>
    </w:p>
    <w:p w14:paraId="661561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Kissel, E. C., Pukay-Martin, N. D., &amp; Bornstein, R. A. (2005). The Relationship Between Age and Cognitive Function in HIV-Infected Men.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(2), 180–184. </w:t>
      </w:r>
      <w:hyperlink r:id="rId2991" w:history="1">
        <w:r w:rsidRPr="004C4852">
          <w:rPr>
            <w:rFonts w:ascii="Times New Roman" w:eastAsia="Times New Roman" w:hAnsi="Times New Roman" w:cs="Times New Roman"/>
            <w:color w:val="0000FF"/>
            <w:sz w:val="24"/>
            <w:szCs w:val="24"/>
            <w:u w:val="single"/>
          </w:rPr>
          <w:t>https://doi.org/10.1176/appi.neuropsych.17.2.180</w:t>
        </w:r>
      </w:hyperlink>
    </w:p>
    <w:p w14:paraId="5D54C1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Kitis, A., Akdede, B. B. K., Alptekin, K., Akvardar, Y., Arkar, H., Erol, A., &amp; Kaya, N. (2007). Cognitive dysfunctions in patients with obsessive-compulsive disorder compared to the patients with schizophrenia patients: Relation to overvalued ideas.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(1), 254–261. </w:t>
      </w:r>
      <w:hyperlink r:id="rId2992" w:history="1">
        <w:r w:rsidRPr="004C4852">
          <w:rPr>
            <w:rFonts w:ascii="Times New Roman" w:eastAsia="Times New Roman" w:hAnsi="Times New Roman" w:cs="Times New Roman"/>
            <w:color w:val="0000FF"/>
            <w:sz w:val="24"/>
            <w:szCs w:val="24"/>
            <w:u w:val="single"/>
          </w:rPr>
          <w:t>https://doi.org/10.1016/j.pnpbp.2006.06.022</w:t>
        </w:r>
      </w:hyperlink>
    </w:p>
    <w:p w14:paraId="178194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Kixmiller, J. S., Verfaellie, M., Chase, K. A., &amp; Cermak, L. S. (1995). Comparison of figural intrusion errors in three amnesic subgroups.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 xml:space="preserve">(6), 561–567. </w:t>
      </w:r>
      <w:hyperlink r:id="rId2993" w:history="1">
        <w:r w:rsidRPr="004C4852">
          <w:rPr>
            <w:rFonts w:ascii="Times New Roman" w:eastAsia="Times New Roman" w:hAnsi="Times New Roman" w:cs="Times New Roman"/>
            <w:color w:val="0000FF"/>
            <w:sz w:val="24"/>
            <w:szCs w:val="24"/>
            <w:u w:val="single"/>
          </w:rPr>
          <w:t>https://doi.org/10.1017/S1355617700000692</w:t>
        </w:r>
      </w:hyperlink>
    </w:p>
    <w:p w14:paraId="611AD0F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Kizilbash, A., &amp; Donders, J. (1999). Latent structure of the Wisconsin Card Sorting Test after pediatric traumatic head injury.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w:t>
      </w:r>
      <w:r w:rsidRPr="004C4852">
        <w:rPr>
          <w:rFonts w:ascii="Times New Roman" w:eastAsia="Times New Roman" w:hAnsi="Times New Roman" w:cs="Times New Roman"/>
          <w:sz w:val="24"/>
          <w:szCs w:val="24"/>
        </w:rPr>
        <w:t xml:space="preserve">(4), 224–229. </w:t>
      </w:r>
      <w:hyperlink r:id="rId2994" w:history="1">
        <w:r w:rsidRPr="004C4852">
          <w:rPr>
            <w:rFonts w:ascii="Times New Roman" w:eastAsia="Times New Roman" w:hAnsi="Times New Roman" w:cs="Times New Roman"/>
            <w:color w:val="0000FF"/>
            <w:sz w:val="24"/>
            <w:szCs w:val="24"/>
            <w:u w:val="single"/>
          </w:rPr>
          <w:t>https://doi.org/10.1076/0929-7049(199912)05:04;1-R;FT224</w:t>
        </w:r>
      </w:hyperlink>
    </w:p>
    <w:p w14:paraId="5CCF0CF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Kizony, R., Demayo-Dayan, T., Sinoff, G., &amp; Josman, N. (2011). Validation of the Executive Function Route-finding Task (EFRT) in people with mild cognitive impairment. </w:t>
      </w:r>
      <w:r w:rsidRPr="004C4852">
        <w:rPr>
          <w:rFonts w:ascii="Times New Roman" w:eastAsia="Times New Roman" w:hAnsi="Times New Roman" w:cs="Times New Roman"/>
          <w:i/>
          <w:iCs/>
          <w:sz w:val="24"/>
          <w:szCs w:val="24"/>
        </w:rPr>
        <w:t>OTJR: Occupation, Participation and Health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(Suppl 1), S47–S52. </w:t>
      </w:r>
      <w:hyperlink r:id="rId2995" w:history="1">
        <w:r w:rsidRPr="004C4852">
          <w:rPr>
            <w:rFonts w:ascii="Times New Roman" w:eastAsia="Times New Roman" w:hAnsi="Times New Roman" w:cs="Times New Roman"/>
            <w:color w:val="0000FF"/>
            <w:sz w:val="24"/>
            <w:szCs w:val="24"/>
            <w:u w:val="single"/>
          </w:rPr>
          <w:t>https://doi.org/10.3928/15394492-20101108-08</w:t>
        </w:r>
      </w:hyperlink>
    </w:p>
    <w:p w14:paraId="0E32126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Klarendić, M., Gorišek, V. R., Granda, G., Avsenik, J., Zgonc, V., &amp; Kojović, M. (2021). Auditory agnosia with anosognosia.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137</w:t>
      </w:r>
      <w:r w:rsidRPr="004C4852">
        <w:rPr>
          <w:rFonts w:ascii="Times New Roman" w:eastAsia="Times New Roman" w:hAnsi="Times New Roman" w:cs="Times New Roman"/>
          <w:sz w:val="24"/>
          <w:szCs w:val="24"/>
        </w:rPr>
        <w:t xml:space="preserve">, 255–270. </w:t>
      </w:r>
      <w:hyperlink r:id="rId2996" w:history="1">
        <w:r w:rsidRPr="004C4852">
          <w:rPr>
            <w:rFonts w:ascii="Times New Roman" w:eastAsia="Times New Roman" w:hAnsi="Times New Roman" w:cs="Times New Roman"/>
            <w:color w:val="0000FF"/>
            <w:sz w:val="24"/>
            <w:szCs w:val="24"/>
            <w:u w:val="single"/>
          </w:rPr>
          <w:t>https://doi.org/10.1016/j.cortex.2020.12.025</w:t>
        </w:r>
      </w:hyperlink>
    </w:p>
    <w:p w14:paraId="31F931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Kleibeuker, S. W., De Dreu, C. K. W., &amp; Crone, E. A. (2013). The development of creative cognition across adolescence: Distinct trajectories for insight and divergent thinking. </w:t>
      </w:r>
      <w:r w:rsidRPr="004C4852">
        <w:rPr>
          <w:rFonts w:ascii="Times New Roman" w:eastAsia="Times New Roman" w:hAnsi="Times New Roman" w:cs="Times New Roman"/>
          <w:i/>
          <w:iCs/>
          <w:sz w:val="24"/>
          <w:szCs w:val="24"/>
        </w:rPr>
        <w:t>Developmental 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(1), 2–12. </w:t>
      </w:r>
      <w:hyperlink r:id="rId2997" w:history="1">
        <w:r w:rsidRPr="004C4852">
          <w:rPr>
            <w:rFonts w:ascii="Times New Roman" w:eastAsia="Times New Roman" w:hAnsi="Times New Roman" w:cs="Times New Roman"/>
            <w:color w:val="0000FF"/>
            <w:sz w:val="24"/>
            <w:szCs w:val="24"/>
            <w:u w:val="single"/>
          </w:rPr>
          <w:t>https://doi.org/10.1111/j.1467-7687.2012.01176.x</w:t>
        </w:r>
      </w:hyperlink>
    </w:p>
    <w:p w14:paraId="3FEA9A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Klein, C., Fischer, B., Hartnegg, K., Heiss, W. H., &amp; Roth, M. (2000). Optomotor and neuropsychological performance in old age. </w:t>
      </w:r>
      <w:r w:rsidRPr="004C4852">
        <w:rPr>
          <w:rFonts w:ascii="Times New Roman" w:eastAsia="Times New Roman" w:hAnsi="Times New Roman" w:cs="Times New Roman"/>
          <w:i/>
          <w:iCs/>
          <w:sz w:val="24"/>
          <w:szCs w:val="24"/>
        </w:rPr>
        <w:t>Experimental Brain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(2), 141–154. </w:t>
      </w:r>
      <w:hyperlink r:id="rId2998" w:history="1">
        <w:r w:rsidRPr="004C4852">
          <w:rPr>
            <w:rFonts w:ascii="Times New Roman" w:eastAsia="Times New Roman" w:hAnsi="Times New Roman" w:cs="Times New Roman"/>
            <w:color w:val="0000FF"/>
            <w:sz w:val="24"/>
            <w:szCs w:val="24"/>
            <w:u w:val="single"/>
          </w:rPr>
          <w:t>https://doi.org/10.1007/s002210000506</w:t>
        </w:r>
      </w:hyperlink>
    </w:p>
    <w:p w14:paraId="2626164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Klein, C., Foerster, F., &amp; Hartnegg, K. (2007). Regression-based developmental models exemplified for Wisconsin Card Sorting Test parameters: Statistics and software for individual predictions.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25–35. </w:t>
      </w:r>
      <w:hyperlink r:id="rId2999" w:history="1">
        <w:r w:rsidRPr="004C4852">
          <w:rPr>
            <w:rFonts w:ascii="Times New Roman" w:eastAsia="Times New Roman" w:hAnsi="Times New Roman" w:cs="Times New Roman"/>
            <w:color w:val="0000FF"/>
            <w:sz w:val="24"/>
            <w:szCs w:val="24"/>
            <w:u w:val="single"/>
          </w:rPr>
          <w:t>https://doi.org/10.1080/13803390500276859</w:t>
        </w:r>
      </w:hyperlink>
    </w:p>
    <w:p w14:paraId="1E30BA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Klemm, S., Schmidt, B., Knappe, S., &amp; Blanz, B. (2006). Impaired working speed and executive functions as frontal lobe dysfunctions in young first-degree relatives of schizophrenic patients. </w:t>
      </w:r>
      <w:r w:rsidRPr="004C4852">
        <w:rPr>
          <w:rFonts w:ascii="Times New Roman" w:eastAsia="Times New Roman" w:hAnsi="Times New Roman" w:cs="Times New Roman"/>
          <w:i/>
          <w:iCs/>
          <w:sz w:val="24"/>
          <w:szCs w:val="24"/>
        </w:rPr>
        <w:t>European Child &amp; Adolescent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(7), 400–408. </w:t>
      </w:r>
      <w:hyperlink r:id="rId3000" w:history="1">
        <w:r w:rsidRPr="004C4852">
          <w:rPr>
            <w:rFonts w:ascii="Times New Roman" w:eastAsia="Times New Roman" w:hAnsi="Times New Roman" w:cs="Times New Roman"/>
            <w:color w:val="0000FF"/>
            <w:sz w:val="24"/>
            <w:szCs w:val="24"/>
            <w:u w:val="single"/>
          </w:rPr>
          <w:t>https://doi.org/10.1007/s00787-006-0547-2</w:t>
        </w:r>
      </w:hyperlink>
    </w:p>
    <w:p w14:paraId="4E79D4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Kliegel, M., Eschen, A., &amp; Thöne-Otto, A. I. T. (2004). Planning and realization of complex intentions in traumatic brain injury and normal aging.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56</w:t>
      </w:r>
      <w:r w:rsidRPr="004C4852">
        <w:rPr>
          <w:rFonts w:ascii="Times New Roman" w:eastAsia="Times New Roman" w:hAnsi="Times New Roman" w:cs="Times New Roman"/>
          <w:sz w:val="24"/>
          <w:szCs w:val="24"/>
        </w:rPr>
        <w:t xml:space="preserve">(1), 43–54. </w:t>
      </w:r>
      <w:hyperlink r:id="rId3001" w:history="1">
        <w:r w:rsidRPr="004C4852">
          <w:rPr>
            <w:rFonts w:ascii="Times New Roman" w:eastAsia="Times New Roman" w:hAnsi="Times New Roman" w:cs="Times New Roman"/>
            <w:color w:val="0000FF"/>
            <w:sz w:val="24"/>
            <w:szCs w:val="24"/>
            <w:u w:val="single"/>
          </w:rPr>
          <w:t>https://doi.org/10.1016/j.bandc.2004.05.005</w:t>
        </w:r>
      </w:hyperlink>
    </w:p>
    <w:p w14:paraId="32D686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Klimes-Dougan, B., Ronsaville, D., Wiggs, E. A., &amp; Martinez, P. E. (2006). Neuropsychological Functioning in Adolescent Children of Mothers with a History of Bipolar or Major Depressive Disorders.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(9), 957–965. </w:t>
      </w:r>
      <w:hyperlink r:id="rId3002" w:history="1">
        <w:r w:rsidRPr="004C4852">
          <w:rPr>
            <w:rFonts w:ascii="Times New Roman" w:eastAsia="Times New Roman" w:hAnsi="Times New Roman" w:cs="Times New Roman"/>
            <w:color w:val="0000FF"/>
            <w:sz w:val="24"/>
            <w:szCs w:val="24"/>
            <w:u w:val="single"/>
          </w:rPr>
          <w:t>https://doi.org/10.1016/j.biopsych.2006.03.031</w:t>
        </w:r>
      </w:hyperlink>
    </w:p>
    <w:p w14:paraId="6AF2CBD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Klimkeit, E. I., Tonge, B., Bradshaw, J. L., Melvin, G. A., &amp; Gould, K. (2011). Neuropsychological deficits in adolescent unipolar depression.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(7), 662–676. </w:t>
      </w:r>
      <w:hyperlink r:id="rId3003" w:history="1">
        <w:r w:rsidRPr="004C4852">
          <w:rPr>
            <w:rFonts w:ascii="Times New Roman" w:eastAsia="Times New Roman" w:hAnsi="Times New Roman" w:cs="Times New Roman"/>
            <w:color w:val="0000FF"/>
            <w:sz w:val="24"/>
            <w:szCs w:val="24"/>
            <w:u w:val="single"/>
          </w:rPr>
          <w:t>https://doi.org/10.1093/arclin/acr051</w:t>
        </w:r>
      </w:hyperlink>
    </w:p>
    <w:p w14:paraId="7F82F4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Kling, L. R., Bessette, K. L., DelDonno, S. R., Ryan, K. A., Drevets, W. C., McInnis, M. G., Phillips, M. L., &amp; Langenecker, S. A. (2018). Cluster analysis with MOODS‐SR illustrates a potential bipolar disorder risk phenotype in young adults with remitted major depressive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(8), 697–707. </w:t>
      </w:r>
      <w:hyperlink r:id="rId3004" w:history="1">
        <w:r w:rsidRPr="004C4852">
          <w:rPr>
            <w:rFonts w:ascii="Times New Roman" w:eastAsia="Times New Roman" w:hAnsi="Times New Roman" w:cs="Times New Roman"/>
            <w:color w:val="0000FF"/>
            <w:sz w:val="24"/>
            <w:szCs w:val="24"/>
            <w:u w:val="single"/>
          </w:rPr>
          <w:t>https://doi.org/10.1111/bdi.12693</w:t>
        </w:r>
      </w:hyperlink>
    </w:p>
    <w:p w14:paraId="5DDDA8E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Klingberg, S., Wittorf, A., Sickinger, S., Buchkremer, G., &amp; Wiedemann, G. (2008). Course of cognitive functioning during the stabilization phase of schizophrenia. </w:t>
      </w:r>
      <w:r w:rsidRPr="004C4852">
        <w:rPr>
          <w:rFonts w:ascii="Times New Roman" w:eastAsia="Times New Roman" w:hAnsi="Times New Roman" w:cs="Times New Roman"/>
          <w:i/>
          <w:iCs/>
          <w:sz w:val="24"/>
          <w:szCs w:val="24"/>
        </w:rPr>
        <w:t>Journal of Psychiatric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(4), 259–267. </w:t>
      </w:r>
      <w:hyperlink r:id="rId3005" w:history="1">
        <w:r w:rsidRPr="004C4852">
          <w:rPr>
            <w:rFonts w:ascii="Times New Roman" w:eastAsia="Times New Roman" w:hAnsi="Times New Roman" w:cs="Times New Roman"/>
            <w:color w:val="0000FF"/>
            <w:sz w:val="24"/>
            <w:szCs w:val="24"/>
            <w:u w:val="single"/>
          </w:rPr>
          <w:t>https://doi.org/10.1016/j.jpsychires.2007.02.001</w:t>
        </w:r>
      </w:hyperlink>
    </w:p>
    <w:p w14:paraId="1BA48D7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Klooster, N. B., Cook, S. W., Uc, E. Y., &amp; Duf, M. C. (2015). Gestures make memories, but what kind? Patients with impaired procedural memory display disruptions in gesture production and comprehension.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w:t>
      </w:r>
    </w:p>
    <w:p w14:paraId="12D2E96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Klos, K. J., Chandler, M., Kumar, N., Ahlskog, J. E., &amp; Josephs, K. A. (2006). Neuropsychological profiles of manganese neurotoxicity.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(10), 1139–1141. </w:t>
      </w:r>
      <w:hyperlink r:id="rId3006" w:history="1">
        <w:r w:rsidRPr="004C4852">
          <w:rPr>
            <w:rFonts w:ascii="Times New Roman" w:eastAsia="Times New Roman" w:hAnsi="Times New Roman" w:cs="Times New Roman"/>
            <w:color w:val="0000FF"/>
            <w:sz w:val="24"/>
            <w:szCs w:val="24"/>
            <w:u w:val="single"/>
          </w:rPr>
          <w:t>https://doi.org/10.1111/j.1468-1331.2006.01407.x</w:t>
        </w:r>
      </w:hyperlink>
    </w:p>
    <w:p w14:paraId="405063C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Kneeland, R. E., &amp; Fatemi, S. H. (2013). Viral infection, inflammation and schizophrenia.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 35–48. </w:t>
      </w:r>
      <w:hyperlink r:id="rId3007" w:history="1">
        <w:r w:rsidRPr="004C4852">
          <w:rPr>
            <w:rFonts w:ascii="Times New Roman" w:eastAsia="Times New Roman" w:hAnsi="Times New Roman" w:cs="Times New Roman"/>
            <w:color w:val="0000FF"/>
            <w:sz w:val="24"/>
            <w:szCs w:val="24"/>
            <w:u w:val="single"/>
          </w:rPr>
          <w:t>https://doi.org/10.1016/j.pnpbp.2012.02.001</w:t>
        </w:r>
      </w:hyperlink>
    </w:p>
    <w:p w14:paraId="67111A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Knibb, J. A., Woollams, A. M., Hodges, J. R., &amp; Patterson, K. (2009). Making sense of progressive non-fluent aphasia: An analysis of conversational speech.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132</w:t>
      </w:r>
      <w:r w:rsidRPr="004C4852">
        <w:rPr>
          <w:rFonts w:ascii="Times New Roman" w:eastAsia="Times New Roman" w:hAnsi="Times New Roman" w:cs="Times New Roman"/>
          <w:sz w:val="24"/>
          <w:szCs w:val="24"/>
        </w:rPr>
        <w:t xml:space="preserve">(10), 2734–2746. </w:t>
      </w:r>
      <w:hyperlink r:id="rId3008" w:history="1">
        <w:r w:rsidRPr="004C4852">
          <w:rPr>
            <w:rFonts w:ascii="Times New Roman" w:eastAsia="Times New Roman" w:hAnsi="Times New Roman" w:cs="Times New Roman"/>
            <w:color w:val="0000FF"/>
            <w:sz w:val="24"/>
            <w:szCs w:val="24"/>
            <w:u w:val="single"/>
          </w:rPr>
          <w:t>https://doi.org/10.1093/brain/awp207</w:t>
        </w:r>
      </w:hyperlink>
    </w:p>
    <w:p w14:paraId="1637F2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Knight, M. J., Air, T., &amp; Baune, B. T. (2018). The role of cognitive impairment in psychosocial functioning in remitted depression.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235</w:t>
      </w:r>
      <w:r w:rsidRPr="004C4852">
        <w:rPr>
          <w:rFonts w:ascii="Times New Roman" w:eastAsia="Times New Roman" w:hAnsi="Times New Roman" w:cs="Times New Roman"/>
          <w:sz w:val="24"/>
          <w:szCs w:val="24"/>
        </w:rPr>
        <w:t xml:space="preserve">, 129–134. </w:t>
      </w:r>
      <w:hyperlink r:id="rId3009" w:history="1">
        <w:r w:rsidRPr="004C4852">
          <w:rPr>
            <w:rFonts w:ascii="Times New Roman" w:eastAsia="Times New Roman" w:hAnsi="Times New Roman" w:cs="Times New Roman"/>
            <w:color w:val="0000FF"/>
            <w:sz w:val="24"/>
            <w:szCs w:val="24"/>
            <w:u w:val="single"/>
          </w:rPr>
          <w:t>https://doi.org/10.1016/j.jad.2018.04.051</w:t>
        </w:r>
      </w:hyperlink>
    </w:p>
    <w:p w14:paraId="7B687C2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Knight, R. G., Harnett, M., &amp; Titov, N. (2005). The effects of traumatic brain injury on the predicted and actual performance of a test of prospective remembering.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19</w:t>
      </w:r>
      <w:r w:rsidRPr="004C4852">
        <w:rPr>
          <w:rFonts w:ascii="Times New Roman" w:eastAsia="Times New Roman" w:hAnsi="Times New Roman" w:cs="Times New Roman"/>
          <w:sz w:val="24"/>
          <w:szCs w:val="24"/>
        </w:rPr>
        <w:t xml:space="preserve">(1), 27–38. </w:t>
      </w:r>
      <w:hyperlink r:id="rId3010" w:history="1">
        <w:r w:rsidRPr="004C4852">
          <w:rPr>
            <w:rFonts w:ascii="Times New Roman" w:eastAsia="Times New Roman" w:hAnsi="Times New Roman" w:cs="Times New Roman"/>
            <w:color w:val="0000FF"/>
            <w:sz w:val="24"/>
            <w:szCs w:val="24"/>
            <w:u w:val="single"/>
          </w:rPr>
          <w:t>https://doi.org/10.1080/02699050410001720022</w:t>
        </w:r>
      </w:hyperlink>
    </w:p>
    <w:p w14:paraId="7270AE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Knopman, A. A., Wong, C. H., Stevenson, R. J., Homewood, J., Mohamed, A., Somerville, E., Eberl, S., Wen, L., Fulham, M., &amp; Bleasel, A. F. (2014). The cognitive profile of occipital lobe epilepsy and the selective association of left temporal lobe hypometabolism with verbal memory impairment. </w:t>
      </w:r>
      <w:r w:rsidRPr="004C4852">
        <w:rPr>
          <w:rFonts w:ascii="Times New Roman" w:eastAsia="Times New Roman" w:hAnsi="Times New Roman" w:cs="Times New Roman"/>
          <w:i/>
          <w:iCs/>
          <w:sz w:val="24"/>
          <w:szCs w:val="24"/>
        </w:rPr>
        <w:t>Epilepsia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55</w:t>
      </w:r>
      <w:r w:rsidRPr="004C4852">
        <w:rPr>
          <w:rFonts w:ascii="Times New Roman" w:eastAsia="Times New Roman" w:hAnsi="Times New Roman" w:cs="Times New Roman"/>
          <w:sz w:val="24"/>
          <w:szCs w:val="24"/>
        </w:rPr>
        <w:t xml:space="preserve">(8), e80–e84. </w:t>
      </w:r>
      <w:hyperlink r:id="rId3011" w:history="1">
        <w:r w:rsidRPr="004C4852">
          <w:rPr>
            <w:rFonts w:ascii="Times New Roman" w:eastAsia="Times New Roman" w:hAnsi="Times New Roman" w:cs="Times New Roman"/>
            <w:color w:val="0000FF"/>
            <w:sz w:val="24"/>
            <w:szCs w:val="24"/>
            <w:u w:val="single"/>
          </w:rPr>
          <w:t>https://doi.org/10.1111/epi.12623</w:t>
        </w:r>
      </w:hyperlink>
    </w:p>
    <w:p w14:paraId="67EA051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Knopman, A. A., Wong, C. H., Stevenson, R. J., Homewood, J., Mohamed, A., Somerville, E., Eberl, S., Wen, L., Fulham, M., &amp; Bleasel, A. F. (2015). The relationship between neuropsychological functioning and FDG-PET hypometabolism in intractable mesial temporal lobe epilepsy.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 136–142. </w:t>
      </w:r>
      <w:hyperlink r:id="rId3012" w:history="1">
        <w:r w:rsidRPr="004C4852">
          <w:rPr>
            <w:rFonts w:ascii="Times New Roman" w:eastAsia="Times New Roman" w:hAnsi="Times New Roman" w:cs="Times New Roman"/>
            <w:color w:val="0000FF"/>
            <w:sz w:val="24"/>
            <w:szCs w:val="24"/>
            <w:u w:val="single"/>
          </w:rPr>
          <w:t>https://doi.org/10.1016/j.yebeh.2015.01.023</w:t>
        </w:r>
      </w:hyperlink>
    </w:p>
    <w:p w14:paraId="17D1AF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Knopman, D. S., Boeve, B. F., Parisi, J. E., Dickson, D. W., Smith, G. E., Ivnik, R. J., Josephs, K. A., &amp; Petersen, R. C. (2005). Antemortem Diagnosis of Frontotemporal Lobar Degeneration. </w:t>
      </w:r>
      <w:r w:rsidRPr="004C4852">
        <w:rPr>
          <w:rFonts w:ascii="Times New Roman" w:eastAsia="Times New Roman" w:hAnsi="Times New Roman" w:cs="Times New Roman"/>
          <w:i/>
          <w:iCs/>
          <w:sz w:val="24"/>
          <w:szCs w:val="24"/>
        </w:rPr>
        <w:t>Annals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(4), 480–488. </w:t>
      </w:r>
      <w:hyperlink r:id="rId3013" w:history="1">
        <w:r w:rsidRPr="004C4852">
          <w:rPr>
            <w:rFonts w:ascii="Times New Roman" w:eastAsia="Times New Roman" w:hAnsi="Times New Roman" w:cs="Times New Roman"/>
            <w:color w:val="0000FF"/>
            <w:sz w:val="24"/>
            <w:szCs w:val="24"/>
            <w:u w:val="single"/>
          </w:rPr>
          <w:t>https://doi.org/10.1002/ana.20425</w:t>
        </w:r>
      </w:hyperlink>
    </w:p>
    <w:p w14:paraId="623B16A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Knouse, L. E., Barkley, R. A., &amp; Murphy, K. R. (2013). Does executive functioning (EF) predict depression in clinic-referred adults?: EF tests vs. Rating scales. </w:t>
      </w:r>
      <w:r w:rsidRPr="004C4852">
        <w:rPr>
          <w:rFonts w:ascii="Times New Roman" w:eastAsia="Times New Roman" w:hAnsi="Times New Roman" w:cs="Times New Roman"/>
          <w:i/>
          <w:iCs/>
          <w:sz w:val="24"/>
          <w:szCs w:val="24"/>
        </w:rPr>
        <w:t>Journal of Affective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145</w:t>
      </w:r>
      <w:r w:rsidRPr="004C4852">
        <w:rPr>
          <w:rFonts w:ascii="Times New Roman" w:eastAsia="Times New Roman" w:hAnsi="Times New Roman" w:cs="Times New Roman"/>
          <w:sz w:val="24"/>
          <w:szCs w:val="24"/>
        </w:rPr>
        <w:t xml:space="preserve">(2), 270–275. </w:t>
      </w:r>
      <w:hyperlink r:id="rId3014" w:history="1">
        <w:r w:rsidRPr="004C4852">
          <w:rPr>
            <w:rFonts w:ascii="Times New Roman" w:eastAsia="Times New Roman" w:hAnsi="Times New Roman" w:cs="Times New Roman"/>
            <w:color w:val="0000FF"/>
            <w:sz w:val="24"/>
            <w:szCs w:val="24"/>
            <w:u w:val="single"/>
          </w:rPr>
          <w:t>https://doi.org/10.1016/j.jad.2012.05.064</w:t>
        </w:r>
      </w:hyperlink>
    </w:p>
    <w:p w14:paraId="0FE22BA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 T., Horie, S., &amp; Nabeta, Y. (2002). Impaired performance on Wisconsin Card Sorting Test in patients with eating disorders: A preliminary study. [Impaired performance on Wisconsin Card Sorting Test in patients with eating disorders: A preliminary study.]. </w:t>
      </w:r>
      <w:r w:rsidRPr="004C4852">
        <w:rPr>
          <w:rFonts w:ascii="Times New Roman" w:eastAsia="Times New Roman" w:hAnsi="Times New Roman" w:cs="Times New Roman"/>
          <w:i/>
          <w:iCs/>
          <w:sz w:val="24"/>
          <w:szCs w:val="24"/>
        </w:rPr>
        <w:t>Seishin Igaku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(6), 681–683.</w:t>
      </w:r>
    </w:p>
    <w:p w14:paraId="72B0F3E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Kobayakawa, M., Tsuruya, N., &amp; Kawamura, M. (2010). Sensitivity to reward and punishment in Parkinson’s disease: An analysis of behavioral patterns using a modified version of the Iowa gambling task. </w:t>
      </w:r>
      <w:r w:rsidRPr="004C4852">
        <w:rPr>
          <w:rFonts w:ascii="Times New Roman" w:eastAsia="Times New Roman" w:hAnsi="Times New Roman" w:cs="Times New Roman"/>
          <w:i/>
          <w:iCs/>
          <w:sz w:val="24"/>
          <w:szCs w:val="24"/>
        </w:rPr>
        <w:t>Parkinsonism &amp; Related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(7), 453–457. </w:t>
      </w:r>
      <w:hyperlink r:id="rId3015" w:history="1">
        <w:r w:rsidRPr="004C4852">
          <w:rPr>
            <w:rFonts w:ascii="Times New Roman" w:eastAsia="Times New Roman" w:hAnsi="Times New Roman" w:cs="Times New Roman"/>
            <w:color w:val="0000FF"/>
            <w:sz w:val="24"/>
            <w:szCs w:val="24"/>
            <w:u w:val="single"/>
          </w:rPr>
          <w:t>https://doi.org/10.1016/j.parkreldis.2010.04.011</w:t>
        </w:r>
      </w:hyperlink>
    </w:p>
    <w:p w14:paraId="098A40D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Kobayakawa, M., Tsuruya, N., &amp; Kawamura, M. (2017). Decision-making performance in Parkinson’s disease correlates with lateral orbitofrontal volume.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372</w:t>
      </w:r>
      <w:r w:rsidRPr="004C4852">
        <w:rPr>
          <w:rFonts w:ascii="Times New Roman" w:eastAsia="Times New Roman" w:hAnsi="Times New Roman" w:cs="Times New Roman"/>
          <w:sz w:val="24"/>
          <w:szCs w:val="24"/>
        </w:rPr>
        <w:t xml:space="preserve">, 232–238. </w:t>
      </w:r>
      <w:hyperlink r:id="rId3016" w:history="1">
        <w:r w:rsidRPr="004C4852">
          <w:rPr>
            <w:rFonts w:ascii="Times New Roman" w:eastAsia="Times New Roman" w:hAnsi="Times New Roman" w:cs="Times New Roman"/>
            <w:color w:val="0000FF"/>
            <w:sz w:val="24"/>
            <w:szCs w:val="24"/>
            <w:u w:val="single"/>
          </w:rPr>
          <w:t>https://doi.org/10.1016/j.jns.2016.11.046</w:t>
        </w:r>
      </w:hyperlink>
    </w:p>
    <w:p w14:paraId="17E609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Kobayashi, S., Iwama, Y., Nishimaru, H., Matsumoto, J., Setogawa, T., Ono, T., &amp; Nishijo, H. (2021). Examination of the prefrontal cortex hemodynamic responses to the Fist-Edge-Palm task in naïve subjects using functional near-infrared spectroscopy.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 </w:t>
      </w:r>
      <w:hyperlink r:id="rId3017" w:history="1">
        <w:r w:rsidRPr="004C4852">
          <w:rPr>
            <w:rFonts w:ascii="Times New Roman" w:eastAsia="Times New Roman" w:hAnsi="Times New Roman" w:cs="Times New Roman"/>
            <w:color w:val="0000FF"/>
            <w:sz w:val="24"/>
            <w:szCs w:val="24"/>
            <w:u w:val="single"/>
          </w:rPr>
          <w:t>https://doi.org/10.3389/fnhum.2021.617626</w:t>
        </w:r>
      </w:hyperlink>
    </w:p>
    <w:p w14:paraId="6F0F7F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Kóbor, A., Kardos, Z., Horváth, K., Janacsek, K., Takács, Á., Csépe, V., &amp; Nemeth, D. (2021). Implicit anticipation of probabilistic regularities: Larger CNV emerges for unpredictable events.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156</w:t>
      </w:r>
      <w:r w:rsidRPr="004C4852">
        <w:rPr>
          <w:rFonts w:ascii="Times New Roman" w:eastAsia="Times New Roman" w:hAnsi="Times New Roman" w:cs="Times New Roman"/>
          <w:sz w:val="24"/>
          <w:szCs w:val="24"/>
        </w:rPr>
        <w:t xml:space="preserve">. </w:t>
      </w:r>
      <w:hyperlink r:id="rId3018" w:history="1">
        <w:r w:rsidRPr="004C4852">
          <w:rPr>
            <w:rFonts w:ascii="Times New Roman" w:eastAsia="Times New Roman" w:hAnsi="Times New Roman" w:cs="Times New Roman"/>
            <w:color w:val="0000FF"/>
            <w:sz w:val="24"/>
            <w:szCs w:val="24"/>
            <w:u w:val="single"/>
          </w:rPr>
          <w:t>https://doi.org/10.1016/j.neuropsychologia.2021.107826</w:t>
        </w:r>
      </w:hyperlink>
    </w:p>
    <w:p w14:paraId="4091CF4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Kóbor, A., Takács, Á., Kardos, Z., Janacsek, K., Horváth, K., Csépe, V., &amp; Nemeth, D. (2018). ERPs differentiate the sensitivity to statistical probabilities and the learning of sequential structures during procedural learning. </w:t>
      </w:r>
      <w:r w:rsidRPr="004C4852">
        <w:rPr>
          <w:rFonts w:ascii="Times New Roman" w:eastAsia="Times New Roman" w:hAnsi="Times New Roman" w:cs="Times New Roman"/>
          <w:i/>
          <w:iCs/>
          <w:sz w:val="24"/>
          <w:szCs w:val="24"/>
        </w:rPr>
        <w:t>Biological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 180–193. </w:t>
      </w:r>
      <w:hyperlink r:id="rId3019" w:history="1">
        <w:r w:rsidRPr="004C4852">
          <w:rPr>
            <w:rFonts w:ascii="Times New Roman" w:eastAsia="Times New Roman" w:hAnsi="Times New Roman" w:cs="Times New Roman"/>
            <w:color w:val="0000FF"/>
            <w:sz w:val="24"/>
            <w:szCs w:val="24"/>
            <w:u w:val="single"/>
          </w:rPr>
          <w:t>https://doi.org/10.1016/j.biopsycho.2018.04.001</w:t>
        </w:r>
      </w:hyperlink>
    </w:p>
    <w:p w14:paraId="34C9E1F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Kocatürk, B. K., Eşsizoğlu, A., Aksaray, G., Akarsu, F. Ö., &amp; Musmul, A. (2015). Relationship suicide, cognitive functions, and depression in patients with schizophrenia. </w:t>
      </w:r>
      <w:r w:rsidRPr="004C4852">
        <w:rPr>
          <w:rFonts w:ascii="Times New Roman" w:eastAsia="Times New Roman" w:hAnsi="Times New Roman" w:cs="Times New Roman"/>
          <w:i/>
          <w:iCs/>
          <w:sz w:val="24"/>
          <w:szCs w:val="24"/>
        </w:rPr>
        <w:t>Nöropsikiyatri Arşivi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(2), 169–173. </w:t>
      </w:r>
      <w:hyperlink r:id="rId3020" w:history="1">
        <w:r w:rsidRPr="004C4852">
          <w:rPr>
            <w:rFonts w:ascii="Times New Roman" w:eastAsia="Times New Roman" w:hAnsi="Times New Roman" w:cs="Times New Roman"/>
            <w:color w:val="0000FF"/>
            <w:sz w:val="24"/>
            <w:szCs w:val="24"/>
            <w:u w:val="single"/>
          </w:rPr>
          <w:t>https://doi.org/10.5152/npa.2015.7506</w:t>
        </w:r>
      </w:hyperlink>
    </w:p>
    <w:p w14:paraId="3FED73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Koch, K., Stegmaier, S., Schwarz, L., Erb, M., Reinl, M., Scheffler, K., Wildgruber, D., &amp; Ethofer, T. (2018). Neural correlates of processing emotional prosody in unipolar depression. </w:t>
      </w:r>
      <w:r w:rsidRPr="004C4852">
        <w:rPr>
          <w:rFonts w:ascii="Times New Roman" w:eastAsia="Times New Roman" w:hAnsi="Times New Roman" w:cs="Times New Roman"/>
          <w:i/>
          <w:iCs/>
          <w:sz w:val="24"/>
          <w:szCs w:val="24"/>
        </w:rPr>
        <w:t>Human Brain Mapping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(8), 3419–3427. </w:t>
      </w:r>
      <w:hyperlink r:id="rId3021" w:history="1">
        <w:r w:rsidRPr="004C4852">
          <w:rPr>
            <w:rFonts w:ascii="Times New Roman" w:eastAsia="Times New Roman" w:hAnsi="Times New Roman" w:cs="Times New Roman"/>
            <w:color w:val="0000FF"/>
            <w:sz w:val="24"/>
            <w:szCs w:val="24"/>
            <w:u w:val="single"/>
          </w:rPr>
          <w:t>https://doi.org/10.1002/hbm.24185</w:t>
        </w:r>
      </w:hyperlink>
    </w:p>
    <w:p w14:paraId="137202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Kockler, T. R., &amp; Stanford, M. S. (2008). Using a clinically aggressive sample to examine the association between impulsivity, executive functioning, and verbal learning and memory.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165–173. </w:t>
      </w:r>
      <w:hyperlink r:id="rId3022" w:history="1">
        <w:r w:rsidRPr="004C4852">
          <w:rPr>
            <w:rFonts w:ascii="Times New Roman" w:eastAsia="Times New Roman" w:hAnsi="Times New Roman" w:cs="Times New Roman"/>
            <w:color w:val="0000FF"/>
            <w:sz w:val="24"/>
            <w:szCs w:val="24"/>
            <w:u w:val="single"/>
          </w:rPr>
          <w:t>https://doi.org/10.1016/j.acn.2007.10.006</w:t>
        </w:r>
      </w:hyperlink>
    </w:p>
    <w:p w14:paraId="17C8643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Kodituwakku, P. W., May, P. A., Clericuzio, C. L., &amp; Weers, D. (2001). Emotion-related learning in individuals prenatally exposed to alcohol: An investigation of the relation between set shifting, extinction of responses, and behavior.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39</w:t>
      </w:r>
      <w:r w:rsidRPr="004C4852">
        <w:rPr>
          <w:rFonts w:ascii="Times New Roman" w:eastAsia="Times New Roman" w:hAnsi="Times New Roman" w:cs="Times New Roman"/>
          <w:sz w:val="24"/>
          <w:szCs w:val="24"/>
        </w:rPr>
        <w:t xml:space="preserve">(7), 699–708. </w:t>
      </w:r>
      <w:hyperlink r:id="rId3023" w:history="1">
        <w:r w:rsidRPr="004C4852">
          <w:rPr>
            <w:rFonts w:ascii="Times New Roman" w:eastAsia="Times New Roman" w:hAnsi="Times New Roman" w:cs="Times New Roman"/>
            <w:color w:val="0000FF"/>
            <w:sz w:val="24"/>
            <w:szCs w:val="24"/>
            <w:u w:val="single"/>
          </w:rPr>
          <w:t>https://doi.org/10.1016/S0028-3932(01)00002-1</w:t>
        </w:r>
      </w:hyperlink>
    </w:p>
    <w:p w14:paraId="7DB841C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Koerte, I. K., Hufschmidt, J., Muehlmann, M., Tripodis, Y., Stamm, J. M., Pasternak, O., Giwerc, M. Y., Coleman, M. J., Baugh, C. M., Fritts, N. G., Heinen, F., Lin, A., Stern, R. A., &amp; Shenton, M. E. (2016). Cavum septi pellucidi in symptomatic former professional football players. </w:t>
      </w:r>
      <w:r w:rsidRPr="004C4852">
        <w:rPr>
          <w:rFonts w:ascii="Times New Roman" w:eastAsia="Times New Roman" w:hAnsi="Times New Roman" w:cs="Times New Roman"/>
          <w:i/>
          <w:iCs/>
          <w:sz w:val="24"/>
          <w:szCs w:val="24"/>
        </w:rPr>
        <w:t>Journal of Neurotrauma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(4), 346–353. </w:t>
      </w:r>
      <w:hyperlink r:id="rId3024" w:history="1">
        <w:r w:rsidRPr="004C4852">
          <w:rPr>
            <w:rFonts w:ascii="Times New Roman" w:eastAsia="Times New Roman" w:hAnsi="Times New Roman" w:cs="Times New Roman"/>
            <w:color w:val="0000FF"/>
            <w:sz w:val="24"/>
            <w:szCs w:val="24"/>
            <w:u w:val="single"/>
          </w:rPr>
          <w:t>https://doi.org/10.1089/neu.2015.3880</w:t>
        </w:r>
      </w:hyperlink>
    </w:p>
    <w:p w14:paraId="20BF6B6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Koide, T., Banno, M., Aleksic, B., Yamashita, S., Kikuchi, T., Kohmura, K., Adachi, Y., Kawano, N., Kushima, I., Nakamura, Y., Okada, T., Ikeda, M., Ohi, K., Yasuda, Y., Hashimoto, R., Inada, T., Ujike, H., Iidaka, T., Suzuki, M., … Ozaki, N. (2012). Common variants in MAGI2 gene are associated with increased risk for cognitive impairment in schizophrenic patients.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(5). </w:t>
      </w:r>
      <w:hyperlink r:id="rId3025" w:history="1">
        <w:r w:rsidRPr="004C4852">
          <w:rPr>
            <w:rFonts w:ascii="Times New Roman" w:eastAsia="Times New Roman" w:hAnsi="Times New Roman" w:cs="Times New Roman"/>
            <w:color w:val="0000FF"/>
            <w:sz w:val="24"/>
            <w:szCs w:val="24"/>
            <w:u w:val="single"/>
          </w:rPr>
          <w:t>https://doi.org/10.1371/journal.pone.0036836</w:t>
        </w:r>
      </w:hyperlink>
    </w:p>
    <w:p w14:paraId="6A88CDB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Koiliari, E., Roussos, P., Pasparakis, E., Lencz, T., Malhotra, A., Siever, L. J., Giakoumaki, S. G., &amp; Bitsios, P. (2014). The CSMD1 genome-wide associated schizophrenia risk variant rs10503253 affects general cognitive ability and executive function in healthy males.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154</w:t>
      </w:r>
      <w:r w:rsidRPr="004C4852">
        <w:rPr>
          <w:rFonts w:ascii="Times New Roman" w:eastAsia="Times New Roman" w:hAnsi="Times New Roman" w:cs="Times New Roman"/>
          <w:sz w:val="24"/>
          <w:szCs w:val="24"/>
        </w:rPr>
        <w:t xml:space="preserve">(1–3), 42–47. </w:t>
      </w:r>
      <w:hyperlink r:id="rId3026" w:history="1">
        <w:r w:rsidRPr="004C4852">
          <w:rPr>
            <w:rFonts w:ascii="Times New Roman" w:eastAsia="Times New Roman" w:hAnsi="Times New Roman" w:cs="Times New Roman"/>
            <w:color w:val="0000FF"/>
            <w:sz w:val="24"/>
            <w:szCs w:val="24"/>
            <w:u w:val="single"/>
          </w:rPr>
          <w:t>https://doi.org/10.1016/j.schres.2014.02.017</w:t>
        </w:r>
      </w:hyperlink>
    </w:p>
    <w:p w14:paraId="1D48201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Kojima, T., Matsushima, E., Ando, K., Ando, H., Sakurada, M., Ohta, K., Moriya, H., &amp; Shimazono, Y. (1992). Exploratory Eye Movements and Neuropsychological Tests in Schizophrenic Patients.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(1), 85–94. </w:t>
      </w:r>
      <w:hyperlink r:id="rId3027" w:history="1">
        <w:r w:rsidRPr="004C4852">
          <w:rPr>
            <w:rFonts w:ascii="Times New Roman" w:eastAsia="Times New Roman" w:hAnsi="Times New Roman" w:cs="Times New Roman"/>
            <w:color w:val="0000FF"/>
            <w:sz w:val="24"/>
            <w:szCs w:val="24"/>
            <w:u w:val="single"/>
          </w:rPr>
          <w:t>https://doi.org/10.1093/schbul/18.1.85</w:t>
        </w:r>
      </w:hyperlink>
    </w:p>
    <w:p w14:paraId="730431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Kolur, U. S., Reddy, Y. C. J., John, J. P., Kandavel, T., &amp; Jain, S. (2006). Sustained attention and executive functions in euthymic young people with bipolar disorder. </w:t>
      </w:r>
      <w:r w:rsidRPr="004C4852">
        <w:rPr>
          <w:rFonts w:ascii="Times New Roman" w:eastAsia="Times New Roman" w:hAnsi="Times New Roman" w:cs="Times New Roman"/>
          <w:i/>
          <w:iCs/>
          <w:sz w:val="24"/>
          <w:szCs w:val="24"/>
        </w:rPr>
        <w:t>The British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189</w:t>
      </w:r>
      <w:r w:rsidRPr="004C4852">
        <w:rPr>
          <w:rFonts w:ascii="Times New Roman" w:eastAsia="Times New Roman" w:hAnsi="Times New Roman" w:cs="Times New Roman"/>
          <w:sz w:val="24"/>
          <w:szCs w:val="24"/>
        </w:rPr>
        <w:t xml:space="preserve">, 453–458. </w:t>
      </w:r>
      <w:hyperlink r:id="rId3028" w:history="1">
        <w:r w:rsidRPr="004C4852">
          <w:rPr>
            <w:rFonts w:ascii="Times New Roman" w:eastAsia="Times New Roman" w:hAnsi="Times New Roman" w:cs="Times New Roman"/>
            <w:color w:val="0000FF"/>
            <w:sz w:val="24"/>
            <w:szCs w:val="24"/>
            <w:u w:val="single"/>
          </w:rPr>
          <w:t>https://doi.org/10.1192/bjp.bp.106.022921</w:t>
        </w:r>
      </w:hyperlink>
    </w:p>
    <w:p w14:paraId="02E3549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Kompus, K., Westerhausen, R., Nilsson, L.-G., Hugdahl, K., Jongstra, S., Berglund, A., Arver, S., &amp; Savic, I. (2011). Deficits in inhibitory executive functions in Klinefelter (47, XXY) syndrome.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189</w:t>
      </w:r>
      <w:r w:rsidRPr="004C4852">
        <w:rPr>
          <w:rFonts w:ascii="Times New Roman" w:eastAsia="Times New Roman" w:hAnsi="Times New Roman" w:cs="Times New Roman"/>
          <w:sz w:val="24"/>
          <w:szCs w:val="24"/>
        </w:rPr>
        <w:t xml:space="preserve">(1), 135–140. </w:t>
      </w:r>
      <w:hyperlink r:id="rId3029" w:history="1">
        <w:r w:rsidRPr="004C4852">
          <w:rPr>
            <w:rFonts w:ascii="Times New Roman" w:eastAsia="Times New Roman" w:hAnsi="Times New Roman" w:cs="Times New Roman"/>
            <w:color w:val="0000FF"/>
            <w:sz w:val="24"/>
            <w:szCs w:val="24"/>
            <w:u w:val="single"/>
          </w:rPr>
          <w:t>https://doi.org/10.1016/j.psychres.2011.02.028</w:t>
        </w:r>
      </w:hyperlink>
    </w:p>
    <w:p w14:paraId="663149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Königs, M., van Heurn, L. W. E., Vermeulen, R. J., Goslings, J. C., Luitse, J. S. K., Poll-Thé, B. T., Beelen, A., van der Wees, M., Kemps, R. J. J. K., Catsman-Berrevoets, C. E., Luman, M., &amp; Oosterlaan, J. (2016). Feedback learning and behavior problems after pediatric traumatic brain injury.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(7), 1473–1484. </w:t>
      </w:r>
      <w:hyperlink r:id="rId3030" w:history="1">
        <w:r w:rsidRPr="004C4852">
          <w:rPr>
            <w:rFonts w:ascii="Times New Roman" w:eastAsia="Times New Roman" w:hAnsi="Times New Roman" w:cs="Times New Roman"/>
            <w:color w:val="0000FF"/>
            <w:sz w:val="24"/>
            <w:szCs w:val="24"/>
            <w:u w:val="single"/>
          </w:rPr>
          <w:t>https://doi.org/10.1017/S0033291716000106</w:t>
        </w:r>
      </w:hyperlink>
    </w:p>
    <w:p w14:paraId="0BD6C38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J., del Re, E. C., Bouix, S., Blokland, G. A. M., Mesholam-Gately, R., Woodberry, K., Niznikiewicz, M., Goldstein, J., Hirayasu, Y., Petryshen, T. L., Seidman, L. J., Shenton, M. E., &amp; McCarley, R. W. (2018). Abnormal relationships between local and global brain measures in subjects at clinical high risk for psychosis: A pilot study. </w:t>
      </w:r>
      <w:r w:rsidRPr="004C4852">
        <w:rPr>
          <w:rFonts w:ascii="Times New Roman" w:eastAsia="Times New Roman" w:hAnsi="Times New Roman" w:cs="Times New Roman"/>
          <w:i/>
          <w:iCs/>
          <w:sz w:val="24"/>
          <w:szCs w:val="24"/>
        </w:rPr>
        <w:t>Brain Imaging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(4), 974–988. </w:t>
      </w:r>
      <w:hyperlink r:id="rId3031" w:history="1">
        <w:r w:rsidRPr="004C4852">
          <w:rPr>
            <w:rFonts w:ascii="Times New Roman" w:eastAsia="Times New Roman" w:hAnsi="Times New Roman" w:cs="Times New Roman"/>
            <w:color w:val="0000FF"/>
            <w:sz w:val="24"/>
            <w:szCs w:val="24"/>
            <w:u w:val="single"/>
          </w:rPr>
          <w:t>https://doi.org/10.1007/s11682-017-9758-z</w:t>
        </w:r>
      </w:hyperlink>
    </w:p>
    <w:p w14:paraId="491802B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Asari, T., Jimura, K., Chikazoe, J., &amp; Miyashita, Y. (2006). Activation Shift from Medial to Lateral Temporal Cortex Associated with Recency Judgements Following Impoverished Encoding. </w:t>
      </w:r>
      <w:r w:rsidRPr="004C4852">
        <w:rPr>
          <w:rFonts w:ascii="Times New Roman" w:eastAsia="Times New Roman" w:hAnsi="Times New Roman" w:cs="Times New Roman"/>
          <w:i/>
          <w:iCs/>
          <w:sz w:val="24"/>
          <w:szCs w:val="24"/>
        </w:rPr>
        <w:t>Cerebral Cortex</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16</w:t>
      </w:r>
      <w:r w:rsidRPr="004C4852">
        <w:rPr>
          <w:rFonts w:ascii="Times New Roman" w:eastAsia="Times New Roman" w:hAnsi="Times New Roman" w:cs="Times New Roman"/>
          <w:sz w:val="24"/>
          <w:szCs w:val="24"/>
        </w:rPr>
        <w:t xml:space="preserve">(4), 469–474. </w:t>
      </w:r>
      <w:hyperlink r:id="rId3032" w:history="1">
        <w:r w:rsidRPr="004C4852">
          <w:rPr>
            <w:rFonts w:ascii="Times New Roman" w:eastAsia="Times New Roman" w:hAnsi="Times New Roman" w:cs="Times New Roman"/>
            <w:color w:val="0000FF"/>
            <w:sz w:val="24"/>
            <w:szCs w:val="24"/>
            <w:u w:val="single"/>
          </w:rPr>
          <w:t>https://doi.org/10.1093/cercor/bhi126</w:t>
        </w:r>
      </w:hyperlink>
    </w:p>
    <w:p w14:paraId="392DC75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Chikazoe, J., Jimura, K., Asari, T., &amp; Miyashita, Y. (2005). Neural mechanism in anterior prefrontal cortex for inhibition of prolonged set interference. </w:t>
      </w:r>
      <w:r w:rsidRPr="004C4852">
        <w:rPr>
          <w:rFonts w:ascii="Times New Roman" w:eastAsia="Times New Roman" w:hAnsi="Times New Roman" w:cs="Times New Roman"/>
          <w:i/>
          <w:iCs/>
          <w:sz w:val="24"/>
          <w:szCs w:val="24"/>
        </w:rPr>
        <w:t>PNAS Proceedings of the National Academy of Sciences of the United States of America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102</w:t>
      </w:r>
      <w:r w:rsidRPr="004C4852">
        <w:rPr>
          <w:rFonts w:ascii="Times New Roman" w:eastAsia="Times New Roman" w:hAnsi="Times New Roman" w:cs="Times New Roman"/>
          <w:sz w:val="24"/>
          <w:szCs w:val="24"/>
        </w:rPr>
        <w:t xml:space="preserve">(35), 12584–12588. </w:t>
      </w:r>
      <w:hyperlink r:id="rId3033" w:history="1">
        <w:r w:rsidRPr="004C4852">
          <w:rPr>
            <w:rFonts w:ascii="Times New Roman" w:eastAsia="Times New Roman" w:hAnsi="Times New Roman" w:cs="Times New Roman"/>
            <w:color w:val="0000FF"/>
            <w:sz w:val="24"/>
            <w:szCs w:val="24"/>
            <w:u w:val="single"/>
          </w:rPr>
          <w:t>https://doi.org/10.1073/pnas.0500585102</w:t>
        </w:r>
      </w:hyperlink>
    </w:p>
    <w:p w14:paraId="2C44C3F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Jimura, K., Asari, T., &amp; Miyashita, Y. (2003). Transient Activation of Superior Prefrontal Cortex during Inhibition of Cognitive Set. </w:t>
      </w:r>
      <w:r w:rsidRPr="004C4852">
        <w:rPr>
          <w:rFonts w:ascii="Times New Roman" w:eastAsia="Times New Roman" w:hAnsi="Times New Roman" w:cs="Times New Roman"/>
          <w:i/>
          <w:iCs/>
          <w:sz w:val="24"/>
          <w:szCs w:val="24"/>
        </w:rPr>
        <w:t>The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(21), 7776–7782.</w:t>
      </w:r>
    </w:p>
    <w:p w14:paraId="651EF4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Kawazu, M., Uchida, I., Kikyo, H., Asakura, I., &amp; Miyashita, Y. (1999). Contribution of working memory to transient activation in human inferior prefrontal cortex during performance of the Wisconsin Card Sorting Test. </w:t>
      </w:r>
      <w:r w:rsidRPr="004C4852">
        <w:rPr>
          <w:rFonts w:ascii="Times New Roman" w:eastAsia="Times New Roman" w:hAnsi="Times New Roman" w:cs="Times New Roman"/>
          <w:i/>
          <w:iCs/>
          <w:sz w:val="24"/>
          <w:szCs w:val="24"/>
        </w:rPr>
        <w:t>Cerebral Cortex</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(7), 745–753. </w:t>
      </w:r>
      <w:hyperlink r:id="rId3034" w:history="1">
        <w:r w:rsidRPr="004C4852">
          <w:rPr>
            <w:rFonts w:ascii="Times New Roman" w:eastAsia="Times New Roman" w:hAnsi="Times New Roman" w:cs="Times New Roman"/>
            <w:color w:val="0000FF"/>
            <w:sz w:val="24"/>
            <w:szCs w:val="24"/>
            <w:u w:val="single"/>
          </w:rPr>
          <w:t>https://doi.org/10.1093/cercor/9.7.745</w:t>
        </w:r>
      </w:hyperlink>
    </w:p>
    <w:p w14:paraId="6FA467BF"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Nakajima, K., Uchida, I., Kameyama, M., Nakahara, K., Sekihara, K., &amp; Miyashita, Y. (1998). Transient activation of inferior prefrontal cortex during cognitive set shifting. </w:t>
      </w:r>
      <w:r w:rsidRPr="004C4852">
        <w:rPr>
          <w:rFonts w:ascii="Times New Roman" w:eastAsia="Times New Roman" w:hAnsi="Times New Roman" w:cs="Times New Roman"/>
          <w:i/>
          <w:iCs/>
          <w:sz w:val="24"/>
          <w:szCs w:val="24"/>
        </w:rPr>
        <w:t>Nature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w:t>
      </w:r>
      <w:r w:rsidRPr="004C4852">
        <w:rPr>
          <w:rFonts w:ascii="Times New Roman" w:eastAsia="Times New Roman" w:hAnsi="Times New Roman" w:cs="Times New Roman"/>
          <w:sz w:val="24"/>
          <w:szCs w:val="24"/>
        </w:rPr>
        <w:t xml:space="preserve">(1), 80–84. </w:t>
      </w:r>
      <w:hyperlink r:id="rId3035" w:history="1">
        <w:r w:rsidRPr="004C4852">
          <w:rPr>
            <w:rFonts w:ascii="Times New Roman" w:eastAsia="Times New Roman" w:hAnsi="Times New Roman" w:cs="Times New Roman"/>
            <w:color w:val="0000FF"/>
            <w:sz w:val="24"/>
            <w:szCs w:val="24"/>
            <w:u w:val="single"/>
          </w:rPr>
          <w:t>https://doi.org/10.1038/283</w:t>
        </w:r>
      </w:hyperlink>
    </w:p>
    <w:p w14:paraId="112D03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Konishi, S., Watanabe, T., Jimura, K., Chikazoe, J., Hirose, S., Kimura, H. M., &amp; Miyashita, Y. (2011). Role for presupplementary motor area in inhibition of cognitive set interference.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(3), 737–745. </w:t>
      </w:r>
      <w:hyperlink r:id="rId3036" w:history="1">
        <w:r w:rsidRPr="004C4852">
          <w:rPr>
            <w:rFonts w:ascii="Times New Roman" w:eastAsia="Times New Roman" w:hAnsi="Times New Roman" w:cs="Times New Roman"/>
            <w:color w:val="0000FF"/>
            <w:sz w:val="24"/>
            <w:szCs w:val="24"/>
            <w:u w:val="single"/>
          </w:rPr>
          <w:t>https://doi.org/10.1162/jocn.2010.21480</w:t>
        </w:r>
      </w:hyperlink>
    </w:p>
    <w:p w14:paraId="06F3A0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Konrad, A., Dielentheis, T. F., El Masri, D., Bayerl, M., Fehr, C., Gesierich, T., Vucurevic, G., Stoeter, P., &amp; Winterer, G. (2010). Disturbed structural connectivity is related to inattention and impulsivity in adult attention deficit hyperactivity disorder. </w:t>
      </w:r>
      <w:r w:rsidRPr="004C4852">
        <w:rPr>
          <w:rFonts w:ascii="Times New Roman" w:eastAsia="Times New Roman" w:hAnsi="Times New Roman" w:cs="Times New Roman"/>
          <w:i/>
          <w:iCs/>
          <w:sz w:val="24"/>
          <w:szCs w:val="24"/>
        </w:rPr>
        <w:t>European Journal of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(5), 912–919. </w:t>
      </w:r>
      <w:hyperlink r:id="rId3037" w:history="1">
        <w:r w:rsidRPr="004C4852">
          <w:rPr>
            <w:rFonts w:ascii="Times New Roman" w:eastAsia="Times New Roman" w:hAnsi="Times New Roman" w:cs="Times New Roman"/>
            <w:color w:val="0000FF"/>
            <w:sz w:val="24"/>
            <w:szCs w:val="24"/>
            <w:u w:val="single"/>
          </w:rPr>
          <w:t>https://doi.org/10.1111/j.1460-9568.2010.07110.x</w:t>
        </w:r>
      </w:hyperlink>
    </w:p>
    <w:p w14:paraId="4B612A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Ioannidi, N., Patrikelis, P., &amp; Gonidakis, F. (2020a). Empathy, mentalizing, and cognitive functioning in anorexia nervosa and bulimia nervosa. </w:t>
      </w:r>
      <w:r w:rsidRPr="004C4852">
        <w:rPr>
          <w:rFonts w:ascii="Times New Roman" w:eastAsia="Times New Roman" w:hAnsi="Times New Roman" w:cs="Times New Roman"/>
          <w:i/>
          <w:iCs/>
          <w:sz w:val="24"/>
          <w:szCs w:val="24"/>
        </w:rPr>
        <w:t>Social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(4), 477–488. </w:t>
      </w:r>
      <w:hyperlink r:id="rId3038" w:history="1">
        <w:r w:rsidRPr="004C4852">
          <w:rPr>
            <w:rFonts w:ascii="Times New Roman" w:eastAsia="Times New Roman" w:hAnsi="Times New Roman" w:cs="Times New Roman"/>
            <w:color w:val="0000FF"/>
            <w:sz w:val="24"/>
            <w:szCs w:val="24"/>
            <w:u w:val="single"/>
          </w:rPr>
          <w:t>https://doi.org/10.1080/17470919.2020.1760131</w:t>
        </w:r>
      </w:hyperlink>
    </w:p>
    <w:p w14:paraId="69A2FFC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Ioannidi, N., Patrikelis, P., &amp; Gonidakis, F. (2020b). The impact of theory of mind and neurocognition on delusionality in anorexia nervosa.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(6), 611–621. </w:t>
      </w:r>
      <w:hyperlink r:id="rId3039" w:history="1">
        <w:r w:rsidRPr="004C4852">
          <w:rPr>
            <w:rFonts w:ascii="Times New Roman" w:eastAsia="Times New Roman" w:hAnsi="Times New Roman" w:cs="Times New Roman"/>
            <w:color w:val="0000FF"/>
            <w:sz w:val="24"/>
            <w:szCs w:val="24"/>
            <w:u w:val="single"/>
          </w:rPr>
          <w:t>https://doi.org/10.1080/13803395.2020.1786504</w:t>
        </w:r>
      </w:hyperlink>
    </w:p>
    <w:p w14:paraId="2D3B9F3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loannid, N., Typaldou, M., Sakkas, D., &amp; Oulis, P. (2016). Clinical and cognitive factors affecting psychosocial functioning in remitted patients with bipolar disorder. </w:t>
      </w:r>
      <w:r w:rsidRPr="004C4852">
        <w:rPr>
          <w:rFonts w:ascii="Times New Roman" w:eastAsia="Times New Roman" w:hAnsi="Times New Roman" w:cs="Times New Roman"/>
          <w:i/>
          <w:iCs/>
          <w:sz w:val="24"/>
          <w:szCs w:val="24"/>
        </w:rPr>
        <w:t>Psychiatriki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(3), 182–191. </w:t>
      </w:r>
      <w:hyperlink r:id="rId3040" w:history="1">
        <w:r w:rsidRPr="004C4852">
          <w:rPr>
            <w:rFonts w:ascii="Times New Roman" w:eastAsia="Times New Roman" w:hAnsi="Times New Roman" w:cs="Times New Roman"/>
            <w:color w:val="0000FF"/>
            <w:sz w:val="24"/>
            <w:szCs w:val="24"/>
            <w:u w:val="single"/>
          </w:rPr>
          <w:t>https://doi.org/10.22365/jpsych.2016.273.182</w:t>
        </w:r>
      </w:hyperlink>
    </w:p>
    <w:p w14:paraId="635872C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loannidi, N., Patrikelis, P., Soumani, A., Oulis, P., Sakkas, D., Papadimitriou, G. N., &amp; Ploumpidis, D. (2011). Neurocognitive function in clinically stable patients with schizophrenia or bipolar disorder and normal controls. [Neurocognitive function in clinically stable patients with schizophrenia or bipolar disorder and normal controls.]. </w:t>
      </w:r>
      <w:r w:rsidRPr="004C4852">
        <w:rPr>
          <w:rFonts w:ascii="Times New Roman" w:eastAsia="Times New Roman" w:hAnsi="Times New Roman" w:cs="Times New Roman"/>
          <w:i/>
          <w:iCs/>
          <w:sz w:val="24"/>
          <w:szCs w:val="24"/>
        </w:rPr>
        <w:t>Psychiatriki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22</w:t>
      </w:r>
      <w:r w:rsidRPr="004C4852">
        <w:rPr>
          <w:rFonts w:ascii="Times New Roman" w:eastAsia="Times New Roman" w:hAnsi="Times New Roman" w:cs="Times New Roman"/>
          <w:sz w:val="24"/>
          <w:szCs w:val="24"/>
        </w:rPr>
        <w:t>(3), 195–206.</w:t>
      </w:r>
    </w:p>
    <w:p w14:paraId="5337F5B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Oulis, P., Ploumpidis, D., Patrikelis, P., Nikitopoulou, S., Papadimitriou, G. N., &amp; David, A. S. (2014). Self-rated and performance-based empathy in schizophrenia: The impact of cognitive deficits. </w:t>
      </w:r>
      <w:r w:rsidRPr="004C4852">
        <w:rPr>
          <w:rFonts w:ascii="Times New Roman" w:eastAsia="Times New Roman" w:hAnsi="Times New Roman" w:cs="Times New Roman"/>
          <w:i/>
          <w:iCs/>
          <w:sz w:val="24"/>
          <w:szCs w:val="24"/>
        </w:rPr>
        <w:t>Social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(6), 590–600.</w:t>
      </w:r>
    </w:p>
    <w:p w14:paraId="24D9400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Ploumpidis, D., Oulis, P., Patrikelis, P., Nikitopoulou, S., Papadimitriou, G. N., &amp; David, A. S. (2014). The relationship between insight and theory of mind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152</w:t>
      </w:r>
      <w:r w:rsidRPr="004C4852">
        <w:rPr>
          <w:rFonts w:ascii="Times New Roman" w:eastAsia="Times New Roman" w:hAnsi="Times New Roman" w:cs="Times New Roman"/>
          <w:sz w:val="24"/>
          <w:szCs w:val="24"/>
        </w:rPr>
        <w:t xml:space="preserve">(1), 217–222. </w:t>
      </w:r>
      <w:hyperlink r:id="rId3041" w:history="1">
        <w:r w:rsidRPr="004C4852">
          <w:rPr>
            <w:rFonts w:ascii="Times New Roman" w:eastAsia="Times New Roman" w:hAnsi="Times New Roman" w:cs="Times New Roman"/>
            <w:color w:val="0000FF"/>
            <w:sz w:val="24"/>
            <w:szCs w:val="24"/>
            <w:u w:val="single"/>
          </w:rPr>
          <w:t>https://doi.org/10.1016/j.schres.2013.11.022</w:t>
        </w:r>
      </w:hyperlink>
    </w:p>
    <w:p w14:paraId="3D79ECE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Ploumpidis, D., Oulis, P., Patrikelis, P., Soumani, A., Papadimitriou, G. N., &amp; Politis, A. M. (2011). Apathy, cognitive deficits and functional impairment in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133</w:t>
      </w:r>
      <w:r w:rsidRPr="004C4852">
        <w:rPr>
          <w:rFonts w:ascii="Times New Roman" w:eastAsia="Times New Roman" w:hAnsi="Times New Roman" w:cs="Times New Roman"/>
          <w:sz w:val="24"/>
          <w:szCs w:val="24"/>
        </w:rPr>
        <w:t xml:space="preserve">(1–3), 193–198. </w:t>
      </w:r>
      <w:hyperlink r:id="rId3042" w:history="1">
        <w:r w:rsidRPr="004C4852">
          <w:rPr>
            <w:rFonts w:ascii="Times New Roman" w:eastAsia="Times New Roman" w:hAnsi="Times New Roman" w:cs="Times New Roman"/>
            <w:color w:val="0000FF"/>
            <w:sz w:val="24"/>
            <w:szCs w:val="24"/>
            <w:u w:val="single"/>
          </w:rPr>
          <w:t>https://doi.org/10.1016/j.schres.2011.07.003</w:t>
        </w:r>
      </w:hyperlink>
    </w:p>
    <w:p w14:paraId="0982927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Konstantakopoulos, G., Ploumpidis, D., Oulis, P., Soumani, A., Nikitopoulou, S., Pappa, K., Papadimitriou, G. N., &amp; David, A. S. (2013). Is insight in schizophrenia multidimensional? Internal structure and associations of the Greek version of the Schedule for the Assessment of Insight—Expanded.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209</w:t>
      </w:r>
      <w:r w:rsidRPr="004C4852">
        <w:rPr>
          <w:rFonts w:ascii="Times New Roman" w:eastAsia="Times New Roman" w:hAnsi="Times New Roman" w:cs="Times New Roman"/>
          <w:sz w:val="24"/>
          <w:szCs w:val="24"/>
        </w:rPr>
        <w:t xml:space="preserve">(3), 346–352. </w:t>
      </w:r>
      <w:hyperlink r:id="rId3043" w:history="1">
        <w:r w:rsidRPr="004C4852">
          <w:rPr>
            <w:rFonts w:ascii="Times New Roman" w:eastAsia="Times New Roman" w:hAnsi="Times New Roman" w:cs="Times New Roman"/>
            <w:color w:val="0000FF"/>
            <w:sz w:val="24"/>
            <w:szCs w:val="24"/>
            <w:u w:val="single"/>
          </w:rPr>
          <w:t>https://doi.org/10.1016/j.psychres.2013.02.016</w:t>
        </w:r>
      </w:hyperlink>
    </w:p>
    <w:p w14:paraId="7139C7A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Kontaxakis, V. P., Ferentinos, P. P., Havaki-Kontaxaki, B. J., &amp; Roukas, D. K. (2005). Randomized controlled augmentation trials in clozapine-resistant schizophrenic patients: A critical review. </w:t>
      </w:r>
      <w:r w:rsidRPr="004C4852">
        <w:rPr>
          <w:rFonts w:ascii="Times New Roman" w:eastAsia="Times New Roman" w:hAnsi="Times New Roman" w:cs="Times New Roman"/>
          <w:i/>
          <w:iCs/>
          <w:sz w:val="24"/>
          <w:szCs w:val="24"/>
        </w:rPr>
        <w:t>European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20</w:t>
      </w:r>
      <w:r w:rsidRPr="004C4852">
        <w:rPr>
          <w:rFonts w:ascii="Times New Roman" w:eastAsia="Times New Roman" w:hAnsi="Times New Roman" w:cs="Times New Roman"/>
          <w:sz w:val="24"/>
          <w:szCs w:val="24"/>
        </w:rPr>
        <w:t xml:space="preserve">(5–6), 409–415. </w:t>
      </w:r>
      <w:hyperlink r:id="rId3044" w:history="1">
        <w:r w:rsidRPr="004C4852">
          <w:rPr>
            <w:rFonts w:ascii="Times New Roman" w:eastAsia="Times New Roman" w:hAnsi="Times New Roman" w:cs="Times New Roman"/>
            <w:color w:val="0000FF"/>
            <w:sz w:val="24"/>
            <w:szCs w:val="24"/>
            <w:u w:val="single"/>
          </w:rPr>
          <w:t>https://doi.org/10.1016/j.eurpsy.2004.12.007</w:t>
        </w:r>
      </w:hyperlink>
    </w:p>
    <w:p w14:paraId="50AE3FF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Kontis, D., Huddy, V., Reeder, C., Landau, S., &amp; Wykes, T. (2013). Effects of age and cognitive reserve on cognitive remediation therapy outcome in patients with schizophrenia. </w:t>
      </w:r>
      <w:r w:rsidRPr="004C4852">
        <w:rPr>
          <w:rFonts w:ascii="Times New Roman" w:eastAsia="Times New Roman" w:hAnsi="Times New Roman" w:cs="Times New Roman"/>
          <w:i/>
          <w:iCs/>
          <w:sz w:val="24"/>
          <w:szCs w:val="24"/>
        </w:rPr>
        <w:t>The American Journal of Geriatric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w:t>
      </w:r>
      <w:r w:rsidRPr="004C4852">
        <w:rPr>
          <w:rFonts w:ascii="Times New Roman" w:eastAsia="Times New Roman" w:hAnsi="Times New Roman" w:cs="Times New Roman"/>
          <w:sz w:val="24"/>
          <w:szCs w:val="24"/>
        </w:rPr>
        <w:t xml:space="preserve">(3), 218–230. </w:t>
      </w:r>
      <w:hyperlink r:id="rId3045" w:history="1">
        <w:r w:rsidRPr="004C4852">
          <w:rPr>
            <w:rFonts w:ascii="Times New Roman" w:eastAsia="Times New Roman" w:hAnsi="Times New Roman" w:cs="Times New Roman"/>
            <w:color w:val="0000FF"/>
            <w:sz w:val="24"/>
            <w:szCs w:val="24"/>
            <w:u w:val="single"/>
          </w:rPr>
          <w:t>https://doi.org/10.1016/j.jagp.2012.12.013</w:t>
        </w:r>
      </w:hyperlink>
    </w:p>
    <w:p w14:paraId="47D9CEC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Koo, M.-S., Levitt, J. J., McCarley, R. W., Seidman, L. J., Dickey, C. C., Niznikiewicz, M. A., Voglmaier, M. M., Zamani, P., Long, K. R., Kim, S. S., &amp; Shenton, M. E. (2006). Reduction of Caudate Nucleus Volumes in Neuroleptic-Naïve Female Subjects with Schizotypal Personality Disorder.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 xml:space="preserve">(1), 40–48. </w:t>
      </w:r>
      <w:hyperlink r:id="rId3046" w:history="1">
        <w:r w:rsidRPr="004C4852">
          <w:rPr>
            <w:rFonts w:ascii="Times New Roman" w:eastAsia="Times New Roman" w:hAnsi="Times New Roman" w:cs="Times New Roman"/>
            <w:color w:val="0000FF"/>
            <w:sz w:val="24"/>
            <w:szCs w:val="24"/>
            <w:u w:val="single"/>
          </w:rPr>
          <w:t>https://doi.org/10.1016/j.biopsych.2005.09.028</w:t>
        </w:r>
      </w:hyperlink>
    </w:p>
    <w:p w14:paraId="09DDE05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Koonce, D. A. (2007). Attention deficit hyperactivity disorder assessment practices by practicing school psychologists: A national survey. </w:t>
      </w:r>
      <w:r w:rsidRPr="004C4852">
        <w:rPr>
          <w:rFonts w:ascii="Times New Roman" w:eastAsia="Times New Roman" w:hAnsi="Times New Roman" w:cs="Times New Roman"/>
          <w:i/>
          <w:iCs/>
          <w:sz w:val="24"/>
          <w:szCs w:val="24"/>
        </w:rPr>
        <w:t>Journal of Psychoeducational Assessment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(4), 319–333. </w:t>
      </w:r>
      <w:hyperlink r:id="rId3047" w:history="1">
        <w:r w:rsidRPr="004C4852">
          <w:rPr>
            <w:rFonts w:ascii="Times New Roman" w:eastAsia="Times New Roman" w:hAnsi="Times New Roman" w:cs="Times New Roman"/>
            <w:color w:val="0000FF"/>
            <w:sz w:val="24"/>
            <w:szCs w:val="24"/>
            <w:u w:val="single"/>
          </w:rPr>
          <w:t>https://doi.org/10.1177/0734282906298264</w:t>
        </w:r>
      </w:hyperlink>
    </w:p>
    <w:p w14:paraId="1FF51B3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Kopala, L. C., Good, K. P., Milliken, H., Buiteman, C., Woodley, H., Rui, Q., Whitehorn, D., Love, L., Balshaw, R., Kiss, I., &amp; Honer, W. G. (2006). Treatment of a first episode of psychotic illness with quetiapine: An analysis of 2 year outcomes.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81</w:t>
      </w:r>
      <w:r w:rsidRPr="004C4852">
        <w:rPr>
          <w:rFonts w:ascii="Times New Roman" w:eastAsia="Times New Roman" w:hAnsi="Times New Roman" w:cs="Times New Roman"/>
          <w:sz w:val="24"/>
          <w:szCs w:val="24"/>
        </w:rPr>
        <w:t xml:space="preserve">(1), 29–39. </w:t>
      </w:r>
      <w:hyperlink r:id="rId3048" w:history="1">
        <w:r w:rsidRPr="004C4852">
          <w:rPr>
            <w:rFonts w:ascii="Times New Roman" w:eastAsia="Times New Roman" w:hAnsi="Times New Roman" w:cs="Times New Roman"/>
            <w:color w:val="0000FF"/>
            <w:sz w:val="24"/>
            <w:szCs w:val="24"/>
            <w:u w:val="single"/>
          </w:rPr>
          <w:t>https://doi.org/10.1016/j.schres.2005.09.009</w:t>
        </w:r>
      </w:hyperlink>
    </w:p>
    <w:p w14:paraId="1922C9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Kopald, B. E., Mirra, K. M., Egan, M. F., Weinberger, D. R., &amp; Goldberg, T. E. (2012). Magnitude of impact of executive functioning and IQ on episodic memory in schizophrenia.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71</w:t>
      </w:r>
      <w:r w:rsidRPr="004C4852">
        <w:rPr>
          <w:rFonts w:ascii="Times New Roman" w:eastAsia="Times New Roman" w:hAnsi="Times New Roman" w:cs="Times New Roman"/>
          <w:sz w:val="24"/>
          <w:szCs w:val="24"/>
        </w:rPr>
        <w:t xml:space="preserve">(6), 545–551. </w:t>
      </w:r>
      <w:hyperlink r:id="rId3049" w:history="1">
        <w:r w:rsidRPr="004C4852">
          <w:rPr>
            <w:rFonts w:ascii="Times New Roman" w:eastAsia="Times New Roman" w:hAnsi="Times New Roman" w:cs="Times New Roman"/>
            <w:color w:val="0000FF"/>
            <w:sz w:val="24"/>
            <w:szCs w:val="24"/>
            <w:u w:val="single"/>
          </w:rPr>
          <w:t>https://doi.org/10.1016/j.biopsych.2011.11.021</w:t>
        </w:r>
      </w:hyperlink>
    </w:p>
    <w:p w14:paraId="669DF07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Kopelowicz, A., Liberman, R. P., Ventura, J., Zarate, R., &amp; Mintz, J. (2005). Neurocognitive correlates of recovery from schizophrenia. </w:t>
      </w:r>
      <w:r w:rsidRPr="004C4852">
        <w:rPr>
          <w:rFonts w:ascii="Times New Roman" w:eastAsia="Times New Roman" w:hAnsi="Times New Roman" w:cs="Times New Roman"/>
          <w:i/>
          <w:iCs/>
          <w:sz w:val="24"/>
          <w:szCs w:val="24"/>
        </w:rPr>
        <w:t>Psychological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(8), 1165–1173. </w:t>
      </w:r>
      <w:hyperlink r:id="rId3050" w:history="1">
        <w:r w:rsidRPr="004C4852">
          <w:rPr>
            <w:rFonts w:ascii="Times New Roman" w:eastAsia="Times New Roman" w:hAnsi="Times New Roman" w:cs="Times New Roman"/>
            <w:color w:val="0000FF"/>
            <w:sz w:val="24"/>
            <w:szCs w:val="24"/>
            <w:u w:val="single"/>
          </w:rPr>
          <w:t>https://doi.org/10.1017/S0033291705004575</w:t>
        </w:r>
      </w:hyperlink>
    </w:p>
    <w:p w14:paraId="541FE4C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(2011). Neuropsychologists must keep their eyes on the reliability of difference measures. </w:t>
      </w:r>
      <w:r w:rsidRPr="004C4852">
        <w:rPr>
          <w:rFonts w:ascii="Times New Roman" w:eastAsia="Times New Roman" w:hAnsi="Times New Roman" w:cs="Times New Roman"/>
          <w:i/>
          <w:iCs/>
          <w:sz w:val="24"/>
          <w:szCs w:val="24"/>
        </w:rPr>
        <w:t>Journal of the International Neuropsychological Society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(3), 562–563. </w:t>
      </w:r>
      <w:hyperlink r:id="rId3051" w:history="1">
        <w:r w:rsidRPr="004C4852">
          <w:rPr>
            <w:rFonts w:ascii="Times New Roman" w:eastAsia="Times New Roman" w:hAnsi="Times New Roman" w:cs="Times New Roman"/>
            <w:color w:val="0000FF"/>
            <w:sz w:val="24"/>
            <w:szCs w:val="24"/>
            <w:u w:val="single"/>
          </w:rPr>
          <w:t>https://doi.org/10.1017/S1355617711000361</w:t>
        </w:r>
      </w:hyperlink>
    </w:p>
    <w:p w14:paraId="6699237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&amp; Lange, F. (2013). Electrophysiological indicators of surprise and entropy in dynamic task-switching environments.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w:t>
      </w:r>
      <w:r w:rsidRPr="004C4852">
        <w:rPr>
          <w:rFonts w:ascii="Times New Roman" w:eastAsia="Times New Roman" w:hAnsi="Times New Roman" w:cs="Times New Roman"/>
          <w:sz w:val="24"/>
          <w:szCs w:val="24"/>
        </w:rPr>
        <w:t xml:space="preserve">. </w:t>
      </w:r>
      <w:hyperlink r:id="rId3052" w:history="1">
        <w:r w:rsidRPr="004C4852">
          <w:rPr>
            <w:rFonts w:ascii="Times New Roman" w:eastAsia="Times New Roman" w:hAnsi="Times New Roman" w:cs="Times New Roman"/>
            <w:color w:val="0000FF"/>
            <w:sz w:val="24"/>
            <w:szCs w:val="24"/>
            <w:u w:val="single"/>
          </w:rPr>
          <w:t>https://doi.org/10.3389/fnhum.2013.00300</w:t>
        </w:r>
      </w:hyperlink>
    </w:p>
    <w:p w14:paraId="1BF2D01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Lange, F., Howe, J., &amp; Wessel, K. (2014). Age-related changes in neural recruitment for cognitive control.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85</w:t>
      </w:r>
      <w:r w:rsidRPr="004C4852">
        <w:rPr>
          <w:rFonts w:ascii="Times New Roman" w:eastAsia="Times New Roman" w:hAnsi="Times New Roman" w:cs="Times New Roman"/>
          <w:sz w:val="24"/>
          <w:szCs w:val="24"/>
        </w:rPr>
        <w:t xml:space="preserve">, 209–219. </w:t>
      </w:r>
      <w:hyperlink r:id="rId3053" w:history="1">
        <w:r w:rsidRPr="004C4852">
          <w:rPr>
            <w:rFonts w:ascii="Times New Roman" w:eastAsia="Times New Roman" w:hAnsi="Times New Roman" w:cs="Times New Roman"/>
            <w:color w:val="0000FF"/>
            <w:sz w:val="24"/>
            <w:szCs w:val="24"/>
            <w:u w:val="single"/>
          </w:rPr>
          <w:t>https://doi.org/10.1016/j.bandc.2013.12.008</w:t>
        </w:r>
      </w:hyperlink>
    </w:p>
    <w:p w14:paraId="4D25FB3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Seer, C., &amp; Lange, F. (2015). Zur psychophysiologie exekutiver funktionen. [Towards a psychophysiology of executive functions.]. </w:t>
      </w:r>
      <w:r w:rsidRPr="004C4852">
        <w:rPr>
          <w:rFonts w:ascii="Times New Roman" w:eastAsia="Times New Roman" w:hAnsi="Times New Roman" w:cs="Times New Roman"/>
          <w:i/>
          <w:iCs/>
          <w:sz w:val="24"/>
          <w:szCs w:val="24"/>
        </w:rPr>
        <w:t>Klinische Neurophysiologie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46</w:t>
      </w:r>
      <w:r w:rsidRPr="004C4852">
        <w:rPr>
          <w:rFonts w:ascii="Times New Roman" w:eastAsia="Times New Roman" w:hAnsi="Times New Roman" w:cs="Times New Roman"/>
          <w:sz w:val="24"/>
          <w:szCs w:val="24"/>
        </w:rPr>
        <w:t xml:space="preserve">(1), 28–38. </w:t>
      </w:r>
      <w:hyperlink r:id="rId3054" w:history="1">
        <w:r w:rsidRPr="004C4852">
          <w:rPr>
            <w:rFonts w:ascii="Times New Roman" w:eastAsia="Times New Roman" w:hAnsi="Times New Roman" w:cs="Times New Roman"/>
            <w:color w:val="0000FF"/>
            <w:sz w:val="24"/>
            <w:szCs w:val="24"/>
            <w:u w:val="single"/>
          </w:rPr>
          <w:t>https://doi.org/10.1055/s-0034-1398610</w:t>
        </w:r>
      </w:hyperlink>
    </w:p>
    <w:p w14:paraId="4523464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Kopp, B., Tabeling, S., Moschner, C., &amp; Wessel, K. (2006). Fractionating the Neural Mechanisms of Cognitive Control.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w:t>
      </w:r>
      <w:r w:rsidRPr="004C4852">
        <w:rPr>
          <w:rFonts w:ascii="Times New Roman" w:eastAsia="Times New Roman" w:hAnsi="Times New Roman" w:cs="Times New Roman"/>
          <w:sz w:val="24"/>
          <w:szCs w:val="24"/>
        </w:rPr>
        <w:t xml:space="preserve">(6), 949–965. </w:t>
      </w:r>
      <w:hyperlink r:id="rId3055" w:history="1">
        <w:r w:rsidRPr="004C4852">
          <w:rPr>
            <w:rFonts w:ascii="Times New Roman" w:eastAsia="Times New Roman" w:hAnsi="Times New Roman" w:cs="Times New Roman"/>
            <w:color w:val="0000FF"/>
            <w:sz w:val="24"/>
            <w:szCs w:val="24"/>
            <w:u w:val="single"/>
          </w:rPr>
          <w:t>https://doi.org/10.1162/jocn.2006.18.6.949</w:t>
        </w:r>
      </w:hyperlink>
    </w:p>
    <w:p w14:paraId="754C98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Koreki, A., Takahata, K., Tabuchi, H., &amp; Kato, M. (2012). Increased left anterior insular and inferior prefrontal activity in post-stroke mania. </w:t>
      </w:r>
      <w:r w:rsidRPr="004C4852">
        <w:rPr>
          <w:rFonts w:ascii="Times New Roman" w:eastAsia="Times New Roman" w:hAnsi="Times New Roman" w:cs="Times New Roman"/>
          <w:i/>
          <w:iCs/>
          <w:sz w:val="24"/>
          <w:szCs w:val="24"/>
        </w:rPr>
        <w:t>BMC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w:t>
      </w:r>
    </w:p>
    <w:p w14:paraId="16914C8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(1996). </w:t>
      </w:r>
      <w:r w:rsidRPr="004C4852">
        <w:rPr>
          <w:rFonts w:ascii="Times New Roman" w:eastAsia="Times New Roman" w:hAnsi="Times New Roman" w:cs="Times New Roman"/>
          <w:i/>
          <w:iCs/>
          <w:sz w:val="24"/>
          <w:szCs w:val="24"/>
        </w:rPr>
        <w:t>Heterogeneity of neuropsychological performance in schizophrenia: Correlates of the Wisconsin Card Sorting Test.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(3-B), 2156–2156.</w:t>
      </w:r>
    </w:p>
    <w:p w14:paraId="5F317C6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Poyurovsky, M., Seidman, L. J., Goldsmith, M., Wenger, S., &amp; Klein, E. M. (2005). The Neuropsychological Basis of Competence to Consent in First-Episode Schizophrenia: A Pilot Metacognitive Study.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57</w:t>
      </w:r>
      <w:r w:rsidRPr="004C4852">
        <w:rPr>
          <w:rFonts w:ascii="Times New Roman" w:eastAsia="Times New Roman" w:hAnsi="Times New Roman" w:cs="Times New Roman"/>
          <w:sz w:val="24"/>
          <w:szCs w:val="24"/>
        </w:rPr>
        <w:t xml:space="preserve">(6), 609–616. </w:t>
      </w:r>
      <w:hyperlink r:id="rId3056" w:history="1">
        <w:r w:rsidRPr="004C4852">
          <w:rPr>
            <w:rFonts w:ascii="Times New Roman" w:eastAsia="Times New Roman" w:hAnsi="Times New Roman" w:cs="Times New Roman"/>
            <w:color w:val="0000FF"/>
            <w:sz w:val="24"/>
            <w:szCs w:val="24"/>
            <w:u w:val="single"/>
          </w:rPr>
          <w:t>https://doi.org/10.1016/j.biopsych.2004.11.029</w:t>
        </w:r>
      </w:hyperlink>
    </w:p>
    <w:p w14:paraId="087F7A4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Scheyer, R., Reznik, N., Adres, M., Apter, A., Parnas, J., &amp; Seidman, L. J. (2019). Basic self‐disturbance, neurocognition and metacognition: A pilot study among help‐seeking adolescents with and without attenuated psychosis syndrome. </w:t>
      </w:r>
      <w:r w:rsidRPr="004C4852">
        <w:rPr>
          <w:rFonts w:ascii="Times New Roman" w:eastAsia="Times New Roman" w:hAnsi="Times New Roman" w:cs="Times New Roman"/>
          <w:i/>
          <w:iCs/>
          <w:sz w:val="24"/>
          <w:szCs w:val="24"/>
        </w:rPr>
        <w:t>Early Intervention in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w:t>
      </w:r>
      <w:r w:rsidRPr="004C4852">
        <w:rPr>
          <w:rFonts w:ascii="Times New Roman" w:eastAsia="Times New Roman" w:hAnsi="Times New Roman" w:cs="Times New Roman"/>
          <w:sz w:val="24"/>
          <w:szCs w:val="24"/>
        </w:rPr>
        <w:t xml:space="preserve">(3), 434–442. </w:t>
      </w:r>
      <w:hyperlink r:id="rId3057" w:history="1">
        <w:r w:rsidRPr="004C4852">
          <w:rPr>
            <w:rFonts w:ascii="Times New Roman" w:eastAsia="Times New Roman" w:hAnsi="Times New Roman" w:cs="Times New Roman"/>
            <w:color w:val="0000FF"/>
            <w:sz w:val="24"/>
            <w:szCs w:val="24"/>
            <w:u w:val="single"/>
          </w:rPr>
          <w:t>https://doi.org/10.1111/eip.12500</w:t>
        </w:r>
      </w:hyperlink>
    </w:p>
    <w:p w14:paraId="1D83BC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Scheyer, R., Stern, Y., Adres, M., Reznik, N., Apter, A., &amp; Seidman, L. J. (2019). Metacognition strengthens the association between neurocognition and attenuated psychosis syndrome: Preliminary evidence from a pilot study among treatment-seeking versus healthy adolescents.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210</w:t>
      </w:r>
      <w:r w:rsidRPr="004C4852">
        <w:rPr>
          <w:rFonts w:ascii="Times New Roman" w:eastAsia="Times New Roman" w:hAnsi="Times New Roman" w:cs="Times New Roman"/>
          <w:sz w:val="24"/>
          <w:szCs w:val="24"/>
        </w:rPr>
        <w:t xml:space="preserve">, 207–214. </w:t>
      </w:r>
      <w:hyperlink r:id="rId3058" w:history="1">
        <w:r w:rsidRPr="004C4852">
          <w:rPr>
            <w:rFonts w:ascii="Times New Roman" w:eastAsia="Times New Roman" w:hAnsi="Times New Roman" w:cs="Times New Roman"/>
            <w:color w:val="0000FF"/>
            <w:sz w:val="24"/>
            <w:szCs w:val="24"/>
            <w:u w:val="single"/>
          </w:rPr>
          <w:t>https://doi.org/10.1016/j.schres.2018.12.036</w:t>
        </w:r>
      </w:hyperlink>
    </w:p>
    <w:p w14:paraId="61F0F21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Seidman, L. J., Goldsmith, M., &amp; Harvey, P. D. (2006). Real-world cognitive—And metacognitive—Dysfunction in schizophrenia: A new approach for measuring (and remediating) more “right stuff.” </w:t>
      </w:r>
      <w:r w:rsidRPr="004C4852">
        <w:rPr>
          <w:rFonts w:ascii="Times New Roman" w:eastAsia="Times New Roman" w:hAnsi="Times New Roman" w:cs="Times New Roman"/>
          <w:i/>
          <w:iCs/>
          <w:sz w:val="24"/>
          <w:szCs w:val="24"/>
        </w:rPr>
        <w:t>Schizophrenia Bulletin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32</w:t>
      </w:r>
      <w:r w:rsidRPr="004C4852">
        <w:rPr>
          <w:rFonts w:ascii="Times New Roman" w:eastAsia="Times New Roman" w:hAnsi="Times New Roman" w:cs="Times New Roman"/>
          <w:sz w:val="24"/>
          <w:szCs w:val="24"/>
        </w:rPr>
        <w:t xml:space="preserve">(2), 310–326. </w:t>
      </w:r>
      <w:hyperlink r:id="rId3059" w:history="1">
        <w:r w:rsidRPr="004C4852">
          <w:rPr>
            <w:rFonts w:ascii="Times New Roman" w:eastAsia="Times New Roman" w:hAnsi="Times New Roman" w:cs="Times New Roman"/>
            <w:color w:val="0000FF"/>
            <w:sz w:val="24"/>
            <w:szCs w:val="24"/>
            <w:u w:val="single"/>
          </w:rPr>
          <w:t>https://doi.org/10.1093/schbul/sbj035</w:t>
        </w:r>
      </w:hyperlink>
    </w:p>
    <w:p w14:paraId="7383BEE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Seidman, L. J., Harrison, R. H., Lyons, M. J., Kremem, W. S., Caplan, B., Goldstein, J. M., Faraone, S. V., &amp; Tsuang, M. T. (1998). Factor structure of the Wisconsin Card Sorting Test: Dimensions of deficit in schizophrenia. </w:t>
      </w:r>
      <w:r w:rsidRPr="004C4852">
        <w:rPr>
          <w:rFonts w:ascii="Times New Roman" w:eastAsia="Times New Roman" w:hAnsi="Times New Roman" w:cs="Times New Roman"/>
          <w:i/>
          <w:iCs/>
          <w:sz w:val="24"/>
          <w:szCs w:val="24"/>
        </w:rPr>
        <w:t>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(2), 289–302. </w:t>
      </w:r>
      <w:hyperlink r:id="rId3060" w:history="1">
        <w:r w:rsidRPr="004C4852">
          <w:rPr>
            <w:rFonts w:ascii="Times New Roman" w:eastAsia="Times New Roman" w:hAnsi="Times New Roman" w:cs="Times New Roman"/>
            <w:color w:val="0000FF"/>
            <w:sz w:val="24"/>
            <w:szCs w:val="24"/>
            <w:u w:val="single"/>
          </w:rPr>
          <w:t>https://doi.org/10.1037/0894-4105.12.2.289</w:t>
        </w:r>
      </w:hyperlink>
    </w:p>
    <w:p w14:paraId="203FBBB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 D., Seidman, L. J., Poyurovsky, M., Goldsmith, M., Viksman, P., Zichel, S., &amp; Klein, E. (2004). The neuropsychological basis of insight in first-episode schizophrenia: A pilot metacognitive study.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70</w:t>
      </w:r>
      <w:r w:rsidRPr="004C4852">
        <w:rPr>
          <w:rFonts w:ascii="Times New Roman" w:eastAsia="Times New Roman" w:hAnsi="Times New Roman" w:cs="Times New Roman"/>
          <w:sz w:val="24"/>
          <w:szCs w:val="24"/>
        </w:rPr>
        <w:t xml:space="preserve">(2–3), 195–202. </w:t>
      </w:r>
      <w:hyperlink r:id="rId3061" w:history="1">
        <w:r w:rsidRPr="004C4852">
          <w:rPr>
            <w:rFonts w:ascii="Times New Roman" w:eastAsia="Times New Roman" w:hAnsi="Times New Roman" w:cs="Times New Roman"/>
            <w:color w:val="0000FF"/>
            <w:sz w:val="24"/>
            <w:szCs w:val="24"/>
            <w:u w:val="single"/>
          </w:rPr>
          <w:t>https://doi.org/10.1016/j.schres.2004.02.004</w:t>
        </w:r>
      </w:hyperlink>
    </w:p>
    <w:p w14:paraId="4811825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Korenis, P. (2015). Psychological testing. In </w:t>
      </w:r>
      <w:r w:rsidRPr="004C4852">
        <w:rPr>
          <w:rFonts w:ascii="Times New Roman" w:eastAsia="Times New Roman" w:hAnsi="Times New Roman" w:cs="Times New Roman"/>
          <w:i/>
          <w:iCs/>
          <w:sz w:val="24"/>
          <w:szCs w:val="24"/>
        </w:rPr>
        <w:t>Psychiatry board review.</w:t>
      </w:r>
      <w:r w:rsidRPr="004C4852">
        <w:rPr>
          <w:rFonts w:ascii="Times New Roman" w:eastAsia="Times New Roman" w:hAnsi="Times New Roman" w:cs="Times New Roman"/>
          <w:sz w:val="24"/>
          <w:szCs w:val="24"/>
        </w:rPr>
        <w:t xml:space="preserve"> (pp. 121–125). Novinka/Nova Science Publishers.</w:t>
      </w:r>
    </w:p>
    <w:p w14:paraId="62C2578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Korngut, L., Young, G. B., Lee, D. H., Hayman-Abello, B. A., &amp; Mirsattari, S. M. (2007). Irreversible brain injury following status epilepticus. </w:t>
      </w:r>
      <w:r w:rsidRPr="004C4852">
        <w:rPr>
          <w:rFonts w:ascii="Times New Roman" w:eastAsia="Times New Roman" w:hAnsi="Times New Roman" w:cs="Times New Roman"/>
          <w:i/>
          <w:iCs/>
          <w:sz w:val="24"/>
          <w:szCs w:val="24"/>
        </w:rPr>
        <w:t>Epilepsy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(2), 235–240. </w:t>
      </w:r>
      <w:hyperlink r:id="rId3062" w:history="1">
        <w:r w:rsidRPr="004C4852">
          <w:rPr>
            <w:rFonts w:ascii="Times New Roman" w:eastAsia="Times New Roman" w:hAnsi="Times New Roman" w:cs="Times New Roman"/>
            <w:color w:val="0000FF"/>
            <w:sz w:val="24"/>
            <w:szCs w:val="24"/>
            <w:u w:val="single"/>
          </w:rPr>
          <w:t>https://doi.org/10.1016/j.yebeh.2007.04.016</w:t>
        </w:r>
      </w:hyperlink>
    </w:p>
    <w:p w14:paraId="54A42BD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Kornhuber, J., Schmidtke, K., Frölich, L., Perneczky, R., Wolf, S., Hampel, H., Jessen, F., Heuser, I., Peters, O., Weih, M., Jahn, H., Luckhaus, C., Hüll, M., Gertz, H.-J., Schröder, J., Pantel, J., Rienhoff, O., Seuchter, S. A., Rüther, E., … Wiltfang, J. (2009). Early and differential diagnosis of dementia and mild cognitive impairment: Design and cohort baseline characteristics of the German Dementia Competence Network.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 xml:space="preserve">(5), 404–417. </w:t>
      </w:r>
      <w:hyperlink r:id="rId3063" w:history="1">
        <w:r w:rsidRPr="004C4852">
          <w:rPr>
            <w:rFonts w:ascii="Times New Roman" w:eastAsia="Times New Roman" w:hAnsi="Times New Roman" w:cs="Times New Roman"/>
            <w:color w:val="0000FF"/>
            <w:sz w:val="24"/>
            <w:szCs w:val="24"/>
            <w:u w:val="single"/>
          </w:rPr>
          <w:t>https://doi.org/10.1159/000210388</w:t>
        </w:r>
      </w:hyperlink>
    </w:p>
    <w:p w14:paraId="393366A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Korthauer, L. E., Salmon, D. P., Festa, E. K., Galasko, D., &amp; Heindel, W. C. (2019). Alzheimer’s disease and the processing of uncertainty during choice task performance: Executive dysfunction within the Hick–Hyman law.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(4), 380–389. </w:t>
      </w:r>
      <w:hyperlink r:id="rId3064" w:history="1">
        <w:r w:rsidRPr="004C4852">
          <w:rPr>
            <w:rFonts w:ascii="Times New Roman" w:eastAsia="Times New Roman" w:hAnsi="Times New Roman" w:cs="Times New Roman"/>
            <w:color w:val="0000FF"/>
            <w:sz w:val="24"/>
            <w:szCs w:val="24"/>
            <w:u w:val="single"/>
          </w:rPr>
          <w:t>https://doi.org/10.1080/13803395.2018.1564813</w:t>
        </w:r>
      </w:hyperlink>
    </w:p>
    <w:p w14:paraId="03F5ABF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Kortte, K. B., Horner, M. D., &amp; Windham, W. K. (2002). The Trail Making Test, Part B: Cognitive flexibility or ability to maintain set? </w:t>
      </w:r>
      <w:r w:rsidRPr="004C4852">
        <w:rPr>
          <w:rFonts w:ascii="Times New Roman" w:eastAsia="Times New Roman" w:hAnsi="Times New Roman" w:cs="Times New Roman"/>
          <w:i/>
          <w:iCs/>
          <w:sz w:val="24"/>
          <w:szCs w:val="24"/>
        </w:rPr>
        <w:t>Applied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(2), 106–109. </w:t>
      </w:r>
      <w:hyperlink r:id="rId3065" w:history="1">
        <w:r w:rsidRPr="004C4852">
          <w:rPr>
            <w:rFonts w:ascii="Times New Roman" w:eastAsia="Times New Roman" w:hAnsi="Times New Roman" w:cs="Times New Roman"/>
            <w:color w:val="0000FF"/>
            <w:sz w:val="24"/>
            <w:szCs w:val="24"/>
            <w:u w:val="single"/>
          </w:rPr>
          <w:t>https://doi.org/10.1207/S15324826AN0902_5</w:t>
        </w:r>
      </w:hyperlink>
    </w:p>
    <w:p w14:paraId="02D335B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 T., Nikiforuk, A., Rafa, D., &amp; Popik, P. (2011). The effects of NMDA receptor antagonists on attentional set-shifting task performance in mice.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214</w:t>
      </w:r>
      <w:r w:rsidRPr="004C4852">
        <w:rPr>
          <w:rFonts w:ascii="Times New Roman" w:eastAsia="Times New Roman" w:hAnsi="Times New Roman" w:cs="Times New Roman"/>
          <w:sz w:val="24"/>
          <w:szCs w:val="24"/>
        </w:rPr>
        <w:t xml:space="preserve">(4), 911–921. </w:t>
      </w:r>
      <w:hyperlink r:id="rId3066" w:history="1">
        <w:r w:rsidRPr="004C4852">
          <w:rPr>
            <w:rFonts w:ascii="Times New Roman" w:eastAsia="Times New Roman" w:hAnsi="Times New Roman" w:cs="Times New Roman"/>
            <w:color w:val="0000FF"/>
            <w:sz w:val="24"/>
            <w:szCs w:val="24"/>
            <w:u w:val="single"/>
          </w:rPr>
          <w:t>https://doi.org/10.1007/s00213-010-2102-6</w:t>
        </w:r>
      </w:hyperlink>
    </w:p>
    <w:p w14:paraId="7BC17C0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Koscik, T. R., &amp; Tranel, D. (2011). The human amygdala is necessary for developing and expressing normal interpersonal trust. </w:t>
      </w:r>
      <w:r w:rsidRPr="004C4852">
        <w:rPr>
          <w:rFonts w:ascii="Times New Roman" w:eastAsia="Times New Roman" w:hAnsi="Times New Roman" w:cs="Times New Roman"/>
          <w:i/>
          <w:iCs/>
          <w:sz w:val="24"/>
          <w:szCs w:val="24"/>
        </w:rPr>
        <w:t>Neuropsychologia</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49</w:t>
      </w:r>
      <w:r w:rsidRPr="004C4852">
        <w:rPr>
          <w:rFonts w:ascii="Times New Roman" w:eastAsia="Times New Roman" w:hAnsi="Times New Roman" w:cs="Times New Roman"/>
          <w:sz w:val="24"/>
          <w:szCs w:val="24"/>
        </w:rPr>
        <w:t xml:space="preserve">(4), 602–611. </w:t>
      </w:r>
      <w:hyperlink r:id="rId3067" w:history="1">
        <w:r w:rsidRPr="004C4852">
          <w:rPr>
            <w:rFonts w:ascii="Times New Roman" w:eastAsia="Times New Roman" w:hAnsi="Times New Roman" w:cs="Times New Roman"/>
            <w:color w:val="0000FF"/>
            <w:sz w:val="24"/>
            <w:szCs w:val="24"/>
            <w:u w:val="single"/>
          </w:rPr>
          <w:t>https://doi.org/10.1016/j.neuropsychologia.2010.09.023</w:t>
        </w:r>
      </w:hyperlink>
    </w:p>
    <w:p w14:paraId="48C0401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Koscik, T. R., &amp; Tranel, D. (2012). The human ventromedial prefrontal cortex is critical for transitive inference.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(5), 1191–1204. </w:t>
      </w:r>
      <w:hyperlink r:id="rId3068" w:history="1">
        <w:r w:rsidRPr="004C4852">
          <w:rPr>
            <w:rFonts w:ascii="Times New Roman" w:eastAsia="Times New Roman" w:hAnsi="Times New Roman" w:cs="Times New Roman"/>
            <w:color w:val="0000FF"/>
            <w:sz w:val="24"/>
            <w:szCs w:val="24"/>
            <w:u w:val="single"/>
          </w:rPr>
          <w:t>https://doi.org/10.1162/jocn_a_00203</w:t>
        </w:r>
      </w:hyperlink>
    </w:p>
    <w:p w14:paraId="12675C3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Koscik, T. R., &amp; Tranel, D. (2013). Abnormal causal attribution leads to advantageous economic decision-making: A neuropsychological approach. </w:t>
      </w:r>
      <w:r w:rsidRPr="004C4852">
        <w:rPr>
          <w:rFonts w:ascii="Times New Roman" w:eastAsia="Times New Roman" w:hAnsi="Times New Roman" w:cs="Times New Roman"/>
          <w:i/>
          <w:iCs/>
          <w:sz w:val="24"/>
          <w:szCs w:val="24"/>
        </w:rPr>
        <w:t>Journal of Cognitive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(8), 1372–1382. </w:t>
      </w:r>
      <w:hyperlink r:id="rId3069" w:history="1">
        <w:r w:rsidRPr="004C4852">
          <w:rPr>
            <w:rFonts w:ascii="Times New Roman" w:eastAsia="Times New Roman" w:hAnsi="Times New Roman" w:cs="Times New Roman"/>
            <w:color w:val="0000FF"/>
            <w:sz w:val="24"/>
            <w:szCs w:val="24"/>
            <w:u w:val="single"/>
          </w:rPr>
          <w:t>https://doi.org/10.1162/jocn_a_00398</w:t>
        </w:r>
      </w:hyperlink>
    </w:p>
    <w:p w14:paraId="224A7E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Kosger, F., Essizoglu, A., Baltacioglu, M., Ulkgun, N., &amp; Yenilmez, C. (2015). Executive function in parents of patients with familial versus sporadic bipolar disorder. </w:t>
      </w:r>
      <w:r w:rsidRPr="004C4852">
        <w:rPr>
          <w:rFonts w:ascii="Times New Roman" w:eastAsia="Times New Roman" w:hAnsi="Times New Roman" w:cs="Times New Roman"/>
          <w:i/>
          <w:iCs/>
          <w:sz w:val="24"/>
          <w:szCs w:val="24"/>
        </w:rPr>
        <w:t>Comprehensive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 36–41. </w:t>
      </w:r>
      <w:hyperlink r:id="rId3070" w:history="1">
        <w:r w:rsidRPr="004C4852">
          <w:rPr>
            <w:rFonts w:ascii="Times New Roman" w:eastAsia="Times New Roman" w:hAnsi="Times New Roman" w:cs="Times New Roman"/>
            <w:color w:val="0000FF"/>
            <w:sz w:val="24"/>
            <w:szCs w:val="24"/>
            <w:u w:val="single"/>
          </w:rPr>
          <w:t>https://doi.org/10.1016/j.comppsych.2015.05.013</w:t>
        </w:r>
      </w:hyperlink>
    </w:p>
    <w:p w14:paraId="1EE7D01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Köşger, F., Eşsi̇zoğlu, A., Sönmez, İ., Güleç, G., Genek, M., &amp; Akarsu, Ö. (2016). Şizofrenide Şiddet Davranışının Klinik Özellikler, İçgörü ve Bilişsel İşlevler ile İlişkisi. [The relationship between violence and clinical features, insight and cognitive functions in patients with schizophrenia.]. </w:t>
      </w:r>
      <w:r w:rsidRPr="004C4852">
        <w:rPr>
          <w:rFonts w:ascii="Times New Roman" w:eastAsia="Times New Roman" w:hAnsi="Times New Roman" w:cs="Times New Roman"/>
          <w:i/>
          <w:iCs/>
          <w:sz w:val="24"/>
          <w:szCs w:val="24"/>
        </w:rPr>
        <w:t>Türk Psikiyatri Dergisi</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w:t>
      </w:r>
      <w:r w:rsidRPr="004C4852">
        <w:rPr>
          <w:rFonts w:ascii="Times New Roman" w:eastAsia="Times New Roman" w:hAnsi="Times New Roman" w:cs="Times New Roman"/>
          <w:sz w:val="24"/>
          <w:szCs w:val="24"/>
        </w:rPr>
        <w:t>(2), 92–99.</w:t>
      </w:r>
    </w:p>
    <w:p w14:paraId="3E2786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Kosmat, H., &amp; Vranic, A. (2017). The efficacy of a dance intervention as cognitive training for the old-old. </w:t>
      </w:r>
      <w:r w:rsidRPr="004C4852">
        <w:rPr>
          <w:rFonts w:ascii="Times New Roman" w:eastAsia="Times New Roman" w:hAnsi="Times New Roman" w:cs="Times New Roman"/>
          <w:i/>
          <w:iCs/>
          <w:sz w:val="24"/>
          <w:szCs w:val="24"/>
        </w:rPr>
        <w:t>Journal of Aging and Physical Activity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32–40. </w:t>
      </w:r>
      <w:hyperlink r:id="rId3071" w:history="1">
        <w:r w:rsidRPr="004C4852">
          <w:rPr>
            <w:rFonts w:ascii="Times New Roman" w:eastAsia="Times New Roman" w:hAnsi="Times New Roman" w:cs="Times New Roman"/>
            <w:color w:val="0000FF"/>
            <w:sz w:val="24"/>
            <w:szCs w:val="24"/>
            <w:u w:val="single"/>
          </w:rPr>
          <w:t>https://doi.org/10.1123/japa.2015-0264</w:t>
        </w:r>
      </w:hyperlink>
    </w:p>
    <w:p w14:paraId="0D6B755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Kosmidis, M. H., Bozikas, V. P., Giannouli, V., Karavatos, A., &amp; Fokas, K. (2012). Familial comorbidity of bipolar disorder and multiple sclerosis: Genetic susceptibility, coexistence or causal relationship? </w:t>
      </w:r>
      <w:r w:rsidRPr="004C4852">
        <w:rPr>
          <w:rFonts w:ascii="Times New Roman" w:eastAsia="Times New Roman" w:hAnsi="Times New Roman" w:cs="Times New Roman"/>
          <w:i/>
          <w:iCs/>
          <w:sz w:val="24"/>
          <w:szCs w:val="24"/>
        </w:rPr>
        <w:t>Behavioural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(4), 341–349. </w:t>
      </w:r>
      <w:hyperlink r:id="rId3072" w:history="1">
        <w:r w:rsidRPr="004C4852">
          <w:rPr>
            <w:rFonts w:ascii="Times New Roman" w:eastAsia="Times New Roman" w:hAnsi="Times New Roman" w:cs="Times New Roman"/>
            <w:color w:val="0000FF"/>
            <w:sz w:val="24"/>
            <w:szCs w:val="24"/>
            <w:u w:val="single"/>
          </w:rPr>
          <w:t>https://doi.org/10.1155/2012/894128</w:t>
        </w:r>
      </w:hyperlink>
    </w:p>
    <w:p w14:paraId="6E8233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Kossorotoff, M., Gonin-Flambois, C., Gitiaux, C., Quijano, S., Boddaert, N., Bahi-Buisson, N., Barnerias, C., Dulac, O., Brunelle, F., &amp; Desguerre, I. (2010). A cognitive and affective pattern in posterior fossa strokes in children: A case series. </w:t>
      </w:r>
      <w:r w:rsidRPr="004C4852">
        <w:rPr>
          <w:rFonts w:ascii="Times New Roman" w:eastAsia="Times New Roman" w:hAnsi="Times New Roman" w:cs="Times New Roman"/>
          <w:i/>
          <w:iCs/>
          <w:sz w:val="24"/>
          <w:szCs w:val="24"/>
        </w:rPr>
        <w:t>Developmental Medicine &amp;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52</w:t>
      </w:r>
      <w:r w:rsidRPr="004C4852">
        <w:rPr>
          <w:rFonts w:ascii="Times New Roman" w:eastAsia="Times New Roman" w:hAnsi="Times New Roman" w:cs="Times New Roman"/>
          <w:sz w:val="24"/>
          <w:szCs w:val="24"/>
        </w:rPr>
        <w:t xml:space="preserve">(7), 626–631. </w:t>
      </w:r>
      <w:hyperlink r:id="rId3073" w:history="1">
        <w:r w:rsidRPr="004C4852">
          <w:rPr>
            <w:rFonts w:ascii="Times New Roman" w:eastAsia="Times New Roman" w:hAnsi="Times New Roman" w:cs="Times New Roman"/>
            <w:color w:val="0000FF"/>
            <w:sz w:val="24"/>
            <w:szCs w:val="24"/>
            <w:u w:val="single"/>
          </w:rPr>
          <w:t>https://doi.org/10.1111/j.1469-8749.2010.03616.x</w:t>
        </w:r>
      </w:hyperlink>
    </w:p>
    <w:p w14:paraId="13F1F64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Kotchoubey, B., Lang, S., Winter, S., &amp; Birbaumer, N. (2003). Cognitive processing in completely paralyzed patients with amyotrophic lateral sclerosis. </w:t>
      </w:r>
      <w:r w:rsidRPr="004C4852">
        <w:rPr>
          <w:rFonts w:ascii="Times New Roman" w:eastAsia="Times New Roman" w:hAnsi="Times New Roman" w:cs="Times New Roman"/>
          <w:i/>
          <w:iCs/>
          <w:sz w:val="24"/>
          <w:szCs w:val="24"/>
        </w:rPr>
        <w:t>European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10</w:t>
      </w:r>
      <w:r w:rsidRPr="004C4852">
        <w:rPr>
          <w:rFonts w:ascii="Times New Roman" w:eastAsia="Times New Roman" w:hAnsi="Times New Roman" w:cs="Times New Roman"/>
          <w:sz w:val="24"/>
          <w:szCs w:val="24"/>
        </w:rPr>
        <w:t xml:space="preserve">(5), 551–558. </w:t>
      </w:r>
      <w:hyperlink r:id="rId3074" w:history="1">
        <w:r w:rsidRPr="004C4852">
          <w:rPr>
            <w:rFonts w:ascii="Times New Roman" w:eastAsia="Times New Roman" w:hAnsi="Times New Roman" w:cs="Times New Roman"/>
            <w:color w:val="0000FF"/>
            <w:sz w:val="24"/>
            <w:szCs w:val="24"/>
            <w:u w:val="single"/>
          </w:rPr>
          <w:t>https://doi.org/10.1046/j.1468-1331.2003.00647.x</w:t>
        </w:r>
      </w:hyperlink>
    </w:p>
    <w:p w14:paraId="4481CCC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Kotsopoulos, D., &amp; Lee, J. (2012). A naturalistic study of executive function and mathematical problem-solving. </w:t>
      </w:r>
      <w:r w:rsidRPr="004C4852">
        <w:rPr>
          <w:rFonts w:ascii="Times New Roman" w:eastAsia="Times New Roman" w:hAnsi="Times New Roman" w:cs="Times New Roman"/>
          <w:i/>
          <w:iCs/>
          <w:sz w:val="24"/>
          <w:szCs w:val="24"/>
        </w:rPr>
        <w:t>The Journal of Mathematical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31</w:t>
      </w:r>
      <w:r w:rsidRPr="004C4852">
        <w:rPr>
          <w:rFonts w:ascii="Times New Roman" w:eastAsia="Times New Roman" w:hAnsi="Times New Roman" w:cs="Times New Roman"/>
          <w:sz w:val="24"/>
          <w:szCs w:val="24"/>
        </w:rPr>
        <w:t xml:space="preserve">(2), 196–208. </w:t>
      </w:r>
      <w:hyperlink r:id="rId3075" w:history="1">
        <w:r w:rsidRPr="004C4852">
          <w:rPr>
            <w:rFonts w:ascii="Times New Roman" w:eastAsia="Times New Roman" w:hAnsi="Times New Roman" w:cs="Times New Roman"/>
            <w:color w:val="0000FF"/>
            <w:sz w:val="24"/>
            <w:szCs w:val="24"/>
            <w:u w:val="single"/>
          </w:rPr>
          <w:t>https://doi.org/10.1016/j.jmathb.2011.12.005</w:t>
        </w:r>
      </w:hyperlink>
    </w:p>
    <w:p w14:paraId="429A812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Kotte, A., Joshi, G., Fried, R., Uchida, M., Spencer, A., Woodworth, K. Y., Kenworthy, T., Faraone, S. V., &amp; Biederman, J. (2013). Autistic traits in children with and without ADHD. </w:t>
      </w:r>
      <w:r w:rsidRPr="004C4852">
        <w:rPr>
          <w:rFonts w:ascii="Times New Roman" w:eastAsia="Times New Roman" w:hAnsi="Times New Roman" w:cs="Times New Roman"/>
          <w:i/>
          <w:iCs/>
          <w:sz w:val="24"/>
          <w:szCs w:val="24"/>
        </w:rPr>
        <w:t>Pediatrics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132</w:t>
      </w:r>
      <w:r w:rsidRPr="004C4852">
        <w:rPr>
          <w:rFonts w:ascii="Times New Roman" w:eastAsia="Times New Roman" w:hAnsi="Times New Roman" w:cs="Times New Roman"/>
          <w:sz w:val="24"/>
          <w:szCs w:val="24"/>
        </w:rPr>
        <w:t xml:space="preserve">(3), e612–e622. </w:t>
      </w:r>
      <w:hyperlink r:id="rId3076" w:history="1">
        <w:r w:rsidRPr="004C4852">
          <w:rPr>
            <w:rFonts w:ascii="Times New Roman" w:eastAsia="Times New Roman" w:hAnsi="Times New Roman" w:cs="Times New Roman"/>
            <w:color w:val="0000FF"/>
            <w:sz w:val="24"/>
            <w:szCs w:val="24"/>
            <w:u w:val="single"/>
          </w:rPr>
          <w:t>https://doi.org/10.1542/peds.2012-3947</w:t>
        </w:r>
      </w:hyperlink>
    </w:p>
    <w:p w14:paraId="3C58B2B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Koven, N. S. (2011). Specificity of meta-emotion effects on moral decision-making. </w:t>
      </w:r>
      <w:r w:rsidRPr="004C4852">
        <w:rPr>
          <w:rFonts w:ascii="Times New Roman" w:eastAsia="Times New Roman" w:hAnsi="Times New Roman" w:cs="Times New Roman"/>
          <w:i/>
          <w:iCs/>
          <w:sz w:val="24"/>
          <w:szCs w:val="24"/>
        </w:rPr>
        <w:t>Emotion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w:t>
      </w:r>
      <w:r w:rsidRPr="004C4852">
        <w:rPr>
          <w:rFonts w:ascii="Times New Roman" w:eastAsia="Times New Roman" w:hAnsi="Times New Roman" w:cs="Times New Roman"/>
          <w:sz w:val="24"/>
          <w:szCs w:val="24"/>
        </w:rPr>
        <w:t xml:space="preserve">(5), 1255–1261. </w:t>
      </w:r>
      <w:hyperlink r:id="rId3077" w:history="1">
        <w:r w:rsidRPr="004C4852">
          <w:rPr>
            <w:rFonts w:ascii="Times New Roman" w:eastAsia="Times New Roman" w:hAnsi="Times New Roman" w:cs="Times New Roman"/>
            <w:color w:val="0000FF"/>
            <w:sz w:val="24"/>
            <w:szCs w:val="24"/>
            <w:u w:val="single"/>
          </w:rPr>
          <w:t>https://doi.org/10.1037/a0025616</w:t>
        </w:r>
      </w:hyperlink>
    </w:p>
    <w:p w14:paraId="31CD0D9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Koven, N. S., Roth, R. M., Coffey, D. J., Flashman, L. A., &amp; Saykin, A. J. (2007). Cognitive performance and self-reported functioning in daily life among those with Parkinson’s disease: A brief report. </w:t>
      </w:r>
      <w:r w:rsidRPr="004C4852">
        <w:rPr>
          <w:rFonts w:ascii="Times New Roman" w:eastAsia="Times New Roman" w:hAnsi="Times New Roman" w:cs="Times New Roman"/>
          <w:i/>
          <w:iCs/>
          <w:sz w:val="24"/>
          <w:szCs w:val="24"/>
        </w:rPr>
        <w:t>Internet Journal of Mental Health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w:t>
      </w:r>
      <w:r w:rsidRPr="004C4852">
        <w:rPr>
          <w:rFonts w:ascii="Times New Roman" w:eastAsia="Times New Roman" w:hAnsi="Times New Roman" w:cs="Times New Roman"/>
          <w:sz w:val="24"/>
          <w:szCs w:val="24"/>
        </w:rPr>
        <w:t>(2), No Pagination Specified-No Pagination Specified.</w:t>
      </w:r>
    </w:p>
    <w:p w14:paraId="229038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Koziol, L. F., Budding, D. E., &amp; Hale, J. B. (2013). Understanding neuropsychopathology in the 21st century: Current status, clinical application, and future directions. In </w:t>
      </w:r>
      <w:r w:rsidRPr="004C4852">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4C4852">
        <w:rPr>
          <w:rFonts w:ascii="Times New Roman" w:eastAsia="Times New Roman" w:hAnsi="Times New Roman" w:cs="Times New Roman"/>
          <w:sz w:val="24"/>
          <w:szCs w:val="24"/>
        </w:rPr>
        <w:t xml:space="preserve"> (pp. 327–345). American Psychological Association. </w:t>
      </w:r>
      <w:hyperlink r:id="rId3078" w:history="1">
        <w:r w:rsidRPr="004C4852">
          <w:rPr>
            <w:rFonts w:ascii="Times New Roman" w:eastAsia="Times New Roman" w:hAnsi="Times New Roman" w:cs="Times New Roman"/>
            <w:color w:val="0000FF"/>
            <w:sz w:val="24"/>
            <w:szCs w:val="24"/>
            <w:u w:val="single"/>
          </w:rPr>
          <w:t>https://doi.org/10.1037/14091-014</w:t>
        </w:r>
      </w:hyperlink>
    </w:p>
    <w:p w14:paraId="11E382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Koziol, L. F., Watt, D., &amp; Budding, D. E. (2013). Frontal-subcortical dementias. In </w:t>
      </w:r>
      <w:r w:rsidRPr="004C4852">
        <w:rPr>
          <w:rFonts w:ascii="Times New Roman" w:eastAsia="Times New Roman" w:hAnsi="Times New Roman" w:cs="Times New Roman"/>
          <w:i/>
          <w:iCs/>
          <w:sz w:val="24"/>
          <w:szCs w:val="24"/>
        </w:rPr>
        <w:t>The neuropsychology of psychopathology.</w:t>
      </w:r>
      <w:r w:rsidRPr="004C4852">
        <w:rPr>
          <w:rFonts w:ascii="Times New Roman" w:eastAsia="Times New Roman" w:hAnsi="Times New Roman" w:cs="Times New Roman"/>
          <w:sz w:val="24"/>
          <w:szCs w:val="24"/>
        </w:rPr>
        <w:t xml:space="preserve"> (pp. 405–423). Springer Publishing Co.</w:t>
      </w:r>
    </w:p>
    <w:p w14:paraId="60127C7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Kraan, C. M., Hocking, D. R., Bradshaw, J. L., Fielding, J., Cohen, J., Georgiou-Karistianis, N., &amp; Cornish, K. M. (2013). Neurobehavioural evidence for the involvement of the FMR1 gene in female carriers of fragile X syndrome. </w:t>
      </w:r>
      <w:r w:rsidRPr="004C4852">
        <w:rPr>
          <w:rFonts w:ascii="Times New Roman" w:eastAsia="Times New Roman" w:hAnsi="Times New Roman" w:cs="Times New Roman"/>
          <w:i/>
          <w:iCs/>
          <w:sz w:val="24"/>
          <w:szCs w:val="24"/>
        </w:rPr>
        <w:t>Neuroscience and Biobehavioral Reviews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(3), 522–547. </w:t>
      </w:r>
      <w:hyperlink r:id="rId3079" w:history="1">
        <w:r w:rsidRPr="004C4852">
          <w:rPr>
            <w:rFonts w:ascii="Times New Roman" w:eastAsia="Times New Roman" w:hAnsi="Times New Roman" w:cs="Times New Roman"/>
            <w:color w:val="0000FF"/>
            <w:sz w:val="24"/>
            <w:szCs w:val="24"/>
            <w:u w:val="single"/>
          </w:rPr>
          <w:t>https://doi.org/10.1016/j.neubiorev.2013.01.010</w:t>
        </w:r>
      </w:hyperlink>
    </w:p>
    <w:p w14:paraId="403E70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Krab, L. C., Aarsen, F. K., de Goede-Bolder, A., Catsman-Berrevoets, C. E., Arts, W. F., Moll, H. A., &amp; Elgersma, Y. (2008). Impact of neurofibromatosis type 1 on school performance. </w:t>
      </w:r>
      <w:r w:rsidRPr="004C4852">
        <w:rPr>
          <w:rFonts w:ascii="Times New Roman" w:eastAsia="Times New Roman" w:hAnsi="Times New Roman" w:cs="Times New Roman"/>
          <w:i/>
          <w:iCs/>
          <w:sz w:val="24"/>
          <w:szCs w:val="24"/>
        </w:rPr>
        <w:t>Journal of Child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(9), 1002–1010.</w:t>
      </w:r>
    </w:p>
    <w:p w14:paraId="367ED95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Kraemer, D. J. M., Hamilton, R. H., Messing, S. B., DeSantis, J. H., &amp; Thompson-Schill, S. L. (2014). Cognitive style, cortical stimulation, and the conversion hypothesis. </w:t>
      </w:r>
      <w:r w:rsidRPr="004C4852">
        <w:rPr>
          <w:rFonts w:ascii="Times New Roman" w:eastAsia="Times New Roman" w:hAnsi="Times New Roman" w:cs="Times New Roman"/>
          <w:i/>
          <w:iCs/>
          <w:sz w:val="24"/>
          <w:szCs w:val="24"/>
        </w:rPr>
        <w:t>Frontiers in Human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 </w:t>
      </w:r>
      <w:hyperlink r:id="rId3080" w:history="1">
        <w:r w:rsidRPr="004C4852">
          <w:rPr>
            <w:rFonts w:ascii="Times New Roman" w:eastAsia="Times New Roman" w:hAnsi="Times New Roman" w:cs="Times New Roman"/>
            <w:color w:val="0000FF"/>
            <w:sz w:val="24"/>
            <w:szCs w:val="24"/>
            <w:u w:val="single"/>
          </w:rPr>
          <w:t>https://doi.org/10.3389/fnhum.2014.00015</w:t>
        </w:r>
      </w:hyperlink>
    </w:p>
    <w:p w14:paraId="3B649CA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Kraft, A., Irlbacher, K., Finke, K., Kaufmann, C., Kehrer, S., Liebermann, D., Bundesen, C., &amp; Brandt, S. A. (2015). Dissociable spatial and non-spatial attentional deficits after circumscribed thalamic stroke. </w:t>
      </w:r>
      <w:r w:rsidRPr="004C4852">
        <w:rPr>
          <w:rFonts w:ascii="Times New Roman" w:eastAsia="Times New Roman" w:hAnsi="Times New Roman" w:cs="Times New Roman"/>
          <w:i/>
          <w:iCs/>
          <w:sz w:val="24"/>
          <w:szCs w:val="24"/>
        </w:rPr>
        <w:t>Cortex: A Journal Devoted to the Study of the Nervous System and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64</w:t>
      </w:r>
      <w:r w:rsidRPr="004C4852">
        <w:rPr>
          <w:rFonts w:ascii="Times New Roman" w:eastAsia="Times New Roman" w:hAnsi="Times New Roman" w:cs="Times New Roman"/>
          <w:sz w:val="24"/>
          <w:szCs w:val="24"/>
        </w:rPr>
        <w:t xml:space="preserve">, 327–342. </w:t>
      </w:r>
      <w:hyperlink r:id="rId3081" w:history="1">
        <w:r w:rsidRPr="004C4852">
          <w:rPr>
            <w:rFonts w:ascii="Times New Roman" w:eastAsia="Times New Roman" w:hAnsi="Times New Roman" w:cs="Times New Roman"/>
            <w:color w:val="0000FF"/>
            <w:sz w:val="24"/>
            <w:szCs w:val="24"/>
            <w:u w:val="single"/>
          </w:rPr>
          <w:t>https://doi.org/10.1016/j.cortex.2014.12.005</w:t>
        </w:r>
      </w:hyperlink>
    </w:p>
    <w:p w14:paraId="1DDA4F1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&amp; Czobor, P. (2011). Cholesterol and cognition in schizophrenia: A double-blind study of patients randomized to clozapine, olanzapine and haloperidol.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130</w:t>
      </w:r>
      <w:r w:rsidRPr="004C4852">
        <w:rPr>
          <w:rFonts w:ascii="Times New Roman" w:eastAsia="Times New Roman" w:hAnsi="Times New Roman" w:cs="Times New Roman"/>
          <w:sz w:val="24"/>
          <w:szCs w:val="24"/>
        </w:rPr>
        <w:t xml:space="preserve">(1–3), 27–33. </w:t>
      </w:r>
      <w:hyperlink r:id="rId3082" w:history="1">
        <w:r w:rsidRPr="004C4852">
          <w:rPr>
            <w:rFonts w:ascii="Times New Roman" w:eastAsia="Times New Roman" w:hAnsi="Times New Roman" w:cs="Times New Roman"/>
            <w:color w:val="0000FF"/>
            <w:sz w:val="24"/>
            <w:szCs w:val="24"/>
            <w:u w:val="single"/>
          </w:rPr>
          <w:t>https://doi.org/10.1016/j.schres.2011.04.005</w:t>
        </w:r>
      </w:hyperlink>
    </w:p>
    <w:p w14:paraId="5B1812F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Czobor, P., Carpenter, M. D., Libiger, J., Kunz, M., Papezova, H., Parker, B. B., Schmader, L., &amp; Abad, T. (1997). Community violence and inpatient assaults: Neurobiological deficits.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549–555. </w:t>
      </w:r>
      <w:hyperlink r:id="rId3083" w:history="1">
        <w:r w:rsidRPr="004C4852">
          <w:rPr>
            <w:rFonts w:ascii="Times New Roman" w:eastAsia="Times New Roman" w:hAnsi="Times New Roman" w:cs="Times New Roman"/>
            <w:color w:val="0000FF"/>
            <w:sz w:val="24"/>
            <w:szCs w:val="24"/>
            <w:u w:val="single"/>
          </w:rPr>
          <w:t>https://doi.org/10.1176/jnp.9.4.549</w:t>
        </w:r>
      </w:hyperlink>
    </w:p>
    <w:p w14:paraId="459BAA9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&amp; Czobor, P. (2012a). Executive function predicts response to antiaggression treatment in schizophrenia: A randomized controlled trial. </w:t>
      </w:r>
      <w:r w:rsidRPr="004C4852">
        <w:rPr>
          <w:rFonts w:ascii="Times New Roman" w:eastAsia="Times New Roman" w:hAnsi="Times New Roman" w:cs="Times New Roman"/>
          <w:i/>
          <w:iCs/>
          <w:sz w:val="24"/>
          <w:szCs w:val="24"/>
        </w:rPr>
        <w:t>The Journal of Clinical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73</w:t>
      </w:r>
      <w:r w:rsidRPr="004C4852">
        <w:rPr>
          <w:rFonts w:ascii="Times New Roman" w:eastAsia="Times New Roman" w:hAnsi="Times New Roman" w:cs="Times New Roman"/>
          <w:sz w:val="24"/>
          <w:szCs w:val="24"/>
        </w:rPr>
        <w:t xml:space="preserve">(1), 74–80. </w:t>
      </w:r>
      <w:hyperlink r:id="rId3084" w:history="1">
        <w:r w:rsidRPr="004C4852">
          <w:rPr>
            <w:rFonts w:ascii="Times New Roman" w:eastAsia="Times New Roman" w:hAnsi="Times New Roman" w:cs="Times New Roman"/>
            <w:color w:val="0000FF"/>
            <w:sz w:val="24"/>
            <w:szCs w:val="24"/>
            <w:u w:val="single"/>
          </w:rPr>
          <w:t>https://doi.org/10.4088/JCP.11m07238</w:t>
        </w:r>
      </w:hyperlink>
    </w:p>
    <w:p w14:paraId="7FECA3D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&amp; Czobor, P. (2012b). The denial of aggression in violent patients with schizophrenia.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141</w:t>
      </w:r>
      <w:r w:rsidRPr="004C4852">
        <w:rPr>
          <w:rFonts w:ascii="Times New Roman" w:eastAsia="Times New Roman" w:hAnsi="Times New Roman" w:cs="Times New Roman"/>
          <w:sz w:val="24"/>
          <w:szCs w:val="24"/>
        </w:rPr>
        <w:t xml:space="preserve">(2–3), 228–233. </w:t>
      </w:r>
      <w:hyperlink r:id="rId3085" w:history="1">
        <w:r w:rsidRPr="004C4852">
          <w:rPr>
            <w:rFonts w:ascii="Times New Roman" w:eastAsia="Times New Roman" w:hAnsi="Times New Roman" w:cs="Times New Roman"/>
            <w:color w:val="0000FF"/>
            <w:sz w:val="24"/>
            <w:szCs w:val="24"/>
            <w:u w:val="single"/>
          </w:rPr>
          <w:t>https://doi.org/10.1016/j.schres.2012.08.037</w:t>
        </w:r>
      </w:hyperlink>
    </w:p>
    <w:p w14:paraId="345778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&amp; Czobor, P. (2017). Proneness to aggression and its inhibition in schizophrenia: Interconnections between personality traits, cognitive function and emotional processing. </w:t>
      </w:r>
      <w:r w:rsidRPr="004C4852">
        <w:rPr>
          <w:rFonts w:ascii="Times New Roman" w:eastAsia="Times New Roman" w:hAnsi="Times New Roman" w:cs="Times New Roman"/>
          <w:i/>
          <w:iCs/>
          <w:sz w:val="24"/>
          <w:szCs w:val="24"/>
        </w:rPr>
        <w:t>Schizophrenia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184</w:t>
      </w:r>
      <w:r w:rsidRPr="004C4852">
        <w:rPr>
          <w:rFonts w:ascii="Times New Roman" w:eastAsia="Times New Roman" w:hAnsi="Times New Roman" w:cs="Times New Roman"/>
          <w:sz w:val="24"/>
          <w:szCs w:val="24"/>
        </w:rPr>
        <w:t xml:space="preserve">, 82–87. </w:t>
      </w:r>
      <w:hyperlink r:id="rId3086" w:history="1">
        <w:r w:rsidRPr="004C4852">
          <w:rPr>
            <w:rFonts w:ascii="Times New Roman" w:eastAsia="Times New Roman" w:hAnsi="Times New Roman" w:cs="Times New Roman"/>
            <w:color w:val="0000FF"/>
            <w:sz w:val="24"/>
            <w:szCs w:val="24"/>
            <w:u w:val="single"/>
          </w:rPr>
          <w:t>https://doi.org/10.1016/j.schres.2016.11.038</w:t>
        </w:r>
      </w:hyperlink>
    </w:p>
    <w:p w14:paraId="1AAD32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Krakowski, M. I., Czobor, P., &amp; Nolan, K. A. (2008). Atypical antipsychotics, neurocognitive deficits, and aggression in schizophrenic patients. </w:t>
      </w:r>
      <w:r w:rsidRPr="004C4852">
        <w:rPr>
          <w:rFonts w:ascii="Times New Roman" w:eastAsia="Times New Roman" w:hAnsi="Times New Roman" w:cs="Times New Roman"/>
          <w:i/>
          <w:iCs/>
          <w:sz w:val="24"/>
          <w:szCs w:val="24"/>
        </w:rPr>
        <w:t>Journal of Clinical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(5), 485–493. </w:t>
      </w:r>
      <w:hyperlink r:id="rId3087" w:history="1">
        <w:r w:rsidRPr="004C4852">
          <w:rPr>
            <w:rFonts w:ascii="Times New Roman" w:eastAsia="Times New Roman" w:hAnsi="Times New Roman" w:cs="Times New Roman"/>
            <w:color w:val="0000FF"/>
            <w:sz w:val="24"/>
            <w:szCs w:val="24"/>
            <w:u w:val="single"/>
          </w:rPr>
          <w:t>https://doi.org/10.1097/JCP.0b013e3181855cd6</w:t>
        </w:r>
      </w:hyperlink>
    </w:p>
    <w:p w14:paraId="0169C22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Kramer, A. F., Humphrey, D. G., Larish, J. F., &amp; Logan, G. D. (1994). Aging and inhibition: Beyond a unitary view of inhibitory processing in attention.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w:t>
      </w:r>
      <w:r w:rsidRPr="004C4852">
        <w:rPr>
          <w:rFonts w:ascii="Times New Roman" w:eastAsia="Times New Roman" w:hAnsi="Times New Roman" w:cs="Times New Roman"/>
          <w:sz w:val="24"/>
          <w:szCs w:val="24"/>
        </w:rPr>
        <w:t xml:space="preserve">(4), 491–512. </w:t>
      </w:r>
      <w:hyperlink r:id="rId3088" w:history="1">
        <w:r w:rsidRPr="004C4852">
          <w:rPr>
            <w:rFonts w:ascii="Times New Roman" w:eastAsia="Times New Roman" w:hAnsi="Times New Roman" w:cs="Times New Roman"/>
            <w:color w:val="0000FF"/>
            <w:sz w:val="24"/>
            <w:szCs w:val="24"/>
            <w:u w:val="single"/>
          </w:rPr>
          <w:t>https://doi.org/10.1037/0882-7974.9.4.491</w:t>
        </w:r>
      </w:hyperlink>
    </w:p>
    <w:p w14:paraId="514A570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Kramska, L. (2013). Subarachnoid hemorrhage from intracranial aneurysms. In </w:t>
      </w:r>
      <w:r w:rsidRPr="004C4852">
        <w:rPr>
          <w:rFonts w:ascii="Times New Roman" w:eastAsia="Times New Roman" w:hAnsi="Times New Roman" w:cs="Times New Roman"/>
          <w:i/>
          <w:iCs/>
          <w:sz w:val="24"/>
          <w:szCs w:val="24"/>
        </w:rPr>
        <w:t>Cognitive deficit in mental and neurological disorders.</w:t>
      </w:r>
      <w:r w:rsidRPr="004C4852">
        <w:rPr>
          <w:rFonts w:ascii="Times New Roman" w:eastAsia="Times New Roman" w:hAnsi="Times New Roman" w:cs="Times New Roman"/>
          <w:sz w:val="24"/>
          <w:szCs w:val="24"/>
        </w:rPr>
        <w:t xml:space="preserve"> (pp. 333–365). Nova Science Publishers.</w:t>
      </w:r>
    </w:p>
    <w:p w14:paraId="2BF9102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Krans, J., Bosmans, G., Salemink, E., &amp; De Raedt, R. (2019). Cognitive Bias Modification of expectancies (CBM</w:t>
      </w:r>
      <w:r w:rsidRPr="004C4852">
        <w:rPr>
          <w:rFonts w:ascii="Times New Roman" w:eastAsia="Times New Roman" w:hAnsi="Times New Roman" w:cs="Times New Roman"/>
          <w:sz w:val="24"/>
          <w:szCs w:val="24"/>
        </w:rPr>
        <w:noBreakHyphen/>
        <w:t xml:space="preserve">E): Effects on interpretation bias and autobiographical memory, and relations with social and attachment anxiety. </w:t>
      </w:r>
      <w:r w:rsidRPr="004C4852">
        <w:rPr>
          <w:rFonts w:ascii="Times New Roman" w:eastAsia="Times New Roman" w:hAnsi="Times New Roman" w:cs="Times New Roman"/>
          <w:i/>
          <w:iCs/>
          <w:sz w:val="24"/>
          <w:szCs w:val="24"/>
        </w:rPr>
        <w:t>Cognitive Therapy and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43</w:t>
      </w:r>
      <w:r w:rsidRPr="004C4852">
        <w:rPr>
          <w:rFonts w:ascii="Times New Roman" w:eastAsia="Times New Roman" w:hAnsi="Times New Roman" w:cs="Times New Roman"/>
          <w:sz w:val="24"/>
          <w:szCs w:val="24"/>
        </w:rPr>
        <w:t xml:space="preserve">(6), 1028–1042. </w:t>
      </w:r>
      <w:hyperlink r:id="rId3089" w:history="1">
        <w:r w:rsidRPr="004C4852">
          <w:rPr>
            <w:rFonts w:ascii="Times New Roman" w:eastAsia="Times New Roman" w:hAnsi="Times New Roman" w:cs="Times New Roman"/>
            <w:color w:val="0000FF"/>
            <w:sz w:val="24"/>
            <w:szCs w:val="24"/>
            <w:u w:val="single"/>
          </w:rPr>
          <w:t>https://doi.org/10.1007/s10608-019-10032-z</w:t>
        </w:r>
      </w:hyperlink>
    </w:p>
    <w:p w14:paraId="0CEE0D2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Krch, D., Lequerica, A., Arango-Lasprilla, J. C., Rogers, H. L., DeLuca, J., &amp; Chiaravalloti, N. D. (2015). The multidimensional influence of acculturation on digit symbol-coding and Wisconsin Card Sorting Test in Hispanics.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(5), 624–638. </w:t>
      </w:r>
      <w:hyperlink r:id="rId3090" w:history="1">
        <w:r w:rsidRPr="004C4852">
          <w:rPr>
            <w:rFonts w:ascii="Times New Roman" w:eastAsia="Times New Roman" w:hAnsi="Times New Roman" w:cs="Times New Roman"/>
            <w:color w:val="0000FF"/>
            <w:sz w:val="24"/>
            <w:szCs w:val="24"/>
            <w:u w:val="single"/>
          </w:rPr>
          <w:t>https://doi.org/10.1080/13854046.2015.1063696</w:t>
        </w:r>
      </w:hyperlink>
    </w:p>
    <w:p w14:paraId="237B483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Kreisl, W. C., Lyoo, C. H., McGwier, M., Snow, J., Jenko, K. J., Kimura, N., Corona, W., Morse, C. L., Zoghbi, S. S., Pike, V. W., McMahon, F. J., Turner, R. S., &amp; Innis, R. B. (2013). In vivo radioligand binding to translocator protein correlates with severity of Alzheimer’s disease.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136</w:t>
      </w:r>
      <w:r w:rsidRPr="004C4852">
        <w:rPr>
          <w:rFonts w:ascii="Times New Roman" w:eastAsia="Times New Roman" w:hAnsi="Times New Roman" w:cs="Times New Roman"/>
          <w:sz w:val="24"/>
          <w:szCs w:val="24"/>
        </w:rPr>
        <w:t xml:space="preserve">(7), 2228–2238. </w:t>
      </w:r>
      <w:hyperlink r:id="rId3091" w:history="1">
        <w:r w:rsidRPr="004C4852">
          <w:rPr>
            <w:rFonts w:ascii="Times New Roman" w:eastAsia="Times New Roman" w:hAnsi="Times New Roman" w:cs="Times New Roman"/>
            <w:color w:val="0000FF"/>
            <w:sz w:val="24"/>
            <w:szCs w:val="24"/>
            <w:u w:val="single"/>
          </w:rPr>
          <w:t>https://doi.org/10.1093/brain/awt145</w:t>
        </w:r>
      </w:hyperlink>
    </w:p>
    <w:p w14:paraId="4B8F396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Eisen, S. A., Tsuang, M. T., &amp; Lyons, M. J. (2007). Is the Wisconsin Card Sorting Test a useful neurocognitive endophenotype? </w:t>
      </w:r>
      <w:r w:rsidRPr="004C4852">
        <w:rPr>
          <w:rFonts w:ascii="Times New Roman" w:eastAsia="Times New Roman" w:hAnsi="Times New Roman" w:cs="Times New Roman"/>
          <w:i/>
          <w:iCs/>
          <w:sz w:val="24"/>
          <w:szCs w:val="24"/>
        </w:rPr>
        <w:t>American Journal of Medical Genetics Part B: Neuropsychiatric Genetics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144B</w:t>
      </w:r>
      <w:r w:rsidRPr="004C4852">
        <w:rPr>
          <w:rFonts w:ascii="Times New Roman" w:eastAsia="Times New Roman" w:hAnsi="Times New Roman" w:cs="Times New Roman"/>
          <w:sz w:val="24"/>
          <w:szCs w:val="24"/>
        </w:rPr>
        <w:t xml:space="preserve">(4), 403–406. </w:t>
      </w:r>
      <w:hyperlink r:id="rId3092" w:history="1">
        <w:r w:rsidRPr="004C4852">
          <w:rPr>
            <w:rFonts w:ascii="Times New Roman" w:eastAsia="Times New Roman" w:hAnsi="Times New Roman" w:cs="Times New Roman"/>
            <w:color w:val="0000FF"/>
            <w:sz w:val="24"/>
            <w:szCs w:val="24"/>
            <w:u w:val="single"/>
          </w:rPr>
          <w:t>https://doi.org/10.1002/ajmg.b.30527</w:t>
        </w:r>
      </w:hyperlink>
    </w:p>
    <w:p w14:paraId="509A1E2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&amp; Lyons, M. J. (2011). Behavioral genetics of aging. </w:t>
      </w:r>
      <w:r w:rsidRPr="004C4852">
        <w:rPr>
          <w:rFonts w:ascii="Times New Roman" w:eastAsia="Times New Roman" w:hAnsi="Times New Roman" w:cs="Times New Roman"/>
          <w:i/>
          <w:iCs/>
          <w:sz w:val="24"/>
          <w:szCs w:val="24"/>
        </w:rPr>
        <w:t>Handbook of the Psychology of Aging, 7th Ed.</w:t>
      </w:r>
      <w:r w:rsidRPr="004C4852">
        <w:rPr>
          <w:rFonts w:ascii="Times New Roman" w:eastAsia="Times New Roman" w:hAnsi="Times New Roman" w:cs="Times New Roman"/>
          <w:sz w:val="24"/>
          <w:szCs w:val="24"/>
        </w:rPr>
        <w:t xml:space="preserve">, 93–107. </w:t>
      </w:r>
      <w:hyperlink r:id="rId3093" w:history="1">
        <w:r w:rsidRPr="004C4852">
          <w:rPr>
            <w:rFonts w:ascii="Times New Roman" w:eastAsia="Times New Roman" w:hAnsi="Times New Roman" w:cs="Times New Roman"/>
            <w:color w:val="0000FF"/>
            <w:sz w:val="24"/>
            <w:szCs w:val="24"/>
            <w:u w:val="single"/>
          </w:rPr>
          <w:t>https://doi.org/10.1016/B978-0-12-380882-0.00006-1</w:t>
        </w:r>
      </w:hyperlink>
    </w:p>
    <w:p w14:paraId="4384848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Mai, T., Panizzon, M. S., Franz, C. E., Blankfeld, H. M., Xian, H., Eisen, S. A., Tsuang, M. T., &amp; Lyons, M. J. (2011). A twin study of spatial and non-spatial delayed response performance in middle age. </w:t>
      </w:r>
      <w:r w:rsidRPr="004C4852">
        <w:rPr>
          <w:rFonts w:ascii="Times New Roman" w:eastAsia="Times New Roman" w:hAnsi="Times New Roman" w:cs="Times New Roman"/>
          <w:i/>
          <w:iCs/>
          <w:sz w:val="24"/>
          <w:szCs w:val="24"/>
        </w:rPr>
        <w:t>Brain and Cognition</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76</w:t>
      </w:r>
      <w:r w:rsidRPr="004C4852">
        <w:rPr>
          <w:rFonts w:ascii="Times New Roman" w:eastAsia="Times New Roman" w:hAnsi="Times New Roman" w:cs="Times New Roman"/>
          <w:sz w:val="24"/>
          <w:szCs w:val="24"/>
        </w:rPr>
        <w:t xml:space="preserve">(1), 43–51. </w:t>
      </w:r>
      <w:hyperlink r:id="rId3094" w:history="1">
        <w:r w:rsidRPr="004C4852">
          <w:rPr>
            <w:rFonts w:ascii="Times New Roman" w:eastAsia="Times New Roman" w:hAnsi="Times New Roman" w:cs="Times New Roman"/>
            <w:color w:val="0000FF"/>
            <w:sz w:val="24"/>
            <w:szCs w:val="24"/>
            <w:u w:val="single"/>
          </w:rPr>
          <w:t>https://doi.org/10.1016/j.bandc.2011.03.004</w:t>
        </w:r>
      </w:hyperlink>
    </w:p>
    <w:p w14:paraId="4DDE1E1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Kremen, W. S., Seidman, L. J., Faraone, S. V., &amp; Tsuang, M. T. (2008). IQ decline in cross-sectional studies of schizophrenia: Methodology and interpretation.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158</w:t>
      </w:r>
      <w:r w:rsidRPr="004C4852">
        <w:rPr>
          <w:rFonts w:ascii="Times New Roman" w:eastAsia="Times New Roman" w:hAnsi="Times New Roman" w:cs="Times New Roman"/>
          <w:sz w:val="24"/>
          <w:szCs w:val="24"/>
        </w:rPr>
        <w:t xml:space="preserve">(2), 181–194. </w:t>
      </w:r>
      <w:hyperlink r:id="rId3095" w:history="1">
        <w:r w:rsidRPr="004C4852">
          <w:rPr>
            <w:rFonts w:ascii="Times New Roman" w:eastAsia="Times New Roman" w:hAnsi="Times New Roman" w:cs="Times New Roman"/>
            <w:color w:val="0000FF"/>
            <w:sz w:val="24"/>
            <w:szCs w:val="24"/>
            <w:u w:val="single"/>
          </w:rPr>
          <w:t>https://doi.org/10.1016/j.psychres.2006.01.022</w:t>
        </w:r>
      </w:hyperlink>
    </w:p>
    <w:p w14:paraId="5D36394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Krendl, A. C. (2018). Reduced cognitive capacity impairs the malleability of older adults’ negative attitudes to stigmatized individuals. </w:t>
      </w:r>
      <w:r w:rsidRPr="004C4852">
        <w:rPr>
          <w:rFonts w:ascii="Times New Roman" w:eastAsia="Times New Roman" w:hAnsi="Times New Roman" w:cs="Times New Roman"/>
          <w:i/>
          <w:iCs/>
          <w:sz w:val="24"/>
          <w:szCs w:val="24"/>
        </w:rPr>
        <w:t>Experimental Aging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44</w:t>
      </w:r>
      <w:r w:rsidRPr="004C4852">
        <w:rPr>
          <w:rFonts w:ascii="Times New Roman" w:eastAsia="Times New Roman" w:hAnsi="Times New Roman" w:cs="Times New Roman"/>
          <w:sz w:val="24"/>
          <w:szCs w:val="24"/>
        </w:rPr>
        <w:t xml:space="preserve">(4), 271–283. </w:t>
      </w:r>
      <w:hyperlink r:id="rId3096" w:history="1">
        <w:r w:rsidRPr="004C4852">
          <w:rPr>
            <w:rFonts w:ascii="Times New Roman" w:eastAsia="Times New Roman" w:hAnsi="Times New Roman" w:cs="Times New Roman"/>
            <w:color w:val="0000FF"/>
            <w:sz w:val="24"/>
            <w:szCs w:val="24"/>
            <w:u w:val="single"/>
          </w:rPr>
          <w:t>https://doi.org/10.1080/0361073X.2018.1475152</w:t>
        </w:r>
      </w:hyperlink>
    </w:p>
    <w:p w14:paraId="043FD3C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Krendl, A. C., Rule, N. O., &amp; Ambady, N. (2014). Does aging impair first impression accuracy? Differentiating emotion recognition from complex social inferences. </w:t>
      </w:r>
      <w:r w:rsidRPr="004C4852">
        <w:rPr>
          <w:rFonts w:ascii="Times New Roman" w:eastAsia="Times New Roman" w:hAnsi="Times New Roman" w:cs="Times New Roman"/>
          <w:i/>
          <w:iCs/>
          <w:sz w:val="24"/>
          <w:szCs w:val="24"/>
        </w:rPr>
        <w:t>Psychology and Aging</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(3), 482–490. </w:t>
      </w:r>
      <w:hyperlink r:id="rId3097" w:history="1">
        <w:r w:rsidRPr="004C4852">
          <w:rPr>
            <w:rFonts w:ascii="Times New Roman" w:eastAsia="Times New Roman" w:hAnsi="Times New Roman" w:cs="Times New Roman"/>
            <w:color w:val="0000FF"/>
            <w:sz w:val="24"/>
            <w:szCs w:val="24"/>
            <w:u w:val="single"/>
          </w:rPr>
          <w:t>https://doi.org/10.1037/a0037146</w:t>
        </w:r>
      </w:hyperlink>
    </w:p>
    <w:p w14:paraId="1FAC264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Krendl, A. C., &amp; Wolford, G. (2013). Cognitive decline and older adults’ perception of stigma controllability. </w:t>
      </w:r>
      <w:r w:rsidRPr="004C4852">
        <w:rPr>
          <w:rFonts w:ascii="Times New Roman" w:eastAsia="Times New Roman" w:hAnsi="Times New Roman" w:cs="Times New Roman"/>
          <w:i/>
          <w:iCs/>
          <w:sz w:val="24"/>
          <w:szCs w:val="24"/>
        </w:rPr>
        <w:t>The Journals of Gerontology: Series B: Psychological Sciences and Social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68</w:t>
      </w:r>
      <w:r w:rsidRPr="004C4852">
        <w:rPr>
          <w:rFonts w:ascii="Times New Roman" w:eastAsia="Times New Roman" w:hAnsi="Times New Roman" w:cs="Times New Roman"/>
          <w:sz w:val="24"/>
          <w:szCs w:val="24"/>
        </w:rPr>
        <w:t xml:space="preserve">(3), 333–336. </w:t>
      </w:r>
      <w:hyperlink r:id="rId3098" w:history="1">
        <w:r w:rsidRPr="004C4852">
          <w:rPr>
            <w:rFonts w:ascii="Times New Roman" w:eastAsia="Times New Roman" w:hAnsi="Times New Roman" w:cs="Times New Roman"/>
            <w:color w:val="0000FF"/>
            <w:sz w:val="24"/>
            <w:szCs w:val="24"/>
            <w:u w:val="single"/>
          </w:rPr>
          <w:t>https://doi.org/10.1093/geronb/gbs070</w:t>
        </w:r>
      </w:hyperlink>
    </w:p>
    <w:p w14:paraId="2A443E7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Krężołek, M., Pionke, R., Banaszak, B., Kokoszka, A., &amp; Gawęda, Ł. (2019). The relationship between jumping to conclusions and neuropsychological functioning in schizophrenia.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273</w:t>
      </w:r>
      <w:r w:rsidRPr="004C4852">
        <w:rPr>
          <w:rFonts w:ascii="Times New Roman" w:eastAsia="Times New Roman" w:hAnsi="Times New Roman" w:cs="Times New Roman"/>
          <w:sz w:val="24"/>
          <w:szCs w:val="24"/>
        </w:rPr>
        <w:t xml:space="preserve">, 443–449. </w:t>
      </w:r>
      <w:hyperlink r:id="rId3099" w:history="1">
        <w:r w:rsidRPr="004C4852">
          <w:rPr>
            <w:rFonts w:ascii="Times New Roman" w:eastAsia="Times New Roman" w:hAnsi="Times New Roman" w:cs="Times New Roman"/>
            <w:color w:val="0000FF"/>
            <w:sz w:val="24"/>
            <w:szCs w:val="24"/>
            <w:u w:val="single"/>
          </w:rPr>
          <w:t>https://doi.org/10.1016/j.psychres.2019.01.035</w:t>
        </w:r>
      </w:hyperlink>
    </w:p>
    <w:p w14:paraId="171E281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Krieger, V., &amp; Amador-Campos, J. A. (2018). Assessment of executive function in ADHD adolescents: Contribution of performance tests and rating scales. </w:t>
      </w:r>
      <w:r w:rsidRPr="004C4852">
        <w:rPr>
          <w:rFonts w:ascii="Times New Roman" w:eastAsia="Times New Roman" w:hAnsi="Times New Roman" w:cs="Times New Roman"/>
          <w:i/>
          <w:iCs/>
          <w:sz w:val="24"/>
          <w:szCs w:val="24"/>
        </w:rPr>
        <w:t>Child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24</w:t>
      </w:r>
      <w:r w:rsidRPr="004C4852">
        <w:rPr>
          <w:rFonts w:ascii="Times New Roman" w:eastAsia="Times New Roman" w:hAnsi="Times New Roman" w:cs="Times New Roman"/>
          <w:sz w:val="24"/>
          <w:szCs w:val="24"/>
        </w:rPr>
        <w:t xml:space="preserve">(8), 1063–1087. </w:t>
      </w:r>
      <w:hyperlink r:id="rId3100" w:history="1">
        <w:r w:rsidRPr="004C4852">
          <w:rPr>
            <w:rFonts w:ascii="Times New Roman" w:eastAsia="Times New Roman" w:hAnsi="Times New Roman" w:cs="Times New Roman"/>
            <w:color w:val="0000FF"/>
            <w:sz w:val="24"/>
            <w:szCs w:val="24"/>
            <w:u w:val="single"/>
          </w:rPr>
          <w:t>https://doi.org/10.1080/09297049.2017.1386781</w:t>
        </w:r>
      </w:hyperlink>
    </w:p>
    <w:p w14:paraId="7AF3C1CE"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Krieger, V., Amador-Campos, J. A., &amp; Gallardo-Pujol, D. (2019). Temperament, executive function, and attention-deficit/hyperactivity disorder (ADHD) in adolescents: The mediating role of effortful control.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41</w:t>
      </w:r>
      <w:r w:rsidRPr="004C4852">
        <w:rPr>
          <w:rFonts w:ascii="Times New Roman" w:eastAsia="Times New Roman" w:hAnsi="Times New Roman" w:cs="Times New Roman"/>
          <w:sz w:val="24"/>
          <w:szCs w:val="24"/>
        </w:rPr>
        <w:t xml:space="preserve">(6), 615–633. </w:t>
      </w:r>
      <w:hyperlink r:id="rId3101" w:history="1">
        <w:r w:rsidRPr="004C4852">
          <w:rPr>
            <w:rFonts w:ascii="Times New Roman" w:eastAsia="Times New Roman" w:hAnsi="Times New Roman" w:cs="Times New Roman"/>
            <w:color w:val="0000FF"/>
            <w:sz w:val="24"/>
            <w:szCs w:val="24"/>
            <w:u w:val="single"/>
          </w:rPr>
          <w:t>https://doi.org/10.1080/13803395.2019.1599824</w:t>
        </w:r>
      </w:hyperlink>
    </w:p>
    <w:p w14:paraId="745EED6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Krieger, V., Amador-Campos, J. A., &amp; Guàrdia-Olmos, J. (2020). Executive functions, Personality traits and ADHD symptoms in adolescents: A mediation analysis. </w:t>
      </w:r>
      <w:r w:rsidRPr="004C4852">
        <w:rPr>
          <w:rFonts w:ascii="Times New Roman" w:eastAsia="Times New Roman" w:hAnsi="Times New Roman" w:cs="Times New Roman"/>
          <w:i/>
          <w:iCs/>
          <w:sz w:val="24"/>
          <w:szCs w:val="24"/>
        </w:rPr>
        <w:t>PLoS ONE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w:t>
      </w:r>
      <w:r w:rsidRPr="004C4852">
        <w:rPr>
          <w:rFonts w:ascii="Times New Roman" w:eastAsia="Times New Roman" w:hAnsi="Times New Roman" w:cs="Times New Roman"/>
          <w:sz w:val="24"/>
          <w:szCs w:val="24"/>
        </w:rPr>
        <w:t xml:space="preserve">(5). </w:t>
      </w:r>
      <w:hyperlink r:id="rId3102" w:history="1">
        <w:r w:rsidRPr="004C4852">
          <w:rPr>
            <w:rFonts w:ascii="Times New Roman" w:eastAsia="Times New Roman" w:hAnsi="Times New Roman" w:cs="Times New Roman"/>
            <w:color w:val="0000FF"/>
            <w:sz w:val="24"/>
            <w:szCs w:val="24"/>
            <w:u w:val="single"/>
          </w:rPr>
          <w:t>https://doi.org/10.1371/journal.pone.0232470</w:t>
        </w:r>
      </w:hyperlink>
    </w:p>
    <w:p w14:paraId="78C7568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 R., Ali, M., &amp; Moustafa, A. A. (2014). Effects of combined MAO-B inhibitors and levodopa vs. Monotherapy in Parkinson’s disease. </w:t>
      </w:r>
      <w:r w:rsidRPr="004C4852">
        <w:rPr>
          <w:rFonts w:ascii="Times New Roman" w:eastAsia="Times New Roman" w:hAnsi="Times New Roman" w:cs="Times New Roman"/>
          <w:i/>
          <w:iCs/>
          <w:sz w:val="24"/>
          <w:szCs w:val="24"/>
        </w:rPr>
        <w:t>Frontiers in Aging Neuroscience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w:t>
      </w:r>
    </w:p>
    <w:p w14:paraId="124F2A20"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 R., Moustafa, A. A., Eby, L. A., Skeen, L. C., &amp; Myers, C. E. (2012). Learning and generalization in healthy aging: Implication for frontostriatal and hippocampal function. </w:t>
      </w:r>
      <w:r w:rsidRPr="004C4852">
        <w:rPr>
          <w:rFonts w:ascii="Times New Roman" w:eastAsia="Times New Roman" w:hAnsi="Times New Roman" w:cs="Times New Roman"/>
          <w:i/>
          <w:iCs/>
          <w:sz w:val="24"/>
          <w:szCs w:val="24"/>
        </w:rPr>
        <w:t>Cognitive and Behavioral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 7–15. </w:t>
      </w:r>
      <w:hyperlink r:id="rId3103" w:history="1">
        <w:r w:rsidRPr="004C4852">
          <w:rPr>
            <w:rFonts w:ascii="Times New Roman" w:eastAsia="Times New Roman" w:hAnsi="Times New Roman" w:cs="Times New Roman"/>
            <w:color w:val="0000FF"/>
            <w:sz w:val="24"/>
            <w:szCs w:val="24"/>
            <w:u w:val="single"/>
          </w:rPr>
          <w:t>https://doi.org/10.1097/WNN.0b013e318248ff1b</w:t>
        </w:r>
      </w:hyperlink>
    </w:p>
    <w:p w14:paraId="020FC03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 R., Udupa, S., George, C. M., Kumar, K. J., Viswanath, B., Kandavel, T., Venkatasubramanian, G., &amp; Reddy, Y. C. J. (2011). Neuropsychological performance in OCD: A study in medication-naïve patients. </w:t>
      </w:r>
      <w:r w:rsidRPr="004C4852">
        <w:rPr>
          <w:rFonts w:ascii="Times New Roman" w:eastAsia="Times New Roman" w:hAnsi="Times New Roman" w:cs="Times New Roman"/>
          <w:i/>
          <w:iCs/>
          <w:sz w:val="24"/>
          <w:szCs w:val="24"/>
        </w:rPr>
        <w:t>Progress in Neuro-Psychopharmacology &amp; 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(8), 1969–1976. </w:t>
      </w:r>
      <w:hyperlink r:id="rId3104" w:history="1">
        <w:r w:rsidRPr="004C4852">
          <w:rPr>
            <w:rFonts w:ascii="Times New Roman" w:eastAsia="Times New Roman" w:hAnsi="Times New Roman" w:cs="Times New Roman"/>
            <w:color w:val="0000FF"/>
            <w:sz w:val="24"/>
            <w:szCs w:val="24"/>
            <w:u w:val="single"/>
          </w:rPr>
          <w:t>https://doi.org/10.1016/j.pnpbp.2011.09.009</w:t>
        </w:r>
      </w:hyperlink>
    </w:p>
    <w:p w14:paraId="314D55A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Krishnan, M., &amp; Donders, J. (2011). Embedded assessment of validity using the Continuous Visual Memory Test in patients with traumatic brain injury.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(3), 176–183. </w:t>
      </w:r>
      <w:hyperlink r:id="rId3105" w:history="1">
        <w:r w:rsidRPr="004C4852">
          <w:rPr>
            <w:rFonts w:ascii="Times New Roman" w:eastAsia="Times New Roman" w:hAnsi="Times New Roman" w:cs="Times New Roman"/>
            <w:color w:val="0000FF"/>
            <w:sz w:val="24"/>
            <w:szCs w:val="24"/>
            <w:u w:val="single"/>
          </w:rPr>
          <w:t>https://doi.org/10.1093/arclin/acr010</w:t>
        </w:r>
      </w:hyperlink>
    </w:p>
    <w:p w14:paraId="7EDC659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Krishnan, M., Smith, N., &amp; Donders, J. (2012). Use of the Tower of London—Drexel University, Second Edition (TOLDX) in adults with traumatic brain injury. </w:t>
      </w:r>
      <w:r w:rsidRPr="004C4852">
        <w:rPr>
          <w:rFonts w:ascii="Times New Roman" w:eastAsia="Times New Roman" w:hAnsi="Times New Roman" w:cs="Times New Roman"/>
          <w:i/>
          <w:iCs/>
          <w:sz w:val="24"/>
          <w:szCs w:val="24"/>
        </w:rPr>
        <w:t>The Clinical Neuropsychologist</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26</w:t>
      </w:r>
      <w:r w:rsidRPr="004C4852">
        <w:rPr>
          <w:rFonts w:ascii="Times New Roman" w:eastAsia="Times New Roman" w:hAnsi="Times New Roman" w:cs="Times New Roman"/>
          <w:sz w:val="24"/>
          <w:szCs w:val="24"/>
        </w:rPr>
        <w:t xml:space="preserve">(6), 951–964. </w:t>
      </w:r>
      <w:hyperlink r:id="rId3106" w:history="1">
        <w:r w:rsidRPr="004C4852">
          <w:rPr>
            <w:rFonts w:ascii="Times New Roman" w:eastAsia="Times New Roman" w:hAnsi="Times New Roman" w:cs="Times New Roman"/>
            <w:color w:val="0000FF"/>
            <w:sz w:val="24"/>
            <w:szCs w:val="24"/>
            <w:u w:val="single"/>
          </w:rPr>
          <w:t>https://doi.org/10.1080/13854046.2012.708166</w:t>
        </w:r>
      </w:hyperlink>
    </w:p>
    <w:p w14:paraId="6832A5A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Krkovic, K., Clamor, A., &amp; Lincoln, T. M. (2018). Emotion regulation as a predictor of the endocrine, autonomic, affective, and symptomatic stress response and recovery. </w:t>
      </w:r>
      <w:r w:rsidRPr="004C4852">
        <w:rPr>
          <w:rFonts w:ascii="Times New Roman" w:eastAsia="Times New Roman" w:hAnsi="Times New Roman" w:cs="Times New Roman"/>
          <w:i/>
          <w:iCs/>
          <w:sz w:val="24"/>
          <w:szCs w:val="24"/>
        </w:rPr>
        <w:t>Psychoneuroendocrinology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94</w:t>
      </w:r>
      <w:r w:rsidRPr="004C4852">
        <w:rPr>
          <w:rFonts w:ascii="Times New Roman" w:eastAsia="Times New Roman" w:hAnsi="Times New Roman" w:cs="Times New Roman"/>
          <w:sz w:val="24"/>
          <w:szCs w:val="24"/>
        </w:rPr>
        <w:t xml:space="preserve">, 112–120. </w:t>
      </w:r>
      <w:hyperlink r:id="rId3107" w:history="1">
        <w:r w:rsidRPr="004C4852">
          <w:rPr>
            <w:rFonts w:ascii="Times New Roman" w:eastAsia="Times New Roman" w:hAnsi="Times New Roman" w:cs="Times New Roman"/>
            <w:color w:val="0000FF"/>
            <w:sz w:val="24"/>
            <w:szCs w:val="24"/>
            <w:u w:val="single"/>
          </w:rPr>
          <w:t>https://doi.org/10.1016/j.psyneuen.2018.04.028</w:t>
        </w:r>
      </w:hyperlink>
    </w:p>
    <w:p w14:paraId="7A0ACADD"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Kronengold, H. S. (1999). </w:t>
      </w:r>
      <w:r w:rsidRPr="004C4852">
        <w:rPr>
          <w:rFonts w:ascii="Times New Roman" w:eastAsia="Times New Roman" w:hAnsi="Times New Roman" w:cs="Times New Roman"/>
          <w:i/>
          <w:iCs/>
          <w:sz w:val="24"/>
          <w:szCs w:val="24"/>
        </w:rPr>
        <w:t>Schizophrenia and the self: Phenomenological and neuropsychological features.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60</w:t>
      </w:r>
      <w:r w:rsidRPr="004C4852">
        <w:rPr>
          <w:rFonts w:ascii="Times New Roman" w:eastAsia="Times New Roman" w:hAnsi="Times New Roman" w:cs="Times New Roman"/>
          <w:sz w:val="24"/>
          <w:szCs w:val="24"/>
        </w:rPr>
        <w:t>(5-B), 2347–2347.</w:t>
      </w:r>
    </w:p>
    <w:p w14:paraId="0B158B8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Krpan, K. M., Levine, B., Stuss, D. T., &amp; Dawson, D. R. (2007). Executive function and coping at one-year post traumatic brain injury. </w:t>
      </w:r>
      <w:r w:rsidRPr="004C4852">
        <w:rPr>
          <w:rFonts w:ascii="Times New Roman" w:eastAsia="Times New Roman" w:hAnsi="Times New Roman" w:cs="Times New Roman"/>
          <w:i/>
          <w:iCs/>
          <w:sz w:val="24"/>
          <w:szCs w:val="24"/>
        </w:rPr>
        <w:t>Journal of Clinical and Experimental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(1), 36–46. </w:t>
      </w:r>
      <w:hyperlink r:id="rId3108" w:history="1">
        <w:r w:rsidRPr="004C4852">
          <w:rPr>
            <w:rFonts w:ascii="Times New Roman" w:eastAsia="Times New Roman" w:hAnsi="Times New Roman" w:cs="Times New Roman"/>
            <w:color w:val="0000FF"/>
            <w:sz w:val="24"/>
            <w:szCs w:val="24"/>
            <w:u w:val="single"/>
          </w:rPr>
          <w:t>https://doi.org/10.1080/13803390500376816</w:t>
        </w:r>
      </w:hyperlink>
    </w:p>
    <w:p w14:paraId="54959A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Krpan, K. M., Stuss, D. T., &amp; Anderson, N. D. (2011). Coping behaviour following traumatic brain injury: What makes a planner plan and an avoider avoid? </w:t>
      </w:r>
      <w:r w:rsidRPr="004C4852">
        <w:rPr>
          <w:rFonts w:ascii="Times New Roman" w:eastAsia="Times New Roman" w:hAnsi="Times New Roman" w:cs="Times New Roman"/>
          <w:i/>
          <w:iCs/>
          <w:sz w:val="24"/>
          <w:szCs w:val="24"/>
        </w:rPr>
        <w:t>Brain Injury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w:t>
      </w:r>
      <w:r w:rsidRPr="004C4852">
        <w:rPr>
          <w:rFonts w:ascii="Times New Roman" w:eastAsia="Times New Roman" w:hAnsi="Times New Roman" w:cs="Times New Roman"/>
          <w:sz w:val="24"/>
          <w:szCs w:val="24"/>
        </w:rPr>
        <w:t xml:space="preserve">(10), 989–996. </w:t>
      </w:r>
      <w:hyperlink r:id="rId3109" w:history="1">
        <w:r w:rsidRPr="004C4852">
          <w:rPr>
            <w:rFonts w:ascii="Times New Roman" w:eastAsia="Times New Roman" w:hAnsi="Times New Roman" w:cs="Times New Roman"/>
            <w:color w:val="0000FF"/>
            <w:sz w:val="24"/>
            <w:szCs w:val="24"/>
            <w:u w:val="single"/>
          </w:rPr>
          <w:t>https://doi.org/10.3109/02699052.2011.597045</w:t>
        </w:r>
      </w:hyperlink>
    </w:p>
    <w:p w14:paraId="0A4A45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Krstic, N., Aleksic, O., Vidovic, P., &amp; Gojkovic, M. (2002). Neurokognitivni razvoj kod dece mlaðeg školskog uzrasta (I): Egzekutivne funkcije, konstruktivne sposobnosti i pamćenje. [Neurocognitive development in younger school children (I): Executive functions, constructive abilities and memory.]. </w:t>
      </w:r>
      <w:r w:rsidRPr="004C4852">
        <w:rPr>
          <w:rFonts w:ascii="Times New Roman" w:eastAsia="Times New Roman" w:hAnsi="Times New Roman" w:cs="Times New Roman"/>
          <w:i/>
          <w:iCs/>
          <w:sz w:val="24"/>
          <w:szCs w:val="24"/>
        </w:rPr>
        <w:t>Psihijatrija Danas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34</w:t>
      </w:r>
      <w:r w:rsidRPr="004C4852">
        <w:rPr>
          <w:rFonts w:ascii="Times New Roman" w:eastAsia="Times New Roman" w:hAnsi="Times New Roman" w:cs="Times New Roman"/>
          <w:sz w:val="24"/>
          <w:szCs w:val="24"/>
        </w:rPr>
        <w:t>(3–4), 251–273.</w:t>
      </w:r>
    </w:p>
    <w:p w14:paraId="5E6047A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Kruck, C. L., Roth, R. M., Kumbhani, S. R., Garlinghouse, M. A., Flashman, L. A., &amp; McAllister, T. W. (2011). Inferential-reasoning impairment in schizophrenia-spectrum disorders. </w:t>
      </w:r>
      <w:r w:rsidRPr="004C4852">
        <w:rPr>
          <w:rFonts w:ascii="Times New Roman" w:eastAsia="Times New Roman" w:hAnsi="Times New Roman" w:cs="Times New Roman"/>
          <w:i/>
          <w:iCs/>
          <w:sz w:val="24"/>
          <w:szCs w:val="24"/>
        </w:rPr>
        <w:t>The Journal of Neuropsychiatry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(2), 211–214. </w:t>
      </w:r>
      <w:hyperlink r:id="rId3110" w:history="1">
        <w:r w:rsidRPr="004C4852">
          <w:rPr>
            <w:rFonts w:ascii="Times New Roman" w:eastAsia="Times New Roman" w:hAnsi="Times New Roman" w:cs="Times New Roman"/>
            <w:color w:val="0000FF"/>
            <w:sz w:val="24"/>
            <w:szCs w:val="24"/>
            <w:u w:val="single"/>
          </w:rPr>
          <w:t>https://doi.org/10.1176/appi.neuropsych.23.2.211</w:t>
        </w:r>
      </w:hyperlink>
    </w:p>
    <w:p w14:paraId="2EA8CB6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Krug, K. S., &amp; Puente, A. E. (2011). Respiratory disorders and neuropsychological dysfunction. </w:t>
      </w:r>
      <w:r w:rsidRPr="004C4852">
        <w:rPr>
          <w:rFonts w:ascii="Times New Roman" w:eastAsia="Times New Roman" w:hAnsi="Times New Roman" w:cs="Times New Roman"/>
          <w:i/>
          <w:iCs/>
          <w:sz w:val="24"/>
          <w:szCs w:val="24"/>
        </w:rPr>
        <w:t>Contemporary Neurobehavioral Syndromes.</w:t>
      </w:r>
      <w:r w:rsidRPr="004C4852">
        <w:rPr>
          <w:rFonts w:ascii="Times New Roman" w:eastAsia="Times New Roman" w:hAnsi="Times New Roman" w:cs="Times New Roman"/>
          <w:sz w:val="24"/>
          <w:szCs w:val="24"/>
        </w:rPr>
        <w:t>, 219–236.</w:t>
      </w:r>
    </w:p>
    <w:p w14:paraId="1C8FCEB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Kruger, T. H. C., &amp; Schiffer, B. (2011). Neurocognitive and personality factors in homo‐ and heterosexual pedophiles and controls. </w:t>
      </w:r>
      <w:r w:rsidRPr="004C4852">
        <w:rPr>
          <w:rFonts w:ascii="Times New Roman" w:eastAsia="Times New Roman" w:hAnsi="Times New Roman" w:cs="Times New Roman"/>
          <w:i/>
          <w:iCs/>
          <w:sz w:val="24"/>
          <w:szCs w:val="24"/>
        </w:rPr>
        <w:t>Journal of Sexual Medicine</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w:t>
      </w:r>
      <w:r w:rsidRPr="004C4852">
        <w:rPr>
          <w:rFonts w:ascii="Times New Roman" w:eastAsia="Times New Roman" w:hAnsi="Times New Roman" w:cs="Times New Roman"/>
          <w:sz w:val="24"/>
          <w:szCs w:val="24"/>
        </w:rPr>
        <w:t xml:space="preserve">(6), 1650–1659. </w:t>
      </w:r>
      <w:hyperlink r:id="rId3111" w:history="1">
        <w:r w:rsidRPr="004C4852">
          <w:rPr>
            <w:rFonts w:ascii="Times New Roman" w:eastAsia="Times New Roman" w:hAnsi="Times New Roman" w:cs="Times New Roman"/>
            <w:color w:val="0000FF"/>
            <w:sz w:val="24"/>
            <w:szCs w:val="24"/>
            <w:u w:val="single"/>
          </w:rPr>
          <w:t>https://doi.org/10.1111/j.1743-6109.2009.01564.x</w:t>
        </w:r>
      </w:hyperlink>
    </w:p>
    <w:p w14:paraId="53FA00F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Krumm, G., Filippetti, V. A., &amp; Gutierrez, M. (2018). The contribution of executive functions to creativity in children: What is the role of crystallized and fluid intelligence? </w:t>
      </w:r>
      <w:r w:rsidRPr="004C4852">
        <w:rPr>
          <w:rFonts w:ascii="Times New Roman" w:eastAsia="Times New Roman" w:hAnsi="Times New Roman" w:cs="Times New Roman"/>
          <w:i/>
          <w:iCs/>
          <w:sz w:val="24"/>
          <w:szCs w:val="24"/>
        </w:rPr>
        <w:t>Thinking Skills and Creativity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29</w:t>
      </w:r>
      <w:r w:rsidRPr="004C4852">
        <w:rPr>
          <w:rFonts w:ascii="Times New Roman" w:eastAsia="Times New Roman" w:hAnsi="Times New Roman" w:cs="Times New Roman"/>
          <w:sz w:val="24"/>
          <w:szCs w:val="24"/>
        </w:rPr>
        <w:t xml:space="preserve">, 185–195. </w:t>
      </w:r>
      <w:hyperlink r:id="rId3112" w:history="1">
        <w:r w:rsidRPr="004C4852">
          <w:rPr>
            <w:rFonts w:ascii="Times New Roman" w:eastAsia="Times New Roman" w:hAnsi="Times New Roman" w:cs="Times New Roman"/>
            <w:color w:val="0000FF"/>
            <w:sz w:val="24"/>
            <w:szCs w:val="24"/>
            <w:u w:val="single"/>
          </w:rPr>
          <w:t>https://doi.org/10.1016/j.tsc.2018.07.006</w:t>
        </w:r>
      </w:hyperlink>
    </w:p>
    <w:p w14:paraId="390416A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A. D., Zhang, W., Davidson, J. R. T., &amp; Connor, K. M. (2014). The sleep effects of tiagabine on the first night of treatment predict post-traumatic stress disorder response at three weeks. </w:t>
      </w:r>
      <w:r w:rsidRPr="004C4852">
        <w:rPr>
          <w:rFonts w:ascii="Times New Roman" w:eastAsia="Times New Roman" w:hAnsi="Times New Roman" w:cs="Times New Roman"/>
          <w:i/>
          <w:iCs/>
          <w:sz w:val="24"/>
          <w:szCs w:val="24"/>
        </w:rPr>
        <w:t>Journal of 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(5), 457–465. </w:t>
      </w:r>
      <w:hyperlink r:id="rId3113" w:history="1">
        <w:r w:rsidRPr="004C4852">
          <w:rPr>
            <w:rFonts w:ascii="Times New Roman" w:eastAsia="Times New Roman" w:hAnsi="Times New Roman" w:cs="Times New Roman"/>
            <w:color w:val="0000FF"/>
            <w:sz w:val="24"/>
            <w:szCs w:val="24"/>
            <w:u w:val="single"/>
          </w:rPr>
          <w:t>https://doi.org/10.1177/0269881113509903</w:t>
        </w:r>
      </w:hyperlink>
    </w:p>
    <w:p w14:paraId="6CE6592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Bennett, A., Abi-Saab, D., Belger, A., Karper, L. P., D’Souza, D. C., Lipschitz, D., Abi-Dargham, A., &amp; Charney, D. S. (2000). Dissociation of Ketamine effects on rule acquisition and rule implementation: Possible relevance to NMDA receptor contributions to executive cognitive functions.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(2), 137–143. </w:t>
      </w:r>
      <w:hyperlink r:id="rId3114" w:history="1">
        <w:r w:rsidRPr="004C4852">
          <w:rPr>
            <w:rFonts w:ascii="Times New Roman" w:eastAsia="Times New Roman" w:hAnsi="Times New Roman" w:cs="Times New Roman"/>
            <w:color w:val="0000FF"/>
            <w:sz w:val="24"/>
            <w:szCs w:val="24"/>
            <w:u w:val="single"/>
          </w:rPr>
          <w:t>https://doi.org/10.1016/S0006-3223(99)00097-9</w:t>
        </w:r>
      </w:hyperlink>
    </w:p>
    <w:p w14:paraId="5BF77F3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D’Souza, D. C., Karper, L. P., Bennett, A., Abi-Dargham, A., Abi-Saab, D., Cassello, K., Bowers Jr., M. B., Vegso, S., Heninger, G. R., &amp; Charney, D. S. (1999). Interactive effects of subanesthetic ketamine and haloperidol in healthy humans.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145</w:t>
      </w:r>
      <w:r w:rsidRPr="004C4852">
        <w:rPr>
          <w:rFonts w:ascii="Times New Roman" w:eastAsia="Times New Roman" w:hAnsi="Times New Roman" w:cs="Times New Roman"/>
          <w:sz w:val="24"/>
          <w:szCs w:val="24"/>
        </w:rPr>
        <w:t xml:space="preserve">(2), 193–204. </w:t>
      </w:r>
      <w:hyperlink r:id="rId3115" w:history="1">
        <w:r w:rsidRPr="004C4852">
          <w:rPr>
            <w:rFonts w:ascii="Times New Roman" w:eastAsia="Times New Roman" w:hAnsi="Times New Roman" w:cs="Times New Roman"/>
            <w:color w:val="0000FF"/>
            <w:sz w:val="24"/>
            <w:szCs w:val="24"/>
            <w:u w:val="single"/>
          </w:rPr>
          <w:t>https://doi.org/10.1007/s002130051049</w:t>
        </w:r>
      </w:hyperlink>
    </w:p>
    <w:p w14:paraId="40D75A0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Karper, L. P., Bennett, A., D’Souza, D. C., Abi-Dargham, A., Morrissey, K., Abi-Saab, D., Bremner, J. D., Bowers Jr., M. B., Suckow, R. F., Stetson, P., Heninger, G. R., &amp; Charney, D. S. (1998). Interactive effects of subanesthetic ketamine and subhypnotic lorazepam in humans. </w:t>
      </w:r>
      <w:r w:rsidRPr="004C4852">
        <w:rPr>
          <w:rFonts w:ascii="Times New Roman" w:eastAsia="Times New Roman" w:hAnsi="Times New Roman" w:cs="Times New Roman"/>
          <w:i/>
          <w:iCs/>
          <w:sz w:val="24"/>
          <w:szCs w:val="24"/>
        </w:rPr>
        <w:t>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135</w:t>
      </w:r>
      <w:r w:rsidRPr="004C4852">
        <w:rPr>
          <w:rFonts w:ascii="Times New Roman" w:eastAsia="Times New Roman" w:hAnsi="Times New Roman" w:cs="Times New Roman"/>
          <w:sz w:val="24"/>
          <w:szCs w:val="24"/>
        </w:rPr>
        <w:t xml:space="preserve">(3), 213–229. </w:t>
      </w:r>
      <w:hyperlink r:id="rId3116" w:history="1">
        <w:r w:rsidRPr="004C4852">
          <w:rPr>
            <w:rFonts w:ascii="Times New Roman" w:eastAsia="Times New Roman" w:hAnsi="Times New Roman" w:cs="Times New Roman"/>
            <w:color w:val="0000FF"/>
            <w:sz w:val="24"/>
            <w:szCs w:val="24"/>
            <w:u w:val="single"/>
          </w:rPr>
          <w:t>https://doi.org/10.1007/s002130050503</w:t>
        </w:r>
      </w:hyperlink>
    </w:p>
    <w:p w14:paraId="20A5DFF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&amp; Moghaddam, B. (2011). Contributions of glutamate and GABA systems to the neurobiology and treatment of schizophrenia. </w:t>
      </w:r>
      <w:r w:rsidRPr="004C4852">
        <w:rPr>
          <w:rFonts w:ascii="Times New Roman" w:eastAsia="Times New Roman" w:hAnsi="Times New Roman" w:cs="Times New Roman"/>
          <w:i/>
          <w:iCs/>
          <w:sz w:val="24"/>
          <w:szCs w:val="24"/>
        </w:rPr>
        <w:t>Schizophrenia, 3rd Ed.</w:t>
      </w:r>
      <w:r w:rsidRPr="004C4852">
        <w:rPr>
          <w:rFonts w:ascii="Times New Roman" w:eastAsia="Times New Roman" w:hAnsi="Times New Roman" w:cs="Times New Roman"/>
          <w:sz w:val="24"/>
          <w:szCs w:val="24"/>
        </w:rPr>
        <w:t xml:space="preserve">, 433–461. </w:t>
      </w:r>
      <w:hyperlink r:id="rId3117" w:history="1">
        <w:r w:rsidRPr="004C4852">
          <w:rPr>
            <w:rFonts w:ascii="Times New Roman" w:eastAsia="Times New Roman" w:hAnsi="Times New Roman" w:cs="Times New Roman"/>
            <w:color w:val="0000FF"/>
            <w:sz w:val="24"/>
            <w:szCs w:val="24"/>
            <w:u w:val="single"/>
          </w:rPr>
          <w:t>https://doi.org/10.1002/9781444327298.ch21</w:t>
        </w:r>
      </w:hyperlink>
    </w:p>
    <w:p w14:paraId="168CDDC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Krystal, J. H., Petrakis, I. L., Limoncelli, D., Webb, E., Gueorgueva, R., D’Souza, D. C., Boutros, N. N., Trevisan, L., &amp; Charney, D. S. (2003). Altered NMDA glutamate receptor antagonist response in recovering ethanol-dependent patients. </w:t>
      </w:r>
      <w:r w:rsidRPr="004C4852">
        <w:rPr>
          <w:rFonts w:ascii="Times New Roman" w:eastAsia="Times New Roman" w:hAnsi="Times New Roman" w:cs="Times New Roman"/>
          <w:i/>
          <w:iCs/>
          <w:sz w:val="24"/>
          <w:szCs w:val="24"/>
        </w:rPr>
        <w:t>Neuropsychopharmacology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28</w:t>
      </w:r>
      <w:r w:rsidRPr="004C4852">
        <w:rPr>
          <w:rFonts w:ascii="Times New Roman" w:eastAsia="Times New Roman" w:hAnsi="Times New Roman" w:cs="Times New Roman"/>
          <w:sz w:val="24"/>
          <w:szCs w:val="24"/>
        </w:rPr>
        <w:t xml:space="preserve">(11), 2020–2028. </w:t>
      </w:r>
      <w:hyperlink r:id="rId3118" w:history="1">
        <w:r w:rsidRPr="004C4852">
          <w:rPr>
            <w:rFonts w:ascii="Times New Roman" w:eastAsia="Times New Roman" w:hAnsi="Times New Roman" w:cs="Times New Roman"/>
            <w:color w:val="0000FF"/>
            <w:sz w:val="24"/>
            <w:szCs w:val="24"/>
            <w:u w:val="single"/>
          </w:rPr>
          <w:t>https://doi.org/10.1038/sj.npp.1300252</w:t>
        </w:r>
      </w:hyperlink>
    </w:p>
    <w:p w14:paraId="35249167"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 J., Cho, W., Kim, J.-J., Peled, A., Wiederhold, B. K., Wiederhold, M. D., Kim, I. Y., Lee, J. H., &amp; Kim, S. I. (2003). A Virtual Environment for Investigating schizophrenic patients’ characteristics: Assessment of cognitive and navigation ability. </w:t>
      </w:r>
      <w:r w:rsidRPr="004C4852">
        <w:rPr>
          <w:rFonts w:ascii="Times New Roman" w:eastAsia="Times New Roman" w:hAnsi="Times New Roman" w:cs="Times New Roman"/>
          <w:i/>
          <w:iCs/>
          <w:sz w:val="24"/>
          <w:szCs w:val="24"/>
        </w:rPr>
        <w:t>CyberPsychology &amp; Behavior</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w:t>
      </w:r>
      <w:r w:rsidRPr="004C4852">
        <w:rPr>
          <w:rFonts w:ascii="Times New Roman" w:eastAsia="Times New Roman" w:hAnsi="Times New Roman" w:cs="Times New Roman"/>
          <w:sz w:val="24"/>
          <w:szCs w:val="24"/>
        </w:rPr>
        <w:t xml:space="preserve">(4), 396–404. </w:t>
      </w:r>
      <w:hyperlink r:id="rId3119" w:history="1">
        <w:r w:rsidRPr="004C4852">
          <w:rPr>
            <w:rFonts w:ascii="Times New Roman" w:eastAsia="Times New Roman" w:hAnsi="Times New Roman" w:cs="Times New Roman"/>
            <w:color w:val="0000FF"/>
            <w:sz w:val="24"/>
            <w:szCs w:val="24"/>
            <w:u w:val="single"/>
          </w:rPr>
          <w:t>https://doi.org/10.1089/109493103322278781</w:t>
        </w:r>
      </w:hyperlink>
    </w:p>
    <w:p w14:paraId="56EAF72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 Y.-L., &amp; Lin, M.-T. (2020). Facial emotion recognition and its relationships with neurocognition and theory of mind in schizophrenia. </w:t>
      </w:r>
      <w:r w:rsidRPr="004C4852">
        <w:rPr>
          <w:rFonts w:ascii="Times New Roman" w:eastAsia="Times New Roman" w:hAnsi="Times New Roman" w:cs="Times New Roman"/>
          <w:i/>
          <w:iCs/>
          <w:sz w:val="24"/>
          <w:szCs w:val="24"/>
        </w:rPr>
        <w:t>Chinese Journal of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62</w:t>
      </w:r>
      <w:r w:rsidRPr="004C4852">
        <w:rPr>
          <w:rFonts w:ascii="Times New Roman" w:eastAsia="Times New Roman" w:hAnsi="Times New Roman" w:cs="Times New Roman"/>
          <w:sz w:val="24"/>
          <w:szCs w:val="24"/>
        </w:rPr>
        <w:t>(1), 73–98.</w:t>
      </w:r>
    </w:p>
    <w:p w14:paraId="0F18921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Kubicki, M., Westin, C.-F., Nestor, P. G., Wible, C. G., Frumin, M., Maier, S. E., Kikinis, R., Jolesz, F. A., McCarley, R. W., &amp; Shenton, M. E. (2003). Cingulate Fasciculus Integrity Disruption in Schizophrenia: A Magnetic Resonance Diffusion Tensor Imaging Study. </w:t>
      </w:r>
      <w:r w:rsidRPr="004C4852">
        <w:rPr>
          <w:rFonts w:ascii="Times New Roman" w:eastAsia="Times New Roman" w:hAnsi="Times New Roman" w:cs="Times New Roman"/>
          <w:i/>
          <w:iCs/>
          <w:sz w:val="24"/>
          <w:szCs w:val="24"/>
        </w:rPr>
        <w:t>Biological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54</w:t>
      </w:r>
      <w:r w:rsidRPr="004C4852">
        <w:rPr>
          <w:rFonts w:ascii="Times New Roman" w:eastAsia="Times New Roman" w:hAnsi="Times New Roman" w:cs="Times New Roman"/>
          <w:sz w:val="24"/>
          <w:szCs w:val="24"/>
        </w:rPr>
        <w:t xml:space="preserve">(11), 1171–1180. </w:t>
      </w:r>
      <w:hyperlink r:id="rId3120" w:history="1">
        <w:r w:rsidRPr="004C4852">
          <w:rPr>
            <w:rFonts w:ascii="Times New Roman" w:eastAsia="Times New Roman" w:hAnsi="Times New Roman" w:cs="Times New Roman"/>
            <w:color w:val="0000FF"/>
            <w:sz w:val="24"/>
            <w:szCs w:val="24"/>
            <w:u w:val="single"/>
          </w:rPr>
          <w:t>https://doi.org/10.1016/S0006-3223(03)00419-0</w:t>
        </w:r>
      </w:hyperlink>
    </w:p>
    <w:p w14:paraId="3CA997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Kubu, C. S. (2018). The role of a neuropsychologist on a movement disorders deep brain stimulation team. </w:t>
      </w:r>
      <w:r w:rsidRPr="004C4852">
        <w:rPr>
          <w:rFonts w:ascii="Times New Roman" w:eastAsia="Times New Roman" w:hAnsi="Times New Roman" w:cs="Times New Roman"/>
          <w:i/>
          <w:iCs/>
          <w:sz w:val="24"/>
          <w:szCs w:val="24"/>
        </w:rPr>
        <w:t>Archives of Clinical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33</w:t>
      </w:r>
      <w:r w:rsidRPr="004C4852">
        <w:rPr>
          <w:rFonts w:ascii="Times New Roman" w:eastAsia="Times New Roman" w:hAnsi="Times New Roman" w:cs="Times New Roman"/>
          <w:sz w:val="24"/>
          <w:szCs w:val="24"/>
        </w:rPr>
        <w:t xml:space="preserve">(3), 365–374. </w:t>
      </w:r>
      <w:hyperlink r:id="rId3121" w:history="1">
        <w:r w:rsidRPr="004C4852">
          <w:rPr>
            <w:rFonts w:ascii="Times New Roman" w:eastAsia="Times New Roman" w:hAnsi="Times New Roman" w:cs="Times New Roman"/>
            <w:color w:val="0000FF"/>
            <w:sz w:val="24"/>
            <w:szCs w:val="24"/>
            <w:u w:val="single"/>
          </w:rPr>
          <w:t>https://doi.org/10.1093/arclin/acx130</w:t>
        </w:r>
      </w:hyperlink>
    </w:p>
    <w:p w14:paraId="51215D5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Kubu, C. S., Brelje, T., Butters, M. A., Deckersbach, T., Malloy, P., Moberg, P., Tröster, A. I., Williamson, E., Baltuch, G. H., Bhati, M. T., Carpenter, L. L., Dougherty, D. D., Howland, R. H., Rezai, A. R., &amp; Malone Jr., D. A. (2017). Cognitive outcome after ventral capsule/ventral striatum stimulation for treatment-resistant major depression. </w:t>
      </w:r>
      <w:r w:rsidRPr="004C4852">
        <w:rPr>
          <w:rFonts w:ascii="Times New Roman" w:eastAsia="Times New Roman" w:hAnsi="Times New Roman" w:cs="Times New Roman"/>
          <w:i/>
          <w:iCs/>
          <w:sz w:val="24"/>
          <w:szCs w:val="24"/>
        </w:rPr>
        <w:t>Journal of Neurology, Neurosurgery &amp;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88</w:t>
      </w:r>
      <w:r w:rsidRPr="004C4852">
        <w:rPr>
          <w:rFonts w:ascii="Times New Roman" w:eastAsia="Times New Roman" w:hAnsi="Times New Roman" w:cs="Times New Roman"/>
          <w:sz w:val="24"/>
          <w:szCs w:val="24"/>
        </w:rPr>
        <w:t xml:space="preserve">(3), 262–265. </w:t>
      </w:r>
      <w:hyperlink r:id="rId3122" w:history="1">
        <w:r w:rsidRPr="004C4852">
          <w:rPr>
            <w:rFonts w:ascii="Times New Roman" w:eastAsia="Times New Roman" w:hAnsi="Times New Roman" w:cs="Times New Roman"/>
            <w:color w:val="0000FF"/>
            <w:sz w:val="24"/>
            <w:szCs w:val="24"/>
            <w:u w:val="single"/>
          </w:rPr>
          <w:t>https://doi.org/10.1136/jnnp-2016-313803</w:t>
        </w:r>
      </w:hyperlink>
    </w:p>
    <w:p w14:paraId="0806010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Kucerova, H. P., Prikryl, R., Rihova, Z., Navratilova, P., &amp; Ceskova, E. (2013). Schizophrenia. In </w:t>
      </w:r>
      <w:r w:rsidRPr="004C4852">
        <w:rPr>
          <w:rFonts w:ascii="Times New Roman" w:eastAsia="Times New Roman" w:hAnsi="Times New Roman" w:cs="Times New Roman"/>
          <w:i/>
          <w:iCs/>
          <w:sz w:val="24"/>
          <w:szCs w:val="24"/>
        </w:rPr>
        <w:t>Cognitive deficit in mental and neurological disorders.</w:t>
      </w:r>
      <w:r w:rsidRPr="004C4852">
        <w:rPr>
          <w:rFonts w:ascii="Times New Roman" w:eastAsia="Times New Roman" w:hAnsi="Times New Roman" w:cs="Times New Roman"/>
          <w:sz w:val="24"/>
          <w:szCs w:val="24"/>
        </w:rPr>
        <w:t xml:space="preserve"> (pp. 53–87). Nova Science Publishers.</w:t>
      </w:r>
    </w:p>
    <w:p w14:paraId="69618AF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Kudlicka, A., Clare, L., &amp; Hindle, J. V. (2013). Pattern of executive impairment in mild to moderate Parkinson’s disease. </w:t>
      </w:r>
      <w:r w:rsidRPr="004C4852">
        <w:rPr>
          <w:rFonts w:ascii="Times New Roman" w:eastAsia="Times New Roman" w:hAnsi="Times New Roman" w:cs="Times New Roman"/>
          <w:i/>
          <w:iCs/>
          <w:sz w:val="24"/>
          <w:szCs w:val="24"/>
        </w:rPr>
        <w:t>Dementia and Geriatric Cognitive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36</w:t>
      </w:r>
      <w:r w:rsidRPr="004C4852">
        <w:rPr>
          <w:rFonts w:ascii="Times New Roman" w:eastAsia="Times New Roman" w:hAnsi="Times New Roman" w:cs="Times New Roman"/>
          <w:sz w:val="24"/>
          <w:szCs w:val="24"/>
        </w:rPr>
        <w:t xml:space="preserve">(1–2), 50–66. </w:t>
      </w:r>
      <w:hyperlink r:id="rId3123" w:history="1">
        <w:r w:rsidRPr="004C4852">
          <w:rPr>
            <w:rFonts w:ascii="Times New Roman" w:eastAsia="Times New Roman" w:hAnsi="Times New Roman" w:cs="Times New Roman"/>
            <w:color w:val="0000FF"/>
            <w:sz w:val="24"/>
            <w:szCs w:val="24"/>
            <w:u w:val="single"/>
          </w:rPr>
          <w:t>https://doi.org/10.1159/000348355</w:t>
        </w:r>
      </w:hyperlink>
    </w:p>
    <w:p w14:paraId="5E1DB68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Kuelz, A. K., Hohagen, F., &amp; Voderholzer, U. (2004). Neuropsychological performance in obsessive-compulsive disorder: A critical review. </w:t>
      </w:r>
      <w:r w:rsidRPr="004C4852">
        <w:rPr>
          <w:rFonts w:ascii="Times New Roman" w:eastAsia="Times New Roman" w:hAnsi="Times New Roman" w:cs="Times New Roman"/>
          <w:i/>
          <w:iCs/>
          <w:sz w:val="24"/>
          <w:szCs w:val="24"/>
        </w:rPr>
        <w:t>Biological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65</w:t>
      </w:r>
      <w:r w:rsidRPr="004C4852">
        <w:rPr>
          <w:rFonts w:ascii="Times New Roman" w:eastAsia="Times New Roman" w:hAnsi="Times New Roman" w:cs="Times New Roman"/>
          <w:sz w:val="24"/>
          <w:szCs w:val="24"/>
        </w:rPr>
        <w:t xml:space="preserve">(3), 185–236. </w:t>
      </w:r>
      <w:hyperlink r:id="rId3124" w:history="1">
        <w:r w:rsidRPr="004C4852">
          <w:rPr>
            <w:rFonts w:ascii="Times New Roman" w:eastAsia="Times New Roman" w:hAnsi="Times New Roman" w:cs="Times New Roman"/>
            <w:color w:val="0000FF"/>
            <w:sz w:val="24"/>
            <w:szCs w:val="24"/>
            <w:u w:val="single"/>
          </w:rPr>
          <w:t>https://doi.org/10.1016/j.biopsycho.2003.07.007</w:t>
        </w:r>
      </w:hyperlink>
    </w:p>
    <w:p w14:paraId="34F0D9E6"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Kugo, A., Terada, S., Ata, T., Ido, Y., Kado, Y., Ishihara, T., Hikiji, M., Fujisawa, Y., Sasaki, K., &amp; Kuroda, S. (2007). Japanese version of the Frontal Assessment Battery for dementia. </w:t>
      </w:r>
      <w:r w:rsidRPr="004C4852">
        <w:rPr>
          <w:rFonts w:ascii="Times New Roman" w:eastAsia="Times New Roman" w:hAnsi="Times New Roman" w:cs="Times New Roman"/>
          <w:i/>
          <w:iCs/>
          <w:sz w:val="24"/>
          <w:szCs w:val="24"/>
        </w:rPr>
        <w:t>Psychiatry Research</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153</w:t>
      </w:r>
      <w:r w:rsidRPr="004C4852">
        <w:rPr>
          <w:rFonts w:ascii="Times New Roman" w:eastAsia="Times New Roman" w:hAnsi="Times New Roman" w:cs="Times New Roman"/>
          <w:sz w:val="24"/>
          <w:szCs w:val="24"/>
        </w:rPr>
        <w:t xml:space="preserve">(1), 69–75. </w:t>
      </w:r>
      <w:hyperlink r:id="rId3125" w:history="1">
        <w:r w:rsidRPr="004C4852">
          <w:rPr>
            <w:rFonts w:ascii="Times New Roman" w:eastAsia="Times New Roman" w:hAnsi="Times New Roman" w:cs="Times New Roman"/>
            <w:color w:val="0000FF"/>
            <w:sz w:val="24"/>
            <w:szCs w:val="24"/>
            <w:u w:val="single"/>
          </w:rPr>
          <w:t>https://doi.org/10.1016/j.psychres.2006.04.004</w:t>
        </w:r>
      </w:hyperlink>
    </w:p>
    <w:p w14:paraId="16E4198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Kukla, M., Davis, L. W., &amp; Lysaker, P. H. (2014). Cognitive behavioral therapy and work outcomes: Correlates of treatment engagement and full and partial success in schizophrenia. </w:t>
      </w:r>
      <w:r w:rsidRPr="004C4852">
        <w:rPr>
          <w:rFonts w:ascii="Times New Roman" w:eastAsia="Times New Roman" w:hAnsi="Times New Roman" w:cs="Times New Roman"/>
          <w:i/>
          <w:iCs/>
          <w:sz w:val="24"/>
          <w:szCs w:val="24"/>
        </w:rPr>
        <w:t>Behavioural and Cognitive Psychotherapy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42</w:t>
      </w:r>
      <w:r w:rsidRPr="004C4852">
        <w:rPr>
          <w:rFonts w:ascii="Times New Roman" w:eastAsia="Times New Roman" w:hAnsi="Times New Roman" w:cs="Times New Roman"/>
          <w:sz w:val="24"/>
          <w:szCs w:val="24"/>
        </w:rPr>
        <w:t xml:space="preserve">(5), 577–592. </w:t>
      </w:r>
      <w:hyperlink r:id="rId3126" w:history="1">
        <w:r w:rsidRPr="004C4852">
          <w:rPr>
            <w:rFonts w:ascii="Times New Roman" w:eastAsia="Times New Roman" w:hAnsi="Times New Roman" w:cs="Times New Roman"/>
            <w:color w:val="0000FF"/>
            <w:sz w:val="24"/>
            <w:szCs w:val="24"/>
            <w:u w:val="single"/>
          </w:rPr>
          <w:t>https://doi.org/10.1017/S1352465813000428</w:t>
        </w:r>
      </w:hyperlink>
    </w:p>
    <w:p w14:paraId="47B3589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Avila, A., Barbanoj, M., Antonijoan, R., Berthier, M. L., &amp; Gironell, A. (1996). Acute effects of levodopa on neuropsychological performance in stable and fluctuating Parkinson’s disease patients at different levodopa plasma levels. </w:t>
      </w:r>
      <w:r w:rsidRPr="004C4852">
        <w:rPr>
          <w:rFonts w:ascii="Times New Roman" w:eastAsia="Times New Roman" w:hAnsi="Times New Roman" w:cs="Times New Roman"/>
          <w:i/>
          <w:iCs/>
          <w:sz w:val="24"/>
          <w:szCs w:val="24"/>
        </w:rPr>
        <w:t>Brain: A Journal of Neurology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119</w:t>
      </w:r>
      <w:r w:rsidRPr="004C4852">
        <w:rPr>
          <w:rFonts w:ascii="Times New Roman" w:eastAsia="Times New Roman" w:hAnsi="Times New Roman" w:cs="Times New Roman"/>
          <w:sz w:val="24"/>
          <w:szCs w:val="24"/>
        </w:rPr>
        <w:t xml:space="preserve">(6), 2121–2132. </w:t>
      </w:r>
      <w:hyperlink r:id="rId3127" w:history="1">
        <w:r w:rsidRPr="004C4852">
          <w:rPr>
            <w:rFonts w:ascii="Times New Roman" w:eastAsia="Times New Roman" w:hAnsi="Times New Roman" w:cs="Times New Roman"/>
            <w:color w:val="0000FF"/>
            <w:sz w:val="24"/>
            <w:szCs w:val="24"/>
            <w:u w:val="single"/>
          </w:rPr>
          <w:t>https://doi.org/10.1093/brain/119.6.2121</w:t>
        </w:r>
      </w:hyperlink>
    </w:p>
    <w:p w14:paraId="465B1DF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Martínez-Horta, S., &amp; Pagonabarraga, J. (2013). Cognitive assessment in Parkinson’s disease. In </w:t>
      </w:r>
      <w:r w:rsidRPr="004C4852">
        <w:rPr>
          <w:rFonts w:ascii="Times New Roman" w:eastAsia="Times New Roman" w:hAnsi="Times New Roman" w:cs="Times New Roman"/>
          <w:i/>
          <w:iCs/>
          <w:sz w:val="24"/>
          <w:szCs w:val="24"/>
        </w:rPr>
        <w:t>Neuropsychiatric and cognitive changes in Parkinson’s disease and related movement disorders: Diagnosis and management.</w:t>
      </w:r>
      <w:r w:rsidRPr="004C4852">
        <w:rPr>
          <w:rFonts w:ascii="Times New Roman" w:eastAsia="Times New Roman" w:hAnsi="Times New Roman" w:cs="Times New Roman"/>
          <w:sz w:val="24"/>
          <w:szCs w:val="24"/>
        </w:rPr>
        <w:t xml:space="preserve"> (pp. 53–64). Cambridge University Press. </w:t>
      </w:r>
      <w:hyperlink r:id="rId3128" w:history="1">
        <w:r w:rsidRPr="004C4852">
          <w:rPr>
            <w:rFonts w:ascii="Times New Roman" w:eastAsia="Times New Roman" w:hAnsi="Times New Roman" w:cs="Times New Roman"/>
            <w:color w:val="0000FF"/>
            <w:sz w:val="24"/>
            <w:szCs w:val="24"/>
            <w:u w:val="single"/>
          </w:rPr>
          <w:t>https://doi.org/10.1017/CBO9781139856669.006</w:t>
        </w:r>
      </w:hyperlink>
    </w:p>
    <w:p w14:paraId="309A00B3"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&amp; Pagonabarraga, J. (2015). Neurocognitive screening and assessment in Parkinsonism. In </w:t>
      </w:r>
      <w:r w:rsidRPr="004C4852">
        <w:rPr>
          <w:rFonts w:ascii="Times New Roman" w:eastAsia="Times New Roman" w:hAnsi="Times New Roman" w:cs="Times New Roman"/>
          <w:i/>
          <w:iCs/>
          <w:sz w:val="24"/>
          <w:szCs w:val="24"/>
        </w:rPr>
        <w:t>Clinical neuropsychology and cognitive neurology of Parkinson’s disease and other movement disorders.</w:t>
      </w:r>
      <w:r w:rsidRPr="004C4852">
        <w:rPr>
          <w:rFonts w:ascii="Times New Roman" w:eastAsia="Times New Roman" w:hAnsi="Times New Roman" w:cs="Times New Roman"/>
          <w:sz w:val="24"/>
          <w:szCs w:val="24"/>
        </w:rPr>
        <w:t xml:space="preserve"> (pp. 27–50). Oxford University Press.</w:t>
      </w:r>
    </w:p>
    <w:p w14:paraId="1F1996B1"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Kulisevsky, J., Pagonabarraga, J., &amp; Villa-Bonomo, C. (2013). Drug treatment and behavior. In </w:t>
      </w:r>
      <w:r w:rsidRPr="004C4852">
        <w:rPr>
          <w:rFonts w:ascii="Times New Roman" w:eastAsia="Times New Roman" w:hAnsi="Times New Roman" w:cs="Times New Roman"/>
          <w:i/>
          <w:iCs/>
          <w:sz w:val="24"/>
          <w:szCs w:val="24"/>
        </w:rPr>
        <w:t>Neuropsychiatric and cognitive changes in Parkinson’s disease and related movement disorders: Diagnosis and management.</w:t>
      </w:r>
      <w:r w:rsidRPr="004C4852">
        <w:rPr>
          <w:rFonts w:ascii="Times New Roman" w:eastAsia="Times New Roman" w:hAnsi="Times New Roman" w:cs="Times New Roman"/>
          <w:sz w:val="24"/>
          <w:szCs w:val="24"/>
        </w:rPr>
        <w:t xml:space="preserve"> (pp. 211–229). Cambridge University Press. </w:t>
      </w:r>
      <w:hyperlink r:id="rId3129" w:history="1">
        <w:r w:rsidRPr="004C4852">
          <w:rPr>
            <w:rFonts w:ascii="Times New Roman" w:eastAsia="Times New Roman" w:hAnsi="Times New Roman" w:cs="Times New Roman"/>
            <w:color w:val="0000FF"/>
            <w:sz w:val="24"/>
            <w:szCs w:val="24"/>
            <w:u w:val="single"/>
          </w:rPr>
          <w:t>https://doi.org/10.1017/CBO9781139856669.019</w:t>
        </w:r>
      </w:hyperlink>
    </w:p>
    <w:p w14:paraId="33B6B89A"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Kulistak, P. (2013). Traumatic brain impairment. In </w:t>
      </w:r>
      <w:r w:rsidRPr="004C4852">
        <w:rPr>
          <w:rFonts w:ascii="Times New Roman" w:eastAsia="Times New Roman" w:hAnsi="Times New Roman" w:cs="Times New Roman"/>
          <w:i/>
          <w:iCs/>
          <w:sz w:val="24"/>
          <w:szCs w:val="24"/>
        </w:rPr>
        <w:t>Cognitive deficit in mental and neurological disorders.</w:t>
      </w:r>
      <w:r w:rsidRPr="004C4852">
        <w:rPr>
          <w:rFonts w:ascii="Times New Roman" w:eastAsia="Times New Roman" w:hAnsi="Times New Roman" w:cs="Times New Roman"/>
          <w:sz w:val="24"/>
          <w:szCs w:val="24"/>
        </w:rPr>
        <w:t xml:space="preserve"> (pp. 367–393). Nova Science Publishers.</w:t>
      </w:r>
    </w:p>
    <w:p w14:paraId="03D4BD8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Kuljic-Obradovic, D., Labudovic, G., Basurovic, N., &amp; Savic, M. (2007). Neuropsychological deficits after bithalamic hemorrhages. </w:t>
      </w:r>
      <w:r w:rsidRPr="004C4852">
        <w:rPr>
          <w:rFonts w:ascii="Times New Roman" w:eastAsia="Times New Roman" w:hAnsi="Times New Roman" w:cs="Times New Roman"/>
          <w:i/>
          <w:iCs/>
          <w:sz w:val="24"/>
          <w:szCs w:val="24"/>
        </w:rPr>
        <w:t>Journal of the Neurological 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257</w:t>
      </w:r>
      <w:r w:rsidRPr="004C4852">
        <w:rPr>
          <w:rFonts w:ascii="Times New Roman" w:eastAsia="Times New Roman" w:hAnsi="Times New Roman" w:cs="Times New Roman"/>
          <w:sz w:val="24"/>
          <w:szCs w:val="24"/>
        </w:rPr>
        <w:t xml:space="preserve">(1–2), 174–176. </w:t>
      </w:r>
      <w:hyperlink r:id="rId3130" w:history="1">
        <w:r w:rsidRPr="004C4852">
          <w:rPr>
            <w:rFonts w:ascii="Times New Roman" w:eastAsia="Times New Roman" w:hAnsi="Times New Roman" w:cs="Times New Roman"/>
            <w:color w:val="0000FF"/>
            <w:sz w:val="24"/>
            <w:szCs w:val="24"/>
            <w:u w:val="single"/>
          </w:rPr>
          <w:t>https://doi.org/10.1016/j.jns.2007.01.042</w:t>
        </w:r>
      </w:hyperlink>
    </w:p>
    <w:p w14:paraId="13784FEC"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Kulkarni, S., Jain, S., Reddy, Y. C. J., Kumar, K. J., &amp; Kandavel, T. (2010). Impairment of verbal learning and memory and executive function in unaffected siblings of probands with bipolar disorder. </w:t>
      </w:r>
      <w:r w:rsidRPr="004C4852">
        <w:rPr>
          <w:rFonts w:ascii="Times New Roman" w:eastAsia="Times New Roman" w:hAnsi="Times New Roman" w:cs="Times New Roman"/>
          <w:i/>
          <w:iCs/>
          <w:sz w:val="24"/>
          <w:szCs w:val="24"/>
        </w:rPr>
        <w:t>Bipolar Disorders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12</w:t>
      </w:r>
      <w:r w:rsidRPr="004C4852">
        <w:rPr>
          <w:rFonts w:ascii="Times New Roman" w:eastAsia="Times New Roman" w:hAnsi="Times New Roman" w:cs="Times New Roman"/>
          <w:sz w:val="24"/>
          <w:szCs w:val="24"/>
        </w:rPr>
        <w:t xml:space="preserve">(6), 647–656. </w:t>
      </w:r>
      <w:hyperlink r:id="rId3131" w:history="1">
        <w:r w:rsidRPr="004C4852">
          <w:rPr>
            <w:rFonts w:ascii="Times New Roman" w:eastAsia="Times New Roman" w:hAnsi="Times New Roman" w:cs="Times New Roman"/>
            <w:color w:val="0000FF"/>
            <w:sz w:val="24"/>
            <w:szCs w:val="24"/>
            <w:u w:val="single"/>
          </w:rPr>
          <w:t>https://doi.org/10.1111/j.1399-5618.2010.00857.x</w:t>
        </w:r>
      </w:hyperlink>
    </w:p>
    <w:p w14:paraId="099EBCB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Kully-Martens, K., Pei, J., Job, J., &amp; Rasmussen, C. (2012). Source monitoring in children with and without fetal alcohol spectrum disorders. </w:t>
      </w:r>
      <w:r w:rsidRPr="004C4852">
        <w:rPr>
          <w:rFonts w:ascii="Times New Roman" w:eastAsia="Times New Roman" w:hAnsi="Times New Roman" w:cs="Times New Roman"/>
          <w:i/>
          <w:iCs/>
          <w:sz w:val="24"/>
          <w:szCs w:val="24"/>
        </w:rPr>
        <w:t>Journal of Pediatric 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37</w:t>
      </w:r>
      <w:r w:rsidRPr="004C4852">
        <w:rPr>
          <w:rFonts w:ascii="Times New Roman" w:eastAsia="Times New Roman" w:hAnsi="Times New Roman" w:cs="Times New Roman"/>
          <w:sz w:val="24"/>
          <w:szCs w:val="24"/>
        </w:rPr>
        <w:t xml:space="preserve">(7), 725–735. </w:t>
      </w:r>
      <w:hyperlink r:id="rId3132" w:history="1">
        <w:r w:rsidRPr="004C4852">
          <w:rPr>
            <w:rFonts w:ascii="Times New Roman" w:eastAsia="Times New Roman" w:hAnsi="Times New Roman" w:cs="Times New Roman"/>
            <w:color w:val="0000FF"/>
            <w:sz w:val="24"/>
            <w:szCs w:val="24"/>
            <w:u w:val="single"/>
          </w:rPr>
          <w:t>https://doi.org/10.1093/jpepsy/jsr123</w:t>
        </w:r>
      </w:hyperlink>
    </w:p>
    <w:p w14:paraId="29BAAA39"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Kumada, T., &amp; Humphreys, G. W. (2006). Dimensional weighting and task switching following frontal lobe damage: Fractionating the task switching deficit. </w:t>
      </w:r>
      <w:r w:rsidRPr="004C4852">
        <w:rPr>
          <w:rFonts w:ascii="Times New Roman" w:eastAsia="Times New Roman" w:hAnsi="Times New Roman" w:cs="Times New Roman"/>
          <w:i/>
          <w:iCs/>
          <w:sz w:val="24"/>
          <w:szCs w:val="24"/>
        </w:rPr>
        <w:t>Cognitive Neuropsychology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23</w:t>
      </w:r>
      <w:r w:rsidRPr="004C4852">
        <w:rPr>
          <w:rFonts w:ascii="Times New Roman" w:eastAsia="Times New Roman" w:hAnsi="Times New Roman" w:cs="Times New Roman"/>
          <w:sz w:val="24"/>
          <w:szCs w:val="24"/>
        </w:rPr>
        <w:t xml:space="preserve">(3), 424–447. </w:t>
      </w:r>
      <w:hyperlink r:id="rId3133" w:history="1">
        <w:r w:rsidRPr="004C4852">
          <w:rPr>
            <w:rFonts w:ascii="Times New Roman" w:eastAsia="Times New Roman" w:hAnsi="Times New Roman" w:cs="Times New Roman"/>
            <w:color w:val="0000FF"/>
            <w:sz w:val="24"/>
            <w:szCs w:val="24"/>
            <w:u w:val="single"/>
          </w:rPr>
          <w:t>https://doi.org/10.1080/02643290542000058</w:t>
        </w:r>
      </w:hyperlink>
    </w:p>
    <w:p w14:paraId="79211C34"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A. M., Ownby, R. L., Waldrop-Valverde, D., Fernandez, B., &amp; Kumar, M. (2011). Human immunodeficiency virus infection in the CNS and decreased dopamine availability: Relationship with neuropsychological performance. </w:t>
      </w:r>
      <w:r w:rsidRPr="004C4852">
        <w:rPr>
          <w:rFonts w:ascii="Times New Roman" w:eastAsia="Times New Roman" w:hAnsi="Times New Roman" w:cs="Times New Roman"/>
          <w:i/>
          <w:iCs/>
          <w:sz w:val="24"/>
          <w:szCs w:val="24"/>
        </w:rPr>
        <w:t>Journal of Neurovirology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17</w:t>
      </w:r>
      <w:r w:rsidRPr="004C4852">
        <w:rPr>
          <w:rFonts w:ascii="Times New Roman" w:eastAsia="Times New Roman" w:hAnsi="Times New Roman" w:cs="Times New Roman"/>
          <w:sz w:val="24"/>
          <w:szCs w:val="24"/>
        </w:rPr>
        <w:t xml:space="preserve">(1), 26–40. </w:t>
      </w:r>
      <w:hyperlink r:id="rId3134" w:history="1">
        <w:r w:rsidRPr="004C4852">
          <w:rPr>
            <w:rFonts w:ascii="Times New Roman" w:eastAsia="Times New Roman" w:hAnsi="Times New Roman" w:cs="Times New Roman"/>
            <w:color w:val="0000FF"/>
            <w:sz w:val="24"/>
            <w:szCs w:val="24"/>
            <w:u w:val="single"/>
          </w:rPr>
          <w:t>https://doi.org/10.1007/s13365-010-0003-4</w:t>
        </w:r>
      </w:hyperlink>
    </w:p>
    <w:p w14:paraId="0643EC6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A., Sharma, P., Das, S., Nath, K., Talukdar, U., &amp; Bhagabati, D. (2013). Insight in psychotic disorder: Relation with psychopathology and frontal lobe function. </w:t>
      </w:r>
      <w:r w:rsidRPr="004C4852">
        <w:rPr>
          <w:rFonts w:ascii="Times New Roman" w:eastAsia="Times New Roman" w:hAnsi="Times New Roman" w:cs="Times New Roman"/>
          <w:i/>
          <w:iCs/>
          <w:sz w:val="24"/>
          <w:szCs w:val="24"/>
        </w:rPr>
        <w:t>Psychopathology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47</w:t>
      </w:r>
      <w:r w:rsidRPr="004C4852">
        <w:rPr>
          <w:rFonts w:ascii="Times New Roman" w:eastAsia="Times New Roman" w:hAnsi="Times New Roman" w:cs="Times New Roman"/>
          <w:sz w:val="24"/>
          <w:szCs w:val="24"/>
        </w:rPr>
        <w:t xml:space="preserve">(1), 32–38. </w:t>
      </w:r>
      <w:hyperlink r:id="rId3135" w:history="1">
        <w:r w:rsidRPr="004C4852">
          <w:rPr>
            <w:rFonts w:ascii="Times New Roman" w:eastAsia="Times New Roman" w:hAnsi="Times New Roman" w:cs="Times New Roman"/>
            <w:color w:val="0000FF"/>
            <w:sz w:val="24"/>
            <w:szCs w:val="24"/>
            <w:u w:val="single"/>
          </w:rPr>
          <w:t>https://doi.org/10.1159/000348486</w:t>
        </w:r>
      </w:hyperlink>
    </w:p>
    <w:p w14:paraId="76D017E2"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J. K. (2013). Neuropsychological rehabilitation in neurological conditions: A circuitry approach. In </w:t>
      </w:r>
      <w:r w:rsidRPr="004C4852">
        <w:rPr>
          <w:rFonts w:ascii="Times New Roman" w:eastAsia="Times New Roman" w:hAnsi="Times New Roman" w:cs="Times New Roman"/>
          <w:i/>
          <w:iCs/>
          <w:sz w:val="24"/>
          <w:szCs w:val="24"/>
        </w:rPr>
        <w:t>Neuropsychological rehabilitation: Principles and applications.</w:t>
      </w:r>
      <w:r w:rsidRPr="004C4852">
        <w:rPr>
          <w:rFonts w:ascii="Times New Roman" w:eastAsia="Times New Roman" w:hAnsi="Times New Roman" w:cs="Times New Roman"/>
          <w:sz w:val="24"/>
          <w:szCs w:val="24"/>
        </w:rPr>
        <w:t xml:space="preserve"> (pp. 103–122). Elsevier.</w:t>
      </w:r>
    </w:p>
    <w:p w14:paraId="2831205B"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R., Kumar, K. J., &amp; Benegal, V. (2018). Cognitive and behavioural dispositions in offspring at high risk for alcoholism. </w:t>
      </w:r>
      <w:r w:rsidRPr="004C4852">
        <w:rPr>
          <w:rFonts w:ascii="Times New Roman" w:eastAsia="Times New Roman" w:hAnsi="Times New Roman" w:cs="Times New Roman"/>
          <w:i/>
          <w:iCs/>
          <w:sz w:val="24"/>
          <w:szCs w:val="24"/>
        </w:rPr>
        <w:t>Asian Journal of Psychiatry</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35</w:t>
      </w:r>
      <w:r w:rsidRPr="004C4852">
        <w:rPr>
          <w:rFonts w:ascii="Times New Roman" w:eastAsia="Times New Roman" w:hAnsi="Times New Roman" w:cs="Times New Roman"/>
          <w:sz w:val="24"/>
          <w:szCs w:val="24"/>
        </w:rPr>
        <w:t xml:space="preserve">, 38–44. </w:t>
      </w:r>
      <w:hyperlink r:id="rId3136" w:history="1">
        <w:r w:rsidRPr="004C4852">
          <w:rPr>
            <w:rFonts w:ascii="Times New Roman" w:eastAsia="Times New Roman" w:hAnsi="Times New Roman" w:cs="Times New Roman"/>
            <w:color w:val="0000FF"/>
            <w:sz w:val="24"/>
            <w:szCs w:val="24"/>
            <w:u w:val="single"/>
          </w:rPr>
          <w:t>https://doi.org/10.1016/j.ajp.2018.05.006</w:t>
        </w:r>
      </w:hyperlink>
    </w:p>
    <w:p w14:paraId="7FB30238"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S., Rao, S. L., Nair, R. G., Pillai, S., Chandramouli, B. A., &amp; Subbakrishna, D. K. (2005). Sensory gating impairment in development of post-concussive symptoms in mild head injury.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59</w:t>
      </w:r>
      <w:r w:rsidRPr="004C4852">
        <w:rPr>
          <w:rFonts w:ascii="Times New Roman" w:eastAsia="Times New Roman" w:hAnsi="Times New Roman" w:cs="Times New Roman"/>
          <w:sz w:val="24"/>
          <w:szCs w:val="24"/>
        </w:rPr>
        <w:t xml:space="preserve">(4), 466–472. </w:t>
      </w:r>
      <w:hyperlink r:id="rId3137" w:history="1">
        <w:r w:rsidRPr="004C4852">
          <w:rPr>
            <w:rFonts w:ascii="Times New Roman" w:eastAsia="Times New Roman" w:hAnsi="Times New Roman" w:cs="Times New Roman"/>
            <w:color w:val="0000FF"/>
            <w:sz w:val="24"/>
            <w:szCs w:val="24"/>
            <w:u w:val="single"/>
          </w:rPr>
          <w:t>https://doi.org/10.1111/j.1440-1819.2005.01400.x</w:t>
        </w:r>
      </w:hyperlink>
    </w:p>
    <w:p w14:paraId="11692345" w14:textId="77777777" w:rsidR="004C4852" w:rsidRPr="004C4852" w:rsidRDefault="004C4852" w:rsidP="003B57E5">
      <w:pPr>
        <w:spacing w:before="240" w:after="0" w:line="240" w:lineRule="auto"/>
        <w:ind w:left="450" w:hanging="450"/>
        <w:rPr>
          <w:rFonts w:ascii="Times New Roman" w:eastAsia="Times New Roman" w:hAnsi="Times New Roman" w:cs="Times New Roman"/>
          <w:sz w:val="24"/>
          <w:szCs w:val="24"/>
        </w:rPr>
      </w:pPr>
      <w:r w:rsidRPr="004C4852">
        <w:rPr>
          <w:rFonts w:ascii="Times New Roman" w:eastAsia="Times New Roman" w:hAnsi="Times New Roman" w:cs="Times New Roman"/>
          <w:sz w:val="24"/>
          <w:szCs w:val="24"/>
        </w:rPr>
        <w:t xml:space="preserve">Kumar, S., Rao, S. L., Sunny, B., &amp; Gangadhar, B. N. (2007). Widespread cognitive impairment in psychogenic anterograde amnesia. </w:t>
      </w:r>
      <w:r w:rsidRPr="004C4852">
        <w:rPr>
          <w:rFonts w:ascii="Times New Roman" w:eastAsia="Times New Roman" w:hAnsi="Times New Roman" w:cs="Times New Roman"/>
          <w:i/>
          <w:iCs/>
          <w:sz w:val="24"/>
          <w:szCs w:val="24"/>
        </w:rPr>
        <w:t>Psychiatry and Clinical Neurosciences</w:t>
      </w:r>
      <w:r w:rsidRPr="004C4852">
        <w:rPr>
          <w:rFonts w:ascii="Times New Roman" w:eastAsia="Times New Roman" w:hAnsi="Times New Roman" w:cs="Times New Roman"/>
          <w:sz w:val="24"/>
          <w:szCs w:val="24"/>
        </w:rPr>
        <w:t xml:space="preserve">, </w:t>
      </w:r>
      <w:r w:rsidRPr="004C4852">
        <w:rPr>
          <w:rFonts w:ascii="Times New Roman" w:eastAsia="Times New Roman" w:hAnsi="Times New Roman" w:cs="Times New Roman"/>
          <w:i/>
          <w:iCs/>
          <w:sz w:val="24"/>
          <w:szCs w:val="24"/>
        </w:rPr>
        <w:t>61</w:t>
      </w:r>
      <w:r w:rsidRPr="004C4852">
        <w:rPr>
          <w:rFonts w:ascii="Times New Roman" w:eastAsia="Times New Roman" w:hAnsi="Times New Roman" w:cs="Times New Roman"/>
          <w:sz w:val="24"/>
          <w:szCs w:val="24"/>
        </w:rPr>
        <w:t xml:space="preserve">(6), 583–586. </w:t>
      </w:r>
      <w:hyperlink r:id="rId3138" w:history="1">
        <w:r w:rsidRPr="004C4852">
          <w:rPr>
            <w:rFonts w:ascii="Times New Roman" w:eastAsia="Times New Roman" w:hAnsi="Times New Roman" w:cs="Times New Roman"/>
            <w:color w:val="0000FF"/>
            <w:sz w:val="24"/>
            <w:szCs w:val="24"/>
            <w:u w:val="single"/>
          </w:rPr>
          <w:t>https://doi.org/10.1111/j.1440-1819.2007.01735.x</w:t>
        </w:r>
      </w:hyperlink>
    </w:p>
    <w:p w14:paraId="16B752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Kumbhani, S. R., Roth, R. M., Kruck, C. L., Flashman, L. A., &amp; McAllister, T. W. (2010). Nonclinical obsessive-compulsive symptoms and executive functions in schizophrenia.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304–312. </w:t>
      </w:r>
      <w:hyperlink r:id="rId3139" w:history="1">
        <w:r w:rsidRPr="00896AA2">
          <w:rPr>
            <w:rFonts w:ascii="Times New Roman" w:eastAsia="Times New Roman" w:hAnsi="Times New Roman" w:cs="Times New Roman"/>
            <w:color w:val="0000FF"/>
            <w:sz w:val="24"/>
            <w:szCs w:val="24"/>
            <w:u w:val="single"/>
          </w:rPr>
          <w:t>https://doi.org/10.1176/appi.neuropsych.22.3.304</w:t>
        </w:r>
      </w:hyperlink>
    </w:p>
    <w:p w14:paraId="11D76F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Kunda, M., &amp; Goel, A. K. (2011). Thinking in pictures as a cognitive account of autism.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(9), 1157–1177. </w:t>
      </w:r>
      <w:hyperlink r:id="rId3140" w:history="1">
        <w:r w:rsidRPr="00896AA2">
          <w:rPr>
            <w:rFonts w:ascii="Times New Roman" w:eastAsia="Times New Roman" w:hAnsi="Times New Roman" w:cs="Times New Roman"/>
            <w:color w:val="0000FF"/>
            <w:sz w:val="24"/>
            <w:szCs w:val="24"/>
            <w:u w:val="single"/>
          </w:rPr>
          <w:t>https://doi.org/10.1007/s10803-010-1137-1</w:t>
        </w:r>
      </w:hyperlink>
    </w:p>
    <w:p w14:paraId="10EB7F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Kuni, B. J., Banwell, B. L., &amp; Till, C. (2012). Cognitive and Behavioral Outcomes in Individuals With a History of Acute Disseminated Encephalomyelitis (ADEM). </w:t>
      </w:r>
      <w:r w:rsidRPr="00896AA2">
        <w:rPr>
          <w:rFonts w:ascii="Times New Roman" w:eastAsia="Times New Roman" w:hAnsi="Times New Roman" w:cs="Times New Roman"/>
          <w:i/>
          <w:iCs/>
          <w:sz w:val="24"/>
          <w:szCs w:val="24"/>
        </w:rPr>
        <w:t>Developmental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(8), 682–696.</w:t>
      </w:r>
    </w:p>
    <w:p w14:paraId="358162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Kunihira, Y., Senju, A., Dairoku, H., Wakabayashi, A., &amp; Hasegawa, T. (2006). “Autistic” Traits in Non-Autistic Japanese Populations: Relationships with Personality Traits and Cognitive Ability.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(4), 553–566. </w:t>
      </w:r>
      <w:hyperlink r:id="rId3141" w:history="1">
        <w:r w:rsidRPr="00896AA2">
          <w:rPr>
            <w:rFonts w:ascii="Times New Roman" w:eastAsia="Times New Roman" w:hAnsi="Times New Roman" w:cs="Times New Roman"/>
            <w:color w:val="0000FF"/>
            <w:sz w:val="24"/>
            <w:szCs w:val="24"/>
            <w:u w:val="single"/>
          </w:rPr>
          <w:t>https://doi.org/10.1007/s10803-006-0094-1</w:t>
        </w:r>
      </w:hyperlink>
    </w:p>
    <w:p w14:paraId="3F9F76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Kuo, S., Chen, Y., Chang, Y., Lee, P., Liu, M., &amp; Chen, S. (2018). Influence of internet addiction on executive function and learning attention in Taiwanese school‐aged children. </w:t>
      </w:r>
      <w:r w:rsidRPr="00896AA2">
        <w:rPr>
          <w:rFonts w:ascii="Times New Roman" w:eastAsia="Times New Roman" w:hAnsi="Times New Roman" w:cs="Times New Roman"/>
          <w:i/>
          <w:iCs/>
          <w:sz w:val="24"/>
          <w:szCs w:val="24"/>
        </w:rPr>
        <w:t>Perspectives in Psychiatric Care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(4), 495–500. </w:t>
      </w:r>
      <w:hyperlink r:id="rId3142" w:history="1">
        <w:r w:rsidRPr="00896AA2">
          <w:rPr>
            <w:rFonts w:ascii="Times New Roman" w:eastAsia="Times New Roman" w:hAnsi="Times New Roman" w:cs="Times New Roman"/>
            <w:color w:val="0000FF"/>
            <w:sz w:val="24"/>
            <w:szCs w:val="24"/>
            <w:u w:val="single"/>
          </w:rPr>
          <w:t>https://doi.org/10.1111/ppc.12254</w:t>
        </w:r>
      </w:hyperlink>
    </w:p>
    <w:p w14:paraId="639D108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Kurczek, J., &amp; Duff, M. C. (2011). Cohesion, coherence, and declarative memory: Discourse patterns in individuals with hippocampal amnesia. </w:t>
      </w:r>
      <w:r w:rsidRPr="00896AA2">
        <w:rPr>
          <w:rFonts w:ascii="Times New Roman" w:eastAsia="Times New Roman" w:hAnsi="Times New Roman" w:cs="Times New Roman"/>
          <w:i/>
          <w:iCs/>
          <w:sz w:val="24"/>
          <w:szCs w:val="24"/>
        </w:rPr>
        <w:t>Aphasiology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(6–7), 700–712. </w:t>
      </w:r>
      <w:hyperlink r:id="rId3143" w:history="1">
        <w:r w:rsidRPr="00896AA2">
          <w:rPr>
            <w:rFonts w:ascii="Times New Roman" w:eastAsia="Times New Roman" w:hAnsi="Times New Roman" w:cs="Times New Roman"/>
            <w:color w:val="0000FF"/>
            <w:sz w:val="24"/>
            <w:szCs w:val="24"/>
            <w:u w:val="single"/>
          </w:rPr>
          <w:t>https://doi.org/10.1080/02687038.2010.537345</w:t>
        </w:r>
      </w:hyperlink>
    </w:p>
    <w:p w14:paraId="1B90E4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Kurczek, J., Wechsler, E., Ahuja, S., Jensen, U., Cohen, N. J., Tranel, D., &amp; Duff, M. (2015). Differential contributions of hippocampus and medial prefrontal cortex to self-projection and self-referential processing.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 116–126. </w:t>
      </w:r>
      <w:hyperlink r:id="rId3144" w:history="1">
        <w:r w:rsidRPr="00896AA2">
          <w:rPr>
            <w:rFonts w:ascii="Times New Roman" w:eastAsia="Times New Roman" w:hAnsi="Times New Roman" w:cs="Times New Roman"/>
            <w:color w:val="0000FF"/>
            <w:sz w:val="24"/>
            <w:szCs w:val="24"/>
            <w:u w:val="single"/>
          </w:rPr>
          <w:t>https://doi.org/10.1016/j.neuropsychologia.2015.05.002</w:t>
        </w:r>
      </w:hyperlink>
    </w:p>
    <w:p w14:paraId="20882B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Kurosaki, Y., Terasawa, Y., Ibata, Y., Hashimoto, R., &amp; Umeda, S. (2020). Retrospective time estimation following damage to the prefrontal cortex. </w:t>
      </w:r>
      <w:r w:rsidRPr="00896AA2">
        <w:rPr>
          <w:rFonts w:ascii="Times New Roman" w:eastAsia="Times New Roman" w:hAnsi="Times New Roman" w:cs="Times New Roman"/>
          <w:i/>
          <w:iCs/>
          <w:sz w:val="24"/>
          <w:szCs w:val="24"/>
        </w:rPr>
        <w:t>Journal of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(1), 135–153. </w:t>
      </w:r>
      <w:hyperlink r:id="rId3145" w:history="1">
        <w:r w:rsidRPr="00896AA2">
          <w:rPr>
            <w:rFonts w:ascii="Times New Roman" w:eastAsia="Times New Roman" w:hAnsi="Times New Roman" w:cs="Times New Roman"/>
            <w:color w:val="0000FF"/>
            <w:sz w:val="24"/>
            <w:szCs w:val="24"/>
            <w:u w:val="single"/>
          </w:rPr>
          <w:t>https://doi.org/10.1111/jnp.12171</w:t>
        </w:r>
      </w:hyperlink>
    </w:p>
    <w:p w14:paraId="22F68A0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 E., Yıldırım, E., &amp; Topçuoğlu, V. (2017). Obsesif kompulsif bozukluk ve panik bozukluk hastalarında yürütücü İşlevlerin sağlıklı kontrollerle karşılaştırılması. [Executive functions of obsessive compulsive disorder and panic disorder patients in comparison to healthy controls.]. </w:t>
      </w:r>
      <w:r w:rsidRPr="00896AA2">
        <w:rPr>
          <w:rFonts w:ascii="Times New Roman" w:eastAsia="Times New Roman" w:hAnsi="Times New Roman" w:cs="Times New Roman"/>
          <w:i/>
          <w:iCs/>
          <w:sz w:val="24"/>
          <w:szCs w:val="24"/>
        </w:rPr>
        <w:t>Nöropsikiyatri Arşivi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(4), 312–317. </w:t>
      </w:r>
      <w:hyperlink r:id="rId3146" w:history="1">
        <w:r w:rsidRPr="00896AA2">
          <w:rPr>
            <w:rFonts w:ascii="Times New Roman" w:eastAsia="Times New Roman" w:hAnsi="Times New Roman" w:cs="Times New Roman"/>
            <w:color w:val="0000FF"/>
            <w:sz w:val="24"/>
            <w:szCs w:val="24"/>
            <w:u w:val="single"/>
          </w:rPr>
          <w:t>https://doi.org/10.5152/npa.2016.14872</w:t>
        </w:r>
      </w:hyperlink>
    </w:p>
    <w:p w14:paraId="671A06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Kurth, L., &amp; Haussmann, R. (2011). Perinatal pitocin as an early ADHD biomarker: Neurodevelopmental risk?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(5), 423–431. </w:t>
      </w:r>
      <w:hyperlink r:id="rId3147" w:history="1">
        <w:r w:rsidRPr="00896AA2">
          <w:rPr>
            <w:rFonts w:ascii="Times New Roman" w:eastAsia="Times New Roman" w:hAnsi="Times New Roman" w:cs="Times New Roman"/>
            <w:color w:val="0000FF"/>
            <w:sz w:val="24"/>
            <w:szCs w:val="24"/>
            <w:u w:val="single"/>
          </w:rPr>
          <w:t>https://doi.org/10.1177/1087054710397800</w:t>
        </w:r>
      </w:hyperlink>
    </w:p>
    <w:p w14:paraId="6C75ACA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(2011). Neurocognition as a predictor of response to evidence-based psychosocial interventions in schizophrenia: What is the state of the evidence? </w:t>
      </w:r>
      <w:r w:rsidRPr="00896AA2">
        <w:rPr>
          <w:rFonts w:ascii="Times New Roman" w:eastAsia="Times New Roman" w:hAnsi="Times New Roman" w:cs="Times New Roman"/>
          <w:i/>
          <w:iCs/>
          <w:sz w:val="24"/>
          <w:szCs w:val="24"/>
        </w:rPr>
        <w:t>Clinical Psychology Review</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663–672. </w:t>
      </w:r>
      <w:hyperlink r:id="rId3148" w:history="1">
        <w:r w:rsidRPr="00896AA2">
          <w:rPr>
            <w:rFonts w:ascii="Times New Roman" w:eastAsia="Times New Roman" w:hAnsi="Times New Roman" w:cs="Times New Roman"/>
            <w:color w:val="0000FF"/>
            <w:sz w:val="24"/>
            <w:szCs w:val="24"/>
            <w:u w:val="single"/>
          </w:rPr>
          <w:t>https://doi.org/10.1016/j.cpr.2011.02.008</w:t>
        </w:r>
      </w:hyperlink>
    </w:p>
    <w:p w14:paraId="796CBA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(2012). Cognitive remediation for schizophrenia: Current status, biological correlates and predictors of response. </w:t>
      </w:r>
      <w:r w:rsidRPr="00896AA2">
        <w:rPr>
          <w:rFonts w:ascii="Times New Roman" w:eastAsia="Times New Roman" w:hAnsi="Times New Roman" w:cs="Times New Roman"/>
          <w:i/>
          <w:iCs/>
          <w:sz w:val="24"/>
          <w:szCs w:val="24"/>
        </w:rPr>
        <w:t>Expert Review of Neurotherapeutics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(7), 813–821. </w:t>
      </w:r>
      <w:hyperlink r:id="rId3149" w:history="1">
        <w:r w:rsidRPr="00896AA2">
          <w:rPr>
            <w:rFonts w:ascii="Times New Roman" w:eastAsia="Times New Roman" w:hAnsi="Times New Roman" w:cs="Times New Roman"/>
            <w:color w:val="0000FF"/>
            <w:sz w:val="24"/>
            <w:szCs w:val="24"/>
            <w:u w:val="single"/>
          </w:rPr>
          <w:t>https://doi.org/10.1586/ern.12.71</w:t>
        </w:r>
      </w:hyperlink>
    </w:p>
    <w:p w14:paraId="5B41D0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(2015). Neurocognition in schizophrenia: A core illness feature and novel treatment target. In </w:t>
      </w:r>
      <w:r w:rsidRPr="00896AA2">
        <w:rPr>
          <w:rFonts w:ascii="Times New Roman" w:eastAsia="Times New Roman" w:hAnsi="Times New Roman" w:cs="Times New Roman"/>
          <w:i/>
          <w:iCs/>
          <w:sz w:val="24"/>
          <w:szCs w:val="24"/>
        </w:rPr>
        <w:t>From symptom to synapse: A neurocognitive perspective on clinical psychology.</w:t>
      </w:r>
      <w:r w:rsidRPr="00896AA2">
        <w:rPr>
          <w:rFonts w:ascii="Times New Roman" w:eastAsia="Times New Roman" w:hAnsi="Times New Roman" w:cs="Times New Roman"/>
          <w:sz w:val="24"/>
          <w:szCs w:val="24"/>
        </w:rPr>
        <w:t xml:space="preserve"> (pp. 182–210). Routledge/Taylor &amp; Francis Group.</w:t>
      </w:r>
    </w:p>
    <w:p w14:paraId="06E195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Jeffrey, S. B., &amp; Rose, J. (2010). Elementary neurocognitive function, learning potential and everyday life skills in schizophrenia: What is their relationship?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(2–3), 280–288. </w:t>
      </w:r>
      <w:hyperlink r:id="rId3150" w:history="1">
        <w:r w:rsidRPr="00896AA2">
          <w:rPr>
            <w:rFonts w:ascii="Times New Roman" w:eastAsia="Times New Roman" w:hAnsi="Times New Roman" w:cs="Times New Roman"/>
            <w:color w:val="0000FF"/>
            <w:sz w:val="24"/>
            <w:szCs w:val="24"/>
            <w:u w:val="single"/>
          </w:rPr>
          <w:t>https://doi.org/10.1016/j.schres.2009.08.011</w:t>
        </w:r>
      </w:hyperlink>
    </w:p>
    <w:p w14:paraId="17202DE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Moberg, P. J., Gur, R. C., &amp; Gur, R. E. (2001). Approaches to cognitive remediation of neuropsychological deficits in schizophrenia: A review and meta-analysis. </w:t>
      </w:r>
      <w:r w:rsidRPr="00896AA2">
        <w:rPr>
          <w:rFonts w:ascii="Times New Roman" w:eastAsia="Times New Roman" w:hAnsi="Times New Roman" w:cs="Times New Roman"/>
          <w:i/>
          <w:iCs/>
          <w:sz w:val="24"/>
          <w:szCs w:val="24"/>
        </w:rPr>
        <w:t>Neuropsychology Review</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(4), 197–210. </w:t>
      </w:r>
      <w:hyperlink r:id="rId3151" w:history="1">
        <w:r w:rsidRPr="00896AA2">
          <w:rPr>
            <w:rFonts w:ascii="Times New Roman" w:eastAsia="Times New Roman" w:hAnsi="Times New Roman" w:cs="Times New Roman"/>
            <w:color w:val="0000FF"/>
            <w:sz w:val="24"/>
            <w:szCs w:val="24"/>
            <w:u w:val="single"/>
          </w:rPr>
          <w:t>https://doi.org/10.1023/A:1012953108158</w:t>
        </w:r>
      </w:hyperlink>
    </w:p>
    <w:p w14:paraId="488EAF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Seltzer, J. C., Ferrand, J. L., &amp; Wexler, B. E. (2005). Neurocognitive Function in Schizophrenia at a 10-Year Follow-Up: A Preliminary Investigation. </w:t>
      </w:r>
      <w:r w:rsidRPr="00896AA2">
        <w:rPr>
          <w:rFonts w:ascii="Times New Roman" w:eastAsia="Times New Roman" w:hAnsi="Times New Roman" w:cs="Times New Roman"/>
          <w:i/>
          <w:iCs/>
          <w:sz w:val="24"/>
          <w:szCs w:val="24"/>
        </w:rPr>
        <w:t>CNS Spectrums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(4), 277–280. </w:t>
      </w:r>
      <w:hyperlink r:id="rId3152" w:history="1">
        <w:r w:rsidRPr="00896AA2">
          <w:rPr>
            <w:rFonts w:ascii="Times New Roman" w:eastAsia="Times New Roman" w:hAnsi="Times New Roman" w:cs="Times New Roman"/>
            <w:color w:val="0000FF"/>
            <w:sz w:val="24"/>
            <w:szCs w:val="24"/>
            <w:u w:val="single"/>
          </w:rPr>
          <w:t>https://doi.org/10.1017/S1092852900022598</w:t>
        </w:r>
      </w:hyperlink>
    </w:p>
    <w:p w14:paraId="24FEB30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&amp; Wexler, B. E. (2006). Differences in performance and learning proficiency on the Wisconsin Card Sorting Test in schizophrenia: Do they reflect distinct neurocognitive subtypes with distinct functional profiles?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(2–3), 167–171. </w:t>
      </w:r>
      <w:hyperlink r:id="rId3153" w:history="1">
        <w:r w:rsidRPr="00896AA2">
          <w:rPr>
            <w:rFonts w:ascii="Times New Roman" w:eastAsia="Times New Roman" w:hAnsi="Times New Roman" w:cs="Times New Roman"/>
            <w:color w:val="0000FF"/>
            <w:sz w:val="24"/>
            <w:szCs w:val="24"/>
            <w:u w:val="single"/>
          </w:rPr>
          <w:t>https://doi.org/10.1016/j.schres.2005.09.003</w:t>
        </w:r>
      </w:hyperlink>
    </w:p>
    <w:p w14:paraId="5A267D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Kurtz, M. M., Wexler, B. E., &amp; Bell, M. D. (2004). The Penn Conditional Exclusion Test (PCET): Relationship to the Wisconsin Card Sorting Test and work function in patients with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(1), 95–102. </w:t>
      </w:r>
      <w:hyperlink r:id="rId3154" w:history="1">
        <w:r w:rsidRPr="00896AA2">
          <w:rPr>
            <w:rFonts w:ascii="Times New Roman" w:eastAsia="Times New Roman" w:hAnsi="Times New Roman" w:cs="Times New Roman"/>
            <w:color w:val="0000FF"/>
            <w:sz w:val="24"/>
            <w:szCs w:val="24"/>
            <w:u w:val="single"/>
          </w:rPr>
          <w:t>https://doi.org/10.1016/S0920-9964(03)00179-8</w:t>
        </w:r>
      </w:hyperlink>
    </w:p>
    <w:p w14:paraId="11ACDB3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Kutcher, S., Brooks, S. J., Gardner, D. M., Honer, B., Kopala, L., Labelle, A., Lalonde, P., Malla, A., Milliken, H., Soni, J., &amp; Williams, R. (2005). Expert Canadian consensus suggestions on the rational, clinical use of ziprasidone in the treatment of schizophrenia and related psychotic disorders.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w:t>
      </w:r>
      <w:r w:rsidRPr="00896AA2">
        <w:rPr>
          <w:rFonts w:ascii="Times New Roman" w:eastAsia="Times New Roman" w:hAnsi="Times New Roman" w:cs="Times New Roman"/>
          <w:sz w:val="24"/>
          <w:szCs w:val="24"/>
        </w:rPr>
        <w:t xml:space="preserve">(2), 89–108. </w:t>
      </w:r>
      <w:hyperlink r:id="rId3155" w:history="1">
        <w:r w:rsidRPr="00896AA2">
          <w:rPr>
            <w:rFonts w:ascii="Times New Roman" w:eastAsia="Times New Roman" w:hAnsi="Times New Roman" w:cs="Times New Roman"/>
            <w:color w:val="0000FF"/>
            <w:sz w:val="24"/>
            <w:szCs w:val="24"/>
            <w:u w:val="single"/>
          </w:rPr>
          <w:t>https://doi.org/10.2147/nedt.1.2.89.61042</w:t>
        </w:r>
      </w:hyperlink>
    </w:p>
    <w:p w14:paraId="2F6323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Küttner, C. L., Averbeck, B. B., Hirsch, SilviaV., Wießner, I., &amp; Lamba, N. (2012). Sequence learning under uncertainty in children: Self-reflection vs.self-assertion. </w:t>
      </w:r>
      <w:r w:rsidRPr="00896AA2">
        <w:rPr>
          <w:rFonts w:ascii="Times New Roman" w:eastAsia="Times New Roman" w:hAnsi="Times New Roman" w:cs="Times New Roman"/>
          <w:i/>
          <w:iCs/>
          <w:sz w:val="24"/>
          <w:szCs w:val="24"/>
        </w:rPr>
        <w:t>Frontiers in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w:t>
      </w:r>
    </w:p>
    <w:p w14:paraId="0966FF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Kuula, L., Pesonen, A.-K., Martikainen, S., Kajantie, E., Lahti, J., Strandberg, T., Tuovinen, S., Heinonen, K., Pyhälä, R., Lahti, M., &amp; Räikkönen, K. (2015). Poor sleep and neurocognitive function in early adolescence.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(10), 1207–1212. </w:t>
      </w:r>
      <w:hyperlink r:id="rId3156" w:history="1">
        <w:r w:rsidRPr="00896AA2">
          <w:rPr>
            <w:rFonts w:ascii="Times New Roman" w:eastAsia="Times New Roman" w:hAnsi="Times New Roman" w:cs="Times New Roman"/>
            <w:color w:val="0000FF"/>
            <w:sz w:val="24"/>
            <w:szCs w:val="24"/>
            <w:u w:val="single"/>
          </w:rPr>
          <w:t>https://doi.org/10.1016/j.sleep.2015.06.017</w:t>
        </w:r>
      </w:hyperlink>
    </w:p>
    <w:p w14:paraId="4F7757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Kuwabara, M., Mansouri, F. A., Buckley, M. J., &amp; Tanaka, K. (2014). Cognitive control functions of anterior cingulate cortex in macaque monkeys performing a Wisconsin card sorting test analog. </w:t>
      </w:r>
      <w:r w:rsidRPr="00896AA2">
        <w:rPr>
          <w:rFonts w:ascii="Times New Roman" w:eastAsia="Times New Roman" w:hAnsi="Times New Roman" w:cs="Times New Roman"/>
          <w:i/>
          <w:iCs/>
          <w:sz w:val="24"/>
          <w:szCs w:val="24"/>
        </w:rPr>
        <w:t>The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(22), 7531–7547. </w:t>
      </w:r>
      <w:hyperlink r:id="rId3157" w:history="1">
        <w:r w:rsidRPr="00896AA2">
          <w:rPr>
            <w:rFonts w:ascii="Times New Roman" w:eastAsia="Times New Roman" w:hAnsi="Times New Roman" w:cs="Times New Roman"/>
            <w:color w:val="0000FF"/>
            <w:sz w:val="24"/>
            <w:szCs w:val="24"/>
            <w:u w:val="single"/>
          </w:rPr>
          <w:t>https://doi.org/10.1523/JNEUROSCI.3405-13.2014</w:t>
        </w:r>
      </w:hyperlink>
    </w:p>
    <w:p w14:paraId="3057C0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Kwak, E. H., Wi, S., Kim, M., Pyo, S., Shin, Y.-K., Oh, K. J., Han, K., Kim, Y. W., &amp; Cho, S.-R. (2020). Factors affecting cognition and emotion in patients with traumatic brain injury. </w:t>
      </w:r>
      <w:r w:rsidRPr="00896AA2">
        <w:rPr>
          <w:rFonts w:ascii="Times New Roman" w:eastAsia="Times New Roman" w:hAnsi="Times New Roman" w:cs="Times New Roman"/>
          <w:i/>
          <w:iCs/>
          <w:sz w:val="24"/>
          <w:szCs w:val="24"/>
        </w:rPr>
        <w:t>NeuroRehabilitation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(3), 369–379. </w:t>
      </w:r>
      <w:hyperlink r:id="rId3158" w:history="1">
        <w:r w:rsidRPr="00896AA2">
          <w:rPr>
            <w:rFonts w:ascii="Times New Roman" w:eastAsia="Times New Roman" w:hAnsi="Times New Roman" w:cs="Times New Roman"/>
            <w:color w:val="0000FF"/>
            <w:sz w:val="24"/>
            <w:szCs w:val="24"/>
            <w:u w:val="single"/>
          </w:rPr>
          <w:t>https://doi.org/10.3233/NRE-192893</w:t>
        </w:r>
      </w:hyperlink>
    </w:p>
    <w:p w14:paraId="3179F0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Kwan, D., Craver, C. F., Green, L., Myerson, J., &amp; Rosenbaum, R. S. (2013). Dissociations in future thinking following hippocampal damage: Evidence from discounting and time perspective in episodic amnesia. </w:t>
      </w:r>
      <w:r w:rsidRPr="00896AA2">
        <w:rPr>
          <w:rFonts w:ascii="Times New Roman" w:eastAsia="Times New Roman" w:hAnsi="Times New Roman" w:cs="Times New Roman"/>
          <w:i/>
          <w:iCs/>
          <w:sz w:val="24"/>
          <w:szCs w:val="24"/>
        </w:rPr>
        <w:t>Journal of Experimental Psychology: General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142</w:t>
      </w:r>
      <w:r w:rsidRPr="00896AA2">
        <w:rPr>
          <w:rFonts w:ascii="Times New Roman" w:eastAsia="Times New Roman" w:hAnsi="Times New Roman" w:cs="Times New Roman"/>
          <w:sz w:val="24"/>
          <w:szCs w:val="24"/>
        </w:rPr>
        <w:t xml:space="preserve">(4), 1355–1369. </w:t>
      </w:r>
      <w:hyperlink r:id="rId3159" w:history="1">
        <w:r w:rsidRPr="00896AA2">
          <w:rPr>
            <w:rFonts w:ascii="Times New Roman" w:eastAsia="Times New Roman" w:hAnsi="Times New Roman" w:cs="Times New Roman"/>
            <w:color w:val="0000FF"/>
            <w:sz w:val="24"/>
            <w:szCs w:val="24"/>
            <w:u w:val="single"/>
          </w:rPr>
          <w:t>https://doi.org/10.1037/a0034001</w:t>
        </w:r>
      </w:hyperlink>
    </w:p>
    <w:p w14:paraId="2E0713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Kwan, D., Kurczek, J., &amp; Rosenbaum, R. S. (2016). Specific, personally meaningful cues can benefit episodic prospection in medial temporal lobe amnesia. </w:t>
      </w:r>
      <w:r w:rsidRPr="00896AA2">
        <w:rPr>
          <w:rFonts w:ascii="Times New Roman" w:eastAsia="Times New Roman" w:hAnsi="Times New Roman" w:cs="Times New Roman"/>
          <w:i/>
          <w:iCs/>
          <w:sz w:val="24"/>
          <w:szCs w:val="24"/>
        </w:rPr>
        <w:t>British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(2), 137–153. </w:t>
      </w:r>
      <w:hyperlink r:id="rId3160" w:history="1">
        <w:r w:rsidRPr="00896AA2">
          <w:rPr>
            <w:rFonts w:ascii="Times New Roman" w:eastAsia="Times New Roman" w:hAnsi="Times New Roman" w:cs="Times New Roman"/>
            <w:color w:val="0000FF"/>
            <w:sz w:val="24"/>
            <w:szCs w:val="24"/>
            <w:u w:val="single"/>
          </w:rPr>
          <w:t>https://doi.org/10.1111/bjc.12095</w:t>
        </w:r>
      </w:hyperlink>
    </w:p>
    <w:p w14:paraId="607774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Kyte, Z. A., Goodyer, I. M., &amp; Sahakian, B. J. (2005). Selected executive skills in adolescents with recent first episode major depression. </w:t>
      </w:r>
      <w:r w:rsidRPr="00896AA2">
        <w:rPr>
          <w:rFonts w:ascii="Times New Roman" w:eastAsia="Times New Roman" w:hAnsi="Times New Roman" w:cs="Times New Roman"/>
          <w:i/>
          <w:iCs/>
          <w:sz w:val="24"/>
          <w:szCs w:val="24"/>
        </w:rPr>
        <w:t>Journal of Child Psychology and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(9), 995–1005. </w:t>
      </w:r>
      <w:hyperlink r:id="rId3161" w:history="1">
        <w:r w:rsidRPr="00896AA2">
          <w:rPr>
            <w:rFonts w:ascii="Times New Roman" w:eastAsia="Times New Roman" w:hAnsi="Times New Roman" w:cs="Times New Roman"/>
            <w:color w:val="0000FF"/>
            <w:sz w:val="24"/>
            <w:szCs w:val="24"/>
            <w:u w:val="single"/>
          </w:rPr>
          <w:t>https://doi.org/10.1111/j.1469-7610.2004.00400.x</w:t>
        </w:r>
      </w:hyperlink>
    </w:p>
    <w:p w14:paraId="61C4B83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 Paglia, F., La Cascia, C., Rizzo, R., Sanna, M., Cangialosi, F., Sideli, L., Francomano, A., Riva, G., &amp; La Barbera, D. (2016). Virtual Reality environments to rehabilitation attention deficits in schizophrenic patients. </w:t>
      </w:r>
      <w:r w:rsidRPr="00896AA2">
        <w:rPr>
          <w:rFonts w:ascii="Times New Roman" w:eastAsia="Times New Roman" w:hAnsi="Times New Roman" w:cs="Times New Roman"/>
          <w:i/>
          <w:iCs/>
          <w:sz w:val="24"/>
          <w:szCs w:val="24"/>
        </w:rPr>
        <w:t>Annual Review of CyberTherapy and Telemedicine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143–148.</w:t>
      </w:r>
    </w:p>
    <w:p w14:paraId="52DBF0D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 Paglia, F., Ls Cascia, C., Rizzo, R., Sideli, L., Francomano, A., &amp; La Barbera, D. (2013). Cognitive rehabilitation of schizophrenia through NeuroVr training. </w:t>
      </w:r>
      <w:r w:rsidRPr="00896AA2">
        <w:rPr>
          <w:rFonts w:ascii="Times New Roman" w:eastAsia="Times New Roman" w:hAnsi="Times New Roman" w:cs="Times New Roman"/>
          <w:i/>
          <w:iCs/>
          <w:sz w:val="24"/>
          <w:szCs w:val="24"/>
        </w:rPr>
        <w:t>Annual Review of CyberTherapy and Telemedicine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158–162.</w:t>
      </w:r>
    </w:p>
    <w:p w14:paraId="5AB45B2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Lacerda, A. L. T., Dalgalarrondo, P., Caetano, D., Haas, G. L., Camargo, E. E., &amp; Keshavan, M. S. (2003). Neuropsychological performance and regional cerebral blood flow in obsessive-compulsive disorder.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(4), 657–665. </w:t>
      </w:r>
      <w:hyperlink r:id="rId3162" w:history="1">
        <w:r w:rsidRPr="00896AA2">
          <w:rPr>
            <w:rFonts w:ascii="Times New Roman" w:eastAsia="Times New Roman" w:hAnsi="Times New Roman" w:cs="Times New Roman"/>
            <w:color w:val="0000FF"/>
            <w:sz w:val="24"/>
            <w:szCs w:val="24"/>
            <w:u w:val="single"/>
          </w:rPr>
          <w:t>https://doi.org/10.1016/S0278-5846(03)00076-9</w:t>
        </w:r>
      </w:hyperlink>
    </w:p>
    <w:p w14:paraId="5419AD3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Lacritz, L. H., &amp; Rossetti, H. C. (2016). Differential diagnosis in older adults. In </w:t>
      </w:r>
      <w:r w:rsidRPr="00896AA2">
        <w:rPr>
          <w:rFonts w:ascii="Times New Roman" w:eastAsia="Times New Roman" w:hAnsi="Times New Roman" w:cs="Times New Roman"/>
          <w:i/>
          <w:iCs/>
          <w:sz w:val="24"/>
          <w:szCs w:val="24"/>
        </w:rPr>
        <w:t>Neuropsychological report writing.</w:t>
      </w:r>
      <w:r w:rsidRPr="00896AA2">
        <w:rPr>
          <w:rFonts w:ascii="Times New Roman" w:eastAsia="Times New Roman" w:hAnsi="Times New Roman" w:cs="Times New Roman"/>
          <w:sz w:val="24"/>
          <w:szCs w:val="24"/>
        </w:rPr>
        <w:t xml:space="preserve"> (pp. 92–117). Guilford Press.</w:t>
      </w:r>
    </w:p>
    <w:p w14:paraId="78175D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Lacroix, G. L., &amp; Giguère, G. (2010). Concepts fondamentaux de l’attention, 2E partie: Le contrôle cognitif et la conscience. [Fundamental concepts in attention, part two: Cognitive control and consciousness.]. </w:t>
      </w:r>
      <w:r w:rsidRPr="00896AA2">
        <w:rPr>
          <w:rFonts w:ascii="Times New Roman" w:eastAsia="Times New Roman" w:hAnsi="Times New Roman" w:cs="Times New Roman"/>
          <w:i/>
          <w:iCs/>
          <w:sz w:val="24"/>
          <w:szCs w:val="24"/>
        </w:rPr>
        <w:t>Revue Québécoise de 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(1), 39–66.</w:t>
      </w:r>
    </w:p>
    <w:p w14:paraId="336C5E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Ladowsky-Brooks, R. L. (2010). The truth effect in relation to neuropsychological functioning in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(11), 1343–1349. </w:t>
      </w:r>
      <w:hyperlink r:id="rId3163" w:history="1">
        <w:r w:rsidRPr="00896AA2">
          <w:rPr>
            <w:rFonts w:ascii="Times New Roman" w:eastAsia="Times New Roman" w:hAnsi="Times New Roman" w:cs="Times New Roman"/>
            <w:color w:val="0000FF"/>
            <w:sz w:val="24"/>
            <w:szCs w:val="24"/>
            <w:u w:val="single"/>
          </w:rPr>
          <w:t>https://doi.org/10.3109/02699052.2010.506856</w:t>
        </w:r>
      </w:hyperlink>
    </w:p>
    <w:p w14:paraId="5F6ADB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Ladowsky-Brooks, R. L. (2018). Evaluating semantic metamemory: Retrospective confidence judgements on the information subtest.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(2), 137–148. </w:t>
      </w:r>
      <w:hyperlink r:id="rId3164" w:history="1">
        <w:r w:rsidRPr="00896AA2">
          <w:rPr>
            <w:rFonts w:ascii="Times New Roman" w:eastAsia="Times New Roman" w:hAnsi="Times New Roman" w:cs="Times New Roman"/>
            <w:color w:val="0000FF"/>
            <w:sz w:val="24"/>
            <w:szCs w:val="24"/>
            <w:u w:val="single"/>
          </w:rPr>
          <w:t>https://doi.org/10.1080/23279095.2016.1261868</w:t>
        </w:r>
      </w:hyperlink>
    </w:p>
    <w:p w14:paraId="216775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Lafayette, J. M., Frankle, W. G., Pollock, A., Dyer, K., &amp; Goff, D. C. (2003). Clinical characteristics, cognitive functioning, and criminal histories of outpatients with schizophrenia.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(12), 1635–1640. </w:t>
      </w:r>
      <w:hyperlink r:id="rId3165" w:history="1">
        <w:r w:rsidRPr="00896AA2">
          <w:rPr>
            <w:rFonts w:ascii="Times New Roman" w:eastAsia="Times New Roman" w:hAnsi="Times New Roman" w:cs="Times New Roman"/>
            <w:color w:val="0000FF"/>
            <w:sz w:val="24"/>
            <w:szCs w:val="24"/>
            <w:u w:val="single"/>
          </w:rPr>
          <w:t>https://doi.org/10.1176/appi.ps.54.12.1635</w:t>
        </w:r>
      </w:hyperlink>
    </w:p>
    <w:p w14:paraId="191E86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Laforce Jr., R., Buteau, J. P., Bouchard, J.-P., Rouleau, G. A., Bouchard, R. W., &amp; Dupré, N. (2010). Cognitive impairment in ARCA-1, a newly discovered pure cerebellar ataxia syndrome.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(3), 443–453. </w:t>
      </w:r>
      <w:hyperlink r:id="rId3166" w:history="1">
        <w:r w:rsidRPr="00896AA2">
          <w:rPr>
            <w:rFonts w:ascii="Times New Roman" w:eastAsia="Times New Roman" w:hAnsi="Times New Roman" w:cs="Times New Roman"/>
            <w:color w:val="0000FF"/>
            <w:sz w:val="24"/>
            <w:szCs w:val="24"/>
            <w:u w:val="single"/>
          </w:rPr>
          <w:t>https://doi.org/10.1007/s12311-010-0184-7</w:t>
        </w:r>
      </w:hyperlink>
    </w:p>
    <w:p w14:paraId="4318A8D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Lagarde, J., Valabrègue, R., Corvol, J.-C., Pineau, F., Le Ber, I., Vidailhet, M., Dubois, B., &amp; Levy, R. (2013). Are frontal cognitive and atrophy patterns different in PSP and bvFTD? A comparative neuropsychological and VBM study.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(11). </w:t>
      </w:r>
      <w:hyperlink r:id="rId3167" w:history="1">
        <w:r w:rsidRPr="00896AA2">
          <w:rPr>
            <w:rFonts w:ascii="Times New Roman" w:eastAsia="Times New Roman" w:hAnsi="Times New Roman" w:cs="Times New Roman"/>
            <w:color w:val="0000FF"/>
            <w:sz w:val="24"/>
            <w:szCs w:val="24"/>
            <w:u w:val="single"/>
          </w:rPr>
          <w:t>https://doi.org/10.1371/journal.pone.0080353</w:t>
        </w:r>
      </w:hyperlink>
    </w:p>
    <w:p w14:paraId="241324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Lahera, G., Bayón, C., Bravo-Ortiz, M. F., Rodríguez-Vega, B., Barbeito, S., Sáenz, M., Avedillo, C., Villanueva, R., Ugarte, A., González-Pinto, A., &amp; de Dios, C. (2014). Mindfulness-based cognitive therapy versus psychoeducational intervention in bipolar outpatients with sub-threshold depressive symptoms: A randomized controlled trial. </w:t>
      </w:r>
      <w:r w:rsidRPr="00896AA2">
        <w:rPr>
          <w:rFonts w:ascii="Times New Roman" w:eastAsia="Times New Roman" w:hAnsi="Times New Roman" w:cs="Times New Roman"/>
          <w:i/>
          <w:iCs/>
          <w:sz w:val="24"/>
          <w:szCs w:val="24"/>
        </w:rPr>
        <w:t>BMC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w:t>
      </w:r>
    </w:p>
    <w:p w14:paraId="0D621EF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Lahera, G., Ruiz-Murugarren, S., Iglesias, P., Ruiz-Bennasar, C., Herrería, E., Montes, J. M., &amp; Fernández-Liria, A. (2012). Social cognition and global functioning in bipolar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 xml:space="preserve">(2), 135–141. </w:t>
      </w:r>
      <w:hyperlink r:id="rId3168" w:history="1">
        <w:r w:rsidRPr="00896AA2">
          <w:rPr>
            <w:rFonts w:ascii="Times New Roman" w:eastAsia="Times New Roman" w:hAnsi="Times New Roman" w:cs="Times New Roman"/>
            <w:color w:val="0000FF"/>
            <w:sz w:val="24"/>
            <w:szCs w:val="24"/>
            <w:u w:val="single"/>
          </w:rPr>
          <w:t>https://doi.org/10.1097/NMD.0b013e3182438eae</w:t>
        </w:r>
      </w:hyperlink>
    </w:p>
    <w:p w14:paraId="084AA54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Lai, C.-Y., Yu, S.-L., Hsieh, M. H., Chen, C.-H., Chen, H.-Y., Wen, C.-C., Huang, Y.-H., Hsiao, P.-C., Hsiao, C. K., Liu, C.-M., Yang, P.-C., Hwu, H.-G., &amp; Chen, W. J. (2011). MicroRNA expression aberration as potential peripheral blood biomarkers for schizophrenia.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(6). </w:t>
      </w:r>
      <w:hyperlink r:id="rId3169" w:history="1">
        <w:r w:rsidRPr="00896AA2">
          <w:rPr>
            <w:rFonts w:ascii="Times New Roman" w:eastAsia="Times New Roman" w:hAnsi="Times New Roman" w:cs="Times New Roman"/>
            <w:color w:val="0000FF"/>
            <w:sz w:val="24"/>
            <w:szCs w:val="24"/>
            <w:u w:val="single"/>
          </w:rPr>
          <w:t>https://doi.org/10.1371/journal.pone.0021635</w:t>
        </w:r>
      </w:hyperlink>
    </w:p>
    <w:p w14:paraId="32B43DF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Lajiness-O’Neill, R., Beaulieu, I., Asamoah, A., Titus, J. B., Bawle, E., Ahmad, S., Kirk, J. W., &amp; Pollack, R. (2006). The neuropsychological phenotype of velocardiofacial syndrome (VCFS): Relationship to psychopathology.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175–184. </w:t>
      </w:r>
      <w:hyperlink r:id="rId3170" w:history="1">
        <w:r w:rsidRPr="00896AA2">
          <w:rPr>
            <w:rFonts w:ascii="Times New Roman" w:eastAsia="Times New Roman" w:hAnsi="Times New Roman" w:cs="Times New Roman"/>
            <w:color w:val="0000FF"/>
            <w:sz w:val="24"/>
            <w:szCs w:val="24"/>
            <w:u w:val="single"/>
          </w:rPr>
          <w:t>https://doi.org/10.1016/j.acn.2005.09.001</w:t>
        </w:r>
      </w:hyperlink>
    </w:p>
    <w:p w14:paraId="47B9C8A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Lakerveld, J., Kotchoubey, B., &amp; Kübler, A. (2008). Cognitive function in patients with late stage amyotrophic lateral sclerosis.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79</w:t>
      </w:r>
      <w:r w:rsidRPr="00896AA2">
        <w:rPr>
          <w:rFonts w:ascii="Times New Roman" w:eastAsia="Times New Roman" w:hAnsi="Times New Roman" w:cs="Times New Roman"/>
          <w:sz w:val="24"/>
          <w:szCs w:val="24"/>
        </w:rPr>
        <w:t xml:space="preserve">(1), 25–29. </w:t>
      </w:r>
      <w:hyperlink r:id="rId3171" w:history="1">
        <w:r w:rsidRPr="00896AA2">
          <w:rPr>
            <w:rFonts w:ascii="Times New Roman" w:eastAsia="Times New Roman" w:hAnsi="Times New Roman" w:cs="Times New Roman"/>
            <w:color w:val="0000FF"/>
            <w:sz w:val="24"/>
            <w:szCs w:val="24"/>
            <w:u w:val="single"/>
          </w:rPr>
          <w:t>https://doi.org/10.1136/jnnp.2007.116178</w:t>
        </w:r>
      </w:hyperlink>
    </w:p>
    <w:p w14:paraId="3D548B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Lalova, M., Baylé, F., Grillon, M.-L., Houet, L., Moreau, E., Rouam, F., Cacot, P., &amp; Piolino, P. (2013). Mechanisms of insight in schizophrenia and impact of cognitive remediation therapy.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(4), 369–380. </w:t>
      </w:r>
      <w:hyperlink r:id="rId3172" w:history="1">
        <w:r w:rsidRPr="00896AA2">
          <w:rPr>
            <w:rFonts w:ascii="Times New Roman" w:eastAsia="Times New Roman" w:hAnsi="Times New Roman" w:cs="Times New Roman"/>
            <w:color w:val="0000FF"/>
            <w:sz w:val="24"/>
            <w:szCs w:val="24"/>
            <w:u w:val="single"/>
          </w:rPr>
          <w:t>https://doi.org/10.1016/j.comppsych.2012.10.005</w:t>
        </w:r>
      </w:hyperlink>
    </w:p>
    <w:p w14:paraId="6F79D5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B., Middleton, L. E., Masellis, M., Stuss, D. T., Harry, R. D., Kiss, A., &amp; Black, S. E. (2013). Criterion and convergent validity of the Montreal Cognitive Assessment with screening and standardized neuropsychological testing. </w:t>
      </w:r>
      <w:r w:rsidRPr="00896AA2">
        <w:rPr>
          <w:rFonts w:ascii="Times New Roman" w:eastAsia="Times New Roman" w:hAnsi="Times New Roman" w:cs="Times New Roman"/>
          <w:i/>
          <w:iCs/>
          <w:sz w:val="24"/>
          <w:szCs w:val="24"/>
        </w:rPr>
        <w:t>Journal of the American Geriatrics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(12), 2181–2185. </w:t>
      </w:r>
      <w:hyperlink r:id="rId3173" w:history="1">
        <w:r w:rsidRPr="00896AA2">
          <w:rPr>
            <w:rFonts w:ascii="Times New Roman" w:eastAsia="Times New Roman" w:hAnsi="Times New Roman" w:cs="Times New Roman"/>
            <w:color w:val="0000FF"/>
            <w:sz w:val="24"/>
            <w:szCs w:val="24"/>
            <w:u w:val="single"/>
          </w:rPr>
          <w:t>https://doi.org/10.1111/jgs.12541</w:t>
        </w:r>
      </w:hyperlink>
    </w:p>
    <w:p w14:paraId="300CA4F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J., Lee, J., Williams, M., Cohn, M., Wilson, M., Mark, C., Esnaashari, N., Petkus, A., Hui, J., Feigenbaum, D., Liker, M., Liu, C. Y., Lee, B., &amp; Lee, D. J. (2021). Cognitive effects of theta frequency bilateral subthalamic nucleus stimulation in Parkinson’s disease: A pilot study. </w:t>
      </w:r>
      <w:r w:rsidRPr="00896AA2">
        <w:rPr>
          <w:rFonts w:ascii="Times New Roman" w:eastAsia="Times New Roman" w:hAnsi="Times New Roman" w:cs="Times New Roman"/>
          <w:i/>
          <w:iCs/>
          <w:sz w:val="24"/>
          <w:szCs w:val="24"/>
        </w:rPr>
        <w:t>Brain Stimulation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(2), 230–240. </w:t>
      </w:r>
      <w:hyperlink r:id="rId3174" w:history="1">
        <w:r w:rsidRPr="00896AA2">
          <w:rPr>
            <w:rFonts w:ascii="Times New Roman" w:eastAsia="Times New Roman" w:hAnsi="Times New Roman" w:cs="Times New Roman"/>
            <w:color w:val="0000FF"/>
            <w:sz w:val="24"/>
            <w:szCs w:val="24"/>
            <w:u w:val="single"/>
          </w:rPr>
          <w:t>https://doi.org/10.1016/j.brs.2020.12.014</w:t>
        </w:r>
      </w:hyperlink>
    </w:p>
    <w:p w14:paraId="702183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J. W. S., Lui, S. S. Y., Wang, Y., Chan, R. C. K., &amp; Cheung, E. F. C. (2013). Prospective memory predicts medication management ability and correlates with non-adherence to medications in individuals with clinically stable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(2–3), 293–300. </w:t>
      </w:r>
      <w:hyperlink r:id="rId3175" w:history="1">
        <w:r w:rsidRPr="00896AA2">
          <w:rPr>
            <w:rFonts w:ascii="Times New Roman" w:eastAsia="Times New Roman" w:hAnsi="Times New Roman" w:cs="Times New Roman"/>
            <w:color w:val="0000FF"/>
            <w:sz w:val="24"/>
            <w:szCs w:val="24"/>
            <w:u w:val="single"/>
          </w:rPr>
          <w:t>https://doi.org/10.1016/j.schres.2013.04.010</w:t>
        </w:r>
      </w:hyperlink>
    </w:p>
    <w:p w14:paraId="50B521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M., Collinson, S. L., Eng, G. K., Rapisarda, A., Kraus, M., Lee, J., Chong, S. A., &amp; Keefe, R. S. E. (2014). Refining the latent structure of neuropsychological performance in schizophrenia.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(16), 3557–3570. </w:t>
      </w:r>
      <w:hyperlink r:id="rId3176" w:history="1">
        <w:r w:rsidRPr="00896AA2">
          <w:rPr>
            <w:rFonts w:ascii="Times New Roman" w:eastAsia="Times New Roman" w:hAnsi="Times New Roman" w:cs="Times New Roman"/>
            <w:color w:val="0000FF"/>
            <w:sz w:val="24"/>
            <w:szCs w:val="24"/>
            <w:u w:val="single"/>
          </w:rPr>
          <w:t>https://doi.org/10.1017/S0033291714001020</w:t>
        </w:r>
      </w:hyperlink>
    </w:p>
    <w:p w14:paraId="4FC720D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Y. G. (2013). Re-examining the cognitive phenotype in autism: A study with young Chinese children. </w:t>
      </w:r>
      <w:r w:rsidRPr="00896AA2">
        <w:rPr>
          <w:rFonts w:ascii="Times New Roman" w:eastAsia="Times New Roman" w:hAnsi="Times New Roman" w:cs="Times New Roman"/>
          <w:i/>
          <w:iCs/>
          <w:sz w:val="24"/>
          <w:szCs w:val="24"/>
        </w:rPr>
        <w:t>Research in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(12), 4591–4598. </w:t>
      </w:r>
      <w:hyperlink r:id="rId3177" w:history="1">
        <w:r w:rsidRPr="00896AA2">
          <w:rPr>
            <w:rFonts w:ascii="Times New Roman" w:eastAsia="Times New Roman" w:hAnsi="Times New Roman" w:cs="Times New Roman"/>
            <w:color w:val="0000FF"/>
            <w:sz w:val="24"/>
            <w:szCs w:val="24"/>
            <w:u w:val="single"/>
          </w:rPr>
          <w:t>https://doi.org/10.1016/j.ridd.2013.09.039</w:t>
        </w:r>
      </w:hyperlink>
    </w:p>
    <w:p w14:paraId="2544330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 Y. G., &amp; Yeung, S. S. (2012). Cognitive deficits and symbolic play in preschoolers with autism.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(1), 560–564. </w:t>
      </w:r>
      <w:hyperlink r:id="rId3178" w:history="1">
        <w:r w:rsidRPr="00896AA2">
          <w:rPr>
            <w:rFonts w:ascii="Times New Roman" w:eastAsia="Times New Roman" w:hAnsi="Times New Roman" w:cs="Times New Roman"/>
            <w:color w:val="0000FF"/>
            <w:sz w:val="24"/>
            <w:szCs w:val="24"/>
            <w:u w:val="single"/>
          </w:rPr>
          <w:t>https://doi.org/10.1016/j.rasd.2011.07.017</w:t>
        </w:r>
      </w:hyperlink>
    </w:p>
    <w:p w14:paraId="446723C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Lamar, M., Charlton, R. A., Morris, R. G., &amp; Markus, H. S. (2010). The impact of subcortical white matter disease on mood in euthymic older adults: A diffusion tensor imaging study.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(7), 634–641. </w:t>
      </w:r>
      <w:hyperlink r:id="rId3179" w:history="1">
        <w:r w:rsidRPr="00896AA2">
          <w:rPr>
            <w:rFonts w:ascii="Times New Roman" w:eastAsia="Times New Roman" w:hAnsi="Times New Roman" w:cs="Times New Roman"/>
            <w:color w:val="0000FF"/>
            <w:sz w:val="24"/>
            <w:szCs w:val="24"/>
            <w:u w:val="single"/>
          </w:rPr>
          <w:t>https://doi.org/10.1097/JGP.0b013e3181cabad1</w:t>
        </w:r>
      </w:hyperlink>
    </w:p>
    <w:p w14:paraId="43D39F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Lamberty, G. J. (2012). Neuropsychological evaluation and treatment: The clinician’s perspective. In </w:t>
      </w:r>
      <w:r w:rsidRPr="00896AA2">
        <w:rPr>
          <w:rFonts w:ascii="Times New Roman" w:eastAsia="Times New Roman" w:hAnsi="Times New Roman" w:cs="Times New Roman"/>
          <w:i/>
          <w:iCs/>
          <w:sz w:val="24"/>
          <w:szCs w:val="24"/>
        </w:rPr>
        <w:t>Neuropsychological assessment of work-related injuries.</w:t>
      </w:r>
      <w:r w:rsidRPr="00896AA2">
        <w:rPr>
          <w:rFonts w:ascii="Times New Roman" w:eastAsia="Times New Roman" w:hAnsi="Times New Roman" w:cs="Times New Roman"/>
          <w:sz w:val="24"/>
          <w:szCs w:val="24"/>
        </w:rPr>
        <w:t xml:space="preserve"> (pp. 265–279). Guilford Press.</w:t>
      </w:r>
    </w:p>
    <w:p w14:paraId="289A92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Lambos, W. A., &amp; Williams, R. A. (2015). Treating executive functioning disorders using LORETA Z-scored EEG biofeedback. In </w:t>
      </w:r>
      <w:r w:rsidRPr="00896AA2">
        <w:rPr>
          <w:rFonts w:ascii="Times New Roman" w:eastAsia="Times New Roman" w:hAnsi="Times New Roman" w:cs="Times New Roman"/>
          <w:i/>
          <w:iCs/>
          <w:sz w:val="24"/>
          <w:szCs w:val="24"/>
        </w:rPr>
        <w:t>Z score neurofeedback: Clinical applications.</w:t>
      </w:r>
      <w:r w:rsidRPr="00896AA2">
        <w:rPr>
          <w:rFonts w:ascii="Times New Roman" w:eastAsia="Times New Roman" w:hAnsi="Times New Roman" w:cs="Times New Roman"/>
          <w:sz w:val="24"/>
          <w:szCs w:val="24"/>
        </w:rPr>
        <w:t xml:space="preserve"> (pp. 141–157). Elsevier Academic Press. </w:t>
      </w:r>
      <w:hyperlink r:id="rId3180" w:history="1">
        <w:r w:rsidRPr="00896AA2">
          <w:rPr>
            <w:rFonts w:ascii="Times New Roman" w:eastAsia="Times New Roman" w:hAnsi="Times New Roman" w:cs="Times New Roman"/>
            <w:color w:val="0000FF"/>
            <w:sz w:val="24"/>
            <w:szCs w:val="24"/>
            <w:u w:val="single"/>
          </w:rPr>
          <w:t>https://doi.org/10.1016/B978-0-12-801291-8.00007-8</w:t>
        </w:r>
      </w:hyperlink>
    </w:p>
    <w:p w14:paraId="4CFA7C0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Lamers, C. T. J., Bechara, A., Rizzo, M., &amp; Ramaekers, J. G. (2006). Cognitive function and mood in MDMA/THC users, THC users and non-drug using controls. </w:t>
      </w:r>
      <w:r w:rsidRPr="00896AA2">
        <w:rPr>
          <w:rFonts w:ascii="Times New Roman" w:eastAsia="Times New Roman" w:hAnsi="Times New Roman" w:cs="Times New Roman"/>
          <w:i/>
          <w:iCs/>
          <w:sz w:val="24"/>
          <w:szCs w:val="24"/>
        </w:rPr>
        <w:t>Journal of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(2), 302–311. </w:t>
      </w:r>
      <w:hyperlink r:id="rId3181" w:history="1">
        <w:r w:rsidRPr="00896AA2">
          <w:rPr>
            <w:rFonts w:ascii="Times New Roman" w:eastAsia="Times New Roman" w:hAnsi="Times New Roman" w:cs="Times New Roman"/>
            <w:color w:val="0000FF"/>
            <w:sz w:val="24"/>
            <w:szCs w:val="24"/>
            <w:u w:val="single"/>
          </w:rPr>
          <w:t>https://doi.org/10.1177/0269881106059495</w:t>
        </w:r>
      </w:hyperlink>
    </w:p>
    <w:p w14:paraId="4075B9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 Y.-T., Liu, X.-P., &amp; Fang, H.-S. (2020). Randomized control study of the effects of executive function training on peer difficulties of children with attention-deficit/hyperactivity disorder C subtype. </w:t>
      </w:r>
      <w:r w:rsidRPr="00896AA2">
        <w:rPr>
          <w:rFonts w:ascii="Times New Roman" w:eastAsia="Times New Roman" w:hAnsi="Times New Roman" w:cs="Times New Roman"/>
          <w:i/>
          <w:iCs/>
          <w:sz w:val="24"/>
          <w:szCs w:val="24"/>
        </w:rPr>
        <w:t>Applied Neuropsychology: Child</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 41–55. </w:t>
      </w:r>
      <w:hyperlink r:id="rId3182" w:history="1">
        <w:r w:rsidRPr="00896AA2">
          <w:rPr>
            <w:rFonts w:ascii="Times New Roman" w:eastAsia="Times New Roman" w:hAnsi="Times New Roman" w:cs="Times New Roman"/>
            <w:color w:val="0000FF"/>
            <w:sz w:val="24"/>
            <w:szCs w:val="24"/>
            <w:u w:val="single"/>
          </w:rPr>
          <w:t>https://doi.org/10.1080/21622965.2018.1509003</w:t>
        </w:r>
      </w:hyperlink>
    </w:p>
    <w:p w14:paraId="7F67530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Landrø, N. I., Ørbeck, A. L., &amp; Rund, B. R. (1993). Memory functioning in chronic and non-chronic schizophrenics, affectively disturbed patients and normal controls.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85–92. </w:t>
      </w:r>
      <w:hyperlink r:id="rId3183" w:history="1">
        <w:r w:rsidRPr="00896AA2">
          <w:rPr>
            <w:rFonts w:ascii="Times New Roman" w:eastAsia="Times New Roman" w:hAnsi="Times New Roman" w:cs="Times New Roman"/>
            <w:color w:val="0000FF"/>
            <w:sz w:val="24"/>
            <w:szCs w:val="24"/>
            <w:u w:val="single"/>
          </w:rPr>
          <w:t>https://doi.org/10.1016/0920-9964(93)90080-3</w:t>
        </w:r>
      </w:hyperlink>
    </w:p>
    <w:p w14:paraId="39E84E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Landrø, N. I., Pape-Ellefsen, E., Hagland, K. O., &amp; Odland, T. (2001). Memory deficits in young schizophrenics with normal general intellectual function. </w:t>
      </w:r>
      <w:r w:rsidRPr="00896AA2">
        <w:rPr>
          <w:rFonts w:ascii="Times New Roman" w:eastAsia="Times New Roman" w:hAnsi="Times New Roman" w:cs="Times New Roman"/>
          <w:i/>
          <w:iCs/>
          <w:sz w:val="24"/>
          <w:szCs w:val="24"/>
        </w:rPr>
        <w:t>Scandinavian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(5), 459–466. </w:t>
      </w:r>
      <w:hyperlink r:id="rId3184" w:history="1">
        <w:r w:rsidRPr="00896AA2">
          <w:rPr>
            <w:rFonts w:ascii="Times New Roman" w:eastAsia="Times New Roman" w:hAnsi="Times New Roman" w:cs="Times New Roman"/>
            <w:color w:val="0000FF"/>
            <w:sz w:val="24"/>
            <w:szCs w:val="24"/>
            <w:u w:val="single"/>
          </w:rPr>
          <w:t>https://doi.org/10.1111/1467-9450.00259</w:t>
        </w:r>
      </w:hyperlink>
    </w:p>
    <w:p w14:paraId="2022835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Landwher, D. N., &amp; Llorente, A. M. (2012). Forensic issues in neuropsychological assessment: Culture and language. In </w:t>
      </w:r>
      <w:r w:rsidRPr="00896AA2">
        <w:rPr>
          <w:rFonts w:ascii="Times New Roman" w:eastAsia="Times New Roman" w:hAnsi="Times New Roman" w:cs="Times New Roman"/>
          <w:i/>
          <w:iCs/>
          <w:sz w:val="24"/>
          <w:szCs w:val="24"/>
        </w:rPr>
        <w:t>Pediatric forensic neuropsychology.</w:t>
      </w:r>
      <w:r w:rsidRPr="00896AA2">
        <w:rPr>
          <w:rFonts w:ascii="Times New Roman" w:eastAsia="Times New Roman" w:hAnsi="Times New Roman" w:cs="Times New Roman"/>
          <w:sz w:val="24"/>
          <w:szCs w:val="24"/>
        </w:rPr>
        <w:t xml:space="preserve"> (pp. 162–181). Oxford University Press.</w:t>
      </w:r>
    </w:p>
    <w:p w14:paraId="6715FE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Lane, H.-Y., Chang, Y.-C., Liu, Y.-C., Chiu, C.-C., &amp; Tsai, G. E. (2005). Sarcosine or D-Serine Add-on Treatment for Acute Exacerbation of Schizophrenia: A Randomized, Double-blind, Placebo-Controlled Study. </w:t>
      </w:r>
      <w:r w:rsidRPr="00896AA2">
        <w:rPr>
          <w:rFonts w:ascii="Times New Roman" w:eastAsia="Times New Roman" w:hAnsi="Times New Roman" w:cs="Times New Roman"/>
          <w:i/>
          <w:iCs/>
          <w:sz w:val="24"/>
          <w:szCs w:val="24"/>
        </w:rPr>
        <w:t>Archives of General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 xml:space="preserve">(11), 1196–1204. </w:t>
      </w:r>
      <w:hyperlink r:id="rId3185" w:history="1">
        <w:r w:rsidRPr="00896AA2">
          <w:rPr>
            <w:rFonts w:ascii="Times New Roman" w:eastAsia="Times New Roman" w:hAnsi="Times New Roman" w:cs="Times New Roman"/>
            <w:color w:val="0000FF"/>
            <w:sz w:val="24"/>
            <w:szCs w:val="24"/>
            <w:u w:val="single"/>
          </w:rPr>
          <w:t>https://doi.org/10.1001/archpsyc.62.11.1196</w:t>
        </w:r>
      </w:hyperlink>
    </w:p>
    <w:p w14:paraId="51DE74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Lane, K. A., Stewart, J., Fernandes, T., Russo, N., Enns, JamesT., &amp; Burack, J. A. (2014). Complexities in understanding attentional functioning among children with fetal alcohol spectrum disorder.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 </w:t>
      </w:r>
      <w:hyperlink r:id="rId3186" w:history="1">
        <w:r w:rsidRPr="00896AA2">
          <w:rPr>
            <w:rFonts w:ascii="Times New Roman" w:eastAsia="Times New Roman" w:hAnsi="Times New Roman" w:cs="Times New Roman"/>
            <w:color w:val="0000FF"/>
            <w:sz w:val="24"/>
            <w:szCs w:val="24"/>
            <w:u w:val="single"/>
          </w:rPr>
          <w:t>https://doi.org/10.3389/fnhum.2014.00119</w:t>
        </w:r>
      </w:hyperlink>
    </w:p>
    <w:p w14:paraId="5E2ABF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Lane, S. D., Cherek, D. R., Tcheremissine, O. V., Steinberg, J. L., &amp; Sharon, J. L. (2007). Response perseveration and adaptation in heavy marijuana-smoking adolescents.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(5), 977–990. </w:t>
      </w:r>
      <w:hyperlink r:id="rId3187" w:history="1">
        <w:r w:rsidRPr="00896AA2">
          <w:rPr>
            <w:rFonts w:ascii="Times New Roman" w:eastAsia="Times New Roman" w:hAnsi="Times New Roman" w:cs="Times New Roman"/>
            <w:color w:val="0000FF"/>
            <w:sz w:val="24"/>
            <w:szCs w:val="24"/>
            <w:u w:val="single"/>
          </w:rPr>
          <w:t>https://doi.org/10.1016/j.addbeh.2006.07.007</w:t>
        </w:r>
      </w:hyperlink>
    </w:p>
    <w:p w14:paraId="28F5461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 K., Stahl, D., Espie, J., Treasure, J., &amp; Tchanturia, K. (2014). Set shifting in children and adolescents with anorexia nervosa: An exploratory systematic review and meta‐analysis. </w:t>
      </w:r>
      <w:r w:rsidRPr="00896AA2">
        <w:rPr>
          <w:rFonts w:ascii="Times New Roman" w:eastAsia="Times New Roman" w:hAnsi="Times New Roman" w:cs="Times New Roman"/>
          <w:i/>
          <w:iCs/>
          <w:sz w:val="24"/>
          <w:szCs w:val="24"/>
        </w:rPr>
        <w:t>International Journal of Eating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(4), 394–399. </w:t>
      </w:r>
      <w:hyperlink r:id="rId3188" w:history="1">
        <w:r w:rsidRPr="00896AA2">
          <w:rPr>
            <w:rFonts w:ascii="Times New Roman" w:eastAsia="Times New Roman" w:hAnsi="Times New Roman" w:cs="Times New Roman"/>
            <w:color w:val="0000FF"/>
            <w:sz w:val="24"/>
            <w:szCs w:val="24"/>
            <w:u w:val="single"/>
          </w:rPr>
          <w:t>https://doi.org/10.1002/eat.22235</w:t>
        </w:r>
      </w:hyperlink>
    </w:p>
    <w:p w14:paraId="648FB0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 K., Treasure, J., &amp; Tchanturia, K. (2015). Acceptability and feasibility of self-help Cognitive Remediation Therapy For Anorexia Nervosa delivered in collaboration with carers: A qualitative preliminary evaluation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225</w:t>
      </w:r>
      <w:r w:rsidRPr="00896AA2">
        <w:rPr>
          <w:rFonts w:ascii="Times New Roman" w:eastAsia="Times New Roman" w:hAnsi="Times New Roman" w:cs="Times New Roman"/>
          <w:sz w:val="24"/>
          <w:szCs w:val="24"/>
        </w:rPr>
        <w:t xml:space="preserve">(3), 387–394. </w:t>
      </w:r>
      <w:hyperlink r:id="rId3189" w:history="1">
        <w:r w:rsidRPr="00896AA2">
          <w:rPr>
            <w:rFonts w:ascii="Times New Roman" w:eastAsia="Times New Roman" w:hAnsi="Times New Roman" w:cs="Times New Roman"/>
            <w:color w:val="0000FF"/>
            <w:sz w:val="24"/>
            <w:szCs w:val="24"/>
            <w:u w:val="single"/>
          </w:rPr>
          <w:t>https://doi.org/10.1016/j.psychres.2014.12.008</w:t>
        </w:r>
      </w:hyperlink>
    </w:p>
    <w:p w14:paraId="777DD83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 K., Treasure, J., &amp; Tchanturia, K. (2016). Is inefficient cognitive processing in anorexia nervosa a familial trait? A neuropsychological pilot study of mothers of offspring with a diagnosis of anorexia nervosa. </w:t>
      </w:r>
      <w:r w:rsidRPr="00896AA2">
        <w:rPr>
          <w:rFonts w:ascii="Times New Roman" w:eastAsia="Times New Roman" w:hAnsi="Times New Roman" w:cs="Times New Roman"/>
          <w:i/>
          <w:iCs/>
          <w:sz w:val="24"/>
          <w:szCs w:val="24"/>
        </w:rPr>
        <w:t>The World Journal of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258–265. </w:t>
      </w:r>
      <w:hyperlink r:id="rId3190" w:history="1">
        <w:r w:rsidRPr="00896AA2">
          <w:rPr>
            <w:rFonts w:ascii="Times New Roman" w:eastAsia="Times New Roman" w:hAnsi="Times New Roman" w:cs="Times New Roman"/>
            <w:color w:val="0000FF"/>
            <w:sz w:val="24"/>
            <w:szCs w:val="24"/>
            <w:u w:val="single"/>
          </w:rPr>
          <w:t>https://doi.org/10.3109/15622975.2015.1112035</w:t>
        </w:r>
      </w:hyperlink>
    </w:p>
    <w:p w14:paraId="31DCEE4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Langdon, R., Finkbeiner, M., Connors, M. H., &amp; Connaughton, E. (2013). Masked and unmasked priming in schizophrenia. </w:t>
      </w:r>
      <w:r w:rsidRPr="00896AA2">
        <w:rPr>
          <w:rFonts w:ascii="Times New Roman" w:eastAsia="Times New Roman" w:hAnsi="Times New Roman" w:cs="Times New Roman"/>
          <w:i/>
          <w:iCs/>
          <w:sz w:val="24"/>
          <w:szCs w:val="24"/>
        </w:rPr>
        <w:t>Consciousness and Cognition: An International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1206–1213. </w:t>
      </w:r>
      <w:hyperlink r:id="rId3191" w:history="1">
        <w:r w:rsidRPr="00896AA2">
          <w:rPr>
            <w:rFonts w:ascii="Times New Roman" w:eastAsia="Times New Roman" w:hAnsi="Times New Roman" w:cs="Times New Roman"/>
            <w:color w:val="0000FF"/>
            <w:sz w:val="24"/>
            <w:szCs w:val="24"/>
            <w:u w:val="single"/>
          </w:rPr>
          <w:t>https://doi.org/10.1016/j.concog.2013.07.009</w:t>
        </w:r>
      </w:hyperlink>
    </w:p>
    <w:p w14:paraId="03AEF9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Langdon, R., Still, M., Connors, M. H., Ward, P. B., &amp; Catts, S. V. (2014). Jumping to delusions in early psychosis.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(3), 241–256. </w:t>
      </w:r>
      <w:hyperlink r:id="rId3192" w:history="1">
        <w:r w:rsidRPr="00896AA2">
          <w:rPr>
            <w:rFonts w:ascii="Times New Roman" w:eastAsia="Times New Roman" w:hAnsi="Times New Roman" w:cs="Times New Roman"/>
            <w:color w:val="0000FF"/>
            <w:sz w:val="24"/>
            <w:szCs w:val="24"/>
            <w:u w:val="single"/>
          </w:rPr>
          <w:t>https://doi.org/10.1080/13546805.2013.854198</w:t>
        </w:r>
      </w:hyperlink>
    </w:p>
    <w:p w14:paraId="6AB51A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&amp; Dewitte, S. (2019). Cognitive flexibility and pro‐environmental behaviour: A multimethod approach. </w:t>
      </w:r>
      <w:r w:rsidRPr="00896AA2">
        <w:rPr>
          <w:rFonts w:ascii="Times New Roman" w:eastAsia="Times New Roman" w:hAnsi="Times New Roman" w:cs="Times New Roman"/>
          <w:i/>
          <w:iCs/>
          <w:sz w:val="24"/>
          <w:szCs w:val="24"/>
        </w:rPr>
        <w:t>European Journal of Personality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(4), 488–505. </w:t>
      </w:r>
      <w:hyperlink r:id="rId3193" w:history="1">
        <w:r w:rsidRPr="00896AA2">
          <w:rPr>
            <w:rFonts w:ascii="Times New Roman" w:eastAsia="Times New Roman" w:hAnsi="Times New Roman" w:cs="Times New Roman"/>
            <w:color w:val="0000FF"/>
            <w:sz w:val="24"/>
            <w:szCs w:val="24"/>
            <w:u w:val="single"/>
          </w:rPr>
          <w:t>https://doi.org/10.1002/per.2204</w:t>
        </w:r>
      </w:hyperlink>
    </w:p>
    <w:p w14:paraId="40D52A6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Kip, A., Klein, T., Müller, D., Seer, C., &amp; Kopp, B. (2018). Effects of rule uncertainty on cognitive flexibility in a card-sorting paradigm. </w:t>
      </w:r>
      <w:r w:rsidRPr="00896AA2">
        <w:rPr>
          <w:rFonts w:ascii="Times New Roman" w:eastAsia="Times New Roman" w:hAnsi="Times New Roman" w:cs="Times New Roman"/>
          <w:i/>
          <w:iCs/>
          <w:sz w:val="24"/>
          <w:szCs w:val="24"/>
        </w:rPr>
        <w:t>Acta Psychologica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190</w:t>
      </w:r>
      <w:r w:rsidRPr="00896AA2">
        <w:rPr>
          <w:rFonts w:ascii="Times New Roman" w:eastAsia="Times New Roman" w:hAnsi="Times New Roman" w:cs="Times New Roman"/>
          <w:sz w:val="24"/>
          <w:szCs w:val="24"/>
        </w:rPr>
        <w:t xml:space="preserve">, 53–64. </w:t>
      </w:r>
      <w:hyperlink r:id="rId3194" w:history="1">
        <w:r w:rsidRPr="00896AA2">
          <w:rPr>
            <w:rFonts w:ascii="Times New Roman" w:eastAsia="Times New Roman" w:hAnsi="Times New Roman" w:cs="Times New Roman"/>
            <w:color w:val="0000FF"/>
            <w:sz w:val="24"/>
            <w:szCs w:val="24"/>
            <w:u w:val="single"/>
          </w:rPr>
          <w:t>https://doi.org/10.1016/j.actpsy.2018.07.002</w:t>
        </w:r>
      </w:hyperlink>
    </w:p>
    <w:p w14:paraId="4CC813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Kröger, B., Steinke, A., Seer, C., Dengler, R., &amp; Kopp, B. (2016). Decomposing card-sorting performance: Effects of working memory load and age-related changes.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(5), 579–590. </w:t>
      </w:r>
      <w:hyperlink r:id="rId3195" w:history="1">
        <w:r w:rsidRPr="00896AA2">
          <w:rPr>
            <w:rFonts w:ascii="Times New Roman" w:eastAsia="Times New Roman" w:hAnsi="Times New Roman" w:cs="Times New Roman"/>
            <w:color w:val="0000FF"/>
            <w:sz w:val="24"/>
            <w:szCs w:val="24"/>
            <w:u w:val="single"/>
          </w:rPr>
          <w:t>https://doi.org/10.1037/neu0000271</w:t>
        </w:r>
      </w:hyperlink>
    </w:p>
    <w:p w14:paraId="329EE37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Finke, M., Dengler, R., &amp; Kopp, B. (2015). Dual routes to cortical orienting responses: Novelty detection and uncertainty reduction. </w:t>
      </w:r>
      <w:r w:rsidRPr="00896AA2">
        <w:rPr>
          <w:rFonts w:ascii="Times New Roman" w:eastAsia="Times New Roman" w:hAnsi="Times New Roman" w:cs="Times New Roman"/>
          <w:i/>
          <w:iCs/>
          <w:sz w:val="24"/>
          <w:szCs w:val="24"/>
        </w:rPr>
        <w:t>Biological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 66–71. </w:t>
      </w:r>
      <w:hyperlink r:id="rId3196" w:history="1">
        <w:r w:rsidRPr="00896AA2">
          <w:rPr>
            <w:rFonts w:ascii="Times New Roman" w:eastAsia="Times New Roman" w:hAnsi="Times New Roman" w:cs="Times New Roman"/>
            <w:color w:val="0000FF"/>
            <w:sz w:val="24"/>
            <w:szCs w:val="24"/>
            <w:u w:val="single"/>
          </w:rPr>
          <w:t>https://doi.org/10.1016/j.biopsycho.2015.01.001</w:t>
        </w:r>
      </w:hyperlink>
    </w:p>
    <w:p w14:paraId="148836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&amp; Kopp, B. (2017). Cognitive flexibility in neurological disorders: Cognitive components and event-related potentials. </w:t>
      </w:r>
      <w:r w:rsidRPr="00896AA2">
        <w:rPr>
          <w:rFonts w:ascii="Times New Roman" w:eastAsia="Times New Roman" w:hAnsi="Times New Roman" w:cs="Times New Roman"/>
          <w:i/>
          <w:iCs/>
          <w:sz w:val="24"/>
          <w:szCs w:val="24"/>
        </w:rPr>
        <w:t>Neuroscience and Biobehavioral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83</w:t>
      </w:r>
      <w:r w:rsidRPr="00896AA2">
        <w:rPr>
          <w:rFonts w:ascii="Times New Roman" w:eastAsia="Times New Roman" w:hAnsi="Times New Roman" w:cs="Times New Roman"/>
          <w:sz w:val="24"/>
          <w:szCs w:val="24"/>
        </w:rPr>
        <w:t xml:space="preserve">, 496–507. </w:t>
      </w:r>
      <w:hyperlink r:id="rId3197" w:history="1">
        <w:r w:rsidRPr="00896AA2">
          <w:rPr>
            <w:rFonts w:ascii="Times New Roman" w:eastAsia="Times New Roman" w:hAnsi="Times New Roman" w:cs="Times New Roman"/>
            <w:color w:val="0000FF"/>
            <w:sz w:val="24"/>
            <w:szCs w:val="24"/>
            <w:u w:val="single"/>
          </w:rPr>
          <w:t>https://doi.org/10.1016/j.neubiorev.2017.09.011</w:t>
        </w:r>
      </w:hyperlink>
    </w:p>
    <w:p w14:paraId="48A08FA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Loens, S., Wegner, F., Schrader, C., Dressler, D., Dengler, R., &amp; Kopp, B. (2016). Neural mechanisms underlying cognitive inflexibility in Parkinson’s disease.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93</w:t>
      </w:r>
      <w:r w:rsidRPr="00896AA2">
        <w:rPr>
          <w:rFonts w:ascii="Times New Roman" w:eastAsia="Times New Roman" w:hAnsi="Times New Roman" w:cs="Times New Roman"/>
          <w:sz w:val="24"/>
          <w:szCs w:val="24"/>
        </w:rPr>
        <w:t xml:space="preserve">(Part A), 142–150. </w:t>
      </w:r>
      <w:hyperlink r:id="rId3198" w:history="1">
        <w:r w:rsidRPr="00896AA2">
          <w:rPr>
            <w:rFonts w:ascii="Times New Roman" w:eastAsia="Times New Roman" w:hAnsi="Times New Roman" w:cs="Times New Roman"/>
            <w:color w:val="0000FF"/>
            <w:sz w:val="24"/>
            <w:szCs w:val="24"/>
            <w:u w:val="single"/>
          </w:rPr>
          <w:t>https://doi.org/10.1016/j.neuropsychologia.2016.09.021</w:t>
        </w:r>
      </w:hyperlink>
    </w:p>
    <w:p w14:paraId="52B456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Seer, C., Müller-Vahl, K., &amp; Kopp, B. (2017). Cognitive flexibility and its electrophysiological correlates in Gilles de la Tourette syndrome. </w:t>
      </w:r>
      <w:r w:rsidRPr="00896AA2">
        <w:rPr>
          <w:rFonts w:ascii="Times New Roman" w:eastAsia="Times New Roman" w:hAnsi="Times New Roman" w:cs="Times New Roman"/>
          <w:i/>
          <w:iCs/>
          <w:sz w:val="24"/>
          <w:szCs w:val="24"/>
        </w:rPr>
        <w:t>Developmental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 78–90. </w:t>
      </w:r>
      <w:hyperlink r:id="rId3199" w:history="1">
        <w:r w:rsidRPr="00896AA2">
          <w:rPr>
            <w:rFonts w:ascii="Times New Roman" w:eastAsia="Times New Roman" w:hAnsi="Times New Roman" w:cs="Times New Roman"/>
            <w:color w:val="0000FF"/>
            <w:sz w:val="24"/>
            <w:szCs w:val="24"/>
            <w:u w:val="single"/>
          </w:rPr>
          <w:t>https://doi.org/10.1016/j.dcn.2017.08.008</w:t>
        </w:r>
      </w:hyperlink>
    </w:p>
    <w:p w14:paraId="6B6971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F., Vogts, M.-B., Seer, C., Fürkötter, S., Abdulla, S., Dengler, R., Kopp, B., &amp; Petri, S. (2016). Impaired set-shifting in amyotrophic lateral sclerosis: An event-related potential study of executive function.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120–134. </w:t>
      </w:r>
      <w:hyperlink r:id="rId3200" w:history="1">
        <w:r w:rsidRPr="00896AA2">
          <w:rPr>
            <w:rFonts w:ascii="Times New Roman" w:eastAsia="Times New Roman" w:hAnsi="Times New Roman" w:cs="Times New Roman"/>
            <w:color w:val="0000FF"/>
            <w:sz w:val="24"/>
            <w:szCs w:val="24"/>
            <w:u w:val="single"/>
          </w:rPr>
          <w:t>https://doi.org/10.1037/neu0000218</w:t>
        </w:r>
      </w:hyperlink>
    </w:p>
    <w:p w14:paraId="473C0AB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K. W., Paul, G. M., Robbins, T. W., &amp; Marsden, C. D. (1993). L-DOPA and frontal cognitive function in Parkinson’s disease. In </w:t>
      </w:r>
      <w:r w:rsidRPr="00896AA2">
        <w:rPr>
          <w:rFonts w:ascii="Times New Roman" w:eastAsia="Times New Roman" w:hAnsi="Times New Roman" w:cs="Times New Roman"/>
          <w:i/>
          <w:iCs/>
          <w:sz w:val="24"/>
          <w:szCs w:val="24"/>
        </w:rPr>
        <w:t>Parkinson’s disease: From basic research to treatment.</w:t>
      </w:r>
      <w:r w:rsidRPr="00896AA2">
        <w:rPr>
          <w:rFonts w:ascii="Times New Roman" w:eastAsia="Times New Roman" w:hAnsi="Times New Roman" w:cs="Times New Roman"/>
          <w:sz w:val="24"/>
          <w:szCs w:val="24"/>
        </w:rPr>
        <w:t xml:space="preserve"> (pp. 475–478). Raven Press.</w:t>
      </w:r>
    </w:p>
    <w:p w14:paraId="6573DFE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R. T., Iverson, G. L., &amp; Franzen, M. D. (2007). Short-term neuropsychological outcome following uncomplicated mild TBI: Effects of day-of-injury intoxication and pre-injury alcohol abuse.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(5), 590–598. </w:t>
      </w:r>
      <w:hyperlink r:id="rId3201" w:history="1">
        <w:r w:rsidRPr="00896AA2">
          <w:rPr>
            <w:rFonts w:ascii="Times New Roman" w:eastAsia="Times New Roman" w:hAnsi="Times New Roman" w:cs="Times New Roman"/>
            <w:color w:val="0000FF"/>
            <w:sz w:val="24"/>
            <w:szCs w:val="24"/>
            <w:u w:val="single"/>
          </w:rPr>
          <w:t>https://doi.org/10.1037/0894-4105.21.5.590</w:t>
        </w:r>
      </w:hyperlink>
    </w:p>
    <w:p w14:paraId="296271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 R. T., Iverson, G. L., &amp; Franzen, M. D. (2008). Effects of day-of-injury alcohol intoxication on neuropsychological outcome in the acute recovery period following traumatic brain injury.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(7–8), 809–822. </w:t>
      </w:r>
      <w:hyperlink r:id="rId3202" w:history="1">
        <w:r w:rsidRPr="00896AA2">
          <w:rPr>
            <w:rFonts w:ascii="Times New Roman" w:eastAsia="Times New Roman" w:hAnsi="Times New Roman" w:cs="Times New Roman"/>
            <w:color w:val="0000FF"/>
            <w:sz w:val="24"/>
            <w:szCs w:val="24"/>
            <w:u w:val="single"/>
          </w:rPr>
          <w:t>https://doi.org/10.1016/j.acn.2008.07.004</w:t>
        </w:r>
      </w:hyperlink>
    </w:p>
    <w:p w14:paraId="40BA2B8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Langenecker, S. A., Briceno, E. M., Hamid, N. M., &amp; Nielson, K. A. (2007). An evaluation of distinct volumetric and functional MRI contributions toward understanding age and task performance: A study in the basal ganglia. </w:t>
      </w:r>
      <w:r w:rsidRPr="00896AA2">
        <w:rPr>
          <w:rFonts w:ascii="Times New Roman" w:eastAsia="Times New Roman" w:hAnsi="Times New Roman" w:cs="Times New Roman"/>
          <w:i/>
          <w:iCs/>
          <w:sz w:val="24"/>
          <w:szCs w:val="24"/>
        </w:rPr>
        <w:t>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1135</w:t>
      </w:r>
      <w:r w:rsidRPr="00896AA2">
        <w:rPr>
          <w:rFonts w:ascii="Times New Roman" w:eastAsia="Times New Roman" w:hAnsi="Times New Roman" w:cs="Times New Roman"/>
          <w:sz w:val="24"/>
          <w:szCs w:val="24"/>
        </w:rPr>
        <w:t xml:space="preserve">, 58–68. </w:t>
      </w:r>
      <w:hyperlink r:id="rId3203" w:history="1">
        <w:r w:rsidRPr="00896AA2">
          <w:rPr>
            <w:rFonts w:ascii="Times New Roman" w:eastAsia="Times New Roman" w:hAnsi="Times New Roman" w:cs="Times New Roman"/>
            <w:color w:val="0000FF"/>
            <w:sz w:val="24"/>
            <w:szCs w:val="24"/>
            <w:u w:val="single"/>
          </w:rPr>
          <w:t>https://doi.org/10.1016/j.brainres.2006.11.068</w:t>
        </w:r>
      </w:hyperlink>
    </w:p>
    <w:p w14:paraId="4123BE7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Langenecker, S. A., Lee, H. J., &amp; Bieliauskas, L. A. (2009). Neuropsychology of depression and related mood disorders.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523–559). Oxford University Press.</w:t>
      </w:r>
    </w:p>
    <w:p w14:paraId="134FBE5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Langenecker, S. A., Zubieta, J.-K., Young, E. A., Akil, H., &amp; Nielson, K. A. (2007). A task to manipulate attentional load, set-shifting, and inhibitory control: Convergent validity and test-retest reliability of the Parametric Go/No-Go Test.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(8), 842–853. </w:t>
      </w:r>
      <w:hyperlink r:id="rId3204" w:history="1">
        <w:r w:rsidRPr="00896AA2">
          <w:rPr>
            <w:rFonts w:ascii="Times New Roman" w:eastAsia="Times New Roman" w:hAnsi="Times New Roman" w:cs="Times New Roman"/>
            <w:color w:val="0000FF"/>
            <w:sz w:val="24"/>
            <w:szCs w:val="24"/>
            <w:u w:val="single"/>
          </w:rPr>
          <w:t>https://doi.org/10.1080/13803390601147611</w:t>
        </w:r>
      </w:hyperlink>
    </w:p>
    <w:p w14:paraId="7544FB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Langevin, R., &amp; Curnoe, S. (2010). A comparison of psychopathy, attention deficit hyperactivity disorder, and brain dysfunction among sex offenders. </w:t>
      </w:r>
      <w:r w:rsidRPr="00896AA2">
        <w:rPr>
          <w:rFonts w:ascii="Times New Roman" w:eastAsia="Times New Roman" w:hAnsi="Times New Roman" w:cs="Times New Roman"/>
          <w:i/>
          <w:iCs/>
          <w:sz w:val="24"/>
          <w:szCs w:val="24"/>
        </w:rPr>
        <w:t>Journal of Forensic Psychology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(3), 177–200. </w:t>
      </w:r>
      <w:hyperlink r:id="rId3205" w:history="1">
        <w:r w:rsidRPr="00896AA2">
          <w:rPr>
            <w:rFonts w:ascii="Times New Roman" w:eastAsia="Times New Roman" w:hAnsi="Times New Roman" w:cs="Times New Roman"/>
            <w:color w:val="0000FF"/>
            <w:sz w:val="24"/>
            <w:szCs w:val="24"/>
            <w:u w:val="single"/>
          </w:rPr>
          <w:t>https://doi.org/10.1080/15228930903550624</w:t>
        </w:r>
      </w:hyperlink>
    </w:p>
    <w:p w14:paraId="726D46F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Langevin, R., &amp; Curnoe, S. (2011). Psychopathy, ADHD, and brain dysfunction as predictors of lifetime recidivism among sex offenders. </w:t>
      </w:r>
      <w:r w:rsidRPr="00896AA2">
        <w:rPr>
          <w:rFonts w:ascii="Times New Roman" w:eastAsia="Times New Roman" w:hAnsi="Times New Roman" w:cs="Times New Roman"/>
          <w:i/>
          <w:iCs/>
          <w:sz w:val="24"/>
          <w:szCs w:val="24"/>
        </w:rPr>
        <w:t>International Journal of Offender Therapy and Comparative Criminology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(1), 5–26. </w:t>
      </w:r>
      <w:hyperlink r:id="rId3206" w:history="1">
        <w:r w:rsidRPr="00896AA2">
          <w:rPr>
            <w:rFonts w:ascii="Times New Roman" w:eastAsia="Times New Roman" w:hAnsi="Times New Roman" w:cs="Times New Roman"/>
            <w:color w:val="0000FF"/>
            <w:sz w:val="24"/>
            <w:szCs w:val="24"/>
            <w:u w:val="single"/>
          </w:rPr>
          <w:t>https://doi.org/10.1177/0306624X09360968</w:t>
        </w:r>
      </w:hyperlink>
    </w:p>
    <w:p w14:paraId="6547E2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Langley, K., Heron, J., O’Donovan, O., Owen, M. J., &amp; Thapar, A. (2010). Genotype link with extreme antisocial behavior: The contribution of cognitive pathways. </w:t>
      </w:r>
      <w:r w:rsidRPr="00896AA2">
        <w:rPr>
          <w:rFonts w:ascii="Times New Roman" w:eastAsia="Times New Roman" w:hAnsi="Times New Roman" w:cs="Times New Roman"/>
          <w:i/>
          <w:iCs/>
          <w:sz w:val="24"/>
          <w:szCs w:val="24"/>
        </w:rPr>
        <w:t>Archives of General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67</w:t>
      </w:r>
      <w:r w:rsidRPr="00896AA2">
        <w:rPr>
          <w:rFonts w:ascii="Times New Roman" w:eastAsia="Times New Roman" w:hAnsi="Times New Roman" w:cs="Times New Roman"/>
          <w:sz w:val="24"/>
          <w:szCs w:val="24"/>
        </w:rPr>
        <w:t xml:space="preserve">(12), 1317–1323. </w:t>
      </w:r>
      <w:hyperlink r:id="rId3207" w:history="1">
        <w:r w:rsidRPr="00896AA2">
          <w:rPr>
            <w:rFonts w:ascii="Times New Roman" w:eastAsia="Times New Roman" w:hAnsi="Times New Roman" w:cs="Times New Roman"/>
            <w:color w:val="0000FF"/>
            <w:sz w:val="24"/>
            <w:szCs w:val="24"/>
            <w:u w:val="single"/>
          </w:rPr>
          <w:t>https://doi.org/10.1001/archgenpsychiatry.2010.163</w:t>
        </w:r>
      </w:hyperlink>
    </w:p>
    <w:p w14:paraId="11D566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Lanni, C., Garbin, G., Lisa, A., Biundo, F., Ranzenigo, A., Sinforiani, E., Cuzzoni, G., Govoni, S., Ranzani, G. N., &amp; Racchi, M. (2012). Influence of COMT Val158Met polymorphism on Alzheimer’s disease and mild cognitive impairment in Italian patients. </w:t>
      </w:r>
      <w:r w:rsidRPr="00896AA2">
        <w:rPr>
          <w:rFonts w:ascii="Times New Roman" w:eastAsia="Times New Roman" w:hAnsi="Times New Roman" w:cs="Times New Roman"/>
          <w:i/>
          <w:iCs/>
          <w:sz w:val="24"/>
          <w:szCs w:val="24"/>
        </w:rPr>
        <w:t>Journal of Alzheimer’s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(4), 919–926.</w:t>
      </w:r>
    </w:p>
    <w:p w14:paraId="42CD493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Lanser, M. G., Berger, H. J. C., Ellenbroek, B. A., Cools, A. R., &amp; Zitman, F. G. (2002). Perseveration in schizophrenia: Failure to generate a plan and relationship with the psychomotor poverty subsyndrome.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112</w:t>
      </w:r>
      <w:r w:rsidRPr="00896AA2">
        <w:rPr>
          <w:rFonts w:ascii="Times New Roman" w:eastAsia="Times New Roman" w:hAnsi="Times New Roman" w:cs="Times New Roman"/>
          <w:sz w:val="24"/>
          <w:szCs w:val="24"/>
        </w:rPr>
        <w:t xml:space="preserve">(1), 13–26. </w:t>
      </w:r>
      <w:hyperlink r:id="rId3208" w:history="1">
        <w:r w:rsidRPr="00896AA2">
          <w:rPr>
            <w:rFonts w:ascii="Times New Roman" w:eastAsia="Times New Roman" w:hAnsi="Times New Roman" w:cs="Times New Roman"/>
            <w:color w:val="0000FF"/>
            <w:sz w:val="24"/>
            <w:szCs w:val="24"/>
            <w:u w:val="single"/>
          </w:rPr>
          <w:t>https://doi.org/10.1016/S0165-1781(02)00178-6</w:t>
        </w:r>
      </w:hyperlink>
    </w:p>
    <w:p w14:paraId="587F33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Lapointe, M.-L. B., &amp; Frenette, A. (2008). Neuropsychologie du syndrome de Gilles-de-la Tourette. [Neuropsychology of Tourette Syndrome.]. </w:t>
      </w:r>
      <w:r w:rsidRPr="00896AA2">
        <w:rPr>
          <w:rFonts w:ascii="Times New Roman" w:eastAsia="Times New Roman" w:hAnsi="Times New Roman" w:cs="Times New Roman"/>
          <w:i/>
          <w:iCs/>
          <w:sz w:val="24"/>
          <w:szCs w:val="24"/>
        </w:rPr>
        <w:t>Revue Québécoise de 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(2), 131–148.</w:t>
      </w:r>
    </w:p>
    <w:p w14:paraId="22F5F1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Laporta-Hoyos, O., Ballester-Plané, J., Póo, P., Macaya, A., Meléndez-Plumed, M., Vázquez, E., Delgado, I., Zubiaurre-Elorza, L., Botellero, V. L., Narberhaus, A., Toro-Tamargo, E., Segarra, D., &amp; Pueyo, R. (2017). Proxy-reported quality of life in adolescents and adults with dyskinetic cerebral palsy is associated with executive functions and cortical thickness. </w:t>
      </w:r>
      <w:r w:rsidRPr="00896AA2">
        <w:rPr>
          <w:rFonts w:ascii="Times New Roman" w:eastAsia="Times New Roman" w:hAnsi="Times New Roman" w:cs="Times New Roman"/>
          <w:i/>
          <w:iCs/>
          <w:sz w:val="24"/>
          <w:szCs w:val="24"/>
        </w:rPr>
        <w:t>Quality of Life Research: An International Journal of Quality of Life Aspects of Treatment, Care &amp;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(5), 1209–1222. </w:t>
      </w:r>
      <w:hyperlink r:id="rId3209" w:history="1">
        <w:r w:rsidRPr="00896AA2">
          <w:rPr>
            <w:rFonts w:ascii="Times New Roman" w:eastAsia="Times New Roman" w:hAnsi="Times New Roman" w:cs="Times New Roman"/>
            <w:color w:val="0000FF"/>
            <w:sz w:val="24"/>
            <w:szCs w:val="24"/>
            <w:u w:val="single"/>
          </w:rPr>
          <w:t>https://doi.org/10.1007/s11136-016-1433-0</w:t>
        </w:r>
      </w:hyperlink>
    </w:p>
    <w:p w14:paraId="50349B5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Lara-Ruiz, J., Kauzor, K., Gonzales, K., Nakhla, M. Z., Banuelos, D., Woo, E., Apostolova, L. G., &amp; Razani, J. (2019). The functional ability of MCI and Alzheimer’s patients predicts caregiver burden. </w:t>
      </w:r>
      <w:r w:rsidRPr="00896AA2">
        <w:rPr>
          <w:rFonts w:ascii="Times New Roman" w:eastAsia="Times New Roman" w:hAnsi="Times New Roman" w:cs="Times New Roman"/>
          <w:i/>
          <w:iCs/>
          <w:sz w:val="24"/>
          <w:szCs w:val="24"/>
        </w:rPr>
        <w:t>GeroPsych: The Journal of Gerontopsychology and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(1), 31–39. </w:t>
      </w:r>
      <w:hyperlink r:id="rId3210" w:history="1">
        <w:r w:rsidRPr="00896AA2">
          <w:rPr>
            <w:rFonts w:ascii="Times New Roman" w:eastAsia="Times New Roman" w:hAnsi="Times New Roman" w:cs="Times New Roman"/>
            <w:color w:val="0000FF"/>
            <w:sz w:val="24"/>
            <w:szCs w:val="24"/>
            <w:u w:val="single"/>
          </w:rPr>
          <w:t>https://doi.org/10.1024/1662-9647/a000200</w:t>
        </w:r>
      </w:hyperlink>
    </w:p>
    <w:p w14:paraId="0D37F4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Lariche, Z., &amp; Haghayegh, S. A. (2018). The comparison of executive functions, risk behaviors, and academic motivation among adolescents with chronology type morningness and eveningness. </w:t>
      </w:r>
      <w:r w:rsidRPr="00896AA2">
        <w:rPr>
          <w:rFonts w:ascii="Times New Roman" w:eastAsia="Times New Roman" w:hAnsi="Times New Roman" w:cs="Times New Roman"/>
          <w:i/>
          <w:iCs/>
          <w:sz w:val="24"/>
          <w:szCs w:val="24"/>
        </w:rPr>
        <w:t>Iranian Journal of Psychiatry and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(4), 438–453. </w:t>
      </w:r>
      <w:hyperlink r:id="rId3211" w:history="1">
        <w:r w:rsidRPr="00896AA2">
          <w:rPr>
            <w:rFonts w:ascii="Times New Roman" w:eastAsia="Times New Roman" w:hAnsi="Times New Roman" w:cs="Times New Roman"/>
            <w:color w:val="0000FF"/>
            <w:sz w:val="24"/>
            <w:szCs w:val="24"/>
            <w:u w:val="single"/>
          </w:rPr>
          <w:t>https://doi.org/10.29252/nirp.ijpcp.23.4.438</w:t>
        </w:r>
      </w:hyperlink>
    </w:p>
    <w:p w14:paraId="36AADC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Larøi, F., &amp; Van der Linden, M. (2013). The need for an individualized, everyday life and integrative approach to cognitive remediation in schizophrenia. </w:t>
      </w:r>
      <w:r w:rsidRPr="00896AA2">
        <w:rPr>
          <w:rFonts w:ascii="Times New Roman" w:eastAsia="Times New Roman" w:hAnsi="Times New Roman" w:cs="Times New Roman"/>
          <w:i/>
          <w:iCs/>
          <w:sz w:val="24"/>
          <w:szCs w:val="24"/>
        </w:rPr>
        <w:t>Journal of Psychotherapy Integration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(3), 290–304. </w:t>
      </w:r>
      <w:hyperlink r:id="rId3212" w:history="1">
        <w:r w:rsidRPr="00896AA2">
          <w:rPr>
            <w:rFonts w:ascii="Times New Roman" w:eastAsia="Times New Roman" w:hAnsi="Times New Roman" w:cs="Times New Roman"/>
            <w:color w:val="0000FF"/>
            <w:sz w:val="24"/>
            <w:szCs w:val="24"/>
            <w:u w:val="single"/>
          </w:rPr>
          <w:t>https://doi.org/10.1037/a0032358</w:t>
        </w:r>
      </w:hyperlink>
    </w:p>
    <w:p w14:paraId="53C83E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Larquet, M., Coricelli, G., Opolczynski, G., &amp; Thibaut, F. (2010). Impaired decision making in schizophrenia and orbitofrontal cortex lesion patients.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(2–3), 266–273. </w:t>
      </w:r>
      <w:hyperlink r:id="rId3213" w:history="1">
        <w:r w:rsidRPr="00896AA2">
          <w:rPr>
            <w:rFonts w:ascii="Times New Roman" w:eastAsia="Times New Roman" w:hAnsi="Times New Roman" w:cs="Times New Roman"/>
            <w:color w:val="0000FF"/>
            <w:sz w:val="24"/>
            <w:szCs w:val="24"/>
            <w:u w:val="single"/>
          </w:rPr>
          <w:t>https://doi.org/10.1016/j.schres.2009.11.010</w:t>
        </w:r>
      </w:hyperlink>
    </w:p>
    <w:p w14:paraId="441E302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(2003). Detection of Malingering Using Atypical Performance Patterns on Standard Neuropsychological Tests.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(3), 410–425. </w:t>
      </w:r>
      <w:hyperlink r:id="rId3214" w:history="1">
        <w:r w:rsidRPr="00896AA2">
          <w:rPr>
            <w:rFonts w:ascii="Times New Roman" w:eastAsia="Times New Roman" w:hAnsi="Times New Roman" w:cs="Times New Roman"/>
            <w:color w:val="0000FF"/>
            <w:sz w:val="24"/>
            <w:szCs w:val="24"/>
            <w:u w:val="single"/>
          </w:rPr>
          <w:t>https://doi.org/10.1076/clin.17.3.410.18089</w:t>
        </w:r>
      </w:hyperlink>
    </w:p>
    <w:p w14:paraId="55299D9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(2012a). A scientific approach to forensic neuropsychology. In </w:t>
      </w:r>
      <w:r w:rsidRPr="00896AA2">
        <w:rPr>
          <w:rFonts w:ascii="Times New Roman" w:eastAsia="Times New Roman" w:hAnsi="Times New Roman" w:cs="Times New Roman"/>
          <w:i/>
          <w:iCs/>
          <w:sz w:val="24"/>
          <w:szCs w:val="24"/>
        </w:rPr>
        <w:t>Forensic neuropsychology: A scientific approach, 2nd ed.</w:t>
      </w:r>
      <w:r w:rsidRPr="00896AA2">
        <w:rPr>
          <w:rFonts w:ascii="Times New Roman" w:eastAsia="Times New Roman" w:hAnsi="Times New Roman" w:cs="Times New Roman"/>
          <w:sz w:val="24"/>
          <w:szCs w:val="24"/>
        </w:rPr>
        <w:t xml:space="preserve"> (pp. 3–22). Oxford University Press.</w:t>
      </w:r>
    </w:p>
    <w:p w14:paraId="38903C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(2012b). Assessment of malingering. In </w:t>
      </w:r>
      <w:r w:rsidRPr="00896AA2">
        <w:rPr>
          <w:rFonts w:ascii="Times New Roman" w:eastAsia="Times New Roman" w:hAnsi="Times New Roman" w:cs="Times New Roman"/>
          <w:i/>
          <w:iCs/>
          <w:sz w:val="24"/>
          <w:szCs w:val="24"/>
        </w:rPr>
        <w:t>Forensic neuropsychology: A scientific approach, 2nd ed.</w:t>
      </w:r>
      <w:r w:rsidRPr="00896AA2">
        <w:rPr>
          <w:rFonts w:ascii="Times New Roman" w:eastAsia="Times New Roman" w:hAnsi="Times New Roman" w:cs="Times New Roman"/>
          <w:sz w:val="24"/>
          <w:szCs w:val="24"/>
        </w:rPr>
        <w:t xml:space="preserve"> (pp. 116–159). Oxford University Press.</w:t>
      </w:r>
    </w:p>
    <w:p w14:paraId="107DD5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(2012c). Mild traumatic brain injury. In </w:t>
      </w:r>
      <w:r w:rsidRPr="00896AA2">
        <w:rPr>
          <w:rFonts w:ascii="Times New Roman" w:eastAsia="Times New Roman" w:hAnsi="Times New Roman" w:cs="Times New Roman"/>
          <w:i/>
          <w:iCs/>
          <w:sz w:val="24"/>
          <w:szCs w:val="24"/>
        </w:rPr>
        <w:t>Forensic neuropsychology: A scientific approach, 2nd ed.</w:t>
      </w:r>
      <w:r w:rsidRPr="00896AA2">
        <w:rPr>
          <w:rFonts w:ascii="Times New Roman" w:eastAsia="Times New Roman" w:hAnsi="Times New Roman" w:cs="Times New Roman"/>
          <w:sz w:val="24"/>
          <w:szCs w:val="24"/>
        </w:rPr>
        <w:t xml:space="preserve"> (pp. 231–259). Oxford University Press.</w:t>
      </w:r>
    </w:p>
    <w:p w14:paraId="4679DF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(2014). False-positive rates associated with the use of multiple performance and symptom validity tests.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(4), 364–373. </w:t>
      </w:r>
      <w:hyperlink r:id="rId3215" w:history="1">
        <w:r w:rsidRPr="00896AA2">
          <w:rPr>
            <w:rFonts w:ascii="Times New Roman" w:eastAsia="Times New Roman" w:hAnsi="Times New Roman" w:cs="Times New Roman"/>
            <w:color w:val="0000FF"/>
            <w:sz w:val="24"/>
            <w:szCs w:val="24"/>
            <w:u w:val="single"/>
          </w:rPr>
          <w:t>https://doi.org/10.1093/arclin/acu019</w:t>
        </w:r>
      </w:hyperlink>
    </w:p>
    <w:p w14:paraId="4C7A53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(2015). The multiple validities of neuropsychological assessment. </w:t>
      </w:r>
      <w:r w:rsidRPr="00896AA2">
        <w:rPr>
          <w:rFonts w:ascii="Times New Roman" w:eastAsia="Times New Roman" w:hAnsi="Times New Roman" w:cs="Times New Roman"/>
          <w:i/>
          <w:iCs/>
          <w:sz w:val="24"/>
          <w:szCs w:val="24"/>
        </w:rPr>
        <w:t>American 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(8), 779–788. </w:t>
      </w:r>
      <w:hyperlink r:id="rId3216" w:history="1">
        <w:r w:rsidRPr="00896AA2">
          <w:rPr>
            <w:rFonts w:ascii="Times New Roman" w:eastAsia="Times New Roman" w:hAnsi="Times New Roman" w:cs="Times New Roman"/>
            <w:color w:val="0000FF"/>
            <w:sz w:val="24"/>
            <w:szCs w:val="24"/>
            <w:u w:val="single"/>
          </w:rPr>
          <w:t>https://doi.org/10.1037/a0039835</w:t>
        </w:r>
      </w:hyperlink>
    </w:p>
    <w:p w14:paraId="0BDB19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(2016). Personal injury forensic neuropsychological evaluation. In </w:t>
      </w:r>
      <w:r w:rsidRPr="00896AA2">
        <w:rPr>
          <w:rFonts w:ascii="Times New Roman" w:eastAsia="Times New Roman" w:hAnsi="Times New Roman" w:cs="Times New Roman"/>
          <w:i/>
          <w:iCs/>
          <w:sz w:val="24"/>
          <w:szCs w:val="24"/>
        </w:rPr>
        <w:t>Neuropsychological report writing.</w:t>
      </w:r>
      <w:r w:rsidRPr="00896AA2">
        <w:rPr>
          <w:rFonts w:ascii="Times New Roman" w:eastAsia="Times New Roman" w:hAnsi="Times New Roman" w:cs="Times New Roman"/>
          <w:sz w:val="24"/>
          <w:szCs w:val="24"/>
        </w:rPr>
        <w:t xml:space="preserve"> (pp. 143–165). Guilford Press.</w:t>
      </w:r>
    </w:p>
    <w:p w14:paraId="6F61A98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Larrabee, G. J. (2017). Selection of tests and batteries for forensic neuropsychological evaluations. In S. S. Bush, G. J. Demakis, &amp; M. L. Rohling (Eds.), </w:t>
      </w:r>
      <w:r w:rsidRPr="00896AA2">
        <w:rPr>
          <w:rFonts w:ascii="Times New Roman" w:eastAsia="Times New Roman" w:hAnsi="Times New Roman" w:cs="Times New Roman"/>
          <w:i/>
          <w:iCs/>
          <w:sz w:val="24"/>
          <w:szCs w:val="24"/>
        </w:rPr>
        <w:t>APA handbook of forensic neuropsychology.</w:t>
      </w:r>
      <w:r w:rsidRPr="00896AA2">
        <w:rPr>
          <w:rFonts w:ascii="Times New Roman" w:eastAsia="Times New Roman" w:hAnsi="Times New Roman" w:cs="Times New Roman"/>
          <w:sz w:val="24"/>
          <w:szCs w:val="24"/>
        </w:rPr>
        <w:t xml:space="preserve"> (pp. 57–66). American Psychological Association. </w:t>
      </w:r>
      <w:hyperlink r:id="rId3217" w:history="1">
        <w:r w:rsidRPr="00896AA2">
          <w:rPr>
            <w:rFonts w:ascii="Times New Roman" w:eastAsia="Times New Roman" w:hAnsi="Times New Roman" w:cs="Times New Roman"/>
            <w:color w:val="0000FF"/>
            <w:sz w:val="24"/>
            <w:szCs w:val="24"/>
            <w:u w:val="single"/>
          </w:rPr>
          <w:t>https://doi.org/10.1037/0000032-004</w:t>
        </w:r>
      </w:hyperlink>
    </w:p>
    <w:p w14:paraId="10B102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Larsen, L., Hartmann, P., &amp; Nyborg, H. (2008). The stability of general intelligence from early adulthood to middle-age. </w:t>
      </w:r>
      <w:r w:rsidRPr="00896AA2">
        <w:rPr>
          <w:rFonts w:ascii="Times New Roman" w:eastAsia="Times New Roman" w:hAnsi="Times New Roman" w:cs="Times New Roman"/>
          <w:i/>
          <w:iCs/>
          <w:sz w:val="24"/>
          <w:szCs w:val="24"/>
        </w:rPr>
        <w:t>Intelligence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(1), 29–34. </w:t>
      </w:r>
      <w:hyperlink r:id="rId3218" w:history="1">
        <w:r w:rsidRPr="00896AA2">
          <w:rPr>
            <w:rFonts w:ascii="Times New Roman" w:eastAsia="Times New Roman" w:hAnsi="Times New Roman" w:cs="Times New Roman"/>
            <w:color w:val="0000FF"/>
            <w:sz w:val="24"/>
            <w:szCs w:val="24"/>
            <w:u w:val="single"/>
          </w:rPr>
          <w:t>https://doi.org/10.1016/j.intell.2007.01.001</w:t>
        </w:r>
      </w:hyperlink>
    </w:p>
    <w:p w14:paraId="71B7B2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E. B., Kirschner, K., Bode, R., Heinemann, A., &amp; Goodman, R. (2005). Construct and Predictive Validity of the Repeatable Battery for the Assessment of Neuropsychological Status in the Evaluation of Stroke Patients.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(1), 16–32. </w:t>
      </w:r>
      <w:hyperlink r:id="rId3219" w:history="1">
        <w:r w:rsidRPr="00896AA2">
          <w:rPr>
            <w:rFonts w:ascii="Times New Roman" w:eastAsia="Times New Roman" w:hAnsi="Times New Roman" w:cs="Times New Roman"/>
            <w:color w:val="0000FF"/>
            <w:sz w:val="24"/>
            <w:szCs w:val="24"/>
            <w:u w:val="single"/>
          </w:rPr>
          <w:t>https://doi.org/10.1080/138033990513564</w:t>
        </w:r>
      </w:hyperlink>
    </w:p>
    <w:p w14:paraId="2F5AA3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E. R. (2015). Neuropsychological findings in a case of punding before and after cessation of pramipexole.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(1), 166–178. </w:t>
      </w:r>
      <w:hyperlink r:id="rId3220" w:history="1">
        <w:r w:rsidRPr="00896AA2">
          <w:rPr>
            <w:rFonts w:ascii="Times New Roman" w:eastAsia="Times New Roman" w:hAnsi="Times New Roman" w:cs="Times New Roman"/>
            <w:color w:val="0000FF"/>
            <w:sz w:val="24"/>
            <w:szCs w:val="24"/>
            <w:u w:val="single"/>
          </w:rPr>
          <w:t>https://doi.org/10.1080/13854046.2015.1005674</w:t>
        </w:r>
      </w:hyperlink>
    </w:p>
    <w:p w14:paraId="433E33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M. J., South, M., &amp; Merkley, T. (2011). Neuropsychological considerations in child and adolescent anxiety. </w:t>
      </w:r>
      <w:r w:rsidRPr="00896AA2">
        <w:rPr>
          <w:rFonts w:ascii="Times New Roman" w:eastAsia="Times New Roman" w:hAnsi="Times New Roman" w:cs="Times New Roman"/>
          <w:i/>
          <w:iCs/>
          <w:sz w:val="24"/>
          <w:szCs w:val="24"/>
        </w:rPr>
        <w:t>Handbook of Child and Adolescent Anxiety Disorders.</w:t>
      </w:r>
      <w:r w:rsidRPr="00896AA2">
        <w:rPr>
          <w:rFonts w:ascii="Times New Roman" w:eastAsia="Times New Roman" w:hAnsi="Times New Roman" w:cs="Times New Roman"/>
          <w:sz w:val="24"/>
          <w:szCs w:val="24"/>
        </w:rPr>
        <w:t xml:space="preserve">, 75–89. </w:t>
      </w:r>
      <w:hyperlink r:id="rId3221" w:history="1">
        <w:r w:rsidRPr="00896AA2">
          <w:rPr>
            <w:rFonts w:ascii="Times New Roman" w:eastAsia="Times New Roman" w:hAnsi="Times New Roman" w:cs="Times New Roman"/>
            <w:color w:val="0000FF"/>
            <w:sz w:val="24"/>
            <w:szCs w:val="24"/>
            <w:u w:val="single"/>
          </w:rPr>
          <w:t>https://doi.org/10.1007/978-1-4419-7784-7_6</w:t>
        </w:r>
      </w:hyperlink>
    </w:p>
    <w:p w14:paraId="44520C3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Larson, S. W. (2003). </w:t>
      </w:r>
      <w:r w:rsidRPr="00896AA2">
        <w:rPr>
          <w:rFonts w:ascii="Times New Roman" w:eastAsia="Times New Roman" w:hAnsi="Times New Roman" w:cs="Times New Roman"/>
          <w:i/>
          <w:iCs/>
          <w:sz w:val="24"/>
          <w:szCs w:val="24"/>
        </w:rPr>
        <w:t>The contribution of multiple cognitive factors to concept formation tasks.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(8-B), 3924–3924.</w:t>
      </w:r>
    </w:p>
    <w:p w14:paraId="1AAC01B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Larsson, M., Lundin, A., &amp; Wahlin, T.-B. R. (2006). Olfactory Functions in Asymptomatic Carriers of the Huntington Disease Mutation.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(8), 1373–1380. </w:t>
      </w:r>
      <w:hyperlink r:id="rId3222" w:history="1">
        <w:r w:rsidRPr="00896AA2">
          <w:rPr>
            <w:rFonts w:ascii="Times New Roman" w:eastAsia="Times New Roman" w:hAnsi="Times New Roman" w:cs="Times New Roman"/>
            <w:color w:val="0000FF"/>
            <w:sz w:val="24"/>
            <w:szCs w:val="24"/>
            <w:u w:val="single"/>
          </w:rPr>
          <w:t>https://doi.org/10.1080/13803390500473746</w:t>
        </w:r>
      </w:hyperlink>
    </w:p>
    <w:p w14:paraId="53CB5C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Larsson, M. U., Almkvist, O., Luszcz, M. A., &amp; Wahlin, T.-B. R. (2008). Phonemic fluency deficits in asymptomatic gene carriers for Huntington’s disease.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(5), 596–605. </w:t>
      </w:r>
      <w:hyperlink r:id="rId3223" w:history="1">
        <w:r w:rsidRPr="00896AA2">
          <w:rPr>
            <w:rFonts w:ascii="Times New Roman" w:eastAsia="Times New Roman" w:hAnsi="Times New Roman" w:cs="Times New Roman"/>
            <w:color w:val="0000FF"/>
            <w:sz w:val="24"/>
            <w:szCs w:val="24"/>
            <w:u w:val="single"/>
          </w:rPr>
          <w:t>https://doi.org/10.1037/0894-4105.22.5.596</w:t>
        </w:r>
      </w:hyperlink>
    </w:p>
    <w:p w14:paraId="3B95F3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Lasker, J. P., LaPointe, L. L., &amp; Kodras, J. E. (2005). Helping a professor with aphasia resume teaching through multimodal approaches. </w:t>
      </w:r>
      <w:r w:rsidRPr="00896AA2">
        <w:rPr>
          <w:rFonts w:ascii="Times New Roman" w:eastAsia="Times New Roman" w:hAnsi="Times New Roman" w:cs="Times New Roman"/>
          <w:i/>
          <w:iCs/>
          <w:sz w:val="24"/>
          <w:szCs w:val="24"/>
        </w:rPr>
        <w:t>Aphasiology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(3–5), 399–410. </w:t>
      </w:r>
      <w:hyperlink r:id="rId3224" w:history="1">
        <w:r w:rsidRPr="00896AA2">
          <w:rPr>
            <w:rFonts w:ascii="Times New Roman" w:eastAsia="Times New Roman" w:hAnsi="Times New Roman" w:cs="Times New Roman"/>
            <w:color w:val="0000FF"/>
            <w:sz w:val="24"/>
            <w:szCs w:val="24"/>
            <w:u w:val="single"/>
          </w:rPr>
          <w:t>https://doi.org/10.1080/02687030444000840</w:t>
        </w:r>
      </w:hyperlink>
    </w:p>
    <w:p w14:paraId="02B1EE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Látalová, K. (2012). Insight in bipolar disorder. </w:t>
      </w:r>
      <w:r w:rsidRPr="00896AA2">
        <w:rPr>
          <w:rFonts w:ascii="Times New Roman" w:eastAsia="Times New Roman" w:hAnsi="Times New Roman" w:cs="Times New Roman"/>
          <w:i/>
          <w:iCs/>
          <w:sz w:val="24"/>
          <w:szCs w:val="24"/>
        </w:rPr>
        <w:t>Psychiatric Quarterly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83</w:t>
      </w:r>
      <w:r w:rsidRPr="00896AA2">
        <w:rPr>
          <w:rFonts w:ascii="Times New Roman" w:eastAsia="Times New Roman" w:hAnsi="Times New Roman" w:cs="Times New Roman"/>
          <w:sz w:val="24"/>
          <w:szCs w:val="24"/>
        </w:rPr>
        <w:t xml:space="preserve">(3), 293–310. </w:t>
      </w:r>
      <w:hyperlink r:id="rId3225" w:history="1">
        <w:r w:rsidRPr="00896AA2">
          <w:rPr>
            <w:rFonts w:ascii="Times New Roman" w:eastAsia="Times New Roman" w:hAnsi="Times New Roman" w:cs="Times New Roman"/>
            <w:color w:val="0000FF"/>
            <w:sz w:val="24"/>
            <w:szCs w:val="24"/>
            <w:u w:val="single"/>
          </w:rPr>
          <w:t>https://doi.org/10.1007/s11126-011-9200-4</w:t>
        </w:r>
      </w:hyperlink>
    </w:p>
    <w:p w14:paraId="7F20C0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Latinus, M., Cléry, H., Andersson, F., Bonnet-Brilhault, F., Fonlupt, P., &amp; Gomot, M. (2019). Inflexibility in Autism Spectrum Disorder: Need for certainty and atypical emotion processing share the blame. </w:t>
      </w:r>
      <w:r w:rsidRPr="00896AA2">
        <w:rPr>
          <w:rFonts w:ascii="Times New Roman" w:eastAsia="Times New Roman" w:hAnsi="Times New Roman" w:cs="Times New Roman"/>
          <w:i/>
          <w:iCs/>
          <w:sz w:val="24"/>
          <w:szCs w:val="24"/>
        </w:rPr>
        <w:t>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 </w:t>
      </w:r>
      <w:hyperlink r:id="rId3226" w:history="1">
        <w:r w:rsidRPr="00896AA2">
          <w:rPr>
            <w:rFonts w:ascii="Times New Roman" w:eastAsia="Times New Roman" w:hAnsi="Times New Roman" w:cs="Times New Roman"/>
            <w:color w:val="0000FF"/>
            <w:sz w:val="24"/>
            <w:szCs w:val="24"/>
            <w:u w:val="single"/>
          </w:rPr>
          <w:t>https://doi.org/10.1016/j.bandc.2019.103599</w:t>
        </w:r>
      </w:hyperlink>
    </w:p>
    <w:p w14:paraId="2673673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 B., Welter, M.-L., Belaid, H., Vidal, S. F., Bardinet, E., Grabli, D., &amp; Karachi, C. (2015). The integrative role of the pedunculopontine nucleus in human gait.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138</w:t>
      </w:r>
      <w:r w:rsidRPr="00896AA2">
        <w:rPr>
          <w:rFonts w:ascii="Times New Roman" w:eastAsia="Times New Roman" w:hAnsi="Times New Roman" w:cs="Times New Roman"/>
          <w:sz w:val="24"/>
          <w:szCs w:val="24"/>
        </w:rPr>
        <w:t xml:space="preserve">(5), 1284–1296. </w:t>
      </w:r>
      <w:hyperlink r:id="rId3227" w:history="1">
        <w:r w:rsidRPr="00896AA2">
          <w:rPr>
            <w:rFonts w:ascii="Times New Roman" w:eastAsia="Times New Roman" w:hAnsi="Times New Roman" w:cs="Times New Roman"/>
            <w:color w:val="0000FF"/>
            <w:sz w:val="24"/>
            <w:szCs w:val="24"/>
            <w:u w:val="single"/>
          </w:rPr>
          <w:t>https://doi.org/10.1093/brain/awv047</w:t>
        </w:r>
      </w:hyperlink>
    </w:p>
    <w:p w14:paraId="344BB36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 E. Y. Y., Eskes, G. A., Morrison, D. L., Rajda, M., &amp; Spurr, K. F. (2010). Executive function in patients with obstructive sleep apnea treated with continuous positive airway pressure.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(6), 1077–1088. </w:t>
      </w:r>
      <w:hyperlink r:id="rId3228" w:history="1">
        <w:r w:rsidRPr="00896AA2">
          <w:rPr>
            <w:rFonts w:ascii="Times New Roman" w:eastAsia="Times New Roman" w:hAnsi="Times New Roman" w:cs="Times New Roman"/>
            <w:color w:val="0000FF"/>
            <w:sz w:val="24"/>
            <w:szCs w:val="24"/>
            <w:u w:val="single"/>
          </w:rPr>
          <w:t>https://doi.org/10.1017/S1355617710000901</w:t>
        </w:r>
      </w:hyperlink>
    </w:p>
    <w:p w14:paraId="572D30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Laurent, A., Biloa-Tang, M., Bougerol, T., Duly, D., Anchisi, A.-M., Bosson, J.-L., Pellat, J., d’Amato, T., &amp; Dalery, J. (2000). Executive/attentional performance and measures of schizotypy in patients with schizophrenia and in their nonpsychotic first-degree relatives.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(2–3), 269–283. </w:t>
      </w:r>
      <w:hyperlink r:id="rId3229" w:history="1">
        <w:r w:rsidRPr="00896AA2">
          <w:rPr>
            <w:rFonts w:ascii="Times New Roman" w:eastAsia="Times New Roman" w:hAnsi="Times New Roman" w:cs="Times New Roman"/>
            <w:color w:val="0000FF"/>
            <w:sz w:val="24"/>
            <w:szCs w:val="24"/>
            <w:u w:val="single"/>
          </w:rPr>
          <w:t>https://doi.org/10.1016/S0920-9964(99)00232-7</w:t>
        </w:r>
      </w:hyperlink>
    </w:p>
    <w:p w14:paraId="7B9D56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Laurent, A., d’Amato, T., Naegele, B., Murry, P., Baro, P., Foussard, N., Spitz, F., &amp; Dalery, J. (2000). Fonctions exécutives et mnésiques d’un groupe d’apparentés de premier degré de patients schizophrénes. [Executive functioning and menory in first-degree relatives of patients with schizophrenia.]. </w:t>
      </w:r>
      <w:r w:rsidRPr="00896AA2">
        <w:rPr>
          <w:rFonts w:ascii="Times New Roman" w:eastAsia="Times New Roman" w:hAnsi="Times New Roman" w:cs="Times New Roman"/>
          <w:i/>
          <w:iCs/>
          <w:sz w:val="24"/>
          <w:szCs w:val="24"/>
        </w:rPr>
        <w:t>L’Encéphale: Revue de Psychiatrie Clinique Biologique et Thérapeutique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(5), 67–74.</w:t>
      </w:r>
    </w:p>
    <w:p w14:paraId="5E1BDD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Laurent, A., Duly, D., Murry, P., Foussard, N., Boccara, S., Mingat, F., Dalery, J., &amp; d’Amato, T. (2001). WCST performance and schizotypal features in the first-degree relatives of patients with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104</w:t>
      </w:r>
      <w:r w:rsidRPr="00896AA2">
        <w:rPr>
          <w:rFonts w:ascii="Times New Roman" w:eastAsia="Times New Roman" w:hAnsi="Times New Roman" w:cs="Times New Roman"/>
          <w:sz w:val="24"/>
          <w:szCs w:val="24"/>
        </w:rPr>
        <w:t xml:space="preserve">(2), 133–144. </w:t>
      </w:r>
      <w:hyperlink r:id="rId3230" w:history="1">
        <w:r w:rsidRPr="00896AA2">
          <w:rPr>
            <w:rFonts w:ascii="Times New Roman" w:eastAsia="Times New Roman" w:hAnsi="Times New Roman" w:cs="Times New Roman"/>
            <w:color w:val="0000FF"/>
            <w:sz w:val="24"/>
            <w:szCs w:val="24"/>
            <w:u w:val="single"/>
          </w:rPr>
          <w:t>https://doi.org/10.1016/S0165-1781(01)00306-7</w:t>
        </w:r>
      </w:hyperlink>
    </w:p>
    <w:p w14:paraId="6DFDC1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Lauterbach, E. C., Cummings, J. L., &amp; Kuppuswamy, P. S. (2013). Toward a more precise, clinically—Informed pathophysiology of pathological laughing and crying. </w:t>
      </w:r>
      <w:r w:rsidRPr="00896AA2">
        <w:rPr>
          <w:rFonts w:ascii="Times New Roman" w:eastAsia="Times New Roman" w:hAnsi="Times New Roman" w:cs="Times New Roman"/>
          <w:i/>
          <w:iCs/>
          <w:sz w:val="24"/>
          <w:szCs w:val="24"/>
        </w:rPr>
        <w:t>Neuroscience and Biobehavioral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(8), 1893–1916. </w:t>
      </w:r>
      <w:hyperlink r:id="rId3231" w:history="1">
        <w:r w:rsidRPr="00896AA2">
          <w:rPr>
            <w:rFonts w:ascii="Times New Roman" w:eastAsia="Times New Roman" w:hAnsi="Times New Roman" w:cs="Times New Roman"/>
            <w:color w:val="0000FF"/>
            <w:sz w:val="24"/>
            <w:szCs w:val="24"/>
            <w:u w:val="single"/>
          </w:rPr>
          <w:t>https://doi.org/10.1016/j.neubiorev.2013.03.002</w:t>
        </w:r>
      </w:hyperlink>
    </w:p>
    <w:p w14:paraId="3AEBA4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Lavoie, K., &amp; Everett, J. (2001). Schizophrénie et performance au Wisconsin Card Sorting Test (WCST): Déficits et réadaptation. [Schizoprenia and performance on the Wisconsin Card Sorting Test (WCST): Deficits and rehabilitation.]. </w:t>
      </w:r>
      <w:r w:rsidRPr="00896AA2">
        <w:rPr>
          <w:rFonts w:ascii="Times New Roman" w:eastAsia="Times New Roman" w:hAnsi="Times New Roman" w:cs="Times New Roman"/>
          <w:i/>
          <w:iCs/>
          <w:sz w:val="24"/>
          <w:szCs w:val="24"/>
        </w:rPr>
        <w:t>L’Encéphale: Revue de Psychiatrie Clinique Biologique et Thérapeutique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(5), 444–449.</w:t>
      </w:r>
    </w:p>
    <w:p w14:paraId="7D1DD2F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Lavoie, M. E., Thibault, G., Stip, E., &amp; O’Connor, K. P. (2007). Memory and executive functions in adults with Gilles de la Tourette syndrome and chronic tic disorder.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(2), 165–181. </w:t>
      </w:r>
      <w:hyperlink r:id="rId3232" w:history="1">
        <w:r w:rsidRPr="00896AA2">
          <w:rPr>
            <w:rFonts w:ascii="Times New Roman" w:eastAsia="Times New Roman" w:hAnsi="Times New Roman" w:cs="Times New Roman"/>
            <w:color w:val="0000FF"/>
            <w:sz w:val="24"/>
            <w:szCs w:val="24"/>
            <w:u w:val="single"/>
          </w:rPr>
          <w:t>https://doi.org/10.1080/13546800600826371</w:t>
        </w:r>
      </w:hyperlink>
    </w:p>
    <w:p w14:paraId="7C342C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Lawrence, A. J., Brookes, R. L., Zeestraten, E. A., Barrick, T. R., Morris, R. G., &amp; Markus, H. S. (2015). Pattern and rate of cognitive decline in cerebral small vessel disease: A prospective study.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(8).</w:t>
      </w:r>
    </w:p>
    <w:p w14:paraId="789DBB6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Lawrence, V., Houghton, S., Douglas, G., Durkin, K., Whiting, K., &amp; Tannock, R. (2004). Executive function and ADHD; A comparison of children’s performance during neuropsychological testing and real-world activities.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(3), 137–149. </w:t>
      </w:r>
      <w:hyperlink r:id="rId3233" w:history="1">
        <w:r w:rsidRPr="00896AA2">
          <w:rPr>
            <w:rFonts w:ascii="Times New Roman" w:eastAsia="Times New Roman" w:hAnsi="Times New Roman" w:cs="Times New Roman"/>
            <w:color w:val="0000FF"/>
            <w:sz w:val="24"/>
            <w:szCs w:val="24"/>
            <w:u w:val="single"/>
          </w:rPr>
          <w:t>https://doi.org/10.1177/108705470400700302</w:t>
        </w:r>
      </w:hyperlink>
    </w:p>
    <w:p w14:paraId="562BD9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Laws, K. R., Kondel, T. K., Clarke, R., &amp; Nillo, A.-M. (2011). Delusion-prone individuals: Stuck in their ways?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186</w:t>
      </w:r>
      <w:r w:rsidRPr="00896AA2">
        <w:rPr>
          <w:rFonts w:ascii="Times New Roman" w:eastAsia="Times New Roman" w:hAnsi="Times New Roman" w:cs="Times New Roman"/>
          <w:sz w:val="24"/>
          <w:szCs w:val="24"/>
        </w:rPr>
        <w:t xml:space="preserve">(2–3), 219–224. </w:t>
      </w:r>
      <w:hyperlink r:id="rId3234" w:history="1">
        <w:r w:rsidRPr="00896AA2">
          <w:rPr>
            <w:rFonts w:ascii="Times New Roman" w:eastAsia="Times New Roman" w:hAnsi="Times New Roman" w:cs="Times New Roman"/>
            <w:color w:val="0000FF"/>
            <w:sz w:val="24"/>
            <w:szCs w:val="24"/>
            <w:u w:val="single"/>
          </w:rPr>
          <w:t>https://doi.org/10.1016/j.psychres.2010.09.018</w:t>
        </w:r>
      </w:hyperlink>
    </w:p>
    <w:p w14:paraId="6B43F7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Lawson, A. E. (2013). The nature of scientific reasoning and its neurological substrate. In </w:t>
      </w:r>
      <w:r w:rsidRPr="00896AA2">
        <w:rPr>
          <w:rFonts w:ascii="Times New Roman" w:eastAsia="Times New Roman" w:hAnsi="Times New Roman" w:cs="Times New Roman"/>
          <w:i/>
          <w:iCs/>
          <w:sz w:val="24"/>
          <w:szCs w:val="24"/>
        </w:rPr>
        <w:t>Handbook of the psychology of science.</w:t>
      </w:r>
      <w:r w:rsidRPr="00896AA2">
        <w:rPr>
          <w:rFonts w:ascii="Times New Roman" w:eastAsia="Times New Roman" w:hAnsi="Times New Roman" w:cs="Times New Roman"/>
          <w:sz w:val="24"/>
          <w:szCs w:val="24"/>
        </w:rPr>
        <w:t xml:space="preserve"> (pp. 193–221). Springer Publishing Company.</w:t>
      </w:r>
    </w:p>
    <w:p w14:paraId="2977774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Lawyer, G., Nyman, H., Agartz, I., Arnborg, S., Jönsson, E. G., Sedvall, G. C., &amp; Hall, H. (2006). Morphological correlates to cognitive dysfunction in schizophrenia as studied with Bayesian regression. </w:t>
      </w:r>
      <w:r w:rsidRPr="00896AA2">
        <w:rPr>
          <w:rFonts w:ascii="Times New Roman" w:eastAsia="Times New Roman" w:hAnsi="Times New Roman" w:cs="Times New Roman"/>
          <w:i/>
          <w:iCs/>
          <w:sz w:val="24"/>
          <w:szCs w:val="24"/>
        </w:rPr>
        <w:t>BMC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w:t>
      </w:r>
    </w:p>
    <w:p w14:paraId="672783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Lazarus, T. (2001). </w:t>
      </w:r>
      <w:r w:rsidRPr="00896AA2">
        <w:rPr>
          <w:rFonts w:ascii="Times New Roman" w:eastAsia="Times New Roman" w:hAnsi="Times New Roman" w:cs="Times New Roman"/>
          <w:i/>
          <w:iCs/>
          <w:sz w:val="24"/>
          <w:szCs w:val="24"/>
        </w:rPr>
        <w:t>Neuropsychological sequelae of transient ischaemic attacks.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(1-B), 593–593.</w:t>
      </w:r>
    </w:p>
    <w:p w14:paraId="71E44C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Ber, I., Guedj, E., Gabelle, A., Verpillat, P., Volteau, M., Thomas-Anterion, C., Decousus, M., Hannequin, D., Véra, P., Lacomblez, L., Camuzat, A., Didic, M., Puel, M., Lotterie, J.-A., Golfier, V., Bernard, A.-M., Vercelletto, M., Magne, C., Sellal, F., … Dubois, B. (2006). Demographic, neurological and behavioural characteristics and brain perfusion SPECT in frontal variant of frontotemporal dementia.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(11), 3051–3065. </w:t>
      </w:r>
      <w:hyperlink r:id="rId3235" w:history="1">
        <w:r w:rsidRPr="00896AA2">
          <w:rPr>
            <w:rFonts w:ascii="Times New Roman" w:eastAsia="Times New Roman" w:hAnsi="Times New Roman" w:cs="Times New Roman"/>
            <w:color w:val="0000FF"/>
            <w:sz w:val="24"/>
            <w:szCs w:val="24"/>
            <w:u w:val="single"/>
          </w:rPr>
          <w:t>https://doi.org/10.1093/brain/awl288</w:t>
        </w:r>
      </w:hyperlink>
    </w:p>
    <w:p w14:paraId="5E5B9B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Ber, I., Marié, R.-M., Chabot, B., Lalevée, C., &amp; Defer, G.-L. (2007). Neuropsychological and </w:t>
      </w:r>
      <w:r w:rsidRPr="00896AA2">
        <w:rPr>
          <w:rFonts w:ascii="Times New Roman" w:eastAsia="Times New Roman" w:hAnsi="Times New Roman" w:cs="Times New Roman"/>
          <w:sz w:val="24"/>
          <w:szCs w:val="24"/>
          <w:vertAlign w:val="superscript"/>
        </w:rPr>
        <w:t>18</w:t>
      </w:r>
      <w:r w:rsidRPr="00896AA2">
        <w:rPr>
          <w:rFonts w:ascii="Times New Roman" w:eastAsia="Times New Roman" w:hAnsi="Times New Roman" w:cs="Times New Roman"/>
          <w:sz w:val="24"/>
          <w:szCs w:val="24"/>
        </w:rPr>
        <w:t xml:space="preserve">FDG-PET studies in a family with idiopathic basal ganglia calcifications.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258</w:t>
      </w:r>
      <w:r w:rsidRPr="00896AA2">
        <w:rPr>
          <w:rFonts w:ascii="Times New Roman" w:eastAsia="Times New Roman" w:hAnsi="Times New Roman" w:cs="Times New Roman"/>
          <w:sz w:val="24"/>
          <w:szCs w:val="24"/>
        </w:rPr>
        <w:t xml:space="preserve">(1–2), 115–122. </w:t>
      </w:r>
      <w:hyperlink r:id="rId3236" w:history="1">
        <w:r w:rsidRPr="00896AA2">
          <w:rPr>
            <w:rFonts w:ascii="Times New Roman" w:eastAsia="Times New Roman" w:hAnsi="Times New Roman" w:cs="Times New Roman"/>
            <w:color w:val="0000FF"/>
            <w:sz w:val="24"/>
            <w:szCs w:val="24"/>
            <w:u w:val="single"/>
          </w:rPr>
          <w:t>https://doi.org/10.1016/j.jns.2007.03.017</w:t>
        </w:r>
      </w:hyperlink>
    </w:p>
    <w:p w14:paraId="7B7956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Ber, I., Moreira, M.-C., Rivaud-Péchoux, S., Chamayou, C., Ochsner, F., Kuntzer, T., Tardieu, M., Saïd, G., Habert, M.-O., Demarquay, G., Tannier, C., Beis, J.-M., Brice, A., Koenig, M., &amp; Dürr, A. (2003). Cerebellar ataxia with oculomotor apraxia type 1: Clinical and genetic studies.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126</w:t>
      </w:r>
      <w:r w:rsidRPr="00896AA2">
        <w:rPr>
          <w:rFonts w:ascii="Times New Roman" w:eastAsia="Times New Roman" w:hAnsi="Times New Roman" w:cs="Times New Roman"/>
          <w:sz w:val="24"/>
          <w:szCs w:val="24"/>
        </w:rPr>
        <w:t xml:space="preserve">(12), 2761–2772. </w:t>
      </w:r>
      <w:hyperlink r:id="rId3237" w:history="1">
        <w:r w:rsidRPr="00896AA2">
          <w:rPr>
            <w:rFonts w:ascii="Times New Roman" w:eastAsia="Times New Roman" w:hAnsi="Times New Roman" w:cs="Times New Roman"/>
            <w:color w:val="0000FF"/>
            <w:sz w:val="24"/>
            <w:szCs w:val="24"/>
            <w:u w:val="single"/>
          </w:rPr>
          <w:t>https://doi.org/10.1093/brain/awg283</w:t>
        </w:r>
      </w:hyperlink>
    </w:p>
    <w:p w14:paraId="78F71A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Fauve, C. E. (2012). Disability and addiction. In </w:t>
      </w:r>
      <w:r w:rsidRPr="00896AA2">
        <w:rPr>
          <w:rFonts w:ascii="Times New Roman" w:eastAsia="Times New Roman" w:hAnsi="Times New Roman" w:cs="Times New Roman"/>
          <w:i/>
          <w:iCs/>
          <w:sz w:val="24"/>
          <w:szCs w:val="24"/>
        </w:rPr>
        <w:t>Addiction medicine: Science and practice (vols. 1 and 2).</w:t>
      </w:r>
      <w:r w:rsidRPr="00896AA2">
        <w:rPr>
          <w:rFonts w:ascii="Times New Roman" w:eastAsia="Times New Roman" w:hAnsi="Times New Roman" w:cs="Times New Roman"/>
          <w:sz w:val="24"/>
          <w:szCs w:val="24"/>
        </w:rPr>
        <w:t xml:space="preserve"> (pp. 1459–1486). Springer Science + Business Media.</w:t>
      </w:r>
    </w:p>
    <w:p w14:paraId="3AB12F7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 Jeune, F., Drapier, D., Bourguignon, A., Péron, J., Mesbah, H., Drapier, S., Sauleau, P., Haegelen, C., Travers, D., Garin, E., Malbert, C. H., Millet, B., &amp; Vérin, M. (2009). Subthalamic nucleus stimulation in Parkinson disease induces apathy: A PET study.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(21), 1746–1751. </w:t>
      </w:r>
      <w:hyperlink r:id="rId3238" w:history="1">
        <w:r w:rsidRPr="00896AA2">
          <w:rPr>
            <w:rFonts w:ascii="Times New Roman" w:eastAsia="Times New Roman" w:hAnsi="Times New Roman" w:cs="Times New Roman"/>
            <w:color w:val="0000FF"/>
            <w:sz w:val="24"/>
            <w:szCs w:val="24"/>
            <w:u w:val="single"/>
          </w:rPr>
          <w:t>https://doi.org/10.1212/WNL.0b013e3181c34b34</w:t>
        </w:r>
      </w:hyperlink>
    </w:p>
    <w:p w14:paraId="3A77925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Lê, K., Coelho, C., Mozeiko, J., Krueger, F., &amp; Grafman, J. (2012). Predicting Story Goodness performance from cognitive measures following traumatic brain injury. </w:t>
      </w:r>
      <w:r w:rsidRPr="00896AA2">
        <w:rPr>
          <w:rFonts w:ascii="Times New Roman" w:eastAsia="Times New Roman" w:hAnsi="Times New Roman" w:cs="Times New Roman"/>
          <w:i/>
          <w:iCs/>
          <w:sz w:val="24"/>
          <w:szCs w:val="24"/>
        </w:rPr>
        <w:t>American Journal of Speech-Language 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s115–s125. </w:t>
      </w:r>
      <w:hyperlink r:id="rId3239" w:history="1">
        <w:r w:rsidRPr="00896AA2">
          <w:rPr>
            <w:rFonts w:ascii="Times New Roman" w:eastAsia="Times New Roman" w:hAnsi="Times New Roman" w:cs="Times New Roman"/>
            <w:color w:val="0000FF"/>
            <w:sz w:val="24"/>
            <w:szCs w:val="24"/>
            <w:u w:val="single"/>
          </w:rPr>
          <w:t>https://doi.org/10.1044/1058-0360(2012/11-0114)</w:t>
        </w:r>
      </w:hyperlink>
    </w:p>
    <w:p w14:paraId="183716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Lê, K., Coelho, C., Mozeiko, J., Krueger, F., &amp; Grafman, J. (2014). Does brain volume loss predict cognitive and narrative discourse performance following traumatic brain injury? </w:t>
      </w:r>
      <w:r w:rsidRPr="00896AA2">
        <w:rPr>
          <w:rFonts w:ascii="Times New Roman" w:eastAsia="Times New Roman" w:hAnsi="Times New Roman" w:cs="Times New Roman"/>
          <w:i/>
          <w:iCs/>
          <w:sz w:val="24"/>
          <w:szCs w:val="24"/>
        </w:rPr>
        <w:t>American Journal of Speech-Language 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(2), S271–S284. </w:t>
      </w:r>
      <w:hyperlink r:id="rId3240" w:history="1">
        <w:r w:rsidRPr="00896AA2">
          <w:rPr>
            <w:rFonts w:ascii="Times New Roman" w:eastAsia="Times New Roman" w:hAnsi="Times New Roman" w:cs="Times New Roman"/>
            <w:color w:val="0000FF"/>
            <w:sz w:val="24"/>
            <w:szCs w:val="24"/>
            <w:u w:val="single"/>
          </w:rPr>
          <w:t>https://doi.org/10.1044/2014_AJSLP-13-0095</w:t>
        </w:r>
      </w:hyperlink>
    </w:p>
    <w:p w14:paraId="146E1F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Leany, B. D., Benuto, L. T., &amp; Thaler, N. S. (2013). Neuropsychological assessment with Hispanic clients. In </w:t>
      </w:r>
      <w:r w:rsidRPr="00896AA2">
        <w:rPr>
          <w:rFonts w:ascii="Times New Roman" w:eastAsia="Times New Roman" w:hAnsi="Times New Roman" w:cs="Times New Roman"/>
          <w:i/>
          <w:iCs/>
          <w:sz w:val="24"/>
          <w:szCs w:val="24"/>
        </w:rPr>
        <w:t>Guide to psychological assessment with Hispanics.</w:t>
      </w:r>
      <w:r w:rsidRPr="00896AA2">
        <w:rPr>
          <w:rFonts w:ascii="Times New Roman" w:eastAsia="Times New Roman" w:hAnsi="Times New Roman" w:cs="Times New Roman"/>
          <w:sz w:val="24"/>
          <w:szCs w:val="24"/>
        </w:rPr>
        <w:t xml:space="preserve"> (pp. 351–376). Springer Science + Business Media. </w:t>
      </w:r>
      <w:hyperlink r:id="rId3241" w:history="1">
        <w:r w:rsidRPr="00896AA2">
          <w:rPr>
            <w:rFonts w:ascii="Times New Roman" w:eastAsia="Times New Roman" w:hAnsi="Times New Roman" w:cs="Times New Roman"/>
            <w:color w:val="0000FF"/>
            <w:sz w:val="24"/>
            <w:szCs w:val="24"/>
            <w:u w:val="single"/>
          </w:rPr>
          <w:t>https://doi.org/10.1007/978-1-4614-4412-1_22</w:t>
        </w:r>
      </w:hyperlink>
    </w:p>
    <w:p w14:paraId="5FAA09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Leanza, L., Egloff, L., Studerus, E., Andreou, C., Heitz, U., Ittig, S., Beck, K., Uttinger, M., &amp; Riecher-Rössler, A. (2018). The relationship between negative symptoms and cognitive functioning in patients at clinical high risk for psychosis.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268</w:t>
      </w:r>
      <w:r w:rsidRPr="00896AA2">
        <w:rPr>
          <w:rFonts w:ascii="Times New Roman" w:eastAsia="Times New Roman" w:hAnsi="Times New Roman" w:cs="Times New Roman"/>
          <w:sz w:val="24"/>
          <w:szCs w:val="24"/>
        </w:rPr>
        <w:t xml:space="preserve">, 21–27. </w:t>
      </w:r>
      <w:hyperlink r:id="rId3242" w:history="1">
        <w:r w:rsidRPr="00896AA2">
          <w:rPr>
            <w:rFonts w:ascii="Times New Roman" w:eastAsia="Times New Roman" w:hAnsi="Times New Roman" w:cs="Times New Roman"/>
            <w:color w:val="0000FF"/>
            <w:sz w:val="24"/>
            <w:szCs w:val="24"/>
            <w:u w:val="single"/>
          </w:rPr>
          <w:t>https://doi.org/10.1016/j.psychres.2018.06.047</w:t>
        </w:r>
      </w:hyperlink>
    </w:p>
    <w:p w14:paraId="1940C33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Lebel, C., Warner, T., Colby, J., Soderberg, L., Roussotte, F., Behnke, M., Eyler, F. D., &amp; Sowell, E. R. (2013). White matter microstructure abnormalities and executive function in adolescents with prenatal cocaine exposure.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213</w:t>
      </w:r>
      <w:r w:rsidRPr="00896AA2">
        <w:rPr>
          <w:rFonts w:ascii="Times New Roman" w:eastAsia="Times New Roman" w:hAnsi="Times New Roman" w:cs="Times New Roman"/>
          <w:sz w:val="24"/>
          <w:szCs w:val="24"/>
        </w:rPr>
        <w:t xml:space="preserve">(2), 161–168. </w:t>
      </w:r>
      <w:hyperlink r:id="rId3243" w:history="1">
        <w:r w:rsidRPr="00896AA2">
          <w:rPr>
            <w:rFonts w:ascii="Times New Roman" w:eastAsia="Times New Roman" w:hAnsi="Times New Roman" w:cs="Times New Roman"/>
            <w:color w:val="0000FF"/>
            <w:sz w:val="24"/>
            <w:szCs w:val="24"/>
            <w:u w:val="single"/>
          </w:rPr>
          <w:t>https://doi.org/10.1016/j.pscychresns.2013.04.002</w:t>
        </w:r>
      </w:hyperlink>
    </w:p>
    <w:p w14:paraId="648D67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Lebowitz, A., Nemoto, K., Yamada, N., Usuniwa, H., Tamura, M., Ishikawa, K., &amp; Arai, T. (2018). Exercise habit could modulate cognitive benefits from physical and cognitive intervention.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72</w:t>
      </w:r>
      <w:r w:rsidRPr="00896AA2">
        <w:rPr>
          <w:rFonts w:ascii="Times New Roman" w:eastAsia="Times New Roman" w:hAnsi="Times New Roman" w:cs="Times New Roman"/>
          <w:sz w:val="24"/>
          <w:szCs w:val="24"/>
        </w:rPr>
        <w:t xml:space="preserve">(3), 189–190. </w:t>
      </w:r>
      <w:hyperlink r:id="rId3244" w:history="1">
        <w:r w:rsidRPr="00896AA2">
          <w:rPr>
            <w:rFonts w:ascii="Times New Roman" w:eastAsia="Times New Roman" w:hAnsi="Times New Roman" w:cs="Times New Roman"/>
            <w:color w:val="0000FF"/>
            <w:sz w:val="24"/>
            <w:szCs w:val="24"/>
            <w:u w:val="single"/>
          </w:rPr>
          <w:t>https://doi.org/10.1111/pcn.12635</w:t>
        </w:r>
      </w:hyperlink>
    </w:p>
    <w:p w14:paraId="1FCB49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Lebowitz, B. K., Schefft, B. K., Testa, S. M., Patton, J. A., &amp; Yeh, H.-S. (2006). Neurocognitive Sequelae of a Giant Arachnoid Cyst: Case Study.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(6), 339–345. </w:t>
      </w:r>
      <w:hyperlink r:id="rId3245" w:history="1">
        <w:r w:rsidRPr="00896AA2">
          <w:rPr>
            <w:rFonts w:ascii="Times New Roman" w:eastAsia="Times New Roman" w:hAnsi="Times New Roman" w:cs="Times New Roman"/>
            <w:color w:val="0000FF"/>
            <w:sz w:val="24"/>
            <w:szCs w:val="24"/>
            <w:u w:val="single"/>
          </w:rPr>
          <w:t>https://doi.org/10.1080/13554790601087165</w:t>
        </w:r>
      </w:hyperlink>
    </w:p>
    <w:p w14:paraId="54CB7D1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Lebowitz, B. K., Touradji, P., Jonen, L., Belanger, H. G., Curtiss, G., &amp; Vanderploeg, R. D. (2006). Executive Control and Learning Pattern on the CVLT.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(7), 1208–1217. </w:t>
      </w:r>
      <w:hyperlink r:id="rId3246" w:history="1">
        <w:r w:rsidRPr="00896AA2">
          <w:rPr>
            <w:rFonts w:ascii="Times New Roman" w:eastAsia="Times New Roman" w:hAnsi="Times New Roman" w:cs="Times New Roman"/>
            <w:color w:val="0000FF"/>
            <w:sz w:val="24"/>
            <w:szCs w:val="24"/>
            <w:u w:val="single"/>
          </w:rPr>
          <w:t>https://doi.org/10.1080/13803390500302028</w:t>
        </w:r>
      </w:hyperlink>
    </w:p>
    <w:p w14:paraId="1D8B77B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Leclerc, C. M., &amp; Kensinger, E. A. (2008). Effects of age on detection of emotional information. </w:t>
      </w:r>
      <w:r w:rsidRPr="00896AA2">
        <w:rPr>
          <w:rFonts w:ascii="Times New Roman" w:eastAsia="Times New Roman" w:hAnsi="Times New Roman" w:cs="Times New Roman"/>
          <w:i/>
          <w:iCs/>
          <w:sz w:val="24"/>
          <w:szCs w:val="24"/>
        </w:rPr>
        <w:t>Psychology and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(1), 209–215. </w:t>
      </w:r>
      <w:hyperlink r:id="rId3247" w:history="1">
        <w:r w:rsidRPr="00896AA2">
          <w:rPr>
            <w:rFonts w:ascii="Times New Roman" w:eastAsia="Times New Roman" w:hAnsi="Times New Roman" w:cs="Times New Roman"/>
            <w:color w:val="0000FF"/>
            <w:sz w:val="24"/>
            <w:szCs w:val="24"/>
            <w:u w:val="single"/>
          </w:rPr>
          <w:t>https://doi.org/10.1037/0882-7974.23.1.209</w:t>
        </w:r>
      </w:hyperlink>
    </w:p>
    <w:p w14:paraId="0A7C411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C. J., Lee, L.-T., Tsai, H. C., Chang, W. H., Lee, I. H., Chen, K. C., Chang, H. H., Chen, P. S., &amp; Yang, Y. K. (2018). Factors related to metabolic parameters in medicated patients with major depressive disorder–-A naturalistic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268</w:t>
      </w:r>
      <w:r w:rsidRPr="00896AA2">
        <w:rPr>
          <w:rFonts w:ascii="Times New Roman" w:eastAsia="Times New Roman" w:hAnsi="Times New Roman" w:cs="Times New Roman"/>
          <w:sz w:val="24"/>
          <w:szCs w:val="24"/>
        </w:rPr>
        <w:t xml:space="preserve">, 28–33. </w:t>
      </w:r>
      <w:hyperlink r:id="rId3248" w:history="1">
        <w:r w:rsidRPr="00896AA2">
          <w:rPr>
            <w:rFonts w:ascii="Times New Roman" w:eastAsia="Times New Roman" w:hAnsi="Times New Roman" w:cs="Times New Roman"/>
            <w:color w:val="0000FF"/>
            <w:sz w:val="24"/>
            <w:szCs w:val="24"/>
            <w:u w:val="single"/>
          </w:rPr>
          <w:t>https://doi.org/10.1016/j.psychres.2018.06.061</w:t>
        </w:r>
      </w:hyperlink>
    </w:p>
    <w:p w14:paraId="5BDA874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D., LoGalbo, A. P., Baños, J. H., &amp; Novack, T. A. (2004). Prediction of Cognitive Abilities 1 Year Following Traumatic Brain Injury From Inpatient Rehabilitation Cognitive Screening. </w:t>
      </w:r>
      <w:r w:rsidRPr="00896AA2">
        <w:rPr>
          <w:rFonts w:ascii="Times New Roman" w:eastAsia="Times New Roman" w:hAnsi="Times New Roman" w:cs="Times New Roman"/>
          <w:i/>
          <w:iCs/>
          <w:sz w:val="24"/>
          <w:szCs w:val="24"/>
        </w:rPr>
        <w:t>Rehabilitation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(2), 167–171. </w:t>
      </w:r>
      <w:hyperlink r:id="rId3249" w:history="1">
        <w:r w:rsidRPr="00896AA2">
          <w:rPr>
            <w:rFonts w:ascii="Times New Roman" w:eastAsia="Times New Roman" w:hAnsi="Times New Roman" w:cs="Times New Roman"/>
            <w:color w:val="0000FF"/>
            <w:sz w:val="24"/>
            <w:szCs w:val="24"/>
            <w:u w:val="single"/>
          </w:rPr>
          <w:t>https://doi.org/10.1037/0090-5550.49.2.167</w:t>
        </w:r>
      </w:hyperlink>
    </w:p>
    <w:p w14:paraId="698523F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D., Riccio, C. A., &amp; Hynd, G. W. (2004). The Role of Executive Functions in Attention Deficit Hyperactivity Disorder: Testing Predictions from Two Models. </w:t>
      </w:r>
      <w:r w:rsidRPr="00896AA2">
        <w:rPr>
          <w:rFonts w:ascii="Times New Roman" w:eastAsia="Times New Roman" w:hAnsi="Times New Roman" w:cs="Times New Roman"/>
          <w:i/>
          <w:iCs/>
          <w:sz w:val="24"/>
          <w:szCs w:val="24"/>
        </w:rPr>
        <w:t>Canadian Journal of School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(1–2), 167–189. </w:t>
      </w:r>
      <w:hyperlink r:id="rId3250" w:history="1">
        <w:r w:rsidRPr="00896AA2">
          <w:rPr>
            <w:rFonts w:ascii="Times New Roman" w:eastAsia="Times New Roman" w:hAnsi="Times New Roman" w:cs="Times New Roman"/>
            <w:color w:val="0000FF"/>
            <w:sz w:val="24"/>
            <w:szCs w:val="24"/>
            <w:u w:val="single"/>
          </w:rPr>
          <w:t>https://doi.org/10.1177/082957350401900109</w:t>
        </w:r>
      </w:hyperlink>
    </w:p>
    <w:p w14:paraId="33C154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D.-H., Lee, K.-J., Cho, K. I. K., Noh, E. C., Jang, J. H., Kim, Y. C., &amp; Kang, D.-H. (2015). Brain alterations and neurocognitive dysfunction in patients with complex regional pain syndrome. </w:t>
      </w:r>
      <w:r w:rsidRPr="00896AA2">
        <w:rPr>
          <w:rFonts w:ascii="Times New Roman" w:eastAsia="Times New Roman" w:hAnsi="Times New Roman" w:cs="Times New Roman"/>
          <w:i/>
          <w:iCs/>
          <w:sz w:val="24"/>
          <w:szCs w:val="24"/>
        </w:rPr>
        <w:t>The Journal of Pain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(6), 580–586. </w:t>
      </w:r>
      <w:hyperlink r:id="rId3251" w:history="1">
        <w:r w:rsidRPr="00896AA2">
          <w:rPr>
            <w:rFonts w:ascii="Times New Roman" w:eastAsia="Times New Roman" w:hAnsi="Times New Roman" w:cs="Times New Roman"/>
            <w:color w:val="0000FF"/>
            <w:sz w:val="24"/>
            <w:szCs w:val="24"/>
            <w:u w:val="single"/>
          </w:rPr>
          <w:t>https://doi.org/10.1016/j.jpain.2015.03.006</w:t>
        </w:r>
      </w:hyperlink>
    </w:p>
    <w:p w14:paraId="1AD0E56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J. J., Chin, H. J., Byun, M., Choe, J. Y., Park, J. H., Lee, S. B., Choi, E. A., Chae, D. W., &amp; Kim, K. W. (2011). Impaired frontal executive function and predialytic chronic kidney disease. </w:t>
      </w:r>
      <w:r w:rsidRPr="00896AA2">
        <w:rPr>
          <w:rFonts w:ascii="Times New Roman" w:eastAsia="Times New Roman" w:hAnsi="Times New Roman" w:cs="Times New Roman"/>
          <w:i/>
          <w:iCs/>
          <w:sz w:val="24"/>
          <w:szCs w:val="24"/>
        </w:rPr>
        <w:t>Journal of the American Geriatrics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(9), 1628–1635. </w:t>
      </w:r>
      <w:hyperlink r:id="rId3252" w:history="1">
        <w:r w:rsidRPr="00896AA2">
          <w:rPr>
            <w:rFonts w:ascii="Times New Roman" w:eastAsia="Times New Roman" w:hAnsi="Times New Roman" w:cs="Times New Roman"/>
            <w:color w:val="0000FF"/>
            <w:sz w:val="24"/>
            <w:szCs w:val="24"/>
            <w:u w:val="single"/>
          </w:rPr>
          <w:t>https://doi.org/10.1111/j.1532-5415.2011.03562.x</w:t>
        </w:r>
      </w:hyperlink>
    </w:p>
    <w:p w14:paraId="5AFDEB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J. K., &amp; Orsillo, S. M. (2014). Investigating cognitive flexibility as a potential mechanism of mindfulness in Generalized Anxiety Disorder. </w:t>
      </w:r>
      <w:r w:rsidRPr="00896AA2">
        <w:rPr>
          <w:rFonts w:ascii="Times New Roman" w:eastAsia="Times New Roman" w:hAnsi="Times New Roman" w:cs="Times New Roman"/>
          <w:i/>
          <w:iCs/>
          <w:sz w:val="24"/>
          <w:szCs w:val="24"/>
        </w:rPr>
        <w:t>Journal of Behavior Therapy and Experimental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(1), 208–216. </w:t>
      </w:r>
      <w:hyperlink r:id="rId3253" w:history="1">
        <w:r w:rsidRPr="00896AA2">
          <w:rPr>
            <w:rFonts w:ascii="Times New Roman" w:eastAsia="Times New Roman" w:hAnsi="Times New Roman" w:cs="Times New Roman"/>
            <w:color w:val="0000FF"/>
            <w:sz w:val="24"/>
            <w:szCs w:val="24"/>
            <w:u w:val="single"/>
          </w:rPr>
          <w:t>https://doi.org/10.1016/j.jbtep.2013.10.008</w:t>
        </w:r>
      </w:hyperlink>
    </w:p>
    <w:p w14:paraId="5A3104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 (2004). Age, Neuropsychological, and Social Cognitive Measures as Predictors of Individual Differences in Susceptibility to the Misinformation Effect. </w:t>
      </w:r>
      <w:r w:rsidRPr="00896AA2">
        <w:rPr>
          <w:rFonts w:ascii="Times New Roman" w:eastAsia="Times New Roman" w:hAnsi="Times New Roman" w:cs="Times New Roman"/>
          <w:i/>
          <w:iCs/>
          <w:sz w:val="24"/>
          <w:szCs w:val="24"/>
        </w:rPr>
        <w:t>Applied Cognitive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(8), 997–1019. </w:t>
      </w:r>
      <w:hyperlink r:id="rId3254" w:history="1">
        <w:r w:rsidRPr="00896AA2">
          <w:rPr>
            <w:rFonts w:ascii="Times New Roman" w:eastAsia="Times New Roman" w:hAnsi="Times New Roman" w:cs="Times New Roman"/>
            <w:color w:val="0000FF"/>
            <w:sz w:val="24"/>
            <w:szCs w:val="24"/>
            <w:u w:val="single"/>
          </w:rPr>
          <w:t>https://doi.org/10.1002/acp.1075</w:t>
        </w:r>
      </w:hyperlink>
    </w:p>
    <w:p w14:paraId="259534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 J., Lee, J. S., Kim, S. J., Correll, C. U., Wee, H., Yoo, S. Y., Jeong, J. M., Lee, D. S., Lee, S. I., &amp; Kwon, J. S. (2008). Loss of asymmetry in D₂ receptors of putamen in unaffected family members at increased genetic risk for schizophrenia.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118</w:t>
      </w:r>
      <w:r w:rsidRPr="00896AA2">
        <w:rPr>
          <w:rFonts w:ascii="Times New Roman" w:eastAsia="Times New Roman" w:hAnsi="Times New Roman" w:cs="Times New Roman"/>
          <w:sz w:val="24"/>
          <w:szCs w:val="24"/>
        </w:rPr>
        <w:t xml:space="preserve">(3), 200–208. </w:t>
      </w:r>
      <w:hyperlink r:id="rId3255" w:history="1">
        <w:r w:rsidRPr="00896AA2">
          <w:rPr>
            <w:rFonts w:ascii="Times New Roman" w:eastAsia="Times New Roman" w:hAnsi="Times New Roman" w:cs="Times New Roman"/>
            <w:color w:val="0000FF"/>
            <w:sz w:val="24"/>
            <w:szCs w:val="24"/>
            <w:u w:val="single"/>
          </w:rPr>
          <w:t>https://doi.org/10.1111/j.1600-0447.2008.01223.x</w:t>
        </w:r>
      </w:hyperlink>
    </w:p>
    <w:p w14:paraId="67FA004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 Shinbo, M., Kanai, H., &amp; Nagumo, Y. (2011). Reduplicative paramnesia after a right frontal lesion. </w:t>
      </w:r>
      <w:r w:rsidRPr="00896AA2">
        <w:rPr>
          <w:rFonts w:ascii="Times New Roman" w:eastAsia="Times New Roman" w:hAnsi="Times New Roman" w:cs="Times New Roman"/>
          <w:i/>
          <w:iCs/>
          <w:sz w:val="24"/>
          <w:szCs w:val="24"/>
        </w:rPr>
        <w:t>Cognitive and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(1), 35–39. </w:t>
      </w:r>
      <w:hyperlink r:id="rId3256" w:history="1">
        <w:r w:rsidRPr="00896AA2">
          <w:rPr>
            <w:rFonts w:ascii="Times New Roman" w:eastAsia="Times New Roman" w:hAnsi="Times New Roman" w:cs="Times New Roman"/>
            <w:color w:val="0000FF"/>
            <w:sz w:val="24"/>
            <w:szCs w:val="24"/>
            <w:u w:val="single"/>
          </w:rPr>
          <w:t>https://doi.org/10.1097/WNN.0b013e31821129b7</w:t>
        </w:r>
      </w:hyperlink>
    </w:p>
    <w:p w14:paraId="7CE8A6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K.-H., Brown, W. H., Egleston, P. N., Green, R. D. J., Farrow, T. F. D., Hunter, M. D., Parks, R. W., Wilkinson, lain D., Spence, S. A., &amp; Woodruff, P. W. R. (2006). A functional magnetic resonance imaging study of social cognition in schizophrenia during an acute episode and after recovery.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163</w:t>
      </w:r>
      <w:r w:rsidRPr="00896AA2">
        <w:rPr>
          <w:rFonts w:ascii="Times New Roman" w:eastAsia="Times New Roman" w:hAnsi="Times New Roman" w:cs="Times New Roman"/>
          <w:sz w:val="24"/>
          <w:szCs w:val="24"/>
        </w:rPr>
        <w:t xml:space="preserve">(11), 1926–1933. </w:t>
      </w:r>
      <w:hyperlink r:id="rId3257" w:history="1">
        <w:r w:rsidRPr="00896AA2">
          <w:rPr>
            <w:rFonts w:ascii="Times New Roman" w:eastAsia="Times New Roman" w:hAnsi="Times New Roman" w:cs="Times New Roman"/>
            <w:color w:val="0000FF"/>
            <w:sz w:val="24"/>
            <w:szCs w:val="24"/>
            <w:u w:val="single"/>
          </w:rPr>
          <w:t>https://doi.org/10.1176/appi.ajp.163.11.1926</w:t>
        </w:r>
      </w:hyperlink>
    </w:p>
    <w:p w14:paraId="044035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K.-H., Farrow, T. F. D., Parks, R. W., Newton, L. D., Mir, N. U., Egleston, P. N., Brown, W. H., Wilkinson, I. D., &amp; Woodruff, P. R. W. (2007). Increased cerebellar vermis white-matter volume in men with schizophrenia.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(8), 645–651. </w:t>
      </w:r>
      <w:hyperlink r:id="rId3258" w:history="1">
        <w:r w:rsidRPr="00896AA2">
          <w:rPr>
            <w:rFonts w:ascii="Times New Roman" w:eastAsia="Times New Roman" w:hAnsi="Times New Roman" w:cs="Times New Roman"/>
            <w:color w:val="0000FF"/>
            <w:sz w:val="24"/>
            <w:szCs w:val="24"/>
            <w:u w:val="single"/>
          </w:rPr>
          <w:t>https://doi.org/10.1016/j.jpsychires.2006.03.001</w:t>
        </w:r>
      </w:hyperlink>
    </w:p>
    <w:p w14:paraId="2E46014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M. K., Baker, S., &amp; Whitebread, D. (2018). Culture‐specific links between maternal executive function, parenting, and preschool children’s executive function in South Korea. </w:t>
      </w:r>
      <w:r w:rsidRPr="00896AA2">
        <w:rPr>
          <w:rFonts w:ascii="Times New Roman" w:eastAsia="Times New Roman" w:hAnsi="Times New Roman" w:cs="Times New Roman"/>
          <w:i/>
          <w:iCs/>
          <w:sz w:val="24"/>
          <w:szCs w:val="24"/>
        </w:rPr>
        <w:t>British Journal of Educational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88</w:t>
      </w:r>
      <w:r w:rsidRPr="00896AA2">
        <w:rPr>
          <w:rFonts w:ascii="Times New Roman" w:eastAsia="Times New Roman" w:hAnsi="Times New Roman" w:cs="Times New Roman"/>
          <w:sz w:val="24"/>
          <w:szCs w:val="24"/>
        </w:rPr>
        <w:t xml:space="preserve">(2), 216–235. </w:t>
      </w:r>
      <w:hyperlink r:id="rId3259" w:history="1">
        <w:r w:rsidRPr="00896AA2">
          <w:rPr>
            <w:rFonts w:ascii="Times New Roman" w:eastAsia="Times New Roman" w:hAnsi="Times New Roman" w:cs="Times New Roman"/>
            <w:color w:val="0000FF"/>
            <w:sz w:val="24"/>
            <w:szCs w:val="24"/>
            <w:u w:val="single"/>
          </w:rPr>
          <w:t>https://doi.org/10.1111/bjep.12221</w:t>
        </w:r>
      </w:hyperlink>
    </w:p>
    <w:p w14:paraId="4EACD9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R. S. C., Hermens, D. F., Porter, M. A., &amp; Redoblado-Hodge, M. A. (2012). A meta-analysis of cognitive deficits in first-episode major depressive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140</w:t>
      </w:r>
      <w:r w:rsidRPr="00896AA2">
        <w:rPr>
          <w:rFonts w:ascii="Times New Roman" w:eastAsia="Times New Roman" w:hAnsi="Times New Roman" w:cs="Times New Roman"/>
          <w:sz w:val="24"/>
          <w:szCs w:val="24"/>
        </w:rPr>
        <w:t xml:space="preserve">(2), 113–124. </w:t>
      </w:r>
      <w:hyperlink r:id="rId3260" w:history="1">
        <w:r w:rsidRPr="00896AA2">
          <w:rPr>
            <w:rFonts w:ascii="Times New Roman" w:eastAsia="Times New Roman" w:hAnsi="Times New Roman" w:cs="Times New Roman"/>
            <w:color w:val="0000FF"/>
            <w:sz w:val="24"/>
            <w:szCs w:val="24"/>
            <w:u w:val="single"/>
          </w:rPr>
          <w:t>https://doi.org/10.1016/j.jad.2011.10.023</w:t>
        </w:r>
      </w:hyperlink>
    </w:p>
    <w:p w14:paraId="580E337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 J., Kang, D. H., Kim, C.-W., Gu, B. M., Park, J.-Y., Choi, C.-H., Shin, N. Y., Lee, J.-M., &amp; Kwon, J. S. (2010). Multi-level comparison of empathy in schizophrenia: An fMRI study of a cartoon task.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181</w:t>
      </w:r>
      <w:r w:rsidRPr="00896AA2">
        <w:rPr>
          <w:rFonts w:ascii="Times New Roman" w:eastAsia="Times New Roman" w:hAnsi="Times New Roman" w:cs="Times New Roman"/>
          <w:sz w:val="24"/>
          <w:szCs w:val="24"/>
        </w:rPr>
        <w:t xml:space="preserve">(2), 121–129. </w:t>
      </w:r>
      <w:hyperlink r:id="rId3261" w:history="1">
        <w:r w:rsidRPr="00896AA2">
          <w:rPr>
            <w:rFonts w:ascii="Times New Roman" w:eastAsia="Times New Roman" w:hAnsi="Times New Roman" w:cs="Times New Roman"/>
            <w:color w:val="0000FF"/>
            <w:sz w:val="24"/>
            <w:szCs w:val="24"/>
            <w:u w:val="single"/>
          </w:rPr>
          <w:t>https://doi.org/10.1016/j.pscychresns.2009.08.003</w:t>
        </w:r>
      </w:hyperlink>
    </w:p>
    <w:p w14:paraId="33D91A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 Y., Bang, M., Kim, K. R., Lee, M. K., Park, J. Y., Song, Y. Y., Kang, J. I., Lee, E., &amp; An, S. K. (2015). Impaired facial emotion recognition in individuals at ultra-high risk for psychosis and with first-episode schizophrenia, and their associations with neurocognitive deficits and self-reported schizotypy.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165</w:t>
      </w:r>
      <w:r w:rsidRPr="00896AA2">
        <w:rPr>
          <w:rFonts w:ascii="Times New Roman" w:eastAsia="Times New Roman" w:hAnsi="Times New Roman" w:cs="Times New Roman"/>
          <w:sz w:val="24"/>
          <w:szCs w:val="24"/>
        </w:rPr>
        <w:t xml:space="preserve">(1), 60–65. </w:t>
      </w:r>
      <w:hyperlink r:id="rId3262" w:history="1">
        <w:r w:rsidRPr="00896AA2">
          <w:rPr>
            <w:rFonts w:ascii="Times New Roman" w:eastAsia="Times New Roman" w:hAnsi="Times New Roman" w:cs="Times New Roman"/>
            <w:color w:val="0000FF"/>
            <w:sz w:val="24"/>
            <w:szCs w:val="24"/>
            <w:u w:val="single"/>
          </w:rPr>
          <w:t>https://doi.org/10.1016/j.schres.2015.03.026</w:t>
        </w:r>
      </w:hyperlink>
    </w:p>
    <w:p w14:paraId="2AE8B1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S.-H., Kubicki, M., Asami, T., Seidman, L. J., Goldstein, J. M., Mesholam-Gately, R. I., McCarley, R. W., &amp; Shenton, M. E. (2013). Extensive white matter abnormalities in patients with first-episode schizophrenia: A diffusion tensor imaging (DTI)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143</w:t>
      </w:r>
      <w:r w:rsidRPr="00896AA2">
        <w:rPr>
          <w:rFonts w:ascii="Times New Roman" w:eastAsia="Times New Roman" w:hAnsi="Times New Roman" w:cs="Times New Roman"/>
          <w:sz w:val="24"/>
          <w:szCs w:val="24"/>
        </w:rPr>
        <w:t xml:space="preserve">(2–3), 231–238. </w:t>
      </w:r>
      <w:hyperlink r:id="rId3263" w:history="1">
        <w:r w:rsidRPr="00896AA2">
          <w:rPr>
            <w:rFonts w:ascii="Times New Roman" w:eastAsia="Times New Roman" w:hAnsi="Times New Roman" w:cs="Times New Roman"/>
            <w:color w:val="0000FF"/>
            <w:sz w:val="24"/>
            <w:szCs w:val="24"/>
            <w:u w:val="single"/>
          </w:rPr>
          <w:t>https://doi.org/10.1016/j.schres.2012.11.029</w:t>
        </w:r>
      </w:hyperlink>
    </w:p>
    <w:p w14:paraId="3BE124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S.-M., Chou, Y.-H., Li, M.-H., Wan, F.-J., &amp; Yen, M.-H. (2007). Effects of antipsychotics on cognitive performance in drug-naive schizophrenic patients.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(5), 1101–1107. </w:t>
      </w:r>
      <w:hyperlink r:id="rId3264" w:history="1">
        <w:r w:rsidRPr="00896AA2">
          <w:rPr>
            <w:rFonts w:ascii="Times New Roman" w:eastAsia="Times New Roman" w:hAnsi="Times New Roman" w:cs="Times New Roman"/>
            <w:color w:val="0000FF"/>
            <w:sz w:val="24"/>
            <w:szCs w:val="24"/>
            <w:u w:val="single"/>
          </w:rPr>
          <w:t>https://doi.org/10.1016/j.pnpbp.2007.03.016</w:t>
        </w:r>
      </w:hyperlink>
    </w:p>
    <w:p w14:paraId="4749A0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S.-Y., Wang, T.-Y., Chen, S.-L., Chang, Y.-H., Chen, P.-S., Huang, S.-Y., Tzeng, N.-S., Wang, L.-J., Lee, I.-H., Chen, K.-C., Yang, Y. K., Yang, Y.-H., Chen, C.-S., &amp; Lu, R.-B. (2018). ALDH2 modulated changes in cytokine levels and cognitive function in bipolar disorder: A 12-week follow-up study. </w:t>
      </w:r>
      <w:r w:rsidRPr="00896AA2">
        <w:rPr>
          <w:rFonts w:ascii="Times New Roman" w:eastAsia="Times New Roman" w:hAnsi="Times New Roman" w:cs="Times New Roman"/>
          <w:i/>
          <w:iCs/>
          <w:sz w:val="24"/>
          <w:szCs w:val="24"/>
        </w:rPr>
        <w:t>Australian and New Zealand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(7), 680–689. </w:t>
      </w:r>
      <w:hyperlink r:id="rId3265" w:history="1">
        <w:r w:rsidRPr="00896AA2">
          <w:rPr>
            <w:rFonts w:ascii="Times New Roman" w:eastAsia="Times New Roman" w:hAnsi="Times New Roman" w:cs="Times New Roman"/>
            <w:color w:val="0000FF"/>
            <w:sz w:val="24"/>
            <w:szCs w:val="24"/>
            <w:u w:val="single"/>
          </w:rPr>
          <w:t>https://doi.org/10.1177/0004867417720517</w:t>
        </w:r>
      </w:hyperlink>
    </w:p>
    <w:p w14:paraId="6E994E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 M. C., Wong, M. L., Lau, B. W.-M., Lee, J. C.-D., Yau, S.-Y., &amp; So, K.-F. (2014). Aerobic exercise interacts with neurotrophic factors to predict cognitive functioning in adolescents. </w:t>
      </w:r>
      <w:r w:rsidRPr="00896AA2">
        <w:rPr>
          <w:rFonts w:ascii="Times New Roman" w:eastAsia="Times New Roman" w:hAnsi="Times New Roman" w:cs="Times New Roman"/>
          <w:i/>
          <w:iCs/>
          <w:sz w:val="24"/>
          <w:szCs w:val="24"/>
        </w:rPr>
        <w:t>Psychoneuroendocrinology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 214–224. </w:t>
      </w:r>
      <w:hyperlink r:id="rId3266" w:history="1">
        <w:r w:rsidRPr="00896AA2">
          <w:rPr>
            <w:rFonts w:ascii="Times New Roman" w:eastAsia="Times New Roman" w:hAnsi="Times New Roman" w:cs="Times New Roman"/>
            <w:color w:val="0000FF"/>
            <w:sz w:val="24"/>
            <w:szCs w:val="24"/>
            <w:u w:val="single"/>
          </w:rPr>
          <w:t>https://doi.org/10.1016/j.psyneuen.2013.09.019</w:t>
        </w:r>
      </w:hyperlink>
    </w:p>
    <w:p w14:paraId="0A635CA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 Mosing, M. A., Henry, J. D., Trollor, J. N., Ames, D., Martin, N. G., Wright, M. J., &amp; Sachdev, P. S. (2012). Genetic influences on four measures of executive functions and their covariation with general cognitive ability: The Older Australian Twins Study. </w:t>
      </w:r>
      <w:r w:rsidRPr="00896AA2">
        <w:rPr>
          <w:rFonts w:ascii="Times New Roman" w:eastAsia="Times New Roman" w:hAnsi="Times New Roman" w:cs="Times New Roman"/>
          <w:i/>
          <w:iCs/>
          <w:sz w:val="24"/>
          <w:szCs w:val="24"/>
        </w:rPr>
        <w:t>Behavior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(4), 528–538. </w:t>
      </w:r>
      <w:hyperlink r:id="rId3267" w:history="1">
        <w:r w:rsidRPr="00896AA2">
          <w:rPr>
            <w:rFonts w:ascii="Times New Roman" w:eastAsia="Times New Roman" w:hAnsi="Times New Roman" w:cs="Times New Roman"/>
            <w:color w:val="0000FF"/>
            <w:sz w:val="24"/>
            <w:szCs w:val="24"/>
            <w:u w:val="single"/>
          </w:rPr>
          <w:t>https://doi.org/10.1007/s10519-012-9526-1</w:t>
        </w:r>
      </w:hyperlink>
    </w:p>
    <w:p w14:paraId="20E578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 Y., Shin, Y. S., Shin, N. Y., Kim, S. N., Jang, J. H., Kang, D.-H., &amp; Kwon, J. S. (2014). Neurocognitive function as a possible marker for remission from clinical high risk for psychosis.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153</w:t>
      </w:r>
      <w:r w:rsidRPr="00896AA2">
        <w:rPr>
          <w:rFonts w:ascii="Times New Roman" w:eastAsia="Times New Roman" w:hAnsi="Times New Roman" w:cs="Times New Roman"/>
          <w:sz w:val="24"/>
          <w:szCs w:val="24"/>
        </w:rPr>
        <w:t xml:space="preserve">(1–3), 48–53. </w:t>
      </w:r>
      <w:hyperlink r:id="rId3268" w:history="1">
        <w:r w:rsidRPr="00896AA2">
          <w:rPr>
            <w:rFonts w:ascii="Times New Roman" w:eastAsia="Times New Roman" w:hAnsi="Times New Roman" w:cs="Times New Roman"/>
            <w:color w:val="0000FF"/>
            <w:sz w:val="24"/>
            <w:szCs w:val="24"/>
            <w:u w:val="single"/>
          </w:rPr>
          <w:t>https://doi.org/10.1016/j.schres.2014.01.018</w:t>
        </w:r>
      </w:hyperlink>
    </w:p>
    <w:p w14:paraId="1E39D7A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T.-W., Liu, H.-L., Wai, Y.-Y., Ko, H.-J., &amp; Lee, S.-H. (2013). Abnormal neural activity in partially remitted late-onset depression: An fMRI study of one-back working memory task.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213</w:t>
      </w:r>
      <w:r w:rsidRPr="00896AA2">
        <w:rPr>
          <w:rFonts w:ascii="Times New Roman" w:eastAsia="Times New Roman" w:hAnsi="Times New Roman" w:cs="Times New Roman"/>
          <w:sz w:val="24"/>
          <w:szCs w:val="24"/>
        </w:rPr>
        <w:t xml:space="preserve">(2), 133–141. </w:t>
      </w:r>
      <w:hyperlink r:id="rId3269" w:history="1">
        <w:r w:rsidRPr="00896AA2">
          <w:rPr>
            <w:rFonts w:ascii="Times New Roman" w:eastAsia="Times New Roman" w:hAnsi="Times New Roman" w:cs="Times New Roman"/>
            <w:color w:val="0000FF"/>
            <w:sz w:val="24"/>
            <w:szCs w:val="24"/>
            <w:u w:val="single"/>
          </w:rPr>
          <w:t>https://doi.org/10.1016/j.pscychresns.2012.04.010</w:t>
        </w:r>
      </w:hyperlink>
    </w:p>
    <w:p w14:paraId="2C13870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T.-W., Yu, Y. W.-Y., Hong, C.-J., Tsai, S.-J., Wu, H.-C., &amp; Chen, T.-J. (2011). The effects of catechol-O-methyl-transferase polymorphism Val158Met on functional connectivity in healthy young females: A resting EEG study. </w:t>
      </w:r>
      <w:r w:rsidRPr="00896AA2">
        <w:rPr>
          <w:rFonts w:ascii="Times New Roman" w:eastAsia="Times New Roman" w:hAnsi="Times New Roman" w:cs="Times New Roman"/>
          <w:i/>
          <w:iCs/>
          <w:sz w:val="24"/>
          <w:szCs w:val="24"/>
        </w:rPr>
        <w:t>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1377</w:t>
      </w:r>
      <w:r w:rsidRPr="00896AA2">
        <w:rPr>
          <w:rFonts w:ascii="Times New Roman" w:eastAsia="Times New Roman" w:hAnsi="Times New Roman" w:cs="Times New Roman"/>
          <w:sz w:val="24"/>
          <w:szCs w:val="24"/>
        </w:rPr>
        <w:t xml:space="preserve">, 21–31. </w:t>
      </w:r>
      <w:hyperlink r:id="rId3270" w:history="1">
        <w:r w:rsidRPr="00896AA2">
          <w:rPr>
            <w:rFonts w:ascii="Times New Roman" w:eastAsia="Times New Roman" w:hAnsi="Times New Roman" w:cs="Times New Roman"/>
            <w:color w:val="0000FF"/>
            <w:sz w:val="24"/>
            <w:szCs w:val="24"/>
            <w:u w:val="single"/>
          </w:rPr>
          <w:t>https://doi.org/10.1016/j.brainres.2010.12.073</w:t>
        </w:r>
      </w:hyperlink>
    </w:p>
    <w:p w14:paraId="042FCB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Y. C., Williams, D. R., &amp; Anderson, J. F. I. (2016). Frontal deficits differentiate progressive supranuclear palsy from Parkinson’s disease. </w:t>
      </w:r>
      <w:r w:rsidRPr="00896AA2">
        <w:rPr>
          <w:rFonts w:ascii="Times New Roman" w:eastAsia="Times New Roman" w:hAnsi="Times New Roman" w:cs="Times New Roman"/>
          <w:i/>
          <w:iCs/>
          <w:sz w:val="24"/>
          <w:szCs w:val="24"/>
        </w:rPr>
        <w:t>Journal of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1–14. </w:t>
      </w:r>
      <w:hyperlink r:id="rId3271" w:history="1">
        <w:r w:rsidRPr="00896AA2">
          <w:rPr>
            <w:rFonts w:ascii="Times New Roman" w:eastAsia="Times New Roman" w:hAnsi="Times New Roman" w:cs="Times New Roman"/>
            <w:color w:val="0000FF"/>
            <w:sz w:val="24"/>
            <w:szCs w:val="24"/>
            <w:u w:val="single"/>
          </w:rPr>
          <w:t>https://doi.org/10.1111/jnp.12053</w:t>
        </w:r>
      </w:hyperlink>
    </w:p>
    <w:p w14:paraId="388F30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 Y., Kim, Y.-T., Seo, E., Park, O., Jeong, S.-H., Kim, S. H., &amp; Lee, S.-J. (2007). Dissociation of emotional decision-making from cognitive decision-making in chronic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152</w:t>
      </w:r>
      <w:r w:rsidRPr="00896AA2">
        <w:rPr>
          <w:rFonts w:ascii="Times New Roman" w:eastAsia="Times New Roman" w:hAnsi="Times New Roman" w:cs="Times New Roman"/>
          <w:sz w:val="24"/>
          <w:szCs w:val="24"/>
        </w:rPr>
        <w:t xml:space="preserve">(2–3), 113–120. </w:t>
      </w:r>
      <w:hyperlink r:id="rId3272" w:history="1">
        <w:r w:rsidRPr="00896AA2">
          <w:rPr>
            <w:rFonts w:ascii="Times New Roman" w:eastAsia="Times New Roman" w:hAnsi="Times New Roman" w:cs="Times New Roman"/>
            <w:color w:val="0000FF"/>
            <w:sz w:val="24"/>
            <w:szCs w:val="24"/>
            <w:u w:val="single"/>
          </w:rPr>
          <w:t>https://doi.org/10.1016/j.psychres.2006.02.001</w:t>
        </w:r>
      </w:hyperlink>
    </w:p>
    <w:p w14:paraId="683F0E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Lees, B., Stapinski, L. A., Prior, K., Sunderland, M., Newton, N., Baillie, A., Teesson, M., &amp; Mewton, L. (2020). Exploring the complex inter-relations between internalising symptoms, executive functioning and alcohol use in young adults.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106</w:t>
      </w:r>
      <w:r w:rsidRPr="00896AA2">
        <w:rPr>
          <w:rFonts w:ascii="Times New Roman" w:eastAsia="Times New Roman" w:hAnsi="Times New Roman" w:cs="Times New Roman"/>
          <w:sz w:val="24"/>
          <w:szCs w:val="24"/>
        </w:rPr>
        <w:t xml:space="preserve">. </w:t>
      </w:r>
      <w:hyperlink r:id="rId3273" w:history="1">
        <w:r w:rsidRPr="00896AA2">
          <w:rPr>
            <w:rFonts w:ascii="Times New Roman" w:eastAsia="Times New Roman" w:hAnsi="Times New Roman" w:cs="Times New Roman"/>
            <w:color w:val="0000FF"/>
            <w:sz w:val="24"/>
            <w:szCs w:val="24"/>
            <w:u w:val="single"/>
          </w:rPr>
          <w:t>https://doi.org/10.1016/j.addbeh.2020.106351</w:t>
        </w:r>
      </w:hyperlink>
    </w:p>
    <w:p w14:paraId="56236A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Leeson, V. C., McKenna, P. J., Murray, G., Kondel, T. K., &amp; Laws, K. R. (2005). What happens to semantic memory when formal thought disorder remits? Revisiting a case study.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57–71. </w:t>
      </w:r>
      <w:hyperlink r:id="rId3274" w:history="1">
        <w:r w:rsidRPr="00896AA2">
          <w:rPr>
            <w:rFonts w:ascii="Times New Roman" w:eastAsia="Times New Roman" w:hAnsi="Times New Roman" w:cs="Times New Roman"/>
            <w:color w:val="0000FF"/>
            <w:sz w:val="24"/>
            <w:szCs w:val="24"/>
            <w:u w:val="single"/>
          </w:rPr>
          <w:t>https://doi.org/10.1080/13546800344000345</w:t>
        </w:r>
      </w:hyperlink>
    </w:p>
    <w:p w14:paraId="27C8E8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Lehmann, A., Bahçesular, K., Brockmann, E.-M., Biederbick, S.-E., Dziobek, I., Gallinat, J., &amp; Montag, C. (2014). Subjective experience of emotions and emotional empathy in paranoid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220</w:t>
      </w:r>
      <w:r w:rsidRPr="00896AA2">
        <w:rPr>
          <w:rFonts w:ascii="Times New Roman" w:eastAsia="Times New Roman" w:hAnsi="Times New Roman" w:cs="Times New Roman"/>
          <w:sz w:val="24"/>
          <w:szCs w:val="24"/>
        </w:rPr>
        <w:t xml:space="preserve">(3), 825–833. </w:t>
      </w:r>
      <w:hyperlink r:id="rId3275" w:history="1">
        <w:r w:rsidRPr="00896AA2">
          <w:rPr>
            <w:rFonts w:ascii="Times New Roman" w:eastAsia="Times New Roman" w:hAnsi="Times New Roman" w:cs="Times New Roman"/>
            <w:color w:val="0000FF"/>
            <w:sz w:val="24"/>
            <w:szCs w:val="24"/>
            <w:u w:val="single"/>
          </w:rPr>
          <w:t>https://doi.org/10.1016/j.psychres.2014.09.009</w:t>
        </w:r>
      </w:hyperlink>
    </w:p>
    <w:p w14:paraId="617ED7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Lehnert, K. (2014). Der Einfluss von Sport auf kognitive Funktionen bei Kindern mit ADHS. [The influence of exercise on cognitive functions in children with ADHD.]. </w:t>
      </w:r>
      <w:r w:rsidRPr="00896AA2">
        <w:rPr>
          <w:rFonts w:ascii="Times New Roman" w:eastAsia="Times New Roman" w:hAnsi="Times New Roman" w:cs="Times New Roman"/>
          <w:i/>
          <w:iCs/>
          <w:sz w:val="24"/>
          <w:szCs w:val="24"/>
        </w:rPr>
        <w:t>Zeitschrift Für Sportpsychologie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(3), 104–118. </w:t>
      </w:r>
      <w:hyperlink r:id="rId3276" w:history="1">
        <w:r w:rsidRPr="00896AA2">
          <w:rPr>
            <w:rFonts w:ascii="Times New Roman" w:eastAsia="Times New Roman" w:hAnsi="Times New Roman" w:cs="Times New Roman"/>
            <w:color w:val="0000FF"/>
            <w:sz w:val="24"/>
            <w:szCs w:val="24"/>
            <w:u w:val="single"/>
          </w:rPr>
          <w:t>https://doi.org/10.1026/1612-5010/a000124</w:t>
        </w:r>
      </w:hyperlink>
    </w:p>
    <w:p w14:paraId="5A1FAB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Lehnhardt, F.-G., Falter, C. M., Gawronski, A., Pfeiffer, K., Tepest, R., Franklin, J., &amp; Vogeley, K. (2016). Sex-related cognitive profile in autism spectrum disorders diagnosed late in life: Implications for the female autistic phenotype.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 139–154. </w:t>
      </w:r>
      <w:hyperlink r:id="rId3277" w:history="1">
        <w:r w:rsidRPr="00896AA2">
          <w:rPr>
            <w:rFonts w:ascii="Times New Roman" w:eastAsia="Times New Roman" w:hAnsi="Times New Roman" w:cs="Times New Roman"/>
            <w:color w:val="0000FF"/>
            <w:sz w:val="24"/>
            <w:szCs w:val="24"/>
            <w:u w:val="single"/>
          </w:rPr>
          <w:t>https://doi.org/10.1007/s10803-015-2558-7</w:t>
        </w:r>
      </w:hyperlink>
    </w:p>
    <w:p w14:paraId="0C120C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Lehoux, C., Everett, J., Laplante, L., Émond, C., Trépanier, J., Brassard, A., René, L., Cayer, M., Mérette, C., Maziade, M., &amp; Roy, M.-A. (2003). Fine motor dexterity is correlated to social functioning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 xml:space="preserve">(3), 269–273. </w:t>
      </w:r>
      <w:hyperlink r:id="rId3278" w:history="1">
        <w:r w:rsidRPr="00896AA2">
          <w:rPr>
            <w:rFonts w:ascii="Times New Roman" w:eastAsia="Times New Roman" w:hAnsi="Times New Roman" w:cs="Times New Roman"/>
            <w:color w:val="0000FF"/>
            <w:sz w:val="24"/>
            <w:szCs w:val="24"/>
            <w:u w:val="single"/>
          </w:rPr>
          <w:t>https://doi.org/10.1016/S0920-9964(02)00327-4</w:t>
        </w:r>
      </w:hyperlink>
    </w:p>
    <w:p w14:paraId="2B7F90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Lehoux, C., Lefebvre, A.-A., Létourneau, K., Viau, H., Gosselin, D., Szatmari, P., Bouchard, R.-H., Maziade, M., &amp; Roy, M.-A. (2005). A Pilot Feasibility Study of an Extension of the Acquaintanceship Recruitment Procedure in Recent-Onset Psychosis.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(8), 560–563. </w:t>
      </w:r>
      <w:hyperlink r:id="rId3279" w:history="1">
        <w:r w:rsidRPr="00896AA2">
          <w:rPr>
            <w:rFonts w:ascii="Times New Roman" w:eastAsia="Times New Roman" w:hAnsi="Times New Roman" w:cs="Times New Roman"/>
            <w:color w:val="0000FF"/>
            <w:sz w:val="24"/>
            <w:szCs w:val="24"/>
            <w:u w:val="single"/>
          </w:rPr>
          <w:t>https://doi.org/10.1097/01.nmd.0000172680.18302.80</w:t>
        </w:r>
      </w:hyperlink>
    </w:p>
    <w:p w14:paraId="57D23A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 J. (1996). Are executive function tests dependent on working memory capacity? </w:t>
      </w:r>
      <w:r w:rsidRPr="00896AA2">
        <w:rPr>
          <w:rFonts w:ascii="Times New Roman" w:eastAsia="Times New Roman" w:hAnsi="Times New Roman" w:cs="Times New Roman"/>
          <w:i/>
          <w:iCs/>
          <w:sz w:val="24"/>
          <w:szCs w:val="24"/>
        </w:rPr>
        <w:t>The Quarterly Journal of Experimental Psychology A: Human Experimental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49A</w:t>
      </w:r>
      <w:r w:rsidRPr="00896AA2">
        <w:rPr>
          <w:rFonts w:ascii="Times New Roman" w:eastAsia="Times New Roman" w:hAnsi="Times New Roman" w:cs="Times New Roman"/>
          <w:sz w:val="24"/>
          <w:szCs w:val="24"/>
        </w:rPr>
        <w:t xml:space="preserve">(1), 29–50. </w:t>
      </w:r>
      <w:hyperlink r:id="rId3280" w:history="1">
        <w:r w:rsidRPr="00896AA2">
          <w:rPr>
            <w:rFonts w:ascii="Times New Roman" w:eastAsia="Times New Roman" w:hAnsi="Times New Roman" w:cs="Times New Roman"/>
            <w:color w:val="0000FF"/>
            <w:sz w:val="24"/>
            <w:szCs w:val="24"/>
            <w:u w:val="single"/>
          </w:rPr>
          <w:t>https://doi.org/10.1080/027249896392793</w:t>
        </w:r>
      </w:hyperlink>
    </w:p>
    <w:p w14:paraId="371EA7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 J. E. (2004). A test for children’s goal-directed behavior: A pilot study. </w:t>
      </w:r>
      <w:r w:rsidRPr="00896AA2">
        <w:rPr>
          <w:rFonts w:ascii="Times New Roman" w:eastAsia="Times New Roman" w:hAnsi="Times New Roman" w:cs="Times New Roman"/>
          <w:i/>
          <w:iCs/>
          <w:sz w:val="24"/>
          <w:szCs w:val="24"/>
        </w:rPr>
        <w:t>Perceptual and Motor Skills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98</w:t>
      </w:r>
      <w:r w:rsidRPr="00896AA2">
        <w:rPr>
          <w:rFonts w:ascii="Times New Roman" w:eastAsia="Times New Roman" w:hAnsi="Times New Roman" w:cs="Times New Roman"/>
          <w:sz w:val="24"/>
          <w:szCs w:val="24"/>
        </w:rPr>
        <w:t xml:space="preserve">(1), 223–236. </w:t>
      </w:r>
      <w:hyperlink r:id="rId3281" w:history="1">
        <w:r w:rsidRPr="00896AA2">
          <w:rPr>
            <w:rFonts w:ascii="Times New Roman" w:eastAsia="Times New Roman" w:hAnsi="Times New Roman" w:cs="Times New Roman"/>
            <w:color w:val="0000FF"/>
            <w:sz w:val="24"/>
            <w:szCs w:val="24"/>
            <w:u w:val="single"/>
          </w:rPr>
          <w:t>https://doi.org/10.2466/PMS.98.1.223-236</w:t>
        </w:r>
      </w:hyperlink>
    </w:p>
    <w:p w14:paraId="2E1BCB6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 J. E., &amp; Elorinne, E. (2003). Gambling as an executive function task.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(4), 234–238. </w:t>
      </w:r>
      <w:hyperlink r:id="rId3282" w:history="1">
        <w:r w:rsidRPr="00896AA2">
          <w:rPr>
            <w:rFonts w:ascii="Times New Roman" w:eastAsia="Times New Roman" w:hAnsi="Times New Roman" w:cs="Times New Roman"/>
            <w:color w:val="0000FF"/>
            <w:sz w:val="24"/>
            <w:szCs w:val="24"/>
            <w:u w:val="single"/>
          </w:rPr>
          <w:t>https://doi.org/10.1207/s15324826an1004_5</w:t>
        </w:r>
      </w:hyperlink>
    </w:p>
    <w:p w14:paraId="7B5694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Lehtonen, S., Stringer, A. Y., Millis, S., Boake, C., Englander, J., Hart, T., High, W., Macciocchi, S., Meythaler, J., Novack, T., &amp; Whyte, J. (2005). Neuropsychological outcome and community re-integration following traumatic brain injury: The impact of frontal and non-frontal lesions.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(4), 239–256. </w:t>
      </w:r>
      <w:hyperlink r:id="rId3283" w:history="1">
        <w:r w:rsidRPr="00896AA2">
          <w:rPr>
            <w:rFonts w:ascii="Times New Roman" w:eastAsia="Times New Roman" w:hAnsi="Times New Roman" w:cs="Times New Roman"/>
            <w:color w:val="0000FF"/>
            <w:sz w:val="24"/>
            <w:szCs w:val="24"/>
            <w:u w:val="single"/>
          </w:rPr>
          <w:t>https://doi.org/10.1080/0269905040004310</w:t>
        </w:r>
      </w:hyperlink>
    </w:p>
    <w:p w14:paraId="439CC4A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Leifker, F. R., Patterson, T. L., Bowie, C. R., Mausbach, B. T., &amp; Harvey, P. D. (2010). Psychometric properties of performance-based measurements of functional capacity: Test–retest reliability, practice effects, and potential sensitivity to change.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(1–3), 246–252. </w:t>
      </w:r>
      <w:hyperlink r:id="rId3284" w:history="1">
        <w:r w:rsidRPr="00896AA2">
          <w:rPr>
            <w:rFonts w:ascii="Times New Roman" w:eastAsia="Times New Roman" w:hAnsi="Times New Roman" w:cs="Times New Roman"/>
            <w:color w:val="0000FF"/>
            <w:sz w:val="24"/>
            <w:szCs w:val="24"/>
            <w:u w:val="single"/>
          </w:rPr>
          <w:t>https://doi.org/10.1016/j.schres.2010.03.021</w:t>
        </w:r>
      </w:hyperlink>
    </w:p>
    <w:p w14:paraId="70322D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Leitman, D. I., Hoptman, M. J., Foxe, J. J., Saccente, E., Wylie, G. R., Nierenberg, J., Jalbrzikowski, M., Lim, K. O., &amp; Javitt, D. C. (2007). The neural substrates of impaired prosodic detection in schizophrenia and its sensorial antecedents.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164</w:t>
      </w:r>
      <w:r w:rsidRPr="00896AA2">
        <w:rPr>
          <w:rFonts w:ascii="Times New Roman" w:eastAsia="Times New Roman" w:hAnsi="Times New Roman" w:cs="Times New Roman"/>
          <w:sz w:val="24"/>
          <w:szCs w:val="24"/>
        </w:rPr>
        <w:t xml:space="preserve">(3), 474–482. </w:t>
      </w:r>
      <w:hyperlink r:id="rId3285" w:history="1">
        <w:r w:rsidRPr="00896AA2">
          <w:rPr>
            <w:rFonts w:ascii="Times New Roman" w:eastAsia="Times New Roman" w:hAnsi="Times New Roman" w:cs="Times New Roman"/>
            <w:color w:val="0000FF"/>
            <w:sz w:val="24"/>
            <w:szCs w:val="24"/>
            <w:u w:val="single"/>
          </w:rPr>
          <w:t>https://doi.org/10.1176/appi.ajp.164.3.474</w:t>
        </w:r>
      </w:hyperlink>
    </w:p>
    <w:p w14:paraId="4FF6ACB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Leitner, D., Miller, H., &amp; Libben, M. (2019). Assessing the predictive value of a neuropsychological model on concurrent function in acute stroke recovery and rehabilitation.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(5), 831–853. </w:t>
      </w:r>
      <w:hyperlink r:id="rId3286" w:history="1">
        <w:r w:rsidRPr="00896AA2">
          <w:rPr>
            <w:rFonts w:ascii="Times New Roman" w:eastAsia="Times New Roman" w:hAnsi="Times New Roman" w:cs="Times New Roman"/>
            <w:color w:val="0000FF"/>
            <w:sz w:val="24"/>
            <w:szCs w:val="24"/>
            <w:u w:val="single"/>
          </w:rPr>
          <w:t>https://doi.org/10.1080/13854046.2018.1487586</w:t>
        </w:r>
      </w:hyperlink>
    </w:p>
    <w:p w14:paraId="454C47B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Leiva, S., Margulis, L., Micciulli, A., &amp; Ferreres, A. (2019). Dissociation between facial and bodily expressions in emotion recognition: A case study.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(1), 166–182. </w:t>
      </w:r>
      <w:hyperlink r:id="rId3287" w:history="1">
        <w:r w:rsidRPr="00896AA2">
          <w:rPr>
            <w:rFonts w:ascii="Times New Roman" w:eastAsia="Times New Roman" w:hAnsi="Times New Roman" w:cs="Times New Roman"/>
            <w:color w:val="0000FF"/>
            <w:sz w:val="24"/>
            <w:szCs w:val="24"/>
            <w:u w:val="single"/>
          </w:rPr>
          <w:t>https://doi.org/10.1080/13854046.2017.1418024</w:t>
        </w:r>
      </w:hyperlink>
    </w:p>
    <w:p w14:paraId="1A68E9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Lemaire, P., &amp; Lecacheur, M. (2011). Age-related changes in children’s executive functions and strategy selection: A study in computational estimation. </w:t>
      </w:r>
      <w:r w:rsidRPr="00896AA2">
        <w:rPr>
          <w:rFonts w:ascii="Times New Roman" w:eastAsia="Times New Roman" w:hAnsi="Times New Roman" w:cs="Times New Roman"/>
          <w:i/>
          <w:iCs/>
          <w:sz w:val="24"/>
          <w:szCs w:val="24"/>
        </w:rPr>
        <w:t>Cognitive Development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(3), 282–294.</w:t>
      </w:r>
    </w:p>
    <w:p w14:paraId="45C0F42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Lemer, C., Dehaene, S., Spelke, E., &amp; Cohen, L. (2003). Approximate quantities and exact number words: Dissociable systems.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(14), 1942–1958. </w:t>
      </w:r>
      <w:hyperlink r:id="rId3288" w:history="1">
        <w:r w:rsidRPr="00896AA2">
          <w:rPr>
            <w:rFonts w:ascii="Times New Roman" w:eastAsia="Times New Roman" w:hAnsi="Times New Roman" w:cs="Times New Roman"/>
            <w:color w:val="0000FF"/>
            <w:sz w:val="24"/>
            <w:szCs w:val="24"/>
            <w:u w:val="single"/>
          </w:rPr>
          <w:t>https://doi.org/10.1016/S0028-3932(03)00123-4</w:t>
        </w:r>
      </w:hyperlink>
    </w:p>
    <w:p w14:paraId="16628B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Lemogne, C., Bergouignan, L., Piolino, P., Jouvent, R., Allilaire, J.-F., &amp; Fossati, P. (2009). Cognitive avoidance of intrusive memories and autobiographical memory: Specificity, autonoetic consciousness, and self-perspective. </w:t>
      </w:r>
      <w:r w:rsidRPr="00896AA2">
        <w:rPr>
          <w:rFonts w:ascii="Times New Roman" w:eastAsia="Times New Roman" w:hAnsi="Times New Roman" w:cs="Times New Roman"/>
          <w:i/>
          <w:iCs/>
          <w:sz w:val="24"/>
          <w:szCs w:val="24"/>
        </w:rPr>
        <w:t>Memory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(1), 1–7. </w:t>
      </w:r>
      <w:hyperlink r:id="rId3289" w:history="1">
        <w:r w:rsidRPr="00896AA2">
          <w:rPr>
            <w:rFonts w:ascii="Times New Roman" w:eastAsia="Times New Roman" w:hAnsi="Times New Roman" w:cs="Times New Roman"/>
            <w:color w:val="0000FF"/>
            <w:sz w:val="24"/>
            <w:szCs w:val="24"/>
            <w:u w:val="single"/>
          </w:rPr>
          <w:t>https://doi.org/10.1080/09658210802438466</w:t>
        </w:r>
      </w:hyperlink>
    </w:p>
    <w:p w14:paraId="5D8D99F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LeMonda, B. C., Holtzer, R., &amp; Goldman, S. (2012). Relationship between executive functions and motor stereotypies in children with Autistic Disorder.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1099–1106. </w:t>
      </w:r>
      <w:hyperlink r:id="rId3290" w:history="1">
        <w:r w:rsidRPr="00896AA2">
          <w:rPr>
            <w:rFonts w:ascii="Times New Roman" w:eastAsia="Times New Roman" w:hAnsi="Times New Roman" w:cs="Times New Roman"/>
            <w:color w:val="0000FF"/>
            <w:sz w:val="24"/>
            <w:szCs w:val="24"/>
            <w:u w:val="single"/>
          </w:rPr>
          <w:t>https://doi.org/10.1016/j.rasd.2012.03.001</w:t>
        </w:r>
      </w:hyperlink>
    </w:p>
    <w:p w14:paraId="1C587F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Lencz, T., Smith, C. W., McLaughlin, D., Auther, A., Nakayama, E., Hovey, L., &amp; Cornblatt, B. A. (2006). Generalized and Specific Neurocognitive Deficits in Prodromal Schizophrenia.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(9), 863–871. </w:t>
      </w:r>
      <w:hyperlink r:id="rId3291" w:history="1">
        <w:r w:rsidRPr="00896AA2">
          <w:rPr>
            <w:rFonts w:ascii="Times New Roman" w:eastAsia="Times New Roman" w:hAnsi="Times New Roman" w:cs="Times New Roman"/>
            <w:color w:val="0000FF"/>
            <w:sz w:val="24"/>
            <w:szCs w:val="24"/>
            <w:u w:val="single"/>
          </w:rPr>
          <w:t>https://doi.org/10.1016/j.biopsych.2005.09.005</w:t>
        </w:r>
      </w:hyperlink>
    </w:p>
    <w:p w14:paraId="0A32A5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Lengenfelder, J. (2000). </w:t>
      </w:r>
      <w:r w:rsidRPr="00896AA2">
        <w:rPr>
          <w:rFonts w:ascii="Times New Roman" w:eastAsia="Times New Roman" w:hAnsi="Times New Roman" w:cs="Times New Roman"/>
          <w:i/>
          <w:iCs/>
          <w:sz w:val="24"/>
          <w:szCs w:val="24"/>
        </w:rPr>
        <w:t>Use of the Wisconsin Card Sorting Test to assess perseveration in women substance abusers.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(11-B), 5781–5781.</w:t>
      </w:r>
    </w:p>
    <w:p w14:paraId="540655E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Lengenfelder, J., Arjunan, A., Chiaravalloti, N., Smith, A., &amp; DeLuca, J. (2015). Assessing frontal behavioral syndromes and cognitive functions in traumatic brain injury.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7–15. </w:t>
      </w:r>
      <w:hyperlink r:id="rId3292" w:history="1">
        <w:r w:rsidRPr="00896AA2">
          <w:rPr>
            <w:rFonts w:ascii="Times New Roman" w:eastAsia="Times New Roman" w:hAnsi="Times New Roman" w:cs="Times New Roman"/>
            <w:color w:val="0000FF"/>
            <w:sz w:val="24"/>
            <w:szCs w:val="24"/>
            <w:u w:val="single"/>
          </w:rPr>
          <w:t>https://doi.org/10.1080/23279095.2013.816703</w:t>
        </w:r>
      </w:hyperlink>
    </w:p>
    <w:p w14:paraId="121B9CC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Lengenfelder, J., Bryant, D., Diamond, B. J., Kalmar, J. H., Moore, N. B., &amp; DeLuca, J. (2006). Processing speed interacts with working memory efficiency in multiple sclerosis.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(3), 229–238. </w:t>
      </w:r>
      <w:hyperlink r:id="rId3293" w:history="1">
        <w:r w:rsidRPr="00896AA2">
          <w:rPr>
            <w:rFonts w:ascii="Times New Roman" w:eastAsia="Times New Roman" w:hAnsi="Times New Roman" w:cs="Times New Roman"/>
            <w:color w:val="0000FF"/>
            <w:sz w:val="24"/>
            <w:szCs w:val="24"/>
            <w:u w:val="single"/>
          </w:rPr>
          <w:t>https://doi.org/10.1016/j.acn.2005.12.001</w:t>
        </w:r>
      </w:hyperlink>
    </w:p>
    <w:p w14:paraId="48592CF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Lennertz, L., Wagner, M., Wölwer, W., Schuhmacher, A., Frommann, I., Berning, J., Schulze-Rauschenbach, S., Landsberg, M. W., Steinbrecher, A., Alexander, M., Franke, P. E., Pukrop, R., Ruhrmann, S., Bechdolf, A., Gaebel, W., Klosterkötter, J., Häfner, H., Maier, W., &amp; Mössner, R. (2012). A promoter variant of SHANK1 affects auditory working memory in schizophrenia patients and in subjects clinically at risk for psychosis.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262</w:t>
      </w:r>
      <w:r w:rsidRPr="00896AA2">
        <w:rPr>
          <w:rFonts w:ascii="Times New Roman" w:eastAsia="Times New Roman" w:hAnsi="Times New Roman" w:cs="Times New Roman"/>
          <w:sz w:val="24"/>
          <w:szCs w:val="24"/>
        </w:rPr>
        <w:t xml:space="preserve">(2), 117–124. </w:t>
      </w:r>
      <w:hyperlink r:id="rId3294" w:history="1">
        <w:r w:rsidRPr="00896AA2">
          <w:rPr>
            <w:rFonts w:ascii="Times New Roman" w:eastAsia="Times New Roman" w:hAnsi="Times New Roman" w:cs="Times New Roman"/>
            <w:color w:val="0000FF"/>
            <w:sz w:val="24"/>
            <w:szCs w:val="24"/>
            <w:u w:val="single"/>
          </w:rPr>
          <w:t>https://doi.org/10.1007/s00406-011-0233-3</w:t>
        </w:r>
      </w:hyperlink>
    </w:p>
    <w:p w14:paraId="201E06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Lenti, C., &amp; Pegna, C. (1997). Funzioni frontali e abilità prassiche in soggetti down di diverse età. [Frontal function and practical ability in Down’s subjects of different ages.]. </w:t>
      </w:r>
      <w:r w:rsidRPr="00896AA2">
        <w:rPr>
          <w:rFonts w:ascii="Times New Roman" w:eastAsia="Times New Roman" w:hAnsi="Times New Roman" w:cs="Times New Roman"/>
          <w:i/>
          <w:iCs/>
          <w:sz w:val="24"/>
          <w:szCs w:val="24"/>
        </w:rPr>
        <w:t>Archivio Di Psicologia, Neurologia e Psichiatria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(5–6), 611–620.</w:t>
      </w:r>
    </w:p>
    <w:p w14:paraId="3AE934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Lenzenweger, M. F., Clarkin, J. F., Fertuck, E. A., &amp; Kernberg, O. F. (2004). Executive Neurocognitive Functioning and Neurobehavioral Systems Indicators in Borderline Personality Disorder: A Preliminary Study. </w:t>
      </w:r>
      <w:r w:rsidRPr="00896AA2">
        <w:rPr>
          <w:rFonts w:ascii="Times New Roman" w:eastAsia="Times New Roman" w:hAnsi="Times New Roman" w:cs="Times New Roman"/>
          <w:i/>
          <w:iCs/>
          <w:sz w:val="24"/>
          <w:szCs w:val="24"/>
        </w:rPr>
        <w:t>Journal of Personality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(5), 421–438. </w:t>
      </w:r>
      <w:hyperlink r:id="rId3295" w:history="1">
        <w:r w:rsidRPr="00896AA2">
          <w:rPr>
            <w:rFonts w:ascii="Times New Roman" w:eastAsia="Times New Roman" w:hAnsi="Times New Roman" w:cs="Times New Roman"/>
            <w:color w:val="0000FF"/>
            <w:sz w:val="24"/>
            <w:szCs w:val="24"/>
            <w:u w:val="single"/>
          </w:rPr>
          <w:t>https://doi.org/10.1521/pedi.18.5.421.51323</w:t>
        </w:r>
      </w:hyperlink>
    </w:p>
    <w:p w14:paraId="1F828A9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Lenzenweger, M. F., &amp; Korfine, L. (1994). Perceptual aberrations, schizotypy, and the Wisconsin Card Sorting Test.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(2), 345–357. </w:t>
      </w:r>
      <w:hyperlink r:id="rId3296" w:history="1">
        <w:r w:rsidRPr="00896AA2">
          <w:rPr>
            <w:rFonts w:ascii="Times New Roman" w:eastAsia="Times New Roman" w:hAnsi="Times New Roman" w:cs="Times New Roman"/>
            <w:color w:val="0000FF"/>
            <w:sz w:val="24"/>
            <w:szCs w:val="24"/>
            <w:u w:val="single"/>
          </w:rPr>
          <w:t>https://doi.org/10.1093/schbul/20.2.345</w:t>
        </w:r>
      </w:hyperlink>
    </w:p>
    <w:p w14:paraId="6E0CB0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Leon, S. A., Altmann, L. J. P., Abrams, L., Gonzalez Rothi, L. J., &amp; Heilman, K. M. (2014). Divergent task performance in older adults: Declarative memory or creative potential? </w:t>
      </w:r>
      <w:r w:rsidRPr="00896AA2">
        <w:rPr>
          <w:rFonts w:ascii="Times New Roman" w:eastAsia="Times New Roman" w:hAnsi="Times New Roman" w:cs="Times New Roman"/>
          <w:i/>
          <w:iCs/>
          <w:sz w:val="24"/>
          <w:szCs w:val="24"/>
        </w:rPr>
        <w:t>Creativity Research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 21–29. </w:t>
      </w:r>
      <w:hyperlink r:id="rId3297" w:history="1">
        <w:r w:rsidRPr="00896AA2">
          <w:rPr>
            <w:rFonts w:ascii="Times New Roman" w:eastAsia="Times New Roman" w:hAnsi="Times New Roman" w:cs="Times New Roman"/>
            <w:color w:val="0000FF"/>
            <w:sz w:val="24"/>
            <w:szCs w:val="24"/>
            <w:u w:val="single"/>
          </w:rPr>
          <w:t>https://doi.org/10.1080/10400419.2014.873657</w:t>
        </w:r>
      </w:hyperlink>
    </w:p>
    <w:p w14:paraId="77CAEF0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León-Carrión, J., Alarcón, J. C., Revuelta, M., Murillo-Cabezas, F., Domínguez-Roldán, J. M., Domínguez-Morales, M. R., Machuca-Murga, F., &amp; Forastero, P. (1998). Executive functioning as outcome in patients after traumatic brain injury. </w:t>
      </w:r>
      <w:r w:rsidRPr="00896AA2">
        <w:rPr>
          <w:rFonts w:ascii="Times New Roman" w:eastAsia="Times New Roman" w:hAnsi="Times New Roman" w:cs="Times New Roman"/>
          <w:i/>
          <w:iCs/>
          <w:sz w:val="24"/>
          <w:szCs w:val="24"/>
        </w:rPr>
        <w:t>International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94</w:t>
      </w:r>
      <w:r w:rsidRPr="00896AA2">
        <w:rPr>
          <w:rFonts w:ascii="Times New Roman" w:eastAsia="Times New Roman" w:hAnsi="Times New Roman" w:cs="Times New Roman"/>
          <w:sz w:val="24"/>
          <w:szCs w:val="24"/>
        </w:rPr>
        <w:t xml:space="preserve">(1–2), 75–83. </w:t>
      </w:r>
      <w:hyperlink r:id="rId3298" w:history="1">
        <w:r w:rsidRPr="00896AA2">
          <w:rPr>
            <w:rFonts w:ascii="Times New Roman" w:eastAsia="Times New Roman" w:hAnsi="Times New Roman" w:cs="Times New Roman"/>
            <w:color w:val="0000FF"/>
            <w:sz w:val="24"/>
            <w:szCs w:val="24"/>
            <w:u w:val="single"/>
          </w:rPr>
          <w:t>https://doi.org/10.3109/00207459808986440</w:t>
        </w:r>
      </w:hyperlink>
    </w:p>
    <w:p w14:paraId="3F421A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Leopold, R., &amp; Backenstrass, M. (2015). Neuropsychological differences between obsessive-compulsive washers and checkers: A systematic review and meta-analysis. </w:t>
      </w:r>
      <w:r w:rsidRPr="00896AA2">
        <w:rPr>
          <w:rFonts w:ascii="Times New Roman" w:eastAsia="Times New Roman" w:hAnsi="Times New Roman" w:cs="Times New Roman"/>
          <w:i/>
          <w:iCs/>
          <w:sz w:val="24"/>
          <w:szCs w:val="24"/>
        </w:rPr>
        <w:t>Journal of Anxiety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 48–58. </w:t>
      </w:r>
      <w:hyperlink r:id="rId3299" w:history="1">
        <w:r w:rsidRPr="00896AA2">
          <w:rPr>
            <w:rFonts w:ascii="Times New Roman" w:eastAsia="Times New Roman" w:hAnsi="Times New Roman" w:cs="Times New Roman"/>
            <w:color w:val="0000FF"/>
            <w:sz w:val="24"/>
            <w:szCs w:val="24"/>
            <w:u w:val="single"/>
          </w:rPr>
          <w:t>https://doi.org/10.1016/j.janxdis.2014.12.016</w:t>
        </w:r>
      </w:hyperlink>
    </w:p>
    <w:p w14:paraId="660E94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Lepage, M., Bodnar, M., &amp; Bowie, C. R. (2014). Neurocognition: Clinical and functional outcomes in schizophrenia. </w:t>
      </w:r>
      <w:r w:rsidRPr="00896AA2">
        <w:rPr>
          <w:rFonts w:ascii="Times New Roman" w:eastAsia="Times New Roman" w:hAnsi="Times New Roman" w:cs="Times New Roman"/>
          <w:i/>
          <w:iCs/>
          <w:sz w:val="24"/>
          <w:szCs w:val="24"/>
        </w:rPr>
        <w:t>The Canadian Journal of Psychiatry / La Revue Canadienne de Psychiatrie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(1), 5–12. </w:t>
      </w:r>
      <w:hyperlink r:id="rId3300" w:history="1">
        <w:r w:rsidRPr="00896AA2">
          <w:rPr>
            <w:rFonts w:ascii="Times New Roman" w:eastAsia="Times New Roman" w:hAnsi="Times New Roman" w:cs="Times New Roman"/>
            <w:color w:val="0000FF"/>
            <w:sz w:val="24"/>
            <w:szCs w:val="24"/>
            <w:u w:val="single"/>
          </w:rPr>
          <w:t>https://doi.org/10.1177/070674371405900103</w:t>
        </w:r>
      </w:hyperlink>
    </w:p>
    <w:p w14:paraId="5857DC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Leposavić, I., Leposavić, L., &amp; Jašović-Gašić, M. (2009). Neuropsychological profile of delusional disorder. </w:t>
      </w:r>
      <w:r w:rsidRPr="00896AA2">
        <w:rPr>
          <w:rFonts w:ascii="Times New Roman" w:eastAsia="Times New Roman" w:hAnsi="Times New Roman" w:cs="Times New Roman"/>
          <w:i/>
          <w:iCs/>
          <w:sz w:val="24"/>
          <w:szCs w:val="24"/>
        </w:rPr>
        <w:t>Psychiatria Danubina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(2), 166–173.</w:t>
      </w:r>
    </w:p>
    <w:p w14:paraId="3DBFF10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Lepow, L., Van Sweringen, J., Strutt, A. M., Jawaid, A., MacAdam, C., Harati, Y., Schulz, P. E., &amp; York, M. K. (2010). Frontal and temporal lobe involvement on verbal fluency measures in amyotrophic lateral sclerosis.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(9), 913–922. </w:t>
      </w:r>
      <w:hyperlink r:id="rId3301" w:history="1">
        <w:r w:rsidRPr="00896AA2">
          <w:rPr>
            <w:rFonts w:ascii="Times New Roman" w:eastAsia="Times New Roman" w:hAnsi="Times New Roman" w:cs="Times New Roman"/>
            <w:color w:val="0000FF"/>
            <w:sz w:val="24"/>
            <w:szCs w:val="24"/>
            <w:u w:val="single"/>
          </w:rPr>
          <w:t>https://doi.org/10.1080/13803391003596439</w:t>
        </w:r>
      </w:hyperlink>
    </w:p>
    <w:p w14:paraId="078F94D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Leppanen, J., Cardi, V., Sedgewick, F., Treasure, J., &amp; Tchanturia, K. (2020). Basal ganglia volume and shape in anorexia nervosa. </w:t>
      </w:r>
      <w:r w:rsidRPr="00896AA2">
        <w:rPr>
          <w:rFonts w:ascii="Times New Roman" w:eastAsia="Times New Roman" w:hAnsi="Times New Roman" w:cs="Times New Roman"/>
          <w:i/>
          <w:iCs/>
          <w:sz w:val="24"/>
          <w:szCs w:val="24"/>
        </w:rPr>
        <w:t>Appetite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144</w:t>
      </w:r>
      <w:r w:rsidRPr="00896AA2">
        <w:rPr>
          <w:rFonts w:ascii="Times New Roman" w:eastAsia="Times New Roman" w:hAnsi="Times New Roman" w:cs="Times New Roman"/>
          <w:sz w:val="24"/>
          <w:szCs w:val="24"/>
        </w:rPr>
        <w:t xml:space="preserve">. </w:t>
      </w:r>
      <w:hyperlink r:id="rId3302" w:history="1">
        <w:r w:rsidRPr="00896AA2">
          <w:rPr>
            <w:rFonts w:ascii="Times New Roman" w:eastAsia="Times New Roman" w:hAnsi="Times New Roman" w:cs="Times New Roman"/>
            <w:color w:val="0000FF"/>
            <w:sz w:val="24"/>
            <w:szCs w:val="24"/>
            <w:u w:val="single"/>
          </w:rPr>
          <w:t>https://doi.org/10.1016/j.appet.2019.104480</w:t>
        </w:r>
      </w:hyperlink>
    </w:p>
    <w:p w14:paraId="2A4D74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Leppink, E. W., Redden, S. A., Chamberlain, S. R., &amp; Grant, J. E. (2016). Cognitive flexibility correlates with gambling severity in young adults.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 9–15. </w:t>
      </w:r>
      <w:hyperlink r:id="rId3303" w:history="1">
        <w:r w:rsidRPr="00896AA2">
          <w:rPr>
            <w:rFonts w:ascii="Times New Roman" w:eastAsia="Times New Roman" w:hAnsi="Times New Roman" w:cs="Times New Roman"/>
            <w:color w:val="0000FF"/>
            <w:sz w:val="24"/>
            <w:szCs w:val="24"/>
            <w:u w:val="single"/>
          </w:rPr>
          <w:t>https://doi.org/10.1016/j.jpsychires.2016.06.010</w:t>
        </w:r>
      </w:hyperlink>
    </w:p>
    <w:p w14:paraId="78825E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Lera-Miguel, S., Andrés-Perpiñá, S., Calvo, R., Fatjó-Vilas, M., Fañanás, L., &amp; Lázaro, L. (2011). Early-onset bipolar disorder: How about visual-spatial skills and executive functions?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261</w:t>
      </w:r>
      <w:r w:rsidRPr="00896AA2">
        <w:rPr>
          <w:rFonts w:ascii="Times New Roman" w:eastAsia="Times New Roman" w:hAnsi="Times New Roman" w:cs="Times New Roman"/>
          <w:sz w:val="24"/>
          <w:szCs w:val="24"/>
        </w:rPr>
        <w:t xml:space="preserve">(3), 195–203. </w:t>
      </w:r>
      <w:hyperlink r:id="rId3304" w:history="1">
        <w:r w:rsidRPr="00896AA2">
          <w:rPr>
            <w:rFonts w:ascii="Times New Roman" w:eastAsia="Times New Roman" w:hAnsi="Times New Roman" w:cs="Times New Roman"/>
            <w:color w:val="0000FF"/>
            <w:sz w:val="24"/>
            <w:szCs w:val="24"/>
            <w:u w:val="single"/>
          </w:rPr>
          <w:t>https://doi.org/10.1007/s00406-010-0169-z</w:t>
        </w:r>
      </w:hyperlink>
    </w:p>
    <w:p w14:paraId="3C6E4B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Lera-Miguel, S., Andrés-Perpiñá, S., Fatjó-Vilas, M., Fañanás, L., &amp; Lázaro, L. (2015). Two-year follow-up of treated adolescents with early-onset bipolar disorder: Changes in neurocognition.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172</w:t>
      </w:r>
      <w:r w:rsidRPr="00896AA2">
        <w:rPr>
          <w:rFonts w:ascii="Times New Roman" w:eastAsia="Times New Roman" w:hAnsi="Times New Roman" w:cs="Times New Roman"/>
          <w:sz w:val="24"/>
          <w:szCs w:val="24"/>
        </w:rPr>
        <w:t xml:space="preserve">, 48–54. </w:t>
      </w:r>
      <w:hyperlink r:id="rId3305" w:history="1">
        <w:r w:rsidRPr="00896AA2">
          <w:rPr>
            <w:rFonts w:ascii="Times New Roman" w:eastAsia="Times New Roman" w:hAnsi="Times New Roman" w:cs="Times New Roman"/>
            <w:color w:val="0000FF"/>
            <w:sz w:val="24"/>
            <w:szCs w:val="24"/>
            <w:u w:val="single"/>
          </w:rPr>
          <w:t>https://doi.org/10.1016/j.jad.2014.09.041</w:t>
        </w:r>
      </w:hyperlink>
    </w:p>
    <w:p w14:paraId="6E5ED2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Leroi, I., Barraclough, M., McKie, S., Hinvest, N., Evans, J., Elliott, R., &amp; McDonald, K. (2013). Dopaminergic influences on executive function and impulsive behaviour in impulse control disorders in Parkinson’s disease. </w:t>
      </w:r>
      <w:r w:rsidRPr="00896AA2">
        <w:rPr>
          <w:rFonts w:ascii="Times New Roman" w:eastAsia="Times New Roman" w:hAnsi="Times New Roman" w:cs="Times New Roman"/>
          <w:i/>
          <w:iCs/>
          <w:sz w:val="24"/>
          <w:szCs w:val="24"/>
        </w:rPr>
        <w:t>Journal of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(2), 306–325. </w:t>
      </w:r>
      <w:hyperlink r:id="rId3306" w:history="1">
        <w:r w:rsidRPr="00896AA2">
          <w:rPr>
            <w:rFonts w:ascii="Times New Roman" w:eastAsia="Times New Roman" w:hAnsi="Times New Roman" w:cs="Times New Roman"/>
            <w:color w:val="0000FF"/>
            <w:sz w:val="24"/>
            <w:szCs w:val="24"/>
            <w:u w:val="single"/>
          </w:rPr>
          <w:t>https://doi.org/10.1111/jnp.12026</w:t>
        </w:r>
      </w:hyperlink>
    </w:p>
    <w:p w14:paraId="46B33A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Leroy, A., Michelet, D., Mahieux, F., &amp; Geny, C. (1996). Examen neuropsychologique de 5 patients parkinsoniens avant et après greffe neuronale. [Neuropsychological assessment before and after neural grafting in 5 patients with Parkinson’s disease.]. </w:t>
      </w:r>
      <w:r w:rsidRPr="00896AA2">
        <w:rPr>
          <w:rFonts w:ascii="Times New Roman" w:eastAsia="Times New Roman" w:hAnsi="Times New Roman" w:cs="Times New Roman"/>
          <w:i/>
          <w:iCs/>
          <w:sz w:val="24"/>
          <w:szCs w:val="24"/>
        </w:rPr>
        <w:t>Revue Neurologique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152</w:t>
      </w:r>
      <w:r w:rsidRPr="00896AA2">
        <w:rPr>
          <w:rFonts w:ascii="Times New Roman" w:eastAsia="Times New Roman" w:hAnsi="Times New Roman" w:cs="Times New Roman"/>
          <w:sz w:val="24"/>
          <w:szCs w:val="24"/>
        </w:rPr>
        <w:t>(3), 158–164.</w:t>
      </w:r>
    </w:p>
    <w:p w14:paraId="64CBEB8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Lesage, S., Le Ber, I., Condroyer, C., Broussolle, E., Gabelle, A., Thobois, S., Pasquier, F., Mondon, K., Dion, P. A., Rochefort, D., Rouleau, G. A., Dürr, A., &amp; Brice, A. (2013). C9orf72 repeat expansions are a rare genetic cause of parkinsonism.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(2), 385–391. </w:t>
      </w:r>
      <w:hyperlink r:id="rId3307" w:history="1">
        <w:r w:rsidRPr="00896AA2">
          <w:rPr>
            <w:rFonts w:ascii="Times New Roman" w:eastAsia="Times New Roman" w:hAnsi="Times New Roman" w:cs="Times New Roman"/>
            <w:color w:val="0000FF"/>
            <w:sz w:val="24"/>
            <w:szCs w:val="24"/>
            <w:u w:val="single"/>
          </w:rPr>
          <w:t>https://doi.org/10.1093/brain/aws357</w:t>
        </w:r>
      </w:hyperlink>
    </w:p>
    <w:p w14:paraId="7E17545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Leshem, R., &amp; Glicksohn, J. (2007). The construct of impulsivity revisited. </w:t>
      </w:r>
      <w:r w:rsidRPr="00896AA2">
        <w:rPr>
          <w:rFonts w:ascii="Times New Roman" w:eastAsia="Times New Roman" w:hAnsi="Times New Roman" w:cs="Times New Roman"/>
          <w:i/>
          <w:iCs/>
          <w:sz w:val="24"/>
          <w:szCs w:val="24"/>
        </w:rPr>
        <w:t>Personality and Individual Differences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43</w:t>
      </w:r>
      <w:r w:rsidRPr="00896AA2">
        <w:rPr>
          <w:rFonts w:ascii="Times New Roman" w:eastAsia="Times New Roman" w:hAnsi="Times New Roman" w:cs="Times New Roman"/>
          <w:sz w:val="24"/>
          <w:szCs w:val="24"/>
        </w:rPr>
        <w:t xml:space="preserve">(4), 681–691. </w:t>
      </w:r>
      <w:hyperlink r:id="rId3308" w:history="1">
        <w:r w:rsidRPr="00896AA2">
          <w:rPr>
            <w:rFonts w:ascii="Times New Roman" w:eastAsia="Times New Roman" w:hAnsi="Times New Roman" w:cs="Times New Roman"/>
            <w:color w:val="0000FF"/>
            <w:sz w:val="24"/>
            <w:szCs w:val="24"/>
            <w:u w:val="single"/>
          </w:rPr>
          <w:t>https://doi.org/10.1016/j.paid.2007.01.015</w:t>
        </w:r>
      </w:hyperlink>
    </w:p>
    <w:p w14:paraId="600B4D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Lesourd, M., Naëgelé, B., Jaillard, A., Detante, O., &amp; Osiurak, F. (2020). Using tools effectively despite defective hand posture: A single-case study.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 406–422. </w:t>
      </w:r>
      <w:hyperlink r:id="rId3309" w:history="1">
        <w:r w:rsidRPr="00896AA2">
          <w:rPr>
            <w:rFonts w:ascii="Times New Roman" w:eastAsia="Times New Roman" w:hAnsi="Times New Roman" w:cs="Times New Roman"/>
            <w:color w:val="0000FF"/>
            <w:sz w:val="24"/>
            <w:szCs w:val="24"/>
            <w:u w:val="single"/>
          </w:rPr>
          <w:t>https://doi.org/10.1016/j.cortex.2020.04.023</w:t>
        </w:r>
      </w:hyperlink>
    </w:p>
    <w:p w14:paraId="2C9E3F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Letendre, S. L., McCutchan, J. A., Childers, M. E., Woods, S. P., Lazzaretto, D., Heaton, R. K., Grant, I., &amp; Ellis, R. J. (2004). Enhancing Antiretroviral Therapy for Human Immunodeficiency Virus Cognitive Disorders. </w:t>
      </w:r>
      <w:r w:rsidRPr="00896AA2">
        <w:rPr>
          <w:rFonts w:ascii="Times New Roman" w:eastAsia="Times New Roman" w:hAnsi="Times New Roman" w:cs="Times New Roman"/>
          <w:i/>
          <w:iCs/>
          <w:sz w:val="24"/>
          <w:szCs w:val="24"/>
        </w:rPr>
        <w:t>Annals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(3), 416–423. </w:t>
      </w:r>
      <w:hyperlink r:id="rId3310" w:history="1">
        <w:r w:rsidRPr="00896AA2">
          <w:rPr>
            <w:rFonts w:ascii="Times New Roman" w:eastAsia="Times New Roman" w:hAnsi="Times New Roman" w:cs="Times New Roman"/>
            <w:color w:val="0000FF"/>
            <w:sz w:val="24"/>
            <w:szCs w:val="24"/>
            <w:u w:val="single"/>
          </w:rPr>
          <w:t>https://doi.org/10.1002/ana.20198</w:t>
        </w:r>
      </w:hyperlink>
    </w:p>
    <w:p w14:paraId="4DF409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C.-M., Stone, W. S., Lee, E. H.-M., Seidman, L. J., &amp; Chen, E. Y.-H. (2014). Impaired facilitation of self-control cognition by glucose in patients with schizophrenia: A randomized controlled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38–45. </w:t>
      </w:r>
      <w:hyperlink r:id="rId3311" w:history="1">
        <w:r w:rsidRPr="00896AA2">
          <w:rPr>
            <w:rFonts w:ascii="Times New Roman" w:eastAsia="Times New Roman" w:hAnsi="Times New Roman" w:cs="Times New Roman"/>
            <w:color w:val="0000FF"/>
            <w:sz w:val="24"/>
            <w:szCs w:val="24"/>
            <w:u w:val="single"/>
          </w:rPr>
          <w:t>https://doi.org/10.1016/j.schres.2014.03.010</w:t>
        </w:r>
      </w:hyperlink>
    </w:p>
    <w:p w14:paraId="261E13C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J., Fereday, S., Sticpewich, B., &amp; Hanna, J. (2018). Extra practice outside therapy sessions to maximize training opportunity during inpatient rehabilitation after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(7), 915–925. </w:t>
      </w:r>
      <w:hyperlink r:id="rId3312" w:history="1">
        <w:r w:rsidRPr="00896AA2">
          <w:rPr>
            <w:rFonts w:ascii="Times New Roman" w:eastAsia="Times New Roman" w:hAnsi="Times New Roman" w:cs="Times New Roman"/>
            <w:color w:val="0000FF"/>
            <w:sz w:val="24"/>
            <w:szCs w:val="24"/>
            <w:u w:val="single"/>
          </w:rPr>
          <w:t>https://doi.org/10.1080/02699052.2018.1469046</w:t>
        </w:r>
      </w:hyperlink>
    </w:p>
    <w:p w14:paraId="6AE87D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M. M. W., Lui, S. S. Y., Wang, Y., Tsui, C. F., Au, A. C. W., Yeung, H. K. H., Yang, T., Li, Z., Cheng, C., Cheung, E. F. C., &amp; Chan, R. C. K. (2016). Patients with bipolar disorder show differential executive dysfunctions: A case-control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238</w:t>
      </w:r>
      <w:r w:rsidRPr="00896AA2">
        <w:rPr>
          <w:rFonts w:ascii="Times New Roman" w:eastAsia="Times New Roman" w:hAnsi="Times New Roman" w:cs="Times New Roman"/>
          <w:sz w:val="24"/>
          <w:szCs w:val="24"/>
        </w:rPr>
        <w:t xml:space="preserve">, 129–136. </w:t>
      </w:r>
      <w:hyperlink r:id="rId3313" w:history="1">
        <w:r w:rsidRPr="00896AA2">
          <w:rPr>
            <w:rFonts w:ascii="Times New Roman" w:eastAsia="Times New Roman" w:hAnsi="Times New Roman" w:cs="Times New Roman"/>
            <w:color w:val="0000FF"/>
            <w:sz w:val="24"/>
            <w:szCs w:val="24"/>
            <w:u w:val="single"/>
          </w:rPr>
          <w:t>https://doi.org/10.1016/j.psychres.2016.01.055</w:t>
        </w:r>
      </w:hyperlink>
    </w:p>
    <w:p w14:paraId="742FCF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Leung, R. C., &amp; Zakzanis, K. K. (2014). Brief report: Cognitive flexibility in autism spectrum disorders: A quantitative review.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2628–2645.</w:t>
      </w:r>
    </w:p>
    <w:p w14:paraId="693E4F4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Levens, S. M., Larsen, J. T., Bruss, J., Tranel, D., Bechara, A., &amp; Mellers, B. A. (2014). What might have been? The role of the ventromedial prefrontal cortex and lateral orbitofrontal cortex in counterfactual emotions and choice.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 77–86. </w:t>
      </w:r>
      <w:hyperlink r:id="rId3314" w:history="1">
        <w:r w:rsidRPr="00896AA2">
          <w:rPr>
            <w:rFonts w:ascii="Times New Roman" w:eastAsia="Times New Roman" w:hAnsi="Times New Roman" w:cs="Times New Roman"/>
            <w:color w:val="0000FF"/>
            <w:sz w:val="24"/>
            <w:szCs w:val="24"/>
            <w:u w:val="single"/>
          </w:rPr>
          <w:t>https://doi.org/10.1016/j.neuropsychologia.2013.10.026</w:t>
        </w:r>
      </w:hyperlink>
    </w:p>
    <w:p w14:paraId="16750C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Levent, N., Tümkaya, S., Ateşçi, F., Tüysüzoğlu, H., Varma, G., &amp; Oğuzhanoğlu, N. (2014). Bipolar bozukluk ve erişkin dikkat eksikliği hiperaktivite bozukluğunun nöropsikolojik açıdan karşılaştırılması. [A neuropsychological comparison of bipolar disorder and adult attention deficit hyperactivity disorder.].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(1), 1–8.</w:t>
      </w:r>
    </w:p>
    <w:p w14:paraId="2377CC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 H. S., Song, J., Scheibel, R. S., Fletcher, J. M., Harward, H., Lilly, M., &amp; Goldstein, F. (1997). Concept formation and problem-solving following closed head injury in children.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(6), 598–607.</w:t>
      </w:r>
    </w:p>
    <w:p w14:paraId="45EF98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 O. S., Yunishchenko, N. A., &amp; Dudarova, M. A. (2010). Efficacy of akatinol memantine in moderate cognitive impairments. </w:t>
      </w:r>
      <w:r w:rsidRPr="00896AA2">
        <w:rPr>
          <w:rFonts w:ascii="Times New Roman" w:eastAsia="Times New Roman" w:hAnsi="Times New Roman" w:cs="Times New Roman"/>
          <w:i/>
          <w:iCs/>
          <w:sz w:val="24"/>
          <w:szCs w:val="24"/>
        </w:rPr>
        <w:t>Neuroscience and Behavioral 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(8), 926–933. </w:t>
      </w:r>
      <w:hyperlink r:id="rId3315" w:history="1">
        <w:r w:rsidRPr="00896AA2">
          <w:rPr>
            <w:rFonts w:ascii="Times New Roman" w:eastAsia="Times New Roman" w:hAnsi="Times New Roman" w:cs="Times New Roman"/>
            <w:color w:val="0000FF"/>
            <w:sz w:val="24"/>
            <w:szCs w:val="24"/>
            <w:u w:val="single"/>
          </w:rPr>
          <w:t>https://doi.org/10.1007/s11055-010-9347-8</w:t>
        </w:r>
      </w:hyperlink>
    </w:p>
    <w:p w14:paraId="13C732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A. J., Hardy, D. J., Barclay, T. R., Reinhard, M. J., Cole, M. M., &amp; Hinkin, C. H. (2008). Elements of attention in HIV-infected adults: Evaluation of an existing model.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53–62. </w:t>
      </w:r>
      <w:hyperlink r:id="rId3316" w:history="1">
        <w:r w:rsidRPr="00896AA2">
          <w:rPr>
            <w:rFonts w:ascii="Times New Roman" w:eastAsia="Times New Roman" w:hAnsi="Times New Roman" w:cs="Times New Roman"/>
            <w:color w:val="0000FF"/>
            <w:sz w:val="24"/>
            <w:szCs w:val="24"/>
            <w:u w:val="single"/>
          </w:rPr>
          <w:t>https://doi.org/10.1080/13803390601186684</w:t>
        </w:r>
      </w:hyperlink>
    </w:p>
    <w:p w14:paraId="5BE8E3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A. J., Hinkin, C. H., Ando, K., Santangelo, G., Martinez, M., Valdes-Sueiras, M., Saxton, E. H., Mathisen, G., Commins, D. L., Moe, A., Farthing, C., &amp; Singer, E. J. (2008). An exploratory study of long-term neurocognitive outcomes following recovery from opportunistic brain infections in HIV+ adults.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(7), 836–843. </w:t>
      </w:r>
      <w:hyperlink r:id="rId3317" w:history="1">
        <w:r w:rsidRPr="00896AA2">
          <w:rPr>
            <w:rFonts w:ascii="Times New Roman" w:eastAsia="Times New Roman" w:hAnsi="Times New Roman" w:cs="Times New Roman"/>
            <w:color w:val="0000FF"/>
            <w:sz w:val="24"/>
            <w:szCs w:val="24"/>
            <w:u w:val="single"/>
          </w:rPr>
          <w:t>https://doi.org/10.1080/13803390701819036</w:t>
        </w:r>
      </w:hyperlink>
    </w:p>
    <w:p w14:paraId="105BCE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B., Black, S. E., Cheung, G., Campbell, A., O’Toole, C., &amp; Schwartz, M. L. (2005). Gambling Task Performance in Traumatic Brain Injury: Relationships to Injury Severity, Atrophy, Lesion Location, and Cognitive and Psychosocial Outcome. </w:t>
      </w:r>
      <w:r w:rsidRPr="00896AA2">
        <w:rPr>
          <w:rFonts w:ascii="Times New Roman" w:eastAsia="Times New Roman" w:hAnsi="Times New Roman" w:cs="Times New Roman"/>
          <w:i/>
          <w:iCs/>
          <w:sz w:val="24"/>
          <w:szCs w:val="24"/>
        </w:rPr>
        <w:t>Cognitive and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 45–54. </w:t>
      </w:r>
      <w:hyperlink r:id="rId3318" w:history="1">
        <w:r w:rsidRPr="00896AA2">
          <w:rPr>
            <w:rFonts w:ascii="Times New Roman" w:eastAsia="Times New Roman" w:hAnsi="Times New Roman" w:cs="Times New Roman"/>
            <w:color w:val="0000FF"/>
            <w:sz w:val="24"/>
            <w:szCs w:val="24"/>
            <w:u w:val="single"/>
          </w:rPr>
          <w:t>https://doi.org/10.1097/01.wnn.0000152227.13001.c3</w:t>
        </w:r>
      </w:hyperlink>
    </w:p>
    <w:p w14:paraId="2CFEADD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B., Stuss, D. T., Milberg, W. P., Alexander, M. P., Schwartz, M., &amp; MacDonald, R. (1998). The effects of focal and diffuse brain damage on strategy application: Evidence from focal lesions, traumatic brain injury and normal aging.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(3), 247–264.</w:t>
      </w:r>
    </w:p>
    <w:p w14:paraId="4160B8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B., Stuss, D. T., Winocur, G., Binns, M. A., Fahy, L., Mandic, M., Bridges, K., &amp; Robertson, I. H. (2007). Cognitive rehabilitation in the elderly: Effects on strategic behavior in relation to goal management.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(1), 143–152. </w:t>
      </w:r>
      <w:hyperlink r:id="rId3319" w:history="1">
        <w:r w:rsidRPr="00896AA2">
          <w:rPr>
            <w:rFonts w:ascii="Times New Roman" w:eastAsia="Times New Roman" w:hAnsi="Times New Roman" w:cs="Times New Roman"/>
            <w:color w:val="0000FF"/>
            <w:sz w:val="24"/>
            <w:szCs w:val="24"/>
            <w:u w:val="single"/>
          </w:rPr>
          <w:t>https://doi.org/10.1017/S1355617707070178</w:t>
        </w:r>
      </w:hyperlink>
    </w:p>
    <w:p w14:paraId="369D54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J., Stahl, Z., Sela, B.-A., Ruderman, V., Shumaico, O., Babushkin, I., Osher, Y., Bersudsky, Y., &amp; Belmaker, R. H. (2006). Homocysteine-Reducing Strategies Improve Symptoms in Chronic Schizophrenic Patients with Hyperhomocysteinemia.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(3), 265–269. </w:t>
      </w:r>
      <w:hyperlink r:id="rId3320" w:history="1">
        <w:r w:rsidRPr="00896AA2">
          <w:rPr>
            <w:rFonts w:ascii="Times New Roman" w:eastAsia="Times New Roman" w:hAnsi="Times New Roman" w:cs="Times New Roman"/>
            <w:color w:val="0000FF"/>
            <w:sz w:val="24"/>
            <w:szCs w:val="24"/>
            <w:u w:val="single"/>
          </w:rPr>
          <w:t>https://doi.org/10.1016/j.biopsych.2005.10.009</w:t>
        </w:r>
      </w:hyperlink>
    </w:p>
    <w:p w14:paraId="4CB8F08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Levine, S. Z., &amp; Rabinowitz, J. (2010). Trajectories and antecedents of treatment response over time in early-episode psychosis.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(3), 624–632. </w:t>
      </w:r>
      <w:hyperlink r:id="rId3321" w:history="1">
        <w:r w:rsidRPr="00896AA2">
          <w:rPr>
            <w:rFonts w:ascii="Times New Roman" w:eastAsia="Times New Roman" w:hAnsi="Times New Roman" w:cs="Times New Roman"/>
            <w:color w:val="0000FF"/>
            <w:sz w:val="24"/>
            <w:szCs w:val="24"/>
            <w:u w:val="single"/>
          </w:rPr>
          <w:t>https://doi.org/10.1093/schbul/sbn120</w:t>
        </w:r>
      </w:hyperlink>
    </w:p>
    <w:p w14:paraId="6DF07F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Levinoff, E. J., Phillips, N. A., Verret, L., Babins, L., Kelner, N., Akerib, V., &amp; Chertkow, H. (2006). Cognitive estimation impairment in Alzheimer disease and mild cognitive impairment.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(1), 123–132. </w:t>
      </w:r>
      <w:hyperlink r:id="rId3322" w:history="1">
        <w:r w:rsidRPr="00896AA2">
          <w:rPr>
            <w:rFonts w:ascii="Times New Roman" w:eastAsia="Times New Roman" w:hAnsi="Times New Roman" w:cs="Times New Roman"/>
            <w:color w:val="0000FF"/>
            <w:sz w:val="24"/>
            <w:szCs w:val="24"/>
            <w:u w:val="single"/>
          </w:rPr>
          <w:t>https://doi.org/10.1037/0894-4105.20.1.123</w:t>
        </w:r>
      </w:hyperlink>
    </w:p>
    <w:p w14:paraId="3E517E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Alvarado, J. L., Nestor, P. G., Rosow, L., Pelavin, P. E., McCarley, R. W., Kubicki, M., &amp; Shenton, M. E. (2012). Fractional anisotropy and radial diffusivity: Diffusion measures of white matter abnormalities in the anterior limb of the internal capsule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(1–3), 55–62. </w:t>
      </w:r>
      <w:hyperlink r:id="rId3323" w:history="1">
        <w:r w:rsidRPr="00896AA2">
          <w:rPr>
            <w:rFonts w:ascii="Times New Roman" w:eastAsia="Times New Roman" w:hAnsi="Times New Roman" w:cs="Times New Roman"/>
            <w:color w:val="0000FF"/>
            <w:sz w:val="24"/>
            <w:szCs w:val="24"/>
            <w:u w:val="single"/>
          </w:rPr>
          <w:t>https://doi.org/10.1016/j.schres.2011.09.009</w:t>
        </w:r>
      </w:hyperlink>
    </w:p>
    <w:p w14:paraId="577E1F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Kubicki, M., Nestor, P. G., Ersner-Hershfield, H., Westin, C.-F., Alvarado, J. L., Kikinis, R., Jolesz, F. A., McCarley, R. W., &amp; Shenton, M. E. (2010). A diffusion tensor imaging study of the anterior limb of the internal capsule in schizophrenia.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184</w:t>
      </w:r>
      <w:r w:rsidRPr="00896AA2">
        <w:rPr>
          <w:rFonts w:ascii="Times New Roman" w:eastAsia="Times New Roman" w:hAnsi="Times New Roman" w:cs="Times New Roman"/>
          <w:sz w:val="24"/>
          <w:szCs w:val="24"/>
        </w:rPr>
        <w:t xml:space="preserve">(3), 143–150. </w:t>
      </w:r>
      <w:hyperlink r:id="rId3324" w:history="1">
        <w:r w:rsidRPr="00896AA2">
          <w:rPr>
            <w:rFonts w:ascii="Times New Roman" w:eastAsia="Times New Roman" w:hAnsi="Times New Roman" w:cs="Times New Roman"/>
            <w:color w:val="0000FF"/>
            <w:sz w:val="24"/>
            <w:szCs w:val="24"/>
            <w:u w:val="single"/>
          </w:rPr>
          <w:t>https://doi.org/10.1016/j.pscychresns.2010.08.004</w:t>
        </w:r>
      </w:hyperlink>
    </w:p>
    <w:p w14:paraId="1C7F41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O’Donnell, B. F., McCarley, R. W., Nestor, P. G., &amp; Shenton, M. E. (1996). Correlations of premorbid adjustment in schizophrenia with auditory event-related potential and  neuropsychological abnormalities.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153</w:t>
      </w:r>
      <w:r w:rsidRPr="00896AA2">
        <w:rPr>
          <w:rFonts w:ascii="Times New Roman" w:eastAsia="Times New Roman" w:hAnsi="Times New Roman" w:cs="Times New Roman"/>
          <w:sz w:val="24"/>
          <w:szCs w:val="24"/>
        </w:rPr>
        <w:t xml:space="preserve">(10), 1347–1349. </w:t>
      </w:r>
      <w:hyperlink r:id="rId3325" w:history="1">
        <w:r w:rsidRPr="00896AA2">
          <w:rPr>
            <w:rFonts w:ascii="Times New Roman" w:eastAsia="Times New Roman" w:hAnsi="Times New Roman" w:cs="Times New Roman"/>
            <w:color w:val="0000FF"/>
            <w:sz w:val="24"/>
            <w:szCs w:val="24"/>
            <w:u w:val="single"/>
          </w:rPr>
          <w:t>https://doi.org/10.1176/ajp.153.10.1347</w:t>
        </w:r>
      </w:hyperlink>
    </w:p>
    <w:p w14:paraId="591080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Rosow, L. K., Nestor, P. G., Pelavin, P. E., Swisher, T. M., McCarley, R. W., &amp; Shenton, M. E. (2013). A volumetric MRI study of limbic, associative and sensorimotor striatal subregions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145</w:t>
      </w:r>
      <w:r w:rsidRPr="00896AA2">
        <w:rPr>
          <w:rFonts w:ascii="Times New Roman" w:eastAsia="Times New Roman" w:hAnsi="Times New Roman" w:cs="Times New Roman"/>
          <w:sz w:val="24"/>
          <w:szCs w:val="24"/>
        </w:rPr>
        <w:t xml:space="preserve">(1–3), 11–19. </w:t>
      </w:r>
      <w:hyperlink r:id="rId3326" w:history="1">
        <w:r w:rsidRPr="00896AA2">
          <w:rPr>
            <w:rFonts w:ascii="Times New Roman" w:eastAsia="Times New Roman" w:hAnsi="Times New Roman" w:cs="Times New Roman"/>
            <w:color w:val="0000FF"/>
            <w:sz w:val="24"/>
            <w:szCs w:val="24"/>
            <w:u w:val="single"/>
          </w:rPr>
          <w:t>https://doi.org/10.1016/j.schres.2012.08.032</w:t>
        </w:r>
      </w:hyperlink>
    </w:p>
    <w:p w14:paraId="692A2D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Levitt, J. J., Styner, M., Niethammer, M., Bouix, S., Koo, M.-S., Voglmaier, M. M., Dickey, C. C., Niznikiewicz, M. A., Kikinis, R., McCarley, R. W., &amp; Shenton, M. E. (2009). Shape abnormalities of caudate nucleus in schizotypal personality disorder.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110</w:t>
      </w:r>
      <w:r w:rsidRPr="00896AA2">
        <w:rPr>
          <w:rFonts w:ascii="Times New Roman" w:eastAsia="Times New Roman" w:hAnsi="Times New Roman" w:cs="Times New Roman"/>
          <w:sz w:val="24"/>
          <w:szCs w:val="24"/>
        </w:rPr>
        <w:t xml:space="preserve">(1–3), 127–139. </w:t>
      </w:r>
      <w:hyperlink r:id="rId3327" w:history="1">
        <w:r w:rsidRPr="00896AA2">
          <w:rPr>
            <w:rFonts w:ascii="Times New Roman" w:eastAsia="Times New Roman" w:hAnsi="Times New Roman" w:cs="Times New Roman"/>
            <w:color w:val="0000FF"/>
            <w:sz w:val="24"/>
            <w:szCs w:val="24"/>
            <w:u w:val="single"/>
          </w:rPr>
          <w:t>https://doi.org/10.1016/j.schres.2008.11.012</w:t>
        </w:r>
      </w:hyperlink>
    </w:p>
    <w:p w14:paraId="122689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Manove, E., &amp; Weiss, R. D. (2012). Recovery of cognitive functioning in patients with co-occurring bipolar disorder and alcohol dependence during early remission from an acute mood episode. </w:t>
      </w:r>
      <w:r w:rsidRPr="00896AA2">
        <w:rPr>
          <w:rFonts w:ascii="Times New Roman" w:eastAsia="Times New Roman" w:hAnsi="Times New Roman" w:cs="Times New Roman"/>
          <w:i/>
          <w:iCs/>
          <w:sz w:val="24"/>
          <w:szCs w:val="24"/>
        </w:rPr>
        <w:t>Annals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(2), 143–154.</w:t>
      </w:r>
    </w:p>
    <w:p w14:paraId="6B76F7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Medina, A. M., Hintz, K., &amp; Weiss, R. D. (2011). Ecologically valid support for the link between cognitive and psychosocial functioning in bipolar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185</w:t>
      </w:r>
      <w:r w:rsidRPr="00896AA2">
        <w:rPr>
          <w:rFonts w:ascii="Times New Roman" w:eastAsia="Times New Roman" w:hAnsi="Times New Roman" w:cs="Times New Roman"/>
          <w:sz w:val="24"/>
          <w:szCs w:val="24"/>
        </w:rPr>
        <w:t xml:space="preserve">(3), 353–357. </w:t>
      </w:r>
      <w:hyperlink r:id="rId3328" w:history="1">
        <w:r w:rsidRPr="00896AA2">
          <w:rPr>
            <w:rFonts w:ascii="Times New Roman" w:eastAsia="Times New Roman" w:hAnsi="Times New Roman" w:cs="Times New Roman"/>
            <w:color w:val="0000FF"/>
            <w:sz w:val="24"/>
            <w:szCs w:val="24"/>
            <w:u w:val="single"/>
          </w:rPr>
          <w:t>https://doi.org/10.1016/j.psychres.2010.06.010</w:t>
        </w:r>
      </w:hyperlink>
    </w:p>
    <w:p w14:paraId="4E0C712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Medina, A. M., Manove, E., &amp; Weiss, R. D. (2011). The characteristics of a discrete mood episode, neuro-cognitive impairment and re-hospitalization in bipolar disorder.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(8), 1048–1054. </w:t>
      </w:r>
      <w:hyperlink r:id="rId3329" w:history="1">
        <w:r w:rsidRPr="00896AA2">
          <w:rPr>
            <w:rFonts w:ascii="Times New Roman" w:eastAsia="Times New Roman" w:hAnsi="Times New Roman" w:cs="Times New Roman"/>
            <w:color w:val="0000FF"/>
            <w:sz w:val="24"/>
            <w:szCs w:val="24"/>
            <w:u w:val="single"/>
          </w:rPr>
          <w:t>https://doi.org/10.1016/j.jpsychires.2011.01.005</w:t>
        </w:r>
      </w:hyperlink>
    </w:p>
    <w:p w14:paraId="4E5E83C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Medina, A. M., &amp; Weiss, R. D. (2013). Cognitive and psychosocial functioning in bipolar disorder with and without psychosis during early remission from an acute mood episode: A comparative longitudinal study.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(6), 618–626. </w:t>
      </w:r>
      <w:hyperlink r:id="rId3330" w:history="1">
        <w:r w:rsidRPr="00896AA2">
          <w:rPr>
            <w:rFonts w:ascii="Times New Roman" w:eastAsia="Times New Roman" w:hAnsi="Times New Roman" w:cs="Times New Roman"/>
            <w:color w:val="0000FF"/>
            <w:sz w:val="24"/>
            <w:szCs w:val="24"/>
            <w:u w:val="single"/>
          </w:rPr>
          <w:t>https://doi.org/10.1016/j.comppsych.2012.12.018</w:t>
        </w:r>
      </w:hyperlink>
    </w:p>
    <w:p w14:paraId="1AF1ED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B., &amp; Weiss, R. D. (2010). Neurocognitive impairment and psychosis in bipolar I disorder during early remission from an acute episode of mood disturbance.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71</w:t>
      </w:r>
      <w:r w:rsidRPr="00896AA2">
        <w:rPr>
          <w:rFonts w:ascii="Times New Roman" w:eastAsia="Times New Roman" w:hAnsi="Times New Roman" w:cs="Times New Roman"/>
          <w:sz w:val="24"/>
          <w:szCs w:val="24"/>
        </w:rPr>
        <w:t xml:space="preserve">(2), 201–206. </w:t>
      </w:r>
      <w:hyperlink r:id="rId3331" w:history="1">
        <w:r w:rsidRPr="00896AA2">
          <w:rPr>
            <w:rFonts w:ascii="Times New Roman" w:eastAsia="Times New Roman" w:hAnsi="Times New Roman" w:cs="Times New Roman"/>
            <w:color w:val="0000FF"/>
            <w:sz w:val="24"/>
            <w:szCs w:val="24"/>
            <w:u w:val="single"/>
          </w:rPr>
          <w:t>https://doi.org/10.4088/JCP.08m04663yel</w:t>
        </w:r>
      </w:hyperlink>
    </w:p>
    <w:p w14:paraId="4E3C34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 E. K. (2012). An artistic exploration of inattention blindness.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 </w:t>
      </w:r>
      <w:hyperlink r:id="rId3332" w:history="1">
        <w:r w:rsidRPr="00896AA2">
          <w:rPr>
            <w:rFonts w:ascii="Times New Roman" w:eastAsia="Times New Roman" w:hAnsi="Times New Roman" w:cs="Times New Roman"/>
            <w:color w:val="0000FF"/>
            <w:sz w:val="24"/>
            <w:szCs w:val="24"/>
            <w:u w:val="single"/>
          </w:rPr>
          <w:t>https://doi.org/10.3389/fnhum.2011.00174</w:t>
        </w:r>
      </w:hyperlink>
    </w:p>
    <w:p w14:paraId="76B03B1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Levy-Cooperman, N., Lobaugh, N. J., Caldwell, C., Gao, F., &amp; Black, S. E. (2007). Subcortical hyperintensities in Alzheimer’s disease: No clear relationship with executive function and frontal perfusion on SPECT. </w:t>
      </w:r>
      <w:r w:rsidRPr="00896AA2">
        <w:rPr>
          <w:rFonts w:ascii="Times New Roman" w:eastAsia="Times New Roman" w:hAnsi="Times New Roman" w:cs="Times New Roman"/>
          <w:i/>
          <w:iCs/>
          <w:sz w:val="24"/>
          <w:szCs w:val="24"/>
        </w:rPr>
        <w:t>Dementia and Geriatric Cognitive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(5), 380–388. </w:t>
      </w:r>
      <w:hyperlink r:id="rId3333" w:history="1">
        <w:r w:rsidRPr="00896AA2">
          <w:rPr>
            <w:rFonts w:ascii="Times New Roman" w:eastAsia="Times New Roman" w:hAnsi="Times New Roman" w:cs="Times New Roman"/>
            <w:color w:val="0000FF"/>
            <w:sz w:val="24"/>
            <w:szCs w:val="24"/>
            <w:u w:val="single"/>
          </w:rPr>
          <w:t>https://doi.org/10.1159/000109570</w:t>
        </w:r>
      </w:hyperlink>
    </w:p>
    <w:p w14:paraId="61D844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(2016). Cognitive remediation for the treatment of cognitive dysfunction in the early course of psychosis. </w:t>
      </w:r>
      <w:r w:rsidRPr="00896AA2">
        <w:rPr>
          <w:rFonts w:ascii="Times New Roman" w:eastAsia="Times New Roman" w:hAnsi="Times New Roman" w:cs="Times New Roman"/>
          <w:i/>
          <w:iCs/>
          <w:sz w:val="24"/>
          <w:szCs w:val="24"/>
        </w:rPr>
        <w:t>Harvard Review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164–172. </w:t>
      </w:r>
      <w:hyperlink r:id="rId3334" w:history="1">
        <w:r w:rsidRPr="00896AA2">
          <w:rPr>
            <w:rFonts w:ascii="Times New Roman" w:eastAsia="Times New Roman" w:hAnsi="Times New Roman" w:cs="Times New Roman"/>
            <w:color w:val="0000FF"/>
            <w:sz w:val="24"/>
            <w:szCs w:val="24"/>
            <w:u w:val="single"/>
          </w:rPr>
          <w:t>https://doi.org/10.1097/HRP.0000000000000108</w:t>
        </w:r>
      </w:hyperlink>
    </w:p>
    <w:p w14:paraId="40C1923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Cohen, B. M., &amp; Öngur, D. (2011). Evolution of neuropsychological dysfunction during the course of schizophrenia and bipolar disorder.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(2), 225–241. </w:t>
      </w:r>
      <w:hyperlink r:id="rId3335" w:history="1">
        <w:r w:rsidRPr="00896AA2">
          <w:rPr>
            <w:rFonts w:ascii="Times New Roman" w:eastAsia="Times New Roman" w:hAnsi="Times New Roman" w:cs="Times New Roman"/>
            <w:color w:val="0000FF"/>
            <w:sz w:val="24"/>
            <w:szCs w:val="24"/>
            <w:u w:val="single"/>
          </w:rPr>
          <w:t>https://doi.org/10.1017/S0033291710001042</w:t>
        </w:r>
      </w:hyperlink>
    </w:p>
    <w:p w14:paraId="5D1444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Eack, S. M., Hogarty, S. S., Greenwald, D. P., &amp; Keshavan, M. S. (2011). Is cognitive enhancement therapy equally effective for patients with schizophrenia and schizoaffective disorder?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125</w:t>
      </w:r>
      <w:r w:rsidRPr="00896AA2">
        <w:rPr>
          <w:rFonts w:ascii="Times New Roman" w:eastAsia="Times New Roman" w:hAnsi="Times New Roman" w:cs="Times New Roman"/>
          <w:sz w:val="24"/>
          <w:szCs w:val="24"/>
        </w:rPr>
        <w:t xml:space="preserve">(2–3), 291–294. </w:t>
      </w:r>
      <w:hyperlink r:id="rId3336" w:history="1">
        <w:r w:rsidRPr="00896AA2">
          <w:rPr>
            <w:rFonts w:ascii="Times New Roman" w:eastAsia="Times New Roman" w:hAnsi="Times New Roman" w:cs="Times New Roman"/>
            <w:color w:val="0000FF"/>
            <w:sz w:val="24"/>
            <w:szCs w:val="24"/>
            <w:u w:val="single"/>
          </w:rPr>
          <w:t>https://doi.org/10.1016/j.schres.2010.11.017</w:t>
        </w:r>
      </w:hyperlink>
    </w:p>
    <w:p w14:paraId="6DA4B0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Lewandowski, K. E., Shashi, V., Berry, P. M., &amp; Kwapil, T. R. (2007). Schizophrenic‐like neurocognitive deficits in children and adolescents with 22q11 deletion syndrome. </w:t>
      </w:r>
      <w:r w:rsidRPr="00896AA2">
        <w:rPr>
          <w:rFonts w:ascii="Times New Roman" w:eastAsia="Times New Roman" w:hAnsi="Times New Roman" w:cs="Times New Roman"/>
          <w:i/>
          <w:iCs/>
          <w:sz w:val="24"/>
          <w:szCs w:val="24"/>
        </w:rPr>
        <w:t>American Journal of Medical Genetics Part B: Neuropsychiatric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144B</w:t>
      </w:r>
      <w:r w:rsidRPr="00896AA2">
        <w:rPr>
          <w:rFonts w:ascii="Times New Roman" w:eastAsia="Times New Roman" w:hAnsi="Times New Roman" w:cs="Times New Roman"/>
          <w:sz w:val="24"/>
          <w:szCs w:val="24"/>
        </w:rPr>
        <w:t xml:space="preserve">(1), 27–36. </w:t>
      </w:r>
      <w:hyperlink r:id="rId3337" w:history="1">
        <w:r w:rsidRPr="00896AA2">
          <w:rPr>
            <w:rFonts w:ascii="Times New Roman" w:eastAsia="Times New Roman" w:hAnsi="Times New Roman" w:cs="Times New Roman"/>
            <w:color w:val="0000FF"/>
            <w:sz w:val="24"/>
            <w:szCs w:val="24"/>
            <w:u w:val="single"/>
          </w:rPr>
          <w:t>https://doi.org/10.1002/ajmg.b.30379</w:t>
        </w:r>
      </w:hyperlink>
    </w:p>
    <w:p w14:paraId="62151DF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Lewine, J. D., Davis, J. T., Bigler, E. D., Thoma, R., Hill, D., Funke, M., Sloan, J. H., Hall, S., &amp; Orrison, W. W. (2007). Objective documentation of traumatic brain injury subsequent to mild head trauma: Multimodal brain imaging with MEG, SPECT, and MRI. </w:t>
      </w:r>
      <w:r w:rsidRPr="00896AA2">
        <w:rPr>
          <w:rFonts w:ascii="Times New Roman" w:eastAsia="Times New Roman" w:hAnsi="Times New Roman" w:cs="Times New Roman"/>
          <w:i/>
          <w:iCs/>
          <w:sz w:val="24"/>
          <w:szCs w:val="24"/>
        </w:rPr>
        <w:t>The Journal of Head Trauma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141–155. </w:t>
      </w:r>
      <w:hyperlink r:id="rId3338" w:history="1">
        <w:r w:rsidRPr="00896AA2">
          <w:rPr>
            <w:rFonts w:ascii="Times New Roman" w:eastAsia="Times New Roman" w:hAnsi="Times New Roman" w:cs="Times New Roman"/>
            <w:color w:val="0000FF"/>
            <w:sz w:val="24"/>
            <w:szCs w:val="24"/>
            <w:u w:val="single"/>
          </w:rPr>
          <w:t>https://doi.org/10.1097/01.HTR.0000271115.29954.27</w:t>
        </w:r>
      </w:hyperlink>
    </w:p>
    <w:p w14:paraId="5F2C18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Lewine, R. R. J., Thurston-Snoha, B.-J., &amp; Ardery, R. (2006). Sex, Gender, and Neuropsychological Functioning in Schizophrenia.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(8), 1362–1372. </w:t>
      </w:r>
      <w:hyperlink r:id="rId3339" w:history="1">
        <w:r w:rsidRPr="00896AA2">
          <w:rPr>
            <w:rFonts w:ascii="Times New Roman" w:eastAsia="Times New Roman" w:hAnsi="Times New Roman" w:cs="Times New Roman"/>
            <w:color w:val="0000FF"/>
            <w:sz w:val="24"/>
            <w:szCs w:val="24"/>
            <w:u w:val="single"/>
          </w:rPr>
          <w:t>https://doi.org/10.1080/13803390500473738</w:t>
        </w:r>
      </w:hyperlink>
    </w:p>
    <w:p w14:paraId="39B88D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Lewis, L., Unkefer, E. P., O’Neal, S. K., Crith, C. J., &amp; Fultz, J. (2003). Cognitive rehabilitation with patients having persistent, severe psychiatric disabilities. </w:t>
      </w:r>
      <w:r w:rsidRPr="00896AA2">
        <w:rPr>
          <w:rFonts w:ascii="Times New Roman" w:eastAsia="Times New Roman" w:hAnsi="Times New Roman" w:cs="Times New Roman"/>
          <w:i/>
          <w:iCs/>
          <w:sz w:val="24"/>
          <w:szCs w:val="24"/>
        </w:rPr>
        <w:t>Psychiatric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(4), 325–331. </w:t>
      </w:r>
      <w:hyperlink r:id="rId3340" w:history="1">
        <w:r w:rsidRPr="00896AA2">
          <w:rPr>
            <w:rFonts w:ascii="Times New Roman" w:eastAsia="Times New Roman" w:hAnsi="Times New Roman" w:cs="Times New Roman"/>
            <w:color w:val="0000FF"/>
            <w:sz w:val="24"/>
            <w:szCs w:val="24"/>
            <w:u w:val="single"/>
          </w:rPr>
          <w:t>https://doi.org/10.2975/26.2003.325.331</w:t>
        </w:r>
      </w:hyperlink>
    </w:p>
    <w:p w14:paraId="7816ABB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Lewis, M. S., &amp; Miller, L. S. (2007). Executive control functioning and functional ability in older adults.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274–285. </w:t>
      </w:r>
      <w:hyperlink r:id="rId3341" w:history="1">
        <w:r w:rsidRPr="00896AA2">
          <w:rPr>
            <w:rFonts w:ascii="Times New Roman" w:eastAsia="Times New Roman" w:hAnsi="Times New Roman" w:cs="Times New Roman"/>
            <w:color w:val="0000FF"/>
            <w:sz w:val="24"/>
            <w:szCs w:val="24"/>
            <w:u w:val="single"/>
          </w:rPr>
          <w:t>https://doi.org/10.1080/13854040500519752</w:t>
        </w:r>
      </w:hyperlink>
    </w:p>
    <w:p w14:paraId="18C6AE3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Lewis, M. W., Babbage, D. R., &amp; Leathem, J. M. (2011). Assessing executive performance during cognitive rehabilitation.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145–163. </w:t>
      </w:r>
      <w:hyperlink r:id="rId3342" w:history="1">
        <w:r w:rsidRPr="00896AA2">
          <w:rPr>
            <w:rFonts w:ascii="Times New Roman" w:eastAsia="Times New Roman" w:hAnsi="Times New Roman" w:cs="Times New Roman"/>
            <w:color w:val="0000FF"/>
            <w:sz w:val="24"/>
            <w:szCs w:val="24"/>
            <w:u w:val="single"/>
          </w:rPr>
          <w:t>https://doi.org/10.1080/09602011.2010.543867</w:t>
        </w:r>
      </w:hyperlink>
    </w:p>
    <w:p w14:paraId="1916AE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Lhommée, E., Klinger, H., Thobois, S., Schmitt, E., Ardouin, C., Bichon, A., Kistner, A., Fraix, V., Xie, J., Kombo, M. A., Chabardès, S., Seigneuret, E., Benabid, A.-L., Mertens, P., Polo, G., Carnicella, S., Quesada, J.-L., Bosson, J.-L., Broussolle, E., … Krack, P. (2012). Subthalamic stimulation in Parkinson’s disease: Restoring the balance of motivated behaviours.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135</w:t>
      </w:r>
      <w:r w:rsidRPr="00896AA2">
        <w:rPr>
          <w:rFonts w:ascii="Times New Roman" w:eastAsia="Times New Roman" w:hAnsi="Times New Roman" w:cs="Times New Roman"/>
          <w:sz w:val="24"/>
          <w:szCs w:val="24"/>
        </w:rPr>
        <w:t xml:space="preserve">(5), 1463–1477. </w:t>
      </w:r>
      <w:hyperlink r:id="rId3343" w:history="1">
        <w:r w:rsidRPr="00896AA2">
          <w:rPr>
            <w:rFonts w:ascii="Times New Roman" w:eastAsia="Times New Roman" w:hAnsi="Times New Roman" w:cs="Times New Roman"/>
            <w:color w:val="0000FF"/>
            <w:sz w:val="24"/>
            <w:szCs w:val="24"/>
            <w:u w:val="single"/>
          </w:rPr>
          <w:t>https://doi.org/10.1093/brain/aws078</w:t>
        </w:r>
      </w:hyperlink>
    </w:p>
    <w:p w14:paraId="16361B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A. W. Y., Hui, C. L. M., Lee, E. H. M., Chang, W. C., Chan, S. K. W., &amp; Chen, E. Y. H. (2019). Gender differences in correlates of cognition in first-episode psychosis.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271</w:t>
      </w:r>
      <w:r w:rsidRPr="00896AA2">
        <w:rPr>
          <w:rFonts w:ascii="Times New Roman" w:eastAsia="Times New Roman" w:hAnsi="Times New Roman" w:cs="Times New Roman"/>
          <w:sz w:val="24"/>
          <w:szCs w:val="24"/>
        </w:rPr>
        <w:t xml:space="preserve">, 412–420. </w:t>
      </w:r>
      <w:hyperlink r:id="rId3344" w:history="1">
        <w:r w:rsidRPr="00896AA2">
          <w:rPr>
            <w:rFonts w:ascii="Times New Roman" w:eastAsia="Times New Roman" w:hAnsi="Times New Roman" w:cs="Times New Roman"/>
            <w:color w:val="0000FF"/>
            <w:sz w:val="24"/>
            <w:szCs w:val="24"/>
            <w:u w:val="single"/>
          </w:rPr>
          <w:t>https://doi.org/10.1016/j.psychres.2018.12.011</w:t>
        </w:r>
      </w:hyperlink>
    </w:p>
    <w:p w14:paraId="34D81B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A. W. Y., Viñas-Guasch, N., Hui, C. L. M., Chang, W.-C., Chan, S. K. W., Lee, E. H. M., &amp; Chen, E. Y. H. (2018). Verbal working memory in schizophrenia: The role of syntax in facilitating serial recall.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192</w:t>
      </w:r>
      <w:r w:rsidRPr="00896AA2">
        <w:rPr>
          <w:rFonts w:ascii="Times New Roman" w:eastAsia="Times New Roman" w:hAnsi="Times New Roman" w:cs="Times New Roman"/>
          <w:sz w:val="24"/>
          <w:szCs w:val="24"/>
        </w:rPr>
        <w:t xml:space="preserve">, 294–299. </w:t>
      </w:r>
      <w:hyperlink r:id="rId3345" w:history="1">
        <w:r w:rsidRPr="00896AA2">
          <w:rPr>
            <w:rFonts w:ascii="Times New Roman" w:eastAsia="Times New Roman" w:hAnsi="Times New Roman" w:cs="Times New Roman"/>
            <w:color w:val="0000FF"/>
            <w:sz w:val="24"/>
            <w:szCs w:val="24"/>
            <w:u w:val="single"/>
          </w:rPr>
          <w:t>https://doi.org/10.1016/j.schres.2017.04.008</w:t>
        </w:r>
      </w:hyperlink>
    </w:p>
    <w:p w14:paraId="61A396A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 Spat, J., &amp; Shuman-Paretsky, M. (2016). An overview of conducting neuropsychological assessments with the Asian populations. In </w:t>
      </w:r>
      <w:r w:rsidRPr="00896AA2">
        <w:rPr>
          <w:rFonts w:ascii="Times New Roman" w:eastAsia="Times New Roman" w:hAnsi="Times New Roman" w:cs="Times New Roman"/>
          <w:i/>
          <w:iCs/>
          <w:sz w:val="24"/>
          <w:szCs w:val="24"/>
        </w:rPr>
        <w:t>Minority and cross-cultural aspects of neuropsychological assessment: Enduring and emerging trends, 2nd ed.</w:t>
      </w:r>
      <w:r w:rsidRPr="00896AA2">
        <w:rPr>
          <w:rFonts w:ascii="Times New Roman" w:eastAsia="Times New Roman" w:hAnsi="Times New Roman" w:cs="Times New Roman"/>
          <w:sz w:val="24"/>
          <w:szCs w:val="24"/>
        </w:rPr>
        <w:t xml:space="preserve"> (pp. 185–200). Taylor &amp; Francis.</w:t>
      </w:r>
    </w:p>
    <w:p w14:paraId="5BD845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 Tu, P., Hsieh, J., Lee, H., Bai, Y., Tsai, C., Wang, S., Hsu, J., Huang, K., Hong, C., &amp; Su, T. (2015). Functional dysconnection in the prefrontal–amygdala circuitry in unaffected siblings of patients with bipolar I disorder.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(6), 626–635. </w:t>
      </w:r>
      <w:hyperlink r:id="rId3346" w:history="1">
        <w:r w:rsidRPr="00896AA2">
          <w:rPr>
            <w:rFonts w:ascii="Times New Roman" w:eastAsia="Times New Roman" w:hAnsi="Times New Roman" w:cs="Times New Roman"/>
            <w:color w:val="0000FF"/>
            <w:sz w:val="24"/>
            <w:szCs w:val="24"/>
            <w:u w:val="single"/>
          </w:rPr>
          <w:t>https://doi.org/10.1111/bdi.12321</w:t>
        </w:r>
      </w:hyperlink>
    </w:p>
    <w:p w14:paraId="12FDE3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C.-S. R. (2004). Do schizophrenia patients make more perseverative than non-perseverative errors on the Wisconsin Card Sorting Test? A meta-analytic study.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(2), 179–190. </w:t>
      </w:r>
      <w:hyperlink r:id="rId3347" w:history="1">
        <w:r w:rsidRPr="00896AA2">
          <w:rPr>
            <w:rFonts w:ascii="Times New Roman" w:eastAsia="Times New Roman" w:hAnsi="Times New Roman" w:cs="Times New Roman"/>
            <w:color w:val="0000FF"/>
            <w:sz w:val="24"/>
            <w:szCs w:val="24"/>
            <w:u w:val="single"/>
          </w:rPr>
          <w:t>https://doi.org/10.1016/j.psychres.2004.06.016</w:t>
        </w:r>
      </w:hyperlink>
    </w:p>
    <w:p w14:paraId="310F09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C.-T., Bai, Y.-M., Hsieh, J.-C., Lee, H.-C., Yang, B.-H., Chen, M.-H., Lin, W.-C., Tsai, C.-F., Tu, P.-C., Wang, S.-J., &amp; Su, T.-P. (2015). Peripheral and central glucose utilizations modulated by mitochondrial DNA 10398A in bipolar disorder. </w:t>
      </w:r>
      <w:r w:rsidRPr="00896AA2">
        <w:rPr>
          <w:rFonts w:ascii="Times New Roman" w:eastAsia="Times New Roman" w:hAnsi="Times New Roman" w:cs="Times New Roman"/>
          <w:i/>
          <w:iCs/>
          <w:sz w:val="24"/>
          <w:szCs w:val="24"/>
        </w:rPr>
        <w:t>Psychoneuroendocrinology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 72–80. </w:t>
      </w:r>
      <w:hyperlink r:id="rId3348" w:history="1">
        <w:r w:rsidRPr="00896AA2">
          <w:rPr>
            <w:rFonts w:ascii="Times New Roman" w:eastAsia="Times New Roman" w:hAnsi="Times New Roman" w:cs="Times New Roman"/>
            <w:color w:val="0000FF"/>
            <w:sz w:val="24"/>
            <w:szCs w:val="24"/>
            <w:u w:val="single"/>
          </w:rPr>
          <w:t>https://doi.org/10.1016/j.psyneuen.2015.02.003</w:t>
        </w:r>
      </w:hyperlink>
    </w:p>
    <w:p w14:paraId="28E516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C.-T., Lin, C.-P., Chou, K.-H., Chen, I.-Y., Hsieh, J.-C., Wu, C.-L., Lin, W.-C., &amp; Su, T.-P. (2010). Structural and cognitive deficits in remitting and non-remitting recurrent depression: A voxel-based morphometric study.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(1), 347–356. </w:t>
      </w:r>
      <w:hyperlink r:id="rId3349" w:history="1">
        <w:r w:rsidRPr="00896AA2">
          <w:rPr>
            <w:rFonts w:ascii="Times New Roman" w:eastAsia="Times New Roman" w:hAnsi="Times New Roman" w:cs="Times New Roman"/>
            <w:color w:val="0000FF"/>
            <w:sz w:val="24"/>
            <w:szCs w:val="24"/>
            <w:u w:val="single"/>
          </w:rPr>
          <w:t>https://doi.org/10.1016/j.neuroimage.2009.11.021</w:t>
        </w:r>
      </w:hyperlink>
    </w:p>
    <w:p w14:paraId="7794A8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J., Zhu, L., Liu, J., &amp; Li, X. (2014). Social and non-social deficits in children with high-functioning autism and their cooperative behaviors.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(12), 1657–1671. </w:t>
      </w:r>
      <w:hyperlink r:id="rId3350" w:history="1">
        <w:r w:rsidRPr="00896AA2">
          <w:rPr>
            <w:rFonts w:ascii="Times New Roman" w:eastAsia="Times New Roman" w:hAnsi="Times New Roman" w:cs="Times New Roman"/>
            <w:color w:val="0000FF"/>
            <w:sz w:val="24"/>
            <w:szCs w:val="24"/>
            <w:u w:val="single"/>
          </w:rPr>
          <w:t>https://doi.org/10.1016/j.rasd.2014.08.016</w:t>
        </w:r>
      </w:hyperlink>
    </w:p>
    <w:p w14:paraId="1D08FA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M., Luo, X., Landén, M., Bergen, S. E., Hultman, C. M., Li, X., Zhang, W., Yao, Y.-G., Zhang, C., Liu, J., Mattheisen, M., Cichon, S., Mühleisen, T. W., Degenhardt, F. A., Nöthen, M. M., Schulze, T. G., Grigoroiu-Serbanescu, M., Li, H., Fuller, C. K., … Su, B. (2016). Impact of a cis-associated gene expression SNP on chromosome 20q11.22 on bipolar disorder susceptibility, hippocampal structure and cognitive performance. </w:t>
      </w:r>
      <w:r w:rsidRPr="00896AA2">
        <w:rPr>
          <w:rFonts w:ascii="Times New Roman" w:eastAsia="Times New Roman" w:hAnsi="Times New Roman" w:cs="Times New Roman"/>
          <w:i/>
          <w:iCs/>
          <w:sz w:val="24"/>
          <w:szCs w:val="24"/>
        </w:rPr>
        <w:t>The British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208</w:t>
      </w:r>
      <w:r w:rsidRPr="00896AA2">
        <w:rPr>
          <w:rFonts w:ascii="Times New Roman" w:eastAsia="Times New Roman" w:hAnsi="Times New Roman" w:cs="Times New Roman"/>
          <w:sz w:val="24"/>
          <w:szCs w:val="24"/>
        </w:rPr>
        <w:t xml:space="preserve">(2), 128–137. </w:t>
      </w:r>
      <w:hyperlink r:id="rId3351" w:history="1">
        <w:r w:rsidRPr="00896AA2">
          <w:rPr>
            <w:rFonts w:ascii="Times New Roman" w:eastAsia="Times New Roman" w:hAnsi="Times New Roman" w:cs="Times New Roman"/>
            <w:color w:val="0000FF"/>
            <w:sz w:val="24"/>
            <w:szCs w:val="24"/>
            <w:u w:val="single"/>
          </w:rPr>
          <w:t>https://doi.org/10.1192/bjp.bp.114.156976</w:t>
        </w:r>
      </w:hyperlink>
    </w:p>
    <w:p w14:paraId="7C7CC00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N., Chen, Y., &amp; Deng, H. (2012). Cross-sectional assessment of the factors associated with occupational functioning in patients with schizophrenia. </w:t>
      </w:r>
      <w:r w:rsidRPr="00896AA2">
        <w:rPr>
          <w:rFonts w:ascii="Times New Roman" w:eastAsia="Times New Roman" w:hAnsi="Times New Roman" w:cs="Times New Roman"/>
          <w:i/>
          <w:iCs/>
          <w:sz w:val="24"/>
          <w:szCs w:val="24"/>
        </w:rPr>
        <w:t>Shanghai Archives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(4), 222–230.</w:t>
      </w:r>
    </w:p>
    <w:p w14:paraId="58E0AE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R., Liu, F., Su, Q., Zhang, Z., Zhao, J., Wang, Y., Wu, R., Zhao, J., &amp; Guo, W. (2018). Bidirectional causal connectivity in the cortico-limbic-cerebellar circuit related to structural alterations in first-episode, drug-naive somatization disorder.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 </w:t>
      </w:r>
      <w:hyperlink r:id="rId3352" w:history="1">
        <w:r w:rsidRPr="00896AA2">
          <w:rPr>
            <w:rFonts w:ascii="Times New Roman" w:eastAsia="Times New Roman" w:hAnsi="Times New Roman" w:cs="Times New Roman"/>
            <w:color w:val="0000FF"/>
            <w:sz w:val="24"/>
            <w:szCs w:val="24"/>
            <w:u w:val="single"/>
          </w:rPr>
          <w:t>https://doi.org/10.3389/fpsyt.2018.00162</w:t>
        </w:r>
      </w:hyperlink>
    </w:p>
    <w:p w14:paraId="3E8DA7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R., Wang, W., Wang, Y., Peters, S., Zhang, X., &amp; Li, H. (2019). Effects of early HIV infection and combination antiretroviral therapy on intrinsic brain activity: A cross-sectional resting-state fMRI study.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 </w:t>
      </w:r>
      <w:hyperlink r:id="rId3353" w:history="1">
        <w:r w:rsidRPr="00896AA2">
          <w:rPr>
            <w:rFonts w:ascii="Times New Roman" w:eastAsia="Times New Roman" w:hAnsi="Times New Roman" w:cs="Times New Roman"/>
            <w:color w:val="0000FF"/>
            <w:sz w:val="24"/>
            <w:szCs w:val="24"/>
            <w:u w:val="single"/>
          </w:rPr>
          <w:t>https://doi.org/10.2147/NDT.S195562</w:t>
        </w:r>
      </w:hyperlink>
    </w:p>
    <w:p w14:paraId="5B6B86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S.-C., Lövdén, M., Schaefer, S., Schmiedek, F., Shing, Y. L., Werkle-Bergner, M., &amp; Lindenberger, U. (2009). The Center of Lifespan Psychology at the Max Planck Institute for Human Development: Conceptual agenda and illustration of research activities. </w:t>
      </w:r>
      <w:r w:rsidRPr="00896AA2">
        <w:rPr>
          <w:rFonts w:ascii="Times New Roman" w:eastAsia="Times New Roman" w:hAnsi="Times New Roman" w:cs="Times New Roman"/>
          <w:i/>
          <w:iCs/>
          <w:sz w:val="24"/>
          <w:szCs w:val="24"/>
        </w:rPr>
        <w:t>Acta Psychologica Sinica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(11), 1102–1122. </w:t>
      </w:r>
      <w:hyperlink r:id="rId3354" w:history="1">
        <w:r w:rsidRPr="00896AA2">
          <w:rPr>
            <w:rFonts w:ascii="Times New Roman" w:eastAsia="Times New Roman" w:hAnsi="Times New Roman" w:cs="Times New Roman"/>
            <w:color w:val="0000FF"/>
            <w:sz w:val="24"/>
            <w:szCs w:val="24"/>
            <w:u w:val="single"/>
          </w:rPr>
          <w:t>https://doi.org/10.3724/SP.J.1041.2009.01102</w:t>
        </w:r>
      </w:hyperlink>
    </w:p>
    <w:p w14:paraId="470E99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W., Hao, W., &amp; Hu, C.-F. (2007a). A study on the cognitive function and related factors in male patients with heroin dependence. [A study on the cognitive function and related factors in male patients with heroin dependence.].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(2), 152–154.</w:t>
      </w:r>
    </w:p>
    <w:p w14:paraId="16290C1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W., Hao, W., &amp; Hu, C.-F. (2007b). Cognitive deficits and oxidative stress in male patients with heroin dependence. [Cognitive deficits and oxidative stress in male patients with heroin dependence.].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(3), 151–154.</w:t>
      </w:r>
    </w:p>
    <w:p w14:paraId="3FC163D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W., Langkammer, C., Chou, Y.-H., Petrovic, K., Schmidt, R., Song, A. W., Madden, D. J., Ropele, S., &amp; Liu, C. (2015). Association between increased magnetic susceptibility of deep gray matter nuclei and decreased motor function in healthy adults.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 45–52. </w:t>
      </w:r>
      <w:hyperlink r:id="rId3355" w:history="1">
        <w:r w:rsidRPr="00896AA2">
          <w:rPr>
            <w:rFonts w:ascii="Times New Roman" w:eastAsia="Times New Roman" w:hAnsi="Times New Roman" w:cs="Times New Roman"/>
            <w:color w:val="0000FF"/>
            <w:sz w:val="24"/>
            <w:szCs w:val="24"/>
            <w:u w:val="single"/>
          </w:rPr>
          <w:t>https://doi.org/10.1016/j.neuroimage.2014.10.009</w:t>
        </w:r>
      </w:hyperlink>
    </w:p>
    <w:p w14:paraId="7920CD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Y.-M., Zou, X.-B., &amp; Li, J.-Y. (2005). A Study of Executive Function in Children with High Functioning Autism and Asperger Syndrome. [A Study of Executive Function in Children with High Functioning Autism and Asperger Syndrome.].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(3), 168–170.</w:t>
      </w:r>
    </w:p>
    <w:p w14:paraId="7A8349D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 Z., He, Y., Han, H., Zhou, Y., Ma, X., Wang, D., Zhou, J., Ren, H., Yuan, L., Tang, J., Zong, X., Hu, M., &amp; Chen, X. (2018). COMT, 5-HTR2A, and SLC6A4 mRNA expressions in first-episode antipsychotic-naïve schizophrenia and association with treatment outcomes.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 </w:t>
      </w:r>
      <w:hyperlink r:id="rId3356" w:history="1">
        <w:r w:rsidRPr="00896AA2">
          <w:rPr>
            <w:rFonts w:ascii="Times New Roman" w:eastAsia="Times New Roman" w:hAnsi="Times New Roman" w:cs="Times New Roman"/>
            <w:color w:val="0000FF"/>
            <w:sz w:val="24"/>
            <w:szCs w:val="24"/>
            <w:u w:val="single"/>
          </w:rPr>
          <w:t>https://doi.org/10.3389/fpsyt.2018.00577</w:t>
        </w:r>
      </w:hyperlink>
    </w:p>
    <w:p w14:paraId="19B4DB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C., Ho, P., Yen, C., Yeh, Y., Kuo, S., Huang, C., Chen, C., Shih, M., Ma, K., &amp; Huang, S. (2016). Reduced striatal dopamine transporter density associated with working memory deficits in opioid‐dependent male subjects: A SPECT study. </w:t>
      </w:r>
      <w:r w:rsidRPr="00896AA2">
        <w:rPr>
          <w:rFonts w:ascii="Times New Roman" w:eastAsia="Times New Roman" w:hAnsi="Times New Roman" w:cs="Times New Roman"/>
          <w:i/>
          <w:iCs/>
          <w:sz w:val="24"/>
          <w:szCs w:val="24"/>
        </w:rPr>
        <w:t>Addiction 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(1), 196–204. </w:t>
      </w:r>
      <w:hyperlink r:id="rId3357" w:history="1">
        <w:r w:rsidRPr="00896AA2">
          <w:rPr>
            <w:rFonts w:ascii="Times New Roman" w:eastAsia="Times New Roman" w:hAnsi="Times New Roman" w:cs="Times New Roman"/>
            <w:color w:val="0000FF"/>
            <w:sz w:val="24"/>
            <w:szCs w:val="24"/>
            <w:u w:val="single"/>
          </w:rPr>
          <w:t>https://doi.org/10.1111/adb.12203</w:t>
        </w:r>
      </w:hyperlink>
    </w:p>
    <w:p w14:paraId="4A5E5C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C.-W. (2018). Attentional control deficits in social anxiety: Investigating inhibition and shifting functions using a mixed antisaccade paradigm. </w:t>
      </w:r>
      <w:r w:rsidRPr="00896AA2">
        <w:rPr>
          <w:rFonts w:ascii="Times New Roman" w:eastAsia="Times New Roman" w:hAnsi="Times New Roman" w:cs="Times New Roman"/>
          <w:i/>
          <w:iCs/>
          <w:sz w:val="24"/>
          <w:szCs w:val="24"/>
        </w:rPr>
        <w:t>Journal of Behavior Therapy and Experimental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 46–52. </w:t>
      </w:r>
      <w:hyperlink r:id="rId3358" w:history="1">
        <w:r w:rsidRPr="00896AA2">
          <w:rPr>
            <w:rFonts w:ascii="Times New Roman" w:eastAsia="Times New Roman" w:hAnsi="Times New Roman" w:cs="Times New Roman"/>
            <w:color w:val="0000FF"/>
            <w:sz w:val="24"/>
            <w:szCs w:val="24"/>
            <w:u w:val="single"/>
          </w:rPr>
          <w:t>https://doi.org/10.1016/j.jbtep.2018.03.004</w:t>
        </w:r>
      </w:hyperlink>
    </w:p>
    <w:p w14:paraId="212052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H. J., Lau, C. G., Tang, A., Chan, F., Ungvari, G. S., &amp; Tang, W. K. (2013). Cognitive impairments in poly-drug ketamine users.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(11), 2661–2666. </w:t>
      </w:r>
      <w:hyperlink r:id="rId3359" w:history="1">
        <w:r w:rsidRPr="00896AA2">
          <w:rPr>
            <w:rFonts w:ascii="Times New Roman" w:eastAsia="Times New Roman" w:hAnsi="Times New Roman" w:cs="Times New Roman"/>
            <w:color w:val="0000FF"/>
            <w:sz w:val="24"/>
            <w:szCs w:val="24"/>
            <w:u w:val="single"/>
          </w:rPr>
          <w:t>https://doi.org/10.1016/j.addbeh.2013.06.017</w:t>
        </w:r>
      </w:hyperlink>
    </w:p>
    <w:p w14:paraId="7005425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H. J., Lau, C. G., Tang, K. L. A., Chan, F., Ungvari, G. S., &amp; Tang, W. K. (2014). Are sexes affected differently by ketamine? An exploratory study in ketamine users. </w:t>
      </w:r>
      <w:r w:rsidRPr="00896AA2">
        <w:rPr>
          <w:rFonts w:ascii="Times New Roman" w:eastAsia="Times New Roman" w:hAnsi="Times New Roman" w:cs="Times New Roman"/>
          <w:i/>
          <w:iCs/>
          <w:sz w:val="24"/>
          <w:szCs w:val="24"/>
        </w:rPr>
        <w:t>Substance Use &amp; Misuse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(4), 395–404. </w:t>
      </w:r>
      <w:hyperlink r:id="rId3360" w:history="1">
        <w:r w:rsidRPr="00896AA2">
          <w:rPr>
            <w:rFonts w:ascii="Times New Roman" w:eastAsia="Times New Roman" w:hAnsi="Times New Roman" w:cs="Times New Roman"/>
            <w:color w:val="0000FF"/>
            <w:sz w:val="24"/>
            <w:szCs w:val="24"/>
            <w:u w:val="single"/>
          </w:rPr>
          <w:t>https://doi.org/10.3109/10826084.2013.841248</w:t>
        </w:r>
      </w:hyperlink>
    </w:p>
    <w:p w14:paraId="14CF85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Liang, H., Tang, W. K., Chu, W. C. W., Ernst, T., Chen, R., &amp; Chang, L. (2020). Striatal and white matter volumes in chronic ketamine users with or without recent regular stimulant use.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213</w:t>
      </w:r>
      <w:r w:rsidRPr="00896AA2">
        <w:rPr>
          <w:rFonts w:ascii="Times New Roman" w:eastAsia="Times New Roman" w:hAnsi="Times New Roman" w:cs="Times New Roman"/>
          <w:sz w:val="24"/>
          <w:szCs w:val="24"/>
        </w:rPr>
        <w:t xml:space="preserve">. </w:t>
      </w:r>
      <w:hyperlink r:id="rId3361" w:history="1">
        <w:r w:rsidRPr="00896AA2">
          <w:rPr>
            <w:rFonts w:ascii="Times New Roman" w:eastAsia="Times New Roman" w:hAnsi="Times New Roman" w:cs="Times New Roman"/>
            <w:color w:val="0000FF"/>
            <w:sz w:val="24"/>
            <w:szCs w:val="24"/>
            <w:u w:val="single"/>
          </w:rPr>
          <w:t>https://doi.org/10.1016/j.drugalcdep.2020.108063</w:t>
        </w:r>
      </w:hyperlink>
    </w:p>
    <w:p w14:paraId="78362E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Liao, D.-L., Hong, C.-J., Chen, H.-M., Chen, Y.-E., Lee, S.-M., Chang, C.-Y., Chen, H., &amp; Tsai, S.-J. (2003). Association of Muscarinic M1 Receptor Genetic Polymorphisms with Psychiatric Symptoms and Cognitive Function in Schizophrenic Patients. </w:t>
      </w:r>
      <w:r w:rsidRPr="00896AA2">
        <w:rPr>
          <w:rFonts w:ascii="Times New Roman" w:eastAsia="Times New Roman" w:hAnsi="Times New Roman" w:cs="Times New Roman"/>
          <w:i/>
          <w:iCs/>
          <w:sz w:val="24"/>
          <w:szCs w:val="24"/>
        </w:rPr>
        <w:t>Neuropsychobiology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(2), 72–76. </w:t>
      </w:r>
      <w:hyperlink r:id="rId3362" w:history="1">
        <w:r w:rsidRPr="00896AA2">
          <w:rPr>
            <w:rFonts w:ascii="Times New Roman" w:eastAsia="Times New Roman" w:hAnsi="Times New Roman" w:cs="Times New Roman"/>
            <w:color w:val="0000FF"/>
            <w:sz w:val="24"/>
            <w:szCs w:val="24"/>
            <w:u w:val="single"/>
          </w:rPr>
          <w:t>https://doi.org/10.1159/000072880</w:t>
        </w:r>
      </w:hyperlink>
    </w:p>
    <w:p w14:paraId="51A976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Liao, H., Gau, S. S., Tsai, W., Fang, J., Su, Y., Chou, M., Liu, S., Chou, W., Wu, Y., &amp; Chen, C. (2013). Chromosomal abnormalities in patients with autism spectrum disorders from Taiwan. </w:t>
      </w:r>
      <w:r w:rsidRPr="00896AA2">
        <w:rPr>
          <w:rFonts w:ascii="Times New Roman" w:eastAsia="Times New Roman" w:hAnsi="Times New Roman" w:cs="Times New Roman"/>
          <w:i/>
          <w:iCs/>
          <w:sz w:val="24"/>
          <w:szCs w:val="24"/>
        </w:rPr>
        <w:t>American Journal of Medical Genetics Part B: Neuropsychiatric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162</w:t>
      </w:r>
      <w:r w:rsidRPr="00896AA2">
        <w:rPr>
          <w:rFonts w:ascii="Times New Roman" w:eastAsia="Times New Roman" w:hAnsi="Times New Roman" w:cs="Times New Roman"/>
          <w:sz w:val="24"/>
          <w:szCs w:val="24"/>
        </w:rPr>
        <w:t xml:space="preserve">(7), 734–741. </w:t>
      </w:r>
      <w:hyperlink r:id="rId3363" w:history="1">
        <w:r w:rsidRPr="00896AA2">
          <w:rPr>
            <w:rFonts w:ascii="Times New Roman" w:eastAsia="Times New Roman" w:hAnsi="Times New Roman" w:cs="Times New Roman"/>
            <w:color w:val="0000FF"/>
            <w:sz w:val="24"/>
            <w:szCs w:val="24"/>
            <w:u w:val="single"/>
          </w:rPr>
          <w:t>https://doi.org/10.1002/ajmg.b.32153</w:t>
        </w:r>
      </w:hyperlink>
    </w:p>
    <w:p w14:paraId="6D2CE8C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Liao, S.-Y., Lin, S.-H., Liu, C.-M., Hsieh, M. H., Hwang, T. J., Liu, S. K., Guo, S.-C., Hwu, H.-G., &amp; Chen, W. J. (2009). Genetic variants in COMT and neurocognitive impairment in families of patients with schizophrenia. </w:t>
      </w:r>
      <w:r w:rsidRPr="00896AA2">
        <w:rPr>
          <w:rFonts w:ascii="Times New Roman" w:eastAsia="Times New Roman" w:hAnsi="Times New Roman" w:cs="Times New Roman"/>
          <w:i/>
          <w:iCs/>
          <w:sz w:val="24"/>
          <w:szCs w:val="24"/>
        </w:rPr>
        <w:t>Genes, Brain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(2), 228–237. </w:t>
      </w:r>
      <w:hyperlink r:id="rId3364" w:history="1">
        <w:r w:rsidRPr="00896AA2">
          <w:rPr>
            <w:rFonts w:ascii="Times New Roman" w:eastAsia="Times New Roman" w:hAnsi="Times New Roman" w:cs="Times New Roman"/>
            <w:color w:val="0000FF"/>
            <w:sz w:val="24"/>
            <w:szCs w:val="24"/>
            <w:u w:val="single"/>
          </w:rPr>
          <w:t>https://doi.org/10.1111/j.1601-183X.2008.00467.x</w:t>
        </w:r>
      </w:hyperlink>
    </w:p>
    <w:p w14:paraId="6EE9FA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Libon, D. J., McMillan, C., Avants, B., Boller, A., Morgan, B., Burkholder, L., Chandrasekaran, K., Elman, L., McCluskey, L., &amp; Grossman, M. (2012). Deficits in concept formation in amyotrophic lateral sclerosis.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(4), 422–429. </w:t>
      </w:r>
      <w:hyperlink r:id="rId3365" w:history="1">
        <w:r w:rsidRPr="00896AA2">
          <w:rPr>
            <w:rFonts w:ascii="Times New Roman" w:eastAsia="Times New Roman" w:hAnsi="Times New Roman" w:cs="Times New Roman"/>
            <w:color w:val="0000FF"/>
            <w:sz w:val="24"/>
            <w:szCs w:val="24"/>
            <w:u w:val="single"/>
          </w:rPr>
          <w:t>https://doi.org/10.1037/a0028668</w:t>
        </w:r>
      </w:hyperlink>
    </w:p>
    <w:p w14:paraId="212C5DB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Licchetta, L., Poda, R., Vignatelli, L., Pippucci, T., Zenesini, C., Menghi, V., Mostacci, B., Baldassari, S., Provini, F., Tinuper, P., &amp; Bisulli, F. (2018). Profile of neuropsychological impairment in sleep-related hypermotor epilepsy.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 8–15. </w:t>
      </w:r>
      <w:hyperlink r:id="rId3366" w:history="1">
        <w:r w:rsidRPr="00896AA2">
          <w:rPr>
            <w:rFonts w:ascii="Times New Roman" w:eastAsia="Times New Roman" w:hAnsi="Times New Roman" w:cs="Times New Roman"/>
            <w:color w:val="0000FF"/>
            <w:sz w:val="24"/>
            <w:szCs w:val="24"/>
            <w:u w:val="single"/>
          </w:rPr>
          <w:t>https://doi.org/10.1016/j.sleep.2018.03.027</w:t>
        </w:r>
      </w:hyperlink>
    </w:p>
    <w:p w14:paraId="3E14C8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Lichtenstein, J. D., Erdodi, L. A., Rai, J. K., Mazur-Mosiewicz, A., &amp; Flaro, L. (2018). Wisconsin Card Sorting Test embedded validity indicators developed for adults can be extended to children. </w:t>
      </w:r>
      <w:r w:rsidRPr="00896AA2">
        <w:rPr>
          <w:rFonts w:ascii="Times New Roman" w:eastAsia="Times New Roman" w:hAnsi="Times New Roman" w:cs="Times New Roman"/>
          <w:i/>
          <w:iCs/>
          <w:sz w:val="24"/>
          <w:szCs w:val="24"/>
        </w:rPr>
        <w:t>Child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247–260. </w:t>
      </w:r>
      <w:hyperlink r:id="rId3367" w:history="1">
        <w:r w:rsidRPr="00896AA2">
          <w:rPr>
            <w:rFonts w:ascii="Times New Roman" w:eastAsia="Times New Roman" w:hAnsi="Times New Roman" w:cs="Times New Roman"/>
            <w:color w:val="0000FF"/>
            <w:sz w:val="24"/>
            <w:szCs w:val="24"/>
            <w:u w:val="single"/>
          </w:rPr>
          <w:t>https://doi.org/10.1080/09297049.2016.1259402</w:t>
        </w:r>
      </w:hyperlink>
    </w:p>
    <w:p w14:paraId="3E52CF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Lichtenstein, J. D., Flaro, L., Baldwin, F. S., Rai, J., &amp; Erdodi, L. A. (2019). Further evidence for embedded performance validity tests in children within the Conners’ Continuous Performance Test – Second Edition. </w:t>
      </w:r>
      <w:r w:rsidRPr="00896AA2">
        <w:rPr>
          <w:rFonts w:ascii="Times New Roman" w:eastAsia="Times New Roman" w:hAnsi="Times New Roman" w:cs="Times New Roman"/>
          <w:i/>
          <w:iCs/>
          <w:sz w:val="24"/>
          <w:szCs w:val="24"/>
        </w:rPr>
        <w:t>Developmental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(2), 159–171. </w:t>
      </w:r>
      <w:hyperlink r:id="rId3368" w:history="1">
        <w:r w:rsidRPr="00896AA2">
          <w:rPr>
            <w:rFonts w:ascii="Times New Roman" w:eastAsia="Times New Roman" w:hAnsi="Times New Roman" w:cs="Times New Roman"/>
            <w:color w:val="0000FF"/>
            <w:sz w:val="24"/>
            <w:szCs w:val="24"/>
            <w:u w:val="single"/>
          </w:rPr>
          <w:t>https://doi.org/10.1080/87565641.2019.1565535</w:t>
        </w:r>
      </w:hyperlink>
    </w:p>
    <w:p w14:paraId="09E6F86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Lichter, D. G. (2013). Frontal-subcortical circuits. In </w:t>
      </w:r>
      <w:r w:rsidRPr="00896AA2">
        <w:rPr>
          <w:rFonts w:ascii="Times New Roman" w:eastAsia="Times New Roman" w:hAnsi="Times New Roman" w:cs="Times New Roman"/>
          <w:i/>
          <w:iCs/>
          <w:sz w:val="24"/>
          <w:szCs w:val="24"/>
        </w:rPr>
        <w:t>Behavioral neurology and neuropsychiatry.</w:t>
      </w:r>
      <w:r w:rsidRPr="00896AA2">
        <w:rPr>
          <w:rFonts w:ascii="Times New Roman" w:eastAsia="Times New Roman" w:hAnsi="Times New Roman" w:cs="Times New Roman"/>
          <w:sz w:val="24"/>
          <w:szCs w:val="24"/>
        </w:rPr>
        <w:t xml:space="preserve"> (pp. 59–87). Cambridge University Press. </w:t>
      </w:r>
      <w:hyperlink r:id="rId3369" w:history="1">
        <w:r w:rsidRPr="00896AA2">
          <w:rPr>
            <w:rFonts w:ascii="Times New Roman" w:eastAsia="Times New Roman" w:hAnsi="Times New Roman" w:cs="Times New Roman"/>
            <w:color w:val="0000FF"/>
            <w:sz w:val="24"/>
            <w:szCs w:val="24"/>
            <w:u w:val="single"/>
          </w:rPr>
          <w:t>https://doi.org/10.1017/CBO9781139016919.007</w:t>
        </w:r>
      </w:hyperlink>
    </w:p>
    <w:p w14:paraId="7CD4CCA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Lieberman, P. (2012). Vocal tract anatomy and the neural bases of talking. </w:t>
      </w:r>
      <w:r w:rsidRPr="00896AA2">
        <w:rPr>
          <w:rFonts w:ascii="Times New Roman" w:eastAsia="Times New Roman" w:hAnsi="Times New Roman" w:cs="Times New Roman"/>
          <w:i/>
          <w:iCs/>
          <w:sz w:val="24"/>
          <w:szCs w:val="24"/>
        </w:rPr>
        <w:t>Journal of Phonetics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(4), 608–622. </w:t>
      </w:r>
      <w:hyperlink r:id="rId3370" w:history="1">
        <w:r w:rsidRPr="00896AA2">
          <w:rPr>
            <w:rFonts w:ascii="Times New Roman" w:eastAsia="Times New Roman" w:hAnsi="Times New Roman" w:cs="Times New Roman"/>
            <w:color w:val="0000FF"/>
            <w:sz w:val="24"/>
            <w:szCs w:val="24"/>
            <w:u w:val="single"/>
          </w:rPr>
          <w:t>https://doi.org/10.1016/j.wocn.2012.04.001</w:t>
        </w:r>
      </w:hyperlink>
    </w:p>
    <w:p w14:paraId="0ABB19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Lieberman, P. (2013). </w:t>
      </w:r>
      <w:r w:rsidRPr="00896AA2">
        <w:rPr>
          <w:rFonts w:ascii="Times New Roman" w:eastAsia="Times New Roman" w:hAnsi="Times New Roman" w:cs="Times New Roman"/>
          <w:i/>
          <w:iCs/>
          <w:sz w:val="24"/>
          <w:szCs w:val="24"/>
        </w:rPr>
        <w:t>The unpredictable species: What makes humans unique.</w:t>
      </w:r>
      <w:r w:rsidRPr="00896AA2">
        <w:rPr>
          <w:rFonts w:ascii="Times New Roman" w:eastAsia="Times New Roman" w:hAnsi="Times New Roman" w:cs="Times New Roman"/>
          <w:sz w:val="24"/>
          <w:szCs w:val="24"/>
        </w:rPr>
        <w:t xml:space="preserve"> (pp. xiv, 255). Princeton University Press. </w:t>
      </w:r>
      <w:hyperlink r:id="rId3371" w:history="1">
        <w:r w:rsidRPr="00896AA2">
          <w:rPr>
            <w:rFonts w:ascii="Times New Roman" w:eastAsia="Times New Roman" w:hAnsi="Times New Roman" w:cs="Times New Roman"/>
            <w:color w:val="0000FF"/>
            <w:sz w:val="24"/>
            <w:szCs w:val="24"/>
            <w:u w:val="single"/>
          </w:rPr>
          <w:t>https://doi.org/10.1515/9781400846702</w:t>
        </w:r>
      </w:hyperlink>
    </w:p>
    <w:p w14:paraId="46C7611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Liebermann, D., Ploner, C. J., Kraft, A., Kopp, U. A., &amp; Ostendorf, F. (2013). A dysexecutive syndrome of the medial thalamus.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 40–49. </w:t>
      </w:r>
      <w:hyperlink r:id="rId3372" w:history="1">
        <w:r w:rsidRPr="00896AA2">
          <w:rPr>
            <w:rFonts w:ascii="Times New Roman" w:eastAsia="Times New Roman" w:hAnsi="Times New Roman" w:cs="Times New Roman"/>
            <w:color w:val="0000FF"/>
            <w:sz w:val="24"/>
            <w:szCs w:val="24"/>
            <w:u w:val="single"/>
          </w:rPr>
          <w:t>https://doi.org/10.1016/j.cortex.2011.11.005</w:t>
        </w:r>
      </w:hyperlink>
    </w:p>
    <w:p w14:paraId="69E4845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Liemburg, E. J., Knegtering, H., Klein, H. C., Kortekaas, R., &amp; Aleman, A. (2012). Antipsychotic medication and prefrontal cortex activation: A review of neuroimaging findings. </w:t>
      </w:r>
      <w:r w:rsidRPr="00896AA2">
        <w:rPr>
          <w:rFonts w:ascii="Times New Roman" w:eastAsia="Times New Roman" w:hAnsi="Times New Roman" w:cs="Times New Roman"/>
          <w:i/>
          <w:iCs/>
          <w:sz w:val="24"/>
          <w:szCs w:val="24"/>
        </w:rPr>
        <w:t>European 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(6), 387–400. </w:t>
      </w:r>
      <w:hyperlink r:id="rId3373" w:history="1">
        <w:r w:rsidRPr="00896AA2">
          <w:rPr>
            <w:rFonts w:ascii="Times New Roman" w:eastAsia="Times New Roman" w:hAnsi="Times New Roman" w:cs="Times New Roman"/>
            <w:color w:val="0000FF"/>
            <w:sz w:val="24"/>
            <w:szCs w:val="24"/>
            <w:u w:val="single"/>
          </w:rPr>
          <w:t>https://doi.org/10.1016/j.euroneuro.2011.12.008</w:t>
        </w:r>
      </w:hyperlink>
    </w:p>
    <w:p w14:paraId="7EB53D3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Lien, Y.-J., Hsiao, P.-C., Liu, C.-M., Faraone, S. V., Tsuang, M. T., Hwu, H.-G., &amp; Chen, W. J. (2011). A genome-wide linkage scan for distinct subsets of schizophrenia characterized by age at onset and neurocognitive deficits.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(8). </w:t>
      </w:r>
      <w:hyperlink r:id="rId3374" w:history="1">
        <w:r w:rsidRPr="00896AA2">
          <w:rPr>
            <w:rFonts w:ascii="Times New Roman" w:eastAsia="Times New Roman" w:hAnsi="Times New Roman" w:cs="Times New Roman"/>
            <w:color w:val="0000FF"/>
            <w:sz w:val="24"/>
            <w:szCs w:val="24"/>
            <w:u w:val="single"/>
          </w:rPr>
          <w:t>https://doi.org/10.1371/journal.pone.0024103</w:t>
        </w:r>
      </w:hyperlink>
    </w:p>
    <w:p w14:paraId="09FB4C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Lien, Y.-J., Liu, C.-M., Faraone, S. V., Tsuang, M. T., Hwu, H.-G., Hsiao, P.-C., &amp; Chen, W. J. (2010). A genome-wide quantitative trait loci scan of neurocognitive performances in families with schizophrenia. </w:t>
      </w:r>
      <w:r w:rsidRPr="00896AA2">
        <w:rPr>
          <w:rFonts w:ascii="Times New Roman" w:eastAsia="Times New Roman" w:hAnsi="Times New Roman" w:cs="Times New Roman"/>
          <w:i/>
          <w:iCs/>
          <w:sz w:val="24"/>
          <w:szCs w:val="24"/>
        </w:rPr>
        <w:t>Genes, Brain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(7), 695–702. </w:t>
      </w:r>
      <w:hyperlink r:id="rId3375" w:history="1">
        <w:r w:rsidRPr="00896AA2">
          <w:rPr>
            <w:rFonts w:ascii="Times New Roman" w:eastAsia="Times New Roman" w:hAnsi="Times New Roman" w:cs="Times New Roman"/>
            <w:color w:val="0000FF"/>
            <w:sz w:val="24"/>
            <w:szCs w:val="24"/>
            <w:u w:val="single"/>
          </w:rPr>
          <w:t>https://doi.org/10.1111/j.1601-183X.2010.00599.x</w:t>
        </w:r>
      </w:hyperlink>
    </w:p>
    <w:p w14:paraId="08A89C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Lien, Y.-J., Yang, H.-J., Kuo, P.-H., &amp; Chen, W. J. (2011). Relation of perseverative tendency and life events to depressive symptoms: Findings from a prospective study in non-referred adolescents in Taiwan. </w:t>
      </w:r>
      <w:r w:rsidRPr="00896AA2">
        <w:rPr>
          <w:rFonts w:ascii="Times New Roman" w:eastAsia="Times New Roman" w:hAnsi="Times New Roman" w:cs="Times New Roman"/>
          <w:i/>
          <w:iCs/>
          <w:sz w:val="24"/>
          <w:szCs w:val="24"/>
        </w:rPr>
        <w:t>Behavioral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(1), 1–7. </w:t>
      </w:r>
      <w:hyperlink r:id="rId3376" w:history="1">
        <w:r w:rsidRPr="00896AA2">
          <w:rPr>
            <w:rFonts w:ascii="Times New Roman" w:eastAsia="Times New Roman" w:hAnsi="Times New Roman" w:cs="Times New Roman"/>
            <w:color w:val="0000FF"/>
            <w:sz w:val="24"/>
            <w:szCs w:val="24"/>
            <w:u w:val="single"/>
          </w:rPr>
          <w:t>https://doi.org/10.1080/08964289.2010.540262</w:t>
        </w:r>
      </w:hyperlink>
    </w:p>
    <w:p w14:paraId="4784BF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G. A., Hsu, J. L., Hsieh, M. H., Meyer-Gomes, K., Sprock, J., Swerdlow, N. R., &amp; Braff, D. L. (2006). Gamma Band Oscillations Reveal Neural Network Cortical Coherence Dysfunction in Schizophrenia Patients.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(11), 1231–1240. </w:t>
      </w:r>
      <w:hyperlink r:id="rId3377" w:history="1">
        <w:r w:rsidRPr="00896AA2">
          <w:rPr>
            <w:rFonts w:ascii="Times New Roman" w:eastAsia="Times New Roman" w:hAnsi="Times New Roman" w:cs="Times New Roman"/>
            <w:color w:val="0000FF"/>
            <w:sz w:val="24"/>
            <w:szCs w:val="24"/>
            <w:u w:val="single"/>
          </w:rPr>
          <w:t>https://doi.org/10.1016/j.biopsych.2006.03.055</w:t>
        </w:r>
      </w:hyperlink>
    </w:p>
    <w:p w14:paraId="4AB4B36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G. A., Swerdlow, N. R., &amp; Braff, D. L. (2007). Preattentive sensory processing as indexed by the MMN and P3a brain responses is associated with cognitive and psychosocial functioning in healthy adults. </w:t>
      </w:r>
      <w:r w:rsidRPr="00896AA2">
        <w:rPr>
          <w:rFonts w:ascii="Times New Roman" w:eastAsia="Times New Roman" w:hAnsi="Times New Roman" w:cs="Times New Roman"/>
          <w:i/>
          <w:iCs/>
          <w:sz w:val="24"/>
          <w:szCs w:val="24"/>
        </w:rPr>
        <w:t>Journal of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(10), 1624–1632. </w:t>
      </w:r>
      <w:hyperlink r:id="rId3378" w:history="1">
        <w:r w:rsidRPr="00896AA2">
          <w:rPr>
            <w:rFonts w:ascii="Times New Roman" w:eastAsia="Times New Roman" w:hAnsi="Times New Roman" w:cs="Times New Roman"/>
            <w:color w:val="0000FF"/>
            <w:sz w:val="24"/>
            <w:szCs w:val="24"/>
            <w:u w:val="single"/>
          </w:rPr>
          <w:t>https://doi.org/10.1162/jocn.2007.19.10.1624</w:t>
        </w:r>
      </w:hyperlink>
    </w:p>
    <w:p w14:paraId="115244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G. A., Swerdlow, N. R., Rissling, A. J., Radant, A., Sugar, C. A., Sprock, J., Pela, M., Geyer, M. A., &amp; Braff, D. L. (2012). Characterization of neurophysiologic and neurocognitive biomarkers for use in genomic and clinical outcome studies of schizophrenia.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(7). </w:t>
      </w:r>
      <w:hyperlink r:id="rId3379" w:history="1">
        <w:r w:rsidRPr="00896AA2">
          <w:rPr>
            <w:rFonts w:ascii="Times New Roman" w:eastAsia="Times New Roman" w:hAnsi="Times New Roman" w:cs="Times New Roman"/>
            <w:color w:val="0000FF"/>
            <w:sz w:val="24"/>
            <w:szCs w:val="24"/>
            <w:u w:val="single"/>
          </w:rPr>
          <w:t>https://doi.org/10.1371/journal.pone.0039434</w:t>
        </w:r>
      </w:hyperlink>
    </w:p>
    <w:p w14:paraId="1C0AF48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 S. N., Bieliauskas, L. A., &amp; Zubieta, J.-K. (2017). “Top-down” mu-opioid system function in humans: Mu-opioid receptors in ventrolateral prefrontal cortex mediate the relationship between hedonic tone and executive function in major depressive disorder.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(4), 357–364. </w:t>
      </w:r>
      <w:hyperlink r:id="rId3380" w:history="1">
        <w:r w:rsidRPr="00896AA2">
          <w:rPr>
            <w:rFonts w:ascii="Times New Roman" w:eastAsia="Times New Roman" w:hAnsi="Times New Roman" w:cs="Times New Roman"/>
            <w:color w:val="0000FF"/>
            <w:sz w:val="24"/>
            <w:szCs w:val="24"/>
            <w:u w:val="single"/>
          </w:rPr>
          <w:t>https://doi.org/10.1176/appi.neuropsych.16090171</w:t>
        </w:r>
      </w:hyperlink>
    </w:p>
    <w:p w14:paraId="6B52E4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Lightbody, A. A., &amp; Reiss, A. L. (2009). Gene, brain, and behavior relationships in Fragile X syndrome: Evidence from neuroimaging studies. </w:t>
      </w:r>
      <w:r w:rsidRPr="00896AA2">
        <w:rPr>
          <w:rFonts w:ascii="Times New Roman" w:eastAsia="Times New Roman" w:hAnsi="Times New Roman" w:cs="Times New Roman"/>
          <w:i/>
          <w:iCs/>
          <w:sz w:val="24"/>
          <w:szCs w:val="24"/>
        </w:rPr>
        <w:t>Developmental Disabilities Research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(4), 343–352. </w:t>
      </w:r>
      <w:hyperlink r:id="rId3381" w:history="1">
        <w:r w:rsidRPr="00896AA2">
          <w:rPr>
            <w:rFonts w:ascii="Times New Roman" w:eastAsia="Times New Roman" w:hAnsi="Times New Roman" w:cs="Times New Roman"/>
            <w:color w:val="0000FF"/>
            <w:sz w:val="24"/>
            <w:szCs w:val="24"/>
            <w:u w:val="single"/>
          </w:rPr>
          <w:t>https://doi.org/10.1002/ddrr.77</w:t>
        </w:r>
      </w:hyperlink>
    </w:p>
    <w:p w14:paraId="660217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Liknaitzky, P., Smillie, L. D., &amp; Allen, N. B. (2017). Out-of-the-blue: Depressive symptoms are associated with deficits in processing inferential expectancy-violations using a novel cognitive rigidity task. </w:t>
      </w:r>
      <w:r w:rsidRPr="00896AA2">
        <w:rPr>
          <w:rFonts w:ascii="Times New Roman" w:eastAsia="Times New Roman" w:hAnsi="Times New Roman" w:cs="Times New Roman"/>
          <w:i/>
          <w:iCs/>
          <w:sz w:val="24"/>
          <w:szCs w:val="24"/>
        </w:rPr>
        <w:t>Cognitive Therapy and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(5), 757–776. </w:t>
      </w:r>
      <w:hyperlink r:id="rId3382" w:history="1">
        <w:r w:rsidRPr="00896AA2">
          <w:rPr>
            <w:rFonts w:ascii="Times New Roman" w:eastAsia="Times New Roman" w:hAnsi="Times New Roman" w:cs="Times New Roman"/>
            <w:color w:val="0000FF"/>
            <w:sz w:val="24"/>
            <w:szCs w:val="24"/>
            <w:u w:val="single"/>
          </w:rPr>
          <w:t>https://doi.org/10.1007/s10608-017-9853-x</w:t>
        </w:r>
      </w:hyperlink>
    </w:p>
    <w:p w14:paraId="79406D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C., Alexander, M. P., LaFleche, G., Schnyer, D. M., &amp; Verfaellie, M. (2004). The neurological and cognitive sequelae of cardiac arrest.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 xml:space="preserve">(10), 1774–1778. </w:t>
      </w:r>
      <w:hyperlink r:id="rId3383" w:history="1">
        <w:r w:rsidRPr="00896AA2">
          <w:rPr>
            <w:rFonts w:ascii="Times New Roman" w:eastAsia="Times New Roman" w:hAnsi="Times New Roman" w:cs="Times New Roman"/>
            <w:color w:val="0000FF"/>
            <w:sz w:val="24"/>
            <w:szCs w:val="24"/>
            <w:u w:val="single"/>
          </w:rPr>
          <w:t>https://doi.org/10.1212/01.WNL.0000144189.83077.8E</w:t>
        </w:r>
      </w:hyperlink>
    </w:p>
    <w:p w14:paraId="37A337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C. S., Baldessarini, R. J., Vieta, E., Yucel, M., Bora, E., &amp; Sim, K. (2013). Longitudinal neuroimaging and neuropsychological changes in bipolar disorder patients: Review of the evidence. </w:t>
      </w:r>
      <w:r w:rsidRPr="00896AA2">
        <w:rPr>
          <w:rFonts w:ascii="Times New Roman" w:eastAsia="Times New Roman" w:hAnsi="Times New Roman" w:cs="Times New Roman"/>
          <w:i/>
          <w:iCs/>
          <w:sz w:val="24"/>
          <w:szCs w:val="24"/>
        </w:rPr>
        <w:t>Neuroscience and Biobehavioral Reviews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(3), 418–435. </w:t>
      </w:r>
      <w:hyperlink r:id="rId3384" w:history="1">
        <w:r w:rsidRPr="00896AA2">
          <w:rPr>
            <w:rFonts w:ascii="Times New Roman" w:eastAsia="Times New Roman" w:hAnsi="Times New Roman" w:cs="Times New Roman"/>
            <w:color w:val="0000FF"/>
            <w:sz w:val="24"/>
            <w:szCs w:val="24"/>
            <w:u w:val="single"/>
          </w:rPr>
          <w:t>https://doi.org/10.1016/j.neubiorev.2013.01.003</w:t>
        </w:r>
      </w:hyperlink>
    </w:p>
    <w:p w14:paraId="0BA17F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J., Lee, S.-A., Lam, M., Rapisarda, A., Kraus, M., Keefe, R. S. E., &amp; Lee, J. (2016). The relationship between negative symptom subdomains and cognition.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(10), 2169–2177. </w:t>
      </w:r>
      <w:hyperlink r:id="rId3385" w:history="1">
        <w:r w:rsidRPr="00896AA2">
          <w:rPr>
            <w:rFonts w:ascii="Times New Roman" w:eastAsia="Times New Roman" w:hAnsi="Times New Roman" w:cs="Times New Roman"/>
            <w:color w:val="0000FF"/>
            <w:sz w:val="24"/>
            <w:szCs w:val="24"/>
            <w:u w:val="single"/>
          </w:rPr>
          <w:t>https://doi.org/10.1017/S0033291716000726</w:t>
        </w:r>
      </w:hyperlink>
    </w:p>
    <w:p w14:paraId="4DAFE53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 J., Oh, I. K., Han, C., Huh, Y. J., Jung, I.-K., Patkar, A. A., Steffens, D. C., &amp; Jang, B.-H. (2013). Sensitivity of cognitive tests in four cognitive domains in discriminating MDD patients from healthy controls: A meta-analysis. </w:t>
      </w:r>
      <w:r w:rsidRPr="00896AA2">
        <w:rPr>
          <w:rFonts w:ascii="Times New Roman" w:eastAsia="Times New Roman" w:hAnsi="Times New Roman" w:cs="Times New Roman"/>
          <w:i/>
          <w:iCs/>
          <w:sz w:val="24"/>
          <w:szCs w:val="24"/>
        </w:rPr>
        <w:t>International Psychogeriatrics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(9), 1543–1557. </w:t>
      </w:r>
      <w:hyperlink r:id="rId3386" w:history="1">
        <w:r w:rsidRPr="00896AA2">
          <w:rPr>
            <w:rFonts w:ascii="Times New Roman" w:eastAsia="Times New Roman" w:hAnsi="Times New Roman" w:cs="Times New Roman"/>
            <w:color w:val="0000FF"/>
            <w:sz w:val="24"/>
            <w:szCs w:val="24"/>
            <w:u w:val="single"/>
          </w:rPr>
          <w:t>https://doi.org/10.1017/S1041610213000689</w:t>
        </w:r>
      </w:hyperlink>
    </w:p>
    <w:p w14:paraId="6FFA16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Lima, E. M., Rzezak, P., dos Santos, B., Gentil, L., Montenegro, M. A., Guerreiro, M. M., &amp; Valente, K. D. (2018). The relevance of attention deficit hyperactivity disorder in self-limited childhood epilepsy with centrotemporal spikes.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82</w:t>
      </w:r>
      <w:r w:rsidRPr="00896AA2">
        <w:rPr>
          <w:rFonts w:ascii="Times New Roman" w:eastAsia="Times New Roman" w:hAnsi="Times New Roman" w:cs="Times New Roman"/>
          <w:sz w:val="24"/>
          <w:szCs w:val="24"/>
        </w:rPr>
        <w:t xml:space="preserve">, 164–169. </w:t>
      </w:r>
      <w:hyperlink r:id="rId3387" w:history="1">
        <w:r w:rsidRPr="00896AA2">
          <w:rPr>
            <w:rFonts w:ascii="Times New Roman" w:eastAsia="Times New Roman" w:hAnsi="Times New Roman" w:cs="Times New Roman"/>
            <w:color w:val="0000FF"/>
            <w:sz w:val="24"/>
            <w:szCs w:val="24"/>
            <w:u w:val="single"/>
          </w:rPr>
          <w:t>https://doi.org/10.1016/j.yebeh.2018.03.017</w:t>
        </w:r>
      </w:hyperlink>
    </w:p>
    <w:p w14:paraId="684C4E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Lima, E. M., Rzezak, P., Guimarães, C. A., Montenegro, M. A., Guerreiro, M. M., &amp; Valente, K. D. (2017). The executive profile of children with Benign Epilepsy of Childhood with Centrotemporal Spikes and Temporal Lobe Epilepsy.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72</w:t>
      </w:r>
      <w:r w:rsidRPr="00896AA2">
        <w:rPr>
          <w:rFonts w:ascii="Times New Roman" w:eastAsia="Times New Roman" w:hAnsi="Times New Roman" w:cs="Times New Roman"/>
          <w:sz w:val="24"/>
          <w:szCs w:val="24"/>
        </w:rPr>
        <w:t xml:space="preserve">, 173–177. </w:t>
      </w:r>
      <w:hyperlink r:id="rId3388" w:history="1">
        <w:r w:rsidRPr="00896AA2">
          <w:rPr>
            <w:rFonts w:ascii="Times New Roman" w:eastAsia="Times New Roman" w:hAnsi="Times New Roman" w:cs="Times New Roman"/>
            <w:color w:val="0000FF"/>
            <w:sz w:val="24"/>
            <w:szCs w:val="24"/>
            <w:u w:val="single"/>
          </w:rPr>
          <w:t>https://doi.org/10.1016/j.yebeh.2017.04.024</w:t>
        </w:r>
      </w:hyperlink>
    </w:p>
    <w:p w14:paraId="526543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Limback-Stokin, M. M., Krell-Roesch, J., Roesler, K., Hansen, A., Stonnington, C. M., Temkit, M., Caselli, R. J., &amp; Geda, Y. E. (2018). Anticholinergic medications and cognitive function in late midlife. </w:t>
      </w:r>
      <w:r w:rsidRPr="00896AA2">
        <w:rPr>
          <w:rFonts w:ascii="Times New Roman" w:eastAsia="Times New Roman" w:hAnsi="Times New Roman" w:cs="Times New Roman"/>
          <w:i/>
          <w:iCs/>
          <w:sz w:val="24"/>
          <w:szCs w:val="24"/>
        </w:rPr>
        <w:t>Alzheimer Disease and Associated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(3), 262–264. </w:t>
      </w:r>
      <w:hyperlink r:id="rId3389" w:history="1">
        <w:r w:rsidRPr="00896AA2">
          <w:rPr>
            <w:rFonts w:ascii="Times New Roman" w:eastAsia="Times New Roman" w:hAnsi="Times New Roman" w:cs="Times New Roman"/>
            <w:color w:val="0000FF"/>
            <w:sz w:val="24"/>
            <w:szCs w:val="24"/>
            <w:u w:val="single"/>
          </w:rPr>
          <w:t>https://doi.org/10.1097/WAD.0000000000000251</w:t>
        </w:r>
      </w:hyperlink>
    </w:p>
    <w:p w14:paraId="11CB45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 C. H., Chen, W. J., Yang, H.-J., Hsiao, C. K., &amp; Tien, A. Y. (2000). Performance on the Wisconsin Card Sorting Test among adolescents in Taiwan: Norms, factorial structure, and relation to schizotypy.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69–79. </w:t>
      </w:r>
      <w:hyperlink r:id="rId3390" w:history="1">
        <w:r w:rsidRPr="00896AA2">
          <w:rPr>
            <w:rFonts w:ascii="Times New Roman" w:eastAsia="Times New Roman" w:hAnsi="Times New Roman" w:cs="Times New Roman"/>
            <w:color w:val="0000FF"/>
            <w:sz w:val="24"/>
            <w:szCs w:val="24"/>
            <w:u w:val="single"/>
          </w:rPr>
          <w:t>https://doi.org/10.1076/1380-3395(200002)22:1;1-8;FT069</w:t>
        </w:r>
      </w:hyperlink>
    </w:p>
    <w:p w14:paraId="3E2EC8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 C. H., Kuo, P.-H., Su, C.-H., &amp; Chen, W. J. (2006). The Taipei Adolescent Twin/Sibling Family Study I: Behavioral problems, personality features, and neuropsychological performance. </w:t>
      </w:r>
      <w:r w:rsidRPr="00896AA2">
        <w:rPr>
          <w:rFonts w:ascii="Times New Roman" w:eastAsia="Times New Roman" w:hAnsi="Times New Roman" w:cs="Times New Roman"/>
          <w:i/>
          <w:iCs/>
          <w:sz w:val="24"/>
          <w:szCs w:val="24"/>
        </w:rPr>
        <w:t>Twin Research and Human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(6), 890–894. </w:t>
      </w:r>
      <w:hyperlink r:id="rId3391" w:history="1">
        <w:r w:rsidRPr="00896AA2">
          <w:rPr>
            <w:rFonts w:ascii="Times New Roman" w:eastAsia="Times New Roman" w:hAnsi="Times New Roman" w:cs="Times New Roman"/>
            <w:color w:val="0000FF"/>
            <w:sz w:val="24"/>
            <w:szCs w:val="24"/>
            <w:u w:val="single"/>
          </w:rPr>
          <w:t>https://doi.org/10.1375/twin.9.6.890</w:t>
        </w:r>
      </w:hyperlink>
    </w:p>
    <w:p w14:paraId="23DD502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C.-H., Chin, W.-C., Huang, Y.-S., Wang, P.-F., Li, K. K., Pirelli, P., Chen, Y.-H., &amp; Guilleminault, C. (2020). Objective and subjective long term outcome of maxillomandibular advancement in obstructive sleep apnea.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74</w:t>
      </w:r>
      <w:r w:rsidRPr="00896AA2">
        <w:rPr>
          <w:rFonts w:ascii="Times New Roman" w:eastAsia="Times New Roman" w:hAnsi="Times New Roman" w:cs="Times New Roman"/>
          <w:sz w:val="24"/>
          <w:szCs w:val="24"/>
        </w:rPr>
        <w:t xml:space="preserve">, 289–296. </w:t>
      </w:r>
      <w:hyperlink r:id="rId3392" w:history="1">
        <w:r w:rsidRPr="00896AA2">
          <w:rPr>
            <w:rFonts w:ascii="Times New Roman" w:eastAsia="Times New Roman" w:hAnsi="Times New Roman" w:cs="Times New Roman"/>
            <w:color w:val="0000FF"/>
            <w:sz w:val="24"/>
            <w:szCs w:val="24"/>
            <w:u w:val="single"/>
          </w:rPr>
          <w:t>https://doi.org/10.1016/j.sleep.2020.05.024</w:t>
        </w:r>
      </w:hyperlink>
    </w:p>
    <w:p w14:paraId="7C57ED8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C.-H., Lane, H.-Y., &amp; Tsai, G. E. (2012). Glutamate signaling in the pathophysiology and therapy of schizophrenia. </w:t>
      </w:r>
      <w:r w:rsidRPr="00896AA2">
        <w:rPr>
          <w:rFonts w:ascii="Times New Roman" w:eastAsia="Times New Roman" w:hAnsi="Times New Roman" w:cs="Times New Roman"/>
          <w:i/>
          <w:iCs/>
          <w:sz w:val="24"/>
          <w:szCs w:val="24"/>
        </w:rPr>
        <w:t>Pharmacology, Biochemistry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100</w:t>
      </w:r>
      <w:r w:rsidRPr="00896AA2">
        <w:rPr>
          <w:rFonts w:ascii="Times New Roman" w:eastAsia="Times New Roman" w:hAnsi="Times New Roman" w:cs="Times New Roman"/>
          <w:sz w:val="24"/>
          <w:szCs w:val="24"/>
        </w:rPr>
        <w:t xml:space="preserve">(4), 665–677. </w:t>
      </w:r>
      <w:hyperlink r:id="rId3393" w:history="1">
        <w:r w:rsidRPr="00896AA2">
          <w:rPr>
            <w:rFonts w:ascii="Times New Roman" w:eastAsia="Times New Roman" w:hAnsi="Times New Roman" w:cs="Times New Roman"/>
            <w:color w:val="0000FF"/>
            <w:sz w:val="24"/>
            <w:szCs w:val="24"/>
            <w:u w:val="single"/>
          </w:rPr>
          <w:t>https://doi.org/10.1016/j.pbb.2011.03.023</w:t>
        </w:r>
      </w:hyperlink>
    </w:p>
    <w:p w14:paraId="543F87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H., Chan, R. C. K., Zheng, L., Yang, T., &amp; Wang, Y. (2007). Executive functioning in healthy elderly Chinese people.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501–511. </w:t>
      </w:r>
      <w:hyperlink r:id="rId3394" w:history="1">
        <w:r w:rsidRPr="00896AA2">
          <w:rPr>
            <w:rFonts w:ascii="Times New Roman" w:eastAsia="Times New Roman" w:hAnsi="Times New Roman" w:cs="Times New Roman"/>
            <w:color w:val="0000FF"/>
            <w:sz w:val="24"/>
            <w:szCs w:val="24"/>
            <w:u w:val="single"/>
          </w:rPr>
          <w:t>https://doi.org/10.1016/j.acn.2007.01.028</w:t>
        </w:r>
      </w:hyperlink>
    </w:p>
    <w:p w14:paraId="243148A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K., Taylor, M. J., Heaton, R., Franklin, D., Jernigan, T., Fennema-Notestine, C., McCutchan, A., Atkinson, J. H., Ellis, R. J., McArthur, J., Morgello, S., Simpson, D., Collier, A. C., Marra, C., Gelman, B., Clifford, D., &amp; Grant, I. (2011). Effects of traumatic brain injury on cognitive functioning and cerebral metabolites in HIV-infected individuals.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326–334. </w:t>
      </w:r>
      <w:hyperlink r:id="rId3395" w:history="1">
        <w:r w:rsidRPr="00896AA2">
          <w:rPr>
            <w:rFonts w:ascii="Times New Roman" w:eastAsia="Times New Roman" w:hAnsi="Times New Roman" w:cs="Times New Roman"/>
            <w:color w:val="0000FF"/>
            <w:sz w:val="24"/>
            <w:szCs w:val="24"/>
            <w:u w:val="single"/>
          </w:rPr>
          <w:t>https://doi.org/10.1080/13803395.2010.518140</w:t>
        </w:r>
      </w:hyperlink>
    </w:p>
    <w:p w14:paraId="11BDD65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K., Xu, G., Lu, W., Ouyang, H., Dang, Y., Guo, Y., So, K., &amp; Lee, T. M. C. (2015). Neuropsychological performance of patients with soft bipolar spectrum disorders.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(2), 194–204. </w:t>
      </w:r>
      <w:hyperlink r:id="rId3396" w:history="1">
        <w:r w:rsidRPr="00896AA2">
          <w:rPr>
            <w:rFonts w:ascii="Times New Roman" w:eastAsia="Times New Roman" w:hAnsi="Times New Roman" w:cs="Times New Roman"/>
            <w:color w:val="0000FF"/>
            <w:sz w:val="24"/>
            <w:szCs w:val="24"/>
            <w:u w:val="single"/>
          </w:rPr>
          <w:t>https://doi.org/10.1111/bdi.12236</w:t>
        </w:r>
      </w:hyperlink>
    </w:p>
    <w:p w14:paraId="3AD471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K., Xu, G., Lu, W., Ouyang, H., Dang, Y., Lorenzo-Seva, U., Guo, Y., Bessonov, D., Akiskal, H. S., So, K.-F., &amp; Lee, T. M. C. (2014). Neuropsychological performance in melancholic, atypical and undifferentiated major depression during depressed and remitted states: A prospective longitudinal study.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168</w:t>
      </w:r>
      <w:r w:rsidRPr="00896AA2">
        <w:rPr>
          <w:rFonts w:ascii="Times New Roman" w:eastAsia="Times New Roman" w:hAnsi="Times New Roman" w:cs="Times New Roman"/>
          <w:sz w:val="24"/>
          <w:szCs w:val="24"/>
        </w:rPr>
        <w:t xml:space="preserve">, 184–191. </w:t>
      </w:r>
      <w:hyperlink r:id="rId3397" w:history="1">
        <w:r w:rsidRPr="00896AA2">
          <w:rPr>
            <w:rFonts w:ascii="Times New Roman" w:eastAsia="Times New Roman" w:hAnsi="Times New Roman" w:cs="Times New Roman"/>
            <w:color w:val="0000FF"/>
            <w:sz w:val="24"/>
            <w:szCs w:val="24"/>
            <w:u w:val="single"/>
          </w:rPr>
          <w:t>https://doi.org/10.1016/j.jad.2014.06.032</w:t>
        </w:r>
      </w:hyperlink>
    </w:p>
    <w:p w14:paraId="031876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 Vavasour, I., Kosaka, B., Li, D. K. B., Traboulsee, A., MacKay, A., &amp; McKeown, M. J. (2018). Education, and the balance between dynamic and stationary functional connectivity jointly support executive functions in relapsing–remitting multiple sclerosis. </w:t>
      </w:r>
      <w:r w:rsidRPr="00896AA2">
        <w:rPr>
          <w:rFonts w:ascii="Times New Roman" w:eastAsia="Times New Roman" w:hAnsi="Times New Roman" w:cs="Times New Roman"/>
          <w:i/>
          <w:iCs/>
          <w:sz w:val="24"/>
          <w:szCs w:val="24"/>
        </w:rPr>
        <w:t>Human Brain Mapping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(12), 5039–5049. </w:t>
      </w:r>
      <w:hyperlink r:id="rId3398" w:history="1">
        <w:r w:rsidRPr="00896AA2">
          <w:rPr>
            <w:rFonts w:ascii="Times New Roman" w:eastAsia="Times New Roman" w:hAnsi="Times New Roman" w:cs="Times New Roman"/>
            <w:color w:val="0000FF"/>
            <w:sz w:val="24"/>
            <w:szCs w:val="24"/>
            <w:u w:val="single"/>
          </w:rPr>
          <w:t>https://doi.org/10.1002/hbm.24343</w:t>
        </w:r>
      </w:hyperlink>
    </w:p>
    <w:p w14:paraId="5C8A932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S.-H., Hsu, W.-C., Ng, S.-H., Cheng, J.-S., Khegai, O., Huang, C.-C., Chen, Y.-L., Chen, Y.-C., &amp; Wang, J.-J. (2017). Increased water diffusion in the parcellated cortical regions from the patients with amnestic mild cognitive impairment and Alzheimer’s disease. </w:t>
      </w:r>
      <w:r w:rsidRPr="00896AA2">
        <w:rPr>
          <w:rFonts w:ascii="Times New Roman" w:eastAsia="Times New Roman" w:hAnsi="Times New Roman" w:cs="Times New Roman"/>
          <w:i/>
          <w:iCs/>
          <w:sz w:val="24"/>
          <w:szCs w:val="24"/>
        </w:rPr>
        <w:t>Frontiers in Aging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w:t>
      </w:r>
    </w:p>
    <w:p w14:paraId="4B3B91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S.-H., Liu, C.-M., Hwang, T.-J., Hsieh, M. H., Hsiao, P.-C., Faraone, S. V., Tsuang, M. T., Hwu, H.-G., &amp; Chen, W. J. (2013). Performance on the Wisconsin Card Sorting Test in families of schizophrenia patients with different familial loadings.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(3), 537–546. </w:t>
      </w:r>
      <w:hyperlink r:id="rId3399" w:history="1">
        <w:r w:rsidRPr="00896AA2">
          <w:rPr>
            <w:rFonts w:ascii="Times New Roman" w:eastAsia="Times New Roman" w:hAnsi="Times New Roman" w:cs="Times New Roman"/>
            <w:color w:val="0000FF"/>
            <w:sz w:val="24"/>
            <w:szCs w:val="24"/>
            <w:u w:val="single"/>
          </w:rPr>
          <w:t>https://doi.org/10.1093/schbul/sbs141</w:t>
        </w:r>
      </w:hyperlink>
    </w:p>
    <w:p w14:paraId="474854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S.-H., Liu, C.-M., Liu, Y.-L., Shen-Jang Fann, C., Hsiao, P.-C., Wu, J.-Y., Hung, S.-I., Chen, C.-H., Wu, H.-M., Jou, Y.-S., Liu, S. K., Hwang, T. J., Hsieh, M. H., Chang, C.-C., Yang, W.-C., Lin, J.-J., Chou, F. H.-C., Faraone, S. V., Tsuang, M. T., … Chen, W. J. (2009). Clustering by neurocognition for fine mapping of the schizophrenia susceptibility loci on chromosome 6p. </w:t>
      </w:r>
      <w:r w:rsidRPr="00896AA2">
        <w:rPr>
          <w:rFonts w:ascii="Times New Roman" w:eastAsia="Times New Roman" w:hAnsi="Times New Roman" w:cs="Times New Roman"/>
          <w:i/>
          <w:iCs/>
          <w:sz w:val="24"/>
          <w:szCs w:val="24"/>
        </w:rPr>
        <w:t>Genes, Brain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(8), 785–794. </w:t>
      </w:r>
      <w:hyperlink r:id="rId3400" w:history="1">
        <w:r w:rsidRPr="00896AA2">
          <w:rPr>
            <w:rFonts w:ascii="Times New Roman" w:eastAsia="Times New Roman" w:hAnsi="Times New Roman" w:cs="Times New Roman"/>
            <w:color w:val="0000FF"/>
            <w:sz w:val="24"/>
            <w:szCs w:val="24"/>
            <w:u w:val="single"/>
          </w:rPr>
          <w:t>https://doi.org/10.1111/j.1601-183X.2009.00523.x</w:t>
        </w:r>
      </w:hyperlink>
    </w:p>
    <w:p w14:paraId="3CD8DD8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S.-J., Lam, J., Beveridge, S., Vavasour, I., Traboulsee, A., Li, D. K. B., MacKay, A., McKeown, M., &amp; Kosaka, B. (2017). Cognitive performance in subjects with multiple sclerosis is robustly influenced by gender in canonical-correlation analysis.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(2), 119–127. </w:t>
      </w:r>
      <w:hyperlink r:id="rId3401" w:history="1">
        <w:r w:rsidRPr="00896AA2">
          <w:rPr>
            <w:rFonts w:ascii="Times New Roman" w:eastAsia="Times New Roman" w:hAnsi="Times New Roman" w:cs="Times New Roman"/>
            <w:color w:val="0000FF"/>
            <w:sz w:val="24"/>
            <w:szCs w:val="24"/>
            <w:u w:val="single"/>
          </w:rPr>
          <w:t>https://doi.org/10.1176/appi.neuropsych.16040083</w:t>
        </w:r>
      </w:hyperlink>
    </w:p>
    <w:p w14:paraId="66B7864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 Cao, L.-P., Li, X., Ye, B.-Y., Wei, H.-M., &amp; Xu, G.-Y. (2011). Relation of bipolar disorder I and cognitive function to rs947267 polymorphism of G72 gene. [Relation of bipolar disorder I and cognitive function to rs947267 polymorphism of G72 gene.].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(4), 295–301.</w:t>
      </w:r>
    </w:p>
    <w:p w14:paraId="29A6D31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 Lin, Y., Li, X., Lao, G., Jiang, Z., Ye, B., Lin, W., Liu, Y., &amp; Cao, L. (2013). Monotherapy with lithium or valproate or respectively combination therapy with quetiapine have similar effect on cognitive functions in Chinese euthymic patients with bipolar disorder: A cross-sectional survey. </w:t>
      </w:r>
      <w:r w:rsidRPr="00896AA2">
        <w:rPr>
          <w:rFonts w:ascii="Times New Roman" w:eastAsia="Times New Roman" w:hAnsi="Times New Roman" w:cs="Times New Roman"/>
          <w:i/>
          <w:iCs/>
          <w:sz w:val="24"/>
          <w:szCs w:val="24"/>
        </w:rPr>
        <w:t>Journal of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(6), 817–819. </w:t>
      </w:r>
      <w:hyperlink r:id="rId3402" w:history="1">
        <w:r w:rsidRPr="00896AA2">
          <w:rPr>
            <w:rFonts w:ascii="Times New Roman" w:eastAsia="Times New Roman" w:hAnsi="Times New Roman" w:cs="Times New Roman"/>
            <w:color w:val="0000FF"/>
            <w:sz w:val="24"/>
            <w:szCs w:val="24"/>
            <w:u w:val="single"/>
          </w:rPr>
          <w:t>https://doi.org/10.1097/JCP.0b013e31829c96e9</w:t>
        </w:r>
      </w:hyperlink>
    </w:p>
    <w:p w14:paraId="7FFC10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Y.-J., Lai, M.-C., &amp; Gau, S. S.-F. (2012). Youths with ADHD with and without tic disorders: Comorbid psychopathology, executive function and social adjustment. </w:t>
      </w:r>
      <w:r w:rsidRPr="00896AA2">
        <w:rPr>
          <w:rFonts w:ascii="Times New Roman" w:eastAsia="Times New Roman" w:hAnsi="Times New Roman" w:cs="Times New Roman"/>
          <w:i/>
          <w:iCs/>
          <w:sz w:val="24"/>
          <w:szCs w:val="24"/>
        </w:rPr>
        <w:t>Research in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951–963. </w:t>
      </w:r>
      <w:hyperlink r:id="rId3403" w:history="1">
        <w:r w:rsidRPr="00896AA2">
          <w:rPr>
            <w:rFonts w:ascii="Times New Roman" w:eastAsia="Times New Roman" w:hAnsi="Times New Roman" w:cs="Times New Roman"/>
            <w:color w:val="0000FF"/>
            <w:sz w:val="24"/>
            <w:szCs w:val="24"/>
            <w:u w:val="single"/>
          </w:rPr>
          <w:t>https://doi.org/10.1016/j.ridd.2012.01.001</w:t>
        </w:r>
      </w:hyperlink>
    </w:p>
    <w:p w14:paraId="040D7E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 Y.-T., Liu, C.-M., Chiu, M.-J., Liu, C.-C., Chien, Y.-L., Hwang, T.-J., Jaw, F.-S., Shan, J.-C., Hsieh, M. H., &amp; Hwu, H.-G. (2012). Differentiation of schizophrenia patients from healthy subjects by mismatch negativity and neuropsychological tests.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(4). </w:t>
      </w:r>
      <w:hyperlink r:id="rId3404" w:history="1">
        <w:r w:rsidRPr="00896AA2">
          <w:rPr>
            <w:rFonts w:ascii="Times New Roman" w:eastAsia="Times New Roman" w:hAnsi="Times New Roman" w:cs="Times New Roman"/>
            <w:color w:val="0000FF"/>
            <w:sz w:val="24"/>
            <w:szCs w:val="24"/>
            <w:u w:val="single"/>
          </w:rPr>
          <w:t>https://doi.org/10.1371/journal.pone.0034454</w:t>
        </w:r>
      </w:hyperlink>
    </w:p>
    <w:p w14:paraId="14B3562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Linazasoro, G., Lasa, A., &amp; Van Blercom, N. (2005). Efficacy and Safety of Donepezil in the Treatment of Executive Dysfunction in Parkinson Disease: A Pilot Study. </w:t>
      </w:r>
      <w:r w:rsidRPr="00896AA2">
        <w:rPr>
          <w:rFonts w:ascii="Times New Roman" w:eastAsia="Times New Roman" w:hAnsi="Times New Roman" w:cs="Times New Roman"/>
          <w:i/>
          <w:iCs/>
          <w:sz w:val="24"/>
          <w:szCs w:val="24"/>
        </w:rPr>
        <w:t>Clinical Neuropharmacology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(4), 176–178. </w:t>
      </w:r>
      <w:hyperlink r:id="rId3405" w:history="1">
        <w:r w:rsidRPr="00896AA2">
          <w:rPr>
            <w:rFonts w:ascii="Times New Roman" w:eastAsia="Times New Roman" w:hAnsi="Times New Roman" w:cs="Times New Roman"/>
            <w:color w:val="0000FF"/>
            <w:sz w:val="24"/>
            <w:szCs w:val="24"/>
            <w:u w:val="single"/>
          </w:rPr>
          <w:t>https://doi.org/10.1097/01.wnf.0000172498.24770.54</w:t>
        </w:r>
      </w:hyperlink>
    </w:p>
    <w:p w14:paraId="3EFD95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 S. E., &amp; Williams, D. M. (2011). </w:t>
      </w:r>
      <w:r w:rsidRPr="00896AA2">
        <w:rPr>
          <w:rFonts w:ascii="Times New Roman" w:eastAsia="Times New Roman" w:hAnsi="Times New Roman" w:cs="Times New Roman"/>
          <w:i/>
          <w:iCs/>
          <w:sz w:val="24"/>
          <w:szCs w:val="24"/>
        </w:rPr>
        <w:t>Behavioural, biopsychosocial, and cognitive models of autism spectrum disorders.</w:t>
      </w:r>
      <w:r w:rsidRPr="00896AA2">
        <w:rPr>
          <w:rFonts w:ascii="Times New Roman" w:eastAsia="Times New Roman" w:hAnsi="Times New Roman" w:cs="Times New Roman"/>
          <w:sz w:val="24"/>
          <w:szCs w:val="24"/>
        </w:rPr>
        <w:t xml:space="preserve"> (pp. 99–114).</w:t>
      </w:r>
    </w:p>
    <w:p w14:paraId="2163D07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Lindeman, M., Riekki, T., &amp; Hood, B. M. (2011). Is weaker inhibition associated with supernatural beliefs? </w:t>
      </w:r>
      <w:r w:rsidRPr="00896AA2">
        <w:rPr>
          <w:rFonts w:ascii="Times New Roman" w:eastAsia="Times New Roman" w:hAnsi="Times New Roman" w:cs="Times New Roman"/>
          <w:i/>
          <w:iCs/>
          <w:sz w:val="24"/>
          <w:szCs w:val="24"/>
        </w:rPr>
        <w:t>Journal of Cognition and Culture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(1–2), 231–239. </w:t>
      </w:r>
      <w:hyperlink r:id="rId3406" w:history="1">
        <w:r w:rsidRPr="00896AA2">
          <w:rPr>
            <w:rFonts w:ascii="Times New Roman" w:eastAsia="Times New Roman" w:hAnsi="Times New Roman" w:cs="Times New Roman"/>
            <w:color w:val="0000FF"/>
            <w:sz w:val="24"/>
            <w:szCs w:val="24"/>
            <w:u w:val="single"/>
          </w:rPr>
          <w:t>https://doi.org/10.1163/156853711X570038</w:t>
        </w:r>
      </w:hyperlink>
    </w:p>
    <w:p w14:paraId="0D4104B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Lindenmayer, J.-P., McGurk, S. R., Mueser, K. T., Khan, A., Wance, D., Hoffman, L., Wolfe, R., &amp; Xie, H. (2008). A randomized controlled trial of cognitive remediation among inpatients with persistent mental illness.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(3), 241–247. </w:t>
      </w:r>
      <w:hyperlink r:id="rId3407" w:history="1">
        <w:r w:rsidRPr="00896AA2">
          <w:rPr>
            <w:rFonts w:ascii="Times New Roman" w:eastAsia="Times New Roman" w:hAnsi="Times New Roman" w:cs="Times New Roman"/>
            <w:color w:val="0000FF"/>
            <w:sz w:val="24"/>
            <w:szCs w:val="24"/>
            <w:u w:val="single"/>
          </w:rPr>
          <w:t>https://doi.org/10.1176/appi.ps.59.3.241</w:t>
        </w:r>
      </w:hyperlink>
    </w:p>
    <w:p w14:paraId="125E2BF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Lindenmayer, J.-P., Nasrallah, H., Pucci, M., James, S., &amp; Citrome, L. (2013). A systematic review of psychostimulant treatment of negative symptoms of schizophrenia: Challenges and therapeutic opportunities.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(2–3), 241–252. </w:t>
      </w:r>
      <w:hyperlink r:id="rId3408" w:history="1">
        <w:r w:rsidRPr="00896AA2">
          <w:rPr>
            <w:rFonts w:ascii="Times New Roman" w:eastAsia="Times New Roman" w:hAnsi="Times New Roman" w:cs="Times New Roman"/>
            <w:color w:val="0000FF"/>
            <w:sz w:val="24"/>
            <w:szCs w:val="24"/>
            <w:u w:val="single"/>
          </w:rPr>
          <w:t>https://doi.org/10.1016/j.schres.2013.03.019</w:t>
        </w:r>
      </w:hyperlink>
    </w:p>
    <w:p w14:paraId="41C923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Lindley, S. E., Carlson, E. B., &amp; Hill, K. R. (2014). Psychotic-like experiences, symptom expression, and cognitive performance in combat veterans with posttraumatic stress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202</w:t>
      </w:r>
      <w:r w:rsidRPr="00896AA2">
        <w:rPr>
          <w:rFonts w:ascii="Times New Roman" w:eastAsia="Times New Roman" w:hAnsi="Times New Roman" w:cs="Times New Roman"/>
          <w:sz w:val="24"/>
          <w:szCs w:val="24"/>
        </w:rPr>
        <w:t xml:space="preserve">(2), 91–96. </w:t>
      </w:r>
      <w:hyperlink r:id="rId3409" w:history="1">
        <w:r w:rsidRPr="00896AA2">
          <w:rPr>
            <w:rFonts w:ascii="Times New Roman" w:eastAsia="Times New Roman" w:hAnsi="Times New Roman" w:cs="Times New Roman"/>
            <w:color w:val="0000FF"/>
            <w:sz w:val="24"/>
            <w:szCs w:val="24"/>
            <w:u w:val="single"/>
          </w:rPr>
          <w:t>https://doi.org/10.1097/NMD.0000000000000077</w:t>
        </w:r>
      </w:hyperlink>
    </w:p>
    <w:p w14:paraId="5C5778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Lindner, O. C., Phillips, B., McCabe, M. G., Mayes, A., Wearden, A., Varese, F., &amp; Talmi, D. (2014). A meta-analysis of cognitive impairment following adult cancer chemotherapy.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(5), 726–740. </w:t>
      </w:r>
      <w:hyperlink r:id="rId3410" w:history="1">
        <w:r w:rsidRPr="00896AA2">
          <w:rPr>
            <w:rFonts w:ascii="Times New Roman" w:eastAsia="Times New Roman" w:hAnsi="Times New Roman" w:cs="Times New Roman"/>
            <w:color w:val="0000FF"/>
            <w:sz w:val="24"/>
            <w:szCs w:val="24"/>
            <w:u w:val="single"/>
          </w:rPr>
          <w:t>https://doi.org/10.1037/neu0000064</w:t>
        </w:r>
      </w:hyperlink>
    </w:p>
    <w:p w14:paraId="22C9AD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Lindquist, S. G., Hasholt, L., Bahl, J. M. C., Heegaard, N. H. H., Andersen, B. B., Nørremølle, A., Stokholm, J., Schwartz, M., Batbayli, M., Laursen, H., Pardossi-Piquard, R., Chen, F., St George-Hyslop, P., Waldemar, G., &amp; Nielsen, J. E. (2008). A novel presenilin 2 mutation (V393M) in early-onset dementia with profound language impairment.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(10), 1135–1139. </w:t>
      </w:r>
      <w:hyperlink r:id="rId3411" w:history="1">
        <w:r w:rsidRPr="00896AA2">
          <w:rPr>
            <w:rFonts w:ascii="Times New Roman" w:eastAsia="Times New Roman" w:hAnsi="Times New Roman" w:cs="Times New Roman"/>
            <w:color w:val="0000FF"/>
            <w:sz w:val="24"/>
            <w:szCs w:val="24"/>
            <w:u w:val="single"/>
          </w:rPr>
          <w:t>https://doi.org/10.1111/j.1468-1331.2008.02256.x</w:t>
        </w:r>
      </w:hyperlink>
    </w:p>
    <w:p w14:paraId="2E22F8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Lindquist, S. G., Holm, I. E., Schwartz, M., Law, I., Stokholm, J., Batbayli, M., Waldemar, G., &amp; Nielsen, J. E. (2008). Alzheimer disease-like clinical phenotype in a family with FTDP-17 caused by a MAPT R406W mutation.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(4), 377–385. </w:t>
      </w:r>
      <w:hyperlink r:id="rId3412" w:history="1">
        <w:r w:rsidRPr="00896AA2">
          <w:rPr>
            <w:rFonts w:ascii="Times New Roman" w:eastAsia="Times New Roman" w:hAnsi="Times New Roman" w:cs="Times New Roman"/>
            <w:color w:val="0000FF"/>
            <w:sz w:val="24"/>
            <w:szCs w:val="24"/>
            <w:u w:val="single"/>
          </w:rPr>
          <w:t>https://doi.org/10.1111/j.1468-1331.2008.02069.x</w:t>
        </w:r>
      </w:hyperlink>
    </w:p>
    <w:p w14:paraId="0EA618A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Lineweaver, T. T., Bondi, M. W., Thomas, R. G., &amp; Salmon, D. P. (1999). A normative study of Nelson’s (1976) modified version of the Wisconsin Card Sorting Test in healthy older adults. </w:t>
      </w:r>
      <w:r w:rsidRPr="00896AA2">
        <w:rPr>
          <w:rFonts w:ascii="Times New Roman" w:eastAsia="Times New Roman" w:hAnsi="Times New Roman" w:cs="Times New Roman"/>
          <w:i/>
          <w:iCs/>
          <w:sz w:val="24"/>
          <w:szCs w:val="24"/>
        </w:rPr>
        <w:t>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(3), 328–347. </w:t>
      </w:r>
      <w:hyperlink r:id="rId3413" w:history="1">
        <w:r w:rsidRPr="00896AA2">
          <w:rPr>
            <w:rFonts w:ascii="Times New Roman" w:eastAsia="Times New Roman" w:hAnsi="Times New Roman" w:cs="Times New Roman"/>
            <w:color w:val="0000FF"/>
            <w:sz w:val="24"/>
            <w:szCs w:val="24"/>
            <w:u w:val="single"/>
          </w:rPr>
          <w:t>https://doi.org/10.1076/clin.13.3.328.1745</w:t>
        </w:r>
      </w:hyperlink>
    </w:p>
    <w:p w14:paraId="150DB4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Linortner, P., Fazekas, F., Schmidt, R., Ropele, S., Pendl, B., Petrovic, K., Loitfelder, M., Neuper, C., &amp; Enzinger, C. (2012). White matter hyperintensities alter functional organization of the motor system. </w:t>
      </w:r>
      <w:r w:rsidRPr="00896AA2">
        <w:rPr>
          <w:rFonts w:ascii="Times New Roman" w:eastAsia="Times New Roman" w:hAnsi="Times New Roman" w:cs="Times New Roman"/>
          <w:i/>
          <w:iCs/>
          <w:sz w:val="24"/>
          <w:szCs w:val="24"/>
        </w:rPr>
        <w:t>Neurobiology of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(1), e1–e9. </w:t>
      </w:r>
      <w:hyperlink r:id="rId3414" w:history="1">
        <w:r w:rsidRPr="00896AA2">
          <w:rPr>
            <w:rFonts w:ascii="Times New Roman" w:eastAsia="Times New Roman" w:hAnsi="Times New Roman" w:cs="Times New Roman"/>
            <w:color w:val="0000FF"/>
            <w:sz w:val="24"/>
            <w:szCs w:val="24"/>
            <w:u w:val="single"/>
          </w:rPr>
          <w:t>https://doi.org/10.1016/j.neurobiolaging.2010.06.005</w:t>
        </w:r>
      </w:hyperlink>
    </w:p>
    <w:p w14:paraId="49DD5A3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Lipsky, R. H., Sparling, M. B., Ryan, L. M., Xu, K., Salazar, A. M., Goldman, D., &amp; Warden, D. L. (2005). Association of COMT Val158Met genotype with executive functioning following traumatic brain injury.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465–471. </w:t>
      </w:r>
      <w:hyperlink r:id="rId3415" w:history="1">
        <w:r w:rsidRPr="00896AA2">
          <w:rPr>
            <w:rFonts w:ascii="Times New Roman" w:eastAsia="Times New Roman" w:hAnsi="Times New Roman" w:cs="Times New Roman"/>
            <w:color w:val="0000FF"/>
            <w:sz w:val="24"/>
            <w:szCs w:val="24"/>
            <w:u w:val="single"/>
          </w:rPr>
          <w:t>https://doi.org/10.1176/appi.neuropsych.17.4.465</w:t>
        </w:r>
      </w:hyperlink>
    </w:p>
    <w:p w14:paraId="4BDB9A1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Lipton, A. M., &amp; Boxer, A. (2012). Frontotemporal dementia and other tauopathies. In </w:t>
      </w:r>
      <w:r w:rsidRPr="00896AA2">
        <w:rPr>
          <w:rFonts w:ascii="Times New Roman" w:eastAsia="Times New Roman" w:hAnsi="Times New Roman" w:cs="Times New Roman"/>
          <w:i/>
          <w:iCs/>
          <w:sz w:val="24"/>
          <w:szCs w:val="24"/>
        </w:rPr>
        <w:t>Clinical manual of Alzheimer disease and other dementias.</w:t>
      </w:r>
      <w:r w:rsidRPr="00896AA2">
        <w:rPr>
          <w:rFonts w:ascii="Times New Roman" w:eastAsia="Times New Roman" w:hAnsi="Times New Roman" w:cs="Times New Roman"/>
          <w:sz w:val="24"/>
          <w:szCs w:val="24"/>
        </w:rPr>
        <w:t xml:space="preserve"> (pp. 219–231). American Psychiatric Publishing, Inc.</w:t>
      </w:r>
    </w:p>
    <w:p w14:paraId="42B467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Lipton, A. M., Ohman, K. A., Womack, K. B., Hynan, L. S., Ninman, E. T., &amp; Lacritz, L. H. (2005). Subscores of the FAB differentiate frontotemporal lobar degeneration from AD.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(5), 726–731. </w:t>
      </w:r>
      <w:hyperlink r:id="rId3416" w:history="1">
        <w:r w:rsidRPr="00896AA2">
          <w:rPr>
            <w:rFonts w:ascii="Times New Roman" w:eastAsia="Times New Roman" w:hAnsi="Times New Roman" w:cs="Times New Roman"/>
            <w:color w:val="0000FF"/>
            <w:sz w:val="24"/>
            <w:szCs w:val="24"/>
            <w:u w:val="single"/>
          </w:rPr>
          <w:t>https://doi.org/10.1212/01.wnl.0000174437.73416.7b</w:t>
        </w:r>
      </w:hyperlink>
    </w:p>
    <w:p w14:paraId="1DF0F4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Lisman, A. L., &amp; Sadagopan, N. (2013). Focus of attention and speech motor performance. </w:t>
      </w:r>
      <w:r w:rsidRPr="00896AA2">
        <w:rPr>
          <w:rFonts w:ascii="Times New Roman" w:eastAsia="Times New Roman" w:hAnsi="Times New Roman" w:cs="Times New Roman"/>
          <w:i/>
          <w:iCs/>
          <w:sz w:val="24"/>
          <w:szCs w:val="24"/>
        </w:rPr>
        <w:t>Journal of Communication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(3), 281–293. </w:t>
      </w:r>
      <w:hyperlink r:id="rId3417" w:history="1">
        <w:r w:rsidRPr="00896AA2">
          <w:rPr>
            <w:rFonts w:ascii="Times New Roman" w:eastAsia="Times New Roman" w:hAnsi="Times New Roman" w:cs="Times New Roman"/>
            <w:color w:val="0000FF"/>
            <w:sz w:val="24"/>
            <w:szCs w:val="24"/>
            <w:u w:val="single"/>
          </w:rPr>
          <w:t>https://doi.org/10.1016/j.jcomdis.2013.02.002</w:t>
        </w:r>
      </w:hyperlink>
    </w:p>
    <w:p w14:paraId="3FEC30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Liss, M., Fein, D., Allen, D., Dunn, M., Feinstein, C., Morris, R., Waterhouse, L., &amp; Rapin, I. (2001). Executive functioning in high-functioning children with autism. </w:t>
      </w:r>
      <w:r w:rsidRPr="00896AA2">
        <w:rPr>
          <w:rFonts w:ascii="Times New Roman" w:eastAsia="Times New Roman" w:hAnsi="Times New Roman" w:cs="Times New Roman"/>
          <w:i/>
          <w:iCs/>
          <w:sz w:val="24"/>
          <w:szCs w:val="24"/>
        </w:rPr>
        <w:t>Journal of Child Psychology and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(2), 261–270. </w:t>
      </w:r>
      <w:hyperlink r:id="rId3418" w:history="1">
        <w:r w:rsidRPr="00896AA2">
          <w:rPr>
            <w:rFonts w:ascii="Times New Roman" w:eastAsia="Times New Roman" w:hAnsi="Times New Roman" w:cs="Times New Roman"/>
            <w:color w:val="0000FF"/>
            <w:sz w:val="24"/>
            <w:szCs w:val="24"/>
            <w:u w:val="single"/>
          </w:rPr>
          <w:t>https://doi.org/10.1111/1469-7610.00717</w:t>
        </w:r>
      </w:hyperlink>
    </w:p>
    <w:p w14:paraId="630956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Little, A. J., Templer, D. I., Persel, C. S., &amp; Ashley, M. J. (1996). Feasibility of the neuropsychological spectrum in prediction of outcome following head injury. </w:t>
      </w:r>
      <w:r w:rsidRPr="00896AA2">
        <w:rPr>
          <w:rFonts w:ascii="Times New Roman" w:eastAsia="Times New Roman" w:hAnsi="Times New Roman" w:cs="Times New Roman"/>
          <w:i/>
          <w:iCs/>
          <w:sz w:val="24"/>
          <w:szCs w:val="24"/>
        </w:rPr>
        <w:t>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(4), 455–460. </w:t>
      </w:r>
      <w:hyperlink r:id="rId3419" w:history="1">
        <w:r w:rsidRPr="00896AA2">
          <w:rPr>
            <w:rFonts w:ascii="Times New Roman" w:eastAsia="Times New Roman" w:hAnsi="Times New Roman" w:cs="Times New Roman"/>
            <w:color w:val="0000FF"/>
            <w:sz w:val="24"/>
            <w:szCs w:val="24"/>
            <w:u w:val="single"/>
          </w:rPr>
          <w:t>https://doi.org/10.1002/(SICI)1097-4679(199607)52:4&lt;455::AID-JCLP11&gt;3.0.CO;2-F</w:t>
        </w:r>
      </w:hyperlink>
    </w:p>
    <w:p w14:paraId="7859945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C.-C., Hua, M.-S., Hwang, T.-J., Chiu, C.-Y., Liu, C.-M., Hsieh, M. H., Chien, Y.-L., Lin, Y.-T., &amp; Hwu, H.-G. (2015). Neurocognitive functioning of subjects with putative pre-psychotic states and early psychosis.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164</w:t>
      </w:r>
      <w:r w:rsidRPr="00896AA2">
        <w:rPr>
          <w:rFonts w:ascii="Times New Roman" w:eastAsia="Times New Roman" w:hAnsi="Times New Roman" w:cs="Times New Roman"/>
          <w:sz w:val="24"/>
          <w:szCs w:val="24"/>
        </w:rPr>
        <w:t xml:space="preserve">(1–3), 40–46. </w:t>
      </w:r>
      <w:hyperlink r:id="rId3420" w:history="1">
        <w:r w:rsidRPr="00896AA2">
          <w:rPr>
            <w:rFonts w:ascii="Times New Roman" w:eastAsia="Times New Roman" w:hAnsi="Times New Roman" w:cs="Times New Roman"/>
            <w:color w:val="0000FF"/>
            <w:sz w:val="24"/>
            <w:szCs w:val="24"/>
            <w:u w:val="single"/>
          </w:rPr>
          <w:t>https://doi.org/10.1016/j.schres.2015.03.006</w:t>
        </w:r>
      </w:hyperlink>
    </w:p>
    <w:p w14:paraId="1F9C0B2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C.-H., Liu, C.-Z., Zhu, X.-Q., Fang, J.-L., Lu, S.-L., Tang, L.-R., Wang, C.-Y., &amp; Liu, Q.-Q. (2018). Increased posterior insula-sensorimotor connectivity is associated with cognitive function in healthy participants with sleep complaints.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 </w:t>
      </w:r>
      <w:hyperlink r:id="rId3421" w:history="1">
        <w:r w:rsidRPr="00896AA2">
          <w:rPr>
            <w:rFonts w:ascii="Times New Roman" w:eastAsia="Times New Roman" w:hAnsi="Times New Roman" w:cs="Times New Roman"/>
            <w:color w:val="0000FF"/>
            <w:sz w:val="24"/>
            <w:szCs w:val="24"/>
            <w:u w:val="single"/>
          </w:rPr>
          <w:t>https://doi.org/10.3389/fnhum.2018.00035</w:t>
        </w:r>
      </w:hyperlink>
    </w:p>
    <w:p w14:paraId="40645FE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C.-M., Fann, C. S.-J., Chen, C.-Y., Liu, Y.-L., Oyang, Y.-J., Yang, W.-C., Chang, C.-C., Wen, C.-C., Chen, W. J., Hwang, T.-J., Hsieh, M. H., Liu, C.-C., Faraone, S. V., Tsuang, M. T., &amp; Hwu, H.-G. (2011). Anxa7, ppp3cb, dnajc9, and zmynd17 genes at chromosome 10q22 associated with the subgroup of schizophrenia with deficits in attention and executive function.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(1), 51–58. </w:t>
      </w:r>
      <w:hyperlink r:id="rId3422" w:history="1">
        <w:r w:rsidRPr="00896AA2">
          <w:rPr>
            <w:rFonts w:ascii="Times New Roman" w:eastAsia="Times New Roman" w:hAnsi="Times New Roman" w:cs="Times New Roman"/>
            <w:color w:val="0000FF"/>
            <w:sz w:val="24"/>
            <w:szCs w:val="24"/>
            <w:u w:val="single"/>
          </w:rPr>
          <w:t>https://doi.org/10.1016/j.biopsych.2011.02.033</w:t>
        </w:r>
      </w:hyperlink>
    </w:p>
    <w:p w14:paraId="65C137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H., Fan, N., Shen, X., &amp; Ji, J. (2013). Effect of cognitive flexibility on language switching in non-proficient bilinguals: An ERPs study. [Effect of cognitive flexibility on language switching in non-proficient bilinguals: An ERPs study.]. </w:t>
      </w:r>
      <w:r w:rsidRPr="00896AA2">
        <w:rPr>
          <w:rFonts w:ascii="Times New Roman" w:eastAsia="Times New Roman" w:hAnsi="Times New Roman" w:cs="Times New Roman"/>
          <w:i/>
          <w:iCs/>
          <w:sz w:val="24"/>
          <w:szCs w:val="24"/>
        </w:rPr>
        <w:t>Acta Psychologica Sinica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(6), 636–648. </w:t>
      </w:r>
      <w:hyperlink r:id="rId3423" w:history="1">
        <w:r w:rsidRPr="00896AA2">
          <w:rPr>
            <w:rFonts w:ascii="Times New Roman" w:eastAsia="Times New Roman" w:hAnsi="Times New Roman" w:cs="Times New Roman"/>
            <w:color w:val="0000FF"/>
            <w:sz w:val="24"/>
            <w:szCs w:val="24"/>
            <w:u w:val="single"/>
          </w:rPr>
          <w:t>https://doi.org/10.3724/SP.J.1041.2013.00636</w:t>
        </w:r>
      </w:hyperlink>
    </w:p>
    <w:p w14:paraId="407473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J., Dong, Q., Lu, X., Sun, J., Zhang, L., Wang, M., Liu, B., Ju, Y., Wan, P., Guo, H., Zhao, F., Zhang, X., Zhang, Y., &amp; Li, L. (2020). Influence of comorbid anxiety symptoms on cognitive deficits in patients with major depressive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260</w:t>
      </w:r>
      <w:r w:rsidRPr="00896AA2">
        <w:rPr>
          <w:rFonts w:ascii="Times New Roman" w:eastAsia="Times New Roman" w:hAnsi="Times New Roman" w:cs="Times New Roman"/>
          <w:sz w:val="24"/>
          <w:szCs w:val="24"/>
        </w:rPr>
        <w:t xml:space="preserve">, 91–96. </w:t>
      </w:r>
      <w:hyperlink r:id="rId3424" w:history="1">
        <w:r w:rsidRPr="00896AA2">
          <w:rPr>
            <w:rFonts w:ascii="Times New Roman" w:eastAsia="Times New Roman" w:hAnsi="Times New Roman" w:cs="Times New Roman"/>
            <w:color w:val="0000FF"/>
            <w:sz w:val="24"/>
            <w:szCs w:val="24"/>
            <w:u w:val="single"/>
          </w:rPr>
          <w:t>https://doi.org/10.1016/j.jad.2019.08.091</w:t>
        </w:r>
      </w:hyperlink>
    </w:p>
    <w:p w14:paraId="4E89453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J., Dong, Q., Lu, X., Sun, J., Zhang, L., Wang, M., Wan, P., Guo, H., Zhao, F., Ju, Y., Yan, D., Li, H., Fang, H., Guo, W., Liao, M., Zhang, X., Zhang, Y., Liu, B., &amp; Li, L. (2019). Exploration of major cognitive deficits in medication-free patients with major depressive disorder.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 </w:t>
      </w:r>
      <w:hyperlink r:id="rId3425" w:history="1">
        <w:r w:rsidRPr="00896AA2">
          <w:rPr>
            <w:rFonts w:ascii="Times New Roman" w:eastAsia="Times New Roman" w:hAnsi="Times New Roman" w:cs="Times New Roman"/>
            <w:color w:val="0000FF"/>
            <w:sz w:val="24"/>
            <w:szCs w:val="24"/>
            <w:u w:val="single"/>
          </w:rPr>
          <w:t>https://doi.org/10.3389/fpsyt.2019.00836</w:t>
        </w:r>
      </w:hyperlink>
    </w:p>
    <w:p w14:paraId="03325A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J. J., Norman, R. M. G., Manchanda, R., &amp; De Luca, V. (2013). Admixture analysis of age at onset in schizophrenia: Evidence of three subgroups in a first-episode sample. </w:t>
      </w:r>
      <w:r w:rsidRPr="00896AA2">
        <w:rPr>
          <w:rFonts w:ascii="Times New Roman" w:eastAsia="Times New Roman" w:hAnsi="Times New Roman" w:cs="Times New Roman"/>
          <w:i/>
          <w:iCs/>
          <w:sz w:val="24"/>
          <w:szCs w:val="24"/>
        </w:rPr>
        <w:t>General Hospital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(6), 664–667. </w:t>
      </w:r>
      <w:hyperlink r:id="rId3426" w:history="1">
        <w:r w:rsidRPr="00896AA2">
          <w:rPr>
            <w:rFonts w:ascii="Times New Roman" w:eastAsia="Times New Roman" w:hAnsi="Times New Roman" w:cs="Times New Roman"/>
            <w:color w:val="0000FF"/>
            <w:sz w:val="24"/>
            <w:szCs w:val="24"/>
            <w:u w:val="single"/>
          </w:rPr>
          <w:t>https://doi.org/10.1016/j.genhosppsych.2013.07.002</w:t>
        </w:r>
      </w:hyperlink>
    </w:p>
    <w:p w14:paraId="3DB6831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K. C. M., Chan, R. C. K., Chan, K. K. S., Tang, J. Y. M., Chiu, C. P. Y., Lam, M. M. L., Chan, S. K. W., Wong, G. H. Y., Hui, C. L. M., &amp; Chen, E. Y. H. (2011). Executive function in first-episode schizophrenia: A three-year longitudinal study of an ecologically valid test.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126</w:t>
      </w:r>
      <w:r w:rsidRPr="00896AA2">
        <w:rPr>
          <w:rFonts w:ascii="Times New Roman" w:eastAsia="Times New Roman" w:hAnsi="Times New Roman" w:cs="Times New Roman"/>
          <w:sz w:val="24"/>
          <w:szCs w:val="24"/>
        </w:rPr>
        <w:t xml:space="preserve">(1–3), 87–92. </w:t>
      </w:r>
      <w:hyperlink r:id="rId3427" w:history="1">
        <w:r w:rsidRPr="00896AA2">
          <w:rPr>
            <w:rFonts w:ascii="Times New Roman" w:eastAsia="Times New Roman" w:hAnsi="Times New Roman" w:cs="Times New Roman"/>
            <w:color w:val="0000FF"/>
            <w:sz w:val="24"/>
            <w:szCs w:val="24"/>
            <w:u w:val="single"/>
          </w:rPr>
          <w:t>https://doi.org/10.1016/j.schres.2010.11.023</w:t>
        </w:r>
      </w:hyperlink>
    </w:p>
    <w:p w14:paraId="1DCFCA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T., Zhong, S., Wang, B., Liao, X., Lai, S., &amp; Jia, Y. (2019). Similar profiles of cognitive domain deficits between medication-naïve patients with bipolar II depression and those with major depressive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243</w:t>
      </w:r>
      <w:r w:rsidRPr="00896AA2">
        <w:rPr>
          <w:rFonts w:ascii="Times New Roman" w:eastAsia="Times New Roman" w:hAnsi="Times New Roman" w:cs="Times New Roman"/>
          <w:sz w:val="24"/>
          <w:szCs w:val="24"/>
        </w:rPr>
        <w:t xml:space="preserve">, 55–61. </w:t>
      </w:r>
      <w:hyperlink r:id="rId3428" w:history="1">
        <w:r w:rsidRPr="00896AA2">
          <w:rPr>
            <w:rFonts w:ascii="Times New Roman" w:eastAsia="Times New Roman" w:hAnsi="Times New Roman" w:cs="Times New Roman"/>
            <w:color w:val="0000FF"/>
            <w:sz w:val="24"/>
            <w:szCs w:val="24"/>
            <w:u w:val="single"/>
          </w:rPr>
          <w:t>https://doi.org/10.1016/j.jad.2018.05.040</w:t>
        </w:r>
      </w:hyperlink>
    </w:p>
    <w:p w14:paraId="479188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 Fu, Y., Schoonheim, M. M., Zhang, N., Fan, M., Su, L., Shen, Y., Yan, Y., Yang, L., Wang, Q., Zhang, N., Yu, C., Barkhof, F., &amp; Shi, F.-D. (2015). Structural MRI substrates of cognitive impairment in neuromyelitis optica.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85</w:t>
      </w:r>
      <w:r w:rsidRPr="00896AA2">
        <w:rPr>
          <w:rFonts w:ascii="Times New Roman" w:eastAsia="Times New Roman" w:hAnsi="Times New Roman" w:cs="Times New Roman"/>
          <w:sz w:val="24"/>
          <w:szCs w:val="24"/>
        </w:rPr>
        <w:t xml:space="preserve">(17), 1491–1499. </w:t>
      </w:r>
      <w:hyperlink r:id="rId3429" w:history="1">
        <w:r w:rsidRPr="00896AA2">
          <w:rPr>
            <w:rFonts w:ascii="Times New Roman" w:eastAsia="Times New Roman" w:hAnsi="Times New Roman" w:cs="Times New Roman"/>
            <w:color w:val="0000FF"/>
            <w:sz w:val="24"/>
            <w:szCs w:val="24"/>
            <w:u w:val="single"/>
          </w:rPr>
          <w:t>https://doi.org/10.1212/WNL.0000000000002067</w:t>
        </w:r>
      </w:hyperlink>
    </w:p>
    <w:p w14:paraId="3538FD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 L., Fann, C. S. J., Liu, C. M., Chang, C. C., Yang, W. C., Hung, S. I., Yu, S. L., Hwang, T. J., Hsieh, M. H., Liu, C. C., Tsuang, M. M., Wu, J. Y., Jou, Y. S., Faraone, S. V., Tsuang, M. T., Chen, W. J., &amp; Hwu, H.-G. (2007). More evidence supports the association of PPP3CC with schizophrenia. </w:t>
      </w:r>
      <w:r w:rsidRPr="00896AA2">
        <w:rPr>
          <w:rFonts w:ascii="Times New Roman" w:eastAsia="Times New Roman" w:hAnsi="Times New Roman" w:cs="Times New Roman"/>
          <w:i/>
          <w:iCs/>
          <w:sz w:val="24"/>
          <w:szCs w:val="24"/>
        </w:rPr>
        <w:t>Molecular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(10), 966–974. </w:t>
      </w:r>
      <w:hyperlink r:id="rId3430" w:history="1">
        <w:r w:rsidRPr="00896AA2">
          <w:rPr>
            <w:rFonts w:ascii="Times New Roman" w:eastAsia="Times New Roman" w:hAnsi="Times New Roman" w:cs="Times New Roman"/>
            <w:color w:val="0000FF"/>
            <w:sz w:val="24"/>
            <w:szCs w:val="24"/>
            <w:u w:val="single"/>
          </w:rPr>
          <w:t>https://doi.org/10.1038/sj.mp.4001977</w:t>
        </w:r>
      </w:hyperlink>
    </w:p>
    <w:p w14:paraId="666AB4B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Y.-L., Fann, C. S.-J., Liu, C.-M., Chen, W. J., Wu, J.-Y., Hung, S.-I., Chen, C.-H., Jou, Y.-S., Liu, S.-K., Hwang, T.-J., Hsieh, M. H., Ouyang, W.-C., Chan, H.-Y., Chen, J.-J., Yang, W.-C., Lin, C.-Y., Lee, S. F. C., &amp; Hwu, H.-G. (2006). A Single Nucleotide Polymorphism Fine Mapping Study of Chromosome 1q42.1 Reveals the Vulnerability Genes for Schizophrenia, GNPAT and DISC1: Association with Impairment of Sustained Attention.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(6), 554–562. </w:t>
      </w:r>
      <w:hyperlink r:id="rId3431" w:history="1">
        <w:r w:rsidRPr="00896AA2">
          <w:rPr>
            <w:rFonts w:ascii="Times New Roman" w:eastAsia="Times New Roman" w:hAnsi="Times New Roman" w:cs="Times New Roman"/>
            <w:color w:val="0000FF"/>
            <w:sz w:val="24"/>
            <w:szCs w:val="24"/>
            <w:u w:val="single"/>
          </w:rPr>
          <w:t>https://doi.org/10.1016/j.biopsych.2006.04.024</w:t>
        </w:r>
      </w:hyperlink>
    </w:p>
    <w:p w14:paraId="26A2C84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Y.-L., Wang, S.-C., Hwu, H.-G., Fann, C. S.-J., Yang, U.-C., Yang, W.-C., Hsu, P.-C., Chang, C.-C., Wen, C.-C., Tsai-Wu, J.-J., Hwang, T.-J., Hsieh, M. H., Liu, C.-C., Chien, Y.-L., Fang, C.-P., Faraone, S. V., Tsuang, M. T., Chen, W. J., &amp; Liu, C.-M. (2016). Haplotypes of the D-amino acid oxidase gene are significantly associated with schizophrenia and its neurocognitive deficits.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(3).</w:t>
      </w:r>
    </w:p>
    <w:p w14:paraId="4DE983A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Y.-M., Tsai, S.-Y., Fleck, D. E., &amp; Strakowski, S. M. (2011). Cross-cultural comparisons on Wisconsin Card Sorting Test performance in euthymic patients with bipolar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189</w:t>
      </w:r>
      <w:r w:rsidRPr="00896AA2">
        <w:rPr>
          <w:rFonts w:ascii="Times New Roman" w:eastAsia="Times New Roman" w:hAnsi="Times New Roman" w:cs="Times New Roman"/>
          <w:sz w:val="24"/>
          <w:szCs w:val="24"/>
        </w:rPr>
        <w:t xml:space="preserve">(3), 469–471. </w:t>
      </w:r>
      <w:hyperlink r:id="rId3432" w:history="1">
        <w:r w:rsidRPr="00896AA2">
          <w:rPr>
            <w:rFonts w:ascii="Times New Roman" w:eastAsia="Times New Roman" w:hAnsi="Times New Roman" w:cs="Times New Roman"/>
            <w:color w:val="0000FF"/>
            <w:sz w:val="24"/>
            <w:szCs w:val="24"/>
            <w:u w:val="single"/>
          </w:rPr>
          <w:t>https://doi.org/10.1016/j.psychres.2011.05.038</w:t>
        </w:r>
      </w:hyperlink>
    </w:p>
    <w:p w14:paraId="126BE12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Z., Tam, W.-C. C., Xie, Y., &amp; Zhao, J. (2002). The relationship between regional cerebral blood flow and the Wisconsin Card Sorting Test in negative schizophrenia.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(1), 3–7. </w:t>
      </w:r>
      <w:hyperlink r:id="rId3433" w:history="1">
        <w:r w:rsidRPr="00896AA2">
          <w:rPr>
            <w:rFonts w:ascii="Times New Roman" w:eastAsia="Times New Roman" w:hAnsi="Times New Roman" w:cs="Times New Roman"/>
            <w:color w:val="0000FF"/>
            <w:sz w:val="24"/>
            <w:szCs w:val="24"/>
            <w:u w:val="single"/>
          </w:rPr>
          <w:t>https://doi.org/10.1046/j.1440-1819.2002.00924.x</w:t>
        </w:r>
      </w:hyperlink>
    </w:p>
    <w:p w14:paraId="4FA86B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Liu, Z., Zhao, J., &amp; Tam, W. C. C. (2003). Attention and Executive Function Impairments in Unaffected Siblings of Patients with Schizophrenia. </w:t>
      </w:r>
      <w:r w:rsidRPr="00896AA2">
        <w:rPr>
          <w:rFonts w:ascii="Times New Roman" w:eastAsia="Times New Roman" w:hAnsi="Times New Roman" w:cs="Times New Roman"/>
          <w:i/>
          <w:iCs/>
          <w:sz w:val="24"/>
          <w:szCs w:val="24"/>
        </w:rPr>
        <w:t>Hong Kong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(2), 8–11.</w:t>
      </w:r>
    </w:p>
    <w:p w14:paraId="0B2F31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Li-wen, T., Zhi-kun, Z., &amp; De-sen, Y. (2004). Negative Symptoms and Cognitive Functions of the First Degree Relatives of Schizophrenia. [Negative Symptoms and Cognitive Functions of the First Degree Relatives of Schizophrenia.].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(2), 188–191.</w:t>
      </w:r>
    </w:p>
    <w:p w14:paraId="2C865A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Ljubin, T., Milas, Ž. D., Folnegović-Šmalc, V., &amp; Makarić, G. (2000). A preliminary study of the comparative effects of olanzapine and fluphenazine on cognition in schizophrenic patients. </w:t>
      </w:r>
      <w:r w:rsidRPr="00896AA2">
        <w:rPr>
          <w:rFonts w:ascii="Times New Roman" w:eastAsia="Times New Roman" w:hAnsi="Times New Roman" w:cs="Times New Roman"/>
          <w:i/>
          <w:iCs/>
          <w:sz w:val="24"/>
          <w:szCs w:val="24"/>
        </w:rPr>
        <w:t>Human Psychopharmacology: Clinical and Experimental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(7), 513–519. </w:t>
      </w:r>
      <w:hyperlink r:id="rId3434" w:history="1">
        <w:r w:rsidRPr="00896AA2">
          <w:rPr>
            <w:rFonts w:ascii="Times New Roman" w:eastAsia="Times New Roman" w:hAnsi="Times New Roman" w:cs="Times New Roman"/>
            <w:color w:val="0000FF"/>
            <w:sz w:val="24"/>
            <w:szCs w:val="24"/>
            <w:u w:val="single"/>
          </w:rPr>
          <w:t>https://doi.org/10.1002/1099-1077(200010)15:7&lt;513::AID-HUP213&gt;3.0.CO;2-Y</w:t>
        </w:r>
      </w:hyperlink>
    </w:p>
    <w:p w14:paraId="393EB8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Lloyd, K. P., Higginson, C. I., Lating, J. M., &amp; Coiro, M. J. (2012). Test-order effects: A measure of verbal memory influences performance on a measure of verbal fluency.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(4), 299–304. </w:t>
      </w:r>
      <w:hyperlink r:id="rId3435" w:history="1">
        <w:r w:rsidRPr="00896AA2">
          <w:rPr>
            <w:rFonts w:ascii="Times New Roman" w:eastAsia="Times New Roman" w:hAnsi="Times New Roman" w:cs="Times New Roman"/>
            <w:color w:val="0000FF"/>
            <w:sz w:val="24"/>
            <w:szCs w:val="24"/>
            <w:u w:val="single"/>
          </w:rPr>
          <w:t>https://doi.org/10.1080/09084282.2012.670153</w:t>
        </w:r>
      </w:hyperlink>
    </w:p>
    <w:p w14:paraId="362F872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 C. Y., &amp; Allen, N. B. (2011). Affective bias in internal attention shifting among depressed youth.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187</w:t>
      </w:r>
      <w:r w:rsidRPr="00896AA2">
        <w:rPr>
          <w:rFonts w:ascii="Times New Roman" w:eastAsia="Times New Roman" w:hAnsi="Times New Roman" w:cs="Times New Roman"/>
          <w:sz w:val="24"/>
          <w:szCs w:val="24"/>
        </w:rPr>
        <w:t xml:space="preserve">(1–2), 125–129. </w:t>
      </w:r>
      <w:hyperlink r:id="rId3436" w:history="1">
        <w:r w:rsidRPr="00896AA2">
          <w:rPr>
            <w:rFonts w:ascii="Times New Roman" w:eastAsia="Times New Roman" w:hAnsi="Times New Roman" w:cs="Times New Roman"/>
            <w:color w:val="0000FF"/>
            <w:sz w:val="24"/>
            <w:szCs w:val="24"/>
            <w:u w:val="single"/>
          </w:rPr>
          <w:t>https://doi.org/10.1016/j.psychres.2010.10.001</w:t>
        </w:r>
      </w:hyperlink>
    </w:p>
    <w:p w14:paraId="585FDD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 C. Y., Chan, S. K., Ng, T. K., &amp; Choi, A. W. M. (2020). Parental demandingness and executive functioning in predicting anxiety among children in a longitudinal community study. </w:t>
      </w:r>
      <w:r w:rsidRPr="00896AA2">
        <w:rPr>
          <w:rFonts w:ascii="Times New Roman" w:eastAsia="Times New Roman" w:hAnsi="Times New Roman" w:cs="Times New Roman"/>
          <w:i/>
          <w:iCs/>
          <w:sz w:val="24"/>
          <w:szCs w:val="24"/>
        </w:rPr>
        <w:t>Journal of Youth and Adolescence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 299–310. </w:t>
      </w:r>
      <w:hyperlink r:id="rId3437" w:history="1">
        <w:r w:rsidRPr="00896AA2">
          <w:rPr>
            <w:rFonts w:ascii="Times New Roman" w:eastAsia="Times New Roman" w:hAnsi="Times New Roman" w:cs="Times New Roman"/>
            <w:color w:val="0000FF"/>
            <w:sz w:val="24"/>
            <w:szCs w:val="24"/>
            <w:u w:val="single"/>
          </w:rPr>
          <w:t>https://doi.org/10.1007/s10964-019-01103-1</w:t>
        </w:r>
      </w:hyperlink>
    </w:p>
    <w:p w14:paraId="70D2686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 C. Y., Lau, S., Cheung, S., &amp; Allen, N. B. (2012). The impact of rumination on internal attention switching. </w:t>
      </w:r>
      <w:r w:rsidRPr="00896AA2">
        <w:rPr>
          <w:rFonts w:ascii="Times New Roman" w:eastAsia="Times New Roman" w:hAnsi="Times New Roman" w:cs="Times New Roman"/>
          <w:i/>
          <w:iCs/>
          <w:sz w:val="24"/>
          <w:szCs w:val="24"/>
        </w:rPr>
        <w:t>Cognition and Emotion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209–223. </w:t>
      </w:r>
      <w:hyperlink r:id="rId3438" w:history="1">
        <w:r w:rsidRPr="00896AA2">
          <w:rPr>
            <w:rFonts w:ascii="Times New Roman" w:eastAsia="Times New Roman" w:hAnsi="Times New Roman" w:cs="Times New Roman"/>
            <w:color w:val="0000FF"/>
            <w:sz w:val="24"/>
            <w:szCs w:val="24"/>
            <w:u w:val="single"/>
          </w:rPr>
          <w:t>https://doi.org/10.1080/02699931.2011.574997</w:t>
        </w:r>
      </w:hyperlink>
    </w:p>
    <w:p w14:paraId="52FC08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 Buono, V., Bonanno, L., Corallo, F., Pisani, L. R., Lo Presti, R., Grugno, R., Di Lorenzo, G., Bramanti, P., &amp; Marino, S. (2017). Functional connectivity and cognitive impairment in migraine with and without aura. </w:t>
      </w:r>
      <w:r w:rsidRPr="00896AA2">
        <w:rPr>
          <w:rFonts w:ascii="Times New Roman" w:eastAsia="Times New Roman" w:hAnsi="Times New Roman" w:cs="Times New Roman"/>
          <w:i/>
          <w:iCs/>
          <w:sz w:val="24"/>
          <w:szCs w:val="24"/>
        </w:rPr>
        <w:t>The Journal of Headache and Pain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 </w:t>
      </w:r>
      <w:hyperlink r:id="rId3439" w:history="1">
        <w:r w:rsidRPr="00896AA2">
          <w:rPr>
            <w:rFonts w:ascii="Times New Roman" w:eastAsia="Times New Roman" w:hAnsi="Times New Roman" w:cs="Times New Roman"/>
            <w:color w:val="0000FF"/>
            <w:sz w:val="24"/>
            <w:szCs w:val="24"/>
            <w:u w:val="single"/>
          </w:rPr>
          <w:t>https://doi.org/10.1186/s10194-017-0782-6</w:t>
        </w:r>
      </w:hyperlink>
    </w:p>
    <w:p w14:paraId="29EFD10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Løberg, E.-M., Nygård, M., Berle, J. Ø., Johnsen, E., Kroken, R. A., Jørgensen, H. A., &amp; Hugdahl, K. (2012). An fMRI study of neuronal activation in schizophrenia patients with and without previous cannabis use.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 xml:space="preserve">. </w:t>
      </w:r>
      <w:hyperlink r:id="rId3440" w:history="1">
        <w:r w:rsidRPr="00896AA2">
          <w:rPr>
            <w:rFonts w:ascii="Times New Roman" w:eastAsia="Times New Roman" w:hAnsi="Times New Roman" w:cs="Times New Roman"/>
            <w:color w:val="0000FF"/>
            <w:sz w:val="24"/>
            <w:szCs w:val="24"/>
            <w:u w:val="single"/>
          </w:rPr>
          <w:t>https://doi.org/10.3389/fpsyt.2012.00094</w:t>
        </w:r>
      </w:hyperlink>
    </w:p>
    <w:p w14:paraId="7031E9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LoBue, C., Cullum, C. M., Braud, J., Walker, R., Winhusen, T., Suderajan, P., &amp; Adinoff, B. (2014). Optimal neurocognitive, personality and behavioral measures for assessing impulsivity in cocaine dependence. </w:t>
      </w:r>
      <w:r w:rsidRPr="00896AA2">
        <w:rPr>
          <w:rFonts w:ascii="Times New Roman" w:eastAsia="Times New Roman" w:hAnsi="Times New Roman" w:cs="Times New Roman"/>
          <w:i/>
          <w:iCs/>
          <w:sz w:val="24"/>
          <w:szCs w:val="24"/>
        </w:rPr>
        <w:t>The American Journal of Drug and Alcohol Abuse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(6), 455–462. </w:t>
      </w:r>
      <w:hyperlink r:id="rId3441" w:history="1">
        <w:r w:rsidRPr="00896AA2">
          <w:rPr>
            <w:rFonts w:ascii="Times New Roman" w:eastAsia="Times New Roman" w:hAnsi="Times New Roman" w:cs="Times New Roman"/>
            <w:color w:val="0000FF"/>
            <w:sz w:val="24"/>
            <w:szCs w:val="24"/>
            <w:u w:val="single"/>
          </w:rPr>
          <w:t>https://doi.org/10.3109/00952990.2014.939752</w:t>
        </w:r>
      </w:hyperlink>
    </w:p>
    <w:p w14:paraId="45E45B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Loch, A. A., van de Bilt, M. T., Bio, D. S., do Prado, C. M., de Sousa, R. T., Valiengo, L. L., Moreno, R. A., Zanetti, M. V., &amp; Gattaz, W. F. (2015). Epistasis between COMT Val</w:t>
      </w:r>
      <w:r w:rsidRPr="00896AA2">
        <w:rPr>
          <w:rFonts w:ascii="Times New Roman" w:eastAsia="Times New Roman" w:hAnsi="Times New Roman" w:cs="Times New Roman"/>
          <w:sz w:val="24"/>
          <w:szCs w:val="24"/>
          <w:vertAlign w:val="superscript"/>
        </w:rPr>
        <w:t>158</w:t>
      </w:r>
      <w:r w:rsidRPr="00896AA2">
        <w:rPr>
          <w:rFonts w:ascii="Times New Roman" w:eastAsia="Times New Roman" w:hAnsi="Times New Roman" w:cs="Times New Roman"/>
          <w:sz w:val="24"/>
          <w:szCs w:val="24"/>
        </w:rPr>
        <w:t>Met and DRD3 Ser</w:t>
      </w:r>
      <w:r w:rsidRPr="00896AA2">
        <w:rPr>
          <w:rFonts w:ascii="Times New Roman" w:eastAsia="Times New Roman" w:hAnsi="Times New Roman" w:cs="Times New Roman"/>
          <w:sz w:val="24"/>
          <w:szCs w:val="24"/>
          <w:vertAlign w:val="superscript"/>
        </w:rPr>
        <w:t>9</w:t>
      </w:r>
      <w:r w:rsidRPr="00896AA2">
        <w:rPr>
          <w:rFonts w:ascii="Times New Roman" w:eastAsia="Times New Roman" w:hAnsi="Times New Roman" w:cs="Times New Roman"/>
          <w:sz w:val="24"/>
          <w:szCs w:val="24"/>
        </w:rPr>
        <w:t xml:space="preserve">Gly polymorphisms and cognitive function in schizophrenia: Genetic influence on dopamine transmission. </w:t>
      </w:r>
      <w:r w:rsidRPr="00896AA2">
        <w:rPr>
          <w:rFonts w:ascii="Times New Roman" w:eastAsia="Times New Roman" w:hAnsi="Times New Roman" w:cs="Times New Roman"/>
          <w:i/>
          <w:iCs/>
          <w:sz w:val="24"/>
          <w:szCs w:val="24"/>
        </w:rPr>
        <w:t>Revista Brasileira de Psiquiatria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(3), 235–241. </w:t>
      </w:r>
      <w:hyperlink r:id="rId3442" w:history="1">
        <w:r w:rsidRPr="00896AA2">
          <w:rPr>
            <w:rFonts w:ascii="Times New Roman" w:eastAsia="Times New Roman" w:hAnsi="Times New Roman" w:cs="Times New Roman"/>
            <w:color w:val="0000FF"/>
            <w:sz w:val="24"/>
            <w:szCs w:val="24"/>
            <w:u w:val="single"/>
          </w:rPr>
          <w:t>https://doi.org/10.1590/1516-4446-2014-1553</w:t>
        </w:r>
      </w:hyperlink>
    </w:p>
    <w:p w14:paraId="649291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Lock, J., Fitzpatrick, K. K., Agras, W. S., Weinbach, N., &amp; Jo, B. (2018). Feasibility study combining art therapy or cognitive remediation therapy with family‐based treatment for adolescent anorexia nervosa. </w:t>
      </w:r>
      <w:r w:rsidRPr="00896AA2">
        <w:rPr>
          <w:rFonts w:ascii="Times New Roman" w:eastAsia="Times New Roman" w:hAnsi="Times New Roman" w:cs="Times New Roman"/>
          <w:i/>
          <w:iCs/>
          <w:sz w:val="24"/>
          <w:szCs w:val="24"/>
        </w:rPr>
        <w:t>European Eating Disorders Review</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 62–68. </w:t>
      </w:r>
      <w:hyperlink r:id="rId3443" w:history="1">
        <w:r w:rsidRPr="00896AA2">
          <w:rPr>
            <w:rFonts w:ascii="Times New Roman" w:eastAsia="Times New Roman" w:hAnsi="Times New Roman" w:cs="Times New Roman"/>
            <w:color w:val="0000FF"/>
            <w:sz w:val="24"/>
            <w:szCs w:val="24"/>
            <w:u w:val="single"/>
          </w:rPr>
          <w:t>https://doi.org/10.1002/erv.2571</w:t>
        </w:r>
      </w:hyperlink>
    </w:p>
    <w:p w14:paraId="65EC44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Locke, D. E. C., Smigielski, J. S., Powell, M. R., &amp; Stevens, S. R. (2008). Effort issues in post-acute outpatient acquired brain injury rehabilitation seekers. </w:t>
      </w:r>
      <w:r w:rsidRPr="00896AA2">
        <w:rPr>
          <w:rFonts w:ascii="Times New Roman" w:eastAsia="Times New Roman" w:hAnsi="Times New Roman" w:cs="Times New Roman"/>
          <w:i/>
          <w:iCs/>
          <w:sz w:val="24"/>
          <w:szCs w:val="24"/>
        </w:rPr>
        <w:t>NeuroRehabilitation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(3), 273–281.</w:t>
      </w:r>
    </w:p>
    <w:p w14:paraId="340770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Lockwood, A. H., Linn, R. T., Szymanski, H., Coad, M. L., &amp; Wack, D. S. (2004). Mapping the neural systems that mediate the Paced Auditory Serial Addition Task (PASAT).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26–34. </w:t>
      </w:r>
      <w:hyperlink r:id="rId3444" w:history="1">
        <w:r w:rsidRPr="00896AA2">
          <w:rPr>
            <w:rFonts w:ascii="Times New Roman" w:eastAsia="Times New Roman" w:hAnsi="Times New Roman" w:cs="Times New Roman"/>
            <w:color w:val="0000FF"/>
            <w:sz w:val="24"/>
            <w:szCs w:val="24"/>
            <w:u w:val="single"/>
          </w:rPr>
          <w:t>https://doi.org/10.1017/S1355617704101045</w:t>
        </w:r>
      </w:hyperlink>
    </w:p>
    <w:p w14:paraId="1C714B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Duka, T., Márquez, H. W., Nakovics, H., Heinz, A., Mann, K., &amp; Flor, H. (2010). Effects of repeated withdrawal from alcohol on recovery of cognitive impairment under abstinence and rate of relapse. </w:t>
      </w:r>
      <w:r w:rsidRPr="00896AA2">
        <w:rPr>
          <w:rFonts w:ascii="Times New Roman" w:eastAsia="Times New Roman" w:hAnsi="Times New Roman" w:cs="Times New Roman"/>
          <w:i/>
          <w:iCs/>
          <w:sz w:val="24"/>
          <w:szCs w:val="24"/>
        </w:rPr>
        <w:t>Alcohol and Alcoholism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(6), 541–547. </w:t>
      </w:r>
      <w:hyperlink r:id="rId3445" w:history="1">
        <w:r w:rsidRPr="00896AA2">
          <w:rPr>
            <w:rFonts w:ascii="Times New Roman" w:eastAsia="Times New Roman" w:hAnsi="Times New Roman" w:cs="Times New Roman"/>
            <w:color w:val="0000FF"/>
            <w:sz w:val="24"/>
            <w:szCs w:val="24"/>
            <w:u w:val="single"/>
          </w:rPr>
          <w:t>https://doi.org/10.1093/alcalc/agq065</w:t>
        </w:r>
      </w:hyperlink>
    </w:p>
    <w:p w14:paraId="416C82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Duka, T., Welzel, H., Nakovics, H., Heinz, A., Flor, H., &amp; Mann, K. (2009). Impairment of cognitive abilities and decision making after chronic use of alcohol: The impact of multiple detoxifications. </w:t>
      </w:r>
      <w:r w:rsidRPr="00896AA2">
        <w:rPr>
          <w:rFonts w:ascii="Times New Roman" w:eastAsia="Times New Roman" w:hAnsi="Times New Roman" w:cs="Times New Roman"/>
          <w:i/>
          <w:iCs/>
          <w:sz w:val="24"/>
          <w:szCs w:val="24"/>
        </w:rPr>
        <w:t>Alcohol and Alcoholism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(4), 372–381. </w:t>
      </w:r>
      <w:hyperlink r:id="rId3446" w:history="1">
        <w:r w:rsidRPr="00896AA2">
          <w:rPr>
            <w:rFonts w:ascii="Times New Roman" w:eastAsia="Times New Roman" w:hAnsi="Times New Roman" w:cs="Times New Roman"/>
            <w:color w:val="0000FF"/>
            <w:sz w:val="24"/>
            <w:szCs w:val="24"/>
            <w:u w:val="single"/>
          </w:rPr>
          <w:t>https://doi.org/10.1093/alcalc/agp030</w:t>
        </w:r>
      </w:hyperlink>
    </w:p>
    <w:p w14:paraId="7AE08C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Grosshans, M., Korucuoglu, O., Vollmert, C., Vollstädt- Klein, S., Schneider, S., Wiers, R. W., Mann, K., &amp; Kiefer, F. (2012). Impairment of inhibitory control in response to food-associated cues and attentional bias of obese participants and normal-weight controls. </w:t>
      </w:r>
      <w:r w:rsidRPr="00896AA2">
        <w:rPr>
          <w:rFonts w:ascii="Times New Roman" w:eastAsia="Times New Roman" w:hAnsi="Times New Roman" w:cs="Times New Roman"/>
          <w:i/>
          <w:iCs/>
          <w:sz w:val="24"/>
          <w:szCs w:val="24"/>
        </w:rPr>
        <w:t>International Journal of Obesity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(10), 1334–1339. </w:t>
      </w:r>
      <w:hyperlink r:id="rId3447" w:history="1">
        <w:r w:rsidRPr="00896AA2">
          <w:rPr>
            <w:rFonts w:ascii="Times New Roman" w:eastAsia="Times New Roman" w:hAnsi="Times New Roman" w:cs="Times New Roman"/>
            <w:color w:val="0000FF"/>
            <w:sz w:val="24"/>
            <w:szCs w:val="24"/>
            <w:u w:val="single"/>
          </w:rPr>
          <w:t>https://doi.org/10.1038/ijo.2011.184</w:t>
        </w:r>
      </w:hyperlink>
    </w:p>
    <w:p w14:paraId="13692D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Loeber, S., Vollstädt-Klein, S., von der Goltz, C., Flor, H., Mann, K., &amp; Kiefer, F. (2009). Attentional bias in alcohol-dependent patients: The role of chronicity and executive functioning. </w:t>
      </w:r>
      <w:r w:rsidRPr="00896AA2">
        <w:rPr>
          <w:rFonts w:ascii="Times New Roman" w:eastAsia="Times New Roman" w:hAnsi="Times New Roman" w:cs="Times New Roman"/>
          <w:i/>
          <w:iCs/>
          <w:sz w:val="24"/>
          <w:szCs w:val="24"/>
        </w:rPr>
        <w:t>Addiction 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(2), 194–203. </w:t>
      </w:r>
      <w:hyperlink r:id="rId3448" w:history="1">
        <w:r w:rsidRPr="00896AA2">
          <w:rPr>
            <w:rFonts w:ascii="Times New Roman" w:eastAsia="Times New Roman" w:hAnsi="Times New Roman" w:cs="Times New Roman"/>
            <w:color w:val="0000FF"/>
            <w:sz w:val="24"/>
            <w:szCs w:val="24"/>
            <w:u w:val="single"/>
          </w:rPr>
          <w:t>https://doi.org/10.1111/j.1369-1600.2009.00146.x</w:t>
        </w:r>
      </w:hyperlink>
    </w:p>
    <w:p w14:paraId="44FEC2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Loesch, D. Z., Bui, Q. M., Grigsby, J., Butler, E., Epstein, J., Huggins, R. M., Taylor, A. K., &amp; Hagerman, R. J. (2003). Effect of the Fragile X Status Categories and the Fragile X Mental Retardation Protein Levels on Executive Functioning in Males and Females With Fragile X.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646–657. </w:t>
      </w:r>
      <w:hyperlink r:id="rId3449" w:history="1">
        <w:r w:rsidRPr="00896AA2">
          <w:rPr>
            <w:rFonts w:ascii="Times New Roman" w:eastAsia="Times New Roman" w:hAnsi="Times New Roman" w:cs="Times New Roman"/>
            <w:color w:val="0000FF"/>
            <w:sz w:val="24"/>
            <w:szCs w:val="24"/>
            <w:u w:val="single"/>
          </w:rPr>
          <w:t>https://doi.org/10.1037/0894-4105.17.4.646</w:t>
        </w:r>
      </w:hyperlink>
    </w:p>
    <w:p w14:paraId="7C7F11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Loesch, D. Z., Bui, Q. M., Kelso, W., Huggins, R. M., Slater, H., Warne, G., Bergman, P., Rodda, C., Mitchell, R. J., &amp; Prior, M. (2005). Effect of Turner’s syndrome and X-linked imprinting on cognitive status: Analysis based on pedigree data. </w:t>
      </w:r>
      <w:r w:rsidRPr="00896AA2">
        <w:rPr>
          <w:rFonts w:ascii="Times New Roman" w:eastAsia="Times New Roman" w:hAnsi="Times New Roman" w:cs="Times New Roman"/>
          <w:i/>
          <w:iCs/>
          <w:sz w:val="24"/>
          <w:szCs w:val="24"/>
        </w:rPr>
        <w:t>Brain &amp; Development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(7), 494–503. </w:t>
      </w:r>
      <w:hyperlink r:id="rId3450" w:history="1">
        <w:r w:rsidRPr="00896AA2">
          <w:rPr>
            <w:rFonts w:ascii="Times New Roman" w:eastAsia="Times New Roman" w:hAnsi="Times New Roman" w:cs="Times New Roman"/>
            <w:color w:val="0000FF"/>
            <w:sz w:val="24"/>
            <w:szCs w:val="24"/>
            <w:u w:val="single"/>
          </w:rPr>
          <w:t>https://doi.org/10.1016/j.braindev.2004.12.009</w:t>
        </w:r>
      </w:hyperlink>
    </w:p>
    <w:p w14:paraId="31D162F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Loewenstein, D. (2013). Assessment of Alzheimer’s disease. In </w:t>
      </w:r>
      <w:r w:rsidRPr="00896AA2">
        <w:rPr>
          <w:rFonts w:ascii="Times New Roman" w:eastAsia="Times New Roman" w:hAnsi="Times New Roman" w:cs="Times New Roman"/>
          <w:i/>
          <w:iCs/>
          <w:sz w:val="24"/>
          <w:szCs w:val="24"/>
        </w:rPr>
        <w:t>Handbook on the neuropsychology of aging and dementia.</w:t>
      </w:r>
      <w:r w:rsidRPr="00896AA2">
        <w:rPr>
          <w:rFonts w:ascii="Times New Roman" w:eastAsia="Times New Roman" w:hAnsi="Times New Roman" w:cs="Times New Roman"/>
          <w:sz w:val="24"/>
          <w:szCs w:val="24"/>
        </w:rPr>
        <w:t xml:space="preserve"> (pp. 271–280). Springer Science + Business Media. </w:t>
      </w:r>
      <w:hyperlink r:id="rId3451" w:history="1">
        <w:r w:rsidRPr="00896AA2">
          <w:rPr>
            <w:rFonts w:ascii="Times New Roman" w:eastAsia="Times New Roman" w:hAnsi="Times New Roman" w:cs="Times New Roman"/>
            <w:color w:val="0000FF"/>
            <w:sz w:val="24"/>
            <w:szCs w:val="24"/>
            <w:u w:val="single"/>
          </w:rPr>
          <w:t>https://doi.org/10.1007/978-1-4614-3106-0_18</w:t>
        </w:r>
      </w:hyperlink>
    </w:p>
    <w:p w14:paraId="48CE19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Logue, E., Marceaux, J., Balldin, V., &amp; Hilsabeck, R. C. (2015). Further validation of the Pillbox Test in a mixed clinical sample.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(5), 611–623. </w:t>
      </w:r>
      <w:hyperlink r:id="rId3452" w:history="1">
        <w:r w:rsidRPr="00896AA2">
          <w:rPr>
            <w:rFonts w:ascii="Times New Roman" w:eastAsia="Times New Roman" w:hAnsi="Times New Roman" w:cs="Times New Roman"/>
            <w:color w:val="0000FF"/>
            <w:sz w:val="24"/>
            <w:szCs w:val="24"/>
            <w:u w:val="single"/>
          </w:rPr>
          <w:t>https://doi.org/10.1080/13854046.2015.1061054</w:t>
        </w:r>
      </w:hyperlink>
    </w:p>
    <w:p w14:paraId="25C4CF5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Lohmann, E., Thobois, S., Lesage, S., Broussolle, E., du Montcel, S. T., Ribeiro, M.-J., Remy, P., Pelissolo, A., Dubois, B., Mallet, L., Pollak, P., Agid, Y., &amp; Brice, A. (2009). A multidisciplinary study of patients with early-onset PD with and without Parkin mutations.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72</w:t>
      </w:r>
      <w:r w:rsidRPr="00896AA2">
        <w:rPr>
          <w:rFonts w:ascii="Times New Roman" w:eastAsia="Times New Roman" w:hAnsi="Times New Roman" w:cs="Times New Roman"/>
          <w:sz w:val="24"/>
          <w:szCs w:val="24"/>
        </w:rPr>
        <w:t xml:space="preserve">(2), 110–116. </w:t>
      </w:r>
      <w:hyperlink r:id="rId3453" w:history="1">
        <w:r w:rsidRPr="00896AA2">
          <w:rPr>
            <w:rFonts w:ascii="Times New Roman" w:eastAsia="Times New Roman" w:hAnsi="Times New Roman" w:cs="Times New Roman"/>
            <w:color w:val="0000FF"/>
            <w:sz w:val="24"/>
            <w:szCs w:val="24"/>
            <w:u w:val="single"/>
          </w:rPr>
          <w:t>https://doi.org/10.1212/01.wnl.0000327098.86861.d4</w:t>
        </w:r>
      </w:hyperlink>
    </w:p>
    <w:p w14:paraId="0A542D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Lohr, J. B., Liu, L., Caligiuri, M. P., Kash, T. P., May, T. A., Murphy, J. D., &amp; Ancoli-Israel, S. (2013). Modafinil improves antipsychotic-induced parkinsonism but not excessive daytime sleepiness, psychiatric symptoms or cognition in schizophrenia and schizoaffective disorder: A randomized, double-blind, placebo-controlled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150</w:t>
      </w:r>
      <w:r w:rsidRPr="00896AA2">
        <w:rPr>
          <w:rFonts w:ascii="Times New Roman" w:eastAsia="Times New Roman" w:hAnsi="Times New Roman" w:cs="Times New Roman"/>
          <w:sz w:val="24"/>
          <w:szCs w:val="24"/>
        </w:rPr>
        <w:t xml:space="preserve">(1), 289–296. </w:t>
      </w:r>
      <w:hyperlink r:id="rId3454" w:history="1">
        <w:r w:rsidRPr="00896AA2">
          <w:rPr>
            <w:rFonts w:ascii="Times New Roman" w:eastAsia="Times New Roman" w:hAnsi="Times New Roman" w:cs="Times New Roman"/>
            <w:color w:val="0000FF"/>
            <w:sz w:val="24"/>
            <w:szCs w:val="24"/>
            <w:u w:val="single"/>
          </w:rPr>
          <w:t>https://doi.org/10.1016/j.schres.2013.07.039</w:t>
        </w:r>
      </w:hyperlink>
    </w:p>
    <w:p w14:paraId="5A5603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Loitfelder, M., Fazekas, F., Petrovic, K., Fuchs, S., Ropele, S., Wallner-Blazek, M., Jehna, M., Aspeck, E., Khalil, M., Schmidt, R., Neuper, C., &amp; Enzinger, C. (2011). Reorganization in cognitive networks with progression of multiple sclerosis: Insights from fMRI.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(6), 526–533. </w:t>
      </w:r>
      <w:hyperlink r:id="rId3455" w:history="1">
        <w:r w:rsidRPr="00896AA2">
          <w:rPr>
            <w:rFonts w:ascii="Times New Roman" w:eastAsia="Times New Roman" w:hAnsi="Times New Roman" w:cs="Times New Roman"/>
            <w:color w:val="0000FF"/>
            <w:sz w:val="24"/>
            <w:szCs w:val="24"/>
            <w:u w:val="single"/>
          </w:rPr>
          <w:t>https://doi.org/10.1212/WNL.0b013e31820b75cf</w:t>
        </w:r>
      </w:hyperlink>
    </w:p>
    <w:p w14:paraId="30E40F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Lojek, E., &amp; Bornstein, R. A. (2005). The Stability of Neurocognitive Patterns in HIV Infected Men: Classification Considerations.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(6), 665–682. </w:t>
      </w:r>
      <w:hyperlink r:id="rId3456" w:history="1">
        <w:r w:rsidRPr="00896AA2">
          <w:rPr>
            <w:rFonts w:ascii="Times New Roman" w:eastAsia="Times New Roman" w:hAnsi="Times New Roman" w:cs="Times New Roman"/>
            <w:color w:val="0000FF"/>
            <w:sz w:val="24"/>
            <w:szCs w:val="24"/>
            <w:u w:val="single"/>
          </w:rPr>
          <w:t>https://doi.org/10.1081/13803390490918426</w:t>
        </w:r>
      </w:hyperlink>
    </w:p>
    <w:p w14:paraId="38392E1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Lomastro, M. J., Valerio, M. P., Blasco, M. B., Tagni, M. F., &amp; Martino, D. J. (2020). Predictors of high psychosocial functioning in bipolar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208</w:t>
      </w:r>
      <w:r w:rsidRPr="00896AA2">
        <w:rPr>
          <w:rFonts w:ascii="Times New Roman" w:eastAsia="Times New Roman" w:hAnsi="Times New Roman" w:cs="Times New Roman"/>
          <w:sz w:val="24"/>
          <w:szCs w:val="24"/>
        </w:rPr>
        <w:t xml:space="preserve">(11), 904–907. </w:t>
      </w:r>
      <w:hyperlink r:id="rId3457" w:history="1">
        <w:r w:rsidRPr="00896AA2">
          <w:rPr>
            <w:rFonts w:ascii="Times New Roman" w:eastAsia="Times New Roman" w:hAnsi="Times New Roman" w:cs="Times New Roman"/>
            <w:color w:val="0000FF"/>
            <w:sz w:val="24"/>
            <w:szCs w:val="24"/>
            <w:u w:val="single"/>
          </w:rPr>
          <w:t>https://doi.org/10.1097/NMD.0000000000001224</w:t>
        </w:r>
      </w:hyperlink>
    </w:p>
    <w:p w14:paraId="04AB14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Lombardi, W. J., Andreason, P. J., Sirocco, K. Y., Rio, D. E., Gross, R. E., Umhau, J. C., &amp; Hommer, D. W. (1999). Wisconsin Card Sorting Test performance following head injury: Dorsolateral fronto-striatal circuit activity predicts perseveration.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(1), 2–16. </w:t>
      </w:r>
      <w:hyperlink r:id="rId3458" w:history="1">
        <w:r w:rsidRPr="00896AA2">
          <w:rPr>
            <w:rFonts w:ascii="Times New Roman" w:eastAsia="Times New Roman" w:hAnsi="Times New Roman" w:cs="Times New Roman"/>
            <w:color w:val="0000FF"/>
            <w:sz w:val="24"/>
            <w:szCs w:val="24"/>
            <w:u w:val="single"/>
          </w:rPr>
          <w:t>https://doi.org/10.1076/jcen.21.1.2.940</w:t>
        </w:r>
      </w:hyperlink>
    </w:p>
    <w:p w14:paraId="323BB08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Lomen-Hoerth, C. (2004). Characterization of amyotrophic lateral sclerosis and frontotemporal dementia. </w:t>
      </w:r>
      <w:r w:rsidRPr="00896AA2">
        <w:rPr>
          <w:rFonts w:ascii="Times New Roman" w:eastAsia="Times New Roman" w:hAnsi="Times New Roman" w:cs="Times New Roman"/>
          <w:i/>
          <w:iCs/>
          <w:sz w:val="24"/>
          <w:szCs w:val="24"/>
        </w:rPr>
        <w:t>Dementia and Geriatric Cognitive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337–341. </w:t>
      </w:r>
      <w:hyperlink r:id="rId3459" w:history="1">
        <w:r w:rsidRPr="00896AA2">
          <w:rPr>
            <w:rFonts w:ascii="Times New Roman" w:eastAsia="Times New Roman" w:hAnsi="Times New Roman" w:cs="Times New Roman"/>
            <w:color w:val="0000FF"/>
            <w:sz w:val="24"/>
            <w:szCs w:val="24"/>
            <w:u w:val="single"/>
          </w:rPr>
          <w:t>https://doi.org/10.1159/000077167</w:t>
        </w:r>
      </w:hyperlink>
    </w:p>
    <w:p w14:paraId="36EF17F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Lomen-Hoerth, C., Murphy, J., Langmore, S., Kramer, J. H., Olney, R. K., &amp; Miller, B. (2003). Are amyotrophic lateral sclerosis patients cognitively normal?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(7), 1094–1097. </w:t>
      </w:r>
      <w:hyperlink r:id="rId3460" w:history="1">
        <w:r w:rsidRPr="00896AA2">
          <w:rPr>
            <w:rFonts w:ascii="Times New Roman" w:eastAsia="Times New Roman" w:hAnsi="Times New Roman" w:cs="Times New Roman"/>
            <w:color w:val="0000FF"/>
            <w:sz w:val="24"/>
            <w:szCs w:val="24"/>
            <w:u w:val="single"/>
          </w:rPr>
          <w:t>https://doi.org/10.1212/01.WNL.0000055861.95202.8D</w:t>
        </w:r>
      </w:hyperlink>
    </w:p>
    <w:p w14:paraId="0D76FC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 J. F. (2000). </w:t>
      </w:r>
      <w:r w:rsidRPr="00896AA2">
        <w:rPr>
          <w:rFonts w:ascii="Times New Roman" w:eastAsia="Times New Roman" w:hAnsi="Times New Roman" w:cs="Times New Roman"/>
          <w:i/>
          <w:iCs/>
          <w:sz w:val="24"/>
          <w:szCs w:val="24"/>
        </w:rPr>
        <w:t>Learning transfer in patients with schizophrenia: Implications for generalization effects and remediation of wcst deficits.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(4-B), 2209–2209.</w:t>
      </w:r>
    </w:p>
    <w:p w14:paraId="28C9520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Longaud-Valès, A., Chevignard, M., Dufour, C., Grill, J., Puget, S., Sainte-Rose, C., Valteau-Couanet, D., &amp; Dellatolas, G. (2016). Assessment of executive functioning in children and young adults treated for frontal lobe tumours using ecologically valid tests.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(4), 558–583. </w:t>
      </w:r>
      <w:hyperlink r:id="rId3461" w:history="1">
        <w:r w:rsidRPr="00896AA2">
          <w:rPr>
            <w:rFonts w:ascii="Times New Roman" w:eastAsia="Times New Roman" w:hAnsi="Times New Roman" w:cs="Times New Roman"/>
            <w:color w:val="0000FF"/>
            <w:sz w:val="24"/>
            <w:szCs w:val="24"/>
            <w:u w:val="single"/>
          </w:rPr>
          <w:t>https://doi.org/10.1080/09602011.2015.1048253</w:t>
        </w:r>
      </w:hyperlink>
    </w:p>
    <w:p w14:paraId="4E5D42D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Longenecker, J., Dickinson, D., Weinberger, D. R., &amp; Elvevåg, B. (2010). Cognitive differences between men and women: A comparison of patients with schizophrenia and healthy volunteers.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120</w:t>
      </w:r>
      <w:r w:rsidRPr="00896AA2">
        <w:rPr>
          <w:rFonts w:ascii="Times New Roman" w:eastAsia="Times New Roman" w:hAnsi="Times New Roman" w:cs="Times New Roman"/>
          <w:sz w:val="24"/>
          <w:szCs w:val="24"/>
        </w:rPr>
        <w:t xml:space="preserve">(1–3), 234–235. </w:t>
      </w:r>
      <w:hyperlink r:id="rId3462" w:history="1">
        <w:r w:rsidRPr="00896AA2">
          <w:rPr>
            <w:rFonts w:ascii="Times New Roman" w:eastAsia="Times New Roman" w:hAnsi="Times New Roman" w:cs="Times New Roman"/>
            <w:color w:val="0000FF"/>
            <w:sz w:val="24"/>
            <w:szCs w:val="24"/>
            <w:u w:val="single"/>
          </w:rPr>
          <w:t>https://doi.org/10.1016/j.schres.2009.12.009</w:t>
        </w:r>
      </w:hyperlink>
    </w:p>
    <w:p w14:paraId="6ADB14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Longo, C. A., Kerr, E. N., &amp; Smith, M. L. (2013). Executive functioning in children with intractable frontal lobe or temporal lobe epilepsy.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 102–108. </w:t>
      </w:r>
      <w:hyperlink r:id="rId3463" w:history="1">
        <w:r w:rsidRPr="00896AA2">
          <w:rPr>
            <w:rFonts w:ascii="Times New Roman" w:eastAsia="Times New Roman" w:hAnsi="Times New Roman" w:cs="Times New Roman"/>
            <w:color w:val="0000FF"/>
            <w:sz w:val="24"/>
            <w:szCs w:val="24"/>
            <w:u w:val="single"/>
          </w:rPr>
          <w:t>https://doi.org/10.1016/j.yebeh.2012.11.003</w:t>
        </w:r>
      </w:hyperlink>
    </w:p>
    <w:p w14:paraId="71AC0C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Looby, A., Zimmerman, L., &amp; Livingston, N. R. (2021). Expectation for stimulant type modifies caffeine’s effects on mood and cognition among college students. </w:t>
      </w:r>
      <w:r w:rsidRPr="00896AA2">
        <w:rPr>
          <w:rFonts w:ascii="Times New Roman" w:eastAsia="Times New Roman" w:hAnsi="Times New Roman" w:cs="Times New Roman"/>
          <w:i/>
          <w:iCs/>
          <w:sz w:val="24"/>
          <w:szCs w:val="24"/>
        </w:rPr>
        <w:t>Experimental and Clinical Psychopharmacology</w:t>
      </w:r>
      <w:r w:rsidRPr="00896AA2">
        <w:rPr>
          <w:rFonts w:ascii="Times New Roman" w:eastAsia="Times New Roman" w:hAnsi="Times New Roman" w:cs="Times New Roman"/>
          <w:sz w:val="24"/>
          <w:szCs w:val="24"/>
        </w:rPr>
        <w:t xml:space="preserve">, No Pagination Specified-No Pagination Specified. </w:t>
      </w:r>
      <w:hyperlink r:id="rId3464" w:history="1">
        <w:r w:rsidRPr="00896AA2">
          <w:rPr>
            <w:rFonts w:ascii="Times New Roman" w:eastAsia="Times New Roman" w:hAnsi="Times New Roman" w:cs="Times New Roman"/>
            <w:color w:val="0000FF"/>
            <w:sz w:val="24"/>
            <w:szCs w:val="24"/>
            <w:u w:val="single"/>
          </w:rPr>
          <w:t>https://doi.org/10.1037/pha0000448</w:t>
        </w:r>
      </w:hyperlink>
    </w:p>
    <w:p w14:paraId="7057B9E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Lopes, B. M., Gonçalves, P. D., Ometto, M., dos Santos, B., Cavallet, M., Chaim-Avancini, T. M., Serpa, M. H., Nicastri, S., Malbergier, A., Busatto, G. F., de Andrade, A. G., &amp; Cunha, P. J. (2017). Distinct cognitive performance and patterns of drug use among early and late onset cocaine users.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 41–47. </w:t>
      </w:r>
      <w:hyperlink r:id="rId3465" w:history="1">
        <w:r w:rsidRPr="00896AA2">
          <w:rPr>
            <w:rFonts w:ascii="Times New Roman" w:eastAsia="Times New Roman" w:hAnsi="Times New Roman" w:cs="Times New Roman"/>
            <w:color w:val="0000FF"/>
            <w:sz w:val="24"/>
            <w:szCs w:val="24"/>
            <w:u w:val="single"/>
          </w:rPr>
          <w:t>https://doi.org/10.1016/j.addbeh.2017.04.013</w:t>
        </w:r>
      </w:hyperlink>
    </w:p>
    <w:p w14:paraId="708473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Lopes, R. M. F., &amp; de Lima Argimon, I. I. (2016). Cognitive training in the elderly and its effect on the executive functions. </w:t>
      </w:r>
      <w:r w:rsidRPr="00896AA2">
        <w:rPr>
          <w:rFonts w:ascii="Times New Roman" w:eastAsia="Times New Roman" w:hAnsi="Times New Roman" w:cs="Times New Roman"/>
          <w:i/>
          <w:iCs/>
          <w:sz w:val="24"/>
          <w:szCs w:val="24"/>
        </w:rPr>
        <w:t>Acta Colombiana de Psicología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(2), 159–176. </w:t>
      </w:r>
      <w:hyperlink r:id="rId3466" w:history="1">
        <w:r w:rsidRPr="00896AA2">
          <w:rPr>
            <w:rFonts w:ascii="Times New Roman" w:eastAsia="Times New Roman" w:hAnsi="Times New Roman" w:cs="Times New Roman"/>
            <w:color w:val="0000FF"/>
            <w:sz w:val="24"/>
            <w:szCs w:val="24"/>
            <w:u w:val="single"/>
          </w:rPr>
          <w:t>https://doi.org/10.14718/ACP.2016.19.2.8</w:t>
        </w:r>
      </w:hyperlink>
    </w:p>
    <w:p w14:paraId="244309C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Lopez, B. R., Lincoln, A. J., Ozonoff, S., &amp; Lai, Z. (2005). Examining the Relationship between Executive Functions and Restricted, Repetitive Symptoms of Autistic Disorder. </w:t>
      </w:r>
      <w:r w:rsidRPr="00896AA2">
        <w:rPr>
          <w:rFonts w:ascii="Times New Roman" w:eastAsia="Times New Roman" w:hAnsi="Times New Roman" w:cs="Times New Roman"/>
          <w:i/>
          <w:iCs/>
          <w:sz w:val="24"/>
          <w:szCs w:val="24"/>
        </w:rPr>
        <w:t>Journal of Autism and Developmental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(4), 445–460. </w:t>
      </w:r>
      <w:hyperlink r:id="rId3467" w:history="1">
        <w:r w:rsidRPr="00896AA2">
          <w:rPr>
            <w:rFonts w:ascii="Times New Roman" w:eastAsia="Times New Roman" w:hAnsi="Times New Roman" w:cs="Times New Roman"/>
            <w:color w:val="0000FF"/>
            <w:sz w:val="24"/>
            <w:szCs w:val="24"/>
            <w:u w:val="single"/>
          </w:rPr>
          <w:t>https://doi.org/10.1007/s10803-005-5035-x</w:t>
        </w:r>
      </w:hyperlink>
    </w:p>
    <w:p w14:paraId="3ADA99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 M. E., Pusil, S., Pereda, E., Maestú, F., &amp; Barceló, F. (2019). Dynamic low frequency EEG phase synchronization patterns during proactive control of task switching.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186</w:t>
      </w:r>
      <w:r w:rsidRPr="00896AA2">
        <w:rPr>
          <w:rFonts w:ascii="Times New Roman" w:eastAsia="Times New Roman" w:hAnsi="Times New Roman" w:cs="Times New Roman"/>
          <w:sz w:val="24"/>
          <w:szCs w:val="24"/>
        </w:rPr>
        <w:t xml:space="preserve">, 70–82. </w:t>
      </w:r>
      <w:hyperlink r:id="rId3468" w:history="1">
        <w:r w:rsidRPr="00896AA2">
          <w:rPr>
            <w:rFonts w:ascii="Times New Roman" w:eastAsia="Times New Roman" w:hAnsi="Times New Roman" w:cs="Times New Roman"/>
            <w:color w:val="0000FF"/>
            <w:sz w:val="24"/>
            <w:szCs w:val="24"/>
            <w:u w:val="single"/>
          </w:rPr>
          <w:t>https://doi.org/10.1016/j.neuroimage.2018.10.068</w:t>
        </w:r>
      </w:hyperlink>
    </w:p>
    <w:p w14:paraId="6F440E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López-Góngora, M., Querol, L., &amp; Escartín, A. (2015). A one-year follow-up study of the Symbol Digit Modalities Test (SDMT) and the Paced Auditory Serial Addition Test (PASAT) in relapsing-remitting multiple sclerosis: An appraisal of comparative longitudinal sensitivity. </w:t>
      </w:r>
      <w:r w:rsidRPr="00896AA2">
        <w:rPr>
          <w:rFonts w:ascii="Times New Roman" w:eastAsia="Times New Roman" w:hAnsi="Times New Roman" w:cs="Times New Roman"/>
          <w:i/>
          <w:iCs/>
          <w:sz w:val="24"/>
          <w:szCs w:val="24"/>
        </w:rPr>
        <w:t>BMC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w:t>
      </w:r>
    </w:p>
    <w:p w14:paraId="20DCDA4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López-Jaramillo, C., Lopera-Vásquez, J., Gallo, A., Ospina-Duque, J., Bell, V., Torrent, C., Martínez-Arán, A., &amp; Vieta, E. (2010). Effects of recurrence on the cognitive performance of patients with bipolar I disorder: Implications for relapse prevention and treatment adherence.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(5), 557–567. </w:t>
      </w:r>
      <w:hyperlink r:id="rId3469" w:history="1">
        <w:r w:rsidRPr="00896AA2">
          <w:rPr>
            <w:rFonts w:ascii="Times New Roman" w:eastAsia="Times New Roman" w:hAnsi="Times New Roman" w:cs="Times New Roman"/>
            <w:color w:val="0000FF"/>
            <w:sz w:val="24"/>
            <w:szCs w:val="24"/>
            <w:u w:val="single"/>
          </w:rPr>
          <w:t>https://doi.org/10.1111/j.1399-5618.2010.00835.x</w:t>
        </w:r>
      </w:hyperlink>
    </w:p>
    <w:p w14:paraId="53AE948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López-Jaramillo, C., Lopera-Vásquez, J., Ospina-Duque, J., García, J., Gallo, A., Cortez, V., Palacio, C., Torrent, C., Martínez-Arán, A., &amp; Vieta, E. (2010). Lithium treatment effects on the neuropsychological functioning of patients with bipolar I disorder.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71</w:t>
      </w:r>
      <w:r w:rsidRPr="00896AA2">
        <w:rPr>
          <w:rFonts w:ascii="Times New Roman" w:eastAsia="Times New Roman" w:hAnsi="Times New Roman" w:cs="Times New Roman"/>
          <w:sz w:val="24"/>
          <w:szCs w:val="24"/>
        </w:rPr>
        <w:t xml:space="preserve">(8), 1055–1060. </w:t>
      </w:r>
      <w:hyperlink r:id="rId3470" w:history="1">
        <w:r w:rsidRPr="00896AA2">
          <w:rPr>
            <w:rFonts w:ascii="Times New Roman" w:eastAsia="Times New Roman" w:hAnsi="Times New Roman" w:cs="Times New Roman"/>
            <w:color w:val="0000FF"/>
            <w:sz w:val="24"/>
            <w:szCs w:val="24"/>
            <w:u w:val="single"/>
          </w:rPr>
          <w:t>https://doi.org/10.4088/JCP.08m04673yel</w:t>
        </w:r>
      </w:hyperlink>
    </w:p>
    <w:p w14:paraId="6B841A5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López-Luengo, B., &amp; Vázquez, C. (2003). Effects of Attention Process Training on cognitive functioning of schizophrenic patients.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(1–2), 41–53. </w:t>
      </w:r>
      <w:hyperlink r:id="rId3471" w:history="1">
        <w:r w:rsidRPr="00896AA2">
          <w:rPr>
            <w:rFonts w:ascii="Times New Roman" w:eastAsia="Times New Roman" w:hAnsi="Times New Roman" w:cs="Times New Roman"/>
            <w:color w:val="0000FF"/>
            <w:sz w:val="24"/>
            <w:szCs w:val="24"/>
            <w:u w:val="single"/>
          </w:rPr>
          <w:t>https://doi.org/10.1016/S0165-1781(03)00102-1</w:t>
        </w:r>
      </w:hyperlink>
    </w:p>
    <w:p w14:paraId="45F350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Lopez-Vergara, H. I., &amp; Colder, C. R. (2013). An examination of the specificity of motivation and executive functioning in ADHD symptom-clusters in adolescence. </w:t>
      </w:r>
      <w:r w:rsidRPr="00896AA2">
        <w:rPr>
          <w:rFonts w:ascii="Times New Roman" w:eastAsia="Times New Roman" w:hAnsi="Times New Roman" w:cs="Times New Roman"/>
          <w:i/>
          <w:iCs/>
          <w:sz w:val="24"/>
          <w:szCs w:val="24"/>
        </w:rPr>
        <w:t>Journal of Pediatric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(10), 1081–1090. </w:t>
      </w:r>
      <w:hyperlink r:id="rId3472" w:history="1">
        <w:r w:rsidRPr="00896AA2">
          <w:rPr>
            <w:rFonts w:ascii="Times New Roman" w:eastAsia="Times New Roman" w:hAnsi="Times New Roman" w:cs="Times New Roman"/>
            <w:color w:val="0000FF"/>
            <w:sz w:val="24"/>
            <w:szCs w:val="24"/>
            <w:u w:val="single"/>
          </w:rPr>
          <w:t>https://doi.org/10.1093/jpepsy/jst050</w:t>
        </w:r>
      </w:hyperlink>
    </w:p>
    <w:p w14:paraId="2269D07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López-Villarreal, A., Sánchez-Morla, E. M., Jiménez-López, E., Martínez-Vizcaíno, V., Aparicio, A. I., Mateo-Sotos, J., Rodriguez-Jimenez, R., Vieta, E., &amp; Santos, J. L. (2020a). Predictive factors of functional outcome in patients with bipolar I disorder: A five-year follow-up.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272</w:t>
      </w:r>
      <w:r w:rsidRPr="00896AA2">
        <w:rPr>
          <w:rFonts w:ascii="Times New Roman" w:eastAsia="Times New Roman" w:hAnsi="Times New Roman" w:cs="Times New Roman"/>
          <w:sz w:val="24"/>
          <w:szCs w:val="24"/>
        </w:rPr>
        <w:t xml:space="preserve">, 249–258. </w:t>
      </w:r>
      <w:hyperlink r:id="rId3473" w:history="1">
        <w:r w:rsidRPr="00896AA2">
          <w:rPr>
            <w:rFonts w:ascii="Times New Roman" w:eastAsia="Times New Roman" w:hAnsi="Times New Roman" w:cs="Times New Roman"/>
            <w:color w:val="0000FF"/>
            <w:sz w:val="24"/>
            <w:szCs w:val="24"/>
            <w:u w:val="single"/>
          </w:rPr>
          <w:t>https://doi.org/10.1016/j.jad.2020.03.140</w:t>
        </w:r>
      </w:hyperlink>
    </w:p>
    <w:p w14:paraId="506E34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López-Villarreal, A., Sánchez-Morla, E. M., Jiménez-López, E., Martínez-Vizcaíno, V., Aparicio, A. I., Mateo-Sotos, J., Rodriguez-Jimenez, R., Vieta, E., &amp; Santos, J. L. (2020b). Progression of the functional deficit in a group of patients with bipolar disorder: A cluster analysis based on longitudinal data.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270</w:t>
      </w:r>
      <w:r w:rsidRPr="00896AA2">
        <w:rPr>
          <w:rFonts w:ascii="Times New Roman" w:eastAsia="Times New Roman" w:hAnsi="Times New Roman" w:cs="Times New Roman"/>
          <w:sz w:val="24"/>
          <w:szCs w:val="24"/>
        </w:rPr>
        <w:t xml:space="preserve">(8), 947–957. </w:t>
      </w:r>
      <w:hyperlink r:id="rId3474" w:history="1">
        <w:r w:rsidRPr="00896AA2">
          <w:rPr>
            <w:rFonts w:ascii="Times New Roman" w:eastAsia="Times New Roman" w:hAnsi="Times New Roman" w:cs="Times New Roman"/>
            <w:color w:val="0000FF"/>
            <w:sz w:val="24"/>
            <w:szCs w:val="24"/>
            <w:u w:val="single"/>
          </w:rPr>
          <w:t>https://doi.org/10.1007/s00406-019-01050-9</w:t>
        </w:r>
      </w:hyperlink>
    </w:p>
    <w:p w14:paraId="2ED753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Loring, D. W., &amp; Goldstein, F. C. (2019). If invalid PVT scores are obtained, can valid neuropsychological profiles be believed?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(7), 1192–1202. </w:t>
      </w:r>
      <w:hyperlink r:id="rId3475" w:history="1">
        <w:r w:rsidRPr="00896AA2">
          <w:rPr>
            <w:rFonts w:ascii="Times New Roman" w:eastAsia="Times New Roman" w:hAnsi="Times New Roman" w:cs="Times New Roman"/>
            <w:color w:val="0000FF"/>
            <w:sz w:val="24"/>
            <w:szCs w:val="24"/>
            <w:u w:val="single"/>
          </w:rPr>
          <w:t>https://doi.org/10.1093/arclin/acz028</w:t>
        </w:r>
      </w:hyperlink>
    </w:p>
    <w:p w14:paraId="15B467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Lošák, J., Hüttlová, J., Lipová, P., Mareček, R., Bareš, M., Filip, P., Žůbor, J., Ustohal, L., Vaníček, J., &amp; Kašpárek, T. (2016). Predictive motor timing and the cerebellar vermis in schizophrenia: An fMRI study.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(6), 1517–1527. </w:t>
      </w:r>
      <w:hyperlink r:id="rId3476" w:history="1">
        <w:r w:rsidRPr="00896AA2">
          <w:rPr>
            <w:rFonts w:ascii="Times New Roman" w:eastAsia="Times New Roman" w:hAnsi="Times New Roman" w:cs="Times New Roman"/>
            <w:color w:val="0000FF"/>
            <w:sz w:val="24"/>
            <w:szCs w:val="24"/>
            <w:u w:val="single"/>
          </w:rPr>
          <w:t>https://doi.org/10.1093/schbul/sbw065</w:t>
        </w:r>
      </w:hyperlink>
    </w:p>
    <w:p w14:paraId="44EDE4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Louchart-de la Chapelle, S., Nkam, I., Houy, E., Belmont, A., Ménard, J.-F., Roussignol, A.-C., Siwek, O., Mezerai, M., Guillermou, M., Fouldrin, G., Levillain, D., Dollfus, S., Campion, D., &amp; Thibaut, F. (2005). A Concordance Study of Three Electrophysiological Measures in Schizophrenia.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162</w:t>
      </w:r>
      <w:r w:rsidRPr="00896AA2">
        <w:rPr>
          <w:rFonts w:ascii="Times New Roman" w:eastAsia="Times New Roman" w:hAnsi="Times New Roman" w:cs="Times New Roman"/>
          <w:sz w:val="24"/>
          <w:szCs w:val="24"/>
        </w:rPr>
        <w:t xml:space="preserve">(3), 466–474. </w:t>
      </w:r>
      <w:hyperlink r:id="rId3477" w:history="1">
        <w:r w:rsidRPr="00896AA2">
          <w:rPr>
            <w:rFonts w:ascii="Times New Roman" w:eastAsia="Times New Roman" w:hAnsi="Times New Roman" w:cs="Times New Roman"/>
            <w:color w:val="0000FF"/>
            <w:sz w:val="24"/>
            <w:szCs w:val="24"/>
            <w:u w:val="single"/>
          </w:rPr>
          <w:t>https://doi.org/10.1176/appi.ajp.162.3.466</w:t>
        </w:r>
      </w:hyperlink>
    </w:p>
    <w:p w14:paraId="7573396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Allen, A., Perna, R., &amp; Malkin, M. G. (2016). Anti-N-Methyl-D-Aspartate Receptor Encephalitis: A Review and Neuropsychological Case Study.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150–163. </w:t>
      </w:r>
      <w:hyperlink r:id="rId3478" w:history="1">
        <w:r w:rsidRPr="00896AA2">
          <w:rPr>
            <w:rFonts w:ascii="Times New Roman" w:eastAsia="Times New Roman" w:hAnsi="Times New Roman" w:cs="Times New Roman"/>
            <w:color w:val="0000FF"/>
            <w:sz w:val="24"/>
            <w:szCs w:val="24"/>
            <w:u w:val="single"/>
          </w:rPr>
          <w:t>https://doi.org/10.1080/13854046.2015.1132772</w:t>
        </w:r>
      </w:hyperlink>
    </w:p>
    <w:p w14:paraId="606DE2D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&amp; Perna, R. (2014). Neuropsychological profiles and subsequent diagnoses of children with early life insults: Do caregiver reports suggest deficits? </w:t>
      </w:r>
      <w:r w:rsidRPr="00896AA2">
        <w:rPr>
          <w:rFonts w:ascii="Times New Roman" w:eastAsia="Times New Roman" w:hAnsi="Times New Roman" w:cs="Times New Roman"/>
          <w:i/>
          <w:iCs/>
          <w:sz w:val="24"/>
          <w:szCs w:val="24"/>
        </w:rPr>
        <w:t>Applied Neuropsychology: Child</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 73–80.</w:t>
      </w:r>
    </w:p>
    <w:p w14:paraId="72A3EB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Perna, R., &amp; Hertza, J. (2012). The value of the Wechsler Intelligence Scale for Children-Fourth Edition Digit Span as an embedded measure of effort: An investigation into children with dual diagnoses.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(7), 716–724. </w:t>
      </w:r>
      <w:hyperlink r:id="rId3479" w:history="1">
        <w:r w:rsidRPr="00896AA2">
          <w:rPr>
            <w:rFonts w:ascii="Times New Roman" w:eastAsia="Times New Roman" w:hAnsi="Times New Roman" w:cs="Times New Roman"/>
            <w:color w:val="0000FF"/>
            <w:sz w:val="24"/>
            <w:szCs w:val="24"/>
            <w:u w:val="single"/>
          </w:rPr>
          <w:t>https://doi.org/10.1093/arclin/acs072</w:t>
        </w:r>
      </w:hyperlink>
    </w:p>
    <w:p w14:paraId="157D64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Loughan, A. R., Perna, R., &amp; Hertza, J. (2014). Cognitive impairment and memory loss associated with histoplasmosis: A case study.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(3), 514–524. </w:t>
      </w:r>
      <w:hyperlink r:id="rId3480" w:history="1">
        <w:r w:rsidRPr="00896AA2">
          <w:rPr>
            <w:rFonts w:ascii="Times New Roman" w:eastAsia="Times New Roman" w:hAnsi="Times New Roman" w:cs="Times New Roman"/>
            <w:color w:val="0000FF"/>
            <w:sz w:val="24"/>
            <w:szCs w:val="24"/>
            <w:u w:val="single"/>
          </w:rPr>
          <w:t>https://doi.org/10.1080/13854046.2014.902107</w:t>
        </w:r>
      </w:hyperlink>
    </w:p>
    <w:p w14:paraId="068882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 J. M. (2003). </w:t>
      </w:r>
      <w:r w:rsidRPr="00896AA2">
        <w:rPr>
          <w:rFonts w:ascii="Times New Roman" w:eastAsia="Times New Roman" w:hAnsi="Times New Roman" w:cs="Times New Roman"/>
          <w:i/>
          <w:iCs/>
          <w:sz w:val="24"/>
          <w:szCs w:val="24"/>
        </w:rPr>
        <w:t>A prefrontal profile of impulsivity: A neuropsychological approach.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64</w:t>
      </w:r>
      <w:r w:rsidRPr="00896AA2">
        <w:rPr>
          <w:rFonts w:ascii="Times New Roman" w:eastAsia="Times New Roman" w:hAnsi="Times New Roman" w:cs="Times New Roman"/>
          <w:sz w:val="24"/>
          <w:szCs w:val="24"/>
        </w:rPr>
        <w:t>(5-B), 2432–2432.</w:t>
      </w:r>
    </w:p>
    <w:p w14:paraId="3E05D7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 J. M., Greve, K. W., Sherwin, E., &amp; Mathias, C. (2003). Comparability of the standard WCST and WCST-64 in traumatic brain injury.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(4), 246–251. </w:t>
      </w:r>
      <w:hyperlink r:id="rId3481" w:history="1">
        <w:r w:rsidRPr="00896AA2">
          <w:rPr>
            <w:rFonts w:ascii="Times New Roman" w:eastAsia="Times New Roman" w:hAnsi="Times New Roman" w:cs="Times New Roman"/>
            <w:color w:val="0000FF"/>
            <w:sz w:val="24"/>
            <w:szCs w:val="24"/>
            <w:u w:val="single"/>
          </w:rPr>
          <w:t>https://doi.org/10.1207/s15324826an1004_7</w:t>
        </w:r>
      </w:hyperlink>
    </w:p>
    <w:p w14:paraId="0131FFB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Loveday, C., &amp; Edginton, T. (2011). Spina bifida and hydrocephalus. </w:t>
      </w:r>
      <w:r w:rsidRPr="00896AA2">
        <w:rPr>
          <w:rFonts w:ascii="Times New Roman" w:eastAsia="Times New Roman" w:hAnsi="Times New Roman" w:cs="Times New Roman"/>
          <w:i/>
          <w:iCs/>
          <w:sz w:val="24"/>
          <w:szCs w:val="24"/>
        </w:rPr>
        <w:t>Handbook of Pediatric Neuropsychology.</w:t>
      </w:r>
      <w:r w:rsidRPr="00896AA2">
        <w:rPr>
          <w:rFonts w:ascii="Times New Roman" w:eastAsia="Times New Roman" w:hAnsi="Times New Roman" w:cs="Times New Roman"/>
          <w:sz w:val="24"/>
          <w:szCs w:val="24"/>
        </w:rPr>
        <w:t>, 769–782.</w:t>
      </w:r>
    </w:p>
    <w:p w14:paraId="762C07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Lovell, M. R., &amp; Pardini, J. E. (2005). A Rising Star Too Quickly Fades: Mismanagement of Sport-Related Concussion. In </w:t>
      </w:r>
      <w:r w:rsidRPr="00896AA2">
        <w:rPr>
          <w:rFonts w:ascii="Times New Roman" w:eastAsia="Times New Roman" w:hAnsi="Times New Roman" w:cs="Times New Roman"/>
          <w:i/>
          <w:iCs/>
          <w:sz w:val="24"/>
          <w:szCs w:val="24"/>
        </w:rPr>
        <w:t>Forensic neuropsychology casebook.</w:t>
      </w:r>
      <w:r w:rsidRPr="00896AA2">
        <w:rPr>
          <w:rFonts w:ascii="Times New Roman" w:eastAsia="Times New Roman" w:hAnsi="Times New Roman" w:cs="Times New Roman"/>
          <w:sz w:val="24"/>
          <w:szCs w:val="24"/>
        </w:rPr>
        <w:t xml:space="preserve"> (pp. 118–131). The Guilford Press.</w:t>
      </w:r>
    </w:p>
    <w:p w14:paraId="1217ED1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Lozachmeur, C., Drapier, S., Robert, G., Dondaine, T., Laviolle, B., Sauleau, P., Peron, J., Le Jeune, F., Travers, D., Millet, B., Vérin, M., &amp; Drapier, D. (2014). Pallidal stimulation in Parkinson’s disease does not induce apathy.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(3), 221–226. </w:t>
      </w:r>
      <w:hyperlink r:id="rId3482" w:history="1">
        <w:r w:rsidRPr="00896AA2">
          <w:rPr>
            <w:rFonts w:ascii="Times New Roman" w:eastAsia="Times New Roman" w:hAnsi="Times New Roman" w:cs="Times New Roman"/>
            <w:color w:val="0000FF"/>
            <w:sz w:val="24"/>
            <w:szCs w:val="24"/>
            <w:u w:val="single"/>
          </w:rPr>
          <w:t>https://doi.org/10.1176/appi.neuropsych.13020032</w:t>
        </w:r>
      </w:hyperlink>
    </w:p>
    <w:p w14:paraId="3AF08A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Lozano-Serra, E., Andrés-Perpiña, S., Lázaro-García, L., &amp; Castro-Fornieles, J. (2014). Adolescent anorexia nervosa: Cognitive performance after weight recovery. </w:t>
      </w:r>
      <w:r w:rsidRPr="00896AA2">
        <w:rPr>
          <w:rFonts w:ascii="Times New Roman" w:eastAsia="Times New Roman" w:hAnsi="Times New Roman" w:cs="Times New Roman"/>
          <w:i/>
          <w:iCs/>
          <w:sz w:val="24"/>
          <w:szCs w:val="24"/>
        </w:rPr>
        <w:t>Journal of Psychosomatic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(1), 6–11. </w:t>
      </w:r>
      <w:hyperlink r:id="rId3483" w:history="1">
        <w:r w:rsidRPr="00896AA2">
          <w:rPr>
            <w:rFonts w:ascii="Times New Roman" w:eastAsia="Times New Roman" w:hAnsi="Times New Roman" w:cs="Times New Roman"/>
            <w:color w:val="0000FF"/>
            <w:sz w:val="24"/>
            <w:szCs w:val="24"/>
            <w:u w:val="single"/>
          </w:rPr>
          <w:t>https://doi.org/10.1016/j.jpsychores.2013.10.009</w:t>
        </w:r>
      </w:hyperlink>
    </w:p>
    <w:p w14:paraId="38FCC6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H., Li, Y., Li, F., Jiao, X., Shi, W., Guo, K., &amp; Liu, P. (2012). Randomized controlled trial on adjunctive cognitive remediation therapy for chronically hospitalized patients with schizophrenia. </w:t>
      </w:r>
      <w:r w:rsidRPr="00896AA2">
        <w:rPr>
          <w:rFonts w:ascii="Times New Roman" w:eastAsia="Times New Roman" w:hAnsi="Times New Roman" w:cs="Times New Roman"/>
          <w:i/>
          <w:iCs/>
          <w:sz w:val="24"/>
          <w:szCs w:val="24"/>
        </w:rPr>
        <w:t>Shanghai Archives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(3), 149–154.</w:t>
      </w:r>
    </w:p>
    <w:p w14:paraId="545DE3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J., Bao, J.-X., &amp; Xu, X.-F. (2016). Relationship of prospective memory performance and sleep in patients with schizophrenia. [Relationship of prospective memory performance and sleep in patients with schizophrenia.].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(2), 115–120.</w:t>
      </w:r>
    </w:p>
    <w:p w14:paraId="30E17F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R.-B., Chang, Y.-H., Wang, T.-Y., Lee, S.-Y., Chen, P. S., &amp; Yang, Y. K. (2018). The aldehyde dehydrogenase 2 polymorphisms on neuropsychological performance in bipolar II disorder with or without comorbid anxiety disorder.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(2). </w:t>
      </w:r>
      <w:hyperlink r:id="rId3484" w:history="1">
        <w:r w:rsidRPr="00896AA2">
          <w:rPr>
            <w:rFonts w:ascii="Times New Roman" w:eastAsia="Times New Roman" w:hAnsi="Times New Roman" w:cs="Times New Roman"/>
            <w:color w:val="0000FF"/>
            <w:sz w:val="24"/>
            <w:szCs w:val="24"/>
            <w:u w:val="single"/>
          </w:rPr>
          <w:t>https://doi.org/10.1371/journal.pone.0192229</w:t>
        </w:r>
      </w:hyperlink>
    </w:p>
    <w:p w14:paraId="55D9D4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R.-B., Lee, S.-Y., Wang, T.-Y., Chang, Y.-H., Chen, P.-S., Yang, Y.-K., Hong, J.-S., &amp; Chen, S.-L. (2017). Long-term heroin use was associated with the downregulation of systemic platelets, BDNF, and TGF-β1, and it contributed to the disruption of executive function in Taiwanese Han Chinese.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179</w:t>
      </w:r>
      <w:r w:rsidRPr="00896AA2">
        <w:rPr>
          <w:rFonts w:ascii="Times New Roman" w:eastAsia="Times New Roman" w:hAnsi="Times New Roman" w:cs="Times New Roman"/>
          <w:sz w:val="24"/>
          <w:szCs w:val="24"/>
        </w:rPr>
        <w:t xml:space="preserve">, 139–145. </w:t>
      </w:r>
      <w:hyperlink r:id="rId3485" w:history="1">
        <w:r w:rsidRPr="00896AA2">
          <w:rPr>
            <w:rFonts w:ascii="Times New Roman" w:eastAsia="Times New Roman" w:hAnsi="Times New Roman" w:cs="Times New Roman"/>
            <w:color w:val="0000FF"/>
            <w:sz w:val="24"/>
            <w:szCs w:val="24"/>
            <w:u w:val="single"/>
          </w:rPr>
          <w:t>https://doi.org/10.1016/j.drugalcdep.2017.06.035</w:t>
        </w:r>
      </w:hyperlink>
    </w:p>
    <w:p w14:paraId="20C44C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Y.-C., &amp; Lung, F.-W. (2012). Perceived parental attachment, personality characteristics, and cognition in male incest. </w:t>
      </w:r>
      <w:r w:rsidRPr="00896AA2">
        <w:rPr>
          <w:rFonts w:ascii="Times New Roman" w:eastAsia="Times New Roman" w:hAnsi="Times New Roman" w:cs="Times New Roman"/>
          <w:i/>
          <w:iCs/>
          <w:sz w:val="24"/>
          <w:szCs w:val="24"/>
        </w:rPr>
        <w:t>International Journal of Offender Therapy and Comparative Criminology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(4), 557–572. </w:t>
      </w:r>
      <w:hyperlink r:id="rId3486" w:history="1">
        <w:r w:rsidRPr="00896AA2">
          <w:rPr>
            <w:rFonts w:ascii="Times New Roman" w:eastAsia="Times New Roman" w:hAnsi="Times New Roman" w:cs="Times New Roman"/>
            <w:color w:val="0000FF"/>
            <w:sz w:val="24"/>
            <w:szCs w:val="24"/>
            <w:u w:val="single"/>
          </w:rPr>
          <w:t>https://doi.org/10.1177/0306624X11402166</w:t>
        </w:r>
      </w:hyperlink>
    </w:p>
    <w:p w14:paraId="25A866A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 Z., &amp; Heeramun-Aubeeluck, A. (2012). Cognitive markers in schizophrenia prodrome: A review. </w:t>
      </w:r>
      <w:r w:rsidRPr="00896AA2">
        <w:rPr>
          <w:rFonts w:ascii="Times New Roman" w:eastAsia="Times New Roman" w:hAnsi="Times New Roman" w:cs="Times New Roman"/>
          <w:i/>
          <w:iCs/>
          <w:sz w:val="24"/>
          <w:szCs w:val="24"/>
        </w:rPr>
        <w:t>ASEAN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(2), 176–196.</w:t>
      </w:r>
    </w:p>
    <w:p w14:paraId="4877BD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Lubeiro, A., de Luis-García, R., Rodríguez, M., Álvarez, A., de la Red, H., &amp; Molina, V. (2017). Biological and cognitive correlates of cortical curvature in schizophrenia.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270</w:t>
      </w:r>
      <w:r w:rsidRPr="00896AA2">
        <w:rPr>
          <w:rFonts w:ascii="Times New Roman" w:eastAsia="Times New Roman" w:hAnsi="Times New Roman" w:cs="Times New Roman"/>
          <w:sz w:val="24"/>
          <w:szCs w:val="24"/>
        </w:rPr>
        <w:t xml:space="preserve">, 68–75. </w:t>
      </w:r>
      <w:hyperlink r:id="rId3487" w:history="1">
        <w:r w:rsidRPr="00896AA2">
          <w:rPr>
            <w:rFonts w:ascii="Times New Roman" w:eastAsia="Times New Roman" w:hAnsi="Times New Roman" w:cs="Times New Roman"/>
            <w:color w:val="0000FF"/>
            <w:sz w:val="24"/>
            <w:szCs w:val="24"/>
            <w:u w:val="single"/>
          </w:rPr>
          <w:t>https://doi.org/10.1016/j.pscychresns.2017.10.011</w:t>
        </w:r>
      </w:hyperlink>
    </w:p>
    <w:p w14:paraId="34AEFD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H. D., Duff, M. C., &amp; Cohen, N. J. (2019). The hippocampus promotes effective saccadic information gathering in humans. </w:t>
      </w:r>
      <w:r w:rsidRPr="00896AA2">
        <w:rPr>
          <w:rFonts w:ascii="Times New Roman" w:eastAsia="Times New Roman" w:hAnsi="Times New Roman" w:cs="Times New Roman"/>
          <w:i/>
          <w:iCs/>
          <w:sz w:val="24"/>
          <w:szCs w:val="24"/>
        </w:rPr>
        <w:t>Journal of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(2), 186–201. </w:t>
      </w:r>
      <w:hyperlink r:id="rId3488" w:history="1">
        <w:r w:rsidRPr="00896AA2">
          <w:rPr>
            <w:rFonts w:ascii="Times New Roman" w:eastAsia="Times New Roman" w:hAnsi="Times New Roman" w:cs="Times New Roman"/>
            <w:color w:val="0000FF"/>
            <w:sz w:val="24"/>
            <w:szCs w:val="24"/>
            <w:u w:val="single"/>
          </w:rPr>
          <w:t>https://doi.org/10.1162/jocn_a_01336</w:t>
        </w:r>
      </w:hyperlink>
    </w:p>
    <w:p w14:paraId="3842AA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M., &amp; Buchanan, C. (2012). The Tinker Toy Test as a measure of the dysexecutive syndrome in those from differing socio-economic backgrounds. </w:t>
      </w:r>
      <w:r w:rsidRPr="00896AA2">
        <w:rPr>
          <w:rFonts w:ascii="Times New Roman" w:eastAsia="Times New Roman" w:hAnsi="Times New Roman" w:cs="Times New Roman"/>
          <w:i/>
          <w:iCs/>
          <w:sz w:val="24"/>
          <w:szCs w:val="24"/>
        </w:rPr>
        <w:t>South African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(3), 381–388. </w:t>
      </w:r>
      <w:hyperlink r:id="rId3489" w:history="1">
        <w:r w:rsidRPr="00896AA2">
          <w:rPr>
            <w:rFonts w:ascii="Times New Roman" w:eastAsia="Times New Roman" w:hAnsi="Times New Roman" w:cs="Times New Roman"/>
            <w:color w:val="0000FF"/>
            <w:sz w:val="24"/>
            <w:szCs w:val="24"/>
            <w:u w:val="single"/>
          </w:rPr>
          <w:t>https://doi.org/10.1177/008124631204200310</w:t>
        </w:r>
      </w:hyperlink>
    </w:p>
    <w:p w14:paraId="70A1146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M. D., &amp; Sonnenberg, B. R. (1996). Neuropsychological trends in the Parkinsonism-Plus Syndrome: A pilot study.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 88–97. </w:t>
      </w:r>
      <w:hyperlink r:id="rId3490" w:history="1">
        <w:r w:rsidRPr="00896AA2">
          <w:rPr>
            <w:rFonts w:ascii="Times New Roman" w:eastAsia="Times New Roman" w:hAnsi="Times New Roman" w:cs="Times New Roman"/>
            <w:color w:val="0000FF"/>
            <w:sz w:val="24"/>
            <w:szCs w:val="24"/>
            <w:u w:val="single"/>
          </w:rPr>
          <w:t>https://doi.org/10.1080/01688639608408265</w:t>
        </w:r>
      </w:hyperlink>
    </w:p>
    <w:p w14:paraId="6E97CD5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Lucas, S. K., Redoblado-Hodge, M. A., Shores, E. A., Brennan, J., &amp; Harris, A. (2009). Factors associated with functional psychosocial status in first-episode psychosis. </w:t>
      </w:r>
      <w:r w:rsidRPr="00896AA2">
        <w:rPr>
          <w:rFonts w:ascii="Times New Roman" w:eastAsia="Times New Roman" w:hAnsi="Times New Roman" w:cs="Times New Roman"/>
          <w:i/>
          <w:iCs/>
          <w:sz w:val="24"/>
          <w:szCs w:val="24"/>
        </w:rPr>
        <w:t>Early Intervention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 xml:space="preserve">(1), 35–43. </w:t>
      </w:r>
      <w:hyperlink r:id="rId3491" w:history="1">
        <w:r w:rsidRPr="00896AA2">
          <w:rPr>
            <w:rFonts w:ascii="Times New Roman" w:eastAsia="Times New Roman" w:hAnsi="Times New Roman" w:cs="Times New Roman"/>
            <w:color w:val="0000FF"/>
            <w:sz w:val="24"/>
            <w:szCs w:val="24"/>
            <w:u w:val="single"/>
          </w:rPr>
          <w:t>https://doi.org/10.1111/j.1751-7893.2008.00099.x</w:t>
        </w:r>
      </w:hyperlink>
    </w:p>
    <w:p w14:paraId="50AE5A0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Lucchelli, F., &amp; Papagno, C. (2005). Is slowly progressive anarthria a “pure” motor-speech disorder? Evidence from writing performance.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(3), 234–241. </w:t>
      </w:r>
      <w:hyperlink r:id="rId3492" w:history="1">
        <w:r w:rsidRPr="00896AA2">
          <w:rPr>
            <w:rFonts w:ascii="Times New Roman" w:eastAsia="Times New Roman" w:hAnsi="Times New Roman" w:cs="Times New Roman"/>
            <w:color w:val="0000FF"/>
            <w:sz w:val="24"/>
            <w:szCs w:val="24"/>
            <w:u w:val="single"/>
          </w:rPr>
          <w:t>https://doi.org/10.1080/13554790590944889</w:t>
        </w:r>
      </w:hyperlink>
    </w:p>
    <w:p w14:paraId="4BBF9D8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Lucey, J. V., Burness, C. E., Costa, D. C., Gacinovic, S., Pilowsky, L. S., Ell, P. J., Marks, I. M., &amp; Kerwin, R. W. (1997). Wisconsin Card Sorting Test (WCST) errors and cerebral blood flow in obsessive–compulsive disorder (OCD). </w:t>
      </w:r>
      <w:r w:rsidRPr="00896AA2">
        <w:rPr>
          <w:rFonts w:ascii="Times New Roman" w:eastAsia="Times New Roman" w:hAnsi="Times New Roman" w:cs="Times New Roman"/>
          <w:i/>
          <w:iCs/>
          <w:sz w:val="24"/>
          <w:szCs w:val="24"/>
        </w:rPr>
        <w:t>British Journal of Medical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(4), 403–411. </w:t>
      </w:r>
      <w:hyperlink r:id="rId3493" w:history="1">
        <w:r w:rsidRPr="00896AA2">
          <w:rPr>
            <w:rFonts w:ascii="Times New Roman" w:eastAsia="Times New Roman" w:hAnsi="Times New Roman" w:cs="Times New Roman"/>
            <w:color w:val="0000FF"/>
            <w:sz w:val="24"/>
            <w:szCs w:val="24"/>
            <w:u w:val="single"/>
          </w:rPr>
          <w:t>https://doi.org/10.1111/j.2044-8341.1997.tb01916.x</w:t>
        </w:r>
      </w:hyperlink>
    </w:p>
    <w:p w14:paraId="110AEA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Lueken, U., Stankevich, Y., Goschke, T., Schläpfer, T. E., Koy, J., Reichmann, H., Storch, A., &amp; Wolz, M. (2014). Einfluss der tiefen hirnstimulation des nucleus subthalamicus auf exekutive funktionen bei patienten mit idiopathischem parkinson-syndrom unter berücksichtigung von apathie, depressivität und stimmung. [Executive task performance under deep brain stimulat. </w:t>
      </w:r>
      <w:r w:rsidRPr="00896AA2">
        <w:rPr>
          <w:rFonts w:ascii="Times New Roman" w:eastAsia="Times New Roman" w:hAnsi="Times New Roman" w:cs="Times New Roman"/>
          <w:i/>
          <w:iCs/>
          <w:sz w:val="24"/>
          <w:szCs w:val="24"/>
        </w:rPr>
        <w:t>Fortschritte Der Neurologie, Psychiatrie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82</w:t>
      </w:r>
      <w:r w:rsidRPr="00896AA2">
        <w:rPr>
          <w:rFonts w:ascii="Times New Roman" w:eastAsia="Times New Roman" w:hAnsi="Times New Roman" w:cs="Times New Roman"/>
          <w:sz w:val="24"/>
          <w:szCs w:val="24"/>
        </w:rPr>
        <w:t xml:space="preserve">(7), 386–393. </w:t>
      </w:r>
      <w:hyperlink r:id="rId3494" w:history="1">
        <w:r w:rsidRPr="00896AA2">
          <w:rPr>
            <w:rFonts w:ascii="Times New Roman" w:eastAsia="Times New Roman" w:hAnsi="Times New Roman" w:cs="Times New Roman"/>
            <w:color w:val="0000FF"/>
            <w:sz w:val="24"/>
            <w:szCs w:val="24"/>
            <w:u w:val="single"/>
          </w:rPr>
          <w:t>https://doi.org/10.1055/s-0034-1366460</w:t>
        </w:r>
      </w:hyperlink>
    </w:p>
    <w:p w14:paraId="6AC9B1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Luhar, R. B., Sawyer, K. S., Gravitz, Z., Ruiz, S. M., &amp; Oscar-Berman, M. (2013). Brain volumes and neuropsychological performance are related to current smoking and alcoholism history.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w:t>
      </w:r>
    </w:p>
    <w:p w14:paraId="56B9DEA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Lui, S. S. Y., Wang, Y., Liu, A. C. Y., Chui, W. W. H., Gong, Q., Shum, D., Cheung, E. F. C., &amp; Chan, R. C. K. (2011). Prospective memory in patients with first-onset schizophrenia and their non-psychotic siblings.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(8), 2217–2224. </w:t>
      </w:r>
      <w:hyperlink r:id="rId3495" w:history="1">
        <w:r w:rsidRPr="00896AA2">
          <w:rPr>
            <w:rFonts w:ascii="Times New Roman" w:eastAsia="Times New Roman" w:hAnsi="Times New Roman" w:cs="Times New Roman"/>
            <w:color w:val="0000FF"/>
            <w:sz w:val="24"/>
            <w:szCs w:val="24"/>
            <w:u w:val="single"/>
          </w:rPr>
          <w:t>https://doi.org/10.1016/j.neuropsychologia.2011.04.002</w:t>
        </w:r>
      </w:hyperlink>
    </w:p>
    <w:p w14:paraId="339F85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Lui, S. S. Y., Wang, Y., Shi, Y., Au, A. C. W., Wong, P. T. Y., Chu, Z. L. S., Kring, A. M., Cheung, E. F. C., &amp; Chan, R. C. K. (2015). Subjective pleasure experience in patients with recent-onset schizophrenia: A preliminary report.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228</w:t>
      </w:r>
      <w:r w:rsidRPr="00896AA2">
        <w:rPr>
          <w:rFonts w:ascii="Times New Roman" w:eastAsia="Times New Roman" w:hAnsi="Times New Roman" w:cs="Times New Roman"/>
          <w:sz w:val="24"/>
          <w:szCs w:val="24"/>
        </w:rPr>
        <w:t xml:space="preserve">(1), 166–169. </w:t>
      </w:r>
      <w:hyperlink r:id="rId3496" w:history="1">
        <w:r w:rsidRPr="00896AA2">
          <w:rPr>
            <w:rFonts w:ascii="Times New Roman" w:eastAsia="Times New Roman" w:hAnsi="Times New Roman" w:cs="Times New Roman"/>
            <w:color w:val="0000FF"/>
            <w:sz w:val="24"/>
            <w:szCs w:val="24"/>
            <w:u w:val="single"/>
          </w:rPr>
          <w:t>https://doi.org/10.1016/j.psychres.2015.04.013</w:t>
        </w:r>
      </w:hyperlink>
    </w:p>
    <w:p w14:paraId="09C9FCF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Lui, S. S. Y., Wang, Y., Yang, T., Liu, A. C. Y., Chui, W. W. H., Yeung, H. K. H., Li, Z., Neumann, D. L., Shum, D. H. K., Cheung, E. F. C., &amp; Chan, R. C. K. (2015). Problems in remembering to carry out future actions in first-episode schizophrenia: Primary or secondary impairment?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 141–149. </w:t>
      </w:r>
      <w:hyperlink r:id="rId3497" w:history="1">
        <w:r w:rsidRPr="00896AA2">
          <w:rPr>
            <w:rFonts w:ascii="Times New Roman" w:eastAsia="Times New Roman" w:hAnsi="Times New Roman" w:cs="Times New Roman"/>
            <w:color w:val="0000FF"/>
            <w:sz w:val="24"/>
            <w:szCs w:val="24"/>
            <w:u w:val="single"/>
          </w:rPr>
          <w:t>https://doi.org/10.1016/j.jpsychires.2014.11.007</w:t>
        </w:r>
      </w:hyperlink>
    </w:p>
    <w:p w14:paraId="24FA84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Lumme, V., Aalto, S., Ilonen, T., Någren, K., &amp; Hietala, J. (2007). Dopamine D₂/D₃ receptor binding in the anterior cingulate cortex and executive functioning.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69–74. </w:t>
      </w:r>
      <w:hyperlink r:id="rId3498" w:history="1">
        <w:r w:rsidRPr="00896AA2">
          <w:rPr>
            <w:rFonts w:ascii="Times New Roman" w:eastAsia="Times New Roman" w:hAnsi="Times New Roman" w:cs="Times New Roman"/>
            <w:color w:val="0000FF"/>
            <w:sz w:val="24"/>
            <w:szCs w:val="24"/>
            <w:u w:val="single"/>
          </w:rPr>
          <w:t>https://doi.org/10.1016/j.pscychresns.2006.12.012</w:t>
        </w:r>
      </w:hyperlink>
    </w:p>
    <w:p w14:paraId="39C168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Lunardelli, A., Zadini, A., Gigli, G., &amp; Rumiati, R. I. (2008). Praxic and executive components in tool use learning: The role of imitation. </w:t>
      </w:r>
      <w:r w:rsidRPr="00896AA2">
        <w:rPr>
          <w:rFonts w:ascii="Times New Roman" w:eastAsia="Times New Roman" w:hAnsi="Times New Roman" w:cs="Times New Roman"/>
          <w:i/>
          <w:iCs/>
          <w:sz w:val="24"/>
          <w:szCs w:val="24"/>
        </w:rPr>
        <w:t>Cognitive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(7–8), 1077–1098. </w:t>
      </w:r>
      <w:hyperlink r:id="rId3499" w:history="1">
        <w:r w:rsidRPr="00896AA2">
          <w:rPr>
            <w:rFonts w:ascii="Times New Roman" w:eastAsia="Times New Roman" w:hAnsi="Times New Roman" w:cs="Times New Roman"/>
            <w:color w:val="0000FF"/>
            <w:sz w:val="24"/>
            <w:szCs w:val="24"/>
            <w:u w:val="single"/>
          </w:rPr>
          <w:t>https://doi.org/10.1080/02643290801921541</w:t>
        </w:r>
      </w:hyperlink>
    </w:p>
    <w:p w14:paraId="4BE1F6E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Lundberg, C., &amp; Hakamies-Blomqvist, L. (2003). Driving tests with older patients: Effect of unfamiliar versus familiar vehicle. </w:t>
      </w:r>
      <w:r w:rsidRPr="00896AA2">
        <w:rPr>
          <w:rFonts w:ascii="Times New Roman" w:eastAsia="Times New Roman" w:hAnsi="Times New Roman" w:cs="Times New Roman"/>
          <w:i/>
          <w:iCs/>
          <w:sz w:val="24"/>
          <w:szCs w:val="24"/>
        </w:rPr>
        <w:t>Transportation Research Part F: Traffic Psychology and Behaviour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163–173. </w:t>
      </w:r>
      <w:hyperlink r:id="rId3500" w:history="1">
        <w:r w:rsidRPr="00896AA2">
          <w:rPr>
            <w:rFonts w:ascii="Times New Roman" w:eastAsia="Times New Roman" w:hAnsi="Times New Roman" w:cs="Times New Roman"/>
            <w:color w:val="0000FF"/>
            <w:sz w:val="24"/>
            <w:szCs w:val="24"/>
            <w:u w:val="single"/>
          </w:rPr>
          <w:t>https://doi.org/10.1016/S1369-8478(03)00023-8</w:t>
        </w:r>
      </w:hyperlink>
    </w:p>
    <w:p w14:paraId="36CAC4D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Lundqvist, A., Alinder, J., Modig-Arding, I., &amp; Samuelsson, K. (2011). Driving after brain injury: A clinical model based on a quality improvement project. </w:t>
      </w:r>
      <w:r w:rsidRPr="00896AA2">
        <w:rPr>
          <w:rFonts w:ascii="Times New Roman" w:eastAsia="Times New Roman" w:hAnsi="Times New Roman" w:cs="Times New Roman"/>
          <w:i/>
          <w:iCs/>
          <w:sz w:val="24"/>
          <w:szCs w:val="24"/>
        </w:rPr>
        <w:t>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(6), 615–623. </w:t>
      </w:r>
      <w:hyperlink r:id="rId3501" w:history="1">
        <w:r w:rsidRPr="00896AA2">
          <w:rPr>
            <w:rFonts w:ascii="Times New Roman" w:eastAsia="Times New Roman" w:hAnsi="Times New Roman" w:cs="Times New Roman"/>
            <w:color w:val="0000FF"/>
            <w:sz w:val="24"/>
            <w:szCs w:val="24"/>
            <w:u w:val="single"/>
          </w:rPr>
          <w:t>https://doi.org/10.4236/psych.2011.26094</w:t>
        </w:r>
      </w:hyperlink>
    </w:p>
    <w:p w14:paraId="1BEEC8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Lunn, D. J. (2001). </w:t>
      </w:r>
      <w:r w:rsidRPr="00896AA2">
        <w:rPr>
          <w:rFonts w:ascii="Times New Roman" w:eastAsia="Times New Roman" w:hAnsi="Times New Roman" w:cs="Times New Roman"/>
          <w:i/>
          <w:iCs/>
          <w:sz w:val="24"/>
          <w:szCs w:val="24"/>
        </w:rPr>
        <w:t>Utilization of the Wisconsin Card Sorting Test in the diagnostic discrimination of attention-deficit/hyperactivity disorder and learning disorders in children.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(4-A), 1324–1324.</w:t>
      </w:r>
    </w:p>
    <w:p w14:paraId="328D854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Luo, Q., Xu, D., Roskos, T., Stout, J., Kull, L., Cheng, X., Whitson, D., Boomgarden, E., Gfeller, J., &amp; Bucholz, R. D. (2013). Complexity analysis of resting state magnetoencephalography activity in traumatic brain injury patients. </w:t>
      </w:r>
      <w:r w:rsidRPr="00896AA2">
        <w:rPr>
          <w:rFonts w:ascii="Times New Roman" w:eastAsia="Times New Roman" w:hAnsi="Times New Roman" w:cs="Times New Roman"/>
          <w:i/>
          <w:iCs/>
          <w:sz w:val="24"/>
          <w:szCs w:val="24"/>
        </w:rPr>
        <w:t>Journal of Neurotrauma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(20), 1702–1709. </w:t>
      </w:r>
      <w:hyperlink r:id="rId3502" w:history="1">
        <w:r w:rsidRPr="00896AA2">
          <w:rPr>
            <w:rFonts w:ascii="Times New Roman" w:eastAsia="Times New Roman" w:hAnsi="Times New Roman" w:cs="Times New Roman"/>
            <w:color w:val="0000FF"/>
            <w:sz w:val="24"/>
            <w:szCs w:val="24"/>
            <w:u w:val="single"/>
          </w:rPr>
          <w:t>https://doi.org/10.1089/neu.2012.2679</w:t>
        </w:r>
      </w:hyperlink>
    </w:p>
    <w:p w14:paraId="7A3FAF6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Luo, Q.-H., Meng, H.-Q., &amp; Fu, Y.-X. (2007). A case-control study of cognitive function of internet addicts. [A case-control study of cognitive function of internet addicts.]. </w:t>
      </w:r>
      <w:r w:rsidRPr="00896AA2">
        <w:rPr>
          <w:rFonts w:ascii="Times New Roman" w:eastAsia="Times New Roman" w:hAnsi="Times New Roman" w:cs="Times New Roman"/>
          <w:i/>
          <w:iCs/>
          <w:sz w:val="24"/>
          <w:szCs w:val="24"/>
        </w:rPr>
        <w:t>Chinese Mental Health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(4), 237–239.</w:t>
      </w:r>
    </w:p>
    <w:p w14:paraId="78396A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Lupo, M., Olivito, G., Iacobacci, C., Clausi, S., Romano, S., Masciullo, M., Molinari, M., Cercignani, M., Bozzali, M., &amp; Leggio, M. (2018). The cerebellar topography of attention sub-components in spinocerebellar ataxia type 2.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108</w:t>
      </w:r>
      <w:r w:rsidRPr="00896AA2">
        <w:rPr>
          <w:rFonts w:ascii="Times New Roman" w:eastAsia="Times New Roman" w:hAnsi="Times New Roman" w:cs="Times New Roman"/>
          <w:sz w:val="24"/>
          <w:szCs w:val="24"/>
        </w:rPr>
        <w:t xml:space="preserve">, 35–49. </w:t>
      </w:r>
      <w:hyperlink r:id="rId3503" w:history="1">
        <w:r w:rsidRPr="00896AA2">
          <w:rPr>
            <w:rFonts w:ascii="Times New Roman" w:eastAsia="Times New Roman" w:hAnsi="Times New Roman" w:cs="Times New Roman"/>
            <w:color w:val="0000FF"/>
            <w:sz w:val="24"/>
            <w:szCs w:val="24"/>
            <w:u w:val="single"/>
          </w:rPr>
          <w:t>https://doi.org/10.1016/j.cortex.2018.07.011</w:t>
        </w:r>
      </w:hyperlink>
    </w:p>
    <w:p w14:paraId="4DB94C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Lussier, M., Renaud, M., Chiva-Razavi, S., Bherer, L., &amp; Dumoulin, C. (2013). Are stress and mixed urinary incontinence associated with impaired executive control in community-dwelling older women?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445–454. </w:t>
      </w:r>
      <w:hyperlink r:id="rId3504" w:history="1">
        <w:r w:rsidRPr="00896AA2">
          <w:rPr>
            <w:rFonts w:ascii="Times New Roman" w:eastAsia="Times New Roman" w:hAnsi="Times New Roman" w:cs="Times New Roman"/>
            <w:color w:val="0000FF"/>
            <w:sz w:val="24"/>
            <w:szCs w:val="24"/>
            <w:u w:val="single"/>
          </w:rPr>
          <w:t>https://doi.org/10.1080/13803395.2013.789483</w:t>
        </w:r>
      </w:hyperlink>
    </w:p>
    <w:p w14:paraId="58AD74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Luther, L., Firmin, R. L., Vohs, J. L., Buck, K. D., Rand, K. L., &amp; Lysaker, P. H. (2016). Intrinsic motivation as a mediator between metacognition deficits and impaired functioning in psychosis. </w:t>
      </w:r>
      <w:r w:rsidRPr="00896AA2">
        <w:rPr>
          <w:rFonts w:ascii="Times New Roman" w:eastAsia="Times New Roman" w:hAnsi="Times New Roman" w:cs="Times New Roman"/>
          <w:i/>
          <w:iCs/>
          <w:sz w:val="24"/>
          <w:szCs w:val="24"/>
        </w:rPr>
        <w:t>British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(3), 332–347. </w:t>
      </w:r>
      <w:hyperlink r:id="rId3505" w:history="1">
        <w:r w:rsidRPr="00896AA2">
          <w:rPr>
            <w:rFonts w:ascii="Times New Roman" w:eastAsia="Times New Roman" w:hAnsi="Times New Roman" w:cs="Times New Roman"/>
            <w:color w:val="0000FF"/>
            <w:sz w:val="24"/>
            <w:szCs w:val="24"/>
            <w:u w:val="single"/>
          </w:rPr>
          <w:t>https://doi.org/10.1111/bjc.12104</w:t>
        </w:r>
      </w:hyperlink>
    </w:p>
    <w:p w14:paraId="1169BD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Luxton, D. D., Nelson, E.-L., &amp; Maheu, M. M. (2016). Conducting psychological assessments during telemental health. In </w:t>
      </w:r>
      <w:r w:rsidRPr="00896AA2">
        <w:rPr>
          <w:rFonts w:ascii="Times New Roman" w:eastAsia="Times New Roman" w:hAnsi="Times New Roman" w:cs="Times New Roman"/>
          <w:i/>
          <w:iCs/>
          <w:sz w:val="24"/>
          <w:szCs w:val="24"/>
        </w:rPr>
        <w:t>A practitioner’s guide to telemental health: How to conduct legal, ethical, and evidence-based telepractice.</w:t>
      </w:r>
      <w:r w:rsidRPr="00896AA2">
        <w:rPr>
          <w:rFonts w:ascii="Times New Roman" w:eastAsia="Times New Roman" w:hAnsi="Times New Roman" w:cs="Times New Roman"/>
          <w:sz w:val="24"/>
          <w:szCs w:val="24"/>
        </w:rPr>
        <w:t xml:space="preserve"> (pp. 85–95). American Psychological Association. </w:t>
      </w:r>
      <w:hyperlink r:id="rId3506" w:history="1">
        <w:r w:rsidRPr="00896AA2">
          <w:rPr>
            <w:rFonts w:ascii="Times New Roman" w:eastAsia="Times New Roman" w:hAnsi="Times New Roman" w:cs="Times New Roman"/>
            <w:color w:val="0000FF"/>
            <w:sz w:val="24"/>
            <w:szCs w:val="24"/>
            <w:u w:val="single"/>
          </w:rPr>
          <w:t>https://doi.org/10.1037/14938-008</w:t>
        </w:r>
      </w:hyperlink>
    </w:p>
    <w:p w14:paraId="209B52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Lynch, F. A., McGillivray, J. A., Moulding, R., &amp; Byrne, L. K. (2015). Hoarding in attention deficit hyperactivity disorder: Understanding the comorbidity. </w:t>
      </w:r>
      <w:r w:rsidRPr="00896AA2">
        <w:rPr>
          <w:rFonts w:ascii="Times New Roman" w:eastAsia="Times New Roman" w:hAnsi="Times New Roman" w:cs="Times New Roman"/>
          <w:i/>
          <w:iCs/>
          <w:sz w:val="24"/>
          <w:szCs w:val="24"/>
        </w:rPr>
        <w:t>Journal of Obsessive-Compulsive and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 xml:space="preserve">, 37–46. </w:t>
      </w:r>
      <w:hyperlink r:id="rId3507" w:history="1">
        <w:r w:rsidRPr="00896AA2">
          <w:rPr>
            <w:rFonts w:ascii="Times New Roman" w:eastAsia="Times New Roman" w:hAnsi="Times New Roman" w:cs="Times New Roman"/>
            <w:color w:val="0000FF"/>
            <w:sz w:val="24"/>
            <w:szCs w:val="24"/>
            <w:u w:val="single"/>
          </w:rPr>
          <w:t>https://doi.org/10.1016/j.jocrd.2014.12.001</w:t>
        </w:r>
      </w:hyperlink>
    </w:p>
    <w:p w14:paraId="01BCA4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Lyons, K. E., &amp; Tröster, A. I. (2015). Essential tremor. In </w:t>
      </w:r>
      <w:r w:rsidRPr="00896AA2">
        <w:rPr>
          <w:rFonts w:ascii="Times New Roman" w:eastAsia="Times New Roman" w:hAnsi="Times New Roman" w:cs="Times New Roman"/>
          <w:i/>
          <w:iCs/>
          <w:sz w:val="24"/>
          <w:szCs w:val="24"/>
        </w:rPr>
        <w:t>Clinical neuropsychology and cognitive neurology of Parkinson’s disease and other movement disorders.</w:t>
      </w:r>
      <w:r w:rsidRPr="00896AA2">
        <w:rPr>
          <w:rFonts w:ascii="Times New Roman" w:eastAsia="Times New Roman" w:hAnsi="Times New Roman" w:cs="Times New Roman"/>
          <w:sz w:val="24"/>
          <w:szCs w:val="24"/>
        </w:rPr>
        <w:t xml:space="preserve"> (pp. 484–500). Oxford University Press.</w:t>
      </w:r>
    </w:p>
    <w:p w14:paraId="3CFAED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Lyons, M. J., Bar, J. L., Panizzon, M. S., Toomey, R., Eisen, S., Xian, H., &amp; Tsuang, M. T. (2004). Neuropsychological consequences of regular marijuana use: A twin study.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(7), 1239–1250. </w:t>
      </w:r>
      <w:hyperlink r:id="rId3508" w:history="1">
        <w:r w:rsidRPr="00896AA2">
          <w:rPr>
            <w:rFonts w:ascii="Times New Roman" w:eastAsia="Times New Roman" w:hAnsi="Times New Roman" w:cs="Times New Roman"/>
            <w:color w:val="0000FF"/>
            <w:sz w:val="24"/>
            <w:szCs w:val="24"/>
            <w:u w:val="single"/>
          </w:rPr>
          <w:t>https://doi.org/10.1017/S0033291704002260</w:t>
        </w:r>
      </w:hyperlink>
    </w:p>
    <w:p w14:paraId="016A1D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Lyoubi-Idrissi, A. L., Jouvent, E., Poupon, C., &amp; Chabriat, H. (2017). Diffusion magnetic resonance imaging in cerebral small vessel disease. </w:t>
      </w:r>
      <w:r w:rsidRPr="00896AA2">
        <w:rPr>
          <w:rFonts w:ascii="Times New Roman" w:eastAsia="Times New Roman" w:hAnsi="Times New Roman" w:cs="Times New Roman"/>
          <w:i/>
          <w:iCs/>
          <w:sz w:val="24"/>
          <w:szCs w:val="24"/>
        </w:rPr>
        <w:t>Revue Neurologique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173</w:t>
      </w:r>
      <w:r w:rsidRPr="00896AA2">
        <w:rPr>
          <w:rFonts w:ascii="Times New Roman" w:eastAsia="Times New Roman" w:hAnsi="Times New Roman" w:cs="Times New Roman"/>
          <w:sz w:val="24"/>
          <w:szCs w:val="24"/>
        </w:rPr>
        <w:t xml:space="preserve">(4), 201–210. </w:t>
      </w:r>
      <w:hyperlink r:id="rId3509" w:history="1">
        <w:r w:rsidRPr="00896AA2">
          <w:rPr>
            <w:rFonts w:ascii="Times New Roman" w:eastAsia="Times New Roman" w:hAnsi="Times New Roman" w:cs="Times New Roman"/>
            <w:color w:val="0000FF"/>
            <w:sz w:val="24"/>
            <w:szCs w:val="24"/>
            <w:u w:val="single"/>
          </w:rPr>
          <w:t>https://doi.org/10.1016/j.neurol.2017.03.005</w:t>
        </w:r>
      </w:hyperlink>
    </w:p>
    <w:p w14:paraId="5EE7CD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&amp; Bell, M. (1994). Insight and cognitive impairment in schizophrenia: Performance on repeated administrations of the Wisconsin Card Sorting Test.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182</w:t>
      </w:r>
      <w:r w:rsidRPr="00896AA2">
        <w:rPr>
          <w:rFonts w:ascii="Times New Roman" w:eastAsia="Times New Roman" w:hAnsi="Times New Roman" w:cs="Times New Roman"/>
          <w:sz w:val="24"/>
          <w:szCs w:val="24"/>
        </w:rPr>
        <w:t xml:space="preserve">(11), 656–660. </w:t>
      </w:r>
      <w:hyperlink r:id="rId3510" w:history="1">
        <w:r w:rsidRPr="00896AA2">
          <w:rPr>
            <w:rFonts w:ascii="Times New Roman" w:eastAsia="Times New Roman" w:hAnsi="Times New Roman" w:cs="Times New Roman"/>
            <w:color w:val="0000FF"/>
            <w:sz w:val="24"/>
            <w:szCs w:val="24"/>
            <w:u w:val="single"/>
          </w:rPr>
          <w:t>https://doi.org/10.1097/00005053-199411000-00010</w:t>
        </w:r>
      </w:hyperlink>
    </w:p>
    <w:p w14:paraId="7DB0CC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&amp; Bell, M. (1995). Work rehabilitation and improvements in insight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183</w:t>
      </w:r>
      <w:r w:rsidRPr="00896AA2">
        <w:rPr>
          <w:rFonts w:ascii="Times New Roman" w:eastAsia="Times New Roman" w:hAnsi="Times New Roman" w:cs="Times New Roman"/>
          <w:sz w:val="24"/>
          <w:szCs w:val="24"/>
        </w:rPr>
        <w:t xml:space="preserve">(2), 103–106. </w:t>
      </w:r>
      <w:hyperlink r:id="rId3511" w:history="1">
        <w:r w:rsidRPr="00896AA2">
          <w:rPr>
            <w:rFonts w:ascii="Times New Roman" w:eastAsia="Times New Roman" w:hAnsi="Times New Roman" w:cs="Times New Roman"/>
            <w:color w:val="0000FF"/>
            <w:sz w:val="24"/>
            <w:szCs w:val="24"/>
            <w:u w:val="single"/>
          </w:rPr>
          <w:t>https://doi.org/10.1097/00005053-199502000-00007</w:t>
        </w:r>
      </w:hyperlink>
    </w:p>
    <w:p w14:paraId="02A30D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Bell, M., &amp; Beam-Goulet, J. (1995). Wisconsin Card Sorting Test and work performance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(1), 45–51. </w:t>
      </w:r>
      <w:hyperlink r:id="rId3512" w:history="1">
        <w:r w:rsidRPr="00896AA2">
          <w:rPr>
            <w:rFonts w:ascii="Times New Roman" w:eastAsia="Times New Roman" w:hAnsi="Times New Roman" w:cs="Times New Roman"/>
            <w:color w:val="0000FF"/>
            <w:sz w:val="24"/>
            <w:szCs w:val="24"/>
            <w:u w:val="single"/>
          </w:rPr>
          <w:t>https://doi.org/10.1016/0165-1781(94)02641-U</w:t>
        </w:r>
      </w:hyperlink>
    </w:p>
    <w:p w14:paraId="443EDD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(2010). Metacognition in schizophrenia spectrum disorders: Methods of assessing metacognition within narrative and links with neurocognition. In </w:t>
      </w:r>
      <w:r w:rsidRPr="00896AA2">
        <w:rPr>
          <w:rFonts w:ascii="Times New Roman" w:eastAsia="Times New Roman" w:hAnsi="Times New Roman" w:cs="Times New Roman"/>
          <w:i/>
          <w:iCs/>
          <w:sz w:val="24"/>
          <w:szCs w:val="24"/>
        </w:rPr>
        <w:t>Metacognition and severe adult mental disorders: From research to treatment.</w:t>
      </w:r>
      <w:r w:rsidRPr="00896AA2">
        <w:rPr>
          <w:rFonts w:ascii="Times New Roman" w:eastAsia="Times New Roman" w:hAnsi="Times New Roman" w:cs="Times New Roman"/>
          <w:sz w:val="24"/>
          <w:szCs w:val="24"/>
        </w:rPr>
        <w:t xml:space="preserve"> (pp. 65–82). Routledge/Taylor &amp; Francis Group.</w:t>
      </w:r>
    </w:p>
    <w:p w14:paraId="3AC0C43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Beattie, N. L., Strasburger, A. M., &amp; Davis, L. W. (2005). Reported history of child sexual abuse in schizophrenia: Associations with heightened symptom levels and poorer participation over four months in vocational rehabilitation.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(12), 790–795. </w:t>
      </w:r>
      <w:hyperlink r:id="rId3513" w:history="1">
        <w:r w:rsidRPr="00896AA2">
          <w:rPr>
            <w:rFonts w:ascii="Times New Roman" w:eastAsia="Times New Roman" w:hAnsi="Times New Roman" w:cs="Times New Roman"/>
            <w:color w:val="0000FF"/>
            <w:sz w:val="24"/>
            <w:szCs w:val="24"/>
            <w:u w:val="single"/>
          </w:rPr>
          <w:t>https://doi.org/10.1097/01.nmd.0000188970.11916.76</w:t>
        </w:r>
      </w:hyperlink>
    </w:p>
    <w:p w14:paraId="103520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&amp; Bell, M. D. (2004). Awareness of illness in schizophrenia: Advances from psychosocial rehabilitation research. In </w:t>
      </w:r>
      <w:r w:rsidRPr="00896AA2">
        <w:rPr>
          <w:rFonts w:ascii="Times New Roman" w:eastAsia="Times New Roman" w:hAnsi="Times New Roman" w:cs="Times New Roman"/>
          <w:i/>
          <w:iCs/>
          <w:sz w:val="24"/>
          <w:szCs w:val="24"/>
        </w:rPr>
        <w:t>Insight and psychosis: Awareness of illness in schizophrenia and related disorders, 2nd ed.</w:t>
      </w:r>
      <w:r w:rsidRPr="00896AA2">
        <w:rPr>
          <w:rFonts w:ascii="Times New Roman" w:eastAsia="Times New Roman" w:hAnsi="Times New Roman" w:cs="Times New Roman"/>
          <w:sz w:val="24"/>
          <w:szCs w:val="24"/>
        </w:rPr>
        <w:t xml:space="preserve"> (pp. 335–349). Oxford University Press. </w:t>
      </w:r>
      <w:hyperlink r:id="rId3514" w:history="1">
        <w:r w:rsidRPr="00896AA2">
          <w:rPr>
            <w:rFonts w:ascii="Times New Roman" w:eastAsia="Times New Roman" w:hAnsi="Times New Roman" w:cs="Times New Roman"/>
            <w:color w:val="0000FF"/>
            <w:sz w:val="24"/>
            <w:szCs w:val="24"/>
            <w:u w:val="single"/>
          </w:rPr>
          <w:t>https://doi.org/10.1093/med/9780198525684.003.0016</w:t>
        </w:r>
      </w:hyperlink>
    </w:p>
    <w:p w14:paraId="61287A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Bell, M. D., &amp; Bioty, S. M. (1995). Cognitive deficits in schizophrenia: Prediction of symptom change for participators in work rehabilitation.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183</w:t>
      </w:r>
      <w:r w:rsidRPr="00896AA2">
        <w:rPr>
          <w:rFonts w:ascii="Times New Roman" w:eastAsia="Times New Roman" w:hAnsi="Times New Roman" w:cs="Times New Roman"/>
          <w:sz w:val="24"/>
          <w:szCs w:val="24"/>
        </w:rPr>
        <w:t xml:space="preserve">(5), 332–336. </w:t>
      </w:r>
      <w:hyperlink r:id="rId3515" w:history="1">
        <w:r w:rsidRPr="00896AA2">
          <w:rPr>
            <w:rFonts w:ascii="Times New Roman" w:eastAsia="Times New Roman" w:hAnsi="Times New Roman" w:cs="Times New Roman"/>
            <w:color w:val="0000FF"/>
            <w:sz w:val="24"/>
            <w:szCs w:val="24"/>
            <w:u w:val="single"/>
          </w:rPr>
          <w:t>https://doi.org/10.1097/00005053-199505000-00010</w:t>
        </w:r>
      </w:hyperlink>
    </w:p>
    <w:p w14:paraId="68DF9A9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Bell, M. D., Bioty, S., &amp; Zito, W. S. (1996). Performance on the Wisconsin Card Sorting Test as a predictor of rehospitalization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184</w:t>
      </w:r>
      <w:r w:rsidRPr="00896AA2">
        <w:rPr>
          <w:rFonts w:ascii="Times New Roman" w:eastAsia="Times New Roman" w:hAnsi="Times New Roman" w:cs="Times New Roman"/>
          <w:sz w:val="24"/>
          <w:szCs w:val="24"/>
        </w:rPr>
        <w:t xml:space="preserve">(5), 319–321. </w:t>
      </w:r>
      <w:hyperlink r:id="rId3516" w:history="1">
        <w:r w:rsidRPr="00896AA2">
          <w:rPr>
            <w:rFonts w:ascii="Times New Roman" w:eastAsia="Times New Roman" w:hAnsi="Times New Roman" w:cs="Times New Roman"/>
            <w:color w:val="0000FF"/>
            <w:sz w:val="24"/>
            <w:szCs w:val="24"/>
            <w:u w:val="single"/>
          </w:rPr>
          <w:t>https://doi.org/10.1097/00005053-199605000-00010</w:t>
        </w:r>
      </w:hyperlink>
    </w:p>
    <w:p w14:paraId="653995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Bryson, G. J., Davis, L. W., &amp; Bell, M. D. (2005). Relationship of impaired processing speed and flexibility of abstract thought to improvements in work performance over time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75</w:t>
      </w:r>
      <w:r w:rsidRPr="00896AA2">
        <w:rPr>
          <w:rFonts w:ascii="Times New Roman" w:eastAsia="Times New Roman" w:hAnsi="Times New Roman" w:cs="Times New Roman"/>
          <w:sz w:val="24"/>
          <w:szCs w:val="24"/>
        </w:rPr>
        <w:t xml:space="preserve">(2–3), 211–218. </w:t>
      </w:r>
      <w:hyperlink r:id="rId3517" w:history="1">
        <w:r w:rsidRPr="00896AA2">
          <w:rPr>
            <w:rFonts w:ascii="Times New Roman" w:eastAsia="Times New Roman" w:hAnsi="Times New Roman" w:cs="Times New Roman"/>
            <w:color w:val="0000FF"/>
            <w:sz w:val="24"/>
            <w:szCs w:val="24"/>
            <w:u w:val="single"/>
          </w:rPr>
          <w:t>https://doi.org/10.1016/j.schres.2004.09.014</w:t>
        </w:r>
      </w:hyperlink>
    </w:p>
    <w:p w14:paraId="6D3A6CF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Bryson, G. J., Marks, K., Greig, T. C., &amp; Bell, M. D. (2004). Coping style in schizophrenia: Associations with neurocognitive deficits and personality.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(1), 113–121. </w:t>
      </w:r>
      <w:hyperlink r:id="rId3518" w:history="1">
        <w:r w:rsidRPr="00896AA2">
          <w:rPr>
            <w:rFonts w:ascii="Times New Roman" w:eastAsia="Times New Roman" w:hAnsi="Times New Roman" w:cs="Times New Roman"/>
            <w:color w:val="0000FF"/>
            <w:sz w:val="24"/>
            <w:szCs w:val="24"/>
            <w:u w:val="single"/>
          </w:rPr>
          <w:t>https://doi.org/10.1093/oxfordjournals.schbul.a007056</w:t>
        </w:r>
      </w:hyperlink>
    </w:p>
    <w:p w14:paraId="7573D3F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Campbell, K., &amp; Johannesen, J. K. (2005). Hope, Awareness of Illness, and Coping in Schizophrenia Spectrum Disorders: Evidence of an Interaction.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(5), 287–292. </w:t>
      </w:r>
      <w:hyperlink r:id="rId3519" w:history="1">
        <w:r w:rsidRPr="00896AA2">
          <w:rPr>
            <w:rFonts w:ascii="Times New Roman" w:eastAsia="Times New Roman" w:hAnsi="Times New Roman" w:cs="Times New Roman"/>
            <w:color w:val="0000FF"/>
            <w:sz w:val="24"/>
            <w:szCs w:val="24"/>
            <w:u w:val="single"/>
          </w:rPr>
          <w:t>https://doi.org/10.1097/01.nmd.0000161689.96931.0f</w:t>
        </w:r>
      </w:hyperlink>
    </w:p>
    <w:p w14:paraId="7798860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Carcione, A., Dimaggio, G., Johannesen, J. K., Nicolò, G., Procacci, M., &amp; Semerari, A. (2005). Metacognition amidst narratives of self and illness in schizophrenia: Associations with neurocognition, symptoms, insight and quality of life.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112</w:t>
      </w:r>
      <w:r w:rsidRPr="00896AA2">
        <w:rPr>
          <w:rFonts w:ascii="Times New Roman" w:eastAsia="Times New Roman" w:hAnsi="Times New Roman" w:cs="Times New Roman"/>
          <w:sz w:val="24"/>
          <w:szCs w:val="24"/>
        </w:rPr>
        <w:t xml:space="preserve">(1), 64–71. </w:t>
      </w:r>
      <w:hyperlink r:id="rId3520" w:history="1">
        <w:r w:rsidRPr="00896AA2">
          <w:rPr>
            <w:rFonts w:ascii="Times New Roman" w:eastAsia="Times New Roman" w:hAnsi="Times New Roman" w:cs="Times New Roman"/>
            <w:color w:val="0000FF"/>
            <w:sz w:val="24"/>
            <w:szCs w:val="24"/>
            <w:u w:val="single"/>
          </w:rPr>
          <w:t>https://doi.org/10.1111/j.1600-0447.2005.00514.x</w:t>
        </w:r>
      </w:hyperlink>
    </w:p>
    <w:p w14:paraId="315A6A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Clements, C. A., Wright, D. E., Evans, J., &amp; Marks, K. A. (2001). Neurocognitive correlates of helplessness, hopelessness, and well-being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189</w:t>
      </w:r>
      <w:r w:rsidRPr="00896AA2">
        <w:rPr>
          <w:rFonts w:ascii="Times New Roman" w:eastAsia="Times New Roman" w:hAnsi="Times New Roman" w:cs="Times New Roman"/>
          <w:sz w:val="24"/>
          <w:szCs w:val="24"/>
        </w:rPr>
        <w:t xml:space="preserve">(7), 457–462. </w:t>
      </w:r>
      <w:hyperlink r:id="rId3521" w:history="1">
        <w:r w:rsidRPr="00896AA2">
          <w:rPr>
            <w:rFonts w:ascii="Times New Roman" w:eastAsia="Times New Roman" w:hAnsi="Times New Roman" w:cs="Times New Roman"/>
            <w:color w:val="0000FF"/>
            <w:sz w:val="24"/>
            <w:szCs w:val="24"/>
            <w:u w:val="single"/>
          </w:rPr>
          <w:t>https://doi.org/10.1097/00005053-200107000-00007</w:t>
        </w:r>
      </w:hyperlink>
    </w:p>
    <w:p w14:paraId="74B18DC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Daroyanni, P., Ringer, J. M., Beattie, N. L., Strasburger, A. M., &amp; Davis, L. W. (2007). Associations of awareness of illness in schizophrenia spectrum disorder with social cognition and cognitive perceptual organization.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195</w:t>
      </w:r>
      <w:r w:rsidRPr="00896AA2">
        <w:rPr>
          <w:rFonts w:ascii="Times New Roman" w:eastAsia="Times New Roman" w:hAnsi="Times New Roman" w:cs="Times New Roman"/>
          <w:sz w:val="24"/>
          <w:szCs w:val="24"/>
        </w:rPr>
        <w:t xml:space="preserve">(7), 618–621. </w:t>
      </w:r>
      <w:hyperlink r:id="rId3522" w:history="1">
        <w:r w:rsidRPr="00896AA2">
          <w:rPr>
            <w:rFonts w:ascii="Times New Roman" w:eastAsia="Times New Roman" w:hAnsi="Times New Roman" w:cs="Times New Roman"/>
            <w:color w:val="0000FF"/>
            <w:sz w:val="24"/>
            <w:szCs w:val="24"/>
            <w:u w:val="single"/>
          </w:rPr>
          <w:t>https://doi.org/10.1097/NMD.0b013e318093f437</w:t>
        </w:r>
      </w:hyperlink>
    </w:p>
    <w:p w14:paraId="5A98A4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&amp; Hunter, N. L. (2004). Neurocognitive, social and clinical correlates of two domains of hopelessness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(2–3), 277–285. </w:t>
      </w:r>
      <w:hyperlink r:id="rId3523" w:history="1">
        <w:r w:rsidRPr="00896AA2">
          <w:rPr>
            <w:rFonts w:ascii="Times New Roman" w:eastAsia="Times New Roman" w:hAnsi="Times New Roman" w:cs="Times New Roman"/>
            <w:color w:val="0000FF"/>
            <w:sz w:val="24"/>
            <w:szCs w:val="24"/>
            <w:u w:val="single"/>
          </w:rPr>
          <w:t>https://doi.org/10.1016/j.schres.2004.01.007</w:t>
        </w:r>
      </w:hyperlink>
    </w:p>
    <w:p w14:paraId="2CFBAA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Hunter, N. L., Nees, M. A., &amp; Wickett, A. (2005). Personal Narratives in Schizophrenia: Increases in Coherence Following 5 Months of Vocational Rehabilitation. </w:t>
      </w:r>
      <w:r w:rsidRPr="00896AA2">
        <w:rPr>
          <w:rFonts w:ascii="Times New Roman" w:eastAsia="Times New Roman" w:hAnsi="Times New Roman" w:cs="Times New Roman"/>
          <w:i/>
          <w:iCs/>
          <w:sz w:val="24"/>
          <w:szCs w:val="24"/>
        </w:rPr>
        <w:t>Psychiatric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(1), 66–68. </w:t>
      </w:r>
      <w:hyperlink r:id="rId3524" w:history="1">
        <w:r w:rsidRPr="00896AA2">
          <w:rPr>
            <w:rFonts w:ascii="Times New Roman" w:eastAsia="Times New Roman" w:hAnsi="Times New Roman" w:cs="Times New Roman"/>
            <w:color w:val="0000FF"/>
            <w:sz w:val="24"/>
            <w:szCs w:val="24"/>
            <w:u w:val="single"/>
          </w:rPr>
          <w:t>https://doi.org/10.2975/29.2005.66.68</w:t>
        </w:r>
      </w:hyperlink>
    </w:p>
    <w:p w14:paraId="4DB5D2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Lightfoot, J., Hunter, N., &amp; Stasburger, A. (2005). Association of neurocognition, anxiety, positive and negative symptoms with coping preference in schizophrenia spectrum disorders.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80</w:t>
      </w:r>
      <w:r w:rsidRPr="00896AA2">
        <w:rPr>
          <w:rFonts w:ascii="Times New Roman" w:eastAsia="Times New Roman" w:hAnsi="Times New Roman" w:cs="Times New Roman"/>
          <w:sz w:val="24"/>
          <w:szCs w:val="24"/>
        </w:rPr>
        <w:t xml:space="preserve">(2–3), 163–171. </w:t>
      </w:r>
      <w:hyperlink r:id="rId3525" w:history="1">
        <w:r w:rsidRPr="00896AA2">
          <w:rPr>
            <w:rFonts w:ascii="Times New Roman" w:eastAsia="Times New Roman" w:hAnsi="Times New Roman" w:cs="Times New Roman"/>
            <w:color w:val="0000FF"/>
            <w:sz w:val="24"/>
            <w:szCs w:val="24"/>
            <w:u w:val="single"/>
          </w:rPr>
          <w:t>https://doi.org/10.1016/j.schres.2005.07.005</w:t>
        </w:r>
      </w:hyperlink>
    </w:p>
    <w:p w14:paraId="53469B4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Davis, L. W., &amp; Tsai, J. (2009). Suspiciousness and low self-esteem as predictors of misattributions of anger in schizophrenia spectrum disorders.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166</w:t>
      </w:r>
      <w:r w:rsidRPr="00896AA2">
        <w:rPr>
          <w:rFonts w:ascii="Times New Roman" w:eastAsia="Times New Roman" w:hAnsi="Times New Roman" w:cs="Times New Roman"/>
          <w:sz w:val="24"/>
          <w:szCs w:val="24"/>
        </w:rPr>
        <w:t xml:space="preserve">(2–3), 125–131. </w:t>
      </w:r>
      <w:hyperlink r:id="rId3526" w:history="1">
        <w:r w:rsidRPr="00896AA2">
          <w:rPr>
            <w:rFonts w:ascii="Times New Roman" w:eastAsia="Times New Roman" w:hAnsi="Times New Roman" w:cs="Times New Roman"/>
            <w:color w:val="0000FF"/>
            <w:sz w:val="24"/>
            <w:szCs w:val="24"/>
            <w:u w:val="single"/>
          </w:rPr>
          <w:t>https://doi.org/10.1016/j.psychres.2008.03.014</w:t>
        </w:r>
      </w:hyperlink>
    </w:p>
    <w:p w14:paraId="56BFB2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Buck, K. D., Callaway, S. S., Salvatore, G., Carcione, A., Nicolò, G., &amp; Stanghellini, G. (2011). Poor insight in schizophrenia: Links between different forms of metacognition with awareness of symptoms, treatment need, and consequences of illness.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(3), 253–260. </w:t>
      </w:r>
      <w:hyperlink r:id="rId3527" w:history="1">
        <w:r w:rsidRPr="00896AA2">
          <w:rPr>
            <w:rFonts w:ascii="Times New Roman" w:eastAsia="Times New Roman" w:hAnsi="Times New Roman" w:cs="Times New Roman"/>
            <w:color w:val="0000FF"/>
            <w:sz w:val="24"/>
            <w:szCs w:val="24"/>
            <w:u w:val="single"/>
          </w:rPr>
          <w:t>https://doi.org/10.1016/j.comppsych.2010.07.007</w:t>
        </w:r>
      </w:hyperlink>
    </w:p>
    <w:p w14:paraId="1334C1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Buck, K. D., Carcione, A., &amp; Nicolò, G. (2007). Metacognition within narratives of schizophrenia: Associations with multiple domains of neurocognition.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93</w:t>
      </w:r>
      <w:r w:rsidRPr="00896AA2">
        <w:rPr>
          <w:rFonts w:ascii="Times New Roman" w:eastAsia="Times New Roman" w:hAnsi="Times New Roman" w:cs="Times New Roman"/>
          <w:sz w:val="24"/>
          <w:szCs w:val="24"/>
        </w:rPr>
        <w:t xml:space="preserve">(1–3), 278–287. </w:t>
      </w:r>
      <w:hyperlink r:id="rId3528" w:history="1">
        <w:r w:rsidRPr="00896AA2">
          <w:rPr>
            <w:rFonts w:ascii="Times New Roman" w:eastAsia="Times New Roman" w:hAnsi="Times New Roman" w:cs="Times New Roman"/>
            <w:color w:val="0000FF"/>
            <w:sz w:val="24"/>
            <w:szCs w:val="24"/>
            <w:u w:val="single"/>
          </w:rPr>
          <w:t>https://doi.org/10.1016/j.schres.2007.02.016</w:t>
        </w:r>
      </w:hyperlink>
    </w:p>
    <w:p w14:paraId="69EC4A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Carcione, A., Procacci, M., Buck, K. D., Davis, L. W., &amp; Nicolò, G. (2010). Metacognition and schizophrenia: The capacity for self-reflectivity as a predictor for prospective assessments of work performance over six months.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122</w:t>
      </w:r>
      <w:r w:rsidRPr="00896AA2">
        <w:rPr>
          <w:rFonts w:ascii="Times New Roman" w:eastAsia="Times New Roman" w:hAnsi="Times New Roman" w:cs="Times New Roman"/>
          <w:sz w:val="24"/>
          <w:szCs w:val="24"/>
        </w:rPr>
        <w:t xml:space="preserve">(1–3), 124–130. </w:t>
      </w:r>
      <w:hyperlink r:id="rId3529" w:history="1">
        <w:r w:rsidRPr="00896AA2">
          <w:rPr>
            <w:rFonts w:ascii="Times New Roman" w:eastAsia="Times New Roman" w:hAnsi="Times New Roman" w:cs="Times New Roman"/>
            <w:color w:val="0000FF"/>
            <w:sz w:val="24"/>
            <w:szCs w:val="24"/>
            <w:u w:val="single"/>
          </w:rPr>
          <w:t>https://doi.org/10.1016/j.schres.2009.04.024</w:t>
        </w:r>
      </w:hyperlink>
    </w:p>
    <w:p w14:paraId="28E014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Dimaggio, G., Daroyanni, P., Buck, K. D., LaRocco, V. A., Carcione, A., &amp; Nicolò, G. (2010). Assessing metacognition in schizophrenia with the Metacognition Assessment Scale: Associations with the Social Cognition and Object Relations Scale. </w:t>
      </w:r>
      <w:r w:rsidRPr="00896AA2">
        <w:rPr>
          <w:rFonts w:ascii="Times New Roman" w:eastAsia="Times New Roman" w:hAnsi="Times New Roman" w:cs="Times New Roman"/>
          <w:i/>
          <w:iCs/>
          <w:sz w:val="24"/>
          <w:szCs w:val="24"/>
        </w:rPr>
        <w:t>Psychology and Psychotherapy: Theory, Research and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83</w:t>
      </w:r>
      <w:r w:rsidRPr="00896AA2">
        <w:rPr>
          <w:rFonts w:ascii="Times New Roman" w:eastAsia="Times New Roman" w:hAnsi="Times New Roman" w:cs="Times New Roman"/>
          <w:sz w:val="24"/>
          <w:szCs w:val="24"/>
        </w:rPr>
        <w:t xml:space="preserve">(3), 303–315. </w:t>
      </w:r>
      <w:hyperlink r:id="rId3530" w:history="1">
        <w:r w:rsidRPr="00896AA2">
          <w:rPr>
            <w:rFonts w:ascii="Times New Roman" w:eastAsia="Times New Roman" w:hAnsi="Times New Roman" w:cs="Times New Roman"/>
            <w:color w:val="0000FF"/>
            <w:sz w:val="24"/>
            <w:szCs w:val="24"/>
            <w:u w:val="single"/>
          </w:rPr>
          <w:t>https://doi.org/10.1348/147608309X481117</w:t>
        </w:r>
      </w:hyperlink>
    </w:p>
    <w:p w14:paraId="377B9FE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Erickson, M., Buck, K. D., Procacci, M., Nicolò, G., &amp; Dimaggio, G. (2010). Metacognition in schizophrenia spectrum disorders: Methods of assessment and associations with neurocognition and function. </w:t>
      </w:r>
      <w:r w:rsidRPr="00896AA2">
        <w:rPr>
          <w:rFonts w:ascii="Times New Roman" w:eastAsia="Times New Roman" w:hAnsi="Times New Roman" w:cs="Times New Roman"/>
          <w:i/>
          <w:iCs/>
          <w:sz w:val="24"/>
          <w:szCs w:val="24"/>
        </w:rPr>
        <w:t>The European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(4), 220–226. </w:t>
      </w:r>
      <w:hyperlink r:id="rId3531" w:history="1">
        <w:r w:rsidRPr="00896AA2">
          <w:rPr>
            <w:rFonts w:ascii="Times New Roman" w:eastAsia="Times New Roman" w:hAnsi="Times New Roman" w:cs="Times New Roman"/>
            <w:color w:val="0000FF"/>
            <w:sz w:val="24"/>
            <w:szCs w:val="24"/>
            <w:u w:val="single"/>
          </w:rPr>
          <w:t>https://doi.org/10.4321/S0213-61632010000400004</w:t>
        </w:r>
      </w:hyperlink>
    </w:p>
    <w:p w14:paraId="1CB2AE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Erickson, M., Ringer, J., Buck, K. D., Semerari, A., Carcione, A., &amp; Dimaggio, G. (2011). Metacognition in schizophrenia: The relationship of mastery to coping, insight, self‐esteem, social anxiety, and various facets of neurocognition. </w:t>
      </w:r>
      <w:r w:rsidRPr="00896AA2">
        <w:rPr>
          <w:rFonts w:ascii="Times New Roman" w:eastAsia="Times New Roman" w:hAnsi="Times New Roman" w:cs="Times New Roman"/>
          <w:i/>
          <w:iCs/>
          <w:sz w:val="24"/>
          <w:szCs w:val="24"/>
        </w:rPr>
        <w:t>British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(4), 412–424. </w:t>
      </w:r>
      <w:hyperlink r:id="rId3532" w:history="1">
        <w:r w:rsidRPr="00896AA2">
          <w:rPr>
            <w:rFonts w:ascii="Times New Roman" w:eastAsia="Times New Roman" w:hAnsi="Times New Roman" w:cs="Times New Roman"/>
            <w:color w:val="0000FF"/>
            <w:sz w:val="24"/>
            <w:szCs w:val="24"/>
            <w:u w:val="single"/>
          </w:rPr>
          <w:t>https://doi.org/10.1111/j.2044-8260.2010.02003.x</w:t>
        </w:r>
      </w:hyperlink>
    </w:p>
    <w:p w14:paraId="0DDB2E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France, C. M., Hunter, N. L., &amp; Davis, L. W. (2005). Personal Narratives of Illness in Schizophrenia: Associations with Neurocognition and Symptoms. </w:t>
      </w:r>
      <w:r w:rsidRPr="00896AA2">
        <w:rPr>
          <w:rFonts w:ascii="Times New Roman" w:eastAsia="Times New Roman" w:hAnsi="Times New Roman" w:cs="Times New Roman"/>
          <w:i/>
          <w:iCs/>
          <w:sz w:val="24"/>
          <w:szCs w:val="24"/>
        </w:rPr>
        <w:t>Psychiatry: Interpersonal and Biological Processes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(2), 140–151. </w:t>
      </w:r>
      <w:hyperlink r:id="rId3533" w:history="1">
        <w:r w:rsidRPr="00896AA2">
          <w:rPr>
            <w:rFonts w:ascii="Times New Roman" w:eastAsia="Times New Roman" w:hAnsi="Times New Roman" w:cs="Times New Roman"/>
            <w:color w:val="0000FF"/>
            <w:sz w:val="24"/>
            <w:szCs w:val="24"/>
            <w:u w:val="single"/>
          </w:rPr>
          <w:t>https://doi.org/10.1521/psyc.2005.68.2.140</w:t>
        </w:r>
      </w:hyperlink>
    </w:p>
    <w:p w14:paraId="2C92906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Gumley, A., Brüne, M., Vanheule, S., Buck, K. D., &amp; Dimaggio, G. (2011). Deficits in the ability to recognize one’s own affects and those of others: Associations with neurocognition, symptoms and sexual trauma among persons with schizophrenia spectrum disorders. </w:t>
      </w:r>
      <w:r w:rsidRPr="00896AA2">
        <w:rPr>
          <w:rFonts w:ascii="Times New Roman" w:eastAsia="Times New Roman" w:hAnsi="Times New Roman" w:cs="Times New Roman"/>
          <w:i/>
          <w:iCs/>
          <w:sz w:val="24"/>
          <w:szCs w:val="24"/>
        </w:rPr>
        <w:t>Consciousness and Cognition: An International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(4), 1183–1192. </w:t>
      </w:r>
      <w:hyperlink r:id="rId3534" w:history="1">
        <w:r w:rsidRPr="00896AA2">
          <w:rPr>
            <w:rFonts w:ascii="Times New Roman" w:eastAsia="Times New Roman" w:hAnsi="Times New Roman" w:cs="Times New Roman"/>
            <w:color w:val="0000FF"/>
            <w:sz w:val="24"/>
            <w:szCs w:val="24"/>
            <w:u w:val="single"/>
          </w:rPr>
          <w:t>https://doi.org/10.1016/j.concog.2010.12.018</w:t>
        </w:r>
      </w:hyperlink>
    </w:p>
    <w:p w14:paraId="0DB9AA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Gumley, A., Luedtke, B., Buck, K. D., Ringer, J. M., Olesek, K., Kukla, M., Leonhardt, B. L., Popolo, R., &amp; Dimaggio, G. (2013). Social cognition and metacognition in schizophrenia: Evidence of their independence and linkage with outcomes.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127</w:t>
      </w:r>
      <w:r w:rsidRPr="00896AA2">
        <w:rPr>
          <w:rFonts w:ascii="Times New Roman" w:eastAsia="Times New Roman" w:hAnsi="Times New Roman" w:cs="Times New Roman"/>
          <w:sz w:val="24"/>
          <w:szCs w:val="24"/>
        </w:rPr>
        <w:t xml:space="preserve">(3), 239–247. </w:t>
      </w:r>
      <w:hyperlink r:id="rId3535" w:history="1">
        <w:r w:rsidRPr="00896AA2">
          <w:rPr>
            <w:rFonts w:ascii="Times New Roman" w:eastAsia="Times New Roman" w:hAnsi="Times New Roman" w:cs="Times New Roman"/>
            <w:color w:val="0000FF"/>
            <w:sz w:val="24"/>
            <w:szCs w:val="24"/>
            <w:u w:val="single"/>
          </w:rPr>
          <w:t>https://doi.org/10.1111/acps.12012</w:t>
        </w:r>
      </w:hyperlink>
    </w:p>
    <w:p w14:paraId="26CD46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&amp; Hammersley, J. (2006). Association of delusions and lack of cognitive flexibility with social anxiety in schizophrenia spectrum disorders.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86</w:t>
      </w:r>
      <w:r w:rsidRPr="00896AA2">
        <w:rPr>
          <w:rFonts w:ascii="Times New Roman" w:eastAsia="Times New Roman" w:hAnsi="Times New Roman" w:cs="Times New Roman"/>
          <w:sz w:val="24"/>
          <w:szCs w:val="24"/>
        </w:rPr>
        <w:t xml:space="preserve">(1–3), 147–153. </w:t>
      </w:r>
      <w:hyperlink r:id="rId3536" w:history="1">
        <w:r w:rsidRPr="00896AA2">
          <w:rPr>
            <w:rFonts w:ascii="Times New Roman" w:eastAsia="Times New Roman" w:hAnsi="Times New Roman" w:cs="Times New Roman"/>
            <w:color w:val="0000FF"/>
            <w:sz w:val="24"/>
            <w:szCs w:val="24"/>
            <w:u w:val="single"/>
          </w:rPr>
          <w:t>https://doi.org/10.1016/j.schres.2006.05.014</w:t>
        </w:r>
      </w:hyperlink>
    </w:p>
    <w:p w14:paraId="2C225A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Lancaster, R. S., Davis, L. W., &amp; Clements, C. A. (2003). Patterns of neurocognitive deficits and unawareness of illness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191</w:t>
      </w:r>
      <w:r w:rsidRPr="00896AA2">
        <w:rPr>
          <w:rFonts w:ascii="Times New Roman" w:eastAsia="Times New Roman" w:hAnsi="Times New Roman" w:cs="Times New Roman"/>
          <w:sz w:val="24"/>
          <w:szCs w:val="24"/>
        </w:rPr>
        <w:t xml:space="preserve">(1), 38–44. </w:t>
      </w:r>
      <w:hyperlink r:id="rId3537" w:history="1">
        <w:r w:rsidRPr="00896AA2">
          <w:rPr>
            <w:rFonts w:ascii="Times New Roman" w:eastAsia="Times New Roman" w:hAnsi="Times New Roman" w:cs="Times New Roman"/>
            <w:color w:val="0000FF"/>
            <w:sz w:val="24"/>
            <w:szCs w:val="24"/>
            <w:u w:val="single"/>
          </w:rPr>
          <w:t>https://doi.org/10.1097/00005053-200301000-00007</w:t>
        </w:r>
      </w:hyperlink>
    </w:p>
    <w:p w14:paraId="3CE953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Lancaster, R. S., &amp; Lysaker, J. T. (2003). Narrative transformation as an outcome in the psychotherapy of schizophrenia. </w:t>
      </w:r>
      <w:r w:rsidRPr="00896AA2">
        <w:rPr>
          <w:rFonts w:ascii="Times New Roman" w:eastAsia="Times New Roman" w:hAnsi="Times New Roman" w:cs="Times New Roman"/>
          <w:i/>
          <w:iCs/>
          <w:sz w:val="24"/>
          <w:szCs w:val="24"/>
        </w:rPr>
        <w:t>Psychology and Psychotherapy: Theory, Research and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(3), 285–299. </w:t>
      </w:r>
      <w:hyperlink r:id="rId3538" w:history="1">
        <w:r w:rsidRPr="00896AA2">
          <w:rPr>
            <w:rFonts w:ascii="Times New Roman" w:eastAsia="Times New Roman" w:hAnsi="Times New Roman" w:cs="Times New Roman"/>
            <w:color w:val="0000FF"/>
            <w:sz w:val="24"/>
            <w:szCs w:val="24"/>
            <w:u w:val="single"/>
          </w:rPr>
          <w:t>https://doi.org/10.1348/147608303322362505</w:t>
        </w:r>
      </w:hyperlink>
    </w:p>
    <w:p w14:paraId="5E3BCE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Lancaster, R. S., Nees, M. A., &amp; Davis, L. W. (2004). Patterns of obsessive-compulsive symptoms and social function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125</w:t>
      </w:r>
      <w:r w:rsidRPr="00896AA2">
        <w:rPr>
          <w:rFonts w:ascii="Times New Roman" w:eastAsia="Times New Roman" w:hAnsi="Times New Roman" w:cs="Times New Roman"/>
          <w:sz w:val="24"/>
          <w:szCs w:val="24"/>
        </w:rPr>
        <w:t xml:space="preserve">(2), 139–146. </w:t>
      </w:r>
      <w:hyperlink r:id="rId3539" w:history="1">
        <w:r w:rsidRPr="00896AA2">
          <w:rPr>
            <w:rFonts w:ascii="Times New Roman" w:eastAsia="Times New Roman" w:hAnsi="Times New Roman" w:cs="Times New Roman"/>
            <w:color w:val="0000FF"/>
            <w:sz w:val="24"/>
            <w:szCs w:val="24"/>
            <w:u w:val="single"/>
          </w:rPr>
          <w:t>https://doi.org/10.1016/j.psychres.2003.12.007</w:t>
        </w:r>
      </w:hyperlink>
    </w:p>
    <w:p w14:paraId="377160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Leonhardt, B. L., Brüne, M., Buck, K. D., James, A., Vohs, J., Francis, M., Hamm, J. A., Salvatore, G., Ringer, J. M., &amp; Dimaggio, G. (2014). Capacities for theory of mind, metacognition, and neurocognitive function are independently related to emotional recognition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219</w:t>
      </w:r>
      <w:r w:rsidRPr="00896AA2">
        <w:rPr>
          <w:rFonts w:ascii="Times New Roman" w:eastAsia="Times New Roman" w:hAnsi="Times New Roman" w:cs="Times New Roman"/>
          <w:sz w:val="24"/>
          <w:szCs w:val="24"/>
        </w:rPr>
        <w:t xml:space="preserve">(1), 79–85. </w:t>
      </w:r>
      <w:hyperlink r:id="rId3540" w:history="1">
        <w:r w:rsidRPr="00896AA2">
          <w:rPr>
            <w:rFonts w:ascii="Times New Roman" w:eastAsia="Times New Roman" w:hAnsi="Times New Roman" w:cs="Times New Roman"/>
            <w:color w:val="0000FF"/>
            <w:sz w:val="24"/>
            <w:szCs w:val="24"/>
            <w:u w:val="single"/>
          </w:rPr>
          <w:t>https://doi.org/10.1016/j.psychres.2014.05.004</w:t>
        </w:r>
      </w:hyperlink>
    </w:p>
    <w:p w14:paraId="138773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Marks, K. A., Picone, J. B., Rollins, A. L., Fastenau, P. S., &amp; Bond, G. R. (2000). Obsessive and compulsive symptoms in schizophrenia.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188</w:t>
      </w:r>
      <w:r w:rsidRPr="00896AA2">
        <w:rPr>
          <w:rFonts w:ascii="Times New Roman" w:eastAsia="Times New Roman" w:hAnsi="Times New Roman" w:cs="Times New Roman"/>
          <w:sz w:val="24"/>
          <w:szCs w:val="24"/>
        </w:rPr>
        <w:t xml:space="preserve">(2), 78–83. </w:t>
      </w:r>
      <w:hyperlink r:id="rId3541" w:history="1">
        <w:r w:rsidRPr="00896AA2">
          <w:rPr>
            <w:rFonts w:ascii="Times New Roman" w:eastAsia="Times New Roman" w:hAnsi="Times New Roman" w:cs="Times New Roman"/>
            <w:color w:val="0000FF"/>
            <w:sz w:val="24"/>
            <w:szCs w:val="24"/>
            <w:u w:val="single"/>
          </w:rPr>
          <w:t>https://doi.org/10.1097/00005053-200002000-00003</w:t>
        </w:r>
      </w:hyperlink>
    </w:p>
    <w:p w14:paraId="4E645BE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McCormick, B. P., Snethen, G., Buck, K. D., Hamm, J. A., Grant, M., Nicolò, G., &amp; Dimaggio, G. (2011). Metacognition and social function in schizophrenia: Associations of mastery with functional skills competence.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131</w:t>
      </w:r>
      <w:r w:rsidRPr="00896AA2">
        <w:rPr>
          <w:rFonts w:ascii="Times New Roman" w:eastAsia="Times New Roman" w:hAnsi="Times New Roman" w:cs="Times New Roman"/>
          <w:sz w:val="24"/>
          <w:szCs w:val="24"/>
        </w:rPr>
        <w:t xml:space="preserve">(1–3), 214–218. </w:t>
      </w:r>
      <w:hyperlink r:id="rId3542" w:history="1">
        <w:r w:rsidRPr="00896AA2">
          <w:rPr>
            <w:rFonts w:ascii="Times New Roman" w:eastAsia="Times New Roman" w:hAnsi="Times New Roman" w:cs="Times New Roman"/>
            <w:color w:val="0000FF"/>
            <w:sz w:val="24"/>
            <w:szCs w:val="24"/>
            <w:u w:val="single"/>
          </w:rPr>
          <w:t>https://doi.org/10.1016/j.schres.2011.06.011</w:t>
        </w:r>
      </w:hyperlink>
    </w:p>
    <w:p w14:paraId="7B2609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Meyer, P., Evans, J. D., &amp; Marks, K. A. (2001). Neurocognitive and symptom correlates of self-reported childhood sexual abuse in schizophrenia spectrum disorders. </w:t>
      </w:r>
      <w:r w:rsidRPr="00896AA2">
        <w:rPr>
          <w:rFonts w:ascii="Times New Roman" w:eastAsia="Times New Roman" w:hAnsi="Times New Roman" w:cs="Times New Roman"/>
          <w:i/>
          <w:iCs/>
          <w:sz w:val="24"/>
          <w:szCs w:val="24"/>
        </w:rPr>
        <w:t>Annals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(2), 89–92. </w:t>
      </w:r>
      <w:hyperlink r:id="rId3543" w:history="1">
        <w:r w:rsidRPr="00896AA2">
          <w:rPr>
            <w:rFonts w:ascii="Times New Roman" w:eastAsia="Times New Roman" w:hAnsi="Times New Roman" w:cs="Times New Roman"/>
            <w:color w:val="0000FF"/>
            <w:sz w:val="24"/>
            <w:szCs w:val="24"/>
            <w:u w:val="single"/>
          </w:rPr>
          <w:t>https://doi.org/10.1023/A:1016667624487</w:t>
        </w:r>
      </w:hyperlink>
    </w:p>
    <w:p w14:paraId="7D3DCA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Salvatore, G., Grant, M. L. A., Procacci, M., Olesek, K. L., Buck, K. D., Nicolò, G., &amp; Dimaggio, G. (2010). Deficits in theory of mind and social anxiety as independent paths to paranoid features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124</w:t>
      </w:r>
      <w:r w:rsidRPr="00896AA2">
        <w:rPr>
          <w:rFonts w:ascii="Times New Roman" w:eastAsia="Times New Roman" w:hAnsi="Times New Roman" w:cs="Times New Roman"/>
          <w:sz w:val="24"/>
          <w:szCs w:val="24"/>
        </w:rPr>
        <w:t xml:space="preserve">(1–3), 81–85. </w:t>
      </w:r>
      <w:hyperlink r:id="rId3544" w:history="1">
        <w:r w:rsidRPr="00896AA2">
          <w:rPr>
            <w:rFonts w:ascii="Times New Roman" w:eastAsia="Times New Roman" w:hAnsi="Times New Roman" w:cs="Times New Roman"/>
            <w:color w:val="0000FF"/>
            <w:sz w:val="24"/>
            <w:szCs w:val="24"/>
            <w:u w:val="single"/>
          </w:rPr>
          <w:t>https://doi.org/10.1016/j.schres.2010.06.019</w:t>
        </w:r>
      </w:hyperlink>
    </w:p>
    <w:p w14:paraId="4698BE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Shea, A. M., Buck, K. D., Dimaggio, G., Nicolò, G., Procacci, M., Salvatore, G., &amp; Rand, K. L. (2010). Metacognition as a mediator of the effects of impairments in neurocognition on social function in schizophrenia spectrum disorders.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122</w:t>
      </w:r>
      <w:r w:rsidRPr="00896AA2">
        <w:rPr>
          <w:rFonts w:ascii="Times New Roman" w:eastAsia="Times New Roman" w:hAnsi="Times New Roman" w:cs="Times New Roman"/>
          <w:sz w:val="24"/>
          <w:szCs w:val="24"/>
        </w:rPr>
        <w:t xml:space="preserve">(5), 405–413. </w:t>
      </w:r>
      <w:hyperlink r:id="rId3545" w:history="1">
        <w:r w:rsidRPr="00896AA2">
          <w:rPr>
            <w:rFonts w:ascii="Times New Roman" w:eastAsia="Times New Roman" w:hAnsi="Times New Roman" w:cs="Times New Roman"/>
            <w:color w:val="0000FF"/>
            <w:sz w:val="24"/>
            <w:szCs w:val="24"/>
            <w:u w:val="single"/>
          </w:rPr>
          <w:t>https://doi.org/10.1111/j.1600-0447.2010.01554.x</w:t>
        </w:r>
      </w:hyperlink>
    </w:p>
    <w:p w14:paraId="6CCD89B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Tsai, J., Maulucci, A. M., &amp; Stanghellini, G. (2008). Narrative accounts of illness in schizophrenia: Association of different forms of awareness with neurocognition and social function over time. </w:t>
      </w:r>
      <w:r w:rsidRPr="00896AA2">
        <w:rPr>
          <w:rFonts w:ascii="Times New Roman" w:eastAsia="Times New Roman" w:hAnsi="Times New Roman" w:cs="Times New Roman"/>
          <w:i/>
          <w:iCs/>
          <w:sz w:val="24"/>
          <w:szCs w:val="24"/>
        </w:rPr>
        <w:t>Consciousness and Cognition: An International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1143–1151. </w:t>
      </w:r>
      <w:hyperlink r:id="rId3546" w:history="1">
        <w:r w:rsidRPr="00896AA2">
          <w:rPr>
            <w:rFonts w:ascii="Times New Roman" w:eastAsia="Times New Roman" w:hAnsi="Times New Roman" w:cs="Times New Roman"/>
            <w:color w:val="0000FF"/>
            <w:sz w:val="24"/>
            <w:szCs w:val="24"/>
            <w:u w:val="single"/>
          </w:rPr>
          <w:t>https://doi.org/10.1016/j.concog.2008.09.005</w:t>
        </w:r>
      </w:hyperlink>
    </w:p>
    <w:p w14:paraId="242883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Whitney, K. A., &amp; Davis, L. W. (2006). Awareness of Illness in Schizophrenia: Associations with Multiple Assessments of Executive Function.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(4), 516–520. </w:t>
      </w:r>
      <w:hyperlink r:id="rId3547" w:history="1">
        <w:r w:rsidRPr="00896AA2">
          <w:rPr>
            <w:rFonts w:ascii="Times New Roman" w:eastAsia="Times New Roman" w:hAnsi="Times New Roman" w:cs="Times New Roman"/>
            <w:color w:val="0000FF"/>
            <w:sz w:val="24"/>
            <w:szCs w:val="24"/>
            <w:u w:val="single"/>
          </w:rPr>
          <w:t>https://doi.org/10.1176/appi.neuropsych.18.4.516</w:t>
        </w:r>
      </w:hyperlink>
    </w:p>
    <w:p w14:paraId="415424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Wickett, A., &amp; Davis, L. W. (2005). Narrative Qualities in Schizophrenia: Associations With Impairments in Neurocognition and Negative Symptoms.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193</w:t>
      </w:r>
      <w:r w:rsidRPr="00896AA2">
        <w:rPr>
          <w:rFonts w:ascii="Times New Roman" w:eastAsia="Times New Roman" w:hAnsi="Times New Roman" w:cs="Times New Roman"/>
          <w:sz w:val="24"/>
          <w:szCs w:val="24"/>
        </w:rPr>
        <w:t xml:space="preserve">(4), 244–249. </w:t>
      </w:r>
      <w:hyperlink r:id="rId3548" w:history="1">
        <w:r w:rsidRPr="00896AA2">
          <w:rPr>
            <w:rFonts w:ascii="Times New Roman" w:eastAsia="Times New Roman" w:hAnsi="Times New Roman" w:cs="Times New Roman"/>
            <w:color w:val="0000FF"/>
            <w:sz w:val="24"/>
            <w:szCs w:val="24"/>
            <w:u w:val="single"/>
          </w:rPr>
          <w:t>https://doi.org/10.1097/01.nmd.0000158376.53165.de</w:t>
        </w:r>
      </w:hyperlink>
    </w:p>
    <w:p w14:paraId="540B75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Lysaker, P. H., Wickett, A. M., Lancaster, R. S., &amp; Davis, L. W. (2004). Neurocognitive deficits and history of childhood abuse in schizophrenia spectrum disorders: Associations with Cluster B personality traits.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(1), 87–94. </w:t>
      </w:r>
      <w:hyperlink r:id="rId3549" w:history="1">
        <w:r w:rsidRPr="00896AA2">
          <w:rPr>
            <w:rFonts w:ascii="Times New Roman" w:eastAsia="Times New Roman" w:hAnsi="Times New Roman" w:cs="Times New Roman"/>
            <w:color w:val="0000FF"/>
            <w:sz w:val="24"/>
            <w:szCs w:val="24"/>
            <w:u w:val="single"/>
          </w:rPr>
          <w:t>https://doi.org/10.1016/S0920-9964(03)00195-6</w:t>
        </w:r>
      </w:hyperlink>
    </w:p>
    <w:p w14:paraId="56B299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Brooks, J., &amp; Matica, D. (2004). Effects of caffeine on cognitive and autonomic measures in heavy and light caffeine consumers. </w:t>
      </w:r>
      <w:r w:rsidRPr="00896AA2">
        <w:rPr>
          <w:rFonts w:ascii="Times New Roman" w:eastAsia="Times New Roman" w:hAnsi="Times New Roman" w:cs="Times New Roman"/>
          <w:i/>
          <w:iCs/>
          <w:sz w:val="24"/>
          <w:szCs w:val="24"/>
        </w:rPr>
        <w:t>Australian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56</w:t>
      </w:r>
      <w:r w:rsidRPr="00896AA2">
        <w:rPr>
          <w:rFonts w:ascii="Times New Roman" w:eastAsia="Times New Roman" w:hAnsi="Times New Roman" w:cs="Times New Roman"/>
          <w:sz w:val="24"/>
          <w:szCs w:val="24"/>
        </w:rPr>
        <w:t xml:space="preserve">(1), 33–41. </w:t>
      </w:r>
      <w:hyperlink r:id="rId3550" w:history="1">
        <w:r w:rsidRPr="00896AA2">
          <w:rPr>
            <w:rFonts w:ascii="Times New Roman" w:eastAsia="Times New Roman" w:hAnsi="Times New Roman" w:cs="Times New Roman"/>
            <w:color w:val="0000FF"/>
            <w:sz w:val="24"/>
            <w:szCs w:val="24"/>
            <w:u w:val="single"/>
          </w:rPr>
          <w:t>https://doi.org/10.1080/00049530410001688119</w:t>
        </w:r>
      </w:hyperlink>
    </w:p>
    <w:p w14:paraId="1CAB48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Carlopio, C., Bothma, V., &amp; Edwards, M. S. (2013). Mood, mood regulation expectancies and frontal systems functioning in current smokers versus never-smokers in China and Australia.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(11), 2741–2750. </w:t>
      </w:r>
      <w:hyperlink r:id="rId3551" w:history="1">
        <w:r w:rsidRPr="00896AA2">
          <w:rPr>
            <w:rFonts w:ascii="Times New Roman" w:eastAsia="Times New Roman" w:hAnsi="Times New Roman" w:cs="Times New Roman"/>
            <w:color w:val="0000FF"/>
            <w:sz w:val="24"/>
            <w:szCs w:val="24"/>
            <w:u w:val="single"/>
          </w:rPr>
          <w:t>https://doi.org/10.1016/j.addbeh.2013.07.002</w:t>
        </w:r>
      </w:hyperlink>
    </w:p>
    <w:p w14:paraId="720A8C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Duff, H., Basch, V., &amp; Edwards, M. S. (2012). Rash impulsiveness and reward sensitivity in relation to risky drinking by university students: Potential roles of frontal systems.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(8), 940–946. </w:t>
      </w:r>
      <w:hyperlink r:id="rId3552" w:history="1">
        <w:r w:rsidRPr="00896AA2">
          <w:rPr>
            <w:rFonts w:ascii="Times New Roman" w:eastAsia="Times New Roman" w:hAnsi="Times New Roman" w:cs="Times New Roman"/>
            <w:color w:val="0000FF"/>
            <w:sz w:val="24"/>
            <w:szCs w:val="24"/>
            <w:u w:val="single"/>
          </w:rPr>
          <w:t>https://doi.org/10.1016/j.addbeh.2012.03.028</w:t>
        </w:r>
      </w:hyperlink>
    </w:p>
    <w:p w14:paraId="19CC71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Maltzman, I., &amp; Miyata, Y. (1994). Effects of cigarette smoking and smoking deprivation on Wisconsin Card Sorting Test performance. </w:t>
      </w:r>
      <w:r w:rsidRPr="00896AA2">
        <w:rPr>
          <w:rFonts w:ascii="Times New Roman" w:eastAsia="Times New Roman" w:hAnsi="Times New Roman" w:cs="Times New Roman"/>
          <w:i/>
          <w:iCs/>
          <w:sz w:val="24"/>
          <w:szCs w:val="24"/>
        </w:rPr>
        <w:t>Experimental and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(3), 283–289. </w:t>
      </w:r>
      <w:hyperlink r:id="rId3553" w:history="1">
        <w:r w:rsidRPr="00896AA2">
          <w:rPr>
            <w:rFonts w:ascii="Times New Roman" w:eastAsia="Times New Roman" w:hAnsi="Times New Roman" w:cs="Times New Roman"/>
            <w:color w:val="0000FF"/>
            <w:sz w:val="24"/>
            <w:szCs w:val="24"/>
            <w:u w:val="single"/>
          </w:rPr>
          <w:t>https://doi.org/10.1037/1064-1297.2.3.283</w:t>
        </w:r>
      </w:hyperlink>
    </w:p>
    <w:p w14:paraId="5330F7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Lyvers, M., &amp; Tobias-Webb, J. (2010). Effects of acute alcohol consumption on executive cognitive functioning in naturalistic settings.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(11), 1021–1028. </w:t>
      </w:r>
      <w:hyperlink r:id="rId3554" w:history="1">
        <w:r w:rsidRPr="00896AA2">
          <w:rPr>
            <w:rFonts w:ascii="Times New Roman" w:eastAsia="Times New Roman" w:hAnsi="Times New Roman" w:cs="Times New Roman"/>
            <w:color w:val="0000FF"/>
            <w:sz w:val="24"/>
            <w:szCs w:val="24"/>
            <w:u w:val="single"/>
          </w:rPr>
          <w:t>https://doi.org/10.1016/j.addbeh.2010.06.022</w:t>
        </w:r>
      </w:hyperlink>
    </w:p>
    <w:p w14:paraId="189B54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 H., Lv, X., Han, Y., Zhang, F., Ye, R., Yu, F., Han, Y., Schiebener, J., &amp; Wang, K. (2013). Decision-making impairments in patients with Wilson’s disease.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472–479. </w:t>
      </w:r>
      <w:hyperlink r:id="rId3555" w:history="1">
        <w:r w:rsidRPr="00896AA2">
          <w:rPr>
            <w:rFonts w:ascii="Times New Roman" w:eastAsia="Times New Roman" w:hAnsi="Times New Roman" w:cs="Times New Roman"/>
            <w:color w:val="0000FF"/>
            <w:sz w:val="24"/>
            <w:szCs w:val="24"/>
            <w:u w:val="single"/>
          </w:rPr>
          <w:t>https://doi.org/10.1080/13803395.2013.789486</w:t>
        </w:r>
      </w:hyperlink>
    </w:p>
    <w:p w14:paraId="19FE43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MacAllister, W. S., Maiman, M., Marsh, M., Whitman, L., Vasserman, M., Cohen, R. J., &amp; Salinas, C. M. (2018). Sensitivity of the Wisconsin Card Sorting Test (64-Card Version) versus the Tower of London (Drexel Version) for detecting executive dysfunction in children with epilepsy. </w:t>
      </w:r>
      <w:r w:rsidRPr="00896AA2">
        <w:rPr>
          <w:rFonts w:ascii="Times New Roman" w:eastAsia="Times New Roman" w:hAnsi="Times New Roman" w:cs="Times New Roman"/>
          <w:i/>
          <w:iCs/>
          <w:sz w:val="24"/>
          <w:szCs w:val="24"/>
        </w:rPr>
        <w:t>Child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(3), 354–369. </w:t>
      </w:r>
      <w:hyperlink r:id="rId3556" w:history="1">
        <w:r w:rsidRPr="00896AA2">
          <w:rPr>
            <w:rFonts w:ascii="Times New Roman" w:eastAsia="Times New Roman" w:hAnsi="Times New Roman" w:cs="Times New Roman"/>
            <w:color w:val="0000FF"/>
            <w:sz w:val="24"/>
            <w:szCs w:val="24"/>
            <w:u w:val="single"/>
          </w:rPr>
          <w:t>https://doi.org/10.1080/09297049.2016.1265101</w:t>
        </w:r>
      </w:hyperlink>
    </w:p>
    <w:p w14:paraId="4A600AB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Macciocchi, S. N., Seel, R. T., Alderson, A., &amp; Godsall, R. (2006). Victoria Symptom Validity Test performance in acute severe traumatic brain injury: Implications for test interpretation.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(5), 395–404. </w:t>
      </w:r>
      <w:hyperlink r:id="rId3557" w:history="1">
        <w:r w:rsidRPr="00896AA2">
          <w:rPr>
            <w:rFonts w:ascii="Times New Roman" w:eastAsia="Times New Roman" w:hAnsi="Times New Roman" w:cs="Times New Roman"/>
            <w:color w:val="0000FF"/>
            <w:sz w:val="24"/>
            <w:szCs w:val="24"/>
            <w:u w:val="single"/>
          </w:rPr>
          <w:t>https://doi.org/10.1016/j.acn.2006.06.003</w:t>
        </w:r>
      </w:hyperlink>
    </w:p>
    <w:p w14:paraId="6187EE0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MacDonald, C. L., Johnson, A. M., Nelson, E. C., Werner, N. J., Fang, R., Flaherty, S. F., &amp; Brody, D. L. (2014). Functional status after blast-plus-impact complex concussive traumatic brain injury in evacuated United States military personnel. </w:t>
      </w:r>
      <w:r w:rsidRPr="00896AA2">
        <w:rPr>
          <w:rFonts w:ascii="Times New Roman" w:eastAsia="Times New Roman" w:hAnsi="Times New Roman" w:cs="Times New Roman"/>
          <w:i/>
          <w:iCs/>
          <w:sz w:val="24"/>
          <w:szCs w:val="24"/>
        </w:rPr>
        <w:t>Journal of Neurotrauma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(10), 889–898. </w:t>
      </w:r>
      <w:hyperlink r:id="rId3558" w:history="1">
        <w:r w:rsidRPr="00896AA2">
          <w:rPr>
            <w:rFonts w:ascii="Times New Roman" w:eastAsia="Times New Roman" w:hAnsi="Times New Roman" w:cs="Times New Roman"/>
            <w:color w:val="0000FF"/>
            <w:sz w:val="24"/>
            <w:szCs w:val="24"/>
            <w:u w:val="single"/>
          </w:rPr>
          <w:t>https://doi.org/10.1089/neu.2013.3173</w:t>
        </w:r>
      </w:hyperlink>
    </w:p>
    <w:p w14:paraId="36C2D9A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Macdonald, H., &amp; Hobza, C. (2016). Collaborative assessment and social justice. In </w:t>
      </w:r>
      <w:r w:rsidRPr="00896AA2">
        <w:rPr>
          <w:rFonts w:ascii="Times New Roman" w:eastAsia="Times New Roman" w:hAnsi="Times New Roman" w:cs="Times New Roman"/>
          <w:i/>
          <w:iCs/>
          <w:sz w:val="24"/>
          <w:szCs w:val="24"/>
        </w:rPr>
        <w:t>Assessing children in the urban community.</w:t>
      </w:r>
      <w:r w:rsidRPr="00896AA2">
        <w:rPr>
          <w:rFonts w:ascii="Times New Roman" w:eastAsia="Times New Roman" w:hAnsi="Times New Roman" w:cs="Times New Roman"/>
          <w:sz w:val="24"/>
          <w:szCs w:val="24"/>
        </w:rPr>
        <w:t xml:space="preserve"> (pp. 69–78). Routledge/Taylor &amp; Francis Group.</w:t>
      </w:r>
    </w:p>
    <w:p w14:paraId="6C23EE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MacDonald, H. Z., Vasterling, J. J., &amp; Rasmusson, A. (2011). Neuropsychological underpinnings of PTSD in children and adolescents. </w:t>
      </w:r>
      <w:r w:rsidRPr="00896AA2">
        <w:rPr>
          <w:rFonts w:ascii="Times New Roman" w:eastAsia="Times New Roman" w:hAnsi="Times New Roman" w:cs="Times New Roman"/>
          <w:i/>
          <w:iCs/>
          <w:sz w:val="24"/>
          <w:szCs w:val="24"/>
        </w:rPr>
        <w:t>Post-Traumatic Syndromes in Childhood and Adolescence: A Handbook of Research and Practice.</w:t>
      </w:r>
      <w:r w:rsidRPr="00896AA2">
        <w:rPr>
          <w:rFonts w:ascii="Times New Roman" w:eastAsia="Times New Roman" w:hAnsi="Times New Roman" w:cs="Times New Roman"/>
          <w:sz w:val="24"/>
          <w:szCs w:val="24"/>
        </w:rPr>
        <w:t>, 113–133.</w:t>
      </w:r>
    </w:p>
    <w:p w14:paraId="3992A4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MacDougall, E. E., &amp; Mansbach, W. E. (2013). The Judgment Test of the Neuropsychological Assessment Battery (NAB): Psychometric considerations in an assisted-living sample.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(5), 827–839. </w:t>
      </w:r>
      <w:hyperlink r:id="rId3559" w:history="1">
        <w:r w:rsidRPr="00896AA2">
          <w:rPr>
            <w:rFonts w:ascii="Times New Roman" w:eastAsia="Times New Roman" w:hAnsi="Times New Roman" w:cs="Times New Roman"/>
            <w:color w:val="0000FF"/>
            <w:sz w:val="24"/>
            <w:szCs w:val="24"/>
            <w:u w:val="single"/>
          </w:rPr>
          <w:t>https://doi.org/10.1080/13854046.2013.786759</w:t>
        </w:r>
      </w:hyperlink>
    </w:p>
    <w:p w14:paraId="49C1E7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Macgregor, A., Norton, J., Bortolon, C., Robichon, M., Rolland, C., Boulenger, J.-P., Raffard, S., &amp; Capdevielle, D. (2015). Insight of patients and their parents into schizophrenia: Exploring agreement and the influence of parental factors.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228</w:t>
      </w:r>
      <w:r w:rsidRPr="00896AA2">
        <w:rPr>
          <w:rFonts w:ascii="Times New Roman" w:eastAsia="Times New Roman" w:hAnsi="Times New Roman" w:cs="Times New Roman"/>
          <w:sz w:val="24"/>
          <w:szCs w:val="24"/>
        </w:rPr>
        <w:t xml:space="preserve">(3), 879–886. </w:t>
      </w:r>
      <w:hyperlink r:id="rId3560" w:history="1">
        <w:r w:rsidRPr="00896AA2">
          <w:rPr>
            <w:rFonts w:ascii="Times New Roman" w:eastAsia="Times New Roman" w:hAnsi="Times New Roman" w:cs="Times New Roman"/>
            <w:color w:val="0000FF"/>
            <w:sz w:val="24"/>
            <w:szCs w:val="24"/>
            <w:u w:val="single"/>
          </w:rPr>
          <w:t>https://doi.org/10.1016/j.psychres.2015.05.005</w:t>
        </w:r>
      </w:hyperlink>
    </w:p>
    <w:p w14:paraId="2EE21D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Macgregor, A., Norton, J., Raffard, S., &amp; Capdevielle, D. (2017). Is there a link between biological parents’ insight into their offspring’s schizophrenia and their cognitive functioning, expressed emotion and knowledge about disorder? </w:t>
      </w:r>
      <w:r w:rsidRPr="00896AA2">
        <w:rPr>
          <w:rFonts w:ascii="Times New Roman" w:eastAsia="Times New Roman" w:hAnsi="Times New Roman" w:cs="Times New Roman"/>
          <w:i/>
          <w:iCs/>
          <w:sz w:val="24"/>
          <w:szCs w:val="24"/>
        </w:rPr>
        <w:t>Comprehensive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76</w:t>
      </w:r>
      <w:r w:rsidRPr="00896AA2">
        <w:rPr>
          <w:rFonts w:ascii="Times New Roman" w:eastAsia="Times New Roman" w:hAnsi="Times New Roman" w:cs="Times New Roman"/>
          <w:sz w:val="24"/>
          <w:szCs w:val="24"/>
        </w:rPr>
        <w:t xml:space="preserve">, 98–103. </w:t>
      </w:r>
      <w:hyperlink r:id="rId3561" w:history="1">
        <w:r w:rsidRPr="00896AA2">
          <w:rPr>
            <w:rFonts w:ascii="Times New Roman" w:eastAsia="Times New Roman" w:hAnsi="Times New Roman" w:cs="Times New Roman"/>
            <w:color w:val="0000FF"/>
            <w:sz w:val="24"/>
            <w:szCs w:val="24"/>
            <w:u w:val="single"/>
          </w:rPr>
          <w:t>https://doi.org/10.1016/j.comppsych.2017.02.013</w:t>
        </w:r>
      </w:hyperlink>
    </w:p>
    <w:p w14:paraId="339E63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Machado, F. A., &amp; Reppold, C. T. (2015). The effect of deep brain stimulation on motor and cognitive symptoms of Parkinson’s disease: A literature review. </w:t>
      </w:r>
      <w:r w:rsidRPr="00896AA2">
        <w:rPr>
          <w:rFonts w:ascii="Times New Roman" w:eastAsia="Times New Roman" w:hAnsi="Times New Roman" w:cs="Times New Roman"/>
          <w:i/>
          <w:iCs/>
          <w:sz w:val="24"/>
          <w:szCs w:val="24"/>
        </w:rPr>
        <w:t>Dementia &amp; 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 24–31. </w:t>
      </w:r>
      <w:hyperlink r:id="rId3562" w:history="1">
        <w:r w:rsidRPr="00896AA2">
          <w:rPr>
            <w:rFonts w:ascii="Times New Roman" w:eastAsia="Times New Roman" w:hAnsi="Times New Roman" w:cs="Times New Roman"/>
            <w:color w:val="0000FF"/>
            <w:sz w:val="24"/>
            <w:szCs w:val="24"/>
            <w:u w:val="single"/>
          </w:rPr>
          <w:t>https://doi.org/10.1590/S1980-57642015DN91000005</w:t>
        </w:r>
      </w:hyperlink>
    </w:p>
    <w:p w14:paraId="5E6EE0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&amp; Areán, P. A. (2009). Impaired financial capacity in late life depression is associated with cognitive performance on measures of executive functioning and attention.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(5), 793–798. </w:t>
      </w:r>
      <w:hyperlink r:id="rId3563" w:history="1">
        <w:r w:rsidRPr="00896AA2">
          <w:rPr>
            <w:rFonts w:ascii="Times New Roman" w:eastAsia="Times New Roman" w:hAnsi="Times New Roman" w:cs="Times New Roman"/>
            <w:color w:val="0000FF"/>
            <w:sz w:val="24"/>
            <w:szCs w:val="24"/>
            <w:u w:val="single"/>
          </w:rPr>
          <w:t>https://doi.org/10.1017/S1355617709990300</w:t>
        </w:r>
      </w:hyperlink>
    </w:p>
    <w:p w14:paraId="5E9F48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Areán, P., &amp; Elite-Marcandonatou, A. (2006). Problem solving therapy for the treatment of depression for a patient with Parkinson’s disease and mild cognitive impairment: A case study.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(3), 375–379. </w:t>
      </w:r>
      <w:hyperlink r:id="rId3564" w:history="1">
        <w:r w:rsidRPr="00896AA2">
          <w:rPr>
            <w:rFonts w:ascii="Times New Roman" w:eastAsia="Times New Roman" w:hAnsi="Times New Roman" w:cs="Times New Roman"/>
            <w:color w:val="0000FF"/>
            <w:sz w:val="24"/>
            <w:szCs w:val="24"/>
            <w:u w:val="single"/>
          </w:rPr>
          <w:t>https://doi.org/10.2147/nedt.2006.2.3.375</w:t>
        </w:r>
      </w:hyperlink>
    </w:p>
    <w:p w14:paraId="1FB228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Horner, M. D., Harvey, R. T., &amp; Stevens, L. A. (2005). The Relationship Between Neuropsychological Measures and Employment Problems in Outpatients With Substance Abuse. </w:t>
      </w:r>
      <w:r w:rsidRPr="00896AA2">
        <w:rPr>
          <w:rFonts w:ascii="Times New Roman" w:eastAsia="Times New Roman" w:hAnsi="Times New Roman" w:cs="Times New Roman"/>
          <w:i/>
          <w:iCs/>
          <w:sz w:val="24"/>
          <w:szCs w:val="24"/>
        </w:rPr>
        <w:t>Rehabilitation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(2), 158–163. </w:t>
      </w:r>
      <w:hyperlink r:id="rId3565" w:history="1">
        <w:r w:rsidRPr="00896AA2">
          <w:rPr>
            <w:rFonts w:ascii="Times New Roman" w:eastAsia="Times New Roman" w:hAnsi="Times New Roman" w:cs="Times New Roman"/>
            <w:color w:val="0000FF"/>
            <w:sz w:val="24"/>
            <w:szCs w:val="24"/>
            <w:u w:val="single"/>
          </w:rPr>
          <w:t>https://doi.org/10.1037/0090-5550.50.2.158</w:t>
        </w:r>
      </w:hyperlink>
    </w:p>
    <w:p w14:paraId="10D5D6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Nelson, J. C., Delucchi, K. L., Raue, P. J., Satre, D. D., Kiosses, D. N., Alexopoulos, G. S., &amp; Arean, P. A. (2014). Association of age at depression onset with cognitive functioning in individuals with late-life depression and executive dysfunction.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(12), 1633–1641. </w:t>
      </w:r>
      <w:hyperlink r:id="rId3566" w:history="1">
        <w:r w:rsidRPr="00896AA2">
          <w:rPr>
            <w:rFonts w:ascii="Times New Roman" w:eastAsia="Times New Roman" w:hAnsi="Times New Roman" w:cs="Times New Roman"/>
            <w:color w:val="0000FF"/>
            <w:sz w:val="24"/>
            <w:szCs w:val="24"/>
            <w:u w:val="single"/>
          </w:rPr>
          <w:t>https://doi.org/10.1016/j.jagp.2014.02.006</w:t>
        </w:r>
      </w:hyperlink>
    </w:p>
    <w:p w14:paraId="76A381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Mackin, R. S., Nelson, J. C., Delucchi, K., Raue, P., Byers, A., Barnes, D., Satre, D. D., Yaffe, K., Alexopoulos, G. S., &amp; Arean, P. A. (2014). Cognitive outcomes after psychotherapeutic interventions for major depression in older adults with executive dysfunction.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(12), 1496–1503. </w:t>
      </w:r>
      <w:hyperlink r:id="rId3567" w:history="1">
        <w:r w:rsidRPr="00896AA2">
          <w:rPr>
            <w:rFonts w:ascii="Times New Roman" w:eastAsia="Times New Roman" w:hAnsi="Times New Roman" w:cs="Times New Roman"/>
            <w:color w:val="0000FF"/>
            <w:sz w:val="24"/>
            <w:szCs w:val="24"/>
            <w:u w:val="single"/>
          </w:rPr>
          <w:t>https://doi.org/10.1016/j.jagp.2013.11.002</w:t>
        </w:r>
      </w:hyperlink>
    </w:p>
    <w:p w14:paraId="79A4C8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Mackowick, K. M., Barr, M. S., Wing, V. C., Rabin, R. A., Ouellet-Plamondon, C., &amp; George, T. P. (2014). Neurocognitive endophenotypes in schizophrenia: Modulation by nicotinic receptor systems.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52</w:t>
      </w:r>
      <w:r w:rsidRPr="00896AA2">
        <w:rPr>
          <w:rFonts w:ascii="Times New Roman" w:eastAsia="Times New Roman" w:hAnsi="Times New Roman" w:cs="Times New Roman"/>
          <w:sz w:val="24"/>
          <w:szCs w:val="24"/>
        </w:rPr>
        <w:t xml:space="preserve">, 79–85. </w:t>
      </w:r>
      <w:hyperlink r:id="rId3568" w:history="1">
        <w:r w:rsidRPr="00896AA2">
          <w:rPr>
            <w:rFonts w:ascii="Times New Roman" w:eastAsia="Times New Roman" w:hAnsi="Times New Roman" w:cs="Times New Roman"/>
            <w:color w:val="0000FF"/>
            <w:sz w:val="24"/>
            <w:szCs w:val="24"/>
            <w:u w:val="single"/>
          </w:rPr>
          <w:t>https://doi.org/10.1016/j.pnpbp.2013.07.010</w:t>
        </w:r>
      </w:hyperlink>
    </w:p>
    <w:p w14:paraId="41BB52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Macnamara, B. N., &amp; Conway, A. R. A. (2016). Working memory capacity as a predictor of simultaneous language interpreting performance. </w:t>
      </w:r>
      <w:r w:rsidRPr="00896AA2">
        <w:rPr>
          <w:rFonts w:ascii="Times New Roman" w:eastAsia="Times New Roman" w:hAnsi="Times New Roman" w:cs="Times New Roman"/>
          <w:i/>
          <w:iCs/>
          <w:sz w:val="24"/>
          <w:szCs w:val="24"/>
        </w:rPr>
        <w:t>Journal of Applied Research in Memory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(4), 434–444. </w:t>
      </w:r>
      <w:hyperlink r:id="rId3569" w:history="1">
        <w:r w:rsidRPr="00896AA2">
          <w:rPr>
            <w:rFonts w:ascii="Times New Roman" w:eastAsia="Times New Roman" w:hAnsi="Times New Roman" w:cs="Times New Roman"/>
            <w:color w:val="0000FF"/>
            <w:sz w:val="24"/>
            <w:szCs w:val="24"/>
            <w:u w:val="single"/>
          </w:rPr>
          <w:t>https://doi.org/10.1016/j.jarmac.2015.12.001</w:t>
        </w:r>
      </w:hyperlink>
    </w:p>
    <w:p w14:paraId="4A57099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Macnamara, B. N., Moore, A. B., Kegl, J. A., &amp; Conway, A. R. A. (2011). Domain-general cognitive abilities and simultaneous interpreting skill. </w:t>
      </w:r>
      <w:r w:rsidRPr="00896AA2">
        <w:rPr>
          <w:rFonts w:ascii="Times New Roman" w:eastAsia="Times New Roman" w:hAnsi="Times New Roman" w:cs="Times New Roman"/>
          <w:i/>
          <w:iCs/>
          <w:sz w:val="24"/>
          <w:szCs w:val="24"/>
        </w:rPr>
        <w:t>Interpreting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(1), 121–142. </w:t>
      </w:r>
      <w:hyperlink r:id="rId3570" w:history="1">
        <w:r w:rsidRPr="00896AA2">
          <w:rPr>
            <w:rFonts w:ascii="Times New Roman" w:eastAsia="Times New Roman" w:hAnsi="Times New Roman" w:cs="Times New Roman"/>
            <w:color w:val="0000FF"/>
            <w:sz w:val="24"/>
            <w:szCs w:val="24"/>
            <w:u w:val="single"/>
          </w:rPr>
          <w:t>https://doi.org/10.1075/intp.13.1.08mac</w:t>
        </w:r>
      </w:hyperlink>
    </w:p>
    <w:p w14:paraId="081739A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MacPherson, S. E., Parra, M. A., Moreno, S., Lopera, F., &amp; Della Sala, S. (2015). Dual memory task impairment in E280A presenilin-1 mutation carriers. </w:t>
      </w:r>
      <w:r w:rsidRPr="00896AA2">
        <w:rPr>
          <w:rFonts w:ascii="Times New Roman" w:eastAsia="Times New Roman" w:hAnsi="Times New Roman" w:cs="Times New Roman"/>
          <w:i/>
          <w:iCs/>
          <w:sz w:val="24"/>
          <w:szCs w:val="24"/>
        </w:rPr>
        <w:t>Journal of Alzheimer’s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(2), 481–492. </w:t>
      </w:r>
      <w:hyperlink r:id="rId3571" w:history="1">
        <w:r w:rsidRPr="00896AA2">
          <w:rPr>
            <w:rFonts w:ascii="Times New Roman" w:eastAsia="Times New Roman" w:hAnsi="Times New Roman" w:cs="Times New Roman"/>
            <w:color w:val="0000FF"/>
            <w:sz w:val="24"/>
            <w:szCs w:val="24"/>
            <w:u w:val="single"/>
          </w:rPr>
          <w:t>https://doi.org/10.3233/JAD-140990</w:t>
        </w:r>
      </w:hyperlink>
    </w:p>
    <w:p w14:paraId="7E0B68B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MacPherson, S., &amp; Sala, S. D. (2000). Welcoming normative data for the Wisconsin Card Sorting Test. </w:t>
      </w:r>
      <w:r w:rsidRPr="00896AA2">
        <w:rPr>
          <w:rFonts w:ascii="Times New Roman" w:eastAsia="Times New Roman" w:hAnsi="Times New Roman" w:cs="Times New Roman"/>
          <w:i/>
          <w:iCs/>
          <w:sz w:val="24"/>
          <w:szCs w:val="24"/>
        </w:rPr>
        <w:t>Italian Journal of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(5), 258–260. </w:t>
      </w:r>
      <w:hyperlink r:id="rId3572" w:history="1">
        <w:r w:rsidRPr="00896AA2">
          <w:rPr>
            <w:rFonts w:ascii="Times New Roman" w:eastAsia="Times New Roman" w:hAnsi="Times New Roman" w:cs="Times New Roman"/>
            <w:color w:val="0000FF"/>
            <w:sz w:val="24"/>
            <w:szCs w:val="24"/>
            <w:u w:val="single"/>
          </w:rPr>
          <w:t>https://doi.org/10.1007/s100720070061</w:t>
        </w:r>
      </w:hyperlink>
    </w:p>
    <w:p w14:paraId="16BC7B3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MacQueen, D. A., Minassian, A., Henry, B. L., Geyer, M. A., Young, J. W., &amp; Perry, W. (2018). Amphetamine modestly improves Conners’ Continuous Performance Test performance in healthy adults.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(3), 283–293. </w:t>
      </w:r>
      <w:hyperlink r:id="rId3573" w:history="1">
        <w:r w:rsidRPr="00896AA2">
          <w:rPr>
            <w:rFonts w:ascii="Times New Roman" w:eastAsia="Times New Roman" w:hAnsi="Times New Roman" w:cs="Times New Roman"/>
            <w:color w:val="0000FF"/>
            <w:sz w:val="24"/>
            <w:szCs w:val="24"/>
            <w:u w:val="single"/>
          </w:rPr>
          <w:t>https://doi.org/10.1017/S135561771700090X</w:t>
        </w:r>
      </w:hyperlink>
    </w:p>
    <w:p w14:paraId="57D08F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Madan, A., Borckardt, J. J., Balliet, W. E., Barth, K. S., Delustro, L. M., Malcolm, R. M., Koch, D., Willner, I., Baliga, P., &amp; Reuben, A. (2015). Neurocognitive status is associated with all-cause mortality among psychiatric, high-risk liver transplant candidates and recipients. </w:t>
      </w:r>
      <w:r w:rsidRPr="00896AA2">
        <w:rPr>
          <w:rFonts w:ascii="Times New Roman" w:eastAsia="Times New Roman" w:hAnsi="Times New Roman" w:cs="Times New Roman"/>
          <w:i/>
          <w:iCs/>
          <w:sz w:val="24"/>
          <w:szCs w:val="24"/>
        </w:rPr>
        <w:t>International Journal of Psychiatry in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(4), 279–295. </w:t>
      </w:r>
      <w:hyperlink r:id="rId3574" w:history="1">
        <w:r w:rsidRPr="00896AA2">
          <w:rPr>
            <w:rFonts w:ascii="Times New Roman" w:eastAsia="Times New Roman" w:hAnsi="Times New Roman" w:cs="Times New Roman"/>
            <w:color w:val="0000FF"/>
            <w:sz w:val="24"/>
            <w:szCs w:val="24"/>
            <w:u w:val="single"/>
          </w:rPr>
          <w:t>https://doi.org/10.1177/0091217415589304</w:t>
        </w:r>
      </w:hyperlink>
    </w:p>
    <w:p w14:paraId="77175DE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Maddox, W. T., Filoteo, J. V., Glass, B. D., &amp; Markman, A. B. (2010). Regulatory match effects on a Modified Wisconsin Card Sort Task.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(2), 352–359. </w:t>
      </w:r>
      <w:hyperlink r:id="rId3575" w:history="1">
        <w:r w:rsidRPr="00896AA2">
          <w:rPr>
            <w:rFonts w:ascii="Times New Roman" w:eastAsia="Times New Roman" w:hAnsi="Times New Roman" w:cs="Times New Roman"/>
            <w:color w:val="0000FF"/>
            <w:sz w:val="24"/>
            <w:szCs w:val="24"/>
            <w:u w:val="single"/>
          </w:rPr>
          <w:t>https://doi.org/10.1017/S1355617709991408</w:t>
        </w:r>
      </w:hyperlink>
    </w:p>
    <w:p w14:paraId="5679952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Maddox, W. T., Pacheco, J., Reeves, M., Zhu, B., &amp; Schnyer, D. M. (2010). Rule-based and information-integration category learning in normal aging.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(10), 2998–3008. </w:t>
      </w:r>
      <w:hyperlink r:id="rId3576" w:history="1">
        <w:r w:rsidRPr="00896AA2">
          <w:rPr>
            <w:rFonts w:ascii="Times New Roman" w:eastAsia="Times New Roman" w:hAnsi="Times New Roman" w:cs="Times New Roman"/>
            <w:color w:val="0000FF"/>
            <w:sz w:val="24"/>
            <w:szCs w:val="24"/>
            <w:u w:val="single"/>
          </w:rPr>
          <w:t>https://doi.org/10.1016/j.neuropsychologia.2010.06.008</w:t>
        </w:r>
      </w:hyperlink>
    </w:p>
    <w:p w14:paraId="115C8C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Madoz-Gúrpide, A., Blasco-Fontecilla, H., Baca-García, E., &amp; Ochoa-Mangado, E. (2011). Executive dysfunction in chronic cocaine users: An exploratory study.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117</w:t>
      </w:r>
      <w:r w:rsidRPr="00896AA2">
        <w:rPr>
          <w:rFonts w:ascii="Times New Roman" w:eastAsia="Times New Roman" w:hAnsi="Times New Roman" w:cs="Times New Roman"/>
          <w:sz w:val="24"/>
          <w:szCs w:val="24"/>
        </w:rPr>
        <w:t xml:space="preserve">(1), 55–58. </w:t>
      </w:r>
      <w:hyperlink r:id="rId3577" w:history="1">
        <w:r w:rsidRPr="00896AA2">
          <w:rPr>
            <w:rFonts w:ascii="Times New Roman" w:eastAsia="Times New Roman" w:hAnsi="Times New Roman" w:cs="Times New Roman"/>
            <w:color w:val="0000FF"/>
            <w:sz w:val="24"/>
            <w:szCs w:val="24"/>
            <w:u w:val="single"/>
          </w:rPr>
          <w:t>https://doi.org/10.1016/j.drugalcdep.2010.11.030</w:t>
        </w:r>
      </w:hyperlink>
    </w:p>
    <w:p w14:paraId="2682457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Maeda, K., Kasai, K., Uetsuki, M., Hata, A., Araki, T., Rogers, M. A., Yamasue, H., &amp; Iwanami, A. (2007). Increased positive thought disorder with illness duration in patients with schizophrenia.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(6), 687–690. </w:t>
      </w:r>
      <w:hyperlink r:id="rId3578" w:history="1">
        <w:r w:rsidRPr="00896AA2">
          <w:rPr>
            <w:rFonts w:ascii="Times New Roman" w:eastAsia="Times New Roman" w:hAnsi="Times New Roman" w:cs="Times New Roman"/>
            <w:color w:val="0000FF"/>
            <w:sz w:val="24"/>
            <w:szCs w:val="24"/>
            <w:u w:val="single"/>
          </w:rPr>
          <w:t>https://doi.org/10.1111/j.1440-1819.2007.01730.x</w:t>
        </w:r>
      </w:hyperlink>
    </w:p>
    <w:p w14:paraId="6EAF08F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Maeda, K., Kasai, K., Watanabe, A., Henomatsu, K., Rogers, M. A., &amp; Kato, N. (2006). Effect of Subjective Reasoning and Neurocognition on Medication Adherence for Persons With Schizophrenia.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(8), 1203–1205. </w:t>
      </w:r>
      <w:hyperlink r:id="rId3579" w:history="1">
        <w:r w:rsidRPr="00896AA2">
          <w:rPr>
            <w:rFonts w:ascii="Times New Roman" w:eastAsia="Times New Roman" w:hAnsi="Times New Roman" w:cs="Times New Roman"/>
            <w:color w:val="0000FF"/>
            <w:sz w:val="24"/>
            <w:szCs w:val="24"/>
            <w:u w:val="single"/>
          </w:rPr>
          <w:t>https://doi.org/10.1176/appi.ps.57.8.1203</w:t>
        </w:r>
      </w:hyperlink>
    </w:p>
    <w:p w14:paraId="4BF700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Maes, J. H. R., Damen, M. D. C., &amp; Eling, P. A. T. M. (2004). More learned irrelevance than perseveration errors in rule shifting in healthy subjects. </w:t>
      </w:r>
      <w:r w:rsidRPr="00896AA2">
        <w:rPr>
          <w:rFonts w:ascii="Times New Roman" w:eastAsia="Times New Roman" w:hAnsi="Times New Roman" w:cs="Times New Roman"/>
          <w:i/>
          <w:iCs/>
          <w:sz w:val="24"/>
          <w:szCs w:val="24"/>
        </w:rPr>
        <w:t>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(3), 201–211. </w:t>
      </w:r>
      <w:hyperlink r:id="rId3580" w:history="1">
        <w:r w:rsidRPr="00896AA2">
          <w:rPr>
            <w:rFonts w:ascii="Times New Roman" w:eastAsia="Times New Roman" w:hAnsi="Times New Roman" w:cs="Times New Roman"/>
            <w:color w:val="0000FF"/>
            <w:sz w:val="24"/>
            <w:szCs w:val="24"/>
            <w:u w:val="single"/>
          </w:rPr>
          <w:t>https://doi.org/10.1016/j.bandc.2004.01.003</w:t>
        </w:r>
      </w:hyperlink>
    </w:p>
    <w:p w14:paraId="5DD2B86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Maes, J. H. R., Eling, P. A. T. M., Wezenberg, E., Vissers, C. Th. W. M., &amp; Kan, C. C. (2011). Attentional set shifting in autism spectrum disorder: Differentiating between the role of perseveration, learned irrelevance, and novelty processing.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(2), 210–217. </w:t>
      </w:r>
      <w:hyperlink r:id="rId3581" w:history="1">
        <w:r w:rsidRPr="00896AA2">
          <w:rPr>
            <w:rFonts w:ascii="Times New Roman" w:eastAsia="Times New Roman" w:hAnsi="Times New Roman" w:cs="Times New Roman"/>
            <w:color w:val="0000FF"/>
            <w:sz w:val="24"/>
            <w:szCs w:val="24"/>
            <w:u w:val="single"/>
          </w:rPr>
          <w:t>https://doi.org/10.1080/13803395.2010.501327</w:t>
        </w:r>
      </w:hyperlink>
    </w:p>
    <w:p w14:paraId="77F81C2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Maes, J. H. R., Vissers, C. T. W. M., Egger, J. I. M., &amp; Eling, P. A. T. M. (2013). On the relationship between autistic traits and executive functioning in a non-clinical Dutch student population. </w:t>
      </w:r>
      <w:r w:rsidRPr="00896AA2">
        <w:rPr>
          <w:rFonts w:ascii="Times New Roman" w:eastAsia="Times New Roman" w:hAnsi="Times New Roman" w:cs="Times New Roman"/>
          <w:i/>
          <w:iCs/>
          <w:sz w:val="24"/>
          <w:szCs w:val="24"/>
        </w:rPr>
        <w:t>Autism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(4), 379–389. </w:t>
      </w:r>
      <w:hyperlink r:id="rId3582" w:history="1">
        <w:r w:rsidRPr="00896AA2">
          <w:rPr>
            <w:rFonts w:ascii="Times New Roman" w:eastAsia="Times New Roman" w:hAnsi="Times New Roman" w:cs="Times New Roman"/>
            <w:color w:val="0000FF"/>
            <w:sz w:val="24"/>
            <w:szCs w:val="24"/>
            <w:u w:val="single"/>
          </w:rPr>
          <w:t>https://doi.org/10.1177/1362361312442009</w:t>
        </w:r>
      </w:hyperlink>
    </w:p>
    <w:p w14:paraId="045C15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Magaki, S., Yellon, S. M., Mueller, C., &amp; Kirsch, W. M. (2008). Immunophenotypes in the circulation of patients with mild cognitive impairment.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(3), 240–246. </w:t>
      </w:r>
      <w:hyperlink r:id="rId3583" w:history="1">
        <w:r w:rsidRPr="00896AA2">
          <w:rPr>
            <w:rFonts w:ascii="Times New Roman" w:eastAsia="Times New Roman" w:hAnsi="Times New Roman" w:cs="Times New Roman"/>
            <w:color w:val="0000FF"/>
            <w:sz w:val="24"/>
            <w:szCs w:val="24"/>
            <w:u w:val="single"/>
          </w:rPr>
          <w:t>https://doi.org/10.1016/j.jpsychires.2007.01.004</w:t>
        </w:r>
      </w:hyperlink>
    </w:p>
    <w:p w14:paraId="5BABDEC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Magiati, I. (2016). Assessment in adulthood. In </w:t>
      </w:r>
      <w:r w:rsidRPr="00896AA2">
        <w:rPr>
          <w:rFonts w:ascii="Times New Roman" w:eastAsia="Times New Roman" w:hAnsi="Times New Roman" w:cs="Times New Roman"/>
          <w:i/>
          <w:iCs/>
          <w:sz w:val="24"/>
          <w:szCs w:val="24"/>
        </w:rPr>
        <w:t>Handbook of assessment and diagnosis of autism spectrum disorder.</w:t>
      </w:r>
      <w:r w:rsidRPr="00896AA2">
        <w:rPr>
          <w:rFonts w:ascii="Times New Roman" w:eastAsia="Times New Roman" w:hAnsi="Times New Roman" w:cs="Times New Roman"/>
          <w:sz w:val="24"/>
          <w:szCs w:val="24"/>
        </w:rPr>
        <w:t xml:space="preserve"> (pp. 191–207). Springer International Publishing. </w:t>
      </w:r>
      <w:hyperlink r:id="rId3584" w:history="1">
        <w:r w:rsidRPr="00896AA2">
          <w:rPr>
            <w:rFonts w:ascii="Times New Roman" w:eastAsia="Times New Roman" w:hAnsi="Times New Roman" w:cs="Times New Roman"/>
            <w:color w:val="0000FF"/>
            <w:sz w:val="24"/>
            <w:szCs w:val="24"/>
            <w:u w:val="single"/>
          </w:rPr>
          <w:t>https://doi.org/10.1007/978-3-319-27171-2_11</w:t>
        </w:r>
      </w:hyperlink>
    </w:p>
    <w:p w14:paraId="6B8F7F1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Magnusdottir, B. B., Faiola, E., Harms, C., Sigurdsson, E., Ettinger, U., &amp; Haraldsson, H. M. (2019). Cognitive measures and performance on the antisaccade eye movement task. </w:t>
      </w:r>
      <w:r w:rsidRPr="00896AA2">
        <w:rPr>
          <w:rFonts w:ascii="Times New Roman" w:eastAsia="Times New Roman" w:hAnsi="Times New Roman" w:cs="Times New Roman"/>
          <w:i/>
          <w:iCs/>
          <w:sz w:val="24"/>
          <w:szCs w:val="24"/>
        </w:rPr>
        <w:t>Journal of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(1).</w:t>
      </w:r>
    </w:p>
    <w:p w14:paraId="7B0C8C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 L., Arnold, M. C., &amp; Grafman, J. (2004). Impairment of social perception associated with lesions of the prefrontal cortex.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161</w:t>
      </w:r>
      <w:r w:rsidRPr="00896AA2">
        <w:rPr>
          <w:rFonts w:ascii="Times New Roman" w:eastAsia="Times New Roman" w:hAnsi="Times New Roman" w:cs="Times New Roman"/>
          <w:sz w:val="24"/>
          <w:szCs w:val="24"/>
        </w:rPr>
        <w:t xml:space="preserve">(7), 1247–1255. </w:t>
      </w:r>
      <w:hyperlink r:id="rId3585" w:history="1">
        <w:r w:rsidRPr="00896AA2">
          <w:rPr>
            <w:rFonts w:ascii="Times New Roman" w:eastAsia="Times New Roman" w:hAnsi="Times New Roman" w:cs="Times New Roman"/>
            <w:color w:val="0000FF"/>
            <w:sz w:val="24"/>
            <w:szCs w:val="24"/>
            <w:u w:val="single"/>
          </w:rPr>
          <w:t>https://doi.org/10.1176/appi.ajp.161.7.1247</w:t>
        </w:r>
      </w:hyperlink>
    </w:p>
    <w:p w14:paraId="2B77B67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Maharasingam, M., Macniven, J. A. B., &amp; Mason, O. J. (2013). Executive functioning in chronic alcoholism and Korsakoff syndrome.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501–508. </w:t>
      </w:r>
      <w:hyperlink r:id="rId3586" w:history="1">
        <w:r w:rsidRPr="00896AA2">
          <w:rPr>
            <w:rFonts w:ascii="Times New Roman" w:eastAsia="Times New Roman" w:hAnsi="Times New Roman" w:cs="Times New Roman"/>
            <w:color w:val="0000FF"/>
            <w:sz w:val="24"/>
            <w:szCs w:val="24"/>
            <w:u w:val="single"/>
          </w:rPr>
          <w:t>https://doi.org/10.1080/13803395.2013.795527</w:t>
        </w:r>
      </w:hyperlink>
    </w:p>
    <w:p w14:paraId="2A9EC4B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Maher, S. J. (2001). </w:t>
      </w:r>
      <w:r w:rsidRPr="00896AA2">
        <w:rPr>
          <w:rFonts w:ascii="Times New Roman" w:eastAsia="Times New Roman" w:hAnsi="Times New Roman" w:cs="Times New Roman"/>
          <w:i/>
          <w:iCs/>
          <w:sz w:val="24"/>
          <w:szCs w:val="24"/>
        </w:rPr>
        <w:t>Executive functions in clinic-referred children: The relative contributions of hyperactivity and aggression.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(12-B), 6711–6711.</w:t>
      </w:r>
    </w:p>
    <w:p w14:paraId="27EDC5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Burton, C. Z., Vella, L., &amp; Twamley, E. W. (2018). Neuropsychological predictors of performance-based measures of functional capacity and social skills in individuals with severe mental illness.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102</w:t>
      </w:r>
      <w:r w:rsidRPr="00896AA2">
        <w:rPr>
          <w:rFonts w:ascii="Times New Roman" w:eastAsia="Times New Roman" w:hAnsi="Times New Roman" w:cs="Times New Roman"/>
          <w:sz w:val="24"/>
          <w:szCs w:val="24"/>
        </w:rPr>
        <w:t xml:space="preserve">, 201–206. </w:t>
      </w:r>
      <w:hyperlink r:id="rId3587" w:history="1">
        <w:r w:rsidRPr="00896AA2">
          <w:rPr>
            <w:rFonts w:ascii="Times New Roman" w:eastAsia="Times New Roman" w:hAnsi="Times New Roman" w:cs="Times New Roman"/>
            <w:color w:val="0000FF"/>
            <w:sz w:val="24"/>
            <w:szCs w:val="24"/>
            <w:u w:val="single"/>
          </w:rPr>
          <w:t>https://doi.org/10.1016/j.jpsychires.2018.04.011</w:t>
        </w:r>
      </w:hyperlink>
    </w:p>
    <w:p w14:paraId="67BD8B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Keller, A. V., Burton, C. Z., Vella, L., Matt, G. E., McGurk, S. R., &amp; Twamley, E. W. (2019). Modifiable predictors of supported employment outcomes among people with severe mental illness.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(9), 782–792. </w:t>
      </w:r>
      <w:hyperlink r:id="rId3588" w:history="1">
        <w:r w:rsidRPr="00896AA2">
          <w:rPr>
            <w:rFonts w:ascii="Times New Roman" w:eastAsia="Times New Roman" w:hAnsi="Times New Roman" w:cs="Times New Roman"/>
            <w:color w:val="0000FF"/>
            <w:sz w:val="24"/>
            <w:szCs w:val="24"/>
            <w:u w:val="single"/>
          </w:rPr>
          <w:t>https://doi.org/10.1176/appi.ps.201800562</w:t>
        </w:r>
      </w:hyperlink>
    </w:p>
    <w:p w14:paraId="6DA701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Kelsven, S., Cadenhead, K., Wyckoff, J., Reyes-Madrigal, F., de la Fuente-Sandoval, C., &amp; Twamley, E. W. (2020). Compensatory cognitive training for Latino youth at clinical high risk for psychosis: Study protocol for a randomized controlled trial.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 </w:t>
      </w:r>
      <w:hyperlink r:id="rId3589" w:history="1">
        <w:r w:rsidRPr="00896AA2">
          <w:rPr>
            <w:rFonts w:ascii="Times New Roman" w:eastAsia="Times New Roman" w:hAnsi="Times New Roman" w:cs="Times New Roman"/>
            <w:color w:val="0000FF"/>
            <w:sz w:val="24"/>
            <w:szCs w:val="24"/>
            <w:u w:val="single"/>
          </w:rPr>
          <w:t>https://doi.org/10.3389/fpsyt.2019.00951</w:t>
        </w:r>
      </w:hyperlink>
    </w:p>
    <w:p w14:paraId="3AF4EA9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Mahmood, Z., Van Patten, R., Nakhla, M. Z., Twamley, E. W., Filoteo, J. V., &amp; Schiehser, D. M. (2020). REM sleep behavior disorder in Parkinson’s disease: Effects on cognitive, psychiatric, and functional outcomes.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(9), 894–905. </w:t>
      </w:r>
      <w:hyperlink r:id="rId3590" w:history="1">
        <w:r w:rsidRPr="00896AA2">
          <w:rPr>
            <w:rFonts w:ascii="Times New Roman" w:eastAsia="Times New Roman" w:hAnsi="Times New Roman" w:cs="Times New Roman"/>
            <w:color w:val="0000FF"/>
            <w:sz w:val="24"/>
            <w:szCs w:val="24"/>
            <w:u w:val="single"/>
          </w:rPr>
          <w:t>https://doi.org/10.1017/S1355617720000430</w:t>
        </w:r>
      </w:hyperlink>
    </w:p>
    <w:p w14:paraId="60D7F8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Mahoney, C. J., Rohrer, J. D., Goll, J. C., Fox, N. C., Rossor, M. N., &amp; Warren, J. D. (2011). Structural neuroanatomy of tinnitus and hyperacusis in semantic dementia.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82</w:t>
      </w:r>
      <w:r w:rsidRPr="00896AA2">
        <w:rPr>
          <w:rFonts w:ascii="Times New Roman" w:eastAsia="Times New Roman" w:hAnsi="Times New Roman" w:cs="Times New Roman"/>
          <w:sz w:val="24"/>
          <w:szCs w:val="24"/>
        </w:rPr>
        <w:t xml:space="preserve">(11), 1274–1278. </w:t>
      </w:r>
      <w:hyperlink r:id="rId3591" w:history="1">
        <w:r w:rsidRPr="00896AA2">
          <w:rPr>
            <w:rFonts w:ascii="Times New Roman" w:eastAsia="Times New Roman" w:hAnsi="Times New Roman" w:cs="Times New Roman"/>
            <w:color w:val="0000FF"/>
            <w:sz w:val="24"/>
            <w:szCs w:val="24"/>
            <w:u w:val="single"/>
          </w:rPr>
          <w:t>https://doi.org/10.1136/jnnp.2010.235473</w:t>
        </w:r>
      </w:hyperlink>
    </w:p>
    <w:p w14:paraId="58716D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Maier, P. L. (1996). </w:t>
      </w:r>
      <w:r w:rsidRPr="00896AA2">
        <w:rPr>
          <w:rFonts w:ascii="Times New Roman" w:eastAsia="Times New Roman" w:hAnsi="Times New Roman" w:cs="Times New Roman"/>
          <w:i/>
          <w:iCs/>
          <w:sz w:val="24"/>
          <w:szCs w:val="24"/>
        </w:rPr>
        <w:t>The neurobehavioral cognitive status examination with alcohol dependent inpatients.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(2-B), 1448–1448.</w:t>
      </w:r>
    </w:p>
    <w:p w14:paraId="1293DF1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Maillet, D., &amp; Schacter, D. L. (2016). When the mind wanders: Distinguishing stimulus-dependent from stimulus-independent thoughts during incidental encoding in young and older adults. </w:t>
      </w:r>
      <w:r w:rsidRPr="00896AA2">
        <w:rPr>
          <w:rFonts w:ascii="Times New Roman" w:eastAsia="Times New Roman" w:hAnsi="Times New Roman" w:cs="Times New Roman"/>
          <w:i/>
          <w:iCs/>
          <w:sz w:val="24"/>
          <w:szCs w:val="24"/>
        </w:rPr>
        <w:t>Psychology and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370–379. </w:t>
      </w:r>
      <w:hyperlink r:id="rId3592" w:history="1">
        <w:r w:rsidRPr="00896AA2">
          <w:rPr>
            <w:rFonts w:ascii="Times New Roman" w:eastAsia="Times New Roman" w:hAnsi="Times New Roman" w:cs="Times New Roman"/>
            <w:color w:val="0000FF"/>
            <w:sz w:val="24"/>
            <w:szCs w:val="24"/>
            <w:u w:val="single"/>
          </w:rPr>
          <w:t>https://doi.org/10.1037/pag0000099</w:t>
        </w:r>
      </w:hyperlink>
    </w:p>
    <w:p w14:paraId="4DE156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Mainwaring, L., Hutchison, M., Camper, P., &amp; Richards, D. (2012). Examining emotional sequence of sport concussion. </w:t>
      </w:r>
      <w:r w:rsidRPr="00896AA2">
        <w:rPr>
          <w:rFonts w:ascii="Times New Roman" w:eastAsia="Times New Roman" w:hAnsi="Times New Roman" w:cs="Times New Roman"/>
          <w:i/>
          <w:iCs/>
          <w:sz w:val="24"/>
          <w:szCs w:val="24"/>
        </w:rPr>
        <w:t>Journal of Clinical Sport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247–274. </w:t>
      </w:r>
      <w:hyperlink r:id="rId3593" w:history="1">
        <w:r w:rsidRPr="00896AA2">
          <w:rPr>
            <w:rFonts w:ascii="Times New Roman" w:eastAsia="Times New Roman" w:hAnsi="Times New Roman" w:cs="Times New Roman"/>
            <w:color w:val="0000FF"/>
            <w:sz w:val="24"/>
            <w:szCs w:val="24"/>
            <w:u w:val="single"/>
          </w:rPr>
          <w:t>https://doi.org/10.1123/jcsp.6.3.247</w:t>
        </w:r>
      </w:hyperlink>
    </w:p>
    <w:p w14:paraId="58B510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Majer, M., Ising, M., Künzel, H., Binder, E. B., Holsboer, F., Modell, S., &amp; Zihl, J. (2004). Impaired divided attention predicts delayed response and risk to relapse in subjects with depressive disorders.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(8), 1453–1463. </w:t>
      </w:r>
      <w:hyperlink r:id="rId3594" w:history="1">
        <w:r w:rsidRPr="00896AA2">
          <w:rPr>
            <w:rFonts w:ascii="Times New Roman" w:eastAsia="Times New Roman" w:hAnsi="Times New Roman" w:cs="Times New Roman"/>
            <w:color w:val="0000FF"/>
            <w:sz w:val="24"/>
            <w:szCs w:val="24"/>
            <w:u w:val="single"/>
          </w:rPr>
          <w:t>https://doi.org/10.1017/S0033291704002697</w:t>
        </w:r>
      </w:hyperlink>
    </w:p>
    <w:p w14:paraId="354A227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Majorek, K., Wolfkühler, W., Küper, C., Saimeh, N., Juckel, G., &amp; Brüne, M. (2009). “Theory of mind” and executive functioning in forensic patients with schizophrenia. </w:t>
      </w:r>
      <w:r w:rsidRPr="00896AA2">
        <w:rPr>
          <w:rFonts w:ascii="Times New Roman" w:eastAsia="Times New Roman" w:hAnsi="Times New Roman" w:cs="Times New Roman"/>
          <w:i/>
          <w:iCs/>
          <w:sz w:val="24"/>
          <w:szCs w:val="24"/>
        </w:rPr>
        <w:t>Journal of Forensic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(2), 469–473. </w:t>
      </w:r>
      <w:hyperlink r:id="rId3595" w:history="1">
        <w:r w:rsidRPr="00896AA2">
          <w:rPr>
            <w:rFonts w:ascii="Times New Roman" w:eastAsia="Times New Roman" w:hAnsi="Times New Roman" w:cs="Times New Roman"/>
            <w:color w:val="0000FF"/>
            <w:sz w:val="24"/>
            <w:szCs w:val="24"/>
            <w:u w:val="single"/>
          </w:rPr>
          <w:t>https://doi.org/10.1111/j.1556-4029.2008.00966.x</w:t>
        </w:r>
      </w:hyperlink>
    </w:p>
    <w:p w14:paraId="7818C5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Mak, M., Tybura, P., Bieńkowski, P., Karakiewicz, B., &amp; Samochowiec, J. (2013). Skuteczność rehabilitacji neuropsychologicznej z wykorzystaniem programów RehaCom u pacjentów z rozpoznaną schizofrenią. [The efficacy of cognitive neurorehabilitation with RehaCom program in schizophrenia patients.]. </w:t>
      </w:r>
      <w:r w:rsidRPr="00896AA2">
        <w:rPr>
          <w:rFonts w:ascii="Times New Roman" w:eastAsia="Times New Roman" w:hAnsi="Times New Roman" w:cs="Times New Roman"/>
          <w:i/>
          <w:iCs/>
          <w:sz w:val="24"/>
          <w:szCs w:val="24"/>
        </w:rPr>
        <w:t>Psychiatria Polska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(2), 213–223.</w:t>
      </w:r>
    </w:p>
    <w:p w14:paraId="69687D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Mak, M., Tyburski, E., Madany, Ł., Sokołowski, A., &amp; Samochowiec, A. (2016). Executive function deficits in patients after cerebellar neurosurgery.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47–57. </w:t>
      </w:r>
      <w:hyperlink r:id="rId3596" w:history="1">
        <w:r w:rsidRPr="00896AA2">
          <w:rPr>
            <w:rFonts w:ascii="Times New Roman" w:eastAsia="Times New Roman" w:hAnsi="Times New Roman" w:cs="Times New Roman"/>
            <w:color w:val="0000FF"/>
            <w:sz w:val="24"/>
            <w:szCs w:val="24"/>
            <w:u w:val="single"/>
          </w:rPr>
          <w:t>https://doi.org/10.1017/S1355617715001174</w:t>
        </w:r>
      </w:hyperlink>
    </w:p>
    <w:p w14:paraId="689D843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Mak, M., Tyburski, E., Starkowska, A., Karabanowicz, E., Samochowiec, A., &amp; Samochowiec, J. (2019). The efficacy of computer-based cognitive training for executive dysfunction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279</w:t>
      </w:r>
      <w:r w:rsidRPr="00896AA2">
        <w:rPr>
          <w:rFonts w:ascii="Times New Roman" w:eastAsia="Times New Roman" w:hAnsi="Times New Roman" w:cs="Times New Roman"/>
          <w:sz w:val="24"/>
          <w:szCs w:val="24"/>
        </w:rPr>
        <w:t xml:space="preserve">, 62–70. </w:t>
      </w:r>
      <w:hyperlink r:id="rId3597" w:history="1">
        <w:r w:rsidRPr="00896AA2">
          <w:rPr>
            <w:rFonts w:ascii="Times New Roman" w:eastAsia="Times New Roman" w:hAnsi="Times New Roman" w:cs="Times New Roman"/>
            <w:color w:val="0000FF"/>
            <w:sz w:val="24"/>
            <w:szCs w:val="24"/>
            <w:u w:val="single"/>
          </w:rPr>
          <w:t>https://doi.org/10.1016/j.psychres.2019.06.041</w:t>
        </w:r>
      </w:hyperlink>
    </w:p>
    <w:p w14:paraId="7DE522D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Malagurski, B., Ignjatović, V. B., Marić, D., Nikolašević, Ž., Mihić, L., &amp; Brkić, S. (2018). Neurocognitive profile of HIV-positive adults on combined antiretroviral therapy: A single-centre study in Serbia. </w:t>
      </w:r>
      <w:r w:rsidRPr="00896AA2">
        <w:rPr>
          <w:rFonts w:ascii="Times New Roman" w:eastAsia="Times New Roman" w:hAnsi="Times New Roman" w:cs="Times New Roman"/>
          <w:i/>
          <w:iCs/>
          <w:sz w:val="24"/>
          <w:szCs w:val="24"/>
        </w:rPr>
        <w:t>Applied Neuropsychology: Adult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(6), 513–522. </w:t>
      </w:r>
      <w:hyperlink r:id="rId3598" w:history="1">
        <w:r w:rsidRPr="00896AA2">
          <w:rPr>
            <w:rFonts w:ascii="Times New Roman" w:eastAsia="Times New Roman" w:hAnsi="Times New Roman" w:cs="Times New Roman"/>
            <w:color w:val="0000FF"/>
            <w:sz w:val="24"/>
            <w:szCs w:val="24"/>
            <w:u w:val="single"/>
          </w:rPr>
          <w:t>https://doi.org/10.1080/23279095.2017.1336711</w:t>
        </w:r>
      </w:hyperlink>
    </w:p>
    <w:p w14:paraId="5A777B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Malaspina, D., Keller, A., Antonius, D., Messinger, J. W., Goetz, D. M., Harkavy-Friedman, J., Goetz, R. R., &amp; Harlap, S. (2012). Olfaction and cognition in schizophrenia: Sex matters.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165–175. </w:t>
      </w:r>
      <w:hyperlink r:id="rId3599" w:history="1">
        <w:r w:rsidRPr="00896AA2">
          <w:rPr>
            <w:rFonts w:ascii="Times New Roman" w:eastAsia="Times New Roman" w:hAnsi="Times New Roman" w:cs="Times New Roman"/>
            <w:color w:val="0000FF"/>
            <w:sz w:val="24"/>
            <w:szCs w:val="24"/>
            <w:u w:val="single"/>
          </w:rPr>
          <w:t>https://doi.org/10.1176/appi.neuropsych.11070154</w:t>
        </w:r>
      </w:hyperlink>
    </w:p>
    <w:p w14:paraId="34B7E0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Malaspina, D., Simon, N., Goetz, R. R., Corcoran, C., Coleman, E., Printz, D., Mujica-Parodi, L., &amp; Wolitzky, R. (2004). The Reliability and Clinical Correlates of Figure-Ground Perception in Schizophrenia.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(3), 277–283. </w:t>
      </w:r>
      <w:hyperlink r:id="rId3600" w:history="1">
        <w:r w:rsidRPr="00896AA2">
          <w:rPr>
            <w:rFonts w:ascii="Times New Roman" w:eastAsia="Times New Roman" w:hAnsi="Times New Roman" w:cs="Times New Roman"/>
            <w:color w:val="0000FF"/>
            <w:sz w:val="24"/>
            <w:szCs w:val="24"/>
            <w:u w:val="single"/>
          </w:rPr>
          <w:t>https://doi.org/10.1176/appi.neuropsych.16.3.277</w:t>
        </w:r>
      </w:hyperlink>
    </w:p>
    <w:p w14:paraId="0D3660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Malchow, B., Keller, K., Hasan, A., Dörfler, S., Schneider-Axmann, T., Hillmer-Vogel, U., Honer, W. G., Schulze, T. G., Niklas, A., Wobrock, T., Schmitt, A., &amp; Falkai, P. (2015). Effects of endurance training combined with cognitive remediation on everyday functioning, symptoms, and cognition in multiepisode schizophrenia patients.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(4), 847–858. </w:t>
      </w:r>
      <w:hyperlink r:id="rId3601" w:history="1">
        <w:r w:rsidRPr="00896AA2">
          <w:rPr>
            <w:rFonts w:ascii="Times New Roman" w:eastAsia="Times New Roman" w:hAnsi="Times New Roman" w:cs="Times New Roman"/>
            <w:color w:val="0000FF"/>
            <w:sz w:val="24"/>
            <w:szCs w:val="24"/>
            <w:u w:val="single"/>
          </w:rPr>
          <w:t>https://doi.org/10.1093/schbul/sbv020</w:t>
        </w:r>
      </w:hyperlink>
    </w:p>
    <w:p w14:paraId="7A144ED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Malegiannaki, A.-C., &amp; Metallidou, P. (2012). Assessment of sustained attention: Psychometric properties of the computerized SART. [Assessment of sustained attention: Psychometric properties of the computerized SART.]. </w:t>
      </w:r>
      <w:r w:rsidRPr="00896AA2">
        <w:rPr>
          <w:rFonts w:ascii="Times New Roman" w:eastAsia="Times New Roman" w:hAnsi="Times New Roman" w:cs="Times New Roman"/>
          <w:i/>
          <w:iCs/>
          <w:sz w:val="24"/>
          <w:szCs w:val="24"/>
        </w:rPr>
        <w:t>Hellenic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(1), 62–83.</w:t>
      </w:r>
    </w:p>
    <w:p w14:paraId="7820E27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Malhotra, A. K., Kestler, L. J., Mazzanti, C., Bates, J. A., Goldberg, T., &amp; Goldman, D. (2002). A functional polymorphism in the COMT gene and performance on a test of prefrontal cognition.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159</w:t>
      </w:r>
      <w:r w:rsidRPr="00896AA2">
        <w:rPr>
          <w:rFonts w:ascii="Times New Roman" w:eastAsia="Times New Roman" w:hAnsi="Times New Roman" w:cs="Times New Roman"/>
          <w:sz w:val="24"/>
          <w:szCs w:val="24"/>
        </w:rPr>
        <w:t xml:space="preserve">(4), 652–654. </w:t>
      </w:r>
      <w:hyperlink r:id="rId3602" w:history="1">
        <w:r w:rsidRPr="00896AA2">
          <w:rPr>
            <w:rFonts w:ascii="Times New Roman" w:eastAsia="Times New Roman" w:hAnsi="Times New Roman" w:cs="Times New Roman"/>
            <w:color w:val="0000FF"/>
            <w:sz w:val="24"/>
            <w:szCs w:val="24"/>
            <w:u w:val="single"/>
          </w:rPr>
          <w:t>https://doi.org/10.1176/appi.ajp.159.4.652</w:t>
        </w:r>
      </w:hyperlink>
    </w:p>
    <w:p w14:paraId="209E071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Malla, A. K., Norman, R. M. G., Takhar, J., Manchanda, R., Townsend, L., Scholten, D., &amp; Haricharan, R. (2004). Can patients at risk for persistent negative symptoms be identified during their first episode of psychosis?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192</w:t>
      </w:r>
      <w:r w:rsidRPr="00896AA2">
        <w:rPr>
          <w:rFonts w:ascii="Times New Roman" w:eastAsia="Times New Roman" w:hAnsi="Times New Roman" w:cs="Times New Roman"/>
          <w:sz w:val="24"/>
          <w:szCs w:val="24"/>
        </w:rPr>
        <w:t xml:space="preserve">(7), 455–463. </w:t>
      </w:r>
      <w:hyperlink r:id="rId3603" w:history="1">
        <w:r w:rsidRPr="00896AA2">
          <w:rPr>
            <w:rFonts w:ascii="Times New Roman" w:eastAsia="Times New Roman" w:hAnsi="Times New Roman" w:cs="Times New Roman"/>
            <w:color w:val="0000FF"/>
            <w:sz w:val="24"/>
            <w:szCs w:val="24"/>
            <w:u w:val="single"/>
          </w:rPr>
          <w:t>https://doi.org/10.1097/01.nmd.0000131804.34977.c1</w:t>
        </w:r>
      </w:hyperlink>
    </w:p>
    <w:p w14:paraId="6981E4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Malla, A., Norman, R., Scholten, D., Townsend, L., Manchanda, R., Takhar, J., &amp; Haricharan, R. (2004). A comparison of two novel antipsychotics in first episode non-affective psychosis: One-year outcome on symptoms, motor side effects and cognition.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(2), 159–169. </w:t>
      </w:r>
      <w:hyperlink r:id="rId3604" w:history="1">
        <w:r w:rsidRPr="00896AA2">
          <w:rPr>
            <w:rFonts w:ascii="Times New Roman" w:eastAsia="Times New Roman" w:hAnsi="Times New Roman" w:cs="Times New Roman"/>
            <w:color w:val="0000FF"/>
            <w:sz w:val="24"/>
            <w:szCs w:val="24"/>
            <w:u w:val="single"/>
          </w:rPr>
          <w:t>https://doi.org/10.1016/j.psychres.2004.07.008</w:t>
        </w:r>
      </w:hyperlink>
    </w:p>
    <w:p w14:paraId="37250DD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Mallet, J., Ramoz, N., Le Strat, Y., Gorwood, P., &amp; Dubertret, C. (2017). Heavy cannabis use prior psychosis in schizophrenia: Clinical, cognitive and neurological evidences for a new endophenotype?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267</w:t>
      </w:r>
      <w:r w:rsidRPr="00896AA2">
        <w:rPr>
          <w:rFonts w:ascii="Times New Roman" w:eastAsia="Times New Roman" w:hAnsi="Times New Roman" w:cs="Times New Roman"/>
          <w:sz w:val="24"/>
          <w:szCs w:val="24"/>
        </w:rPr>
        <w:t xml:space="preserve">(7), 629–638. </w:t>
      </w:r>
      <w:hyperlink r:id="rId3605" w:history="1">
        <w:r w:rsidRPr="00896AA2">
          <w:rPr>
            <w:rFonts w:ascii="Times New Roman" w:eastAsia="Times New Roman" w:hAnsi="Times New Roman" w:cs="Times New Roman"/>
            <w:color w:val="0000FF"/>
            <w:sz w:val="24"/>
            <w:szCs w:val="24"/>
            <w:u w:val="single"/>
          </w:rPr>
          <w:t>https://doi.org/10.1007/s00406-017-0767-0</w:t>
        </w:r>
      </w:hyperlink>
    </w:p>
    <w:p w14:paraId="23913F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Mallorquí-Bagué, N., Mestre-Bach, G., Lozano-Madrid, M., Fernandez-Aranda, F., Granero, R., Vintró-Alcazaz, C., Del Pino-Gutiérrez, A., Steward, T., Gómez-Peña, M., Aymamí, N., Mena-Moreno, T., Menchón, J. M., &amp; Jiménez-Murcia, S. (2018). Trait impulsivity and cognitive domains involving impulsivity and compulsivity as predictors of gambling disorder treatment response. </w:t>
      </w:r>
      <w:r w:rsidRPr="00896AA2">
        <w:rPr>
          <w:rFonts w:ascii="Times New Roman" w:eastAsia="Times New Roman" w:hAnsi="Times New Roman" w:cs="Times New Roman"/>
          <w:i/>
          <w:iCs/>
          <w:sz w:val="24"/>
          <w:szCs w:val="24"/>
        </w:rPr>
        <w:t>Addictive Behaviors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87</w:t>
      </w:r>
      <w:r w:rsidRPr="00896AA2">
        <w:rPr>
          <w:rFonts w:ascii="Times New Roman" w:eastAsia="Times New Roman" w:hAnsi="Times New Roman" w:cs="Times New Roman"/>
          <w:sz w:val="24"/>
          <w:szCs w:val="24"/>
        </w:rPr>
        <w:t xml:space="preserve">, 169–176. </w:t>
      </w:r>
      <w:hyperlink r:id="rId3606" w:history="1">
        <w:r w:rsidRPr="00896AA2">
          <w:rPr>
            <w:rFonts w:ascii="Times New Roman" w:eastAsia="Times New Roman" w:hAnsi="Times New Roman" w:cs="Times New Roman"/>
            <w:color w:val="0000FF"/>
            <w:sz w:val="24"/>
            <w:szCs w:val="24"/>
            <w:u w:val="single"/>
          </w:rPr>
          <w:t>https://doi.org/10.1016/j.addbeh.2018.07.006</w:t>
        </w:r>
      </w:hyperlink>
    </w:p>
    <w:p w14:paraId="16396E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Mallorquí-Bagué, N., Tolosa-Sola, I., Fernández-Aranda, F., Granero, R., Fagundo, A. B., Lozano-Madrid, M., Mestre-Bach, G., Gómez-Peña, M., Aymamí, N., Borrás-González, I., Sánchez-González, J., Baño, M., Del Pino-Gutiérrez, A., Menchón, J. M., &amp; Jiménez-Murcia, S. (2018). Cognitive deficits in executive functions and decision-making impairments cluster gambling disorder sub-types. </w:t>
      </w:r>
      <w:r w:rsidRPr="00896AA2">
        <w:rPr>
          <w:rFonts w:ascii="Times New Roman" w:eastAsia="Times New Roman" w:hAnsi="Times New Roman" w:cs="Times New Roman"/>
          <w:i/>
          <w:iCs/>
          <w:sz w:val="24"/>
          <w:szCs w:val="24"/>
        </w:rPr>
        <w:t>Journal of Gambling Studies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 209–223. </w:t>
      </w:r>
      <w:hyperlink r:id="rId3607" w:history="1">
        <w:r w:rsidRPr="00896AA2">
          <w:rPr>
            <w:rFonts w:ascii="Times New Roman" w:eastAsia="Times New Roman" w:hAnsi="Times New Roman" w:cs="Times New Roman"/>
            <w:color w:val="0000FF"/>
            <w:sz w:val="24"/>
            <w:szCs w:val="24"/>
            <w:u w:val="single"/>
          </w:rPr>
          <w:t>https://doi.org/10.1007/s10899-017-9724-0</w:t>
        </w:r>
      </w:hyperlink>
    </w:p>
    <w:p w14:paraId="345558F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Malloy-Diniz, L. F., Neves, F. S., Abrantes, S. S. C., Fuentes, D., &amp; Corrêa, H. (2009). Suicide behavior and neuropsychological assessment of type I bipolar patients.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112</w:t>
      </w:r>
      <w:r w:rsidRPr="00896AA2">
        <w:rPr>
          <w:rFonts w:ascii="Times New Roman" w:eastAsia="Times New Roman" w:hAnsi="Times New Roman" w:cs="Times New Roman"/>
          <w:sz w:val="24"/>
          <w:szCs w:val="24"/>
        </w:rPr>
        <w:t xml:space="preserve">(1–3), 231–236. </w:t>
      </w:r>
      <w:hyperlink r:id="rId3608" w:history="1">
        <w:r w:rsidRPr="00896AA2">
          <w:rPr>
            <w:rFonts w:ascii="Times New Roman" w:eastAsia="Times New Roman" w:hAnsi="Times New Roman" w:cs="Times New Roman"/>
            <w:color w:val="0000FF"/>
            <w:sz w:val="24"/>
            <w:szCs w:val="24"/>
            <w:u w:val="single"/>
          </w:rPr>
          <w:t>https://doi.org/10.1016/j.jad.2008.03.019</w:t>
        </w:r>
      </w:hyperlink>
    </w:p>
    <w:p w14:paraId="49431D6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Malpetti, M., Carli, G., Sala, A., Cerami, C., Marcone, A., Iannaccone, S., Magnani, G., &amp; Perani, D. (2019). Variant-specific vulnerability in metabolic connectivity and resting-state networks in behavioural variant of frontotemporal dementia.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120</w:t>
      </w:r>
      <w:r w:rsidRPr="00896AA2">
        <w:rPr>
          <w:rFonts w:ascii="Times New Roman" w:eastAsia="Times New Roman" w:hAnsi="Times New Roman" w:cs="Times New Roman"/>
          <w:sz w:val="24"/>
          <w:szCs w:val="24"/>
        </w:rPr>
        <w:t xml:space="preserve">, 483–497. </w:t>
      </w:r>
      <w:hyperlink r:id="rId3609" w:history="1">
        <w:r w:rsidRPr="00896AA2">
          <w:rPr>
            <w:rFonts w:ascii="Times New Roman" w:eastAsia="Times New Roman" w:hAnsi="Times New Roman" w:cs="Times New Roman"/>
            <w:color w:val="0000FF"/>
            <w:sz w:val="24"/>
            <w:szCs w:val="24"/>
            <w:u w:val="single"/>
          </w:rPr>
          <w:t>https://doi.org/10.1016/j.cortex.2019.07.018</w:t>
        </w:r>
      </w:hyperlink>
    </w:p>
    <w:p w14:paraId="2ECCB7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Mamah, D., Wang, L., Barch, D., de Erausquin, G. A., Gado, M., &amp; Csernansky, J. G. (2007). Structural analysis of the basal ganglia in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89</w:t>
      </w:r>
      <w:r w:rsidRPr="00896AA2">
        <w:rPr>
          <w:rFonts w:ascii="Times New Roman" w:eastAsia="Times New Roman" w:hAnsi="Times New Roman" w:cs="Times New Roman"/>
          <w:sz w:val="24"/>
          <w:szCs w:val="24"/>
        </w:rPr>
        <w:t xml:space="preserve">(1–3), 59–71. </w:t>
      </w:r>
      <w:hyperlink r:id="rId3610" w:history="1">
        <w:r w:rsidRPr="00896AA2">
          <w:rPr>
            <w:rFonts w:ascii="Times New Roman" w:eastAsia="Times New Roman" w:hAnsi="Times New Roman" w:cs="Times New Roman"/>
            <w:color w:val="0000FF"/>
            <w:sz w:val="24"/>
            <w:szCs w:val="24"/>
            <w:u w:val="single"/>
          </w:rPr>
          <w:t>https://doi.org/10.1016/j.schres.2006.08.031</w:t>
        </w:r>
      </w:hyperlink>
    </w:p>
    <w:p w14:paraId="7EAFB3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 D. W. K. (2020). Virtual reality-based cognitive training for drug abusers: A randomised controlled trial.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(2), 315–332. </w:t>
      </w:r>
      <w:hyperlink r:id="rId3611" w:history="1">
        <w:r w:rsidRPr="00896AA2">
          <w:rPr>
            <w:rFonts w:ascii="Times New Roman" w:eastAsia="Times New Roman" w:hAnsi="Times New Roman" w:cs="Times New Roman"/>
            <w:color w:val="0000FF"/>
            <w:sz w:val="24"/>
            <w:szCs w:val="24"/>
            <w:u w:val="single"/>
          </w:rPr>
          <w:t>https://doi.org/10.1080/09602011.2018.1468271</w:t>
        </w:r>
      </w:hyperlink>
    </w:p>
    <w:p w14:paraId="358BE9E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 D. W. K., Poon, W. S., &amp; Lam, C. (2013). The effectiveness of artificial intelligent 3-D virtual reality vocational problem-solving training in enhancing employment opportunities for people with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(9), 1016–1025. </w:t>
      </w:r>
      <w:hyperlink r:id="rId3612" w:history="1">
        <w:r w:rsidRPr="00896AA2">
          <w:rPr>
            <w:rFonts w:ascii="Times New Roman" w:eastAsia="Times New Roman" w:hAnsi="Times New Roman" w:cs="Times New Roman"/>
            <w:color w:val="0000FF"/>
            <w:sz w:val="24"/>
            <w:szCs w:val="24"/>
            <w:u w:val="single"/>
          </w:rPr>
          <w:t>https://doi.org/10.3109/02699052.2013.794969</w:t>
        </w:r>
      </w:hyperlink>
    </w:p>
    <w:p w14:paraId="539933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Managó, F., Huang, H., &amp; Francesco, P. (2016). Modeling cognitive impairment. In </w:t>
      </w:r>
      <w:r w:rsidRPr="00896AA2">
        <w:rPr>
          <w:rFonts w:ascii="Times New Roman" w:eastAsia="Times New Roman" w:hAnsi="Times New Roman" w:cs="Times New Roman"/>
          <w:i/>
          <w:iCs/>
          <w:sz w:val="24"/>
          <w:szCs w:val="24"/>
        </w:rPr>
        <w:t>Modeling the psychopathological dimensions of schizophrenia: From molecules to behavior.</w:t>
      </w:r>
      <w:r w:rsidRPr="00896AA2">
        <w:rPr>
          <w:rFonts w:ascii="Times New Roman" w:eastAsia="Times New Roman" w:hAnsi="Times New Roman" w:cs="Times New Roman"/>
          <w:sz w:val="24"/>
          <w:szCs w:val="24"/>
        </w:rPr>
        <w:t xml:space="preserve"> (pp. 69–84). Elsevier Academic Press. </w:t>
      </w:r>
      <w:hyperlink r:id="rId3613" w:history="1">
        <w:r w:rsidRPr="00896AA2">
          <w:rPr>
            <w:rFonts w:ascii="Times New Roman" w:eastAsia="Times New Roman" w:hAnsi="Times New Roman" w:cs="Times New Roman"/>
            <w:color w:val="0000FF"/>
            <w:sz w:val="24"/>
            <w:szCs w:val="24"/>
            <w:u w:val="single"/>
          </w:rPr>
          <w:t>https://doi.org/10.1016/B978-0-12-800981-9.00006-7</w:t>
        </w:r>
      </w:hyperlink>
    </w:p>
    <w:p w14:paraId="376668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Manarte, L., Andrade, A. R., do Rosário, L., Sampaio, D., Figueira, M. L., Morgado, P., &amp; Sahakian, B. J. (2021). Executive functions and insight in OCD: A comparative study. </w:t>
      </w:r>
      <w:r w:rsidRPr="00896AA2">
        <w:rPr>
          <w:rFonts w:ascii="Times New Roman" w:eastAsia="Times New Roman" w:hAnsi="Times New Roman" w:cs="Times New Roman"/>
          <w:i/>
          <w:iCs/>
          <w:sz w:val="24"/>
          <w:szCs w:val="24"/>
        </w:rPr>
        <w:t>BMC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 </w:t>
      </w:r>
      <w:hyperlink r:id="rId3614" w:history="1">
        <w:r w:rsidRPr="00896AA2">
          <w:rPr>
            <w:rFonts w:ascii="Times New Roman" w:eastAsia="Times New Roman" w:hAnsi="Times New Roman" w:cs="Times New Roman"/>
            <w:color w:val="0000FF"/>
            <w:sz w:val="24"/>
            <w:szCs w:val="24"/>
            <w:u w:val="single"/>
          </w:rPr>
          <w:t>https://doi.org/10.1186/s12888-021-03227-w</w:t>
        </w:r>
      </w:hyperlink>
    </w:p>
    <w:p w14:paraId="6EBCC18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Mançe Çalişir, Ö., Atbaşoğlu, E. C., Devri̇mci̇ Özgüven, H., &amp; Ölmez, Ş. (2018). Cognitive features of high-functioning adults with autism and schizophrenia spectrum disorders.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(1), 1–10.</w:t>
      </w:r>
    </w:p>
    <w:p w14:paraId="5A58D9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Manchester, D., Wall, G., Dawson, P., &amp; Jackson, H. (2007). A forensic peer group approach to bullying after traumatic brain injury. </w:t>
      </w:r>
      <w:r w:rsidRPr="00896AA2">
        <w:rPr>
          <w:rFonts w:ascii="Times New Roman" w:eastAsia="Times New Roman" w:hAnsi="Times New Roman" w:cs="Times New Roman"/>
          <w:i/>
          <w:iCs/>
          <w:sz w:val="24"/>
          <w:szCs w:val="24"/>
        </w:rPr>
        <w:t>Neuropsychological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(2), 206–229. </w:t>
      </w:r>
      <w:hyperlink r:id="rId3615" w:history="1">
        <w:r w:rsidRPr="00896AA2">
          <w:rPr>
            <w:rFonts w:ascii="Times New Roman" w:eastAsia="Times New Roman" w:hAnsi="Times New Roman" w:cs="Times New Roman"/>
            <w:color w:val="0000FF"/>
            <w:sz w:val="24"/>
            <w:szCs w:val="24"/>
            <w:u w:val="single"/>
          </w:rPr>
          <w:t>https://doi.org/10.1080/09602010600696472</w:t>
        </w:r>
      </w:hyperlink>
    </w:p>
    <w:p w14:paraId="1DA9F4B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Mandzia, J. L., McAndrews, M. P., Grady, C. L., Graham, S. J., &amp; Black, S. E. (2009). Neural correlates of incidental memory in mild cognitive impairment: An fMRI study. </w:t>
      </w:r>
      <w:r w:rsidRPr="00896AA2">
        <w:rPr>
          <w:rFonts w:ascii="Times New Roman" w:eastAsia="Times New Roman" w:hAnsi="Times New Roman" w:cs="Times New Roman"/>
          <w:i/>
          <w:iCs/>
          <w:sz w:val="24"/>
          <w:szCs w:val="24"/>
        </w:rPr>
        <w:t>Neurobiology of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(5), 717–730. </w:t>
      </w:r>
      <w:hyperlink r:id="rId3616" w:history="1">
        <w:r w:rsidRPr="00896AA2">
          <w:rPr>
            <w:rFonts w:ascii="Times New Roman" w:eastAsia="Times New Roman" w:hAnsi="Times New Roman" w:cs="Times New Roman"/>
            <w:color w:val="0000FF"/>
            <w:sz w:val="24"/>
            <w:szCs w:val="24"/>
            <w:u w:val="single"/>
          </w:rPr>
          <w:t>https://doi.org/10.1016/j.neurobiolaging.2007.08.024</w:t>
        </w:r>
      </w:hyperlink>
    </w:p>
    <w:p w14:paraId="1C1E8BC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Manes, F., Villamil, A. R., Ameriso, S., Roca, M., &amp; Torralva, T. (2009). “Real life” executive deficits in patients with focal vascular lesions affecting the cerebellum.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283</w:t>
      </w:r>
      <w:r w:rsidRPr="00896AA2">
        <w:rPr>
          <w:rFonts w:ascii="Times New Roman" w:eastAsia="Times New Roman" w:hAnsi="Times New Roman" w:cs="Times New Roman"/>
          <w:sz w:val="24"/>
          <w:szCs w:val="24"/>
        </w:rPr>
        <w:t xml:space="preserve">(1–2), 95–98. </w:t>
      </w:r>
      <w:hyperlink r:id="rId3617" w:history="1">
        <w:r w:rsidRPr="00896AA2">
          <w:rPr>
            <w:rFonts w:ascii="Times New Roman" w:eastAsia="Times New Roman" w:hAnsi="Times New Roman" w:cs="Times New Roman"/>
            <w:color w:val="0000FF"/>
            <w:sz w:val="24"/>
            <w:szCs w:val="24"/>
            <w:u w:val="single"/>
          </w:rPr>
          <w:t>https://doi.org/10.1016/j.jns.2009.02.316</w:t>
        </w:r>
      </w:hyperlink>
    </w:p>
    <w:p w14:paraId="5AE5A6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Manganelli, F., Vitale, C., Santangelo, G., Pisciotta, C., Iodice, R., Cozzolino, A., Dubbioso, R., Picillo, M., Barone, P., &amp; Santoro, L. (2009). Functional involvement of central cholinergic circuits and visual hallucinations in Parkinson’s disease.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132</w:t>
      </w:r>
      <w:r w:rsidRPr="00896AA2">
        <w:rPr>
          <w:rFonts w:ascii="Times New Roman" w:eastAsia="Times New Roman" w:hAnsi="Times New Roman" w:cs="Times New Roman"/>
          <w:sz w:val="24"/>
          <w:szCs w:val="24"/>
        </w:rPr>
        <w:t xml:space="preserve">(9), 2350–2355. </w:t>
      </w:r>
      <w:hyperlink r:id="rId3618" w:history="1">
        <w:r w:rsidRPr="00896AA2">
          <w:rPr>
            <w:rFonts w:ascii="Times New Roman" w:eastAsia="Times New Roman" w:hAnsi="Times New Roman" w:cs="Times New Roman"/>
            <w:color w:val="0000FF"/>
            <w:sz w:val="24"/>
            <w:szCs w:val="24"/>
            <w:u w:val="single"/>
          </w:rPr>
          <w:t>https://doi.org/10.1093/brain/awp166</w:t>
        </w:r>
      </w:hyperlink>
    </w:p>
    <w:p w14:paraId="373B73A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Mangano, G. R., Turriziani, P., Bonnì, S., Caltagirone, C., &amp; Oliveri, M. (2015). Processing past tense in the left cerebellum.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185–189. </w:t>
      </w:r>
      <w:hyperlink r:id="rId3619" w:history="1">
        <w:r w:rsidRPr="00896AA2">
          <w:rPr>
            <w:rFonts w:ascii="Times New Roman" w:eastAsia="Times New Roman" w:hAnsi="Times New Roman" w:cs="Times New Roman"/>
            <w:color w:val="0000FF"/>
            <w:sz w:val="24"/>
            <w:szCs w:val="24"/>
            <w:u w:val="single"/>
          </w:rPr>
          <w:t>https://doi.org/10.1080/13554794.2013.878730</w:t>
        </w:r>
      </w:hyperlink>
    </w:p>
    <w:p w14:paraId="7ED0042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Manglam, M. K., Ram, D., Praharaj, S. K., &amp; Sarkhel, S. (2010). Working memory in schizophrenia. </w:t>
      </w:r>
      <w:r w:rsidRPr="00896AA2">
        <w:rPr>
          <w:rFonts w:ascii="Times New Roman" w:eastAsia="Times New Roman" w:hAnsi="Times New Roman" w:cs="Times New Roman"/>
          <w:i/>
          <w:iCs/>
          <w:sz w:val="24"/>
          <w:szCs w:val="24"/>
        </w:rPr>
        <w:t>German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(3), 116–120.</w:t>
      </w:r>
    </w:p>
    <w:p w14:paraId="0D3C91D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Maniaci, M. R., &amp; Rogge, R. D. (2014). Conducting research on the Internet. In </w:t>
      </w:r>
      <w:r w:rsidRPr="00896AA2">
        <w:rPr>
          <w:rFonts w:ascii="Times New Roman" w:eastAsia="Times New Roman" w:hAnsi="Times New Roman" w:cs="Times New Roman"/>
          <w:i/>
          <w:iCs/>
          <w:sz w:val="24"/>
          <w:szCs w:val="24"/>
        </w:rPr>
        <w:t>Handbook of research methods in social and personality psychology, 2nd ed.</w:t>
      </w:r>
      <w:r w:rsidRPr="00896AA2">
        <w:rPr>
          <w:rFonts w:ascii="Times New Roman" w:eastAsia="Times New Roman" w:hAnsi="Times New Roman" w:cs="Times New Roman"/>
          <w:sz w:val="24"/>
          <w:szCs w:val="24"/>
        </w:rPr>
        <w:t xml:space="preserve"> (pp. 443–470). Cambridge University Press.</w:t>
      </w:r>
    </w:p>
    <w:p w14:paraId="67B352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Maniadakis, M., &amp; Tani, J. (2009). Acquiring rules for rules: Neuro-dynamical systems account for meta-cognition. </w:t>
      </w:r>
      <w:r w:rsidRPr="00896AA2">
        <w:rPr>
          <w:rFonts w:ascii="Times New Roman" w:eastAsia="Times New Roman" w:hAnsi="Times New Roman" w:cs="Times New Roman"/>
          <w:i/>
          <w:iCs/>
          <w:sz w:val="24"/>
          <w:szCs w:val="24"/>
        </w:rPr>
        <w:t>Adaptive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(1), 58–80. </w:t>
      </w:r>
      <w:hyperlink r:id="rId3620" w:history="1">
        <w:r w:rsidRPr="00896AA2">
          <w:rPr>
            <w:rFonts w:ascii="Times New Roman" w:eastAsia="Times New Roman" w:hAnsi="Times New Roman" w:cs="Times New Roman"/>
            <w:color w:val="0000FF"/>
            <w:sz w:val="24"/>
            <w:szCs w:val="24"/>
            <w:u w:val="single"/>
          </w:rPr>
          <w:t>https://doi.org/10.1177/1059712308101739</w:t>
        </w:r>
      </w:hyperlink>
    </w:p>
    <w:p w14:paraId="656ED6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Maniadakis, M., Trahanias, P., &amp; Tani, J. (2012). Self-organizing high-order cognitive functions in artificial agents: Implications for possible prefrontal cortex mechanisms. </w:t>
      </w:r>
      <w:r w:rsidRPr="00896AA2">
        <w:rPr>
          <w:rFonts w:ascii="Times New Roman" w:eastAsia="Times New Roman" w:hAnsi="Times New Roman" w:cs="Times New Roman"/>
          <w:i/>
          <w:iCs/>
          <w:sz w:val="24"/>
          <w:szCs w:val="24"/>
        </w:rPr>
        <w:t>Neural Networks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 76–87. </w:t>
      </w:r>
      <w:hyperlink r:id="rId3621" w:history="1">
        <w:r w:rsidRPr="00896AA2">
          <w:rPr>
            <w:rFonts w:ascii="Times New Roman" w:eastAsia="Times New Roman" w:hAnsi="Times New Roman" w:cs="Times New Roman"/>
            <w:color w:val="0000FF"/>
            <w:sz w:val="24"/>
            <w:szCs w:val="24"/>
            <w:u w:val="single"/>
          </w:rPr>
          <w:t>https://doi.org/10.1016/j.neunet.2012.04.005</w:t>
        </w:r>
      </w:hyperlink>
    </w:p>
    <w:p w14:paraId="6835313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Mannekote, S. T., &amp; Singh, V. K. (2008). A case of neurosyphilis presenting with treatment-resistant psychotic symptoms and progressive cognitive dysfunction. </w:t>
      </w:r>
      <w:r w:rsidRPr="00896AA2">
        <w:rPr>
          <w:rFonts w:ascii="Times New Roman" w:eastAsia="Times New Roman" w:hAnsi="Times New Roman" w:cs="Times New Roman"/>
          <w:i/>
          <w:iCs/>
          <w:sz w:val="24"/>
          <w:szCs w:val="24"/>
        </w:rPr>
        <w:t>German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(4), 153–155.</w:t>
      </w:r>
    </w:p>
    <w:p w14:paraId="5BAD60B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K. J., Gordon, B., Pearlson, G. D., &amp; Schretlen, D. J. (2007). The relationship of recency discrimination to explicit memory and executive functioning.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(4), 710–715. </w:t>
      </w:r>
      <w:hyperlink r:id="rId3622" w:history="1">
        <w:r w:rsidRPr="00896AA2">
          <w:rPr>
            <w:rFonts w:ascii="Times New Roman" w:eastAsia="Times New Roman" w:hAnsi="Times New Roman" w:cs="Times New Roman"/>
            <w:color w:val="0000FF"/>
            <w:sz w:val="24"/>
            <w:szCs w:val="24"/>
            <w:u w:val="single"/>
          </w:rPr>
          <w:t>https://doi.org/10.1017/S1355617707070919</w:t>
        </w:r>
      </w:hyperlink>
    </w:p>
    <w:p w14:paraId="256461F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K. J., Gunning, F. M., McGovern, A. R., Kotbi, N., &amp; Alexopoulos, G. S. (2014). Ventromedial syndrome with normal cognitive functioning in vascular depression.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171</w:t>
      </w:r>
      <w:r w:rsidRPr="00896AA2">
        <w:rPr>
          <w:rFonts w:ascii="Times New Roman" w:eastAsia="Times New Roman" w:hAnsi="Times New Roman" w:cs="Times New Roman"/>
          <w:sz w:val="24"/>
          <w:szCs w:val="24"/>
        </w:rPr>
        <w:t xml:space="preserve">(12), 1337–1338. </w:t>
      </w:r>
      <w:hyperlink r:id="rId3623" w:history="1">
        <w:r w:rsidRPr="00896AA2">
          <w:rPr>
            <w:rFonts w:ascii="Times New Roman" w:eastAsia="Times New Roman" w:hAnsi="Times New Roman" w:cs="Times New Roman"/>
            <w:color w:val="0000FF"/>
            <w:sz w:val="24"/>
            <w:szCs w:val="24"/>
            <w:u w:val="single"/>
          </w:rPr>
          <w:t>https://doi.org/10.1176/appi.ajp.2014.14050595</w:t>
        </w:r>
      </w:hyperlink>
    </w:p>
    <w:p w14:paraId="170F02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K. J., &amp; Schultheis, M. T. (2013). Driving evaluation in older adults. In </w:t>
      </w:r>
      <w:r w:rsidRPr="00896AA2">
        <w:rPr>
          <w:rFonts w:ascii="Times New Roman" w:eastAsia="Times New Roman" w:hAnsi="Times New Roman" w:cs="Times New Roman"/>
          <w:i/>
          <w:iCs/>
          <w:sz w:val="24"/>
          <w:szCs w:val="24"/>
        </w:rPr>
        <w:t>Handbook on the neuropsychology of aging and dementia.</w:t>
      </w:r>
      <w:r w:rsidRPr="00896AA2">
        <w:rPr>
          <w:rFonts w:ascii="Times New Roman" w:eastAsia="Times New Roman" w:hAnsi="Times New Roman" w:cs="Times New Roman"/>
          <w:sz w:val="24"/>
          <w:szCs w:val="24"/>
        </w:rPr>
        <w:t xml:space="preserve"> (pp. 135–152). Springer Science + Business Media. </w:t>
      </w:r>
      <w:hyperlink r:id="rId3624" w:history="1">
        <w:r w:rsidRPr="00896AA2">
          <w:rPr>
            <w:rFonts w:ascii="Times New Roman" w:eastAsia="Times New Roman" w:hAnsi="Times New Roman" w:cs="Times New Roman"/>
            <w:color w:val="0000FF"/>
            <w:sz w:val="24"/>
            <w:szCs w:val="24"/>
            <w:u w:val="single"/>
          </w:rPr>
          <w:t>https://doi.org/10.1007/978-1-4614-3106-0_10</w:t>
        </w:r>
      </w:hyperlink>
    </w:p>
    <w:p w14:paraId="35E06E3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L., Denkova, E., &amp; Unterberger, L. (2013). Autobiographical significance in past and future public semantic memory: A case-study.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(8), 2007–2020. </w:t>
      </w:r>
      <w:hyperlink r:id="rId3625" w:history="1">
        <w:r w:rsidRPr="00896AA2">
          <w:rPr>
            <w:rFonts w:ascii="Times New Roman" w:eastAsia="Times New Roman" w:hAnsi="Times New Roman" w:cs="Times New Roman"/>
            <w:color w:val="0000FF"/>
            <w:sz w:val="24"/>
            <w:szCs w:val="24"/>
            <w:u w:val="single"/>
          </w:rPr>
          <w:t>https://doi.org/10.1016/j.cortex.2012.11.007</w:t>
        </w:r>
      </w:hyperlink>
    </w:p>
    <w:p w14:paraId="7DF16C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Manning, V., Teoh, H. C., Guo, S., Wong, K. E., &amp; Li, T.-K. (2013). Executive functioning in Asian pathological gamblers. </w:t>
      </w:r>
      <w:r w:rsidRPr="00896AA2">
        <w:rPr>
          <w:rFonts w:ascii="Times New Roman" w:eastAsia="Times New Roman" w:hAnsi="Times New Roman" w:cs="Times New Roman"/>
          <w:i/>
          <w:iCs/>
          <w:sz w:val="24"/>
          <w:szCs w:val="24"/>
        </w:rPr>
        <w:t>International Gambling Studies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(3), 403–416. </w:t>
      </w:r>
      <w:hyperlink r:id="rId3626" w:history="1">
        <w:r w:rsidRPr="00896AA2">
          <w:rPr>
            <w:rFonts w:ascii="Times New Roman" w:eastAsia="Times New Roman" w:hAnsi="Times New Roman" w:cs="Times New Roman"/>
            <w:color w:val="0000FF"/>
            <w:sz w:val="24"/>
            <w:szCs w:val="24"/>
            <w:u w:val="single"/>
          </w:rPr>
          <w:t>https://doi.org/10.1080/14459795.2013.829516</w:t>
        </w:r>
      </w:hyperlink>
    </w:p>
    <w:p w14:paraId="31E03F5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Mannu, J., &amp; Borri, G. (2004). The “voices group”: A therapeutic group for psychotic patients in a therapeutic community. </w:t>
      </w:r>
      <w:r w:rsidRPr="00896AA2">
        <w:rPr>
          <w:rFonts w:ascii="Times New Roman" w:eastAsia="Times New Roman" w:hAnsi="Times New Roman" w:cs="Times New Roman"/>
          <w:i/>
          <w:iCs/>
          <w:sz w:val="24"/>
          <w:szCs w:val="24"/>
        </w:rPr>
        <w:t>Therapeutic Communities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(3), 153–168.</w:t>
      </w:r>
    </w:p>
    <w:p w14:paraId="02EBB08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Manoach, D. S., &amp; Agam, Y. (2013). Neural markers of errors as endophenotypes in neuropsychiatric disorders.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 </w:t>
      </w:r>
      <w:hyperlink r:id="rId3627" w:history="1">
        <w:r w:rsidRPr="00896AA2">
          <w:rPr>
            <w:rFonts w:ascii="Times New Roman" w:eastAsia="Times New Roman" w:hAnsi="Times New Roman" w:cs="Times New Roman"/>
            <w:color w:val="0000FF"/>
            <w:sz w:val="24"/>
            <w:szCs w:val="24"/>
            <w:u w:val="single"/>
          </w:rPr>
          <w:t>https://doi.org/10.3389/fnhum.2013.00350</w:t>
        </w:r>
      </w:hyperlink>
    </w:p>
    <w:p w14:paraId="26DFC1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Manoach, D. S., Demanuele, C., Wamsley, E. J., Vangel, M., Montrose, D. M., Miewald, J., Kupfer, D., Buysse, D., Stickgold, R., &amp; Keshavan, M. S. (2014). Sleep spindle deficits in antipsychotic-naïve early course schizophrenia and in non-psychotic first-degree relatives.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w:t>
      </w:r>
    </w:p>
    <w:p w14:paraId="70FEB8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Manoach, D. S., Lindgren, K. A., Cherkasova, M. V., Goff, D. C., Halpern, E. F., Intriligator, J., &amp; Barton, J. J. S. (2002). Schizophrenic subjects show deficient inhibition but intact task switching on saccadic tasks. </w:t>
      </w:r>
      <w:r w:rsidRPr="00896AA2">
        <w:rPr>
          <w:rFonts w:ascii="Times New Roman" w:eastAsia="Times New Roman" w:hAnsi="Times New Roman" w:cs="Times New Roman"/>
          <w:i/>
          <w:iCs/>
          <w:sz w:val="24"/>
          <w:szCs w:val="24"/>
        </w:rPr>
        <w:t>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51</w:t>
      </w:r>
      <w:r w:rsidRPr="00896AA2">
        <w:rPr>
          <w:rFonts w:ascii="Times New Roman" w:eastAsia="Times New Roman" w:hAnsi="Times New Roman" w:cs="Times New Roman"/>
          <w:sz w:val="24"/>
          <w:szCs w:val="24"/>
        </w:rPr>
        <w:t xml:space="preserve">(10), 816–826. </w:t>
      </w:r>
      <w:hyperlink r:id="rId3628" w:history="1">
        <w:r w:rsidRPr="00896AA2">
          <w:rPr>
            <w:rFonts w:ascii="Times New Roman" w:eastAsia="Times New Roman" w:hAnsi="Times New Roman" w:cs="Times New Roman"/>
            <w:color w:val="0000FF"/>
            <w:sz w:val="24"/>
            <w:szCs w:val="24"/>
            <w:u w:val="single"/>
          </w:rPr>
          <w:t>https://doi.org/10.1016/S0006-3223(01)01356-7</w:t>
        </w:r>
      </w:hyperlink>
    </w:p>
    <w:p w14:paraId="7704FC4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Manohar, S., Bonnelle, V., &amp; Husain, M. (2014). Neurological disorders of attention. In </w:t>
      </w:r>
      <w:r w:rsidRPr="00896AA2">
        <w:rPr>
          <w:rFonts w:ascii="Times New Roman" w:eastAsia="Times New Roman" w:hAnsi="Times New Roman" w:cs="Times New Roman"/>
          <w:i/>
          <w:iCs/>
          <w:sz w:val="24"/>
          <w:szCs w:val="24"/>
        </w:rPr>
        <w:t>The Oxford handbook of attention.</w:t>
      </w:r>
      <w:r w:rsidRPr="00896AA2">
        <w:rPr>
          <w:rFonts w:ascii="Times New Roman" w:eastAsia="Times New Roman" w:hAnsi="Times New Roman" w:cs="Times New Roman"/>
          <w:sz w:val="24"/>
          <w:szCs w:val="24"/>
        </w:rPr>
        <w:t xml:space="preserve"> (pp. 1028–1061). Oxford University Press.</w:t>
      </w:r>
    </w:p>
    <w:p w14:paraId="154ED4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Mansour, A., &amp; Lajiness-O’Neill, R. (2015). Call for an integrative and multi-disciplinary approach to traumatic brain injury (TBI). </w:t>
      </w:r>
      <w:r w:rsidRPr="00896AA2">
        <w:rPr>
          <w:rFonts w:ascii="Times New Roman" w:eastAsia="Times New Roman" w:hAnsi="Times New Roman" w:cs="Times New Roman"/>
          <w:i/>
          <w:iCs/>
          <w:sz w:val="24"/>
          <w:szCs w:val="24"/>
        </w:rPr>
        <w:t>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(4), 323–374. </w:t>
      </w:r>
      <w:hyperlink r:id="rId3629" w:history="1">
        <w:r w:rsidRPr="00896AA2">
          <w:rPr>
            <w:rFonts w:ascii="Times New Roman" w:eastAsia="Times New Roman" w:hAnsi="Times New Roman" w:cs="Times New Roman"/>
            <w:color w:val="0000FF"/>
            <w:sz w:val="24"/>
            <w:szCs w:val="24"/>
            <w:u w:val="single"/>
          </w:rPr>
          <w:t>https://doi.org/10.4236/psych.2015.64033</w:t>
        </w:r>
      </w:hyperlink>
    </w:p>
    <w:p w14:paraId="0C49B8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Mansouri, F. A., Fehring, D. J., Feizpour, A., Gaillard, A., Rosa, M. G. P., Rajan, R., &amp; Jaberzadeh, S. (2016). Direct current stimulation of prefrontal cortex modulates error‐induced behavioral adjustments. </w:t>
      </w:r>
      <w:r w:rsidRPr="00896AA2">
        <w:rPr>
          <w:rFonts w:ascii="Times New Roman" w:eastAsia="Times New Roman" w:hAnsi="Times New Roman" w:cs="Times New Roman"/>
          <w:i/>
          <w:iCs/>
          <w:sz w:val="24"/>
          <w:szCs w:val="24"/>
        </w:rPr>
        <w:t>European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(2), 1856–1869. </w:t>
      </w:r>
      <w:hyperlink r:id="rId3630" w:history="1">
        <w:r w:rsidRPr="00896AA2">
          <w:rPr>
            <w:rFonts w:ascii="Times New Roman" w:eastAsia="Times New Roman" w:hAnsi="Times New Roman" w:cs="Times New Roman"/>
            <w:color w:val="0000FF"/>
            <w:sz w:val="24"/>
            <w:szCs w:val="24"/>
            <w:u w:val="single"/>
          </w:rPr>
          <w:t>https://doi.org/10.1111/ejn.13281</w:t>
        </w:r>
      </w:hyperlink>
    </w:p>
    <w:p w14:paraId="033D63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Mansouri, F. A., Matsumoto, K., &amp; Tanaka, K. (2006). Prefrontal Cell Activities Related to Monkeys’ Success and Failure in Adapting to Rule Changes in a Wisconsin Card Sorting Test Analog. </w:t>
      </w:r>
      <w:r w:rsidRPr="00896AA2">
        <w:rPr>
          <w:rFonts w:ascii="Times New Roman" w:eastAsia="Times New Roman" w:hAnsi="Times New Roman" w:cs="Times New Roman"/>
          <w:i/>
          <w:iCs/>
          <w:sz w:val="24"/>
          <w:szCs w:val="24"/>
        </w:rPr>
        <w:t>The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(10), 2745–2756. </w:t>
      </w:r>
      <w:hyperlink r:id="rId3631" w:history="1">
        <w:r w:rsidRPr="00896AA2">
          <w:rPr>
            <w:rFonts w:ascii="Times New Roman" w:eastAsia="Times New Roman" w:hAnsi="Times New Roman" w:cs="Times New Roman"/>
            <w:color w:val="0000FF"/>
            <w:sz w:val="24"/>
            <w:szCs w:val="24"/>
            <w:u w:val="single"/>
          </w:rPr>
          <w:t>https://doi.org/10.1523/JNEUROSCI.5238-05.2006</w:t>
        </w:r>
      </w:hyperlink>
    </w:p>
    <w:p w14:paraId="652ED6E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Mansur, L. L., Radanovic, M., Penha, S. S., de Mendonça, L. I. Z., &amp; Adda, C. C. (2006). Language and visuospatial impairment in a case of crossed aphasia. </w:t>
      </w:r>
      <w:r w:rsidRPr="00896AA2">
        <w:rPr>
          <w:rFonts w:ascii="Times New Roman" w:eastAsia="Times New Roman" w:hAnsi="Times New Roman" w:cs="Times New Roman"/>
          <w:i/>
          <w:iCs/>
          <w:sz w:val="24"/>
          <w:szCs w:val="24"/>
        </w:rPr>
        <w:t>Laterality: Asymmetries of Body, 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(6), 525–539. </w:t>
      </w:r>
      <w:hyperlink r:id="rId3632" w:history="1">
        <w:r w:rsidRPr="00896AA2">
          <w:rPr>
            <w:rFonts w:ascii="Times New Roman" w:eastAsia="Times New Roman" w:hAnsi="Times New Roman" w:cs="Times New Roman"/>
            <w:color w:val="0000FF"/>
            <w:sz w:val="24"/>
            <w:szCs w:val="24"/>
            <w:u w:val="single"/>
          </w:rPr>
          <w:t>https://doi.org/10.1080/13576500600832030</w:t>
        </w:r>
      </w:hyperlink>
    </w:p>
    <w:p w14:paraId="50F766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Marangolo, P., &amp; Piras, F. (2008). Dissociations in processing derivational morphology: The right basal ganglia involvement.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 196–205. </w:t>
      </w:r>
      <w:hyperlink r:id="rId3633" w:history="1">
        <w:r w:rsidRPr="00896AA2">
          <w:rPr>
            <w:rFonts w:ascii="Times New Roman" w:eastAsia="Times New Roman" w:hAnsi="Times New Roman" w:cs="Times New Roman"/>
            <w:color w:val="0000FF"/>
            <w:sz w:val="24"/>
            <w:szCs w:val="24"/>
            <w:u w:val="single"/>
          </w:rPr>
          <w:t>https://doi.org/10.1016/j.neuropsychologia.2007.07.025</w:t>
        </w:r>
      </w:hyperlink>
    </w:p>
    <w:p w14:paraId="3E1FC8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Marangolo, P., &amp; Piras, F. (2010). Language and its interacting components: The right hemisphere hypothesis in derivational morphology. </w:t>
      </w:r>
      <w:r w:rsidRPr="00896AA2">
        <w:rPr>
          <w:rFonts w:ascii="Times New Roman" w:eastAsia="Times New Roman" w:hAnsi="Times New Roman" w:cs="Times New Roman"/>
          <w:i/>
          <w:iCs/>
          <w:sz w:val="24"/>
          <w:szCs w:val="24"/>
        </w:rPr>
        <w:t>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1320</w:t>
      </w:r>
      <w:r w:rsidRPr="00896AA2">
        <w:rPr>
          <w:rFonts w:ascii="Times New Roman" w:eastAsia="Times New Roman" w:hAnsi="Times New Roman" w:cs="Times New Roman"/>
          <w:sz w:val="24"/>
          <w:szCs w:val="24"/>
        </w:rPr>
        <w:t xml:space="preserve">, 114–122. </w:t>
      </w:r>
      <w:hyperlink r:id="rId3634" w:history="1">
        <w:r w:rsidRPr="00896AA2">
          <w:rPr>
            <w:rFonts w:ascii="Times New Roman" w:eastAsia="Times New Roman" w:hAnsi="Times New Roman" w:cs="Times New Roman"/>
            <w:color w:val="0000FF"/>
            <w:sz w:val="24"/>
            <w:szCs w:val="24"/>
            <w:u w:val="single"/>
          </w:rPr>
          <w:t>https://doi.org/10.1016/j.brainres.2010.01.019</w:t>
        </w:r>
      </w:hyperlink>
    </w:p>
    <w:p w14:paraId="6450E78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Marazziti, D., Dell’Osso, M. C., Conversano, C., Consoli, G., Vivarelli, L., Mungai, F., Di Nasso, E., &amp; Golia, F. (2008). Executive function abnormalities in pathological gamblers. </w:t>
      </w:r>
      <w:r w:rsidRPr="00896AA2">
        <w:rPr>
          <w:rFonts w:ascii="Times New Roman" w:eastAsia="Times New Roman" w:hAnsi="Times New Roman" w:cs="Times New Roman"/>
          <w:i/>
          <w:iCs/>
          <w:sz w:val="24"/>
          <w:szCs w:val="24"/>
        </w:rPr>
        <w:t>Clinical Practice and Epidemiology in Mental Health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 xml:space="preserve">. </w:t>
      </w:r>
      <w:hyperlink r:id="rId3635" w:history="1">
        <w:r w:rsidRPr="00896AA2">
          <w:rPr>
            <w:rFonts w:ascii="Times New Roman" w:eastAsia="Times New Roman" w:hAnsi="Times New Roman" w:cs="Times New Roman"/>
            <w:color w:val="0000FF"/>
            <w:sz w:val="24"/>
            <w:szCs w:val="24"/>
            <w:u w:val="single"/>
          </w:rPr>
          <w:t>https://doi.org/10.1186/1745-0179-4-7</w:t>
        </w:r>
      </w:hyperlink>
    </w:p>
    <w:p w14:paraId="0ECF28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Marceau, R., Meghani, R., &amp; Reddon, J. R. (2008). Neuropsychological assessment of adult offenders. </w:t>
      </w:r>
      <w:r w:rsidRPr="00896AA2">
        <w:rPr>
          <w:rFonts w:ascii="Times New Roman" w:eastAsia="Times New Roman" w:hAnsi="Times New Roman" w:cs="Times New Roman"/>
          <w:i/>
          <w:iCs/>
          <w:sz w:val="24"/>
          <w:szCs w:val="24"/>
        </w:rPr>
        <w:t>Journal of Offender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(1–2), 41–73. </w:t>
      </w:r>
      <w:hyperlink r:id="rId3636" w:history="1">
        <w:r w:rsidRPr="00896AA2">
          <w:rPr>
            <w:rFonts w:ascii="Times New Roman" w:eastAsia="Times New Roman" w:hAnsi="Times New Roman" w:cs="Times New Roman"/>
            <w:color w:val="0000FF"/>
            <w:sz w:val="24"/>
            <w:szCs w:val="24"/>
            <w:u w:val="single"/>
          </w:rPr>
          <w:t>https://doi.org/10.1080/10509670801940409</w:t>
        </w:r>
      </w:hyperlink>
    </w:p>
    <w:p w14:paraId="3C4E6C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Marciniewicz, E., Podgórski, P., Pawłowski, T., Małyszczak, K., Fleischer-Stępniewska, K., Knysz, B., Waliszewska-Prosół, M., Żelwetro, A., Rymer, W., Inglot, M., Ejma, M., Sąsiadek, M., &amp; Bladowska, J. (2019). Evaluation of brain volume alterations in HCV-infected patients after interferon-free therapy: A pilot study.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399</w:t>
      </w:r>
      <w:r w:rsidRPr="00896AA2">
        <w:rPr>
          <w:rFonts w:ascii="Times New Roman" w:eastAsia="Times New Roman" w:hAnsi="Times New Roman" w:cs="Times New Roman"/>
          <w:sz w:val="24"/>
          <w:szCs w:val="24"/>
        </w:rPr>
        <w:t xml:space="preserve">, 36–43. </w:t>
      </w:r>
      <w:hyperlink r:id="rId3637" w:history="1">
        <w:r w:rsidRPr="00896AA2">
          <w:rPr>
            <w:rFonts w:ascii="Times New Roman" w:eastAsia="Times New Roman" w:hAnsi="Times New Roman" w:cs="Times New Roman"/>
            <w:color w:val="0000FF"/>
            <w:sz w:val="24"/>
            <w:szCs w:val="24"/>
            <w:u w:val="single"/>
          </w:rPr>
          <w:t>https://doi.org/10.1016/j.jns.2019.02.002</w:t>
        </w:r>
      </w:hyperlink>
    </w:p>
    <w:p w14:paraId="27B1162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 R. G., Garcia-Iturrospe, E. J. A., Lopez, L. F., Mendez, M. R. C., Rodriguez, O. H., Ramirez, A. D., Martinez, J. H., &amp; Keshavan, M. S. (1997). Hypofrontality in schizophrenia: Influence of normalization methods.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(8), 1239–1256. </w:t>
      </w:r>
      <w:hyperlink r:id="rId3638" w:history="1">
        <w:r w:rsidRPr="00896AA2">
          <w:rPr>
            <w:rFonts w:ascii="Times New Roman" w:eastAsia="Times New Roman" w:hAnsi="Times New Roman" w:cs="Times New Roman"/>
            <w:color w:val="0000FF"/>
            <w:sz w:val="24"/>
            <w:szCs w:val="24"/>
            <w:u w:val="single"/>
          </w:rPr>
          <w:t>https://doi.org/10.1016/S0278-5846(97)00161-9</w:t>
        </w:r>
      </w:hyperlink>
    </w:p>
    <w:p w14:paraId="4FAC48B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Marcopulos, B. A., &amp; Fujii, D. (2012). Neuropsychological assessment of persons with schizophrenia. In </w:t>
      </w:r>
      <w:r w:rsidRPr="00896AA2">
        <w:rPr>
          <w:rFonts w:ascii="Times New Roman" w:eastAsia="Times New Roman" w:hAnsi="Times New Roman" w:cs="Times New Roman"/>
          <w:i/>
          <w:iCs/>
          <w:sz w:val="24"/>
          <w:szCs w:val="24"/>
        </w:rPr>
        <w:t>Clinical neuropsychological foundations of schizophrenia.</w:t>
      </w:r>
      <w:r w:rsidRPr="00896AA2">
        <w:rPr>
          <w:rFonts w:ascii="Times New Roman" w:eastAsia="Times New Roman" w:hAnsi="Times New Roman" w:cs="Times New Roman"/>
          <w:sz w:val="24"/>
          <w:szCs w:val="24"/>
        </w:rPr>
        <w:t xml:space="preserve"> (pp. 55–80). Psychology Press.</w:t>
      </w:r>
    </w:p>
    <w:p w14:paraId="1F6E46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Marcotte, K., Graham, N. L., Black, S. E., Tang-Wai, D., Chow, T. W., Freedman, M., Rochon, E., &amp; Leonard, C. (2014). Verb production in the nonfluent and semantic variants of primary progressive aphasia: The influence of lexical and semantic factors. </w:t>
      </w:r>
      <w:r w:rsidRPr="00896AA2">
        <w:rPr>
          <w:rFonts w:ascii="Times New Roman" w:eastAsia="Times New Roman" w:hAnsi="Times New Roman" w:cs="Times New Roman"/>
          <w:i/>
          <w:iCs/>
          <w:sz w:val="24"/>
          <w:szCs w:val="24"/>
        </w:rPr>
        <w:t>Cognitive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(7–8), 565–583. </w:t>
      </w:r>
      <w:hyperlink r:id="rId3639" w:history="1">
        <w:r w:rsidRPr="00896AA2">
          <w:rPr>
            <w:rFonts w:ascii="Times New Roman" w:eastAsia="Times New Roman" w:hAnsi="Times New Roman" w:cs="Times New Roman"/>
            <w:color w:val="0000FF"/>
            <w:sz w:val="24"/>
            <w:szCs w:val="24"/>
            <w:u w:val="single"/>
          </w:rPr>
          <w:t>https://doi.org/10.1080/02643294.2014.970154</w:t>
        </w:r>
      </w:hyperlink>
    </w:p>
    <w:p w14:paraId="64A035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Marcotte, T. D., Lazzaretto, D., Scott, J. C., Roberts, E., Woods, S. P., &amp; Letendre, S. (2006). Visual Attention Deficits are Associated with Driving Accidents in Cognitively-Impaired HIV-Infected Individuals.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(1), 13–28. </w:t>
      </w:r>
      <w:hyperlink r:id="rId3640" w:history="1">
        <w:r w:rsidRPr="00896AA2">
          <w:rPr>
            <w:rFonts w:ascii="Times New Roman" w:eastAsia="Times New Roman" w:hAnsi="Times New Roman" w:cs="Times New Roman"/>
            <w:color w:val="0000FF"/>
            <w:sz w:val="24"/>
            <w:szCs w:val="24"/>
            <w:u w:val="single"/>
          </w:rPr>
          <w:t>https://doi.org/10.1080/13803390490918048</w:t>
        </w:r>
      </w:hyperlink>
    </w:p>
    <w:p w14:paraId="7135B8E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Marcotte, T. D., Wolfson, T., Rosenthal, T. J., Heaton, R. K., Gonzalez, R., Ellis, R. J., &amp; Grant, I. (2004). A multimodal assessment of driving performance in HIV infection.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 xml:space="preserve">(8), 1417–1422. </w:t>
      </w:r>
      <w:hyperlink r:id="rId3641" w:history="1">
        <w:r w:rsidRPr="00896AA2">
          <w:rPr>
            <w:rFonts w:ascii="Times New Roman" w:eastAsia="Times New Roman" w:hAnsi="Times New Roman" w:cs="Times New Roman"/>
            <w:color w:val="0000FF"/>
            <w:sz w:val="24"/>
            <w:szCs w:val="24"/>
            <w:u w:val="single"/>
          </w:rPr>
          <w:t>https://doi.org/10.1212/01.WNL.0000141920.33580.5D</w:t>
        </w:r>
      </w:hyperlink>
    </w:p>
    <w:p w14:paraId="350258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Marczinski, C. A., &amp; Kertesz, A. (2006). Category and letter fluency in semantic dementia, primary progressive aphasia, and Alzheimer’s disease. </w:t>
      </w:r>
      <w:r w:rsidRPr="00896AA2">
        <w:rPr>
          <w:rFonts w:ascii="Times New Roman" w:eastAsia="Times New Roman" w:hAnsi="Times New Roman" w:cs="Times New Roman"/>
          <w:i/>
          <w:iCs/>
          <w:sz w:val="24"/>
          <w:szCs w:val="24"/>
        </w:rPr>
        <w:t>Brain and Language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97</w:t>
      </w:r>
      <w:r w:rsidRPr="00896AA2">
        <w:rPr>
          <w:rFonts w:ascii="Times New Roman" w:eastAsia="Times New Roman" w:hAnsi="Times New Roman" w:cs="Times New Roman"/>
          <w:sz w:val="24"/>
          <w:szCs w:val="24"/>
        </w:rPr>
        <w:t xml:space="preserve">(3), 258–265. </w:t>
      </w:r>
      <w:hyperlink r:id="rId3642" w:history="1">
        <w:r w:rsidRPr="00896AA2">
          <w:rPr>
            <w:rFonts w:ascii="Times New Roman" w:eastAsia="Times New Roman" w:hAnsi="Times New Roman" w:cs="Times New Roman"/>
            <w:color w:val="0000FF"/>
            <w:sz w:val="24"/>
            <w:szCs w:val="24"/>
            <w:u w:val="single"/>
          </w:rPr>
          <w:t>https://doi.org/10.1016/j.bandl.2005.11.001</w:t>
        </w:r>
      </w:hyperlink>
    </w:p>
    <w:p w14:paraId="360402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Marenco, S., Coppola, R., Daniel, D. G., Zigun, J. R., &amp; Weinberger, D. R. (1993). Regional cerebral blood flow during the Wisconsin Card Sorting Test in normal subjects studied by xenon-133 dynamic SPECT: Comparison of absolute values, percent distribution values, and covariance analysis. </w:t>
      </w:r>
      <w:r w:rsidRPr="00896AA2">
        <w:rPr>
          <w:rFonts w:ascii="Times New Roman" w:eastAsia="Times New Roman" w:hAnsi="Times New Roman" w:cs="Times New Roman"/>
          <w:i/>
          <w:iCs/>
          <w:sz w:val="24"/>
          <w:szCs w:val="24"/>
        </w:rPr>
        <w:t>Psychiatry Research: Neuroimaging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(3), 177–192. </w:t>
      </w:r>
      <w:hyperlink r:id="rId3643" w:history="1">
        <w:r w:rsidRPr="00896AA2">
          <w:rPr>
            <w:rFonts w:ascii="Times New Roman" w:eastAsia="Times New Roman" w:hAnsi="Times New Roman" w:cs="Times New Roman"/>
            <w:color w:val="0000FF"/>
            <w:sz w:val="24"/>
            <w:szCs w:val="24"/>
            <w:u w:val="single"/>
          </w:rPr>
          <w:t>https://doi.org/10.1016/0925-4927(93)90029-H</w:t>
        </w:r>
      </w:hyperlink>
    </w:p>
    <w:p w14:paraId="52D773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Marenco, S., Meyer, C., van der Veen, J. W., Zhang, Y., Kelly, R., Shen, J., Weinberger, D. R., Dickinson, D., &amp; Berman, K. F. (2018). Role of gamma-amino-butyric acid in the dorsal anterior cingulate in age-associated changes in cognition. </w:t>
      </w:r>
      <w:r w:rsidRPr="00896AA2">
        <w:rPr>
          <w:rFonts w:ascii="Times New Roman" w:eastAsia="Times New Roman" w:hAnsi="Times New Roman" w:cs="Times New Roman"/>
          <w:i/>
          <w:iCs/>
          <w:sz w:val="24"/>
          <w:szCs w:val="24"/>
        </w:rPr>
        <w:t>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43</w:t>
      </w:r>
      <w:r w:rsidRPr="00896AA2">
        <w:rPr>
          <w:rFonts w:ascii="Times New Roman" w:eastAsia="Times New Roman" w:hAnsi="Times New Roman" w:cs="Times New Roman"/>
          <w:sz w:val="24"/>
          <w:szCs w:val="24"/>
        </w:rPr>
        <w:t xml:space="preserve">(11), 2285–2291. </w:t>
      </w:r>
      <w:hyperlink r:id="rId3644" w:history="1">
        <w:r w:rsidRPr="00896AA2">
          <w:rPr>
            <w:rFonts w:ascii="Times New Roman" w:eastAsia="Times New Roman" w:hAnsi="Times New Roman" w:cs="Times New Roman"/>
            <w:color w:val="0000FF"/>
            <w:sz w:val="24"/>
            <w:szCs w:val="24"/>
            <w:u w:val="single"/>
          </w:rPr>
          <w:t>https://doi.org/10.1038/s41386-018-0134-5</w:t>
        </w:r>
      </w:hyperlink>
    </w:p>
    <w:p w14:paraId="2E6746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Margoni, F., Geipel, J., Hadjichristidis, C., &amp; Surian, L. (2018). Moral judgment in old age: Evidence for an intent-to-outcome shift. </w:t>
      </w:r>
      <w:r w:rsidRPr="00896AA2">
        <w:rPr>
          <w:rFonts w:ascii="Times New Roman" w:eastAsia="Times New Roman" w:hAnsi="Times New Roman" w:cs="Times New Roman"/>
          <w:i/>
          <w:iCs/>
          <w:sz w:val="24"/>
          <w:szCs w:val="24"/>
        </w:rPr>
        <w:t>Experimental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(2), 105–114. </w:t>
      </w:r>
      <w:hyperlink r:id="rId3645" w:history="1">
        <w:r w:rsidRPr="00896AA2">
          <w:rPr>
            <w:rFonts w:ascii="Times New Roman" w:eastAsia="Times New Roman" w:hAnsi="Times New Roman" w:cs="Times New Roman"/>
            <w:color w:val="0000FF"/>
            <w:sz w:val="24"/>
            <w:szCs w:val="24"/>
            <w:u w:val="single"/>
          </w:rPr>
          <w:t>https://doi.org/10.1027/1618-3169/a000395</w:t>
        </w:r>
      </w:hyperlink>
    </w:p>
    <w:p w14:paraId="4B11DDD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Marianetti, M., Izzo, C., Fratino, M., &amp; Mina, C. (2010). Single strategic infarct dementia mimicking dementia with Lewy bodies. </w:t>
      </w:r>
      <w:r w:rsidRPr="00896AA2">
        <w:rPr>
          <w:rFonts w:ascii="Times New Roman" w:eastAsia="Times New Roman" w:hAnsi="Times New Roman" w:cs="Times New Roman"/>
          <w:i/>
          <w:iCs/>
          <w:sz w:val="24"/>
          <w:szCs w:val="24"/>
        </w:rPr>
        <w:t>Journal of the American Geriatrics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 xml:space="preserve">(12), 2432–2433. </w:t>
      </w:r>
      <w:hyperlink r:id="rId3646" w:history="1">
        <w:r w:rsidRPr="00896AA2">
          <w:rPr>
            <w:rFonts w:ascii="Times New Roman" w:eastAsia="Times New Roman" w:hAnsi="Times New Roman" w:cs="Times New Roman"/>
            <w:color w:val="0000FF"/>
            <w:sz w:val="24"/>
            <w:szCs w:val="24"/>
            <w:u w:val="single"/>
          </w:rPr>
          <w:t>https://doi.org/10.1111/j.1532-5415.2010.03186.x</w:t>
        </w:r>
      </w:hyperlink>
    </w:p>
    <w:p w14:paraId="07791D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Mariani, M., &amp; Shammi, P. (2010). Neurosarcoidosis and associated neuropsychological sequelae: A rare case of isolated intracranial involvement.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286–304. </w:t>
      </w:r>
      <w:hyperlink r:id="rId3647" w:history="1">
        <w:r w:rsidRPr="00896AA2">
          <w:rPr>
            <w:rFonts w:ascii="Times New Roman" w:eastAsia="Times New Roman" w:hAnsi="Times New Roman" w:cs="Times New Roman"/>
            <w:color w:val="0000FF"/>
            <w:sz w:val="24"/>
            <w:szCs w:val="24"/>
            <w:u w:val="single"/>
          </w:rPr>
          <w:t>https://doi.org/10.1080/13854040903347942</w:t>
        </w:r>
      </w:hyperlink>
    </w:p>
    <w:p w14:paraId="4C7D37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Maricle, D. E., Miller, D. C., &amp; Mortimer, J. (2011). Memory tests in pediatric neuropsychology. </w:t>
      </w:r>
      <w:r w:rsidRPr="00896AA2">
        <w:rPr>
          <w:rFonts w:ascii="Times New Roman" w:eastAsia="Times New Roman" w:hAnsi="Times New Roman" w:cs="Times New Roman"/>
          <w:i/>
          <w:iCs/>
          <w:sz w:val="24"/>
          <w:szCs w:val="24"/>
        </w:rPr>
        <w:t>Handbook of Pediatric Neuropsychology.</w:t>
      </w:r>
      <w:r w:rsidRPr="00896AA2">
        <w:rPr>
          <w:rFonts w:ascii="Times New Roman" w:eastAsia="Times New Roman" w:hAnsi="Times New Roman" w:cs="Times New Roman"/>
          <w:sz w:val="24"/>
          <w:szCs w:val="24"/>
        </w:rPr>
        <w:t>, 275–291.</w:t>
      </w:r>
    </w:p>
    <w:p w14:paraId="7AB6E6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Marié, R. M., &amp; Defer, G. L. (2001). Mémoire et fonctions exécutives dans la sclérose en plaques: Proposition d’une batterie adaptée. [Memory and executive functions in multiple sclerosis: Preliminary findings with a cognitive battery.]. </w:t>
      </w:r>
      <w:r w:rsidRPr="00896AA2">
        <w:rPr>
          <w:rFonts w:ascii="Times New Roman" w:eastAsia="Times New Roman" w:hAnsi="Times New Roman" w:cs="Times New Roman"/>
          <w:i/>
          <w:iCs/>
          <w:sz w:val="24"/>
          <w:szCs w:val="24"/>
        </w:rPr>
        <w:t>Revue Neurologique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157</w:t>
      </w:r>
      <w:r w:rsidRPr="00896AA2">
        <w:rPr>
          <w:rFonts w:ascii="Times New Roman" w:eastAsia="Times New Roman" w:hAnsi="Times New Roman" w:cs="Times New Roman"/>
          <w:sz w:val="24"/>
          <w:szCs w:val="24"/>
        </w:rPr>
        <w:t>(4), 402–408.</w:t>
      </w:r>
    </w:p>
    <w:p w14:paraId="55B141E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Abutalebi, J., Engelborghs, S., &amp; De Deyn, P. P. (2005). Pathophysiology of language switching and mixing in an early bilingual child with subcortical aphasia.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(6), 385–398. </w:t>
      </w:r>
      <w:hyperlink r:id="rId3648" w:history="1">
        <w:r w:rsidRPr="00896AA2">
          <w:rPr>
            <w:rFonts w:ascii="Times New Roman" w:eastAsia="Times New Roman" w:hAnsi="Times New Roman" w:cs="Times New Roman"/>
            <w:color w:val="0000FF"/>
            <w:sz w:val="24"/>
            <w:szCs w:val="24"/>
            <w:u w:val="single"/>
          </w:rPr>
          <w:t>https://doi.org/10.1080/13554790500212880</w:t>
        </w:r>
      </w:hyperlink>
    </w:p>
    <w:p w14:paraId="0C3AF28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Baillieux, H., De Smet, H. J., Engelborghs, S., Wilssens, I., Paquier, P., &amp; De Deyn, P. P. (2009). Cognitive, linguistic and affective disturbances following a right superior cerebellar artery infarction: A case study.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(4), 527–536. </w:t>
      </w:r>
      <w:hyperlink r:id="rId3649" w:history="1">
        <w:r w:rsidRPr="00896AA2">
          <w:rPr>
            <w:rFonts w:ascii="Times New Roman" w:eastAsia="Times New Roman" w:hAnsi="Times New Roman" w:cs="Times New Roman"/>
            <w:color w:val="0000FF"/>
            <w:sz w:val="24"/>
            <w:szCs w:val="24"/>
            <w:u w:val="single"/>
          </w:rPr>
          <w:t>https://doi.org/10.1016/j.cortex.2007.12.010</w:t>
        </w:r>
      </w:hyperlink>
    </w:p>
    <w:p w14:paraId="4C77A9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Brouns, R., EngeIborghs, S., Wackenier, P., Verhoeuen, J., Ceulemans, B., &amp; De Deyn, P. P. (2008). Cerebellar cognitive affective syndrome without global mental retardation in two relatives with Gillespie syndrome.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(1), 54–67. </w:t>
      </w:r>
      <w:hyperlink r:id="rId3650" w:history="1">
        <w:r w:rsidRPr="00896AA2">
          <w:rPr>
            <w:rFonts w:ascii="Times New Roman" w:eastAsia="Times New Roman" w:hAnsi="Times New Roman" w:cs="Times New Roman"/>
            <w:color w:val="0000FF"/>
            <w:sz w:val="24"/>
            <w:szCs w:val="24"/>
            <w:u w:val="single"/>
          </w:rPr>
          <w:t>https://doi.org/10.1016/j.cortex.2005.12.001</w:t>
        </w:r>
      </w:hyperlink>
    </w:p>
    <w:p w14:paraId="25A86F8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de Smet, E., de Smet, H. J., Wackenier, P., Dobbeleir, A., &amp; Verhoeven, J. (2013). “Apraxic dysgraphia” in a 15-year-old left-handed patient: Disruption of the cerebello-cerebral network involved in the planning and execution of graphomotor movements.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(1), 131–139. </w:t>
      </w:r>
      <w:hyperlink r:id="rId3651" w:history="1">
        <w:r w:rsidRPr="00896AA2">
          <w:rPr>
            <w:rFonts w:ascii="Times New Roman" w:eastAsia="Times New Roman" w:hAnsi="Times New Roman" w:cs="Times New Roman"/>
            <w:color w:val="0000FF"/>
            <w:sz w:val="24"/>
            <w:szCs w:val="24"/>
            <w:u w:val="single"/>
          </w:rPr>
          <w:t>https://doi.org/10.1007/s12311-012-0395-1</w:t>
        </w:r>
      </w:hyperlink>
    </w:p>
    <w:p w14:paraId="49CC8B9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Tops, W., Crols, R., Jonkers, R., De Deyn, P. P., &amp; Verhoeven, J. (2012). Grammar disruption in a patient with Neuro-Sweet syndrome.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(3), 235–247. </w:t>
      </w:r>
      <w:hyperlink r:id="rId3652" w:history="1">
        <w:r w:rsidRPr="00896AA2">
          <w:rPr>
            <w:rFonts w:ascii="Times New Roman" w:eastAsia="Times New Roman" w:hAnsi="Times New Roman" w:cs="Times New Roman"/>
            <w:color w:val="0000FF"/>
            <w:sz w:val="24"/>
            <w:szCs w:val="24"/>
            <w:u w:val="single"/>
          </w:rPr>
          <w:t>https://doi.org/10.1080/13554794.2011.588178</w:t>
        </w:r>
      </w:hyperlink>
    </w:p>
    <w:p w14:paraId="471383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van Dun, K., Van Dormael, J., Vandenborre, D., Keulen, S., Manto, M., Verhoeven, J., &amp; Abutalebi, J. (2017). Cerebellar induced differential polyglot aphasia: A neurolinguistic and fMRI study. </w:t>
      </w:r>
      <w:r w:rsidRPr="00896AA2">
        <w:rPr>
          <w:rFonts w:ascii="Times New Roman" w:eastAsia="Times New Roman" w:hAnsi="Times New Roman" w:cs="Times New Roman"/>
          <w:i/>
          <w:iCs/>
          <w:sz w:val="24"/>
          <w:szCs w:val="24"/>
        </w:rPr>
        <w:t>Brain and Language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175</w:t>
      </w:r>
      <w:r w:rsidRPr="00896AA2">
        <w:rPr>
          <w:rFonts w:ascii="Times New Roman" w:eastAsia="Times New Roman" w:hAnsi="Times New Roman" w:cs="Times New Roman"/>
          <w:sz w:val="24"/>
          <w:szCs w:val="24"/>
        </w:rPr>
        <w:t xml:space="preserve">, 18–28. </w:t>
      </w:r>
      <w:hyperlink r:id="rId3653" w:history="1">
        <w:r w:rsidRPr="00896AA2">
          <w:rPr>
            <w:rFonts w:ascii="Times New Roman" w:eastAsia="Times New Roman" w:hAnsi="Times New Roman" w:cs="Times New Roman"/>
            <w:color w:val="0000FF"/>
            <w:sz w:val="24"/>
            <w:szCs w:val="24"/>
            <w:u w:val="single"/>
          </w:rPr>
          <w:t>https://doi.org/10.1016/j.bandl.2017.09.001</w:t>
        </w:r>
      </w:hyperlink>
    </w:p>
    <w:p w14:paraId="52A13F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&amp; Verhoeven, J. (2007). Cerebellar involvement in motor speech planning: Some further evidence from foreign accent syndrome. </w:t>
      </w:r>
      <w:r w:rsidRPr="00896AA2">
        <w:rPr>
          <w:rFonts w:ascii="Times New Roman" w:eastAsia="Times New Roman" w:hAnsi="Times New Roman" w:cs="Times New Roman"/>
          <w:i/>
          <w:iCs/>
          <w:sz w:val="24"/>
          <w:szCs w:val="24"/>
        </w:rPr>
        <w:t>Folia Phoniatrica et Logopaedica:International Journal of Phoniatrics, Speech Therapy and Communication 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59</w:t>
      </w:r>
      <w:r w:rsidRPr="00896AA2">
        <w:rPr>
          <w:rFonts w:ascii="Times New Roman" w:eastAsia="Times New Roman" w:hAnsi="Times New Roman" w:cs="Times New Roman"/>
          <w:sz w:val="24"/>
          <w:szCs w:val="24"/>
        </w:rPr>
        <w:t xml:space="preserve">(4), 210–217. </w:t>
      </w:r>
      <w:hyperlink r:id="rId3654" w:history="1">
        <w:r w:rsidRPr="00896AA2">
          <w:rPr>
            <w:rFonts w:ascii="Times New Roman" w:eastAsia="Times New Roman" w:hAnsi="Times New Roman" w:cs="Times New Roman"/>
            <w:color w:val="0000FF"/>
            <w:sz w:val="24"/>
            <w:szCs w:val="24"/>
            <w:u w:val="single"/>
          </w:rPr>
          <w:t>https://doi.org/10.1159/000102933</w:t>
        </w:r>
      </w:hyperlink>
    </w:p>
    <w:p w14:paraId="0F14786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Verhoeven, J., Wackenier, P., Engelborghs, S., &amp; De Deyn, P. P. (2009). Foreign accent syndrome as a developmental motor speech disorder.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45</w:t>
      </w:r>
      <w:r w:rsidRPr="00896AA2">
        <w:rPr>
          <w:rFonts w:ascii="Times New Roman" w:eastAsia="Times New Roman" w:hAnsi="Times New Roman" w:cs="Times New Roman"/>
          <w:sz w:val="24"/>
          <w:szCs w:val="24"/>
        </w:rPr>
        <w:t xml:space="preserve">(7), 870–878. </w:t>
      </w:r>
      <w:hyperlink r:id="rId3655" w:history="1">
        <w:r w:rsidRPr="00896AA2">
          <w:rPr>
            <w:rFonts w:ascii="Times New Roman" w:eastAsia="Times New Roman" w:hAnsi="Times New Roman" w:cs="Times New Roman"/>
            <w:color w:val="0000FF"/>
            <w:sz w:val="24"/>
            <w:szCs w:val="24"/>
            <w:u w:val="single"/>
          </w:rPr>
          <w:t>https://doi.org/10.1016/j.cortex.2008.10.010</w:t>
        </w:r>
      </w:hyperlink>
    </w:p>
    <w:p w14:paraId="1F5B2B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Verslegers, L., Moens, M., Dua, G., Herregods, P., &amp; Verhoeven, J. (2013). Posterior fossa syndrome after cerebellar stroke.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(5), 686–691. </w:t>
      </w:r>
      <w:hyperlink r:id="rId3656" w:history="1">
        <w:r w:rsidRPr="00896AA2">
          <w:rPr>
            <w:rFonts w:ascii="Times New Roman" w:eastAsia="Times New Roman" w:hAnsi="Times New Roman" w:cs="Times New Roman"/>
            <w:color w:val="0000FF"/>
            <w:sz w:val="24"/>
            <w:szCs w:val="24"/>
            <w:u w:val="single"/>
          </w:rPr>
          <w:t>https://doi.org/10.1007/s12311-013-0478-7</w:t>
        </w:r>
      </w:hyperlink>
    </w:p>
    <w:p w14:paraId="07A88C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Vidts, A., van Hecke, W., de Surgeloose, D., de Belder, F., Parizel, P. M., Engelborghs, S., de Deyn, P. P., &amp; Verhoeven, J. (2013). Mastication dyspraxia: A neurodevelopmental disorder reflecting disruption of the cerebellocerebral network involved in planned actions.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(2), 277–289. </w:t>
      </w:r>
      <w:hyperlink r:id="rId3657" w:history="1">
        <w:r w:rsidRPr="00896AA2">
          <w:rPr>
            <w:rFonts w:ascii="Times New Roman" w:eastAsia="Times New Roman" w:hAnsi="Times New Roman" w:cs="Times New Roman"/>
            <w:color w:val="0000FF"/>
            <w:sz w:val="24"/>
            <w:szCs w:val="24"/>
            <w:u w:val="single"/>
          </w:rPr>
          <w:t>https://doi.org/10.1007/s12311-012-0420-4</w:t>
        </w:r>
      </w:hyperlink>
    </w:p>
    <w:p w14:paraId="680FE6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Mariën, P., Wackenier, P., Surgeloose, D., de Deyn, P. P., &amp; Verhoeven, J. (2010). Developmental coordination disorder: Disruption of the cerebello-cerebral network evidenced by SPECT. </w:t>
      </w:r>
      <w:r w:rsidRPr="00896AA2">
        <w:rPr>
          <w:rFonts w:ascii="Times New Roman" w:eastAsia="Times New Roman" w:hAnsi="Times New Roman" w:cs="Times New Roman"/>
          <w:i/>
          <w:iCs/>
          <w:sz w:val="24"/>
          <w:szCs w:val="24"/>
        </w:rPr>
        <w:t>The Cerebellum</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(3), 405–410. </w:t>
      </w:r>
      <w:hyperlink r:id="rId3658" w:history="1">
        <w:r w:rsidRPr="00896AA2">
          <w:rPr>
            <w:rFonts w:ascii="Times New Roman" w:eastAsia="Times New Roman" w:hAnsi="Times New Roman" w:cs="Times New Roman"/>
            <w:color w:val="0000FF"/>
            <w:sz w:val="24"/>
            <w:szCs w:val="24"/>
            <w:u w:val="single"/>
          </w:rPr>
          <w:t>https://doi.org/10.1007/s12311-010-0177-6</w:t>
        </w:r>
      </w:hyperlink>
    </w:p>
    <w:p w14:paraId="450F169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Marín Torices, M. I., Hidalgo-Ruzzante, N., Sabio, V. T., &amp; García, M. P. (2016). Neuropsicología forense en un caso de violencia de género. [Forensic neuropsychology in an intimate partner violence case.]. </w:t>
      </w:r>
      <w:r w:rsidRPr="00896AA2">
        <w:rPr>
          <w:rFonts w:ascii="Times New Roman" w:eastAsia="Times New Roman" w:hAnsi="Times New Roman" w:cs="Times New Roman"/>
          <w:i/>
          <w:iCs/>
          <w:sz w:val="24"/>
          <w:szCs w:val="24"/>
        </w:rPr>
        <w:t>Behavioral Psychology / Psicología Conductual: Revista Internacional Clínica y de La Salud</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(2), 361–376.</w:t>
      </w:r>
    </w:p>
    <w:p w14:paraId="6EE254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Galetto, V., Zampieri, E., Vorano, L., Zettin, M., &amp; Carlomagno, S. (2011). Narrative language in traumatic brain injury.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(10), 2904–2910. </w:t>
      </w:r>
      <w:hyperlink r:id="rId3659" w:history="1">
        <w:r w:rsidRPr="00896AA2">
          <w:rPr>
            <w:rFonts w:ascii="Times New Roman" w:eastAsia="Times New Roman" w:hAnsi="Times New Roman" w:cs="Times New Roman"/>
            <w:color w:val="0000FF"/>
            <w:sz w:val="24"/>
            <w:szCs w:val="24"/>
            <w:u w:val="single"/>
          </w:rPr>
          <w:t>https://doi.org/10.1016/j.neuropsychologia.2011.06.017</w:t>
        </w:r>
      </w:hyperlink>
    </w:p>
    <w:p w14:paraId="7BD0B4C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Spoletini, I., Rubino, I. A., Ciuffa, M., Bria, P., Martinotti, G., Banfi, G., Boccascino, R., Strom, P., Siracusano, A., Caltagirone, C., &amp; Spalletta, G. (2008). The language of schizophrenia: An analysis of micro and macrolinguistic abilities and their neuropsychological correlates.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(1–3), 144–155. </w:t>
      </w:r>
      <w:hyperlink r:id="rId3660" w:history="1">
        <w:r w:rsidRPr="00896AA2">
          <w:rPr>
            <w:rFonts w:ascii="Times New Roman" w:eastAsia="Times New Roman" w:hAnsi="Times New Roman" w:cs="Times New Roman"/>
            <w:color w:val="0000FF"/>
            <w:sz w:val="24"/>
            <w:szCs w:val="24"/>
            <w:u w:val="single"/>
          </w:rPr>
          <w:t>https://doi.org/10.1016/j.schres.2008.07.011</w:t>
        </w:r>
      </w:hyperlink>
    </w:p>
    <w:p w14:paraId="10B4F1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Zettin, M., Bencich, E., Bosco, F. M., &amp; Galetto, V. (2017). Severity effects on discourse production after TBI. </w:t>
      </w:r>
      <w:r w:rsidRPr="00896AA2">
        <w:rPr>
          <w:rFonts w:ascii="Times New Roman" w:eastAsia="Times New Roman" w:hAnsi="Times New Roman" w:cs="Times New Roman"/>
          <w:i/>
          <w:iCs/>
          <w:sz w:val="24"/>
          <w:szCs w:val="24"/>
        </w:rPr>
        <w:t>Journal of Neurolinguistics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 91–106. </w:t>
      </w:r>
      <w:hyperlink r:id="rId3661" w:history="1">
        <w:r w:rsidRPr="00896AA2">
          <w:rPr>
            <w:rFonts w:ascii="Times New Roman" w:eastAsia="Times New Roman" w:hAnsi="Times New Roman" w:cs="Times New Roman"/>
            <w:color w:val="0000FF"/>
            <w:sz w:val="24"/>
            <w:szCs w:val="24"/>
            <w:u w:val="single"/>
          </w:rPr>
          <w:t>https://doi.org/10.1016/j.jneuroling.2017.03.005</w:t>
        </w:r>
      </w:hyperlink>
    </w:p>
    <w:p w14:paraId="08A2351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A., Zettin, M., &amp; Galetto, V. (2014). Cognitive correlates of narrative impairment in moderate traumatic brain injury.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64</w:t>
      </w:r>
      <w:r w:rsidRPr="00896AA2">
        <w:rPr>
          <w:rFonts w:ascii="Times New Roman" w:eastAsia="Times New Roman" w:hAnsi="Times New Roman" w:cs="Times New Roman"/>
          <w:sz w:val="24"/>
          <w:szCs w:val="24"/>
        </w:rPr>
        <w:t xml:space="preserve">, 282–288. </w:t>
      </w:r>
      <w:hyperlink r:id="rId3662" w:history="1">
        <w:r w:rsidRPr="00896AA2">
          <w:rPr>
            <w:rFonts w:ascii="Times New Roman" w:eastAsia="Times New Roman" w:hAnsi="Times New Roman" w:cs="Times New Roman"/>
            <w:color w:val="0000FF"/>
            <w:sz w:val="24"/>
            <w:szCs w:val="24"/>
            <w:u w:val="single"/>
          </w:rPr>
          <w:t>https://doi.org/10.1016/j.neuropsychologia.2014.09.042</w:t>
        </w:r>
      </w:hyperlink>
    </w:p>
    <w:p w14:paraId="51DB68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Marini, P., Ramat, S., Ginestroni, A., &amp; Paganini, M. (2003). Deficit of short-term memory in newly diagnosed untreated parkinsonian patients: Reversal after L-dopa therapy.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(3), 184–185. </w:t>
      </w:r>
      <w:hyperlink r:id="rId3663" w:history="1">
        <w:r w:rsidRPr="00896AA2">
          <w:rPr>
            <w:rFonts w:ascii="Times New Roman" w:eastAsia="Times New Roman" w:hAnsi="Times New Roman" w:cs="Times New Roman"/>
            <w:color w:val="0000FF"/>
            <w:sz w:val="24"/>
            <w:szCs w:val="24"/>
            <w:u w:val="single"/>
          </w:rPr>
          <w:t>https://doi.org/10.1007/s10072-003-0121-3</w:t>
        </w:r>
      </w:hyperlink>
    </w:p>
    <w:p w14:paraId="6946E8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Marín-Navarrete, R., Toledo-Fernández, A., Villalobos-Gallegos, L., Pérez-López, A., &amp; Medina-Mora, M. E. (2018). Neuropsychiatric characterization of individuals with inhalant use disorder and polysubstance use according to latent profiles of executive functioning.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190</w:t>
      </w:r>
      <w:r w:rsidRPr="00896AA2">
        <w:rPr>
          <w:rFonts w:ascii="Times New Roman" w:eastAsia="Times New Roman" w:hAnsi="Times New Roman" w:cs="Times New Roman"/>
          <w:sz w:val="24"/>
          <w:szCs w:val="24"/>
        </w:rPr>
        <w:t xml:space="preserve">, 104–111. </w:t>
      </w:r>
      <w:hyperlink r:id="rId3664" w:history="1">
        <w:r w:rsidRPr="00896AA2">
          <w:rPr>
            <w:rFonts w:ascii="Times New Roman" w:eastAsia="Times New Roman" w:hAnsi="Times New Roman" w:cs="Times New Roman"/>
            <w:color w:val="0000FF"/>
            <w:sz w:val="24"/>
            <w:szCs w:val="24"/>
            <w:u w:val="single"/>
          </w:rPr>
          <w:t>https://doi.org/10.1016/j.drugalcdep.2018.06.005</w:t>
        </w:r>
      </w:hyperlink>
    </w:p>
    <w:p w14:paraId="60420E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Marino, M., de Belvis, A., Basso, D., Avolio, M., Pelone, F., Tanzariello, M., &amp; Ricciardi, W. (2013). Interventions to evaluate fitness to drive among people with chronic conditions: Systematic review of literature. </w:t>
      </w:r>
      <w:r w:rsidRPr="00896AA2">
        <w:rPr>
          <w:rFonts w:ascii="Times New Roman" w:eastAsia="Times New Roman" w:hAnsi="Times New Roman" w:cs="Times New Roman"/>
          <w:i/>
          <w:iCs/>
          <w:sz w:val="24"/>
          <w:szCs w:val="24"/>
        </w:rPr>
        <w:t>Accident Analysis and Prevention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 377–396. </w:t>
      </w:r>
      <w:hyperlink r:id="rId3665" w:history="1">
        <w:r w:rsidRPr="00896AA2">
          <w:rPr>
            <w:rFonts w:ascii="Times New Roman" w:eastAsia="Times New Roman" w:hAnsi="Times New Roman" w:cs="Times New Roman"/>
            <w:color w:val="0000FF"/>
            <w:sz w:val="24"/>
            <w:szCs w:val="24"/>
            <w:u w:val="single"/>
          </w:rPr>
          <w:t>https://doi.org/10.1016/j.aap.2012.05.010</w:t>
        </w:r>
      </w:hyperlink>
    </w:p>
    <w:p w14:paraId="6136DA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Marinsek, N., Turner, B. O., Gazzaniga, M., &amp; Miller, M. B. (2014). Divergent hemispheric reasoning strategies: Reducing uncertainty versus resolving inconsistency.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w:t>
      </w:r>
    </w:p>
    <w:p w14:paraId="10664F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 C. A., Poltavski, D. V., Petros, T., &amp; King, A. (2019). Differential executive functioning in young adulthood as a function of experienced child abuse. </w:t>
      </w:r>
      <w:r w:rsidRPr="00896AA2">
        <w:rPr>
          <w:rFonts w:ascii="Times New Roman" w:eastAsia="Times New Roman" w:hAnsi="Times New Roman" w:cs="Times New Roman"/>
          <w:i/>
          <w:iCs/>
          <w:sz w:val="24"/>
          <w:szCs w:val="24"/>
        </w:rPr>
        <w:t>International Journal of Psychophysiology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135</w:t>
      </w:r>
      <w:r w:rsidRPr="00896AA2">
        <w:rPr>
          <w:rFonts w:ascii="Times New Roman" w:eastAsia="Times New Roman" w:hAnsi="Times New Roman" w:cs="Times New Roman"/>
          <w:sz w:val="24"/>
          <w:szCs w:val="24"/>
        </w:rPr>
        <w:t xml:space="preserve">, 126–135. </w:t>
      </w:r>
      <w:hyperlink r:id="rId3666" w:history="1">
        <w:r w:rsidRPr="00896AA2">
          <w:rPr>
            <w:rFonts w:ascii="Times New Roman" w:eastAsia="Times New Roman" w:hAnsi="Times New Roman" w:cs="Times New Roman"/>
            <w:color w:val="0000FF"/>
            <w:sz w:val="24"/>
            <w:szCs w:val="24"/>
            <w:u w:val="single"/>
          </w:rPr>
          <w:t>https://doi.org/10.1016/j.ijpsycho.2018.12.004</w:t>
        </w:r>
      </w:hyperlink>
    </w:p>
    <w:p w14:paraId="3FF4970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Markett, S., Montag, C., Walter, N. T., Plieger, T., &amp; Reuter, M. (2011). On the molecular genetics of flexibility: The case of task-switching, inhibitory control and genetic variants. </w:t>
      </w:r>
      <w:r w:rsidRPr="00896AA2">
        <w:rPr>
          <w:rFonts w:ascii="Times New Roman" w:eastAsia="Times New Roman" w:hAnsi="Times New Roman" w:cs="Times New Roman"/>
          <w:i/>
          <w:iCs/>
          <w:sz w:val="24"/>
          <w:szCs w:val="24"/>
        </w:rPr>
        <w:t>Cognitive, Affective &amp; Behavioral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(4), 644–651. </w:t>
      </w:r>
      <w:hyperlink r:id="rId3667" w:history="1">
        <w:r w:rsidRPr="00896AA2">
          <w:rPr>
            <w:rFonts w:ascii="Times New Roman" w:eastAsia="Times New Roman" w:hAnsi="Times New Roman" w:cs="Times New Roman"/>
            <w:color w:val="0000FF"/>
            <w:sz w:val="24"/>
            <w:szCs w:val="24"/>
            <w:u w:val="single"/>
          </w:rPr>
          <w:t>https://doi.org/10.3758/s13415-011-0058-6</w:t>
        </w:r>
      </w:hyperlink>
    </w:p>
    <w:p w14:paraId="2553669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Marklund, P., Larsson, A., Elgh, E., Linder, J., Riklund, K. Å., Forsgren, L., &amp; Nyberg, L. (2009). Temporal dynamics of basal ganglia underrecruitment in Parkinson’s disease: Transient caudate abnormalities during updating of working memory.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132</w:t>
      </w:r>
      <w:r w:rsidRPr="00896AA2">
        <w:rPr>
          <w:rFonts w:ascii="Times New Roman" w:eastAsia="Times New Roman" w:hAnsi="Times New Roman" w:cs="Times New Roman"/>
          <w:sz w:val="24"/>
          <w:szCs w:val="24"/>
        </w:rPr>
        <w:t xml:space="preserve">(2), 336–346. </w:t>
      </w:r>
      <w:hyperlink r:id="rId3668" w:history="1">
        <w:r w:rsidRPr="00896AA2">
          <w:rPr>
            <w:rFonts w:ascii="Times New Roman" w:eastAsia="Times New Roman" w:hAnsi="Times New Roman" w:cs="Times New Roman"/>
            <w:color w:val="0000FF"/>
            <w:sz w:val="24"/>
            <w:szCs w:val="24"/>
            <w:u w:val="single"/>
          </w:rPr>
          <w:t>https://doi.org/10.1093/brain/awn309</w:t>
        </w:r>
      </w:hyperlink>
    </w:p>
    <w:p w14:paraId="0B93E11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Markostamou, I., Rudolf, J., Tsiptsios, I., &amp; Kosmidis, M. H. (2015). Impaired executive functioning after left anterior insular stroke: A case report. </w:t>
      </w:r>
      <w:r w:rsidRPr="00896AA2">
        <w:rPr>
          <w:rFonts w:ascii="Times New Roman" w:eastAsia="Times New Roman" w:hAnsi="Times New Roman" w:cs="Times New Roman"/>
          <w:i/>
          <w:iCs/>
          <w:sz w:val="24"/>
          <w:szCs w:val="24"/>
        </w:rPr>
        <w:t>Neurocase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(2), 148–153. </w:t>
      </w:r>
      <w:hyperlink r:id="rId3669" w:history="1">
        <w:r w:rsidRPr="00896AA2">
          <w:rPr>
            <w:rFonts w:ascii="Times New Roman" w:eastAsia="Times New Roman" w:hAnsi="Times New Roman" w:cs="Times New Roman"/>
            <w:color w:val="0000FF"/>
            <w:sz w:val="24"/>
            <w:szCs w:val="24"/>
            <w:u w:val="single"/>
          </w:rPr>
          <w:t>https://doi.org/10.1080/13554794.2013.878725</w:t>
        </w:r>
      </w:hyperlink>
    </w:p>
    <w:p w14:paraId="432FCDB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Markowitsch, H. J., &amp; Staniloiu, A. (2013). The impairment of recollection in functional amnesic states.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(6), 1494–1510. </w:t>
      </w:r>
      <w:hyperlink r:id="rId3670" w:history="1">
        <w:r w:rsidRPr="00896AA2">
          <w:rPr>
            <w:rFonts w:ascii="Times New Roman" w:eastAsia="Times New Roman" w:hAnsi="Times New Roman" w:cs="Times New Roman"/>
            <w:color w:val="0000FF"/>
            <w:sz w:val="24"/>
            <w:szCs w:val="24"/>
            <w:u w:val="single"/>
          </w:rPr>
          <w:t>https://doi.org/10.1016/j.cortex.2012.05.020</w:t>
        </w:r>
      </w:hyperlink>
    </w:p>
    <w:p w14:paraId="1BF461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Markram, K., &amp; Markram, H. (2010). The Intense World Theory—A unifying theory of the neurobiology of autism.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w:t>
      </w:r>
      <w:r w:rsidRPr="00896AA2">
        <w:rPr>
          <w:rFonts w:ascii="Times New Roman" w:eastAsia="Times New Roman" w:hAnsi="Times New Roman" w:cs="Times New Roman"/>
          <w:sz w:val="24"/>
          <w:szCs w:val="24"/>
        </w:rPr>
        <w:t xml:space="preserve">. </w:t>
      </w:r>
      <w:hyperlink r:id="rId3671" w:history="1">
        <w:r w:rsidRPr="00896AA2">
          <w:rPr>
            <w:rFonts w:ascii="Times New Roman" w:eastAsia="Times New Roman" w:hAnsi="Times New Roman" w:cs="Times New Roman"/>
            <w:color w:val="0000FF"/>
            <w:sz w:val="24"/>
            <w:szCs w:val="24"/>
            <w:u w:val="single"/>
          </w:rPr>
          <w:t>https://doi.org/10.3389/fnhum.2010.00224</w:t>
        </w:r>
      </w:hyperlink>
    </w:p>
    <w:p w14:paraId="0951A6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Maroof, D. A., Gross, A. L., &amp; Brandt, J. (2011). Modeling longitudinal change in motor and cognitive processing speed in presymptomatic Huntington’s disease.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(8), 901–909. </w:t>
      </w:r>
      <w:hyperlink r:id="rId3672" w:history="1">
        <w:r w:rsidRPr="00896AA2">
          <w:rPr>
            <w:rFonts w:ascii="Times New Roman" w:eastAsia="Times New Roman" w:hAnsi="Times New Roman" w:cs="Times New Roman"/>
            <w:color w:val="0000FF"/>
            <w:sz w:val="24"/>
            <w:szCs w:val="24"/>
            <w:u w:val="single"/>
          </w:rPr>
          <w:t>https://doi.org/10.1080/13803395.2011.574606</w:t>
        </w:r>
      </w:hyperlink>
    </w:p>
    <w:p w14:paraId="1C673D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Marques, J. F., Mares, I., Martins, M. E., &amp; Martins, I. P. (2013). The hierarchical organization of semantic knowledge in stroke aphasia: The role of feature sharedness and executive function. </w:t>
      </w:r>
      <w:r w:rsidRPr="00896AA2">
        <w:rPr>
          <w:rFonts w:ascii="Times New Roman" w:eastAsia="Times New Roman" w:hAnsi="Times New Roman" w:cs="Times New Roman"/>
          <w:i/>
          <w:iCs/>
          <w:sz w:val="24"/>
          <w:szCs w:val="24"/>
        </w:rPr>
        <w:t>Journal of Neurolinguistics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(5), 552–560. </w:t>
      </w:r>
      <w:hyperlink r:id="rId3673" w:history="1">
        <w:r w:rsidRPr="00896AA2">
          <w:rPr>
            <w:rFonts w:ascii="Times New Roman" w:eastAsia="Times New Roman" w:hAnsi="Times New Roman" w:cs="Times New Roman"/>
            <w:color w:val="0000FF"/>
            <w:sz w:val="24"/>
            <w:szCs w:val="24"/>
            <w:u w:val="single"/>
          </w:rPr>
          <w:t>https://doi.org/10.1016/j.jneuroling.2013.03.005</w:t>
        </w:r>
      </w:hyperlink>
    </w:p>
    <w:p w14:paraId="3FAC9F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Marqués‐Iturria, I., Garolera, M., Pueyo, R., Segura, B., Hernan, I., García‐García, I., Sánchez‐Garre, C., Vernet‐Vernet, M., Sender‐Palacios, M. J., Narberhaus, A., Ariza, M., Junqué, C., &amp; Jurado, M. Á. (2014). The interaction effect between BDNF val66met polymorphism and obesity on executive functions and frontal structure. </w:t>
      </w:r>
      <w:r w:rsidRPr="00896AA2">
        <w:rPr>
          <w:rFonts w:ascii="Times New Roman" w:eastAsia="Times New Roman" w:hAnsi="Times New Roman" w:cs="Times New Roman"/>
          <w:i/>
          <w:iCs/>
          <w:sz w:val="24"/>
          <w:szCs w:val="24"/>
        </w:rPr>
        <w:t>American Journal of Medical Genetics Part B: Neuropsychiatric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165</w:t>
      </w:r>
      <w:r w:rsidRPr="00896AA2">
        <w:rPr>
          <w:rFonts w:ascii="Times New Roman" w:eastAsia="Times New Roman" w:hAnsi="Times New Roman" w:cs="Times New Roman"/>
          <w:sz w:val="24"/>
          <w:szCs w:val="24"/>
        </w:rPr>
        <w:t xml:space="preserve">(3), 245–253. </w:t>
      </w:r>
      <w:hyperlink r:id="rId3674" w:history="1">
        <w:r w:rsidRPr="00896AA2">
          <w:rPr>
            <w:rFonts w:ascii="Times New Roman" w:eastAsia="Times New Roman" w:hAnsi="Times New Roman" w:cs="Times New Roman"/>
            <w:color w:val="0000FF"/>
            <w:sz w:val="24"/>
            <w:szCs w:val="24"/>
            <w:u w:val="single"/>
          </w:rPr>
          <w:t>https://doi.org/10.1002/ajmg.b.32229</w:t>
        </w:r>
      </w:hyperlink>
    </w:p>
    <w:p w14:paraId="5C6BB7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Marquine, M. J., Grilli, M. D., Rapcsak, S. Z., Kaszniak, A. W., Ryan, L., Walther, K., &amp; Glisky, E. L. (2016). Impaired personal trait knowledge, but spared other-person trait knowledge, in an individual with bilateral damage to the medial prefrontal cortex.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89</w:t>
      </w:r>
      <w:r w:rsidRPr="00896AA2">
        <w:rPr>
          <w:rFonts w:ascii="Times New Roman" w:eastAsia="Times New Roman" w:hAnsi="Times New Roman" w:cs="Times New Roman"/>
          <w:sz w:val="24"/>
          <w:szCs w:val="24"/>
        </w:rPr>
        <w:t xml:space="preserve">, 245–253. </w:t>
      </w:r>
      <w:hyperlink r:id="rId3675" w:history="1">
        <w:r w:rsidRPr="00896AA2">
          <w:rPr>
            <w:rFonts w:ascii="Times New Roman" w:eastAsia="Times New Roman" w:hAnsi="Times New Roman" w:cs="Times New Roman"/>
            <w:color w:val="0000FF"/>
            <w:sz w:val="24"/>
            <w:szCs w:val="24"/>
            <w:u w:val="single"/>
          </w:rPr>
          <w:t>https://doi.org/10.1016/j.neuropsychologia.2016.06.021</w:t>
        </w:r>
      </w:hyperlink>
    </w:p>
    <w:p w14:paraId="2B7A634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Marra, C. M., Deutsch, R., Collier, A. C., Morgello, S., Letendre, S., Clifford, D., Gelman, B., McArthur, J., McCutchan, J. A., Simpson, D. M., Duarte, N. A., Heaton, R. K., &amp; Grant, I. (2013). Neurocognitive impairment in HIV-infected individuals with previous syphilis. </w:t>
      </w:r>
      <w:r w:rsidRPr="00896AA2">
        <w:rPr>
          <w:rFonts w:ascii="Times New Roman" w:eastAsia="Times New Roman" w:hAnsi="Times New Roman" w:cs="Times New Roman"/>
          <w:i/>
          <w:iCs/>
          <w:sz w:val="24"/>
          <w:szCs w:val="24"/>
        </w:rPr>
        <w:t>International Journal of STD &amp; AIDS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(5), 351–355. </w:t>
      </w:r>
      <w:hyperlink r:id="rId3676" w:history="1">
        <w:r w:rsidRPr="00896AA2">
          <w:rPr>
            <w:rFonts w:ascii="Times New Roman" w:eastAsia="Times New Roman" w:hAnsi="Times New Roman" w:cs="Times New Roman"/>
            <w:color w:val="0000FF"/>
            <w:sz w:val="24"/>
            <w:szCs w:val="24"/>
            <w:u w:val="single"/>
          </w:rPr>
          <w:t>https://doi.org/10.1177/0956462412472827</w:t>
        </w:r>
      </w:hyperlink>
    </w:p>
    <w:p w14:paraId="113F25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Marraccini, M. E., Weyandt, L. L., Rossi, J. S., &amp; Gudmundsdottir, B. G. (2016). Neurocognitive enhancement or impairment? A systematic meta-analysis of prescription stimulant effects on processing speed, decision-making, planning, and cognitive perseveration. </w:t>
      </w:r>
      <w:r w:rsidRPr="00896AA2">
        <w:rPr>
          <w:rFonts w:ascii="Times New Roman" w:eastAsia="Times New Roman" w:hAnsi="Times New Roman" w:cs="Times New Roman"/>
          <w:i/>
          <w:iCs/>
          <w:sz w:val="24"/>
          <w:szCs w:val="24"/>
        </w:rPr>
        <w:t>Experimental and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(4), 269–284. </w:t>
      </w:r>
      <w:hyperlink r:id="rId3677" w:history="1">
        <w:r w:rsidRPr="00896AA2">
          <w:rPr>
            <w:rFonts w:ascii="Times New Roman" w:eastAsia="Times New Roman" w:hAnsi="Times New Roman" w:cs="Times New Roman"/>
            <w:color w:val="0000FF"/>
            <w:sz w:val="24"/>
            <w:szCs w:val="24"/>
            <w:u w:val="single"/>
          </w:rPr>
          <w:t>https://doi.org/10.1037/pha0000079</w:t>
        </w:r>
      </w:hyperlink>
    </w:p>
    <w:p w14:paraId="3E9A449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Marshall, D. F., Walker, S. J., Ryan, K. A., Kamali, M., Saunders, E. F. H., Weldon, A. L., Adams, K. M., McInnis, M. G., &amp; Langenecker, S. A. (2012). Greater executive and visual memory dysfunction in comorbid bipolar disorder and substance use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 xml:space="preserve">(2–3), 252–257. </w:t>
      </w:r>
      <w:hyperlink r:id="rId3678" w:history="1">
        <w:r w:rsidRPr="00896AA2">
          <w:rPr>
            <w:rFonts w:ascii="Times New Roman" w:eastAsia="Times New Roman" w:hAnsi="Times New Roman" w:cs="Times New Roman"/>
            <w:color w:val="0000FF"/>
            <w:sz w:val="24"/>
            <w:szCs w:val="24"/>
            <w:u w:val="single"/>
          </w:rPr>
          <w:t>https://doi.org/10.1016/j.psychres.2012.06.013</w:t>
        </w:r>
      </w:hyperlink>
    </w:p>
    <w:p w14:paraId="3F4595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Martel, M. M., Nigg, J. T., Wong, M. M., Fitzgerald, H. E., Jester, J. M., Puttler, L. I., Glass, J. M., Adams, K. M., &amp; Zucker, R. A. (2007). Childhood and adolescent resiliency, regulation, and executive functioning in relation to adolescent problems and competence in a high-risk sample. </w:t>
      </w:r>
      <w:r w:rsidRPr="00896AA2">
        <w:rPr>
          <w:rFonts w:ascii="Times New Roman" w:eastAsia="Times New Roman" w:hAnsi="Times New Roman" w:cs="Times New Roman"/>
          <w:i/>
          <w:iCs/>
          <w:sz w:val="24"/>
          <w:szCs w:val="24"/>
        </w:rPr>
        <w:t>Development and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(2), 541–563. </w:t>
      </w:r>
      <w:hyperlink r:id="rId3679" w:history="1">
        <w:r w:rsidRPr="00896AA2">
          <w:rPr>
            <w:rFonts w:ascii="Times New Roman" w:eastAsia="Times New Roman" w:hAnsi="Times New Roman" w:cs="Times New Roman"/>
            <w:color w:val="0000FF"/>
            <w:sz w:val="24"/>
            <w:szCs w:val="24"/>
            <w:u w:val="single"/>
          </w:rPr>
          <w:t>https://doi.org/10.1017/S0954579407070265</w:t>
        </w:r>
      </w:hyperlink>
    </w:p>
    <w:p w14:paraId="6B757D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Martel, M., Nikolas, M., &amp; Nigg, J. T. (2007). Executive function in adolescents with ADHD. </w:t>
      </w:r>
      <w:r w:rsidRPr="00896AA2">
        <w:rPr>
          <w:rFonts w:ascii="Times New Roman" w:eastAsia="Times New Roman" w:hAnsi="Times New Roman" w:cs="Times New Roman"/>
          <w:i/>
          <w:iCs/>
          <w:sz w:val="24"/>
          <w:szCs w:val="24"/>
        </w:rPr>
        <w:t>Journal of the American Academy of Child &amp; Adolescent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(11), 1437–1444. </w:t>
      </w:r>
      <w:hyperlink r:id="rId3680" w:history="1">
        <w:r w:rsidRPr="00896AA2">
          <w:rPr>
            <w:rFonts w:ascii="Times New Roman" w:eastAsia="Times New Roman" w:hAnsi="Times New Roman" w:cs="Times New Roman"/>
            <w:color w:val="0000FF"/>
            <w:sz w:val="24"/>
            <w:szCs w:val="24"/>
            <w:u w:val="single"/>
          </w:rPr>
          <w:t>https://doi.org/10.1097/chi.0b013e31814cf953</w:t>
        </w:r>
      </w:hyperlink>
    </w:p>
    <w:p w14:paraId="155AACC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Martella, D., Casagrande, M., &amp; Lupiáñez, J. (2011). Alerting, orienting and executive control: The effects of sleep deprivation on attentional networks. </w:t>
      </w:r>
      <w:r w:rsidRPr="00896AA2">
        <w:rPr>
          <w:rFonts w:ascii="Times New Roman" w:eastAsia="Times New Roman" w:hAnsi="Times New Roman" w:cs="Times New Roman"/>
          <w:i/>
          <w:iCs/>
          <w:sz w:val="24"/>
          <w:szCs w:val="24"/>
        </w:rPr>
        <w:t>Experimental Brain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210</w:t>
      </w:r>
      <w:r w:rsidRPr="00896AA2">
        <w:rPr>
          <w:rFonts w:ascii="Times New Roman" w:eastAsia="Times New Roman" w:hAnsi="Times New Roman" w:cs="Times New Roman"/>
          <w:sz w:val="24"/>
          <w:szCs w:val="24"/>
        </w:rPr>
        <w:t xml:space="preserve">(1), 81–89. </w:t>
      </w:r>
      <w:hyperlink r:id="rId3681" w:history="1">
        <w:r w:rsidRPr="00896AA2">
          <w:rPr>
            <w:rFonts w:ascii="Times New Roman" w:eastAsia="Times New Roman" w:hAnsi="Times New Roman" w:cs="Times New Roman"/>
            <w:color w:val="0000FF"/>
            <w:sz w:val="24"/>
            <w:szCs w:val="24"/>
            <w:u w:val="single"/>
          </w:rPr>
          <w:t>https://doi.org/10.1007/s00221-011-2605-3</w:t>
        </w:r>
      </w:hyperlink>
    </w:p>
    <w:p w14:paraId="52A2F5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C. D., Barcelo, F., Hernandez, M., &amp; Costa, A. (2011). The time course of the asymmetrical “local” switch cost: Evidence from event-related potentials. </w:t>
      </w:r>
      <w:r w:rsidRPr="00896AA2">
        <w:rPr>
          <w:rFonts w:ascii="Times New Roman" w:eastAsia="Times New Roman" w:hAnsi="Times New Roman" w:cs="Times New Roman"/>
          <w:i/>
          <w:iCs/>
          <w:sz w:val="24"/>
          <w:szCs w:val="24"/>
        </w:rPr>
        <w:t>Biological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86</w:t>
      </w:r>
      <w:r w:rsidRPr="00896AA2">
        <w:rPr>
          <w:rFonts w:ascii="Times New Roman" w:eastAsia="Times New Roman" w:hAnsi="Times New Roman" w:cs="Times New Roman"/>
          <w:sz w:val="24"/>
          <w:szCs w:val="24"/>
        </w:rPr>
        <w:t xml:space="preserve">(3), 210–218. </w:t>
      </w:r>
      <w:hyperlink r:id="rId3682" w:history="1">
        <w:r w:rsidRPr="00896AA2">
          <w:rPr>
            <w:rFonts w:ascii="Times New Roman" w:eastAsia="Times New Roman" w:hAnsi="Times New Roman" w:cs="Times New Roman"/>
            <w:color w:val="0000FF"/>
            <w:sz w:val="24"/>
            <w:szCs w:val="24"/>
            <w:u w:val="single"/>
          </w:rPr>
          <w:t>https://doi.org/10.1016/j.biopsycho.2010.12.001</w:t>
        </w:r>
      </w:hyperlink>
    </w:p>
    <w:p w14:paraId="50B0497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C. O., Denburg, N. L., Tranel, D., Granner, M. A., &amp; Bechara, A. (2004). The effects of vagus nerve stimulation on decision-making.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(4–5), 605–612. </w:t>
      </w:r>
      <w:hyperlink r:id="rId3683" w:history="1">
        <w:r w:rsidRPr="00896AA2">
          <w:rPr>
            <w:rFonts w:ascii="Times New Roman" w:eastAsia="Times New Roman" w:hAnsi="Times New Roman" w:cs="Times New Roman"/>
            <w:color w:val="0000FF"/>
            <w:sz w:val="24"/>
            <w:szCs w:val="24"/>
            <w:u w:val="single"/>
          </w:rPr>
          <w:t>https://doi.org/10.1016/S0010-9452(08)70156-4</w:t>
        </w:r>
      </w:hyperlink>
    </w:p>
    <w:p w14:paraId="15FE8B7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C.-O., Pontbriand-Drolet, S., Daoust, V., Yamga, E., Amiri, M., Hübner, L. C., &amp; Ska, B. (2018). Narrative discourse in young and older adults: Behavioral and NIRS analyses. </w:t>
      </w:r>
      <w:r w:rsidRPr="00896AA2">
        <w:rPr>
          <w:rFonts w:ascii="Times New Roman" w:eastAsia="Times New Roman" w:hAnsi="Times New Roman" w:cs="Times New Roman"/>
          <w:i/>
          <w:iCs/>
          <w:sz w:val="24"/>
          <w:szCs w:val="24"/>
        </w:rPr>
        <w:t>Frontiers in Aging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 </w:t>
      </w:r>
      <w:hyperlink r:id="rId3684" w:history="1">
        <w:r w:rsidRPr="00896AA2">
          <w:rPr>
            <w:rFonts w:ascii="Times New Roman" w:eastAsia="Times New Roman" w:hAnsi="Times New Roman" w:cs="Times New Roman"/>
            <w:color w:val="0000FF"/>
            <w:sz w:val="24"/>
            <w:szCs w:val="24"/>
            <w:u w:val="single"/>
          </w:rPr>
          <w:t>https://doi.org/10.3389/fnagi.2018.00069</w:t>
        </w:r>
      </w:hyperlink>
    </w:p>
    <w:p w14:paraId="6139CB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K., McLeod, E., Périard, J., Rattray, B., Keegan, R., &amp; Pyne, D. B. (2019). The impact of environmental stress on cognitive performance: A systematic review. </w:t>
      </w:r>
      <w:r w:rsidRPr="00896AA2">
        <w:rPr>
          <w:rFonts w:ascii="Times New Roman" w:eastAsia="Times New Roman" w:hAnsi="Times New Roman" w:cs="Times New Roman"/>
          <w:i/>
          <w:iCs/>
          <w:sz w:val="24"/>
          <w:szCs w:val="24"/>
        </w:rPr>
        <w:t>Human Factors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(8), 1205–1246. </w:t>
      </w:r>
      <w:hyperlink r:id="rId3685" w:history="1">
        <w:r w:rsidRPr="00896AA2">
          <w:rPr>
            <w:rFonts w:ascii="Times New Roman" w:eastAsia="Times New Roman" w:hAnsi="Times New Roman" w:cs="Times New Roman"/>
            <w:color w:val="0000FF"/>
            <w:sz w:val="24"/>
            <w:szCs w:val="24"/>
            <w:u w:val="single"/>
          </w:rPr>
          <w:t>https://doi.org/10.1177/0018720819839817</w:t>
        </w:r>
      </w:hyperlink>
    </w:p>
    <w:p w14:paraId="01350B0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M., Kliegel, M., &amp; McDaniel, M. A. (2003). The involvement of executive functions in prospective memory performance of adults. </w:t>
      </w:r>
      <w:r w:rsidRPr="00896AA2">
        <w:rPr>
          <w:rFonts w:ascii="Times New Roman" w:eastAsia="Times New Roman" w:hAnsi="Times New Roman" w:cs="Times New Roman"/>
          <w:i/>
          <w:iCs/>
          <w:sz w:val="24"/>
          <w:szCs w:val="24"/>
        </w:rPr>
        <w:t>International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(4), 195–206. </w:t>
      </w:r>
      <w:hyperlink r:id="rId3686" w:history="1">
        <w:r w:rsidRPr="00896AA2">
          <w:rPr>
            <w:rFonts w:ascii="Times New Roman" w:eastAsia="Times New Roman" w:hAnsi="Times New Roman" w:cs="Times New Roman"/>
            <w:color w:val="0000FF"/>
            <w:sz w:val="24"/>
            <w:szCs w:val="24"/>
            <w:u w:val="single"/>
          </w:rPr>
          <w:t>https://doi.org/10.1080/00207590344000123</w:t>
        </w:r>
      </w:hyperlink>
    </w:p>
    <w:p w14:paraId="6AF467B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R. C., Sawrie, S. M., Edwards, R., Roth, D. L., Faught, E., Kuzniecky, R. I., Morawetz, R. B., &amp; Gilliam, F. G. (2000). Investigation of executive function change following anterior temporal lobectomy: Selective normalization of verbal fluency.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(4), 501–508. </w:t>
      </w:r>
      <w:hyperlink r:id="rId3687" w:history="1">
        <w:r w:rsidRPr="00896AA2">
          <w:rPr>
            <w:rFonts w:ascii="Times New Roman" w:eastAsia="Times New Roman" w:hAnsi="Times New Roman" w:cs="Times New Roman"/>
            <w:color w:val="0000FF"/>
            <w:sz w:val="24"/>
            <w:szCs w:val="24"/>
            <w:u w:val="single"/>
          </w:rPr>
          <w:t>https://doi.org/10.1037/0894-4105.14.4.501</w:t>
        </w:r>
      </w:hyperlink>
    </w:p>
    <w:p w14:paraId="3D3C2B2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R. C., Triebel, K., Dreer, L. E., Novack, T. A., Turner, C., &amp; Marson, D. C. (2012). Neurocognitive predictors of financial capacity in traumatic brain injury. </w:t>
      </w:r>
      <w:r w:rsidRPr="00896AA2">
        <w:rPr>
          <w:rFonts w:ascii="Times New Roman" w:eastAsia="Times New Roman" w:hAnsi="Times New Roman" w:cs="Times New Roman"/>
          <w:i/>
          <w:iCs/>
          <w:sz w:val="24"/>
          <w:szCs w:val="24"/>
        </w:rPr>
        <w:t>The Journal of Head Trauma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(6), E81–E90. </w:t>
      </w:r>
      <w:hyperlink r:id="rId3688" w:history="1">
        <w:r w:rsidRPr="00896AA2">
          <w:rPr>
            <w:rFonts w:ascii="Times New Roman" w:eastAsia="Times New Roman" w:hAnsi="Times New Roman" w:cs="Times New Roman"/>
            <w:color w:val="0000FF"/>
            <w:sz w:val="24"/>
            <w:szCs w:val="24"/>
            <w:u w:val="single"/>
          </w:rPr>
          <w:t>https://doi.org/10.1097/HTR.0b013e318273de49</w:t>
        </w:r>
      </w:hyperlink>
    </w:p>
    <w:p w14:paraId="485061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 V., Huber, M., Rief, W., &amp; Exner, C. (2008). Comparative cognitive profiles of obsessive-compulsive disorder and schizophrenia.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(5), 487–500. </w:t>
      </w:r>
      <w:hyperlink r:id="rId3689" w:history="1">
        <w:r w:rsidRPr="00896AA2">
          <w:rPr>
            <w:rFonts w:ascii="Times New Roman" w:eastAsia="Times New Roman" w:hAnsi="Times New Roman" w:cs="Times New Roman"/>
            <w:color w:val="0000FF"/>
            <w:sz w:val="24"/>
            <w:szCs w:val="24"/>
            <w:u w:val="single"/>
          </w:rPr>
          <w:t>https://doi.org/10.1016/j.acn.2008.03.006</w:t>
        </w:r>
      </w:hyperlink>
    </w:p>
    <w:p w14:paraId="4EC46E6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Martinaud, O., Perin, B., Gérardin, E., Proust, F., Bioux, S., Le Gars, D., Hannequin, D., &amp; Godefroy, O. (2009). Anatomy of executive deficit following ruptured anterior communicating artery aneurysm.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(5), 595–601. </w:t>
      </w:r>
      <w:hyperlink r:id="rId3690" w:history="1">
        <w:r w:rsidRPr="00896AA2">
          <w:rPr>
            <w:rFonts w:ascii="Times New Roman" w:eastAsia="Times New Roman" w:hAnsi="Times New Roman" w:cs="Times New Roman"/>
            <w:color w:val="0000FF"/>
            <w:sz w:val="24"/>
            <w:szCs w:val="24"/>
            <w:u w:val="single"/>
          </w:rPr>
          <w:t>https://doi.org/10.1111/j.1468-1331.2009.02546.x</w:t>
        </w:r>
      </w:hyperlink>
    </w:p>
    <w:p w14:paraId="60CD48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 M. C. Q., &amp; Agudelo, Y. R. (2005). Relación entre la ejecución en pruebas neuropsicológicas y una escala de actividades de la vida diaria en paciente con lesión frontal. [Relation among the execution in neuropsychological tests and a scales of activities of the daily life in patient with f. </w:t>
      </w:r>
      <w:r w:rsidRPr="00896AA2">
        <w:rPr>
          <w:rFonts w:ascii="Times New Roman" w:eastAsia="Times New Roman" w:hAnsi="Times New Roman" w:cs="Times New Roman"/>
          <w:i/>
          <w:iCs/>
          <w:sz w:val="24"/>
          <w:szCs w:val="24"/>
        </w:rPr>
        <w:t>Pensamiento Psicológico</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w:t>
      </w:r>
      <w:r w:rsidRPr="00896AA2">
        <w:rPr>
          <w:rFonts w:ascii="Times New Roman" w:eastAsia="Times New Roman" w:hAnsi="Times New Roman" w:cs="Times New Roman"/>
          <w:sz w:val="24"/>
          <w:szCs w:val="24"/>
        </w:rPr>
        <w:t>(6), 85–93.</w:t>
      </w:r>
    </w:p>
    <w:p w14:paraId="3E748E0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 S., Cáceres, C., Mataró, M., Escudero, D., Latorre, P., &amp; Dávalos, A. (2010). Is there progressive cognitive dysfunction in Sjögren syndrome? A preliminary study. </w:t>
      </w:r>
      <w:r w:rsidRPr="00896AA2">
        <w:rPr>
          <w:rFonts w:ascii="Times New Roman" w:eastAsia="Times New Roman" w:hAnsi="Times New Roman" w:cs="Times New Roman"/>
          <w:i/>
          <w:iCs/>
          <w:sz w:val="24"/>
          <w:szCs w:val="24"/>
        </w:rPr>
        <w:t>Acta Neurologica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122</w:t>
      </w:r>
      <w:r w:rsidRPr="00896AA2">
        <w:rPr>
          <w:rFonts w:ascii="Times New Roman" w:eastAsia="Times New Roman" w:hAnsi="Times New Roman" w:cs="Times New Roman"/>
          <w:sz w:val="24"/>
          <w:szCs w:val="24"/>
        </w:rPr>
        <w:t xml:space="preserve">(3), 182–188. </w:t>
      </w:r>
      <w:hyperlink r:id="rId3691" w:history="1">
        <w:r w:rsidRPr="00896AA2">
          <w:rPr>
            <w:rFonts w:ascii="Times New Roman" w:eastAsia="Times New Roman" w:hAnsi="Times New Roman" w:cs="Times New Roman"/>
            <w:color w:val="0000FF"/>
            <w:sz w:val="24"/>
            <w:szCs w:val="24"/>
            <w:u w:val="single"/>
          </w:rPr>
          <w:t>https://doi.org/10.1111/j.1600-0404.2009.01293.x</w:t>
        </w:r>
      </w:hyperlink>
    </w:p>
    <w:p w14:paraId="187AB1F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 S., Stillerman, L., &amp; Waldo, M. (2005). Reliability and Validity of the SCL-90-R With Hispanic College Students. </w:t>
      </w:r>
      <w:r w:rsidRPr="00896AA2">
        <w:rPr>
          <w:rFonts w:ascii="Times New Roman" w:eastAsia="Times New Roman" w:hAnsi="Times New Roman" w:cs="Times New Roman"/>
          <w:i/>
          <w:iCs/>
          <w:sz w:val="24"/>
          <w:szCs w:val="24"/>
        </w:rPr>
        <w:t>Hispanic Journal of Behavioral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(2), 254–264. </w:t>
      </w:r>
      <w:hyperlink r:id="rId3692" w:history="1">
        <w:r w:rsidRPr="00896AA2">
          <w:rPr>
            <w:rFonts w:ascii="Times New Roman" w:eastAsia="Times New Roman" w:hAnsi="Times New Roman" w:cs="Times New Roman"/>
            <w:color w:val="0000FF"/>
            <w:sz w:val="24"/>
            <w:szCs w:val="24"/>
            <w:u w:val="single"/>
          </w:rPr>
          <w:t>https://doi.org/10.1177/0739986305274911</w:t>
        </w:r>
      </w:hyperlink>
    </w:p>
    <w:p w14:paraId="360AF6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Penadés, R., Vieta, E., Colom, F., Reinares, M., Benabarre, A., Salamero, M., &amp; Gastó, C. (2002). Executive function in patients with remitted bipolar disorder and schizophrenia and its relationship with functional outcome. </w:t>
      </w:r>
      <w:r w:rsidRPr="00896AA2">
        <w:rPr>
          <w:rFonts w:ascii="Times New Roman" w:eastAsia="Times New Roman" w:hAnsi="Times New Roman" w:cs="Times New Roman"/>
          <w:i/>
          <w:iCs/>
          <w:sz w:val="24"/>
          <w:szCs w:val="24"/>
        </w:rPr>
        <w:t>Psychotherapy and Psychosomatics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71</w:t>
      </w:r>
      <w:r w:rsidRPr="00896AA2">
        <w:rPr>
          <w:rFonts w:ascii="Times New Roman" w:eastAsia="Times New Roman" w:hAnsi="Times New Roman" w:cs="Times New Roman"/>
          <w:sz w:val="24"/>
          <w:szCs w:val="24"/>
        </w:rPr>
        <w:t xml:space="preserve">(1), 39–46. </w:t>
      </w:r>
      <w:hyperlink r:id="rId3693" w:history="1">
        <w:r w:rsidRPr="00896AA2">
          <w:rPr>
            <w:rFonts w:ascii="Times New Roman" w:eastAsia="Times New Roman" w:hAnsi="Times New Roman" w:cs="Times New Roman"/>
            <w:color w:val="0000FF"/>
            <w:sz w:val="24"/>
            <w:szCs w:val="24"/>
            <w:u w:val="single"/>
          </w:rPr>
          <w:t>https://doi.org/10.1159/000049342</w:t>
        </w:r>
      </w:hyperlink>
    </w:p>
    <w:p w14:paraId="5DAEB4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Martinez-Aran, A., Scott, J., Colom, F., Torrent, C., Tabares-Seisdedos, R., Daban, C., Leboyer, M., Henry, C., Goodwin, G. M., Gonzalez-Pinto, A., Cruz, N., Sanchez-Moreno, J., &amp; Vieta, E. (2009). Treatment nonadherence and neurocognitive impairment in bipolar disorder.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70</w:t>
      </w:r>
      <w:r w:rsidRPr="00896AA2">
        <w:rPr>
          <w:rFonts w:ascii="Times New Roman" w:eastAsia="Times New Roman" w:hAnsi="Times New Roman" w:cs="Times New Roman"/>
          <w:sz w:val="24"/>
          <w:szCs w:val="24"/>
        </w:rPr>
        <w:t xml:space="preserve">(7), 1017–1023. </w:t>
      </w:r>
      <w:hyperlink r:id="rId3694" w:history="1">
        <w:r w:rsidRPr="00896AA2">
          <w:rPr>
            <w:rFonts w:ascii="Times New Roman" w:eastAsia="Times New Roman" w:hAnsi="Times New Roman" w:cs="Times New Roman"/>
            <w:color w:val="0000FF"/>
            <w:sz w:val="24"/>
            <w:szCs w:val="24"/>
            <w:u w:val="single"/>
          </w:rPr>
          <w:t>https://doi.org/10.4088/JCP.08m04408</w:t>
        </w:r>
      </w:hyperlink>
    </w:p>
    <w:p w14:paraId="123DBF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Martinez-Aran, A., Torrent, C., Tabares-Seisdedos, R., Salamero, M., Daban, C., Balanza-Martinez, V., Sanchez-Moreno, J., Goikolea, J. M., Benabarre, A., Colom, F., &amp; Vieta, E. (2008). Neurocognitive impairment in bipolar patients with and without history of psychosis.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69</w:t>
      </w:r>
      <w:r w:rsidRPr="00896AA2">
        <w:rPr>
          <w:rFonts w:ascii="Times New Roman" w:eastAsia="Times New Roman" w:hAnsi="Times New Roman" w:cs="Times New Roman"/>
          <w:sz w:val="24"/>
          <w:szCs w:val="24"/>
        </w:rPr>
        <w:t xml:space="preserve">(2), 233–239. </w:t>
      </w:r>
      <w:hyperlink r:id="rId3695" w:history="1">
        <w:r w:rsidRPr="00896AA2">
          <w:rPr>
            <w:rFonts w:ascii="Times New Roman" w:eastAsia="Times New Roman" w:hAnsi="Times New Roman" w:cs="Times New Roman"/>
            <w:color w:val="0000FF"/>
            <w:sz w:val="24"/>
            <w:szCs w:val="24"/>
            <w:u w:val="single"/>
          </w:rPr>
          <w:t>https://doi.org/10.4088/JCP.v69n0209</w:t>
        </w:r>
      </w:hyperlink>
    </w:p>
    <w:p w14:paraId="65E279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Vieta, E., Colom, F., Torrent, C., Reinares, M., Goikolea, J. M., Benabarre, A., Comes, M., &amp; Sánchez-Moreno, J. (2005). Do cognitive complaints in euthymic bipolar patients reflect objective cognitive impairment? </w:t>
      </w:r>
      <w:r w:rsidRPr="00896AA2">
        <w:rPr>
          <w:rFonts w:ascii="Times New Roman" w:eastAsia="Times New Roman" w:hAnsi="Times New Roman" w:cs="Times New Roman"/>
          <w:i/>
          <w:iCs/>
          <w:sz w:val="24"/>
          <w:szCs w:val="24"/>
        </w:rPr>
        <w:t>Psychotherapy and Psychosomatics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74</w:t>
      </w:r>
      <w:r w:rsidRPr="00896AA2">
        <w:rPr>
          <w:rFonts w:ascii="Times New Roman" w:eastAsia="Times New Roman" w:hAnsi="Times New Roman" w:cs="Times New Roman"/>
          <w:sz w:val="24"/>
          <w:szCs w:val="24"/>
        </w:rPr>
        <w:t xml:space="preserve">(5), 295–302. </w:t>
      </w:r>
      <w:hyperlink r:id="rId3696" w:history="1">
        <w:r w:rsidRPr="00896AA2">
          <w:rPr>
            <w:rFonts w:ascii="Times New Roman" w:eastAsia="Times New Roman" w:hAnsi="Times New Roman" w:cs="Times New Roman"/>
            <w:color w:val="0000FF"/>
            <w:sz w:val="24"/>
            <w:szCs w:val="24"/>
            <w:u w:val="single"/>
          </w:rPr>
          <w:t>https://doi.org/10.1159/000086320</w:t>
        </w:r>
      </w:hyperlink>
    </w:p>
    <w:p w14:paraId="3C57FD2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Vieta, E., Colom, F., Torrent, C., Sánchez-Moreno, J., Reinares, M., Benabarre, A., Goikolea, J. M., Brugué, E., Daban, C., &amp; Salamero, M. (2004). Cognitive impairment in euthymic bipolar patients: Implications for clinical and functional outcome.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(3), 224–232. </w:t>
      </w:r>
      <w:hyperlink r:id="rId3697" w:history="1">
        <w:r w:rsidRPr="00896AA2">
          <w:rPr>
            <w:rFonts w:ascii="Times New Roman" w:eastAsia="Times New Roman" w:hAnsi="Times New Roman" w:cs="Times New Roman"/>
            <w:color w:val="0000FF"/>
            <w:sz w:val="24"/>
            <w:szCs w:val="24"/>
            <w:u w:val="single"/>
          </w:rPr>
          <w:t>https://doi.org/10.1111/j.1399-5618.2004.00111.x</w:t>
        </w:r>
      </w:hyperlink>
    </w:p>
    <w:p w14:paraId="16974C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Martínez-Arán, A., Vieta, E., Reinares, M., Colom, F., Torrent, C., Sánchez-Moreno, J., Benabarre, A., Goikolea, J. M., Comes, M., &amp; Salamero, M. (2004). Cognitive Function Across Manic or Hypomanic, Depressed, and Euthymic States in Bipolar Disorder.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161</w:t>
      </w:r>
      <w:r w:rsidRPr="00896AA2">
        <w:rPr>
          <w:rFonts w:ascii="Times New Roman" w:eastAsia="Times New Roman" w:hAnsi="Times New Roman" w:cs="Times New Roman"/>
          <w:sz w:val="24"/>
          <w:szCs w:val="24"/>
        </w:rPr>
        <w:t xml:space="preserve">(2), 262–270. </w:t>
      </w:r>
      <w:hyperlink r:id="rId3698" w:history="1">
        <w:r w:rsidRPr="00896AA2">
          <w:rPr>
            <w:rFonts w:ascii="Times New Roman" w:eastAsia="Times New Roman" w:hAnsi="Times New Roman" w:cs="Times New Roman"/>
            <w:color w:val="0000FF"/>
            <w:sz w:val="24"/>
            <w:szCs w:val="24"/>
            <w:u w:val="single"/>
          </w:rPr>
          <w:t>https://doi.org/10.1176/appi.ajp.161.2.262</w:t>
        </w:r>
      </w:hyperlink>
    </w:p>
    <w:p w14:paraId="454CB5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Martinez-Aran, A., Vieta, E., Torrent, C., Sanchez-Moreno, J., Goikolea, J. M., Salamero, M., Malhi, G. S., Gonzalez-Pinto, A., Daban, C., Alvarez-Grandi, S., Fountoulakis, K., Kaprinis, G., Tabares-Seisdedos, R., &amp; Ayuso-Mateos, J. L. (2007). Functional outcome in bipolar disorder: The role of clinical and cognitive factors. </w:t>
      </w:r>
      <w:r w:rsidRPr="00896AA2">
        <w:rPr>
          <w:rFonts w:ascii="Times New Roman" w:eastAsia="Times New Roman" w:hAnsi="Times New Roman" w:cs="Times New Roman"/>
          <w:i/>
          <w:iCs/>
          <w:sz w:val="24"/>
          <w:szCs w:val="24"/>
        </w:rPr>
        <w:t>Bipolar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(1–2), 103–113. </w:t>
      </w:r>
      <w:hyperlink r:id="rId3699" w:history="1">
        <w:r w:rsidRPr="00896AA2">
          <w:rPr>
            <w:rFonts w:ascii="Times New Roman" w:eastAsia="Times New Roman" w:hAnsi="Times New Roman" w:cs="Times New Roman"/>
            <w:color w:val="0000FF"/>
            <w:sz w:val="24"/>
            <w:szCs w:val="24"/>
            <w:u w:val="single"/>
          </w:rPr>
          <w:t>https://doi.org/10.1111/j.1399-5618.2007.00327.x</w:t>
        </w:r>
      </w:hyperlink>
    </w:p>
    <w:p w14:paraId="2AE3C2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Martínez-Cengotitabengoa, M., Mac-Dowell, K. S., Leza, J. C., Micó, J. A., Fernandez, M., Echevarría, E., Sanjuan, J., Elorza, J., &amp; González-Pinto, A. (2012). Cognitive impairment is related to oxidative stress and chemokine levels in first psychotic episodes.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137</w:t>
      </w:r>
      <w:r w:rsidRPr="00896AA2">
        <w:rPr>
          <w:rFonts w:ascii="Times New Roman" w:eastAsia="Times New Roman" w:hAnsi="Times New Roman" w:cs="Times New Roman"/>
          <w:sz w:val="24"/>
          <w:szCs w:val="24"/>
        </w:rPr>
        <w:t xml:space="preserve">(1–3), 66–72. </w:t>
      </w:r>
      <w:hyperlink r:id="rId3700" w:history="1">
        <w:r w:rsidRPr="00896AA2">
          <w:rPr>
            <w:rFonts w:ascii="Times New Roman" w:eastAsia="Times New Roman" w:hAnsi="Times New Roman" w:cs="Times New Roman"/>
            <w:color w:val="0000FF"/>
            <w:sz w:val="24"/>
            <w:szCs w:val="24"/>
            <w:u w:val="single"/>
          </w:rPr>
          <w:t>https://doi.org/10.1016/j.schres.2012.03.004</w:t>
        </w:r>
      </w:hyperlink>
    </w:p>
    <w:p w14:paraId="7EB09C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Martínez-Cengotitabengoa, M., Micó, J. A., Arango, C., Castro-Fornieles, J., Graell, M., Payá, B., Leza, J. C., Zorrilla, I., Parellada, M., López, M. P., Baeza, I., Moreno, C., Rapado-Castro, M., &amp; González-Pinto, A. (2014). Basal low antioxidant capacity correlates with cognitive deficits in early onset psychosis. A 2-year follow-up study.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23–29. </w:t>
      </w:r>
      <w:hyperlink r:id="rId3701" w:history="1">
        <w:r w:rsidRPr="00896AA2">
          <w:rPr>
            <w:rFonts w:ascii="Times New Roman" w:eastAsia="Times New Roman" w:hAnsi="Times New Roman" w:cs="Times New Roman"/>
            <w:color w:val="0000FF"/>
            <w:sz w:val="24"/>
            <w:szCs w:val="24"/>
            <w:u w:val="single"/>
          </w:rPr>
          <w:t>https://doi.org/10.1016/j.schres.2014.03.025</w:t>
        </w:r>
      </w:hyperlink>
    </w:p>
    <w:p w14:paraId="5880F2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Martínez-Domínguez, S., Penadés, R., Segura, B., González-Rodríguez, A., &amp; Catalán, R. (2015). Influence of social cognition on daily functioning in schizophrenia: Study of incremental validity and mediational effects.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225</w:t>
      </w:r>
      <w:r w:rsidRPr="00896AA2">
        <w:rPr>
          <w:rFonts w:ascii="Times New Roman" w:eastAsia="Times New Roman" w:hAnsi="Times New Roman" w:cs="Times New Roman"/>
          <w:sz w:val="24"/>
          <w:szCs w:val="24"/>
        </w:rPr>
        <w:t xml:space="preserve">(3), 374–380. </w:t>
      </w:r>
      <w:hyperlink r:id="rId3702" w:history="1">
        <w:r w:rsidRPr="00896AA2">
          <w:rPr>
            <w:rFonts w:ascii="Times New Roman" w:eastAsia="Times New Roman" w:hAnsi="Times New Roman" w:cs="Times New Roman"/>
            <w:color w:val="0000FF"/>
            <w:sz w:val="24"/>
            <w:szCs w:val="24"/>
            <w:u w:val="single"/>
          </w:rPr>
          <w:t>https://doi.org/10.1016/j.psychres.2014.12.011</w:t>
        </w:r>
      </w:hyperlink>
    </w:p>
    <w:p w14:paraId="65E0768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Martínez-Horta, S., &amp; Kulisevsky, J. (2011). Is all cognitive impairment in Parkinson’s disease “mild cognitive impairment”? </w:t>
      </w:r>
      <w:r w:rsidRPr="00896AA2">
        <w:rPr>
          <w:rFonts w:ascii="Times New Roman" w:eastAsia="Times New Roman" w:hAnsi="Times New Roman" w:cs="Times New Roman"/>
          <w:i/>
          <w:iCs/>
          <w:sz w:val="24"/>
          <w:szCs w:val="24"/>
        </w:rPr>
        <w:t>Journal of Neural Transmission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118</w:t>
      </w:r>
      <w:r w:rsidRPr="00896AA2">
        <w:rPr>
          <w:rFonts w:ascii="Times New Roman" w:eastAsia="Times New Roman" w:hAnsi="Times New Roman" w:cs="Times New Roman"/>
          <w:sz w:val="24"/>
          <w:szCs w:val="24"/>
        </w:rPr>
        <w:t xml:space="preserve">(8), 1185–1190. </w:t>
      </w:r>
      <w:hyperlink r:id="rId3703" w:history="1">
        <w:r w:rsidRPr="00896AA2">
          <w:rPr>
            <w:rFonts w:ascii="Times New Roman" w:eastAsia="Times New Roman" w:hAnsi="Times New Roman" w:cs="Times New Roman"/>
            <w:color w:val="0000FF"/>
            <w:sz w:val="24"/>
            <w:szCs w:val="24"/>
            <w:u w:val="single"/>
          </w:rPr>
          <w:t>https://doi.org/10.1007/s00702-011-0675-9</w:t>
        </w:r>
      </w:hyperlink>
    </w:p>
    <w:p w14:paraId="6F30888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Bucay, D., Butman, J. T., &amp; Allegri, R. F. (2007). Neuropsychological frontal impairments and negative symptoms in schizophrenia.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152</w:t>
      </w:r>
      <w:r w:rsidRPr="00896AA2">
        <w:rPr>
          <w:rFonts w:ascii="Times New Roman" w:eastAsia="Times New Roman" w:hAnsi="Times New Roman" w:cs="Times New Roman"/>
          <w:sz w:val="24"/>
          <w:szCs w:val="24"/>
        </w:rPr>
        <w:t xml:space="preserve">(2–3), 121–128. </w:t>
      </w:r>
      <w:hyperlink r:id="rId3704" w:history="1">
        <w:r w:rsidRPr="00896AA2">
          <w:rPr>
            <w:rFonts w:ascii="Times New Roman" w:eastAsia="Times New Roman" w:hAnsi="Times New Roman" w:cs="Times New Roman"/>
            <w:color w:val="0000FF"/>
            <w:sz w:val="24"/>
            <w:szCs w:val="24"/>
            <w:u w:val="single"/>
          </w:rPr>
          <w:t>https://doi.org/10.1016/j.psychres.2006.03.002</w:t>
        </w:r>
      </w:hyperlink>
    </w:p>
    <w:p w14:paraId="33F1F78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Igoa, A., Marengo, E., Scápola, M., Ais, E. D., &amp; Strejilevich, S. A. (2008). Cognitive and motor features in elderly people with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105</w:t>
      </w:r>
      <w:r w:rsidRPr="00896AA2">
        <w:rPr>
          <w:rFonts w:ascii="Times New Roman" w:eastAsia="Times New Roman" w:hAnsi="Times New Roman" w:cs="Times New Roman"/>
          <w:sz w:val="24"/>
          <w:szCs w:val="24"/>
        </w:rPr>
        <w:t xml:space="preserve">(1–3), 291–295. </w:t>
      </w:r>
      <w:hyperlink r:id="rId3705" w:history="1">
        <w:r w:rsidRPr="00896AA2">
          <w:rPr>
            <w:rFonts w:ascii="Times New Roman" w:eastAsia="Times New Roman" w:hAnsi="Times New Roman" w:cs="Times New Roman"/>
            <w:color w:val="0000FF"/>
            <w:sz w:val="24"/>
            <w:szCs w:val="24"/>
            <w:u w:val="single"/>
          </w:rPr>
          <w:t>https://doi.org/10.1016/j.jad.2007.05.014</w:t>
        </w:r>
      </w:hyperlink>
    </w:p>
    <w:p w14:paraId="64B1220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Igoa, A., Marengo, E., Scápola, M., &amp; Strejilevich, S. A. (2011). Neurocognitive impairments and their relationship with psychosocial functioning in euthymic bipolar II disorder.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199</w:t>
      </w:r>
      <w:r w:rsidRPr="00896AA2">
        <w:rPr>
          <w:rFonts w:ascii="Times New Roman" w:eastAsia="Times New Roman" w:hAnsi="Times New Roman" w:cs="Times New Roman"/>
          <w:sz w:val="24"/>
          <w:szCs w:val="24"/>
        </w:rPr>
        <w:t xml:space="preserve">(7), 459–464. </w:t>
      </w:r>
      <w:hyperlink r:id="rId3706" w:history="1">
        <w:r w:rsidRPr="00896AA2">
          <w:rPr>
            <w:rFonts w:ascii="Times New Roman" w:eastAsia="Times New Roman" w:hAnsi="Times New Roman" w:cs="Times New Roman"/>
            <w:color w:val="0000FF"/>
            <w:sz w:val="24"/>
            <w:szCs w:val="24"/>
            <w:u w:val="single"/>
          </w:rPr>
          <w:t>https://doi.org/10.1097/NMD.0b013e3182214190</w:t>
        </w:r>
      </w:hyperlink>
    </w:p>
    <w:p w14:paraId="7A740EC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Igoa, A., Marengo, E., Scápola, M., &amp; Strejilevich, S. A. (2018). Longitudinal relationship between clinical course and neurocognitive impairments in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225</w:t>
      </w:r>
      <w:r w:rsidRPr="00896AA2">
        <w:rPr>
          <w:rFonts w:ascii="Times New Roman" w:eastAsia="Times New Roman" w:hAnsi="Times New Roman" w:cs="Times New Roman"/>
          <w:sz w:val="24"/>
          <w:szCs w:val="24"/>
        </w:rPr>
        <w:t xml:space="preserve">, 250–255. </w:t>
      </w:r>
      <w:hyperlink r:id="rId3707" w:history="1">
        <w:r w:rsidRPr="00896AA2">
          <w:rPr>
            <w:rFonts w:ascii="Times New Roman" w:eastAsia="Times New Roman" w:hAnsi="Times New Roman" w:cs="Times New Roman"/>
            <w:color w:val="0000FF"/>
            <w:sz w:val="24"/>
            <w:szCs w:val="24"/>
            <w:u w:val="single"/>
          </w:rPr>
          <w:t>https://doi.org/10.1016/j.jad.2017.08.011</w:t>
        </w:r>
      </w:hyperlink>
    </w:p>
    <w:p w14:paraId="5168FCF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Marengo, E., Igoa, A., Scápola, M., Ais, E. D., Perinot, L., &amp; Strejilevich, S. A. (2009). Neurocognitive and symptomatic predictors of functional outcome in bipolar disorders: A prospective 1 year follow-up study.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(1–2), 37–42. </w:t>
      </w:r>
      <w:hyperlink r:id="rId3708" w:history="1">
        <w:r w:rsidRPr="00896AA2">
          <w:rPr>
            <w:rFonts w:ascii="Times New Roman" w:eastAsia="Times New Roman" w:hAnsi="Times New Roman" w:cs="Times New Roman"/>
            <w:color w:val="0000FF"/>
            <w:sz w:val="24"/>
            <w:szCs w:val="24"/>
            <w:u w:val="single"/>
          </w:rPr>
          <w:t>https://doi.org/10.1016/j.jad.2008.10.023</w:t>
        </w:r>
      </w:hyperlink>
    </w:p>
    <w:p w14:paraId="43BE04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Marengo, E., Igoa, A., &amp; Strejilevich, S. A. (2018). Neurocognitive heterogeneity in older adults with bipolar disorders.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262</w:t>
      </w:r>
      <w:r w:rsidRPr="00896AA2">
        <w:rPr>
          <w:rFonts w:ascii="Times New Roman" w:eastAsia="Times New Roman" w:hAnsi="Times New Roman" w:cs="Times New Roman"/>
          <w:sz w:val="24"/>
          <w:szCs w:val="24"/>
        </w:rPr>
        <w:t xml:space="preserve">, 510–512. </w:t>
      </w:r>
      <w:hyperlink r:id="rId3709" w:history="1">
        <w:r w:rsidRPr="00896AA2">
          <w:rPr>
            <w:rFonts w:ascii="Times New Roman" w:eastAsia="Times New Roman" w:hAnsi="Times New Roman" w:cs="Times New Roman"/>
            <w:color w:val="0000FF"/>
            <w:sz w:val="24"/>
            <w:szCs w:val="24"/>
            <w:u w:val="single"/>
          </w:rPr>
          <w:t>https://doi.org/10.1016/j.psychres.2017.09.035</w:t>
        </w:r>
      </w:hyperlink>
    </w:p>
    <w:p w14:paraId="6BC60C0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Scápola, M., &amp; Strejilevich, S. A. (2017). Letter to the editor: Longitudinal stability of neurocognitive subtypes in bipolar disorder.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95</w:t>
      </w:r>
      <w:r w:rsidRPr="00896AA2">
        <w:rPr>
          <w:rFonts w:ascii="Times New Roman" w:eastAsia="Times New Roman" w:hAnsi="Times New Roman" w:cs="Times New Roman"/>
          <w:sz w:val="24"/>
          <w:szCs w:val="24"/>
        </w:rPr>
        <w:t xml:space="preserve">, 46–47. </w:t>
      </w:r>
      <w:hyperlink r:id="rId3710" w:history="1">
        <w:r w:rsidRPr="00896AA2">
          <w:rPr>
            <w:rFonts w:ascii="Times New Roman" w:eastAsia="Times New Roman" w:hAnsi="Times New Roman" w:cs="Times New Roman"/>
            <w:color w:val="0000FF"/>
            <w:sz w:val="24"/>
            <w:szCs w:val="24"/>
            <w:u w:val="single"/>
          </w:rPr>
          <w:t>https://doi.org/10.1016/j.jpsychires.2017.07.026</w:t>
        </w:r>
      </w:hyperlink>
    </w:p>
    <w:p w14:paraId="27C7742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&amp; Strejilevich, S. A. (2014). A comparison of decision making in patients with bipolar I disorder and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 xml:space="preserve">(1), 135–136. </w:t>
      </w:r>
      <w:hyperlink r:id="rId3711" w:history="1">
        <w:r w:rsidRPr="00896AA2">
          <w:rPr>
            <w:rFonts w:ascii="Times New Roman" w:eastAsia="Times New Roman" w:hAnsi="Times New Roman" w:cs="Times New Roman"/>
            <w:color w:val="0000FF"/>
            <w:sz w:val="24"/>
            <w:szCs w:val="24"/>
            <w:u w:val="single"/>
          </w:rPr>
          <w:t>https://doi.org/10.1016/j.schres.2014.03.019</w:t>
        </w:r>
      </w:hyperlink>
    </w:p>
    <w:p w14:paraId="29C0DF4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&amp; Strejilevich, S. A. (2015). Subclinical hypothyroidism and neurocognitive functioning in bipolar disorder.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 166–167. </w:t>
      </w:r>
      <w:hyperlink r:id="rId3712" w:history="1">
        <w:r w:rsidRPr="00896AA2">
          <w:rPr>
            <w:rFonts w:ascii="Times New Roman" w:eastAsia="Times New Roman" w:hAnsi="Times New Roman" w:cs="Times New Roman"/>
            <w:color w:val="0000FF"/>
            <w:sz w:val="24"/>
            <w:szCs w:val="24"/>
            <w:u w:val="single"/>
          </w:rPr>
          <w:t>https://doi.org/10.1016/j.jpsychires.2014.12.016</w:t>
        </w:r>
      </w:hyperlink>
    </w:p>
    <w:p w14:paraId="6741929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Strejilevich, S. A., &amp; Manes, F. (2013). Neurocognitive functioning in early‐onset and late‐onset older patients with euthymic bipolar disorder. </w:t>
      </w:r>
      <w:r w:rsidRPr="00896AA2">
        <w:rPr>
          <w:rFonts w:ascii="Times New Roman" w:eastAsia="Times New Roman" w:hAnsi="Times New Roman" w:cs="Times New Roman"/>
          <w:i/>
          <w:iCs/>
          <w:sz w:val="24"/>
          <w:szCs w:val="24"/>
        </w:rPr>
        <w:t>International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(2), 142–148. </w:t>
      </w:r>
      <w:hyperlink r:id="rId3713" w:history="1">
        <w:r w:rsidRPr="00896AA2">
          <w:rPr>
            <w:rFonts w:ascii="Times New Roman" w:eastAsia="Times New Roman" w:hAnsi="Times New Roman" w:cs="Times New Roman"/>
            <w:color w:val="0000FF"/>
            <w:sz w:val="24"/>
            <w:szCs w:val="24"/>
            <w:u w:val="single"/>
          </w:rPr>
          <w:t>https://doi.org/10.1002/gps.3801</w:t>
        </w:r>
      </w:hyperlink>
    </w:p>
    <w:p w14:paraId="59A1536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Strejilevich, S. A., Marengo, E., Igoa, A., Fassi, G., Teitelbaum, J., &amp; Caravotta, P. (2013). Relationship between neurocognitive functioning and episode recurrences in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(1–3), 345–351. </w:t>
      </w:r>
      <w:hyperlink r:id="rId3714" w:history="1">
        <w:r w:rsidRPr="00896AA2">
          <w:rPr>
            <w:rFonts w:ascii="Times New Roman" w:eastAsia="Times New Roman" w:hAnsi="Times New Roman" w:cs="Times New Roman"/>
            <w:color w:val="0000FF"/>
            <w:sz w:val="24"/>
            <w:szCs w:val="24"/>
            <w:u w:val="single"/>
          </w:rPr>
          <w:t>https://doi.org/10.1016/j.jad.2012.11.037</w:t>
        </w:r>
      </w:hyperlink>
    </w:p>
    <w:p w14:paraId="1D09076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Strejilevich, S. A., Torralva, T., &amp; Manes, F. (2011). Decision making in euthymic bipolar I and bipolar II disorders. </w:t>
      </w:r>
      <w:r w:rsidRPr="00896AA2">
        <w:rPr>
          <w:rFonts w:ascii="Times New Roman" w:eastAsia="Times New Roman" w:hAnsi="Times New Roman" w:cs="Times New Roman"/>
          <w:i/>
          <w:iCs/>
          <w:sz w:val="24"/>
          <w:szCs w:val="24"/>
        </w:rPr>
        <w:t>Psychological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(6), 1319–1327. </w:t>
      </w:r>
      <w:hyperlink r:id="rId3715" w:history="1">
        <w:r w:rsidRPr="00896AA2">
          <w:rPr>
            <w:rFonts w:ascii="Times New Roman" w:eastAsia="Times New Roman" w:hAnsi="Times New Roman" w:cs="Times New Roman"/>
            <w:color w:val="0000FF"/>
            <w:sz w:val="24"/>
            <w:szCs w:val="24"/>
            <w:u w:val="single"/>
          </w:rPr>
          <w:t>https://doi.org/10.1017/S0033291710001832</w:t>
        </w:r>
      </w:hyperlink>
    </w:p>
    <w:p w14:paraId="7E6EFA9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Martino, D. J., Valerio, M. P., Szmulewicz, A. G., &amp; Strejilevich, S. A. (2017). The effect of premorbid intelligence on neurocognitive and psychosocial functioning in bipolar disorder. </w:t>
      </w:r>
      <w:r w:rsidRPr="00896AA2">
        <w:rPr>
          <w:rFonts w:ascii="Times New Roman" w:eastAsia="Times New Roman" w:hAnsi="Times New Roman" w:cs="Times New Roman"/>
          <w:i/>
          <w:iCs/>
          <w:sz w:val="24"/>
          <w:szCs w:val="24"/>
        </w:rPr>
        <w:t>Journal of Affective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210</w:t>
      </w:r>
      <w:r w:rsidRPr="00896AA2">
        <w:rPr>
          <w:rFonts w:ascii="Times New Roman" w:eastAsia="Times New Roman" w:hAnsi="Times New Roman" w:cs="Times New Roman"/>
          <w:sz w:val="24"/>
          <w:szCs w:val="24"/>
        </w:rPr>
        <w:t xml:space="preserve">, 226–229. </w:t>
      </w:r>
      <w:hyperlink r:id="rId3716" w:history="1">
        <w:r w:rsidRPr="00896AA2">
          <w:rPr>
            <w:rFonts w:ascii="Times New Roman" w:eastAsia="Times New Roman" w:hAnsi="Times New Roman" w:cs="Times New Roman"/>
            <w:color w:val="0000FF"/>
            <w:sz w:val="24"/>
            <w:szCs w:val="24"/>
            <w:u w:val="single"/>
          </w:rPr>
          <w:t>https://doi.org/10.1016/j.jad.2016.12.053</w:t>
        </w:r>
      </w:hyperlink>
    </w:p>
    <w:p w14:paraId="028FBD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Martins, P. A., Gonçalves, P. D., Arcuri, S. M., Netto, O. F. L., Macedo, G., &amp; Louzã, M. (2012). Is psychodynamic psychotherapy an effective intervention for individuals at ultra-high risk (UHR) of psychosis? A case report. </w:t>
      </w:r>
      <w:r w:rsidRPr="00896AA2">
        <w:rPr>
          <w:rFonts w:ascii="Times New Roman" w:eastAsia="Times New Roman" w:hAnsi="Times New Roman" w:cs="Times New Roman"/>
          <w:i/>
          <w:iCs/>
          <w:sz w:val="24"/>
          <w:szCs w:val="24"/>
        </w:rPr>
        <w:t>Jornal Brasileiro de Psiquiatria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61</w:t>
      </w:r>
      <w:r w:rsidRPr="00896AA2">
        <w:rPr>
          <w:rFonts w:ascii="Times New Roman" w:eastAsia="Times New Roman" w:hAnsi="Times New Roman" w:cs="Times New Roman"/>
          <w:sz w:val="24"/>
          <w:szCs w:val="24"/>
        </w:rPr>
        <w:t xml:space="preserve">(4), 266–270. </w:t>
      </w:r>
      <w:hyperlink r:id="rId3717" w:history="1">
        <w:r w:rsidRPr="00896AA2">
          <w:rPr>
            <w:rFonts w:ascii="Times New Roman" w:eastAsia="Times New Roman" w:hAnsi="Times New Roman" w:cs="Times New Roman"/>
            <w:color w:val="0000FF"/>
            <w:sz w:val="24"/>
            <w:szCs w:val="24"/>
            <w:u w:val="single"/>
          </w:rPr>
          <w:t>https://doi.org/10.1590/S0047-20852012000400011</w:t>
        </w:r>
      </w:hyperlink>
    </w:p>
    <w:p w14:paraId="5F6BB1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Martins, R., Joanette, Y., &amp; Monchi, O. (2015). The implications of age-related neurofunctional compensatory mechanisms in executive function and language processing including the new Temporal Hypothesis for Compensation.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w:t>
      </w:r>
    </w:p>
    <w:p w14:paraId="41804D1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Martins, R., Simard, F., Provost, J.-S., &amp; Monchi, O. (2012). Changes in regional and temporal patterns of activity associated with aging during the performance of a lexical set-shifting task. </w:t>
      </w:r>
      <w:r w:rsidRPr="00896AA2">
        <w:rPr>
          <w:rFonts w:ascii="Times New Roman" w:eastAsia="Times New Roman" w:hAnsi="Times New Roman" w:cs="Times New Roman"/>
          <w:i/>
          <w:iCs/>
          <w:sz w:val="24"/>
          <w:szCs w:val="24"/>
        </w:rPr>
        <w:t>Cerebral Cortex</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(6), 1395–1406. </w:t>
      </w:r>
      <w:hyperlink r:id="rId3718" w:history="1">
        <w:r w:rsidRPr="00896AA2">
          <w:rPr>
            <w:rFonts w:ascii="Times New Roman" w:eastAsia="Times New Roman" w:hAnsi="Times New Roman" w:cs="Times New Roman"/>
            <w:color w:val="0000FF"/>
            <w:sz w:val="24"/>
            <w:szCs w:val="24"/>
            <w:u w:val="single"/>
          </w:rPr>
          <w:t>https://doi.org/10.1093/cercor/bhr222</w:t>
        </w:r>
      </w:hyperlink>
    </w:p>
    <w:p w14:paraId="721AA2C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Martorell, L., Valero, J., Mulet, B., Gutiérrez-Zotes, A., Cortés, J., Jariod, M., Pérez, M., Labad, A., &amp; Vilella, E. (2007). M129V variation in the prion protein gene and psychotic disorders: Relationship to neuropsychological and psychopathological measures.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(10), 885–892. </w:t>
      </w:r>
      <w:hyperlink r:id="rId3719" w:history="1">
        <w:r w:rsidRPr="00896AA2">
          <w:rPr>
            <w:rFonts w:ascii="Times New Roman" w:eastAsia="Times New Roman" w:hAnsi="Times New Roman" w:cs="Times New Roman"/>
            <w:color w:val="0000FF"/>
            <w:sz w:val="24"/>
            <w:szCs w:val="24"/>
            <w:u w:val="single"/>
          </w:rPr>
          <w:t>https://doi.org/10.1016/j.jpsychires.2006.07.003</w:t>
        </w:r>
      </w:hyperlink>
    </w:p>
    <w:p w14:paraId="02E39F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Marucci, C., Santarelli, V., Collazzoni, A., Talevi, D., Rossi, R., Rossi, A., &amp; Stratta, P. (2019). Which metacognitive components of insight in schizophrenia? The relationship between subjective and objective measures of metacognition and insight. </w:t>
      </w:r>
      <w:r w:rsidRPr="00896AA2">
        <w:rPr>
          <w:rFonts w:ascii="Times New Roman" w:eastAsia="Times New Roman" w:hAnsi="Times New Roman" w:cs="Times New Roman"/>
          <w:i/>
          <w:iCs/>
          <w:sz w:val="24"/>
          <w:szCs w:val="24"/>
        </w:rPr>
        <w:t>Journal of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(1), 18–23.</w:t>
      </w:r>
    </w:p>
    <w:p w14:paraId="71636C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Marulanda-Páez, E., &amp; Igoa-González, J.-M. (2021). When taking the bull by the horns is not possible: Comprehension of idioms in patients with aphasia and dementia. </w:t>
      </w:r>
      <w:r w:rsidRPr="00896AA2">
        <w:rPr>
          <w:rFonts w:ascii="Times New Roman" w:eastAsia="Times New Roman" w:hAnsi="Times New Roman" w:cs="Times New Roman"/>
          <w:i/>
          <w:iCs/>
          <w:sz w:val="24"/>
          <w:szCs w:val="24"/>
        </w:rPr>
        <w:t>Studies in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(2), 264–297. </w:t>
      </w:r>
      <w:hyperlink r:id="rId3720" w:history="1">
        <w:r w:rsidRPr="00896AA2">
          <w:rPr>
            <w:rFonts w:ascii="Times New Roman" w:eastAsia="Times New Roman" w:hAnsi="Times New Roman" w:cs="Times New Roman"/>
            <w:color w:val="0000FF"/>
            <w:sz w:val="24"/>
            <w:szCs w:val="24"/>
            <w:u w:val="single"/>
          </w:rPr>
          <w:t>https://doi.org/10.1080/02109395.2021.1909901</w:t>
        </w:r>
      </w:hyperlink>
    </w:p>
    <w:p w14:paraId="0E4BD2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Maruo, J., Haraguchi, Y., Tateishi, H., Noguchi, T., Mizoguchi, Y., Kato, T. A., Kawashima, T., &amp; Monji, A. (2016). Abnormal behaviours during pramipexole treatment for Cotard’s syndrome: A case report. </w:t>
      </w:r>
      <w:r w:rsidRPr="00896AA2">
        <w:rPr>
          <w:rFonts w:ascii="Times New Roman" w:eastAsia="Times New Roman" w:hAnsi="Times New Roman" w:cs="Times New Roman"/>
          <w:i/>
          <w:iCs/>
          <w:sz w:val="24"/>
          <w:szCs w:val="24"/>
        </w:rPr>
        <w:t>Psychogeriatrics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(4), 283–286. </w:t>
      </w:r>
      <w:hyperlink r:id="rId3721" w:history="1">
        <w:r w:rsidRPr="00896AA2">
          <w:rPr>
            <w:rFonts w:ascii="Times New Roman" w:eastAsia="Times New Roman" w:hAnsi="Times New Roman" w:cs="Times New Roman"/>
            <w:color w:val="0000FF"/>
            <w:sz w:val="24"/>
            <w:szCs w:val="24"/>
            <w:u w:val="single"/>
          </w:rPr>
          <w:t>https://doi.org/10.1111/psyg.12148</w:t>
        </w:r>
      </w:hyperlink>
    </w:p>
    <w:p w14:paraId="0DDF2F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Maruta, C., Guerreiro, M., de Mendonça, A., Hort, J., &amp; Scheltens, P. (2011). The use of neuropsychological tests across Europe: The need for a consensus in the use of assessment tools for dementia. </w:t>
      </w:r>
      <w:r w:rsidRPr="00896AA2">
        <w:rPr>
          <w:rFonts w:ascii="Times New Roman" w:eastAsia="Times New Roman" w:hAnsi="Times New Roman" w:cs="Times New Roman"/>
          <w:i/>
          <w:iCs/>
          <w:sz w:val="24"/>
          <w:szCs w:val="24"/>
        </w:rPr>
        <w:t>European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(2), 279–285. </w:t>
      </w:r>
      <w:hyperlink r:id="rId3722" w:history="1">
        <w:r w:rsidRPr="00896AA2">
          <w:rPr>
            <w:rFonts w:ascii="Times New Roman" w:eastAsia="Times New Roman" w:hAnsi="Times New Roman" w:cs="Times New Roman"/>
            <w:color w:val="0000FF"/>
            <w:sz w:val="24"/>
            <w:szCs w:val="24"/>
            <w:u w:val="single"/>
          </w:rPr>
          <w:t>https://doi.org/10.1111/j.1468-1331.2010.03134.x</w:t>
        </w:r>
      </w:hyperlink>
    </w:p>
    <w:p w14:paraId="4628D2C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Mary, A., Slama, H., Mousty, P., Massat, I., Capiau, T., Drabs, V., &amp; Peigneux, P. (2016). Executive and attentional contributions to Theory of Mind deficit in attention deficit/hyperactivity disorder (ADHD). </w:t>
      </w:r>
      <w:r w:rsidRPr="00896AA2">
        <w:rPr>
          <w:rFonts w:ascii="Times New Roman" w:eastAsia="Times New Roman" w:hAnsi="Times New Roman" w:cs="Times New Roman"/>
          <w:i/>
          <w:iCs/>
          <w:sz w:val="24"/>
          <w:szCs w:val="24"/>
        </w:rPr>
        <w:t>Child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345–365. </w:t>
      </w:r>
      <w:hyperlink r:id="rId3723" w:history="1">
        <w:r w:rsidRPr="00896AA2">
          <w:rPr>
            <w:rFonts w:ascii="Times New Roman" w:eastAsia="Times New Roman" w:hAnsi="Times New Roman" w:cs="Times New Roman"/>
            <w:color w:val="0000FF"/>
            <w:sz w:val="24"/>
            <w:szCs w:val="24"/>
            <w:u w:val="single"/>
          </w:rPr>
          <w:t>https://doi.org/10.1080/09297049.2015.1012491</w:t>
        </w:r>
      </w:hyperlink>
    </w:p>
    <w:p w14:paraId="272C28B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 S., Gassó, P., Rodríguez, N., Cabrera, B., Mezquida, G., Lobo, A., González‐Pinto, A., Parellada, M., Corripio, I., Vieta, E., Castro‐Fornieles, J., Bobes, J., Usall, J., Saiz‐Ruiz, J., Contreras, F., Parellada, E., &amp; Bernardo, M. (2020). Personalized medicine begins with the phenotype: Identifying antipsychotic response phenotypes in a first‐episode psychosis cohort. </w:t>
      </w:r>
      <w:r w:rsidRPr="00896AA2">
        <w:rPr>
          <w:rFonts w:ascii="Times New Roman" w:eastAsia="Times New Roman" w:hAnsi="Times New Roman" w:cs="Times New Roman"/>
          <w:i/>
          <w:iCs/>
          <w:sz w:val="24"/>
          <w:szCs w:val="24"/>
        </w:rPr>
        <w:t>Acta Psychiatrica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141</w:t>
      </w:r>
      <w:r w:rsidRPr="00896AA2">
        <w:rPr>
          <w:rFonts w:ascii="Times New Roman" w:eastAsia="Times New Roman" w:hAnsi="Times New Roman" w:cs="Times New Roman"/>
          <w:sz w:val="24"/>
          <w:szCs w:val="24"/>
        </w:rPr>
        <w:t xml:space="preserve">(6), 541–552. </w:t>
      </w:r>
      <w:hyperlink r:id="rId3724" w:history="1">
        <w:r w:rsidRPr="00896AA2">
          <w:rPr>
            <w:rFonts w:ascii="Times New Roman" w:eastAsia="Times New Roman" w:hAnsi="Times New Roman" w:cs="Times New Roman"/>
            <w:color w:val="0000FF"/>
            <w:sz w:val="24"/>
            <w:szCs w:val="24"/>
            <w:u w:val="single"/>
          </w:rPr>
          <w:t>https://doi.org/10.1111/acps.13131</w:t>
        </w:r>
      </w:hyperlink>
    </w:p>
    <w:p w14:paraId="6423B6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Masellis, M., Momeni, P., Meschino, W., Heffner Jr., R., Elder, J., Sato, C., Liang, Y., St George-Hyslop, P., Hardy, J., Bilbao, J., Black, S., &amp; Rogaeva, E. (2006). Novel splicing mutation in the progranulin gene causing familial corticobasal syndrome.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129</w:t>
      </w:r>
      <w:r w:rsidRPr="00896AA2">
        <w:rPr>
          <w:rFonts w:ascii="Times New Roman" w:eastAsia="Times New Roman" w:hAnsi="Times New Roman" w:cs="Times New Roman"/>
          <w:sz w:val="24"/>
          <w:szCs w:val="24"/>
        </w:rPr>
        <w:t xml:space="preserve">(11), 3115–3123. </w:t>
      </w:r>
      <w:hyperlink r:id="rId3725" w:history="1">
        <w:r w:rsidRPr="00896AA2">
          <w:rPr>
            <w:rFonts w:ascii="Times New Roman" w:eastAsia="Times New Roman" w:hAnsi="Times New Roman" w:cs="Times New Roman"/>
            <w:color w:val="0000FF"/>
            <w:sz w:val="24"/>
            <w:szCs w:val="24"/>
            <w:u w:val="single"/>
          </w:rPr>
          <w:t>https://doi.org/10.1093/brain/awl276</w:t>
        </w:r>
      </w:hyperlink>
    </w:p>
    <w:p w14:paraId="492980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Mass, R., Haasen, C., &amp; Borgart, E.-J. (2005). Abnormal subjective experiences of schizophrenia: Evaluation of the Eppendorf Schizophrenia Inventory.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135</w:t>
      </w:r>
      <w:r w:rsidRPr="00896AA2">
        <w:rPr>
          <w:rFonts w:ascii="Times New Roman" w:eastAsia="Times New Roman" w:hAnsi="Times New Roman" w:cs="Times New Roman"/>
          <w:sz w:val="24"/>
          <w:szCs w:val="24"/>
        </w:rPr>
        <w:t xml:space="preserve">(2), 91–101. </w:t>
      </w:r>
      <w:hyperlink r:id="rId3726" w:history="1">
        <w:r w:rsidRPr="00896AA2">
          <w:rPr>
            <w:rFonts w:ascii="Times New Roman" w:eastAsia="Times New Roman" w:hAnsi="Times New Roman" w:cs="Times New Roman"/>
            <w:color w:val="0000FF"/>
            <w:sz w:val="24"/>
            <w:szCs w:val="24"/>
            <w:u w:val="single"/>
          </w:rPr>
          <w:t>https://doi.org/10.1016/j.psychres.2004.08.011</w:t>
        </w:r>
      </w:hyperlink>
    </w:p>
    <w:p w14:paraId="582697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Massa, E., Köpke, B., &amp; El Yagoubi, R. (2020). Age-related effect on language control and executive control in bilingual and monolingual speakers: Behavioral and electrophysiological evidence.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138</w:t>
      </w:r>
      <w:r w:rsidRPr="00896AA2">
        <w:rPr>
          <w:rFonts w:ascii="Times New Roman" w:eastAsia="Times New Roman" w:hAnsi="Times New Roman" w:cs="Times New Roman"/>
          <w:sz w:val="24"/>
          <w:szCs w:val="24"/>
        </w:rPr>
        <w:t xml:space="preserve">. </w:t>
      </w:r>
      <w:hyperlink r:id="rId3727" w:history="1">
        <w:r w:rsidRPr="00896AA2">
          <w:rPr>
            <w:rFonts w:ascii="Times New Roman" w:eastAsia="Times New Roman" w:hAnsi="Times New Roman" w:cs="Times New Roman"/>
            <w:color w:val="0000FF"/>
            <w:sz w:val="24"/>
            <w:szCs w:val="24"/>
            <w:u w:val="single"/>
          </w:rPr>
          <w:t>https://doi.org/10.1016/j.neuropsychologia.2020.107336</w:t>
        </w:r>
      </w:hyperlink>
    </w:p>
    <w:p w14:paraId="5BA1786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Mast, B. T. (2011). Whole person dementia assessment. </w:t>
      </w:r>
      <w:r w:rsidRPr="00896AA2">
        <w:rPr>
          <w:rFonts w:ascii="Times New Roman" w:eastAsia="Times New Roman" w:hAnsi="Times New Roman" w:cs="Times New Roman"/>
          <w:i/>
          <w:iCs/>
          <w:sz w:val="24"/>
          <w:szCs w:val="24"/>
        </w:rPr>
        <w:t>Whole Person Dementia Assessment.</w:t>
      </w:r>
      <w:r w:rsidRPr="00896AA2">
        <w:rPr>
          <w:rFonts w:ascii="Times New Roman" w:eastAsia="Times New Roman" w:hAnsi="Times New Roman" w:cs="Times New Roman"/>
          <w:sz w:val="24"/>
          <w:szCs w:val="24"/>
        </w:rPr>
        <w:t>, xxiv, 271–xxiv, 271.</w:t>
      </w:r>
    </w:p>
    <w:p w14:paraId="5C943FA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Masur, D., Shinnar, S., Cnaan, A., Shinnar, R. C., Clark, P., Wang, J., Weiss, E. F., Hirtz, D. G., &amp; Glauser, T. A. (2013). Pretreatment cognitive deficits and treatment effects on attention in childhood absence epilepsy.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(18), 1572–1580. </w:t>
      </w:r>
      <w:hyperlink r:id="rId3728" w:history="1">
        <w:r w:rsidRPr="00896AA2">
          <w:rPr>
            <w:rFonts w:ascii="Times New Roman" w:eastAsia="Times New Roman" w:hAnsi="Times New Roman" w:cs="Times New Roman"/>
            <w:color w:val="0000FF"/>
            <w:sz w:val="24"/>
            <w:szCs w:val="24"/>
            <w:u w:val="single"/>
          </w:rPr>
          <w:t>https://doi.org/10.1212/WNL.0b013e3182a9f3ca</w:t>
        </w:r>
      </w:hyperlink>
    </w:p>
    <w:p w14:paraId="3E5A299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 I., Arranz, M. J., Staddon, S., Lopez-llundain, J. M., Tabares-Seisdedos, R., &amp; Murray, R. M. (2006). The high-activity Val allele of the catechol-O-methyltransferase gene predicts greater cognitive deterioration in patients with psychosis. </w:t>
      </w:r>
      <w:r w:rsidRPr="00896AA2">
        <w:rPr>
          <w:rFonts w:ascii="Times New Roman" w:eastAsia="Times New Roman" w:hAnsi="Times New Roman" w:cs="Times New Roman"/>
          <w:i/>
          <w:iCs/>
          <w:sz w:val="24"/>
          <w:szCs w:val="24"/>
        </w:rPr>
        <w:t>Psychiatric Genetics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(5), 213–216. </w:t>
      </w:r>
      <w:hyperlink r:id="rId3729" w:history="1">
        <w:r w:rsidRPr="00896AA2">
          <w:rPr>
            <w:rFonts w:ascii="Times New Roman" w:eastAsia="Times New Roman" w:hAnsi="Times New Roman" w:cs="Times New Roman"/>
            <w:color w:val="0000FF"/>
            <w:sz w:val="24"/>
            <w:szCs w:val="24"/>
            <w:u w:val="single"/>
          </w:rPr>
          <w:t>https://doi.org/10.1097/01.ypg.0000218626.26622.a2</w:t>
        </w:r>
      </w:hyperlink>
    </w:p>
    <w:p w14:paraId="23FAED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 S., Gómez-Pérez, M. M., Molinero, C., &amp; Calero, M. D. (2017). Interpersonal problem-solving skills, executive function and learning potential in preadolescents with high/low family risk. </w:t>
      </w:r>
      <w:r w:rsidRPr="00896AA2">
        <w:rPr>
          <w:rFonts w:ascii="Times New Roman" w:eastAsia="Times New Roman" w:hAnsi="Times New Roman" w:cs="Times New Roman"/>
          <w:i/>
          <w:iCs/>
          <w:sz w:val="24"/>
          <w:szCs w:val="24"/>
        </w:rPr>
        <w:t>The Spanish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 </w:t>
      </w:r>
      <w:hyperlink r:id="rId3730" w:history="1">
        <w:r w:rsidRPr="00896AA2">
          <w:rPr>
            <w:rFonts w:ascii="Times New Roman" w:eastAsia="Times New Roman" w:hAnsi="Times New Roman" w:cs="Times New Roman"/>
            <w:color w:val="0000FF"/>
            <w:sz w:val="24"/>
            <w:szCs w:val="24"/>
            <w:u w:val="single"/>
          </w:rPr>
          <w:t>https://doi.org/10.1017/sjp.2017.54</w:t>
        </w:r>
      </w:hyperlink>
    </w:p>
    <w:p w14:paraId="6C776C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Mataix-Cols, D., Alonso, P., Pifarré, J., Menchón, J. M., &amp; Vallejo, J. (2002). Neuropsychological performance in medicated vs. Unmedicated patients with obsessive- compulsive disorder.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109</w:t>
      </w:r>
      <w:r w:rsidRPr="00896AA2">
        <w:rPr>
          <w:rFonts w:ascii="Times New Roman" w:eastAsia="Times New Roman" w:hAnsi="Times New Roman" w:cs="Times New Roman"/>
          <w:sz w:val="24"/>
          <w:szCs w:val="24"/>
        </w:rPr>
        <w:t xml:space="preserve">(3), 255–264. </w:t>
      </w:r>
      <w:hyperlink r:id="rId3731" w:history="1">
        <w:r w:rsidRPr="00896AA2">
          <w:rPr>
            <w:rFonts w:ascii="Times New Roman" w:eastAsia="Times New Roman" w:hAnsi="Times New Roman" w:cs="Times New Roman"/>
            <w:color w:val="0000FF"/>
            <w:sz w:val="24"/>
            <w:szCs w:val="24"/>
            <w:u w:val="single"/>
          </w:rPr>
          <w:t>https://doi.org/10.1016/S0165-1781(02)00024-0</w:t>
        </w:r>
      </w:hyperlink>
    </w:p>
    <w:p w14:paraId="3C8B1CA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Mataix‐Cols, D., Pertusa, A., &amp; Snowdon, J. (2011). Neuropsychological and neural correlates of hoarding: A practice‐friendly review. </w:t>
      </w:r>
      <w:r w:rsidRPr="00896AA2">
        <w:rPr>
          <w:rFonts w:ascii="Times New Roman" w:eastAsia="Times New Roman" w:hAnsi="Times New Roman" w:cs="Times New Roman"/>
          <w:i/>
          <w:iCs/>
          <w:sz w:val="24"/>
          <w:szCs w:val="24"/>
        </w:rPr>
        <w:t>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67</w:t>
      </w:r>
      <w:r w:rsidRPr="00896AA2">
        <w:rPr>
          <w:rFonts w:ascii="Times New Roman" w:eastAsia="Times New Roman" w:hAnsi="Times New Roman" w:cs="Times New Roman"/>
          <w:sz w:val="24"/>
          <w:szCs w:val="24"/>
        </w:rPr>
        <w:t xml:space="preserve">(5), 467–476. </w:t>
      </w:r>
      <w:hyperlink r:id="rId3732" w:history="1">
        <w:r w:rsidRPr="00896AA2">
          <w:rPr>
            <w:rFonts w:ascii="Times New Roman" w:eastAsia="Times New Roman" w:hAnsi="Times New Roman" w:cs="Times New Roman"/>
            <w:color w:val="0000FF"/>
            <w:sz w:val="24"/>
            <w:szCs w:val="24"/>
            <w:u w:val="single"/>
          </w:rPr>
          <w:t>https://doi.org/10.1002/jclp.20791</w:t>
        </w:r>
      </w:hyperlink>
    </w:p>
    <w:p w14:paraId="3FD73A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Mataix-Cols, D., Rahman, Q., Spiller, M., Alonso, M. P., Pifarré, J., Menchón, J. M., &amp; Vallejo, J. (2006). Are there sex differences in neuropsychological functions among patients with obsessive-compulsive disorder?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(1), 42–50. </w:t>
      </w:r>
      <w:hyperlink r:id="rId3733" w:history="1">
        <w:r w:rsidRPr="00896AA2">
          <w:rPr>
            <w:rFonts w:ascii="Times New Roman" w:eastAsia="Times New Roman" w:hAnsi="Times New Roman" w:cs="Times New Roman"/>
            <w:color w:val="0000FF"/>
            <w:sz w:val="24"/>
            <w:szCs w:val="24"/>
            <w:u w:val="single"/>
          </w:rPr>
          <w:t>https://doi.org/10.1207/s15324826an1301_6</w:t>
        </w:r>
      </w:hyperlink>
    </w:p>
    <w:p w14:paraId="3EDB5A4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Matheis, R. J., Schultheis, M. T., Tiersky, L. A., DeLuca, J., Millis, S. R., &amp; Rizzo, A. (2007). Is Learning and Memory Different in a Virtual Environment?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(1), 146–161. </w:t>
      </w:r>
      <w:hyperlink r:id="rId3734" w:history="1">
        <w:r w:rsidRPr="00896AA2">
          <w:rPr>
            <w:rFonts w:ascii="Times New Roman" w:eastAsia="Times New Roman" w:hAnsi="Times New Roman" w:cs="Times New Roman"/>
            <w:color w:val="0000FF"/>
            <w:sz w:val="24"/>
            <w:szCs w:val="24"/>
            <w:u w:val="single"/>
          </w:rPr>
          <w:t>https://doi.org/10.1080/13854040601100668</w:t>
        </w:r>
      </w:hyperlink>
    </w:p>
    <w:p w14:paraId="0022D67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Mathias, J. L., Bigler, E. D., Jones, N. R., Bowden, S. C., Barrett-Woodbridge, M., Brown, G. C., &amp; Taylor, D. J. (2004). Neuropsychological and Information Processing Performance and Its Relationship to White Matter Changes Following Moderate and Severe Traumatic Brain Injury: A Preliminary Study. </w:t>
      </w:r>
      <w:r w:rsidRPr="00896AA2">
        <w:rPr>
          <w:rFonts w:ascii="Times New Roman" w:eastAsia="Times New Roman" w:hAnsi="Times New Roman" w:cs="Times New Roman"/>
          <w:i/>
          <w:iCs/>
          <w:sz w:val="24"/>
          <w:szCs w:val="24"/>
        </w:rPr>
        <w:t>Applied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(3), 134–152. </w:t>
      </w:r>
      <w:hyperlink r:id="rId3735" w:history="1">
        <w:r w:rsidRPr="00896AA2">
          <w:rPr>
            <w:rFonts w:ascii="Times New Roman" w:eastAsia="Times New Roman" w:hAnsi="Times New Roman" w:cs="Times New Roman"/>
            <w:color w:val="0000FF"/>
            <w:sz w:val="24"/>
            <w:szCs w:val="24"/>
            <w:u w:val="single"/>
          </w:rPr>
          <w:t>https://doi.org/10.1207/s15324826an1103_2</w:t>
        </w:r>
      </w:hyperlink>
    </w:p>
    <w:p w14:paraId="538A856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Mathias, J. L., &amp; Mansfield, K. M. (2005). Prospective and declarative memory problems following moderate and severe traumatic brain injury. </w:t>
      </w:r>
      <w:r w:rsidRPr="00896AA2">
        <w:rPr>
          <w:rFonts w:ascii="Times New Roman" w:eastAsia="Times New Roman" w:hAnsi="Times New Roman" w:cs="Times New Roman"/>
          <w:i/>
          <w:iCs/>
          <w:sz w:val="24"/>
          <w:szCs w:val="24"/>
        </w:rPr>
        <w:t>Brain Injury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(4), 271–282. </w:t>
      </w:r>
      <w:hyperlink r:id="rId3736" w:history="1">
        <w:r w:rsidRPr="00896AA2">
          <w:rPr>
            <w:rFonts w:ascii="Times New Roman" w:eastAsia="Times New Roman" w:hAnsi="Times New Roman" w:cs="Times New Roman"/>
            <w:color w:val="0000FF"/>
            <w:sz w:val="24"/>
            <w:szCs w:val="24"/>
            <w:u w:val="single"/>
          </w:rPr>
          <w:t>https://doi.org/10.1080/02699050400005028</w:t>
        </w:r>
      </w:hyperlink>
    </w:p>
    <w:p w14:paraId="042D53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Mathiesen, B. B., Simonsen, E., Soegaard, U., &amp; Kvist, K. (2014). Similarities and differences in borderline and organic personality disorder.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(1), 1–16. </w:t>
      </w:r>
      <w:hyperlink r:id="rId3737" w:history="1">
        <w:r w:rsidRPr="00896AA2">
          <w:rPr>
            <w:rFonts w:ascii="Times New Roman" w:eastAsia="Times New Roman" w:hAnsi="Times New Roman" w:cs="Times New Roman"/>
            <w:color w:val="0000FF"/>
            <w:sz w:val="24"/>
            <w:szCs w:val="24"/>
            <w:u w:val="single"/>
          </w:rPr>
          <w:t>https://doi.org/10.1080/13546805.2013.776494</w:t>
        </w:r>
      </w:hyperlink>
    </w:p>
    <w:p w14:paraId="59DCF6D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Mathiesen, B. B., &amp; Weinryb, R. M. (2004). Unstable identity and prefrontal injury. </w:t>
      </w:r>
      <w:r w:rsidRPr="00896AA2">
        <w:rPr>
          <w:rFonts w:ascii="Times New Roman" w:eastAsia="Times New Roman" w:hAnsi="Times New Roman" w:cs="Times New Roman"/>
          <w:i/>
          <w:iCs/>
          <w:sz w:val="24"/>
          <w:szCs w:val="24"/>
        </w:rPr>
        <w:t>Cognitive Neuropsychiatry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(4), 249–266. </w:t>
      </w:r>
      <w:hyperlink r:id="rId3738" w:history="1">
        <w:r w:rsidRPr="00896AA2">
          <w:rPr>
            <w:rFonts w:ascii="Times New Roman" w:eastAsia="Times New Roman" w:hAnsi="Times New Roman" w:cs="Times New Roman"/>
            <w:color w:val="0000FF"/>
            <w:sz w:val="24"/>
            <w:szCs w:val="24"/>
            <w:u w:val="single"/>
          </w:rPr>
          <w:t>https://doi.org/10.1080/13546800344000237</w:t>
        </w:r>
      </w:hyperlink>
    </w:p>
    <w:p w14:paraId="0CF7260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Mathieu, A., Mazza, S., Décary, A., Massicotte-Marquez, J., Petit, D., Gosselin, N., Malo, J., &amp; Montplaisir, J. (2008). Effects of obstructive sleep apnea on cognitive function: A comparison between younger and older OSAS patients. </w:t>
      </w:r>
      <w:r w:rsidRPr="00896AA2">
        <w:rPr>
          <w:rFonts w:ascii="Times New Roman" w:eastAsia="Times New Roman" w:hAnsi="Times New Roman" w:cs="Times New Roman"/>
          <w:i/>
          <w:iCs/>
          <w:sz w:val="24"/>
          <w:szCs w:val="24"/>
        </w:rPr>
        <w:t>Sleep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(2), 112–120. </w:t>
      </w:r>
      <w:hyperlink r:id="rId3739" w:history="1">
        <w:r w:rsidRPr="00896AA2">
          <w:rPr>
            <w:rFonts w:ascii="Times New Roman" w:eastAsia="Times New Roman" w:hAnsi="Times New Roman" w:cs="Times New Roman"/>
            <w:color w:val="0000FF"/>
            <w:sz w:val="24"/>
            <w:szCs w:val="24"/>
            <w:u w:val="single"/>
          </w:rPr>
          <w:t>https://doi.org/10.1016/j.sleep.2007.03.014</w:t>
        </w:r>
      </w:hyperlink>
    </w:p>
    <w:p w14:paraId="007A6E5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Matochik, J. A., Rumsey, J. M., Zametkin, A. J., Hamburger, S. D., &amp; Cohen, R. M. (1996). Neuropsychological correlates of familial  attention-deficit hyperactivity disorder in adults. </w:t>
      </w:r>
      <w:r w:rsidRPr="00896AA2">
        <w:rPr>
          <w:rFonts w:ascii="Times New Roman" w:eastAsia="Times New Roman" w:hAnsi="Times New Roman" w:cs="Times New Roman"/>
          <w:i/>
          <w:iCs/>
          <w:sz w:val="24"/>
          <w:szCs w:val="24"/>
        </w:rPr>
        <w:t>Neuropsychiatry, Neuropsychology, &amp;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(3), 186–191.</w:t>
      </w:r>
    </w:p>
    <w:p w14:paraId="73E73E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Matsuda, N., Kono, T., Nonaka, M., Shishikura, K., Konno, C., Kuwabara, H., Shimada, T., &amp; Kano, Y. (2012). Impact of obsessive–compulsive symptoms in Tourette’s syndrome on neuropsychological performance.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66</w:t>
      </w:r>
      <w:r w:rsidRPr="00896AA2">
        <w:rPr>
          <w:rFonts w:ascii="Times New Roman" w:eastAsia="Times New Roman" w:hAnsi="Times New Roman" w:cs="Times New Roman"/>
          <w:sz w:val="24"/>
          <w:szCs w:val="24"/>
        </w:rPr>
        <w:t xml:space="preserve">(3), 195–202. </w:t>
      </w:r>
      <w:hyperlink r:id="rId3740" w:history="1">
        <w:r w:rsidRPr="00896AA2">
          <w:rPr>
            <w:rFonts w:ascii="Times New Roman" w:eastAsia="Times New Roman" w:hAnsi="Times New Roman" w:cs="Times New Roman"/>
            <w:color w:val="0000FF"/>
            <w:sz w:val="24"/>
            <w:szCs w:val="24"/>
            <w:u w:val="single"/>
          </w:rPr>
          <w:t>https://doi.org/10.1111/j.1440-1819.2012.02319.x</w:t>
        </w:r>
      </w:hyperlink>
    </w:p>
    <w:p w14:paraId="0949C8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Matsuda, Y., Sato, S., Hatsuse, N., Watanabe, Y., Kishimoto, T., &amp; Ikebuchi, E. (2014). Neurocognitive functioning in patients with first-episode schizophrenia 1 year from onset in comparison with patients 5 years from onset. </w:t>
      </w:r>
      <w:r w:rsidRPr="00896AA2">
        <w:rPr>
          <w:rFonts w:ascii="Times New Roman" w:eastAsia="Times New Roman" w:hAnsi="Times New Roman" w:cs="Times New Roman"/>
          <w:i/>
          <w:iCs/>
          <w:sz w:val="24"/>
          <w:szCs w:val="24"/>
        </w:rPr>
        <w:t>International Journal of Psychiatry in Clinical Practice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 63–69. </w:t>
      </w:r>
      <w:hyperlink r:id="rId3741" w:history="1">
        <w:r w:rsidRPr="00896AA2">
          <w:rPr>
            <w:rFonts w:ascii="Times New Roman" w:eastAsia="Times New Roman" w:hAnsi="Times New Roman" w:cs="Times New Roman"/>
            <w:color w:val="0000FF"/>
            <w:sz w:val="24"/>
            <w:szCs w:val="24"/>
            <w:u w:val="single"/>
          </w:rPr>
          <w:t>https://doi.org/10.3109/13651501.2013.845220</w:t>
        </w:r>
      </w:hyperlink>
    </w:p>
    <w:p w14:paraId="6E8C6F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Hara, N., Komatsu, K., Kubori, T., &amp; Udaka, F. (2006). Wisconsin Card Sorting Test and brain perfusion imaging in Parkinson’s disease. </w:t>
      </w:r>
      <w:r w:rsidRPr="00896AA2">
        <w:rPr>
          <w:rFonts w:ascii="Times New Roman" w:eastAsia="Times New Roman" w:hAnsi="Times New Roman" w:cs="Times New Roman"/>
          <w:i/>
          <w:iCs/>
          <w:sz w:val="24"/>
          <w:szCs w:val="24"/>
        </w:rPr>
        <w:t>Parkinsonism &amp;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(5), 273–278. </w:t>
      </w:r>
      <w:hyperlink r:id="rId3742" w:history="1">
        <w:r w:rsidRPr="00896AA2">
          <w:rPr>
            <w:rFonts w:ascii="Times New Roman" w:eastAsia="Times New Roman" w:hAnsi="Times New Roman" w:cs="Times New Roman"/>
            <w:color w:val="0000FF"/>
            <w:sz w:val="24"/>
            <w:szCs w:val="24"/>
            <w:u w:val="single"/>
          </w:rPr>
          <w:t>https://doi.org/10.1016/j.parkreldis.2005.12.006</w:t>
        </w:r>
      </w:hyperlink>
    </w:p>
    <w:p w14:paraId="1C9D12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Hara, N., Komatsu, K., Kubori, T., &amp; Udaka, F. (2007). Heterogeneous factors in dementia with Parkinson’s disease: IMP-SPECT study. </w:t>
      </w:r>
      <w:r w:rsidRPr="00896AA2">
        <w:rPr>
          <w:rFonts w:ascii="Times New Roman" w:eastAsia="Times New Roman" w:hAnsi="Times New Roman" w:cs="Times New Roman"/>
          <w:i/>
          <w:iCs/>
          <w:sz w:val="24"/>
          <w:szCs w:val="24"/>
        </w:rPr>
        <w:t>Parkinsonism &amp;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(3), 174–181. </w:t>
      </w:r>
      <w:hyperlink r:id="rId3743" w:history="1">
        <w:r w:rsidRPr="00896AA2">
          <w:rPr>
            <w:rFonts w:ascii="Times New Roman" w:eastAsia="Times New Roman" w:hAnsi="Times New Roman" w:cs="Times New Roman"/>
            <w:color w:val="0000FF"/>
            <w:sz w:val="24"/>
            <w:szCs w:val="24"/>
            <w:u w:val="single"/>
          </w:rPr>
          <w:t>https://doi.org/10.1016/j.parkreldis.2006.10.005</w:t>
        </w:r>
      </w:hyperlink>
    </w:p>
    <w:p w14:paraId="50E641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Kubori, T., &amp; Udaka, F. (2007). Auditory event-related potentials in Parkinson’s disease: Prominent correlation with attention. </w:t>
      </w:r>
      <w:r w:rsidRPr="00896AA2">
        <w:rPr>
          <w:rFonts w:ascii="Times New Roman" w:eastAsia="Times New Roman" w:hAnsi="Times New Roman" w:cs="Times New Roman"/>
          <w:i/>
          <w:iCs/>
          <w:sz w:val="24"/>
          <w:szCs w:val="24"/>
        </w:rPr>
        <w:t>Parkinsonism &amp; Related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(7), 394–398. </w:t>
      </w:r>
      <w:hyperlink r:id="rId3744" w:history="1">
        <w:r w:rsidRPr="00896AA2">
          <w:rPr>
            <w:rFonts w:ascii="Times New Roman" w:eastAsia="Times New Roman" w:hAnsi="Times New Roman" w:cs="Times New Roman"/>
            <w:color w:val="0000FF"/>
            <w:sz w:val="24"/>
            <w:szCs w:val="24"/>
            <w:u w:val="single"/>
          </w:rPr>
          <w:t>https://doi.org/10.1016/j.parkreldis.2006.12.012</w:t>
        </w:r>
      </w:hyperlink>
    </w:p>
    <w:p w14:paraId="2C6C745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H., Nishinaka, K., Oda, M., Niikawa, H., Komatsu, K., Kubori, T., &amp; Udaka, F. (2007). Wisconsin Card Sorting Test in Parkinson’s disease: Diffusion tensor imaging. </w:t>
      </w:r>
      <w:r w:rsidRPr="00896AA2">
        <w:rPr>
          <w:rFonts w:ascii="Times New Roman" w:eastAsia="Times New Roman" w:hAnsi="Times New Roman" w:cs="Times New Roman"/>
          <w:i/>
          <w:iCs/>
          <w:sz w:val="24"/>
          <w:szCs w:val="24"/>
        </w:rPr>
        <w:t>Acta Neurologica Scandinavica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116</w:t>
      </w:r>
      <w:r w:rsidRPr="00896AA2">
        <w:rPr>
          <w:rFonts w:ascii="Times New Roman" w:eastAsia="Times New Roman" w:hAnsi="Times New Roman" w:cs="Times New Roman"/>
          <w:sz w:val="24"/>
          <w:szCs w:val="24"/>
        </w:rPr>
        <w:t xml:space="preserve">(2), 108–112. </w:t>
      </w:r>
      <w:hyperlink r:id="rId3745" w:history="1">
        <w:r w:rsidRPr="00896AA2">
          <w:rPr>
            <w:rFonts w:ascii="Times New Roman" w:eastAsia="Times New Roman" w:hAnsi="Times New Roman" w:cs="Times New Roman"/>
            <w:color w:val="0000FF"/>
            <w:sz w:val="24"/>
            <w:szCs w:val="24"/>
            <w:u w:val="single"/>
          </w:rPr>
          <w:t>https://doi.org/10.1111/j.1600-0404.2006.00795.x</w:t>
        </w:r>
      </w:hyperlink>
    </w:p>
    <w:p w14:paraId="57B906F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M., Sumiyoshi, T., Kato, K., Yoneyama, E., &amp; Kurachi, M. (2004). Neuropsychological profile in patients with schizotypal personality disorder or schizophrenia. </w:t>
      </w:r>
      <w:r w:rsidRPr="00896AA2">
        <w:rPr>
          <w:rFonts w:ascii="Times New Roman" w:eastAsia="Times New Roman" w:hAnsi="Times New Roman" w:cs="Times New Roman"/>
          <w:i/>
          <w:iCs/>
          <w:sz w:val="24"/>
          <w:szCs w:val="24"/>
        </w:rPr>
        <w:t>Psychological Reports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94</w:t>
      </w:r>
      <w:r w:rsidRPr="00896AA2">
        <w:rPr>
          <w:rFonts w:ascii="Times New Roman" w:eastAsia="Times New Roman" w:hAnsi="Times New Roman" w:cs="Times New Roman"/>
          <w:sz w:val="24"/>
          <w:szCs w:val="24"/>
        </w:rPr>
        <w:t xml:space="preserve">(2), 387–397. </w:t>
      </w:r>
      <w:hyperlink r:id="rId3746" w:history="1">
        <w:r w:rsidRPr="00896AA2">
          <w:rPr>
            <w:rFonts w:ascii="Times New Roman" w:eastAsia="Times New Roman" w:hAnsi="Times New Roman" w:cs="Times New Roman"/>
            <w:color w:val="0000FF"/>
            <w:sz w:val="24"/>
            <w:szCs w:val="24"/>
            <w:u w:val="single"/>
          </w:rPr>
          <w:t>https://doi.org/10.2466/PR0.94.2.387-397</w:t>
        </w:r>
      </w:hyperlink>
    </w:p>
    <w:p w14:paraId="704C79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Matsui, M., Yuuki, H., Kato, K., Takeuchi, A., Nishiyama, S., Bilker, W. B., &amp; Kurachi, M. (2007). Schizotypal disorder and schizophrenia: A profile analysis of neuropsychological functioning in Japanese patients.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w:t>
      </w:r>
      <w:r w:rsidRPr="00896AA2">
        <w:rPr>
          <w:rFonts w:ascii="Times New Roman" w:eastAsia="Times New Roman" w:hAnsi="Times New Roman" w:cs="Times New Roman"/>
          <w:sz w:val="24"/>
          <w:szCs w:val="24"/>
        </w:rPr>
        <w:t xml:space="preserve">(4), 672–682. </w:t>
      </w:r>
      <w:hyperlink r:id="rId3747" w:history="1">
        <w:r w:rsidRPr="00896AA2">
          <w:rPr>
            <w:rFonts w:ascii="Times New Roman" w:eastAsia="Times New Roman" w:hAnsi="Times New Roman" w:cs="Times New Roman"/>
            <w:color w:val="0000FF"/>
            <w:sz w:val="24"/>
            <w:szCs w:val="24"/>
            <w:u w:val="single"/>
          </w:rPr>
          <w:t>https://doi.org/10.1017/S135561770707083X</w:t>
        </w:r>
      </w:hyperlink>
    </w:p>
    <w:p w14:paraId="40CE0E8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Matsushita, T., Murai, H., Kawajiri, M., Muratani, H., Iwaki, T., Taniwaki, T., &amp; Kira, J. (2006). Character changes from idiopathic cranial pachymeningoencephalitis.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244</w:t>
      </w:r>
      <w:r w:rsidRPr="00896AA2">
        <w:rPr>
          <w:rFonts w:ascii="Times New Roman" w:eastAsia="Times New Roman" w:hAnsi="Times New Roman" w:cs="Times New Roman"/>
          <w:sz w:val="24"/>
          <w:szCs w:val="24"/>
        </w:rPr>
        <w:t xml:space="preserve">(1–2), 163–166. </w:t>
      </w:r>
      <w:hyperlink r:id="rId3748" w:history="1">
        <w:r w:rsidRPr="00896AA2">
          <w:rPr>
            <w:rFonts w:ascii="Times New Roman" w:eastAsia="Times New Roman" w:hAnsi="Times New Roman" w:cs="Times New Roman"/>
            <w:color w:val="0000FF"/>
            <w:sz w:val="24"/>
            <w:szCs w:val="24"/>
            <w:u w:val="single"/>
          </w:rPr>
          <w:t>https://doi.org/10.1016/j.jns.2006.01.008</w:t>
        </w:r>
      </w:hyperlink>
    </w:p>
    <w:p w14:paraId="3C10C45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Matsuura, M., Adachi, N., Muramatsu, R., Kato, M., Onuma, T., Okubo, Y., Oana, Y., &amp; Hara, T. (2005). Intellectual Disability and Psychotic Disorders of Adult Epilepsy. </w:t>
      </w:r>
      <w:r w:rsidRPr="00896AA2">
        <w:rPr>
          <w:rFonts w:ascii="Times New Roman" w:eastAsia="Times New Roman" w:hAnsi="Times New Roman" w:cs="Times New Roman"/>
          <w:i/>
          <w:iCs/>
          <w:sz w:val="24"/>
          <w:szCs w:val="24"/>
        </w:rPr>
        <w:t>Epilepsia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(Suppl1), 11–14. </w:t>
      </w:r>
      <w:hyperlink r:id="rId3749" w:history="1">
        <w:r w:rsidRPr="00896AA2">
          <w:rPr>
            <w:rFonts w:ascii="Times New Roman" w:eastAsia="Times New Roman" w:hAnsi="Times New Roman" w:cs="Times New Roman"/>
            <w:color w:val="0000FF"/>
            <w:sz w:val="24"/>
            <w:szCs w:val="24"/>
            <w:u w:val="single"/>
          </w:rPr>
          <w:t>https://doi.org/10.1111/j.0013-9580.2005.461004.x</w:t>
        </w:r>
      </w:hyperlink>
    </w:p>
    <w:p w14:paraId="6A48E8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Matsuzawa, D., Shirayama, Y., Iyo, M., Shimizu, E., &amp; Hashimoto, K. (2009). Evaluating the cognitive decline in early-stage frontotemporal dementia.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(6), 1077–1079. </w:t>
      </w:r>
      <w:hyperlink r:id="rId3750" w:history="1">
        <w:r w:rsidRPr="00896AA2">
          <w:rPr>
            <w:rFonts w:ascii="Times New Roman" w:eastAsia="Times New Roman" w:hAnsi="Times New Roman" w:cs="Times New Roman"/>
            <w:color w:val="0000FF"/>
            <w:sz w:val="24"/>
            <w:szCs w:val="24"/>
            <w:u w:val="single"/>
          </w:rPr>
          <w:t>https://doi.org/10.1016/j.pnpbp.2009.05.009</w:t>
        </w:r>
      </w:hyperlink>
    </w:p>
    <w:p w14:paraId="0A1C32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Matthews, N., Vance, A., Cummins, T. D. R., Wagner, J., Connolly, A., Yamada, J., Lockhart, P. J., Panwar, A., Wallace, R. H., &amp; Bellgrove, M. A. (2012). The COMT Val158 allele is associated with impaired delayed-match-to-sample performance in ADHD. </w:t>
      </w:r>
      <w:r w:rsidRPr="00896AA2">
        <w:rPr>
          <w:rFonts w:ascii="Times New Roman" w:eastAsia="Times New Roman" w:hAnsi="Times New Roman" w:cs="Times New Roman"/>
          <w:i/>
          <w:iCs/>
          <w:sz w:val="24"/>
          <w:szCs w:val="24"/>
        </w:rPr>
        <w:t>Behavioral and Brain Functions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w:t>
      </w:r>
      <w:r w:rsidRPr="00896AA2">
        <w:rPr>
          <w:rFonts w:ascii="Times New Roman" w:eastAsia="Times New Roman" w:hAnsi="Times New Roman" w:cs="Times New Roman"/>
          <w:sz w:val="24"/>
          <w:szCs w:val="24"/>
        </w:rPr>
        <w:t xml:space="preserve">. </w:t>
      </w:r>
      <w:hyperlink r:id="rId3751" w:history="1">
        <w:r w:rsidRPr="00896AA2">
          <w:rPr>
            <w:rFonts w:ascii="Times New Roman" w:eastAsia="Times New Roman" w:hAnsi="Times New Roman" w:cs="Times New Roman"/>
            <w:color w:val="0000FF"/>
            <w:sz w:val="24"/>
            <w:szCs w:val="24"/>
            <w:u w:val="single"/>
          </w:rPr>
          <w:t>https://doi.org/10.1186/1744-9081-8-25</w:t>
        </w:r>
      </w:hyperlink>
    </w:p>
    <w:p w14:paraId="76C6414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Mattioli, F., Stampatori, C., Bellomi, F., &amp; Capra, R. (2011). Natalizumab efficacy on cognitive impairment in MS.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(Suppl 3), S321–S323. </w:t>
      </w:r>
      <w:hyperlink r:id="rId3752" w:history="1">
        <w:r w:rsidRPr="00896AA2">
          <w:rPr>
            <w:rFonts w:ascii="Times New Roman" w:eastAsia="Times New Roman" w:hAnsi="Times New Roman" w:cs="Times New Roman"/>
            <w:color w:val="0000FF"/>
            <w:sz w:val="24"/>
            <w:szCs w:val="24"/>
            <w:u w:val="single"/>
          </w:rPr>
          <w:t>https://doi.org/10.1007/s10072-010-0351-0</w:t>
        </w:r>
      </w:hyperlink>
    </w:p>
    <w:p w14:paraId="2EC332E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Mattioli, F., Stampatori, C., Bellomi, F., Capra, R., Rocca, M., &amp; Filippi, M. (2010). Neuropsychological rehabilitation in adult multiple sclerosis.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(Suppl 2), S271–S274. </w:t>
      </w:r>
      <w:hyperlink r:id="rId3753" w:history="1">
        <w:r w:rsidRPr="00896AA2">
          <w:rPr>
            <w:rFonts w:ascii="Times New Roman" w:eastAsia="Times New Roman" w:hAnsi="Times New Roman" w:cs="Times New Roman"/>
            <w:color w:val="0000FF"/>
            <w:sz w:val="24"/>
            <w:szCs w:val="24"/>
            <w:u w:val="single"/>
          </w:rPr>
          <w:t>https://doi.org/10.1007/s10072-010-0373-7</w:t>
        </w:r>
      </w:hyperlink>
    </w:p>
    <w:p w14:paraId="1184E0B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Mattioli, F., Stampatori, C., &amp; Capra, R. (2011). The effect of natalizumab on cognitive function in patients with relapsing-remitting multiple sclerosis: Preliminary results of a 1-year follow-up study.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(1), 83–88. </w:t>
      </w:r>
      <w:hyperlink r:id="rId3754" w:history="1">
        <w:r w:rsidRPr="00896AA2">
          <w:rPr>
            <w:rFonts w:ascii="Times New Roman" w:eastAsia="Times New Roman" w:hAnsi="Times New Roman" w:cs="Times New Roman"/>
            <w:color w:val="0000FF"/>
            <w:sz w:val="24"/>
            <w:szCs w:val="24"/>
            <w:u w:val="single"/>
          </w:rPr>
          <w:t>https://doi.org/10.1007/s10072-010-0412-4</w:t>
        </w:r>
      </w:hyperlink>
    </w:p>
    <w:p w14:paraId="31ACF48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Mattis, P. J., Gopin, C. B., &amp; Mirra, K. L. (2013). Neuropsychological considerations for Parkinson’s disease patients being considered for surgical intervention with deep brain stimulation. In </w:t>
      </w:r>
      <w:r w:rsidRPr="00896AA2">
        <w:rPr>
          <w:rFonts w:ascii="Times New Roman" w:eastAsia="Times New Roman" w:hAnsi="Times New Roman" w:cs="Times New Roman"/>
          <w:i/>
          <w:iCs/>
          <w:sz w:val="24"/>
          <w:szCs w:val="24"/>
        </w:rPr>
        <w:t>Handbook on the neuropsychology of aging and dementia.</w:t>
      </w:r>
      <w:r w:rsidRPr="00896AA2">
        <w:rPr>
          <w:rFonts w:ascii="Times New Roman" w:eastAsia="Times New Roman" w:hAnsi="Times New Roman" w:cs="Times New Roman"/>
          <w:sz w:val="24"/>
          <w:szCs w:val="24"/>
        </w:rPr>
        <w:t xml:space="preserve"> (pp. 363–383). Springer Science + Business Media. </w:t>
      </w:r>
      <w:hyperlink r:id="rId3755" w:history="1">
        <w:r w:rsidRPr="00896AA2">
          <w:rPr>
            <w:rFonts w:ascii="Times New Roman" w:eastAsia="Times New Roman" w:hAnsi="Times New Roman" w:cs="Times New Roman"/>
            <w:color w:val="0000FF"/>
            <w:sz w:val="24"/>
            <w:szCs w:val="24"/>
            <w:u w:val="single"/>
          </w:rPr>
          <w:t>https://doi.org/10.1007/978-1-4614-3106-0_23</w:t>
        </w:r>
      </w:hyperlink>
    </w:p>
    <w:p w14:paraId="532D3C5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Mattis, S., Papolos, D., Luck, D., Cockerham, M., &amp; Thode Jr., H. C. (2011). Neuropsychological factors differentiating treated children with pediatric bipolar disorder from those with attention-deficit/hyperactivity disorder.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(1), 74–84. </w:t>
      </w:r>
      <w:hyperlink r:id="rId3756" w:history="1">
        <w:r w:rsidRPr="00896AA2">
          <w:rPr>
            <w:rFonts w:ascii="Times New Roman" w:eastAsia="Times New Roman" w:hAnsi="Times New Roman" w:cs="Times New Roman"/>
            <w:color w:val="0000FF"/>
            <w:sz w:val="24"/>
            <w:szCs w:val="24"/>
            <w:u w:val="single"/>
          </w:rPr>
          <w:t>https://doi.org/10.1080/13803395.2010.493146</w:t>
        </w:r>
      </w:hyperlink>
    </w:p>
    <w:p w14:paraId="09711EB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Matumoto, P. A., &amp; Rossini, J. C. (2013). Availação das funções atentivas e flexibilidade mental em dependentes químicos. [Assessment of attention functions and mental flexibility in drug addicts.]. </w:t>
      </w:r>
      <w:r w:rsidRPr="00896AA2">
        <w:rPr>
          <w:rFonts w:ascii="Times New Roman" w:eastAsia="Times New Roman" w:hAnsi="Times New Roman" w:cs="Times New Roman"/>
          <w:i/>
          <w:iCs/>
          <w:sz w:val="24"/>
          <w:szCs w:val="24"/>
        </w:rPr>
        <w:t>Psicologia: Reflexão e Crítica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339–345. </w:t>
      </w:r>
      <w:hyperlink r:id="rId3757" w:history="1">
        <w:r w:rsidRPr="00896AA2">
          <w:rPr>
            <w:rFonts w:ascii="Times New Roman" w:eastAsia="Times New Roman" w:hAnsi="Times New Roman" w:cs="Times New Roman"/>
            <w:color w:val="0000FF"/>
            <w:sz w:val="24"/>
            <w:szCs w:val="24"/>
            <w:u w:val="single"/>
          </w:rPr>
          <w:t>https://doi.org/10.1590/S0102-79722013000200014</w:t>
        </w:r>
      </w:hyperlink>
    </w:p>
    <w:p w14:paraId="53B41A0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Matute, E., Inozemtseva, O., Aguilar-Lemarroy, A., Jave-Suarez, L. F., Mina, E. D., Zuffardi, O., &amp; Rivera, H. (2012). Cognitive and behavioral phenotype of a young man with a chromosome 13 deletion del(13)(q21.32q31.1). </w:t>
      </w:r>
      <w:r w:rsidRPr="00896AA2">
        <w:rPr>
          <w:rFonts w:ascii="Times New Roman" w:eastAsia="Times New Roman" w:hAnsi="Times New Roman" w:cs="Times New Roman"/>
          <w:i/>
          <w:iCs/>
          <w:sz w:val="24"/>
          <w:szCs w:val="24"/>
        </w:rPr>
        <w:t>Cognitive and Behavioral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(3), 154–158. </w:t>
      </w:r>
      <w:hyperlink r:id="rId3758" w:history="1">
        <w:r w:rsidRPr="00896AA2">
          <w:rPr>
            <w:rFonts w:ascii="Times New Roman" w:eastAsia="Times New Roman" w:hAnsi="Times New Roman" w:cs="Times New Roman"/>
            <w:color w:val="0000FF"/>
            <w:sz w:val="24"/>
            <w:szCs w:val="24"/>
            <w:u w:val="single"/>
          </w:rPr>
          <w:t>https://doi.org/10.1097/WNN.0b013e31826dfd3c</w:t>
        </w:r>
      </w:hyperlink>
    </w:p>
    <w:p w14:paraId="3F57B7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Maurage, P., Callot, C., Chang, B., Philippot, P., Rombaux, P., &amp; de Timary, P. (2011). Olfactory impairment is correlated with confabulation in alcoholism: Towards a multimodal testing of orbitofrontal cortex.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(8). </w:t>
      </w:r>
      <w:hyperlink r:id="rId3759" w:history="1">
        <w:r w:rsidRPr="00896AA2">
          <w:rPr>
            <w:rFonts w:ascii="Times New Roman" w:eastAsia="Times New Roman" w:hAnsi="Times New Roman" w:cs="Times New Roman"/>
            <w:color w:val="0000FF"/>
            <w:sz w:val="24"/>
            <w:szCs w:val="24"/>
            <w:u w:val="single"/>
          </w:rPr>
          <w:t>https://doi.org/10.1371/journal.pone.0023190</w:t>
        </w:r>
      </w:hyperlink>
    </w:p>
    <w:p w14:paraId="2314F5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Mauri, M. C., Paletta, S., Colasanti, A., Miserocchi, G., &amp; Altamura, A. C. (2014). Clinical and neuropsychological correlates of major depression following post-traumatic brain injury, a prospective study. </w:t>
      </w:r>
      <w:r w:rsidRPr="00896AA2">
        <w:rPr>
          <w:rFonts w:ascii="Times New Roman" w:eastAsia="Times New Roman" w:hAnsi="Times New Roman" w:cs="Times New Roman"/>
          <w:i/>
          <w:iCs/>
          <w:sz w:val="24"/>
          <w:szCs w:val="24"/>
        </w:rPr>
        <w:t>Asian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 xml:space="preserve">, 118–124. </w:t>
      </w:r>
      <w:hyperlink r:id="rId3760" w:history="1">
        <w:r w:rsidRPr="00896AA2">
          <w:rPr>
            <w:rFonts w:ascii="Times New Roman" w:eastAsia="Times New Roman" w:hAnsi="Times New Roman" w:cs="Times New Roman"/>
            <w:color w:val="0000FF"/>
            <w:sz w:val="24"/>
            <w:szCs w:val="24"/>
            <w:u w:val="single"/>
          </w:rPr>
          <w:t>https://doi.org/10.1016/j.ajp.2014.07.003</w:t>
        </w:r>
      </w:hyperlink>
    </w:p>
    <w:p w14:paraId="762BB7B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Max, J. E. (2004). Effect of side of lesion on neuropsychological performance in childhood stroke.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(5), 698–708. </w:t>
      </w:r>
      <w:hyperlink r:id="rId3761" w:history="1">
        <w:r w:rsidRPr="00896AA2">
          <w:rPr>
            <w:rFonts w:ascii="Times New Roman" w:eastAsia="Times New Roman" w:hAnsi="Times New Roman" w:cs="Times New Roman"/>
            <w:color w:val="0000FF"/>
            <w:sz w:val="24"/>
            <w:szCs w:val="24"/>
            <w:u w:val="single"/>
          </w:rPr>
          <w:t>https://doi.org/10.1017/S1355617704105092</w:t>
        </w:r>
      </w:hyperlink>
    </w:p>
    <w:p w14:paraId="063435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Max, J. E., Bruce, M., Keatley, E., &amp; Delis, D. (2010). Pediatric stroke: Plasticity, vulnerability, and age of lesion onset.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(1), 30–39. </w:t>
      </w:r>
      <w:hyperlink r:id="rId3762" w:history="1">
        <w:r w:rsidRPr="00896AA2">
          <w:rPr>
            <w:rFonts w:ascii="Times New Roman" w:eastAsia="Times New Roman" w:hAnsi="Times New Roman" w:cs="Times New Roman"/>
            <w:color w:val="0000FF"/>
            <w:sz w:val="24"/>
            <w:szCs w:val="24"/>
            <w:u w:val="single"/>
          </w:rPr>
          <w:t>https://doi.org/10.1176/appi.neuropsych.22.1.30</w:t>
        </w:r>
      </w:hyperlink>
    </w:p>
    <w:p w14:paraId="1BF96FD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Max, J. E., Mathews, K., Manes, F. F., Robertson, B. A. M., Fox, P. T., Lancaster, J. L., Lansing, A. E., Schatz, A., &amp; Collings, N. (2003). Attention deficit hyperactivity disorder and neurocognitive correlates after childhood stroke.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(6), 815–829. </w:t>
      </w:r>
      <w:hyperlink r:id="rId3763" w:history="1">
        <w:r w:rsidRPr="00896AA2">
          <w:rPr>
            <w:rFonts w:ascii="Times New Roman" w:eastAsia="Times New Roman" w:hAnsi="Times New Roman" w:cs="Times New Roman"/>
            <w:color w:val="0000FF"/>
            <w:sz w:val="24"/>
            <w:szCs w:val="24"/>
            <w:u w:val="single"/>
          </w:rPr>
          <w:t>https://doi.org/10.1017/S1355617703960012</w:t>
        </w:r>
      </w:hyperlink>
    </w:p>
    <w:p w14:paraId="4B43B67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 G., Benson, R., Balon, R., &amp; Boutros, N. (2013). Neurofeedback and traumatic brain injury: A literature review. </w:t>
      </w:r>
      <w:r w:rsidRPr="00896AA2">
        <w:rPr>
          <w:rFonts w:ascii="Times New Roman" w:eastAsia="Times New Roman" w:hAnsi="Times New Roman" w:cs="Times New Roman"/>
          <w:i/>
          <w:iCs/>
          <w:sz w:val="24"/>
          <w:szCs w:val="24"/>
        </w:rPr>
        <w:t>Annals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(4), 289–296.</w:t>
      </w:r>
    </w:p>
    <w:p w14:paraId="7FBAB6C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Mayer, A. R., Ling, J. M., Allen, E. A., Klimaj, S. D., Yeo, R. A., &amp; Hanlon, F. M. (2015). Static and dynamic intrinsic connectivity following mild traumatic brain injury. </w:t>
      </w:r>
      <w:r w:rsidRPr="00896AA2">
        <w:rPr>
          <w:rFonts w:ascii="Times New Roman" w:eastAsia="Times New Roman" w:hAnsi="Times New Roman" w:cs="Times New Roman"/>
          <w:i/>
          <w:iCs/>
          <w:sz w:val="24"/>
          <w:szCs w:val="24"/>
        </w:rPr>
        <w:t>Journal of Neurotrauma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(14), 1046–1055. </w:t>
      </w:r>
      <w:hyperlink r:id="rId3764" w:history="1">
        <w:r w:rsidRPr="00896AA2">
          <w:rPr>
            <w:rFonts w:ascii="Times New Roman" w:eastAsia="Times New Roman" w:hAnsi="Times New Roman" w:cs="Times New Roman"/>
            <w:color w:val="0000FF"/>
            <w:sz w:val="24"/>
            <w:szCs w:val="24"/>
            <w:u w:val="single"/>
          </w:rPr>
          <w:t>https://doi.org/10.1089/neu.2014.3542</w:t>
        </w:r>
      </w:hyperlink>
    </w:p>
    <w:p w14:paraId="39031D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Mayes, A. K., Pipingas, A., Silberstein, R. B., &amp; Johnston, P. (2009). Steady state visually evoked potential correlates of static and dynamic emotional face processing. </w:t>
      </w:r>
      <w:r w:rsidRPr="00896AA2">
        <w:rPr>
          <w:rFonts w:ascii="Times New Roman" w:eastAsia="Times New Roman" w:hAnsi="Times New Roman" w:cs="Times New Roman"/>
          <w:i/>
          <w:iCs/>
          <w:sz w:val="24"/>
          <w:szCs w:val="24"/>
        </w:rPr>
        <w:t>Brain Topography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(3), 145–157. </w:t>
      </w:r>
      <w:hyperlink r:id="rId3765" w:history="1">
        <w:r w:rsidRPr="00896AA2">
          <w:rPr>
            <w:rFonts w:ascii="Times New Roman" w:eastAsia="Times New Roman" w:hAnsi="Times New Roman" w:cs="Times New Roman"/>
            <w:color w:val="0000FF"/>
            <w:sz w:val="24"/>
            <w:szCs w:val="24"/>
            <w:u w:val="single"/>
          </w:rPr>
          <w:t>https://doi.org/10.1007/s10548-009-0106-5</w:t>
        </w:r>
      </w:hyperlink>
    </w:p>
    <w:p w14:paraId="47909C1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Mayes, S. D., Calhoun, S. L., Bixler, E. O., &amp; Zimmerman, D. N. (2009). IQ and neuropsychological predictors of academic achievement. </w:t>
      </w:r>
      <w:r w:rsidRPr="00896AA2">
        <w:rPr>
          <w:rFonts w:ascii="Times New Roman" w:eastAsia="Times New Roman" w:hAnsi="Times New Roman" w:cs="Times New Roman"/>
          <w:i/>
          <w:iCs/>
          <w:sz w:val="24"/>
          <w:szCs w:val="24"/>
        </w:rPr>
        <w:t>Learning and Individual Differences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w:t>
      </w:r>
      <w:r w:rsidRPr="00896AA2">
        <w:rPr>
          <w:rFonts w:ascii="Times New Roman" w:eastAsia="Times New Roman" w:hAnsi="Times New Roman" w:cs="Times New Roman"/>
          <w:sz w:val="24"/>
          <w:szCs w:val="24"/>
        </w:rPr>
        <w:t xml:space="preserve">(2), 238–241. </w:t>
      </w:r>
      <w:hyperlink r:id="rId3766" w:history="1">
        <w:r w:rsidRPr="00896AA2">
          <w:rPr>
            <w:rFonts w:ascii="Times New Roman" w:eastAsia="Times New Roman" w:hAnsi="Times New Roman" w:cs="Times New Roman"/>
            <w:color w:val="0000FF"/>
            <w:sz w:val="24"/>
            <w:szCs w:val="24"/>
            <w:u w:val="single"/>
          </w:rPr>
          <w:t>https://doi.org/10.1016/j.lindif.2008.09.001</w:t>
        </w:r>
      </w:hyperlink>
    </w:p>
    <w:p w14:paraId="11C0BBE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Mayseless, N., Aharon-Peretz, J., &amp; Shamay-Tsoory, S. (2014). Unleashing creativity: The role of left temporoparietal regions in evaluating and inhibiting the generation of creative ideas.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64</w:t>
      </w:r>
      <w:r w:rsidRPr="00896AA2">
        <w:rPr>
          <w:rFonts w:ascii="Times New Roman" w:eastAsia="Times New Roman" w:hAnsi="Times New Roman" w:cs="Times New Roman"/>
          <w:sz w:val="24"/>
          <w:szCs w:val="24"/>
        </w:rPr>
        <w:t xml:space="preserve">, 157–168. </w:t>
      </w:r>
      <w:hyperlink r:id="rId3767" w:history="1">
        <w:r w:rsidRPr="00896AA2">
          <w:rPr>
            <w:rFonts w:ascii="Times New Roman" w:eastAsia="Times New Roman" w:hAnsi="Times New Roman" w:cs="Times New Roman"/>
            <w:color w:val="0000FF"/>
            <w:sz w:val="24"/>
            <w:szCs w:val="24"/>
            <w:u w:val="single"/>
          </w:rPr>
          <w:t>https://doi.org/10.1016/j.neuropsychologia.2014.09.022</w:t>
        </w:r>
      </w:hyperlink>
    </w:p>
    <w:p w14:paraId="29F46F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Mayseless, N., Uzefovsky, F., Shalev, I., Ebstein, R. P., &amp; Shamay-Tsoory, S. G. (2013). The association between creativity and 7R polymorphism in the dopamine receptor D4 gene (DRD4).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 xml:space="preserve">. </w:t>
      </w:r>
      <w:hyperlink r:id="rId3768" w:history="1">
        <w:r w:rsidRPr="00896AA2">
          <w:rPr>
            <w:rFonts w:ascii="Times New Roman" w:eastAsia="Times New Roman" w:hAnsi="Times New Roman" w:cs="Times New Roman"/>
            <w:color w:val="0000FF"/>
            <w:sz w:val="24"/>
            <w:szCs w:val="24"/>
            <w:u w:val="single"/>
          </w:rPr>
          <w:t>https://doi.org/10.3389/fnhum.2013.00502</w:t>
        </w:r>
      </w:hyperlink>
    </w:p>
    <w:p w14:paraId="21775C2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Mazhari, S., Parvaresh, N., Shahrbabaki, M. E., Sadeghi, M. M., Nakhaee, N., &amp; Keefe, R. S. E. (2014). Validation of the Persian version of the Brief Assessment of Cognition in Schizophrenia in patients with schizophrenia and healthy controls. </w:t>
      </w:r>
      <w:r w:rsidRPr="00896AA2">
        <w:rPr>
          <w:rFonts w:ascii="Times New Roman" w:eastAsia="Times New Roman" w:hAnsi="Times New Roman" w:cs="Times New Roman"/>
          <w:i/>
          <w:iCs/>
          <w:sz w:val="24"/>
          <w:szCs w:val="24"/>
        </w:rPr>
        <w:t>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(2), 160–166. </w:t>
      </w:r>
      <w:hyperlink r:id="rId3769" w:history="1">
        <w:r w:rsidRPr="00896AA2">
          <w:rPr>
            <w:rFonts w:ascii="Times New Roman" w:eastAsia="Times New Roman" w:hAnsi="Times New Roman" w:cs="Times New Roman"/>
            <w:color w:val="0000FF"/>
            <w:sz w:val="24"/>
            <w:szCs w:val="24"/>
            <w:u w:val="single"/>
          </w:rPr>
          <w:t>https://doi.org/10.1111/pcn.12107</w:t>
        </w:r>
      </w:hyperlink>
    </w:p>
    <w:p w14:paraId="7B16F1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Maziade, M., Rouleau, N., Gingras, N., Boutin, P., Paradis, M.-E., Jomphe, V., Boutin, J., Létourneau, K., Gilbert, E., Lefebvre, A.-A., Doré, M.-C., Marino, C., Battaglia, M., Mérette, C., &amp; Roy, M.-A. (2009). Shared neurocognitive dysfunctions in young offspring at extreme risk for schizophrenia or bipolar disorder in eastern Quebec multigenerational families.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(5), 919–930. </w:t>
      </w:r>
      <w:hyperlink r:id="rId3770" w:history="1">
        <w:r w:rsidRPr="00896AA2">
          <w:rPr>
            <w:rFonts w:ascii="Times New Roman" w:eastAsia="Times New Roman" w:hAnsi="Times New Roman" w:cs="Times New Roman"/>
            <w:color w:val="0000FF"/>
            <w:sz w:val="24"/>
            <w:szCs w:val="24"/>
            <w:u w:val="single"/>
          </w:rPr>
          <w:t>https://doi.org/10.1093/schbul/sbn058</w:t>
        </w:r>
      </w:hyperlink>
    </w:p>
    <w:p w14:paraId="3A35D17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Maziade, M., Rouleau, N., Mérette, C., Cellard, C., Battaglia, M., Marino, C., Jomphe, V., Gilbert, E., Achim, A., Bouchard, R.-H., Paccalet, T., Paradis, M.-E., &amp; Roy, M.-A. (2011). Relatives of patients with schizophrenia and bipolar disorder: Selective generational patterns indicate different developmental trajectories.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 xml:space="preserve">(6), 1218–1228. </w:t>
      </w:r>
      <w:hyperlink r:id="rId3771" w:history="1">
        <w:r w:rsidRPr="00896AA2">
          <w:rPr>
            <w:rFonts w:ascii="Times New Roman" w:eastAsia="Times New Roman" w:hAnsi="Times New Roman" w:cs="Times New Roman"/>
            <w:color w:val="0000FF"/>
            <w:sz w:val="24"/>
            <w:szCs w:val="24"/>
            <w:u w:val="single"/>
          </w:rPr>
          <w:t>https://doi.org/10.1093/schbul/sbq026</w:t>
        </w:r>
      </w:hyperlink>
    </w:p>
    <w:p w14:paraId="3DB20FC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Mazza, M., Di Rienzo, A., Costagliola, C., Roncone, R., Casacchia, M., Ricci, A., &amp; Galzio, R. J. (2004). The interhemispheric transcallosal-transversal approach to the lesions of the anterior and middle third ventricle: Surgical validity and neuropsychological evaluation of the outcome. </w:t>
      </w:r>
      <w:r w:rsidRPr="00896AA2">
        <w:rPr>
          <w:rFonts w:ascii="Times New Roman" w:eastAsia="Times New Roman" w:hAnsi="Times New Roman" w:cs="Times New Roman"/>
          <w:i/>
          <w:iCs/>
          <w:sz w:val="24"/>
          <w:szCs w:val="24"/>
        </w:rPr>
        <w:t>Brain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(3), 525–534. </w:t>
      </w:r>
      <w:hyperlink r:id="rId3772" w:history="1">
        <w:r w:rsidRPr="00896AA2">
          <w:rPr>
            <w:rFonts w:ascii="Times New Roman" w:eastAsia="Times New Roman" w:hAnsi="Times New Roman" w:cs="Times New Roman"/>
            <w:color w:val="0000FF"/>
            <w:sz w:val="24"/>
            <w:szCs w:val="24"/>
            <w:u w:val="single"/>
          </w:rPr>
          <w:t>https://doi.org/10.1016/j.bandc.2004.03.005</w:t>
        </w:r>
      </w:hyperlink>
    </w:p>
    <w:p w14:paraId="7313688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Mazza, M., Tripaldi, S., Pino, M. C., Stama, R., Valchera, A., Serroni, N., &amp; De Berardis, D. (2013). Assessment of attention network efficiency in schizophrenic patients with positive and negative symptoms. </w:t>
      </w:r>
      <w:r w:rsidRPr="00896AA2">
        <w:rPr>
          <w:rFonts w:ascii="Times New Roman" w:eastAsia="Times New Roman" w:hAnsi="Times New Roman" w:cs="Times New Roman"/>
          <w:i/>
          <w:iCs/>
          <w:sz w:val="24"/>
          <w:szCs w:val="24"/>
        </w:rPr>
        <w:t>Rivista Di Psichiatria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(3), 252–260.</w:t>
      </w:r>
    </w:p>
    <w:p w14:paraId="4A9E08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Mazzone, L., &amp; Vitiello, B. (2012). “The need to develop more sensitive tools to accurately detect clinical response to treatment in ADHD”: The authors’ reply. </w:t>
      </w:r>
      <w:r w:rsidRPr="00896AA2">
        <w:rPr>
          <w:rFonts w:ascii="Times New Roman" w:eastAsia="Times New Roman" w:hAnsi="Times New Roman" w:cs="Times New Roman"/>
          <w:i/>
          <w:iCs/>
          <w:sz w:val="24"/>
          <w:szCs w:val="24"/>
        </w:rPr>
        <w:t>CNS Drugs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186–187. </w:t>
      </w:r>
      <w:hyperlink r:id="rId3773" w:history="1">
        <w:r w:rsidRPr="00896AA2">
          <w:rPr>
            <w:rFonts w:ascii="Times New Roman" w:eastAsia="Times New Roman" w:hAnsi="Times New Roman" w:cs="Times New Roman"/>
            <w:color w:val="0000FF"/>
            <w:sz w:val="24"/>
            <w:szCs w:val="24"/>
            <w:u w:val="single"/>
          </w:rPr>
          <w:t>https://doi.org/10.2165/11630100-000000000-00000</w:t>
        </w:r>
      </w:hyperlink>
    </w:p>
    <w:p w14:paraId="2BAD111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Mazzù, I., Mosti, S., Caltagirone, C., &amp; Carlesimo, G. A. (2012). Hashimoto’s encephalopathy: Neuropsychological findings. </w:t>
      </w:r>
      <w:r w:rsidRPr="00896AA2">
        <w:rPr>
          <w:rFonts w:ascii="Times New Roman" w:eastAsia="Times New Roman" w:hAnsi="Times New Roman" w:cs="Times New Roman"/>
          <w:i/>
          <w:iCs/>
          <w:sz w:val="24"/>
          <w:szCs w:val="24"/>
        </w:rPr>
        <w:t>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653–656. </w:t>
      </w:r>
      <w:hyperlink r:id="rId3774" w:history="1">
        <w:r w:rsidRPr="00896AA2">
          <w:rPr>
            <w:rFonts w:ascii="Times New Roman" w:eastAsia="Times New Roman" w:hAnsi="Times New Roman" w:cs="Times New Roman"/>
            <w:color w:val="0000FF"/>
            <w:sz w:val="24"/>
            <w:szCs w:val="24"/>
            <w:u w:val="single"/>
          </w:rPr>
          <w:t>https://doi.org/10.1007/s10072-011-0813-z</w:t>
        </w:r>
      </w:hyperlink>
    </w:p>
    <w:p w14:paraId="2975C8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McAlister, C., &amp; Schmitter-Edgecombe, M. (2016). Content and temporal order memory for performed activities in Parkinson’s disease.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(7), 700–709. </w:t>
      </w:r>
      <w:hyperlink r:id="rId3775" w:history="1">
        <w:r w:rsidRPr="00896AA2">
          <w:rPr>
            <w:rFonts w:ascii="Times New Roman" w:eastAsia="Times New Roman" w:hAnsi="Times New Roman" w:cs="Times New Roman"/>
            <w:color w:val="0000FF"/>
            <w:sz w:val="24"/>
            <w:szCs w:val="24"/>
            <w:u w:val="single"/>
          </w:rPr>
          <w:t>https://doi.org/10.1093/arclin/acw056</w:t>
        </w:r>
      </w:hyperlink>
    </w:p>
    <w:p w14:paraId="26AC9B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McAnarney, E. R., Zarcone, J., Singh, P., Michels, J., Welsh, S., Litteer, T., Wang, H., &amp; Klein, J. D. (2011). Restrictive anorexia nervosa and set-shifting in adolescents: A biobehavioral interface. </w:t>
      </w:r>
      <w:r w:rsidRPr="00896AA2">
        <w:rPr>
          <w:rFonts w:ascii="Times New Roman" w:eastAsia="Times New Roman" w:hAnsi="Times New Roman" w:cs="Times New Roman"/>
          <w:i/>
          <w:iCs/>
          <w:sz w:val="24"/>
          <w:szCs w:val="24"/>
        </w:rPr>
        <w:t>Journal of Adolescent Health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(1), 99–101. </w:t>
      </w:r>
      <w:hyperlink r:id="rId3776" w:history="1">
        <w:r w:rsidRPr="00896AA2">
          <w:rPr>
            <w:rFonts w:ascii="Times New Roman" w:eastAsia="Times New Roman" w:hAnsi="Times New Roman" w:cs="Times New Roman"/>
            <w:color w:val="0000FF"/>
            <w:sz w:val="24"/>
            <w:szCs w:val="24"/>
            <w:u w:val="single"/>
          </w:rPr>
          <w:t>https://doi.org/10.1016/j.jadohealth.2010.11.259</w:t>
        </w:r>
      </w:hyperlink>
    </w:p>
    <w:p w14:paraId="46C724B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McAuley, E., Mullen, S. P., Szabo, A. N., White, S. M., Wójcicki, T. R., Mailey, E. L., Gothe, N. P., Olson, E. A., Voss, M., Erickson, K., Prakash, R., &amp; Kramer, A. F. (2011). Self-regulatory processes and exercise adherence in older adults: Executive function and self-efficacy effects. </w:t>
      </w:r>
      <w:r w:rsidRPr="00896AA2">
        <w:rPr>
          <w:rFonts w:ascii="Times New Roman" w:eastAsia="Times New Roman" w:hAnsi="Times New Roman" w:cs="Times New Roman"/>
          <w:i/>
          <w:iCs/>
          <w:sz w:val="24"/>
          <w:szCs w:val="24"/>
        </w:rPr>
        <w:t>American Journal of Preventive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(3), 284–290. </w:t>
      </w:r>
      <w:hyperlink r:id="rId3777" w:history="1">
        <w:r w:rsidRPr="00896AA2">
          <w:rPr>
            <w:rFonts w:ascii="Times New Roman" w:eastAsia="Times New Roman" w:hAnsi="Times New Roman" w:cs="Times New Roman"/>
            <w:color w:val="0000FF"/>
            <w:sz w:val="24"/>
            <w:szCs w:val="24"/>
            <w:u w:val="single"/>
          </w:rPr>
          <w:t>https://doi.org/10.1016/j.amepre.2011.04.014</w:t>
        </w:r>
      </w:hyperlink>
    </w:p>
    <w:p w14:paraId="60D751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McAuley, J. D., Henry, M. J., &amp; Tuft, S. (2011). Musician advantages in music perception: An issue of motivation, not just ability. </w:t>
      </w:r>
      <w:r w:rsidRPr="00896AA2">
        <w:rPr>
          <w:rFonts w:ascii="Times New Roman" w:eastAsia="Times New Roman" w:hAnsi="Times New Roman" w:cs="Times New Roman"/>
          <w:i/>
          <w:iCs/>
          <w:sz w:val="24"/>
          <w:szCs w:val="24"/>
        </w:rPr>
        <w:t>Music Perception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(5), 505–518. </w:t>
      </w:r>
      <w:hyperlink r:id="rId3778" w:history="1">
        <w:r w:rsidRPr="00896AA2">
          <w:rPr>
            <w:rFonts w:ascii="Times New Roman" w:eastAsia="Times New Roman" w:hAnsi="Times New Roman" w:cs="Times New Roman"/>
            <w:color w:val="0000FF"/>
            <w:sz w:val="24"/>
            <w:szCs w:val="24"/>
            <w:u w:val="single"/>
          </w:rPr>
          <w:t>https://doi.org/10.1525/mp.2011.28.5.505</w:t>
        </w:r>
      </w:hyperlink>
    </w:p>
    <w:p w14:paraId="3F5F56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McBurnett, K., Harris, S. M., Swanson, J. M., Pfiffner, L. J., Tamm, L., &amp; Freeland, D. (1993). Neuropsychological and psychophysiological differentiation of inattention/overactivity and aggression/defiance symptom groups. </w:t>
      </w:r>
      <w:r w:rsidRPr="00896AA2">
        <w:rPr>
          <w:rFonts w:ascii="Times New Roman" w:eastAsia="Times New Roman" w:hAnsi="Times New Roman" w:cs="Times New Roman"/>
          <w:i/>
          <w:iCs/>
          <w:sz w:val="24"/>
          <w:szCs w:val="24"/>
        </w:rPr>
        <w:t>Journal of Clinical Child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(2), 165–171. </w:t>
      </w:r>
      <w:hyperlink r:id="rId3779" w:history="1">
        <w:r w:rsidRPr="00896AA2">
          <w:rPr>
            <w:rFonts w:ascii="Times New Roman" w:eastAsia="Times New Roman" w:hAnsi="Times New Roman" w:cs="Times New Roman"/>
            <w:color w:val="0000FF"/>
            <w:sz w:val="24"/>
            <w:szCs w:val="24"/>
            <w:u w:val="single"/>
          </w:rPr>
          <w:t>https://doi.org/10.1207/s15374424jccp2202_4</w:t>
        </w:r>
      </w:hyperlink>
    </w:p>
    <w:p w14:paraId="478637A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McBurnett, K., Swanson, J. M., Pfiffner, L. J., &amp; Tamm, L. (1997). A measure of ADHD-related classroom impairment based on targets for behavioral intervention.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 xml:space="preserve">(2), 69–76. </w:t>
      </w:r>
      <w:hyperlink r:id="rId3780" w:history="1">
        <w:r w:rsidRPr="00896AA2">
          <w:rPr>
            <w:rFonts w:ascii="Times New Roman" w:eastAsia="Times New Roman" w:hAnsi="Times New Roman" w:cs="Times New Roman"/>
            <w:color w:val="0000FF"/>
            <w:sz w:val="24"/>
            <w:szCs w:val="24"/>
            <w:u w:val="single"/>
          </w:rPr>
          <w:t>https://doi.org/10.1177/108705479700200201</w:t>
        </w:r>
      </w:hyperlink>
    </w:p>
    <w:p w14:paraId="0311E2A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McCabe, D. P., Roediger III, H. L., McDaniel, M. A., &amp; Balota, D. A. (2009). Aging reduces veridical remembering but increases false remembering: Neuropsychological test correlates of remember-know judgments.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(11), 2164–2173. </w:t>
      </w:r>
      <w:hyperlink r:id="rId3781" w:history="1">
        <w:r w:rsidRPr="00896AA2">
          <w:rPr>
            <w:rFonts w:ascii="Times New Roman" w:eastAsia="Times New Roman" w:hAnsi="Times New Roman" w:cs="Times New Roman"/>
            <w:color w:val="0000FF"/>
            <w:sz w:val="24"/>
            <w:szCs w:val="24"/>
            <w:u w:val="single"/>
          </w:rPr>
          <w:t>https://doi.org/10.1016/j.neuropsychologia.2008.11.025</w:t>
        </w:r>
      </w:hyperlink>
    </w:p>
    <w:p w14:paraId="602FEF9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Mccaffrey, M. H. (1993). </w:t>
      </w:r>
      <w:r w:rsidRPr="00896AA2">
        <w:rPr>
          <w:rFonts w:ascii="Times New Roman" w:eastAsia="Times New Roman" w:hAnsi="Times New Roman" w:cs="Times New Roman"/>
          <w:i/>
          <w:iCs/>
          <w:sz w:val="24"/>
          <w:szCs w:val="24"/>
        </w:rPr>
        <w:t>Effects of alcohol on Wisconsin Card Sorting Test performance and retrograde facilitation of verbal recall and recognition.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(6-B), 3330–3330.</w:t>
      </w:r>
    </w:p>
    <w:p w14:paraId="2A082B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McCann, U. D., Kuwabara, H., Kumar, A., Palermo, M., Abbey, R., Brasic, J., Ye, W., Alexander, M., Dannals, R. F., Wong, D. F., &amp; Ricaurte, G. A. (2008). Persistent cognitive and dopamine transporter deficits in abstinent methamphetamine users. </w:t>
      </w:r>
      <w:r w:rsidRPr="00896AA2">
        <w:rPr>
          <w:rFonts w:ascii="Times New Roman" w:eastAsia="Times New Roman" w:hAnsi="Times New Roman" w:cs="Times New Roman"/>
          <w:i/>
          <w:iCs/>
          <w:sz w:val="24"/>
          <w:szCs w:val="24"/>
        </w:rPr>
        <w:t>Synapse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62</w:t>
      </w:r>
      <w:r w:rsidRPr="00896AA2">
        <w:rPr>
          <w:rFonts w:ascii="Times New Roman" w:eastAsia="Times New Roman" w:hAnsi="Times New Roman" w:cs="Times New Roman"/>
          <w:sz w:val="24"/>
          <w:szCs w:val="24"/>
        </w:rPr>
        <w:t xml:space="preserve">(2), 91–100. </w:t>
      </w:r>
      <w:hyperlink r:id="rId3782" w:history="1">
        <w:r w:rsidRPr="00896AA2">
          <w:rPr>
            <w:rFonts w:ascii="Times New Roman" w:eastAsia="Times New Roman" w:hAnsi="Times New Roman" w:cs="Times New Roman"/>
            <w:color w:val="0000FF"/>
            <w:sz w:val="24"/>
            <w:szCs w:val="24"/>
            <w:u w:val="single"/>
          </w:rPr>
          <w:t>https://doi.org/10.1002/syn.20471</w:t>
        </w:r>
      </w:hyperlink>
    </w:p>
    <w:p w14:paraId="167BEF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McCann, U. D., Peterson, S. C., &amp; Ricaurte, G. A. (2007). The effect of catecholamine depletion by alpha-methyl-para-tyrosine on measures of cognitive performance and sleep in abstinent MDMA users. </w:t>
      </w:r>
      <w:r w:rsidRPr="00896AA2">
        <w:rPr>
          <w:rFonts w:ascii="Times New Roman" w:eastAsia="Times New Roman" w:hAnsi="Times New Roman" w:cs="Times New Roman"/>
          <w:i/>
          <w:iCs/>
          <w:sz w:val="24"/>
          <w:szCs w:val="24"/>
        </w:rPr>
        <w:t>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(8), 1695–1706. </w:t>
      </w:r>
      <w:hyperlink r:id="rId3783" w:history="1">
        <w:r w:rsidRPr="00896AA2">
          <w:rPr>
            <w:rFonts w:ascii="Times New Roman" w:eastAsia="Times New Roman" w:hAnsi="Times New Roman" w:cs="Times New Roman"/>
            <w:color w:val="0000FF"/>
            <w:sz w:val="24"/>
            <w:szCs w:val="24"/>
            <w:u w:val="single"/>
          </w:rPr>
          <w:t>https://doi.org/10.1038/sj.npp.1301302</w:t>
        </w:r>
      </w:hyperlink>
    </w:p>
    <w:p w14:paraId="2B9C36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McCann, U. D., Szabo, Z., Vranesic, M., Palermo, M., Mathews, W. B., Ravert, H. T., Dannals, R. F., &amp; Ricaurte, G. A. (2008). Positron emission tomographic studies of brain dopamine and serotonin transporters in abstinent (±)3,4-methylenedioxymethamphetamine (“ecstasy”) users: Relationship to cognitive performance. </w:t>
      </w:r>
      <w:r w:rsidRPr="00896AA2">
        <w:rPr>
          <w:rFonts w:ascii="Times New Roman" w:eastAsia="Times New Roman" w:hAnsi="Times New Roman" w:cs="Times New Roman"/>
          <w:i/>
          <w:iCs/>
          <w:sz w:val="24"/>
          <w:szCs w:val="24"/>
        </w:rPr>
        <w:t>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 xml:space="preserve">(3), 439–450. </w:t>
      </w:r>
      <w:hyperlink r:id="rId3784" w:history="1">
        <w:r w:rsidRPr="00896AA2">
          <w:rPr>
            <w:rFonts w:ascii="Times New Roman" w:eastAsia="Times New Roman" w:hAnsi="Times New Roman" w:cs="Times New Roman"/>
            <w:color w:val="0000FF"/>
            <w:sz w:val="24"/>
            <w:szCs w:val="24"/>
            <w:u w:val="single"/>
          </w:rPr>
          <w:t>https://doi.org/10.1007/s00213-008-1218-4</w:t>
        </w:r>
      </w:hyperlink>
    </w:p>
    <w:p w14:paraId="22D774E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Mccarthy, M. P. (2002). </w:t>
      </w:r>
      <w:r w:rsidRPr="00896AA2">
        <w:rPr>
          <w:rFonts w:ascii="Times New Roman" w:eastAsia="Times New Roman" w:hAnsi="Times New Roman" w:cs="Times New Roman"/>
          <w:i/>
          <w:iCs/>
          <w:sz w:val="24"/>
          <w:szCs w:val="24"/>
        </w:rPr>
        <w:t>Neuropsychological functioning of suicidal adolescents.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(5-B), 2594–2594.</w:t>
      </w:r>
    </w:p>
    <w:p w14:paraId="3EAC94D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McClay, J. L., Adkins, D. E., Åberg, K., Bukszár, J., Khachane, A. N., Keefe, R. S. E., Perkins, D. O., McEvoy, J. P., Stroup, T. S., Vann, R. E., Beardsley, P. M., Lieberman, J. A., Sullivan, P. F., &amp; van den Oord, E. J. C. G. (2011). Genome-wide pharmacogenic study of neurocognition as an indicator of antipsychotic treatment response in schizophrenia. </w:t>
      </w:r>
      <w:r w:rsidRPr="00896AA2">
        <w:rPr>
          <w:rFonts w:ascii="Times New Roman" w:eastAsia="Times New Roman" w:hAnsi="Times New Roman" w:cs="Times New Roman"/>
          <w:i/>
          <w:iCs/>
          <w:sz w:val="24"/>
          <w:szCs w:val="24"/>
        </w:rPr>
        <w:t>Neuropsychopharmacology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 xml:space="preserve">(3), 616–626. </w:t>
      </w:r>
      <w:hyperlink r:id="rId3785" w:history="1">
        <w:r w:rsidRPr="00896AA2">
          <w:rPr>
            <w:rFonts w:ascii="Times New Roman" w:eastAsia="Times New Roman" w:hAnsi="Times New Roman" w:cs="Times New Roman"/>
            <w:color w:val="0000FF"/>
            <w:sz w:val="24"/>
            <w:szCs w:val="24"/>
            <w:u w:val="single"/>
          </w:rPr>
          <w:t>https://doi.org/10.1038/npp.2010.193</w:t>
        </w:r>
      </w:hyperlink>
    </w:p>
    <w:p w14:paraId="7DD7BF0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McCleery, A., Addington, J., &amp; Addington, D. (2006). Substance misuse and cognitive functioning in early psychosis: A 2 year follow-up.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88</w:t>
      </w:r>
      <w:r w:rsidRPr="00896AA2">
        <w:rPr>
          <w:rFonts w:ascii="Times New Roman" w:eastAsia="Times New Roman" w:hAnsi="Times New Roman" w:cs="Times New Roman"/>
          <w:sz w:val="24"/>
          <w:szCs w:val="24"/>
        </w:rPr>
        <w:t xml:space="preserve">(1–3), 187–198. </w:t>
      </w:r>
      <w:hyperlink r:id="rId3786" w:history="1">
        <w:r w:rsidRPr="00896AA2">
          <w:rPr>
            <w:rFonts w:ascii="Times New Roman" w:eastAsia="Times New Roman" w:hAnsi="Times New Roman" w:cs="Times New Roman"/>
            <w:color w:val="0000FF"/>
            <w:sz w:val="24"/>
            <w:szCs w:val="24"/>
            <w:u w:val="single"/>
          </w:rPr>
          <w:t>https://doi.org/10.1016/j.schres.2006.06.040</w:t>
        </w:r>
      </w:hyperlink>
    </w:p>
    <w:p w14:paraId="58C9044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McCleery, A., Divilbiss, M., St-Hilaire, A., Aakre, J. M., Seghers, J. P., Bell, E. K., &amp; Docherty, N. M. (2012). Predicting social functioning in schizotypy: An investigation of the relative contributions of theory of mind and mood.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200</w:t>
      </w:r>
      <w:r w:rsidRPr="00896AA2">
        <w:rPr>
          <w:rFonts w:ascii="Times New Roman" w:eastAsia="Times New Roman" w:hAnsi="Times New Roman" w:cs="Times New Roman"/>
          <w:sz w:val="24"/>
          <w:szCs w:val="24"/>
        </w:rPr>
        <w:t>(2), 147–152.</w:t>
      </w:r>
    </w:p>
    <w:p w14:paraId="32B503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McClellan, J., Prezbindowski, A., Breiger, D., &amp; McCurry, C. (2004). Neuropsychological functioning in early onset psychotic disorders.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68</w:t>
      </w:r>
      <w:r w:rsidRPr="00896AA2">
        <w:rPr>
          <w:rFonts w:ascii="Times New Roman" w:eastAsia="Times New Roman" w:hAnsi="Times New Roman" w:cs="Times New Roman"/>
          <w:sz w:val="24"/>
          <w:szCs w:val="24"/>
        </w:rPr>
        <w:t xml:space="preserve">(1), 21–26. </w:t>
      </w:r>
      <w:hyperlink r:id="rId3787" w:history="1">
        <w:r w:rsidRPr="00896AA2">
          <w:rPr>
            <w:rFonts w:ascii="Times New Roman" w:eastAsia="Times New Roman" w:hAnsi="Times New Roman" w:cs="Times New Roman"/>
            <w:color w:val="0000FF"/>
            <w:sz w:val="24"/>
            <w:szCs w:val="24"/>
            <w:u w:val="single"/>
          </w:rPr>
          <w:t>https://doi.org/10.1016/S0920-9964(03)00058-6</w:t>
        </w:r>
      </w:hyperlink>
    </w:p>
    <w:p w14:paraId="6560000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McCloskey, G. (2011). Applying a multilevel interpretive framework with an emphasis on the assessment of executive functions. </w:t>
      </w:r>
      <w:r w:rsidRPr="00896AA2">
        <w:rPr>
          <w:rFonts w:ascii="Times New Roman" w:eastAsia="Times New Roman" w:hAnsi="Times New Roman" w:cs="Times New Roman"/>
          <w:i/>
          <w:iCs/>
          <w:sz w:val="24"/>
          <w:szCs w:val="24"/>
        </w:rPr>
        <w:t>Comprehensive Evaluations: Case Reports for Psychologists, Diagnosticians, and Special Educators.</w:t>
      </w:r>
      <w:r w:rsidRPr="00896AA2">
        <w:rPr>
          <w:rFonts w:ascii="Times New Roman" w:eastAsia="Times New Roman" w:hAnsi="Times New Roman" w:cs="Times New Roman"/>
          <w:sz w:val="24"/>
          <w:szCs w:val="24"/>
        </w:rPr>
        <w:t>, 388–410.</w:t>
      </w:r>
    </w:p>
    <w:p w14:paraId="2EECFE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McCloskey, G., Gilmartin, C., &amp; Vitanza, B. S. (2014). Interventions for students with executive skills and executive functions difficulties. In </w:t>
      </w:r>
      <w:r w:rsidRPr="00896AA2">
        <w:rPr>
          <w:rFonts w:ascii="Times New Roman" w:eastAsia="Times New Roman" w:hAnsi="Times New Roman" w:cs="Times New Roman"/>
          <w:i/>
          <w:iCs/>
          <w:sz w:val="24"/>
          <w:szCs w:val="24"/>
        </w:rPr>
        <w:t>Essentials of planning, selecting, and tailoring interventions for unique learners.</w:t>
      </w:r>
      <w:r w:rsidRPr="00896AA2">
        <w:rPr>
          <w:rFonts w:ascii="Times New Roman" w:eastAsia="Times New Roman" w:hAnsi="Times New Roman" w:cs="Times New Roman"/>
          <w:sz w:val="24"/>
          <w:szCs w:val="24"/>
        </w:rPr>
        <w:t xml:space="preserve"> (pp. 314–356). John Wiley &amp; Sons Inc.</w:t>
      </w:r>
    </w:p>
    <w:p w14:paraId="54DD20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McClure, G., Hawes, D. J., &amp; Dadds, M. R. (2016). Borderline personality disorder and neuropsychological measures of executive function: A systematic review. </w:t>
      </w:r>
      <w:r w:rsidRPr="00896AA2">
        <w:rPr>
          <w:rFonts w:ascii="Times New Roman" w:eastAsia="Times New Roman" w:hAnsi="Times New Roman" w:cs="Times New Roman"/>
          <w:i/>
          <w:iCs/>
          <w:sz w:val="24"/>
          <w:szCs w:val="24"/>
        </w:rPr>
        <w:t>Personality and Mental Health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 43–57. </w:t>
      </w:r>
      <w:hyperlink r:id="rId3788" w:history="1">
        <w:r w:rsidRPr="00896AA2">
          <w:rPr>
            <w:rFonts w:ascii="Times New Roman" w:eastAsia="Times New Roman" w:hAnsi="Times New Roman" w:cs="Times New Roman"/>
            <w:color w:val="0000FF"/>
            <w:sz w:val="24"/>
            <w:szCs w:val="24"/>
            <w:u w:val="single"/>
          </w:rPr>
          <w:t>https://doi.org/10.1002/pmh.1320</w:t>
        </w:r>
      </w:hyperlink>
    </w:p>
    <w:p w14:paraId="422884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McClure, M. M., Bowie, C. R., Patterson, T. L., Heaton, R. K., Weaver, C., Anderson, H., &amp; Harvey, P. D. (2007). Correlations of functional capacity and neuropsychological performance in older patients with schizophrenia: Evidence for specificity of relationships?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89</w:t>
      </w:r>
      <w:r w:rsidRPr="00896AA2">
        <w:rPr>
          <w:rFonts w:ascii="Times New Roman" w:eastAsia="Times New Roman" w:hAnsi="Times New Roman" w:cs="Times New Roman"/>
          <w:sz w:val="24"/>
          <w:szCs w:val="24"/>
        </w:rPr>
        <w:t xml:space="preserve">(1–3), 330–338. </w:t>
      </w:r>
      <w:hyperlink r:id="rId3789" w:history="1">
        <w:r w:rsidRPr="00896AA2">
          <w:rPr>
            <w:rFonts w:ascii="Times New Roman" w:eastAsia="Times New Roman" w:hAnsi="Times New Roman" w:cs="Times New Roman"/>
            <w:color w:val="0000FF"/>
            <w:sz w:val="24"/>
            <w:szCs w:val="24"/>
            <w:u w:val="single"/>
          </w:rPr>
          <w:t>https://doi.org/10.1016/j.schres.2006.07.024</w:t>
        </w:r>
      </w:hyperlink>
    </w:p>
    <w:p w14:paraId="277A16F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McCormick, C. M., Lewis, E., Somley, B., &amp; Kahan, T. A. (2007). Individual differences in cortisol levels and performance on a test of executive function in men and women. </w:t>
      </w:r>
      <w:r w:rsidRPr="00896AA2">
        <w:rPr>
          <w:rFonts w:ascii="Times New Roman" w:eastAsia="Times New Roman" w:hAnsi="Times New Roman" w:cs="Times New Roman"/>
          <w:i/>
          <w:iCs/>
          <w:sz w:val="24"/>
          <w:szCs w:val="24"/>
        </w:rPr>
        <w:t>Physiology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91</w:t>
      </w:r>
      <w:r w:rsidRPr="00896AA2">
        <w:rPr>
          <w:rFonts w:ascii="Times New Roman" w:eastAsia="Times New Roman" w:hAnsi="Times New Roman" w:cs="Times New Roman"/>
          <w:sz w:val="24"/>
          <w:szCs w:val="24"/>
        </w:rPr>
        <w:t xml:space="preserve">(1), 87–94. </w:t>
      </w:r>
      <w:hyperlink r:id="rId3790" w:history="1">
        <w:r w:rsidRPr="00896AA2">
          <w:rPr>
            <w:rFonts w:ascii="Times New Roman" w:eastAsia="Times New Roman" w:hAnsi="Times New Roman" w:cs="Times New Roman"/>
            <w:color w:val="0000FF"/>
            <w:sz w:val="24"/>
            <w:szCs w:val="24"/>
            <w:u w:val="single"/>
          </w:rPr>
          <w:t>https://doi.org/10.1016/j.physbeh.2007.01.020</w:t>
        </w:r>
      </w:hyperlink>
    </w:p>
    <w:p w14:paraId="11CED6D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McCraith, D. B., Austin, S. L., &amp; Earhart, C. A. (2011). The cognitive disabilities model in 2011. </w:t>
      </w:r>
      <w:r w:rsidRPr="00896AA2">
        <w:rPr>
          <w:rFonts w:ascii="Times New Roman" w:eastAsia="Times New Roman" w:hAnsi="Times New Roman" w:cs="Times New Roman"/>
          <w:i/>
          <w:iCs/>
          <w:sz w:val="24"/>
          <w:szCs w:val="24"/>
        </w:rPr>
        <w:t>Cognition, Occupation, and Participation across the Life Span: Neuroscience, Neurorehabilitation, and Models of Intervention in Occupational Therapy, 3rd Ed.</w:t>
      </w:r>
      <w:r w:rsidRPr="00896AA2">
        <w:rPr>
          <w:rFonts w:ascii="Times New Roman" w:eastAsia="Times New Roman" w:hAnsi="Times New Roman" w:cs="Times New Roman"/>
          <w:sz w:val="24"/>
          <w:szCs w:val="24"/>
        </w:rPr>
        <w:t>, 383–406.</w:t>
      </w:r>
    </w:p>
    <w:p w14:paraId="471403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McCrea, S. M. (2010). Intuition, insight, and the right hemisphere: Emergence of higher sociocognitive functions. </w:t>
      </w:r>
      <w:r w:rsidRPr="00896AA2">
        <w:rPr>
          <w:rFonts w:ascii="Times New Roman" w:eastAsia="Times New Roman" w:hAnsi="Times New Roman" w:cs="Times New Roman"/>
          <w:i/>
          <w:iCs/>
          <w:sz w:val="24"/>
          <w:szCs w:val="24"/>
        </w:rPr>
        <w:t>Psychology Research and Behavior Management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w:t>
      </w:r>
      <w:r w:rsidRPr="00896AA2">
        <w:rPr>
          <w:rFonts w:ascii="Times New Roman" w:eastAsia="Times New Roman" w:hAnsi="Times New Roman" w:cs="Times New Roman"/>
          <w:sz w:val="24"/>
          <w:szCs w:val="24"/>
        </w:rPr>
        <w:t>.</w:t>
      </w:r>
    </w:p>
    <w:p w14:paraId="65E148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McCrimmon, A. W., Schwean, Vicki. L., Saklofske, D. H., Montgomery, J. M., &amp; Brady, D. I. (2012). Executive functions in Asperger’s syndrome: An empirical investigation of verbal and nonverbal skills.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(1), 224–233. </w:t>
      </w:r>
      <w:hyperlink r:id="rId3791" w:history="1">
        <w:r w:rsidRPr="00896AA2">
          <w:rPr>
            <w:rFonts w:ascii="Times New Roman" w:eastAsia="Times New Roman" w:hAnsi="Times New Roman" w:cs="Times New Roman"/>
            <w:color w:val="0000FF"/>
            <w:sz w:val="24"/>
            <w:szCs w:val="24"/>
            <w:u w:val="single"/>
          </w:rPr>
          <w:t>https://doi.org/10.1016/j.rasd.2011.05.003</w:t>
        </w:r>
      </w:hyperlink>
    </w:p>
    <w:p w14:paraId="0EBA53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McCusker, E. A., Gunn, D. G., Epping, E. A., Loy, C. T., Radford, K., Griffith, J., Mills, J. A., Long, J. D., &amp; Paulsen, J. S. (2013). Unawareness of motor phenoconversion in Huntington disease.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81</w:t>
      </w:r>
      <w:r w:rsidRPr="00896AA2">
        <w:rPr>
          <w:rFonts w:ascii="Times New Roman" w:eastAsia="Times New Roman" w:hAnsi="Times New Roman" w:cs="Times New Roman"/>
          <w:sz w:val="24"/>
          <w:szCs w:val="24"/>
        </w:rPr>
        <w:t xml:space="preserve">(13), 1141–1147. </w:t>
      </w:r>
      <w:hyperlink r:id="rId3792" w:history="1">
        <w:r w:rsidRPr="00896AA2">
          <w:rPr>
            <w:rFonts w:ascii="Times New Roman" w:eastAsia="Times New Roman" w:hAnsi="Times New Roman" w:cs="Times New Roman"/>
            <w:color w:val="0000FF"/>
            <w:sz w:val="24"/>
            <w:szCs w:val="24"/>
            <w:u w:val="single"/>
          </w:rPr>
          <w:t>https://doi.org/10.1212/WNL.0b013e3182a55f05</w:t>
        </w:r>
      </w:hyperlink>
    </w:p>
    <w:p w14:paraId="1D2EA2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McDade, E., Boeve, B. F., Burrus, T. M., Boot, B. P., Kantarci, K., Fields, J., Lowe, V. J., Peller, P., Knopman, D., Baker, M., Finch, N., Rademakers, R., &amp; Petersen, R. (2012). Similar clinical and neuroimaging features in monozygotic twin pair with mutation in progranulin.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78</w:t>
      </w:r>
      <w:r w:rsidRPr="00896AA2">
        <w:rPr>
          <w:rFonts w:ascii="Times New Roman" w:eastAsia="Times New Roman" w:hAnsi="Times New Roman" w:cs="Times New Roman"/>
          <w:sz w:val="24"/>
          <w:szCs w:val="24"/>
        </w:rPr>
        <w:t xml:space="preserve">(16), 1245–1249. </w:t>
      </w:r>
      <w:hyperlink r:id="rId3793" w:history="1">
        <w:r w:rsidRPr="00896AA2">
          <w:rPr>
            <w:rFonts w:ascii="Times New Roman" w:eastAsia="Times New Roman" w:hAnsi="Times New Roman" w:cs="Times New Roman"/>
            <w:color w:val="0000FF"/>
            <w:sz w:val="24"/>
            <w:szCs w:val="24"/>
            <w:u w:val="single"/>
          </w:rPr>
          <w:t>https://doi.org/10.1212/WNL.0b013e318251594c</w:t>
        </w:r>
      </w:hyperlink>
    </w:p>
    <w:p w14:paraId="2127F0C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McDade, E., Lopez, O., &amp; Snitz, B. (2013). Evaluation and management of cognitive disorders and dementia part I: The basic evaluation. In </w:t>
      </w:r>
      <w:r w:rsidRPr="00896AA2">
        <w:rPr>
          <w:rFonts w:ascii="Times New Roman" w:eastAsia="Times New Roman" w:hAnsi="Times New Roman" w:cs="Times New Roman"/>
          <w:i/>
          <w:iCs/>
          <w:sz w:val="24"/>
          <w:szCs w:val="24"/>
        </w:rPr>
        <w:t>Geriatric psychiatry.</w:t>
      </w:r>
      <w:r w:rsidRPr="00896AA2">
        <w:rPr>
          <w:rFonts w:ascii="Times New Roman" w:eastAsia="Times New Roman" w:hAnsi="Times New Roman" w:cs="Times New Roman"/>
          <w:sz w:val="24"/>
          <w:szCs w:val="24"/>
        </w:rPr>
        <w:t xml:space="preserve"> (pp. 121–143). Oxford University Press.</w:t>
      </w:r>
    </w:p>
    <w:p w14:paraId="144BFFF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McDiarmid Nelson, M., &amp; Andrews Espy, K. (2009). Low-level lead exposure and contingency-based responding in preschoolers: An exploratory study. </w:t>
      </w:r>
      <w:r w:rsidRPr="00896AA2">
        <w:rPr>
          <w:rFonts w:ascii="Times New Roman" w:eastAsia="Times New Roman" w:hAnsi="Times New Roman" w:cs="Times New Roman"/>
          <w:i/>
          <w:iCs/>
          <w:sz w:val="24"/>
          <w:szCs w:val="24"/>
        </w:rPr>
        <w:t>Developmental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(4), 494–506. </w:t>
      </w:r>
      <w:hyperlink r:id="rId3794" w:history="1">
        <w:r w:rsidRPr="00896AA2">
          <w:rPr>
            <w:rFonts w:ascii="Times New Roman" w:eastAsia="Times New Roman" w:hAnsi="Times New Roman" w:cs="Times New Roman"/>
            <w:color w:val="0000FF"/>
            <w:sz w:val="24"/>
            <w:szCs w:val="24"/>
            <w:u w:val="single"/>
          </w:rPr>
          <w:t>https://doi.org/10.1080/87565640902964565</w:t>
        </w:r>
      </w:hyperlink>
    </w:p>
    <w:p w14:paraId="42A891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C. R., Swartz, B. E., Halgren, E., Patell, A., Daimes, R., &amp; Mandelkern, M. (2006). The relationship of regional frontal hypometabolism to executive function: A resting fluorodeoxyglucose PET study of patients with epilepsy and healthy controls.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(1), 58–67. </w:t>
      </w:r>
      <w:hyperlink r:id="rId3795" w:history="1">
        <w:r w:rsidRPr="00896AA2">
          <w:rPr>
            <w:rFonts w:ascii="Times New Roman" w:eastAsia="Times New Roman" w:hAnsi="Times New Roman" w:cs="Times New Roman"/>
            <w:color w:val="0000FF"/>
            <w:sz w:val="24"/>
            <w:szCs w:val="24"/>
            <w:u w:val="single"/>
          </w:rPr>
          <w:t>https://doi.org/10.1016/j.yebeh.2006.04.007</w:t>
        </w:r>
      </w:hyperlink>
    </w:p>
    <w:p w14:paraId="57F53A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P., &amp; Tang, Y.-Y. (2014). Neuroscientific insights into management development: Theoretical propositions and practical implications. </w:t>
      </w:r>
      <w:r w:rsidRPr="00896AA2">
        <w:rPr>
          <w:rFonts w:ascii="Times New Roman" w:eastAsia="Times New Roman" w:hAnsi="Times New Roman" w:cs="Times New Roman"/>
          <w:i/>
          <w:iCs/>
          <w:sz w:val="24"/>
          <w:szCs w:val="24"/>
        </w:rPr>
        <w:t>Group &amp; Organization Management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39</w:t>
      </w:r>
      <w:r w:rsidRPr="00896AA2">
        <w:rPr>
          <w:rFonts w:ascii="Times New Roman" w:eastAsia="Times New Roman" w:hAnsi="Times New Roman" w:cs="Times New Roman"/>
          <w:sz w:val="24"/>
          <w:szCs w:val="24"/>
        </w:rPr>
        <w:t xml:space="preserve">(5), 475–503. </w:t>
      </w:r>
      <w:hyperlink r:id="rId3796" w:history="1">
        <w:r w:rsidRPr="00896AA2">
          <w:rPr>
            <w:rFonts w:ascii="Times New Roman" w:eastAsia="Times New Roman" w:hAnsi="Times New Roman" w:cs="Times New Roman"/>
            <w:color w:val="0000FF"/>
            <w:sz w:val="24"/>
            <w:szCs w:val="24"/>
            <w:u w:val="single"/>
          </w:rPr>
          <w:t>https://doi.org/10.1177/1059601114550712</w:t>
        </w:r>
      </w:hyperlink>
    </w:p>
    <w:p w14:paraId="75DDA48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P., &amp; Tang, Y.-Y. (2016). </w:t>
      </w:r>
      <w:r w:rsidRPr="00896AA2">
        <w:rPr>
          <w:rFonts w:ascii="Times New Roman" w:eastAsia="Times New Roman" w:hAnsi="Times New Roman" w:cs="Times New Roman"/>
          <w:i/>
          <w:iCs/>
          <w:sz w:val="24"/>
          <w:szCs w:val="24"/>
        </w:rPr>
        <w:t>Neuroscientific insights into management development: Theoretical propositions and practical implications.</w:t>
      </w:r>
      <w:r w:rsidRPr="00896AA2">
        <w:rPr>
          <w:rFonts w:ascii="Times New Roman" w:eastAsia="Times New Roman" w:hAnsi="Times New Roman" w:cs="Times New Roman"/>
          <w:sz w:val="24"/>
          <w:szCs w:val="24"/>
        </w:rPr>
        <w:t xml:space="preserve"> (p. 268). Sage Publications, Inc.</w:t>
      </w:r>
    </w:p>
    <w:p w14:paraId="52FE02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S. (2012). New frontiers in neuropsychological assessment: Assessing social perception using a standardised instrument, the Awareness of Social Inference Test. </w:t>
      </w:r>
      <w:r w:rsidRPr="00896AA2">
        <w:rPr>
          <w:rFonts w:ascii="Times New Roman" w:eastAsia="Times New Roman" w:hAnsi="Times New Roman" w:cs="Times New Roman"/>
          <w:i/>
          <w:iCs/>
          <w:sz w:val="24"/>
          <w:szCs w:val="24"/>
        </w:rPr>
        <w:t>Australian 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(1), 39–48. </w:t>
      </w:r>
      <w:hyperlink r:id="rId3797" w:history="1">
        <w:r w:rsidRPr="00896AA2">
          <w:rPr>
            <w:rFonts w:ascii="Times New Roman" w:eastAsia="Times New Roman" w:hAnsi="Times New Roman" w:cs="Times New Roman"/>
            <w:color w:val="0000FF"/>
            <w:sz w:val="24"/>
            <w:szCs w:val="24"/>
            <w:u w:val="single"/>
          </w:rPr>
          <w:t>https://doi.org/10.1111/j.1742-9544.2011.00054.x</w:t>
        </w:r>
      </w:hyperlink>
    </w:p>
    <w:p w14:paraId="75ACDD6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S., Hunt, C., Henry, J. D., Dimoska, A., &amp; Bornhofen, C. (2010). Angry responses to emotional events: The role of impaired control and drive in people with severe traumatic brain injury.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32</w:t>
      </w:r>
      <w:r w:rsidRPr="00896AA2">
        <w:rPr>
          <w:rFonts w:ascii="Times New Roman" w:eastAsia="Times New Roman" w:hAnsi="Times New Roman" w:cs="Times New Roman"/>
          <w:sz w:val="24"/>
          <w:szCs w:val="24"/>
        </w:rPr>
        <w:t xml:space="preserve">(8), 855–864. </w:t>
      </w:r>
      <w:hyperlink r:id="rId3798" w:history="1">
        <w:r w:rsidRPr="00896AA2">
          <w:rPr>
            <w:rFonts w:ascii="Times New Roman" w:eastAsia="Times New Roman" w:hAnsi="Times New Roman" w:cs="Times New Roman"/>
            <w:color w:val="0000FF"/>
            <w:sz w:val="24"/>
            <w:szCs w:val="24"/>
            <w:u w:val="single"/>
          </w:rPr>
          <w:t>https://doi.org/10.1080/13803391003596405</w:t>
        </w:r>
      </w:hyperlink>
    </w:p>
    <w:p w14:paraId="03B7C1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McDonald, S., Togher, L., &amp; Code, C. (2014). The nature of cognitive deficits and psychosocial function following TBI. In </w:t>
      </w:r>
      <w:r w:rsidRPr="00896AA2">
        <w:rPr>
          <w:rFonts w:ascii="Times New Roman" w:eastAsia="Times New Roman" w:hAnsi="Times New Roman" w:cs="Times New Roman"/>
          <w:i/>
          <w:iCs/>
          <w:sz w:val="24"/>
          <w:szCs w:val="24"/>
        </w:rPr>
        <w:t>Social and communication disorders following traumatic brain injury, 2nd ed.</w:t>
      </w:r>
      <w:r w:rsidRPr="00896AA2">
        <w:rPr>
          <w:rFonts w:ascii="Times New Roman" w:eastAsia="Times New Roman" w:hAnsi="Times New Roman" w:cs="Times New Roman"/>
          <w:sz w:val="24"/>
          <w:szCs w:val="24"/>
        </w:rPr>
        <w:t xml:space="preserve"> (pp. 48–88). Psychology Press.</w:t>
      </w:r>
    </w:p>
    <w:p w14:paraId="3B8C94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McDowell, S., Whyte, J., &amp; D’Esposito, M. (1998). Differential effect of a dopaminergic agonist on prefrontal function in traumatic brain injury patients.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121</w:t>
      </w:r>
      <w:r w:rsidRPr="00896AA2">
        <w:rPr>
          <w:rFonts w:ascii="Times New Roman" w:eastAsia="Times New Roman" w:hAnsi="Times New Roman" w:cs="Times New Roman"/>
          <w:sz w:val="24"/>
          <w:szCs w:val="24"/>
        </w:rPr>
        <w:t xml:space="preserve">(6), 1155–1164. </w:t>
      </w:r>
      <w:hyperlink r:id="rId3799" w:history="1">
        <w:r w:rsidRPr="00896AA2">
          <w:rPr>
            <w:rFonts w:ascii="Times New Roman" w:eastAsia="Times New Roman" w:hAnsi="Times New Roman" w:cs="Times New Roman"/>
            <w:color w:val="0000FF"/>
            <w:sz w:val="24"/>
            <w:szCs w:val="24"/>
            <w:u w:val="single"/>
          </w:rPr>
          <w:t>https://doi.org/10.1093/brain/121.6.1155</w:t>
        </w:r>
      </w:hyperlink>
    </w:p>
    <w:p w14:paraId="1B16EB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McEvoy, J. P., Hartman, M., Gottlieb, D., Godwin, S., Apperson, L. J., &amp; Wilson, W. (1996). Common sense, insight, and neuropsychological test performance in schizophrenia patients.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635–641. </w:t>
      </w:r>
      <w:hyperlink r:id="rId3800" w:history="1">
        <w:r w:rsidRPr="00896AA2">
          <w:rPr>
            <w:rFonts w:ascii="Times New Roman" w:eastAsia="Times New Roman" w:hAnsi="Times New Roman" w:cs="Times New Roman"/>
            <w:color w:val="0000FF"/>
            <w:sz w:val="24"/>
            <w:szCs w:val="24"/>
            <w:u w:val="single"/>
          </w:rPr>
          <w:t>https://doi.org/10.1093/schbul/22.4.635</w:t>
        </w:r>
      </w:hyperlink>
    </w:p>
    <w:p w14:paraId="59682BE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McFall, G. P., Wiebe, S. A., Vergote, D., Jhamandas, J., Westaway, D., &amp; Dixon, R. A. (2014). IDE (rs6583817) polymorphism and pulse pressure are independently and interactively associated with level and change in executive function in older adults. </w:t>
      </w:r>
      <w:r w:rsidRPr="00896AA2">
        <w:rPr>
          <w:rFonts w:ascii="Times New Roman" w:eastAsia="Times New Roman" w:hAnsi="Times New Roman" w:cs="Times New Roman"/>
          <w:i/>
          <w:iCs/>
          <w:sz w:val="24"/>
          <w:szCs w:val="24"/>
        </w:rPr>
        <w:t>Psychology and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29</w:t>
      </w:r>
      <w:r w:rsidRPr="00896AA2">
        <w:rPr>
          <w:rFonts w:ascii="Times New Roman" w:eastAsia="Times New Roman" w:hAnsi="Times New Roman" w:cs="Times New Roman"/>
          <w:sz w:val="24"/>
          <w:szCs w:val="24"/>
        </w:rPr>
        <w:t xml:space="preserve">(2), 418–430. </w:t>
      </w:r>
      <w:hyperlink r:id="rId3801" w:history="1">
        <w:r w:rsidRPr="00896AA2">
          <w:rPr>
            <w:rFonts w:ascii="Times New Roman" w:eastAsia="Times New Roman" w:hAnsi="Times New Roman" w:cs="Times New Roman"/>
            <w:color w:val="0000FF"/>
            <w:sz w:val="24"/>
            <w:szCs w:val="24"/>
            <w:u w:val="single"/>
          </w:rPr>
          <w:t>https://doi.org/10.1037/a0034656</w:t>
        </w:r>
      </w:hyperlink>
    </w:p>
    <w:p w14:paraId="0C68A1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McFall, G. P., Wiebe, S. A., Vergote, D., Westaway, D., Jhamandas, J., &amp; Dixon, R. A. (2013). IDE (rs6583817) polymorphism and type 2 diabetes differentially modify executive function in older adults. </w:t>
      </w:r>
      <w:r w:rsidRPr="00896AA2">
        <w:rPr>
          <w:rFonts w:ascii="Times New Roman" w:eastAsia="Times New Roman" w:hAnsi="Times New Roman" w:cs="Times New Roman"/>
          <w:i/>
          <w:iCs/>
          <w:sz w:val="24"/>
          <w:szCs w:val="24"/>
        </w:rPr>
        <w:t>Neurobiology of Aging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(9), 2208–2216. </w:t>
      </w:r>
      <w:hyperlink r:id="rId3802" w:history="1">
        <w:r w:rsidRPr="00896AA2">
          <w:rPr>
            <w:rFonts w:ascii="Times New Roman" w:eastAsia="Times New Roman" w:hAnsi="Times New Roman" w:cs="Times New Roman"/>
            <w:color w:val="0000FF"/>
            <w:sz w:val="24"/>
            <w:szCs w:val="24"/>
            <w:u w:val="single"/>
          </w:rPr>
          <w:t>https://doi.org/10.1016/j.neurobiolaging.2013.03.010</w:t>
        </w:r>
      </w:hyperlink>
    </w:p>
    <w:p w14:paraId="250E0C4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McFarland, C. P., &amp; Glisky, E. L. (2009). Frontal lobe involvement in a task of time-based prospective memory.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47</w:t>
      </w:r>
      <w:r w:rsidRPr="00896AA2">
        <w:rPr>
          <w:rFonts w:ascii="Times New Roman" w:eastAsia="Times New Roman" w:hAnsi="Times New Roman" w:cs="Times New Roman"/>
          <w:sz w:val="24"/>
          <w:szCs w:val="24"/>
        </w:rPr>
        <w:t xml:space="preserve">(7), 1660–1669. </w:t>
      </w:r>
      <w:hyperlink r:id="rId3803" w:history="1">
        <w:r w:rsidRPr="00896AA2">
          <w:rPr>
            <w:rFonts w:ascii="Times New Roman" w:eastAsia="Times New Roman" w:hAnsi="Times New Roman" w:cs="Times New Roman"/>
            <w:color w:val="0000FF"/>
            <w:sz w:val="24"/>
            <w:szCs w:val="24"/>
            <w:u w:val="single"/>
          </w:rPr>
          <w:t>https://doi.org/10.1016/j.neuropsychologia.2009.02.023</w:t>
        </w:r>
      </w:hyperlink>
    </w:p>
    <w:p w14:paraId="26FA221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McFarland, C. P., &amp; Glisky, E. L. (2011). Implementation intentions and prospective memory among older adults: An investigation of the role of frontal lobe function. </w:t>
      </w:r>
      <w:r w:rsidRPr="00896AA2">
        <w:rPr>
          <w:rFonts w:ascii="Times New Roman" w:eastAsia="Times New Roman" w:hAnsi="Times New Roman" w:cs="Times New Roman"/>
          <w:i/>
          <w:iCs/>
          <w:sz w:val="24"/>
          <w:szCs w:val="24"/>
        </w:rPr>
        <w:t>Aging, Neuropsychology, and Cognition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(6), 633–652. </w:t>
      </w:r>
      <w:hyperlink r:id="rId3804" w:history="1">
        <w:r w:rsidRPr="00896AA2">
          <w:rPr>
            <w:rFonts w:ascii="Times New Roman" w:eastAsia="Times New Roman" w:hAnsi="Times New Roman" w:cs="Times New Roman"/>
            <w:color w:val="0000FF"/>
            <w:sz w:val="24"/>
            <w:szCs w:val="24"/>
            <w:u w:val="single"/>
          </w:rPr>
          <w:t>https://doi.org/10.1080/13825585.2011.613449</w:t>
        </w:r>
      </w:hyperlink>
    </w:p>
    <w:p w14:paraId="64FA907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McFarland, J., Cannon, D. M., Schmidt, H., Ahmed, M., Hehir, S., Emsell, L., Barker, G., McCarthy, P., Elliott, M. A., &amp; McDonald, C. (2013). Association of grey matter volume deviation with insight impairment in first-episode affective and non-affective psychosis. </w:t>
      </w:r>
      <w:r w:rsidRPr="00896AA2">
        <w:rPr>
          <w:rFonts w:ascii="Times New Roman" w:eastAsia="Times New Roman" w:hAnsi="Times New Roman" w:cs="Times New Roman"/>
          <w:i/>
          <w:iCs/>
          <w:sz w:val="24"/>
          <w:szCs w:val="24"/>
        </w:rPr>
        <w:t>European Archives of Psychiatry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263</w:t>
      </w:r>
      <w:r w:rsidRPr="00896AA2">
        <w:rPr>
          <w:rFonts w:ascii="Times New Roman" w:eastAsia="Times New Roman" w:hAnsi="Times New Roman" w:cs="Times New Roman"/>
          <w:sz w:val="24"/>
          <w:szCs w:val="24"/>
        </w:rPr>
        <w:t xml:space="preserve">(2), 133–141. </w:t>
      </w:r>
      <w:hyperlink r:id="rId3805" w:history="1">
        <w:r w:rsidRPr="00896AA2">
          <w:rPr>
            <w:rFonts w:ascii="Times New Roman" w:eastAsia="Times New Roman" w:hAnsi="Times New Roman" w:cs="Times New Roman"/>
            <w:color w:val="0000FF"/>
            <w:sz w:val="24"/>
            <w:szCs w:val="24"/>
            <w:u w:val="single"/>
          </w:rPr>
          <w:t>https://doi.org/10.1007/s00406-012-0333-8</w:t>
        </w:r>
      </w:hyperlink>
    </w:p>
    <w:p w14:paraId="7B85035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McGibbon, T., &amp; Jansari, A. S. (2013). Detecting the onset of accelerated long-term forgetting: Evidence from temporal lobe epilepsy.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51</w:t>
      </w:r>
      <w:r w:rsidRPr="00896AA2">
        <w:rPr>
          <w:rFonts w:ascii="Times New Roman" w:eastAsia="Times New Roman" w:hAnsi="Times New Roman" w:cs="Times New Roman"/>
          <w:sz w:val="24"/>
          <w:szCs w:val="24"/>
        </w:rPr>
        <w:t xml:space="preserve">(1), 114–122. </w:t>
      </w:r>
      <w:hyperlink r:id="rId3806" w:history="1">
        <w:r w:rsidRPr="00896AA2">
          <w:rPr>
            <w:rFonts w:ascii="Times New Roman" w:eastAsia="Times New Roman" w:hAnsi="Times New Roman" w:cs="Times New Roman"/>
            <w:color w:val="0000FF"/>
            <w:sz w:val="24"/>
            <w:szCs w:val="24"/>
            <w:u w:val="single"/>
          </w:rPr>
          <w:t>https://doi.org/10.1016/j.neuropsychologia.2012.11.004</w:t>
        </w:r>
      </w:hyperlink>
    </w:p>
    <w:p w14:paraId="38DDFF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McGirr, A., Dombrovski, A. Y., Butters, M. A., Clark, L., &amp; Szanto, K. (2012). Deterministic learning and attempted suicide among older depressed individuals: Cognitive assessment using the Wisconsin Card Sorting Task. </w:t>
      </w:r>
      <w:r w:rsidRPr="00896AA2">
        <w:rPr>
          <w:rFonts w:ascii="Times New Roman" w:eastAsia="Times New Roman" w:hAnsi="Times New Roman" w:cs="Times New Roman"/>
          <w:i/>
          <w:iCs/>
          <w:sz w:val="24"/>
          <w:szCs w:val="24"/>
        </w:rPr>
        <w:t>Journal of Psychiatric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(2), 226–232. </w:t>
      </w:r>
      <w:hyperlink r:id="rId3807" w:history="1">
        <w:r w:rsidRPr="00896AA2">
          <w:rPr>
            <w:rFonts w:ascii="Times New Roman" w:eastAsia="Times New Roman" w:hAnsi="Times New Roman" w:cs="Times New Roman"/>
            <w:color w:val="0000FF"/>
            <w:sz w:val="24"/>
            <w:szCs w:val="24"/>
            <w:u w:val="single"/>
          </w:rPr>
          <w:t>https://doi.org/10.1016/j.jpsychires.2011.10.001</w:t>
        </w:r>
      </w:hyperlink>
    </w:p>
    <w:p w14:paraId="37ACAFD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McGorry, P. D., McKenzie, D., Jackson, H. J., Waddell, F., &amp; Curry, C. (2000). Can we improve the diagnostic efficiency and predictive power of prodromal symptoms for schizophrenia?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(2), 91–100. </w:t>
      </w:r>
      <w:hyperlink r:id="rId3808" w:history="1">
        <w:r w:rsidRPr="00896AA2">
          <w:rPr>
            <w:rFonts w:ascii="Times New Roman" w:eastAsia="Times New Roman" w:hAnsi="Times New Roman" w:cs="Times New Roman"/>
            <w:color w:val="0000FF"/>
            <w:sz w:val="24"/>
            <w:szCs w:val="24"/>
            <w:u w:val="single"/>
          </w:rPr>
          <w:t>https://doi.org/10.1016/S0920-9964(99)00125-5</w:t>
        </w:r>
      </w:hyperlink>
    </w:p>
    <w:p w14:paraId="76E3026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McGrath, J., &amp; Allman, R. (2000). Awareness and unawareness of thought disorder. </w:t>
      </w:r>
      <w:r w:rsidRPr="00896AA2">
        <w:rPr>
          <w:rFonts w:ascii="Times New Roman" w:eastAsia="Times New Roman" w:hAnsi="Times New Roman" w:cs="Times New Roman"/>
          <w:i/>
          <w:iCs/>
          <w:sz w:val="24"/>
          <w:szCs w:val="24"/>
        </w:rPr>
        <w:t>Australian and New Zealand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 35–42. </w:t>
      </w:r>
      <w:hyperlink r:id="rId3809" w:history="1">
        <w:r w:rsidRPr="00896AA2">
          <w:rPr>
            <w:rFonts w:ascii="Times New Roman" w:eastAsia="Times New Roman" w:hAnsi="Times New Roman" w:cs="Times New Roman"/>
            <w:color w:val="0000FF"/>
            <w:sz w:val="24"/>
            <w:szCs w:val="24"/>
            <w:u w:val="single"/>
          </w:rPr>
          <w:t>https://doi.org/10.1046/j.1440-1614.2000.00699.x</w:t>
        </w:r>
      </w:hyperlink>
    </w:p>
    <w:p w14:paraId="7DDF285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McGrath, L. M., Braaten, E. B., Doty, N. D., Willoughby, B. L., Wilson, H. K., O’Donnell, E. H., Colvin, M. K., Ditmars, H. L., Blais, J. E., Hill, E. N., Metzger, A., Perlis, R. H., Willcutt, E. G., Smoller, J. W., Waldman, I. D., Faraone, S. V., Seidman, L. J., &amp; Doyle, A. E. (2016). Extending the ‘cross‐disorder’ relevance of executive functions to dimensional neuropsychiatric traits in youth. </w:t>
      </w:r>
      <w:r w:rsidRPr="00896AA2">
        <w:rPr>
          <w:rFonts w:ascii="Times New Roman" w:eastAsia="Times New Roman" w:hAnsi="Times New Roman" w:cs="Times New Roman"/>
          <w:i/>
          <w:iCs/>
          <w:sz w:val="24"/>
          <w:szCs w:val="24"/>
        </w:rPr>
        <w:t>Journal of Child Psychology and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(4), 462–471. </w:t>
      </w:r>
      <w:hyperlink r:id="rId3810" w:history="1">
        <w:r w:rsidRPr="00896AA2">
          <w:rPr>
            <w:rFonts w:ascii="Times New Roman" w:eastAsia="Times New Roman" w:hAnsi="Times New Roman" w:cs="Times New Roman"/>
            <w:color w:val="0000FF"/>
            <w:sz w:val="24"/>
            <w:szCs w:val="24"/>
            <w:u w:val="single"/>
          </w:rPr>
          <w:t>https://doi.org/10.1111/jcpp.12463</w:t>
        </w:r>
      </w:hyperlink>
    </w:p>
    <w:p w14:paraId="751A869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Coleman, T., Harvey, P. D., Reichenberg, A., White, L., Friedman, J., Parrella, M., &amp; Davis, K. L. (2004). Working Memory Performance in Poor Outcome Schizophrenia: Relationship to Age and Executive Functioning.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(2), 153–160. </w:t>
      </w:r>
      <w:hyperlink r:id="rId3811" w:history="1">
        <w:r w:rsidRPr="00896AA2">
          <w:rPr>
            <w:rFonts w:ascii="Times New Roman" w:eastAsia="Times New Roman" w:hAnsi="Times New Roman" w:cs="Times New Roman"/>
            <w:color w:val="0000FF"/>
            <w:sz w:val="24"/>
            <w:szCs w:val="24"/>
            <w:u w:val="single"/>
          </w:rPr>
          <w:t>https://doi.org/10.1076/jcen.26.2.153.28079</w:t>
        </w:r>
      </w:hyperlink>
    </w:p>
    <w:p w14:paraId="15AB112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&amp; Mueser, K. T. (2003). Cognitive functioning and employment in severe mental illness.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191</w:t>
      </w:r>
      <w:r w:rsidRPr="00896AA2">
        <w:rPr>
          <w:rFonts w:ascii="Times New Roman" w:eastAsia="Times New Roman" w:hAnsi="Times New Roman" w:cs="Times New Roman"/>
          <w:sz w:val="24"/>
          <w:szCs w:val="24"/>
        </w:rPr>
        <w:t xml:space="preserve">(12), 789–798. </w:t>
      </w:r>
      <w:hyperlink r:id="rId3812" w:history="1">
        <w:r w:rsidRPr="00896AA2">
          <w:rPr>
            <w:rFonts w:ascii="Times New Roman" w:eastAsia="Times New Roman" w:hAnsi="Times New Roman" w:cs="Times New Roman"/>
            <w:color w:val="0000FF"/>
            <w:sz w:val="24"/>
            <w:szCs w:val="24"/>
            <w:u w:val="single"/>
          </w:rPr>
          <w:t>https://doi.org/10.1097/01.nmd.0000100921.31489.5a</w:t>
        </w:r>
      </w:hyperlink>
    </w:p>
    <w:p w14:paraId="5EBCB5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&amp; Mueser, K. T. (2006). Cognitive and Clinical Predictors of Work Outcomes in Clients with Schizophrenia Receiving Supported Employment Services: 4-year Follow-Up. </w:t>
      </w:r>
      <w:r w:rsidRPr="00896AA2">
        <w:rPr>
          <w:rFonts w:ascii="Times New Roman" w:eastAsia="Times New Roman" w:hAnsi="Times New Roman" w:cs="Times New Roman"/>
          <w:i/>
          <w:iCs/>
          <w:sz w:val="24"/>
          <w:szCs w:val="24"/>
        </w:rPr>
        <w:t>Administration and Policy in Mental Health and Mental Health Services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(5), 598–606. </w:t>
      </w:r>
      <w:hyperlink r:id="rId3813" w:history="1">
        <w:r w:rsidRPr="00896AA2">
          <w:rPr>
            <w:rFonts w:ascii="Times New Roman" w:eastAsia="Times New Roman" w:hAnsi="Times New Roman" w:cs="Times New Roman"/>
            <w:color w:val="0000FF"/>
            <w:sz w:val="24"/>
            <w:szCs w:val="24"/>
            <w:u w:val="single"/>
          </w:rPr>
          <w:t>https://doi.org/10.1007/s10488-006-0070-2</w:t>
        </w:r>
      </w:hyperlink>
    </w:p>
    <w:p w14:paraId="0881E35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&amp; Mueser, K. T. (2008). Response to cognitive rehabilitation in older versus younger persons with severe mental illness. </w:t>
      </w:r>
      <w:r w:rsidRPr="00896AA2">
        <w:rPr>
          <w:rFonts w:ascii="Times New Roman" w:eastAsia="Times New Roman" w:hAnsi="Times New Roman" w:cs="Times New Roman"/>
          <w:i/>
          <w:iCs/>
          <w:sz w:val="24"/>
          <w:szCs w:val="24"/>
        </w:rPr>
        <w:t>American Journal of Psychiatric Rehabilitation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(1), 90–105. </w:t>
      </w:r>
      <w:hyperlink r:id="rId3814" w:history="1">
        <w:r w:rsidRPr="00896AA2">
          <w:rPr>
            <w:rFonts w:ascii="Times New Roman" w:eastAsia="Times New Roman" w:hAnsi="Times New Roman" w:cs="Times New Roman"/>
            <w:color w:val="0000FF"/>
            <w:sz w:val="24"/>
            <w:szCs w:val="24"/>
            <w:u w:val="single"/>
          </w:rPr>
          <w:t>https://doi.org/10.1080/15487760701853136</w:t>
        </w:r>
      </w:hyperlink>
    </w:p>
    <w:p w14:paraId="79FB55F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DeRosa, T. J., &amp; Wolfe, R. (2009). Work, recovery, and comorbidity in schizophrenia: A randomized controlled trial of cognitive remediation.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35</w:t>
      </w:r>
      <w:r w:rsidRPr="00896AA2">
        <w:rPr>
          <w:rFonts w:ascii="Times New Roman" w:eastAsia="Times New Roman" w:hAnsi="Times New Roman" w:cs="Times New Roman"/>
          <w:sz w:val="24"/>
          <w:szCs w:val="24"/>
        </w:rPr>
        <w:t xml:space="preserve">(2), 319–335. </w:t>
      </w:r>
      <w:hyperlink r:id="rId3815" w:history="1">
        <w:r w:rsidRPr="00896AA2">
          <w:rPr>
            <w:rFonts w:ascii="Times New Roman" w:eastAsia="Times New Roman" w:hAnsi="Times New Roman" w:cs="Times New Roman"/>
            <w:color w:val="0000FF"/>
            <w:sz w:val="24"/>
            <w:szCs w:val="24"/>
            <w:u w:val="single"/>
          </w:rPr>
          <w:t>https://doi.org/10.1093/schbul/sbn182</w:t>
        </w:r>
      </w:hyperlink>
    </w:p>
    <w:p w14:paraId="3A1D20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Harvey, P. D., LaPuglia, R., &amp; Marder, J. (2003). Cognitive and Symptom Predictors of Work Outcomes for Clients With Schizophrenia in Supported Employment. </w:t>
      </w:r>
      <w:r w:rsidRPr="00896AA2">
        <w:rPr>
          <w:rFonts w:ascii="Times New Roman" w:eastAsia="Times New Roman" w:hAnsi="Times New Roman" w:cs="Times New Roman"/>
          <w:i/>
          <w:iCs/>
          <w:sz w:val="24"/>
          <w:szCs w:val="24"/>
        </w:rPr>
        <w:t>Psychiatric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54</w:t>
      </w:r>
      <w:r w:rsidRPr="00896AA2">
        <w:rPr>
          <w:rFonts w:ascii="Times New Roman" w:eastAsia="Times New Roman" w:hAnsi="Times New Roman" w:cs="Times New Roman"/>
          <w:sz w:val="24"/>
          <w:szCs w:val="24"/>
        </w:rPr>
        <w:t xml:space="preserve">(8), 1129–1135. </w:t>
      </w:r>
      <w:hyperlink r:id="rId3816" w:history="1">
        <w:r w:rsidRPr="00896AA2">
          <w:rPr>
            <w:rFonts w:ascii="Times New Roman" w:eastAsia="Times New Roman" w:hAnsi="Times New Roman" w:cs="Times New Roman"/>
            <w:color w:val="0000FF"/>
            <w:sz w:val="24"/>
            <w:szCs w:val="24"/>
            <w:u w:val="single"/>
          </w:rPr>
          <w:t>https://doi.org/10.1176/appi.ps.54.8.1129</w:t>
        </w:r>
      </w:hyperlink>
    </w:p>
    <w:p w14:paraId="0A81E9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&amp; Pascaris, A. (2005). Cognitive training and supported employment for persons With severe mental illness: One-year results from a randomized controlled trial.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898–909. </w:t>
      </w:r>
      <w:hyperlink r:id="rId3817" w:history="1">
        <w:r w:rsidRPr="00896AA2">
          <w:rPr>
            <w:rFonts w:ascii="Times New Roman" w:eastAsia="Times New Roman" w:hAnsi="Times New Roman" w:cs="Times New Roman"/>
            <w:color w:val="0000FF"/>
            <w:sz w:val="24"/>
            <w:szCs w:val="24"/>
            <w:u w:val="single"/>
          </w:rPr>
          <w:t>https://doi.org/10.1093/schbul/sbi037</w:t>
        </w:r>
      </w:hyperlink>
    </w:p>
    <w:p w14:paraId="34D8036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Mueser, K. T., Xie, H., Feldman, K., Shaya, Y., Klein, L., &amp; Wolfe, R. (2016). Cognitive remediation for vocational rehabilitation nonresponders.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175</w:t>
      </w:r>
      <w:r w:rsidRPr="00896AA2">
        <w:rPr>
          <w:rFonts w:ascii="Times New Roman" w:eastAsia="Times New Roman" w:hAnsi="Times New Roman" w:cs="Times New Roman"/>
          <w:sz w:val="24"/>
          <w:szCs w:val="24"/>
        </w:rPr>
        <w:t xml:space="preserve">(1–3), 48–56. </w:t>
      </w:r>
      <w:hyperlink r:id="rId3818" w:history="1">
        <w:r w:rsidRPr="00896AA2">
          <w:rPr>
            <w:rFonts w:ascii="Times New Roman" w:eastAsia="Times New Roman" w:hAnsi="Times New Roman" w:cs="Times New Roman"/>
            <w:color w:val="0000FF"/>
            <w:sz w:val="24"/>
            <w:szCs w:val="24"/>
            <w:u w:val="single"/>
          </w:rPr>
          <w:t>https://doi.org/10.1016/j.schres.2016.04.045</w:t>
        </w:r>
      </w:hyperlink>
    </w:p>
    <w:p w14:paraId="5E075D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McGurk, S. R., Schiano, D., Mueser, K. T., &amp; Wolfe, R. (2010). Implementation of the thinking skills for work program in a psychosocial clubhouse. </w:t>
      </w:r>
      <w:r w:rsidRPr="00896AA2">
        <w:rPr>
          <w:rFonts w:ascii="Times New Roman" w:eastAsia="Times New Roman" w:hAnsi="Times New Roman" w:cs="Times New Roman"/>
          <w:i/>
          <w:iCs/>
          <w:sz w:val="24"/>
          <w:szCs w:val="24"/>
        </w:rPr>
        <w:t>Psychiatric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(3), 190–199. </w:t>
      </w:r>
      <w:hyperlink r:id="rId3819" w:history="1">
        <w:r w:rsidRPr="00896AA2">
          <w:rPr>
            <w:rFonts w:ascii="Times New Roman" w:eastAsia="Times New Roman" w:hAnsi="Times New Roman" w:cs="Times New Roman"/>
            <w:color w:val="0000FF"/>
            <w:sz w:val="24"/>
            <w:szCs w:val="24"/>
            <w:u w:val="single"/>
          </w:rPr>
          <w:t>https://doi.org/10.2975/33.3.2010.190.199</w:t>
        </w:r>
      </w:hyperlink>
    </w:p>
    <w:p w14:paraId="5B975A9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McHugh, M. J., Demers, C. H., Salmeron, B. J., Devous Sr., M. D., Stein, E. A., &amp; Adinoff, B. (2014). Cortico-amygdala coupling as a marker of early relapse risk in cocaine-addicted individuals. </w:t>
      </w:r>
      <w:r w:rsidRPr="00896AA2">
        <w:rPr>
          <w:rFonts w:ascii="Times New Roman" w:eastAsia="Times New Roman" w:hAnsi="Times New Roman" w:cs="Times New Roman"/>
          <w:i/>
          <w:iCs/>
          <w:sz w:val="24"/>
          <w:szCs w:val="24"/>
        </w:rPr>
        <w:t>Frontiers in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 </w:t>
      </w:r>
      <w:hyperlink r:id="rId3820" w:history="1">
        <w:r w:rsidRPr="00896AA2">
          <w:rPr>
            <w:rFonts w:ascii="Times New Roman" w:eastAsia="Times New Roman" w:hAnsi="Times New Roman" w:cs="Times New Roman"/>
            <w:color w:val="0000FF"/>
            <w:sz w:val="24"/>
            <w:szCs w:val="24"/>
            <w:u w:val="single"/>
          </w:rPr>
          <w:t>https://doi.org/10.3389/fpsyt.2014.00016</w:t>
        </w:r>
      </w:hyperlink>
    </w:p>
    <w:p w14:paraId="587A22D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McHugh, M. J., Gu, H., Yang, Y., Adinoff, B., &amp; Stein, E. A. (2017). Executive control network connectivity strength protects against relapse to cocaine use. </w:t>
      </w:r>
      <w:r w:rsidRPr="00896AA2">
        <w:rPr>
          <w:rFonts w:ascii="Times New Roman" w:eastAsia="Times New Roman" w:hAnsi="Times New Roman" w:cs="Times New Roman"/>
          <w:i/>
          <w:iCs/>
          <w:sz w:val="24"/>
          <w:szCs w:val="24"/>
        </w:rPr>
        <w:t>Addiction Biology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(6), 1790–1801. </w:t>
      </w:r>
      <w:hyperlink r:id="rId3821" w:history="1">
        <w:r w:rsidRPr="00896AA2">
          <w:rPr>
            <w:rFonts w:ascii="Times New Roman" w:eastAsia="Times New Roman" w:hAnsi="Times New Roman" w:cs="Times New Roman"/>
            <w:color w:val="0000FF"/>
            <w:sz w:val="24"/>
            <w:szCs w:val="24"/>
            <w:u w:val="single"/>
          </w:rPr>
          <w:t>https://doi.org/10.1111/adb.12448</w:t>
        </w:r>
      </w:hyperlink>
    </w:p>
    <w:p w14:paraId="6097C5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Mcilwain, M. E., Harrison, J., Wheeler, A. J., &amp; Russell, B. R. (2011). Pharmacotherapy for treatment-resistant schizophrenia. </w:t>
      </w:r>
      <w:r w:rsidRPr="00896AA2">
        <w:rPr>
          <w:rFonts w:ascii="Times New Roman" w:eastAsia="Times New Roman" w:hAnsi="Times New Roman" w:cs="Times New Roman"/>
          <w:i/>
          <w:iCs/>
          <w:sz w:val="24"/>
          <w:szCs w:val="24"/>
        </w:rPr>
        <w:t>Neuropsychiatric Disease and 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w:t>
      </w:r>
      <w:r w:rsidRPr="00896AA2">
        <w:rPr>
          <w:rFonts w:ascii="Times New Roman" w:eastAsia="Times New Roman" w:hAnsi="Times New Roman" w:cs="Times New Roman"/>
          <w:sz w:val="24"/>
          <w:szCs w:val="24"/>
        </w:rPr>
        <w:t>(1).</w:t>
      </w:r>
    </w:p>
    <w:p w14:paraId="39747A8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McInerney, S. J., McNeely, H. E., Geraci, J., Giacobbe, P., Rizvi, S. J., Ceniti, A. K., Cyriac, A., Mayberg, H. S., Lozano, A. M., &amp; Kennedy, S. H. (2017). Neurocognitive predictors of response in treatment resistant depression to subcallosal cingulate gyrus deep brain stimulation.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w:t>
      </w:r>
    </w:p>
    <w:p w14:paraId="448E9BA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McIntyre, R. S., Cha, D. S., Soczynska, J. K., Woldeyohannes, H. O., Gallaugher, L. A., Kudlow, P., Alsuwaidan, M., &amp; Baskaran, A. (2013). Cognitive deficits and functional outcomes in major depressive disorder: Determinants, substrates, and treatment interventions. </w:t>
      </w:r>
      <w:r w:rsidRPr="00896AA2">
        <w:rPr>
          <w:rFonts w:ascii="Times New Roman" w:eastAsia="Times New Roman" w:hAnsi="Times New Roman" w:cs="Times New Roman"/>
          <w:i/>
          <w:iCs/>
          <w:sz w:val="24"/>
          <w:szCs w:val="24"/>
        </w:rPr>
        <w:t>Depression and Anxiety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(6), 515–527. </w:t>
      </w:r>
      <w:hyperlink r:id="rId3822" w:history="1">
        <w:r w:rsidRPr="00896AA2">
          <w:rPr>
            <w:rFonts w:ascii="Times New Roman" w:eastAsia="Times New Roman" w:hAnsi="Times New Roman" w:cs="Times New Roman"/>
            <w:color w:val="0000FF"/>
            <w:sz w:val="24"/>
            <w:szCs w:val="24"/>
            <w:u w:val="single"/>
          </w:rPr>
          <w:t>https://doi.org/10.1002/da.22063</w:t>
        </w:r>
      </w:hyperlink>
    </w:p>
    <w:p w14:paraId="2DF688D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McKenna, F. F., Miles, L., Babb, J. S., Goff, D. C., &amp; Lazar, M. (2019). Diffusion kurtosis imaging of gray matter in schizophrenia.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121</w:t>
      </w:r>
      <w:r w:rsidRPr="00896AA2">
        <w:rPr>
          <w:rFonts w:ascii="Times New Roman" w:eastAsia="Times New Roman" w:hAnsi="Times New Roman" w:cs="Times New Roman"/>
          <w:sz w:val="24"/>
          <w:szCs w:val="24"/>
        </w:rPr>
        <w:t xml:space="preserve">, 201–224. </w:t>
      </w:r>
      <w:hyperlink r:id="rId3823" w:history="1">
        <w:r w:rsidRPr="00896AA2">
          <w:rPr>
            <w:rFonts w:ascii="Times New Roman" w:eastAsia="Times New Roman" w:hAnsi="Times New Roman" w:cs="Times New Roman"/>
            <w:color w:val="0000FF"/>
            <w:sz w:val="24"/>
            <w:szCs w:val="24"/>
            <w:u w:val="single"/>
          </w:rPr>
          <w:t>https://doi.org/10.1016/j.cortex.2019.08.013</w:t>
        </w:r>
      </w:hyperlink>
    </w:p>
    <w:p w14:paraId="65EBC5B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McKenna, P., &amp; Warrington, E. K. (2009). The analytical approach to neuropsychological assessment.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25–41). Oxford University Press.</w:t>
      </w:r>
    </w:p>
    <w:p w14:paraId="210DE19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McKinnon, M. C., Nica, E. I., Sengdy, P., Kovacevic, N., Moscovitch, M., Freedman, M., Miller, B. L., Black, S. E., &amp; Levine, B. (2008). Autobiographical memory and patterns of brain atrophy in frontotemporal lobar degeneration. </w:t>
      </w:r>
      <w:r w:rsidRPr="00896AA2">
        <w:rPr>
          <w:rFonts w:ascii="Times New Roman" w:eastAsia="Times New Roman" w:hAnsi="Times New Roman" w:cs="Times New Roman"/>
          <w:i/>
          <w:iCs/>
          <w:sz w:val="24"/>
          <w:szCs w:val="24"/>
        </w:rPr>
        <w:t>Journal of Cognitive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w:t>
      </w:r>
      <w:r w:rsidRPr="00896AA2">
        <w:rPr>
          <w:rFonts w:ascii="Times New Roman" w:eastAsia="Times New Roman" w:hAnsi="Times New Roman" w:cs="Times New Roman"/>
          <w:sz w:val="24"/>
          <w:szCs w:val="24"/>
        </w:rPr>
        <w:t xml:space="preserve">(10), 1839–1853. </w:t>
      </w:r>
      <w:hyperlink r:id="rId3824" w:history="1">
        <w:r w:rsidRPr="00896AA2">
          <w:rPr>
            <w:rFonts w:ascii="Times New Roman" w:eastAsia="Times New Roman" w:hAnsi="Times New Roman" w:cs="Times New Roman"/>
            <w:color w:val="0000FF"/>
            <w:sz w:val="24"/>
            <w:szCs w:val="24"/>
            <w:u w:val="single"/>
          </w:rPr>
          <w:t>https://doi.org/10.1162/jocn.2008.20126</w:t>
        </w:r>
      </w:hyperlink>
    </w:p>
    <w:p w14:paraId="2C952A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McLaughlin, P. M., Hinshaw, J., &amp; Stringer, A. Y. (2013). Maple syrup urine disease (MSUD): A case with long-term follow-up after liver transplantation.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(7), 1199–1217. </w:t>
      </w:r>
      <w:hyperlink r:id="rId3825" w:history="1">
        <w:r w:rsidRPr="00896AA2">
          <w:rPr>
            <w:rFonts w:ascii="Times New Roman" w:eastAsia="Times New Roman" w:hAnsi="Times New Roman" w:cs="Times New Roman"/>
            <w:color w:val="0000FF"/>
            <w:sz w:val="24"/>
            <w:szCs w:val="24"/>
            <w:u w:val="single"/>
          </w:rPr>
          <w:t>https://doi.org/10.1080/13854046.2013.816372</w:t>
        </w:r>
      </w:hyperlink>
    </w:p>
    <w:p w14:paraId="719935A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McLean, S. L., Idris, N. F., Grayson, B., Gendle, D. F., Mackie, C., Lesage, A. S., Pemberton, D. J., &amp; Neill, J. C. (2012). PNU-120596, a positive allosteric modulator of α7 nicotinic acetylcholine receptors, reverses a sub-chronic phencyclidine-induced cognitive deficit in the attentional set-shifting task in female rats. </w:t>
      </w:r>
      <w:r w:rsidRPr="00896AA2">
        <w:rPr>
          <w:rFonts w:ascii="Times New Roman" w:eastAsia="Times New Roman" w:hAnsi="Times New Roman" w:cs="Times New Roman"/>
          <w:i/>
          <w:iCs/>
          <w:sz w:val="24"/>
          <w:szCs w:val="24"/>
        </w:rPr>
        <w:t>Journal of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(9), 1265–1270. </w:t>
      </w:r>
      <w:hyperlink r:id="rId3826" w:history="1">
        <w:r w:rsidRPr="00896AA2">
          <w:rPr>
            <w:rFonts w:ascii="Times New Roman" w:eastAsia="Times New Roman" w:hAnsi="Times New Roman" w:cs="Times New Roman"/>
            <w:color w:val="0000FF"/>
            <w:sz w:val="24"/>
            <w:szCs w:val="24"/>
            <w:u w:val="single"/>
          </w:rPr>
          <w:t>https://doi.org/10.1177/0269881111431747</w:t>
        </w:r>
      </w:hyperlink>
    </w:p>
    <w:p w14:paraId="1DACF0D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McLernon, H. L., Feiger, J. A., Geraci, G. G., Marmolejo, G., Roberts, A. J., &amp; Schug, R. A. (2018). The neuroscience of violent offending. </w:t>
      </w:r>
      <w:r w:rsidRPr="00896AA2">
        <w:rPr>
          <w:rFonts w:ascii="Times New Roman" w:eastAsia="Times New Roman" w:hAnsi="Times New Roman" w:cs="Times New Roman"/>
          <w:i/>
          <w:iCs/>
          <w:sz w:val="24"/>
          <w:szCs w:val="24"/>
        </w:rPr>
        <w:t>The Wiley Blackwell Handbook of Forensic Neuroscience, Vols. 1-2</w:t>
      </w:r>
      <w:r w:rsidRPr="00896AA2">
        <w:rPr>
          <w:rFonts w:ascii="Times New Roman" w:eastAsia="Times New Roman" w:hAnsi="Times New Roman" w:cs="Times New Roman"/>
          <w:sz w:val="24"/>
          <w:szCs w:val="24"/>
        </w:rPr>
        <w:t xml:space="preserve">, 301–332. </w:t>
      </w:r>
      <w:hyperlink r:id="rId3827" w:history="1">
        <w:r w:rsidRPr="00896AA2">
          <w:rPr>
            <w:rFonts w:ascii="Times New Roman" w:eastAsia="Times New Roman" w:hAnsi="Times New Roman" w:cs="Times New Roman"/>
            <w:color w:val="0000FF"/>
            <w:sz w:val="24"/>
            <w:szCs w:val="24"/>
            <w:u w:val="single"/>
          </w:rPr>
          <w:t>https://doi.org/10.1002/9781118650868.ch12</w:t>
        </w:r>
      </w:hyperlink>
    </w:p>
    <w:p w14:paraId="0EA0043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McMillan, S. G., Rees, C. S., &amp; Pestell, C. (2013). An investigation of executive functioning, attention and working memory in compulsive hoarding. </w:t>
      </w:r>
      <w:r w:rsidRPr="00896AA2">
        <w:rPr>
          <w:rFonts w:ascii="Times New Roman" w:eastAsia="Times New Roman" w:hAnsi="Times New Roman" w:cs="Times New Roman"/>
          <w:i/>
          <w:iCs/>
          <w:sz w:val="24"/>
          <w:szCs w:val="24"/>
        </w:rPr>
        <w:t>Behavioural and Cognitive Psychotherapy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(5), 610–625. </w:t>
      </w:r>
      <w:hyperlink r:id="rId3828" w:history="1">
        <w:r w:rsidRPr="00896AA2">
          <w:rPr>
            <w:rFonts w:ascii="Times New Roman" w:eastAsia="Times New Roman" w:hAnsi="Times New Roman" w:cs="Times New Roman"/>
            <w:color w:val="0000FF"/>
            <w:sz w:val="24"/>
            <w:szCs w:val="24"/>
            <w:u w:val="single"/>
          </w:rPr>
          <w:t>https://doi.org/10.1017/S1352465812000835</w:t>
        </w:r>
      </w:hyperlink>
    </w:p>
    <w:p w14:paraId="2BCE1D2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McMorris, T. (2016). History of research into the acute exercise–cognition interaction: A cognitive psychology approach. In </w:t>
      </w:r>
      <w:r w:rsidRPr="00896AA2">
        <w:rPr>
          <w:rFonts w:ascii="Times New Roman" w:eastAsia="Times New Roman" w:hAnsi="Times New Roman" w:cs="Times New Roman"/>
          <w:i/>
          <w:iCs/>
          <w:sz w:val="24"/>
          <w:szCs w:val="24"/>
        </w:rPr>
        <w:t>Exercise-cognition interaction: Neuroscience perspectives.</w:t>
      </w:r>
      <w:r w:rsidRPr="00896AA2">
        <w:rPr>
          <w:rFonts w:ascii="Times New Roman" w:eastAsia="Times New Roman" w:hAnsi="Times New Roman" w:cs="Times New Roman"/>
          <w:sz w:val="24"/>
          <w:szCs w:val="24"/>
        </w:rPr>
        <w:t xml:space="preserve"> (pp. 1–28). Elsevier Academic Press. </w:t>
      </w:r>
      <w:hyperlink r:id="rId3829" w:history="1">
        <w:r w:rsidRPr="00896AA2">
          <w:rPr>
            <w:rFonts w:ascii="Times New Roman" w:eastAsia="Times New Roman" w:hAnsi="Times New Roman" w:cs="Times New Roman"/>
            <w:color w:val="0000FF"/>
            <w:sz w:val="24"/>
            <w:szCs w:val="24"/>
            <w:u w:val="single"/>
          </w:rPr>
          <w:t>https://doi.org/10.1016/B978-0-12-800778-5.00001-3</w:t>
        </w:r>
      </w:hyperlink>
    </w:p>
    <w:p w14:paraId="1D4127F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McMorris, T., &amp; Corbett, J. (2016). Effects of athletic fitness on the exercise–cognition interaction. In </w:t>
      </w:r>
      <w:r w:rsidRPr="00896AA2">
        <w:rPr>
          <w:rFonts w:ascii="Times New Roman" w:eastAsia="Times New Roman" w:hAnsi="Times New Roman" w:cs="Times New Roman"/>
          <w:i/>
          <w:iCs/>
          <w:sz w:val="24"/>
          <w:szCs w:val="24"/>
        </w:rPr>
        <w:t>Exercise-cognition interaction: Neuroscience perspectives.</w:t>
      </w:r>
      <w:r w:rsidRPr="00896AA2">
        <w:rPr>
          <w:rFonts w:ascii="Times New Roman" w:eastAsia="Times New Roman" w:hAnsi="Times New Roman" w:cs="Times New Roman"/>
          <w:sz w:val="24"/>
          <w:szCs w:val="24"/>
        </w:rPr>
        <w:t xml:space="preserve"> (pp. 227–250). Elsevier Academic Press. </w:t>
      </w:r>
      <w:hyperlink r:id="rId3830" w:history="1">
        <w:r w:rsidRPr="00896AA2">
          <w:rPr>
            <w:rFonts w:ascii="Times New Roman" w:eastAsia="Times New Roman" w:hAnsi="Times New Roman" w:cs="Times New Roman"/>
            <w:color w:val="0000FF"/>
            <w:sz w:val="24"/>
            <w:szCs w:val="24"/>
            <w:u w:val="single"/>
          </w:rPr>
          <w:t>https://doi.org/10.1016/B978-0-12-800778-5.00011-6</w:t>
        </w:r>
      </w:hyperlink>
    </w:p>
    <w:p w14:paraId="67A76E3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McMorris, T., Turner, A., Hale, B. J., &amp; Sproule, J. (2016). Beyond the catecholamines hypothesis for an acute exercise–cognition interaction: A neurochemical perspective. In </w:t>
      </w:r>
      <w:r w:rsidRPr="00896AA2">
        <w:rPr>
          <w:rFonts w:ascii="Times New Roman" w:eastAsia="Times New Roman" w:hAnsi="Times New Roman" w:cs="Times New Roman"/>
          <w:i/>
          <w:iCs/>
          <w:sz w:val="24"/>
          <w:szCs w:val="24"/>
        </w:rPr>
        <w:t>Exercise-cognition interaction: Neuroscience perspectives.</w:t>
      </w:r>
      <w:r w:rsidRPr="00896AA2">
        <w:rPr>
          <w:rFonts w:ascii="Times New Roman" w:eastAsia="Times New Roman" w:hAnsi="Times New Roman" w:cs="Times New Roman"/>
          <w:sz w:val="24"/>
          <w:szCs w:val="24"/>
        </w:rPr>
        <w:t xml:space="preserve"> (pp. 65–103). Elsevier Academic Press. </w:t>
      </w:r>
      <w:hyperlink r:id="rId3831" w:history="1">
        <w:r w:rsidRPr="00896AA2">
          <w:rPr>
            <w:rFonts w:ascii="Times New Roman" w:eastAsia="Times New Roman" w:hAnsi="Times New Roman" w:cs="Times New Roman"/>
            <w:color w:val="0000FF"/>
            <w:sz w:val="24"/>
            <w:szCs w:val="24"/>
            <w:u w:val="single"/>
          </w:rPr>
          <w:t>https://doi.org/10.1016/B978-0-12-800778-5.00004-9</w:t>
        </w:r>
      </w:hyperlink>
    </w:p>
    <w:p w14:paraId="1D3D4B3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McNally, S., Dsurney, J., McGovern, J., DeFilippis, N., &amp; Chan, L. (2016). Concurrent validity of new subscale scores for the Booklet Category Test. </w:t>
      </w:r>
      <w:r w:rsidRPr="00896AA2">
        <w:rPr>
          <w:rFonts w:ascii="Times New Roman" w:eastAsia="Times New Roman" w:hAnsi="Times New Roman" w:cs="Times New Roman"/>
          <w:i/>
          <w:iCs/>
          <w:sz w:val="24"/>
          <w:szCs w:val="24"/>
        </w:rPr>
        <w:t>Assessment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 xml:space="preserve">(3), 333–341. </w:t>
      </w:r>
      <w:hyperlink r:id="rId3832" w:history="1">
        <w:r w:rsidRPr="00896AA2">
          <w:rPr>
            <w:rFonts w:ascii="Times New Roman" w:eastAsia="Times New Roman" w:hAnsi="Times New Roman" w:cs="Times New Roman"/>
            <w:color w:val="0000FF"/>
            <w:sz w:val="24"/>
            <w:szCs w:val="24"/>
            <w:u w:val="single"/>
          </w:rPr>
          <w:t>https://doi.org/10.1177/1073191115588783</w:t>
        </w:r>
      </w:hyperlink>
    </w:p>
    <w:p w14:paraId="537B5F2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McNeely, A. A., Ramirez, J., Nestor, S. M., Zhao, J., Gao, F., Kiss, A., Stuss, D. T., &amp; Black, S. E. (2015). Cholinergic subcortical hyperintensities in Alzheimer’s disease patients from the Sunnybrook Dementia Study: Relationships with cognitive dysfunction and hippocampal atrophy. </w:t>
      </w:r>
      <w:r w:rsidRPr="00896AA2">
        <w:rPr>
          <w:rFonts w:ascii="Times New Roman" w:eastAsia="Times New Roman" w:hAnsi="Times New Roman" w:cs="Times New Roman"/>
          <w:i/>
          <w:iCs/>
          <w:sz w:val="24"/>
          <w:szCs w:val="24"/>
        </w:rPr>
        <w:t>Journal of Alzheimer’s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43</w:t>
      </w:r>
      <w:r w:rsidRPr="00896AA2">
        <w:rPr>
          <w:rFonts w:ascii="Times New Roman" w:eastAsia="Times New Roman" w:hAnsi="Times New Roman" w:cs="Times New Roman"/>
          <w:sz w:val="24"/>
          <w:szCs w:val="24"/>
        </w:rPr>
        <w:t>(3), 785–796.</w:t>
      </w:r>
    </w:p>
    <w:p w14:paraId="3EFD999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McPherson, S., &amp; Cummings, J. (2009). Neuropsychological aspects of Parkinson’s disease and Parkinsonism.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199–222). Oxford University Press.</w:t>
      </w:r>
    </w:p>
    <w:p w14:paraId="21FAAB9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McVittie, C., McKinlay, A., Della Sala, S., &amp; MacPherson, S. E. (2014). The dog that didn’t growl: The interactional negotiation of momentary confabulations. </w:t>
      </w:r>
      <w:r w:rsidRPr="00896AA2">
        <w:rPr>
          <w:rFonts w:ascii="Times New Roman" w:eastAsia="Times New Roman" w:hAnsi="Times New Roman" w:cs="Times New Roman"/>
          <w:i/>
          <w:iCs/>
          <w:sz w:val="24"/>
          <w:szCs w:val="24"/>
        </w:rPr>
        <w:t>Memory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(7), 824–838. </w:t>
      </w:r>
      <w:hyperlink r:id="rId3833" w:history="1">
        <w:r w:rsidRPr="00896AA2">
          <w:rPr>
            <w:rFonts w:ascii="Times New Roman" w:eastAsia="Times New Roman" w:hAnsi="Times New Roman" w:cs="Times New Roman"/>
            <w:color w:val="0000FF"/>
            <w:sz w:val="24"/>
            <w:szCs w:val="24"/>
            <w:u w:val="single"/>
          </w:rPr>
          <w:t>https://doi.org/10.1080/09658211.2013.838629</w:t>
        </w:r>
      </w:hyperlink>
    </w:p>
    <w:p w14:paraId="2896C4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Meade, M. L., &amp; Roediger III, H. L. (2006). The effect of forced recall on illusory recollection in younger and older adults. </w:t>
      </w:r>
      <w:r w:rsidRPr="00896AA2">
        <w:rPr>
          <w:rFonts w:ascii="Times New Roman" w:eastAsia="Times New Roman" w:hAnsi="Times New Roman" w:cs="Times New Roman"/>
          <w:i/>
          <w:iCs/>
          <w:sz w:val="24"/>
          <w:szCs w:val="24"/>
        </w:rPr>
        <w:t>The American Journal of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(3), 433–462. </w:t>
      </w:r>
      <w:hyperlink r:id="rId3834" w:history="1">
        <w:r w:rsidRPr="00896AA2">
          <w:rPr>
            <w:rFonts w:ascii="Times New Roman" w:eastAsia="Times New Roman" w:hAnsi="Times New Roman" w:cs="Times New Roman"/>
            <w:color w:val="0000FF"/>
            <w:sz w:val="24"/>
            <w:szCs w:val="24"/>
            <w:u w:val="single"/>
          </w:rPr>
          <w:t>https://doi.org/10.2307/20445352</w:t>
        </w:r>
      </w:hyperlink>
    </w:p>
    <w:p w14:paraId="3AF2101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Medalia, A., &amp; Richardson, R. (2005). What predicts a good response to cognitive remediation interventions?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31</w:t>
      </w:r>
      <w:r w:rsidRPr="00896AA2">
        <w:rPr>
          <w:rFonts w:ascii="Times New Roman" w:eastAsia="Times New Roman" w:hAnsi="Times New Roman" w:cs="Times New Roman"/>
          <w:sz w:val="24"/>
          <w:szCs w:val="24"/>
        </w:rPr>
        <w:t xml:space="preserve">(4), 942–953. </w:t>
      </w:r>
      <w:hyperlink r:id="rId3835" w:history="1">
        <w:r w:rsidRPr="00896AA2">
          <w:rPr>
            <w:rFonts w:ascii="Times New Roman" w:eastAsia="Times New Roman" w:hAnsi="Times New Roman" w:cs="Times New Roman"/>
            <w:color w:val="0000FF"/>
            <w:sz w:val="24"/>
            <w:szCs w:val="24"/>
            <w:u w:val="single"/>
          </w:rPr>
          <w:t>https://doi.org/10.1093/schbul/sbi045</w:t>
        </w:r>
      </w:hyperlink>
    </w:p>
    <w:p w14:paraId="7360900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Mega, M. S., &amp; Alexander, M. P. (1994). Subcortical aphasia: The core profile of capsulostriatal infarction.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44</w:t>
      </w:r>
      <w:r w:rsidRPr="00896AA2">
        <w:rPr>
          <w:rFonts w:ascii="Times New Roman" w:eastAsia="Times New Roman" w:hAnsi="Times New Roman" w:cs="Times New Roman"/>
          <w:sz w:val="24"/>
          <w:szCs w:val="24"/>
        </w:rPr>
        <w:t xml:space="preserve">(10), 1824–1829. </w:t>
      </w:r>
      <w:hyperlink r:id="rId3836" w:history="1">
        <w:r w:rsidRPr="00896AA2">
          <w:rPr>
            <w:rFonts w:ascii="Times New Roman" w:eastAsia="Times New Roman" w:hAnsi="Times New Roman" w:cs="Times New Roman"/>
            <w:color w:val="0000FF"/>
            <w:sz w:val="24"/>
            <w:szCs w:val="24"/>
            <w:u w:val="single"/>
          </w:rPr>
          <w:t>https://doi.org/10.1212/WNL.44.10.1824</w:t>
        </w:r>
      </w:hyperlink>
    </w:p>
    <w:p w14:paraId="5A8273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Meghdadi, A. H., Karić, M. S., McConnell, M., Rupp, G., Richard, C., Hamilton, J., Salat, D., &amp; Berka, C. (2021). Resting state EEG biomarkers of cognitive decline associated with Alzheimer’s disease and mild cognitive impairment. </w:t>
      </w:r>
      <w:r w:rsidRPr="00896AA2">
        <w:rPr>
          <w:rFonts w:ascii="Times New Roman" w:eastAsia="Times New Roman" w:hAnsi="Times New Roman" w:cs="Times New Roman"/>
          <w:i/>
          <w:iCs/>
          <w:sz w:val="24"/>
          <w:szCs w:val="24"/>
        </w:rPr>
        <w:t>PLoS ONE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(2). </w:t>
      </w:r>
      <w:hyperlink r:id="rId3837" w:history="1">
        <w:r w:rsidRPr="00896AA2">
          <w:rPr>
            <w:rFonts w:ascii="Times New Roman" w:eastAsia="Times New Roman" w:hAnsi="Times New Roman" w:cs="Times New Roman"/>
            <w:color w:val="0000FF"/>
            <w:sz w:val="24"/>
            <w:szCs w:val="24"/>
            <w:u w:val="single"/>
          </w:rPr>
          <w:t>https://doi.org/10.1371/journal.pone.0244180</w:t>
        </w:r>
      </w:hyperlink>
    </w:p>
    <w:p w14:paraId="59A5151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Mehrjerdi, Z. A., Bakhshi, S., Jafari, S., Moradi, A., &amp; Ekhtiari, H. (2011). The impact of hydrochloride heroin on mental flexibility, abstract reasoning, impulsivity, and attention. </w:t>
      </w:r>
      <w:r w:rsidRPr="00896AA2">
        <w:rPr>
          <w:rFonts w:ascii="Times New Roman" w:eastAsia="Times New Roman" w:hAnsi="Times New Roman" w:cs="Times New Roman"/>
          <w:i/>
          <w:iCs/>
          <w:sz w:val="24"/>
          <w:szCs w:val="24"/>
        </w:rPr>
        <w:t>Basic and Clinical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w:t>
      </w:r>
      <w:r w:rsidRPr="00896AA2">
        <w:rPr>
          <w:rFonts w:ascii="Times New Roman" w:eastAsia="Times New Roman" w:hAnsi="Times New Roman" w:cs="Times New Roman"/>
          <w:sz w:val="24"/>
          <w:szCs w:val="24"/>
        </w:rPr>
        <w:t>(3), 27–32.</w:t>
      </w:r>
    </w:p>
    <w:p w14:paraId="2D27320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Mehta, U. M., Thirthalli, J., Kumar, C. N., Kumar, J. K., &amp; Gangadhar, B. N. (2014). Negative symptoms mediate the influence of theory of mind on functional status in schizophrenia. </w:t>
      </w:r>
      <w:r w:rsidRPr="00896AA2">
        <w:rPr>
          <w:rFonts w:ascii="Times New Roman" w:eastAsia="Times New Roman" w:hAnsi="Times New Roman" w:cs="Times New Roman"/>
          <w:i/>
          <w:iCs/>
          <w:sz w:val="24"/>
          <w:szCs w:val="24"/>
        </w:rPr>
        <w:t>Social Psychiatry and Psychiatric Epidemiology: The International Journal for Research in Social and Genetic Epidemiology and Mental Health Services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49</w:t>
      </w:r>
      <w:r w:rsidRPr="00896AA2">
        <w:rPr>
          <w:rFonts w:ascii="Times New Roman" w:eastAsia="Times New Roman" w:hAnsi="Times New Roman" w:cs="Times New Roman"/>
          <w:sz w:val="24"/>
          <w:szCs w:val="24"/>
        </w:rPr>
        <w:t xml:space="preserve">(7), 1151–1156. </w:t>
      </w:r>
      <w:hyperlink r:id="rId3838" w:history="1">
        <w:r w:rsidRPr="00896AA2">
          <w:rPr>
            <w:rFonts w:ascii="Times New Roman" w:eastAsia="Times New Roman" w:hAnsi="Times New Roman" w:cs="Times New Roman"/>
            <w:color w:val="0000FF"/>
            <w:sz w:val="24"/>
            <w:szCs w:val="24"/>
            <w:u w:val="single"/>
          </w:rPr>
          <w:t>https://doi.org/10.1007/s00127-013-0804-x</w:t>
        </w:r>
      </w:hyperlink>
    </w:p>
    <w:p w14:paraId="53B811F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Mehta, U. M., Thirthalli, J., Kumar, C. N., Kumar, J. K., Keshavan, M. S., &amp; Gangadhar, B. N. (2013). Schizophrenia patients experience substantial social cognition deficits across multiple domains in remission. </w:t>
      </w:r>
      <w:r w:rsidRPr="00896AA2">
        <w:rPr>
          <w:rFonts w:ascii="Times New Roman" w:eastAsia="Times New Roman" w:hAnsi="Times New Roman" w:cs="Times New Roman"/>
          <w:i/>
          <w:iCs/>
          <w:sz w:val="24"/>
          <w:szCs w:val="24"/>
        </w:rPr>
        <w:t>Asian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(4), 324–329. </w:t>
      </w:r>
      <w:hyperlink r:id="rId3839" w:history="1">
        <w:r w:rsidRPr="00896AA2">
          <w:rPr>
            <w:rFonts w:ascii="Times New Roman" w:eastAsia="Times New Roman" w:hAnsi="Times New Roman" w:cs="Times New Roman"/>
            <w:color w:val="0000FF"/>
            <w:sz w:val="24"/>
            <w:szCs w:val="24"/>
            <w:u w:val="single"/>
          </w:rPr>
          <w:t>https://doi.org/10.1016/j.ajp.2013.02.001</w:t>
        </w:r>
      </w:hyperlink>
    </w:p>
    <w:p w14:paraId="5796D4A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 G., Liu, H., &amp; Liu, Z. (2009). A comparative study of Wisconsin Card Sorting Test in patients with bipolar disorders and their unaffected siblings. [A comparative study of Wisconsin Card Sorting Test in patients with bipolar disorders and their unaffected siblings.].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(1), 64–65.</w:t>
      </w:r>
    </w:p>
    <w:p w14:paraId="5068D7E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Mei-Hua, L., De-Li, S., &amp; Xue-Jun, B. (2006). A Research on Relations between Mental Health and Cognitive Flexibility of Middle School Students. [A Research on Relations between Mental Health and Cognitive Flexibility of Middle School Students.]. </w:t>
      </w:r>
      <w:r w:rsidRPr="00896AA2">
        <w:rPr>
          <w:rFonts w:ascii="Times New Roman" w:eastAsia="Times New Roman" w:hAnsi="Times New Roman" w:cs="Times New Roman"/>
          <w:i/>
          <w:iCs/>
          <w:sz w:val="24"/>
          <w:szCs w:val="24"/>
        </w:rPr>
        <w:t>Chinese Journal of Clinical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(3), 308–309.</w:t>
      </w:r>
    </w:p>
    <w:p w14:paraId="613036A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Meihua, L., &amp; Xuejun, B. (2005). A Comparative Study of the Results of Working Memory and the Reading of Scientific Essays of College Students with Different Cognitive Flexibility. [A Comparative Study of the Results of Working Memory and the Reading of Scientific Essays of College Stude. </w:t>
      </w:r>
      <w:r w:rsidRPr="00896AA2">
        <w:rPr>
          <w:rFonts w:ascii="Times New Roman" w:eastAsia="Times New Roman" w:hAnsi="Times New Roman" w:cs="Times New Roman"/>
          <w:i/>
          <w:iCs/>
          <w:sz w:val="24"/>
          <w:szCs w:val="24"/>
        </w:rPr>
        <w:t>Psychological Science (China)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(2), 329–331.</w:t>
      </w:r>
    </w:p>
    <w:p w14:paraId="11AC735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Meijer, J. H., Swets, M., Keeman, S., Nieman, D. H., &amp; Meijer, C. J. (2013). Is a schizo-obsessive subtype associated with cognitive impairment? Results from a large cross-sectional study in patients with psychosis and their unaffected relatives. </w:t>
      </w:r>
      <w:r w:rsidRPr="00896AA2">
        <w:rPr>
          <w:rFonts w:ascii="Times New Roman" w:eastAsia="Times New Roman" w:hAnsi="Times New Roman" w:cs="Times New Roman"/>
          <w:i/>
          <w:iCs/>
          <w:sz w:val="24"/>
          <w:szCs w:val="24"/>
        </w:rPr>
        <w:t>Journal of Nervous and Mental Disease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201</w:t>
      </w:r>
      <w:r w:rsidRPr="00896AA2">
        <w:rPr>
          <w:rFonts w:ascii="Times New Roman" w:eastAsia="Times New Roman" w:hAnsi="Times New Roman" w:cs="Times New Roman"/>
          <w:sz w:val="24"/>
          <w:szCs w:val="24"/>
        </w:rPr>
        <w:t xml:space="preserve">(1), 30–35. </w:t>
      </w:r>
      <w:hyperlink r:id="rId3840" w:history="1">
        <w:r w:rsidRPr="00896AA2">
          <w:rPr>
            <w:rFonts w:ascii="Times New Roman" w:eastAsia="Times New Roman" w:hAnsi="Times New Roman" w:cs="Times New Roman"/>
            <w:color w:val="0000FF"/>
            <w:sz w:val="24"/>
            <w:szCs w:val="24"/>
            <w:u w:val="single"/>
          </w:rPr>
          <w:t>https://doi.org/10.1097/NMD.0b013e31827ab2b2</w:t>
        </w:r>
      </w:hyperlink>
    </w:p>
    <w:p w14:paraId="1FD0A01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Meijers, J., Harte, J. M., Jonker, F. A., &amp; Meynen, G. (2015). Prison brain? Executive dysfunction in prisoners. </w:t>
      </w:r>
      <w:r w:rsidRPr="00896AA2">
        <w:rPr>
          <w:rFonts w:ascii="Times New Roman" w:eastAsia="Times New Roman" w:hAnsi="Times New Roman" w:cs="Times New Roman"/>
          <w:i/>
          <w:iCs/>
          <w:sz w:val="24"/>
          <w:szCs w:val="24"/>
        </w:rPr>
        <w:t>Frontiers in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w:t>
      </w:r>
    </w:p>
    <w:p w14:paraId="2199D4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Meilán, J. J. G., Pérez, E., Arana, J. M., &amp; Carro, J. (2009). Neuropsychological and cognitive factors in event-based prospective memory performance in adolescents and young people with an intellectual disability. </w:t>
      </w:r>
      <w:r w:rsidRPr="00896AA2">
        <w:rPr>
          <w:rFonts w:ascii="Times New Roman" w:eastAsia="Times New Roman" w:hAnsi="Times New Roman" w:cs="Times New Roman"/>
          <w:i/>
          <w:iCs/>
          <w:sz w:val="24"/>
          <w:szCs w:val="24"/>
        </w:rPr>
        <w:t>British Journal of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55</w:t>
      </w:r>
      <w:r w:rsidRPr="00896AA2">
        <w:rPr>
          <w:rFonts w:ascii="Times New Roman" w:eastAsia="Times New Roman" w:hAnsi="Times New Roman" w:cs="Times New Roman"/>
          <w:sz w:val="24"/>
          <w:szCs w:val="24"/>
        </w:rPr>
        <w:t xml:space="preserve">(108,Pt1), 61–75. </w:t>
      </w:r>
      <w:hyperlink r:id="rId3841" w:history="1">
        <w:r w:rsidRPr="00896AA2">
          <w:rPr>
            <w:rFonts w:ascii="Times New Roman" w:eastAsia="Times New Roman" w:hAnsi="Times New Roman" w:cs="Times New Roman"/>
            <w:color w:val="0000FF"/>
            <w:sz w:val="24"/>
            <w:szCs w:val="24"/>
            <w:u w:val="single"/>
          </w:rPr>
          <w:t>https://doi.org/10.1179/096979509799103179</w:t>
        </w:r>
      </w:hyperlink>
    </w:p>
    <w:p w14:paraId="2587111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Meiner, Z., Newman, J. P., Rosenman, H., Soffer, D., &amp; Steiner, I. (2005). Frontotemporal dementia with ubiquitinated neuronal inclusions and visuospatial impairment.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(3), 478–480. </w:t>
      </w:r>
      <w:hyperlink r:id="rId3842" w:history="1">
        <w:r w:rsidRPr="00896AA2">
          <w:rPr>
            <w:rFonts w:ascii="Times New Roman" w:eastAsia="Times New Roman" w:hAnsi="Times New Roman" w:cs="Times New Roman"/>
            <w:color w:val="0000FF"/>
            <w:sz w:val="24"/>
            <w:szCs w:val="24"/>
            <w:u w:val="single"/>
          </w:rPr>
          <w:t>https://doi.org/10.1212/01.wnl.0000171347.28558.56</w:t>
        </w:r>
      </w:hyperlink>
    </w:p>
    <w:p w14:paraId="49A6DE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Meiran, N., Diamond, G. M., Toder, D., &amp; Nemets, B. (2011). Cognitive rigidity in unipolar depression and obsessive compulsive disorder: Examination of task switching, Stroop, working memory updating and post-conflict adaptation. </w:t>
      </w:r>
      <w:r w:rsidRPr="00896AA2">
        <w:rPr>
          <w:rFonts w:ascii="Times New Roman" w:eastAsia="Times New Roman" w:hAnsi="Times New Roman" w:cs="Times New Roman"/>
          <w:i/>
          <w:iCs/>
          <w:sz w:val="24"/>
          <w:szCs w:val="24"/>
        </w:rPr>
        <w:t>Psychiatry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185</w:t>
      </w:r>
      <w:r w:rsidRPr="00896AA2">
        <w:rPr>
          <w:rFonts w:ascii="Times New Roman" w:eastAsia="Times New Roman" w:hAnsi="Times New Roman" w:cs="Times New Roman"/>
          <w:sz w:val="24"/>
          <w:szCs w:val="24"/>
        </w:rPr>
        <w:t xml:space="preserve">(1–2), 149–156. </w:t>
      </w:r>
      <w:hyperlink r:id="rId3843" w:history="1">
        <w:r w:rsidRPr="00896AA2">
          <w:rPr>
            <w:rFonts w:ascii="Times New Roman" w:eastAsia="Times New Roman" w:hAnsi="Times New Roman" w:cs="Times New Roman"/>
            <w:color w:val="0000FF"/>
            <w:sz w:val="24"/>
            <w:szCs w:val="24"/>
            <w:u w:val="single"/>
          </w:rPr>
          <w:t>https://doi.org/10.1016/j.psychres.2010.04.044</w:t>
        </w:r>
      </w:hyperlink>
    </w:p>
    <w:p w14:paraId="21C58EF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Mejia, S., Pineda, D., Alvarez, L. M., &amp; Ardila, A. (1998). Individual differences in memory and executive function abilities during normal aging. </w:t>
      </w:r>
      <w:r w:rsidRPr="00896AA2">
        <w:rPr>
          <w:rFonts w:ascii="Times New Roman" w:eastAsia="Times New Roman" w:hAnsi="Times New Roman" w:cs="Times New Roman"/>
          <w:i/>
          <w:iCs/>
          <w:sz w:val="24"/>
          <w:szCs w:val="24"/>
        </w:rPr>
        <w:t>International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95</w:t>
      </w:r>
      <w:r w:rsidRPr="00896AA2">
        <w:rPr>
          <w:rFonts w:ascii="Times New Roman" w:eastAsia="Times New Roman" w:hAnsi="Times New Roman" w:cs="Times New Roman"/>
          <w:sz w:val="24"/>
          <w:szCs w:val="24"/>
        </w:rPr>
        <w:t xml:space="preserve">(3–4), 271–284. </w:t>
      </w:r>
      <w:hyperlink r:id="rId3844" w:history="1">
        <w:r w:rsidRPr="00896AA2">
          <w:rPr>
            <w:rFonts w:ascii="Times New Roman" w:eastAsia="Times New Roman" w:hAnsi="Times New Roman" w:cs="Times New Roman"/>
            <w:color w:val="0000FF"/>
            <w:sz w:val="24"/>
            <w:szCs w:val="24"/>
            <w:u w:val="single"/>
          </w:rPr>
          <w:t>https://doi.org/10.3109/00207459809003345</w:t>
        </w:r>
      </w:hyperlink>
    </w:p>
    <w:p w14:paraId="330B5C2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Melkas, S., Vataja, R., Oksala, N. K. J., Jokinen, H., Pohjasvaara, T., Oksala, A., Leppävuori, A., Kaste, M., Karhunen, P. J., &amp; Erkinjuntti, T. (2010). Depression–executive dysfunction syndrome relates to poor poststroke survival. </w:t>
      </w:r>
      <w:r w:rsidRPr="00896AA2">
        <w:rPr>
          <w:rFonts w:ascii="Times New Roman" w:eastAsia="Times New Roman" w:hAnsi="Times New Roman" w:cs="Times New Roman"/>
          <w:i/>
          <w:iCs/>
          <w:sz w:val="24"/>
          <w:szCs w:val="24"/>
        </w:rPr>
        <w:t>The American Journal of Geriatric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(11), 1007–1016. </w:t>
      </w:r>
      <w:hyperlink r:id="rId3845" w:history="1">
        <w:r w:rsidRPr="00896AA2">
          <w:rPr>
            <w:rFonts w:ascii="Times New Roman" w:eastAsia="Times New Roman" w:hAnsi="Times New Roman" w:cs="Times New Roman"/>
            <w:color w:val="0000FF"/>
            <w:sz w:val="24"/>
            <w:szCs w:val="24"/>
            <w:u w:val="single"/>
          </w:rPr>
          <w:t>https://doi.org/10.1097/JGP.0b013e3181d695d7</w:t>
        </w:r>
      </w:hyperlink>
    </w:p>
    <w:p w14:paraId="55DAE84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Melkumova, K. A., Podchufarova, E. V., &amp; Yakhno, N. N. (2011). Characteristics of cognitive functions in patients with chronic spinal pain. </w:t>
      </w:r>
      <w:r w:rsidRPr="00896AA2">
        <w:rPr>
          <w:rFonts w:ascii="Times New Roman" w:eastAsia="Times New Roman" w:hAnsi="Times New Roman" w:cs="Times New Roman"/>
          <w:i/>
          <w:iCs/>
          <w:sz w:val="24"/>
          <w:szCs w:val="24"/>
        </w:rPr>
        <w:t>Neuroscience and Behavioral 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(1), 42–46. </w:t>
      </w:r>
      <w:hyperlink r:id="rId3846" w:history="1">
        <w:r w:rsidRPr="00896AA2">
          <w:rPr>
            <w:rFonts w:ascii="Times New Roman" w:eastAsia="Times New Roman" w:hAnsi="Times New Roman" w:cs="Times New Roman"/>
            <w:color w:val="0000FF"/>
            <w:sz w:val="24"/>
            <w:szCs w:val="24"/>
            <w:u w:val="single"/>
          </w:rPr>
          <w:t>https://doi.org/10.1007/s11055-010-9376-3</w:t>
        </w:r>
      </w:hyperlink>
    </w:p>
    <w:p w14:paraId="4A0E012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Mellanby, J., &amp; Theobald, K. (2014). </w:t>
      </w:r>
      <w:r w:rsidRPr="00896AA2">
        <w:rPr>
          <w:rFonts w:ascii="Times New Roman" w:eastAsia="Times New Roman" w:hAnsi="Times New Roman" w:cs="Times New Roman"/>
          <w:i/>
          <w:iCs/>
          <w:sz w:val="24"/>
          <w:szCs w:val="24"/>
        </w:rPr>
        <w:t>Education and learning: An evidence-based approach.</w:t>
      </w:r>
      <w:r w:rsidRPr="00896AA2">
        <w:rPr>
          <w:rFonts w:ascii="Times New Roman" w:eastAsia="Times New Roman" w:hAnsi="Times New Roman" w:cs="Times New Roman"/>
          <w:sz w:val="24"/>
          <w:szCs w:val="24"/>
        </w:rPr>
        <w:t xml:space="preserve"> (pp. xiv, 422). Wiley-Blackwell.</w:t>
      </w:r>
    </w:p>
    <w:p w14:paraId="164E02D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Melloni, M., Urbistondo, C., Sedeño, L., Gelormini, C., Kichic, R., &amp; Ibanez, A. (2012). The extended fronto-striatal model of obsessive compulsive disorder: Convergence from event-related potentials, neuropsychology and neuroimaging.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 </w:t>
      </w:r>
      <w:hyperlink r:id="rId3847" w:history="1">
        <w:r w:rsidRPr="00896AA2">
          <w:rPr>
            <w:rFonts w:ascii="Times New Roman" w:eastAsia="Times New Roman" w:hAnsi="Times New Roman" w:cs="Times New Roman"/>
            <w:color w:val="0000FF"/>
            <w:sz w:val="24"/>
            <w:szCs w:val="24"/>
            <w:u w:val="single"/>
          </w:rPr>
          <w:t>https://doi.org/10.3389/fnhum.2012.00259</w:t>
        </w:r>
      </w:hyperlink>
    </w:p>
    <w:p w14:paraId="49CFC04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Meltzer, H. Y., Bobo, W. V., Roy, A., Jayathilake, K., Chen, Y., Ertugrul, A., Yağcıoğlu, A. E. A., &amp; Small, J. G. (2008). A randomized, double-blind comparison of clozapine and high-dose olanzapine in treatment-resistant patients with schizophrenia. </w:t>
      </w:r>
      <w:r w:rsidRPr="00896AA2">
        <w:rPr>
          <w:rFonts w:ascii="Times New Roman" w:eastAsia="Times New Roman" w:hAnsi="Times New Roman" w:cs="Times New Roman"/>
          <w:i/>
          <w:iCs/>
          <w:sz w:val="24"/>
          <w:szCs w:val="24"/>
        </w:rPr>
        <w:t>The Journal of Clinical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69</w:t>
      </w:r>
      <w:r w:rsidRPr="00896AA2">
        <w:rPr>
          <w:rFonts w:ascii="Times New Roman" w:eastAsia="Times New Roman" w:hAnsi="Times New Roman" w:cs="Times New Roman"/>
          <w:sz w:val="24"/>
          <w:szCs w:val="24"/>
        </w:rPr>
        <w:t xml:space="preserve">(2), 274–285. </w:t>
      </w:r>
      <w:hyperlink r:id="rId3848" w:history="1">
        <w:r w:rsidRPr="00896AA2">
          <w:rPr>
            <w:rFonts w:ascii="Times New Roman" w:eastAsia="Times New Roman" w:hAnsi="Times New Roman" w:cs="Times New Roman"/>
            <w:color w:val="0000FF"/>
            <w:sz w:val="24"/>
            <w:szCs w:val="24"/>
            <w:u w:val="single"/>
          </w:rPr>
          <w:t>https://doi.org/10.4088/JCP.v69n0214</w:t>
        </w:r>
      </w:hyperlink>
    </w:p>
    <w:p w14:paraId="420F68C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Meltzer, H. Y., Share, D. B., Jayathilake, K., Salomon, R. M., &amp; Lee, M. A. (2020). Lurasidone improves psychopathology and cognition in treatment-resistant schizophrenia. </w:t>
      </w:r>
      <w:r w:rsidRPr="00896AA2">
        <w:rPr>
          <w:rFonts w:ascii="Times New Roman" w:eastAsia="Times New Roman" w:hAnsi="Times New Roman" w:cs="Times New Roman"/>
          <w:i/>
          <w:iCs/>
          <w:sz w:val="24"/>
          <w:szCs w:val="24"/>
        </w:rPr>
        <w:t>Journal of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(3), 240–249. </w:t>
      </w:r>
      <w:hyperlink r:id="rId3849" w:history="1">
        <w:r w:rsidRPr="00896AA2">
          <w:rPr>
            <w:rFonts w:ascii="Times New Roman" w:eastAsia="Times New Roman" w:hAnsi="Times New Roman" w:cs="Times New Roman"/>
            <w:color w:val="0000FF"/>
            <w:sz w:val="24"/>
            <w:szCs w:val="24"/>
            <w:u w:val="single"/>
          </w:rPr>
          <w:t>https://doi.org/10.1097/JCP.0000000000001205</w:t>
        </w:r>
      </w:hyperlink>
    </w:p>
    <w:p w14:paraId="6432D0F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Memari, A. H., Mirfazeli, F. S., Kordi, R., Shayestehfar, M., Moshayedi, P., &amp; Mansournia, M. A. (2017). Cognitive and social functioning are connected to physical activity behavior in children with autism spectrum disorder. </w:t>
      </w:r>
      <w:r w:rsidRPr="00896AA2">
        <w:rPr>
          <w:rFonts w:ascii="Times New Roman" w:eastAsia="Times New Roman" w:hAnsi="Times New Roman" w:cs="Times New Roman"/>
          <w:i/>
          <w:iCs/>
          <w:sz w:val="24"/>
          <w:szCs w:val="24"/>
        </w:rPr>
        <w:t>Research in Autism Spectrum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33</w:t>
      </w:r>
      <w:r w:rsidRPr="00896AA2">
        <w:rPr>
          <w:rFonts w:ascii="Times New Roman" w:eastAsia="Times New Roman" w:hAnsi="Times New Roman" w:cs="Times New Roman"/>
          <w:sz w:val="24"/>
          <w:szCs w:val="24"/>
        </w:rPr>
        <w:t xml:space="preserve">, 21–28. </w:t>
      </w:r>
      <w:hyperlink r:id="rId3850" w:history="1">
        <w:r w:rsidRPr="00896AA2">
          <w:rPr>
            <w:rFonts w:ascii="Times New Roman" w:eastAsia="Times New Roman" w:hAnsi="Times New Roman" w:cs="Times New Roman"/>
            <w:color w:val="0000FF"/>
            <w:sz w:val="24"/>
            <w:szCs w:val="24"/>
            <w:u w:val="single"/>
          </w:rPr>
          <w:t>https://doi.org/10.1016/j.rasd.2016.10.001</w:t>
        </w:r>
      </w:hyperlink>
    </w:p>
    <w:p w14:paraId="0C8667B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Memari, A. H., Ziaee, V., Shayestehfar, M., Ghanouni, P., Mansournia, M. A., &amp; Moshayedi, P. (2013). Cognitive flexibility impairments in children with autism spectrum disorders: Links to age, gender and child outcomes. </w:t>
      </w:r>
      <w:r w:rsidRPr="00896AA2">
        <w:rPr>
          <w:rFonts w:ascii="Times New Roman" w:eastAsia="Times New Roman" w:hAnsi="Times New Roman" w:cs="Times New Roman"/>
          <w:i/>
          <w:iCs/>
          <w:sz w:val="24"/>
          <w:szCs w:val="24"/>
        </w:rPr>
        <w:t>Research in Developmental Disabilities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(10), 3218–3225. </w:t>
      </w:r>
      <w:hyperlink r:id="rId3851" w:history="1">
        <w:r w:rsidRPr="00896AA2">
          <w:rPr>
            <w:rFonts w:ascii="Times New Roman" w:eastAsia="Times New Roman" w:hAnsi="Times New Roman" w:cs="Times New Roman"/>
            <w:color w:val="0000FF"/>
            <w:sz w:val="24"/>
            <w:szCs w:val="24"/>
            <w:u w:val="single"/>
          </w:rPr>
          <w:t>https://doi.org/10.1016/j.ridd.2013.06.033</w:t>
        </w:r>
      </w:hyperlink>
    </w:p>
    <w:p w14:paraId="1B44EFB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Mencacci, C., Durbano, F., &amp; Anniverno, R. (2001). Cognitività, riabilitazione e reintegrazione sociale: Contributo degli antipsicotici di nuova generazione. [Cognitive functions, rehabilitation, and psychosocial reintegration: The role of second generation antipsychotics.]. </w:t>
      </w:r>
      <w:r w:rsidRPr="00896AA2">
        <w:rPr>
          <w:rFonts w:ascii="Times New Roman" w:eastAsia="Times New Roman" w:hAnsi="Times New Roman" w:cs="Times New Roman"/>
          <w:i/>
          <w:iCs/>
          <w:sz w:val="24"/>
          <w:szCs w:val="24"/>
        </w:rPr>
        <w:t>Rivista Di Psichiatria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36</w:t>
      </w:r>
      <w:r w:rsidRPr="00896AA2">
        <w:rPr>
          <w:rFonts w:ascii="Times New Roman" w:eastAsia="Times New Roman" w:hAnsi="Times New Roman" w:cs="Times New Roman"/>
          <w:sz w:val="24"/>
          <w:szCs w:val="24"/>
        </w:rPr>
        <w:t>(1), 28–37.</w:t>
      </w:r>
    </w:p>
    <w:p w14:paraId="3EACB6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Méndez, M., Arias, N., Menéndez, J. R., Villar, J. R., Neira, Á., Romano, P. V., Núñez, J. C., &amp; Arias, J. L. (2014). Pre-university tuition in science and technology can influence executive functions. </w:t>
      </w:r>
      <w:r w:rsidRPr="00896AA2">
        <w:rPr>
          <w:rFonts w:ascii="Times New Roman" w:eastAsia="Times New Roman" w:hAnsi="Times New Roman" w:cs="Times New Roman"/>
          <w:i/>
          <w:iCs/>
          <w:sz w:val="24"/>
          <w:szCs w:val="24"/>
        </w:rPr>
        <w:t>Electronic Journal of Research in Educational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w:t>
      </w:r>
      <w:r w:rsidRPr="00896AA2">
        <w:rPr>
          <w:rFonts w:ascii="Times New Roman" w:eastAsia="Times New Roman" w:hAnsi="Times New Roman" w:cs="Times New Roman"/>
          <w:sz w:val="24"/>
          <w:szCs w:val="24"/>
        </w:rPr>
        <w:t>(3), 747–762.</w:t>
      </w:r>
    </w:p>
    <w:p w14:paraId="02E77AC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Mendez, M. F., &amp; Shapira, J. S. (2014). Kissing or “osculation” in frontotemporal dementia. </w:t>
      </w:r>
      <w:r w:rsidRPr="00896AA2">
        <w:rPr>
          <w:rFonts w:ascii="Times New Roman" w:eastAsia="Times New Roman" w:hAnsi="Times New Roman" w:cs="Times New Roman"/>
          <w:i/>
          <w:iCs/>
          <w:sz w:val="24"/>
          <w:szCs w:val="24"/>
        </w:rPr>
        <w:t>The Journal of Neuropsychiatry and Clinical Neurosciences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(3), 258–261. </w:t>
      </w:r>
      <w:hyperlink r:id="rId3852" w:history="1">
        <w:r w:rsidRPr="00896AA2">
          <w:rPr>
            <w:rFonts w:ascii="Times New Roman" w:eastAsia="Times New Roman" w:hAnsi="Times New Roman" w:cs="Times New Roman"/>
            <w:color w:val="0000FF"/>
            <w:sz w:val="24"/>
            <w:szCs w:val="24"/>
            <w:u w:val="single"/>
          </w:rPr>
          <w:t>https://doi.org/10.1176/appi.neuropsych.13060139</w:t>
        </w:r>
      </w:hyperlink>
    </w:p>
    <w:p w14:paraId="055E364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Meneses, R. F., Pais-Ribeiro, J. L., da Silva, A. M., &amp; Giovagnoli, A. R. (2009). Neuropsychological predictors of quality of life in focal epilepsy. </w:t>
      </w:r>
      <w:r w:rsidRPr="00896AA2">
        <w:rPr>
          <w:rFonts w:ascii="Times New Roman" w:eastAsia="Times New Roman" w:hAnsi="Times New Roman" w:cs="Times New Roman"/>
          <w:i/>
          <w:iCs/>
          <w:sz w:val="24"/>
          <w:szCs w:val="24"/>
        </w:rPr>
        <w:t>Seizure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(5), 313–319. </w:t>
      </w:r>
      <w:hyperlink r:id="rId3853" w:history="1">
        <w:r w:rsidRPr="00896AA2">
          <w:rPr>
            <w:rFonts w:ascii="Times New Roman" w:eastAsia="Times New Roman" w:hAnsi="Times New Roman" w:cs="Times New Roman"/>
            <w:color w:val="0000FF"/>
            <w:sz w:val="24"/>
            <w:szCs w:val="24"/>
            <w:u w:val="single"/>
          </w:rPr>
          <w:t>https://doi.org/10.1016/j.seizure.2008.11.010</w:t>
        </w:r>
      </w:hyperlink>
    </w:p>
    <w:p w14:paraId="0A542F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Menezes, A., Dias, N. M., Trevisan, B. T., Carreiro, L. R. R., &amp; Seabra, A. G. (2015). Intervention for executive functions in attention deficit and hyperactivity disorder. </w:t>
      </w:r>
      <w:r w:rsidRPr="00896AA2">
        <w:rPr>
          <w:rFonts w:ascii="Times New Roman" w:eastAsia="Times New Roman" w:hAnsi="Times New Roman" w:cs="Times New Roman"/>
          <w:i/>
          <w:iCs/>
          <w:sz w:val="24"/>
          <w:szCs w:val="24"/>
        </w:rPr>
        <w:t>Arquivos de Neuro-Psiquiatria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73</w:t>
      </w:r>
      <w:r w:rsidRPr="00896AA2">
        <w:rPr>
          <w:rFonts w:ascii="Times New Roman" w:eastAsia="Times New Roman" w:hAnsi="Times New Roman" w:cs="Times New Roman"/>
          <w:sz w:val="24"/>
          <w:szCs w:val="24"/>
        </w:rPr>
        <w:t xml:space="preserve">(3), 227–236. </w:t>
      </w:r>
      <w:hyperlink r:id="rId3854" w:history="1">
        <w:r w:rsidRPr="00896AA2">
          <w:rPr>
            <w:rFonts w:ascii="Times New Roman" w:eastAsia="Times New Roman" w:hAnsi="Times New Roman" w:cs="Times New Roman"/>
            <w:color w:val="0000FF"/>
            <w:sz w:val="24"/>
            <w:szCs w:val="24"/>
            <w:u w:val="single"/>
          </w:rPr>
          <w:t>https://doi.org/10.1590/0004-282X20140225</w:t>
        </w:r>
      </w:hyperlink>
    </w:p>
    <w:p w14:paraId="5AA216A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Menger, F., Morris, J., &amp; Salis, C. (2017). Internet use in aphasia: A case study viewed through the International Classification of Functioning, Disability, and Health. </w:t>
      </w:r>
      <w:r w:rsidRPr="00896AA2">
        <w:rPr>
          <w:rFonts w:ascii="Times New Roman" w:eastAsia="Times New Roman" w:hAnsi="Times New Roman" w:cs="Times New Roman"/>
          <w:i/>
          <w:iCs/>
          <w:sz w:val="24"/>
          <w:szCs w:val="24"/>
        </w:rPr>
        <w:t>Topics in Language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37</w:t>
      </w:r>
      <w:r w:rsidRPr="00896AA2">
        <w:rPr>
          <w:rFonts w:ascii="Times New Roman" w:eastAsia="Times New Roman" w:hAnsi="Times New Roman" w:cs="Times New Roman"/>
          <w:sz w:val="24"/>
          <w:szCs w:val="24"/>
        </w:rPr>
        <w:t>(1), 6–24.</w:t>
      </w:r>
    </w:p>
    <w:p w14:paraId="174C867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Menghini, D., Finzi, A., Benassi, M., Bolzani, R., Facoetti, A., Giovagnoli, S., Ruffino, M., &amp; Vicari, S. (2010). Different underlying neurocognitive deficits in developmental dyslexia: A comparative study.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48</w:t>
      </w:r>
      <w:r w:rsidRPr="00896AA2">
        <w:rPr>
          <w:rFonts w:ascii="Times New Roman" w:eastAsia="Times New Roman" w:hAnsi="Times New Roman" w:cs="Times New Roman"/>
          <w:sz w:val="24"/>
          <w:szCs w:val="24"/>
        </w:rPr>
        <w:t xml:space="preserve">(4), 863–872. </w:t>
      </w:r>
      <w:hyperlink r:id="rId3855" w:history="1">
        <w:r w:rsidRPr="00896AA2">
          <w:rPr>
            <w:rFonts w:ascii="Times New Roman" w:eastAsia="Times New Roman" w:hAnsi="Times New Roman" w:cs="Times New Roman"/>
            <w:color w:val="0000FF"/>
            <w:sz w:val="24"/>
            <w:szCs w:val="24"/>
            <w:u w:val="single"/>
          </w:rPr>
          <w:t>https://doi.org/10.1016/j.neuropsychologia.2009.11.003</w:t>
        </w:r>
      </w:hyperlink>
    </w:p>
    <w:p w14:paraId="6DCEC50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Mengotti, P., Corradi-Dell’Acqua, C., Negri, G. A. L., Ukmar, M., Pesavento, V., &amp; Rumiati, R. I. (2013). Selective imitation impairments differentially interact with language processing.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136</w:t>
      </w:r>
      <w:r w:rsidRPr="00896AA2">
        <w:rPr>
          <w:rFonts w:ascii="Times New Roman" w:eastAsia="Times New Roman" w:hAnsi="Times New Roman" w:cs="Times New Roman"/>
          <w:sz w:val="24"/>
          <w:szCs w:val="24"/>
        </w:rPr>
        <w:t xml:space="preserve">(8), 2602–2618. </w:t>
      </w:r>
      <w:hyperlink r:id="rId3856" w:history="1">
        <w:r w:rsidRPr="00896AA2">
          <w:rPr>
            <w:rFonts w:ascii="Times New Roman" w:eastAsia="Times New Roman" w:hAnsi="Times New Roman" w:cs="Times New Roman"/>
            <w:color w:val="0000FF"/>
            <w:sz w:val="24"/>
            <w:szCs w:val="24"/>
            <w:u w:val="single"/>
          </w:rPr>
          <w:t>https://doi.org/10.1093/brain/awt194</w:t>
        </w:r>
      </w:hyperlink>
    </w:p>
    <w:p w14:paraId="3069F39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Menichelli, A., Machetta, F., Zadini, A., &amp; Semenza, C. (2012). Allographic agraphia for single letters. </w:t>
      </w:r>
      <w:r w:rsidRPr="00896AA2">
        <w:rPr>
          <w:rFonts w:ascii="Times New Roman" w:eastAsia="Times New Roman" w:hAnsi="Times New Roman" w:cs="Times New Roman"/>
          <w:i/>
          <w:iCs/>
          <w:sz w:val="24"/>
          <w:szCs w:val="24"/>
        </w:rPr>
        <w:t>Behavioural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25</w:t>
      </w:r>
      <w:r w:rsidRPr="00896AA2">
        <w:rPr>
          <w:rFonts w:ascii="Times New Roman" w:eastAsia="Times New Roman" w:hAnsi="Times New Roman" w:cs="Times New Roman"/>
          <w:sz w:val="24"/>
          <w:szCs w:val="24"/>
        </w:rPr>
        <w:t xml:space="preserve">(3), 233–244. </w:t>
      </w:r>
      <w:hyperlink r:id="rId3857" w:history="1">
        <w:r w:rsidRPr="00896AA2">
          <w:rPr>
            <w:rFonts w:ascii="Times New Roman" w:eastAsia="Times New Roman" w:hAnsi="Times New Roman" w:cs="Times New Roman"/>
            <w:color w:val="0000FF"/>
            <w:sz w:val="24"/>
            <w:szCs w:val="24"/>
            <w:u w:val="single"/>
          </w:rPr>
          <w:t>https://doi.org/10.1155/2012/658024</w:t>
        </w:r>
      </w:hyperlink>
    </w:p>
    <w:p w14:paraId="6BB3A5E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Menon, C. V., Jahn, D. R., Mauer, C. B., &amp; O’Bryant, S. E. (2013). Executive functioning as a mediator of the relationship between premorbid verbal intelligence and health risk behaviors in a rural-dwelling cohort: A Project FRONTIER study.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 xml:space="preserve">(2), 169–179. </w:t>
      </w:r>
      <w:hyperlink r:id="rId3858" w:history="1">
        <w:r w:rsidRPr="00896AA2">
          <w:rPr>
            <w:rFonts w:ascii="Times New Roman" w:eastAsia="Times New Roman" w:hAnsi="Times New Roman" w:cs="Times New Roman"/>
            <w:color w:val="0000FF"/>
            <w:sz w:val="24"/>
            <w:szCs w:val="24"/>
            <w:u w:val="single"/>
          </w:rPr>
          <w:t>https://doi.org/10.1093/arclin/acs102</w:t>
        </w:r>
      </w:hyperlink>
    </w:p>
    <w:p w14:paraId="65F1516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Mercadillo, R. E., Galvez, V., Díaz, R., Hernández-Castillo, C. R., Campos-Romo, A., Boll, M.-C., Pasaye, E. H., &amp; Fernandez-Ruiz, J. (2014). Parahippocampal gray matter alterations in Spinocerebellar Ataxia Type 2 identified by voxel based morphometry. </w:t>
      </w:r>
      <w:r w:rsidRPr="00896AA2">
        <w:rPr>
          <w:rFonts w:ascii="Times New Roman" w:eastAsia="Times New Roman" w:hAnsi="Times New Roman" w:cs="Times New Roman"/>
          <w:i/>
          <w:iCs/>
          <w:sz w:val="24"/>
          <w:szCs w:val="24"/>
        </w:rPr>
        <w:t>Journal of the Neurological Sciences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347</w:t>
      </w:r>
      <w:r w:rsidRPr="00896AA2">
        <w:rPr>
          <w:rFonts w:ascii="Times New Roman" w:eastAsia="Times New Roman" w:hAnsi="Times New Roman" w:cs="Times New Roman"/>
          <w:sz w:val="24"/>
          <w:szCs w:val="24"/>
        </w:rPr>
        <w:t xml:space="preserve">(1–2), 50–58. </w:t>
      </w:r>
      <w:hyperlink r:id="rId3859" w:history="1">
        <w:r w:rsidRPr="00896AA2">
          <w:rPr>
            <w:rFonts w:ascii="Times New Roman" w:eastAsia="Times New Roman" w:hAnsi="Times New Roman" w:cs="Times New Roman"/>
            <w:color w:val="0000FF"/>
            <w:sz w:val="24"/>
            <w:szCs w:val="24"/>
            <w:u w:val="single"/>
          </w:rPr>
          <w:t>https://doi.org/10.1016/j.jns.2014.09.018</w:t>
        </w:r>
      </w:hyperlink>
    </w:p>
    <w:p w14:paraId="75CCFA97"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Mercan, S., Uluğ, B., &amp; Göğüş, A. (1999). Alkol bağimliliğinda bilişsel işlevler ve sosyal yetiyitimi. [Cognitive functions and social disability in alcohol dependency.].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(1), 3–12.</w:t>
      </w:r>
    </w:p>
    <w:p w14:paraId="53B65DB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Mercer, K. D., Selby, M. J., &amp; McClung, J. (2005). The Effects of Psychopathy, Violence and Drug Use on Neuropsychological Functioning. </w:t>
      </w:r>
      <w:r w:rsidRPr="00896AA2">
        <w:rPr>
          <w:rFonts w:ascii="Times New Roman" w:eastAsia="Times New Roman" w:hAnsi="Times New Roman" w:cs="Times New Roman"/>
          <w:i/>
          <w:iCs/>
          <w:sz w:val="24"/>
          <w:szCs w:val="24"/>
        </w:rPr>
        <w:t>American Journal of Forensic 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23</w:t>
      </w:r>
      <w:r w:rsidRPr="00896AA2">
        <w:rPr>
          <w:rFonts w:ascii="Times New Roman" w:eastAsia="Times New Roman" w:hAnsi="Times New Roman" w:cs="Times New Roman"/>
          <w:sz w:val="24"/>
          <w:szCs w:val="24"/>
        </w:rPr>
        <w:t>(3), 65–86.</w:t>
      </w:r>
    </w:p>
    <w:p w14:paraId="16359D2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Merello, M., Sabe, L., Teson, A., Migliorelli, R., Petracchi, M., Leiguarda, R., &amp; Starkstein, S. (1994). Extrapyramidalism in Alzheimer’s disease: Prevalence, psychiatric, and neuropsychological correlates.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(12), 1503–1509. </w:t>
      </w:r>
      <w:hyperlink r:id="rId3860" w:history="1">
        <w:r w:rsidRPr="00896AA2">
          <w:rPr>
            <w:rFonts w:ascii="Times New Roman" w:eastAsia="Times New Roman" w:hAnsi="Times New Roman" w:cs="Times New Roman"/>
            <w:color w:val="0000FF"/>
            <w:sz w:val="24"/>
            <w:szCs w:val="24"/>
            <w:u w:val="single"/>
          </w:rPr>
          <w:t>https://doi.org/10.1136/jnnp.57.12.1503</w:t>
        </w:r>
      </w:hyperlink>
    </w:p>
    <w:p w14:paraId="21D9D38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Merhav, M., Karni, A., &amp; Gilboa, A. (2014). Neocortical catastrophic interference in healthy and amnesic adults: A paradoxical matter of time. </w:t>
      </w:r>
      <w:r w:rsidRPr="00896AA2">
        <w:rPr>
          <w:rFonts w:ascii="Times New Roman" w:eastAsia="Times New Roman" w:hAnsi="Times New Roman" w:cs="Times New Roman"/>
          <w:i/>
          <w:iCs/>
          <w:sz w:val="24"/>
          <w:szCs w:val="24"/>
        </w:rPr>
        <w:t>Hippocampus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(12), 1653–1662. </w:t>
      </w:r>
      <w:hyperlink r:id="rId3861" w:history="1">
        <w:r w:rsidRPr="00896AA2">
          <w:rPr>
            <w:rFonts w:ascii="Times New Roman" w:eastAsia="Times New Roman" w:hAnsi="Times New Roman" w:cs="Times New Roman"/>
            <w:color w:val="0000FF"/>
            <w:sz w:val="24"/>
            <w:szCs w:val="24"/>
            <w:u w:val="single"/>
          </w:rPr>
          <w:t>https://doi.org/10.1002/hipo.22353</w:t>
        </w:r>
      </w:hyperlink>
    </w:p>
    <w:p w14:paraId="3C95BCE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Meri, R., Farah, R., &amp; Horowitz-Kraus, T. (2020). Children with dyslexia utilize both top-down and bottom-up networks equally in contextual and isolated word reading.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147</w:t>
      </w:r>
      <w:r w:rsidRPr="00896AA2">
        <w:rPr>
          <w:rFonts w:ascii="Times New Roman" w:eastAsia="Times New Roman" w:hAnsi="Times New Roman" w:cs="Times New Roman"/>
          <w:sz w:val="24"/>
          <w:szCs w:val="24"/>
        </w:rPr>
        <w:t xml:space="preserve">. </w:t>
      </w:r>
      <w:hyperlink r:id="rId3862" w:history="1">
        <w:r w:rsidRPr="00896AA2">
          <w:rPr>
            <w:rFonts w:ascii="Times New Roman" w:eastAsia="Times New Roman" w:hAnsi="Times New Roman" w:cs="Times New Roman"/>
            <w:color w:val="0000FF"/>
            <w:sz w:val="24"/>
            <w:szCs w:val="24"/>
            <w:u w:val="single"/>
          </w:rPr>
          <w:t>https://doi.org/10.1016/j.neuropsychologia.2020.107574</w:t>
        </w:r>
      </w:hyperlink>
    </w:p>
    <w:p w14:paraId="577C232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Meristo, M., &amp; Hjelmquist, E. (2009). Executive functions and theory-of-mind among deaf children: Different routes to understanding other minds? </w:t>
      </w:r>
      <w:r w:rsidRPr="00896AA2">
        <w:rPr>
          <w:rFonts w:ascii="Times New Roman" w:eastAsia="Times New Roman" w:hAnsi="Times New Roman" w:cs="Times New Roman"/>
          <w:i/>
          <w:iCs/>
          <w:sz w:val="24"/>
          <w:szCs w:val="24"/>
        </w:rPr>
        <w:t>Journal of Cognition and Development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10</w:t>
      </w:r>
      <w:r w:rsidRPr="00896AA2">
        <w:rPr>
          <w:rFonts w:ascii="Times New Roman" w:eastAsia="Times New Roman" w:hAnsi="Times New Roman" w:cs="Times New Roman"/>
          <w:sz w:val="24"/>
          <w:szCs w:val="24"/>
        </w:rPr>
        <w:t xml:space="preserve">(1–2), 67–91. </w:t>
      </w:r>
      <w:hyperlink r:id="rId3863" w:history="1">
        <w:r w:rsidRPr="00896AA2">
          <w:rPr>
            <w:rFonts w:ascii="Times New Roman" w:eastAsia="Times New Roman" w:hAnsi="Times New Roman" w:cs="Times New Roman"/>
            <w:color w:val="0000FF"/>
            <w:sz w:val="24"/>
            <w:szCs w:val="24"/>
            <w:u w:val="single"/>
          </w:rPr>
          <w:t>https://doi.org/10.1080/15248370902966552</w:t>
        </w:r>
      </w:hyperlink>
    </w:p>
    <w:p w14:paraId="505EB04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Merola, A., Rizzi, L., Zibetti, M., Artusi, C. A., Montanaro, E., Angrisano, S., Lanotte, M., Rizzone, M. G., &amp; Lopiano, L. (2014). Medical therapy and subthalamic deep brain stimulation in advanced Parkinson’s disease: A different long-term outcome?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85</w:t>
      </w:r>
      <w:r w:rsidRPr="00896AA2">
        <w:rPr>
          <w:rFonts w:ascii="Times New Roman" w:eastAsia="Times New Roman" w:hAnsi="Times New Roman" w:cs="Times New Roman"/>
          <w:sz w:val="24"/>
          <w:szCs w:val="24"/>
        </w:rPr>
        <w:t xml:space="preserve">(5), 552–559. </w:t>
      </w:r>
      <w:hyperlink r:id="rId3864" w:history="1">
        <w:r w:rsidRPr="00896AA2">
          <w:rPr>
            <w:rFonts w:ascii="Times New Roman" w:eastAsia="Times New Roman" w:hAnsi="Times New Roman" w:cs="Times New Roman"/>
            <w:color w:val="0000FF"/>
            <w:sz w:val="24"/>
            <w:szCs w:val="24"/>
            <w:u w:val="single"/>
          </w:rPr>
          <w:t>https://doi.org/10.1136/jnnp-2013-305271</w:t>
        </w:r>
      </w:hyperlink>
    </w:p>
    <w:p w14:paraId="5B9E0E8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Merriam, E. P., Thase, M. E., Haas, G. L., Keshavan, M. S., &amp; Sweeney, J. A. (1999). Prefrontal cortical dysfunction in depression determined by Wisconsin Card Sorting Test performance.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156</w:t>
      </w:r>
      <w:r w:rsidRPr="00896AA2">
        <w:rPr>
          <w:rFonts w:ascii="Times New Roman" w:eastAsia="Times New Roman" w:hAnsi="Times New Roman" w:cs="Times New Roman"/>
          <w:sz w:val="24"/>
          <w:szCs w:val="24"/>
        </w:rPr>
        <w:t>(5), 780–782.</w:t>
      </w:r>
    </w:p>
    <w:p w14:paraId="599F3BD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Merrick, E. E. (2003). </w:t>
      </w:r>
      <w:r w:rsidRPr="00896AA2">
        <w:rPr>
          <w:rFonts w:ascii="Times New Roman" w:eastAsia="Times New Roman" w:hAnsi="Times New Roman" w:cs="Times New Roman"/>
          <w:i/>
          <w:iCs/>
          <w:sz w:val="24"/>
          <w:szCs w:val="24"/>
        </w:rPr>
        <w:t>The relationship between diabetes self-management and executive functions in non-insulin-dependent diabetes mellitus.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(11-B), 5546–5546.</w:t>
      </w:r>
    </w:p>
    <w:p w14:paraId="4CC84E5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Merrick, E. E., Donders, J., &amp; Wiersum, M. (2003). Validity of the WCST-64 After Traumatic Brain Injury.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17</w:t>
      </w:r>
      <w:r w:rsidRPr="00896AA2">
        <w:rPr>
          <w:rFonts w:ascii="Times New Roman" w:eastAsia="Times New Roman" w:hAnsi="Times New Roman" w:cs="Times New Roman"/>
          <w:sz w:val="24"/>
          <w:szCs w:val="24"/>
        </w:rPr>
        <w:t xml:space="preserve">(2), 153–158. </w:t>
      </w:r>
      <w:hyperlink r:id="rId3865" w:history="1">
        <w:r w:rsidRPr="00896AA2">
          <w:rPr>
            <w:rFonts w:ascii="Times New Roman" w:eastAsia="Times New Roman" w:hAnsi="Times New Roman" w:cs="Times New Roman"/>
            <w:color w:val="0000FF"/>
            <w:sz w:val="24"/>
            <w:szCs w:val="24"/>
            <w:u w:val="single"/>
          </w:rPr>
          <w:t>https://doi.org/10.1076/clin.17.2.153.16512</w:t>
        </w:r>
      </w:hyperlink>
    </w:p>
    <w:p w14:paraId="3B71931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Merrin, E. L., Floyd, T. C., Deicken, R. F., &amp; Lane, P. A. (2006). The Wisconsin Card Sort Test and P300 responses to novel auditory stimuli in schizophrenic patients. </w:t>
      </w:r>
      <w:r w:rsidRPr="00896AA2">
        <w:rPr>
          <w:rFonts w:ascii="Times New Roman" w:eastAsia="Times New Roman" w:hAnsi="Times New Roman" w:cs="Times New Roman"/>
          <w:i/>
          <w:iCs/>
          <w:sz w:val="24"/>
          <w:szCs w:val="24"/>
        </w:rPr>
        <w:t>International Journal of Psychophysiology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(3), 330–348. </w:t>
      </w:r>
      <w:hyperlink r:id="rId3866" w:history="1">
        <w:r w:rsidRPr="00896AA2">
          <w:rPr>
            <w:rFonts w:ascii="Times New Roman" w:eastAsia="Times New Roman" w:hAnsi="Times New Roman" w:cs="Times New Roman"/>
            <w:color w:val="0000FF"/>
            <w:sz w:val="24"/>
            <w:szCs w:val="24"/>
            <w:u w:val="single"/>
          </w:rPr>
          <w:t>https://doi.org/10.1016/j.ijpsycho.2005.05.012</w:t>
        </w:r>
      </w:hyperlink>
    </w:p>
    <w:p w14:paraId="0F253B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Merritt, V. C., Clark, A. L., Crocker, L. D., Sorg, S. F., Werhane, M. L., Bondi, M. W., Schiehser, D. M., &amp; Delano-Wood, L. (2018). Repetitive mild traumatic brain injury in military veterans is associated with increased neuropsychological intra-individual variability. </w:t>
      </w:r>
      <w:r w:rsidRPr="00896AA2">
        <w:rPr>
          <w:rFonts w:ascii="Times New Roman" w:eastAsia="Times New Roman" w:hAnsi="Times New Roman" w:cs="Times New Roman"/>
          <w:i/>
          <w:iCs/>
          <w:sz w:val="24"/>
          <w:szCs w:val="24"/>
        </w:rPr>
        <w:t>Neuropsychologia</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119</w:t>
      </w:r>
      <w:r w:rsidRPr="00896AA2">
        <w:rPr>
          <w:rFonts w:ascii="Times New Roman" w:eastAsia="Times New Roman" w:hAnsi="Times New Roman" w:cs="Times New Roman"/>
          <w:sz w:val="24"/>
          <w:szCs w:val="24"/>
        </w:rPr>
        <w:t xml:space="preserve">, 340–348. </w:t>
      </w:r>
      <w:hyperlink r:id="rId3867" w:history="1">
        <w:r w:rsidRPr="00896AA2">
          <w:rPr>
            <w:rFonts w:ascii="Times New Roman" w:eastAsia="Times New Roman" w:hAnsi="Times New Roman" w:cs="Times New Roman"/>
            <w:color w:val="0000FF"/>
            <w:sz w:val="24"/>
            <w:szCs w:val="24"/>
            <w:u w:val="single"/>
          </w:rPr>
          <w:t>https://doi.org/10.1016/j.neuropsychologia.2018.08.026</w:t>
        </w:r>
      </w:hyperlink>
    </w:p>
    <w:p w14:paraId="225C8C1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Merritt, V. C., Clark, A. L., Sorg, S. F., Evangelista, N. D., Werhane, M. L., Bondi, M. W., Schiehser, D. M., &amp; Delano-Wood, L. (2018). Apolipoprotein E (APOE) ε4 genotype is associated with reduced neuropsychological performance in military veterans with a history of mild traumatic brain injury.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(10), 1050–1061. </w:t>
      </w:r>
      <w:hyperlink r:id="rId3868" w:history="1">
        <w:r w:rsidRPr="00896AA2">
          <w:rPr>
            <w:rFonts w:ascii="Times New Roman" w:eastAsia="Times New Roman" w:hAnsi="Times New Roman" w:cs="Times New Roman"/>
            <w:color w:val="0000FF"/>
            <w:sz w:val="24"/>
            <w:szCs w:val="24"/>
            <w:u w:val="single"/>
          </w:rPr>
          <w:t>https://doi.org/10.1080/13803395.2018.1508555</w:t>
        </w:r>
      </w:hyperlink>
    </w:p>
    <w:p w14:paraId="5377E8A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Merritt, V. C., Jurick, S. M., Crocker, L. D., Hoffman, S. N., Keller, A. V., DeFord, N., &amp; Jak, A. J. (2019). Evaluation of objective and subjective clinical outcomes in combat veterans with and without mild TBI and PTSD: A four-group design. </w:t>
      </w:r>
      <w:r w:rsidRPr="00896AA2">
        <w:rPr>
          <w:rFonts w:ascii="Times New Roman" w:eastAsia="Times New Roman" w:hAnsi="Times New Roman" w:cs="Times New Roman"/>
          <w:i/>
          <w:iCs/>
          <w:sz w:val="24"/>
          <w:szCs w:val="24"/>
        </w:rPr>
        <w:t>Journal of Clinical and Experimental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41</w:t>
      </w:r>
      <w:r w:rsidRPr="00896AA2">
        <w:rPr>
          <w:rFonts w:ascii="Times New Roman" w:eastAsia="Times New Roman" w:hAnsi="Times New Roman" w:cs="Times New Roman"/>
          <w:sz w:val="24"/>
          <w:szCs w:val="24"/>
        </w:rPr>
        <w:t xml:space="preserve">(7), 665–679. </w:t>
      </w:r>
      <w:hyperlink r:id="rId3869" w:history="1">
        <w:r w:rsidRPr="00896AA2">
          <w:rPr>
            <w:rFonts w:ascii="Times New Roman" w:eastAsia="Times New Roman" w:hAnsi="Times New Roman" w:cs="Times New Roman"/>
            <w:color w:val="0000FF"/>
            <w:sz w:val="24"/>
            <w:szCs w:val="24"/>
            <w:u w:val="single"/>
          </w:rPr>
          <w:t>https://doi.org/10.1080/13803395.2019.1610161</w:t>
        </w:r>
      </w:hyperlink>
    </w:p>
    <w:p w14:paraId="3A266B9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Merwin, M. M. (1998). </w:t>
      </w:r>
      <w:r w:rsidRPr="00896AA2">
        <w:rPr>
          <w:rFonts w:ascii="Times New Roman" w:eastAsia="Times New Roman" w:hAnsi="Times New Roman" w:cs="Times New Roman"/>
          <w:i/>
          <w:iCs/>
          <w:sz w:val="24"/>
          <w:szCs w:val="24"/>
        </w:rPr>
        <w:t>Explicit and implicit memory in older adults: Neuropsychological correlates.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(9-B), 5165–5165.</w:t>
      </w:r>
    </w:p>
    <w:p w14:paraId="6EFAA73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Mesaros, S., Rocca, M. A., Riccitelli, G., Pagani, E., Rovaris, M., Caputo, D., Ghezzi, A., Capra, R., Bertolotto, A., Comi, G., &amp; Filippi, M. (2009). Corpus callosum damage and cognitive dysfunction in benign MS. </w:t>
      </w:r>
      <w:r w:rsidRPr="00896AA2">
        <w:rPr>
          <w:rFonts w:ascii="Times New Roman" w:eastAsia="Times New Roman" w:hAnsi="Times New Roman" w:cs="Times New Roman"/>
          <w:i/>
          <w:iCs/>
          <w:sz w:val="24"/>
          <w:szCs w:val="24"/>
        </w:rPr>
        <w:t>Human Brain Mapping</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30</w:t>
      </w:r>
      <w:r w:rsidRPr="00896AA2">
        <w:rPr>
          <w:rFonts w:ascii="Times New Roman" w:eastAsia="Times New Roman" w:hAnsi="Times New Roman" w:cs="Times New Roman"/>
          <w:sz w:val="24"/>
          <w:szCs w:val="24"/>
        </w:rPr>
        <w:t xml:space="preserve">(8), 2656–2666. </w:t>
      </w:r>
      <w:hyperlink r:id="rId3870" w:history="1">
        <w:r w:rsidRPr="00896AA2">
          <w:rPr>
            <w:rFonts w:ascii="Times New Roman" w:eastAsia="Times New Roman" w:hAnsi="Times New Roman" w:cs="Times New Roman"/>
            <w:color w:val="0000FF"/>
            <w:sz w:val="24"/>
            <w:szCs w:val="24"/>
            <w:u w:val="single"/>
          </w:rPr>
          <w:t>https://doi.org/10.1002/hbm.20692</w:t>
        </w:r>
      </w:hyperlink>
    </w:p>
    <w:p w14:paraId="20EEED7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Mesaros, S., Rovaris, M., Pagani, E., Pulizzi, A., Caputo, D., Ghezzi, A., Bertolotto, A., Capra, R., Falautano, M., Martinelli, V., Comi, G., &amp; Filippi, M. (2008). A magnetic resonance imaging voxel-based morphometry study of regional gray matter atrophy in patients with benign multiple sclerosis. </w:t>
      </w:r>
      <w:r w:rsidRPr="00896AA2">
        <w:rPr>
          <w:rFonts w:ascii="Times New Roman" w:eastAsia="Times New Roman" w:hAnsi="Times New Roman" w:cs="Times New Roman"/>
          <w:i/>
          <w:iCs/>
          <w:sz w:val="24"/>
          <w:szCs w:val="24"/>
        </w:rPr>
        <w:t>Archives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65</w:t>
      </w:r>
      <w:r w:rsidRPr="00896AA2">
        <w:rPr>
          <w:rFonts w:ascii="Times New Roman" w:eastAsia="Times New Roman" w:hAnsi="Times New Roman" w:cs="Times New Roman"/>
          <w:sz w:val="24"/>
          <w:szCs w:val="24"/>
        </w:rPr>
        <w:t xml:space="preserve">(9), 1223–1230. </w:t>
      </w:r>
      <w:hyperlink r:id="rId3871" w:history="1">
        <w:r w:rsidRPr="00896AA2">
          <w:rPr>
            <w:rFonts w:ascii="Times New Roman" w:eastAsia="Times New Roman" w:hAnsi="Times New Roman" w:cs="Times New Roman"/>
            <w:color w:val="0000FF"/>
            <w:sz w:val="24"/>
            <w:szCs w:val="24"/>
            <w:u w:val="single"/>
          </w:rPr>
          <w:t>https://doi.org/10.1001/archneur.65.9.1223</w:t>
        </w:r>
      </w:hyperlink>
    </w:p>
    <w:p w14:paraId="0919808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Messerly, J., &amp; Marceaux, J. C. (2020). Examination of the reliability and validity of the NAB Naming Test in a diverse clinical sample. </w:t>
      </w:r>
      <w:r w:rsidRPr="00896AA2">
        <w:rPr>
          <w:rFonts w:ascii="Times New Roman" w:eastAsia="Times New Roman" w:hAnsi="Times New Roman" w:cs="Times New Roman"/>
          <w:i/>
          <w:iCs/>
          <w:sz w:val="24"/>
          <w:szCs w:val="24"/>
        </w:rPr>
        <w:t>The Clinical Neuropsychologist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34</w:t>
      </w:r>
      <w:r w:rsidRPr="00896AA2">
        <w:rPr>
          <w:rFonts w:ascii="Times New Roman" w:eastAsia="Times New Roman" w:hAnsi="Times New Roman" w:cs="Times New Roman"/>
          <w:sz w:val="24"/>
          <w:szCs w:val="24"/>
        </w:rPr>
        <w:t xml:space="preserve">(2), 406–422. </w:t>
      </w:r>
      <w:hyperlink r:id="rId3872" w:history="1">
        <w:r w:rsidRPr="00896AA2">
          <w:rPr>
            <w:rFonts w:ascii="Times New Roman" w:eastAsia="Times New Roman" w:hAnsi="Times New Roman" w:cs="Times New Roman"/>
            <w:color w:val="0000FF"/>
            <w:sz w:val="24"/>
            <w:szCs w:val="24"/>
            <w:u w:val="single"/>
          </w:rPr>
          <w:t>https://doi.org/10.1080/13854046.2019.1635647</w:t>
        </w:r>
      </w:hyperlink>
    </w:p>
    <w:p w14:paraId="32652DD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Messina, B., Fuentes, D., Tavares, H., Abdo, C. H. N., &amp; Scanavino, M. de T. (2017). Executive functioning of sexually compulsive and non-sexually compulsive men before and after watching an erotic video. </w:t>
      </w:r>
      <w:r w:rsidRPr="00896AA2">
        <w:rPr>
          <w:rFonts w:ascii="Times New Roman" w:eastAsia="Times New Roman" w:hAnsi="Times New Roman" w:cs="Times New Roman"/>
          <w:i/>
          <w:iCs/>
          <w:sz w:val="24"/>
          <w:szCs w:val="24"/>
        </w:rPr>
        <w:t>Journal of Sexual Medicine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14</w:t>
      </w:r>
      <w:r w:rsidRPr="00896AA2">
        <w:rPr>
          <w:rFonts w:ascii="Times New Roman" w:eastAsia="Times New Roman" w:hAnsi="Times New Roman" w:cs="Times New Roman"/>
          <w:sz w:val="24"/>
          <w:szCs w:val="24"/>
        </w:rPr>
        <w:t xml:space="preserve">(3), 347–354. </w:t>
      </w:r>
      <w:hyperlink r:id="rId3873" w:history="1">
        <w:r w:rsidRPr="00896AA2">
          <w:rPr>
            <w:rFonts w:ascii="Times New Roman" w:eastAsia="Times New Roman" w:hAnsi="Times New Roman" w:cs="Times New Roman"/>
            <w:color w:val="0000FF"/>
            <w:sz w:val="24"/>
            <w:szCs w:val="24"/>
            <w:u w:val="single"/>
          </w:rPr>
          <w:t>https://doi.org/10.1016/j.jsxm.2016.12.235</w:t>
        </w:r>
      </w:hyperlink>
    </w:p>
    <w:p w14:paraId="6E9B4B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Methqal, I., Pinsard, B., Amiri, M., Wilson, M. A., Monchi, O., Provost, J.-S., &amp; Joanette, Y. (2017). Age-related brain activation changes during rule repetition in word-matching. </w:t>
      </w:r>
      <w:r w:rsidRPr="00896AA2">
        <w:rPr>
          <w:rFonts w:ascii="Times New Roman" w:eastAsia="Times New Roman" w:hAnsi="Times New Roman" w:cs="Times New Roman"/>
          <w:i/>
          <w:iCs/>
          <w:sz w:val="24"/>
          <w:szCs w:val="24"/>
        </w:rPr>
        <w:t>Frontiers in Human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 xml:space="preserve">. </w:t>
      </w:r>
      <w:hyperlink r:id="rId3874" w:history="1">
        <w:r w:rsidRPr="00896AA2">
          <w:rPr>
            <w:rFonts w:ascii="Times New Roman" w:eastAsia="Times New Roman" w:hAnsi="Times New Roman" w:cs="Times New Roman"/>
            <w:color w:val="0000FF"/>
            <w:sz w:val="24"/>
            <w:szCs w:val="24"/>
            <w:u w:val="single"/>
          </w:rPr>
          <w:t>https://doi.org/10.3389/fnhum.2017.00543</w:t>
        </w:r>
      </w:hyperlink>
    </w:p>
    <w:p w14:paraId="56B8872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Methqal, I., Provost, J.-S., Wilson, M. A., Monchi, O., Amiri, M., Pinsard, B., Ansado, J., &amp; Joanette, Y. (2017). Age-related shift in neuro-activation during a word-matching task. </w:t>
      </w:r>
      <w:r w:rsidRPr="00896AA2">
        <w:rPr>
          <w:rFonts w:ascii="Times New Roman" w:eastAsia="Times New Roman" w:hAnsi="Times New Roman" w:cs="Times New Roman"/>
          <w:i/>
          <w:iCs/>
          <w:sz w:val="24"/>
          <w:szCs w:val="24"/>
        </w:rPr>
        <w:t>Frontiers in Aging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w:t>
      </w:r>
      <w:r w:rsidRPr="00896AA2">
        <w:rPr>
          <w:rFonts w:ascii="Times New Roman" w:eastAsia="Times New Roman" w:hAnsi="Times New Roman" w:cs="Times New Roman"/>
          <w:sz w:val="24"/>
          <w:szCs w:val="24"/>
        </w:rPr>
        <w:t xml:space="preserve">. </w:t>
      </w:r>
      <w:hyperlink r:id="rId3875" w:history="1">
        <w:r w:rsidRPr="00896AA2">
          <w:rPr>
            <w:rFonts w:ascii="Times New Roman" w:eastAsia="Times New Roman" w:hAnsi="Times New Roman" w:cs="Times New Roman"/>
            <w:color w:val="0000FF"/>
            <w:sz w:val="24"/>
            <w:szCs w:val="24"/>
            <w:u w:val="single"/>
          </w:rPr>
          <w:t>https://doi.org/10.3389/fnagi.2017.00265</w:t>
        </w:r>
      </w:hyperlink>
    </w:p>
    <w:p w14:paraId="0026220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Meti̇n, Ö., Tufan, A. E., Cevher Bi̇ni̇ci̇, N., Saraçli, Ö., Atalay, A., &amp; Yolga Tahi̇roğlu, A. (2017). Executive functions in frontal lob syndrome: A case report. </w:t>
      </w:r>
      <w:r w:rsidRPr="00896AA2">
        <w:rPr>
          <w:rFonts w:ascii="Times New Roman" w:eastAsia="Times New Roman" w:hAnsi="Times New Roman" w:cs="Times New Roman"/>
          <w:i/>
          <w:iCs/>
          <w:sz w:val="24"/>
          <w:szCs w:val="24"/>
        </w:rPr>
        <w:t>Türk Psikiyatri Dergisi</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28</w:t>
      </w:r>
      <w:r w:rsidRPr="00896AA2">
        <w:rPr>
          <w:rFonts w:ascii="Times New Roman" w:eastAsia="Times New Roman" w:hAnsi="Times New Roman" w:cs="Times New Roman"/>
          <w:sz w:val="24"/>
          <w:szCs w:val="24"/>
        </w:rPr>
        <w:t>(2), 1–4.</w:t>
      </w:r>
    </w:p>
    <w:p w14:paraId="51F3991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Mettenburg, J. M., Benzinger, T. L., Shimony, J. S., Snyder, A. Z., &amp; Sheline, Y. I. (2012). Diminished performance on neuropsychological testing in late life depression is correlated with microstructural white matter abnormalities. </w:t>
      </w:r>
      <w:r w:rsidRPr="00896AA2">
        <w:rPr>
          <w:rFonts w:ascii="Times New Roman" w:eastAsia="Times New Roman" w:hAnsi="Times New Roman" w:cs="Times New Roman"/>
          <w:i/>
          <w:iCs/>
          <w:sz w:val="24"/>
          <w:szCs w:val="24"/>
        </w:rPr>
        <w:t>NeuroImage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(4), 2182–2190. </w:t>
      </w:r>
      <w:hyperlink r:id="rId3876" w:history="1">
        <w:r w:rsidRPr="00896AA2">
          <w:rPr>
            <w:rFonts w:ascii="Times New Roman" w:eastAsia="Times New Roman" w:hAnsi="Times New Roman" w:cs="Times New Roman"/>
            <w:color w:val="0000FF"/>
            <w:sz w:val="24"/>
            <w:szCs w:val="24"/>
            <w:u w:val="single"/>
          </w:rPr>
          <w:t>https://doi.org/10.1016/j.neuroimage.2012.02.044</w:t>
        </w:r>
      </w:hyperlink>
    </w:p>
    <w:p w14:paraId="09440210"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Metz, J. T., Johnson, M. D., Pliskin, N. H., &amp; Luchins, D. J. (1994). Maintenance of training effects on the Wisconsin Card Sorting Test by patients with schizophrenia or affective disorders.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151</w:t>
      </w:r>
      <w:r w:rsidRPr="00896AA2">
        <w:rPr>
          <w:rFonts w:ascii="Times New Roman" w:eastAsia="Times New Roman" w:hAnsi="Times New Roman" w:cs="Times New Roman"/>
          <w:sz w:val="24"/>
          <w:szCs w:val="24"/>
        </w:rPr>
        <w:t xml:space="preserve">(1), 120–122. </w:t>
      </w:r>
      <w:hyperlink r:id="rId3877" w:history="1">
        <w:r w:rsidRPr="00896AA2">
          <w:rPr>
            <w:rFonts w:ascii="Times New Roman" w:eastAsia="Times New Roman" w:hAnsi="Times New Roman" w:cs="Times New Roman"/>
            <w:color w:val="0000FF"/>
            <w:sz w:val="24"/>
            <w:szCs w:val="24"/>
            <w:u w:val="single"/>
          </w:rPr>
          <w:t>https://doi.org/10.1176/ajp.151.1.120</w:t>
        </w:r>
      </w:hyperlink>
    </w:p>
    <w:p w14:paraId="110FDC5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Meusel, L.-A., Grady, C. L., Ebert, P. E., &amp; Anderson, N. D. (2017). Brain–behavior relationships in source memory: Effects of age and memory ability. </w:t>
      </w:r>
      <w:r w:rsidRPr="00896AA2">
        <w:rPr>
          <w:rFonts w:ascii="Times New Roman" w:eastAsia="Times New Roman" w:hAnsi="Times New Roman" w:cs="Times New Roman"/>
          <w:i/>
          <w:iCs/>
          <w:sz w:val="24"/>
          <w:szCs w:val="24"/>
        </w:rPr>
        <w:t>Cortex: A Journal Devoted to the Study of the Nervous System and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91</w:t>
      </w:r>
      <w:r w:rsidRPr="00896AA2">
        <w:rPr>
          <w:rFonts w:ascii="Times New Roman" w:eastAsia="Times New Roman" w:hAnsi="Times New Roman" w:cs="Times New Roman"/>
          <w:sz w:val="24"/>
          <w:szCs w:val="24"/>
        </w:rPr>
        <w:t xml:space="preserve">, 221–233. </w:t>
      </w:r>
      <w:hyperlink r:id="rId3878" w:history="1">
        <w:r w:rsidRPr="00896AA2">
          <w:rPr>
            <w:rFonts w:ascii="Times New Roman" w:eastAsia="Times New Roman" w:hAnsi="Times New Roman" w:cs="Times New Roman"/>
            <w:color w:val="0000FF"/>
            <w:sz w:val="24"/>
            <w:szCs w:val="24"/>
            <w:u w:val="single"/>
          </w:rPr>
          <w:t>https://doi.org/10.1016/j.cortex.2016.12.023</w:t>
        </w:r>
      </w:hyperlink>
    </w:p>
    <w:p w14:paraId="28855FE8"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E. C., Carrión, R. E., Cornblatt, B. A., Addington, J., Cadenhead, K. S., Cannon, T. D., McGlashan, T. H., Perkins, D. O., Tsuang, M. T., Walker, E. F., Woods, S. W., Heinssen, R., &amp; Seidman, L. J. (2014). The relationship of neurocognition and negative symptoms to social and role functioning over time in individuals at clinical high risk in the first phase of the North American prodrome longitudinal study.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(6), 1452–1461. </w:t>
      </w:r>
      <w:hyperlink r:id="rId3879" w:history="1">
        <w:r w:rsidRPr="00896AA2">
          <w:rPr>
            <w:rFonts w:ascii="Times New Roman" w:eastAsia="Times New Roman" w:hAnsi="Times New Roman" w:cs="Times New Roman"/>
            <w:color w:val="0000FF"/>
            <w:sz w:val="24"/>
            <w:szCs w:val="24"/>
            <w:u w:val="single"/>
          </w:rPr>
          <w:t>https://doi.org/10.1093/schbul/sbt235</w:t>
        </w:r>
      </w:hyperlink>
    </w:p>
    <w:p w14:paraId="1FBD20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Meyer, J. H., McNeely, H. E., Sagrati, S., Boovariwala, A., Martin, K., Verhoeff, N. P. L. G., Wilson, A. A., &amp; Houle, S. (2006). Elevated Putamen D₂ Receptor Binding Potential in Major Depression With Motor Retardation: An [</w:t>
      </w:r>
      <w:r w:rsidRPr="00896AA2">
        <w:rPr>
          <w:rFonts w:ascii="Times New Roman" w:eastAsia="Times New Roman" w:hAnsi="Times New Roman" w:cs="Times New Roman"/>
          <w:sz w:val="24"/>
          <w:szCs w:val="24"/>
          <w:vertAlign w:val="superscript"/>
        </w:rPr>
        <w:t>11</w:t>
      </w:r>
      <w:r w:rsidRPr="00896AA2">
        <w:rPr>
          <w:rFonts w:ascii="Times New Roman" w:eastAsia="Times New Roman" w:hAnsi="Times New Roman" w:cs="Times New Roman"/>
          <w:sz w:val="24"/>
          <w:szCs w:val="24"/>
        </w:rPr>
        <w:t xml:space="preserve">C]Raclopride Positron Emission Tomography Study. </w:t>
      </w:r>
      <w:r w:rsidRPr="00896AA2">
        <w:rPr>
          <w:rFonts w:ascii="Times New Roman" w:eastAsia="Times New Roman" w:hAnsi="Times New Roman" w:cs="Times New Roman"/>
          <w:i/>
          <w:iCs/>
          <w:sz w:val="24"/>
          <w:szCs w:val="24"/>
        </w:rPr>
        <w:t>The American Journal of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163</w:t>
      </w:r>
      <w:r w:rsidRPr="00896AA2">
        <w:rPr>
          <w:rFonts w:ascii="Times New Roman" w:eastAsia="Times New Roman" w:hAnsi="Times New Roman" w:cs="Times New Roman"/>
          <w:sz w:val="24"/>
          <w:szCs w:val="24"/>
        </w:rPr>
        <w:t xml:space="preserve">(9), 1594–1602. </w:t>
      </w:r>
      <w:hyperlink r:id="rId3880" w:history="1">
        <w:r w:rsidRPr="00896AA2">
          <w:rPr>
            <w:rFonts w:ascii="Times New Roman" w:eastAsia="Times New Roman" w:hAnsi="Times New Roman" w:cs="Times New Roman"/>
            <w:color w:val="0000FF"/>
            <w:sz w:val="24"/>
            <w:szCs w:val="24"/>
            <w:u w:val="single"/>
          </w:rPr>
          <w:t>https://doi.org/10.1176/appi.ajp.163.9.1594</w:t>
        </w:r>
      </w:hyperlink>
    </w:p>
    <w:p w14:paraId="359E149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J. M., Nasrallah, H. A., McEvoy, J. P., Goff, D. C., Davis, S. M., Chakos, M., Patel, J. K., Keefe, R. S. E., Stroup, T. S., &amp; Lieberman, J. A. (2005). The Clinical Antipsychotic Trials of Intervention Effectiveness (CATIE) Schizophrenia Trial: Clinical comparison of subgroups with and without the metabolic syndrome. </w:t>
      </w:r>
      <w:r w:rsidRPr="00896AA2">
        <w:rPr>
          <w:rFonts w:ascii="Times New Roman" w:eastAsia="Times New Roman" w:hAnsi="Times New Roman" w:cs="Times New Roman"/>
          <w:i/>
          <w:iCs/>
          <w:sz w:val="24"/>
          <w:szCs w:val="24"/>
        </w:rPr>
        <w:t>Schizophrenia Research</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80</w:t>
      </w:r>
      <w:r w:rsidRPr="00896AA2">
        <w:rPr>
          <w:rFonts w:ascii="Times New Roman" w:eastAsia="Times New Roman" w:hAnsi="Times New Roman" w:cs="Times New Roman"/>
          <w:sz w:val="24"/>
          <w:szCs w:val="24"/>
        </w:rPr>
        <w:t xml:space="preserve">(1), 9–18. </w:t>
      </w:r>
      <w:hyperlink r:id="rId3881" w:history="1">
        <w:r w:rsidRPr="00896AA2">
          <w:rPr>
            <w:rFonts w:ascii="Times New Roman" w:eastAsia="Times New Roman" w:hAnsi="Times New Roman" w:cs="Times New Roman"/>
            <w:color w:val="0000FF"/>
            <w:sz w:val="24"/>
            <w:szCs w:val="24"/>
            <w:u w:val="single"/>
          </w:rPr>
          <w:t>https://doi.org/10.1016/j.schres.2005.07.015</w:t>
        </w:r>
      </w:hyperlink>
    </w:p>
    <w:p w14:paraId="0C885FC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S. E. (2002). </w:t>
      </w:r>
      <w:r w:rsidRPr="00896AA2">
        <w:rPr>
          <w:rFonts w:ascii="Times New Roman" w:eastAsia="Times New Roman" w:hAnsi="Times New Roman" w:cs="Times New Roman"/>
          <w:i/>
          <w:iCs/>
          <w:sz w:val="24"/>
          <w:szCs w:val="24"/>
        </w:rPr>
        <w:t>Developmental pathways to bipolar disorder: A prospective study.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63</w:t>
      </w:r>
      <w:r w:rsidRPr="00896AA2">
        <w:rPr>
          <w:rFonts w:ascii="Times New Roman" w:eastAsia="Times New Roman" w:hAnsi="Times New Roman" w:cs="Times New Roman"/>
          <w:sz w:val="24"/>
          <w:szCs w:val="24"/>
        </w:rPr>
        <w:t>(5-B), 2623–2623.</w:t>
      </w:r>
    </w:p>
    <w:p w14:paraId="66CE883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S. E., Carlson, G. A., Wiggs, E. A., Martinez, P. E., Ronsaville, D. S., Klimes-Dougan, B., Gold, P. W., &amp; Radke-Yarrow, M. (2004). A prospective study of the association among impaired executive functioning, childhood attentional problems, and the development of bipolar disorder. </w:t>
      </w:r>
      <w:r w:rsidRPr="00896AA2">
        <w:rPr>
          <w:rFonts w:ascii="Times New Roman" w:eastAsia="Times New Roman" w:hAnsi="Times New Roman" w:cs="Times New Roman"/>
          <w:i/>
          <w:iCs/>
          <w:sz w:val="24"/>
          <w:szCs w:val="24"/>
        </w:rPr>
        <w:t>Development and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w:t>
      </w:r>
      <w:r w:rsidRPr="00896AA2">
        <w:rPr>
          <w:rFonts w:ascii="Times New Roman" w:eastAsia="Times New Roman" w:hAnsi="Times New Roman" w:cs="Times New Roman"/>
          <w:sz w:val="24"/>
          <w:szCs w:val="24"/>
        </w:rPr>
        <w:t xml:space="preserve">(2), 461–476. </w:t>
      </w:r>
      <w:hyperlink r:id="rId3882" w:history="1">
        <w:r w:rsidRPr="00896AA2">
          <w:rPr>
            <w:rFonts w:ascii="Times New Roman" w:eastAsia="Times New Roman" w:hAnsi="Times New Roman" w:cs="Times New Roman"/>
            <w:color w:val="0000FF"/>
            <w:sz w:val="24"/>
            <w:szCs w:val="24"/>
            <w:u w:val="single"/>
          </w:rPr>
          <w:t>https://doi.org/10.1017/S095457940404461X</w:t>
        </w:r>
      </w:hyperlink>
    </w:p>
    <w:p w14:paraId="1C4B9D2A"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 S. E., Carlson, G. A., Wiggs, E. A., Ronsaville, D. S., Martinez, P. E., Klimes-Dougan, B., Gold, P. W., &amp; Radke-Yarrow, M. (2006). A prospective high-risk study of the association among maternal negativity, apparent frontal lobe dysfunction, and the development of bipolar disorder. </w:t>
      </w:r>
      <w:r w:rsidRPr="00896AA2">
        <w:rPr>
          <w:rFonts w:ascii="Times New Roman" w:eastAsia="Times New Roman" w:hAnsi="Times New Roman" w:cs="Times New Roman"/>
          <w:i/>
          <w:iCs/>
          <w:sz w:val="24"/>
          <w:szCs w:val="24"/>
        </w:rPr>
        <w:t>Development and Psychopathology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(2), 573–589. </w:t>
      </w:r>
      <w:hyperlink r:id="rId3883" w:history="1">
        <w:r w:rsidRPr="00896AA2">
          <w:rPr>
            <w:rFonts w:ascii="Times New Roman" w:eastAsia="Times New Roman" w:hAnsi="Times New Roman" w:cs="Times New Roman"/>
            <w:color w:val="0000FF"/>
            <w:sz w:val="24"/>
            <w:szCs w:val="24"/>
            <w:u w:val="single"/>
          </w:rPr>
          <w:t>https://doi.org/10.1017/S0954579406060299</w:t>
        </w:r>
      </w:hyperlink>
    </w:p>
    <w:p w14:paraId="1BD9142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Meyer-Lindenberg, A., Miletich, R. S., Kohn, P. D., Esposito, G., Carson, R. E., Quarantelli, M., Weinberger, D. R., &amp; Berman, K. F. (2002). Reduced prefrontal activity predicts exaggerated striatal dopaminergic function in schizophrenia. </w:t>
      </w:r>
      <w:r w:rsidRPr="00896AA2">
        <w:rPr>
          <w:rFonts w:ascii="Times New Roman" w:eastAsia="Times New Roman" w:hAnsi="Times New Roman" w:cs="Times New Roman"/>
          <w:i/>
          <w:iCs/>
          <w:sz w:val="24"/>
          <w:szCs w:val="24"/>
        </w:rPr>
        <w:t>Nature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w:t>
      </w:r>
      <w:r w:rsidRPr="00896AA2">
        <w:rPr>
          <w:rFonts w:ascii="Times New Roman" w:eastAsia="Times New Roman" w:hAnsi="Times New Roman" w:cs="Times New Roman"/>
          <w:sz w:val="24"/>
          <w:szCs w:val="24"/>
        </w:rPr>
        <w:t xml:space="preserve">(3), 267–271. </w:t>
      </w:r>
      <w:hyperlink r:id="rId3884" w:history="1">
        <w:r w:rsidRPr="00896AA2">
          <w:rPr>
            <w:rFonts w:ascii="Times New Roman" w:eastAsia="Times New Roman" w:hAnsi="Times New Roman" w:cs="Times New Roman"/>
            <w:color w:val="0000FF"/>
            <w:sz w:val="24"/>
            <w:szCs w:val="24"/>
            <w:u w:val="single"/>
          </w:rPr>
          <w:t>https://doi.org/10.1038/nn804</w:t>
        </w:r>
      </w:hyperlink>
    </w:p>
    <w:p w14:paraId="71E7B37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Meyerson, A. T., Solt, V., &amp; Bansil, R. K. (1995). Neuroscience based predictors of outcome of psychiatric rehabilitation in schizophrenia: Future directions. </w:t>
      </w:r>
      <w:r w:rsidRPr="00896AA2">
        <w:rPr>
          <w:rFonts w:ascii="Times New Roman" w:eastAsia="Times New Roman" w:hAnsi="Times New Roman" w:cs="Times New Roman"/>
          <w:i/>
          <w:iCs/>
          <w:sz w:val="24"/>
          <w:szCs w:val="24"/>
        </w:rPr>
        <w:t>Psychosocial Rehabilitation Journal</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(4), 137–144. </w:t>
      </w:r>
      <w:hyperlink r:id="rId3885" w:history="1">
        <w:r w:rsidRPr="00896AA2">
          <w:rPr>
            <w:rFonts w:ascii="Times New Roman" w:eastAsia="Times New Roman" w:hAnsi="Times New Roman" w:cs="Times New Roman"/>
            <w:color w:val="0000FF"/>
            <w:sz w:val="24"/>
            <w:szCs w:val="24"/>
            <w:u w:val="single"/>
          </w:rPr>
          <w:t>https://doi.org/10.1037/h0095474</w:t>
        </w:r>
      </w:hyperlink>
    </w:p>
    <w:p w14:paraId="60DE155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Mezquida, G., Penadés, R., Cabrera, B., Savulich, G., Lobo, A., González-Pinto, A., Penzol, M. J., Corripio, I., Fernandez-Egea, E., Gassó, P., Cuesta, M. J., &amp; Bernardo, M. (2016). Association of the brain-derived neurotrophic factor Val66Met polymorphism with negative symptoms severity, but not cognitive function, in first-episode schizophrenia spectrum disorders. </w:t>
      </w:r>
      <w:r w:rsidRPr="00896AA2">
        <w:rPr>
          <w:rFonts w:ascii="Times New Roman" w:eastAsia="Times New Roman" w:hAnsi="Times New Roman" w:cs="Times New Roman"/>
          <w:i/>
          <w:iCs/>
          <w:sz w:val="24"/>
          <w:szCs w:val="24"/>
        </w:rPr>
        <w:t>European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38</w:t>
      </w:r>
      <w:r w:rsidRPr="00896AA2">
        <w:rPr>
          <w:rFonts w:ascii="Times New Roman" w:eastAsia="Times New Roman" w:hAnsi="Times New Roman" w:cs="Times New Roman"/>
          <w:sz w:val="24"/>
          <w:szCs w:val="24"/>
        </w:rPr>
        <w:t xml:space="preserve">, 61–69. </w:t>
      </w:r>
      <w:hyperlink r:id="rId3886" w:history="1">
        <w:r w:rsidRPr="00896AA2">
          <w:rPr>
            <w:rFonts w:ascii="Times New Roman" w:eastAsia="Times New Roman" w:hAnsi="Times New Roman" w:cs="Times New Roman"/>
            <w:color w:val="0000FF"/>
            <w:sz w:val="24"/>
            <w:szCs w:val="24"/>
            <w:u w:val="single"/>
          </w:rPr>
          <w:t>https://doi.org/10.1016/j.eurpsy.2016.04.011</w:t>
        </w:r>
      </w:hyperlink>
    </w:p>
    <w:p w14:paraId="42E54402"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Miatton, M. (2015). Neuropsychological aspects in children and adolescents with ConHD. In </w:t>
      </w:r>
      <w:r w:rsidRPr="00896AA2">
        <w:rPr>
          <w:rFonts w:ascii="Times New Roman" w:eastAsia="Times New Roman" w:hAnsi="Times New Roman" w:cs="Times New Roman"/>
          <w:i/>
          <w:iCs/>
          <w:sz w:val="24"/>
          <w:szCs w:val="24"/>
        </w:rPr>
        <w:t>Clinical psychology and congenital heart disease: Lifelong psychological aspects and interventions.</w:t>
      </w:r>
      <w:r w:rsidRPr="00896AA2">
        <w:rPr>
          <w:rFonts w:ascii="Times New Roman" w:eastAsia="Times New Roman" w:hAnsi="Times New Roman" w:cs="Times New Roman"/>
          <w:sz w:val="24"/>
          <w:szCs w:val="24"/>
        </w:rPr>
        <w:t xml:space="preserve"> (pp. 69–82). Springer-Verlag Publishing. </w:t>
      </w:r>
      <w:hyperlink r:id="rId3887" w:history="1">
        <w:r w:rsidRPr="00896AA2">
          <w:rPr>
            <w:rFonts w:ascii="Times New Roman" w:eastAsia="Times New Roman" w:hAnsi="Times New Roman" w:cs="Times New Roman"/>
            <w:color w:val="0000FF"/>
            <w:sz w:val="24"/>
            <w:szCs w:val="24"/>
            <w:u w:val="single"/>
          </w:rPr>
          <w:t>https://doi.org/10.1007/978-88-470-5699-2_5</w:t>
        </w:r>
      </w:hyperlink>
    </w:p>
    <w:p w14:paraId="706ECA4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Miatton, M., Van Roost, D., Thiery, E., Carrette, E., Van Dycke, A., Vonck, K., Meurs, A., Vingerhoets, G., &amp; Boon, P. (2011). The cognitive effects of amygdalohippocampal deep brain stimulation in patients with temporal lobe epilepsy. </w:t>
      </w:r>
      <w:r w:rsidRPr="00896AA2">
        <w:rPr>
          <w:rFonts w:ascii="Times New Roman" w:eastAsia="Times New Roman" w:hAnsi="Times New Roman" w:cs="Times New Roman"/>
          <w:i/>
          <w:iCs/>
          <w:sz w:val="24"/>
          <w:szCs w:val="24"/>
        </w:rPr>
        <w:t>Epilepsy &amp; Behavior</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(4), 759–764. </w:t>
      </w:r>
      <w:hyperlink r:id="rId3888" w:history="1">
        <w:r w:rsidRPr="00896AA2">
          <w:rPr>
            <w:rFonts w:ascii="Times New Roman" w:eastAsia="Times New Roman" w:hAnsi="Times New Roman" w:cs="Times New Roman"/>
            <w:color w:val="0000FF"/>
            <w:sz w:val="24"/>
            <w:szCs w:val="24"/>
            <w:u w:val="single"/>
          </w:rPr>
          <w:t>https://doi.org/10.1016/j.yebeh.2011.09.016</w:t>
        </w:r>
      </w:hyperlink>
    </w:p>
    <w:p w14:paraId="6553FA6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Micco, J. A., Henin, A., Biederman, J., Rosenbaum, J. F., Petty, C., Rindlaub, L. A., Murphy, M., &amp; Hirshfeld-Becker, D. R. (2009). Executive functioning in offspring at risk for depression and anxiety. </w:t>
      </w:r>
      <w:r w:rsidRPr="00896AA2">
        <w:rPr>
          <w:rFonts w:ascii="Times New Roman" w:eastAsia="Times New Roman" w:hAnsi="Times New Roman" w:cs="Times New Roman"/>
          <w:i/>
          <w:iCs/>
          <w:sz w:val="24"/>
          <w:szCs w:val="24"/>
        </w:rPr>
        <w:t>Depression and Anxiety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(9), 780–790. </w:t>
      </w:r>
      <w:hyperlink r:id="rId3889" w:history="1">
        <w:r w:rsidRPr="00896AA2">
          <w:rPr>
            <w:rFonts w:ascii="Times New Roman" w:eastAsia="Times New Roman" w:hAnsi="Times New Roman" w:cs="Times New Roman"/>
            <w:color w:val="0000FF"/>
            <w:sz w:val="24"/>
            <w:szCs w:val="24"/>
            <w:u w:val="single"/>
          </w:rPr>
          <w:t>https://doi.org/10.1002/da.20573</w:t>
        </w:r>
      </w:hyperlink>
    </w:p>
    <w:p w14:paraId="61BA738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Michael, G. A., Garcia, S., Fernandez, D., Sellal, F., &amp; Boucart, M. (2006). The ventral premotor cortex (VPM) and resistance to interference. </w:t>
      </w:r>
      <w:r w:rsidRPr="00896AA2">
        <w:rPr>
          <w:rFonts w:ascii="Times New Roman" w:eastAsia="Times New Roman" w:hAnsi="Times New Roman" w:cs="Times New Roman"/>
          <w:i/>
          <w:iCs/>
          <w:sz w:val="24"/>
          <w:szCs w:val="24"/>
        </w:rPr>
        <w:t>Behavioral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120</w:t>
      </w:r>
      <w:r w:rsidRPr="00896AA2">
        <w:rPr>
          <w:rFonts w:ascii="Times New Roman" w:eastAsia="Times New Roman" w:hAnsi="Times New Roman" w:cs="Times New Roman"/>
          <w:sz w:val="24"/>
          <w:szCs w:val="24"/>
        </w:rPr>
        <w:t xml:space="preserve">(2), 447–462. </w:t>
      </w:r>
      <w:hyperlink r:id="rId3890" w:history="1">
        <w:r w:rsidRPr="00896AA2">
          <w:rPr>
            <w:rFonts w:ascii="Times New Roman" w:eastAsia="Times New Roman" w:hAnsi="Times New Roman" w:cs="Times New Roman"/>
            <w:color w:val="0000FF"/>
            <w:sz w:val="24"/>
            <w:szCs w:val="24"/>
            <w:u w:val="single"/>
          </w:rPr>
          <w:t>https://doi.org/10.1037/0735-7044.120.2.447</w:t>
        </w:r>
      </w:hyperlink>
    </w:p>
    <w:p w14:paraId="48EEAC4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Michel, C., Ruhrmann, S., Schimmelmann, B. G., Klosterkötter, J., &amp; Schultze-Lutter, F. (2014). A stratified model for psychosis prediction in clinical practice. </w:t>
      </w:r>
      <w:r w:rsidRPr="00896AA2">
        <w:rPr>
          <w:rFonts w:ascii="Times New Roman" w:eastAsia="Times New Roman" w:hAnsi="Times New Roman" w:cs="Times New Roman"/>
          <w:i/>
          <w:iCs/>
          <w:sz w:val="24"/>
          <w:szCs w:val="24"/>
        </w:rPr>
        <w:t>Schizophrenia Bulletin</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40</w:t>
      </w:r>
      <w:r w:rsidRPr="00896AA2">
        <w:rPr>
          <w:rFonts w:ascii="Times New Roman" w:eastAsia="Times New Roman" w:hAnsi="Times New Roman" w:cs="Times New Roman"/>
          <w:sz w:val="24"/>
          <w:szCs w:val="24"/>
        </w:rPr>
        <w:t xml:space="preserve">(6), 1533–1542. </w:t>
      </w:r>
      <w:hyperlink r:id="rId3891" w:history="1">
        <w:r w:rsidRPr="00896AA2">
          <w:rPr>
            <w:rFonts w:ascii="Times New Roman" w:eastAsia="Times New Roman" w:hAnsi="Times New Roman" w:cs="Times New Roman"/>
            <w:color w:val="0000FF"/>
            <w:sz w:val="24"/>
            <w:szCs w:val="24"/>
            <w:u w:val="single"/>
          </w:rPr>
          <w:t>https://doi.org/10.1093/schbul/sbu025</w:t>
        </w:r>
      </w:hyperlink>
    </w:p>
    <w:p w14:paraId="0754F0E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Michon, A., Deweer, B., Pillon, B., Agid, Y., &amp; Dubois, B. (1994). Relation of anosognosia to frontal lobe dysfunction in Alzheimer’s disease. </w:t>
      </w:r>
      <w:r w:rsidRPr="00896AA2">
        <w:rPr>
          <w:rFonts w:ascii="Times New Roman" w:eastAsia="Times New Roman" w:hAnsi="Times New Roman" w:cs="Times New Roman"/>
          <w:i/>
          <w:iCs/>
          <w:sz w:val="24"/>
          <w:szCs w:val="24"/>
        </w:rPr>
        <w:t>Journal of Neurology, Neurosurgery &amp;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57</w:t>
      </w:r>
      <w:r w:rsidRPr="00896AA2">
        <w:rPr>
          <w:rFonts w:ascii="Times New Roman" w:eastAsia="Times New Roman" w:hAnsi="Times New Roman" w:cs="Times New Roman"/>
          <w:sz w:val="24"/>
          <w:szCs w:val="24"/>
        </w:rPr>
        <w:t xml:space="preserve">(7), 805–809. </w:t>
      </w:r>
      <w:hyperlink r:id="rId3892" w:history="1">
        <w:r w:rsidRPr="00896AA2">
          <w:rPr>
            <w:rFonts w:ascii="Times New Roman" w:eastAsia="Times New Roman" w:hAnsi="Times New Roman" w:cs="Times New Roman"/>
            <w:color w:val="0000FF"/>
            <w:sz w:val="24"/>
            <w:szCs w:val="24"/>
            <w:u w:val="single"/>
          </w:rPr>
          <w:t>https://doi.org/10.1136/jnnp.57.7.805</w:t>
        </w:r>
      </w:hyperlink>
    </w:p>
    <w:p w14:paraId="60AA62B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Mick, E., Byrne, D., Fried, R., Monuteaux, M., Faraone, S. V., &amp; Biederman, J. (2011). Predictors of ADHD persistence in girls at 5-year follow-up.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15</w:t>
      </w:r>
      <w:r w:rsidRPr="00896AA2">
        <w:rPr>
          <w:rFonts w:ascii="Times New Roman" w:eastAsia="Times New Roman" w:hAnsi="Times New Roman" w:cs="Times New Roman"/>
          <w:sz w:val="24"/>
          <w:szCs w:val="24"/>
        </w:rPr>
        <w:t xml:space="preserve">(3), 183–192. </w:t>
      </w:r>
      <w:hyperlink r:id="rId3893" w:history="1">
        <w:r w:rsidRPr="00896AA2">
          <w:rPr>
            <w:rFonts w:ascii="Times New Roman" w:eastAsia="Times New Roman" w:hAnsi="Times New Roman" w:cs="Times New Roman"/>
            <w:color w:val="0000FF"/>
            <w:sz w:val="24"/>
            <w:szCs w:val="24"/>
            <w:u w:val="single"/>
          </w:rPr>
          <w:t>https://doi.org/10.1177/1087054710362217</w:t>
        </w:r>
      </w:hyperlink>
    </w:p>
    <w:p w14:paraId="039B2643"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Mickes, L., Wixted, J. T., Fennema-Notestine, C., Galasko, D., Bondi, M. W., Thal, L. J., &amp; Salmon, D. P. (2007). Progressive impairment on neuropsychological tasks in a longitudinal study of preclinical Alzheimer’s disease. </w:t>
      </w:r>
      <w:r w:rsidRPr="00896AA2">
        <w:rPr>
          <w:rFonts w:ascii="Times New Roman" w:eastAsia="Times New Roman" w:hAnsi="Times New Roman" w:cs="Times New Roman"/>
          <w:i/>
          <w:iCs/>
          <w:sz w:val="24"/>
          <w:szCs w:val="24"/>
        </w:rPr>
        <w:t>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(6), 696–705. </w:t>
      </w:r>
      <w:hyperlink r:id="rId3894" w:history="1">
        <w:r w:rsidRPr="00896AA2">
          <w:rPr>
            <w:rFonts w:ascii="Times New Roman" w:eastAsia="Times New Roman" w:hAnsi="Times New Roman" w:cs="Times New Roman"/>
            <w:color w:val="0000FF"/>
            <w:sz w:val="24"/>
            <w:szCs w:val="24"/>
            <w:u w:val="single"/>
          </w:rPr>
          <w:t>https://doi.org/10.1037/0894-4105.21.6.696</w:t>
        </w:r>
      </w:hyperlink>
    </w:p>
    <w:p w14:paraId="721788E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Mico, U., Bruno, A., Pandolfo, G., Romeo, V. M., Mallamace, D., D’Arrigo, C., Spina, E., Zoccali, R. A., &amp; Muscatello, M. R. A. (2011). Duloxetine as adjunctive treatment to clozapine in patients with schizophrenia: A randomized, placebo-controlled trial. </w:t>
      </w:r>
      <w:r w:rsidRPr="00896AA2">
        <w:rPr>
          <w:rFonts w:ascii="Times New Roman" w:eastAsia="Times New Roman" w:hAnsi="Times New Roman" w:cs="Times New Roman"/>
          <w:i/>
          <w:iCs/>
          <w:sz w:val="24"/>
          <w:szCs w:val="24"/>
        </w:rPr>
        <w:t>International Clinical Psychopharmacology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26</w:t>
      </w:r>
      <w:r w:rsidRPr="00896AA2">
        <w:rPr>
          <w:rFonts w:ascii="Times New Roman" w:eastAsia="Times New Roman" w:hAnsi="Times New Roman" w:cs="Times New Roman"/>
          <w:sz w:val="24"/>
          <w:szCs w:val="24"/>
        </w:rPr>
        <w:t xml:space="preserve">(6), 303–310. </w:t>
      </w:r>
      <w:hyperlink r:id="rId3895" w:history="1">
        <w:r w:rsidRPr="00896AA2">
          <w:rPr>
            <w:rFonts w:ascii="Times New Roman" w:eastAsia="Times New Roman" w:hAnsi="Times New Roman" w:cs="Times New Roman"/>
            <w:color w:val="0000FF"/>
            <w:sz w:val="24"/>
            <w:szCs w:val="24"/>
            <w:u w:val="single"/>
          </w:rPr>
          <w:t>https://doi.org/10.1097/YIC.0b013e32834bbc0d</w:t>
        </w:r>
      </w:hyperlink>
    </w:p>
    <w:p w14:paraId="0BEB87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Midi, I., Tuncer, N., Midi, A., Mollahasanoglu, A., Konya, D., &amp; Sav, A. (2007). Effects of decompressive surgery on prognosis and cognitive deficits in herpes simplex encephalitis. </w:t>
      </w:r>
      <w:r w:rsidRPr="00896AA2">
        <w:rPr>
          <w:rFonts w:ascii="Times New Roman" w:eastAsia="Times New Roman" w:hAnsi="Times New Roman" w:cs="Times New Roman"/>
          <w:i/>
          <w:iCs/>
          <w:sz w:val="24"/>
          <w:szCs w:val="24"/>
        </w:rPr>
        <w:t>Behavioural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18</w:t>
      </w:r>
      <w:r w:rsidRPr="00896AA2">
        <w:rPr>
          <w:rFonts w:ascii="Times New Roman" w:eastAsia="Times New Roman" w:hAnsi="Times New Roman" w:cs="Times New Roman"/>
          <w:sz w:val="24"/>
          <w:szCs w:val="24"/>
        </w:rPr>
        <w:t xml:space="preserve">(4), 245–249. </w:t>
      </w:r>
      <w:hyperlink r:id="rId3896" w:history="1">
        <w:r w:rsidRPr="00896AA2">
          <w:rPr>
            <w:rFonts w:ascii="Times New Roman" w:eastAsia="Times New Roman" w:hAnsi="Times New Roman" w:cs="Times New Roman"/>
            <w:color w:val="0000FF"/>
            <w:sz w:val="24"/>
            <w:szCs w:val="24"/>
            <w:u w:val="single"/>
          </w:rPr>
          <w:t>https://doi.org/10.1155/2007/534982</w:t>
        </w:r>
      </w:hyperlink>
    </w:p>
    <w:p w14:paraId="65BF7F4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Midorikawa, A., Fukutake, T., &amp; Kawamura, M. (2008). Dementia and painting in patients from different cultural backgrounds. </w:t>
      </w:r>
      <w:r w:rsidRPr="00896AA2">
        <w:rPr>
          <w:rFonts w:ascii="Times New Roman" w:eastAsia="Times New Roman" w:hAnsi="Times New Roman" w:cs="Times New Roman"/>
          <w:i/>
          <w:iCs/>
          <w:sz w:val="24"/>
          <w:szCs w:val="24"/>
        </w:rPr>
        <w:t>European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60</w:t>
      </w:r>
      <w:r w:rsidRPr="00896AA2">
        <w:rPr>
          <w:rFonts w:ascii="Times New Roman" w:eastAsia="Times New Roman" w:hAnsi="Times New Roman" w:cs="Times New Roman"/>
          <w:sz w:val="24"/>
          <w:szCs w:val="24"/>
        </w:rPr>
        <w:t xml:space="preserve">(5), 224–229. </w:t>
      </w:r>
      <w:hyperlink r:id="rId3897" w:history="1">
        <w:r w:rsidRPr="00896AA2">
          <w:rPr>
            <w:rFonts w:ascii="Times New Roman" w:eastAsia="Times New Roman" w:hAnsi="Times New Roman" w:cs="Times New Roman"/>
            <w:color w:val="0000FF"/>
            <w:sz w:val="24"/>
            <w:szCs w:val="24"/>
            <w:u w:val="single"/>
          </w:rPr>
          <w:t>https://doi.org/10.1159/000151697</w:t>
        </w:r>
      </w:hyperlink>
    </w:p>
    <w:p w14:paraId="7E83E6A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Miele, A. S., Gunner, J. H., Lynch, J. K., &amp; McCaffrey, R. J. (2012). Are embedded validity indices equivalent to free-standing symptom validity tests? </w:t>
      </w:r>
      <w:r w:rsidRPr="00896AA2">
        <w:rPr>
          <w:rFonts w:ascii="Times New Roman" w:eastAsia="Times New Roman" w:hAnsi="Times New Roman" w:cs="Times New Roman"/>
          <w:i/>
          <w:iCs/>
          <w:sz w:val="24"/>
          <w:szCs w:val="24"/>
        </w:rPr>
        <w:t>Archives of Clinical Neuropsychology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27</w:t>
      </w:r>
      <w:r w:rsidRPr="00896AA2">
        <w:rPr>
          <w:rFonts w:ascii="Times New Roman" w:eastAsia="Times New Roman" w:hAnsi="Times New Roman" w:cs="Times New Roman"/>
          <w:sz w:val="24"/>
          <w:szCs w:val="24"/>
        </w:rPr>
        <w:t xml:space="preserve">(1), 10–22. </w:t>
      </w:r>
      <w:hyperlink r:id="rId3898" w:history="1">
        <w:r w:rsidRPr="00896AA2">
          <w:rPr>
            <w:rFonts w:ascii="Times New Roman" w:eastAsia="Times New Roman" w:hAnsi="Times New Roman" w:cs="Times New Roman"/>
            <w:color w:val="0000FF"/>
            <w:sz w:val="24"/>
            <w:szCs w:val="24"/>
            <w:u w:val="single"/>
          </w:rPr>
          <w:t>https://doi.org/10.1093/arclin/acr084</w:t>
        </w:r>
      </w:hyperlink>
    </w:p>
    <w:p w14:paraId="253425D4"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Mietchen, J. J., Bennett, D. P., Huff, T., Hedges, D. W., &amp; Gale, S. D. (2016). Executive function in pediatric sleep-disordered breathing: A meta-analysis.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22</w:t>
      </w:r>
      <w:r w:rsidRPr="00896AA2">
        <w:rPr>
          <w:rFonts w:ascii="Times New Roman" w:eastAsia="Times New Roman" w:hAnsi="Times New Roman" w:cs="Times New Roman"/>
          <w:sz w:val="24"/>
          <w:szCs w:val="24"/>
        </w:rPr>
        <w:t xml:space="preserve">(8), 839–850. </w:t>
      </w:r>
      <w:hyperlink r:id="rId3899" w:history="1">
        <w:r w:rsidRPr="00896AA2">
          <w:rPr>
            <w:rFonts w:ascii="Times New Roman" w:eastAsia="Times New Roman" w:hAnsi="Times New Roman" w:cs="Times New Roman"/>
            <w:color w:val="0000FF"/>
            <w:sz w:val="24"/>
            <w:szCs w:val="24"/>
            <w:u w:val="single"/>
          </w:rPr>
          <w:t>https://doi.org/10.1017/S1355617716000643</w:t>
        </w:r>
      </w:hyperlink>
    </w:p>
    <w:p w14:paraId="5C9C006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Mignard, P., Cavé, C., Lagrue, B., Meynadier, Y., &amp; Viallet, F. (2001). Étude instrumentale des pauses silencieuses chez les parkinsoniens en production orale spontanée et en lecture. [Silent pauses in Parkinsonian patients during spontaneous speech and reading: An instrumental study.]. </w:t>
      </w:r>
      <w:r w:rsidRPr="00896AA2">
        <w:rPr>
          <w:rFonts w:ascii="Times New Roman" w:eastAsia="Times New Roman" w:hAnsi="Times New Roman" w:cs="Times New Roman"/>
          <w:i/>
          <w:iCs/>
          <w:sz w:val="24"/>
          <w:szCs w:val="24"/>
        </w:rPr>
        <w:t>Revue de Neuropsychologie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11</w:t>
      </w:r>
      <w:r w:rsidRPr="00896AA2">
        <w:rPr>
          <w:rFonts w:ascii="Times New Roman" w:eastAsia="Times New Roman" w:hAnsi="Times New Roman" w:cs="Times New Roman"/>
          <w:sz w:val="24"/>
          <w:szCs w:val="24"/>
        </w:rPr>
        <w:t>(1), 39–63.</w:t>
      </w:r>
    </w:p>
    <w:p w14:paraId="67C8F0D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Miguel, C. S., Martins, P. A., Moleda, N., Klein, M., Chaim-Avancini, T., Gobbo, M. A., Cunha, P. J., Alves, T. M., Silva, M. A., &amp; Louzã, M. R. (2016). Cognition and impulsivity in adults with attention deficit hyperactivity disorder with and without cocaine and/or crack dependence. </w:t>
      </w:r>
      <w:r w:rsidRPr="00896AA2">
        <w:rPr>
          <w:rFonts w:ascii="Times New Roman" w:eastAsia="Times New Roman" w:hAnsi="Times New Roman" w:cs="Times New Roman"/>
          <w:i/>
          <w:iCs/>
          <w:sz w:val="24"/>
          <w:szCs w:val="24"/>
        </w:rPr>
        <w:t>Drug and Alcohol Dependence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160</w:t>
      </w:r>
      <w:r w:rsidRPr="00896AA2">
        <w:rPr>
          <w:rFonts w:ascii="Times New Roman" w:eastAsia="Times New Roman" w:hAnsi="Times New Roman" w:cs="Times New Roman"/>
          <w:sz w:val="24"/>
          <w:szCs w:val="24"/>
        </w:rPr>
        <w:t xml:space="preserve">, 97–104. </w:t>
      </w:r>
      <w:hyperlink r:id="rId3900" w:history="1">
        <w:r w:rsidRPr="00896AA2">
          <w:rPr>
            <w:rFonts w:ascii="Times New Roman" w:eastAsia="Times New Roman" w:hAnsi="Times New Roman" w:cs="Times New Roman"/>
            <w:color w:val="0000FF"/>
            <w:sz w:val="24"/>
            <w:szCs w:val="24"/>
            <w:u w:val="single"/>
          </w:rPr>
          <w:t>https://doi.org/10.1016/j.drugalcdep.2015.12.040</w:t>
        </w:r>
      </w:hyperlink>
    </w:p>
    <w:p w14:paraId="22CD7959"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Mikesell, L. (2014). Conflicting demonstrations of understanding in the interactions of individuals with frontotemporal dementia: Considering cognitive resources and their implications for care and communication. In </w:t>
      </w:r>
      <w:r w:rsidRPr="00896AA2">
        <w:rPr>
          <w:rFonts w:ascii="Times New Roman" w:eastAsia="Times New Roman" w:hAnsi="Times New Roman" w:cs="Times New Roman"/>
          <w:i/>
          <w:iCs/>
          <w:sz w:val="24"/>
          <w:szCs w:val="24"/>
        </w:rPr>
        <w:t>Dialogue and dementia: Cognitive and communicative resources for engagement.</w:t>
      </w:r>
      <w:r w:rsidRPr="00896AA2">
        <w:rPr>
          <w:rFonts w:ascii="Times New Roman" w:eastAsia="Times New Roman" w:hAnsi="Times New Roman" w:cs="Times New Roman"/>
          <w:sz w:val="24"/>
          <w:szCs w:val="24"/>
        </w:rPr>
        <w:t xml:space="preserve"> (pp. 147–180). Psychology Press.</w:t>
      </w:r>
    </w:p>
    <w:p w14:paraId="3FB5191C"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Miki, Y., Grossman, R. I., Udupa, J. K., Wei, L., Kolson, D. L., Mannon, L. J., &amp; Grossman, M. (1998). Isolated U-fiber involvement in MS: Preliminary observations. </w:t>
      </w:r>
      <w:r w:rsidRPr="00896AA2">
        <w:rPr>
          <w:rFonts w:ascii="Times New Roman" w:eastAsia="Times New Roman" w:hAnsi="Times New Roman" w:cs="Times New Roman"/>
          <w:i/>
          <w:iCs/>
          <w:sz w:val="24"/>
          <w:szCs w:val="24"/>
        </w:rPr>
        <w:t>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50</w:t>
      </w:r>
      <w:r w:rsidRPr="00896AA2">
        <w:rPr>
          <w:rFonts w:ascii="Times New Roman" w:eastAsia="Times New Roman" w:hAnsi="Times New Roman" w:cs="Times New Roman"/>
          <w:sz w:val="24"/>
          <w:szCs w:val="24"/>
        </w:rPr>
        <w:t xml:space="preserve">(5), 1301–1306. </w:t>
      </w:r>
      <w:hyperlink r:id="rId3901" w:history="1">
        <w:r w:rsidRPr="00896AA2">
          <w:rPr>
            <w:rFonts w:ascii="Times New Roman" w:eastAsia="Times New Roman" w:hAnsi="Times New Roman" w:cs="Times New Roman"/>
            <w:color w:val="0000FF"/>
            <w:sz w:val="24"/>
            <w:szCs w:val="24"/>
            <w:u w:val="single"/>
          </w:rPr>
          <w:t>https://doi.org/10.1212/WNL.50.5.1301</w:t>
        </w:r>
      </w:hyperlink>
    </w:p>
    <w:p w14:paraId="21910F7B"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Milberg, W. P., Hebben, N., &amp; Kaplan, E. (2009). The Boston Process Approach to neuropsychological assessment. In </w:t>
      </w:r>
      <w:r w:rsidRPr="00896AA2">
        <w:rPr>
          <w:rFonts w:ascii="Times New Roman" w:eastAsia="Times New Roman" w:hAnsi="Times New Roman" w:cs="Times New Roman"/>
          <w:i/>
          <w:iCs/>
          <w:sz w:val="24"/>
          <w:szCs w:val="24"/>
        </w:rPr>
        <w:t>Neuropsychological assessment of neuropsychiatric and neuromedical disorders, 3rd ed.</w:t>
      </w:r>
      <w:r w:rsidRPr="00896AA2">
        <w:rPr>
          <w:rFonts w:ascii="Times New Roman" w:eastAsia="Times New Roman" w:hAnsi="Times New Roman" w:cs="Times New Roman"/>
          <w:sz w:val="24"/>
          <w:szCs w:val="24"/>
        </w:rPr>
        <w:t xml:space="preserve"> (pp. 42–65). Oxford University Press.</w:t>
      </w:r>
    </w:p>
    <w:p w14:paraId="550BA00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Milioni, A. L. V., Chaim, T. M., Cavallet, M., de Oliveira, N. M., Annes, M., dos Santos, B., Louzã, M., da Silva, M. A., Miguel, C. S., Serpa, M. H., Zanetti, M. V., Busatto, G., &amp; Cunha, P. J. (2017). High IQ may “mask” the diagnosis of adhd by compensating for deficits in executive functions in treatment-naïve adults with ADHD. </w:t>
      </w:r>
      <w:r w:rsidRPr="00896AA2">
        <w:rPr>
          <w:rFonts w:ascii="Times New Roman" w:eastAsia="Times New Roman" w:hAnsi="Times New Roman" w:cs="Times New Roman"/>
          <w:i/>
          <w:iCs/>
          <w:sz w:val="24"/>
          <w:szCs w:val="24"/>
        </w:rPr>
        <w:t>Journal of Attention Disorders</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21</w:t>
      </w:r>
      <w:r w:rsidRPr="00896AA2">
        <w:rPr>
          <w:rFonts w:ascii="Times New Roman" w:eastAsia="Times New Roman" w:hAnsi="Times New Roman" w:cs="Times New Roman"/>
          <w:sz w:val="24"/>
          <w:szCs w:val="24"/>
        </w:rPr>
        <w:t xml:space="preserve">(6), 455–464. </w:t>
      </w:r>
      <w:hyperlink r:id="rId3902" w:history="1">
        <w:r w:rsidRPr="00896AA2">
          <w:rPr>
            <w:rFonts w:ascii="Times New Roman" w:eastAsia="Times New Roman" w:hAnsi="Times New Roman" w:cs="Times New Roman"/>
            <w:color w:val="0000FF"/>
            <w:sz w:val="24"/>
            <w:szCs w:val="24"/>
            <w:u w:val="single"/>
          </w:rPr>
          <w:t>https://doi.org/10.1177/1087054714554933</w:t>
        </w:r>
      </w:hyperlink>
    </w:p>
    <w:p w14:paraId="3A06E4D1"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A. D. (1998). </w:t>
      </w:r>
      <w:r w:rsidRPr="00896AA2">
        <w:rPr>
          <w:rFonts w:ascii="Times New Roman" w:eastAsia="Times New Roman" w:hAnsi="Times New Roman" w:cs="Times New Roman"/>
          <w:i/>
          <w:iCs/>
          <w:sz w:val="24"/>
          <w:szCs w:val="24"/>
        </w:rPr>
        <w:t>Executive functions deficits in incarcerated adolescent sexual offenders as measured by the Wisconsin Card Sorting Test.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58</w:t>
      </w:r>
      <w:r w:rsidRPr="00896AA2">
        <w:rPr>
          <w:rFonts w:ascii="Times New Roman" w:eastAsia="Times New Roman" w:hAnsi="Times New Roman" w:cs="Times New Roman"/>
          <w:sz w:val="24"/>
          <w:szCs w:val="24"/>
        </w:rPr>
        <w:t>(12-B), 6817–6817.</w:t>
      </w:r>
    </w:p>
    <w:p w14:paraId="3584E936"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B. J., Culpepper, N., Rapaport, M. H., &amp; Buckley, P. (2013). Prenatal inflammation and neurodevelopment in schizophrenia: A review of human studies. </w:t>
      </w:r>
      <w:r w:rsidRPr="00896AA2">
        <w:rPr>
          <w:rFonts w:ascii="Times New Roman" w:eastAsia="Times New Roman" w:hAnsi="Times New Roman" w:cs="Times New Roman"/>
          <w:i/>
          <w:iCs/>
          <w:sz w:val="24"/>
          <w:szCs w:val="24"/>
        </w:rPr>
        <w:t>Progress in Neuro-Psychopharmacology &amp; Biological Psychiatry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42</w:t>
      </w:r>
      <w:r w:rsidRPr="00896AA2">
        <w:rPr>
          <w:rFonts w:ascii="Times New Roman" w:eastAsia="Times New Roman" w:hAnsi="Times New Roman" w:cs="Times New Roman"/>
          <w:sz w:val="24"/>
          <w:szCs w:val="24"/>
        </w:rPr>
        <w:t xml:space="preserve">, 92–100. </w:t>
      </w:r>
      <w:hyperlink r:id="rId3903" w:history="1">
        <w:r w:rsidRPr="00896AA2">
          <w:rPr>
            <w:rFonts w:ascii="Times New Roman" w:eastAsia="Times New Roman" w:hAnsi="Times New Roman" w:cs="Times New Roman"/>
            <w:color w:val="0000FF"/>
            <w:sz w:val="24"/>
            <w:szCs w:val="24"/>
            <w:u w:val="single"/>
          </w:rPr>
          <w:t>https://doi.org/10.1016/j.pnpbp.2012.03.010</w:t>
        </w:r>
      </w:hyperlink>
    </w:p>
    <w:p w14:paraId="46F39ACD"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E. A., &amp; Azar, S. T. (2019). Additive contributions of social information processing and economic stress to maltreatment risk in disadvantaged rural fathers. </w:t>
      </w:r>
      <w:r w:rsidRPr="00896AA2">
        <w:rPr>
          <w:rFonts w:ascii="Times New Roman" w:eastAsia="Times New Roman" w:hAnsi="Times New Roman" w:cs="Times New Roman"/>
          <w:i/>
          <w:iCs/>
          <w:sz w:val="24"/>
          <w:szCs w:val="24"/>
        </w:rPr>
        <w:t>Child Maltreatment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24</w:t>
      </w:r>
      <w:r w:rsidRPr="00896AA2">
        <w:rPr>
          <w:rFonts w:ascii="Times New Roman" w:eastAsia="Times New Roman" w:hAnsi="Times New Roman" w:cs="Times New Roman"/>
          <w:sz w:val="24"/>
          <w:szCs w:val="24"/>
        </w:rPr>
        <w:t xml:space="preserve">(2), 169–180. </w:t>
      </w:r>
      <w:hyperlink r:id="rId3904" w:history="1">
        <w:r w:rsidRPr="00896AA2">
          <w:rPr>
            <w:rFonts w:ascii="Times New Roman" w:eastAsia="Times New Roman" w:hAnsi="Times New Roman" w:cs="Times New Roman"/>
            <w:color w:val="0000FF"/>
            <w:sz w:val="24"/>
            <w:szCs w:val="24"/>
            <w:u w:val="single"/>
          </w:rPr>
          <w:t>https://doi.org/10.1177/1077559518815616</w:t>
        </w:r>
      </w:hyperlink>
    </w:p>
    <w:p w14:paraId="0A8690AE"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Miller, M., &amp; Hinshaw, S. P. (2013). A case study: Attention-deficit/hyperactivity disorder. In </w:t>
      </w:r>
      <w:r w:rsidRPr="00896AA2">
        <w:rPr>
          <w:rFonts w:ascii="Times New Roman" w:eastAsia="Times New Roman" w:hAnsi="Times New Roman" w:cs="Times New Roman"/>
          <w:i/>
          <w:iCs/>
          <w:sz w:val="24"/>
          <w:szCs w:val="24"/>
        </w:rPr>
        <w:t>Psychopathology of childhood and adolescence: A neuropsychological approach.</w:t>
      </w:r>
      <w:r w:rsidRPr="00896AA2">
        <w:rPr>
          <w:rFonts w:ascii="Times New Roman" w:eastAsia="Times New Roman" w:hAnsi="Times New Roman" w:cs="Times New Roman"/>
          <w:sz w:val="24"/>
          <w:szCs w:val="24"/>
        </w:rPr>
        <w:t xml:space="preserve"> (pp. 261–266). Springer Publishing Company.</w:t>
      </w:r>
    </w:p>
    <w:p w14:paraId="67690D6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Millis, S. R., Rosenthal, M., &amp; Lourie, I. F. (1994). Predicting community integration after traumatic brain injury with neuropsychological measures. </w:t>
      </w:r>
      <w:r w:rsidRPr="00896AA2">
        <w:rPr>
          <w:rFonts w:ascii="Times New Roman" w:eastAsia="Times New Roman" w:hAnsi="Times New Roman" w:cs="Times New Roman"/>
          <w:i/>
          <w:iCs/>
          <w:sz w:val="24"/>
          <w:szCs w:val="24"/>
        </w:rPr>
        <w:t>International Journal of Neuroscience</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79</w:t>
      </w:r>
      <w:r w:rsidRPr="00896AA2">
        <w:rPr>
          <w:rFonts w:ascii="Times New Roman" w:eastAsia="Times New Roman" w:hAnsi="Times New Roman" w:cs="Times New Roman"/>
          <w:sz w:val="24"/>
          <w:szCs w:val="24"/>
        </w:rPr>
        <w:t xml:space="preserve">(3–4), 165–167. </w:t>
      </w:r>
      <w:hyperlink r:id="rId3905" w:history="1">
        <w:r w:rsidRPr="00896AA2">
          <w:rPr>
            <w:rFonts w:ascii="Times New Roman" w:eastAsia="Times New Roman" w:hAnsi="Times New Roman" w:cs="Times New Roman"/>
            <w:color w:val="0000FF"/>
            <w:sz w:val="24"/>
            <w:szCs w:val="24"/>
            <w:u w:val="single"/>
          </w:rPr>
          <w:t>https://doi.org/10.3109/00207459408986077</w:t>
        </w:r>
      </w:hyperlink>
    </w:p>
    <w:p w14:paraId="4433BFA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Milton, F., Muhlert, N., Pindus, D. M., Butler, C. R., Kapur, N., Graham, K. S., &amp; Zeman, A. Z. J. (2010). Remote memory deficits in transient epileptic amnesia. </w:t>
      </w:r>
      <w:r w:rsidRPr="00896AA2">
        <w:rPr>
          <w:rFonts w:ascii="Times New Roman" w:eastAsia="Times New Roman" w:hAnsi="Times New Roman" w:cs="Times New Roman"/>
          <w:i/>
          <w:iCs/>
          <w:sz w:val="24"/>
          <w:szCs w:val="24"/>
        </w:rPr>
        <w:t>Brain: A Journal of Neurology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133</w:t>
      </w:r>
      <w:r w:rsidRPr="00896AA2">
        <w:rPr>
          <w:rFonts w:ascii="Times New Roman" w:eastAsia="Times New Roman" w:hAnsi="Times New Roman" w:cs="Times New Roman"/>
          <w:sz w:val="24"/>
          <w:szCs w:val="24"/>
        </w:rPr>
        <w:t xml:space="preserve">(5), 1368–1379. </w:t>
      </w:r>
      <w:hyperlink r:id="rId3906" w:history="1">
        <w:r w:rsidRPr="00896AA2">
          <w:rPr>
            <w:rFonts w:ascii="Times New Roman" w:eastAsia="Times New Roman" w:hAnsi="Times New Roman" w:cs="Times New Roman"/>
            <w:color w:val="0000FF"/>
            <w:sz w:val="24"/>
            <w:szCs w:val="24"/>
            <w:u w:val="single"/>
          </w:rPr>
          <w:t>https://doi.org/10.1093/brain/awq055</w:t>
        </w:r>
      </w:hyperlink>
    </w:p>
    <w:p w14:paraId="104C029F"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Mimura, M., Kinsbourne, M., &amp; O’Connor, M. (2000). Time estimation by patients with frontal lesions and by Korsakoff amnesics. </w:t>
      </w:r>
      <w:r w:rsidRPr="00896AA2">
        <w:rPr>
          <w:rFonts w:ascii="Times New Roman" w:eastAsia="Times New Roman" w:hAnsi="Times New Roman" w:cs="Times New Roman"/>
          <w:i/>
          <w:iCs/>
          <w:sz w:val="24"/>
          <w:szCs w:val="24"/>
        </w:rPr>
        <w:t>Journal of the International Neuropsychological Society</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6</w:t>
      </w:r>
      <w:r w:rsidRPr="00896AA2">
        <w:rPr>
          <w:rFonts w:ascii="Times New Roman" w:eastAsia="Times New Roman" w:hAnsi="Times New Roman" w:cs="Times New Roman"/>
          <w:sz w:val="24"/>
          <w:szCs w:val="24"/>
        </w:rPr>
        <w:t xml:space="preserve">(5), 517–528. </w:t>
      </w:r>
      <w:hyperlink r:id="rId3907" w:history="1">
        <w:r w:rsidRPr="00896AA2">
          <w:rPr>
            <w:rFonts w:ascii="Times New Roman" w:eastAsia="Times New Roman" w:hAnsi="Times New Roman" w:cs="Times New Roman"/>
            <w:color w:val="0000FF"/>
            <w:sz w:val="24"/>
            <w:szCs w:val="24"/>
            <w:u w:val="single"/>
          </w:rPr>
          <w:t>https://doi.org/10.1017/S1355617700655017</w:t>
        </w:r>
      </w:hyperlink>
    </w:p>
    <w:p w14:paraId="4F0D53E5" w14:textId="77777777" w:rsidR="00896AA2" w:rsidRPr="00896AA2" w:rsidRDefault="00896AA2" w:rsidP="003B57E5">
      <w:pPr>
        <w:spacing w:before="240" w:after="0" w:line="240" w:lineRule="auto"/>
        <w:ind w:left="450" w:hanging="450"/>
        <w:rPr>
          <w:rFonts w:ascii="Times New Roman" w:eastAsia="Times New Roman" w:hAnsi="Times New Roman" w:cs="Times New Roman"/>
          <w:sz w:val="24"/>
          <w:szCs w:val="24"/>
        </w:rPr>
      </w:pPr>
      <w:r w:rsidRPr="00896AA2">
        <w:rPr>
          <w:rFonts w:ascii="Times New Roman" w:eastAsia="Times New Roman" w:hAnsi="Times New Roman" w:cs="Times New Roman"/>
          <w:sz w:val="24"/>
          <w:szCs w:val="24"/>
        </w:rPr>
        <w:t xml:space="preserve">Minami, T., &amp; Inui, T. (2004). A Neural Architecture for Rule-guided Behavior: A Simulation of Physiological Experiments. </w:t>
      </w:r>
      <w:r w:rsidRPr="00896AA2">
        <w:rPr>
          <w:rFonts w:ascii="Times New Roman" w:eastAsia="Times New Roman" w:hAnsi="Times New Roman" w:cs="Times New Roman"/>
          <w:i/>
          <w:iCs/>
          <w:sz w:val="24"/>
          <w:szCs w:val="24"/>
        </w:rPr>
        <w:t>Psychologia: An International Journal of Psychology in the Orient</w:t>
      </w:r>
      <w:r w:rsidRPr="00896AA2">
        <w:rPr>
          <w:rFonts w:ascii="Times New Roman" w:eastAsia="Times New Roman" w:hAnsi="Times New Roman" w:cs="Times New Roman"/>
          <w:sz w:val="24"/>
          <w:szCs w:val="24"/>
        </w:rPr>
        <w:t xml:space="preserve">, </w:t>
      </w:r>
      <w:r w:rsidRPr="00896AA2">
        <w:rPr>
          <w:rFonts w:ascii="Times New Roman" w:eastAsia="Times New Roman" w:hAnsi="Times New Roman" w:cs="Times New Roman"/>
          <w:i/>
          <w:iCs/>
          <w:sz w:val="24"/>
          <w:szCs w:val="24"/>
        </w:rPr>
        <w:t>46</w:t>
      </w:r>
      <w:r w:rsidRPr="00896AA2">
        <w:rPr>
          <w:rFonts w:ascii="Times New Roman" w:eastAsia="Times New Roman" w:hAnsi="Times New Roman" w:cs="Times New Roman"/>
          <w:sz w:val="24"/>
          <w:szCs w:val="24"/>
        </w:rPr>
        <w:t xml:space="preserve">(4), 268–283. </w:t>
      </w:r>
      <w:hyperlink r:id="rId3908" w:history="1">
        <w:r w:rsidRPr="00896AA2">
          <w:rPr>
            <w:rFonts w:ascii="Times New Roman" w:eastAsia="Times New Roman" w:hAnsi="Times New Roman" w:cs="Times New Roman"/>
            <w:color w:val="0000FF"/>
            <w:sz w:val="24"/>
            <w:szCs w:val="24"/>
            <w:u w:val="single"/>
          </w:rPr>
          <w:t>https://doi.org/10.2117/psysoc.2003.268</w:t>
        </w:r>
      </w:hyperlink>
    </w:p>
    <w:p w14:paraId="57C2283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Minassian, A., Henry, B. L., Woods, S. P., Vaida, F., Grant, I., Geyer, M. A., &amp; Perry, W. (2013). Prepulse inhibition in HIV-associated neurocognitive disorders.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(6), 709–717. </w:t>
      </w:r>
      <w:hyperlink r:id="rId3909" w:history="1">
        <w:r w:rsidRPr="001768F9">
          <w:rPr>
            <w:rFonts w:ascii="Times New Roman" w:eastAsia="Times New Roman" w:hAnsi="Times New Roman" w:cs="Times New Roman"/>
            <w:color w:val="0000FF"/>
            <w:sz w:val="24"/>
            <w:szCs w:val="24"/>
            <w:u w:val="single"/>
          </w:rPr>
          <w:t>https://doi.org/10.1017/S1355617713000301</w:t>
        </w:r>
      </w:hyperlink>
    </w:p>
    <w:p w14:paraId="4E8CFA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Minassian, A., Perry, W., Carlson, M., Pelham, M., &amp; DeFilippis, N. (2003). The Category Test perseveration, loss of set, and memory scales: Three new scales and their relationship to executive functioning measures.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213–221. </w:t>
      </w:r>
      <w:hyperlink r:id="rId3910" w:history="1">
        <w:r w:rsidRPr="001768F9">
          <w:rPr>
            <w:rFonts w:ascii="Times New Roman" w:eastAsia="Times New Roman" w:hAnsi="Times New Roman" w:cs="Times New Roman"/>
            <w:color w:val="0000FF"/>
            <w:sz w:val="24"/>
            <w:szCs w:val="24"/>
            <w:u w:val="single"/>
          </w:rPr>
          <w:t>https://doi.org/10.1177/1073191103253498</w:t>
        </w:r>
      </w:hyperlink>
    </w:p>
    <w:p w14:paraId="118529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Mingrone, C., Rocca, P., Castagna, F., Montemagni, C., Sigaudo, M., Scalese, M., Rocca, G., &amp; Bogetto, F. (2013). Insight in stable schizophrenia: Relations with psychopathology and cognition.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(5), 484–492. </w:t>
      </w:r>
      <w:hyperlink r:id="rId3911" w:history="1">
        <w:r w:rsidRPr="001768F9">
          <w:rPr>
            <w:rFonts w:ascii="Times New Roman" w:eastAsia="Times New Roman" w:hAnsi="Times New Roman" w:cs="Times New Roman"/>
            <w:color w:val="0000FF"/>
            <w:sz w:val="24"/>
            <w:szCs w:val="24"/>
            <w:u w:val="single"/>
          </w:rPr>
          <w:t>https://doi.org/10.1016/j.comppsych.2012.12.014</w:t>
        </w:r>
      </w:hyperlink>
    </w:p>
    <w:p w14:paraId="3C9513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Minshew, N. J., Meyer, J., &amp; Goldstein, G. (2002). Abstract reasoning in autism: A disassociation between concept formation and concept identification.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(3), 327–334. </w:t>
      </w:r>
      <w:hyperlink r:id="rId3912" w:history="1">
        <w:r w:rsidRPr="001768F9">
          <w:rPr>
            <w:rFonts w:ascii="Times New Roman" w:eastAsia="Times New Roman" w:hAnsi="Times New Roman" w:cs="Times New Roman"/>
            <w:color w:val="0000FF"/>
            <w:sz w:val="24"/>
            <w:szCs w:val="24"/>
            <w:u w:val="single"/>
          </w:rPr>
          <w:t>https://doi.org/10.1037/0894-4105.16.3.327</w:t>
        </w:r>
      </w:hyperlink>
    </w:p>
    <w:p w14:paraId="3E122C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Mintz, A. R., Addington, J., &amp; Addington, D. (2004). Insight in early psychosis: A 1-year follow-up.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67</w:t>
      </w:r>
      <w:r w:rsidRPr="001768F9">
        <w:rPr>
          <w:rFonts w:ascii="Times New Roman" w:eastAsia="Times New Roman" w:hAnsi="Times New Roman" w:cs="Times New Roman"/>
          <w:sz w:val="24"/>
          <w:szCs w:val="24"/>
        </w:rPr>
        <w:t xml:space="preserve">(2–3), 213–217. </w:t>
      </w:r>
      <w:hyperlink r:id="rId3913" w:history="1">
        <w:r w:rsidRPr="001768F9">
          <w:rPr>
            <w:rFonts w:ascii="Times New Roman" w:eastAsia="Times New Roman" w:hAnsi="Times New Roman" w:cs="Times New Roman"/>
            <w:color w:val="0000FF"/>
            <w:sz w:val="24"/>
            <w:szCs w:val="24"/>
            <w:u w:val="single"/>
          </w:rPr>
          <w:t>https://doi.org/10.1016/S0920-9964(03)00047-1</w:t>
        </w:r>
      </w:hyperlink>
    </w:p>
    <w:p w14:paraId="5A4673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Mioni, G., Mattalia, G., &amp; Stablum, F. (2013). Time perception in severe traumatic brain injury patients: A study comparing different methodologies.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81</w:t>
      </w:r>
      <w:r w:rsidRPr="001768F9">
        <w:rPr>
          <w:rFonts w:ascii="Times New Roman" w:eastAsia="Times New Roman" w:hAnsi="Times New Roman" w:cs="Times New Roman"/>
          <w:sz w:val="24"/>
          <w:szCs w:val="24"/>
        </w:rPr>
        <w:t xml:space="preserve">(3), 305–312. </w:t>
      </w:r>
      <w:hyperlink r:id="rId3914" w:history="1">
        <w:r w:rsidRPr="001768F9">
          <w:rPr>
            <w:rFonts w:ascii="Times New Roman" w:eastAsia="Times New Roman" w:hAnsi="Times New Roman" w:cs="Times New Roman"/>
            <w:color w:val="0000FF"/>
            <w:sz w:val="24"/>
            <w:szCs w:val="24"/>
            <w:u w:val="single"/>
          </w:rPr>
          <w:t>https://doi.org/10.1016/j.bandc.2012.12.005</w:t>
        </w:r>
      </w:hyperlink>
    </w:p>
    <w:p w14:paraId="5BC4283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Mioni, G., Rendell, P. G., Henry, J. D., Cantagallo, A., &amp; Stablum, F. (2013). An investigation of prospective memory functions in people with traumatic brain injury using Virtual Week.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(6), 617–630. </w:t>
      </w:r>
      <w:hyperlink r:id="rId3915" w:history="1">
        <w:r w:rsidRPr="001768F9">
          <w:rPr>
            <w:rFonts w:ascii="Times New Roman" w:eastAsia="Times New Roman" w:hAnsi="Times New Roman" w:cs="Times New Roman"/>
            <w:color w:val="0000FF"/>
            <w:sz w:val="24"/>
            <w:szCs w:val="24"/>
            <w:u w:val="single"/>
          </w:rPr>
          <w:t>https://doi.org/10.1080/13803395.2013.804036</w:t>
        </w:r>
      </w:hyperlink>
    </w:p>
    <w:p w14:paraId="0F48EF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Mioni, G., Stablum, F., McClintock, S. M., &amp; Cantagallo, A. (2012). Time-based prospective memory in severe traumatic brain injury patients: The involvement of executive functions and time perception.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697–705. </w:t>
      </w:r>
      <w:hyperlink r:id="rId3916" w:history="1">
        <w:r w:rsidRPr="001768F9">
          <w:rPr>
            <w:rFonts w:ascii="Times New Roman" w:eastAsia="Times New Roman" w:hAnsi="Times New Roman" w:cs="Times New Roman"/>
            <w:color w:val="0000FF"/>
            <w:sz w:val="24"/>
            <w:szCs w:val="24"/>
            <w:u w:val="single"/>
          </w:rPr>
          <w:t>https://doi.org/10.1017/S1355617712000306</w:t>
        </w:r>
      </w:hyperlink>
    </w:p>
    <w:p w14:paraId="7C2A08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Miotto, E. C., Evans, J. J., de Lucia, M. C. S., &amp; Scaff, M. (2009). Rehabilitation of executive dysfunction: A controlled trial of an attention and problem solving treatment group.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(4), 517–540. </w:t>
      </w:r>
      <w:hyperlink r:id="rId3917" w:history="1">
        <w:r w:rsidRPr="001768F9">
          <w:rPr>
            <w:rFonts w:ascii="Times New Roman" w:eastAsia="Times New Roman" w:hAnsi="Times New Roman" w:cs="Times New Roman"/>
            <w:color w:val="0000FF"/>
            <w:sz w:val="24"/>
            <w:szCs w:val="24"/>
            <w:u w:val="single"/>
          </w:rPr>
          <w:t>https://doi.org/10.1080/09602010802332108</w:t>
        </w:r>
      </w:hyperlink>
    </w:p>
    <w:p w14:paraId="73A0A4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Miotto, E. C., Junior, A. S., Silva, C. C., Cabrera, H. N., Machado, M. A. R., Benute, G. R. G., Lucia, M. C. S., Scaff, M., &amp; Teixeira, M. J. (2011). Cognitive impairments in patients with low grade gliomas and high grade gliomas.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(4), 596–601. </w:t>
      </w:r>
      <w:hyperlink r:id="rId3918" w:history="1">
        <w:r w:rsidRPr="001768F9">
          <w:rPr>
            <w:rFonts w:ascii="Times New Roman" w:eastAsia="Times New Roman" w:hAnsi="Times New Roman" w:cs="Times New Roman"/>
            <w:color w:val="0000FF"/>
            <w:sz w:val="24"/>
            <w:szCs w:val="24"/>
            <w:u w:val="single"/>
          </w:rPr>
          <w:t>https://doi.org/10.1590/S0004-282X2011000500005</w:t>
        </w:r>
      </w:hyperlink>
    </w:p>
    <w:p w14:paraId="74CAD8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Miraghaie, A. M., Moradi, A. R., Hasani, J., Rahimi, V., &amp; Mirzaie, J. (2013). A comparative study on the performance of PTSD and OCD in executive functions. [A comparative study on the performance of PTSD and OCD in executive functions.]. </w:t>
      </w:r>
      <w:r w:rsidRPr="001768F9">
        <w:rPr>
          <w:rFonts w:ascii="Times New Roman" w:eastAsia="Times New Roman" w:hAnsi="Times New Roman" w:cs="Times New Roman"/>
          <w:i/>
          <w:iCs/>
          <w:sz w:val="24"/>
          <w:szCs w:val="24"/>
        </w:rPr>
        <w:t>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(1), 83–103.</w:t>
      </w:r>
    </w:p>
    <w:p w14:paraId="24DC28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A., Presentación, M. J., Siegenthaler, R., &amp; Jara, P. (2013). Effects of a psychosocial intervention on the executive functioning in children with ADHD. </w:t>
      </w:r>
      <w:r w:rsidRPr="001768F9">
        <w:rPr>
          <w:rFonts w:ascii="Times New Roman" w:eastAsia="Times New Roman" w:hAnsi="Times New Roman" w:cs="Times New Roman"/>
          <w:i/>
          <w:iCs/>
          <w:sz w:val="24"/>
          <w:szCs w:val="24"/>
        </w:rPr>
        <w:t>Journal of Learning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(4), 363–376. </w:t>
      </w:r>
      <w:hyperlink r:id="rId3919" w:history="1">
        <w:r w:rsidRPr="001768F9">
          <w:rPr>
            <w:rFonts w:ascii="Times New Roman" w:eastAsia="Times New Roman" w:hAnsi="Times New Roman" w:cs="Times New Roman"/>
            <w:color w:val="0000FF"/>
            <w:sz w:val="24"/>
            <w:szCs w:val="24"/>
            <w:u w:val="single"/>
          </w:rPr>
          <w:t>https://doi.org/10.1177/0022219411427349</w:t>
        </w:r>
      </w:hyperlink>
    </w:p>
    <w:p w14:paraId="2D06DA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A. R., Franchetto Sierra, J., Martínez Roulet, A., Rivadero, L., Serra, S. V., &amp; Soria, E. A. (2020). Age, education and gender effects on Wisconsin card sorting test: Standardization, reliability and validity in healthy Argentinean adults.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(6), 807–825. </w:t>
      </w:r>
      <w:hyperlink r:id="rId3920" w:history="1">
        <w:r w:rsidRPr="001768F9">
          <w:rPr>
            <w:rFonts w:ascii="Times New Roman" w:eastAsia="Times New Roman" w:hAnsi="Times New Roman" w:cs="Times New Roman"/>
            <w:color w:val="0000FF"/>
            <w:sz w:val="24"/>
            <w:szCs w:val="24"/>
            <w:u w:val="single"/>
          </w:rPr>
          <w:t>https://doi.org/10.1080/13825585.2019.1693491</w:t>
        </w:r>
      </w:hyperlink>
    </w:p>
    <w:p w14:paraId="7AFB12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M. C., Barbosa, T., Muszkat, M., Rodrigues, C. C., Sinnes, E. G., Coelho, L. F. S., Rizzuti, S., Palma, S. M. M., &amp; Bueno, O. F. A. (2012). Performance patterns in Conners’ CPT among children with attention deficit hyperactivity disorder and dyslexia.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70</w:t>
      </w:r>
      <w:r w:rsidRPr="001768F9">
        <w:rPr>
          <w:rFonts w:ascii="Times New Roman" w:eastAsia="Times New Roman" w:hAnsi="Times New Roman" w:cs="Times New Roman"/>
          <w:sz w:val="24"/>
          <w:szCs w:val="24"/>
        </w:rPr>
        <w:t xml:space="preserve">(2), 91–96. </w:t>
      </w:r>
      <w:hyperlink r:id="rId3921" w:history="1">
        <w:r w:rsidRPr="001768F9">
          <w:rPr>
            <w:rFonts w:ascii="Times New Roman" w:eastAsia="Times New Roman" w:hAnsi="Times New Roman" w:cs="Times New Roman"/>
            <w:color w:val="0000FF"/>
            <w:sz w:val="24"/>
            <w:szCs w:val="24"/>
            <w:u w:val="single"/>
          </w:rPr>
          <w:t>https://doi.org/10.1590/S0004-282X2012000200004</w:t>
        </w:r>
      </w:hyperlink>
    </w:p>
    <w:p w14:paraId="0D05DE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R., Gallagher, M., Bauchner, B., Vaysman, R., &amp; Marroquín, B. (2012). Cognitive inflexibility as a prospective predictor of suicidal ideation among young adults with a suicide attempt history.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(3), 180–186. </w:t>
      </w:r>
      <w:hyperlink r:id="rId3922" w:history="1">
        <w:r w:rsidRPr="001768F9">
          <w:rPr>
            <w:rFonts w:ascii="Times New Roman" w:eastAsia="Times New Roman" w:hAnsi="Times New Roman" w:cs="Times New Roman"/>
            <w:color w:val="0000FF"/>
            <w:sz w:val="24"/>
            <w:szCs w:val="24"/>
            <w:u w:val="single"/>
          </w:rPr>
          <w:t>https://doi.org/10.1002/da.20915</w:t>
        </w:r>
      </w:hyperlink>
    </w:p>
    <w:p w14:paraId="3527BB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Miranda, R., Valderrama, J., Tsypes, A., Gadol, E., &amp; Gallagher, M. (2013). Cognitive inflexibility and suicidal ideation: Mediating role of brooding and hopelessness.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210</w:t>
      </w:r>
      <w:r w:rsidRPr="001768F9">
        <w:rPr>
          <w:rFonts w:ascii="Times New Roman" w:eastAsia="Times New Roman" w:hAnsi="Times New Roman" w:cs="Times New Roman"/>
          <w:sz w:val="24"/>
          <w:szCs w:val="24"/>
        </w:rPr>
        <w:t xml:space="preserve">(1), 174–181. </w:t>
      </w:r>
      <w:hyperlink r:id="rId3923" w:history="1">
        <w:r w:rsidRPr="001768F9">
          <w:rPr>
            <w:rFonts w:ascii="Times New Roman" w:eastAsia="Times New Roman" w:hAnsi="Times New Roman" w:cs="Times New Roman"/>
            <w:color w:val="0000FF"/>
            <w:sz w:val="24"/>
            <w:szCs w:val="24"/>
            <w:u w:val="single"/>
          </w:rPr>
          <w:t>https://doi.org/10.1016/j.psychres.2013.02.033</w:t>
        </w:r>
      </w:hyperlink>
    </w:p>
    <w:p w14:paraId="5041E5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Mirassou, A., Iannuzzi, S., Galbiati, C., Duflos, F., &amp; Billard, C. (2013). Ces professionnels difficilement accessibles: Neuropsychologue, psychomotricien, ergothérapeute, spécialiste en cognition mathématique. [These professionals of difficult access: Neuropsychologist, occupational therapist, psychomotor therapist, specialist. </w:t>
      </w:r>
      <w:r w:rsidRPr="001768F9">
        <w:rPr>
          <w:rFonts w:ascii="Times New Roman" w:eastAsia="Times New Roman" w:hAnsi="Times New Roman" w:cs="Times New Roman"/>
          <w:i/>
          <w:iCs/>
          <w:sz w:val="24"/>
          <w:szCs w:val="24"/>
        </w:rPr>
        <w:t>A.N.A.E. Approche Neuropsychologique Des Apprentissages Chez l’Enfant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(4[125]), 425–431.</w:t>
      </w:r>
    </w:p>
    <w:p w14:paraId="0B02F9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Miró, E., Lupiáñez, J., Hita, E., Martínez, M. P., Sánchez, A. I., &amp; Buela-Casal, G. (2011). Attentional deficits in fibromyalgia and its relationships with pain, emotional distress and sleep dysfunction complaints. </w:t>
      </w:r>
      <w:r w:rsidRPr="001768F9">
        <w:rPr>
          <w:rFonts w:ascii="Times New Roman" w:eastAsia="Times New Roman" w:hAnsi="Times New Roman" w:cs="Times New Roman"/>
          <w:i/>
          <w:iCs/>
          <w:sz w:val="24"/>
          <w:szCs w:val="24"/>
        </w:rPr>
        <w:t>Psychology &amp;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(6), 765–780. </w:t>
      </w:r>
      <w:hyperlink r:id="rId3924" w:history="1">
        <w:r w:rsidRPr="001768F9">
          <w:rPr>
            <w:rFonts w:ascii="Times New Roman" w:eastAsia="Times New Roman" w:hAnsi="Times New Roman" w:cs="Times New Roman"/>
            <w:color w:val="0000FF"/>
            <w:sz w:val="24"/>
            <w:szCs w:val="24"/>
            <w:u w:val="single"/>
          </w:rPr>
          <w:t>https://doi.org/10.1080/08870446.2010.493611</w:t>
        </w:r>
      </w:hyperlink>
    </w:p>
    <w:p w14:paraId="0C267B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Mirski, A., Pachalska, M., Mirska, N., Niworowska, O. J., Gryglicka, K., &amp; Kropotov, I. D. (2014). An evaluation of personalized neurofeedback training for Rolandic epilepsy: A case study.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(3), 359–375.</w:t>
      </w:r>
    </w:p>
    <w:p w14:paraId="3B4B4F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Mirsky, A. F., Bieliauskas, L. A., Duncan, C. C., &amp; French, L. M. (2013). Letter to the editor.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148</w:t>
      </w:r>
      <w:r w:rsidRPr="001768F9">
        <w:rPr>
          <w:rFonts w:ascii="Times New Roman" w:eastAsia="Times New Roman" w:hAnsi="Times New Roman" w:cs="Times New Roman"/>
          <w:sz w:val="24"/>
          <w:szCs w:val="24"/>
        </w:rPr>
        <w:t xml:space="preserve">(1–3), 186–187. </w:t>
      </w:r>
      <w:hyperlink r:id="rId3925" w:history="1">
        <w:r w:rsidRPr="001768F9">
          <w:rPr>
            <w:rFonts w:ascii="Times New Roman" w:eastAsia="Times New Roman" w:hAnsi="Times New Roman" w:cs="Times New Roman"/>
            <w:color w:val="0000FF"/>
            <w:sz w:val="24"/>
            <w:szCs w:val="24"/>
            <w:u w:val="single"/>
          </w:rPr>
          <w:t>https://doi.org/10.1016/j.schres.2013.06.011</w:t>
        </w:r>
      </w:hyperlink>
    </w:p>
    <w:p w14:paraId="533BA0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Mirsky, A. F., &amp; Duncan, C. C. (2004). The Attention Battery for Children: A Systematic Approach to Assessment. In </w:t>
      </w:r>
      <w:r w:rsidRPr="001768F9">
        <w:rPr>
          <w:rFonts w:ascii="Times New Roman" w:eastAsia="Times New Roman" w:hAnsi="Times New Roman" w:cs="Times New Roman"/>
          <w:i/>
          <w:iCs/>
          <w:sz w:val="24"/>
          <w:szCs w:val="24"/>
        </w:rPr>
        <w:t>Comprehensive handbook of psychological assessment, Vol. 1: Intellectual and neuropsychological assessment.</w:t>
      </w:r>
      <w:r w:rsidRPr="001768F9">
        <w:rPr>
          <w:rFonts w:ascii="Times New Roman" w:eastAsia="Times New Roman" w:hAnsi="Times New Roman" w:cs="Times New Roman"/>
          <w:sz w:val="24"/>
          <w:szCs w:val="24"/>
        </w:rPr>
        <w:t xml:space="preserve"> (pp. 277–292). John Wiley &amp; Sons Inc.</w:t>
      </w:r>
    </w:p>
    <w:p w14:paraId="31937D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Mitaki, S., Isomura, M., Maniwa, K., Yamasaki, M., Nagai, A., Nabika, T., &amp; Yamaguchi, S. (2013). Impact of five SNPs in dopamine‐related genes on executive function. </w:t>
      </w:r>
      <w:r w:rsidRPr="001768F9">
        <w:rPr>
          <w:rFonts w:ascii="Times New Roman" w:eastAsia="Times New Roman" w:hAnsi="Times New Roman" w:cs="Times New Roman"/>
          <w:i/>
          <w:iCs/>
          <w:sz w:val="24"/>
          <w:szCs w:val="24"/>
        </w:rPr>
        <w:t>Acta Neurologica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 70–76. </w:t>
      </w:r>
      <w:hyperlink r:id="rId3926" w:history="1">
        <w:r w:rsidRPr="001768F9">
          <w:rPr>
            <w:rFonts w:ascii="Times New Roman" w:eastAsia="Times New Roman" w:hAnsi="Times New Roman" w:cs="Times New Roman"/>
            <w:color w:val="0000FF"/>
            <w:sz w:val="24"/>
            <w:szCs w:val="24"/>
            <w:u w:val="single"/>
          </w:rPr>
          <w:t>https://doi.org/10.1111/j.1600-0404.2012.01673.x</w:t>
        </w:r>
      </w:hyperlink>
    </w:p>
    <w:p w14:paraId="022F8E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Mitchell, D. B., &amp; Bruss, P. J. (2003). Age Differences in Implicit Memory: Conceptual, Perceptual, or Methodological?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807–822. </w:t>
      </w:r>
      <w:hyperlink r:id="rId3927" w:history="1">
        <w:r w:rsidRPr="001768F9">
          <w:rPr>
            <w:rFonts w:ascii="Times New Roman" w:eastAsia="Times New Roman" w:hAnsi="Times New Roman" w:cs="Times New Roman"/>
            <w:color w:val="0000FF"/>
            <w:sz w:val="24"/>
            <w:szCs w:val="24"/>
            <w:u w:val="single"/>
          </w:rPr>
          <w:t>https://doi.org/10.1037/0882-7974.18.4.807</w:t>
        </w:r>
      </w:hyperlink>
    </w:p>
    <w:p w14:paraId="757E21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Mitchell, D. G. V., Avny, S. B., &amp; Blair, R. J. R. (2006). Divergent Patterns of Aggressive and Neurocognitive Characteristics in Acquired Versus Developmental Psychopathy.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164–178. </w:t>
      </w:r>
      <w:hyperlink r:id="rId3928" w:history="1">
        <w:r w:rsidRPr="001768F9">
          <w:rPr>
            <w:rFonts w:ascii="Times New Roman" w:eastAsia="Times New Roman" w:hAnsi="Times New Roman" w:cs="Times New Roman"/>
            <w:color w:val="0000FF"/>
            <w:sz w:val="24"/>
            <w:szCs w:val="24"/>
            <w:u w:val="single"/>
          </w:rPr>
          <w:t>https://doi.org/10.1080/13554790600611288</w:t>
        </w:r>
      </w:hyperlink>
    </w:p>
    <w:p w14:paraId="02C5F2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Mitchell, P., &amp; Ziegler, F. (2013). </w:t>
      </w:r>
      <w:r w:rsidRPr="001768F9">
        <w:rPr>
          <w:rFonts w:ascii="Times New Roman" w:eastAsia="Times New Roman" w:hAnsi="Times New Roman" w:cs="Times New Roman"/>
          <w:i/>
          <w:iCs/>
          <w:sz w:val="24"/>
          <w:szCs w:val="24"/>
        </w:rPr>
        <w:t>Fundamentals of developmental psychology, 2nd ed.</w:t>
      </w:r>
      <w:r w:rsidRPr="001768F9">
        <w:rPr>
          <w:rFonts w:ascii="Times New Roman" w:eastAsia="Times New Roman" w:hAnsi="Times New Roman" w:cs="Times New Roman"/>
          <w:sz w:val="24"/>
          <w:szCs w:val="24"/>
        </w:rPr>
        <w:t xml:space="preserve"> (pp. xiii, 308). Psychology Press.</w:t>
      </w:r>
    </w:p>
    <w:p w14:paraId="7EE755D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Mitelman, S. A., Buchsbaum, M. S., Christian, B. T., Merrill, B. M., Buchsbaum, B. R., Mukherjee, J., &amp; Lehrer, D. S. (2020). Positive association between cerebral grey matter metabolism and dopamine D₂/D₃ receptor availability in healthy and schizophrenia subjects: An </w:t>
      </w:r>
      <w:r w:rsidRPr="001768F9">
        <w:rPr>
          <w:rFonts w:ascii="Times New Roman" w:eastAsia="Times New Roman" w:hAnsi="Times New Roman" w:cs="Times New Roman"/>
          <w:sz w:val="24"/>
          <w:szCs w:val="24"/>
          <w:vertAlign w:val="superscript"/>
        </w:rPr>
        <w:t>18</w:t>
      </w:r>
      <w:r w:rsidRPr="001768F9">
        <w:rPr>
          <w:rFonts w:ascii="Times New Roman" w:eastAsia="Times New Roman" w:hAnsi="Times New Roman" w:cs="Times New Roman"/>
          <w:sz w:val="24"/>
          <w:szCs w:val="24"/>
        </w:rPr>
        <w:t xml:space="preserve">F-fluorodeoxyglucose and </w:t>
      </w:r>
      <w:r w:rsidRPr="001768F9">
        <w:rPr>
          <w:rFonts w:ascii="Times New Roman" w:eastAsia="Times New Roman" w:hAnsi="Times New Roman" w:cs="Times New Roman"/>
          <w:sz w:val="24"/>
          <w:szCs w:val="24"/>
          <w:vertAlign w:val="superscript"/>
        </w:rPr>
        <w:t>18</w:t>
      </w:r>
      <w:r w:rsidRPr="001768F9">
        <w:rPr>
          <w:rFonts w:ascii="Times New Roman" w:eastAsia="Times New Roman" w:hAnsi="Times New Roman" w:cs="Times New Roman"/>
          <w:sz w:val="24"/>
          <w:szCs w:val="24"/>
        </w:rPr>
        <w:t xml:space="preserve">F-fallypride positron emission tomography study. </w:t>
      </w:r>
      <w:r w:rsidRPr="001768F9">
        <w:rPr>
          <w:rFonts w:ascii="Times New Roman" w:eastAsia="Times New Roman" w:hAnsi="Times New Roman" w:cs="Times New Roman"/>
          <w:i/>
          <w:iCs/>
          <w:sz w:val="24"/>
          <w:szCs w:val="24"/>
        </w:rPr>
        <w:t>The World Journal of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368–382. </w:t>
      </w:r>
      <w:hyperlink r:id="rId3929" w:history="1">
        <w:r w:rsidRPr="001768F9">
          <w:rPr>
            <w:rFonts w:ascii="Times New Roman" w:eastAsia="Times New Roman" w:hAnsi="Times New Roman" w:cs="Times New Roman"/>
            <w:color w:val="0000FF"/>
            <w:sz w:val="24"/>
            <w:szCs w:val="24"/>
            <w:u w:val="single"/>
          </w:rPr>
          <w:t>https://doi.org/10.1080/15622975.2019.1671609</w:t>
        </w:r>
      </w:hyperlink>
    </w:p>
    <w:p w14:paraId="0BD643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Mitolo, M., Gardini, S., Fasano, F., Crisi, G., Pelosi, A., Pazzaglia, F., &amp; Caffarra, P. (2013). Visuospatial memory and neuroimaging correlates in mild cognitive impairment.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(1), 75–90.</w:t>
      </w:r>
    </w:p>
    <w:p w14:paraId="35E671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Mitrushina, M., Boone, K. B., Razani, J., &amp; D’Elia, L. F. (2005). </w:t>
      </w:r>
      <w:r w:rsidRPr="001768F9">
        <w:rPr>
          <w:rFonts w:ascii="Times New Roman" w:eastAsia="Times New Roman" w:hAnsi="Times New Roman" w:cs="Times New Roman"/>
          <w:i/>
          <w:iCs/>
          <w:sz w:val="24"/>
          <w:szCs w:val="24"/>
        </w:rPr>
        <w:t>Handbook of normative data for neuropsychological assessment, 2nd ed.</w:t>
      </w:r>
      <w:r w:rsidRPr="001768F9">
        <w:rPr>
          <w:rFonts w:ascii="Times New Roman" w:eastAsia="Times New Roman" w:hAnsi="Times New Roman" w:cs="Times New Roman"/>
          <w:sz w:val="24"/>
          <w:szCs w:val="24"/>
        </w:rPr>
        <w:t xml:space="preserve"> (pp. xxii, 1029). Oxford University Press.</w:t>
      </w:r>
    </w:p>
    <w:p w14:paraId="64AAF20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Mittrach, M., Thünker, J., Winterer, G., Agelink, M. W., Regenbrecht, G., Arends, M., Mobascher, A., Kim, S.-J., Wölwer, W., Brinkmeyer, J., Gaebel, W., &amp; Cordes, J. (2010). The tolerability of rTMS treatment in schizophrenia with respect to cognitive function. </w:t>
      </w:r>
      <w:r w:rsidRPr="001768F9">
        <w:rPr>
          <w:rFonts w:ascii="Times New Roman" w:eastAsia="Times New Roman" w:hAnsi="Times New Roman" w:cs="Times New Roman"/>
          <w:i/>
          <w:iCs/>
          <w:sz w:val="24"/>
          <w:szCs w:val="24"/>
        </w:rPr>
        <w:t>Pharmacopsychiatry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(3), 110–117. </w:t>
      </w:r>
      <w:hyperlink r:id="rId3930" w:history="1">
        <w:r w:rsidRPr="001768F9">
          <w:rPr>
            <w:rFonts w:ascii="Times New Roman" w:eastAsia="Times New Roman" w:hAnsi="Times New Roman" w:cs="Times New Roman"/>
            <w:color w:val="0000FF"/>
            <w:sz w:val="24"/>
            <w:szCs w:val="24"/>
            <w:u w:val="single"/>
          </w:rPr>
          <w:t>https://doi.org/10.1055/s-0029-1242824</w:t>
        </w:r>
      </w:hyperlink>
    </w:p>
    <w:p w14:paraId="0D136F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Miura, H. (2009). Differences in frontal lobe function between violent and nonviolent conduct disorder in male adolescents.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(2), 161–166. </w:t>
      </w:r>
      <w:hyperlink r:id="rId3931" w:history="1">
        <w:r w:rsidRPr="001768F9">
          <w:rPr>
            <w:rFonts w:ascii="Times New Roman" w:eastAsia="Times New Roman" w:hAnsi="Times New Roman" w:cs="Times New Roman"/>
            <w:color w:val="0000FF"/>
            <w:sz w:val="24"/>
            <w:szCs w:val="24"/>
            <w:u w:val="single"/>
          </w:rPr>
          <w:t>https://doi.org/10.1111/j.1440-1819.2009.01935.x</w:t>
        </w:r>
      </w:hyperlink>
    </w:p>
    <w:p w14:paraId="3DA0B8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Miura, H., &amp; Fuchigami, Y. (2017). Impaired executive function in 14‐ to 16‐year‐old boys with conduct disorder is related to recidivism: A prospective longitudinal study. </w:t>
      </w:r>
      <w:r w:rsidRPr="001768F9">
        <w:rPr>
          <w:rFonts w:ascii="Times New Roman" w:eastAsia="Times New Roman" w:hAnsi="Times New Roman" w:cs="Times New Roman"/>
          <w:i/>
          <w:iCs/>
          <w:sz w:val="24"/>
          <w:szCs w:val="24"/>
        </w:rPr>
        <w:t>Criminal Behaviour and Mental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(2), 136–145. </w:t>
      </w:r>
      <w:hyperlink r:id="rId3932" w:history="1">
        <w:r w:rsidRPr="001768F9">
          <w:rPr>
            <w:rFonts w:ascii="Times New Roman" w:eastAsia="Times New Roman" w:hAnsi="Times New Roman" w:cs="Times New Roman"/>
            <w:color w:val="0000FF"/>
            <w:sz w:val="24"/>
            <w:szCs w:val="24"/>
            <w:u w:val="single"/>
          </w:rPr>
          <w:t>https://doi.org/10.1002/cbm.1993</w:t>
        </w:r>
      </w:hyperlink>
    </w:p>
    <w:p w14:paraId="59E171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Miwa, H., Tsuruta, K., &amp; Kondo, T. (2013). Avoidance of swallowing saliva: A symptom related to aberrant basal ganglia functions?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(3), 232–235. </w:t>
      </w:r>
      <w:hyperlink r:id="rId3933" w:history="1">
        <w:r w:rsidRPr="001768F9">
          <w:rPr>
            <w:rFonts w:ascii="Times New Roman" w:eastAsia="Times New Roman" w:hAnsi="Times New Roman" w:cs="Times New Roman"/>
            <w:color w:val="0000FF"/>
            <w:sz w:val="24"/>
            <w:szCs w:val="24"/>
            <w:u w:val="single"/>
          </w:rPr>
          <w:t>https://doi.org/10.1080/13554794.2012.667118</w:t>
        </w:r>
      </w:hyperlink>
    </w:p>
    <w:p w14:paraId="38CCD6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Miyajima, M., Omiya, H., Yamashita, K., Miyata, T., Yambe, K., Matsui, M., &amp; Denda, K. (2016). The effects of cognitive remediation therapy using the frontal/executive program for autism spectrum disorder. </w:t>
      </w:r>
      <w:r w:rsidRPr="001768F9">
        <w:rPr>
          <w:rFonts w:ascii="Times New Roman" w:eastAsia="Times New Roman" w:hAnsi="Times New Roman" w:cs="Times New Roman"/>
          <w:i/>
          <w:iCs/>
          <w:sz w:val="24"/>
          <w:szCs w:val="24"/>
        </w:rPr>
        <w:t>International Journal of Psychiatry in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(3), 223–235. </w:t>
      </w:r>
      <w:hyperlink r:id="rId3934" w:history="1">
        <w:r w:rsidRPr="001768F9">
          <w:rPr>
            <w:rFonts w:ascii="Times New Roman" w:eastAsia="Times New Roman" w:hAnsi="Times New Roman" w:cs="Times New Roman"/>
            <w:color w:val="0000FF"/>
            <w:sz w:val="24"/>
            <w:szCs w:val="24"/>
            <w:u w:val="single"/>
          </w:rPr>
          <w:t>https://doi.org/10.1177/0091217416651254</w:t>
        </w:r>
      </w:hyperlink>
    </w:p>
    <w:p w14:paraId="25568E7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Miyajima, M., Toyomaki, A., Hashimoto, N., Kusumi, I., Murohashi, H., &amp; Koyama, T. (2012). Discrepancy of neural response between exogenous and endogenous task switching: An event-related potentials study. </w:t>
      </w:r>
      <w:r w:rsidRPr="001768F9">
        <w:rPr>
          <w:rFonts w:ascii="Times New Roman" w:eastAsia="Times New Roman" w:hAnsi="Times New Roman" w:cs="Times New Roman"/>
          <w:i/>
          <w:iCs/>
          <w:sz w:val="24"/>
          <w:szCs w:val="24"/>
        </w:rPr>
        <w:t>NeuroReport: For Rapid Communication of 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(11), 642–646. </w:t>
      </w:r>
      <w:hyperlink r:id="rId3935" w:history="1">
        <w:r w:rsidRPr="001768F9">
          <w:rPr>
            <w:rFonts w:ascii="Times New Roman" w:eastAsia="Times New Roman" w:hAnsi="Times New Roman" w:cs="Times New Roman"/>
            <w:color w:val="0000FF"/>
            <w:sz w:val="24"/>
            <w:szCs w:val="24"/>
            <w:u w:val="single"/>
          </w:rPr>
          <w:t>https://doi.org/10.1097/WNR.0b013e328354b066</w:t>
        </w:r>
      </w:hyperlink>
    </w:p>
    <w:p w14:paraId="04A520F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Miyake, A., Friedman, N. P., Emerson, M. J., Witzki, A. H., &amp; Howerter, A. (2000). The unity and diversity of executive functions and their contributions to complex “frontal lobe” tasks: A latent variable analysis. </w:t>
      </w:r>
      <w:r w:rsidRPr="001768F9">
        <w:rPr>
          <w:rFonts w:ascii="Times New Roman" w:eastAsia="Times New Roman" w:hAnsi="Times New Roman" w:cs="Times New Roman"/>
          <w:i/>
          <w:iCs/>
          <w:sz w:val="24"/>
          <w:szCs w:val="24"/>
        </w:rPr>
        <w:t>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 49–100. </w:t>
      </w:r>
      <w:hyperlink r:id="rId3936" w:history="1">
        <w:r w:rsidRPr="001768F9">
          <w:rPr>
            <w:rFonts w:ascii="Times New Roman" w:eastAsia="Times New Roman" w:hAnsi="Times New Roman" w:cs="Times New Roman"/>
            <w:color w:val="0000FF"/>
            <w:sz w:val="24"/>
            <w:szCs w:val="24"/>
            <w:u w:val="single"/>
          </w:rPr>
          <w:t>https://doi.org/10.1006/cogp.1999.0734</w:t>
        </w:r>
      </w:hyperlink>
    </w:p>
    <w:p w14:paraId="4DEF39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Miyamoto, S., Jarskog, L. F., &amp; Fleischhacker, W. W. (2013). Alternative pharmacologic targets for the treatment of schizophrenia: Results from phase I and II trials. </w:t>
      </w:r>
      <w:r w:rsidRPr="001768F9">
        <w:rPr>
          <w:rFonts w:ascii="Times New Roman" w:eastAsia="Times New Roman" w:hAnsi="Times New Roman" w:cs="Times New Roman"/>
          <w:i/>
          <w:iCs/>
          <w:sz w:val="24"/>
          <w:szCs w:val="24"/>
        </w:rPr>
        <w:t>Current Opinion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(2), 158–165. </w:t>
      </w:r>
      <w:hyperlink r:id="rId3937" w:history="1">
        <w:r w:rsidRPr="001768F9">
          <w:rPr>
            <w:rFonts w:ascii="Times New Roman" w:eastAsia="Times New Roman" w:hAnsi="Times New Roman" w:cs="Times New Roman"/>
            <w:color w:val="0000FF"/>
            <w:sz w:val="24"/>
            <w:szCs w:val="24"/>
            <w:u w:val="single"/>
          </w:rPr>
          <w:t>https://doi.org/10.1097/YCO.0b013e32835d8296</w:t>
        </w:r>
      </w:hyperlink>
    </w:p>
    <w:p w14:paraId="6D8317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Miyata, A., Iwamoto, K., Kawano, N., Aleksic, B., Ando, M., Ebe, K., Fujita, K., Yokoyama, M., Akiyama, T., Igarashi, Y., &amp; Ozaki, N. (2018). Driving performance of stable outpatients with depression undergoing real‐world treatment.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72</w:t>
      </w:r>
      <w:r w:rsidRPr="001768F9">
        <w:rPr>
          <w:rFonts w:ascii="Times New Roman" w:eastAsia="Times New Roman" w:hAnsi="Times New Roman" w:cs="Times New Roman"/>
          <w:sz w:val="24"/>
          <w:szCs w:val="24"/>
        </w:rPr>
        <w:t xml:space="preserve">(6), 399–408. </w:t>
      </w:r>
      <w:hyperlink r:id="rId3938" w:history="1">
        <w:r w:rsidRPr="001768F9">
          <w:rPr>
            <w:rFonts w:ascii="Times New Roman" w:eastAsia="Times New Roman" w:hAnsi="Times New Roman" w:cs="Times New Roman"/>
            <w:color w:val="0000FF"/>
            <w:sz w:val="24"/>
            <w:szCs w:val="24"/>
            <w:u w:val="single"/>
          </w:rPr>
          <w:t>https://doi.org/10.1111/pcn.12648</w:t>
        </w:r>
      </w:hyperlink>
    </w:p>
    <w:p w14:paraId="591A28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Miyoshi, N., Kazui, H., Ogino, A., lshikawa, M., Miyake, H., Tokunaga, H., Ikejiri, Y., &amp; Takeda, M. (2005). Association between Cognitive Impairment and Gait Disturbance in Patients with Idiopathic Normal Pressure Hydrocephalus.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(2–3), 71–76. </w:t>
      </w:r>
      <w:hyperlink r:id="rId3939" w:history="1">
        <w:r w:rsidRPr="001768F9">
          <w:rPr>
            <w:rFonts w:ascii="Times New Roman" w:eastAsia="Times New Roman" w:hAnsi="Times New Roman" w:cs="Times New Roman"/>
            <w:color w:val="0000FF"/>
            <w:sz w:val="24"/>
            <w:szCs w:val="24"/>
            <w:u w:val="single"/>
          </w:rPr>
          <w:t>https://doi.org/10.1159/000085858</w:t>
        </w:r>
      </w:hyperlink>
    </w:p>
    <w:p w14:paraId="5B801C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Mısır, E., Bora, E., &amp; Akdede, B. B. (2018). Relationship between social-cognitive and social-perceptual aspects of theory of mind and neurocognitive deficits, insight level and schizotypal traits in obsessive-compulsive disorder.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83</w:t>
      </w:r>
      <w:r w:rsidRPr="001768F9">
        <w:rPr>
          <w:rFonts w:ascii="Times New Roman" w:eastAsia="Times New Roman" w:hAnsi="Times New Roman" w:cs="Times New Roman"/>
          <w:sz w:val="24"/>
          <w:szCs w:val="24"/>
        </w:rPr>
        <w:t xml:space="preserve">, 1–6. </w:t>
      </w:r>
      <w:hyperlink r:id="rId3940" w:history="1">
        <w:r w:rsidRPr="001768F9">
          <w:rPr>
            <w:rFonts w:ascii="Times New Roman" w:eastAsia="Times New Roman" w:hAnsi="Times New Roman" w:cs="Times New Roman"/>
            <w:color w:val="0000FF"/>
            <w:sz w:val="24"/>
            <w:szCs w:val="24"/>
            <w:u w:val="single"/>
          </w:rPr>
          <w:t>https://doi.org/10.1016/j.comppsych.2018.02.008</w:t>
        </w:r>
      </w:hyperlink>
    </w:p>
    <w:p w14:paraId="5CD110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Mlinac, M. E., &amp; Feng, M. C. (2016). Assessment of activities of daily living, self-care, and independence.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(6), 506–516. </w:t>
      </w:r>
      <w:hyperlink r:id="rId3941" w:history="1">
        <w:r w:rsidRPr="001768F9">
          <w:rPr>
            <w:rFonts w:ascii="Times New Roman" w:eastAsia="Times New Roman" w:hAnsi="Times New Roman" w:cs="Times New Roman"/>
            <w:color w:val="0000FF"/>
            <w:sz w:val="24"/>
            <w:szCs w:val="24"/>
            <w:u w:val="single"/>
          </w:rPr>
          <w:t>https://doi.org/10.1093/arclin/acw049</w:t>
        </w:r>
      </w:hyperlink>
    </w:p>
    <w:p w14:paraId="5B83D6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Mobbs, O., Iglesias, K., Golay, A., &amp; Van der Linden, M. (2011). Cognitive deficits in obese persons with and without binge eating disorder. Investigation using a mental flexibility task. </w:t>
      </w:r>
      <w:r w:rsidRPr="001768F9">
        <w:rPr>
          <w:rFonts w:ascii="Times New Roman" w:eastAsia="Times New Roman" w:hAnsi="Times New Roman" w:cs="Times New Roman"/>
          <w:i/>
          <w:iCs/>
          <w:sz w:val="24"/>
          <w:szCs w:val="24"/>
        </w:rPr>
        <w:t>Appetite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57</w:t>
      </w:r>
      <w:r w:rsidRPr="001768F9">
        <w:rPr>
          <w:rFonts w:ascii="Times New Roman" w:eastAsia="Times New Roman" w:hAnsi="Times New Roman" w:cs="Times New Roman"/>
          <w:sz w:val="24"/>
          <w:szCs w:val="24"/>
        </w:rPr>
        <w:t xml:space="preserve">(1), 263–271. </w:t>
      </w:r>
      <w:hyperlink r:id="rId3942" w:history="1">
        <w:r w:rsidRPr="001768F9">
          <w:rPr>
            <w:rFonts w:ascii="Times New Roman" w:eastAsia="Times New Roman" w:hAnsi="Times New Roman" w:cs="Times New Roman"/>
            <w:color w:val="0000FF"/>
            <w:sz w:val="24"/>
            <w:szCs w:val="24"/>
            <w:u w:val="single"/>
          </w:rPr>
          <w:t>https://doi.org/10.1016/j.appet.2011.04.023</w:t>
        </w:r>
      </w:hyperlink>
    </w:p>
    <w:p w14:paraId="6BBE3F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Möbes, J., Buddensiek, N., Dengler, R., Emrich, H. M., Peschel, T., &amp; Müller-Vahl, K. (2006). Neuropsychologische Störungen bei einem monozygoten Zwillingspaar mit Chorea-Akanthozytose. [Neuropsychological Disorders in Monozygotic Twins with Chorea Acanthocytosis.]. </w:t>
      </w:r>
      <w:r w:rsidRPr="001768F9">
        <w:rPr>
          <w:rFonts w:ascii="Times New Roman" w:eastAsia="Times New Roman" w:hAnsi="Times New Roman" w:cs="Times New Roman"/>
          <w:i/>
          <w:iCs/>
          <w:sz w:val="24"/>
          <w:szCs w:val="24"/>
        </w:rPr>
        <w:t>Zeitschrift Für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(2), 123–130. </w:t>
      </w:r>
      <w:hyperlink r:id="rId3943" w:history="1">
        <w:r w:rsidRPr="001768F9">
          <w:rPr>
            <w:rFonts w:ascii="Times New Roman" w:eastAsia="Times New Roman" w:hAnsi="Times New Roman" w:cs="Times New Roman"/>
            <w:color w:val="0000FF"/>
            <w:sz w:val="24"/>
            <w:szCs w:val="24"/>
            <w:u w:val="single"/>
          </w:rPr>
          <w:t>https://doi.org/10.1024/1016-264X.17.2.123</w:t>
        </w:r>
      </w:hyperlink>
    </w:p>
    <w:p w14:paraId="7C92D4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Mocan, O., Stanciu, O., &amp; Visu-Petra, L. (2014). Relating individual differences in internalizing symptoms to emotional attention set-shifting in children. </w:t>
      </w:r>
      <w:r w:rsidRPr="001768F9">
        <w:rPr>
          <w:rFonts w:ascii="Times New Roman" w:eastAsia="Times New Roman" w:hAnsi="Times New Roman" w:cs="Times New Roman"/>
          <w:i/>
          <w:iCs/>
          <w:sz w:val="24"/>
          <w:szCs w:val="24"/>
        </w:rPr>
        <w:t>Anxiety, Stress &amp; Coping: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(5), 509–526. </w:t>
      </w:r>
      <w:hyperlink r:id="rId3944" w:history="1">
        <w:r w:rsidRPr="001768F9">
          <w:rPr>
            <w:rFonts w:ascii="Times New Roman" w:eastAsia="Times New Roman" w:hAnsi="Times New Roman" w:cs="Times New Roman"/>
            <w:color w:val="0000FF"/>
            <w:sz w:val="24"/>
            <w:szCs w:val="24"/>
            <w:u w:val="single"/>
          </w:rPr>
          <w:t>https://doi.org/10.1080/10615806.2014.888419</w:t>
        </w:r>
      </w:hyperlink>
    </w:p>
    <w:p w14:paraId="27F848C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Mochizuki-Kawai, H., Kawamura, M., Hasegawa, Y., Mochizuki, S., Oeda, R., Yamanaka, K., &amp; Tagaya, H. (2004). Deficits in long-term retention of learned motor skills in patients with cortical or subcortical degeneration.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(13), 1858–1863. </w:t>
      </w:r>
      <w:hyperlink r:id="rId3945" w:history="1">
        <w:r w:rsidRPr="001768F9">
          <w:rPr>
            <w:rFonts w:ascii="Times New Roman" w:eastAsia="Times New Roman" w:hAnsi="Times New Roman" w:cs="Times New Roman"/>
            <w:color w:val="0000FF"/>
            <w:sz w:val="24"/>
            <w:szCs w:val="24"/>
            <w:u w:val="single"/>
          </w:rPr>
          <w:t>https://doi.org/10.1016/j.neuropsychologia.2004.03.012</w:t>
        </w:r>
      </w:hyperlink>
    </w:p>
    <w:p w14:paraId="7B0CC6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Mohammadi, N., Noroozian, M., Karamghadiri, N., &amp; Akhondzadeh, S. (2010). 5-HT3 antagonist for cognition improvement in schizophrenia: A double blind, placebo-controlled trial. </w:t>
      </w:r>
      <w:r w:rsidRPr="001768F9">
        <w:rPr>
          <w:rFonts w:ascii="Times New Roman" w:eastAsia="Times New Roman" w:hAnsi="Times New Roman" w:cs="Times New Roman"/>
          <w:i/>
          <w:iCs/>
          <w:sz w:val="24"/>
          <w:szCs w:val="24"/>
        </w:rPr>
        <w:t>Basic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(2), 10–14.</w:t>
      </w:r>
    </w:p>
    <w:p w14:paraId="342205D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Mohaplova, M. (2013). Hydrocephalus.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291–314). Nova Science Publishers.</w:t>
      </w:r>
    </w:p>
    <w:p w14:paraId="184619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(2013). Executive skills in older adults with GAD: Relations with clinical variables and CBT outcome. </w:t>
      </w:r>
      <w:r w:rsidRPr="001768F9">
        <w:rPr>
          <w:rFonts w:ascii="Times New Roman" w:eastAsia="Times New Roman" w:hAnsi="Times New Roman" w:cs="Times New Roman"/>
          <w:i/>
          <w:iCs/>
          <w:sz w:val="24"/>
          <w:szCs w:val="24"/>
        </w:rPr>
        <w:t>Journal of Anxiety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131–139. </w:t>
      </w:r>
      <w:hyperlink r:id="rId3946" w:history="1">
        <w:r w:rsidRPr="001768F9">
          <w:rPr>
            <w:rFonts w:ascii="Times New Roman" w:eastAsia="Times New Roman" w:hAnsi="Times New Roman" w:cs="Times New Roman"/>
            <w:color w:val="0000FF"/>
            <w:sz w:val="24"/>
            <w:szCs w:val="24"/>
            <w:u w:val="single"/>
          </w:rPr>
          <w:t>https://doi.org/10.1016/j.janxdis.2012.12.001</w:t>
        </w:r>
      </w:hyperlink>
    </w:p>
    <w:p w14:paraId="545A0A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Beaudreau, S. A., &amp; Price, R. B. (2015). Neurocognitive aspects of anxiety in cognitively intact older adults. In </w:t>
      </w:r>
      <w:r w:rsidRPr="001768F9">
        <w:rPr>
          <w:rFonts w:ascii="Times New Roman" w:eastAsia="Times New Roman" w:hAnsi="Times New Roman" w:cs="Times New Roman"/>
          <w:i/>
          <w:iCs/>
          <w:sz w:val="24"/>
          <w:szCs w:val="24"/>
        </w:rPr>
        <w:t>From symptom to synapse: A neurocognitive perspective on clinical psychology.</w:t>
      </w:r>
      <w:r w:rsidRPr="001768F9">
        <w:rPr>
          <w:rFonts w:ascii="Times New Roman" w:eastAsia="Times New Roman" w:hAnsi="Times New Roman" w:cs="Times New Roman"/>
          <w:sz w:val="24"/>
          <w:szCs w:val="24"/>
        </w:rPr>
        <w:t xml:space="preserve"> (pp. 121–150). Routledge/Taylor &amp; Francis Group.</w:t>
      </w:r>
    </w:p>
    <w:p w14:paraId="1D5934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&amp; DeVito, A. (2017). The impact of social threat cues on a card sorting task with attentional-shifting demands. </w:t>
      </w:r>
      <w:r w:rsidRPr="001768F9">
        <w:rPr>
          <w:rFonts w:ascii="Times New Roman" w:eastAsia="Times New Roman" w:hAnsi="Times New Roman" w:cs="Times New Roman"/>
          <w:i/>
          <w:iCs/>
          <w:sz w:val="24"/>
          <w:szCs w:val="24"/>
        </w:rPr>
        <w:t>Journal of Behavior Therapy and Experimental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57</w:t>
      </w:r>
      <w:r w:rsidRPr="001768F9">
        <w:rPr>
          <w:rFonts w:ascii="Times New Roman" w:eastAsia="Times New Roman" w:hAnsi="Times New Roman" w:cs="Times New Roman"/>
          <w:sz w:val="24"/>
          <w:szCs w:val="24"/>
        </w:rPr>
        <w:t xml:space="preserve">, 45–52. </w:t>
      </w:r>
      <w:hyperlink r:id="rId3947" w:history="1">
        <w:r w:rsidRPr="001768F9">
          <w:rPr>
            <w:rFonts w:ascii="Times New Roman" w:eastAsia="Times New Roman" w:hAnsi="Times New Roman" w:cs="Times New Roman"/>
            <w:color w:val="0000FF"/>
            <w:sz w:val="24"/>
            <w:szCs w:val="24"/>
            <w:u w:val="single"/>
          </w:rPr>
          <w:t>https://doi.org/10.1016/j.jbtep.2017.02.004</w:t>
        </w:r>
      </w:hyperlink>
    </w:p>
    <w:p w14:paraId="0239DA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Mohlman, J., Mangels, J., &amp; Craske, M. G. (2004). The Spider Phobia Card Sorting Test: An investigation of phobic fear and executive functioning. </w:t>
      </w:r>
      <w:r w:rsidRPr="001768F9">
        <w:rPr>
          <w:rFonts w:ascii="Times New Roman" w:eastAsia="Times New Roman" w:hAnsi="Times New Roman" w:cs="Times New Roman"/>
          <w:i/>
          <w:iCs/>
          <w:sz w:val="24"/>
          <w:szCs w:val="24"/>
        </w:rPr>
        <w:t>Cognition and 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(7), 939–960. </w:t>
      </w:r>
      <w:hyperlink r:id="rId3948" w:history="1">
        <w:r w:rsidRPr="001768F9">
          <w:rPr>
            <w:rFonts w:ascii="Times New Roman" w:eastAsia="Times New Roman" w:hAnsi="Times New Roman" w:cs="Times New Roman"/>
            <w:color w:val="0000FF"/>
            <w:sz w:val="24"/>
            <w:szCs w:val="24"/>
            <w:u w:val="single"/>
          </w:rPr>
          <w:t>https://doi.org/10.1080/02699930341000310</w:t>
        </w:r>
      </w:hyperlink>
    </w:p>
    <w:p w14:paraId="0070F1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Mohr, C., &amp; Ettinger, U. (2015). The role of dopamine in schizotypy. In </w:t>
      </w:r>
      <w:r w:rsidRPr="001768F9">
        <w:rPr>
          <w:rFonts w:ascii="Times New Roman" w:eastAsia="Times New Roman" w:hAnsi="Times New Roman" w:cs="Times New Roman"/>
          <w:i/>
          <w:iCs/>
          <w:sz w:val="24"/>
          <w:szCs w:val="24"/>
        </w:rPr>
        <w:t>Schizotypy: New dimensions.</w:t>
      </w:r>
      <w:r w:rsidRPr="001768F9">
        <w:rPr>
          <w:rFonts w:ascii="Times New Roman" w:eastAsia="Times New Roman" w:hAnsi="Times New Roman" w:cs="Times New Roman"/>
          <w:sz w:val="24"/>
          <w:szCs w:val="24"/>
        </w:rPr>
        <w:t xml:space="preserve"> (pp. 33–47). Routledge/Taylor &amp; Francis Group. </w:t>
      </w:r>
      <w:hyperlink r:id="rId3949" w:history="1">
        <w:r w:rsidRPr="001768F9">
          <w:rPr>
            <w:rFonts w:ascii="Times New Roman" w:eastAsia="Times New Roman" w:hAnsi="Times New Roman" w:cs="Times New Roman"/>
            <w:color w:val="0000FF"/>
            <w:sz w:val="24"/>
            <w:szCs w:val="24"/>
            <w:u w:val="single"/>
          </w:rPr>
          <w:t>https://doi.org/10.4324/9781315858562-3</w:t>
        </w:r>
      </w:hyperlink>
    </w:p>
    <w:p w14:paraId="07FC4E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Mohr, D. C., &amp; Cox, D. (2004). Multiple sclerosis. In </w:t>
      </w:r>
      <w:r w:rsidRPr="001768F9">
        <w:rPr>
          <w:rFonts w:ascii="Times New Roman" w:eastAsia="Times New Roman" w:hAnsi="Times New Roman" w:cs="Times New Roman"/>
          <w:i/>
          <w:iCs/>
          <w:sz w:val="24"/>
          <w:szCs w:val="24"/>
        </w:rPr>
        <w:t>Clinical handbook of health psychology: A practical guide to effective interventions, 2nd rev. &amp; exp. Ed.</w:t>
      </w:r>
      <w:r w:rsidRPr="001768F9">
        <w:rPr>
          <w:rFonts w:ascii="Times New Roman" w:eastAsia="Times New Roman" w:hAnsi="Times New Roman" w:cs="Times New Roman"/>
          <w:sz w:val="24"/>
          <w:szCs w:val="24"/>
        </w:rPr>
        <w:t xml:space="preserve"> (pp. 183–208). Hogrefe &amp; Huber Publishers.</w:t>
      </w:r>
    </w:p>
    <w:p w14:paraId="754F4A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Mohr, F., Hubmann, W., Albus, M., Franz, U., Hecht, S., Scherer, J., Binder, J., &amp; Sobizack, N. (2003). Neurological soft signs and neuropsychological performance in patients with first episode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121</w:t>
      </w:r>
      <w:r w:rsidRPr="001768F9">
        <w:rPr>
          <w:rFonts w:ascii="Times New Roman" w:eastAsia="Times New Roman" w:hAnsi="Times New Roman" w:cs="Times New Roman"/>
          <w:sz w:val="24"/>
          <w:szCs w:val="24"/>
        </w:rPr>
        <w:t xml:space="preserve">(1), 21–30. </w:t>
      </w:r>
      <w:hyperlink r:id="rId3950" w:history="1">
        <w:r w:rsidRPr="001768F9">
          <w:rPr>
            <w:rFonts w:ascii="Times New Roman" w:eastAsia="Times New Roman" w:hAnsi="Times New Roman" w:cs="Times New Roman"/>
            <w:color w:val="0000FF"/>
            <w:sz w:val="24"/>
            <w:szCs w:val="24"/>
            <w:u w:val="single"/>
          </w:rPr>
          <w:t>https://doi.org/10.1016/S0165-1781(03)00203-8</w:t>
        </w:r>
      </w:hyperlink>
    </w:p>
    <w:p w14:paraId="7DE2BA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Moitra, E., &amp; Armstrong, C. L. (2013). Neural substrates for heightened anxiety in children with brain tumors.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(5), 337–351. </w:t>
      </w:r>
      <w:hyperlink r:id="rId3951" w:history="1">
        <w:r w:rsidRPr="001768F9">
          <w:rPr>
            <w:rFonts w:ascii="Times New Roman" w:eastAsia="Times New Roman" w:hAnsi="Times New Roman" w:cs="Times New Roman"/>
            <w:color w:val="0000FF"/>
            <w:sz w:val="24"/>
            <w:szCs w:val="24"/>
            <w:u w:val="single"/>
          </w:rPr>
          <w:t>https://doi.org/10.1080/87565641.2013.799673</w:t>
        </w:r>
      </w:hyperlink>
    </w:p>
    <w:p w14:paraId="7E17EC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Mok, V. C. T., Wong, A., Yim, P., Fu, M., Lam, W. W. M., Hui, A. C., Yau, C., &amp; Wong, K. S. (2004). The validity and reliability of Chinese frontal assessment battery in evaluating executive dysfunction among Chinese patients with small subcortical infarct. </w:t>
      </w:r>
      <w:r w:rsidRPr="001768F9">
        <w:rPr>
          <w:rFonts w:ascii="Times New Roman" w:eastAsia="Times New Roman" w:hAnsi="Times New Roman" w:cs="Times New Roman"/>
          <w:i/>
          <w:iCs/>
          <w:sz w:val="24"/>
          <w:szCs w:val="24"/>
        </w:rPr>
        <w:t>Alzheimer Disease and Associated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68–74. </w:t>
      </w:r>
      <w:hyperlink r:id="rId3952" w:history="1">
        <w:r w:rsidRPr="001768F9">
          <w:rPr>
            <w:rFonts w:ascii="Times New Roman" w:eastAsia="Times New Roman" w:hAnsi="Times New Roman" w:cs="Times New Roman"/>
            <w:color w:val="0000FF"/>
            <w:sz w:val="24"/>
            <w:szCs w:val="24"/>
            <w:u w:val="single"/>
          </w:rPr>
          <w:t>https://doi.org/10.1097/01.wad.0000126617.54783.7</w:t>
        </w:r>
      </w:hyperlink>
    </w:p>
    <w:p w14:paraId="76EBF2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Mokler, D. J., Miller, C. E., &amp; McGaughy, J. A. (2017). Evidence for a role of corticopetal, noradrenergic systems in the development of executive function. </w:t>
      </w:r>
      <w:r w:rsidRPr="001768F9">
        <w:rPr>
          <w:rFonts w:ascii="Times New Roman" w:eastAsia="Times New Roman" w:hAnsi="Times New Roman" w:cs="Times New Roman"/>
          <w:i/>
          <w:iCs/>
          <w:sz w:val="24"/>
          <w:szCs w:val="24"/>
        </w:rPr>
        <w:t>Neurobiology of Learning and Memory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 94–100. </w:t>
      </w:r>
      <w:hyperlink r:id="rId3953" w:history="1">
        <w:r w:rsidRPr="001768F9">
          <w:rPr>
            <w:rFonts w:ascii="Times New Roman" w:eastAsia="Times New Roman" w:hAnsi="Times New Roman" w:cs="Times New Roman"/>
            <w:color w:val="0000FF"/>
            <w:sz w:val="24"/>
            <w:szCs w:val="24"/>
            <w:u w:val="single"/>
          </w:rPr>
          <w:t>https://doi.org/10.1016/j.nlm.2017.02.011</w:t>
        </w:r>
      </w:hyperlink>
    </w:p>
    <w:p w14:paraId="54BEB4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Molho, C. E. G. (1997). </w:t>
      </w:r>
      <w:r w:rsidRPr="001768F9">
        <w:rPr>
          <w:rFonts w:ascii="Times New Roman" w:eastAsia="Times New Roman" w:hAnsi="Times New Roman" w:cs="Times New Roman"/>
          <w:i/>
          <w:iCs/>
          <w:sz w:val="24"/>
          <w:szCs w:val="24"/>
        </w:rPr>
        <w:t>A preliminary investigation of the validity of the Children’s Executive Functions Scale.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57</w:t>
      </w:r>
      <w:r w:rsidRPr="001768F9">
        <w:rPr>
          <w:rFonts w:ascii="Times New Roman" w:eastAsia="Times New Roman" w:hAnsi="Times New Roman" w:cs="Times New Roman"/>
          <w:sz w:val="24"/>
          <w:szCs w:val="24"/>
        </w:rPr>
        <w:t>(11-B), 7231–7231.</w:t>
      </w:r>
    </w:p>
    <w:p w14:paraId="332457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J. L., Alemán, G. G., Florenzano, N., Padilla, E., Calvó, M., Guerrero, G., Kamis, D., Stratton, L., Toranzo, J., Rangeon, B. M., Cuervo, H. H., Bourdieu, M., Sedó, M., Strejilevich, S., Cloninger, C. R., Escobar, J. I., &amp; de Erausquin, G. A. (2016). Prediction of neurocognitive deficits by parkinsonian motor impairment in schizophrenia: A study in neuroleptic-naïve subjects, unaffected first-degree relatives and healthy controls from an indigenous population.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(6), 1486–1495. </w:t>
      </w:r>
      <w:hyperlink r:id="rId3954" w:history="1">
        <w:r w:rsidRPr="001768F9">
          <w:rPr>
            <w:rFonts w:ascii="Times New Roman" w:eastAsia="Times New Roman" w:hAnsi="Times New Roman" w:cs="Times New Roman"/>
            <w:color w:val="0000FF"/>
            <w:sz w:val="24"/>
            <w:szCs w:val="24"/>
            <w:u w:val="single"/>
          </w:rPr>
          <w:t>https://doi.org/10.1093/schbul/sbw023</w:t>
        </w:r>
      </w:hyperlink>
    </w:p>
    <w:p w14:paraId="14355A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M., Palacio, J. D., Vargas, C., Díaz-Zuluaga, A. M., Berruecos, Y. A., Ospina, S., &amp; López-Jaramillo, C. (2016). Desempeño neurocognitivo de pacientes con trastorno afectivo bipolar tipo I en eutimia con y sin antecedente de psicosis de un programa de intervención multimodal: PRISMA. [Neurocognitive performance in euthymic bipolar I patients with and without history. </w:t>
      </w:r>
      <w:r w:rsidRPr="001768F9">
        <w:rPr>
          <w:rFonts w:ascii="Times New Roman" w:eastAsia="Times New Roman" w:hAnsi="Times New Roman" w:cs="Times New Roman"/>
          <w:i/>
          <w:iCs/>
          <w:sz w:val="24"/>
          <w:szCs w:val="24"/>
        </w:rPr>
        <w:t>Revista Colombiana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(4), 230–237. </w:t>
      </w:r>
      <w:hyperlink r:id="rId3955" w:history="1">
        <w:r w:rsidRPr="001768F9">
          <w:rPr>
            <w:rFonts w:ascii="Times New Roman" w:eastAsia="Times New Roman" w:hAnsi="Times New Roman" w:cs="Times New Roman"/>
            <w:color w:val="0000FF"/>
            <w:sz w:val="24"/>
            <w:szCs w:val="24"/>
            <w:u w:val="single"/>
          </w:rPr>
          <w:t>https://doi.org/10.1016/j.rcp.2016.01.003</w:t>
        </w:r>
      </w:hyperlink>
    </w:p>
    <w:p w14:paraId="5DD7BF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Álvarez-Astorga, A., Lubeiro, A., Ortega, D., Jiménez, M., del Valle, P., Marqués, P., &amp; de Luis-García, R. (2018). Early neglect associated to prefrontal structural disconnectivity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192</w:t>
      </w:r>
      <w:r w:rsidRPr="001768F9">
        <w:rPr>
          <w:rFonts w:ascii="Times New Roman" w:eastAsia="Times New Roman" w:hAnsi="Times New Roman" w:cs="Times New Roman"/>
          <w:sz w:val="24"/>
          <w:szCs w:val="24"/>
        </w:rPr>
        <w:t xml:space="preserve">, 487–488. </w:t>
      </w:r>
      <w:hyperlink r:id="rId3956" w:history="1">
        <w:r w:rsidRPr="001768F9">
          <w:rPr>
            <w:rFonts w:ascii="Times New Roman" w:eastAsia="Times New Roman" w:hAnsi="Times New Roman" w:cs="Times New Roman"/>
            <w:color w:val="0000FF"/>
            <w:sz w:val="24"/>
            <w:szCs w:val="24"/>
            <w:u w:val="single"/>
          </w:rPr>
          <w:t>https://doi.org/10.1016/j.schres.2017.06.005</w:t>
        </w:r>
      </w:hyperlink>
    </w:p>
    <w:p w14:paraId="38CB40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Bachiller, A., de Luis, R., Lubeiro, A., Poza, J., Hornero, R., Alonso, J. F., Mañanas, M. A., Marqués, P., &amp; Romero, S. (2019). Topography of activation deficits in schizophrenia during P300 task related to cognition and structural connectivity.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269</w:t>
      </w:r>
      <w:r w:rsidRPr="001768F9">
        <w:rPr>
          <w:rFonts w:ascii="Times New Roman" w:eastAsia="Times New Roman" w:hAnsi="Times New Roman" w:cs="Times New Roman"/>
          <w:sz w:val="24"/>
          <w:szCs w:val="24"/>
        </w:rPr>
        <w:t xml:space="preserve">(4), 419–428. </w:t>
      </w:r>
      <w:hyperlink r:id="rId3957" w:history="1">
        <w:r w:rsidRPr="001768F9">
          <w:rPr>
            <w:rFonts w:ascii="Times New Roman" w:eastAsia="Times New Roman" w:hAnsi="Times New Roman" w:cs="Times New Roman"/>
            <w:color w:val="0000FF"/>
            <w:sz w:val="24"/>
            <w:szCs w:val="24"/>
            <w:u w:val="single"/>
          </w:rPr>
          <w:t>https://doi.org/10.1007/s00406-018-0877-3</w:t>
        </w:r>
      </w:hyperlink>
    </w:p>
    <w:p w14:paraId="686A089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Bachiller, A., Gomez-Pilar, J., Lubeiro, A., Hornero, R., Cea-Cañas, B., Valcárcel, C., Haidar, M.-K., &amp; Poza, J. (2018). Deficit of entropy modulation of the EEG in schizophrenia associated to cognitive performance and symptoms. A replication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195</w:t>
      </w:r>
      <w:r w:rsidRPr="001768F9">
        <w:rPr>
          <w:rFonts w:ascii="Times New Roman" w:eastAsia="Times New Roman" w:hAnsi="Times New Roman" w:cs="Times New Roman"/>
          <w:sz w:val="24"/>
          <w:szCs w:val="24"/>
        </w:rPr>
        <w:t xml:space="preserve">, 334–342. </w:t>
      </w:r>
      <w:hyperlink r:id="rId3958" w:history="1">
        <w:r w:rsidRPr="001768F9">
          <w:rPr>
            <w:rFonts w:ascii="Times New Roman" w:eastAsia="Times New Roman" w:hAnsi="Times New Roman" w:cs="Times New Roman"/>
            <w:color w:val="0000FF"/>
            <w:sz w:val="24"/>
            <w:szCs w:val="24"/>
            <w:u w:val="single"/>
          </w:rPr>
          <w:t>https://doi.org/10.1016/j.schres.2017.08.057</w:t>
        </w:r>
      </w:hyperlink>
    </w:p>
    <w:p w14:paraId="46D8679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Cortés, B., Pérez, J., Martín, C., Villa, R., López, D. E., &amp; Sancho, C. (2010). No association between prepulse inhibition of the startle reflex and neuropsychological deficit in chronic schizophrenia.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260</w:t>
      </w:r>
      <w:r w:rsidRPr="001768F9">
        <w:rPr>
          <w:rFonts w:ascii="Times New Roman" w:eastAsia="Times New Roman" w:hAnsi="Times New Roman" w:cs="Times New Roman"/>
          <w:sz w:val="24"/>
          <w:szCs w:val="24"/>
        </w:rPr>
        <w:t xml:space="preserve">(8), 609–615. </w:t>
      </w:r>
      <w:hyperlink r:id="rId3959" w:history="1">
        <w:r w:rsidRPr="001768F9">
          <w:rPr>
            <w:rFonts w:ascii="Times New Roman" w:eastAsia="Times New Roman" w:hAnsi="Times New Roman" w:cs="Times New Roman"/>
            <w:color w:val="0000FF"/>
            <w:sz w:val="24"/>
            <w:szCs w:val="24"/>
            <w:u w:val="single"/>
          </w:rPr>
          <w:t>https://doi.org/10.1007/s00406-010-0102-5</w:t>
        </w:r>
      </w:hyperlink>
    </w:p>
    <w:p w14:paraId="7709EF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Lubeiro, A., Soto, O., Rodriguez, M., Álvarez, A., Hernández, R., &amp; de Luis-García, R. (2017). Alterations in prefrontal connectivity in schizophrenia assessed using diffusion magnetic resonance imaging.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 107–115. </w:t>
      </w:r>
      <w:hyperlink r:id="rId3960" w:history="1">
        <w:r w:rsidRPr="001768F9">
          <w:rPr>
            <w:rFonts w:ascii="Times New Roman" w:eastAsia="Times New Roman" w:hAnsi="Times New Roman" w:cs="Times New Roman"/>
            <w:color w:val="0000FF"/>
            <w:sz w:val="24"/>
            <w:szCs w:val="24"/>
            <w:u w:val="single"/>
          </w:rPr>
          <w:t>https://doi.org/10.1016/j.pnpbp.2017.03.001</w:t>
        </w:r>
      </w:hyperlink>
    </w:p>
    <w:p w14:paraId="534657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Solera, S., Sanz, J., Sarramea, F., Luque, R., Rodríguez, R., Jiménez-Arriero, M. A., &amp; Palomo, T. (2009). Association between cerebral metabolic and structural abnormalities and cognitive performance in schizophrenia.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173</w:t>
      </w:r>
      <w:r w:rsidRPr="001768F9">
        <w:rPr>
          <w:rFonts w:ascii="Times New Roman" w:eastAsia="Times New Roman" w:hAnsi="Times New Roman" w:cs="Times New Roman"/>
          <w:sz w:val="24"/>
          <w:szCs w:val="24"/>
        </w:rPr>
        <w:t xml:space="preserve">(2), 88–93. </w:t>
      </w:r>
      <w:hyperlink r:id="rId3961" w:history="1">
        <w:r w:rsidRPr="001768F9">
          <w:rPr>
            <w:rFonts w:ascii="Times New Roman" w:eastAsia="Times New Roman" w:hAnsi="Times New Roman" w:cs="Times New Roman"/>
            <w:color w:val="0000FF"/>
            <w:sz w:val="24"/>
            <w:szCs w:val="24"/>
            <w:u w:val="single"/>
          </w:rPr>
          <w:t>https://doi.org/10.1016/j.pscychresns.2008.09.009</w:t>
        </w:r>
      </w:hyperlink>
    </w:p>
    <w:p w14:paraId="4C9896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Molina, V., Taboada, D., Aragüés, M., Hernández, J. A., &amp; Sanz-Fuentenebro, J. (2014). Greater clinical and cognitive improvement with clozapine and risperidone associated with a thinner cortex at baseline in first-episode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158</w:t>
      </w:r>
      <w:r w:rsidRPr="001768F9">
        <w:rPr>
          <w:rFonts w:ascii="Times New Roman" w:eastAsia="Times New Roman" w:hAnsi="Times New Roman" w:cs="Times New Roman"/>
          <w:sz w:val="24"/>
          <w:szCs w:val="24"/>
        </w:rPr>
        <w:t xml:space="preserve">(1–3), 223–229. </w:t>
      </w:r>
      <w:hyperlink r:id="rId3962" w:history="1">
        <w:r w:rsidRPr="001768F9">
          <w:rPr>
            <w:rFonts w:ascii="Times New Roman" w:eastAsia="Times New Roman" w:hAnsi="Times New Roman" w:cs="Times New Roman"/>
            <w:color w:val="0000FF"/>
            <w:sz w:val="24"/>
            <w:szCs w:val="24"/>
            <w:u w:val="single"/>
          </w:rPr>
          <w:t>https://doi.org/10.1016/j.schres.2014.06.042</w:t>
        </w:r>
      </w:hyperlink>
    </w:p>
    <w:p w14:paraId="14CEEE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Mollion, H., Ventre-Dominey, J., Dominey, P. F., &amp; Broussolle, E. (2003). Dissociable effects of dopaminergic therapy on spatial versus non-spatial working memory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(11), 1442–1451. </w:t>
      </w:r>
      <w:hyperlink r:id="rId3963" w:history="1">
        <w:r w:rsidRPr="001768F9">
          <w:rPr>
            <w:rFonts w:ascii="Times New Roman" w:eastAsia="Times New Roman" w:hAnsi="Times New Roman" w:cs="Times New Roman"/>
            <w:color w:val="0000FF"/>
            <w:sz w:val="24"/>
            <w:szCs w:val="24"/>
            <w:u w:val="single"/>
          </w:rPr>
          <w:t>https://doi.org/10.1016/S0028-3932(03)00114-3</w:t>
        </w:r>
      </w:hyperlink>
    </w:p>
    <w:p w14:paraId="61A9DC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 A., Durazzo, T. C., Abe, C., Gazdzinski, S., Pennington, D., Schmidt, T., &amp; Meyerhoff, D. J. (2014). Structural brain differences in alcohol-dependent individuals with and without comorbid substance dependence.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144</w:t>
      </w:r>
      <w:r w:rsidRPr="001768F9">
        <w:rPr>
          <w:rFonts w:ascii="Times New Roman" w:eastAsia="Times New Roman" w:hAnsi="Times New Roman" w:cs="Times New Roman"/>
          <w:sz w:val="24"/>
          <w:szCs w:val="24"/>
        </w:rPr>
        <w:t xml:space="preserve">, 170–177. </w:t>
      </w:r>
      <w:hyperlink r:id="rId3964" w:history="1">
        <w:r w:rsidRPr="001768F9">
          <w:rPr>
            <w:rFonts w:ascii="Times New Roman" w:eastAsia="Times New Roman" w:hAnsi="Times New Roman" w:cs="Times New Roman"/>
            <w:color w:val="0000FF"/>
            <w:sz w:val="24"/>
            <w:szCs w:val="24"/>
            <w:u w:val="single"/>
          </w:rPr>
          <w:t>https://doi.org/10.1016/j.drugalcdep.2014.09.010</w:t>
        </w:r>
      </w:hyperlink>
    </w:p>
    <w:p w14:paraId="4C7CB6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Monaci, L., &amp; Morris, R. G. (2012). Neuropsychological screening performance and the association with activities of daily living and instrumental activities of daily living in dementia: Baseline and 18‐ to 24‐month follow‐up.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(2), 197–204. </w:t>
      </w:r>
      <w:hyperlink r:id="rId3965" w:history="1">
        <w:r w:rsidRPr="001768F9">
          <w:rPr>
            <w:rFonts w:ascii="Times New Roman" w:eastAsia="Times New Roman" w:hAnsi="Times New Roman" w:cs="Times New Roman"/>
            <w:color w:val="0000FF"/>
            <w:sz w:val="24"/>
            <w:szCs w:val="24"/>
            <w:u w:val="single"/>
          </w:rPr>
          <w:t>https://doi.org/10.1002/gps.2709</w:t>
        </w:r>
      </w:hyperlink>
    </w:p>
    <w:p w14:paraId="6761CA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Monarch, E. S., Saykin, A. J., &amp; Flashman, L. A. (2004). Neuropsychological impairment in borderline personality disorder. </w:t>
      </w:r>
      <w:r w:rsidRPr="001768F9">
        <w:rPr>
          <w:rFonts w:ascii="Times New Roman" w:eastAsia="Times New Roman" w:hAnsi="Times New Roman" w:cs="Times New Roman"/>
          <w:i/>
          <w:iCs/>
          <w:sz w:val="24"/>
          <w:szCs w:val="24"/>
        </w:rPr>
        <w:t>Psychiatric Clinics of North America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67–82. </w:t>
      </w:r>
      <w:hyperlink r:id="rId3966" w:history="1">
        <w:r w:rsidRPr="001768F9">
          <w:rPr>
            <w:rFonts w:ascii="Times New Roman" w:eastAsia="Times New Roman" w:hAnsi="Times New Roman" w:cs="Times New Roman"/>
            <w:color w:val="0000FF"/>
            <w:sz w:val="24"/>
            <w:szCs w:val="24"/>
            <w:u w:val="single"/>
          </w:rPr>
          <w:t>https://doi.org/10.1016/S0193-953X(03)00109-6</w:t>
        </w:r>
      </w:hyperlink>
    </w:p>
    <w:p w14:paraId="2DABE5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Monchi, O., Degroot, C., Mejia-Constain, B., &amp; Bruneau, M.-A. (2012). Neuroimaging studies of different cognitive profiles in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(Suppl 1), S77–S79. </w:t>
      </w:r>
      <w:hyperlink r:id="rId3967" w:history="1">
        <w:r w:rsidRPr="001768F9">
          <w:rPr>
            <w:rFonts w:ascii="Times New Roman" w:eastAsia="Times New Roman" w:hAnsi="Times New Roman" w:cs="Times New Roman"/>
            <w:color w:val="0000FF"/>
            <w:sz w:val="24"/>
            <w:szCs w:val="24"/>
            <w:u w:val="single"/>
          </w:rPr>
          <w:t>https://doi.org/10.1016/S1353-8020(11)70025-6</w:t>
        </w:r>
      </w:hyperlink>
    </w:p>
    <w:p w14:paraId="367EA0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Monchi, O., Petrides, M., Mejia-Constain, B., &amp; Strafella, A. P. (2007). Cortical activity in Parkinson’s disease during executive processing depends on striatal involvement.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(1), 233–244. </w:t>
      </w:r>
      <w:hyperlink r:id="rId3968" w:history="1">
        <w:r w:rsidRPr="001768F9">
          <w:rPr>
            <w:rFonts w:ascii="Times New Roman" w:eastAsia="Times New Roman" w:hAnsi="Times New Roman" w:cs="Times New Roman"/>
            <w:color w:val="0000FF"/>
            <w:sz w:val="24"/>
            <w:szCs w:val="24"/>
            <w:u w:val="single"/>
          </w:rPr>
          <w:t>https://doi.org/10.1093/brain/awl326</w:t>
        </w:r>
      </w:hyperlink>
    </w:p>
    <w:p w14:paraId="32EBAF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Monchi, O., Taylor, J. G., &amp; Dagher, A. (2000). A neural model of working memory processes in normal subjects, Parkinson’s disease and schizophrenia for fMRI design and predictions. </w:t>
      </w:r>
      <w:r w:rsidRPr="001768F9">
        <w:rPr>
          <w:rFonts w:ascii="Times New Roman" w:eastAsia="Times New Roman" w:hAnsi="Times New Roman" w:cs="Times New Roman"/>
          <w:i/>
          <w:iCs/>
          <w:sz w:val="24"/>
          <w:szCs w:val="24"/>
        </w:rPr>
        <w:t>Neural Networks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(8–9), 953–973. </w:t>
      </w:r>
      <w:hyperlink r:id="rId3969" w:history="1">
        <w:r w:rsidRPr="001768F9">
          <w:rPr>
            <w:rFonts w:ascii="Times New Roman" w:eastAsia="Times New Roman" w:hAnsi="Times New Roman" w:cs="Times New Roman"/>
            <w:color w:val="0000FF"/>
            <w:sz w:val="24"/>
            <w:szCs w:val="24"/>
            <w:u w:val="single"/>
          </w:rPr>
          <w:t>https://doi.org/10.1016/S0893-6080(00)00058-7</w:t>
        </w:r>
      </w:hyperlink>
    </w:p>
    <w:p w14:paraId="16A8DE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Moncrieff, D. W., &amp; Black, J. R. (2008). Dichotic listening deficits in children with dyslexia. </w:t>
      </w:r>
      <w:r w:rsidRPr="001768F9">
        <w:rPr>
          <w:rFonts w:ascii="Times New Roman" w:eastAsia="Times New Roman" w:hAnsi="Times New Roman" w:cs="Times New Roman"/>
          <w:i/>
          <w:iCs/>
          <w:sz w:val="24"/>
          <w:szCs w:val="24"/>
        </w:rPr>
        <w:t>Dyslexia: An International Journal of Research and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54–75. </w:t>
      </w:r>
      <w:hyperlink r:id="rId3970" w:history="1">
        <w:r w:rsidRPr="001768F9">
          <w:rPr>
            <w:rFonts w:ascii="Times New Roman" w:eastAsia="Times New Roman" w:hAnsi="Times New Roman" w:cs="Times New Roman"/>
            <w:color w:val="0000FF"/>
            <w:sz w:val="24"/>
            <w:szCs w:val="24"/>
            <w:u w:val="single"/>
          </w:rPr>
          <w:t>https://doi.org/10.1002/dys.344</w:t>
        </w:r>
      </w:hyperlink>
    </w:p>
    <w:p w14:paraId="6764D4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Mondillon, L., Mermillod, M., Musca, S. C., Rieu, I., Vidal, T., Chambres, P., Auxiette, C., Dalens, H., Marie Coulangeon, L., Jalenques, I., Lemaire, J.-J., Ulla, M., Derost, P., Marques, A., &amp; Durif, F. (2012). The combined effect of subthalamic nuclei deep brain stimulation and L-dopa increases emotion recognition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(12), 2869–2879. </w:t>
      </w:r>
      <w:hyperlink r:id="rId3971" w:history="1">
        <w:r w:rsidRPr="001768F9">
          <w:rPr>
            <w:rFonts w:ascii="Times New Roman" w:eastAsia="Times New Roman" w:hAnsi="Times New Roman" w:cs="Times New Roman"/>
            <w:color w:val="0000FF"/>
            <w:sz w:val="24"/>
            <w:szCs w:val="24"/>
            <w:u w:val="single"/>
          </w:rPr>
          <w:t>https://doi.org/10.1016/j.neuropsychologia.2012.08.016</w:t>
        </w:r>
      </w:hyperlink>
    </w:p>
    <w:p w14:paraId="2234BE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Mônica, A. H., Patricia, T. P., &amp; María Cristina, Q. M. (2008). Función ejecutiva y cociente intelectual en pacientes con diagnóstico de esquizofrenia. [Executive function and intellectual quotient in schizophrenic patients.]. </w:t>
      </w:r>
      <w:r w:rsidRPr="001768F9">
        <w:rPr>
          <w:rFonts w:ascii="Times New Roman" w:eastAsia="Times New Roman" w:hAnsi="Times New Roman" w:cs="Times New Roman"/>
          <w:i/>
          <w:iCs/>
          <w:sz w:val="24"/>
          <w:szCs w:val="24"/>
        </w:rPr>
        <w:t>Acta Colombiana de Psicología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(2), 127–134.</w:t>
      </w:r>
    </w:p>
    <w:p w14:paraId="5C7AE5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Moniz, M., de Jesus, S. N., Viseu, J., Gonçalves, E., Moreira, S., &amp; Pacheco, A. (2016). Executive dysfunction in non-psychotic unipolar depressed patients: Assessement by the Wisconsin (Berg) Card Sorting Test. </w:t>
      </w:r>
      <w:r w:rsidRPr="001768F9">
        <w:rPr>
          <w:rFonts w:ascii="Times New Roman" w:eastAsia="Times New Roman" w:hAnsi="Times New Roman" w:cs="Times New Roman"/>
          <w:i/>
          <w:iCs/>
          <w:sz w:val="24"/>
          <w:szCs w:val="24"/>
        </w:rPr>
        <w:t>International Journal of Psychological Studies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112–118. </w:t>
      </w:r>
      <w:hyperlink r:id="rId3972" w:history="1">
        <w:r w:rsidRPr="001768F9">
          <w:rPr>
            <w:rFonts w:ascii="Times New Roman" w:eastAsia="Times New Roman" w:hAnsi="Times New Roman" w:cs="Times New Roman"/>
            <w:color w:val="0000FF"/>
            <w:sz w:val="24"/>
            <w:szCs w:val="24"/>
            <w:u w:val="single"/>
          </w:rPr>
          <w:t>https://doi.org/10.5539/ijps.v8n1p112</w:t>
        </w:r>
      </w:hyperlink>
    </w:p>
    <w:p w14:paraId="71B58C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Monteiro, L. C., Silva, V. A., &amp; Louzã, M. R. (2008). Insight, cognitive dysfunction and symptomatology in schizophrenia.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258</w:t>
      </w:r>
      <w:r w:rsidRPr="001768F9">
        <w:rPr>
          <w:rFonts w:ascii="Times New Roman" w:eastAsia="Times New Roman" w:hAnsi="Times New Roman" w:cs="Times New Roman"/>
          <w:sz w:val="24"/>
          <w:szCs w:val="24"/>
        </w:rPr>
        <w:t xml:space="preserve">(7), 402–405. </w:t>
      </w:r>
      <w:hyperlink r:id="rId3973" w:history="1">
        <w:r w:rsidRPr="001768F9">
          <w:rPr>
            <w:rFonts w:ascii="Times New Roman" w:eastAsia="Times New Roman" w:hAnsi="Times New Roman" w:cs="Times New Roman"/>
            <w:color w:val="0000FF"/>
            <w:sz w:val="24"/>
            <w:szCs w:val="24"/>
            <w:u w:val="single"/>
          </w:rPr>
          <w:t>https://doi.org/10.1007/s00406-008-0809-8</w:t>
        </w:r>
      </w:hyperlink>
    </w:p>
    <w:p w14:paraId="5CCC2B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Montemagni, C., Birindelli, N., Castagna, F., Mingrone, C., Sigaudo, M., Zappia, S., &amp; Rocca, P. (2009). Esito funzionale nella schizofrenia: Uno studio trasversale di confronto tra antipsicotici di prima e di seconda generazione. [Functional outcome in schizophrenia: A comparative cross-sectional study on first versus second generation antipsychotics.]. </w:t>
      </w:r>
      <w:r w:rsidRPr="001768F9">
        <w:rPr>
          <w:rFonts w:ascii="Times New Roman" w:eastAsia="Times New Roman" w:hAnsi="Times New Roman" w:cs="Times New Roman"/>
          <w:i/>
          <w:iCs/>
          <w:sz w:val="24"/>
          <w:szCs w:val="24"/>
        </w:rPr>
        <w:t>Rivista Di Psichiatria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(2), 110–116.</w:t>
      </w:r>
    </w:p>
    <w:p w14:paraId="1FAA72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Montemagni, C., Birindelli, N., Castagna, F., Mingrone, C., Sigaudo, M., Zappia, S., &amp; Rocca, P. (2011). Functional outcome in schizophrenia: A comparative cross-sectional study on first versus second generation antipsychotics. </w:t>
      </w:r>
      <w:r w:rsidRPr="001768F9">
        <w:rPr>
          <w:rFonts w:ascii="Times New Roman" w:eastAsia="Times New Roman" w:hAnsi="Times New Roman" w:cs="Times New Roman"/>
          <w:i/>
          <w:iCs/>
          <w:sz w:val="24"/>
          <w:szCs w:val="24"/>
        </w:rPr>
        <w:t>Yearbook of International Psychiatry and Behavioral Neurosciences - 2009.</w:t>
      </w:r>
      <w:r w:rsidRPr="001768F9">
        <w:rPr>
          <w:rFonts w:ascii="Times New Roman" w:eastAsia="Times New Roman" w:hAnsi="Times New Roman" w:cs="Times New Roman"/>
          <w:sz w:val="24"/>
          <w:szCs w:val="24"/>
        </w:rPr>
        <w:t>, 33–43.</w:t>
      </w:r>
    </w:p>
    <w:p w14:paraId="68F48F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Montemagni, C., Castagna, F., Crivelli, B., De Marzi, G., Frieri, T., Macrì, A., &amp; Rocca, P. (2014). Relative contributions of negative symptoms, insight, and coping strategies to quality of life in stable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220</w:t>
      </w:r>
      <w:r w:rsidRPr="001768F9">
        <w:rPr>
          <w:rFonts w:ascii="Times New Roman" w:eastAsia="Times New Roman" w:hAnsi="Times New Roman" w:cs="Times New Roman"/>
          <w:sz w:val="24"/>
          <w:szCs w:val="24"/>
        </w:rPr>
        <w:t xml:space="preserve">(1–2), 102–111. </w:t>
      </w:r>
      <w:hyperlink r:id="rId3974" w:history="1">
        <w:r w:rsidRPr="001768F9">
          <w:rPr>
            <w:rFonts w:ascii="Times New Roman" w:eastAsia="Times New Roman" w:hAnsi="Times New Roman" w:cs="Times New Roman"/>
            <w:color w:val="0000FF"/>
            <w:sz w:val="24"/>
            <w:szCs w:val="24"/>
            <w:u w:val="single"/>
          </w:rPr>
          <w:t>https://doi.org/10.1016/j.psychres.2014.07.019</w:t>
        </w:r>
      </w:hyperlink>
    </w:p>
    <w:p w14:paraId="092561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Montoya-Arenas, D. A., Aguirre-Acevedo, D. C., Soto, C. M. D., &amp; Salazar, D. A. P. (2018). Executive functions and high intellectual capacity in school-age: Completely overlap? </w:t>
      </w:r>
      <w:r w:rsidRPr="001768F9">
        <w:rPr>
          <w:rFonts w:ascii="Times New Roman" w:eastAsia="Times New Roman" w:hAnsi="Times New Roman" w:cs="Times New Roman"/>
          <w:i/>
          <w:iCs/>
          <w:sz w:val="24"/>
          <w:szCs w:val="24"/>
        </w:rPr>
        <w:t>International Journal of Psychological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(1), 19–32. </w:t>
      </w:r>
      <w:hyperlink r:id="rId3975" w:history="1">
        <w:r w:rsidRPr="001768F9">
          <w:rPr>
            <w:rFonts w:ascii="Times New Roman" w:eastAsia="Times New Roman" w:hAnsi="Times New Roman" w:cs="Times New Roman"/>
            <w:color w:val="0000FF"/>
            <w:sz w:val="24"/>
            <w:szCs w:val="24"/>
            <w:u w:val="single"/>
          </w:rPr>
          <w:t>https://doi.org/10.21500/20112084.3239</w:t>
        </w:r>
      </w:hyperlink>
    </w:p>
    <w:p w14:paraId="7A0A0AC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Montuschi, A., Iazzolino, B., Calvo, A., Moglia, C., Lopiano, L., Restagno, G., Brunetti, M., Ossola, I., Presti, A. L., Cammarosano, S., Canosa, A., &amp; Chiò, A. (2015). Cognitive correlates in amyotrophic lateral sclerosis: A population-based study in Italy.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86</w:t>
      </w:r>
      <w:r w:rsidRPr="001768F9">
        <w:rPr>
          <w:rFonts w:ascii="Times New Roman" w:eastAsia="Times New Roman" w:hAnsi="Times New Roman" w:cs="Times New Roman"/>
          <w:sz w:val="24"/>
          <w:szCs w:val="24"/>
        </w:rPr>
        <w:t xml:space="preserve">(2), 168–173. </w:t>
      </w:r>
      <w:hyperlink r:id="rId3976" w:history="1">
        <w:r w:rsidRPr="001768F9">
          <w:rPr>
            <w:rFonts w:ascii="Times New Roman" w:eastAsia="Times New Roman" w:hAnsi="Times New Roman" w:cs="Times New Roman"/>
            <w:color w:val="0000FF"/>
            <w:sz w:val="24"/>
            <w:szCs w:val="24"/>
            <w:u w:val="single"/>
          </w:rPr>
          <w:t>https://doi.org/10.1136/jnnp-2013-307223</w:t>
        </w:r>
      </w:hyperlink>
    </w:p>
    <w:p w14:paraId="6E4CCF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Mooney, M. E., Odlaug, B. L., Kim, S. W., &amp; Grant, J. E. (2011). Cigarette smoking status in pathological gamblers: Association with impulsivity and cognitive flexibility.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(1), 74–77. </w:t>
      </w:r>
      <w:hyperlink r:id="rId3977" w:history="1">
        <w:r w:rsidRPr="001768F9">
          <w:rPr>
            <w:rFonts w:ascii="Times New Roman" w:eastAsia="Times New Roman" w:hAnsi="Times New Roman" w:cs="Times New Roman"/>
            <w:color w:val="0000FF"/>
            <w:sz w:val="24"/>
            <w:szCs w:val="24"/>
            <w:u w:val="single"/>
          </w:rPr>
          <w:t>https://doi.org/10.1016/j.drugalcdep.2010.12.017</w:t>
        </w:r>
      </w:hyperlink>
    </w:p>
    <w:p w14:paraId="13AE61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B. D. ;, &amp; Frost, M. K. (2011). </w:t>
      </w:r>
      <w:r w:rsidRPr="001768F9">
        <w:rPr>
          <w:rFonts w:ascii="Times New Roman" w:eastAsia="Times New Roman" w:hAnsi="Times New Roman" w:cs="Times New Roman"/>
          <w:i/>
          <w:iCs/>
          <w:sz w:val="24"/>
          <w:szCs w:val="24"/>
        </w:rPr>
        <w:t>Neurofibromatosis, type 1: From gene to classroom.</w:t>
      </w:r>
      <w:r w:rsidRPr="001768F9">
        <w:rPr>
          <w:rFonts w:ascii="Times New Roman" w:eastAsia="Times New Roman" w:hAnsi="Times New Roman" w:cs="Times New Roman"/>
          <w:sz w:val="24"/>
          <w:szCs w:val="24"/>
        </w:rPr>
        <w:t xml:space="preserve"> (pp. 821–831).</w:t>
      </w:r>
    </w:p>
    <w:p w14:paraId="23E553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B. D., &amp; Frost, M. K. (2013). Cognitive disorders: Neurofibromatosis. In </w:t>
      </w:r>
      <w:r w:rsidRPr="001768F9">
        <w:rPr>
          <w:rFonts w:ascii="Times New Roman" w:eastAsia="Times New Roman" w:hAnsi="Times New Roman" w:cs="Times New Roman"/>
          <w:i/>
          <w:iCs/>
          <w:sz w:val="24"/>
          <w:szCs w:val="24"/>
        </w:rPr>
        <w:t>Psychopathology of childhood and adolescence: A neuropsychological approach.</w:t>
      </w:r>
      <w:r w:rsidRPr="001768F9">
        <w:rPr>
          <w:rFonts w:ascii="Times New Roman" w:eastAsia="Times New Roman" w:hAnsi="Times New Roman" w:cs="Times New Roman"/>
          <w:sz w:val="24"/>
          <w:szCs w:val="24"/>
        </w:rPr>
        <w:t xml:space="preserve"> (pp. 773–787). Springer Publishing Company.</w:t>
      </w:r>
    </w:p>
    <w:p w14:paraId="2FBF78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D. J., Masliah, E., Rippeth, J. D., Gonzalez, R., Carey, C. L., Cherner, M., Ellis, R. J., Achim, C. L., Marcotte, T. D., Heaton, R. K., &amp; Grant, I. (2006). Cortical and subcortical neurodegeneration is associated with HIV neurocognitive impairment. </w:t>
      </w:r>
      <w:r w:rsidRPr="001768F9">
        <w:rPr>
          <w:rFonts w:ascii="Times New Roman" w:eastAsia="Times New Roman" w:hAnsi="Times New Roman" w:cs="Times New Roman"/>
          <w:i/>
          <w:iCs/>
          <w:sz w:val="24"/>
          <w:szCs w:val="24"/>
        </w:rPr>
        <w:t>AIDS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879–887. </w:t>
      </w:r>
      <w:hyperlink r:id="rId3978" w:history="1">
        <w:r w:rsidRPr="001768F9">
          <w:rPr>
            <w:rFonts w:ascii="Times New Roman" w:eastAsia="Times New Roman" w:hAnsi="Times New Roman" w:cs="Times New Roman"/>
            <w:color w:val="0000FF"/>
            <w:sz w:val="24"/>
            <w:szCs w:val="24"/>
            <w:u w:val="single"/>
          </w:rPr>
          <w:t>https://doi.org/10.1097/01.aids.0000218552.69834.00</w:t>
        </w:r>
      </w:hyperlink>
    </w:p>
    <w:p w14:paraId="5F8983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K. S., Peterson, D. A., O’Shea, G., Mcintosh, G. C., &amp; Thaut, M. H. (2008). The effectiveness of music as a mnemonic device on recognition memory for people with multiple sclerosis. </w:t>
      </w:r>
      <w:r w:rsidRPr="001768F9">
        <w:rPr>
          <w:rFonts w:ascii="Times New Roman" w:eastAsia="Times New Roman" w:hAnsi="Times New Roman" w:cs="Times New Roman"/>
          <w:i/>
          <w:iCs/>
          <w:sz w:val="24"/>
          <w:szCs w:val="24"/>
        </w:rPr>
        <w:t>Journal of Music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(3), 307–329. </w:t>
      </w:r>
      <w:hyperlink r:id="rId3979" w:history="1">
        <w:r w:rsidRPr="001768F9">
          <w:rPr>
            <w:rFonts w:ascii="Times New Roman" w:eastAsia="Times New Roman" w:hAnsi="Times New Roman" w:cs="Times New Roman"/>
            <w:color w:val="0000FF"/>
            <w:sz w:val="24"/>
            <w:szCs w:val="24"/>
            <w:u w:val="single"/>
          </w:rPr>
          <w:t>https://doi.org/10.1093/jmt/45.3.307</w:t>
        </w:r>
      </w:hyperlink>
    </w:p>
    <w:p w14:paraId="397BF12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R. C., Campbell, L. M., Delgadillo, J. D., Paolillo, E. W., Sundermann, E. E., Holden, J., Schweitzer, P., Heaton, R. K., &amp; Swendsen, J. (2020). Smartphone-based measurement of executive function in older adults with and without HIV.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347–357. </w:t>
      </w:r>
      <w:hyperlink r:id="rId3980" w:history="1">
        <w:r w:rsidRPr="001768F9">
          <w:rPr>
            <w:rFonts w:ascii="Times New Roman" w:eastAsia="Times New Roman" w:hAnsi="Times New Roman" w:cs="Times New Roman"/>
            <w:color w:val="0000FF"/>
            <w:sz w:val="24"/>
            <w:szCs w:val="24"/>
            <w:u w:val="single"/>
          </w:rPr>
          <w:t>https://doi.org/10.1093/arclin/acz084</w:t>
        </w:r>
      </w:hyperlink>
    </w:p>
    <w:p w14:paraId="62DE6D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R. C., Harmell, A. L., Harvey, P. D., Bowie, C. R., Depp, C. A., Pulver, A. E., McGrath, J. A., Patterson, T. L., Cardenas, V., Wolyniec, P., Thornquist, M. H., Luke, J. R., Palmer, B. W., Jeste, D. V., &amp; Mausbach, B. T. (2015). Improving the understanding of the link between cognition and functional capacity in schizophrenia and bipolar disorder.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169</w:t>
      </w:r>
      <w:r w:rsidRPr="001768F9">
        <w:rPr>
          <w:rFonts w:ascii="Times New Roman" w:eastAsia="Times New Roman" w:hAnsi="Times New Roman" w:cs="Times New Roman"/>
          <w:sz w:val="24"/>
          <w:szCs w:val="24"/>
        </w:rPr>
        <w:t xml:space="preserve">(1–3), 121–127. </w:t>
      </w:r>
      <w:hyperlink r:id="rId3981" w:history="1">
        <w:r w:rsidRPr="001768F9">
          <w:rPr>
            <w:rFonts w:ascii="Times New Roman" w:eastAsia="Times New Roman" w:hAnsi="Times New Roman" w:cs="Times New Roman"/>
            <w:color w:val="0000FF"/>
            <w:sz w:val="24"/>
            <w:szCs w:val="24"/>
            <w:u w:val="single"/>
          </w:rPr>
          <w:t>https://doi.org/10.1016/j.schres.2015.09.017</w:t>
        </w:r>
      </w:hyperlink>
    </w:p>
    <w:p w14:paraId="0A1BEA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R. C., Hussain, M. A., Watson, C. W.-M., Fazeli, P. L., Marquine, M. J., Yarns, B. C., Jeste, D. V., &amp; Moore, D. J. (2018). Grit and ambition are associated with better neurocognitive and everyday functioning among adults living with HIV. </w:t>
      </w:r>
      <w:r w:rsidRPr="001768F9">
        <w:rPr>
          <w:rFonts w:ascii="Times New Roman" w:eastAsia="Times New Roman" w:hAnsi="Times New Roman" w:cs="Times New Roman"/>
          <w:i/>
          <w:iCs/>
          <w:sz w:val="24"/>
          <w:szCs w:val="24"/>
        </w:rPr>
        <w:t>AIDS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(10), 3214–3225. </w:t>
      </w:r>
      <w:hyperlink r:id="rId3982" w:history="1">
        <w:r w:rsidRPr="001768F9">
          <w:rPr>
            <w:rFonts w:ascii="Times New Roman" w:eastAsia="Times New Roman" w:hAnsi="Times New Roman" w:cs="Times New Roman"/>
            <w:color w:val="0000FF"/>
            <w:sz w:val="24"/>
            <w:szCs w:val="24"/>
            <w:u w:val="single"/>
          </w:rPr>
          <w:t>https://doi.org/10.1007/s10461-018-2061-1</w:t>
        </w:r>
      </w:hyperlink>
    </w:p>
    <w:p w14:paraId="6C12F9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T. L., Killiany, R. J., Herndon, J. G., Rosene, D. L., &amp; Moss, M. B. (2003). Impairment in abstraction and set shifting in aged Rhesus monkeys.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125–134. </w:t>
      </w:r>
      <w:hyperlink r:id="rId3983" w:history="1">
        <w:r w:rsidRPr="001768F9">
          <w:rPr>
            <w:rFonts w:ascii="Times New Roman" w:eastAsia="Times New Roman" w:hAnsi="Times New Roman" w:cs="Times New Roman"/>
            <w:color w:val="0000FF"/>
            <w:sz w:val="24"/>
            <w:szCs w:val="24"/>
            <w:u w:val="single"/>
          </w:rPr>
          <w:t>https://doi.org/10.1016/S0197-4580(02)00054-4</w:t>
        </w:r>
      </w:hyperlink>
    </w:p>
    <w:p w14:paraId="2EED0F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Moore, T. L., Killiany, R. J., Rosene, D. L., Prusty, S., Hollander, W., &amp; Moss, M. B. (2002). Impairment of executive function induced by hypertension in the Rhesus monkey (Macaca mulatta).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116</w:t>
      </w:r>
      <w:r w:rsidRPr="001768F9">
        <w:rPr>
          <w:rFonts w:ascii="Times New Roman" w:eastAsia="Times New Roman" w:hAnsi="Times New Roman" w:cs="Times New Roman"/>
          <w:sz w:val="24"/>
          <w:szCs w:val="24"/>
        </w:rPr>
        <w:t xml:space="preserve">(3), 387–396. </w:t>
      </w:r>
      <w:hyperlink r:id="rId3984" w:history="1">
        <w:r w:rsidRPr="001768F9">
          <w:rPr>
            <w:rFonts w:ascii="Times New Roman" w:eastAsia="Times New Roman" w:hAnsi="Times New Roman" w:cs="Times New Roman"/>
            <w:color w:val="0000FF"/>
            <w:sz w:val="24"/>
            <w:szCs w:val="24"/>
            <w:u w:val="single"/>
          </w:rPr>
          <w:t>https://doi.org/10.1037/0735-7044.116.3.387</w:t>
        </w:r>
      </w:hyperlink>
    </w:p>
    <w:p w14:paraId="578051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 N., &amp; Daches, S. (2015). Ruminative thinking: Lessons learned from cognitive training. </w:t>
      </w:r>
      <w:r w:rsidRPr="001768F9">
        <w:rPr>
          <w:rFonts w:ascii="Times New Roman" w:eastAsia="Times New Roman" w:hAnsi="Times New Roman" w:cs="Times New Roman"/>
          <w:i/>
          <w:iCs/>
          <w:sz w:val="24"/>
          <w:szCs w:val="24"/>
        </w:rPr>
        <w:t>Clinical Psychological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(4), 574–592. </w:t>
      </w:r>
      <w:hyperlink r:id="rId3985" w:history="1">
        <w:r w:rsidRPr="001768F9">
          <w:rPr>
            <w:rFonts w:ascii="Times New Roman" w:eastAsia="Times New Roman" w:hAnsi="Times New Roman" w:cs="Times New Roman"/>
            <w:color w:val="0000FF"/>
            <w:sz w:val="24"/>
            <w:szCs w:val="24"/>
            <w:u w:val="single"/>
          </w:rPr>
          <w:t>https://doi.org/10.1177/2167702615578130</w:t>
        </w:r>
      </w:hyperlink>
    </w:p>
    <w:p w14:paraId="70C803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 E., Portella, M. J., Forcada, I., Vieta, E., &amp; Mur, M. (2013). Persistence of cognitive impairment and its negative impact on psychosocial functioning in lithium-treated, euthymic bipolar patients: A 6-year follow-up study.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(6), 1187–1196. </w:t>
      </w:r>
      <w:hyperlink r:id="rId3986" w:history="1">
        <w:r w:rsidRPr="001768F9">
          <w:rPr>
            <w:rFonts w:ascii="Times New Roman" w:eastAsia="Times New Roman" w:hAnsi="Times New Roman" w:cs="Times New Roman"/>
            <w:color w:val="0000FF"/>
            <w:sz w:val="24"/>
            <w:szCs w:val="24"/>
            <w:u w:val="single"/>
          </w:rPr>
          <w:t>https://doi.org/10.1017/S0033291712001948</w:t>
        </w:r>
      </w:hyperlink>
    </w:p>
    <w:p w14:paraId="44391F9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 E., Portella, M. J., Piñol-Ripoll, G., López, R., Cuadras, D., Forcada, I., Teres, M., Vieta, E., &amp; Mur, M. (2019). High BDNF serum levels are associated to good cognitive functioning in bipolar disorder.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60</w:t>
      </w:r>
      <w:r w:rsidRPr="001768F9">
        <w:rPr>
          <w:rFonts w:ascii="Times New Roman" w:eastAsia="Times New Roman" w:hAnsi="Times New Roman" w:cs="Times New Roman"/>
          <w:sz w:val="24"/>
          <w:szCs w:val="24"/>
        </w:rPr>
        <w:t xml:space="preserve">, 97–107. </w:t>
      </w:r>
      <w:hyperlink r:id="rId3987" w:history="1">
        <w:r w:rsidRPr="001768F9">
          <w:rPr>
            <w:rFonts w:ascii="Times New Roman" w:eastAsia="Times New Roman" w:hAnsi="Times New Roman" w:cs="Times New Roman"/>
            <w:color w:val="0000FF"/>
            <w:sz w:val="24"/>
            <w:szCs w:val="24"/>
            <w:u w:val="single"/>
          </w:rPr>
          <w:t>https://doi.org/10.1016/j.eurpsy.2019.02.006</w:t>
        </w:r>
      </w:hyperlink>
    </w:p>
    <w:p w14:paraId="5E7D51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Moradi, A. R., Miraghaei, M. A., Parhon, H., Jabbari, H., &amp; Jobson, L. (2013). Posttraumatic stress disorder, depression, executive functioning, and autobiographical remembering in individuals with HIV and in carers of those with HIV in Iran. </w:t>
      </w:r>
      <w:r w:rsidRPr="001768F9">
        <w:rPr>
          <w:rFonts w:ascii="Times New Roman" w:eastAsia="Times New Roman" w:hAnsi="Times New Roman" w:cs="Times New Roman"/>
          <w:i/>
          <w:iCs/>
          <w:sz w:val="24"/>
          <w:szCs w:val="24"/>
        </w:rPr>
        <w:t>AIDS Care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(3), 281–288.</w:t>
      </w:r>
    </w:p>
    <w:p w14:paraId="08B221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Moradi, H., Harvey, P. D., &amp; Helldin, L. (2018). Correlates of risk factors for reduced life expectancy in schizophrenia: Is it possible to develop a predictor profile?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w:t>
      </w:r>
      <w:r w:rsidRPr="001768F9">
        <w:rPr>
          <w:rFonts w:ascii="Times New Roman" w:eastAsia="Times New Roman" w:hAnsi="Times New Roman" w:cs="Times New Roman"/>
          <w:sz w:val="24"/>
          <w:szCs w:val="24"/>
        </w:rPr>
        <w:t xml:space="preserve">, 388–392. </w:t>
      </w:r>
      <w:hyperlink r:id="rId3988" w:history="1">
        <w:r w:rsidRPr="001768F9">
          <w:rPr>
            <w:rFonts w:ascii="Times New Roman" w:eastAsia="Times New Roman" w:hAnsi="Times New Roman" w:cs="Times New Roman"/>
            <w:color w:val="0000FF"/>
            <w:sz w:val="24"/>
            <w:szCs w:val="24"/>
            <w:u w:val="single"/>
          </w:rPr>
          <w:t>https://doi.org/10.1016/j.schres.2018.05.035</w:t>
        </w:r>
      </w:hyperlink>
    </w:p>
    <w:p w14:paraId="34C871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Moreau, O. K., Cortet-Rudelli, C., Yollin, E., Merlen, E., Daveluy, W., &amp; Rousseaux, M. (2013). Growth hormone replacement therapy in patients with traumatic brain injury. </w:t>
      </w:r>
      <w:r w:rsidRPr="001768F9">
        <w:rPr>
          <w:rFonts w:ascii="Times New Roman" w:eastAsia="Times New Roman" w:hAnsi="Times New Roman" w:cs="Times New Roman"/>
          <w:i/>
          <w:iCs/>
          <w:sz w:val="24"/>
          <w:szCs w:val="24"/>
        </w:rPr>
        <w:t>Journal of Neurotrauma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(11), 998–1006. </w:t>
      </w:r>
      <w:hyperlink r:id="rId3989" w:history="1">
        <w:r w:rsidRPr="001768F9">
          <w:rPr>
            <w:rFonts w:ascii="Times New Roman" w:eastAsia="Times New Roman" w:hAnsi="Times New Roman" w:cs="Times New Roman"/>
            <w:color w:val="0000FF"/>
            <w:sz w:val="24"/>
            <w:szCs w:val="24"/>
            <w:u w:val="single"/>
          </w:rPr>
          <w:t>https://doi.org/10.1089/neu.2012.2705</w:t>
        </w:r>
      </w:hyperlink>
    </w:p>
    <w:p w14:paraId="08AF3B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Moreaud, O., Naegele, B., Chabannes, J. P., &amp; Roulin, J. L. (1996). Dysfonctionnement frontal et état dépressif: Relation avec le caractère endogène de la dépression. [Frontal lobe dysfunction and depression: Relation with the endogenous nature of the depression.]. </w:t>
      </w:r>
      <w:r w:rsidRPr="001768F9">
        <w:rPr>
          <w:rFonts w:ascii="Times New Roman" w:eastAsia="Times New Roman" w:hAnsi="Times New Roman" w:cs="Times New Roman"/>
          <w:i/>
          <w:iCs/>
          <w:sz w:val="24"/>
          <w:szCs w:val="24"/>
        </w:rPr>
        <w:t>L’Encéphale: Revue de Psychiatrie Clinique Biologique et Thérapeutique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(1), 47–51.</w:t>
      </w:r>
    </w:p>
    <w:p w14:paraId="4591A8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Moreines, J. L., McClintock, S. M., Kelley, M. E., Holtzheimer, P. E., &amp; Mayberg, H. S. (2014). Neuropsychological function before and after subcallosal cingulate deep brain stimulation in patients with treatment‐resistant depression.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(8), 690–698. </w:t>
      </w:r>
      <w:hyperlink r:id="rId3990" w:history="1">
        <w:r w:rsidRPr="001768F9">
          <w:rPr>
            <w:rFonts w:ascii="Times New Roman" w:eastAsia="Times New Roman" w:hAnsi="Times New Roman" w:cs="Times New Roman"/>
            <w:color w:val="0000FF"/>
            <w:sz w:val="24"/>
            <w:szCs w:val="24"/>
            <w:u w:val="single"/>
          </w:rPr>
          <w:t>https://doi.org/10.1002/da.22263</w:t>
        </w:r>
      </w:hyperlink>
    </w:p>
    <w:p w14:paraId="000A6B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Moreira, L., Neves, F. S., Romano-Silva, M. A., Malloy-Diniz, L. F., &amp; Corrêa, H. (2011). BDNF and episodic memory in patients with bipolar disorder. </w:t>
      </w:r>
      <w:r w:rsidRPr="001768F9">
        <w:rPr>
          <w:rFonts w:ascii="Times New Roman" w:eastAsia="Times New Roman" w:hAnsi="Times New Roman" w:cs="Times New Roman"/>
          <w:i/>
          <w:iCs/>
          <w:sz w:val="24"/>
          <w:szCs w:val="24"/>
        </w:rPr>
        <w:t>Revista Brasileira de 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(1), 96–97.</w:t>
      </w:r>
    </w:p>
    <w:p w14:paraId="2AD2CF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 G. L., Bruss, J., &amp; Denburg, N. L. (2017). Increased perceived stress is related to decreased prefrontal cortex volumes among older adults.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(4), 313–325. </w:t>
      </w:r>
      <w:hyperlink r:id="rId3991" w:history="1">
        <w:r w:rsidRPr="001768F9">
          <w:rPr>
            <w:rFonts w:ascii="Times New Roman" w:eastAsia="Times New Roman" w:hAnsi="Times New Roman" w:cs="Times New Roman"/>
            <w:color w:val="0000FF"/>
            <w:sz w:val="24"/>
            <w:szCs w:val="24"/>
            <w:u w:val="single"/>
          </w:rPr>
          <w:t>https://doi.org/10.1080/13803395.2016.1225006</w:t>
        </w:r>
      </w:hyperlink>
    </w:p>
    <w:p w14:paraId="747E9FE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 J. G. M., García, M. C., Marasescu, R., González, A. P., Álvarez, L. L., &amp; Benito, Y. A. (2013). Síndromes neuropsicológicos en la esclerosis múltiple. [Neuropsychological syndromes in multiple sclerosis.]. </w:t>
      </w:r>
      <w:r w:rsidRPr="001768F9">
        <w:rPr>
          <w:rFonts w:ascii="Times New Roman" w:eastAsia="Times New Roman" w:hAnsi="Times New Roman" w:cs="Times New Roman"/>
          <w:i/>
          <w:iCs/>
          <w:sz w:val="24"/>
          <w:szCs w:val="24"/>
        </w:rPr>
        <w:t>Psicothema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(4), 452–460.</w:t>
      </w:r>
    </w:p>
    <w:p w14:paraId="38C8E68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Moreno-Iñiguez, M., Ortuño, F., Arbizu, J., Millán, M., Soutullo, C., &amp; Cervera-Enguix, S. (2005). Regional cerebral blood flow SPECT study, at rest and during Wisconsin Card Sorting Test (WCST) performance, in schizophrenia naive patients or treated with atypical neuroleptics. [Estudio del flujo sanguíneo cerebral regional (FSCr) mediante SPECT, en re.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(6), 343–351.</w:t>
      </w:r>
    </w:p>
    <w:p w14:paraId="0E41079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Moreno-Íñiguez, M., Ortuño, F., Bonelli, R. M., Millán, M., Soutullo, C. A., &amp; Cervera-Enguix, S. (2007). Perseverative error in schizophrenia: Correlation with cortical blood flow by SPECT.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(1), 20–28.</w:t>
      </w:r>
    </w:p>
    <w:p w14:paraId="6FCCDB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(2012a). Measures of memory and learning.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75–104). Springer Science + Business Media. </w:t>
      </w:r>
      <w:hyperlink r:id="rId3992" w:history="1">
        <w:r w:rsidRPr="001768F9">
          <w:rPr>
            <w:rFonts w:ascii="Times New Roman" w:eastAsia="Times New Roman" w:hAnsi="Times New Roman" w:cs="Times New Roman"/>
            <w:color w:val="0000FF"/>
            <w:sz w:val="24"/>
            <w:szCs w:val="24"/>
            <w:u w:val="single"/>
          </w:rPr>
          <w:t>https://doi.org/10.1007/978-1-4614-5269-0_5</w:t>
        </w:r>
      </w:hyperlink>
    </w:p>
    <w:p w14:paraId="211F37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(2012b). Measures of reading achievement.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107–126). Springer Science + Business Media. </w:t>
      </w:r>
      <w:hyperlink r:id="rId3993" w:history="1">
        <w:r w:rsidRPr="001768F9">
          <w:rPr>
            <w:rFonts w:ascii="Times New Roman" w:eastAsia="Times New Roman" w:hAnsi="Times New Roman" w:cs="Times New Roman"/>
            <w:color w:val="0000FF"/>
            <w:sz w:val="24"/>
            <w:szCs w:val="24"/>
            <w:u w:val="single"/>
          </w:rPr>
          <w:t>https://doi.org/10.1007/978-1-4614-5269-0_6</w:t>
        </w:r>
      </w:hyperlink>
    </w:p>
    <w:p w14:paraId="459C0A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(2012c). Measures of writing, math, and general academic knowledge.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127–137). Springer Science + Business Media. </w:t>
      </w:r>
      <w:hyperlink r:id="rId3994" w:history="1">
        <w:r w:rsidRPr="001768F9">
          <w:rPr>
            <w:rFonts w:ascii="Times New Roman" w:eastAsia="Times New Roman" w:hAnsi="Times New Roman" w:cs="Times New Roman"/>
            <w:color w:val="0000FF"/>
            <w:sz w:val="24"/>
            <w:szCs w:val="24"/>
            <w:u w:val="single"/>
          </w:rPr>
          <w:t>https://doi.org/10.1007/978-1-4614-5269-0_7</w:t>
        </w:r>
      </w:hyperlink>
    </w:p>
    <w:p w14:paraId="0E4FC70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Goodman, E., Hanumantha, S., &amp; Allen, T. (2012). </w:t>
      </w:r>
      <w:r w:rsidRPr="001768F9">
        <w:rPr>
          <w:rFonts w:ascii="Times New Roman" w:eastAsia="Times New Roman" w:hAnsi="Times New Roman" w:cs="Times New Roman"/>
          <w:i/>
          <w:iCs/>
          <w:sz w:val="24"/>
          <w:szCs w:val="24"/>
        </w:rPr>
        <w:t>Measures of general cognitive functioning.</w:t>
      </w:r>
      <w:r w:rsidRPr="001768F9">
        <w:rPr>
          <w:rFonts w:ascii="Times New Roman" w:eastAsia="Times New Roman" w:hAnsi="Times New Roman" w:cs="Times New Roman"/>
          <w:sz w:val="24"/>
          <w:szCs w:val="24"/>
        </w:rPr>
        <w:t xml:space="preserve"> (pp. 39–58).</w:t>
      </w:r>
    </w:p>
    <w:p w14:paraId="259264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Hall, W. C., &amp; Allen, T. (2012). Measures of visuospatial ability.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59–73). Springer Science + Business Media. </w:t>
      </w:r>
      <w:hyperlink r:id="rId3995" w:history="1">
        <w:r w:rsidRPr="001768F9">
          <w:rPr>
            <w:rFonts w:ascii="Times New Roman" w:eastAsia="Times New Roman" w:hAnsi="Times New Roman" w:cs="Times New Roman"/>
            <w:color w:val="0000FF"/>
            <w:sz w:val="24"/>
            <w:szCs w:val="24"/>
            <w:u w:val="single"/>
          </w:rPr>
          <w:t>https://doi.org/10.1007/978-1-4614-5269-0_4</w:t>
        </w:r>
      </w:hyperlink>
    </w:p>
    <w:p w14:paraId="7C21B0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Morere, D. A., &amp; Koo, D. S. (2012). Measures of receptive language. In </w:t>
      </w:r>
      <w:r w:rsidRPr="001768F9">
        <w:rPr>
          <w:rFonts w:ascii="Times New Roman" w:eastAsia="Times New Roman" w:hAnsi="Times New Roman" w:cs="Times New Roman"/>
          <w:i/>
          <w:iCs/>
          <w:sz w:val="24"/>
          <w:szCs w:val="24"/>
        </w:rPr>
        <w:t>Assessing literacy in deaf individuals: Neurocognitive measurement and predictors.</w:t>
      </w:r>
      <w:r w:rsidRPr="001768F9">
        <w:rPr>
          <w:rFonts w:ascii="Times New Roman" w:eastAsia="Times New Roman" w:hAnsi="Times New Roman" w:cs="Times New Roman"/>
          <w:sz w:val="24"/>
          <w:szCs w:val="24"/>
        </w:rPr>
        <w:t xml:space="preserve"> (pp. 159–178). Springer Science + Business Media. </w:t>
      </w:r>
      <w:hyperlink r:id="rId3996" w:history="1">
        <w:r w:rsidRPr="001768F9">
          <w:rPr>
            <w:rFonts w:ascii="Times New Roman" w:eastAsia="Times New Roman" w:hAnsi="Times New Roman" w:cs="Times New Roman"/>
            <w:color w:val="0000FF"/>
            <w:sz w:val="24"/>
            <w:szCs w:val="24"/>
            <w:u w:val="single"/>
          </w:rPr>
          <w:t>https://doi.org/10.1007/978-1-4614-5269-0_9</w:t>
        </w:r>
      </w:hyperlink>
    </w:p>
    <w:p w14:paraId="336DF7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Moretti, P., Lieberman, A. P., Wilde, E. A., Giordani, B. I., Kluin, K. J., Koeppe, R. A., Minoshima, S., Kuhl, D. E., Seltzer, W. K., &amp; Foster, N. L. (2004). Novel insertional presenilin 1 mutation causing Alzheimer disease with spastic paraparesis.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(10), 1865–1868. </w:t>
      </w:r>
      <w:hyperlink r:id="rId3997" w:history="1">
        <w:r w:rsidRPr="001768F9">
          <w:rPr>
            <w:rFonts w:ascii="Times New Roman" w:eastAsia="Times New Roman" w:hAnsi="Times New Roman" w:cs="Times New Roman"/>
            <w:color w:val="0000FF"/>
            <w:sz w:val="24"/>
            <w:szCs w:val="24"/>
            <w:u w:val="single"/>
          </w:rPr>
          <w:t>https://doi.org/10.1212/01.WNL.0000126447.91111.A1</w:t>
        </w:r>
      </w:hyperlink>
    </w:p>
    <w:p w14:paraId="1CCE97D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D. R., Linck, J., Scott, J., Adams, R., &amp; Mold, J. (2010). Assessment of the RBANS visual and verbal indices in a sample of neurologically impaired elderly participants.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(8), 1365–1378. </w:t>
      </w:r>
      <w:hyperlink r:id="rId3998" w:history="1">
        <w:r w:rsidRPr="001768F9">
          <w:rPr>
            <w:rFonts w:ascii="Times New Roman" w:eastAsia="Times New Roman" w:hAnsi="Times New Roman" w:cs="Times New Roman"/>
            <w:color w:val="0000FF"/>
            <w:sz w:val="24"/>
            <w:szCs w:val="24"/>
            <w:u w:val="single"/>
          </w:rPr>
          <w:t>https://doi.org/10.1080/13854046.2010.516769</w:t>
        </w:r>
      </w:hyperlink>
    </w:p>
    <w:p w14:paraId="3CA32C0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Iudicello, J. E., Cattie, J. E., Blackstone, K., Grant, I., &amp; Woods, S. P. (2015). Neurocognitive impairment is associated with lower health literacy among persons living with HIV infection. </w:t>
      </w:r>
      <w:r w:rsidRPr="001768F9">
        <w:rPr>
          <w:rFonts w:ascii="Times New Roman" w:eastAsia="Times New Roman" w:hAnsi="Times New Roman" w:cs="Times New Roman"/>
          <w:i/>
          <w:iCs/>
          <w:sz w:val="24"/>
          <w:szCs w:val="24"/>
        </w:rPr>
        <w:t>AIDS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166–177. </w:t>
      </w:r>
      <w:hyperlink r:id="rId3999" w:history="1">
        <w:r w:rsidRPr="001768F9">
          <w:rPr>
            <w:rFonts w:ascii="Times New Roman" w:eastAsia="Times New Roman" w:hAnsi="Times New Roman" w:cs="Times New Roman"/>
            <w:color w:val="0000FF"/>
            <w:sz w:val="24"/>
            <w:szCs w:val="24"/>
            <w:u w:val="single"/>
          </w:rPr>
          <w:t>https://doi.org/10.1007/s10461-014-0851-7</w:t>
        </w:r>
      </w:hyperlink>
    </w:p>
    <w:p w14:paraId="5ADBFE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Woods, S. P., Letendre, S. L., Franklin, D. R., Bloss, C., Goate, A., Heaton, R. K., Collier, A. C., Marra, C. M., Gelman, B. B., McArthur, J. C., Morgello, S., Simpson, D. M., McCutchan, J. A., Ellis, R. J., Abramson, I., Gamst, A., Fennema-Notestine, C., Smith, D. M., … Clifford, D. B. (2013). Apolipoprotein E4 genotype does not increase risk of HIV-associated neurocognitive disorders.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150–156. </w:t>
      </w:r>
      <w:hyperlink r:id="rId4000" w:history="1">
        <w:r w:rsidRPr="001768F9">
          <w:rPr>
            <w:rFonts w:ascii="Times New Roman" w:eastAsia="Times New Roman" w:hAnsi="Times New Roman" w:cs="Times New Roman"/>
            <w:color w:val="0000FF"/>
            <w:sz w:val="24"/>
            <w:szCs w:val="24"/>
            <w:u w:val="single"/>
          </w:rPr>
          <w:t>https://doi.org/10.1007/s13365-013-0152-3</w:t>
        </w:r>
      </w:hyperlink>
    </w:p>
    <w:p w14:paraId="44C324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Woods, S. P., Poquette, A. J., Vigil, O., Heaton, R. K., &amp; Grant, I. (2012). Visual memory in methamphetamine-dependent individuals: Deficient strategic control of encoding and retrieval. </w:t>
      </w:r>
      <w:r w:rsidRPr="001768F9">
        <w:rPr>
          <w:rFonts w:ascii="Times New Roman" w:eastAsia="Times New Roman" w:hAnsi="Times New Roman" w:cs="Times New Roman"/>
          <w:i/>
          <w:iCs/>
          <w:sz w:val="24"/>
          <w:szCs w:val="24"/>
        </w:rPr>
        <w:t>Australian and New Zealand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(2), 141–152. </w:t>
      </w:r>
      <w:hyperlink r:id="rId4001" w:history="1">
        <w:r w:rsidRPr="001768F9">
          <w:rPr>
            <w:rFonts w:ascii="Times New Roman" w:eastAsia="Times New Roman" w:hAnsi="Times New Roman" w:cs="Times New Roman"/>
            <w:color w:val="0000FF"/>
            <w:sz w:val="24"/>
            <w:szCs w:val="24"/>
            <w:u w:val="single"/>
          </w:rPr>
          <w:t>https://doi.org/10.1177/0004867411433212</w:t>
        </w:r>
      </w:hyperlink>
    </w:p>
    <w:p w14:paraId="0D5932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E. E., Woods, S. P., Rooney, A., Perry, W., Grant, I., &amp; Letendre, S. L. (2012). Intra-individual variability across neurocognitive domains in chronic hepatitis C infection: Elevated dispersion is associated with serostatus and unemployment risk.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654–674. </w:t>
      </w:r>
      <w:hyperlink r:id="rId4002" w:history="1">
        <w:r w:rsidRPr="001768F9">
          <w:rPr>
            <w:rFonts w:ascii="Times New Roman" w:eastAsia="Times New Roman" w:hAnsi="Times New Roman" w:cs="Times New Roman"/>
            <w:color w:val="0000FF"/>
            <w:sz w:val="24"/>
            <w:szCs w:val="24"/>
            <w:u w:val="single"/>
          </w:rPr>
          <w:t>https://doi.org/10.1080/13854046.2012.680912</w:t>
        </w:r>
      </w:hyperlink>
    </w:p>
    <w:p w14:paraId="31E7CF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Morgan, J. E., Bowen, K. L., Moore, S. C., Savage, J. C., &amp; van Goozen, S. H. M. (2015). Executive functioning, reward processing, and antisocial behavior in adolescent males. In </w:t>
      </w:r>
      <w:r w:rsidRPr="001768F9">
        <w:rPr>
          <w:rFonts w:ascii="Times New Roman" w:eastAsia="Times New Roman" w:hAnsi="Times New Roman" w:cs="Times New Roman"/>
          <w:i/>
          <w:iCs/>
          <w:sz w:val="24"/>
          <w:szCs w:val="24"/>
        </w:rPr>
        <w:t>The Routledge international handbook of biosocial criminology.</w:t>
      </w:r>
      <w:r w:rsidRPr="001768F9">
        <w:rPr>
          <w:rFonts w:ascii="Times New Roman" w:eastAsia="Times New Roman" w:hAnsi="Times New Roman" w:cs="Times New Roman"/>
          <w:sz w:val="24"/>
          <w:szCs w:val="24"/>
        </w:rPr>
        <w:t xml:space="preserve"> (pp. 315–327). Routledge/Taylor &amp; Francis Group.</w:t>
      </w:r>
    </w:p>
    <w:p w14:paraId="25010C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Moriarty, O., Ruane, N., O’Gorman, D., Maharaj, C. H., Mitchell, C., Sarma, K. M., Finn, D. P., &amp; McGuire, B. E. (2017). Cognitive impairment in patients with chronic neuropathic or radicular pain: An interaction of pain and age. </w:t>
      </w:r>
      <w:r w:rsidRPr="001768F9">
        <w:rPr>
          <w:rFonts w:ascii="Times New Roman" w:eastAsia="Times New Roman" w:hAnsi="Times New Roman" w:cs="Times New Roman"/>
          <w:i/>
          <w:iCs/>
          <w:sz w:val="24"/>
          <w:szCs w:val="24"/>
        </w:rPr>
        <w:t>Frontiers in 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w:t>
      </w:r>
    </w:p>
    <w:p w14:paraId="345AFE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Moriguchi, Y., &amp; Hiraki, K. (2011). Longitudinal development of prefrontal function during early childhood. </w:t>
      </w:r>
      <w:r w:rsidRPr="001768F9">
        <w:rPr>
          <w:rFonts w:ascii="Times New Roman" w:eastAsia="Times New Roman" w:hAnsi="Times New Roman" w:cs="Times New Roman"/>
          <w:i/>
          <w:iCs/>
          <w:sz w:val="24"/>
          <w:szCs w:val="24"/>
        </w:rPr>
        <w:t>Developmental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(2), 153–162. </w:t>
      </w:r>
      <w:hyperlink r:id="rId4003" w:history="1">
        <w:r w:rsidRPr="001768F9">
          <w:rPr>
            <w:rFonts w:ascii="Times New Roman" w:eastAsia="Times New Roman" w:hAnsi="Times New Roman" w:cs="Times New Roman"/>
            <w:color w:val="0000FF"/>
            <w:sz w:val="24"/>
            <w:szCs w:val="24"/>
            <w:u w:val="single"/>
          </w:rPr>
          <w:t>https://doi.org/10.1016/j.dcn.2010.12.004</w:t>
        </w:r>
      </w:hyperlink>
    </w:p>
    <w:p w14:paraId="21D4EE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Morimoto, S. S., Kanellopoulos, T., &amp; Alexopoulos, G. S. (2014). Cognitive impairment in depressed older adults: Implications for prognosis and treatment. </w:t>
      </w:r>
      <w:r w:rsidRPr="001768F9">
        <w:rPr>
          <w:rFonts w:ascii="Times New Roman" w:eastAsia="Times New Roman" w:hAnsi="Times New Roman" w:cs="Times New Roman"/>
          <w:i/>
          <w:iCs/>
          <w:sz w:val="24"/>
          <w:szCs w:val="24"/>
        </w:rPr>
        <w:t>Psychiatric Annals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(3), 138–142. </w:t>
      </w:r>
      <w:hyperlink r:id="rId4004" w:history="1">
        <w:r w:rsidRPr="001768F9">
          <w:rPr>
            <w:rFonts w:ascii="Times New Roman" w:eastAsia="Times New Roman" w:hAnsi="Times New Roman" w:cs="Times New Roman"/>
            <w:color w:val="0000FF"/>
            <w:sz w:val="24"/>
            <w:szCs w:val="24"/>
            <w:u w:val="single"/>
          </w:rPr>
          <w:t>https://doi.org/10.3928/00485713-20140306-05</w:t>
        </w:r>
      </w:hyperlink>
    </w:p>
    <w:p w14:paraId="00C587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Morisano, D., Wing, V. C., Sacco, K. A., Arenovich, T., &amp; George, T. P. (2013). Effects of tobacco smoking on neuropsychological function in schizophrenia in comparison to other psychiatric disorders and non‐psychiatric controls. </w:t>
      </w:r>
      <w:r w:rsidRPr="001768F9">
        <w:rPr>
          <w:rFonts w:ascii="Times New Roman" w:eastAsia="Times New Roman" w:hAnsi="Times New Roman" w:cs="Times New Roman"/>
          <w:i/>
          <w:iCs/>
          <w:sz w:val="24"/>
          <w:szCs w:val="24"/>
        </w:rPr>
        <w:t>The American Journal on Addictions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 46–53. </w:t>
      </w:r>
      <w:hyperlink r:id="rId4005" w:history="1">
        <w:r w:rsidRPr="001768F9">
          <w:rPr>
            <w:rFonts w:ascii="Times New Roman" w:eastAsia="Times New Roman" w:hAnsi="Times New Roman" w:cs="Times New Roman"/>
            <w:color w:val="0000FF"/>
            <w:sz w:val="24"/>
            <w:szCs w:val="24"/>
            <w:u w:val="single"/>
          </w:rPr>
          <w:t>https://doi.org/10.1111/j.1521-0391.2013.00313.x</w:t>
        </w:r>
      </w:hyperlink>
    </w:p>
    <w:p w14:paraId="34E0FA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Morita, H., Susatia, F., Foote, K. D., &amp; Okun, M. S. (2015). Assessing patient outcome and troubleshooting deep brain stimulation. In </w:t>
      </w:r>
      <w:r w:rsidRPr="001768F9">
        <w:rPr>
          <w:rFonts w:ascii="Times New Roman" w:eastAsia="Times New Roman" w:hAnsi="Times New Roman" w:cs="Times New Roman"/>
          <w:i/>
          <w:iCs/>
          <w:sz w:val="24"/>
          <w:szCs w:val="24"/>
        </w:rPr>
        <w:t>Deep brain stimulation management, 2nd ed.</w:t>
      </w:r>
      <w:r w:rsidRPr="001768F9">
        <w:rPr>
          <w:rFonts w:ascii="Times New Roman" w:eastAsia="Times New Roman" w:hAnsi="Times New Roman" w:cs="Times New Roman"/>
          <w:sz w:val="24"/>
          <w:szCs w:val="24"/>
        </w:rPr>
        <w:t xml:space="preserve"> (pp. 138–181). Cambridge University Press. </w:t>
      </w:r>
      <w:hyperlink r:id="rId4006" w:history="1">
        <w:r w:rsidRPr="001768F9">
          <w:rPr>
            <w:rFonts w:ascii="Times New Roman" w:eastAsia="Times New Roman" w:hAnsi="Times New Roman" w:cs="Times New Roman"/>
            <w:color w:val="0000FF"/>
            <w:sz w:val="24"/>
            <w:szCs w:val="24"/>
            <w:u w:val="single"/>
          </w:rPr>
          <w:t>https://doi.org/10.1017/CBO9781316026625.013</w:t>
        </w:r>
      </w:hyperlink>
    </w:p>
    <w:p w14:paraId="35FCE9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Andresen, B., Jacobsen, D., Mersmann, K., Wilke, U., Lambert, M., Naber, D., &amp; Krausz, M. (2001). Neuropsychological correlates of schizophrenic syndromes in patients treated with atypical neuroleptics.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(6), 354–361. </w:t>
      </w:r>
      <w:hyperlink r:id="rId4007" w:history="1">
        <w:r w:rsidRPr="001768F9">
          <w:rPr>
            <w:rFonts w:ascii="Times New Roman" w:eastAsia="Times New Roman" w:hAnsi="Times New Roman" w:cs="Times New Roman"/>
            <w:color w:val="0000FF"/>
            <w:sz w:val="24"/>
            <w:szCs w:val="24"/>
            <w:u w:val="single"/>
          </w:rPr>
          <w:t>https://doi.org/10.1016/S0924-9338(01)00591-0</w:t>
        </w:r>
      </w:hyperlink>
    </w:p>
    <w:p w14:paraId="428E43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Birkner, C., Kloss, M., Jacobsen, D., Fricke, S., Böthern, A., &amp; Hand, I. (2001). Impact of comorbid depressive symptoms on neuropsychological performance in obsessive-compulsive disorder.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110</w:t>
      </w:r>
      <w:r w:rsidRPr="001768F9">
        <w:rPr>
          <w:rFonts w:ascii="Times New Roman" w:eastAsia="Times New Roman" w:hAnsi="Times New Roman" w:cs="Times New Roman"/>
          <w:sz w:val="24"/>
          <w:szCs w:val="24"/>
        </w:rPr>
        <w:t xml:space="preserve">(4), 653–657. </w:t>
      </w:r>
      <w:hyperlink r:id="rId4008" w:history="1">
        <w:r w:rsidRPr="001768F9">
          <w:rPr>
            <w:rFonts w:ascii="Times New Roman" w:eastAsia="Times New Roman" w:hAnsi="Times New Roman" w:cs="Times New Roman"/>
            <w:color w:val="0000FF"/>
            <w:sz w:val="24"/>
            <w:szCs w:val="24"/>
            <w:u w:val="single"/>
          </w:rPr>
          <w:t>https://doi.org/10.1037/0021-843X.110.4.653</w:t>
        </w:r>
      </w:hyperlink>
    </w:p>
    <w:p w14:paraId="66CE493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Birkner, C., Kloss, M., Jahn, H., Hand, I., Haasen, C., &amp; Krausz, M. (2002). Executive functioning in obsessive-compulsive disorder, unipolar depression, and schizophrenia.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(5), 477–483. </w:t>
      </w:r>
      <w:hyperlink r:id="rId4009" w:history="1">
        <w:r w:rsidRPr="001768F9">
          <w:rPr>
            <w:rFonts w:ascii="Times New Roman" w:eastAsia="Times New Roman" w:hAnsi="Times New Roman" w:cs="Times New Roman"/>
            <w:color w:val="0000FF"/>
            <w:sz w:val="24"/>
            <w:szCs w:val="24"/>
            <w:u w:val="single"/>
          </w:rPr>
          <w:t>https://doi.org/10.1016/S0887-6177(01)00130-5</w:t>
        </w:r>
      </w:hyperlink>
    </w:p>
    <w:p w14:paraId="12DB3A8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Hauschildt, M., Saathoff, K., &amp; Jelinek, L. (2017). Does impairment in neuropsychological tests equal neuropsychological impairment in obsessive-compulsive disorder (OCD)? Momentary influences, testing attitude, and motivation are related to neuropsychological performance in OCD. </w:t>
      </w:r>
      <w:r w:rsidRPr="001768F9">
        <w:rPr>
          <w:rFonts w:ascii="Times New Roman" w:eastAsia="Times New Roman" w:hAnsi="Times New Roman" w:cs="Times New Roman"/>
          <w:i/>
          <w:iCs/>
          <w:sz w:val="24"/>
          <w:szCs w:val="24"/>
        </w:rPr>
        <w:t>Journal of Obsessive-Compulsive and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 99–105. </w:t>
      </w:r>
      <w:hyperlink r:id="rId4010" w:history="1">
        <w:r w:rsidRPr="001768F9">
          <w:rPr>
            <w:rFonts w:ascii="Times New Roman" w:eastAsia="Times New Roman" w:hAnsi="Times New Roman" w:cs="Times New Roman"/>
            <w:color w:val="0000FF"/>
            <w:sz w:val="24"/>
            <w:szCs w:val="24"/>
            <w:u w:val="single"/>
          </w:rPr>
          <w:t>https://doi.org/10.1016/j.jocrd.2017.06.005</w:t>
        </w:r>
      </w:hyperlink>
    </w:p>
    <w:p w14:paraId="7F609F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Klein, J. P., Desler, T., Lill, H., Gallinat, J., &amp; Schneider, B. C. (2017). Neurocognitive deficits in schizophrenia. Are we making mountains out of molehills?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(15), 2602–2612. </w:t>
      </w:r>
      <w:hyperlink r:id="rId4011" w:history="1">
        <w:r w:rsidRPr="001768F9">
          <w:rPr>
            <w:rFonts w:ascii="Times New Roman" w:eastAsia="Times New Roman" w:hAnsi="Times New Roman" w:cs="Times New Roman"/>
            <w:color w:val="0000FF"/>
            <w:sz w:val="24"/>
            <w:szCs w:val="24"/>
            <w:u w:val="single"/>
          </w:rPr>
          <w:t>https://doi.org/10.1017/S0033291717000939</w:t>
        </w:r>
      </w:hyperlink>
    </w:p>
    <w:p w14:paraId="38D907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Kloss, M., Jacobsen, D., Fricke, S., Cuttler, C., Brassen, S., &amp; Hand, I. (2005). Neurocognitive impairment does not predict treatment outcome in obsessive-compulsive disorder. </w:t>
      </w:r>
      <w:r w:rsidRPr="001768F9">
        <w:rPr>
          <w:rFonts w:ascii="Times New Roman" w:eastAsia="Times New Roman" w:hAnsi="Times New Roman" w:cs="Times New Roman"/>
          <w:i/>
          <w:iCs/>
          <w:sz w:val="24"/>
          <w:szCs w:val="24"/>
        </w:rPr>
        <w:t>Behaviour Research and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(6), 811–819. </w:t>
      </w:r>
      <w:hyperlink r:id="rId4012" w:history="1">
        <w:r w:rsidRPr="001768F9">
          <w:rPr>
            <w:rFonts w:ascii="Times New Roman" w:eastAsia="Times New Roman" w:hAnsi="Times New Roman" w:cs="Times New Roman"/>
            <w:color w:val="0000FF"/>
            <w:sz w:val="24"/>
            <w:szCs w:val="24"/>
            <w:u w:val="single"/>
          </w:rPr>
          <w:t>https://doi.org/10.1016/j.brat.2004.06.012</w:t>
        </w:r>
      </w:hyperlink>
    </w:p>
    <w:p w14:paraId="78F651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Moritz, S., Stöckert, K., Hauschildt, M., Lill, H., Jelinek, L., Beblo, T., Diedrich, S., &amp; Arlt, S. (2017). Are we exaggerating neuropsychological impairment in depression? Reopening a closed chapter. </w:t>
      </w:r>
      <w:r w:rsidRPr="001768F9">
        <w:rPr>
          <w:rFonts w:ascii="Times New Roman" w:eastAsia="Times New Roman" w:hAnsi="Times New Roman" w:cs="Times New Roman"/>
          <w:i/>
          <w:iCs/>
          <w:sz w:val="24"/>
          <w:szCs w:val="24"/>
        </w:rPr>
        <w:t>Expert Review of Neurotherapeutics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(8), 839–846. </w:t>
      </w:r>
      <w:hyperlink r:id="rId4013" w:history="1">
        <w:r w:rsidRPr="001768F9">
          <w:rPr>
            <w:rFonts w:ascii="Times New Roman" w:eastAsia="Times New Roman" w:hAnsi="Times New Roman" w:cs="Times New Roman"/>
            <w:color w:val="0000FF"/>
            <w:sz w:val="24"/>
            <w:szCs w:val="24"/>
            <w:u w:val="single"/>
          </w:rPr>
          <w:t>https://doi.org/10.1080/14737175.2017.1347040</w:t>
        </w:r>
      </w:hyperlink>
    </w:p>
    <w:p w14:paraId="1CAAEF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Moriyama, Y., Muramatsu, T., Kato, M., Kashima, H., &amp; Mimura, M. (2004). Repeated clinical episodes of Wernicke-Korsakoff syndrome. </w:t>
      </w:r>
      <w:r w:rsidRPr="001768F9">
        <w:rPr>
          <w:rFonts w:ascii="Times New Roman" w:eastAsia="Times New Roman" w:hAnsi="Times New Roman" w:cs="Times New Roman"/>
          <w:i/>
          <w:iCs/>
          <w:sz w:val="24"/>
          <w:szCs w:val="24"/>
        </w:rPr>
        <w:t>Australian and New Zealand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(8), 653–653. </w:t>
      </w:r>
      <w:hyperlink r:id="rId4014" w:history="1">
        <w:r w:rsidRPr="001768F9">
          <w:rPr>
            <w:rFonts w:ascii="Times New Roman" w:eastAsia="Times New Roman" w:hAnsi="Times New Roman" w:cs="Times New Roman"/>
            <w:color w:val="0000FF"/>
            <w:sz w:val="24"/>
            <w:szCs w:val="24"/>
            <w:u w:val="single"/>
          </w:rPr>
          <w:t>https://doi.org/10.1111/j.1440-1614.2004.01432.x</w:t>
        </w:r>
      </w:hyperlink>
    </w:p>
    <w:p w14:paraId="64C1E00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Morra, L. F., &amp; Donovick, P. J. (2014). Clinical presentation and differential diagnosis of dementia with Lewy bodies: A review.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(6), 569–576. </w:t>
      </w:r>
      <w:hyperlink r:id="rId4015" w:history="1">
        <w:r w:rsidRPr="001768F9">
          <w:rPr>
            <w:rFonts w:ascii="Times New Roman" w:eastAsia="Times New Roman" w:hAnsi="Times New Roman" w:cs="Times New Roman"/>
            <w:color w:val="0000FF"/>
            <w:sz w:val="24"/>
            <w:szCs w:val="24"/>
            <w:u w:val="single"/>
          </w:rPr>
          <w:t>https://doi.org/10.1002/gps.4039</w:t>
        </w:r>
      </w:hyperlink>
    </w:p>
    <w:p w14:paraId="7CBD7E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Morra, L., Zade, D., McGlinchey, R. E., &amp; Milberg, W. P. (2013). Normal aging and cognition: The unacknowledged contribution of cerebrovascular risk factors.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271–297. </w:t>
      </w:r>
      <w:hyperlink r:id="rId4016" w:history="1">
        <w:r w:rsidRPr="001768F9">
          <w:rPr>
            <w:rFonts w:ascii="Times New Roman" w:eastAsia="Times New Roman" w:hAnsi="Times New Roman" w:cs="Times New Roman"/>
            <w:color w:val="0000FF"/>
            <w:sz w:val="24"/>
            <w:szCs w:val="24"/>
            <w:u w:val="single"/>
          </w:rPr>
          <w:t>https://doi.org/10.1080/13825585.2012.693905</w:t>
        </w:r>
      </w:hyperlink>
    </w:p>
    <w:p w14:paraId="0CA374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Lewi, P. J., De Hert, M., &amp; Sabbe, B. G. C. (2006). Stereotypy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84</w:t>
      </w:r>
      <w:r w:rsidRPr="001768F9">
        <w:rPr>
          <w:rFonts w:ascii="Times New Roman" w:eastAsia="Times New Roman" w:hAnsi="Times New Roman" w:cs="Times New Roman"/>
          <w:sz w:val="24"/>
          <w:szCs w:val="24"/>
        </w:rPr>
        <w:t xml:space="preserve">(2–3), 397–404. </w:t>
      </w:r>
      <w:hyperlink r:id="rId4017" w:history="1">
        <w:r w:rsidRPr="001768F9">
          <w:rPr>
            <w:rFonts w:ascii="Times New Roman" w:eastAsia="Times New Roman" w:hAnsi="Times New Roman" w:cs="Times New Roman"/>
            <w:color w:val="0000FF"/>
            <w:sz w:val="24"/>
            <w:szCs w:val="24"/>
            <w:u w:val="single"/>
          </w:rPr>
          <w:t>https://doi.org/10.1016/j.schres.2006.01.024</w:t>
        </w:r>
      </w:hyperlink>
    </w:p>
    <w:p w14:paraId="75C820B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Matton, C., Madani, Y., van Bouwel, L., Peuskens, J., &amp; Sabbe, B. G. C. (2008). Delineating psychomotor slowing from reduced processing speed in schizophrenia.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(6), 457–471. </w:t>
      </w:r>
      <w:hyperlink r:id="rId4018" w:history="1">
        <w:r w:rsidRPr="001768F9">
          <w:rPr>
            <w:rFonts w:ascii="Times New Roman" w:eastAsia="Times New Roman" w:hAnsi="Times New Roman" w:cs="Times New Roman"/>
            <w:color w:val="0000FF"/>
            <w:sz w:val="24"/>
            <w:szCs w:val="24"/>
            <w:u w:val="single"/>
          </w:rPr>
          <w:t>https://doi.org/10.1080/13546800802439312</w:t>
        </w:r>
      </w:hyperlink>
    </w:p>
    <w:p w14:paraId="199C47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&amp; Sabbe, B. (2008). The effects of atypical and conventional antipsychotics on reduced processing speed and psychomotor slowing in schizophrenia: A cross-sectional exploratory study. </w:t>
      </w:r>
      <w:r w:rsidRPr="001768F9">
        <w:rPr>
          <w:rFonts w:ascii="Times New Roman" w:eastAsia="Times New Roman" w:hAnsi="Times New Roman" w:cs="Times New Roman"/>
          <w:i/>
          <w:iCs/>
          <w:sz w:val="24"/>
          <w:szCs w:val="24"/>
        </w:rPr>
        <w:t>Clinical Therapeutics: The International Peer-Reviewed Journal of Drug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(4), 684–692. </w:t>
      </w:r>
      <w:hyperlink r:id="rId4019" w:history="1">
        <w:r w:rsidRPr="001768F9">
          <w:rPr>
            <w:rFonts w:ascii="Times New Roman" w:eastAsia="Times New Roman" w:hAnsi="Times New Roman" w:cs="Times New Roman"/>
            <w:color w:val="0000FF"/>
            <w:sz w:val="24"/>
            <w:szCs w:val="24"/>
            <w:u w:val="single"/>
          </w:rPr>
          <w:t>https://doi.org/10.1016/j.clinthera.2008.04.012</w:t>
        </w:r>
      </w:hyperlink>
    </w:p>
    <w:p w14:paraId="1B6FE1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Morrens, M., Hulstijn, W., Van Hecke, J., Peuskens, J., &amp; Sabbe, B. G. C. (2006). Sensorimotor and cognitive slowing in schizophrenia as measured by the Symbol Digit Substitution Test.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200–206. </w:t>
      </w:r>
      <w:hyperlink r:id="rId4020" w:history="1">
        <w:r w:rsidRPr="001768F9">
          <w:rPr>
            <w:rFonts w:ascii="Times New Roman" w:eastAsia="Times New Roman" w:hAnsi="Times New Roman" w:cs="Times New Roman"/>
            <w:color w:val="0000FF"/>
            <w:sz w:val="24"/>
            <w:szCs w:val="24"/>
            <w:u w:val="single"/>
          </w:rPr>
          <w:t>https://doi.org/10.1016/j.jpsychires.2005.04.014</w:t>
        </w:r>
      </w:hyperlink>
    </w:p>
    <w:p w14:paraId="2E3369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 M. C., Evans, L. D., Rao, U., &amp; Garber, J. (2015). Executive function moderates the relation between coping and depressive symptoms. </w:t>
      </w:r>
      <w:r w:rsidRPr="001768F9">
        <w:rPr>
          <w:rFonts w:ascii="Times New Roman" w:eastAsia="Times New Roman" w:hAnsi="Times New Roman" w:cs="Times New Roman"/>
          <w:i/>
          <w:iCs/>
          <w:sz w:val="24"/>
          <w:szCs w:val="24"/>
        </w:rPr>
        <w:t>Anxiety, Stress &amp; Coping: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31–49. </w:t>
      </w:r>
      <w:hyperlink r:id="rId4021" w:history="1">
        <w:r w:rsidRPr="001768F9">
          <w:rPr>
            <w:rFonts w:ascii="Times New Roman" w:eastAsia="Times New Roman" w:hAnsi="Times New Roman" w:cs="Times New Roman"/>
            <w:color w:val="0000FF"/>
            <w:sz w:val="24"/>
            <w:szCs w:val="24"/>
            <w:u w:val="single"/>
          </w:rPr>
          <w:t>https://doi.org/10.1080/10615806.2014.925545</w:t>
        </w:r>
      </w:hyperlink>
    </w:p>
    <w:p w14:paraId="0561223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 M. K., Bowers, D., Williamson, J., &amp; Heilman, K. M. (2017). Alterations of emotional reactivity following righttemporal lobectomy.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(5–6), 314–320. </w:t>
      </w:r>
      <w:hyperlink r:id="rId4022" w:history="1">
        <w:r w:rsidRPr="001768F9">
          <w:rPr>
            <w:rFonts w:ascii="Times New Roman" w:eastAsia="Times New Roman" w:hAnsi="Times New Roman" w:cs="Times New Roman"/>
            <w:color w:val="0000FF"/>
            <w:sz w:val="24"/>
            <w:szCs w:val="24"/>
            <w:u w:val="single"/>
          </w:rPr>
          <w:t>https://doi.org/10.1080/13554794.2017.1416148</w:t>
        </w:r>
      </w:hyperlink>
    </w:p>
    <w:p w14:paraId="7A697B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Morrison, C., Kamal, F., &amp; Taler, V. (2019). The influence of bilingualism on working memory event-related potentials. </w:t>
      </w:r>
      <w:r w:rsidRPr="001768F9">
        <w:rPr>
          <w:rFonts w:ascii="Times New Roman" w:eastAsia="Times New Roman" w:hAnsi="Times New Roman" w:cs="Times New Roman"/>
          <w:i/>
          <w:iCs/>
          <w:sz w:val="24"/>
          <w:szCs w:val="24"/>
        </w:rPr>
        <w:t>Bilingualism: Language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 191–199. </w:t>
      </w:r>
      <w:hyperlink r:id="rId4023" w:history="1">
        <w:r w:rsidRPr="001768F9">
          <w:rPr>
            <w:rFonts w:ascii="Times New Roman" w:eastAsia="Times New Roman" w:hAnsi="Times New Roman" w:cs="Times New Roman"/>
            <w:color w:val="0000FF"/>
            <w:sz w:val="24"/>
            <w:szCs w:val="24"/>
            <w:u w:val="single"/>
          </w:rPr>
          <w:t>https://doi.org/10.1017/S1366728918000391</w:t>
        </w:r>
      </w:hyperlink>
    </w:p>
    <w:p w14:paraId="3BA960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Morrison, C., &amp; MacAllister, W. S. (2016). Pre- and postsurgical neuropsychological evaluation: Illustrations in epilepsy. In </w:t>
      </w:r>
      <w:r w:rsidRPr="001768F9">
        <w:rPr>
          <w:rFonts w:ascii="Times New Roman" w:eastAsia="Times New Roman" w:hAnsi="Times New Roman" w:cs="Times New Roman"/>
          <w:i/>
          <w:iCs/>
          <w:sz w:val="24"/>
          <w:szCs w:val="24"/>
        </w:rPr>
        <w:t>Neuropsychological report writing.</w:t>
      </w:r>
      <w:r w:rsidRPr="001768F9">
        <w:rPr>
          <w:rFonts w:ascii="Times New Roman" w:eastAsia="Times New Roman" w:hAnsi="Times New Roman" w:cs="Times New Roman"/>
          <w:sz w:val="24"/>
          <w:szCs w:val="24"/>
        </w:rPr>
        <w:t xml:space="preserve"> (pp. 192–219). Guilford Press.</w:t>
      </w:r>
    </w:p>
    <w:p w14:paraId="6BEAAE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Morrison, C., &amp; Taler, V. (2020). ERP measures of the effects of age and bilingualism on working memory performance.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 </w:t>
      </w:r>
      <w:hyperlink r:id="rId4024" w:history="1">
        <w:r w:rsidRPr="001768F9">
          <w:rPr>
            <w:rFonts w:ascii="Times New Roman" w:eastAsia="Times New Roman" w:hAnsi="Times New Roman" w:cs="Times New Roman"/>
            <w:color w:val="0000FF"/>
            <w:sz w:val="24"/>
            <w:szCs w:val="24"/>
            <w:u w:val="single"/>
          </w:rPr>
          <w:t>https://doi.org/10.1016/j.neuropsychologia.2020.107468</w:t>
        </w:r>
      </w:hyperlink>
    </w:p>
    <w:p w14:paraId="253B59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Moryś, J. M., Kozera, G. M., Neubauer-Geryk, J., Kruszewski, P., Wolnik, B., Nyka, W. M., &amp; Bieniaszewski, L. (2016). Statin use and cognitive impairment in patients with type 1 diabetes: An observational study. </w:t>
      </w:r>
      <w:r w:rsidRPr="001768F9">
        <w:rPr>
          <w:rFonts w:ascii="Times New Roman" w:eastAsia="Times New Roman" w:hAnsi="Times New Roman" w:cs="Times New Roman"/>
          <w:i/>
          <w:iCs/>
          <w:sz w:val="24"/>
          <w:szCs w:val="24"/>
        </w:rPr>
        <w:t>Clinical Neuropharmacology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(4), 182–187. </w:t>
      </w:r>
      <w:hyperlink r:id="rId4025" w:history="1">
        <w:r w:rsidRPr="001768F9">
          <w:rPr>
            <w:rFonts w:ascii="Times New Roman" w:eastAsia="Times New Roman" w:hAnsi="Times New Roman" w:cs="Times New Roman"/>
            <w:color w:val="0000FF"/>
            <w:sz w:val="24"/>
            <w:szCs w:val="24"/>
            <w:u w:val="single"/>
          </w:rPr>
          <w:t>https://doi.org/10.1097/WNF.0000000000000158</w:t>
        </w:r>
      </w:hyperlink>
    </w:p>
    <w:p w14:paraId="70DC77D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Mosca, C., Fournet, N., Fluchaire, I., Moreaud, O., &amp; Pellat, J. (2003). Déficits des processus inhibiteurs dans la Démence de Type Alzheimer. [Deficits in inhibitory processes in the Dementia of the Alzheimer Type.]. </w:t>
      </w:r>
      <w:r w:rsidRPr="001768F9">
        <w:rPr>
          <w:rFonts w:ascii="Times New Roman" w:eastAsia="Times New Roman" w:hAnsi="Times New Roman" w:cs="Times New Roman"/>
          <w:i/>
          <w:iCs/>
          <w:sz w:val="24"/>
          <w:szCs w:val="24"/>
        </w:rPr>
        <w:t>Revue de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(3), 295–321.</w:t>
      </w:r>
    </w:p>
    <w:p w14:paraId="54ED7F4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Moses, S. N., Villate, C., Binns, M. A., Davidson, P. S. R., &amp; Ryan, J. D. (2008). Cognitive integrity predicts transitive inference performance bias and success.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(5), 1314–1325. </w:t>
      </w:r>
      <w:hyperlink r:id="rId4026" w:history="1">
        <w:r w:rsidRPr="001768F9">
          <w:rPr>
            <w:rFonts w:ascii="Times New Roman" w:eastAsia="Times New Roman" w:hAnsi="Times New Roman" w:cs="Times New Roman"/>
            <w:color w:val="0000FF"/>
            <w:sz w:val="24"/>
            <w:szCs w:val="24"/>
            <w:u w:val="single"/>
          </w:rPr>
          <w:t>https://doi.org/10.1016/j.neuropsychologia.2007.12.009</w:t>
        </w:r>
      </w:hyperlink>
    </w:p>
    <w:p w14:paraId="363834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Moshier, S. J., Ewen, M., &amp; Otto, M. W. (2013). Impulsivity as a moderator of the intention–behavior relationship for illicit drug use in patients undergoing treatment. </w:t>
      </w:r>
      <w:r w:rsidRPr="001768F9">
        <w:rPr>
          <w:rFonts w:ascii="Times New Roman" w:eastAsia="Times New Roman" w:hAnsi="Times New Roman" w:cs="Times New Roman"/>
          <w:i/>
          <w:iCs/>
          <w:sz w:val="24"/>
          <w:szCs w:val="24"/>
        </w:rPr>
        <w:t>Addictive Behaviors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(3), 1651–1655. </w:t>
      </w:r>
      <w:hyperlink r:id="rId4027" w:history="1">
        <w:r w:rsidRPr="001768F9">
          <w:rPr>
            <w:rFonts w:ascii="Times New Roman" w:eastAsia="Times New Roman" w:hAnsi="Times New Roman" w:cs="Times New Roman"/>
            <w:color w:val="0000FF"/>
            <w:sz w:val="24"/>
            <w:szCs w:val="24"/>
            <w:u w:val="single"/>
          </w:rPr>
          <w:t>https://doi.org/10.1016/j.addbeh.2012.09.008</w:t>
        </w:r>
      </w:hyperlink>
    </w:p>
    <w:p w14:paraId="254BF2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Mosiołek, A., Gierus, J., Koweszko, T., &amp; Szulc, A. (2016). Cognitive impairment in schizophrenia across age groups: A case–control study.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w:t>
      </w:r>
    </w:p>
    <w:p w14:paraId="6DACA38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Mosolov, S. N., Potapov, A. V., &amp; Ushakov, U. V. (2012). Remission in schizophrenia: Results of cross-sectional with 6-month follow-up period and 1-year observational therapeutic studies in an outpatient population. </w:t>
      </w:r>
      <w:r w:rsidRPr="001768F9">
        <w:rPr>
          <w:rFonts w:ascii="Times New Roman" w:eastAsia="Times New Roman" w:hAnsi="Times New Roman" w:cs="Times New Roman"/>
          <w:i/>
          <w:iCs/>
          <w:sz w:val="24"/>
          <w:szCs w:val="24"/>
        </w:rPr>
        <w:t>Annals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 </w:t>
      </w:r>
      <w:hyperlink r:id="rId4028" w:history="1">
        <w:r w:rsidRPr="001768F9">
          <w:rPr>
            <w:rFonts w:ascii="Times New Roman" w:eastAsia="Times New Roman" w:hAnsi="Times New Roman" w:cs="Times New Roman"/>
            <w:color w:val="0000FF"/>
            <w:sz w:val="24"/>
            <w:szCs w:val="24"/>
            <w:u w:val="single"/>
          </w:rPr>
          <w:t>https://doi.org/10.1186/1744-859X-11-1</w:t>
        </w:r>
      </w:hyperlink>
    </w:p>
    <w:p w14:paraId="1309CA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Moss, R. A. (2013). Neuropsychological evaluation in an adolescent with cerebellar hypoplasia diagnosed with Asperger’s Syndrome.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85–89. </w:t>
      </w:r>
      <w:hyperlink r:id="rId4029" w:history="1">
        <w:r w:rsidRPr="001768F9">
          <w:rPr>
            <w:rFonts w:ascii="Times New Roman" w:eastAsia="Times New Roman" w:hAnsi="Times New Roman" w:cs="Times New Roman"/>
            <w:color w:val="0000FF"/>
            <w:sz w:val="24"/>
            <w:szCs w:val="24"/>
            <w:u w:val="single"/>
          </w:rPr>
          <w:t>https://doi.org/10.1080/13554794.2011.654220</w:t>
        </w:r>
      </w:hyperlink>
    </w:p>
    <w:p w14:paraId="79B52D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Moss, R. A., Priluck, J., Bonilla, X., Evans III, C., &amp; Macedo, P. S. (2017). Neuropsychological assessment in two cases of adult mild traumatic brain injury with a history of childhood head trauma.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385–393. </w:t>
      </w:r>
      <w:hyperlink r:id="rId4030" w:history="1">
        <w:r w:rsidRPr="001768F9">
          <w:rPr>
            <w:rFonts w:ascii="Times New Roman" w:eastAsia="Times New Roman" w:hAnsi="Times New Roman" w:cs="Times New Roman"/>
            <w:color w:val="0000FF"/>
            <w:sz w:val="24"/>
            <w:szCs w:val="24"/>
            <w:u w:val="single"/>
          </w:rPr>
          <w:t>https://doi.org/10.1080/23279095.2016.1159562</w:t>
        </w:r>
      </w:hyperlink>
    </w:p>
    <w:p w14:paraId="36A349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Moss, T. G., Sacco, K. A., Allen, T. M., Weinberger, A. H., Vessicchio, J. C., &amp; George, T. P. (2009). Prefrontal cognitive dysfunction is associated with tobacco dependence treatment failure in smokers with schizophrenia.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104</w:t>
      </w:r>
      <w:r w:rsidRPr="001768F9">
        <w:rPr>
          <w:rFonts w:ascii="Times New Roman" w:eastAsia="Times New Roman" w:hAnsi="Times New Roman" w:cs="Times New Roman"/>
          <w:sz w:val="24"/>
          <w:szCs w:val="24"/>
        </w:rPr>
        <w:t xml:space="preserve">(1–2), 94–99. </w:t>
      </w:r>
      <w:hyperlink r:id="rId4031" w:history="1">
        <w:r w:rsidRPr="001768F9">
          <w:rPr>
            <w:rFonts w:ascii="Times New Roman" w:eastAsia="Times New Roman" w:hAnsi="Times New Roman" w:cs="Times New Roman"/>
            <w:color w:val="0000FF"/>
            <w:sz w:val="24"/>
            <w:szCs w:val="24"/>
            <w:u w:val="single"/>
          </w:rPr>
          <w:t>https://doi.org/10.1016/j.drugalcdep.2009.04.005</w:t>
        </w:r>
      </w:hyperlink>
    </w:p>
    <w:p w14:paraId="314F79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Mosti, C. B., Rog, L. A., &amp; Fink, J. W. (2019). Differentiating mild cognitive impairment and cognitive changes of normal aging. </w:t>
      </w:r>
      <w:r w:rsidRPr="001768F9">
        <w:rPr>
          <w:rFonts w:ascii="Times New Roman" w:eastAsia="Times New Roman" w:hAnsi="Times New Roman" w:cs="Times New Roman"/>
          <w:i/>
          <w:iCs/>
          <w:sz w:val="24"/>
          <w:szCs w:val="24"/>
        </w:rPr>
        <w:t>Handbook on the Neuropsychology of Aging and Dementia, 2nd Ed.</w:t>
      </w:r>
      <w:r w:rsidRPr="001768F9">
        <w:rPr>
          <w:rFonts w:ascii="Times New Roman" w:eastAsia="Times New Roman" w:hAnsi="Times New Roman" w:cs="Times New Roman"/>
          <w:sz w:val="24"/>
          <w:szCs w:val="24"/>
        </w:rPr>
        <w:t xml:space="preserve">, 445–463. </w:t>
      </w:r>
      <w:hyperlink r:id="rId4032" w:history="1">
        <w:r w:rsidRPr="001768F9">
          <w:rPr>
            <w:rFonts w:ascii="Times New Roman" w:eastAsia="Times New Roman" w:hAnsi="Times New Roman" w:cs="Times New Roman"/>
            <w:color w:val="0000FF"/>
            <w:sz w:val="24"/>
            <w:szCs w:val="24"/>
            <w:u w:val="single"/>
          </w:rPr>
          <w:t>https://doi.org/10.1007/978-3-319-93497-6_28</w:t>
        </w:r>
      </w:hyperlink>
    </w:p>
    <w:p w14:paraId="510067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Mostofsky, S. H., Mazzocco, M. M. M., Aakalu, G., Warsofsky, I. S., Denckla, M. B., &amp; Reiss, A. L. (1998). Decreased cerebellar posterior vermis size in fragile X syndrome.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(1), 121–130. </w:t>
      </w:r>
      <w:hyperlink r:id="rId4033" w:history="1">
        <w:r w:rsidRPr="001768F9">
          <w:rPr>
            <w:rFonts w:ascii="Times New Roman" w:eastAsia="Times New Roman" w:hAnsi="Times New Roman" w:cs="Times New Roman"/>
            <w:color w:val="0000FF"/>
            <w:sz w:val="24"/>
            <w:szCs w:val="24"/>
            <w:u w:val="single"/>
          </w:rPr>
          <w:t>https://doi.org/10.1212/WNL.50.1.121</w:t>
        </w:r>
      </w:hyperlink>
    </w:p>
    <w:p w14:paraId="1782B1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Mouchet‐Mages, S., Rodrigo, S., Cachia, A., Mouaffak, F., Olie, J. P., Meder, J. F., Oppenheim, C., &amp; Krebs, M. O. (2011). Correlations of cerebello‐thalamo‐prefrontal structure and neurological soft signs in patients with first‐episode psychosis.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(6), 451–458. </w:t>
      </w:r>
      <w:hyperlink r:id="rId4034" w:history="1">
        <w:r w:rsidRPr="001768F9">
          <w:rPr>
            <w:rFonts w:ascii="Times New Roman" w:eastAsia="Times New Roman" w:hAnsi="Times New Roman" w:cs="Times New Roman"/>
            <w:color w:val="0000FF"/>
            <w:sz w:val="24"/>
            <w:szCs w:val="24"/>
            <w:u w:val="single"/>
          </w:rPr>
          <w:t>https://doi.org/10.1111/j.1600-0447.2010.01667.x</w:t>
        </w:r>
      </w:hyperlink>
    </w:p>
    <w:p w14:paraId="0BD567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Mountain, M. A., &amp; Snow, W. G. (1993). Wisconsin Card Sorting Test as a measure of frontal pathology: A review. </w:t>
      </w:r>
      <w:r w:rsidRPr="001768F9">
        <w:rPr>
          <w:rFonts w:ascii="Times New Roman" w:eastAsia="Times New Roman" w:hAnsi="Times New Roman" w:cs="Times New Roman"/>
          <w:i/>
          <w:iCs/>
          <w:sz w:val="24"/>
          <w:szCs w:val="24"/>
        </w:rPr>
        <w:t>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(1), 108–118. </w:t>
      </w:r>
      <w:hyperlink r:id="rId4035" w:history="1">
        <w:r w:rsidRPr="001768F9">
          <w:rPr>
            <w:rFonts w:ascii="Times New Roman" w:eastAsia="Times New Roman" w:hAnsi="Times New Roman" w:cs="Times New Roman"/>
            <w:color w:val="0000FF"/>
            <w:sz w:val="24"/>
            <w:szCs w:val="24"/>
            <w:u w:val="single"/>
          </w:rPr>
          <w:t>https://doi.org/10.1080/13854049308401893</w:t>
        </w:r>
      </w:hyperlink>
    </w:p>
    <w:p w14:paraId="14F3F9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Moura, B. M., Avila, A., Chendo, I., Frade, P., Barandas, R., Vian, J., Croca, M., Roberto, A., Almeida, C., Antunes, F., Linhares, L., Crawford, J., Ferreira, C., Santos, J., Abreu, M., Levy, P., Figueira, M. L., &amp; Mendes, T. (2019). Facilitating the delivery of cognitive remediation in first-episode psychosis: Pilot study of a home-delivered web-based intervention.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207</w:t>
      </w:r>
      <w:r w:rsidRPr="001768F9">
        <w:rPr>
          <w:rFonts w:ascii="Times New Roman" w:eastAsia="Times New Roman" w:hAnsi="Times New Roman" w:cs="Times New Roman"/>
          <w:sz w:val="24"/>
          <w:szCs w:val="24"/>
        </w:rPr>
        <w:t xml:space="preserve">(11), 951–957. </w:t>
      </w:r>
      <w:hyperlink r:id="rId4036" w:history="1">
        <w:r w:rsidRPr="001768F9">
          <w:rPr>
            <w:rFonts w:ascii="Times New Roman" w:eastAsia="Times New Roman" w:hAnsi="Times New Roman" w:cs="Times New Roman"/>
            <w:color w:val="0000FF"/>
            <w:sz w:val="24"/>
            <w:szCs w:val="24"/>
            <w:u w:val="single"/>
          </w:rPr>
          <w:t>https://doi.org/10.1097/NMD.0000000000001055</w:t>
        </w:r>
      </w:hyperlink>
    </w:p>
    <w:p w14:paraId="6EAB0D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Moura, M. V. B., Mariano, L. I., Teixeira, A. L., Caramelli, P., &amp; de Souza, L. C. (2021). Social cognition tests can discriminate behavioral variant frontotemporal dementia from Alzheimer’s disease independently of executive functioning.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(5), 831–837. </w:t>
      </w:r>
      <w:hyperlink r:id="rId4037" w:history="1">
        <w:r w:rsidRPr="001768F9">
          <w:rPr>
            <w:rFonts w:ascii="Times New Roman" w:eastAsia="Times New Roman" w:hAnsi="Times New Roman" w:cs="Times New Roman"/>
            <w:color w:val="0000FF"/>
            <w:sz w:val="24"/>
            <w:szCs w:val="24"/>
            <w:u w:val="single"/>
          </w:rPr>
          <w:t>https://doi.org/10.1093/arclin/acaa084</w:t>
        </w:r>
      </w:hyperlink>
    </w:p>
    <w:p w14:paraId="3339DB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Moura, O., Simões, M. R., &amp; Pereira, M. (2015). Executive functioning in children with developmental dyslexia.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(Suppl 1), 20–41. </w:t>
      </w:r>
      <w:hyperlink r:id="rId4038" w:history="1">
        <w:r w:rsidRPr="001768F9">
          <w:rPr>
            <w:rFonts w:ascii="Times New Roman" w:eastAsia="Times New Roman" w:hAnsi="Times New Roman" w:cs="Times New Roman"/>
            <w:color w:val="0000FF"/>
            <w:sz w:val="24"/>
            <w:szCs w:val="24"/>
            <w:u w:val="single"/>
          </w:rPr>
          <w:t>https://doi.org/10.1080/13854046.2014.964326</w:t>
        </w:r>
      </w:hyperlink>
    </w:p>
    <w:p w14:paraId="4D9B3CD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Moustafa, A. A., Bell, P., Eissa, A. M., &amp; Hewedi, D. H. (2013). The effects of clinical motor variables and medication dosage on working memory in Parkinson’s disease.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(2), 137–145. </w:t>
      </w:r>
      <w:hyperlink r:id="rId4039" w:history="1">
        <w:r w:rsidRPr="001768F9">
          <w:rPr>
            <w:rFonts w:ascii="Times New Roman" w:eastAsia="Times New Roman" w:hAnsi="Times New Roman" w:cs="Times New Roman"/>
            <w:color w:val="0000FF"/>
            <w:sz w:val="24"/>
            <w:szCs w:val="24"/>
            <w:u w:val="single"/>
          </w:rPr>
          <w:t>https://doi.org/10.1016/j.bandc.2013.04.001</w:t>
        </w:r>
      </w:hyperlink>
    </w:p>
    <w:p w14:paraId="577B0E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Moustafa, A. A., Herzallah, M. M., &amp; Gluck, M. A. (2014). A model of reversal learning and working memory in medicated and unmedicated patients with Parkinson’s disease. </w:t>
      </w:r>
      <w:r w:rsidRPr="001768F9">
        <w:rPr>
          <w:rFonts w:ascii="Times New Roman" w:eastAsia="Times New Roman" w:hAnsi="Times New Roman" w:cs="Times New Roman"/>
          <w:i/>
          <w:iCs/>
          <w:sz w:val="24"/>
          <w:szCs w:val="24"/>
        </w:rPr>
        <w:t>Journal of Mathematical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 120–131. </w:t>
      </w:r>
      <w:hyperlink r:id="rId4040" w:history="1">
        <w:r w:rsidRPr="001768F9">
          <w:rPr>
            <w:rFonts w:ascii="Times New Roman" w:eastAsia="Times New Roman" w:hAnsi="Times New Roman" w:cs="Times New Roman"/>
            <w:color w:val="0000FF"/>
            <w:sz w:val="24"/>
            <w:szCs w:val="24"/>
            <w:u w:val="single"/>
          </w:rPr>
          <w:t>https://doi.org/10.1016/j.jmp.2013.08.003</w:t>
        </w:r>
      </w:hyperlink>
    </w:p>
    <w:p w14:paraId="26F4B0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Moutier, S. (1997). Biais de raisonnement déductif et inhibition chez l’enfant d’âge scolaire. [Deductive reasoning bias and inhibition in school age children.]. </w:t>
      </w:r>
      <w:r w:rsidRPr="001768F9">
        <w:rPr>
          <w:rFonts w:ascii="Times New Roman" w:eastAsia="Times New Roman" w:hAnsi="Times New Roman" w:cs="Times New Roman"/>
          <w:i/>
          <w:iCs/>
          <w:sz w:val="24"/>
          <w:szCs w:val="24"/>
        </w:rPr>
        <w:t>Archives de 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(255), 279–292.</w:t>
      </w:r>
    </w:p>
    <w:p w14:paraId="141E8E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Moutier, S. (2000). Deductive competence and executive efficiency in school children. </w:t>
      </w:r>
      <w:r w:rsidRPr="001768F9">
        <w:rPr>
          <w:rFonts w:ascii="Times New Roman" w:eastAsia="Times New Roman" w:hAnsi="Times New Roman" w:cs="Times New Roman"/>
          <w:i/>
          <w:iCs/>
          <w:sz w:val="24"/>
          <w:szCs w:val="24"/>
        </w:rPr>
        <w:t>Current Psychology Letters: Behaviour, Brain &amp;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87–100.</w:t>
      </w:r>
    </w:p>
    <w:p w14:paraId="73606A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Mowlaie, M., Hatami, J., &amp; Rostami, R. (2014). The comparison of executive functions in obsessive-compulsive disorder and major depressive disorder patients with healthy individuals. [The comparison of executive functions in obsessive-compulsive disorder and major depressive disorder patients with hea. </w:t>
      </w:r>
      <w:r w:rsidRPr="001768F9">
        <w:rPr>
          <w:rFonts w:ascii="Times New Roman" w:eastAsia="Times New Roman" w:hAnsi="Times New Roman" w:cs="Times New Roman"/>
          <w:i/>
          <w:iCs/>
          <w:sz w:val="24"/>
          <w:szCs w:val="24"/>
        </w:rPr>
        <w:t>Advances in 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(3[63]), 61–71.</w:t>
      </w:r>
    </w:p>
    <w:p w14:paraId="54DE0F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Mozeiko, J., Lé, K., &amp; Coelho, C. (2013). Traumatic brain injury. In </w:t>
      </w:r>
      <w:r w:rsidRPr="001768F9">
        <w:rPr>
          <w:rFonts w:ascii="Times New Roman" w:eastAsia="Times New Roman" w:hAnsi="Times New Roman" w:cs="Times New Roman"/>
          <w:i/>
          <w:iCs/>
          <w:sz w:val="24"/>
          <w:szCs w:val="24"/>
        </w:rPr>
        <w:t>The handbook of language and speech disorders.</w:t>
      </w:r>
      <w:r w:rsidRPr="001768F9">
        <w:rPr>
          <w:rFonts w:ascii="Times New Roman" w:eastAsia="Times New Roman" w:hAnsi="Times New Roman" w:cs="Times New Roman"/>
          <w:sz w:val="24"/>
          <w:szCs w:val="24"/>
        </w:rPr>
        <w:t xml:space="preserve"> (pp. 577–599). Wiley-Blackwell.</w:t>
      </w:r>
    </w:p>
    <w:p w14:paraId="660D98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Mozeiko, J., Le, K., Coelho, C., Krueger, F., &amp; Grafman, J. (2011). The relationship of story grammar and executive function following TBI.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(6–7), 826–835. </w:t>
      </w:r>
      <w:hyperlink r:id="rId4041" w:history="1">
        <w:r w:rsidRPr="001768F9">
          <w:rPr>
            <w:rFonts w:ascii="Times New Roman" w:eastAsia="Times New Roman" w:hAnsi="Times New Roman" w:cs="Times New Roman"/>
            <w:color w:val="0000FF"/>
            <w:sz w:val="24"/>
            <w:szCs w:val="24"/>
            <w:u w:val="single"/>
          </w:rPr>
          <w:t>https://doi.org/10.1080/02687038.2010.543983</w:t>
        </w:r>
      </w:hyperlink>
    </w:p>
    <w:p w14:paraId="329A89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Mozzambani, A. C. F., Fuso, S. F., Malta, S. M., Ribeiro, R. L., Pupo, M. C., Flaks, M. K., &amp; Mello, M. F. (2017). Long-term follow-up of attentional and executive functions of PTSD patients. </w:t>
      </w:r>
      <w:r w:rsidRPr="001768F9">
        <w:rPr>
          <w:rFonts w:ascii="Times New Roman" w:eastAsia="Times New Roman" w:hAnsi="Times New Roman" w:cs="Times New Roman"/>
          <w:i/>
          <w:iCs/>
          <w:sz w:val="24"/>
          <w:szCs w:val="24"/>
        </w:rPr>
        <w:t>Psychology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215–224. </w:t>
      </w:r>
      <w:hyperlink r:id="rId4042" w:history="1">
        <w:r w:rsidRPr="001768F9">
          <w:rPr>
            <w:rFonts w:ascii="Times New Roman" w:eastAsia="Times New Roman" w:hAnsi="Times New Roman" w:cs="Times New Roman"/>
            <w:color w:val="0000FF"/>
            <w:sz w:val="24"/>
            <w:szCs w:val="24"/>
            <w:u w:val="single"/>
          </w:rPr>
          <w:t>https://doi.org/10.1037/pne0000088</w:t>
        </w:r>
      </w:hyperlink>
    </w:p>
    <w:p w14:paraId="6D9498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C., Zhou, W., VanMeter, A., Heiby, M., Magaki, S., Ross, M. M., Espina, V., Schrag, M., Dickson, C., Liotta, L. A., &amp; Kirsch, W. M. (2010). The Heme Degradation Pathway is a promising serum biomarker source for the early detection of Alzheimer’s disease.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(3), 1081–1091.</w:t>
      </w:r>
    </w:p>
    <w:p w14:paraId="78A610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D. R., Khalesi, Z., Benzing, V., Castiglione, C. I., &amp; Roder, V. (2017). Does integrated neurocognitive therapy (INT) reduce severe negative symptoms in schizophrenia outpatients?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188</w:t>
      </w:r>
      <w:r w:rsidRPr="001768F9">
        <w:rPr>
          <w:rFonts w:ascii="Times New Roman" w:eastAsia="Times New Roman" w:hAnsi="Times New Roman" w:cs="Times New Roman"/>
          <w:sz w:val="24"/>
          <w:szCs w:val="24"/>
        </w:rPr>
        <w:t xml:space="preserve">, 92–97. </w:t>
      </w:r>
      <w:hyperlink r:id="rId4043" w:history="1">
        <w:r w:rsidRPr="001768F9">
          <w:rPr>
            <w:rFonts w:ascii="Times New Roman" w:eastAsia="Times New Roman" w:hAnsi="Times New Roman" w:cs="Times New Roman"/>
            <w:color w:val="0000FF"/>
            <w:sz w:val="24"/>
            <w:szCs w:val="24"/>
            <w:u w:val="single"/>
          </w:rPr>
          <w:t>https://doi.org/10.1016/j.schres.2017.01.037</w:t>
        </w:r>
      </w:hyperlink>
    </w:p>
    <w:p w14:paraId="15E66E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D. R., Khalesi, Z., &amp; Roder, V. (2020). Can cognitive remediation in groups prevent relapses?: Results of a 1-year follow-up randomized controlled trial.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208</w:t>
      </w:r>
      <w:r w:rsidRPr="001768F9">
        <w:rPr>
          <w:rFonts w:ascii="Times New Roman" w:eastAsia="Times New Roman" w:hAnsi="Times New Roman" w:cs="Times New Roman"/>
          <w:sz w:val="24"/>
          <w:szCs w:val="24"/>
        </w:rPr>
        <w:t xml:space="preserve">(5), 362–370. </w:t>
      </w:r>
      <w:hyperlink r:id="rId4044" w:history="1">
        <w:r w:rsidRPr="001768F9">
          <w:rPr>
            <w:rFonts w:ascii="Times New Roman" w:eastAsia="Times New Roman" w:hAnsi="Times New Roman" w:cs="Times New Roman"/>
            <w:color w:val="0000FF"/>
            <w:sz w:val="24"/>
            <w:szCs w:val="24"/>
            <w:u w:val="single"/>
          </w:rPr>
          <w:t>https://doi.org/10.1097/NMD.0000000000001146</w:t>
        </w:r>
      </w:hyperlink>
    </w:p>
    <w:p w14:paraId="4421BF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E. T., Landes, R. D., Kowal, B. P., Yi, R., Stitzer, M. L., Burnett, C. A., &amp; Bickel, W. K. (2009). Delay of smoking gratification as a laboratory model of relapse: Effects of incentives for not smoking, and relationship with measures of executive function. </w:t>
      </w:r>
      <w:r w:rsidRPr="001768F9">
        <w:rPr>
          <w:rFonts w:ascii="Times New Roman" w:eastAsia="Times New Roman" w:hAnsi="Times New Roman" w:cs="Times New Roman"/>
          <w:i/>
          <w:iCs/>
          <w:sz w:val="24"/>
          <w:szCs w:val="24"/>
        </w:rPr>
        <w:t>Behavioural 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(5–6), 461–473. </w:t>
      </w:r>
      <w:hyperlink r:id="rId4045" w:history="1">
        <w:r w:rsidRPr="001768F9">
          <w:rPr>
            <w:rFonts w:ascii="Times New Roman" w:eastAsia="Times New Roman" w:hAnsi="Times New Roman" w:cs="Times New Roman"/>
            <w:color w:val="0000FF"/>
            <w:sz w:val="24"/>
            <w:szCs w:val="24"/>
            <w:u w:val="single"/>
          </w:rPr>
          <w:t>https://doi.org/10.1097/FBP.0b013e3283305ec7</w:t>
        </w:r>
      </w:hyperlink>
    </w:p>
    <w:p w14:paraId="5DAF5D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J. A., &amp; Dollaghan, C. (2013). A systematic review of assessments for identifying executive function impairment in adults with acquired brain injury. </w:t>
      </w:r>
      <w:r w:rsidRPr="001768F9">
        <w:rPr>
          <w:rFonts w:ascii="Times New Roman" w:eastAsia="Times New Roman" w:hAnsi="Times New Roman" w:cs="Times New Roman"/>
          <w:i/>
          <w:iCs/>
          <w:sz w:val="24"/>
          <w:szCs w:val="24"/>
        </w:rPr>
        <w:t>Journal of Speech, Language, and Hearing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56</w:t>
      </w:r>
      <w:r w:rsidRPr="001768F9">
        <w:rPr>
          <w:rFonts w:ascii="Times New Roman" w:eastAsia="Times New Roman" w:hAnsi="Times New Roman" w:cs="Times New Roman"/>
          <w:sz w:val="24"/>
          <w:szCs w:val="24"/>
        </w:rPr>
        <w:t xml:space="preserve">(3), 1051–1064. </w:t>
      </w:r>
      <w:hyperlink r:id="rId4046" w:history="1">
        <w:r w:rsidRPr="001768F9">
          <w:rPr>
            <w:rFonts w:ascii="Times New Roman" w:eastAsia="Times New Roman" w:hAnsi="Times New Roman" w:cs="Times New Roman"/>
            <w:color w:val="0000FF"/>
            <w:sz w:val="24"/>
            <w:szCs w:val="24"/>
            <w:u w:val="single"/>
          </w:rPr>
          <w:t>https://doi.org/10.1044/1092-4388(2012/12-0147)</w:t>
        </w:r>
      </w:hyperlink>
    </w:p>
    <w:p w14:paraId="2B95E2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Mueller, K. L., &amp; Tomblin, J. B. (2012). Diagnosis of attention-deficit/hyperactivity disorder and its behavioral, neurological, and genetic roots. </w:t>
      </w:r>
      <w:r w:rsidRPr="001768F9">
        <w:rPr>
          <w:rFonts w:ascii="Times New Roman" w:eastAsia="Times New Roman" w:hAnsi="Times New Roman" w:cs="Times New Roman"/>
          <w:i/>
          <w:iCs/>
          <w:sz w:val="24"/>
          <w:szCs w:val="24"/>
        </w:rPr>
        <w:t>Topics in Language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(3), 207–227. </w:t>
      </w:r>
      <w:hyperlink r:id="rId4047" w:history="1">
        <w:r w:rsidRPr="001768F9">
          <w:rPr>
            <w:rFonts w:ascii="Times New Roman" w:eastAsia="Times New Roman" w:hAnsi="Times New Roman" w:cs="Times New Roman"/>
            <w:color w:val="0000FF"/>
            <w:sz w:val="24"/>
            <w:szCs w:val="24"/>
            <w:u w:val="single"/>
          </w:rPr>
          <w:t>https://doi.org/10.1097/TLD.0b013e318261ffdd</w:t>
        </w:r>
      </w:hyperlink>
    </w:p>
    <w:p w14:paraId="302CDA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Mueser, K. T., &amp; McGurk, S. R. (2012). Influence of comorbid substance use disorders on cognition in schizophrenia. In </w:t>
      </w:r>
      <w:r w:rsidRPr="001768F9">
        <w:rPr>
          <w:rFonts w:ascii="Times New Roman" w:eastAsia="Times New Roman" w:hAnsi="Times New Roman" w:cs="Times New Roman"/>
          <w:i/>
          <w:iCs/>
          <w:sz w:val="24"/>
          <w:szCs w:val="24"/>
        </w:rPr>
        <w:t>Clinical neuropsychological foundations of schizophrenia.</w:t>
      </w:r>
      <w:r w:rsidRPr="001768F9">
        <w:rPr>
          <w:rFonts w:ascii="Times New Roman" w:eastAsia="Times New Roman" w:hAnsi="Times New Roman" w:cs="Times New Roman"/>
          <w:sz w:val="24"/>
          <w:szCs w:val="24"/>
        </w:rPr>
        <w:t xml:space="preserve"> (pp. 207–253). Psychology Press.</w:t>
      </w:r>
    </w:p>
    <w:p w14:paraId="43B9E7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Mueser, K. T., McGurk, S. R., Xie, H., Bolton, E. E., Jankowski, M. K., Lu, W., Rosenberg, S. D., &amp; Wolfe, R. (2018). Neuropsychological predictors of response to cognitive behavioral therapy for posttraumatic stress disorder in persons with severe mental illness.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259</w:t>
      </w:r>
      <w:r w:rsidRPr="001768F9">
        <w:rPr>
          <w:rFonts w:ascii="Times New Roman" w:eastAsia="Times New Roman" w:hAnsi="Times New Roman" w:cs="Times New Roman"/>
          <w:sz w:val="24"/>
          <w:szCs w:val="24"/>
        </w:rPr>
        <w:t xml:space="preserve">, 110–116. </w:t>
      </w:r>
      <w:hyperlink r:id="rId4048" w:history="1">
        <w:r w:rsidRPr="001768F9">
          <w:rPr>
            <w:rFonts w:ascii="Times New Roman" w:eastAsia="Times New Roman" w:hAnsi="Times New Roman" w:cs="Times New Roman"/>
            <w:color w:val="0000FF"/>
            <w:sz w:val="24"/>
            <w:szCs w:val="24"/>
            <w:u w:val="single"/>
          </w:rPr>
          <w:t>https://doi.org/10.1016/j.psychres.2017.10.016</w:t>
        </w:r>
      </w:hyperlink>
    </w:p>
    <w:p w14:paraId="4E026BA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Muffatti, R., Scarone, S., &amp; Gambini, O. (2008). An olfactory reference syndrome successfully treated by aripiprazole augmentation of antidepressant therapy.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258–260. </w:t>
      </w:r>
      <w:hyperlink r:id="rId4049" w:history="1">
        <w:r w:rsidRPr="001768F9">
          <w:rPr>
            <w:rFonts w:ascii="Times New Roman" w:eastAsia="Times New Roman" w:hAnsi="Times New Roman" w:cs="Times New Roman"/>
            <w:color w:val="0000FF"/>
            <w:sz w:val="24"/>
            <w:szCs w:val="24"/>
            <w:u w:val="single"/>
          </w:rPr>
          <w:t>https://doi.org/10.1097/WNN.0b013e318185e6bd</w:t>
        </w:r>
      </w:hyperlink>
    </w:p>
    <w:p w14:paraId="4DE98E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Mukherjee, C. M., &amp; Rangasawami, K. (2014). Nerupsychological functioning in affective disorders. </w:t>
      </w:r>
      <w:r w:rsidRPr="001768F9">
        <w:rPr>
          <w:rFonts w:ascii="Times New Roman" w:eastAsia="Times New Roman" w:hAnsi="Times New Roman" w:cs="Times New Roman"/>
          <w:i/>
          <w:iCs/>
          <w:sz w:val="24"/>
          <w:szCs w:val="24"/>
        </w:rPr>
        <w:t>Journal of the Indian Academy of Applied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(2), 294–303.</w:t>
      </w:r>
    </w:p>
    <w:p w14:paraId="14168A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Mukhopadhyay, P., &amp; Tarafder, S. (Eds.). (2018a). Obsessive compulsive disorder: A neuropsychological approach. </w:t>
      </w:r>
      <w:r w:rsidRPr="001768F9">
        <w:rPr>
          <w:rFonts w:ascii="Times New Roman" w:eastAsia="Times New Roman" w:hAnsi="Times New Roman" w:cs="Times New Roman"/>
          <w:i/>
          <w:iCs/>
          <w:sz w:val="24"/>
          <w:szCs w:val="24"/>
        </w:rPr>
        <w:t>Obsessive Compulsive Disorder: A Neuropsychological Approach.</w:t>
      </w:r>
      <w:r w:rsidRPr="001768F9">
        <w:rPr>
          <w:rFonts w:ascii="Times New Roman" w:eastAsia="Times New Roman" w:hAnsi="Times New Roman" w:cs="Times New Roman"/>
          <w:sz w:val="24"/>
          <w:szCs w:val="24"/>
        </w:rPr>
        <w:t xml:space="preserve">, xxvi, 247–xxvi, 247. </w:t>
      </w:r>
      <w:hyperlink r:id="rId4050" w:history="1">
        <w:r w:rsidRPr="001768F9">
          <w:rPr>
            <w:rFonts w:ascii="Times New Roman" w:eastAsia="Times New Roman" w:hAnsi="Times New Roman" w:cs="Times New Roman"/>
            <w:color w:val="0000FF"/>
            <w:sz w:val="24"/>
            <w:szCs w:val="24"/>
            <w:u w:val="single"/>
          </w:rPr>
          <w:t>https://doi.org/10.4135/9789353280765</w:t>
        </w:r>
      </w:hyperlink>
    </w:p>
    <w:p w14:paraId="3FC001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Mukhopadhyay, P., &amp; Tarafder, S. (2018b). Obsessive compulsive disorder: Psychoanalytic and neuropsychological interface. </w:t>
      </w:r>
      <w:r w:rsidRPr="001768F9">
        <w:rPr>
          <w:rFonts w:ascii="Times New Roman" w:eastAsia="Times New Roman" w:hAnsi="Times New Roman" w:cs="Times New Roman"/>
          <w:i/>
          <w:iCs/>
          <w:sz w:val="24"/>
          <w:szCs w:val="24"/>
        </w:rPr>
        <w:t>Obsessive Compulsive Disorder: A Neuropsychological Approach.</w:t>
      </w:r>
      <w:r w:rsidRPr="001768F9">
        <w:rPr>
          <w:rFonts w:ascii="Times New Roman" w:eastAsia="Times New Roman" w:hAnsi="Times New Roman" w:cs="Times New Roman"/>
          <w:sz w:val="24"/>
          <w:szCs w:val="24"/>
        </w:rPr>
        <w:t xml:space="preserve">, 227–237. </w:t>
      </w:r>
      <w:hyperlink r:id="rId4051" w:history="1">
        <w:r w:rsidRPr="001768F9">
          <w:rPr>
            <w:rFonts w:ascii="Times New Roman" w:eastAsia="Times New Roman" w:hAnsi="Times New Roman" w:cs="Times New Roman"/>
            <w:color w:val="0000FF"/>
            <w:sz w:val="24"/>
            <w:szCs w:val="24"/>
            <w:u w:val="single"/>
          </w:rPr>
          <w:t>https://doi.org/10.4135/9789353280765.n9</w:t>
        </w:r>
      </w:hyperlink>
    </w:p>
    <w:p w14:paraId="440719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Mukhopadhyay, P., Tarafder, S., Bilimoria, D. D., Paul, D., &amp; Bandyopadhyay, G. (2010). Instinctual impulses in obsessive compulsive disorder: A neuropsychological and psychoanalytic interface. </w:t>
      </w:r>
      <w:r w:rsidRPr="001768F9">
        <w:rPr>
          <w:rFonts w:ascii="Times New Roman" w:eastAsia="Times New Roman" w:hAnsi="Times New Roman" w:cs="Times New Roman"/>
          <w:i/>
          <w:iCs/>
          <w:sz w:val="24"/>
          <w:szCs w:val="24"/>
        </w:rPr>
        <w:t>Asian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(4), 177–185. </w:t>
      </w:r>
      <w:hyperlink r:id="rId4052" w:history="1">
        <w:r w:rsidRPr="001768F9">
          <w:rPr>
            <w:rFonts w:ascii="Times New Roman" w:eastAsia="Times New Roman" w:hAnsi="Times New Roman" w:cs="Times New Roman"/>
            <w:color w:val="0000FF"/>
            <w:sz w:val="24"/>
            <w:szCs w:val="24"/>
            <w:u w:val="single"/>
          </w:rPr>
          <w:t>https://doi.org/10.1016/j.ajp.2010.10.002</w:t>
        </w:r>
      </w:hyperlink>
    </w:p>
    <w:p w14:paraId="5F7CF47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Mulas, F., Capilla, A., Fernández, S., Etchepareborda, M. C., Campo, P., Maestú, F., Fernández, A., Castellanos, F. X., &amp; Ortiz, T. (2006). Shifting-Related Brain Magnetic Activity in Attention-Deficit/Hyperactivity Disorder.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(4), 373–379. </w:t>
      </w:r>
      <w:hyperlink r:id="rId4053" w:history="1">
        <w:r w:rsidRPr="001768F9">
          <w:rPr>
            <w:rFonts w:ascii="Times New Roman" w:eastAsia="Times New Roman" w:hAnsi="Times New Roman" w:cs="Times New Roman"/>
            <w:color w:val="0000FF"/>
            <w:sz w:val="24"/>
            <w:szCs w:val="24"/>
            <w:u w:val="single"/>
          </w:rPr>
          <w:t>https://doi.org/10.1016/j.biopsych.2005.06.031</w:t>
        </w:r>
      </w:hyperlink>
    </w:p>
    <w:p w14:paraId="57BB9F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Mullane, J. C., &amp; Corkum, P. V. (2007). The relationship between working memory, inhibition, and performance on the Wisconsin Card Sorting Test in children with and without ADHD. </w:t>
      </w:r>
      <w:r w:rsidRPr="001768F9">
        <w:rPr>
          <w:rFonts w:ascii="Times New Roman" w:eastAsia="Times New Roman" w:hAnsi="Times New Roman" w:cs="Times New Roman"/>
          <w:i/>
          <w:iCs/>
          <w:sz w:val="24"/>
          <w:szCs w:val="24"/>
        </w:rPr>
        <w:t>Journal of Psychoeducational 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(3), 211–221. </w:t>
      </w:r>
      <w:hyperlink r:id="rId4054" w:history="1">
        <w:r w:rsidRPr="001768F9">
          <w:rPr>
            <w:rFonts w:ascii="Times New Roman" w:eastAsia="Times New Roman" w:hAnsi="Times New Roman" w:cs="Times New Roman"/>
            <w:color w:val="0000FF"/>
            <w:sz w:val="24"/>
            <w:szCs w:val="24"/>
            <w:u w:val="single"/>
          </w:rPr>
          <w:t>https://doi.org/10.1177/0734282906297627</w:t>
        </w:r>
      </w:hyperlink>
    </w:p>
    <w:p w14:paraId="53E587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Mullane, J. C., Corkum, P. V., Klein, R. M., McLaughlin, E. N., &amp; Lawrence, M. A. (2011). Alerting, orienting, and executive attention in children with ADHD. </w:t>
      </w:r>
      <w:r w:rsidRPr="001768F9">
        <w:rPr>
          <w:rFonts w:ascii="Times New Roman" w:eastAsia="Times New Roman" w:hAnsi="Times New Roman" w:cs="Times New Roman"/>
          <w:i/>
          <w:iCs/>
          <w:sz w:val="24"/>
          <w:szCs w:val="24"/>
        </w:rPr>
        <w:t>Journal of Attention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(4), 310–320. </w:t>
      </w:r>
      <w:hyperlink r:id="rId4055" w:history="1">
        <w:r w:rsidRPr="001768F9">
          <w:rPr>
            <w:rFonts w:ascii="Times New Roman" w:eastAsia="Times New Roman" w:hAnsi="Times New Roman" w:cs="Times New Roman"/>
            <w:color w:val="0000FF"/>
            <w:sz w:val="24"/>
            <w:szCs w:val="24"/>
            <w:u w:val="single"/>
          </w:rPr>
          <w:t>https://doi.org/10.1177/1087054710366384</w:t>
        </w:r>
      </w:hyperlink>
    </w:p>
    <w:p w14:paraId="277F62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Müller, S. V., Müller-Vahl, K., Johannes, S., &amp; Münte, T. F. (2006). Error Monitoring in Patients with Tourette’s Syndrome and Co-Morbid Obsessive Compulsive Disorder. In </w:t>
      </w:r>
      <w:r w:rsidRPr="001768F9">
        <w:rPr>
          <w:rFonts w:ascii="Times New Roman" w:eastAsia="Times New Roman" w:hAnsi="Times New Roman" w:cs="Times New Roman"/>
          <w:i/>
          <w:iCs/>
          <w:sz w:val="24"/>
          <w:szCs w:val="24"/>
        </w:rPr>
        <w:t>Advances in psychology research, Vol 43.</w:t>
      </w:r>
      <w:r w:rsidRPr="001768F9">
        <w:rPr>
          <w:rFonts w:ascii="Times New Roman" w:eastAsia="Times New Roman" w:hAnsi="Times New Roman" w:cs="Times New Roman"/>
          <w:sz w:val="24"/>
          <w:szCs w:val="24"/>
        </w:rPr>
        <w:t xml:space="preserve"> (pp. 75–91). Nova Science Publishers.</w:t>
      </w:r>
    </w:p>
    <w:p w14:paraId="5CEDC9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Mullet, E., Cretenet, J., &amp; Dru, V. (2014). Motor influences on judgment: Motor and cognitive integration. </w:t>
      </w:r>
      <w:r w:rsidRPr="001768F9">
        <w:rPr>
          <w:rFonts w:ascii="Times New Roman" w:eastAsia="Times New Roman" w:hAnsi="Times New Roman" w:cs="Times New Roman"/>
          <w:i/>
          <w:iCs/>
          <w:sz w:val="24"/>
          <w:szCs w:val="24"/>
        </w:rPr>
        <w:t>British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(1), 69–91. </w:t>
      </w:r>
      <w:hyperlink r:id="rId4056" w:history="1">
        <w:r w:rsidRPr="001768F9">
          <w:rPr>
            <w:rFonts w:ascii="Times New Roman" w:eastAsia="Times New Roman" w:hAnsi="Times New Roman" w:cs="Times New Roman"/>
            <w:color w:val="0000FF"/>
            <w:sz w:val="24"/>
            <w:szCs w:val="24"/>
            <w:u w:val="single"/>
          </w:rPr>
          <w:t>https://doi.org/10.1111/bjop.12022</w:t>
        </w:r>
      </w:hyperlink>
    </w:p>
    <w:p w14:paraId="296A52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Mullick, A. A., Subramanian, S. K., &amp; Levin, M. F. (2015). Emerging evidence of the association between cognitive deficits and arm motor recovery after stroke: A meta-analysis. </w:t>
      </w:r>
      <w:r w:rsidRPr="001768F9">
        <w:rPr>
          <w:rFonts w:ascii="Times New Roman" w:eastAsia="Times New Roman" w:hAnsi="Times New Roman" w:cs="Times New Roman"/>
          <w:i/>
          <w:iCs/>
          <w:sz w:val="24"/>
          <w:szCs w:val="24"/>
        </w:rPr>
        <w:t>Restorative Neurology and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(3), 389–403. </w:t>
      </w:r>
      <w:hyperlink r:id="rId4057" w:history="1">
        <w:r w:rsidRPr="001768F9">
          <w:rPr>
            <w:rFonts w:ascii="Times New Roman" w:eastAsia="Times New Roman" w:hAnsi="Times New Roman" w:cs="Times New Roman"/>
            <w:color w:val="0000FF"/>
            <w:sz w:val="24"/>
            <w:szCs w:val="24"/>
            <w:u w:val="single"/>
          </w:rPr>
          <w:t>https://doi.org/10.3233/RNN-150510</w:t>
        </w:r>
      </w:hyperlink>
    </w:p>
    <w:p w14:paraId="6EDDEC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Mulligan, R., Basso, M. R., Lau, L., Reynolds, B., Whiteside, D. M., Combs, D., &amp; Bornstein, R. A. (2019). Validity of the verbal concept attainment test in multiple sclerosis.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(4), 331–340. </w:t>
      </w:r>
      <w:hyperlink r:id="rId4058" w:history="1">
        <w:r w:rsidRPr="001768F9">
          <w:rPr>
            <w:rFonts w:ascii="Times New Roman" w:eastAsia="Times New Roman" w:hAnsi="Times New Roman" w:cs="Times New Roman"/>
            <w:color w:val="0000FF"/>
            <w:sz w:val="24"/>
            <w:szCs w:val="24"/>
            <w:u w:val="single"/>
          </w:rPr>
          <w:t>https://doi.org/10.1080/13803395.2018.1562048</w:t>
        </w:r>
      </w:hyperlink>
    </w:p>
    <w:p w14:paraId="52B922B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Mullin, S., &amp; Simpson, J. (2007). Does executive functioning predict improvement in offenders’ behaviour following enhanced thinking skills training? An exploratory study with implications for rehabilitation. </w:t>
      </w:r>
      <w:r w:rsidRPr="001768F9">
        <w:rPr>
          <w:rFonts w:ascii="Times New Roman" w:eastAsia="Times New Roman" w:hAnsi="Times New Roman" w:cs="Times New Roman"/>
          <w:i/>
          <w:iCs/>
          <w:sz w:val="24"/>
          <w:szCs w:val="24"/>
        </w:rPr>
        <w:t>Legal and Criminological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117–131. </w:t>
      </w:r>
      <w:hyperlink r:id="rId4059" w:history="1">
        <w:r w:rsidRPr="001768F9">
          <w:rPr>
            <w:rFonts w:ascii="Times New Roman" w:eastAsia="Times New Roman" w:hAnsi="Times New Roman" w:cs="Times New Roman"/>
            <w:color w:val="0000FF"/>
            <w:sz w:val="24"/>
            <w:szCs w:val="24"/>
            <w:u w:val="single"/>
          </w:rPr>
          <w:t>https://doi.org/10.1348/135532505X91560</w:t>
        </w:r>
      </w:hyperlink>
    </w:p>
    <w:p w14:paraId="237536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Mun, C. J., Karoly, P., &amp; Okun, M. A. (2015). Effects of daily pain intensity, positive affect, and individual differences in pain acceptance on work goal interference and progress. </w:t>
      </w:r>
      <w:r w:rsidRPr="001768F9">
        <w:rPr>
          <w:rFonts w:ascii="Times New Roman" w:eastAsia="Times New Roman" w:hAnsi="Times New Roman" w:cs="Times New Roman"/>
          <w:i/>
          <w:iCs/>
          <w:sz w:val="24"/>
          <w:szCs w:val="24"/>
        </w:rPr>
        <w:t>Pain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156</w:t>
      </w:r>
      <w:r w:rsidRPr="001768F9">
        <w:rPr>
          <w:rFonts w:ascii="Times New Roman" w:eastAsia="Times New Roman" w:hAnsi="Times New Roman" w:cs="Times New Roman"/>
          <w:sz w:val="24"/>
          <w:szCs w:val="24"/>
        </w:rPr>
        <w:t xml:space="preserve">(11), 2276–2285. </w:t>
      </w:r>
      <w:hyperlink r:id="rId4060" w:history="1">
        <w:r w:rsidRPr="001768F9">
          <w:rPr>
            <w:rFonts w:ascii="Times New Roman" w:eastAsia="Times New Roman" w:hAnsi="Times New Roman" w:cs="Times New Roman"/>
            <w:color w:val="0000FF"/>
            <w:sz w:val="24"/>
            <w:szCs w:val="24"/>
            <w:u w:val="single"/>
          </w:rPr>
          <w:t>https://doi.org/10.1097/j.pain.0000000000000278</w:t>
        </w:r>
      </w:hyperlink>
    </w:p>
    <w:p w14:paraId="62B972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Mun, C. J., Karoly, P., &amp; Okun, M. A. (2018). Does working memory moderate the within-person associations between pain intensity and negative affect and pain’s interference with work goal pursuit? </w:t>
      </w:r>
      <w:r w:rsidRPr="001768F9">
        <w:rPr>
          <w:rFonts w:ascii="Times New Roman" w:eastAsia="Times New Roman" w:hAnsi="Times New Roman" w:cs="Times New Roman"/>
          <w:i/>
          <w:iCs/>
          <w:sz w:val="24"/>
          <w:szCs w:val="24"/>
        </w:rPr>
        <w:t>The Clinical Journal of Pain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(6), 566–576. </w:t>
      </w:r>
      <w:hyperlink r:id="rId4061" w:history="1">
        <w:r w:rsidRPr="001768F9">
          <w:rPr>
            <w:rFonts w:ascii="Times New Roman" w:eastAsia="Times New Roman" w:hAnsi="Times New Roman" w:cs="Times New Roman"/>
            <w:color w:val="0000FF"/>
            <w:sz w:val="24"/>
            <w:szCs w:val="24"/>
            <w:u w:val="single"/>
          </w:rPr>
          <w:t>https://doi.org/10.1097/AJP.0000000000000569</w:t>
        </w:r>
      </w:hyperlink>
    </w:p>
    <w:p w14:paraId="7F59E9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Mungas, D., Heaton, R., Tulsky, D., Zelazo, P. D., Slotkin, J., Blitz, D., Lai, J.-S., &amp; Gershon, R. (2014). Factor structure, convergent validity, and discriminant validity of the NIH Toolbox Cognitive Health Battery (NIHTB-CHB) in adults.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579–587. </w:t>
      </w:r>
      <w:hyperlink r:id="rId4062" w:history="1">
        <w:r w:rsidRPr="001768F9">
          <w:rPr>
            <w:rFonts w:ascii="Times New Roman" w:eastAsia="Times New Roman" w:hAnsi="Times New Roman" w:cs="Times New Roman"/>
            <w:color w:val="0000FF"/>
            <w:sz w:val="24"/>
            <w:szCs w:val="24"/>
            <w:u w:val="single"/>
          </w:rPr>
          <w:t>https://doi.org/10.1017/S1355617714000307</w:t>
        </w:r>
      </w:hyperlink>
    </w:p>
    <w:p w14:paraId="37650E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 Ladrón de Guevara, C., Fernández-Serrano, M. J., Reyes del Paso, G. A., &amp; Duschek, S. (2018). Executive function impairments in fibromyalgia syndrome: Relevance of clinical variables and body mass index.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w:t>
      </w:r>
      <w:hyperlink r:id="rId4063" w:history="1">
        <w:r w:rsidRPr="001768F9">
          <w:rPr>
            <w:rFonts w:ascii="Times New Roman" w:eastAsia="Times New Roman" w:hAnsi="Times New Roman" w:cs="Times New Roman"/>
            <w:color w:val="0000FF"/>
            <w:sz w:val="24"/>
            <w:szCs w:val="24"/>
            <w:u w:val="single"/>
          </w:rPr>
          <w:t>https://doi.org/10.1371/journal.pone.0196329</w:t>
        </w:r>
      </w:hyperlink>
    </w:p>
    <w:p w14:paraId="3AF94A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Muñoz-Moreno, J. A., Fumaz, C. R., Prats, A., Ferrer, M. J., Negredo, E., Pérez-Álvarez, N., Moltó, J., Gómez, G., Garolera, M., &amp; Clotet, B. (2010). Interruptions of antiretroviral therapy in human immunodeficiency virus infection: Are they detrimental to neurocognitive functioning?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(3), 208–218. </w:t>
      </w:r>
      <w:hyperlink r:id="rId4064" w:history="1">
        <w:r w:rsidRPr="001768F9">
          <w:rPr>
            <w:rFonts w:ascii="Times New Roman" w:eastAsia="Times New Roman" w:hAnsi="Times New Roman" w:cs="Times New Roman"/>
            <w:color w:val="0000FF"/>
            <w:sz w:val="24"/>
            <w:szCs w:val="24"/>
            <w:u w:val="single"/>
          </w:rPr>
          <w:t>https://doi.org/10.3109/13550281003767710</w:t>
        </w:r>
      </w:hyperlink>
    </w:p>
    <w:p w14:paraId="08B091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Muñoz-Moreno, J. A., Pérez-Álvarez, N., Muñoz-Murillo, A., Prats, A., Garolera, M., Jurado, M. À., Fumaz, C. R., Negredo, E., Ferrer, M. J., &amp; Clotet, B. (2014). Classification models for neurocognitive impairment in HIV infection based on demographic and clinical variables.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(9).</w:t>
      </w:r>
    </w:p>
    <w:p w14:paraId="78B876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Muñoz-Moreno, J. A., Prats, A., Pérez-Álvarez, N., Fumaz, C. R., Garolera, M., Doval, E., Negredo, E., Ferrer, M. J., &amp; Clotet, B. (2013). A brief and feasible paper-based method to screen for neurocognitive impairment in HIV-infected patients: The NEU screen. </w:t>
      </w:r>
      <w:r w:rsidRPr="001768F9">
        <w:rPr>
          <w:rFonts w:ascii="Times New Roman" w:eastAsia="Times New Roman" w:hAnsi="Times New Roman" w:cs="Times New Roman"/>
          <w:i/>
          <w:iCs/>
          <w:sz w:val="24"/>
          <w:szCs w:val="24"/>
        </w:rPr>
        <w:t>JAIDS Journal of Acquired Immune Deficiency Syndromes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(5), 585–592. </w:t>
      </w:r>
      <w:hyperlink r:id="rId4065" w:history="1">
        <w:r w:rsidRPr="001768F9">
          <w:rPr>
            <w:rFonts w:ascii="Times New Roman" w:eastAsia="Times New Roman" w:hAnsi="Times New Roman" w:cs="Times New Roman"/>
            <w:color w:val="0000FF"/>
            <w:sz w:val="24"/>
            <w:szCs w:val="24"/>
            <w:u w:val="single"/>
          </w:rPr>
          <w:t>https://doi.org/10.1097/QAI.0b013e31829e1408</w:t>
        </w:r>
      </w:hyperlink>
    </w:p>
    <w:p w14:paraId="5799DA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Münte, T. F., Joppich, G., Däuper, J., Schrader, C., Dengler, R., &amp; Heldmann, M. (2015). Random number generation and executive functions in Parkinson’s disease: An event-related brain potential study. </w:t>
      </w:r>
      <w:r w:rsidRPr="001768F9">
        <w:rPr>
          <w:rFonts w:ascii="Times New Roman" w:eastAsia="Times New Roman" w:hAnsi="Times New Roman" w:cs="Times New Roman"/>
          <w:i/>
          <w:iCs/>
          <w:sz w:val="24"/>
          <w:szCs w:val="24"/>
        </w:rPr>
        <w:t>Journal of Parkinson’s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(3), 613–620. </w:t>
      </w:r>
      <w:hyperlink r:id="rId4066" w:history="1">
        <w:r w:rsidRPr="001768F9">
          <w:rPr>
            <w:rFonts w:ascii="Times New Roman" w:eastAsia="Times New Roman" w:hAnsi="Times New Roman" w:cs="Times New Roman"/>
            <w:color w:val="0000FF"/>
            <w:sz w:val="24"/>
            <w:szCs w:val="24"/>
            <w:u w:val="single"/>
          </w:rPr>
          <w:t>https://doi.org/10.3233/JPD-150575</w:t>
        </w:r>
      </w:hyperlink>
    </w:p>
    <w:p w14:paraId="44684D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 M., Portella, M. J., Mártinez-Arán, A., Pifarré, J., &amp; Vieta, E. (2007). Persistent neuropsychological deficit in euthymic bipolar patients: Executive function as a core deficit. </w:t>
      </w:r>
      <w:r w:rsidRPr="001768F9">
        <w:rPr>
          <w:rFonts w:ascii="Times New Roman" w:eastAsia="Times New Roman" w:hAnsi="Times New Roman" w:cs="Times New Roman"/>
          <w:i/>
          <w:iCs/>
          <w:sz w:val="24"/>
          <w:szCs w:val="24"/>
        </w:rPr>
        <w:t>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(7), 1078–1086. </w:t>
      </w:r>
      <w:hyperlink r:id="rId4067" w:history="1">
        <w:r w:rsidRPr="001768F9">
          <w:rPr>
            <w:rFonts w:ascii="Times New Roman" w:eastAsia="Times New Roman" w:hAnsi="Times New Roman" w:cs="Times New Roman"/>
            <w:color w:val="0000FF"/>
            <w:sz w:val="24"/>
            <w:szCs w:val="24"/>
            <w:u w:val="single"/>
          </w:rPr>
          <w:t>https://doi.org/10.4088/JCP.v68n0715</w:t>
        </w:r>
      </w:hyperlink>
    </w:p>
    <w:p w14:paraId="70707D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 M., Portella, M. J., Martínez-Arán, A., Pifarré, J., &amp; Vieta, E. (2008). Neuropsychological profile in bipolar disorder: A preliminary study of monotherapy lithium-treated euthymic bipolar patients evaluated at a 2-year interval.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118</w:t>
      </w:r>
      <w:r w:rsidRPr="001768F9">
        <w:rPr>
          <w:rFonts w:ascii="Times New Roman" w:eastAsia="Times New Roman" w:hAnsi="Times New Roman" w:cs="Times New Roman"/>
          <w:sz w:val="24"/>
          <w:szCs w:val="24"/>
        </w:rPr>
        <w:t xml:space="preserve">(5), 373–381. </w:t>
      </w:r>
      <w:hyperlink r:id="rId4068" w:history="1">
        <w:r w:rsidRPr="001768F9">
          <w:rPr>
            <w:rFonts w:ascii="Times New Roman" w:eastAsia="Times New Roman" w:hAnsi="Times New Roman" w:cs="Times New Roman"/>
            <w:color w:val="0000FF"/>
            <w:sz w:val="24"/>
            <w:szCs w:val="24"/>
            <w:u w:val="single"/>
          </w:rPr>
          <w:t>https://doi.org/10.1111/j.1600-0447.2008.01245.x</w:t>
        </w:r>
      </w:hyperlink>
    </w:p>
    <w:p w14:paraId="2688F5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 M., Portella, M. J., Martinez-Aran, A., Pifarre, J., &amp; Vieta, E. (2009). Influence of clinical and neuropsychological variables on the psychosocial and occupational outcome of remitted bipolar patients. </w:t>
      </w:r>
      <w:r w:rsidRPr="001768F9">
        <w:rPr>
          <w:rFonts w:ascii="Times New Roman" w:eastAsia="Times New Roman" w:hAnsi="Times New Roman" w:cs="Times New Roman"/>
          <w:i/>
          <w:iCs/>
          <w:sz w:val="24"/>
          <w:szCs w:val="24"/>
        </w:rPr>
        <w:t>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(3), 148–156. </w:t>
      </w:r>
      <w:hyperlink r:id="rId4069" w:history="1">
        <w:r w:rsidRPr="001768F9">
          <w:rPr>
            <w:rFonts w:ascii="Times New Roman" w:eastAsia="Times New Roman" w:hAnsi="Times New Roman" w:cs="Times New Roman"/>
            <w:color w:val="0000FF"/>
            <w:sz w:val="24"/>
            <w:szCs w:val="24"/>
            <w:u w:val="single"/>
          </w:rPr>
          <w:t>https://doi.org/10.1159/000207456</w:t>
        </w:r>
      </w:hyperlink>
    </w:p>
    <w:p w14:paraId="6F4A71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Muralidharan, A., Finch, A., Bowie, C. R., &amp; Harvey, P. D. (2020). Older versus middle-aged adults with schizophrenia: Executive functioning and community outcomes.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216</w:t>
      </w:r>
      <w:r w:rsidRPr="001768F9">
        <w:rPr>
          <w:rFonts w:ascii="Times New Roman" w:eastAsia="Times New Roman" w:hAnsi="Times New Roman" w:cs="Times New Roman"/>
          <w:sz w:val="24"/>
          <w:szCs w:val="24"/>
        </w:rPr>
        <w:t xml:space="preserve">, 547–549. </w:t>
      </w:r>
      <w:hyperlink r:id="rId4070" w:history="1">
        <w:r w:rsidRPr="001768F9">
          <w:rPr>
            <w:rFonts w:ascii="Times New Roman" w:eastAsia="Times New Roman" w:hAnsi="Times New Roman" w:cs="Times New Roman"/>
            <w:color w:val="0000FF"/>
            <w:sz w:val="24"/>
            <w:szCs w:val="24"/>
            <w:u w:val="single"/>
          </w:rPr>
          <w:t>https://doi.org/10.1016/j.schres.2019.11.001</w:t>
        </w:r>
      </w:hyperlink>
    </w:p>
    <w:p w14:paraId="15E930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Murdock, K. W., Oddi, K. B., &amp; Bridgett, D. J. (2013). Cognitive correlates of personality: Links between executive functioning and the big five personality traits. </w:t>
      </w:r>
      <w:r w:rsidRPr="001768F9">
        <w:rPr>
          <w:rFonts w:ascii="Times New Roman" w:eastAsia="Times New Roman" w:hAnsi="Times New Roman" w:cs="Times New Roman"/>
          <w:i/>
          <w:iCs/>
          <w:sz w:val="24"/>
          <w:szCs w:val="24"/>
        </w:rPr>
        <w:t>Journal of Individual Differences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(2), 97–104. </w:t>
      </w:r>
      <w:hyperlink r:id="rId4071" w:history="1">
        <w:r w:rsidRPr="001768F9">
          <w:rPr>
            <w:rFonts w:ascii="Times New Roman" w:eastAsia="Times New Roman" w:hAnsi="Times New Roman" w:cs="Times New Roman"/>
            <w:color w:val="0000FF"/>
            <w:sz w:val="24"/>
            <w:szCs w:val="24"/>
            <w:u w:val="single"/>
          </w:rPr>
          <w:t>https://doi.org/10.1027/1614-0001/a000104</w:t>
        </w:r>
      </w:hyperlink>
    </w:p>
    <w:p w14:paraId="2DF47C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Murphy, K. R., &amp; Barkley, R. A. (1996). Parents of children with attention-deficit/hyperactivity disorder: Psychological and attentional impairment. </w:t>
      </w:r>
      <w:r w:rsidRPr="001768F9">
        <w:rPr>
          <w:rFonts w:ascii="Times New Roman" w:eastAsia="Times New Roman" w:hAnsi="Times New Roman" w:cs="Times New Roman"/>
          <w:i/>
          <w:iCs/>
          <w:sz w:val="24"/>
          <w:szCs w:val="24"/>
        </w:rPr>
        <w:t>American Journal of Orthopsychiatry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(1), 93–102. </w:t>
      </w:r>
      <w:hyperlink r:id="rId4072" w:history="1">
        <w:r w:rsidRPr="001768F9">
          <w:rPr>
            <w:rFonts w:ascii="Times New Roman" w:eastAsia="Times New Roman" w:hAnsi="Times New Roman" w:cs="Times New Roman"/>
            <w:color w:val="0000FF"/>
            <w:sz w:val="24"/>
            <w:szCs w:val="24"/>
            <w:u w:val="single"/>
          </w:rPr>
          <w:t>https://doi.org/10.1037/h0080159</w:t>
        </w:r>
      </w:hyperlink>
    </w:p>
    <w:p w14:paraId="175260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Murphy, T., &amp; Eddy, C. M. (2013). Neuropsychological assessment in Tourette syndrome. In </w:t>
      </w:r>
      <w:r w:rsidRPr="001768F9">
        <w:rPr>
          <w:rFonts w:ascii="Times New Roman" w:eastAsia="Times New Roman" w:hAnsi="Times New Roman" w:cs="Times New Roman"/>
          <w:i/>
          <w:iCs/>
          <w:sz w:val="24"/>
          <w:szCs w:val="24"/>
        </w:rPr>
        <w:t>Tourette syndrome.</w:t>
      </w:r>
      <w:r w:rsidRPr="001768F9">
        <w:rPr>
          <w:rFonts w:ascii="Times New Roman" w:eastAsia="Times New Roman" w:hAnsi="Times New Roman" w:cs="Times New Roman"/>
          <w:sz w:val="24"/>
          <w:szCs w:val="24"/>
        </w:rPr>
        <w:t xml:space="preserve"> (pp. 439–467). Oxford University Press. </w:t>
      </w:r>
      <w:hyperlink r:id="rId4073" w:history="1">
        <w:r w:rsidRPr="001768F9">
          <w:rPr>
            <w:rFonts w:ascii="Times New Roman" w:eastAsia="Times New Roman" w:hAnsi="Times New Roman" w:cs="Times New Roman"/>
            <w:color w:val="0000FF"/>
            <w:sz w:val="24"/>
            <w:szCs w:val="24"/>
            <w:u w:val="single"/>
          </w:rPr>
          <w:t>https://doi.org/10.1093/med/9780199796267.003.0020</w:t>
        </w:r>
      </w:hyperlink>
    </w:p>
    <w:p w14:paraId="4E3DD1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Murphy, V. B., &amp; Christner, R. W. (2012). A cognitive-behavioral case conceptualization for children and adolescents. In </w:t>
      </w:r>
      <w:r w:rsidRPr="001768F9">
        <w:rPr>
          <w:rFonts w:ascii="Times New Roman" w:eastAsia="Times New Roman" w:hAnsi="Times New Roman" w:cs="Times New Roman"/>
          <w:i/>
          <w:iCs/>
          <w:sz w:val="24"/>
          <w:szCs w:val="24"/>
        </w:rPr>
        <w:t>Cognitive-behavioral interventions in educational settings: A handbook for practice, 2nd ed.</w:t>
      </w:r>
      <w:r w:rsidRPr="001768F9">
        <w:rPr>
          <w:rFonts w:ascii="Times New Roman" w:eastAsia="Times New Roman" w:hAnsi="Times New Roman" w:cs="Times New Roman"/>
          <w:sz w:val="24"/>
          <w:szCs w:val="24"/>
        </w:rPr>
        <w:t xml:space="preserve"> (pp. 81–114). Routledge/Taylor &amp; Francis Group.</w:t>
      </w:r>
    </w:p>
    <w:p w14:paraId="349A6E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Murray, B. D., Anderson, M. C., &amp; Kensinger, E. A. (2015). Older adults can suppress unwanted memories when given an appropriate strategy.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9–25. </w:t>
      </w:r>
      <w:hyperlink r:id="rId4074" w:history="1">
        <w:r w:rsidRPr="001768F9">
          <w:rPr>
            <w:rFonts w:ascii="Times New Roman" w:eastAsia="Times New Roman" w:hAnsi="Times New Roman" w:cs="Times New Roman"/>
            <w:color w:val="0000FF"/>
            <w:sz w:val="24"/>
            <w:szCs w:val="24"/>
            <w:u w:val="single"/>
          </w:rPr>
          <w:t>https://doi.org/10.1037/a0038611</w:t>
        </w:r>
      </w:hyperlink>
    </w:p>
    <w:p w14:paraId="238FA4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Murray, G. K., Cheng, F., Clark, L., Barnett, J. H., Blackwell, A. D., Fletcher, P. C., Robbins, T. W., Bullmore, E. T., &amp; Jones, P. B. (2008). Reinforcement and reversal learning in first-episode psychosis.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(5), 848–855. </w:t>
      </w:r>
      <w:hyperlink r:id="rId4075" w:history="1">
        <w:r w:rsidRPr="001768F9">
          <w:rPr>
            <w:rFonts w:ascii="Times New Roman" w:eastAsia="Times New Roman" w:hAnsi="Times New Roman" w:cs="Times New Roman"/>
            <w:color w:val="0000FF"/>
            <w:sz w:val="24"/>
            <w:szCs w:val="24"/>
            <w:u w:val="single"/>
          </w:rPr>
          <w:t>https://doi.org/10.1093/schbul/sbn078</w:t>
        </w:r>
      </w:hyperlink>
    </w:p>
    <w:p w14:paraId="58B747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Murray, J., Fishman, S. L., Ryan, E., Eng, F. J., Walewski, J. L., Branch, A. D., &amp; Morgello, S. (2008). Clinicopathologic correlates of hepatitis C virus in brain: A pilot study.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17–27. </w:t>
      </w:r>
      <w:hyperlink r:id="rId4076" w:history="1">
        <w:r w:rsidRPr="001768F9">
          <w:rPr>
            <w:rFonts w:ascii="Times New Roman" w:eastAsia="Times New Roman" w:hAnsi="Times New Roman" w:cs="Times New Roman"/>
            <w:color w:val="0000FF"/>
            <w:sz w:val="24"/>
            <w:szCs w:val="24"/>
            <w:u w:val="single"/>
          </w:rPr>
          <w:t>https://doi.org/10.1080/13550280701708427</w:t>
        </w:r>
      </w:hyperlink>
    </w:p>
    <w:p w14:paraId="0A4D61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Murrey, G. J., Hale, F. M., &amp; Williams, J. D. (2005). Assessment of anosognosia in persons with frontal lobe damage: Clinical utility of the Mayo-Portland adaptability inventory (MPAI).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(8), 599–603. </w:t>
      </w:r>
      <w:hyperlink r:id="rId4077" w:history="1">
        <w:r w:rsidRPr="001768F9">
          <w:rPr>
            <w:rFonts w:ascii="Times New Roman" w:eastAsia="Times New Roman" w:hAnsi="Times New Roman" w:cs="Times New Roman"/>
            <w:color w:val="0000FF"/>
            <w:sz w:val="24"/>
            <w:szCs w:val="24"/>
            <w:u w:val="single"/>
          </w:rPr>
          <w:t>https://doi.org/10.1080/02699050400025257</w:t>
        </w:r>
      </w:hyperlink>
    </w:p>
    <w:p w14:paraId="55A322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Murtagh, A. M., &amp; Elworthy, A. (2014). Response inhibition, categorization, and set-shifting in college students with ADHD symptoms. </w:t>
      </w:r>
      <w:r w:rsidRPr="001768F9">
        <w:rPr>
          <w:rFonts w:ascii="Times New Roman" w:eastAsia="Times New Roman" w:hAnsi="Times New Roman" w:cs="Times New Roman"/>
          <w:i/>
          <w:iCs/>
          <w:sz w:val="24"/>
          <w:szCs w:val="24"/>
        </w:rPr>
        <w:t>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(7), 624–629. </w:t>
      </w:r>
      <w:hyperlink r:id="rId4078" w:history="1">
        <w:r w:rsidRPr="001768F9">
          <w:rPr>
            <w:rFonts w:ascii="Times New Roman" w:eastAsia="Times New Roman" w:hAnsi="Times New Roman" w:cs="Times New Roman"/>
            <w:color w:val="0000FF"/>
            <w:sz w:val="24"/>
            <w:szCs w:val="24"/>
            <w:u w:val="single"/>
          </w:rPr>
          <w:t>https://doi.org/10.4236/psych.2014.57074</w:t>
        </w:r>
      </w:hyperlink>
    </w:p>
    <w:p w14:paraId="6E7ECD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Bruno, A., Pandolfo, G., Micò, U., Bellinghieri, P. M., Scimeca, G., Cacciola, M., Campolo, D., Settineri, S., &amp; Zoccali, R. (2011). Topiramate augmentation of clozapine in schizophrenia: A double-blind, placebo-controlled study. </w:t>
      </w:r>
      <w:r w:rsidRPr="001768F9">
        <w:rPr>
          <w:rFonts w:ascii="Times New Roman" w:eastAsia="Times New Roman" w:hAnsi="Times New Roman" w:cs="Times New Roman"/>
          <w:i/>
          <w:iCs/>
          <w:sz w:val="24"/>
          <w:szCs w:val="24"/>
        </w:rPr>
        <w:t>Journal of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(5), 667–674. </w:t>
      </w:r>
      <w:hyperlink r:id="rId4079" w:history="1">
        <w:r w:rsidRPr="001768F9">
          <w:rPr>
            <w:rFonts w:ascii="Times New Roman" w:eastAsia="Times New Roman" w:hAnsi="Times New Roman" w:cs="Times New Roman"/>
            <w:color w:val="0000FF"/>
            <w:sz w:val="24"/>
            <w:szCs w:val="24"/>
            <w:u w:val="single"/>
          </w:rPr>
          <w:t>https://doi.org/10.1177/0269881110372548</w:t>
        </w:r>
      </w:hyperlink>
    </w:p>
    <w:p w14:paraId="11AC57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Bruno, A., Pandolfo, G., Micò, U., Scimeca, G., Di Nardo, F., Santoro, V., Spina, E., &amp; Zoccali, R. A. (2011). Effect of aripiprazole augmentation of clozapine in schizophrenia: A double-blind, placebo-controlled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(1–3), 93–99. </w:t>
      </w:r>
      <w:hyperlink r:id="rId4080" w:history="1">
        <w:r w:rsidRPr="001768F9">
          <w:rPr>
            <w:rFonts w:ascii="Times New Roman" w:eastAsia="Times New Roman" w:hAnsi="Times New Roman" w:cs="Times New Roman"/>
            <w:color w:val="0000FF"/>
            <w:sz w:val="24"/>
            <w:szCs w:val="24"/>
            <w:u w:val="single"/>
          </w:rPr>
          <w:t>https://doi.org/10.1016/j.schres.2010.12.011</w:t>
        </w:r>
      </w:hyperlink>
    </w:p>
    <w:p w14:paraId="1BB3F6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Bruno, A., Pandolfo, G., Micò, U., Scimeca, G., Romeo, V. M., Santoro, V., Settineri, S., Spina, E., &amp; Zoccali, R. A. (2011). Effect of aripiprazole augmentation of serotonin reuptake inhibitors or clomipramine in treatment-resistant obsessive-compulsive disorder: A double-blind, placebo-controlled study. </w:t>
      </w:r>
      <w:r w:rsidRPr="001768F9">
        <w:rPr>
          <w:rFonts w:ascii="Times New Roman" w:eastAsia="Times New Roman" w:hAnsi="Times New Roman" w:cs="Times New Roman"/>
          <w:i/>
          <w:iCs/>
          <w:sz w:val="24"/>
          <w:szCs w:val="24"/>
        </w:rPr>
        <w:t>Journal of Clinical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174–179. </w:t>
      </w:r>
      <w:hyperlink r:id="rId4081" w:history="1">
        <w:r w:rsidRPr="001768F9">
          <w:rPr>
            <w:rFonts w:ascii="Times New Roman" w:eastAsia="Times New Roman" w:hAnsi="Times New Roman" w:cs="Times New Roman"/>
            <w:color w:val="0000FF"/>
            <w:sz w:val="24"/>
            <w:szCs w:val="24"/>
            <w:u w:val="single"/>
          </w:rPr>
          <w:t>https://doi.org/10.1097/JCP.0b013e31820e3db6</w:t>
        </w:r>
      </w:hyperlink>
    </w:p>
    <w:p w14:paraId="61F259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Muscatello, M. R. A., Pandolfo, G., Mico, U., Castronuovo, E. L., Abenavoli, E., Scimeca, G., Spina, E., Zoccali, R., &amp; Bruno, A. (2014). Augmentation of clozapine with ziprasidone in refractory schizophrenia: A double-blind, placebo-controlled study. </w:t>
      </w:r>
      <w:r w:rsidRPr="001768F9">
        <w:rPr>
          <w:rFonts w:ascii="Times New Roman" w:eastAsia="Times New Roman" w:hAnsi="Times New Roman" w:cs="Times New Roman"/>
          <w:i/>
          <w:iCs/>
          <w:sz w:val="24"/>
          <w:szCs w:val="24"/>
        </w:rPr>
        <w:t>Journal of Clinical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(1), 129–133. </w:t>
      </w:r>
      <w:hyperlink r:id="rId4082" w:history="1">
        <w:r w:rsidRPr="001768F9">
          <w:rPr>
            <w:rFonts w:ascii="Times New Roman" w:eastAsia="Times New Roman" w:hAnsi="Times New Roman" w:cs="Times New Roman"/>
            <w:color w:val="0000FF"/>
            <w:sz w:val="24"/>
            <w:szCs w:val="24"/>
            <w:u w:val="single"/>
          </w:rPr>
          <w:t>https://doi.org/10.1097/JCP.0000000000000042</w:t>
        </w:r>
      </w:hyperlink>
    </w:p>
    <w:p w14:paraId="2963B0A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Muskin, P. R. (Ed.). (2015). </w:t>
      </w:r>
      <w:r w:rsidRPr="001768F9">
        <w:rPr>
          <w:rFonts w:ascii="Times New Roman" w:eastAsia="Times New Roman" w:hAnsi="Times New Roman" w:cs="Times New Roman"/>
          <w:i/>
          <w:iCs/>
          <w:sz w:val="24"/>
          <w:szCs w:val="24"/>
        </w:rPr>
        <w:t>Study guide to psychiatry: A companion to the American Psychiatric Publishing Textbook of Psychiatry (6th ed.).</w:t>
      </w:r>
      <w:r w:rsidRPr="001768F9">
        <w:rPr>
          <w:rFonts w:ascii="Times New Roman" w:eastAsia="Times New Roman" w:hAnsi="Times New Roman" w:cs="Times New Roman"/>
          <w:sz w:val="24"/>
          <w:szCs w:val="24"/>
        </w:rPr>
        <w:t xml:space="preserve"> (pp. xv, 491). American Psychiatric Publishing, Inc.</w:t>
      </w:r>
    </w:p>
    <w:p w14:paraId="707DA6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Muslimović, D., Post, B., Speelman, J. D., &amp; Schmand, B. (2005). Cognitive profile of patients with newly diagnosed Parkinson disease.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(8), 1239–1245. </w:t>
      </w:r>
      <w:hyperlink r:id="rId4083" w:history="1">
        <w:r w:rsidRPr="001768F9">
          <w:rPr>
            <w:rFonts w:ascii="Times New Roman" w:eastAsia="Times New Roman" w:hAnsi="Times New Roman" w:cs="Times New Roman"/>
            <w:color w:val="0000FF"/>
            <w:sz w:val="24"/>
            <w:szCs w:val="24"/>
            <w:u w:val="single"/>
          </w:rPr>
          <w:t>https://doi.org/10.1212/01.wnl.0000180516.69442.95</w:t>
        </w:r>
      </w:hyperlink>
    </w:p>
    <w:p w14:paraId="1F77CA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Must, A., Szabó, Z., Bódi, N., Szász, A., Janka, Z., &amp; Kéri, S. (2006). Sensitivity to reward and punishment and the prefrontal cortex in major depression.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90</w:t>
      </w:r>
      <w:r w:rsidRPr="001768F9">
        <w:rPr>
          <w:rFonts w:ascii="Times New Roman" w:eastAsia="Times New Roman" w:hAnsi="Times New Roman" w:cs="Times New Roman"/>
          <w:sz w:val="24"/>
          <w:szCs w:val="24"/>
        </w:rPr>
        <w:t xml:space="preserve">(2–3), 209–215. </w:t>
      </w:r>
      <w:hyperlink r:id="rId4084" w:history="1">
        <w:r w:rsidRPr="001768F9">
          <w:rPr>
            <w:rFonts w:ascii="Times New Roman" w:eastAsia="Times New Roman" w:hAnsi="Times New Roman" w:cs="Times New Roman"/>
            <w:color w:val="0000FF"/>
            <w:sz w:val="24"/>
            <w:szCs w:val="24"/>
            <w:u w:val="single"/>
          </w:rPr>
          <w:t>https://doi.org/10.1016/j.jad.2005.12.005</w:t>
        </w:r>
      </w:hyperlink>
    </w:p>
    <w:p w14:paraId="51AFA6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&amp; Asriel, M. W. (2018). Gist and generalization in young and older adults’ causal learning. </w:t>
      </w:r>
      <w:r w:rsidRPr="001768F9">
        <w:rPr>
          <w:rFonts w:ascii="Times New Roman" w:eastAsia="Times New Roman" w:hAnsi="Times New Roman" w:cs="Times New Roman"/>
          <w:i/>
          <w:iCs/>
          <w:sz w:val="24"/>
          <w:szCs w:val="24"/>
        </w:rPr>
        <w:t>The Journals of Gerontology: Series B: Psychological Sciences and Social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73</w:t>
      </w:r>
      <w:r w:rsidRPr="001768F9">
        <w:rPr>
          <w:rFonts w:ascii="Times New Roman" w:eastAsia="Times New Roman" w:hAnsi="Times New Roman" w:cs="Times New Roman"/>
          <w:sz w:val="24"/>
          <w:szCs w:val="24"/>
        </w:rPr>
        <w:t>(4), 594–602.</w:t>
      </w:r>
    </w:p>
    <w:p w14:paraId="5A8812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Atchley, A. R., &amp; Plumlee, L. M. (2012). Aging and retrospective revaluation of causal learning. </w:t>
      </w:r>
      <w:r w:rsidRPr="001768F9">
        <w:rPr>
          <w:rFonts w:ascii="Times New Roman" w:eastAsia="Times New Roman" w:hAnsi="Times New Roman" w:cs="Times New Roman"/>
          <w:i/>
          <w:iCs/>
          <w:sz w:val="24"/>
          <w:szCs w:val="24"/>
        </w:rPr>
        <w:t>Journal of Experimental Psychology: Learning, Memory,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(1), 102–117. </w:t>
      </w:r>
      <w:hyperlink r:id="rId4085" w:history="1">
        <w:r w:rsidRPr="001768F9">
          <w:rPr>
            <w:rFonts w:ascii="Times New Roman" w:eastAsia="Times New Roman" w:hAnsi="Times New Roman" w:cs="Times New Roman"/>
            <w:color w:val="0000FF"/>
            <w:sz w:val="24"/>
            <w:szCs w:val="24"/>
            <w:u w:val="single"/>
          </w:rPr>
          <w:t>https://doi.org/10.1037/a0024851</w:t>
        </w:r>
      </w:hyperlink>
    </w:p>
    <w:p w14:paraId="312C2B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Haggbloom, S. J., Plumlee, L. F., &amp; Schirmer, A. R. (2006). Aging, working memory, and discrimination learning. </w:t>
      </w:r>
      <w:r w:rsidRPr="001768F9">
        <w:rPr>
          <w:rFonts w:ascii="Times New Roman" w:eastAsia="Times New Roman" w:hAnsi="Times New Roman" w:cs="Times New Roman"/>
          <w:i/>
          <w:iCs/>
          <w:sz w:val="24"/>
          <w:szCs w:val="24"/>
        </w:rPr>
        <w:t>The Quarterly Journal of Experimental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(9), 1556–1566. </w:t>
      </w:r>
      <w:hyperlink r:id="rId4086" w:history="1">
        <w:r w:rsidRPr="001768F9">
          <w:rPr>
            <w:rFonts w:ascii="Times New Roman" w:eastAsia="Times New Roman" w:hAnsi="Times New Roman" w:cs="Times New Roman"/>
            <w:color w:val="0000FF"/>
            <w:sz w:val="24"/>
            <w:szCs w:val="24"/>
            <w:u w:val="single"/>
          </w:rPr>
          <w:t>https://doi.org/10.1080/17470210500343546</w:t>
        </w:r>
      </w:hyperlink>
    </w:p>
    <w:p w14:paraId="068A80E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Holder, J. M., Mashburn, C. A., &amp; Luna, C. M. (2019). Aging and the role of attention in associative learning.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(2), 215–227. </w:t>
      </w:r>
      <w:hyperlink r:id="rId4087" w:history="1">
        <w:r w:rsidRPr="001768F9">
          <w:rPr>
            <w:rFonts w:ascii="Times New Roman" w:eastAsia="Times New Roman" w:hAnsi="Times New Roman" w:cs="Times New Roman"/>
            <w:color w:val="0000FF"/>
            <w:sz w:val="24"/>
            <w:szCs w:val="24"/>
            <w:u w:val="single"/>
          </w:rPr>
          <w:t>https://doi.org/10.1037/pag0000277</w:t>
        </w:r>
      </w:hyperlink>
    </w:p>
    <w:p w14:paraId="0A7F56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Mutter, S. A., &amp; Plumlee, L. F. (2014). The effects of age on associative and rule-based causal learning and generalization.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173–186. </w:t>
      </w:r>
      <w:hyperlink r:id="rId4088" w:history="1">
        <w:r w:rsidRPr="001768F9">
          <w:rPr>
            <w:rFonts w:ascii="Times New Roman" w:eastAsia="Times New Roman" w:hAnsi="Times New Roman" w:cs="Times New Roman"/>
            <w:color w:val="0000FF"/>
            <w:sz w:val="24"/>
            <w:szCs w:val="24"/>
            <w:u w:val="single"/>
          </w:rPr>
          <w:t>https://doi.org/10.1037/a0035930</w:t>
        </w:r>
      </w:hyperlink>
    </w:p>
    <w:p w14:paraId="521B35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Myczkowski, M. L., Dias, Á. M., Luvisotto, T., Arnaut, D., Bellini, B. B., Mansur, C. G., Rennó, J., Tortella, G., Ribeiro, P. L., &amp; Marcolin, M. A. (2012). Effects of repetitive transcranial magnetic stimulation on clinical, social, and cognitive performance in postpartum depression.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w:t>
      </w:r>
    </w:p>
    <w:p w14:paraId="78F281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Myczkowski, M. L., Fernandes, A., Moreno, M., Valiengo, L., Lafer, B., Moreno, R. A., Padberg, F., Gattaz, W., &amp; Brunoni, A. R. (2018). Cognitive outcomes of TMS treatment in bipolar depression: Safety data from a randomized controlled trial.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235</w:t>
      </w:r>
      <w:r w:rsidRPr="001768F9">
        <w:rPr>
          <w:rFonts w:ascii="Times New Roman" w:eastAsia="Times New Roman" w:hAnsi="Times New Roman" w:cs="Times New Roman"/>
          <w:sz w:val="24"/>
          <w:szCs w:val="24"/>
        </w:rPr>
        <w:t xml:space="preserve">, 20–26. </w:t>
      </w:r>
      <w:hyperlink r:id="rId4089" w:history="1">
        <w:r w:rsidRPr="001768F9">
          <w:rPr>
            <w:rFonts w:ascii="Times New Roman" w:eastAsia="Times New Roman" w:hAnsi="Times New Roman" w:cs="Times New Roman"/>
            <w:color w:val="0000FF"/>
            <w:sz w:val="24"/>
            <w:szCs w:val="24"/>
            <w:u w:val="single"/>
          </w:rPr>
          <w:t>https://doi.org/10.1016/j.jad.2018.04.022</w:t>
        </w:r>
      </w:hyperlink>
    </w:p>
    <w:p w14:paraId="0A6F2D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Mysore, A., Parks, R. W., Lee, K.-H., Bhaker, R. S., Birkett, P., &amp; Woodruff, P. W. R. (2007). Neurocognitive basis of insight in schizophrenia.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190</w:t>
      </w:r>
      <w:r w:rsidRPr="001768F9">
        <w:rPr>
          <w:rFonts w:ascii="Times New Roman" w:eastAsia="Times New Roman" w:hAnsi="Times New Roman" w:cs="Times New Roman"/>
          <w:sz w:val="24"/>
          <w:szCs w:val="24"/>
        </w:rPr>
        <w:t xml:space="preserve">, 529–530. </w:t>
      </w:r>
      <w:hyperlink r:id="rId4090" w:history="1">
        <w:r w:rsidRPr="001768F9">
          <w:rPr>
            <w:rFonts w:ascii="Times New Roman" w:eastAsia="Times New Roman" w:hAnsi="Times New Roman" w:cs="Times New Roman"/>
            <w:color w:val="0000FF"/>
            <w:sz w:val="24"/>
            <w:szCs w:val="24"/>
            <w:u w:val="single"/>
          </w:rPr>
          <w:t>https://doi.org/10.1192/bjp.bp.106.029181</w:t>
        </w:r>
      </w:hyperlink>
    </w:p>
    <w:p w14:paraId="6626D2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Nabors, N. A., Millis, S. R., &amp; Rosenthal, M. (1997). Use of the Neurobehavioral Cognitive Status Examination (Cognistat) in traumatic brain injury. </w:t>
      </w:r>
      <w:r w:rsidRPr="001768F9">
        <w:rPr>
          <w:rFonts w:ascii="Times New Roman" w:eastAsia="Times New Roman" w:hAnsi="Times New Roman" w:cs="Times New Roman"/>
          <w:i/>
          <w:iCs/>
          <w:sz w:val="24"/>
          <w:szCs w:val="24"/>
        </w:rPr>
        <w:t>The Journal of Head Trauma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79–84. </w:t>
      </w:r>
      <w:hyperlink r:id="rId4091" w:history="1">
        <w:r w:rsidRPr="001768F9">
          <w:rPr>
            <w:rFonts w:ascii="Times New Roman" w:eastAsia="Times New Roman" w:hAnsi="Times New Roman" w:cs="Times New Roman"/>
            <w:color w:val="0000FF"/>
            <w:sz w:val="24"/>
            <w:szCs w:val="24"/>
            <w:u w:val="single"/>
          </w:rPr>
          <w:t>https://doi.org/10.1097/00001199-199706000-00008</w:t>
        </w:r>
      </w:hyperlink>
    </w:p>
    <w:p w14:paraId="7A6751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Nadeau, L., Routhier, M.-È., &amp; Tessier, R. (2008). The performance profile on the Wisconsin Card Sorting Test of a group of children with cerebral palsy aged between 9 and 12. </w:t>
      </w:r>
      <w:r w:rsidRPr="001768F9">
        <w:rPr>
          <w:rFonts w:ascii="Times New Roman" w:eastAsia="Times New Roman" w:hAnsi="Times New Roman" w:cs="Times New Roman"/>
          <w:i/>
          <w:iCs/>
          <w:sz w:val="24"/>
          <w:szCs w:val="24"/>
        </w:rPr>
        <w:t>Developmental 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 134–140. </w:t>
      </w:r>
      <w:hyperlink r:id="rId4092" w:history="1">
        <w:r w:rsidRPr="001768F9">
          <w:rPr>
            <w:rFonts w:ascii="Times New Roman" w:eastAsia="Times New Roman" w:hAnsi="Times New Roman" w:cs="Times New Roman"/>
            <w:color w:val="0000FF"/>
            <w:sz w:val="24"/>
            <w:szCs w:val="24"/>
            <w:u w:val="single"/>
          </w:rPr>
          <w:t>https://doi.org/10.1080/17518420701688607</w:t>
        </w:r>
      </w:hyperlink>
    </w:p>
    <w:p w14:paraId="68A78D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Naëgelé, B., Thouvard, V., Pépin, J.-L., Lévy, P., Bonnet, C., Perret, J. E., Pellat, J., &amp; Feuerstein, C. (1995). Deficits of cognitive executive functions in patients with sleep apnea syndrome. </w:t>
      </w:r>
      <w:r w:rsidRPr="001768F9">
        <w:rPr>
          <w:rFonts w:ascii="Times New Roman" w:eastAsia="Times New Roman" w:hAnsi="Times New Roman" w:cs="Times New Roman"/>
          <w:i/>
          <w:iCs/>
          <w:sz w:val="24"/>
          <w:szCs w:val="24"/>
        </w:rPr>
        <w:t>Sleep: Journal of Sleep Research &amp; Sleep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(1), 43–52.</w:t>
      </w:r>
    </w:p>
    <w:p w14:paraId="7EE008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Nagahama, Y., Okina, T., Suzuki, N., Matsuzaki, S., Yamauchi, H., Nabatame, H., &amp; Matsuda, M. (2003). Factor Structure of a Modified Version of the Wisconsin Card Sorting Test: An Analysis of Executive Deficit in Alzheimer’s Disease and Mild Cognitive Impairment.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(2), 103–112. </w:t>
      </w:r>
      <w:hyperlink r:id="rId4093" w:history="1">
        <w:r w:rsidRPr="001768F9">
          <w:rPr>
            <w:rFonts w:ascii="Times New Roman" w:eastAsia="Times New Roman" w:hAnsi="Times New Roman" w:cs="Times New Roman"/>
            <w:color w:val="0000FF"/>
            <w:sz w:val="24"/>
            <w:szCs w:val="24"/>
            <w:u w:val="single"/>
          </w:rPr>
          <w:t>https://doi.org/10.1159/000070683</w:t>
        </w:r>
      </w:hyperlink>
    </w:p>
    <w:p w14:paraId="73A6D1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Nagahama, Y., Okina, T., Suzuki, N., Nabatame, H., &amp; Matsuda, M. (2005). The cerebral correlates of different types of perseveration in the Wisconsin Card Sorting Test.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(2), 169–175. </w:t>
      </w:r>
      <w:hyperlink r:id="rId4094" w:history="1">
        <w:r w:rsidRPr="001768F9">
          <w:rPr>
            <w:rFonts w:ascii="Times New Roman" w:eastAsia="Times New Roman" w:hAnsi="Times New Roman" w:cs="Times New Roman"/>
            <w:color w:val="0000FF"/>
            <w:sz w:val="24"/>
            <w:szCs w:val="24"/>
            <w:u w:val="single"/>
          </w:rPr>
          <w:t>https://doi.org/10.1136/jnnp.2004.039818</w:t>
        </w:r>
      </w:hyperlink>
    </w:p>
    <w:p w14:paraId="61B3D7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Nagano-Saito, A., Al-Azzawi, M. S., Hanganu, A., Degroot, C., Mejia-Constain, B., Bedetti, C., Lafontaine, A.-L., Soland, V., Chouinard, S., &amp; Monchi, O. (2016). Patterns of longitudinal neural activity linked to different cognitive profiles in Parkinson’s disease. </w:t>
      </w:r>
      <w:r w:rsidRPr="001768F9">
        <w:rPr>
          <w:rFonts w:ascii="Times New Roman" w:eastAsia="Times New Roman" w:hAnsi="Times New Roman" w:cs="Times New Roman"/>
          <w:i/>
          <w:iCs/>
          <w:sz w:val="24"/>
          <w:szCs w:val="24"/>
        </w:rPr>
        <w:t>Frontiers in Aging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w:t>
      </w:r>
    </w:p>
    <w:p w14:paraId="4B57C6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Nagano-Saito, A., Habak, C., Mejía-Constaín, B., Degroot, C., Monetta, L., Jubault, T., Bedetti, C., Lafontaine, A.-L., Chouinard, S., Soland, V., Ptito, A., Strafella, A. P., &amp; Monchi, O. (2014). Effect of mild cognitive impairment on the patterns of neural activity in early Parkinson’s disease.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(1), 223–231. </w:t>
      </w:r>
      <w:hyperlink r:id="rId4095" w:history="1">
        <w:r w:rsidRPr="001768F9">
          <w:rPr>
            <w:rFonts w:ascii="Times New Roman" w:eastAsia="Times New Roman" w:hAnsi="Times New Roman" w:cs="Times New Roman"/>
            <w:color w:val="0000FF"/>
            <w:sz w:val="24"/>
            <w:szCs w:val="24"/>
            <w:u w:val="single"/>
          </w:rPr>
          <w:t>https://doi.org/10.1016/j.neurobiolaging.2013.06.025</w:t>
        </w:r>
      </w:hyperlink>
    </w:p>
    <w:p w14:paraId="0164C7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Nagano-Saito, A., Leyton, M., Monchi, O., Goldberg, Y. K., He, Y., &amp; Dagher, A. (2008). Dopamine depletion impairs frontostriatal functional connectivity during a set-shifting task.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(14), 3697–3706. </w:t>
      </w:r>
      <w:hyperlink r:id="rId4096" w:history="1">
        <w:r w:rsidRPr="001768F9">
          <w:rPr>
            <w:rFonts w:ascii="Times New Roman" w:eastAsia="Times New Roman" w:hAnsi="Times New Roman" w:cs="Times New Roman"/>
            <w:color w:val="0000FF"/>
            <w:sz w:val="24"/>
            <w:szCs w:val="24"/>
            <w:u w:val="single"/>
          </w:rPr>
          <w:t>https://doi.org/10.1523/JNEUROSCI.3921-07.2008</w:t>
        </w:r>
      </w:hyperlink>
    </w:p>
    <w:p w14:paraId="124A1D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Nagele, M., Vo, W. P., Kolessar, M., Neaves, S., &amp; Juengst, S. B. (2021). Assessment of impaired self-awareness by cognitive domain after traumatic brain injury. </w:t>
      </w:r>
      <w:r w:rsidRPr="001768F9">
        <w:rPr>
          <w:rFonts w:ascii="Times New Roman" w:eastAsia="Times New Roman" w:hAnsi="Times New Roman" w:cs="Times New Roman"/>
          <w:i/>
          <w:iCs/>
          <w:sz w:val="24"/>
          <w:szCs w:val="24"/>
        </w:rPr>
        <w:t>Rehabilitation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(2), 139–147. </w:t>
      </w:r>
      <w:hyperlink r:id="rId4097" w:history="1">
        <w:r w:rsidRPr="001768F9">
          <w:rPr>
            <w:rFonts w:ascii="Times New Roman" w:eastAsia="Times New Roman" w:hAnsi="Times New Roman" w:cs="Times New Roman"/>
            <w:color w:val="0000FF"/>
            <w:sz w:val="24"/>
            <w:szCs w:val="24"/>
            <w:u w:val="single"/>
          </w:rPr>
          <w:t>https://doi.org/10.1037/rep0000376</w:t>
        </w:r>
      </w:hyperlink>
    </w:p>
    <w:p w14:paraId="4060B7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Naglieri, J. A., &amp; Otero, T. M. (2014). </w:t>
      </w:r>
      <w:r w:rsidRPr="001768F9">
        <w:rPr>
          <w:rFonts w:ascii="Times New Roman" w:eastAsia="Times New Roman" w:hAnsi="Times New Roman" w:cs="Times New Roman"/>
          <w:i/>
          <w:iCs/>
          <w:sz w:val="24"/>
          <w:szCs w:val="24"/>
        </w:rPr>
        <w:t>The assessment of executive function using the Cognitive Assessment System: Second Edition.</w:t>
      </w:r>
      <w:r w:rsidRPr="001768F9">
        <w:rPr>
          <w:rFonts w:ascii="Times New Roman" w:eastAsia="Times New Roman" w:hAnsi="Times New Roman" w:cs="Times New Roman"/>
          <w:sz w:val="24"/>
          <w:szCs w:val="24"/>
        </w:rPr>
        <w:t xml:space="preserve"> (pp. 191–208).</w:t>
      </w:r>
    </w:p>
    <w:p w14:paraId="596CD6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Nagy, H., Bencsik, K., Rajda, C., Benedek, K., Beniczky, S., Kéri, S., &amp; Vécsei, L. (2006). The effects of reward and punishment contingencies on decision-making in multiple sclerosis.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559–565. </w:t>
      </w:r>
      <w:hyperlink r:id="rId4098" w:history="1">
        <w:r w:rsidRPr="001768F9">
          <w:rPr>
            <w:rFonts w:ascii="Times New Roman" w:eastAsia="Times New Roman" w:hAnsi="Times New Roman" w:cs="Times New Roman"/>
            <w:color w:val="0000FF"/>
            <w:sz w:val="24"/>
            <w:szCs w:val="24"/>
            <w:u w:val="single"/>
          </w:rPr>
          <w:t>https://doi.org/10.1017/S1355617706060644</w:t>
        </w:r>
      </w:hyperlink>
    </w:p>
    <w:p w14:paraId="3F78325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Nair, A., Aleman, A., &amp; David, A. S. (2013). Cognitive functioning and awareness of illness in schizophrenia: A review and meta-analysis. In </w:t>
      </w:r>
      <w:r w:rsidRPr="001768F9">
        <w:rPr>
          <w:rFonts w:ascii="Times New Roman" w:eastAsia="Times New Roman" w:hAnsi="Times New Roman" w:cs="Times New Roman"/>
          <w:i/>
          <w:iCs/>
          <w:sz w:val="24"/>
          <w:szCs w:val="24"/>
        </w:rPr>
        <w:t>Cognitive impairment in schizophrenia: Characteristics, assessment and treatment.</w:t>
      </w:r>
      <w:r w:rsidRPr="001768F9">
        <w:rPr>
          <w:rFonts w:ascii="Times New Roman" w:eastAsia="Times New Roman" w:hAnsi="Times New Roman" w:cs="Times New Roman"/>
          <w:sz w:val="24"/>
          <w:szCs w:val="24"/>
        </w:rPr>
        <w:t xml:space="preserve"> (pp. 142–160). Cambridge University Press. </w:t>
      </w:r>
      <w:hyperlink r:id="rId4099" w:history="1">
        <w:r w:rsidRPr="001768F9">
          <w:rPr>
            <w:rFonts w:ascii="Times New Roman" w:eastAsia="Times New Roman" w:hAnsi="Times New Roman" w:cs="Times New Roman"/>
            <w:color w:val="0000FF"/>
            <w:sz w:val="24"/>
            <w:szCs w:val="24"/>
            <w:u w:val="single"/>
          </w:rPr>
          <w:t>https://doi.org/10.1017/CBO9781139003872.010</w:t>
        </w:r>
      </w:hyperlink>
    </w:p>
    <w:p w14:paraId="012EEC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Nair, A., Palmer, E. C., Aleman, A., &amp; David, A. S. (2014). Relationship between cognition, clinical and cognitive insight in psychotic disorders: A review and meta-analysis.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152</w:t>
      </w:r>
      <w:r w:rsidRPr="001768F9">
        <w:rPr>
          <w:rFonts w:ascii="Times New Roman" w:eastAsia="Times New Roman" w:hAnsi="Times New Roman" w:cs="Times New Roman"/>
          <w:sz w:val="24"/>
          <w:szCs w:val="24"/>
        </w:rPr>
        <w:t xml:space="preserve">(1), 191–200. </w:t>
      </w:r>
      <w:hyperlink r:id="rId4100" w:history="1">
        <w:r w:rsidRPr="001768F9">
          <w:rPr>
            <w:rFonts w:ascii="Times New Roman" w:eastAsia="Times New Roman" w:hAnsi="Times New Roman" w:cs="Times New Roman"/>
            <w:color w:val="0000FF"/>
            <w:sz w:val="24"/>
            <w:szCs w:val="24"/>
            <w:u w:val="single"/>
          </w:rPr>
          <w:t>https://doi.org/10.1016/j.schres.2013.11.033</w:t>
        </w:r>
      </w:hyperlink>
    </w:p>
    <w:p w14:paraId="002ED3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Naismith, S. L., Hickie, I. B., Turner, K., Little, C. L., Winter, V., Ward, P. B., Wilhelm, K., Mitchell, P., &amp; Parker, G. (2003). Neuropsychological Performance in Patients With Depression is Associated With Clinical, Etiological and Genetic Risk Factors.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(6), 866–877. </w:t>
      </w:r>
      <w:hyperlink r:id="rId4101" w:history="1">
        <w:r w:rsidRPr="001768F9">
          <w:rPr>
            <w:rFonts w:ascii="Times New Roman" w:eastAsia="Times New Roman" w:hAnsi="Times New Roman" w:cs="Times New Roman"/>
            <w:color w:val="0000FF"/>
            <w:sz w:val="24"/>
            <w:szCs w:val="24"/>
            <w:u w:val="single"/>
          </w:rPr>
          <w:t>https://doi.org/10.1076/jcen.25.6.866.16472</w:t>
        </w:r>
      </w:hyperlink>
    </w:p>
    <w:p w14:paraId="1F6277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Naismith, S. L., Hickie, I. B., Ward, P. B., Scott, E., &amp; Little, C. (2006). Impaired implicit sequence learning in depression: A probe for frontostriatal dysfunction?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(3), 313–323. </w:t>
      </w:r>
      <w:hyperlink r:id="rId4102" w:history="1">
        <w:r w:rsidRPr="001768F9">
          <w:rPr>
            <w:rFonts w:ascii="Times New Roman" w:eastAsia="Times New Roman" w:hAnsi="Times New Roman" w:cs="Times New Roman"/>
            <w:color w:val="0000FF"/>
            <w:sz w:val="24"/>
            <w:szCs w:val="24"/>
            <w:u w:val="single"/>
          </w:rPr>
          <w:t>https://doi.org/10.1017/S0033291705006835</w:t>
        </w:r>
      </w:hyperlink>
    </w:p>
    <w:p w14:paraId="1F83EC0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Nakaaki, S., Murata, Y., Sato, J., Shinagawa, Y., Hongo, J., Tatsumi, H., Mimura, M., &amp; Furukawa, T. A. (2007). Impairment of decision-making cognition in a case of frontotemporal lobar degeneration (FTLD) presenting with pathologic gambling and hoarding as the initial symptoms.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121–125. </w:t>
      </w:r>
      <w:hyperlink r:id="rId4103" w:history="1">
        <w:r w:rsidRPr="001768F9">
          <w:rPr>
            <w:rFonts w:ascii="Times New Roman" w:eastAsia="Times New Roman" w:hAnsi="Times New Roman" w:cs="Times New Roman"/>
            <w:color w:val="0000FF"/>
            <w:sz w:val="24"/>
            <w:szCs w:val="24"/>
            <w:u w:val="single"/>
          </w:rPr>
          <w:t>https://doi.org/10.1097/WNN.0b013e31804c6ff7</w:t>
        </w:r>
      </w:hyperlink>
    </w:p>
    <w:p w14:paraId="2303A1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Nakaaki, S., Murata, Y., Sato, J., Shinagawa, Y., Matsui, T., Tatsumi, H., &amp; Furukawa, T. A. (2007). Reliability and validity of the Japanese version of the Frontal Assessment Battery in patients with the frontal variant of frontotemporal dementia.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(1), 78–83. </w:t>
      </w:r>
      <w:hyperlink r:id="rId4104" w:history="1">
        <w:r w:rsidRPr="001768F9">
          <w:rPr>
            <w:rFonts w:ascii="Times New Roman" w:eastAsia="Times New Roman" w:hAnsi="Times New Roman" w:cs="Times New Roman"/>
            <w:color w:val="0000FF"/>
            <w:sz w:val="24"/>
            <w:szCs w:val="24"/>
            <w:u w:val="single"/>
          </w:rPr>
          <w:t>https://doi.org/10.1111/j.1440-1819.2007.01614.x</w:t>
        </w:r>
      </w:hyperlink>
    </w:p>
    <w:p w14:paraId="5D4C83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Nakagami, E., Hoe, M., &amp; Brekke, J. S. (2010). The prospective relationships among intrinsic motivation, neurocognition, and psychosocial functioning in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(5), 935–948. </w:t>
      </w:r>
      <w:hyperlink r:id="rId4105" w:history="1">
        <w:r w:rsidRPr="001768F9">
          <w:rPr>
            <w:rFonts w:ascii="Times New Roman" w:eastAsia="Times New Roman" w:hAnsi="Times New Roman" w:cs="Times New Roman"/>
            <w:color w:val="0000FF"/>
            <w:sz w:val="24"/>
            <w:szCs w:val="24"/>
            <w:u w:val="single"/>
          </w:rPr>
          <w:t>https://doi.org/10.1093/schbul/sbq043</w:t>
        </w:r>
      </w:hyperlink>
    </w:p>
    <w:p w14:paraId="5B5B2B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Nakagami, E., Xie, B., Hoe, M., &amp; Brekke, J. S. (2008). Intrinsic motivation, neurocognition and psychosocial functioning in schizophrenia: Testing mediator and moderator effects.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(1–3), 95–104. </w:t>
      </w:r>
      <w:hyperlink r:id="rId4106" w:history="1">
        <w:r w:rsidRPr="001768F9">
          <w:rPr>
            <w:rFonts w:ascii="Times New Roman" w:eastAsia="Times New Roman" w:hAnsi="Times New Roman" w:cs="Times New Roman"/>
            <w:color w:val="0000FF"/>
            <w:sz w:val="24"/>
            <w:szCs w:val="24"/>
            <w:u w:val="single"/>
          </w:rPr>
          <w:t>https://doi.org/10.1016/j.schres.2008.06.015</w:t>
        </w:r>
      </w:hyperlink>
    </w:p>
    <w:p w14:paraId="53B279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Nakahara, K., Hayashi, T., Konishi, S., &amp; Miyashita, Y. (2002). Functional MRI of macaque monkeys performing a cognitive set-shifting task. </w:t>
      </w:r>
      <w:r w:rsidRPr="001768F9">
        <w:rPr>
          <w:rFonts w:ascii="Times New Roman" w:eastAsia="Times New Roman" w:hAnsi="Times New Roman" w:cs="Times New Roman"/>
          <w:i/>
          <w:iCs/>
          <w:sz w:val="24"/>
          <w:szCs w:val="24"/>
        </w:rPr>
        <w:t>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295</w:t>
      </w:r>
      <w:r w:rsidRPr="001768F9">
        <w:rPr>
          <w:rFonts w:ascii="Times New Roman" w:eastAsia="Times New Roman" w:hAnsi="Times New Roman" w:cs="Times New Roman"/>
          <w:sz w:val="24"/>
          <w:szCs w:val="24"/>
        </w:rPr>
        <w:t xml:space="preserve">(5559), 1532–1536. </w:t>
      </w:r>
      <w:hyperlink r:id="rId4107" w:history="1">
        <w:r w:rsidRPr="001768F9">
          <w:rPr>
            <w:rFonts w:ascii="Times New Roman" w:eastAsia="Times New Roman" w:hAnsi="Times New Roman" w:cs="Times New Roman"/>
            <w:color w:val="0000FF"/>
            <w:sz w:val="24"/>
            <w:szCs w:val="24"/>
            <w:u w:val="single"/>
          </w:rPr>
          <w:t>https://doi.org/10.1126/science.1067653</w:t>
        </w:r>
      </w:hyperlink>
    </w:p>
    <w:p w14:paraId="00DD84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Nakajima, S., Gerretsen, P., Takeuchi, H., Caravaggio, F., Chow, T., Le Foll, B., Mulsant, B., Pollock, B., &amp; Graff-Guerrero, A. (2013). The potential role of dopamine D₃ receptor neurotransmission in cognition.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(8), 799–813. </w:t>
      </w:r>
      <w:hyperlink r:id="rId4108" w:history="1">
        <w:r w:rsidRPr="001768F9">
          <w:rPr>
            <w:rFonts w:ascii="Times New Roman" w:eastAsia="Times New Roman" w:hAnsi="Times New Roman" w:cs="Times New Roman"/>
            <w:color w:val="0000FF"/>
            <w:sz w:val="24"/>
            <w:szCs w:val="24"/>
            <w:u w:val="single"/>
          </w:rPr>
          <w:t>https://doi.org/10.1016/j.euroneuro.2013.05.006</w:t>
        </w:r>
      </w:hyperlink>
    </w:p>
    <w:p w14:paraId="4D371E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Nakamae, T., Narumoto, J., Sakai, Y., Nishida, S., Yamada, K., &amp; Fukui, K. (2012). The neural basis of dysfunctional beliefs in non-medicated patients with obsessive–compulsive disorder.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(1), 22–25. </w:t>
      </w:r>
      <w:hyperlink r:id="rId4109" w:history="1">
        <w:r w:rsidRPr="001768F9">
          <w:rPr>
            <w:rFonts w:ascii="Times New Roman" w:eastAsia="Times New Roman" w:hAnsi="Times New Roman" w:cs="Times New Roman"/>
            <w:color w:val="0000FF"/>
            <w:sz w:val="24"/>
            <w:szCs w:val="24"/>
            <w:u w:val="single"/>
          </w:rPr>
          <w:t>https://doi.org/10.1016/j.pnpbp.2011.11.017</w:t>
        </w:r>
      </w:hyperlink>
    </w:p>
    <w:p w14:paraId="569B51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Nakamura, M., Nestor, P. G., Levitt, J. J., Cohen, A. S., Kawashima, T., Shenton, M. E., &amp; McCarley, R. W. (2008). Orbitofrontal volume deficit in schizophrenia and thought disorder.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131</w:t>
      </w:r>
      <w:r w:rsidRPr="001768F9">
        <w:rPr>
          <w:rFonts w:ascii="Times New Roman" w:eastAsia="Times New Roman" w:hAnsi="Times New Roman" w:cs="Times New Roman"/>
          <w:sz w:val="24"/>
          <w:szCs w:val="24"/>
        </w:rPr>
        <w:t xml:space="preserve">(1), 180–195. </w:t>
      </w:r>
      <w:hyperlink r:id="rId4110" w:history="1">
        <w:r w:rsidRPr="001768F9">
          <w:rPr>
            <w:rFonts w:ascii="Times New Roman" w:eastAsia="Times New Roman" w:hAnsi="Times New Roman" w:cs="Times New Roman"/>
            <w:color w:val="0000FF"/>
            <w:sz w:val="24"/>
            <w:szCs w:val="24"/>
            <w:u w:val="single"/>
          </w:rPr>
          <w:t>https://doi.org/10.1093/brain/awm265</w:t>
        </w:r>
      </w:hyperlink>
    </w:p>
    <w:p w14:paraId="1F8418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Nakamura, M., Nestor, P. G., McCarley, R. W., Levitt, J. J., Hsu, L., Kawashima, T., Niznikiewicz, M., &amp; Shenton, M. E. (2007). Altered orbitofrontal sulcogyral pattern in schizophrenia.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(3), 693–707. </w:t>
      </w:r>
      <w:hyperlink r:id="rId4111" w:history="1">
        <w:r w:rsidRPr="001768F9">
          <w:rPr>
            <w:rFonts w:ascii="Times New Roman" w:eastAsia="Times New Roman" w:hAnsi="Times New Roman" w:cs="Times New Roman"/>
            <w:color w:val="0000FF"/>
            <w:sz w:val="24"/>
            <w:szCs w:val="24"/>
            <w:u w:val="single"/>
          </w:rPr>
          <w:t>https://doi.org/10.1093/brain/awm007</w:t>
        </w:r>
      </w:hyperlink>
    </w:p>
    <w:p w14:paraId="29A846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Nakano, H., Terao, T., Iwata, N., Hasako, R., &amp; Nakamura, J. (2004). Symptomatological and cognitive predictors of insight in chronic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(1–2), 65–72. </w:t>
      </w:r>
      <w:hyperlink r:id="rId4112" w:history="1">
        <w:r w:rsidRPr="001768F9">
          <w:rPr>
            <w:rFonts w:ascii="Times New Roman" w:eastAsia="Times New Roman" w:hAnsi="Times New Roman" w:cs="Times New Roman"/>
            <w:color w:val="0000FF"/>
            <w:sz w:val="24"/>
            <w:szCs w:val="24"/>
            <w:u w:val="single"/>
          </w:rPr>
          <w:t>https://doi.org/10.1016/j.psychres.2004.03.007</w:t>
        </w:r>
      </w:hyperlink>
    </w:p>
    <w:p w14:paraId="37AC94A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Nakano, Y., Baba, H., Maeshima, H., Kitajima, A., Sakai, Y., Baba, K., Suzuki, T., Mimura, M., &amp; Arai, H. (2008). Executive dysfunction in medicated, remitted state of major depression.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111</w:t>
      </w:r>
      <w:r w:rsidRPr="001768F9">
        <w:rPr>
          <w:rFonts w:ascii="Times New Roman" w:eastAsia="Times New Roman" w:hAnsi="Times New Roman" w:cs="Times New Roman"/>
          <w:sz w:val="24"/>
          <w:szCs w:val="24"/>
        </w:rPr>
        <w:t xml:space="preserve">(1), 46–51. </w:t>
      </w:r>
      <w:hyperlink r:id="rId4113" w:history="1">
        <w:r w:rsidRPr="001768F9">
          <w:rPr>
            <w:rFonts w:ascii="Times New Roman" w:eastAsia="Times New Roman" w:hAnsi="Times New Roman" w:cs="Times New Roman"/>
            <w:color w:val="0000FF"/>
            <w:sz w:val="24"/>
            <w:szCs w:val="24"/>
            <w:u w:val="single"/>
          </w:rPr>
          <w:t>https://doi.org/10.1016/j.jad.2008.01.027</w:t>
        </w:r>
      </w:hyperlink>
    </w:p>
    <w:p w14:paraId="72D04F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&amp; Nakagawa, A. (2002). Cognitive function of obsessive–compulsive disorder. [Cognitive function of obsessive–compulsive disorder.]. </w:t>
      </w:r>
      <w:r w:rsidRPr="001768F9">
        <w:rPr>
          <w:rFonts w:ascii="Times New Roman" w:eastAsia="Times New Roman" w:hAnsi="Times New Roman" w:cs="Times New Roman"/>
          <w:i/>
          <w:iCs/>
          <w:sz w:val="24"/>
          <w:szCs w:val="24"/>
        </w:rPr>
        <w:t>Seishin Igaku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(10), 1044–1054.</w:t>
      </w:r>
    </w:p>
    <w:p w14:paraId="3C97B9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Nakagawa, A., Nakatani, E., Nabeyama, M., Sanematsu, H., Yoshiura, T., Togao, O., Tomita, M., Masuda, Y., Yoshioka, K., Kuroki, T., &amp; Kanba, S. (2009). Working memory dysfunction in obsessive–compulsive disorder: A neuropsychological and functional MRI study.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(8), 784–791. </w:t>
      </w:r>
      <w:hyperlink r:id="rId4114" w:history="1">
        <w:r w:rsidRPr="001768F9">
          <w:rPr>
            <w:rFonts w:ascii="Times New Roman" w:eastAsia="Times New Roman" w:hAnsi="Times New Roman" w:cs="Times New Roman"/>
            <w:color w:val="0000FF"/>
            <w:sz w:val="24"/>
            <w:szCs w:val="24"/>
            <w:u w:val="single"/>
          </w:rPr>
          <w:t>https://doi.org/10.1016/j.jpsychires.2008.10.013</w:t>
        </w:r>
      </w:hyperlink>
    </w:p>
    <w:p w14:paraId="23A116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Nakagawa, A., Yoshiura, T., Nakatani, E., Nabeyama, M., Sanematsu, H., Togao, O., Yoshioka, K., Tomita, M., Kuroki, T., &amp; Kanba, S. (2009). Duration effect of obsessive-compulsive disorder on cognitive function: A functional MRI study.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(9), 814–823. </w:t>
      </w:r>
      <w:hyperlink r:id="rId4115" w:history="1">
        <w:r w:rsidRPr="001768F9">
          <w:rPr>
            <w:rFonts w:ascii="Times New Roman" w:eastAsia="Times New Roman" w:hAnsi="Times New Roman" w:cs="Times New Roman"/>
            <w:color w:val="0000FF"/>
            <w:sz w:val="24"/>
            <w:szCs w:val="24"/>
            <w:u w:val="single"/>
          </w:rPr>
          <w:t>https://doi.org/10.1002/da.20484</w:t>
        </w:r>
      </w:hyperlink>
    </w:p>
    <w:p w14:paraId="75F991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Nakagawa, A., Yoshiura, T., Nakatani, E., Nabeyama, M., Yoshizato, C., Kudoh, A., Tada, K., Yoshioka, K., &amp; Kawamoto, M. (2005). A functional MRI comparison of patients with obsessive-compulsive disorder and normal controls during a Chinese character Stroop task.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139</w:t>
      </w:r>
      <w:r w:rsidRPr="001768F9">
        <w:rPr>
          <w:rFonts w:ascii="Times New Roman" w:eastAsia="Times New Roman" w:hAnsi="Times New Roman" w:cs="Times New Roman"/>
          <w:sz w:val="24"/>
          <w:szCs w:val="24"/>
        </w:rPr>
        <w:t xml:space="preserve">(2), 101–114. </w:t>
      </w:r>
      <w:hyperlink r:id="rId4116" w:history="1">
        <w:r w:rsidRPr="001768F9">
          <w:rPr>
            <w:rFonts w:ascii="Times New Roman" w:eastAsia="Times New Roman" w:hAnsi="Times New Roman" w:cs="Times New Roman"/>
            <w:color w:val="0000FF"/>
            <w:sz w:val="24"/>
            <w:szCs w:val="24"/>
            <w:u w:val="single"/>
          </w:rPr>
          <w:t>https://doi.org/10.1016/j.pscychresns.2004.12.004</w:t>
        </w:r>
      </w:hyperlink>
    </w:p>
    <w:p w14:paraId="025B9A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Nakao, T., Okada, K., &amp; Kanba, S. (2014). Neurobiological model of obsessive–compulsive disorder: Evidence from recent neuropsychological and neuroimaging findings.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(8), 587–605. </w:t>
      </w:r>
      <w:hyperlink r:id="rId4117" w:history="1">
        <w:r w:rsidRPr="001768F9">
          <w:rPr>
            <w:rFonts w:ascii="Times New Roman" w:eastAsia="Times New Roman" w:hAnsi="Times New Roman" w:cs="Times New Roman"/>
            <w:color w:val="0000FF"/>
            <w:sz w:val="24"/>
            <w:szCs w:val="24"/>
            <w:u w:val="single"/>
          </w:rPr>
          <w:t>https://doi.org/10.1111/pcn.12195</w:t>
        </w:r>
      </w:hyperlink>
    </w:p>
    <w:p w14:paraId="0F5153C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Nakazato, M., Hashimoto, K., Schmidt, U., Tchanturia, K., Campbell, I. C., Collier, D. A., Iyo, M., &amp; Treasure, J. (2010). Serum glutamine, set-shifting ability and anorexia nervosa. </w:t>
      </w:r>
      <w:r w:rsidRPr="001768F9">
        <w:rPr>
          <w:rFonts w:ascii="Times New Roman" w:eastAsia="Times New Roman" w:hAnsi="Times New Roman" w:cs="Times New Roman"/>
          <w:i/>
          <w:iCs/>
          <w:sz w:val="24"/>
          <w:szCs w:val="24"/>
        </w:rPr>
        <w:t>Annals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 </w:t>
      </w:r>
      <w:hyperlink r:id="rId4118" w:history="1">
        <w:r w:rsidRPr="001768F9">
          <w:rPr>
            <w:rFonts w:ascii="Times New Roman" w:eastAsia="Times New Roman" w:hAnsi="Times New Roman" w:cs="Times New Roman"/>
            <w:color w:val="0000FF"/>
            <w:sz w:val="24"/>
            <w:szCs w:val="24"/>
            <w:u w:val="single"/>
          </w:rPr>
          <w:t>https://doi.org/10.1186/1744-859X-9-29</w:t>
        </w:r>
      </w:hyperlink>
    </w:p>
    <w:p w14:paraId="3E07A8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Nakhla, M. Z., Holiday, K. A., Filoteo, J. V., Zlatar, Z. Z., Malcarne, V. L., Lessig, S., Litvan, I., &amp; Schiehser, D. M. (2021). Informant-reported cognitive decline is associated with objective cognitive performance in Parkinson’s disease.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(5), 439–449. </w:t>
      </w:r>
      <w:hyperlink r:id="rId4119" w:history="1">
        <w:r w:rsidRPr="001768F9">
          <w:rPr>
            <w:rFonts w:ascii="Times New Roman" w:eastAsia="Times New Roman" w:hAnsi="Times New Roman" w:cs="Times New Roman"/>
            <w:color w:val="0000FF"/>
            <w:sz w:val="24"/>
            <w:szCs w:val="24"/>
            <w:u w:val="single"/>
          </w:rPr>
          <w:t>https://doi.org/10.1017/S1355617720001137</w:t>
        </w:r>
      </w:hyperlink>
    </w:p>
    <w:p w14:paraId="46E950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Namiki, C., Yamada, M., Yoshida, H., Hanakawa, T., Fukuyama, H., &amp; Murai, T. (2008). Small orbitofrontal traumatic lesions detected by high resolution MRI in a patient with major behavioural changes.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(6), 474–479. </w:t>
      </w:r>
      <w:hyperlink r:id="rId4120" w:history="1">
        <w:r w:rsidRPr="001768F9">
          <w:rPr>
            <w:rFonts w:ascii="Times New Roman" w:eastAsia="Times New Roman" w:hAnsi="Times New Roman" w:cs="Times New Roman"/>
            <w:color w:val="0000FF"/>
            <w:sz w:val="24"/>
            <w:szCs w:val="24"/>
            <w:u w:val="single"/>
          </w:rPr>
          <w:t>https://doi.org/10.1080/13554790802459494</w:t>
        </w:r>
      </w:hyperlink>
    </w:p>
    <w:p w14:paraId="7FCF04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Nampijja, M., Apule, B., Lule, S., Akurut, H., Muhangi, L., Elliott, A. M., &amp; Alcock, K. J. (2010). Adaptation of Western measures of cognition for assessing 5-year-old semi-urban Ugandan children. </w:t>
      </w:r>
      <w:r w:rsidRPr="001768F9">
        <w:rPr>
          <w:rFonts w:ascii="Times New Roman" w:eastAsia="Times New Roman" w:hAnsi="Times New Roman" w:cs="Times New Roman"/>
          <w:i/>
          <w:iCs/>
          <w:sz w:val="24"/>
          <w:szCs w:val="24"/>
        </w:rPr>
        <w:t>British Journal of Educational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80</w:t>
      </w:r>
      <w:r w:rsidRPr="001768F9">
        <w:rPr>
          <w:rFonts w:ascii="Times New Roman" w:eastAsia="Times New Roman" w:hAnsi="Times New Roman" w:cs="Times New Roman"/>
          <w:sz w:val="24"/>
          <w:szCs w:val="24"/>
        </w:rPr>
        <w:t xml:space="preserve">(1), 15–30. </w:t>
      </w:r>
      <w:hyperlink r:id="rId4121" w:history="1">
        <w:r w:rsidRPr="001768F9">
          <w:rPr>
            <w:rFonts w:ascii="Times New Roman" w:eastAsia="Times New Roman" w:hAnsi="Times New Roman" w:cs="Times New Roman"/>
            <w:color w:val="0000FF"/>
            <w:sz w:val="24"/>
            <w:szCs w:val="24"/>
            <w:u w:val="single"/>
          </w:rPr>
          <w:t>https://doi.org/10.1348/000709909X460600</w:t>
        </w:r>
      </w:hyperlink>
    </w:p>
    <w:p w14:paraId="43E9858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Naor-Ziv, R., &amp; Glicksohn, J. (2016). Investigating cognitive deficits as risk factors for developing eating disorders during adolescence.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(1–2), 107–124. </w:t>
      </w:r>
      <w:hyperlink r:id="rId4122" w:history="1">
        <w:r w:rsidRPr="001768F9">
          <w:rPr>
            <w:rFonts w:ascii="Times New Roman" w:eastAsia="Times New Roman" w:hAnsi="Times New Roman" w:cs="Times New Roman"/>
            <w:color w:val="0000FF"/>
            <w:sz w:val="24"/>
            <w:szCs w:val="24"/>
            <w:u w:val="single"/>
          </w:rPr>
          <w:t>https://doi.org/10.1080/87565641.2016.1170129</w:t>
        </w:r>
      </w:hyperlink>
    </w:p>
    <w:p w14:paraId="70B4E4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Narayanan, N. S., Rodnitzky, R. L., &amp; Uc, E. Y. (2013). Prefrontal dopamine signaling and cognitive symptoms of Parkinson’s disease. </w:t>
      </w:r>
      <w:r w:rsidRPr="001768F9">
        <w:rPr>
          <w:rFonts w:ascii="Times New Roman" w:eastAsia="Times New Roman" w:hAnsi="Times New Roman" w:cs="Times New Roman"/>
          <w:i/>
          <w:iCs/>
          <w:sz w:val="24"/>
          <w:szCs w:val="24"/>
        </w:rPr>
        <w:t>Reviews in the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(3), 267–278. </w:t>
      </w:r>
      <w:hyperlink r:id="rId4123" w:history="1">
        <w:r w:rsidRPr="001768F9">
          <w:rPr>
            <w:rFonts w:ascii="Times New Roman" w:eastAsia="Times New Roman" w:hAnsi="Times New Roman" w:cs="Times New Roman"/>
            <w:color w:val="0000FF"/>
            <w:sz w:val="24"/>
            <w:szCs w:val="24"/>
            <w:u w:val="single"/>
          </w:rPr>
          <w:t>https://doi.org/10.1515/revneuro-2013-0004</w:t>
        </w:r>
      </w:hyperlink>
    </w:p>
    <w:p w14:paraId="66C085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Nardell, M., &amp; Tampi, R. R. (2014). Pharmacological treatments for frontotemporal dementias: A systematic review of randomized controlled trials. </w:t>
      </w:r>
      <w:r w:rsidRPr="001768F9">
        <w:rPr>
          <w:rFonts w:ascii="Times New Roman" w:eastAsia="Times New Roman" w:hAnsi="Times New Roman" w:cs="Times New Roman"/>
          <w:i/>
          <w:iCs/>
          <w:sz w:val="24"/>
          <w:szCs w:val="24"/>
        </w:rPr>
        <w:t>American Journal of Alzheimer’s Disease and Other Dementias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123–132. </w:t>
      </w:r>
      <w:hyperlink r:id="rId4124" w:history="1">
        <w:r w:rsidRPr="001768F9">
          <w:rPr>
            <w:rFonts w:ascii="Times New Roman" w:eastAsia="Times New Roman" w:hAnsi="Times New Roman" w:cs="Times New Roman"/>
            <w:color w:val="0000FF"/>
            <w:sz w:val="24"/>
            <w:szCs w:val="24"/>
            <w:u w:val="single"/>
          </w:rPr>
          <w:t>https://doi.org/10.1177/1533317513507375</w:t>
        </w:r>
      </w:hyperlink>
    </w:p>
    <w:p w14:paraId="02CBEC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Närhi, V., Ahonen, T., Aro, M., Leppäsaari, T., Korhonen, T. T., Tolvanen, A., &amp; Lyytinen, H. (2005). Rapid serial naming: Relations between different stimuli and neuropsychological factors.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92</w:t>
      </w:r>
      <w:r w:rsidRPr="001768F9">
        <w:rPr>
          <w:rFonts w:ascii="Times New Roman" w:eastAsia="Times New Roman" w:hAnsi="Times New Roman" w:cs="Times New Roman"/>
          <w:sz w:val="24"/>
          <w:szCs w:val="24"/>
        </w:rPr>
        <w:t xml:space="preserve">(1), 45–57. </w:t>
      </w:r>
      <w:hyperlink r:id="rId4125" w:history="1">
        <w:r w:rsidRPr="001768F9">
          <w:rPr>
            <w:rFonts w:ascii="Times New Roman" w:eastAsia="Times New Roman" w:hAnsi="Times New Roman" w:cs="Times New Roman"/>
            <w:color w:val="0000FF"/>
            <w:sz w:val="24"/>
            <w:szCs w:val="24"/>
            <w:u w:val="single"/>
          </w:rPr>
          <w:t>https://doi.org/10.1016/j.bandl.2004.05.004</w:t>
        </w:r>
      </w:hyperlink>
    </w:p>
    <w:p w14:paraId="642AE0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Närhi, V., Lehto-Salo, P., Ahonen, T., &amp; Marttunen, M. (2010). Neuropsychological subgroups of adolescents with conduct disorder. </w:t>
      </w:r>
      <w:r w:rsidRPr="001768F9">
        <w:rPr>
          <w:rFonts w:ascii="Times New Roman" w:eastAsia="Times New Roman" w:hAnsi="Times New Roman" w:cs="Times New Roman"/>
          <w:i/>
          <w:iCs/>
          <w:sz w:val="24"/>
          <w:szCs w:val="24"/>
        </w:rPr>
        <w:t>Scandinavian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(3), 278–284. </w:t>
      </w:r>
      <w:hyperlink r:id="rId4126" w:history="1">
        <w:r w:rsidRPr="001768F9">
          <w:rPr>
            <w:rFonts w:ascii="Times New Roman" w:eastAsia="Times New Roman" w:hAnsi="Times New Roman" w:cs="Times New Roman"/>
            <w:color w:val="0000FF"/>
            <w:sz w:val="24"/>
            <w:szCs w:val="24"/>
            <w:u w:val="single"/>
          </w:rPr>
          <w:t>https://doi.org/10.1111/j.1467-9450.2009.00767.x</w:t>
        </w:r>
      </w:hyperlink>
    </w:p>
    <w:p w14:paraId="5BF90F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Narushima, K., Moser, D. J., &amp; Robinson, R. G. (2008). Correlation between denial of illness and executive function following stroke: A pilot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 96–100. </w:t>
      </w:r>
      <w:hyperlink r:id="rId4127" w:history="1">
        <w:r w:rsidRPr="001768F9">
          <w:rPr>
            <w:rFonts w:ascii="Times New Roman" w:eastAsia="Times New Roman" w:hAnsi="Times New Roman" w:cs="Times New Roman"/>
            <w:color w:val="0000FF"/>
            <w:sz w:val="24"/>
            <w:szCs w:val="24"/>
            <w:u w:val="single"/>
          </w:rPr>
          <w:t>https://doi.org/10.1176/appi.neuropsych.20.1.96</w:t>
        </w:r>
      </w:hyperlink>
    </w:p>
    <w:p w14:paraId="7CE037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Narvaez, J. C. M., Magalhães, P. V. S., Trindade, E. K., Vieira, D. C., Kauer-Sant’Anna, M., Gama, C. S., von Diemen, L., Kapczinski, N. S., &amp; Kapczinski, F. (2012). Childhood trauma, impulsivity, and executive functioning in crack cocaine users.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(3), 238–244. </w:t>
      </w:r>
      <w:hyperlink r:id="rId4128" w:history="1">
        <w:r w:rsidRPr="001768F9">
          <w:rPr>
            <w:rFonts w:ascii="Times New Roman" w:eastAsia="Times New Roman" w:hAnsi="Times New Roman" w:cs="Times New Roman"/>
            <w:color w:val="0000FF"/>
            <w:sz w:val="24"/>
            <w:szCs w:val="24"/>
            <w:u w:val="single"/>
          </w:rPr>
          <w:t>https://doi.org/10.1016/j.comppsych.2011.04.058</w:t>
        </w:r>
      </w:hyperlink>
    </w:p>
    <w:p w14:paraId="40CFC8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Narvaez, J. C., Zeni, C. P., Coelho, R. P., Wagner, F., Pheula, G. F., Ketzer, C. R., Trentini, C. M., Tramontina, S., &amp; Rohde, L. A. (2014). Does comorbid bipolar disorder increase neuropsychological impairment in children and adolescents with ADHD? </w:t>
      </w:r>
      <w:r w:rsidRPr="001768F9">
        <w:rPr>
          <w:rFonts w:ascii="Times New Roman" w:eastAsia="Times New Roman" w:hAnsi="Times New Roman" w:cs="Times New Roman"/>
          <w:i/>
          <w:iCs/>
          <w:sz w:val="24"/>
          <w:szCs w:val="24"/>
        </w:rPr>
        <w:t>Revista Brasileira de 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(1), 53–59. </w:t>
      </w:r>
      <w:hyperlink r:id="rId4129" w:history="1">
        <w:r w:rsidRPr="001768F9">
          <w:rPr>
            <w:rFonts w:ascii="Times New Roman" w:eastAsia="Times New Roman" w:hAnsi="Times New Roman" w:cs="Times New Roman"/>
            <w:color w:val="0000FF"/>
            <w:sz w:val="24"/>
            <w:szCs w:val="24"/>
            <w:u w:val="single"/>
          </w:rPr>
          <w:t>https://doi.org/10.1590/1516-4446-2013-1085</w:t>
        </w:r>
      </w:hyperlink>
    </w:p>
    <w:p w14:paraId="7E4466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Narvaez, J. M., Twamley, E. W., McKibbin, C. L., Heaton, R. K., &amp; Patterson, T. L. (2008). Subjective and objective quality of life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98</w:t>
      </w:r>
      <w:r w:rsidRPr="001768F9">
        <w:rPr>
          <w:rFonts w:ascii="Times New Roman" w:eastAsia="Times New Roman" w:hAnsi="Times New Roman" w:cs="Times New Roman"/>
          <w:sz w:val="24"/>
          <w:szCs w:val="24"/>
        </w:rPr>
        <w:t xml:space="preserve">(1–3), 201–208. </w:t>
      </w:r>
      <w:hyperlink r:id="rId4130" w:history="1">
        <w:r w:rsidRPr="001768F9">
          <w:rPr>
            <w:rFonts w:ascii="Times New Roman" w:eastAsia="Times New Roman" w:hAnsi="Times New Roman" w:cs="Times New Roman"/>
            <w:color w:val="0000FF"/>
            <w:sz w:val="24"/>
            <w:szCs w:val="24"/>
            <w:u w:val="single"/>
          </w:rPr>
          <w:t>https://doi.org/10.1016/j.schres.2007.09.001</w:t>
        </w:r>
      </w:hyperlink>
    </w:p>
    <w:p w14:paraId="212D5E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Nation, D. A., Wierenga, C. E., Delano-Wood, L., Jak, A. J., Delis, D. C., Salmon, D. P., &amp; Bondi, M. W. (2010). Elevated pulse pressure is associated with age-related decline in language ability.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(5), 933–938. </w:t>
      </w:r>
      <w:hyperlink r:id="rId4131" w:history="1">
        <w:r w:rsidRPr="001768F9">
          <w:rPr>
            <w:rFonts w:ascii="Times New Roman" w:eastAsia="Times New Roman" w:hAnsi="Times New Roman" w:cs="Times New Roman"/>
            <w:color w:val="0000FF"/>
            <w:sz w:val="24"/>
            <w:szCs w:val="24"/>
            <w:u w:val="single"/>
          </w:rPr>
          <w:t>https://doi.org/10.1017/S1355617710000548</w:t>
        </w:r>
      </w:hyperlink>
    </w:p>
    <w:p w14:paraId="64A15E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Nayak, M. (1995). </w:t>
      </w:r>
      <w:r w:rsidRPr="001768F9">
        <w:rPr>
          <w:rFonts w:ascii="Times New Roman" w:eastAsia="Times New Roman" w:hAnsi="Times New Roman" w:cs="Times New Roman"/>
          <w:i/>
          <w:iCs/>
          <w:sz w:val="24"/>
          <w:szCs w:val="24"/>
        </w:rPr>
        <w:t>Neuropsychological correlates of risk for physical child abuse.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(12-B), 5572–5572.</w:t>
      </w:r>
    </w:p>
    <w:p w14:paraId="1DAEAC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Neafsey, E. J., &amp; Collins, M. A. (2011). Moderate alcohol consumption and cognitive risk.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(1).</w:t>
      </w:r>
    </w:p>
    <w:p w14:paraId="512E77F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Neargarder, S. A., Murtagh, M. P., Wong, B., &amp; Hill, E. K. (2007). The neuropsychologic deficits of MELAS: Evidence of global impairment.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83–92. </w:t>
      </w:r>
      <w:hyperlink r:id="rId4132" w:history="1">
        <w:r w:rsidRPr="001768F9">
          <w:rPr>
            <w:rFonts w:ascii="Times New Roman" w:eastAsia="Times New Roman" w:hAnsi="Times New Roman" w:cs="Times New Roman"/>
            <w:color w:val="0000FF"/>
            <w:sz w:val="24"/>
            <w:szCs w:val="24"/>
            <w:u w:val="single"/>
          </w:rPr>
          <w:t>https://doi.org/10.1097/WNN.0b013e3180335faf</w:t>
        </w:r>
      </w:hyperlink>
    </w:p>
    <w:p w14:paraId="7EBE13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Nebu, A., Ikeda, M., Maki, N., Hokoishi, K., Komori, K., &amp; Tanabe, H. (1998). Hyperbaric oxygen (HBO) therapy was effective in a case with CO poisoning with an interval of two and a half months after the accident. [Hyperbaric oxygen (HBO) therapy was effective in a case with CO poisoning with an interval of two and a half months af. </w:t>
      </w:r>
      <w:r w:rsidRPr="001768F9">
        <w:rPr>
          <w:rFonts w:ascii="Times New Roman" w:eastAsia="Times New Roman" w:hAnsi="Times New Roman" w:cs="Times New Roman"/>
          <w:i/>
          <w:iCs/>
          <w:sz w:val="24"/>
          <w:szCs w:val="24"/>
        </w:rPr>
        <w:t>Seishin Igaku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(12), 1275–1281.</w:t>
      </w:r>
    </w:p>
    <w:p w14:paraId="5CF39A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Nedeljkovic, M., Kyrios, M., Moulding, R., &amp; Doron, G. (2011). Neuropsychological changes following cognitive-behavioral treatment of obsessive-compulsive disorder (OCD). </w:t>
      </w:r>
      <w:r w:rsidRPr="001768F9">
        <w:rPr>
          <w:rFonts w:ascii="Times New Roman" w:eastAsia="Times New Roman" w:hAnsi="Times New Roman" w:cs="Times New Roman"/>
          <w:i/>
          <w:iCs/>
          <w:sz w:val="24"/>
          <w:szCs w:val="24"/>
        </w:rPr>
        <w:t>International Journal of Cognitive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(1), 8–20. </w:t>
      </w:r>
      <w:hyperlink r:id="rId4133" w:history="1">
        <w:r w:rsidRPr="001768F9">
          <w:rPr>
            <w:rFonts w:ascii="Times New Roman" w:eastAsia="Times New Roman" w:hAnsi="Times New Roman" w:cs="Times New Roman"/>
            <w:color w:val="0000FF"/>
            <w:sz w:val="24"/>
            <w:szCs w:val="24"/>
            <w:u w:val="single"/>
          </w:rPr>
          <w:t>https://doi.org/10.1521/ijct.2011.4.1.8</w:t>
        </w:r>
      </w:hyperlink>
    </w:p>
    <w:p w14:paraId="086C3DD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Nehra, R., Chakrabarti, S., Pradhan, B. K., &amp; Khehra, N. (2006). Comparison of cognitive functions between first- and multi-episode bipolar affective disorders.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93</w:t>
      </w:r>
      <w:r w:rsidRPr="001768F9">
        <w:rPr>
          <w:rFonts w:ascii="Times New Roman" w:eastAsia="Times New Roman" w:hAnsi="Times New Roman" w:cs="Times New Roman"/>
          <w:sz w:val="24"/>
          <w:szCs w:val="24"/>
        </w:rPr>
        <w:t xml:space="preserve">(1–3), 185–192. </w:t>
      </w:r>
      <w:hyperlink r:id="rId4134" w:history="1">
        <w:r w:rsidRPr="001768F9">
          <w:rPr>
            <w:rFonts w:ascii="Times New Roman" w:eastAsia="Times New Roman" w:hAnsi="Times New Roman" w:cs="Times New Roman"/>
            <w:color w:val="0000FF"/>
            <w:sz w:val="24"/>
            <w:szCs w:val="24"/>
            <w:u w:val="single"/>
          </w:rPr>
          <w:t>https://doi.org/10.1016/j.jad.2006.03.013</w:t>
        </w:r>
      </w:hyperlink>
    </w:p>
    <w:p w14:paraId="3B8D9C9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Neider, M., Pace-Schott, E. F., Forselius, E., Pittman, B., &amp; Morgan, P. T. (2011). Lucid dreaming and ventromedial versus dorsolateral prefrontal task performance. </w:t>
      </w:r>
      <w:r w:rsidRPr="001768F9">
        <w:rPr>
          <w:rFonts w:ascii="Times New Roman" w:eastAsia="Times New Roman" w:hAnsi="Times New Roman" w:cs="Times New Roman"/>
          <w:i/>
          <w:iCs/>
          <w:sz w:val="24"/>
          <w:szCs w:val="24"/>
        </w:rPr>
        <w:t>Consciousness and Cognition: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234–244. </w:t>
      </w:r>
      <w:hyperlink r:id="rId4135" w:history="1">
        <w:r w:rsidRPr="001768F9">
          <w:rPr>
            <w:rFonts w:ascii="Times New Roman" w:eastAsia="Times New Roman" w:hAnsi="Times New Roman" w:cs="Times New Roman"/>
            <w:color w:val="0000FF"/>
            <w:sz w:val="24"/>
            <w:szCs w:val="24"/>
            <w:u w:val="single"/>
          </w:rPr>
          <w:t>https://doi.org/10.1016/j.concog.2010.08.001</w:t>
        </w:r>
      </w:hyperlink>
    </w:p>
    <w:p w14:paraId="42BC9F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Neill, E., &amp; Rossell, S. L. (2013). Executive functioning in schizophrenia: The result of impairments in lower order cognitive skills?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76–80. </w:t>
      </w:r>
      <w:hyperlink r:id="rId4136" w:history="1">
        <w:r w:rsidRPr="001768F9">
          <w:rPr>
            <w:rFonts w:ascii="Times New Roman" w:eastAsia="Times New Roman" w:hAnsi="Times New Roman" w:cs="Times New Roman"/>
            <w:color w:val="0000FF"/>
            <w:sz w:val="24"/>
            <w:szCs w:val="24"/>
            <w:u w:val="single"/>
          </w:rPr>
          <w:t>https://doi.org/10.1016/j.schres.2013.07.034</w:t>
        </w:r>
      </w:hyperlink>
    </w:p>
    <w:p w14:paraId="592F76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Nejati, V., Pouretemad, H. R., &amp; Bahrami, H. (2013). Attention Training in rehabilitation of children with developmental stuttering.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(2), 297–303.</w:t>
      </w:r>
    </w:p>
    <w:p w14:paraId="0CDEAA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Nejati, V., Shahidi, S., Maleki, G., &amp; Lord, M. D. (2013). Cognitive correlates of hope: Evidence from neuropsychological tests. [Cognitive correlates of hope: Evidence from neuropsychological tests.]. </w:t>
      </w:r>
      <w:r w:rsidRPr="001768F9">
        <w:rPr>
          <w:rFonts w:ascii="Times New Roman" w:eastAsia="Times New Roman" w:hAnsi="Times New Roman" w:cs="Times New Roman"/>
          <w:i/>
          <w:iCs/>
          <w:sz w:val="24"/>
          <w:szCs w:val="24"/>
        </w:rPr>
        <w:t>Advances in 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(4[56]), 29–38.</w:t>
      </w:r>
    </w:p>
    <w:p w14:paraId="5540FE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A. P., &amp; Assuras, S. (2015). Neuropsychological assessment. In </w:t>
      </w:r>
      <w:r w:rsidRPr="001768F9">
        <w:rPr>
          <w:rFonts w:ascii="Times New Roman" w:eastAsia="Times New Roman" w:hAnsi="Times New Roman" w:cs="Times New Roman"/>
          <w:i/>
          <w:iCs/>
          <w:sz w:val="24"/>
          <w:szCs w:val="24"/>
        </w:rPr>
        <w:t>Psychiatric care of the medical patient, 3rd ed.</w:t>
      </w:r>
      <w:r w:rsidRPr="001768F9">
        <w:rPr>
          <w:rFonts w:ascii="Times New Roman" w:eastAsia="Times New Roman" w:hAnsi="Times New Roman" w:cs="Times New Roman"/>
          <w:sz w:val="24"/>
          <w:szCs w:val="24"/>
        </w:rPr>
        <w:t xml:space="preserve"> (pp. 56–70). Oxford University Press. </w:t>
      </w:r>
      <w:hyperlink r:id="rId4137" w:history="1">
        <w:r w:rsidRPr="001768F9">
          <w:rPr>
            <w:rFonts w:ascii="Times New Roman" w:eastAsia="Times New Roman" w:hAnsi="Times New Roman" w:cs="Times New Roman"/>
            <w:color w:val="0000FF"/>
            <w:sz w:val="24"/>
            <w:szCs w:val="24"/>
            <w:u w:val="single"/>
          </w:rPr>
          <w:t>https://doi.org/10.1093/med/9780199731855.003.0003</w:t>
        </w:r>
      </w:hyperlink>
    </w:p>
    <w:p w14:paraId="395FCA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L. L. (2014). Peaceful personality: Psychological dynamics and core factors. In </w:t>
      </w:r>
      <w:r w:rsidRPr="001768F9">
        <w:rPr>
          <w:rFonts w:ascii="Times New Roman" w:eastAsia="Times New Roman" w:hAnsi="Times New Roman" w:cs="Times New Roman"/>
          <w:i/>
          <w:iCs/>
          <w:sz w:val="24"/>
          <w:szCs w:val="24"/>
        </w:rPr>
        <w:t>Personal peacefulness: Psychological perspectives.</w:t>
      </w:r>
      <w:r w:rsidRPr="001768F9">
        <w:rPr>
          <w:rFonts w:ascii="Times New Roman" w:eastAsia="Times New Roman" w:hAnsi="Times New Roman" w:cs="Times New Roman"/>
          <w:sz w:val="24"/>
          <w:szCs w:val="24"/>
        </w:rPr>
        <w:t xml:space="preserve"> (pp. 71–106). Springer Science + Business Media. </w:t>
      </w:r>
      <w:hyperlink r:id="rId4138" w:history="1">
        <w:r w:rsidRPr="001768F9">
          <w:rPr>
            <w:rFonts w:ascii="Times New Roman" w:eastAsia="Times New Roman" w:hAnsi="Times New Roman" w:cs="Times New Roman"/>
            <w:color w:val="0000FF"/>
            <w:sz w:val="24"/>
            <w:szCs w:val="24"/>
            <w:u w:val="single"/>
          </w:rPr>
          <w:t>https://doi.org/10.1007/978-1-4614-9366-2_4</w:t>
        </w:r>
      </w:hyperlink>
    </w:p>
    <w:p w14:paraId="2ADA73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N. W., &amp; Doane, B. M. (2013). Research and symptom validity assessment in mild traumatic brain injury cases. In </w:t>
      </w:r>
      <w:r w:rsidRPr="001768F9">
        <w:rPr>
          <w:rFonts w:ascii="Times New Roman" w:eastAsia="Times New Roman" w:hAnsi="Times New Roman" w:cs="Times New Roman"/>
          <w:i/>
          <w:iCs/>
          <w:sz w:val="24"/>
          <w:szCs w:val="24"/>
        </w:rPr>
        <w:t>Mild traumatic brain injury: Symptom validity assessment and malingering.</w:t>
      </w:r>
      <w:r w:rsidRPr="001768F9">
        <w:rPr>
          <w:rFonts w:ascii="Times New Roman" w:eastAsia="Times New Roman" w:hAnsi="Times New Roman" w:cs="Times New Roman"/>
          <w:sz w:val="24"/>
          <w:szCs w:val="24"/>
        </w:rPr>
        <w:t xml:space="preserve"> (pp. 119–144). Springer Publishing Company.</w:t>
      </w:r>
    </w:p>
    <w:p w14:paraId="197FD8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N. W., Hoelzle, J. B., McGuire, K. A., Ferrier-Auerbach, A. G., Charlesworth, M. J., &amp; Sponheim, S. R. (2011). Neuropsychological evaluation of blast-related concussion: Illustrating the challenges and complexities through OEF/OIF case studies.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(5), 511–525. </w:t>
      </w:r>
      <w:hyperlink r:id="rId4139" w:history="1">
        <w:r w:rsidRPr="001768F9">
          <w:rPr>
            <w:rFonts w:ascii="Times New Roman" w:eastAsia="Times New Roman" w:hAnsi="Times New Roman" w:cs="Times New Roman"/>
            <w:color w:val="0000FF"/>
            <w:sz w:val="24"/>
            <w:szCs w:val="24"/>
            <w:u w:val="single"/>
          </w:rPr>
          <w:t>https://doi.org/10.3109/02699052.2011.558040</w:t>
        </w:r>
      </w:hyperlink>
    </w:p>
    <w:p w14:paraId="5890A9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Nelson, N. W., Lamberty, G. J., Sim, A. H., Doane, B. M., &amp; Vanderploeg, R. D. (2012). Traumatic brain injury in veterans. In </w:t>
      </w:r>
      <w:r w:rsidRPr="001768F9">
        <w:rPr>
          <w:rFonts w:ascii="Times New Roman" w:eastAsia="Times New Roman" w:hAnsi="Times New Roman" w:cs="Times New Roman"/>
          <w:i/>
          <w:iCs/>
          <w:sz w:val="24"/>
          <w:szCs w:val="24"/>
        </w:rPr>
        <w:t>Neuropsychological practice with veterans.</w:t>
      </w:r>
      <w:r w:rsidRPr="001768F9">
        <w:rPr>
          <w:rFonts w:ascii="Times New Roman" w:eastAsia="Times New Roman" w:hAnsi="Times New Roman" w:cs="Times New Roman"/>
          <w:sz w:val="24"/>
          <w:szCs w:val="24"/>
        </w:rPr>
        <w:t xml:space="preserve"> (pp. 101–144). Springer Publishing Co.</w:t>
      </w:r>
    </w:p>
    <w:p w14:paraId="40B78C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Nemeth, D. G., &amp; Chustz, K. M. (2020). Executive functions defined. </w:t>
      </w:r>
      <w:r w:rsidRPr="001768F9">
        <w:rPr>
          <w:rFonts w:ascii="Times New Roman" w:eastAsia="Times New Roman" w:hAnsi="Times New Roman" w:cs="Times New Roman"/>
          <w:i/>
          <w:iCs/>
          <w:sz w:val="24"/>
          <w:szCs w:val="24"/>
        </w:rPr>
        <w:t>Evaluation and Treatment of Neuropsychologically Compromised Children.</w:t>
      </w:r>
      <w:r w:rsidRPr="001768F9">
        <w:rPr>
          <w:rFonts w:ascii="Times New Roman" w:eastAsia="Times New Roman" w:hAnsi="Times New Roman" w:cs="Times New Roman"/>
          <w:sz w:val="24"/>
          <w:szCs w:val="24"/>
        </w:rPr>
        <w:t xml:space="preserve">, 107–120. </w:t>
      </w:r>
      <w:hyperlink r:id="rId4140" w:history="1">
        <w:r w:rsidRPr="001768F9">
          <w:rPr>
            <w:rFonts w:ascii="Times New Roman" w:eastAsia="Times New Roman" w:hAnsi="Times New Roman" w:cs="Times New Roman"/>
            <w:color w:val="0000FF"/>
            <w:sz w:val="24"/>
            <w:szCs w:val="24"/>
            <w:u w:val="single"/>
          </w:rPr>
          <w:t>https://doi.org/10.1016/B978-0-12-819545-1.00006-0</w:t>
        </w:r>
      </w:hyperlink>
    </w:p>
    <w:p w14:paraId="5C8E35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Nemeth, D., Janacsek, K., Polner, B., &amp; Kovacs, Z. A. (2013). Boosting human learning by hypnosis. </w:t>
      </w:r>
      <w:r w:rsidRPr="001768F9">
        <w:rPr>
          <w:rFonts w:ascii="Times New Roman" w:eastAsia="Times New Roman" w:hAnsi="Times New Roman" w:cs="Times New Roman"/>
          <w:i/>
          <w:iCs/>
          <w:sz w:val="24"/>
          <w:szCs w:val="24"/>
        </w:rPr>
        <w:t>Cerebral Cortex</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(4), 801–805. </w:t>
      </w:r>
      <w:hyperlink r:id="rId4141" w:history="1">
        <w:r w:rsidRPr="001768F9">
          <w:rPr>
            <w:rFonts w:ascii="Times New Roman" w:eastAsia="Times New Roman" w:hAnsi="Times New Roman" w:cs="Times New Roman"/>
            <w:color w:val="0000FF"/>
            <w:sz w:val="24"/>
            <w:szCs w:val="24"/>
            <w:u w:val="single"/>
          </w:rPr>
          <w:t>https://doi.org/10.1093/cercor/bhs068</w:t>
        </w:r>
      </w:hyperlink>
    </w:p>
    <w:p w14:paraId="5697D2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Nemoto, T., Kashima, H., &amp; Mizuno, M. (2007). Contribution of divergent thinking to community functioning in schizophrenia.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517–524. </w:t>
      </w:r>
      <w:hyperlink r:id="rId4142" w:history="1">
        <w:r w:rsidRPr="001768F9">
          <w:rPr>
            <w:rFonts w:ascii="Times New Roman" w:eastAsia="Times New Roman" w:hAnsi="Times New Roman" w:cs="Times New Roman"/>
            <w:color w:val="0000FF"/>
            <w:sz w:val="24"/>
            <w:szCs w:val="24"/>
            <w:u w:val="single"/>
          </w:rPr>
          <w:t>https://doi.org/10.1016/j.pnpbp.2006.12.001</w:t>
        </w:r>
      </w:hyperlink>
    </w:p>
    <w:p w14:paraId="197C10D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Nemoto, T., Mizuno, M., &amp; Kashima, H. (2005). Qualitative evaluation of divergent thinking in patients with schizophrenia.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(4), 217–224. </w:t>
      </w:r>
      <w:hyperlink r:id="rId4143" w:history="1">
        <w:r w:rsidRPr="001768F9">
          <w:rPr>
            <w:rFonts w:ascii="Times New Roman" w:eastAsia="Times New Roman" w:hAnsi="Times New Roman" w:cs="Times New Roman"/>
            <w:color w:val="0000FF"/>
            <w:sz w:val="24"/>
            <w:szCs w:val="24"/>
            <w:u w:val="single"/>
          </w:rPr>
          <w:t>https://doi.org/10.1155/2005/386932</w:t>
        </w:r>
      </w:hyperlink>
    </w:p>
    <w:p w14:paraId="479E2D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Neri, M. L., Guimarães, C. A., Oliveira, E. P., Duran, M. H., Medeiros, L. L., Montenegro, M. A., Boscariol, M., &amp; Guerreiro, M. M. (2012). Neuropsychological assessment of children with rolandic epilepsy: Executive functions. </w:t>
      </w:r>
      <w:r w:rsidRPr="001768F9">
        <w:rPr>
          <w:rFonts w:ascii="Times New Roman" w:eastAsia="Times New Roman" w:hAnsi="Times New Roman" w:cs="Times New Roman"/>
          <w:i/>
          <w:iCs/>
          <w:sz w:val="24"/>
          <w:szCs w:val="24"/>
        </w:rPr>
        <w:t>Epilepsy &amp;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403–407. </w:t>
      </w:r>
      <w:hyperlink r:id="rId4144" w:history="1">
        <w:r w:rsidRPr="001768F9">
          <w:rPr>
            <w:rFonts w:ascii="Times New Roman" w:eastAsia="Times New Roman" w:hAnsi="Times New Roman" w:cs="Times New Roman"/>
            <w:color w:val="0000FF"/>
            <w:sz w:val="24"/>
            <w:szCs w:val="24"/>
            <w:u w:val="single"/>
          </w:rPr>
          <w:t>https://doi.org/10.1016/j.yebeh.2012.04.131</w:t>
        </w:r>
      </w:hyperlink>
    </w:p>
    <w:p w14:paraId="1A4AC9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Choate, V., Niznikiewicz, M., Levitt, J. J., Shenton, M. E., &amp; McCarley, R. W. (2014). Neuropsychology of reward learning and negative symptoms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159</w:t>
      </w:r>
      <w:r w:rsidRPr="001768F9">
        <w:rPr>
          <w:rFonts w:ascii="Times New Roman" w:eastAsia="Times New Roman" w:hAnsi="Times New Roman" w:cs="Times New Roman"/>
          <w:sz w:val="24"/>
          <w:szCs w:val="24"/>
        </w:rPr>
        <w:t xml:space="preserve">(2–3), 506–508. </w:t>
      </w:r>
      <w:hyperlink r:id="rId4145" w:history="1">
        <w:r w:rsidRPr="001768F9">
          <w:rPr>
            <w:rFonts w:ascii="Times New Roman" w:eastAsia="Times New Roman" w:hAnsi="Times New Roman" w:cs="Times New Roman"/>
            <w:color w:val="0000FF"/>
            <w:sz w:val="24"/>
            <w:szCs w:val="24"/>
            <w:u w:val="single"/>
          </w:rPr>
          <w:t>https://doi.org/10.1016/j.schres.2014.08.028</w:t>
        </w:r>
      </w:hyperlink>
    </w:p>
    <w:p w14:paraId="422A68F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Gurrera, R. J., Niznikiewicz, M., Frumin, M., McCarley, R. W., &amp; Shenton, M. E. (2004). Neuropsychological Correlates of Diffusion Tensor Imaging in Schizophrenia.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629–637. </w:t>
      </w:r>
      <w:hyperlink r:id="rId4146" w:history="1">
        <w:r w:rsidRPr="001768F9">
          <w:rPr>
            <w:rFonts w:ascii="Times New Roman" w:eastAsia="Times New Roman" w:hAnsi="Times New Roman" w:cs="Times New Roman"/>
            <w:color w:val="0000FF"/>
            <w:sz w:val="24"/>
            <w:szCs w:val="24"/>
            <w:u w:val="single"/>
          </w:rPr>
          <w:t>https://doi.org/10.1037/0894-4105.18.4.629</w:t>
        </w:r>
      </w:hyperlink>
    </w:p>
    <w:p w14:paraId="7008ED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Kuroki, N., Gurrera, R. J., Niznikiewicz, M., Shenton, M. E., &amp; McCarley, R. W. (2007). Episodic memory and neuroimaging of hippocampus and fornix in chronic schizophrenia.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155</w:t>
      </w:r>
      <w:r w:rsidRPr="001768F9">
        <w:rPr>
          <w:rFonts w:ascii="Times New Roman" w:eastAsia="Times New Roman" w:hAnsi="Times New Roman" w:cs="Times New Roman"/>
          <w:sz w:val="24"/>
          <w:szCs w:val="24"/>
        </w:rPr>
        <w:t xml:space="preserve">(1), 21–28. </w:t>
      </w:r>
      <w:hyperlink r:id="rId4147" w:history="1">
        <w:r w:rsidRPr="001768F9">
          <w:rPr>
            <w:rFonts w:ascii="Times New Roman" w:eastAsia="Times New Roman" w:hAnsi="Times New Roman" w:cs="Times New Roman"/>
            <w:color w:val="0000FF"/>
            <w:sz w:val="24"/>
            <w:szCs w:val="24"/>
            <w:u w:val="single"/>
          </w:rPr>
          <w:t>https://doi.org/10.1016/j.pscychresns.2006.12.020</w:t>
        </w:r>
      </w:hyperlink>
    </w:p>
    <w:p w14:paraId="218B01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Niznikiewicz, M., Gurrera, R. J., McCarley, R. W., &amp; Shenton, M. E. (2008). Neuropsychological disturbance in schizophrenia: A diffusion tensor imaging study.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246–254. </w:t>
      </w:r>
      <w:hyperlink r:id="rId4148" w:history="1">
        <w:r w:rsidRPr="001768F9">
          <w:rPr>
            <w:rFonts w:ascii="Times New Roman" w:eastAsia="Times New Roman" w:hAnsi="Times New Roman" w:cs="Times New Roman"/>
            <w:color w:val="0000FF"/>
            <w:sz w:val="24"/>
            <w:szCs w:val="24"/>
            <w:u w:val="single"/>
          </w:rPr>
          <w:t>https://doi.org/10.1037/0894-4105.22.2.246</w:t>
        </w:r>
      </w:hyperlink>
    </w:p>
    <w:p w14:paraId="6CC409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Kubicki, M., Spencer, K. M., Niznikiewicz, M., McCarley, R. W., &amp; Shenton, M. E. (2007). Attentional networks and cingulum bundle in chronic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90</w:t>
      </w:r>
      <w:r w:rsidRPr="001768F9">
        <w:rPr>
          <w:rFonts w:ascii="Times New Roman" w:eastAsia="Times New Roman" w:hAnsi="Times New Roman" w:cs="Times New Roman"/>
          <w:sz w:val="24"/>
          <w:szCs w:val="24"/>
        </w:rPr>
        <w:t xml:space="preserve">(1–3), 308–315. </w:t>
      </w:r>
      <w:hyperlink r:id="rId4149" w:history="1">
        <w:r w:rsidRPr="001768F9">
          <w:rPr>
            <w:rFonts w:ascii="Times New Roman" w:eastAsia="Times New Roman" w:hAnsi="Times New Roman" w:cs="Times New Roman"/>
            <w:color w:val="0000FF"/>
            <w:sz w:val="24"/>
            <w:szCs w:val="24"/>
            <w:u w:val="single"/>
          </w:rPr>
          <w:t>https://doi.org/10.1016/j.schres.2006.10.005</w:t>
        </w:r>
      </w:hyperlink>
    </w:p>
    <w:p w14:paraId="37A2A5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Nakamura, M., Niznikiewicz, M., Levitt, J. J., Newell, D. T., Shenton, M. E., &amp; McCarley, R. W. (2015). Attentional control and intelligence: MRI orbital frontal gray matter and neuropsychological correlates.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2015</w:t>
      </w:r>
      <w:r w:rsidRPr="001768F9">
        <w:rPr>
          <w:rFonts w:ascii="Times New Roman" w:eastAsia="Times New Roman" w:hAnsi="Times New Roman" w:cs="Times New Roman"/>
          <w:sz w:val="24"/>
          <w:szCs w:val="24"/>
        </w:rPr>
        <w:t>.</w:t>
      </w:r>
    </w:p>
    <w:p w14:paraId="75A599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Niznikiewicz, M., &amp; McCarley, R. W. (2010). Distinct contribution of working memory and social comprehension failures in neuropsychological impairment in schizophrenia.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(3), 206–212. </w:t>
      </w:r>
      <w:hyperlink r:id="rId4150" w:history="1">
        <w:r w:rsidRPr="001768F9">
          <w:rPr>
            <w:rFonts w:ascii="Times New Roman" w:eastAsia="Times New Roman" w:hAnsi="Times New Roman" w:cs="Times New Roman"/>
            <w:color w:val="0000FF"/>
            <w:sz w:val="24"/>
            <w:szCs w:val="24"/>
            <w:u w:val="single"/>
          </w:rPr>
          <w:t>https://doi.org/10.1097/NMD.0b013e3181d14143</w:t>
        </w:r>
      </w:hyperlink>
    </w:p>
    <w:p w14:paraId="6CF1A03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Onitsuka, T., Gurrera, R. J., Niznikiewicz, M., Frumin, M., Shenton, M. E., &amp; McCarley, R. W. (2007). Dissociable contributions of MRI volume reductions of superior temporal and fusiform gyri to symptoms and neuropsychology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91</w:t>
      </w:r>
      <w:r w:rsidRPr="001768F9">
        <w:rPr>
          <w:rFonts w:ascii="Times New Roman" w:eastAsia="Times New Roman" w:hAnsi="Times New Roman" w:cs="Times New Roman"/>
          <w:sz w:val="24"/>
          <w:szCs w:val="24"/>
        </w:rPr>
        <w:t xml:space="preserve">(1–3), 103–106. </w:t>
      </w:r>
      <w:hyperlink r:id="rId4151" w:history="1">
        <w:r w:rsidRPr="001768F9">
          <w:rPr>
            <w:rFonts w:ascii="Times New Roman" w:eastAsia="Times New Roman" w:hAnsi="Times New Roman" w:cs="Times New Roman"/>
            <w:color w:val="0000FF"/>
            <w:sz w:val="24"/>
            <w:szCs w:val="24"/>
            <w:u w:val="single"/>
          </w:rPr>
          <w:t>https://doi.org/10.1016/j.schres.2006.11.025</w:t>
        </w:r>
      </w:hyperlink>
    </w:p>
    <w:p w14:paraId="0C9D6F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Piech, R., Allen, C., Niznikiewicz, M., Shenton, M., &amp; McCarley, R. W. (2005). Retrieval-induced forgetting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75</w:t>
      </w:r>
      <w:r w:rsidRPr="001768F9">
        <w:rPr>
          <w:rFonts w:ascii="Times New Roman" w:eastAsia="Times New Roman" w:hAnsi="Times New Roman" w:cs="Times New Roman"/>
          <w:sz w:val="24"/>
          <w:szCs w:val="24"/>
        </w:rPr>
        <w:t xml:space="preserve">(2–3), 199–209. </w:t>
      </w:r>
      <w:hyperlink r:id="rId4152" w:history="1">
        <w:r w:rsidRPr="001768F9">
          <w:rPr>
            <w:rFonts w:ascii="Times New Roman" w:eastAsia="Times New Roman" w:hAnsi="Times New Roman" w:cs="Times New Roman"/>
            <w:color w:val="0000FF"/>
            <w:sz w:val="24"/>
            <w:szCs w:val="24"/>
            <w:u w:val="single"/>
          </w:rPr>
          <w:t>https://doi.org/10.1016/j.schres.2005.01.011</w:t>
        </w:r>
      </w:hyperlink>
    </w:p>
    <w:p w14:paraId="0ECC2B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G., Shenton, M. E., McCarley, R. W., Haimson, J., Smith, R. S., O’Donnell, B., Kimble, M., Kikinis, R., &amp; Jolesz, F. A. (1993). Neuropsychological correlates of MRI temporal lobe abnormalities in schizophrenia.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(12), 1849–1855. </w:t>
      </w:r>
      <w:hyperlink r:id="rId4153" w:history="1">
        <w:r w:rsidRPr="001768F9">
          <w:rPr>
            <w:rFonts w:ascii="Times New Roman" w:eastAsia="Times New Roman" w:hAnsi="Times New Roman" w:cs="Times New Roman"/>
            <w:color w:val="0000FF"/>
            <w:sz w:val="24"/>
            <w:szCs w:val="24"/>
            <w:u w:val="single"/>
          </w:rPr>
          <w:t>https://doi.org/10.1176/ajp.150.12.1849</w:t>
        </w:r>
      </w:hyperlink>
    </w:p>
    <w:p w14:paraId="499C03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Nestor, P. J., Graham, N. L., Fryer, T. D., Williams, G. B., Patterson, K., &amp; Hodges, J. R. (2003). Progressive non-fluent aphasia is associated with hypometabolism centred on the left anterior insula.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126</w:t>
      </w:r>
      <w:r w:rsidRPr="001768F9">
        <w:rPr>
          <w:rFonts w:ascii="Times New Roman" w:eastAsia="Times New Roman" w:hAnsi="Times New Roman" w:cs="Times New Roman"/>
          <w:sz w:val="24"/>
          <w:szCs w:val="24"/>
        </w:rPr>
        <w:t xml:space="preserve">(11), 2406–2418. </w:t>
      </w:r>
      <w:hyperlink r:id="rId4154" w:history="1">
        <w:r w:rsidRPr="001768F9">
          <w:rPr>
            <w:rFonts w:ascii="Times New Roman" w:eastAsia="Times New Roman" w:hAnsi="Times New Roman" w:cs="Times New Roman"/>
            <w:color w:val="0000FF"/>
            <w:sz w:val="24"/>
            <w:szCs w:val="24"/>
            <w:u w:val="single"/>
          </w:rPr>
          <w:t>https://doi.org/10.1093/brain/awg240</w:t>
        </w:r>
      </w:hyperlink>
    </w:p>
    <w:p w14:paraId="014A18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Nestsiarovich, A., Obyedkov, V., Kandratsenka, H., Siniauskaya, M., Goloenko, I., &amp; Waszkiewicz, N. (2017). Disorganization at the stage of schizophrenia clinical outcome: Clinical–biological study.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 44–48. </w:t>
      </w:r>
      <w:hyperlink r:id="rId4155" w:history="1">
        <w:r w:rsidRPr="001768F9">
          <w:rPr>
            <w:rFonts w:ascii="Times New Roman" w:eastAsia="Times New Roman" w:hAnsi="Times New Roman" w:cs="Times New Roman"/>
            <w:color w:val="0000FF"/>
            <w:sz w:val="24"/>
            <w:szCs w:val="24"/>
            <w:u w:val="single"/>
          </w:rPr>
          <w:t>https://doi.org/10.1016/j.eurpsy.2016.12.011</w:t>
        </w:r>
      </w:hyperlink>
    </w:p>
    <w:p w14:paraId="128B6E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Netto, T. M., Zimmermann, N., Rueda-Lopes, F., Bizzo, B. C., Fonseca, R. P., &amp; Gasparetto, E. L. (2013). Neuropsychiatric lupus: Classification criteria in neuroimaging studies. </w:t>
      </w:r>
      <w:r w:rsidRPr="001768F9">
        <w:rPr>
          <w:rFonts w:ascii="Times New Roman" w:eastAsia="Times New Roman" w:hAnsi="Times New Roman" w:cs="Times New Roman"/>
          <w:i/>
          <w:iCs/>
          <w:sz w:val="24"/>
          <w:szCs w:val="24"/>
        </w:rPr>
        <w:t>The Canadian Journal of Neurological Sciences / Le Journal Canadien Des Sciences Neurologiques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284–291. </w:t>
      </w:r>
      <w:hyperlink r:id="rId4156" w:history="1">
        <w:r w:rsidRPr="001768F9">
          <w:rPr>
            <w:rFonts w:ascii="Times New Roman" w:eastAsia="Times New Roman" w:hAnsi="Times New Roman" w:cs="Times New Roman"/>
            <w:color w:val="0000FF"/>
            <w:sz w:val="24"/>
            <w:szCs w:val="24"/>
            <w:u w:val="single"/>
          </w:rPr>
          <w:t>https://doi.org/10.1017/S0317167100014219</w:t>
        </w:r>
      </w:hyperlink>
    </w:p>
    <w:p w14:paraId="0A15EC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Neuhaus, A. H., Popescu, F. C., Grozea, C., Hahn, E., Hahn, C., Opgen-Rhein, C., Urbanek, C., &amp; Dettling, M. (2011). Single-subject classification of schizophrenia by event-related potentials during selective attention.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(2), 514–521. </w:t>
      </w:r>
      <w:hyperlink r:id="rId4157" w:history="1">
        <w:r w:rsidRPr="001768F9">
          <w:rPr>
            <w:rFonts w:ascii="Times New Roman" w:eastAsia="Times New Roman" w:hAnsi="Times New Roman" w:cs="Times New Roman"/>
            <w:color w:val="0000FF"/>
            <w:sz w:val="24"/>
            <w:szCs w:val="24"/>
            <w:u w:val="single"/>
          </w:rPr>
          <w:t>https://doi.org/10.1016/j.neuroimage.2010.12.038</w:t>
        </w:r>
      </w:hyperlink>
    </w:p>
    <w:p w14:paraId="0621EC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Neumann, H., Helmke, F., Thlels, C., Polster, T., Selzer, L. M., Daseking, M., Petermann, F., &amp; Lücke, T. (2016). Kognitive entwicklung von kindern mit benigner epilepsie des kindesalters mit zentrotemporalen spitzen (rolando-epilepsie)—Ergebnisse einer aktuellen systematischen Literaturrecherche. [Cognitive development in children with benign rolandic epilepsy of ch. </w:t>
      </w:r>
      <w:r w:rsidRPr="001768F9">
        <w:rPr>
          <w:rFonts w:ascii="Times New Roman" w:eastAsia="Times New Roman" w:hAnsi="Times New Roman" w:cs="Times New Roman"/>
          <w:i/>
          <w:iCs/>
          <w:sz w:val="24"/>
          <w:szCs w:val="24"/>
        </w:rPr>
        <w:t>Fortschritte Der Neurologie,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84</w:t>
      </w:r>
      <w:r w:rsidRPr="001768F9">
        <w:rPr>
          <w:rFonts w:ascii="Times New Roman" w:eastAsia="Times New Roman" w:hAnsi="Times New Roman" w:cs="Times New Roman"/>
          <w:sz w:val="24"/>
          <w:szCs w:val="24"/>
        </w:rPr>
        <w:t xml:space="preserve">(10), 617–632. </w:t>
      </w:r>
      <w:hyperlink r:id="rId4158" w:history="1">
        <w:r w:rsidRPr="001768F9">
          <w:rPr>
            <w:rFonts w:ascii="Times New Roman" w:eastAsia="Times New Roman" w:hAnsi="Times New Roman" w:cs="Times New Roman"/>
            <w:color w:val="0000FF"/>
            <w:sz w:val="24"/>
            <w:szCs w:val="24"/>
            <w:u w:val="single"/>
          </w:rPr>
          <w:t>https://doi.org/10.1055/s-0042-115477</w:t>
        </w:r>
      </w:hyperlink>
    </w:p>
    <w:p w14:paraId="5E828C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Neumann, N., &amp; Kotchoubey, B. (2004). Assessment of cognitive functions in severely paralysed and severely brain-damaged patients: Neuropsychological and electrophysiological methods. </w:t>
      </w:r>
      <w:r w:rsidRPr="001768F9">
        <w:rPr>
          <w:rFonts w:ascii="Times New Roman" w:eastAsia="Times New Roman" w:hAnsi="Times New Roman" w:cs="Times New Roman"/>
          <w:i/>
          <w:iCs/>
          <w:sz w:val="24"/>
          <w:szCs w:val="24"/>
        </w:rPr>
        <w:t>Brain Research Protocols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25–36. </w:t>
      </w:r>
      <w:hyperlink r:id="rId4159" w:history="1">
        <w:r w:rsidRPr="001768F9">
          <w:rPr>
            <w:rFonts w:ascii="Times New Roman" w:eastAsia="Times New Roman" w:hAnsi="Times New Roman" w:cs="Times New Roman"/>
            <w:color w:val="0000FF"/>
            <w:sz w:val="24"/>
            <w:szCs w:val="24"/>
            <w:u w:val="single"/>
          </w:rPr>
          <w:t>https://doi.org/10.1016/j.brainresprot.2004.09.001</w:t>
        </w:r>
      </w:hyperlink>
    </w:p>
    <w:p w14:paraId="514371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Newby, R. F., &amp; Dunn, W. (2008). Sense and sensibility: Relating behavior control issues with self-regulation of sensory input. In </w:t>
      </w:r>
      <w:r w:rsidRPr="001768F9">
        <w:rPr>
          <w:rFonts w:ascii="Times New Roman" w:eastAsia="Times New Roman" w:hAnsi="Times New Roman" w:cs="Times New Roman"/>
          <w:i/>
          <w:iCs/>
          <w:sz w:val="24"/>
          <w:szCs w:val="24"/>
        </w:rPr>
        <w:t>Pediatric neuropsychology case studies: From the exceptional to the commonplace.</w:t>
      </w:r>
      <w:r w:rsidRPr="001768F9">
        <w:rPr>
          <w:rFonts w:ascii="Times New Roman" w:eastAsia="Times New Roman" w:hAnsi="Times New Roman" w:cs="Times New Roman"/>
          <w:sz w:val="24"/>
          <w:szCs w:val="24"/>
        </w:rPr>
        <w:t xml:space="preserve"> (pp. 295–306). Springer Science + Business Media. </w:t>
      </w:r>
      <w:hyperlink r:id="rId4160" w:history="1">
        <w:r w:rsidRPr="001768F9">
          <w:rPr>
            <w:rFonts w:ascii="Times New Roman" w:eastAsia="Times New Roman" w:hAnsi="Times New Roman" w:cs="Times New Roman"/>
            <w:color w:val="0000FF"/>
            <w:sz w:val="24"/>
            <w:szCs w:val="24"/>
            <w:u w:val="single"/>
          </w:rPr>
          <w:t>https://doi.org/10.1007/978-0-387-78965-1_28</w:t>
        </w:r>
      </w:hyperlink>
    </w:p>
    <w:p w14:paraId="2369FC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Newby, R. F., &amp; Jaradeh, S. S. (2008). A mystery of perplexing symptoms: Neuropsychological assessment in a case of dysautonomia. In </w:t>
      </w:r>
      <w:r w:rsidRPr="001768F9">
        <w:rPr>
          <w:rFonts w:ascii="Times New Roman" w:eastAsia="Times New Roman" w:hAnsi="Times New Roman" w:cs="Times New Roman"/>
          <w:i/>
          <w:iCs/>
          <w:sz w:val="24"/>
          <w:szCs w:val="24"/>
        </w:rPr>
        <w:t>Pediatric neuropsychology case studies: From the exceptional to the commonplace.</w:t>
      </w:r>
      <w:r w:rsidRPr="001768F9">
        <w:rPr>
          <w:rFonts w:ascii="Times New Roman" w:eastAsia="Times New Roman" w:hAnsi="Times New Roman" w:cs="Times New Roman"/>
          <w:sz w:val="24"/>
          <w:szCs w:val="24"/>
        </w:rPr>
        <w:t xml:space="preserve"> (pp. 343–350). Springer Science + Business Media. </w:t>
      </w:r>
      <w:hyperlink r:id="rId4161" w:history="1">
        <w:r w:rsidRPr="001768F9">
          <w:rPr>
            <w:rFonts w:ascii="Times New Roman" w:eastAsia="Times New Roman" w:hAnsi="Times New Roman" w:cs="Times New Roman"/>
            <w:color w:val="0000FF"/>
            <w:sz w:val="24"/>
            <w:szCs w:val="24"/>
            <w:u w:val="single"/>
          </w:rPr>
          <w:t>https://doi.org/10.1007/978-0-387-78965-1_32</w:t>
        </w:r>
      </w:hyperlink>
    </w:p>
    <w:p w14:paraId="34145F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 R. M. K., &amp; Cheung, M. S. L. (2006). Social skills training in Hong Kong Chinese patients with chronic schizophrenia. </w:t>
      </w:r>
      <w:r w:rsidRPr="001768F9">
        <w:rPr>
          <w:rFonts w:ascii="Times New Roman" w:eastAsia="Times New Roman" w:hAnsi="Times New Roman" w:cs="Times New Roman"/>
          <w:i/>
          <w:iCs/>
          <w:sz w:val="24"/>
          <w:szCs w:val="24"/>
        </w:rPr>
        <w:t>Hong Kong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(1), 14–20.</w:t>
      </w:r>
    </w:p>
    <w:p w14:paraId="0C9504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 S. S. W., Lak, D. C. C., Lee, S. C. K., &amp; Ng, P. P. K. (2015). Concurrent validation of a neurocognitive assessment protocol for clients with mental illness in job matching as shop sales in supported employment. </w:t>
      </w:r>
      <w:r w:rsidRPr="001768F9">
        <w:rPr>
          <w:rFonts w:ascii="Times New Roman" w:eastAsia="Times New Roman" w:hAnsi="Times New Roman" w:cs="Times New Roman"/>
          <w:i/>
          <w:iCs/>
          <w:sz w:val="24"/>
          <w:szCs w:val="24"/>
        </w:rPr>
        <w:t>East Asian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(1), 21–28.</w:t>
      </w:r>
    </w:p>
    <w:p w14:paraId="4BE39F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Ngampramuan, S., Tungtong, P., Mukda, S., Jariyavilas, A., &amp; Sakulisariyaporn, C. (2018). Evaluation of autonomic nervous system, saliva cortisol levels, and cognitive function in major depressive disorder patients. </w:t>
      </w:r>
      <w:r w:rsidRPr="001768F9">
        <w:rPr>
          <w:rFonts w:ascii="Times New Roman" w:eastAsia="Times New Roman" w:hAnsi="Times New Roman" w:cs="Times New Roman"/>
          <w:i/>
          <w:iCs/>
          <w:sz w:val="24"/>
          <w:szCs w:val="24"/>
        </w:rPr>
        <w:t>Depression Research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2018</w:t>
      </w:r>
      <w:r w:rsidRPr="001768F9">
        <w:rPr>
          <w:rFonts w:ascii="Times New Roman" w:eastAsia="Times New Roman" w:hAnsi="Times New Roman" w:cs="Times New Roman"/>
          <w:sz w:val="24"/>
          <w:szCs w:val="24"/>
        </w:rPr>
        <w:t xml:space="preserve">. </w:t>
      </w:r>
      <w:hyperlink r:id="rId4162" w:history="1">
        <w:r w:rsidRPr="001768F9">
          <w:rPr>
            <w:rFonts w:ascii="Times New Roman" w:eastAsia="Times New Roman" w:hAnsi="Times New Roman" w:cs="Times New Roman"/>
            <w:color w:val="0000FF"/>
            <w:sz w:val="24"/>
            <w:szCs w:val="24"/>
            <w:u w:val="single"/>
          </w:rPr>
          <w:t>https://doi.org/10.1155/2018/7343592</w:t>
        </w:r>
      </w:hyperlink>
    </w:p>
    <w:p w14:paraId="7657A2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Ngo, D., Le, M.-T., &amp; Le, P. D. (2011). Neuropsychology of Vietnamese Americans. </w:t>
      </w:r>
      <w:r w:rsidRPr="001768F9">
        <w:rPr>
          <w:rFonts w:ascii="Times New Roman" w:eastAsia="Times New Roman" w:hAnsi="Times New Roman" w:cs="Times New Roman"/>
          <w:i/>
          <w:iCs/>
          <w:sz w:val="24"/>
          <w:szCs w:val="24"/>
        </w:rPr>
        <w:t>The Neuropsychology of Asian Americans.</w:t>
      </w:r>
      <w:r w:rsidRPr="001768F9">
        <w:rPr>
          <w:rFonts w:ascii="Times New Roman" w:eastAsia="Times New Roman" w:hAnsi="Times New Roman" w:cs="Times New Roman"/>
          <w:sz w:val="24"/>
          <w:szCs w:val="24"/>
        </w:rPr>
        <w:t>, 181–200.</w:t>
      </w:r>
    </w:p>
    <w:p w14:paraId="1B0BCB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Ngoma, M., Vansteelandt, K., Delespaul, P., Krabbendam, L., Ma Miezi, S. M., &amp; Peuskens, J. (2010). Cognitive deficits in nonaffective functional psychoses: A study in the Democratic Republic of Congo.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180</w:t>
      </w:r>
      <w:r w:rsidRPr="001768F9">
        <w:rPr>
          <w:rFonts w:ascii="Times New Roman" w:eastAsia="Times New Roman" w:hAnsi="Times New Roman" w:cs="Times New Roman"/>
          <w:sz w:val="24"/>
          <w:szCs w:val="24"/>
        </w:rPr>
        <w:t xml:space="preserve">(2–3), 86–92. </w:t>
      </w:r>
      <w:hyperlink r:id="rId4163" w:history="1">
        <w:r w:rsidRPr="001768F9">
          <w:rPr>
            <w:rFonts w:ascii="Times New Roman" w:eastAsia="Times New Roman" w:hAnsi="Times New Roman" w:cs="Times New Roman"/>
            <w:color w:val="0000FF"/>
            <w:sz w:val="24"/>
            <w:szCs w:val="24"/>
            <w:u w:val="single"/>
          </w:rPr>
          <w:t>https://doi.org/10.1016/j.psychres.2009.10.007</w:t>
        </w:r>
      </w:hyperlink>
    </w:p>
    <w:p w14:paraId="2E8D1A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A. D., Pelavin, P. E., Shenton, M. E., Chilakamarri, P., McCarley, R. W., Nestor, P. G., &amp; Levitt, J. J. (2011). Olfactory sulcal depth and olfactory bulb volume in patients with schizophrenia: An MRI study.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(4), 252–261. </w:t>
      </w:r>
      <w:hyperlink r:id="rId4164" w:history="1">
        <w:r w:rsidRPr="001768F9">
          <w:rPr>
            <w:rFonts w:ascii="Times New Roman" w:eastAsia="Times New Roman" w:hAnsi="Times New Roman" w:cs="Times New Roman"/>
            <w:color w:val="0000FF"/>
            <w:sz w:val="24"/>
            <w:szCs w:val="24"/>
            <w:u w:val="single"/>
          </w:rPr>
          <w:t>https://doi.org/10.1007/s11682-011-9129-0</w:t>
        </w:r>
      </w:hyperlink>
    </w:p>
    <w:p w14:paraId="762FE3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C. M., Koenigs, M., Yamada, T. H., Teo, S. H., Cavanaugh, J. E., Tranel, D., &amp; Denburg, N. L. (2011). Trustworthiness and negative affect predict economic decision making. </w:t>
      </w:r>
      <w:r w:rsidRPr="001768F9">
        <w:rPr>
          <w:rFonts w:ascii="Times New Roman" w:eastAsia="Times New Roman" w:hAnsi="Times New Roman" w:cs="Times New Roman"/>
          <w:i/>
          <w:iCs/>
          <w:sz w:val="24"/>
          <w:szCs w:val="24"/>
        </w:rPr>
        <w:t>Journal of 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(6), 748–759. </w:t>
      </w:r>
      <w:hyperlink r:id="rId4165" w:history="1">
        <w:r w:rsidRPr="001768F9">
          <w:rPr>
            <w:rFonts w:ascii="Times New Roman" w:eastAsia="Times New Roman" w:hAnsi="Times New Roman" w:cs="Times New Roman"/>
            <w:color w:val="0000FF"/>
            <w:sz w:val="24"/>
            <w:szCs w:val="24"/>
            <w:u w:val="single"/>
          </w:rPr>
          <w:t>https://doi.org/10.1080/20445911.2011.575773</w:t>
        </w:r>
      </w:hyperlink>
    </w:p>
    <w:p w14:paraId="263EBB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C. M., Yamada, T. H., Beglinger, L. J., Cavanaugh, J. E., Denburg, N. L., &amp; Schultz, S. K. (2013). Cognitive features 10 or more years after successful breast cancer survival: Comparisons across types of cancer interventions. </w:t>
      </w:r>
      <w:r w:rsidRPr="001768F9">
        <w:rPr>
          <w:rFonts w:ascii="Times New Roman" w:eastAsia="Times New Roman" w:hAnsi="Times New Roman" w:cs="Times New Roman"/>
          <w:i/>
          <w:iCs/>
          <w:sz w:val="24"/>
          <w:szCs w:val="24"/>
        </w:rPr>
        <w:t>Psycho-Oncology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862–868. </w:t>
      </w:r>
      <w:hyperlink r:id="rId4166" w:history="1">
        <w:r w:rsidRPr="001768F9">
          <w:rPr>
            <w:rFonts w:ascii="Times New Roman" w:eastAsia="Times New Roman" w:hAnsi="Times New Roman" w:cs="Times New Roman"/>
            <w:color w:val="0000FF"/>
            <w:sz w:val="24"/>
            <w:szCs w:val="24"/>
            <w:u w:val="single"/>
          </w:rPr>
          <w:t>https://doi.org/10.1002/pon.3086</w:t>
        </w:r>
      </w:hyperlink>
    </w:p>
    <w:p w14:paraId="4FA301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Nguyen, C. T., Green, D., &amp; Barr, W. B. (2015). Evaluation of the MMPI-2-RF for detecting over-reported symptoms in a civil forensic and disability setting.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255–271. </w:t>
      </w:r>
      <w:hyperlink r:id="rId4167" w:history="1">
        <w:r w:rsidRPr="001768F9">
          <w:rPr>
            <w:rFonts w:ascii="Times New Roman" w:eastAsia="Times New Roman" w:hAnsi="Times New Roman" w:cs="Times New Roman"/>
            <w:color w:val="0000FF"/>
            <w:sz w:val="24"/>
            <w:szCs w:val="24"/>
            <w:u w:val="single"/>
          </w:rPr>
          <w:t>https://doi.org/10.1080/13854046.2015.1033020</w:t>
        </w:r>
      </w:hyperlink>
    </w:p>
    <w:p w14:paraId="3B8E0C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 P., Ma, X., Lin, Y., Lao, G., Hao, X., Guan, L., Li, X., Jiang, Z., Liu, Y., Ye, B., Liu, X., Wang, Y., Zhao, L., Cao, L., &amp; Li, T. (2015). Methionine sulfoxide reductase A (MsrA) associated with bipolar I disorder and executive functions in a Han Chinese population.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184</w:t>
      </w:r>
      <w:r w:rsidRPr="001768F9">
        <w:rPr>
          <w:rFonts w:ascii="Times New Roman" w:eastAsia="Times New Roman" w:hAnsi="Times New Roman" w:cs="Times New Roman"/>
          <w:sz w:val="24"/>
          <w:szCs w:val="24"/>
        </w:rPr>
        <w:t xml:space="preserve">, 235–238. </w:t>
      </w:r>
      <w:hyperlink r:id="rId4168" w:history="1">
        <w:r w:rsidRPr="001768F9">
          <w:rPr>
            <w:rFonts w:ascii="Times New Roman" w:eastAsia="Times New Roman" w:hAnsi="Times New Roman" w:cs="Times New Roman"/>
            <w:color w:val="0000FF"/>
            <w:sz w:val="24"/>
            <w:szCs w:val="24"/>
            <w:u w:val="single"/>
          </w:rPr>
          <w:t>https://doi.org/10.1016/j.jad.2015.06.004</w:t>
        </w:r>
      </w:hyperlink>
    </w:p>
    <w:p w14:paraId="53896D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Niarchou, M., Zammit, S., van Goozen, S. H. M., Thapar, A., Tierling, H. M., Owen, M. J., &amp; van den Bree, M. B. M. (2014). Psychopathology and cognition in children with 22q11.2 deletion syndrome.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204</w:t>
      </w:r>
      <w:r w:rsidRPr="001768F9">
        <w:rPr>
          <w:rFonts w:ascii="Times New Roman" w:eastAsia="Times New Roman" w:hAnsi="Times New Roman" w:cs="Times New Roman"/>
          <w:sz w:val="24"/>
          <w:szCs w:val="24"/>
        </w:rPr>
        <w:t xml:space="preserve">(1), 46–54. </w:t>
      </w:r>
      <w:hyperlink r:id="rId4169" w:history="1">
        <w:r w:rsidRPr="001768F9">
          <w:rPr>
            <w:rFonts w:ascii="Times New Roman" w:eastAsia="Times New Roman" w:hAnsi="Times New Roman" w:cs="Times New Roman"/>
            <w:color w:val="0000FF"/>
            <w:sz w:val="24"/>
            <w:szCs w:val="24"/>
            <w:u w:val="single"/>
          </w:rPr>
          <w:t>https://doi.org/10.1192/bjp.bp.113.132324</w:t>
        </w:r>
      </w:hyperlink>
    </w:p>
    <w:p w14:paraId="5A44CA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Nichelli, P., Appollonio, I., Clark, K., &amp; Grafman, J. (1994). Word frequency monitoring in Parkinson disease: An analysis of accuracy and precision. </w:t>
      </w:r>
      <w:r w:rsidRPr="001768F9">
        <w:rPr>
          <w:rFonts w:ascii="Times New Roman" w:eastAsia="Times New Roman" w:hAnsi="Times New Roman" w:cs="Times New Roman"/>
          <w:i/>
          <w:iCs/>
          <w:sz w:val="24"/>
          <w:szCs w:val="24"/>
        </w:rPr>
        <w:t>Neuropsychiatry, Neuropsychology, &amp;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(4), 289–294.</w:t>
      </w:r>
    </w:p>
    <w:p w14:paraId="1C072F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Nicholson, K. G., Baum, S., Kilgour, A., Koh, C. K., Munhall, K. G., &amp; Cuddy, L. L. (2003). Impaired processing of prosodic and musical patterns after right hemisphere damage.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(3), 382–389. </w:t>
      </w:r>
      <w:hyperlink r:id="rId4170" w:history="1">
        <w:r w:rsidRPr="001768F9">
          <w:rPr>
            <w:rFonts w:ascii="Times New Roman" w:eastAsia="Times New Roman" w:hAnsi="Times New Roman" w:cs="Times New Roman"/>
            <w:color w:val="0000FF"/>
            <w:sz w:val="24"/>
            <w:szCs w:val="24"/>
            <w:u w:val="single"/>
          </w:rPr>
          <w:t>https://doi.org/10.1016/S0278-2626(03)00182-9</w:t>
        </w:r>
      </w:hyperlink>
    </w:p>
    <w:p w14:paraId="5AB654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Nicodemus, K. K., Luna, A., Vakkalanka, R., Goldberg, T., Egan, M., Straub, R. E., &amp; Weinberger, D. R. (2006). Further evidence for association between ErbB4 and schizophrenia and influence on cognitive intermediate phenotypes in healthy controls. </w:t>
      </w:r>
      <w:r w:rsidRPr="001768F9">
        <w:rPr>
          <w:rFonts w:ascii="Times New Roman" w:eastAsia="Times New Roman" w:hAnsi="Times New Roman" w:cs="Times New Roman"/>
          <w:i/>
          <w:iCs/>
          <w:sz w:val="24"/>
          <w:szCs w:val="24"/>
        </w:rPr>
        <w:t>Molecular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(12), 1062–1065. </w:t>
      </w:r>
      <w:hyperlink r:id="rId4171" w:history="1">
        <w:r w:rsidRPr="001768F9">
          <w:rPr>
            <w:rFonts w:ascii="Times New Roman" w:eastAsia="Times New Roman" w:hAnsi="Times New Roman" w:cs="Times New Roman"/>
            <w:color w:val="0000FF"/>
            <w:sz w:val="24"/>
            <w:szCs w:val="24"/>
            <w:u w:val="single"/>
          </w:rPr>
          <w:t>https://doi.org/10.1038/sj.mp.4001878</w:t>
        </w:r>
      </w:hyperlink>
    </w:p>
    <w:p w14:paraId="1FC968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Nicolas, G., Pottier, C., Charbonnier, C., Guyant-Maréchal, L., Le Ber, I., Pariente, J., Labauge, P., Ayrignac, X., Defebvre, L., Maltête, D., Martinaud, O., Lefaucheur, R., Guillin, O., Wallon, D., Chaumette, B., Rondepierre, P., Derache, N., Fromager, G., Schaeffer, S., … Hannequin, D. (2013). Phenotypic spectrum of probable and genetically-confirmed idiopathic basal ganglia calcification.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136</w:t>
      </w:r>
      <w:r w:rsidRPr="001768F9">
        <w:rPr>
          <w:rFonts w:ascii="Times New Roman" w:eastAsia="Times New Roman" w:hAnsi="Times New Roman" w:cs="Times New Roman"/>
          <w:sz w:val="24"/>
          <w:szCs w:val="24"/>
        </w:rPr>
        <w:t xml:space="preserve">(11), 3395–3407. </w:t>
      </w:r>
      <w:hyperlink r:id="rId4172" w:history="1">
        <w:r w:rsidRPr="001768F9">
          <w:rPr>
            <w:rFonts w:ascii="Times New Roman" w:eastAsia="Times New Roman" w:hAnsi="Times New Roman" w:cs="Times New Roman"/>
            <w:color w:val="0000FF"/>
            <w:sz w:val="24"/>
            <w:szCs w:val="24"/>
            <w:u w:val="single"/>
          </w:rPr>
          <w:t>https://doi.org/10.1093/brain/awt255</w:t>
        </w:r>
      </w:hyperlink>
    </w:p>
    <w:p w14:paraId="0CAC32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Nicole, S., &amp; Del Miglio, C. (1997). Abstraction skilfulness in monozygotic and dizygotic twin pairs. </w:t>
      </w:r>
      <w:r w:rsidRPr="001768F9">
        <w:rPr>
          <w:rFonts w:ascii="Times New Roman" w:eastAsia="Times New Roman" w:hAnsi="Times New Roman" w:cs="Times New Roman"/>
          <w:i/>
          <w:iCs/>
          <w:sz w:val="24"/>
          <w:szCs w:val="24"/>
        </w:rPr>
        <w:t>Acta Geneticae Medicae et Gemellologiae: Twin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(1), 57–67.</w:t>
      </w:r>
    </w:p>
    <w:p w14:paraId="450E86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Nicolò, G., Dimaggio, G., Popolo, R., Carcione, A., Procacci, M., Hamm, J., Buck, K. D., Pompili, E., Buccione, I., Lagrotteria, B., &amp; Lysaker, P. H. (2012). Associations of metacognition with symptoms, insight, and neurocognition in clinically stable outpatients with schizophrenia.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200</w:t>
      </w:r>
      <w:r w:rsidRPr="001768F9">
        <w:rPr>
          <w:rFonts w:ascii="Times New Roman" w:eastAsia="Times New Roman" w:hAnsi="Times New Roman" w:cs="Times New Roman"/>
          <w:sz w:val="24"/>
          <w:szCs w:val="24"/>
        </w:rPr>
        <w:t xml:space="preserve">(7), 644–647. </w:t>
      </w:r>
      <w:hyperlink r:id="rId4173" w:history="1">
        <w:r w:rsidRPr="001768F9">
          <w:rPr>
            <w:rFonts w:ascii="Times New Roman" w:eastAsia="Times New Roman" w:hAnsi="Times New Roman" w:cs="Times New Roman"/>
            <w:color w:val="0000FF"/>
            <w:sz w:val="24"/>
            <w:szCs w:val="24"/>
            <w:u w:val="single"/>
          </w:rPr>
          <w:t>https://doi.org/10.1097/NMD.0b013e31825bfb10</w:t>
        </w:r>
      </w:hyperlink>
    </w:p>
    <w:p w14:paraId="593F2A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Niederstrasser, N. G., Meulders, A., Meulders, M., Struyf, D., &amp; Vlaeyen, J. W. (2017). Executive functions deficits impair extinction of generalization of fear of movement‐related pain. </w:t>
      </w:r>
      <w:r w:rsidRPr="001768F9">
        <w:rPr>
          <w:rFonts w:ascii="Times New Roman" w:eastAsia="Times New Roman" w:hAnsi="Times New Roman" w:cs="Times New Roman"/>
          <w:i/>
          <w:iCs/>
          <w:sz w:val="24"/>
          <w:szCs w:val="24"/>
        </w:rPr>
        <w:t>European Journal of Pain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886–899. </w:t>
      </w:r>
      <w:hyperlink r:id="rId4174" w:history="1">
        <w:r w:rsidRPr="001768F9">
          <w:rPr>
            <w:rFonts w:ascii="Times New Roman" w:eastAsia="Times New Roman" w:hAnsi="Times New Roman" w:cs="Times New Roman"/>
            <w:color w:val="0000FF"/>
            <w:sz w:val="24"/>
            <w:szCs w:val="24"/>
            <w:u w:val="single"/>
          </w:rPr>
          <w:t>https://doi.org/10.1002/ejp.991</w:t>
        </w:r>
      </w:hyperlink>
    </w:p>
    <w:p w14:paraId="675986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Nielsen, R. E., Haugaard, C., Jensen, S. O. W., Munk-Jørgensen, P., &amp; Christensen, T. Ø. (2013). Prediction of patient contacts by cognition in schizophrenia. </w:t>
      </w:r>
      <w:r w:rsidRPr="001768F9">
        <w:rPr>
          <w:rFonts w:ascii="Times New Roman" w:eastAsia="Times New Roman" w:hAnsi="Times New Roman" w:cs="Times New Roman"/>
          <w:i/>
          <w:iCs/>
          <w:sz w:val="24"/>
          <w:szCs w:val="24"/>
        </w:rPr>
        <w:t>Australian and New Zealand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(7), 637–645. </w:t>
      </w:r>
      <w:hyperlink r:id="rId4175" w:history="1">
        <w:r w:rsidRPr="001768F9">
          <w:rPr>
            <w:rFonts w:ascii="Times New Roman" w:eastAsia="Times New Roman" w:hAnsi="Times New Roman" w:cs="Times New Roman"/>
            <w:color w:val="0000FF"/>
            <w:sz w:val="24"/>
            <w:szCs w:val="24"/>
            <w:u w:val="single"/>
          </w:rPr>
          <w:t>https://doi.org/10.1177/0004867413484093</w:t>
        </w:r>
      </w:hyperlink>
    </w:p>
    <w:p w14:paraId="708B18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Nielsen, T. R., Bruhn, P., Nielsen, J. E., &amp; Hjermind, L. E. (2010). Behavioral variant of frontotemporal dementia mimicking Huntington’s disease. </w:t>
      </w:r>
      <w:r w:rsidRPr="001768F9">
        <w:rPr>
          <w:rFonts w:ascii="Times New Roman" w:eastAsia="Times New Roman" w:hAnsi="Times New Roman" w:cs="Times New Roman"/>
          <w:i/>
          <w:iCs/>
          <w:sz w:val="24"/>
          <w:szCs w:val="24"/>
        </w:rPr>
        <w:t>International Psychogeriatrics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674–677. </w:t>
      </w:r>
      <w:hyperlink r:id="rId4176" w:history="1">
        <w:r w:rsidRPr="001768F9">
          <w:rPr>
            <w:rFonts w:ascii="Times New Roman" w:eastAsia="Times New Roman" w:hAnsi="Times New Roman" w:cs="Times New Roman"/>
            <w:color w:val="0000FF"/>
            <w:sz w:val="24"/>
            <w:szCs w:val="24"/>
            <w:u w:val="single"/>
          </w:rPr>
          <w:t>https://doi.org/10.1017/S1041610210000098</w:t>
        </w:r>
      </w:hyperlink>
    </w:p>
    <w:p w14:paraId="2349F5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Niemeier, J. P., Marwitz, J. H., Lesher, K., Walker, W. C., &amp; Bushnik, T. (2007). Gender differences in executive functions following traumatic brain injury.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(3), 293–313. </w:t>
      </w:r>
      <w:hyperlink r:id="rId4177" w:history="1">
        <w:r w:rsidRPr="001768F9">
          <w:rPr>
            <w:rFonts w:ascii="Times New Roman" w:eastAsia="Times New Roman" w:hAnsi="Times New Roman" w:cs="Times New Roman"/>
            <w:color w:val="0000FF"/>
            <w:sz w:val="24"/>
            <w:szCs w:val="24"/>
            <w:u w:val="single"/>
          </w:rPr>
          <w:t>https://doi.org/10.1080/09602010600814729</w:t>
        </w:r>
      </w:hyperlink>
    </w:p>
    <w:p w14:paraId="674FAE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Niemeier, J. P., Marwitz, J. H., Walker, W. C., Davis, L. C., Bushnik, T., Ripley, D. L., &amp; Ketchum, J. M. (2013). Are there cognitive and neurobehavioural correlates of hormonal neuroprotection for women after TBI?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363–382. </w:t>
      </w:r>
      <w:hyperlink r:id="rId4178" w:history="1">
        <w:r w:rsidRPr="001768F9">
          <w:rPr>
            <w:rFonts w:ascii="Times New Roman" w:eastAsia="Times New Roman" w:hAnsi="Times New Roman" w:cs="Times New Roman"/>
            <w:color w:val="0000FF"/>
            <w:sz w:val="24"/>
            <w:szCs w:val="24"/>
            <w:u w:val="single"/>
          </w:rPr>
          <w:t>https://doi.org/10.1080/09602011.2012.761944</w:t>
        </w:r>
      </w:hyperlink>
    </w:p>
    <w:p w14:paraId="76F072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Nieto, A., Correia, R., de Nóbrega, E., Montón, F., &amp; Barroso, J. (2013). Cognition in late-onset Friedrich ataxia. </w:t>
      </w:r>
      <w:r w:rsidRPr="001768F9">
        <w:rPr>
          <w:rFonts w:ascii="Times New Roman" w:eastAsia="Times New Roman" w:hAnsi="Times New Roman" w:cs="Times New Roman"/>
          <w:i/>
          <w:iCs/>
          <w:sz w:val="24"/>
          <w:szCs w:val="24"/>
        </w:rPr>
        <w:t>The Cerebellum</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504–512. </w:t>
      </w:r>
      <w:hyperlink r:id="rId4179" w:history="1">
        <w:r w:rsidRPr="001768F9">
          <w:rPr>
            <w:rFonts w:ascii="Times New Roman" w:eastAsia="Times New Roman" w:hAnsi="Times New Roman" w:cs="Times New Roman"/>
            <w:color w:val="0000FF"/>
            <w:sz w:val="24"/>
            <w:szCs w:val="24"/>
            <w:u w:val="single"/>
          </w:rPr>
          <w:t>https://doi.org/10.1007/s12311-013-0457-z</w:t>
        </w:r>
      </w:hyperlink>
    </w:p>
    <w:p w14:paraId="0173641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Nieto, R., Kukuljan, M., &amp; Silva, H. (2013). BDNF and schizophrenia: From neurodevelopment to neuronal plasticity, learning, and memory. </w:t>
      </w:r>
      <w:r w:rsidRPr="001768F9">
        <w:rPr>
          <w:rFonts w:ascii="Times New Roman" w:eastAsia="Times New Roman" w:hAnsi="Times New Roman" w:cs="Times New Roman"/>
          <w:i/>
          <w:iCs/>
          <w:sz w:val="24"/>
          <w:szCs w:val="24"/>
        </w:rPr>
        <w:t>Frontiers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 </w:t>
      </w:r>
      <w:hyperlink r:id="rId4180" w:history="1">
        <w:r w:rsidRPr="001768F9">
          <w:rPr>
            <w:rFonts w:ascii="Times New Roman" w:eastAsia="Times New Roman" w:hAnsi="Times New Roman" w:cs="Times New Roman"/>
            <w:color w:val="0000FF"/>
            <w:sz w:val="24"/>
            <w:szCs w:val="24"/>
            <w:u w:val="single"/>
          </w:rPr>
          <w:t>https://doi.org/10.3389/fpsyt.2013.00045</w:t>
        </w:r>
      </w:hyperlink>
    </w:p>
    <w:p w14:paraId="42D2F4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Nieuwenstein, M. R., Aleman, A., &amp; de Haan, E. H. F. (2001). Relationship between symptom dimensions and neurocognitive functioning in schizophrenia: A meta-analysis of WCST and CPT studies.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(2), 119–125. </w:t>
      </w:r>
      <w:hyperlink r:id="rId4181" w:history="1">
        <w:r w:rsidRPr="001768F9">
          <w:rPr>
            <w:rFonts w:ascii="Times New Roman" w:eastAsia="Times New Roman" w:hAnsi="Times New Roman" w:cs="Times New Roman"/>
            <w:color w:val="0000FF"/>
            <w:sz w:val="24"/>
            <w:szCs w:val="24"/>
            <w:u w:val="single"/>
          </w:rPr>
          <w:t>https://doi.org/10.1016/S0022-3956(01)00014-0</w:t>
        </w:r>
      </w:hyperlink>
    </w:p>
    <w:p w14:paraId="31E7D9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Glass, J. M., Wong, M. M., Poon, E., Jester, J. M., Fitzgerald, H. E., Puttler, L. I., Adams, K. M., &amp; Zucker, R. A. (2004). Neuropsychological Executive Functioning in Children at Elevated Risk for Alcoholism: Findings in Early Adolescence.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113</w:t>
      </w:r>
      <w:r w:rsidRPr="001768F9">
        <w:rPr>
          <w:rFonts w:ascii="Times New Roman" w:eastAsia="Times New Roman" w:hAnsi="Times New Roman" w:cs="Times New Roman"/>
          <w:sz w:val="24"/>
          <w:szCs w:val="24"/>
        </w:rPr>
        <w:t xml:space="preserve">(2), 302–314. </w:t>
      </w:r>
      <w:hyperlink r:id="rId4182" w:history="1">
        <w:r w:rsidRPr="001768F9">
          <w:rPr>
            <w:rFonts w:ascii="Times New Roman" w:eastAsia="Times New Roman" w:hAnsi="Times New Roman" w:cs="Times New Roman"/>
            <w:color w:val="0000FF"/>
            <w:sz w:val="24"/>
            <w:szCs w:val="24"/>
            <w:u w:val="single"/>
          </w:rPr>
          <w:t>https://doi.org/10.1037/0021-843X.113.2.302</w:t>
        </w:r>
      </w:hyperlink>
    </w:p>
    <w:p w14:paraId="267DC0D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Jester, J. M., Stavro, G. M., Ip, K. I., Puttler, L. I., &amp; Zucker, R. A. (2017). Specificity of executive functioning and processing speed problems in common psychopathology.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448–466. </w:t>
      </w:r>
      <w:hyperlink r:id="rId4183" w:history="1">
        <w:r w:rsidRPr="001768F9">
          <w:rPr>
            <w:rFonts w:ascii="Times New Roman" w:eastAsia="Times New Roman" w:hAnsi="Times New Roman" w:cs="Times New Roman"/>
            <w:color w:val="0000FF"/>
            <w:sz w:val="24"/>
            <w:szCs w:val="24"/>
            <w:u w:val="single"/>
          </w:rPr>
          <w:t>https://doi.org/10.1037/neu0000343</w:t>
        </w:r>
      </w:hyperlink>
    </w:p>
    <w:p w14:paraId="415C46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Stavro, G., Ettenhofer, M., Hambrick, D. Z., Miller, T., &amp; Henderson, J. M. (2005). Executive functions and adhd in adults: Evidence for selective effects on ADHD symptom domains.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114</w:t>
      </w:r>
      <w:r w:rsidRPr="001768F9">
        <w:rPr>
          <w:rFonts w:ascii="Times New Roman" w:eastAsia="Times New Roman" w:hAnsi="Times New Roman" w:cs="Times New Roman"/>
          <w:sz w:val="24"/>
          <w:szCs w:val="24"/>
        </w:rPr>
        <w:t xml:space="preserve">(4), 706–717. </w:t>
      </w:r>
      <w:hyperlink r:id="rId4184" w:history="1">
        <w:r w:rsidRPr="001768F9">
          <w:rPr>
            <w:rFonts w:ascii="Times New Roman" w:eastAsia="Times New Roman" w:hAnsi="Times New Roman" w:cs="Times New Roman"/>
            <w:color w:val="0000FF"/>
            <w:sz w:val="24"/>
            <w:szCs w:val="24"/>
            <w:u w:val="single"/>
          </w:rPr>
          <w:t>https://doi.org/10.1037/0021-843X.114.3.706</w:t>
        </w:r>
      </w:hyperlink>
    </w:p>
    <w:p w14:paraId="0C1638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Nigg, J. T., Wong, M. M., Martel, M. M., Jester, J. M., Puttler, L. I., Glass, J. M., Adams, K. M., Fitzgerald, H. E., &amp; Zucker, R. A. (2006). Poor response inhibition as a predictor of problem drinking and illicit drug use in adolescents at risk for alcoholism and other substance use disorders.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(4), 468–475. </w:t>
      </w:r>
      <w:hyperlink r:id="rId4185" w:history="1">
        <w:r w:rsidRPr="001768F9">
          <w:rPr>
            <w:rFonts w:ascii="Times New Roman" w:eastAsia="Times New Roman" w:hAnsi="Times New Roman" w:cs="Times New Roman"/>
            <w:color w:val="0000FF"/>
            <w:sz w:val="24"/>
            <w:szCs w:val="24"/>
            <w:u w:val="single"/>
          </w:rPr>
          <w:t>https://doi.org/10.1097/01.chi.0000199028.76452.a9</w:t>
        </w:r>
      </w:hyperlink>
    </w:p>
    <w:p w14:paraId="4B8F53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Niitsu, T., Ishima, T., Yoshida, T., Hashimoto, T., Matsuzawa, D., Shirayama, Y., Nakazato, M., Shimizu, E., Hashimoto, K., &amp; Iyo, M. (2014). A positive correlation between serum levels of mature brain-derived neurotrophic factor and negative symptoms in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215</w:t>
      </w:r>
      <w:r w:rsidRPr="001768F9">
        <w:rPr>
          <w:rFonts w:ascii="Times New Roman" w:eastAsia="Times New Roman" w:hAnsi="Times New Roman" w:cs="Times New Roman"/>
          <w:sz w:val="24"/>
          <w:szCs w:val="24"/>
        </w:rPr>
        <w:t xml:space="preserve">(2), 268–273. </w:t>
      </w:r>
      <w:hyperlink r:id="rId4186" w:history="1">
        <w:r w:rsidRPr="001768F9">
          <w:rPr>
            <w:rFonts w:ascii="Times New Roman" w:eastAsia="Times New Roman" w:hAnsi="Times New Roman" w:cs="Times New Roman"/>
            <w:color w:val="0000FF"/>
            <w:sz w:val="24"/>
            <w:szCs w:val="24"/>
            <w:u w:val="single"/>
          </w:rPr>
          <w:t>https://doi.org/10.1016/j.psychres.2013.12.009</w:t>
        </w:r>
      </w:hyperlink>
    </w:p>
    <w:p w14:paraId="547C21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Niitsu, T., Shirayama, Y., Matsuzawa, D., Hasegawa, T., Kanahara, N., Hashimoto, T., Shiraishi, T., Shiina, A., Fukami, G., Fujisaki, M., Watanabe, H., Nakazato, M., Asano, M., Kimura, S., Hashimoto, K., &amp; Iyo, M. (2011). Associations of serum brain-derived neurotrophic factor with cognitive impairments and negative symptoms in schizophrenia.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(8), 1836–1840. </w:t>
      </w:r>
      <w:hyperlink r:id="rId4187" w:history="1">
        <w:r w:rsidRPr="001768F9">
          <w:rPr>
            <w:rFonts w:ascii="Times New Roman" w:eastAsia="Times New Roman" w:hAnsi="Times New Roman" w:cs="Times New Roman"/>
            <w:color w:val="0000FF"/>
            <w:sz w:val="24"/>
            <w:szCs w:val="24"/>
            <w:u w:val="single"/>
          </w:rPr>
          <w:t>https://doi.org/10.1016/j.pnpbp.2011.09.004</w:t>
        </w:r>
      </w:hyperlink>
    </w:p>
    <w:p w14:paraId="39237A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Nijdam-Jones, A., Rivera, D., Rosenfeld, B., &amp; Arango-Lasprilla, J. C. (2019). The effect of literacy and culture on cognitive effort test performance: An examination of the Test of Memory Malingering in Colombia.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(10), 1015–1023. </w:t>
      </w:r>
      <w:hyperlink r:id="rId4188" w:history="1">
        <w:r w:rsidRPr="001768F9">
          <w:rPr>
            <w:rFonts w:ascii="Times New Roman" w:eastAsia="Times New Roman" w:hAnsi="Times New Roman" w:cs="Times New Roman"/>
            <w:color w:val="0000FF"/>
            <w:sz w:val="24"/>
            <w:szCs w:val="24"/>
            <w:u w:val="single"/>
          </w:rPr>
          <w:t>https://doi.org/10.1080/13803395.2019.1644294</w:t>
        </w:r>
      </w:hyperlink>
    </w:p>
    <w:p w14:paraId="212EC0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Nikolakaros, G., Ilonen, T., Kurki, T., Paju, J., Papageorgiou, S. G., &amp; Vataja, R. (2016). Non-alcoholic Korsakoff syndrome in psychiatric patients with a history of undiagnosed Wernicke’s encephalopathy.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370</w:t>
      </w:r>
      <w:r w:rsidRPr="001768F9">
        <w:rPr>
          <w:rFonts w:ascii="Times New Roman" w:eastAsia="Times New Roman" w:hAnsi="Times New Roman" w:cs="Times New Roman"/>
          <w:sz w:val="24"/>
          <w:szCs w:val="24"/>
        </w:rPr>
        <w:t xml:space="preserve">, 296–302. </w:t>
      </w:r>
      <w:hyperlink r:id="rId4189" w:history="1">
        <w:r w:rsidRPr="001768F9">
          <w:rPr>
            <w:rFonts w:ascii="Times New Roman" w:eastAsia="Times New Roman" w:hAnsi="Times New Roman" w:cs="Times New Roman"/>
            <w:color w:val="0000FF"/>
            <w:sz w:val="24"/>
            <w:szCs w:val="24"/>
            <w:u w:val="single"/>
          </w:rPr>
          <w:t>https://doi.org/10.1016/j.jns.2016.09.025</w:t>
        </w:r>
      </w:hyperlink>
    </w:p>
    <w:p w14:paraId="198C19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Nikolakaros, G., Kurki, T., Myllymäki, A., &amp; Ilonen, T. (2019). A patient with Korsakoff syndrome of psychiatric and alcoholic etiology presenting as DSM-5 mild neurocognitive disorder.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2EC7D4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Nikolašević, Ž., Smederevac, S., Bugarski Ignjatović, V., Kodžopeljić, J., Milovanović, I., Prinz, M., &amp; Budimlija, Z. (2020). Executive functions and intelligence- are there genetic difference? </w:t>
      </w:r>
      <w:r w:rsidRPr="001768F9">
        <w:rPr>
          <w:rFonts w:ascii="Times New Roman" w:eastAsia="Times New Roman" w:hAnsi="Times New Roman" w:cs="Times New Roman"/>
          <w:i/>
          <w:iCs/>
          <w:sz w:val="24"/>
          <w:szCs w:val="24"/>
        </w:rPr>
        <w:t>Intelligence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 </w:t>
      </w:r>
      <w:hyperlink r:id="rId4190" w:history="1">
        <w:r w:rsidRPr="001768F9">
          <w:rPr>
            <w:rFonts w:ascii="Times New Roman" w:eastAsia="Times New Roman" w:hAnsi="Times New Roman" w:cs="Times New Roman"/>
            <w:color w:val="0000FF"/>
            <w:sz w:val="24"/>
            <w:szCs w:val="24"/>
            <w:u w:val="single"/>
          </w:rPr>
          <w:t>https://doi.org/10.1016/j.intell.2020.101480</w:t>
        </w:r>
      </w:hyperlink>
    </w:p>
    <w:p w14:paraId="4328523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Nilsson, B. M., Holm, G., &amp; Ekselius, L. (2016). Karolinska Scales of Personality, cognition and psychotic symptoms in patients with schizophrenia and healthy controls. </w:t>
      </w:r>
      <w:r w:rsidRPr="001768F9">
        <w:rPr>
          <w:rFonts w:ascii="Times New Roman" w:eastAsia="Times New Roman" w:hAnsi="Times New Roman" w:cs="Times New Roman"/>
          <w:i/>
          <w:iCs/>
          <w:sz w:val="24"/>
          <w:szCs w:val="24"/>
        </w:rPr>
        <w:t>Nordic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70</w:t>
      </w:r>
      <w:r w:rsidRPr="001768F9">
        <w:rPr>
          <w:rFonts w:ascii="Times New Roman" w:eastAsia="Times New Roman" w:hAnsi="Times New Roman" w:cs="Times New Roman"/>
          <w:sz w:val="24"/>
          <w:szCs w:val="24"/>
        </w:rPr>
        <w:t xml:space="preserve">(1), 53–61. </w:t>
      </w:r>
      <w:hyperlink r:id="rId4191" w:history="1">
        <w:r w:rsidRPr="001768F9">
          <w:rPr>
            <w:rFonts w:ascii="Times New Roman" w:eastAsia="Times New Roman" w:hAnsi="Times New Roman" w:cs="Times New Roman"/>
            <w:color w:val="0000FF"/>
            <w:sz w:val="24"/>
            <w:szCs w:val="24"/>
            <w:u w:val="single"/>
          </w:rPr>
          <w:t>https://doi.org/10.3109/08039488.2015.1048720</w:t>
        </w:r>
      </w:hyperlink>
    </w:p>
    <w:p w14:paraId="7CE78D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Nilsson, B. M., Holm, G., Hultman, C. M., &amp; Ekselius, L. (2015). Cognition and autonomic function in schizophrenia: Inferior cognitive test performance in electrodermal and niacin skin flush non-responders.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8–13. </w:t>
      </w:r>
      <w:hyperlink r:id="rId4192" w:history="1">
        <w:r w:rsidRPr="001768F9">
          <w:rPr>
            <w:rFonts w:ascii="Times New Roman" w:eastAsia="Times New Roman" w:hAnsi="Times New Roman" w:cs="Times New Roman"/>
            <w:color w:val="0000FF"/>
            <w:sz w:val="24"/>
            <w:szCs w:val="24"/>
            <w:u w:val="single"/>
          </w:rPr>
          <w:t>https://doi.org/10.1016/j.eurpsy.2014.06.004</w:t>
        </w:r>
      </w:hyperlink>
    </w:p>
    <w:p w14:paraId="5A2B7EA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Nio, S., Suzuki, T., Uchida, H., Watanabe, K., &amp; Mimura, M. (2012). Deficit status in bipolar disorder: Investigation on prevalence rate and description of seven cases.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(1–3), 248–252. </w:t>
      </w:r>
      <w:hyperlink r:id="rId4193" w:history="1">
        <w:r w:rsidRPr="001768F9">
          <w:rPr>
            <w:rFonts w:ascii="Times New Roman" w:eastAsia="Times New Roman" w:hAnsi="Times New Roman" w:cs="Times New Roman"/>
            <w:color w:val="0000FF"/>
            <w:sz w:val="24"/>
            <w:szCs w:val="24"/>
            <w:u w:val="single"/>
          </w:rPr>
          <w:t>https://doi.org/10.1016/j.jad.2012.05.037</w:t>
        </w:r>
      </w:hyperlink>
    </w:p>
    <w:p w14:paraId="51A788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Nisbet, H., Siegert, R., Hunt, M., &amp; Fairley, N. (1996). Improving schizophrenic in-patients’ Wisconsin card-sorting performance. </w:t>
      </w:r>
      <w:r w:rsidRPr="001768F9">
        <w:rPr>
          <w:rFonts w:ascii="Times New Roman" w:eastAsia="Times New Roman" w:hAnsi="Times New Roman" w:cs="Times New Roman"/>
          <w:i/>
          <w:iCs/>
          <w:sz w:val="24"/>
          <w:szCs w:val="24"/>
        </w:rPr>
        <w:t>British 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631–633. </w:t>
      </w:r>
      <w:hyperlink r:id="rId4194" w:history="1">
        <w:r w:rsidRPr="001768F9">
          <w:rPr>
            <w:rFonts w:ascii="Times New Roman" w:eastAsia="Times New Roman" w:hAnsi="Times New Roman" w:cs="Times New Roman"/>
            <w:color w:val="0000FF"/>
            <w:sz w:val="24"/>
            <w:szCs w:val="24"/>
            <w:u w:val="single"/>
          </w:rPr>
          <w:t>https://doi.org/10.1111/j.2044-8260.1996.tb01219.x</w:t>
        </w:r>
      </w:hyperlink>
    </w:p>
    <w:p w14:paraId="232655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Nishio, Y., Ishii, K., Kazui, H., Hosokai, Y., &amp; Mori, E. (2007). Frontal-lobe syndrome and psychosis after damage to the brainstem dopaminergic nuclei.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260</w:t>
      </w:r>
      <w:r w:rsidRPr="001768F9">
        <w:rPr>
          <w:rFonts w:ascii="Times New Roman" w:eastAsia="Times New Roman" w:hAnsi="Times New Roman" w:cs="Times New Roman"/>
          <w:sz w:val="24"/>
          <w:szCs w:val="24"/>
        </w:rPr>
        <w:t xml:space="preserve">(1–2), 271–274. </w:t>
      </w:r>
      <w:hyperlink r:id="rId4195" w:history="1">
        <w:r w:rsidRPr="001768F9">
          <w:rPr>
            <w:rFonts w:ascii="Times New Roman" w:eastAsia="Times New Roman" w:hAnsi="Times New Roman" w:cs="Times New Roman"/>
            <w:color w:val="0000FF"/>
            <w:sz w:val="24"/>
            <w:szCs w:val="24"/>
            <w:u w:val="single"/>
          </w:rPr>
          <w:t>https://doi.org/10.1016/j.jns.2007.04.021</w:t>
        </w:r>
      </w:hyperlink>
    </w:p>
    <w:p w14:paraId="109BF5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Niv, Y., Daniel, R., Geana, A., Gershman, S. J., Leong, Y. C., Radulescu, A., &amp; Wilson, R. C. (2015). Reinforcement learning in multidimensional environments relies on attention mechanisms.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(21), 8145–8157. </w:t>
      </w:r>
      <w:hyperlink r:id="rId4196" w:history="1">
        <w:r w:rsidRPr="001768F9">
          <w:rPr>
            <w:rFonts w:ascii="Times New Roman" w:eastAsia="Times New Roman" w:hAnsi="Times New Roman" w:cs="Times New Roman"/>
            <w:color w:val="0000FF"/>
            <w:sz w:val="24"/>
            <w:szCs w:val="24"/>
            <w:u w:val="single"/>
          </w:rPr>
          <w:t>https://doi.org/10.1523/JNEUROSCI.2978-14.2015</w:t>
        </w:r>
      </w:hyperlink>
    </w:p>
    <w:p w14:paraId="4A224F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Njomboro, P. (2012). The neurocognitive phenotype of apathy following acquired brain damage. </w:t>
      </w:r>
      <w:r w:rsidRPr="001768F9">
        <w:rPr>
          <w:rFonts w:ascii="Times New Roman" w:eastAsia="Times New Roman" w:hAnsi="Times New Roman" w:cs="Times New Roman"/>
          <w:i/>
          <w:iCs/>
          <w:sz w:val="24"/>
          <w:szCs w:val="24"/>
        </w:rPr>
        <w:t>South African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(3), 369–380.</w:t>
      </w:r>
    </w:p>
    <w:p w14:paraId="21482EF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Nkam, I., Bocca, M.-L., Denise, P., Paoletti, X., Dollfus, S., Levillain, D., &amp; Thibaut, F. (2010). Impaired smooth pursuit in schizophrenia results from prediction impairment only.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67</w:t>
      </w:r>
      <w:r w:rsidRPr="001768F9">
        <w:rPr>
          <w:rFonts w:ascii="Times New Roman" w:eastAsia="Times New Roman" w:hAnsi="Times New Roman" w:cs="Times New Roman"/>
          <w:sz w:val="24"/>
          <w:szCs w:val="24"/>
        </w:rPr>
        <w:t xml:space="preserve">(10), 992–997. </w:t>
      </w:r>
      <w:hyperlink r:id="rId4197" w:history="1">
        <w:r w:rsidRPr="001768F9">
          <w:rPr>
            <w:rFonts w:ascii="Times New Roman" w:eastAsia="Times New Roman" w:hAnsi="Times New Roman" w:cs="Times New Roman"/>
            <w:color w:val="0000FF"/>
            <w:sz w:val="24"/>
            <w:szCs w:val="24"/>
            <w:u w:val="single"/>
          </w:rPr>
          <w:t>https://doi.org/10.1016/j.biopsych.2009.11.029</w:t>
        </w:r>
      </w:hyperlink>
    </w:p>
    <w:p w14:paraId="693F4B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Nkam, I., Ramoz, N., Breton, F., Mallet, J., Gorwood, P., &amp; Dubertret, C. (2017). Impact of DRD2/ANKK1 and COMT polymorphisms on attention and cognitive functions in schizophrenia.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(1).</w:t>
      </w:r>
    </w:p>
    <w:p w14:paraId="3C3B3C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Nocentini, U., Romano, S., &amp; Caltagirone, C. (2012). Cognitive dysfunctions in multiple sclerosis. In </w:t>
      </w:r>
      <w:r w:rsidRPr="001768F9">
        <w:rPr>
          <w:rFonts w:ascii="Times New Roman" w:eastAsia="Times New Roman" w:hAnsi="Times New Roman" w:cs="Times New Roman"/>
          <w:i/>
          <w:iCs/>
          <w:sz w:val="24"/>
          <w:szCs w:val="24"/>
        </w:rPr>
        <w:t>Neuropsychiatric dysfunction in multiple sclerosis.</w:t>
      </w:r>
      <w:r w:rsidRPr="001768F9">
        <w:rPr>
          <w:rFonts w:ascii="Times New Roman" w:eastAsia="Times New Roman" w:hAnsi="Times New Roman" w:cs="Times New Roman"/>
          <w:sz w:val="24"/>
          <w:szCs w:val="24"/>
        </w:rPr>
        <w:t xml:space="preserve"> (pp. 133–153). Springer-Verlag Publishing.</w:t>
      </w:r>
    </w:p>
    <w:p w14:paraId="478BDA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Noda, S., Shirotsuki, K., &amp; Nakao, M. (2019). The effectiveness of intervention with board games: A systematic review. </w:t>
      </w:r>
      <w:r w:rsidRPr="001768F9">
        <w:rPr>
          <w:rFonts w:ascii="Times New Roman" w:eastAsia="Times New Roman" w:hAnsi="Times New Roman" w:cs="Times New Roman"/>
          <w:i/>
          <w:iCs/>
          <w:sz w:val="24"/>
          <w:szCs w:val="24"/>
        </w:rPr>
        <w:t>BioPsychoSocial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 </w:t>
      </w:r>
      <w:hyperlink r:id="rId4198" w:history="1">
        <w:r w:rsidRPr="001768F9">
          <w:rPr>
            <w:rFonts w:ascii="Times New Roman" w:eastAsia="Times New Roman" w:hAnsi="Times New Roman" w:cs="Times New Roman"/>
            <w:color w:val="0000FF"/>
            <w:sz w:val="24"/>
            <w:szCs w:val="24"/>
            <w:u w:val="single"/>
          </w:rPr>
          <w:t>https://doi.org/10.1186/s13030-019-0164-1</w:t>
        </w:r>
      </w:hyperlink>
    </w:p>
    <w:p w14:paraId="5B42AE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Noda, Y., Nakamura, M., Saeki, T., Inoue, M., Iwanari, H., &amp; Kasai, K. (2013). Potentiation of quantitative electroencephalograms following prefrontal repetitive transcranial magnetic stimulation in patients with major depression. </w:t>
      </w:r>
      <w:r w:rsidRPr="001768F9">
        <w:rPr>
          <w:rFonts w:ascii="Times New Roman" w:eastAsia="Times New Roman" w:hAnsi="Times New Roman" w:cs="Times New Roman"/>
          <w:i/>
          <w:iCs/>
          <w:sz w:val="24"/>
          <w:szCs w:val="24"/>
        </w:rPr>
        <w:t>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(1–2), 70–77. </w:t>
      </w:r>
      <w:hyperlink r:id="rId4199" w:history="1">
        <w:r w:rsidRPr="001768F9">
          <w:rPr>
            <w:rFonts w:ascii="Times New Roman" w:eastAsia="Times New Roman" w:hAnsi="Times New Roman" w:cs="Times New Roman"/>
            <w:color w:val="0000FF"/>
            <w:sz w:val="24"/>
            <w:szCs w:val="24"/>
            <w:u w:val="single"/>
          </w:rPr>
          <w:t>https://doi.org/10.1016/j.neures.2013.06.002</w:t>
        </w:r>
      </w:hyperlink>
    </w:p>
    <w:p w14:paraId="283A33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Noda, Y., Zomorrodi, R., Daskalakis, Z. J., Blumberger, D. M., &amp; Nakamura, M. (2018). Enhanced theta-gamma coupling associated with hippocampal volume increase following high-frequency left prefrontal repetitive transcranial magnetic stimulation in patients with major depression. </w:t>
      </w:r>
      <w:r w:rsidRPr="001768F9">
        <w:rPr>
          <w:rFonts w:ascii="Times New Roman" w:eastAsia="Times New Roman" w:hAnsi="Times New Roman" w:cs="Times New Roman"/>
          <w:i/>
          <w:iCs/>
          <w:sz w:val="24"/>
          <w:szCs w:val="24"/>
        </w:rPr>
        <w:t>International Journal of 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133</w:t>
      </w:r>
      <w:r w:rsidRPr="001768F9">
        <w:rPr>
          <w:rFonts w:ascii="Times New Roman" w:eastAsia="Times New Roman" w:hAnsi="Times New Roman" w:cs="Times New Roman"/>
          <w:sz w:val="24"/>
          <w:szCs w:val="24"/>
        </w:rPr>
        <w:t xml:space="preserve">, 169–174. </w:t>
      </w:r>
      <w:hyperlink r:id="rId4200" w:history="1">
        <w:r w:rsidRPr="001768F9">
          <w:rPr>
            <w:rFonts w:ascii="Times New Roman" w:eastAsia="Times New Roman" w:hAnsi="Times New Roman" w:cs="Times New Roman"/>
            <w:color w:val="0000FF"/>
            <w:sz w:val="24"/>
            <w:szCs w:val="24"/>
            <w:u w:val="single"/>
          </w:rPr>
          <w:t>https://doi.org/10.1016/j.ijpsycho.2018.07.004</w:t>
        </w:r>
      </w:hyperlink>
    </w:p>
    <w:p w14:paraId="5BC4E4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Noferesti, A., Parhoon, H., &amp; Momeni, K. (2014). Cognitive inflixibility and problem solving styles among ruminative and nonruminative students. [Cognitive inflixibility and problem solving styles among ruminative and nonruminative students.]. </w:t>
      </w:r>
      <w:r w:rsidRPr="001768F9">
        <w:rPr>
          <w:rFonts w:ascii="Times New Roman" w:eastAsia="Times New Roman" w:hAnsi="Times New Roman" w:cs="Times New Roman"/>
          <w:i/>
          <w:iCs/>
          <w:sz w:val="24"/>
          <w:szCs w:val="24"/>
        </w:rPr>
        <w:t>Advances in 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(3[63]), 31–41.</w:t>
      </w:r>
    </w:p>
    <w:p w14:paraId="2B854C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Noggle, C. A., &amp; Dean, R. S. (2013). </w:t>
      </w:r>
      <w:r w:rsidRPr="001768F9">
        <w:rPr>
          <w:rFonts w:ascii="Times New Roman" w:eastAsia="Times New Roman" w:hAnsi="Times New Roman" w:cs="Times New Roman"/>
          <w:i/>
          <w:iCs/>
          <w:sz w:val="24"/>
          <w:szCs w:val="24"/>
        </w:rPr>
        <w:t>Neuropsychology and cancer: An emerging focus.</w:t>
      </w:r>
      <w:r w:rsidRPr="001768F9">
        <w:rPr>
          <w:rFonts w:ascii="Times New Roman" w:eastAsia="Times New Roman" w:hAnsi="Times New Roman" w:cs="Times New Roman"/>
          <w:sz w:val="24"/>
          <w:szCs w:val="24"/>
        </w:rPr>
        <w:t xml:space="preserve"> (pp. 3–39).</w:t>
      </w:r>
    </w:p>
    <w:p w14:paraId="33D04A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Nolting, T., Lindecke, A., Hartung, H.-P., Koutsilieri, E., Maschke, M., Husstedt, I.-W., Sopper, S., Stüve, O., &amp; Arendt, G. (2012). Cytokine levels in CSF and neuropsychological performance in HIV patients.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(3), 157–161. </w:t>
      </w:r>
      <w:hyperlink r:id="rId4201" w:history="1">
        <w:r w:rsidRPr="001768F9">
          <w:rPr>
            <w:rFonts w:ascii="Times New Roman" w:eastAsia="Times New Roman" w:hAnsi="Times New Roman" w:cs="Times New Roman"/>
            <w:color w:val="0000FF"/>
            <w:sz w:val="24"/>
            <w:szCs w:val="24"/>
            <w:u w:val="single"/>
          </w:rPr>
          <w:t>https://doi.org/10.1007/s13365-012-0091-4</w:t>
        </w:r>
      </w:hyperlink>
    </w:p>
    <w:p w14:paraId="58D0B1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Nolting, T., Lindecke, A., Koutsilieri, E., Maschke, M., Husstedt, I.-W., Sopper, S., Stüve, O., Hartung, H.-P., &amp; Arendt, G. (2009). Measurement of soluble inflammatory mediators in cerebrospinal fluid of human immunodeficiency virus–positive patients at distinct stages of infection by solid-phase protein array. </w:t>
      </w:r>
      <w:r w:rsidRPr="001768F9">
        <w:rPr>
          <w:rFonts w:ascii="Times New Roman" w:eastAsia="Times New Roman" w:hAnsi="Times New Roman" w:cs="Times New Roman"/>
          <w:i/>
          <w:iCs/>
          <w:sz w:val="24"/>
          <w:szCs w:val="24"/>
        </w:rPr>
        <w:t>Journal of Neurovirology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(5–6), 390–400. </w:t>
      </w:r>
      <w:hyperlink r:id="rId4202" w:history="1">
        <w:r w:rsidRPr="001768F9">
          <w:rPr>
            <w:rFonts w:ascii="Times New Roman" w:eastAsia="Times New Roman" w:hAnsi="Times New Roman" w:cs="Times New Roman"/>
            <w:color w:val="0000FF"/>
            <w:sz w:val="24"/>
            <w:szCs w:val="24"/>
            <w:u w:val="single"/>
          </w:rPr>
          <w:t>https://doi.org/10.3109/13550280903350192</w:t>
        </w:r>
      </w:hyperlink>
    </w:p>
    <w:p w14:paraId="592F5D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K. A., Jefferies, E., Corbett, F., &amp; Lambon Ralph, M. A. (2010). Elucidating the nature of deregulated semantic cognition in semantic aphasia: Evidence for the roles of prefrontal and temporo-parietal cortices.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(7), 1597–1613. </w:t>
      </w:r>
      <w:hyperlink r:id="rId4203" w:history="1">
        <w:r w:rsidRPr="001768F9">
          <w:rPr>
            <w:rFonts w:ascii="Times New Roman" w:eastAsia="Times New Roman" w:hAnsi="Times New Roman" w:cs="Times New Roman"/>
            <w:color w:val="0000FF"/>
            <w:sz w:val="24"/>
            <w:szCs w:val="24"/>
            <w:u w:val="single"/>
          </w:rPr>
          <w:t>https://doi.org/10.1162/jocn.2009.21289</w:t>
        </w:r>
      </w:hyperlink>
    </w:p>
    <w:p w14:paraId="091543C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K. A., Jefferies, E., Eshana, S., Garrard, P., &amp; Ralpha, M. A. L. (2013). Demonstrating the qualitative differences between semantic aphasia and semantic dementia: A novel exploration of nonverbal semantic processing.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(1–2), 7–20. </w:t>
      </w:r>
      <w:hyperlink r:id="rId4204" w:history="1">
        <w:r w:rsidRPr="001768F9">
          <w:rPr>
            <w:rFonts w:ascii="Times New Roman" w:eastAsia="Times New Roman" w:hAnsi="Times New Roman" w:cs="Times New Roman"/>
            <w:color w:val="0000FF"/>
            <w:sz w:val="24"/>
            <w:szCs w:val="24"/>
            <w:u w:val="single"/>
          </w:rPr>
          <w:t>https://doi.org/10.1155/2013/941542</w:t>
        </w:r>
      </w:hyperlink>
    </w:p>
    <w:p w14:paraId="0FD64CB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K. A., Pryer, L. R., Jones, R. W., Burns, A. S., &amp; Lambon Ralph, M. A. (2012). A direct comparison of errorless and errorful therapy for object name relearning in Alzheimer’s disease.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215–234. </w:t>
      </w:r>
      <w:hyperlink r:id="rId4205" w:history="1">
        <w:r w:rsidRPr="001768F9">
          <w:rPr>
            <w:rFonts w:ascii="Times New Roman" w:eastAsia="Times New Roman" w:hAnsi="Times New Roman" w:cs="Times New Roman"/>
            <w:color w:val="0000FF"/>
            <w:sz w:val="24"/>
            <w:szCs w:val="24"/>
            <w:u w:val="single"/>
          </w:rPr>
          <w:t>https://doi.org/10.1080/09602011.2012.655002</w:t>
        </w:r>
      </w:hyperlink>
    </w:p>
    <w:p w14:paraId="2B49C2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Noonan, V. K., Kopec, J. A., Noreau, L., Singer, J., &amp; Dvorak, M. F. (2009). A review of participation instruments based on the International Classification of Functioning, Disability and Health. </w:t>
      </w:r>
      <w:r w:rsidRPr="001768F9">
        <w:rPr>
          <w:rFonts w:ascii="Times New Roman" w:eastAsia="Times New Roman" w:hAnsi="Times New Roman" w:cs="Times New Roman"/>
          <w:i/>
          <w:iCs/>
          <w:sz w:val="24"/>
          <w:szCs w:val="24"/>
        </w:rPr>
        <w:t>Disability and Rehabilitation: An International, Multidisciplinary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(23), 1883–1901. </w:t>
      </w:r>
      <w:hyperlink r:id="rId4206" w:history="1">
        <w:r w:rsidRPr="001768F9">
          <w:rPr>
            <w:rFonts w:ascii="Times New Roman" w:eastAsia="Times New Roman" w:hAnsi="Times New Roman" w:cs="Times New Roman"/>
            <w:color w:val="0000FF"/>
            <w:sz w:val="24"/>
            <w:szCs w:val="24"/>
            <w:u w:val="single"/>
          </w:rPr>
          <w:t>https://doi.org/10.1080/09638280902846947</w:t>
        </w:r>
      </w:hyperlink>
    </w:p>
    <w:p w14:paraId="47A54D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Nooner, K. B., Hooper, S. R., &amp; De Bellis, M. D. (2018). An examination of sex differences on neurocognitive functioning and behavior problems in maltreated youth. </w:t>
      </w:r>
      <w:r w:rsidRPr="001768F9">
        <w:rPr>
          <w:rFonts w:ascii="Times New Roman" w:eastAsia="Times New Roman" w:hAnsi="Times New Roman" w:cs="Times New Roman"/>
          <w:i/>
          <w:iCs/>
          <w:sz w:val="24"/>
          <w:szCs w:val="24"/>
        </w:rPr>
        <w:t>Psychological Trauma: Theory, Research, Practice, and Policy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(4), 435–443. </w:t>
      </w:r>
      <w:hyperlink r:id="rId4207" w:history="1">
        <w:r w:rsidRPr="001768F9">
          <w:rPr>
            <w:rFonts w:ascii="Times New Roman" w:eastAsia="Times New Roman" w:hAnsi="Times New Roman" w:cs="Times New Roman"/>
            <w:color w:val="0000FF"/>
            <w:sz w:val="24"/>
            <w:szCs w:val="24"/>
            <w:u w:val="single"/>
          </w:rPr>
          <w:t>https://doi.org/10.1037/tra0000356</w:t>
        </w:r>
      </w:hyperlink>
    </w:p>
    <w:p w14:paraId="2B8F82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Nordlund, A., Rolstad, S., Göthlin, M., Edman, Å., Hansen, S., &amp; Wallin, A. (2010). Cognitive profiles of incipient dementia in the Goteborg MCI study.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(5), 403–410. </w:t>
      </w:r>
      <w:hyperlink r:id="rId4208" w:history="1">
        <w:r w:rsidRPr="001768F9">
          <w:rPr>
            <w:rFonts w:ascii="Times New Roman" w:eastAsia="Times New Roman" w:hAnsi="Times New Roman" w:cs="Times New Roman"/>
            <w:color w:val="0000FF"/>
            <w:sz w:val="24"/>
            <w:szCs w:val="24"/>
            <w:u w:val="single"/>
          </w:rPr>
          <w:t>https://doi.org/10.1159/000321352</w:t>
        </w:r>
      </w:hyperlink>
    </w:p>
    <w:p w14:paraId="3B89AF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Nordlund, A., Rolstad, S., Hellström, P., Sjögren, M., Hansen, S., &amp; Wallin, A. (2005). The Goteborg MCI study: Mild cognitive impairment is a heterogeneous condition.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(11), 1485–1490. </w:t>
      </w:r>
      <w:hyperlink r:id="rId4209" w:history="1">
        <w:r w:rsidRPr="001768F9">
          <w:rPr>
            <w:rFonts w:ascii="Times New Roman" w:eastAsia="Times New Roman" w:hAnsi="Times New Roman" w:cs="Times New Roman"/>
            <w:color w:val="0000FF"/>
            <w:sz w:val="24"/>
            <w:szCs w:val="24"/>
            <w:u w:val="single"/>
          </w:rPr>
          <w:t>https://doi.org/10.1136/jnnp.2004.050385</w:t>
        </w:r>
      </w:hyperlink>
    </w:p>
    <w:p w14:paraId="2C2A79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Norman, M. A., Moore, D. J., Taylor, M., Franklin Jr., D., Cysique, L., Ake, C., Lazarretto, D., Vaida, F., &amp; Heaton, R. K. (2011). Demographically corrected norms for African Americans and Caucasians on the Hopkins Verbal Learning Test–Revised, Brief Visuospatial Memory Test–Revised, Stroop Color and Word Test, and Wisconsin Card Sorting Test 64-card version.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(7), 793–804. </w:t>
      </w:r>
      <w:hyperlink r:id="rId4210" w:history="1">
        <w:r w:rsidRPr="001768F9">
          <w:rPr>
            <w:rFonts w:ascii="Times New Roman" w:eastAsia="Times New Roman" w:hAnsi="Times New Roman" w:cs="Times New Roman"/>
            <w:color w:val="0000FF"/>
            <w:sz w:val="24"/>
            <w:szCs w:val="24"/>
            <w:u w:val="single"/>
          </w:rPr>
          <w:t>https://doi.org/10.1080/13803395.2011.559157</w:t>
        </w:r>
      </w:hyperlink>
    </w:p>
    <w:p w14:paraId="74880E3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Novo-Olivas, C. A. (2014). Diagnosing and treating closed head injury: Exposing and defeating the mild huge monster. In </w:t>
      </w:r>
      <w:r w:rsidRPr="001768F9">
        <w:rPr>
          <w:rFonts w:ascii="Times New Roman" w:eastAsia="Times New Roman" w:hAnsi="Times New Roman" w:cs="Times New Roman"/>
          <w:i/>
          <w:iCs/>
          <w:sz w:val="24"/>
          <w:szCs w:val="24"/>
        </w:rPr>
        <w:t>Clinical neurotherapy: Application of techniques for treatment.</w:t>
      </w:r>
      <w:r w:rsidRPr="001768F9">
        <w:rPr>
          <w:rFonts w:ascii="Times New Roman" w:eastAsia="Times New Roman" w:hAnsi="Times New Roman" w:cs="Times New Roman"/>
          <w:sz w:val="24"/>
          <w:szCs w:val="24"/>
        </w:rPr>
        <w:t xml:space="preserve"> (pp. 191–211). Elsevier Academic Press. </w:t>
      </w:r>
      <w:hyperlink r:id="rId4211" w:history="1">
        <w:r w:rsidRPr="001768F9">
          <w:rPr>
            <w:rFonts w:ascii="Times New Roman" w:eastAsia="Times New Roman" w:hAnsi="Times New Roman" w:cs="Times New Roman"/>
            <w:color w:val="0000FF"/>
            <w:sz w:val="24"/>
            <w:szCs w:val="24"/>
            <w:u w:val="single"/>
          </w:rPr>
          <w:t>https://doi.org/10.1016/B978-0-12-396988-0.00008-8</w:t>
        </w:r>
      </w:hyperlink>
    </w:p>
    <w:p w14:paraId="22973F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Nowaczyk, N. (2018). The clinical image of memory, attention, and executive functions in a school-aged child with autoimmune epilepsy: A case study.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(1), 83–97. </w:t>
      </w:r>
      <w:hyperlink r:id="rId4212" w:history="1">
        <w:r w:rsidRPr="001768F9">
          <w:rPr>
            <w:rFonts w:ascii="Times New Roman" w:eastAsia="Times New Roman" w:hAnsi="Times New Roman" w:cs="Times New Roman"/>
            <w:color w:val="0000FF"/>
            <w:sz w:val="24"/>
            <w:szCs w:val="24"/>
            <w:u w:val="single"/>
          </w:rPr>
          <w:t>https://doi.org/10.5604/01.3001.0011.7089</w:t>
        </w:r>
      </w:hyperlink>
    </w:p>
    <w:p w14:paraId="1F72EA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Nowakowska, K., Jabłkowska, K., &amp; Borkowska, A. (2007). Zaburzenia funkcji poznawczych u pacjentów uzależnionych od alkoholu. [Cognitive dysfunctions in patients with alcohol dependence.]. </w:t>
      </w:r>
      <w:r w:rsidRPr="001768F9">
        <w:rPr>
          <w:rFonts w:ascii="Times New Roman" w:eastAsia="Times New Roman" w:hAnsi="Times New Roman" w:cs="Times New Roman"/>
          <w:i/>
          <w:iCs/>
          <w:sz w:val="24"/>
          <w:szCs w:val="24"/>
        </w:rPr>
        <w:t>Psychiatria Polska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(5), 693–702.</w:t>
      </w:r>
    </w:p>
    <w:p w14:paraId="169826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Nowakowska, K., Jabłkowska, K., &amp; Borkowska, A. (2008). Cognitive dysfunctions in patients with alcohol dependence. </w:t>
      </w:r>
      <w:r w:rsidRPr="001768F9">
        <w:rPr>
          <w:rFonts w:ascii="Times New Roman" w:eastAsia="Times New Roman" w:hAnsi="Times New Roman" w:cs="Times New Roman"/>
          <w:i/>
          <w:iCs/>
          <w:sz w:val="24"/>
          <w:szCs w:val="24"/>
        </w:rPr>
        <w:t>Archives of Psychiatry and Psychotherapy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(3), 29–35.</w:t>
      </w:r>
    </w:p>
    <w:p w14:paraId="661819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Nuechterlein, K. H., Ventura, J., Subotnik, K. L., Hayata, J. N., Medalia, A., &amp; Bell, M. D. (2014). Developing a cognitive training strategy for first-episode schizophrenia: Integrating bottom-up and top-down approaches. </w:t>
      </w:r>
      <w:r w:rsidRPr="001768F9">
        <w:rPr>
          <w:rFonts w:ascii="Times New Roman" w:eastAsia="Times New Roman" w:hAnsi="Times New Roman" w:cs="Times New Roman"/>
          <w:i/>
          <w:iCs/>
          <w:sz w:val="24"/>
          <w:szCs w:val="24"/>
        </w:rPr>
        <w:t>American Journal of Psychiatric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(3), 225–253. </w:t>
      </w:r>
      <w:hyperlink r:id="rId4213" w:history="1">
        <w:r w:rsidRPr="001768F9">
          <w:rPr>
            <w:rFonts w:ascii="Times New Roman" w:eastAsia="Times New Roman" w:hAnsi="Times New Roman" w:cs="Times New Roman"/>
            <w:color w:val="0000FF"/>
            <w:sz w:val="24"/>
            <w:szCs w:val="24"/>
            <w:u w:val="single"/>
          </w:rPr>
          <w:t>https://doi.org/10.1080/15487768.2014.935674</w:t>
        </w:r>
      </w:hyperlink>
    </w:p>
    <w:p w14:paraId="459ABB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Nuri Karakurt, M., Karabekiroğlu, M. Z. K., Yüce, M., Baykal, S., &amp; Şenses, A. (2013). Bipolar bozukluk tanısı olan ve bipolar bozukluk için yüksek riskli ergenlerin nöropsikolojik özellikleri. [Neuropsychological profiles of adolescents with bipolar disorder and adolescents with a high risk of bipolar disorder.]. </w:t>
      </w:r>
      <w:r w:rsidRPr="001768F9">
        <w:rPr>
          <w:rFonts w:ascii="Times New Roman" w:eastAsia="Times New Roman" w:hAnsi="Times New Roman" w:cs="Times New Roman"/>
          <w:i/>
          <w:iCs/>
          <w:sz w:val="24"/>
          <w:szCs w:val="24"/>
        </w:rPr>
        <w:t>Türk Psikiyatri Dergisi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(4), 221–230.</w:t>
      </w:r>
    </w:p>
    <w:p w14:paraId="5C0D863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Nybo, T., &amp; Koskiniemi, M. (1999). Cognitive indicators of vocational outcome after severe traumatic brain injury (TBI) in childhood.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(10), 759–766. </w:t>
      </w:r>
      <w:hyperlink r:id="rId4214" w:history="1">
        <w:r w:rsidRPr="001768F9">
          <w:rPr>
            <w:rFonts w:ascii="Times New Roman" w:eastAsia="Times New Roman" w:hAnsi="Times New Roman" w:cs="Times New Roman"/>
            <w:color w:val="0000FF"/>
            <w:sz w:val="24"/>
            <w:szCs w:val="24"/>
            <w:u w:val="single"/>
          </w:rPr>
          <w:t>https://doi.org/10.1080/026990599121151</w:t>
        </w:r>
      </w:hyperlink>
    </w:p>
    <w:p w14:paraId="0DE21C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Nyborn, J. A., Himali, J. J., Beiser, A. S., Devine, S. A., Du, Y., Kaplan, E., O’Connor, M. K., Rinn, W. E., Denison, H. S., Seshadri, S., Wolf, P. A., &amp; Au, R. (2013). The Framingham heart study clock drawing performance: Normative data from the offspring cohort. </w:t>
      </w:r>
      <w:r w:rsidRPr="001768F9">
        <w:rPr>
          <w:rFonts w:ascii="Times New Roman" w:eastAsia="Times New Roman" w:hAnsi="Times New Roman" w:cs="Times New Roman"/>
          <w:i/>
          <w:iCs/>
          <w:sz w:val="24"/>
          <w:szCs w:val="24"/>
        </w:rPr>
        <w:t>Experimental Aging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(1), 80–108. </w:t>
      </w:r>
      <w:hyperlink r:id="rId4215" w:history="1">
        <w:r w:rsidRPr="001768F9">
          <w:rPr>
            <w:rFonts w:ascii="Times New Roman" w:eastAsia="Times New Roman" w:hAnsi="Times New Roman" w:cs="Times New Roman"/>
            <w:color w:val="0000FF"/>
            <w:sz w:val="24"/>
            <w:szCs w:val="24"/>
            <w:u w:val="single"/>
          </w:rPr>
          <w:t>https://doi.org/10.1080/0361073X.2013.741996</w:t>
        </w:r>
      </w:hyperlink>
    </w:p>
    <w:p w14:paraId="365D1F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Nyffeler, T., Gutbrod, K., Pflugshaupt, T., von Wartburg, R., Hess, C. W., &amp; Müri, R. M. (2005). Allocentric and egocentric spatial impairments in a case of topographical disorientation.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(2), 133–143. </w:t>
      </w:r>
      <w:hyperlink r:id="rId4216" w:history="1">
        <w:r w:rsidRPr="001768F9">
          <w:rPr>
            <w:rFonts w:ascii="Times New Roman" w:eastAsia="Times New Roman" w:hAnsi="Times New Roman" w:cs="Times New Roman"/>
            <w:color w:val="0000FF"/>
            <w:sz w:val="24"/>
            <w:szCs w:val="24"/>
            <w:u w:val="single"/>
          </w:rPr>
          <w:t>https://doi.org/10.1016/S0010-9452(08)70888-8</w:t>
        </w:r>
      </w:hyperlink>
    </w:p>
    <w:p w14:paraId="2D9D06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Nyman, H., Andréewitch, S., Lundbäck, E., &amp; Mindus, P. (2001). Executive and cognitive functions in patients with extreme obsessive-compulsive disorder treated by capsulotomy.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(2), 91–98. </w:t>
      </w:r>
      <w:hyperlink r:id="rId4217" w:history="1">
        <w:r w:rsidRPr="001768F9">
          <w:rPr>
            <w:rFonts w:ascii="Times New Roman" w:eastAsia="Times New Roman" w:hAnsi="Times New Roman" w:cs="Times New Roman"/>
            <w:color w:val="0000FF"/>
            <w:sz w:val="24"/>
            <w:szCs w:val="24"/>
            <w:u w:val="single"/>
          </w:rPr>
          <w:t>https://doi.org/10.1207/S15324826AN0802_3</w:t>
        </w:r>
      </w:hyperlink>
    </w:p>
    <w:p w14:paraId="7C0B8D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Obayashi, S., Suhara, T., Nagai, Y., Maeda, J., Hihara, S., &amp; Iriki, A. (2002). Macaque prefrontal activity associated with extensive tool use. </w:t>
      </w:r>
      <w:r w:rsidRPr="001768F9">
        <w:rPr>
          <w:rFonts w:ascii="Times New Roman" w:eastAsia="Times New Roman" w:hAnsi="Times New Roman" w:cs="Times New Roman"/>
          <w:i/>
          <w:iCs/>
          <w:sz w:val="24"/>
          <w:szCs w:val="24"/>
        </w:rPr>
        <w:t>NeuroReport: For Rapid Communication of 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(17), 2349–2354. </w:t>
      </w:r>
      <w:hyperlink r:id="rId4218" w:history="1">
        <w:r w:rsidRPr="001768F9">
          <w:rPr>
            <w:rFonts w:ascii="Times New Roman" w:eastAsia="Times New Roman" w:hAnsi="Times New Roman" w:cs="Times New Roman"/>
            <w:color w:val="0000FF"/>
            <w:sz w:val="24"/>
            <w:szCs w:val="24"/>
            <w:u w:val="single"/>
          </w:rPr>
          <w:t>https://doi.org/10.1097/00001756-200212030-00036</w:t>
        </w:r>
      </w:hyperlink>
    </w:p>
    <w:p w14:paraId="623DCA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Oberg, E., &amp; Lukomski, J. (2011). Executive functioning and the impact of a hearing loss: Performance-based measures and the Behavior Rating Inventory of Executive Function (BRIEF).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(6), 521–545. </w:t>
      </w:r>
      <w:hyperlink r:id="rId4219" w:history="1">
        <w:r w:rsidRPr="001768F9">
          <w:rPr>
            <w:rFonts w:ascii="Times New Roman" w:eastAsia="Times New Roman" w:hAnsi="Times New Roman" w:cs="Times New Roman"/>
            <w:color w:val="0000FF"/>
            <w:sz w:val="24"/>
            <w:szCs w:val="24"/>
            <w:u w:val="single"/>
          </w:rPr>
          <w:t>https://doi.org/10.1080/09297049.2011.555760</w:t>
        </w:r>
      </w:hyperlink>
    </w:p>
    <w:p w14:paraId="778959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Obiols, J. E., Serrano, F., Barrantes, N., Garcia-Marimón, M., Gras, S., Bosch, E., Caparrós, B., &amp; Carandell, F. (1997). Frontal dysfunction and psychosis proneness in CPT-linked vulnerable adolescents. </w:t>
      </w:r>
      <w:r w:rsidRPr="001768F9">
        <w:rPr>
          <w:rFonts w:ascii="Times New Roman" w:eastAsia="Times New Roman" w:hAnsi="Times New Roman" w:cs="Times New Roman"/>
          <w:i/>
          <w:iCs/>
          <w:sz w:val="24"/>
          <w:szCs w:val="24"/>
        </w:rPr>
        <w:t>Personality and Individual Differences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(4), 677–683. </w:t>
      </w:r>
      <w:hyperlink r:id="rId4220" w:history="1">
        <w:r w:rsidRPr="001768F9">
          <w:rPr>
            <w:rFonts w:ascii="Times New Roman" w:eastAsia="Times New Roman" w:hAnsi="Times New Roman" w:cs="Times New Roman"/>
            <w:color w:val="0000FF"/>
            <w:sz w:val="24"/>
            <w:szCs w:val="24"/>
            <w:u w:val="single"/>
          </w:rPr>
          <w:t>https://doi.org/10.1016/S0191-8869(97)00070-6</w:t>
        </w:r>
      </w:hyperlink>
    </w:p>
    <w:p w14:paraId="6B3A9B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O’Brien, A., Gaudino-Goering, E., Shawaryn, M., Komaroff, E., Moore, N. B., &amp; DeLuca, J. (2007). Relationship of the Multiple Sclerosis Neuropsychological Questionnaire (MSNQ) to functional, emotional, and neuropsychological outcomes.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(8), 933–948. </w:t>
      </w:r>
      <w:hyperlink r:id="rId4221" w:history="1">
        <w:r w:rsidRPr="001768F9">
          <w:rPr>
            <w:rFonts w:ascii="Times New Roman" w:eastAsia="Times New Roman" w:hAnsi="Times New Roman" w:cs="Times New Roman"/>
            <w:color w:val="0000FF"/>
            <w:sz w:val="24"/>
            <w:szCs w:val="24"/>
            <w:u w:val="single"/>
          </w:rPr>
          <w:t>https://doi.org/10.1016/j.acn.2007.07.002</w:t>
        </w:r>
      </w:hyperlink>
    </w:p>
    <w:p w14:paraId="427212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O’Carrol, R. E., Masterton, G., Gooday, R., Cossar, J. A., Couston, M. C., &amp; Hayes, P. C. (1999). Variceal haemorrhage and post-traumatic stress disorder. </w:t>
      </w:r>
      <w:r w:rsidRPr="001768F9">
        <w:rPr>
          <w:rFonts w:ascii="Times New Roman" w:eastAsia="Times New Roman" w:hAnsi="Times New Roman" w:cs="Times New Roman"/>
          <w:i/>
          <w:iCs/>
          <w:sz w:val="24"/>
          <w:szCs w:val="24"/>
        </w:rPr>
        <w:t>British 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(2), 203–208. </w:t>
      </w:r>
      <w:hyperlink r:id="rId4222" w:history="1">
        <w:r w:rsidRPr="001768F9">
          <w:rPr>
            <w:rFonts w:ascii="Times New Roman" w:eastAsia="Times New Roman" w:hAnsi="Times New Roman" w:cs="Times New Roman"/>
            <w:color w:val="0000FF"/>
            <w:sz w:val="24"/>
            <w:szCs w:val="24"/>
            <w:u w:val="single"/>
          </w:rPr>
          <w:t>https://doi.org/10.1348/014466599162755</w:t>
        </w:r>
      </w:hyperlink>
    </w:p>
    <w:p w14:paraId="2D4591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Ochoa Angrino, S., Cruz Panesso, I., &amp; Iván Valencia, Á. (2006). Las situaciones de resolución de problemas como estrategia de trabajo con niños diagnosticados con TDAH. [The situations of troubleshooting as strategy of work with children diagnosed with ADHD.]. </w:t>
      </w:r>
      <w:r w:rsidRPr="001768F9">
        <w:rPr>
          <w:rFonts w:ascii="Times New Roman" w:eastAsia="Times New Roman" w:hAnsi="Times New Roman" w:cs="Times New Roman"/>
          <w:i/>
          <w:iCs/>
          <w:sz w:val="24"/>
          <w:szCs w:val="24"/>
        </w:rPr>
        <w:t>Pensamiento Psicológico</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w:t>
      </w:r>
      <w:r w:rsidRPr="001768F9">
        <w:rPr>
          <w:rFonts w:ascii="Times New Roman" w:eastAsia="Times New Roman" w:hAnsi="Times New Roman" w:cs="Times New Roman"/>
          <w:sz w:val="24"/>
          <w:szCs w:val="24"/>
        </w:rPr>
        <w:t>(7), 73–88.</w:t>
      </w:r>
    </w:p>
    <w:p w14:paraId="60F0DD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K. P., Lavoie, M. E., Stip, E., Borgeat, F., &amp; Laverdure, A. (2008). Cognitive-behaviour therapy and skilled motor performance in adults with chronic tic disorder.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45–64. </w:t>
      </w:r>
      <w:hyperlink r:id="rId4223" w:history="1">
        <w:r w:rsidRPr="001768F9">
          <w:rPr>
            <w:rFonts w:ascii="Times New Roman" w:eastAsia="Times New Roman" w:hAnsi="Times New Roman" w:cs="Times New Roman"/>
            <w:color w:val="0000FF"/>
            <w:sz w:val="24"/>
            <w:szCs w:val="24"/>
            <w:u w:val="single"/>
          </w:rPr>
          <w:t>https://doi.org/10.1080/09602010701390835</w:t>
        </w:r>
      </w:hyperlink>
    </w:p>
    <w:p w14:paraId="1379D52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M., Byrne, P., Ruiz, F. J., &amp; McHugh, L. (2019). Generalized pliance in relation to contingency insensitivity and mindfulness. </w:t>
      </w:r>
      <w:r w:rsidRPr="001768F9">
        <w:rPr>
          <w:rFonts w:ascii="Times New Roman" w:eastAsia="Times New Roman" w:hAnsi="Times New Roman" w:cs="Times New Roman"/>
          <w:i/>
          <w:iCs/>
          <w:sz w:val="24"/>
          <w:szCs w:val="24"/>
        </w:rPr>
        <w:t>Mindfulness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(5), 833–840. </w:t>
      </w:r>
      <w:hyperlink r:id="rId4224" w:history="1">
        <w:r w:rsidRPr="001768F9">
          <w:rPr>
            <w:rFonts w:ascii="Times New Roman" w:eastAsia="Times New Roman" w:hAnsi="Times New Roman" w:cs="Times New Roman"/>
            <w:color w:val="0000FF"/>
            <w:sz w:val="24"/>
            <w:szCs w:val="24"/>
            <w:u w:val="single"/>
          </w:rPr>
          <w:t>https://doi.org/10.1007/s12671-018-1046-5</w:t>
        </w:r>
      </w:hyperlink>
    </w:p>
    <w:p w14:paraId="43F3A8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M. G., &amp; Lafleche, G. M. C. (2004). Retrograde amnesia in patients with rupture and surgical repair of anterior communicating artery aneurysms.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221–229. </w:t>
      </w:r>
      <w:hyperlink r:id="rId4225" w:history="1">
        <w:r w:rsidRPr="001768F9">
          <w:rPr>
            <w:rFonts w:ascii="Times New Roman" w:eastAsia="Times New Roman" w:hAnsi="Times New Roman" w:cs="Times New Roman"/>
            <w:color w:val="0000FF"/>
            <w:sz w:val="24"/>
            <w:szCs w:val="24"/>
            <w:u w:val="single"/>
          </w:rPr>
          <w:t>https://doi.org/10.1017/S1355617704102087</w:t>
        </w:r>
      </w:hyperlink>
    </w:p>
    <w:p w14:paraId="758DE3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O’Connor, M.-F., &amp; Arizmendi, B. J. (2014). Neuropsychological correlates of complicated grief in older spousally bereaved adults. </w:t>
      </w:r>
      <w:r w:rsidRPr="001768F9">
        <w:rPr>
          <w:rFonts w:ascii="Times New Roman" w:eastAsia="Times New Roman" w:hAnsi="Times New Roman" w:cs="Times New Roman"/>
          <w:i/>
          <w:iCs/>
          <w:sz w:val="24"/>
          <w:szCs w:val="24"/>
        </w:rPr>
        <w:t>The Journals of Gerontology: Series B: Psychological Sciences and Social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(1), 12–18. </w:t>
      </w:r>
      <w:hyperlink r:id="rId4226" w:history="1">
        <w:r w:rsidRPr="001768F9">
          <w:rPr>
            <w:rFonts w:ascii="Times New Roman" w:eastAsia="Times New Roman" w:hAnsi="Times New Roman" w:cs="Times New Roman"/>
            <w:color w:val="0000FF"/>
            <w:sz w:val="24"/>
            <w:szCs w:val="24"/>
            <w:u w:val="single"/>
          </w:rPr>
          <w:t>https://doi.org/10.1093/geronb/gbt025</w:t>
        </w:r>
      </w:hyperlink>
    </w:p>
    <w:p w14:paraId="5F63538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Oddy, M., &amp; Cogan, J. (2004). Coping with severe memory impairment.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481–494. </w:t>
      </w:r>
      <w:hyperlink r:id="rId4227" w:history="1">
        <w:r w:rsidRPr="001768F9">
          <w:rPr>
            <w:rFonts w:ascii="Times New Roman" w:eastAsia="Times New Roman" w:hAnsi="Times New Roman" w:cs="Times New Roman"/>
            <w:color w:val="0000FF"/>
            <w:sz w:val="24"/>
            <w:szCs w:val="24"/>
            <w:u w:val="single"/>
          </w:rPr>
          <w:t>https://doi.org/10.1080/09602010343000309</w:t>
        </w:r>
      </w:hyperlink>
    </w:p>
    <w:p w14:paraId="00888E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Odekerken, V. J. J., Boel, J. A., Geurtsen, G. J., Schmand, B. A., Dekker, I. P., de Haan, R. J., Schuurman, P. R., &amp; de Bie, R. M. A. (2015). Neuropsychological outcome after deep brain stimulation for Parkinson disease.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84</w:t>
      </w:r>
      <w:r w:rsidRPr="001768F9">
        <w:rPr>
          <w:rFonts w:ascii="Times New Roman" w:eastAsia="Times New Roman" w:hAnsi="Times New Roman" w:cs="Times New Roman"/>
          <w:sz w:val="24"/>
          <w:szCs w:val="24"/>
        </w:rPr>
        <w:t xml:space="preserve">(13), 1355–1361. </w:t>
      </w:r>
      <w:hyperlink r:id="rId4228" w:history="1">
        <w:r w:rsidRPr="001768F9">
          <w:rPr>
            <w:rFonts w:ascii="Times New Roman" w:eastAsia="Times New Roman" w:hAnsi="Times New Roman" w:cs="Times New Roman"/>
            <w:color w:val="0000FF"/>
            <w:sz w:val="24"/>
            <w:szCs w:val="24"/>
            <w:u w:val="single"/>
          </w:rPr>
          <w:t>https://doi.org/10.1212/WNL.0000000000001419</w:t>
        </w:r>
      </w:hyperlink>
    </w:p>
    <w:p w14:paraId="11DF0F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Odland, A. P., Lammy, A. B., Martin, P. K., Grote, C. L., &amp; Mittenberg, W. (2015). Advanced administration and interpretation of multiple validity tests. </w:t>
      </w:r>
      <w:r w:rsidRPr="001768F9">
        <w:rPr>
          <w:rFonts w:ascii="Times New Roman" w:eastAsia="Times New Roman" w:hAnsi="Times New Roman" w:cs="Times New Roman"/>
          <w:i/>
          <w:iCs/>
          <w:sz w:val="24"/>
          <w:szCs w:val="24"/>
        </w:rPr>
        <w:t>Psychological Injury and Law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46–63. </w:t>
      </w:r>
      <w:hyperlink r:id="rId4229" w:history="1">
        <w:r w:rsidRPr="001768F9">
          <w:rPr>
            <w:rFonts w:ascii="Times New Roman" w:eastAsia="Times New Roman" w:hAnsi="Times New Roman" w:cs="Times New Roman"/>
            <w:color w:val="0000FF"/>
            <w:sz w:val="24"/>
            <w:szCs w:val="24"/>
            <w:u w:val="single"/>
          </w:rPr>
          <w:t>https://doi.org/10.1007/s12207-015-9216-4</w:t>
        </w:r>
      </w:hyperlink>
    </w:p>
    <w:p w14:paraId="3561BA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Odlaug, B. L., Chamberlain, S. R., Kim, S. W., Schreiber, L. R. N., &amp; Grant, J. E. (2011). A neurocognitive comparison of cognitive flexibility and response inhibition in gamblers with varying degrees of clinical severity.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(10), 2111–2119. </w:t>
      </w:r>
      <w:hyperlink r:id="rId4230" w:history="1">
        <w:r w:rsidRPr="001768F9">
          <w:rPr>
            <w:rFonts w:ascii="Times New Roman" w:eastAsia="Times New Roman" w:hAnsi="Times New Roman" w:cs="Times New Roman"/>
            <w:color w:val="0000FF"/>
            <w:sz w:val="24"/>
            <w:szCs w:val="24"/>
            <w:u w:val="single"/>
          </w:rPr>
          <w:t>https://doi.org/10.1017/S0033291711000316</w:t>
        </w:r>
      </w:hyperlink>
    </w:p>
    <w:p w14:paraId="013023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Odlaug, B. L., Chamberlain, S. R., Schreiber, L. R. N., &amp; Grant, J. E. (2013). Where on the obsessive impulsive–compulsive spectrum does hair-pulling disorder belong? </w:t>
      </w:r>
      <w:r w:rsidRPr="001768F9">
        <w:rPr>
          <w:rFonts w:ascii="Times New Roman" w:eastAsia="Times New Roman" w:hAnsi="Times New Roman" w:cs="Times New Roman"/>
          <w:i/>
          <w:iCs/>
          <w:sz w:val="24"/>
          <w:szCs w:val="24"/>
        </w:rPr>
        <w:t>International Journal of Psychiatry in Clinical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(4), 279–285. </w:t>
      </w:r>
      <w:hyperlink r:id="rId4231" w:history="1">
        <w:r w:rsidRPr="001768F9">
          <w:rPr>
            <w:rFonts w:ascii="Times New Roman" w:eastAsia="Times New Roman" w:hAnsi="Times New Roman" w:cs="Times New Roman"/>
            <w:color w:val="0000FF"/>
            <w:sz w:val="24"/>
            <w:szCs w:val="24"/>
            <w:u w:val="single"/>
          </w:rPr>
          <w:t>https://doi.org/10.3109/13651501.2013.828079</w:t>
        </w:r>
      </w:hyperlink>
    </w:p>
    <w:p w14:paraId="2EC2813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O’Donnell, J. P., MacGregor, L. A., Dabrowski, J. J., Oestreicher, J. M., &amp; Romero, J. J. (1994). Construct validity of neuropsychological tests of conceptual and attentional abilities. </w:t>
      </w:r>
      <w:r w:rsidRPr="001768F9">
        <w:rPr>
          <w:rFonts w:ascii="Times New Roman" w:eastAsia="Times New Roman" w:hAnsi="Times New Roman" w:cs="Times New Roman"/>
          <w:i/>
          <w:iCs/>
          <w:sz w:val="24"/>
          <w:szCs w:val="24"/>
        </w:rPr>
        <w:t>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(4), 596–600. </w:t>
      </w:r>
      <w:hyperlink r:id="rId4232" w:history="1">
        <w:r w:rsidRPr="001768F9">
          <w:rPr>
            <w:rFonts w:ascii="Times New Roman" w:eastAsia="Times New Roman" w:hAnsi="Times New Roman" w:cs="Times New Roman"/>
            <w:color w:val="0000FF"/>
            <w:sz w:val="24"/>
            <w:szCs w:val="24"/>
            <w:u w:val="single"/>
          </w:rPr>
          <w:t>https://doi.org/10.1002/1097-4679(199407)50:4&lt;596::AID-JCLP2270500416&gt;3.0.CO;2-S</w:t>
        </w:r>
      </w:hyperlink>
    </w:p>
    <w:p w14:paraId="76E4DF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O’Donnell, L. A., Deldin, P. J., Grogan-Kaylor, A., McInnis, M. G., Weintraub, J., Ryan, K. A., &amp; Himle, J. A. (2017). Depression and executive functioning deficits predict poor occupational functioning in a large longitudinal sample with bipolar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215</w:t>
      </w:r>
      <w:r w:rsidRPr="001768F9">
        <w:rPr>
          <w:rFonts w:ascii="Times New Roman" w:eastAsia="Times New Roman" w:hAnsi="Times New Roman" w:cs="Times New Roman"/>
          <w:sz w:val="24"/>
          <w:szCs w:val="24"/>
        </w:rPr>
        <w:t xml:space="preserve">, 135–142. </w:t>
      </w:r>
      <w:hyperlink r:id="rId4233" w:history="1">
        <w:r w:rsidRPr="001768F9">
          <w:rPr>
            <w:rFonts w:ascii="Times New Roman" w:eastAsia="Times New Roman" w:hAnsi="Times New Roman" w:cs="Times New Roman"/>
            <w:color w:val="0000FF"/>
            <w:sz w:val="24"/>
            <w:szCs w:val="24"/>
            <w:u w:val="single"/>
          </w:rPr>
          <w:t>https://doi.org/10.1016/j.jad.2017.03.015</w:t>
        </w:r>
      </w:hyperlink>
    </w:p>
    <w:p w14:paraId="456784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O’Donnell, L. A., Deldin, P. J., Pester, B., McInnis, M. G., Langenecker, S. A., &amp; Ryan, K. A. (2017). Cognitive flexibility: A trait of bipolar disorder that worsens with length of illness.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(10), 979–987.</w:t>
      </w:r>
    </w:p>
    <w:p w14:paraId="2F40CB3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Ogai, M., lyo, M., Mori, N., &amp; Takei, N. (2005). A right orbitofrontal region and OCD symptoms: A case report.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111</w:t>
      </w:r>
      <w:r w:rsidRPr="001768F9">
        <w:rPr>
          <w:rFonts w:ascii="Times New Roman" w:eastAsia="Times New Roman" w:hAnsi="Times New Roman" w:cs="Times New Roman"/>
          <w:sz w:val="24"/>
          <w:szCs w:val="24"/>
        </w:rPr>
        <w:t xml:space="preserve">(1), 74–77. </w:t>
      </w:r>
      <w:hyperlink r:id="rId4234" w:history="1">
        <w:r w:rsidRPr="001768F9">
          <w:rPr>
            <w:rFonts w:ascii="Times New Roman" w:eastAsia="Times New Roman" w:hAnsi="Times New Roman" w:cs="Times New Roman"/>
            <w:color w:val="0000FF"/>
            <w:sz w:val="24"/>
            <w:szCs w:val="24"/>
            <w:u w:val="single"/>
          </w:rPr>
          <w:t>https://doi.org/10.1111/j.1600-0447.2004.00395.x</w:t>
        </w:r>
      </w:hyperlink>
    </w:p>
    <w:p w14:paraId="63C20D6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Ogawa, T., Tanaka, H., &amp; Hirata, K. (2009). Cognitive deficits in amyotrophic lateral sclerosis evaluated by event-related potentials. </w:t>
      </w:r>
      <w:r w:rsidRPr="001768F9">
        <w:rPr>
          <w:rFonts w:ascii="Times New Roman" w:eastAsia="Times New Roman" w:hAnsi="Times New Roman" w:cs="Times New Roman"/>
          <w:i/>
          <w:iCs/>
          <w:sz w:val="24"/>
          <w:szCs w:val="24"/>
        </w:rPr>
        <w:t>Clinical Neurophysiology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120</w:t>
      </w:r>
      <w:r w:rsidRPr="001768F9">
        <w:rPr>
          <w:rFonts w:ascii="Times New Roman" w:eastAsia="Times New Roman" w:hAnsi="Times New Roman" w:cs="Times New Roman"/>
          <w:sz w:val="24"/>
          <w:szCs w:val="24"/>
        </w:rPr>
        <w:t xml:space="preserve">(4), 659–664. </w:t>
      </w:r>
      <w:hyperlink r:id="rId4235" w:history="1">
        <w:r w:rsidRPr="001768F9">
          <w:rPr>
            <w:rFonts w:ascii="Times New Roman" w:eastAsia="Times New Roman" w:hAnsi="Times New Roman" w:cs="Times New Roman"/>
            <w:color w:val="0000FF"/>
            <w:sz w:val="24"/>
            <w:szCs w:val="24"/>
            <w:u w:val="single"/>
          </w:rPr>
          <w:t>https://doi.org/10.1016/j.clinph.2009.01.013</w:t>
        </w:r>
      </w:hyperlink>
    </w:p>
    <w:p w14:paraId="2688CF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Ogino, T., Ohtsuka, Y., Ido, Y., Mayanagi, Y., Watanabe, E., &amp; Oka, E. (2004). Memory function decline over 18 months after selective amygdalohippocampectomy. </w:t>
      </w:r>
      <w:r w:rsidRPr="001768F9">
        <w:rPr>
          <w:rFonts w:ascii="Times New Roman" w:eastAsia="Times New Roman" w:hAnsi="Times New Roman" w:cs="Times New Roman"/>
          <w:i/>
          <w:iCs/>
          <w:sz w:val="24"/>
          <w:szCs w:val="24"/>
        </w:rPr>
        <w:t>Epileptic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(2), 115–120.</w:t>
      </w:r>
    </w:p>
    <w:p w14:paraId="699CC6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Ogino, T., Watanabe, K., Nakano, K., Kado, Y., Morooka, T., Takeuchi, A., Oka, M., Sanada, S., &amp; Ohtuska, Y. (2009). Predicting executive function task scores with the Rey-Osterrieth Complex Figure. </w:t>
      </w:r>
      <w:r w:rsidRPr="001768F9">
        <w:rPr>
          <w:rFonts w:ascii="Times New Roman" w:eastAsia="Times New Roman" w:hAnsi="Times New Roman" w:cs="Times New Roman"/>
          <w:i/>
          <w:iCs/>
          <w:sz w:val="24"/>
          <w:szCs w:val="24"/>
        </w:rPr>
        <w:t>Brain &amp;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(1), 52–57. </w:t>
      </w:r>
      <w:hyperlink r:id="rId4236" w:history="1">
        <w:r w:rsidRPr="001768F9">
          <w:rPr>
            <w:rFonts w:ascii="Times New Roman" w:eastAsia="Times New Roman" w:hAnsi="Times New Roman" w:cs="Times New Roman"/>
            <w:color w:val="0000FF"/>
            <w:sz w:val="24"/>
            <w:szCs w:val="24"/>
            <w:u w:val="single"/>
          </w:rPr>
          <w:t>https://doi.org/10.1016/j.braindev.2008.07.003</w:t>
        </w:r>
      </w:hyperlink>
    </w:p>
    <w:p w14:paraId="3E7A16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Ogura, K., Fujii, T., Suzuki, K., &amp; Mori, E. (2013). Pure agraphia in Romaji after left inferior frontal gyrus infarction: A case of selective deficit in syllable-to-grapheme conversion in Japanese.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(1), 1–5. </w:t>
      </w:r>
      <w:hyperlink r:id="rId4237" w:history="1">
        <w:r w:rsidRPr="001768F9">
          <w:rPr>
            <w:rFonts w:ascii="Times New Roman" w:eastAsia="Times New Roman" w:hAnsi="Times New Roman" w:cs="Times New Roman"/>
            <w:color w:val="0000FF"/>
            <w:sz w:val="24"/>
            <w:szCs w:val="24"/>
            <w:u w:val="single"/>
          </w:rPr>
          <w:t>https://doi.org/10.1016/j.bandl.2013.06.004</w:t>
        </w:r>
      </w:hyperlink>
    </w:p>
    <w:p w14:paraId="6CB14E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 S.-Y., &amp; Kim, Y.-K. (2011). Adjunctive treatment of bimodal repetitive transcranial magnetic stimulation (rTMS) in pharmacologically non-responsive patients with schizophrenia: A preliminary study.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(8), 1938–1943. </w:t>
      </w:r>
      <w:hyperlink r:id="rId4238" w:history="1">
        <w:r w:rsidRPr="001768F9">
          <w:rPr>
            <w:rFonts w:ascii="Times New Roman" w:eastAsia="Times New Roman" w:hAnsi="Times New Roman" w:cs="Times New Roman"/>
            <w:color w:val="0000FF"/>
            <w:sz w:val="24"/>
            <w:szCs w:val="24"/>
            <w:u w:val="single"/>
          </w:rPr>
          <w:t>https://doi.org/10.1016/j.pnpbp.2011.07.015</w:t>
        </w:r>
      </w:hyperlink>
    </w:p>
    <w:p w14:paraId="69225C9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 Y.-S., Kim, H. J., Lee, K. J., Kim, Y. I., Lim, S.-C., &amp; Shon, Y.-M. (2012). Cognitive improvement after long-term electrical stimulation of bilateral anterior thalamic nucleus in refractory epilepsy patients. </w:t>
      </w:r>
      <w:r w:rsidRPr="001768F9">
        <w:rPr>
          <w:rFonts w:ascii="Times New Roman" w:eastAsia="Times New Roman" w:hAnsi="Times New Roman" w:cs="Times New Roman"/>
          <w:i/>
          <w:iCs/>
          <w:sz w:val="24"/>
          <w:szCs w:val="24"/>
        </w:rPr>
        <w:t>Seizure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(3), 183–187. </w:t>
      </w:r>
      <w:hyperlink r:id="rId4239" w:history="1">
        <w:r w:rsidRPr="001768F9">
          <w:rPr>
            <w:rFonts w:ascii="Times New Roman" w:eastAsia="Times New Roman" w:hAnsi="Times New Roman" w:cs="Times New Roman"/>
            <w:color w:val="0000FF"/>
            <w:sz w:val="24"/>
            <w:szCs w:val="24"/>
            <w:u w:val="single"/>
          </w:rPr>
          <w:t>https://doi.org/10.1016/j.seizure.2011.12.003</w:t>
        </w:r>
      </w:hyperlink>
    </w:p>
    <w:p w14:paraId="6647E3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O’Halloran, J. P., Kemp, A. S., Gooch, K. N., Harvey, P. D., Palmer, B. W., Reist, C., &amp; Schneider, L. S. (2008). Psychometric comparison of computerized and standard administration of the neurocognitive assessment instruments selected by the CATIE and MATRICS consortia among patients with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(1), 33–41. </w:t>
      </w:r>
      <w:hyperlink r:id="rId4240" w:history="1">
        <w:r w:rsidRPr="001768F9">
          <w:rPr>
            <w:rFonts w:ascii="Times New Roman" w:eastAsia="Times New Roman" w:hAnsi="Times New Roman" w:cs="Times New Roman"/>
            <w:color w:val="0000FF"/>
            <w:sz w:val="24"/>
            <w:szCs w:val="24"/>
            <w:u w:val="single"/>
          </w:rPr>
          <w:t>https://doi.org/10.1016/j.schres.2007.11.015</w:t>
        </w:r>
      </w:hyperlink>
    </w:p>
    <w:p w14:paraId="6EDE58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Ohi, K., Hashimoto, R., Ikeda, M., Yamamori, H., Yasuda, Y., Fujimoto, M., Umeda-Yano, S., Fukunaga, M., Fujino, H., Watanabe, Y., Iwase, M., Kazui, H., Iwata, N., Weinberger, D. R., &amp; Takeda, M. (2015). Glutamate networks implicate cognitive impairments in schizophrenia: Genome-wide association studies of 52 cognitive phenotypes.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(4), 909–918. </w:t>
      </w:r>
      <w:hyperlink r:id="rId4241" w:history="1">
        <w:r w:rsidRPr="001768F9">
          <w:rPr>
            <w:rFonts w:ascii="Times New Roman" w:eastAsia="Times New Roman" w:hAnsi="Times New Roman" w:cs="Times New Roman"/>
            <w:color w:val="0000FF"/>
            <w:sz w:val="24"/>
            <w:szCs w:val="24"/>
            <w:u w:val="single"/>
          </w:rPr>
          <w:t>https://doi.org/10.1093/schbul/sbu171</w:t>
        </w:r>
      </w:hyperlink>
    </w:p>
    <w:p w14:paraId="630038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Ohi, K., Hashimoto, R., Yamamori, H., Yasuda, Y., Fujimoto, M., Umeda-Yano, S., &amp; Takeda, M. (2015). Intermediate phenotype approach for neuropsychiatric disorders. In </w:t>
      </w:r>
      <w:r w:rsidRPr="001768F9">
        <w:rPr>
          <w:rFonts w:ascii="Times New Roman" w:eastAsia="Times New Roman" w:hAnsi="Times New Roman" w:cs="Times New Roman"/>
          <w:i/>
          <w:iCs/>
          <w:sz w:val="24"/>
          <w:szCs w:val="24"/>
        </w:rPr>
        <w:t>Neurodegenerative disorders as systemic diseases.</w:t>
      </w:r>
      <w:r w:rsidRPr="001768F9">
        <w:rPr>
          <w:rFonts w:ascii="Times New Roman" w:eastAsia="Times New Roman" w:hAnsi="Times New Roman" w:cs="Times New Roman"/>
          <w:sz w:val="24"/>
          <w:szCs w:val="24"/>
        </w:rPr>
        <w:t xml:space="preserve"> (pp. 135–155). Springer Science + Business Media. </w:t>
      </w:r>
      <w:hyperlink r:id="rId4242" w:history="1">
        <w:r w:rsidRPr="001768F9">
          <w:rPr>
            <w:rFonts w:ascii="Times New Roman" w:eastAsia="Times New Roman" w:hAnsi="Times New Roman" w:cs="Times New Roman"/>
            <w:color w:val="0000FF"/>
            <w:sz w:val="24"/>
            <w:szCs w:val="24"/>
            <w:u w:val="single"/>
          </w:rPr>
          <w:t>https://doi.org/10.1007/978-4-431-54541-5_7</w:t>
        </w:r>
      </w:hyperlink>
    </w:p>
    <w:p w14:paraId="1A7FF8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Ohmann, S., Popow, C., Rami, B., König, M., Blaas, S., Fliri, C., &amp; Schober, E. (2010). Cognitive functions and glycemic control in children and adolescents with type 1 diabetes.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(1), 95–103. </w:t>
      </w:r>
      <w:hyperlink r:id="rId4243" w:history="1">
        <w:r w:rsidRPr="001768F9">
          <w:rPr>
            <w:rFonts w:ascii="Times New Roman" w:eastAsia="Times New Roman" w:hAnsi="Times New Roman" w:cs="Times New Roman"/>
            <w:color w:val="0000FF"/>
            <w:sz w:val="24"/>
            <w:szCs w:val="24"/>
            <w:u w:val="single"/>
          </w:rPr>
          <w:t>https://doi.org/10.1017/S0033291709005777</w:t>
        </w:r>
      </w:hyperlink>
    </w:p>
    <w:p w14:paraId="3A5C96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Ohmuro, N., Katsura, M., Obara, C., Kikuchi, T., Hamaie, Y., Sakuma, A., Iizuka, K., Ito, F., Matsuoka, H., &amp; Matsumoto, K. (2018). The relationship between cognitive insight and cognitive performance among individuals with at-risk mental state for developing psychosis.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192</w:t>
      </w:r>
      <w:r w:rsidRPr="001768F9">
        <w:rPr>
          <w:rFonts w:ascii="Times New Roman" w:eastAsia="Times New Roman" w:hAnsi="Times New Roman" w:cs="Times New Roman"/>
          <w:sz w:val="24"/>
          <w:szCs w:val="24"/>
        </w:rPr>
        <w:t xml:space="preserve">, 281–286. </w:t>
      </w:r>
      <w:hyperlink r:id="rId4244" w:history="1">
        <w:r w:rsidRPr="001768F9">
          <w:rPr>
            <w:rFonts w:ascii="Times New Roman" w:eastAsia="Times New Roman" w:hAnsi="Times New Roman" w:cs="Times New Roman"/>
            <w:color w:val="0000FF"/>
            <w:sz w:val="24"/>
            <w:szCs w:val="24"/>
            <w:u w:val="single"/>
          </w:rPr>
          <w:t>https://doi.org/10.1016/j.schres.2017.04.031</w:t>
        </w:r>
      </w:hyperlink>
    </w:p>
    <w:p w14:paraId="0D0CE6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Ohno, Y., Tatara, A., Shimizu, S., &amp; Sasa, M. (2012). Management of cognitive impairments in schizophrenia: The therapeutic role of 5-HT receptors. In </w:t>
      </w:r>
      <w:r w:rsidRPr="001768F9">
        <w:rPr>
          <w:rFonts w:ascii="Times New Roman" w:eastAsia="Times New Roman" w:hAnsi="Times New Roman" w:cs="Times New Roman"/>
          <w:i/>
          <w:iCs/>
          <w:sz w:val="24"/>
          <w:szCs w:val="24"/>
        </w:rPr>
        <w:t>Schizophrenia research: Recent advances.</w:t>
      </w:r>
      <w:r w:rsidRPr="001768F9">
        <w:rPr>
          <w:rFonts w:ascii="Times New Roman" w:eastAsia="Times New Roman" w:hAnsi="Times New Roman" w:cs="Times New Roman"/>
          <w:sz w:val="24"/>
          <w:szCs w:val="24"/>
        </w:rPr>
        <w:t xml:space="preserve"> (pp. 321–335). Nova Science Publishers.</w:t>
      </w:r>
    </w:p>
    <w:p w14:paraId="42F688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Ohrmann, P., Kugel, H., Bauer, J., Siegmund, A., Kölkebeck, K., Suslow, T., Wiedl, K. H., Rothermundt, M., Arolt, V., &amp; Pedersen, A. (2008). Learning potential on the WCST in schizophrenia is related to the neuronal integrity of the anterior cingulate cortex as measured by proton magnetic resonance spectroscopy.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(2–3), 156–163. </w:t>
      </w:r>
      <w:hyperlink r:id="rId4245" w:history="1">
        <w:r w:rsidRPr="001768F9">
          <w:rPr>
            <w:rFonts w:ascii="Times New Roman" w:eastAsia="Times New Roman" w:hAnsi="Times New Roman" w:cs="Times New Roman"/>
            <w:color w:val="0000FF"/>
            <w:sz w:val="24"/>
            <w:szCs w:val="24"/>
            <w:u w:val="single"/>
          </w:rPr>
          <w:t>https://doi.org/10.1016/j.schres.2008.08.005</w:t>
        </w:r>
      </w:hyperlink>
    </w:p>
    <w:p w14:paraId="06CDE4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Ohtani, T., Nestor, P. G., Bouix, S., Saito, Y., Hosokawa, T., &amp; Kubicki, M. (2014). Medial frontal white and gray matter contributions to general intelligence.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(12).</w:t>
      </w:r>
    </w:p>
    <w:p w14:paraId="23BF94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Ohyama, T., Kaga, Y., Goto, Y., Aoyagi, K., Ishii, S., Kanemura, H., Sugita, K., &amp; Aihara, M. (2017). Developmental changes in autonomic emotional response during an executive functional task: A pupillometric study during Wisconsin card sorting test. </w:t>
      </w:r>
      <w:r w:rsidRPr="001768F9">
        <w:rPr>
          <w:rFonts w:ascii="Times New Roman" w:eastAsia="Times New Roman" w:hAnsi="Times New Roman" w:cs="Times New Roman"/>
          <w:i/>
          <w:iCs/>
          <w:sz w:val="24"/>
          <w:szCs w:val="24"/>
        </w:rPr>
        <w:t>Brain &amp;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(3), 187–195. </w:t>
      </w:r>
      <w:hyperlink r:id="rId4246" w:history="1">
        <w:r w:rsidRPr="001768F9">
          <w:rPr>
            <w:rFonts w:ascii="Times New Roman" w:eastAsia="Times New Roman" w:hAnsi="Times New Roman" w:cs="Times New Roman"/>
            <w:color w:val="0000FF"/>
            <w:sz w:val="24"/>
            <w:szCs w:val="24"/>
            <w:u w:val="single"/>
          </w:rPr>
          <w:t>https://doi.org/10.1016/j.braindev.2016.10.002</w:t>
        </w:r>
      </w:hyperlink>
    </w:p>
    <w:p w14:paraId="07AB8A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Øie, M., Sundet, K., &amp; Rund, B. R. (2010). Neuroocognitive decline in early-onset schizophrenia compared with ADHD and normal controls: Evidence from a 13-year follow-up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(3), 557–565. </w:t>
      </w:r>
      <w:hyperlink r:id="rId4247" w:history="1">
        <w:r w:rsidRPr="001768F9">
          <w:rPr>
            <w:rFonts w:ascii="Times New Roman" w:eastAsia="Times New Roman" w:hAnsi="Times New Roman" w:cs="Times New Roman"/>
            <w:color w:val="0000FF"/>
            <w:sz w:val="24"/>
            <w:szCs w:val="24"/>
            <w:u w:val="single"/>
          </w:rPr>
          <w:t>https://doi.org/10.1093/schbul/sbn127</w:t>
        </w:r>
      </w:hyperlink>
    </w:p>
    <w:p w14:paraId="5AFD89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Ojeda, N., Peña, J., Schretlen, D. J., Sánchez, P., Aretouli, E., Elizagárate, E., Ezcurra, J., &amp; Gutiérrez, M. (2012). Hierarchical structure of the cognitive processes in schizophrenia: The fundamental role of processing speed.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135</w:t>
      </w:r>
      <w:r w:rsidRPr="001768F9">
        <w:rPr>
          <w:rFonts w:ascii="Times New Roman" w:eastAsia="Times New Roman" w:hAnsi="Times New Roman" w:cs="Times New Roman"/>
          <w:sz w:val="24"/>
          <w:szCs w:val="24"/>
        </w:rPr>
        <w:t xml:space="preserve">(1–3), 72–78. </w:t>
      </w:r>
      <w:hyperlink r:id="rId4248" w:history="1">
        <w:r w:rsidRPr="001768F9">
          <w:rPr>
            <w:rFonts w:ascii="Times New Roman" w:eastAsia="Times New Roman" w:hAnsi="Times New Roman" w:cs="Times New Roman"/>
            <w:color w:val="0000FF"/>
            <w:sz w:val="24"/>
            <w:szCs w:val="24"/>
            <w:u w:val="single"/>
          </w:rPr>
          <w:t>https://doi.org/10.1016/j.schres.2011.12.004</w:t>
        </w:r>
      </w:hyperlink>
    </w:p>
    <w:p w14:paraId="4B8EFB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Ojeda, N., Sánchez, P., Peña, J., Elizagárate, E., Yoller, A. B., Gutiérrez-Fraile, M., Ezcurra, J., &amp; Napal, O. (2012). Un modelo explicativo de la calidad de vida en la esquizofrenia: El papel de la velocidad de procesamiento y los síntomas negativos. [An explanatory model of quality of life in schizophrenia: The role of processing speed and negative symptoms.].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(1), 10–18.</w:t>
      </w:r>
    </w:p>
    <w:p w14:paraId="4750B8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Ojeda, N., Sánchez, P., Peña, J., Elizagárate, E., Yoller, A. B., Larumbe, J., Gutiérrez, M., Casais, L., &amp; Ezcurra, J. (2010). Verbal fluency in schizophrenia: Does cognitive performance reflect the same underlying mechanisms in patients and healthy controls?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(4), 286–291. </w:t>
      </w:r>
      <w:hyperlink r:id="rId4249" w:history="1">
        <w:r w:rsidRPr="001768F9">
          <w:rPr>
            <w:rFonts w:ascii="Times New Roman" w:eastAsia="Times New Roman" w:hAnsi="Times New Roman" w:cs="Times New Roman"/>
            <w:color w:val="0000FF"/>
            <w:sz w:val="24"/>
            <w:szCs w:val="24"/>
            <w:u w:val="single"/>
          </w:rPr>
          <w:t>https://doi.org/10.1097/NMD.0b013e3181d61748</w:t>
        </w:r>
      </w:hyperlink>
    </w:p>
    <w:p w14:paraId="7EC005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Okahisa, Y., Ujike, H., Kunugi, H., Ishihara, T., Kodama, M., Takaki, M., Kotaka, T., &amp; Kuroda, S. (2010). Leukemia inhibitory factor gene is associated with schizophrenia and working memory function.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(1), 172–176. </w:t>
      </w:r>
      <w:hyperlink r:id="rId4250" w:history="1">
        <w:r w:rsidRPr="001768F9">
          <w:rPr>
            <w:rFonts w:ascii="Times New Roman" w:eastAsia="Times New Roman" w:hAnsi="Times New Roman" w:cs="Times New Roman"/>
            <w:color w:val="0000FF"/>
            <w:sz w:val="24"/>
            <w:szCs w:val="24"/>
            <w:u w:val="single"/>
          </w:rPr>
          <w:t>https://doi.org/10.1016/j.pnpbp.2009.10.020</w:t>
        </w:r>
      </w:hyperlink>
    </w:p>
    <w:p w14:paraId="278E29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Okai, D., Owen, G., McGuire, H., Singh, S., Churchill, R., &amp; Hotopf, M. (2007). Mental capacity in psychiatric patients: Systematic review.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191</w:t>
      </w:r>
      <w:r w:rsidRPr="001768F9">
        <w:rPr>
          <w:rFonts w:ascii="Times New Roman" w:eastAsia="Times New Roman" w:hAnsi="Times New Roman" w:cs="Times New Roman"/>
          <w:sz w:val="24"/>
          <w:szCs w:val="24"/>
        </w:rPr>
        <w:t xml:space="preserve">(4), 291–297. </w:t>
      </w:r>
      <w:hyperlink r:id="rId4251" w:history="1">
        <w:r w:rsidRPr="001768F9">
          <w:rPr>
            <w:rFonts w:ascii="Times New Roman" w:eastAsia="Times New Roman" w:hAnsi="Times New Roman" w:cs="Times New Roman"/>
            <w:color w:val="0000FF"/>
            <w:sz w:val="24"/>
            <w:szCs w:val="24"/>
            <w:u w:val="single"/>
          </w:rPr>
          <w:t>https://doi.org/10.1192/bjp.bp.106.035162</w:t>
        </w:r>
      </w:hyperlink>
    </w:p>
    <w:p w14:paraId="13DAD7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Okamoto, A., Kuriyama, H., Watanabe, S., Aihara, Y., Tadai, T., Imanishi, J., &amp; Fukui, K. (2005). The effect of aromatherapy massage on mild depression: A pilot study.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(3), 363–363. </w:t>
      </w:r>
      <w:hyperlink r:id="rId4252" w:history="1">
        <w:r w:rsidRPr="001768F9">
          <w:rPr>
            <w:rFonts w:ascii="Times New Roman" w:eastAsia="Times New Roman" w:hAnsi="Times New Roman" w:cs="Times New Roman"/>
            <w:color w:val="0000FF"/>
            <w:sz w:val="24"/>
            <w:szCs w:val="24"/>
            <w:u w:val="single"/>
          </w:rPr>
          <w:t>https://doi.org/10.1111/j.1440-1819.2005.01385.x</w:t>
        </w:r>
      </w:hyperlink>
    </w:p>
    <w:p w14:paraId="4D889A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Okasha, T. A., El Sheikh, M. M., El Missiry, A. A., El Missiry, M. A., El Serafi, D., El Kholy, S., &amp; Aziz, K. A. (2014). Cognitive functions in euthymic Egyptian patients with bipolar disorder: Are they different from healthy controls?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166</w:t>
      </w:r>
      <w:r w:rsidRPr="001768F9">
        <w:rPr>
          <w:rFonts w:ascii="Times New Roman" w:eastAsia="Times New Roman" w:hAnsi="Times New Roman" w:cs="Times New Roman"/>
          <w:sz w:val="24"/>
          <w:szCs w:val="24"/>
        </w:rPr>
        <w:t xml:space="preserve">, 14–21. </w:t>
      </w:r>
      <w:hyperlink r:id="rId4253" w:history="1">
        <w:r w:rsidRPr="001768F9">
          <w:rPr>
            <w:rFonts w:ascii="Times New Roman" w:eastAsia="Times New Roman" w:hAnsi="Times New Roman" w:cs="Times New Roman"/>
            <w:color w:val="0000FF"/>
            <w:sz w:val="24"/>
            <w:szCs w:val="24"/>
            <w:u w:val="single"/>
          </w:rPr>
          <w:t>https://doi.org/10.1016/j.jad.2014.04.051</w:t>
        </w:r>
      </w:hyperlink>
    </w:p>
    <w:p w14:paraId="0C8A59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Oknina, L. B., Kuptsova, S. V., Masherow, E. L., Romanov, A. S., &amp; Sharova, E. V. (2016). The features of auditory passive perception while listening to sounds in healthy persons of young or advanced age (event-related potentials and psychology test analysis). </w:t>
      </w:r>
      <w:r w:rsidRPr="001768F9">
        <w:rPr>
          <w:rFonts w:ascii="Times New Roman" w:eastAsia="Times New Roman" w:hAnsi="Times New Roman" w:cs="Times New Roman"/>
          <w:i/>
          <w:iCs/>
          <w:sz w:val="24"/>
          <w:szCs w:val="24"/>
        </w:rPr>
        <w:t>Human 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(5), 485–491. </w:t>
      </w:r>
      <w:hyperlink r:id="rId4254" w:history="1">
        <w:r w:rsidRPr="001768F9">
          <w:rPr>
            <w:rFonts w:ascii="Times New Roman" w:eastAsia="Times New Roman" w:hAnsi="Times New Roman" w:cs="Times New Roman"/>
            <w:color w:val="0000FF"/>
            <w:sz w:val="24"/>
            <w:szCs w:val="24"/>
            <w:u w:val="single"/>
          </w:rPr>
          <w:t>https://doi.org/10.1134/S0362119716050121</w:t>
        </w:r>
      </w:hyperlink>
    </w:p>
    <w:p w14:paraId="32895B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Oknina, L. B., Kuznetsova, O. A., &amp; Enikolopova, E. V. (2009). Temporal characteristics of triggering dipole sources of the auditory P300 in tasks varying in complexity. </w:t>
      </w:r>
      <w:r w:rsidRPr="001768F9">
        <w:rPr>
          <w:rFonts w:ascii="Times New Roman" w:eastAsia="Times New Roman" w:hAnsi="Times New Roman" w:cs="Times New Roman"/>
          <w:i/>
          <w:iCs/>
          <w:sz w:val="24"/>
          <w:szCs w:val="24"/>
        </w:rPr>
        <w:t>Human 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(5), 523–530. </w:t>
      </w:r>
      <w:hyperlink r:id="rId4255" w:history="1">
        <w:r w:rsidRPr="001768F9">
          <w:rPr>
            <w:rFonts w:ascii="Times New Roman" w:eastAsia="Times New Roman" w:hAnsi="Times New Roman" w:cs="Times New Roman"/>
            <w:color w:val="0000FF"/>
            <w:sz w:val="24"/>
            <w:szCs w:val="24"/>
            <w:u w:val="single"/>
          </w:rPr>
          <w:t>https://doi.org/10.1134/S0362119709050016</w:t>
        </w:r>
      </w:hyperlink>
    </w:p>
    <w:p w14:paraId="5A786B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Okonkwo, O. C., Oh, J. M., Koscik, R., Jonaitis, E., Cleary, C. A., Dowling, N. M., Bendlin, B. B., LaRue, A., Hermann, B. P., Barnhart, T. E., Murali, D., Rowley, H. A., Carlsson, C. M., Gallagher, C. L., Asthana, S., Sager, M. A., Christian, B. T., &amp; Johnson, S. C. (2014). Amyloid burden, neuronal function, and cognitive decline in middle-aged adults at risk for Alzheimer’s disease.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(4), 422–433. </w:t>
      </w:r>
      <w:hyperlink r:id="rId4256" w:history="1">
        <w:r w:rsidRPr="001768F9">
          <w:rPr>
            <w:rFonts w:ascii="Times New Roman" w:eastAsia="Times New Roman" w:hAnsi="Times New Roman" w:cs="Times New Roman"/>
            <w:color w:val="0000FF"/>
            <w:sz w:val="24"/>
            <w:szCs w:val="24"/>
            <w:u w:val="single"/>
          </w:rPr>
          <w:t>https://doi.org/10.1017/S1355617714000113</w:t>
        </w:r>
      </w:hyperlink>
    </w:p>
    <w:p w14:paraId="58D341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Okubo, Y., Suhara, T., Suzuki, K., Kobayashi, K., Inoue, O., Terasaki, O., Someya, Y., Sassa, T., Sudo, Y., Matsushima, E., Iyo, M., Tateno, Y., &amp; Toru, M. (1997). Decreased prefrontal dopamine D1 receptors in schizophrenia revealed by PET. </w:t>
      </w:r>
      <w:r w:rsidRPr="001768F9">
        <w:rPr>
          <w:rFonts w:ascii="Times New Roman" w:eastAsia="Times New Roman" w:hAnsi="Times New Roman" w:cs="Times New Roman"/>
          <w:i/>
          <w:iCs/>
          <w:sz w:val="24"/>
          <w:szCs w:val="24"/>
        </w:rPr>
        <w:t>Nature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385</w:t>
      </w:r>
      <w:r w:rsidRPr="001768F9">
        <w:rPr>
          <w:rFonts w:ascii="Times New Roman" w:eastAsia="Times New Roman" w:hAnsi="Times New Roman" w:cs="Times New Roman"/>
          <w:sz w:val="24"/>
          <w:szCs w:val="24"/>
        </w:rPr>
        <w:t xml:space="preserve">(6617), 634–636. </w:t>
      </w:r>
      <w:hyperlink r:id="rId4257" w:history="1">
        <w:r w:rsidRPr="001768F9">
          <w:rPr>
            <w:rFonts w:ascii="Times New Roman" w:eastAsia="Times New Roman" w:hAnsi="Times New Roman" w:cs="Times New Roman"/>
            <w:color w:val="0000FF"/>
            <w:sz w:val="24"/>
            <w:szCs w:val="24"/>
            <w:u w:val="single"/>
          </w:rPr>
          <w:t>https://doi.org/10.1038/385634a0</w:t>
        </w:r>
      </w:hyperlink>
    </w:p>
    <w:p w14:paraId="3B92B8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Okuda, M., Matsui, A., Fujita, S., Suzuki, Y., &amp; al, et. (1995). Two cases of bifrontal lesions with acute psychotic episodes in their course. [Two cases of bifrontal lesions with acute psychotic episodes in their course.]. </w:t>
      </w:r>
      <w:r w:rsidRPr="001768F9">
        <w:rPr>
          <w:rFonts w:ascii="Times New Roman" w:eastAsia="Times New Roman" w:hAnsi="Times New Roman" w:cs="Times New Roman"/>
          <w:i/>
          <w:iCs/>
          <w:sz w:val="24"/>
          <w:szCs w:val="24"/>
        </w:rPr>
        <w:t>Seishin Igaku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(10), 1085–1092.</w:t>
      </w:r>
    </w:p>
    <w:p w14:paraId="06C241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Okuda, T., Asano, K., Numata, N., Hirano, Y., Yamamoto, T., Tanaka, M., Matsuzawa, D., Shimizu, E., Iyo, M., &amp; Nakazato, M. (2017). Feasibility of cognitive remediation therapy for adults with autism spectrum disorders: A single-group pilot study.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w:t>
      </w:r>
    </w:p>
    <w:p w14:paraId="6544532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Olabarrieta-Landa, L., Caracuel, A., Pérez-García, M., Panyavin, I., Morlett-Paredes, A., &amp; Arango-Lasprilla, J. C. (2016). The profession of neuropsychology in Spain: Results of a national survey.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(8), 1335–1355. </w:t>
      </w:r>
      <w:hyperlink r:id="rId4258" w:history="1">
        <w:r w:rsidRPr="001768F9">
          <w:rPr>
            <w:rFonts w:ascii="Times New Roman" w:eastAsia="Times New Roman" w:hAnsi="Times New Roman" w:cs="Times New Roman"/>
            <w:color w:val="0000FF"/>
            <w:sz w:val="24"/>
            <w:szCs w:val="24"/>
            <w:u w:val="single"/>
          </w:rPr>
          <w:t>https://doi.org/10.1080/13854046.2016.1183049</w:t>
        </w:r>
      </w:hyperlink>
    </w:p>
    <w:p w14:paraId="0937A5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Olaithe, M., &amp; Bucks, R. S. (2013). Executive dysfunction in OSA before and after treatment: A meta-analysis. </w:t>
      </w:r>
      <w:r w:rsidRPr="001768F9">
        <w:rPr>
          <w:rFonts w:ascii="Times New Roman" w:eastAsia="Times New Roman" w:hAnsi="Times New Roman" w:cs="Times New Roman"/>
          <w:i/>
          <w:iCs/>
          <w:sz w:val="24"/>
          <w:szCs w:val="24"/>
        </w:rPr>
        <w:t>Sleep: Journal of Sleep and Sleep Disorders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(9), 1297–1305. </w:t>
      </w:r>
      <w:hyperlink r:id="rId4259" w:history="1">
        <w:r w:rsidRPr="001768F9">
          <w:rPr>
            <w:rFonts w:ascii="Times New Roman" w:eastAsia="Times New Roman" w:hAnsi="Times New Roman" w:cs="Times New Roman"/>
            <w:color w:val="0000FF"/>
            <w:sz w:val="24"/>
            <w:szCs w:val="24"/>
            <w:u w:val="single"/>
          </w:rPr>
          <w:t>https://doi.org/10.5665/sleep.2950</w:t>
        </w:r>
      </w:hyperlink>
    </w:p>
    <w:p w14:paraId="36CEB2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Oldershaw, A., Treasure, J., Hambrook, D., Tchanturia, K., &amp; Schmidt, U. (2011). Is anorexia nervosa a version of autism spectrum disorders? </w:t>
      </w:r>
      <w:r w:rsidRPr="001768F9">
        <w:rPr>
          <w:rFonts w:ascii="Times New Roman" w:eastAsia="Times New Roman" w:hAnsi="Times New Roman" w:cs="Times New Roman"/>
          <w:i/>
          <w:iCs/>
          <w:sz w:val="24"/>
          <w:szCs w:val="24"/>
        </w:rPr>
        <w:t>European Eating Disorders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(6), 462–474. </w:t>
      </w:r>
      <w:hyperlink r:id="rId4260" w:history="1">
        <w:r w:rsidRPr="001768F9">
          <w:rPr>
            <w:rFonts w:ascii="Times New Roman" w:eastAsia="Times New Roman" w:hAnsi="Times New Roman" w:cs="Times New Roman"/>
            <w:color w:val="0000FF"/>
            <w:sz w:val="24"/>
            <w:szCs w:val="24"/>
            <w:u w:val="single"/>
          </w:rPr>
          <w:t>https://doi.org/10.1002/erv.1069</w:t>
        </w:r>
      </w:hyperlink>
    </w:p>
    <w:p w14:paraId="32AB65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Oldoni, E., Fumagalli, G. G., Serpente, M., Fenoglio, C., Scarioni, M., Arighi, A., Bruno, G., Talarico, G., Confaloni, A., Piscopo, P., Nacmias, B., Sorbi, S., Rainero, I., Rubino, E., Pinessi, L., Binetti, G., Ghidoni, R., Benussi, L., Grande, G., … Galimberti, D. (2016). PRNP P39L variant is a rare cause of frontotemporal dementia in Italian population.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(2), 353–357. </w:t>
      </w:r>
      <w:hyperlink r:id="rId4261" w:history="1">
        <w:r w:rsidRPr="001768F9">
          <w:rPr>
            <w:rFonts w:ascii="Times New Roman" w:eastAsia="Times New Roman" w:hAnsi="Times New Roman" w:cs="Times New Roman"/>
            <w:color w:val="0000FF"/>
            <w:sz w:val="24"/>
            <w:szCs w:val="24"/>
            <w:u w:val="single"/>
          </w:rPr>
          <w:t>https://doi.org/10.3233/JAD-150863</w:t>
        </w:r>
      </w:hyperlink>
    </w:p>
    <w:p w14:paraId="745961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Olichney, J. M., Morris, S. K., Ochoa, C., Salmon, D. P., Thal, L. J., Kutas, M., &amp; Iragui, V. J. (2002). Abnormal verbal event related potentials in mild cognitive impairment and incipient Alzheimer’s disease.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73</w:t>
      </w:r>
      <w:r w:rsidRPr="001768F9">
        <w:rPr>
          <w:rFonts w:ascii="Times New Roman" w:eastAsia="Times New Roman" w:hAnsi="Times New Roman" w:cs="Times New Roman"/>
          <w:sz w:val="24"/>
          <w:szCs w:val="24"/>
        </w:rPr>
        <w:t xml:space="preserve">(4), 377–384. </w:t>
      </w:r>
      <w:hyperlink r:id="rId4262" w:history="1">
        <w:r w:rsidRPr="001768F9">
          <w:rPr>
            <w:rFonts w:ascii="Times New Roman" w:eastAsia="Times New Roman" w:hAnsi="Times New Roman" w:cs="Times New Roman"/>
            <w:color w:val="0000FF"/>
            <w:sz w:val="24"/>
            <w:szCs w:val="24"/>
            <w:u w:val="single"/>
          </w:rPr>
          <w:t>https://doi.org/10.1136/jnnp.73.4.377</w:t>
        </w:r>
      </w:hyperlink>
    </w:p>
    <w:p w14:paraId="240176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Olichney, J. M., Pak, J., Salmon, D. P., Yang, J.-C., Gahagan, T., Nowacki, R., Hansen, L., Galasko, D., Kutas, M., &amp; Iragui-Madoz, V. J. (2013). Abnormal P600 word repetition effect in elderly persons with preclinical Alzheimer’s disease. </w:t>
      </w:r>
      <w:r w:rsidRPr="001768F9">
        <w:rPr>
          <w:rFonts w:ascii="Times New Roman" w:eastAsia="Times New Roman" w:hAnsi="Times New Roman" w:cs="Times New Roman"/>
          <w:i/>
          <w:iCs/>
          <w:sz w:val="24"/>
          <w:szCs w:val="24"/>
        </w:rPr>
        <w:t>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(3–4), 143–151. </w:t>
      </w:r>
      <w:hyperlink r:id="rId4263" w:history="1">
        <w:r w:rsidRPr="001768F9">
          <w:rPr>
            <w:rFonts w:ascii="Times New Roman" w:eastAsia="Times New Roman" w:hAnsi="Times New Roman" w:cs="Times New Roman"/>
            <w:color w:val="0000FF"/>
            <w:sz w:val="24"/>
            <w:szCs w:val="24"/>
            <w:u w:val="single"/>
          </w:rPr>
          <w:t>https://doi.org/10.1080/17588928.2013.838945</w:t>
        </w:r>
      </w:hyperlink>
    </w:p>
    <w:p w14:paraId="672F09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Oliveira, C. R., Lopes Filho, B. J. P., Sugarman, M. A., Esteves, C. S., Lima, M. M. B. M. P., Moret-Tatay, C., Irigaray, T. Q., &amp; Argimon, I. I. L. (2016). Development and feasibility of a virtual reality task for the cognitive assessment of older adults: The ECO-VR. </w:t>
      </w:r>
      <w:r w:rsidRPr="001768F9">
        <w:rPr>
          <w:rFonts w:ascii="Times New Roman" w:eastAsia="Times New Roman" w:hAnsi="Times New Roman" w:cs="Times New Roman"/>
          <w:i/>
          <w:iCs/>
          <w:sz w:val="24"/>
          <w:szCs w:val="24"/>
        </w:rPr>
        <w:t>The Spanish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 </w:t>
      </w:r>
      <w:hyperlink r:id="rId4264" w:history="1">
        <w:r w:rsidRPr="001768F9">
          <w:rPr>
            <w:rFonts w:ascii="Times New Roman" w:eastAsia="Times New Roman" w:hAnsi="Times New Roman" w:cs="Times New Roman"/>
            <w:color w:val="0000FF"/>
            <w:sz w:val="24"/>
            <w:szCs w:val="24"/>
            <w:u w:val="single"/>
          </w:rPr>
          <w:t>https://doi.org/10.1017/sjp.2016.96</w:t>
        </w:r>
      </w:hyperlink>
    </w:p>
    <w:p w14:paraId="129A7E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Oliveira, A. L. S. de, Kaiser, V., Azambuja, T. de O., Mallmann, L. U., Lukrafka, J. L., &amp; Reppold, C. T. (2016). Visual-motor maturity and executive functions in schoolchildren. </w:t>
      </w:r>
      <w:r w:rsidRPr="001768F9">
        <w:rPr>
          <w:rFonts w:ascii="Times New Roman" w:eastAsia="Times New Roman" w:hAnsi="Times New Roman" w:cs="Times New Roman"/>
          <w:i/>
          <w:iCs/>
          <w:sz w:val="24"/>
          <w:szCs w:val="24"/>
        </w:rPr>
        <w:t>Paidéia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(64), 215–223. </w:t>
      </w:r>
      <w:hyperlink r:id="rId4265" w:history="1">
        <w:r w:rsidRPr="001768F9">
          <w:rPr>
            <w:rFonts w:ascii="Times New Roman" w:eastAsia="Times New Roman" w:hAnsi="Times New Roman" w:cs="Times New Roman"/>
            <w:color w:val="0000FF"/>
            <w:sz w:val="24"/>
            <w:szCs w:val="24"/>
            <w:u w:val="single"/>
          </w:rPr>
          <w:t>https://doi.org/10.1590/1982-43272664201609</w:t>
        </w:r>
      </w:hyperlink>
    </w:p>
    <w:p w14:paraId="4BEF75A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Oliveira, S., Kapczinski, F., Camey, S., &amp; Trentini, C. (2011). Assessment of executive functions in a Brazilian sample of bipolar subjects. </w:t>
      </w:r>
      <w:r w:rsidRPr="001768F9">
        <w:rPr>
          <w:rFonts w:ascii="Times New Roman" w:eastAsia="Times New Roman" w:hAnsi="Times New Roman" w:cs="Times New Roman"/>
          <w:i/>
          <w:iCs/>
          <w:sz w:val="24"/>
          <w:szCs w:val="24"/>
        </w:rPr>
        <w:t>The Spanish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(2), 859–868. </w:t>
      </w:r>
      <w:hyperlink r:id="rId4266" w:history="1">
        <w:r w:rsidRPr="001768F9">
          <w:rPr>
            <w:rFonts w:ascii="Times New Roman" w:eastAsia="Times New Roman" w:hAnsi="Times New Roman" w:cs="Times New Roman"/>
            <w:color w:val="0000FF"/>
            <w:sz w:val="24"/>
            <w:szCs w:val="24"/>
            <w:u w:val="single"/>
          </w:rPr>
          <w:t>https://doi.org/10.5209/rev_SJOP.2011.v14.n2.33</w:t>
        </w:r>
      </w:hyperlink>
    </w:p>
    <w:p w14:paraId="3C8171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Olley, A. L., Malhi, G. S., Bachelor, J., Cahill, C. M., Mitchell, P. B., &amp; Berk, M. (2005). Executive functioning and theory of mind in euthymic bipolar disorder.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(Suppl5), 43–52. </w:t>
      </w:r>
      <w:hyperlink r:id="rId4267" w:history="1">
        <w:r w:rsidRPr="001768F9">
          <w:rPr>
            <w:rFonts w:ascii="Times New Roman" w:eastAsia="Times New Roman" w:hAnsi="Times New Roman" w:cs="Times New Roman"/>
            <w:color w:val="0000FF"/>
            <w:sz w:val="24"/>
            <w:szCs w:val="24"/>
            <w:u w:val="single"/>
          </w:rPr>
          <w:t>https://doi.org/10.1111/j.1399-5618.2005.00254.x</w:t>
        </w:r>
      </w:hyperlink>
    </w:p>
    <w:p w14:paraId="4CF64DD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Olney, R. K., Murphy, J., Forshew, D., Garwood, E., Miller, B. L., Langmore, S., Kohn, M. A., &amp; Lomen-Hoerth, C. (2005). The effects of executive and behavioral dysfunction on the course of ALS.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(11), 1774–1777. </w:t>
      </w:r>
      <w:hyperlink r:id="rId4268" w:history="1">
        <w:r w:rsidRPr="001768F9">
          <w:rPr>
            <w:rFonts w:ascii="Times New Roman" w:eastAsia="Times New Roman" w:hAnsi="Times New Roman" w:cs="Times New Roman"/>
            <w:color w:val="0000FF"/>
            <w:sz w:val="24"/>
            <w:szCs w:val="24"/>
            <w:u w:val="single"/>
          </w:rPr>
          <w:t>https://doi.org/10.1212/01.wnl.0000188759.87240.8b</w:t>
        </w:r>
      </w:hyperlink>
    </w:p>
    <w:p w14:paraId="2014D8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Olsen, D. C., Hays, C. C., Orff, H. J., Jak, A. J., &amp; Twamley, E. W. (2018). Correlates of employment and postsecondary education enrolment in Afghanistan and Iraq veterans with traumatic brain injuries.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(5), 544–549. </w:t>
      </w:r>
      <w:hyperlink r:id="rId4269" w:history="1">
        <w:r w:rsidRPr="001768F9">
          <w:rPr>
            <w:rFonts w:ascii="Times New Roman" w:eastAsia="Times New Roman" w:hAnsi="Times New Roman" w:cs="Times New Roman"/>
            <w:color w:val="0000FF"/>
            <w:sz w:val="24"/>
            <w:szCs w:val="24"/>
            <w:u w:val="single"/>
          </w:rPr>
          <w:t>https://doi.org/10.1080/02699052.2018.1431845</w:t>
        </w:r>
      </w:hyperlink>
    </w:p>
    <w:p w14:paraId="5AB7AF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Olsen, J. P., Fellows, R. P., Rivera-Mindt, M., Morgello, S., &amp; Byrd, D. A. (2015). Reading ability as an estimator of premorbid intelligence: Does it remain stable among ethnically diverse HIV+ adults?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1034–1052. </w:t>
      </w:r>
      <w:hyperlink r:id="rId4270" w:history="1">
        <w:r w:rsidRPr="001768F9">
          <w:rPr>
            <w:rFonts w:ascii="Times New Roman" w:eastAsia="Times New Roman" w:hAnsi="Times New Roman" w:cs="Times New Roman"/>
            <w:color w:val="0000FF"/>
            <w:sz w:val="24"/>
            <w:szCs w:val="24"/>
            <w:u w:val="single"/>
          </w:rPr>
          <w:t>https://doi.org/10.1080/13854046.2015.1122085</w:t>
        </w:r>
      </w:hyperlink>
    </w:p>
    <w:p w14:paraId="53C6C6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Olsen, R. K., Lee, Y., Kube, J., Rosenbaum, R. S., Grady, C. L., Moscovitch, M., &amp; Ryan, J. D. (2015). The role of relational binding in item memory: Evidence from face recognition in a case of developmental amnesia.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(13), 5342–5350. </w:t>
      </w:r>
      <w:hyperlink r:id="rId4271" w:history="1">
        <w:r w:rsidRPr="001768F9">
          <w:rPr>
            <w:rFonts w:ascii="Times New Roman" w:eastAsia="Times New Roman" w:hAnsi="Times New Roman" w:cs="Times New Roman"/>
            <w:color w:val="0000FF"/>
            <w:sz w:val="24"/>
            <w:szCs w:val="24"/>
            <w:u w:val="single"/>
          </w:rPr>
          <w:t>https://doi.org/10.1523/JNEUROSCI.3987-14.2015</w:t>
        </w:r>
      </w:hyperlink>
    </w:p>
    <w:p w14:paraId="0BC9690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Olson, K., Jacobson, K. K., &amp; Van Oot, P. (2013). Ecological validity of pediatric neuropsychological measures: Current state and future directions.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w:t>
      </w:r>
      <w:r w:rsidRPr="001768F9">
        <w:rPr>
          <w:rFonts w:ascii="Times New Roman" w:eastAsia="Times New Roman" w:hAnsi="Times New Roman" w:cs="Times New Roman"/>
          <w:sz w:val="24"/>
          <w:szCs w:val="24"/>
        </w:rPr>
        <w:t xml:space="preserve">(1), 17–23. </w:t>
      </w:r>
      <w:hyperlink r:id="rId4272" w:history="1">
        <w:r w:rsidRPr="001768F9">
          <w:rPr>
            <w:rFonts w:ascii="Times New Roman" w:eastAsia="Times New Roman" w:hAnsi="Times New Roman" w:cs="Times New Roman"/>
            <w:color w:val="0000FF"/>
            <w:sz w:val="24"/>
            <w:szCs w:val="24"/>
            <w:u w:val="single"/>
          </w:rPr>
          <w:t>https://doi.org/10.1080/21622965.2012.686330</w:t>
        </w:r>
      </w:hyperlink>
    </w:p>
    <w:p w14:paraId="48D00F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Olson, R. L., Chang, Y.-K., Brush, C. J., Kwok, A. N., Gordon, V. X., &amp; Alderman, B. L. (2016). Neurophysiological and behavioral correlates of cognitive control during low and moderate intensity exercise.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131</w:t>
      </w:r>
      <w:r w:rsidRPr="001768F9">
        <w:rPr>
          <w:rFonts w:ascii="Times New Roman" w:eastAsia="Times New Roman" w:hAnsi="Times New Roman" w:cs="Times New Roman"/>
          <w:sz w:val="24"/>
          <w:szCs w:val="24"/>
        </w:rPr>
        <w:t xml:space="preserve">, 171–180. </w:t>
      </w:r>
      <w:hyperlink r:id="rId4273" w:history="1">
        <w:r w:rsidRPr="001768F9">
          <w:rPr>
            <w:rFonts w:ascii="Times New Roman" w:eastAsia="Times New Roman" w:hAnsi="Times New Roman" w:cs="Times New Roman"/>
            <w:color w:val="0000FF"/>
            <w:sz w:val="24"/>
            <w:szCs w:val="24"/>
            <w:u w:val="single"/>
          </w:rPr>
          <w:t>https://doi.org/10.1016/j.neuroimage.2015.10.011</w:t>
        </w:r>
      </w:hyperlink>
    </w:p>
    <w:p w14:paraId="70EDDF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Olsson, A.-K., Hjärthag, F., &amp; Helldin, L. (2019). Overestimated function in patients with schizophrenia: A possible risk factor for inadequate support?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206</w:t>
      </w:r>
      <w:r w:rsidRPr="001768F9">
        <w:rPr>
          <w:rFonts w:ascii="Times New Roman" w:eastAsia="Times New Roman" w:hAnsi="Times New Roman" w:cs="Times New Roman"/>
          <w:sz w:val="24"/>
          <w:szCs w:val="24"/>
        </w:rPr>
        <w:t xml:space="preserve">, 194–199. </w:t>
      </w:r>
      <w:hyperlink r:id="rId4274" w:history="1">
        <w:r w:rsidRPr="001768F9">
          <w:rPr>
            <w:rFonts w:ascii="Times New Roman" w:eastAsia="Times New Roman" w:hAnsi="Times New Roman" w:cs="Times New Roman"/>
            <w:color w:val="0000FF"/>
            <w:sz w:val="24"/>
            <w:szCs w:val="24"/>
            <w:u w:val="single"/>
          </w:rPr>
          <w:t>https://doi.org/10.1016/j.schres.2018.11.027</w:t>
        </w:r>
      </w:hyperlink>
    </w:p>
    <w:p w14:paraId="709F91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Oltedal, L., Kessler, U., Ersland, L., Grüner, R., Andreassen, O. A., Haavik, J., Hoff, P. I., Hammar, Å., Dale, A. M., Hugdahl, K., &amp; Oedegaard, K. J. (2015). Effects of ECT in treatment of depression: Study protocol for a prospective neuroradiological study of acute and longitudinal effects on brain structure and function.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349674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Olvera, R. L., Semrud-Clikeman, M., Pliszka, S. R., &amp; O’Donnell, L. (2005). Neuropsychological deficits in adolescents with conduct disorder and comorbid bipolar disorder: A pilot study.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(1), 57–67. </w:t>
      </w:r>
      <w:hyperlink r:id="rId4275" w:history="1">
        <w:r w:rsidRPr="001768F9">
          <w:rPr>
            <w:rFonts w:ascii="Times New Roman" w:eastAsia="Times New Roman" w:hAnsi="Times New Roman" w:cs="Times New Roman"/>
            <w:color w:val="0000FF"/>
            <w:sz w:val="24"/>
            <w:szCs w:val="24"/>
            <w:u w:val="single"/>
          </w:rPr>
          <w:t>https://doi.org/10.1111/j.1399-5618.2004.00167.x</w:t>
        </w:r>
      </w:hyperlink>
    </w:p>
    <w:p w14:paraId="0AF9219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Olvet, D. M., Stearns, W. H., McLaughlin, D., Auther, A. M., Correll, C. U., &amp; Cornblatt, B. A. (2010). Comparing clinical and neurocognitive features of the schizophrenia prodrome to the bipolar prodrome.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(1), 59–63. </w:t>
      </w:r>
      <w:hyperlink r:id="rId4276" w:history="1">
        <w:r w:rsidRPr="001768F9">
          <w:rPr>
            <w:rFonts w:ascii="Times New Roman" w:eastAsia="Times New Roman" w:hAnsi="Times New Roman" w:cs="Times New Roman"/>
            <w:color w:val="0000FF"/>
            <w:sz w:val="24"/>
            <w:szCs w:val="24"/>
            <w:u w:val="single"/>
          </w:rPr>
          <w:t>https://doi.org/10.1016/j.schres.2010.07.005</w:t>
        </w:r>
      </w:hyperlink>
    </w:p>
    <w:p w14:paraId="12897E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Olzak, M., Laskowska, I., Jelonek, J., Michalak, M., Szolna, A., Gryz, J., Harat, M., &amp; Gorzelanczyk, E. J. (2006). Psychomotor and executive functioning after unilateral posteroventral pallidotomy in patients with Parkinson’s disease.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248</w:t>
      </w:r>
      <w:r w:rsidRPr="001768F9">
        <w:rPr>
          <w:rFonts w:ascii="Times New Roman" w:eastAsia="Times New Roman" w:hAnsi="Times New Roman" w:cs="Times New Roman"/>
          <w:sz w:val="24"/>
          <w:szCs w:val="24"/>
        </w:rPr>
        <w:t xml:space="preserve">(1–2), 97–103. </w:t>
      </w:r>
      <w:hyperlink r:id="rId4277" w:history="1">
        <w:r w:rsidRPr="001768F9">
          <w:rPr>
            <w:rFonts w:ascii="Times New Roman" w:eastAsia="Times New Roman" w:hAnsi="Times New Roman" w:cs="Times New Roman"/>
            <w:color w:val="0000FF"/>
            <w:sz w:val="24"/>
            <w:szCs w:val="24"/>
            <w:u w:val="single"/>
          </w:rPr>
          <w:t>https://doi.org/10.1016/j.jns.2006.05.046</w:t>
        </w:r>
      </w:hyperlink>
    </w:p>
    <w:p w14:paraId="3FD486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Omdal, R., Brokstad, K., Waterloo, K., Koldingsnes, W., Jonsson, R., &amp; Mellgren, S. I. (2005). Neuropsychiatric disturbances in SLE are associated with antibodies against NMDA receptors.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(5), 392–398. </w:t>
      </w:r>
      <w:hyperlink r:id="rId4278" w:history="1">
        <w:r w:rsidRPr="001768F9">
          <w:rPr>
            <w:rFonts w:ascii="Times New Roman" w:eastAsia="Times New Roman" w:hAnsi="Times New Roman" w:cs="Times New Roman"/>
            <w:color w:val="0000FF"/>
            <w:sz w:val="24"/>
            <w:szCs w:val="24"/>
            <w:u w:val="single"/>
          </w:rPr>
          <w:t>https://doi.org/10.1111/j.1468-1331.2004.00976.x</w:t>
        </w:r>
      </w:hyperlink>
    </w:p>
    <w:p w14:paraId="574542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Omiya, H., Yamashita, K., Miyata, T., Hatakeyama, Y., Miyajima, M., Yambe, K., Matsumoto, I., Matsui, M., Toyomaki, A., &amp; Denda, K. (2016). Pilot study of the effects of cognitive remediation therapy using the frontal/executive program for treating chronic schizophrenia. </w:t>
      </w:r>
      <w:r w:rsidRPr="001768F9">
        <w:rPr>
          <w:rFonts w:ascii="Times New Roman" w:eastAsia="Times New Roman" w:hAnsi="Times New Roman" w:cs="Times New Roman"/>
          <w:i/>
          <w:iCs/>
          <w:sz w:val="24"/>
          <w:szCs w:val="24"/>
        </w:rPr>
        <w:t>The Open Psychology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 </w:t>
      </w:r>
      <w:hyperlink r:id="rId4279" w:history="1">
        <w:r w:rsidRPr="001768F9">
          <w:rPr>
            <w:rFonts w:ascii="Times New Roman" w:eastAsia="Times New Roman" w:hAnsi="Times New Roman" w:cs="Times New Roman"/>
            <w:color w:val="0000FF"/>
            <w:sz w:val="24"/>
            <w:szCs w:val="24"/>
            <w:u w:val="single"/>
          </w:rPr>
          <w:t>https://doi.org/10.2174/1874350101609010121</w:t>
        </w:r>
      </w:hyperlink>
    </w:p>
    <w:p w14:paraId="171E30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Omori, I. M., Murata, Y., Yamanishi, T., Nakaaki, S., Akechi, T., Mikuni, M., &amp; Furukawa, T. A. (2007). The differential impact of executive attention dysfunction on episodic memory in obsessive-compulsive disorder patients with checking symptoms vs. Those with washing symptoms.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(9), 776–784. </w:t>
      </w:r>
      <w:hyperlink r:id="rId4280" w:history="1">
        <w:r w:rsidRPr="001768F9">
          <w:rPr>
            <w:rFonts w:ascii="Times New Roman" w:eastAsia="Times New Roman" w:hAnsi="Times New Roman" w:cs="Times New Roman"/>
            <w:color w:val="0000FF"/>
            <w:sz w:val="24"/>
            <w:szCs w:val="24"/>
            <w:u w:val="single"/>
          </w:rPr>
          <w:t>https://doi.org/10.1016/j.jpsychires.2006.05.005</w:t>
        </w:r>
      </w:hyperlink>
    </w:p>
    <w:p w14:paraId="7C3EBC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Onaka, Y., Shintani, N., Nakazawa, T., Kanoh, T., Ago, Y., Matsuda, T., Hashimoto, R., Ohi, K., Hirai, H., Nagata, K., Nakamura, M., Kasai, A., Hayata-Takano, A., Nagayasu, K., Takuma, K., Ogawa, A., Baba, A., &amp; Hashimoto, H. (2016). Prostaglandin D₂ signaling mediated by the CRTH2 receptor is involved in MK-801-induced cognitive dysfunction. </w:t>
      </w:r>
      <w:r w:rsidRPr="001768F9">
        <w:rPr>
          <w:rFonts w:ascii="Times New Roman" w:eastAsia="Times New Roman" w:hAnsi="Times New Roman" w:cs="Times New Roman"/>
          <w:i/>
          <w:iCs/>
          <w:sz w:val="24"/>
          <w:szCs w:val="24"/>
        </w:rPr>
        <w:t>Behavioural 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314</w:t>
      </w:r>
      <w:r w:rsidRPr="001768F9">
        <w:rPr>
          <w:rFonts w:ascii="Times New Roman" w:eastAsia="Times New Roman" w:hAnsi="Times New Roman" w:cs="Times New Roman"/>
          <w:sz w:val="24"/>
          <w:szCs w:val="24"/>
        </w:rPr>
        <w:t xml:space="preserve">, 77–86. </w:t>
      </w:r>
      <w:hyperlink r:id="rId4281" w:history="1">
        <w:r w:rsidRPr="001768F9">
          <w:rPr>
            <w:rFonts w:ascii="Times New Roman" w:eastAsia="Times New Roman" w:hAnsi="Times New Roman" w:cs="Times New Roman"/>
            <w:color w:val="0000FF"/>
            <w:sz w:val="24"/>
            <w:szCs w:val="24"/>
            <w:u w:val="single"/>
          </w:rPr>
          <w:t>https://doi.org/10.1016/j.bbr.2016.07.050</w:t>
        </w:r>
      </w:hyperlink>
    </w:p>
    <w:p w14:paraId="0DD588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Öncü, B., &amp; Ölmez, Ş. (2004). Dikkat Eksikliği ve Hiperaktivite Bozukluğu Olan Erişkinlerde Nöropsikolojik Bulgular. [Neuropsychological Findings in Adults with Attention Deficit Hyperactivity Disorder.]. </w:t>
      </w:r>
      <w:r w:rsidRPr="001768F9">
        <w:rPr>
          <w:rFonts w:ascii="Times New Roman" w:eastAsia="Times New Roman" w:hAnsi="Times New Roman" w:cs="Times New Roman"/>
          <w:i/>
          <w:iCs/>
          <w:sz w:val="24"/>
          <w:szCs w:val="24"/>
        </w:rPr>
        <w:t>Türk Psikiyatri Dergisi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(1), 41–46.</w:t>
      </w:r>
    </w:p>
    <w:p w14:paraId="53E297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O’Neil-Pirozzi, T. M., &amp; Hsu, H. (2016). Feasibility and benefits of computerized cognitive exercise to adults with chronic moderate-to-severe cognitive impairments following an acquired brain injury: A pilot study.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(13–14), 1617–1625. </w:t>
      </w:r>
      <w:hyperlink r:id="rId4282" w:history="1">
        <w:r w:rsidRPr="001768F9">
          <w:rPr>
            <w:rFonts w:ascii="Times New Roman" w:eastAsia="Times New Roman" w:hAnsi="Times New Roman" w:cs="Times New Roman"/>
            <w:color w:val="0000FF"/>
            <w:sz w:val="24"/>
            <w:szCs w:val="24"/>
            <w:u w:val="single"/>
          </w:rPr>
          <w:t>https://doi.org/10.1080/02699052.2016.1199906</w:t>
        </w:r>
      </w:hyperlink>
    </w:p>
    <w:p w14:paraId="36E487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Önen, S., &amp; Budak, E. (2020). Morbid Obez Bireylerde Depresyon ve Kaygı Belirtileri ile Bilişsel Esneklik Kaybı Arasındaki İlişki. [The relationship between depression and anxiety symptoms and decreased cognitive flexibility in morbidly obese individuals.]. </w:t>
      </w:r>
      <w:r w:rsidRPr="001768F9">
        <w:rPr>
          <w:rFonts w:ascii="Times New Roman" w:eastAsia="Times New Roman" w:hAnsi="Times New Roman" w:cs="Times New Roman"/>
          <w:i/>
          <w:iCs/>
          <w:sz w:val="24"/>
          <w:szCs w:val="24"/>
        </w:rPr>
        <w:t>Journal of Cognitive Behavioral Psychotherapy and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(3), 211–220.</w:t>
      </w:r>
    </w:p>
    <w:p w14:paraId="78258E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Öner, Ö., &amp; Munir, K. (2005). Attentional and neurocognitive characteristics of high-risk offspring of parents with schizophrenia compared with DSM-IV attention deficit hyperactivity disorder children.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(2–3), 293–299. </w:t>
      </w:r>
      <w:hyperlink r:id="rId4283" w:history="1">
        <w:r w:rsidRPr="001768F9">
          <w:rPr>
            <w:rFonts w:ascii="Times New Roman" w:eastAsia="Times New Roman" w:hAnsi="Times New Roman" w:cs="Times New Roman"/>
            <w:color w:val="0000FF"/>
            <w:sz w:val="24"/>
            <w:szCs w:val="24"/>
            <w:u w:val="single"/>
          </w:rPr>
          <w:t>https://doi.org/10.1016/j.schres.2005.01.005</w:t>
        </w:r>
      </w:hyperlink>
    </w:p>
    <w:p w14:paraId="53DF2FF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Öner, Ö., Özgüven, H. D., Öktem, F., Yağmurlu, B., Baskak, B., Ölmez, Ş., &amp; Munir, K. (2009). Proton magnetic resonance spectroscopy in Asperger’s syndrome: Correlations with neuropsychological test scores. </w:t>
      </w:r>
      <w:r w:rsidRPr="001768F9">
        <w:rPr>
          <w:rFonts w:ascii="Times New Roman" w:eastAsia="Times New Roman" w:hAnsi="Times New Roman" w:cs="Times New Roman"/>
          <w:i/>
          <w:iCs/>
          <w:sz w:val="24"/>
          <w:szCs w:val="24"/>
        </w:rPr>
        <w:t>Türk Psikiyatri Dergisi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(1), 1–6.</w:t>
      </w:r>
    </w:p>
    <w:p w14:paraId="343F8A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Ong, J. C., Seel, R. T., Carne, W. F., Brown, R., Pegg, P. O., &amp; Jehle, P. J. (2005). A brief neuropsychological protocol for assessing patients with Parkinson’s disease.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(3), 191–203.</w:t>
      </w:r>
    </w:p>
    <w:p w14:paraId="04C312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Öngür, D., &amp; Goff, D. C. (2005). Obsessive-compulsive symptoms in schizophrenia: Associated clinical features, cognitive function and medication status.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75</w:t>
      </w:r>
      <w:r w:rsidRPr="001768F9">
        <w:rPr>
          <w:rFonts w:ascii="Times New Roman" w:eastAsia="Times New Roman" w:hAnsi="Times New Roman" w:cs="Times New Roman"/>
          <w:sz w:val="24"/>
          <w:szCs w:val="24"/>
        </w:rPr>
        <w:t xml:space="preserve">(2–3), 349–362. </w:t>
      </w:r>
      <w:hyperlink r:id="rId4284" w:history="1">
        <w:r w:rsidRPr="001768F9">
          <w:rPr>
            <w:rFonts w:ascii="Times New Roman" w:eastAsia="Times New Roman" w:hAnsi="Times New Roman" w:cs="Times New Roman"/>
            <w:color w:val="0000FF"/>
            <w:sz w:val="24"/>
            <w:szCs w:val="24"/>
            <w:u w:val="single"/>
          </w:rPr>
          <w:t>https://doi.org/10.1016/j.schres.2004.08.012</w:t>
        </w:r>
      </w:hyperlink>
    </w:p>
    <w:p w14:paraId="4A9955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Onida, A., Di Vita, A., Bianchini, F., Rivera, D., Morlett-Paredes, A., Guariglia, C., &amp; Arango-Lasprilla, J. C. (2019). Neuropsychology as a profession in Italy.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(6), 543–557. </w:t>
      </w:r>
      <w:hyperlink r:id="rId4285" w:history="1">
        <w:r w:rsidRPr="001768F9">
          <w:rPr>
            <w:rFonts w:ascii="Times New Roman" w:eastAsia="Times New Roman" w:hAnsi="Times New Roman" w:cs="Times New Roman"/>
            <w:color w:val="0000FF"/>
            <w:sz w:val="24"/>
            <w:szCs w:val="24"/>
            <w:u w:val="single"/>
          </w:rPr>
          <w:t>https://doi.org/10.1080/23279095.2018.1466782</w:t>
        </w:r>
      </w:hyperlink>
    </w:p>
    <w:p w14:paraId="777C2B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Onyper, S. V., Searleman, A., Thacher, P. V., Maine, E. E., &amp; Johnson, A. G. (2010). Executive functioning and general cognitive ability in pregnant women and matched controls.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(9), 986–995. </w:t>
      </w:r>
      <w:hyperlink r:id="rId4286" w:history="1">
        <w:r w:rsidRPr="001768F9">
          <w:rPr>
            <w:rFonts w:ascii="Times New Roman" w:eastAsia="Times New Roman" w:hAnsi="Times New Roman" w:cs="Times New Roman"/>
            <w:color w:val="0000FF"/>
            <w:sz w:val="24"/>
            <w:szCs w:val="24"/>
            <w:u w:val="single"/>
          </w:rPr>
          <w:t>https://doi.org/10.1080/13803391003662694</w:t>
        </w:r>
      </w:hyperlink>
    </w:p>
    <w:p w14:paraId="719DAB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Oosterman, J. M., Vogels, R. L. C., van Harten, B., Gouw, A. A., Scheltens, P., Poggesi, A., Weinstein, H. C., &amp; Scherder, E. J. A. (2008). The role of white matter hyperintensities and medial temporal lobe atrophy in age-related executive dysfunctioning.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(2), 128–133. </w:t>
      </w:r>
      <w:hyperlink r:id="rId4287" w:history="1">
        <w:r w:rsidRPr="001768F9">
          <w:rPr>
            <w:rFonts w:ascii="Times New Roman" w:eastAsia="Times New Roman" w:hAnsi="Times New Roman" w:cs="Times New Roman"/>
            <w:color w:val="0000FF"/>
            <w:sz w:val="24"/>
            <w:szCs w:val="24"/>
            <w:u w:val="single"/>
          </w:rPr>
          <w:t>https://doi.org/10.1016/j.bandc.2008.03.006</w:t>
        </w:r>
      </w:hyperlink>
    </w:p>
    <w:p w14:paraId="48CA7F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Oppetit, A., Bourgin, J., Martinez, G., Kazes, M., Mam‐Lam‐Fook, C., Gaillard, R., Olié, J., &amp; Krebs, M. (2018). The C’JAAD: A French team for early intervention in psychosis in Paris. </w:t>
      </w:r>
      <w:r w:rsidRPr="001768F9">
        <w:rPr>
          <w:rFonts w:ascii="Times New Roman" w:eastAsia="Times New Roman" w:hAnsi="Times New Roman" w:cs="Times New Roman"/>
          <w:i/>
          <w:iCs/>
          <w:sz w:val="24"/>
          <w:szCs w:val="24"/>
        </w:rPr>
        <w:t>Early Intervention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(2), 243–249. </w:t>
      </w:r>
      <w:hyperlink r:id="rId4288" w:history="1">
        <w:r w:rsidRPr="001768F9">
          <w:rPr>
            <w:rFonts w:ascii="Times New Roman" w:eastAsia="Times New Roman" w:hAnsi="Times New Roman" w:cs="Times New Roman"/>
            <w:color w:val="0000FF"/>
            <w:sz w:val="24"/>
            <w:szCs w:val="24"/>
            <w:u w:val="single"/>
          </w:rPr>
          <w:t>https://doi.org/10.1111/eip.12376</w:t>
        </w:r>
      </w:hyperlink>
    </w:p>
    <w:p w14:paraId="1B7B35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Oral, E., Canpolat, S., Yildirim, S., Gulec, M., Aliyev, E., &amp; Aydin, N. (2012). Cognitive functions and serum levels of brain-derived neurotrophic factor in patients with major depressive disorder. </w:t>
      </w:r>
      <w:r w:rsidRPr="001768F9">
        <w:rPr>
          <w:rFonts w:ascii="Times New Roman" w:eastAsia="Times New Roman" w:hAnsi="Times New Roman" w:cs="Times New Roman"/>
          <w:i/>
          <w:iCs/>
          <w:sz w:val="24"/>
          <w:szCs w:val="24"/>
        </w:rPr>
        <w:t>Brain Research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88</w:t>
      </w:r>
      <w:r w:rsidRPr="001768F9">
        <w:rPr>
          <w:rFonts w:ascii="Times New Roman" w:eastAsia="Times New Roman" w:hAnsi="Times New Roman" w:cs="Times New Roman"/>
          <w:sz w:val="24"/>
          <w:szCs w:val="24"/>
        </w:rPr>
        <w:t xml:space="preserve">(5), 454–459. </w:t>
      </w:r>
      <w:hyperlink r:id="rId4289" w:history="1">
        <w:r w:rsidRPr="001768F9">
          <w:rPr>
            <w:rFonts w:ascii="Times New Roman" w:eastAsia="Times New Roman" w:hAnsi="Times New Roman" w:cs="Times New Roman"/>
            <w:color w:val="0000FF"/>
            <w:sz w:val="24"/>
            <w:szCs w:val="24"/>
            <w:u w:val="single"/>
          </w:rPr>
          <w:t>https://doi.org/10.1016/j.brainresbull.2012.03.005</w:t>
        </w:r>
      </w:hyperlink>
    </w:p>
    <w:p w14:paraId="60AD4D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Ord, J. S., Greve, K. W., Bianchini, K. J., &amp; Aguerrevere, L. E. (2010). Executive dysfunction in traumatic brain injury: The effects of injury severity and effort on the Wisconsin Card Sorting Test.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(2), 132–140. </w:t>
      </w:r>
      <w:hyperlink r:id="rId4290" w:history="1">
        <w:r w:rsidRPr="001768F9">
          <w:rPr>
            <w:rFonts w:ascii="Times New Roman" w:eastAsia="Times New Roman" w:hAnsi="Times New Roman" w:cs="Times New Roman"/>
            <w:color w:val="0000FF"/>
            <w:sz w:val="24"/>
            <w:szCs w:val="24"/>
            <w:u w:val="single"/>
          </w:rPr>
          <w:t>https://doi.org/10.1080/13803390902858874</w:t>
        </w:r>
      </w:hyperlink>
    </w:p>
    <w:p w14:paraId="737FC4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Orfei, M. D., Caltagirone, C., Cacciari, C., Assogna, F., &amp; Spalletta, G. (2011). The neuropsychological correlates of cognitive insight in healthy participants. </w:t>
      </w:r>
      <w:r w:rsidRPr="001768F9">
        <w:rPr>
          <w:rFonts w:ascii="Times New Roman" w:eastAsia="Times New Roman" w:hAnsi="Times New Roman" w:cs="Times New Roman"/>
          <w:i/>
          <w:iCs/>
          <w:sz w:val="24"/>
          <w:szCs w:val="24"/>
        </w:rPr>
        <w:t>Applied 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(6), 927–932. </w:t>
      </w:r>
      <w:hyperlink r:id="rId4291" w:history="1">
        <w:r w:rsidRPr="001768F9">
          <w:rPr>
            <w:rFonts w:ascii="Times New Roman" w:eastAsia="Times New Roman" w:hAnsi="Times New Roman" w:cs="Times New Roman"/>
            <w:color w:val="0000FF"/>
            <w:sz w:val="24"/>
            <w:szCs w:val="24"/>
            <w:u w:val="single"/>
          </w:rPr>
          <w:t>https://doi.org/10.1002/acp.1771</w:t>
        </w:r>
      </w:hyperlink>
    </w:p>
    <w:p w14:paraId="07A18E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Orfei, M. D., Piras, F., Banaj, N., Di Lorenzo, G., Siracusano, A., Caltagirone, C., Bandinelli, P. L., Ducci, G., &amp; Spalletta, G. (2017). Unrealistic self-overconfidence in schizophrenia is associated with left presubiculum atrophy and impaired episodic memory.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86</w:t>
      </w:r>
      <w:r w:rsidRPr="001768F9">
        <w:rPr>
          <w:rFonts w:ascii="Times New Roman" w:eastAsia="Times New Roman" w:hAnsi="Times New Roman" w:cs="Times New Roman"/>
          <w:sz w:val="24"/>
          <w:szCs w:val="24"/>
        </w:rPr>
        <w:t xml:space="preserve">, 132–139. </w:t>
      </w:r>
      <w:hyperlink r:id="rId4292" w:history="1">
        <w:r w:rsidRPr="001768F9">
          <w:rPr>
            <w:rFonts w:ascii="Times New Roman" w:eastAsia="Times New Roman" w:hAnsi="Times New Roman" w:cs="Times New Roman"/>
            <w:color w:val="0000FF"/>
            <w:sz w:val="24"/>
            <w:szCs w:val="24"/>
            <w:u w:val="single"/>
          </w:rPr>
          <w:t>https://doi.org/10.1016/j.cortex.2016.10.017</w:t>
        </w:r>
      </w:hyperlink>
    </w:p>
    <w:p w14:paraId="5BF332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Orfei, M. D., Spoletini, I., Banfi, G., Caltagirone, C., &amp; Spalletta, G. (2010). Neuropsychological correlates of cognitive insight in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178</w:t>
      </w:r>
      <w:r w:rsidRPr="001768F9">
        <w:rPr>
          <w:rFonts w:ascii="Times New Roman" w:eastAsia="Times New Roman" w:hAnsi="Times New Roman" w:cs="Times New Roman"/>
          <w:sz w:val="24"/>
          <w:szCs w:val="24"/>
        </w:rPr>
        <w:t xml:space="preserve">(1), 51–56. </w:t>
      </w:r>
      <w:hyperlink r:id="rId4293" w:history="1">
        <w:r w:rsidRPr="001768F9">
          <w:rPr>
            <w:rFonts w:ascii="Times New Roman" w:eastAsia="Times New Roman" w:hAnsi="Times New Roman" w:cs="Times New Roman"/>
            <w:color w:val="0000FF"/>
            <w:sz w:val="24"/>
            <w:szCs w:val="24"/>
            <w:u w:val="single"/>
          </w:rPr>
          <w:t>https://doi.org/10.1016/j.psychres.2009.05.013</w:t>
        </w:r>
      </w:hyperlink>
    </w:p>
    <w:p w14:paraId="1BEB97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Orme, D. R. (2012). Neuropsychological conditions experienced solely or more commonly by military and veteran populations. In </w:t>
      </w:r>
      <w:r w:rsidRPr="001768F9">
        <w:rPr>
          <w:rFonts w:ascii="Times New Roman" w:eastAsia="Times New Roman" w:hAnsi="Times New Roman" w:cs="Times New Roman"/>
          <w:i/>
          <w:iCs/>
          <w:sz w:val="24"/>
          <w:szCs w:val="24"/>
        </w:rPr>
        <w:t>Neuropsychological practice with veterans.</w:t>
      </w:r>
      <w:r w:rsidRPr="001768F9">
        <w:rPr>
          <w:rFonts w:ascii="Times New Roman" w:eastAsia="Times New Roman" w:hAnsi="Times New Roman" w:cs="Times New Roman"/>
          <w:sz w:val="24"/>
          <w:szCs w:val="24"/>
        </w:rPr>
        <w:t xml:space="preserve"> (pp. 257–278). Springer Publishing Co.</w:t>
      </w:r>
    </w:p>
    <w:p w14:paraId="38181B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Ornstein, T. J., Arnold, P., Manassis, K., Mendlowitz, S., &amp; Schachar, R. (2010). Neuropsychological performance in childhood OCD: A preliminary study. </w:t>
      </w:r>
      <w:r w:rsidRPr="001768F9">
        <w:rPr>
          <w:rFonts w:ascii="Times New Roman" w:eastAsia="Times New Roman" w:hAnsi="Times New Roman" w:cs="Times New Roman"/>
          <w:i/>
          <w:iCs/>
          <w:sz w:val="24"/>
          <w:szCs w:val="24"/>
        </w:rPr>
        <w:t>Depression and Anxiety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(4), 372–380. </w:t>
      </w:r>
      <w:hyperlink r:id="rId4294" w:history="1">
        <w:r w:rsidRPr="001768F9">
          <w:rPr>
            <w:rFonts w:ascii="Times New Roman" w:eastAsia="Times New Roman" w:hAnsi="Times New Roman" w:cs="Times New Roman"/>
            <w:color w:val="0000FF"/>
            <w:sz w:val="24"/>
            <w:szCs w:val="24"/>
            <w:u w:val="single"/>
          </w:rPr>
          <w:t>https://doi.org/10.1002/da.20638</w:t>
        </w:r>
      </w:hyperlink>
    </w:p>
    <w:p w14:paraId="0FF2FF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Ortega, A. (1997). </w:t>
      </w:r>
      <w:r w:rsidRPr="001768F9">
        <w:rPr>
          <w:rFonts w:ascii="Times New Roman" w:eastAsia="Times New Roman" w:hAnsi="Times New Roman" w:cs="Times New Roman"/>
          <w:i/>
          <w:iCs/>
          <w:sz w:val="24"/>
          <w:szCs w:val="24"/>
        </w:rPr>
        <w:t>The contributions of neuropsychological deficits and premorbid personality to post-brain injury paranoia.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(1-B), 424–424.</w:t>
      </w:r>
    </w:p>
    <w:p w14:paraId="7840AD2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Ortega, R., López, V., Carrasco, X., Anllo-Vento, L., &amp; Aboitiz, F. (2013). Exogenous orienting of visual-spatial attention in ADHD children. </w:t>
      </w:r>
      <w:r w:rsidRPr="001768F9">
        <w:rPr>
          <w:rFonts w:ascii="Times New Roman" w:eastAsia="Times New Roman" w:hAnsi="Times New Roman" w:cs="Times New Roman"/>
          <w:i/>
          <w:iCs/>
          <w:sz w:val="24"/>
          <w:szCs w:val="24"/>
        </w:rPr>
        <w:t>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1493</w:t>
      </w:r>
      <w:r w:rsidRPr="001768F9">
        <w:rPr>
          <w:rFonts w:ascii="Times New Roman" w:eastAsia="Times New Roman" w:hAnsi="Times New Roman" w:cs="Times New Roman"/>
          <w:sz w:val="24"/>
          <w:szCs w:val="24"/>
        </w:rPr>
        <w:t xml:space="preserve">, 68–79. </w:t>
      </w:r>
      <w:hyperlink r:id="rId4295" w:history="1">
        <w:r w:rsidRPr="001768F9">
          <w:rPr>
            <w:rFonts w:ascii="Times New Roman" w:eastAsia="Times New Roman" w:hAnsi="Times New Roman" w:cs="Times New Roman"/>
            <w:color w:val="0000FF"/>
            <w:sz w:val="24"/>
            <w:szCs w:val="24"/>
            <w:u w:val="single"/>
          </w:rPr>
          <w:t>https://doi.org/10.1016/j.brainres.2012.11.036</w:t>
        </w:r>
      </w:hyperlink>
    </w:p>
    <w:p w14:paraId="643EF72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Ortuño, F., Arbizu, J., Soutullo, C. A., &amp; Bonelli, R. M. (2009). Is there a cortical blood flow redistribution pattern related with perseverative error in schizophrenia? </w:t>
      </w:r>
      <w:r w:rsidRPr="001768F9">
        <w:rPr>
          <w:rFonts w:ascii="Times New Roman" w:eastAsia="Times New Roman" w:hAnsi="Times New Roman" w:cs="Times New Roman"/>
          <w:i/>
          <w:iCs/>
          <w:sz w:val="24"/>
          <w:szCs w:val="24"/>
        </w:rPr>
        <w:t>Psychiatria Danubina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(3), 283–289.</w:t>
      </w:r>
    </w:p>
    <w:p w14:paraId="5E9D3C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Osborne, R. A., Sekhon, R., Johnston, W., &amp; Kalra, S. (2014). Screening for frontal lobe and general cognitive impairment in patients with amyotrophic lateral sclerosis.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336</w:t>
      </w:r>
      <w:r w:rsidRPr="001768F9">
        <w:rPr>
          <w:rFonts w:ascii="Times New Roman" w:eastAsia="Times New Roman" w:hAnsi="Times New Roman" w:cs="Times New Roman"/>
          <w:sz w:val="24"/>
          <w:szCs w:val="24"/>
        </w:rPr>
        <w:t xml:space="preserve">(1–2), 191–196. </w:t>
      </w:r>
      <w:hyperlink r:id="rId4296" w:history="1">
        <w:r w:rsidRPr="001768F9">
          <w:rPr>
            <w:rFonts w:ascii="Times New Roman" w:eastAsia="Times New Roman" w:hAnsi="Times New Roman" w:cs="Times New Roman"/>
            <w:color w:val="0000FF"/>
            <w:sz w:val="24"/>
            <w:szCs w:val="24"/>
            <w:u w:val="single"/>
          </w:rPr>
          <w:t>https://doi.org/10.1016/j.jns.2013.10.038</w:t>
        </w:r>
      </w:hyperlink>
    </w:p>
    <w:p w14:paraId="512ED0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Oscar-Berman, M., Valmas, M. M., Sawyer, K. S., Kirkley, S. M., Gansler, D. A., Merritt, D., &amp; Couture, A. (2009). Frontal brain dysfunction in alcoholism with and without antisocial personality disorder.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w:t>
      </w:r>
    </w:p>
    <w:p w14:paraId="0C1136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Osher, Y., Bersudsky, Y., Silver, H., Sela, B.-A., &amp; Belmaker, R. H. (2008). Neuropsychological correlates of homocysteine levels in euthymic bipolar patients.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(1–3), 229–233. </w:t>
      </w:r>
      <w:hyperlink r:id="rId4297" w:history="1">
        <w:r w:rsidRPr="001768F9">
          <w:rPr>
            <w:rFonts w:ascii="Times New Roman" w:eastAsia="Times New Roman" w:hAnsi="Times New Roman" w:cs="Times New Roman"/>
            <w:color w:val="0000FF"/>
            <w:sz w:val="24"/>
            <w:szCs w:val="24"/>
            <w:u w:val="single"/>
          </w:rPr>
          <w:t>https://doi.org/10.1016/j.jad.2007.04.005</w:t>
        </w:r>
      </w:hyperlink>
    </w:p>
    <w:p w14:paraId="0B5F5E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Osimani, A., Berger, A., Friedman, J., Porat-Katz, B.-S., &amp; Abarbanel, J. M. (2005). Neuropsychology of Vitamin B₁₂ Deficiency in Elderly Dementia Patients and Control Subjects. </w:t>
      </w:r>
      <w:r w:rsidRPr="001768F9">
        <w:rPr>
          <w:rFonts w:ascii="Times New Roman" w:eastAsia="Times New Roman" w:hAnsi="Times New Roman" w:cs="Times New Roman"/>
          <w:i/>
          <w:iCs/>
          <w:sz w:val="24"/>
          <w:szCs w:val="24"/>
        </w:rPr>
        <w:t>Journal of Geriatric Psychiatry and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33–38. </w:t>
      </w:r>
      <w:hyperlink r:id="rId4298" w:history="1">
        <w:r w:rsidRPr="001768F9">
          <w:rPr>
            <w:rFonts w:ascii="Times New Roman" w:eastAsia="Times New Roman" w:hAnsi="Times New Roman" w:cs="Times New Roman"/>
            <w:color w:val="0000FF"/>
            <w:sz w:val="24"/>
            <w:szCs w:val="24"/>
            <w:u w:val="single"/>
          </w:rPr>
          <w:t>https://doi.org/10.1177/0891988704272308</w:t>
        </w:r>
      </w:hyperlink>
    </w:p>
    <w:p w14:paraId="64C126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Osimani, A., Vakil, E., Blinder, G., Sobel, R., &amp; Abarbanel, J. M. (2006). Basal forebrain amnesia: A case study.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65–70. </w:t>
      </w:r>
      <w:hyperlink r:id="rId4299" w:history="1">
        <w:r w:rsidRPr="001768F9">
          <w:rPr>
            <w:rFonts w:ascii="Times New Roman" w:eastAsia="Times New Roman" w:hAnsi="Times New Roman" w:cs="Times New Roman"/>
            <w:color w:val="0000FF"/>
            <w:sz w:val="24"/>
            <w:szCs w:val="24"/>
            <w:u w:val="single"/>
          </w:rPr>
          <w:t>https://doi.org/10.1097/01.wnn.0000213901.82697.d5</w:t>
        </w:r>
      </w:hyperlink>
    </w:p>
    <w:p w14:paraId="60E2D0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Osório, A., Cruz, R., Sampaio, A., Garayzábal, E., Martínez-Regueiro, R., Gonçalves, Ó. F., Carracedo, Á., &amp; Fernández-Prieto, M. (2012). How executive functions are related to intelligence in Williams syndrome. </w:t>
      </w:r>
      <w:r w:rsidRPr="001768F9">
        <w:rPr>
          <w:rFonts w:ascii="Times New Roman" w:eastAsia="Times New Roman" w:hAnsi="Times New Roman" w:cs="Times New Roman"/>
          <w:i/>
          <w:iCs/>
          <w:sz w:val="24"/>
          <w:szCs w:val="24"/>
        </w:rPr>
        <w:t>Research in Developmental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1169–1175. </w:t>
      </w:r>
      <w:hyperlink r:id="rId4300" w:history="1">
        <w:r w:rsidRPr="001768F9">
          <w:rPr>
            <w:rFonts w:ascii="Times New Roman" w:eastAsia="Times New Roman" w:hAnsi="Times New Roman" w:cs="Times New Roman"/>
            <w:color w:val="0000FF"/>
            <w:sz w:val="24"/>
            <w:szCs w:val="24"/>
            <w:u w:val="single"/>
          </w:rPr>
          <w:t>https://doi.org/10.1016/j.ridd.2012.02.003</w:t>
        </w:r>
      </w:hyperlink>
    </w:p>
    <w:p w14:paraId="7865F9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Ospina, L. H., Russo, M., Nitzburg, G. M., Cuesta‐Diaz, A., Shanahan, M., Perez‐Rodriguez, M. M., Mcgrath, M., Levine, H., Mulaimovic, S., &amp; Burdick, K. E. (2016). The effects of cigarette smoking behavior and psychosis history on general and social cognition in bipolar disorder.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(6), 528–538. </w:t>
      </w:r>
      <w:hyperlink r:id="rId4301" w:history="1">
        <w:r w:rsidRPr="001768F9">
          <w:rPr>
            <w:rFonts w:ascii="Times New Roman" w:eastAsia="Times New Roman" w:hAnsi="Times New Roman" w:cs="Times New Roman"/>
            <w:color w:val="0000FF"/>
            <w:sz w:val="24"/>
            <w:szCs w:val="24"/>
            <w:u w:val="single"/>
          </w:rPr>
          <w:t>https://doi.org/10.1111/bdi.12420</w:t>
        </w:r>
      </w:hyperlink>
    </w:p>
    <w:p w14:paraId="7B252B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Østgård, H. F., Skranes, J., Martinussen, M., Jacobsen, G. W., Brubakk, A.-M., Vik, T., Pripp, A. H., &amp; Løhaugen, G. C. C. (2014). Neuropsychological deficits in young adults born small-for-gestational age (SGA) at term.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313–323. </w:t>
      </w:r>
      <w:hyperlink r:id="rId4302" w:history="1">
        <w:r w:rsidRPr="001768F9">
          <w:rPr>
            <w:rFonts w:ascii="Times New Roman" w:eastAsia="Times New Roman" w:hAnsi="Times New Roman" w:cs="Times New Roman"/>
            <w:color w:val="0000FF"/>
            <w:sz w:val="24"/>
            <w:szCs w:val="24"/>
            <w:u w:val="single"/>
          </w:rPr>
          <w:t>https://doi.org/10.1017/S1355617714000034</w:t>
        </w:r>
      </w:hyperlink>
    </w:p>
    <w:p w14:paraId="5BFF4A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Østgård, H. F., Sølsnes, A. E., Bjuland, K. J., Rimol, L. M., Martinussen, M., Brubakk, A.-M., Håberg, A. K., Skranes, J., &amp; Løhaugen, G. C. C. (2016). Executive function relates to surface area of frontal and temporal cortex in very-low-birth-weight late teenagers. </w:t>
      </w:r>
      <w:r w:rsidRPr="001768F9">
        <w:rPr>
          <w:rFonts w:ascii="Times New Roman" w:eastAsia="Times New Roman" w:hAnsi="Times New Roman" w:cs="Times New Roman"/>
          <w:i/>
          <w:iCs/>
          <w:sz w:val="24"/>
          <w:szCs w:val="24"/>
        </w:rPr>
        <w:t>Early Human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95</w:t>
      </w:r>
      <w:r w:rsidRPr="001768F9">
        <w:rPr>
          <w:rFonts w:ascii="Times New Roman" w:eastAsia="Times New Roman" w:hAnsi="Times New Roman" w:cs="Times New Roman"/>
          <w:sz w:val="24"/>
          <w:szCs w:val="24"/>
        </w:rPr>
        <w:t xml:space="preserve">, 47–53. </w:t>
      </w:r>
      <w:hyperlink r:id="rId4303" w:history="1">
        <w:r w:rsidRPr="001768F9">
          <w:rPr>
            <w:rFonts w:ascii="Times New Roman" w:eastAsia="Times New Roman" w:hAnsi="Times New Roman" w:cs="Times New Roman"/>
            <w:color w:val="0000FF"/>
            <w:sz w:val="24"/>
            <w:szCs w:val="24"/>
            <w:u w:val="single"/>
          </w:rPr>
          <w:t>https://doi.org/10.1016/j.earlhumdev.2016.01.023</w:t>
        </w:r>
      </w:hyperlink>
    </w:p>
    <w:p w14:paraId="6BD0D4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O’Sullivan, M., Morris, R. G., &amp; Markus, H. S. (2005). Brief cognitive assessment for patients with cerebral small vessel disease.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(8), 1140–1145. </w:t>
      </w:r>
      <w:hyperlink r:id="rId4304" w:history="1">
        <w:r w:rsidRPr="001768F9">
          <w:rPr>
            <w:rFonts w:ascii="Times New Roman" w:eastAsia="Times New Roman" w:hAnsi="Times New Roman" w:cs="Times New Roman"/>
            <w:color w:val="0000FF"/>
            <w:sz w:val="24"/>
            <w:szCs w:val="24"/>
            <w:u w:val="single"/>
          </w:rPr>
          <w:t>https://doi.org/10.1136/jnnp.2004.045963</w:t>
        </w:r>
      </w:hyperlink>
    </w:p>
    <w:p w14:paraId="45778B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Ota, V. K., Berberian, A. A., Gadelha, A., Santoro, M. L., Ottoni, G. L., Matsuzaka, C. T., Mari, J. J., Melaragno, M. I., Lara, D. R., Smith, M. A. C., Belangero, S. I., &amp; Bressan, R. A. (2013). Polymorphisms in schizophrenia candidate gene UFD1L may contribute to cognitive deficits.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209</w:t>
      </w:r>
      <w:r w:rsidRPr="001768F9">
        <w:rPr>
          <w:rFonts w:ascii="Times New Roman" w:eastAsia="Times New Roman" w:hAnsi="Times New Roman" w:cs="Times New Roman"/>
          <w:sz w:val="24"/>
          <w:szCs w:val="24"/>
        </w:rPr>
        <w:t xml:space="preserve">(1), 110–113. </w:t>
      </w:r>
      <w:hyperlink r:id="rId4305" w:history="1">
        <w:r w:rsidRPr="001768F9">
          <w:rPr>
            <w:rFonts w:ascii="Times New Roman" w:eastAsia="Times New Roman" w:hAnsi="Times New Roman" w:cs="Times New Roman"/>
            <w:color w:val="0000FF"/>
            <w:sz w:val="24"/>
            <w:szCs w:val="24"/>
            <w:u w:val="single"/>
          </w:rPr>
          <w:t>https://doi.org/10.1016/j.psychres.2013.03.035</w:t>
        </w:r>
      </w:hyperlink>
    </w:p>
    <w:p w14:paraId="163188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Otero, T. M., Podell, K., DeFina, P., &amp; Goldberg, E. (2013). Assessment of neuropsychological functioning. In </w:t>
      </w:r>
      <w:r w:rsidRPr="001768F9">
        <w:rPr>
          <w:rFonts w:ascii="Times New Roman" w:eastAsia="Times New Roman" w:hAnsi="Times New Roman" w:cs="Times New Roman"/>
          <w:i/>
          <w:iCs/>
          <w:sz w:val="24"/>
          <w:szCs w:val="24"/>
        </w:rPr>
        <w:t>Handbook of psychology: Assessment psychology, Vol. 10, 2nd ed.</w:t>
      </w:r>
      <w:r w:rsidRPr="001768F9">
        <w:rPr>
          <w:rFonts w:ascii="Times New Roman" w:eastAsia="Times New Roman" w:hAnsi="Times New Roman" w:cs="Times New Roman"/>
          <w:sz w:val="24"/>
          <w:szCs w:val="24"/>
        </w:rPr>
        <w:t xml:space="preserve"> (pp. 503–533). John Wiley &amp; Sons Inc.</w:t>
      </w:r>
    </w:p>
    <w:p w14:paraId="0540F1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O’Toole, M. S., &amp; Pedersen, A. D. (2011). A systematic review of neuropsychological performance in social anxiety disorder. </w:t>
      </w:r>
      <w:r w:rsidRPr="001768F9">
        <w:rPr>
          <w:rFonts w:ascii="Times New Roman" w:eastAsia="Times New Roman" w:hAnsi="Times New Roman" w:cs="Times New Roman"/>
          <w:i/>
          <w:iCs/>
          <w:sz w:val="24"/>
          <w:szCs w:val="24"/>
        </w:rPr>
        <w:t>Nordic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(3), 147–161. </w:t>
      </w:r>
      <w:hyperlink r:id="rId4306" w:history="1">
        <w:r w:rsidRPr="001768F9">
          <w:rPr>
            <w:rFonts w:ascii="Times New Roman" w:eastAsia="Times New Roman" w:hAnsi="Times New Roman" w:cs="Times New Roman"/>
            <w:color w:val="0000FF"/>
            <w:sz w:val="24"/>
            <w:szCs w:val="24"/>
            <w:u w:val="single"/>
          </w:rPr>
          <w:t>https://doi.org/10.3109/08039488.2011.565801</w:t>
        </w:r>
      </w:hyperlink>
    </w:p>
    <w:p w14:paraId="2770F6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Otsuka, S., Uono, S., Yoshimura, S., Zhao, S., &amp; Toichi, M. (2017). Emotion perception mediates the predictive relationship between verbal ability and functional outcome in high-functioning adults with autism spectrum disorder. </w:t>
      </w:r>
      <w:r w:rsidRPr="001768F9">
        <w:rPr>
          <w:rFonts w:ascii="Times New Roman" w:eastAsia="Times New Roman" w:hAnsi="Times New Roman" w:cs="Times New Roman"/>
          <w:i/>
          <w:iCs/>
          <w:sz w:val="24"/>
          <w:szCs w:val="24"/>
        </w:rPr>
        <w:t>Journal of Autism and Developmental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1166–1182. </w:t>
      </w:r>
      <w:hyperlink r:id="rId4307" w:history="1">
        <w:r w:rsidRPr="001768F9">
          <w:rPr>
            <w:rFonts w:ascii="Times New Roman" w:eastAsia="Times New Roman" w:hAnsi="Times New Roman" w:cs="Times New Roman"/>
            <w:color w:val="0000FF"/>
            <w:sz w:val="24"/>
            <w:szCs w:val="24"/>
            <w:u w:val="single"/>
          </w:rPr>
          <w:t>https://doi.org/10.1007/s10803-017-3036-1</w:t>
        </w:r>
      </w:hyperlink>
    </w:p>
    <w:p w14:paraId="33BC04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Ottino-González, J., Jurado, M. A., García-García, I., Caldú, X., Prats-Soteras, X., Tor, E., Sender-Palacios, M. J., &amp; Garolera, M. (2019). Allostatic load and executive functions in overweight adults. </w:t>
      </w:r>
      <w:r w:rsidRPr="001768F9">
        <w:rPr>
          <w:rFonts w:ascii="Times New Roman" w:eastAsia="Times New Roman" w:hAnsi="Times New Roman" w:cs="Times New Roman"/>
          <w:i/>
          <w:iCs/>
          <w:sz w:val="24"/>
          <w:szCs w:val="24"/>
        </w:rPr>
        <w:t>Psychoneuroendocrinology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 165–170. </w:t>
      </w:r>
      <w:hyperlink r:id="rId4308" w:history="1">
        <w:r w:rsidRPr="001768F9">
          <w:rPr>
            <w:rFonts w:ascii="Times New Roman" w:eastAsia="Times New Roman" w:hAnsi="Times New Roman" w:cs="Times New Roman"/>
            <w:color w:val="0000FF"/>
            <w:sz w:val="24"/>
            <w:szCs w:val="24"/>
            <w:u w:val="single"/>
          </w:rPr>
          <w:t>https://doi.org/10.1016/j.psyneuen.2019.04.009</w:t>
        </w:r>
      </w:hyperlink>
    </w:p>
    <w:p w14:paraId="4EF38F2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 H., Chen, P., Zhang, N., Chen, T., Shi, W., Wu, X., &amp; Guan, C. (2001). Cognitive dysfunction in depression. [Cognitive dysfunction in depression.]. </w:t>
      </w:r>
      <w:r w:rsidRPr="001768F9">
        <w:rPr>
          <w:rFonts w:ascii="Times New Roman" w:eastAsia="Times New Roman" w:hAnsi="Times New Roman" w:cs="Times New Roman"/>
          <w:i/>
          <w:iCs/>
          <w:sz w:val="24"/>
          <w:szCs w:val="24"/>
        </w:rPr>
        <w:t>Chinese Mental Health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(5), 339,340-341.</w:t>
      </w:r>
    </w:p>
    <w:p w14:paraId="70C6D8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 Y., Liu, F., Chen, J., Pan, P., Wu, R., Su, Q., Zhang, Z., Zhao, J., &amp; Guo, W. (2018). Increased coherence-based regional homogeneity in resting-state patients with first-episode, drug-naive somatization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235</w:t>
      </w:r>
      <w:r w:rsidRPr="001768F9">
        <w:rPr>
          <w:rFonts w:ascii="Times New Roman" w:eastAsia="Times New Roman" w:hAnsi="Times New Roman" w:cs="Times New Roman"/>
          <w:sz w:val="24"/>
          <w:szCs w:val="24"/>
        </w:rPr>
        <w:t xml:space="preserve">, 150–154. </w:t>
      </w:r>
      <w:hyperlink r:id="rId4309" w:history="1">
        <w:r w:rsidRPr="001768F9">
          <w:rPr>
            <w:rFonts w:ascii="Times New Roman" w:eastAsia="Times New Roman" w:hAnsi="Times New Roman" w:cs="Times New Roman"/>
            <w:color w:val="0000FF"/>
            <w:sz w:val="24"/>
            <w:szCs w:val="24"/>
            <w:u w:val="single"/>
          </w:rPr>
          <w:t>https://doi.org/10.1016/j.jad.2018.04.036</w:t>
        </w:r>
      </w:hyperlink>
    </w:p>
    <w:p w14:paraId="176210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 Y., Su, Q., Liu, F., Ding, Y., Chen, J., Zhang, Z., Zhao, J., &amp; Guo, W. (2019). Increased nucleus accumbens connectivity in resting-state patients with drug-naive, first-episode somatization disorder. </w:t>
      </w:r>
      <w:r w:rsidRPr="001768F9">
        <w:rPr>
          <w:rFonts w:ascii="Times New Roman" w:eastAsia="Times New Roman" w:hAnsi="Times New Roman" w:cs="Times New Roman"/>
          <w:i/>
          <w:iCs/>
          <w:sz w:val="24"/>
          <w:szCs w:val="24"/>
        </w:rPr>
        <w:t>Frontiers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 </w:t>
      </w:r>
      <w:hyperlink r:id="rId4310" w:history="1">
        <w:r w:rsidRPr="001768F9">
          <w:rPr>
            <w:rFonts w:ascii="Times New Roman" w:eastAsia="Times New Roman" w:hAnsi="Times New Roman" w:cs="Times New Roman"/>
            <w:color w:val="0000FF"/>
            <w:sz w:val="24"/>
            <w:szCs w:val="24"/>
            <w:u w:val="single"/>
          </w:rPr>
          <w:t>https://doi.org/10.3389/fpsyt.2019.00585</w:t>
        </w:r>
      </w:hyperlink>
    </w:p>
    <w:p w14:paraId="282D1E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Ouellet, J., Rouleau, I., Labrecque, R., Bernier, G., &amp; Scherzer, P. B. (2008). Two routes to losing one’s past life: A brain trauma, an emotional trauma.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(1–2), 27–38. </w:t>
      </w:r>
      <w:hyperlink r:id="rId4311" w:history="1">
        <w:r w:rsidRPr="001768F9">
          <w:rPr>
            <w:rFonts w:ascii="Times New Roman" w:eastAsia="Times New Roman" w:hAnsi="Times New Roman" w:cs="Times New Roman"/>
            <w:color w:val="0000FF"/>
            <w:sz w:val="24"/>
            <w:szCs w:val="24"/>
            <w:u w:val="single"/>
          </w:rPr>
          <w:t>https://doi.org/10.1155/2008/520328</w:t>
        </w:r>
      </w:hyperlink>
    </w:p>
    <w:p w14:paraId="65F1AA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Ouimet, L. A., Stewart, A., Collins, B., Schindler, D., &amp; Bielajew, C. (2009). Measuring neuropsychological change following breast cancer treatment: An analysis of statistical models.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(1), 73–89. </w:t>
      </w:r>
      <w:hyperlink r:id="rId4312" w:history="1">
        <w:r w:rsidRPr="001768F9">
          <w:rPr>
            <w:rFonts w:ascii="Times New Roman" w:eastAsia="Times New Roman" w:hAnsi="Times New Roman" w:cs="Times New Roman"/>
            <w:color w:val="0000FF"/>
            <w:sz w:val="24"/>
            <w:szCs w:val="24"/>
            <w:u w:val="single"/>
          </w:rPr>
          <w:t>https://doi.org/10.1080/13803390801992725</w:t>
        </w:r>
      </w:hyperlink>
    </w:p>
    <w:p w14:paraId="032101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Ouyang, X., Tao, H. J., Liu, H. H., Deng, Q. J., Sun, Z. H., Xu, L., Liu, Z. N., &amp; Xue, Z. M. (2011). White matter integrity deficit in treatment-naïve adult patients with major depressive disorder. </w:t>
      </w:r>
      <w:r w:rsidRPr="001768F9">
        <w:rPr>
          <w:rFonts w:ascii="Times New Roman" w:eastAsia="Times New Roman" w:hAnsi="Times New Roman" w:cs="Times New Roman"/>
          <w:i/>
          <w:iCs/>
          <w:sz w:val="24"/>
          <w:szCs w:val="24"/>
        </w:rPr>
        <w:t>East Asian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(1), 5–9.</w:t>
      </w:r>
    </w:p>
    <w:p w14:paraId="244D38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Øverås, M., Kapstad, H., Brunborg, C., Landrø, N. I., &amp; Rø, Ø. (2017). Is overestimation of body size associated with neuropsychological weaknesses in anorexia nervosa? </w:t>
      </w:r>
      <w:r w:rsidRPr="001768F9">
        <w:rPr>
          <w:rFonts w:ascii="Times New Roman" w:eastAsia="Times New Roman" w:hAnsi="Times New Roman" w:cs="Times New Roman"/>
          <w:i/>
          <w:iCs/>
          <w:sz w:val="24"/>
          <w:szCs w:val="24"/>
        </w:rPr>
        <w:t>European Eating Disorders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(2), 129–134. </w:t>
      </w:r>
      <w:hyperlink r:id="rId4313" w:history="1">
        <w:r w:rsidRPr="001768F9">
          <w:rPr>
            <w:rFonts w:ascii="Times New Roman" w:eastAsia="Times New Roman" w:hAnsi="Times New Roman" w:cs="Times New Roman"/>
            <w:color w:val="0000FF"/>
            <w:sz w:val="24"/>
            <w:szCs w:val="24"/>
            <w:u w:val="single"/>
          </w:rPr>
          <w:t>https://doi.org/10.1002/erv.2500</w:t>
        </w:r>
      </w:hyperlink>
    </w:p>
    <w:p w14:paraId="418736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Overman, W., Graham, L., Redmond, A., Eubank, R., Boettcher, L., Samplawski, O., &amp; Walsh, K. (2006). Contemplation of moral dilemmas eliminates sex differences on the iowa gambling task.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120</w:t>
      </w:r>
      <w:r w:rsidRPr="001768F9">
        <w:rPr>
          <w:rFonts w:ascii="Times New Roman" w:eastAsia="Times New Roman" w:hAnsi="Times New Roman" w:cs="Times New Roman"/>
          <w:sz w:val="24"/>
          <w:szCs w:val="24"/>
        </w:rPr>
        <w:t xml:space="preserve">(4), 817–825. </w:t>
      </w:r>
      <w:hyperlink r:id="rId4314" w:history="1">
        <w:r w:rsidRPr="001768F9">
          <w:rPr>
            <w:rFonts w:ascii="Times New Roman" w:eastAsia="Times New Roman" w:hAnsi="Times New Roman" w:cs="Times New Roman"/>
            <w:color w:val="0000FF"/>
            <w:sz w:val="24"/>
            <w:szCs w:val="24"/>
            <w:u w:val="single"/>
          </w:rPr>
          <w:t>https://doi.org/10.1037/0735-7044.120.4.817</w:t>
        </w:r>
      </w:hyperlink>
    </w:p>
    <w:p w14:paraId="7B4997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Owens, M., &amp; Derakshan, N. (2013). The effects of dysphoria and rumination on cognitive flexibility and task selection. </w:t>
      </w:r>
      <w:r w:rsidRPr="001768F9">
        <w:rPr>
          <w:rFonts w:ascii="Times New Roman" w:eastAsia="Times New Roman" w:hAnsi="Times New Roman" w:cs="Times New Roman"/>
          <w:i/>
          <w:iCs/>
          <w:sz w:val="24"/>
          <w:szCs w:val="24"/>
        </w:rPr>
        <w:t>Acta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142</w:t>
      </w:r>
      <w:r w:rsidRPr="001768F9">
        <w:rPr>
          <w:rFonts w:ascii="Times New Roman" w:eastAsia="Times New Roman" w:hAnsi="Times New Roman" w:cs="Times New Roman"/>
          <w:sz w:val="24"/>
          <w:szCs w:val="24"/>
        </w:rPr>
        <w:t xml:space="preserve">(3), 323–331. </w:t>
      </w:r>
      <w:hyperlink r:id="rId4315" w:history="1">
        <w:r w:rsidRPr="001768F9">
          <w:rPr>
            <w:rFonts w:ascii="Times New Roman" w:eastAsia="Times New Roman" w:hAnsi="Times New Roman" w:cs="Times New Roman"/>
            <w:color w:val="0000FF"/>
            <w:sz w:val="24"/>
            <w:szCs w:val="24"/>
            <w:u w:val="single"/>
          </w:rPr>
          <w:t>https://doi.org/10.1016/j.actpsy.2013.01.008</w:t>
        </w:r>
      </w:hyperlink>
    </w:p>
    <w:p w14:paraId="514B2D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Oyegbile, T. O., Dow, C., Jones, J., Bell, B., Rutecki, P., Sheth, R., Seidenberg, M., &amp; Hermann, B. P. (2004). The nature and course of neuropsychological morbidity in chronic temporal lobe epilepsy.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(10), 1736–1742. </w:t>
      </w:r>
      <w:hyperlink r:id="rId4316" w:history="1">
        <w:r w:rsidRPr="001768F9">
          <w:rPr>
            <w:rFonts w:ascii="Times New Roman" w:eastAsia="Times New Roman" w:hAnsi="Times New Roman" w:cs="Times New Roman"/>
            <w:color w:val="0000FF"/>
            <w:sz w:val="24"/>
            <w:szCs w:val="24"/>
            <w:u w:val="single"/>
          </w:rPr>
          <w:t>https://doi.org/10.1212/01.WNL.0000125186.04867.34</w:t>
        </w:r>
      </w:hyperlink>
    </w:p>
    <w:p w14:paraId="4C23D0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Ozan, E., Deveci, E., Oral, M., Karahan, U., Oral, E., Aydın, N., &amp; Kırpınar, İ. (2010). Neurocognitive functioning in a group of offspring genetically at high-risk for schizophrenia in Eastern Turkey. </w:t>
      </w:r>
      <w:r w:rsidRPr="001768F9">
        <w:rPr>
          <w:rFonts w:ascii="Times New Roman" w:eastAsia="Times New Roman" w:hAnsi="Times New Roman" w:cs="Times New Roman"/>
          <w:i/>
          <w:iCs/>
          <w:sz w:val="24"/>
          <w:szCs w:val="24"/>
        </w:rPr>
        <w:t>Brain Research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(3–4), 218–223. </w:t>
      </w:r>
      <w:hyperlink r:id="rId4317" w:history="1">
        <w:r w:rsidRPr="001768F9">
          <w:rPr>
            <w:rFonts w:ascii="Times New Roman" w:eastAsia="Times New Roman" w:hAnsi="Times New Roman" w:cs="Times New Roman"/>
            <w:color w:val="0000FF"/>
            <w:sz w:val="24"/>
            <w:szCs w:val="24"/>
            <w:u w:val="single"/>
          </w:rPr>
          <w:t>https://doi.org/10.1016/j.brainresbull.2010.04.013</w:t>
        </w:r>
      </w:hyperlink>
    </w:p>
    <w:p w14:paraId="15107C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Ozcan, H., Ozer, S., &amp; Yagcioglu, S. (2016). Neuropsychological, electrophysiological and neurological impairments in patients with obsessive compulsive disorder, their healthy siblings and healthy controls: Identifying potential endophenotype(s).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240</w:t>
      </w:r>
      <w:r w:rsidRPr="001768F9">
        <w:rPr>
          <w:rFonts w:ascii="Times New Roman" w:eastAsia="Times New Roman" w:hAnsi="Times New Roman" w:cs="Times New Roman"/>
          <w:sz w:val="24"/>
          <w:szCs w:val="24"/>
        </w:rPr>
        <w:t xml:space="preserve">, 110–117. </w:t>
      </w:r>
      <w:hyperlink r:id="rId4318" w:history="1">
        <w:r w:rsidRPr="001768F9">
          <w:rPr>
            <w:rFonts w:ascii="Times New Roman" w:eastAsia="Times New Roman" w:hAnsi="Times New Roman" w:cs="Times New Roman"/>
            <w:color w:val="0000FF"/>
            <w:sz w:val="24"/>
            <w:szCs w:val="24"/>
            <w:u w:val="single"/>
          </w:rPr>
          <w:t>https://doi.org/10.1016/j.psychres.2016.04.013</w:t>
        </w:r>
      </w:hyperlink>
    </w:p>
    <w:p w14:paraId="348B39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Ozeki, Y., Pickard, B. S., Kano, S.-I., Malloy, M. P., Zeledon, M., Sun, D. Q., Fujii, K., Wakui, K., Shirayama, Y., Fukushima, Y., Kunugi, H., Hashimoto, K., Muir, W. J., Blackwood, D. H., &amp; Sawa, A. (2011). A novel balanced chromosomal translocation found in subjects with schizophrenia and schizotypal personality disorder: Altered L-serine level associated with disruption of PSAT1 gene expression. </w:t>
      </w:r>
      <w:r w:rsidRPr="001768F9">
        <w:rPr>
          <w:rFonts w:ascii="Times New Roman" w:eastAsia="Times New Roman" w:hAnsi="Times New Roman" w:cs="Times New Roman"/>
          <w:i/>
          <w:iCs/>
          <w:sz w:val="24"/>
          <w:szCs w:val="24"/>
        </w:rPr>
        <w:t>Neuroscience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(2), 154–160. </w:t>
      </w:r>
      <w:hyperlink r:id="rId4319" w:history="1">
        <w:r w:rsidRPr="001768F9">
          <w:rPr>
            <w:rFonts w:ascii="Times New Roman" w:eastAsia="Times New Roman" w:hAnsi="Times New Roman" w:cs="Times New Roman"/>
            <w:color w:val="0000FF"/>
            <w:sz w:val="24"/>
            <w:szCs w:val="24"/>
            <w:u w:val="single"/>
          </w:rPr>
          <w:t>https://doi.org/10.1016/j.neures.2010.10.003</w:t>
        </w:r>
      </w:hyperlink>
    </w:p>
    <w:p w14:paraId="5C19C4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Özen, N. E., Birol, A., Boratav, C., &amp; Koçak, M. (2004). Nörolojik tutulumu olmayan Behçet hastalarinda bilişsel bozukluklar. [Cognitine impairments in Behçet’s disease without neurological involvement.]. </w:t>
      </w:r>
      <w:r w:rsidRPr="001768F9">
        <w:rPr>
          <w:rFonts w:ascii="Times New Roman" w:eastAsia="Times New Roman" w:hAnsi="Times New Roman" w:cs="Times New Roman"/>
          <w:i/>
          <w:iCs/>
          <w:sz w:val="24"/>
          <w:szCs w:val="24"/>
        </w:rPr>
        <w:t>Klinik Psikiyatri Dergisi: 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(4), 187–198.</w:t>
      </w:r>
    </w:p>
    <w:p w14:paraId="639CF5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Özgürdal, S., Littmann, E., Hauser, M., von Reventlow, H., Gudlowski, Y., Witthaus, H., Heinz, A., &amp; Juckel, G. (2009). Neurocognitive performances in participants of at-risk mental state for schizophrenia and in first-episode patients.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392–401. </w:t>
      </w:r>
      <w:hyperlink r:id="rId4320" w:history="1">
        <w:r w:rsidRPr="001768F9">
          <w:rPr>
            <w:rFonts w:ascii="Times New Roman" w:eastAsia="Times New Roman" w:hAnsi="Times New Roman" w:cs="Times New Roman"/>
            <w:color w:val="0000FF"/>
            <w:sz w:val="24"/>
            <w:szCs w:val="24"/>
            <w:u w:val="single"/>
          </w:rPr>
          <w:t>https://doi.org/10.1080/13803390802206406</w:t>
        </w:r>
      </w:hyperlink>
    </w:p>
    <w:p w14:paraId="177799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Ozonoff, S. (1995). Reliability and validity of the Wisconsin Card Sorting Test in studies of autism.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(4), 491–500. </w:t>
      </w:r>
      <w:hyperlink r:id="rId4321" w:history="1">
        <w:r w:rsidRPr="001768F9">
          <w:rPr>
            <w:rFonts w:ascii="Times New Roman" w:eastAsia="Times New Roman" w:hAnsi="Times New Roman" w:cs="Times New Roman"/>
            <w:color w:val="0000FF"/>
            <w:sz w:val="24"/>
            <w:szCs w:val="24"/>
            <w:u w:val="single"/>
          </w:rPr>
          <w:t>https://doi.org/10.1037/0894-4105.9.4.491</w:t>
        </w:r>
      </w:hyperlink>
    </w:p>
    <w:p w14:paraId="62437D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Ozonoff, S., &amp; McEvoy, R. E. (1994). A longitudinal study of executive function and theory of mind development in autism. </w:t>
      </w:r>
      <w:r w:rsidRPr="001768F9">
        <w:rPr>
          <w:rFonts w:ascii="Times New Roman" w:eastAsia="Times New Roman" w:hAnsi="Times New Roman" w:cs="Times New Roman"/>
          <w:i/>
          <w:iCs/>
          <w:sz w:val="24"/>
          <w:szCs w:val="24"/>
        </w:rPr>
        <w:t>Development and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(3), 415–431. </w:t>
      </w:r>
      <w:hyperlink r:id="rId4322" w:history="1">
        <w:r w:rsidRPr="001768F9">
          <w:rPr>
            <w:rFonts w:ascii="Times New Roman" w:eastAsia="Times New Roman" w:hAnsi="Times New Roman" w:cs="Times New Roman"/>
            <w:color w:val="0000FF"/>
            <w:sz w:val="24"/>
            <w:szCs w:val="24"/>
            <w:u w:val="single"/>
          </w:rPr>
          <w:t>https://doi.org/10.1017/S0954579400006027</w:t>
        </w:r>
      </w:hyperlink>
    </w:p>
    <w:p w14:paraId="52437B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Paast, N., Khosravi, Z., Memari, A. H., Shayestehfar, M., &amp; Arbabi, M. (2016). Comparison of cognitive flexibility and planning ability in patients with obsessive compulsive disorder, patients with obsessive compulsive personality disorder, and healthy controls. </w:t>
      </w:r>
      <w:r w:rsidRPr="001768F9">
        <w:rPr>
          <w:rFonts w:ascii="Times New Roman" w:eastAsia="Times New Roman" w:hAnsi="Times New Roman" w:cs="Times New Roman"/>
          <w:i/>
          <w:iCs/>
          <w:sz w:val="24"/>
          <w:szCs w:val="24"/>
        </w:rPr>
        <w:t>Shanghai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(1), 28–34.</w:t>
      </w:r>
    </w:p>
    <w:p w14:paraId="01EEDE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Del Teso, F. A., Martín, L. M., &amp; Andrés, R. M. S. (2003). Deterioro ejecutivo y sintomatología en la esquizofrenia. [Executive impairment and symptomathology in the schizophrenia.].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(10), 417–421.</w:t>
      </w:r>
    </w:p>
    <w:p w14:paraId="43E609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del Teso, F. A., Martín, L. M., &amp; Andrés, R. M. S. (2004). Deterioro cognitivo, esquizofrenia y género. [Cognitive impairment, schizophrenia and gender.].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(8), 356–360.</w:t>
      </w:r>
    </w:p>
    <w:p w14:paraId="6B0697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Del Teso, F. A., Martín, L. M., &amp; Andrés, R. S. (2004). Esquizofrenia: Relación entre déficit cognitivo y calidad de vida. [Schizophrenia: Relationship between cognitive deterioration and quality of life.].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(10), 434–438.</w:t>
      </w:r>
    </w:p>
    <w:p w14:paraId="76F165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Martín, L. M., Del Teso, F. A., &amp; Andrés, R. M. S. (2003). Antipsicóticos y funcionamiento cognitivo en la esquizofrenia. [Antipsychotics an cognitive function in the schizophrenia.].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(10), 393–400.</w:t>
      </w:r>
    </w:p>
    <w:p w14:paraId="25BD7E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Pablos, E. G., Martín, L. M., Del Teso, F. A., &amp; Andrés, R. S. (2005). La función cognitiva en la esquizofrenia medida a través del componente cognitivo de la PANSS. [Cognitive function in schizophrenia measured through PANSS cognitive component.]. </w:t>
      </w:r>
      <w:r w:rsidRPr="001768F9">
        <w:rPr>
          <w:rFonts w:ascii="Times New Roman" w:eastAsia="Times New Roman" w:hAnsi="Times New Roman" w:cs="Times New Roman"/>
          <w:i/>
          <w:iCs/>
          <w:sz w:val="24"/>
          <w:szCs w:val="24"/>
        </w:rPr>
        <w:t>Anales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(6), 274–279.</w:t>
      </w:r>
    </w:p>
    <w:p w14:paraId="71B686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Pachet, A. K. (2007). Construct validity of the Repeatable Battery of Neuropsychological Status (RBANS) with acquired brain injury patients.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 286–297. </w:t>
      </w:r>
      <w:hyperlink r:id="rId4323" w:history="1">
        <w:r w:rsidRPr="001768F9">
          <w:rPr>
            <w:rFonts w:ascii="Times New Roman" w:eastAsia="Times New Roman" w:hAnsi="Times New Roman" w:cs="Times New Roman"/>
            <w:color w:val="0000FF"/>
            <w:sz w:val="24"/>
            <w:szCs w:val="24"/>
            <w:u w:val="single"/>
          </w:rPr>
          <w:t>https://doi.org/10.1080/13854040500376823</w:t>
        </w:r>
      </w:hyperlink>
    </w:p>
    <w:p w14:paraId="025CF6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Packwood, S., Hodgetts, H. M., &amp; Tremblay, S. (2011). A multiperspective approach to the conceptualization of executive functions.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456–470. </w:t>
      </w:r>
      <w:hyperlink r:id="rId4324" w:history="1">
        <w:r w:rsidRPr="001768F9">
          <w:rPr>
            <w:rFonts w:ascii="Times New Roman" w:eastAsia="Times New Roman" w:hAnsi="Times New Roman" w:cs="Times New Roman"/>
            <w:color w:val="0000FF"/>
            <w:sz w:val="24"/>
            <w:szCs w:val="24"/>
            <w:u w:val="single"/>
          </w:rPr>
          <w:t>https://doi.org/10.1080/13803395.2010.533157</w:t>
        </w:r>
      </w:hyperlink>
    </w:p>
    <w:p w14:paraId="436B68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Padgett, C. R., Summers, M. J., &amp; Skilbeck, C. E. (2016). Is APOE ε4 associated with poorer cognitive outcome following traumatic brain injury? A meta-analysis.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(7), 775–790. </w:t>
      </w:r>
      <w:hyperlink r:id="rId4325" w:history="1">
        <w:r w:rsidRPr="001768F9">
          <w:rPr>
            <w:rFonts w:ascii="Times New Roman" w:eastAsia="Times New Roman" w:hAnsi="Times New Roman" w:cs="Times New Roman"/>
            <w:color w:val="0000FF"/>
            <w:sz w:val="24"/>
            <w:szCs w:val="24"/>
            <w:u w:val="single"/>
          </w:rPr>
          <w:t>https://doi.org/10.1037/neu0000270</w:t>
        </w:r>
      </w:hyperlink>
    </w:p>
    <w:p w14:paraId="0A8372A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Padmanabhan, J. L., Shah, J. L., Tandon, N., &amp; Keshavan, M. S. (2017). The “polyenviromic risk score”: Aggregating environmental risk factors predicts conversion to psychosis in familial high-risk subjects.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181</w:t>
      </w:r>
      <w:r w:rsidRPr="001768F9">
        <w:rPr>
          <w:rFonts w:ascii="Times New Roman" w:eastAsia="Times New Roman" w:hAnsi="Times New Roman" w:cs="Times New Roman"/>
          <w:sz w:val="24"/>
          <w:szCs w:val="24"/>
        </w:rPr>
        <w:t xml:space="preserve">, 17–22. </w:t>
      </w:r>
      <w:hyperlink r:id="rId4326" w:history="1">
        <w:r w:rsidRPr="001768F9">
          <w:rPr>
            <w:rFonts w:ascii="Times New Roman" w:eastAsia="Times New Roman" w:hAnsi="Times New Roman" w:cs="Times New Roman"/>
            <w:color w:val="0000FF"/>
            <w:sz w:val="24"/>
            <w:szCs w:val="24"/>
            <w:u w:val="single"/>
          </w:rPr>
          <w:t>https://doi.org/10.1016/j.schres.2016.10.014</w:t>
        </w:r>
      </w:hyperlink>
    </w:p>
    <w:p w14:paraId="6FD11B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Paek, S. H., Yun, J. Y., Song, S. W., Kim, I. K., Hwang, J. H., Kim, J. W., Kim, H.-J., Kim, H. J., Kim, Y. E., Lim, Y. H., Kim, M.-R., Huh, J. H., Lee, K. M., Park, S. K., Kim, C., Kim, D. G., &amp; Jeon, B. S. (2013). The clinical impact of precise electrode positioning in STN DBS on three-year outcomes.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327</w:t>
      </w:r>
      <w:r w:rsidRPr="001768F9">
        <w:rPr>
          <w:rFonts w:ascii="Times New Roman" w:eastAsia="Times New Roman" w:hAnsi="Times New Roman" w:cs="Times New Roman"/>
          <w:sz w:val="24"/>
          <w:szCs w:val="24"/>
        </w:rPr>
        <w:t xml:space="preserve">(1–2), 25–31. </w:t>
      </w:r>
      <w:hyperlink r:id="rId4327" w:history="1">
        <w:r w:rsidRPr="001768F9">
          <w:rPr>
            <w:rFonts w:ascii="Times New Roman" w:eastAsia="Times New Roman" w:hAnsi="Times New Roman" w:cs="Times New Roman"/>
            <w:color w:val="0000FF"/>
            <w:sz w:val="24"/>
            <w:szCs w:val="24"/>
            <w:u w:val="single"/>
          </w:rPr>
          <w:t>https://doi.org/10.1016/j.jns.2013.01.037</w:t>
        </w:r>
      </w:hyperlink>
    </w:p>
    <w:p w14:paraId="441B99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Pagel, T., Baldessarini, R. J., Franklin, J., &amp; Baethge, C. (2013). Heterogeneity of schizoaffective disorder compared with schizophrenia and bipolar disorder.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128</w:t>
      </w:r>
      <w:r w:rsidRPr="001768F9">
        <w:rPr>
          <w:rFonts w:ascii="Times New Roman" w:eastAsia="Times New Roman" w:hAnsi="Times New Roman" w:cs="Times New Roman"/>
          <w:sz w:val="24"/>
          <w:szCs w:val="24"/>
        </w:rPr>
        <w:t>(4), 238–250.</w:t>
      </w:r>
    </w:p>
    <w:p w14:paraId="71E6B3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Paiva, T., Bugalho, P., &amp; Bentes, C. (2011). Dreaming and cognition in patients with frontotemporal dysfunction. </w:t>
      </w:r>
      <w:r w:rsidRPr="001768F9">
        <w:rPr>
          <w:rFonts w:ascii="Times New Roman" w:eastAsia="Times New Roman" w:hAnsi="Times New Roman" w:cs="Times New Roman"/>
          <w:i/>
          <w:iCs/>
          <w:sz w:val="24"/>
          <w:szCs w:val="24"/>
        </w:rPr>
        <w:t>Consciousness and Cognition: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(4), 1027–1035. </w:t>
      </w:r>
      <w:hyperlink r:id="rId4328" w:history="1">
        <w:r w:rsidRPr="001768F9">
          <w:rPr>
            <w:rFonts w:ascii="Times New Roman" w:eastAsia="Times New Roman" w:hAnsi="Times New Roman" w:cs="Times New Roman"/>
            <w:color w:val="0000FF"/>
            <w:sz w:val="24"/>
            <w:szCs w:val="24"/>
            <w:u w:val="single"/>
          </w:rPr>
          <w:t>https://doi.org/10.1016/j.concog.2011.06.008</w:t>
        </w:r>
      </w:hyperlink>
    </w:p>
    <w:p w14:paraId="3A707C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Pajer, K., Chung, J., Leininger, L., Wang, W., Gardner, W., &amp; Yeates, K. (2008). Neuropsychological function in adolescent girls with conduct disorder.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416–425. </w:t>
      </w:r>
      <w:hyperlink r:id="rId4329" w:history="1">
        <w:r w:rsidRPr="001768F9">
          <w:rPr>
            <w:rFonts w:ascii="Times New Roman" w:eastAsia="Times New Roman" w:hAnsi="Times New Roman" w:cs="Times New Roman"/>
            <w:color w:val="0000FF"/>
            <w:sz w:val="24"/>
            <w:szCs w:val="24"/>
            <w:u w:val="single"/>
          </w:rPr>
          <w:t>https://doi.org/10.1097/CHI.0b013e3181640828</w:t>
        </w:r>
      </w:hyperlink>
    </w:p>
    <w:p w14:paraId="085A8A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Pajkossy, P., Szőllősi, Á., Demeter, G., &amp; Racsmány, M. (2017). Tonic noradrenergic activity modulates explorative behavior and attentional set shifting: Evidence from pupillometry and gaze pattern analysis. </w:t>
      </w:r>
      <w:r w:rsidRPr="001768F9">
        <w:rPr>
          <w:rFonts w:ascii="Times New Roman" w:eastAsia="Times New Roman" w:hAnsi="Times New Roman" w:cs="Times New Roman"/>
          <w:i/>
          <w:iCs/>
          <w:sz w:val="24"/>
          <w:szCs w:val="24"/>
        </w:rPr>
        <w:t>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(12), 1839–1854. </w:t>
      </w:r>
      <w:hyperlink r:id="rId4330" w:history="1">
        <w:r w:rsidRPr="001768F9">
          <w:rPr>
            <w:rFonts w:ascii="Times New Roman" w:eastAsia="Times New Roman" w:hAnsi="Times New Roman" w:cs="Times New Roman"/>
            <w:color w:val="0000FF"/>
            <w:sz w:val="24"/>
            <w:szCs w:val="24"/>
            <w:u w:val="single"/>
          </w:rPr>
          <w:t>https://doi.org/10.1111/psyp.12964</w:t>
        </w:r>
      </w:hyperlink>
    </w:p>
    <w:p w14:paraId="146DD0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Palazzo, M. C., Arici, C., Cremaschi, L., Cristoffanini, M., Dobrea, C., Dell’Osso, B., &amp; Altamura, A. C. (2017). Cognitive performance in euthymic patients with bipolar disorder vs healthy controls: A neuropsychological investigation. </w:t>
      </w:r>
      <w:r w:rsidRPr="001768F9">
        <w:rPr>
          <w:rFonts w:ascii="Times New Roman" w:eastAsia="Times New Roman" w:hAnsi="Times New Roman" w:cs="Times New Roman"/>
          <w:i/>
          <w:iCs/>
          <w:sz w:val="24"/>
          <w:szCs w:val="24"/>
        </w:rPr>
        <w:t>Clinical Practice and Epidemiology in Mental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 </w:t>
      </w:r>
      <w:hyperlink r:id="rId4331" w:history="1">
        <w:r w:rsidRPr="001768F9">
          <w:rPr>
            <w:rFonts w:ascii="Times New Roman" w:eastAsia="Times New Roman" w:hAnsi="Times New Roman" w:cs="Times New Roman"/>
            <w:color w:val="0000FF"/>
            <w:sz w:val="24"/>
            <w:szCs w:val="24"/>
            <w:u w:val="single"/>
          </w:rPr>
          <w:t>https://doi.org/10.2174/1745017901713010071</w:t>
        </w:r>
      </w:hyperlink>
    </w:p>
    <w:p w14:paraId="53E6E9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L., Cinelli, M. C., Piccardi, L., De Felice, S., Ciurli, P., Incoccia, C., Zompanti, L., &amp; Guariglia, C. (2020). Cognitive functions underlying prospective memory deficits: A study on traumatic brain injury.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(2), 158–172. </w:t>
      </w:r>
      <w:hyperlink r:id="rId4332" w:history="1">
        <w:r w:rsidRPr="001768F9">
          <w:rPr>
            <w:rFonts w:ascii="Times New Roman" w:eastAsia="Times New Roman" w:hAnsi="Times New Roman" w:cs="Times New Roman"/>
            <w:color w:val="0000FF"/>
            <w:sz w:val="24"/>
            <w:szCs w:val="24"/>
            <w:u w:val="single"/>
          </w:rPr>
          <w:t>https://doi.org/10.1080/23279095.2018.1501374</w:t>
        </w:r>
      </w:hyperlink>
    </w:p>
    <w:p w14:paraId="5C9D53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L., Geberhiwot, T., MacDonald, A., Limback, E., Hall, S. K., &amp; Romani, C. (2017). Cognitive outcomes in early-treated adults with phenylketonuria (PKU): A comprehensive picture across domains.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255–267. </w:t>
      </w:r>
      <w:hyperlink r:id="rId4333" w:history="1">
        <w:r w:rsidRPr="001768F9">
          <w:rPr>
            <w:rFonts w:ascii="Times New Roman" w:eastAsia="Times New Roman" w:hAnsi="Times New Roman" w:cs="Times New Roman"/>
            <w:color w:val="0000FF"/>
            <w:sz w:val="24"/>
            <w:szCs w:val="24"/>
            <w:u w:val="single"/>
          </w:rPr>
          <w:t>https://doi.org/10.1037/neu0000337</w:t>
        </w:r>
      </w:hyperlink>
    </w:p>
    <w:p w14:paraId="1A908E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S., Cauda, F., Costa, T., Duca, S., Gallino, G., Geminiani, G., Keller, R., &amp; Amanzio, M. (2015). Unawareness of bipolar disorder: The role of the cingulate cortex.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438–447. </w:t>
      </w:r>
      <w:hyperlink r:id="rId4334" w:history="1">
        <w:r w:rsidRPr="001768F9">
          <w:rPr>
            <w:rFonts w:ascii="Times New Roman" w:eastAsia="Times New Roman" w:hAnsi="Times New Roman" w:cs="Times New Roman"/>
            <w:color w:val="0000FF"/>
            <w:sz w:val="24"/>
            <w:szCs w:val="24"/>
            <w:u w:val="single"/>
          </w:rPr>
          <w:t>https://doi.org/10.1080/13554794.2014.917682</w:t>
        </w:r>
      </w:hyperlink>
    </w:p>
    <w:p w14:paraId="36B5D2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Palermo, S., Lopiano, L., Zibetti, M., Rosato, R., Leotta, D., &amp; Amanzio, M. (2017). A novel framework for understanding reduced awareness of dyskinesias in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 58–63. </w:t>
      </w:r>
      <w:hyperlink r:id="rId4335" w:history="1">
        <w:r w:rsidRPr="001768F9">
          <w:rPr>
            <w:rFonts w:ascii="Times New Roman" w:eastAsia="Times New Roman" w:hAnsi="Times New Roman" w:cs="Times New Roman"/>
            <w:color w:val="0000FF"/>
            <w:sz w:val="24"/>
            <w:szCs w:val="24"/>
            <w:u w:val="single"/>
          </w:rPr>
          <w:t>https://doi.org/10.1016/j.parkreldis.2017.03.009</w:t>
        </w:r>
      </w:hyperlink>
    </w:p>
    <w:p w14:paraId="7864FA6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Palma, S. M. M., Fernandes, D. R. M., Muszkat, M., &amp; Calil, H. M. (2012). The response to stress in Brazilian children and adolescents with attention deficit hyperactivity disorder.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(3), 477–481. </w:t>
      </w:r>
      <w:hyperlink r:id="rId4336" w:history="1">
        <w:r w:rsidRPr="001768F9">
          <w:rPr>
            <w:rFonts w:ascii="Times New Roman" w:eastAsia="Times New Roman" w:hAnsi="Times New Roman" w:cs="Times New Roman"/>
            <w:color w:val="0000FF"/>
            <w:sz w:val="24"/>
            <w:szCs w:val="24"/>
            <w:u w:val="single"/>
          </w:rPr>
          <w:t>https://doi.org/10.1016/j.psychres.2011.10.016</w:t>
        </w:r>
      </w:hyperlink>
    </w:p>
    <w:p w14:paraId="54E846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Palmer, B. W., Dunn, L. B., Depp, C. A., Eyler, L. T., &amp; Jeste, D. V. (2007). Decisional capacity to consent to research among patients with bipolar disorder: Comparison with schizophrenia patients and healthy subjects. </w:t>
      </w:r>
      <w:r w:rsidRPr="001768F9">
        <w:rPr>
          <w:rFonts w:ascii="Times New Roman" w:eastAsia="Times New Roman" w:hAnsi="Times New Roman" w:cs="Times New Roman"/>
          <w:i/>
          <w:iCs/>
          <w:sz w:val="24"/>
          <w:szCs w:val="24"/>
        </w:rPr>
        <w:t>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(5), 689–696. </w:t>
      </w:r>
      <w:hyperlink r:id="rId4337" w:history="1">
        <w:r w:rsidRPr="001768F9">
          <w:rPr>
            <w:rFonts w:ascii="Times New Roman" w:eastAsia="Times New Roman" w:hAnsi="Times New Roman" w:cs="Times New Roman"/>
            <w:color w:val="0000FF"/>
            <w:sz w:val="24"/>
            <w:szCs w:val="24"/>
            <w:u w:val="single"/>
          </w:rPr>
          <w:t>https://doi.org/10.4088/JCP.v68n0505</w:t>
        </w:r>
      </w:hyperlink>
    </w:p>
    <w:p w14:paraId="6DEEDF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Palmer, B. W., &amp; Jeste, D. V. (2006). Relationship of individual cognitive abilities to specific components of decisional capacity among middle-aged and older patients with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(1), 98–106. </w:t>
      </w:r>
      <w:hyperlink r:id="rId4338" w:history="1">
        <w:r w:rsidRPr="001768F9">
          <w:rPr>
            <w:rFonts w:ascii="Times New Roman" w:eastAsia="Times New Roman" w:hAnsi="Times New Roman" w:cs="Times New Roman"/>
            <w:color w:val="0000FF"/>
            <w:sz w:val="24"/>
            <w:szCs w:val="24"/>
            <w:u w:val="single"/>
          </w:rPr>
          <w:t>https://doi.org/10.1093/schbul/sbj002</w:t>
        </w:r>
      </w:hyperlink>
    </w:p>
    <w:p w14:paraId="0009FA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Palmer, B. W., Savla, G. N., Roesch, S. C., &amp; Jeste, D. V. (2013). Changes in capacity to consent over time in patients involved in psychiatric research.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202</w:t>
      </w:r>
      <w:r w:rsidRPr="001768F9">
        <w:rPr>
          <w:rFonts w:ascii="Times New Roman" w:eastAsia="Times New Roman" w:hAnsi="Times New Roman" w:cs="Times New Roman"/>
          <w:sz w:val="24"/>
          <w:szCs w:val="24"/>
        </w:rPr>
        <w:t xml:space="preserve">(6), 454–458. </w:t>
      </w:r>
      <w:hyperlink r:id="rId4339" w:history="1">
        <w:r w:rsidRPr="001768F9">
          <w:rPr>
            <w:rFonts w:ascii="Times New Roman" w:eastAsia="Times New Roman" w:hAnsi="Times New Roman" w:cs="Times New Roman"/>
            <w:color w:val="0000FF"/>
            <w:sz w:val="24"/>
            <w:szCs w:val="24"/>
            <w:u w:val="single"/>
          </w:rPr>
          <w:t>https://doi.org/10.1192/bjp.bp.112.121160</w:t>
        </w:r>
      </w:hyperlink>
    </w:p>
    <w:p w14:paraId="19E28E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Palmieri, A., Abrahams, S., Sorarù, G., Mattiuzzi, L., D’Ascenzo, C., Pegoraro, E., &amp; Angelini, C. (2009). Emotional lability in MND: Relationship to cognition and psychopathology and impact on caregivers.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278</w:t>
      </w:r>
      <w:r w:rsidRPr="001768F9">
        <w:rPr>
          <w:rFonts w:ascii="Times New Roman" w:eastAsia="Times New Roman" w:hAnsi="Times New Roman" w:cs="Times New Roman"/>
          <w:sz w:val="24"/>
          <w:szCs w:val="24"/>
        </w:rPr>
        <w:t xml:space="preserve">(1–2), 16–20. </w:t>
      </w:r>
      <w:hyperlink r:id="rId4340" w:history="1">
        <w:r w:rsidRPr="001768F9">
          <w:rPr>
            <w:rFonts w:ascii="Times New Roman" w:eastAsia="Times New Roman" w:hAnsi="Times New Roman" w:cs="Times New Roman"/>
            <w:color w:val="0000FF"/>
            <w:sz w:val="24"/>
            <w:szCs w:val="24"/>
            <w:u w:val="single"/>
          </w:rPr>
          <w:t>https://doi.org/10.1016/j.jns.2008.10.025</w:t>
        </w:r>
      </w:hyperlink>
    </w:p>
    <w:p w14:paraId="23817B3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Palombo, D. J., Alain, C., Söderlund, H., Khuu, W., &amp; Levine, B. (2015). Severely deficient autobiographical memory (SDAM) in healthy adults: A new mnemonic syndrome.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72</w:t>
      </w:r>
      <w:r w:rsidRPr="001768F9">
        <w:rPr>
          <w:rFonts w:ascii="Times New Roman" w:eastAsia="Times New Roman" w:hAnsi="Times New Roman" w:cs="Times New Roman"/>
          <w:sz w:val="24"/>
          <w:szCs w:val="24"/>
        </w:rPr>
        <w:t xml:space="preserve">, 105–118. </w:t>
      </w:r>
      <w:hyperlink r:id="rId4341" w:history="1">
        <w:r w:rsidRPr="001768F9">
          <w:rPr>
            <w:rFonts w:ascii="Times New Roman" w:eastAsia="Times New Roman" w:hAnsi="Times New Roman" w:cs="Times New Roman"/>
            <w:color w:val="0000FF"/>
            <w:sz w:val="24"/>
            <w:szCs w:val="24"/>
            <w:u w:val="single"/>
          </w:rPr>
          <w:t>https://doi.org/10.1016/j.neuropsychologia.2015.04.012</w:t>
        </w:r>
      </w:hyperlink>
    </w:p>
    <w:p w14:paraId="39602B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Palta, P., Schneider, A. L. C., Jan Biessels, G., Touradji, P., &amp; Hill-Briggs, F. (2014). Magnitude of cognitive dysfunction in adults with type 2 diabetes: A meta-analysis of six cognitive domains and the most frequently reported neuropsychological tests within domains.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278–291. </w:t>
      </w:r>
      <w:hyperlink r:id="rId4342" w:history="1">
        <w:r w:rsidRPr="001768F9">
          <w:rPr>
            <w:rFonts w:ascii="Times New Roman" w:eastAsia="Times New Roman" w:hAnsi="Times New Roman" w:cs="Times New Roman"/>
            <w:color w:val="0000FF"/>
            <w:sz w:val="24"/>
            <w:szCs w:val="24"/>
            <w:u w:val="single"/>
          </w:rPr>
          <w:t>https://doi.org/10.1017/S1355617713001483</w:t>
        </w:r>
      </w:hyperlink>
    </w:p>
    <w:p w14:paraId="3974FB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Palumbo, D., Mucci, A., Giordano, G. M., Piegari, G., Aiello, C., Pietrafesa, D., Annarumma, N., Chieffi, M., Cella, M., &amp; Galderisi, S. (2019). The efficacy, feasibility and acceptability of a remotely accessible use of CIRCuiTS, a computerized cognitive remediation therapy program for schizophrenia: A pilot study.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 </w:t>
      </w:r>
      <w:hyperlink r:id="rId4343" w:history="1">
        <w:r w:rsidRPr="001768F9">
          <w:rPr>
            <w:rFonts w:ascii="Times New Roman" w:eastAsia="Times New Roman" w:hAnsi="Times New Roman" w:cs="Times New Roman"/>
            <w:color w:val="0000FF"/>
            <w:sz w:val="24"/>
            <w:szCs w:val="24"/>
            <w:u w:val="single"/>
          </w:rPr>
          <w:t>https://doi.org/10.2147/NDT.S221690</w:t>
        </w:r>
      </w:hyperlink>
    </w:p>
    <w:p w14:paraId="57EF86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 F., Xu, Y., Zhou, W., Chen, J., Wei, N., Lu, S., Shang, D., Wang, J., &amp; Huang, M. (2020). Disrupted intrinsic functional connectivity of the cognitive control network underlies disease severity and executive dysfunction in first-episode, treatment-naive adolescent depression.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264</w:t>
      </w:r>
      <w:r w:rsidRPr="001768F9">
        <w:rPr>
          <w:rFonts w:ascii="Times New Roman" w:eastAsia="Times New Roman" w:hAnsi="Times New Roman" w:cs="Times New Roman"/>
          <w:sz w:val="24"/>
          <w:szCs w:val="24"/>
        </w:rPr>
        <w:t xml:space="preserve">, 455–463. </w:t>
      </w:r>
      <w:hyperlink r:id="rId4344" w:history="1">
        <w:r w:rsidRPr="001768F9">
          <w:rPr>
            <w:rFonts w:ascii="Times New Roman" w:eastAsia="Times New Roman" w:hAnsi="Times New Roman" w:cs="Times New Roman"/>
            <w:color w:val="0000FF"/>
            <w:sz w:val="24"/>
            <w:szCs w:val="24"/>
            <w:u w:val="single"/>
          </w:rPr>
          <w:t>https://doi.org/10.1016/j.jad.2019.11.076</w:t>
        </w:r>
      </w:hyperlink>
    </w:p>
    <w:p w14:paraId="1B1383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 J., Sawyer, K., McDonough, E., Slotpole, L., &amp; Gansler, D. (2018). Cognitive, neuroanatomical, and genetic predictors of executive function in healthy children and adolescents.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(7), 535–550. </w:t>
      </w:r>
      <w:hyperlink r:id="rId4345" w:history="1">
        <w:r w:rsidRPr="001768F9">
          <w:rPr>
            <w:rFonts w:ascii="Times New Roman" w:eastAsia="Times New Roman" w:hAnsi="Times New Roman" w:cs="Times New Roman"/>
            <w:color w:val="0000FF"/>
            <w:sz w:val="24"/>
            <w:szCs w:val="24"/>
            <w:u w:val="single"/>
          </w:rPr>
          <w:t>https://doi.org/10.1080/87565641.2018.1516770</w:t>
        </w:r>
      </w:hyperlink>
    </w:p>
    <w:p w14:paraId="569B1B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 P., Ou, Y., Su, Q., Liu, F., Chen, J., Zhao, J., &amp; Guo, W. (2019). Voxel-based global-brain functional connectivity alterations in first-episode drug-naive patients with somatization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254</w:t>
      </w:r>
      <w:r w:rsidRPr="001768F9">
        <w:rPr>
          <w:rFonts w:ascii="Times New Roman" w:eastAsia="Times New Roman" w:hAnsi="Times New Roman" w:cs="Times New Roman"/>
          <w:sz w:val="24"/>
          <w:szCs w:val="24"/>
        </w:rPr>
        <w:t xml:space="preserve">, 82–89. </w:t>
      </w:r>
      <w:hyperlink r:id="rId4346" w:history="1">
        <w:r w:rsidRPr="001768F9">
          <w:rPr>
            <w:rFonts w:ascii="Times New Roman" w:eastAsia="Times New Roman" w:hAnsi="Times New Roman" w:cs="Times New Roman"/>
            <w:color w:val="0000FF"/>
            <w:sz w:val="24"/>
            <w:szCs w:val="24"/>
            <w:u w:val="single"/>
          </w:rPr>
          <w:t>https://doi.org/10.1016/j.jad.2019.04.099</w:t>
        </w:r>
      </w:hyperlink>
    </w:p>
    <w:p w14:paraId="177612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Panchal, H., Paholpak, P., Lee, G., Carr, A., Barsuglia, J. P., Mather, M., Jimenez, E., &amp; Mendez, M. F. (2016). Neuropsychological and neuroanatomical correlates of the Social Norms Questionnaire in frontotemporal dementia versus Alzheimer’s disease. </w:t>
      </w:r>
      <w:r w:rsidRPr="001768F9">
        <w:rPr>
          <w:rFonts w:ascii="Times New Roman" w:eastAsia="Times New Roman" w:hAnsi="Times New Roman" w:cs="Times New Roman"/>
          <w:i/>
          <w:iCs/>
          <w:sz w:val="24"/>
          <w:szCs w:val="24"/>
        </w:rPr>
        <w:t>American Journal of Alzheimer’s Disease and Other Dementias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326–332. </w:t>
      </w:r>
      <w:hyperlink r:id="rId4347" w:history="1">
        <w:r w:rsidRPr="001768F9">
          <w:rPr>
            <w:rFonts w:ascii="Times New Roman" w:eastAsia="Times New Roman" w:hAnsi="Times New Roman" w:cs="Times New Roman"/>
            <w:color w:val="0000FF"/>
            <w:sz w:val="24"/>
            <w:szCs w:val="24"/>
            <w:u w:val="single"/>
          </w:rPr>
          <w:t>https://doi.org/10.1177/1533317515617722</w:t>
        </w:r>
      </w:hyperlink>
    </w:p>
    <w:p w14:paraId="27A372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Panenka, W. J., &amp; Hurwitz, T. A. (2013). Memory loss associated with herpes simplex encephalitis. In </w:t>
      </w:r>
      <w:r w:rsidRPr="001768F9">
        <w:rPr>
          <w:rFonts w:ascii="Times New Roman" w:eastAsia="Times New Roman" w:hAnsi="Times New Roman" w:cs="Times New Roman"/>
          <w:i/>
          <w:iCs/>
          <w:sz w:val="24"/>
          <w:szCs w:val="24"/>
        </w:rPr>
        <w:t>Casebook of neuropsychiatry.</w:t>
      </w:r>
      <w:r w:rsidRPr="001768F9">
        <w:rPr>
          <w:rFonts w:ascii="Times New Roman" w:eastAsia="Times New Roman" w:hAnsi="Times New Roman" w:cs="Times New Roman"/>
          <w:sz w:val="24"/>
          <w:szCs w:val="24"/>
        </w:rPr>
        <w:t xml:space="preserve"> (pp. 249–259). American Psychiatric Publishing, Inc.</w:t>
      </w:r>
    </w:p>
    <w:p w14:paraId="445A6D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Paniak, C., Miller, H. B., Murphy, D., Patterson, L., &amp; al, et. (1996). Canadian developmental norms for 9 to 14 year-olds on the Wisconsin Card Sorting Test. </w:t>
      </w:r>
      <w:r w:rsidRPr="001768F9">
        <w:rPr>
          <w:rFonts w:ascii="Times New Roman" w:eastAsia="Times New Roman" w:hAnsi="Times New Roman" w:cs="Times New Roman"/>
          <w:i/>
          <w:iCs/>
          <w:sz w:val="24"/>
          <w:szCs w:val="24"/>
        </w:rPr>
        <w:t>Canadian Journal of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(4), 233–237.</w:t>
      </w:r>
    </w:p>
    <w:p w14:paraId="5C1A5F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Panikratova, Y., Dobrushina, O., Tomyshev, A., Akhutina, T., Pechenkova, E., Sinitsyn, V., &amp; Vlasova, R. (2020). Context-dependency in the cognitive bias task and resting-state functional connectivity of the dorsolateral prefrontal cortex.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(8), 749–762. </w:t>
      </w:r>
      <w:hyperlink r:id="rId4348" w:history="1">
        <w:r w:rsidRPr="001768F9">
          <w:rPr>
            <w:rFonts w:ascii="Times New Roman" w:eastAsia="Times New Roman" w:hAnsi="Times New Roman" w:cs="Times New Roman"/>
            <w:color w:val="0000FF"/>
            <w:sz w:val="24"/>
            <w:szCs w:val="24"/>
            <w:u w:val="single"/>
          </w:rPr>
          <w:t>https://doi.org/10.1017/S1355617720000302</w:t>
        </w:r>
      </w:hyperlink>
    </w:p>
    <w:p w14:paraId="7AD2D9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Pankow, A., Friedel, E., Sterzer, P., Seiferth, N., Walter, H., Heinz, A., &amp; Schlagenhauf, F. (2013). Altered amygdala activation in schizophrenia patients during emotion processing.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101–106. </w:t>
      </w:r>
      <w:hyperlink r:id="rId4349" w:history="1">
        <w:r w:rsidRPr="001768F9">
          <w:rPr>
            <w:rFonts w:ascii="Times New Roman" w:eastAsia="Times New Roman" w:hAnsi="Times New Roman" w:cs="Times New Roman"/>
            <w:color w:val="0000FF"/>
            <w:sz w:val="24"/>
            <w:szCs w:val="24"/>
            <w:u w:val="single"/>
          </w:rPr>
          <w:t>https://doi.org/10.1016/j.schres.2013.07.015</w:t>
        </w:r>
      </w:hyperlink>
    </w:p>
    <w:p w14:paraId="05FBAB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Pannu, J. K., Kaszniak, A. W., &amp; Rapcsak, S. Z. (2005). Metamemory for faces following frontal lobe damage.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(6), 668–676. </w:t>
      </w:r>
      <w:hyperlink r:id="rId4350" w:history="1">
        <w:r w:rsidRPr="001768F9">
          <w:rPr>
            <w:rFonts w:ascii="Times New Roman" w:eastAsia="Times New Roman" w:hAnsi="Times New Roman" w:cs="Times New Roman"/>
            <w:color w:val="0000FF"/>
            <w:sz w:val="24"/>
            <w:szCs w:val="24"/>
            <w:u w:val="single"/>
          </w:rPr>
          <w:t>https://doi.org/10.1017/S1355617705050873</w:t>
        </w:r>
      </w:hyperlink>
    </w:p>
    <w:p w14:paraId="22EA6A6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Pansky, A., Goldsmith, M., Koriat, A., &amp; Pearlman-Avnion, S. (2009). Memory accuracy in old age: Cognitive, metacognitive, and neurocognitive determinants. </w:t>
      </w:r>
      <w:r w:rsidRPr="001768F9">
        <w:rPr>
          <w:rFonts w:ascii="Times New Roman" w:eastAsia="Times New Roman" w:hAnsi="Times New Roman" w:cs="Times New Roman"/>
          <w:i/>
          <w:iCs/>
          <w:sz w:val="24"/>
          <w:szCs w:val="24"/>
        </w:rPr>
        <w:t>European Journal of Cognitive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(2–3), 303–329. </w:t>
      </w:r>
      <w:hyperlink r:id="rId4351" w:history="1">
        <w:r w:rsidRPr="001768F9">
          <w:rPr>
            <w:rFonts w:ascii="Times New Roman" w:eastAsia="Times New Roman" w:hAnsi="Times New Roman" w:cs="Times New Roman"/>
            <w:color w:val="0000FF"/>
            <w:sz w:val="24"/>
            <w:szCs w:val="24"/>
            <w:u w:val="single"/>
          </w:rPr>
          <w:t>https://doi.org/10.1080/09541440802281183</w:t>
        </w:r>
      </w:hyperlink>
    </w:p>
    <w:p w14:paraId="1600B3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Axelrod, B. N., Ryan, J. J., &amp; Goldman, R. S. (1994). Administration accuracy of the Wisconsin Card Sorting Test. </w:t>
      </w:r>
      <w:r w:rsidRPr="001768F9">
        <w:rPr>
          <w:rFonts w:ascii="Times New Roman" w:eastAsia="Times New Roman" w:hAnsi="Times New Roman" w:cs="Times New Roman"/>
          <w:i/>
          <w:iCs/>
          <w:sz w:val="24"/>
          <w:szCs w:val="24"/>
        </w:rPr>
        <w:t>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112–116. </w:t>
      </w:r>
      <w:hyperlink r:id="rId4352" w:history="1">
        <w:r w:rsidRPr="001768F9">
          <w:rPr>
            <w:rFonts w:ascii="Times New Roman" w:eastAsia="Times New Roman" w:hAnsi="Times New Roman" w:cs="Times New Roman"/>
            <w:color w:val="0000FF"/>
            <w:sz w:val="24"/>
            <w:szCs w:val="24"/>
            <w:u w:val="single"/>
          </w:rPr>
          <w:t>https://doi.org/10.1080/13854049408401549</w:t>
        </w:r>
      </w:hyperlink>
    </w:p>
    <w:p w14:paraId="33FEBD2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Axelrod, B. N., &amp; Tröster, A. I. (1996). Test–retest stability of the Wisconsin Card Sorting Test.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(2), 137–143.</w:t>
      </w:r>
    </w:p>
    <w:p w14:paraId="4EAA65E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Axelrod, B. N., Trőster, A. I., Blackwell, K. T., &amp; Koller, W. C. (1996). Utility of a Wisconsin Card Sorting Test Short Form in persons with Alzheimer’s and Parkinson’s disease.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(6), 892–897. </w:t>
      </w:r>
      <w:hyperlink r:id="rId4353" w:history="1">
        <w:r w:rsidRPr="001768F9">
          <w:rPr>
            <w:rFonts w:ascii="Times New Roman" w:eastAsia="Times New Roman" w:hAnsi="Times New Roman" w:cs="Times New Roman"/>
            <w:color w:val="0000FF"/>
            <w:sz w:val="24"/>
            <w:szCs w:val="24"/>
            <w:u w:val="single"/>
          </w:rPr>
          <w:t>https://doi.org/10.1080/01688639608408310</w:t>
        </w:r>
      </w:hyperlink>
    </w:p>
    <w:p w14:paraId="7A14B46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Paolo, A. M., Tröster, A. I., Axelrod, B. N., &amp; Koller, W. C. (1995). Construct validity of the WCST in normal elderly and persons with Parkinson’s disease.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(5), 463–473. </w:t>
      </w:r>
      <w:hyperlink r:id="rId4354" w:history="1">
        <w:r w:rsidRPr="001768F9">
          <w:rPr>
            <w:rFonts w:ascii="Times New Roman" w:eastAsia="Times New Roman" w:hAnsi="Times New Roman" w:cs="Times New Roman"/>
            <w:color w:val="0000FF"/>
            <w:sz w:val="24"/>
            <w:szCs w:val="24"/>
            <w:u w:val="single"/>
          </w:rPr>
          <w:t>https://doi.org/10.1016/0887-6177(95)00052-6</w:t>
        </w:r>
      </w:hyperlink>
    </w:p>
    <w:p w14:paraId="075A7B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Papagno, C., Cecchetto, C., Reati, F., &amp; Bello, L. (2007). Processing of syntactically complex sentences relies on verbal short-term memory: Evidence from a short-term memory patient.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(3), 292–311. </w:t>
      </w:r>
      <w:hyperlink r:id="rId4355" w:history="1">
        <w:r w:rsidRPr="001768F9">
          <w:rPr>
            <w:rFonts w:ascii="Times New Roman" w:eastAsia="Times New Roman" w:hAnsi="Times New Roman" w:cs="Times New Roman"/>
            <w:color w:val="0000FF"/>
            <w:sz w:val="24"/>
            <w:szCs w:val="24"/>
            <w:u w:val="single"/>
          </w:rPr>
          <w:t>https://doi.org/10.1080/02643290701211928</w:t>
        </w:r>
      </w:hyperlink>
    </w:p>
    <w:p w14:paraId="3530CB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Papaleo, F., Sannino, S., Piras, F., &amp; Spalletta, G. (2015). Sex-dichotomous effects of functional COMT genetic variations on cognitive functions disappear after menopause in both health and schizophrenia.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(12), 2349–2363. </w:t>
      </w:r>
      <w:hyperlink r:id="rId4356" w:history="1">
        <w:r w:rsidRPr="001768F9">
          <w:rPr>
            <w:rFonts w:ascii="Times New Roman" w:eastAsia="Times New Roman" w:hAnsi="Times New Roman" w:cs="Times New Roman"/>
            <w:color w:val="0000FF"/>
            <w:sz w:val="24"/>
            <w:szCs w:val="24"/>
            <w:u w:val="single"/>
          </w:rPr>
          <w:t>https://doi.org/10.1016/j.euroneuro.2015.10.005</w:t>
        </w:r>
      </w:hyperlink>
    </w:p>
    <w:p w14:paraId="2BFD51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Papezova, H., &amp; Zuchova, S. (2013). Eating disorders.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27–52). Nova Science Publishers.</w:t>
      </w:r>
    </w:p>
    <w:p w14:paraId="301C9EA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Papma, J. M., Seelaar, H., de Koning, I., Hasan, D., Reijs, A., Valkema, R., Prins, N. D., &amp; van Swieten, J. C. (2013). Episodic memory impairment in frontotemporal dementia; a 99mTc- HMPAO SPECT study. </w:t>
      </w:r>
      <w:r w:rsidRPr="001768F9">
        <w:rPr>
          <w:rFonts w:ascii="Times New Roman" w:eastAsia="Times New Roman" w:hAnsi="Times New Roman" w:cs="Times New Roman"/>
          <w:i/>
          <w:iCs/>
          <w:sz w:val="24"/>
          <w:szCs w:val="24"/>
        </w:rPr>
        <w:t>Current Alzheimer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332–339. </w:t>
      </w:r>
      <w:hyperlink r:id="rId4357" w:history="1">
        <w:r w:rsidRPr="001768F9">
          <w:rPr>
            <w:rFonts w:ascii="Times New Roman" w:eastAsia="Times New Roman" w:hAnsi="Times New Roman" w:cs="Times New Roman"/>
            <w:color w:val="0000FF"/>
            <w:sz w:val="24"/>
            <w:szCs w:val="24"/>
            <w:u w:val="single"/>
          </w:rPr>
          <w:t>https://doi.org/10.2174/1567205011310030013</w:t>
        </w:r>
      </w:hyperlink>
    </w:p>
    <w:p w14:paraId="54FFF2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Papp, K. V., Kaplan, R. F., &amp; Snyder, P. J. (2011). Biological markers of cognition in prodromal Huntington’s disease: A review.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(2), 280–291. </w:t>
      </w:r>
      <w:hyperlink r:id="rId4358" w:history="1">
        <w:r w:rsidRPr="001768F9">
          <w:rPr>
            <w:rFonts w:ascii="Times New Roman" w:eastAsia="Times New Roman" w:hAnsi="Times New Roman" w:cs="Times New Roman"/>
            <w:color w:val="0000FF"/>
            <w:sz w:val="24"/>
            <w:szCs w:val="24"/>
            <w:u w:val="single"/>
          </w:rPr>
          <w:t>https://doi.org/10.1016/j.bandc.2011.07.009</w:t>
        </w:r>
      </w:hyperlink>
    </w:p>
    <w:p w14:paraId="7A0B71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Parada, M., Corral, M., Mota, N., Crego, A., Rodríguez Holguín, S., &amp; Cadaveira, F. (2012). Executive functioning and alcohol binge drinking in university students. </w:t>
      </w:r>
      <w:r w:rsidRPr="001768F9">
        <w:rPr>
          <w:rFonts w:ascii="Times New Roman" w:eastAsia="Times New Roman" w:hAnsi="Times New Roman" w:cs="Times New Roman"/>
          <w:i/>
          <w:iCs/>
          <w:sz w:val="24"/>
          <w:szCs w:val="24"/>
        </w:rPr>
        <w:t>Addictive Behaviors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(2), 167–172. </w:t>
      </w:r>
      <w:hyperlink r:id="rId4359" w:history="1">
        <w:r w:rsidRPr="001768F9">
          <w:rPr>
            <w:rFonts w:ascii="Times New Roman" w:eastAsia="Times New Roman" w:hAnsi="Times New Roman" w:cs="Times New Roman"/>
            <w:color w:val="0000FF"/>
            <w:sz w:val="24"/>
            <w:szCs w:val="24"/>
            <w:u w:val="single"/>
          </w:rPr>
          <w:t>https://doi.org/10.1016/j.addbeh.2011.09.015</w:t>
        </w:r>
      </w:hyperlink>
    </w:p>
    <w:p w14:paraId="241B01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Paradiso, S., Ostedgaard, K., Vaidya, J., Ponto, L. B., &amp; Robinson, R. (2013). Emotional blunting following left basal ganglia stroke: The role of depression and fronto-limbic functional alterations.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211</w:t>
      </w:r>
      <w:r w:rsidRPr="001768F9">
        <w:rPr>
          <w:rFonts w:ascii="Times New Roman" w:eastAsia="Times New Roman" w:hAnsi="Times New Roman" w:cs="Times New Roman"/>
          <w:sz w:val="24"/>
          <w:szCs w:val="24"/>
        </w:rPr>
        <w:t xml:space="preserve">(2), 148–159. </w:t>
      </w:r>
      <w:hyperlink r:id="rId4360" w:history="1">
        <w:r w:rsidRPr="001768F9">
          <w:rPr>
            <w:rFonts w:ascii="Times New Roman" w:eastAsia="Times New Roman" w:hAnsi="Times New Roman" w:cs="Times New Roman"/>
            <w:color w:val="0000FF"/>
            <w:sz w:val="24"/>
            <w:szCs w:val="24"/>
            <w:u w:val="single"/>
          </w:rPr>
          <w:t>https://doi.org/10.1016/j.pscychresns.2012.05.008</w:t>
        </w:r>
      </w:hyperlink>
    </w:p>
    <w:p w14:paraId="3B20CE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Pardo, P. J., Georgopoulos, A. P., Kenny, J. T., Stuve, T. A., Findling, R. L., &amp; Schulz, S. C. (2006). Classification of adolescent psychotic disorders using linear discriminant 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(1–3), 297–306. </w:t>
      </w:r>
      <w:hyperlink r:id="rId4361" w:history="1">
        <w:r w:rsidRPr="001768F9">
          <w:rPr>
            <w:rFonts w:ascii="Times New Roman" w:eastAsia="Times New Roman" w:hAnsi="Times New Roman" w:cs="Times New Roman"/>
            <w:color w:val="0000FF"/>
            <w:sz w:val="24"/>
            <w:szCs w:val="24"/>
            <w:u w:val="single"/>
          </w:rPr>
          <w:t>https://doi.org/10.1016/j.schres.2006.05.007</w:t>
        </w:r>
      </w:hyperlink>
    </w:p>
    <w:p w14:paraId="748D5B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Pardo, P. J., Knesevich, M. A., Vogler, G. P., Pardo, J. V., Towne, B., Cloninger, C. R., &amp; Posner, M. I. (2000). Genetic and state variables of neurocognitive dysfunction in schizophrenia: A twin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(2), 459–477. </w:t>
      </w:r>
      <w:hyperlink r:id="rId4362" w:history="1">
        <w:r w:rsidRPr="001768F9">
          <w:rPr>
            <w:rFonts w:ascii="Times New Roman" w:eastAsia="Times New Roman" w:hAnsi="Times New Roman" w:cs="Times New Roman"/>
            <w:color w:val="0000FF"/>
            <w:sz w:val="24"/>
            <w:szCs w:val="24"/>
            <w:u w:val="single"/>
          </w:rPr>
          <w:t>https://doi.org/10.1093/oxfordjournals.schbul.a033466</w:t>
        </w:r>
      </w:hyperlink>
    </w:p>
    <w:p w14:paraId="6DEEDB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Pareek, P., Bhojraj, T. S., Montrose, D. M., Rajarethinam, R., Sweeney, J. A., &amp; Keshavan, M. S. (2010). Involuntary movements and their correlates in first-episode psychoses. </w:t>
      </w:r>
      <w:r w:rsidRPr="001768F9">
        <w:rPr>
          <w:rFonts w:ascii="Times New Roman" w:eastAsia="Times New Roman" w:hAnsi="Times New Roman" w:cs="Times New Roman"/>
          <w:i/>
          <w:iCs/>
          <w:sz w:val="24"/>
          <w:szCs w:val="24"/>
        </w:rPr>
        <w:t>Acta Neuropsychiatrica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(5), 262–263. </w:t>
      </w:r>
      <w:hyperlink r:id="rId4363" w:history="1">
        <w:r w:rsidRPr="001768F9">
          <w:rPr>
            <w:rFonts w:ascii="Times New Roman" w:eastAsia="Times New Roman" w:hAnsi="Times New Roman" w:cs="Times New Roman"/>
            <w:color w:val="0000FF"/>
            <w:sz w:val="24"/>
            <w:szCs w:val="24"/>
            <w:u w:val="single"/>
          </w:rPr>
          <w:t>https://doi.org/10.1111/j.1601-5215.2010.00484.x</w:t>
        </w:r>
      </w:hyperlink>
    </w:p>
    <w:p w14:paraId="7F5D4E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E., Catafau, A. M., Bernardo, M., Lomeña, F., Catarineu, S., &amp; González-Monclús, E. (1998). The resting and activation issue of hypofrontality: A single photon emission computed tomography study in neuroleptic-naive and neuroleptic-free schizophrenic female patients.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(8), 787–790. </w:t>
      </w:r>
      <w:hyperlink r:id="rId4364" w:history="1">
        <w:r w:rsidRPr="001768F9">
          <w:rPr>
            <w:rFonts w:ascii="Times New Roman" w:eastAsia="Times New Roman" w:hAnsi="Times New Roman" w:cs="Times New Roman"/>
            <w:color w:val="0000FF"/>
            <w:sz w:val="24"/>
            <w:szCs w:val="24"/>
            <w:u w:val="single"/>
          </w:rPr>
          <w:t>https://doi.org/10.1016/S0006-3223(98)00057-2</w:t>
        </w:r>
      </w:hyperlink>
    </w:p>
    <w:p w14:paraId="398E37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E., Catafau, A. M., Bernardo, M., Lomeña, F., González-Monclús, E., &amp; Setoain, J. (1994). Prefrontal dysfunction in young acute neuroleptic-naive schizophrenic patients: A resting and activation SPECT study.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(3), 131–139. </w:t>
      </w:r>
      <w:hyperlink r:id="rId4365" w:history="1">
        <w:r w:rsidRPr="001768F9">
          <w:rPr>
            <w:rFonts w:ascii="Times New Roman" w:eastAsia="Times New Roman" w:hAnsi="Times New Roman" w:cs="Times New Roman"/>
            <w:color w:val="0000FF"/>
            <w:sz w:val="24"/>
            <w:szCs w:val="24"/>
            <w:u w:val="single"/>
          </w:rPr>
          <w:t>https://doi.org/10.1016/0925-4927(94)90021-3</w:t>
        </w:r>
      </w:hyperlink>
    </w:p>
    <w:p w14:paraId="1FE581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E., Catarineu, S., Catafau, A., Bernardo, M., &amp; Lomeña, F. (2000). Psychopathology and Wisconsin Card Sorting Test performance in young unmedicated schizophrenic patients. </w:t>
      </w:r>
      <w:r w:rsidRPr="001768F9">
        <w:rPr>
          <w:rFonts w:ascii="Times New Roman" w:eastAsia="Times New Roman" w:hAnsi="Times New Roman" w:cs="Times New Roman"/>
          <w:i/>
          <w:iCs/>
          <w:sz w:val="24"/>
          <w:szCs w:val="24"/>
        </w:rPr>
        <w:t>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 14–18. </w:t>
      </w:r>
      <w:hyperlink r:id="rId4366" w:history="1">
        <w:r w:rsidRPr="001768F9">
          <w:rPr>
            <w:rFonts w:ascii="Times New Roman" w:eastAsia="Times New Roman" w:hAnsi="Times New Roman" w:cs="Times New Roman"/>
            <w:color w:val="0000FF"/>
            <w:sz w:val="24"/>
            <w:szCs w:val="24"/>
            <w:u w:val="single"/>
          </w:rPr>
          <w:t>https://doi.org/10.1159/000029113</w:t>
        </w:r>
      </w:hyperlink>
    </w:p>
    <w:p w14:paraId="42A3BC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M., Boada, L., Fraguas, D., Reig, S., Castro-Fornieles, J., Moreno, D., Gonzalez-Pinto, A., Otero, S., Rapado-Castro, M., Graell, M., Baeza, I., &amp; Arango, C. (2011). Trait and state attributes of insight in first episodes of early-onset schizophrenia and other psychoses: A 2-year longitudinal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(1), 38–51. </w:t>
      </w:r>
      <w:hyperlink r:id="rId4367" w:history="1">
        <w:r w:rsidRPr="001768F9">
          <w:rPr>
            <w:rFonts w:ascii="Times New Roman" w:eastAsia="Times New Roman" w:hAnsi="Times New Roman" w:cs="Times New Roman"/>
            <w:color w:val="0000FF"/>
            <w:sz w:val="24"/>
            <w:szCs w:val="24"/>
            <w:u w:val="single"/>
          </w:rPr>
          <w:t>https://doi.org/10.1093/schbul/sbq109</w:t>
        </w:r>
      </w:hyperlink>
    </w:p>
    <w:p w14:paraId="1E8126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Parellada, M., Castro-Fornieles, J., Gonzalez-Pinto, A., Pina-Camacho, L., Moreno, D., Rapado-Castro, M., Otero, S., de la Serna, E., Moreno, C., Baeza, I., Graell, M., &amp; Arango, C. (2015). Predictors of functional and clinical outcome in early-onset first-episode psychosis: The Child and Adolescent First Episode of Psychosis (CAFEPS) study. </w:t>
      </w:r>
      <w:r w:rsidRPr="001768F9">
        <w:rPr>
          <w:rFonts w:ascii="Times New Roman" w:eastAsia="Times New Roman" w:hAnsi="Times New Roman" w:cs="Times New Roman"/>
          <w:i/>
          <w:iCs/>
          <w:sz w:val="24"/>
          <w:szCs w:val="24"/>
        </w:rPr>
        <w:t>The Journal of Clinical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76</w:t>
      </w:r>
      <w:r w:rsidRPr="001768F9">
        <w:rPr>
          <w:rFonts w:ascii="Times New Roman" w:eastAsia="Times New Roman" w:hAnsi="Times New Roman" w:cs="Times New Roman"/>
          <w:sz w:val="24"/>
          <w:szCs w:val="24"/>
        </w:rPr>
        <w:t xml:space="preserve">(11), e1441-el448. </w:t>
      </w:r>
      <w:hyperlink r:id="rId4368" w:history="1">
        <w:r w:rsidRPr="001768F9">
          <w:rPr>
            <w:rFonts w:ascii="Times New Roman" w:eastAsia="Times New Roman" w:hAnsi="Times New Roman" w:cs="Times New Roman"/>
            <w:color w:val="0000FF"/>
            <w:sz w:val="24"/>
            <w:szCs w:val="24"/>
            <w:u w:val="single"/>
          </w:rPr>
          <w:t>https://doi.org/10.4088/JCP.13m08863</w:t>
        </w:r>
      </w:hyperlink>
    </w:p>
    <w:p w14:paraId="5BB1A1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Paris, J., Zelkowitz, P., Guzder, J., Joseph, S., &amp; Feldman, R. (1999). Neuropsychological factors associated with borderline pathology in children.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(6), 770–774. </w:t>
      </w:r>
      <w:hyperlink r:id="rId4369" w:history="1">
        <w:r w:rsidRPr="001768F9">
          <w:rPr>
            <w:rFonts w:ascii="Times New Roman" w:eastAsia="Times New Roman" w:hAnsi="Times New Roman" w:cs="Times New Roman"/>
            <w:color w:val="0000FF"/>
            <w:sz w:val="24"/>
            <w:szCs w:val="24"/>
            <w:u w:val="single"/>
          </w:rPr>
          <w:t>https://doi.org/10.1097/00004583-199906000-00026</w:t>
        </w:r>
      </w:hyperlink>
    </w:p>
    <w:p w14:paraId="489FE6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Parisi, L., Rocca, M. A., Valsasina, P., Panicari, L., Mattioli, F., &amp; Filippi, M. (2014). Cognitive rehabilitation correlates with the functional connectivity of the anterior cingulate cortex in patients with multiple sclerosis.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(3), 387–393. </w:t>
      </w:r>
      <w:hyperlink r:id="rId4370" w:history="1">
        <w:r w:rsidRPr="001768F9">
          <w:rPr>
            <w:rFonts w:ascii="Times New Roman" w:eastAsia="Times New Roman" w:hAnsi="Times New Roman" w:cs="Times New Roman"/>
            <w:color w:val="0000FF"/>
            <w:sz w:val="24"/>
            <w:szCs w:val="24"/>
            <w:u w:val="single"/>
          </w:rPr>
          <w:t>https://doi.org/10.1007/s11682-012-9160-9</w:t>
        </w:r>
      </w:hyperlink>
    </w:p>
    <w:p w14:paraId="394AB3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H. Y., Hwang, J. Y., Jung, W. H., Shin, N. Y., Shim, G., Jang, J. H., &amp; Kwon, J. S. (2013). Altered asymmetry of the anterior cingulate cortex in subjects at genetic high risk for psychosis.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(2–3), 512–518. </w:t>
      </w:r>
      <w:hyperlink r:id="rId4371" w:history="1">
        <w:r w:rsidRPr="001768F9">
          <w:rPr>
            <w:rFonts w:ascii="Times New Roman" w:eastAsia="Times New Roman" w:hAnsi="Times New Roman" w:cs="Times New Roman"/>
            <w:color w:val="0000FF"/>
            <w:sz w:val="24"/>
            <w:szCs w:val="24"/>
            <w:u w:val="single"/>
          </w:rPr>
          <w:t>https://doi.org/10.1016/j.schres.2013.08.027</w:t>
        </w:r>
      </w:hyperlink>
    </w:p>
    <w:p w14:paraId="01E4A3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J. L., &amp; Johnston, C. (2020). The relations among stress, executive functions, and harsh parenting in mothers. </w:t>
      </w:r>
      <w:r w:rsidRPr="001768F9">
        <w:rPr>
          <w:rFonts w:ascii="Times New Roman" w:eastAsia="Times New Roman" w:hAnsi="Times New Roman" w:cs="Times New Roman"/>
          <w:i/>
          <w:iCs/>
          <w:sz w:val="24"/>
          <w:szCs w:val="24"/>
        </w:rPr>
        <w:t>Journal of Abnormal Child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(5), 619–632. </w:t>
      </w:r>
      <w:hyperlink r:id="rId4372" w:history="1">
        <w:r w:rsidRPr="001768F9">
          <w:rPr>
            <w:rFonts w:ascii="Times New Roman" w:eastAsia="Times New Roman" w:hAnsi="Times New Roman" w:cs="Times New Roman"/>
            <w:color w:val="0000FF"/>
            <w:sz w:val="24"/>
            <w:szCs w:val="24"/>
            <w:u w:val="single"/>
          </w:rPr>
          <w:t>https://doi.org/10.1007/s10802-020-00622-x</w:t>
        </w:r>
      </w:hyperlink>
    </w:p>
    <w:p w14:paraId="3B716A0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K. D., Lim, O. K., Yoo, C. J., Kim, Y. W., Lee, S., Park, Y., &amp; Lee, J. K. (2016). Voxel-based statistical analysis of brain metabolism in patients with growth hormone deficiency after traumatic brain injury.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(4), 407–413. </w:t>
      </w:r>
      <w:hyperlink r:id="rId4373" w:history="1">
        <w:r w:rsidRPr="001768F9">
          <w:rPr>
            <w:rFonts w:ascii="Times New Roman" w:eastAsia="Times New Roman" w:hAnsi="Times New Roman" w:cs="Times New Roman"/>
            <w:color w:val="0000FF"/>
            <w:sz w:val="24"/>
            <w:szCs w:val="24"/>
            <w:u w:val="single"/>
          </w:rPr>
          <w:t>https://doi.org/10.3109/02699052.2015.1127997</w:t>
        </w:r>
      </w:hyperlink>
    </w:p>
    <w:p w14:paraId="08FC76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Holzman, P. S., &amp; Lenzenweger, M. F. (1995). Individual differences in spatial working memory in relation to schizotypy.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104</w:t>
      </w:r>
      <w:r w:rsidRPr="001768F9">
        <w:rPr>
          <w:rFonts w:ascii="Times New Roman" w:eastAsia="Times New Roman" w:hAnsi="Times New Roman" w:cs="Times New Roman"/>
          <w:sz w:val="24"/>
          <w:szCs w:val="24"/>
        </w:rPr>
        <w:t xml:space="preserve">(2), 355–363. </w:t>
      </w:r>
      <w:hyperlink r:id="rId4374" w:history="1">
        <w:r w:rsidRPr="001768F9">
          <w:rPr>
            <w:rFonts w:ascii="Times New Roman" w:eastAsia="Times New Roman" w:hAnsi="Times New Roman" w:cs="Times New Roman"/>
            <w:color w:val="0000FF"/>
            <w:sz w:val="24"/>
            <w:szCs w:val="24"/>
            <w:u w:val="single"/>
          </w:rPr>
          <w:t>https://doi.org/10.1037/0021-843X.104.2.355</w:t>
        </w:r>
      </w:hyperlink>
    </w:p>
    <w:p w14:paraId="586CC0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Lee, J.-M., Baik, Y., Kim, K., Yun, H. J., Kwon, H., Jung, Y.-K., &amp; Kim, B.-N. (2015). A preliminary study of the effects of an arts education program on executive function, behavior, and brain structure in a sample of nonclinical school-aged children. </w:t>
      </w:r>
      <w:r w:rsidRPr="001768F9">
        <w:rPr>
          <w:rFonts w:ascii="Times New Roman" w:eastAsia="Times New Roman" w:hAnsi="Times New Roman" w:cs="Times New Roman"/>
          <w:i/>
          <w:iCs/>
          <w:sz w:val="24"/>
          <w:szCs w:val="24"/>
        </w:rPr>
        <w:t>Journal of Child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(13), 1757–1766. </w:t>
      </w:r>
      <w:hyperlink r:id="rId4375" w:history="1">
        <w:r w:rsidRPr="001768F9">
          <w:rPr>
            <w:rFonts w:ascii="Times New Roman" w:eastAsia="Times New Roman" w:hAnsi="Times New Roman" w:cs="Times New Roman"/>
            <w:color w:val="0000FF"/>
            <w:sz w:val="24"/>
            <w:szCs w:val="24"/>
            <w:u w:val="single"/>
          </w:rPr>
          <w:t>https://doi.org/10.1177/0883073815579710</w:t>
        </w:r>
      </w:hyperlink>
    </w:p>
    <w:p w14:paraId="5F3398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Park, B., Koh, M. K., &amp; Joo, Y. H. (2014). Case report: Bipolar disorder as the first manifestation of CADASIL.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w:t>
      </w:r>
    </w:p>
    <w:p w14:paraId="596A64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 S., Park, J.-E., Cho, S.-C., Kim, B.-N., Shin, M.-S., Kim, J.-W., Cho, I. H., Kim, S. A., Park, M., Park, T.-W., Son, J.-W., Chung, U.-S., &amp; Yoo, H. J. (2014). No association of the norepinephrine transporter gene (SLC6A2) and cognitive and behavioural phenotypes of patients with autism spectrum disorder.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264</w:t>
      </w:r>
      <w:r w:rsidRPr="001768F9">
        <w:rPr>
          <w:rFonts w:ascii="Times New Roman" w:eastAsia="Times New Roman" w:hAnsi="Times New Roman" w:cs="Times New Roman"/>
          <w:sz w:val="24"/>
          <w:szCs w:val="24"/>
        </w:rPr>
        <w:t xml:space="preserve">(6), 507–515. </w:t>
      </w:r>
      <w:hyperlink r:id="rId4376" w:history="1">
        <w:r w:rsidRPr="001768F9">
          <w:rPr>
            <w:rFonts w:ascii="Times New Roman" w:eastAsia="Times New Roman" w:hAnsi="Times New Roman" w:cs="Times New Roman"/>
            <w:color w:val="0000FF"/>
            <w:sz w:val="24"/>
            <w:szCs w:val="24"/>
            <w:u w:val="single"/>
          </w:rPr>
          <w:t>https://doi.org/10.1007/s00406-013-0480-6</w:t>
        </w:r>
      </w:hyperlink>
    </w:p>
    <w:p w14:paraId="61A384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Parker, E. S., Cahill, L., &amp; McGaugh, J. L. (2006). A Case of Unusual Autobiographical Remembering.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35–49. </w:t>
      </w:r>
      <w:hyperlink r:id="rId4377" w:history="1">
        <w:r w:rsidRPr="001768F9">
          <w:rPr>
            <w:rFonts w:ascii="Times New Roman" w:eastAsia="Times New Roman" w:hAnsi="Times New Roman" w:cs="Times New Roman"/>
            <w:color w:val="0000FF"/>
            <w:sz w:val="24"/>
            <w:szCs w:val="24"/>
            <w:u w:val="single"/>
          </w:rPr>
          <w:t>https://doi.org/10.1080/13554790500473680</w:t>
        </w:r>
      </w:hyperlink>
    </w:p>
    <w:p w14:paraId="590DC1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Parkin, A. J., &amp; Lawrence, A. (1994). A dissociation in the relation between memory tasks and frontal lobe tests in the normal elderly.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(12), 1523–1532. </w:t>
      </w:r>
      <w:hyperlink r:id="rId4378" w:history="1">
        <w:r w:rsidRPr="001768F9">
          <w:rPr>
            <w:rFonts w:ascii="Times New Roman" w:eastAsia="Times New Roman" w:hAnsi="Times New Roman" w:cs="Times New Roman"/>
            <w:color w:val="0000FF"/>
            <w:sz w:val="24"/>
            <w:szCs w:val="24"/>
            <w:u w:val="single"/>
          </w:rPr>
          <w:t>https://doi.org/10.1016/0028-3932(94)90124-4</w:t>
        </w:r>
      </w:hyperlink>
    </w:p>
    <w:p w14:paraId="7FC3A46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Parks, R. W., &amp; Levine, D. S. (1998). Neural network modeling of Wisconsin Card Sorting and verbal fluency tests: Applications with frontal lobe-damaged and Alzheimer’s disease patients. In </w:t>
      </w:r>
      <w:r w:rsidRPr="001768F9">
        <w:rPr>
          <w:rFonts w:ascii="Times New Roman" w:eastAsia="Times New Roman" w:hAnsi="Times New Roman" w:cs="Times New Roman"/>
          <w:i/>
          <w:iCs/>
          <w:sz w:val="24"/>
          <w:szCs w:val="24"/>
        </w:rPr>
        <w:t>Fundamentals of neural network modeling: Neuropsychology and cognitive neuroscience.</w:t>
      </w:r>
      <w:r w:rsidRPr="001768F9">
        <w:rPr>
          <w:rFonts w:ascii="Times New Roman" w:eastAsia="Times New Roman" w:hAnsi="Times New Roman" w:cs="Times New Roman"/>
          <w:sz w:val="24"/>
          <w:szCs w:val="24"/>
        </w:rPr>
        <w:t xml:space="preserve"> (pp. 357–380). The MIT Press.</w:t>
      </w:r>
    </w:p>
    <w:p w14:paraId="0F8804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Parks, R. W., Thiyagesh, S. N., Levine, D. S., Lee, K.-H., Bhaker, R., Mysore, A., Ingram, L., Young, C., Birkett, P., Pegg, E., &amp; Woodruff, P. W. R. (2007). Executive dysfunction screening test for neuropsychiatric disorders. </w:t>
      </w:r>
      <w:r w:rsidRPr="001768F9">
        <w:rPr>
          <w:rFonts w:ascii="Times New Roman" w:eastAsia="Times New Roman" w:hAnsi="Times New Roman" w:cs="Times New Roman"/>
          <w:i/>
          <w:iCs/>
          <w:sz w:val="24"/>
          <w:szCs w:val="24"/>
        </w:rPr>
        <w:t>International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(4), 507–518. </w:t>
      </w:r>
      <w:hyperlink r:id="rId4379" w:history="1">
        <w:r w:rsidRPr="001768F9">
          <w:rPr>
            <w:rFonts w:ascii="Times New Roman" w:eastAsia="Times New Roman" w:hAnsi="Times New Roman" w:cs="Times New Roman"/>
            <w:color w:val="0000FF"/>
            <w:sz w:val="24"/>
            <w:szCs w:val="24"/>
            <w:u w:val="single"/>
          </w:rPr>
          <w:t>https://doi.org/10.1080/00207450600773525</w:t>
        </w:r>
      </w:hyperlink>
    </w:p>
    <w:p w14:paraId="702640E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Parlar, M., Frewen, P. A., Oremus, C., Lanius, R. A., &amp; McKinnon, M. C. (2016). Dissociative symptoms are associated with reduced neuropsychological performance in patients with recurrent depression and a history of trauma exposure. </w:t>
      </w:r>
      <w:r w:rsidRPr="001768F9">
        <w:rPr>
          <w:rFonts w:ascii="Times New Roman" w:eastAsia="Times New Roman" w:hAnsi="Times New Roman" w:cs="Times New Roman"/>
          <w:i/>
          <w:iCs/>
          <w:sz w:val="24"/>
          <w:szCs w:val="24"/>
        </w:rPr>
        <w:t>European Journal of Psychotraumatology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 </w:t>
      </w:r>
      <w:hyperlink r:id="rId4380" w:history="1">
        <w:r w:rsidRPr="001768F9">
          <w:rPr>
            <w:rFonts w:ascii="Times New Roman" w:eastAsia="Times New Roman" w:hAnsi="Times New Roman" w:cs="Times New Roman"/>
            <w:color w:val="0000FF"/>
            <w:sz w:val="24"/>
            <w:szCs w:val="24"/>
            <w:u w:val="single"/>
          </w:rPr>
          <w:t>https://doi.org/10.3402/ejpt.v7.29061</w:t>
        </w:r>
      </w:hyperlink>
    </w:p>
    <w:p w14:paraId="06956C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Parmenter, B. A., Zivadinov, R., Kerenyi, L., Gavett, R., Weinstock-Guttman, B., Dwyer, M. G., Garg, N., Munschauer, F., &amp; Benedict, R. H. B. (2007). Validity of the Wisconsin Card Sorting and Delis-Kaplan Executive Function System (DKEFS) Sorting Tests in multiple sclerosis.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(2), 215–223. </w:t>
      </w:r>
      <w:hyperlink r:id="rId4381" w:history="1">
        <w:r w:rsidRPr="001768F9">
          <w:rPr>
            <w:rFonts w:ascii="Times New Roman" w:eastAsia="Times New Roman" w:hAnsi="Times New Roman" w:cs="Times New Roman"/>
            <w:color w:val="0000FF"/>
            <w:sz w:val="24"/>
            <w:szCs w:val="24"/>
            <w:u w:val="single"/>
          </w:rPr>
          <w:t>https://doi.org/10.1080/13803390600672163</w:t>
        </w:r>
      </w:hyperlink>
    </w:p>
    <w:p w14:paraId="2D7287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Parra, M. A., Abrahams, S., Logie, R. H., Méndez, L. G., Lopera, F., &amp; Della Sala, S. (2010). Visual short-term memory binding deficits in familial Alzheimer’s disease.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133</w:t>
      </w:r>
      <w:r w:rsidRPr="001768F9">
        <w:rPr>
          <w:rFonts w:ascii="Times New Roman" w:eastAsia="Times New Roman" w:hAnsi="Times New Roman" w:cs="Times New Roman"/>
          <w:sz w:val="24"/>
          <w:szCs w:val="24"/>
        </w:rPr>
        <w:t xml:space="preserve">(9), 2702–2713. </w:t>
      </w:r>
      <w:hyperlink r:id="rId4382" w:history="1">
        <w:r w:rsidRPr="001768F9">
          <w:rPr>
            <w:rFonts w:ascii="Times New Roman" w:eastAsia="Times New Roman" w:hAnsi="Times New Roman" w:cs="Times New Roman"/>
            <w:color w:val="0000FF"/>
            <w:sz w:val="24"/>
            <w:szCs w:val="24"/>
            <w:u w:val="single"/>
          </w:rPr>
          <w:t>https://doi.org/10.1093/brain/awq148</w:t>
        </w:r>
      </w:hyperlink>
    </w:p>
    <w:p w14:paraId="1DB528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Parra, M. A., Saarimäki, H., Bastin, M. E., Londoño, A. C., Pettit, L., Lopera, F., Sala, S. D., &amp; Abrahams, S. (2015). Memory binding and white matter integrity in familial Alzheimer’s disease.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138</w:t>
      </w:r>
      <w:r w:rsidRPr="001768F9">
        <w:rPr>
          <w:rFonts w:ascii="Times New Roman" w:eastAsia="Times New Roman" w:hAnsi="Times New Roman" w:cs="Times New Roman"/>
          <w:sz w:val="24"/>
          <w:szCs w:val="24"/>
        </w:rPr>
        <w:t xml:space="preserve">(5), 1355–1369. </w:t>
      </w:r>
      <w:hyperlink r:id="rId4383" w:history="1">
        <w:r w:rsidRPr="001768F9">
          <w:rPr>
            <w:rFonts w:ascii="Times New Roman" w:eastAsia="Times New Roman" w:hAnsi="Times New Roman" w:cs="Times New Roman"/>
            <w:color w:val="0000FF"/>
            <w:sz w:val="24"/>
            <w:szCs w:val="24"/>
            <w:u w:val="single"/>
          </w:rPr>
          <w:t>https://doi.org/10.1093/brain/awv048</w:t>
        </w:r>
      </w:hyperlink>
    </w:p>
    <w:p w14:paraId="49DA5B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Parra, M. A., Sala, S. D., Logie, R. H., &amp; Abrahams, S. (2009). Selective impairment in visual short-term memory binding.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(7), 583–605. </w:t>
      </w:r>
      <w:hyperlink r:id="rId4384" w:history="1">
        <w:r w:rsidRPr="001768F9">
          <w:rPr>
            <w:rFonts w:ascii="Times New Roman" w:eastAsia="Times New Roman" w:hAnsi="Times New Roman" w:cs="Times New Roman"/>
            <w:color w:val="0000FF"/>
            <w:sz w:val="24"/>
            <w:szCs w:val="24"/>
            <w:u w:val="single"/>
          </w:rPr>
          <w:t>https://doi.org/10.1080/02643290903523286</w:t>
        </w:r>
      </w:hyperlink>
    </w:p>
    <w:p w14:paraId="58FB67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Parrott, A. C. (2013). MDMA, serotonergic neurotoxicity, and the diverse functional deficits of recreational ‘Ecstasy’ users. </w:t>
      </w:r>
      <w:r w:rsidRPr="001768F9">
        <w:rPr>
          <w:rFonts w:ascii="Times New Roman" w:eastAsia="Times New Roman" w:hAnsi="Times New Roman" w:cs="Times New Roman"/>
          <w:i/>
          <w:iCs/>
          <w:sz w:val="24"/>
          <w:szCs w:val="24"/>
        </w:rPr>
        <w:t>Neuroscience and Biobehavioral Reviews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(8), 1466–1484. </w:t>
      </w:r>
      <w:hyperlink r:id="rId4385" w:history="1">
        <w:r w:rsidRPr="001768F9">
          <w:rPr>
            <w:rFonts w:ascii="Times New Roman" w:eastAsia="Times New Roman" w:hAnsi="Times New Roman" w:cs="Times New Roman"/>
            <w:color w:val="0000FF"/>
            <w:sz w:val="24"/>
            <w:szCs w:val="24"/>
            <w:u w:val="single"/>
          </w:rPr>
          <w:t>https://doi.org/10.1016/j.neubiorev.2013.04.016</w:t>
        </w:r>
      </w:hyperlink>
    </w:p>
    <w:p w14:paraId="3FBD30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Parsons, T. D. (2015). Virtual reality for enhanced ecological validity and experimental control in the clinical, affective and social neurosciences.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w:t>
      </w:r>
    </w:p>
    <w:p w14:paraId="5807CE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Parton, A., Nachev, P., Hodgson, T. L., Mort, D., Thomas, D., Ordidge, R., Morgan, P. S., Jackson, S., Rees, G., &amp; Husain, M. (2007). Role of the human supplementary eye field in the control of saccadic eye movements.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(5), 997–1008. </w:t>
      </w:r>
      <w:hyperlink r:id="rId4386" w:history="1">
        <w:r w:rsidRPr="001768F9">
          <w:rPr>
            <w:rFonts w:ascii="Times New Roman" w:eastAsia="Times New Roman" w:hAnsi="Times New Roman" w:cs="Times New Roman"/>
            <w:color w:val="0000FF"/>
            <w:sz w:val="24"/>
            <w:szCs w:val="24"/>
            <w:u w:val="single"/>
          </w:rPr>
          <w:t>https://doi.org/10.1016/j.neuropsychologia.2006.09.007</w:t>
        </w:r>
      </w:hyperlink>
    </w:p>
    <w:p w14:paraId="3E990D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Parvaz, M. A., Moeller, S. J., d’Oleire Uquillas, F., Pflumm, A., Maloney, T., Alia‐Klein, N., &amp; Goldstein, R. Z. (2017). Prefrontal gray matter volume recovery in treatment-seeking cocaine-addicted individuals: A longitudinal study. </w:t>
      </w:r>
      <w:r w:rsidRPr="001768F9">
        <w:rPr>
          <w:rFonts w:ascii="Times New Roman" w:eastAsia="Times New Roman" w:hAnsi="Times New Roman" w:cs="Times New Roman"/>
          <w:i/>
          <w:iCs/>
          <w:sz w:val="24"/>
          <w:szCs w:val="24"/>
        </w:rPr>
        <w:t>Addiction 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(5), 1391–1401. </w:t>
      </w:r>
      <w:hyperlink r:id="rId4387" w:history="1">
        <w:r w:rsidRPr="001768F9">
          <w:rPr>
            <w:rFonts w:ascii="Times New Roman" w:eastAsia="Times New Roman" w:hAnsi="Times New Roman" w:cs="Times New Roman"/>
            <w:color w:val="0000FF"/>
            <w:sz w:val="24"/>
            <w:szCs w:val="24"/>
            <w:u w:val="single"/>
          </w:rPr>
          <w:t>https://doi.org/10.1111/adb.12403</w:t>
        </w:r>
      </w:hyperlink>
    </w:p>
    <w:p w14:paraId="10B20B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 J. C., Palomares, N., Ibáñez, Á., Portella, M. J., Arza, R., Reyes, R., Feliu-Soler, A., Díaz-Marsá, M., Saiz-Ruiz, J., Soler, J., &amp; Carrasco, J. L. (2015). Efficacy of cognitive rehabilitation on psychosocial functioning in Borderline Personality Disorder: A randomized controlled trial.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197395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Pascual-Sedano, B., Kulisevsky, J., Barbanoj, M., García-Sánchez, C., Campolongo, A., Gironell, A., Pagonabarraga, J., &amp; Gich, I. (2008). Levodopa and executive performance in Parkinson’s disease: A randomized study.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832–841. </w:t>
      </w:r>
      <w:hyperlink r:id="rId4388" w:history="1">
        <w:r w:rsidRPr="001768F9">
          <w:rPr>
            <w:rFonts w:ascii="Times New Roman" w:eastAsia="Times New Roman" w:hAnsi="Times New Roman" w:cs="Times New Roman"/>
            <w:color w:val="0000FF"/>
            <w:sz w:val="24"/>
            <w:szCs w:val="24"/>
            <w:u w:val="single"/>
          </w:rPr>
          <w:t>https://doi.org/10.1017/S1355617708081010</w:t>
        </w:r>
      </w:hyperlink>
    </w:p>
    <w:p w14:paraId="023DC3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Pascualvaca, D. M., Anthony, B. J., Arnold, L. E., Rebok, G. W., Ahearn, M. B., Kellam, S. G., &amp; Mirsky, A. F. (1997). Attention performance in an epidemiological sample of urban children: The role of gender and verbal intelligence.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(1), 13–27. </w:t>
      </w:r>
      <w:hyperlink r:id="rId4389" w:history="1">
        <w:r w:rsidRPr="001768F9">
          <w:rPr>
            <w:rFonts w:ascii="Times New Roman" w:eastAsia="Times New Roman" w:hAnsi="Times New Roman" w:cs="Times New Roman"/>
            <w:color w:val="0000FF"/>
            <w:sz w:val="24"/>
            <w:szCs w:val="24"/>
            <w:u w:val="single"/>
          </w:rPr>
          <w:t>https://doi.org/10.1080/09297049708401365</w:t>
        </w:r>
      </w:hyperlink>
    </w:p>
    <w:p w14:paraId="167762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Pascualvaca, D. M., Fantie, B. D., Papageorgiou, M., &amp; Mirsky, A. F. (1998). Attentional capacities in children with autism: Is there a general deficit in shifting focus? </w:t>
      </w:r>
      <w:r w:rsidRPr="001768F9">
        <w:rPr>
          <w:rFonts w:ascii="Times New Roman" w:eastAsia="Times New Roman" w:hAnsi="Times New Roman" w:cs="Times New Roman"/>
          <w:i/>
          <w:iCs/>
          <w:sz w:val="24"/>
          <w:szCs w:val="24"/>
        </w:rPr>
        <w:t>Journal of Autism and Developmental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(6), 467–478. </w:t>
      </w:r>
      <w:hyperlink r:id="rId4390" w:history="1">
        <w:r w:rsidRPr="001768F9">
          <w:rPr>
            <w:rFonts w:ascii="Times New Roman" w:eastAsia="Times New Roman" w:hAnsi="Times New Roman" w:cs="Times New Roman"/>
            <w:color w:val="0000FF"/>
            <w:sz w:val="24"/>
            <w:szCs w:val="24"/>
            <w:u w:val="single"/>
          </w:rPr>
          <w:t>https://doi.org/10.1023/A:1026091809650</w:t>
        </w:r>
      </w:hyperlink>
    </w:p>
    <w:p w14:paraId="7D1C37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Pasini, A., Paloscia, C., Alessandrelli, R., Porfirio, M. C., &amp; Curatolo, P. (2007). Attention and executive functions profile in drug naive ADHD subtypes. </w:t>
      </w:r>
      <w:r w:rsidRPr="001768F9">
        <w:rPr>
          <w:rFonts w:ascii="Times New Roman" w:eastAsia="Times New Roman" w:hAnsi="Times New Roman" w:cs="Times New Roman"/>
          <w:i/>
          <w:iCs/>
          <w:sz w:val="24"/>
          <w:szCs w:val="24"/>
        </w:rPr>
        <w:t>Brain &amp;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400–408. </w:t>
      </w:r>
      <w:hyperlink r:id="rId4391" w:history="1">
        <w:r w:rsidRPr="001768F9">
          <w:rPr>
            <w:rFonts w:ascii="Times New Roman" w:eastAsia="Times New Roman" w:hAnsi="Times New Roman" w:cs="Times New Roman"/>
            <w:color w:val="0000FF"/>
            <w:sz w:val="24"/>
            <w:szCs w:val="24"/>
            <w:u w:val="single"/>
          </w:rPr>
          <w:t>https://doi.org/10.1016/j.braindev.2006.11.010</w:t>
        </w:r>
      </w:hyperlink>
    </w:p>
    <w:p w14:paraId="3E8A53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Passov, V., Gavrilova, R. H., Strand, E., Cerhan, J. H., &amp; Josephs, K. A. (2011). Sporadic corticobasal syndrome with progranulin mutation presenting as progressive apraxic agraphia. </w:t>
      </w:r>
      <w:r w:rsidRPr="001768F9">
        <w:rPr>
          <w:rFonts w:ascii="Times New Roman" w:eastAsia="Times New Roman" w:hAnsi="Times New Roman" w:cs="Times New Roman"/>
          <w:i/>
          <w:iCs/>
          <w:sz w:val="24"/>
          <w:szCs w:val="24"/>
        </w:rPr>
        <w:t>Archives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(3), 376–380. </w:t>
      </w:r>
      <w:hyperlink r:id="rId4392" w:history="1">
        <w:r w:rsidRPr="001768F9">
          <w:rPr>
            <w:rFonts w:ascii="Times New Roman" w:eastAsia="Times New Roman" w:hAnsi="Times New Roman" w:cs="Times New Roman"/>
            <w:color w:val="0000FF"/>
            <w:sz w:val="24"/>
            <w:szCs w:val="24"/>
            <w:u w:val="single"/>
          </w:rPr>
          <w:t>https://doi.org/10.1001/archneurol.2011.26</w:t>
        </w:r>
      </w:hyperlink>
    </w:p>
    <w:p w14:paraId="5BAA08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Patel, A., Everitt, B., Knapp, M., Reeder, C., Grant, D., Ecker, C., &amp; Wykes, T. (2006). Schizophrenia Patients with Cognitive Deficits: Factors Associated with Costs.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(4), 776–785. </w:t>
      </w:r>
      <w:hyperlink r:id="rId4393" w:history="1">
        <w:r w:rsidRPr="001768F9">
          <w:rPr>
            <w:rFonts w:ascii="Times New Roman" w:eastAsia="Times New Roman" w:hAnsi="Times New Roman" w:cs="Times New Roman"/>
            <w:color w:val="0000FF"/>
            <w:sz w:val="24"/>
            <w:szCs w:val="24"/>
            <w:u w:val="single"/>
          </w:rPr>
          <w:t>https://doi.org/10.1093/schbul/sbl013</w:t>
        </w:r>
      </w:hyperlink>
    </w:p>
    <w:p w14:paraId="251280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Patel, S. M., Thames, A. D., Arbid, N., Panos, S. E., Castellon, S., &amp; Hinkin, C. H. (2013). The aggregate effects of multiple comorbid risk factors on cognition among HIV-infected individuals.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421–434. </w:t>
      </w:r>
      <w:hyperlink r:id="rId4394" w:history="1">
        <w:r w:rsidRPr="001768F9">
          <w:rPr>
            <w:rFonts w:ascii="Times New Roman" w:eastAsia="Times New Roman" w:hAnsi="Times New Roman" w:cs="Times New Roman"/>
            <w:color w:val="0000FF"/>
            <w:sz w:val="24"/>
            <w:szCs w:val="24"/>
            <w:u w:val="single"/>
          </w:rPr>
          <w:t>https://doi.org/10.1080/13803395.2013.783000</w:t>
        </w:r>
      </w:hyperlink>
    </w:p>
    <w:p w14:paraId="51CF60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Patrikelis, P., Alexoudi, A., Takoussi, M., Liouta, E., Lucci, G., Korfias, S., Verentzioti, A., Sakas, D., &amp; Gatzonis, S. (2019). Emotional asymmetries in refractory medial temporal and frontal lobe epilepsy: Their impact on predicting lateralization and localization of seizures. </w:t>
      </w:r>
      <w:r w:rsidRPr="001768F9">
        <w:rPr>
          <w:rFonts w:ascii="Times New Roman" w:eastAsia="Times New Roman" w:hAnsi="Times New Roman" w:cs="Times New Roman"/>
          <w:i/>
          <w:iCs/>
          <w:sz w:val="24"/>
          <w:szCs w:val="24"/>
        </w:rPr>
        <w:t>Epilepsy &amp;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94</w:t>
      </w:r>
      <w:r w:rsidRPr="001768F9">
        <w:rPr>
          <w:rFonts w:ascii="Times New Roman" w:eastAsia="Times New Roman" w:hAnsi="Times New Roman" w:cs="Times New Roman"/>
          <w:sz w:val="24"/>
          <w:szCs w:val="24"/>
        </w:rPr>
        <w:t xml:space="preserve">, 269–276. </w:t>
      </w:r>
      <w:hyperlink r:id="rId4395" w:history="1">
        <w:r w:rsidRPr="001768F9">
          <w:rPr>
            <w:rFonts w:ascii="Times New Roman" w:eastAsia="Times New Roman" w:hAnsi="Times New Roman" w:cs="Times New Roman"/>
            <w:color w:val="0000FF"/>
            <w:sz w:val="24"/>
            <w:szCs w:val="24"/>
            <w:u w:val="single"/>
          </w:rPr>
          <w:t>https://doi.org/10.1016/j.yebeh.2019.03.008</w:t>
        </w:r>
      </w:hyperlink>
    </w:p>
    <w:p w14:paraId="1BB350D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Patrikelis, P., Lucci, G., Siatouni, A., Zalonis, I., Sakas, D. E., &amp; Gatzonis, S. (2013). Simulating memory outcome before right selective amygdalohippocampectomy.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401–415. </w:t>
      </w:r>
      <w:hyperlink r:id="rId4396" w:history="1">
        <w:r w:rsidRPr="001768F9">
          <w:rPr>
            <w:rFonts w:ascii="Times New Roman" w:eastAsia="Times New Roman" w:hAnsi="Times New Roman" w:cs="Times New Roman"/>
            <w:color w:val="0000FF"/>
            <w:sz w:val="24"/>
            <w:szCs w:val="24"/>
            <w:u w:val="single"/>
          </w:rPr>
          <w:t>https://doi.org/10.1080/09602011.2013.772065</w:t>
        </w:r>
      </w:hyperlink>
    </w:p>
    <w:p w14:paraId="49317C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Patterson, K., Graham, N. L., Ralph, M. A. L., &amp; Hodges, J. R. (2006). Progressive non-fluent aphasia is not a progressive form of non-fluent (post-stroke)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(9–11), 1018–1034. </w:t>
      </w:r>
      <w:hyperlink r:id="rId4397" w:history="1">
        <w:r w:rsidRPr="001768F9">
          <w:rPr>
            <w:rFonts w:ascii="Times New Roman" w:eastAsia="Times New Roman" w:hAnsi="Times New Roman" w:cs="Times New Roman"/>
            <w:color w:val="0000FF"/>
            <w:sz w:val="24"/>
            <w:szCs w:val="24"/>
            <w:u w:val="single"/>
          </w:rPr>
          <w:t>https://doi.org/10.1080/02687030600739463</w:t>
        </w:r>
      </w:hyperlink>
    </w:p>
    <w:p w14:paraId="0A8076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Patton, D. E., Woods, S. P., Franklin Jr., D., Cattie, J. E., Heaton, R. K., Collier, A. C., Marra, C., Clifford, D., Gelman, B., McArthur, J., Morgello, S., Simpson, D., McCutchan, J. A., &amp; Grant, I. (2012). Relationship of Medication Management Test-Revised (MMT-R) performance to neuropsychological functioning and antiretroviral adherence in adults with HIV. </w:t>
      </w:r>
      <w:r w:rsidRPr="001768F9">
        <w:rPr>
          <w:rFonts w:ascii="Times New Roman" w:eastAsia="Times New Roman" w:hAnsi="Times New Roman" w:cs="Times New Roman"/>
          <w:i/>
          <w:iCs/>
          <w:sz w:val="24"/>
          <w:szCs w:val="24"/>
        </w:rPr>
        <w:t>AIDS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(8), 2286–2296. </w:t>
      </w:r>
      <w:hyperlink r:id="rId4398" w:history="1">
        <w:r w:rsidRPr="001768F9">
          <w:rPr>
            <w:rFonts w:ascii="Times New Roman" w:eastAsia="Times New Roman" w:hAnsi="Times New Roman" w:cs="Times New Roman"/>
            <w:color w:val="0000FF"/>
            <w:sz w:val="24"/>
            <w:szCs w:val="24"/>
            <w:u w:val="single"/>
          </w:rPr>
          <w:t>https://doi.org/10.1007/s10461-012-0237-7</w:t>
        </w:r>
      </w:hyperlink>
    </w:p>
    <w:p w14:paraId="7D4989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Pauli-Pott, U., &amp; Becker, K. (2011). Neuropsychological basic deficits in preschoolers at risk for ADHD: A meta-analysis. </w:t>
      </w:r>
      <w:r w:rsidRPr="001768F9">
        <w:rPr>
          <w:rFonts w:ascii="Times New Roman" w:eastAsia="Times New Roman" w:hAnsi="Times New Roman" w:cs="Times New Roman"/>
          <w:i/>
          <w:iCs/>
          <w:sz w:val="24"/>
          <w:szCs w:val="24"/>
        </w:rPr>
        <w:t>Clinical Psychology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626–637. </w:t>
      </w:r>
      <w:hyperlink r:id="rId4399" w:history="1">
        <w:r w:rsidRPr="001768F9">
          <w:rPr>
            <w:rFonts w:ascii="Times New Roman" w:eastAsia="Times New Roman" w:hAnsi="Times New Roman" w:cs="Times New Roman"/>
            <w:color w:val="0000FF"/>
            <w:sz w:val="24"/>
            <w:szCs w:val="24"/>
            <w:u w:val="single"/>
          </w:rPr>
          <w:t>https://doi.org/10.1016/j.cpr.2011.02.005</w:t>
        </w:r>
      </w:hyperlink>
    </w:p>
    <w:p w14:paraId="09386A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Pauls, L. J., &amp; Archibald, L. M. D. (2016). Executive functions in children with specific language impairment: A meta-analysis. </w:t>
      </w:r>
      <w:r w:rsidRPr="001768F9">
        <w:rPr>
          <w:rFonts w:ascii="Times New Roman" w:eastAsia="Times New Roman" w:hAnsi="Times New Roman" w:cs="Times New Roman"/>
          <w:i/>
          <w:iCs/>
          <w:sz w:val="24"/>
          <w:szCs w:val="24"/>
        </w:rPr>
        <w:t>Journal of Speech, Language, and Hearing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(5), 1074–1086. </w:t>
      </w:r>
      <w:hyperlink r:id="rId4400" w:history="1">
        <w:r w:rsidRPr="001768F9">
          <w:rPr>
            <w:rFonts w:ascii="Times New Roman" w:eastAsia="Times New Roman" w:hAnsi="Times New Roman" w:cs="Times New Roman"/>
            <w:color w:val="0000FF"/>
            <w:sz w:val="24"/>
            <w:szCs w:val="24"/>
            <w:u w:val="single"/>
          </w:rPr>
          <w:t>https://doi.org/10.1044/2016_JSLHR-L-15-0174</w:t>
        </w:r>
      </w:hyperlink>
    </w:p>
    <w:p w14:paraId="5451A90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Paulsen, J. S., Salmon, D. P., Monsch, A. U., Butters, N., Swenson, M. R., &amp; Bondi, M. W. (1995). Discrimination of cortical from subcortical dementias on the basis of memory and problem-solving tests. </w:t>
      </w:r>
      <w:r w:rsidRPr="001768F9">
        <w:rPr>
          <w:rFonts w:ascii="Times New Roman" w:eastAsia="Times New Roman" w:hAnsi="Times New Roman" w:cs="Times New Roman"/>
          <w:i/>
          <w:iCs/>
          <w:sz w:val="24"/>
          <w:szCs w:val="24"/>
        </w:rPr>
        <w:t>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(1), 48–58. </w:t>
      </w:r>
      <w:hyperlink r:id="rId4401" w:history="1">
        <w:r w:rsidRPr="001768F9">
          <w:rPr>
            <w:rFonts w:ascii="Times New Roman" w:eastAsia="Times New Roman" w:hAnsi="Times New Roman" w:cs="Times New Roman"/>
            <w:color w:val="0000FF"/>
            <w:sz w:val="24"/>
            <w:szCs w:val="24"/>
            <w:u w:val="single"/>
          </w:rPr>
          <w:t>https://doi.org/10.1002/1097-4679(199501)51:1&lt;48::AID-JCLP2270510109&gt;3.0.CO;2-E</w:t>
        </w:r>
      </w:hyperlink>
    </w:p>
    <w:p w14:paraId="5BCDD1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Paulson, K. L., Straus, E., Bull, D. M., MacArthur, S. K., DeLorme, J., &amp; Dalenberg, C. J. (2019). Knowledge and views of psychological tests among psychiatrists and psychologists. </w:t>
      </w:r>
      <w:r w:rsidRPr="001768F9">
        <w:rPr>
          <w:rFonts w:ascii="Times New Roman" w:eastAsia="Times New Roman" w:hAnsi="Times New Roman" w:cs="Times New Roman"/>
          <w:i/>
          <w:iCs/>
          <w:sz w:val="24"/>
          <w:szCs w:val="24"/>
        </w:rPr>
        <w:t>Journal of Forensic Psychology Research and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112–127. </w:t>
      </w:r>
      <w:hyperlink r:id="rId4402" w:history="1">
        <w:r w:rsidRPr="001768F9">
          <w:rPr>
            <w:rFonts w:ascii="Times New Roman" w:eastAsia="Times New Roman" w:hAnsi="Times New Roman" w:cs="Times New Roman"/>
            <w:color w:val="0000FF"/>
            <w:sz w:val="24"/>
            <w:szCs w:val="24"/>
            <w:u w:val="single"/>
          </w:rPr>
          <w:t>https://doi.org/10.1080/24732850.2018.1546071</w:t>
        </w:r>
      </w:hyperlink>
    </w:p>
    <w:p w14:paraId="01D8B3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Păunescu, R., &amp; Micluţia, I. (2015). Outcome of cognitive performances in bipolar euthymic patients after a depressive episode: A longitudinal naturalistic study. </w:t>
      </w:r>
      <w:r w:rsidRPr="001768F9">
        <w:rPr>
          <w:rFonts w:ascii="Times New Roman" w:eastAsia="Times New Roman" w:hAnsi="Times New Roman" w:cs="Times New Roman"/>
          <w:i/>
          <w:iCs/>
          <w:sz w:val="24"/>
          <w:szCs w:val="24"/>
        </w:rPr>
        <w:t>Annals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w:t>
      </w:r>
    </w:p>
    <w:p w14:paraId="71699F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Pavese, N. (2012). PET studies in Parkinson’s disease motor and cognitive dysfunction.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(Suppl 1), S96–S99. </w:t>
      </w:r>
      <w:hyperlink r:id="rId4403" w:history="1">
        <w:r w:rsidRPr="001768F9">
          <w:rPr>
            <w:rFonts w:ascii="Times New Roman" w:eastAsia="Times New Roman" w:hAnsi="Times New Roman" w:cs="Times New Roman"/>
            <w:color w:val="0000FF"/>
            <w:sz w:val="24"/>
            <w:szCs w:val="24"/>
            <w:u w:val="single"/>
          </w:rPr>
          <w:t>https://doi.org/10.1016/S1353-8020(11)70031-1</w:t>
        </w:r>
      </w:hyperlink>
    </w:p>
    <w:p w14:paraId="7C13A96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Pavlovic, D., Pekic, S., Stojanovic, M., Zivkovic, V., Djurovic, B., Jovanovic, V., Miljic, N., Medic-Stojanoska, M., Doknic, M., Miljic, D., Djurovic, M., Casanueva, F., &amp; Popovic, V. (2010). Chronic cognitive sequelae after traumatic brain injury are not related to growth hormone deficiency in adults.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(5), 696–702. </w:t>
      </w:r>
      <w:hyperlink r:id="rId4404" w:history="1">
        <w:r w:rsidRPr="001768F9">
          <w:rPr>
            <w:rFonts w:ascii="Times New Roman" w:eastAsia="Times New Roman" w:hAnsi="Times New Roman" w:cs="Times New Roman"/>
            <w:color w:val="0000FF"/>
            <w:sz w:val="24"/>
            <w:szCs w:val="24"/>
            <w:u w:val="single"/>
          </w:rPr>
          <w:t>https://doi.org/10.1111/j.1468-1331.2009.02910.x</w:t>
        </w:r>
      </w:hyperlink>
    </w:p>
    <w:p w14:paraId="19568D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Pawełczyk, A., Kołodziej-Kowalska, E., Pawełczyk, T., &amp; Rabe-Jabłońska, J. (2015). Is there a decline in cognitive functions after combined electroconvulsive therapy and antipsychotic therapy in treatment-refractory schizophrenia?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203</w:t>
      </w:r>
      <w:r w:rsidRPr="001768F9">
        <w:rPr>
          <w:rFonts w:ascii="Times New Roman" w:eastAsia="Times New Roman" w:hAnsi="Times New Roman" w:cs="Times New Roman"/>
          <w:sz w:val="24"/>
          <w:szCs w:val="24"/>
        </w:rPr>
        <w:t xml:space="preserve">(3), 182–186. </w:t>
      </w:r>
      <w:hyperlink r:id="rId4405" w:history="1">
        <w:r w:rsidRPr="001768F9">
          <w:rPr>
            <w:rFonts w:ascii="Times New Roman" w:eastAsia="Times New Roman" w:hAnsi="Times New Roman" w:cs="Times New Roman"/>
            <w:color w:val="0000FF"/>
            <w:sz w:val="24"/>
            <w:szCs w:val="24"/>
            <w:u w:val="single"/>
          </w:rPr>
          <w:t>https://doi.org/10.1097/NMD.0000000000000259</w:t>
        </w:r>
      </w:hyperlink>
    </w:p>
    <w:p w14:paraId="287164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Paxton, J. L., Peavy, G. M., Jenkins, C., Rice, V. A., Heindel, W. C., &amp; Salmon, D. P. (2007). Deterioration of visual-perceptual organization ability in Alzheimer’s disease.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(7), 967–975. </w:t>
      </w:r>
      <w:hyperlink r:id="rId4406" w:history="1">
        <w:r w:rsidRPr="001768F9">
          <w:rPr>
            <w:rFonts w:ascii="Times New Roman" w:eastAsia="Times New Roman" w:hAnsi="Times New Roman" w:cs="Times New Roman"/>
            <w:color w:val="0000FF"/>
            <w:sz w:val="24"/>
            <w:szCs w:val="24"/>
            <w:u w:val="single"/>
          </w:rPr>
          <w:t>https://doi.org/10.1016/S0010-9452(08)70694-4</w:t>
        </w:r>
      </w:hyperlink>
    </w:p>
    <w:p w14:paraId="213824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Paxton, J. L., Resch, Z. J., Cation, B., Lapitan, F., Obolsky, M. A., Calderone, V., Fink, J. W., Lee, R. C., Soble, J. R., &amp; Pliskin, N. H. (2021). The relationship between neuropsychological dispersion, processing speed and memory after electrical injury.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(2), 144–155. </w:t>
      </w:r>
      <w:hyperlink r:id="rId4407" w:history="1">
        <w:r w:rsidRPr="001768F9">
          <w:rPr>
            <w:rFonts w:ascii="Times New Roman" w:eastAsia="Times New Roman" w:hAnsi="Times New Roman" w:cs="Times New Roman"/>
            <w:color w:val="0000FF"/>
            <w:sz w:val="24"/>
            <w:szCs w:val="24"/>
            <w:u w:val="single"/>
          </w:rPr>
          <w:t>https://doi.org/10.1080/13803395.2021.1889989</w:t>
        </w:r>
      </w:hyperlink>
    </w:p>
    <w:p w14:paraId="01EC23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Payman, V. (2011). Psychotherapeutic treatments in late life. </w:t>
      </w:r>
      <w:r w:rsidRPr="001768F9">
        <w:rPr>
          <w:rFonts w:ascii="Times New Roman" w:eastAsia="Times New Roman" w:hAnsi="Times New Roman" w:cs="Times New Roman"/>
          <w:i/>
          <w:iCs/>
          <w:sz w:val="24"/>
          <w:szCs w:val="24"/>
        </w:rPr>
        <w:t>Current Opinion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(6), 484–488.</w:t>
      </w:r>
    </w:p>
    <w:p w14:paraId="5B0D97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Pazol, R. B., &amp; Griggins, C. (2012). Making the case for a comprehensive ADHD assessment model on a college campus. </w:t>
      </w:r>
      <w:r w:rsidRPr="001768F9">
        <w:rPr>
          <w:rFonts w:ascii="Times New Roman" w:eastAsia="Times New Roman" w:hAnsi="Times New Roman" w:cs="Times New Roman"/>
          <w:i/>
          <w:iCs/>
          <w:sz w:val="24"/>
          <w:szCs w:val="24"/>
        </w:rPr>
        <w:t>Journal of College Student Psychotherapy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(1), 5–21. </w:t>
      </w:r>
      <w:hyperlink r:id="rId4408" w:history="1">
        <w:r w:rsidRPr="001768F9">
          <w:rPr>
            <w:rFonts w:ascii="Times New Roman" w:eastAsia="Times New Roman" w:hAnsi="Times New Roman" w:cs="Times New Roman"/>
            <w:color w:val="0000FF"/>
            <w:sz w:val="24"/>
            <w:szCs w:val="24"/>
            <w:u w:val="single"/>
          </w:rPr>
          <w:t>https://doi.org/10.1080/87568225.2011.605689</w:t>
        </w:r>
      </w:hyperlink>
    </w:p>
    <w:p w14:paraId="338112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Peach, R. K. (2013). The cognitive basis for sentence planning difficulties in discourse after traumatic brain injury. </w:t>
      </w:r>
      <w:r w:rsidRPr="001768F9">
        <w:rPr>
          <w:rFonts w:ascii="Times New Roman" w:eastAsia="Times New Roman" w:hAnsi="Times New Roman" w:cs="Times New Roman"/>
          <w:i/>
          <w:iCs/>
          <w:sz w:val="24"/>
          <w:szCs w:val="24"/>
        </w:rPr>
        <w:t>American Journal of Speech-Language 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S285–S297. </w:t>
      </w:r>
      <w:hyperlink r:id="rId4409" w:history="1">
        <w:r w:rsidRPr="001768F9">
          <w:rPr>
            <w:rFonts w:ascii="Times New Roman" w:eastAsia="Times New Roman" w:hAnsi="Times New Roman" w:cs="Times New Roman"/>
            <w:color w:val="0000FF"/>
            <w:sz w:val="24"/>
            <w:szCs w:val="24"/>
            <w:u w:val="single"/>
          </w:rPr>
          <w:t>https://doi.org/10.1044/1058-0360(2013/12-0081)</w:t>
        </w:r>
      </w:hyperlink>
    </w:p>
    <w:p w14:paraId="79BC42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Peadon, E., &amp; Elliott, E. J. (2010). Distinguishing between attention-deficit hyperactivity and fetal alcohol spectrum disorders in children: Clinical guidelines.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w:t>
      </w:r>
    </w:p>
    <w:p w14:paraId="46497F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Peavy, G. M., Jacobson, M. W., Salmon, D. P., Gamst, A. C., Patterson, T. L., Goldman, S., Mills, P. J., Khandrika, S., &amp; Galasko, D. (2012). The influence of chronic stress on dementia-related diagnostic change in older adults. </w:t>
      </w:r>
      <w:r w:rsidRPr="001768F9">
        <w:rPr>
          <w:rFonts w:ascii="Times New Roman" w:eastAsia="Times New Roman" w:hAnsi="Times New Roman" w:cs="Times New Roman"/>
          <w:i/>
          <w:iCs/>
          <w:sz w:val="24"/>
          <w:szCs w:val="24"/>
        </w:rPr>
        <w:t>Alzheimer Disease and Associated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(3), 260–266. </w:t>
      </w:r>
      <w:hyperlink r:id="rId4410" w:history="1">
        <w:r w:rsidRPr="001768F9">
          <w:rPr>
            <w:rFonts w:ascii="Times New Roman" w:eastAsia="Times New Roman" w:hAnsi="Times New Roman" w:cs="Times New Roman"/>
            <w:color w:val="0000FF"/>
            <w:sz w:val="24"/>
            <w:szCs w:val="24"/>
            <w:u w:val="single"/>
          </w:rPr>
          <w:t>https://doi.org/10.1097/WAD.0b013e3182389a9c</w:t>
        </w:r>
      </w:hyperlink>
    </w:p>
    <w:p w14:paraId="0CA3F2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Pedersen, A., Wiedl, K. H., &amp; Ohrmann, P. (2009). Neurobiological correlates of learning potential in healthy subjects and in schizophrenic patients. </w:t>
      </w:r>
      <w:r w:rsidRPr="001768F9">
        <w:rPr>
          <w:rFonts w:ascii="Times New Roman" w:eastAsia="Times New Roman" w:hAnsi="Times New Roman" w:cs="Times New Roman"/>
          <w:i/>
          <w:iCs/>
          <w:sz w:val="24"/>
          <w:szCs w:val="24"/>
        </w:rPr>
        <w:t>Journal of Cognitive Education and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81–90. </w:t>
      </w:r>
      <w:hyperlink r:id="rId4411" w:history="1">
        <w:r w:rsidRPr="001768F9">
          <w:rPr>
            <w:rFonts w:ascii="Times New Roman" w:eastAsia="Times New Roman" w:hAnsi="Times New Roman" w:cs="Times New Roman"/>
            <w:color w:val="0000FF"/>
            <w:sz w:val="24"/>
            <w:szCs w:val="24"/>
            <w:u w:val="single"/>
          </w:rPr>
          <w:t>https://doi.org/10.1891/1945-8959.8.1.81</w:t>
        </w:r>
      </w:hyperlink>
    </w:p>
    <w:p w14:paraId="08A664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Pedersen, A., Wilmsmeier, A., Wiedl, K. H., Bauer, J., Kueppers, K., Koelkebeck, K., Kohl, W., Kugel, H., Arolt, V., &amp; Ohrmann, P. (2012). Anterior cingulate cortex activation is related to learning potential on the WCST in schizophrenia patients.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(3), 245–251. </w:t>
      </w:r>
      <w:hyperlink r:id="rId4412" w:history="1">
        <w:r w:rsidRPr="001768F9">
          <w:rPr>
            <w:rFonts w:ascii="Times New Roman" w:eastAsia="Times New Roman" w:hAnsi="Times New Roman" w:cs="Times New Roman"/>
            <w:color w:val="0000FF"/>
            <w:sz w:val="24"/>
            <w:szCs w:val="24"/>
            <w:u w:val="single"/>
          </w:rPr>
          <w:t>https://doi.org/10.1016/j.bandc.2012.03.007</w:t>
        </w:r>
      </w:hyperlink>
    </w:p>
    <w:p w14:paraId="726CA3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Pedersen, J. A. (2002). </w:t>
      </w:r>
      <w:r w:rsidRPr="001768F9">
        <w:rPr>
          <w:rFonts w:ascii="Times New Roman" w:eastAsia="Times New Roman" w:hAnsi="Times New Roman" w:cs="Times New Roman"/>
          <w:i/>
          <w:iCs/>
          <w:sz w:val="24"/>
          <w:szCs w:val="24"/>
        </w:rPr>
        <w:t>Executive functions in children with attention-deficit hyperactivity disorder, oppositional defiant disorder, and comorbid diagnosed attention-deficit hyperactivity disorder and oppositional defiant disorder.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(5-B), 2624–2624.</w:t>
      </w:r>
    </w:p>
    <w:p w14:paraId="4CD218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Pedroso, J. L., Bor-Seng-Shu, E., Braga-Neto, P., Ribeiro, R. S., Bezerra, M. L. E., do Prado, L. B. F., Batista, I. R., Alessi, H., Teixeira, M. J., Manzano, G. M., do Prado, G. F., &amp; Barsottini, O. G. P. (2014). Neurophysiological studies and non-motor symptoms prior to ataxia in a patient with Machado–Joseph Disease: Trying to understand the natural history of brain degeneration. </w:t>
      </w:r>
      <w:r w:rsidRPr="001768F9">
        <w:rPr>
          <w:rFonts w:ascii="Times New Roman" w:eastAsia="Times New Roman" w:hAnsi="Times New Roman" w:cs="Times New Roman"/>
          <w:i/>
          <w:iCs/>
          <w:sz w:val="24"/>
          <w:szCs w:val="24"/>
        </w:rPr>
        <w:t>The Cerebellum</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447–451. </w:t>
      </w:r>
      <w:hyperlink r:id="rId4413" w:history="1">
        <w:r w:rsidRPr="001768F9">
          <w:rPr>
            <w:rFonts w:ascii="Times New Roman" w:eastAsia="Times New Roman" w:hAnsi="Times New Roman" w:cs="Times New Roman"/>
            <w:color w:val="0000FF"/>
            <w:sz w:val="24"/>
            <w:szCs w:val="24"/>
            <w:u w:val="single"/>
          </w:rPr>
          <w:t>https://doi.org/10.1007/s12311-014-0553-8</w:t>
        </w:r>
      </w:hyperlink>
    </w:p>
    <w:p w14:paraId="32FCD8E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Peer, J., Bennett, M. E., &amp; Bellack, A. S. (2009). Neurocognitive characteristics of individuals with schizophrenia and cocaine dependence: Comparison of currently dependent and remitted groups.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197</w:t>
      </w:r>
      <w:r w:rsidRPr="001768F9">
        <w:rPr>
          <w:rFonts w:ascii="Times New Roman" w:eastAsia="Times New Roman" w:hAnsi="Times New Roman" w:cs="Times New Roman"/>
          <w:sz w:val="24"/>
          <w:szCs w:val="24"/>
        </w:rPr>
        <w:t xml:space="preserve">(8), 631–634. </w:t>
      </w:r>
      <w:hyperlink r:id="rId4414" w:history="1">
        <w:r w:rsidRPr="001768F9">
          <w:rPr>
            <w:rFonts w:ascii="Times New Roman" w:eastAsia="Times New Roman" w:hAnsi="Times New Roman" w:cs="Times New Roman"/>
            <w:color w:val="0000FF"/>
            <w:sz w:val="24"/>
            <w:szCs w:val="24"/>
            <w:u w:val="single"/>
          </w:rPr>
          <w:t>https://doi.org/10.1097/NMD.0b013e3181b08bf4</w:t>
        </w:r>
      </w:hyperlink>
    </w:p>
    <w:p w14:paraId="29194C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Peer, J. E., &amp; Spaulding, W. D. (2007). Heterogeneity in recovery of psychosocial functioning during psychiatric rehabilitation: An exploratory study using latent growth mixture modeling.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93</w:t>
      </w:r>
      <w:r w:rsidRPr="001768F9">
        <w:rPr>
          <w:rFonts w:ascii="Times New Roman" w:eastAsia="Times New Roman" w:hAnsi="Times New Roman" w:cs="Times New Roman"/>
          <w:sz w:val="24"/>
          <w:szCs w:val="24"/>
        </w:rPr>
        <w:t xml:space="preserve">(1–3), 186–193. </w:t>
      </w:r>
      <w:hyperlink r:id="rId4415" w:history="1">
        <w:r w:rsidRPr="001768F9">
          <w:rPr>
            <w:rFonts w:ascii="Times New Roman" w:eastAsia="Times New Roman" w:hAnsi="Times New Roman" w:cs="Times New Roman"/>
            <w:color w:val="0000FF"/>
            <w:sz w:val="24"/>
            <w:szCs w:val="24"/>
            <w:u w:val="single"/>
          </w:rPr>
          <w:t>https://doi.org/10.1016/j.schres.2007.03.002</w:t>
        </w:r>
      </w:hyperlink>
    </w:p>
    <w:p w14:paraId="4A86F1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Pefanco, M. A., Kenny, A. M., Kaplan, R. F., Kuchel, G., Walsh, S., Kleppinger, A., &amp; Prestwood, K. (2007). The Effect of 3-Year Treatment with 0.25 mg/day of Micronized 17β-Estradiol on Cognitive Function in Older Postmenopausal Women. </w:t>
      </w:r>
      <w:r w:rsidRPr="001768F9">
        <w:rPr>
          <w:rFonts w:ascii="Times New Roman" w:eastAsia="Times New Roman" w:hAnsi="Times New Roman" w:cs="Times New Roman"/>
          <w:i/>
          <w:iCs/>
          <w:sz w:val="24"/>
          <w:szCs w:val="24"/>
        </w:rPr>
        <w:t>Journal of the American Geriatrics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(3), 426–431. </w:t>
      </w:r>
      <w:hyperlink r:id="rId4416" w:history="1">
        <w:r w:rsidRPr="001768F9">
          <w:rPr>
            <w:rFonts w:ascii="Times New Roman" w:eastAsia="Times New Roman" w:hAnsi="Times New Roman" w:cs="Times New Roman"/>
            <w:color w:val="0000FF"/>
            <w:sz w:val="24"/>
            <w:szCs w:val="24"/>
            <w:u w:val="single"/>
          </w:rPr>
          <w:t>https://doi.org/10.1111/j.1532-5415.2007.01085.x</w:t>
        </w:r>
      </w:hyperlink>
    </w:p>
    <w:p w14:paraId="35F43B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 M. D., &amp; Leonard, C. L. (2003). Processing emotional tone from speech in Parkinson’s disease: A role for the basal ganglia. </w:t>
      </w:r>
      <w:r w:rsidRPr="001768F9">
        <w:rPr>
          <w:rFonts w:ascii="Times New Roman" w:eastAsia="Times New Roman" w:hAnsi="Times New Roman" w:cs="Times New Roman"/>
          <w:i/>
          <w:iCs/>
          <w:sz w:val="24"/>
          <w:szCs w:val="24"/>
        </w:rPr>
        <w:t>Cognitive, Affective &amp; 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(4), 275–288. </w:t>
      </w:r>
      <w:hyperlink r:id="rId4417" w:history="1">
        <w:r w:rsidRPr="001768F9">
          <w:rPr>
            <w:rFonts w:ascii="Times New Roman" w:eastAsia="Times New Roman" w:hAnsi="Times New Roman" w:cs="Times New Roman"/>
            <w:color w:val="0000FF"/>
            <w:sz w:val="24"/>
            <w:szCs w:val="24"/>
            <w:u w:val="single"/>
          </w:rPr>
          <w:t>https://doi.org/10.3758/CABN.3.4.275</w:t>
        </w:r>
      </w:hyperlink>
    </w:p>
    <w:p w14:paraId="758BEF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Pellicano, C., Assogna, F., Cellupica, N., Piras, F., Pierantozzi, M., Stefani, A., Cerroni, R., Mercuri, B., Caltagirone, C., Pontieri, F. E., &amp; Spalletta, G. (2017). Neuropsychiatric and cognitive profile of early Richardson’s syndrome, Progressive Supranuclear Palsy-parkinsonism and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 50–56. </w:t>
      </w:r>
      <w:hyperlink r:id="rId4418" w:history="1">
        <w:r w:rsidRPr="001768F9">
          <w:rPr>
            <w:rFonts w:ascii="Times New Roman" w:eastAsia="Times New Roman" w:hAnsi="Times New Roman" w:cs="Times New Roman"/>
            <w:color w:val="0000FF"/>
            <w:sz w:val="24"/>
            <w:szCs w:val="24"/>
            <w:u w:val="single"/>
          </w:rPr>
          <w:t>https://doi.org/10.1016/j.parkreldis.2017.10.002</w:t>
        </w:r>
      </w:hyperlink>
    </w:p>
    <w:p w14:paraId="1469E4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Pellicano, C., Assogna, F., Cravello, L., Langella, R., Caltagirone, C., Spalletta, G., &amp; Pontieri, F. E. (2015). Neuropsychiatric and cognitive symptoms and body side of onset of parkinsonism in unmedicated Parkinson’s disease patients.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(9), 1096–1100. </w:t>
      </w:r>
      <w:hyperlink r:id="rId4419" w:history="1">
        <w:r w:rsidRPr="001768F9">
          <w:rPr>
            <w:rFonts w:ascii="Times New Roman" w:eastAsia="Times New Roman" w:hAnsi="Times New Roman" w:cs="Times New Roman"/>
            <w:color w:val="0000FF"/>
            <w:sz w:val="24"/>
            <w:szCs w:val="24"/>
            <w:u w:val="single"/>
          </w:rPr>
          <w:t>https://doi.org/10.1016/j.parkreldis.2015.07.002</w:t>
        </w:r>
      </w:hyperlink>
    </w:p>
    <w:p w14:paraId="3D7C55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Pellicano, C., Assogna, F., Piras, F., Caltagirone, C., Pontieri, F. E., &amp; Spalletta, G. (2012). Regional cortical thickness and cognitive functions in non‐demented Parkinson’s disease patients: A pilot study.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172–175. </w:t>
      </w:r>
      <w:hyperlink r:id="rId4420" w:history="1">
        <w:r w:rsidRPr="001768F9">
          <w:rPr>
            <w:rFonts w:ascii="Times New Roman" w:eastAsia="Times New Roman" w:hAnsi="Times New Roman" w:cs="Times New Roman"/>
            <w:color w:val="0000FF"/>
            <w:sz w:val="24"/>
            <w:szCs w:val="24"/>
            <w:u w:val="single"/>
          </w:rPr>
          <w:t>https://doi.org/10.1111/j.1468-1331.2011.03465.x</w:t>
        </w:r>
      </w:hyperlink>
    </w:p>
    <w:p w14:paraId="65DCC0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Peltsch, A., Hemraj, A., Garcia, A., &amp; Munoz, D. P. (2014). Saccade deficits in amnestic mild cognitive impairment resemble mild Alzheimer’s disease. </w:t>
      </w:r>
      <w:r w:rsidRPr="001768F9">
        <w:rPr>
          <w:rFonts w:ascii="Times New Roman" w:eastAsia="Times New Roman" w:hAnsi="Times New Roman" w:cs="Times New Roman"/>
          <w:i/>
          <w:iCs/>
          <w:sz w:val="24"/>
          <w:szCs w:val="24"/>
        </w:rPr>
        <w:t>European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(11), 2000–2013. </w:t>
      </w:r>
      <w:hyperlink r:id="rId4421" w:history="1">
        <w:r w:rsidRPr="001768F9">
          <w:rPr>
            <w:rFonts w:ascii="Times New Roman" w:eastAsia="Times New Roman" w:hAnsi="Times New Roman" w:cs="Times New Roman"/>
            <w:color w:val="0000FF"/>
            <w:sz w:val="24"/>
            <w:szCs w:val="24"/>
            <w:u w:val="single"/>
          </w:rPr>
          <w:t>https://doi.org/10.1111/ejn.12617</w:t>
        </w:r>
      </w:hyperlink>
    </w:p>
    <w:p w14:paraId="60CF9D1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Peña, J., Segarra, R., Ojeda, N., García, J., Eguiluz, J. I., &amp; Gutiérrez, M. (2012). Do the same factors predict outcome in schizophrenia and non-schizophrenia syndromes after first-episode psychosis? A two-year follow-up study.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(6), 774–781. </w:t>
      </w:r>
      <w:hyperlink r:id="rId4422" w:history="1">
        <w:r w:rsidRPr="001768F9">
          <w:rPr>
            <w:rFonts w:ascii="Times New Roman" w:eastAsia="Times New Roman" w:hAnsi="Times New Roman" w:cs="Times New Roman"/>
            <w:color w:val="0000FF"/>
            <w:sz w:val="24"/>
            <w:szCs w:val="24"/>
            <w:u w:val="single"/>
          </w:rPr>
          <w:t>https://doi.org/10.1016/j.jpsychires.2012.03.014</w:t>
        </w:r>
      </w:hyperlink>
    </w:p>
    <w:p w14:paraId="17CB81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Boget, T., Catalán, R., Bernardo, M., Gastó, C., &amp; Salamero, M. (2003). Cognitive mechanisms, psychosocial functioning, and neurocognitive rehabilitation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(3), 219–227. </w:t>
      </w:r>
      <w:hyperlink r:id="rId4423" w:history="1">
        <w:r w:rsidRPr="001768F9">
          <w:rPr>
            <w:rFonts w:ascii="Times New Roman" w:eastAsia="Times New Roman" w:hAnsi="Times New Roman" w:cs="Times New Roman"/>
            <w:color w:val="0000FF"/>
            <w:sz w:val="24"/>
            <w:szCs w:val="24"/>
            <w:u w:val="single"/>
          </w:rPr>
          <w:t>https://doi.org/10.1016/S0920-9964(02)00359-6</w:t>
        </w:r>
      </w:hyperlink>
    </w:p>
    <w:p w14:paraId="75370A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Boget, T., Lomeña, F., Mateos, J. J., Catalán, R., Gastó, C., &amp; Salamero, M. (2002). Could the hypofrontality pattern in schizophrenia be modified through neuropsychological rehabilitation?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(3), 202–208. </w:t>
      </w:r>
      <w:hyperlink r:id="rId4424" w:history="1">
        <w:r w:rsidRPr="001768F9">
          <w:rPr>
            <w:rFonts w:ascii="Times New Roman" w:eastAsia="Times New Roman" w:hAnsi="Times New Roman" w:cs="Times New Roman"/>
            <w:color w:val="0000FF"/>
            <w:sz w:val="24"/>
            <w:szCs w:val="24"/>
            <w:u w:val="single"/>
          </w:rPr>
          <w:t>https://doi.org/10.1034/j.1600-0447.2002.1o421.x</w:t>
        </w:r>
      </w:hyperlink>
    </w:p>
    <w:p w14:paraId="5B959E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Catalán, R., Salamero, M., Boget, T., Puig, O., Guarch, J., &amp; Gastó, C. (2006). Cognitive Remediation Therapy for outpatients with chronic schizophrenia: A controlled and randomized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(1–3), 323–331. </w:t>
      </w:r>
      <w:hyperlink r:id="rId4425" w:history="1">
        <w:r w:rsidRPr="001768F9">
          <w:rPr>
            <w:rFonts w:ascii="Times New Roman" w:eastAsia="Times New Roman" w:hAnsi="Times New Roman" w:cs="Times New Roman"/>
            <w:color w:val="0000FF"/>
            <w:sz w:val="24"/>
            <w:szCs w:val="24"/>
            <w:u w:val="single"/>
          </w:rPr>
          <w:t>https://doi.org/10.1016/j.schres.2006.04.019</w:t>
        </w:r>
      </w:hyperlink>
    </w:p>
    <w:p w14:paraId="15F9F2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Pujol, N., Catalán, R., Masana, G., García-Rizo, C., Bargalló, N., González-Rodríguez, A., Vidal-Piñeiro, D., Bernardo, M., &amp; Junqué, C. (2016). Cortical thickness in regions of frontal and temporal lobes is associated with responsiveness to cognitive remediation therapy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171</w:t>
      </w:r>
      <w:r w:rsidRPr="001768F9">
        <w:rPr>
          <w:rFonts w:ascii="Times New Roman" w:eastAsia="Times New Roman" w:hAnsi="Times New Roman" w:cs="Times New Roman"/>
          <w:sz w:val="24"/>
          <w:szCs w:val="24"/>
        </w:rPr>
        <w:t xml:space="preserve">(1–3), 110–116. </w:t>
      </w:r>
      <w:hyperlink r:id="rId4426" w:history="1">
        <w:r w:rsidRPr="001768F9">
          <w:rPr>
            <w:rFonts w:ascii="Times New Roman" w:eastAsia="Times New Roman" w:hAnsi="Times New Roman" w:cs="Times New Roman"/>
            <w:color w:val="0000FF"/>
            <w:sz w:val="24"/>
            <w:szCs w:val="24"/>
            <w:u w:val="single"/>
          </w:rPr>
          <w:t>https://doi.org/10.1016/j.schres.2016.01.006</w:t>
        </w:r>
      </w:hyperlink>
    </w:p>
    <w:p w14:paraId="30DD70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Penadés, R., Pujol, N., Catalán, R., Massana, G., Rametti, G., García-Rizo, C., Bargalló, N., Gastó, C., Bernardo, M., &amp; Junqué, C. (2013). Brain effects of cognitive remediation therapy in schizophrenia: A structural and functional neuroimaging study.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73</w:t>
      </w:r>
      <w:r w:rsidRPr="001768F9">
        <w:rPr>
          <w:rFonts w:ascii="Times New Roman" w:eastAsia="Times New Roman" w:hAnsi="Times New Roman" w:cs="Times New Roman"/>
          <w:sz w:val="24"/>
          <w:szCs w:val="24"/>
        </w:rPr>
        <w:t xml:space="preserve">(10), 1015–1023. </w:t>
      </w:r>
      <w:hyperlink r:id="rId4427" w:history="1">
        <w:r w:rsidRPr="001768F9">
          <w:rPr>
            <w:rFonts w:ascii="Times New Roman" w:eastAsia="Times New Roman" w:hAnsi="Times New Roman" w:cs="Times New Roman"/>
            <w:color w:val="0000FF"/>
            <w:sz w:val="24"/>
            <w:szCs w:val="24"/>
            <w:u w:val="single"/>
          </w:rPr>
          <w:t>https://doi.org/10.1016/j.biopsych.2013.01.017</w:t>
        </w:r>
      </w:hyperlink>
    </w:p>
    <w:p w14:paraId="3A3423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Pencer, A., &amp; Addington, J. (2003). Substance use and cognition in early psychosis. </w:t>
      </w:r>
      <w:r w:rsidRPr="001768F9">
        <w:rPr>
          <w:rFonts w:ascii="Times New Roman" w:eastAsia="Times New Roman" w:hAnsi="Times New Roman" w:cs="Times New Roman"/>
          <w:i/>
          <w:iCs/>
          <w:sz w:val="24"/>
          <w:szCs w:val="24"/>
        </w:rPr>
        <w:t>Journal of Psychiatry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(1), 48–54.</w:t>
      </w:r>
    </w:p>
    <w:p w14:paraId="7D55C5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Pendergrass, C., &amp; Peraza, J. (2020). A comparison of neuropsychological function between monozygotic twins with neurofibromatosis, type 1: A case report.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(5), 1049–1064. </w:t>
      </w:r>
      <w:hyperlink r:id="rId4428" w:history="1">
        <w:r w:rsidRPr="001768F9">
          <w:rPr>
            <w:rFonts w:ascii="Times New Roman" w:eastAsia="Times New Roman" w:hAnsi="Times New Roman" w:cs="Times New Roman"/>
            <w:color w:val="0000FF"/>
            <w:sz w:val="24"/>
            <w:szCs w:val="24"/>
            <w:u w:val="single"/>
          </w:rPr>
          <w:t>https://doi.org/10.1080/13854046.2019.1621381</w:t>
        </w:r>
      </w:hyperlink>
    </w:p>
    <w:p w14:paraId="5E9047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L., Guo, L., Li, J., &amp; Lu, M. (2010). The executive function in patients with frontal lobe tumor. [The executive function in patients with frontal lobe tumor.]. </w:t>
      </w:r>
      <w:r w:rsidRPr="001768F9">
        <w:rPr>
          <w:rFonts w:ascii="Times New Roman" w:eastAsia="Times New Roman" w:hAnsi="Times New Roman" w:cs="Times New Roman"/>
          <w:i/>
          <w:iCs/>
          <w:sz w:val="24"/>
          <w:szCs w:val="24"/>
        </w:rPr>
        <w:t>Chinese Journal of Clinical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(6), 717–719.</w:t>
      </w:r>
    </w:p>
    <w:p w14:paraId="6025BA4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S.-H., Tang, Q., &amp; Xuan, B. (2014). Inhibitory control on induced negative emotion in individuals with trait anxiety. [Inhibitory control on induced negative emotion in individuals with trait anxiety.]. </w:t>
      </w:r>
      <w:r w:rsidRPr="001768F9">
        <w:rPr>
          <w:rFonts w:ascii="Times New Roman" w:eastAsia="Times New Roman" w:hAnsi="Times New Roman" w:cs="Times New Roman"/>
          <w:i/>
          <w:iCs/>
          <w:sz w:val="24"/>
          <w:szCs w:val="24"/>
        </w:rPr>
        <w:t>Chinese Mental Health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(3), 215–220.</w:t>
      </w:r>
    </w:p>
    <w:p w14:paraId="22671C3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W., Li, Z., Guan, Y., Wang, D., &amp; Huang, S. (2016). A study of cognitive functions in female elderly patients with osteoporosis: A multi-center cross-sectional study. </w:t>
      </w:r>
      <w:r w:rsidRPr="001768F9">
        <w:rPr>
          <w:rFonts w:ascii="Times New Roman" w:eastAsia="Times New Roman" w:hAnsi="Times New Roman" w:cs="Times New Roman"/>
          <w:i/>
          <w:iCs/>
          <w:sz w:val="24"/>
          <w:szCs w:val="24"/>
        </w:rPr>
        <w:t>Aging &amp; Mental Health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647–654. </w:t>
      </w:r>
      <w:hyperlink r:id="rId4429" w:history="1">
        <w:r w:rsidRPr="001768F9">
          <w:rPr>
            <w:rFonts w:ascii="Times New Roman" w:eastAsia="Times New Roman" w:hAnsi="Times New Roman" w:cs="Times New Roman"/>
            <w:color w:val="0000FF"/>
            <w:sz w:val="24"/>
            <w:szCs w:val="24"/>
            <w:u w:val="single"/>
          </w:rPr>
          <w:t>https://doi.org/10.1080/13607863.2015.1033680</w:t>
        </w:r>
      </w:hyperlink>
    </w:p>
    <w:p w14:paraId="68B14F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Peng, Y., Shao, C., Gong, Y., Wu, X., Tang, W., &amp; Shi, S. (2015). Relationship between apathy and tumor location, size, and brain edema in patients with intracranial meningioma. </w:t>
      </w:r>
      <w:r w:rsidRPr="001768F9">
        <w:rPr>
          <w:rFonts w:ascii="Times New Roman" w:eastAsia="Times New Roman" w:hAnsi="Times New Roman" w:cs="Times New Roman"/>
          <w:i/>
          <w:iCs/>
          <w:sz w:val="24"/>
          <w:szCs w:val="24"/>
        </w:rPr>
        <w:t>Neuropsychiatric Disease and Treatment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w:t>
      </w:r>
    </w:p>
    <w:p w14:paraId="754B86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 C., Frankel, T., Watermeyer, J., &amp; Russell, N. (2010). Executive function and conversational strategies in bilingual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(2), 288–308. </w:t>
      </w:r>
      <w:hyperlink r:id="rId4430" w:history="1">
        <w:r w:rsidRPr="001768F9">
          <w:rPr>
            <w:rFonts w:ascii="Times New Roman" w:eastAsia="Times New Roman" w:hAnsi="Times New Roman" w:cs="Times New Roman"/>
            <w:color w:val="0000FF"/>
            <w:sz w:val="24"/>
            <w:szCs w:val="24"/>
            <w:u w:val="single"/>
          </w:rPr>
          <w:t>https://doi.org/10.1080/02687030902958399</w:t>
        </w:r>
      </w:hyperlink>
    </w:p>
    <w:p w14:paraId="6D6C36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 C., Frankel, T., &amp; Wilkinson, R. (2015). Problems with the understandability of aphasic talk: Mentions of persons as a trouble source in interaction.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(3), 291–314. </w:t>
      </w:r>
      <w:hyperlink r:id="rId4431" w:history="1">
        <w:r w:rsidRPr="001768F9">
          <w:rPr>
            <w:rFonts w:ascii="Times New Roman" w:eastAsia="Times New Roman" w:hAnsi="Times New Roman" w:cs="Times New Roman"/>
            <w:color w:val="0000FF"/>
            <w:sz w:val="24"/>
            <w:szCs w:val="24"/>
            <w:u w:val="single"/>
          </w:rPr>
          <w:t>https://doi.org/10.1080/02687038.2014.986632</w:t>
        </w:r>
      </w:hyperlink>
    </w:p>
    <w:p w14:paraId="6B85EA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Pennington, B. F., Bennetto, L., McAleer, O., &amp; Roberts Jr., R. J. (1996). Executive functions and working memory: Theoretical and measurement issues. In </w:t>
      </w:r>
      <w:r w:rsidRPr="001768F9">
        <w:rPr>
          <w:rFonts w:ascii="Times New Roman" w:eastAsia="Times New Roman" w:hAnsi="Times New Roman" w:cs="Times New Roman"/>
          <w:i/>
          <w:iCs/>
          <w:sz w:val="24"/>
          <w:szCs w:val="24"/>
        </w:rPr>
        <w:t>Attention, memory, and executive function.</w:t>
      </w:r>
      <w:r w:rsidRPr="001768F9">
        <w:rPr>
          <w:rFonts w:ascii="Times New Roman" w:eastAsia="Times New Roman" w:hAnsi="Times New Roman" w:cs="Times New Roman"/>
          <w:sz w:val="24"/>
          <w:szCs w:val="24"/>
        </w:rPr>
        <w:t xml:space="preserve"> (pp. 327–348). Paul H Brookes Publishing Co.</w:t>
      </w:r>
    </w:p>
    <w:p w14:paraId="0B7522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Pennuto, T. O. (2011). Review of Assessment of malingered neuropsychological deficits.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153–155. </w:t>
      </w:r>
      <w:hyperlink r:id="rId4432" w:history="1">
        <w:r w:rsidRPr="001768F9">
          <w:rPr>
            <w:rFonts w:ascii="Times New Roman" w:eastAsia="Times New Roman" w:hAnsi="Times New Roman" w:cs="Times New Roman"/>
            <w:color w:val="0000FF"/>
            <w:sz w:val="24"/>
            <w:szCs w:val="24"/>
            <w:u w:val="single"/>
          </w:rPr>
          <w:t>https://doi.org/10.1080/09084282.2010.547788</w:t>
        </w:r>
      </w:hyperlink>
    </w:p>
    <w:p w14:paraId="27C8C3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Pentaraki, A. D., Stefanis, N. C., Stahl, D., Theleritis, C., Toulopoulou, T., Roukas, D., Kaliora, S. C., Chatzimanolis, I., Smyrnis, N., Russell, T., Kravariti, E., &amp; Murray, R. M. (2012). Theory of mind as a potential trait marker of schizophrenia: A family study.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64–89. </w:t>
      </w:r>
      <w:hyperlink r:id="rId4433" w:history="1">
        <w:r w:rsidRPr="001768F9">
          <w:rPr>
            <w:rFonts w:ascii="Times New Roman" w:eastAsia="Times New Roman" w:hAnsi="Times New Roman" w:cs="Times New Roman"/>
            <w:color w:val="0000FF"/>
            <w:sz w:val="24"/>
            <w:szCs w:val="24"/>
            <w:u w:val="single"/>
          </w:rPr>
          <w:t>https://doi.org/10.1080/13546805.2011.568289</w:t>
        </w:r>
      </w:hyperlink>
    </w:p>
    <w:p w14:paraId="5BF06A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Penttilä, J., Hirvonen, J., Tuominen, L., Lumme, V., Ilonen, T., Någren, K., &amp; Hietala, J. (2016). Verbal memory and 5-HT1A receptors in healthy volunteers – A PET study with [carbonyl-</w:t>
      </w:r>
      <w:r w:rsidRPr="001768F9">
        <w:rPr>
          <w:rFonts w:ascii="Times New Roman" w:eastAsia="Times New Roman" w:hAnsi="Times New Roman" w:cs="Times New Roman"/>
          <w:sz w:val="24"/>
          <w:szCs w:val="24"/>
          <w:vertAlign w:val="superscript"/>
        </w:rPr>
        <w:t>11</w:t>
      </w:r>
      <w:r w:rsidRPr="001768F9">
        <w:rPr>
          <w:rFonts w:ascii="Times New Roman" w:eastAsia="Times New Roman" w:hAnsi="Times New Roman" w:cs="Times New Roman"/>
          <w:sz w:val="24"/>
          <w:szCs w:val="24"/>
        </w:rPr>
        <w:t xml:space="preserve">C]way-100635.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(3), 570–577. </w:t>
      </w:r>
      <w:hyperlink r:id="rId4434" w:history="1">
        <w:r w:rsidRPr="001768F9">
          <w:rPr>
            <w:rFonts w:ascii="Times New Roman" w:eastAsia="Times New Roman" w:hAnsi="Times New Roman" w:cs="Times New Roman"/>
            <w:color w:val="0000FF"/>
            <w:sz w:val="24"/>
            <w:szCs w:val="24"/>
            <w:u w:val="single"/>
          </w:rPr>
          <w:t>https://doi.org/10.1016/j.euroneuro.2015.12.028</w:t>
        </w:r>
      </w:hyperlink>
    </w:p>
    <w:p w14:paraId="313265A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Peoples, L. A., &amp; Fortune, D. G. (2011). The role of pre-morbid personality in predicting rehabilitative outcome in people with acquired brain injury: A systematic review. </w:t>
      </w:r>
      <w:r w:rsidRPr="001768F9">
        <w:rPr>
          <w:rFonts w:ascii="Times New Roman" w:eastAsia="Times New Roman" w:hAnsi="Times New Roman" w:cs="Times New Roman"/>
          <w:i/>
          <w:iCs/>
          <w:sz w:val="24"/>
          <w:szCs w:val="24"/>
        </w:rPr>
        <w:t>The Irish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(1–2), 61–71. </w:t>
      </w:r>
      <w:hyperlink r:id="rId4435" w:history="1">
        <w:r w:rsidRPr="001768F9">
          <w:rPr>
            <w:rFonts w:ascii="Times New Roman" w:eastAsia="Times New Roman" w:hAnsi="Times New Roman" w:cs="Times New Roman"/>
            <w:color w:val="0000FF"/>
            <w:sz w:val="24"/>
            <w:szCs w:val="24"/>
            <w:u w:val="single"/>
          </w:rPr>
          <w:t>https://doi.org/10.1080/03033910.2011.618444</w:t>
        </w:r>
      </w:hyperlink>
    </w:p>
    <w:p w14:paraId="75717C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Pera-Guardiola, V., Batalla, I., Bosque, J., Kosson, D., Pifarré, J., Hernández-Ribas, R., Goldberg, X., Contreras-Rodríguez, O., Menchón, J. M., Soriano-Mas, C., &amp; Cardoner, N. (2016). Modulatory effects of psychopathy on Wisconsin Card Sorting Test performance in male offenders with Antisocial Personality Disorder.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235</w:t>
      </w:r>
      <w:r w:rsidRPr="001768F9">
        <w:rPr>
          <w:rFonts w:ascii="Times New Roman" w:eastAsia="Times New Roman" w:hAnsi="Times New Roman" w:cs="Times New Roman"/>
          <w:sz w:val="24"/>
          <w:szCs w:val="24"/>
        </w:rPr>
        <w:t xml:space="preserve">, 43–48. </w:t>
      </w:r>
      <w:hyperlink r:id="rId4436" w:history="1">
        <w:r w:rsidRPr="001768F9">
          <w:rPr>
            <w:rFonts w:ascii="Times New Roman" w:eastAsia="Times New Roman" w:hAnsi="Times New Roman" w:cs="Times New Roman"/>
            <w:color w:val="0000FF"/>
            <w:sz w:val="24"/>
            <w:szCs w:val="24"/>
            <w:u w:val="single"/>
          </w:rPr>
          <w:t>https://doi.org/10.1016/j.psychres.2015.12.003</w:t>
        </w:r>
      </w:hyperlink>
    </w:p>
    <w:p w14:paraId="1DC7B7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Peralta, V., Cuesta, M. J., &amp; Farre, C. (1997). Factor structure of symptoms in functional psychoses.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(9), 806–815. </w:t>
      </w:r>
      <w:hyperlink r:id="rId4437" w:history="1">
        <w:r w:rsidRPr="001768F9">
          <w:rPr>
            <w:rFonts w:ascii="Times New Roman" w:eastAsia="Times New Roman" w:hAnsi="Times New Roman" w:cs="Times New Roman"/>
            <w:color w:val="0000FF"/>
            <w:sz w:val="24"/>
            <w:szCs w:val="24"/>
            <w:u w:val="single"/>
          </w:rPr>
          <w:t>https://doi.org/10.1016/S0006-3223(96)00496-9</w:t>
        </w:r>
      </w:hyperlink>
    </w:p>
    <w:p w14:paraId="11E164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Perbal, S., Couillet, J., Azouvi, P., &amp; Pouthas, V. (2003). Relationships between time estimation, memory, attention, and processing speed in patients with severe traumatic brain injury.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(12), 1599–1610. </w:t>
      </w:r>
      <w:hyperlink r:id="rId4438" w:history="1">
        <w:r w:rsidRPr="001768F9">
          <w:rPr>
            <w:rFonts w:ascii="Times New Roman" w:eastAsia="Times New Roman" w:hAnsi="Times New Roman" w:cs="Times New Roman"/>
            <w:color w:val="0000FF"/>
            <w:sz w:val="24"/>
            <w:szCs w:val="24"/>
            <w:u w:val="single"/>
          </w:rPr>
          <w:t>https://doi.org/10.1016/S0028-3932(03)00110-6</w:t>
        </w:r>
      </w:hyperlink>
    </w:p>
    <w:p w14:paraId="0EC6E5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Pereira, N., Holz, M., Pereira, A. H., Bresolin, A. P., Zimmermann, N., &amp; Fonseca, R. P. (2016). Frequency of neurolopsychological deficits after traumatic brain injury. </w:t>
      </w:r>
      <w:r w:rsidRPr="001768F9">
        <w:rPr>
          <w:rFonts w:ascii="Times New Roman" w:eastAsia="Times New Roman" w:hAnsi="Times New Roman" w:cs="Times New Roman"/>
          <w:i/>
          <w:iCs/>
          <w:sz w:val="24"/>
          <w:szCs w:val="24"/>
        </w:rPr>
        <w:t>Acta Colombiana de Psicología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(2), 127–137.</w:t>
      </w:r>
    </w:p>
    <w:p w14:paraId="7F6A45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Pereiro Rozas, A. X., Juncos-Rabadán, O., &amp; Soledad Rodríguez González, M. (2008). Processing speed, inhibitory control, and working memory: Three important factors to account for age-related cognitive decline. </w:t>
      </w:r>
      <w:r w:rsidRPr="001768F9">
        <w:rPr>
          <w:rFonts w:ascii="Times New Roman" w:eastAsia="Times New Roman" w:hAnsi="Times New Roman" w:cs="Times New Roman"/>
          <w:i/>
          <w:iCs/>
          <w:sz w:val="24"/>
          <w:szCs w:val="24"/>
        </w:rPr>
        <w:t>The International Journal of Aging &amp; Human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(2), 115–130. </w:t>
      </w:r>
      <w:hyperlink r:id="rId4439" w:history="1">
        <w:r w:rsidRPr="001768F9">
          <w:rPr>
            <w:rFonts w:ascii="Times New Roman" w:eastAsia="Times New Roman" w:hAnsi="Times New Roman" w:cs="Times New Roman"/>
            <w:color w:val="0000FF"/>
            <w:sz w:val="24"/>
            <w:szCs w:val="24"/>
            <w:u w:val="single"/>
          </w:rPr>
          <w:t>https://doi.org/10.2190/AG.66.2.b</w:t>
        </w:r>
      </w:hyperlink>
    </w:p>
    <w:p w14:paraId="2AF0BF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Peretti, C.-S., Peretti, C. R., Kozora, E., Papathanassiou, D., Chouinard, V.-A., &amp; Chouinard, G. (2012). Cognitive impairment in systematic lupus erythematosus women with elevated autoantibodies and normal single photon emission computerized tomography. </w:t>
      </w:r>
      <w:r w:rsidRPr="001768F9">
        <w:rPr>
          <w:rFonts w:ascii="Times New Roman" w:eastAsia="Times New Roman" w:hAnsi="Times New Roman" w:cs="Times New Roman"/>
          <w:i/>
          <w:iCs/>
          <w:sz w:val="24"/>
          <w:szCs w:val="24"/>
        </w:rPr>
        <w:t>Psychotherapy and Psychosomatics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81</w:t>
      </w:r>
      <w:r w:rsidRPr="001768F9">
        <w:rPr>
          <w:rFonts w:ascii="Times New Roman" w:eastAsia="Times New Roman" w:hAnsi="Times New Roman" w:cs="Times New Roman"/>
          <w:sz w:val="24"/>
          <w:szCs w:val="24"/>
        </w:rPr>
        <w:t xml:space="preserve">(5), 276–285. </w:t>
      </w:r>
      <w:hyperlink r:id="rId4440" w:history="1">
        <w:r w:rsidRPr="001768F9">
          <w:rPr>
            <w:rFonts w:ascii="Times New Roman" w:eastAsia="Times New Roman" w:hAnsi="Times New Roman" w:cs="Times New Roman"/>
            <w:color w:val="0000FF"/>
            <w:sz w:val="24"/>
            <w:szCs w:val="24"/>
            <w:u w:val="single"/>
          </w:rPr>
          <w:t>https://doi.org/10.1159/000336555</w:t>
        </w:r>
      </w:hyperlink>
    </w:p>
    <w:p w14:paraId="70E63A9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Pérez, M., Tůma, I., Pytela, O., Kadlecová, E., Zemanová, M., &amp; Lenderová, Z. (2006). Acetylcholinesterase inhibitor donepezil in the treatment of cognitive deficit in schizophrenia. Subanalysis of the active branch from Czech extended double blind study.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(8), 548–550. </w:t>
      </w:r>
      <w:hyperlink r:id="rId4441" w:history="1">
        <w:r w:rsidRPr="001768F9">
          <w:rPr>
            <w:rFonts w:ascii="Times New Roman" w:eastAsia="Times New Roman" w:hAnsi="Times New Roman" w:cs="Times New Roman"/>
            <w:color w:val="0000FF"/>
            <w:sz w:val="24"/>
            <w:szCs w:val="24"/>
            <w:u w:val="single"/>
          </w:rPr>
          <w:t>https://doi.org/10.1016/j.eurpsy.2006.04.008</w:t>
        </w:r>
      </w:hyperlink>
    </w:p>
    <w:p w14:paraId="4B62971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Perfetti, B., Varanese, S., Mercuri, P., Mancino, E., Saggino, A., &amp; Onofrj, M. (2010). Behavioural assessment of dysexecutive syndrome in Parkinson’s disease without dementia: A comparison with other clinical executive tasks.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(1), 46–50. </w:t>
      </w:r>
      <w:hyperlink r:id="rId4442" w:history="1">
        <w:r w:rsidRPr="001768F9">
          <w:rPr>
            <w:rFonts w:ascii="Times New Roman" w:eastAsia="Times New Roman" w:hAnsi="Times New Roman" w:cs="Times New Roman"/>
            <w:color w:val="0000FF"/>
            <w:sz w:val="24"/>
            <w:szCs w:val="24"/>
            <w:u w:val="single"/>
          </w:rPr>
          <w:t>https://doi.org/10.1016/j.parkreldis.2009.07.011</w:t>
        </w:r>
      </w:hyperlink>
    </w:p>
    <w:p w14:paraId="204BE88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Periáñez, J. A., &amp; Barceló, F. (2009). Updating sensory versus task representations during task-switching: Insights from cognitive brain potentials in humans.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1160–1172. </w:t>
      </w:r>
      <w:hyperlink r:id="rId4443" w:history="1">
        <w:r w:rsidRPr="001768F9">
          <w:rPr>
            <w:rFonts w:ascii="Times New Roman" w:eastAsia="Times New Roman" w:hAnsi="Times New Roman" w:cs="Times New Roman"/>
            <w:color w:val="0000FF"/>
            <w:sz w:val="24"/>
            <w:szCs w:val="24"/>
            <w:u w:val="single"/>
          </w:rPr>
          <w:t>https://doi.org/10.1016/j.neuropsychologia.2009.01.014</w:t>
        </w:r>
      </w:hyperlink>
    </w:p>
    <w:p w14:paraId="1B23AD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Peric, S., Brajkovic, L., Belanovic, B., Ilic, V., Salak-Djokic, B., Basta, I., &amp; Rakocevic Stojanovic, V. (2017). Brain positron emission tomography in patients with myotonic dystrophy type 1 and type 2.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378</w:t>
      </w:r>
      <w:r w:rsidRPr="001768F9">
        <w:rPr>
          <w:rFonts w:ascii="Times New Roman" w:eastAsia="Times New Roman" w:hAnsi="Times New Roman" w:cs="Times New Roman"/>
          <w:sz w:val="24"/>
          <w:szCs w:val="24"/>
        </w:rPr>
        <w:t xml:space="preserve">, 187–192. </w:t>
      </w:r>
      <w:hyperlink r:id="rId4444" w:history="1">
        <w:r w:rsidRPr="001768F9">
          <w:rPr>
            <w:rFonts w:ascii="Times New Roman" w:eastAsia="Times New Roman" w:hAnsi="Times New Roman" w:cs="Times New Roman"/>
            <w:color w:val="0000FF"/>
            <w:sz w:val="24"/>
            <w:szCs w:val="24"/>
            <w:u w:val="single"/>
          </w:rPr>
          <w:t>https://doi.org/10.1016/j.jns.2017.05.013</w:t>
        </w:r>
      </w:hyperlink>
    </w:p>
    <w:p w14:paraId="42B76B0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Peric, S., Mandic‐Stojmenovic, G., Markovic, I., Stefanova, E., Ilic, V., Parojcic, A., Misirlic‐Dencic, S., Ostojic, M., Rakocevic‐Stojanovic, V., &amp; Kostic, V. (2014). Cerebrospinal fluid biomarkers of neurodegeneration in patients with juvenile and classic myotonic dystrophy type 1.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 231–237. </w:t>
      </w:r>
      <w:hyperlink r:id="rId4445" w:history="1">
        <w:r w:rsidRPr="001768F9">
          <w:rPr>
            <w:rFonts w:ascii="Times New Roman" w:eastAsia="Times New Roman" w:hAnsi="Times New Roman" w:cs="Times New Roman"/>
            <w:color w:val="0000FF"/>
            <w:sz w:val="24"/>
            <w:szCs w:val="24"/>
            <w:u w:val="single"/>
          </w:rPr>
          <w:t>https://doi.org/10.1111/ene.12237</w:t>
        </w:r>
      </w:hyperlink>
    </w:p>
    <w:p w14:paraId="11925A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Peric, S., Rakocevic Stojanovic, V., Mandic Stojmenovic, G., Ilic, V., Kovacevic, M., Parojcic, A., Pesovic, J., Mijajlovic, M., Savic-Pavicevic, D., &amp; Meola, G. (2017). Clusters of cognitive impairment among different phenotypes of myotonic dystrophy type 1 and type 2. </w:t>
      </w:r>
      <w:r w:rsidRPr="001768F9">
        <w:rPr>
          <w:rFonts w:ascii="Times New Roman" w:eastAsia="Times New Roman" w:hAnsi="Times New Roman" w:cs="Times New Roman"/>
          <w:i/>
          <w:iCs/>
          <w:sz w:val="24"/>
          <w:szCs w:val="24"/>
        </w:rPr>
        <w:t>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(3), 415–423. </w:t>
      </w:r>
      <w:hyperlink r:id="rId4446" w:history="1">
        <w:r w:rsidRPr="001768F9">
          <w:rPr>
            <w:rFonts w:ascii="Times New Roman" w:eastAsia="Times New Roman" w:hAnsi="Times New Roman" w:cs="Times New Roman"/>
            <w:color w:val="0000FF"/>
            <w:sz w:val="24"/>
            <w:szCs w:val="24"/>
            <w:u w:val="single"/>
          </w:rPr>
          <w:t>https://doi.org/10.1007/s10072-016-2778-4</w:t>
        </w:r>
      </w:hyperlink>
    </w:p>
    <w:p w14:paraId="36AEF0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Perkins, S. C. ;, Cortina, K. S. ;, Smith-Darden, J. P. ;, &amp; Graham-Bermann, S. A. ; (2012). The mediating role of self-regulation between intrafamilial violence and mental health adjustment in incarcerated male adolescents. </w:t>
      </w:r>
      <w:r w:rsidRPr="001768F9">
        <w:rPr>
          <w:rFonts w:ascii="Times New Roman" w:eastAsia="Times New Roman" w:hAnsi="Times New Roman" w:cs="Times New Roman"/>
          <w:i/>
          <w:iCs/>
          <w:sz w:val="24"/>
          <w:szCs w:val="24"/>
        </w:rPr>
        <w:t>Journal of Interpersonal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(7), 1199–1224.</w:t>
      </w:r>
    </w:p>
    <w:p w14:paraId="704E40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Perkins, S. C., Smith-Darden, J., Ametrano, R. M., &amp; Graham-Bermann, S. (2014). Typologies of Violence Exposure and Cognitive Processing in Incarcerated Male Adolescents. </w:t>
      </w:r>
      <w:r w:rsidRPr="001768F9">
        <w:rPr>
          <w:rFonts w:ascii="Times New Roman" w:eastAsia="Times New Roman" w:hAnsi="Times New Roman" w:cs="Times New Roman"/>
          <w:i/>
          <w:iCs/>
          <w:sz w:val="24"/>
          <w:szCs w:val="24"/>
        </w:rPr>
        <w:t>Journal of Family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(4), 439–451. </w:t>
      </w:r>
      <w:hyperlink r:id="rId4447" w:history="1">
        <w:r w:rsidRPr="001768F9">
          <w:rPr>
            <w:rFonts w:ascii="Times New Roman" w:eastAsia="Times New Roman" w:hAnsi="Times New Roman" w:cs="Times New Roman"/>
            <w:color w:val="0000FF"/>
            <w:sz w:val="24"/>
            <w:szCs w:val="24"/>
            <w:u w:val="single"/>
          </w:rPr>
          <w:t>https://doi.org/10.1007/s10896-014-9600-y</w:t>
        </w:r>
      </w:hyperlink>
    </w:p>
    <w:p w14:paraId="051D0A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Perlick, D. A., Rosenheck, R. A., Kaczynski, R., Bingham, S., &amp; Collins, J. (2008). Association of symptomatology and cognitive deficits to functional capacity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99</w:t>
      </w:r>
      <w:r w:rsidRPr="001768F9">
        <w:rPr>
          <w:rFonts w:ascii="Times New Roman" w:eastAsia="Times New Roman" w:hAnsi="Times New Roman" w:cs="Times New Roman"/>
          <w:sz w:val="24"/>
          <w:szCs w:val="24"/>
        </w:rPr>
        <w:t xml:space="preserve">(1–3), 192–199. </w:t>
      </w:r>
      <w:hyperlink r:id="rId4448" w:history="1">
        <w:r w:rsidRPr="001768F9">
          <w:rPr>
            <w:rFonts w:ascii="Times New Roman" w:eastAsia="Times New Roman" w:hAnsi="Times New Roman" w:cs="Times New Roman"/>
            <w:color w:val="0000FF"/>
            <w:sz w:val="24"/>
            <w:szCs w:val="24"/>
            <w:u w:val="single"/>
          </w:rPr>
          <w:t>https://doi.org/10.1016/j.schres.2007.08.009</w:t>
        </w:r>
      </w:hyperlink>
    </w:p>
    <w:p w14:paraId="462D90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Perlini, C., Bellani, M., Finos, L., Lasalvia, A., Bonetto, C., Scocco, P., D’Agostino, A., Torresani, S., Imbesi, M., Bellini, F., Konze, A., Veronese, A., Ruggeri, M., &amp; Brambilla, P. (2018). Non literal language comprehension in a large sample of first episode psychosis patients in adulthood.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260</w:t>
      </w:r>
      <w:r w:rsidRPr="001768F9">
        <w:rPr>
          <w:rFonts w:ascii="Times New Roman" w:eastAsia="Times New Roman" w:hAnsi="Times New Roman" w:cs="Times New Roman"/>
          <w:sz w:val="24"/>
          <w:szCs w:val="24"/>
        </w:rPr>
        <w:t xml:space="preserve">, 78–89. </w:t>
      </w:r>
      <w:hyperlink r:id="rId4449" w:history="1">
        <w:r w:rsidRPr="001768F9">
          <w:rPr>
            <w:rFonts w:ascii="Times New Roman" w:eastAsia="Times New Roman" w:hAnsi="Times New Roman" w:cs="Times New Roman"/>
            <w:color w:val="0000FF"/>
            <w:sz w:val="24"/>
            <w:szCs w:val="24"/>
            <w:u w:val="single"/>
          </w:rPr>
          <w:t>https://doi.org/10.1016/j.psychres.2017.11.032</w:t>
        </w:r>
      </w:hyperlink>
    </w:p>
    <w:p w14:paraId="5D01692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Permoda-Osip, A., Kisielewski, J., Dorszewska, J., &amp; Rybakowski, J. (2014). Homocysteine and cognitive functions in bipolar depression. </w:t>
      </w:r>
      <w:r w:rsidRPr="001768F9">
        <w:rPr>
          <w:rFonts w:ascii="Times New Roman" w:eastAsia="Times New Roman" w:hAnsi="Times New Roman" w:cs="Times New Roman"/>
          <w:i/>
          <w:iCs/>
          <w:sz w:val="24"/>
          <w:szCs w:val="24"/>
        </w:rPr>
        <w:t>Psychiatria Polska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(6), 1117–1126. </w:t>
      </w:r>
      <w:hyperlink r:id="rId4450" w:history="1">
        <w:r w:rsidRPr="001768F9">
          <w:rPr>
            <w:rFonts w:ascii="Times New Roman" w:eastAsia="Times New Roman" w:hAnsi="Times New Roman" w:cs="Times New Roman"/>
            <w:color w:val="0000FF"/>
            <w:sz w:val="24"/>
            <w:szCs w:val="24"/>
            <w:u w:val="single"/>
          </w:rPr>
          <w:t>https://doi.org/10.12740/PP/31394</w:t>
        </w:r>
      </w:hyperlink>
    </w:p>
    <w:p w14:paraId="1A2B4C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B., &amp; Kiefner, M. (2013). Long-term cognitive sequelae: Abused children without PTSD.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w:t>
      </w:r>
      <w:r w:rsidRPr="001768F9">
        <w:rPr>
          <w:rFonts w:ascii="Times New Roman" w:eastAsia="Times New Roman" w:hAnsi="Times New Roman" w:cs="Times New Roman"/>
          <w:sz w:val="24"/>
          <w:szCs w:val="24"/>
        </w:rPr>
        <w:t xml:space="preserve">(1), 1–5. </w:t>
      </w:r>
      <w:hyperlink r:id="rId4451" w:history="1">
        <w:r w:rsidRPr="001768F9">
          <w:rPr>
            <w:rFonts w:ascii="Times New Roman" w:eastAsia="Times New Roman" w:hAnsi="Times New Roman" w:cs="Times New Roman"/>
            <w:color w:val="0000FF"/>
            <w:sz w:val="24"/>
            <w:szCs w:val="24"/>
            <w:u w:val="single"/>
          </w:rPr>
          <w:t>https://doi.org/10.1080/09084282.2011.595460</w:t>
        </w:r>
      </w:hyperlink>
    </w:p>
    <w:p w14:paraId="0A24286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B., &amp; Loughan, A. R. (2013). Children and the Test of Memory Malingering: Is one trial enough?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(4), 438–447. </w:t>
      </w:r>
      <w:hyperlink r:id="rId4452" w:history="1">
        <w:r w:rsidRPr="001768F9">
          <w:rPr>
            <w:rFonts w:ascii="Times New Roman" w:eastAsia="Times New Roman" w:hAnsi="Times New Roman" w:cs="Times New Roman"/>
            <w:color w:val="0000FF"/>
            <w:sz w:val="24"/>
            <w:szCs w:val="24"/>
            <w:u w:val="single"/>
          </w:rPr>
          <w:t>https://doi.org/10.1080/09297049.2012.731500</w:t>
        </w:r>
      </w:hyperlink>
    </w:p>
    <w:p w14:paraId="282E71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&amp; Cooper, D. (2012). Perinatal cyanosis: Long-term cognitive sequelae and behavioral consequences.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(1), 48–52. </w:t>
      </w:r>
      <w:hyperlink r:id="rId4453" w:history="1">
        <w:r w:rsidRPr="001768F9">
          <w:rPr>
            <w:rFonts w:ascii="Times New Roman" w:eastAsia="Times New Roman" w:hAnsi="Times New Roman" w:cs="Times New Roman"/>
            <w:color w:val="0000FF"/>
            <w:sz w:val="24"/>
            <w:szCs w:val="24"/>
            <w:u w:val="single"/>
          </w:rPr>
          <w:t>https://doi.org/10.1080/09084282.2011.643946</w:t>
        </w:r>
      </w:hyperlink>
    </w:p>
    <w:p w14:paraId="18C507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&amp; Loughan, A. (2012). Early developmental delays: Neuropsychological sequelae and subsequent diagnoses.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(1), 57–62. </w:t>
      </w:r>
      <w:hyperlink r:id="rId4454" w:history="1">
        <w:r w:rsidRPr="001768F9">
          <w:rPr>
            <w:rFonts w:ascii="Times New Roman" w:eastAsia="Times New Roman" w:hAnsi="Times New Roman" w:cs="Times New Roman"/>
            <w:color w:val="0000FF"/>
            <w:sz w:val="24"/>
            <w:szCs w:val="24"/>
            <w:u w:val="single"/>
          </w:rPr>
          <w:t>https://doi.org/10.1080/09084282.2011.643963</w:t>
        </w:r>
      </w:hyperlink>
    </w:p>
    <w:p w14:paraId="59CDF3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&amp; Loughan, A. R. (2014). The influence of effort on neuropsychological performance in children: Is performance on the TOMM indicative of neuropsychological ability?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(1), 31–37. </w:t>
      </w:r>
      <w:hyperlink r:id="rId4455" w:history="1">
        <w:r w:rsidRPr="001768F9">
          <w:rPr>
            <w:rFonts w:ascii="Times New Roman" w:eastAsia="Times New Roman" w:hAnsi="Times New Roman" w:cs="Times New Roman"/>
            <w:color w:val="0000FF"/>
            <w:sz w:val="24"/>
            <w:szCs w:val="24"/>
            <w:u w:val="single"/>
          </w:rPr>
          <w:t>https://doi.org/10.1080/21622965.2012.686339</w:t>
        </w:r>
      </w:hyperlink>
    </w:p>
    <w:p w14:paraId="4D007E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Loughan, A. R., Hertza, J., &amp; Segraves, K. (2014). The value of embedded measures in detecting suboptimal effort in children: An investigation into the WISC-IV digit span and CMS verbal memory subtests.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(1), 45–51. </w:t>
      </w:r>
      <w:hyperlink r:id="rId4456" w:history="1">
        <w:r w:rsidRPr="001768F9">
          <w:rPr>
            <w:rFonts w:ascii="Times New Roman" w:eastAsia="Times New Roman" w:hAnsi="Times New Roman" w:cs="Times New Roman"/>
            <w:color w:val="0000FF"/>
            <w:sz w:val="24"/>
            <w:szCs w:val="24"/>
            <w:u w:val="single"/>
          </w:rPr>
          <w:t>https://doi.org/10.1080/21622965.2012.691067</w:t>
        </w:r>
      </w:hyperlink>
    </w:p>
    <w:p w14:paraId="270B8A0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Loughan, A. R., Le, J., Hertza, J., &amp; Cohen, M. J. (2015). Spectrum of mathematical weaknesses: Related neuropsychological correlates.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(3), 157–165. </w:t>
      </w:r>
      <w:hyperlink r:id="rId4457" w:history="1">
        <w:r w:rsidRPr="001768F9">
          <w:rPr>
            <w:rFonts w:ascii="Times New Roman" w:eastAsia="Times New Roman" w:hAnsi="Times New Roman" w:cs="Times New Roman"/>
            <w:color w:val="0000FF"/>
            <w:sz w:val="24"/>
            <w:szCs w:val="24"/>
            <w:u w:val="single"/>
          </w:rPr>
          <w:t>https://doi.org/10.1080/21622965.2013.827573</w:t>
        </w:r>
      </w:hyperlink>
    </w:p>
    <w:p w14:paraId="00BA24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Perna, R., Loughan, A. R. ;, &amp; Talka, K. (2012). Executive functioning and adaptive living skills after acquired brain injury.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(4), 263–271.</w:t>
      </w:r>
    </w:p>
    <w:p w14:paraId="001DD2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Perneczky, R., Diehl-Schmid, J., Förstl, H., Drzezga, A., &amp; Kurz, A. (2007). Male gender is associated with greater cerebral hypometabolism in frontotemporal dementia: Evidence for sex-related cognitive reserve.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(11), 1135–1140. </w:t>
      </w:r>
      <w:hyperlink r:id="rId4458" w:history="1">
        <w:r w:rsidRPr="001768F9">
          <w:rPr>
            <w:rFonts w:ascii="Times New Roman" w:eastAsia="Times New Roman" w:hAnsi="Times New Roman" w:cs="Times New Roman"/>
            <w:color w:val="0000FF"/>
            <w:sz w:val="24"/>
            <w:szCs w:val="24"/>
            <w:u w:val="single"/>
          </w:rPr>
          <w:t>https://doi.org/10.1002/gps.1803</w:t>
        </w:r>
      </w:hyperlink>
    </w:p>
    <w:p w14:paraId="131972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Perneczky, R., Diehl-Schmid, J., Pohl, C., Drzezga, A., &amp; Kurz, A. (2007). Non-fluent progressive aphasia: Cerebral metabolic patterns and brain reserve. </w:t>
      </w:r>
      <w:r w:rsidRPr="001768F9">
        <w:rPr>
          <w:rFonts w:ascii="Times New Roman" w:eastAsia="Times New Roman" w:hAnsi="Times New Roman" w:cs="Times New Roman"/>
          <w:i/>
          <w:iCs/>
          <w:sz w:val="24"/>
          <w:szCs w:val="24"/>
        </w:rPr>
        <w:t>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1133</w:t>
      </w:r>
      <w:r w:rsidRPr="001768F9">
        <w:rPr>
          <w:rFonts w:ascii="Times New Roman" w:eastAsia="Times New Roman" w:hAnsi="Times New Roman" w:cs="Times New Roman"/>
          <w:sz w:val="24"/>
          <w:szCs w:val="24"/>
        </w:rPr>
        <w:t xml:space="preserve">, 178–185. </w:t>
      </w:r>
      <w:hyperlink r:id="rId4459" w:history="1">
        <w:r w:rsidRPr="001768F9">
          <w:rPr>
            <w:rFonts w:ascii="Times New Roman" w:eastAsia="Times New Roman" w:hAnsi="Times New Roman" w:cs="Times New Roman"/>
            <w:color w:val="0000FF"/>
            <w:sz w:val="24"/>
            <w:szCs w:val="24"/>
            <w:u w:val="single"/>
          </w:rPr>
          <w:t>https://doi.org/10.1016/j.brainres.2006.11.054</w:t>
        </w:r>
      </w:hyperlink>
    </w:p>
    <w:p w14:paraId="523AE8C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(2016). Prise en charge neuropsychologique des patients bénéficiant d’une stimulation cérébrale profonde en neurologie et en psychiatrie: Vers une approche individualisée et intégrative. [Neuropsychological care of patients undergoing deep brain stimulation in ne. </w:t>
      </w:r>
      <w:r w:rsidRPr="001768F9">
        <w:rPr>
          <w:rFonts w:ascii="Times New Roman" w:eastAsia="Times New Roman" w:hAnsi="Times New Roman" w:cs="Times New Roman"/>
          <w:i/>
          <w:iCs/>
          <w:sz w:val="24"/>
          <w:szCs w:val="24"/>
        </w:rPr>
        <w:t>Revue de Neuropsychologie, Neurosciences Cognitives et Cliniques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(1), 16–24.</w:t>
      </w:r>
    </w:p>
    <w:p w14:paraId="390212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Biseul, I., Leray, E., Vicente, S., Le Jeune, F., Drapier, S., Drapier, D., Sauleau, P., Haegelen, C., &amp; Vérin, M. (2010). Subthalamic nucleus stimulation affects fear and sadness recognition in Parkinson’s disease.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1–8. </w:t>
      </w:r>
      <w:hyperlink r:id="rId4460" w:history="1">
        <w:r w:rsidRPr="001768F9">
          <w:rPr>
            <w:rFonts w:ascii="Times New Roman" w:eastAsia="Times New Roman" w:hAnsi="Times New Roman" w:cs="Times New Roman"/>
            <w:color w:val="0000FF"/>
            <w:sz w:val="24"/>
            <w:szCs w:val="24"/>
            <w:u w:val="single"/>
          </w:rPr>
          <w:t>https://doi.org/10.1037/a0017433</w:t>
        </w:r>
      </w:hyperlink>
    </w:p>
    <w:p w14:paraId="1F8720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Cekic, S., Haegelen, C., Sauleau, P., Patel, S., Drapier, D., Vérin, M., &amp; Grandjean, D. (2015). Sensory contribution to vocal emotion deficit in Parkinson’s disease after subthalamic stimulation.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 172–183. </w:t>
      </w:r>
      <w:hyperlink r:id="rId4461" w:history="1">
        <w:r w:rsidRPr="001768F9">
          <w:rPr>
            <w:rFonts w:ascii="Times New Roman" w:eastAsia="Times New Roman" w:hAnsi="Times New Roman" w:cs="Times New Roman"/>
            <w:color w:val="0000FF"/>
            <w:sz w:val="24"/>
            <w:szCs w:val="24"/>
            <w:u w:val="single"/>
          </w:rPr>
          <w:t>https://doi.org/10.1016/j.cortex.2014.08.023</w:t>
        </w:r>
      </w:hyperlink>
    </w:p>
    <w:p w14:paraId="1DE36B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Grandjean, D., Le Jeune, F., Sauleau, P., Haegelen, C., Drapier, D., Rouaud, T., Drapier, S., &amp; Vérin, M. (2010). Recognition of emotional prosody is altered after subthalamic nucleus deep brain stimulation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(4), 1053–1062. </w:t>
      </w:r>
      <w:hyperlink r:id="rId4462" w:history="1">
        <w:r w:rsidRPr="001768F9">
          <w:rPr>
            <w:rFonts w:ascii="Times New Roman" w:eastAsia="Times New Roman" w:hAnsi="Times New Roman" w:cs="Times New Roman"/>
            <w:color w:val="0000FF"/>
            <w:sz w:val="24"/>
            <w:szCs w:val="24"/>
            <w:u w:val="single"/>
          </w:rPr>
          <w:t>https://doi.org/10.1016/j.neuropsychologia.2009.12.003</w:t>
        </w:r>
      </w:hyperlink>
    </w:p>
    <w:p w14:paraId="38AF56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Renaud, O., Haegelen, C., Tamarit, L., Milesi, V., Houvenaghel, J.-F., Dondaine, T., Vérin, M., Sauleau, P., &amp; Grandjean, D. (2017). Vocal emotion decoding in the subthalamic nucleus: An intracranial ERP study in Parkinson’s disease.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168</w:t>
      </w:r>
      <w:r w:rsidRPr="001768F9">
        <w:rPr>
          <w:rFonts w:ascii="Times New Roman" w:eastAsia="Times New Roman" w:hAnsi="Times New Roman" w:cs="Times New Roman"/>
          <w:sz w:val="24"/>
          <w:szCs w:val="24"/>
        </w:rPr>
        <w:t xml:space="preserve">, 1–11. </w:t>
      </w:r>
      <w:hyperlink r:id="rId4463" w:history="1">
        <w:r w:rsidRPr="001768F9">
          <w:rPr>
            <w:rFonts w:ascii="Times New Roman" w:eastAsia="Times New Roman" w:hAnsi="Times New Roman" w:cs="Times New Roman"/>
            <w:color w:val="0000FF"/>
            <w:sz w:val="24"/>
            <w:szCs w:val="24"/>
            <w:u w:val="single"/>
          </w:rPr>
          <w:t>https://doi.org/10.1016/j.bandl.2016.12.003</w:t>
        </w:r>
      </w:hyperlink>
    </w:p>
    <w:p w14:paraId="39A302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Péron, J., Vicente, S., Leray, E., Drapier, S., Drapier, D., Cohen, R., Biseul, I., Rouaud, T., Le Jeune, F., Sauleau, P., &amp; Vérin, M. (2009). Are dopaminergic pathways involved in theory of mind? A study in Parkinson’s disease.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(2), 406–414. </w:t>
      </w:r>
      <w:hyperlink r:id="rId4464" w:history="1">
        <w:r w:rsidRPr="001768F9">
          <w:rPr>
            <w:rFonts w:ascii="Times New Roman" w:eastAsia="Times New Roman" w:hAnsi="Times New Roman" w:cs="Times New Roman"/>
            <w:color w:val="0000FF"/>
            <w:sz w:val="24"/>
            <w:szCs w:val="24"/>
            <w:u w:val="single"/>
          </w:rPr>
          <w:t>https://doi.org/10.1016/j.neuropsychologia.2008.09.008</w:t>
        </w:r>
      </w:hyperlink>
    </w:p>
    <w:p w14:paraId="3D914F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Perpiñá, C., Segura, M., &amp; Sánchez-Reales, S. (2017). Cognitive flexibility and decision-making in eating disorders and obesity. </w:t>
      </w:r>
      <w:r w:rsidRPr="001768F9">
        <w:rPr>
          <w:rFonts w:ascii="Times New Roman" w:eastAsia="Times New Roman" w:hAnsi="Times New Roman" w:cs="Times New Roman"/>
          <w:i/>
          <w:iCs/>
          <w:sz w:val="24"/>
          <w:szCs w:val="24"/>
        </w:rPr>
        <w:t>Eating and Weight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(3), 435–444. </w:t>
      </w:r>
      <w:hyperlink r:id="rId4465" w:history="1">
        <w:r w:rsidRPr="001768F9">
          <w:rPr>
            <w:rFonts w:ascii="Times New Roman" w:eastAsia="Times New Roman" w:hAnsi="Times New Roman" w:cs="Times New Roman"/>
            <w:color w:val="0000FF"/>
            <w:sz w:val="24"/>
            <w:szCs w:val="24"/>
            <w:u w:val="single"/>
          </w:rPr>
          <w:t>https://doi.org/10.1007/s40519-016-0331-3</w:t>
        </w:r>
      </w:hyperlink>
    </w:p>
    <w:p w14:paraId="0A93CD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Perret, P. (2003). Contrô1e inhibiteur et développement cognitif: Perspectives actuelles. [Inhibitory control and cognitive development: A review.]. </w:t>
      </w:r>
      <w:r w:rsidRPr="001768F9">
        <w:rPr>
          <w:rFonts w:ascii="Times New Roman" w:eastAsia="Times New Roman" w:hAnsi="Times New Roman" w:cs="Times New Roman"/>
          <w:i/>
          <w:iCs/>
          <w:sz w:val="24"/>
          <w:szCs w:val="24"/>
        </w:rPr>
        <w:t>Revue de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(3), 347–375.</w:t>
      </w:r>
    </w:p>
    <w:p w14:paraId="634308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Perretta, J. G., Pari, G., &amp; Beninger, R. J. (2005). Effects of Parkinson disease on two putative nondeclarative learning tasks: Probabilistic classification and gambling.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185–192. </w:t>
      </w:r>
      <w:hyperlink r:id="rId4466" w:history="1">
        <w:r w:rsidRPr="001768F9">
          <w:rPr>
            <w:rFonts w:ascii="Times New Roman" w:eastAsia="Times New Roman" w:hAnsi="Times New Roman" w:cs="Times New Roman"/>
            <w:color w:val="0000FF"/>
            <w:sz w:val="24"/>
            <w:szCs w:val="24"/>
            <w:u w:val="single"/>
          </w:rPr>
          <w:t>https://doi.org/10.1097/01.wnn.0000187939.81541.1d</w:t>
        </w:r>
      </w:hyperlink>
    </w:p>
    <w:p w14:paraId="1DA8018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Perrine, K. (1993). Differential aspects of conceptual processing in the Category Test and Wisconsin Card Sorting Test.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(4), 461–473. </w:t>
      </w:r>
      <w:hyperlink r:id="rId4467" w:history="1">
        <w:r w:rsidRPr="001768F9">
          <w:rPr>
            <w:rFonts w:ascii="Times New Roman" w:eastAsia="Times New Roman" w:hAnsi="Times New Roman" w:cs="Times New Roman"/>
            <w:color w:val="0000FF"/>
            <w:sz w:val="24"/>
            <w:szCs w:val="24"/>
            <w:u w:val="single"/>
          </w:rPr>
          <w:t>https://doi.org/10.1080/01688639308402571</w:t>
        </w:r>
      </w:hyperlink>
    </w:p>
    <w:p w14:paraId="514EE1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Perrotin, A., Isingrini, M., Souchay, C., Clarys, D., &amp; Taconnat, L. (2006). Episodic feeling-of-knowing accuracy and cued recall in the elderly: Evidence for double dissociation involving executive functioning and processing speed. </w:t>
      </w:r>
      <w:r w:rsidRPr="001768F9">
        <w:rPr>
          <w:rFonts w:ascii="Times New Roman" w:eastAsia="Times New Roman" w:hAnsi="Times New Roman" w:cs="Times New Roman"/>
          <w:i/>
          <w:iCs/>
          <w:sz w:val="24"/>
          <w:szCs w:val="24"/>
        </w:rPr>
        <w:t>Acta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122</w:t>
      </w:r>
      <w:r w:rsidRPr="001768F9">
        <w:rPr>
          <w:rFonts w:ascii="Times New Roman" w:eastAsia="Times New Roman" w:hAnsi="Times New Roman" w:cs="Times New Roman"/>
          <w:sz w:val="24"/>
          <w:szCs w:val="24"/>
        </w:rPr>
        <w:t xml:space="preserve">(1), 58–73. </w:t>
      </w:r>
      <w:hyperlink r:id="rId4468" w:history="1">
        <w:r w:rsidRPr="001768F9">
          <w:rPr>
            <w:rFonts w:ascii="Times New Roman" w:eastAsia="Times New Roman" w:hAnsi="Times New Roman" w:cs="Times New Roman"/>
            <w:color w:val="0000FF"/>
            <w:sz w:val="24"/>
            <w:szCs w:val="24"/>
            <w:u w:val="single"/>
          </w:rPr>
          <w:t>https://doi.org/10.1016/j.actpsy.2005.10.003</w:t>
        </w:r>
      </w:hyperlink>
    </w:p>
    <w:p w14:paraId="5A27D63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Perry, W., &amp; Braff, D. L. (1998). A multimethod approach to assessing perseverations in schizophrenia patients.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(1–2), 69–78. </w:t>
      </w:r>
      <w:hyperlink r:id="rId4469" w:history="1">
        <w:r w:rsidRPr="001768F9">
          <w:rPr>
            <w:rFonts w:ascii="Times New Roman" w:eastAsia="Times New Roman" w:hAnsi="Times New Roman" w:cs="Times New Roman"/>
            <w:color w:val="0000FF"/>
            <w:sz w:val="24"/>
            <w:szCs w:val="24"/>
            <w:u w:val="single"/>
          </w:rPr>
          <w:t>https://doi.org/10.1016/S0920-9964(98)00061-9</w:t>
        </w:r>
      </w:hyperlink>
    </w:p>
    <w:p w14:paraId="4552EA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Perry, W., Minassian, A., Lopez, B., Maron, L., &amp; Lincoln, A. (2007). Sensorimotor Gating Deficits in Adults with Autism.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(4), 482–486. </w:t>
      </w:r>
      <w:hyperlink r:id="rId4470" w:history="1">
        <w:r w:rsidRPr="001768F9">
          <w:rPr>
            <w:rFonts w:ascii="Times New Roman" w:eastAsia="Times New Roman" w:hAnsi="Times New Roman" w:cs="Times New Roman"/>
            <w:color w:val="0000FF"/>
            <w:sz w:val="24"/>
            <w:szCs w:val="24"/>
            <w:u w:val="single"/>
          </w:rPr>
          <w:t>https://doi.org/10.1016/j.biopsych.2005.09.025</w:t>
        </w:r>
      </w:hyperlink>
    </w:p>
    <w:p w14:paraId="18F0AD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Perry, W., Potterat, E. G., &amp; Braff, D. L. (2001). Self-monitoring enhances Wisconsin Card Sorting Test performance in patients with schizophrenia: Performance is improved by simply asking patients to verbalize their sorting strategy.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(3), 344–352. </w:t>
      </w:r>
      <w:hyperlink r:id="rId4471" w:history="1">
        <w:r w:rsidRPr="001768F9">
          <w:rPr>
            <w:rFonts w:ascii="Times New Roman" w:eastAsia="Times New Roman" w:hAnsi="Times New Roman" w:cs="Times New Roman"/>
            <w:color w:val="0000FF"/>
            <w:sz w:val="24"/>
            <w:szCs w:val="24"/>
            <w:u w:val="single"/>
          </w:rPr>
          <w:t>https://doi.org/10.1017/S1355617701733085</w:t>
        </w:r>
      </w:hyperlink>
    </w:p>
    <w:p w14:paraId="644B5F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Persad, C. C., Jones, J. L., Ashton-Miller, J. A., Alexander, N. B., &amp; Giordani, B. (2008). Executive function and gait in older adults with cognitive impairment. </w:t>
      </w:r>
      <w:r w:rsidRPr="001768F9">
        <w:rPr>
          <w:rFonts w:ascii="Times New Roman" w:eastAsia="Times New Roman" w:hAnsi="Times New Roman" w:cs="Times New Roman"/>
          <w:i/>
          <w:iCs/>
          <w:sz w:val="24"/>
          <w:szCs w:val="24"/>
        </w:rPr>
        <w:t>The Journals of Gerontology: Series A: Biological Sciences and Medical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(12), 1350–1355. </w:t>
      </w:r>
      <w:hyperlink r:id="rId4472" w:history="1">
        <w:r w:rsidRPr="001768F9">
          <w:rPr>
            <w:rFonts w:ascii="Times New Roman" w:eastAsia="Times New Roman" w:hAnsi="Times New Roman" w:cs="Times New Roman"/>
            <w:color w:val="0000FF"/>
            <w:sz w:val="24"/>
            <w:szCs w:val="24"/>
            <w:u w:val="single"/>
          </w:rPr>
          <w:t>https://doi.org/10.1093/gerona/63.12.1350</w:t>
        </w:r>
      </w:hyperlink>
    </w:p>
    <w:p w14:paraId="3A9834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Persampiere, J., Poole, G., &amp; Murphy, C. M. (2014). Neuropsychological correlates of anger, hostility, and relationship-relevant distortions in thinking among partner violent men. </w:t>
      </w:r>
      <w:r w:rsidRPr="001768F9">
        <w:rPr>
          <w:rFonts w:ascii="Times New Roman" w:eastAsia="Times New Roman" w:hAnsi="Times New Roman" w:cs="Times New Roman"/>
          <w:i/>
          <w:iCs/>
          <w:sz w:val="24"/>
          <w:szCs w:val="24"/>
        </w:rPr>
        <w:t>Journal of Family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(6), 625–641. </w:t>
      </w:r>
      <w:hyperlink r:id="rId4473" w:history="1">
        <w:r w:rsidRPr="001768F9">
          <w:rPr>
            <w:rFonts w:ascii="Times New Roman" w:eastAsia="Times New Roman" w:hAnsi="Times New Roman" w:cs="Times New Roman"/>
            <w:color w:val="0000FF"/>
            <w:sz w:val="24"/>
            <w:szCs w:val="24"/>
            <w:u w:val="single"/>
          </w:rPr>
          <w:t>https://doi.org/10.1007/s10896-014-9614-5</w:t>
        </w:r>
      </w:hyperlink>
    </w:p>
    <w:p w14:paraId="7C2ADD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Persinger, V. C., Whiteside, D. M., Bobova, L., Saigal, S. D., Vannucci, M. J., &amp; Basso, M. R. (2018). Using the California Verbal Learning Test, Second Edition as an embedded performance validity measure among individuals with TBI and individuals with psychiatric disorders.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(6), 1039–1053. </w:t>
      </w:r>
      <w:hyperlink r:id="rId4474" w:history="1">
        <w:r w:rsidRPr="001768F9">
          <w:rPr>
            <w:rFonts w:ascii="Times New Roman" w:eastAsia="Times New Roman" w:hAnsi="Times New Roman" w:cs="Times New Roman"/>
            <w:color w:val="0000FF"/>
            <w:sz w:val="24"/>
            <w:szCs w:val="24"/>
            <w:u w:val="single"/>
          </w:rPr>
          <w:t>https://doi.org/10.1080/13854046.2017.1419507</w:t>
        </w:r>
      </w:hyperlink>
    </w:p>
    <w:p w14:paraId="137B42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Perugi, G., Akiskal, H. S., Gemignani, A., Pfanner, C., Presta, S., Milanfranchi, A., Lensi, P., Ravagli, S., Maremmani, I., &amp; Cassano, G. B. (1998). Episodic course in obsessive-compulsive disorder.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248</w:t>
      </w:r>
      <w:r w:rsidRPr="001768F9">
        <w:rPr>
          <w:rFonts w:ascii="Times New Roman" w:eastAsia="Times New Roman" w:hAnsi="Times New Roman" w:cs="Times New Roman"/>
          <w:sz w:val="24"/>
          <w:szCs w:val="24"/>
        </w:rPr>
        <w:t xml:space="preserve">(5), 240–244. </w:t>
      </w:r>
      <w:hyperlink r:id="rId4475" w:history="1">
        <w:r w:rsidRPr="001768F9">
          <w:rPr>
            <w:rFonts w:ascii="Times New Roman" w:eastAsia="Times New Roman" w:hAnsi="Times New Roman" w:cs="Times New Roman"/>
            <w:color w:val="0000FF"/>
            <w:sz w:val="24"/>
            <w:szCs w:val="24"/>
            <w:u w:val="single"/>
          </w:rPr>
          <w:t>https://doi.org/10.1007/s004060050044</w:t>
        </w:r>
      </w:hyperlink>
    </w:p>
    <w:p w14:paraId="7AAA83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Pesce, C., &amp; Ben-Soussan, T. D. (2016). “Cogito ergo sum” or “ambulo ergo sum”? New perspectives in developmental exercise and cognition research. In </w:t>
      </w:r>
      <w:r w:rsidRPr="001768F9">
        <w:rPr>
          <w:rFonts w:ascii="Times New Roman" w:eastAsia="Times New Roman" w:hAnsi="Times New Roman" w:cs="Times New Roman"/>
          <w:i/>
          <w:iCs/>
          <w:sz w:val="24"/>
          <w:szCs w:val="24"/>
        </w:rPr>
        <w:t>Exercise-cognition interaction: Neuroscience perspectives.</w:t>
      </w:r>
      <w:r w:rsidRPr="001768F9">
        <w:rPr>
          <w:rFonts w:ascii="Times New Roman" w:eastAsia="Times New Roman" w:hAnsi="Times New Roman" w:cs="Times New Roman"/>
          <w:sz w:val="24"/>
          <w:szCs w:val="24"/>
        </w:rPr>
        <w:t xml:space="preserve"> (pp. 251–282). Elsevier Academic Press. </w:t>
      </w:r>
      <w:hyperlink r:id="rId4476" w:history="1">
        <w:r w:rsidRPr="001768F9">
          <w:rPr>
            <w:rFonts w:ascii="Times New Roman" w:eastAsia="Times New Roman" w:hAnsi="Times New Roman" w:cs="Times New Roman"/>
            <w:color w:val="0000FF"/>
            <w:sz w:val="24"/>
            <w:szCs w:val="24"/>
            <w:u w:val="single"/>
          </w:rPr>
          <w:t>https://doi.org/10.1016/B978-0-12-800778-5.00012-8</w:t>
        </w:r>
      </w:hyperlink>
    </w:p>
    <w:p w14:paraId="7A883E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Peskine, A., Rosso, C., Picq, C., Caron, E., &amp; Pradat-Diehl, P. (2010). Neurological sequelae after cerebral anoxia.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(5), 755–761. </w:t>
      </w:r>
      <w:hyperlink r:id="rId4477" w:history="1">
        <w:r w:rsidRPr="001768F9">
          <w:rPr>
            <w:rFonts w:ascii="Times New Roman" w:eastAsia="Times New Roman" w:hAnsi="Times New Roman" w:cs="Times New Roman"/>
            <w:color w:val="0000FF"/>
            <w:sz w:val="24"/>
            <w:szCs w:val="24"/>
            <w:u w:val="single"/>
          </w:rPr>
          <w:t>https://doi.org/10.3109/02699051003709581</w:t>
        </w:r>
      </w:hyperlink>
    </w:p>
    <w:p w14:paraId="57DF43B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Pessiglione, M., Czernecki, V., Pillon, B., Dubois, B., Schüpbach, M., Agid, Y., &amp; Tremblay, L. (2005). An Effect of Dopamine Depletion on Decision-making: The Temporal Coupling of Deliberation and Execution.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(12), 1886–1896. </w:t>
      </w:r>
      <w:hyperlink r:id="rId4478" w:history="1">
        <w:r w:rsidRPr="001768F9">
          <w:rPr>
            <w:rFonts w:ascii="Times New Roman" w:eastAsia="Times New Roman" w:hAnsi="Times New Roman" w:cs="Times New Roman"/>
            <w:color w:val="0000FF"/>
            <w:sz w:val="24"/>
            <w:szCs w:val="24"/>
            <w:u w:val="single"/>
          </w:rPr>
          <w:t>https://doi.org/10.1162/089892905775008661</w:t>
        </w:r>
      </w:hyperlink>
    </w:p>
    <w:p w14:paraId="2B3602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Petacchi, E., Armellin, M. T., Facchin, D., Gubernale, M., Moret, O., Buffoni, M., Salghetti, A. M., &amp; Martinuzzi, A. (2009). The dystonic child treated with deep brain stimulation: ICF reading of a high-tech approach. </w:t>
      </w:r>
      <w:r w:rsidRPr="001768F9">
        <w:rPr>
          <w:rFonts w:ascii="Times New Roman" w:eastAsia="Times New Roman" w:hAnsi="Times New Roman" w:cs="Times New Roman"/>
          <w:i/>
          <w:iCs/>
          <w:sz w:val="24"/>
          <w:szCs w:val="24"/>
        </w:rPr>
        <w:t>Disability and Rehabilitation: An International, Multidisciplinary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(Suppl 1), S159–S169. </w:t>
      </w:r>
      <w:hyperlink r:id="rId4479" w:history="1">
        <w:r w:rsidRPr="001768F9">
          <w:rPr>
            <w:rFonts w:ascii="Times New Roman" w:eastAsia="Times New Roman" w:hAnsi="Times New Roman" w:cs="Times New Roman"/>
            <w:color w:val="0000FF"/>
            <w:sz w:val="24"/>
            <w:szCs w:val="24"/>
            <w:u w:val="single"/>
          </w:rPr>
          <w:t>https://doi.org/10.3109/09638280903317849</w:t>
        </w:r>
      </w:hyperlink>
    </w:p>
    <w:p w14:paraId="51F876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Peterburs, J., Nitsch, A. M., Miltner, W. H. R., &amp; Straube, T. (2013). Impaired representation of time in schizophrenia is linked to positive symptoms and cognitive demand.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(6). </w:t>
      </w:r>
      <w:hyperlink r:id="rId4480" w:history="1">
        <w:r w:rsidRPr="001768F9">
          <w:rPr>
            <w:rFonts w:ascii="Times New Roman" w:eastAsia="Times New Roman" w:hAnsi="Times New Roman" w:cs="Times New Roman"/>
            <w:color w:val="0000FF"/>
            <w:sz w:val="24"/>
            <w:szCs w:val="24"/>
            <w:u w:val="single"/>
          </w:rPr>
          <w:t>https://doi.org/10.1371/journal.pone.0067615</w:t>
        </w:r>
      </w:hyperlink>
    </w:p>
    <w:p w14:paraId="43EC89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Péterfalvi, Á., Németh, N., Herczeg, R., Tényi, T., Miseta, A., Czéh, B., &amp; Simon, M. (2019). Examining the influence of early life stress on serum lipid profiles and cognitive functioning in depressed patients. </w:t>
      </w:r>
      <w:r w:rsidRPr="001768F9">
        <w:rPr>
          <w:rFonts w:ascii="Times New Roman" w:eastAsia="Times New Roman" w:hAnsi="Times New Roman" w:cs="Times New Roman"/>
          <w:i/>
          <w:iCs/>
          <w:sz w:val="24"/>
          <w:szCs w:val="24"/>
        </w:rPr>
        <w:t>Frontiers in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 </w:t>
      </w:r>
      <w:hyperlink r:id="rId4481" w:history="1">
        <w:r w:rsidRPr="001768F9">
          <w:rPr>
            <w:rFonts w:ascii="Times New Roman" w:eastAsia="Times New Roman" w:hAnsi="Times New Roman" w:cs="Times New Roman"/>
            <w:color w:val="0000FF"/>
            <w:sz w:val="24"/>
            <w:szCs w:val="24"/>
            <w:u w:val="single"/>
          </w:rPr>
          <w:t>https://doi.org/10.3389/fpsyg.2019.01798</w:t>
        </w:r>
      </w:hyperlink>
    </w:p>
    <w:p w14:paraId="645C6E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B. D., Ikuta, T., DeRosse, P., John, M., Burdick, K. E., Gruner, P., Prendergast, D. M., Szeszko, P. R., &amp; Malhotra, A. K. (2014). Age-related differences in white matter tract microstructure are associated with cognitive performance from childhood to adulthood.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75</w:t>
      </w:r>
      <w:r w:rsidRPr="001768F9">
        <w:rPr>
          <w:rFonts w:ascii="Times New Roman" w:eastAsia="Times New Roman" w:hAnsi="Times New Roman" w:cs="Times New Roman"/>
          <w:sz w:val="24"/>
          <w:szCs w:val="24"/>
        </w:rPr>
        <w:t xml:space="preserve">(3), 248–256. </w:t>
      </w:r>
      <w:hyperlink r:id="rId4482" w:history="1">
        <w:r w:rsidRPr="001768F9">
          <w:rPr>
            <w:rFonts w:ascii="Times New Roman" w:eastAsia="Times New Roman" w:hAnsi="Times New Roman" w:cs="Times New Roman"/>
            <w:color w:val="0000FF"/>
            <w:sz w:val="24"/>
            <w:szCs w:val="24"/>
            <w:u w:val="single"/>
          </w:rPr>
          <w:t>https://doi.org/10.1016/j.biopsych.2013.05.020</w:t>
        </w:r>
      </w:hyperlink>
    </w:p>
    <w:p w14:paraId="49106C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C., Algina, J., Smith, S. W., &amp; Daunic, A. P. (2012). Factorial validity of the behavior rating inventory of executive function (BRIEF)-teacher form. </w:t>
      </w:r>
      <w:r w:rsidRPr="001768F9">
        <w:rPr>
          <w:rFonts w:ascii="Times New Roman" w:eastAsia="Times New Roman" w:hAnsi="Times New Roman" w:cs="Times New Roman"/>
          <w:i/>
          <w:iCs/>
          <w:sz w:val="24"/>
          <w:szCs w:val="24"/>
        </w:rPr>
        <w:t>Child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(2), 168–181.</w:t>
      </w:r>
    </w:p>
    <w:p w14:paraId="162214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E., Rao, V., Bechtold, K. T., Roy, D., Sair, H. I., Leoutsakos, J.-M., Diaz-Arrastia, R., Stevens, R. D., Batty Jr., D. S., Falk, H., Fernandez, C., Ofoche, U., Vassila, A., Hall, A. J., Anderson, B., Bessman, E., Lyketsos, C. G., Everett, A. D., Van Eyk, J., &amp; Korley, F. K. (2017). Head injury serum markers for assessing response to trauma: Design of the HeadSMART study.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370–378. </w:t>
      </w:r>
      <w:hyperlink r:id="rId4483" w:history="1">
        <w:r w:rsidRPr="001768F9">
          <w:rPr>
            <w:rFonts w:ascii="Times New Roman" w:eastAsia="Times New Roman" w:hAnsi="Times New Roman" w:cs="Times New Roman"/>
            <w:color w:val="0000FF"/>
            <w:sz w:val="24"/>
            <w:szCs w:val="24"/>
            <w:u w:val="single"/>
          </w:rPr>
          <w:t>https://doi.org/10.1080/02699052.2016.1231344</w:t>
        </w:r>
      </w:hyperlink>
    </w:p>
    <w:p w14:paraId="346CD4D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Giesbrecht, T., Jelicic, M., &amp; Merckelbach, H. (2007). The random number generation task: Psychometric properties and normative data of an executive function task in a mixed sample.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626–634. </w:t>
      </w:r>
      <w:hyperlink r:id="rId4484" w:history="1">
        <w:r w:rsidRPr="001768F9">
          <w:rPr>
            <w:rFonts w:ascii="Times New Roman" w:eastAsia="Times New Roman" w:hAnsi="Times New Roman" w:cs="Times New Roman"/>
            <w:color w:val="0000FF"/>
            <w:sz w:val="24"/>
            <w:szCs w:val="24"/>
            <w:u w:val="single"/>
          </w:rPr>
          <w:t>https://doi.org/10.1017/S1355617707070786</w:t>
        </w:r>
      </w:hyperlink>
    </w:p>
    <w:p w14:paraId="4E2E3B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J. V., Cima, M. J., Smeets, T., de Vos, M., Jelicic, M., &amp; Merckelbach, H. (2007). Did I say that word or did you? Executive dysfunctions in schizophrenic patients affect memory efficiency, but not source attributions.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(5), 391–411. </w:t>
      </w:r>
      <w:hyperlink r:id="rId4485" w:history="1">
        <w:r w:rsidRPr="001768F9">
          <w:rPr>
            <w:rFonts w:ascii="Times New Roman" w:eastAsia="Times New Roman" w:hAnsi="Times New Roman" w:cs="Times New Roman"/>
            <w:color w:val="0000FF"/>
            <w:sz w:val="24"/>
            <w:szCs w:val="24"/>
            <w:u w:val="single"/>
          </w:rPr>
          <w:t>https://doi.org/10.1080/13546800701470145</w:t>
        </w:r>
      </w:hyperlink>
    </w:p>
    <w:p w14:paraId="5EB855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M. J. V., Jelicic, M., Moritz, S., Hauschildt, M., &amp; Jelinek, L. (2013). Assessing the boundaries of symptom over-reporting using the Structured Inventory of Malingered Symptomatology in a clinical schizophrenia sample: Its relation to symptomatology and neurocognitive dysfunctions. </w:t>
      </w:r>
      <w:r w:rsidRPr="001768F9">
        <w:rPr>
          <w:rFonts w:ascii="Times New Roman" w:eastAsia="Times New Roman" w:hAnsi="Times New Roman" w:cs="Times New Roman"/>
          <w:i/>
          <w:iCs/>
          <w:sz w:val="24"/>
          <w:szCs w:val="24"/>
        </w:rPr>
        <w:t>Journal of Experimental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(1), 64–77. </w:t>
      </w:r>
      <w:hyperlink r:id="rId4486" w:history="1">
        <w:r w:rsidRPr="001768F9">
          <w:rPr>
            <w:rFonts w:ascii="Times New Roman" w:eastAsia="Times New Roman" w:hAnsi="Times New Roman" w:cs="Times New Roman"/>
            <w:color w:val="0000FF"/>
            <w:sz w:val="24"/>
            <w:szCs w:val="24"/>
            <w:u w:val="single"/>
          </w:rPr>
          <w:t>https://doi.org/10.5127/jep.023811</w:t>
        </w:r>
      </w:hyperlink>
    </w:p>
    <w:p w14:paraId="60AC54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 S., Van der Meulen, M., Zanolie, K., &amp; Crone, E. A. (2017). Predicting reading and mathematics from neural activity for feedback learning. </w:t>
      </w:r>
      <w:r w:rsidRPr="001768F9">
        <w:rPr>
          <w:rFonts w:ascii="Times New Roman" w:eastAsia="Times New Roman" w:hAnsi="Times New Roman" w:cs="Times New Roman"/>
          <w:i/>
          <w:iCs/>
          <w:sz w:val="24"/>
          <w:szCs w:val="24"/>
        </w:rPr>
        <w:t>Developmental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(1), 149–159. </w:t>
      </w:r>
      <w:hyperlink r:id="rId4487" w:history="1">
        <w:r w:rsidRPr="001768F9">
          <w:rPr>
            <w:rFonts w:ascii="Times New Roman" w:eastAsia="Times New Roman" w:hAnsi="Times New Roman" w:cs="Times New Roman"/>
            <w:color w:val="0000FF"/>
            <w:sz w:val="24"/>
            <w:szCs w:val="24"/>
            <w:u w:val="single"/>
          </w:rPr>
          <w:t>https://doi.org/10.1037/dev0000234</w:t>
        </w:r>
      </w:hyperlink>
    </w:p>
    <w:p w14:paraId="4E38EFB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Peterson, D. J., Gargya, S., Kopeikin, K. S., &amp; Naveh-Benjamin, M. (2017). The impact of level of education on age-related deficits in associative memory: Behavioral and neuropsychological perspectives.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91</w:t>
      </w:r>
      <w:r w:rsidRPr="001768F9">
        <w:rPr>
          <w:rFonts w:ascii="Times New Roman" w:eastAsia="Times New Roman" w:hAnsi="Times New Roman" w:cs="Times New Roman"/>
          <w:sz w:val="24"/>
          <w:szCs w:val="24"/>
        </w:rPr>
        <w:t xml:space="preserve">, 9–24. </w:t>
      </w:r>
      <w:hyperlink r:id="rId4488" w:history="1">
        <w:r w:rsidRPr="001768F9">
          <w:rPr>
            <w:rFonts w:ascii="Times New Roman" w:eastAsia="Times New Roman" w:hAnsi="Times New Roman" w:cs="Times New Roman"/>
            <w:color w:val="0000FF"/>
            <w:sz w:val="24"/>
            <w:szCs w:val="24"/>
            <w:u w:val="single"/>
          </w:rPr>
          <w:t>https://doi.org/10.1016/j.cortex.2016.12.020</w:t>
        </w:r>
      </w:hyperlink>
    </w:p>
    <w:p w14:paraId="795170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Petersson, K. M., Forkstam, C., &amp; Ingvar, M. (2004). Artificial syntactic violations activate Broca’s region. </w:t>
      </w:r>
      <w:r w:rsidRPr="001768F9">
        <w:rPr>
          <w:rFonts w:ascii="Times New Roman" w:eastAsia="Times New Roman" w:hAnsi="Times New Roman" w:cs="Times New Roman"/>
          <w:i/>
          <w:iCs/>
          <w:sz w:val="24"/>
          <w:szCs w:val="24"/>
        </w:rPr>
        <w:t>Cognitive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(3), 383–407. </w:t>
      </w:r>
      <w:hyperlink r:id="rId4489" w:history="1">
        <w:r w:rsidRPr="001768F9">
          <w:rPr>
            <w:rFonts w:ascii="Times New Roman" w:eastAsia="Times New Roman" w:hAnsi="Times New Roman" w:cs="Times New Roman"/>
            <w:color w:val="0000FF"/>
            <w:sz w:val="24"/>
            <w:szCs w:val="24"/>
            <w:u w:val="single"/>
          </w:rPr>
          <w:t>https://doi.org/10.1016/j.cogsci.2003.12.003</w:t>
        </w:r>
      </w:hyperlink>
    </w:p>
    <w:p w14:paraId="4459F9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Petkus, A. J., Filoteo, J. V., Schiehser, D. M., Gomez, M. E., Hui, J. S., Jarrahi, B., McEwen, S., Jakowec, M. W., &amp; Petzinger, G. M. (2020). Mild cognitive impairment, psychiatric symptoms, and executive functioning in patients with Parkinson’s disease.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(4), 396–404. </w:t>
      </w:r>
      <w:hyperlink r:id="rId4490" w:history="1">
        <w:r w:rsidRPr="001768F9">
          <w:rPr>
            <w:rFonts w:ascii="Times New Roman" w:eastAsia="Times New Roman" w:hAnsi="Times New Roman" w:cs="Times New Roman"/>
            <w:color w:val="0000FF"/>
            <w:sz w:val="24"/>
            <w:szCs w:val="24"/>
            <w:u w:val="single"/>
          </w:rPr>
          <w:t>https://doi.org/10.1002/gps.5255</w:t>
        </w:r>
      </w:hyperlink>
    </w:p>
    <w:p w14:paraId="4AD0DAF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Petrican, R., Gopie, N., Leach, L., Chow, T. W., Richards, B., &amp; Moscovitch, M. (2010). Recollection and familiarity for public events in neurologically intact older adults and two brain-damaged patients.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(4), 945–960. </w:t>
      </w:r>
      <w:hyperlink r:id="rId4491" w:history="1">
        <w:r w:rsidRPr="001768F9">
          <w:rPr>
            <w:rFonts w:ascii="Times New Roman" w:eastAsia="Times New Roman" w:hAnsi="Times New Roman" w:cs="Times New Roman"/>
            <w:color w:val="0000FF"/>
            <w:sz w:val="24"/>
            <w:szCs w:val="24"/>
            <w:u w:val="single"/>
          </w:rPr>
          <w:t>https://doi.org/10.1016/j.neuropsychologia.2009.11.015</w:t>
        </w:r>
      </w:hyperlink>
    </w:p>
    <w:p w14:paraId="496CA6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Pezzuti, L., Artistico, D., Tramutolo, C., Cervone, D., &amp; Black, J. G. (2009). Assessing the efficacy of a brief everyday problem-solving training program for older adults. </w:t>
      </w:r>
      <w:r w:rsidRPr="001768F9">
        <w:rPr>
          <w:rFonts w:ascii="Times New Roman" w:eastAsia="Times New Roman" w:hAnsi="Times New Roman" w:cs="Times New Roman"/>
          <w:i/>
          <w:iCs/>
          <w:sz w:val="24"/>
          <w:szCs w:val="24"/>
        </w:rPr>
        <w:t>TPM-Testing, Psychometrics, Methodology in Applied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(3), 111–127.</w:t>
      </w:r>
    </w:p>
    <w:p w14:paraId="68347B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Pezzuti, L., Mastrantonio, E., &amp; Orsini, A. (2013). Construction and validation of an ecological version of the Wisconsin Card Sorting Test applied to an elderly population.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567–591. </w:t>
      </w:r>
      <w:hyperlink r:id="rId4492" w:history="1">
        <w:r w:rsidRPr="001768F9">
          <w:rPr>
            <w:rFonts w:ascii="Times New Roman" w:eastAsia="Times New Roman" w:hAnsi="Times New Roman" w:cs="Times New Roman"/>
            <w:color w:val="0000FF"/>
            <w:sz w:val="24"/>
            <w:szCs w:val="24"/>
            <w:u w:val="single"/>
          </w:rPr>
          <w:t>https://doi.org/10.1080/13825585.2012.761668</w:t>
        </w:r>
      </w:hyperlink>
    </w:p>
    <w:p w14:paraId="406F68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Pflueger, M. O., Calabrese, P., Studerus, E., Zimmermann, R., Gschwandtner, U., Borgwardt, S., Aston, J., Stieglitz, R.-D., &amp; Riecher-Rössler, A. (2018). The neuropsychology of emerging psychosis and the role of working memory in episodic memory encoding. </w:t>
      </w:r>
      <w:r w:rsidRPr="001768F9">
        <w:rPr>
          <w:rFonts w:ascii="Times New Roman" w:eastAsia="Times New Roman" w:hAnsi="Times New Roman" w:cs="Times New Roman"/>
          <w:i/>
          <w:iCs/>
          <w:sz w:val="24"/>
          <w:szCs w:val="24"/>
        </w:rPr>
        <w:t>Psychology Research and Behavior Management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 </w:t>
      </w:r>
      <w:hyperlink r:id="rId4493" w:history="1">
        <w:r w:rsidRPr="001768F9">
          <w:rPr>
            <w:rFonts w:ascii="Times New Roman" w:eastAsia="Times New Roman" w:hAnsi="Times New Roman" w:cs="Times New Roman"/>
            <w:color w:val="0000FF"/>
            <w:sz w:val="24"/>
            <w:szCs w:val="24"/>
            <w:u w:val="single"/>
          </w:rPr>
          <w:t>https://doi.org/10.2147/PRBM.S149425</w:t>
        </w:r>
      </w:hyperlink>
    </w:p>
    <w:p w14:paraId="0CFA6C9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Pflueger, M. O., Gschwandtner, U., Stieglitz, R.-D., &amp; Riecher-Rössler, A. (2007). Neuropsychological deficits in individuals with an at risk mental state for psychosis—Working memory as a potential trait marker.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97</w:t>
      </w:r>
      <w:r w:rsidRPr="001768F9">
        <w:rPr>
          <w:rFonts w:ascii="Times New Roman" w:eastAsia="Times New Roman" w:hAnsi="Times New Roman" w:cs="Times New Roman"/>
          <w:sz w:val="24"/>
          <w:szCs w:val="24"/>
        </w:rPr>
        <w:t xml:space="preserve">(1–3), 14–24. </w:t>
      </w:r>
      <w:hyperlink r:id="rId4494" w:history="1">
        <w:r w:rsidRPr="001768F9">
          <w:rPr>
            <w:rFonts w:ascii="Times New Roman" w:eastAsia="Times New Roman" w:hAnsi="Times New Roman" w:cs="Times New Roman"/>
            <w:color w:val="0000FF"/>
            <w:sz w:val="24"/>
            <w:szCs w:val="24"/>
            <w:u w:val="single"/>
          </w:rPr>
          <w:t>https://doi.org/10.1016/j.schres.2007.09.003</w:t>
        </w:r>
      </w:hyperlink>
    </w:p>
    <w:p w14:paraId="7E23C1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Pham, T. H., Vanderstukken, O., Philippot, P., &amp; Vanderlinden, M. (2003). Selective Attention and Executive Functions Deficits Among Criminal Psychopaths. </w:t>
      </w:r>
      <w:r w:rsidRPr="001768F9">
        <w:rPr>
          <w:rFonts w:ascii="Times New Roman" w:eastAsia="Times New Roman" w:hAnsi="Times New Roman" w:cs="Times New Roman"/>
          <w:i/>
          <w:iCs/>
          <w:sz w:val="24"/>
          <w:szCs w:val="24"/>
        </w:rPr>
        <w:t>Aggressive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(5), 393–405. </w:t>
      </w:r>
      <w:hyperlink r:id="rId4495" w:history="1">
        <w:r w:rsidRPr="001768F9">
          <w:rPr>
            <w:rFonts w:ascii="Times New Roman" w:eastAsia="Times New Roman" w:hAnsi="Times New Roman" w:cs="Times New Roman"/>
            <w:color w:val="0000FF"/>
            <w:sz w:val="24"/>
            <w:szCs w:val="24"/>
            <w:u w:val="single"/>
          </w:rPr>
          <w:t>https://doi.org/10.1002/ab.10051</w:t>
        </w:r>
      </w:hyperlink>
    </w:p>
    <w:p w14:paraId="3CC163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Pharo, H., Sim, C., Graham, M., Gross, J., &amp; Hayne, H. (2011). Risky business: Executive function, personality, and reckless behavior during adolescence and emerging adulthood.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125</w:t>
      </w:r>
      <w:r w:rsidRPr="001768F9">
        <w:rPr>
          <w:rFonts w:ascii="Times New Roman" w:eastAsia="Times New Roman" w:hAnsi="Times New Roman" w:cs="Times New Roman"/>
          <w:sz w:val="24"/>
          <w:szCs w:val="24"/>
        </w:rPr>
        <w:t xml:space="preserve">(6), 970–978. </w:t>
      </w:r>
      <w:hyperlink r:id="rId4496" w:history="1">
        <w:r w:rsidRPr="001768F9">
          <w:rPr>
            <w:rFonts w:ascii="Times New Roman" w:eastAsia="Times New Roman" w:hAnsi="Times New Roman" w:cs="Times New Roman"/>
            <w:color w:val="0000FF"/>
            <w:sz w:val="24"/>
            <w:szCs w:val="24"/>
            <w:u w:val="single"/>
          </w:rPr>
          <w:t>https://doi.org/10.1037/a0025768</w:t>
        </w:r>
      </w:hyperlink>
    </w:p>
    <w:p w14:paraId="621794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Phatak, V. S., Kamath, V., &amp; Fujii, D. (2011). Neuropsychology of Asian Indians. </w:t>
      </w:r>
      <w:r w:rsidRPr="001768F9">
        <w:rPr>
          <w:rFonts w:ascii="Times New Roman" w:eastAsia="Times New Roman" w:hAnsi="Times New Roman" w:cs="Times New Roman"/>
          <w:i/>
          <w:iCs/>
          <w:sz w:val="24"/>
          <w:szCs w:val="24"/>
        </w:rPr>
        <w:t>The Neuropsychology of Asian Americans.</w:t>
      </w:r>
      <w:r w:rsidRPr="001768F9">
        <w:rPr>
          <w:rFonts w:ascii="Times New Roman" w:eastAsia="Times New Roman" w:hAnsi="Times New Roman" w:cs="Times New Roman"/>
          <w:sz w:val="24"/>
          <w:szCs w:val="24"/>
        </w:rPr>
        <w:t>, 89–105.</w:t>
      </w:r>
    </w:p>
    <w:p w14:paraId="3DAB55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Philip, N., &amp; Bassett, A. (2011). Cognitive, behavioural and psychiatric phenotype in 22q11.2 deletion syndrome. </w:t>
      </w:r>
      <w:r w:rsidRPr="001768F9">
        <w:rPr>
          <w:rFonts w:ascii="Times New Roman" w:eastAsia="Times New Roman" w:hAnsi="Times New Roman" w:cs="Times New Roman"/>
          <w:i/>
          <w:iCs/>
          <w:sz w:val="24"/>
          <w:szCs w:val="24"/>
        </w:rPr>
        <w:t>Behavior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(3), 403–412. </w:t>
      </w:r>
      <w:hyperlink r:id="rId4497" w:history="1">
        <w:r w:rsidRPr="001768F9">
          <w:rPr>
            <w:rFonts w:ascii="Times New Roman" w:eastAsia="Times New Roman" w:hAnsi="Times New Roman" w:cs="Times New Roman"/>
            <w:color w:val="0000FF"/>
            <w:sz w:val="24"/>
            <w:szCs w:val="24"/>
            <w:u w:val="single"/>
          </w:rPr>
          <w:t>https://doi.org/10.1007/s10519-011-9468-z</w:t>
        </w:r>
      </w:hyperlink>
    </w:p>
    <w:p w14:paraId="70F3F7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Philipp, A. M., Weidner, R., Koch, I., &amp; Fink, G. R. (2013). Differential roles of inferior frontal and inferior parietal cortex in task switching: Evidence from stimulus-categorization switching and response-modality switching.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(8), 1910–1920. </w:t>
      </w:r>
      <w:hyperlink r:id="rId4498" w:history="1">
        <w:r w:rsidRPr="001768F9">
          <w:rPr>
            <w:rFonts w:ascii="Times New Roman" w:eastAsia="Times New Roman" w:hAnsi="Times New Roman" w:cs="Times New Roman"/>
            <w:color w:val="0000FF"/>
            <w:sz w:val="24"/>
            <w:szCs w:val="24"/>
            <w:u w:val="single"/>
          </w:rPr>
          <w:t>https://doi.org/10.1002/hbm.22036</w:t>
        </w:r>
      </w:hyperlink>
    </w:p>
    <w:p w14:paraId="5A5EB7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Phillipou, A., Kirkovski, M., Castle, D. J., Gurvich, C., Abel, L. A., Miles, S., &amp; Rossell, S. L. (2019). High‐definition transcranial direct current stimulation in anorexia nervosa: A pilot study. </w:t>
      </w:r>
      <w:r w:rsidRPr="001768F9">
        <w:rPr>
          <w:rFonts w:ascii="Times New Roman" w:eastAsia="Times New Roman" w:hAnsi="Times New Roman" w:cs="Times New Roman"/>
          <w:i/>
          <w:iCs/>
          <w:sz w:val="24"/>
          <w:szCs w:val="24"/>
        </w:rPr>
        <w:t>International Journal of Eating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(11), 1274–1280. </w:t>
      </w:r>
      <w:hyperlink r:id="rId4499" w:history="1">
        <w:r w:rsidRPr="001768F9">
          <w:rPr>
            <w:rFonts w:ascii="Times New Roman" w:eastAsia="Times New Roman" w:hAnsi="Times New Roman" w:cs="Times New Roman"/>
            <w:color w:val="0000FF"/>
            <w:sz w:val="24"/>
            <w:szCs w:val="24"/>
            <w:u w:val="single"/>
          </w:rPr>
          <w:t>https://doi.org/10.1002/eat.23146</w:t>
        </w:r>
      </w:hyperlink>
    </w:p>
    <w:p w14:paraId="7EA79D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Phillips, B. A., Conners, F. A., Merrill, E., &amp; Klinger, M. R. (2014). Rule-based category learning in Down syndrome. </w:t>
      </w:r>
      <w:r w:rsidRPr="001768F9">
        <w:rPr>
          <w:rFonts w:ascii="Times New Roman" w:eastAsia="Times New Roman" w:hAnsi="Times New Roman" w:cs="Times New Roman"/>
          <w:i/>
          <w:iCs/>
          <w:sz w:val="24"/>
          <w:szCs w:val="24"/>
        </w:rPr>
        <w:t>American Journal on Intellectual and Developmental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(3), 220–234. </w:t>
      </w:r>
      <w:hyperlink r:id="rId4500" w:history="1">
        <w:r w:rsidRPr="001768F9">
          <w:rPr>
            <w:rFonts w:ascii="Times New Roman" w:eastAsia="Times New Roman" w:hAnsi="Times New Roman" w:cs="Times New Roman"/>
            <w:color w:val="0000FF"/>
            <w:sz w:val="24"/>
            <w:szCs w:val="24"/>
            <w:u w:val="single"/>
          </w:rPr>
          <w:t>https://doi.org/10.1352/1944-7558-119.3.220</w:t>
        </w:r>
      </w:hyperlink>
    </w:p>
    <w:p w14:paraId="7F56415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Piatt, A. L. (1998). </w:t>
      </w:r>
      <w:r w:rsidRPr="001768F9">
        <w:rPr>
          <w:rFonts w:ascii="Times New Roman" w:eastAsia="Times New Roman" w:hAnsi="Times New Roman" w:cs="Times New Roman"/>
          <w:i/>
          <w:iCs/>
          <w:sz w:val="24"/>
          <w:szCs w:val="24"/>
        </w:rPr>
        <w:t>The relationship of executive functioning and moral reasoning to treatment retention and outcome among urban cocaine abusers.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(8-B), 4465–4465.</w:t>
      </w:r>
    </w:p>
    <w:p w14:paraId="2B156E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Piazzini, A., Turner, K., Vignoli, A., Canger, R., &amp; Canevini, M. P. (2008). Frontal cognitive dysfunction in juvenile myoclonic epilepsy. </w:t>
      </w:r>
      <w:r w:rsidRPr="001768F9">
        <w:rPr>
          <w:rFonts w:ascii="Times New Roman" w:eastAsia="Times New Roman" w:hAnsi="Times New Roman" w:cs="Times New Roman"/>
          <w:i/>
          <w:iCs/>
          <w:sz w:val="24"/>
          <w:szCs w:val="24"/>
        </w:rPr>
        <w:t>Epilepsia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49</w:t>
      </w:r>
      <w:r w:rsidRPr="001768F9">
        <w:rPr>
          <w:rFonts w:ascii="Times New Roman" w:eastAsia="Times New Roman" w:hAnsi="Times New Roman" w:cs="Times New Roman"/>
          <w:sz w:val="24"/>
          <w:szCs w:val="24"/>
        </w:rPr>
        <w:t xml:space="preserve">(4), 657–662. </w:t>
      </w:r>
      <w:hyperlink r:id="rId4501" w:history="1">
        <w:r w:rsidRPr="001768F9">
          <w:rPr>
            <w:rFonts w:ascii="Times New Roman" w:eastAsia="Times New Roman" w:hAnsi="Times New Roman" w:cs="Times New Roman"/>
            <w:color w:val="0000FF"/>
            <w:sz w:val="24"/>
            <w:szCs w:val="24"/>
            <w:u w:val="single"/>
          </w:rPr>
          <w:t>https://doi.org/10.1111/j.1528-1167.2007.01482.x</w:t>
        </w:r>
      </w:hyperlink>
    </w:p>
    <w:p w14:paraId="703006B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Picchioni, M. M., &amp; Dazzan, P. (2007). Neurological abnormalities in schizophrenia. </w:t>
      </w:r>
      <w:r w:rsidRPr="001768F9">
        <w:rPr>
          <w:rFonts w:ascii="Times New Roman" w:eastAsia="Times New Roman" w:hAnsi="Times New Roman" w:cs="Times New Roman"/>
          <w:i/>
          <w:iCs/>
          <w:sz w:val="24"/>
          <w:szCs w:val="24"/>
        </w:rPr>
        <w:t>Directions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(2), 113–127.</w:t>
      </w:r>
    </w:p>
    <w:p w14:paraId="7D7E82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Piccinelli, P., Beghi, E., Borgatti, R., Ferri, M., Giordano, L., Romeo, A., Termine, C., Viri, M., Zucca, C., &amp; Balottin, U. (2010). Neuropsychological and behavioural aspects in children and adolescents with idiopathic epilepsy at diagnosis and after 12 months of treatment. </w:t>
      </w:r>
      <w:r w:rsidRPr="001768F9">
        <w:rPr>
          <w:rFonts w:ascii="Times New Roman" w:eastAsia="Times New Roman" w:hAnsi="Times New Roman" w:cs="Times New Roman"/>
          <w:i/>
          <w:iCs/>
          <w:sz w:val="24"/>
          <w:szCs w:val="24"/>
        </w:rPr>
        <w:t>Seizure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(9), 540–546. </w:t>
      </w:r>
      <w:hyperlink r:id="rId4502" w:history="1">
        <w:r w:rsidRPr="001768F9">
          <w:rPr>
            <w:rFonts w:ascii="Times New Roman" w:eastAsia="Times New Roman" w:hAnsi="Times New Roman" w:cs="Times New Roman"/>
            <w:color w:val="0000FF"/>
            <w:sz w:val="24"/>
            <w:szCs w:val="24"/>
            <w:u w:val="single"/>
          </w:rPr>
          <w:t>https://doi.org/10.1016/j.seizure.2010.07.014</w:t>
        </w:r>
      </w:hyperlink>
    </w:p>
    <w:p w14:paraId="7971C6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Pickering-Brown, S. M., Baker, M., Nonaka, T., Ikeda, K., Sharma, S., Mackenzie, J., Simpson, S. A., Moore, J. W., Snowden, J. S., de Silva, R., Revesz, T., Hasegawa, M., Hutton, M., &amp; Mann, D. M. A. (2004). Frontotemporal dementia with Pick-type histology associated with Q336R mutation in the tau gene.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127</w:t>
      </w:r>
      <w:r w:rsidRPr="001768F9">
        <w:rPr>
          <w:rFonts w:ascii="Times New Roman" w:eastAsia="Times New Roman" w:hAnsi="Times New Roman" w:cs="Times New Roman"/>
          <w:sz w:val="24"/>
          <w:szCs w:val="24"/>
        </w:rPr>
        <w:t xml:space="preserve">(6), 1415–1426. </w:t>
      </w:r>
      <w:hyperlink r:id="rId4503" w:history="1">
        <w:r w:rsidRPr="001768F9">
          <w:rPr>
            <w:rFonts w:ascii="Times New Roman" w:eastAsia="Times New Roman" w:hAnsi="Times New Roman" w:cs="Times New Roman"/>
            <w:color w:val="0000FF"/>
            <w:sz w:val="24"/>
            <w:szCs w:val="24"/>
            <w:u w:val="single"/>
          </w:rPr>
          <w:t>https://doi.org/10.1093/brain/awh147</w:t>
        </w:r>
      </w:hyperlink>
    </w:p>
    <w:p w14:paraId="1CD4D3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Piech, R. M., Hampshire, A., Owen, A. M., &amp; Parkinson, J. A. (2009). Modulation of cognitive flexibility by hunger and desire. </w:t>
      </w:r>
      <w:r w:rsidRPr="001768F9">
        <w:rPr>
          <w:rFonts w:ascii="Times New Roman" w:eastAsia="Times New Roman" w:hAnsi="Times New Roman" w:cs="Times New Roman"/>
          <w:i/>
          <w:iCs/>
          <w:sz w:val="24"/>
          <w:szCs w:val="24"/>
        </w:rPr>
        <w:t>Cognition and 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528–540. </w:t>
      </w:r>
      <w:hyperlink r:id="rId4504" w:history="1">
        <w:r w:rsidRPr="001768F9">
          <w:rPr>
            <w:rFonts w:ascii="Times New Roman" w:eastAsia="Times New Roman" w:hAnsi="Times New Roman" w:cs="Times New Roman"/>
            <w:color w:val="0000FF"/>
            <w:sz w:val="24"/>
            <w:szCs w:val="24"/>
            <w:u w:val="single"/>
          </w:rPr>
          <w:t>https://doi.org/10.1080/02699930802012153</w:t>
        </w:r>
      </w:hyperlink>
    </w:p>
    <w:p w14:paraId="2BCC5C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Piechowski, L. D. (2013). Evaluation of workplace disability. In R. Roesch, P. A. Zapf, R. Roesch  (Ed), &amp; P. A. Zapf  (Ed) (Eds.), </w:t>
      </w:r>
      <w:r w:rsidRPr="001768F9">
        <w:rPr>
          <w:rFonts w:ascii="Times New Roman" w:eastAsia="Times New Roman" w:hAnsi="Times New Roman" w:cs="Times New Roman"/>
          <w:i/>
          <w:iCs/>
          <w:sz w:val="24"/>
          <w:szCs w:val="24"/>
        </w:rPr>
        <w:t>Forensic assessments in criminal and civil law: A handbook for lawyers.</w:t>
      </w:r>
      <w:r w:rsidRPr="001768F9">
        <w:rPr>
          <w:rFonts w:ascii="Times New Roman" w:eastAsia="Times New Roman" w:hAnsi="Times New Roman" w:cs="Times New Roman"/>
          <w:sz w:val="24"/>
          <w:szCs w:val="24"/>
        </w:rPr>
        <w:t xml:space="preserve"> (pp. 191–204). Oxford University Press. </w:t>
      </w:r>
      <w:hyperlink r:id="rId4505" w:history="1">
        <w:r w:rsidRPr="001768F9">
          <w:rPr>
            <w:rFonts w:ascii="Times New Roman" w:eastAsia="Times New Roman" w:hAnsi="Times New Roman" w:cs="Times New Roman"/>
            <w:color w:val="0000FF"/>
            <w:sz w:val="24"/>
            <w:szCs w:val="24"/>
            <w:u w:val="single"/>
          </w:rPr>
          <w:t>http://search.ebscohost.com/login.aspx?direct=true&amp;db=psyh&amp;AN=2012-23822-014&amp;site=ehost-live</w:t>
        </w:r>
      </w:hyperlink>
    </w:p>
    <w:p w14:paraId="5A043A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Pierson, E. E., &amp; House, A. E. (2013). A case study: Sex chromosome aneuploidies. In </w:t>
      </w:r>
      <w:r w:rsidRPr="001768F9">
        <w:rPr>
          <w:rFonts w:ascii="Times New Roman" w:eastAsia="Times New Roman" w:hAnsi="Times New Roman" w:cs="Times New Roman"/>
          <w:i/>
          <w:iCs/>
          <w:sz w:val="24"/>
          <w:szCs w:val="24"/>
        </w:rPr>
        <w:t>Psychopathology of childhood and adolescence: A neuropsychological approach.</w:t>
      </w:r>
      <w:r w:rsidRPr="001768F9">
        <w:rPr>
          <w:rFonts w:ascii="Times New Roman" w:eastAsia="Times New Roman" w:hAnsi="Times New Roman" w:cs="Times New Roman"/>
          <w:sz w:val="24"/>
          <w:szCs w:val="24"/>
        </w:rPr>
        <w:t xml:space="preserve"> (pp. 602–606). Springer Publishing Company.</w:t>
      </w:r>
    </w:p>
    <w:p w14:paraId="6F4F3C8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Pieruccini-Faria, F., Lord, S. R., Toson, B., Kemmler, W., &amp; Schoene, D. (2019). Mental flexibility influences the association between poor balance and falls in older people—A secondary analysis. </w:t>
      </w:r>
      <w:r w:rsidRPr="001768F9">
        <w:rPr>
          <w:rFonts w:ascii="Times New Roman" w:eastAsia="Times New Roman" w:hAnsi="Times New Roman" w:cs="Times New Roman"/>
          <w:i/>
          <w:iCs/>
          <w:sz w:val="24"/>
          <w:szCs w:val="24"/>
        </w:rPr>
        <w:t>Frontiers in Aging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 </w:t>
      </w:r>
      <w:hyperlink r:id="rId4506" w:history="1">
        <w:r w:rsidRPr="001768F9">
          <w:rPr>
            <w:rFonts w:ascii="Times New Roman" w:eastAsia="Times New Roman" w:hAnsi="Times New Roman" w:cs="Times New Roman"/>
            <w:color w:val="0000FF"/>
            <w:sz w:val="24"/>
            <w:szCs w:val="24"/>
            <w:u w:val="single"/>
          </w:rPr>
          <w:t>https://doi.org/10.3389/fnagi.2019.00133</w:t>
        </w:r>
      </w:hyperlink>
    </w:p>
    <w:p w14:paraId="4DD10F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Pietrefesa, A. S., &amp; Evans, D. W. (2007). Affective and neuropsychological correlates of children’s rituals and compulsive-like behaviors: Continuities and discontinuities with obsessive-compulsive disorder.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(1), 36–46. </w:t>
      </w:r>
      <w:hyperlink r:id="rId4507" w:history="1">
        <w:r w:rsidRPr="001768F9">
          <w:rPr>
            <w:rFonts w:ascii="Times New Roman" w:eastAsia="Times New Roman" w:hAnsi="Times New Roman" w:cs="Times New Roman"/>
            <w:color w:val="0000FF"/>
            <w:sz w:val="24"/>
            <w:szCs w:val="24"/>
            <w:u w:val="single"/>
          </w:rPr>
          <w:t>https://doi.org/10.1016/j.bandc.2006.02.007</w:t>
        </w:r>
      </w:hyperlink>
    </w:p>
    <w:p w14:paraId="685658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Pigato, G., Roiter, B., Cecchin, D., Morbelli, S., Tenconi, E., Minelli, A., &amp; Bortolomasi, M. (2016). Electroconvulsive therapy in a patient with chronic catatonia: Clinical outcomes and cerebral </w:t>
      </w:r>
      <w:r w:rsidRPr="001768F9">
        <w:rPr>
          <w:rFonts w:ascii="Times New Roman" w:eastAsia="Times New Roman" w:hAnsi="Times New Roman" w:cs="Times New Roman"/>
          <w:sz w:val="24"/>
          <w:szCs w:val="24"/>
          <w:vertAlign w:val="superscript"/>
        </w:rPr>
        <w:t>18</w:t>
      </w:r>
      <w:r w:rsidRPr="001768F9">
        <w:rPr>
          <w:rFonts w:ascii="Times New Roman" w:eastAsia="Times New Roman" w:hAnsi="Times New Roman" w:cs="Times New Roman"/>
          <w:sz w:val="24"/>
          <w:szCs w:val="24"/>
        </w:rPr>
        <w:t xml:space="preserve">[F]fludeoxyglucose positron emission tomography findings. </w:t>
      </w:r>
      <w:r w:rsidRPr="001768F9">
        <w:rPr>
          <w:rFonts w:ascii="Times New Roman" w:eastAsia="Times New Roman" w:hAnsi="Times New Roman" w:cs="Times New Roman"/>
          <w:i/>
          <w:iCs/>
          <w:sz w:val="24"/>
          <w:szCs w:val="24"/>
        </w:rPr>
        <w:t>The Journal of ECT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(4), 222–223. </w:t>
      </w:r>
      <w:hyperlink r:id="rId4508" w:history="1">
        <w:r w:rsidRPr="001768F9">
          <w:rPr>
            <w:rFonts w:ascii="Times New Roman" w:eastAsia="Times New Roman" w:hAnsi="Times New Roman" w:cs="Times New Roman"/>
            <w:color w:val="0000FF"/>
            <w:sz w:val="24"/>
            <w:szCs w:val="24"/>
            <w:u w:val="single"/>
          </w:rPr>
          <w:t>https://doi.org/10.1097/YCT.0000000000000333</w:t>
        </w:r>
      </w:hyperlink>
    </w:p>
    <w:p w14:paraId="539683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Piguet, O., Grayson, D. A., Tate, R. L., Bennett, H. P., Lye, T. C., Creasey, H., Brooks, W. S., &amp; Broe, G. A. (2005). A model of executive functions in very old community dwellers: Evidence from the Sydney Older Persons Study.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 27–37. </w:t>
      </w:r>
      <w:hyperlink r:id="rId4509" w:history="1">
        <w:r w:rsidRPr="001768F9">
          <w:rPr>
            <w:rFonts w:ascii="Times New Roman" w:eastAsia="Times New Roman" w:hAnsi="Times New Roman" w:cs="Times New Roman"/>
            <w:color w:val="0000FF"/>
            <w:sz w:val="24"/>
            <w:szCs w:val="24"/>
            <w:u w:val="single"/>
          </w:rPr>
          <w:t>https://doi.org/10.1016/S0010-9452(08)70175-8</w:t>
        </w:r>
      </w:hyperlink>
    </w:p>
    <w:p w14:paraId="503ECA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Pihet, S., Suter, M., Halfon, O., &amp; Stephan, P. (2012). Profile of male adolescents with conduct disorder on intellectual efficacy, cognitive flexibility, cognitive coping, impulsivity and alexithymia: A comparison with high-risk controls. </w:t>
      </w:r>
      <w:r w:rsidRPr="001768F9">
        <w:rPr>
          <w:rFonts w:ascii="Times New Roman" w:eastAsia="Times New Roman" w:hAnsi="Times New Roman" w:cs="Times New Roman"/>
          <w:i/>
          <w:iCs/>
          <w:sz w:val="24"/>
          <w:szCs w:val="24"/>
        </w:rPr>
        <w:t>The European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215–226. </w:t>
      </w:r>
      <w:hyperlink r:id="rId4510" w:history="1">
        <w:r w:rsidRPr="001768F9">
          <w:rPr>
            <w:rFonts w:ascii="Times New Roman" w:eastAsia="Times New Roman" w:hAnsi="Times New Roman" w:cs="Times New Roman"/>
            <w:color w:val="0000FF"/>
            <w:sz w:val="24"/>
            <w:szCs w:val="24"/>
            <w:u w:val="single"/>
          </w:rPr>
          <w:t>https://doi.org/10.4321/S0213-61632012000400001</w:t>
        </w:r>
      </w:hyperlink>
    </w:p>
    <w:p w14:paraId="13DBCE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Pillet, B., Morvan, Y., Todd, A., Franck, N., Duboc, C., Grosz, A., Launay, C., Demily, C., Gaillard, R., Krebs, M.-O., &amp; Amado, I. (2015). Cognitive remediation therapy (CRT) benefits more to patients with schizophrenia with low initial memory performances. </w:t>
      </w:r>
      <w:r w:rsidRPr="001768F9">
        <w:rPr>
          <w:rFonts w:ascii="Times New Roman" w:eastAsia="Times New Roman" w:hAnsi="Times New Roman" w:cs="Times New Roman"/>
          <w:i/>
          <w:iCs/>
          <w:sz w:val="24"/>
          <w:szCs w:val="24"/>
        </w:rPr>
        <w:t>Disability and Rehabilitation: An International, Multidisciplinary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(10), 846–853. </w:t>
      </w:r>
      <w:hyperlink r:id="rId4511" w:history="1">
        <w:r w:rsidRPr="001768F9">
          <w:rPr>
            <w:rFonts w:ascii="Times New Roman" w:eastAsia="Times New Roman" w:hAnsi="Times New Roman" w:cs="Times New Roman"/>
            <w:color w:val="0000FF"/>
            <w:sz w:val="24"/>
            <w:szCs w:val="24"/>
            <w:u w:val="single"/>
          </w:rPr>
          <w:t>https://doi.org/10.3109/09638288.2014.946153</w:t>
        </w:r>
      </w:hyperlink>
    </w:p>
    <w:p w14:paraId="7287AE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Pillon, B., Ardouin, C., Dujardin, K., Vittini, P., Pelissolo, A., Cottencin, O., Vercueil, L., Houeto, J.-L., Krystkowiak, P., Agid, Y., Destée, A., Pollak, P., &amp; Vidailhet, M. (2006). Preservation of cognitive function in dystonia treated by pallidal stimulation.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(10), 1556–1558. </w:t>
      </w:r>
      <w:hyperlink r:id="rId4512" w:history="1">
        <w:r w:rsidRPr="001768F9">
          <w:rPr>
            <w:rFonts w:ascii="Times New Roman" w:eastAsia="Times New Roman" w:hAnsi="Times New Roman" w:cs="Times New Roman"/>
            <w:color w:val="0000FF"/>
            <w:sz w:val="24"/>
            <w:szCs w:val="24"/>
            <w:u w:val="single"/>
          </w:rPr>
          <w:t>https://doi.org/10.1212/01.wnl.0000216131.41563.24</w:t>
        </w:r>
      </w:hyperlink>
    </w:p>
    <w:p w14:paraId="5A38AF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Pimontel, M. A., Culang‐Reinlieb, M. E., Morimoto, S. S., &amp; Sneed, J. R. (2012). Executive dysfunction and treatment response in late‐life depression.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(9), 893–899. </w:t>
      </w:r>
      <w:hyperlink r:id="rId4513" w:history="1">
        <w:r w:rsidRPr="001768F9">
          <w:rPr>
            <w:rFonts w:ascii="Times New Roman" w:eastAsia="Times New Roman" w:hAnsi="Times New Roman" w:cs="Times New Roman"/>
            <w:color w:val="0000FF"/>
            <w:sz w:val="24"/>
            <w:szCs w:val="24"/>
            <w:u w:val="single"/>
          </w:rPr>
          <w:t>https://doi.org/10.1002/gps.2808</w:t>
        </w:r>
      </w:hyperlink>
    </w:p>
    <w:p w14:paraId="4BA719B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Pimontel, M. A., Rindskopf, D., Rutherford, B. R., Brown, P. J., Roose, S. P., &amp; Sneed, J. R. (2016). A meta-analysis of executive dysfunction and antidepressant treatment response in late-life depression.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31–41. </w:t>
      </w:r>
      <w:hyperlink r:id="rId4514" w:history="1">
        <w:r w:rsidRPr="001768F9">
          <w:rPr>
            <w:rFonts w:ascii="Times New Roman" w:eastAsia="Times New Roman" w:hAnsi="Times New Roman" w:cs="Times New Roman"/>
            <w:color w:val="0000FF"/>
            <w:sz w:val="24"/>
            <w:szCs w:val="24"/>
            <w:u w:val="single"/>
          </w:rPr>
          <w:t>https://doi.org/10.1016/j.jagp.2015.05.010</w:t>
        </w:r>
      </w:hyperlink>
    </w:p>
    <w:p w14:paraId="64924C8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Pina-Camacho, L., Garcia-Prieto, J., Parellada, M., Castro-Fornieles, J., Gonzalez-Pinto, A. M., Bombin, I., Graell, M., Paya, B., Rapado-Castro, M., Janssen, J., Baeza, I., Del Pozo, F., Desco, M., &amp; Arango, C. (2015). Predictors of schizophrenia spectrum disorders in early-onset first episodes of psychosis: A support vector machine model. </w:t>
      </w:r>
      <w:r w:rsidRPr="001768F9">
        <w:rPr>
          <w:rFonts w:ascii="Times New Roman" w:eastAsia="Times New Roman" w:hAnsi="Times New Roman" w:cs="Times New Roman"/>
          <w:i/>
          <w:iCs/>
          <w:sz w:val="24"/>
          <w:szCs w:val="24"/>
        </w:rPr>
        <w:t>European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427–440. </w:t>
      </w:r>
      <w:hyperlink r:id="rId4515" w:history="1">
        <w:r w:rsidRPr="001768F9">
          <w:rPr>
            <w:rFonts w:ascii="Times New Roman" w:eastAsia="Times New Roman" w:hAnsi="Times New Roman" w:cs="Times New Roman"/>
            <w:color w:val="0000FF"/>
            <w:sz w:val="24"/>
            <w:szCs w:val="24"/>
            <w:u w:val="single"/>
          </w:rPr>
          <w:t>https://doi.org/10.1007/s00787-014-0593-0</w:t>
        </w:r>
      </w:hyperlink>
    </w:p>
    <w:p w14:paraId="5B8FE3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Pineau, F., Roze, E., Lacomblez, L., Bonnet, A.-M., Vidailhet, M., Czernecki, V., &amp; Corvol, J.-C. (2016). Executive functioning and risk-taking behavior in Parkinson’s disease patients with impulse control disorders. </w:t>
      </w:r>
      <w:r w:rsidRPr="001768F9">
        <w:rPr>
          <w:rFonts w:ascii="Times New Roman" w:eastAsia="Times New Roman" w:hAnsi="Times New Roman" w:cs="Times New Roman"/>
          <w:i/>
          <w:iCs/>
          <w:sz w:val="24"/>
          <w:szCs w:val="24"/>
        </w:rPr>
        <w:t>Journal of Neural Transmission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(6), 573–581. </w:t>
      </w:r>
      <w:hyperlink r:id="rId4516" w:history="1">
        <w:r w:rsidRPr="001768F9">
          <w:rPr>
            <w:rFonts w:ascii="Times New Roman" w:eastAsia="Times New Roman" w:hAnsi="Times New Roman" w:cs="Times New Roman"/>
            <w:color w:val="0000FF"/>
            <w:sz w:val="24"/>
            <w:szCs w:val="24"/>
            <w:u w:val="single"/>
          </w:rPr>
          <w:t>https://doi.org/10.1007/s00702-016-1549-y</w:t>
        </w:r>
      </w:hyperlink>
    </w:p>
    <w:p w14:paraId="3A284D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Pineda, D. A., &amp; Merchan, V. (2003). Executive function in young Colombian adults. </w:t>
      </w:r>
      <w:r w:rsidRPr="001768F9">
        <w:rPr>
          <w:rFonts w:ascii="Times New Roman" w:eastAsia="Times New Roman" w:hAnsi="Times New Roman" w:cs="Times New Roman"/>
          <w:i/>
          <w:iCs/>
          <w:sz w:val="24"/>
          <w:szCs w:val="24"/>
        </w:rPr>
        <w:t>International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113</w:t>
      </w:r>
      <w:r w:rsidRPr="001768F9">
        <w:rPr>
          <w:rFonts w:ascii="Times New Roman" w:eastAsia="Times New Roman" w:hAnsi="Times New Roman" w:cs="Times New Roman"/>
          <w:sz w:val="24"/>
          <w:szCs w:val="24"/>
        </w:rPr>
        <w:t xml:space="preserve">(3), 397–410. </w:t>
      </w:r>
      <w:hyperlink r:id="rId4517" w:history="1">
        <w:r w:rsidRPr="001768F9">
          <w:rPr>
            <w:rFonts w:ascii="Times New Roman" w:eastAsia="Times New Roman" w:hAnsi="Times New Roman" w:cs="Times New Roman"/>
            <w:color w:val="0000FF"/>
            <w:sz w:val="24"/>
            <w:szCs w:val="24"/>
            <w:u w:val="single"/>
          </w:rPr>
          <w:t>https://doi.org/10.1080/00207450390162164</w:t>
        </w:r>
      </w:hyperlink>
    </w:p>
    <w:p w14:paraId="373D5C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Pineda, D., Ardila, A., Rosselli, M., Cadavid, C., Mancheno, S., &amp; Mejia, S. (1998). Executive dysfunctions in children with attention deficit hyperactivity disorder. </w:t>
      </w:r>
      <w:r w:rsidRPr="001768F9">
        <w:rPr>
          <w:rFonts w:ascii="Times New Roman" w:eastAsia="Times New Roman" w:hAnsi="Times New Roman" w:cs="Times New Roman"/>
          <w:i/>
          <w:iCs/>
          <w:sz w:val="24"/>
          <w:szCs w:val="24"/>
        </w:rPr>
        <w:t>International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96</w:t>
      </w:r>
      <w:r w:rsidRPr="001768F9">
        <w:rPr>
          <w:rFonts w:ascii="Times New Roman" w:eastAsia="Times New Roman" w:hAnsi="Times New Roman" w:cs="Times New Roman"/>
          <w:sz w:val="24"/>
          <w:szCs w:val="24"/>
        </w:rPr>
        <w:t xml:space="preserve">(3–4), 177–196. </w:t>
      </w:r>
      <w:hyperlink r:id="rId4518" w:history="1">
        <w:r w:rsidRPr="001768F9">
          <w:rPr>
            <w:rFonts w:ascii="Times New Roman" w:eastAsia="Times New Roman" w:hAnsi="Times New Roman" w:cs="Times New Roman"/>
            <w:color w:val="0000FF"/>
            <w:sz w:val="24"/>
            <w:szCs w:val="24"/>
            <w:u w:val="single"/>
          </w:rPr>
          <w:t>https://doi.org/10.3109/00207459808986466</w:t>
        </w:r>
      </w:hyperlink>
    </w:p>
    <w:p w14:paraId="48091E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Pino Muñoz, M., &amp; Arán Filippetti, V. (2021). Confirmatory factor analysis of the BRIEF-2 parent and teacher form: Relationship to performance-based measures of executive functions and academic achievement.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219–233. </w:t>
      </w:r>
      <w:hyperlink r:id="rId4519" w:history="1">
        <w:r w:rsidRPr="001768F9">
          <w:rPr>
            <w:rFonts w:ascii="Times New Roman" w:eastAsia="Times New Roman" w:hAnsi="Times New Roman" w:cs="Times New Roman"/>
            <w:color w:val="0000FF"/>
            <w:sz w:val="24"/>
            <w:szCs w:val="24"/>
            <w:u w:val="single"/>
          </w:rPr>
          <w:t>https://doi.org/10.1080/21622965.2019.1660984</w:t>
        </w:r>
      </w:hyperlink>
    </w:p>
    <w:p w14:paraId="20F53B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Pino, O., Guilera, G., Rojo, J. E., Gómez-Benito, J., Bernardo, M., Crespo-Facorro, B., Cuesta, M. J., Franco, M., Martinez-Aran, A., Segarra, N., Tabarés-Seisdedos, R., Vieta, E., Purdon, S. E., Díez, T., &amp; Rejas, J. (2008). Spanish version of the Screen for Cognitive Impairment in Psychiatry (SCIP-S): Psychometric properties of a brief scale for cognitive evaluation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99</w:t>
      </w:r>
      <w:r w:rsidRPr="001768F9">
        <w:rPr>
          <w:rFonts w:ascii="Times New Roman" w:eastAsia="Times New Roman" w:hAnsi="Times New Roman" w:cs="Times New Roman"/>
          <w:sz w:val="24"/>
          <w:szCs w:val="24"/>
        </w:rPr>
        <w:t xml:space="preserve">(1–3), 139–148. </w:t>
      </w:r>
      <w:hyperlink r:id="rId4520" w:history="1">
        <w:r w:rsidRPr="001768F9">
          <w:rPr>
            <w:rFonts w:ascii="Times New Roman" w:eastAsia="Times New Roman" w:hAnsi="Times New Roman" w:cs="Times New Roman"/>
            <w:color w:val="0000FF"/>
            <w:sz w:val="24"/>
            <w:szCs w:val="24"/>
            <w:u w:val="single"/>
          </w:rPr>
          <w:t>https://doi.org/10.1016/j.schres.2007.09.012</w:t>
        </w:r>
      </w:hyperlink>
    </w:p>
    <w:p w14:paraId="7AF2B4D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Piolino, P., Desgranges, B., Belliard, S., Matuszewski, V., Lalevée, C., de La Sayette, V., &amp; Eustache, F. (2003). Autobiographical memory and autonoetic consciousness: Triple dissociation in neurodegenerative diseases.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126</w:t>
      </w:r>
      <w:r w:rsidRPr="001768F9">
        <w:rPr>
          <w:rFonts w:ascii="Times New Roman" w:eastAsia="Times New Roman" w:hAnsi="Times New Roman" w:cs="Times New Roman"/>
          <w:sz w:val="24"/>
          <w:szCs w:val="24"/>
        </w:rPr>
        <w:t xml:space="preserve">(10), 2203–2219. </w:t>
      </w:r>
      <w:hyperlink r:id="rId4521" w:history="1">
        <w:r w:rsidRPr="001768F9">
          <w:rPr>
            <w:rFonts w:ascii="Times New Roman" w:eastAsia="Times New Roman" w:hAnsi="Times New Roman" w:cs="Times New Roman"/>
            <w:color w:val="0000FF"/>
            <w:sz w:val="24"/>
            <w:szCs w:val="24"/>
            <w:u w:val="single"/>
          </w:rPr>
          <w:t>https://doi.org/10.1093/brain/awg222</w:t>
        </w:r>
      </w:hyperlink>
    </w:p>
    <w:p w14:paraId="4C0FE7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Piper, B. J., &amp; Corbett, S. M. (2012). Executive function profile in the offspring of women that smoked during pregnancy. </w:t>
      </w:r>
      <w:r w:rsidRPr="001768F9">
        <w:rPr>
          <w:rFonts w:ascii="Times New Roman" w:eastAsia="Times New Roman" w:hAnsi="Times New Roman" w:cs="Times New Roman"/>
          <w:i/>
          <w:iCs/>
          <w:sz w:val="24"/>
          <w:szCs w:val="24"/>
        </w:rPr>
        <w:t>Nicotine &amp; Tobacco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(2), 191–199.</w:t>
      </w:r>
    </w:p>
    <w:p w14:paraId="19288C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Piquard, A., Derouesné, C., Meininger, V., &amp; Lacomblez, L. (2010). DEX et évaluation des fonctions exécutives dans les activités de la vie quotidienne dans la maladie d’Alzheimer et la démence frontotemporale. [DEX and executive dysfunction in activities of daily living in Alzheimer’s disease and frontotemporal dementia. </w:t>
      </w:r>
      <w:r w:rsidRPr="001768F9">
        <w:rPr>
          <w:rFonts w:ascii="Times New Roman" w:eastAsia="Times New Roman" w:hAnsi="Times New Roman" w:cs="Times New Roman"/>
          <w:i/>
          <w:iCs/>
          <w:sz w:val="24"/>
          <w:szCs w:val="24"/>
        </w:rPr>
        <w:t>Annales de Gérontologie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(3), 215–227.</w:t>
      </w:r>
    </w:p>
    <w:p w14:paraId="43B221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Pirastu, R., Fais, R., Messina, M., Bini, V., Spiga, S., Falconieri, D., &amp; Diana, M. (2006). Impaired decision-making in opiate-dependent subjects: Effect of pharmacological therapies. </w:t>
      </w:r>
      <w:r w:rsidRPr="001768F9">
        <w:rPr>
          <w:rFonts w:ascii="Times New Roman" w:eastAsia="Times New Roman" w:hAnsi="Times New Roman" w:cs="Times New Roman"/>
          <w:i/>
          <w:iCs/>
          <w:sz w:val="24"/>
          <w:szCs w:val="24"/>
        </w:rPr>
        <w:t>Drug and Alcohol Dependence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83</w:t>
      </w:r>
      <w:r w:rsidRPr="001768F9">
        <w:rPr>
          <w:rFonts w:ascii="Times New Roman" w:eastAsia="Times New Roman" w:hAnsi="Times New Roman" w:cs="Times New Roman"/>
          <w:sz w:val="24"/>
          <w:szCs w:val="24"/>
        </w:rPr>
        <w:t xml:space="preserve">(2), 163–168. </w:t>
      </w:r>
      <w:hyperlink r:id="rId4522" w:history="1">
        <w:r w:rsidRPr="001768F9">
          <w:rPr>
            <w:rFonts w:ascii="Times New Roman" w:eastAsia="Times New Roman" w:hAnsi="Times New Roman" w:cs="Times New Roman"/>
            <w:color w:val="0000FF"/>
            <w:sz w:val="24"/>
            <w:szCs w:val="24"/>
            <w:u w:val="single"/>
          </w:rPr>
          <w:t>https://doi.org/10.1016/j.drugalcdep.2005.11.008</w:t>
        </w:r>
      </w:hyperlink>
    </w:p>
    <w:p w14:paraId="23CC81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Pirnia, B., Pirnia, K., Aghajanpoor, M., Mardan, F., &amp; Zahiroddin, A. (2018). Relationship between function of hypothalamic-pituitary-adrenal axis and executive functions in chronic methamphetamine users: A cross-sectional study. </w:t>
      </w:r>
      <w:r w:rsidRPr="001768F9">
        <w:rPr>
          <w:rFonts w:ascii="Times New Roman" w:eastAsia="Times New Roman" w:hAnsi="Times New Roman" w:cs="Times New Roman"/>
          <w:i/>
          <w:iCs/>
          <w:sz w:val="24"/>
          <w:szCs w:val="24"/>
        </w:rPr>
        <w:t>Asian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 113–114. </w:t>
      </w:r>
      <w:hyperlink r:id="rId4523" w:history="1">
        <w:r w:rsidRPr="001768F9">
          <w:rPr>
            <w:rFonts w:ascii="Times New Roman" w:eastAsia="Times New Roman" w:hAnsi="Times New Roman" w:cs="Times New Roman"/>
            <w:color w:val="0000FF"/>
            <w:sz w:val="24"/>
            <w:szCs w:val="24"/>
            <w:u w:val="single"/>
          </w:rPr>
          <w:t>https://doi.org/10.1016/j.ajp.2018.05.001</w:t>
        </w:r>
      </w:hyperlink>
    </w:p>
    <w:p w14:paraId="778378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Pirogovsky, E., Schiehser, D. M., Litvan, I., Obtera, K. M., Burke, M. M., Lessig, S. L., Song, D. D., Liu, L., &amp; Filoteo, J. V. (2014). The utility of the Mattis Dementia Rating Scale in Parkinson’s disease mild cognitive impairment.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(6), 627–631. </w:t>
      </w:r>
      <w:hyperlink r:id="rId4524" w:history="1">
        <w:r w:rsidRPr="001768F9">
          <w:rPr>
            <w:rFonts w:ascii="Times New Roman" w:eastAsia="Times New Roman" w:hAnsi="Times New Roman" w:cs="Times New Roman"/>
            <w:color w:val="0000FF"/>
            <w:sz w:val="24"/>
            <w:szCs w:val="24"/>
            <w:u w:val="single"/>
          </w:rPr>
          <w:t>https://doi.org/10.1016/j.parkreldis.2014.03.010</w:t>
        </w:r>
      </w:hyperlink>
    </w:p>
    <w:p w14:paraId="09C217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Pirogovsky, E., Schiehser, D. M., Obtera, K. M., Burke, M. M., Lessig, S. L., Song, D. D., Litvan, I., &amp; Filoteo, J. V. (2014). Instrumental activities of daily living are impaired in Parkinson’s disease patients with mild cognitive impairment.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(2), 229–237. </w:t>
      </w:r>
      <w:hyperlink r:id="rId4525" w:history="1">
        <w:r w:rsidRPr="001768F9">
          <w:rPr>
            <w:rFonts w:ascii="Times New Roman" w:eastAsia="Times New Roman" w:hAnsi="Times New Roman" w:cs="Times New Roman"/>
            <w:color w:val="0000FF"/>
            <w:sz w:val="24"/>
            <w:szCs w:val="24"/>
            <w:u w:val="single"/>
          </w:rPr>
          <w:t>https://doi.org/10.1037/neu0000045</w:t>
        </w:r>
      </w:hyperlink>
    </w:p>
    <w:p w14:paraId="760E49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Pirogovsky-Turk, E., Moore, R. C., Filoteo, J. V., Litvan, I., Song, D. D., Lessig, S. L., &amp; Schiehser, D. M. (2017). Neuropsychiatric predictors of cognitive decline in Parkinson disease: A longitudinal study.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(3), 279–289. </w:t>
      </w:r>
      <w:hyperlink r:id="rId4526" w:history="1">
        <w:r w:rsidRPr="001768F9">
          <w:rPr>
            <w:rFonts w:ascii="Times New Roman" w:eastAsia="Times New Roman" w:hAnsi="Times New Roman" w:cs="Times New Roman"/>
            <w:color w:val="0000FF"/>
            <w:sz w:val="24"/>
            <w:szCs w:val="24"/>
            <w:u w:val="single"/>
          </w:rPr>
          <w:t>https://doi.org/10.1016/j.jagp.2016.10.004</w:t>
        </w:r>
      </w:hyperlink>
    </w:p>
    <w:p w14:paraId="1D310A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Pitel, A. L., Beaunieux, H., Lebaron, N., Joyeux, F., Desgranges, B., &amp; Eustache, F. (2006). Two case studies in the application of errorless learning techniques in memory impaired patients with additional executive deficits.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(10), 1099–1110. </w:t>
      </w:r>
      <w:hyperlink r:id="rId4527" w:history="1">
        <w:r w:rsidRPr="001768F9">
          <w:rPr>
            <w:rFonts w:ascii="Times New Roman" w:eastAsia="Times New Roman" w:hAnsi="Times New Roman" w:cs="Times New Roman"/>
            <w:color w:val="0000FF"/>
            <w:sz w:val="24"/>
            <w:szCs w:val="24"/>
            <w:u w:val="single"/>
          </w:rPr>
          <w:t>https://doi.org/10.1080/02699050600909961</w:t>
        </w:r>
      </w:hyperlink>
    </w:p>
    <w:p w14:paraId="7D74198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Pizzarotti, B., Palesi, F., Vitali, P., Castellazzi, G., Anzalone, N., Alvisi, E., Martinelli, D., Bernini, S., Cotta Ramusino, M., Ceroni, M., Micieli, G., Sinforiani, E., D’Angelo, E., Costa, A., &amp; Gandini Wheeler-Kingshott, C. A. M. (2020). Frontal and cerebellar atrophy supports FTSD-ALS clinical continuum. </w:t>
      </w:r>
      <w:r w:rsidRPr="001768F9">
        <w:rPr>
          <w:rFonts w:ascii="Times New Roman" w:eastAsia="Times New Roman" w:hAnsi="Times New Roman" w:cs="Times New Roman"/>
          <w:i/>
          <w:iCs/>
          <w:sz w:val="24"/>
          <w:szCs w:val="24"/>
        </w:rPr>
        <w:t>Frontiers in Aging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 </w:t>
      </w:r>
      <w:hyperlink r:id="rId4528" w:history="1">
        <w:r w:rsidRPr="001768F9">
          <w:rPr>
            <w:rFonts w:ascii="Times New Roman" w:eastAsia="Times New Roman" w:hAnsi="Times New Roman" w:cs="Times New Roman"/>
            <w:color w:val="0000FF"/>
            <w:sz w:val="24"/>
            <w:szCs w:val="24"/>
            <w:u w:val="single"/>
          </w:rPr>
          <w:t>https://doi.org/10.3389/fnagi.2020.593526</w:t>
        </w:r>
      </w:hyperlink>
    </w:p>
    <w:p w14:paraId="6A03C8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Plasschaert, E., Van Eylen, L., Descheemaeker, M., Noens, I., Legius, E., &amp; Steyaert, J. (2016). Executive functioning deficits in children with neurofibromatosis type 1: The influence of intellectual and social functioning. </w:t>
      </w:r>
      <w:r w:rsidRPr="001768F9">
        <w:rPr>
          <w:rFonts w:ascii="Times New Roman" w:eastAsia="Times New Roman" w:hAnsi="Times New Roman" w:cs="Times New Roman"/>
          <w:i/>
          <w:iCs/>
          <w:sz w:val="24"/>
          <w:szCs w:val="24"/>
        </w:rPr>
        <w:t>American Journal of Medical Genetics Part B: Neuropsychiatric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171</w:t>
      </w:r>
      <w:r w:rsidRPr="001768F9">
        <w:rPr>
          <w:rFonts w:ascii="Times New Roman" w:eastAsia="Times New Roman" w:hAnsi="Times New Roman" w:cs="Times New Roman"/>
          <w:sz w:val="24"/>
          <w:szCs w:val="24"/>
        </w:rPr>
        <w:t xml:space="preserve">(3), 348–362. </w:t>
      </w:r>
      <w:hyperlink r:id="rId4529" w:history="1">
        <w:r w:rsidRPr="001768F9">
          <w:rPr>
            <w:rFonts w:ascii="Times New Roman" w:eastAsia="Times New Roman" w:hAnsi="Times New Roman" w:cs="Times New Roman"/>
            <w:color w:val="0000FF"/>
            <w:sz w:val="24"/>
            <w:szCs w:val="24"/>
            <w:u w:val="single"/>
          </w:rPr>
          <w:t>https://doi.org/10.1002/ajmg.b.32414</w:t>
        </w:r>
      </w:hyperlink>
    </w:p>
    <w:p w14:paraId="2E2BDD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Pletschko, T., Felnhofer, A., Lamplmair, D., Dorfer, C., Czech, T., Chocholous, M., Slavc, I., &amp; Leiss, U. (2018). Cerebellar pilocytic astrocytoma in childhood: Investigating the long-term impact of surgery on cognitive performance and functional outcome. </w:t>
      </w:r>
      <w:r w:rsidRPr="001768F9">
        <w:rPr>
          <w:rFonts w:ascii="Times New Roman" w:eastAsia="Times New Roman" w:hAnsi="Times New Roman" w:cs="Times New Roman"/>
          <w:i/>
          <w:iCs/>
          <w:sz w:val="24"/>
          <w:szCs w:val="24"/>
        </w:rPr>
        <w:t>Developmental 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(6), 415–422.</w:t>
      </w:r>
    </w:p>
    <w:p w14:paraId="63D0E5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Plewnia, C., Schober, F., Rilk, A., Buchkremer, G., Reimold, M., Wächter, T., Breit, S., Weiss, D., Krüger, R., &amp; Freudenstein, D. (2008). Sustained improvement of obsessive-compulsive disorder by deep brain stimulation in a woman with residual schizophrenia. </w:t>
      </w:r>
      <w:r w:rsidRPr="001768F9">
        <w:rPr>
          <w:rFonts w:ascii="Times New Roman" w:eastAsia="Times New Roman" w:hAnsi="Times New Roman" w:cs="Times New Roman"/>
          <w:i/>
          <w:iCs/>
          <w:sz w:val="24"/>
          <w:szCs w:val="24"/>
        </w:rPr>
        <w:t>International Journal of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(8), 1181–1183. </w:t>
      </w:r>
      <w:hyperlink r:id="rId4530" w:history="1">
        <w:r w:rsidRPr="001768F9">
          <w:rPr>
            <w:rFonts w:ascii="Times New Roman" w:eastAsia="Times New Roman" w:hAnsi="Times New Roman" w:cs="Times New Roman"/>
            <w:color w:val="0000FF"/>
            <w:sz w:val="24"/>
            <w:szCs w:val="24"/>
            <w:u w:val="single"/>
          </w:rPr>
          <w:t>https://doi.org/10.1017/S1461145708009188</w:t>
        </w:r>
      </w:hyperlink>
    </w:p>
    <w:p w14:paraId="5FF9D8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Plioplys, S., Asato, M. R., &amp; Zelko, F. (2016). Neurological examination, electroencephalography, neuroimaging, and neuropsychological testing. In </w:t>
      </w:r>
      <w:r w:rsidRPr="001768F9">
        <w:rPr>
          <w:rFonts w:ascii="Times New Roman" w:eastAsia="Times New Roman" w:hAnsi="Times New Roman" w:cs="Times New Roman"/>
          <w:i/>
          <w:iCs/>
          <w:sz w:val="24"/>
          <w:szCs w:val="24"/>
        </w:rPr>
        <w:t>Dulcan’s textbook of child and adolescent psychiatry, 2nd ed.</w:t>
      </w:r>
      <w:r w:rsidRPr="001768F9">
        <w:rPr>
          <w:rFonts w:ascii="Times New Roman" w:eastAsia="Times New Roman" w:hAnsi="Times New Roman" w:cs="Times New Roman"/>
          <w:sz w:val="24"/>
          <w:szCs w:val="24"/>
        </w:rPr>
        <w:t xml:space="preserve"> (pp. 89–102). American Psychiatric Publishing, Inc.</w:t>
      </w:r>
    </w:p>
    <w:p w14:paraId="0F068B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Pluck, G., Nakakarumai, M., &amp; Sato, Y. (2015). Homelessness and cognitive impairment: An exploratory study in Tokyo, Japan. </w:t>
      </w:r>
      <w:r w:rsidRPr="001768F9">
        <w:rPr>
          <w:rFonts w:ascii="Times New Roman" w:eastAsia="Times New Roman" w:hAnsi="Times New Roman" w:cs="Times New Roman"/>
          <w:i/>
          <w:iCs/>
          <w:sz w:val="24"/>
          <w:szCs w:val="24"/>
        </w:rPr>
        <w:t>East Asian Archives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(3), 122–127.</w:t>
      </w:r>
    </w:p>
    <w:p w14:paraId="09245C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Plumet, J., Gil, R., &amp; Gaonac’h, D. (2005). Neuropsychological Assessment of Executive Functions in Women: Effects of Age and Education.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(5), 566–577. </w:t>
      </w:r>
      <w:hyperlink r:id="rId4531" w:history="1">
        <w:r w:rsidRPr="001768F9">
          <w:rPr>
            <w:rFonts w:ascii="Times New Roman" w:eastAsia="Times New Roman" w:hAnsi="Times New Roman" w:cs="Times New Roman"/>
            <w:color w:val="0000FF"/>
            <w:sz w:val="24"/>
            <w:szCs w:val="24"/>
            <w:u w:val="single"/>
          </w:rPr>
          <w:t>https://doi.org/10.1037/0894-4105.19.5.566</w:t>
        </w:r>
      </w:hyperlink>
    </w:p>
    <w:p w14:paraId="5304BC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Pluta, A., Gawron, N., Sobańska, M., Wójcik, A. D., &amp; Łojek, E. (2017). The nature of the relationship between neurocognition and theory of mind impairments in stroke patients.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(6), 666–681. </w:t>
      </w:r>
      <w:hyperlink r:id="rId4532" w:history="1">
        <w:r w:rsidRPr="001768F9">
          <w:rPr>
            <w:rFonts w:ascii="Times New Roman" w:eastAsia="Times New Roman" w:hAnsi="Times New Roman" w:cs="Times New Roman"/>
            <w:color w:val="0000FF"/>
            <w:sz w:val="24"/>
            <w:szCs w:val="24"/>
            <w:u w:val="single"/>
          </w:rPr>
          <w:t>https://doi.org/10.1037/neu0000379</w:t>
        </w:r>
      </w:hyperlink>
    </w:p>
    <w:p w14:paraId="77B40E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Pluta, A., Wolak, T., Sobańska, M., Gawron, N., Egbert, A. R., Szymańska, B., Horban, A., Firląg-Burkacka, E., Bieńkowski, P., Sienkiewicz-Jarosz, H., Ścińska-Bieńkowska, A., Desowska, A., Rusiniak, M., Biswal, B. B., Rao, S., Bornstein, R., Skarżyński, H., &amp; Łojek, E. (2019). HIV and age underlie specific patterns of brain abnormalities and cognitive changes in high functioning patients.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(3), 358–369. </w:t>
      </w:r>
      <w:hyperlink r:id="rId4533" w:history="1">
        <w:r w:rsidRPr="001768F9">
          <w:rPr>
            <w:rFonts w:ascii="Times New Roman" w:eastAsia="Times New Roman" w:hAnsi="Times New Roman" w:cs="Times New Roman"/>
            <w:color w:val="0000FF"/>
            <w:sz w:val="24"/>
            <w:szCs w:val="24"/>
            <w:u w:val="single"/>
          </w:rPr>
          <w:t>https://doi.org/10.1037/neu0000504</w:t>
        </w:r>
      </w:hyperlink>
    </w:p>
    <w:p w14:paraId="51954E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Pochyly, J. M. (1998). </w:t>
      </w:r>
      <w:r w:rsidRPr="001768F9">
        <w:rPr>
          <w:rFonts w:ascii="Times New Roman" w:eastAsia="Times New Roman" w:hAnsi="Times New Roman" w:cs="Times New Roman"/>
          <w:i/>
          <w:iCs/>
          <w:sz w:val="24"/>
          <w:szCs w:val="24"/>
        </w:rPr>
        <w:t>A comparison of two forms of the Wisconsin Card Sorting Test as measures of executive functioning in school-aged children.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(6-B), 3098–3098.</w:t>
      </w:r>
    </w:p>
    <w:p w14:paraId="67EE9D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Poels, E. M. P., Kegeles, L. S., Kantrowitz, J. T., Javitt, D. C., Lieberman, J. A., Abi-Dargham, A., &amp; Girgis, R. R. (2014). Glutamatergic abnormalities in schizophrenia: A review of proton MRS findings.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152</w:t>
      </w:r>
      <w:r w:rsidRPr="001768F9">
        <w:rPr>
          <w:rFonts w:ascii="Times New Roman" w:eastAsia="Times New Roman" w:hAnsi="Times New Roman" w:cs="Times New Roman"/>
          <w:sz w:val="24"/>
          <w:szCs w:val="24"/>
        </w:rPr>
        <w:t xml:space="preserve">(2–3), 325–332. </w:t>
      </w:r>
      <w:hyperlink r:id="rId4534" w:history="1">
        <w:r w:rsidRPr="001768F9">
          <w:rPr>
            <w:rFonts w:ascii="Times New Roman" w:eastAsia="Times New Roman" w:hAnsi="Times New Roman" w:cs="Times New Roman"/>
            <w:color w:val="0000FF"/>
            <w:sz w:val="24"/>
            <w:szCs w:val="24"/>
            <w:u w:val="single"/>
          </w:rPr>
          <w:t>https://doi.org/10.1016/j.schres.2013.12.013</w:t>
        </w:r>
      </w:hyperlink>
    </w:p>
    <w:p w14:paraId="480E42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Polanco-Roman, L., Jurska, J., Quiñones, V., &amp; Miranda, R. (2015). Brooding, reflection, and distraction: Relation to non-suicidal self-injury versus suicide attempts. </w:t>
      </w:r>
      <w:r w:rsidRPr="001768F9">
        <w:rPr>
          <w:rFonts w:ascii="Times New Roman" w:eastAsia="Times New Roman" w:hAnsi="Times New Roman" w:cs="Times New Roman"/>
          <w:i/>
          <w:iCs/>
          <w:sz w:val="24"/>
          <w:szCs w:val="24"/>
        </w:rPr>
        <w:t>Archives of Suicide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(3), 350–365. </w:t>
      </w:r>
      <w:hyperlink r:id="rId4535" w:history="1">
        <w:r w:rsidRPr="001768F9">
          <w:rPr>
            <w:rFonts w:ascii="Times New Roman" w:eastAsia="Times New Roman" w:hAnsi="Times New Roman" w:cs="Times New Roman"/>
            <w:color w:val="0000FF"/>
            <w:sz w:val="24"/>
            <w:szCs w:val="24"/>
            <w:u w:val="single"/>
          </w:rPr>
          <w:t>https://doi.org/10.1080/13811118.2014.981623</w:t>
        </w:r>
      </w:hyperlink>
    </w:p>
    <w:p w14:paraId="6619B7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Baldacci, F., Nuti, A., Lucetti, C., Berti, C., &amp; Bonuccelli, U. (2009). Decision-making impairment in a patient with new concomitant diagnoses of Parkinson’s disease and HIV.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(3), 352–353. </w:t>
      </w:r>
      <w:hyperlink r:id="rId4536" w:history="1">
        <w:r w:rsidRPr="001768F9">
          <w:rPr>
            <w:rFonts w:ascii="Times New Roman" w:eastAsia="Times New Roman" w:hAnsi="Times New Roman" w:cs="Times New Roman"/>
            <w:color w:val="0000FF"/>
            <w:sz w:val="24"/>
            <w:szCs w:val="24"/>
            <w:u w:val="single"/>
          </w:rPr>
          <w:t>https://doi.org/10.1176/appi.neuropsych.21.3.352-a</w:t>
        </w:r>
      </w:hyperlink>
    </w:p>
    <w:p w14:paraId="039856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Cavedini, P., &amp; Bonuccelli, U. (2011). Iowa Gambling Task in Parkinson’s disease.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395–409. </w:t>
      </w:r>
      <w:hyperlink r:id="rId4537" w:history="1">
        <w:r w:rsidRPr="001768F9">
          <w:rPr>
            <w:rFonts w:ascii="Times New Roman" w:eastAsia="Times New Roman" w:hAnsi="Times New Roman" w:cs="Times New Roman"/>
            <w:color w:val="0000FF"/>
            <w:sz w:val="24"/>
            <w:szCs w:val="24"/>
            <w:u w:val="single"/>
          </w:rPr>
          <w:t>https://doi.org/10.1080/13803395.2010.524150</w:t>
        </w:r>
      </w:hyperlink>
    </w:p>
    <w:p w14:paraId="064927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De Rosa, A., &amp; Bonuccelli, U. (2012). Affective symptoms and cognitive functions in Parkinson’s disease.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317</w:t>
      </w:r>
      <w:r w:rsidRPr="001768F9">
        <w:rPr>
          <w:rFonts w:ascii="Times New Roman" w:eastAsia="Times New Roman" w:hAnsi="Times New Roman" w:cs="Times New Roman"/>
          <w:sz w:val="24"/>
          <w:szCs w:val="24"/>
        </w:rPr>
        <w:t xml:space="preserve">(1–2), 97–102. </w:t>
      </w:r>
      <w:hyperlink r:id="rId4538" w:history="1">
        <w:r w:rsidRPr="001768F9">
          <w:rPr>
            <w:rFonts w:ascii="Times New Roman" w:eastAsia="Times New Roman" w:hAnsi="Times New Roman" w:cs="Times New Roman"/>
            <w:color w:val="0000FF"/>
            <w:sz w:val="24"/>
            <w:szCs w:val="24"/>
            <w:u w:val="single"/>
          </w:rPr>
          <w:t>https://doi.org/10.1016/j.jns.2012.02.022</w:t>
        </w:r>
      </w:hyperlink>
    </w:p>
    <w:p w14:paraId="3F86542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M., &amp; Montanari, P. (2014). Valutazione dell’attenzione e delle funzioni esecutive in età evolutiva: Rassegna degli strumenti Italiani e proposta di una batteria di approfondimento. [Assessment of attention and executive functions during development: A review of available Italian ta. </w:t>
      </w:r>
      <w:r w:rsidRPr="001768F9">
        <w:rPr>
          <w:rFonts w:ascii="Times New Roman" w:eastAsia="Times New Roman" w:hAnsi="Times New Roman" w:cs="Times New Roman"/>
          <w:i/>
          <w:iCs/>
          <w:sz w:val="24"/>
          <w:szCs w:val="24"/>
        </w:rPr>
        <w:t>Giornale Di Neuropsichiatria Dell’Età Evolutiva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(1), 60–66.</w:t>
      </w:r>
    </w:p>
    <w:p w14:paraId="1F5640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Aggio, V., Brioschi, S., Dallaspezia, S., Colombo, C., &amp; Benedetti, F. (2017). Multidimensional cognitive impairment in unipolar and bipolar depression and the moderator effect of adverse childhood experiences.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71</w:t>
      </w:r>
      <w:r w:rsidRPr="001768F9">
        <w:rPr>
          <w:rFonts w:ascii="Times New Roman" w:eastAsia="Times New Roman" w:hAnsi="Times New Roman" w:cs="Times New Roman"/>
          <w:sz w:val="24"/>
          <w:szCs w:val="24"/>
        </w:rPr>
        <w:t xml:space="preserve">(5), 309–317. </w:t>
      </w:r>
      <w:hyperlink r:id="rId4539" w:history="1">
        <w:r w:rsidRPr="001768F9">
          <w:rPr>
            <w:rFonts w:ascii="Times New Roman" w:eastAsia="Times New Roman" w:hAnsi="Times New Roman" w:cs="Times New Roman"/>
            <w:color w:val="0000FF"/>
            <w:sz w:val="24"/>
            <w:szCs w:val="24"/>
            <w:u w:val="single"/>
          </w:rPr>
          <w:t>https://doi.org/10.1111/pcn.12497</w:t>
        </w:r>
      </w:hyperlink>
    </w:p>
    <w:p w14:paraId="4B0823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Anselmetti, S., Bechi, M., Ermoli, E., Bosia, M., Smeraldi, E., &amp; Cavallaro, R. (2010). Computer-aided neurocognitive remediation in schizophrenia: Durability of rehabilitation outcomes in a follow-up study.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659–674. </w:t>
      </w:r>
      <w:hyperlink r:id="rId4540" w:history="1">
        <w:r w:rsidRPr="001768F9">
          <w:rPr>
            <w:rFonts w:ascii="Times New Roman" w:eastAsia="Times New Roman" w:hAnsi="Times New Roman" w:cs="Times New Roman"/>
            <w:color w:val="0000FF"/>
            <w:sz w:val="24"/>
            <w:szCs w:val="24"/>
            <w:u w:val="single"/>
          </w:rPr>
          <w:t>https://doi.org/10.1080/09602011003683158</w:t>
        </w:r>
      </w:hyperlink>
    </w:p>
    <w:p w14:paraId="123ED7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Bollettini, I., Mazza, E., Locatelli, C., Radaelli, D., Vai, B., Smeraldi, E., Colombo, C., &amp; Benedetti, F. (2015). Cognitive performances associate with measures of white matter integrity in bipolar disorder.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174</w:t>
      </w:r>
      <w:r w:rsidRPr="001768F9">
        <w:rPr>
          <w:rFonts w:ascii="Times New Roman" w:eastAsia="Times New Roman" w:hAnsi="Times New Roman" w:cs="Times New Roman"/>
          <w:sz w:val="24"/>
          <w:szCs w:val="24"/>
        </w:rPr>
        <w:t xml:space="preserve">, 342–352. </w:t>
      </w:r>
      <w:hyperlink r:id="rId4541" w:history="1">
        <w:r w:rsidRPr="001768F9">
          <w:rPr>
            <w:rFonts w:ascii="Times New Roman" w:eastAsia="Times New Roman" w:hAnsi="Times New Roman" w:cs="Times New Roman"/>
            <w:color w:val="0000FF"/>
            <w:sz w:val="24"/>
            <w:szCs w:val="24"/>
            <w:u w:val="single"/>
          </w:rPr>
          <w:t>https://doi.org/10.1016/j.jad.2014.12.030</w:t>
        </w:r>
      </w:hyperlink>
    </w:p>
    <w:p w14:paraId="0FF062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Locatelli, C., Pirovano, A., Colombo, C., &amp; Benedetti, F. (2015). Glutamate EAAT1 transporter genetic variants influence cognitive deficits in bipolar disorder.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226</w:t>
      </w:r>
      <w:r w:rsidRPr="001768F9">
        <w:rPr>
          <w:rFonts w:ascii="Times New Roman" w:eastAsia="Times New Roman" w:hAnsi="Times New Roman" w:cs="Times New Roman"/>
          <w:sz w:val="24"/>
          <w:szCs w:val="24"/>
        </w:rPr>
        <w:t xml:space="preserve">(1), 407–408. </w:t>
      </w:r>
      <w:hyperlink r:id="rId4542" w:history="1">
        <w:r w:rsidRPr="001768F9">
          <w:rPr>
            <w:rFonts w:ascii="Times New Roman" w:eastAsia="Times New Roman" w:hAnsi="Times New Roman" w:cs="Times New Roman"/>
            <w:color w:val="0000FF"/>
            <w:sz w:val="24"/>
            <w:szCs w:val="24"/>
            <w:u w:val="single"/>
          </w:rPr>
          <w:t>https://doi.org/10.1016/j.psychres.2014.12.071</w:t>
        </w:r>
      </w:hyperlink>
    </w:p>
    <w:p w14:paraId="140333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Poletti, S., Papa, G. S., Locatelli, C., Colombo, C., &amp; Benedetti, F. (2014). Neuropsychological deficits in bipolar depression persist after successful antidepressant treatment.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156</w:t>
      </w:r>
      <w:r w:rsidRPr="001768F9">
        <w:rPr>
          <w:rFonts w:ascii="Times New Roman" w:eastAsia="Times New Roman" w:hAnsi="Times New Roman" w:cs="Times New Roman"/>
          <w:sz w:val="24"/>
          <w:szCs w:val="24"/>
        </w:rPr>
        <w:t xml:space="preserve">, 144–149. </w:t>
      </w:r>
      <w:hyperlink r:id="rId4543" w:history="1">
        <w:r w:rsidRPr="001768F9">
          <w:rPr>
            <w:rFonts w:ascii="Times New Roman" w:eastAsia="Times New Roman" w:hAnsi="Times New Roman" w:cs="Times New Roman"/>
            <w:color w:val="0000FF"/>
            <w:sz w:val="24"/>
            <w:szCs w:val="24"/>
            <w:u w:val="single"/>
          </w:rPr>
          <w:t>https://doi.org/10.1016/j.jad.2013.11.023</w:t>
        </w:r>
      </w:hyperlink>
    </w:p>
    <w:p w14:paraId="59E3CC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Polgár, P., Farkas, M., Nagy, O., Kelemen, O., Réthelyi, J., Bitter, I., Myers, C. E., Gluck, M. A., &amp; Kéri, S. (2008). How to find the way out from four rooms? The learning of “chaining” associations may shed light on the neuropsychology of the deficit syndrome of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99</w:t>
      </w:r>
      <w:r w:rsidRPr="001768F9">
        <w:rPr>
          <w:rFonts w:ascii="Times New Roman" w:eastAsia="Times New Roman" w:hAnsi="Times New Roman" w:cs="Times New Roman"/>
          <w:sz w:val="24"/>
          <w:szCs w:val="24"/>
        </w:rPr>
        <w:t xml:space="preserve">(1–3), 200–207. </w:t>
      </w:r>
      <w:hyperlink r:id="rId4544" w:history="1">
        <w:r w:rsidRPr="001768F9">
          <w:rPr>
            <w:rFonts w:ascii="Times New Roman" w:eastAsia="Times New Roman" w:hAnsi="Times New Roman" w:cs="Times New Roman"/>
            <w:color w:val="0000FF"/>
            <w:sz w:val="24"/>
            <w:szCs w:val="24"/>
            <w:u w:val="single"/>
          </w:rPr>
          <w:t>https://doi.org/10.1016/j.schres.2007.06.027</w:t>
        </w:r>
      </w:hyperlink>
    </w:p>
    <w:p w14:paraId="133475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Polgár, P., Réthelyi, J. M., Bálint, S., Komlósi, S., Czobor, P., &amp; Bitter, I. (2010). Executive function in deficit schizophrenia: What do the dimensions of the Wisconsin Card Sorting Test tell us?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122</w:t>
      </w:r>
      <w:r w:rsidRPr="001768F9">
        <w:rPr>
          <w:rFonts w:ascii="Times New Roman" w:eastAsia="Times New Roman" w:hAnsi="Times New Roman" w:cs="Times New Roman"/>
          <w:sz w:val="24"/>
          <w:szCs w:val="24"/>
        </w:rPr>
        <w:t xml:space="preserve">(1–3), 85–93. </w:t>
      </w:r>
      <w:hyperlink r:id="rId4545" w:history="1">
        <w:r w:rsidRPr="001768F9">
          <w:rPr>
            <w:rFonts w:ascii="Times New Roman" w:eastAsia="Times New Roman" w:hAnsi="Times New Roman" w:cs="Times New Roman"/>
            <w:color w:val="0000FF"/>
            <w:sz w:val="24"/>
            <w:szCs w:val="24"/>
            <w:u w:val="single"/>
          </w:rPr>
          <w:t>https://doi.org/10.1016/j.schres.2010.06.007</w:t>
        </w:r>
      </w:hyperlink>
    </w:p>
    <w:p w14:paraId="5E8767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Polich, J. (2012). Neuropsychology of P300. In </w:t>
      </w:r>
      <w:r w:rsidRPr="001768F9">
        <w:rPr>
          <w:rFonts w:ascii="Times New Roman" w:eastAsia="Times New Roman" w:hAnsi="Times New Roman" w:cs="Times New Roman"/>
          <w:i/>
          <w:iCs/>
          <w:sz w:val="24"/>
          <w:szCs w:val="24"/>
        </w:rPr>
        <w:t>The Oxford handbook of event-related potential components.</w:t>
      </w:r>
      <w:r w:rsidRPr="001768F9">
        <w:rPr>
          <w:rFonts w:ascii="Times New Roman" w:eastAsia="Times New Roman" w:hAnsi="Times New Roman" w:cs="Times New Roman"/>
          <w:sz w:val="24"/>
          <w:szCs w:val="24"/>
        </w:rPr>
        <w:t xml:space="preserve"> (pp. 159–188). Oxford University Press.</w:t>
      </w:r>
    </w:p>
    <w:p w14:paraId="0B881C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Polimeni, J. O., Campbell, D. W., Gill, D., Sawatzky, B. L., &amp; Reiss, J. P. (2010). Diminished humour perception in schizophrenia: Relationship to social and cognitive functioning.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(7), 434–440. </w:t>
      </w:r>
      <w:hyperlink r:id="rId4546" w:history="1">
        <w:r w:rsidRPr="001768F9">
          <w:rPr>
            <w:rFonts w:ascii="Times New Roman" w:eastAsia="Times New Roman" w:hAnsi="Times New Roman" w:cs="Times New Roman"/>
            <w:color w:val="0000FF"/>
            <w:sz w:val="24"/>
            <w:szCs w:val="24"/>
            <w:u w:val="single"/>
          </w:rPr>
          <w:t>https://doi.org/10.1016/j.jpsychires.2009.10.003</w:t>
        </w:r>
      </w:hyperlink>
    </w:p>
    <w:p w14:paraId="7FC5090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Polito, C., Berti, V., Ramat, S., Vanzi, E., De Cristofaro, M. T., Pellicanò, G., Mungai, F., Marini, P., Formiconi, A. R., Sorbi, S., &amp; Pupi, A. (2012). Interaction of caudate dopamine depletion and brain metabolic changes with cognitive dysfunction in early Parkinson’s disease.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 e29–e39. </w:t>
      </w:r>
      <w:hyperlink r:id="rId4547" w:history="1">
        <w:r w:rsidRPr="001768F9">
          <w:rPr>
            <w:rFonts w:ascii="Times New Roman" w:eastAsia="Times New Roman" w:hAnsi="Times New Roman" w:cs="Times New Roman"/>
            <w:color w:val="0000FF"/>
            <w:sz w:val="24"/>
            <w:szCs w:val="24"/>
            <w:u w:val="single"/>
          </w:rPr>
          <w:t>https://doi.org/10.1016/j.neurobiolaging.2010.09.004</w:t>
        </w:r>
      </w:hyperlink>
    </w:p>
    <w:p w14:paraId="44F96D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Pollice, R., Bianchini, V., di Mauro, S., Mazza, M., Verni, L., Roncone, R., &amp; Casacchia, M. (2012). Cognitive function and clinical symptoms in first‐episode psychosis and chronic schizophrenia before and after the 2009 L’aquila earthquake. </w:t>
      </w:r>
      <w:r w:rsidRPr="001768F9">
        <w:rPr>
          <w:rFonts w:ascii="Times New Roman" w:eastAsia="Times New Roman" w:hAnsi="Times New Roman" w:cs="Times New Roman"/>
          <w:i/>
          <w:iCs/>
          <w:sz w:val="24"/>
          <w:szCs w:val="24"/>
        </w:rPr>
        <w:t>Early Intervention in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(2), 153–158. </w:t>
      </w:r>
      <w:hyperlink r:id="rId4548" w:history="1">
        <w:r w:rsidRPr="001768F9">
          <w:rPr>
            <w:rFonts w:ascii="Times New Roman" w:eastAsia="Times New Roman" w:hAnsi="Times New Roman" w:cs="Times New Roman"/>
            <w:color w:val="0000FF"/>
            <w:sz w:val="24"/>
            <w:szCs w:val="24"/>
            <w:u w:val="single"/>
          </w:rPr>
          <w:t>https://doi.org/10.1111/j.1751-7893.2011.00319.x</w:t>
        </w:r>
      </w:hyperlink>
    </w:p>
    <w:p w14:paraId="2FED744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Pollmann, S. (2016). Frontopolar resource allocation in human and nonhuman primates. </w:t>
      </w:r>
      <w:r w:rsidRPr="001768F9">
        <w:rPr>
          <w:rFonts w:ascii="Times New Roman" w:eastAsia="Times New Roman" w:hAnsi="Times New Roman" w:cs="Times New Roman"/>
          <w:i/>
          <w:iCs/>
          <w:sz w:val="24"/>
          <w:szCs w:val="24"/>
        </w:rPr>
        <w:t>Trends in Cognitive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84–86. </w:t>
      </w:r>
      <w:hyperlink r:id="rId4549" w:history="1">
        <w:r w:rsidRPr="001768F9">
          <w:rPr>
            <w:rFonts w:ascii="Times New Roman" w:eastAsia="Times New Roman" w:hAnsi="Times New Roman" w:cs="Times New Roman"/>
            <w:color w:val="0000FF"/>
            <w:sz w:val="24"/>
            <w:szCs w:val="24"/>
            <w:u w:val="single"/>
          </w:rPr>
          <w:t>https://doi.org/10.1016/j.tics.2015.11.006</w:t>
        </w:r>
      </w:hyperlink>
    </w:p>
    <w:p w14:paraId="439178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Poltavski, D. V., &amp; Petros, T. (2006). Effects of transdermal nicotine on attention in adult non-smokers with and without attentional deficits. </w:t>
      </w:r>
      <w:r w:rsidRPr="001768F9">
        <w:rPr>
          <w:rFonts w:ascii="Times New Roman" w:eastAsia="Times New Roman" w:hAnsi="Times New Roman" w:cs="Times New Roman"/>
          <w:i/>
          <w:iCs/>
          <w:sz w:val="24"/>
          <w:szCs w:val="24"/>
        </w:rPr>
        <w:t>Physiology &amp;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(3), 614–624. </w:t>
      </w:r>
      <w:hyperlink r:id="rId4550" w:history="1">
        <w:r w:rsidRPr="001768F9">
          <w:rPr>
            <w:rFonts w:ascii="Times New Roman" w:eastAsia="Times New Roman" w:hAnsi="Times New Roman" w:cs="Times New Roman"/>
            <w:color w:val="0000FF"/>
            <w:sz w:val="24"/>
            <w:szCs w:val="24"/>
            <w:u w:val="single"/>
          </w:rPr>
          <w:t>https://doi.org/10.1016/j.physbeh.2005.12.011</w:t>
        </w:r>
      </w:hyperlink>
    </w:p>
    <w:p w14:paraId="3ECA36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Pomeroy, E. C., &amp; Parrish, D. E. (2011). Prenatal impact of alcohol and drugs on young children: Implications for interventions with children and parents. </w:t>
      </w:r>
      <w:r w:rsidRPr="001768F9">
        <w:rPr>
          <w:rFonts w:ascii="Times New Roman" w:eastAsia="Times New Roman" w:hAnsi="Times New Roman" w:cs="Times New Roman"/>
          <w:i/>
          <w:iCs/>
          <w:sz w:val="24"/>
          <w:szCs w:val="24"/>
        </w:rPr>
        <w:t>Children of Substance-Abusing Parents: Dynamics and Treatment.</w:t>
      </w:r>
      <w:r w:rsidRPr="001768F9">
        <w:rPr>
          <w:rFonts w:ascii="Times New Roman" w:eastAsia="Times New Roman" w:hAnsi="Times New Roman" w:cs="Times New Roman"/>
          <w:sz w:val="24"/>
          <w:szCs w:val="24"/>
        </w:rPr>
        <w:t xml:space="preserve">, 77–100. </w:t>
      </w:r>
      <w:hyperlink r:id="rId4551" w:history="1">
        <w:r w:rsidRPr="001768F9">
          <w:rPr>
            <w:rFonts w:ascii="Times New Roman" w:eastAsia="Times New Roman" w:hAnsi="Times New Roman" w:cs="Times New Roman"/>
            <w:color w:val="0000FF"/>
            <w:sz w:val="24"/>
            <w:szCs w:val="24"/>
            <w:u w:val="single"/>
          </w:rPr>
          <w:t>https://doi.org/10.1891/9780826165084.0004</w:t>
        </w:r>
      </w:hyperlink>
    </w:p>
    <w:p w14:paraId="6E91FE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Pompanin, S., Perini, G., Toffanin, T., Gnoato, F., Cecchin, D., Manara, R., &amp; Cagnin, A. (2012). Late-onset OCD as presenting manifestation of semantic dementia. </w:t>
      </w:r>
      <w:r w:rsidRPr="001768F9">
        <w:rPr>
          <w:rFonts w:ascii="Times New Roman" w:eastAsia="Times New Roman" w:hAnsi="Times New Roman" w:cs="Times New Roman"/>
          <w:i/>
          <w:iCs/>
          <w:sz w:val="24"/>
          <w:szCs w:val="24"/>
        </w:rPr>
        <w:t>General Hospital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(1), e1–e4. </w:t>
      </w:r>
      <w:hyperlink r:id="rId4552" w:history="1">
        <w:r w:rsidRPr="001768F9">
          <w:rPr>
            <w:rFonts w:ascii="Times New Roman" w:eastAsia="Times New Roman" w:hAnsi="Times New Roman" w:cs="Times New Roman"/>
            <w:color w:val="0000FF"/>
            <w:sz w:val="24"/>
            <w:szCs w:val="24"/>
            <w:u w:val="single"/>
          </w:rPr>
          <w:t>https://doi.org/10.1016/j.genhosppsych.2011.08.001</w:t>
        </w:r>
      </w:hyperlink>
    </w:p>
    <w:p w14:paraId="71E0BF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Pompili, M., Lester, D., Girardi, P., &amp; Tatarelli, R. (2007). High suicide risk after the development of cognitive and working memory deficits caused by cannabis, cocaine and ecstasy use. </w:t>
      </w:r>
      <w:r w:rsidRPr="001768F9">
        <w:rPr>
          <w:rFonts w:ascii="Times New Roman" w:eastAsia="Times New Roman" w:hAnsi="Times New Roman" w:cs="Times New Roman"/>
          <w:i/>
          <w:iCs/>
          <w:sz w:val="24"/>
          <w:szCs w:val="24"/>
        </w:rPr>
        <w:t>Substance Abuse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25–30. </w:t>
      </w:r>
      <w:hyperlink r:id="rId4553" w:history="1">
        <w:r w:rsidRPr="001768F9">
          <w:rPr>
            <w:rFonts w:ascii="Times New Roman" w:eastAsia="Times New Roman" w:hAnsi="Times New Roman" w:cs="Times New Roman"/>
            <w:color w:val="0000FF"/>
            <w:sz w:val="24"/>
            <w:szCs w:val="24"/>
            <w:u w:val="single"/>
          </w:rPr>
          <w:t>https://doi.org/10.1300/J465v28n01_04</w:t>
        </w:r>
      </w:hyperlink>
    </w:p>
    <w:p w14:paraId="562ABFF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Pompilit, M., Serafini, G., Innamorati, M., Ambrosi, E., Telesforo, L., Venturini, P., Giordano, G., Battuello, M., Lester, D., &amp; Girardi, P. (2011). Unmet treatment needs in schizophrenia patients: Is asenapine a potential therapeutic option? </w:t>
      </w:r>
      <w:r w:rsidRPr="001768F9">
        <w:rPr>
          <w:rFonts w:ascii="Times New Roman" w:eastAsia="Times New Roman" w:hAnsi="Times New Roman" w:cs="Times New Roman"/>
          <w:i/>
          <w:iCs/>
          <w:sz w:val="24"/>
          <w:szCs w:val="24"/>
        </w:rPr>
        <w:t>Expert Review of Neurotherapeutics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(7), 989–1006. </w:t>
      </w:r>
      <w:hyperlink r:id="rId4554" w:history="1">
        <w:r w:rsidRPr="001768F9">
          <w:rPr>
            <w:rFonts w:ascii="Times New Roman" w:eastAsia="Times New Roman" w:hAnsi="Times New Roman" w:cs="Times New Roman"/>
            <w:color w:val="0000FF"/>
            <w:sz w:val="24"/>
            <w:szCs w:val="24"/>
            <w:u w:val="single"/>
          </w:rPr>
          <w:t>https://doi.org/10.1586/ern.11.82</w:t>
        </w:r>
      </w:hyperlink>
    </w:p>
    <w:p w14:paraId="41132BE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Poncet, F., Swaine, B., Taillefer, C., Lamoureux, J., Pradat-Diehl, P., &amp; Chevignard, M. (2015). Reliability of the Cooking Task in adults with acquired brain injury.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(2), 298–317. </w:t>
      </w:r>
      <w:hyperlink r:id="rId4555" w:history="1">
        <w:r w:rsidRPr="001768F9">
          <w:rPr>
            <w:rFonts w:ascii="Times New Roman" w:eastAsia="Times New Roman" w:hAnsi="Times New Roman" w:cs="Times New Roman"/>
            <w:color w:val="0000FF"/>
            <w:sz w:val="24"/>
            <w:szCs w:val="24"/>
            <w:u w:val="single"/>
          </w:rPr>
          <w:t>https://doi.org/10.1080/09602011.2014.971819</w:t>
        </w:r>
      </w:hyperlink>
    </w:p>
    <w:p w14:paraId="178796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Pontieri, F. E., Assogna, F., Pellicano, C., Cacciari, C., Pannunzi, S., Morrone, A., Danese, E., Caltagirone, C., &amp; Spalletta, G. (2015). Sociodemographic, neuropsychiatric and cognitive characteristics of pathological gambling and impulse control disorders NOS in Parkinson’s disease.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(1), 69–76. </w:t>
      </w:r>
      <w:hyperlink r:id="rId4556" w:history="1">
        <w:r w:rsidRPr="001768F9">
          <w:rPr>
            <w:rFonts w:ascii="Times New Roman" w:eastAsia="Times New Roman" w:hAnsi="Times New Roman" w:cs="Times New Roman"/>
            <w:color w:val="0000FF"/>
            <w:sz w:val="24"/>
            <w:szCs w:val="24"/>
            <w:u w:val="single"/>
          </w:rPr>
          <w:t>https://doi.org/10.1016/j.euroneuro.2014.11.006</w:t>
        </w:r>
      </w:hyperlink>
    </w:p>
    <w:p w14:paraId="47A1DF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Pontillo, M., Menghini, D., &amp; Vicari, S. (2019). Neurocognitive profile and onset of psychosis symptoms in children, adolescents and young adults with 22q11 deletion syndrome: A longitudinal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208</w:t>
      </w:r>
      <w:r w:rsidRPr="001768F9">
        <w:rPr>
          <w:rFonts w:ascii="Times New Roman" w:eastAsia="Times New Roman" w:hAnsi="Times New Roman" w:cs="Times New Roman"/>
          <w:sz w:val="24"/>
          <w:szCs w:val="24"/>
        </w:rPr>
        <w:t xml:space="preserve">, 76–81. </w:t>
      </w:r>
      <w:hyperlink r:id="rId4557" w:history="1">
        <w:r w:rsidRPr="001768F9">
          <w:rPr>
            <w:rFonts w:ascii="Times New Roman" w:eastAsia="Times New Roman" w:hAnsi="Times New Roman" w:cs="Times New Roman"/>
            <w:color w:val="0000FF"/>
            <w:sz w:val="24"/>
            <w:szCs w:val="24"/>
            <w:u w:val="single"/>
          </w:rPr>
          <w:t>https://doi.org/10.1016/j.schres.2019.04.012</w:t>
        </w:r>
      </w:hyperlink>
    </w:p>
    <w:p w14:paraId="280F167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Poole, N. A., Crabb, J., Osei, A., Hughes, P., &amp; Young, D. (2013). Insight, psychosis, and depression in Africa: A cross-sectional survey from an inpatient unit in Ghana. </w:t>
      </w:r>
      <w:r w:rsidRPr="001768F9">
        <w:rPr>
          <w:rFonts w:ascii="Times New Roman" w:eastAsia="Times New Roman" w:hAnsi="Times New Roman" w:cs="Times New Roman"/>
          <w:i/>
          <w:iCs/>
          <w:sz w:val="24"/>
          <w:szCs w:val="24"/>
        </w:rPr>
        <w:t>Transcultural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(3), 433–441. </w:t>
      </w:r>
      <w:hyperlink r:id="rId4558" w:history="1">
        <w:r w:rsidRPr="001768F9">
          <w:rPr>
            <w:rFonts w:ascii="Times New Roman" w:eastAsia="Times New Roman" w:hAnsi="Times New Roman" w:cs="Times New Roman"/>
            <w:color w:val="0000FF"/>
            <w:sz w:val="24"/>
            <w:szCs w:val="24"/>
            <w:u w:val="single"/>
          </w:rPr>
          <w:t>https://doi.org/10.1177/1363461513483263</w:t>
        </w:r>
      </w:hyperlink>
    </w:p>
    <w:p w14:paraId="65DE92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Pope Jr., H. G., &amp; Yurgelun-Todd, D. (1996). The residual cognitive effects of heavy marijuana use in college students. </w:t>
      </w:r>
      <w:r w:rsidRPr="001768F9">
        <w:rPr>
          <w:rFonts w:ascii="Times New Roman" w:eastAsia="Times New Roman" w:hAnsi="Times New Roman" w:cs="Times New Roman"/>
          <w:i/>
          <w:iCs/>
          <w:sz w:val="24"/>
          <w:szCs w:val="24"/>
        </w:rPr>
        <w:t>JAMA: Journal of the American Medical Association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275</w:t>
      </w:r>
      <w:r w:rsidRPr="001768F9">
        <w:rPr>
          <w:rFonts w:ascii="Times New Roman" w:eastAsia="Times New Roman" w:hAnsi="Times New Roman" w:cs="Times New Roman"/>
          <w:sz w:val="24"/>
          <w:szCs w:val="24"/>
        </w:rPr>
        <w:t xml:space="preserve">(7), 521–527. </w:t>
      </w:r>
      <w:hyperlink r:id="rId4559" w:history="1">
        <w:r w:rsidRPr="001768F9">
          <w:rPr>
            <w:rFonts w:ascii="Times New Roman" w:eastAsia="Times New Roman" w:hAnsi="Times New Roman" w:cs="Times New Roman"/>
            <w:color w:val="0000FF"/>
            <w:sz w:val="24"/>
            <w:szCs w:val="24"/>
            <w:u w:val="single"/>
          </w:rPr>
          <w:t>https://doi.org/10.1001/jama.275.7.521</w:t>
        </w:r>
      </w:hyperlink>
    </w:p>
    <w:p w14:paraId="2695D1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Pope Jr., H. G., &amp; Yurgelun-Todd, D. (2004). Residual cognitive effects of long-term cannabis use. In </w:t>
      </w:r>
      <w:r w:rsidRPr="001768F9">
        <w:rPr>
          <w:rFonts w:ascii="Times New Roman" w:eastAsia="Times New Roman" w:hAnsi="Times New Roman" w:cs="Times New Roman"/>
          <w:i/>
          <w:iCs/>
          <w:sz w:val="24"/>
          <w:szCs w:val="24"/>
        </w:rPr>
        <w:t>Marijuana and madness: Psychiatry and neurobiology.</w:t>
      </w:r>
      <w:r w:rsidRPr="001768F9">
        <w:rPr>
          <w:rFonts w:ascii="Times New Roman" w:eastAsia="Times New Roman" w:hAnsi="Times New Roman" w:cs="Times New Roman"/>
          <w:sz w:val="24"/>
          <w:szCs w:val="24"/>
        </w:rPr>
        <w:t xml:space="preserve"> (pp. 198–210). Cambridge University Press. </w:t>
      </w:r>
      <w:hyperlink r:id="rId4560" w:history="1">
        <w:r w:rsidRPr="001768F9">
          <w:rPr>
            <w:rFonts w:ascii="Times New Roman" w:eastAsia="Times New Roman" w:hAnsi="Times New Roman" w:cs="Times New Roman"/>
            <w:color w:val="0000FF"/>
            <w:sz w:val="24"/>
            <w:szCs w:val="24"/>
            <w:u w:val="single"/>
          </w:rPr>
          <w:t>https://doi.org/10.1017/CBO9780511543630.015</w:t>
        </w:r>
      </w:hyperlink>
    </w:p>
    <w:p w14:paraId="5CA5CBD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Popolo, R., Vinci, G., &amp; Balbi, A. (2010). Cognitive function, social functioning and quality of life in first-episode psychosis: A 1-year longitudinal study. </w:t>
      </w:r>
      <w:r w:rsidRPr="001768F9">
        <w:rPr>
          <w:rFonts w:ascii="Times New Roman" w:eastAsia="Times New Roman" w:hAnsi="Times New Roman" w:cs="Times New Roman"/>
          <w:i/>
          <w:iCs/>
          <w:sz w:val="24"/>
          <w:szCs w:val="24"/>
        </w:rPr>
        <w:t>International Journal of Psychiatry in Clinical Practice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(1), 33–40. </w:t>
      </w:r>
      <w:hyperlink r:id="rId4561" w:history="1">
        <w:r w:rsidRPr="001768F9">
          <w:rPr>
            <w:rFonts w:ascii="Times New Roman" w:eastAsia="Times New Roman" w:hAnsi="Times New Roman" w:cs="Times New Roman"/>
            <w:color w:val="0000FF"/>
            <w:sz w:val="24"/>
            <w:szCs w:val="24"/>
            <w:u w:val="single"/>
          </w:rPr>
          <w:t>https://doi.org/10.3109/13651500903282881</w:t>
        </w:r>
      </w:hyperlink>
    </w:p>
    <w:p w14:paraId="5F8B18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Poquette, A. J., Moore, D. J., Gouaux, B., Morgan, E. E., Grant, I., &amp; Woods, S. P. (2013). Prospective memory and antiretroviral medication non-adherence in HIV: An analysis of ongoing task delay length using the Memory for Intentions Screening Test.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155–161. </w:t>
      </w:r>
      <w:hyperlink r:id="rId4562" w:history="1">
        <w:r w:rsidRPr="001768F9">
          <w:rPr>
            <w:rFonts w:ascii="Times New Roman" w:eastAsia="Times New Roman" w:hAnsi="Times New Roman" w:cs="Times New Roman"/>
            <w:color w:val="0000FF"/>
            <w:sz w:val="24"/>
            <w:szCs w:val="24"/>
            <w:u w:val="single"/>
          </w:rPr>
          <w:t>https://doi.org/10.1017/S1355617712001051</w:t>
        </w:r>
      </w:hyperlink>
    </w:p>
    <w:p w14:paraId="763BD0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Poreh, A. M., Ross, T. P., &amp; Whitman, R. D. (1995). Reexamination of executive functions in psychosis-prone college students. </w:t>
      </w:r>
      <w:r w:rsidRPr="001768F9">
        <w:rPr>
          <w:rFonts w:ascii="Times New Roman" w:eastAsia="Times New Roman" w:hAnsi="Times New Roman" w:cs="Times New Roman"/>
          <w:i/>
          <w:iCs/>
          <w:sz w:val="24"/>
          <w:szCs w:val="24"/>
        </w:rPr>
        <w:t>Personality and Individual Differences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(4), 535–539. </w:t>
      </w:r>
      <w:hyperlink r:id="rId4563" w:history="1">
        <w:r w:rsidRPr="001768F9">
          <w:rPr>
            <w:rFonts w:ascii="Times New Roman" w:eastAsia="Times New Roman" w:hAnsi="Times New Roman" w:cs="Times New Roman"/>
            <w:color w:val="0000FF"/>
            <w:sz w:val="24"/>
            <w:szCs w:val="24"/>
            <w:u w:val="single"/>
          </w:rPr>
          <w:t>https://doi.org/10.1016/0191-8869(94)00183-S</w:t>
        </w:r>
      </w:hyperlink>
    </w:p>
    <w:p w14:paraId="6FA918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Poreh, A., Pastel, D., Miller, A., &amp; Levin, J. (2012). The Cleveland Sorting Test: A preliminary study of an alternate form of the Wisconsin Card-Sorting Test.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147–152. </w:t>
      </w:r>
      <w:hyperlink r:id="rId4564" w:history="1">
        <w:r w:rsidRPr="001768F9">
          <w:rPr>
            <w:rFonts w:ascii="Times New Roman" w:eastAsia="Times New Roman" w:hAnsi="Times New Roman" w:cs="Times New Roman"/>
            <w:color w:val="0000FF"/>
            <w:sz w:val="24"/>
            <w:szCs w:val="24"/>
            <w:u w:val="single"/>
          </w:rPr>
          <w:t>https://doi.org/10.1080/09084282.2011.643952</w:t>
        </w:r>
      </w:hyperlink>
    </w:p>
    <w:p w14:paraId="452767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Poreh, A., &amp; Poreh, M. (2020). Analysis of age-related cognitive functioning using reliability and time to Failure Rate Theory. </w:t>
      </w:r>
      <w:r w:rsidRPr="001768F9">
        <w:rPr>
          <w:rFonts w:ascii="Times New Roman" w:eastAsia="Times New Roman" w:hAnsi="Times New Roman" w:cs="Times New Roman"/>
          <w:i/>
          <w:iCs/>
          <w:sz w:val="24"/>
          <w:szCs w:val="24"/>
        </w:rPr>
        <w:t>Psychology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(1), 76–92. </w:t>
      </w:r>
      <w:hyperlink r:id="rId4565" w:history="1">
        <w:r w:rsidRPr="001768F9">
          <w:rPr>
            <w:rFonts w:ascii="Times New Roman" w:eastAsia="Times New Roman" w:hAnsi="Times New Roman" w:cs="Times New Roman"/>
            <w:color w:val="0000FF"/>
            <w:sz w:val="24"/>
            <w:szCs w:val="24"/>
            <w:u w:val="single"/>
          </w:rPr>
          <w:t>https://doi.org/10.1037/pne0000180</w:t>
        </w:r>
      </w:hyperlink>
    </w:p>
    <w:p w14:paraId="13ADF2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Porflitt, F. I., &amp; Rosas-Díaz, R. R. (2019). Behind the scene: Cognitive benefits of playing a musical instrument. Executive functions, processing speed, fluid intelligence and divided attention. </w:t>
      </w:r>
      <w:r w:rsidRPr="001768F9">
        <w:rPr>
          <w:rFonts w:ascii="Times New Roman" w:eastAsia="Times New Roman" w:hAnsi="Times New Roman" w:cs="Times New Roman"/>
          <w:i/>
          <w:iCs/>
          <w:sz w:val="24"/>
          <w:szCs w:val="24"/>
        </w:rPr>
        <w:t>Studies in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(2), 464–490. </w:t>
      </w:r>
      <w:hyperlink r:id="rId4566" w:history="1">
        <w:r w:rsidRPr="001768F9">
          <w:rPr>
            <w:rFonts w:ascii="Times New Roman" w:eastAsia="Times New Roman" w:hAnsi="Times New Roman" w:cs="Times New Roman"/>
            <w:color w:val="0000FF"/>
            <w:sz w:val="24"/>
            <w:szCs w:val="24"/>
            <w:u w:val="single"/>
          </w:rPr>
          <w:t>https://doi.org/10.1080/02109395.2019.1601474</w:t>
        </w:r>
      </w:hyperlink>
    </w:p>
    <w:p w14:paraId="1344B69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Porges, C. R. (2013). Substance abuse in aviation: Clinical and practical implications. In </w:t>
      </w:r>
      <w:r w:rsidRPr="001768F9">
        <w:rPr>
          <w:rFonts w:ascii="Times New Roman" w:eastAsia="Times New Roman" w:hAnsi="Times New Roman" w:cs="Times New Roman"/>
          <w:i/>
          <w:iCs/>
          <w:sz w:val="24"/>
          <w:szCs w:val="24"/>
        </w:rPr>
        <w:t>Aeromedical psychology.</w:t>
      </w:r>
      <w:r w:rsidRPr="001768F9">
        <w:rPr>
          <w:rFonts w:ascii="Times New Roman" w:eastAsia="Times New Roman" w:hAnsi="Times New Roman" w:cs="Times New Roman"/>
          <w:sz w:val="24"/>
          <w:szCs w:val="24"/>
        </w:rPr>
        <w:t xml:space="preserve"> (pp. 107–123). Ashgate Publishing Ltd.</w:t>
      </w:r>
    </w:p>
    <w:p w14:paraId="4E1C7D9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Portnoy, J., Gao, Y., Glenn, A. L., Niv, S., Peskin, M., Rudo-Hutt, A., Schug, R. A., Yang, Y., &amp; Raine, A. (2013). The biology of childhood crime and antisocial behavior. In </w:t>
      </w:r>
      <w:r w:rsidRPr="001768F9">
        <w:rPr>
          <w:rFonts w:ascii="Times New Roman" w:eastAsia="Times New Roman" w:hAnsi="Times New Roman" w:cs="Times New Roman"/>
          <w:i/>
          <w:iCs/>
          <w:sz w:val="24"/>
          <w:szCs w:val="24"/>
        </w:rPr>
        <w:t>Handbook of life-course criminology: Emerging trends and directions for future research.</w:t>
      </w:r>
      <w:r w:rsidRPr="001768F9">
        <w:rPr>
          <w:rFonts w:ascii="Times New Roman" w:eastAsia="Times New Roman" w:hAnsi="Times New Roman" w:cs="Times New Roman"/>
          <w:sz w:val="24"/>
          <w:szCs w:val="24"/>
        </w:rPr>
        <w:t xml:space="preserve"> (pp. 21–42). Springer Science + Business Media. </w:t>
      </w:r>
      <w:hyperlink r:id="rId4567" w:history="1">
        <w:r w:rsidRPr="001768F9">
          <w:rPr>
            <w:rFonts w:ascii="Times New Roman" w:eastAsia="Times New Roman" w:hAnsi="Times New Roman" w:cs="Times New Roman"/>
            <w:color w:val="0000FF"/>
            <w:sz w:val="24"/>
            <w:szCs w:val="24"/>
            <w:u w:val="single"/>
          </w:rPr>
          <w:t>https://doi.org/10.1007/978-1-4614-5113-6_2</w:t>
        </w:r>
      </w:hyperlink>
    </w:p>
    <w:p w14:paraId="360BDEE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Porto, C. S., Caramelli, P., &amp; Nitrini, R. (2007). The Dementia Rating Scale (DRS) in the diagnosis of vascular dementia. </w:t>
      </w:r>
      <w:r w:rsidRPr="001768F9">
        <w:rPr>
          <w:rFonts w:ascii="Times New Roman" w:eastAsia="Times New Roman" w:hAnsi="Times New Roman" w:cs="Times New Roman"/>
          <w:i/>
          <w:iCs/>
          <w:sz w:val="24"/>
          <w:szCs w:val="24"/>
        </w:rPr>
        <w:t>Dementia &amp; 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(3), 282–287. </w:t>
      </w:r>
      <w:hyperlink r:id="rId4568" w:history="1">
        <w:r w:rsidRPr="001768F9">
          <w:rPr>
            <w:rFonts w:ascii="Times New Roman" w:eastAsia="Times New Roman" w:hAnsi="Times New Roman" w:cs="Times New Roman"/>
            <w:color w:val="0000FF"/>
            <w:sz w:val="24"/>
            <w:szCs w:val="24"/>
            <w:u w:val="single"/>
          </w:rPr>
          <w:t>https://doi.org/10.1590/S1980-57642008DN10300010</w:t>
        </w:r>
      </w:hyperlink>
    </w:p>
    <w:p w14:paraId="007423B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Possin, K. L., Chester, S. K., Laluz, V., Bostrom, A., Rosen, H. J., Miller, B. L., &amp; Kramer, J. H. (2012). The frontal-anatomic specificity of design fluency repetitions and their diagnostic relevance for behavioral variant frontotemporal dementia.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(5), 834–844. </w:t>
      </w:r>
      <w:hyperlink r:id="rId4569" w:history="1">
        <w:r w:rsidRPr="001768F9">
          <w:rPr>
            <w:rFonts w:ascii="Times New Roman" w:eastAsia="Times New Roman" w:hAnsi="Times New Roman" w:cs="Times New Roman"/>
            <w:color w:val="0000FF"/>
            <w:sz w:val="24"/>
            <w:szCs w:val="24"/>
            <w:u w:val="single"/>
          </w:rPr>
          <w:t>https://doi.org/10.1017/S1355617712000604</w:t>
        </w:r>
      </w:hyperlink>
    </w:p>
    <w:p w14:paraId="028AA9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Possin, K. L., Filoteo, J. V., Roesch, S. C., Zizak, V., Rilling, L. M., &amp; Davis, J. D. (2005). Is a perseveration a perseveration? An evaluation of cognitive error types in patients with subcortical pathology.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(8), 953–966. </w:t>
      </w:r>
      <w:hyperlink r:id="rId4570" w:history="1">
        <w:r w:rsidRPr="001768F9">
          <w:rPr>
            <w:rFonts w:ascii="Times New Roman" w:eastAsia="Times New Roman" w:hAnsi="Times New Roman" w:cs="Times New Roman"/>
            <w:color w:val="0000FF"/>
            <w:sz w:val="24"/>
            <w:szCs w:val="24"/>
            <w:u w:val="single"/>
          </w:rPr>
          <w:t>https://doi.org/10.1080/13803390490919092</w:t>
        </w:r>
      </w:hyperlink>
    </w:p>
    <w:p w14:paraId="1C8335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Post, R. M., Fleming, J., &amp; Kapczinski, F. (2012). Neurobiological correlates of illness progression in the recurrent affective disorders.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(5), 561–573. </w:t>
      </w:r>
      <w:hyperlink r:id="rId4571" w:history="1">
        <w:r w:rsidRPr="001768F9">
          <w:rPr>
            <w:rFonts w:ascii="Times New Roman" w:eastAsia="Times New Roman" w:hAnsi="Times New Roman" w:cs="Times New Roman"/>
            <w:color w:val="0000FF"/>
            <w:sz w:val="24"/>
            <w:szCs w:val="24"/>
            <w:u w:val="single"/>
          </w:rPr>
          <w:t>https://doi.org/10.1016/j.jpsychires.2012.02.004</w:t>
        </w:r>
      </w:hyperlink>
    </w:p>
    <w:p w14:paraId="70B9B0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Posthuma, A. (2016). Current and new developments in psychological testing for child custody disputes. In </w:t>
      </w:r>
      <w:r w:rsidRPr="001768F9">
        <w:rPr>
          <w:rFonts w:ascii="Times New Roman" w:eastAsia="Times New Roman" w:hAnsi="Times New Roman" w:cs="Times New Roman"/>
          <w:i/>
          <w:iCs/>
          <w:sz w:val="24"/>
          <w:szCs w:val="24"/>
        </w:rPr>
        <w:t>Handbook of child custody.</w:t>
      </w:r>
      <w:r w:rsidRPr="001768F9">
        <w:rPr>
          <w:rFonts w:ascii="Times New Roman" w:eastAsia="Times New Roman" w:hAnsi="Times New Roman" w:cs="Times New Roman"/>
          <w:sz w:val="24"/>
          <w:szCs w:val="24"/>
        </w:rPr>
        <w:t xml:space="preserve"> (pp. 67–84). Springer International Publishing. </w:t>
      </w:r>
      <w:hyperlink r:id="rId4572" w:history="1">
        <w:r w:rsidRPr="001768F9">
          <w:rPr>
            <w:rFonts w:ascii="Times New Roman" w:eastAsia="Times New Roman" w:hAnsi="Times New Roman" w:cs="Times New Roman"/>
            <w:color w:val="0000FF"/>
            <w:sz w:val="24"/>
            <w:szCs w:val="24"/>
            <w:u w:val="single"/>
          </w:rPr>
          <w:t>https://doi.org/10.1007/978-3-319-13942-5_8</w:t>
        </w:r>
      </w:hyperlink>
    </w:p>
    <w:p w14:paraId="1EBEEF3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Pothier, C., Nolin, P., &amp; Desmarais, G. (2009). Ce que nous apprend le rendement d’enfants ayant un traumatisme cranio-cérébral sur les ressemblances et dissemblances entre l’intelligence et les fonctions exécutives. [What we can learn from the performance of children with traumatic brain injury about. </w:t>
      </w:r>
      <w:r w:rsidRPr="001768F9">
        <w:rPr>
          <w:rFonts w:ascii="Times New Roman" w:eastAsia="Times New Roman" w:hAnsi="Times New Roman" w:cs="Times New Roman"/>
          <w:i/>
          <w:iCs/>
          <w:sz w:val="24"/>
          <w:szCs w:val="24"/>
        </w:rPr>
        <w:t>A.N.A.E. Approche Neuropsychologique Des Apprentissages Chez l’Enfant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(1[101]), 16–21.</w:t>
      </w:r>
    </w:p>
    <w:p w14:paraId="1DECB0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Potter, A. I., &amp; Nestor, P. G. (2010). IQ subtypes in schizophrenia: Distinct symptom and neuropsychological profiles.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(8), 580–585. </w:t>
      </w:r>
      <w:hyperlink r:id="rId4573" w:history="1">
        <w:r w:rsidRPr="001768F9">
          <w:rPr>
            <w:rFonts w:ascii="Times New Roman" w:eastAsia="Times New Roman" w:hAnsi="Times New Roman" w:cs="Times New Roman"/>
            <w:color w:val="0000FF"/>
            <w:sz w:val="24"/>
            <w:szCs w:val="24"/>
            <w:u w:val="single"/>
          </w:rPr>
          <w:t>https://doi.org/10.1097/NMD.0b013e3181ea4e43</w:t>
        </w:r>
      </w:hyperlink>
    </w:p>
    <w:p w14:paraId="1C3B36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Potterat, E. G. (1998). </w:t>
      </w:r>
      <w:r w:rsidRPr="001768F9">
        <w:rPr>
          <w:rFonts w:ascii="Times New Roman" w:eastAsia="Times New Roman" w:hAnsi="Times New Roman" w:cs="Times New Roman"/>
          <w:i/>
          <w:iCs/>
          <w:sz w:val="24"/>
          <w:szCs w:val="24"/>
        </w:rPr>
        <w:t>Measuring the density of executive impairment in patients with schizophrenia: The effects of strategy verbalization on Wisconsin Card Sorting Test performance.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(6-B), 3071–3071.</w:t>
      </w:r>
    </w:p>
    <w:p w14:paraId="26B221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Potvin, S., Stavro, K., &amp; Pelletier, J. (2012). Paradoxical cognitive capacities in dual diagnosis schizophrenia: The quest for explanatory factors. </w:t>
      </w:r>
      <w:r w:rsidRPr="001768F9">
        <w:rPr>
          <w:rFonts w:ascii="Times New Roman" w:eastAsia="Times New Roman" w:hAnsi="Times New Roman" w:cs="Times New Roman"/>
          <w:i/>
          <w:iCs/>
          <w:sz w:val="24"/>
          <w:szCs w:val="24"/>
        </w:rPr>
        <w:t>Journal of Dual Diagnosis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35–47. </w:t>
      </w:r>
      <w:hyperlink r:id="rId4574" w:history="1">
        <w:r w:rsidRPr="001768F9">
          <w:rPr>
            <w:rFonts w:ascii="Times New Roman" w:eastAsia="Times New Roman" w:hAnsi="Times New Roman" w:cs="Times New Roman"/>
            <w:color w:val="0000FF"/>
            <w:sz w:val="24"/>
            <w:szCs w:val="24"/>
            <w:u w:val="single"/>
          </w:rPr>
          <w:t>https://doi.org/10.1080/15504263.2012.648549</w:t>
        </w:r>
      </w:hyperlink>
    </w:p>
    <w:p w14:paraId="1AB558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Potvin, S., Stip, E., Tempier, A., Pampoulova, T., Bentaleb, L. A., Lalonde, P., Lipp, O., Goffaux, P., &amp; Marchand, S. (2008). Pain perception in schizophrenia: No changes in diffuse noxious inhibitory controls (DNIC) but a lack of pain sensitization.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(12), 1010–1016. </w:t>
      </w:r>
      <w:hyperlink r:id="rId4575" w:history="1">
        <w:r w:rsidRPr="001768F9">
          <w:rPr>
            <w:rFonts w:ascii="Times New Roman" w:eastAsia="Times New Roman" w:hAnsi="Times New Roman" w:cs="Times New Roman"/>
            <w:color w:val="0000FF"/>
            <w:sz w:val="24"/>
            <w:szCs w:val="24"/>
            <w:u w:val="single"/>
          </w:rPr>
          <w:t>https://doi.org/10.1016/j.jpsychires.2007.11.001</w:t>
        </w:r>
      </w:hyperlink>
    </w:p>
    <w:p w14:paraId="3A14D18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Pouget, P., Pradat-Diehl, P., Rivaud-Péchoux, S., Wattiez, N., &amp; Gaymard, B. (2011). An oculomotor and computational study of a patient with diagonistic dyspraxia.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473–483. </w:t>
      </w:r>
      <w:hyperlink r:id="rId4576" w:history="1">
        <w:r w:rsidRPr="001768F9">
          <w:rPr>
            <w:rFonts w:ascii="Times New Roman" w:eastAsia="Times New Roman" w:hAnsi="Times New Roman" w:cs="Times New Roman"/>
            <w:color w:val="0000FF"/>
            <w:sz w:val="24"/>
            <w:szCs w:val="24"/>
            <w:u w:val="single"/>
          </w:rPr>
          <w:t>https://doi.org/10.1016/j.cortex.2010.04.001</w:t>
        </w:r>
      </w:hyperlink>
    </w:p>
    <w:p w14:paraId="4BB8049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Poulin, V., Korner-Bitensky, N., Dawson, D. R., &amp; Bherer, L. (2012). Efficacy of executive function interventions after stroke: A systematic review. </w:t>
      </w:r>
      <w:r w:rsidRPr="001768F9">
        <w:rPr>
          <w:rFonts w:ascii="Times New Roman" w:eastAsia="Times New Roman" w:hAnsi="Times New Roman" w:cs="Times New Roman"/>
          <w:i/>
          <w:iCs/>
          <w:sz w:val="24"/>
          <w:szCs w:val="24"/>
        </w:rPr>
        <w:t>Topics in Stroke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158–171. </w:t>
      </w:r>
      <w:hyperlink r:id="rId4577" w:history="1">
        <w:r w:rsidRPr="001768F9">
          <w:rPr>
            <w:rFonts w:ascii="Times New Roman" w:eastAsia="Times New Roman" w:hAnsi="Times New Roman" w:cs="Times New Roman"/>
            <w:color w:val="0000FF"/>
            <w:sz w:val="24"/>
            <w:szCs w:val="24"/>
            <w:u w:val="single"/>
          </w:rPr>
          <w:t>https://doi.org/10.1310/tsr1902-158</w:t>
        </w:r>
      </w:hyperlink>
    </w:p>
    <w:p w14:paraId="6D95AE3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Poulsen, C., Luu, P., Davey, C., &amp; Tucker, D. M. (2005). Dynamics of task sets: Evidence from dense-array event-related potentials. </w:t>
      </w:r>
      <w:r w:rsidRPr="001768F9">
        <w:rPr>
          <w:rFonts w:ascii="Times New Roman" w:eastAsia="Times New Roman" w:hAnsi="Times New Roman" w:cs="Times New Roman"/>
          <w:i/>
          <w:iCs/>
          <w:sz w:val="24"/>
          <w:szCs w:val="24"/>
        </w:rPr>
        <w:t>Cognitive 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133–154. </w:t>
      </w:r>
      <w:hyperlink r:id="rId4578" w:history="1">
        <w:r w:rsidRPr="001768F9">
          <w:rPr>
            <w:rFonts w:ascii="Times New Roman" w:eastAsia="Times New Roman" w:hAnsi="Times New Roman" w:cs="Times New Roman"/>
            <w:color w:val="0000FF"/>
            <w:sz w:val="24"/>
            <w:szCs w:val="24"/>
            <w:u w:val="single"/>
          </w:rPr>
          <w:t>https://doi.org/10.1016/j.cogbrainres.2005.01.008</w:t>
        </w:r>
      </w:hyperlink>
    </w:p>
    <w:p w14:paraId="224929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Pouw, W., Rop, G., de Koning, B., &amp; Paas, F. (2019). The cognitive basis for the split-attention effect. </w:t>
      </w:r>
      <w:r w:rsidRPr="001768F9">
        <w:rPr>
          <w:rFonts w:ascii="Times New Roman" w:eastAsia="Times New Roman" w:hAnsi="Times New Roman" w:cs="Times New Roman"/>
          <w:i/>
          <w:iCs/>
          <w:sz w:val="24"/>
          <w:szCs w:val="24"/>
        </w:rPr>
        <w:t>Journal of Experimental Psychology: General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148</w:t>
      </w:r>
      <w:r w:rsidRPr="001768F9">
        <w:rPr>
          <w:rFonts w:ascii="Times New Roman" w:eastAsia="Times New Roman" w:hAnsi="Times New Roman" w:cs="Times New Roman"/>
          <w:sz w:val="24"/>
          <w:szCs w:val="24"/>
        </w:rPr>
        <w:t xml:space="preserve">(11), 2058–2075. </w:t>
      </w:r>
      <w:hyperlink r:id="rId4579" w:history="1">
        <w:r w:rsidRPr="001768F9">
          <w:rPr>
            <w:rFonts w:ascii="Times New Roman" w:eastAsia="Times New Roman" w:hAnsi="Times New Roman" w:cs="Times New Roman"/>
            <w:color w:val="0000FF"/>
            <w:sz w:val="24"/>
            <w:szCs w:val="24"/>
            <w:u w:val="single"/>
          </w:rPr>
          <w:t>https://doi.org/10.1037/xge0000578</w:t>
        </w:r>
      </w:hyperlink>
    </w:p>
    <w:p w14:paraId="6BD4A15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Power, B. D., Dragovi c, M., &amp; Daniel Rock. (2012). Brief Screening for Executive Dysfunction in Schizophrenia in a Rehabilitation Hospital. </w:t>
      </w:r>
      <w:r w:rsidRPr="001768F9">
        <w:rPr>
          <w:rFonts w:ascii="Times New Roman" w:eastAsia="Times New Roman" w:hAnsi="Times New Roman" w:cs="Times New Roman"/>
          <w:i/>
          <w:iCs/>
          <w:sz w:val="24"/>
          <w:szCs w:val="24"/>
        </w:rPr>
        <w:t>Neuropsychiatry Clin Neurosci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(2), 215–222. </w:t>
      </w:r>
      <w:hyperlink r:id="rId4580" w:history="1">
        <w:r w:rsidRPr="001768F9">
          <w:rPr>
            <w:rFonts w:ascii="Times New Roman" w:eastAsia="Times New Roman" w:hAnsi="Times New Roman" w:cs="Times New Roman"/>
            <w:color w:val="0000FF"/>
            <w:sz w:val="24"/>
            <w:szCs w:val="24"/>
            <w:u w:val="single"/>
          </w:rPr>
          <w:t>https://doi.org/10.1080/02699050701253095</w:t>
        </w:r>
      </w:hyperlink>
    </w:p>
    <w:p w14:paraId="573D7B1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Poyurovsky, M. (2013). </w:t>
      </w:r>
      <w:r w:rsidRPr="001768F9">
        <w:rPr>
          <w:rFonts w:ascii="Times New Roman" w:eastAsia="Times New Roman" w:hAnsi="Times New Roman" w:cs="Times New Roman"/>
          <w:i/>
          <w:iCs/>
          <w:sz w:val="24"/>
          <w:szCs w:val="24"/>
        </w:rPr>
        <w:t>Schizo-obsessive disorder.</w:t>
      </w:r>
      <w:r w:rsidRPr="001768F9">
        <w:rPr>
          <w:rFonts w:ascii="Times New Roman" w:eastAsia="Times New Roman" w:hAnsi="Times New Roman" w:cs="Times New Roman"/>
          <w:sz w:val="24"/>
          <w:szCs w:val="24"/>
        </w:rPr>
        <w:t xml:space="preserve"> (pp. xi, 236). Cambridge University Press. </w:t>
      </w:r>
      <w:hyperlink r:id="rId4581" w:history="1">
        <w:r w:rsidRPr="001768F9">
          <w:rPr>
            <w:rFonts w:ascii="Times New Roman" w:eastAsia="Times New Roman" w:hAnsi="Times New Roman" w:cs="Times New Roman"/>
            <w:color w:val="0000FF"/>
            <w:sz w:val="24"/>
            <w:szCs w:val="24"/>
            <w:u w:val="single"/>
          </w:rPr>
          <w:t>https://doi.org/10.1017/CBO9780511686931</w:t>
        </w:r>
      </w:hyperlink>
    </w:p>
    <w:p w14:paraId="6CA7F3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Poyurovsky, M., Koren, D., Gonopolsky, I., Schneidman, M., Fuchs, C., Weizman, A., &amp; Weizman, R. (2003). Effect of the 5-HT2 antagonist mianserin on cognitive dysfunction in chronic schizophrenia patients: An add-on, double-blind placebo-controlled study. </w:t>
      </w:r>
      <w:r w:rsidRPr="001768F9">
        <w:rPr>
          <w:rFonts w:ascii="Times New Roman" w:eastAsia="Times New Roman" w:hAnsi="Times New Roman" w:cs="Times New Roman"/>
          <w:i/>
          <w:iCs/>
          <w:sz w:val="24"/>
          <w:szCs w:val="24"/>
        </w:rPr>
        <w:t>European 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(2), 123–128. </w:t>
      </w:r>
      <w:hyperlink r:id="rId4582" w:history="1">
        <w:r w:rsidRPr="001768F9">
          <w:rPr>
            <w:rFonts w:ascii="Times New Roman" w:eastAsia="Times New Roman" w:hAnsi="Times New Roman" w:cs="Times New Roman"/>
            <w:color w:val="0000FF"/>
            <w:sz w:val="24"/>
            <w:szCs w:val="24"/>
            <w:u w:val="single"/>
          </w:rPr>
          <w:t>https://doi.org/10.1016/S0924-977X(02)00155-4</w:t>
        </w:r>
      </w:hyperlink>
    </w:p>
    <w:p w14:paraId="02260CC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Pozorski, V., Oh, J. M., Adluru, N., Merluzzi, A. P., Theisen, F., Okonkwo, O., Barzgari, A., Krislov, S., Sojkova, J., Bendlin, B. B., Johnson, S. C., Alexander, A. L., &amp; Gallagher, C. L. (2018). Longitudinal white matter microstructural change in Parkinson’s disease.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(10), 4150–4161. </w:t>
      </w:r>
      <w:hyperlink r:id="rId4583" w:history="1">
        <w:r w:rsidRPr="001768F9">
          <w:rPr>
            <w:rFonts w:ascii="Times New Roman" w:eastAsia="Times New Roman" w:hAnsi="Times New Roman" w:cs="Times New Roman"/>
            <w:color w:val="0000FF"/>
            <w:sz w:val="24"/>
            <w:szCs w:val="24"/>
            <w:u w:val="single"/>
          </w:rPr>
          <w:t>https://doi.org/10.1002/hbm.24239</w:t>
        </w:r>
      </w:hyperlink>
    </w:p>
    <w:p w14:paraId="08C6051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Prabhakharan, P., &amp; Molesworth, B. R. C. (2011). Repairing faulty scripts to reduce speeding behaviour in young drivers. </w:t>
      </w:r>
      <w:r w:rsidRPr="001768F9">
        <w:rPr>
          <w:rFonts w:ascii="Times New Roman" w:eastAsia="Times New Roman" w:hAnsi="Times New Roman" w:cs="Times New Roman"/>
          <w:i/>
          <w:iCs/>
          <w:sz w:val="24"/>
          <w:szCs w:val="24"/>
        </w:rPr>
        <w:t>Accident Analysis and Prevention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(5), 1696–1702. </w:t>
      </w:r>
      <w:hyperlink r:id="rId4584" w:history="1">
        <w:r w:rsidRPr="001768F9">
          <w:rPr>
            <w:rFonts w:ascii="Times New Roman" w:eastAsia="Times New Roman" w:hAnsi="Times New Roman" w:cs="Times New Roman"/>
            <w:color w:val="0000FF"/>
            <w:sz w:val="24"/>
            <w:szCs w:val="24"/>
            <w:u w:val="single"/>
          </w:rPr>
          <w:t>https://doi.org/10.1016/j.aap.2011.03.028</w:t>
        </w:r>
      </w:hyperlink>
    </w:p>
    <w:p w14:paraId="2FBE1D6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Prada, L., Barceló, F., Herrmann, C. S., &amp; Escera, C. (2014). EEG delta oscillations index inhibitory control of contextual novelty to both irrelevant distracters and relevant task‐switch cues. </w:t>
      </w:r>
      <w:r w:rsidRPr="001768F9">
        <w:rPr>
          <w:rFonts w:ascii="Times New Roman" w:eastAsia="Times New Roman" w:hAnsi="Times New Roman" w:cs="Times New Roman"/>
          <w:i/>
          <w:iCs/>
          <w:sz w:val="24"/>
          <w:szCs w:val="24"/>
        </w:rPr>
        <w:t>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(7), 658–672. </w:t>
      </w:r>
      <w:hyperlink r:id="rId4585" w:history="1">
        <w:r w:rsidRPr="001768F9">
          <w:rPr>
            <w:rFonts w:ascii="Times New Roman" w:eastAsia="Times New Roman" w:hAnsi="Times New Roman" w:cs="Times New Roman"/>
            <w:color w:val="0000FF"/>
            <w:sz w:val="24"/>
            <w:szCs w:val="24"/>
            <w:u w:val="single"/>
          </w:rPr>
          <w:t>https://doi.org/10.1111/psyp.12210</w:t>
        </w:r>
      </w:hyperlink>
    </w:p>
    <w:p w14:paraId="2B7B8F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Pradhan, B. K., Chakrabarti, S., Nehra, R., &amp; Mankotia, A. (2008). Cognitive functions in bipolar affective disorder and schizophrenia: Comparison.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(5), 515–525. </w:t>
      </w:r>
      <w:hyperlink r:id="rId4586" w:history="1">
        <w:r w:rsidRPr="001768F9">
          <w:rPr>
            <w:rFonts w:ascii="Times New Roman" w:eastAsia="Times New Roman" w:hAnsi="Times New Roman" w:cs="Times New Roman"/>
            <w:color w:val="0000FF"/>
            <w:sz w:val="24"/>
            <w:szCs w:val="24"/>
            <w:u w:val="single"/>
          </w:rPr>
          <w:t>https://doi.org/10.1111/j.1440-1819.2008.01844.x</w:t>
        </w:r>
      </w:hyperlink>
    </w:p>
    <w:p w14:paraId="3E3ABD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Prado Bolognani, S. A., Cov, P., Landucci-Moreira, D., Rivero, T. S., Dozzi Brucki, S. M., &amp; Amodeo Bueno, O. F. (2007). Neuropsychological rehabilitation in a patient with ruptured anterior communicating artery aneurysm: 48 month outcomes. </w:t>
      </w:r>
      <w:r w:rsidRPr="001768F9">
        <w:rPr>
          <w:rFonts w:ascii="Times New Roman" w:eastAsia="Times New Roman" w:hAnsi="Times New Roman" w:cs="Times New Roman"/>
          <w:i/>
          <w:iCs/>
          <w:sz w:val="24"/>
          <w:szCs w:val="24"/>
        </w:rPr>
        <w:t>Dementia &amp; 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(4), 407–411. </w:t>
      </w:r>
      <w:hyperlink r:id="rId4587" w:history="1">
        <w:r w:rsidRPr="001768F9">
          <w:rPr>
            <w:rFonts w:ascii="Times New Roman" w:eastAsia="Times New Roman" w:hAnsi="Times New Roman" w:cs="Times New Roman"/>
            <w:color w:val="0000FF"/>
            <w:sz w:val="24"/>
            <w:szCs w:val="24"/>
            <w:u w:val="single"/>
          </w:rPr>
          <w:t>https://doi.org/10.1590/S1980-57642008DN10400014</w:t>
        </w:r>
      </w:hyperlink>
    </w:p>
    <w:p w14:paraId="6E7659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Prakasha, R. S., Erickson, K. I., Snook, E. M., Colcombe, S. J., Motl, R. W., &amp; Kramer, A. F. (2008). Cortical recruitment during selective attention in multiple sclerosis: An fMRI investigation of individual differences.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(12), 2888–2895. </w:t>
      </w:r>
      <w:hyperlink r:id="rId4588" w:history="1">
        <w:r w:rsidRPr="001768F9">
          <w:rPr>
            <w:rFonts w:ascii="Times New Roman" w:eastAsia="Times New Roman" w:hAnsi="Times New Roman" w:cs="Times New Roman"/>
            <w:color w:val="0000FF"/>
            <w:sz w:val="24"/>
            <w:szCs w:val="24"/>
            <w:u w:val="single"/>
          </w:rPr>
          <w:t>https://doi.org/10.1016/j.neuropsychologia.2008.05.027</w:t>
        </w:r>
      </w:hyperlink>
    </w:p>
    <w:p w14:paraId="4D4F3A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Pralus, A., Belfi, A., Hirel, C., Lévêque, Y., Fornoni, L., Bigand, E., Jung, J., Tranel, D., Nighoghossian, N., Tillmann, B., &amp; Caclin, A. (2020). Recognition of musical emotions and their perceived intensity after unilateral brain damage.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 78–93. </w:t>
      </w:r>
      <w:hyperlink r:id="rId4589" w:history="1">
        <w:r w:rsidRPr="001768F9">
          <w:rPr>
            <w:rFonts w:ascii="Times New Roman" w:eastAsia="Times New Roman" w:hAnsi="Times New Roman" w:cs="Times New Roman"/>
            <w:color w:val="0000FF"/>
            <w:sz w:val="24"/>
            <w:szCs w:val="24"/>
            <w:u w:val="single"/>
          </w:rPr>
          <w:t>https://doi.org/10.1016/j.cortex.2020.05.015</w:t>
        </w:r>
      </w:hyperlink>
    </w:p>
    <w:p w14:paraId="7375A2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Eack, S. M., Goradia, D., Pancholi, K. M., Keshavan, M. S., Yolken, R. H., &amp; Nimgaonkar, V. L. (2011). Progressive gray matter loss and changes in cognitive functioning associated with exposure to herpes simplex virus 1 in schizophrenia: A longitudinal study.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168</w:t>
      </w:r>
      <w:r w:rsidRPr="001768F9">
        <w:rPr>
          <w:rFonts w:ascii="Times New Roman" w:eastAsia="Times New Roman" w:hAnsi="Times New Roman" w:cs="Times New Roman"/>
          <w:sz w:val="24"/>
          <w:szCs w:val="24"/>
        </w:rPr>
        <w:t xml:space="preserve">(8), 822–830. </w:t>
      </w:r>
      <w:hyperlink r:id="rId4590" w:history="1">
        <w:r w:rsidRPr="001768F9">
          <w:rPr>
            <w:rFonts w:ascii="Times New Roman" w:eastAsia="Times New Roman" w:hAnsi="Times New Roman" w:cs="Times New Roman"/>
            <w:color w:val="0000FF"/>
            <w:sz w:val="24"/>
            <w:szCs w:val="24"/>
            <w:u w:val="single"/>
          </w:rPr>
          <w:t>https://doi.org/10.1176/appi.ajp.2011.10101423</w:t>
        </w:r>
      </w:hyperlink>
    </w:p>
    <w:p w14:paraId="02E7461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Sanders, R., Sweeney, J., Montrose, D., Diwadkar, V., Dworakowski, D., Miewald, J., &amp; Keshavan, M. (2009). Neurological abnormalities among offspring of persons with schizophrenia: Relation to premorbid psychopathology.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108</w:t>
      </w:r>
      <w:r w:rsidRPr="001768F9">
        <w:rPr>
          <w:rFonts w:ascii="Times New Roman" w:eastAsia="Times New Roman" w:hAnsi="Times New Roman" w:cs="Times New Roman"/>
          <w:sz w:val="24"/>
          <w:szCs w:val="24"/>
        </w:rPr>
        <w:t xml:space="preserve">(1–3), 163–169. </w:t>
      </w:r>
      <w:hyperlink r:id="rId4591" w:history="1">
        <w:r w:rsidRPr="001768F9">
          <w:rPr>
            <w:rFonts w:ascii="Times New Roman" w:eastAsia="Times New Roman" w:hAnsi="Times New Roman" w:cs="Times New Roman"/>
            <w:color w:val="0000FF"/>
            <w:sz w:val="24"/>
            <w:szCs w:val="24"/>
            <w:u w:val="single"/>
          </w:rPr>
          <w:t>https://doi.org/10.1016/j.schres.2008.11.019</w:t>
        </w:r>
      </w:hyperlink>
    </w:p>
    <w:p w14:paraId="7D79A3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Upton, C. H., Nimgaonkar, V. L., &amp; Keshavan, M. S. (2015). Differential susceptibility of white matter tracts to inflammatory mediators in schizophrenia: An integrated DTI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161</w:t>
      </w:r>
      <w:r w:rsidRPr="001768F9">
        <w:rPr>
          <w:rFonts w:ascii="Times New Roman" w:eastAsia="Times New Roman" w:hAnsi="Times New Roman" w:cs="Times New Roman"/>
          <w:sz w:val="24"/>
          <w:szCs w:val="24"/>
        </w:rPr>
        <w:t xml:space="preserve">(1), 119–125. </w:t>
      </w:r>
      <w:hyperlink r:id="rId4592" w:history="1">
        <w:r w:rsidRPr="001768F9">
          <w:rPr>
            <w:rFonts w:ascii="Times New Roman" w:eastAsia="Times New Roman" w:hAnsi="Times New Roman" w:cs="Times New Roman"/>
            <w:color w:val="0000FF"/>
            <w:sz w:val="24"/>
            <w:szCs w:val="24"/>
            <w:u w:val="single"/>
          </w:rPr>
          <w:t>https://doi.org/10.1016/j.schres.2014.09.043</w:t>
        </w:r>
      </w:hyperlink>
    </w:p>
    <w:p w14:paraId="3E71CF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Upton, C. H., Schirda, C. S., Nimgaonkar, V. L., &amp; Keshavan, M. S. (2015). White matter diffusivity and microarchitecture among schizophrenia subjects and first-degree relatives.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161</w:t>
      </w:r>
      <w:r w:rsidRPr="001768F9">
        <w:rPr>
          <w:rFonts w:ascii="Times New Roman" w:eastAsia="Times New Roman" w:hAnsi="Times New Roman" w:cs="Times New Roman"/>
          <w:sz w:val="24"/>
          <w:szCs w:val="24"/>
        </w:rPr>
        <w:t xml:space="preserve">(1), 70–75. </w:t>
      </w:r>
      <w:hyperlink r:id="rId4593" w:history="1">
        <w:r w:rsidRPr="001768F9">
          <w:rPr>
            <w:rFonts w:ascii="Times New Roman" w:eastAsia="Times New Roman" w:hAnsi="Times New Roman" w:cs="Times New Roman"/>
            <w:color w:val="0000FF"/>
            <w:sz w:val="24"/>
            <w:szCs w:val="24"/>
            <w:u w:val="single"/>
          </w:rPr>
          <w:t>https://doi.org/10.1016/j.schres.2014.09.045</w:t>
        </w:r>
      </w:hyperlink>
    </w:p>
    <w:p w14:paraId="2F41536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Prasad, K. M., Watson, A. M. M., Dickerson, F. B., Yolken, F. B., &amp; Nimgaonkar, V. L. (2012). Exposure to herpes simplex virus type 1 and cognitive impairments in individuals with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(6), 1137–1148. </w:t>
      </w:r>
      <w:hyperlink r:id="rId4594" w:history="1">
        <w:r w:rsidRPr="001768F9">
          <w:rPr>
            <w:rFonts w:ascii="Times New Roman" w:eastAsia="Times New Roman" w:hAnsi="Times New Roman" w:cs="Times New Roman"/>
            <w:color w:val="0000FF"/>
            <w:sz w:val="24"/>
            <w:szCs w:val="24"/>
            <w:u w:val="single"/>
          </w:rPr>
          <w:t>https://doi.org/10.1093/schbul/sbs046</w:t>
        </w:r>
      </w:hyperlink>
    </w:p>
    <w:p w14:paraId="7828FC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Prats, A., López-Masramon, E., Pérez-Álvarez, N., Garolera, M., Fumaz, C. R., Ferrer, M. J., Clotet, B., &amp; Muñoz-Moreno, J. A. (2019). NEU screen shows high accuracy in detecting cognitive impairment in older persons living with HIV. </w:t>
      </w:r>
      <w:r w:rsidRPr="001768F9">
        <w:rPr>
          <w:rFonts w:ascii="Times New Roman" w:eastAsia="Times New Roman" w:hAnsi="Times New Roman" w:cs="Times New Roman"/>
          <w:i/>
          <w:iCs/>
          <w:sz w:val="24"/>
          <w:szCs w:val="24"/>
        </w:rPr>
        <w:t>JANAC: Journal of the Association of Nurses in AIDS Care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35–41. </w:t>
      </w:r>
      <w:hyperlink r:id="rId4595" w:history="1">
        <w:r w:rsidRPr="001768F9">
          <w:rPr>
            <w:rFonts w:ascii="Times New Roman" w:eastAsia="Times New Roman" w:hAnsi="Times New Roman" w:cs="Times New Roman"/>
            <w:color w:val="0000FF"/>
            <w:sz w:val="24"/>
            <w:szCs w:val="24"/>
            <w:u w:val="single"/>
          </w:rPr>
          <w:t>https://doi.org/10.1097/JNC.0000000000000003</w:t>
        </w:r>
      </w:hyperlink>
    </w:p>
    <w:p w14:paraId="577C8CA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Prats, C., Arias, B., Ortet, G., Ibáñez, M. I., Moya, J., Pomarol-Clotet, E., Fañanás, L., &amp; Fatjó-Vilas, M. (2017). Neurotrophins role in depressive symptoms and executive function performance: Association analysis of NRN1 gene and its interaction with BDNF gene in a non-clinical sample.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211</w:t>
      </w:r>
      <w:r w:rsidRPr="001768F9">
        <w:rPr>
          <w:rFonts w:ascii="Times New Roman" w:eastAsia="Times New Roman" w:hAnsi="Times New Roman" w:cs="Times New Roman"/>
          <w:sz w:val="24"/>
          <w:szCs w:val="24"/>
        </w:rPr>
        <w:t xml:space="preserve">, 92–98. </w:t>
      </w:r>
      <w:hyperlink r:id="rId4596" w:history="1">
        <w:r w:rsidRPr="001768F9">
          <w:rPr>
            <w:rFonts w:ascii="Times New Roman" w:eastAsia="Times New Roman" w:hAnsi="Times New Roman" w:cs="Times New Roman"/>
            <w:color w:val="0000FF"/>
            <w:sz w:val="24"/>
            <w:szCs w:val="24"/>
            <w:u w:val="single"/>
          </w:rPr>
          <w:t>https://doi.org/10.1016/j.jad.2016.11.017</w:t>
        </w:r>
      </w:hyperlink>
    </w:p>
    <w:p w14:paraId="602DD5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Pratt, S. I., Mueser, K. T., Smith, T. E., &amp; Lu, W. (2005). Self-efficacy and psychosocial functioning in schizophrenia: A mediational 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78</w:t>
      </w:r>
      <w:r w:rsidRPr="001768F9">
        <w:rPr>
          <w:rFonts w:ascii="Times New Roman" w:eastAsia="Times New Roman" w:hAnsi="Times New Roman" w:cs="Times New Roman"/>
          <w:sz w:val="24"/>
          <w:szCs w:val="24"/>
        </w:rPr>
        <w:t xml:space="preserve">(2–3), 187–197. </w:t>
      </w:r>
      <w:hyperlink r:id="rId4597" w:history="1">
        <w:r w:rsidRPr="001768F9">
          <w:rPr>
            <w:rFonts w:ascii="Times New Roman" w:eastAsia="Times New Roman" w:hAnsi="Times New Roman" w:cs="Times New Roman"/>
            <w:color w:val="0000FF"/>
            <w:sz w:val="24"/>
            <w:szCs w:val="24"/>
            <w:u w:val="single"/>
          </w:rPr>
          <w:t>https://doi.org/10.1016/j.schres.2005.02.014</w:t>
        </w:r>
      </w:hyperlink>
    </w:p>
    <w:p w14:paraId="5952B4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Preiss, J. (2013). Epilepsy.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221–261). Nova Science Publishers.</w:t>
      </w:r>
    </w:p>
    <w:p w14:paraId="54EB2F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Preiss, J., Pelcová, D., Fenclová, Z., &amp; Urban, P. (2010). Neuropsychologie a neurotoxicita při dlouhodobém sledování účinků dioxinu. [Neuropsychology and neurotoxicity in long-term monitoring of dioxin effects.]. </w:t>
      </w:r>
      <w:r w:rsidRPr="001768F9">
        <w:rPr>
          <w:rFonts w:ascii="Times New Roman" w:eastAsia="Times New Roman" w:hAnsi="Times New Roman" w:cs="Times New Roman"/>
          <w:i/>
          <w:iCs/>
          <w:sz w:val="24"/>
          <w:szCs w:val="24"/>
        </w:rPr>
        <w:t>Československá Psychologie: Časopis Pro Psychologickou Teorii a Praxi</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(6), 525–545.</w:t>
      </w:r>
    </w:p>
    <w:p w14:paraId="5D8D71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Preiss, M. (2013). Depression and performance—Cognitive performance during the periods of remission of depressive illness.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3–25). Nova Science Publishers.</w:t>
      </w:r>
    </w:p>
    <w:p w14:paraId="164048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Cooke, M. A., Fannon, D., Peters, E., Michel, T. M., Aasen, I., Murray, R. M., Kuipers, E., &amp; Kumari, V. (2008). Misattribution bias of threat-related facial expressions is related to a longer duration of illness and poor executive function in schizophrenia and schizoaffective disorder. </w:t>
      </w:r>
      <w:r w:rsidRPr="001768F9">
        <w:rPr>
          <w:rFonts w:ascii="Times New Roman" w:eastAsia="Times New Roman" w:hAnsi="Times New Roman" w:cs="Times New Roman"/>
          <w:i/>
          <w:iCs/>
          <w:sz w:val="24"/>
          <w:szCs w:val="24"/>
        </w:rPr>
        <w:t>European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(1), 14–19. </w:t>
      </w:r>
      <w:hyperlink r:id="rId4598" w:history="1">
        <w:r w:rsidRPr="001768F9">
          <w:rPr>
            <w:rFonts w:ascii="Times New Roman" w:eastAsia="Times New Roman" w:hAnsi="Times New Roman" w:cs="Times New Roman"/>
            <w:color w:val="0000FF"/>
            <w:sz w:val="24"/>
            <w:szCs w:val="24"/>
            <w:u w:val="single"/>
          </w:rPr>
          <w:t>https://doi.org/10.1016/j.eurpsy.2007.10.004</w:t>
        </w:r>
      </w:hyperlink>
    </w:p>
    <w:p w14:paraId="3B2473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Fannon, D., Kuipers, E., Cooke, M. A., Simmons, A., &amp; Kumari, V. (2008). Association between a longer duration of illness, age and lower frontal lobe grey matter volume in schizophrenia. </w:t>
      </w:r>
      <w:r w:rsidRPr="001768F9">
        <w:rPr>
          <w:rFonts w:ascii="Times New Roman" w:eastAsia="Times New Roman" w:hAnsi="Times New Roman" w:cs="Times New Roman"/>
          <w:i/>
          <w:iCs/>
          <w:sz w:val="24"/>
          <w:szCs w:val="24"/>
        </w:rPr>
        <w:t>Behavioural Brain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193</w:t>
      </w:r>
      <w:r w:rsidRPr="001768F9">
        <w:rPr>
          <w:rFonts w:ascii="Times New Roman" w:eastAsia="Times New Roman" w:hAnsi="Times New Roman" w:cs="Times New Roman"/>
          <w:sz w:val="24"/>
          <w:szCs w:val="24"/>
        </w:rPr>
        <w:t xml:space="preserve">(1), 132–139. </w:t>
      </w:r>
      <w:hyperlink r:id="rId4599" w:history="1">
        <w:r w:rsidRPr="001768F9">
          <w:rPr>
            <w:rFonts w:ascii="Times New Roman" w:eastAsia="Times New Roman" w:hAnsi="Times New Roman" w:cs="Times New Roman"/>
            <w:color w:val="0000FF"/>
            <w:sz w:val="24"/>
            <w:szCs w:val="24"/>
            <w:u w:val="single"/>
          </w:rPr>
          <w:t>https://doi.org/10.1016/j.bbr.2008.05.012</w:t>
        </w:r>
      </w:hyperlink>
    </w:p>
    <w:p w14:paraId="005F533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Kumari, V., Corr, P. J. J., Fannon, D., &amp; Sharma, T. (2008). Neuropsychological function–brain structure relationships and stage of illness: An investigation into chronic and first-episode schizophrenia.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162</w:t>
      </w:r>
      <w:r w:rsidRPr="001768F9">
        <w:rPr>
          <w:rFonts w:ascii="Times New Roman" w:eastAsia="Times New Roman" w:hAnsi="Times New Roman" w:cs="Times New Roman"/>
          <w:sz w:val="24"/>
          <w:szCs w:val="24"/>
        </w:rPr>
        <w:t xml:space="preserve">(3), 195–204. </w:t>
      </w:r>
      <w:hyperlink r:id="rId4600" w:history="1">
        <w:r w:rsidRPr="001768F9">
          <w:rPr>
            <w:rFonts w:ascii="Times New Roman" w:eastAsia="Times New Roman" w:hAnsi="Times New Roman" w:cs="Times New Roman"/>
            <w:color w:val="0000FF"/>
            <w:sz w:val="24"/>
            <w:szCs w:val="24"/>
            <w:u w:val="single"/>
          </w:rPr>
          <w:t>https://doi.org/10.1016/j.pscychresns.2007.08.005</w:t>
        </w:r>
      </w:hyperlink>
    </w:p>
    <w:p w14:paraId="6408C2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Parbhakar, V. A., Fannon, D., Lythgoe, D., Williams, S. C., Kuipers, E., &amp; Kumari, V. (2010). N-acetyl aspartate concentration in the anterior cingulate cortex in patients with schizophrenia: A study of clinical and neuropsychological correlates and preliminary exploration of cognitive behaviour therapy effects.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182</w:t>
      </w:r>
      <w:r w:rsidRPr="001768F9">
        <w:rPr>
          <w:rFonts w:ascii="Times New Roman" w:eastAsia="Times New Roman" w:hAnsi="Times New Roman" w:cs="Times New Roman"/>
          <w:sz w:val="24"/>
          <w:szCs w:val="24"/>
        </w:rPr>
        <w:t xml:space="preserve">(3), 251–260. </w:t>
      </w:r>
      <w:hyperlink r:id="rId4601" w:history="1">
        <w:r w:rsidRPr="001768F9">
          <w:rPr>
            <w:rFonts w:ascii="Times New Roman" w:eastAsia="Times New Roman" w:hAnsi="Times New Roman" w:cs="Times New Roman"/>
            <w:color w:val="0000FF"/>
            <w:sz w:val="24"/>
            <w:szCs w:val="24"/>
            <w:u w:val="single"/>
          </w:rPr>
          <w:t>https://doi.org/10.1016/j.pscychresns.2010.02.008</w:t>
        </w:r>
      </w:hyperlink>
    </w:p>
    <w:p w14:paraId="3F0DCD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Premkumar, P., Peters, E. R., Fannon, D., Anilkumar, A. P., Kuipers, E., &amp; Kumari, V. (2011). Coping styles predict responsiveness to cognitive behaviour therapy in psychosis.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187</w:t>
      </w:r>
      <w:r w:rsidRPr="001768F9">
        <w:rPr>
          <w:rFonts w:ascii="Times New Roman" w:eastAsia="Times New Roman" w:hAnsi="Times New Roman" w:cs="Times New Roman"/>
          <w:sz w:val="24"/>
          <w:szCs w:val="24"/>
        </w:rPr>
        <w:t xml:space="preserve">(3), 354–362. </w:t>
      </w:r>
      <w:hyperlink r:id="rId4602" w:history="1">
        <w:r w:rsidRPr="001768F9">
          <w:rPr>
            <w:rFonts w:ascii="Times New Roman" w:eastAsia="Times New Roman" w:hAnsi="Times New Roman" w:cs="Times New Roman"/>
            <w:color w:val="0000FF"/>
            <w:sz w:val="24"/>
            <w:szCs w:val="24"/>
            <w:u w:val="single"/>
          </w:rPr>
          <w:t>https://doi.org/10.1016/j.psychres.2010.12.029</w:t>
        </w:r>
      </w:hyperlink>
    </w:p>
    <w:p w14:paraId="0F8812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Prendergast, D. M., Ardekani, B., Ikuta, T., John, M., Peters, B., DeRosse, P., Wellington, R., Malhotra, A. K., &amp; Szeszko, P. R. (2015). Age and sex effects on corpus callosum morphology across the lifespan.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(7), 2691–2702. </w:t>
      </w:r>
      <w:hyperlink r:id="rId4603" w:history="1">
        <w:r w:rsidRPr="001768F9">
          <w:rPr>
            <w:rFonts w:ascii="Times New Roman" w:eastAsia="Times New Roman" w:hAnsi="Times New Roman" w:cs="Times New Roman"/>
            <w:color w:val="0000FF"/>
            <w:sz w:val="24"/>
            <w:szCs w:val="24"/>
            <w:u w:val="single"/>
          </w:rPr>
          <w:t>https://doi.org/10.1002/hbm.22800</w:t>
        </w:r>
      </w:hyperlink>
    </w:p>
    <w:p w14:paraId="7239A0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Prentice, K. J., Gold, J. M., &amp; Buchanan, R. W. (2008). The Wisconsin Card Sorting impairment in schizophrenia is evident in the first four trials.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106</w:t>
      </w:r>
      <w:r w:rsidRPr="001768F9">
        <w:rPr>
          <w:rFonts w:ascii="Times New Roman" w:eastAsia="Times New Roman" w:hAnsi="Times New Roman" w:cs="Times New Roman"/>
          <w:sz w:val="24"/>
          <w:szCs w:val="24"/>
        </w:rPr>
        <w:t xml:space="preserve">(1), 81–87. </w:t>
      </w:r>
      <w:hyperlink r:id="rId4604" w:history="1">
        <w:r w:rsidRPr="001768F9">
          <w:rPr>
            <w:rFonts w:ascii="Times New Roman" w:eastAsia="Times New Roman" w:hAnsi="Times New Roman" w:cs="Times New Roman"/>
            <w:color w:val="0000FF"/>
            <w:sz w:val="24"/>
            <w:szCs w:val="24"/>
            <w:u w:val="single"/>
          </w:rPr>
          <w:t>https://doi.org/10.1016/j.schres.2007.07.015</w:t>
        </w:r>
      </w:hyperlink>
    </w:p>
    <w:p w14:paraId="27C847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Preuschhof, C., Heekeren, H. R., Li, S.-C., Sander, T., Lindenberger, U., &amp; Bäckman, L. (2010). KIBRA and CLSTN2 polymorphisms exert interactive effects on human episodic memory.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(2), 402–408. </w:t>
      </w:r>
      <w:hyperlink r:id="rId4605" w:history="1">
        <w:r w:rsidRPr="001768F9">
          <w:rPr>
            <w:rFonts w:ascii="Times New Roman" w:eastAsia="Times New Roman" w:hAnsi="Times New Roman" w:cs="Times New Roman"/>
            <w:color w:val="0000FF"/>
            <w:sz w:val="24"/>
            <w:szCs w:val="24"/>
            <w:u w:val="single"/>
          </w:rPr>
          <w:t>https://doi.org/10.1016/j.neuropsychologia.2009.09.031</w:t>
        </w:r>
      </w:hyperlink>
    </w:p>
    <w:p w14:paraId="4958A35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Preziosa, P., Rocca, M. A., Pagani, E., Stromillo, M. L., Enzinger, C., Gallo, A., Hulst, H. E., Atzori, M., Pareto, D., Riccitelli, G. C., Copetti, M., De Stefano, N., Fazekas, F., Bisecco, A., Barkhof, F., Yousry, T. A., Arévalo, M. J., &amp; Filippi, M. (2016). Structural MRI correlates of cognitive impairment in patients with multiple sclerosis.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(4), 1627–1644. </w:t>
      </w:r>
      <w:hyperlink r:id="rId4606" w:history="1">
        <w:r w:rsidRPr="001768F9">
          <w:rPr>
            <w:rFonts w:ascii="Times New Roman" w:eastAsia="Times New Roman" w:hAnsi="Times New Roman" w:cs="Times New Roman"/>
            <w:color w:val="0000FF"/>
            <w:sz w:val="24"/>
            <w:szCs w:val="24"/>
            <w:u w:val="single"/>
          </w:rPr>
          <w:t>https://doi.org/10.1002/hbm.23125</w:t>
        </w:r>
      </w:hyperlink>
    </w:p>
    <w:p w14:paraId="687F205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A. L. (2006). Explicit category learning in Parkinson’s disease: Deficits related to impaired rule generation and selection processes.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249–257. </w:t>
      </w:r>
      <w:hyperlink r:id="rId4607" w:history="1">
        <w:r w:rsidRPr="001768F9">
          <w:rPr>
            <w:rFonts w:ascii="Times New Roman" w:eastAsia="Times New Roman" w:hAnsi="Times New Roman" w:cs="Times New Roman"/>
            <w:color w:val="0000FF"/>
            <w:sz w:val="24"/>
            <w:szCs w:val="24"/>
            <w:u w:val="single"/>
          </w:rPr>
          <w:t>https://doi.org/10.1037/0894-4105.20.2.249</w:t>
        </w:r>
      </w:hyperlink>
    </w:p>
    <w:p w14:paraId="70096E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A. L. (2010). Contextual cues remediate problem solving: Deficits in Parkinson’s disease.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(1), 70–76. </w:t>
      </w:r>
      <w:hyperlink r:id="rId4608" w:history="1">
        <w:r w:rsidRPr="001768F9">
          <w:rPr>
            <w:rFonts w:ascii="Times New Roman" w:eastAsia="Times New Roman" w:hAnsi="Times New Roman" w:cs="Times New Roman"/>
            <w:color w:val="0000FF"/>
            <w:sz w:val="24"/>
            <w:szCs w:val="24"/>
            <w:u w:val="single"/>
          </w:rPr>
          <w:t>https://doi.org/10.1017/S1355617709990968</w:t>
        </w:r>
      </w:hyperlink>
    </w:p>
    <w:p w14:paraId="34EF27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K. L., DeSantis, S. M., Simpson, A. N., Tolliver, B. K., McRae‐Clark, A. L., Saladin, M. E., Baker, N. L., Wagner, M. T., &amp; Brady, K. T. (2011). The impact of clinical and demographic variables on cognitive performance in methamphetamine‐dependent individuals in rural South Carolina. </w:t>
      </w:r>
      <w:r w:rsidRPr="001768F9">
        <w:rPr>
          <w:rFonts w:ascii="Times New Roman" w:eastAsia="Times New Roman" w:hAnsi="Times New Roman" w:cs="Times New Roman"/>
          <w:i/>
          <w:iCs/>
          <w:sz w:val="24"/>
          <w:szCs w:val="24"/>
        </w:rPr>
        <w:t>The American Journal on Addictions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447–455. </w:t>
      </w:r>
      <w:hyperlink r:id="rId4609" w:history="1">
        <w:r w:rsidRPr="001768F9">
          <w:rPr>
            <w:rFonts w:ascii="Times New Roman" w:eastAsia="Times New Roman" w:hAnsi="Times New Roman" w:cs="Times New Roman"/>
            <w:color w:val="0000FF"/>
            <w:sz w:val="24"/>
            <w:szCs w:val="24"/>
            <w:u w:val="single"/>
          </w:rPr>
          <w:t>https://doi.org/10.1111/j.1521-0391.2011.00164.x</w:t>
        </w:r>
      </w:hyperlink>
    </w:p>
    <w:p w14:paraId="55D48FD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Price, R., Salavati, B., Graff-Guerrero, A., Blumberger, D. M., Mulsant, B. H., Daskalakis, Z. J., &amp; Rajji, T. K. (2014). Effects of antipsychotic D2 antagonists on long-term potentiation in animals and implications for human studies.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 83–91. </w:t>
      </w:r>
      <w:hyperlink r:id="rId4610" w:history="1">
        <w:r w:rsidRPr="001768F9">
          <w:rPr>
            <w:rFonts w:ascii="Times New Roman" w:eastAsia="Times New Roman" w:hAnsi="Times New Roman" w:cs="Times New Roman"/>
            <w:color w:val="0000FF"/>
            <w:sz w:val="24"/>
            <w:szCs w:val="24"/>
            <w:u w:val="single"/>
          </w:rPr>
          <w:t>https://doi.org/10.1016/j.pnpbp.2014.05.001</w:t>
        </w:r>
      </w:hyperlink>
    </w:p>
    <w:p w14:paraId="569F39E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Priftis, K., Algeri, L., Barachetti, L., Magnani, S., Gobbo, M., &amp; De Pellegrin, S. (2020). Acquired neurogenic foreign accent syndrome after right-hemisphere lesion with left cerebellar diaschisis: A longitudinal study.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130</w:t>
      </w:r>
      <w:r w:rsidRPr="001768F9">
        <w:rPr>
          <w:rFonts w:ascii="Times New Roman" w:eastAsia="Times New Roman" w:hAnsi="Times New Roman" w:cs="Times New Roman"/>
          <w:sz w:val="24"/>
          <w:szCs w:val="24"/>
        </w:rPr>
        <w:t xml:space="preserve">, 220–230. </w:t>
      </w:r>
      <w:hyperlink r:id="rId4611" w:history="1">
        <w:r w:rsidRPr="001768F9">
          <w:rPr>
            <w:rFonts w:ascii="Times New Roman" w:eastAsia="Times New Roman" w:hAnsi="Times New Roman" w:cs="Times New Roman"/>
            <w:color w:val="0000FF"/>
            <w:sz w:val="24"/>
            <w:szCs w:val="24"/>
            <w:u w:val="single"/>
          </w:rPr>
          <w:t>https://doi.org/10.1016/j.cortex.2020.05.019</w:t>
        </w:r>
      </w:hyperlink>
    </w:p>
    <w:p w14:paraId="357DCE2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Prigatano, G. P., Hendin, B. A., &amp; Heiserman, J. E. (2014). Denial or unawareness of cognitive deficit associated with multiple sclerosis? A case report.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(4), 335–341. </w:t>
      </w:r>
      <w:hyperlink r:id="rId4612" w:history="1">
        <w:r w:rsidRPr="001768F9">
          <w:rPr>
            <w:rFonts w:ascii="Times New Roman" w:eastAsia="Times New Roman" w:hAnsi="Times New Roman" w:cs="Times New Roman"/>
            <w:color w:val="0000FF"/>
            <w:sz w:val="24"/>
            <w:szCs w:val="24"/>
            <w:u w:val="single"/>
          </w:rPr>
          <w:t>https://doi.org/10.1080/13803395.2014.890700</w:t>
        </w:r>
      </w:hyperlink>
    </w:p>
    <w:p w14:paraId="365A89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Přikryl, R. (2011). Současný pohled na léčbu negativních příznaků schizofrenie repetitivní transkraniální magnetickou stimulací. [Current perspective on the treatment of negative symptoms of schizophrenia using transcranial magnetic stimulation.]. </w:t>
      </w:r>
      <w:r w:rsidRPr="001768F9">
        <w:rPr>
          <w:rFonts w:ascii="Times New Roman" w:eastAsia="Times New Roman" w:hAnsi="Times New Roman" w:cs="Times New Roman"/>
          <w:i/>
          <w:iCs/>
          <w:sz w:val="24"/>
          <w:szCs w:val="24"/>
        </w:rPr>
        <w:t>Česká a Slovenská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107</w:t>
      </w:r>
      <w:r w:rsidRPr="001768F9">
        <w:rPr>
          <w:rFonts w:ascii="Times New Roman" w:eastAsia="Times New Roman" w:hAnsi="Times New Roman" w:cs="Times New Roman"/>
          <w:sz w:val="24"/>
          <w:szCs w:val="24"/>
        </w:rPr>
        <w:t>(3), 160–166.</w:t>
      </w:r>
    </w:p>
    <w:p w14:paraId="4A5CE3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Přikryl, R., Kučerová, H., Navrátilová, P., Kašpárek, T., Ustohal, L., Venclíková, S., Češková, E., &amp; Večeřová, M. (2008). Ovlivnění kognitivního deficitu schizofrenie repetitivní transkraniální magnetickou stimulací. [Influencing cognitive deficit in schizophrenia by repetitive transcranial magnetic stimulation.]. </w:t>
      </w:r>
      <w:r w:rsidRPr="001768F9">
        <w:rPr>
          <w:rFonts w:ascii="Times New Roman" w:eastAsia="Times New Roman" w:hAnsi="Times New Roman" w:cs="Times New Roman"/>
          <w:i/>
          <w:iCs/>
          <w:sz w:val="24"/>
          <w:szCs w:val="24"/>
        </w:rPr>
        <w:t>Česká a Slovenská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104</w:t>
      </w:r>
      <w:r w:rsidRPr="001768F9">
        <w:rPr>
          <w:rFonts w:ascii="Times New Roman" w:eastAsia="Times New Roman" w:hAnsi="Times New Roman" w:cs="Times New Roman"/>
          <w:sz w:val="24"/>
          <w:szCs w:val="24"/>
        </w:rPr>
        <w:t>(4), 161–166.</w:t>
      </w:r>
    </w:p>
    <w:p w14:paraId="689780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Primosch, M. J. (1998). </w:t>
      </w:r>
      <w:r w:rsidRPr="001768F9">
        <w:rPr>
          <w:rFonts w:ascii="Times New Roman" w:eastAsia="Times New Roman" w:hAnsi="Times New Roman" w:cs="Times New Roman"/>
          <w:i/>
          <w:iCs/>
          <w:sz w:val="24"/>
          <w:szCs w:val="24"/>
        </w:rPr>
        <w:t>Executive function scores of organized and disorganized fourth to sixth graders.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(9-A), 3474–3474.</w:t>
      </w:r>
    </w:p>
    <w:p w14:paraId="171C07E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Pritchett, D., Wulff, K., Oliver, P. L., Bannerman, D. M., Davies, K. E., Harrison, P. J., Peirson, S. N., &amp; Foster, R. G. (2012). Evaluating the links between schizophrenia and sleep and circadian rhythm disruption. </w:t>
      </w:r>
      <w:r w:rsidRPr="001768F9">
        <w:rPr>
          <w:rFonts w:ascii="Times New Roman" w:eastAsia="Times New Roman" w:hAnsi="Times New Roman" w:cs="Times New Roman"/>
          <w:i/>
          <w:iCs/>
          <w:sz w:val="24"/>
          <w:szCs w:val="24"/>
        </w:rPr>
        <w:t>Journal of Neural Transmission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(10), 1061–1075. </w:t>
      </w:r>
      <w:hyperlink r:id="rId4613" w:history="1">
        <w:r w:rsidRPr="001768F9">
          <w:rPr>
            <w:rFonts w:ascii="Times New Roman" w:eastAsia="Times New Roman" w:hAnsi="Times New Roman" w:cs="Times New Roman"/>
            <w:color w:val="0000FF"/>
            <w:sz w:val="24"/>
            <w:szCs w:val="24"/>
            <w:u w:val="single"/>
          </w:rPr>
          <w:t>https://doi.org/10.1007/s00702-012-0817-8</w:t>
        </w:r>
      </w:hyperlink>
    </w:p>
    <w:p w14:paraId="2967D1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Proctor, A., &amp; Zhang, J. (2008). Performance of three racial/ethnic groups on two tests of executive function: Clinical implications for traumatic brain injury (TBI).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(6), 529–536.</w:t>
      </w:r>
    </w:p>
    <w:p w14:paraId="0ECCD3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Proto, D. A., Pastorek, N. J., Miller, B. I., Romesser, J. M., Sim, A. H., &amp; Linck, J. F. (2014). The dangers of failing one or more performance validity tests in individuals claiming mild traumatic brain injury-related postconcussive symptoms.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614–624. </w:t>
      </w:r>
      <w:hyperlink r:id="rId4614" w:history="1">
        <w:r w:rsidRPr="001768F9">
          <w:rPr>
            <w:rFonts w:ascii="Times New Roman" w:eastAsia="Times New Roman" w:hAnsi="Times New Roman" w:cs="Times New Roman"/>
            <w:color w:val="0000FF"/>
            <w:sz w:val="24"/>
            <w:szCs w:val="24"/>
            <w:u w:val="single"/>
          </w:rPr>
          <w:t>https://doi.org/10.1093/arclin/acu044</w:t>
        </w:r>
      </w:hyperlink>
    </w:p>
    <w:p w14:paraId="62E9B3A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Protzner, A. B., Mandzia, J. L., Black, S. E., &amp; McAndrews, M. P. (2011). Network interactions explain effective encoding in the context of medial temporal damage in MCI.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(8), 1277–1289. </w:t>
      </w:r>
      <w:hyperlink r:id="rId4615" w:history="1">
        <w:r w:rsidRPr="001768F9">
          <w:rPr>
            <w:rFonts w:ascii="Times New Roman" w:eastAsia="Times New Roman" w:hAnsi="Times New Roman" w:cs="Times New Roman"/>
            <w:color w:val="0000FF"/>
            <w:sz w:val="24"/>
            <w:szCs w:val="24"/>
            <w:u w:val="single"/>
          </w:rPr>
          <w:t>https://doi.org/10.1002/hbm.21107</w:t>
        </w:r>
      </w:hyperlink>
    </w:p>
    <w:p w14:paraId="3A9F22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Prull, M. W. (2010). Age-related influences on repetition priming in the verb generation task: Examining the role of response competition.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(4), 439–461. </w:t>
      </w:r>
      <w:hyperlink r:id="rId4616" w:history="1">
        <w:r w:rsidRPr="001768F9">
          <w:rPr>
            <w:rFonts w:ascii="Times New Roman" w:eastAsia="Times New Roman" w:hAnsi="Times New Roman" w:cs="Times New Roman"/>
            <w:color w:val="0000FF"/>
            <w:sz w:val="24"/>
            <w:szCs w:val="24"/>
            <w:u w:val="single"/>
          </w:rPr>
          <w:t>https://doi.org/10.1080/13825580903469846</w:t>
        </w:r>
      </w:hyperlink>
    </w:p>
    <w:p w14:paraId="060CD7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Pruß, L., Wiedl, K. H., &amp; Waldorf, M. (2012). Stigma as a predictor of insight in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198</w:t>
      </w:r>
      <w:r w:rsidRPr="001768F9">
        <w:rPr>
          <w:rFonts w:ascii="Times New Roman" w:eastAsia="Times New Roman" w:hAnsi="Times New Roman" w:cs="Times New Roman"/>
          <w:sz w:val="24"/>
          <w:szCs w:val="24"/>
        </w:rPr>
        <w:t xml:space="preserve">(2), 187–193. </w:t>
      </w:r>
      <w:hyperlink r:id="rId4617" w:history="1">
        <w:r w:rsidRPr="001768F9">
          <w:rPr>
            <w:rFonts w:ascii="Times New Roman" w:eastAsia="Times New Roman" w:hAnsi="Times New Roman" w:cs="Times New Roman"/>
            <w:color w:val="0000FF"/>
            <w:sz w:val="24"/>
            <w:szCs w:val="24"/>
            <w:u w:val="single"/>
          </w:rPr>
          <w:t>https://doi.org/10.1016/j.psychres.2011.12.012</w:t>
        </w:r>
      </w:hyperlink>
    </w:p>
    <w:p w14:paraId="35B1B3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Ptak, R., &amp; Schnider, A. (2004). Disorganised Memory after Right Dorsolateral Prefrontal Damage.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(1), 52–59. </w:t>
      </w:r>
      <w:hyperlink r:id="rId4618" w:history="1">
        <w:r w:rsidRPr="001768F9">
          <w:rPr>
            <w:rFonts w:ascii="Times New Roman" w:eastAsia="Times New Roman" w:hAnsi="Times New Roman" w:cs="Times New Roman"/>
            <w:color w:val="0000FF"/>
            <w:sz w:val="24"/>
            <w:szCs w:val="24"/>
            <w:u w:val="single"/>
          </w:rPr>
          <w:t>https://doi.org/10.1080/13554790490960495</w:t>
        </w:r>
      </w:hyperlink>
    </w:p>
    <w:p w14:paraId="7D4546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 S., Nakagome, K., Yamada, T., Itakura, M., Satake, T., Ishida, H., Nagata, I., &amp; Kaneko, K. (2013). Association between cognitive insight and prefrontal function during a cognitive task in schizophrenia: A multichannel near-infrared spectroscopy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81–87. </w:t>
      </w:r>
      <w:hyperlink r:id="rId4619" w:history="1">
        <w:r w:rsidRPr="001768F9">
          <w:rPr>
            <w:rFonts w:ascii="Times New Roman" w:eastAsia="Times New Roman" w:hAnsi="Times New Roman" w:cs="Times New Roman"/>
            <w:color w:val="0000FF"/>
            <w:sz w:val="24"/>
            <w:szCs w:val="24"/>
            <w:u w:val="single"/>
          </w:rPr>
          <w:t>https://doi.org/10.1016/j.schres.2013.07.048</w:t>
        </w:r>
      </w:hyperlink>
    </w:p>
    <w:p w14:paraId="65B96D4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Puente, A. E., &amp; Puente, A. N. (2013). Assessment of neuropsychological functioning. In </w:t>
      </w:r>
      <w:r w:rsidRPr="001768F9">
        <w:rPr>
          <w:rFonts w:ascii="Times New Roman" w:eastAsia="Times New Roman" w:hAnsi="Times New Roman" w:cs="Times New Roman"/>
          <w:i/>
          <w:iCs/>
          <w:sz w:val="24"/>
          <w:szCs w:val="24"/>
        </w:rPr>
        <w:t>APA handbook of testing and assessment in psychology, Vol. 2: Testing and assessment in clinical and counseling psychology.</w:t>
      </w:r>
      <w:r w:rsidRPr="001768F9">
        <w:rPr>
          <w:rFonts w:ascii="Times New Roman" w:eastAsia="Times New Roman" w:hAnsi="Times New Roman" w:cs="Times New Roman"/>
          <w:sz w:val="24"/>
          <w:szCs w:val="24"/>
        </w:rPr>
        <w:t xml:space="preserve"> (pp. 133–152). American Psychological Association. </w:t>
      </w:r>
      <w:hyperlink r:id="rId4620" w:history="1">
        <w:r w:rsidRPr="001768F9">
          <w:rPr>
            <w:rFonts w:ascii="Times New Roman" w:eastAsia="Times New Roman" w:hAnsi="Times New Roman" w:cs="Times New Roman"/>
            <w:color w:val="0000FF"/>
            <w:sz w:val="24"/>
            <w:szCs w:val="24"/>
            <w:u w:val="single"/>
          </w:rPr>
          <w:t>https://doi.org/10.1037/14048-009</w:t>
        </w:r>
      </w:hyperlink>
    </w:p>
    <w:p w14:paraId="15A30C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Puente, A. N., &amp; Miller, L. S. (2013). Secondary factors in Alzheimer’s disease, mild cognitive impairment, and stroke. In P. A. Arnett (Ed.), </w:t>
      </w:r>
      <w:r w:rsidRPr="001768F9">
        <w:rPr>
          <w:rFonts w:ascii="Times New Roman" w:eastAsia="Times New Roman" w:hAnsi="Times New Roman" w:cs="Times New Roman"/>
          <w:i/>
          <w:iCs/>
          <w:sz w:val="24"/>
          <w:szCs w:val="24"/>
        </w:rPr>
        <w:t>Secondary influences on neuropsychological test performance: Research findings and practical applications.</w:t>
      </w:r>
      <w:r w:rsidRPr="001768F9">
        <w:rPr>
          <w:rFonts w:ascii="Times New Roman" w:eastAsia="Times New Roman" w:hAnsi="Times New Roman" w:cs="Times New Roman"/>
          <w:sz w:val="24"/>
          <w:szCs w:val="24"/>
        </w:rPr>
        <w:t xml:space="preserve"> (pp. 328–379). Oxford University Press. </w:t>
      </w:r>
      <w:hyperlink r:id="rId4621" w:history="1">
        <w:r w:rsidRPr="001768F9">
          <w:rPr>
            <w:rFonts w:ascii="Times New Roman" w:eastAsia="Times New Roman" w:hAnsi="Times New Roman" w:cs="Times New Roman"/>
            <w:color w:val="0000FF"/>
            <w:sz w:val="24"/>
            <w:szCs w:val="24"/>
            <w:u w:val="single"/>
          </w:rPr>
          <w:t>http://search.ebscohost.com/login.aspx?direct=true&amp;db=psyh&amp;AN=2012-25564-014&amp;site=ehost-live</w:t>
        </w:r>
      </w:hyperlink>
    </w:p>
    <w:p w14:paraId="2B252E1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Pueyo, R., Junqué, C., &amp; Vendrell, P. (2003). Neuropsychologic Differences Between Bilateral Dyskinetic and Spastic Cerebral Palsy. </w:t>
      </w:r>
      <w:r w:rsidRPr="001768F9">
        <w:rPr>
          <w:rFonts w:ascii="Times New Roman" w:eastAsia="Times New Roman" w:hAnsi="Times New Roman" w:cs="Times New Roman"/>
          <w:i/>
          <w:iCs/>
          <w:sz w:val="24"/>
          <w:szCs w:val="24"/>
        </w:rPr>
        <w:t>Journal of Child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(12), 845–850. </w:t>
      </w:r>
      <w:hyperlink r:id="rId4622" w:history="1">
        <w:r w:rsidRPr="001768F9">
          <w:rPr>
            <w:rFonts w:ascii="Times New Roman" w:eastAsia="Times New Roman" w:hAnsi="Times New Roman" w:cs="Times New Roman"/>
            <w:color w:val="0000FF"/>
            <w:sz w:val="24"/>
            <w:szCs w:val="24"/>
            <w:u w:val="single"/>
          </w:rPr>
          <w:t>https://doi.org/10.1177/088307380301801204</w:t>
        </w:r>
      </w:hyperlink>
    </w:p>
    <w:p w14:paraId="4C6579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Puig, O., Penadés, R., Baeza, I., Sánchez-Gistau, V., De la Serna, E., Fonrodona, L., Andrés-Perpiñá, S., Bernardo, M., &amp; Castro-Fornieles, J. (2012). Processing speed and executive functions predict real-world everyday living skills in adolescents with early-onset schizophrenia. </w:t>
      </w:r>
      <w:r w:rsidRPr="001768F9">
        <w:rPr>
          <w:rFonts w:ascii="Times New Roman" w:eastAsia="Times New Roman" w:hAnsi="Times New Roman" w:cs="Times New Roman"/>
          <w:i/>
          <w:iCs/>
          <w:sz w:val="24"/>
          <w:szCs w:val="24"/>
        </w:rPr>
        <w:t>European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(6), 315–326. </w:t>
      </w:r>
      <w:hyperlink r:id="rId4623" w:history="1">
        <w:r w:rsidRPr="001768F9">
          <w:rPr>
            <w:rFonts w:ascii="Times New Roman" w:eastAsia="Times New Roman" w:hAnsi="Times New Roman" w:cs="Times New Roman"/>
            <w:color w:val="0000FF"/>
            <w:sz w:val="24"/>
            <w:szCs w:val="24"/>
            <w:u w:val="single"/>
          </w:rPr>
          <w:t>https://doi.org/10.1007/s00787-012-0262-0</w:t>
        </w:r>
      </w:hyperlink>
    </w:p>
    <w:p w14:paraId="6BE8763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Puig, O., Thomas, K. R., &amp; Twamley, E. W. (2016). Age and improved attention predict work attainment in combined compensatory cognitive training and supported employment for people with severe mental illness.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204</w:t>
      </w:r>
      <w:r w:rsidRPr="001768F9">
        <w:rPr>
          <w:rFonts w:ascii="Times New Roman" w:eastAsia="Times New Roman" w:hAnsi="Times New Roman" w:cs="Times New Roman"/>
          <w:sz w:val="24"/>
          <w:szCs w:val="24"/>
        </w:rPr>
        <w:t xml:space="preserve">(11), 869–872. </w:t>
      </w:r>
      <w:hyperlink r:id="rId4624" w:history="1">
        <w:r w:rsidRPr="001768F9">
          <w:rPr>
            <w:rFonts w:ascii="Times New Roman" w:eastAsia="Times New Roman" w:hAnsi="Times New Roman" w:cs="Times New Roman"/>
            <w:color w:val="0000FF"/>
            <w:sz w:val="24"/>
            <w:szCs w:val="24"/>
            <w:u w:val="single"/>
          </w:rPr>
          <w:t>https://doi.org/10.1097/NMD.0000000000000604</w:t>
        </w:r>
      </w:hyperlink>
    </w:p>
    <w:p w14:paraId="500D10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Pujol, N., Penadés, R., Rametti, G., Catalán, R., Vidal-Piñeiro, D., Palacios, E., Bargallo, N., Bernardo, M., &amp; Junqué, C. (2013). Inferior frontal and insular cortical thinning is related to dysfunctional brain activation/deactivation during working memory task in schizophrenic patients.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214</w:t>
      </w:r>
      <w:r w:rsidRPr="001768F9">
        <w:rPr>
          <w:rFonts w:ascii="Times New Roman" w:eastAsia="Times New Roman" w:hAnsi="Times New Roman" w:cs="Times New Roman"/>
          <w:sz w:val="24"/>
          <w:szCs w:val="24"/>
        </w:rPr>
        <w:t xml:space="preserve">(2), 94–101. </w:t>
      </w:r>
      <w:hyperlink r:id="rId4625" w:history="1">
        <w:r w:rsidRPr="001768F9">
          <w:rPr>
            <w:rFonts w:ascii="Times New Roman" w:eastAsia="Times New Roman" w:hAnsi="Times New Roman" w:cs="Times New Roman"/>
            <w:color w:val="0000FF"/>
            <w:sz w:val="24"/>
            <w:szCs w:val="24"/>
            <w:u w:val="single"/>
          </w:rPr>
          <w:t>https://doi.org/10.1016/j.pscychresns.2013.06.008</w:t>
        </w:r>
      </w:hyperlink>
    </w:p>
    <w:p w14:paraId="202BA3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Pukay-Martin, N. D., Cristiani, S. A., Saveanu, R., &amp; Bornstein, R. A. (2003). The Relationship Between Stressful Life Events and Cognitive Function in HIV-Infected Men.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(4), 435–441. </w:t>
      </w:r>
      <w:hyperlink r:id="rId4626" w:history="1">
        <w:r w:rsidRPr="001768F9">
          <w:rPr>
            <w:rFonts w:ascii="Times New Roman" w:eastAsia="Times New Roman" w:hAnsi="Times New Roman" w:cs="Times New Roman"/>
            <w:color w:val="0000FF"/>
            <w:sz w:val="24"/>
            <w:szCs w:val="24"/>
            <w:u w:val="single"/>
          </w:rPr>
          <w:t>https://doi.org/10.1176/appi.neuropsych.15.4.436</w:t>
        </w:r>
      </w:hyperlink>
    </w:p>
    <w:p w14:paraId="453F38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Matuschek, E., Ruhrmann, S., Brockhaus-Dumke, A., Tendolkar, I., Bertsch, A., &amp; Klosterkötter, J. (2003). Dimensions of working memory dysfunction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(3), 259–268. </w:t>
      </w:r>
      <w:hyperlink r:id="rId4627" w:history="1">
        <w:r w:rsidRPr="001768F9">
          <w:rPr>
            <w:rFonts w:ascii="Times New Roman" w:eastAsia="Times New Roman" w:hAnsi="Times New Roman" w:cs="Times New Roman"/>
            <w:color w:val="0000FF"/>
            <w:sz w:val="24"/>
            <w:szCs w:val="24"/>
            <w:u w:val="single"/>
          </w:rPr>
          <w:t>https://doi.org/10.1016/S0920-9964(02)00427-9</w:t>
        </w:r>
      </w:hyperlink>
    </w:p>
    <w:p w14:paraId="25755E3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&amp; Ruhrmann, S. (2012). Neurocognitive indicators of high-risk states for psychosis. In </w:t>
      </w:r>
      <w:r w:rsidRPr="001768F9">
        <w:rPr>
          <w:rFonts w:ascii="Times New Roman" w:eastAsia="Times New Roman" w:hAnsi="Times New Roman" w:cs="Times New Roman"/>
          <w:i/>
          <w:iCs/>
          <w:sz w:val="24"/>
          <w:szCs w:val="24"/>
        </w:rPr>
        <w:t>Vulnerability to psychosis: From neurosciences to psychopathology.</w:t>
      </w:r>
      <w:r w:rsidRPr="001768F9">
        <w:rPr>
          <w:rFonts w:ascii="Times New Roman" w:eastAsia="Times New Roman" w:hAnsi="Times New Roman" w:cs="Times New Roman"/>
          <w:sz w:val="24"/>
          <w:szCs w:val="24"/>
        </w:rPr>
        <w:t xml:space="preserve"> (pp. 73–94). Psychology Press.</w:t>
      </w:r>
    </w:p>
    <w:p w14:paraId="22AC14F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Ruhrmann, S., Schultze-Lutter, F., Bechdolf, A., Brockhaus-Dumke, A., &amp; Klosterkötter, J. (2007). Neurocognitive indicators for a conversion to psychosis: Comparison of patients in a potentially initial prodromal state who did or did not convert to a psychosis.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92</w:t>
      </w:r>
      <w:r w:rsidRPr="001768F9">
        <w:rPr>
          <w:rFonts w:ascii="Times New Roman" w:eastAsia="Times New Roman" w:hAnsi="Times New Roman" w:cs="Times New Roman"/>
          <w:sz w:val="24"/>
          <w:szCs w:val="24"/>
        </w:rPr>
        <w:t xml:space="preserve">(1–3), 116–125. </w:t>
      </w:r>
      <w:hyperlink r:id="rId4628" w:history="1">
        <w:r w:rsidRPr="001768F9">
          <w:rPr>
            <w:rFonts w:ascii="Times New Roman" w:eastAsia="Times New Roman" w:hAnsi="Times New Roman" w:cs="Times New Roman"/>
            <w:color w:val="0000FF"/>
            <w:sz w:val="24"/>
            <w:szCs w:val="24"/>
            <w:u w:val="single"/>
          </w:rPr>
          <w:t>https://doi.org/10.1016/j.schres.2007.01.020</w:t>
        </w:r>
      </w:hyperlink>
    </w:p>
    <w:p w14:paraId="3EADD97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Pukrop, R., Schultze-Lutter, F., Ruhrmann, S., Brockhaus-Dumke, A., Tendolkar, I., Bechdolf, A., Matuschek, E., &amp; Klosterkötter, J. (2006). Neurocognitive Functioning in Subjects at Risk for a First Episode of Psychosis Compared with First- and Multiple-episode Schizophrenia.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(8), 1388–1407. </w:t>
      </w:r>
      <w:hyperlink r:id="rId4629" w:history="1">
        <w:r w:rsidRPr="001768F9">
          <w:rPr>
            <w:rFonts w:ascii="Times New Roman" w:eastAsia="Times New Roman" w:hAnsi="Times New Roman" w:cs="Times New Roman"/>
            <w:color w:val="0000FF"/>
            <w:sz w:val="24"/>
            <w:szCs w:val="24"/>
            <w:u w:val="single"/>
          </w:rPr>
          <w:t>https://doi.org/10.1080/13803390500434425</w:t>
        </w:r>
      </w:hyperlink>
    </w:p>
    <w:p w14:paraId="2E7BB2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Pulsipher, D., Hermann, B., Loring, D., Bell, B., &amp; Seidenberg, M. (2013). Secondary influences on neuropsychological test performance in epilepsy. In </w:t>
      </w:r>
      <w:r w:rsidRPr="001768F9">
        <w:rPr>
          <w:rFonts w:ascii="Times New Roman" w:eastAsia="Times New Roman" w:hAnsi="Times New Roman" w:cs="Times New Roman"/>
          <w:i/>
          <w:iCs/>
          <w:sz w:val="24"/>
          <w:szCs w:val="24"/>
        </w:rPr>
        <w:t>Secondary influences on neuropsychological test performance: Research findings and practical applications.</w:t>
      </w:r>
      <w:r w:rsidRPr="001768F9">
        <w:rPr>
          <w:rFonts w:ascii="Times New Roman" w:eastAsia="Times New Roman" w:hAnsi="Times New Roman" w:cs="Times New Roman"/>
          <w:sz w:val="24"/>
          <w:szCs w:val="24"/>
        </w:rPr>
        <w:t xml:space="preserve"> (pp. 380–399). Oxford University Press.</w:t>
      </w:r>
    </w:p>
    <w:p w14:paraId="5A75C23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Purdon, S. E., &amp; Waldie, B. (2001). A short form of the Wisconsin Card Sorting Test. </w:t>
      </w:r>
      <w:r w:rsidRPr="001768F9">
        <w:rPr>
          <w:rFonts w:ascii="Times New Roman" w:eastAsia="Times New Roman" w:hAnsi="Times New Roman" w:cs="Times New Roman"/>
          <w:i/>
          <w:iCs/>
          <w:sz w:val="24"/>
          <w:szCs w:val="24"/>
        </w:rPr>
        <w:t>Journal of Psychiatry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(3), 253–256.</w:t>
      </w:r>
    </w:p>
    <w:p w14:paraId="72A7C50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Purdy, M. (2002). Executive function ability in persons with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(4–6), 549–557. </w:t>
      </w:r>
      <w:hyperlink r:id="rId4630" w:history="1">
        <w:r w:rsidRPr="001768F9">
          <w:rPr>
            <w:rFonts w:ascii="Times New Roman" w:eastAsia="Times New Roman" w:hAnsi="Times New Roman" w:cs="Times New Roman"/>
            <w:color w:val="0000FF"/>
            <w:sz w:val="24"/>
            <w:szCs w:val="24"/>
            <w:u w:val="single"/>
          </w:rPr>
          <w:t>https://doi.org/10.1080/02687030244000176</w:t>
        </w:r>
      </w:hyperlink>
    </w:p>
    <w:p w14:paraId="293EF8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Purdy, M. H. (2016). Executive functions: Theory, assessment, and treatment. In </w:t>
      </w:r>
      <w:r w:rsidRPr="001768F9">
        <w:rPr>
          <w:rFonts w:ascii="Times New Roman" w:eastAsia="Times New Roman" w:hAnsi="Times New Roman" w:cs="Times New Roman"/>
          <w:i/>
          <w:iCs/>
          <w:sz w:val="24"/>
          <w:szCs w:val="24"/>
        </w:rPr>
        <w:t>Cognitive communication disorders, 2nd ed.</w:t>
      </w:r>
      <w:r w:rsidRPr="001768F9">
        <w:rPr>
          <w:rFonts w:ascii="Times New Roman" w:eastAsia="Times New Roman" w:hAnsi="Times New Roman" w:cs="Times New Roman"/>
          <w:sz w:val="24"/>
          <w:szCs w:val="24"/>
        </w:rPr>
        <w:t xml:space="preserve"> (pp. 83–128). Plural Publishing.</w:t>
      </w:r>
    </w:p>
    <w:p w14:paraId="6FCC9D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Purdy, M., &amp; Koch, A. (2006). Prediction of strategy usage by adults with aphasia. </w:t>
      </w:r>
      <w:r w:rsidRPr="001768F9">
        <w:rPr>
          <w:rFonts w:ascii="Times New Roman" w:eastAsia="Times New Roman" w:hAnsi="Times New Roman" w:cs="Times New Roman"/>
          <w:i/>
          <w:iCs/>
          <w:sz w:val="24"/>
          <w:szCs w:val="24"/>
        </w:rPr>
        <w:t>Aphasiology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(2–4), 337–348. </w:t>
      </w:r>
      <w:hyperlink r:id="rId4631" w:history="1">
        <w:r w:rsidRPr="001768F9">
          <w:rPr>
            <w:rFonts w:ascii="Times New Roman" w:eastAsia="Times New Roman" w:hAnsi="Times New Roman" w:cs="Times New Roman"/>
            <w:color w:val="0000FF"/>
            <w:sz w:val="24"/>
            <w:szCs w:val="24"/>
            <w:u w:val="single"/>
          </w:rPr>
          <w:t>https://doi.org/10.1080/02687030500475085</w:t>
        </w:r>
      </w:hyperlink>
    </w:p>
    <w:p w14:paraId="17C8CA6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Purić, D., &amp; Pavlović, M. (2012). Executive function of shifting: Factorial structure and relations to personality and intelligence domains. </w:t>
      </w:r>
      <w:r w:rsidRPr="001768F9">
        <w:rPr>
          <w:rFonts w:ascii="Times New Roman" w:eastAsia="Times New Roman" w:hAnsi="Times New Roman" w:cs="Times New Roman"/>
          <w:i/>
          <w:iCs/>
          <w:sz w:val="24"/>
          <w:szCs w:val="24"/>
        </w:rPr>
        <w:t>Suvremena Psihologija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(2), 177–191.</w:t>
      </w:r>
    </w:p>
    <w:p w14:paraId="0D0A07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Pustilnik, A., Elkana, O., Vatine, J.-J., Franko, M., &amp; Hamdan, S. (2017). Neuropsychological markers of suicidal risk in the context of medical rehabilitation. </w:t>
      </w:r>
      <w:r w:rsidRPr="001768F9">
        <w:rPr>
          <w:rFonts w:ascii="Times New Roman" w:eastAsia="Times New Roman" w:hAnsi="Times New Roman" w:cs="Times New Roman"/>
          <w:i/>
          <w:iCs/>
          <w:sz w:val="24"/>
          <w:szCs w:val="24"/>
        </w:rPr>
        <w:t>Archives of Suicide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(2), 293–306. </w:t>
      </w:r>
      <w:hyperlink r:id="rId4632" w:history="1">
        <w:r w:rsidRPr="001768F9">
          <w:rPr>
            <w:rFonts w:ascii="Times New Roman" w:eastAsia="Times New Roman" w:hAnsi="Times New Roman" w:cs="Times New Roman"/>
            <w:color w:val="0000FF"/>
            <w:sz w:val="24"/>
            <w:szCs w:val="24"/>
            <w:u w:val="single"/>
          </w:rPr>
          <w:t>https://doi.org/10.1080/13811118.2016.1171815</w:t>
        </w:r>
      </w:hyperlink>
    </w:p>
    <w:p w14:paraId="54D135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Putcha, D., &amp; Tremont, G. (2016). Predictors of independence in instrumental activities of daily living: Amnestic versus nonamnestic MCI.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38</w:t>
      </w:r>
      <w:r w:rsidRPr="001768F9">
        <w:rPr>
          <w:rFonts w:ascii="Times New Roman" w:eastAsia="Times New Roman" w:hAnsi="Times New Roman" w:cs="Times New Roman"/>
          <w:sz w:val="24"/>
          <w:szCs w:val="24"/>
        </w:rPr>
        <w:t xml:space="preserve">(9), 991–1004. </w:t>
      </w:r>
      <w:hyperlink r:id="rId4633" w:history="1">
        <w:r w:rsidRPr="001768F9">
          <w:rPr>
            <w:rFonts w:ascii="Times New Roman" w:eastAsia="Times New Roman" w:hAnsi="Times New Roman" w:cs="Times New Roman"/>
            <w:color w:val="0000FF"/>
            <w:sz w:val="24"/>
            <w:szCs w:val="24"/>
            <w:u w:val="single"/>
          </w:rPr>
          <w:t>https://doi.org/10.1080/13803395.2016.1181716</w:t>
        </w:r>
      </w:hyperlink>
    </w:p>
    <w:p w14:paraId="78F756F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Pyun, S.-B., Jang, S., Lim, S., Ha, J.-W., &amp; Cho, H. (2013). Neural substrate in a case of foreign accent syndrome following basal ganglia hemorrhage. </w:t>
      </w:r>
      <w:r w:rsidRPr="001768F9">
        <w:rPr>
          <w:rFonts w:ascii="Times New Roman" w:eastAsia="Times New Roman" w:hAnsi="Times New Roman" w:cs="Times New Roman"/>
          <w:i/>
          <w:iCs/>
          <w:sz w:val="24"/>
          <w:szCs w:val="24"/>
        </w:rPr>
        <w:t>Journal of Neurolinguistics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479–489. </w:t>
      </w:r>
      <w:hyperlink r:id="rId4634" w:history="1">
        <w:r w:rsidRPr="001768F9">
          <w:rPr>
            <w:rFonts w:ascii="Times New Roman" w:eastAsia="Times New Roman" w:hAnsi="Times New Roman" w:cs="Times New Roman"/>
            <w:color w:val="0000FF"/>
            <w:sz w:val="24"/>
            <w:szCs w:val="24"/>
            <w:u w:val="single"/>
          </w:rPr>
          <w:t>https://doi.org/10.1016/j.jneuroling.2013.03.001</w:t>
        </w:r>
      </w:hyperlink>
    </w:p>
    <w:p w14:paraId="43D11D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Qian, A., Tao, J., Wang, X., Liu, H., Ji, L., Yang, C., Ye, Q., Chen, C., Li, J., Cheng, J., Wang, M., &amp; Zhao, K. (2018). Effects of the 2-repeat allele of the DRD4 gene on neural networks associated with the prefrontal cortex in children with ADHD.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 </w:t>
      </w:r>
      <w:hyperlink r:id="rId4635" w:history="1">
        <w:r w:rsidRPr="001768F9">
          <w:rPr>
            <w:rFonts w:ascii="Times New Roman" w:eastAsia="Times New Roman" w:hAnsi="Times New Roman" w:cs="Times New Roman"/>
            <w:color w:val="0000FF"/>
            <w:sz w:val="24"/>
            <w:szCs w:val="24"/>
            <w:u w:val="single"/>
          </w:rPr>
          <w:t>https://doi.org/10.3389/fnhum.2018.00279</w:t>
        </w:r>
      </w:hyperlink>
    </w:p>
    <w:p w14:paraId="486D24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Qiu, A., Zhong, J., Graham, S., Chia, M. Y., &amp; Sim, K. (2009). Combined analyses of thalamic volume, shape and white matter integrity in first-episode schizophrenia.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(4), 1163–1171. </w:t>
      </w:r>
      <w:hyperlink r:id="rId4636" w:history="1">
        <w:r w:rsidRPr="001768F9">
          <w:rPr>
            <w:rFonts w:ascii="Times New Roman" w:eastAsia="Times New Roman" w:hAnsi="Times New Roman" w:cs="Times New Roman"/>
            <w:color w:val="0000FF"/>
            <w:sz w:val="24"/>
            <w:szCs w:val="24"/>
            <w:u w:val="single"/>
          </w:rPr>
          <w:t>https://doi.org/10.1016/j.neuroimage.2009.04.027</w:t>
        </w:r>
      </w:hyperlink>
    </w:p>
    <w:p w14:paraId="1E11F5D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 L., Finestone, D. L., Qin, L. J., &amp; Reena, L. Z. (2013). Focused but fixed: The impact of expectation of external rewards on inhibitory control and flexibility in preschoolers. </w:t>
      </w:r>
      <w:r w:rsidRPr="001768F9">
        <w:rPr>
          <w:rFonts w:ascii="Times New Roman" w:eastAsia="Times New Roman" w:hAnsi="Times New Roman" w:cs="Times New Roman"/>
          <w:i/>
          <w:iCs/>
          <w:sz w:val="24"/>
          <w:szCs w:val="24"/>
        </w:rPr>
        <w:t>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(3), 562–572. </w:t>
      </w:r>
      <w:hyperlink r:id="rId4637" w:history="1">
        <w:r w:rsidRPr="001768F9">
          <w:rPr>
            <w:rFonts w:ascii="Times New Roman" w:eastAsia="Times New Roman" w:hAnsi="Times New Roman" w:cs="Times New Roman"/>
            <w:color w:val="0000FF"/>
            <w:sz w:val="24"/>
            <w:szCs w:val="24"/>
            <w:u w:val="single"/>
          </w:rPr>
          <w:t>https://doi.org/10.1037/a0027263</w:t>
        </w:r>
      </w:hyperlink>
    </w:p>
    <w:p w14:paraId="32111FF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Quan, M., Lee, S.-H., Kubicki, M., Kikinis, Z., Rathi, Y., Seidman, L. J., Mesholam-Gately, R. I., Goldstein, J. M., McCarley, R. W., Shenton, M. E., &amp; Levitt, J. J. (2013). White matter tract abnormalities between rostral middle frontal gyrus, inferior frontal gyrus and striatum in first-episode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145</w:t>
      </w:r>
      <w:r w:rsidRPr="001768F9">
        <w:rPr>
          <w:rFonts w:ascii="Times New Roman" w:eastAsia="Times New Roman" w:hAnsi="Times New Roman" w:cs="Times New Roman"/>
          <w:sz w:val="24"/>
          <w:szCs w:val="24"/>
        </w:rPr>
        <w:t xml:space="preserve">(1–3), 1–10. </w:t>
      </w:r>
      <w:hyperlink r:id="rId4638" w:history="1">
        <w:r w:rsidRPr="001768F9">
          <w:rPr>
            <w:rFonts w:ascii="Times New Roman" w:eastAsia="Times New Roman" w:hAnsi="Times New Roman" w:cs="Times New Roman"/>
            <w:color w:val="0000FF"/>
            <w:sz w:val="24"/>
            <w:szCs w:val="24"/>
            <w:u w:val="single"/>
          </w:rPr>
          <w:t>https://doi.org/10.1016/j.schres.2012.11.028</w:t>
        </w:r>
      </w:hyperlink>
    </w:p>
    <w:p w14:paraId="5604C9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Quaney, B. M., Boyd, L. A., McDowd, J. M., Zahner, L. H., He, J., Mayo, M. S., &amp; Macko, R. F. (2009). Aerobic exercise improves cognition and motor function poststroke. </w:t>
      </w:r>
      <w:r w:rsidRPr="001768F9">
        <w:rPr>
          <w:rFonts w:ascii="Times New Roman" w:eastAsia="Times New Roman" w:hAnsi="Times New Roman" w:cs="Times New Roman"/>
          <w:i/>
          <w:iCs/>
          <w:sz w:val="24"/>
          <w:szCs w:val="24"/>
        </w:rPr>
        <w:t>Neurorehabilitation and Neural Repair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(9), 879–885. </w:t>
      </w:r>
      <w:hyperlink r:id="rId4639" w:history="1">
        <w:r w:rsidRPr="001768F9">
          <w:rPr>
            <w:rFonts w:ascii="Times New Roman" w:eastAsia="Times New Roman" w:hAnsi="Times New Roman" w:cs="Times New Roman"/>
            <w:color w:val="0000FF"/>
            <w:sz w:val="24"/>
            <w:szCs w:val="24"/>
            <w:u w:val="single"/>
          </w:rPr>
          <w:t>https://doi.org/10.1177/1545968309338193</w:t>
        </w:r>
      </w:hyperlink>
    </w:p>
    <w:p w14:paraId="10A30FD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Quijano Martinez, M. C., &amp; Cuervo Cuesta, M. T. (2011). Alteraciones cognoscitivas después de un trauma craneoencefálico. [Cognitive impairment after traumatic brain injury.]. </w:t>
      </w:r>
      <w:r w:rsidRPr="001768F9">
        <w:rPr>
          <w:rFonts w:ascii="Times New Roman" w:eastAsia="Times New Roman" w:hAnsi="Times New Roman" w:cs="Times New Roman"/>
          <w:i/>
          <w:iCs/>
          <w:sz w:val="24"/>
          <w:szCs w:val="24"/>
        </w:rPr>
        <w:t>Acta Colombiana de Psicología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(1), 71–80.</w:t>
      </w:r>
    </w:p>
    <w:p w14:paraId="5AA42D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Quiles, C., Prouteau, A., &amp; Verdoux, H. (2013). Caractéristiques et impact des déficits métacognitifs dans la schizophrénie. Revue de la littérature. [Characteristics and impact of metacognitive deficits in schizophrenia.]. </w:t>
      </w:r>
      <w:r w:rsidRPr="001768F9">
        <w:rPr>
          <w:rFonts w:ascii="Times New Roman" w:eastAsia="Times New Roman" w:hAnsi="Times New Roman" w:cs="Times New Roman"/>
          <w:i/>
          <w:iCs/>
          <w:sz w:val="24"/>
          <w:szCs w:val="24"/>
        </w:rPr>
        <w:t>L’Encéphale: Revue de Psychiatrie Clinique Biologique et Thérapeutique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(2), 123–129. </w:t>
      </w:r>
      <w:hyperlink r:id="rId4640" w:history="1">
        <w:r w:rsidRPr="001768F9">
          <w:rPr>
            <w:rFonts w:ascii="Times New Roman" w:eastAsia="Times New Roman" w:hAnsi="Times New Roman" w:cs="Times New Roman"/>
            <w:color w:val="0000FF"/>
            <w:sz w:val="24"/>
            <w:szCs w:val="24"/>
            <w:u w:val="single"/>
          </w:rPr>
          <w:t>https://doi.org/10.1016/j.encep.2012.01.009</w:t>
        </w:r>
      </w:hyperlink>
    </w:p>
    <w:p w14:paraId="6776867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Quiles, C., Prouteau, A., &amp; Verdoux, H. (2015). Associations between self-esteem, anxiety and depression and metacognitive awareness or metacognitive knowledge.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230</w:t>
      </w:r>
      <w:r w:rsidRPr="001768F9">
        <w:rPr>
          <w:rFonts w:ascii="Times New Roman" w:eastAsia="Times New Roman" w:hAnsi="Times New Roman" w:cs="Times New Roman"/>
          <w:sz w:val="24"/>
          <w:szCs w:val="24"/>
        </w:rPr>
        <w:t xml:space="preserve">(2), 738–741. </w:t>
      </w:r>
      <w:hyperlink r:id="rId4641" w:history="1">
        <w:r w:rsidRPr="001768F9">
          <w:rPr>
            <w:rFonts w:ascii="Times New Roman" w:eastAsia="Times New Roman" w:hAnsi="Times New Roman" w:cs="Times New Roman"/>
            <w:color w:val="0000FF"/>
            <w:sz w:val="24"/>
            <w:szCs w:val="24"/>
            <w:u w:val="single"/>
          </w:rPr>
          <w:t>https://doi.org/10.1016/j.psychres.2015.10.035</w:t>
        </w:r>
      </w:hyperlink>
    </w:p>
    <w:p w14:paraId="4911B0C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Quiles, C., Verdoux, H., &amp; Prouteau, A. (2014). Assessing metacognition during a cognitive task: Impact of “on-line” metacognitive questions on neuropsychological performances in a non-clinical sample.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547–554. </w:t>
      </w:r>
      <w:hyperlink r:id="rId4642" w:history="1">
        <w:r w:rsidRPr="001768F9">
          <w:rPr>
            <w:rFonts w:ascii="Times New Roman" w:eastAsia="Times New Roman" w:hAnsi="Times New Roman" w:cs="Times New Roman"/>
            <w:color w:val="0000FF"/>
            <w:sz w:val="24"/>
            <w:szCs w:val="24"/>
            <w:u w:val="single"/>
          </w:rPr>
          <w:t>https://doi.org/10.1017/S1355617714000290</w:t>
        </w:r>
      </w:hyperlink>
    </w:p>
    <w:p w14:paraId="46B71CC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Quinlan, C., Rattray, B., Pryor, D., Northey, J. M., Coxon, J., Cherbuin, N., &amp; Andrews, S. C. (2021). A short-term intervention of high-intensity exercise and anodal-tDCS on motor learning in middle-aged adults: An RCT.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 </w:t>
      </w:r>
      <w:hyperlink r:id="rId4643" w:history="1">
        <w:r w:rsidRPr="001768F9">
          <w:rPr>
            <w:rFonts w:ascii="Times New Roman" w:eastAsia="Times New Roman" w:hAnsi="Times New Roman" w:cs="Times New Roman"/>
            <w:color w:val="0000FF"/>
            <w:sz w:val="24"/>
            <w:szCs w:val="24"/>
            <w:u w:val="single"/>
          </w:rPr>
          <w:t>https://doi.org/10.3389/fnhum.2021.661079</w:t>
        </w:r>
      </w:hyperlink>
    </w:p>
    <w:p w14:paraId="79D6F1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Quinlan, P., Nordlund, A., Lind, K., Gustafson, D., Edman, Å., &amp; Wallin, A. (2010). Thyroid hormones are associated with poorer cognition in mild cognitive impairment. </w:t>
      </w:r>
      <w:r w:rsidRPr="001768F9">
        <w:rPr>
          <w:rFonts w:ascii="Times New Roman" w:eastAsia="Times New Roman" w:hAnsi="Times New Roman" w:cs="Times New Roman"/>
          <w:i/>
          <w:iCs/>
          <w:sz w:val="24"/>
          <w:szCs w:val="24"/>
        </w:rPr>
        <w:t>Dementia and Geriatric Cognitive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(3), 205–211. </w:t>
      </w:r>
      <w:hyperlink r:id="rId4644" w:history="1">
        <w:r w:rsidRPr="001768F9">
          <w:rPr>
            <w:rFonts w:ascii="Times New Roman" w:eastAsia="Times New Roman" w:hAnsi="Times New Roman" w:cs="Times New Roman"/>
            <w:color w:val="0000FF"/>
            <w:sz w:val="24"/>
            <w:szCs w:val="24"/>
            <w:u w:val="single"/>
          </w:rPr>
          <w:t>https://doi.org/10.1159/000319746</w:t>
        </w:r>
      </w:hyperlink>
    </w:p>
    <w:p w14:paraId="460A0F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Quinn, C., Elman, L., McCluskey, L., Hoskins, K., Karam, C., Woo, J. H., Poptani, H., Wang, S., Chawla, S., Kasner, S. E., &amp; Grossman, M. (2012). Frontal lobe abnormalities on MRS correlate with poor letter fluency in ALS.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(6), 583–588. </w:t>
      </w:r>
      <w:hyperlink r:id="rId4645" w:history="1">
        <w:r w:rsidRPr="001768F9">
          <w:rPr>
            <w:rFonts w:ascii="Times New Roman" w:eastAsia="Times New Roman" w:hAnsi="Times New Roman" w:cs="Times New Roman"/>
            <w:color w:val="0000FF"/>
            <w:sz w:val="24"/>
            <w:szCs w:val="24"/>
            <w:u w:val="single"/>
          </w:rPr>
          <w:t>https://doi.org/10.1212/WNL.0b013e3182635720</w:t>
        </w:r>
      </w:hyperlink>
    </w:p>
    <w:p w14:paraId="0AFF3FA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Quisenaerts, C., Morrens, M., &amp; Sabbe, B. (2013). De nicotinereceptor als doelwit voor verbetering van de cognitieve symptomen bij schizofrenie. [The nicotine receptor as a target for improvement of the cognitive symptoms of schizophrenia.]. </w:t>
      </w:r>
      <w:r w:rsidRPr="001768F9">
        <w:rPr>
          <w:rFonts w:ascii="Times New Roman" w:eastAsia="Times New Roman" w:hAnsi="Times New Roman" w:cs="Times New Roman"/>
          <w:i/>
          <w:iCs/>
          <w:sz w:val="24"/>
          <w:szCs w:val="24"/>
        </w:rPr>
        <w:t>Tijdschrift Voor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(6), 415–425.</w:t>
      </w:r>
    </w:p>
    <w:p w14:paraId="7D3925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Raaphorst, J., de Visser, M., van Tol, M.-J., Linssen, W. H. J. P., van der Kooi, A. J., de Haan, R. J., van den Berg, L. H., &amp; Schmand, B. (2011). Cognitive dysfunction in lower motor neuron disease: Executive and memory deficits in progressive muscular atrophy.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82</w:t>
      </w:r>
      <w:r w:rsidRPr="001768F9">
        <w:rPr>
          <w:rFonts w:ascii="Times New Roman" w:eastAsia="Times New Roman" w:hAnsi="Times New Roman" w:cs="Times New Roman"/>
          <w:sz w:val="24"/>
          <w:szCs w:val="24"/>
        </w:rPr>
        <w:t xml:space="preserve">(2), 170–175. </w:t>
      </w:r>
      <w:hyperlink r:id="rId4646" w:history="1">
        <w:r w:rsidRPr="001768F9">
          <w:rPr>
            <w:rFonts w:ascii="Times New Roman" w:eastAsia="Times New Roman" w:hAnsi="Times New Roman" w:cs="Times New Roman"/>
            <w:color w:val="0000FF"/>
            <w:sz w:val="24"/>
            <w:szCs w:val="24"/>
            <w:u w:val="single"/>
          </w:rPr>
          <w:t>https://doi.org/10.1136/jnnp.2009.204446</w:t>
        </w:r>
      </w:hyperlink>
    </w:p>
    <w:p w14:paraId="144E956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Rabbitt, P. M. A., McInnes, L., Diggle, P., Holland, F., Bent, N., Abson, V., Pendleton, N., &amp; Horan, M. (2004). The University of Manchester longitudinal study of cognition in normal healthy old age, 1983 through 2003.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(2–3), 245–279. </w:t>
      </w:r>
      <w:hyperlink r:id="rId4647" w:history="1">
        <w:r w:rsidRPr="001768F9">
          <w:rPr>
            <w:rFonts w:ascii="Times New Roman" w:eastAsia="Times New Roman" w:hAnsi="Times New Roman" w:cs="Times New Roman"/>
            <w:color w:val="0000FF"/>
            <w:sz w:val="24"/>
            <w:szCs w:val="24"/>
            <w:u w:val="single"/>
          </w:rPr>
          <w:t>https://doi.org/10.1080/13825580490511116</w:t>
        </w:r>
      </w:hyperlink>
    </w:p>
    <w:p w14:paraId="25C731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 R., &amp; Minda, J. P. (2017). Familiarization may minimize age-related declines in rule-based category learning.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(7), 654–674. </w:t>
      </w:r>
      <w:hyperlink r:id="rId4648" w:history="1">
        <w:r w:rsidRPr="001768F9">
          <w:rPr>
            <w:rFonts w:ascii="Times New Roman" w:eastAsia="Times New Roman" w:hAnsi="Times New Roman" w:cs="Times New Roman"/>
            <w:color w:val="0000FF"/>
            <w:sz w:val="24"/>
            <w:szCs w:val="24"/>
            <w:u w:val="single"/>
          </w:rPr>
          <w:t>https://doi.org/10.1037/pag0000190</w:t>
        </w:r>
      </w:hyperlink>
    </w:p>
    <w:p w14:paraId="65B9E0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Barr, W. B., &amp; Burton, L. A. (2007). Effects of patient occupation and education variables on the choice of neuropsychological assessment instruments.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(4), 255–261. </w:t>
      </w:r>
      <w:hyperlink r:id="rId4649" w:history="1">
        <w:r w:rsidRPr="001768F9">
          <w:rPr>
            <w:rFonts w:ascii="Times New Roman" w:eastAsia="Times New Roman" w:hAnsi="Times New Roman" w:cs="Times New Roman"/>
            <w:color w:val="0000FF"/>
            <w:sz w:val="24"/>
            <w:szCs w:val="24"/>
            <w:u w:val="single"/>
          </w:rPr>
          <w:t>https://doi.org/10.1080/09084280701719161</w:t>
        </w:r>
      </w:hyperlink>
    </w:p>
    <w:p w14:paraId="26D952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Borgos, M. J., Saykin, A. J., Wishart, H. A., Crane, P. K., Nutter-Upham, K. E., &amp; Flashman, L. A. (2007). Judgment in older adults: Development and psychometric evaluation of the test of practical judgment (TOP-J).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(7), 752–767. </w:t>
      </w:r>
      <w:hyperlink r:id="rId4650" w:history="1">
        <w:r w:rsidRPr="001768F9">
          <w:rPr>
            <w:rFonts w:ascii="Times New Roman" w:eastAsia="Times New Roman" w:hAnsi="Times New Roman" w:cs="Times New Roman"/>
            <w:color w:val="0000FF"/>
            <w:sz w:val="24"/>
            <w:szCs w:val="24"/>
            <w:u w:val="single"/>
          </w:rPr>
          <w:t>https://doi.org/10.1080/13825580601025908</w:t>
        </w:r>
      </w:hyperlink>
    </w:p>
    <w:p w14:paraId="7A36F96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Burton, L. A., &amp; Barr, W. B. (2007). Utilization rates of ecologically oriented instruments among clinical neuropsychologists.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727–743. </w:t>
      </w:r>
      <w:hyperlink r:id="rId4651" w:history="1">
        <w:r w:rsidRPr="001768F9">
          <w:rPr>
            <w:rFonts w:ascii="Times New Roman" w:eastAsia="Times New Roman" w:hAnsi="Times New Roman" w:cs="Times New Roman"/>
            <w:color w:val="0000FF"/>
            <w:sz w:val="24"/>
            <w:szCs w:val="24"/>
            <w:u w:val="single"/>
          </w:rPr>
          <w:t>https://doi.org/10.1080/13854040600888776</w:t>
        </w:r>
      </w:hyperlink>
    </w:p>
    <w:p w14:paraId="2A0C10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Paré, N., Saykin, A. J., Brown, M. J., Wishart, H. A., Flashman, L. A., &amp; Santulli, R. B. (2009). Differential memory test sensitivity for diagnosing amnestic mild cognitive impairment and predicting conversion to Alzheimer’s disease. </w:t>
      </w:r>
      <w:r w:rsidRPr="001768F9">
        <w:rPr>
          <w:rFonts w:ascii="Times New Roman" w:eastAsia="Times New Roman" w:hAnsi="Times New Roman" w:cs="Times New Roman"/>
          <w:i/>
          <w:iCs/>
          <w:sz w:val="24"/>
          <w:szCs w:val="24"/>
        </w:rPr>
        <w:t>Aging, Neuropsychology,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(3), 357–376. </w:t>
      </w:r>
      <w:hyperlink r:id="rId4652" w:history="1">
        <w:r w:rsidRPr="001768F9">
          <w:rPr>
            <w:rFonts w:ascii="Times New Roman" w:eastAsia="Times New Roman" w:hAnsi="Times New Roman" w:cs="Times New Roman"/>
            <w:color w:val="0000FF"/>
            <w:sz w:val="24"/>
            <w:szCs w:val="24"/>
            <w:u w:val="single"/>
          </w:rPr>
          <w:t>https://doi.org/10.1080/13825580902825220</w:t>
        </w:r>
      </w:hyperlink>
    </w:p>
    <w:p w14:paraId="2BE6F3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Roth, R. M., Isquith, P. K., Wishart, H. A., Nutter-Upham, K. E., Pare, N., Flashman, L. A., &amp; Saykin, A. J. (2006). Self- and informant reports of executive function on the BRIEF-A in MCI and older adults with cognitive complaints.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(7), 721–732. </w:t>
      </w:r>
      <w:hyperlink r:id="rId4653" w:history="1">
        <w:r w:rsidRPr="001768F9">
          <w:rPr>
            <w:rFonts w:ascii="Times New Roman" w:eastAsia="Times New Roman" w:hAnsi="Times New Roman" w:cs="Times New Roman"/>
            <w:color w:val="0000FF"/>
            <w:sz w:val="24"/>
            <w:szCs w:val="24"/>
            <w:u w:val="single"/>
          </w:rPr>
          <w:t>https://doi.org/10.1016/j.acn.2006.08.004</w:t>
        </w:r>
      </w:hyperlink>
    </w:p>
    <w:p w14:paraId="561F82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L. A., Saykin, A. J., Wishart, H. A., Nutter-Upham, K. E., Flashman, L. A., Pare, N., &amp; Santulli, R. B. (2007). The Memory and Aging Telephone Screen: Development and preliminary validation. </w:t>
      </w:r>
      <w:r w:rsidRPr="001768F9">
        <w:rPr>
          <w:rFonts w:ascii="Times New Roman" w:eastAsia="Times New Roman" w:hAnsi="Times New Roman" w:cs="Times New Roman"/>
          <w:i/>
          <w:iCs/>
          <w:sz w:val="24"/>
          <w:szCs w:val="24"/>
        </w:rPr>
        <w:t>Alzheimer’s &amp; Dementia: The Journal of the Alzheimer’s Association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w:t>
      </w:r>
      <w:r w:rsidRPr="001768F9">
        <w:rPr>
          <w:rFonts w:ascii="Times New Roman" w:eastAsia="Times New Roman" w:hAnsi="Times New Roman" w:cs="Times New Roman"/>
          <w:sz w:val="24"/>
          <w:szCs w:val="24"/>
        </w:rPr>
        <w:t xml:space="preserve">(2), 109–121. </w:t>
      </w:r>
      <w:hyperlink r:id="rId4654" w:history="1">
        <w:r w:rsidRPr="001768F9">
          <w:rPr>
            <w:rFonts w:ascii="Times New Roman" w:eastAsia="Times New Roman" w:hAnsi="Times New Roman" w:cs="Times New Roman"/>
            <w:color w:val="0000FF"/>
            <w:sz w:val="24"/>
            <w:szCs w:val="24"/>
            <w:u w:val="single"/>
          </w:rPr>
          <w:t>https://doi.org/10.1016/j.jalz.2007.02.002</w:t>
        </w:r>
      </w:hyperlink>
    </w:p>
    <w:p w14:paraId="11E9C0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Barr, M. S., Goodman, M. S., Herman, Y., Zakzanis, K. K., Kish, S. J., Kiang, M., Remington, G., &amp; George, T. P. (2017). Effects of extended cannabis abstinence on cognitive outcomes in cannabis dependent patients with schizophrenia vs non-psychiatric controls. </w:t>
      </w:r>
      <w:r w:rsidRPr="001768F9">
        <w:rPr>
          <w:rFonts w:ascii="Times New Roman" w:eastAsia="Times New Roman" w:hAnsi="Times New Roman" w:cs="Times New Roman"/>
          <w:i/>
          <w:iCs/>
          <w:sz w:val="24"/>
          <w:szCs w:val="24"/>
        </w:rPr>
        <w:t>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(11), 2259–2271. </w:t>
      </w:r>
      <w:hyperlink r:id="rId4655" w:history="1">
        <w:r w:rsidRPr="001768F9">
          <w:rPr>
            <w:rFonts w:ascii="Times New Roman" w:eastAsia="Times New Roman" w:hAnsi="Times New Roman" w:cs="Times New Roman"/>
            <w:color w:val="0000FF"/>
            <w:sz w:val="24"/>
            <w:szCs w:val="24"/>
            <w:u w:val="single"/>
          </w:rPr>
          <w:t>https://doi.org/10.1038/npp.2017.85</w:t>
        </w:r>
      </w:hyperlink>
    </w:p>
    <w:p w14:paraId="4F89BF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Sacco, K. A., &amp; George, T. P. (2009). Correlation of prepulse inhibition and Wisconsin Card Sorting Test in schizophrenia and controls: Effects of smoking status.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114</w:t>
      </w:r>
      <w:r w:rsidRPr="001768F9">
        <w:rPr>
          <w:rFonts w:ascii="Times New Roman" w:eastAsia="Times New Roman" w:hAnsi="Times New Roman" w:cs="Times New Roman"/>
          <w:sz w:val="24"/>
          <w:szCs w:val="24"/>
        </w:rPr>
        <w:t xml:space="preserve">(1–3), 91–97. </w:t>
      </w:r>
      <w:hyperlink r:id="rId4656" w:history="1">
        <w:r w:rsidRPr="001768F9">
          <w:rPr>
            <w:rFonts w:ascii="Times New Roman" w:eastAsia="Times New Roman" w:hAnsi="Times New Roman" w:cs="Times New Roman"/>
            <w:color w:val="0000FF"/>
            <w:sz w:val="24"/>
            <w:szCs w:val="24"/>
            <w:u w:val="single"/>
          </w:rPr>
          <w:t>https://doi.org/10.1016/j.schres.2009.07.006</w:t>
        </w:r>
      </w:hyperlink>
    </w:p>
    <w:p w14:paraId="7277AC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Zakzanis, K. K., Daskalakis, Z. J., &amp; George, T. P. (2013). Effects of cannabis use status on cognitive function, in males with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206</w:t>
      </w:r>
      <w:r w:rsidRPr="001768F9">
        <w:rPr>
          <w:rFonts w:ascii="Times New Roman" w:eastAsia="Times New Roman" w:hAnsi="Times New Roman" w:cs="Times New Roman"/>
          <w:sz w:val="24"/>
          <w:szCs w:val="24"/>
        </w:rPr>
        <w:t xml:space="preserve">(2–3), 158–165. </w:t>
      </w:r>
      <w:hyperlink r:id="rId4657" w:history="1">
        <w:r w:rsidRPr="001768F9">
          <w:rPr>
            <w:rFonts w:ascii="Times New Roman" w:eastAsia="Times New Roman" w:hAnsi="Times New Roman" w:cs="Times New Roman"/>
            <w:color w:val="0000FF"/>
            <w:sz w:val="24"/>
            <w:szCs w:val="24"/>
            <w:u w:val="single"/>
          </w:rPr>
          <w:t>https://doi.org/10.1016/j.psychres.2012.11.019</w:t>
        </w:r>
      </w:hyperlink>
    </w:p>
    <w:p w14:paraId="7433391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 R. A., Zakzanis, K. K., &amp; George, T. P. (2011). The effects of cannabis use on neurocognition in schizophrenia: A meta-analysis.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128</w:t>
      </w:r>
      <w:r w:rsidRPr="001768F9">
        <w:rPr>
          <w:rFonts w:ascii="Times New Roman" w:eastAsia="Times New Roman" w:hAnsi="Times New Roman" w:cs="Times New Roman"/>
          <w:sz w:val="24"/>
          <w:szCs w:val="24"/>
        </w:rPr>
        <w:t xml:space="preserve">(1–3), 111–116. </w:t>
      </w:r>
      <w:hyperlink r:id="rId4658" w:history="1">
        <w:r w:rsidRPr="001768F9">
          <w:rPr>
            <w:rFonts w:ascii="Times New Roman" w:eastAsia="Times New Roman" w:hAnsi="Times New Roman" w:cs="Times New Roman"/>
            <w:color w:val="0000FF"/>
            <w:sz w:val="24"/>
            <w:szCs w:val="24"/>
            <w:u w:val="single"/>
          </w:rPr>
          <w:t>https://doi.org/10.1016/j.schres.2011.02.017</w:t>
        </w:r>
      </w:hyperlink>
    </w:p>
    <w:p w14:paraId="6C235FD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Rabinowitz, J., Harvey, P. D., Eerdekens, M., &amp; Davidson, M. (2006). Premorbid functioning and treatment response in recent-onset schizophrenia.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189</w:t>
      </w:r>
      <w:r w:rsidRPr="001768F9">
        <w:rPr>
          <w:rFonts w:ascii="Times New Roman" w:eastAsia="Times New Roman" w:hAnsi="Times New Roman" w:cs="Times New Roman"/>
          <w:sz w:val="24"/>
          <w:szCs w:val="24"/>
        </w:rPr>
        <w:t xml:space="preserve">(1), 31–35. </w:t>
      </w:r>
      <w:hyperlink r:id="rId4659" w:history="1">
        <w:r w:rsidRPr="001768F9">
          <w:rPr>
            <w:rFonts w:ascii="Times New Roman" w:eastAsia="Times New Roman" w:hAnsi="Times New Roman" w:cs="Times New Roman"/>
            <w:color w:val="0000FF"/>
            <w:sz w:val="24"/>
            <w:szCs w:val="24"/>
            <w:u w:val="single"/>
          </w:rPr>
          <w:t>https://doi.org/10.1192/bjp.bp.105.013276</w:t>
        </w:r>
      </w:hyperlink>
    </w:p>
    <w:p w14:paraId="24214FA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Rachbauer, D., Kronbichler, M., Ropele, S., Enzinger, C., &amp; Fazekas, F. (2006). Differences in cerebral activation patterns in idiopathic inflammatory demyelination using the paced visual serial addition task: An fMRI study.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244</w:t>
      </w:r>
      <w:r w:rsidRPr="001768F9">
        <w:rPr>
          <w:rFonts w:ascii="Times New Roman" w:eastAsia="Times New Roman" w:hAnsi="Times New Roman" w:cs="Times New Roman"/>
          <w:sz w:val="24"/>
          <w:szCs w:val="24"/>
        </w:rPr>
        <w:t xml:space="preserve">(1–2), 11–16. </w:t>
      </w:r>
      <w:hyperlink r:id="rId4660" w:history="1">
        <w:r w:rsidRPr="001768F9">
          <w:rPr>
            <w:rFonts w:ascii="Times New Roman" w:eastAsia="Times New Roman" w:hAnsi="Times New Roman" w:cs="Times New Roman"/>
            <w:color w:val="0000FF"/>
            <w:sz w:val="24"/>
            <w:szCs w:val="24"/>
            <w:u w:val="single"/>
          </w:rPr>
          <w:t>https://doi.org/10.1016/j.jns.2005.11.035</w:t>
        </w:r>
      </w:hyperlink>
    </w:p>
    <w:p w14:paraId="2CFA176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Raciti, L., Nicoletti, A., Pira Le, F., Andreoli, V., Contrafatto, D., Lanzafame, S., Maci, T., Gambardella, A., Quattrone, A., &amp; Zappia, M. (2011). Presenilin-2 gene mutation presenting as Lewy Body dementia? </w:t>
      </w:r>
      <w:r w:rsidRPr="001768F9">
        <w:rPr>
          <w:rFonts w:ascii="Times New Roman" w:eastAsia="Times New Roman" w:hAnsi="Times New Roman" w:cs="Times New Roman"/>
          <w:i/>
          <w:iCs/>
          <w:sz w:val="24"/>
          <w:szCs w:val="24"/>
        </w:rPr>
        <w:t>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(3), 533–534. </w:t>
      </w:r>
      <w:hyperlink r:id="rId4661" w:history="1">
        <w:r w:rsidRPr="001768F9">
          <w:rPr>
            <w:rFonts w:ascii="Times New Roman" w:eastAsia="Times New Roman" w:hAnsi="Times New Roman" w:cs="Times New Roman"/>
            <w:color w:val="0000FF"/>
            <w:sz w:val="24"/>
            <w:szCs w:val="24"/>
            <w:u w:val="single"/>
          </w:rPr>
          <w:t>https://doi.org/10.1007/s10072-011-0497-4</w:t>
        </w:r>
      </w:hyperlink>
    </w:p>
    <w:p w14:paraId="115FD0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Racsmány, M., Conway, M. A., Garab, E. A., Cimmer, C., Janka, Z., Kurimay, T., Pléh, C., &amp; Szendi, I. (2008). Disrupted memory inhibition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101</w:t>
      </w:r>
      <w:r w:rsidRPr="001768F9">
        <w:rPr>
          <w:rFonts w:ascii="Times New Roman" w:eastAsia="Times New Roman" w:hAnsi="Times New Roman" w:cs="Times New Roman"/>
          <w:sz w:val="24"/>
          <w:szCs w:val="24"/>
        </w:rPr>
        <w:t xml:space="preserve">(1–3), 218–224. </w:t>
      </w:r>
      <w:hyperlink r:id="rId4662" w:history="1">
        <w:r w:rsidRPr="001768F9">
          <w:rPr>
            <w:rFonts w:ascii="Times New Roman" w:eastAsia="Times New Roman" w:hAnsi="Times New Roman" w:cs="Times New Roman"/>
            <w:color w:val="0000FF"/>
            <w:sz w:val="24"/>
            <w:szCs w:val="24"/>
            <w:u w:val="single"/>
          </w:rPr>
          <w:t>https://doi.org/10.1016/j.schres.2008.01.002</w:t>
        </w:r>
      </w:hyperlink>
    </w:p>
    <w:p w14:paraId="23C6578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Radanovic, M., Azambuja, M., Mansur, L. L., Porto, C. S., &amp; Scaff, M. (2003). Thalamus and language: Interface with attention, memory and executive functions.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(1), 34–42. </w:t>
      </w:r>
      <w:hyperlink r:id="rId4663" w:history="1">
        <w:r w:rsidRPr="001768F9">
          <w:rPr>
            <w:rFonts w:ascii="Times New Roman" w:eastAsia="Times New Roman" w:hAnsi="Times New Roman" w:cs="Times New Roman"/>
            <w:color w:val="0000FF"/>
            <w:sz w:val="24"/>
            <w:szCs w:val="24"/>
            <w:u w:val="single"/>
          </w:rPr>
          <w:t>https://doi.org/10.1590/S0004-282X2003000100006</w:t>
        </w:r>
      </w:hyperlink>
    </w:p>
    <w:p w14:paraId="0B18120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Radanovic, M., Lessa Mansur, L., Jardim Azambuja, M., Sellitto Porto, C., &amp; Scaff, M. (2004). Contribution to the evaluation of language disturbances in subcortical lesions: A pilot study. </w:t>
      </w:r>
      <w:r w:rsidRPr="001768F9">
        <w:rPr>
          <w:rFonts w:ascii="Times New Roman" w:eastAsia="Times New Roman" w:hAnsi="Times New Roman" w:cs="Times New Roman"/>
          <w:i/>
          <w:iCs/>
          <w:sz w:val="24"/>
          <w:szCs w:val="24"/>
        </w:rPr>
        <w:t>Arquivos de Neuro-Psiquiatria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(1), 51–57. </w:t>
      </w:r>
      <w:hyperlink r:id="rId4664" w:history="1">
        <w:r w:rsidRPr="001768F9">
          <w:rPr>
            <w:rFonts w:ascii="Times New Roman" w:eastAsia="Times New Roman" w:hAnsi="Times New Roman" w:cs="Times New Roman"/>
            <w:color w:val="0000FF"/>
            <w:sz w:val="24"/>
            <w:szCs w:val="24"/>
            <w:u w:val="single"/>
          </w:rPr>
          <w:t>https://doi.org/10.1590/S0004-282X2004000100009</w:t>
        </w:r>
      </w:hyperlink>
    </w:p>
    <w:p w14:paraId="3577B34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Radoeva, P. D., Coman, I. L., Antshel, K. M., Fremont, W., McCarthy, C. S., Kotkar, A., Wang, D., Shprintzen, R. J., &amp; Kates, W. R. (2012). Atlas-based white matter analysis in individuals with velo-cardio-facial syndrome (22q11.2 deletion syndrome) and unaffected siblings. </w:t>
      </w:r>
      <w:r w:rsidRPr="001768F9">
        <w:rPr>
          <w:rFonts w:ascii="Times New Roman" w:eastAsia="Times New Roman" w:hAnsi="Times New Roman" w:cs="Times New Roman"/>
          <w:i/>
          <w:iCs/>
          <w:sz w:val="24"/>
          <w:szCs w:val="24"/>
        </w:rPr>
        <w:t>Behavioral and Brain Functions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(38). </w:t>
      </w:r>
      <w:hyperlink r:id="rId4665" w:history="1">
        <w:r w:rsidRPr="001768F9">
          <w:rPr>
            <w:rFonts w:ascii="Times New Roman" w:eastAsia="Times New Roman" w:hAnsi="Times New Roman" w:cs="Times New Roman"/>
            <w:color w:val="0000FF"/>
            <w:sz w:val="24"/>
            <w:szCs w:val="24"/>
            <w:u w:val="single"/>
          </w:rPr>
          <w:t>https://doi.org/10.1186/1744-9081-8-38</w:t>
        </w:r>
      </w:hyperlink>
    </w:p>
    <w:p w14:paraId="4C24F7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Radomski, A. D., Power, C., Purdon, S. E., Emery, D. J., Blevins, G., Warren, K. G., &amp; Fujiwara, E. (2015). Decision-making under explicit risk is impaired in multiple sclerosis: Relationships with ventricular width and disease disability. </w:t>
      </w:r>
      <w:r w:rsidRPr="001768F9">
        <w:rPr>
          <w:rFonts w:ascii="Times New Roman" w:eastAsia="Times New Roman" w:hAnsi="Times New Roman" w:cs="Times New Roman"/>
          <w:i/>
          <w:iCs/>
          <w:sz w:val="24"/>
          <w:szCs w:val="24"/>
        </w:rPr>
        <w:t>BMC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w:t>
      </w:r>
    </w:p>
    <w:p w14:paraId="413F1F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Radulescu, A., Daniel, R., &amp; Niv, Y. (2016). The effects of aging on the interaction between reinforcement learning and attention.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(7), 747–757. </w:t>
      </w:r>
      <w:hyperlink r:id="rId4666" w:history="1">
        <w:r w:rsidRPr="001768F9">
          <w:rPr>
            <w:rFonts w:ascii="Times New Roman" w:eastAsia="Times New Roman" w:hAnsi="Times New Roman" w:cs="Times New Roman"/>
            <w:color w:val="0000FF"/>
            <w:sz w:val="24"/>
            <w:szCs w:val="24"/>
            <w:u w:val="single"/>
          </w:rPr>
          <w:t>https://doi.org/10.1037/pag0000112</w:t>
        </w:r>
      </w:hyperlink>
    </w:p>
    <w:p w14:paraId="2DB33D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Rady, A., Elsheshai, A., Wafa, H. A. el, &amp; Elkholy, O. (2011). Wisconsin Card Sort Test (WCST) performance in schizophrenia and severe depression with psychotic features. </w:t>
      </w:r>
      <w:r w:rsidRPr="001768F9">
        <w:rPr>
          <w:rFonts w:ascii="Times New Roman" w:eastAsia="Times New Roman" w:hAnsi="Times New Roman" w:cs="Times New Roman"/>
          <w:i/>
          <w:iCs/>
          <w:sz w:val="24"/>
          <w:szCs w:val="24"/>
        </w:rPr>
        <w:t>German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(2), 91–94.</w:t>
      </w:r>
    </w:p>
    <w:p w14:paraId="505415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Raffard, S., &amp; Bayard, S. (2012). Understanding the executive functioning heterogeneity in schizophrenia.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(1), 60–69. </w:t>
      </w:r>
      <w:hyperlink r:id="rId4667" w:history="1">
        <w:r w:rsidRPr="001768F9">
          <w:rPr>
            <w:rFonts w:ascii="Times New Roman" w:eastAsia="Times New Roman" w:hAnsi="Times New Roman" w:cs="Times New Roman"/>
            <w:color w:val="0000FF"/>
            <w:sz w:val="24"/>
            <w:szCs w:val="24"/>
            <w:u w:val="single"/>
          </w:rPr>
          <w:t>https://doi.org/10.1016/j.bandc.2012.01.008</w:t>
        </w:r>
      </w:hyperlink>
    </w:p>
    <w:p w14:paraId="44C44F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Rafter, M., Fone, K. C. F., &amp; Moran, P. M. (2016). Glutamate pharmacological models relevant to schizophrenia and psychosis: Can a receptor occupancy normalization approach reduce the gap between animal and human experiments? In </w:t>
      </w:r>
      <w:r w:rsidRPr="001768F9">
        <w:rPr>
          <w:rFonts w:ascii="Times New Roman" w:eastAsia="Times New Roman" w:hAnsi="Times New Roman" w:cs="Times New Roman"/>
          <w:i/>
          <w:iCs/>
          <w:sz w:val="24"/>
          <w:szCs w:val="24"/>
        </w:rPr>
        <w:t>Modeling the psychopathological dimensions of schizophrenia: From molecules to behavior.</w:t>
      </w:r>
      <w:r w:rsidRPr="001768F9">
        <w:rPr>
          <w:rFonts w:ascii="Times New Roman" w:eastAsia="Times New Roman" w:hAnsi="Times New Roman" w:cs="Times New Roman"/>
          <w:sz w:val="24"/>
          <w:szCs w:val="24"/>
        </w:rPr>
        <w:t xml:space="preserve"> (pp. 139–174). Elsevier Academic Press. </w:t>
      </w:r>
      <w:hyperlink r:id="rId4668" w:history="1">
        <w:r w:rsidRPr="001768F9">
          <w:rPr>
            <w:rFonts w:ascii="Times New Roman" w:eastAsia="Times New Roman" w:hAnsi="Times New Roman" w:cs="Times New Roman"/>
            <w:color w:val="0000FF"/>
            <w:sz w:val="24"/>
            <w:szCs w:val="24"/>
            <w:u w:val="single"/>
          </w:rPr>
          <w:t>https://doi.org/10.1016/B978-0-12-800981-9.00010-9</w:t>
        </w:r>
      </w:hyperlink>
    </w:p>
    <w:p w14:paraId="3A391B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Censits, D. M., Gur, R. C., Glahn, D. C., Gallacher, F., &amp; Gur, R. E. (1996). Assessing declarative memory in schizophrenia using Wisconsin Card Sorting Test stimuli: The Paired Associate Recognition Test.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60</w:t>
      </w:r>
      <w:r w:rsidRPr="001768F9">
        <w:rPr>
          <w:rFonts w:ascii="Times New Roman" w:eastAsia="Times New Roman" w:hAnsi="Times New Roman" w:cs="Times New Roman"/>
          <w:sz w:val="24"/>
          <w:szCs w:val="24"/>
        </w:rPr>
        <w:t xml:space="preserve">(2–3), 135–145. </w:t>
      </w:r>
      <w:hyperlink r:id="rId4669" w:history="1">
        <w:r w:rsidRPr="001768F9">
          <w:rPr>
            <w:rFonts w:ascii="Times New Roman" w:eastAsia="Times New Roman" w:hAnsi="Times New Roman" w:cs="Times New Roman"/>
            <w:color w:val="0000FF"/>
            <w:sz w:val="24"/>
            <w:szCs w:val="24"/>
            <w:u w:val="single"/>
          </w:rPr>
          <w:t>https://doi.org/10.1016/0165-1781(96)02811-9</w:t>
        </w:r>
      </w:hyperlink>
    </w:p>
    <w:p w14:paraId="3BF2B9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Glahn, D. C., Gur, R. C., Censits, D. M., Smith, R. J., Mozley, P. D., Alavi, A., &amp; Gur, R. E. (1997). PET regional cerebral blood flow during working and declarative memory: Relationship with task performance.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 222–231. </w:t>
      </w:r>
      <w:hyperlink r:id="rId4670" w:history="1">
        <w:r w:rsidRPr="001768F9">
          <w:rPr>
            <w:rFonts w:ascii="Times New Roman" w:eastAsia="Times New Roman" w:hAnsi="Times New Roman" w:cs="Times New Roman"/>
            <w:color w:val="0000FF"/>
            <w:sz w:val="24"/>
            <w:szCs w:val="24"/>
            <w:u w:val="single"/>
          </w:rPr>
          <w:t>https://doi.org/10.1037/0894-4105.11.2.222</w:t>
        </w:r>
      </w:hyperlink>
    </w:p>
    <w:p w14:paraId="69C4785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Gur, R. C., Deutsch, G. K., Censits, D. M., &amp; Gur, R. E. (1995). Reliability and construct validity of the Paired-Associate Recognition Test: A test of declarative memory using Wisconsin Card Sorting stimuli. </w:t>
      </w:r>
      <w:r w:rsidRPr="001768F9">
        <w:rPr>
          <w:rFonts w:ascii="Times New Roman" w:eastAsia="Times New Roman" w:hAnsi="Times New Roman" w:cs="Times New Roman"/>
          <w:i/>
          <w:iCs/>
          <w:sz w:val="24"/>
          <w:szCs w:val="24"/>
        </w:rPr>
        <w:t>Psychological 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(1), 25–32. </w:t>
      </w:r>
      <w:hyperlink r:id="rId4671" w:history="1">
        <w:r w:rsidRPr="001768F9">
          <w:rPr>
            <w:rFonts w:ascii="Times New Roman" w:eastAsia="Times New Roman" w:hAnsi="Times New Roman" w:cs="Times New Roman"/>
            <w:color w:val="0000FF"/>
            <w:sz w:val="24"/>
            <w:szCs w:val="24"/>
            <w:u w:val="single"/>
          </w:rPr>
          <w:t>https://doi.org/10.1037/1040-3590.7.1.25</w:t>
        </w:r>
      </w:hyperlink>
    </w:p>
    <w:p w14:paraId="3149649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Ragland, J. D., Gur, R. C., Glahn, D. C., Censits, D. M., Smith, R. J., Lazarev, M. G., Alavi, A., &amp; Gur, R. E. (1998). Frontotemporal cerebral blood flow change during executive and declarative memory tasks in schizophrenia: A positron emission tomography study.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399–413. </w:t>
      </w:r>
      <w:hyperlink r:id="rId4672" w:history="1">
        <w:r w:rsidRPr="001768F9">
          <w:rPr>
            <w:rFonts w:ascii="Times New Roman" w:eastAsia="Times New Roman" w:hAnsi="Times New Roman" w:cs="Times New Roman"/>
            <w:color w:val="0000FF"/>
            <w:sz w:val="24"/>
            <w:szCs w:val="24"/>
            <w:u w:val="single"/>
          </w:rPr>
          <w:t>https://doi.org/10.1037/0894-4105.12.3.399</w:t>
        </w:r>
      </w:hyperlink>
    </w:p>
    <w:p w14:paraId="67A4DD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 J. K., &amp; Erdodi, L. A. (2021). Impact of criterion measures on the classification accuracy of TOMM-1.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(2), 185–196. </w:t>
      </w:r>
      <w:hyperlink r:id="rId4673" w:history="1">
        <w:r w:rsidRPr="001768F9">
          <w:rPr>
            <w:rFonts w:ascii="Times New Roman" w:eastAsia="Times New Roman" w:hAnsi="Times New Roman" w:cs="Times New Roman"/>
            <w:color w:val="0000FF"/>
            <w:sz w:val="24"/>
            <w:szCs w:val="24"/>
            <w:u w:val="single"/>
          </w:rPr>
          <w:t>https://doi.org/10.1080/23279095.2019.1613994</w:t>
        </w:r>
      </w:hyperlink>
    </w:p>
    <w:p w14:paraId="3AD37A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Raina, K. D., Morse, J. Q., Chisholm, D., Leibold, M. L., Shen, J., &amp; Whyte, E. (2016). Feasibility of a cognitive behavioral intervention to manage fatigue in individuals with traumatic brain injury: A pilot study. </w:t>
      </w:r>
      <w:r w:rsidRPr="001768F9">
        <w:rPr>
          <w:rFonts w:ascii="Times New Roman" w:eastAsia="Times New Roman" w:hAnsi="Times New Roman" w:cs="Times New Roman"/>
          <w:i/>
          <w:iCs/>
          <w:sz w:val="24"/>
          <w:szCs w:val="24"/>
        </w:rPr>
        <w:t>The Journal of Head Trauma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(5), E41–E49. </w:t>
      </w:r>
      <w:hyperlink r:id="rId4674" w:history="1">
        <w:r w:rsidRPr="001768F9">
          <w:rPr>
            <w:rFonts w:ascii="Times New Roman" w:eastAsia="Times New Roman" w:hAnsi="Times New Roman" w:cs="Times New Roman"/>
            <w:color w:val="0000FF"/>
            <w:sz w:val="24"/>
            <w:szCs w:val="24"/>
            <w:u w:val="single"/>
          </w:rPr>
          <w:t>https://doi.org/10.1097/HTR.0000000000000196</w:t>
        </w:r>
      </w:hyperlink>
    </w:p>
    <w:p w14:paraId="5E1826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Raine, A., Lencz, T., Yaralian, P., Bihrle, S., LaCasse, L., Ventura, J., &amp; Colletti, P. (2002). Prefrontal structural and functional deficits in schizotypal personality disorder.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(3), 501–513. </w:t>
      </w:r>
      <w:hyperlink r:id="rId4675" w:history="1">
        <w:r w:rsidRPr="001768F9">
          <w:rPr>
            <w:rFonts w:ascii="Times New Roman" w:eastAsia="Times New Roman" w:hAnsi="Times New Roman" w:cs="Times New Roman"/>
            <w:color w:val="0000FF"/>
            <w:sz w:val="24"/>
            <w:szCs w:val="24"/>
            <w:u w:val="single"/>
          </w:rPr>
          <w:t>https://doi.org/10.1093/oxfordjournals.schbul.a006957</w:t>
        </w:r>
      </w:hyperlink>
    </w:p>
    <w:p w14:paraId="5F9C5D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Raine, A., Moffitt, T. E., Caspi, A., Loeber, R., Stouthamer-Loeber, M., &amp; Lynam, D. (2005). Neurocognitive Impairments in Boys on the Life-Course Persistent Antisocial Path. </w:t>
      </w:r>
      <w:r w:rsidRPr="001768F9">
        <w:rPr>
          <w:rFonts w:ascii="Times New Roman" w:eastAsia="Times New Roman" w:hAnsi="Times New Roman" w:cs="Times New Roman"/>
          <w:i/>
          <w:iCs/>
          <w:sz w:val="24"/>
          <w:szCs w:val="24"/>
        </w:rPr>
        <w:t>Journal of Abnormal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114</w:t>
      </w:r>
      <w:r w:rsidRPr="001768F9">
        <w:rPr>
          <w:rFonts w:ascii="Times New Roman" w:eastAsia="Times New Roman" w:hAnsi="Times New Roman" w:cs="Times New Roman"/>
          <w:sz w:val="24"/>
          <w:szCs w:val="24"/>
        </w:rPr>
        <w:t xml:space="preserve">(1), 38–49. </w:t>
      </w:r>
      <w:hyperlink r:id="rId4676" w:history="1">
        <w:r w:rsidRPr="001768F9">
          <w:rPr>
            <w:rFonts w:ascii="Times New Roman" w:eastAsia="Times New Roman" w:hAnsi="Times New Roman" w:cs="Times New Roman"/>
            <w:color w:val="0000FF"/>
            <w:sz w:val="24"/>
            <w:szCs w:val="24"/>
            <w:u w:val="single"/>
          </w:rPr>
          <w:t>https://doi.org/10.1037/0021-843X.114.1.38</w:t>
        </w:r>
      </w:hyperlink>
    </w:p>
    <w:p w14:paraId="0CB13F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Rains, G. D., Sauer, K., &amp; Kant, C. (1995). Cognitive impairment consistent with left fronto-temporal abnormality in schizophrenic patients. </w:t>
      </w:r>
      <w:r w:rsidRPr="001768F9">
        <w:rPr>
          <w:rFonts w:ascii="Times New Roman" w:eastAsia="Times New Roman" w:hAnsi="Times New Roman" w:cs="Times New Roman"/>
          <w:i/>
          <w:iCs/>
          <w:sz w:val="24"/>
          <w:szCs w:val="24"/>
        </w:rPr>
        <w:t>Journal of Neurotherapy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w:t>
      </w:r>
      <w:r w:rsidRPr="001768F9">
        <w:rPr>
          <w:rFonts w:ascii="Times New Roman" w:eastAsia="Times New Roman" w:hAnsi="Times New Roman" w:cs="Times New Roman"/>
          <w:sz w:val="24"/>
          <w:szCs w:val="24"/>
        </w:rPr>
        <w:t xml:space="preserve">(1), 44–47. </w:t>
      </w:r>
      <w:hyperlink r:id="rId4677" w:history="1">
        <w:r w:rsidRPr="001768F9">
          <w:rPr>
            <w:rFonts w:ascii="Times New Roman" w:eastAsia="Times New Roman" w:hAnsi="Times New Roman" w:cs="Times New Roman"/>
            <w:color w:val="0000FF"/>
            <w:sz w:val="24"/>
            <w:szCs w:val="24"/>
            <w:u w:val="single"/>
          </w:rPr>
          <w:t>https://doi.org/10.1300/J184v01n01_06</w:t>
        </w:r>
      </w:hyperlink>
    </w:p>
    <w:p w14:paraId="06CDC74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Rainville, C., Joubert, S., Felician, O., Chabanne, V., Ceccaldi, M., &amp; Péruch, P. (2005). Wayfinding in familiar and unfamiliar environments in a case of progressive topographical agnosia.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(5), 297–309. </w:t>
      </w:r>
      <w:hyperlink r:id="rId4678" w:history="1">
        <w:r w:rsidRPr="001768F9">
          <w:rPr>
            <w:rFonts w:ascii="Times New Roman" w:eastAsia="Times New Roman" w:hAnsi="Times New Roman" w:cs="Times New Roman"/>
            <w:color w:val="0000FF"/>
            <w:sz w:val="24"/>
            <w:szCs w:val="24"/>
            <w:u w:val="single"/>
          </w:rPr>
          <w:t>https://doi.org/10.1080/13554790591006069</w:t>
        </w:r>
      </w:hyperlink>
    </w:p>
    <w:p w14:paraId="1F6276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Rajabi, S., Keshavarz, E., Dehghani, Y., Keshavarz, M., &amp; AliMoradi, K. (2018). Comparing executive functions between patients with chronic asthma and healthy subjects. </w:t>
      </w:r>
      <w:r w:rsidRPr="001768F9">
        <w:rPr>
          <w:rFonts w:ascii="Times New Roman" w:eastAsia="Times New Roman" w:hAnsi="Times New Roman" w:cs="Times New Roman"/>
          <w:i/>
          <w:iCs/>
          <w:sz w:val="24"/>
          <w:szCs w:val="24"/>
        </w:rPr>
        <w:t>Journal of Asthma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(4), 452–459. </w:t>
      </w:r>
      <w:hyperlink r:id="rId4679" w:history="1">
        <w:r w:rsidRPr="001768F9">
          <w:rPr>
            <w:rFonts w:ascii="Times New Roman" w:eastAsia="Times New Roman" w:hAnsi="Times New Roman" w:cs="Times New Roman"/>
            <w:color w:val="0000FF"/>
            <w:sz w:val="24"/>
            <w:szCs w:val="24"/>
            <w:u w:val="single"/>
          </w:rPr>
          <w:t>https://doi.org/10.1080/02770903.2017.1337786</w:t>
        </w:r>
      </w:hyperlink>
    </w:p>
    <w:p w14:paraId="1F5DCEC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Rajender, G., Bhatia, M. S., Kanwal, K., Malhotra, S., Singh, T. B., &amp; Chaudhary, D. (2011). Study of neurocognitive endophenotypes in drug‐naïve obsessive–compulsive disorder patients, their first‐degree relatives and healthy controls.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124</w:t>
      </w:r>
      <w:r w:rsidRPr="001768F9">
        <w:rPr>
          <w:rFonts w:ascii="Times New Roman" w:eastAsia="Times New Roman" w:hAnsi="Times New Roman" w:cs="Times New Roman"/>
          <w:sz w:val="24"/>
          <w:szCs w:val="24"/>
        </w:rPr>
        <w:t xml:space="preserve">(2), 152–161. </w:t>
      </w:r>
      <w:hyperlink r:id="rId4680" w:history="1">
        <w:r w:rsidRPr="001768F9">
          <w:rPr>
            <w:rFonts w:ascii="Times New Roman" w:eastAsia="Times New Roman" w:hAnsi="Times New Roman" w:cs="Times New Roman"/>
            <w:color w:val="0000FF"/>
            <w:sz w:val="24"/>
            <w:szCs w:val="24"/>
            <w:u w:val="single"/>
          </w:rPr>
          <w:t>https://doi.org/10.1111/j.1600-0447.2011.01733.x</w:t>
        </w:r>
      </w:hyperlink>
    </w:p>
    <w:p w14:paraId="6CD2AE5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Rajeswaran, J., Bennett, C. N., Thomas, S., &amp; Rajakumari, K. (2013). EEG neurofeedback training in clinical conditions. In </w:t>
      </w:r>
      <w:r w:rsidRPr="001768F9">
        <w:rPr>
          <w:rFonts w:ascii="Times New Roman" w:eastAsia="Times New Roman" w:hAnsi="Times New Roman" w:cs="Times New Roman"/>
          <w:i/>
          <w:iCs/>
          <w:sz w:val="24"/>
          <w:szCs w:val="24"/>
        </w:rPr>
        <w:t>Neuropsychological rehabilitation: Principles and applications.</w:t>
      </w:r>
      <w:r w:rsidRPr="001768F9">
        <w:rPr>
          <w:rFonts w:ascii="Times New Roman" w:eastAsia="Times New Roman" w:hAnsi="Times New Roman" w:cs="Times New Roman"/>
          <w:sz w:val="24"/>
          <w:szCs w:val="24"/>
        </w:rPr>
        <w:t xml:space="preserve"> (pp. 57–78). Elsevier.</w:t>
      </w:r>
    </w:p>
    <w:p w14:paraId="697717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Rajeswaran, J., Sadana, D., &amp; Kashyap, H. (2013). Neuropsychological rehabilitation: Healing the wounded brain through a holistic approach. In </w:t>
      </w:r>
      <w:r w:rsidRPr="001768F9">
        <w:rPr>
          <w:rFonts w:ascii="Times New Roman" w:eastAsia="Times New Roman" w:hAnsi="Times New Roman" w:cs="Times New Roman"/>
          <w:i/>
          <w:iCs/>
          <w:sz w:val="24"/>
          <w:szCs w:val="24"/>
        </w:rPr>
        <w:t>Neuropsychological rehabilitation: Principles and applications.</w:t>
      </w:r>
      <w:r w:rsidRPr="001768F9">
        <w:rPr>
          <w:rFonts w:ascii="Times New Roman" w:eastAsia="Times New Roman" w:hAnsi="Times New Roman" w:cs="Times New Roman"/>
          <w:sz w:val="24"/>
          <w:szCs w:val="24"/>
        </w:rPr>
        <w:t xml:space="preserve"> (pp. 33–55). Elsevier.</w:t>
      </w:r>
    </w:p>
    <w:p w14:paraId="18D5DF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Rakitin, B. C., Stern, Y., &amp; Malapani, C. (2005). The effects of aging on time reproduction in delayed free-recall.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 xml:space="preserve">(1), 17–34. </w:t>
      </w:r>
      <w:hyperlink r:id="rId4681" w:history="1">
        <w:r w:rsidRPr="001768F9">
          <w:rPr>
            <w:rFonts w:ascii="Times New Roman" w:eastAsia="Times New Roman" w:hAnsi="Times New Roman" w:cs="Times New Roman"/>
            <w:color w:val="0000FF"/>
            <w:sz w:val="24"/>
            <w:szCs w:val="24"/>
            <w:u w:val="single"/>
          </w:rPr>
          <w:t>https://doi.org/10.1016/j.bandc.2004.09.006</w:t>
        </w:r>
      </w:hyperlink>
    </w:p>
    <w:p w14:paraId="5FDB2D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Ralevski, E., Gianoli, M. O., Russo, M., Dwan, R., &amp; Radhakrishnan, R. (2012). Cognitive deficits in schizophrenia and alcoholism: A review of the evidence and findings on the effects of treatment on cognitive functioning in patients with dual diagnoses. </w:t>
      </w:r>
      <w:r w:rsidRPr="001768F9">
        <w:rPr>
          <w:rFonts w:ascii="Times New Roman" w:eastAsia="Times New Roman" w:hAnsi="Times New Roman" w:cs="Times New Roman"/>
          <w:i/>
          <w:iCs/>
          <w:sz w:val="24"/>
          <w:szCs w:val="24"/>
        </w:rPr>
        <w:t>Journal of Dual Diagnosis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(3), 205–217. </w:t>
      </w:r>
      <w:hyperlink r:id="rId4682" w:history="1">
        <w:r w:rsidRPr="001768F9">
          <w:rPr>
            <w:rFonts w:ascii="Times New Roman" w:eastAsia="Times New Roman" w:hAnsi="Times New Roman" w:cs="Times New Roman"/>
            <w:color w:val="0000FF"/>
            <w:sz w:val="24"/>
            <w:szCs w:val="24"/>
            <w:u w:val="single"/>
          </w:rPr>
          <w:t>https://doi.org/10.1080/15504263.2012.696534</w:t>
        </w:r>
      </w:hyperlink>
    </w:p>
    <w:p w14:paraId="767C96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Ralevski, E., O’Brien, E., Jane, J. S., Dean, E., Dwan, R., &amp; Petrakis, I. (2011). Effects of acamprosate on cognition in a treatment study of patients with schizophrenia spectrum disorders and comorbid alcohol dependence.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199</w:t>
      </w:r>
      <w:r w:rsidRPr="001768F9">
        <w:rPr>
          <w:rFonts w:ascii="Times New Roman" w:eastAsia="Times New Roman" w:hAnsi="Times New Roman" w:cs="Times New Roman"/>
          <w:sz w:val="24"/>
          <w:szCs w:val="24"/>
        </w:rPr>
        <w:t xml:space="preserve">(7), 499–505. </w:t>
      </w:r>
      <w:hyperlink r:id="rId4683" w:history="1">
        <w:r w:rsidRPr="001768F9">
          <w:rPr>
            <w:rFonts w:ascii="Times New Roman" w:eastAsia="Times New Roman" w:hAnsi="Times New Roman" w:cs="Times New Roman"/>
            <w:color w:val="0000FF"/>
            <w:sz w:val="24"/>
            <w:szCs w:val="24"/>
            <w:u w:val="single"/>
          </w:rPr>
          <w:t>https://doi.org/10.1097/NMD.0b013e3182214297</w:t>
        </w:r>
      </w:hyperlink>
    </w:p>
    <w:p w14:paraId="249999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Ramachandran, V. S. (Ed.). (2012). </w:t>
      </w:r>
      <w:r w:rsidRPr="001768F9">
        <w:rPr>
          <w:rFonts w:ascii="Times New Roman" w:eastAsia="Times New Roman" w:hAnsi="Times New Roman" w:cs="Times New Roman"/>
          <w:i/>
          <w:iCs/>
          <w:sz w:val="24"/>
          <w:szCs w:val="24"/>
        </w:rPr>
        <w:t>Encyclopedia of human behavior, Vol. 3, 2nd ed.</w:t>
      </w:r>
      <w:r w:rsidRPr="001768F9">
        <w:rPr>
          <w:rFonts w:ascii="Times New Roman" w:eastAsia="Times New Roman" w:hAnsi="Times New Roman" w:cs="Times New Roman"/>
          <w:sz w:val="24"/>
          <w:szCs w:val="24"/>
        </w:rPr>
        <w:t xml:space="preserve"> (pp. xliv, 832). Elsevier Academic Press.</w:t>
      </w:r>
    </w:p>
    <w:p w14:paraId="339A38B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Ramage, A., Bayles, K., Helm-Estabrooks, N., &amp; Cruz, R. (1999). Frequency of perseveration in normal subjects.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66</w:t>
      </w:r>
      <w:r w:rsidRPr="001768F9">
        <w:rPr>
          <w:rFonts w:ascii="Times New Roman" w:eastAsia="Times New Roman" w:hAnsi="Times New Roman" w:cs="Times New Roman"/>
          <w:sz w:val="24"/>
          <w:szCs w:val="24"/>
        </w:rPr>
        <w:t xml:space="preserve">(3), 329–340. </w:t>
      </w:r>
      <w:hyperlink r:id="rId4684" w:history="1">
        <w:r w:rsidRPr="001768F9">
          <w:rPr>
            <w:rFonts w:ascii="Times New Roman" w:eastAsia="Times New Roman" w:hAnsi="Times New Roman" w:cs="Times New Roman"/>
            <w:color w:val="0000FF"/>
            <w:sz w:val="24"/>
            <w:szCs w:val="24"/>
            <w:u w:val="single"/>
          </w:rPr>
          <w:t>https://doi.org/10.1006/brln.1999.2032</w:t>
        </w:r>
      </w:hyperlink>
    </w:p>
    <w:p w14:paraId="3E7DE0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Raman, J., Hay, P., Tchanturia, K., &amp; Smith, E. (2018). A randomised controlled trial of manualized cognitive remediation therapy in adult obesity. </w:t>
      </w:r>
      <w:r w:rsidRPr="001768F9">
        <w:rPr>
          <w:rFonts w:ascii="Times New Roman" w:eastAsia="Times New Roman" w:hAnsi="Times New Roman" w:cs="Times New Roman"/>
          <w:i/>
          <w:iCs/>
          <w:sz w:val="24"/>
          <w:szCs w:val="24"/>
        </w:rPr>
        <w:t>Appetite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123</w:t>
      </w:r>
      <w:r w:rsidRPr="001768F9">
        <w:rPr>
          <w:rFonts w:ascii="Times New Roman" w:eastAsia="Times New Roman" w:hAnsi="Times New Roman" w:cs="Times New Roman"/>
          <w:sz w:val="24"/>
          <w:szCs w:val="24"/>
        </w:rPr>
        <w:t xml:space="preserve">, 269–279. </w:t>
      </w:r>
      <w:hyperlink r:id="rId4685" w:history="1">
        <w:r w:rsidRPr="001768F9">
          <w:rPr>
            <w:rFonts w:ascii="Times New Roman" w:eastAsia="Times New Roman" w:hAnsi="Times New Roman" w:cs="Times New Roman"/>
            <w:color w:val="0000FF"/>
            <w:sz w:val="24"/>
            <w:szCs w:val="24"/>
            <w:u w:val="single"/>
          </w:rPr>
          <w:t>https://doi.org/10.1016/j.appet.2017.12.023</w:t>
        </w:r>
      </w:hyperlink>
    </w:p>
    <w:p w14:paraId="7E26E88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Ramirez, L. M., Goukasian, N., Porat, S., Hwang, K. S., Eastman, J. A., Hurtz, S., Wang, B., Vang, N., Sears, R., Klein, E., Coppola, G., &amp; Apostolova, L. G. (2016). Common variants in ABCA7 and MS4A6A are associated with cortical and hippocampal atrophy.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 82–89. </w:t>
      </w:r>
      <w:hyperlink r:id="rId4686" w:history="1">
        <w:r w:rsidRPr="001768F9">
          <w:rPr>
            <w:rFonts w:ascii="Times New Roman" w:eastAsia="Times New Roman" w:hAnsi="Times New Roman" w:cs="Times New Roman"/>
            <w:color w:val="0000FF"/>
            <w:sz w:val="24"/>
            <w:szCs w:val="24"/>
            <w:u w:val="single"/>
          </w:rPr>
          <w:t>https://doi.org/10.1016/j.neurobiolaging.2015.10.037</w:t>
        </w:r>
      </w:hyperlink>
    </w:p>
    <w:p w14:paraId="35B34F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Ramsay, J. E., &amp; Pang, J. S. (2013). Set ambiguity: A key determinant of reliability and validity in the picture story exercise. </w:t>
      </w:r>
      <w:r w:rsidRPr="001768F9">
        <w:rPr>
          <w:rFonts w:ascii="Times New Roman" w:eastAsia="Times New Roman" w:hAnsi="Times New Roman" w:cs="Times New Roman"/>
          <w:i/>
          <w:iCs/>
          <w:sz w:val="24"/>
          <w:szCs w:val="24"/>
        </w:rPr>
        <w:t>Motivation and Emotion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(4), 661–674. </w:t>
      </w:r>
      <w:hyperlink r:id="rId4687" w:history="1">
        <w:r w:rsidRPr="001768F9">
          <w:rPr>
            <w:rFonts w:ascii="Times New Roman" w:eastAsia="Times New Roman" w:hAnsi="Times New Roman" w:cs="Times New Roman"/>
            <w:color w:val="0000FF"/>
            <w:sz w:val="24"/>
            <w:szCs w:val="24"/>
            <w:u w:val="single"/>
          </w:rPr>
          <w:t>https://doi.org/10.1007/s11031-012-9339-9</w:t>
        </w:r>
      </w:hyperlink>
    </w:p>
    <w:p w14:paraId="3B08126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Ranasinghe, I., &amp; Sin, J. (2014). A systematic review of evidence-based treatment for individuals with treatment-resistant schizophrenia and a suboptimal response to clozapine monotherapy. </w:t>
      </w:r>
      <w:r w:rsidRPr="001768F9">
        <w:rPr>
          <w:rFonts w:ascii="Times New Roman" w:eastAsia="Times New Roman" w:hAnsi="Times New Roman" w:cs="Times New Roman"/>
          <w:i/>
          <w:iCs/>
          <w:sz w:val="24"/>
          <w:szCs w:val="24"/>
        </w:rPr>
        <w:t>Psychosis: Psychological, Social and Integrative Approaches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(3), 253–265. </w:t>
      </w:r>
      <w:hyperlink r:id="rId4688" w:history="1">
        <w:r w:rsidRPr="001768F9">
          <w:rPr>
            <w:rFonts w:ascii="Times New Roman" w:eastAsia="Times New Roman" w:hAnsi="Times New Roman" w:cs="Times New Roman"/>
            <w:color w:val="0000FF"/>
            <w:sz w:val="24"/>
            <w:szCs w:val="24"/>
            <w:u w:val="single"/>
          </w:rPr>
          <w:t>https://doi.org/10.1080/17522439.2013.830319</w:t>
        </w:r>
      </w:hyperlink>
    </w:p>
    <w:p w14:paraId="3FB6F1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Rand-Hendriksen, S., Sørensen, I., Holmström, H., Andersson, S., &amp; Finset, A. (2007). Fatigue, cognitive functioning and psychological distress in Marfan syndrome, a pilot study. </w:t>
      </w:r>
      <w:r w:rsidRPr="001768F9">
        <w:rPr>
          <w:rFonts w:ascii="Times New Roman" w:eastAsia="Times New Roman" w:hAnsi="Times New Roman" w:cs="Times New Roman"/>
          <w:i/>
          <w:iCs/>
          <w:sz w:val="24"/>
          <w:szCs w:val="24"/>
        </w:rPr>
        <w:t>Psychology, Health &amp;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305–313. </w:t>
      </w:r>
      <w:hyperlink r:id="rId4689" w:history="1">
        <w:r w:rsidRPr="001768F9">
          <w:rPr>
            <w:rFonts w:ascii="Times New Roman" w:eastAsia="Times New Roman" w:hAnsi="Times New Roman" w:cs="Times New Roman"/>
            <w:color w:val="0000FF"/>
            <w:sz w:val="24"/>
            <w:szCs w:val="24"/>
            <w:u w:val="single"/>
          </w:rPr>
          <w:t>https://doi.org/10.1080/13548500600580824</w:t>
        </w:r>
      </w:hyperlink>
    </w:p>
    <w:p w14:paraId="6859C88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Randolph, J. J., &amp; Chaytor, N. S. (2013). Promoting the executive functions: Core foundations, assessment considerations, and practical applications. In </w:t>
      </w:r>
      <w:r w:rsidRPr="001768F9">
        <w:rPr>
          <w:rFonts w:ascii="Times New Roman" w:eastAsia="Times New Roman" w:hAnsi="Times New Roman" w:cs="Times New Roman"/>
          <w:i/>
          <w:iCs/>
          <w:sz w:val="24"/>
          <w:szCs w:val="24"/>
        </w:rPr>
        <w:t>Positive neuropsychology: Evidence-based perspectives on promoting cognitive health.</w:t>
      </w:r>
      <w:r w:rsidRPr="001768F9">
        <w:rPr>
          <w:rFonts w:ascii="Times New Roman" w:eastAsia="Times New Roman" w:hAnsi="Times New Roman" w:cs="Times New Roman"/>
          <w:sz w:val="24"/>
          <w:szCs w:val="24"/>
        </w:rPr>
        <w:t xml:space="preserve"> (pp. 77–101). Springer Science + Business Media. </w:t>
      </w:r>
      <w:hyperlink r:id="rId4690" w:history="1">
        <w:r w:rsidRPr="001768F9">
          <w:rPr>
            <w:rFonts w:ascii="Times New Roman" w:eastAsia="Times New Roman" w:hAnsi="Times New Roman" w:cs="Times New Roman"/>
            <w:color w:val="0000FF"/>
            <w:sz w:val="24"/>
            <w:szCs w:val="24"/>
            <w:u w:val="single"/>
          </w:rPr>
          <w:t>https://doi.org/10.1007/978-1-4614-6605-5_5</w:t>
        </w:r>
      </w:hyperlink>
    </w:p>
    <w:p w14:paraId="576ED7A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Rangarajan, V., &amp; Parvizi, J. (2016). Functional asymmetry between the left and right human fusiform gyrus explored through electrical brain stimulation.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83</w:t>
      </w:r>
      <w:r w:rsidRPr="001768F9">
        <w:rPr>
          <w:rFonts w:ascii="Times New Roman" w:eastAsia="Times New Roman" w:hAnsi="Times New Roman" w:cs="Times New Roman"/>
          <w:sz w:val="24"/>
          <w:szCs w:val="24"/>
        </w:rPr>
        <w:t xml:space="preserve">, 29–36. </w:t>
      </w:r>
      <w:hyperlink r:id="rId4691" w:history="1">
        <w:r w:rsidRPr="001768F9">
          <w:rPr>
            <w:rFonts w:ascii="Times New Roman" w:eastAsia="Times New Roman" w:hAnsi="Times New Roman" w:cs="Times New Roman"/>
            <w:color w:val="0000FF"/>
            <w:sz w:val="24"/>
            <w:szCs w:val="24"/>
            <w:u w:val="single"/>
          </w:rPr>
          <w:t>https://doi.org/10.1016/j.neuropsychologia.2015.08.003</w:t>
        </w:r>
      </w:hyperlink>
    </w:p>
    <w:p w14:paraId="52532D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Rangmar, J., Sandberg, A. D., Aronson, M., &amp; Fahlke, C. (2015). Cognitive and executive functions, social cognition and sense of coherence in adults with fetal alcohol syndrome. </w:t>
      </w:r>
      <w:r w:rsidRPr="001768F9">
        <w:rPr>
          <w:rFonts w:ascii="Times New Roman" w:eastAsia="Times New Roman" w:hAnsi="Times New Roman" w:cs="Times New Roman"/>
          <w:i/>
          <w:iCs/>
          <w:sz w:val="24"/>
          <w:szCs w:val="24"/>
        </w:rPr>
        <w:t>Nordic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69</w:t>
      </w:r>
      <w:r w:rsidRPr="001768F9">
        <w:rPr>
          <w:rFonts w:ascii="Times New Roman" w:eastAsia="Times New Roman" w:hAnsi="Times New Roman" w:cs="Times New Roman"/>
          <w:sz w:val="24"/>
          <w:szCs w:val="24"/>
        </w:rPr>
        <w:t xml:space="preserve">(6), 472–478. </w:t>
      </w:r>
      <w:hyperlink r:id="rId4692" w:history="1">
        <w:r w:rsidRPr="001768F9">
          <w:rPr>
            <w:rFonts w:ascii="Times New Roman" w:eastAsia="Times New Roman" w:hAnsi="Times New Roman" w:cs="Times New Roman"/>
            <w:color w:val="0000FF"/>
            <w:sz w:val="24"/>
            <w:szCs w:val="24"/>
            <w:u w:val="single"/>
          </w:rPr>
          <w:t>https://doi.org/10.3109/08039488.2015.1009487</w:t>
        </w:r>
      </w:hyperlink>
    </w:p>
    <w:p w14:paraId="5C095F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Rao, N., Northoff, G., Tagore, A., Rusjan, P., Kenk, M., Wilson, A., Houle, S., Strafella, A., Remington, G., &amp; Mizrahi, R. (2019). Impaired prefrontal cortical dopamine release in schizophrenia during a cognitive task: A [</w:t>
      </w:r>
      <w:r w:rsidRPr="001768F9">
        <w:rPr>
          <w:rFonts w:ascii="Times New Roman" w:eastAsia="Times New Roman" w:hAnsi="Times New Roman" w:cs="Times New Roman"/>
          <w:sz w:val="24"/>
          <w:szCs w:val="24"/>
          <w:vertAlign w:val="superscript"/>
        </w:rPr>
        <w:t>11</w:t>
      </w:r>
      <w:r w:rsidRPr="001768F9">
        <w:rPr>
          <w:rFonts w:ascii="Times New Roman" w:eastAsia="Times New Roman" w:hAnsi="Times New Roman" w:cs="Times New Roman"/>
          <w:sz w:val="24"/>
          <w:szCs w:val="24"/>
        </w:rPr>
        <w:t xml:space="preserve">C]FLB 457 positron emission tomography study.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(3), 670–679. </w:t>
      </w:r>
      <w:hyperlink r:id="rId4693" w:history="1">
        <w:r w:rsidRPr="001768F9">
          <w:rPr>
            <w:rFonts w:ascii="Times New Roman" w:eastAsia="Times New Roman" w:hAnsi="Times New Roman" w:cs="Times New Roman"/>
            <w:color w:val="0000FF"/>
            <w:sz w:val="24"/>
            <w:szCs w:val="24"/>
            <w:u w:val="single"/>
          </w:rPr>
          <w:t>https://doi.org/10.1093/schbul/sby076</w:t>
        </w:r>
      </w:hyperlink>
    </w:p>
    <w:p w14:paraId="6E9954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Bechtold, K., McCann, U., Roy, D., Peters, M., Vaishnavi, S., Yousem, D., Mori, S., Yan, H., Leoutsakos, J., Tibbs, M., &amp; Reti, I. (2019). Low-frequency right repetitive transcranial magnetic stimulation for the treatment of depression after traumatic brain injury: A randomized sham-controlled pilot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(4), 306–318. </w:t>
      </w:r>
      <w:hyperlink r:id="rId4694" w:history="1">
        <w:r w:rsidRPr="001768F9">
          <w:rPr>
            <w:rFonts w:ascii="Times New Roman" w:eastAsia="Times New Roman" w:hAnsi="Times New Roman" w:cs="Times New Roman"/>
            <w:color w:val="0000FF"/>
            <w:sz w:val="24"/>
            <w:szCs w:val="24"/>
            <w:u w:val="single"/>
          </w:rPr>
          <w:t>https://doi.org/10.1176/appi.neuropsych.17110338</w:t>
        </w:r>
      </w:hyperlink>
    </w:p>
    <w:p w14:paraId="0B47C7F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Bertrand, M., Rosenberg, P., Makley, M., Schretlen, D. J., Brandt, J., &amp; Mielke, M. M. (2010). Predictors of new-onset depression after mild traumatic brain injury.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(1), 100–104. </w:t>
      </w:r>
      <w:hyperlink r:id="rId4695" w:history="1">
        <w:r w:rsidRPr="001768F9">
          <w:rPr>
            <w:rFonts w:ascii="Times New Roman" w:eastAsia="Times New Roman" w:hAnsi="Times New Roman" w:cs="Times New Roman"/>
            <w:color w:val="0000FF"/>
            <w:sz w:val="24"/>
            <w:szCs w:val="24"/>
            <w:u w:val="single"/>
          </w:rPr>
          <w:t>https://doi.org/10.1176/appi.neuropsych.22.1.100</w:t>
        </w:r>
      </w:hyperlink>
    </w:p>
    <w:p w14:paraId="5BCE17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Munro, C. A., Rosenberg, P., Ward, J., Bertrand, M., Degoankar, M., Horská, A., Pham, D., Yousem, D. M., &amp; Barker, P. B. (2010). Neuroanatomical correlates of depression in post traumatic brain injury: Preliminary results of a pilot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231–235. </w:t>
      </w:r>
      <w:hyperlink r:id="rId4696" w:history="1">
        <w:r w:rsidRPr="001768F9">
          <w:rPr>
            <w:rFonts w:ascii="Times New Roman" w:eastAsia="Times New Roman" w:hAnsi="Times New Roman" w:cs="Times New Roman"/>
            <w:color w:val="0000FF"/>
            <w:sz w:val="24"/>
            <w:szCs w:val="24"/>
            <w:u w:val="single"/>
          </w:rPr>
          <w:t>https://doi.org/10.1176/appi.neuropsych.22.2.231</w:t>
        </w:r>
      </w:hyperlink>
    </w:p>
    <w:p w14:paraId="0C7511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 V., Rosenberg, P., Bertrand, M., Salehinia, S., Spiro, J., Vaishnavi, S., Rastogi, P., Noll, K., Schretlen, D. J., Brandt, J., Cornwell, E., Makley, M., &amp; Miles, Q. S. (2009). Aggression after traumatic brain injury: Prevalence and correlates.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420–429. </w:t>
      </w:r>
      <w:hyperlink r:id="rId4697" w:history="1">
        <w:r w:rsidRPr="001768F9">
          <w:rPr>
            <w:rFonts w:ascii="Times New Roman" w:eastAsia="Times New Roman" w:hAnsi="Times New Roman" w:cs="Times New Roman"/>
            <w:color w:val="0000FF"/>
            <w:sz w:val="24"/>
            <w:szCs w:val="24"/>
            <w:u w:val="single"/>
          </w:rPr>
          <w:t>https://doi.org/10.1176/appi.neuropsych.21.4.420</w:t>
        </w:r>
      </w:hyperlink>
    </w:p>
    <w:p w14:paraId="022B8F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Raoux, N., Le Carret, N., Meillon, C., Blanchard, C., Bergua, V., Dartigues, J.-F., &amp; Amieva, H. (2014). Validation d’un test court de generation de concepts à partir des données issues de la cohorte 3C de sujets âgés en population générale. [Validity of a short category generation test from the 3C population based cohort data in elderly.]. </w:t>
      </w:r>
      <w:r w:rsidRPr="001768F9">
        <w:rPr>
          <w:rFonts w:ascii="Times New Roman" w:eastAsia="Times New Roman" w:hAnsi="Times New Roman" w:cs="Times New Roman"/>
          <w:i/>
          <w:iCs/>
          <w:sz w:val="24"/>
          <w:szCs w:val="24"/>
        </w:rPr>
        <w:t>Revue de Neuropsychologie, Neurosciences Cognitives et Cliniques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(2), 129–137. </w:t>
      </w:r>
      <w:hyperlink r:id="rId4698" w:history="1">
        <w:r w:rsidRPr="001768F9">
          <w:rPr>
            <w:rFonts w:ascii="Times New Roman" w:eastAsia="Times New Roman" w:hAnsi="Times New Roman" w:cs="Times New Roman"/>
            <w:color w:val="0000FF"/>
            <w:sz w:val="24"/>
            <w:szCs w:val="24"/>
            <w:u w:val="single"/>
          </w:rPr>
          <w:t>https://doi.org/10.3917/rne.062.0129</w:t>
        </w:r>
      </w:hyperlink>
    </w:p>
    <w:p w14:paraId="5C2CB4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Rapcsak, S. Z., Polster, M. R., Comer, J. F., &amp; Rubens, A. B. (1994). False recognition and misidentification of faces following right hemisphere damage.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(4), 565–583. </w:t>
      </w:r>
      <w:hyperlink r:id="rId4699" w:history="1">
        <w:r w:rsidRPr="001768F9">
          <w:rPr>
            <w:rFonts w:ascii="Times New Roman" w:eastAsia="Times New Roman" w:hAnsi="Times New Roman" w:cs="Times New Roman"/>
            <w:color w:val="0000FF"/>
            <w:sz w:val="24"/>
            <w:szCs w:val="24"/>
            <w:u w:val="single"/>
          </w:rPr>
          <w:t>https://doi.org/10.1016/S0010-9452(13)80236-5</w:t>
        </w:r>
      </w:hyperlink>
    </w:p>
    <w:p w14:paraId="3A10E4C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Rapisarda, V., &amp; Monteleone, F. (1998). Aspetti neuropsicologici della schizofrenia attraverso il WCST. [Neuropsychological aspects of schizophrenia by WCST.]. </w:t>
      </w:r>
      <w:r w:rsidRPr="001768F9">
        <w:rPr>
          <w:rFonts w:ascii="Times New Roman" w:eastAsia="Times New Roman" w:hAnsi="Times New Roman" w:cs="Times New Roman"/>
          <w:i/>
          <w:iCs/>
          <w:sz w:val="24"/>
          <w:szCs w:val="24"/>
        </w:rPr>
        <w:t>Minerva Psichiatrica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(3), 115–124.</w:t>
      </w:r>
    </w:p>
    <w:p w14:paraId="35247F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Rapoport, M. J., Herrmann, N., Shammi, P., Kiss, A., Phillips, A., &amp; Feinstein, A. (2006). Outcome After Traumatic Brain Injury Sustained in Older Adulthood: A One-Year Longitudinal Study.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456–465. </w:t>
      </w:r>
      <w:hyperlink r:id="rId4700" w:history="1">
        <w:r w:rsidRPr="001768F9">
          <w:rPr>
            <w:rFonts w:ascii="Times New Roman" w:eastAsia="Times New Roman" w:hAnsi="Times New Roman" w:cs="Times New Roman"/>
            <w:color w:val="0000FF"/>
            <w:sz w:val="24"/>
            <w:szCs w:val="24"/>
            <w:u w:val="single"/>
          </w:rPr>
          <w:t>https://doi.org/10.1097/01.JGP.0000199339.79689.8a</w:t>
        </w:r>
      </w:hyperlink>
    </w:p>
    <w:p w14:paraId="5444E4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Rapoport, M. J., McCullagh, S., Shammi, P., &amp; Feinstein, A. (2005). Cognitive Impairment Associated With Major Depression Following Mild and Moderate Traumatic Brain Injury.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61–65. </w:t>
      </w:r>
      <w:hyperlink r:id="rId4701" w:history="1">
        <w:r w:rsidRPr="001768F9">
          <w:rPr>
            <w:rFonts w:ascii="Times New Roman" w:eastAsia="Times New Roman" w:hAnsi="Times New Roman" w:cs="Times New Roman"/>
            <w:color w:val="0000FF"/>
            <w:sz w:val="24"/>
            <w:szCs w:val="24"/>
            <w:u w:val="single"/>
          </w:rPr>
          <w:t>https://doi.org/10.1176/appi.neuropsych.17.1.61</w:t>
        </w:r>
      </w:hyperlink>
    </w:p>
    <w:p w14:paraId="7201CBB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Rapoport, M., Wolf, U., Herrmann, N., Kiss, A., Shammi, P., Reis, M., Phillips, A., &amp; Feinstein, A. (2008). Traumatic brain injury, apolipoprotein E-ε4, and cognition in older adults: A two-year longitudinal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 68–73. </w:t>
      </w:r>
      <w:hyperlink r:id="rId4702" w:history="1">
        <w:r w:rsidRPr="001768F9">
          <w:rPr>
            <w:rFonts w:ascii="Times New Roman" w:eastAsia="Times New Roman" w:hAnsi="Times New Roman" w:cs="Times New Roman"/>
            <w:color w:val="0000FF"/>
            <w:sz w:val="24"/>
            <w:szCs w:val="24"/>
            <w:u w:val="single"/>
          </w:rPr>
          <w:t>https://doi.org/10.1176/appi.neuropsych.20.1.68</w:t>
        </w:r>
      </w:hyperlink>
    </w:p>
    <w:p w14:paraId="49F1366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Rapp, C., Studerus, E., Bugra, H., Aston, J., Tamagni, C., Walter, A., Pflueger, M., Borgwardt, S., &amp; Riecher-Rössler, A. (2013). Duration of untreated psychosis and cognitive functioning.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145</w:t>
      </w:r>
      <w:r w:rsidRPr="001768F9">
        <w:rPr>
          <w:rFonts w:ascii="Times New Roman" w:eastAsia="Times New Roman" w:hAnsi="Times New Roman" w:cs="Times New Roman"/>
          <w:sz w:val="24"/>
          <w:szCs w:val="24"/>
        </w:rPr>
        <w:t xml:space="preserve">(1–3), 43–49. </w:t>
      </w:r>
      <w:hyperlink r:id="rId4703" w:history="1">
        <w:r w:rsidRPr="001768F9">
          <w:rPr>
            <w:rFonts w:ascii="Times New Roman" w:eastAsia="Times New Roman" w:hAnsi="Times New Roman" w:cs="Times New Roman"/>
            <w:color w:val="0000FF"/>
            <w:sz w:val="24"/>
            <w:szCs w:val="24"/>
            <w:u w:val="single"/>
          </w:rPr>
          <w:t>https://doi.org/10.1016/j.schres.2012.12.016</w:t>
        </w:r>
      </w:hyperlink>
    </w:p>
    <w:p w14:paraId="45C0B7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Rapp, E. K., White-Ajmani, M. L., Antonius, D., Goetz, R. R., Harkavy-Friedman, J. M., Savitz, A. J., Malaspina, D., &amp; Kahn, J. P. (2012). Schizophrenia comorbid with panic disorder: Evidence for distinct cognitive profiles.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197</w:t>
      </w:r>
      <w:r w:rsidRPr="001768F9">
        <w:rPr>
          <w:rFonts w:ascii="Times New Roman" w:eastAsia="Times New Roman" w:hAnsi="Times New Roman" w:cs="Times New Roman"/>
          <w:sz w:val="24"/>
          <w:szCs w:val="24"/>
        </w:rPr>
        <w:t xml:space="preserve">(3), 206–211. </w:t>
      </w:r>
      <w:hyperlink r:id="rId4704" w:history="1">
        <w:r w:rsidRPr="001768F9">
          <w:rPr>
            <w:rFonts w:ascii="Times New Roman" w:eastAsia="Times New Roman" w:hAnsi="Times New Roman" w:cs="Times New Roman"/>
            <w:color w:val="0000FF"/>
            <w:sz w:val="24"/>
            <w:szCs w:val="24"/>
            <w:u w:val="single"/>
          </w:rPr>
          <w:t>https://doi.org/10.1016/j.psychres.2012.01.017</w:t>
        </w:r>
      </w:hyperlink>
    </w:p>
    <w:p w14:paraId="0D5BF2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Räsänen, S., Veijola, J., Hakko, H., Joukamaa, M., &amp; Isohanni, M. (1999). Gender differences in incidence and age of onset of DSM-III-R schizophrenia: Preliminary results of the Northern Finland 1966 birth cohort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(2), 197–198. </w:t>
      </w:r>
      <w:hyperlink r:id="rId4705" w:history="1">
        <w:r w:rsidRPr="001768F9">
          <w:rPr>
            <w:rFonts w:ascii="Times New Roman" w:eastAsia="Times New Roman" w:hAnsi="Times New Roman" w:cs="Times New Roman"/>
            <w:color w:val="0000FF"/>
            <w:sz w:val="24"/>
            <w:szCs w:val="24"/>
            <w:u w:val="single"/>
          </w:rPr>
          <w:t>https://doi.org/10.1016/S0920-9964(98)00152-2</w:t>
        </w:r>
      </w:hyperlink>
    </w:p>
    <w:p w14:paraId="1B6E6EC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Rascovsky, K., Hodges, J. R., Knopman, D., Mendez, M. F., Kramer, J. H., Neuhaus, J., van Swieten, J. C., Seelaar, H., Dopper, E. G. P., Onyike, C. U., Hillis, A. E., Josephs, K. A., Boeve, B. F., Kertesz, A., Seeley, W. W., Rankin, K. P., Johnson, J. K., Gorno-Tempini, M.-L., Rosen, H., … Miller, B. L. (2011). Sensitivity of revised diagnostic criteria for the behavioural variant of frontotemporal dementia.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134</w:t>
      </w:r>
      <w:r w:rsidRPr="001768F9">
        <w:rPr>
          <w:rFonts w:ascii="Times New Roman" w:eastAsia="Times New Roman" w:hAnsi="Times New Roman" w:cs="Times New Roman"/>
          <w:sz w:val="24"/>
          <w:szCs w:val="24"/>
        </w:rPr>
        <w:t xml:space="preserve">(9), 2456–2473. </w:t>
      </w:r>
      <w:hyperlink r:id="rId4706" w:history="1">
        <w:r w:rsidRPr="001768F9">
          <w:rPr>
            <w:rFonts w:ascii="Times New Roman" w:eastAsia="Times New Roman" w:hAnsi="Times New Roman" w:cs="Times New Roman"/>
            <w:color w:val="0000FF"/>
            <w:sz w:val="24"/>
            <w:szCs w:val="24"/>
            <w:u w:val="single"/>
          </w:rPr>
          <w:t>https://doi.org/10.1093/brain/awr179</w:t>
        </w:r>
      </w:hyperlink>
    </w:p>
    <w:p w14:paraId="769D4FB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Rashid, N. A. A., Lim, J., Lam, M., Chong, S.-A., Keefe, R. S. E., &amp; Lee, J. (2013). Unraveling the relationship between obesity, schizophrenia and cognition.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151</w:t>
      </w:r>
      <w:r w:rsidRPr="001768F9">
        <w:rPr>
          <w:rFonts w:ascii="Times New Roman" w:eastAsia="Times New Roman" w:hAnsi="Times New Roman" w:cs="Times New Roman"/>
          <w:sz w:val="24"/>
          <w:szCs w:val="24"/>
        </w:rPr>
        <w:t xml:space="preserve">(1–3), 107–112. </w:t>
      </w:r>
      <w:hyperlink r:id="rId4707" w:history="1">
        <w:r w:rsidRPr="001768F9">
          <w:rPr>
            <w:rFonts w:ascii="Times New Roman" w:eastAsia="Times New Roman" w:hAnsi="Times New Roman" w:cs="Times New Roman"/>
            <w:color w:val="0000FF"/>
            <w:sz w:val="24"/>
            <w:szCs w:val="24"/>
            <w:u w:val="single"/>
          </w:rPr>
          <w:t>https://doi.org/10.1016/j.schres.2013.09.020</w:t>
        </w:r>
      </w:hyperlink>
    </w:p>
    <w:p w14:paraId="0C08F8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Rasin-Waters, D., Abel, V., Kearney, L. K., &amp; Zeiss, A. (2018). The integrated care team approach of the Department of Veterans Affairs (VA): Geriatric primary care.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(3), 280–289. </w:t>
      </w:r>
      <w:hyperlink r:id="rId4708" w:history="1">
        <w:r w:rsidRPr="001768F9">
          <w:rPr>
            <w:rFonts w:ascii="Times New Roman" w:eastAsia="Times New Roman" w:hAnsi="Times New Roman" w:cs="Times New Roman"/>
            <w:color w:val="0000FF"/>
            <w:sz w:val="24"/>
            <w:szCs w:val="24"/>
            <w:u w:val="single"/>
          </w:rPr>
          <w:t>https://doi.org/10.1093/arclin/acx129</w:t>
        </w:r>
      </w:hyperlink>
    </w:p>
    <w:p w14:paraId="4F2D58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Rasmus, A., Łukaszewska, B., &amp; Kowalska, H. (2011). Academy of life program for a patient with severe traumatic brain injury to the frontal lobes.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(1), 79–94.</w:t>
      </w:r>
    </w:p>
    <w:p w14:paraId="19A1BBF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Rasmussen, K. W., &amp; Berntsen, D. (2014). Autobiographical memory and episodic future thinking after moderate to severe traumatic brain injury. </w:t>
      </w:r>
      <w:r w:rsidRPr="001768F9">
        <w:rPr>
          <w:rFonts w:ascii="Times New Roman" w:eastAsia="Times New Roman" w:hAnsi="Times New Roman" w:cs="Times New Roman"/>
          <w:i/>
          <w:iCs/>
          <w:sz w:val="24"/>
          <w:szCs w:val="24"/>
        </w:rPr>
        <w:t>Journal of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(1), 34–52. </w:t>
      </w:r>
      <w:hyperlink r:id="rId4709" w:history="1">
        <w:r w:rsidRPr="001768F9">
          <w:rPr>
            <w:rFonts w:ascii="Times New Roman" w:eastAsia="Times New Roman" w:hAnsi="Times New Roman" w:cs="Times New Roman"/>
            <w:color w:val="0000FF"/>
            <w:sz w:val="24"/>
            <w:szCs w:val="24"/>
            <w:u w:val="single"/>
          </w:rPr>
          <w:t>https://doi.org/10.1111/jnp.12003</w:t>
        </w:r>
      </w:hyperlink>
    </w:p>
    <w:p w14:paraId="6CB406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Rasmussen, K. W., &amp; Berntsen, D. (2018). Deficits in remembering the past and imagining the future in patients with prefrontal lesions. </w:t>
      </w:r>
      <w:r w:rsidRPr="001768F9">
        <w:rPr>
          <w:rFonts w:ascii="Times New Roman" w:eastAsia="Times New Roman" w:hAnsi="Times New Roman" w:cs="Times New Roman"/>
          <w:i/>
          <w:iCs/>
          <w:sz w:val="24"/>
          <w:szCs w:val="24"/>
        </w:rPr>
        <w:t>Journal of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78–100. </w:t>
      </w:r>
      <w:hyperlink r:id="rId4710" w:history="1">
        <w:r w:rsidRPr="001768F9">
          <w:rPr>
            <w:rFonts w:ascii="Times New Roman" w:eastAsia="Times New Roman" w:hAnsi="Times New Roman" w:cs="Times New Roman"/>
            <w:color w:val="0000FF"/>
            <w:sz w:val="24"/>
            <w:szCs w:val="24"/>
            <w:u w:val="single"/>
          </w:rPr>
          <w:t>https://doi.org/10.1111/jnp.12108</w:t>
        </w:r>
      </w:hyperlink>
    </w:p>
    <w:p w14:paraId="5162E4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Rassovsky, Y., Levi, Y., Agranov, E., Sela-Kaufman, M., Sverdlik, A., &amp; Vakil, E. (2015). Predicting long-term outcome following traumatic brain injury (TBI).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(4), 354–366. </w:t>
      </w:r>
      <w:hyperlink r:id="rId4711" w:history="1">
        <w:r w:rsidRPr="001768F9">
          <w:rPr>
            <w:rFonts w:ascii="Times New Roman" w:eastAsia="Times New Roman" w:hAnsi="Times New Roman" w:cs="Times New Roman"/>
            <w:color w:val="0000FF"/>
            <w:sz w:val="24"/>
            <w:szCs w:val="24"/>
            <w:u w:val="single"/>
          </w:rPr>
          <w:t>https://doi.org/10.1080/13803395.2015.1015498</w:t>
        </w:r>
      </w:hyperlink>
    </w:p>
    <w:p w14:paraId="59F47A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Ratanadilok, K. (2011). Neuropsychology in Thailand. </w:t>
      </w:r>
      <w:r w:rsidRPr="001768F9">
        <w:rPr>
          <w:rFonts w:ascii="Times New Roman" w:eastAsia="Times New Roman" w:hAnsi="Times New Roman" w:cs="Times New Roman"/>
          <w:i/>
          <w:iCs/>
          <w:sz w:val="24"/>
          <w:szCs w:val="24"/>
        </w:rPr>
        <w:t>The Neuropsychology of Asian Americans.</w:t>
      </w:r>
      <w:r w:rsidRPr="001768F9">
        <w:rPr>
          <w:rFonts w:ascii="Times New Roman" w:eastAsia="Times New Roman" w:hAnsi="Times New Roman" w:cs="Times New Roman"/>
          <w:sz w:val="24"/>
          <w:szCs w:val="24"/>
        </w:rPr>
        <w:t>, 301–307.</w:t>
      </w:r>
    </w:p>
    <w:p w14:paraId="131851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Ratcliff, J. J., Greenspan, A. I., Goldstein, F. C., Stringer, A. Y., Bushnik, T., Hammond, F. M., Novack, T. A., Whyte, J., &amp; Wright, D. W. (2007). Gender and traumatic brain injury: Do the sexes fare differently?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(10), 1023–1030. </w:t>
      </w:r>
      <w:hyperlink r:id="rId4712" w:history="1">
        <w:r w:rsidRPr="001768F9">
          <w:rPr>
            <w:rFonts w:ascii="Times New Roman" w:eastAsia="Times New Roman" w:hAnsi="Times New Roman" w:cs="Times New Roman"/>
            <w:color w:val="0000FF"/>
            <w:sz w:val="24"/>
            <w:szCs w:val="24"/>
            <w:u w:val="single"/>
          </w:rPr>
          <w:t>https://doi.org/10.1080/02699050701633072</w:t>
        </w:r>
      </w:hyperlink>
    </w:p>
    <w:p w14:paraId="270C05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(2000). </w:t>
      </w:r>
      <w:r w:rsidRPr="001768F9">
        <w:rPr>
          <w:rFonts w:ascii="Times New Roman" w:eastAsia="Times New Roman" w:hAnsi="Times New Roman" w:cs="Times New Roman"/>
          <w:i/>
          <w:iCs/>
          <w:sz w:val="24"/>
          <w:szCs w:val="24"/>
        </w:rPr>
        <w:t>Social problem solving and community integration in adults with traumatic 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(6-B), 3289–3289.</w:t>
      </w:r>
    </w:p>
    <w:p w14:paraId="133D05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Langenbahn, D. M., Simon, D., Sherr, R. L., Fletcher, J., &amp; Diller, L. (2004). The construct of problem solving in higher level neuropsychological assessment and rehabilitation.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(5), 613–635. </w:t>
      </w:r>
      <w:hyperlink r:id="rId4713" w:history="1">
        <w:r w:rsidRPr="001768F9">
          <w:rPr>
            <w:rFonts w:ascii="Times New Roman" w:eastAsia="Times New Roman" w:hAnsi="Times New Roman" w:cs="Times New Roman"/>
            <w:color w:val="0000FF"/>
            <w:sz w:val="24"/>
            <w:szCs w:val="24"/>
            <w:u w:val="single"/>
          </w:rPr>
          <w:t>https://doi.org/10.1016/j.acn.2003.08.006</w:t>
        </w:r>
      </w:hyperlink>
    </w:p>
    <w:p w14:paraId="271189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Simon, D., Langenbahn, D. M., Sherr, R. L., &amp; Diller, L. (2000). Measurement of problem-solving deficits in adults with acquired brain damage. </w:t>
      </w:r>
      <w:r w:rsidRPr="001768F9">
        <w:rPr>
          <w:rFonts w:ascii="Times New Roman" w:eastAsia="Times New Roman" w:hAnsi="Times New Roman" w:cs="Times New Roman"/>
          <w:i/>
          <w:iCs/>
          <w:sz w:val="24"/>
          <w:szCs w:val="24"/>
        </w:rPr>
        <w:t>The Journal of Head Trauma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w:t>
      </w:r>
      <w:r w:rsidRPr="001768F9">
        <w:rPr>
          <w:rFonts w:ascii="Times New Roman" w:eastAsia="Times New Roman" w:hAnsi="Times New Roman" w:cs="Times New Roman"/>
          <w:sz w:val="24"/>
          <w:szCs w:val="24"/>
        </w:rPr>
        <w:t xml:space="preserve">(1), 724–733. </w:t>
      </w:r>
      <w:hyperlink r:id="rId4714" w:history="1">
        <w:r w:rsidRPr="001768F9">
          <w:rPr>
            <w:rFonts w:ascii="Times New Roman" w:eastAsia="Times New Roman" w:hAnsi="Times New Roman" w:cs="Times New Roman"/>
            <w:color w:val="0000FF"/>
            <w:sz w:val="24"/>
            <w:szCs w:val="24"/>
            <w:u w:val="single"/>
          </w:rPr>
          <w:t>https://doi.org/10.1097/00001199-200002000-00010</w:t>
        </w:r>
      </w:hyperlink>
    </w:p>
    <w:p w14:paraId="66E0B0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Rath, J. F., Simon, D., Langenbahn, D. M., Sherr, R. L., &amp; Diller, L. (2003). Group treatment of problem-solving deficits in outpatients with traumatic brain injury: A randomised outcome study.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w:t>
      </w:r>
      <w:r w:rsidRPr="001768F9">
        <w:rPr>
          <w:rFonts w:ascii="Times New Roman" w:eastAsia="Times New Roman" w:hAnsi="Times New Roman" w:cs="Times New Roman"/>
          <w:sz w:val="24"/>
          <w:szCs w:val="24"/>
        </w:rPr>
        <w:t xml:space="preserve">(4), 461–488. </w:t>
      </w:r>
      <w:hyperlink r:id="rId4715" w:history="1">
        <w:r w:rsidRPr="001768F9">
          <w:rPr>
            <w:rFonts w:ascii="Times New Roman" w:eastAsia="Times New Roman" w:hAnsi="Times New Roman" w:cs="Times New Roman"/>
            <w:color w:val="0000FF"/>
            <w:sz w:val="24"/>
            <w:szCs w:val="24"/>
            <w:u w:val="single"/>
          </w:rPr>
          <w:t>https://doi.org/10.1080/09602010343000039</w:t>
        </w:r>
      </w:hyperlink>
    </w:p>
    <w:p w14:paraId="54ED6F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Ratti, M. T., Bo, P., Giardini, A., &amp; Soragna, D. (2002). Chronic alcoholism and the frontal lobe: Which executive functions are impaired? </w:t>
      </w:r>
      <w:r w:rsidRPr="001768F9">
        <w:rPr>
          <w:rFonts w:ascii="Times New Roman" w:eastAsia="Times New Roman" w:hAnsi="Times New Roman" w:cs="Times New Roman"/>
          <w:i/>
          <w:iCs/>
          <w:sz w:val="24"/>
          <w:szCs w:val="24"/>
        </w:rPr>
        <w:t>Acta Neurologica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105</w:t>
      </w:r>
      <w:r w:rsidRPr="001768F9">
        <w:rPr>
          <w:rFonts w:ascii="Times New Roman" w:eastAsia="Times New Roman" w:hAnsi="Times New Roman" w:cs="Times New Roman"/>
          <w:sz w:val="24"/>
          <w:szCs w:val="24"/>
        </w:rPr>
        <w:t xml:space="preserve">(4), 276–281. </w:t>
      </w:r>
      <w:hyperlink r:id="rId4716" w:history="1">
        <w:r w:rsidRPr="001768F9">
          <w:rPr>
            <w:rFonts w:ascii="Times New Roman" w:eastAsia="Times New Roman" w:hAnsi="Times New Roman" w:cs="Times New Roman"/>
            <w:color w:val="0000FF"/>
            <w:sz w:val="24"/>
            <w:szCs w:val="24"/>
            <w:u w:val="single"/>
          </w:rPr>
          <w:t>https://doi.org/10.1034/j.1600-0404.2002.0o315.x</w:t>
        </w:r>
      </w:hyperlink>
    </w:p>
    <w:p w14:paraId="33CF76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Rausch, F., Mier, D., Eifler, S., Esslinger, C., Schilling, C., Schirmbeck, F., Englisch, S., Meyer-Lindenberg, A., Kirsch, P., &amp; Zink, M. (2014). Reduced activation in ventral striatum and ventral tegmental area during probabilistic decision-making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156</w:t>
      </w:r>
      <w:r w:rsidRPr="001768F9">
        <w:rPr>
          <w:rFonts w:ascii="Times New Roman" w:eastAsia="Times New Roman" w:hAnsi="Times New Roman" w:cs="Times New Roman"/>
          <w:sz w:val="24"/>
          <w:szCs w:val="24"/>
        </w:rPr>
        <w:t xml:space="preserve">(2–3), 143–149. </w:t>
      </w:r>
      <w:hyperlink r:id="rId4717" w:history="1">
        <w:r w:rsidRPr="001768F9">
          <w:rPr>
            <w:rFonts w:ascii="Times New Roman" w:eastAsia="Times New Roman" w:hAnsi="Times New Roman" w:cs="Times New Roman"/>
            <w:color w:val="0000FF"/>
            <w:sz w:val="24"/>
            <w:szCs w:val="24"/>
            <w:u w:val="single"/>
          </w:rPr>
          <w:t>https://doi.org/10.1016/j.schres.2014.04.020</w:t>
        </w:r>
      </w:hyperlink>
    </w:p>
    <w:p w14:paraId="38EFD2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Rausch, F., Mier, D., Eifler, S., Fenske, S., Schirmbeck, F., Englisch, S., Schilling, C., Meyer-Lindenberg, A., Kirsch, P., &amp; Zink, M. (2015). Reduced activation in the ventral striatum during probabilistic decision-making in patients in an at-risk mental state. </w:t>
      </w:r>
      <w:r w:rsidRPr="001768F9">
        <w:rPr>
          <w:rFonts w:ascii="Times New Roman" w:eastAsia="Times New Roman" w:hAnsi="Times New Roman" w:cs="Times New Roman"/>
          <w:i/>
          <w:iCs/>
          <w:sz w:val="24"/>
          <w:szCs w:val="24"/>
        </w:rPr>
        <w:t>Journal of Psychiatry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163–173. </w:t>
      </w:r>
      <w:hyperlink r:id="rId4718" w:history="1">
        <w:r w:rsidRPr="001768F9">
          <w:rPr>
            <w:rFonts w:ascii="Times New Roman" w:eastAsia="Times New Roman" w:hAnsi="Times New Roman" w:cs="Times New Roman"/>
            <w:color w:val="0000FF"/>
            <w:sz w:val="24"/>
            <w:szCs w:val="24"/>
            <w:u w:val="single"/>
          </w:rPr>
          <w:t>https://doi.org/10.1503/jpn.140191</w:t>
        </w:r>
      </w:hyperlink>
    </w:p>
    <w:p w14:paraId="636A1CF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Raven, C. A. (2001). </w:t>
      </w:r>
      <w:r w:rsidRPr="001768F9">
        <w:rPr>
          <w:rFonts w:ascii="Times New Roman" w:eastAsia="Times New Roman" w:hAnsi="Times New Roman" w:cs="Times New Roman"/>
          <w:i/>
          <w:iCs/>
          <w:sz w:val="24"/>
          <w:szCs w:val="24"/>
        </w:rPr>
        <w:t>The relationship between impaired executive functioning and oppositional defiant disorder in adolescents.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(7-A), 2597–2597.</w:t>
      </w:r>
    </w:p>
    <w:p w14:paraId="78E5DB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Ravizza, S. M., &amp; Salo, R. E. (2014). Task switching in psychiatric disorders. In </w:t>
      </w:r>
      <w:r w:rsidRPr="001768F9">
        <w:rPr>
          <w:rFonts w:ascii="Times New Roman" w:eastAsia="Times New Roman" w:hAnsi="Times New Roman" w:cs="Times New Roman"/>
          <w:i/>
          <w:iCs/>
          <w:sz w:val="24"/>
          <w:szCs w:val="24"/>
        </w:rPr>
        <w:t>Task switching and cognitive control.</w:t>
      </w:r>
      <w:r w:rsidRPr="001768F9">
        <w:rPr>
          <w:rFonts w:ascii="Times New Roman" w:eastAsia="Times New Roman" w:hAnsi="Times New Roman" w:cs="Times New Roman"/>
          <w:sz w:val="24"/>
          <w:szCs w:val="24"/>
        </w:rPr>
        <w:t xml:space="preserve"> (pp. 300–331). Oxford University Press. </w:t>
      </w:r>
      <w:hyperlink r:id="rId4719" w:history="1">
        <w:r w:rsidRPr="001768F9">
          <w:rPr>
            <w:rFonts w:ascii="Times New Roman" w:eastAsia="Times New Roman" w:hAnsi="Times New Roman" w:cs="Times New Roman"/>
            <w:color w:val="0000FF"/>
            <w:sz w:val="24"/>
            <w:szCs w:val="24"/>
            <w:u w:val="single"/>
          </w:rPr>
          <w:t>https://doi.org/10.1093/acprof:osobl/9780199921959.003.0012</w:t>
        </w:r>
      </w:hyperlink>
    </w:p>
    <w:p w14:paraId="251987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Ravizza, S. M., Solomon, M., Ivry, R. B., &amp; Carter, C. S. (2013). Restricted and repetitive behaviors in autism spectrum disorders: The relationship of attention and motor deficits. </w:t>
      </w:r>
      <w:r w:rsidRPr="001768F9">
        <w:rPr>
          <w:rFonts w:ascii="Times New Roman" w:eastAsia="Times New Roman" w:hAnsi="Times New Roman" w:cs="Times New Roman"/>
          <w:i/>
          <w:iCs/>
          <w:sz w:val="24"/>
          <w:szCs w:val="24"/>
        </w:rPr>
        <w:t>Development and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(3), 773–784. </w:t>
      </w:r>
      <w:hyperlink r:id="rId4720" w:history="1">
        <w:r w:rsidRPr="001768F9">
          <w:rPr>
            <w:rFonts w:ascii="Times New Roman" w:eastAsia="Times New Roman" w:hAnsi="Times New Roman" w:cs="Times New Roman"/>
            <w:color w:val="0000FF"/>
            <w:sz w:val="24"/>
            <w:szCs w:val="24"/>
            <w:u w:val="single"/>
          </w:rPr>
          <w:t>https://doi.org/10.1017/S0954579413000163</w:t>
        </w:r>
      </w:hyperlink>
    </w:p>
    <w:p w14:paraId="5F753A1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Ravnkilde, B., Videbech, P., Clemmensen, K., Egander, A., Rasmussen, N. A., Gjedde, A., Rosenberg, R., &amp; Gade, A. (2003). The Danish PET/depression project: Cognitive function and regional cerebral blood flow.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108</w:t>
      </w:r>
      <w:r w:rsidRPr="001768F9">
        <w:rPr>
          <w:rFonts w:ascii="Times New Roman" w:eastAsia="Times New Roman" w:hAnsi="Times New Roman" w:cs="Times New Roman"/>
          <w:sz w:val="24"/>
          <w:szCs w:val="24"/>
        </w:rPr>
        <w:t xml:space="preserve">(1), 32–40. </w:t>
      </w:r>
      <w:hyperlink r:id="rId4721" w:history="1">
        <w:r w:rsidRPr="001768F9">
          <w:rPr>
            <w:rFonts w:ascii="Times New Roman" w:eastAsia="Times New Roman" w:hAnsi="Times New Roman" w:cs="Times New Roman"/>
            <w:color w:val="0000FF"/>
            <w:sz w:val="24"/>
            <w:szCs w:val="24"/>
            <w:u w:val="single"/>
          </w:rPr>
          <w:t>https://doi.org/10.1034/j.1600-0447.2003.00131.x</w:t>
        </w:r>
      </w:hyperlink>
    </w:p>
    <w:p w14:paraId="2F41DE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 A., &amp; Campbell, N. K. J. (2011). Can suggestion obviate reading? Supplementing primary stroop evidence with exploratory negative priming analyses. </w:t>
      </w:r>
      <w:r w:rsidRPr="001768F9">
        <w:rPr>
          <w:rFonts w:ascii="Times New Roman" w:eastAsia="Times New Roman" w:hAnsi="Times New Roman" w:cs="Times New Roman"/>
          <w:i/>
          <w:iCs/>
          <w:sz w:val="24"/>
          <w:szCs w:val="24"/>
        </w:rPr>
        <w:t>Consciousness and Cognition: An International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312–320. </w:t>
      </w:r>
      <w:hyperlink r:id="rId4722" w:history="1">
        <w:r w:rsidRPr="001768F9">
          <w:rPr>
            <w:rFonts w:ascii="Times New Roman" w:eastAsia="Times New Roman" w:hAnsi="Times New Roman" w:cs="Times New Roman"/>
            <w:color w:val="0000FF"/>
            <w:sz w:val="24"/>
            <w:szCs w:val="24"/>
            <w:u w:val="single"/>
          </w:rPr>
          <w:t>https://doi.org/10.1016/j.concog.2009.09.013</w:t>
        </w:r>
      </w:hyperlink>
    </w:p>
    <w:p w14:paraId="0CF3F2D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 N., Dahle, C. L., Rodrigue, K. M., Kennedy, K. M., &amp; Land, S. (2011). Effects of age, genes, and pulse pressure on executive functions in healthy adults.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(6), 1124–1137. </w:t>
      </w:r>
      <w:hyperlink r:id="rId4723" w:history="1">
        <w:r w:rsidRPr="001768F9">
          <w:rPr>
            <w:rFonts w:ascii="Times New Roman" w:eastAsia="Times New Roman" w:hAnsi="Times New Roman" w:cs="Times New Roman"/>
            <w:color w:val="0000FF"/>
            <w:sz w:val="24"/>
            <w:szCs w:val="24"/>
            <w:u w:val="single"/>
          </w:rPr>
          <w:t>https://doi.org/10.1016/j.neurobiolaging.2009.05.015</w:t>
        </w:r>
      </w:hyperlink>
    </w:p>
    <w:p w14:paraId="05B884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 N., Rodrigue, K. M., &amp; Acker, J. D. (2003). Hypertension and the Brain: Vulnerability of the Prefrontal Regions and Executive Functions. </w:t>
      </w:r>
      <w:r w:rsidRPr="001768F9">
        <w:rPr>
          <w:rFonts w:ascii="Times New Roman" w:eastAsia="Times New Roman" w:hAnsi="Times New Roman" w:cs="Times New Roman"/>
          <w:i/>
          <w:iCs/>
          <w:sz w:val="24"/>
          <w:szCs w:val="24"/>
        </w:rPr>
        <w:t>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(6), 1169–1180. </w:t>
      </w:r>
      <w:hyperlink r:id="rId4724" w:history="1">
        <w:r w:rsidRPr="001768F9">
          <w:rPr>
            <w:rFonts w:ascii="Times New Roman" w:eastAsia="Times New Roman" w:hAnsi="Times New Roman" w:cs="Times New Roman"/>
            <w:color w:val="0000FF"/>
            <w:sz w:val="24"/>
            <w:szCs w:val="24"/>
            <w:u w:val="single"/>
          </w:rPr>
          <w:t>https://doi.org/10.1037/0735-7044.117.6.1169</w:t>
        </w:r>
      </w:hyperlink>
    </w:p>
    <w:p w14:paraId="12D2B8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Razani, J., Bayan, S., Funes, C., Mahmoud, N., Torrence, N., Wong, J., Alessi, C., &amp; Josephson, K. (2011). Patterns of deficits in daily functioning and cognitive performance of patients with Alzheimer disease. </w:t>
      </w:r>
      <w:r w:rsidRPr="001768F9">
        <w:rPr>
          <w:rFonts w:ascii="Times New Roman" w:eastAsia="Times New Roman" w:hAnsi="Times New Roman" w:cs="Times New Roman"/>
          <w:i/>
          <w:iCs/>
          <w:sz w:val="24"/>
          <w:szCs w:val="24"/>
        </w:rPr>
        <w:t>Journal of Geriatric Psychiatry and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(1), 23–32. </w:t>
      </w:r>
      <w:hyperlink r:id="rId4725" w:history="1">
        <w:r w:rsidRPr="001768F9">
          <w:rPr>
            <w:rFonts w:ascii="Times New Roman" w:eastAsia="Times New Roman" w:hAnsi="Times New Roman" w:cs="Times New Roman"/>
            <w:color w:val="0000FF"/>
            <w:sz w:val="24"/>
            <w:szCs w:val="24"/>
            <w:u w:val="single"/>
          </w:rPr>
          <w:t>https://doi.org/10.1177/0891988710390812</w:t>
        </w:r>
      </w:hyperlink>
    </w:p>
    <w:p w14:paraId="38EB91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Razani, J., Boone, K., Lesser, I., &amp; Weiss, D. (2004). Effects of Cigarette Smoking History on Cognitive Functioning in Healthy Older Adults. </w:t>
      </w:r>
      <w:r w:rsidRPr="001768F9">
        <w:rPr>
          <w:rFonts w:ascii="Times New Roman" w:eastAsia="Times New Roman" w:hAnsi="Times New Roman" w:cs="Times New Roman"/>
          <w:i/>
          <w:iCs/>
          <w:sz w:val="24"/>
          <w:szCs w:val="24"/>
        </w:rPr>
        <w:t>The American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404–411. </w:t>
      </w:r>
      <w:hyperlink r:id="rId4726" w:history="1">
        <w:r w:rsidRPr="001768F9">
          <w:rPr>
            <w:rFonts w:ascii="Times New Roman" w:eastAsia="Times New Roman" w:hAnsi="Times New Roman" w:cs="Times New Roman"/>
            <w:color w:val="0000FF"/>
            <w:sz w:val="24"/>
            <w:szCs w:val="24"/>
            <w:u w:val="single"/>
          </w:rPr>
          <w:t>https://doi.org/10.1176/appi.ajgp.12.4.404</w:t>
        </w:r>
      </w:hyperlink>
    </w:p>
    <w:p w14:paraId="40493A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Razani, J., Casas, R., Wong, J. T., Lu, P., Alessi, C., &amp; Josephson, K. (2007). Relationship between executive functioning and activities of daily living in patients with relatively mild dementia.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(3), 208–214. </w:t>
      </w:r>
      <w:hyperlink r:id="rId4727" w:history="1">
        <w:r w:rsidRPr="001768F9">
          <w:rPr>
            <w:rFonts w:ascii="Times New Roman" w:eastAsia="Times New Roman" w:hAnsi="Times New Roman" w:cs="Times New Roman"/>
            <w:color w:val="0000FF"/>
            <w:sz w:val="24"/>
            <w:szCs w:val="24"/>
            <w:u w:val="single"/>
          </w:rPr>
          <w:t>https://doi.org/10.1080/09084280701509125</w:t>
        </w:r>
      </w:hyperlink>
    </w:p>
    <w:p w14:paraId="544A132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Razlighi, Q. R., Habeck, C., Barulli, D., &amp; Stern, Y. (2017). Cognitive neuroscience neuroimaging repository for the adult lifespan. </w:t>
      </w:r>
      <w:r w:rsidRPr="001768F9">
        <w:rPr>
          <w:rFonts w:ascii="Times New Roman" w:eastAsia="Times New Roman" w:hAnsi="Times New Roman" w:cs="Times New Roman"/>
          <w:i/>
          <w:iCs/>
          <w:sz w:val="24"/>
          <w:szCs w:val="24"/>
        </w:rPr>
        <w:t>NeuroImage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144</w:t>
      </w:r>
      <w:r w:rsidRPr="001768F9">
        <w:rPr>
          <w:rFonts w:ascii="Times New Roman" w:eastAsia="Times New Roman" w:hAnsi="Times New Roman" w:cs="Times New Roman"/>
          <w:sz w:val="24"/>
          <w:szCs w:val="24"/>
        </w:rPr>
        <w:t xml:space="preserve">(Part B), 294–298. </w:t>
      </w:r>
      <w:hyperlink r:id="rId4728" w:history="1">
        <w:r w:rsidRPr="001768F9">
          <w:rPr>
            <w:rFonts w:ascii="Times New Roman" w:eastAsia="Times New Roman" w:hAnsi="Times New Roman" w:cs="Times New Roman"/>
            <w:color w:val="0000FF"/>
            <w:sz w:val="24"/>
            <w:szCs w:val="24"/>
            <w:u w:val="single"/>
          </w:rPr>
          <w:t>https://doi.org/10.1016/j.neuroimage.2015.08.037</w:t>
        </w:r>
      </w:hyperlink>
    </w:p>
    <w:p w14:paraId="38CDEF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Razza, G., Spadaro, D., Giordano, A., Scalia, S., Colomba, P., Zizzo, C., Duro, G., &amp; Iemolo, F. (2016). Cognitive impairment and Fabry disease: A case report with mutation S126G. </w:t>
      </w:r>
      <w:r w:rsidRPr="001768F9">
        <w:rPr>
          <w:rFonts w:ascii="Times New Roman" w:eastAsia="Times New Roman" w:hAnsi="Times New Roman" w:cs="Times New Roman"/>
          <w:i/>
          <w:iCs/>
          <w:sz w:val="24"/>
          <w:szCs w:val="24"/>
        </w:rPr>
        <w:t>Neuropsychological Trends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 173–183. </w:t>
      </w:r>
      <w:hyperlink r:id="rId4729" w:history="1">
        <w:r w:rsidRPr="001768F9">
          <w:rPr>
            <w:rFonts w:ascii="Times New Roman" w:eastAsia="Times New Roman" w:hAnsi="Times New Roman" w:cs="Times New Roman"/>
            <w:color w:val="0000FF"/>
            <w:sz w:val="24"/>
            <w:szCs w:val="24"/>
            <w:u w:val="single"/>
          </w:rPr>
          <w:t>https://doi.org/10.7358/neur-2016-020-razz</w:t>
        </w:r>
      </w:hyperlink>
    </w:p>
    <w:p w14:paraId="4F7A1D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Reader, M. J., Harris, E. L., Schuerholz, L. J., &amp; Denckla, M. B. (1994). Attention deficit hyperactivity disorder and executive dysfunction.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(4), 493–512. </w:t>
      </w:r>
      <w:hyperlink r:id="rId4730" w:history="1">
        <w:r w:rsidRPr="001768F9">
          <w:rPr>
            <w:rFonts w:ascii="Times New Roman" w:eastAsia="Times New Roman" w:hAnsi="Times New Roman" w:cs="Times New Roman"/>
            <w:color w:val="0000FF"/>
            <w:sz w:val="24"/>
            <w:szCs w:val="24"/>
            <w:u w:val="single"/>
          </w:rPr>
          <w:t>https://doi.org/10.1080/87565649409540598</w:t>
        </w:r>
      </w:hyperlink>
    </w:p>
    <w:p w14:paraId="1AC5FA9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Rebstock, A. M., &amp; Wallace, S. E. (2020). Effects of a combined semantic feature analysis and multimodal treatment for primary progressive aphasia: Pilot study. </w:t>
      </w:r>
      <w:r w:rsidRPr="001768F9">
        <w:rPr>
          <w:rFonts w:ascii="Times New Roman" w:eastAsia="Times New Roman" w:hAnsi="Times New Roman" w:cs="Times New Roman"/>
          <w:i/>
          <w:iCs/>
          <w:sz w:val="24"/>
          <w:szCs w:val="24"/>
        </w:rPr>
        <w:t>Communication Disorders Quarterly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(2), 71–85. </w:t>
      </w:r>
      <w:hyperlink r:id="rId4731" w:history="1">
        <w:r w:rsidRPr="001768F9">
          <w:rPr>
            <w:rFonts w:ascii="Times New Roman" w:eastAsia="Times New Roman" w:hAnsi="Times New Roman" w:cs="Times New Roman"/>
            <w:color w:val="0000FF"/>
            <w:sz w:val="24"/>
            <w:szCs w:val="24"/>
            <w:u w:val="single"/>
          </w:rPr>
          <w:t>https://doi.org/10.1177/1525740118794399</w:t>
        </w:r>
      </w:hyperlink>
    </w:p>
    <w:p w14:paraId="382C33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Reddy, L. A., Weissman, A. S., &amp; Hale, J. B. (Eds.). (2013a). Neuropsychological assessment and intervention for emotion- and behavior-disordered youth: Opportunities for practice. In </w:t>
      </w:r>
      <w:r w:rsidRPr="001768F9">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1768F9">
        <w:rPr>
          <w:rFonts w:ascii="Times New Roman" w:eastAsia="Times New Roman" w:hAnsi="Times New Roman" w:cs="Times New Roman"/>
          <w:sz w:val="24"/>
          <w:szCs w:val="24"/>
        </w:rPr>
        <w:t xml:space="preserve"> (pp. 3–10). American Psychological Association. </w:t>
      </w:r>
      <w:hyperlink r:id="rId4732" w:history="1">
        <w:r w:rsidRPr="001768F9">
          <w:rPr>
            <w:rFonts w:ascii="Times New Roman" w:eastAsia="Times New Roman" w:hAnsi="Times New Roman" w:cs="Times New Roman"/>
            <w:color w:val="0000FF"/>
            <w:sz w:val="24"/>
            <w:szCs w:val="24"/>
            <w:u w:val="single"/>
          </w:rPr>
          <w:t>https://doi.org/10.1037/14091-001</w:t>
        </w:r>
      </w:hyperlink>
    </w:p>
    <w:p w14:paraId="12CDEB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Reddy, L. A., Weissman, A. S., &amp; Hale, J. B. (Eds.). (2013b). </w:t>
      </w:r>
      <w:r w:rsidRPr="001768F9">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1768F9">
        <w:rPr>
          <w:rFonts w:ascii="Times New Roman" w:eastAsia="Times New Roman" w:hAnsi="Times New Roman" w:cs="Times New Roman"/>
          <w:sz w:val="24"/>
          <w:szCs w:val="24"/>
        </w:rPr>
        <w:t xml:space="preserve"> (pp. xiii, 364). American Psychological Association. </w:t>
      </w:r>
      <w:hyperlink r:id="rId4733" w:history="1">
        <w:r w:rsidRPr="001768F9">
          <w:rPr>
            <w:rFonts w:ascii="Times New Roman" w:eastAsia="Times New Roman" w:hAnsi="Times New Roman" w:cs="Times New Roman"/>
            <w:color w:val="0000FF"/>
            <w:sz w:val="24"/>
            <w:szCs w:val="24"/>
            <w:u w:val="single"/>
          </w:rPr>
          <w:t>https://doi.org/10.1037/14091-000</w:t>
        </w:r>
      </w:hyperlink>
    </w:p>
    <w:p w14:paraId="00CB3F5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Reddy, R. P., Rajeswaran, J., Devi, B. I., &amp; Kandavel, T. (2013). Neurofeedback training as an intervention in a silent epidemic: An Indian scenario. </w:t>
      </w:r>
      <w:r w:rsidRPr="001768F9">
        <w:rPr>
          <w:rFonts w:ascii="Times New Roman" w:eastAsia="Times New Roman" w:hAnsi="Times New Roman" w:cs="Times New Roman"/>
          <w:i/>
          <w:iCs/>
          <w:sz w:val="24"/>
          <w:szCs w:val="24"/>
        </w:rPr>
        <w:t>Journal of Neurotherapy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(4), 213–225. </w:t>
      </w:r>
      <w:hyperlink r:id="rId4734" w:history="1">
        <w:r w:rsidRPr="001768F9">
          <w:rPr>
            <w:rFonts w:ascii="Times New Roman" w:eastAsia="Times New Roman" w:hAnsi="Times New Roman" w:cs="Times New Roman"/>
            <w:color w:val="0000FF"/>
            <w:sz w:val="24"/>
            <w:szCs w:val="24"/>
            <w:u w:val="single"/>
          </w:rPr>
          <w:t>https://doi.org/10.1080/10874208.2013.847139</w:t>
        </w:r>
      </w:hyperlink>
    </w:p>
    <w:p w14:paraId="10494C9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 A. C., Harris, J. G., &amp; Olincy, A. (2016). Schizophrenia, smoking status, and performance on the matrics Cognitive Consensus Battery.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246</w:t>
      </w:r>
      <w:r w:rsidRPr="001768F9">
        <w:rPr>
          <w:rFonts w:ascii="Times New Roman" w:eastAsia="Times New Roman" w:hAnsi="Times New Roman" w:cs="Times New Roman"/>
          <w:sz w:val="24"/>
          <w:szCs w:val="24"/>
        </w:rPr>
        <w:t xml:space="preserve">, 1–8. </w:t>
      </w:r>
      <w:hyperlink r:id="rId4735" w:history="1">
        <w:r w:rsidRPr="001768F9">
          <w:rPr>
            <w:rFonts w:ascii="Times New Roman" w:eastAsia="Times New Roman" w:hAnsi="Times New Roman" w:cs="Times New Roman"/>
            <w:color w:val="0000FF"/>
            <w:sz w:val="24"/>
            <w:szCs w:val="24"/>
            <w:u w:val="single"/>
          </w:rPr>
          <w:t>https://doi.org/10.1016/j.psychres.2016.08.062</w:t>
        </w:r>
      </w:hyperlink>
    </w:p>
    <w:p w14:paraId="670CE7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 R. A., Harrow, M., Herbener, E. S., &amp; Martin, E. M. (2002). Executive function in schizophrenia: Is it linked to psychosis and poor life functioning?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190</w:t>
      </w:r>
      <w:r w:rsidRPr="001768F9">
        <w:rPr>
          <w:rFonts w:ascii="Times New Roman" w:eastAsia="Times New Roman" w:hAnsi="Times New Roman" w:cs="Times New Roman"/>
          <w:sz w:val="24"/>
          <w:szCs w:val="24"/>
        </w:rPr>
        <w:t xml:space="preserve">(11), 725–732. </w:t>
      </w:r>
      <w:hyperlink r:id="rId4736" w:history="1">
        <w:r w:rsidRPr="001768F9">
          <w:rPr>
            <w:rFonts w:ascii="Times New Roman" w:eastAsia="Times New Roman" w:hAnsi="Times New Roman" w:cs="Times New Roman"/>
            <w:color w:val="0000FF"/>
            <w:sz w:val="24"/>
            <w:szCs w:val="24"/>
            <w:u w:val="single"/>
          </w:rPr>
          <w:t>https://doi.org/10.1097/00005053-200211000-00001</w:t>
        </w:r>
      </w:hyperlink>
    </w:p>
    <w:p w14:paraId="7514FF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Harris, V., Pickles, A., Patel, A., Cella, M., &amp; Wykes, T. (2014). Does change in cognitive function predict change in costs of care for people with a schizophrenia diagnosis following cognitive remediation therapy?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(6), 1472–1481. </w:t>
      </w:r>
      <w:hyperlink r:id="rId4737" w:history="1">
        <w:r w:rsidRPr="001768F9">
          <w:rPr>
            <w:rFonts w:ascii="Times New Roman" w:eastAsia="Times New Roman" w:hAnsi="Times New Roman" w:cs="Times New Roman"/>
            <w:color w:val="0000FF"/>
            <w:sz w:val="24"/>
            <w:szCs w:val="24"/>
            <w:u w:val="single"/>
          </w:rPr>
          <w:t>https://doi.org/10.1093/schbul/sbu046</w:t>
        </w:r>
      </w:hyperlink>
    </w:p>
    <w:p w14:paraId="41A0FE5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Huddy, V., Cella, M., Taylor, R., Greenwood, K., Landau, S., &amp; Wykes, T. (2017). A new generation computerised metacognitive cognitive remediation programme for schizophrenia (CIRCuiTS): A randomised controlled trial.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(15), 2720–2730. </w:t>
      </w:r>
      <w:hyperlink r:id="rId4738" w:history="1">
        <w:r w:rsidRPr="001768F9">
          <w:rPr>
            <w:rFonts w:ascii="Times New Roman" w:eastAsia="Times New Roman" w:hAnsi="Times New Roman" w:cs="Times New Roman"/>
            <w:color w:val="0000FF"/>
            <w:sz w:val="24"/>
            <w:szCs w:val="24"/>
            <w:u w:val="single"/>
          </w:rPr>
          <w:t>https://doi.org/10.1017/S0033291717001234</w:t>
        </w:r>
      </w:hyperlink>
    </w:p>
    <w:p w14:paraId="584930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Newton, E., Frangou, S., &amp; Wykes, T. (2004). Which executive skills should we target to affect social functioning and symptom change? A study of a cognitive remediation therapy program.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87–100. </w:t>
      </w:r>
      <w:hyperlink r:id="rId4739" w:history="1">
        <w:r w:rsidRPr="001768F9">
          <w:rPr>
            <w:rFonts w:ascii="Times New Roman" w:eastAsia="Times New Roman" w:hAnsi="Times New Roman" w:cs="Times New Roman"/>
            <w:color w:val="0000FF"/>
            <w:sz w:val="24"/>
            <w:szCs w:val="24"/>
            <w:u w:val="single"/>
          </w:rPr>
          <w:t>https://doi.org/10.1093/oxfordjournals.schbul.a007070</w:t>
        </w:r>
      </w:hyperlink>
    </w:p>
    <w:p w14:paraId="0AC67A7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Smedley, N., Butt, K., Bogner, D., &amp; Wykes, T. (2006). Cognitive Predictors of Social Functioning Improvements Following Cognitive Remediation for Schizophrenia.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32</w:t>
      </w:r>
      <w:r w:rsidRPr="001768F9">
        <w:rPr>
          <w:rFonts w:ascii="Times New Roman" w:eastAsia="Times New Roman" w:hAnsi="Times New Roman" w:cs="Times New Roman"/>
          <w:sz w:val="24"/>
          <w:szCs w:val="24"/>
        </w:rPr>
        <w:t xml:space="preserve">(Suppl1), S123–S131. </w:t>
      </w:r>
      <w:hyperlink r:id="rId4740" w:history="1">
        <w:r w:rsidRPr="001768F9">
          <w:rPr>
            <w:rFonts w:ascii="Times New Roman" w:eastAsia="Times New Roman" w:hAnsi="Times New Roman" w:cs="Times New Roman"/>
            <w:color w:val="0000FF"/>
            <w:sz w:val="24"/>
            <w:szCs w:val="24"/>
            <w:u w:val="single"/>
          </w:rPr>
          <w:t>https://doi.org/10.1093/schbul/sbl019</w:t>
        </w:r>
      </w:hyperlink>
    </w:p>
    <w:p w14:paraId="7B55AD4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Reeder, C., &amp; Wykes, T. (2015). Developing cognitive remediation therapy—Lessons from the field of schizophrenia. In </w:t>
      </w:r>
      <w:r w:rsidRPr="001768F9">
        <w:rPr>
          <w:rFonts w:ascii="Times New Roman" w:eastAsia="Times New Roman" w:hAnsi="Times New Roman" w:cs="Times New Roman"/>
          <w:i/>
          <w:iCs/>
          <w:sz w:val="24"/>
          <w:szCs w:val="24"/>
        </w:rPr>
        <w:t>Cognitive remediation therapy (CRT) for eating and weight disorders.</w:t>
      </w:r>
      <w:r w:rsidRPr="001768F9">
        <w:rPr>
          <w:rFonts w:ascii="Times New Roman" w:eastAsia="Times New Roman" w:hAnsi="Times New Roman" w:cs="Times New Roman"/>
          <w:sz w:val="24"/>
          <w:szCs w:val="24"/>
        </w:rPr>
        <w:t xml:space="preserve"> (pp. 207–214). Routledge/Taylor &amp; Francis Group.</w:t>
      </w:r>
    </w:p>
    <w:p w14:paraId="20E478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Reetzke, R., Maddox, W. T., &amp; Chandrasekaran, B. (2016). The role of age and executive function in auditory category learning. </w:t>
      </w:r>
      <w:r w:rsidRPr="001768F9">
        <w:rPr>
          <w:rFonts w:ascii="Times New Roman" w:eastAsia="Times New Roman" w:hAnsi="Times New Roman" w:cs="Times New Roman"/>
          <w:i/>
          <w:iCs/>
          <w:sz w:val="24"/>
          <w:szCs w:val="24"/>
        </w:rPr>
        <w:t>Journal of Experimental Child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142</w:t>
      </w:r>
      <w:r w:rsidRPr="001768F9">
        <w:rPr>
          <w:rFonts w:ascii="Times New Roman" w:eastAsia="Times New Roman" w:hAnsi="Times New Roman" w:cs="Times New Roman"/>
          <w:sz w:val="24"/>
          <w:szCs w:val="24"/>
        </w:rPr>
        <w:t xml:space="preserve">, 48–65. </w:t>
      </w:r>
      <w:hyperlink r:id="rId4741" w:history="1">
        <w:r w:rsidRPr="001768F9">
          <w:rPr>
            <w:rFonts w:ascii="Times New Roman" w:eastAsia="Times New Roman" w:hAnsi="Times New Roman" w:cs="Times New Roman"/>
            <w:color w:val="0000FF"/>
            <w:sz w:val="24"/>
            <w:szCs w:val="24"/>
            <w:u w:val="single"/>
          </w:rPr>
          <w:t>https://doi.org/10.1016/j.jecp.2015.09.018</w:t>
        </w:r>
      </w:hyperlink>
    </w:p>
    <w:p w14:paraId="77DD36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Reeve, W. V., &amp; Schandler, S. L. (2001). Frontal lobe functioning in adolescents with attention deficit hyperactivity disorder. </w:t>
      </w:r>
      <w:r w:rsidRPr="001768F9">
        <w:rPr>
          <w:rFonts w:ascii="Times New Roman" w:eastAsia="Times New Roman" w:hAnsi="Times New Roman" w:cs="Times New Roman"/>
          <w:i/>
          <w:iCs/>
          <w:sz w:val="24"/>
          <w:szCs w:val="24"/>
        </w:rPr>
        <w:t>Adolescence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(144), 749–765.</w:t>
      </w:r>
    </w:p>
    <w:p w14:paraId="7C8A42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Reger, M. A., Martin, D. J., Cole, S. L., &amp; Strauss, G. (2005). The relationship between plasma viral load and neuropsychological functioning in HIV-1 infection.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137–143. </w:t>
      </w:r>
      <w:hyperlink r:id="rId4742" w:history="1">
        <w:r w:rsidRPr="001768F9">
          <w:rPr>
            <w:rFonts w:ascii="Times New Roman" w:eastAsia="Times New Roman" w:hAnsi="Times New Roman" w:cs="Times New Roman"/>
            <w:color w:val="0000FF"/>
            <w:sz w:val="24"/>
            <w:szCs w:val="24"/>
            <w:u w:val="single"/>
          </w:rPr>
          <w:t>https://doi.org/10.1016/j.acn.2004.03.009</w:t>
        </w:r>
      </w:hyperlink>
    </w:p>
    <w:p w14:paraId="5F35B2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Reghunandanan, S., Fineberg, N. A., &amp; Stein, D. J. (2015). </w:t>
      </w:r>
      <w:r w:rsidRPr="001768F9">
        <w:rPr>
          <w:rFonts w:ascii="Times New Roman" w:eastAsia="Times New Roman" w:hAnsi="Times New Roman" w:cs="Times New Roman"/>
          <w:i/>
          <w:iCs/>
          <w:sz w:val="24"/>
          <w:szCs w:val="24"/>
        </w:rPr>
        <w:t>Obsessive-compulsive and related disorders, 2nd ed.</w:t>
      </w:r>
      <w:r w:rsidRPr="001768F9">
        <w:rPr>
          <w:rFonts w:ascii="Times New Roman" w:eastAsia="Times New Roman" w:hAnsi="Times New Roman" w:cs="Times New Roman"/>
          <w:sz w:val="24"/>
          <w:szCs w:val="24"/>
        </w:rPr>
        <w:t xml:space="preserve"> (pp. viii, 142). Oxford University Press.</w:t>
      </w:r>
    </w:p>
    <w:p w14:paraId="2A0D817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Reid, C., Davis, H., Horlin, C., Anderson, M., Baughman, N., &amp; Campbell, C. (2013). The Kids’ Empathic Development Scale (KEDS): A multi‐dimensional measure of empathy in primary school‐aged children. </w:t>
      </w:r>
      <w:r w:rsidRPr="001768F9">
        <w:rPr>
          <w:rFonts w:ascii="Times New Roman" w:eastAsia="Times New Roman" w:hAnsi="Times New Roman" w:cs="Times New Roman"/>
          <w:i/>
          <w:iCs/>
          <w:sz w:val="24"/>
          <w:szCs w:val="24"/>
        </w:rPr>
        <w:t>British Journal of Developmental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231–256. </w:t>
      </w:r>
      <w:hyperlink r:id="rId4743" w:history="1">
        <w:r w:rsidRPr="001768F9">
          <w:rPr>
            <w:rFonts w:ascii="Times New Roman" w:eastAsia="Times New Roman" w:hAnsi="Times New Roman" w:cs="Times New Roman"/>
            <w:color w:val="0000FF"/>
            <w:sz w:val="24"/>
            <w:szCs w:val="24"/>
            <w:u w:val="single"/>
          </w:rPr>
          <w:t>https://doi.org/10.1111/bjdp.12002</w:t>
        </w:r>
      </w:hyperlink>
    </w:p>
    <w:p w14:paraId="632D599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Reid, R. C., Garos, S., Carpenter, B. N., &amp; Coleman, E. (2011). A Surprising Finding Related to Executive Control in a Patient Sample of Hypersexual Men. </w:t>
      </w:r>
      <w:r w:rsidRPr="001768F9">
        <w:rPr>
          <w:rFonts w:ascii="Times New Roman" w:eastAsia="Times New Roman" w:hAnsi="Times New Roman" w:cs="Times New Roman"/>
          <w:i/>
          <w:iCs/>
          <w:sz w:val="24"/>
          <w:szCs w:val="24"/>
        </w:rPr>
        <w:t>Journal of Sexual M</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2227–2236.</w:t>
      </w:r>
    </w:p>
    <w:p w14:paraId="5DD31D7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Reif, A., Fallgatter, A. J., Ehlis, A.-C., &amp; Lesch, K.-P. (2004). Altered functioning of the cingulate gyrus in two cases of chromosome 22q11 deletion syndrome.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132</w:t>
      </w:r>
      <w:r w:rsidRPr="001768F9">
        <w:rPr>
          <w:rFonts w:ascii="Times New Roman" w:eastAsia="Times New Roman" w:hAnsi="Times New Roman" w:cs="Times New Roman"/>
          <w:sz w:val="24"/>
          <w:szCs w:val="24"/>
        </w:rPr>
        <w:t xml:space="preserve">(3), 273–278. </w:t>
      </w:r>
      <w:hyperlink r:id="rId4744" w:history="1">
        <w:r w:rsidRPr="001768F9">
          <w:rPr>
            <w:rFonts w:ascii="Times New Roman" w:eastAsia="Times New Roman" w:hAnsi="Times New Roman" w:cs="Times New Roman"/>
            <w:color w:val="0000FF"/>
            <w:sz w:val="24"/>
            <w:szCs w:val="24"/>
            <w:u w:val="single"/>
          </w:rPr>
          <w:t>https://doi.org/10.1016/j.pscychresns.2004.08.003</w:t>
        </w:r>
      </w:hyperlink>
    </w:p>
    <w:p w14:paraId="071E6B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Reinares, M., Papachristou, E., Harvey, P., Bonnín, C. M., Sánchez-Moreno, J., Torrent, C., Ayuso-Mateos, J. L., Ploubidis, G. B., Vieta, E., &amp; Frangou, S. (2013). Towards a clinical staging for bipolar disorder: Defining patient subtypes based on functional outcome.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144</w:t>
      </w:r>
      <w:r w:rsidRPr="001768F9">
        <w:rPr>
          <w:rFonts w:ascii="Times New Roman" w:eastAsia="Times New Roman" w:hAnsi="Times New Roman" w:cs="Times New Roman"/>
          <w:sz w:val="24"/>
          <w:szCs w:val="24"/>
        </w:rPr>
        <w:t xml:space="preserve">(1–2), 65–71. </w:t>
      </w:r>
      <w:hyperlink r:id="rId4745" w:history="1">
        <w:r w:rsidRPr="001768F9">
          <w:rPr>
            <w:rFonts w:ascii="Times New Roman" w:eastAsia="Times New Roman" w:hAnsi="Times New Roman" w:cs="Times New Roman"/>
            <w:color w:val="0000FF"/>
            <w:sz w:val="24"/>
            <w:szCs w:val="24"/>
            <w:u w:val="single"/>
          </w:rPr>
          <w:t>https://doi.org/10.1016/j.jad.2012.06.005</w:t>
        </w:r>
      </w:hyperlink>
    </w:p>
    <w:p w14:paraId="34FF64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Reitan, R. M., &amp; Wolfson, D. (1994). A selective and critical review of neuropsychological deficits and the frontal lobes. </w:t>
      </w:r>
      <w:r w:rsidRPr="001768F9">
        <w:rPr>
          <w:rFonts w:ascii="Times New Roman" w:eastAsia="Times New Roman" w:hAnsi="Times New Roman" w:cs="Times New Roman"/>
          <w:i/>
          <w:iCs/>
          <w:sz w:val="24"/>
          <w:szCs w:val="24"/>
        </w:rPr>
        <w:t>Neuropsychology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(3), 161–198. </w:t>
      </w:r>
      <w:hyperlink r:id="rId4746" w:history="1">
        <w:r w:rsidRPr="001768F9">
          <w:rPr>
            <w:rFonts w:ascii="Times New Roman" w:eastAsia="Times New Roman" w:hAnsi="Times New Roman" w:cs="Times New Roman"/>
            <w:color w:val="0000FF"/>
            <w:sz w:val="24"/>
            <w:szCs w:val="24"/>
            <w:u w:val="single"/>
          </w:rPr>
          <w:t>https://doi.org/10.1007/BF01874891</w:t>
        </w:r>
      </w:hyperlink>
    </w:p>
    <w:p w14:paraId="44B18C8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Rej, S., Schulte, S. W., Rajji, T. K., Gildengers, A. G., Miranda, D., Menon, M., Butters, M. A., &amp; Mulsant, B. H. (2018). Statins and cognition in late‐life bipolar disorder. </w:t>
      </w:r>
      <w:r w:rsidRPr="001768F9">
        <w:rPr>
          <w:rFonts w:ascii="Times New Roman" w:eastAsia="Times New Roman" w:hAnsi="Times New Roman" w:cs="Times New Roman"/>
          <w:i/>
          <w:iCs/>
          <w:sz w:val="24"/>
          <w:szCs w:val="24"/>
        </w:rPr>
        <w:t>International Journal of Geriatric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(10), 1355–1360. </w:t>
      </w:r>
      <w:hyperlink r:id="rId4747" w:history="1">
        <w:r w:rsidRPr="001768F9">
          <w:rPr>
            <w:rFonts w:ascii="Times New Roman" w:eastAsia="Times New Roman" w:hAnsi="Times New Roman" w:cs="Times New Roman"/>
            <w:color w:val="0000FF"/>
            <w:sz w:val="24"/>
            <w:szCs w:val="24"/>
            <w:u w:val="single"/>
          </w:rPr>
          <w:t>https://doi.org/10.1002/gps.4956</w:t>
        </w:r>
      </w:hyperlink>
    </w:p>
    <w:p w14:paraId="6A69BE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Remberk, B., Bażyńska, A. K., Krempa-Kowalewska, A., &amp; Rybakowski, F. (2014). Executive impairment predicts schizophrenia diagnosis and treatment status in mid-term follow-up of early-onset psychosis. </w:t>
      </w:r>
      <w:r w:rsidRPr="001768F9">
        <w:rPr>
          <w:rFonts w:ascii="Times New Roman" w:eastAsia="Times New Roman" w:hAnsi="Times New Roman" w:cs="Times New Roman"/>
          <w:i/>
          <w:iCs/>
          <w:sz w:val="24"/>
          <w:szCs w:val="24"/>
        </w:rPr>
        <w:t>Neuropsychobiology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70</w:t>
      </w:r>
      <w:r w:rsidRPr="001768F9">
        <w:rPr>
          <w:rFonts w:ascii="Times New Roman" w:eastAsia="Times New Roman" w:hAnsi="Times New Roman" w:cs="Times New Roman"/>
          <w:sz w:val="24"/>
          <w:szCs w:val="24"/>
        </w:rPr>
        <w:t xml:space="preserve">(3), 181–188. </w:t>
      </w:r>
      <w:hyperlink r:id="rId4748" w:history="1">
        <w:r w:rsidRPr="001768F9">
          <w:rPr>
            <w:rFonts w:ascii="Times New Roman" w:eastAsia="Times New Roman" w:hAnsi="Times New Roman" w:cs="Times New Roman"/>
            <w:color w:val="0000FF"/>
            <w:sz w:val="24"/>
            <w:szCs w:val="24"/>
            <w:u w:val="single"/>
          </w:rPr>
          <w:t>https://doi.org/10.1159/000366486</w:t>
        </w:r>
      </w:hyperlink>
    </w:p>
    <w:p w14:paraId="75AC3DA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Remberk, B., Namysłowska, I., Krempa-Kowalewska, A., Gadaś, M., &amp; Skalska, J. (2011). Cognitive impairment in hospitalized adolescent girls suffering from anorexia and bulimia nervosa.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(3), 291–301.</w:t>
      </w:r>
    </w:p>
    <w:p w14:paraId="6BC710F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Remberk, B., Namysłowska, I., &amp; Rybakowski, F. (2012). Cognitive impairment and formal thought disorders in parents of early-onset schizophrenia patients. </w:t>
      </w:r>
      <w:r w:rsidRPr="001768F9">
        <w:rPr>
          <w:rFonts w:ascii="Times New Roman" w:eastAsia="Times New Roman" w:hAnsi="Times New Roman" w:cs="Times New Roman"/>
          <w:i/>
          <w:iCs/>
          <w:sz w:val="24"/>
          <w:szCs w:val="24"/>
        </w:rPr>
        <w:t>Neuropsychobiology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 xml:space="preserve">(4), 206–215. </w:t>
      </w:r>
      <w:hyperlink r:id="rId4749" w:history="1">
        <w:r w:rsidRPr="001768F9">
          <w:rPr>
            <w:rFonts w:ascii="Times New Roman" w:eastAsia="Times New Roman" w:hAnsi="Times New Roman" w:cs="Times New Roman"/>
            <w:color w:val="0000FF"/>
            <w:sz w:val="24"/>
            <w:szCs w:val="24"/>
            <w:u w:val="single"/>
          </w:rPr>
          <w:t>https://doi.org/10.1159/000337001</w:t>
        </w:r>
      </w:hyperlink>
    </w:p>
    <w:p w14:paraId="4EE24B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Rémillard, S., Pourcher, E., &amp; Cohen, H. (2005). The effect of neuroleptic treatments on executive function and symptomatology in schizophrenia: A 1-year follow up study.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80</w:t>
      </w:r>
      <w:r w:rsidRPr="001768F9">
        <w:rPr>
          <w:rFonts w:ascii="Times New Roman" w:eastAsia="Times New Roman" w:hAnsi="Times New Roman" w:cs="Times New Roman"/>
          <w:sz w:val="24"/>
          <w:szCs w:val="24"/>
        </w:rPr>
        <w:t xml:space="preserve">(1), 99–106. </w:t>
      </w:r>
      <w:hyperlink r:id="rId4750" w:history="1">
        <w:r w:rsidRPr="001768F9">
          <w:rPr>
            <w:rFonts w:ascii="Times New Roman" w:eastAsia="Times New Roman" w:hAnsi="Times New Roman" w:cs="Times New Roman"/>
            <w:color w:val="0000FF"/>
            <w:sz w:val="24"/>
            <w:szCs w:val="24"/>
            <w:u w:val="single"/>
          </w:rPr>
          <w:t>https://doi.org/10.1016/j.schres.2005.07.026</w:t>
        </w:r>
      </w:hyperlink>
    </w:p>
    <w:p w14:paraId="5A6E357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Remmel, R. J., &amp; Glenn, A. L. (2015). The biological etiology of psychopathy. In </w:t>
      </w:r>
      <w:r w:rsidRPr="001768F9">
        <w:rPr>
          <w:rFonts w:ascii="Times New Roman" w:eastAsia="Times New Roman" w:hAnsi="Times New Roman" w:cs="Times New Roman"/>
          <w:i/>
          <w:iCs/>
          <w:sz w:val="24"/>
          <w:szCs w:val="24"/>
        </w:rPr>
        <w:t>The Routledge international handbook of biosocial criminology.</w:t>
      </w:r>
      <w:r w:rsidRPr="001768F9">
        <w:rPr>
          <w:rFonts w:ascii="Times New Roman" w:eastAsia="Times New Roman" w:hAnsi="Times New Roman" w:cs="Times New Roman"/>
          <w:sz w:val="24"/>
          <w:szCs w:val="24"/>
        </w:rPr>
        <w:t xml:space="preserve"> (pp. 365–375). Routledge/Taylor &amp; Francis Group.</w:t>
      </w:r>
    </w:p>
    <w:p w14:paraId="5105CD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Brown, C., &amp; Hamera, E. (2011). Learning potential as a predictor of skill acquisition in people with serious mental illness.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185</w:t>
      </w:r>
      <w:r w:rsidRPr="001768F9">
        <w:rPr>
          <w:rFonts w:ascii="Times New Roman" w:eastAsia="Times New Roman" w:hAnsi="Times New Roman" w:cs="Times New Roman"/>
          <w:sz w:val="24"/>
          <w:szCs w:val="24"/>
        </w:rPr>
        <w:t xml:space="preserve">(1–2), 293–295. </w:t>
      </w:r>
      <w:hyperlink r:id="rId4751" w:history="1">
        <w:r w:rsidRPr="001768F9">
          <w:rPr>
            <w:rFonts w:ascii="Times New Roman" w:eastAsia="Times New Roman" w:hAnsi="Times New Roman" w:cs="Times New Roman"/>
            <w:color w:val="0000FF"/>
            <w:sz w:val="24"/>
            <w:szCs w:val="24"/>
            <w:u w:val="single"/>
          </w:rPr>
          <w:t>https://doi.org/10.1016/j.psychres.2009.12.009</w:t>
        </w:r>
      </w:hyperlink>
    </w:p>
    <w:p w14:paraId="66B60F5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Hamera, E., Brown, C., &amp; Bothwell, R. J. (2006). Learning proficiency on the Wisconsin Card Sorting Test in people with serious mental illness: What are the cognitive characteristics of good learners?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87</w:t>
      </w:r>
      <w:r w:rsidRPr="001768F9">
        <w:rPr>
          <w:rFonts w:ascii="Times New Roman" w:eastAsia="Times New Roman" w:hAnsi="Times New Roman" w:cs="Times New Roman"/>
          <w:sz w:val="24"/>
          <w:szCs w:val="24"/>
        </w:rPr>
        <w:t xml:space="preserve">(1–3), 316–322. </w:t>
      </w:r>
      <w:hyperlink r:id="rId4752" w:history="1">
        <w:r w:rsidRPr="001768F9">
          <w:rPr>
            <w:rFonts w:ascii="Times New Roman" w:eastAsia="Times New Roman" w:hAnsi="Times New Roman" w:cs="Times New Roman"/>
            <w:color w:val="0000FF"/>
            <w:sz w:val="24"/>
            <w:szCs w:val="24"/>
            <w:u w:val="single"/>
          </w:rPr>
          <w:t>https://doi.org/10.1016/j.schres.2006.05.012</w:t>
        </w:r>
      </w:hyperlink>
    </w:p>
    <w:p w14:paraId="71764C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V., Hamera, E. K., Brown, C. E., &amp; Cromwell, R. L. (2003). The relations between cognition and the independent living skill of shopping in people with schizophrenia.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117</w:t>
      </w:r>
      <w:r w:rsidRPr="001768F9">
        <w:rPr>
          <w:rFonts w:ascii="Times New Roman" w:eastAsia="Times New Roman" w:hAnsi="Times New Roman" w:cs="Times New Roman"/>
          <w:sz w:val="24"/>
          <w:szCs w:val="24"/>
        </w:rPr>
        <w:t xml:space="preserve">(2), 103–112. </w:t>
      </w:r>
      <w:hyperlink r:id="rId4753" w:history="1">
        <w:r w:rsidRPr="001768F9">
          <w:rPr>
            <w:rFonts w:ascii="Times New Roman" w:eastAsia="Times New Roman" w:hAnsi="Times New Roman" w:cs="Times New Roman"/>
            <w:color w:val="0000FF"/>
            <w:sz w:val="24"/>
            <w:szCs w:val="24"/>
            <w:u w:val="single"/>
          </w:rPr>
          <w:t>https://doi.org/10.1016/S0165-1781(02)00318-9</w:t>
        </w:r>
      </w:hyperlink>
    </w:p>
    <w:p w14:paraId="6273CF4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V., McDowd, J. M., &amp; Brown, C. E. (2017). Measuring learning potential in people with schizophrenia: A comparison of two tasks.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258</w:t>
      </w:r>
      <w:r w:rsidRPr="001768F9">
        <w:rPr>
          <w:rFonts w:ascii="Times New Roman" w:eastAsia="Times New Roman" w:hAnsi="Times New Roman" w:cs="Times New Roman"/>
          <w:sz w:val="24"/>
          <w:szCs w:val="24"/>
        </w:rPr>
        <w:t xml:space="preserve">, 316–321. </w:t>
      </w:r>
      <w:hyperlink r:id="rId4754" w:history="1">
        <w:r w:rsidRPr="001768F9">
          <w:rPr>
            <w:rFonts w:ascii="Times New Roman" w:eastAsia="Times New Roman" w:hAnsi="Times New Roman" w:cs="Times New Roman"/>
            <w:color w:val="0000FF"/>
            <w:sz w:val="24"/>
            <w:szCs w:val="24"/>
            <w:u w:val="single"/>
          </w:rPr>
          <w:t>https://doi.org/10.1016/j.psychres.2017.08.057</w:t>
        </w:r>
      </w:hyperlink>
    </w:p>
    <w:p w14:paraId="0FE413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Rempfer, M. V., McDowd, J. M., &amp; Brown, C. E. (2020). Longitudinal stability of learning potential in people with schizophrenia: A 2.5 year follow-up.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224</w:t>
      </w:r>
      <w:r w:rsidRPr="001768F9">
        <w:rPr>
          <w:rFonts w:ascii="Times New Roman" w:eastAsia="Times New Roman" w:hAnsi="Times New Roman" w:cs="Times New Roman"/>
          <w:sz w:val="24"/>
          <w:szCs w:val="24"/>
        </w:rPr>
        <w:t xml:space="preserve">, 193–194. </w:t>
      </w:r>
      <w:hyperlink r:id="rId4755" w:history="1">
        <w:r w:rsidRPr="001768F9">
          <w:rPr>
            <w:rFonts w:ascii="Times New Roman" w:eastAsia="Times New Roman" w:hAnsi="Times New Roman" w:cs="Times New Roman"/>
            <w:color w:val="0000FF"/>
            <w:sz w:val="24"/>
            <w:szCs w:val="24"/>
            <w:u w:val="single"/>
          </w:rPr>
          <w:t>https://doi.org/10.1016/j.schres.2020.08.019</w:t>
        </w:r>
      </w:hyperlink>
    </w:p>
    <w:p w14:paraId="3BD9DD4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 H., Guan, L., Zhao, L., Lin, Y., Wang, Y., Yang, Z., Li, X., Ma, X., Cheng, X., Deng, W., Aitchison, K. J., Cao, L., &amp; Li, T. (2018). Contribution of genes in the GABAergic pathway to bipolar disorder and its executive function deficit in the Chinese Han population. </w:t>
      </w:r>
      <w:r w:rsidRPr="001768F9">
        <w:rPr>
          <w:rFonts w:ascii="Times New Roman" w:eastAsia="Times New Roman" w:hAnsi="Times New Roman" w:cs="Times New Roman"/>
          <w:i/>
          <w:iCs/>
          <w:sz w:val="24"/>
          <w:szCs w:val="24"/>
        </w:rPr>
        <w:t>American Journal of Medical Genetics Part B: Neuropsychiatric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177</w:t>
      </w:r>
      <w:r w:rsidRPr="001768F9">
        <w:rPr>
          <w:rFonts w:ascii="Times New Roman" w:eastAsia="Times New Roman" w:hAnsi="Times New Roman" w:cs="Times New Roman"/>
          <w:sz w:val="24"/>
          <w:szCs w:val="24"/>
        </w:rPr>
        <w:t xml:space="preserve">(1), 50–67. </w:t>
      </w:r>
      <w:hyperlink r:id="rId4756" w:history="1">
        <w:r w:rsidRPr="001768F9">
          <w:rPr>
            <w:rFonts w:ascii="Times New Roman" w:eastAsia="Times New Roman" w:hAnsi="Times New Roman" w:cs="Times New Roman"/>
            <w:color w:val="0000FF"/>
            <w:sz w:val="24"/>
            <w:szCs w:val="24"/>
            <w:u w:val="single"/>
          </w:rPr>
          <w:t>https://doi.org/10.1002/ajmg.b.32601</w:t>
        </w:r>
      </w:hyperlink>
    </w:p>
    <w:p w14:paraId="300B7D4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 H.-P., Wang, L., Cui, W.-H., &amp; Wang, X.-Y. (2012). Neuroendocrine and cognitive function in patients with comorbid depression and type 2 diabetes. [Neuroendocrine and cognitive function in patients with comorbid depression and type 2 diabetes.]. </w:t>
      </w:r>
      <w:r w:rsidRPr="001768F9">
        <w:rPr>
          <w:rFonts w:ascii="Times New Roman" w:eastAsia="Times New Roman" w:hAnsi="Times New Roman" w:cs="Times New Roman"/>
          <w:i/>
          <w:iCs/>
          <w:sz w:val="24"/>
          <w:szCs w:val="24"/>
        </w:rPr>
        <w:t>Chinese Mental Health Journal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(7), 500–504.</w:t>
      </w:r>
    </w:p>
    <w:p w14:paraId="43D30B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Renard, D., Collombier, L., Castelnovo, G., Fourcade, G., Kotzki, P.-O., &amp; Labauge, P. (2011). Brain FDG-PET changes in ALS and ALS-FTD. </w:t>
      </w:r>
      <w:r w:rsidRPr="001768F9">
        <w:rPr>
          <w:rFonts w:ascii="Times New Roman" w:eastAsia="Times New Roman" w:hAnsi="Times New Roman" w:cs="Times New Roman"/>
          <w:i/>
          <w:iCs/>
          <w:sz w:val="24"/>
          <w:szCs w:val="24"/>
        </w:rPr>
        <w:t>Acta Neurologica Belgica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111</w:t>
      </w:r>
      <w:r w:rsidRPr="001768F9">
        <w:rPr>
          <w:rFonts w:ascii="Times New Roman" w:eastAsia="Times New Roman" w:hAnsi="Times New Roman" w:cs="Times New Roman"/>
          <w:sz w:val="24"/>
          <w:szCs w:val="24"/>
        </w:rPr>
        <w:t>(4), 306–309.</w:t>
      </w:r>
    </w:p>
    <w:p w14:paraId="12628D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Renard, J., Rushlow, W. J., &amp; Laviolette, S. R. (2016). What can rats tell us about adolescent cannabis exposure? Insights from preclinical research. </w:t>
      </w:r>
      <w:r w:rsidRPr="001768F9">
        <w:rPr>
          <w:rFonts w:ascii="Times New Roman" w:eastAsia="Times New Roman" w:hAnsi="Times New Roman" w:cs="Times New Roman"/>
          <w:i/>
          <w:iCs/>
          <w:sz w:val="24"/>
          <w:szCs w:val="24"/>
        </w:rPr>
        <w:t>The Canadian Journal of Psychiatry / La Revue Canadienne de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61</w:t>
      </w:r>
      <w:r w:rsidRPr="001768F9">
        <w:rPr>
          <w:rFonts w:ascii="Times New Roman" w:eastAsia="Times New Roman" w:hAnsi="Times New Roman" w:cs="Times New Roman"/>
          <w:sz w:val="24"/>
          <w:szCs w:val="24"/>
        </w:rPr>
        <w:t xml:space="preserve">(6), 328–334. </w:t>
      </w:r>
      <w:hyperlink r:id="rId4757" w:history="1">
        <w:r w:rsidRPr="001768F9">
          <w:rPr>
            <w:rFonts w:ascii="Times New Roman" w:eastAsia="Times New Roman" w:hAnsi="Times New Roman" w:cs="Times New Roman"/>
            <w:color w:val="0000FF"/>
            <w:sz w:val="24"/>
            <w:szCs w:val="24"/>
            <w:u w:val="single"/>
          </w:rPr>
          <w:t>https://doi.org/10.1177/0706743716645288</w:t>
        </w:r>
      </w:hyperlink>
    </w:p>
    <w:p w14:paraId="69DB7B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Reneman, L., Schagen, S. B., Mulder, M., Mutsaerts, H. J., Hageman, G., &amp; de Ruiter, M. B. (2016). Cognitive impairment and associated loss in brain white microstructure in aircrew members exposed to engine oil fumes.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437–444. </w:t>
      </w:r>
      <w:hyperlink r:id="rId4758" w:history="1">
        <w:r w:rsidRPr="001768F9">
          <w:rPr>
            <w:rFonts w:ascii="Times New Roman" w:eastAsia="Times New Roman" w:hAnsi="Times New Roman" w:cs="Times New Roman"/>
            <w:color w:val="0000FF"/>
            <w:sz w:val="24"/>
            <w:szCs w:val="24"/>
            <w:u w:val="single"/>
          </w:rPr>
          <w:t>https://doi.org/10.1007/s11682-015-9395-3</w:t>
        </w:r>
      </w:hyperlink>
    </w:p>
    <w:p w14:paraId="240EB4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Reneman, L., Schilt, T., de Win, M. M., Booij, J., Schmand, B., van den Brink, W., &amp; Bakker, O. (2006). Memory function and serotonin transporter promoter gene polymorphism in ecstasy (MDMA) users. </w:t>
      </w:r>
      <w:r w:rsidRPr="001768F9">
        <w:rPr>
          <w:rFonts w:ascii="Times New Roman" w:eastAsia="Times New Roman" w:hAnsi="Times New Roman" w:cs="Times New Roman"/>
          <w:i/>
          <w:iCs/>
          <w:sz w:val="24"/>
          <w:szCs w:val="24"/>
        </w:rPr>
        <w:t>Journal of 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(3), 389–399. </w:t>
      </w:r>
      <w:hyperlink r:id="rId4759" w:history="1">
        <w:r w:rsidRPr="001768F9">
          <w:rPr>
            <w:rFonts w:ascii="Times New Roman" w:eastAsia="Times New Roman" w:hAnsi="Times New Roman" w:cs="Times New Roman"/>
            <w:color w:val="0000FF"/>
            <w:sz w:val="24"/>
            <w:szCs w:val="24"/>
            <w:u w:val="single"/>
          </w:rPr>
          <w:t>https://doi.org/10.1177/0269881106063266</w:t>
        </w:r>
      </w:hyperlink>
    </w:p>
    <w:p w14:paraId="6331FE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Renison, B., Ponsford, J., Testa, R., Richardson, B., &amp; Brownfield, K. (2012). The ecological and construct validity of a newly developed measure of executive function: The Virtual Library Task.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(3), 440–450. </w:t>
      </w:r>
      <w:hyperlink r:id="rId4760" w:history="1">
        <w:r w:rsidRPr="001768F9">
          <w:rPr>
            <w:rFonts w:ascii="Times New Roman" w:eastAsia="Times New Roman" w:hAnsi="Times New Roman" w:cs="Times New Roman"/>
            <w:color w:val="0000FF"/>
            <w:sz w:val="24"/>
            <w:szCs w:val="24"/>
            <w:u w:val="single"/>
          </w:rPr>
          <w:t>https://doi.org/10.1017/S1355617711001883</w:t>
        </w:r>
      </w:hyperlink>
    </w:p>
    <w:p w14:paraId="100C06A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Renwick, B., Musiat, P., Lose, A., DeJong, H., Broadbent, H., Kenyon, M., Loomes, R., Watson, C., Ghelani, S., Serpell, L., Richards, L., Johnson‐Sabine, E., Boughton, N., Treasure, J., &amp; Schmidt, U. (2015). Neuro‐ and social‐cognitive clustering highlights distinct profiles in adults with anorexia nervosa. </w:t>
      </w:r>
      <w:r w:rsidRPr="001768F9">
        <w:rPr>
          <w:rFonts w:ascii="Times New Roman" w:eastAsia="Times New Roman" w:hAnsi="Times New Roman" w:cs="Times New Roman"/>
          <w:i/>
          <w:iCs/>
          <w:sz w:val="24"/>
          <w:szCs w:val="24"/>
        </w:rPr>
        <w:t>International Journal of Eating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48</w:t>
      </w:r>
      <w:r w:rsidRPr="001768F9">
        <w:rPr>
          <w:rFonts w:ascii="Times New Roman" w:eastAsia="Times New Roman" w:hAnsi="Times New Roman" w:cs="Times New Roman"/>
          <w:sz w:val="24"/>
          <w:szCs w:val="24"/>
        </w:rPr>
        <w:t xml:space="preserve">(1), 26–34. </w:t>
      </w:r>
      <w:hyperlink r:id="rId4761" w:history="1">
        <w:r w:rsidRPr="001768F9">
          <w:rPr>
            <w:rFonts w:ascii="Times New Roman" w:eastAsia="Times New Roman" w:hAnsi="Times New Roman" w:cs="Times New Roman"/>
            <w:color w:val="0000FF"/>
            <w:sz w:val="24"/>
            <w:szCs w:val="24"/>
            <w:u w:val="single"/>
          </w:rPr>
          <w:t>https://doi.org/10.1002/eat.22366</w:t>
        </w:r>
      </w:hyperlink>
    </w:p>
    <w:p w14:paraId="386749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Repetto, C., Manenti, R., Sansone, V., Cotelli, M., Perani, D., Garibotto, V., Zanetti, O., Meola, G., &amp; Miniussi, C. (2007). Persistent autobiographical amnesia: A case report.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13–17. </w:t>
      </w:r>
      <w:hyperlink r:id="rId4762" w:history="1">
        <w:r w:rsidRPr="001768F9">
          <w:rPr>
            <w:rFonts w:ascii="Times New Roman" w:eastAsia="Times New Roman" w:hAnsi="Times New Roman" w:cs="Times New Roman"/>
            <w:color w:val="0000FF"/>
            <w:sz w:val="24"/>
            <w:szCs w:val="24"/>
            <w:u w:val="single"/>
          </w:rPr>
          <w:t>https://doi.org/10.1155/2007/534043</w:t>
        </w:r>
      </w:hyperlink>
    </w:p>
    <w:p w14:paraId="6D70D76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Resch, Z. J., Soble, J. R., Ovsiew, G. P., Castillo, L. R., Saladino, K. F., DeDios-Stern, S., Schulze, E. T., Song, W., &amp; Pliskin, N. H. (2021). Working memory, processing speed, and memory functioning are minimally predictive of Victoria Symptom Validity Test performance.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(6), 1614–1623. </w:t>
      </w:r>
      <w:hyperlink r:id="rId4763" w:history="1">
        <w:r w:rsidRPr="001768F9">
          <w:rPr>
            <w:rFonts w:ascii="Times New Roman" w:eastAsia="Times New Roman" w:hAnsi="Times New Roman" w:cs="Times New Roman"/>
            <w:color w:val="0000FF"/>
            <w:sz w:val="24"/>
            <w:szCs w:val="24"/>
            <w:u w:val="single"/>
          </w:rPr>
          <w:t>https://doi.org/10.1177/1073191120911102</w:t>
        </w:r>
      </w:hyperlink>
    </w:p>
    <w:p w14:paraId="1D04D0D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Resch, Z. J., Webber, T. A., Bernstein, M. T., Rhoads, T., Ovsiew, G. P., &amp; Soble, J. R. (2021). Victoria Symptom Validity Test: A systematic review and cross-validation study. </w:t>
      </w:r>
      <w:r w:rsidRPr="001768F9">
        <w:rPr>
          <w:rFonts w:ascii="Times New Roman" w:eastAsia="Times New Roman" w:hAnsi="Times New Roman" w:cs="Times New Roman"/>
          <w:i/>
          <w:iCs/>
          <w:sz w:val="24"/>
          <w:szCs w:val="24"/>
        </w:rPr>
        <w:t>Neuropsychology Review</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(2), 331–348. </w:t>
      </w:r>
      <w:hyperlink r:id="rId4764" w:history="1">
        <w:r w:rsidRPr="001768F9">
          <w:rPr>
            <w:rFonts w:ascii="Times New Roman" w:eastAsia="Times New Roman" w:hAnsi="Times New Roman" w:cs="Times New Roman"/>
            <w:color w:val="0000FF"/>
            <w:sz w:val="24"/>
            <w:szCs w:val="24"/>
            <w:u w:val="single"/>
          </w:rPr>
          <w:t>https://doi.org/10.1007/s11065-021-09477-5</w:t>
        </w:r>
      </w:hyperlink>
    </w:p>
    <w:p w14:paraId="5CCC2E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Restivo, M. R., McKinnon, M. C., Frey, B. N., Hall, G. B., Syed, W., &amp; Taylor, V. H. (2017). The impact of obesity on neuropsychological functioning in adults with and without major depressive disorder.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(5).</w:t>
      </w:r>
    </w:p>
    <w:p w14:paraId="20175A4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Restrepo, J., Bernardin, L., &amp; Hammeke, T. (2011). Neurocognitive decline in Alexander disease.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25</w:t>
      </w:r>
      <w:r w:rsidRPr="001768F9">
        <w:rPr>
          <w:rFonts w:ascii="Times New Roman" w:eastAsia="Times New Roman" w:hAnsi="Times New Roman" w:cs="Times New Roman"/>
          <w:sz w:val="24"/>
          <w:szCs w:val="24"/>
        </w:rPr>
        <w:t xml:space="preserve">(7), 1266–1277. </w:t>
      </w:r>
      <w:hyperlink r:id="rId4765" w:history="1">
        <w:r w:rsidRPr="001768F9">
          <w:rPr>
            <w:rFonts w:ascii="Times New Roman" w:eastAsia="Times New Roman" w:hAnsi="Times New Roman" w:cs="Times New Roman"/>
            <w:color w:val="0000FF"/>
            <w:sz w:val="24"/>
            <w:szCs w:val="24"/>
            <w:u w:val="single"/>
          </w:rPr>
          <w:t>https://doi.org/10.1080/13854046.2011.604043</w:t>
        </w:r>
      </w:hyperlink>
    </w:p>
    <w:p w14:paraId="3AEEB6B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Réthelyi, J. M., Czobor, P., Polgár, P., Mersich, B., Bálint, S., Jekkel, É., Magyar, K., Mészáros, Á., Fábián, Á., &amp; Bitter, I. (2012). General and domain-specific neurocognitive impairments in deficit and non-deficit schizophrenia. </w:t>
      </w:r>
      <w:r w:rsidRPr="001768F9">
        <w:rPr>
          <w:rFonts w:ascii="Times New Roman" w:eastAsia="Times New Roman" w:hAnsi="Times New Roman" w:cs="Times New Roman"/>
          <w:i/>
          <w:iCs/>
          <w:sz w:val="24"/>
          <w:szCs w:val="24"/>
        </w:rPr>
        <w:t>European Archives of Psychiatry and Clinical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262</w:t>
      </w:r>
      <w:r w:rsidRPr="001768F9">
        <w:rPr>
          <w:rFonts w:ascii="Times New Roman" w:eastAsia="Times New Roman" w:hAnsi="Times New Roman" w:cs="Times New Roman"/>
          <w:sz w:val="24"/>
          <w:szCs w:val="24"/>
        </w:rPr>
        <w:t xml:space="preserve">(2), 107–115. </w:t>
      </w:r>
      <w:hyperlink r:id="rId4766" w:history="1">
        <w:r w:rsidRPr="001768F9">
          <w:rPr>
            <w:rFonts w:ascii="Times New Roman" w:eastAsia="Times New Roman" w:hAnsi="Times New Roman" w:cs="Times New Roman"/>
            <w:color w:val="0000FF"/>
            <w:sz w:val="24"/>
            <w:szCs w:val="24"/>
            <w:u w:val="single"/>
          </w:rPr>
          <w:t>https://doi.org/10.1007/s00406-011-0224-4</w:t>
        </w:r>
      </w:hyperlink>
    </w:p>
    <w:p w14:paraId="72E3BC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Reuter, B., &amp; Kathmann, N. (2004). Using saccade tasks as a tool to analyze executive dysfunctions in schizophrenia. </w:t>
      </w:r>
      <w:r w:rsidRPr="001768F9">
        <w:rPr>
          <w:rFonts w:ascii="Times New Roman" w:eastAsia="Times New Roman" w:hAnsi="Times New Roman" w:cs="Times New Roman"/>
          <w:i/>
          <w:iCs/>
          <w:sz w:val="24"/>
          <w:szCs w:val="24"/>
        </w:rPr>
        <w:t>Acta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115</w:t>
      </w:r>
      <w:r w:rsidRPr="001768F9">
        <w:rPr>
          <w:rFonts w:ascii="Times New Roman" w:eastAsia="Times New Roman" w:hAnsi="Times New Roman" w:cs="Times New Roman"/>
          <w:sz w:val="24"/>
          <w:szCs w:val="24"/>
        </w:rPr>
        <w:t xml:space="preserve">(2–3), 255–269. </w:t>
      </w:r>
      <w:hyperlink r:id="rId4767" w:history="1">
        <w:r w:rsidRPr="001768F9">
          <w:rPr>
            <w:rFonts w:ascii="Times New Roman" w:eastAsia="Times New Roman" w:hAnsi="Times New Roman" w:cs="Times New Roman"/>
            <w:color w:val="0000FF"/>
            <w:sz w:val="24"/>
            <w:szCs w:val="24"/>
            <w:u w:val="single"/>
          </w:rPr>
          <w:t>https://doi.org/10.1016/j.actpsy.2003.12.009</w:t>
        </w:r>
      </w:hyperlink>
    </w:p>
    <w:p w14:paraId="25B9F18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Reuter-Lorenz, P. A., Persson, J., &amp; Flegal, K. E. (2011). Cognitive neuroscience of the aging mind and brain. </w:t>
      </w:r>
      <w:r w:rsidRPr="001768F9">
        <w:rPr>
          <w:rFonts w:ascii="Times New Roman" w:eastAsia="Times New Roman" w:hAnsi="Times New Roman" w:cs="Times New Roman"/>
          <w:i/>
          <w:iCs/>
          <w:sz w:val="24"/>
          <w:szCs w:val="24"/>
        </w:rPr>
        <w:t>Handbook of Life-Span Development.</w:t>
      </w:r>
      <w:r w:rsidRPr="001768F9">
        <w:rPr>
          <w:rFonts w:ascii="Times New Roman" w:eastAsia="Times New Roman" w:hAnsi="Times New Roman" w:cs="Times New Roman"/>
          <w:sz w:val="24"/>
          <w:szCs w:val="24"/>
        </w:rPr>
        <w:t>, 387–406.</w:t>
      </w:r>
    </w:p>
    <w:p w14:paraId="697412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 G. J., Feldman, E., Rivas-Vazquez, R., Levin, B. E., &amp; Benton, A. (1999). Neuropsychological test development and normative data on Hispanics.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(7), 593–601. </w:t>
      </w:r>
      <w:hyperlink r:id="rId4768" w:history="1">
        <w:r w:rsidRPr="001768F9">
          <w:rPr>
            <w:rFonts w:ascii="Times New Roman" w:eastAsia="Times New Roman" w:hAnsi="Times New Roman" w:cs="Times New Roman"/>
            <w:color w:val="0000FF"/>
            <w:sz w:val="24"/>
            <w:szCs w:val="24"/>
            <w:u w:val="single"/>
          </w:rPr>
          <w:t>https://doi.org/10.1016/S0887-6177(99)00008-6</w:t>
        </w:r>
      </w:hyperlink>
    </w:p>
    <w:p w14:paraId="24F96A4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Reyes, P., Ortega-Merchan, M. P., Rueda, A., Uriza, F., Santamaria-García, H., Rojas-Serrano, N., Rodriguez-Santos, J., Velasco-Leon, M. C., Rodriguez-Parra, J. D., Mora-Diaz, D. E., &amp; Matallana, D. (2018). Functional connectivity changes in behavioral, semantic, and nonfluent variants of frontotemporal dementia. </w:t>
      </w:r>
      <w:r w:rsidRPr="001768F9">
        <w:rPr>
          <w:rFonts w:ascii="Times New Roman" w:eastAsia="Times New Roman" w:hAnsi="Times New Roman" w:cs="Times New Roman"/>
          <w:i/>
          <w:iCs/>
          <w:sz w:val="24"/>
          <w:szCs w:val="24"/>
        </w:rPr>
        <w:t>Behavioural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2018</w:t>
      </w:r>
      <w:r w:rsidRPr="001768F9">
        <w:rPr>
          <w:rFonts w:ascii="Times New Roman" w:eastAsia="Times New Roman" w:hAnsi="Times New Roman" w:cs="Times New Roman"/>
          <w:sz w:val="24"/>
          <w:szCs w:val="24"/>
        </w:rPr>
        <w:t xml:space="preserve">. </w:t>
      </w:r>
      <w:hyperlink r:id="rId4769" w:history="1">
        <w:r w:rsidRPr="001768F9">
          <w:rPr>
            <w:rFonts w:ascii="Times New Roman" w:eastAsia="Times New Roman" w:hAnsi="Times New Roman" w:cs="Times New Roman"/>
            <w:color w:val="0000FF"/>
            <w:sz w:val="24"/>
            <w:szCs w:val="24"/>
            <w:u w:val="single"/>
          </w:rPr>
          <w:t>https://doi.org/10.1155/2018/9684129</w:t>
        </w:r>
      </w:hyperlink>
    </w:p>
    <w:p w14:paraId="0F6E9CE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Reynolds, B. W., Basso, M. R., Miller, A. K., Whiteside, D. M., &amp; Combs, D. (2019). Executive function, impulsivity, and risky behaviors in young adults.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(2), 212–221. </w:t>
      </w:r>
      <w:hyperlink r:id="rId4770" w:history="1">
        <w:r w:rsidRPr="001768F9">
          <w:rPr>
            <w:rFonts w:ascii="Times New Roman" w:eastAsia="Times New Roman" w:hAnsi="Times New Roman" w:cs="Times New Roman"/>
            <w:color w:val="0000FF"/>
            <w:sz w:val="24"/>
            <w:szCs w:val="24"/>
            <w:u w:val="single"/>
          </w:rPr>
          <w:t>https://doi.org/10.1037/neu0000510</w:t>
        </w:r>
      </w:hyperlink>
    </w:p>
    <w:p w14:paraId="218525F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Reynolds, C. R., &amp; Milam, D. A. (2012). Challenging intellectual testing results. In </w:t>
      </w:r>
      <w:r w:rsidRPr="001768F9">
        <w:rPr>
          <w:rFonts w:ascii="Times New Roman" w:eastAsia="Times New Roman" w:hAnsi="Times New Roman" w:cs="Times New Roman"/>
          <w:i/>
          <w:iCs/>
          <w:sz w:val="24"/>
          <w:szCs w:val="24"/>
        </w:rPr>
        <w:t>Coping with psychiatric and psychological testimony: Based on the original work by Jay Ziskin, 6th ed.</w:t>
      </w:r>
      <w:r w:rsidRPr="001768F9">
        <w:rPr>
          <w:rFonts w:ascii="Times New Roman" w:eastAsia="Times New Roman" w:hAnsi="Times New Roman" w:cs="Times New Roman"/>
          <w:sz w:val="24"/>
          <w:szCs w:val="24"/>
        </w:rPr>
        <w:t xml:space="preserve"> (pp. 311–334). Oxford University Press. </w:t>
      </w:r>
      <w:hyperlink r:id="rId4771" w:history="1">
        <w:r w:rsidRPr="001768F9">
          <w:rPr>
            <w:rFonts w:ascii="Times New Roman" w:eastAsia="Times New Roman" w:hAnsi="Times New Roman" w:cs="Times New Roman"/>
            <w:color w:val="0000FF"/>
            <w:sz w:val="24"/>
            <w:szCs w:val="24"/>
            <w:u w:val="single"/>
          </w:rPr>
          <w:t>https://doi.org/10.1093/med:psych/9780195174113.003.0016</w:t>
        </w:r>
      </w:hyperlink>
    </w:p>
    <w:p w14:paraId="0C0EB12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Reynolds III, C. F., Butters, M. A., Lopez, O., Pollock, B. G., Dew, M. A., Mulsant, B. H., Lenze, E. J., Holm, M., Rogers, J. C., Mazumdar, S., Houck, P. R., Begley, A., Anderson, S., Karp, J. F., Miller, M. D., Whyte, E. M., Stack, J., Gildengers, A., Szanto, K., … DeKosky, S. T. (2011). Maintenance treatment of depression in old age: A randomized, double-blind, placebo-controlled evaluation of the efficacy and safety of donepezil combined with antidepressant pharmacotherapy. </w:t>
      </w:r>
      <w:r w:rsidRPr="001768F9">
        <w:rPr>
          <w:rFonts w:ascii="Times New Roman" w:eastAsia="Times New Roman" w:hAnsi="Times New Roman" w:cs="Times New Roman"/>
          <w:i/>
          <w:iCs/>
          <w:sz w:val="24"/>
          <w:szCs w:val="24"/>
        </w:rPr>
        <w:t>Archives of General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(1), 51–60. </w:t>
      </w:r>
      <w:hyperlink r:id="rId4772" w:history="1">
        <w:r w:rsidRPr="001768F9">
          <w:rPr>
            <w:rFonts w:ascii="Times New Roman" w:eastAsia="Times New Roman" w:hAnsi="Times New Roman" w:cs="Times New Roman"/>
            <w:color w:val="0000FF"/>
            <w:sz w:val="24"/>
            <w:szCs w:val="24"/>
            <w:u w:val="single"/>
          </w:rPr>
          <w:t>https://doi.org/10.1001/archgenpsychiatry.2010.184</w:t>
        </w:r>
      </w:hyperlink>
    </w:p>
    <w:p w14:paraId="2AAFDE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Rezaei, F., Hosseini Ramaghani, N. A., &amp; Fazio, R. L. (2017). The effect of a third party observer and trait anxiety on neuropsychological performance: The Attentional Control Theory (ACT) perspective.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632–643. </w:t>
      </w:r>
      <w:hyperlink r:id="rId4773" w:history="1">
        <w:r w:rsidRPr="001768F9">
          <w:rPr>
            <w:rFonts w:ascii="Times New Roman" w:eastAsia="Times New Roman" w:hAnsi="Times New Roman" w:cs="Times New Roman"/>
            <w:color w:val="0000FF"/>
            <w:sz w:val="24"/>
            <w:szCs w:val="24"/>
            <w:u w:val="single"/>
          </w:rPr>
          <w:t>https://doi.org/10.1080/13854046.2016.1266031</w:t>
        </w:r>
      </w:hyperlink>
    </w:p>
    <w:p w14:paraId="37F85F9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Rezai, K., Andreasen, N. C., Alliger, R., Cohen, G., Swayze, V., &amp; O’Leary, D. S. (1993). The neuropsychology of the prefrontal cortex. </w:t>
      </w:r>
      <w:r w:rsidRPr="001768F9">
        <w:rPr>
          <w:rFonts w:ascii="Times New Roman" w:eastAsia="Times New Roman" w:hAnsi="Times New Roman" w:cs="Times New Roman"/>
          <w:i/>
          <w:iCs/>
          <w:sz w:val="24"/>
          <w:szCs w:val="24"/>
        </w:rPr>
        <w:t>Archives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(6), 636–642. </w:t>
      </w:r>
      <w:hyperlink r:id="rId4774" w:history="1">
        <w:r w:rsidRPr="001768F9">
          <w:rPr>
            <w:rFonts w:ascii="Times New Roman" w:eastAsia="Times New Roman" w:hAnsi="Times New Roman" w:cs="Times New Roman"/>
            <w:color w:val="0000FF"/>
            <w:sz w:val="24"/>
            <w:szCs w:val="24"/>
            <w:u w:val="single"/>
          </w:rPr>
          <w:t>https://doi.org/10.1001/archneur.1993.00540060066020</w:t>
        </w:r>
      </w:hyperlink>
    </w:p>
    <w:p w14:paraId="4E791F4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Rhinewine, J. P., Lencz, T., Thaden, E. P., Cervellione, K. L., Burdick, K. E., Henderson, I., Bhaskar, S., Keehlisen, L., Kane, J., Kohn, N., Fisch, G. S., Bilder, R. M., &amp; Kumra, S. (2005). Neurocognitive profile in adolescents with early-onset schizophrenia: Clinical correlates.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58</w:t>
      </w:r>
      <w:r w:rsidRPr="001768F9">
        <w:rPr>
          <w:rFonts w:ascii="Times New Roman" w:eastAsia="Times New Roman" w:hAnsi="Times New Roman" w:cs="Times New Roman"/>
          <w:sz w:val="24"/>
          <w:szCs w:val="24"/>
        </w:rPr>
        <w:t xml:space="preserve">(9), 705–712. </w:t>
      </w:r>
      <w:hyperlink r:id="rId4775" w:history="1">
        <w:r w:rsidRPr="001768F9">
          <w:rPr>
            <w:rFonts w:ascii="Times New Roman" w:eastAsia="Times New Roman" w:hAnsi="Times New Roman" w:cs="Times New Roman"/>
            <w:color w:val="0000FF"/>
            <w:sz w:val="24"/>
            <w:szCs w:val="24"/>
            <w:u w:val="single"/>
          </w:rPr>
          <w:t>https://doi.org/10.1016/j.biopsych.2005.04.031</w:t>
        </w:r>
      </w:hyperlink>
    </w:p>
    <w:p w14:paraId="17B2537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Rhodes, M. G. (2004). Age-Related Differences in Performance on the Wisconsin Card Sorting Test: A Meta-Analytic Review. </w:t>
      </w:r>
      <w:r w:rsidRPr="001768F9">
        <w:rPr>
          <w:rFonts w:ascii="Times New Roman" w:eastAsia="Times New Roman" w:hAnsi="Times New Roman" w:cs="Times New Roman"/>
          <w:i/>
          <w:iCs/>
          <w:sz w:val="24"/>
          <w:szCs w:val="24"/>
        </w:rPr>
        <w:t>Psychology and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(3), 482–494. </w:t>
      </w:r>
      <w:hyperlink r:id="rId4776" w:history="1">
        <w:r w:rsidRPr="001768F9">
          <w:rPr>
            <w:rFonts w:ascii="Times New Roman" w:eastAsia="Times New Roman" w:hAnsi="Times New Roman" w:cs="Times New Roman"/>
            <w:color w:val="0000FF"/>
            <w:sz w:val="24"/>
            <w:szCs w:val="24"/>
            <w:u w:val="single"/>
          </w:rPr>
          <w:t>https://doi.org/10.1037/0882-7974.19.3.482</w:t>
        </w:r>
      </w:hyperlink>
    </w:p>
    <w:p w14:paraId="2F39DB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Rhodes, M. G., &amp; Kelley, C. M. (2005). Executive processes, memory accuracy, and memory monitoring: An aging and individual difference analysis. </w:t>
      </w:r>
      <w:r w:rsidRPr="001768F9">
        <w:rPr>
          <w:rFonts w:ascii="Times New Roman" w:eastAsia="Times New Roman" w:hAnsi="Times New Roman" w:cs="Times New Roman"/>
          <w:i/>
          <w:iCs/>
          <w:sz w:val="24"/>
          <w:szCs w:val="24"/>
        </w:rPr>
        <w:t>Journal of Memory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(4), 578–594. </w:t>
      </w:r>
      <w:hyperlink r:id="rId4777" w:history="1">
        <w:r w:rsidRPr="001768F9">
          <w:rPr>
            <w:rFonts w:ascii="Times New Roman" w:eastAsia="Times New Roman" w:hAnsi="Times New Roman" w:cs="Times New Roman"/>
            <w:color w:val="0000FF"/>
            <w:sz w:val="24"/>
            <w:szCs w:val="24"/>
            <w:u w:val="single"/>
          </w:rPr>
          <w:t>https://doi.org/10.1016/j.jml.2005.01.014</w:t>
        </w:r>
      </w:hyperlink>
    </w:p>
    <w:p w14:paraId="59951FC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Riadh, O., Naoufel, O., Rejeb, M. R. B., &amp; Le Gall, D. (2019). Neuro-cognitive correlates of alexithymia in patients with circumscribed prefrontal cortex damage.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135</w:t>
      </w:r>
      <w:r w:rsidRPr="001768F9">
        <w:rPr>
          <w:rFonts w:ascii="Times New Roman" w:eastAsia="Times New Roman" w:hAnsi="Times New Roman" w:cs="Times New Roman"/>
          <w:sz w:val="24"/>
          <w:szCs w:val="24"/>
        </w:rPr>
        <w:t xml:space="preserve">. </w:t>
      </w:r>
      <w:hyperlink r:id="rId4778" w:history="1">
        <w:r w:rsidRPr="001768F9">
          <w:rPr>
            <w:rFonts w:ascii="Times New Roman" w:eastAsia="Times New Roman" w:hAnsi="Times New Roman" w:cs="Times New Roman"/>
            <w:color w:val="0000FF"/>
            <w:sz w:val="24"/>
            <w:szCs w:val="24"/>
            <w:u w:val="single"/>
          </w:rPr>
          <w:t>https://doi.org/10.1016/j.neuropsychologia.2019.107228</w:t>
        </w:r>
      </w:hyperlink>
    </w:p>
    <w:p w14:paraId="48F09C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Ribeiro, F. S., &amp; Santos, F. H. (2017). Enhancement of numeric cognition in children with low achievement in mathematic after a non-instrumental musical training. </w:t>
      </w:r>
      <w:r w:rsidRPr="001768F9">
        <w:rPr>
          <w:rFonts w:ascii="Times New Roman" w:eastAsia="Times New Roman" w:hAnsi="Times New Roman" w:cs="Times New Roman"/>
          <w:i/>
          <w:iCs/>
          <w:sz w:val="24"/>
          <w:szCs w:val="24"/>
        </w:rPr>
        <w:t>Research in Developmental Disabilities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62</w:t>
      </w:r>
      <w:r w:rsidRPr="001768F9">
        <w:rPr>
          <w:rFonts w:ascii="Times New Roman" w:eastAsia="Times New Roman" w:hAnsi="Times New Roman" w:cs="Times New Roman"/>
          <w:sz w:val="24"/>
          <w:szCs w:val="24"/>
        </w:rPr>
        <w:t xml:space="preserve">, 26–39. </w:t>
      </w:r>
      <w:hyperlink r:id="rId4779" w:history="1">
        <w:r w:rsidRPr="001768F9">
          <w:rPr>
            <w:rFonts w:ascii="Times New Roman" w:eastAsia="Times New Roman" w:hAnsi="Times New Roman" w:cs="Times New Roman"/>
            <w:color w:val="0000FF"/>
            <w:sz w:val="24"/>
            <w:szCs w:val="24"/>
            <w:u w:val="single"/>
          </w:rPr>
          <w:t>https://doi.org/10.1016/j.ridd.2016.11.008</w:t>
        </w:r>
      </w:hyperlink>
    </w:p>
    <w:p w14:paraId="51A4AC3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Ribeiro, F. S., Tonoli, M. C., Ribeiro, D. P. de S. A., &amp; Santos, F. H. D. (2017). Numeracy deficits scrutinized: Evidences of primary developmental dyscalculia. </w:t>
      </w:r>
      <w:r w:rsidRPr="001768F9">
        <w:rPr>
          <w:rFonts w:ascii="Times New Roman" w:eastAsia="Times New Roman" w:hAnsi="Times New Roman" w:cs="Times New Roman"/>
          <w:i/>
          <w:iCs/>
          <w:sz w:val="24"/>
          <w:szCs w:val="24"/>
        </w:rPr>
        <w:t>Psychology &amp;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189–200. </w:t>
      </w:r>
      <w:hyperlink r:id="rId4780" w:history="1">
        <w:r w:rsidRPr="001768F9">
          <w:rPr>
            <w:rFonts w:ascii="Times New Roman" w:eastAsia="Times New Roman" w:hAnsi="Times New Roman" w:cs="Times New Roman"/>
            <w:color w:val="0000FF"/>
            <w:sz w:val="24"/>
            <w:szCs w:val="24"/>
            <w:u w:val="single"/>
          </w:rPr>
          <w:t>https://doi.org/10.1037/pne0000082</w:t>
        </w:r>
      </w:hyperlink>
    </w:p>
    <w:p w14:paraId="356E83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Ribeiro-Santos, R., Teixeira, A. L., &amp; Salgado, J. V. (2014). Evidence for an immune role on cognition in schizophrenia: A systematic review. </w:t>
      </w:r>
      <w:r w:rsidRPr="001768F9">
        <w:rPr>
          <w:rFonts w:ascii="Times New Roman" w:eastAsia="Times New Roman" w:hAnsi="Times New Roman" w:cs="Times New Roman"/>
          <w:i/>
          <w:iCs/>
          <w:sz w:val="24"/>
          <w:szCs w:val="24"/>
        </w:rPr>
        <w:t>Current Neuropharmacology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(3), 273–280. </w:t>
      </w:r>
      <w:hyperlink r:id="rId4781" w:history="1">
        <w:r w:rsidRPr="001768F9">
          <w:rPr>
            <w:rFonts w:ascii="Times New Roman" w:eastAsia="Times New Roman" w:hAnsi="Times New Roman" w:cs="Times New Roman"/>
            <w:color w:val="0000FF"/>
            <w:sz w:val="24"/>
            <w:szCs w:val="24"/>
            <w:u w:val="single"/>
          </w:rPr>
          <w:t>https://doi.org/10.2174/1570159X1203140511160832</w:t>
        </w:r>
      </w:hyperlink>
    </w:p>
    <w:p w14:paraId="6BBBA6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Ribeiz, S. R. I., Bassitt, D. P., Arrais, J. A., Avila, R., Steffens, D. C., &amp; Bottino, C. M. C. (2010). Cholinesterase inhibitors as adjunctive therapy in patients with schizophrenia and schizoaffective disorder: A review and meta-analysis of the literature. </w:t>
      </w:r>
      <w:r w:rsidRPr="001768F9">
        <w:rPr>
          <w:rFonts w:ascii="Times New Roman" w:eastAsia="Times New Roman" w:hAnsi="Times New Roman" w:cs="Times New Roman"/>
          <w:i/>
          <w:iCs/>
          <w:sz w:val="24"/>
          <w:szCs w:val="24"/>
        </w:rPr>
        <w:t>CNS Drugs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303–317. </w:t>
      </w:r>
      <w:hyperlink r:id="rId4782" w:history="1">
        <w:r w:rsidRPr="001768F9">
          <w:rPr>
            <w:rFonts w:ascii="Times New Roman" w:eastAsia="Times New Roman" w:hAnsi="Times New Roman" w:cs="Times New Roman"/>
            <w:color w:val="0000FF"/>
            <w:sz w:val="24"/>
            <w:szCs w:val="24"/>
            <w:u w:val="single"/>
          </w:rPr>
          <w:t>https://doi.org/10.2165/11530260-000000000-00000</w:t>
        </w:r>
      </w:hyperlink>
    </w:p>
    <w:p w14:paraId="18FAE9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Riccaboni, R., Fresi, F., Bosia, M., Buonocore, M., Leiba, N., Smeraldi, E., &amp; Cavallaro, R. (2012). Patterns of evidence integration in schizophrenia and delusion.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200</w:t>
      </w:r>
      <w:r w:rsidRPr="001768F9">
        <w:rPr>
          <w:rFonts w:ascii="Times New Roman" w:eastAsia="Times New Roman" w:hAnsi="Times New Roman" w:cs="Times New Roman"/>
          <w:sz w:val="24"/>
          <w:szCs w:val="24"/>
        </w:rPr>
        <w:t xml:space="preserve">(2–3), 108–114. </w:t>
      </w:r>
      <w:hyperlink r:id="rId4783" w:history="1">
        <w:r w:rsidRPr="001768F9">
          <w:rPr>
            <w:rFonts w:ascii="Times New Roman" w:eastAsia="Times New Roman" w:hAnsi="Times New Roman" w:cs="Times New Roman"/>
            <w:color w:val="0000FF"/>
            <w:sz w:val="24"/>
            <w:szCs w:val="24"/>
            <w:u w:val="single"/>
          </w:rPr>
          <w:t>https://doi.org/10.1016/j.psychres.2012.04.005</w:t>
        </w:r>
      </w:hyperlink>
    </w:p>
    <w:p w14:paraId="6CEEFE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Riccardi, I., Carcione, A., D’Arcangelo, M., Rossi, R., Dimaggio, G., Lysaker, P. H., &amp; Stratta, P. (2016). Empathic and cognitive processing in people with schizophrenia: A study on an Italian sample. </w:t>
      </w:r>
      <w:r w:rsidRPr="001768F9">
        <w:rPr>
          <w:rFonts w:ascii="Times New Roman" w:eastAsia="Times New Roman" w:hAnsi="Times New Roman" w:cs="Times New Roman"/>
          <w:i/>
          <w:iCs/>
          <w:sz w:val="24"/>
          <w:szCs w:val="24"/>
        </w:rPr>
        <w:t>Journal of Psychopathology / Giornale Di Psicopatologia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(2), 127–134.</w:t>
      </w:r>
    </w:p>
    <w:p w14:paraId="279517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Ricciardi, L., Piano, C., Bentivoglio, A. R., &amp; Fasano, A. (2015). Pedunculopontine nucleus stimulation in Parkinson’s disease dementia.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(8), e35–e40. </w:t>
      </w:r>
      <w:hyperlink r:id="rId4784" w:history="1">
        <w:r w:rsidRPr="001768F9">
          <w:rPr>
            <w:rFonts w:ascii="Times New Roman" w:eastAsia="Times New Roman" w:hAnsi="Times New Roman" w:cs="Times New Roman"/>
            <w:color w:val="0000FF"/>
            <w:sz w:val="24"/>
            <w:szCs w:val="24"/>
            <w:u w:val="single"/>
          </w:rPr>
          <w:t>https://doi.org/10.1016/j.biopsych.2014.07.027</w:t>
        </w:r>
      </w:hyperlink>
    </w:p>
    <w:p w14:paraId="1DB6877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A., Schettini, F., Simione, L., Pizzimenti, A., Inghilleri, M., Olivetti-Belardinelli, M., Mattia, D., &amp; Cincotti, F. (2018). On the relationship between attention processing and P300-based brain computer interface control in amyotrophic lateral sclerosis.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 </w:t>
      </w:r>
      <w:hyperlink r:id="rId4785" w:history="1">
        <w:r w:rsidRPr="001768F9">
          <w:rPr>
            <w:rFonts w:ascii="Times New Roman" w:eastAsia="Times New Roman" w:hAnsi="Times New Roman" w:cs="Times New Roman"/>
            <w:color w:val="0000FF"/>
            <w:sz w:val="24"/>
            <w:szCs w:val="24"/>
            <w:u w:val="single"/>
          </w:rPr>
          <w:t>https://doi.org/10.3389/fnhum.2018.00165</w:t>
        </w:r>
      </w:hyperlink>
    </w:p>
    <w:p w14:paraId="7E77E65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Hall, J., Morgan, A., Hynd, G. W., Gonzalez, J. J., &amp; Marshall, R. M. (1994). Executive function and the Wisconsin Card Sorting Test: Relationship with behavioral ratings and cognitive ability. </w:t>
      </w:r>
      <w:r w:rsidRPr="001768F9">
        <w:rPr>
          <w:rFonts w:ascii="Times New Roman" w:eastAsia="Times New Roman" w:hAnsi="Times New Roman" w:cs="Times New Roman"/>
          <w:i/>
          <w:iCs/>
          <w:sz w:val="24"/>
          <w:szCs w:val="24"/>
        </w:rPr>
        <w:t>Developmental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(3), 215–229. </w:t>
      </w:r>
      <w:hyperlink r:id="rId4786" w:history="1">
        <w:r w:rsidRPr="001768F9">
          <w:rPr>
            <w:rFonts w:ascii="Times New Roman" w:eastAsia="Times New Roman" w:hAnsi="Times New Roman" w:cs="Times New Roman"/>
            <w:color w:val="0000FF"/>
            <w:sz w:val="24"/>
            <w:szCs w:val="24"/>
            <w:u w:val="single"/>
          </w:rPr>
          <w:t>https://doi.org/10.1080/87565649409540580</w:t>
        </w:r>
      </w:hyperlink>
    </w:p>
    <w:p w14:paraId="58CCE9C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 &amp; Hewitt, L. L. B., Jamilia J. (2011). Relation of measures of executive function to aggressive behavior in children. : </w:t>
      </w:r>
      <w:r w:rsidRPr="001768F9">
        <w:rPr>
          <w:rFonts w:ascii="Times New Roman" w:eastAsia="Times New Roman" w:hAnsi="Times New Roman" w:cs="Times New Roman"/>
          <w:i/>
          <w:iCs/>
          <w:sz w:val="24"/>
          <w:szCs w:val="24"/>
        </w:rPr>
        <w:t>: 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(1), 1–10.</w:t>
      </w:r>
    </w:p>
    <w:p w14:paraId="4831647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Homack, S., Jarratt, K. P., &amp; Wolfe, M. E. (2006). Differences in academic and executive function domains among children with ADHD Predominantly Inattentive and Combined Types.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(7), 657–667. </w:t>
      </w:r>
      <w:hyperlink r:id="rId4787" w:history="1">
        <w:r w:rsidRPr="001768F9">
          <w:rPr>
            <w:rFonts w:ascii="Times New Roman" w:eastAsia="Times New Roman" w:hAnsi="Times New Roman" w:cs="Times New Roman"/>
            <w:color w:val="0000FF"/>
            <w:sz w:val="24"/>
            <w:szCs w:val="24"/>
            <w:u w:val="single"/>
          </w:rPr>
          <w:t>https://doi.org/10.1016/j.acn.2006.05.010</w:t>
        </w:r>
      </w:hyperlink>
    </w:p>
    <w:p w14:paraId="29E7F5A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Pliego, J. A., Cohen, M. J., &amp; Park, Y. (2015). Executive function performance for children with epilepsy localized to the frontal or temporal lobes.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w:t>
      </w:r>
      <w:r w:rsidRPr="001768F9">
        <w:rPr>
          <w:rFonts w:ascii="Times New Roman" w:eastAsia="Times New Roman" w:hAnsi="Times New Roman" w:cs="Times New Roman"/>
          <w:sz w:val="24"/>
          <w:szCs w:val="24"/>
        </w:rPr>
        <w:t xml:space="preserve">(4), 277–284. </w:t>
      </w:r>
      <w:hyperlink r:id="rId4788" w:history="1">
        <w:r w:rsidRPr="001768F9">
          <w:rPr>
            <w:rFonts w:ascii="Times New Roman" w:eastAsia="Times New Roman" w:hAnsi="Times New Roman" w:cs="Times New Roman"/>
            <w:color w:val="0000FF"/>
            <w:sz w:val="24"/>
            <w:szCs w:val="24"/>
            <w:u w:val="single"/>
          </w:rPr>
          <w:t>https://doi.org/10.1080/21622965.2014.923774</w:t>
        </w:r>
      </w:hyperlink>
    </w:p>
    <w:p w14:paraId="42C812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Vidrine, S. M., Cohen, M. J., Acosta-Cotte, D., &amp; Park, Y. (2017). Neurocognitive and behavioral profiles of children with Landau-Kleffner syndrome. </w:t>
      </w:r>
      <w:r w:rsidRPr="001768F9">
        <w:rPr>
          <w:rFonts w:ascii="Times New Roman" w:eastAsia="Times New Roman" w:hAnsi="Times New Roman" w:cs="Times New Roman"/>
          <w:i/>
          <w:iCs/>
          <w:sz w:val="24"/>
          <w:szCs w:val="24"/>
        </w:rPr>
        <w:t>Applied Neuropsychology: Child</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(4), 345–354. </w:t>
      </w:r>
      <w:hyperlink r:id="rId4789" w:history="1">
        <w:r w:rsidRPr="001768F9">
          <w:rPr>
            <w:rFonts w:ascii="Times New Roman" w:eastAsia="Times New Roman" w:hAnsi="Times New Roman" w:cs="Times New Roman"/>
            <w:color w:val="0000FF"/>
            <w:sz w:val="24"/>
            <w:szCs w:val="24"/>
            <w:u w:val="single"/>
          </w:rPr>
          <w:t>https://doi.org/10.1080/21622965.2016.1197127</w:t>
        </w:r>
      </w:hyperlink>
    </w:p>
    <w:p w14:paraId="1075359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Wolfe, M., Davis, B., Romine, C., George, C., &amp; Lee, D. (2005). Attention Deficit Hyperactivity Disorder: Manifestation in adulthood.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249–269. </w:t>
      </w:r>
      <w:hyperlink r:id="rId4790" w:history="1">
        <w:r w:rsidRPr="001768F9">
          <w:rPr>
            <w:rFonts w:ascii="Times New Roman" w:eastAsia="Times New Roman" w:hAnsi="Times New Roman" w:cs="Times New Roman"/>
            <w:color w:val="0000FF"/>
            <w:sz w:val="24"/>
            <w:szCs w:val="24"/>
            <w:u w:val="single"/>
          </w:rPr>
          <w:t>https://doi.org/10.1016/j.acn.2004.07.005</w:t>
        </w:r>
      </w:hyperlink>
    </w:p>
    <w:p w14:paraId="7B9546A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C. A., Wolfe, M. E., Romine, C., Davis, B., &amp; Sullivan, J. R. (2004). The Tower of London and neuropsychological assessment of ADHD in adults.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(5), 661–671. </w:t>
      </w:r>
      <w:hyperlink r:id="rId4791" w:history="1">
        <w:r w:rsidRPr="001768F9">
          <w:rPr>
            <w:rFonts w:ascii="Times New Roman" w:eastAsia="Times New Roman" w:hAnsi="Times New Roman" w:cs="Times New Roman"/>
            <w:color w:val="0000FF"/>
            <w:sz w:val="24"/>
            <w:szCs w:val="24"/>
            <w:u w:val="single"/>
          </w:rPr>
          <w:t>https://doi.org/10.1016/j.acn.2003.09.001</w:t>
        </w:r>
      </w:hyperlink>
    </w:p>
    <w:p w14:paraId="28C4775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Riccio, M. P., Pastorino, G., Poggi, V., Mazio, F., Di Paolo, N., D’Amico, A., Cuccurullo, R., Parasole, R., Aloj, G., &amp; Bravaccio, C. (2016). Effetti della radioterapia craniale e della chemioterapia sistemica e intratecale sulle funzioni cognitive ed esecutive in bambini, adolescenti e giovani adulti lungo sopravviventi dopo leucemia linfoblastica acuta diagnosticata in età pediatrica. [Effect. </w:t>
      </w:r>
      <w:r w:rsidRPr="001768F9">
        <w:rPr>
          <w:rFonts w:ascii="Times New Roman" w:eastAsia="Times New Roman" w:hAnsi="Times New Roman" w:cs="Times New Roman"/>
          <w:i/>
          <w:iCs/>
          <w:sz w:val="24"/>
          <w:szCs w:val="24"/>
        </w:rPr>
        <w:t>Giornale Di Neuropsichiatria Dell’Età Evolutiva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(1), 1–13.</w:t>
      </w:r>
    </w:p>
    <w:p w14:paraId="14233C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Rice, J., Correia, A. F., &amp; Schutte, E. (2014). Attention and concentration functions in HIV-positive adolescents who are on anti-retroviral treatment. </w:t>
      </w:r>
      <w:r w:rsidRPr="001768F9">
        <w:rPr>
          <w:rFonts w:ascii="Times New Roman" w:eastAsia="Times New Roman" w:hAnsi="Times New Roman" w:cs="Times New Roman"/>
          <w:i/>
          <w:iCs/>
          <w:sz w:val="24"/>
          <w:szCs w:val="24"/>
        </w:rPr>
        <w:t>South African Journal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(4), 467–482. </w:t>
      </w:r>
      <w:hyperlink r:id="rId4792" w:history="1">
        <w:r w:rsidRPr="001768F9">
          <w:rPr>
            <w:rFonts w:ascii="Times New Roman" w:eastAsia="Times New Roman" w:hAnsi="Times New Roman" w:cs="Times New Roman"/>
            <w:color w:val="0000FF"/>
            <w:sz w:val="24"/>
            <w:szCs w:val="24"/>
            <w:u w:val="single"/>
          </w:rPr>
          <w:t>https://doi.org/10.1177/0081246314540141</w:t>
        </w:r>
      </w:hyperlink>
    </w:p>
    <w:p w14:paraId="26D1995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Richard-Devantoy, S., Berlim, M. T., &amp; Jollant, F. (2014). A meta-analysis of neuropsychological markers of vulnerability to suicidal behavior in mood disorders.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(8), 1663–1673. </w:t>
      </w:r>
      <w:hyperlink r:id="rId4793" w:history="1">
        <w:r w:rsidRPr="001768F9">
          <w:rPr>
            <w:rFonts w:ascii="Times New Roman" w:eastAsia="Times New Roman" w:hAnsi="Times New Roman" w:cs="Times New Roman"/>
            <w:color w:val="0000FF"/>
            <w:sz w:val="24"/>
            <w:szCs w:val="24"/>
            <w:u w:val="single"/>
          </w:rPr>
          <w:t>https://doi.org/10.1017/S0033291713002304</w:t>
        </w:r>
      </w:hyperlink>
    </w:p>
    <w:p w14:paraId="51F512A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Richard-Devantoy, S., Orsat, M., Dumais, A., Turecki, G., &amp; Jollant, F. (2014). Neurocognitive vulnerability: Suicidal and homicidal behaviours in patients with schizophrenia. </w:t>
      </w:r>
      <w:r w:rsidRPr="001768F9">
        <w:rPr>
          <w:rFonts w:ascii="Times New Roman" w:eastAsia="Times New Roman" w:hAnsi="Times New Roman" w:cs="Times New Roman"/>
          <w:i/>
          <w:iCs/>
          <w:sz w:val="24"/>
          <w:szCs w:val="24"/>
        </w:rPr>
        <w:t>The Canadian Journal of Psychiatry / La Revue Canadienne de Psychiatrie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(1), 18–25.</w:t>
      </w:r>
    </w:p>
    <w:p w14:paraId="41D934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Richardson, C., Anderson, M., Reid, C. L., &amp; Fox, A. M. (2011). Neural indicators of error processing and intraindividual variability in reaction time in 7 and 9 year-olds. </w:t>
      </w:r>
      <w:r w:rsidRPr="001768F9">
        <w:rPr>
          <w:rFonts w:ascii="Times New Roman" w:eastAsia="Times New Roman" w:hAnsi="Times New Roman" w:cs="Times New Roman"/>
          <w:i/>
          <w:iCs/>
          <w:sz w:val="24"/>
          <w:szCs w:val="24"/>
        </w:rPr>
        <w:t>Developmental 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(3), 256–265. </w:t>
      </w:r>
      <w:hyperlink r:id="rId4794" w:history="1">
        <w:r w:rsidRPr="001768F9">
          <w:rPr>
            <w:rFonts w:ascii="Times New Roman" w:eastAsia="Times New Roman" w:hAnsi="Times New Roman" w:cs="Times New Roman"/>
            <w:color w:val="0000FF"/>
            <w:sz w:val="24"/>
            <w:szCs w:val="24"/>
            <w:u w:val="single"/>
          </w:rPr>
          <w:t>https://doi.org/10.1002/dev.20518</w:t>
        </w:r>
      </w:hyperlink>
    </w:p>
    <w:p w14:paraId="44D08B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Richardson, C., Bucks, R. S., &amp; Hogan, A. M. (2011). Effects of aging on habituation to novelty: An ERP study. </w:t>
      </w:r>
      <w:r w:rsidRPr="001768F9">
        <w:rPr>
          <w:rFonts w:ascii="Times New Roman" w:eastAsia="Times New Roman" w:hAnsi="Times New Roman" w:cs="Times New Roman"/>
          <w:i/>
          <w:iCs/>
          <w:sz w:val="24"/>
          <w:szCs w:val="24"/>
        </w:rPr>
        <w:t>International Journal of Psychophysiology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(2), 97–105. </w:t>
      </w:r>
      <w:hyperlink r:id="rId4795" w:history="1">
        <w:r w:rsidRPr="001768F9">
          <w:rPr>
            <w:rFonts w:ascii="Times New Roman" w:eastAsia="Times New Roman" w:hAnsi="Times New Roman" w:cs="Times New Roman"/>
            <w:color w:val="0000FF"/>
            <w:sz w:val="24"/>
            <w:szCs w:val="24"/>
            <w:u w:val="single"/>
          </w:rPr>
          <w:t>https://doi.org/10.1016/j.ijpsycho.2010.09.007</w:t>
        </w:r>
      </w:hyperlink>
    </w:p>
    <w:p w14:paraId="0F7F67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Richardson-Vejlgaard, R., Dawes, S., Heaton, R. K., &amp; Bell, M. D. (2009). Validity of cognitive complaints in substance-abusing patients and non-clinical controls: The Patient’s Assessment of Own Functioning Inventory (PAOFI).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169</w:t>
      </w:r>
      <w:r w:rsidRPr="001768F9">
        <w:rPr>
          <w:rFonts w:ascii="Times New Roman" w:eastAsia="Times New Roman" w:hAnsi="Times New Roman" w:cs="Times New Roman"/>
          <w:sz w:val="24"/>
          <w:szCs w:val="24"/>
        </w:rPr>
        <w:t xml:space="preserve">(1), 70–74. </w:t>
      </w:r>
      <w:hyperlink r:id="rId4796" w:history="1">
        <w:r w:rsidRPr="001768F9">
          <w:rPr>
            <w:rFonts w:ascii="Times New Roman" w:eastAsia="Times New Roman" w:hAnsi="Times New Roman" w:cs="Times New Roman"/>
            <w:color w:val="0000FF"/>
            <w:sz w:val="24"/>
            <w:szCs w:val="24"/>
            <w:u w:val="single"/>
          </w:rPr>
          <w:t>https://doi.org/10.1016/j.psychres.2008.06.018</w:t>
        </w:r>
      </w:hyperlink>
    </w:p>
    <w:p w14:paraId="25A3DF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Ridderinkhof, K. R., Span, M. M., &amp; van der Molen, M. W. (2002). Perseverative behavior and adaptive control in older adults: Performance monitoring, rule induction, and set shifting.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49</w:t>
      </w:r>
      <w:r w:rsidRPr="001768F9">
        <w:rPr>
          <w:rFonts w:ascii="Times New Roman" w:eastAsia="Times New Roman" w:hAnsi="Times New Roman" w:cs="Times New Roman"/>
          <w:sz w:val="24"/>
          <w:szCs w:val="24"/>
        </w:rPr>
        <w:t xml:space="preserve">(3), 382–401. </w:t>
      </w:r>
      <w:hyperlink r:id="rId4797" w:history="1">
        <w:r w:rsidRPr="001768F9">
          <w:rPr>
            <w:rFonts w:ascii="Times New Roman" w:eastAsia="Times New Roman" w:hAnsi="Times New Roman" w:cs="Times New Roman"/>
            <w:color w:val="0000FF"/>
            <w:sz w:val="24"/>
            <w:szCs w:val="24"/>
            <w:u w:val="single"/>
          </w:rPr>
          <w:t>https://doi.org/10.1006/brcg.2001.1506</w:t>
        </w:r>
      </w:hyperlink>
    </w:p>
    <w:p w14:paraId="1AB50C0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Riddle, R., Morton, A., Sampson, J. D., Vachha, B., &amp; Adams, R. (2005). Performance on the NEPSY among children with spina bifida.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243–248. </w:t>
      </w:r>
      <w:hyperlink r:id="rId4798" w:history="1">
        <w:r w:rsidRPr="001768F9">
          <w:rPr>
            <w:rFonts w:ascii="Times New Roman" w:eastAsia="Times New Roman" w:hAnsi="Times New Roman" w:cs="Times New Roman"/>
            <w:color w:val="0000FF"/>
            <w:sz w:val="24"/>
            <w:szCs w:val="24"/>
            <w:u w:val="single"/>
          </w:rPr>
          <w:t>https://doi.org/10.1016/j.acn.2004.07.004</w:t>
        </w:r>
      </w:hyperlink>
    </w:p>
    <w:p w14:paraId="2E9A29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Riddle, T., &amp; Suhr, J. (2012). Extension of the Contingency Naming Test to adult assessment: Psychometric analysis in a college student sample.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609–625. </w:t>
      </w:r>
      <w:hyperlink r:id="rId4799" w:history="1">
        <w:r w:rsidRPr="001768F9">
          <w:rPr>
            <w:rFonts w:ascii="Times New Roman" w:eastAsia="Times New Roman" w:hAnsi="Times New Roman" w:cs="Times New Roman"/>
            <w:color w:val="0000FF"/>
            <w:sz w:val="24"/>
            <w:szCs w:val="24"/>
            <w:u w:val="single"/>
          </w:rPr>
          <w:t>https://doi.org/10.1080/13854046.2012.666265</w:t>
        </w:r>
      </w:hyperlink>
    </w:p>
    <w:p w14:paraId="6B2D60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Riddoch, M. J., Riveros, R., &amp; Humphreys, G. W. (2011). Functional relations trump implied motion in recovery from extinction: Evidence from the effects of animacy on extinction.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1–10. </w:t>
      </w:r>
      <w:hyperlink r:id="rId4800" w:history="1">
        <w:r w:rsidRPr="001768F9">
          <w:rPr>
            <w:rFonts w:ascii="Times New Roman" w:eastAsia="Times New Roman" w:hAnsi="Times New Roman" w:cs="Times New Roman"/>
            <w:color w:val="0000FF"/>
            <w:sz w:val="24"/>
            <w:szCs w:val="24"/>
            <w:u w:val="single"/>
          </w:rPr>
          <w:t>https://doi.org/10.1080/13554791003785919</w:t>
        </w:r>
      </w:hyperlink>
    </w:p>
    <w:p w14:paraId="46DC10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Ries, M., &amp; Marks, W. (2006). Heightened false memory: A long-term sequela of severe closed head injury.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(12), 2233–2240. </w:t>
      </w:r>
      <w:hyperlink r:id="rId4801" w:history="1">
        <w:r w:rsidRPr="001768F9">
          <w:rPr>
            <w:rFonts w:ascii="Times New Roman" w:eastAsia="Times New Roman" w:hAnsi="Times New Roman" w:cs="Times New Roman"/>
            <w:color w:val="0000FF"/>
            <w:sz w:val="24"/>
            <w:szCs w:val="24"/>
            <w:u w:val="single"/>
          </w:rPr>
          <w:t>https://doi.org/10.1016/j.neuropsychologia.2006.05.021</w:t>
        </w:r>
      </w:hyperlink>
    </w:p>
    <w:p w14:paraId="03609E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Rigoni, M. dos S., Susin, N., Trentini, C. M., &amp; da Silva Oliveira, M. (2013). Alcoolismo e avaliação de funções executivas: Uma revisão sistemática. [Alcoholism and evaluation of executive functions: A systematic review.]. </w:t>
      </w:r>
      <w:r w:rsidRPr="001768F9">
        <w:rPr>
          <w:rFonts w:ascii="Times New Roman" w:eastAsia="Times New Roman" w:hAnsi="Times New Roman" w:cs="Times New Roman"/>
          <w:i/>
          <w:iCs/>
          <w:sz w:val="24"/>
          <w:szCs w:val="24"/>
        </w:rPr>
        <w:t>PSICO</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(1), 122–129.</w:t>
      </w:r>
    </w:p>
    <w:p w14:paraId="2CB94E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Rigucci, S., Rossi‐Espagnet, C., Ferracuti, S., De Carolis, A., Corigliano, V., Carducci, F., Mancinelli, I., Cicone, F., Tatarelli, R., Bozzao, A., Girardi, P., &amp; Comparelli, A. (2013). Anatomical substrates of cognitive and clinical dimensions in first episode schizophrenia.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128</w:t>
      </w:r>
      <w:r w:rsidRPr="001768F9">
        <w:rPr>
          <w:rFonts w:ascii="Times New Roman" w:eastAsia="Times New Roman" w:hAnsi="Times New Roman" w:cs="Times New Roman"/>
          <w:sz w:val="24"/>
          <w:szCs w:val="24"/>
        </w:rPr>
        <w:t>(4), 261–270.</w:t>
      </w:r>
    </w:p>
    <w:p w14:paraId="5BF632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Rinaldi, R., Trappeniers, J., &amp; Lefebvre, L. (2014). Shall we use non-verbal fluency in schizophrenia?—A pilot study.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216</w:t>
      </w:r>
      <w:r w:rsidRPr="001768F9">
        <w:rPr>
          <w:rFonts w:ascii="Times New Roman" w:eastAsia="Times New Roman" w:hAnsi="Times New Roman" w:cs="Times New Roman"/>
          <w:sz w:val="24"/>
          <w:szCs w:val="24"/>
        </w:rPr>
        <w:t xml:space="preserve">(3), 314–319. </w:t>
      </w:r>
      <w:hyperlink r:id="rId4802" w:history="1">
        <w:r w:rsidRPr="001768F9">
          <w:rPr>
            <w:rFonts w:ascii="Times New Roman" w:eastAsia="Times New Roman" w:hAnsi="Times New Roman" w:cs="Times New Roman"/>
            <w:color w:val="0000FF"/>
            <w:sz w:val="24"/>
            <w:szCs w:val="24"/>
            <w:u w:val="single"/>
          </w:rPr>
          <w:t>https://doi.org/10.1016/j.psychres.2014.01.029</w:t>
        </w:r>
      </w:hyperlink>
    </w:p>
    <w:p w14:paraId="0F0230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Ringenbach, S. D. R., Holzapfel, S. D., Mulvey, G. M., Jimenez, A., Benson, A., &amp; Richter, M. (2016). The effects of assisted cycling therapy (ACT) and voluntary cycling on reaction time and measures of executive function in adolescents with Down syndrome. </w:t>
      </w:r>
      <w:r w:rsidRPr="001768F9">
        <w:rPr>
          <w:rFonts w:ascii="Times New Roman" w:eastAsia="Times New Roman" w:hAnsi="Times New Roman" w:cs="Times New Roman"/>
          <w:i/>
          <w:iCs/>
          <w:sz w:val="24"/>
          <w:szCs w:val="24"/>
        </w:rPr>
        <w:t>Journal of Intellectual Disability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60</w:t>
      </w:r>
      <w:r w:rsidRPr="001768F9">
        <w:rPr>
          <w:rFonts w:ascii="Times New Roman" w:eastAsia="Times New Roman" w:hAnsi="Times New Roman" w:cs="Times New Roman"/>
          <w:sz w:val="24"/>
          <w:szCs w:val="24"/>
        </w:rPr>
        <w:t xml:space="preserve">(11), 1073–1085. </w:t>
      </w:r>
      <w:hyperlink r:id="rId4803" w:history="1">
        <w:r w:rsidRPr="001768F9">
          <w:rPr>
            <w:rFonts w:ascii="Times New Roman" w:eastAsia="Times New Roman" w:hAnsi="Times New Roman" w:cs="Times New Roman"/>
            <w:color w:val="0000FF"/>
            <w:sz w:val="24"/>
            <w:szCs w:val="24"/>
            <w:u w:val="single"/>
          </w:rPr>
          <w:t>https://doi.org/10.1111/jir.12275</w:t>
        </w:r>
      </w:hyperlink>
    </w:p>
    <w:p w14:paraId="620B4D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Ringendahl, H. (2013). Neuropsychologische verlaufsdiagnostik bei parkinson-patienten—Darstellung kritischer test-retestdifferenzen für die einzelfalldiagnostik. [Neuropsychological measurement during the course of Parkinsons disease—Retest differences for single case analysis. </w:t>
      </w:r>
      <w:r w:rsidRPr="001768F9">
        <w:rPr>
          <w:rFonts w:ascii="Times New Roman" w:eastAsia="Times New Roman" w:hAnsi="Times New Roman" w:cs="Times New Roman"/>
          <w:i/>
          <w:iCs/>
          <w:sz w:val="24"/>
          <w:szCs w:val="24"/>
        </w:rPr>
        <w:t>Zeitschrift Für Neuropsychologie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24</w:t>
      </w:r>
      <w:r w:rsidRPr="001768F9">
        <w:rPr>
          <w:rFonts w:ascii="Times New Roman" w:eastAsia="Times New Roman" w:hAnsi="Times New Roman" w:cs="Times New Roman"/>
          <w:sz w:val="24"/>
          <w:szCs w:val="24"/>
        </w:rPr>
        <w:t xml:space="preserve">(4), 253–266. </w:t>
      </w:r>
      <w:hyperlink r:id="rId4804" w:history="1">
        <w:r w:rsidRPr="001768F9">
          <w:rPr>
            <w:rFonts w:ascii="Times New Roman" w:eastAsia="Times New Roman" w:hAnsi="Times New Roman" w:cs="Times New Roman"/>
            <w:color w:val="0000FF"/>
            <w:sz w:val="24"/>
            <w:szCs w:val="24"/>
            <w:u w:val="single"/>
          </w:rPr>
          <w:t>https://doi.org/10.1024/1016-264X/a000103</w:t>
        </w:r>
      </w:hyperlink>
    </w:p>
    <w:p w14:paraId="66A27D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Rippeth, J. D., Heaton, R. K., Carey, C. L., Marcotte, T. D., Moore, D. J., Gonzalez, R., Wolfson, T., &amp; Grant, I. (2004). Methamphetamine dependence increases risk of neuropsychological impairment in HIV infected persons.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(1), 1–14. </w:t>
      </w:r>
      <w:hyperlink r:id="rId4805" w:history="1">
        <w:r w:rsidRPr="001768F9">
          <w:rPr>
            <w:rFonts w:ascii="Times New Roman" w:eastAsia="Times New Roman" w:hAnsi="Times New Roman" w:cs="Times New Roman"/>
            <w:color w:val="0000FF"/>
            <w:sz w:val="24"/>
            <w:szCs w:val="24"/>
            <w:u w:val="single"/>
          </w:rPr>
          <w:t>https://doi.org/10.1017/S1355617704101021</w:t>
        </w:r>
      </w:hyperlink>
    </w:p>
    <w:p w14:paraId="02B5D6F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Ris, M. D., Dietrich, K. N., Succop, P. A., Berger, O. G., &amp; Bornschein, R. L. (2004). Early exposure to lead and neuropsychological outcome in adolescence.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(2), 261–270. </w:t>
      </w:r>
      <w:hyperlink r:id="rId4806" w:history="1">
        <w:r w:rsidRPr="001768F9">
          <w:rPr>
            <w:rFonts w:ascii="Times New Roman" w:eastAsia="Times New Roman" w:hAnsi="Times New Roman" w:cs="Times New Roman"/>
            <w:color w:val="0000FF"/>
            <w:sz w:val="24"/>
            <w:szCs w:val="24"/>
            <w:u w:val="single"/>
          </w:rPr>
          <w:t>https://doi.org/10.1017/S1355617704102154</w:t>
        </w:r>
      </w:hyperlink>
    </w:p>
    <w:p w14:paraId="1503B8E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Risacher, S. L., WuDunn, D., Pepin, S. M., MaGee, T. R., McDonald, B. C., Flashman, L. A., Wishart, H. A., Pixley, H. S., Rabin, L. A., Paré, N., Englert, J. J., Schwartz, E., Curtain, J. R., West, J. D., O’Neill, D. P., Santulli, R. B., Newman, R. W., &amp; Saykin, A. J. (2013). Visual contrast sensitivity in Alzheimer’s disease, mild cognitive impairment, and older adults with cognitive complaints.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(4), 1133–1144. </w:t>
      </w:r>
      <w:hyperlink r:id="rId4807" w:history="1">
        <w:r w:rsidRPr="001768F9">
          <w:rPr>
            <w:rFonts w:ascii="Times New Roman" w:eastAsia="Times New Roman" w:hAnsi="Times New Roman" w:cs="Times New Roman"/>
            <w:color w:val="0000FF"/>
            <w:sz w:val="24"/>
            <w:szCs w:val="24"/>
            <w:u w:val="single"/>
          </w:rPr>
          <w:t>https://doi.org/10.1016/j.neurobiolaging.2012.08.007</w:t>
        </w:r>
      </w:hyperlink>
    </w:p>
    <w:p w14:paraId="4AD9A8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Ritchey, M., Bessette-Symons, B., Hayes, S. M., &amp; Cabeza, R. (2011). Emotion processing in the aging brain is modulated by semantic elaboration.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49</w:t>
      </w:r>
      <w:r w:rsidRPr="001768F9">
        <w:rPr>
          <w:rFonts w:ascii="Times New Roman" w:eastAsia="Times New Roman" w:hAnsi="Times New Roman" w:cs="Times New Roman"/>
          <w:sz w:val="24"/>
          <w:szCs w:val="24"/>
        </w:rPr>
        <w:t xml:space="preserve">(4), 640–650. </w:t>
      </w:r>
      <w:hyperlink r:id="rId4808" w:history="1">
        <w:r w:rsidRPr="001768F9">
          <w:rPr>
            <w:rFonts w:ascii="Times New Roman" w:eastAsia="Times New Roman" w:hAnsi="Times New Roman" w:cs="Times New Roman"/>
            <w:color w:val="0000FF"/>
            <w:sz w:val="24"/>
            <w:szCs w:val="24"/>
            <w:u w:val="single"/>
          </w:rPr>
          <w:t>https://doi.org/10.1016/j.neuropsychologia.2010.09.009</w:t>
        </w:r>
      </w:hyperlink>
    </w:p>
    <w:p w14:paraId="1B32544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Ritter, L. M., Meador-Woodruff, J. H., &amp; Dalack, G. W. (2004). Neurocognitive measures of prefrontal cortical dysfunction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68</w:t>
      </w:r>
      <w:r w:rsidRPr="001768F9">
        <w:rPr>
          <w:rFonts w:ascii="Times New Roman" w:eastAsia="Times New Roman" w:hAnsi="Times New Roman" w:cs="Times New Roman"/>
          <w:sz w:val="24"/>
          <w:szCs w:val="24"/>
        </w:rPr>
        <w:t xml:space="preserve">(1), 65–73. </w:t>
      </w:r>
      <w:hyperlink r:id="rId4809" w:history="1">
        <w:r w:rsidRPr="001768F9">
          <w:rPr>
            <w:rFonts w:ascii="Times New Roman" w:eastAsia="Times New Roman" w:hAnsi="Times New Roman" w:cs="Times New Roman"/>
            <w:color w:val="0000FF"/>
            <w:sz w:val="24"/>
            <w:szCs w:val="24"/>
            <w:u w:val="single"/>
          </w:rPr>
          <w:t>https://doi.org/10.1016/S0920-9964(03)00086-0</w:t>
        </w:r>
      </w:hyperlink>
    </w:p>
    <w:p w14:paraId="74D718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Ritz, L., Coulbault, L., Lannuzel, C., Boudehent, C., Segobin, S., Eustache, F., Vabret, F., Pitel, A. L., &amp; Beaunieux, H. (2016). Clinical and biological risk factors for neuropsychological impairment in alcohol use disorder. </w:t>
      </w:r>
      <w:r w:rsidRPr="001768F9">
        <w:rPr>
          <w:rFonts w:ascii="Times New Roman" w:eastAsia="Times New Roman" w:hAnsi="Times New Roman" w:cs="Times New Roman"/>
          <w:i/>
          <w:iCs/>
          <w:sz w:val="24"/>
          <w:szCs w:val="24"/>
        </w:rPr>
        <w:t>PLoS ONE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(9).</w:t>
      </w:r>
    </w:p>
    <w:p w14:paraId="7ACF28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Riva, D., Avanzini, G., Franceschetti, S., Nichelli, F., Saletti, V., Vago, C., Pantaleoni, C., D’Arrigo, S., Andreucci, E., Aggio, F., Paruta, N., &amp; Bulgheroni, S. (2005). Unilateral frontal lobe epilepsy affects executive functions in children. </w:t>
      </w:r>
      <w:r w:rsidRPr="001768F9">
        <w:rPr>
          <w:rFonts w:ascii="Times New Roman" w:eastAsia="Times New Roman" w:hAnsi="Times New Roman" w:cs="Times New Roman"/>
          <w:i/>
          <w:iCs/>
          <w:sz w:val="24"/>
          <w:szCs w:val="24"/>
        </w:rPr>
        <w:t>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(4), 263–270. </w:t>
      </w:r>
      <w:hyperlink r:id="rId4810" w:history="1">
        <w:r w:rsidRPr="001768F9">
          <w:rPr>
            <w:rFonts w:ascii="Times New Roman" w:eastAsia="Times New Roman" w:hAnsi="Times New Roman" w:cs="Times New Roman"/>
            <w:color w:val="0000FF"/>
            <w:sz w:val="24"/>
            <w:szCs w:val="24"/>
            <w:u w:val="single"/>
          </w:rPr>
          <w:t>https://doi.org/10.1007/s10072-005-0469-7</w:t>
        </w:r>
      </w:hyperlink>
    </w:p>
    <w:p w14:paraId="7842C9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Rivera, D., &amp; Arango-Lasprilla, J. C. (2017). Methodology for the development of normative data for Spanish-speaking pediatric populations. </w:t>
      </w:r>
      <w:r w:rsidRPr="001768F9">
        <w:rPr>
          <w:rFonts w:ascii="Times New Roman" w:eastAsia="Times New Roman" w:hAnsi="Times New Roman" w:cs="Times New Roman"/>
          <w:i/>
          <w:iCs/>
          <w:sz w:val="24"/>
          <w:szCs w:val="24"/>
        </w:rPr>
        <w:t>NeuroRehabilitation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(3), 581–592. </w:t>
      </w:r>
      <w:hyperlink r:id="rId4811" w:history="1">
        <w:r w:rsidRPr="001768F9">
          <w:rPr>
            <w:rFonts w:ascii="Times New Roman" w:eastAsia="Times New Roman" w:hAnsi="Times New Roman" w:cs="Times New Roman"/>
            <w:color w:val="0000FF"/>
            <w:sz w:val="24"/>
            <w:szCs w:val="24"/>
            <w:u w:val="single"/>
          </w:rPr>
          <w:t>https://doi.org/10.3233/NRE-172275</w:t>
        </w:r>
      </w:hyperlink>
    </w:p>
    <w:p w14:paraId="35396C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Rivera Mindt, M., Miranda, C., Arentoft, A., Byrd, D., Monzones, J., Fuentes, A., Arias, F., Rentería, M. A., Rosario, A., &amp; Morgello, S. (2014). Aging and HIV/AIDS: Neurocognitive implications for older HIV-positive Latina/o adults. </w:t>
      </w:r>
      <w:r w:rsidRPr="001768F9">
        <w:rPr>
          <w:rFonts w:ascii="Times New Roman" w:eastAsia="Times New Roman" w:hAnsi="Times New Roman" w:cs="Times New Roman"/>
          <w:i/>
          <w:iCs/>
          <w:sz w:val="24"/>
          <w:szCs w:val="24"/>
        </w:rPr>
        <w:t>Behavioral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40</w:t>
      </w:r>
      <w:r w:rsidRPr="001768F9">
        <w:rPr>
          <w:rFonts w:ascii="Times New Roman" w:eastAsia="Times New Roman" w:hAnsi="Times New Roman" w:cs="Times New Roman"/>
          <w:sz w:val="24"/>
          <w:szCs w:val="24"/>
        </w:rPr>
        <w:t xml:space="preserve">(3), 116–123. </w:t>
      </w:r>
      <w:hyperlink r:id="rId4812" w:history="1">
        <w:r w:rsidRPr="001768F9">
          <w:rPr>
            <w:rFonts w:ascii="Times New Roman" w:eastAsia="Times New Roman" w:hAnsi="Times New Roman" w:cs="Times New Roman"/>
            <w:color w:val="0000FF"/>
            <w:sz w:val="24"/>
            <w:szCs w:val="24"/>
            <w:u w:val="single"/>
          </w:rPr>
          <w:t>https://doi.org/10.1080/08964289.2014.914464</w:t>
        </w:r>
      </w:hyperlink>
    </w:p>
    <w:p w14:paraId="7704301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Riveros, R., Bakchine, S., Pillon, B., Poupon, F., Miranda, M., &amp; Slachevsky, A. (2019). Fronto-subcortical circuits for cognition and motivation: Dissociated recovery in a case of loss of psychic self-activation. </w:t>
      </w:r>
      <w:r w:rsidRPr="001768F9">
        <w:rPr>
          <w:rFonts w:ascii="Times New Roman" w:eastAsia="Times New Roman" w:hAnsi="Times New Roman" w:cs="Times New Roman"/>
          <w:i/>
          <w:iCs/>
          <w:sz w:val="24"/>
          <w:szCs w:val="24"/>
        </w:rPr>
        <w:t>Frontiers in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w:t>
      </w:r>
      <w:r w:rsidRPr="001768F9">
        <w:rPr>
          <w:rFonts w:ascii="Times New Roman" w:eastAsia="Times New Roman" w:hAnsi="Times New Roman" w:cs="Times New Roman"/>
          <w:sz w:val="24"/>
          <w:szCs w:val="24"/>
        </w:rPr>
        <w:t xml:space="preserve">. </w:t>
      </w:r>
      <w:hyperlink r:id="rId4813" w:history="1">
        <w:r w:rsidRPr="001768F9">
          <w:rPr>
            <w:rFonts w:ascii="Times New Roman" w:eastAsia="Times New Roman" w:hAnsi="Times New Roman" w:cs="Times New Roman"/>
            <w:color w:val="0000FF"/>
            <w:sz w:val="24"/>
            <w:szCs w:val="24"/>
            <w:u w:val="single"/>
          </w:rPr>
          <w:t>https://doi.org/10.3389/fpsyg.2018.02781</w:t>
        </w:r>
      </w:hyperlink>
    </w:p>
    <w:p w14:paraId="76B6723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Robbins, T. W. (2000). Animal models of set-formation and set-shifting deficits in schizophrenia. In </w:t>
      </w:r>
      <w:r w:rsidRPr="001768F9">
        <w:rPr>
          <w:rFonts w:ascii="Times New Roman" w:eastAsia="Times New Roman" w:hAnsi="Times New Roman" w:cs="Times New Roman"/>
          <w:i/>
          <w:iCs/>
          <w:sz w:val="24"/>
          <w:szCs w:val="24"/>
        </w:rPr>
        <w:t>Contemporary issues in modeling psychopathology.</w:t>
      </w:r>
      <w:r w:rsidRPr="001768F9">
        <w:rPr>
          <w:rFonts w:ascii="Times New Roman" w:eastAsia="Times New Roman" w:hAnsi="Times New Roman" w:cs="Times New Roman"/>
          <w:sz w:val="24"/>
          <w:szCs w:val="24"/>
        </w:rPr>
        <w:t xml:space="preserve"> (pp. 247–258). Kluwer Academic/Plenum Publishers. </w:t>
      </w:r>
      <w:hyperlink r:id="rId4814" w:history="1">
        <w:r w:rsidRPr="001768F9">
          <w:rPr>
            <w:rFonts w:ascii="Times New Roman" w:eastAsia="Times New Roman" w:hAnsi="Times New Roman" w:cs="Times New Roman"/>
            <w:color w:val="0000FF"/>
            <w:sz w:val="24"/>
            <w:szCs w:val="24"/>
            <w:u w:val="single"/>
          </w:rPr>
          <w:t>https://doi.org/10.1007/978-1-4757-4860-4_14</w:t>
        </w:r>
      </w:hyperlink>
    </w:p>
    <w:p w14:paraId="5047C1B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Robbins, T. W. (2014). The neuropsychopharmacology of attention. In </w:t>
      </w:r>
      <w:r w:rsidRPr="001768F9">
        <w:rPr>
          <w:rFonts w:ascii="Times New Roman" w:eastAsia="Times New Roman" w:hAnsi="Times New Roman" w:cs="Times New Roman"/>
          <w:i/>
          <w:iCs/>
          <w:sz w:val="24"/>
          <w:szCs w:val="24"/>
        </w:rPr>
        <w:t>The Oxford handbook of attention.</w:t>
      </w:r>
      <w:r w:rsidRPr="001768F9">
        <w:rPr>
          <w:rFonts w:ascii="Times New Roman" w:eastAsia="Times New Roman" w:hAnsi="Times New Roman" w:cs="Times New Roman"/>
          <w:sz w:val="24"/>
          <w:szCs w:val="24"/>
        </w:rPr>
        <w:t xml:space="preserve"> (pp. 509–540). Oxford University Press.</w:t>
      </w:r>
    </w:p>
    <w:p w14:paraId="6BDEF2A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 G., Le Jeune, F., Lozachmeur, C., Drapier, S., Dondaine, T., Péron, J., Travers, D., Sauleau, P., Millet, B., Vérin, M., &amp; Drapier, D. (2012). Apathy in patients with Parkinson disease without dementia or depression: A PET study. </w:t>
      </w:r>
      <w:r w:rsidRPr="001768F9">
        <w:rPr>
          <w:rFonts w:ascii="Times New Roman" w:eastAsia="Times New Roman" w:hAnsi="Times New Roman" w:cs="Times New Roman"/>
          <w:i/>
          <w:iCs/>
          <w:sz w:val="24"/>
          <w:szCs w:val="24"/>
        </w:rPr>
        <w:t>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79</w:t>
      </w:r>
      <w:r w:rsidRPr="001768F9">
        <w:rPr>
          <w:rFonts w:ascii="Times New Roman" w:eastAsia="Times New Roman" w:hAnsi="Times New Roman" w:cs="Times New Roman"/>
          <w:sz w:val="24"/>
          <w:szCs w:val="24"/>
        </w:rPr>
        <w:t xml:space="preserve">(11), 1155–1160. </w:t>
      </w:r>
      <w:hyperlink r:id="rId4815" w:history="1">
        <w:r w:rsidRPr="001768F9">
          <w:rPr>
            <w:rFonts w:ascii="Times New Roman" w:eastAsia="Times New Roman" w:hAnsi="Times New Roman" w:cs="Times New Roman"/>
            <w:color w:val="0000FF"/>
            <w:sz w:val="24"/>
            <w:szCs w:val="24"/>
            <w:u w:val="single"/>
          </w:rPr>
          <w:t>https://doi.org/10.1212/WNL.0b013e3182698c75</w:t>
        </w:r>
      </w:hyperlink>
    </w:p>
    <w:p w14:paraId="630ED4F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A. C., De Salvia, M. A., Wilkinson, L. S., Collins, P., &amp; al, et. (1994). 6-Hydroxydopamine lesions of the prefrontal cortex in monkeys enhance performance on an analog of the Wisconsin Card Sort Test: Possible interactions with subcortical dopamine. </w:t>
      </w:r>
      <w:r w:rsidRPr="001768F9">
        <w:rPr>
          <w:rFonts w:ascii="Times New Roman" w:eastAsia="Times New Roman" w:hAnsi="Times New Roman" w:cs="Times New Roman"/>
          <w:i/>
          <w:iCs/>
          <w:sz w:val="24"/>
          <w:szCs w:val="24"/>
        </w:rPr>
        <w:t>The Journal of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(5, Pt 1), 2531–2544.</w:t>
      </w:r>
    </w:p>
    <w:p w14:paraId="4B0CF6D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C. B., Rafal, R., &amp; Coetzer, B. R. (2006). Feedback of brain-imaging findings: Effect on impaired awareness and mood in acquired brain injury. </w:t>
      </w:r>
      <w:r w:rsidRPr="001768F9">
        <w:rPr>
          <w:rFonts w:ascii="Times New Roman" w:eastAsia="Times New Roman" w:hAnsi="Times New Roman" w:cs="Times New Roman"/>
          <w:i/>
          <w:iCs/>
          <w:sz w:val="24"/>
          <w:szCs w:val="24"/>
        </w:rPr>
        <w:t>Brain Injury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(5), 485–497. </w:t>
      </w:r>
      <w:hyperlink r:id="rId4816" w:history="1">
        <w:r w:rsidRPr="001768F9">
          <w:rPr>
            <w:rFonts w:ascii="Times New Roman" w:eastAsia="Times New Roman" w:hAnsi="Times New Roman" w:cs="Times New Roman"/>
            <w:color w:val="0000FF"/>
            <w:sz w:val="24"/>
            <w:szCs w:val="24"/>
            <w:u w:val="single"/>
          </w:rPr>
          <w:t>https://doi.org/10.1080/02699050600664665</w:t>
        </w:r>
      </w:hyperlink>
    </w:p>
    <w:p w14:paraId="4B66CA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D. L., &amp; Penn, D. L. (2009). The effects of task engagement and interpersonal rapport on WCST performance in schizophrenia. </w:t>
      </w:r>
      <w:r w:rsidRPr="001768F9">
        <w:rPr>
          <w:rFonts w:ascii="Times New Roman" w:eastAsia="Times New Roman" w:hAnsi="Times New Roman" w:cs="Times New Roman"/>
          <w:i/>
          <w:iCs/>
          <w:sz w:val="24"/>
          <w:szCs w:val="24"/>
        </w:rPr>
        <w:t>American Journal of Psychiatric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57–72. </w:t>
      </w:r>
      <w:hyperlink r:id="rId4817" w:history="1">
        <w:r w:rsidRPr="001768F9">
          <w:rPr>
            <w:rFonts w:ascii="Times New Roman" w:eastAsia="Times New Roman" w:hAnsi="Times New Roman" w:cs="Times New Roman"/>
            <w:color w:val="0000FF"/>
            <w:sz w:val="24"/>
            <w:szCs w:val="24"/>
            <w:u w:val="single"/>
          </w:rPr>
          <w:t>https://doi.org/10.1080/15487760802615798</w:t>
        </w:r>
      </w:hyperlink>
    </w:p>
    <w:p w14:paraId="4185EB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M. E., Tchanturia, K., &amp; Treasure, J. L. (2010). Exploring the neurocognitive signature of poor set-shifting in anorexia and bulimia nervosa. </w:t>
      </w:r>
      <w:r w:rsidRPr="001768F9">
        <w:rPr>
          <w:rFonts w:ascii="Times New Roman" w:eastAsia="Times New Roman" w:hAnsi="Times New Roman" w:cs="Times New Roman"/>
          <w:i/>
          <w:iCs/>
          <w:sz w:val="24"/>
          <w:szCs w:val="24"/>
        </w:rPr>
        <w:t>Journal of Psychiatric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(14), 964–970. </w:t>
      </w:r>
      <w:hyperlink r:id="rId4818" w:history="1">
        <w:r w:rsidRPr="001768F9">
          <w:rPr>
            <w:rFonts w:ascii="Times New Roman" w:eastAsia="Times New Roman" w:hAnsi="Times New Roman" w:cs="Times New Roman"/>
            <w:color w:val="0000FF"/>
            <w:sz w:val="24"/>
            <w:szCs w:val="24"/>
            <w:u w:val="single"/>
          </w:rPr>
          <w:t>https://doi.org/10.1016/j.jpsychires.2010.03.001</w:t>
        </w:r>
      </w:hyperlink>
    </w:p>
    <w:p w14:paraId="49A6AD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 M. E., Tchanturia, K., &amp; Treasure, J. L. (2016). Overlapping neurocognitive inefficiencies in anorexia nervosa: A preliminary investigation of women with both poor set-shifting and weak central coherence. </w:t>
      </w:r>
      <w:r w:rsidRPr="001768F9">
        <w:rPr>
          <w:rFonts w:ascii="Times New Roman" w:eastAsia="Times New Roman" w:hAnsi="Times New Roman" w:cs="Times New Roman"/>
          <w:i/>
          <w:iCs/>
          <w:sz w:val="24"/>
          <w:szCs w:val="24"/>
        </w:rPr>
        <w:t>Eating and Weight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(4), 725–729. </w:t>
      </w:r>
      <w:hyperlink r:id="rId4819" w:history="1">
        <w:r w:rsidRPr="001768F9">
          <w:rPr>
            <w:rFonts w:ascii="Times New Roman" w:eastAsia="Times New Roman" w:hAnsi="Times New Roman" w:cs="Times New Roman"/>
            <w:color w:val="0000FF"/>
            <w:sz w:val="24"/>
            <w:szCs w:val="24"/>
            <w:u w:val="single"/>
          </w:rPr>
          <w:t>https://doi.org/10.1007/s40519-016-0302-8</w:t>
        </w:r>
      </w:hyperlink>
    </w:p>
    <w:p w14:paraId="1A4921B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Robertson, H. A., Kutcher, S. P., &amp; Lagace, D. C. (2003). No evidence of attentional deficits in stabilized bipolar youth relative to unipolar and control comparators. </w:t>
      </w:r>
      <w:r w:rsidRPr="001768F9">
        <w:rPr>
          <w:rFonts w:ascii="Times New Roman" w:eastAsia="Times New Roman" w:hAnsi="Times New Roman" w:cs="Times New Roman"/>
          <w:i/>
          <w:iCs/>
          <w:sz w:val="24"/>
          <w:szCs w:val="24"/>
        </w:rPr>
        <w:t>Bipolar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(5), 330–339. </w:t>
      </w:r>
      <w:hyperlink r:id="rId4820" w:history="1">
        <w:r w:rsidRPr="001768F9">
          <w:rPr>
            <w:rFonts w:ascii="Times New Roman" w:eastAsia="Times New Roman" w:hAnsi="Times New Roman" w:cs="Times New Roman"/>
            <w:color w:val="0000FF"/>
            <w:sz w:val="24"/>
            <w:szCs w:val="24"/>
            <w:u w:val="single"/>
          </w:rPr>
          <w:t>https://doi.org/10.1034/j.1399-5618.2003.00042.x</w:t>
        </w:r>
      </w:hyperlink>
    </w:p>
    <w:p w14:paraId="029E3A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Robertson, K., &amp; Schmitter-Edgecombe, M. (2017). Naturalistic tasks performed in realistic environments: A review with implications for neuropsychological assessment. </w:t>
      </w:r>
      <w:r w:rsidRPr="001768F9">
        <w:rPr>
          <w:rFonts w:ascii="Times New Roman" w:eastAsia="Times New Roman" w:hAnsi="Times New Roman" w:cs="Times New Roman"/>
          <w:i/>
          <w:iCs/>
          <w:sz w:val="24"/>
          <w:szCs w:val="24"/>
        </w:rPr>
        <w:t>The 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(1), 16–42. </w:t>
      </w:r>
      <w:hyperlink r:id="rId4821" w:history="1">
        <w:r w:rsidRPr="001768F9">
          <w:rPr>
            <w:rFonts w:ascii="Times New Roman" w:eastAsia="Times New Roman" w:hAnsi="Times New Roman" w:cs="Times New Roman"/>
            <w:color w:val="0000FF"/>
            <w:sz w:val="24"/>
            <w:szCs w:val="24"/>
            <w:u w:val="single"/>
          </w:rPr>
          <w:t>https://doi.org/10.1080/13854046.2016.1208847</w:t>
        </w:r>
      </w:hyperlink>
    </w:p>
    <w:p w14:paraId="0B3ADB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Robertson, M. M., &amp; Cavanna, A. E. (2009). The neuropsychiatry and neuropsychology of Gilles de la Tourette syndrome. In </w:t>
      </w:r>
      <w:r w:rsidRPr="001768F9">
        <w:rPr>
          <w:rFonts w:ascii="Times New Roman" w:eastAsia="Times New Roman" w:hAnsi="Times New Roman" w:cs="Times New Roman"/>
          <w:i/>
          <w:iCs/>
          <w:sz w:val="24"/>
          <w:szCs w:val="24"/>
        </w:rPr>
        <w:t>Neuropsychological assessment of neuropsychiatric and neuromedical disorders, 3rd ed.</w:t>
      </w:r>
      <w:r w:rsidRPr="001768F9">
        <w:rPr>
          <w:rFonts w:ascii="Times New Roman" w:eastAsia="Times New Roman" w:hAnsi="Times New Roman" w:cs="Times New Roman"/>
          <w:sz w:val="24"/>
          <w:szCs w:val="24"/>
        </w:rPr>
        <w:t xml:space="preserve"> (pp. 241–266). Oxford University Press.</w:t>
      </w:r>
    </w:p>
    <w:p w14:paraId="6BFE92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 J., Rivest, J., Rosenbaum, R. S., &amp; Moscovitch, M. (2019). Remote spatial and autobiographical memory in cases of episodic amnesia and topographical disorientation. </w:t>
      </w:r>
      <w:r w:rsidRPr="001768F9">
        <w:rPr>
          <w:rFonts w:ascii="Times New Roman" w:eastAsia="Times New Roman" w:hAnsi="Times New Roman" w:cs="Times New Roman"/>
          <w:i/>
          <w:iCs/>
          <w:sz w:val="24"/>
          <w:szCs w:val="24"/>
        </w:rPr>
        <w:t>Cortex: A Journal Devoted to the Study of the Nervous System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 237–257. </w:t>
      </w:r>
      <w:hyperlink r:id="rId4822" w:history="1">
        <w:r w:rsidRPr="001768F9">
          <w:rPr>
            <w:rFonts w:ascii="Times New Roman" w:eastAsia="Times New Roman" w:hAnsi="Times New Roman" w:cs="Times New Roman"/>
            <w:color w:val="0000FF"/>
            <w:sz w:val="24"/>
            <w:szCs w:val="24"/>
            <w:u w:val="single"/>
          </w:rPr>
          <w:t>https://doi.org/10.1016/j.cortex.2019.04.013</w:t>
        </w:r>
      </w:hyperlink>
    </w:p>
    <w:p w14:paraId="2048D6D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 Wahlin, T.-B., Lundin, A., &amp; Dear, K. (2007). Early cognitive deficits in Swedish gene carriers of Huntington’s disease.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(1), 31–44. </w:t>
      </w:r>
      <w:hyperlink r:id="rId4823" w:history="1">
        <w:r w:rsidRPr="001768F9">
          <w:rPr>
            <w:rFonts w:ascii="Times New Roman" w:eastAsia="Times New Roman" w:hAnsi="Times New Roman" w:cs="Times New Roman"/>
            <w:color w:val="0000FF"/>
            <w:sz w:val="24"/>
            <w:szCs w:val="24"/>
            <w:u w:val="single"/>
          </w:rPr>
          <w:t>https://doi.org/10.1037/0894-4105.21.1.31</w:t>
        </w:r>
      </w:hyperlink>
    </w:p>
    <w:p w14:paraId="25661C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A., &amp; Abramovitch, A. (2020). A neuropsychological investigation of perfectionism. </w:t>
      </w:r>
      <w:r w:rsidRPr="001768F9">
        <w:rPr>
          <w:rFonts w:ascii="Times New Roman" w:eastAsia="Times New Roman" w:hAnsi="Times New Roman" w:cs="Times New Roman"/>
          <w:i/>
          <w:iCs/>
          <w:sz w:val="24"/>
          <w:szCs w:val="24"/>
        </w:rPr>
        <w:t>Behavior Therapy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51</w:t>
      </w:r>
      <w:r w:rsidRPr="001768F9">
        <w:rPr>
          <w:rFonts w:ascii="Times New Roman" w:eastAsia="Times New Roman" w:hAnsi="Times New Roman" w:cs="Times New Roman"/>
          <w:sz w:val="24"/>
          <w:szCs w:val="24"/>
        </w:rPr>
        <w:t xml:space="preserve">(3), 488–502. </w:t>
      </w:r>
      <w:hyperlink r:id="rId4824" w:history="1">
        <w:r w:rsidRPr="001768F9">
          <w:rPr>
            <w:rFonts w:ascii="Times New Roman" w:eastAsia="Times New Roman" w:hAnsi="Times New Roman" w:cs="Times New Roman"/>
            <w:color w:val="0000FF"/>
            <w:sz w:val="24"/>
            <w:szCs w:val="24"/>
            <w:u w:val="single"/>
          </w:rPr>
          <w:t>https://doi.org/10.1016/j.beth.2019.09.002</w:t>
        </w:r>
      </w:hyperlink>
    </w:p>
    <w:p w14:paraId="595CFE7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G., Shallice, T., &amp; Cipolotti, L. (2005). A failure of high level verbal response selection in progressive dynamic aphasia.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(6), 661–694. </w:t>
      </w:r>
      <w:hyperlink r:id="rId4825" w:history="1">
        <w:r w:rsidRPr="001768F9">
          <w:rPr>
            <w:rFonts w:ascii="Times New Roman" w:eastAsia="Times New Roman" w:hAnsi="Times New Roman" w:cs="Times New Roman"/>
            <w:color w:val="0000FF"/>
            <w:sz w:val="24"/>
            <w:szCs w:val="24"/>
            <w:u w:val="single"/>
          </w:rPr>
          <w:t>https://doi.org/10.1080/02643290442000239</w:t>
        </w:r>
      </w:hyperlink>
    </w:p>
    <w:p w14:paraId="5F9A69D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K. E., Fraley, C. E., Pearson, M. M., Kuttesch Jr., J. F., &amp; Compas, B. E. (2013). Neurocognitive late effects of pediatric brain tumors of the posterior fossa: A quantitative review.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(1), 44–53. </w:t>
      </w:r>
      <w:hyperlink r:id="rId4826" w:history="1">
        <w:r w:rsidRPr="001768F9">
          <w:rPr>
            <w:rFonts w:ascii="Times New Roman" w:eastAsia="Times New Roman" w:hAnsi="Times New Roman" w:cs="Times New Roman"/>
            <w:color w:val="0000FF"/>
            <w:sz w:val="24"/>
            <w:szCs w:val="24"/>
            <w:u w:val="single"/>
          </w:rPr>
          <w:t>https://doi.org/10.1017/S1355617712000987</w:t>
        </w:r>
      </w:hyperlink>
    </w:p>
    <w:p w14:paraId="41DBB5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K. M., Lacey, S. C., Grugan, P., Glosser, G., Grossman, M., &amp; McCluskey, L. F. (2006). Cognitive functioning in sporadic amyotrophic lateral sclerosis: A six month longitudinal study.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77</w:t>
      </w:r>
      <w:r w:rsidRPr="001768F9">
        <w:rPr>
          <w:rFonts w:ascii="Times New Roman" w:eastAsia="Times New Roman" w:hAnsi="Times New Roman" w:cs="Times New Roman"/>
          <w:sz w:val="24"/>
          <w:szCs w:val="24"/>
        </w:rPr>
        <w:t xml:space="preserve">(5), 668–670. </w:t>
      </w:r>
      <w:hyperlink r:id="rId4827" w:history="1">
        <w:r w:rsidRPr="001768F9">
          <w:rPr>
            <w:rFonts w:ascii="Times New Roman" w:eastAsia="Times New Roman" w:hAnsi="Times New Roman" w:cs="Times New Roman"/>
            <w:color w:val="0000FF"/>
            <w:sz w:val="24"/>
            <w:szCs w:val="24"/>
            <w:u w:val="single"/>
          </w:rPr>
          <w:t>https://doi.org/10.1136/jnnp.2005.073403</w:t>
        </w:r>
      </w:hyperlink>
    </w:p>
    <w:p w14:paraId="24CEB92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L. J., Gray, J. M., Ferrier, I. N., &amp; Gallagher, P. (2016). The effect of self-monitoring on Wisconsin Card Sorting Test performance in euthymic patients with bipolar disorder: A pilot study. </w:t>
      </w:r>
      <w:r w:rsidRPr="001768F9">
        <w:rPr>
          <w:rFonts w:ascii="Times New Roman" w:eastAsia="Times New Roman" w:hAnsi="Times New Roman" w:cs="Times New Roman"/>
          <w:i/>
          <w:iCs/>
          <w:sz w:val="24"/>
          <w:szCs w:val="24"/>
        </w:rPr>
        <w:t>Cognitive Neuropsychiatry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(3), 256–270. </w:t>
      </w:r>
      <w:hyperlink r:id="rId4828" w:history="1">
        <w:r w:rsidRPr="001768F9">
          <w:rPr>
            <w:rFonts w:ascii="Times New Roman" w:eastAsia="Times New Roman" w:hAnsi="Times New Roman" w:cs="Times New Roman"/>
            <w:color w:val="0000FF"/>
            <w:sz w:val="24"/>
            <w:szCs w:val="24"/>
            <w:u w:val="single"/>
          </w:rPr>
          <w:t>https://doi.org/10.1080/13546805.2016.1184134</w:t>
        </w:r>
      </w:hyperlink>
    </w:p>
    <w:p w14:paraId="29A1FC3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O. J., &amp; Sahakian, B. J. (2013). Cognitive biomarkers in depression. In </w:t>
      </w:r>
      <w:r w:rsidRPr="001768F9">
        <w:rPr>
          <w:rFonts w:ascii="Times New Roman" w:eastAsia="Times New Roman" w:hAnsi="Times New Roman" w:cs="Times New Roman"/>
          <w:i/>
          <w:iCs/>
          <w:sz w:val="24"/>
          <w:szCs w:val="24"/>
        </w:rPr>
        <w:t>Late-life mood disorders.</w:t>
      </w:r>
      <w:r w:rsidRPr="001768F9">
        <w:rPr>
          <w:rFonts w:ascii="Times New Roman" w:eastAsia="Times New Roman" w:hAnsi="Times New Roman" w:cs="Times New Roman"/>
          <w:sz w:val="24"/>
          <w:szCs w:val="24"/>
        </w:rPr>
        <w:t xml:space="preserve"> (pp. 606–626). Oxford University Press.</w:t>
      </w:r>
    </w:p>
    <w:p w14:paraId="465584C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R. G., Paradiso, S., Mizrahi, R., Fiedorowicz, J. G., Kouzoukas, D. E., &amp; Moser, D. J. (2007). Neuropsychological Correlates of Normal Variation in Emotional Response to Visual Stimuli. </w:t>
      </w:r>
      <w:r w:rsidRPr="001768F9">
        <w:rPr>
          <w:rFonts w:ascii="Times New Roman" w:eastAsia="Times New Roman" w:hAnsi="Times New Roman" w:cs="Times New Roman"/>
          <w:i/>
          <w:iCs/>
          <w:sz w:val="24"/>
          <w:szCs w:val="24"/>
        </w:rPr>
        <w:t>Journal of Nervous and Mental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195</w:t>
      </w:r>
      <w:r w:rsidRPr="001768F9">
        <w:rPr>
          <w:rFonts w:ascii="Times New Roman" w:eastAsia="Times New Roman" w:hAnsi="Times New Roman" w:cs="Times New Roman"/>
          <w:sz w:val="24"/>
          <w:szCs w:val="24"/>
        </w:rPr>
        <w:t xml:space="preserve">(2), 112–118. </w:t>
      </w:r>
      <w:hyperlink r:id="rId4829" w:history="1">
        <w:r w:rsidRPr="001768F9">
          <w:rPr>
            <w:rFonts w:ascii="Times New Roman" w:eastAsia="Times New Roman" w:hAnsi="Times New Roman" w:cs="Times New Roman"/>
            <w:color w:val="0000FF"/>
            <w:sz w:val="24"/>
            <w:szCs w:val="24"/>
            <w:u w:val="single"/>
          </w:rPr>
          <w:t>https://doi.org/10.1097/01.nmd.0000254482.44985.f6</w:t>
        </w:r>
      </w:hyperlink>
    </w:p>
    <w:p w14:paraId="59D4768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S., Goddard, L., Dritschel, B., Wisley, M., &amp; Howlin, P. (2009). Executive functions in children with autism spectrum disorders.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71</w:t>
      </w:r>
      <w:r w:rsidRPr="001768F9">
        <w:rPr>
          <w:rFonts w:ascii="Times New Roman" w:eastAsia="Times New Roman" w:hAnsi="Times New Roman" w:cs="Times New Roman"/>
          <w:sz w:val="24"/>
          <w:szCs w:val="24"/>
        </w:rPr>
        <w:t xml:space="preserve">(3), 362–368. </w:t>
      </w:r>
      <w:hyperlink r:id="rId4830" w:history="1">
        <w:r w:rsidRPr="001768F9">
          <w:rPr>
            <w:rFonts w:ascii="Times New Roman" w:eastAsia="Times New Roman" w:hAnsi="Times New Roman" w:cs="Times New Roman"/>
            <w:color w:val="0000FF"/>
            <w:sz w:val="24"/>
            <w:szCs w:val="24"/>
            <w:u w:val="single"/>
          </w:rPr>
          <w:t>https://doi.org/10.1016/j.bandc.2009.06.007</w:t>
        </w:r>
      </w:hyperlink>
    </w:p>
    <w:p w14:paraId="46D2F80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Robinson, T., &amp; Tripp, G. (2013). Neuropsychological functioning in children with ADHD: Symptom persistence is linked to poorer performance on measures of executive and nonexecutive function. </w:t>
      </w:r>
      <w:r w:rsidRPr="001768F9">
        <w:rPr>
          <w:rFonts w:ascii="Times New Roman" w:eastAsia="Times New Roman" w:hAnsi="Times New Roman" w:cs="Times New Roman"/>
          <w:i/>
          <w:iCs/>
          <w:sz w:val="24"/>
          <w:szCs w:val="24"/>
        </w:rPr>
        <w:t>Japanese Psychological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55</w:t>
      </w:r>
      <w:r w:rsidRPr="001768F9">
        <w:rPr>
          <w:rFonts w:ascii="Times New Roman" w:eastAsia="Times New Roman" w:hAnsi="Times New Roman" w:cs="Times New Roman"/>
          <w:sz w:val="24"/>
          <w:szCs w:val="24"/>
        </w:rPr>
        <w:t xml:space="preserve">(2), 154–167. </w:t>
      </w:r>
      <w:hyperlink r:id="rId4831" w:history="1">
        <w:r w:rsidRPr="001768F9">
          <w:rPr>
            <w:rFonts w:ascii="Times New Roman" w:eastAsia="Times New Roman" w:hAnsi="Times New Roman" w:cs="Times New Roman"/>
            <w:color w:val="0000FF"/>
            <w:sz w:val="24"/>
            <w:szCs w:val="24"/>
            <w:u w:val="single"/>
          </w:rPr>
          <w:t>https://doi.org/10.1111/jpr.12005</w:t>
        </w:r>
      </w:hyperlink>
    </w:p>
    <w:p w14:paraId="2681CAC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Robles, O., Blaxton, T., Adami, H., Arango, C., Thaker, G., &amp; Gold, J. (2008). Nonverbal delayed recognition in the relatives of schizophrenia patients with or without schizophrenia spectrum. </w:t>
      </w:r>
      <w:r w:rsidRPr="001768F9">
        <w:rPr>
          <w:rFonts w:ascii="Times New Roman" w:eastAsia="Times New Roman" w:hAnsi="Times New Roman" w:cs="Times New Roman"/>
          <w:i/>
          <w:iCs/>
          <w:sz w:val="24"/>
          <w:szCs w:val="24"/>
        </w:rPr>
        <w:t>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63</w:t>
      </w:r>
      <w:r w:rsidRPr="001768F9">
        <w:rPr>
          <w:rFonts w:ascii="Times New Roman" w:eastAsia="Times New Roman" w:hAnsi="Times New Roman" w:cs="Times New Roman"/>
          <w:sz w:val="24"/>
          <w:szCs w:val="24"/>
        </w:rPr>
        <w:t xml:space="preserve">(5), 498–504. </w:t>
      </w:r>
      <w:hyperlink r:id="rId4832" w:history="1">
        <w:r w:rsidRPr="001768F9">
          <w:rPr>
            <w:rFonts w:ascii="Times New Roman" w:eastAsia="Times New Roman" w:hAnsi="Times New Roman" w:cs="Times New Roman"/>
            <w:color w:val="0000FF"/>
            <w:sz w:val="24"/>
            <w:szCs w:val="24"/>
            <w:u w:val="single"/>
          </w:rPr>
          <w:t>https://doi.org/10.1016/j.biopsych.2007.05.016</w:t>
        </w:r>
      </w:hyperlink>
    </w:p>
    <w:p w14:paraId="5C4C406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Robles, O., Zabala, A., Bombín, I., Parellada, M., Moreno, D., Ruiz-Sancho, A., &amp; Arango, C. (2011). Cognitive efficacy of quetiapine and olanzapine in early-onset first-episode psychosis. </w:t>
      </w:r>
      <w:r w:rsidRPr="001768F9">
        <w:rPr>
          <w:rFonts w:ascii="Times New Roman" w:eastAsia="Times New Roman" w:hAnsi="Times New Roman" w:cs="Times New Roman"/>
          <w:i/>
          <w:iCs/>
          <w:sz w:val="24"/>
          <w:szCs w:val="24"/>
        </w:rPr>
        <w:t>Schizophrenia Bulletin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37</w:t>
      </w:r>
      <w:r w:rsidRPr="001768F9">
        <w:rPr>
          <w:rFonts w:ascii="Times New Roman" w:eastAsia="Times New Roman" w:hAnsi="Times New Roman" w:cs="Times New Roman"/>
          <w:sz w:val="24"/>
          <w:szCs w:val="24"/>
        </w:rPr>
        <w:t xml:space="preserve">(2), 405–415. </w:t>
      </w:r>
      <w:hyperlink r:id="rId4833" w:history="1">
        <w:r w:rsidRPr="001768F9">
          <w:rPr>
            <w:rFonts w:ascii="Times New Roman" w:eastAsia="Times New Roman" w:hAnsi="Times New Roman" w:cs="Times New Roman"/>
            <w:color w:val="0000FF"/>
            <w:sz w:val="24"/>
            <w:szCs w:val="24"/>
            <w:u w:val="single"/>
          </w:rPr>
          <w:t>https://doi.org/10.1093/schbul/sbp062</w:t>
        </w:r>
      </w:hyperlink>
    </w:p>
    <w:p w14:paraId="744EA32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Robson, H., Sage, K., &amp; Ralph, M. A. L. (2012). Wernicke’s aphasia reflects a combination of acoustic-phonological and semantic control deficits: A case-series comparison of Wernicke’s aphasia, semantic dementia and semantic aphasia.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50</w:t>
      </w:r>
      <w:r w:rsidRPr="001768F9">
        <w:rPr>
          <w:rFonts w:ascii="Times New Roman" w:eastAsia="Times New Roman" w:hAnsi="Times New Roman" w:cs="Times New Roman"/>
          <w:sz w:val="24"/>
          <w:szCs w:val="24"/>
        </w:rPr>
        <w:t xml:space="preserve">(2), 266–275. </w:t>
      </w:r>
      <w:hyperlink r:id="rId4834" w:history="1">
        <w:r w:rsidRPr="001768F9">
          <w:rPr>
            <w:rFonts w:ascii="Times New Roman" w:eastAsia="Times New Roman" w:hAnsi="Times New Roman" w:cs="Times New Roman"/>
            <w:color w:val="0000FF"/>
            <w:sz w:val="24"/>
            <w:szCs w:val="24"/>
            <w:u w:val="single"/>
          </w:rPr>
          <w:t>https://doi.org/10.1016/j.neuropsychologia.2011.11.021</w:t>
        </w:r>
      </w:hyperlink>
    </w:p>
    <w:p w14:paraId="07D5E7D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Amo, A. R.-L., Riera-Serra, P., Pérez-Ara, M. A., Castro, A., Roman Juan, J., García-Toro, M., García-Pazo, P., &amp; Gili, M. (2019). Suicidal risk and executive functions in major depressive disorder: A study protocol.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 </w:t>
      </w:r>
      <w:hyperlink r:id="rId4835" w:history="1">
        <w:r w:rsidRPr="001768F9">
          <w:rPr>
            <w:rFonts w:ascii="Times New Roman" w:eastAsia="Times New Roman" w:hAnsi="Times New Roman" w:cs="Times New Roman"/>
            <w:color w:val="0000FF"/>
            <w:sz w:val="24"/>
            <w:szCs w:val="24"/>
            <w:u w:val="single"/>
          </w:rPr>
          <w:t>https://doi.org/10.1186/s12888-019-2233-1</w:t>
        </w:r>
      </w:hyperlink>
    </w:p>
    <w:p w14:paraId="342AC58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Manes, F., Cetkovich, M., Bruno, D., Ibáñez, A., Torralva, T., &amp; Duncan, J. (2014). The relationship between executive functions and fluid intelligence in schizophrenia. </w:t>
      </w:r>
      <w:r w:rsidRPr="001768F9">
        <w:rPr>
          <w:rFonts w:ascii="Times New Roman" w:eastAsia="Times New Roman" w:hAnsi="Times New Roman" w:cs="Times New Roman"/>
          <w:i/>
          <w:iCs/>
          <w:sz w:val="24"/>
          <w:szCs w:val="24"/>
        </w:rPr>
        <w:t>Frontiers in Behavioral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w:t>
      </w:r>
    </w:p>
    <w:p w14:paraId="67E93B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Manes, F., Chade, A., Gleichgerrcht, E., Gershanik, O., Arévaloa, G. G., Torralva, T., &amp; Duncan, J. (2012). The relationship between executive functions and fluid intelligence in Parkinson’s disease.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42</w:t>
      </w:r>
      <w:r w:rsidRPr="001768F9">
        <w:rPr>
          <w:rFonts w:ascii="Times New Roman" w:eastAsia="Times New Roman" w:hAnsi="Times New Roman" w:cs="Times New Roman"/>
          <w:sz w:val="24"/>
          <w:szCs w:val="24"/>
        </w:rPr>
        <w:t xml:space="preserve">(11), 2445–2452. </w:t>
      </w:r>
      <w:hyperlink r:id="rId4836" w:history="1">
        <w:r w:rsidRPr="001768F9">
          <w:rPr>
            <w:rFonts w:ascii="Times New Roman" w:eastAsia="Times New Roman" w:hAnsi="Times New Roman" w:cs="Times New Roman"/>
            <w:color w:val="0000FF"/>
            <w:sz w:val="24"/>
            <w:szCs w:val="24"/>
            <w:u w:val="single"/>
          </w:rPr>
          <w:t>https://doi.org/10.1017/S0033291712000451</w:t>
        </w:r>
      </w:hyperlink>
    </w:p>
    <w:p w14:paraId="798BBF4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Manes, F., Gleichgerrcht, E., Ibáñez, A., de Toledo, M. E. G., Marenco, V., Bruno, D., Torralva, T., &amp; Sinay, V. (2014). Cognitive but not affective theory of mind deficits in mild relapsing-remitting multiple sclerosis.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25–30. </w:t>
      </w:r>
      <w:hyperlink r:id="rId4837" w:history="1">
        <w:r w:rsidRPr="001768F9">
          <w:rPr>
            <w:rFonts w:ascii="Times New Roman" w:eastAsia="Times New Roman" w:hAnsi="Times New Roman" w:cs="Times New Roman"/>
            <w:color w:val="0000FF"/>
            <w:sz w:val="24"/>
            <w:szCs w:val="24"/>
            <w:u w:val="single"/>
          </w:rPr>
          <w:t>https://doi.org/10.1097/WNN.0000000000000017</w:t>
        </w:r>
      </w:hyperlink>
    </w:p>
    <w:p w14:paraId="013631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Parr, A., Thompson, R., Woolgar, A., Torralva, T., Antoun, N., Manes, F., &amp; Duncan, J. (2010). Executive function and fluid intelligence after frontal lobe lesions. </w:t>
      </w:r>
      <w:r w:rsidRPr="001768F9">
        <w:rPr>
          <w:rFonts w:ascii="Times New Roman" w:eastAsia="Times New Roman" w:hAnsi="Times New Roman" w:cs="Times New Roman"/>
          <w:i/>
          <w:iCs/>
          <w:sz w:val="24"/>
          <w:szCs w:val="24"/>
        </w:rPr>
        <w:t>Brain: A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133</w:t>
      </w:r>
      <w:r w:rsidRPr="001768F9">
        <w:rPr>
          <w:rFonts w:ascii="Times New Roman" w:eastAsia="Times New Roman" w:hAnsi="Times New Roman" w:cs="Times New Roman"/>
          <w:sz w:val="24"/>
          <w:szCs w:val="24"/>
        </w:rPr>
        <w:t xml:space="preserve">(1), 234–247. </w:t>
      </w:r>
      <w:hyperlink r:id="rId4838" w:history="1">
        <w:r w:rsidRPr="001768F9">
          <w:rPr>
            <w:rFonts w:ascii="Times New Roman" w:eastAsia="Times New Roman" w:hAnsi="Times New Roman" w:cs="Times New Roman"/>
            <w:color w:val="0000FF"/>
            <w:sz w:val="24"/>
            <w:szCs w:val="24"/>
            <w:u w:val="single"/>
          </w:rPr>
          <w:t>https://doi.org/10.1093/brain/awp269</w:t>
        </w:r>
      </w:hyperlink>
    </w:p>
    <w:p w14:paraId="171ACCB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M., Torralva, T., Gleichgerrcht, E., Chade, A., Arévalo, G. G., Gershanik, O., &amp; Manes, F. (2010). Impairments in social cognition in early medicated and unmedicated Parkinson disease.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w:t>
      </w:r>
      <w:r w:rsidRPr="001768F9">
        <w:rPr>
          <w:rFonts w:ascii="Times New Roman" w:eastAsia="Times New Roman" w:hAnsi="Times New Roman" w:cs="Times New Roman"/>
          <w:sz w:val="24"/>
          <w:szCs w:val="24"/>
        </w:rPr>
        <w:t xml:space="preserve">(3), 152–158. </w:t>
      </w:r>
      <w:hyperlink r:id="rId4839" w:history="1">
        <w:r w:rsidRPr="001768F9">
          <w:rPr>
            <w:rFonts w:ascii="Times New Roman" w:eastAsia="Times New Roman" w:hAnsi="Times New Roman" w:cs="Times New Roman"/>
            <w:color w:val="0000FF"/>
            <w:sz w:val="24"/>
            <w:szCs w:val="24"/>
            <w:u w:val="single"/>
          </w:rPr>
          <w:t>https://doi.org/10.1097/WNN.0b013e3181e078de</w:t>
        </w:r>
      </w:hyperlink>
    </w:p>
    <w:p w14:paraId="7A2CA9E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Roca, V., Hart, J., Kimbrell, T., &amp; Freeman, T. (2006). Cognitive Function and Dissociative Disorder Status Among Veteran Subjects With Chronic Posttraumatic Stress Disorder: A Preliminary Study.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226–230. </w:t>
      </w:r>
      <w:hyperlink r:id="rId4840" w:history="1">
        <w:r w:rsidRPr="001768F9">
          <w:rPr>
            <w:rFonts w:ascii="Times New Roman" w:eastAsia="Times New Roman" w:hAnsi="Times New Roman" w:cs="Times New Roman"/>
            <w:color w:val="0000FF"/>
            <w:sz w:val="24"/>
            <w:szCs w:val="24"/>
            <w:u w:val="single"/>
          </w:rPr>
          <w:t>https://doi.org/10.1176/appi.neuropsych.18.2.226</w:t>
        </w:r>
      </w:hyperlink>
    </w:p>
    <w:p w14:paraId="1E7DE57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M. A., Valsasina, P., Ceccarelli, A., Absinta, M., Ghezzi, A., Riccitelli, G., Pagani, E., Falini, A., Comi, G., Scotti, G., &amp; Filippi, M. (2009). Structural and functional MRI correlates of Stroop control in benign MS.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(1), 276–290. </w:t>
      </w:r>
      <w:hyperlink r:id="rId4841" w:history="1">
        <w:r w:rsidRPr="001768F9">
          <w:rPr>
            <w:rFonts w:ascii="Times New Roman" w:eastAsia="Times New Roman" w:hAnsi="Times New Roman" w:cs="Times New Roman"/>
            <w:color w:val="0000FF"/>
            <w:sz w:val="24"/>
            <w:szCs w:val="24"/>
            <w:u w:val="single"/>
          </w:rPr>
          <w:t>https://doi.org/10.1002/hbm.20504</w:t>
        </w:r>
      </w:hyperlink>
    </w:p>
    <w:p w14:paraId="5ED88B1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M. A., Valsasina, P., Hulst, H. E., Abdel‐Aziz, K., Enzinger, C., Gallo, A., Pareto, D., Riccitelli, G., Muhlert, N., Ciccarelli, O., Barkhof, F., Fazekas, F., Tedeschi, G., Arévalo, M. J., &amp; Filippi, M. (2014). Functional correlates of cognitive dysfunction in multiple sclerosis: A multicenter fMRI study. </w:t>
      </w:r>
      <w:r w:rsidRPr="001768F9">
        <w:rPr>
          <w:rFonts w:ascii="Times New Roman" w:eastAsia="Times New Roman" w:hAnsi="Times New Roman" w:cs="Times New Roman"/>
          <w:i/>
          <w:iCs/>
          <w:sz w:val="24"/>
          <w:szCs w:val="24"/>
        </w:rPr>
        <w:t>Human Brain Mapping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(12), 5799–5814. </w:t>
      </w:r>
      <w:hyperlink r:id="rId4842" w:history="1">
        <w:r w:rsidRPr="001768F9">
          <w:rPr>
            <w:rFonts w:ascii="Times New Roman" w:eastAsia="Times New Roman" w:hAnsi="Times New Roman" w:cs="Times New Roman"/>
            <w:color w:val="0000FF"/>
            <w:sz w:val="24"/>
            <w:szCs w:val="24"/>
            <w:u w:val="single"/>
          </w:rPr>
          <w:t>https://doi.org/10.1002/hbm.22586</w:t>
        </w:r>
      </w:hyperlink>
    </w:p>
    <w:p w14:paraId="345D36D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Bellino, S., Calvarese, P., Marchiaro, L., Patria, L., Rasetti, R., &amp; Bogetto, F. (2005). Depressive and negative symptoms in schizophrenia: Different effects on clinical features. </w:t>
      </w:r>
      <w:r w:rsidRPr="001768F9">
        <w:rPr>
          <w:rFonts w:ascii="Times New Roman" w:eastAsia="Times New Roman" w:hAnsi="Times New Roman" w:cs="Times New Roman"/>
          <w:i/>
          <w:iCs/>
          <w:sz w:val="24"/>
          <w:szCs w:val="24"/>
        </w:rPr>
        <w:t>Comprehensive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46</w:t>
      </w:r>
      <w:r w:rsidRPr="001768F9">
        <w:rPr>
          <w:rFonts w:ascii="Times New Roman" w:eastAsia="Times New Roman" w:hAnsi="Times New Roman" w:cs="Times New Roman"/>
          <w:sz w:val="24"/>
          <w:szCs w:val="24"/>
        </w:rPr>
        <w:t xml:space="preserve">(4), 304–310. </w:t>
      </w:r>
      <w:hyperlink r:id="rId4843" w:history="1">
        <w:r w:rsidRPr="001768F9">
          <w:rPr>
            <w:rFonts w:ascii="Times New Roman" w:eastAsia="Times New Roman" w:hAnsi="Times New Roman" w:cs="Times New Roman"/>
            <w:color w:val="0000FF"/>
            <w:sz w:val="24"/>
            <w:szCs w:val="24"/>
            <w:u w:val="single"/>
          </w:rPr>
          <w:t>https://doi.org/10.1016/j.comppsych.2004.09.001</w:t>
        </w:r>
      </w:hyperlink>
    </w:p>
    <w:p w14:paraId="770EB4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Castagna, F., Marchiaro, L., Rasetti, R., Rivoira, E., &amp; Bogetto, F. (2006). Neuropsychological correlates of reality distortion in schizophrenic patients.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145</w:t>
      </w:r>
      <w:r w:rsidRPr="001768F9">
        <w:rPr>
          <w:rFonts w:ascii="Times New Roman" w:eastAsia="Times New Roman" w:hAnsi="Times New Roman" w:cs="Times New Roman"/>
          <w:sz w:val="24"/>
          <w:szCs w:val="24"/>
        </w:rPr>
        <w:t xml:space="preserve">(1), 49–60. </w:t>
      </w:r>
      <w:hyperlink r:id="rId4844" w:history="1">
        <w:r w:rsidRPr="001768F9">
          <w:rPr>
            <w:rFonts w:ascii="Times New Roman" w:eastAsia="Times New Roman" w:hAnsi="Times New Roman" w:cs="Times New Roman"/>
            <w:color w:val="0000FF"/>
            <w:sz w:val="24"/>
            <w:szCs w:val="24"/>
            <w:u w:val="single"/>
          </w:rPr>
          <w:t>https://doi.org/10.1016/j.psychres.2005.10.007</w:t>
        </w:r>
      </w:hyperlink>
    </w:p>
    <w:p w14:paraId="0A4266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Castagna, F., Mongini, T., Montemagni, C., Rasetti, R., Rocca, G., &amp; Bogetto, F. (2009). Exploring the role of face processing in facial emotion recognition in schizophrenia. </w:t>
      </w:r>
      <w:r w:rsidRPr="001768F9">
        <w:rPr>
          <w:rFonts w:ascii="Times New Roman" w:eastAsia="Times New Roman" w:hAnsi="Times New Roman" w:cs="Times New Roman"/>
          <w:i/>
          <w:iCs/>
          <w:sz w:val="24"/>
          <w:szCs w:val="24"/>
        </w:rPr>
        <w:t>Acta Neuropsychiatrica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(6), 292–300. </w:t>
      </w:r>
      <w:hyperlink r:id="rId4845" w:history="1">
        <w:r w:rsidRPr="001768F9">
          <w:rPr>
            <w:rFonts w:ascii="Times New Roman" w:eastAsia="Times New Roman" w:hAnsi="Times New Roman" w:cs="Times New Roman"/>
            <w:color w:val="0000FF"/>
            <w:sz w:val="24"/>
            <w:szCs w:val="24"/>
            <w:u w:val="single"/>
          </w:rPr>
          <w:t>https://doi.org/10.1111/j.1601-5215.2009.00421.x</w:t>
        </w:r>
      </w:hyperlink>
    </w:p>
    <w:p w14:paraId="3050771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Rocca, P., Montemagni, C., Castagna, F., Giugiario, M., Scalese, M., &amp; Bogetto, F. (2009). Relative contribution of antipsychotics, negative symptoms and executive functions to social functioning in stable schizophrenia. </w:t>
      </w:r>
      <w:r w:rsidRPr="001768F9">
        <w:rPr>
          <w:rFonts w:ascii="Times New Roman" w:eastAsia="Times New Roman" w:hAnsi="Times New Roman" w:cs="Times New Roman"/>
          <w:i/>
          <w:iCs/>
          <w:sz w:val="24"/>
          <w:szCs w:val="24"/>
        </w:rPr>
        <w:t>Progress in Neuro-Psychopharmacology &amp; Biological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(2), 373–379. </w:t>
      </w:r>
      <w:hyperlink r:id="rId4846" w:history="1">
        <w:r w:rsidRPr="001768F9">
          <w:rPr>
            <w:rFonts w:ascii="Times New Roman" w:eastAsia="Times New Roman" w:hAnsi="Times New Roman" w:cs="Times New Roman"/>
            <w:color w:val="0000FF"/>
            <w:sz w:val="24"/>
            <w:szCs w:val="24"/>
            <w:u w:val="single"/>
          </w:rPr>
          <w:t>https://doi.org/10.1016/j.pnpbp.2009.01.002</w:t>
        </w:r>
      </w:hyperlink>
    </w:p>
    <w:p w14:paraId="19F5FD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Rocha, N., Marques, A. J., Queirós, C., &amp; Rocha, S. (2014). Proactive coping in schizophrenia: Examining the impact of neurocognitive variables. </w:t>
      </w:r>
      <w:r w:rsidRPr="001768F9">
        <w:rPr>
          <w:rFonts w:ascii="Times New Roman" w:eastAsia="Times New Roman" w:hAnsi="Times New Roman" w:cs="Times New Roman"/>
          <w:i/>
          <w:iCs/>
          <w:sz w:val="24"/>
          <w:szCs w:val="24"/>
        </w:rPr>
        <w:t>Journal of Psychiatric and Mental Health Nursing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(5), 471–476. </w:t>
      </w:r>
      <w:hyperlink r:id="rId4847" w:history="1">
        <w:r w:rsidRPr="001768F9">
          <w:rPr>
            <w:rFonts w:ascii="Times New Roman" w:eastAsia="Times New Roman" w:hAnsi="Times New Roman" w:cs="Times New Roman"/>
            <w:color w:val="0000FF"/>
            <w:sz w:val="24"/>
            <w:szCs w:val="24"/>
            <w:u w:val="single"/>
          </w:rPr>
          <w:t>https://doi.org/10.1111/jpm.12141</w:t>
        </w:r>
      </w:hyperlink>
    </w:p>
    <w:p w14:paraId="0D0B2EA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Rodefer, J. S., Nguyen, T. N., Karlsson, J.-J., &amp; Arnt, J. (2008). Reversal of subchronic PCP-induced deficits in attentional set shifting in rats by sertindole and a 5-HT₆ receptor antagonist: Comparison among antipsychotics. </w:t>
      </w:r>
      <w:r w:rsidRPr="001768F9">
        <w:rPr>
          <w:rFonts w:ascii="Times New Roman" w:eastAsia="Times New Roman" w:hAnsi="Times New Roman" w:cs="Times New Roman"/>
          <w:i/>
          <w:iCs/>
          <w:sz w:val="24"/>
          <w:szCs w:val="24"/>
        </w:rPr>
        <w:t>Neuropsychopharmacology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(11), 2657–2666. </w:t>
      </w:r>
      <w:hyperlink r:id="rId4848" w:history="1">
        <w:r w:rsidRPr="001768F9">
          <w:rPr>
            <w:rFonts w:ascii="Times New Roman" w:eastAsia="Times New Roman" w:hAnsi="Times New Roman" w:cs="Times New Roman"/>
            <w:color w:val="0000FF"/>
            <w:sz w:val="24"/>
            <w:szCs w:val="24"/>
            <w:u w:val="single"/>
          </w:rPr>
          <w:t>https://doi.org/10.1038/sj.npp.1301654</w:t>
        </w:r>
      </w:hyperlink>
    </w:p>
    <w:p w14:paraId="0108BE7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Roder, V., &amp; Schmidt, S. J. (2015). Diagnostic instruments, treatment planning, and controlling the treatment process. In </w:t>
      </w:r>
      <w:r w:rsidRPr="001768F9">
        <w:rPr>
          <w:rFonts w:ascii="Times New Roman" w:eastAsia="Times New Roman" w:hAnsi="Times New Roman" w:cs="Times New Roman"/>
          <w:i/>
          <w:iCs/>
          <w:sz w:val="24"/>
          <w:szCs w:val="24"/>
        </w:rPr>
        <w:t>INT-integrated neurocognitive therapy for schizophrenia patients.</w:t>
      </w:r>
      <w:r w:rsidRPr="001768F9">
        <w:rPr>
          <w:rFonts w:ascii="Times New Roman" w:eastAsia="Times New Roman" w:hAnsi="Times New Roman" w:cs="Times New Roman"/>
          <w:sz w:val="24"/>
          <w:szCs w:val="24"/>
        </w:rPr>
        <w:t xml:space="preserve"> (pp. 121–127). Springer International Publishing. </w:t>
      </w:r>
      <w:hyperlink r:id="rId4849" w:history="1">
        <w:r w:rsidRPr="001768F9">
          <w:rPr>
            <w:rFonts w:ascii="Times New Roman" w:eastAsia="Times New Roman" w:hAnsi="Times New Roman" w:cs="Times New Roman"/>
            <w:color w:val="0000FF"/>
            <w:sz w:val="24"/>
            <w:szCs w:val="24"/>
            <w:u w:val="single"/>
          </w:rPr>
          <w:t>https://doi.org/10.1007/978-3-319-13245-7_4</w:t>
        </w:r>
      </w:hyperlink>
    </w:p>
    <w:p w14:paraId="47809F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Rodrigo, M. J., Padrón, I., de Vega, M., &amp; Ferstl, E. C. (2014). Adolescents’ risky decision-making activates neural networks related to social cognition and cognitive control processes. </w:t>
      </w:r>
      <w:r w:rsidRPr="001768F9">
        <w:rPr>
          <w:rFonts w:ascii="Times New Roman" w:eastAsia="Times New Roman" w:hAnsi="Times New Roman" w:cs="Times New Roman"/>
          <w:i/>
          <w:iCs/>
          <w:sz w:val="24"/>
          <w:szCs w:val="24"/>
        </w:rPr>
        <w:t>Frontiers in Human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w:t>
      </w:r>
      <w:r w:rsidRPr="001768F9">
        <w:rPr>
          <w:rFonts w:ascii="Times New Roman" w:eastAsia="Times New Roman" w:hAnsi="Times New Roman" w:cs="Times New Roman"/>
          <w:sz w:val="24"/>
          <w:szCs w:val="24"/>
        </w:rPr>
        <w:t xml:space="preserve">. </w:t>
      </w:r>
      <w:hyperlink r:id="rId4850" w:history="1">
        <w:r w:rsidRPr="001768F9">
          <w:rPr>
            <w:rFonts w:ascii="Times New Roman" w:eastAsia="Times New Roman" w:hAnsi="Times New Roman" w:cs="Times New Roman"/>
            <w:color w:val="0000FF"/>
            <w:sz w:val="24"/>
            <w:szCs w:val="24"/>
            <w:u w:val="single"/>
          </w:rPr>
          <w:t>https://doi.org/10.3389/fnhum.2014.00060</w:t>
        </w:r>
      </w:hyperlink>
    </w:p>
    <w:p w14:paraId="2C7D302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 A. L., Austin, B. P., &amp; McDowell, J. E. (2017). Plasticity of prefrontal cortex connectivity in schizophrenia in response to antisaccade practice. </w:t>
      </w:r>
      <w:r w:rsidRPr="001768F9">
        <w:rPr>
          <w:rFonts w:ascii="Times New Roman" w:eastAsia="Times New Roman" w:hAnsi="Times New Roman" w:cs="Times New Roman"/>
          <w:i/>
          <w:iCs/>
          <w:sz w:val="24"/>
          <w:szCs w:val="24"/>
        </w:rPr>
        <w:t>Psychiatry Research: Neuroimaging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265</w:t>
      </w:r>
      <w:r w:rsidRPr="001768F9">
        <w:rPr>
          <w:rFonts w:ascii="Times New Roman" w:eastAsia="Times New Roman" w:hAnsi="Times New Roman" w:cs="Times New Roman"/>
          <w:sz w:val="24"/>
          <w:szCs w:val="24"/>
        </w:rPr>
        <w:t xml:space="preserve">, 77–86. </w:t>
      </w:r>
      <w:hyperlink r:id="rId4851" w:history="1">
        <w:r w:rsidRPr="001768F9">
          <w:rPr>
            <w:rFonts w:ascii="Times New Roman" w:eastAsia="Times New Roman" w:hAnsi="Times New Roman" w:cs="Times New Roman"/>
            <w:color w:val="0000FF"/>
            <w:sz w:val="24"/>
            <w:szCs w:val="24"/>
            <w:u w:val="single"/>
          </w:rPr>
          <w:t>https://doi.org/10.1016/j.pscychresns.2016.09.004</w:t>
        </w:r>
      </w:hyperlink>
    </w:p>
    <w:p w14:paraId="59AD8F0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 K. M., &amp; Kennedy, K. M. (2011). The cognitive consequences of structural changes to the aging brain. </w:t>
      </w:r>
      <w:r w:rsidRPr="001768F9">
        <w:rPr>
          <w:rFonts w:ascii="Times New Roman" w:eastAsia="Times New Roman" w:hAnsi="Times New Roman" w:cs="Times New Roman"/>
          <w:i/>
          <w:iCs/>
          <w:sz w:val="24"/>
          <w:szCs w:val="24"/>
        </w:rPr>
        <w:t>Handbook of the Psychology of Aging, 7th Ed.</w:t>
      </w:r>
      <w:r w:rsidRPr="001768F9">
        <w:rPr>
          <w:rFonts w:ascii="Times New Roman" w:eastAsia="Times New Roman" w:hAnsi="Times New Roman" w:cs="Times New Roman"/>
          <w:sz w:val="24"/>
          <w:szCs w:val="24"/>
        </w:rPr>
        <w:t xml:space="preserve">, 73–91. </w:t>
      </w:r>
      <w:hyperlink r:id="rId4852" w:history="1">
        <w:r w:rsidRPr="001768F9">
          <w:rPr>
            <w:rFonts w:ascii="Times New Roman" w:eastAsia="Times New Roman" w:hAnsi="Times New Roman" w:cs="Times New Roman"/>
            <w:color w:val="0000FF"/>
            <w:sz w:val="24"/>
            <w:szCs w:val="24"/>
            <w:u w:val="single"/>
          </w:rPr>
          <w:t>https://doi.org/10.1016/B978-0-12-380882-0.00005-X</w:t>
        </w:r>
      </w:hyperlink>
    </w:p>
    <w:p w14:paraId="7254DC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Rodrigues, V. S., Ribeiro, L., Rodrigues, L. A., Irigaray, T. Q., de Almeida Ribeiro, F., &amp; da Silva Oliveira, M. (2017). Correlations between cognitive performance and readiness to change in cocaine/crack users. </w:t>
      </w:r>
      <w:r w:rsidRPr="001768F9">
        <w:rPr>
          <w:rFonts w:ascii="Times New Roman" w:eastAsia="Times New Roman" w:hAnsi="Times New Roman" w:cs="Times New Roman"/>
          <w:i/>
          <w:iCs/>
          <w:sz w:val="24"/>
          <w:szCs w:val="24"/>
        </w:rPr>
        <w:t>Universitas 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(2), No Pagination Specified-No Pagination Specified.</w:t>
      </w:r>
    </w:p>
    <w:p w14:paraId="3C91915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J. L. S., Torrellas, C., Martín, J., &amp; Fernandez, M. J. (2011). Cognitive reserve and lifestyle in Spanish individuals with sporadic Alzheimer’s disease. </w:t>
      </w:r>
      <w:r w:rsidRPr="001768F9">
        <w:rPr>
          <w:rFonts w:ascii="Times New Roman" w:eastAsia="Times New Roman" w:hAnsi="Times New Roman" w:cs="Times New Roman"/>
          <w:i/>
          <w:iCs/>
          <w:sz w:val="24"/>
          <w:szCs w:val="24"/>
        </w:rPr>
        <w:t>American Journal of Alzheimer’s Disease and Other Dementias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26</w:t>
      </w:r>
      <w:r w:rsidRPr="001768F9">
        <w:rPr>
          <w:rFonts w:ascii="Times New Roman" w:eastAsia="Times New Roman" w:hAnsi="Times New Roman" w:cs="Times New Roman"/>
          <w:sz w:val="24"/>
          <w:szCs w:val="24"/>
        </w:rPr>
        <w:t xml:space="preserve">(7), 542–554. </w:t>
      </w:r>
      <w:hyperlink r:id="rId4853" w:history="1">
        <w:r w:rsidRPr="001768F9">
          <w:rPr>
            <w:rFonts w:ascii="Times New Roman" w:eastAsia="Times New Roman" w:hAnsi="Times New Roman" w:cs="Times New Roman"/>
            <w:color w:val="0000FF"/>
            <w:sz w:val="24"/>
            <w:szCs w:val="24"/>
            <w:u w:val="single"/>
          </w:rPr>
          <w:t>https://doi.org/10.1177/1533317511428150</w:t>
        </w:r>
      </w:hyperlink>
    </w:p>
    <w:p w14:paraId="37824C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L.-A., Algarabel, S., &amp; Escudero, J. (2014). Exploring recollection and familiarity impairments in Parkinson’s disease.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36</w:t>
      </w:r>
      <w:r w:rsidRPr="001768F9">
        <w:rPr>
          <w:rFonts w:ascii="Times New Roman" w:eastAsia="Times New Roman" w:hAnsi="Times New Roman" w:cs="Times New Roman"/>
          <w:sz w:val="24"/>
          <w:szCs w:val="24"/>
        </w:rPr>
        <w:t xml:space="preserve">(5), 494–506. </w:t>
      </w:r>
      <w:hyperlink r:id="rId4854" w:history="1">
        <w:r w:rsidRPr="001768F9">
          <w:rPr>
            <w:rFonts w:ascii="Times New Roman" w:eastAsia="Times New Roman" w:hAnsi="Times New Roman" w:cs="Times New Roman"/>
            <w:color w:val="0000FF"/>
            <w:sz w:val="24"/>
            <w:szCs w:val="24"/>
            <w:u w:val="single"/>
          </w:rPr>
          <w:t>https://doi.org/10.1080/13803395.2014.909386</w:t>
        </w:r>
      </w:hyperlink>
    </w:p>
    <w:p w14:paraId="1CC3F23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 M., Benešová, M. M., &amp; Čermaková, R. (2013). Non-psychopharmacological cognitive interventions for neuropsychiatric disorders.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153–187). Nova Science Publishers.</w:t>
      </w:r>
    </w:p>
    <w:p w14:paraId="24302D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R. H., Romero, C. C., Abolafia, A. A., &amp; Robles, C. C. (2002). Estudio preliminar sobre la evaluación del déficit cognitivo diferencial en la esquizofrenia mediante el WAIS-III. [Assessment through WAIS III of the cognitive deficit distinctive to schizophrenia: Preliminary findings.]. </w:t>
      </w:r>
      <w:r w:rsidRPr="001768F9">
        <w:rPr>
          <w:rFonts w:ascii="Times New Roman" w:eastAsia="Times New Roman" w:hAnsi="Times New Roman" w:cs="Times New Roman"/>
          <w:i/>
          <w:iCs/>
          <w:sz w:val="24"/>
          <w:szCs w:val="24"/>
        </w:rPr>
        <w:t>Archivos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65</w:t>
      </w:r>
      <w:r w:rsidRPr="001768F9">
        <w:rPr>
          <w:rFonts w:ascii="Times New Roman" w:eastAsia="Times New Roman" w:hAnsi="Times New Roman" w:cs="Times New Roman"/>
          <w:sz w:val="24"/>
          <w:szCs w:val="24"/>
        </w:rPr>
        <w:t>(4), 383–392.</w:t>
      </w:r>
    </w:p>
    <w:p w14:paraId="67571B2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 Villegas, A. L., &amp; Salvador Cruz, J. (2015). Executive functioning and adaptive coping in healthy adults.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(2), 124–131. </w:t>
      </w:r>
      <w:hyperlink r:id="rId4855" w:history="1">
        <w:r w:rsidRPr="001768F9">
          <w:rPr>
            <w:rFonts w:ascii="Times New Roman" w:eastAsia="Times New Roman" w:hAnsi="Times New Roman" w:cs="Times New Roman"/>
            <w:color w:val="0000FF"/>
            <w:sz w:val="24"/>
            <w:szCs w:val="24"/>
            <w:u w:val="single"/>
          </w:rPr>
          <w:t>https://doi.org/10.1080/23279095.2013.864972</w:t>
        </w:r>
      </w:hyperlink>
    </w:p>
    <w:p w14:paraId="13BA68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Rodríguez-Aranda, C., &amp; Sundet, K. (2006). The Frontal Hypothesis of Cognitive Aging: Factor Structure and Age Effects on Four Frontal Tests Among Healthy Individuals. </w:t>
      </w:r>
      <w:r w:rsidRPr="001768F9">
        <w:rPr>
          <w:rFonts w:ascii="Times New Roman" w:eastAsia="Times New Roman" w:hAnsi="Times New Roman" w:cs="Times New Roman"/>
          <w:i/>
          <w:iCs/>
          <w:sz w:val="24"/>
          <w:szCs w:val="24"/>
        </w:rPr>
        <w:t>The Journal of Genetic Psychology: Research and Theory on Human Development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167</w:t>
      </w:r>
      <w:r w:rsidRPr="001768F9">
        <w:rPr>
          <w:rFonts w:ascii="Times New Roman" w:eastAsia="Times New Roman" w:hAnsi="Times New Roman" w:cs="Times New Roman"/>
          <w:sz w:val="24"/>
          <w:szCs w:val="24"/>
        </w:rPr>
        <w:t xml:space="preserve">(3), 269–287. </w:t>
      </w:r>
      <w:hyperlink r:id="rId4856" w:history="1">
        <w:r w:rsidRPr="001768F9">
          <w:rPr>
            <w:rFonts w:ascii="Times New Roman" w:eastAsia="Times New Roman" w:hAnsi="Times New Roman" w:cs="Times New Roman"/>
            <w:color w:val="0000FF"/>
            <w:sz w:val="24"/>
            <w:szCs w:val="24"/>
            <w:u w:val="single"/>
          </w:rPr>
          <w:t>https://doi.org/10.3200/GNTP.167.3.269-287</w:t>
        </w:r>
      </w:hyperlink>
    </w:p>
    <w:p w14:paraId="714EEB8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Rodríguez-Aranda, C., Waterloo, K., Johnsen, S. H., Eldevik, P., Sparr, S., Wikran, G. C., Herder, M., &amp; Vangberg, T. R. (2016). Neuroanatomical correlates of verbal fluency in early Alzheimer’s disease and normal aging. </w:t>
      </w:r>
      <w:r w:rsidRPr="001768F9">
        <w:rPr>
          <w:rFonts w:ascii="Times New Roman" w:eastAsia="Times New Roman" w:hAnsi="Times New Roman" w:cs="Times New Roman"/>
          <w:i/>
          <w:iCs/>
          <w:sz w:val="24"/>
          <w:szCs w:val="24"/>
        </w:rPr>
        <w:t>Brain and Language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155–156</w:t>
      </w:r>
      <w:r w:rsidRPr="001768F9">
        <w:rPr>
          <w:rFonts w:ascii="Times New Roman" w:eastAsia="Times New Roman" w:hAnsi="Times New Roman" w:cs="Times New Roman"/>
          <w:sz w:val="24"/>
          <w:szCs w:val="24"/>
        </w:rPr>
        <w:t xml:space="preserve">, 24–35. </w:t>
      </w:r>
      <w:hyperlink r:id="rId4857" w:history="1">
        <w:r w:rsidRPr="001768F9">
          <w:rPr>
            <w:rFonts w:ascii="Times New Roman" w:eastAsia="Times New Roman" w:hAnsi="Times New Roman" w:cs="Times New Roman"/>
            <w:color w:val="0000FF"/>
            <w:sz w:val="24"/>
            <w:szCs w:val="24"/>
            <w:u w:val="single"/>
          </w:rPr>
          <w:t>https://doi.org/10.1016/j.bandl.2016.03.001</w:t>
        </w:r>
      </w:hyperlink>
    </w:p>
    <w:p w14:paraId="7BAE475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Aragües, M., Jimenez-Arriero, M. A., Ponce, G., Martinez, I., Hoenicka, J., Rubio, G., &amp; Palomo, T. (2008). Psychopathology and Wisconsin Card Sorting Test performance in male schizophrenic patients: Influence of dual diagnosis. </w:t>
      </w:r>
      <w:r w:rsidRPr="001768F9">
        <w:rPr>
          <w:rFonts w:ascii="Times New Roman" w:eastAsia="Times New Roman" w:hAnsi="Times New Roman" w:cs="Times New Roman"/>
          <w:i/>
          <w:iCs/>
          <w:sz w:val="24"/>
          <w:szCs w:val="24"/>
        </w:rPr>
        <w:t>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41</w:t>
      </w:r>
      <w:r w:rsidRPr="001768F9">
        <w:rPr>
          <w:rFonts w:ascii="Times New Roman" w:eastAsia="Times New Roman" w:hAnsi="Times New Roman" w:cs="Times New Roman"/>
          <w:sz w:val="24"/>
          <w:szCs w:val="24"/>
        </w:rPr>
        <w:t xml:space="preserve">(1), 58–64. </w:t>
      </w:r>
      <w:hyperlink r:id="rId4858" w:history="1">
        <w:r w:rsidRPr="001768F9">
          <w:rPr>
            <w:rFonts w:ascii="Times New Roman" w:eastAsia="Times New Roman" w:hAnsi="Times New Roman" w:cs="Times New Roman"/>
            <w:color w:val="0000FF"/>
            <w:sz w:val="24"/>
            <w:szCs w:val="24"/>
            <w:u w:val="single"/>
          </w:rPr>
          <w:t>https://doi.org/10.1159/000110627</w:t>
        </w:r>
      </w:hyperlink>
    </w:p>
    <w:p w14:paraId="67F503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Bagney, A., Martinez-Gras, I., Ponce, G., Sanchez-Morla, E. M., Aragües, M., Rubio, G., Jimenez-Arriero, M. A., Santos, J. L., &amp; Palomo, T. (2010). Executive function in schizophrenia: Influence of substance use disorder history.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118</w:t>
      </w:r>
      <w:r w:rsidRPr="001768F9">
        <w:rPr>
          <w:rFonts w:ascii="Times New Roman" w:eastAsia="Times New Roman" w:hAnsi="Times New Roman" w:cs="Times New Roman"/>
          <w:sz w:val="24"/>
          <w:szCs w:val="24"/>
        </w:rPr>
        <w:t xml:space="preserve">(1–3), 34–40. </w:t>
      </w:r>
      <w:hyperlink r:id="rId4859" w:history="1">
        <w:r w:rsidRPr="001768F9">
          <w:rPr>
            <w:rFonts w:ascii="Times New Roman" w:eastAsia="Times New Roman" w:hAnsi="Times New Roman" w:cs="Times New Roman"/>
            <w:color w:val="0000FF"/>
            <w:sz w:val="24"/>
            <w:szCs w:val="24"/>
            <w:u w:val="single"/>
          </w:rPr>
          <w:t>https://doi.org/10.1016/j.schres.2009.09.025</w:t>
        </w:r>
      </w:hyperlink>
    </w:p>
    <w:p w14:paraId="3D9A903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Bagney, A., Mezquita, L., Martinez-Gras, I., Sanchez-Morla, E.-M., Mesa, N., Ibañez, M.-I., Diez-Martin, J., Jimenez-Arriero, M.-A., Lobo, A., Santos, J.-L., &amp; Palomo, T. (2013). Cognition and the five-factor model of the positive and negative syndrome scale in schizophrenia.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143</w:t>
      </w:r>
      <w:r w:rsidRPr="001768F9">
        <w:rPr>
          <w:rFonts w:ascii="Times New Roman" w:eastAsia="Times New Roman" w:hAnsi="Times New Roman" w:cs="Times New Roman"/>
          <w:sz w:val="24"/>
          <w:szCs w:val="24"/>
        </w:rPr>
        <w:t xml:space="preserve">(1), 77–83. </w:t>
      </w:r>
      <w:hyperlink r:id="rId4860" w:history="1">
        <w:r w:rsidRPr="001768F9">
          <w:rPr>
            <w:rFonts w:ascii="Times New Roman" w:eastAsia="Times New Roman" w:hAnsi="Times New Roman" w:cs="Times New Roman"/>
            <w:color w:val="0000FF"/>
            <w:sz w:val="24"/>
            <w:szCs w:val="24"/>
            <w:u w:val="single"/>
          </w:rPr>
          <w:t>https://doi.org/10.1016/j.schres.2012.10.020</w:t>
        </w:r>
      </w:hyperlink>
    </w:p>
    <w:p w14:paraId="6D9B405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Rodriguez-Jimenez, R., Hoenicka, J., Jimenez-Arriero, M. A., Ponce, G., Bagney, A., Aragues, M., &amp; Palomo, T. (2006). Performance in the Wisconsin Card Sorting Test and the C957T polymorphism of the DRD2 gene in healthy volunteers. </w:t>
      </w:r>
      <w:r w:rsidRPr="001768F9">
        <w:rPr>
          <w:rFonts w:ascii="Times New Roman" w:eastAsia="Times New Roman" w:hAnsi="Times New Roman" w:cs="Times New Roman"/>
          <w:i/>
          <w:iCs/>
          <w:sz w:val="24"/>
          <w:szCs w:val="24"/>
        </w:rPr>
        <w:t>Neuropsychobiology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(3), 166–170. </w:t>
      </w:r>
      <w:hyperlink r:id="rId4861" w:history="1">
        <w:r w:rsidRPr="001768F9">
          <w:rPr>
            <w:rFonts w:ascii="Times New Roman" w:eastAsia="Times New Roman" w:hAnsi="Times New Roman" w:cs="Times New Roman"/>
            <w:color w:val="0000FF"/>
            <w:sz w:val="24"/>
            <w:szCs w:val="24"/>
            <w:u w:val="single"/>
          </w:rPr>
          <w:t>https://doi.org/10.1159/000098652</w:t>
        </w:r>
      </w:hyperlink>
    </w:p>
    <w:p w14:paraId="77FFD91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Rodríguez-Labrada, R., Velázquez-Pérez, L., Seigfried, C., Canales-Ochoa, N., Auburger, G., Medrano-Montero, J., Sánchez-Cruz, G., Aguilera-Rodríguez, R., Laffita-Mesa, J., Vázquez-Mojena, Y., Verdecia-Ramirez, M., Motta, M., &amp; Quevedo-Batista, Y. (2011). Saccadic latency is prolonged in Spinocerebellar Ataxia type 2 and correlates with the frontal-executive dysfunctions. </w:t>
      </w:r>
      <w:r w:rsidRPr="001768F9">
        <w:rPr>
          <w:rFonts w:ascii="Times New Roman" w:eastAsia="Times New Roman" w:hAnsi="Times New Roman" w:cs="Times New Roman"/>
          <w:i/>
          <w:iCs/>
          <w:sz w:val="24"/>
          <w:szCs w:val="24"/>
        </w:rPr>
        <w:t>Journal of the Neurological 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306</w:t>
      </w:r>
      <w:r w:rsidRPr="001768F9">
        <w:rPr>
          <w:rFonts w:ascii="Times New Roman" w:eastAsia="Times New Roman" w:hAnsi="Times New Roman" w:cs="Times New Roman"/>
          <w:sz w:val="24"/>
          <w:szCs w:val="24"/>
        </w:rPr>
        <w:t xml:space="preserve">(1–2), 103–107. </w:t>
      </w:r>
      <w:hyperlink r:id="rId4862" w:history="1">
        <w:r w:rsidRPr="001768F9">
          <w:rPr>
            <w:rFonts w:ascii="Times New Roman" w:eastAsia="Times New Roman" w:hAnsi="Times New Roman" w:cs="Times New Roman"/>
            <w:color w:val="0000FF"/>
            <w:sz w:val="24"/>
            <w:szCs w:val="24"/>
            <w:u w:val="single"/>
          </w:rPr>
          <w:t>https://doi.org/10.1016/j.jns.2011.03.033</w:t>
        </w:r>
      </w:hyperlink>
    </w:p>
    <w:p w14:paraId="2D391E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Roebuck-Spencer, T. M., Mattson, S. N., Marion, S. D., Brown, W. S., &amp; Riley, E. P. (2004). Bimanual coordination in alcohol-exposed children: Role of the corpus callosum. </w:t>
      </w:r>
      <w:r w:rsidRPr="001768F9">
        <w:rPr>
          <w:rFonts w:ascii="Times New Roman" w:eastAsia="Times New Roman" w:hAnsi="Times New Roman" w:cs="Times New Roman"/>
          <w:i/>
          <w:iCs/>
          <w:sz w:val="24"/>
          <w:szCs w:val="24"/>
        </w:rPr>
        <w:t>Journal of the International Neuropsychological Society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(4), 536–548. </w:t>
      </w:r>
      <w:hyperlink r:id="rId4863" w:history="1">
        <w:r w:rsidRPr="001768F9">
          <w:rPr>
            <w:rFonts w:ascii="Times New Roman" w:eastAsia="Times New Roman" w:hAnsi="Times New Roman" w:cs="Times New Roman"/>
            <w:color w:val="0000FF"/>
            <w:sz w:val="24"/>
            <w:szCs w:val="24"/>
            <w:u w:val="single"/>
          </w:rPr>
          <w:t>https://doi.org/10.1017/S1355617704104116</w:t>
        </w:r>
      </w:hyperlink>
    </w:p>
    <w:p w14:paraId="035217C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Roebuck-Spencer, T. M., Vincent, A. S., Gilliland, K., Johnson, D. R., &amp; Cooper, D. B. (2013). Initial clinical validation of an embedded performance validity measure within the Automated Neuropsychological Metrics (ANAM).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(7), 700–710. </w:t>
      </w:r>
      <w:hyperlink r:id="rId4864" w:history="1">
        <w:r w:rsidRPr="001768F9">
          <w:rPr>
            <w:rFonts w:ascii="Times New Roman" w:eastAsia="Times New Roman" w:hAnsi="Times New Roman" w:cs="Times New Roman"/>
            <w:color w:val="0000FF"/>
            <w:sz w:val="24"/>
            <w:szCs w:val="24"/>
            <w:u w:val="single"/>
          </w:rPr>
          <w:t>https://doi.org/10.1093/arclin/act055</w:t>
        </w:r>
      </w:hyperlink>
    </w:p>
    <w:p w14:paraId="7F677D7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Roebuck-Spencer, T., &amp; Sherer, M. (2012). Moderate and severe traumatic brain injury. In </w:t>
      </w:r>
      <w:r w:rsidRPr="001768F9">
        <w:rPr>
          <w:rFonts w:ascii="Times New Roman" w:eastAsia="Times New Roman" w:hAnsi="Times New Roman" w:cs="Times New Roman"/>
          <w:i/>
          <w:iCs/>
          <w:sz w:val="24"/>
          <w:szCs w:val="24"/>
        </w:rPr>
        <w:t>Forensic neuropsychology: A scientific approach, 2nd ed.</w:t>
      </w:r>
      <w:r w:rsidRPr="001768F9">
        <w:rPr>
          <w:rFonts w:ascii="Times New Roman" w:eastAsia="Times New Roman" w:hAnsi="Times New Roman" w:cs="Times New Roman"/>
          <w:sz w:val="24"/>
          <w:szCs w:val="24"/>
        </w:rPr>
        <w:t xml:space="preserve"> (pp. 260–280). Oxford University Press.</w:t>
      </w:r>
    </w:p>
    <w:p w14:paraId="404448D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Roelofs, R. L., Visser, E. M., Berger, H. J. C., Prins, J. B., Lantman‐De Valk, H. M. J., &amp; Teunisse, J. P. (2015). </w:t>
      </w:r>
      <w:r w:rsidRPr="001768F9">
        <w:rPr>
          <w:rFonts w:ascii="Times New Roman" w:eastAsia="Times New Roman" w:hAnsi="Times New Roman" w:cs="Times New Roman"/>
          <w:i/>
          <w:iCs/>
          <w:sz w:val="24"/>
          <w:szCs w:val="24"/>
        </w:rPr>
        <w:t>Executive functioning in individuals with intellectual disabilities and autism spectrum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(2), 125–137.</w:t>
      </w:r>
    </w:p>
    <w:p w14:paraId="16AA78E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Roessner, V., Becker, A., Banaschewski, T., &amp; Rothenberger, A. (2007). Executive functions in children with chronic tic disorders with/without ADHD: New insights. </w:t>
      </w:r>
      <w:r w:rsidRPr="001768F9">
        <w:rPr>
          <w:rFonts w:ascii="Times New Roman" w:eastAsia="Times New Roman" w:hAnsi="Times New Roman" w:cs="Times New Roman"/>
          <w:i/>
          <w:iCs/>
          <w:sz w:val="24"/>
          <w:szCs w:val="24"/>
        </w:rPr>
        <w:t>European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w:t>
      </w:r>
      <w:r w:rsidRPr="001768F9">
        <w:rPr>
          <w:rFonts w:ascii="Times New Roman" w:eastAsia="Times New Roman" w:hAnsi="Times New Roman" w:cs="Times New Roman"/>
          <w:sz w:val="24"/>
          <w:szCs w:val="24"/>
        </w:rPr>
        <w:t xml:space="preserve">(Suppl1), 36–44. </w:t>
      </w:r>
      <w:hyperlink r:id="rId4865" w:history="1">
        <w:r w:rsidRPr="001768F9">
          <w:rPr>
            <w:rFonts w:ascii="Times New Roman" w:eastAsia="Times New Roman" w:hAnsi="Times New Roman" w:cs="Times New Roman"/>
            <w:color w:val="0000FF"/>
            <w:sz w:val="24"/>
            <w:szCs w:val="24"/>
            <w:u w:val="single"/>
          </w:rPr>
          <w:t>https://doi.org/10.1007/s00787-007-1005-5</w:t>
        </w:r>
      </w:hyperlink>
    </w:p>
    <w:p w14:paraId="24EE17B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Roffman, J. L., Brohawn, D. G., Friedman, J. S., Dyckman, K. A., Thakkar, K. N., Agam, Y., Vangel, M. G., Goff, D. C., &amp; Manoach, D. S. (2011). MTHFR 677C&gt;T effects on anterior cingulate structure and function during response monitoring in schizophrenia: A preliminary study. </w:t>
      </w:r>
      <w:r w:rsidRPr="001768F9">
        <w:rPr>
          <w:rFonts w:ascii="Times New Roman" w:eastAsia="Times New Roman" w:hAnsi="Times New Roman" w:cs="Times New Roman"/>
          <w:i/>
          <w:iCs/>
          <w:sz w:val="24"/>
          <w:szCs w:val="24"/>
        </w:rPr>
        <w:t>Brain Imaging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w:t>
      </w:r>
      <w:r w:rsidRPr="001768F9">
        <w:rPr>
          <w:rFonts w:ascii="Times New Roman" w:eastAsia="Times New Roman" w:hAnsi="Times New Roman" w:cs="Times New Roman"/>
          <w:sz w:val="24"/>
          <w:szCs w:val="24"/>
        </w:rPr>
        <w:t xml:space="preserve">(1), 65–75. </w:t>
      </w:r>
      <w:hyperlink r:id="rId4866" w:history="1">
        <w:r w:rsidRPr="001768F9">
          <w:rPr>
            <w:rFonts w:ascii="Times New Roman" w:eastAsia="Times New Roman" w:hAnsi="Times New Roman" w:cs="Times New Roman"/>
            <w:color w:val="0000FF"/>
            <w:sz w:val="24"/>
            <w:szCs w:val="24"/>
            <w:u w:val="single"/>
          </w:rPr>
          <w:t>https://doi.org/10.1007/s11682-010-9111-2</w:t>
        </w:r>
      </w:hyperlink>
    </w:p>
    <w:p w14:paraId="5D112F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Roffman, J. L., Weiss, A. P., Deckersbach, T., Freudenreich, O., Henderson, D. C., Wong, D. H., Halsted, C. H., &amp; Goff, D. C. (2008). Interactive effects of COMT Val108/158Met and MTHFR C677T on executive function in schizophrenia. </w:t>
      </w:r>
      <w:r w:rsidRPr="001768F9">
        <w:rPr>
          <w:rFonts w:ascii="Times New Roman" w:eastAsia="Times New Roman" w:hAnsi="Times New Roman" w:cs="Times New Roman"/>
          <w:i/>
          <w:iCs/>
          <w:sz w:val="24"/>
          <w:szCs w:val="24"/>
        </w:rPr>
        <w:t>American Journal of Medical Genetics Part B: Neuropsychiatric Genetics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147B</w:t>
      </w:r>
      <w:r w:rsidRPr="001768F9">
        <w:rPr>
          <w:rFonts w:ascii="Times New Roman" w:eastAsia="Times New Roman" w:hAnsi="Times New Roman" w:cs="Times New Roman"/>
          <w:sz w:val="24"/>
          <w:szCs w:val="24"/>
        </w:rPr>
        <w:t xml:space="preserve">(6), 990–995. </w:t>
      </w:r>
      <w:hyperlink r:id="rId4867" w:history="1">
        <w:r w:rsidRPr="001768F9">
          <w:rPr>
            <w:rFonts w:ascii="Times New Roman" w:eastAsia="Times New Roman" w:hAnsi="Times New Roman" w:cs="Times New Roman"/>
            <w:color w:val="0000FF"/>
            <w:sz w:val="24"/>
            <w:szCs w:val="24"/>
            <w:u w:val="single"/>
          </w:rPr>
          <w:t>https://doi.org/10.1002/ajmg.b.30684</w:t>
        </w:r>
      </w:hyperlink>
    </w:p>
    <w:p w14:paraId="775962F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 L. A., &amp; Fink, J. W. (2013). Mild cognitive impairment and normal aging. In </w:t>
      </w:r>
      <w:r w:rsidRPr="001768F9">
        <w:rPr>
          <w:rFonts w:ascii="Times New Roman" w:eastAsia="Times New Roman" w:hAnsi="Times New Roman" w:cs="Times New Roman"/>
          <w:i/>
          <w:iCs/>
          <w:sz w:val="24"/>
          <w:szCs w:val="24"/>
        </w:rPr>
        <w:t>Handbook on the neuropsychology of aging and dementia.</w:t>
      </w:r>
      <w:r w:rsidRPr="001768F9">
        <w:rPr>
          <w:rFonts w:ascii="Times New Roman" w:eastAsia="Times New Roman" w:hAnsi="Times New Roman" w:cs="Times New Roman"/>
          <w:sz w:val="24"/>
          <w:szCs w:val="24"/>
        </w:rPr>
        <w:t xml:space="preserve"> (pp. 239–256). Springer Science + Business Media. </w:t>
      </w:r>
      <w:hyperlink r:id="rId4868" w:history="1">
        <w:r w:rsidRPr="001768F9">
          <w:rPr>
            <w:rFonts w:ascii="Times New Roman" w:eastAsia="Times New Roman" w:hAnsi="Times New Roman" w:cs="Times New Roman"/>
            <w:color w:val="0000FF"/>
            <w:sz w:val="24"/>
            <w:szCs w:val="24"/>
            <w:u w:val="single"/>
          </w:rPr>
          <w:t>https://doi.org/10.1007/978-1-4614-3106-0_16</w:t>
        </w:r>
      </w:hyperlink>
    </w:p>
    <w:p w14:paraId="3B37D4B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Rogalski, Y., Peelle, J. E., &amp; Reilly, J. (2011). Effects of perceptual and contextual enrichment on visual confrontation naming in adult aging. </w:t>
      </w:r>
      <w:r w:rsidRPr="001768F9">
        <w:rPr>
          <w:rFonts w:ascii="Times New Roman" w:eastAsia="Times New Roman" w:hAnsi="Times New Roman" w:cs="Times New Roman"/>
          <w:i/>
          <w:iCs/>
          <w:sz w:val="24"/>
          <w:szCs w:val="24"/>
        </w:rPr>
        <w:t>Journal of Speech, Language, and Hearing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(5), 1349–1360. </w:t>
      </w:r>
      <w:hyperlink r:id="rId4869" w:history="1">
        <w:r w:rsidRPr="001768F9">
          <w:rPr>
            <w:rFonts w:ascii="Times New Roman" w:eastAsia="Times New Roman" w:hAnsi="Times New Roman" w:cs="Times New Roman"/>
            <w:color w:val="0000FF"/>
            <w:sz w:val="24"/>
            <w:szCs w:val="24"/>
            <w:u w:val="single"/>
          </w:rPr>
          <w:t>https://doi.org/10.1044/1092-4388(2011/10-0178)</w:t>
        </w:r>
      </w:hyperlink>
    </w:p>
    <w:p w14:paraId="67E9132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Rogers, A. K. (1996). </w:t>
      </w:r>
      <w:r w:rsidRPr="001768F9">
        <w:rPr>
          <w:rFonts w:ascii="Times New Roman" w:eastAsia="Times New Roman" w:hAnsi="Times New Roman" w:cs="Times New Roman"/>
          <w:i/>
          <w:iCs/>
          <w:sz w:val="24"/>
          <w:szCs w:val="24"/>
        </w:rPr>
        <w:t>Confirmatory factor analysis of three models of attention.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56</w:t>
      </w:r>
      <w:r w:rsidRPr="001768F9">
        <w:rPr>
          <w:rFonts w:ascii="Times New Roman" w:eastAsia="Times New Roman" w:hAnsi="Times New Roman" w:cs="Times New Roman"/>
          <w:sz w:val="24"/>
          <w:szCs w:val="24"/>
        </w:rPr>
        <w:t>(12-A), 4707–4707.</w:t>
      </w:r>
    </w:p>
    <w:p w14:paraId="738FA2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Rogers, R. D., Andrews, T. C., Grasby, P. M., Brooks, D. J., &amp; Robbins, T. W. (2000). Contrasting cortical and subcortical activations produced by attentional-set shifting and reversal learning in humans.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(1), 142–162. </w:t>
      </w:r>
      <w:hyperlink r:id="rId4870" w:history="1">
        <w:r w:rsidRPr="001768F9">
          <w:rPr>
            <w:rFonts w:ascii="Times New Roman" w:eastAsia="Times New Roman" w:hAnsi="Times New Roman" w:cs="Times New Roman"/>
            <w:color w:val="0000FF"/>
            <w:sz w:val="24"/>
            <w:szCs w:val="24"/>
            <w:u w:val="single"/>
          </w:rPr>
          <w:t>https://doi.org/10.1162/089892900561931</w:t>
        </w:r>
      </w:hyperlink>
    </w:p>
    <w:p w14:paraId="6867FC3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Rogers, T. T., &amp; Patterson, K. (2007). Object categorization: Reversals and explanations of the basic-level advantage. </w:t>
      </w:r>
      <w:r w:rsidRPr="001768F9">
        <w:rPr>
          <w:rFonts w:ascii="Times New Roman" w:eastAsia="Times New Roman" w:hAnsi="Times New Roman" w:cs="Times New Roman"/>
          <w:i/>
          <w:iCs/>
          <w:sz w:val="24"/>
          <w:szCs w:val="24"/>
        </w:rPr>
        <w:t>Journal of Experimental Psychology: General</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136</w:t>
      </w:r>
      <w:r w:rsidRPr="001768F9">
        <w:rPr>
          <w:rFonts w:ascii="Times New Roman" w:eastAsia="Times New Roman" w:hAnsi="Times New Roman" w:cs="Times New Roman"/>
          <w:sz w:val="24"/>
          <w:szCs w:val="24"/>
        </w:rPr>
        <w:t xml:space="preserve">(3), 451–469. </w:t>
      </w:r>
      <w:hyperlink r:id="rId4871" w:history="1">
        <w:r w:rsidRPr="001768F9">
          <w:rPr>
            <w:rFonts w:ascii="Times New Roman" w:eastAsia="Times New Roman" w:hAnsi="Times New Roman" w:cs="Times New Roman"/>
            <w:color w:val="0000FF"/>
            <w:sz w:val="24"/>
            <w:szCs w:val="24"/>
            <w:u w:val="single"/>
          </w:rPr>
          <w:t>https://doi.org/10.1037/0096-3445.136.3.451</w:t>
        </w:r>
      </w:hyperlink>
    </w:p>
    <w:p w14:paraId="78445EB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 K. S., Shin, M. S., Kim, M.-S., Ha, T.-H., Shin, Y.-W., Lee, K. J., &amp; Kwon, J. S. (2005). Persistent cognitive dysfunction in patients with obsessive-compulsive disorder: A naturalistic study.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59</w:t>
      </w:r>
      <w:r w:rsidRPr="001768F9">
        <w:rPr>
          <w:rFonts w:ascii="Times New Roman" w:eastAsia="Times New Roman" w:hAnsi="Times New Roman" w:cs="Times New Roman"/>
          <w:sz w:val="24"/>
          <w:szCs w:val="24"/>
        </w:rPr>
        <w:t xml:space="preserve">(5), 539–545. </w:t>
      </w:r>
      <w:hyperlink r:id="rId4872" w:history="1">
        <w:r w:rsidRPr="001768F9">
          <w:rPr>
            <w:rFonts w:ascii="Times New Roman" w:eastAsia="Times New Roman" w:hAnsi="Times New Roman" w:cs="Times New Roman"/>
            <w:color w:val="0000FF"/>
            <w:sz w:val="24"/>
            <w:szCs w:val="24"/>
            <w:u w:val="single"/>
          </w:rPr>
          <w:t>https://doi.org/10.1111/j.1440-1819.2005.01411.x</w:t>
        </w:r>
      </w:hyperlink>
    </w:p>
    <w:p w14:paraId="71F17E6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Rohlf, H., Jucksch, V., Gawrilow, C., Huss, M., Hein, J., Lehmkuhl, U., &amp; Salbach-Andrae, H. (2012). Set shifting and working memory in adults with attention-deficit/hyperactivity disorder. </w:t>
      </w:r>
      <w:r w:rsidRPr="001768F9">
        <w:rPr>
          <w:rFonts w:ascii="Times New Roman" w:eastAsia="Times New Roman" w:hAnsi="Times New Roman" w:cs="Times New Roman"/>
          <w:i/>
          <w:iCs/>
          <w:sz w:val="24"/>
          <w:szCs w:val="24"/>
        </w:rPr>
        <w:t>Journal of Neural Transmission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119</w:t>
      </w:r>
      <w:r w:rsidRPr="001768F9">
        <w:rPr>
          <w:rFonts w:ascii="Times New Roman" w:eastAsia="Times New Roman" w:hAnsi="Times New Roman" w:cs="Times New Roman"/>
          <w:sz w:val="24"/>
          <w:szCs w:val="24"/>
        </w:rPr>
        <w:t xml:space="preserve">(1), 95–106. </w:t>
      </w:r>
      <w:hyperlink r:id="rId4873" w:history="1">
        <w:r w:rsidRPr="001768F9">
          <w:rPr>
            <w:rFonts w:ascii="Times New Roman" w:eastAsia="Times New Roman" w:hAnsi="Times New Roman" w:cs="Times New Roman"/>
            <w:color w:val="0000FF"/>
            <w:sz w:val="24"/>
            <w:szCs w:val="24"/>
            <w:u w:val="single"/>
          </w:rPr>
          <w:t>https://doi.org/10.1007/s00702-011-0660-3</w:t>
        </w:r>
      </w:hyperlink>
    </w:p>
    <w:p w14:paraId="588BD21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Rohling, M. L., Axelrod, B. N., &amp; Langhinrichsen-Rohling, J. (2017). Fundamental forensic statistics: Statistics every forensic neuropsychologist must know. In S. S. Bush, G. J. Demakis, &amp; M. L. Rohling (Eds.), </w:t>
      </w:r>
      <w:r w:rsidRPr="001768F9">
        <w:rPr>
          <w:rFonts w:ascii="Times New Roman" w:eastAsia="Times New Roman" w:hAnsi="Times New Roman" w:cs="Times New Roman"/>
          <w:i/>
          <w:iCs/>
          <w:sz w:val="24"/>
          <w:szCs w:val="24"/>
        </w:rPr>
        <w:t>APA handbook of forensic neuropsychology.</w:t>
      </w:r>
      <w:r w:rsidRPr="001768F9">
        <w:rPr>
          <w:rFonts w:ascii="Times New Roman" w:eastAsia="Times New Roman" w:hAnsi="Times New Roman" w:cs="Times New Roman"/>
          <w:sz w:val="24"/>
          <w:szCs w:val="24"/>
        </w:rPr>
        <w:t xml:space="preserve"> (pp. 3–22). American Psychological Association. </w:t>
      </w:r>
      <w:hyperlink r:id="rId4874" w:history="1">
        <w:r w:rsidRPr="001768F9">
          <w:rPr>
            <w:rFonts w:ascii="Times New Roman" w:eastAsia="Times New Roman" w:hAnsi="Times New Roman" w:cs="Times New Roman"/>
            <w:color w:val="0000FF"/>
            <w:sz w:val="24"/>
            <w:szCs w:val="24"/>
            <w:u w:val="single"/>
          </w:rPr>
          <w:t>https://doi.org/10.1037/0000032-001</w:t>
        </w:r>
      </w:hyperlink>
    </w:p>
    <w:p w14:paraId="0706D87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Rohling, M. L., Langhinrichsen-Rohling, J., &amp; Axelrod, B. N. (2017). Mild traumatic brain injury. In S. S. Bush, G. J. Demakis, &amp; M. L. Rohling (Eds.), </w:t>
      </w:r>
      <w:r w:rsidRPr="001768F9">
        <w:rPr>
          <w:rFonts w:ascii="Times New Roman" w:eastAsia="Times New Roman" w:hAnsi="Times New Roman" w:cs="Times New Roman"/>
          <w:i/>
          <w:iCs/>
          <w:sz w:val="24"/>
          <w:szCs w:val="24"/>
        </w:rPr>
        <w:t>APA handbook of forensic neuropsychology.</w:t>
      </w:r>
      <w:r w:rsidRPr="001768F9">
        <w:rPr>
          <w:rFonts w:ascii="Times New Roman" w:eastAsia="Times New Roman" w:hAnsi="Times New Roman" w:cs="Times New Roman"/>
          <w:sz w:val="24"/>
          <w:szCs w:val="24"/>
        </w:rPr>
        <w:t xml:space="preserve"> (pp. 147–200). American Psychological Association. </w:t>
      </w:r>
      <w:hyperlink r:id="rId4875" w:history="1">
        <w:r w:rsidRPr="001768F9">
          <w:rPr>
            <w:rFonts w:ascii="Times New Roman" w:eastAsia="Times New Roman" w:hAnsi="Times New Roman" w:cs="Times New Roman"/>
            <w:color w:val="0000FF"/>
            <w:sz w:val="24"/>
            <w:szCs w:val="24"/>
            <w:u w:val="single"/>
          </w:rPr>
          <w:t>https://doi.org/10.1037/0000032-007</w:t>
        </w:r>
      </w:hyperlink>
    </w:p>
    <w:p w14:paraId="2CAB954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Rohr, C. S., Arora, A., Cho, I. Y. K., Katlariwala, P., Dimond, D., Dewey, D., &amp; Bray, S. (2018). Functional network integration and attention skills in young children. </w:t>
      </w:r>
      <w:r w:rsidRPr="001768F9">
        <w:rPr>
          <w:rFonts w:ascii="Times New Roman" w:eastAsia="Times New Roman" w:hAnsi="Times New Roman" w:cs="Times New Roman"/>
          <w:i/>
          <w:iCs/>
          <w:sz w:val="24"/>
          <w:szCs w:val="24"/>
        </w:rPr>
        <w:t>Developmental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30</w:t>
      </w:r>
      <w:r w:rsidRPr="001768F9">
        <w:rPr>
          <w:rFonts w:ascii="Times New Roman" w:eastAsia="Times New Roman" w:hAnsi="Times New Roman" w:cs="Times New Roman"/>
          <w:sz w:val="24"/>
          <w:szCs w:val="24"/>
        </w:rPr>
        <w:t xml:space="preserve">, 200–211. </w:t>
      </w:r>
      <w:hyperlink r:id="rId4876" w:history="1">
        <w:r w:rsidRPr="001768F9">
          <w:rPr>
            <w:rFonts w:ascii="Times New Roman" w:eastAsia="Times New Roman" w:hAnsi="Times New Roman" w:cs="Times New Roman"/>
            <w:color w:val="0000FF"/>
            <w:sz w:val="24"/>
            <w:szCs w:val="24"/>
            <w:u w:val="single"/>
          </w:rPr>
          <w:t>https://doi.org/10.1016/j.dcn.2018.03.007</w:t>
        </w:r>
      </w:hyperlink>
    </w:p>
    <w:p w14:paraId="4D8B10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Rohrer, J. D., Rossor, M. N., &amp; Warren, J. D. (2012). Alzheimer’s pathology in primary progressive aphasia. </w:t>
      </w:r>
      <w:r w:rsidRPr="001768F9">
        <w:rPr>
          <w:rFonts w:ascii="Times New Roman" w:eastAsia="Times New Roman" w:hAnsi="Times New Roman" w:cs="Times New Roman"/>
          <w:i/>
          <w:iCs/>
          <w:sz w:val="24"/>
          <w:szCs w:val="24"/>
        </w:rPr>
        <w:t>Neurobiology of Aging</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(4), 744–752. </w:t>
      </w:r>
      <w:hyperlink r:id="rId4877" w:history="1">
        <w:r w:rsidRPr="001768F9">
          <w:rPr>
            <w:rFonts w:ascii="Times New Roman" w:eastAsia="Times New Roman" w:hAnsi="Times New Roman" w:cs="Times New Roman"/>
            <w:color w:val="0000FF"/>
            <w:sz w:val="24"/>
            <w:szCs w:val="24"/>
            <w:u w:val="single"/>
          </w:rPr>
          <w:t>https://doi.org/10.1016/j.neurobiolaging.2010.05.020</w:t>
        </w:r>
      </w:hyperlink>
    </w:p>
    <w:p w14:paraId="6B16F9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Roikou, K., Bozikas, V. P., Giazkoulidou, A., Kioseoglou, G., Karavatos, A., &amp; Kosmidis, M. H. (2006). Deficits in source memory in schizophrenia: Relationship to basic cognitive functioning and psychopathology. In </w:t>
      </w:r>
      <w:r w:rsidRPr="001768F9">
        <w:rPr>
          <w:rFonts w:ascii="Times New Roman" w:eastAsia="Times New Roman" w:hAnsi="Times New Roman" w:cs="Times New Roman"/>
          <w:i/>
          <w:iCs/>
          <w:sz w:val="24"/>
          <w:szCs w:val="24"/>
        </w:rPr>
        <w:t>Schizophrenic psychology: New research.</w:t>
      </w:r>
      <w:r w:rsidRPr="001768F9">
        <w:rPr>
          <w:rFonts w:ascii="Times New Roman" w:eastAsia="Times New Roman" w:hAnsi="Times New Roman" w:cs="Times New Roman"/>
          <w:sz w:val="24"/>
          <w:szCs w:val="24"/>
        </w:rPr>
        <w:t xml:space="preserve"> (pp. 169–210). Nova Science Publishers.</w:t>
      </w:r>
    </w:p>
    <w:p w14:paraId="6B61E93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Rojas, L. G., Santos, P. M., &amp; Sánchez-Pedreño, F. O. (2005). Ejecución del WCST en pacientes con esquizofrenia: Influencia de variables clínicas y de la lateralidad manual. [Performance in WCST in patients with schizophrenia: Influence of clinical variables in manual laterality.]. </w:t>
      </w:r>
      <w:r w:rsidRPr="001768F9">
        <w:rPr>
          <w:rFonts w:ascii="Times New Roman" w:eastAsia="Times New Roman" w:hAnsi="Times New Roman" w:cs="Times New Roman"/>
          <w:i/>
          <w:iCs/>
          <w:sz w:val="24"/>
          <w:szCs w:val="24"/>
        </w:rPr>
        <w:t>Actas Españolas de Psiquiatría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(3), 173–179.</w:t>
      </w:r>
    </w:p>
    <w:p w14:paraId="263CFA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Rolanía, O. S., Olmos, J. G., &amp; Urdiain, T. A. (2006). Neuropsicología de los pacientes con esclerosis múltiple remitente recurrente con discapacidad leve. [Neuropsychology performance in patients with mild multiple sclerosis.]. </w:t>
      </w:r>
      <w:r w:rsidRPr="001768F9">
        <w:rPr>
          <w:rFonts w:ascii="Times New Roman" w:eastAsia="Times New Roman" w:hAnsi="Times New Roman" w:cs="Times New Roman"/>
          <w:i/>
          <w:iCs/>
          <w:sz w:val="24"/>
          <w:szCs w:val="24"/>
        </w:rPr>
        <w:t>Psicothema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(1), 84–87.</w:t>
      </w:r>
    </w:p>
    <w:p w14:paraId="0C59ABF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Rolfe, M. H. S., Hausmann, M., &amp; Waldie, K. E. (2006). Hemispheric functioning in children with subtypes of attention-deficit/hyperactivity disorder. </w:t>
      </w:r>
      <w:r w:rsidRPr="001768F9">
        <w:rPr>
          <w:rFonts w:ascii="Times New Roman" w:eastAsia="Times New Roman" w:hAnsi="Times New Roman" w:cs="Times New Roman"/>
          <w:i/>
          <w:iCs/>
          <w:sz w:val="24"/>
          <w:szCs w:val="24"/>
        </w:rPr>
        <w:t>Journal of Attention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w:t>
      </w:r>
      <w:r w:rsidRPr="001768F9">
        <w:rPr>
          <w:rFonts w:ascii="Times New Roman" w:eastAsia="Times New Roman" w:hAnsi="Times New Roman" w:cs="Times New Roman"/>
          <w:sz w:val="24"/>
          <w:szCs w:val="24"/>
        </w:rPr>
        <w:t xml:space="preserve">(1), 20–27. </w:t>
      </w:r>
      <w:hyperlink r:id="rId4878" w:history="1">
        <w:r w:rsidRPr="001768F9">
          <w:rPr>
            <w:rFonts w:ascii="Times New Roman" w:eastAsia="Times New Roman" w:hAnsi="Times New Roman" w:cs="Times New Roman"/>
            <w:color w:val="0000FF"/>
            <w:sz w:val="24"/>
            <w:szCs w:val="24"/>
            <w:u w:val="single"/>
          </w:rPr>
          <w:t>https://doi.org/10.1177/1087054705286053</w:t>
        </w:r>
      </w:hyperlink>
    </w:p>
    <w:p w14:paraId="6727E5F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Rolin, S. N., Davis, J. J., &amp; Miller, J. B. (2021). Estimating premorbid ability in rehabilitation patients using the Test of Premorbid Functioning and Wide Range Achievement Test–Fourth Edition. </w:t>
      </w:r>
      <w:r w:rsidRPr="001768F9">
        <w:rPr>
          <w:rFonts w:ascii="Times New Roman" w:eastAsia="Times New Roman" w:hAnsi="Times New Roman" w:cs="Times New Roman"/>
          <w:i/>
          <w:iCs/>
          <w:sz w:val="24"/>
          <w:szCs w:val="24"/>
        </w:rPr>
        <w:t>Assessment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(3), 994–1003. </w:t>
      </w:r>
      <w:hyperlink r:id="rId4879" w:history="1">
        <w:r w:rsidRPr="001768F9">
          <w:rPr>
            <w:rFonts w:ascii="Times New Roman" w:eastAsia="Times New Roman" w:hAnsi="Times New Roman" w:cs="Times New Roman"/>
            <w:color w:val="0000FF"/>
            <w:sz w:val="24"/>
            <w:szCs w:val="24"/>
            <w:u w:val="single"/>
          </w:rPr>
          <w:t>https://doi.org/10.1177/1073191119887441</w:t>
        </w:r>
      </w:hyperlink>
    </w:p>
    <w:p w14:paraId="00AE4B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Rolin, S. N., Mullen, C. M., Vaccariello, E., &amp; Davis, J. J. (2021). Examining the Cognitive Proficiency Index in rehabilitation patients.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(5), 573–582. </w:t>
      </w:r>
      <w:hyperlink r:id="rId4880" w:history="1">
        <w:r w:rsidRPr="001768F9">
          <w:rPr>
            <w:rFonts w:ascii="Times New Roman" w:eastAsia="Times New Roman" w:hAnsi="Times New Roman" w:cs="Times New Roman"/>
            <w:color w:val="0000FF"/>
            <w:sz w:val="24"/>
            <w:szCs w:val="24"/>
            <w:u w:val="single"/>
          </w:rPr>
          <w:t>https://doi.org/10.1080/23279095.2019.1666269</w:t>
        </w:r>
      </w:hyperlink>
    </w:p>
    <w:p w14:paraId="39A11E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Rolls, E. T. (2012). Glutamate, obsessive–compulsive disorder, schizophrenia, and the stability of cortical attractor neuronal networks. </w:t>
      </w:r>
      <w:r w:rsidRPr="001768F9">
        <w:rPr>
          <w:rFonts w:ascii="Times New Roman" w:eastAsia="Times New Roman" w:hAnsi="Times New Roman" w:cs="Times New Roman"/>
          <w:i/>
          <w:iCs/>
          <w:sz w:val="24"/>
          <w:szCs w:val="24"/>
        </w:rPr>
        <w:t>Pharmacology, Biochemistry and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100</w:t>
      </w:r>
      <w:r w:rsidRPr="001768F9">
        <w:rPr>
          <w:rFonts w:ascii="Times New Roman" w:eastAsia="Times New Roman" w:hAnsi="Times New Roman" w:cs="Times New Roman"/>
          <w:sz w:val="24"/>
          <w:szCs w:val="24"/>
        </w:rPr>
        <w:t xml:space="preserve">(4), 736–751. </w:t>
      </w:r>
      <w:hyperlink r:id="rId4881" w:history="1">
        <w:r w:rsidRPr="001768F9">
          <w:rPr>
            <w:rFonts w:ascii="Times New Roman" w:eastAsia="Times New Roman" w:hAnsi="Times New Roman" w:cs="Times New Roman"/>
            <w:color w:val="0000FF"/>
            <w:sz w:val="24"/>
            <w:szCs w:val="24"/>
            <w:u w:val="single"/>
          </w:rPr>
          <w:t>https://doi.org/10.1016/j.pbb.2011.06.017</w:t>
        </w:r>
      </w:hyperlink>
    </w:p>
    <w:p w14:paraId="752C22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Rolstad, S., Nordlund, A., Eckerström, C., Gustavsson, M. H., Blennow, K., Olesen, P. J., Zetterberg, H., &amp; Wallin, A. (2010). High education may offer protection against tauopathy in patients with mild cognitive impairment. </w:t>
      </w:r>
      <w:r w:rsidRPr="001768F9">
        <w:rPr>
          <w:rFonts w:ascii="Times New Roman" w:eastAsia="Times New Roman" w:hAnsi="Times New Roman" w:cs="Times New Roman"/>
          <w:i/>
          <w:iCs/>
          <w:sz w:val="24"/>
          <w:szCs w:val="24"/>
        </w:rPr>
        <w:t>Journal of Alzheimer’s Disease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(1), 221–228.</w:t>
      </w:r>
    </w:p>
    <w:p w14:paraId="3923E5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Romain, J. E. (2008). Grand larceny in the first grade: Traumatic brain injury in the school-aged years. In </w:t>
      </w:r>
      <w:r w:rsidRPr="001768F9">
        <w:rPr>
          <w:rFonts w:ascii="Times New Roman" w:eastAsia="Times New Roman" w:hAnsi="Times New Roman" w:cs="Times New Roman"/>
          <w:i/>
          <w:iCs/>
          <w:sz w:val="24"/>
          <w:szCs w:val="24"/>
        </w:rPr>
        <w:t>Pediatric neuropsychology case studies: From the exceptional to the commonplace.</w:t>
      </w:r>
      <w:r w:rsidRPr="001768F9">
        <w:rPr>
          <w:rFonts w:ascii="Times New Roman" w:eastAsia="Times New Roman" w:hAnsi="Times New Roman" w:cs="Times New Roman"/>
          <w:sz w:val="24"/>
          <w:szCs w:val="24"/>
        </w:rPr>
        <w:t xml:space="preserve"> (pp. 23–31). Springer Science + Business Media. </w:t>
      </w:r>
      <w:hyperlink r:id="rId4882" w:history="1">
        <w:r w:rsidRPr="001768F9">
          <w:rPr>
            <w:rFonts w:ascii="Times New Roman" w:eastAsia="Times New Roman" w:hAnsi="Times New Roman" w:cs="Times New Roman"/>
            <w:color w:val="0000FF"/>
            <w:sz w:val="24"/>
            <w:szCs w:val="24"/>
            <w:u w:val="single"/>
          </w:rPr>
          <w:t>https://doi.org/10.1007/978-0-387-78965-1_3</w:t>
        </w:r>
      </w:hyperlink>
    </w:p>
    <w:p w14:paraId="3132EA0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Romani, C., MacDonald, A., De Felice, S., &amp; Palermo, L. (2018). Speed of processing and executive functions in adults with phenylketonuria: Quick in finding the word, but not the ladybird. </w:t>
      </w:r>
      <w:r w:rsidRPr="001768F9">
        <w:rPr>
          <w:rFonts w:ascii="Times New Roman" w:eastAsia="Times New Roman" w:hAnsi="Times New Roman" w:cs="Times New Roman"/>
          <w:i/>
          <w:iCs/>
          <w:sz w:val="24"/>
          <w:szCs w:val="24"/>
        </w:rPr>
        <w:t>Cognitive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35</w:t>
      </w:r>
      <w:r w:rsidRPr="001768F9">
        <w:rPr>
          <w:rFonts w:ascii="Times New Roman" w:eastAsia="Times New Roman" w:hAnsi="Times New Roman" w:cs="Times New Roman"/>
          <w:sz w:val="24"/>
          <w:szCs w:val="24"/>
        </w:rPr>
        <w:t xml:space="preserve">(3–4), 171–198. </w:t>
      </w:r>
      <w:hyperlink r:id="rId4883" w:history="1">
        <w:r w:rsidRPr="001768F9">
          <w:rPr>
            <w:rFonts w:ascii="Times New Roman" w:eastAsia="Times New Roman" w:hAnsi="Times New Roman" w:cs="Times New Roman"/>
            <w:color w:val="0000FF"/>
            <w:sz w:val="24"/>
            <w:szCs w:val="24"/>
            <w:u w:val="single"/>
          </w:rPr>
          <w:t>https://doi.org/10.1080/02643294.2017.1320278</w:t>
        </w:r>
      </w:hyperlink>
    </w:p>
    <w:p w14:paraId="09489CC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Romani, C., Palermo, L., MacDonald, A., Limback, E., Hall, S. K., &amp; Geberhiwot, T. (2017). The impact of phenylalanine levels on cognitive outcomes in adults with phenylketonuria: Effects across tasks and developmental stages.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31</w:t>
      </w:r>
      <w:r w:rsidRPr="001768F9">
        <w:rPr>
          <w:rFonts w:ascii="Times New Roman" w:eastAsia="Times New Roman" w:hAnsi="Times New Roman" w:cs="Times New Roman"/>
          <w:sz w:val="24"/>
          <w:szCs w:val="24"/>
        </w:rPr>
        <w:t xml:space="preserve">(3), 242–254. </w:t>
      </w:r>
      <w:hyperlink r:id="rId4884" w:history="1">
        <w:r w:rsidRPr="001768F9">
          <w:rPr>
            <w:rFonts w:ascii="Times New Roman" w:eastAsia="Times New Roman" w:hAnsi="Times New Roman" w:cs="Times New Roman"/>
            <w:color w:val="0000FF"/>
            <w:sz w:val="24"/>
            <w:szCs w:val="24"/>
            <w:u w:val="single"/>
          </w:rPr>
          <w:t>https://doi.org/10.1037/neu0000336</w:t>
        </w:r>
      </w:hyperlink>
    </w:p>
    <w:p w14:paraId="41B36BC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Romann, A. J., Dornelles, S., de Liz Maineri, N., de Mello Rieder, C. R., &amp; Olchik, M. R. (2012). Cognitive assessment instruments in Parkinson’s disease patients undergoing Deep Brain Stimulation. </w:t>
      </w:r>
      <w:r w:rsidRPr="001768F9">
        <w:rPr>
          <w:rFonts w:ascii="Times New Roman" w:eastAsia="Times New Roman" w:hAnsi="Times New Roman" w:cs="Times New Roman"/>
          <w:i/>
          <w:iCs/>
          <w:sz w:val="24"/>
          <w:szCs w:val="24"/>
        </w:rPr>
        <w:t>Dementia &amp; 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(1), 2–11. </w:t>
      </w:r>
      <w:hyperlink r:id="rId4885" w:history="1">
        <w:r w:rsidRPr="001768F9">
          <w:rPr>
            <w:rFonts w:ascii="Times New Roman" w:eastAsia="Times New Roman" w:hAnsi="Times New Roman" w:cs="Times New Roman"/>
            <w:color w:val="0000FF"/>
            <w:sz w:val="24"/>
            <w:szCs w:val="24"/>
            <w:u w:val="single"/>
          </w:rPr>
          <w:t>https://doi.org/10.1590/S1980-57642012DN06010002</w:t>
        </w:r>
      </w:hyperlink>
    </w:p>
    <w:p w14:paraId="1B3A002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Romano, R., Bertolino, A., Gigante, A., Martino, D., Livrea, P., &amp; Defazio, G. (2014). Impaired cognitive functions in adult-onset primary cranial cervical dystonia.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162–165. </w:t>
      </w:r>
      <w:hyperlink r:id="rId4886" w:history="1">
        <w:r w:rsidRPr="001768F9">
          <w:rPr>
            <w:rFonts w:ascii="Times New Roman" w:eastAsia="Times New Roman" w:hAnsi="Times New Roman" w:cs="Times New Roman"/>
            <w:color w:val="0000FF"/>
            <w:sz w:val="24"/>
            <w:szCs w:val="24"/>
            <w:u w:val="single"/>
          </w:rPr>
          <w:t>https://doi.org/10.1016/j.parkreldis.2013.10.008</w:t>
        </w:r>
      </w:hyperlink>
    </w:p>
    <w:p w14:paraId="1B2438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Romano, S., &amp; Nocentini, U. (2012). Euphoria, pathological laughing and crying. In </w:t>
      </w:r>
      <w:r w:rsidRPr="001768F9">
        <w:rPr>
          <w:rFonts w:ascii="Times New Roman" w:eastAsia="Times New Roman" w:hAnsi="Times New Roman" w:cs="Times New Roman"/>
          <w:i/>
          <w:iCs/>
          <w:sz w:val="24"/>
          <w:szCs w:val="24"/>
        </w:rPr>
        <w:t>Neuropsychiatric dysfunction in multiple sclerosis.</w:t>
      </w:r>
      <w:r w:rsidRPr="001768F9">
        <w:rPr>
          <w:rFonts w:ascii="Times New Roman" w:eastAsia="Times New Roman" w:hAnsi="Times New Roman" w:cs="Times New Roman"/>
          <w:sz w:val="24"/>
          <w:szCs w:val="24"/>
        </w:rPr>
        <w:t xml:space="preserve"> (pp. 121–126). Springer-Verlag Publishing.</w:t>
      </w:r>
    </w:p>
    <w:p w14:paraId="57A8996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 E., Holtzman, J. N., Tannenhaus, L., Monchablon, R., Rago, C. M., Lolich, M., &amp; Vázquez, G. H. (2016). Neuropsychological performance and affective temperaments in Euthymic patients with bipolar disorder type II.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238</w:t>
      </w:r>
      <w:r w:rsidRPr="001768F9">
        <w:rPr>
          <w:rFonts w:ascii="Times New Roman" w:eastAsia="Times New Roman" w:hAnsi="Times New Roman" w:cs="Times New Roman"/>
          <w:sz w:val="24"/>
          <w:szCs w:val="24"/>
        </w:rPr>
        <w:t xml:space="preserve">, 172–180. </w:t>
      </w:r>
      <w:hyperlink r:id="rId4887" w:history="1">
        <w:r w:rsidRPr="001768F9">
          <w:rPr>
            <w:rFonts w:ascii="Times New Roman" w:eastAsia="Times New Roman" w:hAnsi="Times New Roman" w:cs="Times New Roman"/>
            <w:color w:val="0000FF"/>
            <w:sz w:val="24"/>
            <w:szCs w:val="24"/>
            <w:u w:val="single"/>
          </w:rPr>
          <w:t>https://doi.org/10.1016/j.psychres.2016.02.032</w:t>
        </w:r>
      </w:hyperlink>
    </w:p>
    <w:p w14:paraId="7A115B2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Gracia, E., Martín-Fernández, M., &amp; Moya-Albiol, L. (2021). Generally antisocial batterers with high neuropsychological deficits present lower treatment compliance and higher recidivism. </w:t>
      </w:r>
      <w:r w:rsidRPr="001768F9">
        <w:rPr>
          <w:rFonts w:ascii="Times New Roman" w:eastAsia="Times New Roman" w:hAnsi="Times New Roman" w:cs="Times New Roman"/>
          <w:i/>
          <w:iCs/>
          <w:sz w:val="24"/>
          <w:szCs w:val="24"/>
        </w:rPr>
        <w:t>Psychology of Violence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(3), 318–328. </w:t>
      </w:r>
      <w:hyperlink r:id="rId4888" w:history="1">
        <w:r w:rsidRPr="001768F9">
          <w:rPr>
            <w:rFonts w:ascii="Times New Roman" w:eastAsia="Times New Roman" w:hAnsi="Times New Roman" w:cs="Times New Roman"/>
            <w:color w:val="0000FF"/>
            <w:sz w:val="24"/>
            <w:szCs w:val="24"/>
            <w:u w:val="single"/>
          </w:rPr>
          <w:t>https://doi.org/10.1037/vio0000296</w:t>
        </w:r>
      </w:hyperlink>
    </w:p>
    <w:p w14:paraId="06E1FDF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&amp; Moya‐Albiol, L. (2019). The importance of impulsivity and attention switching deficits in perpetrators convicted for intimate partner violence. </w:t>
      </w:r>
      <w:r w:rsidRPr="001768F9">
        <w:rPr>
          <w:rFonts w:ascii="Times New Roman" w:eastAsia="Times New Roman" w:hAnsi="Times New Roman" w:cs="Times New Roman"/>
          <w:i/>
          <w:iCs/>
          <w:sz w:val="24"/>
          <w:szCs w:val="24"/>
        </w:rPr>
        <w:t>Aggressive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45</w:t>
      </w:r>
      <w:r w:rsidRPr="001768F9">
        <w:rPr>
          <w:rFonts w:ascii="Times New Roman" w:eastAsia="Times New Roman" w:hAnsi="Times New Roman" w:cs="Times New Roman"/>
          <w:sz w:val="24"/>
          <w:szCs w:val="24"/>
        </w:rPr>
        <w:t xml:space="preserve">(2), 129–138. </w:t>
      </w:r>
      <w:hyperlink r:id="rId4889" w:history="1">
        <w:r w:rsidRPr="001768F9">
          <w:rPr>
            <w:rFonts w:ascii="Times New Roman" w:eastAsia="Times New Roman" w:hAnsi="Times New Roman" w:cs="Times New Roman"/>
            <w:color w:val="0000FF"/>
            <w:sz w:val="24"/>
            <w:szCs w:val="24"/>
            <w:u w:val="single"/>
          </w:rPr>
          <w:t>https://doi.org/10.1002/ab.21802</w:t>
        </w:r>
      </w:hyperlink>
    </w:p>
    <w:p w14:paraId="26D8EC09"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&amp; Moya-Albiol, L. (2021). Alexithymic traits are closely related to impulsivity and cognitive and empathic dysfunctions in intimate partner violence perpetrators: New targets for intervention.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71–79. </w:t>
      </w:r>
      <w:hyperlink r:id="rId4890" w:history="1">
        <w:r w:rsidRPr="001768F9">
          <w:rPr>
            <w:rFonts w:ascii="Times New Roman" w:eastAsia="Times New Roman" w:hAnsi="Times New Roman" w:cs="Times New Roman"/>
            <w:color w:val="0000FF"/>
            <w:sz w:val="24"/>
            <w:szCs w:val="24"/>
            <w:u w:val="single"/>
          </w:rPr>
          <w:t>https://doi.org/10.1080/23279095.2019.1594233</w:t>
        </w:r>
      </w:hyperlink>
    </w:p>
    <w:p w14:paraId="6AE3E00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Romero-Martínez, Á., Lila, M., Sariñana-González, P., González-Bono, E., &amp; Moya-Albiol, L. (2013). High testosterone levels and sensitivity to acute stress in perpetrators of domestic violence with low cognitive flexibility and impairments in their emotional decoding process: A preliminary study. </w:t>
      </w:r>
      <w:r w:rsidRPr="001768F9">
        <w:rPr>
          <w:rFonts w:ascii="Times New Roman" w:eastAsia="Times New Roman" w:hAnsi="Times New Roman" w:cs="Times New Roman"/>
          <w:i/>
          <w:iCs/>
          <w:sz w:val="24"/>
          <w:szCs w:val="24"/>
        </w:rPr>
        <w:t>Aggressive Behavior</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39</w:t>
      </w:r>
      <w:r w:rsidRPr="001768F9">
        <w:rPr>
          <w:rFonts w:ascii="Times New Roman" w:eastAsia="Times New Roman" w:hAnsi="Times New Roman" w:cs="Times New Roman"/>
          <w:sz w:val="24"/>
          <w:szCs w:val="24"/>
        </w:rPr>
        <w:t xml:space="preserve">(5), 355–369. </w:t>
      </w:r>
      <w:hyperlink r:id="rId4891" w:history="1">
        <w:r w:rsidRPr="001768F9">
          <w:rPr>
            <w:rFonts w:ascii="Times New Roman" w:eastAsia="Times New Roman" w:hAnsi="Times New Roman" w:cs="Times New Roman"/>
            <w:color w:val="0000FF"/>
            <w:sz w:val="24"/>
            <w:szCs w:val="24"/>
            <w:u w:val="single"/>
          </w:rPr>
          <w:t>https://doi.org/10.1002/ab.21490</w:t>
        </w:r>
      </w:hyperlink>
    </w:p>
    <w:p w14:paraId="431710D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Romine, C. B., Lee, D., Wolfe, M. E., Homack, S., George, C., &amp; Riccio, C. A. (2004). Wisconsin Card Sorting Test with children: A meta-analytic study of sensitivity and specificity.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(8), 1027–1041. </w:t>
      </w:r>
      <w:hyperlink r:id="rId4892" w:history="1">
        <w:r w:rsidRPr="001768F9">
          <w:rPr>
            <w:rFonts w:ascii="Times New Roman" w:eastAsia="Times New Roman" w:hAnsi="Times New Roman" w:cs="Times New Roman"/>
            <w:color w:val="0000FF"/>
            <w:sz w:val="24"/>
            <w:szCs w:val="24"/>
            <w:u w:val="single"/>
          </w:rPr>
          <w:t>https://doi.org/10.1016/j.acn.2003.12.009</w:t>
        </w:r>
      </w:hyperlink>
    </w:p>
    <w:p w14:paraId="66EDD1E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Rommel, A.-S., Halperin, J. M., Mill, J., Asherson, P., &amp; Kuntsi, J. (2013). Protection from genetic diathesis in attention-deficit/hyperactivity disorder: Possible complementary roles of exercise. </w:t>
      </w:r>
      <w:r w:rsidRPr="001768F9">
        <w:rPr>
          <w:rFonts w:ascii="Times New Roman" w:eastAsia="Times New Roman" w:hAnsi="Times New Roman" w:cs="Times New Roman"/>
          <w:i/>
          <w:iCs/>
          <w:sz w:val="24"/>
          <w:szCs w:val="24"/>
        </w:rPr>
        <w:t>Journal of the American Academy of Child &amp; Adolescent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52</w:t>
      </w:r>
      <w:r w:rsidRPr="001768F9">
        <w:rPr>
          <w:rFonts w:ascii="Times New Roman" w:eastAsia="Times New Roman" w:hAnsi="Times New Roman" w:cs="Times New Roman"/>
          <w:sz w:val="24"/>
          <w:szCs w:val="24"/>
        </w:rPr>
        <w:t xml:space="preserve">(9), 900–910. </w:t>
      </w:r>
      <w:hyperlink r:id="rId4893" w:history="1">
        <w:r w:rsidRPr="001768F9">
          <w:rPr>
            <w:rFonts w:ascii="Times New Roman" w:eastAsia="Times New Roman" w:hAnsi="Times New Roman" w:cs="Times New Roman"/>
            <w:color w:val="0000FF"/>
            <w:sz w:val="24"/>
            <w:szCs w:val="24"/>
            <w:u w:val="single"/>
          </w:rPr>
          <w:t>https://doi.org/10.1016/j.jaac.2013.05.018</w:t>
        </w:r>
      </w:hyperlink>
    </w:p>
    <w:p w14:paraId="4C9AAE4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Roncone, R., Mazza, M., Frangou, I., De Risio, A., Ussorio, D., Tozzini, C., &amp; Casacchia, M. (2004). Rehabilitation of theory of mind deficit in schizophrenia: A pilot study of metacognitive strategies in group treatment. </w:t>
      </w:r>
      <w:r w:rsidRPr="001768F9">
        <w:rPr>
          <w:rFonts w:ascii="Times New Roman" w:eastAsia="Times New Roman" w:hAnsi="Times New Roman" w:cs="Times New Roman"/>
          <w:i/>
          <w:iCs/>
          <w:sz w:val="24"/>
          <w:szCs w:val="24"/>
        </w:rPr>
        <w:t>Neuropsychological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(4), 421–435. </w:t>
      </w:r>
      <w:hyperlink r:id="rId4894" w:history="1">
        <w:r w:rsidRPr="001768F9">
          <w:rPr>
            <w:rFonts w:ascii="Times New Roman" w:eastAsia="Times New Roman" w:hAnsi="Times New Roman" w:cs="Times New Roman"/>
            <w:color w:val="0000FF"/>
            <w:sz w:val="24"/>
            <w:szCs w:val="24"/>
            <w:u w:val="single"/>
          </w:rPr>
          <w:t>https://doi.org/10.1080/09602010343000291</w:t>
        </w:r>
      </w:hyperlink>
    </w:p>
    <w:p w14:paraId="651C194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Ronsaville, D. S., Municchi, G., Laney, C., Cizza, G., Meyer, S. E., Haim, A., Radke-Yarrow, M., Chrousos, G., Gold, P. W., &amp; Martinez, P. E. (2006). Maternal and environmental factors influence the hypothalamic-pituitary-adrenal axis response to corticotropin-releasing hormone infusion in offspring of mothers with or without mood disorders. </w:t>
      </w:r>
      <w:r w:rsidRPr="001768F9">
        <w:rPr>
          <w:rFonts w:ascii="Times New Roman" w:eastAsia="Times New Roman" w:hAnsi="Times New Roman" w:cs="Times New Roman"/>
          <w:i/>
          <w:iCs/>
          <w:sz w:val="24"/>
          <w:szCs w:val="24"/>
        </w:rPr>
        <w:t>Development and Psychopathology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173–194. </w:t>
      </w:r>
      <w:hyperlink r:id="rId4895" w:history="1">
        <w:r w:rsidRPr="001768F9">
          <w:rPr>
            <w:rFonts w:ascii="Times New Roman" w:eastAsia="Times New Roman" w:hAnsi="Times New Roman" w:cs="Times New Roman"/>
            <w:color w:val="0000FF"/>
            <w:sz w:val="24"/>
            <w:szCs w:val="24"/>
            <w:u w:val="single"/>
          </w:rPr>
          <w:t>https://doi.org/10.1017/S095457940606010X</w:t>
        </w:r>
      </w:hyperlink>
    </w:p>
    <w:p w14:paraId="0202A9F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Roopesh, B. N., Janardhan Reddy, Y. C., &amp; Mukundan, C. R. (2013). Neuropsychological deficits in drug naïve, non-depressed obsessive-compulsive disorder patients. </w:t>
      </w:r>
      <w:r w:rsidRPr="001768F9">
        <w:rPr>
          <w:rFonts w:ascii="Times New Roman" w:eastAsia="Times New Roman" w:hAnsi="Times New Roman" w:cs="Times New Roman"/>
          <w:i/>
          <w:iCs/>
          <w:sz w:val="24"/>
          <w:szCs w:val="24"/>
        </w:rPr>
        <w:t>Asian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(2), 162–170. </w:t>
      </w:r>
      <w:hyperlink r:id="rId4896" w:history="1">
        <w:r w:rsidRPr="001768F9">
          <w:rPr>
            <w:rFonts w:ascii="Times New Roman" w:eastAsia="Times New Roman" w:hAnsi="Times New Roman" w:cs="Times New Roman"/>
            <w:color w:val="0000FF"/>
            <w:sz w:val="24"/>
            <w:szCs w:val="24"/>
            <w:u w:val="single"/>
          </w:rPr>
          <w:t>https://doi.org/10.1016/j.ajp.2012.10.003</w:t>
        </w:r>
      </w:hyperlink>
    </w:p>
    <w:p w14:paraId="3B3E1A4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Ropovik, I. (2014). Do executive functions predict the ability to learn problem-solving principles? </w:t>
      </w:r>
      <w:r w:rsidRPr="001768F9">
        <w:rPr>
          <w:rFonts w:ascii="Times New Roman" w:eastAsia="Times New Roman" w:hAnsi="Times New Roman" w:cs="Times New Roman"/>
          <w:i/>
          <w:iCs/>
          <w:sz w:val="24"/>
          <w:szCs w:val="24"/>
        </w:rPr>
        <w:t>Intelligence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44</w:t>
      </w:r>
      <w:r w:rsidRPr="001768F9">
        <w:rPr>
          <w:rFonts w:ascii="Times New Roman" w:eastAsia="Times New Roman" w:hAnsi="Times New Roman" w:cs="Times New Roman"/>
          <w:sz w:val="24"/>
          <w:szCs w:val="24"/>
        </w:rPr>
        <w:t xml:space="preserve">, 64–74. </w:t>
      </w:r>
      <w:hyperlink r:id="rId4897" w:history="1">
        <w:r w:rsidRPr="001768F9">
          <w:rPr>
            <w:rFonts w:ascii="Times New Roman" w:eastAsia="Times New Roman" w:hAnsi="Times New Roman" w:cs="Times New Roman"/>
            <w:color w:val="0000FF"/>
            <w:sz w:val="24"/>
            <w:szCs w:val="24"/>
            <w:u w:val="single"/>
          </w:rPr>
          <w:t>https://doi.org/10.1016/j.intell.2014.03.002</w:t>
        </w:r>
      </w:hyperlink>
    </w:p>
    <w:p w14:paraId="5883EC1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A., Cuesta, M. J., Peralta, V., Zarzuela, A., Serrano, F., Martínez-Larrea, A., &amp; Fañanás, L. (2005). Dermatoglyphic anomalies and neurocognitive deficits in sibling pairs discordant for schizophrenia spectrum disorders.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137</w:t>
      </w:r>
      <w:r w:rsidRPr="001768F9">
        <w:rPr>
          <w:rFonts w:ascii="Times New Roman" w:eastAsia="Times New Roman" w:hAnsi="Times New Roman" w:cs="Times New Roman"/>
          <w:sz w:val="24"/>
          <w:szCs w:val="24"/>
        </w:rPr>
        <w:t xml:space="preserve">(3), 215–221. </w:t>
      </w:r>
      <w:hyperlink r:id="rId4898" w:history="1">
        <w:r w:rsidRPr="001768F9">
          <w:rPr>
            <w:rFonts w:ascii="Times New Roman" w:eastAsia="Times New Roman" w:hAnsi="Times New Roman" w:cs="Times New Roman"/>
            <w:color w:val="0000FF"/>
            <w:sz w:val="24"/>
            <w:szCs w:val="24"/>
            <w:u w:val="single"/>
          </w:rPr>
          <w:t>https://doi.org/10.1016/j.psychres.2005.07.006</w:t>
        </w:r>
      </w:hyperlink>
    </w:p>
    <w:p w14:paraId="58042ED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A., Peralta, V., Cuesta, M. J., Zarzuela, A., Serrano, F., Martínez-Larrea, A., &amp; Fañanás, L. (2004). New Evidence of Association Between COMT Gene and Prefrontal Neurocognitive Function in Healthy Individuals From Sibling Pairs Discordant for Psychosis.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161</w:t>
      </w:r>
      <w:r w:rsidRPr="001768F9">
        <w:rPr>
          <w:rFonts w:ascii="Times New Roman" w:eastAsia="Times New Roman" w:hAnsi="Times New Roman" w:cs="Times New Roman"/>
          <w:sz w:val="24"/>
          <w:szCs w:val="24"/>
        </w:rPr>
        <w:t xml:space="preserve">(6), 1110–1112. </w:t>
      </w:r>
      <w:hyperlink r:id="rId4899" w:history="1">
        <w:r w:rsidRPr="001768F9">
          <w:rPr>
            <w:rFonts w:ascii="Times New Roman" w:eastAsia="Times New Roman" w:hAnsi="Times New Roman" w:cs="Times New Roman"/>
            <w:color w:val="0000FF"/>
            <w:sz w:val="24"/>
            <w:szCs w:val="24"/>
            <w:u w:val="single"/>
          </w:rPr>
          <w:t>https://doi.org/10.1176/appi.ajp.161.6.1110</w:t>
        </w:r>
      </w:hyperlink>
    </w:p>
    <w:p w14:paraId="33854F0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A. R., Mercadé, C., Sánchez-Moreno, J., Solé, B., Del Mar Bonnin, C., Torrent, C., Grande, I., Sugranyes, G., Popovic, D., Salamero, M., Kapczinski, F., Vieta, E., &amp; Martinez-Aran, A. (2013). Validity and reliability of a rating scale on subjective cognitive deficits in bipolar disorder (COBRA). </w:t>
      </w:r>
      <w:r w:rsidRPr="001768F9">
        <w:rPr>
          <w:rFonts w:ascii="Times New Roman" w:eastAsia="Times New Roman" w:hAnsi="Times New Roman" w:cs="Times New Roman"/>
          <w:i/>
          <w:iCs/>
          <w:sz w:val="24"/>
          <w:szCs w:val="24"/>
        </w:rPr>
        <w:t>Journal of Affective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29–36. </w:t>
      </w:r>
      <w:hyperlink r:id="rId4900" w:history="1">
        <w:r w:rsidRPr="001768F9">
          <w:rPr>
            <w:rFonts w:ascii="Times New Roman" w:eastAsia="Times New Roman" w:hAnsi="Times New Roman" w:cs="Times New Roman"/>
            <w:color w:val="0000FF"/>
            <w:sz w:val="24"/>
            <w:szCs w:val="24"/>
            <w:u w:val="single"/>
          </w:rPr>
          <w:t>https://doi.org/10.1016/j.jad.2013.02.022</w:t>
        </w:r>
      </w:hyperlink>
    </w:p>
    <w:p w14:paraId="1C34F15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 M., Puig, O., Lázaro, L., Vallés, V., Lera, S., Sánchez-Gistau, V., &amp; Calvo, R. (2017). Broad cognitive profile in children and adolescents with HF-ASD and in their siblings: Widespread underperformance and its clinical and adaptive correlates. </w:t>
      </w:r>
      <w:r w:rsidRPr="001768F9">
        <w:rPr>
          <w:rFonts w:ascii="Times New Roman" w:eastAsia="Times New Roman" w:hAnsi="Times New Roman" w:cs="Times New Roman"/>
          <w:i/>
          <w:iCs/>
          <w:sz w:val="24"/>
          <w:szCs w:val="24"/>
        </w:rPr>
        <w:t>Journal of Autism and Developmental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47</w:t>
      </w:r>
      <w:r w:rsidRPr="001768F9">
        <w:rPr>
          <w:rFonts w:ascii="Times New Roman" w:eastAsia="Times New Roman" w:hAnsi="Times New Roman" w:cs="Times New Roman"/>
          <w:sz w:val="24"/>
          <w:szCs w:val="24"/>
        </w:rPr>
        <w:t xml:space="preserve">(7), 2153–2162. </w:t>
      </w:r>
      <w:hyperlink r:id="rId4901" w:history="1">
        <w:r w:rsidRPr="001768F9">
          <w:rPr>
            <w:rFonts w:ascii="Times New Roman" w:eastAsia="Times New Roman" w:hAnsi="Times New Roman" w:cs="Times New Roman"/>
            <w:color w:val="0000FF"/>
            <w:sz w:val="24"/>
            <w:szCs w:val="24"/>
            <w:u w:val="single"/>
          </w:rPr>
          <w:t>https://doi.org/10.1007/s10803-017-3137-x</w:t>
        </w:r>
      </w:hyperlink>
    </w:p>
    <w:p w14:paraId="361A985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Rosa-Alcázar, Á., Olivares-Olivares, P. J., Martínez-Esparza, I. C., Parada-Navas, J. L., Rosa-Alcázar, A. I., &amp; Olivares-Rodríguez, J. (2020). Cognitive flexibility and response inhibition in patients with obsessive-compulsive disorder and generalized anxiety disorder. </w:t>
      </w:r>
      <w:r w:rsidRPr="001768F9">
        <w:rPr>
          <w:rFonts w:ascii="Times New Roman" w:eastAsia="Times New Roman" w:hAnsi="Times New Roman" w:cs="Times New Roman"/>
          <w:i/>
          <w:iCs/>
          <w:sz w:val="24"/>
          <w:szCs w:val="24"/>
        </w:rPr>
        <w:t>International Journal of Clinical and Health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(1), 20–28. </w:t>
      </w:r>
      <w:hyperlink r:id="rId4902" w:history="1">
        <w:r w:rsidRPr="001768F9">
          <w:rPr>
            <w:rFonts w:ascii="Times New Roman" w:eastAsia="Times New Roman" w:hAnsi="Times New Roman" w:cs="Times New Roman"/>
            <w:color w:val="0000FF"/>
            <w:sz w:val="24"/>
            <w:szCs w:val="24"/>
            <w:u w:val="single"/>
          </w:rPr>
          <w:t>https://doi.org/10.1016/j.ijchp.2019.07.006</w:t>
        </w:r>
      </w:hyperlink>
    </w:p>
    <w:p w14:paraId="35538C1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 D., Wykes, T., Farrier, D., Doran, A.-M., Sporle, T., &amp; Bogner, D. (2008). What do clients think of cognitive remediation therapy?: A consumer-led investigation of satisfaction and side effect. </w:t>
      </w:r>
      <w:r w:rsidRPr="001768F9">
        <w:rPr>
          <w:rFonts w:ascii="Times New Roman" w:eastAsia="Times New Roman" w:hAnsi="Times New Roman" w:cs="Times New Roman"/>
          <w:i/>
          <w:iCs/>
          <w:sz w:val="24"/>
          <w:szCs w:val="24"/>
        </w:rPr>
        <w:t>American Journal of Psychiatric Rehabilitation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 xml:space="preserve">(2), 181–204. </w:t>
      </w:r>
      <w:hyperlink r:id="rId4903" w:history="1">
        <w:r w:rsidRPr="001768F9">
          <w:rPr>
            <w:rFonts w:ascii="Times New Roman" w:eastAsia="Times New Roman" w:hAnsi="Times New Roman" w:cs="Times New Roman"/>
            <w:color w:val="0000FF"/>
            <w:sz w:val="24"/>
            <w:szCs w:val="24"/>
            <w:u w:val="single"/>
          </w:rPr>
          <w:t>https://doi.org/10.1080/15487760801963694</w:t>
        </w:r>
      </w:hyperlink>
    </w:p>
    <w:p w14:paraId="613113B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 S. A., Feldman, J. F., &amp; Jankowski, J. J. (2011). Modeling a cascade of effects: The role of speed and executive functioning in preterm/full‐term differences in academic achievement. </w:t>
      </w:r>
      <w:r w:rsidRPr="001768F9">
        <w:rPr>
          <w:rFonts w:ascii="Times New Roman" w:eastAsia="Times New Roman" w:hAnsi="Times New Roman" w:cs="Times New Roman"/>
          <w:i/>
          <w:iCs/>
          <w:sz w:val="24"/>
          <w:szCs w:val="24"/>
        </w:rPr>
        <w:t>Developmental 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(5), 1161–1175. </w:t>
      </w:r>
      <w:hyperlink r:id="rId4904" w:history="1">
        <w:r w:rsidRPr="001768F9">
          <w:rPr>
            <w:rFonts w:ascii="Times New Roman" w:eastAsia="Times New Roman" w:hAnsi="Times New Roman" w:cs="Times New Roman"/>
            <w:color w:val="0000FF"/>
            <w:sz w:val="24"/>
            <w:szCs w:val="24"/>
            <w:u w:val="single"/>
          </w:rPr>
          <w:t>https://doi.org/10.1111/j.1467-7687.2011.01068.x</w:t>
        </w:r>
      </w:hyperlink>
    </w:p>
    <w:p w14:paraId="32CDF50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 J. B., Rott, E., Ebersbach, G., &amp; Kalbe, E. (2015). Altered moral decision-making in patients with idiopathic Parkinson’s disease. </w:t>
      </w:r>
      <w:r w:rsidRPr="001768F9">
        <w:rPr>
          <w:rFonts w:ascii="Times New Roman" w:eastAsia="Times New Roman" w:hAnsi="Times New Roman" w:cs="Times New Roman"/>
          <w:i/>
          <w:iCs/>
          <w:sz w:val="24"/>
          <w:szCs w:val="24"/>
        </w:rPr>
        <w:t>Parkinsonism &amp; Related Disorders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21</w:t>
      </w:r>
      <w:r w:rsidRPr="001768F9">
        <w:rPr>
          <w:rFonts w:ascii="Times New Roman" w:eastAsia="Times New Roman" w:hAnsi="Times New Roman" w:cs="Times New Roman"/>
          <w:sz w:val="24"/>
          <w:szCs w:val="24"/>
        </w:rPr>
        <w:t xml:space="preserve">(10), 1191–1199. </w:t>
      </w:r>
      <w:hyperlink r:id="rId4905" w:history="1">
        <w:r w:rsidRPr="001768F9">
          <w:rPr>
            <w:rFonts w:ascii="Times New Roman" w:eastAsia="Times New Roman" w:hAnsi="Times New Roman" w:cs="Times New Roman"/>
            <w:color w:val="0000FF"/>
            <w:sz w:val="24"/>
            <w:szCs w:val="24"/>
            <w:u w:val="single"/>
          </w:rPr>
          <w:t>https://doi.org/10.1016/j.parkreldis.2015.08.016</w:t>
        </w:r>
      </w:hyperlink>
    </w:p>
    <w:p w14:paraId="223EB59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Rosenbaum, R. S., Carson, N., Abraham, N., Bowles, B., Kwan, D., Köhler, S., Svoboda, E., Levine, B., &amp; Richards, B. (2011). Impaired event memory and recollection in a case of developmental amnesia.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(5), 394–409. </w:t>
      </w:r>
      <w:hyperlink r:id="rId4906" w:history="1">
        <w:r w:rsidRPr="001768F9">
          <w:rPr>
            <w:rFonts w:ascii="Times New Roman" w:eastAsia="Times New Roman" w:hAnsi="Times New Roman" w:cs="Times New Roman"/>
            <w:color w:val="0000FF"/>
            <w:sz w:val="24"/>
            <w:szCs w:val="24"/>
            <w:u w:val="single"/>
          </w:rPr>
          <w:t>https://doi.org/10.1080/13554794.2010.532138</w:t>
        </w:r>
      </w:hyperlink>
    </w:p>
    <w:p w14:paraId="5AC908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Rosenbaum, R. S., Gao, F., Richards, B., Black, S. E., &amp; Moscovitch, M. (2005). “Where to?” Remote Memory for Spatial Relations and Landmark Identity in Former Taxi Drivers with Alzheimer’s Disease and Encephalitis. </w:t>
      </w:r>
      <w:r w:rsidRPr="001768F9">
        <w:rPr>
          <w:rFonts w:ascii="Times New Roman" w:eastAsia="Times New Roman" w:hAnsi="Times New Roman" w:cs="Times New Roman"/>
          <w:i/>
          <w:iCs/>
          <w:sz w:val="24"/>
          <w:szCs w:val="24"/>
        </w:rPr>
        <w:t>Journal of Cognitive Neuroscience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(3), 446–462. </w:t>
      </w:r>
      <w:hyperlink r:id="rId4907" w:history="1">
        <w:r w:rsidRPr="001768F9">
          <w:rPr>
            <w:rFonts w:ascii="Times New Roman" w:eastAsia="Times New Roman" w:hAnsi="Times New Roman" w:cs="Times New Roman"/>
            <w:color w:val="0000FF"/>
            <w:sz w:val="24"/>
            <w:szCs w:val="24"/>
            <w:u w:val="single"/>
          </w:rPr>
          <w:t>https://doi.org/10.1162/0898929053279496</w:t>
        </w:r>
      </w:hyperlink>
    </w:p>
    <w:p w14:paraId="6D52E5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Rosenbaum, R. S., Köhler, S., Schacter, D. L., Moscovitch, M., Westmacott, R., Black, S. E., Gao, F., &amp; Tulving, E. (2005). The case of K.C.: Contributions of a memory-impaired person to memory theory. </w:t>
      </w:r>
      <w:r w:rsidRPr="001768F9">
        <w:rPr>
          <w:rFonts w:ascii="Times New Roman" w:eastAsia="Times New Roman" w:hAnsi="Times New Roman" w:cs="Times New Roman"/>
          <w:i/>
          <w:iCs/>
          <w:sz w:val="24"/>
          <w:szCs w:val="24"/>
        </w:rPr>
        <w:t>Neuropsychologia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43</w:t>
      </w:r>
      <w:r w:rsidRPr="001768F9">
        <w:rPr>
          <w:rFonts w:ascii="Times New Roman" w:eastAsia="Times New Roman" w:hAnsi="Times New Roman" w:cs="Times New Roman"/>
          <w:sz w:val="24"/>
          <w:szCs w:val="24"/>
        </w:rPr>
        <w:t xml:space="preserve">(7), 989–1021. </w:t>
      </w:r>
      <w:hyperlink r:id="rId4908" w:history="1">
        <w:r w:rsidRPr="001768F9">
          <w:rPr>
            <w:rFonts w:ascii="Times New Roman" w:eastAsia="Times New Roman" w:hAnsi="Times New Roman" w:cs="Times New Roman"/>
            <w:color w:val="0000FF"/>
            <w:sz w:val="24"/>
            <w:szCs w:val="24"/>
            <w:u w:val="single"/>
          </w:rPr>
          <w:t>https://doi.org/10.1016/j.neuropsychologia.2004.10.007</w:t>
        </w:r>
      </w:hyperlink>
    </w:p>
    <w:p w14:paraId="204B7E8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Rosenberg, G. A., Prestopnik, J., Adair, J. C., Huisa, B. N., Knoefel, J., Caprihan, A., Gasparovic, C., Thompson, J., Erhardt, E. B., &amp; Schrader, R. (2015). Validation of biomarkers in subcortical ischaemic vascular disease of the Binswanger type: Approach to targeted treatment trials. </w:t>
      </w:r>
      <w:r w:rsidRPr="001768F9">
        <w:rPr>
          <w:rFonts w:ascii="Times New Roman" w:eastAsia="Times New Roman" w:hAnsi="Times New Roman" w:cs="Times New Roman"/>
          <w:i/>
          <w:iCs/>
          <w:sz w:val="24"/>
          <w:szCs w:val="24"/>
        </w:rPr>
        <w:t>Journal of Neurology, Neurosurgery &amp;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86</w:t>
      </w:r>
      <w:r w:rsidRPr="001768F9">
        <w:rPr>
          <w:rFonts w:ascii="Times New Roman" w:eastAsia="Times New Roman" w:hAnsi="Times New Roman" w:cs="Times New Roman"/>
          <w:sz w:val="24"/>
          <w:szCs w:val="24"/>
        </w:rPr>
        <w:t xml:space="preserve">(12), 1324–1330. </w:t>
      </w:r>
      <w:hyperlink r:id="rId4909" w:history="1">
        <w:r w:rsidRPr="001768F9">
          <w:rPr>
            <w:rFonts w:ascii="Times New Roman" w:eastAsia="Times New Roman" w:hAnsi="Times New Roman" w:cs="Times New Roman"/>
            <w:color w:val="0000FF"/>
            <w:sz w:val="24"/>
            <w:szCs w:val="24"/>
            <w:u w:val="single"/>
          </w:rPr>
          <w:t>https://doi.org/10.1136/jnnp-2014-309421</w:t>
        </w:r>
      </w:hyperlink>
    </w:p>
    <w:p w14:paraId="0B41DB2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Rosenbloom, M. H., Freudenreich, O., &amp; Price, B. H. (2013). Comportment. In </w:t>
      </w:r>
      <w:r w:rsidRPr="001768F9">
        <w:rPr>
          <w:rFonts w:ascii="Times New Roman" w:eastAsia="Times New Roman" w:hAnsi="Times New Roman" w:cs="Times New Roman"/>
          <w:i/>
          <w:iCs/>
          <w:sz w:val="24"/>
          <w:szCs w:val="24"/>
        </w:rPr>
        <w:t>Behavioral neurology and neuropsychiatry.</w:t>
      </w:r>
      <w:r w:rsidRPr="001768F9">
        <w:rPr>
          <w:rFonts w:ascii="Times New Roman" w:eastAsia="Times New Roman" w:hAnsi="Times New Roman" w:cs="Times New Roman"/>
          <w:sz w:val="24"/>
          <w:szCs w:val="24"/>
        </w:rPr>
        <w:t xml:space="preserve"> (pp. 250–265). Cambridge University Press. </w:t>
      </w:r>
      <w:hyperlink r:id="rId4910" w:history="1">
        <w:r w:rsidRPr="001768F9">
          <w:rPr>
            <w:rFonts w:ascii="Times New Roman" w:eastAsia="Times New Roman" w:hAnsi="Times New Roman" w:cs="Times New Roman"/>
            <w:color w:val="0000FF"/>
            <w:sz w:val="24"/>
            <w:szCs w:val="24"/>
            <w:u w:val="single"/>
          </w:rPr>
          <w:t>https://doi.org/10.1017/CBO9781139016919.019</w:t>
        </w:r>
      </w:hyperlink>
    </w:p>
    <w:p w14:paraId="7882614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Rosenheck, R., Leslie, D., Keefe, R., McEvoy, J., Swartz, M., Perkins, D., Stroup, S., Hsiao, J. K., &amp; Lieberman, J. (2006). Barriers to Employment for People With Schizophrenia.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163</w:t>
      </w:r>
      <w:r w:rsidRPr="001768F9">
        <w:rPr>
          <w:rFonts w:ascii="Times New Roman" w:eastAsia="Times New Roman" w:hAnsi="Times New Roman" w:cs="Times New Roman"/>
          <w:sz w:val="24"/>
          <w:szCs w:val="24"/>
        </w:rPr>
        <w:t xml:space="preserve">(3), 411–417. </w:t>
      </w:r>
      <w:hyperlink r:id="rId4911" w:history="1">
        <w:r w:rsidRPr="001768F9">
          <w:rPr>
            <w:rFonts w:ascii="Times New Roman" w:eastAsia="Times New Roman" w:hAnsi="Times New Roman" w:cs="Times New Roman"/>
            <w:color w:val="0000FF"/>
            <w:sz w:val="24"/>
            <w:szCs w:val="24"/>
            <w:u w:val="single"/>
          </w:rPr>
          <w:t>https://doi.org/10.1176/appi.ajp.163.3.411</w:t>
        </w:r>
      </w:hyperlink>
    </w:p>
    <w:p w14:paraId="3CD9E9E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Rosenheck, R., Perlick, D., Bingham, S., Liu-Mares, W., Collins, J., Warren, S., Leslie, D., Allan, E., Campbell, E. C., Caroff, S., Corwin, J., Davis, L., Douyon, R., Dunn, L., Evans, D., Frecska, E., Grabowski, J., Graeber, D., Herz, L., … Smith-Gamble, V. (2003). Effectiveness and Cost of Olanzapine and Haloperidol in the Treatment of Schizophrenia: A Randomized Controlled Trial. </w:t>
      </w:r>
      <w:r w:rsidRPr="001768F9">
        <w:rPr>
          <w:rFonts w:ascii="Times New Roman" w:eastAsia="Times New Roman" w:hAnsi="Times New Roman" w:cs="Times New Roman"/>
          <w:i/>
          <w:iCs/>
          <w:sz w:val="24"/>
          <w:szCs w:val="24"/>
        </w:rPr>
        <w:t>JAMA: Journal of the American Medical Association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290</w:t>
      </w:r>
      <w:r w:rsidRPr="001768F9">
        <w:rPr>
          <w:rFonts w:ascii="Times New Roman" w:eastAsia="Times New Roman" w:hAnsi="Times New Roman" w:cs="Times New Roman"/>
          <w:sz w:val="24"/>
          <w:szCs w:val="24"/>
        </w:rPr>
        <w:t xml:space="preserve">(20), 2693–2702. </w:t>
      </w:r>
      <w:hyperlink r:id="rId4912" w:history="1">
        <w:r w:rsidRPr="001768F9">
          <w:rPr>
            <w:rFonts w:ascii="Times New Roman" w:eastAsia="Times New Roman" w:hAnsi="Times New Roman" w:cs="Times New Roman"/>
            <w:color w:val="0000FF"/>
            <w:sz w:val="24"/>
            <w:szCs w:val="24"/>
            <w:u w:val="single"/>
          </w:rPr>
          <w:t>https://doi.org/10.1001/jama.290.20.2693</w:t>
        </w:r>
      </w:hyperlink>
    </w:p>
    <w:p w14:paraId="0EEE52E7"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Rosenheck, R., Stroup, S., Keefe, R. S. E., McEvoy, J., Swartz, M., Perkins, D., Hsiao, J., Shumway, M., &amp; Lieberman, J. (2005). Measuring outcome priorities and preferences in people with schizophrenia. </w:t>
      </w:r>
      <w:r w:rsidRPr="001768F9">
        <w:rPr>
          <w:rFonts w:ascii="Times New Roman" w:eastAsia="Times New Roman" w:hAnsi="Times New Roman" w:cs="Times New Roman"/>
          <w:i/>
          <w:iCs/>
          <w:sz w:val="24"/>
          <w:szCs w:val="24"/>
        </w:rPr>
        <w:t>The British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187</w:t>
      </w:r>
      <w:r w:rsidRPr="001768F9">
        <w:rPr>
          <w:rFonts w:ascii="Times New Roman" w:eastAsia="Times New Roman" w:hAnsi="Times New Roman" w:cs="Times New Roman"/>
          <w:sz w:val="24"/>
          <w:szCs w:val="24"/>
        </w:rPr>
        <w:t xml:space="preserve">(6), 529–536. </w:t>
      </w:r>
      <w:hyperlink r:id="rId4913" w:history="1">
        <w:r w:rsidRPr="001768F9">
          <w:rPr>
            <w:rFonts w:ascii="Times New Roman" w:eastAsia="Times New Roman" w:hAnsi="Times New Roman" w:cs="Times New Roman"/>
            <w:color w:val="0000FF"/>
            <w:sz w:val="24"/>
            <w:szCs w:val="24"/>
            <w:u w:val="single"/>
          </w:rPr>
          <w:t>https://doi.org/10.1192/bjp.187.6.529</w:t>
        </w:r>
      </w:hyperlink>
    </w:p>
    <w:p w14:paraId="67EF2C8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Rosenthal, M., Wallace, G. L., Lawson, R., Wills, M. C., Dixon, E., Yerys, B. E., &amp; Kenworthy, L. (2013). Impairments in Real-World Executive Function Increase From Childhood to Adolescence in Autism Spectrum Disorders. </w:t>
      </w:r>
      <w:r w:rsidRPr="001768F9">
        <w:rPr>
          <w:rFonts w:ascii="Times New Roman" w:eastAsia="Times New Roman" w:hAnsi="Times New Roman" w:cs="Times New Roman"/>
          <w:i/>
          <w:iCs/>
          <w:sz w:val="24"/>
          <w:szCs w:val="24"/>
        </w:rPr>
        <w:t>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27</w:t>
      </w:r>
      <w:r w:rsidRPr="001768F9">
        <w:rPr>
          <w:rFonts w:ascii="Times New Roman" w:eastAsia="Times New Roman" w:hAnsi="Times New Roman" w:cs="Times New Roman"/>
          <w:sz w:val="24"/>
          <w:szCs w:val="24"/>
        </w:rPr>
        <w:t xml:space="preserve">(1), 13–18. </w:t>
      </w:r>
      <w:hyperlink r:id="rId4914" w:history="1">
        <w:r w:rsidRPr="001768F9">
          <w:rPr>
            <w:rFonts w:ascii="Times New Roman" w:eastAsia="Times New Roman" w:hAnsi="Times New Roman" w:cs="Times New Roman"/>
            <w:color w:val="0000FF"/>
            <w:sz w:val="24"/>
            <w:szCs w:val="24"/>
            <w:u w:val="single"/>
          </w:rPr>
          <w:t>https://doi.org/10.1037/a0031299</w:t>
        </w:r>
      </w:hyperlink>
    </w:p>
    <w:p w14:paraId="5D8D05B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Roškar, S. (2003). Kognitivne motnje pri recidivno remitentni obliki multiple skleroze. [Cognitive impairment in relapsing remitting Multiple Sclerosis.]. </w:t>
      </w:r>
      <w:r w:rsidRPr="001768F9">
        <w:rPr>
          <w:rFonts w:ascii="Times New Roman" w:eastAsia="Times New Roman" w:hAnsi="Times New Roman" w:cs="Times New Roman"/>
          <w:i/>
          <w:iCs/>
          <w:sz w:val="24"/>
          <w:szCs w:val="24"/>
        </w:rPr>
        <w:t>Psihološka Obzorja / Horizons of 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(2), 85–96.</w:t>
      </w:r>
    </w:p>
    <w:p w14:paraId="0622592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E. D., Hansel, S. L., Orbelo, D. M., &amp; Monnot, M. (2005). Relationship of Leukoaraiosis to Cognitive Decline and Cognitive Aging. </w:t>
      </w:r>
      <w:r w:rsidRPr="001768F9">
        <w:rPr>
          <w:rFonts w:ascii="Times New Roman" w:eastAsia="Times New Roman" w:hAnsi="Times New Roman" w:cs="Times New Roman"/>
          <w:i/>
          <w:iCs/>
          <w:sz w:val="24"/>
          <w:szCs w:val="24"/>
        </w:rPr>
        <w:t>Cognitive and Behavioral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(2), 89–97. </w:t>
      </w:r>
      <w:hyperlink r:id="rId4915" w:history="1">
        <w:r w:rsidRPr="001768F9">
          <w:rPr>
            <w:rFonts w:ascii="Times New Roman" w:eastAsia="Times New Roman" w:hAnsi="Times New Roman" w:cs="Times New Roman"/>
            <w:color w:val="0000FF"/>
            <w:sz w:val="24"/>
            <w:szCs w:val="24"/>
            <w:u w:val="single"/>
          </w:rPr>
          <w:t>https://doi.org/10.1097/01.wnn.0000151859.19031.e8</w:t>
        </w:r>
      </w:hyperlink>
    </w:p>
    <w:p w14:paraId="6EC26B01"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E. H., &amp; Hoaken, P. N. S. (2011). Executive cognitive functioning abilities of male first time and return Canadian federal inmates. </w:t>
      </w:r>
      <w:r w:rsidRPr="001768F9">
        <w:rPr>
          <w:rFonts w:ascii="Times New Roman" w:eastAsia="Times New Roman" w:hAnsi="Times New Roman" w:cs="Times New Roman"/>
          <w:i/>
          <w:iCs/>
          <w:sz w:val="24"/>
          <w:szCs w:val="24"/>
        </w:rPr>
        <w:t>Canadian Journal of Criminology and Criminal Justice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53</w:t>
      </w:r>
      <w:r w:rsidRPr="001768F9">
        <w:rPr>
          <w:rFonts w:ascii="Times New Roman" w:eastAsia="Times New Roman" w:hAnsi="Times New Roman" w:cs="Times New Roman"/>
          <w:sz w:val="24"/>
          <w:szCs w:val="24"/>
        </w:rPr>
        <w:t xml:space="preserve">(4), 377–403. </w:t>
      </w:r>
      <w:hyperlink r:id="rId4916" w:history="1">
        <w:r w:rsidRPr="001768F9">
          <w:rPr>
            <w:rFonts w:ascii="Times New Roman" w:eastAsia="Times New Roman" w:hAnsi="Times New Roman" w:cs="Times New Roman"/>
            <w:color w:val="0000FF"/>
            <w:sz w:val="24"/>
            <w:szCs w:val="24"/>
            <w:u w:val="single"/>
          </w:rPr>
          <w:t>https://doi.org/10.3138/cjccj.53.4.377</w:t>
        </w:r>
      </w:hyperlink>
    </w:p>
    <w:p w14:paraId="338FF6A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S. A., Allen, D. N., &amp; Goldstein, G. (2013). Factor structure of the Halstead-Reitan neuropsychological battery: A review and integration.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20</w:t>
      </w:r>
      <w:r w:rsidRPr="001768F9">
        <w:rPr>
          <w:rFonts w:ascii="Times New Roman" w:eastAsia="Times New Roman" w:hAnsi="Times New Roman" w:cs="Times New Roman"/>
          <w:sz w:val="24"/>
          <w:szCs w:val="24"/>
        </w:rPr>
        <w:t xml:space="preserve">(2), 120–135. </w:t>
      </w:r>
      <w:hyperlink r:id="rId4917" w:history="1">
        <w:r w:rsidRPr="001768F9">
          <w:rPr>
            <w:rFonts w:ascii="Times New Roman" w:eastAsia="Times New Roman" w:hAnsi="Times New Roman" w:cs="Times New Roman"/>
            <w:color w:val="0000FF"/>
            <w:sz w:val="24"/>
            <w:szCs w:val="24"/>
            <w:u w:val="single"/>
          </w:rPr>
          <w:t>https://doi.org/10.1080/09084282.2012.690798</w:t>
        </w:r>
      </w:hyperlink>
    </w:p>
    <w:p w14:paraId="34F6571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(2014). The reliability and convergent and divergent validity of the Ruff Figural Fluency Test in healthy young adults.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29</w:t>
      </w:r>
      <w:r w:rsidRPr="001768F9">
        <w:rPr>
          <w:rFonts w:ascii="Times New Roman" w:eastAsia="Times New Roman" w:hAnsi="Times New Roman" w:cs="Times New Roman"/>
          <w:sz w:val="24"/>
          <w:szCs w:val="24"/>
        </w:rPr>
        <w:t xml:space="preserve">(8), 806–817. </w:t>
      </w:r>
      <w:hyperlink r:id="rId4918" w:history="1">
        <w:r w:rsidRPr="001768F9">
          <w:rPr>
            <w:rFonts w:ascii="Times New Roman" w:eastAsia="Times New Roman" w:hAnsi="Times New Roman" w:cs="Times New Roman"/>
            <w:color w:val="0000FF"/>
            <w:sz w:val="24"/>
            <w:szCs w:val="24"/>
            <w:u w:val="single"/>
          </w:rPr>
          <w:t>https://doi.org/10.1093/arclin/acu052</w:t>
        </w:r>
      </w:hyperlink>
    </w:p>
    <w:p w14:paraId="6977A87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Calhoun, E., Cox, T., Wenner, C., Kono, W., &amp; Pleasant, M. (2007). The reliability and validity of qualitative scores for the Controlled Oral Word Association Test.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475–488. </w:t>
      </w:r>
      <w:hyperlink r:id="rId4919" w:history="1">
        <w:r w:rsidRPr="001768F9">
          <w:rPr>
            <w:rFonts w:ascii="Times New Roman" w:eastAsia="Times New Roman" w:hAnsi="Times New Roman" w:cs="Times New Roman"/>
            <w:color w:val="0000FF"/>
            <w:sz w:val="24"/>
            <w:szCs w:val="24"/>
            <w:u w:val="single"/>
          </w:rPr>
          <w:t>https://doi.org/10.1016/j.acn.2007.01.026</w:t>
        </w:r>
      </w:hyperlink>
    </w:p>
    <w:p w14:paraId="2E87471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Hanouskova, E., Giarla, K., Calhoun, E., &amp; Tucker, M. (2007). The reliability and validity of the self-ordered pointing task.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w:t>
      </w:r>
      <w:r w:rsidRPr="001768F9">
        <w:rPr>
          <w:rFonts w:ascii="Times New Roman" w:eastAsia="Times New Roman" w:hAnsi="Times New Roman" w:cs="Times New Roman"/>
          <w:sz w:val="24"/>
          <w:szCs w:val="24"/>
        </w:rPr>
        <w:t xml:space="preserve">(4), 449–458. </w:t>
      </w:r>
      <w:hyperlink r:id="rId4920" w:history="1">
        <w:r w:rsidRPr="001768F9">
          <w:rPr>
            <w:rFonts w:ascii="Times New Roman" w:eastAsia="Times New Roman" w:hAnsi="Times New Roman" w:cs="Times New Roman"/>
            <w:color w:val="0000FF"/>
            <w:sz w:val="24"/>
            <w:szCs w:val="24"/>
            <w:u w:val="single"/>
          </w:rPr>
          <w:t>https://doi.org/10.1016/j.acn.2007.01.023</w:t>
        </w:r>
      </w:hyperlink>
    </w:p>
    <w:p w14:paraId="16BEC6A6"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 T. P., O’Connor, S., Holmes, G., Fuller, B., &amp; Henrich, M. (2019). The reliability and validity of the Action Fluency Test in healthy college students.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(7), 1175–1191. </w:t>
      </w:r>
      <w:hyperlink r:id="rId4921" w:history="1">
        <w:r w:rsidRPr="001768F9">
          <w:rPr>
            <w:rFonts w:ascii="Times New Roman" w:eastAsia="Times New Roman" w:hAnsi="Times New Roman" w:cs="Times New Roman"/>
            <w:color w:val="0000FF"/>
            <w:sz w:val="24"/>
            <w:szCs w:val="24"/>
            <w:u w:val="single"/>
          </w:rPr>
          <w:t>https://doi.org/10.1093/arclin/acz016</w:t>
        </w:r>
      </w:hyperlink>
    </w:p>
    <w:p w14:paraId="2FD795D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 R. B., Miller, M. W., &amp; Deutsch, S. I. (1993). Violent antisocial behavior and Wisconsin Card Sorting Test performance in cocaine addicts.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(1), 170–171. </w:t>
      </w:r>
      <w:hyperlink r:id="rId4922" w:history="1">
        <w:r w:rsidRPr="001768F9">
          <w:rPr>
            <w:rFonts w:ascii="Times New Roman" w:eastAsia="Times New Roman" w:hAnsi="Times New Roman" w:cs="Times New Roman"/>
            <w:color w:val="0000FF"/>
            <w:sz w:val="24"/>
            <w:szCs w:val="24"/>
            <w:u w:val="single"/>
          </w:rPr>
          <w:t>https://doi.org/10.1176/ajp.150.1.170</w:t>
        </w:r>
      </w:hyperlink>
    </w:p>
    <w:p w14:paraId="7C9D04A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 R. B., Schwartz, B. L., Kim, S. Y., &amp; Deutsch, S. I. (1993). Correlation between antisaccade and Wisconsin Card Sorting Test performance in schizophrenia. </w:t>
      </w:r>
      <w:r w:rsidRPr="001768F9">
        <w:rPr>
          <w:rFonts w:ascii="Times New Roman" w:eastAsia="Times New Roman" w:hAnsi="Times New Roman" w:cs="Times New Roman"/>
          <w:i/>
          <w:iCs/>
          <w:sz w:val="24"/>
          <w:szCs w:val="24"/>
        </w:rPr>
        <w:t>The American Journal of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150</w:t>
      </w:r>
      <w:r w:rsidRPr="001768F9">
        <w:rPr>
          <w:rFonts w:ascii="Times New Roman" w:eastAsia="Times New Roman" w:hAnsi="Times New Roman" w:cs="Times New Roman"/>
          <w:sz w:val="24"/>
          <w:szCs w:val="24"/>
        </w:rPr>
        <w:t xml:space="preserve">(2), 333–335. </w:t>
      </w:r>
      <w:hyperlink r:id="rId4923" w:history="1">
        <w:r w:rsidRPr="001768F9">
          <w:rPr>
            <w:rFonts w:ascii="Times New Roman" w:eastAsia="Times New Roman" w:hAnsi="Times New Roman" w:cs="Times New Roman"/>
            <w:color w:val="0000FF"/>
            <w:sz w:val="24"/>
            <w:szCs w:val="24"/>
            <w:u w:val="single"/>
          </w:rPr>
          <w:t>https://doi.org/10.1176/ajp.150.2.333</w:t>
        </w:r>
      </w:hyperlink>
    </w:p>
    <w:p w14:paraId="2EC8F59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Rosseli, M., &amp; Ardila, A. (1996). Cognitive effects of cocaine and polydrug abuse. </w:t>
      </w:r>
      <w:r w:rsidRPr="001768F9">
        <w:rPr>
          <w:rFonts w:ascii="Times New Roman" w:eastAsia="Times New Roman" w:hAnsi="Times New Roman" w:cs="Times New Roman"/>
          <w:i/>
          <w:iCs/>
          <w:sz w:val="24"/>
          <w:szCs w:val="24"/>
        </w:rPr>
        <w:t>Journal of Clinical and Experimental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18</w:t>
      </w:r>
      <w:r w:rsidRPr="001768F9">
        <w:rPr>
          <w:rFonts w:ascii="Times New Roman" w:eastAsia="Times New Roman" w:hAnsi="Times New Roman" w:cs="Times New Roman"/>
          <w:sz w:val="24"/>
          <w:szCs w:val="24"/>
        </w:rPr>
        <w:t xml:space="preserve">(1), 122–135. </w:t>
      </w:r>
      <w:hyperlink r:id="rId4924" w:history="1">
        <w:r w:rsidRPr="001768F9">
          <w:rPr>
            <w:rFonts w:ascii="Times New Roman" w:eastAsia="Times New Roman" w:hAnsi="Times New Roman" w:cs="Times New Roman"/>
            <w:color w:val="0000FF"/>
            <w:sz w:val="24"/>
            <w:szCs w:val="24"/>
            <w:u w:val="single"/>
          </w:rPr>
          <w:t>https://doi.org/10.1080/01688639608408268</w:t>
        </w:r>
      </w:hyperlink>
    </w:p>
    <w:p w14:paraId="6E82FAEC"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Rossell, S. L., Coakes, J., Shapleske, J., Woodruff, P. W. R., &amp; David, A. S. (2003). Insight: Its relationship with cognitive function, brain volume and symptoms in schizophrenia. </w:t>
      </w:r>
      <w:r w:rsidRPr="001768F9">
        <w:rPr>
          <w:rFonts w:ascii="Times New Roman" w:eastAsia="Times New Roman" w:hAnsi="Times New Roman" w:cs="Times New Roman"/>
          <w:i/>
          <w:iCs/>
          <w:sz w:val="24"/>
          <w:szCs w:val="24"/>
        </w:rPr>
        <w:t>Psychological Medicine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33</w:t>
      </w:r>
      <w:r w:rsidRPr="001768F9">
        <w:rPr>
          <w:rFonts w:ascii="Times New Roman" w:eastAsia="Times New Roman" w:hAnsi="Times New Roman" w:cs="Times New Roman"/>
          <w:sz w:val="24"/>
          <w:szCs w:val="24"/>
        </w:rPr>
        <w:t xml:space="preserve">(1), 111–119. </w:t>
      </w:r>
      <w:hyperlink r:id="rId4925" w:history="1">
        <w:r w:rsidRPr="001768F9">
          <w:rPr>
            <w:rFonts w:ascii="Times New Roman" w:eastAsia="Times New Roman" w:hAnsi="Times New Roman" w:cs="Times New Roman"/>
            <w:color w:val="0000FF"/>
            <w:sz w:val="24"/>
            <w:szCs w:val="24"/>
            <w:u w:val="single"/>
          </w:rPr>
          <w:t>https://doi.org/10.1017/S0033291702006803</w:t>
        </w:r>
      </w:hyperlink>
    </w:p>
    <w:p w14:paraId="31E111B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Rossell, S. L., &amp; David, A. S. (1997). Improving performance on the WCST: Variations on the original procedure. </w:t>
      </w:r>
      <w:r w:rsidRPr="001768F9">
        <w:rPr>
          <w:rFonts w:ascii="Times New Roman" w:eastAsia="Times New Roman" w:hAnsi="Times New Roman" w:cs="Times New Roman"/>
          <w:i/>
          <w:iCs/>
          <w:sz w:val="24"/>
          <w:szCs w:val="24"/>
        </w:rPr>
        <w:t>Schizophrenia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28</w:t>
      </w:r>
      <w:r w:rsidRPr="001768F9">
        <w:rPr>
          <w:rFonts w:ascii="Times New Roman" w:eastAsia="Times New Roman" w:hAnsi="Times New Roman" w:cs="Times New Roman"/>
          <w:sz w:val="24"/>
          <w:szCs w:val="24"/>
        </w:rPr>
        <w:t xml:space="preserve">(1), 63–76. </w:t>
      </w:r>
      <w:hyperlink r:id="rId4926" w:history="1">
        <w:r w:rsidRPr="001768F9">
          <w:rPr>
            <w:rFonts w:ascii="Times New Roman" w:eastAsia="Times New Roman" w:hAnsi="Times New Roman" w:cs="Times New Roman"/>
            <w:color w:val="0000FF"/>
            <w:sz w:val="24"/>
            <w:szCs w:val="24"/>
            <w:u w:val="single"/>
          </w:rPr>
          <w:t>https://doi.org/10.1016/S0920-9964(97)00093-5</w:t>
        </w:r>
      </w:hyperlink>
    </w:p>
    <w:p w14:paraId="22726FF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Rosselli, M., &amp; Ardila, A. (1993). Developmental norms for the Wisconsin Card Sorting Test in 5- to 12-year-old children. </w:t>
      </w:r>
      <w:r w:rsidRPr="001768F9">
        <w:rPr>
          <w:rFonts w:ascii="Times New Roman" w:eastAsia="Times New Roman" w:hAnsi="Times New Roman" w:cs="Times New Roman"/>
          <w:i/>
          <w:iCs/>
          <w:sz w:val="24"/>
          <w:szCs w:val="24"/>
        </w:rPr>
        <w:t>Clinical Neuropsychologist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7</w:t>
      </w:r>
      <w:r w:rsidRPr="001768F9">
        <w:rPr>
          <w:rFonts w:ascii="Times New Roman" w:eastAsia="Times New Roman" w:hAnsi="Times New Roman" w:cs="Times New Roman"/>
          <w:sz w:val="24"/>
          <w:szCs w:val="24"/>
        </w:rPr>
        <w:t xml:space="preserve">(2), 145–154. </w:t>
      </w:r>
      <w:hyperlink r:id="rId4927" w:history="1">
        <w:r w:rsidRPr="001768F9">
          <w:rPr>
            <w:rFonts w:ascii="Times New Roman" w:eastAsia="Times New Roman" w:hAnsi="Times New Roman" w:cs="Times New Roman"/>
            <w:color w:val="0000FF"/>
            <w:sz w:val="24"/>
            <w:szCs w:val="24"/>
            <w:u w:val="single"/>
          </w:rPr>
          <w:t>https://doi.org/10.1080/13854049308401516</w:t>
        </w:r>
      </w:hyperlink>
    </w:p>
    <w:p w14:paraId="1B3EAE60"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Rossetti, H. C., Smith, E. E., Hynan, L. S., Lacritz, L. H., Cullum, C. M., Van Wright, A., &amp; Weiner, M. F. (2019). Detection of mild cognitive impairment among community-dwelling African Americans using the Montreal Cognitive Assessment. </w:t>
      </w:r>
      <w:r w:rsidRPr="001768F9">
        <w:rPr>
          <w:rFonts w:ascii="Times New Roman" w:eastAsia="Times New Roman" w:hAnsi="Times New Roman" w:cs="Times New Roman"/>
          <w:i/>
          <w:iCs/>
          <w:sz w:val="24"/>
          <w:szCs w:val="24"/>
        </w:rPr>
        <w:t>Archives of Clinical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34</w:t>
      </w:r>
      <w:r w:rsidRPr="001768F9">
        <w:rPr>
          <w:rFonts w:ascii="Times New Roman" w:eastAsia="Times New Roman" w:hAnsi="Times New Roman" w:cs="Times New Roman"/>
          <w:sz w:val="24"/>
          <w:szCs w:val="24"/>
        </w:rPr>
        <w:t xml:space="preserve">(6), 809–813. </w:t>
      </w:r>
      <w:hyperlink r:id="rId4928" w:history="1">
        <w:r w:rsidRPr="001768F9">
          <w:rPr>
            <w:rFonts w:ascii="Times New Roman" w:eastAsia="Times New Roman" w:hAnsi="Times New Roman" w:cs="Times New Roman"/>
            <w:color w:val="0000FF"/>
            <w:sz w:val="24"/>
            <w:szCs w:val="24"/>
            <w:u w:val="single"/>
          </w:rPr>
          <w:t>https://doi.org/10.1093/arclin/acy091</w:t>
        </w:r>
      </w:hyperlink>
    </w:p>
    <w:p w14:paraId="4EB4699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Daneluzzo, E., Tomassini, A., Struglia, F., Cavallaro, R., Smeraldi, E., &amp; Stratta, P. (2006). The effect of verbalization strategy on Wisconsin Card Sorting Test performance in schizophrenic patients receiving classical or atypical antipsychotics. </w:t>
      </w:r>
      <w:r w:rsidRPr="001768F9">
        <w:rPr>
          <w:rFonts w:ascii="Times New Roman" w:eastAsia="Times New Roman" w:hAnsi="Times New Roman" w:cs="Times New Roman"/>
          <w:i/>
          <w:iCs/>
          <w:sz w:val="24"/>
          <w:szCs w:val="24"/>
        </w:rPr>
        <w:t>BMC Psychiatry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6</w:t>
      </w:r>
      <w:r w:rsidRPr="001768F9">
        <w:rPr>
          <w:rFonts w:ascii="Times New Roman" w:eastAsia="Times New Roman" w:hAnsi="Times New Roman" w:cs="Times New Roman"/>
          <w:sz w:val="24"/>
          <w:szCs w:val="24"/>
        </w:rPr>
        <w:t xml:space="preserve">. </w:t>
      </w:r>
      <w:hyperlink r:id="rId4929" w:history="1">
        <w:r w:rsidRPr="001768F9">
          <w:rPr>
            <w:rFonts w:ascii="Times New Roman" w:eastAsia="Times New Roman" w:hAnsi="Times New Roman" w:cs="Times New Roman"/>
            <w:color w:val="0000FF"/>
            <w:sz w:val="24"/>
            <w:szCs w:val="24"/>
            <w:u w:val="single"/>
          </w:rPr>
          <w:t>https://doi.org/10.1186/1471-244X-6-3</w:t>
        </w:r>
      </w:hyperlink>
    </w:p>
    <w:p w14:paraId="7A42F7ED"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Mancini, F., Stratta, P., Mattei, P., Gismondi, R., Pozzi, F., &amp; Casacchia, M. (1997). Risperidone, negative symptoms and cognitive deficit in schizophrenia: An open study. </w:t>
      </w:r>
      <w:r w:rsidRPr="001768F9">
        <w:rPr>
          <w:rFonts w:ascii="Times New Roman" w:eastAsia="Times New Roman" w:hAnsi="Times New Roman" w:cs="Times New Roman"/>
          <w:i/>
          <w:iCs/>
          <w:sz w:val="24"/>
          <w:szCs w:val="24"/>
        </w:rPr>
        <w:t>Acta Psychiatrica Scandinavica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95</w:t>
      </w:r>
      <w:r w:rsidRPr="001768F9">
        <w:rPr>
          <w:rFonts w:ascii="Times New Roman" w:eastAsia="Times New Roman" w:hAnsi="Times New Roman" w:cs="Times New Roman"/>
          <w:sz w:val="24"/>
          <w:szCs w:val="24"/>
        </w:rPr>
        <w:t xml:space="preserve">(1), 40–43. </w:t>
      </w:r>
      <w:hyperlink r:id="rId4930" w:history="1">
        <w:r w:rsidRPr="001768F9">
          <w:rPr>
            <w:rFonts w:ascii="Times New Roman" w:eastAsia="Times New Roman" w:hAnsi="Times New Roman" w:cs="Times New Roman"/>
            <w:color w:val="0000FF"/>
            <w:sz w:val="24"/>
            <w:szCs w:val="24"/>
            <w:u w:val="single"/>
          </w:rPr>
          <w:t>https://doi.org/10.1111/j.1600-0447.1997.tb00371.x</w:t>
        </w:r>
      </w:hyperlink>
    </w:p>
    <w:p w14:paraId="762E42E5"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Pollice, R., Stratta, P., Arduini, L., Marinangeli, M. G., &amp; Daneluzzo, E. (2002). Wisconsin Card-Sorting Test performance does not discriminate different patterns of premorbid behavioral abnormalities in schizophrenic patients. </w:t>
      </w:r>
      <w:r w:rsidRPr="001768F9">
        <w:rPr>
          <w:rFonts w:ascii="Times New Roman" w:eastAsia="Times New Roman" w:hAnsi="Times New Roman" w:cs="Times New Roman"/>
          <w:i/>
          <w:iCs/>
          <w:sz w:val="24"/>
          <w:szCs w:val="24"/>
        </w:rPr>
        <w:t>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56</w:t>
      </w:r>
      <w:r w:rsidRPr="001768F9">
        <w:rPr>
          <w:rFonts w:ascii="Times New Roman" w:eastAsia="Times New Roman" w:hAnsi="Times New Roman" w:cs="Times New Roman"/>
          <w:sz w:val="24"/>
          <w:szCs w:val="24"/>
        </w:rPr>
        <w:t xml:space="preserve">(4), 403–407. </w:t>
      </w:r>
      <w:hyperlink r:id="rId4931" w:history="1">
        <w:r w:rsidRPr="001768F9">
          <w:rPr>
            <w:rFonts w:ascii="Times New Roman" w:eastAsia="Times New Roman" w:hAnsi="Times New Roman" w:cs="Times New Roman"/>
            <w:color w:val="0000FF"/>
            <w:sz w:val="24"/>
            <w:szCs w:val="24"/>
            <w:u w:val="single"/>
          </w:rPr>
          <w:t>https://doi.org/10.1046/j.1440-1819.2002.01029.x</w:t>
        </w:r>
      </w:hyperlink>
    </w:p>
    <w:p w14:paraId="67C938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A., Stratta, P., &amp; Riccardi, I. (2012). Psychological interventions for schizophrenia. In </w:t>
      </w:r>
      <w:r w:rsidRPr="001768F9">
        <w:rPr>
          <w:rFonts w:ascii="Times New Roman" w:eastAsia="Times New Roman" w:hAnsi="Times New Roman" w:cs="Times New Roman"/>
          <w:i/>
          <w:iCs/>
          <w:sz w:val="24"/>
          <w:szCs w:val="24"/>
        </w:rPr>
        <w:t>Clinical manual for treatment of schizophrenia.</w:t>
      </w:r>
      <w:r w:rsidRPr="001768F9">
        <w:rPr>
          <w:rFonts w:ascii="Times New Roman" w:eastAsia="Times New Roman" w:hAnsi="Times New Roman" w:cs="Times New Roman"/>
          <w:sz w:val="24"/>
          <w:szCs w:val="24"/>
        </w:rPr>
        <w:t xml:space="preserve"> (pp. 381–406). American Psychiatric Publishing, Inc.</w:t>
      </w:r>
    </w:p>
    <w:p w14:paraId="2D89D408"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 M., Gerschcovich, E. R., de Achaval, D., Perez-Lloret, S., Cerquetti, D., Cammarota, A., Nouzeilles, M. I., Fahrer, R., Merello, M., &amp; Leiguarda, R. (2010). Decision-making in Parkinson’s disease patients with and without pathological gambling. </w:t>
      </w:r>
      <w:r w:rsidRPr="001768F9">
        <w:rPr>
          <w:rFonts w:ascii="Times New Roman" w:eastAsia="Times New Roman" w:hAnsi="Times New Roman" w:cs="Times New Roman"/>
          <w:i/>
          <w:iCs/>
          <w:sz w:val="24"/>
          <w:szCs w:val="24"/>
        </w:rPr>
        <w:t>European Journal of Neurology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(1), 97–102. </w:t>
      </w:r>
      <w:hyperlink r:id="rId4932" w:history="1">
        <w:r w:rsidRPr="001768F9">
          <w:rPr>
            <w:rFonts w:ascii="Times New Roman" w:eastAsia="Times New Roman" w:hAnsi="Times New Roman" w:cs="Times New Roman"/>
            <w:color w:val="0000FF"/>
            <w:sz w:val="24"/>
            <w:szCs w:val="24"/>
            <w:u w:val="single"/>
          </w:rPr>
          <w:t>https://doi.org/10.1111/j.1468-1331.2009.02792.x</w:t>
        </w:r>
      </w:hyperlink>
    </w:p>
    <w:p w14:paraId="1B97F39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Rossini-Dib, D., Fuentes, D., &amp; Tavares, H. (2015). A naturalistic study of recovering gamblers: What gets better and when they get better. </w:t>
      </w:r>
      <w:r w:rsidRPr="001768F9">
        <w:rPr>
          <w:rFonts w:ascii="Times New Roman" w:eastAsia="Times New Roman" w:hAnsi="Times New Roman" w:cs="Times New Roman"/>
          <w:i/>
          <w:iCs/>
          <w:sz w:val="24"/>
          <w:szCs w:val="24"/>
        </w:rPr>
        <w:t>Psychiatry Research</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227</w:t>
      </w:r>
      <w:r w:rsidRPr="001768F9">
        <w:rPr>
          <w:rFonts w:ascii="Times New Roman" w:eastAsia="Times New Roman" w:hAnsi="Times New Roman" w:cs="Times New Roman"/>
          <w:sz w:val="24"/>
          <w:szCs w:val="24"/>
        </w:rPr>
        <w:t xml:space="preserve">(1), 17–26. </w:t>
      </w:r>
      <w:hyperlink r:id="rId4933" w:history="1">
        <w:r w:rsidRPr="001768F9">
          <w:rPr>
            <w:rFonts w:ascii="Times New Roman" w:eastAsia="Times New Roman" w:hAnsi="Times New Roman" w:cs="Times New Roman"/>
            <w:color w:val="0000FF"/>
            <w:sz w:val="24"/>
            <w:szCs w:val="24"/>
            <w:u w:val="single"/>
          </w:rPr>
          <w:t>https://doi.org/10.1016/j.psychres.2015.03.003</w:t>
        </w:r>
      </w:hyperlink>
    </w:p>
    <w:p w14:paraId="2F6913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Rosti, E., Hämäläinen, P., Koivisto, K., &amp; Hokkanen, L. (2007). PASAT in detecing cognitive impairment in relapsing-remitting MS. </w:t>
      </w:r>
      <w:r w:rsidRPr="001768F9">
        <w:rPr>
          <w:rFonts w:ascii="Times New Roman" w:eastAsia="Times New Roman" w:hAnsi="Times New Roman" w:cs="Times New Roman"/>
          <w:i/>
          <w:iCs/>
          <w:sz w:val="24"/>
          <w:szCs w:val="24"/>
        </w:rPr>
        <w:t>Applied Neuropsychology</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14</w:t>
      </w:r>
      <w:r w:rsidRPr="001768F9">
        <w:rPr>
          <w:rFonts w:ascii="Times New Roman" w:eastAsia="Times New Roman" w:hAnsi="Times New Roman" w:cs="Times New Roman"/>
          <w:sz w:val="24"/>
          <w:szCs w:val="24"/>
        </w:rPr>
        <w:t xml:space="preserve">(2), 101–112. </w:t>
      </w:r>
      <w:hyperlink r:id="rId4934" w:history="1">
        <w:r w:rsidRPr="001768F9">
          <w:rPr>
            <w:rFonts w:ascii="Times New Roman" w:eastAsia="Times New Roman" w:hAnsi="Times New Roman" w:cs="Times New Roman"/>
            <w:color w:val="0000FF"/>
            <w:sz w:val="24"/>
            <w:szCs w:val="24"/>
            <w:u w:val="single"/>
          </w:rPr>
          <w:t>https://doi.org/10.1080/09084280701319938</w:t>
        </w:r>
      </w:hyperlink>
    </w:p>
    <w:p w14:paraId="6D18CE5E"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Roszyk, A., Izdebska, A., &amp; Peichert, K. (2013). Planning and inhibitory abilities in criminals with antisocial personality disorder. </w:t>
      </w:r>
      <w:r w:rsidRPr="001768F9">
        <w:rPr>
          <w:rFonts w:ascii="Times New Roman" w:eastAsia="Times New Roman" w:hAnsi="Times New Roman" w:cs="Times New Roman"/>
          <w:i/>
          <w:iCs/>
          <w:sz w:val="24"/>
          <w:szCs w:val="24"/>
        </w:rPr>
        <w:t>Acta Neuropsychologica</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11</w:t>
      </w:r>
      <w:r w:rsidRPr="001768F9">
        <w:rPr>
          <w:rFonts w:ascii="Times New Roman" w:eastAsia="Times New Roman" w:hAnsi="Times New Roman" w:cs="Times New Roman"/>
          <w:sz w:val="24"/>
          <w:szCs w:val="24"/>
        </w:rPr>
        <w:t>(2), 193–205.</w:t>
      </w:r>
    </w:p>
    <w:p w14:paraId="6BB1E874"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H. L., Eskin, T. A., Kendall, D. L., &amp; Heilman, K. M. (2006). Progressive oculo-orofacial-speech apraxia (POOSA). </w:t>
      </w:r>
      <w:r w:rsidRPr="001768F9">
        <w:rPr>
          <w:rFonts w:ascii="Times New Roman" w:eastAsia="Times New Roman" w:hAnsi="Times New Roman" w:cs="Times New Roman"/>
          <w:i/>
          <w:iCs/>
          <w:sz w:val="24"/>
          <w:szCs w:val="24"/>
        </w:rPr>
        <w:t>Neurocase</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12</w:t>
      </w:r>
      <w:r w:rsidRPr="001768F9">
        <w:rPr>
          <w:rFonts w:ascii="Times New Roman" w:eastAsia="Times New Roman" w:hAnsi="Times New Roman" w:cs="Times New Roman"/>
          <w:sz w:val="24"/>
          <w:szCs w:val="24"/>
        </w:rPr>
        <w:t xml:space="preserve">(4), 221–227. </w:t>
      </w:r>
      <w:hyperlink r:id="rId4935" w:history="1">
        <w:r w:rsidRPr="001768F9">
          <w:rPr>
            <w:rFonts w:ascii="Times New Roman" w:eastAsia="Times New Roman" w:hAnsi="Times New Roman" w:cs="Times New Roman"/>
            <w:color w:val="0000FF"/>
            <w:sz w:val="24"/>
            <w:szCs w:val="24"/>
            <w:u w:val="single"/>
          </w:rPr>
          <w:t>https://doi.org/10.1080/13554790600837347</w:t>
        </w:r>
      </w:hyperlink>
    </w:p>
    <w:p w14:paraId="232F91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J., &amp; Klempir, J. (2013). Huntington’s disease. In </w:t>
      </w:r>
      <w:r w:rsidRPr="001768F9">
        <w:rPr>
          <w:rFonts w:ascii="Times New Roman" w:eastAsia="Times New Roman" w:hAnsi="Times New Roman" w:cs="Times New Roman"/>
          <w:i/>
          <w:iCs/>
          <w:sz w:val="24"/>
          <w:szCs w:val="24"/>
        </w:rPr>
        <w:t>Cognitive deficit in mental and neurological disorders.</w:t>
      </w:r>
      <w:r w:rsidRPr="001768F9">
        <w:rPr>
          <w:rFonts w:ascii="Times New Roman" w:eastAsia="Times New Roman" w:hAnsi="Times New Roman" w:cs="Times New Roman"/>
          <w:sz w:val="24"/>
          <w:szCs w:val="24"/>
        </w:rPr>
        <w:t xml:space="preserve"> (pp. 263–289). Nova Science Publishers.</w:t>
      </w:r>
    </w:p>
    <w:p w14:paraId="72E0EF2B"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Baribeau, J., Milovan, D. L., &amp; O’Connor, K. (2004). Speed and accuracy on tests of executive function in obsessive-compulsive disorder. </w:t>
      </w:r>
      <w:r w:rsidRPr="001768F9">
        <w:rPr>
          <w:rFonts w:ascii="Times New Roman" w:eastAsia="Times New Roman" w:hAnsi="Times New Roman" w:cs="Times New Roman"/>
          <w:i/>
          <w:iCs/>
          <w:sz w:val="24"/>
          <w:szCs w:val="24"/>
        </w:rPr>
        <w:t>Brain and Cognition</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54</w:t>
      </w:r>
      <w:r w:rsidRPr="001768F9">
        <w:rPr>
          <w:rFonts w:ascii="Times New Roman" w:eastAsia="Times New Roman" w:hAnsi="Times New Roman" w:cs="Times New Roman"/>
          <w:sz w:val="24"/>
          <w:szCs w:val="24"/>
        </w:rPr>
        <w:t xml:space="preserve">(3), 263–265. </w:t>
      </w:r>
      <w:hyperlink r:id="rId4936" w:history="1">
        <w:r w:rsidRPr="001768F9">
          <w:rPr>
            <w:rFonts w:ascii="Times New Roman" w:eastAsia="Times New Roman" w:hAnsi="Times New Roman" w:cs="Times New Roman"/>
            <w:color w:val="0000FF"/>
            <w:sz w:val="24"/>
            <w:szCs w:val="24"/>
            <w:u w:val="single"/>
          </w:rPr>
          <w:t>https://doi.org/10.1016/j.bandc.2004.02.053</w:t>
        </w:r>
      </w:hyperlink>
    </w:p>
    <w:p w14:paraId="3A442893"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&amp; Flashman, L. A. (2016). Psychopathology and psychiatric comorbidity. In </w:t>
      </w:r>
      <w:r w:rsidRPr="001768F9">
        <w:rPr>
          <w:rFonts w:ascii="Times New Roman" w:eastAsia="Times New Roman" w:hAnsi="Times New Roman" w:cs="Times New Roman"/>
          <w:i/>
          <w:iCs/>
          <w:sz w:val="24"/>
          <w:szCs w:val="24"/>
        </w:rPr>
        <w:t>Neuropsychological report writing.</w:t>
      </w:r>
      <w:r w:rsidRPr="001768F9">
        <w:rPr>
          <w:rFonts w:ascii="Times New Roman" w:eastAsia="Times New Roman" w:hAnsi="Times New Roman" w:cs="Times New Roman"/>
          <w:sz w:val="24"/>
          <w:szCs w:val="24"/>
        </w:rPr>
        <w:t xml:space="preserve"> (pp. 118–142). Guilford Press.</w:t>
      </w:r>
    </w:p>
    <w:p w14:paraId="63D5753A"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Isquith, P. K., &amp; Gioia, G. A. (2013). Assessment and intervention for executive dysfunction. In </w:t>
      </w:r>
      <w:r w:rsidRPr="001768F9">
        <w:rPr>
          <w:rFonts w:ascii="Times New Roman" w:eastAsia="Times New Roman" w:hAnsi="Times New Roman" w:cs="Times New Roman"/>
          <w:i/>
          <w:iCs/>
          <w:sz w:val="24"/>
          <w:szCs w:val="24"/>
        </w:rPr>
        <w:t>Psychologists’ desk reference, 3rd ed.</w:t>
      </w:r>
      <w:r w:rsidRPr="001768F9">
        <w:rPr>
          <w:rFonts w:ascii="Times New Roman" w:eastAsia="Times New Roman" w:hAnsi="Times New Roman" w:cs="Times New Roman"/>
          <w:sz w:val="24"/>
          <w:szCs w:val="24"/>
        </w:rPr>
        <w:t xml:space="preserve"> (pp. 105–109). Oxford University Press. </w:t>
      </w:r>
      <w:hyperlink r:id="rId4937" w:history="1">
        <w:r w:rsidRPr="001768F9">
          <w:rPr>
            <w:rFonts w:ascii="Times New Roman" w:eastAsia="Times New Roman" w:hAnsi="Times New Roman" w:cs="Times New Roman"/>
            <w:color w:val="0000FF"/>
            <w:sz w:val="24"/>
            <w:szCs w:val="24"/>
            <w:u w:val="single"/>
          </w:rPr>
          <w:t>https://doi.org/10.1093/med:psych/9780199845491.003.0019</w:t>
        </w:r>
      </w:hyperlink>
    </w:p>
    <w:p w14:paraId="0EFF2C82"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Milovan, D., Baribeau, J., &amp; O’Connor, K. (2005). Neuropsychological Functioning in Early- and Late-Onset Obsessive- Compulsive Disorder. </w:t>
      </w:r>
      <w:r w:rsidRPr="001768F9">
        <w:rPr>
          <w:rFonts w:ascii="Times New Roman" w:eastAsia="Times New Roman" w:hAnsi="Times New Roman" w:cs="Times New Roman"/>
          <w:i/>
          <w:iCs/>
          <w:sz w:val="24"/>
          <w:szCs w:val="24"/>
        </w:rPr>
        <w:t>The Journal of Neuropsychiatry and Clinical Neurosciences</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17</w:t>
      </w:r>
      <w:r w:rsidRPr="001768F9">
        <w:rPr>
          <w:rFonts w:ascii="Times New Roman" w:eastAsia="Times New Roman" w:hAnsi="Times New Roman" w:cs="Times New Roman"/>
          <w:sz w:val="24"/>
          <w:szCs w:val="24"/>
        </w:rPr>
        <w:t xml:space="preserve">(2), 208–213. </w:t>
      </w:r>
      <w:hyperlink r:id="rId4938" w:history="1">
        <w:r w:rsidRPr="001768F9">
          <w:rPr>
            <w:rFonts w:ascii="Times New Roman" w:eastAsia="Times New Roman" w:hAnsi="Times New Roman" w:cs="Times New Roman"/>
            <w:color w:val="0000FF"/>
            <w:sz w:val="24"/>
            <w:szCs w:val="24"/>
            <w:u w:val="single"/>
          </w:rPr>
          <w:t>https://doi.org/10.1176/appi.neuropsych.17.2.208</w:t>
        </w:r>
      </w:hyperlink>
    </w:p>
    <w:p w14:paraId="6E5B230F" w14:textId="77777777" w:rsidR="001768F9" w:rsidRPr="001768F9" w:rsidRDefault="001768F9" w:rsidP="003B57E5">
      <w:pPr>
        <w:spacing w:before="240" w:after="0" w:line="240" w:lineRule="auto"/>
        <w:ind w:left="450" w:hanging="450"/>
        <w:rPr>
          <w:rFonts w:ascii="Times New Roman" w:eastAsia="Times New Roman" w:hAnsi="Times New Roman" w:cs="Times New Roman"/>
          <w:sz w:val="24"/>
          <w:szCs w:val="24"/>
        </w:rPr>
      </w:pPr>
      <w:r w:rsidRPr="001768F9">
        <w:rPr>
          <w:rFonts w:ascii="Times New Roman" w:eastAsia="Times New Roman" w:hAnsi="Times New Roman" w:cs="Times New Roman"/>
          <w:sz w:val="24"/>
          <w:szCs w:val="24"/>
        </w:rPr>
        <w:t xml:space="preserve">Roth, R. M., Pixley, H. S., Kruck, C. L., Garlinghouse, M. A., Giancola, P. R., &amp; Flashman, L. A. (2012). Performance on the Cognitive Estimation Test in schizophrenia. </w:t>
      </w:r>
      <w:r w:rsidRPr="001768F9">
        <w:rPr>
          <w:rFonts w:ascii="Times New Roman" w:eastAsia="Times New Roman" w:hAnsi="Times New Roman" w:cs="Times New Roman"/>
          <w:i/>
          <w:iCs/>
          <w:sz w:val="24"/>
          <w:szCs w:val="24"/>
        </w:rPr>
        <w:t>Applied Neuropsychology: Adult</w:t>
      </w:r>
      <w:r w:rsidRPr="001768F9">
        <w:rPr>
          <w:rFonts w:ascii="Times New Roman" w:eastAsia="Times New Roman" w:hAnsi="Times New Roman" w:cs="Times New Roman"/>
          <w:sz w:val="24"/>
          <w:szCs w:val="24"/>
        </w:rPr>
        <w:t xml:space="preserve">, </w:t>
      </w:r>
      <w:r w:rsidRPr="001768F9">
        <w:rPr>
          <w:rFonts w:ascii="Times New Roman" w:eastAsia="Times New Roman" w:hAnsi="Times New Roman" w:cs="Times New Roman"/>
          <w:i/>
          <w:iCs/>
          <w:sz w:val="24"/>
          <w:szCs w:val="24"/>
        </w:rPr>
        <w:t>19</w:t>
      </w:r>
      <w:r w:rsidRPr="001768F9">
        <w:rPr>
          <w:rFonts w:ascii="Times New Roman" w:eastAsia="Times New Roman" w:hAnsi="Times New Roman" w:cs="Times New Roman"/>
          <w:sz w:val="24"/>
          <w:szCs w:val="24"/>
        </w:rPr>
        <w:t xml:space="preserve">(2), 141–146. </w:t>
      </w:r>
      <w:hyperlink r:id="rId4939" w:history="1">
        <w:r w:rsidRPr="001768F9">
          <w:rPr>
            <w:rFonts w:ascii="Times New Roman" w:eastAsia="Times New Roman" w:hAnsi="Times New Roman" w:cs="Times New Roman"/>
            <w:color w:val="0000FF"/>
            <w:sz w:val="24"/>
            <w:szCs w:val="24"/>
            <w:u w:val="single"/>
          </w:rPr>
          <w:t>https://doi.org/10.1080/09084282.2011.595461</w:t>
        </w:r>
      </w:hyperlink>
    </w:p>
    <w:p w14:paraId="5FEAC6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Rotheram-Fuller, E., Shoptaw, S., Berman, S. M., &amp; London, E. D. (2004). Impaired performance in a test of decision-making by opiate-dependent tobacco smokers. </w:t>
      </w:r>
      <w:r w:rsidRPr="0074138E">
        <w:rPr>
          <w:rFonts w:ascii="Times New Roman" w:eastAsia="Times New Roman" w:hAnsi="Times New Roman" w:cs="Times New Roman"/>
          <w:i/>
          <w:iCs/>
          <w:sz w:val="24"/>
          <w:szCs w:val="24"/>
        </w:rPr>
        <w:t>Drug and Alcohol Dependence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73</w:t>
      </w:r>
      <w:r w:rsidRPr="0074138E">
        <w:rPr>
          <w:rFonts w:ascii="Times New Roman" w:eastAsia="Times New Roman" w:hAnsi="Times New Roman" w:cs="Times New Roman"/>
          <w:sz w:val="24"/>
          <w:szCs w:val="24"/>
        </w:rPr>
        <w:t xml:space="preserve">(1), 79–86. </w:t>
      </w:r>
      <w:hyperlink r:id="rId4940" w:history="1">
        <w:r w:rsidRPr="0074138E">
          <w:rPr>
            <w:rFonts w:ascii="Times New Roman" w:eastAsia="Times New Roman" w:hAnsi="Times New Roman" w:cs="Times New Roman"/>
            <w:color w:val="0000FF"/>
            <w:sz w:val="24"/>
            <w:szCs w:val="24"/>
            <w:u w:val="single"/>
          </w:rPr>
          <w:t>https://doi.org/10.1016/j.drugalcdep.2003.10.003</w:t>
        </w:r>
      </w:hyperlink>
    </w:p>
    <w:p w14:paraId="4CD2EC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Rothlind, J. C., Greenfield, T. M., Bruce, A. V., Meyerhoff, D. J., Flenniken, D. L., Lindgren, J. A., &amp; Weiner, M. W. (2005). Heavy alcohol consumption in individuals with HIV infection: Effects on neuropsychological performance.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(1), 70–83. </w:t>
      </w:r>
      <w:hyperlink r:id="rId4941" w:history="1">
        <w:r w:rsidRPr="0074138E">
          <w:rPr>
            <w:rFonts w:ascii="Times New Roman" w:eastAsia="Times New Roman" w:hAnsi="Times New Roman" w:cs="Times New Roman"/>
            <w:color w:val="0000FF"/>
            <w:sz w:val="24"/>
            <w:szCs w:val="24"/>
            <w:u w:val="single"/>
          </w:rPr>
          <w:t>https://doi.org/10.1017/S1355617705050095</w:t>
        </w:r>
      </w:hyperlink>
    </w:p>
    <w:p w14:paraId="52BA49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Rouel, M., Raman, J., Hay, P., &amp; Smith, E. (2016). Validation of the Behaviour Rating Inventory of Executive Function—Adult Version (BRIEF-A) in the obese with and without binge eating disorder. </w:t>
      </w:r>
      <w:r w:rsidRPr="0074138E">
        <w:rPr>
          <w:rFonts w:ascii="Times New Roman" w:eastAsia="Times New Roman" w:hAnsi="Times New Roman" w:cs="Times New Roman"/>
          <w:i/>
          <w:iCs/>
          <w:sz w:val="24"/>
          <w:szCs w:val="24"/>
        </w:rPr>
        <w:t>Eating Behaviors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 58–65. </w:t>
      </w:r>
      <w:hyperlink r:id="rId4942" w:history="1">
        <w:r w:rsidRPr="0074138E">
          <w:rPr>
            <w:rFonts w:ascii="Times New Roman" w:eastAsia="Times New Roman" w:hAnsi="Times New Roman" w:cs="Times New Roman"/>
            <w:color w:val="0000FF"/>
            <w:sz w:val="24"/>
            <w:szCs w:val="24"/>
            <w:u w:val="single"/>
          </w:rPr>
          <w:t>https://doi.org/10.1016/j.eatbeh.2016.07.010</w:t>
        </w:r>
      </w:hyperlink>
    </w:p>
    <w:p w14:paraId="4FA613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Rougier, N. P., Noelle, D. C., Braver, T. S., Cohen, J. D., &amp; O’Reilly, R. C. (2005). Prefrontal cortex and flexible cognitive control: Rules without symbols. </w:t>
      </w:r>
      <w:r w:rsidRPr="0074138E">
        <w:rPr>
          <w:rFonts w:ascii="Times New Roman" w:eastAsia="Times New Roman" w:hAnsi="Times New Roman" w:cs="Times New Roman"/>
          <w:i/>
          <w:iCs/>
          <w:sz w:val="24"/>
          <w:szCs w:val="24"/>
        </w:rPr>
        <w:t>PNAS Proceedings of the National Academy of Sciences of the United States of America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(20), 7338–7343. </w:t>
      </w:r>
      <w:hyperlink r:id="rId4943" w:history="1">
        <w:r w:rsidRPr="0074138E">
          <w:rPr>
            <w:rFonts w:ascii="Times New Roman" w:eastAsia="Times New Roman" w:hAnsi="Times New Roman" w:cs="Times New Roman"/>
            <w:color w:val="0000FF"/>
            <w:sz w:val="24"/>
            <w:szCs w:val="24"/>
            <w:u w:val="single"/>
          </w:rPr>
          <w:t>https://doi.org/10.1073/pnas.0502455102</w:t>
        </w:r>
      </w:hyperlink>
    </w:p>
    <w:p w14:paraId="313D5F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Rourke, S. B. (2009). The neurobehavioral correlates of alcoholism. In I. Grant (Ed.), </w:t>
      </w:r>
      <w:r w:rsidRPr="0074138E">
        <w:rPr>
          <w:rFonts w:ascii="Times New Roman" w:eastAsia="Times New Roman" w:hAnsi="Times New Roman" w:cs="Times New Roman"/>
          <w:i/>
          <w:iCs/>
          <w:sz w:val="24"/>
          <w:szCs w:val="24"/>
        </w:rPr>
        <w:t>Neuropsychological assessment of neuropsychiatric and neuromedical disorders, 3rd ed.</w:t>
      </w:r>
      <w:r w:rsidRPr="0074138E">
        <w:rPr>
          <w:rFonts w:ascii="Times New Roman" w:eastAsia="Times New Roman" w:hAnsi="Times New Roman" w:cs="Times New Roman"/>
          <w:sz w:val="24"/>
          <w:szCs w:val="24"/>
        </w:rPr>
        <w:t xml:space="preserve"> (pp. 398–454). Oxford University Press.</w:t>
      </w:r>
    </w:p>
    <w:p w14:paraId="1A88AF1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Rousseaux, M., Godefroy, O., Cabaret, M., &amp; Benaim, C. (1996). Analyse et évolution des déficits cognitifs après rupture des anévrysmes de l’artère communicante antérieure. [Evolution of cognitive deficits after rupture of aneurysms of the anterior communicating artery.].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152</w:t>
      </w:r>
      <w:r w:rsidRPr="0074138E">
        <w:rPr>
          <w:rFonts w:ascii="Times New Roman" w:eastAsia="Times New Roman" w:hAnsi="Times New Roman" w:cs="Times New Roman"/>
          <w:sz w:val="24"/>
          <w:szCs w:val="24"/>
        </w:rPr>
        <w:t>(11), 678–687.</w:t>
      </w:r>
    </w:p>
    <w:p w14:paraId="08B20F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Rousseaux, M., Godefroy, O., Cabaret, M., &amp; Bernati, T. (1996). Syndrome dysexécutif et troubles du contrôle moteur dans les lésions préfrontales médio-basales et cingulaires. [Dysexecutive syndrome and disorders of motor control in prefrontal mediobasal and cingulate lesions.].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152</w:t>
      </w:r>
      <w:r w:rsidRPr="0074138E">
        <w:rPr>
          <w:rFonts w:ascii="Times New Roman" w:eastAsia="Times New Roman" w:hAnsi="Times New Roman" w:cs="Times New Roman"/>
          <w:sz w:val="24"/>
          <w:szCs w:val="24"/>
        </w:rPr>
        <w:t>(8–9), 517–527.</w:t>
      </w:r>
    </w:p>
    <w:p w14:paraId="31F6405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Roussos, P., Giakoumaki, S. G., Georgakopoulos, A., Robakis, N. K., &amp; Bitsios, P. (2011). The CACNA1C and ANK3 risk alleles impact on affective personality traits and startle reactivity but not on cognition or gating in healthy males.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(3), 250–259. </w:t>
      </w:r>
      <w:hyperlink r:id="rId4944" w:history="1">
        <w:r w:rsidRPr="0074138E">
          <w:rPr>
            <w:rFonts w:ascii="Times New Roman" w:eastAsia="Times New Roman" w:hAnsi="Times New Roman" w:cs="Times New Roman"/>
            <w:color w:val="0000FF"/>
            <w:sz w:val="24"/>
            <w:szCs w:val="24"/>
            <w:u w:val="single"/>
          </w:rPr>
          <w:t>https://doi.org/10.1111/j.1399-5618.2011.00924.x</w:t>
        </w:r>
      </w:hyperlink>
    </w:p>
    <w:p w14:paraId="4F0E9B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Roussos, P., Katsel, P., Davis, K. L., Bitsios, P., Giakoumaki, S. G., Jogia, J., Rozsnyai, K., Collier, D., Frangou, S., Siever, L. J., &amp; Haroutunian, V. (2012). Molecular and genetic evidence for abnormalities in the nodes of Ranvier in schizophrenia.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(1), 7–15. </w:t>
      </w:r>
      <w:hyperlink r:id="rId4945" w:history="1">
        <w:r w:rsidRPr="0074138E">
          <w:rPr>
            <w:rFonts w:ascii="Times New Roman" w:eastAsia="Times New Roman" w:hAnsi="Times New Roman" w:cs="Times New Roman"/>
            <w:color w:val="0000FF"/>
            <w:sz w:val="24"/>
            <w:szCs w:val="24"/>
            <w:u w:val="single"/>
          </w:rPr>
          <w:t>https://doi.org/10.1001/archgenpsychiatry.2011.110</w:t>
        </w:r>
      </w:hyperlink>
    </w:p>
    <w:p w14:paraId="7E6B88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Rovaris, M., Riccitelli, G., Judica, E., Possa, F., Caputo, D., Ghezzi, A., Bertolotto, A., Capra, R., Falautano, M., Mattioli, F., Martinelli, V., Comi, G., &amp; Filippi, M. (2008). Cognitive impairment and structural brain damage in benign multiple sclerosis.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 xml:space="preserve">(19), 1521–1526. </w:t>
      </w:r>
      <w:hyperlink r:id="rId4946" w:history="1">
        <w:r w:rsidRPr="0074138E">
          <w:rPr>
            <w:rFonts w:ascii="Times New Roman" w:eastAsia="Times New Roman" w:hAnsi="Times New Roman" w:cs="Times New Roman"/>
            <w:color w:val="0000FF"/>
            <w:sz w:val="24"/>
            <w:szCs w:val="24"/>
            <w:u w:val="single"/>
          </w:rPr>
          <w:t>https://doi.org/10.1212/01.wnl.0000319694.14251.95</w:t>
        </w:r>
      </w:hyperlink>
    </w:p>
    <w:p w14:paraId="7E7161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Rowe, E. W., &amp; Shean, G. (1997). Card-sort performance and syndromes of schizophrenia. </w:t>
      </w:r>
      <w:r w:rsidRPr="0074138E">
        <w:rPr>
          <w:rFonts w:ascii="Times New Roman" w:eastAsia="Times New Roman" w:hAnsi="Times New Roman" w:cs="Times New Roman"/>
          <w:i/>
          <w:iCs/>
          <w:sz w:val="24"/>
          <w:szCs w:val="24"/>
        </w:rPr>
        <w:t>Genetic, Social, and General Psychology Monographs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123</w:t>
      </w:r>
      <w:r w:rsidRPr="0074138E">
        <w:rPr>
          <w:rFonts w:ascii="Times New Roman" w:eastAsia="Times New Roman" w:hAnsi="Times New Roman" w:cs="Times New Roman"/>
          <w:sz w:val="24"/>
          <w:szCs w:val="24"/>
        </w:rPr>
        <w:t>(2), 197–209.</w:t>
      </w:r>
    </w:p>
    <w:p w14:paraId="5EC70C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Roxanas, M. G., Massey, J. S., &amp; Chaganti, J. (2014). Antisocial behaviour and lying: A neuropsychiatric presentation of agenesis of the corpus callosum. </w:t>
      </w:r>
      <w:r w:rsidRPr="0074138E">
        <w:rPr>
          <w:rFonts w:ascii="Times New Roman" w:eastAsia="Times New Roman" w:hAnsi="Times New Roman" w:cs="Times New Roman"/>
          <w:i/>
          <w:iCs/>
          <w:sz w:val="24"/>
          <w:szCs w:val="24"/>
        </w:rPr>
        <w:t>Australasian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(5), 461–466. </w:t>
      </w:r>
      <w:hyperlink r:id="rId4947" w:history="1">
        <w:r w:rsidRPr="0074138E">
          <w:rPr>
            <w:rFonts w:ascii="Times New Roman" w:eastAsia="Times New Roman" w:hAnsi="Times New Roman" w:cs="Times New Roman"/>
            <w:color w:val="0000FF"/>
            <w:sz w:val="24"/>
            <w:szCs w:val="24"/>
            <w:u w:val="single"/>
          </w:rPr>
          <w:t>https://doi.org/10.1177/1039856214546535</w:t>
        </w:r>
      </w:hyperlink>
    </w:p>
    <w:p w14:paraId="153E369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Roxburgh, R. H., Smith, C. O., Lim, J. G., Bachman, D. F., Byrd, E., &amp; Bird, T. D. (2013). The unique co-occurrence of spinocerebellar ataxia type 10 (SCA10) and Huntington disease.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324</w:t>
      </w:r>
      <w:r w:rsidRPr="0074138E">
        <w:rPr>
          <w:rFonts w:ascii="Times New Roman" w:eastAsia="Times New Roman" w:hAnsi="Times New Roman" w:cs="Times New Roman"/>
          <w:sz w:val="24"/>
          <w:szCs w:val="24"/>
        </w:rPr>
        <w:t xml:space="preserve">(1–2), 176–178. </w:t>
      </w:r>
      <w:hyperlink r:id="rId4948" w:history="1">
        <w:r w:rsidRPr="0074138E">
          <w:rPr>
            <w:rFonts w:ascii="Times New Roman" w:eastAsia="Times New Roman" w:hAnsi="Times New Roman" w:cs="Times New Roman"/>
            <w:color w:val="0000FF"/>
            <w:sz w:val="24"/>
            <w:szCs w:val="24"/>
            <w:u w:val="single"/>
          </w:rPr>
          <w:t>https://doi.org/10.1016/j.jns.2012.09.030</w:t>
        </w:r>
      </w:hyperlink>
    </w:p>
    <w:p w14:paraId="0EC2293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 D., Koliatsos, V., Vaishnavi, S., Han, D., &amp; Rao, V. (2018). Risk factors for new-onset depression after first-time traumatic brain injury. </w:t>
      </w:r>
      <w:r w:rsidRPr="0074138E">
        <w:rPr>
          <w:rFonts w:ascii="Times New Roman" w:eastAsia="Times New Roman" w:hAnsi="Times New Roman" w:cs="Times New Roman"/>
          <w:i/>
          <w:iCs/>
          <w:sz w:val="24"/>
          <w:szCs w:val="24"/>
        </w:rPr>
        <w:t>Psychosomatics: Journal of Consultation and Liaison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(1), 47–57. </w:t>
      </w:r>
      <w:hyperlink r:id="rId4949" w:history="1">
        <w:r w:rsidRPr="0074138E">
          <w:rPr>
            <w:rFonts w:ascii="Times New Roman" w:eastAsia="Times New Roman" w:hAnsi="Times New Roman" w:cs="Times New Roman"/>
            <w:color w:val="0000FF"/>
            <w:sz w:val="24"/>
            <w:szCs w:val="24"/>
            <w:u w:val="single"/>
          </w:rPr>
          <w:t>https://doi.org/10.1016/j.psym.2017.07.008</w:t>
        </w:r>
      </w:hyperlink>
    </w:p>
    <w:p w14:paraId="49B3BFF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 D., Vaishnavi, S., Han, D., &amp; Rao, V. (2017). Correlates and prevalence of aggression at six months and one year after first-time traumatic brain injury.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334–342. </w:t>
      </w:r>
      <w:hyperlink r:id="rId4950" w:history="1">
        <w:r w:rsidRPr="0074138E">
          <w:rPr>
            <w:rFonts w:ascii="Times New Roman" w:eastAsia="Times New Roman" w:hAnsi="Times New Roman" w:cs="Times New Roman"/>
            <w:color w:val="0000FF"/>
            <w:sz w:val="24"/>
            <w:szCs w:val="24"/>
            <w:u w:val="single"/>
          </w:rPr>
          <w:t>https://doi.org/10.1176/appi.neuropsych.16050088</w:t>
        </w:r>
      </w:hyperlink>
    </w:p>
    <w:p w14:paraId="0FD8BEF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 M., Grondin, S., &amp; Roy, M.-A. (2012). Time perception disorders are related to working memory impairment in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200</w:t>
      </w:r>
      <w:r w:rsidRPr="0074138E">
        <w:rPr>
          <w:rFonts w:ascii="Times New Roman" w:eastAsia="Times New Roman" w:hAnsi="Times New Roman" w:cs="Times New Roman"/>
          <w:sz w:val="24"/>
          <w:szCs w:val="24"/>
        </w:rPr>
        <w:t xml:space="preserve">(2–3), 159–166. </w:t>
      </w:r>
      <w:hyperlink r:id="rId4951" w:history="1">
        <w:r w:rsidRPr="0074138E">
          <w:rPr>
            <w:rFonts w:ascii="Times New Roman" w:eastAsia="Times New Roman" w:hAnsi="Times New Roman" w:cs="Times New Roman"/>
            <w:color w:val="0000FF"/>
            <w:sz w:val="24"/>
            <w:szCs w:val="24"/>
            <w:u w:val="single"/>
          </w:rPr>
          <w:t>https://doi.org/10.1016/j.psychres.2012.06.008</w:t>
        </w:r>
      </w:hyperlink>
    </w:p>
    <w:p w14:paraId="092338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Royall, D. R., Chiodo, L. K., Mouton, C., &amp; Polk, M. J. (2007). Cognitive predictors of mortality in elderly retirees: Results from the Freedom House Study.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243–251. </w:t>
      </w:r>
      <w:hyperlink r:id="rId4952" w:history="1">
        <w:r w:rsidRPr="0074138E">
          <w:rPr>
            <w:rFonts w:ascii="Times New Roman" w:eastAsia="Times New Roman" w:hAnsi="Times New Roman" w:cs="Times New Roman"/>
            <w:color w:val="0000FF"/>
            <w:sz w:val="24"/>
            <w:szCs w:val="24"/>
            <w:u w:val="single"/>
          </w:rPr>
          <w:t>https://doi.org/10.1097/01.JGP.0000240824.84867.02</w:t>
        </w:r>
      </w:hyperlink>
    </w:p>
    <w:p w14:paraId="273CD7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Royall, D. R., Palmer, R., Chiodo, L. K., &amp; Polk, M. J. (2004). Declining Executive Control in Normal Aging Predicts Change in Functional Status: The Freedom House Study. </w:t>
      </w:r>
      <w:r w:rsidRPr="0074138E">
        <w:rPr>
          <w:rFonts w:ascii="Times New Roman" w:eastAsia="Times New Roman" w:hAnsi="Times New Roman" w:cs="Times New Roman"/>
          <w:i/>
          <w:iCs/>
          <w:sz w:val="24"/>
          <w:szCs w:val="24"/>
        </w:rPr>
        <w:t>Journal of the American Geriatrics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(3), 346–352. </w:t>
      </w:r>
      <w:hyperlink r:id="rId4953" w:history="1">
        <w:r w:rsidRPr="0074138E">
          <w:rPr>
            <w:rFonts w:ascii="Times New Roman" w:eastAsia="Times New Roman" w:hAnsi="Times New Roman" w:cs="Times New Roman"/>
            <w:color w:val="0000FF"/>
            <w:sz w:val="24"/>
            <w:szCs w:val="24"/>
            <w:u w:val="single"/>
          </w:rPr>
          <w:t>https://doi.org/10.1111/j.1532-5415.2004.52104.x</w:t>
        </w:r>
      </w:hyperlink>
    </w:p>
    <w:p w14:paraId="641314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Royall, D. R., &amp; Palmer, R. F. (2014). “Executive functions” cannot be distinguished from general intelligence: Two variations on a single theme within a symphony of latent variance.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4B0703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Roye, S., Calamia, M., Greve, K., Bianchini, K., Aguerrevere, L., &amp; Curtis, K. (2018). Further validation of booklet category test subscales for learning, set loss, and memory in a mixed clinical sample. </w:t>
      </w:r>
      <w:r w:rsidRPr="0074138E">
        <w:rPr>
          <w:rFonts w:ascii="Times New Roman" w:eastAsia="Times New Roman" w:hAnsi="Times New Roman" w:cs="Times New Roman"/>
          <w:i/>
          <w:iCs/>
          <w:sz w:val="24"/>
          <w:szCs w:val="24"/>
        </w:rPr>
        <w:t>Applied Neuropsychology: Adult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(1), 11–18. </w:t>
      </w:r>
      <w:hyperlink r:id="rId4954" w:history="1">
        <w:r w:rsidRPr="0074138E">
          <w:rPr>
            <w:rFonts w:ascii="Times New Roman" w:eastAsia="Times New Roman" w:hAnsi="Times New Roman" w:cs="Times New Roman"/>
            <w:color w:val="0000FF"/>
            <w:sz w:val="24"/>
            <w:szCs w:val="24"/>
            <w:u w:val="single"/>
          </w:rPr>
          <w:t>https://doi.org/10.1080/23279095.2016.1230120</w:t>
        </w:r>
      </w:hyperlink>
    </w:p>
    <w:p w14:paraId="6719DB5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Royer, A., Grosselin, A., Bellot, C., Pellet, J., Billard, S., Lang, F., Brouillet, D., &amp; Massoubre, C. (2012). Is there any impact of cognitive remediation on an ecological test in schizophrenia?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19–35. </w:t>
      </w:r>
      <w:hyperlink r:id="rId4955" w:history="1">
        <w:r w:rsidRPr="0074138E">
          <w:rPr>
            <w:rFonts w:ascii="Times New Roman" w:eastAsia="Times New Roman" w:hAnsi="Times New Roman" w:cs="Times New Roman"/>
            <w:color w:val="0000FF"/>
            <w:sz w:val="24"/>
            <w:szCs w:val="24"/>
            <w:u w:val="single"/>
          </w:rPr>
          <w:t>https://doi.org/10.1080/13546805.2011.564512</w:t>
        </w:r>
      </w:hyperlink>
    </w:p>
    <w:p w14:paraId="66003B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Ruberto, G., Vassos, E., Lewis, C. M., Tatarelli, R., Girardi, P., Collier, D., &amp; Frangou, S. (2011). The cognitive impact of the ANK3 risk variant for bipolar disorder: Initial evidence of selectivity to signal detection during sustained attention.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(1). </w:t>
      </w:r>
      <w:hyperlink r:id="rId4956" w:history="1">
        <w:r w:rsidRPr="0074138E">
          <w:rPr>
            <w:rFonts w:ascii="Times New Roman" w:eastAsia="Times New Roman" w:hAnsi="Times New Roman" w:cs="Times New Roman"/>
            <w:color w:val="0000FF"/>
            <w:sz w:val="24"/>
            <w:szCs w:val="24"/>
            <w:u w:val="single"/>
          </w:rPr>
          <w:t>https://doi.org/10.1371/journal.pone.0016671</w:t>
        </w:r>
      </w:hyperlink>
    </w:p>
    <w:p w14:paraId="31E710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 P., Holm, A., Møller-Madsen, S., Videbech, P., Hertel, C., Povlsen, U. J., &amp; Hemmingsen, R. (1995). Neuropsychological deficit in newly diagnosed patients with schizophrenia or schizophreniform disorder.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92</w:t>
      </w:r>
      <w:r w:rsidRPr="0074138E">
        <w:rPr>
          <w:rFonts w:ascii="Times New Roman" w:eastAsia="Times New Roman" w:hAnsi="Times New Roman" w:cs="Times New Roman"/>
          <w:sz w:val="24"/>
          <w:szCs w:val="24"/>
        </w:rPr>
        <w:t xml:space="preserve">(1), 35–43. </w:t>
      </w:r>
      <w:hyperlink r:id="rId4957" w:history="1">
        <w:r w:rsidRPr="0074138E">
          <w:rPr>
            <w:rFonts w:ascii="Times New Roman" w:eastAsia="Times New Roman" w:hAnsi="Times New Roman" w:cs="Times New Roman"/>
            <w:color w:val="0000FF"/>
            <w:sz w:val="24"/>
            <w:szCs w:val="24"/>
            <w:u w:val="single"/>
          </w:rPr>
          <w:t>https://doi.org/10.1111/j.1600-0447.1995.tb09540.x</w:t>
        </w:r>
      </w:hyperlink>
    </w:p>
    <w:p w14:paraId="0876E5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 P., Holm, S., Madsen, P. L., Friberg, L., Videbech, P., Andersen, H. S., Bendsen, B. B., Strømsø, N., Larsen, J. K., Lassen, N. A., &amp; Hemmingsen, R. (1994). Regional cerebral blood flow distribution in newly diagnosed schizophrenia and schizophreniform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(1), 57–75. </w:t>
      </w:r>
      <w:hyperlink r:id="rId4958" w:history="1">
        <w:r w:rsidRPr="0074138E">
          <w:rPr>
            <w:rFonts w:ascii="Times New Roman" w:eastAsia="Times New Roman" w:hAnsi="Times New Roman" w:cs="Times New Roman"/>
            <w:color w:val="0000FF"/>
            <w:sz w:val="24"/>
            <w:szCs w:val="24"/>
            <w:u w:val="single"/>
          </w:rPr>
          <w:t>https://doi.org/10.1016/0165-1781(94)90095-7</w:t>
        </w:r>
      </w:hyperlink>
    </w:p>
    <w:p w14:paraId="544301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Rubino, A., Assogna, F., Piras, F., Di Battista, M. E., Imperiale, F., Chiapponi, C., Spalletta, G., &amp; Meco, G. (2014). Does a volume reduction of the parietal lobe contribute to freezing of gait in Parkinson’s disease? </w:t>
      </w:r>
      <w:r w:rsidRPr="0074138E">
        <w:rPr>
          <w:rFonts w:ascii="Times New Roman" w:eastAsia="Times New Roman" w:hAnsi="Times New Roman" w:cs="Times New Roman"/>
          <w:i/>
          <w:iCs/>
          <w:sz w:val="24"/>
          <w:szCs w:val="24"/>
        </w:rPr>
        <w:t>Parkinsonism &amp;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(10), 1101–1103. </w:t>
      </w:r>
      <w:hyperlink r:id="rId4959" w:history="1">
        <w:r w:rsidRPr="0074138E">
          <w:rPr>
            <w:rFonts w:ascii="Times New Roman" w:eastAsia="Times New Roman" w:hAnsi="Times New Roman" w:cs="Times New Roman"/>
            <w:color w:val="0000FF"/>
            <w:sz w:val="24"/>
            <w:szCs w:val="24"/>
            <w:u w:val="single"/>
          </w:rPr>
          <w:t>https://doi.org/10.1016/j.parkreldis.2014.07.002</w:t>
        </w:r>
      </w:hyperlink>
    </w:p>
    <w:p w14:paraId="29AFE6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Rubinsztein, J. S., Michael, A., Underwood, B. R., Tempest, M., &amp; Sahakian, B. J. (2006). Impaired cognition and decision-making in bipolar depression but no “affective bias” evident.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(5), 629–639. </w:t>
      </w:r>
      <w:hyperlink r:id="rId4960" w:history="1">
        <w:r w:rsidRPr="0074138E">
          <w:rPr>
            <w:rFonts w:ascii="Times New Roman" w:eastAsia="Times New Roman" w:hAnsi="Times New Roman" w:cs="Times New Roman"/>
            <w:color w:val="0000FF"/>
            <w:sz w:val="24"/>
            <w:szCs w:val="24"/>
            <w:u w:val="single"/>
          </w:rPr>
          <w:t>https://doi.org/10.1017/S0033291705006689</w:t>
        </w:r>
      </w:hyperlink>
    </w:p>
    <w:p w14:paraId="5C1A7C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Ruby, P. G. (2000). </w:t>
      </w:r>
      <w:r w:rsidRPr="0074138E">
        <w:rPr>
          <w:rFonts w:ascii="Times New Roman" w:eastAsia="Times New Roman" w:hAnsi="Times New Roman" w:cs="Times New Roman"/>
          <w:i/>
          <w:iCs/>
          <w:sz w:val="24"/>
          <w:szCs w:val="24"/>
        </w:rPr>
        <w:t>Executive functioning in systemic lupus erythematosus.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(4-B), 2220–2220.</w:t>
      </w:r>
    </w:p>
    <w:p w14:paraId="7F2E23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Rucklidge, J. J. (2006a). Gender differences in neuropsychological functioning of New Zealand adolescents with and without attention deficit hyperactivity disorder. </w:t>
      </w:r>
      <w:r w:rsidRPr="0074138E">
        <w:rPr>
          <w:rFonts w:ascii="Times New Roman" w:eastAsia="Times New Roman" w:hAnsi="Times New Roman" w:cs="Times New Roman"/>
          <w:i/>
          <w:iCs/>
          <w:sz w:val="24"/>
          <w:szCs w:val="24"/>
        </w:rPr>
        <w:t>International Journal of Disability, Development and Education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(1), 47–66. </w:t>
      </w:r>
      <w:hyperlink r:id="rId4961" w:history="1">
        <w:r w:rsidRPr="0074138E">
          <w:rPr>
            <w:rFonts w:ascii="Times New Roman" w:eastAsia="Times New Roman" w:hAnsi="Times New Roman" w:cs="Times New Roman"/>
            <w:color w:val="0000FF"/>
            <w:sz w:val="24"/>
            <w:szCs w:val="24"/>
            <w:u w:val="single"/>
          </w:rPr>
          <w:t>https://doi.org/10.1080/10349120600577402</w:t>
        </w:r>
      </w:hyperlink>
    </w:p>
    <w:p w14:paraId="280A90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Rucklidge, J. J. (2006b). Impact of ADHD on the Neurocognitive Functioning of Adolescents with Bipolar Disorder.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(9), 921–928. </w:t>
      </w:r>
      <w:hyperlink r:id="rId4962" w:history="1">
        <w:r w:rsidRPr="0074138E">
          <w:rPr>
            <w:rFonts w:ascii="Times New Roman" w:eastAsia="Times New Roman" w:hAnsi="Times New Roman" w:cs="Times New Roman"/>
            <w:color w:val="0000FF"/>
            <w:sz w:val="24"/>
            <w:szCs w:val="24"/>
            <w:u w:val="single"/>
          </w:rPr>
          <w:t>https://doi.org/10.1016/j.biopsych.2006.03.067</w:t>
        </w:r>
      </w:hyperlink>
    </w:p>
    <w:p w14:paraId="385991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Ruffieux, N., Colombo, F., Gentaz, E., Annoni, J.-M., Chouiter, L., Roulin Hefti, S., Ruffieux, A., &amp; Bihl, T. (2017). Successful neuropsychological rehabilitation in a patient with Cerebellar Cognitive Affective Syndrome. </w:t>
      </w:r>
      <w:r w:rsidRPr="0074138E">
        <w:rPr>
          <w:rFonts w:ascii="Times New Roman" w:eastAsia="Times New Roman" w:hAnsi="Times New Roman" w:cs="Times New Roman"/>
          <w:i/>
          <w:iCs/>
          <w:sz w:val="24"/>
          <w:szCs w:val="24"/>
        </w:rPr>
        <w:t>Applied Neuropsychology: Child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(2), 180–188. </w:t>
      </w:r>
      <w:hyperlink r:id="rId4963" w:history="1">
        <w:r w:rsidRPr="0074138E">
          <w:rPr>
            <w:rFonts w:ascii="Times New Roman" w:eastAsia="Times New Roman" w:hAnsi="Times New Roman" w:cs="Times New Roman"/>
            <w:color w:val="0000FF"/>
            <w:sz w:val="24"/>
            <w:szCs w:val="24"/>
            <w:u w:val="single"/>
          </w:rPr>
          <w:t>https://doi.org/10.1080/21622965.2015.1092087</w:t>
        </w:r>
      </w:hyperlink>
    </w:p>
    <w:p w14:paraId="5F3382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Ruiter, M. B., Kolk, H. H. J., &amp; Rietveld, T. C. M. (2010). Speaking in ellipses: The effect of a compensatory style of speech on functional communication in chronic agrammatism.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423–458. </w:t>
      </w:r>
      <w:hyperlink r:id="rId4964" w:history="1">
        <w:r w:rsidRPr="0074138E">
          <w:rPr>
            <w:rFonts w:ascii="Times New Roman" w:eastAsia="Times New Roman" w:hAnsi="Times New Roman" w:cs="Times New Roman"/>
            <w:color w:val="0000FF"/>
            <w:sz w:val="24"/>
            <w:szCs w:val="24"/>
            <w:u w:val="single"/>
          </w:rPr>
          <w:t>https://doi.org/10.1080/09602010903399287</w:t>
        </w:r>
      </w:hyperlink>
    </w:p>
    <w:p w14:paraId="5630EB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 E. J. C., del Consuelo Escoto Ponce de León, M., &amp; Díaz, J. M. M. (2008). Neuropsychological evaluation in patients with eating disorders. </w:t>
      </w:r>
      <w:r w:rsidRPr="0074138E">
        <w:rPr>
          <w:rFonts w:ascii="Times New Roman" w:eastAsia="Times New Roman" w:hAnsi="Times New Roman" w:cs="Times New Roman"/>
          <w:i/>
          <w:iCs/>
          <w:sz w:val="24"/>
          <w:szCs w:val="24"/>
        </w:rPr>
        <w:t>Salud 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(6), 441–446.</w:t>
      </w:r>
    </w:p>
    <w:p w14:paraId="2DD886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 J. C., Fuentes, I., Roder, V., Tomás, P., Dasí, C., &amp; Soler, M. J. (2011). Effectiveness of the cognitive differentiation program of the Integrated Psychological Therapy: Group versus individual treatment.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199</w:t>
      </w:r>
      <w:r w:rsidRPr="0074138E">
        <w:rPr>
          <w:rFonts w:ascii="Times New Roman" w:eastAsia="Times New Roman" w:hAnsi="Times New Roman" w:cs="Times New Roman"/>
          <w:sz w:val="24"/>
          <w:szCs w:val="24"/>
        </w:rPr>
        <w:t xml:space="preserve">(12), 978–982. </w:t>
      </w:r>
      <w:hyperlink r:id="rId4965" w:history="1">
        <w:r w:rsidRPr="0074138E">
          <w:rPr>
            <w:rFonts w:ascii="Times New Roman" w:eastAsia="Times New Roman" w:hAnsi="Times New Roman" w:cs="Times New Roman"/>
            <w:color w:val="0000FF"/>
            <w:sz w:val="24"/>
            <w:szCs w:val="24"/>
            <w:u w:val="single"/>
          </w:rPr>
          <w:t>https://doi.org/10.1097/NMD.0b013e3182392aca</w:t>
        </w:r>
      </w:hyperlink>
    </w:p>
    <w:p w14:paraId="66AF58D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 J. C., Soler, M. J., Fuentes, I., &amp; Tomás, P. (2007). Intellectual functioning and memory deficits in schizophrenia.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 xml:space="preserve">(3), 276–282. </w:t>
      </w:r>
      <w:hyperlink r:id="rId4966" w:history="1">
        <w:r w:rsidRPr="0074138E">
          <w:rPr>
            <w:rFonts w:ascii="Times New Roman" w:eastAsia="Times New Roman" w:hAnsi="Times New Roman" w:cs="Times New Roman"/>
            <w:color w:val="0000FF"/>
            <w:sz w:val="24"/>
            <w:szCs w:val="24"/>
            <w:u w:val="single"/>
          </w:rPr>
          <w:t>https://doi.org/10.1016/j.comppsych.2006.11.002</w:t>
        </w:r>
      </w:hyperlink>
    </w:p>
    <w:p w14:paraId="6FF02D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Ruíz, M. C. A., Barrantes-Vidal, N., Guitart, M., &amp; Fañanás, L. (2008). Study of neurocognitive correlates of schizotypy personality clusters in healthy individuals. </w:t>
      </w:r>
      <w:r w:rsidRPr="0074138E">
        <w:rPr>
          <w:rFonts w:ascii="Times New Roman" w:eastAsia="Times New Roman" w:hAnsi="Times New Roman" w:cs="Times New Roman"/>
          <w:i/>
          <w:iCs/>
          <w:sz w:val="24"/>
          <w:szCs w:val="24"/>
        </w:rPr>
        <w:t>The European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(1), 17–28.</w:t>
      </w:r>
    </w:p>
    <w:p w14:paraId="6BFE7D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Ruiz‐Díaz, M., Hernández‐González, M., Guevara, M. A., Amezcua, C., &amp; Ågmo, A. (2012). Prefrontal EEG correlation during Tower of Hanoi and WCST performance: Effect of emotional visual stimuli. </w:t>
      </w:r>
      <w:r w:rsidRPr="0074138E">
        <w:rPr>
          <w:rFonts w:ascii="Times New Roman" w:eastAsia="Times New Roman" w:hAnsi="Times New Roman" w:cs="Times New Roman"/>
          <w:i/>
          <w:iCs/>
          <w:sz w:val="24"/>
          <w:szCs w:val="24"/>
        </w:rPr>
        <w:t>Journal of Sexual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(10), 2631–2640. </w:t>
      </w:r>
      <w:hyperlink r:id="rId4967" w:history="1">
        <w:r w:rsidRPr="0074138E">
          <w:rPr>
            <w:rFonts w:ascii="Times New Roman" w:eastAsia="Times New Roman" w:hAnsi="Times New Roman" w:cs="Times New Roman"/>
            <w:color w:val="0000FF"/>
            <w:sz w:val="24"/>
            <w:szCs w:val="24"/>
            <w:u w:val="single"/>
          </w:rPr>
          <w:t>https://doi.org/10.1111/j.1743-6109.2012.02782.x</w:t>
        </w:r>
      </w:hyperlink>
    </w:p>
    <w:p w14:paraId="1D3204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Ruiz-Iriondo, M., Salaberria, K., Echeburua, E., Iruin, A., Gabaldón, O., &amp; Marañón, I. F. (2019). Global functioning among middle-aged patients with chronic schizophrenia: The role of medication, working memory and verbal comprehension. </w:t>
      </w:r>
      <w:r w:rsidRPr="0074138E">
        <w:rPr>
          <w:rFonts w:ascii="Times New Roman" w:eastAsia="Times New Roman" w:hAnsi="Times New Roman" w:cs="Times New Roman"/>
          <w:i/>
          <w:iCs/>
          <w:sz w:val="24"/>
          <w:szCs w:val="24"/>
        </w:rPr>
        <w:t>Anales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(2), 204–213. </w:t>
      </w:r>
      <w:hyperlink r:id="rId4968" w:history="1">
        <w:r w:rsidRPr="0074138E">
          <w:rPr>
            <w:rFonts w:ascii="Times New Roman" w:eastAsia="Times New Roman" w:hAnsi="Times New Roman" w:cs="Times New Roman"/>
            <w:color w:val="0000FF"/>
            <w:sz w:val="24"/>
            <w:szCs w:val="24"/>
            <w:u w:val="single"/>
          </w:rPr>
          <w:t>https://doi.org/10.6018/analesps.35.2.336251</w:t>
        </w:r>
      </w:hyperlink>
    </w:p>
    <w:p w14:paraId="22EA4C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Ruiz-Iriondo, M., Salaberria, K., Polo-López, R., Iruín, A., &amp; Echeburúa, E. (2019). Preventing cognitive decline in chronic schizophrenia: Long-term effectiveness of integrated psychological therapy and emotional management training. </w:t>
      </w:r>
      <w:r w:rsidRPr="0074138E">
        <w:rPr>
          <w:rFonts w:ascii="Times New Roman" w:eastAsia="Times New Roman" w:hAnsi="Times New Roman" w:cs="Times New Roman"/>
          <w:i/>
          <w:iCs/>
          <w:sz w:val="24"/>
          <w:szCs w:val="24"/>
        </w:rPr>
        <w:t>Psicothema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(2), 114–120.</w:t>
      </w:r>
    </w:p>
    <w:p w14:paraId="1180A5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Barder, H. E., Evensen, J., Haahr, U., ten Velden Hegelstad, W., Joa, I., Johannessen, J. O., Langeveld, J., Larsen, T. K., Melle, I., Opjordsmoen, S., Røssberg, J. I., Simonsen, E., Sundet, K., Vaglum, P., McGlashan, T., &amp; Friis, S. (2016). Neurocognition and duration of psychosis: A 10-year follow-up of first-episode patients.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(1), 87–95.</w:t>
      </w:r>
    </w:p>
    <w:p w14:paraId="0F4A2F4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Melle, I., Friis, S., Johannessen, J. O., Larsen, T. K., Midbøe, L. J., Opjordsmoen, S., Simonsen, E., Vaglum, P., &amp; McGlashan, T. (2007). The course of neurocognitive functioning in first-episode psychosis and its relation to premorbid adjustment, duration of untreated psychosis, and relapse.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91</w:t>
      </w:r>
      <w:r w:rsidRPr="0074138E">
        <w:rPr>
          <w:rFonts w:ascii="Times New Roman" w:eastAsia="Times New Roman" w:hAnsi="Times New Roman" w:cs="Times New Roman"/>
          <w:sz w:val="24"/>
          <w:szCs w:val="24"/>
        </w:rPr>
        <w:t xml:space="preserve">(1–3), 132–140. </w:t>
      </w:r>
      <w:hyperlink r:id="rId4969" w:history="1">
        <w:r w:rsidRPr="0074138E">
          <w:rPr>
            <w:rFonts w:ascii="Times New Roman" w:eastAsia="Times New Roman" w:hAnsi="Times New Roman" w:cs="Times New Roman"/>
            <w:color w:val="0000FF"/>
            <w:sz w:val="24"/>
            <w:szCs w:val="24"/>
            <w:u w:val="single"/>
          </w:rPr>
          <w:t>https://doi.org/10.1016/j.schres.2006.11.030</w:t>
        </w:r>
      </w:hyperlink>
    </w:p>
    <w:p w14:paraId="2C03D0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Melle, I., Friis, S., Larsen, T. K., Midbøe, L. J., Opjordsmoen, S., Simonsen, E., Vaglum, P., &amp; McGlashan, T. (2004). Neurocognitive Dysfunction in First-Episode Psychosis: Correlates With Symptoms, Premorbid Adjustment, and Duration of Untreated Psychosis.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161</w:t>
      </w:r>
      <w:r w:rsidRPr="0074138E">
        <w:rPr>
          <w:rFonts w:ascii="Times New Roman" w:eastAsia="Times New Roman" w:hAnsi="Times New Roman" w:cs="Times New Roman"/>
          <w:sz w:val="24"/>
          <w:szCs w:val="24"/>
        </w:rPr>
        <w:t xml:space="preserve">(3), 466–472. </w:t>
      </w:r>
      <w:hyperlink r:id="rId4970" w:history="1">
        <w:r w:rsidRPr="0074138E">
          <w:rPr>
            <w:rFonts w:ascii="Times New Roman" w:eastAsia="Times New Roman" w:hAnsi="Times New Roman" w:cs="Times New Roman"/>
            <w:color w:val="0000FF"/>
            <w:sz w:val="24"/>
            <w:szCs w:val="24"/>
            <w:u w:val="single"/>
          </w:rPr>
          <w:t>https://doi.org/10.1176/appi.ajp.161.3.466</w:t>
        </w:r>
      </w:hyperlink>
    </w:p>
    <w:p w14:paraId="297193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Rund, B. R., Sundet, K., Asbjørnsen, A., Egeland, J., Landrø, N. I., Lund, A., Roness, A., Stordal, K. I., &amp; Hugdahl, K. (2006). Neuropsychological test profiles in schizophrenia and non-psychotic depression.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113</w:t>
      </w:r>
      <w:r w:rsidRPr="0074138E">
        <w:rPr>
          <w:rFonts w:ascii="Times New Roman" w:eastAsia="Times New Roman" w:hAnsi="Times New Roman" w:cs="Times New Roman"/>
          <w:sz w:val="24"/>
          <w:szCs w:val="24"/>
        </w:rPr>
        <w:t xml:space="preserve">(4), 350–359. </w:t>
      </w:r>
      <w:hyperlink r:id="rId4971" w:history="1">
        <w:r w:rsidRPr="0074138E">
          <w:rPr>
            <w:rFonts w:ascii="Times New Roman" w:eastAsia="Times New Roman" w:hAnsi="Times New Roman" w:cs="Times New Roman"/>
            <w:color w:val="0000FF"/>
            <w:sz w:val="24"/>
            <w:szCs w:val="24"/>
            <w:u w:val="single"/>
          </w:rPr>
          <w:t>https://doi.org/10.1111/j.1600-0447.2005.00626.x</w:t>
        </w:r>
      </w:hyperlink>
    </w:p>
    <w:p w14:paraId="053337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Ruppert, P., Edmonds, E. C., Brook, M., Musil, S., &amp; Han, S. D. (2012). Neuropsychological assessment in a case of adult-onset hemophagocytic lymphohistiocytosis (HLH).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(6), 1038–1052. </w:t>
      </w:r>
      <w:hyperlink r:id="rId4972" w:history="1">
        <w:r w:rsidRPr="0074138E">
          <w:rPr>
            <w:rFonts w:ascii="Times New Roman" w:eastAsia="Times New Roman" w:hAnsi="Times New Roman" w:cs="Times New Roman"/>
            <w:color w:val="0000FF"/>
            <w:sz w:val="24"/>
            <w:szCs w:val="24"/>
            <w:u w:val="single"/>
          </w:rPr>
          <w:t>https://doi.org/10.1080/13854046.2012.702788</w:t>
        </w:r>
      </w:hyperlink>
    </w:p>
    <w:p w14:paraId="18F2E7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Rusanen, M., Rovio, S., Ngandu, T., Nissinen, A., Tuomilehto, J., Soininen, H., &amp; Kivipelto, M. (2010). Midlife smoking, apolipoprotein E and risk of dementia and Alzheimer’s disease: A population-based cardiovascular risk factors, aging and dementia study.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277–284. </w:t>
      </w:r>
      <w:hyperlink r:id="rId4973" w:history="1">
        <w:r w:rsidRPr="0074138E">
          <w:rPr>
            <w:rFonts w:ascii="Times New Roman" w:eastAsia="Times New Roman" w:hAnsi="Times New Roman" w:cs="Times New Roman"/>
            <w:color w:val="0000FF"/>
            <w:sz w:val="24"/>
            <w:szCs w:val="24"/>
            <w:u w:val="single"/>
          </w:rPr>
          <w:t>https://doi.org/10.1159/000320484</w:t>
        </w:r>
      </w:hyperlink>
    </w:p>
    <w:p w14:paraId="39B6B7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Rüsch, N., Spoletini, I., Wilke, M., Bria, P., Di Paola, M., Di Iulio, F., Martinotti, G., Caltagirone, C., &amp; Spalletta, G. (2007). Prefrontal-thalamic-cerebellar gray matter networks and executive functioning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93</w:t>
      </w:r>
      <w:r w:rsidRPr="0074138E">
        <w:rPr>
          <w:rFonts w:ascii="Times New Roman" w:eastAsia="Times New Roman" w:hAnsi="Times New Roman" w:cs="Times New Roman"/>
          <w:sz w:val="24"/>
          <w:szCs w:val="24"/>
        </w:rPr>
        <w:t xml:space="preserve">(1–3), 79–89. </w:t>
      </w:r>
      <w:hyperlink r:id="rId4974" w:history="1">
        <w:r w:rsidRPr="0074138E">
          <w:rPr>
            <w:rFonts w:ascii="Times New Roman" w:eastAsia="Times New Roman" w:hAnsi="Times New Roman" w:cs="Times New Roman"/>
            <w:color w:val="0000FF"/>
            <w:sz w:val="24"/>
            <w:szCs w:val="24"/>
            <w:u w:val="single"/>
          </w:rPr>
          <w:t>https://doi.org/10.1016/j.schres.2007.01.029</w:t>
        </w:r>
      </w:hyperlink>
    </w:p>
    <w:p w14:paraId="31B2056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Rüsch, N., Spoletini, I., Wilke, M., Martinotti, G., Bria, P., Trequattrini, A., Bonaviri, G., Caltagirone, C., &amp; Spalletta, G. (2008). Inferior frontal white matter volume and suicidality in schizophrenia.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164</w:t>
      </w:r>
      <w:r w:rsidRPr="0074138E">
        <w:rPr>
          <w:rFonts w:ascii="Times New Roman" w:eastAsia="Times New Roman" w:hAnsi="Times New Roman" w:cs="Times New Roman"/>
          <w:sz w:val="24"/>
          <w:szCs w:val="24"/>
        </w:rPr>
        <w:t xml:space="preserve">(3), 206–214. </w:t>
      </w:r>
      <w:hyperlink r:id="rId4975" w:history="1">
        <w:r w:rsidRPr="0074138E">
          <w:rPr>
            <w:rFonts w:ascii="Times New Roman" w:eastAsia="Times New Roman" w:hAnsi="Times New Roman" w:cs="Times New Roman"/>
            <w:color w:val="0000FF"/>
            <w:sz w:val="24"/>
            <w:szCs w:val="24"/>
            <w:u w:val="single"/>
          </w:rPr>
          <w:t>https://doi.org/10.1016/j.pscychresns.2007.12.011</w:t>
        </w:r>
      </w:hyperlink>
    </w:p>
    <w:p w14:paraId="1585FC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Rüsch, N., van Elst, L. T., Valerius, G., Büchert, M., Thiel, T., Ebert, D., Hennig, J., &amp; Olbrich, H.-M. (2008). Neurochemical and structural correlates of executive dysfunction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99</w:t>
      </w:r>
      <w:r w:rsidRPr="0074138E">
        <w:rPr>
          <w:rFonts w:ascii="Times New Roman" w:eastAsia="Times New Roman" w:hAnsi="Times New Roman" w:cs="Times New Roman"/>
          <w:sz w:val="24"/>
          <w:szCs w:val="24"/>
        </w:rPr>
        <w:t xml:space="preserve">(1–3), 155–163. </w:t>
      </w:r>
      <w:hyperlink r:id="rId4976" w:history="1">
        <w:r w:rsidRPr="0074138E">
          <w:rPr>
            <w:rFonts w:ascii="Times New Roman" w:eastAsia="Times New Roman" w:hAnsi="Times New Roman" w:cs="Times New Roman"/>
            <w:color w:val="0000FF"/>
            <w:sz w:val="24"/>
            <w:szCs w:val="24"/>
            <w:u w:val="single"/>
          </w:rPr>
          <w:t>https://doi.org/10.1016/j.schres.2007.05.024</w:t>
        </w:r>
      </w:hyperlink>
    </w:p>
    <w:p w14:paraId="50407A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Rusconi, M. L., Carelli, L., Stampatori, C., &amp; Mattioli, F. (2014). Cognitive and behavioral deficits following bilateral thalamic stroke: A longitudinal study.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(5), 501–509. </w:t>
      </w:r>
      <w:hyperlink r:id="rId4977" w:history="1">
        <w:r w:rsidRPr="0074138E">
          <w:rPr>
            <w:rFonts w:ascii="Times New Roman" w:eastAsia="Times New Roman" w:hAnsi="Times New Roman" w:cs="Times New Roman"/>
            <w:color w:val="0000FF"/>
            <w:sz w:val="24"/>
            <w:szCs w:val="24"/>
            <w:u w:val="single"/>
          </w:rPr>
          <w:t>https://doi.org/10.1080/13554794.2013.826682</w:t>
        </w:r>
      </w:hyperlink>
    </w:p>
    <w:p w14:paraId="54A755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Rusina, R., Kovacs, G. G., Fiala, J., Hort, J., Ridzoň, P., Holmerová, I., Ströbel, T., &amp; Matěj, R. (2011). FTLD-TDP with motor neuron disease, visuospatial impairment and a progressive supranuclear palsy-like syndrome: Broadening the clinical phenotype of TDP-43 proteinopathies. A report of three cases. </w:t>
      </w:r>
      <w:r w:rsidRPr="0074138E">
        <w:rPr>
          <w:rFonts w:ascii="Times New Roman" w:eastAsia="Times New Roman" w:hAnsi="Times New Roman" w:cs="Times New Roman"/>
          <w:i/>
          <w:iCs/>
          <w:sz w:val="24"/>
          <w:szCs w:val="24"/>
        </w:rPr>
        <w:t>BMC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 </w:t>
      </w:r>
      <w:hyperlink r:id="rId4978" w:history="1">
        <w:r w:rsidRPr="0074138E">
          <w:rPr>
            <w:rFonts w:ascii="Times New Roman" w:eastAsia="Times New Roman" w:hAnsi="Times New Roman" w:cs="Times New Roman"/>
            <w:color w:val="0000FF"/>
            <w:sz w:val="24"/>
            <w:szCs w:val="24"/>
            <w:u w:val="single"/>
          </w:rPr>
          <w:t>https://doi.org/10.1186/1471-2377-11-50</w:t>
        </w:r>
      </w:hyperlink>
    </w:p>
    <w:p w14:paraId="328E2F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Rusina, R., Pazdera, L., Kulišták, P., Vyšata, O., &amp; Matěj, R. (2013). Pick and Alzheimer diseases: A rare comorbidity presenting as corticobasal syndrome.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(4), 189–194. </w:t>
      </w:r>
      <w:hyperlink r:id="rId4979" w:history="1">
        <w:r w:rsidRPr="0074138E">
          <w:rPr>
            <w:rFonts w:ascii="Times New Roman" w:eastAsia="Times New Roman" w:hAnsi="Times New Roman" w:cs="Times New Roman"/>
            <w:color w:val="0000FF"/>
            <w:sz w:val="24"/>
            <w:szCs w:val="24"/>
            <w:u w:val="single"/>
          </w:rPr>
          <w:t>https://doi.org/10.1097/WNN.0000000000000011</w:t>
        </w:r>
      </w:hyperlink>
    </w:p>
    <w:p w14:paraId="13B5AC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Rusina, R., Ridzoň, P., Kulišt’ák, P., Keller, O., Bartoš, A., Buncová, M., Fialová, L., Koukolík, F., &amp; Matěj, R. (2010). Relationship between ALS and the degree of cognitive impairment, markers of neurodegeneration and predictors for poor outcome. A prospective study.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23–30. </w:t>
      </w:r>
      <w:hyperlink r:id="rId4980" w:history="1">
        <w:r w:rsidRPr="0074138E">
          <w:rPr>
            <w:rFonts w:ascii="Times New Roman" w:eastAsia="Times New Roman" w:hAnsi="Times New Roman" w:cs="Times New Roman"/>
            <w:color w:val="0000FF"/>
            <w:sz w:val="24"/>
            <w:szCs w:val="24"/>
            <w:u w:val="single"/>
          </w:rPr>
          <w:t>https://doi.org/10.1111/j.1468-1331.2009.02717.x</w:t>
        </w:r>
      </w:hyperlink>
    </w:p>
    <w:p w14:paraId="3BAA05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Russell, J., Maguire, S., Hunt, G. E., Kesby, A., Suraev, A., Stuart, J., Booth, J., &amp; McGregor, I. S. (2018). Intranasal oxytocin in the treatment of anorexia nervosa: Randomized controlled trial during re-feeding. </w:t>
      </w:r>
      <w:r w:rsidRPr="0074138E">
        <w:rPr>
          <w:rFonts w:ascii="Times New Roman" w:eastAsia="Times New Roman" w:hAnsi="Times New Roman" w:cs="Times New Roman"/>
          <w:i/>
          <w:iCs/>
          <w:sz w:val="24"/>
          <w:szCs w:val="24"/>
        </w:rPr>
        <w:t>Psychoneuroendocrinology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87</w:t>
      </w:r>
      <w:r w:rsidRPr="0074138E">
        <w:rPr>
          <w:rFonts w:ascii="Times New Roman" w:eastAsia="Times New Roman" w:hAnsi="Times New Roman" w:cs="Times New Roman"/>
          <w:sz w:val="24"/>
          <w:szCs w:val="24"/>
        </w:rPr>
        <w:t xml:space="preserve">, 83–92. </w:t>
      </w:r>
      <w:hyperlink r:id="rId4981" w:history="1">
        <w:r w:rsidRPr="0074138E">
          <w:rPr>
            <w:rFonts w:ascii="Times New Roman" w:eastAsia="Times New Roman" w:hAnsi="Times New Roman" w:cs="Times New Roman"/>
            <w:color w:val="0000FF"/>
            <w:sz w:val="24"/>
            <w:szCs w:val="24"/>
            <w:u w:val="single"/>
          </w:rPr>
          <w:t>https://doi.org/10.1016/j.psyneuen.2017.10.014</w:t>
        </w:r>
      </w:hyperlink>
    </w:p>
    <w:p w14:paraId="04B03BF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Russo, A., Tessitore, A., Giordano, A., Corbo, D., Marcuccio, L., De Stefano, M., Salemi, F., Conforti, R., Esposito, F., &amp; Tedeschi, G. (2012). Executive resting-state network connectivity in migraine without aura. </w:t>
      </w:r>
      <w:r w:rsidRPr="0074138E">
        <w:rPr>
          <w:rFonts w:ascii="Times New Roman" w:eastAsia="Times New Roman" w:hAnsi="Times New Roman" w:cs="Times New Roman"/>
          <w:i/>
          <w:iCs/>
          <w:sz w:val="24"/>
          <w:szCs w:val="24"/>
        </w:rPr>
        <w:t>Cephalalgia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(14), 1041–1048. </w:t>
      </w:r>
      <w:hyperlink r:id="rId4982" w:history="1">
        <w:r w:rsidRPr="0074138E">
          <w:rPr>
            <w:rFonts w:ascii="Times New Roman" w:eastAsia="Times New Roman" w:hAnsi="Times New Roman" w:cs="Times New Roman"/>
            <w:color w:val="0000FF"/>
            <w:sz w:val="24"/>
            <w:szCs w:val="24"/>
            <w:u w:val="single"/>
          </w:rPr>
          <w:t>https://doi.org/10.1177/0333102412457089</w:t>
        </w:r>
      </w:hyperlink>
    </w:p>
    <w:p w14:paraId="77FA3C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Russo, M., Mahon, K., &amp; Burdick, K. E. (2015). Measuring cognitive function in MDD: Emerging assessment tools. </w:t>
      </w:r>
      <w:r w:rsidRPr="0074138E">
        <w:rPr>
          <w:rFonts w:ascii="Times New Roman" w:eastAsia="Times New Roman" w:hAnsi="Times New Roman" w:cs="Times New Roman"/>
          <w:i/>
          <w:iCs/>
          <w:sz w:val="24"/>
          <w:szCs w:val="24"/>
        </w:rPr>
        <w:t>Depression and Anxiety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(4), 262–269. </w:t>
      </w:r>
      <w:hyperlink r:id="rId4983" w:history="1">
        <w:r w:rsidRPr="0074138E">
          <w:rPr>
            <w:rFonts w:ascii="Times New Roman" w:eastAsia="Times New Roman" w:hAnsi="Times New Roman" w:cs="Times New Roman"/>
            <w:color w:val="0000FF"/>
            <w:sz w:val="24"/>
            <w:szCs w:val="24"/>
            <w:u w:val="single"/>
          </w:rPr>
          <w:t>https://doi.org/10.1002/da.22297</w:t>
        </w:r>
      </w:hyperlink>
    </w:p>
    <w:p w14:paraId="55DE316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Rutherford, A., Stephens, R., Potter, D., &amp; Fernie, G. (2005). Neuropsychological Impairment as a Consequence of Football (Soccer) Play and Football Heading: Preliminary Analyses and Report on University Footballers.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(3), 299–319. </w:t>
      </w:r>
      <w:hyperlink r:id="rId4984" w:history="1">
        <w:r w:rsidRPr="0074138E">
          <w:rPr>
            <w:rFonts w:ascii="Times New Roman" w:eastAsia="Times New Roman" w:hAnsi="Times New Roman" w:cs="Times New Roman"/>
            <w:color w:val="0000FF"/>
            <w:sz w:val="24"/>
            <w:szCs w:val="24"/>
            <w:u w:val="single"/>
          </w:rPr>
          <w:t>https://doi.org/10.1080/13803390490515504</w:t>
        </w:r>
      </w:hyperlink>
    </w:p>
    <w:p w14:paraId="481970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Ruzicka, E., Klempirova, O., &amp; Spackova, N. (2013). Parkinson’s disease. In </w:t>
      </w:r>
      <w:r w:rsidRPr="0074138E">
        <w:rPr>
          <w:rFonts w:ascii="Times New Roman" w:eastAsia="Times New Roman" w:hAnsi="Times New Roman" w:cs="Times New Roman"/>
          <w:i/>
          <w:iCs/>
          <w:sz w:val="24"/>
          <w:szCs w:val="24"/>
        </w:rPr>
        <w:t>Cognitive deficit in mental and neurological disorders.</w:t>
      </w:r>
      <w:r w:rsidRPr="0074138E">
        <w:rPr>
          <w:rFonts w:ascii="Times New Roman" w:eastAsia="Times New Roman" w:hAnsi="Times New Roman" w:cs="Times New Roman"/>
          <w:sz w:val="24"/>
          <w:szCs w:val="24"/>
        </w:rPr>
        <w:t xml:space="preserve"> (pp. 315–332). Nova Science Publishers.</w:t>
      </w:r>
    </w:p>
    <w:p w14:paraId="12F2D2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E. L., Byrd, D., Mindt, M. R., Rausch, W. J., &amp; Morgello, S. (2008). Understanding the neuropsychological profile of HIV+ participants with low literacy: Role of the General Ability Measure for Adults (GAMA).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1018–1034. </w:t>
      </w:r>
      <w:hyperlink r:id="rId4985" w:history="1">
        <w:r w:rsidRPr="0074138E">
          <w:rPr>
            <w:rFonts w:ascii="Times New Roman" w:eastAsia="Times New Roman" w:hAnsi="Times New Roman" w:cs="Times New Roman"/>
            <w:color w:val="0000FF"/>
            <w:sz w:val="24"/>
            <w:szCs w:val="24"/>
            <w:u w:val="single"/>
          </w:rPr>
          <w:t>https://doi.org/10.1080/13854040701750883</w:t>
        </w:r>
      </w:hyperlink>
    </w:p>
    <w:p w14:paraId="087822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E. L., Miskovitz, G., Sutton, D., &amp; Ahles, T. (2011). Un enfoque de terapia ocupacional adaptada a la rehabilitación cognitiva de los efectos cognitivos colaterales asociados a la quimioterapia en pacientes super-vivientes de cáncer de mama: Dos estudios de mujeres postmenopáusicas afectadas. [A tailored occ. </w:t>
      </w:r>
      <w:r w:rsidRPr="0074138E">
        <w:rPr>
          <w:rFonts w:ascii="Times New Roman" w:eastAsia="Times New Roman" w:hAnsi="Times New Roman" w:cs="Times New Roman"/>
          <w:i/>
          <w:iCs/>
          <w:sz w:val="24"/>
          <w:szCs w:val="24"/>
        </w:rPr>
        <w:t>Psicooncología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(2–3), 315–342.</w:t>
      </w:r>
    </w:p>
    <w:p w14:paraId="03E2F9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J. D., Moses, S. N., Barense, M., &amp; Rosenbaum, R. S. (2013). Intact learning of new relations in amnesia as achieved through unitization.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(23), 9601–9613. </w:t>
      </w:r>
      <w:hyperlink r:id="rId4986" w:history="1">
        <w:r w:rsidRPr="0074138E">
          <w:rPr>
            <w:rFonts w:ascii="Times New Roman" w:eastAsia="Times New Roman" w:hAnsi="Times New Roman" w:cs="Times New Roman"/>
            <w:color w:val="0000FF"/>
            <w:sz w:val="24"/>
            <w:szCs w:val="24"/>
            <w:u w:val="single"/>
          </w:rPr>
          <w:t>https://doi.org/10.1523/JNEUROSCI.0169-13.2013</w:t>
        </w:r>
      </w:hyperlink>
    </w:p>
    <w:p w14:paraId="358CBE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Assari, S., Pester, B. D., Hinrichs, K., Angers, K., Baker, A., Marshall, D. F., Stringer, D., Saunders, E. F. H., Kamali, M., McInnis, M. G., &amp; Langenecker, S. A. (2016). Similar Trajectory of Executive Functioning Performance over 5 years among individuals with Bipolar Disorder and Unaffected Controls using Latent Growth Modeling.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199</w:t>
      </w:r>
      <w:r w:rsidRPr="0074138E">
        <w:rPr>
          <w:rFonts w:ascii="Times New Roman" w:eastAsia="Times New Roman" w:hAnsi="Times New Roman" w:cs="Times New Roman"/>
          <w:sz w:val="24"/>
          <w:szCs w:val="24"/>
        </w:rPr>
        <w:t xml:space="preserve">, 87–94. </w:t>
      </w:r>
      <w:hyperlink r:id="rId4987" w:history="1">
        <w:r w:rsidRPr="0074138E">
          <w:rPr>
            <w:rFonts w:ascii="Times New Roman" w:eastAsia="Times New Roman" w:hAnsi="Times New Roman" w:cs="Times New Roman"/>
            <w:color w:val="0000FF"/>
            <w:sz w:val="24"/>
            <w:szCs w:val="24"/>
            <w:u w:val="single"/>
          </w:rPr>
          <w:t>https://doi.org/10.1016/j.jad.2016.04.016</w:t>
        </w:r>
      </w:hyperlink>
    </w:p>
    <w:p w14:paraId="7383DF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Rapport, L. J., Sherman, T. E., Hanks, R. A., Lisak, R., &amp; Khan, O. (2007). Predictors of subjective well-being among individuals with multiple sclerosis.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239–262. </w:t>
      </w:r>
      <w:hyperlink r:id="rId4988" w:history="1">
        <w:r w:rsidRPr="0074138E">
          <w:rPr>
            <w:rFonts w:ascii="Times New Roman" w:eastAsia="Times New Roman" w:hAnsi="Times New Roman" w:cs="Times New Roman"/>
            <w:color w:val="0000FF"/>
            <w:sz w:val="24"/>
            <w:szCs w:val="24"/>
            <w:u w:val="single"/>
          </w:rPr>
          <w:t>https://doi.org/10.1080/13854040600582460</w:t>
        </w:r>
      </w:hyperlink>
    </w:p>
    <w:p w14:paraId="251F7E6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Vederman, A. C., Kamali, M., Marshall, D., Weldon, A. L., McInnis, M. G., &amp; Langenecker, S. A. (2013). Emotion perception and executive functioning predict work status in euthymic bipolar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210</w:t>
      </w:r>
      <w:r w:rsidRPr="0074138E">
        <w:rPr>
          <w:rFonts w:ascii="Times New Roman" w:eastAsia="Times New Roman" w:hAnsi="Times New Roman" w:cs="Times New Roman"/>
          <w:sz w:val="24"/>
          <w:szCs w:val="24"/>
        </w:rPr>
        <w:t xml:space="preserve">(2), 472–478. </w:t>
      </w:r>
      <w:hyperlink r:id="rId4989" w:history="1">
        <w:r w:rsidRPr="0074138E">
          <w:rPr>
            <w:rFonts w:ascii="Times New Roman" w:eastAsia="Times New Roman" w:hAnsi="Times New Roman" w:cs="Times New Roman"/>
            <w:color w:val="0000FF"/>
            <w:sz w:val="24"/>
            <w:szCs w:val="24"/>
            <w:u w:val="single"/>
          </w:rPr>
          <w:t>https://doi.org/10.1016/j.psychres.2013.06.031</w:t>
        </w:r>
      </w:hyperlink>
    </w:p>
    <w:p w14:paraId="444181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K. A., Vederman, A. C., McFadden, E. M., Weldon, A. L., Kamali, M., Langenecker, S. A., &amp; McInnis, M. G. (2012). Differential executive functioning performance by phase of bipolar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(5), 527–536. </w:t>
      </w:r>
      <w:hyperlink r:id="rId4990" w:history="1">
        <w:r w:rsidRPr="0074138E">
          <w:rPr>
            <w:rFonts w:ascii="Times New Roman" w:eastAsia="Times New Roman" w:hAnsi="Times New Roman" w:cs="Times New Roman"/>
            <w:color w:val="0000FF"/>
            <w:sz w:val="24"/>
            <w:szCs w:val="24"/>
            <w:u w:val="single"/>
          </w:rPr>
          <w:t>https://doi.org/10.1111/j.1399-5618.2012.01032.x</w:t>
        </w:r>
      </w:hyperlink>
    </w:p>
    <w:p w14:paraId="200A23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L., Walther, K., Bendlin, B. B., Lue, L.-F., Walker, D. G., &amp; Glisky, E. L. (2011). Age-related differences in white matter integrity and cognitive function are related to APOE status. </w:t>
      </w:r>
      <w:r w:rsidRPr="0074138E">
        <w:rPr>
          <w:rFonts w:ascii="Times New Roman" w:eastAsia="Times New Roman" w:hAnsi="Times New Roman" w:cs="Times New Roman"/>
          <w:i/>
          <w:iCs/>
          <w:sz w:val="24"/>
          <w:szCs w:val="24"/>
        </w:rPr>
        <w:t>NeuroImage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(2), 1565–1577. </w:t>
      </w:r>
      <w:hyperlink r:id="rId4991" w:history="1">
        <w:r w:rsidRPr="0074138E">
          <w:rPr>
            <w:rFonts w:ascii="Times New Roman" w:eastAsia="Times New Roman" w:hAnsi="Times New Roman" w:cs="Times New Roman"/>
            <w:color w:val="0000FF"/>
            <w:sz w:val="24"/>
            <w:szCs w:val="24"/>
            <w:u w:val="single"/>
          </w:rPr>
          <w:t>https://doi.org/10.1016/j.neuroimage.2010.08.052</w:t>
        </w:r>
      </w:hyperlink>
    </w:p>
    <w:p w14:paraId="400CCF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Ryan, P. B., Lee-Wilk, T., Kok, B. C., &amp; Wilk, J. E. (2011). Interdisciplinary rehabilitation of mild TBI and PTSD: A case report.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(10), 1019–1025. </w:t>
      </w:r>
      <w:hyperlink r:id="rId4992" w:history="1">
        <w:r w:rsidRPr="0074138E">
          <w:rPr>
            <w:rFonts w:ascii="Times New Roman" w:eastAsia="Times New Roman" w:hAnsi="Times New Roman" w:cs="Times New Roman"/>
            <w:color w:val="0000FF"/>
            <w:sz w:val="24"/>
            <w:szCs w:val="24"/>
            <w:u w:val="single"/>
          </w:rPr>
          <w:t>https://doi.org/10.3109/02699052.2011.597044</w:t>
        </w:r>
      </w:hyperlink>
    </w:p>
    <w:p w14:paraId="4678EC8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 Y. E., McNeely, H. E., Mackenzie, B. E., Jain, U. R., &amp; Levitan, R. D. (2006). An open trial of light therapy in adult attention-deficit/hyperactivity disorder. </w:t>
      </w:r>
      <w:r w:rsidRPr="0074138E">
        <w:rPr>
          <w:rFonts w:ascii="Times New Roman" w:eastAsia="Times New Roman" w:hAnsi="Times New Roman" w:cs="Times New Roman"/>
          <w:i/>
          <w:iCs/>
          <w:sz w:val="24"/>
          <w:szCs w:val="24"/>
        </w:rPr>
        <w:t>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(10), 1527–1535. </w:t>
      </w:r>
      <w:hyperlink r:id="rId4993" w:history="1">
        <w:r w:rsidRPr="0074138E">
          <w:rPr>
            <w:rFonts w:ascii="Times New Roman" w:eastAsia="Times New Roman" w:hAnsi="Times New Roman" w:cs="Times New Roman"/>
            <w:color w:val="0000FF"/>
            <w:sz w:val="24"/>
            <w:szCs w:val="24"/>
            <w:u w:val="single"/>
          </w:rPr>
          <w:t>https://doi.org/10.4088/JCP.v67n1006</w:t>
        </w:r>
      </w:hyperlink>
    </w:p>
    <w:p w14:paraId="2815C1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(2016). Effect of lithium on neurocognitive functioning. </w:t>
      </w:r>
      <w:r w:rsidRPr="0074138E">
        <w:rPr>
          <w:rFonts w:ascii="Times New Roman" w:eastAsia="Times New Roman" w:hAnsi="Times New Roman" w:cs="Times New Roman"/>
          <w:i/>
          <w:iCs/>
          <w:sz w:val="24"/>
          <w:szCs w:val="24"/>
        </w:rPr>
        <w:t>Current Alzheimer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(8), 887–893. </w:t>
      </w:r>
      <w:hyperlink r:id="rId4994" w:history="1">
        <w:r w:rsidRPr="0074138E">
          <w:rPr>
            <w:rFonts w:ascii="Times New Roman" w:eastAsia="Times New Roman" w:hAnsi="Times New Roman" w:cs="Times New Roman"/>
            <w:color w:val="0000FF"/>
            <w:sz w:val="24"/>
            <w:szCs w:val="24"/>
            <w:u w:val="single"/>
          </w:rPr>
          <w:t>https://doi.org/10.2174/1567205013666160415154701</w:t>
        </w:r>
      </w:hyperlink>
    </w:p>
    <w:p w14:paraId="65A154B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&amp; Borkowska, A. (2001). The effect of treatment with risperidone, olanzapine or phenothiazines on cognitive functions in patients with schizophrenia. </w:t>
      </w:r>
      <w:r w:rsidRPr="0074138E">
        <w:rPr>
          <w:rFonts w:ascii="Times New Roman" w:eastAsia="Times New Roman" w:hAnsi="Times New Roman" w:cs="Times New Roman"/>
          <w:i/>
          <w:iCs/>
          <w:sz w:val="24"/>
          <w:szCs w:val="24"/>
        </w:rPr>
        <w:t>International Journal of Psychiatry in Clinical Practice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(4), 249–256. </w:t>
      </w:r>
      <w:hyperlink r:id="rId4995" w:history="1">
        <w:r w:rsidRPr="0074138E">
          <w:rPr>
            <w:rFonts w:ascii="Times New Roman" w:eastAsia="Times New Roman" w:hAnsi="Times New Roman" w:cs="Times New Roman"/>
            <w:color w:val="0000FF"/>
            <w:sz w:val="24"/>
            <w:szCs w:val="24"/>
            <w:u w:val="single"/>
          </w:rPr>
          <w:t>https://doi.org/10.1080/13651500152732595</w:t>
        </w:r>
      </w:hyperlink>
    </w:p>
    <w:p w14:paraId="793B90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Czerski, P. M., Dmitrzak-Weglarz, M., Skibinska, M., Kapelski, P., &amp; Hauser, J. (2006). Performance on the Wisconsin Card Sorting Test in schizophrenia and genes of dopaminergic inactivation (COMT, DAT, NET).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143</w:t>
      </w:r>
      <w:r w:rsidRPr="0074138E">
        <w:rPr>
          <w:rFonts w:ascii="Times New Roman" w:eastAsia="Times New Roman" w:hAnsi="Times New Roman" w:cs="Times New Roman"/>
          <w:sz w:val="24"/>
          <w:szCs w:val="24"/>
        </w:rPr>
        <w:t xml:space="preserve">(1), 13–19. </w:t>
      </w:r>
      <w:hyperlink r:id="rId4996" w:history="1">
        <w:r w:rsidRPr="0074138E">
          <w:rPr>
            <w:rFonts w:ascii="Times New Roman" w:eastAsia="Times New Roman" w:hAnsi="Times New Roman" w:cs="Times New Roman"/>
            <w:color w:val="0000FF"/>
            <w:sz w:val="24"/>
            <w:szCs w:val="24"/>
            <w:u w:val="single"/>
          </w:rPr>
          <w:t>https://doi.org/10.1016/j.psychres.2005.10.008</w:t>
        </w:r>
      </w:hyperlink>
    </w:p>
    <w:p w14:paraId="7D2DE0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Czerski, P. M., Skibińska, M., &amp; Hauser, J. (2003). Polymorphism of the brain-derived neurotrophic factor gene and performance on a cognitive prefrontal test in bipolar patients.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(6), 468–472. </w:t>
      </w:r>
      <w:hyperlink r:id="rId4997" w:history="1">
        <w:r w:rsidRPr="0074138E">
          <w:rPr>
            <w:rFonts w:ascii="Times New Roman" w:eastAsia="Times New Roman" w:hAnsi="Times New Roman" w:cs="Times New Roman"/>
            <w:color w:val="0000FF"/>
            <w:sz w:val="24"/>
            <w:szCs w:val="24"/>
            <w:u w:val="single"/>
          </w:rPr>
          <w:t>https://doi.org/10.1046/j.1399-5618.2003.00071.x</w:t>
        </w:r>
      </w:hyperlink>
    </w:p>
    <w:p w14:paraId="641545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&amp; Hauser, J. (2006). Illness-specific association of val66met BDNF polymorphism with performance on Wisconsin Card Sorting Test in bipolar mood disorder. </w:t>
      </w:r>
      <w:r w:rsidRPr="0074138E">
        <w:rPr>
          <w:rFonts w:ascii="Times New Roman" w:eastAsia="Times New Roman" w:hAnsi="Times New Roman" w:cs="Times New Roman"/>
          <w:i/>
          <w:iCs/>
          <w:sz w:val="24"/>
          <w:szCs w:val="24"/>
        </w:rPr>
        <w:t>Molecular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122–124. </w:t>
      </w:r>
      <w:hyperlink r:id="rId4998" w:history="1">
        <w:r w:rsidRPr="0074138E">
          <w:rPr>
            <w:rFonts w:ascii="Times New Roman" w:eastAsia="Times New Roman" w:hAnsi="Times New Roman" w:cs="Times New Roman"/>
            <w:color w:val="0000FF"/>
            <w:sz w:val="24"/>
            <w:szCs w:val="24"/>
            <w:u w:val="single"/>
          </w:rPr>
          <w:t>https://doi.org/10.1038/sj.mp.4001765</w:t>
        </w:r>
      </w:hyperlink>
    </w:p>
    <w:p w14:paraId="1F1363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&amp; Hauser, J. (2007). Polymorphisms of the Fyn kinase gene and a performance on the Wisconsin Card Sorting Test in schizophrenia.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(3), 201–204. </w:t>
      </w:r>
      <w:hyperlink r:id="rId4999" w:history="1">
        <w:r w:rsidRPr="0074138E">
          <w:rPr>
            <w:rFonts w:ascii="Times New Roman" w:eastAsia="Times New Roman" w:hAnsi="Times New Roman" w:cs="Times New Roman"/>
            <w:color w:val="0000FF"/>
            <w:sz w:val="24"/>
            <w:szCs w:val="24"/>
            <w:u w:val="single"/>
          </w:rPr>
          <w:t>https://doi.org/10.1097/YPG.0b013e3280991219</w:t>
        </w:r>
      </w:hyperlink>
    </w:p>
    <w:p w14:paraId="45D511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Kaczmarek, L., &amp; Hauser, J. (2009). The – 1562 C/T polymorphism of the matrix metalloproteinase-9 gene is not associated with cognitive performance in healthy participants.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277–278. </w:t>
      </w:r>
      <w:hyperlink r:id="rId5000" w:history="1">
        <w:r w:rsidRPr="0074138E">
          <w:rPr>
            <w:rFonts w:ascii="Times New Roman" w:eastAsia="Times New Roman" w:hAnsi="Times New Roman" w:cs="Times New Roman"/>
            <w:color w:val="0000FF"/>
            <w:sz w:val="24"/>
            <w:szCs w:val="24"/>
            <w:u w:val="single"/>
          </w:rPr>
          <w:t>https://doi.org/10.1097/YPG.0b013e32832cec56</w:t>
        </w:r>
      </w:hyperlink>
    </w:p>
    <w:p w14:paraId="1A1CCD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Borkowska, A., Skibinska, M., Szczepankiewicz, A., Kapelski, P., Leszczynska-Rodziewicz, A., Czerski, P. M., &amp; Hauser, J. (2006). Prefrontal cognition in schizophrenia and bipolar illness in relation to Val66Met polymorphism of the brain-derived neurotrophic factor gene.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(1), 70–76. </w:t>
      </w:r>
      <w:hyperlink r:id="rId5001" w:history="1">
        <w:r w:rsidRPr="0074138E">
          <w:rPr>
            <w:rFonts w:ascii="Times New Roman" w:eastAsia="Times New Roman" w:hAnsi="Times New Roman" w:cs="Times New Roman"/>
            <w:color w:val="0000FF"/>
            <w:sz w:val="24"/>
            <w:szCs w:val="24"/>
            <w:u w:val="single"/>
          </w:rPr>
          <w:t>https://doi.org/10.1111/j.1440-1819.2006.01462.x</w:t>
        </w:r>
      </w:hyperlink>
    </w:p>
    <w:p w14:paraId="5DF3F2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Dróżdż, W., &amp; Borkowska, A. (2003). Low dose risperidone in the treatment of schizophrenia-like symptoms in high-risk subjects.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(6), 674–675. </w:t>
      </w:r>
      <w:hyperlink r:id="rId5002" w:history="1">
        <w:r w:rsidRPr="0074138E">
          <w:rPr>
            <w:rFonts w:ascii="Times New Roman" w:eastAsia="Times New Roman" w:hAnsi="Times New Roman" w:cs="Times New Roman"/>
            <w:color w:val="0000FF"/>
            <w:sz w:val="24"/>
            <w:szCs w:val="24"/>
            <w:u w:val="single"/>
          </w:rPr>
          <w:t>https://doi.org/10.1097/01.jcp.0000095352.32154.e1</w:t>
        </w:r>
      </w:hyperlink>
    </w:p>
    <w:p w14:paraId="72ADAC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Drozdz, W., &amp; Borkowska, A. (2007). Long-term administration of the low-dose risperidone in schizotaxia subjects.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407–412. </w:t>
      </w:r>
      <w:hyperlink r:id="rId5003" w:history="1">
        <w:r w:rsidRPr="0074138E">
          <w:rPr>
            <w:rFonts w:ascii="Times New Roman" w:eastAsia="Times New Roman" w:hAnsi="Times New Roman" w:cs="Times New Roman"/>
            <w:color w:val="0000FF"/>
            <w:sz w:val="24"/>
            <w:szCs w:val="24"/>
            <w:u w:val="single"/>
          </w:rPr>
          <w:t>https://doi.org/10.1002/hup.863</w:t>
        </w:r>
      </w:hyperlink>
    </w:p>
    <w:p w14:paraId="0BBA907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Permoda-Osip, A., &amp; Borkowska, A. (2009). Response to prophylactic lithium in bipolar disorder may be associated with a preservation of executive cognitive functions.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(11), 791–795. </w:t>
      </w:r>
      <w:hyperlink r:id="rId5004" w:history="1">
        <w:r w:rsidRPr="0074138E">
          <w:rPr>
            <w:rFonts w:ascii="Times New Roman" w:eastAsia="Times New Roman" w:hAnsi="Times New Roman" w:cs="Times New Roman"/>
            <w:color w:val="0000FF"/>
            <w:sz w:val="24"/>
            <w:szCs w:val="24"/>
            <w:u w:val="single"/>
          </w:rPr>
          <w:t>https://doi.org/10.1016/j.euroneuro.2009.06.002</w:t>
        </w:r>
      </w:hyperlink>
    </w:p>
    <w:p w14:paraId="0F457BC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Rybakowski, J. K., Skibinska, M., Leszczynska-Rodziewicz, A., Kaczmarek, L., &amp; Hauser, J. (2009). Matrix metalloproteinase-9 gene modulates prefrontal cognition in bipolar men.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 108–109. </w:t>
      </w:r>
      <w:hyperlink r:id="rId5005" w:history="1">
        <w:r w:rsidRPr="0074138E">
          <w:rPr>
            <w:rFonts w:ascii="Times New Roman" w:eastAsia="Times New Roman" w:hAnsi="Times New Roman" w:cs="Times New Roman"/>
            <w:color w:val="0000FF"/>
            <w:sz w:val="24"/>
            <w:szCs w:val="24"/>
            <w:u w:val="single"/>
          </w:rPr>
          <w:t>https://doi.org/10.1097/YPG.0b013e32832080be</w:t>
        </w:r>
      </w:hyperlink>
    </w:p>
    <w:p w14:paraId="77A9500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Rybash, J. M., &amp; Colilla, J. L. (1994). Source memory deficits and frontal lobe functioning in children.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(1), 67–73. </w:t>
      </w:r>
      <w:hyperlink r:id="rId5006" w:history="1">
        <w:r w:rsidRPr="0074138E">
          <w:rPr>
            <w:rFonts w:ascii="Times New Roman" w:eastAsia="Times New Roman" w:hAnsi="Times New Roman" w:cs="Times New Roman"/>
            <w:color w:val="0000FF"/>
            <w:sz w:val="24"/>
            <w:szCs w:val="24"/>
            <w:u w:val="single"/>
          </w:rPr>
          <w:t>https://doi.org/10.1080/87565649409540567</w:t>
        </w:r>
      </w:hyperlink>
    </w:p>
    <w:p w14:paraId="356F66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Rydon-Grange, M., &amp; Coetzer, R. (2019). Association between cognitive impairments and obsessive-compulsive spectrum presentations following traumatic brain injury.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(2), 214–231. </w:t>
      </w:r>
      <w:hyperlink r:id="rId5007" w:history="1">
        <w:r w:rsidRPr="0074138E">
          <w:rPr>
            <w:rFonts w:ascii="Times New Roman" w:eastAsia="Times New Roman" w:hAnsi="Times New Roman" w:cs="Times New Roman"/>
            <w:color w:val="0000FF"/>
            <w:sz w:val="24"/>
            <w:szCs w:val="24"/>
            <w:u w:val="single"/>
          </w:rPr>
          <w:t>https://doi.org/10.1080/09602011.2016.1272469</w:t>
        </w:r>
      </w:hyperlink>
    </w:p>
    <w:p w14:paraId="0DAB98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Ryskin, R., Qi, Z., Covington, N. V., Duff, M., &amp; Brown-Schmidt, S. (2018). Knowledge and learning of verb biases in amnesia. </w:t>
      </w:r>
      <w:r w:rsidRPr="0074138E">
        <w:rPr>
          <w:rFonts w:ascii="Times New Roman" w:eastAsia="Times New Roman" w:hAnsi="Times New Roman" w:cs="Times New Roman"/>
          <w:i/>
          <w:iCs/>
          <w:sz w:val="24"/>
          <w:szCs w:val="24"/>
        </w:rPr>
        <w:t>Brain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180–182</w:t>
      </w:r>
      <w:r w:rsidRPr="0074138E">
        <w:rPr>
          <w:rFonts w:ascii="Times New Roman" w:eastAsia="Times New Roman" w:hAnsi="Times New Roman" w:cs="Times New Roman"/>
          <w:sz w:val="24"/>
          <w:szCs w:val="24"/>
        </w:rPr>
        <w:t xml:space="preserve">, 62–83. </w:t>
      </w:r>
      <w:hyperlink r:id="rId5008" w:history="1">
        <w:r w:rsidRPr="0074138E">
          <w:rPr>
            <w:rFonts w:ascii="Times New Roman" w:eastAsia="Times New Roman" w:hAnsi="Times New Roman" w:cs="Times New Roman"/>
            <w:color w:val="0000FF"/>
            <w:sz w:val="24"/>
            <w:szCs w:val="24"/>
            <w:u w:val="single"/>
          </w:rPr>
          <w:t>https://doi.org/10.1016/j.bandl.2018.04.003</w:t>
        </w:r>
      </w:hyperlink>
    </w:p>
    <w:p w14:paraId="0B0390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Ryu, H., Kim, N., Lee, J., &amp; Shin, D. (2016). An affordance-based model of human action selection in a human–machine interaction system with cognitive interpretations. </w:t>
      </w:r>
      <w:r w:rsidRPr="0074138E">
        <w:rPr>
          <w:rFonts w:ascii="Times New Roman" w:eastAsia="Times New Roman" w:hAnsi="Times New Roman" w:cs="Times New Roman"/>
          <w:i/>
          <w:iCs/>
          <w:sz w:val="24"/>
          <w:szCs w:val="24"/>
        </w:rPr>
        <w:t>International Journal of Human-Computer Interaction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(5), 402–414. </w:t>
      </w:r>
      <w:hyperlink r:id="rId5009" w:history="1">
        <w:r w:rsidRPr="0074138E">
          <w:rPr>
            <w:rFonts w:ascii="Times New Roman" w:eastAsia="Times New Roman" w:hAnsi="Times New Roman" w:cs="Times New Roman"/>
            <w:color w:val="0000FF"/>
            <w:sz w:val="24"/>
            <w:szCs w:val="24"/>
            <w:u w:val="single"/>
          </w:rPr>
          <w:t>https://doi.org/10.1080/10447318.2016.1157678</w:t>
        </w:r>
      </w:hyperlink>
    </w:p>
    <w:p w14:paraId="22C29E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Ryu, J., Jung, J. H., Kim, J., Kim, C.-H., Lee, H.-B., Kim, D.-H., Lee, S.-K., Shin, J.-H., &amp; Roh, D. (2020). Outdoor cycling improves clinical symptoms, cognition and objectively measured physical activity in patients with schizophrenia: A randomized controlled trial.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120</w:t>
      </w:r>
      <w:r w:rsidRPr="0074138E">
        <w:rPr>
          <w:rFonts w:ascii="Times New Roman" w:eastAsia="Times New Roman" w:hAnsi="Times New Roman" w:cs="Times New Roman"/>
          <w:sz w:val="24"/>
          <w:szCs w:val="24"/>
        </w:rPr>
        <w:t xml:space="preserve">, 144–153. </w:t>
      </w:r>
      <w:hyperlink r:id="rId5010" w:history="1">
        <w:r w:rsidRPr="0074138E">
          <w:rPr>
            <w:rFonts w:ascii="Times New Roman" w:eastAsia="Times New Roman" w:hAnsi="Times New Roman" w:cs="Times New Roman"/>
            <w:color w:val="0000FF"/>
            <w:sz w:val="24"/>
            <w:szCs w:val="24"/>
            <w:u w:val="single"/>
          </w:rPr>
          <w:t>https://doi.org/10.1016/j.jpsychires.2019.10.015</w:t>
        </w:r>
      </w:hyperlink>
    </w:p>
    <w:p w14:paraId="1F55E2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Rzezak, P., Fuentes, D., Guimarães, C. A., Thome-Souza, S., Kuczynski, E., Guerreiro, M., &amp; Valente, K. D. R. (2009). Executive dysfunction in children and adolescents with temporal lobe epilepsy: Is the Wisconsin Card Sorting Test enough?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376–381. </w:t>
      </w:r>
      <w:hyperlink r:id="rId5011" w:history="1">
        <w:r w:rsidRPr="0074138E">
          <w:rPr>
            <w:rFonts w:ascii="Times New Roman" w:eastAsia="Times New Roman" w:hAnsi="Times New Roman" w:cs="Times New Roman"/>
            <w:color w:val="0000FF"/>
            <w:sz w:val="24"/>
            <w:szCs w:val="24"/>
            <w:u w:val="single"/>
          </w:rPr>
          <w:t>https://doi.org/10.1016/j.yebeh.2009.04.014</w:t>
        </w:r>
      </w:hyperlink>
    </w:p>
    <w:p w14:paraId="3CD47F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Rzezak, P., Lima, E. M., Pereira, F., Gargaro, A. C., Coimbra, E., de Vincentiis, S., Velasco, T. R., Leite, J. P., Busatto, G. F., &amp; Valente, K. D. (2016). Decision-making in patients with temporal lobe epilepsy: Delay gratification ability is not impaired in patients with hippocampal sclerosis.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 158–164. </w:t>
      </w:r>
      <w:hyperlink r:id="rId5012" w:history="1">
        <w:r w:rsidRPr="0074138E">
          <w:rPr>
            <w:rFonts w:ascii="Times New Roman" w:eastAsia="Times New Roman" w:hAnsi="Times New Roman" w:cs="Times New Roman"/>
            <w:color w:val="0000FF"/>
            <w:sz w:val="24"/>
            <w:szCs w:val="24"/>
            <w:u w:val="single"/>
          </w:rPr>
          <w:t>https://doi.org/10.1016/j.yebeh.2016.04.042</w:t>
        </w:r>
      </w:hyperlink>
    </w:p>
    <w:p w14:paraId="3F2451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Rzezak, P., Moschetta, S. P., Mendonça, M., Paiva, M. L. M. N., Coan, A. C., Guerreiro, C., &amp; Valente, K. D. R. (2018). Higher IQ in juvenile myoclonic epilepsy: Dodging cognitive obstacles and “masking” impairments.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86</w:t>
      </w:r>
      <w:r w:rsidRPr="0074138E">
        <w:rPr>
          <w:rFonts w:ascii="Times New Roman" w:eastAsia="Times New Roman" w:hAnsi="Times New Roman" w:cs="Times New Roman"/>
          <w:sz w:val="24"/>
          <w:szCs w:val="24"/>
        </w:rPr>
        <w:t xml:space="preserve">, 124–130. </w:t>
      </w:r>
      <w:hyperlink r:id="rId5013" w:history="1">
        <w:r w:rsidRPr="0074138E">
          <w:rPr>
            <w:rFonts w:ascii="Times New Roman" w:eastAsia="Times New Roman" w:hAnsi="Times New Roman" w:cs="Times New Roman"/>
            <w:color w:val="0000FF"/>
            <w:sz w:val="24"/>
            <w:szCs w:val="24"/>
            <w:u w:val="single"/>
          </w:rPr>
          <w:t>https://doi.org/10.1016/j.yebeh.2018.05.029</w:t>
        </w:r>
      </w:hyperlink>
    </w:p>
    <w:p w14:paraId="6F4D67B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Saar, K., Nyrkkö, H., Tolvanen, A., Kuikka, P., Poutiainen, E., &amp; Aro, T. (2019). Validation of a new cognitive screening method for stroke patients. </w:t>
      </w:r>
      <w:r w:rsidRPr="0074138E">
        <w:rPr>
          <w:rFonts w:ascii="Times New Roman" w:eastAsia="Times New Roman" w:hAnsi="Times New Roman" w:cs="Times New Roman"/>
          <w:i/>
          <w:iCs/>
          <w:sz w:val="24"/>
          <w:szCs w:val="24"/>
        </w:rPr>
        <w:t>Behavioural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2019</w:t>
      </w:r>
      <w:r w:rsidRPr="0074138E">
        <w:rPr>
          <w:rFonts w:ascii="Times New Roman" w:eastAsia="Times New Roman" w:hAnsi="Times New Roman" w:cs="Times New Roman"/>
          <w:sz w:val="24"/>
          <w:szCs w:val="24"/>
        </w:rPr>
        <w:t xml:space="preserve">. </w:t>
      </w:r>
      <w:hyperlink r:id="rId5014" w:history="1">
        <w:r w:rsidRPr="0074138E">
          <w:rPr>
            <w:rFonts w:ascii="Times New Roman" w:eastAsia="Times New Roman" w:hAnsi="Times New Roman" w:cs="Times New Roman"/>
            <w:color w:val="0000FF"/>
            <w:sz w:val="24"/>
            <w:szCs w:val="24"/>
            <w:u w:val="single"/>
          </w:rPr>
          <w:t>https://doi.org/10.1155/2019/2943603</w:t>
        </w:r>
      </w:hyperlink>
    </w:p>
    <w:p w14:paraId="079036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Sabater, A., García-Blanco, A. C., Verdet, H. M., Sierra, P., Ribes, J., Villar, I., Lara, M. J., Arnal, P., Rojo, L., &amp; Livianos, L. (2016). Comparative neurocognitive effects of lithium and anticonvulsants in long-term stable bipolar patients.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190</w:t>
      </w:r>
      <w:r w:rsidRPr="0074138E">
        <w:rPr>
          <w:rFonts w:ascii="Times New Roman" w:eastAsia="Times New Roman" w:hAnsi="Times New Roman" w:cs="Times New Roman"/>
          <w:sz w:val="24"/>
          <w:szCs w:val="24"/>
        </w:rPr>
        <w:t xml:space="preserve">, 34–40. </w:t>
      </w:r>
      <w:hyperlink r:id="rId5015" w:history="1">
        <w:r w:rsidRPr="0074138E">
          <w:rPr>
            <w:rFonts w:ascii="Times New Roman" w:eastAsia="Times New Roman" w:hAnsi="Times New Roman" w:cs="Times New Roman"/>
            <w:color w:val="0000FF"/>
            <w:sz w:val="24"/>
            <w:szCs w:val="24"/>
            <w:u w:val="single"/>
          </w:rPr>
          <w:t>https://doi.org/10.1016/j.jad.2015.10.008</w:t>
        </w:r>
      </w:hyperlink>
    </w:p>
    <w:p w14:paraId="42825CD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Sacco, K. A., Termine, A., Dudas, M. M., Seyal, A. A., Allen, T. M., Vessicchio, J. C., Wexler, B. E., &amp; George, T. P. (2006). Neuropsychological deficits in nonsmokers with schizophrenia: Effects of a nicotinic antagonist.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85</w:t>
      </w:r>
      <w:r w:rsidRPr="0074138E">
        <w:rPr>
          <w:rFonts w:ascii="Times New Roman" w:eastAsia="Times New Roman" w:hAnsi="Times New Roman" w:cs="Times New Roman"/>
          <w:sz w:val="24"/>
          <w:szCs w:val="24"/>
        </w:rPr>
        <w:t xml:space="preserve">(1–3), 213–221. </w:t>
      </w:r>
      <w:hyperlink r:id="rId5016" w:history="1">
        <w:r w:rsidRPr="0074138E">
          <w:rPr>
            <w:rFonts w:ascii="Times New Roman" w:eastAsia="Times New Roman" w:hAnsi="Times New Roman" w:cs="Times New Roman"/>
            <w:color w:val="0000FF"/>
            <w:sz w:val="24"/>
            <w:szCs w:val="24"/>
            <w:u w:val="single"/>
          </w:rPr>
          <w:t>https://doi.org/10.1016/j.schres.2006.03.025</w:t>
        </w:r>
      </w:hyperlink>
    </w:p>
    <w:p w14:paraId="1E30496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Sacco, K. A., Termine, A., Seyal, A., Dudas, M. M., Vessicchio, J. C., Krishnan-Sarin, S., Jatlow, P. I., Wexler, B. E., &amp; George, T. P. (2005). Effects of Cigarette Smoking on Spatial Working Memory and Attentional Deficits in Schizophrenia: Involvement of Nicotinic Receptor Mechanisms.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(6), 649–659. </w:t>
      </w:r>
      <w:hyperlink r:id="rId5017" w:history="1">
        <w:r w:rsidRPr="0074138E">
          <w:rPr>
            <w:rFonts w:ascii="Times New Roman" w:eastAsia="Times New Roman" w:hAnsi="Times New Roman" w:cs="Times New Roman"/>
            <w:color w:val="0000FF"/>
            <w:sz w:val="24"/>
            <w:szCs w:val="24"/>
            <w:u w:val="single"/>
          </w:rPr>
          <w:t>https://doi.org/10.1001/archpsyc.62.6.649</w:t>
        </w:r>
      </w:hyperlink>
    </w:p>
    <w:p w14:paraId="3D7D79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Sachdev, P., Loo, C., Mitchell, P., &amp; Malhi, G. (2005). Transcranial magnetic stimulation for the deficit syndrome of schizophrenia: A pilot investigation.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(3), 354–357. </w:t>
      </w:r>
      <w:hyperlink r:id="rId5018" w:history="1">
        <w:r w:rsidRPr="0074138E">
          <w:rPr>
            <w:rFonts w:ascii="Times New Roman" w:eastAsia="Times New Roman" w:hAnsi="Times New Roman" w:cs="Times New Roman"/>
            <w:color w:val="0000FF"/>
            <w:sz w:val="24"/>
            <w:szCs w:val="24"/>
            <w:u w:val="single"/>
          </w:rPr>
          <w:t>https://doi.org/10.1111/j.1440-1819.2005.01382.x</w:t>
        </w:r>
      </w:hyperlink>
    </w:p>
    <w:p w14:paraId="11A1248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 G., Anderer, P., Margreiter, N., Semlitsch, H., Saletu, B., &amp; Katschnig, H. (2004). P300 event-related potentials and cognitive function in social phobia.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131</w:t>
      </w:r>
      <w:r w:rsidRPr="0074138E">
        <w:rPr>
          <w:rFonts w:ascii="Times New Roman" w:eastAsia="Times New Roman" w:hAnsi="Times New Roman" w:cs="Times New Roman"/>
          <w:sz w:val="24"/>
          <w:szCs w:val="24"/>
        </w:rPr>
        <w:t xml:space="preserve">(3), 249–261. </w:t>
      </w:r>
      <w:hyperlink r:id="rId5019" w:history="1">
        <w:r w:rsidRPr="0074138E">
          <w:rPr>
            <w:rFonts w:ascii="Times New Roman" w:eastAsia="Times New Roman" w:hAnsi="Times New Roman" w:cs="Times New Roman"/>
            <w:color w:val="0000FF"/>
            <w:sz w:val="24"/>
            <w:szCs w:val="24"/>
            <w:u w:val="single"/>
          </w:rPr>
          <w:t>https://doi.org/10.1016/j.pscychresns.2004.05.005</w:t>
        </w:r>
      </w:hyperlink>
    </w:p>
    <w:p w14:paraId="6E0323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 G., Steger-Wuchse, D., Kryspin-Exner, I., Gur, R. C., &amp; Katschnig, H. (2004). Facial recognition deficits and cognition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68</w:t>
      </w:r>
      <w:r w:rsidRPr="0074138E">
        <w:rPr>
          <w:rFonts w:ascii="Times New Roman" w:eastAsia="Times New Roman" w:hAnsi="Times New Roman" w:cs="Times New Roman"/>
          <w:sz w:val="24"/>
          <w:szCs w:val="24"/>
        </w:rPr>
        <w:t xml:space="preserve">(1), 27–35. </w:t>
      </w:r>
      <w:hyperlink r:id="rId5020" w:history="1">
        <w:r w:rsidRPr="0074138E">
          <w:rPr>
            <w:rFonts w:ascii="Times New Roman" w:eastAsia="Times New Roman" w:hAnsi="Times New Roman" w:cs="Times New Roman"/>
            <w:color w:val="0000FF"/>
            <w:sz w:val="24"/>
            <w:szCs w:val="24"/>
            <w:u w:val="single"/>
          </w:rPr>
          <w:t>https://doi.org/10.1016/S0920-9964(03)00131-2</w:t>
        </w:r>
      </w:hyperlink>
    </w:p>
    <w:p w14:paraId="0969C1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 G., Winklbaur, B., Jagsch, R., Lasser, I., Kryspin-Exner, I., Frommann, N., &amp; Wölwer, W. (2012). Training of affect recognition (TAR) in schizophrenia—Impact on functional outcome.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138</w:t>
      </w:r>
      <w:r w:rsidRPr="0074138E">
        <w:rPr>
          <w:rFonts w:ascii="Times New Roman" w:eastAsia="Times New Roman" w:hAnsi="Times New Roman" w:cs="Times New Roman"/>
          <w:sz w:val="24"/>
          <w:szCs w:val="24"/>
        </w:rPr>
        <w:t xml:space="preserve">(2–3), 262–267. </w:t>
      </w:r>
      <w:hyperlink r:id="rId5021" w:history="1">
        <w:r w:rsidRPr="0074138E">
          <w:rPr>
            <w:rFonts w:ascii="Times New Roman" w:eastAsia="Times New Roman" w:hAnsi="Times New Roman" w:cs="Times New Roman"/>
            <w:color w:val="0000FF"/>
            <w:sz w:val="24"/>
            <w:szCs w:val="24"/>
            <w:u w:val="single"/>
          </w:rPr>
          <w:t>https://doi.org/10.1016/j.schres.2012.03.005</w:t>
        </w:r>
      </w:hyperlink>
    </w:p>
    <w:p w14:paraId="393510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Sachse, M., Schlitt, S., Hainz, D., Ciaramidaro, A., Schirman, S., Walter, H., Poustka, F., Bölte, S., &amp; Freitag, C. M. (2013). Executive and visuo-motor function in adolescents and adults with autism spectrum disorder. </w:t>
      </w:r>
      <w:r w:rsidRPr="0074138E">
        <w:rPr>
          <w:rFonts w:ascii="Times New Roman" w:eastAsia="Times New Roman" w:hAnsi="Times New Roman" w:cs="Times New Roman"/>
          <w:i/>
          <w:iCs/>
          <w:sz w:val="24"/>
          <w:szCs w:val="24"/>
        </w:rPr>
        <w:t>Journal of Autism and Developmental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(5), 1222–1235. </w:t>
      </w:r>
      <w:hyperlink r:id="rId5022" w:history="1">
        <w:r w:rsidRPr="0074138E">
          <w:rPr>
            <w:rFonts w:ascii="Times New Roman" w:eastAsia="Times New Roman" w:hAnsi="Times New Roman" w:cs="Times New Roman"/>
            <w:color w:val="0000FF"/>
            <w:sz w:val="24"/>
            <w:szCs w:val="24"/>
            <w:u w:val="single"/>
          </w:rPr>
          <w:t>https://doi.org/10.1007/s10803-012-1668-8</w:t>
        </w:r>
      </w:hyperlink>
    </w:p>
    <w:p w14:paraId="43D188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Sadana, D., Gupta, R. K., Jain, S., Kumaran, S. S., Ravi, G. S., Thennarasu, K., &amp; Rajeswaran, J. (2019). Neurocognitive profile of patients with bipolar affective disorder in the euthymic phase.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 121–126. </w:t>
      </w:r>
      <w:hyperlink r:id="rId5023" w:history="1">
        <w:r w:rsidRPr="0074138E">
          <w:rPr>
            <w:rFonts w:ascii="Times New Roman" w:eastAsia="Times New Roman" w:hAnsi="Times New Roman" w:cs="Times New Roman"/>
            <w:color w:val="0000FF"/>
            <w:sz w:val="24"/>
            <w:szCs w:val="24"/>
            <w:u w:val="single"/>
          </w:rPr>
          <w:t>https://doi.org/10.1016/j.ajp.2019.07.037</w:t>
        </w:r>
      </w:hyperlink>
    </w:p>
    <w:p w14:paraId="586880F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Sadana, D., Rajeswaran, J., Jain, S., Kumaran, S. S., Thennarasu, K., G. S., R., &amp; Sundar, N. (2017). The neuropsychology of creativity: A profile of Indian artists. </w:t>
      </w:r>
      <w:r w:rsidRPr="0074138E">
        <w:rPr>
          <w:rFonts w:ascii="Times New Roman" w:eastAsia="Times New Roman" w:hAnsi="Times New Roman" w:cs="Times New Roman"/>
          <w:i/>
          <w:iCs/>
          <w:sz w:val="24"/>
          <w:szCs w:val="24"/>
        </w:rPr>
        <w:t>Acta Neuropsychologica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(2), 143–160. </w:t>
      </w:r>
      <w:hyperlink r:id="rId5024" w:history="1">
        <w:r w:rsidRPr="0074138E">
          <w:rPr>
            <w:rFonts w:ascii="Times New Roman" w:eastAsia="Times New Roman" w:hAnsi="Times New Roman" w:cs="Times New Roman"/>
            <w:color w:val="0000FF"/>
            <w:sz w:val="24"/>
            <w:szCs w:val="24"/>
            <w:u w:val="single"/>
          </w:rPr>
          <w:t>https://doi.org/10.5604/01.3001.0010.2406</w:t>
        </w:r>
      </w:hyperlink>
    </w:p>
    <w:p w14:paraId="3C2789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Sadek, J. R., Vigil, O., Grant, I., &amp; Heaton, R. K. (2007). The impact of neuropsychological functioning and depressed mood on functional complaints in HIV-1 infection and methamphetamine dependence.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(3), 266–276. </w:t>
      </w:r>
      <w:hyperlink r:id="rId5025" w:history="1">
        <w:r w:rsidRPr="0074138E">
          <w:rPr>
            <w:rFonts w:ascii="Times New Roman" w:eastAsia="Times New Roman" w:hAnsi="Times New Roman" w:cs="Times New Roman"/>
            <w:color w:val="0000FF"/>
            <w:sz w:val="24"/>
            <w:szCs w:val="24"/>
            <w:u w:val="single"/>
          </w:rPr>
          <w:t>https://doi.org/10.1080/13803390600659384</w:t>
        </w:r>
      </w:hyperlink>
    </w:p>
    <w:p w14:paraId="53DC49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Sadreddin, A., &amp; Stroescu, loan. (2015). Huntington’s disease. In </w:t>
      </w:r>
      <w:r w:rsidRPr="0074138E">
        <w:rPr>
          <w:rFonts w:ascii="Times New Roman" w:eastAsia="Times New Roman" w:hAnsi="Times New Roman" w:cs="Times New Roman"/>
          <w:i/>
          <w:iCs/>
          <w:sz w:val="24"/>
          <w:szCs w:val="24"/>
        </w:rPr>
        <w:t>Clinical neuropsychology and cognitive neurology of Parkinson’s disease and other movement disorders.</w:t>
      </w:r>
      <w:r w:rsidRPr="0074138E">
        <w:rPr>
          <w:rFonts w:ascii="Times New Roman" w:eastAsia="Times New Roman" w:hAnsi="Times New Roman" w:cs="Times New Roman"/>
          <w:sz w:val="24"/>
          <w:szCs w:val="24"/>
        </w:rPr>
        <w:t xml:space="preserve"> (pp. 379–398). Oxford University Press.</w:t>
      </w:r>
    </w:p>
    <w:p w14:paraId="44F575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Saeedi, H., Addington, J., &amp; Addington, D. (2007). The association of insight with psychotic symptoms, depression, and cognition in early psychosis: A 3-year follow-up.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89</w:t>
      </w:r>
      <w:r w:rsidRPr="0074138E">
        <w:rPr>
          <w:rFonts w:ascii="Times New Roman" w:eastAsia="Times New Roman" w:hAnsi="Times New Roman" w:cs="Times New Roman"/>
          <w:sz w:val="24"/>
          <w:szCs w:val="24"/>
        </w:rPr>
        <w:t xml:space="preserve">(1–3), 123–128. </w:t>
      </w:r>
      <w:hyperlink r:id="rId5026" w:history="1">
        <w:r w:rsidRPr="0074138E">
          <w:rPr>
            <w:rFonts w:ascii="Times New Roman" w:eastAsia="Times New Roman" w:hAnsi="Times New Roman" w:cs="Times New Roman"/>
            <w:color w:val="0000FF"/>
            <w:sz w:val="24"/>
            <w:szCs w:val="24"/>
            <w:u w:val="single"/>
          </w:rPr>
          <w:t>https://doi.org/10.1016/j.schres.2006.09.018</w:t>
        </w:r>
      </w:hyperlink>
    </w:p>
    <w:p w14:paraId="17AD72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Sáez-Zea, C., Escamilla-Sevilla, F., Martínez-Simòn, J., Arnedo, M., &amp; Mìnguez-Castellanos, A. (2013). Neuropsychological deficits associated with destruction of the right nigrostriatal pathway.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(6), 729–734. </w:t>
      </w:r>
      <w:hyperlink r:id="rId5027" w:history="1">
        <w:r w:rsidRPr="0074138E">
          <w:rPr>
            <w:rFonts w:ascii="Times New Roman" w:eastAsia="Times New Roman" w:hAnsi="Times New Roman" w:cs="Times New Roman"/>
            <w:color w:val="0000FF"/>
            <w:sz w:val="24"/>
            <w:szCs w:val="24"/>
            <w:u w:val="single"/>
          </w:rPr>
          <w:t>https://doi.org/10.1017/S1355617713000416</w:t>
        </w:r>
      </w:hyperlink>
    </w:p>
    <w:p w14:paraId="740420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Safi, D., Lassonde, M., Nguyen, D. K., Denault, C., Macoir, J., Rouleau, I., &amp; Béland, R. (2011). Reflex reading epilepsy: Effect of linguistic characteristics on spike frequency.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659–667. </w:t>
      </w:r>
      <w:hyperlink r:id="rId5028" w:history="1">
        <w:r w:rsidRPr="0074138E">
          <w:rPr>
            <w:rFonts w:ascii="Times New Roman" w:eastAsia="Times New Roman" w:hAnsi="Times New Roman" w:cs="Times New Roman"/>
            <w:color w:val="0000FF"/>
            <w:sz w:val="24"/>
            <w:szCs w:val="24"/>
            <w:u w:val="single"/>
          </w:rPr>
          <w:t>https://doi.org/10.1016/j.yebeh.2011.01.030</w:t>
        </w:r>
      </w:hyperlink>
    </w:p>
    <w:p w14:paraId="5D68F4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Sagar, K. A., Dahlgren, M. K., Lambros, A. M., Smith, R. T., El-Abboud, C., &amp; Gruber, S. A. (2021). An observational, longitudinal study of cognition in medical cannabis patients over the course of 12 months of treatment: Preliminary results.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(6), 648–660. </w:t>
      </w:r>
      <w:hyperlink r:id="rId5029" w:history="1">
        <w:r w:rsidRPr="0074138E">
          <w:rPr>
            <w:rFonts w:ascii="Times New Roman" w:eastAsia="Times New Roman" w:hAnsi="Times New Roman" w:cs="Times New Roman"/>
            <w:color w:val="0000FF"/>
            <w:sz w:val="24"/>
            <w:szCs w:val="24"/>
            <w:u w:val="single"/>
          </w:rPr>
          <w:t>https://doi.org/10.1017/S1355617721000114</w:t>
        </w:r>
      </w:hyperlink>
    </w:p>
    <w:p w14:paraId="1E7ED6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Sagar, K. A., Dahlgren, M. K., Racine, M. T., Dreman, M. W., Olson, D. P., &amp; Gruber, S. A. (2016). Joint effects: A pilot investigation of the impact of bipolar disorder and marijuana use on cognitive function and mood.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(6).</w:t>
      </w:r>
    </w:p>
    <w:p w14:paraId="030832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Sage, K., Snell, C., &amp; Lambon Ralph, M. A. (2011). How intensive does anomia therapy for people with aphasia need to be?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(1), 26–41. </w:t>
      </w:r>
      <w:hyperlink r:id="rId5030" w:history="1">
        <w:r w:rsidRPr="0074138E">
          <w:rPr>
            <w:rFonts w:ascii="Times New Roman" w:eastAsia="Times New Roman" w:hAnsi="Times New Roman" w:cs="Times New Roman"/>
            <w:color w:val="0000FF"/>
            <w:sz w:val="24"/>
            <w:szCs w:val="24"/>
            <w:u w:val="single"/>
          </w:rPr>
          <w:t>https://doi.org/10.1080/09602011.2010.528966</w:t>
        </w:r>
      </w:hyperlink>
    </w:p>
    <w:p w14:paraId="6C8B90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Sager, M. A., Hermann, B., &amp; La Rue, A. (2005). Middle-Aged Children of Persons With Alzheimer’s Disease: APOE Genotypes and Cognitive Function in the Wisconsin Registry for Alzheimer’s Prevention. </w:t>
      </w:r>
      <w:r w:rsidRPr="0074138E">
        <w:rPr>
          <w:rFonts w:ascii="Times New Roman" w:eastAsia="Times New Roman" w:hAnsi="Times New Roman" w:cs="Times New Roman"/>
          <w:i/>
          <w:iCs/>
          <w:sz w:val="24"/>
          <w:szCs w:val="24"/>
        </w:rPr>
        <w:t>Journal of Geriatric Psychiatry and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245–249. </w:t>
      </w:r>
      <w:hyperlink r:id="rId5031" w:history="1">
        <w:r w:rsidRPr="0074138E">
          <w:rPr>
            <w:rFonts w:ascii="Times New Roman" w:eastAsia="Times New Roman" w:hAnsi="Times New Roman" w:cs="Times New Roman"/>
            <w:color w:val="0000FF"/>
            <w:sz w:val="24"/>
            <w:szCs w:val="24"/>
            <w:u w:val="single"/>
          </w:rPr>
          <w:t>https://doi.org/10.1177/0891988705281882</w:t>
        </w:r>
      </w:hyperlink>
    </w:p>
    <w:p w14:paraId="413A01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Saha, R., Jakhar, K., &amp; Kumar, R. (2016). Sphenoid wing meningioma presenting as cognitive impairment. </w:t>
      </w:r>
      <w:r w:rsidRPr="0074138E">
        <w:rPr>
          <w:rFonts w:ascii="Times New Roman" w:eastAsia="Times New Roman" w:hAnsi="Times New Roman" w:cs="Times New Roman"/>
          <w:i/>
          <w:iCs/>
          <w:sz w:val="24"/>
          <w:szCs w:val="24"/>
        </w:rPr>
        <w:t>Shanghai Archives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(3), 173–176.</w:t>
      </w:r>
    </w:p>
    <w:p w14:paraId="694C4B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Sahbaz, C., &amp; Kurtulmus, A. (2019). Association between emotional functioning and biological rhythm disruptions in patients with schizophrenia. </w:t>
      </w:r>
      <w:r w:rsidRPr="0074138E">
        <w:rPr>
          <w:rFonts w:ascii="Times New Roman" w:eastAsia="Times New Roman" w:hAnsi="Times New Roman" w:cs="Times New Roman"/>
          <w:i/>
          <w:iCs/>
          <w:sz w:val="24"/>
          <w:szCs w:val="24"/>
        </w:rPr>
        <w:t>Psychiatry and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455–462. </w:t>
      </w:r>
      <w:hyperlink r:id="rId5032" w:history="1">
        <w:r w:rsidRPr="0074138E">
          <w:rPr>
            <w:rFonts w:ascii="Times New Roman" w:eastAsia="Times New Roman" w:hAnsi="Times New Roman" w:cs="Times New Roman"/>
            <w:color w:val="0000FF"/>
            <w:sz w:val="24"/>
            <w:szCs w:val="24"/>
            <w:u w:val="single"/>
          </w:rPr>
          <w:t>https://doi.org/10.1080/24750573.2019.1682853</w:t>
        </w:r>
      </w:hyperlink>
    </w:p>
    <w:p w14:paraId="2F04EE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Şahin, H. A., Terzi, M., Uçak, S., Yapici, O., Başoğlu, T., &amp; Onar, M. (2006). Frontal functions in young patients with essential tremor: A case comparison study.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64–72. </w:t>
      </w:r>
      <w:hyperlink r:id="rId5033" w:history="1">
        <w:r w:rsidRPr="0074138E">
          <w:rPr>
            <w:rFonts w:ascii="Times New Roman" w:eastAsia="Times New Roman" w:hAnsi="Times New Roman" w:cs="Times New Roman"/>
            <w:color w:val="0000FF"/>
            <w:sz w:val="24"/>
            <w:szCs w:val="24"/>
            <w:u w:val="single"/>
          </w:rPr>
          <w:t>https://doi.org/10.1176/appi.neuropsych.18.1.64</w:t>
        </w:r>
      </w:hyperlink>
    </w:p>
    <w:p w14:paraId="6B42A92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Sakagami, M., &amp; Tsutsui, K. (1999). The hierarchical organization of decision making in the primate prefrontal cortex. </w:t>
      </w:r>
      <w:r w:rsidRPr="0074138E">
        <w:rPr>
          <w:rFonts w:ascii="Times New Roman" w:eastAsia="Times New Roman" w:hAnsi="Times New Roman" w:cs="Times New Roman"/>
          <w:i/>
          <w:iCs/>
          <w:sz w:val="24"/>
          <w:szCs w:val="24"/>
        </w:rPr>
        <w:t>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(2), 79–89. </w:t>
      </w:r>
      <w:hyperlink r:id="rId5034" w:history="1">
        <w:r w:rsidRPr="0074138E">
          <w:rPr>
            <w:rFonts w:ascii="Times New Roman" w:eastAsia="Times New Roman" w:hAnsi="Times New Roman" w:cs="Times New Roman"/>
            <w:color w:val="0000FF"/>
            <w:sz w:val="24"/>
            <w:szCs w:val="24"/>
            <w:u w:val="single"/>
          </w:rPr>
          <w:t>https://doi.org/10.1016/S0168-0102(99)00038-3</w:t>
        </w:r>
      </w:hyperlink>
    </w:p>
    <w:p w14:paraId="7760AF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Sakamoto, M., Marcotte, T. D., Umlauf, A., Franklin Jr., D., Heaton, R. K., Ellis, R. J., Letendre, S., Alexander, T., McCutchan, J. A., Morgan, E. E., Woods, S. P., Collier, A. C., Marra, C. M., Clifford, D. B., Gelman, B. B., McArthur, J. C., Morgello, S., Simpson, D., &amp; Grant, I. (2013). Concurrent classification accuracy of the HIV Dementia Scale for HIV-associated neurocognitive disorders in the CHARTER cohort. </w:t>
      </w:r>
      <w:r w:rsidRPr="0074138E">
        <w:rPr>
          <w:rFonts w:ascii="Times New Roman" w:eastAsia="Times New Roman" w:hAnsi="Times New Roman" w:cs="Times New Roman"/>
          <w:i/>
          <w:iCs/>
          <w:sz w:val="24"/>
          <w:szCs w:val="24"/>
        </w:rPr>
        <w:t>JAIDS Journal of Acquired Immune Deficiency Syndromes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(1), 36–42. </w:t>
      </w:r>
      <w:hyperlink r:id="rId5035" w:history="1">
        <w:r w:rsidRPr="0074138E">
          <w:rPr>
            <w:rFonts w:ascii="Times New Roman" w:eastAsia="Times New Roman" w:hAnsi="Times New Roman" w:cs="Times New Roman"/>
            <w:color w:val="0000FF"/>
            <w:sz w:val="24"/>
            <w:szCs w:val="24"/>
            <w:u w:val="single"/>
          </w:rPr>
          <w:t>https://doi.org/10.1097/QAI.0b013e318278ffa4</w:t>
        </w:r>
      </w:hyperlink>
    </w:p>
    <w:p w14:paraId="534A517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Saksida, A., Iannuzzi, S., Bogliotti, C., Chaix, Y., Démonet, J.-F., Bricout, L., Billard, C., Nguyen-Morel, M.-A., Le Heuzey, M.-F., Soares-Boucaud, I., George, F., Ziegler, J. C., &amp; Ramus, F. (2016). Phonological skills, visual attention span, and visual stress in developmental dyslexia. </w:t>
      </w:r>
      <w:r w:rsidRPr="0074138E">
        <w:rPr>
          <w:rFonts w:ascii="Times New Roman" w:eastAsia="Times New Roman" w:hAnsi="Times New Roman" w:cs="Times New Roman"/>
          <w:i/>
          <w:iCs/>
          <w:sz w:val="24"/>
          <w:szCs w:val="24"/>
        </w:rPr>
        <w:t>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(10), 1503–1516. </w:t>
      </w:r>
      <w:hyperlink r:id="rId5036" w:history="1">
        <w:r w:rsidRPr="0074138E">
          <w:rPr>
            <w:rFonts w:ascii="Times New Roman" w:eastAsia="Times New Roman" w:hAnsi="Times New Roman" w:cs="Times New Roman"/>
            <w:color w:val="0000FF"/>
            <w:sz w:val="24"/>
            <w:szCs w:val="24"/>
            <w:u w:val="single"/>
          </w:rPr>
          <w:t>https://doi.org/10.1037/dev0000184</w:t>
        </w:r>
      </w:hyperlink>
    </w:p>
    <w:p w14:paraId="652352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Sakurai, H., Bies, R. R., Stroup, S. T., Keefe, R. S. E., Rajji, T. K., Suzuki, T., Mamo, D. C., Pollock, B. G., Watanabe, K., Mimura, M., &amp; Uchida, H. (2013). Dopamine D₂ receptor occupancy and cognition in schizophrenia: Analysis of the CATIE data.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(3), 564–574. </w:t>
      </w:r>
      <w:hyperlink r:id="rId5037" w:history="1">
        <w:r w:rsidRPr="0074138E">
          <w:rPr>
            <w:rFonts w:ascii="Times New Roman" w:eastAsia="Times New Roman" w:hAnsi="Times New Roman" w:cs="Times New Roman"/>
            <w:color w:val="0000FF"/>
            <w:sz w:val="24"/>
            <w:szCs w:val="24"/>
            <w:u w:val="single"/>
          </w:rPr>
          <w:t>https://doi.org/10.1093/schbul/sbr189</w:t>
        </w:r>
      </w:hyperlink>
    </w:p>
    <w:p w14:paraId="171B8C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 G., Burgoyne, A. P., Macnamara, B. N., Hambrick, D. Z., Campitelli, G., &amp; Gobet, F. (2017). Checking the “Academic Selection” argument. Chess players outperform non-chess players in cognitive skills related to intelligence: A meta-analysis. </w:t>
      </w:r>
      <w:r w:rsidRPr="0074138E">
        <w:rPr>
          <w:rFonts w:ascii="Times New Roman" w:eastAsia="Times New Roman" w:hAnsi="Times New Roman" w:cs="Times New Roman"/>
          <w:i/>
          <w:iCs/>
          <w:sz w:val="24"/>
          <w:szCs w:val="24"/>
        </w:rPr>
        <w:t>Intelligence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 130–139. </w:t>
      </w:r>
      <w:hyperlink r:id="rId5038" w:history="1">
        <w:r w:rsidRPr="0074138E">
          <w:rPr>
            <w:rFonts w:ascii="Times New Roman" w:eastAsia="Times New Roman" w:hAnsi="Times New Roman" w:cs="Times New Roman"/>
            <w:color w:val="0000FF"/>
            <w:sz w:val="24"/>
            <w:szCs w:val="24"/>
            <w:u w:val="single"/>
          </w:rPr>
          <w:t>https://doi.org/10.1016/j.intell.2017.01.013</w:t>
        </w:r>
      </w:hyperlink>
    </w:p>
    <w:p w14:paraId="16E45F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Salak Djokić, B., Spitznagel, M. B., Pavlović, D., Janković, N., Parojčić, A., Ilić, V., &amp; Djurović, M. N. (2015). Diabetes mellitus and cognitive functioning in a Serbian sample.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(1), 37–48. </w:t>
      </w:r>
      <w:hyperlink r:id="rId5039" w:history="1">
        <w:r w:rsidRPr="0074138E">
          <w:rPr>
            <w:rFonts w:ascii="Times New Roman" w:eastAsia="Times New Roman" w:hAnsi="Times New Roman" w:cs="Times New Roman"/>
            <w:color w:val="0000FF"/>
            <w:sz w:val="24"/>
            <w:szCs w:val="24"/>
            <w:u w:val="single"/>
          </w:rPr>
          <w:t>https://doi.org/10.1080/13803395.2014.985190</w:t>
        </w:r>
      </w:hyperlink>
    </w:p>
    <w:p w14:paraId="522A761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Salama, C., Morris, M., Armistead, L., Koenig, L. J., Demas, P., Ferdon, C., &amp; Bachanas, P. (2013). Depressive and conduct disorder symptoms in youth living with HIV: The independent and interactive roles of coping and neuropsychological functioning. </w:t>
      </w:r>
      <w:r w:rsidRPr="0074138E">
        <w:rPr>
          <w:rFonts w:ascii="Times New Roman" w:eastAsia="Times New Roman" w:hAnsi="Times New Roman" w:cs="Times New Roman"/>
          <w:i/>
          <w:iCs/>
          <w:sz w:val="24"/>
          <w:szCs w:val="24"/>
        </w:rPr>
        <w:t>AIDS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160–168. </w:t>
      </w:r>
      <w:hyperlink r:id="rId5040" w:history="1">
        <w:r w:rsidRPr="0074138E">
          <w:rPr>
            <w:rFonts w:ascii="Times New Roman" w:eastAsia="Times New Roman" w:hAnsi="Times New Roman" w:cs="Times New Roman"/>
            <w:color w:val="0000FF"/>
            <w:sz w:val="24"/>
            <w:szCs w:val="24"/>
            <w:u w:val="single"/>
          </w:rPr>
          <w:t>https://doi.org/10.1080/09540121.2012.687815</w:t>
        </w:r>
      </w:hyperlink>
    </w:p>
    <w:p w14:paraId="4201BA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Salas, C. E., Gross, J. J., Rafal, R. D., Viñas-Guasch, N., &amp; Turnbull, O. H. (2013). Concrete behaviour and reappraisal deficits after a left frontal stroke: A case study.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(4), 467–500. </w:t>
      </w:r>
      <w:hyperlink r:id="rId5041" w:history="1">
        <w:r w:rsidRPr="0074138E">
          <w:rPr>
            <w:rFonts w:ascii="Times New Roman" w:eastAsia="Times New Roman" w:hAnsi="Times New Roman" w:cs="Times New Roman"/>
            <w:color w:val="0000FF"/>
            <w:sz w:val="24"/>
            <w:szCs w:val="24"/>
            <w:u w:val="single"/>
          </w:rPr>
          <w:t>https://doi.org/10.1080/09602011.2013.784709</w:t>
        </w:r>
      </w:hyperlink>
    </w:p>
    <w:p w14:paraId="574B998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Salas, C. E., Radovic, D., Yuen, K. S. L., Yeates, G. N., Castro, O., &amp; Turnbull, O. H. (2014). “Opening an emotional dimension in me”: Changes in emotional reactivity and emotion regulation in a case of executive impairment after left fronto-parietal damage. </w:t>
      </w:r>
      <w:r w:rsidRPr="0074138E">
        <w:rPr>
          <w:rFonts w:ascii="Times New Roman" w:eastAsia="Times New Roman" w:hAnsi="Times New Roman" w:cs="Times New Roman"/>
          <w:i/>
          <w:iCs/>
          <w:sz w:val="24"/>
          <w:szCs w:val="24"/>
        </w:rPr>
        <w:t>Bulletin of the Menninger Clinic</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78</w:t>
      </w:r>
      <w:r w:rsidRPr="0074138E">
        <w:rPr>
          <w:rFonts w:ascii="Times New Roman" w:eastAsia="Times New Roman" w:hAnsi="Times New Roman" w:cs="Times New Roman"/>
          <w:sz w:val="24"/>
          <w:szCs w:val="24"/>
        </w:rPr>
        <w:t xml:space="preserve">(4), 301–334. </w:t>
      </w:r>
      <w:hyperlink r:id="rId5042" w:history="1">
        <w:r w:rsidRPr="0074138E">
          <w:rPr>
            <w:rFonts w:ascii="Times New Roman" w:eastAsia="Times New Roman" w:hAnsi="Times New Roman" w:cs="Times New Roman"/>
            <w:color w:val="0000FF"/>
            <w:sz w:val="24"/>
            <w:szCs w:val="24"/>
            <w:u w:val="single"/>
          </w:rPr>
          <w:t>https://doi.org/10.1521/bumc.2014.78.4.301</w:t>
        </w:r>
      </w:hyperlink>
    </w:p>
    <w:p w14:paraId="0A4DC63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Salazar-Fraile, J., Balanzá-Martínez, V., Selva-Vera, G., Martínez-Aran, A., Sánchez-Moreno, J., Rubio, C., Vieta, E., Gómez-Beneyto, M., &amp; Tabarés-Seisdedos, R. (2009). Motor speed predicts stability of cognitive deficits in both schizophrenic and bipolar I patients at one-year follow-up. </w:t>
      </w:r>
      <w:r w:rsidRPr="0074138E">
        <w:rPr>
          <w:rFonts w:ascii="Times New Roman" w:eastAsia="Times New Roman" w:hAnsi="Times New Roman" w:cs="Times New Roman"/>
          <w:i/>
          <w:iCs/>
          <w:sz w:val="24"/>
          <w:szCs w:val="24"/>
        </w:rPr>
        <w:t>The European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(3), 184–197. </w:t>
      </w:r>
      <w:hyperlink r:id="rId5043" w:history="1">
        <w:r w:rsidRPr="0074138E">
          <w:rPr>
            <w:rFonts w:ascii="Times New Roman" w:eastAsia="Times New Roman" w:hAnsi="Times New Roman" w:cs="Times New Roman"/>
            <w:color w:val="0000FF"/>
            <w:sz w:val="24"/>
            <w:szCs w:val="24"/>
            <w:u w:val="single"/>
          </w:rPr>
          <w:t>https://doi.org/10.4321/S0213-61632009000300007</w:t>
        </w:r>
      </w:hyperlink>
    </w:p>
    <w:p w14:paraId="64B9A3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Salazar-Fraile, J., Tabarés-Seisdedos, R., Selva-Vera, G., Balanzá-Martinez, V., Martínez-Arń, A., Catalán, J., Baldeweg, T., Vilela-Soler, C., Leal-Cercós, C., Vieta, E., &amp; Gomez-Beneyto, M. (2004). Recall and Recognition Confabulation in Psychotic and Bipolar Disorders: Evidence for Two Different Types Without Unitary Mechanisms.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(4), 281–288. </w:t>
      </w:r>
      <w:hyperlink r:id="rId5044" w:history="1">
        <w:r w:rsidRPr="0074138E">
          <w:rPr>
            <w:rFonts w:ascii="Times New Roman" w:eastAsia="Times New Roman" w:hAnsi="Times New Roman" w:cs="Times New Roman"/>
            <w:color w:val="0000FF"/>
            <w:sz w:val="24"/>
            <w:szCs w:val="24"/>
            <w:u w:val="single"/>
          </w:rPr>
          <w:t>https://doi.org/10.1016/j.comppsych.2004.03.007</w:t>
        </w:r>
      </w:hyperlink>
    </w:p>
    <w:p w14:paraId="40D123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Şalçini, C., Sayar, G. H., Çebi, M., Tan, O., Kağan, G., Tanrıdağ, O., &amp; Tarhan, N. (2018). The impact of high-frequency repetitive transcranial magnetic stimulation on executive functioning of drug-free patients with treatment-resistant depression. </w:t>
      </w:r>
      <w:r w:rsidRPr="0074138E">
        <w:rPr>
          <w:rFonts w:ascii="Times New Roman" w:eastAsia="Times New Roman" w:hAnsi="Times New Roman" w:cs="Times New Roman"/>
          <w:i/>
          <w:iCs/>
          <w:sz w:val="24"/>
          <w:szCs w:val="24"/>
        </w:rPr>
        <w:t>Psychiatry and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185–190. </w:t>
      </w:r>
      <w:hyperlink r:id="rId5045" w:history="1">
        <w:r w:rsidRPr="0074138E">
          <w:rPr>
            <w:rFonts w:ascii="Times New Roman" w:eastAsia="Times New Roman" w:hAnsi="Times New Roman" w:cs="Times New Roman"/>
            <w:color w:val="0000FF"/>
            <w:sz w:val="24"/>
            <w:szCs w:val="24"/>
            <w:u w:val="single"/>
          </w:rPr>
          <w:t>https://doi.org/10.1080/24750573.2017.1421398</w:t>
        </w:r>
      </w:hyperlink>
    </w:p>
    <w:p w14:paraId="325E89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Salgado, D. R., Álvarez, M. R., &amp; Pesqueira, G. S. (2006). Neuropsychological impairment among asymptomatic HIV-positive former intravenous drug users.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 95–104. </w:t>
      </w:r>
      <w:hyperlink r:id="rId5046" w:history="1">
        <w:r w:rsidRPr="0074138E">
          <w:rPr>
            <w:rFonts w:ascii="Times New Roman" w:eastAsia="Times New Roman" w:hAnsi="Times New Roman" w:cs="Times New Roman"/>
            <w:color w:val="0000FF"/>
            <w:sz w:val="24"/>
            <w:szCs w:val="24"/>
            <w:u w:val="single"/>
          </w:rPr>
          <w:t>https://doi.org/10.1097/01.wnn.0000182832.54697.5c</w:t>
        </w:r>
      </w:hyperlink>
    </w:p>
    <w:p w14:paraId="6FD3EF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Salgado, J. V., Malloy-Diniz, L. F., Campos, V. R., Abrantes, S. S. C., Fuentes, D., Bechara, A., &amp; Correa, H. (2009). Neuropsychological assessment of impulsive behavior in abstinent alcohol-dependent subjects.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4–9. </w:t>
      </w:r>
      <w:hyperlink r:id="rId5047" w:history="1">
        <w:r w:rsidRPr="0074138E">
          <w:rPr>
            <w:rFonts w:ascii="Times New Roman" w:eastAsia="Times New Roman" w:hAnsi="Times New Roman" w:cs="Times New Roman"/>
            <w:color w:val="0000FF"/>
            <w:sz w:val="24"/>
            <w:szCs w:val="24"/>
            <w:u w:val="single"/>
          </w:rPr>
          <w:t>https://doi.org/10.1590/S1516-44462009000100003</w:t>
        </w:r>
      </w:hyperlink>
    </w:p>
    <w:p w14:paraId="309EFD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Salinas, C., Dávila, G., Berthier, M. L., Green, C., &amp; Lara, J. P. (2009). Late-life reactivation of obsessive-compulsive disorder associated with lesions in prefrontal-subcortical circuits.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(3), 332–334. </w:t>
      </w:r>
      <w:hyperlink r:id="rId5048" w:history="1">
        <w:r w:rsidRPr="0074138E">
          <w:rPr>
            <w:rFonts w:ascii="Times New Roman" w:eastAsia="Times New Roman" w:hAnsi="Times New Roman" w:cs="Times New Roman"/>
            <w:color w:val="0000FF"/>
            <w:sz w:val="24"/>
            <w:szCs w:val="24"/>
            <w:u w:val="single"/>
          </w:rPr>
          <w:t>https://doi.org/10.1176/appi.neuropsych.21.3.332</w:t>
        </w:r>
      </w:hyperlink>
    </w:p>
    <w:p w14:paraId="5E7DF9B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Salinas, C. M., Edgar, V. B., &amp; Puente, A. E. (2016). Barriers and practical approaches to neuropsychological assessment of Spanish speakers. In </w:t>
      </w:r>
      <w:r w:rsidRPr="0074138E">
        <w:rPr>
          <w:rFonts w:ascii="Times New Roman" w:eastAsia="Times New Roman" w:hAnsi="Times New Roman" w:cs="Times New Roman"/>
          <w:i/>
          <w:iCs/>
          <w:sz w:val="24"/>
          <w:szCs w:val="24"/>
        </w:rPr>
        <w:t>Minority and cross-cultural aspects of neuropsychological assessment: Enduring and emerging trends, 2nd ed.</w:t>
      </w:r>
      <w:r w:rsidRPr="0074138E">
        <w:rPr>
          <w:rFonts w:ascii="Times New Roman" w:eastAsia="Times New Roman" w:hAnsi="Times New Roman" w:cs="Times New Roman"/>
          <w:sz w:val="24"/>
          <w:szCs w:val="24"/>
        </w:rPr>
        <w:t xml:space="preserve"> (pp. 229–258). Taylor &amp; Francis.</w:t>
      </w:r>
    </w:p>
    <w:p w14:paraId="21E12F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Salmani, A., pilehroud, M. N., &amp; jammali, M. (2020). Comparison of executive functions in addicted young people who referred to addiction treatment camps with students. </w:t>
      </w:r>
      <w:r w:rsidRPr="0074138E">
        <w:rPr>
          <w:rFonts w:ascii="Times New Roman" w:eastAsia="Times New Roman" w:hAnsi="Times New Roman" w:cs="Times New Roman"/>
          <w:i/>
          <w:iCs/>
          <w:sz w:val="24"/>
          <w:szCs w:val="24"/>
        </w:rPr>
        <w:t>Cogent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(1). </w:t>
      </w:r>
      <w:hyperlink r:id="rId5049" w:history="1">
        <w:r w:rsidRPr="0074138E">
          <w:rPr>
            <w:rFonts w:ascii="Times New Roman" w:eastAsia="Times New Roman" w:hAnsi="Times New Roman" w:cs="Times New Roman"/>
            <w:color w:val="0000FF"/>
            <w:sz w:val="24"/>
            <w:szCs w:val="24"/>
            <w:u w:val="single"/>
          </w:rPr>
          <w:t>https://doi.org/10.1080/23311908.2020.1754108</w:t>
        </w:r>
      </w:hyperlink>
    </w:p>
    <w:p w14:paraId="56F69B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Salmon, A., Hayman-Abello, B., Connolly, B., &amp; McLachlan, R. S. (2014). Temporal lobectomy with delayed amnesia following a new lesion on the other side. </w:t>
      </w:r>
      <w:r w:rsidRPr="0074138E">
        <w:rPr>
          <w:rFonts w:ascii="Times New Roman" w:eastAsia="Times New Roman" w:hAnsi="Times New Roman" w:cs="Times New Roman"/>
          <w:i/>
          <w:iCs/>
          <w:sz w:val="24"/>
          <w:szCs w:val="24"/>
        </w:rPr>
        <w:t>The Canadian Journal of Neurological Sciences / Le Journal Canadien Des Sciences Neurologiques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(2), 220–225. </w:t>
      </w:r>
      <w:hyperlink r:id="rId5050" w:history="1">
        <w:r w:rsidRPr="0074138E">
          <w:rPr>
            <w:rFonts w:ascii="Times New Roman" w:eastAsia="Times New Roman" w:hAnsi="Times New Roman" w:cs="Times New Roman"/>
            <w:color w:val="0000FF"/>
            <w:sz w:val="24"/>
            <w:szCs w:val="24"/>
            <w:u w:val="single"/>
          </w:rPr>
          <w:t>https://doi.org/10.1017/S0317167100016619</w:t>
        </w:r>
      </w:hyperlink>
    </w:p>
    <w:p w14:paraId="4DAA63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Salmon, D. P., Heindel, W. C., Hamilton, J. M., Vincent Filoteo, J., Cidambi, V., Hansen, L. A., Masliah, E., &amp; Galasko, D. (2015). Recognition memory span in autopsy-confirmed Dementia with Lewy Bodies and Alzheimer’s Disease.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 548–555. </w:t>
      </w:r>
      <w:hyperlink r:id="rId5051" w:history="1">
        <w:r w:rsidRPr="0074138E">
          <w:rPr>
            <w:rFonts w:ascii="Times New Roman" w:eastAsia="Times New Roman" w:hAnsi="Times New Roman" w:cs="Times New Roman"/>
            <w:color w:val="0000FF"/>
            <w:sz w:val="24"/>
            <w:szCs w:val="24"/>
            <w:u w:val="single"/>
          </w:rPr>
          <w:t>https://doi.org/10.1016/j.neuropsychologia.2015.07.014</w:t>
        </w:r>
      </w:hyperlink>
    </w:p>
    <w:p w14:paraId="1CC0EA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Salomoni, G., Grassi, M., Mosini, P., Riva, P., Cavedini, P., &amp; Bellodi, L. (2009). Artificial neural networks model for the prediction of obsessive-compulsive disorder treatment response.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343–349. </w:t>
      </w:r>
      <w:hyperlink r:id="rId5052" w:history="1">
        <w:r w:rsidRPr="0074138E">
          <w:rPr>
            <w:rFonts w:ascii="Times New Roman" w:eastAsia="Times New Roman" w:hAnsi="Times New Roman" w:cs="Times New Roman"/>
            <w:color w:val="0000FF"/>
            <w:sz w:val="24"/>
            <w:szCs w:val="24"/>
            <w:u w:val="single"/>
          </w:rPr>
          <w:t>https://doi.org/10.1097/JCP.0b013e3181aba68f</w:t>
        </w:r>
      </w:hyperlink>
    </w:p>
    <w:p w14:paraId="2FFE98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Salorio, C. F., White, D. A., Piccirillo, J., Duntley, S. P., &amp; Uhles, M. L. (2002). Learning, memory, and executive control on individuals with obstructive sleep apnea syndrome.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(1), 93–100. </w:t>
      </w:r>
      <w:hyperlink r:id="rId5053" w:history="1">
        <w:r w:rsidRPr="0074138E">
          <w:rPr>
            <w:rFonts w:ascii="Times New Roman" w:eastAsia="Times New Roman" w:hAnsi="Times New Roman" w:cs="Times New Roman"/>
            <w:color w:val="0000FF"/>
            <w:sz w:val="24"/>
            <w:szCs w:val="24"/>
            <w:u w:val="single"/>
          </w:rPr>
          <w:t>https://doi.org/10.1076/jcen.24.1.93.973</w:t>
        </w:r>
      </w:hyperlink>
    </w:p>
    <w:p w14:paraId="553E37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Salters-Pedneault, K., Suvak, M., &amp; Roemer, L. (2008). An experimental investigation of the effect of worry on responses to a discrimination learning task. </w:t>
      </w:r>
      <w:r w:rsidRPr="0074138E">
        <w:rPr>
          <w:rFonts w:ascii="Times New Roman" w:eastAsia="Times New Roman" w:hAnsi="Times New Roman" w:cs="Times New Roman"/>
          <w:i/>
          <w:iCs/>
          <w:sz w:val="24"/>
          <w:szCs w:val="24"/>
        </w:rPr>
        <w:t>Behavior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(3), 251–261. </w:t>
      </w:r>
      <w:hyperlink r:id="rId5054" w:history="1">
        <w:r w:rsidRPr="0074138E">
          <w:rPr>
            <w:rFonts w:ascii="Times New Roman" w:eastAsia="Times New Roman" w:hAnsi="Times New Roman" w:cs="Times New Roman"/>
            <w:color w:val="0000FF"/>
            <w:sz w:val="24"/>
            <w:szCs w:val="24"/>
            <w:u w:val="single"/>
          </w:rPr>
          <w:t>https://doi.org/10.1016/j.beth.2008.01.001</w:t>
        </w:r>
      </w:hyperlink>
    </w:p>
    <w:p w14:paraId="4ED213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Atkinson, T. M., &amp; Berish, D. E. (2003). Executive Functioning as a Potential Mediator of Age-Related Cognitive Decline in Normal Adults. </w:t>
      </w:r>
      <w:r w:rsidRPr="0074138E">
        <w:rPr>
          <w:rFonts w:ascii="Times New Roman" w:eastAsia="Times New Roman" w:hAnsi="Times New Roman" w:cs="Times New Roman"/>
          <w:i/>
          <w:iCs/>
          <w:sz w:val="24"/>
          <w:szCs w:val="24"/>
        </w:rPr>
        <w:t>Journal of Experimental Psychology: General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132</w:t>
      </w:r>
      <w:r w:rsidRPr="0074138E">
        <w:rPr>
          <w:rFonts w:ascii="Times New Roman" w:eastAsia="Times New Roman" w:hAnsi="Times New Roman" w:cs="Times New Roman"/>
          <w:sz w:val="24"/>
          <w:szCs w:val="24"/>
        </w:rPr>
        <w:t xml:space="preserve">(4), 566–594. </w:t>
      </w:r>
      <w:hyperlink r:id="rId5055" w:history="1">
        <w:r w:rsidRPr="0074138E">
          <w:rPr>
            <w:rFonts w:ascii="Times New Roman" w:eastAsia="Times New Roman" w:hAnsi="Times New Roman" w:cs="Times New Roman"/>
            <w:color w:val="0000FF"/>
            <w:sz w:val="24"/>
            <w:szCs w:val="24"/>
            <w:u w:val="single"/>
          </w:rPr>
          <w:t>https://doi.org/10.1037/0096-3445.132.4.566</w:t>
        </w:r>
      </w:hyperlink>
    </w:p>
    <w:p w14:paraId="6C4EC7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&amp; Berish, D. E. (2005). Correlates of Within-Person (Across-Occasion) Variability in Reaction Time.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 77–87. </w:t>
      </w:r>
      <w:hyperlink r:id="rId5056" w:history="1">
        <w:r w:rsidRPr="0074138E">
          <w:rPr>
            <w:rFonts w:ascii="Times New Roman" w:eastAsia="Times New Roman" w:hAnsi="Times New Roman" w:cs="Times New Roman"/>
            <w:color w:val="0000FF"/>
            <w:sz w:val="24"/>
            <w:szCs w:val="24"/>
            <w:u w:val="single"/>
          </w:rPr>
          <w:t>https://doi.org/10.1037/0894-4105.19.1.77</w:t>
        </w:r>
      </w:hyperlink>
    </w:p>
    <w:p w14:paraId="253E3D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&amp; Davis, H. P. (2006). Organization of cognitive abilities and neuropsychological variables across the lifespan. </w:t>
      </w:r>
      <w:r w:rsidRPr="0074138E">
        <w:rPr>
          <w:rFonts w:ascii="Times New Roman" w:eastAsia="Times New Roman" w:hAnsi="Times New Roman" w:cs="Times New Roman"/>
          <w:i/>
          <w:iCs/>
          <w:sz w:val="24"/>
          <w:szCs w:val="24"/>
        </w:rPr>
        <w:t>Developmental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31–54. </w:t>
      </w:r>
      <w:hyperlink r:id="rId5057" w:history="1">
        <w:r w:rsidRPr="0074138E">
          <w:rPr>
            <w:rFonts w:ascii="Times New Roman" w:eastAsia="Times New Roman" w:hAnsi="Times New Roman" w:cs="Times New Roman"/>
            <w:color w:val="0000FF"/>
            <w:sz w:val="24"/>
            <w:szCs w:val="24"/>
            <w:u w:val="single"/>
          </w:rPr>
          <w:t>https://doi.org/10.1016/j.dr.2005.09.001</w:t>
        </w:r>
      </w:hyperlink>
    </w:p>
    <w:p w14:paraId="5FC00B2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Fristoe, N., &amp; Rhee, S. H. (1996). How localized are age-related effects on neuropsychological measures?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(2), 272–285. </w:t>
      </w:r>
      <w:hyperlink r:id="rId5058" w:history="1">
        <w:r w:rsidRPr="0074138E">
          <w:rPr>
            <w:rFonts w:ascii="Times New Roman" w:eastAsia="Times New Roman" w:hAnsi="Times New Roman" w:cs="Times New Roman"/>
            <w:color w:val="0000FF"/>
            <w:sz w:val="24"/>
            <w:szCs w:val="24"/>
            <w:u w:val="single"/>
          </w:rPr>
          <w:t>https://doi.org/10.1037/0894-4105.10.2.272</w:t>
        </w:r>
      </w:hyperlink>
    </w:p>
    <w:p w14:paraId="6577AC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Salthouse, T. A., &amp; Siedlecki, K. L. (2007). Efficiency of route selection as a function of adult age.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 xml:space="preserve">(3), 279–286. </w:t>
      </w:r>
      <w:hyperlink r:id="rId5059" w:history="1">
        <w:r w:rsidRPr="0074138E">
          <w:rPr>
            <w:rFonts w:ascii="Times New Roman" w:eastAsia="Times New Roman" w:hAnsi="Times New Roman" w:cs="Times New Roman"/>
            <w:color w:val="0000FF"/>
            <w:sz w:val="24"/>
            <w:szCs w:val="24"/>
            <w:u w:val="single"/>
          </w:rPr>
          <w:t>https://doi.org/10.1016/j.bandc.2006.09.006</w:t>
        </w:r>
      </w:hyperlink>
    </w:p>
    <w:p w14:paraId="3B2C4C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Salvador, J., Cortés, J. F., &amp; Galindo y Villa, G. (2000). Qué significado neuropsicológico tiene la perseveración de los pacientes con esquizofrenia paranoide en el Wisconsin Card Sorting Test? [What is the neuropsychological meaning of perseveration in paranoid schizophrenic patients in the Wisconsin Card Sorti. </w:t>
      </w:r>
      <w:r w:rsidRPr="0074138E">
        <w:rPr>
          <w:rFonts w:ascii="Times New Roman" w:eastAsia="Times New Roman" w:hAnsi="Times New Roman" w:cs="Times New Roman"/>
          <w:i/>
          <w:iCs/>
          <w:sz w:val="24"/>
          <w:szCs w:val="24"/>
        </w:rPr>
        <w:t>Salud 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(4), 28–37.</w:t>
      </w:r>
    </w:p>
    <w:p w14:paraId="2D8173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Samamé, C., Martino, D. J., &amp; Strejilevich, S. A. (2014). Longitudinal course of cognitive deficits in bipolar disorder: A meta-analytic study.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164</w:t>
      </w:r>
      <w:r w:rsidRPr="0074138E">
        <w:rPr>
          <w:rFonts w:ascii="Times New Roman" w:eastAsia="Times New Roman" w:hAnsi="Times New Roman" w:cs="Times New Roman"/>
          <w:sz w:val="24"/>
          <w:szCs w:val="24"/>
        </w:rPr>
        <w:t xml:space="preserve">, 130–138. </w:t>
      </w:r>
      <w:hyperlink r:id="rId5060" w:history="1">
        <w:r w:rsidRPr="0074138E">
          <w:rPr>
            <w:rFonts w:ascii="Times New Roman" w:eastAsia="Times New Roman" w:hAnsi="Times New Roman" w:cs="Times New Roman"/>
            <w:color w:val="0000FF"/>
            <w:sz w:val="24"/>
            <w:szCs w:val="24"/>
            <w:u w:val="single"/>
          </w:rPr>
          <w:t>https://doi.org/10.1016/j.jad.2014.04.028</w:t>
        </w:r>
      </w:hyperlink>
    </w:p>
    <w:p w14:paraId="5A2C30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Sambuchi, N., Muraccioli, I., Alescio-Lautier, Bé., Paban, Vé., Sambuc, R., Jouve, É., Geda, Y. E., Petersen, R. K., &amp; Michel, B. F. (2015). Subjective cognitive impairment et maladie d’Alzheimer: Étude d’une cohorte de 51 sujets suivis sur deux ans. [Subjective cognitive impairment and Alzheimer’s disease: A two year follow up of 51 subjects during two years.]. </w:t>
      </w:r>
      <w:r w:rsidRPr="0074138E">
        <w:rPr>
          <w:rFonts w:ascii="Times New Roman" w:eastAsia="Times New Roman" w:hAnsi="Times New Roman" w:cs="Times New Roman"/>
          <w:i/>
          <w:iCs/>
          <w:sz w:val="24"/>
          <w:szCs w:val="24"/>
        </w:rPr>
        <w:t>Gériatrie et Psychologie Neuropsychiatrie Du Vieillissement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(4), 462–471.</w:t>
      </w:r>
    </w:p>
    <w:p w14:paraId="6C4AD6C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Samuelson, K. W., Krueger, C. E., Burnett, C., &amp; Wilson, C. K. (2010). Neuropsychological functioning in children with posttraumatic stress disorder.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(2), 119–133. </w:t>
      </w:r>
      <w:hyperlink r:id="rId5061" w:history="1">
        <w:r w:rsidRPr="0074138E">
          <w:rPr>
            <w:rFonts w:ascii="Times New Roman" w:eastAsia="Times New Roman" w:hAnsi="Times New Roman" w:cs="Times New Roman"/>
            <w:color w:val="0000FF"/>
            <w:sz w:val="24"/>
            <w:szCs w:val="24"/>
            <w:u w:val="single"/>
          </w:rPr>
          <w:t>https://doi.org/10.1080/09297040903190782</w:t>
        </w:r>
      </w:hyperlink>
    </w:p>
    <w:p w14:paraId="0E1F9D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Samuelson, K. W., Krueger, C. E., &amp; Wilson, C. (2012). Relationships between maternal emotion regulation, parenting, and children’s executive functioning in families exposed to intimate partner violence. </w:t>
      </w:r>
      <w:r w:rsidRPr="0074138E">
        <w:rPr>
          <w:rFonts w:ascii="Times New Roman" w:eastAsia="Times New Roman" w:hAnsi="Times New Roman" w:cs="Times New Roman"/>
          <w:i/>
          <w:iCs/>
          <w:sz w:val="24"/>
          <w:szCs w:val="24"/>
        </w:rPr>
        <w:t>Journal of Interpersonal Violence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(17), 3532–3550. </w:t>
      </w:r>
      <w:hyperlink r:id="rId5062" w:history="1">
        <w:r w:rsidRPr="0074138E">
          <w:rPr>
            <w:rFonts w:ascii="Times New Roman" w:eastAsia="Times New Roman" w:hAnsi="Times New Roman" w:cs="Times New Roman"/>
            <w:color w:val="0000FF"/>
            <w:sz w:val="24"/>
            <w:szCs w:val="24"/>
            <w:u w:val="single"/>
          </w:rPr>
          <w:t>https://doi.org/10.1177/0886260512445385</w:t>
        </w:r>
      </w:hyperlink>
    </w:p>
    <w:p w14:paraId="6DF519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Sanada, K., de Azúa, S. R., Nakajima, S., Alberich, S., Ugarte, A., Zugasti, J., Vega, P., Martínez-Cengotitabengoa, M., &amp; González-Pinto, A. (2018). Correlates of neurocognitive functions in individuals at ultra-high risk for psychosis—A 6-month follow-up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268</w:t>
      </w:r>
      <w:r w:rsidRPr="0074138E">
        <w:rPr>
          <w:rFonts w:ascii="Times New Roman" w:eastAsia="Times New Roman" w:hAnsi="Times New Roman" w:cs="Times New Roman"/>
          <w:sz w:val="24"/>
          <w:szCs w:val="24"/>
        </w:rPr>
        <w:t xml:space="preserve">, 1–7. </w:t>
      </w:r>
      <w:hyperlink r:id="rId5063" w:history="1">
        <w:r w:rsidRPr="0074138E">
          <w:rPr>
            <w:rFonts w:ascii="Times New Roman" w:eastAsia="Times New Roman" w:hAnsi="Times New Roman" w:cs="Times New Roman"/>
            <w:color w:val="0000FF"/>
            <w:sz w:val="24"/>
            <w:szCs w:val="24"/>
            <w:u w:val="single"/>
          </w:rPr>
          <w:t>https://doi.org/10.1016/j.psychres.2018.06.053</w:t>
        </w:r>
      </w:hyperlink>
    </w:p>
    <w:p w14:paraId="6ED03E8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Sanchez Escobedo, J. E. (2000). </w:t>
      </w:r>
      <w:r w:rsidRPr="0074138E">
        <w:rPr>
          <w:rFonts w:ascii="Times New Roman" w:eastAsia="Times New Roman" w:hAnsi="Times New Roman" w:cs="Times New Roman"/>
          <w:i/>
          <w:iCs/>
          <w:sz w:val="24"/>
          <w:szCs w:val="24"/>
        </w:rPr>
        <w:t>Neuropsychological correlates in adolescent minorities diagnosed with conduct disorder.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(11-B), 5789–5789.</w:t>
      </w:r>
    </w:p>
    <w:p w14:paraId="45FAA8B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J. L., Martín, J., &amp; López, C. (2017). Diagnostic utility of the shortened version of the Wisconsin Card Sorting Test in patients with sporadic late onset Alzheimer disease. </w:t>
      </w:r>
      <w:r w:rsidRPr="0074138E">
        <w:rPr>
          <w:rFonts w:ascii="Times New Roman" w:eastAsia="Times New Roman" w:hAnsi="Times New Roman" w:cs="Times New Roman"/>
          <w:i/>
          <w:iCs/>
          <w:sz w:val="24"/>
          <w:szCs w:val="24"/>
        </w:rPr>
        <w:t>American Journal of Alzheimer’s Disease and Other Dementias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(8), 472–478. </w:t>
      </w:r>
      <w:hyperlink r:id="rId5064" w:history="1">
        <w:r w:rsidRPr="0074138E">
          <w:rPr>
            <w:rFonts w:ascii="Times New Roman" w:eastAsia="Times New Roman" w:hAnsi="Times New Roman" w:cs="Times New Roman"/>
            <w:color w:val="0000FF"/>
            <w:sz w:val="24"/>
            <w:szCs w:val="24"/>
            <w:u w:val="single"/>
          </w:rPr>
          <w:t>https://doi.org/10.1177/1533317517728334</w:t>
        </w:r>
      </w:hyperlink>
    </w:p>
    <w:p w14:paraId="3C2743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J. L., Torrellas, C., Martín, J., &amp; Barrera, I. (2011). Study of sociodemographic variables linked to lifestyle and their possible influence on cognitive reserve.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(8), 874–891. </w:t>
      </w:r>
      <w:hyperlink r:id="rId5065" w:history="1">
        <w:r w:rsidRPr="0074138E">
          <w:rPr>
            <w:rFonts w:ascii="Times New Roman" w:eastAsia="Times New Roman" w:hAnsi="Times New Roman" w:cs="Times New Roman"/>
            <w:color w:val="0000FF"/>
            <w:sz w:val="24"/>
            <w:szCs w:val="24"/>
            <w:u w:val="single"/>
          </w:rPr>
          <w:t>https://doi.org/10.1080/13803395.2011.567976</w:t>
        </w:r>
      </w:hyperlink>
    </w:p>
    <w:p w14:paraId="496203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M. P., Nieto, A., Barroso, J., Martín, V., &amp; Hernández, M. A. (2008). Brain atrophy as a marker of cognitive impairment in mildly disabling relapsing-remitting multiple sclerosis.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(10), 1091–1099. </w:t>
      </w:r>
      <w:hyperlink r:id="rId5066" w:history="1">
        <w:r w:rsidRPr="0074138E">
          <w:rPr>
            <w:rFonts w:ascii="Times New Roman" w:eastAsia="Times New Roman" w:hAnsi="Times New Roman" w:cs="Times New Roman"/>
            <w:color w:val="0000FF"/>
            <w:sz w:val="24"/>
            <w:szCs w:val="24"/>
            <w:u w:val="single"/>
          </w:rPr>
          <w:t>https://doi.org/10.1111/j.1468-1331.2008.02259.x</w:t>
        </w:r>
      </w:hyperlink>
    </w:p>
    <w:p w14:paraId="502FAC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N. A., &amp; Gutiérrez, C. S. (2014). Funciones ejecutivas y sintomatología asociada con los trastomos de la conducta alimentaria. [Executive functions and symptoms associated with eating disorders.]. </w:t>
      </w:r>
      <w:r w:rsidRPr="0074138E">
        <w:rPr>
          <w:rFonts w:ascii="Times New Roman" w:eastAsia="Times New Roman" w:hAnsi="Times New Roman" w:cs="Times New Roman"/>
          <w:i/>
          <w:iCs/>
          <w:sz w:val="24"/>
          <w:szCs w:val="24"/>
        </w:rPr>
        <w:t>Revista Latinoamericana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(1–3), 189–197. </w:t>
      </w:r>
      <w:hyperlink r:id="rId5067" w:history="1">
        <w:r w:rsidRPr="0074138E">
          <w:rPr>
            <w:rFonts w:ascii="Times New Roman" w:eastAsia="Times New Roman" w:hAnsi="Times New Roman" w:cs="Times New Roman"/>
            <w:color w:val="0000FF"/>
            <w:sz w:val="24"/>
            <w:szCs w:val="24"/>
            <w:u w:val="single"/>
          </w:rPr>
          <w:t>https://doi.org/10.1016/S0120-0534(14)70022-6</w:t>
        </w:r>
      </w:hyperlink>
    </w:p>
    <w:p w14:paraId="4FFBF6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 Rodríguez, J. L., López Alburquerque, J. T., &amp; Sayago Arenas, A. M. (1999). Estudio de un caso de síndrome frontal. [Case study of a frontal syndrome.]. </w:t>
      </w:r>
      <w:r w:rsidRPr="0074138E">
        <w:rPr>
          <w:rFonts w:ascii="Times New Roman" w:eastAsia="Times New Roman" w:hAnsi="Times New Roman" w:cs="Times New Roman"/>
          <w:i/>
          <w:iCs/>
          <w:sz w:val="24"/>
          <w:szCs w:val="24"/>
        </w:rPr>
        <w:t>Anales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(2), 291–301.</w:t>
      </w:r>
    </w:p>
    <w:p w14:paraId="103875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Sanchez-Gistau, V., Mariné, R., Martorell, L., Cabezas, A., Algora, M. J., Sole, M., Labad, J., &amp; Vilella, E. (2019). Relationship between ANKK1 rs1800497 polymorphism, overweight and executive dysfunction in early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209</w:t>
      </w:r>
      <w:r w:rsidRPr="0074138E">
        <w:rPr>
          <w:rFonts w:ascii="Times New Roman" w:eastAsia="Times New Roman" w:hAnsi="Times New Roman" w:cs="Times New Roman"/>
          <w:sz w:val="24"/>
          <w:szCs w:val="24"/>
        </w:rPr>
        <w:t xml:space="preserve">, 278–280. </w:t>
      </w:r>
      <w:hyperlink r:id="rId5068" w:history="1">
        <w:r w:rsidRPr="0074138E">
          <w:rPr>
            <w:rFonts w:ascii="Times New Roman" w:eastAsia="Times New Roman" w:hAnsi="Times New Roman" w:cs="Times New Roman"/>
            <w:color w:val="0000FF"/>
            <w:sz w:val="24"/>
            <w:szCs w:val="24"/>
            <w:u w:val="single"/>
          </w:rPr>
          <w:t>https://doi.org/10.1016/j.schres.2019.05.022</w:t>
        </w:r>
      </w:hyperlink>
    </w:p>
    <w:p w14:paraId="6113180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Sánchez-Gutiérrez, T., Rodríguez-Toscano, E., Llorente, C., de la Serna, E., Moreno, C., Sugranyes, G., Romero, S., Calvo, A., Baeza, I., Sánchez-Gistau, V., Espliego, A., Castro-Fornieles, J., &amp; Moreno, D. (2020). Neuropsychological, clinical and environmental predictors of severe mental disorders in offspring of patients with schizophrenia.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270</w:t>
      </w:r>
      <w:r w:rsidRPr="0074138E">
        <w:rPr>
          <w:rFonts w:ascii="Times New Roman" w:eastAsia="Times New Roman" w:hAnsi="Times New Roman" w:cs="Times New Roman"/>
          <w:sz w:val="24"/>
          <w:szCs w:val="24"/>
        </w:rPr>
        <w:t xml:space="preserve">(6), 739–748. </w:t>
      </w:r>
      <w:hyperlink r:id="rId5069" w:history="1">
        <w:r w:rsidRPr="0074138E">
          <w:rPr>
            <w:rFonts w:ascii="Times New Roman" w:eastAsia="Times New Roman" w:hAnsi="Times New Roman" w:cs="Times New Roman"/>
            <w:color w:val="0000FF"/>
            <w:sz w:val="24"/>
            <w:szCs w:val="24"/>
            <w:u w:val="single"/>
          </w:rPr>
          <w:t>https://doi.org/10.1007/s00406-019-01044-7</w:t>
        </w:r>
      </w:hyperlink>
    </w:p>
    <w:p w14:paraId="348D38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Sánchez-Morla, E. M., Barabash, A., Martínez-Vizcaíno, V., Tabarés-Seisdedos, R., Balanzá-Martínez, V., Cabranes-Díaz, J. A., Baca-Baldomero, E., &amp; Gómez, J. L. S. (2009). Comparative study of neurocognitive function in euthymic bipolar patients and stabilized schizophrenic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169</w:t>
      </w:r>
      <w:r w:rsidRPr="0074138E">
        <w:rPr>
          <w:rFonts w:ascii="Times New Roman" w:eastAsia="Times New Roman" w:hAnsi="Times New Roman" w:cs="Times New Roman"/>
          <w:sz w:val="24"/>
          <w:szCs w:val="24"/>
        </w:rPr>
        <w:t xml:space="preserve">(3), 220–228. </w:t>
      </w:r>
      <w:hyperlink r:id="rId5070" w:history="1">
        <w:r w:rsidRPr="0074138E">
          <w:rPr>
            <w:rFonts w:ascii="Times New Roman" w:eastAsia="Times New Roman" w:hAnsi="Times New Roman" w:cs="Times New Roman"/>
            <w:color w:val="0000FF"/>
            <w:sz w:val="24"/>
            <w:szCs w:val="24"/>
            <w:u w:val="single"/>
          </w:rPr>
          <w:t>https://doi.org/10.1016/j.psychres.2008.06.032</w:t>
        </w:r>
      </w:hyperlink>
    </w:p>
    <w:p w14:paraId="28C256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Sánchez-Morla, E. M., López-Villarreal, A., Jiménez-López, E., Aparicio, A. I., Martínez-Vizcaíno, V., Roberto, R.-J., Vieta, E., &amp; Santos, J.-L. (2019). Impact of number of episodes on neurocognitive trajectory in bipolar disorder patients: A 5-year follow-up study.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(8), 1299–1307. </w:t>
      </w:r>
      <w:hyperlink r:id="rId5071" w:history="1">
        <w:r w:rsidRPr="0074138E">
          <w:rPr>
            <w:rFonts w:ascii="Times New Roman" w:eastAsia="Times New Roman" w:hAnsi="Times New Roman" w:cs="Times New Roman"/>
            <w:color w:val="0000FF"/>
            <w:sz w:val="24"/>
            <w:szCs w:val="24"/>
            <w:u w:val="single"/>
          </w:rPr>
          <w:t>https://doi.org/10.1017/S0033291718001885</w:t>
        </w:r>
      </w:hyperlink>
    </w:p>
    <w:p w14:paraId="428C8A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Sánchez-Morla, E. M., Santos, J. L., Aparicio, A., García-Jiménez, M. Á., Soria, C., &amp; Arango, C. (2013). Neuropsychological correlates of P50 sensory gating in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143</w:t>
      </w:r>
      <w:r w:rsidRPr="0074138E">
        <w:rPr>
          <w:rFonts w:ascii="Times New Roman" w:eastAsia="Times New Roman" w:hAnsi="Times New Roman" w:cs="Times New Roman"/>
          <w:sz w:val="24"/>
          <w:szCs w:val="24"/>
        </w:rPr>
        <w:t xml:space="preserve">(1), 102–106. </w:t>
      </w:r>
      <w:hyperlink r:id="rId5072" w:history="1">
        <w:r w:rsidRPr="0074138E">
          <w:rPr>
            <w:rFonts w:ascii="Times New Roman" w:eastAsia="Times New Roman" w:hAnsi="Times New Roman" w:cs="Times New Roman"/>
            <w:color w:val="0000FF"/>
            <w:sz w:val="24"/>
            <w:szCs w:val="24"/>
            <w:u w:val="single"/>
          </w:rPr>
          <w:t>https://doi.org/10.1016/j.schres.2012.10.017</w:t>
        </w:r>
      </w:hyperlink>
    </w:p>
    <w:p w14:paraId="24A270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Sánchez-Navarro, J. P., Martínez-Selva, J. M., &amp; Román, F. (2005). Emotional Response in Patients With Frontal Brain Damage: Effects of Affective Valence and Information Content. </w:t>
      </w:r>
      <w:r w:rsidRPr="0074138E">
        <w:rPr>
          <w:rFonts w:ascii="Times New Roman" w:eastAsia="Times New Roman" w:hAnsi="Times New Roman" w:cs="Times New Roman"/>
          <w:i/>
          <w:iCs/>
          <w:sz w:val="24"/>
          <w:szCs w:val="24"/>
        </w:rPr>
        <w:t>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119</w:t>
      </w:r>
      <w:r w:rsidRPr="0074138E">
        <w:rPr>
          <w:rFonts w:ascii="Times New Roman" w:eastAsia="Times New Roman" w:hAnsi="Times New Roman" w:cs="Times New Roman"/>
          <w:sz w:val="24"/>
          <w:szCs w:val="24"/>
        </w:rPr>
        <w:t xml:space="preserve">(1), 87–97. </w:t>
      </w:r>
      <w:hyperlink r:id="rId5073" w:history="1">
        <w:r w:rsidRPr="0074138E">
          <w:rPr>
            <w:rFonts w:ascii="Times New Roman" w:eastAsia="Times New Roman" w:hAnsi="Times New Roman" w:cs="Times New Roman"/>
            <w:color w:val="0000FF"/>
            <w:sz w:val="24"/>
            <w:szCs w:val="24"/>
            <w:u w:val="single"/>
          </w:rPr>
          <w:t>https://doi.org/10.1037/0735-7044.119.1.87</w:t>
        </w:r>
      </w:hyperlink>
    </w:p>
    <w:p w14:paraId="06B593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Sánchez-Torres, A. M., Basterra, V., Moreno-Izco, L., Rosa, A., Fañanás, L., Zarzuela, A., Peralta, V., &amp; Cuesta, M. J. (2013). Executive functioning in schizophrenia spectrum disorder patients and their unaffected siblings: A ten-year follow-up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143</w:t>
      </w:r>
      <w:r w:rsidRPr="0074138E">
        <w:rPr>
          <w:rFonts w:ascii="Times New Roman" w:eastAsia="Times New Roman" w:hAnsi="Times New Roman" w:cs="Times New Roman"/>
          <w:sz w:val="24"/>
          <w:szCs w:val="24"/>
        </w:rPr>
        <w:t xml:space="preserve">(2–3), 291–296. </w:t>
      </w:r>
      <w:hyperlink r:id="rId5074" w:history="1">
        <w:r w:rsidRPr="0074138E">
          <w:rPr>
            <w:rFonts w:ascii="Times New Roman" w:eastAsia="Times New Roman" w:hAnsi="Times New Roman" w:cs="Times New Roman"/>
            <w:color w:val="0000FF"/>
            <w:sz w:val="24"/>
            <w:szCs w:val="24"/>
            <w:u w:val="single"/>
          </w:rPr>
          <w:t>https://doi.org/10.1016/j.schres.2012.11.026</w:t>
        </w:r>
      </w:hyperlink>
    </w:p>
    <w:p w14:paraId="7EECA2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Sanders, J. F. (2001). </w:t>
      </w:r>
      <w:r w:rsidRPr="0074138E">
        <w:rPr>
          <w:rFonts w:ascii="Times New Roman" w:eastAsia="Times New Roman" w:hAnsi="Times New Roman" w:cs="Times New Roman"/>
          <w:i/>
          <w:iCs/>
          <w:sz w:val="24"/>
          <w:szCs w:val="24"/>
        </w:rPr>
        <w:t>A comparison of the Wisconsin Card Sorting Test and the Boston Naming Test with Native Americans.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(10-B), 5591–5591.</w:t>
      </w:r>
    </w:p>
    <w:p w14:paraId="572DCE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Sanders, R. D., Schuepbach, D., Goldstein, G., Haas, G. L., Sweeney, J. A., &amp; Keshavan, M. S. (2004). Relationships Between Cognitive and Neurological Performance in Neuroleptic-Naïve Psychosis.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(4), 480–487. </w:t>
      </w:r>
      <w:hyperlink r:id="rId5075" w:history="1">
        <w:r w:rsidRPr="0074138E">
          <w:rPr>
            <w:rFonts w:ascii="Times New Roman" w:eastAsia="Times New Roman" w:hAnsi="Times New Roman" w:cs="Times New Roman"/>
            <w:color w:val="0000FF"/>
            <w:sz w:val="24"/>
            <w:szCs w:val="24"/>
            <w:u w:val="single"/>
          </w:rPr>
          <w:t>https://doi.org/10.1176/appi.neuropsych.16.4.480</w:t>
        </w:r>
      </w:hyperlink>
    </w:p>
    <w:p w14:paraId="13471B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Şandor, S. (2018). Sağlıklı kişilerde ergenlikten yaşlılığa karar verme davranışı ve yürütücü işlevlerle olan ilişkisi. [Decision-making behavior from adolescence to elderly and its relationship with executive functions.]. </w:t>
      </w:r>
      <w:r w:rsidRPr="0074138E">
        <w:rPr>
          <w:rFonts w:ascii="Times New Roman" w:eastAsia="Times New Roman" w:hAnsi="Times New Roman" w:cs="Times New Roman"/>
          <w:i/>
          <w:iCs/>
          <w:sz w:val="24"/>
          <w:szCs w:val="24"/>
        </w:rPr>
        <w:t>Klinik Psikiyatri Dergisi: 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(3), 290–300. </w:t>
      </w:r>
      <w:hyperlink r:id="rId5076" w:history="1">
        <w:r w:rsidRPr="0074138E">
          <w:rPr>
            <w:rFonts w:ascii="Times New Roman" w:eastAsia="Times New Roman" w:hAnsi="Times New Roman" w:cs="Times New Roman"/>
            <w:color w:val="0000FF"/>
            <w:sz w:val="24"/>
            <w:szCs w:val="24"/>
            <w:u w:val="single"/>
          </w:rPr>
          <w:t>https://doi.org/10.5505/kpd.2018.28291</w:t>
        </w:r>
      </w:hyperlink>
    </w:p>
    <w:p w14:paraId="2A07EE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Sanford, N., Veckenstedt, R., Moritz, S., Balzan, R. P., &amp; Woodward, T. S. (2014). Impaired integration of disambiguating evidence in delusional schizophrenia patients.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(13), 2729–2738. </w:t>
      </w:r>
      <w:hyperlink r:id="rId5077" w:history="1">
        <w:r w:rsidRPr="0074138E">
          <w:rPr>
            <w:rFonts w:ascii="Times New Roman" w:eastAsia="Times New Roman" w:hAnsi="Times New Roman" w:cs="Times New Roman"/>
            <w:color w:val="0000FF"/>
            <w:sz w:val="24"/>
            <w:szCs w:val="24"/>
            <w:u w:val="single"/>
          </w:rPr>
          <w:t>https://doi.org/10.1017/S0033291714000397</w:t>
        </w:r>
      </w:hyperlink>
    </w:p>
    <w:p w14:paraId="0D5496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Saniee, S., Pouretemad, H. R., &amp; Zardkhaneh, S. A. (2019). Developing set‐shifting improvement tasks (SSIT) for children with high‐functioning autism.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 xml:space="preserve">(10), 1207–1220. </w:t>
      </w:r>
      <w:hyperlink r:id="rId5078" w:history="1">
        <w:r w:rsidRPr="0074138E">
          <w:rPr>
            <w:rFonts w:ascii="Times New Roman" w:eastAsia="Times New Roman" w:hAnsi="Times New Roman" w:cs="Times New Roman"/>
            <w:color w:val="0000FF"/>
            <w:sz w:val="24"/>
            <w:szCs w:val="24"/>
            <w:u w:val="single"/>
          </w:rPr>
          <w:t>https://doi.org/10.1111/jir.12633</w:t>
        </w:r>
      </w:hyperlink>
    </w:p>
    <w:p w14:paraId="012A70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Santamaría-García, H., Reyes, P., García, A., Baéz, S., Martinez, A., Santacruz, J. M., Slachevsky, A., Sigman, M., Matallana, D., &amp; Ibañez, A. (2016). First symptoms and neurocognitive correlates of behavioral variant frontotemporal dementia.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(3), 957–970. </w:t>
      </w:r>
      <w:hyperlink r:id="rId5079" w:history="1">
        <w:r w:rsidRPr="0074138E">
          <w:rPr>
            <w:rFonts w:ascii="Times New Roman" w:eastAsia="Times New Roman" w:hAnsi="Times New Roman" w:cs="Times New Roman"/>
            <w:color w:val="0000FF"/>
            <w:sz w:val="24"/>
            <w:szCs w:val="24"/>
            <w:u w:val="single"/>
          </w:rPr>
          <w:t>https://doi.org/10.3233/JAD-160501</w:t>
        </w:r>
      </w:hyperlink>
    </w:p>
    <w:p w14:paraId="5439D8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Sant’Ana Rabelo, I., Pacanaro, S. V., Rossetti, M. de O., Leme, I. F. A. de S., Castro, N. R. de, Güntert, C. M., Miotto, E. C., &amp; Lucia, M. C. S. de. (2010). Color Trails Test: A Brazilian normative sample. </w:t>
      </w:r>
      <w:r w:rsidRPr="0074138E">
        <w:rPr>
          <w:rFonts w:ascii="Times New Roman" w:eastAsia="Times New Roman" w:hAnsi="Times New Roman" w:cs="Times New Roman"/>
          <w:i/>
          <w:iCs/>
          <w:sz w:val="24"/>
          <w:szCs w:val="24"/>
        </w:rPr>
        <w:t>Psychology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(1), 93–99. </w:t>
      </w:r>
      <w:hyperlink r:id="rId5080" w:history="1">
        <w:r w:rsidRPr="0074138E">
          <w:rPr>
            <w:rFonts w:ascii="Times New Roman" w:eastAsia="Times New Roman" w:hAnsi="Times New Roman" w:cs="Times New Roman"/>
            <w:color w:val="0000FF"/>
            <w:sz w:val="24"/>
            <w:szCs w:val="24"/>
            <w:u w:val="single"/>
          </w:rPr>
          <w:t>https://doi.org/10.3922/j.psns.2010.1.012</w:t>
        </w:r>
      </w:hyperlink>
    </w:p>
    <w:p w14:paraId="4A2198C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Santangelo, G., Barone, P., Trojano, L., &amp; Vitale, C. (2013). Pathological gambling in Parkinson’s disease. A comprehensive review. </w:t>
      </w:r>
      <w:r w:rsidRPr="0074138E">
        <w:rPr>
          <w:rFonts w:ascii="Times New Roman" w:eastAsia="Times New Roman" w:hAnsi="Times New Roman" w:cs="Times New Roman"/>
          <w:i/>
          <w:iCs/>
          <w:sz w:val="24"/>
          <w:szCs w:val="24"/>
        </w:rPr>
        <w:t>Parkinsonism &amp;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(7), 645–653. </w:t>
      </w:r>
      <w:hyperlink r:id="rId5081" w:history="1">
        <w:r w:rsidRPr="0074138E">
          <w:rPr>
            <w:rFonts w:ascii="Times New Roman" w:eastAsia="Times New Roman" w:hAnsi="Times New Roman" w:cs="Times New Roman"/>
            <w:color w:val="0000FF"/>
            <w:sz w:val="24"/>
            <w:szCs w:val="24"/>
            <w:u w:val="single"/>
          </w:rPr>
          <w:t>https://doi.org/10.1016/j.parkreldis.2013.02.007</w:t>
        </w:r>
      </w:hyperlink>
    </w:p>
    <w:p w14:paraId="05EDED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Santangelo, G., Trojano, L., Vitale, C., Improta, I., Alineri, I., Meo, R., &amp; Bilo, L. (2017). Cognitive dysfunctions in occipital lobe epilepsy compared to temporal lobe epilepsy. </w:t>
      </w:r>
      <w:r w:rsidRPr="0074138E">
        <w:rPr>
          <w:rFonts w:ascii="Times New Roman" w:eastAsia="Times New Roman" w:hAnsi="Times New Roman" w:cs="Times New Roman"/>
          <w:i/>
          <w:iCs/>
          <w:sz w:val="24"/>
          <w:szCs w:val="24"/>
        </w:rPr>
        <w:t>Journal of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277–290. </w:t>
      </w:r>
      <w:hyperlink r:id="rId5082" w:history="1">
        <w:r w:rsidRPr="0074138E">
          <w:rPr>
            <w:rFonts w:ascii="Times New Roman" w:eastAsia="Times New Roman" w:hAnsi="Times New Roman" w:cs="Times New Roman"/>
            <w:color w:val="0000FF"/>
            <w:sz w:val="24"/>
            <w:szCs w:val="24"/>
            <w:u w:val="single"/>
          </w:rPr>
          <w:t>https://doi.org/10.1111/jnp.12085</w:t>
        </w:r>
      </w:hyperlink>
    </w:p>
    <w:p w14:paraId="13D006D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Santiago, O., Guàrdia, J., Casado, V., Carmona, O., &amp; Arbizu, Tx. (2007). Specificity of frontal dysfunctions in relapsing-remitting multiple sclerosis.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(5), 623–629. </w:t>
      </w:r>
      <w:hyperlink r:id="rId5083" w:history="1">
        <w:r w:rsidRPr="0074138E">
          <w:rPr>
            <w:rFonts w:ascii="Times New Roman" w:eastAsia="Times New Roman" w:hAnsi="Times New Roman" w:cs="Times New Roman"/>
            <w:color w:val="0000FF"/>
            <w:sz w:val="24"/>
            <w:szCs w:val="24"/>
            <w:u w:val="single"/>
          </w:rPr>
          <w:t>https://doi.org/10.1016/j.acn.2007.04.003</w:t>
        </w:r>
      </w:hyperlink>
    </w:p>
    <w:p w14:paraId="2EA3FA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Santiago-Mejías, S., López-Valentín, C. M., González-Barrios, P., &amp; Martinez, K. (2019). Evaluating the impact of ataques de nervios on cognitive functioning in Puerto Ricans with anxiety disorders: A pilot study. </w:t>
      </w:r>
      <w:r w:rsidRPr="0074138E">
        <w:rPr>
          <w:rFonts w:ascii="Times New Roman" w:eastAsia="Times New Roman" w:hAnsi="Times New Roman" w:cs="Times New Roman"/>
          <w:i/>
          <w:iCs/>
          <w:sz w:val="24"/>
          <w:szCs w:val="24"/>
        </w:rPr>
        <w:t>Revista Puertorriqueña de Psicología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(2), 210–221.</w:t>
      </w:r>
    </w:p>
    <w:p w14:paraId="63D7162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Santillo, A. F., Skoglund, L., Lindau, M., Eeg-Olofsson, K. E., Tovi, M., Engler, H., Brundin, R.-M., Ingvast, S., Lannfelt, L., Glaser, A., &amp; Kilander, L. (2009). Frontotemporal dementia-amyotrophic lateral sclerosis complex is simulated by neurodegeneration with brain iron accumulation.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(3), 298–300. </w:t>
      </w:r>
      <w:hyperlink r:id="rId5084" w:history="1">
        <w:r w:rsidRPr="0074138E">
          <w:rPr>
            <w:rFonts w:ascii="Times New Roman" w:eastAsia="Times New Roman" w:hAnsi="Times New Roman" w:cs="Times New Roman"/>
            <w:color w:val="0000FF"/>
            <w:sz w:val="24"/>
            <w:szCs w:val="24"/>
            <w:u w:val="single"/>
          </w:rPr>
          <w:t>https://doi.org/10.1097/WAD.0b013e3181a2b76b</w:t>
        </w:r>
      </w:hyperlink>
    </w:p>
    <w:p w14:paraId="4D7A9D4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Santos, J. L., Aparicio, A., Bagney, A., Sánchez‐Morla, E. M., Rodríguez‐Jiménez, R., Mateo, J., &amp; Jiménez‐Arriero, M. Á. (2014). A five‐year follow</w:t>
      </w:r>
      <w:r w:rsidRPr="0074138E">
        <w:rPr>
          <w:rFonts w:ascii="Tahoma" w:eastAsia="Times New Roman" w:hAnsi="Tahoma" w:cs="Tahoma"/>
          <w:sz w:val="24"/>
          <w:szCs w:val="24"/>
        </w:rPr>
        <w:t>���</w:t>
      </w:r>
      <w:r w:rsidRPr="0074138E">
        <w:rPr>
          <w:rFonts w:ascii="Times New Roman" w:eastAsia="Times New Roman" w:hAnsi="Times New Roman" w:cs="Times New Roman"/>
          <w:sz w:val="24"/>
          <w:szCs w:val="24"/>
        </w:rPr>
        <w:t xml:space="preserve">up study of neurocognitive functioning in bipolar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(7), 722–731. </w:t>
      </w:r>
      <w:hyperlink r:id="rId5085" w:history="1">
        <w:r w:rsidRPr="0074138E">
          <w:rPr>
            <w:rFonts w:ascii="Times New Roman" w:eastAsia="Times New Roman" w:hAnsi="Times New Roman" w:cs="Times New Roman"/>
            <w:color w:val="0000FF"/>
            <w:sz w:val="24"/>
            <w:szCs w:val="24"/>
            <w:u w:val="single"/>
          </w:rPr>
          <w:t>https://doi.org/10.1111/bdi.12215</w:t>
        </w:r>
      </w:hyperlink>
    </w:p>
    <w:p w14:paraId="73F194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Santos, R. F., Galduróz, J. C. F., Barbieri, A., Castiglioni, M. L. V., Ytaya, L. Y., &amp; Bueno, O. F. A. (2003). Cognitive Performance, SPECT, and Blood Viscosity in Elderly Non-demented People Using Ginkgo Biloba. </w:t>
      </w:r>
      <w:r w:rsidRPr="0074138E">
        <w:rPr>
          <w:rFonts w:ascii="Times New Roman" w:eastAsia="Times New Roman" w:hAnsi="Times New Roman" w:cs="Times New Roman"/>
          <w:i/>
          <w:iCs/>
          <w:sz w:val="24"/>
          <w:szCs w:val="24"/>
        </w:rPr>
        <w:t>Pharmacopsychiatry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(4), 127–133. </w:t>
      </w:r>
      <w:hyperlink r:id="rId5086" w:history="1">
        <w:r w:rsidRPr="0074138E">
          <w:rPr>
            <w:rFonts w:ascii="Times New Roman" w:eastAsia="Times New Roman" w:hAnsi="Times New Roman" w:cs="Times New Roman"/>
            <w:color w:val="0000FF"/>
            <w:sz w:val="24"/>
            <w:szCs w:val="24"/>
            <w:u w:val="single"/>
          </w:rPr>
          <w:t>https://doi.org/10.1055/s-2003-41197</w:t>
        </w:r>
      </w:hyperlink>
    </w:p>
    <w:p w14:paraId="15E7342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Santoya-Montes, Y., Gutiérrez-Ruiz, K., Cotes, R. Z., &amp; Rozo, P. P. (2020). Two case reports of neuropsychological functioning in congenital insensitivity to pain with anhidrosis (CIPA).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(6), 414–430. </w:t>
      </w:r>
      <w:hyperlink r:id="rId5087" w:history="1">
        <w:r w:rsidRPr="0074138E">
          <w:rPr>
            <w:rFonts w:ascii="Times New Roman" w:eastAsia="Times New Roman" w:hAnsi="Times New Roman" w:cs="Times New Roman"/>
            <w:color w:val="0000FF"/>
            <w:sz w:val="24"/>
            <w:szCs w:val="24"/>
            <w:u w:val="single"/>
          </w:rPr>
          <w:t>https://doi.org/10.1080/87565641.2020.1825719</w:t>
        </w:r>
      </w:hyperlink>
    </w:p>
    <w:p w14:paraId="61C96DC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Sanz de la Torre, J. C., Barrios, M., &amp; Junqué, C. (2005). Frontal lobe alterations in schizophrenia: Neuroimaging and neuropsychological findings.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255</w:t>
      </w:r>
      <w:r w:rsidRPr="0074138E">
        <w:rPr>
          <w:rFonts w:ascii="Times New Roman" w:eastAsia="Times New Roman" w:hAnsi="Times New Roman" w:cs="Times New Roman"/>
          <w:sz w:val="24"/>
          <w:szCs w:val="24"/>
        </w:rPr>
        <w:t xml:space="preserve">(4), 236–244. </w:t>
      </w:r>
      <w:hyperlink r:id="rId5088" w:history="1">
        <w:r w:rsidRPr="0074138E">
          <w:rPr>
            <w:rFonts w:ascii="Times New Roman" w:eastAsia="Times New Roman" w:hAnsi="Times New Roman" w:cs="Times New Roman"/>
            <w:color w:val="0000FF"/>
            <w:sz w:val="24"/>
            <w:szCs w:val="24"/>
            <w:u w:val="single"/>
          </w:rPr>
          <w:t>https://doi.org/10.1007/s00406-004-0552-8</w:t>
        </w:r>
      </w:hyperlink>
    </w:p>
    <w:p w14:paraId="078627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Sanz, M., Molina, V., Calcedo, A., Martin-Loeches, M., &amp; Rubia, F. J. (2001). The Wisconsin Card Sorting Test and the assessment of frontal function in obsessive-compulsive patients: An event-related potential study.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(2), 109–129. </w:t>
      </w:r>
      <w:hyperlink r:id="rId5089" w:history="1">
        <w:r w:rsidRPr="0074138E">
          <w:rPr>
            <w:rFonts w:ascii="Times New Roman" w:eastAsia="Times New Roman" w:hAnsi="Times New Roman" w:cs="Times New Roman"/>
            <w:color w:val="0000FF"/>
            <w:sz w:val="24"/>
            <w:szCs w:val="24"/>
            <w:u w:val="single"/>
          </w:rPr>
          <w:t>https://doi.org/10.1080/13546800042000089</w:t>
        </w:r>
      </w:hyperlink>
    </w:p>
    <w:p w14:paraId="40B713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Sanz-Martin, A., Hernández-González, M., Guevara, M. A., Santana, G., Gumá-Díaz, E., &amp; Amezcua, C. (2012). Effects of alcohol on the performance of the Tower of London task in relation to the menstrual cycle: An electroencephalographic study. </w:t>
      </w:r>
      <w:r w:rsidRPr="0074138E">
        <w:rPr>
          <w:rFonts w:ascii="Times New Roman" w:eastAsia="Times New Roman" w:hAnsi="Times New Roman" w:cs="Times New Roman"/>
          <w:i/>
          <w:iCs/>
          <w:sz w:val="24"/>
          <w:szCs w:val="24"/>
        </w:rPr>
        <w:t>Behavioural 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(7), 637–649. </w:t>
      </w:r>
      <w:hyperlink r:id="rId5090" w:history="1">
        <w:r w:rsidRPr="0074138E">
          <w:rPr>
            <w:rFonts w:ascii="Times New Roman" w:eastAsia="Times New Roman" w:hAnsi="Times New Roman" w:cs="Times New Roman"/>
            <w:color w:val="0000FF"/>
            <w:sz w:val="24"/>
            <w:szCs w:val="24"/>
            <w:u w:val="single"/>
          </w:rPr>
          <w:t>https://doi.org/10.1097/FBP.0b013e3283584748</w:t>
        </w:r>
      </w:hyperlink>
    </w:p>
    <w:p w14:paraId="4A7601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Saoud, M., d’Amato, T., Gutknecht, C., Triboulet, P., Bertaud, J.-P., Marie-Cardine, M., Daléry, J., &amp; Rochet, T. (2000). Neuropsychological deficit in siblings discordant for schizophrenia.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(4), 893–902. </w:t>
      </w:r>
      <w:hyperlink r:id="rId5091" w:history="1">
        <w:r w:rsidRPr="0074138E">
          <w:rPr>
            <w:rFonts w:ascii="Times New Roman" w:eastAsia="Times New Roman" w:hAnsi="Times New Roman" w:cs="Times New Roman"/>
            <w:color w:val="0000FF"/>
            <w:sz w:val="24"/>
            <w:szCs w:val="24"/>
            <w:u w:val="single"/>
          </w:rPr>
          <w:t>https://doi.org/10.1093/oxfordjournals.schbul.a033503</w:t>
        </w:r>
      </w:hyperlink>
    </w:p>
    <w:p w14:paraId="2C287B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Saoud, M., Hueber, T., Mandran, H., Dalery, J., &amp; d’Amato, T. (1998). Olfactory identification deficiency and WCST performance in men with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81</w:t>
      </w:r>
      <w:r w:rsidRPr="0074138E">
        <w:rPr>
          <w:rFonts w:ascii="Times New Roman" w:eastAsia="Times New Roman" w:hAnsi="Times New Roman" w:cs="Times New Roman"/>
          <w:sz w:val="24"/>
          <w:szCs w:val="24"/>
        </w:rPr>
        <w:t xml:space="preserve">(2), 251–257. </w:t>
      </w:r>
      <w:hyperlink r:id="rId5092" w:history="1">
        <w:r w:rsidRPr="0074138E">
          <w:rPr>
            <w:rFonts w:ascii="Times New Roman" w:eastAsia="Times New Roman" w:hAnsi="Times New Roman" w:cs="Times New Roman"/>
            <w:color w:val="0000FF"/>
            <w:sz w:val="24"/>
            <w:szCs w:val="24"/>
            <w:u w:val="single"/>
          </w:rPr>
          <w:t>https://doi.org/10.1016/S0165-1781(98)00104-8</w:t>
        </w:r>
      </w:hyperlink>
    </w:p>
    <w:p w14:paraId="2804FF6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Sarapas, C., Shankman, S. A., Harrow, M., &amp; Goldberg, J. F. (2012). Parsing trait and state effects of depression severity on neurocognition: Evidence from a 26-year longitudinal study. </w:t>
      </w:r>
      <w:r w:rsidRPr="0074138E">
        <w:rPr>
          <w:rFonts w:ascii="Times New Roman" w:eastAsia="Times New Roman" w:hAnsi="Times New Roman" w:cs="Times New Roman"/>
          <w:i/>
          <w:iCs/>
          <w:sz w:val="24"/>
          <w:szCs w:val="24"/>
        </w:rPr>
        <w:t>Journal of Abnormal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121</w:t>
      </w:r>
      <w:r w:rsidRPr="0074138E">
        <w:rPr>
          <w:rFonts w:ascii="Times New Roman" w:eastAsia="Times New Roman" w:hAnsi="Times New Roman" w:cs="Times New Roman"/>
          <w:sz w:val="24"/>
          <w:szCs w:val="24"/>
        </w:rPr>
        <w:t xml:space="preserve">(4), 830–837. </w:t>
      </w:r>
      <w:hyperlink r:id="rId5093" w:history="1">
        <w:r w:rsidRPr="0074138E">
          <w:rPr>
            <w:rFonts w:ascii="Times New Roman" w:eastAsia="Times New Roman" w:hAnsi="Times New Roman" w:cs="Times New Roman"/>
            <w:color w:val="0000FF"/>
            <w:sz w:val="24"/>
            <w:szCs w:val="24"/>
            <w:u w:val="single"/>
          </w:rPr>
          <w:t>https://doi.org/10.1037/a0028141</w:t>
        </w:r>
      </w:hyperlink>
    </w:p>
    <w:p w14:paraId="62C70B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Saresella, M., Calabrese, E., Marventano, I., Piancone, F., Gatti, A., Calvo, M. G., Nemni, R., &amp; Clerici, M. (2010). PD1 negative and PD1 positive CD4+ T regulatory cells in mild cognitive impairment and Alzheimer’s disease.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(3), 927–938.</w:t>
      </w:r>
    </w:p>
    <w:p w14:paraId="09087C1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Sarfati, Y., Passerieux, C., &amp; Hardy-Baylé, M.-C. (2000). Can verbalization remedy the theory of mind deficit in schizophrenia? </w:t>
      </w:r>
      <w:r w:rsidRPr="0074138E">
        <w:rPr>
          <w:rFonts w:ascii="Times New Roman" w:eastAsia="Times New Roman" w:hAnsi="Times New Roman" w:cs="Times New Roman"/>
          <w:i/>
          <w:iCs/>
          <w:sz w:val="24"/>
          <w:szCs w:val="24"/>
        </w:rPr>
        <w:t>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(5), 246–251. </w:t>
      </w:r>
      <w:hyperlink r:id="rId5094" w:history="1">
        <w:r w:rsidRPr="0074138E">
          <w:rPr>
            <w:rFonts w:ascii="Times New Roman" w:eastAsia="Times New Roman" w:hAnsi="Times New Roman" w:cs="Times New Roman"/>
            <w:color w:val="0000FF"/>
            <w:sz w:val="24"/>
            <w:szCs w:val="24"/>
            <w:u w:val="single"/>
          </w:rPr>
          <w:t>https://doi.org/10.1159/000029153</w:t>
        </w:r>
      </w:hyperlink>
    </w:p>
    <w:p w14:paraId="258E05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Sarkari, S. (2003). </w:t>
      </w:r>
      <w:r w:rsidRPr="0074138E">
        <w:rPr>
          <w:rFonts w:ascii="Times New Roman" w:eastAsia="Times New Roman" w:hAnsi="Times New Roman" w:cs="Times New Roman"/>
          <w:i/>
          <w:iCs/>
          <w:sz w:val="24"/>
          <w:szCs w:val="24"/>
        </w:rPr>
        <w:t>Do verbal working memory and reconstitution differentiate children with AD/HD. hyperactive-impulsive/combined type from children with ad/hd—Predominantly inattentive type and controls?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(7-B), 3483–3483.</w:t>
      </w:r>
    </w:p>
    <w:p w14:paraId="54731C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Sarma, M. K., Huda, A., Nagarajan, R., Hinkin, C. H., Wilson, N., Gupta, R. K., Frias-Martinez, E., Sayre, J., Guze, B., Han, S.-H., &amp; Thomas, M. A. (2011). Multi-dimensional MR spectroscopy: Towards a better understanding of hepatic encephalopathy. </w:t>
      </w:r>
      <w:r w:rsidRPr="0074138E">
        <w:rPr>
          <w:rFonts w:ascii="Times New Roman" w:eastAsia="Times New Roman" w:hAnsi="Times New Roman" w:cs="Times New Roman"/>
          <w:i/>
          <w:iCs/>
          <w:sz w:val="24"/>
          <w:szCs w:val="24"/>
        </w:rPr>
        <w:t>Metabolic Brain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(3), 173–184. </w:t>
      </w:r>
      <w:hyperlink r:id="rId5095" w:history="1">
        <w:r w:rsidRPr="0074138E">
          <w:rPr>
            <w:rFonts w:ascii="Times New Roman" w:eastAsia="Times New Roman" w:hAnsi="Times New Roman" w:cs="Times New Roman"/>
            <w:color w:val="0000FF"/>
            <w:sz w:val="24"/>
            <w:szCs w:val="24"/>
            <w:u w:val="single"/>
          </w:rPr>
          <w:t>https://doi.org/10.1007/s11011-011-9250-1</w:t>
        </w:r>
      </w:hyperlink>
    </w:p>
    <w:p w14:paraId="5F2609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Sarrar, L., Ehrlich, S., Merle, J. V., Pfeiffer, E., Lehmkuhl, U., &amp; Schneider, N. (2011). Cognitive flexibility and Agouti-related protein in adolescent patients with anorexia nervosa. </w:t>
      </w:r>
      <w:r w:rsidRPr="0074138E">
        <w:rPr>
          <w:rFonts w:ascii="Times New Roman" w:eastAsia="Times New Roman" w:hAnsi="Times New Roman" w:cs="Times New Roman"/>
          <w:i/>
          <w:iCs/>
          <w:sz w:val="24"/>
          <w:szCs w:val="24"/>
        </w:rPr>
        <w:t>Psychoneuroendocrinology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(9), 1396–1406. </w:t>
      </w:r>
      <w:hyperlink r:id="rId5096" w:history="1">
        <w:r w:rsidRPr="0074138E">
          <w:rPr>
            <w:rFonts w:ascii="Times New Roman" w:eastAsia="Times New Roman" w:hAnsi="Times New Roman" w:cs="Times New Roman"/>
            <w:color w:val="0000FF"/>
            <w:sz w:val="24"/>
            <w:szCs w:val="24"/>
            <w:u w:val="single"/>
          </w:rPr>
          <w:t>https://doi.org/10.1016/j.psyneuen.2011.03.014</w:t>
        </w:r>
      </w:hyperlink>
    </w:p>
    <w:p w14:paraId="514159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Sartori, E., Belliard, S., Chevrier, C., Trebon, P., Chaperon, J., &amp; Edan, G. (2006). De la psychométrie au handicap neuropsychologique dans la sclérose en plaques. Proposition d’une batterie de dépistage en langue française et facteurs de risque cognitifs. [From psychometry to neuropsychological disability in multiple sclerosis: A new bri.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162</w:t>
      </w:r>
      <w:r w:rsidRPr="0074138E">
        <w:rPr>
          <w:rFonts w:ascii="Times New Roman" w:eastAsia="Times New Roman" w:hAnsi="Times New Roman" w:cs="Times New Roman"/>
          <w:sz w:val="24"/>
          <w:szCs w:val="24"/>
        </w:rPr>
        <w:t xml:space="preserve">(5), 603–615. </w:t>
      </w:r>
      <w:hyperlink r:id="rId5097" w:history="1">
        <w:r w:rsidRPr="0074138E">
          <w:rPr>
            <w:rFonts w:ascii="Times New Roman" w:eastAsia="Times New Roman" w:hAnsi="Times New Roman" w:cs="Times New Roman"/>
            <w:color w:val="0000FF"/>
            <w:sz w:val="24"/>
            <w:szCs w:val="24"/>
            <w:u w:val="single"/>
          </w:rPr>
          <w:t>https://doi.org/10.1016/S0035-3787(06)75054-8</w:t>
        </w:r>
      </w:hyperlink>
    </w:p>
    <w:p w14:paraId="530E7AA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Sartori, E., &amp; Edan, G. (2006). Assessment of cognitive dysfunction in multiple sclerosis.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245</w:t>
      </w:r>
      <w:r w:rsidRPr="0074138E">
        <w:rPr>
          <w:rFonts w:ascii="Times New Roman" w:eastAsia="Times New Roman" w:hAnsi="Times New Roman" w:cs="Times New Roman"/>
          <w:sz w:val="24"/>
          <w:szCs w:val="24"/>
        </w:rPr>
        <w:t xml:space="preserve">(1–2), 169–175. </w:t>
      </w:r>
      <w:hyperlink r:id="rId5098" w:history="1">
        <w:r w:rsidRPr="0074138E">
          <w:rPr>
            <w:rFonts w:ascii="Times New Roman" w:eastAsia="Times New Roman" w:hAnsi="Times New Roman" w:cs="Times New Roman"/>
            <w:color w:val="0000FF"/>
            <w:sz w:val="24"/>
            <w:szCs w:val="24"/>
            <w:u w:val="single"/>
          </w:rPr>
          <w:t>https://doi.org/10.1016/j.jns.2005.07.016</w:t>
        </w:r>
      </w:hyperlink>
    </w:p>
    <w:p w14:paraId="6D8392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Sartory, G., Thom, A., Griese, J., Young, D., Butorac, M., Pokraja-Bulian, A., &amp; Sendula, M. (2001). Lack of insight and concomitant neuropsychological deficits in schizophrenia. </w:t>
      </w:r>
      <w:r w:rsidRPr="0074138E">
        <w:rPr>
          <w:rFonts w:ascii="Times New Roman" w:eastAsia="Times New Roman" w:hAnsi="Times New Roman" w:cs="Times New Roman"/>
          <w:i/>
          <w:iCs/>
          <w:sz w:val="24"/>
          <w:szCs w:val="24"/>
        </w:rPr>
        <w:t>Zeitschrift Für Neuropsychologie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(1), 54–60. </w:t>
      </w:r>
      <w:hyperlink r:id="rId5099" w:history="1">
        <w:r w:rsidRPr="0074138E">
          <w:rPr>
            <w:rFonts w:ascii="Times New Roman" w:eastAsia="Times New Roman" w:hAnsi="Times New Roman" w:cs="Times New Roman"/>
            <w:color w:val="0000FF"/>
            <w:sz w:val="24"/>
            <w:szCs w:val="24"/>
            <w:u w:val="single"/>
          </w:rPr>
          <w:t>https://doi.org/10.1024//1016-264X.12.1.54</w:t>
        </w:r>
      </w:hyperlink>
    </w:p>
    <w:p w14:paraId="6BAAAA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Sasabayashi, D., Takayanagi, Y., Nishiyama, S., Takahashi, T., Furuichi, A., Kido, M., Nishikawa, Y., Nakamura, M., Noguchi, K., &amp; Suzuki, M. (2017). Increased frontal gyrification negatively correlates with executive function in patients with first-episode schizophrenia. </w:t>
      </w:r>
      <w:r w:rsidRPr="0074138E">
        <w:rPr>
          <w:rFonts w:ascii="Times New Roman" w:eastAsia="Times New Roman" w:hAnsi="Times New Roman" w:cs="Times New Roman"/>
          <w:i/>
          <w:iCs/>
          <w:sz w:val="24"/>
          <w:szCs w:val="24"/>
        </w:rPr>
        <w:t>Cerebral Cortex</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(4), 2686–2694.</w:t>
      </w:r>
    </w:p>
    <w:p w14:paraId="0D518D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Sasada, K., Iwamoto, K., Kawano, N., Kohmura, K., Yamamoto, M., Aleksic, B., Ebe, K., Noda, Y., &amp; Ozaki, N. (2013). Effects of repeated dosing with mirtazapine, trazodone, or placebo on driving performance and cognitive function in healthy volunteers.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(3), 281–286. </w:t>
      </w:r>
      <w:hyperlink r:id="rId5100" w:history="1">
        <w:r w:rsidRPr="0074138E">
          <w:rPr>
            <w:rFonts w:ascii="Times New Roman" w:eastAsia="Times New Roman" w:hAnsi="Times New Roman" w:cs="Times New Roman"/>
            <w:color w:val="0000FF"/>
            <w:sz w:val="24"/>
            <w:szCs w:val="24"/>
            <w:u w:val="single"/>
          </w:rPr>
          <w:t>https://doi.org/10.1002/hup.2321</w:t>
        </w:r>
      </w:hyperlink>
    </w:p>
    <w:p w14:paraId="0CB9A86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Satish, U., Streufert, S., &amp; Eslinger, P. J. (2006). Measuring executive function deficits following head injury: An application of SMS simulation technology. </w:t>
      </w:r>
      <w:r w:rsidRPr="0074138E">
        <w:rPr>
          <w:rFonts w:ascii="Times New Roman" w:eastAsia="Times New Roman" w:hAnsi="Times New Roman" w:cs="Times New Roman"/>
          <w:i/>
          <w:iCs/>
          <w:sz w:val="24"/>
          <w:szCs w:val="24"/>
        </w:rPr>
        <w:t>The Psychological Record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(2), 181–190.</w:t>
      </w:r>
    </w:p>
    <w:p w14:paraId="497E0A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Satler, C., &amp; Tomaz, C. (2013). Cognitive anosognosia and behavioral changes in probable Alzheimer’s disease patients.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(2), 197–205. </w:t>
      </w:r>
      <w:hyperlink r:id="rId5101" w:history="1">
        <w:r w:rsidRPr="0074138E">
          <w:rPr>
            <w:rFonts w:ascii="Times New Roman" w:eastAsia="Times New Roman" w:hAnsi="Times New Roman" w:cs="Times New Roman"/>
            <w:color w:val="0000FF"/>
            <w:sz w:val="24"/>
            <w:szCs w:val="24"/>
            <w:u w:val="single"/>
          </w:rPr>
          <w:t>https://doi.org/10.1590/S1980-57642013DN70200010</w:t>
        </w:r>
      </w:hyperlink>
    </w:p>
    <w:p w14:paraId="03527D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 J. R., de Oliveira-Souza, R., Thomaz, C. E., Basílio, R., Bramati, I. E., Amaro Jr., E., Tovar-Moll, F., Hare, R. D., &amp; Moll, J. (2011). Identification of psychopathic individuals using pattern classification of MRI images. </w:t>
      </w:r>
      <w:r w:rsidRPr="0074138E">
        <w:rPr>
          <w:rFonts w:ascii="Times New Roman" w:eastAsia="Times New Roman" w:hAnsi="Times New Roman" w:cs="Times New Roman"/>
          <w:i/>
          <w:iCs/>
          <w:sz w:val="24"/>
          <w:szCs w:val="24"/>
        </w:rPr>
        <w:t>Social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(5–6), 627–639. </w:t>
      </w:r>
      <w:hyperlink r:id="rId5102" w:history="1">
        <w:r w:rsidRPr="0074138E">
          <w:rPr>
            <w:rFonts w:ascii="Times New Roman" w:eastAsia="Times New Roman" w:hAnsi="Times New Roman" w:cs="Times New Roman"/>
            <w:color w:val="0000FF"/>
            <w:sz w:val="24"/>
            <w:szCs w:val="24"/>
            <w:u w:val="single"/>
          </w:rPr>
          <w:t>https://doi.org/10.1080/17470919.2011.562687</w:t>
        </w:r>
      </w:hyperlink>
    </w:p>
    <w:p w14:paraId="0EAAB5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 R., Tanaka, A., Hosokawa, T., &amp; Murai, N. (1998). Characteristics of perseverative errors by school-age children. </w:t>
      </w:r>
      <w:r w:rsidRPr="0074138E">
        <w:rPr>
          <w:rFonts w:ascii="Times New Roman" w:eastAsia="Times New Roman" w:hAnsi="Times New Roman" w:cs="Times New Roman"/>
          <w:i/>
          <w:iCs/>
          <w:sz w:val="24"/>
          <w:szCs w:val="24"/>
        </w:rPr>
        <w:t>Psychological Reports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83</w:t>
      </w:r>
      <w:r w:rsidRPr="0074138E">
        <w:rPr>
          <w:rFonts w:ascii="Times New Roman" w:eastAsia="Times New Roman" w:hAnsi="Times New Roman" w:cs="Times New Roman"/>
          <w:sz w:val="24"/>
          <w:szCs w:val="24"/>
        </w:rPr>
        <w:t xml:space="preserve">(3, Pt 1), 1075–1080. </w:t>
      </w:r>
      <w:hyperlink r:id="rId5103" w:history="1">
        <w:r w:rsidRPr="0074138E">
          <w:rPr>
            <w:rFonts w:ascii="Times New Roman" w:eastAsia="Times New Roman" w:hAnsi="Times New Roman" w:cs="Times New Roman"/>
            <w:color w:val="0000FF"/>
            <w:sz w:val="24"/>
            <w:szCs w:val="24"/>
            <w:u w:val="single"/>
          </w:rPr>
          <w:t>https://doi.org/10.2466/PR0.83.7.1075-1080</w:t>
        </w:r>
      </w:hyperlink>
    </w:p>
    <w:p w14:paraId="460871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 Y., Saito, N., Utsumi, A., Aizawa, E., Shoji, T., Izumiyama, M., Mushiake, H., Hongo, M., &amp; Fukudo, S. (2013). Neural basis of impaired cognitive flexibility in patients with anorexia nervosa.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(5). </w:t>
      </w:r>
      <w:hyperlink r:id="rId5104" w:history="1">
        <w:r w:rsidRPr="0074138E">
          <w:rPr>
            <w:rFonts w:ascii="Times New Roman" w:eastAsia="Times New Roman" w:hAnsi="Times New Roman" w:cs="Times New Roman"/>
            <w:color w:val="0000FF"/>
            <w:sz w:val="24"/>
            <w:szCs w:val="24"/>
            <w:u w:val="single"/>
          </w:rPr>
          <w:t>https://doi.org/10.1371/journal.pone.0061108</w:t>
        </w:r>
      </w:hyperlink>
    </w:p>
    <w:p w14:paraId="4CE63A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Satoer, D., Kloet, A., Vincent, A., Dirven, C., &amp; Visch-Brink, E. (2014). Dynamic aphasia following low-grade glioma surgery near the supplementary motor area: A selective spontaneous speech deficit.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704–716. </w:t>
      </w:r>
      <w:hyperlink r:id="rId5105" w:history="1">
        <w:r w:rsidRPr="0074138E">
          <w:rPr>
            <w:rFonts w:ascii="Times New Roman" w:eastAsia="Times New Roman" w:hAnsi="Times New Roman" w:cs="Times New Roman"/>
            <w:color w:val="0000FF"/>
            <w:sz w:val="24"/>
            <w:szCs w:val="24"/>
            <w:u w:val="single"/>
          </w:rPr>
          <w:t>https://doi.org/10.1080/13554794.2013.841954</w:t>
        </w:r>
      </w:hyperlink>
    </w:p>
    <w:p w14:paraId="3765936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Saulnier, C. A. ;, &amp; Ventola, P. E. (2012). </w:t>
      </w:r>
      <w:r w:rsidRPr="0074138E">
        <w:rPr>
          <w:rFonts w:ascii="Times New Roman" w:eastAsia="Times New Roman" w:hAnsi="Times New Roman" w:cs="Times New Roman"/>
          <w:i/>
          <w:iCs/>
          <w:sz w:val="24"/>
          <w:szCs w:val="24"/>
        </w:rPr>
        <w:t>Essentials of autism spectrum disorders evaluation and assessment.</w:t>
      </w:r>
      <w:r w:rsidRPr="0074138E">
        <w:rPr>
          <w:rFonts w:ascii="Times New Roman" w:eastAsia="Times New Roman" w:hAnsi="Times New Roman" w:cs="Times New Roman"/>
          <w:sz w:val="24"/>
          <w:szCs w:val="24"/>
        </w:rPr>
        <w:t xml:space="preserve"> (p. 222).</w:t>
      </w:r>
    </w:p>
    <w:p w14:paraId="4ED3C1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Saunders, N. L. J., &amp; Summers, M. J. (2010). Attention and working memory deficits in mild cognitive impairment.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(4), 350–357. </w:t>
      </w:r>
      <w:hyperlink r:id="rId5106" w:history="1">
        <w:r w:rsidRPr="0074138E">
          <w:rPr>
            <w:rFonts w:ascii="Times New Roman" w:eastAsia="Times New Roman" w:hAnsi="Times New Roman" w:cs="Times New Roman"/>
            <w:color w:val="0000FF"/>
            <w:sz w:val="24"/>
            <w:szCs w:val="24"/>
            <w:u w:val="single"/>
          </w:rPr>
          <w:t>https://doi.org/10.1080/13803390903042379</w:t>
        </w:r>
      </w:hyperlink>
    </w:p>
    <w:p w14:paraId="2CA9023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Sautter, F. J., McDermott, B. E., Cornwell, J. M., Borges, A., Johnson, J., Vasterling, J. J., &amp; Marcontell, D. K. (1997). A comparison of neuropsychological deficits in familial schizophrenics, nonfamilial schizophrenics, and normal controls.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185</w:t>
      </w:r>
      <w:r w:rsidRPr="0074138E">
        <w:rPr>
          <w:rFonts w:ascii="Times New Roman" w:eastAsia="Times New Roman" w:hAnsi="Times New Roman" w:cs="Times New Roman"/>
          <w:sz w:val="24"/>
          <w:szCs w:val="24"/>
        </w:rPr>
        <w:t xml:space="preserve">(10), 641–644. </w:t>
      </w:r>
      <w:hyperlink r:id="rId5107" w:history="1">
        <w:r w:rsidRPr="0074138E">
          <w:rPr>
            <w:rFonts w:ascii="Times New Roman" w:eastAsia="Times New Roman" w:hAnsi="Times New Roman" w:cs="Times New Roman"/>
            <w:color w:val="0000FF"/>
            <w:sz w:val="24"/>
            <w:szCs w:val="24"/>
            <w:u w:val="single"/>
          </w:rPr>
          <w:t>https://doi.org/10.1097/00005053-199710000-00009</w:t>
        </w:r>
      </w:hyperlink>
    </w:p>
    <w:p w14:paraId="6AC62B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Savage, K. R., &amp; Svoboda, E. (2013). Long-term benefits of the Memory-Link programme in a case of amnesia. </w:t>
      </w:r>
      <w:r w:rsidRPr="0074138E">
        <w:rPr>
          <w:rFonts w:ascii="Times New Roman" w:eastAsia="Times New Roman" w:hAnsi="Times New Roman" w:cs="Times New Roman"/>
          <w:i/>
          <w:iCs/>
          <w:sz w:val="24"/>
          <w:szCs w:val="24"/>
        </w:rPr>
        <w:t>Clinical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(6), 521–526. </w:t>
      </w:r>
      <w:hyperlink r:id="rId5108" w:history="1">
        <w:r w:rsidRPr="0074138E">
          <w:rPr>
            <w:rFonts w:ascii="Times New Roman" w:eastAsia="Times New Roman" w:hAnsi="Times New Roman" w:cs="Times New Roman"/>
            <w:color w:val="0000FF"/>
            <w:sz w:val="24"/>
            <w:szCs w:val="24"/>
            <w:u w:val="single"/>
          </w:rPr>
          <w:t>https://doi.org/10.1177/0269215512464230</w:t>
        </w:r>
      </w:hyperlink>
    </w:p>
    <w:p w14:paraId="4F7ED6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Savage, S. A., Butler, C. R., Hodges, J. R., &amp; Zeman, A. Z. (2016). Transient Epileptic Amnesia over twenty years: Long-term follow-up of a case series with three detailed reports. </w:t>
      </w:r>
      <w:r w:rsidRPr="0074138E">
        <w:rPr>
          <w:rFonts w:ascii="Times New Roman" w:eastAsia="Times New Roman" w:hAnsi="Times New Roman" w:cs="Times New Roman"/>
          <w:i/>
          <w:iCs/>
          <w:sz w:val="24"/>
          <w:szCs w:val="24"/>
        </w:rPr>
        <w:t>Seizure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 48–55. </w:t>
      </w:r>
      <w:hyperlink r:id="rId5109" w:history="1">
        <w:r w:rsidRPr="0074138E">
          <w:rPr>
            <w:rFonts w:ascii="Times New Roman" w:eastAsia="Times New Roman" w:hAnsi="Times New Roman" w:cs="Times New Roman"/>
            <w:color w:val="0000FF"/>
            <w:sz w:val="24"/>
            <w:szCs w:val="24"/>
            <w:u w:val="single"/>
          </w:rPr>
          <w:t>https://doi.org/10.1016/j.seizure.2016.10.022</w:t>
        </w:r>
      </w:hyperlink>
    </w:p>
    <w:p w14:paraId="4FE70FA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Savitz, J. B., &amp; Ramesar, R. S. (2004). Genetic variants implicated in personality: A review of the more promising candidates.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131B</w:t>
      </w:r>
      <w:r w:rsidRPr="0074138E">
        <w:rPr>
          <w:rFonts w:ascii="Times New Roman" w:eastAsia="Times New Roman" w:hAnsi="Times New Roman" w:cs="Times New Roman"/>
          <w:sz w:val="24"/>
          <w:szCs w:val="24"/>
        </w:rPr>
        <w:t xml:space="preserve">(1), 20–32. </w:t>
      </w:r>
      <w:hyperlink r:id="rId5110" w:history="1">
        <w:r w:rsidRPr="0074138E">
          <w:rPr>
            <w:rFonts w:ascii="Times New Roman" w:eastAsia="Times New Roman" w:hAnsi="Times New Roman" w:cs="Times New Roman"/>
            <w:color w:val="0000FF"/>
            <w:sz w:val="24"/>
            <w:szCs w:val="24"/>
            <w:u w:val="single"/>
          </w:rPr>
          <w:t>https://doi.org/10.1002/ajmg.b.20155</w:t>
        </w:r>
      </w:hyperlink>
    </w:p>
    <w:p w14:paraId="6E4FA2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Savitz, J., van der Merwe, L., Solms, M., &amp; Ramesar, R. (2007). Neurocognitive function in an extended Afrikaner-ancestry family with affective illness.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(2), 116–120.</w:t>
      </w:r>
    </w:p>
    <w:p w14:paraId="001245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Savitz, J., van der Merwe, L., Stein, D. J., Solms, M., &amp; Ramesar, R. (2009). Neuropsychological status of bipolar I disorder: Impact of psychosis. </w:t>
      </w:r>
      <w:r w:rsidRPr="0074138E">
        <w:rPr>
          <w:rFonts w:ascii="Times New Roman" w:eastAsia="Times New Roman" w:hAnsi="Times New Roman" w:cs="Times New Roman"/>
          <w:i/>
          <w:iCs/>
          <w:sz w:val="24"/>
          <w:szCs w:val="24"/>
        </w:rPr>
        <w:t>The British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194</w:t>
      </w:r>
      <w:r w:rsidRPr="0074138E">
        <w:rPr>
          <w:rFonts w:ascii="Times New Roman" w:eastAsia="Times New Roman" w:hAnsi="Times New Roman" w:cs="Times New Roman"/>
          <w:sz w:val="24"/>
          <w:szCs w:val="24"/>
        </w:rPr>
        <w:t xml:space="preserve">(3), 243–251. </w:t>
      </w:r>
      <w:hyperlink r:id="rId5111" w:history="1">
        <w:r w:rsidRPr="0074138E">
          <w:rPr>
            <w:rFonts w:ascii="Times New Roman" w:eastAsia="Times New Roman" w:hAnsi="Times New Roman" w:cs="Times New Roman"/>
            <w:color w:val="0000FF"/>
            <w:sz w:val="24"/>
            <w:szCs w:val="24"/>
            <w:u w:val="single"/>
          </w:rPr>
          <w:t>https://doi.org/10.1192/bjp.bp.108.052001</w:t>
        </w:r>
      </w:hyperlink>
    </w:p>
    <w:p w14:paraId="580AD89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Sawada, Y., Nishio, Y., Suzuki, K., Hirayama, K., Takeda, A., Hosokai, Y., Ishioka, T., Itoyama, Y., Takahashi, S., Fukuda, H., &amp; Mori, E. (2012). Attentional set-shifting deficit in Parkinson’s disease is associated with prefrontal dysfunction: An FDG-PET study.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(6). </w:t>
      </w:r>
      <w:hyperlink r:id="rId5112" w:history="1">
        <w:r w:rsidRPr="0074138E">
          <w:rPr>
            <w:rFonts w:ascii="Times New Roman" w:eastAsia="Times New Roman" w:hAnsi="Times New Roman" w:cs="Times New Roman"/>
            <w:color w:val="0000FF"/>
            <w:sz w:val="24"/>
            <w:szCs w:val="24"/>
            <w:u w:val="single"/>
          </w:rPr>
          <w:t>https://doi.org/10.1371/journal.pone.0038498</w:t>
        </w:r>
      </w:hyperlink>
    </w:p>
    <w:p w14:paraId="33245D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Saydam, R. B., Ayvaşık, H. B., &amp; Alyanak, B. (2015). Executive functioning in subtypes of attention deficit hyperactivity disorder. </w:t>
      </w:r>
      <w:r w:rsidRPr="0074138E">
        <w:rPr>
          <w:rFonts w:ascii="Times New Roman" w:eastAsia="Times New Roman" w:hAnsi="Times New Roman" w:cs="Times New Roman"/>
          <w:i/>
          <w:iCs/>
          <w:sz w:val="24"/>
          <w:szCs w:val="24"/>
        </w:rPr>
        <w:t>Nöropsikiyatri Arşivi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(4), 386–392. </w:t>
      </w:r>
      <w:hyperlink r:id="rId5113" w:history="1">
        <w:r w:rsidRPr="0074138E">
          <w:rPr>
            <w:rFonts w:ascii="Times New Roman" w:eastAsia="Times New Roman" w:hAnsi="Times New Roman" w:cs="Times New Roman"/>
            <w:color w:val="0000FF"/>
            <w:sz w:val="24"/>
            <w:szCs w:val="24"/>
            <w:u w:val="single"/>
          </w:rPr>
          <w:t>https://doi.org/10.5152/npa.2015.8712</w:t>
        </w:r>
      </w:hyperlink>
    </w:p>
    <w:p w14:paraId="15229DB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Sayers, N., Oliver, C., Ruddick, L., &amp; Wallis, B. (2011). Stereotyped behaviour in children with autism and intellectual disability: An examination of the executive dysfunction hypothesis.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(7), 699–709. </w:t>
      </w:r>
      <w:hyperlink r:id="rId5114" w:history="1">
        <w:r w:rsidRPr="0074138E">
          <w:rPr>
            <w:rFonts w:ascii="Times New Roman" w:eastAsia="Times New Roman" w:hAnsi="Times New Roman" w:cs="Times New Roman"/>
            <w:color w:val="0000FF"/>
            <w:sz w:val="24"/>
            <w:szCs w:val="24"/>
            <w:u w:val="single"/>
          </w:rPr>
          <w:t>https://doi.org/10.1111/j.1365-2788.2010.01370.x</w:t>
        </w:r>
      </w:hyperlink>
    </w:p>
    <w:p w14:paraId="6C081B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Saykin, A. J., Shtasel, D. L., Gur, R. E., Kester, D. B., Mozley, L. H., Stafiniak, P., &amp; Gur, R. C. (1994). Neuropsychological deficits in neuroleptic naive patients with first-episode schizophrenia.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51</w:t>
      </w:r>
      <w:r w:rsidRPr="0074138E">
        <w:rPr>
          <w:rFonts w:ascii="Times New Roman" w:eastAsia="Times New Roman" w:hAnsi="Times New Roman" w:cs="Times New Roman"/>
          <w:sz w:val="24"/>
          <w:szCs w:val="24"/>
        </w:rPr>
        <w:t xml:space="preserve">(2), 124–131. </w:t>
      </w:r>
      <w:hyperlink r:id="rId5115" w:history="1">
        <w:r w:rsidRPr="0074138E">
          <w:rPr>
            <w:rFonts w:ascii="Times New Roman" w:eastAsia="Times New Roman" w:hAnsi="Times New Roman" w:cs="Times New Roman"/>
            <w:color w:val="0000FF"/>
            <w:sz w:val="24"/>
            <w:szCs w:val="24"/>
            <w:u w:val="single"/>
          </w:rPr>
          <w:t>https://doi.org/10.1001/archpsyc.1994.03950020048005</w:t>
        </w:r>
      </w:hyperlink>
    </w:p>
    <w:p w14:paraId="0E0BC2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Saykin, A. J., Wishart, H. A., Rabin, L. A., Santulli, R. B., Flashman, L. A., West, J. D., McHugh, T. L., &amp; Mamourian, A. C. (2006). Older adults with cognitive complaints show brain atrophy similar to that of amnestic MCI.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(5), 834–842. </w:t>
      </w:r>
      <w:hyperlink r:id="rId5116" w:history="1">
        <w:r w:rsidRPr="0074138E">
          <w:rPr>
            <w:rFonts w:ascii="Times New Roman" w:eastAsia="Times New Roman" w:hAnsi="Times New Roman" w:cs="Times New Roman"/>
            <w:color w:val="0000FF"/>
            <w:sz w:val="24"/>
            <w:szCs w:val="24"/>
            <w:u w:val="single"/>
          </w:rPr>
          <w:t>https://doi.org/10.1212/01.wnl.0000234032.77541.a2</w:t>
        </w:r>
      </w:hyperlink>
    </w:p>
    <w:p w14:paraId="7422E9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Saylik, R., Raman, E., &amp; Szameitat, A. J. (2018). Sex differences in emotion recognition and working memory tasks.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 </w:t>
      </w:r>
      <w:hyperlink r:id="rId5117" w:history="1">
        <w:r w:rsidRPr="0074138E">
          <w:rPr>
            <w:rFonts w:ascii="Times New Roman" w:eastAsia="Times New Roman" w:hAnsi="Times New Roman" w:cs="Times New Roman"/>
            <w:color w:val="0000FF"/>
            <w:sz w:val="24"/>
            <w:szCs w:val="24"/>
            <w:u w:val="single"/>
          </w:rPr>
          <w:t>https://doi.org/10.3389/fpsyg.2018.01072</w:t>
        </w:r>
      </w:hyperlink>
    </w:p>
    <w:p w14:paraId="7A70C6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Sbordone, R. J. (2010a). Ecological validity issues that arise in medi-legal cases when neuropsychologists are asked to assess patients with traumatic brain injuries. In </w:t>
      </w:r>
      <w:r w:rsidRPr="0074138E">
        <w:rPr>
          <w:rFonts w:ascii="Times New Roman" w:eastAsia="Times New Roman" w:hAnsi="Times New Roman" w:cs="Times New Roman"/>
          <w:i/>
          <w:iCs/>
          <w:sz w:val="24"/>
          <w:szCs w:val="24"/>
        </w:rPr>
        <w:t>Handbook of forensic neuropsychology, 2nd ed.</w:t>
      </w:r>
      <w:r w:rsidRPr="0074138E">
        <w:rPr>
          <w:rFonts w:ascii="Times New Roman" w:eastAsia="Times New Roman" w:hAnsi="Times New Roman" w:cs="Times New Roman"/>
          <w:sz w:val="24"/>
          <w:szCs w:val="24"/>
        </w:rPr>
        <w:t xml:space="preserve"> (pp. 381–408). Springer Publishing Company.</w:t>
      </w:r>
    </w:p>
    <w:p w14:paraId="537BF2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Sbordone, R. J. (2010b). Neuropsychological tests are poor at assessing the frontal lobes, executive functions, and neurobehavioral symptoms of traumatically brain-injured patients. </w:t>
      </w:r>
      <w:r w:rsidRPr="0074138E">
        <w:rPr>
          <w:rFonts w:ascii="Times New Roman" w:eastAsia="Times New Roman" w:hAnsi="Times New Roman" w:cs="Times New Roman"/>
          <w:i/>
          <w:iCs/>
          <w:sz w:val="24"/>
          <w:szCs w:val="24"/>
        </w:rPr>
        <w:t>Psychological Injury and Law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(1), 25–35. </w:t>
      </w:r>
      <w:hyperlink r:id="rId5118" w:history="1">
        <w:r w:rsidRPr="0074138E">
          <w:rPr>
            <w:rFonts w:ascii="Times New Roman" w:eastAsia="Times New Roman" w:hAnsi="Times New Roman" w:cs="Times New Roman"/>
            <w:color w:val="0000FF"/>
            <w:sz w:val="24"/>
            <w:szCs w:val="24"/>
            <w:u w:val="single"/>
          </w:rPr>
          <w:t>https://doi.org/10.1007/s12207-010-9068-x</w:t>
        </w:r>
      </w:hyperlink>
    </w:p>
    <w:p w14:paraId="551C3F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Scala, S., Lasalvia, A., Cristofalo, D., Bonetto, C., &amp; Ruggeri, M. (2012). Neurocognitive profile and its association with psychopathology in first-degree relatives of patients with schizophrenia. A case-control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200</w:t>
      </w:r>
      <w:r w:rsidRPr="0074138E">
        <w:rPr>
          <w:rFonts w:ascii="Times New Roman" w:eastAsia="Times New Roman" w:hAnsi="Times New Roman" w:cs="Times New Roman"/>
          <w:sz w:val="24"/>
          <w:szCs w:val="24"/>
        </w:rPr>
        <w:t xml:space="preserve">(2–3), 137–143. </w:t>
      </w:r>
      <w:hyperlink r:id="rId5119" w:history="1">
        <w:r w:rsidRPr="0074138E">
          <w:rPr>
            <w:rFonts w:ascii="Times New Roman" w:eastAsia="Times New Roman" w:hAnsi="Times New Roman" w:cs="Times New Roman"/>
            <w:color w:val="0000FF"/>
            <w:sz w:val="24"/>
            <w:szCs w:val="24"/>
            <w:u w:val="single"/>
          </w:rPr>
          <w:t>https://doi.org/10.1016/j.psychres.2012.05.006</w:t>
        </w:r>
      </w:hyperlink>
    </w:p>
    <w:p w14:paraId="37BF37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Scala, S., Lasalvia, A., Seidman, L. J., Cristofalo, D., Bonetto, C., &amp; Ruggeri, M. (2014). Executive functioning and psychopathological profile in relatives of individuals with deficit v. Non-deficit schizophrenia: A pilot study. </w:t>
      </w:r>
      <w:r w:rsidRPr="0074138E">
        <w:rPr>
          <w:rFonts w:ascii="Times New Roman" w:eastAsia="Times New Roman" w:hAnsi="Times New Roman" w:cs="Times New Roman"/>
          <w:i/>
          <w:iCs/>
          <w:sz w:val="24"/>
          <w:szCs w:val="24"/>
        </w:rPr>
        <w:t>Epidemiology and Psychiatric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 85–97. </w:t>
      </w:r>
      <w:hyperlink r:id="rId5120" w:history="1">
        <w:r w:rsidRPr="0074138E">
          <w:rPr>
            <w:rFonts w:ascii="Times New Roman" w:eastAsia="Times New Roman" w:hAnsi="Times New Roman" w:cs="Times New Roman"/>
            <w:color w:val="0000FF"/>
            <w:sz w:val="24"/>
            <w:szCs w:val="24"/>
            <w:u w:val="single"/>
          </w:rPr>
          <w:t>https://doi.org/10.1017/S2045796013000140</w:t>
        </w:r>
      </w:hyperlink>
    </w:p>
    <w:p w14:paraId="3DB9637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Scanlon, F. A., Scheidell, J. D., Cuddeback, G. S., Samuelsohn, D., Wohl, D. A., Lejuez, C. W., Latimer, W. W., &amp; Khan, M. R. (2018). Depression, executive dysfunction, and prior economic and social vulnerability associations in incarcerated African American men. </w:t>
      </w:r>
      <w:r w:rsidRPr="0074138E">
        <w:rPr>
          <w:rFonts w:ascii="Times New Roman" w:eastAsia="Times New Roman" w:hAnsi="Times New Roman" w:cs="Times New Roman"/>
          <w:i/>
          <w:iCs/>
          <w:sz w:val="24"/>
          <w:szCs w:val="24"/>
        </w:rPr>
        <w:t>Journal of Correctional Health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(3), 295–308. </w:t>
      </w:r>
      <w:hyperlink r:id="rId5121" w:history="1">
        <w:r w:rsidRPr="0074138E">
          <w:rPr>
            <w:rFonts w:ascii="Times New Roman" w:eastAsia="Times New Roman" w:hAnsi="Times New Roman" w:cs="Times New Roman"/>
            <w:color w:val="0000FF"/>
            <w:sz w:val="24"/>
            <w:szCs w:val="24"/>
            <w:u w:val="single"/>
          </w:rPr>
          <w:t>https://doi.org/10.1177/1078345818782440</w:t>
        </w:r>
      </w:hyperlink>
    </w:p>
    <w:p w14:paraId="0C295B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Scarone, S., Abbruzzese, M., &amp; Gambini, O. (1993). The Wisconsin Card Sorting Test discriminates schizophrenic patients and their siblings.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(2), 103–107. </w:t>
      </w:r>
      <w:hyperlink r:id="rId5122" w:history="1">
        <w:r w:rsidRPr="0074138E">
          <w:rPr>
            <w:rFonts w:ascii="Times New Roman" w:eastAsia="Times New Roman" w:hAnsi="Times New Roman" w:cs="Times New Roman"/>
            <w:color w:val="0000FF"/>
            <w:sz w:val="24"/>
            <w:szCs w:val="24"/>
            <w:u w:val="single"/>
          </w:rPr>
          <w:t>https://doi.org/10.1016/0920-9964(93)90044-J</w:t>
        </w:r>
      </w:hyperlink>
    </w:p>
    <w:p w14:paraId="299D336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Scarr, E., Sundram, S., Deljo, A., Cowie, T. F., Gibbons, A. S., Juzva, S., Mackinnon, A., Wood, S. J., Testa, R., Pantelis, C., &amp; Dean, B. (2012). Muscarinic M1 receptor sequence: Preliminary studies on its effects on cognition and expression.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138</w:t>
      </w:r>
      <w:r w:rsidRPr="0074138E">
        <w:rPr>
          <w:rFonts w:ascii="Times New Roman" w:eastAsia="Times New Roman" w:hAnsi="Times New Roman" w:cs="Times New Roman"/>
          <w:sz w:val="24"/>
          <w:szCs w:val="24"/>
        </w:rPr>
        <w:t xml:space="preserve">(1), 94–98. </w:t>
      </w:r>
      <w:hyperlink r:id="rId5123" w:history="1">
        <w:r w:rsidRPr="0074138E">
          <w:rPr>
            <w:rFonts w:ascii="Times New Roman" w:eastAsia="Times New Roman" w:hAnsi="Times New Roman" w:cs="Times New Roman"/>
            <w:color w:val="0000FF"/>
            <w:sz w:val="24"/>
            <w:szCs w:val="24"/>
            <w:u w:val="single"/>
          </w:rPr>
          <w:t>https://doi.org/10.1016/j.schres.2012.02.011</w:t>
        </w:r>
      </w:hyperlink>
    </w:p>
    <w:p w14:paraId="0ECA02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Schaefer, J., Giangrande, E., Weinberger, D. R., &amp; Dickinson, D. (2013). The global cognitive impairment in schizophrenia: Consistent over decades and around the world.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150</w:t>
      </w:r>
      <w:r w:rsidRPr="0074138E">
        <w:rPr>
          <w:rFonts w:ascii="Times New Roman" w:eastAsia="Times New Roman" w:hAnsi="Times New Roman" w:cs="Times New Roman"/>
          <w:sz w:val="24"/>
          <w:szCs w:val="24"/>
        </w:rPr>
        <w:t xml:space="preserve">(1), 42–50. </w:t>
      </w:r>
      <w:hyperlink r:id="rId5124" w:history="1">
        <w:r w:rsidRPr="0074138E">
          <w:rPr>
            <w:rFonts w:ascii="Times New Roman" w:eastAsia="Times New Roman" w:hAnsi="Times New Roman" w:cs="Times New Roman"/>
            <w:color w:val="0000FF"/>
            <w:sz w:val="24"/>
            <w:szCs w:val="24"/>
            <w:u w:val="single"/>
          </w:rPr>
          <w:t>https://doi.org/10.1016/j.schres.2013.07.009</w:t>
        </w:r>
      </w:hyperlink>
    </w:p>
    <w:p w14:paraId="76C48F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Schaller, G., Lenz, B., Friedrich, K., Dygon, D., Richter-Schmidinger, T., Sperling, W., &amp; Kornhuber, J. (2013). No evidence for effects of a high-frequency repetitive transcranial magnetic stimulation series on verbal and figural fluency and TAP task performance in healthy male volunteers.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(2), 69–73. </w:t>
      </w:r>
      <w:hyperlink r:id="rId5125" w:history="1">
        <w:r w:rsidRPr="0074138E">
          <w:rPr>
            <w:rFonts w:ascii="Times New Roman" w:eastAsia="Times New Roman" w:hAnsi="Times New Roman" w:cs="Times New Roman"/>
            <w:color w:val="0000FF"/>
            <w:sz w:val="24"/>
            <w:szCs w:val="24"/>
            <w:u w:val="single"/>
          </w:rPr>
          <w:t>https://doi.org/10.1159/000343502</w:t>
        </w:r>
      </w:hyperlink>
    </w:p>
    <w:p w14:paraId="6DBDAF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Schapiro, M. B., Berman, K. F., Alexander, G. E., Weinberger, D. R., &amp; Rapoport, S. I. (1999). Regional cerebral blood flow in Down syndrome adults during the Wisconsin Card Sorting Test: Exploring cognitive activation in the context of poor performance.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(9), 1190–1196. </w:t>
      </w:r>
      <w:hyperlink r:id="rId5126" w:history="1">
        <w:r w:rsidRPr="0074138E">
          <w:rPr>
            <w:rFonts w:ascii="Times New Roman" w:eastAsia="Times New Roman" w:hAnsi="Times New Roman" w:cs="Times New Roman"/>
            <w:color w:val="0000FF"/>
            <w:sz w:val="24"/>
            <w:szCs w:val="24"/>
            <w:u w:val="single"/>
          </w:rPr>
          <w:t>https://doi.org/10.1016/S0006-3223(98)00051-1</w:t>
        </w:r>
      </w:hyperlink>
    </w:p>
    <w:p w14:paraId="210CD4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Scharre, D. W., Chang, S.-I., Murden, R. A., Lamb, J., Beversdorf, D. Q., Kataki, M., Nagaraja, H. N., &amp; Bornstein, R. A. (2010). Self-Administered Gerocognitive Examination (SAGE): A brief cognitive assessment instrument for mild cognitive impairment (MCI) and early dementia.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(1), 64–71. </w:t>
      </w:r>
      <w:hyperlink r:id="rId5127" w:history="1">
        <w:r w:rsidRPr="0074138E">
          <w:rPr>
            <w:rFonts w:ascii="Times New Roman" w:eastAsia="Times New Roman" w:hAnsi="Times New Roman" w:cs="Times New Roman"/>
            <w:color w:val="0000FF"/>
            <w:sz w:val="24"/>
            <w:szCs w:val="24"/>
            <w:u w:val="single"/>
          </w:rPr>
          <w:t>https://doi.org/10.1097/WAD.0b013e3181b03277</w:t>
        </w:r>
      </w:hyperlink>
    </w:p>
    <w:p w14:paraId="043305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Schaub, A., Neubauer, N., Mueser, K. T., Engel, R., &amp; Möller, H.-J. (2013). Neuropsychological functioning in inpatients with major depression or schizophrenia.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 </w:t>
      </w:r>
      <w:hyperlink r:id="rId5128" w:history="1">
        <w:r w:rsidRPr="0074138E">
          <w:rPr>
            <w:rFonts w:ascii="Times New Roman" w:eastAsia="Times New Roman" w:hAnsi="Times New Roman" w:cs="Times New Roman"/>
            <w:color w:val="0000FF"/>
            <w:sz w:val="24"/>
            <w:szCs w:val="24"/>
            <w:u w:val="single"/>
          </w:rPr>
          <w:t>https://doi.org/10.1186/1471-244X-13-203</w:t>
        </w:r>
      </w:hyperlink>
    </w:p>
    <w:p w14:paraId="34716C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Scheffer, M., Monteiro, J. K., &amp; de Almeida, R. M. M. (2011). Frontal stroke: Problem solving, decision making, impulsiveness, and depressive symptoms in men and women. </w:t>
      </w:r>
      <w:r w:rsidRPr="0074138E">
        <w:rPr>
          <w:rFonts w:ascii="Times New Roman" w:eastAsia="Times New Roman" w:hAnsi="Times New Roman" w:cs="Times New Roman"/>
          <w:i/>
          <w:iCs/>
          <w:sz w:val="24"/>
          <w:szCs w:val="24"/>
        </w:rPr>
        <w:t>Psychology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(2), 267–278. </w:t>
      </w:r>
      <w:hyperlink r:id="rId5129" w:history="1">
        <w:r w:rsidRPr="0074138E">
          <w:rPr>
            <w:rFonts w:ascii="Times New Roman" w:eastAsia="Times New Roman" w:hAnsi="Times New Roman" w:cs="Times New Roman"/>
            <w:color w:val="0000FF"/>
            <w:sz w:val="24"/>
            <w:szCs w:val="24"/>
            <w:u w:val="single"/>
          </w:rPr>
          <w:t>https://doi.org/10.3922/j.psns.2011.2.012</w:t>
        </w:r>
      </w:hyperlink>
    </w:p>
    <w:p w14:paraId="7E5F0F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Scheggia, D., Bebensee, A., Weinberger, D. R., &amp; Papaleo, F. (2014). The ultimate intra-/extra-dimensional attentional set-shifting task for mice.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(8), 660–670. </w:t>
      </w:r>
      <w:hyperlink r:id="rId5130" w:history="1">
        <w:r w:rsidRPr="0074138E">
          <w:rPr>
            <w:rFonts w:ascii="Times New Roman" w:eastAsia="Times New Roman" w:hAnsi="Times New Roman" w:cs="Times New Roman"/>
            <w:color w:val="0000FF"/>
            <w:sz w:val="24"/>
            <w:szCs w:val="24"/>
            <w:u w:val="single"/>
          </w:rPr>
          <w:t>https://doi.org/10.1016/j.biopsych.2013.05.021</w:t>
        </w:r>
      </w:hyperlink>
    </w:p>
    <w:p w14:paraId="1FE67C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Scheid, R., Preul, C., Lincke, T., Matthes, G., Schroeter, M. L., Guthke, T., Yves von Cramon, D., &amp; Sabri, O. (2006). Correlation of cognitive status, MRI- and SPECT-imaging in CADASIL patients.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(4), 363–370. </w:t>
      </w:r>
      <w:hyperlink r:id="rId5131" w:history="1">
        <w:r w:rsidRPr="0074138E">
          <w:rPr>
            <w:rFonts w:ascii="Times New Roman" w:eastAsia="Times New Roman" w:hAnsi="Times New Roman" w:cs="Times New Roman"/>
            <w:color w:val="0000FF"/>
            <w:sz w:val="24"/>
            <w:szCs w:val="24"/>
            <w:u w:val="single"/>
          </w:rPr>
          <w:t>https://doi.org/10.1111/j.1468-1331.2006.01245.x</w:t>
        </w:r>
      </w:hyperlink>
    </w:p>
    <w:p w14:paraId="684C00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Scheiner, D. L., Keilp, J., Mindt, M. R., Burke, A. K., Oquendo, M. A., &amp; Mann, J. J. (2014). Verbal learning deficits in posttraumatic stress disorder and depression. </w:t>
      </w:r>
      <w:r w:rsidRPr="0074138E">
        <w:rPr>
          <w:rFonts w:ascii="Times New Roman" w:eastAsia="Times New Roman" w:hAnsi="Times New Roman" w:cs="Times New Roman"/>
          <w:i/>
          <w:iCs/>
          <w:sz w:val="24"/>
          <w:szCs w:val="24"/>
        </w:rPr>
        <w:t>Journal of Traumatic Stress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(3), 291–298. </w:t>
      </w:r>
      <w:hyperlink r:id="rId5132" w:history="1">
        <w:r w:rsidRPr="0074138E">
          <w:rPr>
            <w:rFonts w:ascii="Times New Roman" w:eastAsia="Times New Roman" w:hAnsi="Times New Roman" w:cs="Times New Roman"/>
            <w:color w:val="0000FF"/>
            <w:sz w:val="24"/>
            <w:szCs w:val="24"/>
            <w:u w:val="single"/>
          </w:rPr>
          <w:t>https://doi.org/10.1002/jts.21921</w:t>
        </w:r>
      </w:hyperlink>
    </w:p>
    <w:p w14:paraId="46BA38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Schelhaas, H. J., Van De Warrenburg, B. P. C., Hageman, G., Ippel, E. F., Van Hout, M., &amp; Kremer, B. (2003). Cognitive impairment in SCA-19. </w:t>
      </w:r>
      <w:r w:rsidRPr="0074138E">
        <w:rPr>
          <w:rFonts w:ascii="Times New Roman" w:eastAsia="Times New Roman" w:hAnsi="Times New Roman" w:cs="Times New Roman"/>
          <w:i/>
          <w:iCs/>
          <w:sz w:val="24"/>
          <w:szCs w:val="24"/>
        </w:rPr>
        <w:t>Acta Neurologica Belgica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103</w:t>
      </w:r>
      <w:r w:rsidRPr="0074138E">
        <w:rPr>
          <w:rFonts w:ascii="Times New Roman" w:eastAsia="Times New Roman" w:hAnsi="Times New Roman" w:cs="Times New Roman"/>
          <w:sz w:val="24"/>
          <w:szCs w:val="24"/>
        </w:rPr>
        <w:t>(4), 199–205.</w:t>
      </w:r>
    </w:p>
    <w:p w14:paraId="7126032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Schell, C., Suchan, J., Himmelbach, M., Haarmeier, T., &amp; Borchers, S. (2014). Limb apraxia in acute ischemic stroke: A neglected clinical challenge?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(2), 158–162. </w:t>
      </w:r>
      <w:hyperlink r:id="rId5133" w:history="1">
        <w:r w:rsidRPr="0074138E">
          <w:rPr>
            <w:rFonts w:ascii="Times New Roman" w:eastAsia="Times New Roman" w:hAnsi="Times New Roman" w:cs="Times New Roman"/>
            <w:color w:val="0000FF"/>
            <w:sz w:val="24"/>
            <w:szCs w:val="24"/>
            <w:u w:val="single"/>
          </w:rPr>
          <w:t>https://doi.org/10.1080/13554794.2012.741253</w:t>
        </w:r>
      </w:hyperlink>
    </w:p>
    <w:p w14:paraId="5A53FE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Schellenberg, E. G. (2011a). Examining the association between music lessons and intelligence. </w:t>
      </w:r>
      <w:r w:rsidRPr="0074138E">
        <w:rPr>
          <w:rFonts w:ascii="Times New Roman" w:eastAsia="Times New Roman" w:hAnsi="Times New Roman" w:cs="Times New Roman"/>
          <w:i/>
          <w:iCs/>
          <w:sz w:val="24"/>
          <w:szCs w:val="24"/>
        </w:rPr>
        <w:t>British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(3), 283–302. </w:t>
      </w:r>
      <w:hyperlink r:id="rId5134" w:history="1">
        <w:r w:rsidRPr="0074138E">
          <w:rPr>
            <w:rFonts w:ascii="Times New Roman" w:eastAsia="Times New Roman" w:hAnsi="Times New Roman" w:cs="Times New Roman"/>
            <w:color w:val="0000FF"/>
            <w:sz w:val="24"/>
            <w:szCs w:val="24"/>
            <w:u w:val="single"/>
          </w:rPr>
          <w:t>https://doi.org/10.1111/j.2044-8295.2010.02000.x</w:t>
        </w:r>
      </w:hyperlink>
    </w:p>
    <w:p w14:paraId="6354A7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Schellenberg, E. G. (2011b). Music lessons and intelligence: Reply to commentaries. </w:t>
      </w:r>
      <w:r w:rsidRPr="0074138E">
        <w:rPr>
          <w:rFonts w:ascii="Times New Roman" w:eastAsia="Times New Roman" w:hAnsi="Times New Roman" w:cs="Times New Roman"/>
          <w:i/>
          <w:iCs/>
          <w:sz w:val="24"/>
          <w:szCs w:val="24"/>
        </w:rPr>
        <w:t>British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(3), 309–312. </w:t>
      </w:r>
      <w:hyperlink r:id="rId5135" w:history="1">
        <w:r w:rsidRPr="0074138E">
          <w:rPr>
            <w:rFonts w:ascii="Times New Roman" w:eastAsia="Times New Roman" w:hAnsi="Times New Roman" w:cs="Times New Roman"/>
            <w:color w:val="0000FF"/>
            <w:sz w:val="24"/>
            <w:szCs w:val="24"/>
            <w:u w:val="single"/>
          </w:rPr>
          <w:t>https://doi.org/10.1111/j.2044-8295.2011.02043.x</w:t>
        </w:r>
      </w:hyperlink>
    </w:p>
    <w:p w14:paraId="419EC5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Scherder, E., Scherder, R., Verburgh, L., Königs, M., Blom, M., Kramer, A. F., &amp; Eggermont, L. (2014). Executive functions of sedentary elderly may benefit from walking: A systematic review and meta-analysis.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(8), 782–791. </w:t>
      </w:r>
      <w:hyperlink r:id="rId5136" w:history="1">
        <w:r w:rsidRPr="0074138E">
          <w:rPr>
            <w:rFonts w:ascii="Times New Roman" w:eastAsia="Times New Roman" w:hAnsi="Times New Roman" w:cs="Times New Roman"/>
            <w:color w:val="0000FF"/>
            <w:sz w:val="24"/>
            <w:szCs w:val="24"/>
            <w:u w:val="single"/>
          </w:rPr>
          <w:t>https://doi.org/10.1016/j.jagp.2012.12.026</w:t>
        </w:r>
      </w:hyperlink>
    </w:p>
    <w:p w14:paraId="030B19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Scheres, A., Oosterlaan, J., Geurts, H., Morein-Zamir, S., Meiran, N., Schut, H., Vlasveld, L., &amp; Sergeant, J. A. (2004). Executive functioning in boys with ADHD: Primarily an inhibition deficit?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(4), 569–594. </w:t>
      </w:r>
      <w:hyperlink r:id="rId5137" w:history="1">
        <w:r w:rsidRPr="0074138E">
          <w:rPr>
            <w:rFonts w:ascii="Times New Roman" w:eastAsia="Times New Roman" w:hAnsi="Times New Roman" w:cs="Times New Roman"/>
            <w:color w:val="0000FF"/>
            <w:sz w:val="24"/>
            <w:szCs w:val="24"/>
            <w:u w:val="single"/>
          </w:rPr>
          <w:t>https://doi.org/10.1016/j.acn.2003.08.005</w:t>
        </w:r>
      </w:hyperlink>
    </w:p>
    <w:p w14:paraId="5BD30D6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Schermuly, I., Müller, M. J., Müller, K. ‐M., Albrecht, J., Keller, I., Yakushev, I., Beck, M., &amp; Fellgiebel, A. (2011). Neuropsychiatric symptoms and brain structural alterations in Fabry disease.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(2), 347–353. </w:t>
      </w:r>
      <w:hyperlink r:id="rId5138" w:history="1">
        <w:r w:rsidRPr="0074138E">
          <w:rPr>
            <w:rFonts w:ascii="Times New Roman" w:eastAsia="Times New Roman" w:hAnsi="Times New Roman" w:cs="Times New Roman"/>
            <w:color w:val="0000FF"/>
            <w:sz w:val="24"/>
            <w:szCs w:val="24"/>
            <w:u w:val="single"/>
          </w:rPr>
          <w:t>https://doi.org/10.1111/j.1468-1331.2010.03155.x</w:t>
        </w:r>
      </w:hyperlink>
    </w:p>
    <w:p w14:paraId="4AB6DC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Schiavella, M., Pelagatti, M., Westin, J., Lepore, G., &amp; Cherubini, P. (2018). Profiling online poker players: Are executive functions correlated with poker ability and problem gambling? </w:t>
      </w:r>
      <w:r w:rsidRPr="0074138E">
        <w:rPr>
          <w:rFonts w:ascii="Times New Roman" w:eastAsia="Times New Roman" w:hAnsi="Times New Roman" w:cs="Times New Roman"/>
          <w:i/>
          <w:iCs/>
          <w:sz w:val="24"/>
          <w:szCs w:val="24"/>
        </w:rPr>
        <w:t>Journal of Gambling Studies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(3), 823–851. </w:t>
      </w:r>
      <w:hyperlink r:id="rId5139" w:history="1">
        <w:r w:rsidRPr="0074138E">
          <w:rPr>
            <w:rFonts w:ascii="Times New Roman" w:eastAsia="Times New Roman" w:hAnsi="Times New Roman" w:cs="Times New Roman"/>
            <w:color w:val="0000FF"/>
            <w:sz w:val="24"/>
            <w:szCs w:val="24"/>
            <w:u w:val="single"/>
          </w:rPr>
          <w:t>https://doi.org/10.1007/s10899-017-9741-z</w:t>
        </w:r>
      </w:hyperlink>
    </w:p>
    <w:p w14:paraId="64288E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Schieffer, B. M. (2001). </w:t>
      </w:r>
      <w:r w:rsidRPr="0074138E">
        <w:rPr>
          <w:rFonts w:ascii="Times New Roman" w:eastAsia="Times New Roman" w:hAnsi="Times New Roman" w:cs="Times New Roman"/>
          <w:i/>
          <w:iCs/>
          <w:sz w:val="24"/>
          <w:szCs w:val="24"/>
        </w:rPr>
        <w:t>Concept formation, problem solving and memory encoding abilities in individuals with congenital agenesis of the corpus callosum and normal intelligence.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(3-B), 1597–1597.</w:t>
      </w:r>
    </w:p>
    <w:p w14:paraId="02F25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Schiehser, D. M., Liu, L., Lessig, S. L., Song, D. D., Obtera, K. M., Burke III, M. M., Earl, S. R., &amp; Filoteo, J. V. (2013). Predictors of discrepancies in Parkinson’s disease patient and caregiver ratings of apathy, disinhibition, and executive dysfunction before and after diagnosis.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295–304. </w:t>
      </w:r>
      <w:hyperlink r:id="rId5140" w:history="1">
        <w:r w:rsidRPr="0074138E">
          <w:rPr>
            <w:rFonts w:ascii="Times New Roman" w:eastAsia="Times New Roman" w:hAnsi="Times New Roman" w:cs="Times New Roman"/>
            <w:color w:val="0000FF"/>
            <w:sz w:val="24"/>
            <w:szCs w:val="24"/>
            <w:u w:val="single"/>
          </w:rPr>
          <w:t>https://doi.org/10.1017/S1355617712001385</w:t>
        </w:r>
      </w:hyperlink>
    </w:p>
    <w:p w14:paraId="2734E0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Krueger, T., Paul, T., de Greiff, A., Forsting, M., Leygraf, N., Schedlowski, M., &amp; Gizewski, E. (2008). Brain response to visual sexual stimuli in homosexual pedophiles.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(1), 23–33.</w:t>
      </w:r>
    </w:p>
    <w:p w14:paraId="32A757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Müller, B. W., Scherbaum, N., Forsting, M., Wiltfang, J., Leygraf, N., &amp; Gizewski, E. R. (2010). Impulsivity-related brain volume deficits in schizophrenia-addiction comorbidity.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133</w:t>
      </w:r>
      <w:r w:rsidRPr="0074138E">
        <w:rPr>
          <w:rFonts w:ascii="Times New Roman" w:eastAsia="Times New Roman" w:hAnsi="Times New Roman" w:cs="Times New Roman"/>
          <w:sz w:val="24"/>
          <w:szCs w:val="24"/>
        </w:rPr>
        <w:t xml:space="preserve">(10), 3093–3103. </w:t>
      </w:r>
      <w:hyperlink r:id="rId5141" w:history="1">
        <w:r w:rsidRPr="0074138E">
          <w:rPr>
            <w:rFonts w:ascii="Times New Roman" w:eastAsia="Times New Roman" w:hAnsi="Times New Roman" w:cs="Times New Roman"/>
            <w:color w:val="0000FF"/>
            <w:sz w:val="24"/>
            <w:szCs w:val="24"/>
            <w:u w:val="single"/>
          </w:rPr>
          <w:t>https://doi.org/10.1093/brain/awq153</w:t>
        </w:r>
      </w:hyperlink>
    </w:p>
    <w:p w14:paraId="58E2E5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Müller, B. W., Scherbaum, N., Hodgins, S., Forsting, M., Wiltfang, J., Gizewski, E. R., &amp; Leygraf, N. (2011). Disentangling structural brain alterations associated with violent behavior from those associated with substance use disorders.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68</w:t>
      </w:r>
      <w:r w:rsidRPr="0074138E">
        <w:rPr>
          <w:rFonts w:ascii="Times New Roman" w:eastAsia="Times New Roman" w:hAnsi="Times New Roman" w:cs="Times New Roman"/>
          <w:sz w:val="24"/>
          <w:szCs w:val="24"/>
        </w:rPr>
        <w:t xml:space="preserve">(10), 1039–1049. </w:t>
      </w:r>
      <w:hyperlink r:id="rId5142" w:history="1">
        <w:r w:rsidRPr="0074138E">
          <w:rPr>
            <w:rFonts w:ascii="Times New Roman" w:eastAsia="Times New Roman" w:hAnsi="Times New Roman" w:cs="Times New Roman"/>
            <w:color w:val="0000FF"/>
            <w:sz w:val="24"/>
            <w:szCs w:val="24"/>
            <w:u w:val="single"/>
          </w:rPr>
          <w:t>https://doi.org/10.1001/archgenpsychiatry.2011.61</w:t>
        </w:r>
      </w:hyperlink>
    </w:p>
    <w:p w14:paraId="138456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B., &amp; Vonlaufen, C. (2011). Executive dysfunctions in pedophilic and nonpedophilic child molesters. </w:t>
      </w:r>
      <w:r w:rsidRPr="0074138E">
        <w:rPr>
          <w:rFonts w:ascii="Times New Roman" w:eastAsia="Times New Roman" w:hAnsi="Times New Roman" w:cs="Times New Roman"/>
          <w:i/>
          <w:iCs/>
          <w:sz w:val="24"/>
          <w:szCs w:val="24"/>
        </w:rPr>
        <w:t>Journal of Sexual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(7), 1975–1984. </w:t>
      </w:r>
      <w:hyperlink r:id="rId5143" w:history="1">
        <w:r w:rsidRPr="0074138E">
          <w:rPr>
            <w:rFonts w:ascii="Times New Roman" w:eastAsia="Times New Roman" w:hAnsi="Times New Roman" w:cs="Times New Roman"/>
            <w:color w:val="0000FF"/>
            <w:sz w:val="24"/>
            <w:szCs w:val="24"/>
            <w:u w:val="single"/>
          </w:rPr>
          <w:t>https://doi.org/10.1111/j.1743-6109.2010.02140.x</w:t>
        </w:r>
      </w:hyperlink>
    </w:p>
    <w:p w14:paraId="56F4730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Schiffer, R. A., Sigal, M., &amp; Mintz, M. (1996). Delayed habituation of the skin-conductance orienting response correlates with impaired performance on the Wisconsin Card Sorting Task in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(2), 107–112. </w:t>
      </w:r>
      <w:hyperlink r:id="rId5144" w:history="1">
        <w:r w:rsidRPr="0074138E">
          <w:rPr>
            <w:rFonts w:ascii="Times New Roman" w:eastAsia="Times New Roman" w:hAnsi="Times New Roman" w:cs="Times New Roman"/>
            <w:color w:val="0000FF"/>
            <w:sz w:val="24"/>
            <w:szCs w:val="24"/>
            <w:u w:val="single"/>
          </w:rPr>
          <w:t>https://doi.org/10.1016/S0165-1781(96)02845-4</w:t>
        </w:r>
      </w:hyperlink>
    </w:p>
    <w:p w14:paraId="7AEEC9A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Schillerstrom, J. E., Birkenfeld, E. M., Yu, A. S., Le, M.-P. T., Goldstein, D. J., &amp; Royall, D. R. (2013). Neuropsychological correlates of performance based functional status in elder adult protective services referrals for capacity assessments. </w:t>
      </w:r>
      <w:r w:rsidRPr="0074138E">
        <w:rPr>
          <w:rFonts w:ascii="Times New Roman" w:eastAsia="Times New Roman" w:hAnsi="Times New Roman" w:cs="Times New Roman"/>
          <w:i/>
          <w:iCs/>
          <w:sz w:val="24"/>
          <w:szCs w:val="24"/>
        </w:rPr>
        <w:t>Journal of Elder Abuse &amp; Neglect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294–304. </w:t>
      </w:r>
      <w:hyperlink r:id="rId5145" w:history="1">
        <w:r w:rsidRPr="0074138E">
          <w:rPr>
            <w:rFonts w:ascii="Times New Roman" w:eastAsia="Times New Roman" w:hAnsi="Times New Roman" w:cs="Times New Roman"/>
            <w:color w:val="0000FF"/>
            <w:sz w:val="24"/>
            <w:szCs w:val="24"/>
            <w:u w:val="single"/>
          </w:rPr>
          <w:t>https://doi.org/10.1080/08946566.2012.751831</w:t>
        </w:r>
      </w:hyperlink>
    </w:p>
    <w:p w14:paraId="35BB2F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Schillerstrom, J. E., Horton, M. S., Schillerstrom, T. L., Joshi, K. G., Earthman, B. S., Velez, A. M., &amp; Royall, D. R. (2005). Prevalence, Course, and Risk Factors for Executive Impairment in Patients Hospitalized on a General Medicine Service. </w:t>
      </w:r>
      <w:r w:rsidRPr="0074138E">
        <w:rPr>
          <w:rFonts w:ascii="Times New Roman" w:eastAsia="Times New Roman" w:hAnsi="Times New Roman" w:cs="Times New Roman"/>
          <w:i/>
          <w:iCs/>
          <w:sz w:val="24"/>
          <w:szCs w:val="24"/>
        </w:rPr>
        <w:t>Psychosomatics: Journal of Consultation and Liaison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(5), 411–417. </w:t>
      </w:r>
      <w:hyperlink r:id="rId5146" w:history="1">
        <w:r w:rsidRPr="0074138E">
          <w:rPr>
            <w:rFonts w:ascii="Times New Roman" w:eastAsia="Times New Roman" w:hAnsi="Times New Roman" w:cs="Times New Roman"/>
            <w:color w:val="0000FF"/>
            <w:sz w:val="24"/>
            <w:szCs w:val="24"/>
            <w:u w:val="single"/>
          </w:rPr>
          <w:t>https://doi.org/10.1176/appi.psy.46.5.411</w:t>
        </w:r>
      </w:hyperlink>
    </w:p>
    <w:p w14:paraId="691E5DF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Schimmelmann, B. G., Schmidt, S. J., Carbon, M., &amp; Correll, C. U. (2013). Treatment of adolescents with early-onset schizophrenia spectrum disorders: In search of a rational, evidence-informed approach. </w:t>
      </w:r>
      <w:r w:rsidRPr="0074138E">
        <w:rPr>
          <w:rFonts w:ascii="Times New Roman" w:eastAsia="Times New Roman" w:hAnsi="Times New Roman" w:cs="Times New Roman"/>
          <w:i/>
          <w:iCs/>
          <w:sz w:val="24"/>
          <w:szCs w:val="24"/>
        </w:rPr>
        <w:t>Current Opinion in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 219–230. </w:t>
      </w:r>
      <w:hyperlink r:id="rId5147" w:history="1">
        <w:r w:rsidRPr="0074138E">
          <w:rPr>
            <w:rFonts w:ascii="Times New Roman" w:eastAsia="Times New Roman" w:hAnsi="Times New Roman" w:cs="Times New Roman"/>
            <w:color w:val="0000FF"/>
            <w:sz w:val="24"/>
            <w:szCs w:val="24"/>
            <w:u w:val="single"/>
          </w:rPr>
          <w:t>https://doi.org/10.1097/YCO.0b013e32835dcc2a</w:t>
        </w:r>
      </w:hyperlink>
    </w:p>
    <w:p w14:paraId="4D08CF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Schipper, L. J., Berry, D. T. R., Coen, E., &amp; Clark, J. A. (2008). Cross-validation of a manual form of the Letter Memory Test using a known-groups methodology.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(2), 345–349. </w:t>
      </w:r>
      <w:hyperlink r:id="rId5148" w:history="1">
        <w:r w:rsidRPr="0074138E">
          <w:rPr>
            <w:rFonts w:ascii="Times New Roman" w:eastAsia="Times New Roman" w:hAnsi="Times New Roman" w:cs="Times New Roman"/>
            <w:color w:val="0000FF"/>
            <w:sz w:val="24"/>
            <w:szCs w:val="24"/>
            <w:u w:val="single"/>
          </w:rPr>
          <w:t>https://doi.org/10.1080/13854040701218428</w:t>
        </w:r>
      </w:hyperlink>
    </w:p>
    <w:p w14:paraId="66191F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Schirmbeck, F., Esslinger, C., Rausch, F., Englisch, S., Meyer-Lindenberg, A., &amp; Zink, M. (2011). Antiserotonergic antipsychotics are associated with obsessive–compulsive symptoms in schizophrenia.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(11), 2361–2373. </w:t>
      </w:r>
      <w:hyperlink r:id="rId5149" w:history="1">
        <w:r w:rsidRPr="0074138E">
          <w:rPr>
            <w:rFonts w:ascii="Times New Roman" w:eastAsia="Times New Roman" w:hAnsi="Times New Roman" w:cs="Times New Roman"/>
            <w:color w:val="0000FF"/>
            <w:sz w:val="24"/>
            <w:szCs w:val="24"/>
            <w:u w:val="single"/>
          </w:rPr>
          <w:t>https://doi.org/10.1017/S0033291711000419</w:t>
        </w:r>
      </w:hyperlink>
    </w:p>
    <w:p w14:paraId="6CE103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Schirmbeck, F., Mier, D., Esslinger, C., Rausch, F., Englisch, S., Eifler, S., Meyer-Lindenberg, A., Kirsch, P., &amp; Zink, M. (2015). Increased orbitofrontal cortex activation associated with “pro-obsessive” antipsychotic treatment in patients with schizophrenia.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(2), 89–99.</w:t>
      </w:r>
    </w:p>
    <w:p w14:paraId="0F5A60D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Schirmbeck, F., Rausch, F., Englisch, S., Eifler, S., Esslinger, C., Meyer-Lindenberg, A., &amp; Zink, M. (2013). Stable cognitive deficits in schizophrenia patients with comorbid obsessive-compulsive symptoms: A 12-month longitudinal study.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(6), 1261–1271. </w:t>
      </w:r>
      <w:hyperlink r:id="rId5150" w:history="1">
        <w:r w:rsidRPr="0074138E">
          <w:rPr>
            <w:rFonts w:ascii="Times New Roman" w:eastAsia="Times New Roman" w:hAnsi="Times New Roman" w:cs="Times New Roman"/>
            <w:color w:val="0000FF"/>
            <w:sz w:val="24"/>
            <w:szCs w:val="24"/>
            <w:u w:val="single"/>
          </w:rPr>
          <w:t>https://doi.org/10.1093/schbul/sbs123</w:t>
        </w:r>
      </w:hyperlink>
    </w:p>
    <w:p w14:paraId="19416A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Schlagenhauf, F., Juckel, G., Koslowski, M., Kahnt, T., Knutson, B., Dembler, T., Kienast, T., Gallinat, J., Wrase, J., &amp; Heinz, A. (2008). Reward system activation in schizophrenic patients switched from typical neuroleptics to olanzapine.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196</w:t>
      </w:r>
      <w:r w:rsidRPr="0074138E">
        <w:rPr>
          <w:rFonts w:ascii="Times New Roman" w:eastAsia="Times New Roman" w:hAnsi="Times New Roman" w:cs="Times New Roman"/>
          <w:sz w:val="24"/>
          <w:szCs w:val="24"/>
        </w:rPr>
        <w:t xml:space="preserve">(4), 673–684. </w:t>
      </w:r>
      <w:hyperlink r:id="rId5151" w:history="1">
        <w:r w:rsidRPr="0074138E">
          <w:rPr>
            <w:rFonts w:ascii="Times New Roman" w:eastAsia="Times New Roman" w:hAnsi="Times New Roman" w:cs="Times New Roman"/>
            <w:color w:val="0000FF"/>
            <w:sz w:val="24"/>
            <w:szCs w:val="24"/>
            <w:u w:val="single"/>
          </w:rPr>
          <w:t>https://doi.org/10.1007/s00213-007-1016-4</w:t>
        </w:r>
      </w:hyperlink>
    </w:p>
    <w:p w14:paraId="7DAA0B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Schlagenhauf, F., Sterzer, P., Schmack, K., Ballmaier, M., Rapp, M., Wrase, J., Juckel, G., Gallinat, J., &amp; Heinz, A. (2009). Reward feedback alterations in unmedicated schizophrenia patients: Relevance for delusions.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(12), 1032–1039. </w:t>
      </w:r>
      <w:hyperlink r:id="rId5152" w:history="1">
        <w:r w:rsidRPr="0074138E">
          <w:rPr>
            <w:rFonts w:ascii="Times New Roman" w:eastAsia="Times New Roman" w:hAnsi="Times New Roman" w:cs="Times New Roman"/>
            <w:color w:val="0000FF"/>
            <w:sz w:val="24"/>
            <w:szCs w:val="24"/>
            <w:u w:val="single"/>
          </w:rPr>
          <w:t>https://doi.org/10.1016/j.biopsych.2008.12.016</w:t>
        </w:r>
      </w:hyperlink>
    </w:p>
    <w:p w14:paraId="7F96FB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Schlatter, S., Schmidt, L., Lilot, M., Guillot, A., &amp; Debarnot, U. (2021). Implementing biofeedback as a proactive coping strategy: Psychological and physiological effects on anticipatory stress. </w:t>
      </w:r>
      <w:r w:rsidRPr="0074138E">
        <w:rPr>
          <w:rFonts w:ascii="Times New Roman" w:eastAsia="Times New Roman" w:hAnsi="Times New Roman" w:cs="Times New Roman"/>
          <w:i/>
          <w:iCs/>
          <w:sz w:val="24"/>
          <w:szCs w:val="24"/>
        </w:rPr>
        <w:t>Behaviour Research and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140</w:t>
      </w:r>
      <w:r w:rsidRPr="0074138E">
        <w:rPr>
          <w:rFonts w:ascii="Times New Roman" w:eastAsia="Times New Roman" w:hAnsi="Times New Roman" w:cs="Times New Roman"/>
          <w:sz w:val="24"/>
          <w:szCs w:val="24"/>
        </w:rPr>
        <w:t xml:space="preserve">. </w:t>
      </w:r>
      <w:hyperlink r:id="rId5153" w:history="1">
        <w:r w:rsidRPr="0074138E">
          <w:rPr>
            <w:rFonts w:ascii="Times New Roman" w:eastAsia="Times New Roman" w:hAnsi="Times New Roman" w:cs="Times New Roman"/>
            <w:color w:val="0000FF"/>
            <w:sz w:val="24"/>
            <w:szCs w:val="24"/>
            <w:u w:val="single"/>
          </w:rPr>
          <w:t>https://doi.org/10.1016/j.brat.2021.103834</w:t>
        </w:r>
      </w:hyperlink>
    </w:p>
    <w:p w14:paraId="5E2CD7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Schmahmann, J. D. (2004). Disorders of the Cerebellum: Ataxia, Dysmetria of Thought, and the Cerebellar Cognitive Affective Syndrome.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(3), 367–378. </w:t>
      </w:r>
      <w:hyperlink r:id="rId5154" w:history="1">
        <w:r w:rsidRPr="0074138E">
          <w:rPr>
            <w:rFonts w:ascii="Times New Roman" w:eastAsia="Times New Roman" w:hAnsi="Times New Roman" w:cs="Times New Roman"/>
            <w:color w:val="0000FF"/>
            <w:sz w:val="24"/>
            <w:szCs w:val="24"/>
            <w:u w:val="single"/>
          </w:rPr>
          <w:t>https://doi.org/10.1176/appi.neuropsych.16.3.367</w:t>
        </w:r>
      </w:hyperlink>
    </w:p>
    <w:p w14:paraId="795865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Schmahmann, J. D. (2013). Cerebellum. In </w:t>
      </w:r>
      <w:r w:rsidRPr="0074138E">
        <w:rPr>
          <w:rFonts w:ascii="Times New Roman" w:eastAsia="Times New Roman" w:hAnsi="Times New Roman" w:cs="Times New Roman"/>
          <w:i/>
          <w:iCs/>
          <w:sz w:val="24"/>
          <w:szCs w:val="24"/>
        </w:rPr>
        <w:t>Behavioral neurology and neuropsychiatry.</w:t>
      </w:r>
      <w:r w:rsidRPr="0074138E">
        <w:rPr>
          <w:rFonts w:ascii="Times New Roman" w:eastAsia="Times New Roman" w:hAnsi="Times New Roman" w:cs="Times New Roman"/>
          <w:sz w:val="24"/>
          <w:szCs w:val="24"/>
        </w:rPr>
        <w:t xml:space="preserve"> (pp. 32–46). Cambridge University Press. </w:t>
      </w:r>
      <w:hyperlink r:id="rId5155" w:history="1">
        <w:r w:rsidRPr="0074138E">
          <w:rPr>
            <w:rFonts w:ascii="Times New Roman" w:eastAsia="Times New Roman" w:hAnsi="Times New Roman" w:cs="Times New Roman"/>
            <w:color w:val="0000FF"/>
            <w:sz w:val="24"/>
            <w:szCs w:val="24"/>
            <w:u w:val="single"/>
          </w:rPr>
          <w:t>https://doi.org/10.1017/CBO9781139016919.005</w:t>
        </w:r>
      </w:hyperlink>
    </w:p>
    <w:p w14:paraId="4F3C78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Schmand, B., &amp; Tröster, A. I. (2015). Earliest cognitive changes and mild cognitive impairment in Parkinson’s disease. In </w:t>
      </w:r>
      <w:r w:rsidRPr="0074138E">
        <w:rPr>
          <w:rFonts w:ascii="Times New Roman" w:eastAsia="Times New Roman" w:hAnsi="Times New Roman" w:cs="Times New Roman"/>
          <w:i/>
          <w:iCs/>
          <w:sz w:val="24"/>
          <w:szCs w:val="24"/>
        </w:rPr>
        <w:t>Clinical neuropsychology and cognitive neurology of Parkinson’s disease and other movement disorders.</w:t>
      </w:r>
      <w:r w:rsidRPr="0074138E">
        <w:rPr>
          <w:rFonts w:ascii="Times New Roman" w:eastAsia="Times New Roman" w:hAnsi="Times New Roman" w:cs="Times New Roman"/>
          <w:sz w:val="24"/>
          <w:szCs w:val="24"/>
        </w:rPr>
        <w:t xml:space="preserve"> (pp. 205–238). Oxford University Press.</w:t>
      </w:r>
    </w:p>
    <w:p w14:paraId="5DEAEC5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 L. A., Lässe, M. M., &amp; Schröder, J. (2011). Symptomatik und Kognition bei Schizophrenie im Alter. [Symptoms and cognition in geriatric schizophrenia.]. </w:t>
      </w:r>
      <w:r w:rsidRPr="0074138E">
        <w:rPr>
          <w:rFonts w:ascii="Times New Roman" w:eastAsia="Times New Roman" w:hAnsi="Times New Roman" w:cs="Times New Roman"/>
          <w:i/>
          <w:iCs/>
          <w:sz w:val="24"/>
          <w:szCs w:val="24"/>
        </w:rPr>
        <w:t>Fortschritte Der Neurologie,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79</w:t>
      </w:r>
      <w:r w:rsidRPr="0074138E">
        <w:rPr>
          <w:rFonts w:ascii="Times New Roman" w:eastAsia="Times New Roman" w:hAnsi="Times New Roman" w:cs="Times New Roman"/>
          <w:sz w:val="24"/>
          <w:szCs w:val="24"/>
        </w:rPr>
        <w:t xml:space="preserve">(5), 267–276. </w:t>
      </w:r>
      <w:hyperlink r:id="rId5156" w:history="1">
        <w:r w:rsidRPr="0074138E">
          <w:rPr>
            <w:rFonts w:ascii="Times New Roman" w:eastAsia="Times New Roman" w:hAnsi="Times New Roman" w:cs="Times New Roman"/>
            <w:color w:val="0000FF"/>
            <w:sz w:val="24"/>
            <w:szCs w:val="24"/>
            <w:u w:val="single"/>
          </w:rPr>
          <w:t>https://doi.org/10.1055/s-0029-1246058</w:t>
        </w:r>
      </w:hyperlink>
    </w:p>
    <w:p w14:paraId="18794A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 F., Benzerouk, F., Barrière, S., Henry, A., Limosin, F., Kaladjian, A., &amp; Gierski, F. (2021). Heterogeneity of executive function abilities in recently detoxified patients with alcohol use disorder: Evidence from a cluster analysis. </w:t>
      </w:r>
      <w:r w:rsidRPr="0074138E">
        <w:rPr>
          <w:rFonts w:ascii="Times New Roman" w:eastAsia="Times New Roman" w:hAnsi="Times New Roman" w:cs="Times New Roman"/>
          <w:i/>
          <w:iCs/>
          <w:sz w:val="24"/>
          <w:szCs w:val="24"/>
        </w:rPr>
        <w:t>Alcoholism: Clinical and Experimental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(1), 163–173. </w:t>
      </w:r>
      <w:hyperlink r:id="rId5157" w:history="1">
        <w:r w:rsidRPr="0074138E">
          <w:rPr>
            <w:rFonts w:ascii="Times New Roman" w:eastAsia="Times New Roman" w:hAnsi="Times New Roman" w:cs="Times New Roman"/>
            <w:color w:val="0000FF"/>
            <w:sz w:val="24"/>
            <w:szCs w:val="24"/>
            <w:u w:val="single"/>
          </w:rPr>
          <w:t>https://doi.org/10.1111/acer.14517</w:t>
        </w:r>
      </w:hyperlink>
    </w:p>
    <w:p w14:paraId="002DDC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H., Djukic, M., Jung, K., Holzgraefe, M., Dechent, P., von Steinbüchel, N., Blocher, J., Eiffert, H., &amp; Schmidt-Samoa, C. (2015). Neurocognitive functions and brain atrophy after proven neuroborreliosis: A case-control study. </w:t>
      </w:r>
      <w:r w:rsidRPr="0074138E">
        <w:rPr>
          <w:rFonts w:ascii="Times New Roman" w:eastAsia="Times New Roman" w:hAnsi="Times New Roman" w:cs="Times New Roman"/>
          <w:i/>
          <w:iCs/>
          <w:sz w:val="24"/>
          <w:szCs w:val="24"/>
        </w:rPr>
        <w:t>BMC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w:t>
      </w:r>
    </w:p>
    <w:p w14:paraId="7A7541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H., Heimann, B., Djukic, M., Mazurek, C., Fels, C., Wallesch, C.-W., &amp; Nau, R. (2006). Neuropsychological sequelae of bacterial and viral meningitis.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129</w:t>
      </w:r>
      <w:r w:rsidRPr="0074138E">
        <w:rPr>
          <w:rFonts w:ascii="Times New Roman" w:eastAsia="Times New Roman" w:hAnsi="Times New Roman" w:cs="Times New Roman"/>
          <w:sz w:val="24"/>
          <w:szCs w:val="24"/>
        </w:rPr>
        <w:t xml:space="preserve">(2), 333–345. </w:t>
      </w:r>
      <w:hyperlink r:id="rId5158" w:history="1">
        <w:r w:rsidRPr="0074138E">
          <w:rPr>
            <w:rFonts w:ascii="Times New Roman" w:eastAsia="Times New Roman" w:hAnsi="Times New Roman" w:cs="Times New Roman"/>
            <w:color w:val="0000FF"/>
            <w:sz w:val="24"/>
            <w:szCs w:val="24"/>
            <w:u w:val="single"/>
          </w:rPr>
          <w:t>https://doi.org/10.1093/brain/awh711</w:t>
        </w:r>
      </w:hyperlink>
    </w:p>
    <w:p w14:paraId="7F5573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H., Heinemann, T., Elster, J., Djukic, M., Harscher, S., Neubieser, K., Prange, H., Kastrup, A., &amp; Rohde, V. (2011). Cognition after malignant media infarction and decompressive hemicraniectomy—A retrospective observational study. </w:t>
      </w:r>
      <w:r w:rsidRPr="0074138E">
        <w:rPr>
          <w:rFonts w:ascii="Times New Roman" w:eastAsia="Times New Roman" w:hAnsi="Times New Roman" w:cs="Times New Roman"/>
          <w:i/>
          <w:iCs/>
          <w:sz w:val="24"/>
          <w:szCs w:val="24"/>
        </w:rPr>
        <w:t>BMC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 </w:t>
      </w:r>
      <w:hyperlink r:id="rId5159" w:history="1">
        <w:r w:rsidRPr="0074138E">
          <w:rPr>
            <w:rFonts w:ascii="Times New Roman" w:eastAsia="Times New Roman" w:hAnsi="Times New Roman" w:cs="Times New Roman"/>
            <w:color w:val="0000FF"/>
            <w:sz w:val="24"/>
            <w:szCs w:val="24"/>
            <w:u w:val="single"/>
          </w:rPr>
          <w:t>https://doi.org/10.1186/1471-2377-11-77</w:t>
        </w:r>
      </w:hyperlink>
    </w:p>
    <w:p w14:paraId="0C2D3A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J., Fleming, J., Ownsworth, T., &amp; Lannin, N. A. (2013). Video feedback on functional task performance improves self-awareness after traumatic brain injury: A randomized controlled trial. </w:t>
      </w:r>
      <w:r w:rsidRPr="0074138E">
        <w:rPr>
          <w:rFonts w:ascii="Times New Roman" w:eastAsia="Times New Roman" w:hAnsi="Times New Roman" w:cs="Times New Roman"/>
          <w:i/>
          <w:iCs/>
          <w:sz w:val="24"/>
          <w:szCs w:val="24"/>
        </w:rPr>
        <w:t>Neurorehabilitation and Neural Repair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(4), 316–324. </w:t>
      </w:r>
      <w:hyperlink r:id="rId5160" w:history="1">
        <w:r w:rsidRPr="0074138E">
          <w:rPr>
            <w:rFonts w:ascii="Times New Roman" w:eastAsia="Times New Roman" w:hAnsi="Times New Roman" w:cs="Times New Roman"/>
            <w:color w:val="0000FF"/>
            <w:sz w:val="24"/>
            <w:szCs w:val="24"/>
            <w:u w:val="single"/>
          </w:rPr>
          <w:t>https://doi.org/10.1177/1545968312469838</w:t>
        </w:r>
      </w:hyperlink>
    </w:p>
    <w:p w14:paraId="3E1CF3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J., Fleming, J., Ownsworth, T., &amp; Lannin, N. A. (2015). Maintenance of treatment effects of an occupation-based intervention with video feedback for adults with TBI. </w:t>
      </w:r>
      <w:r w:rsidRPr="0074138E">
        <w:rPr>
          <w:rFonts w:ascii="Times New Roman" w:eastAsia="Times New Roman" w:hAnsi="Times New Roman" w:cs="Times New Roman"/>
          <w:i/>
          <w:iCs/>
          <w:sz w:val="24"/>
          <w:szCs w:val="24"/>
        </w:rPr>
        <w:t>NeuroRehabilitation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(2), 175–186.</w:t>
      </w:r>
    </w:p>
    <w:p w14:paraId="77BC802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R., Ropele, S., Enzinger, C., Petrovic, K., Smith, S., Schmidt, H., Matthews, P. M., &amp; Fazekas, F. (2005). White Matter Lesion Progression, Brain Atrophy, and Cognitive Decline: The Austrian Stroke Prevention Study. </w:t>
      </w:r>
      <w:r w:rsidRPr="0074138E">
        <w:rPr>
          <w:rFonts w:ascii="Times New Roman" w:eastAsia="Times New Roman" w:hAnsi="Times New Roman" w:cs="Times New Roman"/>
          <w:i/>
          <w:iCs/>
          <w:sz w:val="24"/>
          <w:szCs w:val="24"/>
        </w:rPr>
        <w:t>Annals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(4), 610–616. </w:t>
      </w:r>
      <w:hyperlink r:id="rId5161" w:history="1">
        <w:r w:rsidRPr="0074138E">
          <w:rPr>
            <w:rFonts w:ascii="Times New Roman" w:eastAsia="Times New Roman" w:hAnsi="Times New Roman" w:cs="Times New Roman"/>
            <w:color w:val="0000FF"/>
            <w:sz w:val="24"/>
            <w:szCs w:val="24"/>
            <w:u w:val="single"/>
          </w:rPr>
          <w:t>https://doi.org/10.1002/ana.20630</w:t>
        </w:r>
      </w:hyperlink>
    </w:p>
    <w:p w14:paraId="158CFE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U., Magill, N., Renwick, B., Keyes, A., Kenyon, M., Dejong, H., Lose, A., Broadbent, H., Loomes, R., Yasin, H., Watson, C., Ghelani, S., Bonin, E.-M., Serpell, L., Richards, L., Johnson-Sabine, E., Boughton, N., Whitehead, L., Beecham, J., … Landau, S. (2015). The Maudsley Outpatient Study of Treatments for Anorexia Nervosa and Related Conditions (MOSAIC): Comparison of the Maudsley Model of Anorexia Nervosa Treatment for Adults (MANTRA) with specialist supportive clinical management (SSCM) in outpatients with. </w:t>
      </w:r>
      <w:r w:rsidRPr="0074138E">
        <w:rPr>
          <w:rFonts w:ascii="Times New Roman" w:eastAsia="Times New Roman" w:hAnsi="Times New Roman" w:cs="Times New Roman"/>
          <w:i/>
          <w:iCs/>
          <w:sz w:val="24"/>
          <w:szCs w:val="24"/>
        </w:rPr>
        <w:t>Journal of Consulting and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83</w:t>
      </w:r>
      <w:r w:rsidRPr="0074138E">
        <w:rPr>
          <w:rFonts w:ascii="Times New Roman" w:eastAsia="Times New Roman" w:hAnsi="Times New Roman" w:cs="Times New Roman"/>
          <w:sz w:val="24"/>
          <w:szCs w:val="24"/>
        </w:rPr>
        <w:t xml:space="preserve">(4), 796–807. </w:t>
      </w:r>
      <w:hyperlink r:id="rId5162" w:history="1">
        <w:r w:rsidRPr="0074138E">
          <w:rPr>
            <w:rFonts w:ascii="Times New Roman" w:eastAsia="Times New Roman" w:hAnsi="Times New Roman" w:cs="Times New Roman"/>
            <w:color w:val="0000FF"/>
            <w:sz w:val="24"/>
            <w:szCs w:val="24"/>
            <w:u w:val="single"/>
          </w:rPr>
          <w:t>https://doi.org/10.1037/ccp0000019</w:t>
        </w:r>
      </w:hyperlink>
    </w:p>
    <w:p w14:paraId="5D1BE0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Schmidt, U., Oldershaw, A., Jichi, F., Sternheim, L., Startup, H., McIntosh, V., Jordan, J., Tchanturia, K., Wolff, G., Rooney, M., Landau, S., &amp; Treasure, J. (2012). Out-patient psychological therapies for adults with anorexia nervosa: Randomised controlled trial. </w:t>
      </w:r>
      <w:r w:rsidRPr="0074138E">
        <w:rPr>
          <w:rFonts w:ascii="Times New Roman" w:eastAsia="Times New Roman" w:hAnsi="Times New Roman" w:cs="Times New Roman"/>
          <w:i/>
          <w:iCs/>
          <w:sz w:val="24"/>
          <w:szCs w:val="24"/>
        </w:rPr>
        <w:t>The British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201</w:t>
      </w:r>
      <w:r w:rsidRPr="0074138E">
        <w:rPr>
          <w:rFonts w:ascii="Times New Roman" w:eastAsia="Times New Roman" w:hAnsi="Times New Roman" w:cs="Times New Roman"/>
          <w:sz w:val="24"/>
          <w:szCs w:val="24"/>
        </w:rPr>
        <w:t xml:space="preserve">(5), 392–399. </w:t>
      </w:r>
      <w:hyperlink r:id="rId5163" w:history="1">
        <w:r w:rsidRPr="0074138E">
          <w:rPr>
            <w:rFonts w:ascii="Times New Roman" w:eastAsia="Times New Roman" w:hAnsi="Times New Roman" w:cs="Times New Roman"/>
            <w:color w:val="0000FF"/>
            <w:sz w:val="24"/>
            <w:szCs w:val="24"/>
            <w:u w:val="single"/>
          </w:rPr>
          <w:t>https://doi.org/10.1192/bjp.bp.112.112078</w:t>
        </w:r>
      </w:hyperlink>
    </w:p>
    <w:p w14:paraId="118710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Anderson, J. W. (2007). Feeling of knowing in episodic memory following moderate to severe closed-head injury.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224–234. </w:t>
      </w:r>
      <w:hyperlink r:id="rId5164" w:history="1">
        <w:r w:rsidRPr="0074138E">
          <w:rPr>
            <w:rFonts w:ascii="Times New Roman" w:eastAsia="Times New Roman" w:hAnsi="Times New Roman" w:cs="Times New Roman"/>
            <w:color w:val="0000FF"/>
            <w:sz w:val="24"/>
            <w:szCs w:val="24"/>
            <w:u w:val="single"/>
          </w:rPr>
          <w:t>https://doi.org/10.1037/0894-4105.21.2.224</w:t>
        </w:r>
      </w:hyperlink>
    </w:p>
    <w:p w14:paraId="059F853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Bales, J. W. (2005). Understanding text after severe closed-head injury: Assessing inferences and memory operations with a think-aloud procedure. </w:t>
      </w:r>
      <w:r w:rsidRPr="0074138E">
        <w:rPr>
          <w:rFonts w:ascii="Times New Roman" w:eastAsia="Times New Roman" w:hAnsi="Times New Roman" w:cs="Times New Roman"/>
          <w:i/>
          <w:iCs/>
          <w:sz w:val="24"/>
          <w:szCs w:val="24"/>
        </w:rPr>
        <w:t>Brain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(3), 331–346. </w:t>
      </w:r>
      <w:hyperlink r:id="rId5165" w:history="1">
        <w:r w:rsidRPr="0074138E">
          <w:rPr>
            <w:rFonts w:ascii="Times New Roman" w:eastAsia="Times New Roman" w:hAnsi="Times New Roman" w:cs="Times New Roman"/>
            <w:color w:val="0000FF"/>
            <w:sz w:val="24"/>
            <w:szCs w:val="24"/>
            <w:u w:val="single"/>
          </w:rPr>
          <w:t>https://doi.org/10.1016/j.bandl.2005.01.007</w:t>
        </w:r>
      </w:hyperlink>
    </w:p>
    <w:p w14:paraId="53C77E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Chaytor, N. S. (2003). Self-ordered pointing performance following severe closed-head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(7), 918–932. </w:t>
      </w:r>
      <w:hyperlink r:id="rId5166" w:history="1">
        <w:r w:rsidRPr="0074138E">
          <w:rPr>
            <w:rFonts w:ascii="Times New Roman" w:eastAsia="Times New Roman" w:hAnsi="Times New Roman" w:cs="Times New Roman"/>
            <w:color w:val="0000FF"/>
            <w:sz w:val="24"/>
            <w:szCs w:val="24"/>
            <w:u w:val="single"/>
          </w:rPr>
          <w:t>https://doi.org/10.1076/jcen.25.7.918.16484</w:t>
        </w:r>
      </w:hyperlink>
    </w:p>
    <w:p w14:paraId="275B520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Langill, M. (2006). Costs of a predictable switch between simple cognitive tasks following severe closed-head injury.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675–684. </w:t>
      </w:r>
      <w:hyperlink r:id="rId5167" w:history="1">
        <w:r w:rsidRPr="0074138E">
          <w:rPr>
            <w:rFonts w:ascii="Times New Roman" w:eastAsia="Times New Roman" w:hAnsi="Times New Roman" w:cs="Times New Roman"/>
            <w:color w:val="0000FF"/>
            <w:sz w:val="24"/>
            <w:szCs w:val="24"/>
            <w:u w:val="single"/>
          </w:rPr>
          <w:t>https://doi.org/10.1037/0894-4105.20.6.675</w:t>
        </w:r>
      </w:hyperlink>
    </w:p>
    <w:p w14:paraId="7566E4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Marks, W., Wright, M. J., &amp; Ventura, M. (2004). Retrieval Inhibition in Directed Forgetting Following Severe Closed-Head Injury.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104–114. </w:t>
      </w:r>
      <w:hyperlink r:id="rId5168" w:history="1">
        <w:r w:rsidRPr="0074138E">
          <w:rPr>
            <w:rFonts w:ascii="Times New Roman" w:eastAsia="Times New Roman" w:hAnsi="Times New Roman" w:cs="Times New Roman"/>
            <w:color w:val="0000FF"/>
            <w:sz w:val="24"/>
            <w:szCs w:val="24"/>
            <w:u w:val="single"/>
          </w:rPr>
          <w:t>https://doi.org/10.1037/0894-4105.18.1.104</w:t>
        </w:r>
      </w:hyperlink>
    </w:p>
    <w:p w14:paraId="0745F8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Woo, E. (2004). Memory self-awareness and memory self-monitoring following severe closed-head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(10), 997–1016. </w:t>
      </w:r>
      <w:hyperlink r:id="rId5169" w:history="1">
        <w:r w:rsidRPr="0074138E">
          <w:rPr>
            <w:rFonts w:ascii="Times New Roman" w:eastAsia="Times New Roman" w:hAnsi="Times New Roman" w:cs="Times New Roman"/>
            <w:color w:val="0000FF"/>
            <w:sz w:val="24"/>
            <w:szCs w:val="24"/>
            <w:u w:val="single"/>
          </w:rPr>
          <w:t>https://doi.org/10.1080/02699050410001719934</w:t>
        </w:r>
      </w:hyperlink>
    </w:p>
    <w:p w14:paraId="224E62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Schmitter-Edgecombe, M., &amp; Wright, M. J. (2003). Content Memory and Temporal Order Memory for Performed Activities After Severe Closed-Head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(7), 933–948. </w:t>
      </w:r>
      <w:hyperlink r:id="rId5170" w:history="1">
        <w:r w:rsidRPr="0074138E">
          <w:rPr>
            <w:rFonts w:ascii="Times New Roman" w:eastAsia="Times New Roman" w:hAnsi="Times New Roman" w:cs="Times New Roman"/>
            <w:color w:val="0000FF"/>
            <w:sz w:val="24"/>
            <w:szCs w:val="24"/>
            <w:u w:val="single"/>
          </w:rPr>
          <w:t>https://doi.org/10.1076/jcen.25.7.933.16493</w:t>
        </w:r>
      </w:hyperlink>
    </w:p>
    <w:p w14:paraId="3427F91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Schmittmann, V. D., Visser, I., &amp; Raijmakers, M. E. J. (2006). Multiple learning modes in the development of performance on a rule-based category-learning task.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(11), 2079–2091. </w:t>
      </w:r>
      <w:hyperlink r:id="rId5171" w:history="1">
        <w:r w:rsidRPr="0074138E">
          <w:rPr>
            <w:rFonts w:ascii="Times New Roman" w:eastAsia="Times New Roman" w:hAnsi="Times New Roman" w:cs="Times New Roman"/>
            <w:color w:val="0000FF"/>
            <w:sz w:val="24"/>
            <w:szCs w:val="24"/>
            <w:u w:val="single"/>
          </w:rPr>
          <w:t>https://doi.org/10.1016/j.neuropsychologia.2005.12.011</w:t>
        </w:r>
      </w:hyperlink>
    </w:p>
    <w:p w14:paraId="7C8BCB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Schmitz, M., Cadore, L., Paczko, M., Kipper, L., Chaves, M., Rohde, L. A., Moura, C., &amp; Knijnik, M. (2002). Neuropsychological performance in DSM-IV ADHD subtypes: An exploratory study with untreated adolescents. </w:t>
      </w:r>
      <w:r w:rsidRPr="0074138E">
        <w:rPr>
          <w:rFonts w:ascii="Times New Roman" w:eastAsia="Times New Roman" w:hAnsi="Times New Roman" w:cs="Times New Roman"/>
          <w:i/>
          <w:iCs/>
          <w:sz w:val="24"/>
          <w:szCs w:val="24"/>
        </w:rPr>
        <w:t>The Canadian Journal of Psychiatry / La Revue Canadienne de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(9), 863–869.</w:t>
      </w:r>
    </w:p>
    <w:p w14:paraId="1A179A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A., Huentelman, M. J., Kremerskothen, J., Duning, K., Spoelgen, R., &amp; Nikolich, K. (2010). KIBRA: A new gateway to learning and memory?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w:t>
      </w:r>
    </w:p>
    <w:p w14:paraId="168DE3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A. L., Schneider, T. L., &amp; Stark, H. (2008). Repetitive transcranial magnetic stimulation (rTMS) as an augmentation treatment for the negative symptoms of schizophrenia: A 4-week randomized placebo controlled study. </w:t>
      </w:r>
      <w:r w:rsidRPr="0074138E">
        <w:rPr>
          <w:rFonts w:ascii="Times New Roman" w:eastAsia="Times New Roman" w:hAnsi="Times New Roman" w:cs="Times New Roman"/>
          <w:i/>
          <w:iCs/>
          <w:sz w:val="24"/>
          <w:szCs w:val="24"/>
        </w:rPr>
        <w:t>Brain Stimulation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(2), 106–111. </w:t>
      </w:r>
      <w:hyperlink r:id="rId5172" w:history="1">
        <w:r w:rsidRPr="0074138E">
          <w:rPr>
            <w:rFonts w:ascii="Times New Roman" w:eastAsia="Times New Roman" w:hAnsi="Times New Roman" w:cs="Times New Roman"/>
            <w:color w:val="0000FF"/>
            <w:sz w:val="24"/>
            <w:szCs w:val="24"/>
            <w:u w:val="single"/>
          </w:rPr>
          <w:t>https://doi.org/10.1016/j.brs.2008.01.001</w:t>
        </w:r>
      </w:hyperlink>
    </w:p>
    <w:p w14:paraId="5C618E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B. C., Thoering, T., Cludius, B., &amp; Moritz, S. (2015). Self-reported symptoms of attention-deficit/hyperactivity disorder: Rate of endorsement and association with neuropsychological performance in an adult psychiatric sample.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186–191. </w:t>
      </w:r>
      <w:hyperlink r:id="rId5173" w:history="1">
        <w:r w:rsidRPr="0074138E">
          <w:rPr>
            <w:rFonts w:ascii="Times New Roman" w:eastAsia="Times New Roman" w:hAnsi="Times New Roman" w:cs="Times New Roman"/>
            <w:color w:val="0000FF"/>
            <w:sz w:val="24"/>
            <w:szCs w:val="24"/>
            <w:u w:val="single"/>
          </w:rPr>
          <w:t>https://doi.org/10.1093/arclin/acv015</w:t>
        </w:r>
      </w:hyperlink>
    </w:p>
    <w:p w14:paraId="259F9CE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B., Heskje, J., Bruss, J., Tranel, D., &amp; Belfi, A. M. (2018). The left temporal pole is a convergence region mediating the relation between names and semantic knowledge for unique entities: Further evidence from a “recognition-from-name” study in neurological patients.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109</w:t>
      </w:r>
      <w:r w:rsidRPr="0074138E">
        <w:rPr>
          <w:rFonts w:ascii="Times New Roman" w:eastAsia="Times New Roman" w:hAnsi="Times New Roman" w:cs="Times New Roman"/>
          <w:sz w:val="24"/>
          <w:szCs w:val="24"/>
        </w:rPr>
        <w:t xml:space="preserve">, 14–24. </w:t>
      </w:r>
      <w:hyperlink r:id="rId5174" w:history="1">
        <w:r w:rsidRPr="0074138E">
          <w:rPr>
            <w:rFonts w:ascii="Times New Roman" w:eastAsia="Times New Roman" w:hAnsi="Times New Roman" w:cs="Times New Roman"/>
            <w:color w:val="0000FF"/>
            <w:sz w:val="24"/>
            <w:szCs w:val="24"/>
            <w:u w:val="single"/>
          </w:rPr>
          <w:t>https://doi.org/10.1016/j.cortex.2018.08.026</w:t>
        </w:r>
      </w:hyperlink>
    </w:p>
    <w:p w14:paraId="7753A5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J. S., Sendek, S., &amp; Yang, C. (2015). Relationship between motor symptoms, cognition, and demographic characteristics in treated mild/moderate Parkinson’s disease.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(4).</w:t>
      </w:r>
    </w:p>
    <w:p w14:paraId="5EEE1C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Schneider, R. L., Arch, J. J., &amp; Wolitzky-Taylor, K. B. (2015). The state of personalized treatment for anxiety disorders: A systematic review of treatment moderators. </w:t>
      </w:r>
      <w:r w:rsidRPr="0074138E">
        <w:rPr>
          <w:rFonts w:ascii="Times New Roman" w:eastAsia="Times New Roman" w:hAnsi="Times New Roman" w:cs="Times New Roman"/>
          <w:i/>
          <w:iCs/>
          <w:sz w:val="24"/>
          <w:szCs w:val="24"/>
        </w:rPr>
        <w:t>Clinical 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 39–54. </w:t>
      </w:r>
      <w:hyperlink r:id="rId5175" w:history="1">
        <w:r w:rsidRPr="0074138E">
          <w:rPr>
            <w:rFonts w:ascii="Times New Roman" w:eastAsia="Times New Roman" w:hAnsi="Times New Roman" w:cs="Times New Roman"/>
            <w:color w:val="0000FF"/>
            <w:sz w:val="24"/>
            <w:szCs w:val="24"/>
            <w:u w:val="single"/>
          </w:rPr>
          <w:t>https://doi.org/10.1016/j.cpr.2015.02.004</w:t>
        </w:r>
      </w:hyperlink>
    </w:p>
    <w:p w14:paraId="6FB75F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Schnider, A., Nahum, L., Pignat, J.-M., Leemann, B., Lövblad, K.-O., Wissmeyer, M., &amp; Ptak, R. (2013). Isolated prospective confabulation in Wernicke–Korsakoff syndrome: A case for reality filtering.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 90–104. </w:t>
      </w:r>
      <w:hyperlink r:id="rId5176" w:history="1">
        <w:r w:rsidRPr="0074138E">
          <w:rPr>
            <w:rFonts w:ascii="Times New Roman" w:eastAsia="Times New Roman" w:hAnsi="Times New Roman" w:cs="Times New Roman"/>
            <w:color w:val="0000FF"/>
            <w:sz w:val="24"/>
            <w:szCs w:val="24"/>
            <w:u w:val="single"/>
          </w:rPr>
          <w:t>https://doi.org/10.1080/13554794.2011.654221</w:t>
        </w:r>
      </w:hyperlink>
    </w:p>
    <w:p w14:paraId="68DDCC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Schnyer, D. M., Maddox, W. T., Ell, S., Davis, S., Pacheco, J., &amp; Verfaellie, M. (2009). Prefrontal contributions to rule-based and information-integration category learning.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(13), 2995–3006. </w:t>
      </w:r>
      <w:hyperlink r:id="rId5177" w:history="1">
        <w:r w:rsidRPr="0074138E">
          <w:rPr>
            <w:rFonts w:ascii="Times New Roman" w:eastAsia="Times New Roman" w:hAnsi="Times New Roman" w:cs="Times New Roman"/>
            <w:color w:val="0000FF"/>
            <w:sz w:val="24"/>
            <w:szCs w:val="24"/>
            <w:u w:val="single"/>
          </w:rPr>
          <w:t>https://doi.org/10.1016/j.neuropsychologia.2009.07.011</w:t>
        </w:r>
      </w:hyperlink>
    </w:p>
    <w:p w14:paraId="1FE92F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Schnyer, D. M., Verfaellie, M., Alexander, M. P., LaFleche, G., Nicholls, L., &amp; Kaszniak, A. W. (2004). A role for right medial prefrontal cortex in accurate feeling-of-knowing judgments: Evidence from patients with lesions to frontal cortex.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(7), 957–966. </w:t>
      </w:r>
      <w:hyperlink r:id="rId5178" w:history="1">
        <w:r w:rsidRPr="0074138E">
          <w:rPr>
            <w:rFonts w:ascii="Times New Roman" w:eastAsia="Times New Roman" w:hAnsi="Times New Roman" w:cs="Times New Roman"/>
            <w:color w:val="0000FF"/>
            <w:sz w:val="24"/>
            <w:szCs w:val="24"/>
            <w:u w:val="single"/>
          </w:rPr>
          <w:t>https://doi.org/10.1016/j.neuropsychologia.2003.11.020</w:t>
        </w:r>
      </w:hyperlink>
    </w:p>
    <w:p w14:paraId="4FD56D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Schobel, S. A., Kelly, M. A., Corcoran, C. M., Van Heertum, K., Seckinger, R., Goetz, R., Harkavy-Friedman, J., &amp; Malaspina, D. (2009). Anterior hippocampal and orbitofrontal cortical structural brain abnormalities in association with cognitive deficits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114</w:t>
      </w:r>
      <w:r w:rsidRPr="0074138E">
        <w:rPr>
          <w:rFonts w:ascii="Times New Roman" w:eastAsia="Times New Roman" w:hAnsi="Times New Roman" w:cs="Times New Roman"/>
          <w:sz w:val="24"/>
          <w:szCs w:val="24"/>
        </w:rPr>
        <w:t xml:space="preserve">(1–3), 110–118. </w:t>
      </w:r>
      <w:hyperlink r:id="rId5179" w:history="1">
        <w:r w:rsidRPr="0074138E">
          <w:rPr>
            <w:rFonts w:ascii="Times New Roman" w:eastAsia="Times New Roman" w:hAnsi="Times New Roman" w:cs="Times New Roman"/>
            <w:color w:val="0000FF"/>
            <w:sz w:val="24"/>
            <w:szCs w:val="24"/>
            <w:u w:val="single"/>
          </w:rPr>
          <w:t>https://doi.org/10.1016/j.schres.2009.07.016</w:t>
        </w:r>
      </w:hyperlink>
    </w:p>
    <w:p w14:paraId="49C99B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Schoch, K., Harrell, W., Hooper, S. R., Ip, E. H., Saldana, S., Kwapil, T. R., &amp; Shashi, V. (2014). Applicability of the nonverbal learning disability paradigm for children with 22q11.2 deletion syndrome.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(2), 153–166. </w:t>
      </w:r>
      <w:hyperlink r:id="rId5180" w:history="1">
        <w:r w:rsidRPr="0074138E">
          <w:rPr>
            <w:rFonts w:ascii="Times New Roman" w:eastAsia="Times New Roman" w:hAnsi="Times New Roman" w:cs="Times New Roman"/>
            <w:color w:val="0000FF"/>
            <w:sz w:val="24"/>
            <w:szCs w:val="24"/>
            <w:u w:val="single"/>
          </w:rPr>
          <w:t>https://doi.org/10.1177/0022219412443556</w:t>
        </w:r>
      </w:hyperlink>
    </w:p>
    <w:p w14:paraId="566A11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Schoemaker, K., Mulder, H., Deković, M., &amp; Matthys, W. (2013). Executive functions in preschool children with externalizing behavior problems: A meta-analysis. </w:t>
      </w:r>
      <w:r w:rsidRPr="0074138E">
        <w:rPr>
          <w:rFonts w:ascii="Times New Roman" w:eastAsia="Times New Roman" w:hAnsi="Times New Roman" w:cs="Times New Roman"/>
          <w:i/>
          <w:iCs/>
          <w:sz w:val="24"/>
          <w:szCs w:val="24"/>
        </w:rPr>
        <w:t>Journal of Abnormal Child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(3), 457–471. </w:t>
      </w:r>
      <w:hyperlink r:id="rId5181" w:history="1">
        <w:r w:rsidRPr="0074138E">
          <w:rPr>
            <w:rFonts w:ascii="Times New Roman" w:eastAsia="Times New Roman" w:hAnsi="Times New Roman" w:cs="Times New Roman"/>
            <w:color w:val="0000FF"/>
            <w:sz w:val="24"/>
            <w:szCs w:val="24"/>
            <w:u w:val="single"/>
          </w:rPr>
          <w:t>https://doi.org/10.1007/s10802-012-9684-x</w:t>
        </w:r>
      </w:hyperlink>
    </w:p>
    <w:p w14:paraId="3E40D19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Schoeman, R., Carey, P., &amp; Seedat, S. (2009). Trauma and posttraumatic stress disorder in South African adolescents: A case-control study of cognitive deficits.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197</w:t>
      </w:r>
      <w:r w:rsidRPr="0074138E">
        <w:rPr>
          <w:rFonts w:ascii="Times New Roman" w:eastAsia="Times New Roman" w:hAnsi="Times New Roman" w:cs="Times New Roman"/>
          <w:sz w:val="24"/>
          <w:szCs w:val="24"/>
        </w:rPr>
        <w:t xml:space="preserve">(4), 244–250. </w:t>
      </w:r>
      <w:hyperlink r:id="rId5182" w:history="1">
        <w:r w:rsidRPr="0074138E">
          <w:rPr>
            <w:rFonts w:ascii="Times New Roman" w:eastAsia="Times New Roman" w:hAnsi="Times New Roman" w:cs="Times New Roman"/>
            <w:color w:val="0000FF"/>
            <w:sz w:val="24"/>
            <w:szCs w:val="24"/>
            <w:u w:val="single"/>
          </w:rPr>
          <w:t>https://doi.org/10.1097/NMD.0b013e31819d9533</w:t>
        </w:r>
      </w:hyperlink>
    </w:p>
    <w:p w14:paraId="57B4FD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Schoenberg, M. R., &amp; Duff, K. (2011). Dementias and mild cognitive impairment in adults. In M. R. Schoenberg, J. G. Scott, M. R. Schoenberg  (Ed), &amp; J. G. Scott  (Ed)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357–403). Springer Science + Business Media. </w:t>
      </w:r>
      <w:hyperlink r:id="rId5183" w:history="1">
        <w:r w:rsidRPr="0074138E">
          <w:rPr>
            <w:rFonts w:ascii="Times New Roman" w:eastAsia="Times New Roman" w:hAnsi="Times New Roman" w:cs="Times New Roman"/>
            <w:color w:val="0000FF"/>
            <w:sz w:val="24"/>
            <w:szCs w:val="24"/>
            <w:u w:val="single"/>
          </w:rPr>
          <w:t>https://doi.org/10.1007/978-0-387-76978-3_14</w:t>
        </w:r>
      </w:hyperlink>
    </w:p>
    <w:p w14:paraId="5563411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Schoenberg, M. R., &amp; Scott, J. G. (2011). The neuropsychology referral and answering the referral question. In M. R. Schoenberg, J. G. Scott, M. R. Schoenberg  (Ed), &amp; J. G. Scott  (Ed)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1–37). Springer Science + Business Media. </w:t>
      </w:r>
      <w:hyperlink r:id="rId5184" w:history="1">
        <w:r w:rsidRPr="0074138E">
          <w:rPr>
            <w:rFonts w:ascii="Times New Roman" w:eastAsia="Times New Roman" w:hAnsi="Times New Roman" w:cs="Times New Roman"/>
            <w:color w:val="0000FF"/>
            <w:sz w:val="24"/>
            <w:szCs w:val="24"/>
            <w:u w:val="single"/>
          </w:rPr>
          <w:t>https://doi.org/10.1007/978-0-387-76978-3_1</w:t>
        </w:r>
      </w:hyperlink>
    </w:p>
    <w:p w14:paraId="5BC59A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Schoenberg, M. R., Werz, M. A., &amp; Drane, D. L. (2011). Epilepsy and seizures. In M. R. Schoenberg, J. G. Scott, M. R. Schoenberg  (Ed), &amp; J. G. Scott  (Ed)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423–519). Springer Science + Business Media. </w:t>
      </w:r>
      <w:hyperlink r:id="rId5185" w:history="1">
        <w:r w:rsidRPr="0074138E">
          <w:rPr>
            <w:rFonts w:ascii="Times New Roman" w:eastAsia="Times New Roman" w:hAnsi="Times New Roman" w:cs="Times New Roman"/>
            <w:color w:val="0000FF"/>
            <w:sz w:val="24"/>
            <w:szCs w:val="24"/>
            <w:u w:val="single"/>
          </w:rPr>
          <w:t>https://doi.org/10.1007/978-0-387-76978-3_16</w:t>
        </w:r>
      </w:hyperlink>
    </w:p>
    <w:p w14:paraId="46D821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Scholes, K. E., &amp; Martin-Iverson, M. T. (2009). Relationships between prepulse inhibition and cognition are mediated by attentional processes. </w:t>
      </w:r>
      <w:r w:rsidRPr="0074138E">
        <w:rPr>
          <w:rFonts w:ascii="Times New Roman" w:eastAsia="Times New Roman" w:hAnsi="Times New Roman" w:cs="Times New Roman"/>
          <w:i/>
          <w:iCs/>
          <w:sz w:val="24"/>
          <w:szCs w:val="24"/>
        </w:rPr>
        <w:t>Behavioural Brain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205</w:t>
      </w:r>
      <w:r w:rsidRPr="0074138E">
        <w:rPr>
          <w:rFonts w:ascii="Times New Roman" w:eastAsia="Times New Roman" w:hAnsi="Times New Roman" w:cs="Times New Roman"/>
          <w:sz w:val="24"/>
          <w:szCs w:val="24"/>
        </w:rPr>
        <w:t xml:space="preserve">(2), 456–467. </w:t>
      </w:r>
      <w:hyperlink r:id="rId5186" w:history="1">
        <w:r w:rsidRPr="0074138E">
          <w:rPr>
            <w:rFonts w:ascii="Times New Roman" w:eastAsia="Times New Roman" w:hAnsi="Times New Roman" w:cs="Times New Roman"/>
            <w:color w:val="0000FF"/>
            <w:sz w:val="24"/>
            <w:szCs w:val="24"/>
            <w:u w:val="single"/>
          </w:rPr>
          <w:t>https://doi.org/10.1016/j.bbr.2009.07.031</w:t>
        </w:r>
      </w:hyperlink>
    </w:p>
    <w:p w14:paraId="6C9B1D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Scholes, K. E., &amp; Martin-Iverson, M. T. (2010). Cannabis use and neuropsychological performance in healthy individuals and patients with schizophrenia.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(10), 1635–1646. </w:t>
      </w:r>
      <w:hyperlink r:id="rId5187" w:history="1">
        <w:r w:rsidRPr="0074138E">
          <w:rPr>
            <w:rFonts w:ascii="Times New Roman" w:eastAsia="Times New Roman" w:hAnsi="Times New Roman" w:cs="Times New Roman"/>
            <w:color w:val="0000FF"/>
            <w:sz w:val="24"/>
            <w:szCs w:val="24"/>
            <w:u w:val="single"/>
          </w:rPr>
          <w:t>https://doi.org/10.1017/S0033291709992078</w:t>
        </w:r>
      </w:hyperlink>
    </w:p>
    <w:p w14:paraId="15CE4A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Schöls, L., &amp; Klockgether, T. (2015). Ataxia. In </w:t>
      </w:r>
      <w:r w:rsidRPr="0074138E">
        <w:rPr>
          <w:rFonts w:ascii="Times New Roman" w:eastAsia="Times New Roman" w:hAnsi="Times New Roman" w:cs="Times New Roman"/>
          <w:i/>
          <w:iCs/>
          <w:sz w:val="24"/>
          <w:szCs w:val="24"/>
        </w:rPr>
        <w:t>Neuropsychiatric symptoms of movement disorders.</w:t>
      </w:r>
      <w:r w:rsidRPr="0074138E">
        <w:rPr>
          <w:rFonts w:ascii="Times New Roman" w:eastAsia="Times New Roman" w:hAnsi="Times New Roman" w:cs="Times New Roman"/>
          <w:sz w:val="24"/>
          <w:szCs w:val="24"/>
        </w:rPr>
        <w:t xml:space="preserve"> (pp. 277–292). Springer International Publishing. </w:t>
      </w:r>
      <w:hyperlink r:id="rId5188" w:history="1">
        <w:r w:rsidRPr="0074138E">
          <w:rPr>
            <w:rFonts w:ascii="Times New Roman" w:eastAsia="Times New Roman" w:hAnsi="Times New Roman" w:cs="Times New Roman"/>
            <w:color w:val="0000FF"/>
            <w:sz w:val="24"/>
            <w:szCs w:val="24"/>
            <w:u w:val="single"/>
          </w:rPr>
          <w:t>https://doi.org/10.1007/978-3-319-09537-0_13</w:t>
        </w:r>
      </w:hyperlink>
    </w:p>
    <w:p w14:paraId="26162D3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Schouten, J., Cinque, P., Gisslen, M., Reiss, P., &amp; Portegies, P. (2011). HIV-1 infection and cognitive impairment in the cART era: A review. </w:t>
      </w:r>
      <w:r w:rsidRPr="0074138E">
        <w:rPr>
          <w:rFonts w:ascii="Times New Roman" w:eastAsia="Times New Roman" w:hAnsi="Times New Roman" w:cs="Times New Roman"/>
          <w:i/>
          <w:iCs/>
          <w:sz w:val="24"/>
          <w:szCs w:val="24"/>
        </w:rPr>
        <w:t>AIDS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(5), 561–575. </w:t>
      </w:r>
      <w:hyperlink r:id="rId5189" w:history="1">
        <w:r w:rsidRPr="0074138E">
          <w:rPr>
            <w:rFonts w:ascii="Times New Roman" w:eastAsia="Times New Roman" w:hAnsi="Times New Roman" w:cs="Times New Roman"/>
            <w:color w:val="0000FF"/>
            <w:sz w:val="24"/>
            <w:szCs w:val="24"/>
            <w:u w:val="single"/>
          </w:rPr>
          <w:t>https://doi.org/10.1097/QAD.0b013e3283437f9a</w:t>
        </w:r>
      </w:hyperlink>
    </w:p>
    <w:p w14:paraId="3BD1A1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Schraegle, W. A., Nussbaum, N. L., &amp; Titus, J. B. (2018). Executive dysfunction and depression in pediatric temporal lobe epilepsy: The contribution of hippocampal sclerosis and psychosocial factors.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(6), 606–616. </w:t>
      </w:r>
      <w:hyperlink r:id="rId5190" w:history="1">
        <w:r w:rsidRPr="0074138E">
          <w:rPr>
            <w:rFonts w:ascii="Times New Roman" w:eastAsia="Times New Roman" w:hAnsi="Times New Roman" w:cs="Times New Roman"/>
            <w:color w:val="0000FF"/>
            <w:sz w:val="24"/>
            <w:szCs w:val="24"/>
            <w:u w:val="single"/>
          </w:rPr>
          <w:t>https://doi.org/10.1017/S1355617718000140</w:t>
        </w:r>
      </w:hyperlink>
    </w:p>
    <w:p w14:paraId="742006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Schreiber, L. R. N., Odlaug, B. L., &amp; Grant, J. E. (2012). Recreational gamblers with and without parental addiction.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196</w:t>
      </w:r>
      <w:r w:rsidRPr="0074138E">
        <w:rPr>
          <w:rFonts w:ascii="Times New Roman" w:eastAsia="Times New Roman" w:hAnsi="Times New Roman" w:cs="Times New Roman"/>
          <w:sz w:val="24"/>
          <w:szCs w:val="24"/>
        </w:rPr>
        <w:t xml:space="preserve">(2–3), 290–295. </w:t>
      </w:r>
      <w:hyperlink r:id="rId5191" w:history="1">
        <w:r w:rsidRPr="0074138E">
          <w:rPr>
            <w:rFonts w:ascii="Times New Roman" w:eastAsia="Times New Roman" w:hAnsi="Times New Roman" w:cs="Times New Roman"/>
            <w:color w:val="0000FF"/>
            <w:sz w:val="24"/>
            <w:szCs w:val="24"/>
            <w:u w:val="single"/>
          </w:rPr>
          <w:t>https://doi.org/10.1016/j.psychres.2011.12.019</w:t>
        </w:r>
      </w:hyperlink>
    </w:p>
    <w:p w14:paraId="0BA7F7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Schreiner, M. J., Lazaro, M. T., Jalbrzikowski, M., &amp; Bearden, C. E. (2013). Converging levels of analysis on a genomic hotspot for psychosis: Insights from 22q11.2 Deletion Syndrome. </w:t>
      </w:r>
      <w:r w:rsidRPr="0074138E">
        <w:rPr>
          <w:rFonts w:ascii="Times New Roman" w:eastAsia="Times New Roman" w:hAnsi="Times New Roman" w:cs="Times New Roman"/>
          <w:i/>
          <w:iCs/>
          <w:sz w:val="24"/>
          <w:szCs w:val="24"/>
        </w:rPr>
        <w:t>Neuropharmacology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68</w:t>
      </w:r>
      <w:r w:rsidRPr="0074138E">
        <w:rPr>
          <w:rFonts w:ascii="Times New Roman" w:eastAsia="Times New Roman" w:hAnsi="Times New Roman" w:cs="Times New Roman"/>
          <w:sz w:val="24"/>
          <w:szCs w:val="24"/>
        </w:rPr>
        <w:t xml:space="preserve">, 157–173. </w:t>
      </w:r>
      <w:hyperlink r:id="rId5192" w:history="1">
        <w:r w:rsidRPr="0074138E">
          <w:rPr>
            <w:rFonts w:ascii="Times New Roman" w:eastAsia="Times New Roman" w:hAnsi="Times New Roman" w:cs="Times New Roman"/>
            <w:color w:val="0000FF"/>
            <w:sz w:val="24"/>
            <w:szCs w:val="24"/>
            <w:u w:val="single"/>
          </w:rPr>
          <w:t>https://doi.org/10.1016/j.neuropharm.2012.09.012</w:t>
        </w:r>
      </w:hyperlink>
    </w:p>
    <w:p w14:paraId="45C492A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Buffington, A. L. H., Meyer, S. M., &amp; Pearlson, G. D. (2005). The use of word-reading to estimate “premorbid” ability in cognitive domains other than intelligence.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(6), 784–787. </w:t>
      </w:r>
      <w:hyperlink r:id="rId5193" w:history="1">
        <w:r w:rsidRPr="0074138E">
          <w:rPr>
            <w:rFonts w:ascii="Times New Roman" w:eastAsia="Times New Roman" w:hAnsi="Times New Roman" w:cs="Times New Roman"/>
            <w:color w:val="0000FF"/>
            <w:sz w:val="24"/>
            <w:szCs w:val="24"/>
            <w:u w:val="single"/>
          </w:rPr>
          <w:t>https://doi.org/10.1017/S1355617705050939</w:t>
        </w:r>
      </w:hyperlink>
    </w:p>
    <w:p w14:paraId="213A48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Munro, C. A., Anthony, J. C., &amp; Pearlson, G. D. (2003). Examining the range of normal intraindividual variability in neuropsychological test performance.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(6), 864–870. </w:t>
      </w:r>
      <w:hyperlink r:id="rId5194" w:history="1">
        <w:r w:rsidRPr="0074138E">
          <w:rPr>
            <w:rFonts w:ascii="Times New Roman" w:eastAsia="Times New Roman" w:hAnsi="Times New Roman" w:cs="Times New Roman"/>
            <w:color w:val="0000FF"/>
            <w:sz w:val="24"/>
            <w:szCs w:val="24"/>
            <w:u w:val="single"/>
          </w:rPr>
          <w:t>https://doi.org/10.1017/S1355617703960061</w:t>
        </w:r>
      </w:hyperlink>
    </w:p>
    <w:p w14:paraId="540B05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Peña, J., Aretouli, E., Orue, I., Cascella, N. G., Pearlson, G. D., &amp; Ojeda, N. (2013). Confirmatory factor analysis reveals a latent cognitive structure common to bipolar disorder, schizophrenia, and normal controls.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(4), 422–433. </w:t>
      </w:r>
      <w:hyperlink r:id="rId5195" w:history="1">
        <w:r w:rsidRPr="0074138E">
          <w:rPr>
            <w:rFonts w:ascii="Times New Roman" w:eastAsia="Times New Roman" w:hAnsi="Times New Roman" w:cs="Times New Roman"/>
            <w:color w:val="0000FF"/>
            <w:sz w:val="24"/>
            <w:szCs w:val="24"/>
            <w:u w:val="single"/>
          </w:rPr>
          <w:t>https://doi.org/10.1111/bdi.12075</w:t>
        </w:r>
      </w:hyperlink>
    </w:p>
    <w:p w14:paraId="45EC70C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van der Hulst, E.-J., Pearlson, G. D., &amp; Gordon, B. (2010). A neuropsychological study of personality: Trait openness in relation to intelligence, fluency, and executive functioning.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(10), 1068–1073. </w:t>
      </w:r>
      <w:hyperlink r:id="rId5196" w:history="1">
        <w:r w:rsidRPr="0074138E">
          <w:rPr>
            <w:rFonts w:ascii="Times New Roman" w:eastAsia="Times New Roman" w:hAnsi="Times New Roman" w:cs="Times New Roman"/>
            <w:color w:val="0000FF"/>
            <w:sz w:val="24"/>
            <w:szCs w:val="24"/>
            <w:u w:val="single"/>
          </w:rPr>
          <w:t>https://doi.org/10.1080/13803391003689770</w:t>
        </w:r>
      </w:hyperlink>
    </w:p>
    <w:p w14:paraId="1AAF9A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Schretlen, D. J., Vannorsdall, T. D., Winicki, J. M., Mushtaq, Y., Hikida, T., Sawa, A., Yolken, R. H., Dickerson, F. B., &amp; Cascella, N. G. (2010). Neuroanatomic and cognitive abnormalities related to herpes simplex virus type 1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118</w:t>
      </w:r>
      <w:r w:rsidRPr="0074138E">
        <w:rPr>
          <w:rFonts w:ascii="Times New Roman" w:eastAsia="Times New Roman" w:hAnsi="Times New Roman" w:cs="Times New Roman"/>
          <w:sz w:val="24"/>
          <w:szCs w:val="24"/>
        </w:rPr>
        <w:t xml:space="preserve">(1–3), 224–231. </w:t>
      </w:r>
      <w:hyperlink r:id="rId5197" w:history="1">
        <w:r w:rsidRPr="0074138E">
          <w:rPr>
            <w:rFonts w:ascii="Times New Roman" w:eastAsia="Times New Roman" w:hAnsi="Times New Roman" w:cs="Times New Roman"/>
            <w:color w:val="0000FF"/>
            <w:sz w:val="24"/>
            <w:szCs w:val="24"/>
            <w:u w:val="single"/>
          </w:rPr>
          <w:t>https://doi.org/10.1016/j.schres.2010.01.008</w:t>
        </w:r>
      </w:hyperlink>
    </w:p>
    <w:p w14:paraId="5DD169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Schreuder, M., Riccio, A., Risetti, M., Dähne, S., Ramsay, A., Williamson, J., Mattia, D., &amp; Tangermann, M. (2013). User-centered design in brain–computer interfaces—A case study. </w:t>
      </w:r>
      <w:r w:rsidRPr="0074138E">
        <w:rPr>
          <w:rFonts w:ascii="Times New Roman" w:eastAsia="Times New Roman" w:hAnsi="Times New Roman" w:cs="Times New Roman"/>
          <w:i/>
          <w:iCs/>
          <w:sz w:val="24"/>
          <w:szCs w:val="24"/>
        </w:rPr>
        <w:t>Artificial Intelligence in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(2), 71–80. </w:t>
      </w:r>
      <w:hyperlink r:id="rId5198" w:history="1">
        <w:r w:rsidRPr="0074138E">
          <w:rPr>
            <w:rFonts w:ascii="Times New Roman" w:eastAsia="Times New Roman" w:hAnsi="Times New Roman" w:cs="Times New Roman"/>
            <w:color w:val="0000FF"/>
            <w:sz w:val="24"/>
            <w:szCs w:val="24"/>
            <w:u w:val="single"/>
          </w:rPr>
          <w:t>https://doi.org/10.1016/j.artmed.2013.07.005</w:t>
        </w:r>
      </w:hyperlink>
    </w:p>
    <w:p w14:paraId="45D8CA2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Schubert, E. W., &amp; McNeil, T. F. (2005). Neuropsychological Impairment and Its Neurological Correlates in Adult Offspring With Heightened Risk for Schizophrenia and Affective Psychosis.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162</w:t>
      </w:r>
      <w:r w:rsidRPr="0074138E">
        <w:rPr>
          <w:rFonts w:ascii="Times New Roman" w:eastAsia="Times New Roman" w:hAnsi="Times New Roman" w:cs="Times New Roman"/>
          <w:sz w:val="24"/>
          <w:szCs w:val="24"/>
        </w:rPr>
        <w:t xml:space="preserve">(4), 758–766. </w:t>
      </w:r>
      <w:hyperlink r:id="rId5199" w:history="1">
        <w:r w:rsidRPr="0074138E">
          <w:rPr>
            <w:rFonts w:ascii="Times New Roman" w:eastAsia="Times New Roman" w:hAnsi="Times New Roman" w:cs="Times New Roman"/>
            <w:color w:val="0000FF"/>
            <w:sz w:val="24"/>
            <w:szCs w:val="24"/>
            <w:u w:val="single"/>
          </w:rPr>
          <w:t>https://doi.org/10.1176/appi.ajp.162.4.758</w:t>
        </w:r>
      </w:hyperlink>
    </w:p>
    <w:p w14:paraId="28D081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Schubert, E. W., &amp; McNeil, T. F. (2007). Neurobehavioral deficits in young adult offspring with heightened risk for psychosis who developed schizophrenia-spectrum disorder.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(1–3), 107–113. </w:t>
      </w:r>
      <w:hyperlink r:id="rId5200" w:history="1">
        <w:r w:rsidRPr="0074138E">
          <w:rPr>
            <w:rFonts w:ascii="Times New Roman" w:eastAsia="Times New Roman" w:hAnsi="Times New Roman" w:cs="Times New Roman"/>
            <w:color w:val="0000FF"/>
            <w:sz w:val="24"/>
            <w:szCs w:val="24"/>
            <w:u w:val="single"/>
          </w:rPr>
          <w:t>https://doi.org/10.1016/j.schres.2007.05.015</w:t>
        </w:r>
      </w:hyperlink>
    </w:p>
    <w:p w14:paraId="620F84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Schuck, S. E. B., &amp; Crinella, F. M. (2005). Why Children with ADHD Do Not Have Low IQs.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(3), 262–280. </w:t>
      </w:r>
      <w:hyperlink r:id="rId5201" w:history="1">
        <w:r w:rsidRPr="0074138E">
          <w:rPr>
            <w:rFonts w:ascii="Times New Roman" w:eastAsia="Times New Roman" w:hAnsi="Times New Roman" w:cs="Times New Roman"/>
            <w:color w:val="0000FF"/>
            <w:sz w:val="24"/>
            <w:szCs w:val="24"/>
            <w:u w:val="single"/>
          </w:rPr>
          <w:t>https://doi.org/10.1177/00222194050380030701</w:t>
        </w:r>
      </w:hyperlink>
    </w:p>
    <w:p w14:paraId="086BB6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Bader, J.-P., Hell, D., &amp; Baumgartner, R. W. (2004). Cerebral hemodynamics and processing speed during category learning. </w:t>
      </w:r>
      <w:r w:rsidRPr="0074138E">
        <w:rPr>
          <w:rFonts w:ascii="Times New Roman" w:eastAsia="Times New Roman" w:hAnsi="Times New Roman" w:cs="Times New Roman"/>
          <w:i/>
          <w:iCs/>
          <w:sz w:val="24"/>
          <w:szCs w:val="24"/>
        </w:rPr>
        <w:t>NeuroReport: For Rapid Communication of 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(7), 1195–1198. </w:t>
      </w:r>
      <w:hyperlink r:id="rId5202" w:history="1">
        <w:r w:rsidRPr="0074138E">
          <w:rPr>
            <w:rFonts w:ascii="Times New Roman" w:eastAsia="Times New Roman" w:hAnsi="Times New Roman" w:cs="Times New Roman"/>
            <w:color w:val="0000FF"/>
            <w:sz w:val="24"/>
            <w:szCs w:val="24"/>
            <w:u w:val="single"/>
          </w:rPr>
          <w:t>https://doi.org/10.1097/00001756-200405190-00023</w:t>
        </w:r>
      </w:hyperlink>
    </w:p>
    <w:p w14:paraId="273C28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Goenner, F., Staikov, I., Mattle, H. P., Hell, D., &amp; Brenner, H.-D. (2002). Temporal modulation of cerebral hemodynamics under prefrontal challenge in schizophrenia: A transcranial Doppler sonography study.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115</w:t>
      </w:r>
      <w:r w:rsidRPr="0074138E">
        <w:rPr>
          <w:rFonts w:ascii="Times New Roman" w:eastAsia="Times New Roman" w:hAnsi="Times New Roman" w:cs="Times New Roman"/>
          <w:sz w:val="24"/>
          <w:szCs w:val="24"/>
        </w:rPr>
        <w:t xml:space="preserve">(3), 155–170. </w:t>
      </w:r>
      <w:hyperlink r:id="rId5203" w:history="1">
        <w:r w:rsidRPr="0074138E">
          <w:rPr>
            <w:rFonts w:ascii="Times New Roman" w:eastAsia="Times New Roman" w:hAnsi="Times New Roman" w:cs="Times New Roman"/>
            <w:color w:val="0000FF"/>
            <w:sz w:val="24"/>
            <w:szCs w:val="24"/>
            <w:u w:val="single"/>
          </w:rPr>
          <w:t>https://doi.org/10.1016/S0925-4927(02)00042-2</w:t>
        </w:r>
      </w:hyperlink>
    </w:p>
    <w:p w14:paraId="49F1ED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Hell, D., &amp; Baumgartner, R. W. (2005). Lateralization of cerebral hemodynamics during Wisconsin Card Sorting Test: A functional transcranial Doppler sonography study. </w:t>
      </w:r>
      <w:r w:rsidRPr="0074138E">
        <w:rPr>
          <w:rFonts w:ascii="Times New Roman" w:eastAsia="Times New Roman" w:hAnsi="Times New Roman" w:cs="Times New Roman"/>
          <w:i/>
          <w:iCs/>
          <w:sz w:val="24"/>
          <w:szCs w:val="24"/>
        </w:rPr>
        <w:t>Clinical Neurophysiology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116</w:t>
      </w:r>
      <w:r w:rsidRPr="0074138E">
        <w:rPr>
          <w:rFonts w:ascii="Times New Roman" w:eastAsia="Times New Roman" w:hAnsi="Times New Roman" w:cs="Times New Roman"/>
          <w:sz w:val="24"/>
          <w:szCs w:val="24"/>
        </w:rPr>
        <w:t xml:space="preserve">(5), 1041–1048. </w:t>
      </w:r>
      <w:hyperlink r:id="rId5204" w:history="1">
        <w:r w:rsidRPr="0074138E">
          <w:rPr>
            <w:rFonts w:ascii="Times New Roman" w:eastAsia="Times New Roman" w:hAnsi="Times New Roman" w:cs="Times New Roman"/>
            <w:color w:val="0000FF"/>
            <w:sz w:val="24"/>
            <w:szCs w:val="24"/>
            <w:u w:val="single"/>
          </w:rPr>
          <w:t>https://doi.org/10.1016/j.clinph.2004.12.014</w:t>
        </w:r>
      </w:hyperlink>
    </w:p>
    <w:p w14:paraId="6140D4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Schuepbach, D., Merlo, M. C. G., Goenner, F., Staikov, I., Mattle, H. P., Dierks, T., &amp; Brenner, H. D. (2002). Cerebral hemodynamic response induced by the Tower of Hanoi puzzle and the Wisconsin Card Sorting test.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(1), 39–53. </w:t>
      </w:r>
      <w:hyperlink r:id="rId5205" w:history="1">
        <w:r w:rsidRPr="0074138E">
          <w:rPr>
            <w:rFonts w:ascii="Times New Roman" w:eastAsia="Times New Roman" w:hAnsi="Times New Roman" w:cs="Times New Roman"/>
            <w:color w:val="0000FF"/>
            <w:sz w:val="24"/>
            <w:szCs w:val="24"/>
            <w:u w:val="single"/>
          </w:rPr>
          <w:t>https://doi.org/10.1016/S0028-3932(01)00074-4</w:t>
        </w:r>
      </w:hyperlink>
    </w:p>
    <w:p w14:paraId="0F303E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Schulte, M. H. J., Cousijn, J., den Uyl, T. E., Goudriaan, A. E., van den Brink, W., Veltman, D. J., Schilt, T., &amp; Wiers, R. W. (2014). Recovery of neurocognitive functions following sustained abstinence after substance dependence and implications for treatment. </w:t>
      </w:r>
      <w:r w:rsidRPr="0074138E">
        <w:rPr>
          <w:rFonts w:ascii="Times New Roman" w:eastAsia="Times New Roman" w:hAnsi="Times New Roman" w:cs="Times New Roman"/>
          <w:i/>
          <w:iCs/>
          <w:sz w:val="24"/>
          <w:szCs w:val="24"/>
        </w:rPr>
        <w:t>Clinical 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(7), 531–550. </w:t>
      </w:r>
      <w:hyperlink r:id="rId5206" w:history="1">
        <w:r w:rsidRPr="0074138E">
          <w:rPr>
            <w:rFonts w:ascii="Times New Roman" w:eastAsia="Times New Roman" w:hAnsi="Times New Roman" w:cs="Times New Roman"/>
            <w:color w:val="0000FF"/>
            <w:sz w:val="24"/>
            <w:szCs w:val="24"/>
            <w:u w:val="single"/>
          </w:rPr>
          <w:t>https://doi.org/10.1016/j.cpr.2014.08.002</w:t>
        </w:r>
      </w:hyperlink>
    </w:p>
    <w:p w14:paraId="48E303E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Schulte, P. F. J., Bogers, J. P. A. M., &amp; Steenhoek, A. (2010). Nieuwe versus oude antipsychotica: Weinig voordelen in echte wereld. [First generation versus second generation antipsychotics: Little benefit in the real world.]. </w:t>
      </w:r>
      <w:r w:rsidRPr="0074138E">
        <w:rPr>
          <w:rFonts w:ascii="Times New Roman" w:eastAsia="Times New Roman" w:hAnsi="Times New Roman" w:cs="Times New Roman"/>
          <w:i/>
          <w:iCs/>
          <w:sz w:val="24"/>
          <w:szCs w:val="24"/>
        </w:rPr>
        <w:t>Tijdschrift Voor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(3), 181–190.</w:t>
      </w:r>
    </w:p>
    <w:p w14:paraId="481A178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Schultheis, M. T., &amp; Manning, K. J. (2011). Neuroscience and older drivers. </w:t>
      </w:r>
      <w:r w:rsidRPr="0074138E">
        <w:rPr>
          <w:rFonts w:ascii="Times New Roman" w:eastAsia="Times New Roman" w:hAnsi="Times New Roman" w:cs="Times New Roman"/>
          <w:i/>
          <w:iCs/>
          <w:sz w:val="24"/>
          <w:szCs w:val="24"/>
        </w:rPr>
        <w:t>Handbook of Traffic Psychology.</w:t>
      </w:r>
      <w:r w:rsidRPr="0074138E">
        <w:rPr>
          <w:rFonts w:ascii="Times New Roman" w:eastAsia="Times New Roman" w:hAnsi="Times New Roman" w:cs="Times New Roman"/>
          <w:sz w:val="24"/>
          <w:szCs w:val="24"/>
        </w:rPr>
        <w:t xml:space="preserve">, 127–136. </w:t>
      </w:r>
      <w:hyperlink r:id="rId5207" w:history="1">
        <w:r w:rsidRPr="0074138E">
          <w:rPr>
            <w:rFonts w:ascii="Times New Roman" w:eastAsia="Times New Roman" w:hAnsi="Times New Roman" w:cs="Times New Roman"/>
            <w:color w:val="0000FF"/>
            <w:sz w:val="24"/>
            <w:szCs w:val="24"/>
            <w:u w:val="single"/>
          </w:rPr>
          <w:t>https://doi.org/10.1016/B978-0-12-381984-0.10010-4</w:t>
        </w:r>
      </w:hyperlink>
    </w:p>
    <w:p w14:paraId="2C046E2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Schultz, R., &amp; Tate, R. L. (2013). Methodological issues in longitudinal research on cognitive recovery after traumatic brain injury: Evidence from a systematic review.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(3), 450–474. </w:t>
      </w:r>
      <w:hyperlink r:id="rId5208" w:history="1">
        <w:r w:rsidRPr="0074138E">
          <w:rPr>
            <w:rFonts w:ascii="Times New Roman" w:eastAsia="Times New Roman" w:hAnsi="Times New Roman" w:cs="Times New Roman"/>
            <w:color w:val="0000FF"/>
            <w:sz w:val="24"/>
            <w:szCs w:val="24"/>
            <w:u w:val="single"/>
          </w:rPr>
          <w:t>https://doi.org/10.1017/BrImp.2013.24</w:t>
        </w:r>
      </w:hyperlink>
    </w:p>
    <w:p w14:paraId="4101BFA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Schultz, V., Stern, R. A., Tripodis, Y., Stamm, J., Wrobel, P., Lepage, C., Weir, I., Guenette, J. P., Chua, A., Alosco, M. L., Baugh, C. M., Fritts, N. G., Martin, B. M., Chaisson, C. E., Coleman, M. J., Lin, A. P., Pasternak, O., Shenton, M. E., &amp; Koerte, I. K. (2018). Age at first exposure to repetitive head impacts is associated with smaller thalamic volumes in former professional American football players. </w:t>
      </w:r>
      <w:r w:rsidRPr="0074138E">
        <w:rPr>
          <w:rFonts w:ascii="Times New Roman" w:eastAsia="Times New Roman" w:hAnsi="Times New Roman" w:cs="Times New Roman"/>
          <w:i/>
          <w:iCs/>
          <w:sz w:val="24"/>
          <w:szCs w:val="24"/>
        </w:rPr>
        <w:t>Journal of Neurotrauma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(2), 278–285. </w:t>
      </w:r>
      <w:hyperlink r:id="rId5209" w:history="1">
        <w:r w:rsidRPr="0074138E">
          <w:rPr>
            <w:rFonts w:ascii="Times New Roman" w:eastAsia="Times New Roman" w:hAnsi="Times New Roman" w:cs="Times New Roman"/>
            <w:color w:val="0000FF"/>
            <w:sz w:val="24"/>
            <w:szCs w:val="24"/>
            <w:u w:val="single"/>
          </w:rPr>
          <w:t>https://doi.org/10.1089/neu.2017.5145</w:t>
        </w:r>
      </w:hyperlink>
    </w:p>
    <w:p w14:paraId="7B2257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Schulze, C., Zimmermann, R., Gschwandtner, U., Pflueger, M. O., Rapp, C., Studerus, E., &amp; Riecher-Rössler, A. (2013). Can cognitive deficits facilitate differential diagnosis between at‐risk mental state for psychosis and depressive disorders? </w:t>
      </w:r>
      <w:r w:rsidRPr="0074138E">
        <w:rPr>
          <w:rFonts w:ascii="Times New Roman" w:eastAsia="Times New Roman" w:hAnsi="Times New Roman" w:cs="Times New Roman"/>
          <w:i/>
          <w:iCs/>
          <w:sz w:val="24"/>
          <w:szCs w:val="24"/>
        </w:rPr>
        <w:t>Early Intervention in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(4), 381–390. </w:t>
      </w:r>
      <w:hyperlink r:id="rId5210" w:history="1">
        <w:r w:rsidRPr="0074138E">
          <w:rPr>
            <w:rFonts w:ascii="Times New Roman" w:eastAsia="Times New Roman" w:hAnsi="Times New Roman" w:cs="Times New Roman"/>
            <w:color w:val="0000FF"/>
            <w:sz w:val="24"/>
            <w:szCs w:val="24"/>
            <w:u w:val="single"/>
          </w:rPr>
          <w:t>https://doi.org/10.1111/eip.12004</w:t>
        </w:r>
      </w:hyperlink>
    </w:p>
    <w:p w14:paraId="6F8141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Schulze-Rauschenbach, S., Lennertz, L., Ruhrmann, S., Petrovsky, N., Ettinger, U., Pukrop, R., Dreher, J., Klosterkötter, J., Maier, W., &amp; Wagner, M. (2015). Neurocognitive functioning in parents of schizophrenia patients: Attentional and executive performance vary with genetic loading.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230</w:t>
      </w:r>
      <w:r w:rsidRPr="0074138E">
        <w:rPr>
          <w:rFonts w:ascii="Times New Roman" w:eastAsia="Times New Roman" w:hAnsi="Times New Roman" w:cs="Times New Roman"/>
          <w:sz w:val="24"/>
          <w:szCs w:val="24"/>
        </w:rPr>
        <w:t xml:space="preserve">(3), 885–891. </w:t>
      </w:r>
      <w:hyperlink r:id="rId5211" w:history="1">
        <w:r w:rsidRPr="0074138E">
          <w:rPr>
            <w:rFonts w:ascii="Times New Roman" w:eastAsia="Times New Roman" w:hAnsi="Times New Roman" w:cs="Times New Roman"/>
            <w:color w:val="0000FF"/>
            <w:sz w:val="24"/>
            <w:szCs w:val="24"/>
            <w:u w:val="single"/>
          </w:rPr>
          <w:t>https://doi.org/10.1016/j.psychres.2015.11.031</w:t>
        </w:r>
      </w:hyperlink>
    </w:p>
    <w:p w14:paraId="4CBA8ED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Schutt, R. K., Seidman, L. J., Caplan, B., Martsinkiv, A., &amp; Goldfinger, S. M. (2007). The role of neurocognition and social context in predicting community functioning among formerly homeless seriously mentally ill persons.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(6), 1388–1396. </w:t>
      </w:r>
      <w:hyperlink r:id="rId5212" w:history="1">
        <w:r w:rsidRPr="0074138E">
          <w:rPr>
            <w:rFonts w:ascii="Times New Roman" w:eastAsia="Times New Roman" w:hAnsi="Times New Roman" w:cs="Times New Roman"/>
            <w:color w:val="0000FF"/>
            <w:sz w:val="24"/>
            <w:szCs w:val="24"/>
            <w:u w:val="single"/>
          </w:rPr>
          <w:t>https://doi.org/10.1093/schbul/sbm037</w:t>
        </w:r>
      </w:hyperlink>
    </w:p>
    <w:p w14:paraId="2C0773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Schutte, C., &amp; Axelrod, B. N. (2013). Use of embedded cognitive symptom validity measures in mild traumatic brain injury cases. In </w:t>
      </w:r>
      <w:r w:rsidRPr="0074138E">
        <w:rPr>
          <w:rFonts w:ascii="Times New Roman" w:eastAsia="Times New Roman" w:hAnsi="Times New Roman" w:cs="Times New Roman"/>
          <w:i/>
          <w:iCs/>
          <w:sz w:val="24"/>
          <w:szCs w:val="24"/>
        </w:rPr>
        <w:t>Mild traumatic brain injury: Symptom validity assessment and malingering.</w:t>
      </w:r>
      <w:r w:rsidRPr="0074138E">
        <w:rPr>
          <w:rFonts w:ascii="Times New Roman" w:eastAsia="Times New Roman" w:hAnsi="Times New Roman" w:cs="Times New Roman"/>
          <w:sz w:val="24"/>
          <w:szCs w:val="24"/>
        </w:rPr>
        <w:t xml:space="preserve"> (pp. 159–181). Springer Publishing Company.</w:t>
      </w:r>
    </w:p>
    <w:p w14:paraId="34D961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Schwartz, B. L., Parker, E. S., Deutsch, S. I., Rosse, R. B., Kaushik, M., &amp; Isaac, A. (2002). Source monitoring in alcoholism.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(6), 806–817. </w:t>
      </w:r>
      <w:hyperlink r:id="rId5213" w:history="1">
        <w:r w:rsidRPr="0074138E">
          <w:rPr>
            <w:rFonts w:ascii="Times New Roman" w:eastAsia="Times New Roman" w:hAnsi="Times New Roman" w:cs="Times New Roman"/>
            <w:color w:val="0000FF"/>
            <w:sz w:val="24"/>
            <w:szCs w:val="24"/>
            <w:u w:val="single"/>
          </w:rPr>
          <w:t>https://doi.org/10.1076/jcen.24.6.806.8406</w:t>
        </w:r>
      </w:hyperlink>
    </w:p>
    <w:p w14:paraId="128BDB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Schwartz, J. R. L., Nelson, M. T., Schwartz, E. R., &amp; Hughes, R. J. (2004). Effects of Modafinil on Wakefulness and Executive Function in Patients With Narcolepsy Experiencing Late-Day Sleepiness. </w:t>
      </w:r>
      <w:r w:rsidRPr="0074138E">
        <w:rPr>
          <w:rFonts w:ascii="Times New Roman" w:eastAsia="Times New Roman" w:hAnsi="Times New Roman" w:cs="Times New Roman"/>
          <w:i/>
          <w:iCs/>
          <w:sz w:val="24"/>
          <w:szCs w:val="24"/>
        </w:rPr>
        <w:t>Clinical Neuropharmacology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74–79. </w:t>
      </w:r>
      <w:hyperlink r:id="rId5214" w:history="1">
        <w:r w:rsidRPr="0074138E">
          <w:rPr>
            <w:rFonts w:ascii="Times New Roman" w:eastAsia="Times New Roman" w:hAnsi="Times New Roman" w:cs="Times New Roman"/>
            <w:color w:val="0000FF"/>
            <w:sz w:val="24"/>
            <w:szCs w:val="24"/>
            <w:u w:val="single"/>
          </w:rPr>
          <w:t>https://doi.org/10.1097/00002826-200403000-00005</w:t>
        </w:r>
      </w:hyperlink>
    </w:p>
    <w:p w14:paraId="1A6B39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Schwarz, E., Tost, H., &amp; Meyer‐Lindenberg, A. (2016). Working memory genetics in schizophrenia and related disorders: An RDoC perspective.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171</w:t>
      </w:r>
      <w:r w:rsidRPr="0074138E">
        <w:rPr>
          <w:rFonts w:ascii="Times New Roman" w:eastAsia="Times New Roman" w:hAnsi="Times New Roman" w:cs="Times New Roman"/>
          <w:sz w:val="24"/>
          <w:szCs w:val="24"/>
        </w:rPr>
        <w:t xml:space="preserve">(1), 121–131. </w:t>
      </w:r>
      <w:hyperlink r:id="rId5215" w:history="1">
        <w:r w:rsidRPr="0074138E">
          <w:rPr>
            <w:rFonts w:ascii="Times New Roman" w:eastAsia="Times New Roman" w:hAnsi="Times New Roman" w:cs="Times New Roman"/>
            <w:color w:val="0000FF"/>
            <w:sz w:val="24"/>
            <w:szCs w:val="24"/>
            <w:u w:val="single"/>
          </w:rPr>
          <w:t>https://doi.org/10.1002/ajmg.b.32353</w:t>
        </w:r>
      </w:hyperlink>
    </w:p>
    <w:p w14:paraId="1E7F59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Schwarz, L., Penna, S., &amp; Novack, T. (2009). Factors contributing to performance on the Rey Complex Figure Test in individuals with traumatic brain injury.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255–267. </w:t>
      </w:r>
      <w:hyperlink r:id="rId5216" w:history="1">
        <w:r w:rsidRPr="0074138E">
          <w:rPr>
            <w:rFonts w:ascii="Times New Roman" w:eastAsia="Times New Roman" w:hAnsi="Times New Roman" w:cs="Times New Roman"/>
            <w:color w:val="0000FF"/>
            <w:sz w:val="24"/>
            <w:szCs w:val="24"/>
            <w:u w:val="single"/>
          </w:rPr>
          <w:t>https://doi.org/10.1080/13854040802220034</w:t>
        </w:r>
      </w:hyperlink>
    </w:p>
    <w:p w14:paraId="16ABF2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Schwarz, L. R., Thurstin, A. H., &amp; Levine, L. A. (2010). A single case report of Moyamoya disease presenting in a psychiatric setting. </w:t>
      </w:r>
      <w:r w:rsidRPr="0074138E">
        <w:rPr>
          <w:rFonts w:ascii="Times New Roman" w:eastAsia="Times New Roman" w:hAnsi="Times New Roman" w:cs="Times New Roman"/>
          <w:i/>
          <w:iCs/>
          <w:sz w:val="24"/>
          <w:szCs w:val="24"/>
        </w:rPr>
        <w:t>Applied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73–77. </w:t>
      </w:r>
      <w:hyperlink r:id="rId5217" w:history="1">
        <w:r w:rsidRPr="0074138E">
          <w:rPr>
            <w:rFonts w:ascii="Times New Roman" w:eastAsia="Times New Roman" w:hAnsi="Times New Roman" w:cs="Times New Roman"/>
            <w:color w:val="0000FF"/>
            <w:sz w:val="24"/>
            <w:szCs w:val="24"/>
            <w:u w:val="single"/>
          </w:rPr>
          <w:t>https://doi.org/10.1080/09084280903519831</w:t>
        </w:r>
      </w:hyperlink>
    </w:p>
    <w:p w14:paraId="5D7BB1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Schwerk, A., Alves, F. D. S., Pouwels, P. J. W., &amp; van Amelsvoort, T. (2014). Metabolic alterations associated with schizophrenia: A critical evaluation of proton magnetic resonance spectroscopy studies. </w:t>
      </w:r>
      <w:r w:rsidRPr="0074138E">
        <w:rPr>
          <w:rFonts w:ascii="Times New Roman" w:eastAsia="Times New Roman" w:hAnsi="Times New Roman" w:cs="Times New Roman"/>
          <w:i/>
          <w:iCs/>
          <w:sz w:val="24"/>
          <w:szCs w:val="24"/>
        </w:rPr>
        <w:t>Journal of Neurochemistry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128</w:t>
      </w:r>
      <w:r w:rsidRPr="0074138E">
        <w:rPr>
          <w:rFonts w:ascii="Times New Roman" w:eastAsia="Times New Roman" w:hAnsi="Times New Roman" w:cs="Times New Roman"/>
          <w:sz w:val="24"/>
          <w:szCs w:val="24"/>
        </w:rPr>
        <w:t xml:space="preserve">(1), 1–87. </w:t>
      </w:r>
      <w:hyperlink r:id="rId5218" w:history="1">
        <w:r w:rsidRPr="0074138E">
          <w:rPr>
            <w:rFonts w:ascii="Times New Roman" w:eastAsia="Times New Roman" w:hAnsi="Times New Roman" w:cs="Times New Roman"/>
            <w:color w:val="0000FF"/>
            <w:sz w:val="24"/>
            <w:szCs w:val="24"/>
            <w:u w:val="single"/>
          </w:rPr>
          <w:t>https://doi.org/10.1111/jnc.12398</w:t>
        </w:r>
      </w:hyperlink>
    </w:p>
    <w:p w14:paraId="6D5F89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Scialò, C., Ferrara, M., Accardo, J., Morbelli, S., Picco, A., Arnaldi, D., Brugnolo, A., Girtler, N., &amp; Nobili, F. (2016). Frontal variant Alzheimer disease or frontotemporal lobe degeneration with incidental amyloidosis?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183–185. </w:t>
      </w:r>
      <w:hyperlink r:id="rId5219" w:history="1">
        <w:r w:rsidRPr="0074138E">
          <w:rPr>
            <w:rFonts w:ascii="Times New Roman" w:eastAsia="Times New Roman" w:hAnsi="Times New Roman" w:cs="Times New Roman"/>
            <w:color w:val="0000FF"/>
            <w:sz w:val="24"/>
            <w:szCs w:val="24"/>
            <w:u w:val="single"/>
          </w:rPr>
          <w:t>https://doi.org/10.1097/WAD.0000000000000123</w:t>
        </w:r>
      </w:hyperlink>
    </w:p>
    <w:p w14:paraId="0532FF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Scoriels, L., Barnett, J. H., Soma, P. K., Sahakian, B. J., &amp; Jones, P. B. (2012). Effects of modafinil on cognitive functions in first episode psychosis.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220</w:t>
      </w:r>
      <w:r w:rsidRPr="0074138E">
        <w:rPr>
          <w:rFonts w:ascii="Times New Roman" w:eastAsia="Times New Roman" w:hAnsi="Times New Roman" w:cs="Times New Roman"/>
          <w:sz w:val="24"/>
          <w:szCs w:val="24"/>
        </w:rPr>
        <w:t xml:space="preserve">(2), 249–258. </w:t>
      </w:r>
      <w:hyperlink r:id="rId5220" w:history="1">
        <w:r w:rsidRPr="0074138E">
          <w:rPr>
            <w:rFonts w:ascii="Times New Roman" w:eastAsia="Times New Roman" w:hAnsi="Times New Roman" w:cs="Times New Roman"/>
            <w:color w:val="0000FF"/>
            <w:sz w:val="24"/>
            <w:szCs w:val="24"/>
            <w:u w:val="single"/>
          </w:rPr>
          <w:t>https://doi.org/10.1007/s00213-011-2472-4</w:t>
        </w:r>
      </w:hyperlink>
    </w:p>
    <w:p w14:paraId="107A2F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A. J., &amp; Cleary, M. J. (2007). A patient with bipolar illness and her neuropsychological signature. </w:t>
      </w:r>
      <w:r w:rsidRPr="0074138E">
        <w:rPr>
          <w:rFonts w:ascii="Times New Roman" w:eastAsia="Times New Roman" w:hAnsi="Times New Roman" w:cs="Times New Roman"/>
          <w:i/>
          <w:iCs/>
          <w:sz w:val="24"/>
          <w:szCs w:val="24"/>
        </w:rPr>
        <w:t>Clinical Case Studies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(5), 412–429. </w:t>
      </w:r>
      <w:hyperlink r:id="rId5221" w:history="1">
        <w:r w:rsidRPr="0074138E">
          <w:rPr>
            <w:rFonts w:ascii="Times New Roman" w:eastAsia="Times New Roman" w:hAnsi="Times New Roman" w:cs="Times New Roman"/>
            <w:color w:val="0000FF"/>
            <w:sz w:val="24"/>
            <w:szCs w:val="24"/>
            <w:u w:val="single"/>
          </w:rPr>
          <w:t>https://doi.org/10.1177/1534650106295157</w:t>
        </w:r>
      </w:hyperlink>
    </w:p>
    <w:p w14:paraId="3A72AB9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K. D. (2003). </w:t>
      </w:r>
      <w:r w:rsidRPr="0074138E">
        <w:rPr>
          <w:rFonts w:ascii="Times New Roman" w:eastAsia="Times New Roman" w:hAnsi="Times New Roman" w:cs="Times New Roman"/>
          <w:i/>
          <w:iCs/>
          <w:sz w:val="24"/>
          <w:szCs w:val="24"/>
        </w:rPr>
        <w:t>An examination of neuropsychological skills and psychological distress among inhalant-abusing and substance abusing adolescents.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(10-B), 4937–4937.</w:t>
      </w:r>
    </w:p>
    <w:p w14:paraId="5C2ECD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K. D., &amp; Scott, A. A. (2014). Adolescent inhalant use and executive cognitive functioning. </w:t>
      </w:r>
      <w:r w:rsidRPr="0074138E">
        <w:rPr>
          <w:rFonts w:ascii="Times New Roman" w:eastAsia="Times New Roman" w:hAnsi="Times New Roman" w:cs="Times New Roman"/>
          <w:i/>
          <w:iCs/>
          <w:sz w:val="24"/>
          <w:szCs w:val="24"/>
        </w:rPr>
        <w:t>Child: Care, Health and Development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(1), 20–28. </w:t>
      </w:r>
      <w:hyperlink r:id="rId5222" w:history="1">
        <w:r w:rsidRPr="0074138E">
          <w:rPr>
            <w:rFonts w:ascii="Times New Roman" w:eastAsia="Times New Roman" w:hAnsi="Times New Roman" w:cs="Times New Roman"/>
            <w:color w:val="0000FF"/>
            <w:sz w:val="24"/>
            <w:szCs w:val="24"/>
            <w:u w:val="single"/>
          </w:rPr>
          <w:t>https://doi.org/10.1111/cch.12052</w:t>
        </w:r>
      </w:hyperlink>
    </w:p>
    <w:p w14:paraId="0A943F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T. M., Byrd, D., Rentería, M. A., Coulehan, K., Miranda, C., Fuentes, A., &amp; Mindt, M. R. (2018). The combined roles of nonsomatic depressive symptomatology, neurocognitive function, and current substance use in medication adherence in adults living with HIV infection. </w:t>
      </w:r>
      <w:r w:rsidRPr="0074138E">
        <w:rPr>
          <w:rFonts w:ascii="Times New Roman" w:eastAsia="Times New Roman" w:hAnsi="Times New Roman" w:cs="Times New Roman"/>
          <w:i/>
          <w:iCs/>
          <w:sz w:val="24"/>
          <w:szCs w:val="24"/>
        </w:rPr>
        <w:t>JANAC: Journal of the Association of Nurses in AIDS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(2), 178–189. </w:t>
      </w:r>
      <w:hyperlink r:id="rId5223" w:history="1">
        <w:r w:rsidRPr="0074138E">
          <w:rPr>
            <w:rFonts w:ascii="Times New Roman" w:eastAsia="Times New Roman" w:hAnsi="Times New Roman" w:cs="Times New Roman"/>
            <w:color w:val="0000FF"/>
            <w:sz w:val="24"/>
            <w:szCs w:val="24"/>
            <w:u w:val="single"/>
          </w:rPr>
          <w:t>https://doi.org/10.1016/j.jana.2017.08.002</w:t>
        </w:r>
      </w:hyperlink>
    </w:p>
    <w:p w14:paraId="7460AE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Scott, T. M., Morlett Paredes, A., Taylor, M. J., Umlauf, A., Artiola i Fortuny, L., Heaton, R. K., Cherner, M., Marquine, M. J., &amp; Rivera Mindt, M. (2021). Demographically-adjusted norms for the WAIS-R block design and arithmetic subtests: Results from the Neuropsychological Norms for the US-Mexico Border Region in Spanish (NP-NUMBRS) project.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(2), 419–432. </w:t>
      </w:r>
      <w:hyperlink r:id="rId5224" w:history="1">
        <w:r w:rsidRPr="0074138E">
          <w:rPr>
            <w:rFonts w:ascii="Times New Roman" w:eastAsia="Times New Roman" w:hAnsi="Times New Roman" w:cs="Times New Roman"/>
            <w:color w:val="0000FF"/>
            <w:sz w:val="24"/>
            <w:szCs w:val="24"/>
            <w:u w:val="single"/>
          </w:rPr>
          <w:t>https://doi.org/10.1080/13854046.2019.1707285</w:t>
        </w:r>
      </w:hyperlink>
    </w:p>
    <w:p w14:paraId="3C09ED7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Scullin, M. K., Ball, B. H., &amp; Bugg, J. M. (2020). Structural correlates of commission errors in prospective memory.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124</w:t>
      </w:r>
      <w:r w:rsidRPr="0074138E">
        <w:rPr>
          <w:rFonts w:ascii="Times New Roman" w:eastAsia="Times New Roman" w:hAnsi="Times New Roman" w:cs="Times New Roman"/>
          <w:sz w:val="24"/>
          <w:szCs w:val="24"/>
        </w:rPr>
        <w:t xml:space="preserve">, 44–53. </w:t>
      </w:r>
      <w:hyperlink r:id="rId5225" w:history="1">
        <w:r w:rsidRPr="0074138E">
          <w:rPr>
            <w:rFonts w:ascii="Times New Roman" w:eastAsia="Times New Roman" w:hAnsi="Times New Roman" w:cs="Times New Roman"/>
            <w:color w:val="0000FF"/>
            <w:sz w:val="24"/>
            <w:szCs w:val="24"/>
            <w:u w:val="single"/>
          </w:rPr>
          <w:t>https://doi.org/10.1016/j.cortex.2019.10.013</w:t>
        </w:r>
      </w:hyperlink>
    </w:p>
    <w:p w14:paraId="63E715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Scullin, M. K., Bugg, J. M., &amp; McDaniel, M. A. (2012). Whoops, I did it again: Commission errors in prospective memory.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46–53. </w:t>
      </w:r>
      <w:hyperlink r:id="rId5226" w:history="1">
        <w:r w:rsidRPr="0074138E">
          <w:rPr>
            <w:rFonts w:ascii="Times New Roman" w:eastAsia="Times New Roman" w:hAnsi="Times New Roman" w:cs="Times New Roman"/>
            <w:color w:val="0000FF"/>
            <w:sz w:val="24"/>
            <w:szCs w:val="24"/>
            <w:u w:val="single"/>
          </w:rPr>
          <w:t>https://doi.org/10.1037/a0026112</w:t>
        </w:r>
      </w:hyperlink>
    </w:p>
    <w:p w14:paraId="3339E00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Searcy, J., Bartlett, J. C., &amp; Memon, A. (2000). Influence of post-event narratives, line-up conditions and individual differences on false identification of young and older eyewitnesses. </w:t>
      </w:r>
      <w:r w:rsidRPr="0074138E">
        <w:rPr>
          <w:rFonts w:ascii="Times New Roman" w:eastAsia="Times New Roman" w:hAnsi="Times New Roman" w:cs="Times New Roman"/>
          <w:i/>
          <w:iCs/>
          <w:sz w:val="24"/>
          <w:szCs w:val="24"/>
        </w:rPr>
        <w:t>Legal and Criminological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(Part2), 219–235. </w:t>
      </w:r>
      <w:hyperlink r:id="rId5227" w:history="1">
        <w:r w:rsidRPr="0074138E">
          <w:rPr>
            <w:rFonts w:ascii="Times New Roman" w:eastAsia="Times New Roman" w:hAnsi="Times New Roman" w:cs="Times New Roman"/>
            <w:color w:val="0000FF"/>
            <w:sz w:val="24"/>
            <w:szCs w:val="24"/>
            <w:u w:val="single"/>
          </w:rPr>
          <w:t>https://doi.org/10.1348/135532500168100</w:t>
        </w:r>
      </w:hyperlink>
    </w:p>
    <w:p w14:paraId="4E5379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Sebastian, J. A. (1998). </w:t>
      </w:r>
      <w:r w:rsidRPr="0074138E">
        <w:rPr>
          <w:rFonts w:ascii="Times New Roman" w:eastAsia="Times New Roman" w:hAnsi="Times New Roman" w:cs="Times New Roman"/>
          <w:i/>
          <w:iCs/>
          <w:sz w:val="24"/>
          <w:szCs w:val="24"/>
        </w:rPr>
        <w:t>Lezak’s tinkertoy test: Reliability of an executive functioning measure and its relationship to classroom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(5-B), 2434–2434.</w:t>
      </w:r>
    </w:p>
    <w:p w14:paraId="735E91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Seccomandi, B., Agbedjro, D., Bell, M., Keefe, R. S. E., Keshavan, M., Galderisi, S., Fiszdon, J., Mucci, A., Cavallaro, R., Bechi, M., Ojeda, N., Peña, J., Wykes, T., &amp; Cella, M. (2021). Can IQ moderate the response to cognitive remediation in people with schizophrenia?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133</w:t>
      </w:r>
      <w:r w:rsidRPr="0074138E">
        <w:rPr>
          <w:rFonts w:ascii="Times New Roman" w:eastAsia="Times New Roman" w:hAnsi="Times New Roman" w:cs="Times New Roman"/>
          <w:sz w:val="24"/>
          <w:szCs w:val="24"/>
        </w:rPr>
        <w:t xml:space="preserve">, 38–45. </w:t>
      </w:r>
      <w:hyperlink r:id="rId5228" w:history="1">
        <w:r w:rsidRPr="0074138E">
          <w:rPr>
            <w:rFonts w:ascii="Times New Roman" w:eastAsia="Times New Roman" w:hAnsi="Times New Roman" w:cs="Times New Roman"/>
            <w:color w:val="0000FF"/>
            <w:sz w:val="24"/>
            <w:szCs w:val="24"/>
            <w:u w:val="single"/>
          </w:rPr>
          <w:t>https://doi.org/10.1016/j.jpsychires.2020.12.013</w:t>
        </w:r>
      </w:hyperlink>
    </w:p>
    <w:p w14:paraId="0DFBA1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Secrest, L., Ernst Wood, A., &amp; Tapp, A. (2000). A comparison of the Allen Cognitive Level Test and the Wisconsin Card Sorting Test in adults with schizophrenia. </w:t>
      </w:r>
      <w:r w:rsidRPr="0074138E">
        <w:rPr>
          <w:rFonts w:ascii="Times New Roman" w:eastAsia="Times New Roman" w:hAnsi="Times New Roman" w:cs="Times New Roman"/>
          <w:i/>
          <w:iCs/>
          <w:sz w:val="24"/>
          <w:szCs w:val="24"/>
        </w:rPr>
        <w:t>American Journal of Occupational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(2), 129–133. </w:t>
      </w:r>
      <w:hyperlink r:id="rId5229" w:history="1">
        <w:r w:rsidRPr="0074138E">
          <w:rPr>
            <w:rFonts w:ascii="Times New Roman" w:eastAsia="Times New Roman" w:hAnsi="Times New Roman" w:cs="Times New Roman"/>
            <w:color w:val="0000FF"/>
            <w:sz w:val="24"/>
            <w:szCs w:val="24"/>
            <w:u w:val="single"/>
          </w:rPr>
          <w:t>https://doi.org/10.5014/ajot.54.2.129</w:t>
        </w:r>
      </w:hyperlink>
    </w:p>
    <w:p w14:paraId="096360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Seddon, A. L., Law, A. S., Adams, A.-M., &amp; Simmons, F. R. (2018). Exploring the relationship between executive functions and self-reported media-multitasking in young adults. </w:t>
      </w:r>
      <w:r w:rsidRPr="0074138E">
        <w:rPr>
          <w:rFonts w:ascii="Times New Roman" w:eastAsia="Times New Roman" w:hAnsi="Times New Roman" w:cs="Times New Roman"/>
          <w:i/>
          <w:iCs/>
          <w:sz w:val="24"/>
          <w:szCs w:val="24"/>
        </w:rPr>
        <w:t>Journal of Cognitive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(7), 728–742. </w:t>
      </w:r>
      <w:hyperlink r:id="rId5230" w:history="1">
        <w:r w:rsidRPr="0074138E">
          <w:rPr>
            <w:rFonts w:ascii="Times New Roman" w:eastAsia="Times New Roman" w:hAnsi="Times New Roman" w:cs="Times New Roman"/>
            <w:color w:val="0000FF"/>
            <w:sz w:val="24"/>
            <w:szCs w:val="24"/>
            <w:u w:val="single"/>
          </w:rPr>
          <w:t>https://doi.org/10.1080/20445911.2018.1525387</w:t>
        </w:r>
      </w:hyperlink>
    </w:p>
    <w:p w14:paraId="4476A2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Seegal, R. F., Fitzgerald, E. F., McCaffrey, R. J., Shrestha, S., Hills, E. A., Wolff, M. S., Haase, R. F., Todd, A. C., Parsons, P. J., Molho, E. S., Higgins, D. S., Factor, S. A., &amp; Seibyl, J. P. (2013). Tibial bone lead, but not serum polychlorinated biphenyl, concentrations are associated with neurocognitive deficits in former capacitor workers. </w:t>
      </w:r>
      <w:r w:rsidRPr="0074138E">
        <w:rPr>
          <w:rFonts w:ascii="Times New Roman" w:eastAsia="Times New Roman" w:hAnsi="Times New Roman" w:cs="Times New Roman"/>
          <w:i/>
          <w:iCs/>
          <w:sz w:val="24"/>
          <w:szCs w:val="24"/>
        </w:rPr>
        <w:t>Journal of Occupational and Environmental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(5), 552–562. </w:t>
      </w:r>
      <w:hyperlink r:id="rId5231" w:history="1">
        <w:r w:rsidRPr="0074138E">
          <w:rPr>
            <w:rFonts w:ascii="Times New Roman" w:eastAsia="Times New Roman" w:hAnsi="Times New Roman" w:cs="Times New Roman"/>
            <w:color w:val="0000FF"/>
            <w:sz w:val="24"/>
            <w:szCs w:val="24"/>
            <w:u w:val="single"/>
          </w:rPr>
          <w:t>https://doi.org/10.1097/JOM.0b013e318285f3fd</w:t>
        </w:r>
      </w:hyperlink>
    </w:p>
    <w:p w14:paraId="163BE9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Seelaar, H., Kamphorst, W., Rosso, S. M., Azmani, A., Masdjedi, R., de Koning, I., Maat-Kievit, J. A., Anar, B., Kaat, L. D., Breedveld, G. J., Dooijes, D., Rozemuller, J. M., Bronner, I. F., Rizzu, P., &amp; van Swieten, J. C. (2008). Distinct genetic forms of frontotemporal dementia.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 xml:space="preserve">(16), 1220–1226. </w:t>
      </w:r>
      <w:hyperlink r:id="rId5232" w:history="1">
        <w:r w:rsidRPr="0074138E">
          <w:rPr>
            <w:rFonts w:ascii="Times New Roman" w:eastAsia="Times New Roman" w:hAnsi="Times New Roman" w:cs="Times New Roman"/>
            <w:color w:val="0000FF"/>
            <w:sz w:val="24"/>
            <w:szCs w:val="24"/>
            <w:u w:val="single"/>
          </w:rPr>
          <w:t>https://doi.org/10.1212/01.wnl.0000319702.37497.72</w:t>
        </w:r>
      </w:hyperlink>
    </w:p>
    <w:p w14:paraId="1384B1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Seelaar, H., Papma, J. M., Garraux, G., de Koning, I., Reijs, A. E., Valkema, R., Rozemuller, A. J. M., Salmon, E., &amp; van Swieten, J. C. (2011). Brain perfusion patterns in familial frontotemporal lobar degeneration. </w:t>
      </w:r>
      <w:r w:rsidRPr="0074138E">
        <w:rPr>
          <w:rFonts w:ascii="Times New Roman" w:eastAsia="Times New Roman" w:hAnsi="Times New Roman" w:cs="Times New Roman"/>
          <w:i/>
          <w:iCs/>
          <w:sz w:val="24"/>
          <w:szCs w:val="24"/>
        </w:rPr>
        <w:t>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77</w:t>
      </w:r>
      <w:r w:rsidRPr="0074138E">
        <w:rPr>
          <w:rFonts w:ascii="Times New Roman" w:eastAsia="Times New Roman" w:hAnsi="Times New Roman" w:cs="Times New Roman"/>
          <w:sz w:val="24"/>
          <w:szCs w:val="24"/>
        </w:rPr>
        <w:t xml:space="preserve">(4), 384–392. </w:t>
      </w:r>
      <w:hyperlink r:id="rId5233" w:history="1">
        <w:r w:rsidRPr="0074138E">
          <w:rPr>
            <w:rFonts w:ascii="Times New Roman" w:eastAsia="Times New Roman" w:hAnsi="Times New Roman" w:cs="Times New Roman"/>
            <w:color w:val="0000FF"/>
            <w:sz w:val="24"/>
            <w:szCs w:val="24"/>
            <w:u w:val="single"/>
          </w:rPr>
          <w:t>https://doi.org/10.1212/WNL.0b013e3182270456</w:t>
        </w:r>
      </w:hyperlink>
    </w:p>
    <w:p w14:paraId="648B91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Seer, C., Fürkötter, S., Vogts, M.-B., Lange, F., Abdulla, S., Dengler, R., Petri, S., &amp; Kopp, B. (2015). Executive dysfunctions and event-related brain potentials in patients with amyotrophic lateral sclerosis.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 </w:t>
      </w:r>
      <w:hyperlink r:id="rId5234" w:history="1">
        <w:r w:rsidRPr="0074138E">
          <w:rPr>
            <w:rFonts w:ascii="Times New Roman" w:eastAsia="Times New Roman" w:hAnsi="Times New Roman" w:cs="Times New Roman"/>
            <w:color w:val="0000FF"/>
            <w:sz w:val="24"/>
            <w:szCs w:val="24"/>
            <w:u w:val="single"/>
          </w:rPr>
          <w:t>https://doi.org/10.3389/fnagi.2015.00225</w:t>
        </w:r>
      </w:hyperlink>
    </w:p>
    <w:p w14:paraId="595438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Segal, B. M., Pogatchnik, B., Holker, E., Liu, H., Sloan, J., Rhodus, N., &amp; Moser, K. L. (2012). Primary Sjogren’s syndrome: Cognitive symptoms, mood, and cognitive performance. </w:t>
      </w:r>
      <w:r w:rsidRPr="0074138E">
        <w:rPr>
          <w:rFonts w:ascii="Times New Roman" w:eastAsia="Times New Roman" w:hAnsi="Times New Roman" w:cs="Times New Roman"/>
          <w:i/>
          <w:iCs/>
          <w:sz w:val="24"/>
          <w:szCs w:val="24"/>
        </w:rPr>
        <w:t>Acta Neurologica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(4), 272–278. </w:t>
      </w:r>
      <w:hyperlink r:id="rId5235" w:history="1">
        <w:r w:rsidRPr="0074138E">
          <w:rPr>
            <w:rFonts w:ascii="Times New Roman" w:eastAsia="Times New Roman" w:hAnsi="Times New Roman" w:cs="Times New Roman"/>
            <w:color w:val="0000FF"/>
            <w:sz w:val="24"/>
            <w:szCs w:val="24"/>
            <w:u w:val="single"/>
          </w:rPr>
          <w:t>https://doi.org/10.1111/j.1600-0404.2011.01530.x</w:t>
        </w:r>
      </w:hyperlink>
    </w:p>
    <w:p w14:paraId="0F08B5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Segarra, N., Bernardo, M., Gutierrez, F., Justicia, A., Fernadez-Egea, E., Allas, M., Safont, G., Contreras, F., Gascon, J., Soler-Insa, P. A., Menchon, J. M., Junque, C., &amp; Keefe, R. S. E. (2011). Spanish validation of the Brief Assessment in Cognition in Schizophrenia (BACS) in patients with schizophrenia and healthy controls.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 69–73. </w:t>
      </w:r>
      <w:hyperlink r:id="rId5236" w:history="1">
        <w:r w:rsidRPr="0074138E">
          <w:rPr>
            <w:rFonts w:ascii="Times New Roman" w:eastAsia="Times New Roman" w:hAnsi="Times New Roman" w:cs="Times New Roman"/>
            <w:color w:val="0000FF"/>
            <w:sz w:val="24"/>
            <w:szCs w:val="24"/>
            <w:u w:val="single"/>
          </w:rPr>
          <w:t>https://doi.org/10.1016/j.eurpsy.2009.11.001</w:t>
        </w:r>
      </w:hyperlink>
    </w:p>
    <w:p w14:paraId="5C14E9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Segarra, N., Bernardo, M., Valdes, M., Caldu, X., Falcón, C., Rami, L., Bargallo, N., Parramon, G., &amp; Junque, C. (2008). Cerebellar deficits in schizophrenia are associated with executive dysfunction. </w:t>
      </w:r>
      <w:r w:rsidRPr="0074138E">
        <w:rPr>
          <w:rFonts w:ascii="Times New Roman" w:eastAsia="Times New Roman" w:hAnsi="Times New Roman" w:cs="Times New Roman"/>
          <w:i/>
          <w:iCs/>
          <w:sz w:val="24"/>
          <w:szCs w:val="24"/>
        </w:rPr>
        <w:t>NeuroReport: For Rapid Communication of 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(15), 1513–1517. </w:t>
      </w:r>
      <w:hyperlink r:id="rId5237" w:history="1">
        <w:r w:rsidRPr="0074138E">
          <w:rPr>
            <w:rFonts w:ascii="Times New Roman" w:eastAsia="Times New Roman" w:hAnsi="Times New Roman" w:cs="Times New Roman"/>
            <w:color w:val="0000FF"/>
            <w:sz w:val="24"/>
            <w:szCs w:val="24"/>
            <w:u w:val="single"/>
          </w:rPr>
          <w:t>https://doi.org/10.1097/WNR.0b013e3283108bd8</w:t>
        </w:r>
      </w:hyperlink>
    </w:p>
    <w:p w14:paraId="2940D4A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Seidenberg, M., Hermann, B., Noe, A., &amp; Wyler, A. R. (1995). Depression in temporal lobe epilepsy: Interaction between laterality of lesion and Wisconsin Card Sort Performance.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(2), 81–87.</w:t>
      </w:r>
    </w:p>
    <w:p w14:paraId="372A1A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Biederman, J., Faraone, S. V., Weber, W., &amp; Ouellette, C. (1997). Toward defining a neuropsychology of attention deficit-hyperactivity disorder: Performance of children and adolescents from a large clinically referred sample. </w:t>
      </w:r>
      <w:r w:rsidRPr="0074138E">
        <w:rPr>
          <w:rFonts w:ascii="Times New Roman" w:eastAsia="Times New Roman" w:hAnsi="Times New Roman" w:cs="Times New Roman"/>
          <w:i/>
          <w:iCs/>
          <w:sz w:val="24"/>
          <w:szCs w:val="24"/>
        </w:rPr>
        <w:t>Journal of Consulting and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(1), 150–160. </w:t>
      </w:r>
      <w:hyperlink r:id="rId5238" w:history="1">
        <w:r w:rsidRPr="0074138E">
          <w:rPr>
            <w:rFonts w:ascii="Times New Roman" w:eastAsia="Times New Roman" w:hAnsi="Times New Roman" w:cs="Times New Roman"/>
            <w:color w:val="0000FF"/>
            <w:sz w:val="24"/>
            <w:szCs w:val="24"/>
            <w:u w:val="single"/>
          </w:rPr>
          <w:t>https://doi.org/10.1037/0022-006X.65.1.150</w:t>
        </w:r>
      </w:hyperlink>
    </w:p>
    <w:p w14:paraId="65449DB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Biederman, J., Monuteaux, M. C., Valera, E., Doyle, A. E., &amp; Faraone, S. V. (2005). Impact of Gender and Age on Executive Functioning: Do Girls and Boys With and Without Attention Deficit Hyperactivity Disorder Differ Neuropsychologically in Preteen and Teenage Years?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79–105. </w:t>
      </w:r>
      <w:hyperlink r:id="rId5239" w:history="1">
        <w:r w:rsidRPr="0074138E">
          <w:rPr>
            <w:rFonts w:ascii="Times New Roman" w:eastAsia="Times New Roman" w:hAnsi="Times New Roman" w:cs="Times New Roman"/>
            <w:color w:val="0000FF"/>
            <w:sz w:val="24"/>
            <w:szCs w:val="24"/>
            <w:u w:val="single"/>
          </w:rPr>
          <w:t>https://doi.org/10.1207/s15326942dn2701_4</w:t>
        </w:r>
      </w:hyperlink>
    </w:p>
    <w:p w14:paraId="14625DD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Cherkerzian, S., Goldstein, J. M., Agnew-Blais, J., Tsuang, M. T., &amp; Buka, S. L. (2013). Neuropsychological performance and family history in children at age 7 who develop adult schizophrenia or bipolar psychosis in the New England Family Studies.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(1), 119–131. </w:t>
      </w:r>
      <w:hyperlink r:id="rId5240" w:history="1">
        <w:r w:rsidRPr="0074138E">
          <w:rPr>
            <w:rFonts w:ascii="Times New Roman" w:eastAsia="Times New Roman" w:hAnsi="Times New Roman" w:cs="Times New Roman"/>
            <w:color w:val="0000FF"/>
            <w:sz w:val="24"/>
            <w:szCs w:val="24"/>
            <w:u w:val="single"/>
          </w:rPr>
          <w:t>https://doi.org/10.1017/S0033291712000773</w:t>
        </w:r>
      </w:hyperlink>
    </w:p>
    <w:p w14:paraId="1CB64F4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Giuliano, A. J., Meyer, E. C., Addington, J., Cadenhead, K. S., Cannon, T. D., McGlashan, T. H., Perkins, D. O., Tsuang, M. T., Walker, E. F., Woods, S. W., Bearden, C. E., Christensen, B. K., Hawkins, K., Heaton, R., Keefe, R. S. E., Heinssen, R., &amp; Cornblatt, B. A. (2010). Neuropsychology of the prodrome to psychosis in the NAPLS consortium: Relationship to family history and conversion to psychosis.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(6), 578–588. </w:t>
      </w:r>
      <w:hyperlink r:id="rId5241" w:history="1">
        <w:r w:rsidRPr="0074138E">
          <w:rPr>
            <w:rFonts w:ascii="Times New Roman" w:eastAsia="Times New Roman" w:hAnsi="Times New Roman" w:cs="Times New Roman"/>
            <w:color w:val="0000FF"/>
            <w:sz w:val="24"/>
            <w:szCs w:val="24"/>
            <w:u w:val="single"/>
          </w:rPr>
          <w:t>https://doi.org/10.1001/archgenpsychiatry.2010.66</w:t>
        </w:r>
      </w:hyperlink>
    </w:p>
    <w:p w14:paraId="190C3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Goldstein, J. M., Goodman, J. M., Koren, D., Turner, W. M., Faraone, S. V., &amp; Tsuang, M. T. (1997). Sex differences in olfactory identification and Wisconsin Card Sorting Performance in schizophrenia: Relationship to attention and verbal ability.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(2), 104–115. </w:t>
      </w:r>
      <w:hyperlink r:id="rId5242" w:history="1">
        <w:r w:rsidRPr="0074138E">
          <w:rPr>
            <w:rFonts w:ascii="Times New Roman" w:eastAsia="Times New Roman" w:hAnsi="Times New Roman" w:cs="Times New Roman"/>
            <w:color w:val="0000FF"/>
            <w:sz w:val="24"/>
            <w:szCs w:val="24"/>
            <w:u w:val="single"/>
          </w:rPr>
          <w:t>https://doi.org/10.1016/S0006-3223(96)00300-9</w:t>
        </w:r>
      </w:hyperlink>
    </w:p>
    <w:p w14:paraId="04E61AB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Schutt, R. K., Caplan, B., Tolomiczenko, G. S., Turner, W. M., &amp; Goldfinger, S. M. (2003). The Effect of Housing Interventions on Neuropsychological Functioning Among Homeless Persons With Mental Illness. </w:t>
      </w:r>
      <w:r w:rsidRPr="0074138E">
        <w:rPr>
          <w:rFonts w:ascii="Times New Roman" w:eastAsia="Times New Roman" w:hAnsi="Times New Roman" w:cs="Times New Roman"/>
          <w:i/>
          <w:iCs/>
          <w:sz w:val="24"/>
          <w:szCs w:val="24"/>
        </w:rPr>
        <w:t>Psychiatric Services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(6), 905–908. </w:t>
      </w:r>
      <w:hyperlink r:id="rId5243" w:history="1">
        <w:r w:rsidRPr="0074138E">
          <w:rPr>
            <w:rFonts w:ascii="Times New Roman" w:eastAsia="Times New Roman" w:hAnsi="Times New Roman" w:cs="Times New Roman"/>
            <w:color w:val="0000FF"/>
            <w:sz w:val="24"/>
            <w:szCs w:val="24"/>
            <w:u w:val="single"/>
          </w:rPr>
          <w:t>https://doi.org/10.1176/appi.ps.54.6.905</w:t>
        </w:r>
      </w:hyperlink>
    </w:p>
    <w:p w14:paraId="0A9A98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Seidman, L. J., Yurgelun-Todd, D., Kremen, W. S., Woods, B. T., Goldstein, J. M., Faraone, S. V., &amp; Tsuang, M. T. (1994). Relationship of prefrontal and temporal lobe MRI measures to neuropsychological performance in chronic schizophrenia.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(4), 235–246. </w:t>
      </w:r>
      <w:hyperlink r:id="rId5244" w:history="1">
        <w:r w:rsidRPr="0074138E">
          <w:rPr>
            <w:rFonts w:ascii="Times New Roman" w:eastAsia="Times New Roman" w:hAnsi="Times New Roman" w:cs="Times New Roman"/>
            <w:color w:val="0000FF"/>
            <w:sz w:val="24"/>
            <w:szCs w:val="24"/>
            <w:u w:val="single"/>
          </w:rPr>
          <w:t>https://doi.org/10.1016/0006-3223(94)91254-8</w:t>
        </w:r>
      </w:hyperlink>
    </w:p>
    <w:p w14:paraId="67D4447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Seiler, S., Pirpamer, L., Hofer, E., Duering, M., Jouvent, E., Fazekas, F., Mangin, J.-F., Chabriat, H., Dichgans, M., Ropele, S., &amp; Schmidt, R. (2014). Magnetization transfer ratio relates to cognitive impairment in normal elderly.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 </w:t>
      </w:r>
      <w:hyperlink r:id="rId5245" w:history="1">
        <w:r w:rsidRPr="0074138E">
          <w:rPr>
            <w:rFonts w:ascii="Times New Roman" w:eastAsia="Times New Roman" w:hAnsi="Times New Roman" w:cs="Times New Roman"/>
            <w:color w:val="0000FF"/>
            <w:sz w:val="24"/>
            <w:szCs w:val="24"/>
            <w:u w:val="single"/>
          </w:rPr>
          <w:t>https://doi.org/10.3389/fnagi.2014.00263</w:t>
        </w:r>
      </w:hyperlink>
    </w:p>
    <w:p w14:paraId="5553357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Sekiguchi, K., Akiyoshi, K., Okazaki, N., Yamada, H., Suzuki, M., Maeda, T., Suenobu, S., Izumi, T., &amp; Kang, D. (2010). PLEDs in an infant with congenital protein C deficiency: A case report. </w:t>
      </w:r>
      <w:r w:rsidRPr="0074138E">
        <w:rPr>
          <w:rFonts w:ascii="Times New Roman" w:eastAsia="Times New Roman" w:hAnsi="Times New Roman" w:cs="Times New Roman"/>
          <w:i/>
          <w:iCs/>
          <w:sz w:val="24"/>
          <w:szCs w:val="24"/>
        </w:rPr>
        <w:t>Clinical Neurophysiology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121</w:t>
      </w:r>
      <w:r w:rsidRPr="0074138E">
        <w:rPr>
          <w:rFonts w:ascii="Times New Roman" w:eastAsia="Times New Roman" w:hAnsi="Times New Roman" w:cs="Times New Roman"/>
          <w:sz w:val="24"/>
          <w:szCs w:val="24"/>
        </w:rPr>
        <w:t xml:space="preserve">(5), 800–801. </w:t>
      </w:r>
      <w:hyperlink r:id="rId5246" w:history="1">
        <w:r w:rsidRPr="0074138E">
          <w:rPr>
            <w:rFonts w:ascii="Times New Roman" w:eastAsia="Times New Roman" w:hAnsi="Times New Roman" w:cs="Times New Roman"/>
            <w:color w:val="0000FF"/>
            <w:sz w:val="24"/>
            <w:szCs w:val="24"/>
            <w:u w:val="single"/>
          </w:rPr>
          <w:t>https://doi.org/10.1016/j.clinph.2009.12.031</w:t>
        </w:r>
      </w:hyperlink>
    </w:p>
    <w:p w14:paraId="7435E9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Sekine, Y., Takei, N., Suzuki, K., Nakamura, K., Tsuchiya, K. J., Takebayashi, K., Toulopoulou, T., &amp; Mori, N. (2005). Effective Adjunctive Use of Pergolide With Quetiapine for Cognitive Impairment and Negative Symptoms in Schizophrenia.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281–283. </w:t>
      </w:r>
      <w:hyperlink r:id="rId5247" w:history="1">
        <w:r w:rsidRPr="0074138E">
          <w:rPr>
            <w:rFonts w:ascii="Times New Roman" w:eastAsia="Times New Roman" w:hAnsi="Times New Roman" w:cs="Times New Roman"/>
            <w:color w:val="0000FF"/>
            <w:sz w:val="24"/>
            <w:szCs w:val="24"/>
            <w:u w:val="single"/>
          </w:rPr>
          <w:t>https://doi.org/10.1097/01.jcp.0000162813.22689.d9</w:t>
        </w:r>
      </w:hyperlink>
    </w:p>
    <w:p w14:paraId="535DB8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Seli, P., Maillet, D., Smilek, D., Oakman, J. M., &amp; Schacter, D. L. (2017). Cognitive aging and the distinction between intentional and unintentional mind wandering.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(4), 315–324. </w:t>
      </w:r>
      <w:hyperlink r:id="rId5248" w:history="1">
        <w:r w:rsidRPr="0074138E">
          <w:rPr>
            <w:rFonts w:ascii="Times New Roman" w:eastAsia="Times New Roman" w:hAnsi="Times New Roman" w:cs="Times New Roman"/>
            <w:color w:val="0000FF"/>
            <w:sz w:val="24"/>
            <w:szCs w:val="24"/>
            <w:u w:val="single"/>
          </w:rPr>
          <w:t>https://doi.org/10.1037/pag0000172</w:t>
        </w:r>
      </w:hyperlink>
    </w:p>
    <w:p w14:paraId="4D7F6F7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Sellbom, M., &amp; Verona, E. (2007). Neuropsychological correlates of psychopathic traits in a non-incarcerated sample. </w:t>
      </w:r>
      <w:r w:rsidRPr="0074138E">
        <w:rPr>
          <w:rFonts w:ascii="Times New Roman" w:eastAsia="Times New Roman" w:hAnsi="Times New Roman" w:cs="Times New Roman"/>
          <w:i/>
          <w:iCs/>
          <w:sz w:val="24"/>
          <w:szCs w:val="24"/>
        </w:rPr>
        <w:t>Journal of Research in Personality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(2), 276–294. </w:t>
      </w:r>
      <w:hyperlink r:id="rId5249" w:history="1">
        <w:r w:rsidRPr="0074138E">
          <w:rPr>
            <w:rFonts w:ascii="Times New Roman" w:eastAsia="Times New Roman" w:hAnsi="Times New Roman" w:cs="Times New Roman"/>
            <w:color w:val="0000FF"/>
            <w:sz w:val="24"/>
            <w:szCs w:val="24"/>
            <w:u w:val="single"/>
          </w:rPr>
          <w:t>https://doi.org/10.1016/j.jrp.2006.04.001</w:t>
        </w:r>
      </w:hyperlink>
    </w:p>
    <w:p w14:paraId="2CE416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Seltzer, J., Conrad, C., &amp; Cassens, G. (1997). Neuropsychological profiles in schizophrenia: Paranoid versus undifferentiated distinctions.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131–138. </w:t>
      </w:r>
      <w:hyperlink r:id="rId5250" w:history="1">
        <w:r w:rsidRPr="0074138E">
          <w:rPr>
            <w:rFonts w:ascii="Times New Roman" w:eastAsia="Times New Roman" w:hAnsi="Times New Roman" w:cs="Times New Roman"/>
            <w:color w:val="0000FF"/>
            <w:sz w:val="24"/>
            <w:szCs w:val="24"/>
            <w:u w:val="single"/>
          </w:rPr>
          <w:t>https://doi.org/10.1016/S0920-9964(96)00094-1</w:t>
        </w:r>
      </w:hyperlink>
    </w:p>
    <w:p w14:paraId="4546BA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Selva, G., Salazar, J., Balanzá-Martínez, V., Martínez-Arán, A., Rubio, C., Daban, C., Sánchez-Moreno, J., Vieta, E., &amp; Tabarés-Seisdedos, R. (2007). Bipolar I patients with and without a history of psychotic symptoms: Do they differ in their cognitive functioning?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(3–4), 265–272. </w:t>
      </w:r>
      <w:hyperlink r:id="rId5251" w:history="1">
        <w:r w:rsidRPr="0074138E">
          <w:rPr>
            <w:rFonts w:ascii="Times New Roman" w:eastAsia="Times New Roman" w:hAnsi="Times New Roman" w:cs="Times New Roman"/>
            <w:color w:val="0000FF"/>
            <w:sz w:val="24"/>
            <w:szCs w:val="24"/>
            <w:u w:val="single"/>
          </w:rPr>
          <w:t>https://doi.org/10.1016/j.jpsychires.2006.03.007</w:t>
        </w:r>
      </w:hyperlink>
    </w:p>
    <w:p w14:paraId="457336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Selva Vera, G., Tabarés Seisdedos, R., Salazar Fraile, J., Balanzá Martínez, V., &amp; Leal Cercós, C. (1999). ?Existen diferencias en el funcionamiento neuropsicológico entre pacientes esquizofrénicos y bipolares–maníacos hospitalizados? [Are there neuropsychological differences between schizophrenic and bipolar–maniac inpatients?]. </w:t>
      </w:r>
      <w:r w:rsidRPr="0074138E">
        <w:rPr>
          <w:rFonts w:ascii="Times New Roman" w:eastAsia="Times New Roman" w:hAnsi="Times New Roman" w:cs="Times New Roman"/>
          <w:i/>
          <w:iCs/>
          <w:sz w:val="24"/>
          <w:szCs w:val="24"/>
        </w:rPr>
        <w:t>Anales de Psiquiatría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(2), 62–67.</w:t>
      </w:r>
    </w:p>
    <w:p w14:paraId="700F7D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Selva-Vera, G., Balanzá-Martínez, V., Salazar-Fraile, J., Sánchez-Moreno, J., Martinez-Aran, A., Correa, P., Vieta, E., &amp; Tabarés-Seisdedos, R. (2010). The switch from conventional to atypical antipsychotic treatment should not be based exclusively on the presence of cognitive deficits. A pilot study in individuals with schizophrenia.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 </w:t>
      </w:r>
      <w:hyperlink r:id="rId5252" w:history="1">
        <w:r w:rsidRPr="0074138E">
          <w:rPr>
            <w:rFonts w:ascii="Times New Roman" w:eastAsia="Times New Roman" w:hAnsi="Times New Roman" w:cs="Times New Roman"/>
            <w:color w:val="0000FF"/>
            <w:sz w:val="24"/>
            <w:szCs w:val="24"/>
            <w:u w:val="single"/>
          </w:rPr>
          <w:t>https://doi.org/10.1186/1471-244X-10-47</w:t>
        </w:r>
      </w:hyperlink>
    </w:p>
    <w:p w14:paraId="1D5697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Semrud-Clikeman, M., &amp; Bledsoe, J. C. (2013). A case study: Traumatic brain injury. In </w:t>
      </w:r>
      <w:r w:rsidRPr="0074138E">
        <w:rPr>
          <w:rFonts w:ascii="Times New Roman" w:eastAsia="Times New Roman" w:hAnsi="Times New Roman" w:cs="Times New Roman"/>
          <w:i/>
          <w:iCs/>
          <w:sz w:val="24"/>
          <w:szCs w:val="24"/>
        </w:rPr>
        <w:t>Psychopathology of childhood and adolescence: A neuropsychological approach.</w:t>
      </w:r>
      <w:r w:rsidRPr="0074138E">
        <w:rPr>
          <w:rFonts w:ascii="Times New Roman" w:eastAsia="Times New Roman" w:hAnsi="Times New Roman" w:cs="Times New Roman"/>
          <w:sz w:val="24"/>
          <w:szCs w:val="24"/>
        </w:rPr>
        <w:t xml:space="preserve"> (pp. 767–772). Springer Publishing Company.</w:t>
      </w:r>
    </w:p>
    <w:p w14:paraId="1E0CF71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Şendur, İ., Kalkan Oğuzhanoğlu, N., &amp; Sözeri Varma, G. (2020). Study on dorsolateral prefrontal cortex neurochemical metabolite levels of patients with major depression using </w:t>
      </w:r>
      <w:r w:rsidRPr="0074138E">
        <w:rPr>
          <w:rFonts w:ascii="Times New Roman" w:eastAsia="Times New Roman" w:hAnsi="Times New Roman" w:cs="Times New Roman"/>
          <w:sz w:val="24"/>
          <w:szCs w:val="24"/>
          <w:vertAlign w:val="superscript"/>
        </w:rPr>
        <w:t>1</w:t>
      </w:r>
      <w:r w:rsidRPr="0074138E">
        <w:rPr>
          <w:rFonts w:ascii="Times New Roman" w:eastAsia="Times New Roman" w:hAnsi="Times New Roman" w:cs="Times New Roman"/>
          <w:sz w:val="24"/>
          <w:szCs w:val="24"/>
        </w:rPr>
        <w:t xml:space="preserve">H-MRS technique. </w:t>
      </w:r>
      <w:r w:rsidRPr="0074138E">
        <w:rPr>
          <w:rFonts w:ascii="Times New Roman" w:eastAsia="Times New Roman" w:hAnsi="Times New Roman" w:cs="Times New Roman"/>
          <w:i/>
          <w:iCs/>
          <w:sz w:val="24"/>
          <w:szCs w:val="24"/>
        </w:rPr>
        <w:t>Türk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(2), 75–83.</w:t>
      </w:r>
    </w:p>
    <w:p w14:paraId="727006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Sengstock, S. K. (2001). </w:t>
      </w:r>
      <w:r w:rsidRPr="0074138E">
        <w:rPr>
          <w:rFonts w:ascii="Times New Roman" w:eastAsia="Times New Roman" w:hAnsi="Times New Roman" w:cs="Times New Roman"/>
          <w:i/>
          <w:iCs/>
          <w:sz w:val="24"/>
          <w:szCs w:val="24"/>
        </w:rPr>
        <w:t>The contribution of working memory and inhibition to the executive functioning of children with attention deficit hyperactivity disorder and children with reading disability.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(11-B), 6148–6148.</w:t>
      </w:r>
    </w:p>
    <w:p w14:paraId="4EAB7C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Sengupta, S., Grizenko, N., Schmitz, N., Schwartz, G., Bellingham, J., Polotskaia, A., Stepanian, M. T., Goto, Y., Grace, A. A., &amp; Joober, R. (2008). COMT Val108/158Met polymorphism and the modulation of task-oriented behavior in children with ADHD. </w:t>
      </w:r>
      <w:r w:rsidRPr="0074138E">
        <w:rPr>
          <w:rFonts w:ascii="Times New Roman" w:eastAsia="Times New Roman" w:hAnsi="Times New Roman" w:cs="Times New Roman"/>
          <w:i/>
          <w:iCs/>
          <w:sz w:val="24"/>
          <w:szCs w:val="24"/>
        </w:rPr>
        <w:t>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(13), 3069–3077. </w:t>
      </w:r>
      <w:hyperlink r:id="rId5253" w:history="1">
        <w:r w:rsidRPr="0074138E">
          <w:rPr>
            <w:rFonts w:ascii="Times New Roman" w:eastAsia="Times New Roman" w:hAnsi="Times New Roman" w:cs="Times New Roman"/>
            <w:color w:val="0000FF"/>
            <w:sz w:val="24"/>
            <w:szCs w:val="24"/>
            <w:u w:val="single"/>
          </w:rPr>
          <w:t>https://doi.org/10.1038/npp.2008.85</w:t>
        </w:r>
      </w:hyperlink>
    </w:p>
    <w:p w14:paraId="23D4BC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Sengupta, S. M., Fotopoulos, N., Devenyi, G. A., Fortier, M.-È., Ter-Stepanian, M., Sagliker, S., Karama, S., Chakravarty, M. M., Labbe, A., Grizenko, N., &amp; Joober, R. (2018). Dissecting genetic cross-talk between ADHD and other neurodevelopmental disorders: Evidence from behavioural, pharmacological and brain imaging investigations.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269</w:t>
      </w:r>
      <w:r w:rsidRPr="0074138E">
        <w:rPr>
          <w:rFonts w:ascii="Times New Roman" w:eastAsia="Times New Roman" w:hAnsi="Times New Roman" w:cs="Times New Roman"/>
          <w:sz w:val="24"/>
          <w:szCs w:val="24"/>
        </w:rPr>
        <w:t xml:space="preserve">, 652–657. </w:t>
      </w:r>
      <w:hyperlink r:id="rId5254" w:history="1">
        <w:r w:rsidRPr="0074138E">
          <w:rPr>
            <w:rFonts w:ascii="Times New Roman" w:eastAsia="Times New Roman" w:hAnsi="Times New Roman" w:cs="Times New Roman"/>
            <w:color w:val="0000FF"/>
            <w:sz w:val="24"/>
            <w:szCs w:val="24"/>
            <w:u w:val="single"/>
          </w:rPr>
          <w:t>https://doi.org/10.1016/j.psychres.2018.08.080</w:t>
        </w:r>
      </w:hyperlink>
    </w:p>
    <w:p w14:paraId="33553C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Sensi, M., Eleopra, R., Cavallo, M. A., Sette, E., Milani, P., Quatrale, R., Capone, J. G., Tugnoli, V., Tola, M. R., Granieri, E., &amp; Data, P. G. (2004). Explosive-aggressive behavior related to bilateral subthalamic stimulation. </w:t>
      </w:r>
      <w:r w:rsidRPr="0074138E">
        <w:rPr>
          <w:rFonts w:ascii="Times New Roman" w:eastAsia="Times New Roman" w:hAnsi="Times New Roman" w:cs="Times New Roman"/>
          <w:i/>
          <w:iCs/>
          <w:sz w:val="24"/>
          <w:szCs w:val="24"/>
        </w:rPr>
        <w:t>Parkinsonism &amp;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(4), 247–251. </w:t>
      </w:r>
      <w:hyperlink r:id="rId5255" w:history="1">
        <w:r w:rsidRPr="0074138E">
          <w:rPr>
            <w:rFonts w:ascii="Times New Roman" w:eastAsia="Times New Roman" w:hAnsi="Times New Roman" w:cs="Times New Roman"/>
            <w:color w:val="0000FF"/>
            <w:sz w:val="24"/>
            <w:szCs w:val="24"/>
            <w:u w:val="single"/>
          </w:rPr>
          <w:t>https://doi.org/10.1016/j.parkreldis.2004.01.007</w:t>
        </w:r>
      </w:hyperlink>
    </w:p>
    <w:p w14:paraId="680AC6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Şentürk Cankorur, V., Demirel, H., &amp; Atbaşoğlu, C. (2017). Cognitive functioning in euthymic bipolar patients on monotherapy with novel antipsychotics or mood stabilizers. </w:t>
      </w:r>
      <w:r w:rsidRPr="0074138E">
        <w:rPr>
          <w:rFonts w:ascii="Times New Roman" w:eastAsia="Times New Roman" w:hAnsi="Times New Roman" w:cs="Times New Roman"/>
          <w:i/>
          <w:iCs/>
          <w:sz w:val="24"/>
          <w:szCs w:val="24"/>
        </w:rPr>
        <w:t>Nöropsikiyatri Arşivi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(3), 244–250. </w:t>
      </w:r>
      <w:hyperlink r:id="rId5256" w:history="1">
        <w:r w:rsidRPr="0074138E">
          <w:rPr>
            <w:rFonts w:ascii="Times New Roman" w:eastAsia="Times New Roman" w:hAnsi="Times New Roman" w:cs="Times New Roman"/>
            <w:color w:val="0000FF"/>
            <w:sz w:val="24"/>
            <w:szCs w:val="24"/>
            <w:u w:val="single"/>
          </w:rPr>
          <w:t>https://doi.org/10.5152/npa.2017.15883</w:t>
        </w:r>
      </w:hyperlink>
    </w:p>
    <w:p w14:paraId="007240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Şentürk Cankorur, V., Demirel, H., Yücel, D., Çakır, S., Kesebir, S., &amp; Atbaşoğlu, C. (2017). Cognitive functions of bipolar disorder patients in remission on monotherapy: A follow-up study. </w:t>
      </w:r>
      <w:r w:rsidRPr="0074138E">
        <w:rPr>
          <w:rFonts w:ascii="Times New Roman" w:eastAsia="Times New Roman" w:hAnsi="Times New Roman" w:cs="Times New Roman"/>
          <w:i/>
          <w:iCs/>
          <w:sz w:val="24"/>
          <w:szCs w:val="24"/>
        </w:rPr>
        <w:t>Türk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(4), 1–9.</w:t>
      </w:r>
    </w:p>
    <w:p w14:paraId="3A2971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Senturk, G., Bilgic, B., Arslan, A. B., Bayram, A., Hanagasi, H., Gurvit, H., &amp; Emre, M. (2017). Cognitive and anatomical correlates of anosognosia in amnestic mild cognitive impairment and early-stage Alzheimer’s disease. </w:t>
      </w:r>
      <w:r w:rsidRPr="0074138E">
        <w:rPr>
          <w:rFonts w:ascii="Times New Roman" w:eastAsia="Times New Roman" w:hAnsi="Times New Roman" w:cs="Times New Roman"/>
          <w:i/>
          <w:iCs/>
          <w:sz w:val="24"/>
          <w:szCs w:val="24"/>
        </w:rPr>
        <w:t>International 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(2), 293–302. </w:t>
      </w:r>
      <w:hyperlink r:id="rId5257" w:history="1">
        <w:r w:rsidRPr="0074138E">
          <w:rPr>
            <w:rFonts w:ascii="Times New Roman" w:eastAsia="Times New Roman" w:hAnsi="Times New Roman" w:cs="Times New Roman"/>
            <w:color w:val="0000FF"/>
            <w:sz w:val="24"/>
            <w:szCs w:val="24"/>
            <w:u w:val="single"/>
          </w:rPr>
          <w:t>https://doi.org/10.1017/S1041610216001812</w:t>
        </w:r>
      </w:hyperlink>
    </w:p>
    <w:p w14:paraId="62F3AD6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Senturk, N., Yeniceri, N., Alp, I. E., &amp; Altan-Atalay, A. (2014). An exploratory study on the Junior Brixton Spatial Rule Attainment Test in 6- to 8-year-olds. </w:t>
      </w:r>
      <w:r w:rsidRPr="0074138E">
        <w:rPr>
          <w:rFonts w:ascii="Times New Roman" w:eastAsia="Times New Roman" w:hAnsi="Times New Roman" w:cs="Times New Roman"/>
          <w:i/>
          <w:iCs/>
          <w:sz w:val="24"/>
          <w:szCs w:val="24"/>
        </w:rPr>
        <w:t>Journal of Psychoeducational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(2), 123–132. </w:t>
      </w:r>
      <w:hyperlink r:id="rId5258" w:history="1">
        <w:r w:rsidRPr="0074138E">
          <w:rPr>
            <w:rFonts w:ascii="Times New Roman" w:eastAsia="Times New Roman" w:hAnsi="Times New Roman" w:cs="Times New Roman"/>
            <w:color w:val="0000FF"/>
            <w:sz w:val="24"/>
            <w:szCs w:val="24"/>
            <w:u w:val="single"/>
          </w:rPr>
          <w:t>https://doi.org/10.1177/0734282913490917</w:t>
        </w:r>
      </w:hyperlink>
    </w:p>
    <w:p w14:paraId="39509B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Seo, J., Chang, Y., Jang, K. E., Park, J. W., Kim, Y.-T., Park, S.-J., Jeong, K. S., Kim, A., Kim, S. H., &amp; Kim, Y. (2016). Altered executive function in the welders: A functional magnetic resonance imaging study. </w:t>
      </w:r>
      <w:r w:rsidRPr="0074138E">
        <w:rPr>
          <w:rFonts w:ascii="Times New Roman" w:eastAsia="Times New Roman" w:hAnsi="Times New Roman" w:cs="Times New Roman"/>
          <w:i/>
          <w:iCs/>
          <w:sz w:val="24"/>
          <w:szCs w:val="24"/>
        </w:rPr>
        <w:t>Neurotoxicology and Teratology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 26–34. </w:t>
      </w:r>
      <w:hyperlink r:id="rId5259" w:history="1">
        <w:r w:rsidRPr="0074138E">
          <w:rPr>
            <w:rFonts w:ascii="Times New Roman" w:eastAsia="Times New Roman" w:hAnsi="Times New Roman" w:cs="Times New Roman"/>
            <w:color w:val="0000FF"/>
            <w:sz w:val="24"/>
            <w:szCs w:val="24"/>
            <w:u w:val="single"/>
          </w:rPr>
          <w:t>https://doi.org/10.1016/j.ntt.2016.05.003</w:t>
        </w:r>
      </w:hyperlink>
    </w:p>
    <w:p w14:paraId="645B9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Sergi, M. J., Kern, R. S., Mintz, J., &amp; Green, M. F. (2005). Learning Potential and the Prediction of Work Skill Acquisition in Schizophrenia.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67–72. </w:t>
      </w:r>
      <w:hyperlink r:id="rId5260" w:history="1">
        <w:r w:rsidRPr="0074138E">
          <w:rPr>
            <w:rFonts w:ascii="Times New Roman" w:eastAsia="Times New Roman" w:hAnsi="Times New Roman" w:cs="Times New Roman"/>
            <w:color w:val="0000FF"/>
            <w:sz w:val="24"/>
            <w:szCs w:val="24"/>
            <w:u w:val="single"/>
          </w:rPr>
          <w:t>https://doi.org/10.1093/schbul/sbi007</w:t>
        </w:r>
      </w:hyperlink>
    </w:p>
    <w:p w14:paraId="29F15E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Serpente, M., Fenoglio, C., Cioffi, S. M. G., Oldoni, E., Arcaro, M., Arighi, A., Fumagalli, G. G., Ghezzi, L., Scarpini, E., &amp; Galimberti, D. (2018). Profiling of specific gene expression pathways in peripheral cells from prodromal Alzheimer’s disease patients.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(4), 1289–1294. </w:t>
      </w:r>
      <w:hyperlink r:id="rId5261" w:history="1">
        <w:r w:rsidRPr="0074138E">
          <w:rPr>
            <w:rFonts w:ascii="Times New Roman" w:eastAsia="Times New Roman" w:hAnsi="Times New Roman" w:cs="Times New Roman"/>
            <w:color w:val="0000FF"/>
            <w:sz w:val="24"/>
            <w:szCs w:val="24"/>
            <w:u w:val="single"/>
          </w:rPr>
          <w:t>https://doi.org/10.3233/JAD-170861</w:t>
        </w:r>
      </w:hyperlink>
    </w:p>
    <w:p w14:paraId="2BBCCD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Serra-Blasco, M., Torres, I. J., Vicent-Gil, M., Goldberg, X., Navarra-Ventura, G., Aguilar, E., Via, E., Portella, M. J., Figuereo, I., Palao, D., Lam, R. W., &amp; Cardoner, N. (2019). Discrepancy between objective and subjective cognition in major depressive disorder.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46–56. </w:t>
      </w:r>
      <w:hyperlink r:id="rId5262" w:history="1">
        <w:r w:rsidRPr="0074138E">
          <w:rPr>
            <w:rFonts w:ascii="Times New Roman" w:eastAsia="Times New Roman" w:hAnsi="Times New Roman" w:cs="Times New Roman"/>
            <w:color w:val="0000FF"/>
            <w:sz w:val="24"/>
            <w:szCs w:val="24"/>
            <w:u w:val="single"/>
          </w:rPr>
          <w:t>https://doi.org/10.1016/j.euroneuro.2018.11.1104</w:t>
        </w:r>
      </w:hyperlink>
    </w:p>
    <w:p w14:paraId="0535D2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Serrani, D. (2014). Validación en español del test TYM para cribado de demencia en una población argentina. [Spanish validation of the TYM Test for Dementia Screening in an Argentine population.]. </w:t>
      </w:r>
      <w:r w:rsidRPr="0074138E">
        <w:rPr>
          <w:rFonts w:ascii="Times New Roman" w:eastAsia="Times New Roman" w:hAnsi="Times New Roman" w:cs="Times New Roman"/>
          <w:i/>
          <w:iCs/>
          <w:sz w:val="24"/>
          <w:szCs w:val="24"/>
        </w:rPr>
        <w:t>Universitas 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(1), 265–284.</w:t>
      </w:r>
    </w:p>
    <w:p w14:paraId="7CE3B4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Seubert-Ravelo, A. N., Yáñez-Téllez, M. G., Salgado-Ceballos, H., Escartín-Pérez, R. E., Neri-Nani, G. A., &amp; Velázquez-Osuna, S. (2016). Mild cognitive impairment in patients with early-onset Parkinson’s disease.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(1–2), 17–30. </w:t>
      </w:r>
      <w:hyperlink r:id="rId5263" w:history="1">
        <w:r w:rsidRPr="0074138E">
          <w:rPr>
            <w:rFonts w:ascii="Times New Roman" w:eastAsia="Times New Roman" w:hAnsi="Times New Roman" w:cs="Times New Roman"/>
            <w:color w:val="0000FF"/>
            <w:sz w:val="24"/>
            <w:szCs w:val="24"/>
            <w:u w:val="single"/>
          </w:rPr>
          <w:t>https://doi.org/10.1159/000447533</w:t>
        </w:r>
      </w:hyperlink>
    </w:p>
    <w:p w14:paraId="4684B9D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Severtson, S. G., Hedden, S. L., Martins, S. S., &amp; Latimer, W. W. (2012). Patterns of cognitive impairments among heroin and cocaine users: The association with self-reported learning disabilities and infectious disease.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(2), 139–150. </w:t>
      </w:r>
      <w:hyperlink r:id="rId5264" w:history="1">
        <w:r w:rsidRPr="0074138E">
          <w:rPr>
            <w:rFonts w:ascii="Times New Roman" w:eastAsia="Times New Roman" w:hAnsi="Times New Roman" w:cs="Times New Roman"/>
            <w:color w:val="0000FF"/>
            <w:sz w:val="24"/>
            <w:szCs w:val="24"/>
            <w:u w:val="single"/>
          </w:rPr>
          <w:t>https://doi.org/10.1177/0022219409355481</w:t>
        </w:r>
      </w:hyperlink>
    </w:p>
    <w:p w14:paraId="6CD9E7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Severtson, S. G., von Thomsen, S., Hedden, S. L., &amp; Latimer, W. (2010). The association between executive functioning and motivation to enter treatment among regular users of heroin and/or cocaine in Baltimore, MD. </w:t>
      </w:r>
      <w:r w:rsidRPr="0074138E">
        <w:rPr>
          <w:rFonts w:ascii="Times New Roman" w:eastAsia="Times New Roman" w:hAnsi="Times New Roman" w:cs="Times New Roman"/>
          <w:i/>
          <w:iCs/>
          <w:sz w:val="24"/>
          <w:szCs w:val="24"/>
        </w:rPr>
        <w:t>Addictive Behaviors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(7), 717–720. </w:t>
      </w:r>
      <w:hyperlink r:id="rId5265" w:history="1">
        <w:r w:rsidRPr="0074138E">
          <w:rPr>
            <w:rFonts w:ascii="Times New Roman" w:eastAsia="Times New Roman" w:hAnsi="Times New Roman" w:cs="Times New Roman"/>
            <w:color w:val="0000FF"/>
            <w:sz w:val="24"/>
            <w:szCs w:val="24"/>
            <w:u w:val="single"/>
          </w:rPr>
          <w:t>https://doi.org/10.1016/j.addbeh.2010.02.012</w:t>
        </w:r>
      </w:hyperlink>
    </w:p>
    <w:p w14:paraId="7EA3A7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Şevik, A. E., Anıl Yağcıoğlu, A. E., Yağcıoğlu, S., Karahan, S., Gürses, N., &amp; Yıldız, M. (2011). Neuropsychological performance and auditory event related potentials in schizophrenia patients and their siblings: A family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(1–3), 195–202. </w:t>
      </w:r>
      <w:hyperlink r:id="rId5266" w:history="1">
        <w:r w:rsidRPr="0074138E">
          <w:rPr>
            <w:rFonts w:ascii="Times New Roman" w:eastAsia="Times New Roman" w:hAnsi="Times New Roman" w:cs="Times New Roman"/>
            <w:color w:val="0000FF"/>
            <w:sz w:val="24"/>
            <w:szCs w:val="24"/>
            <w:u w:val="single"/>
          </w:rPr>
          <w:t>https://doi.org/10.1016/j.schres.2011.04.018</w:t>
        </w:r>
      </w:hyperlink>
    </w:p>
    <w:p w14:paraId="67606D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Sevy, S., Robinson, D. G., Napolitano, B., Patel, R. C., Gunduz-Bruce, H., Miller, R., McCormack, J., Lorell, B. S., &amp; Kane, J. (2010). Are cannabis use disorders associated with an earlier age at onset of psychosis? A study in first episode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120</w:t>
      </w:r>
      <w:r w:rsidRPr="0074138E">
        <w:rPr>
          <w:rFonts w:ascii="Times New Roman" w:eastAsia="Times New Roman" w:hAnsi="Times New Roman" w:cs="Times New Roman"/>
          <w:sz w:val="24"/>
          <w:szCs w:val="24"/>
        </w:rPr>
        <w:t xml:space="preserve">(1–3), 101–107. </w:t>
      </w:r>
      <w:hyperlink r:id="rId5267" w:history="1">
        <w:r w:rsidRPr="0074138E">
          <w:rPr>
            <w:rFonts w:ascii="Times New Roman" w:eastAsia="Times New Roman" w:hAnsi="Times New Roman" w:cs="Times New Roman"/>
            <w:color w:val="0000FF"/>
            <w:sz w:val="24"/>
            <w:szCs w:val="24"/>
            <w:u w:val="single"/>
          </w:rPr>
          <w:t>https://doi.org/10.1016/j.schres.2010.03.037</w:t>
        </w:r>
      </w:hyperlink>
    </w:p>
    <w:p w14:paraId="795C2D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Sewell, R. A., Perry, E. B., Karper, L. P., Bell, M. D., Lysaker, P., Goulet, J. L., Brenner, L., Erdos, J., d’Souza, D. C., Seibyl, J. P., &amp; Krystal, J. H. (2010). Clinical significance of neurological soft signs in schizophrenia: Factor analysis of the Neurological Evaluation Scale.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124</w:t>
      </w:r>
      <w:r w:rsidRPr="0074138E">
        <w:rPr>
          <w:rFonts w:ascii="Times New Roman" w:eastAsia="Times New Roman" w:hAnsi="Times New Roman" w:cs="Times New Roman"/>
          <w:sz w:val="24"/>
          <w:szCs w:val="24"/>
        </w:rPr>
        <w:t xml:space="preserve">(1–3), 1–12. </w:t>
      </w:r>
      <w:hyperlink r:id="rId5268" w:history="1">
        <w:r w:rsidRPr="0074138E">
          <w:rPr>
            <w:rFonts w:ascii="Times New Roman" w:eastAsia="Times New Roman" w:hAnsi="Times New Roman" w:cs="Times New Roman"/>
            <w:color w:val="0000FF"/>
            <w:sz w:val="24"/>
            <w:szCs w:val="24"/>
            <w:u w:val="single"/>
          </w:rPr>
          <w:t>https://doi.org/10.1016/j.schres.2010.08.036</w:t>
        </w:r>
      </w:hyperlink>
    </w:p>
    <w:p w14:paraId="60388C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Sexton, C. C., Gelhorn, H. L., Bell, J. A., &amp; Classi, P. M. (2012). The co-occurrence of reading disorder and ADHD: Epidemiology, treatment, psychosocial impact, and economic burden. </w:t>
      </w:r>
      <w:r w:rsidRPr="0074138E">
        <w:rPr>
          <w:rFonts w:ascii="Times New Roman" w:eastAsia="Times New Roman" w:hAnsi="Times New Roman" w:cs="Times New Roman"/>
          <w:i/>
          <w:iCs/>
          <w:sz w:val="24"/>
          <w:szCs w:val="24"/>
        </w:rPr>
        <w:t>Journal of Learning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(6), 538–564. </w:t>
      </w:r>
      <w:hyperlink r:id="rId5269" w:history="1">
        <w:r w:rsidRPr="0074138E">
          <w:rPr>
            <w:rFonts w:ascii="Times New Roman" w:eastAsia="Times New Roman" w:hAnsi="Times New Roman" w:cs="Times New Roman"/>
            <w:color w:val="0000FF"/>
            <w:sz w:val="24"/>
            <w:szCs w:val="24"/>
            <w:u w:val="single"/>
          </w:rPr>
          <w:t>https://doi.org/10.1177/0022219411407772</w:t>
        </w:r>
      </w:hyperlink>
    </w:p>
    <w:p w14:paraId="746100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Sgaramella, T. M., &amp; Soresi, S. S. (2012). Models of neuropsychological assessment and the analysis of everyday life difficulties: Evidence from executive functions. In </w:t>
      </w:r>
      <w:r w:rsidRPr="0074138E">
        <w:rPr>
          <w:rFonts w:ascii="Times New Roman" w:eastAsia="Times New Roman" w:hAnsi="Times New Roman" w:cs="Times New Roman"/>
          <w:i/>
          <w:iCs/>
          <w:sz w:val="24"/>
          <w:szCs w:val="24"/>
        </w:rPr>
        <w:t>Child health and human development yearbook, 2010.</w:t>
      </w:r>
      <w:r w:rsidRPr="0074138E">
        <w:rPr>
          <w:rFonts w:ascii="Times New Roman" w:eastAsia="Times New Roman" w:hAnsi="Times New Roman" w:cs="Times New Roman"/>
          <w:sz w:val="24"/>
          <w:szCs w:val="24"/>
        </w:rPr>
        <w:t xml:space="preserve"> (pp. 295–312). Nova Biomedical Books.</w:t>
      </w:r>
    </w:p>
    <w:p w14:paraId="484E90B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Shad, M. U., Prasad, K., Forman, S. D., Haas, G. L., Walker, J. D., Pisarov, L. A., &amp; Goldstein, G. (2015). Insight and neurocognitive functioning in bipolar subjects.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 112–120. </w:t>
      </w:r>
      <w:hyperlink r:id="rId5270" w:history="1">
        <w:r w:rsidRPr="0074138E">
          <w:rPr>
            <w:rFonts w:ascii="Times New Roman" w:eastAsia="Times New Roman" w:hAnsi="Times New Roman" w:cs="Times New Roman"/>
            <w:color w:val="0000FF"/>
            <w:sz w:val="24"/>
            <w:szCs w:val="24"/>
            <w:u w:val="single"/>
          </w:rPr>
          <w:t>https://doi.org/10.1016/j.comppsych.2014.04.016</w:t>
        </w:r>
      </w:hyperlink>
    </w:p>
    <w:p w14:paraId="09125B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Shafritz, K. M. (2002). </w:t>
      </w:r>
      <w:r w:rsidRPr="0074138E">
        <w:rPr>
          <w:rFonts w:ascii="Times New Roman" w:eastAsia="Times New Roman" w:hAnsi="Times New Roman" w:cs="Times New Roman"/>
          <w:i/>
          <w:iCs/>
          <w:sz w:val="24"/>
          <w:szCs w:val="24"/>
        </w:rPr>
        <w:t>Attention and executive functions in ADHD and treatment with methylphenidate: An fMRI and behavioral investigation.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(3-B), 1201–1201.</w:t>
      </w:r>
    </w:p>
    <w:p w14:paraId="205B7E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 H. K., Domitrovich, C. E., Morgan, N. R., Moore, J. E., Cooper, B. R., Jacobson, L., &amp; Greenberg, M. T. (2017). One or two years of participation: Is dosage of an enhanced publicly funded preschool program associated with the academic and executive function skills of low-income children in early elementary school? </w:t>
      </w:r>
      <w:r w:rsidRPr="0074138E">
        <w:rPr>
          <w:rFonts w:ascii="Times New Roman" w:eastAsia="Times New Roman" w:hAnsi="Times New Roman" w:cs="Times New Roman"/>
          <w:i/>
          <w:iCs/>
          <w:sz w:val="24"/>
          <w:szCs w:val="24"/>
        </w:rPr>
        <w:t>Early Childhood Research Quarterly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 123–137. </w:t>
      </w:r>
      <w:hyperlink r:id="rId5271" w:history="1">
        <w:r w:rsidRPr="0074138E">
          <w:rPr>
            <w:rFonts w:ascii="Times New Roman" w:eastAsia="Times New Roman" w:hAnsi="Times New Roman" w:cs="Times New Roman"/>
            <w:color w:val="0000FF"/>
            <w:sz w:val="24"/>
            <w:szCs w:val="24"/>
            <w:u w:val="single"/>
          </w:rPr>
          <w:t>https://doi.org/10.1016/j.ecresq.2017.03.004</w:t>
        </w:r>
      </w:hyperlink>
    </w:p>
    <w:p w14:paraId="710A7A8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 J., Eack, S. M., Montrose, D. M., Tandon, N., Miewald, J. M., Prasad, K. M., &amp; Keshavan, M. S. (2012). Multivariate prediction of emerging psychosis in adolescents at high risk for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141</w:t>
      </w:r>
      <w:r w:rsidRPr="0074138E">
        <w:rPr>
          <w:rFonts w:ascii="Times New Roman" w:eastAsia="Times New Roman" w:hAnsi="Times New Roman" w:cs="Times New Roman"/>
          <w:sz w:val="24"/>
          <w:szCs w:val="24"/>
        </w:rPr>
        <w:t xml:space="preserve">(2–3), 189–196. </w:t>
      </w:r>
      <w:hyperlink r:id="rId5272" w:history="1">
        <w:r w:rsidRPr="0074138E">
          <w:rPr>
            <w:rFonts w:ascii="Times New Roman" w:eastAsia="Times New Roman" w:hAnsi="Times New Roman" w:cs="Times New Roman"/>
            <w:color w:val="0000FF"/>
            <w:sz w:val="24"/>
            <w:szCs w:val="24"/>
            <w:u w:val="single"/>
          </w:rPr>
          <w:t>https://doi.org/10.1016/j.schres.2012.08.012</w:t>
        </w:r>
      </w:hyperlink>
    </w:p>
    <w:p w14:paraId="3A0BDD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 R. (2013). Dementia masquerading as mania—When should it be suspected? </w:t>
      </w:r>
      <w:r w:rsidRPr="0074138E">
        <w:rPr>
          <w:rFonts w:ascii="Times New Roman" w:eastAsia="Times New Roman" w:hAnsi="Times New Roman" w:cs="Times New Roman"/>
          <w:i/>
          <w:iCs/>
          <w:sz w:val="24"/>
          <w:szCs w:val="24"/>
        </w:rPr>
        <w:t>African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(1), 53–54.</w:t>
      </w:r>
    </w:p>
    <w:p w14:paraId="742BD1D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Shahabi, S. R., Abad, F. J., &amp; Colom, R. (2014). Short-term storage is a stable predictor of fluid intelligence whereas working memory capacity and executive function are not: A comprehensive study with Iranian schoolchildren. </w:t>
      </w:r>
      <w:r w:rsidRPr="0074138E">
        <w:rPr>
          <w:rFonts w:ascii="Times New Roman" w:eastAsia="Times New Roman" w:hAnsi="Times New Roman" w:cs="Times New Roman"/>
          <w:i/>
          <w:iCs/>
          <w:sz w:val="24"/>
          <w:szCs w:val="24"/>
        </w:rPr>
        <w:t>Intelligence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 134–141. </w:t>
      </w:r>
      <w:hyperlink r:id="rId5273" w:history="1">
        <w:r w:rsidRPr="0074138E">
          <w:rPr>
            <w:rFonts w:ascii="Times New Roman" w:eastAsia="Times New Roman" w:hAnsi="Times New Roman" w:cs="Times New Roman"/>
            <w:color w:val="0000FF"/>
            <w:sz w:val="24"/>
            <w:szCs w:val="24"/>
            <w:u w:val="single"/>
          </w:rPr>
          <w:t>https://doi.org/10.1016/j.intell.2014.04.004</w:t>
        </w:r>
      </w:hyperlink>
    </w:p>
    <w:p w14:paraId="501D7B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Shahbaz, A. K., Vssr, R., Bhat, P. S., Prakash, J., Srivastava, K., &amp; Shagufta, K. (2014). Structural changes and cognitive deficits in depression and their clinical correlates.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 99–100. </w:t>
      </w:r>
      <w:hyperlink r:id="rId5274" w:history="1">
        <w:r w:rsidRPr="0074138E">
          <w:rPr>
            <w:rFonts w:ascii="Times New Roman" w:eastAsia="Times New Roman" w:hAnsi="Times New Roman" w:cs="Times New Roman"/>
            <w:color w:val="0000FF"/>
            <w:sz w:val="24"/>
            <w:szCs w:val="24"/>
            <w:u w:val="single"/>
          </w:rPr>
          <w:t>https://doi.org/10.1016/j.ajp.2013.09.006</w:t>
        </w:r>
      </w:hyperlink>
    </w:p>
    <w:p w14:paraId="1626DD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Shahgholian, M., Azadfallah, P., &amp; Fathi-Ashtiani, A. (2016). The effect of metacognition processing on brain regional activity with regard to anxiety and impulsivity. [The effect of metacognition processing on brain regional activity with regard to anxiety and impulsivity.]. </w:t>
      </w:r>
      <w:r w:rsidRPr="0074138E">
        <w:rPr>
          <w:rFonts w:ascii="Times New Roman" w:eastAsia="Times New Roman" w:hAnsi="Times New Roman" w:cs="Times New Roman"/>
          <w:i/>
          <w:iCs/>
          <w:sz w:val="24"/>
          <w:szCs w:val="24"/>
        </w:rPr>
        <w:t>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(3), 244–262.</w:t>
      </w:r>
    </w:p>
    <w:p w14:paraId="6C1CAF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Shahidi, M., Modabbernia, A., Mojtahed, M., &amp; Mojtahed, A. (2012). Dementia and geriatric depression: The links. In </w:t>
      </w:r>
      <w:r w:rsidRPr="0074138E">
        <w:rPr>
          <w:rFonts w:ascii="Times New Roman" w:eastAsia="Times New Roman" w:hAnsi="Times New Roman" w:cs="Times New Roman"/>
          <w:i/>
          <w:iCs/>
          <w:sz w:val="24"/>
          <w:szCs w:val="24"/>
        </w:rPr>
        <w:t>Depression in the elderly.</w:t>
      </w:r>
      <w:r w:rsidRPr="0074138E">
        <w:rPr>
          <w:rFonts w:ascii="Times New Roman" w:eastAsia="Times New Roman" w:hAnsi="Times New Roman" w:cs="Times New Roman"/>
          <w:sz w:val="24"/>
          <w:szCs w:val="24"/>
        </w:rPr>
        <w:t xml:space="preserve"> (pp. 1–25). Nova Science Publishers.</w:t>
      </w:r>
    </w:p>
    <w:p w14:paraId="239327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Shakeel, M. K., Docherty, N. M., Rich, P. R., Zaragoza, M. S., Chrobak, Q. M., &amp; McCleery, A. (2016). Analyzing confabulations in schizophrenia and healthy participants.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(9), 911–919. </w:t>
      </w:r>
      <w:hyperlink r:id="rId5275" w:history="1">
        <w:r w:rsidRPr="0074138E">
          <w:rPr>
            <w:rFonts w:ascii="Times New Roman" w:eastAsia="Times New Roman" w:hAnsi="Times New Roman" w:cs="Times New Roman"/>
            <w:color w:val="0000FF"/>
            <w:sz w:val="24"/>
            <w:szCs w:val="24"/>
            <w:u w:val="single"/>
          </w:rPr>
          <w:t>https://doi.org/10.1017/S1355617716000801</w:t>
        </w:r>
      </w:hyperlink>
    </w:p>
    <w:p w14:paraId="5F5E08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Shakeel, M. K., Lu, L., Woods, S. W., Perkins, D. O., &amp; Addington, J. (2020). Neurocognitive predictors of metacognition in individuals at clinical high risk for psychosis. </w:t>
      </w:r>
      <w:r w:rsidRPr="0074138E">
        <w:rPr>
          <w:rFonts w:ascii="Times New Roman" w:eastAsia="Times New Roman" w:hAnsi="Times New Roman" w:cs="Times New Roman"/>
          <w:i/>
          <w:iCs/>
          <w:sz w:val="24"/>
          <w:szCs w:val="24"/>
        </w:rPr>
        <w:t>Behavioural and Cognitive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 xml:space="preserve">(2), 248–252. </w:t>
      </w:r>
      <w:hyperlink r:id="rId5276" w:history="1">
        <w:r w:rsidRPr="0074138E">
          <w:rPr>
            <w:rFonts w:ascii="Times New Roman" w:eastAsia="Times New Roman" w:hAnsi="Times New Roman" w:cs="Times New Roman"/>
            <w:color w:val="0000FF"/>
            <w:sz w:val="24"/>
            <w:szCs w:val="24"/>
            <w:u w:val="single"/>
          </w:rPr>
          <w:t>https://doi.org/10.1017/S1352465819000328</w:t>
        </w:r>
      </w:hyperlink>
    </w:p>
    <w:p w14:paraId="357426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Shallice, T., &amp; Burgess, P. W. (1991). Deficits in strategy application following frontal lobe damage in man.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114</w:t>
      </w:r>
      <w:r w:rsidRPr="0074138E">
        <w:rPr>
          <w:rFonts w:ascii="Times New Roman" w:eastAsia="Times New Roman" w:hAnsi="Times New Roman" w:cs="Times New Roman"/>
          <w:sz w:val="24"/>
          <w:szCs w:val="24"/>
        </w:rPr>
        <w:t xml:space="preserve">(Pt 2), 727–741. </w:t>
      </w:r>
      <w:hyperlink r:id="rId5277" w:history="1">
        <w:r w:rsidRPr="0074138E">
          <w:rPr>
            <w:rFonts w:ascii="Times New Roman" w:eastAsia="Times New Roman" w:hAnsi="Times New Roman" w:cs="Times New Roman"/>
            <w:color w:val="0000FF"/>
            <w:sz w:val="24"/>
            <w:szCs w:val="24"/>
            <w:u w:val="single"/>
          </w:rPr>
          <w:t>https://doi.org/10.1093/brain/114.2.727</w:t>
        </w:r>
      </w:hyperlink>
    </w:p>
    <w:p w14:paraId="43EDAF7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Adler, N., Aharon-Peretz, J., Perry, D., &amp; Mayseless, N. (2011). The origins of originality: The neural bases of creative thinking and originality.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(2), 178–185. </w:t>
      </w:r>
      <w:hyperlink r:id="rId5278" w:history="1">
        <w:r w:rsidRPr="0074138E">
          <w:rPr>
            <w:rFonts w:ascii="Times New Roman" w:eastAsia="Times New Roman" w:hAnsi="Times New Roman" w:cs="Times New Roman"/>
            <w:color w:val="0000FF"/>
            <w:sz w:val="24"/>
            <w:szCs w:val="24"/>
            <w:u w:val="single"/>
          </w:rPr>
          <w:t>https://doi.org/10.1016/j.neuropsychologia.2010.11.020</w:t>
        </w:r>
      </w:hyperlink>
    </w:p>
    <w:p w14:paraId="10702B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&amp; Aharon-Peretz, J. (2007). Dissociable prefrontal networks for cognitive and affective theory of mind: A lesion study.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(13), 3054–3067. </w:t>
      </w:r>
      <w:hyperlink r:id="rId5279" w:history="1">
        <w:r w:rsidRPr="0074138E">
          <w:rPr>
            <w:rFonts w:ascii="Times New Roman" w:eastAsia="Times New Roman" w:hAnsi="Times New Roman" w:cs="Times New Roman"/>
            <w:color w:val="0000FF"/>
            <w:sz w:val="24"/>
            <w:szCs w:val="24"/>
            <w:u w:val="single"/>
          </w:rPr>
          <w:t>https://doi.org/10.1016/j.neuropsychologia.2007.05.021</w:t>
        </w:r>
      </w:hyperlink>
    </w:p>
    <w:p w14:paraId="3A387F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Aharon-Peretz, J., &amp; Perry, D. (2009). Two systems for empathy: A double dissociation between emotional and cognitive empathy in inferior frontal gyrus versus ventromedial prefrontal lesions.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132</w:t>
      </w:r>
      <w:r w:rsidRPr="0074138E">
        <w:rPr>
          <w:rFonts w:ascii="Times New Roman" w:eastAsia="Times New Roman" w:hAnsi="Times New Roman" w:cs="Times New Roman"/>
          <w:sz w:val="24"/>
          <w:szCs w:val="24"/>
        </w:rPr>
        <w:t xml:space="preserve">(3), 617–627. </w:t>
      </w:r>
      <w:hyperlink r:id="rId5280" w:history="1">
        <w:r w:rsidRPr="0074138E">
          <w:rPr>
            <w:rFonts w:ascii="Times New Roman" w:eastAsia="Times New Roman" w:hAnsi="Times New Roman" w:cs="Times New Roman"/>
            <w:color w:val="0000FF"/>
            <w:sz w:val="24"/>
            <w:szCs w:val="24"/>
            <w:u w:val="single"/>
          </w:rPr>
          <w:t>https://doi.org/10.1093/brain/awn279</w:t>
        </w:r>
      </w:hyperlink>
    </w:p>
    <w:p w14:paraId="247D93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Gev, E., Aharon-Peretz, J., &amp; Adler, N. (2010). Brain asymmetry in emotional processing in Asperger syndrome.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74–84. </w:t>
      </w:r>
      <w:hyperlink r:id="rId5281" w:history="1">
        <w:r w:rsidRPr="0074138E">
          <w:rPr>
            <w:rFonts w:ascii="Times New Roman" w:eastAsia="Times New Roman" w:hAnsi="Times New Roman" w:cs="Times New Roman"/>
            <w:color w:val="0000FF"/>
            <w:sz w:val="24"/>
            <w:szCs w:val="24"/>
            <w:u w:val="single"/>
          </w:rPr>
          <w:t>https://doi.org/10.1097/WNN.0b013e3181d748ec</w:t>
        </w:r>
      </w:hyperlink>
    </w:p>
    <w:p w14:paraId="009DD3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Tibi-Elhanany, Y., &amp; Aharon-Peretz, J. (2006). The ventromedical prefrontal cortex is involved in understanding affective but not cognitive theory of mind stories. </w:t>
      </w:r>
      <w:r w:rsidRPr="0074138E">
        <w:rPr>
          <w:rFonts w:ascii="Times New Roman" w:eastAsia="Times New Roman" w:hAnsi="Times New Roman" w:cs="Times New Roman"/>
          <w:i/>
          <w:iCs/>
          <w:sz w:val="24"/>
          <w:szCs w:val="24"/>
        </w:rPr>
        <w:t>Social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(3–4), 149–166. </w:t>
      </w:r>
      <w:hyperlink r:id="rId5282" w:history="1">
        <w:r w:rsidRPr="0074138E">
          <w:rPr>
            <w:rFonts w:ascii="Times New Roman" w:eastAsia="Times New Roman" w:hAnsi="Times New Roman" w:cs="Times New Roman"/>
            <w:color w:val="0000FF"/>
            <w:sz w:val="24"/>
            <w:szCs w:val="24"/>
            <w:u w:val="single"/>
          </w:rPr>
          <w:t>https://doi.org/10.1080/17470910600985589</w:t>
        </w:r>
      </w:hyperlink>
    </w:p>
    <w:p w14:paraId="41C611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Tibi-Elhanany, Y., &amp; Aharon-Peretz, J. (2007). The green-eyed monster and malicious joy: The neuroanatomical bases of envy and gloating (schadenfreude).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(6), 1663–1678. </w:t>
      </w:r>
      <w:hyperlink r:id="rId5283" w:history="1">
        <w:r w:rsidRPr="0074138E">
          <w:rPr>
            <w:rFonts w:ascii="Times New Roman" w:eastAsia="Times New Roman" w:hAnsi="Times New Roman" w:cs="Times New Roman"/>
            <w:color w:val="0000FF"/>
            <w:sz w:val="24"/>
            <w:szCs w:val="24"/>
            <w:u w:val="single"/>
          </w:rPr>
          <w:t>https://doi.org/10.1093/brain/awm093</w:t>
        </w:r>
      </w:hyperlink>
    </w:p>
    <w:p w14:paraId="6694D8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Tomer, R., &amp; Aharon-Peretz, J. (2005). The Neuroanatomical Basis of Understanding Sarcasm and Its Relationship to Social Cognition.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288–300. </w:t>
      </w:r>
      <w:hyperlink r:id="rId5284" w:history="1">
        <w:r w:rsidRPr="0074138E">
          <w:rPr>
            <w:rFonts w:ascii="Times New Roman" w:eastAsia="Times New Roman" w:hAnsi="Times New Roman" w:cs="Times New Roman"/>
            <w:color w:val="0000FF"/>
            <w:sz w:val="24"/>
            <w:szCs w:val="24"/>
            <w:u w:val="single"/>
          </w:rPr>
          <w:t>https://doi.org/10.1037/0894-4105.19.3.288</w:t>
        </w:r>
      </w:hyperlink>
    </w:p>
    <w:p w14:paraId="774E28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Shamay-Tsoory, S. G., Tomer, R., Goldsher, D., Berger, B. D., &amp; Aharon-Peretz, J. (2004). Impairment in Cognitive and Affective Empathy in Patients with Brain Lesions: Anatomical and Cognitive Correlates.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(8), 1113–1127. </w:t>
      </w:r>
      <w:hyperlink r:id="rId5285" w:history="1">
        <w:r w:rsidRPr="0074138E">
          <w:rPr>
            <w:rFonts w:ascii="Times New Roman" w:eastAsia="Times New Roman" w:hAnsi="Times New Roman" w:cs="Times New Roman"/>
            <w:color w:val="0000FF"/>
            <w:sz w:val="24"/>
            <w:szCs w:val="24"/>
            <w:u w:val="single"/>
          </w:rPr>
          <w:t>https://doi.org/10.1080/13803390490515531</w:t>
        </w:r>
      </w:hyperlink>
    </w:p>
    <w:p w14:paraId="0C7D7C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 J.-C., Liu, C.-M., Chiu, M.-J., Liu, C.-C., Chien, Y.-L., Hwang, T.-J., Lin, Y.-T., Hsieh, M. H., Jaw, F.-S., &amp; Hwu, H.-G. (2013). A diagnostic model incorporating P50 sensory gating and neuropsychological tests for schizophrenia.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(2). </w:t>
      </w:r>
      <w:hyperlink r:id="rId5286" w:history="1">
        <w:r w:rsidRPr="0074138E">
          <w:rPr>
            <w:rFonts w:ascii="Times New Roman" w:eastAsia="Times New Roman" w:hAnsi="Times New Roman" w:cs="Times New Roman"/>
            <w:color w:val="0000FF"/>
            <w:sz w:val="24"/>
            <w:szCs w:val="24"/>
            <w:u w:val="single"/>
          </w:rPr>
          <w:t>https://doi.org/10.1371/journal.pone.0057197</w:t>
        </w:r>
      </w:hyperlink>
    </w:p>
    <w:p w14:paraId="4513A5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Shandera-Ochsner, A. L., Berry, D. T. R., Harp, J. P., Edmundson, M., Graue, L. O., Roach, A., &amp; High Jr., W. M. (2013). Neuropsychological effects of self-reported deployment-related mild TBI and current PTSD in OIF/OEF veterans.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(6), 881–907. </w:t>
      </w:r>
      <w:hyperlink r:id="rId5287" w:history="1">
        <w:r w:rsidRPr="0074138E">
          <w:rPr>
            <w:rFonts w:ascii="Times New Roman" w:eastAsia="Times New Roman" w:hAnsi="Times New Roman" w:cs="Times New Roman"/>
            <w:color w:val="0000FF"/>
            <w:sz w:val="24"/>
            <w:szCs w:val="24"/>
            <w:u w:val="single"/>
          </w:rPr>
          <w:t>https://doi.org/10.1080/13854046.2013.802017</w:t>
        </w:r>
      </w:hyperlink>
    </w:p>
    <w:p w14:paraId="1DB921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Shanks, M. F., McGeown, W. J., Guerrini, C., &amp; Venneri, A. (2014). Awareness and confabulation.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(3), 406–414. </w:t>
      </w:r>
      <w:hyperlink r:id="rId5288" w:history="1">
        <w:r w:rsidRPr="0074138E">
          <w:rPr>
            <w:rFonts w:ascii="Times New Roman" w:eastAsia="Times New Roman" w:hAnsi="Times New Roman" w:cs="Times New Roman"/>
            <w:color w:val="0000FF"/>
            <w:sz w:val="24"/>
            <w:szCs w:val="24"/>
            <w:u w:val="single"/>
          </w:rPr>
          <w:t>https://doi.org/10.1037/neu0000031</w:t>
        </w:r>
      </w:hyperlink>
    </w:p>
    <w:p w14:paraId="624679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Shany-Ur, T., Bloch, A., Salomon-Shushan, T., Bar-Lev, N., Sharoni, L., &amp; Hoofien, D. (2020). Efficacy of postacute neuropsychological rehabilitation for patients with acquired brain injuries is maintained in the long-term.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130–141. </w:t>
      </w:r>
      <w:hyperlink r:id="rId5289" w:history="1">
        <w:r w:rsidRPr="0074138E">
          <w:rPr>
            <w:rFonts w:ascii="Times New Roman" w:eastAsia="Times New Roman" w:hAnsi="Times New Roman" w:cs="Times New Roman"/>
            <w:color w:val="0000FF"/>
            <w:sz w:val="24"/>
            <w:szCs w:val="24"/>
            <w:u w:val="single"/>
          </w:rPr>
          <w:t>https://doi.org/10.1017/S1355617719001024</w:t>
        </w:r>
      </w:hyperlink>
    </w:p>
    <w:p w14:paraId="44BC5D1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Shao, Z., Roelofs, A., &amp; Meyer, A. (2012). Sources of individual differences in the speed of naming objects and actions: The contribution of executive control. </w:t>
      </w:r>
      <w:r w:rsidRPr="0074138E">
        <w:rPr>
          <w:rFonts w:ascii="Times New Roman" w:eastAsia="Times New Roman" w:hAnsi="Times New Roman" w:cs="Times New Roman"/>
          <w:i/>
          <w:iCs/>
          <w:sz w:val="24"/>
          <w:szCs w:val="24"/>
        </w:rPr>
        <w:t>The Quarterly Journal of Experimental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(10), 1927–1944. </w:t>
      </w:r>
      <w:hyperlink r:id="rId5290" w:history="1">
        <w:r w:rsidRPr="0074138E">
          <w:rPr>
            <w:rFonts w:ascii="Times New Roman" w:eastAsia="Times New Roman" w:hAnsi="Times New Roman" w:cs="Times New Roman"/>
            <w:color w:val="0000FF"/>
            <w:sz w:val="24"/>
            <w:szCs w:val="24"/>
            <w:u w:val="single"/>
          </w:rPr>
          <w:t>https://doi.org/10.1080/17470218.2012.670252</w:t>
        </w:r>
      </w:hyperlink>
    </w:p>
    <w:p w14:paraId="094BC8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Shaqiri, A., Pilz, K. S., Cretenoud, A. F., Neumann, K., Clarke, A., Kunchulia, M., &amp; Herzog, M. H. (2019). No evidence for a common factor underlying visual abilities in healthy older people. </w:t>
      </w:r>
      <w:r w:rsidRPr="0074138E">
        <w:rPr>
          <w:rFonts w:ascii="Times New Roman" w:eastAsia="Times New Roman" w:hAnsi="Times New Roman" w:cs="Times New Roman"/>
          <w:i/>
          <w:iCs/>
          <w:sz w:val="24"/>
          <w:szCs w:val="24"/>
        </w:rPr>
        <w:t>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(8), 1775–1787. </w:t>
      </w:r>
      <w:hyperlink r:id="rId5291" w:history="1">
        <w:r w:rsidRPr="0074138E">
          <w:rPr>
            <w:rFonts w:ascii="Times New Roman" w:eastAsia="Times New Roman" w:hAnsi="Times New Roman" w:cs="Times New Roman"/>
            <w:color w:val="0000FF"/>
            <w:sz w:val="24"/>
            <w:szCs w:val="24"/>
            <w:u w:val="single"/>
          </w:rPr>
          <w:t>https://doi.org/10.1037/dev0000740</w:t>
        </w:r>
      </w:hyperlink>
    </w:p>
    <w:p w14:paraId="3B61F4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Sharland, M., &amp; Hammeke, T. A. (2008). Steamrolled: Sports-related concussions. In </w:t>
      </w:r>
      <w:r w:rsidRPr="0074138E">
        <w:rPr>
          <w:rFonts w:ascii="Times New Roman" w:eastAsia="Times New Roman" w:hAnsi="Times New Roman" w:cs="Times New Roman"/>
          <w:i/>
          <w:iCs/>
          <w:sz w:val="24"/>
          <w:szCs w:val="24"/>
        </w:rPr>
        <w:t>Pediatric neuropsychology case studies: From the exceptional to the commonplace.</w:t>
      </w:r>
      <w:r w:rsidRPr="0074138E">
        <w:rPr>
          <w:rFonts w:ascii="Times New Roman" w:eastAsia="Times New Roman" w:hAnsi="Times New Roman" w:cs="Times New Roman"/>
          <w:sz w:val="24"/>
          <w:szCs w:val="24"/>
        </w:rPr>
        <w:t xml:space="preserve"> (pp. 43–49). Springer Science + Business Media. </w:t>
      </w:r>
      <w:hyperlink r:id="rId5292" w:history="1">
        <w:r w:rsidRPr="0074138E">
          <w:rPr>
            <w:rFonts w:ascii="Times New Roman" w:eastAsia="Times New Roman" w:hAnsi="Times New Roman" w:cs="Times New Roman"/>
            <w:color w:val="0000FF"/>
            <w:sz w:val="24"/>
            <w:szCs w:val="24"/>
            <w:u w:val="single"/>
          </w:rPr>
          <w:t>https://doi.org/10.1007/978-0-387-78965-1_5</w:t>
        </w:r>
      </w:hyperlink>
    </w:p>
    <w:p w14:paraId="37F732A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Sharland, M. J., Waring, S. C., Johnson, B. P., Taran, A. M., Rusin, T. A., Pattock, A. M., &amp; Palcher, J. A. (2018). Further examination of embedded performance validity indicators for the Conners’ Continuous Performance Test and Brief Test of Attention in a large outpatient clinical sample.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 98–108. </w:t>
      </w:r>
      <w:hyperlink r:id="rId5293" w:history="1">
        <w:r w:rsidRPr="0074138E">
          <w:rPr>
            <w:rFonts w:ascii="Times New Roman" w:eastAsia="Times New Roman" w:hAnsi="Times New Roman" w:cs="Times New Roman"/>
            <w:color w:val="0000FF"/>
            <w:sz w:val="24"/>
            <w:szCs w:val="24"/>
            <w:u w:val="single"/>
          </w:rPr>
          <w:t>https://doi.org/10.1080/13854046.2017.1332240</w:t>
        </w:r>
      </w:hyperlink>
    </w:p>
    <w:p w14:paraId="215F26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Sharma, B., Tomaszczyk, J. C., Dawson, D., Turner, G. R., Colella, B., &amp; Green, R. E. A. (2017). Feasibility of online self-administered cognitive training in moderate–severe brain injury. </w:t>
      </w:r>
      <w:r w:rsidRPr="0074138E">
        <w:rPr>
          <w:rFonts w:ascii="Times New Roman" w:eastAsia="Times New Roman" w:hAnsi="Times New Roman" w:cs="Times New Roman"/>
          <w:i/>
          <w:iCs/>
          <w:sz w:val="24"/>
          <w:szCs w:val="24"/>
        </w:rPr>
        <w:t>Disability and Rehabilitation: An International, Multidisciplinary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(14), 1380–1390. </w:t>
      </w:r>
      <w:hyperlink r:id="rId5294" w:history="1">
        <w:r w:rsidRPr="0074138E">
          <w:rPr>
            <w:rFonts w:ascii="Times New Roman" w:eastAsia="Times New Roman" w:hAnsi="Times New Roman" w:cs="Times New Roman"/>
            <w:color w:val="0000FF"/>
            <w:sz w:val="24"/>
            <w:szCs w:val="24"/>
            <w:u w:val="single"/>
          </w:rPr>
          <w:t>https://doi.org/10.1080/09638288.2016.1195453</w:t>
        </w:r>
      </w:hyperlink>
    </w:p>
    <w:p w14:paraId="5A5E9E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Sharma, T., Hughes, C., Soni, W., &amp; Kumari, V. (2003). Cognitive effects of olanzapine and clozapine treatment in chronic schizophrenia.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169</w:t>
      </w:r>
      <w:r w:rsidRPr="0074138E">
        <w:rPr>
          <w:rFonts w:ascii="Times New Roman" w:eastAsia="Times New Roman" w:hAnsi="Times New Roman" w:cs="Times New Roman"/>
          <w:sz w:val="24"/>
          <w:szCs w:val="24"/>
        </w:rPr>
        <w:t xml:space="preserve">(3–4), 398–403. </w:t>
      </w:r>
      <w:hyperlink r:id="rId5295" w:history="1">
        <w:r w:rsidRPr="0074138E">
          <w:rPr>
            <w:rFonts w:ascii="Times New Roman" w:eastAsia="Times New Roman" w:hAnsi="Times New Roman" w:cs="Times New Roman"/>
            <w:color w:val="0000FF"/>
            <w:sz w:val="24"/>
            <w:szCs w:val="24"/>
            <w:u w:val="single"/>
          </w:rPr>
          <w:t>https://doi.org/10.1007/s00213-003-1506-y</w:t>
        </w:r>
      </w:hyperlink>
    </w:p>
    <w:p w14:paraId="7AE5B7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Sharma, T., Reed, C., Aasen, I., &amp; Kumari, V. (2006). Cognitive effects of adjunctive 24-weeks Rivastigmine treatment to antipsychotics in schizophrenia: A randomized, placebo-controlled, double-blind investigation.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85</w:t>
      </w:r>
      <w:r w:rsidRPr="0074138E">
        <w:rPr>
          <w:rFonts w:ascii="Times New Roman" w:eastAsia="Times New Roman" w:hAnsi="Times New Roman" w:cs="Times New Roman"/>
          <w:sz w:val="24"/>
          <w:szCs w:val="24"/>
        </w:rPr>
        <w:t xml:space="preserve">(1–3), 73–83. </w:t>
      </w:r>
      <w:hyperlink r:id="rId5296" w:history="1">
        <w:r w:rsidRPr="0074138E">
          <w:rPr>
            <w:rFonts w:ascii="Times New Roman" w:eastAsia="Times New Roman" w:hAnsi="Times New Roman" w:cs="Times New Roman"/>
            <w:color w:val="0000FF"/>
            <w:sz w:val="24"/>
            <w:szCs w:val="24"/>
            <w:u w:val="single"/>
          </w:rPr>
          <w:t>https://doi.org/10.1016/j.schres.2006.03.037</w:t>
        </w:r>
      </w:hyperlink>
    </w:p>
    <w:p w14:paraId="59C61C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Howard, T. D., Keshavan, M. S., Kaczorowski, J., Berry, M. N., Schoch, K., Spence, E. J., &amp; Kwapil, T. R. (2010). COMT and anxiety and cognition in children with chromosome 22q11.2 deletion syndrome.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178</w:t>
      </w:r>
      <w:r w:rsidRPr="0074138E">
        <w:rPr>
          <w:rFonts w:ascii="Times New Roman" w:eastAsia="Times New Roman" w:hAnsi="Times New Roman" w:cs="Times New Roman"/>
          <w:sz w:val="24"/>
          <w:szCs w:val="24"/>
        </w:rPr>
        <w:t xml:space="preserve">(2), 433–436. </w:t>
      </w:r>
      <w:hyperlink r:id="rId5297" w:history="1">
        <w:r w:rsidRPr="0074138E">
          <w:rPr>
            <w:rFonts w:ascii="Times New Roman" w:eastAsia="Times New Roman" w:hAnsi="Times New Roman" w:cs="Times New Roman"/>
            <w:color w:val="0000FF"/>
            <w:sz w:val="24"/>
            <w:szCs w:val="24"/>
            <w:u w:val="single"/>
          </w:rPr>
          <w:t>https://doi.org/10.1016/j.psychres.2010.04.048</w:t>
        </w:r>
      </w:hyperlink>
    </w:p>
    <w:p w14:paraId="20435B0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Keshavan, M., Kaczorowski, J., Schoch, K., Lewandowski, K. E., McConkie-Rosell, A., Hooper, S. R., &amp; Kwapil, T. R. (2010). Socioeconomic status and psychological function in children with chromosome 22q11.2 deletion syndrome: Implications for genetic counseling. </w:t>
      </w:r>
      <w:r w:rsidRPr="0074138E">
        <w:rPr>
          <w:rFonts w:ascii="Times New Roman" w:eastAsia="Times New Roman" w:hAnsi="Times New Roman" w:cs="Times New Roman"/>
          <w:i/>
          <w:iCs/>
          <w:sz w:val="24"/>
          <w:szCs w:val="24"/>
        </w:rPr>
        <w:t>Journal of Genetic Counseling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535–544. </w:t>
      </w:r>
      <w:hyperlink r:id="rId5298" w:history="1">
        <w:r w:rsidRPr="0074138E">
          <w:rPr>
            <w:rFonts w:ascii="Times New Roman" w:eastAsia="Times New Roman" w:hAnsi="Times New Roman" w:cs="Times New Roman"/>
            <w:color w:val="0000FF"/>
            <w:sz w:val="24"/>
            <w:szCs w:val="24"/>
            <w:u w:val="single"/>
          </w:rPr>
          <w:t>https://doi.org/10.1007/s10897-010-9309-x</w:t>
        </w:r>
      </w:hyperlink>
    </w:p>
    <w:p w14:paraId="53078E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Kwapil, T. R., Kaczorowski, J., Berry, M. N., Santos, C. S., Howard, T. D., Goradia, D., Prasad, K., Vaibhav, D., Rajarethinam, R., Spence, E., &amp; Keshavan, M. S. (2010). Evidence of gray matter reduction and dysfunction in chromosome 22q11.2 deletion syndrome.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181</w:t>
      </w:r>
      <w:r w:rsidRPr="0074138E">
        <w:rPr>
          <w:rFonts w:ascii="Times New Roman" w:eastAsia="Times New Roman" w:hAnsi="Times New Roman" w:cs="Times New Roman"/>
          <w:sz w:val="24"/>
          <w:szCs w:val="24"/>
        </w:rPr>
        <w:t xml:space="preserve">(1), 1–8. </w:t>
      </w:r>
      <w:hyperlink r:id="rId5299" w:history="1">
        <w:r w:rsidRPr="0074138E">
          <w:rPr>
            <w:rFonts w:ascii="Times New Roman" w:eastAsia="Times New Roman" w:hAnsi="Times New Roman" w:cs="Times New Roman"/>
            <w:color w:val="0000FF"/>
            <w:sz w:val="24"/>
            <w:szCs w:val="24"/>
            <w:u w:val="single"/>
          </w:rPr>
          <w:t>https://doi.org/10.1016/j.pscychresns.2009.07.003</w:t>
        </w:r>
      </w:hyperlink>
    </w:p>
    <w:p w14:paraId="640413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Veerapandiyan, A., Keshavan, M. S., Zapadka, M., Schoch, K., Kwapil, T. R., Hooper, S. R., &amp; Stanley, J. A. (2012). Altered development of the dorsolateral prefrontal cortex in chromosome 22q11.2 deletion syndrome: An in vivo proton spectroscopy study.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72</w:t>
      </w:r>
      <w:r w:rsidRPr="0074138E">
        <w:rPr>
          <w:rFonts w:ascii="Times New Roman" w:eastAsia="Times New Roman" w:hAnsi="Times New Roman" w:cs="Times New Roman"/>
          <w:sz w:val="24"/>
          <w:szCs w:val="24"/>
        </w:rPr>
        <w:t xml:space="preserve">(8), 684–691. </w:t>
      </w:r>
      <w:hyperlink r:id="rId5300" w:history="1">
        <w:r w:rsidRPr="0074138E">
          <w:rPr>
            <w:rFonts w:ascii="Times New Roman" w:eastAsia="Times New Roman" w:hAnsi="Times New Roman" w:cs="Times New Roman"/>
            <w:color w:val="0000FF"/>
            <w:sz w:val="24"/>
            <w:szCs w:val="24"/>
            <w:u w:val="single"/>
          </w:rPr>
          <w:t>https://doi.org/10.1016/j.biopsych.2012.04.023</w:t>
        </w:r>
      </w:hyperlink>
    </w:p>
    <w:p w14:paraId="0B5C20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Shashi, V., Veerapandiyan, A., Schoch, K., Kwapil, T., Keshavan, M., Ip, E., &amp; Hooper, S. (2012). Social skills and associated psychopathology in children with chromosome 22q11.2 deletion syndrome: Implications for interventions.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(9), 865–878. </w:t>
      </w:r>
      <w:hyperlink r:id="rId5301" w:history="1">
        <w:r w:rsidRPr="0074138E">
          <w:rPr>
            <w:rFonts w:ascii="Times New Roman" w:eastAsia="Times New Roman" w:hAnsi="Times New Roman" w:cs="Times New Roman"/>
            <w:color w:val="0000FF"/>
            <w:sz w:val="24"/>
            <w:szCs w:val="24"/>
            <w:u w:val="single"/>
          </w:rPr>
          <w:t>https://doi.org/10.1111/j.1365-2788.2011.01477.x</w:t>
        </w:r>
      </w:hyperlink>
    </w:p>
    <w:p w14:paraId="684F515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Shatil, E. (2013). Does combined cognitive training and physical activity training enhance cognitive abilities more than either alone? A four-condition randomized controlled trial among healthy older adults. </w:t>
      </w:r>
      <w:r w:rsidRPr="0074138E">
        <w:rPr>
          <w:rFonts w:ascii="Times New Roman" w:eastAsia="Times New Roman" w:hAnsi="Times New Roman" w:cs="Times New Roman"/>
          <w:i/>
          <w:iCs/>
          <w:sz w:val="24"/>
          <w:szCs w:val="24"/>
        </w:rPr>
        <w:t>Frontiers in Aging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 </w:t>
      </w:r>
      <w:hyperlink r:id="rId5302" w:history="1">
        <w:r w:rsidRPr="0074138E">
          <w:rPr>
            <w:rFonts w:ascii="Times New Roman" w:eastAsia="Times New Roman" w:hAnsi="Times New Roman" w:cs="Times New Roman"/>
            <w:color w:val="0000FF"/>
            <w:sz w:val="24"/>
            <w:szCs w:val="24"/>
            <w:u w:val="single"/>
          </w:rPr>
          <w:t>https://doi.org/10.3389/fnagi.2013.00008</w:t>
        </w:r>
      </w:hyperlink>
    </w:p>
    <w:p w14:paraId="45F008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Shatil, E., Metzer, A., Horvitz, O., &amp; Miller, A. (2010). Home-based personalized cognitive training in MS patients: A study of adherence and cognitive performance. </w:t>
      </w:r>
      <w:r w:rsidRPr="0074138E">
        <w:rPr>
          <w:rFonts w:ascii="Times New Roman" w:eastAsia="Times New Roman" w:hAnsi="Times New Roman" w:cs="Times New Roman"/>
          <w:i/>
          <w:iCs/>
          <w:sz w:val="24"/>
          <w:szCs w:val="24"/>
        </w:rPr>
        <w:t>NeuroRehabilitation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(2), 143–153.</w:t>
      </w:r>
    </w:p>
    <w:p w14:paraId="247AD3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Shayganfard, M., Jahangard, L., Nazaribadie, M., Haghighi, M., Ahmadpanah, M., Sadeghi Bahmani, D., Bajoghli, H., Holsboer-Trachsler, E., &amp; Brand, S. (2017). Repetitive transcranial magnetic stimulation improved symptoms of obsessive-compulsive disorders but not executive functions: Results from a randomized clinical trial with crossover design and sham condition.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74</w:t>
      </w:r>
      <w:r w:rsidRPr="0074138E">
        <w:rPr>
          <w:rFonts w:ascii="Times New Roman" w:eastAsia="Times New Roman" w:hAnsi="Times New Roman" w:cs="Times New Roman"/>
          <w:sz w:val="24"/>
          <w:szCs w:val="24"/>
        </w:rPr>
        <w:t xml:space="preserve">(2), 115–124. </w:t>
      </w:r>
      <w:hyperlink r:id="rId5303" w:history="1">
        <w:r w:rsidRPr="0074138E">
          <w:rPr>
            <w:rFonts w:ascii="Times New Roman" w:eastAsia="Times New Roman" w:hAnsi="Times New Roman" w:cs="Times New Roman"/>
            <w:color w:val="0000FF"/>
            <w:sz w:val="24"/>
            <w:szCs w:val="24"/>
            <w:u w:val="single"/>
          </w:rPr>
          <w:t>https://doi.org/10.1159/000457128</w:t>
        </w:r>
      </w:hyperlink>
    </w:p>
    <w:p w14:paraId="17158B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Sheline, Y. I., Barch, D. M., Garcia, K., Gersing, K., Pieper, C., Welsh-Bohmer, K., Steffens, D. C., &amp; Doraiswamy, P. M. (2006). Cognitive Function in Late Life Depression: Relationships to Depression Severity, Cerebrovascular Risk Factors and Processing Speed.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(1), 58–65. </w:t>
      </w:r>
      <w:hyperlink r:id="rId5304" w:history="1">
        <w:r w:rsidRPr="0074138E">
          <w:rPr>
            <w:rFonts w:ascii="Times New Roman" w:eastAsia="Times New Roman" w:hAnsi="Times New Roman" w:cs="Times New Roman"/>
            <w:color w:val="0000FF"/>
            <w:sz w:val="24"/>
            <w:szCs w:val="24"/>
            <w:u w:val="single"/>
          </w:rPr>
          <w:t>https://doi.org/10.1016/j.biopsych.2005.09.019</w:t>
        </w:r>
      </w:hyperlink>
    </w:p>
    <w:p w14:paraId="309C2A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Sheline, Y. I., Pieper, C. F., Barch, D. M., Welsh-Boehmer, K., McKinstry, R. C., MacFall, J. R., D’Angelo, G., Garcia, K. S., Gersing, K., Wilkins, C., Taylor, W., Steffens, D. C., Krishnan, R. R., &amp; Doraiswamy, P. M. (2010). Support for the vascular depression hypothesis in late-life depression: Results of a 2-site, prospective, antidepressant treatment trial.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(3), 277–285. </w:t>
      </w:r>
      <w:hyperlink r:id="rId5305" w:history="1">
        <w:r w:rsidRPr="0074138E">
          <w:rPr>
            <w:rFonts w:ascii="Times New Roman" w:eastAsia="Times New Roman" w:hAnsi="Times New Roman" w:cs="Times New Roman"/>
            <w:color w:val="0000FF"/>
            <w:sz w:val="24"/>
            <w:szCs w:val="24"/>
            <w:u w:val="single"/>
          </w:rPr>
          <w:t>https://doi.org/10.1001/archgenpsychiatry.2009.204</w:t>
        </w:r>
      </w:hyperlink>
    </w:p>
    <w:p w14:paraId="7219B16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Sheppard, C., Kousaie, S., Monetta, L., &amp; Taler, V. (2016). Performance on the Boston Naming Test in bilinguals.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(3), 350–363. </w:t>
      </w:r>
      <w:hyperlink r:id="rId5306" w:history="1">
        <w:r w:rsidRPr="0074138E">
          <w:rPr>
            <w:rFonts w:ascii="Times New Roman" w:eastAsia="Times New Roman" w:hAnsi="Times New Roman" w:cs="Times New Roman"/>
            <w:color w:val="0000FF"/>
            <w:sz w:val="24"/>
            <w:szCs w:val="24"/>
            <w:u w:val="single"/>
          </w:rPr>
          <w:t>https://doi.org/10.1017/S135561771500123X</w:t>
        </w:r>
      </w:hyperlink>
    </w:p>
    <w:p w14:paraId="5EB877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Sherer, M., Giacino, J. T., Doiron, M. J., LaRussa, A., &amp; Taylor, S. R. (2014). Bedside evaluations. In </w:t>
      </w:r>
      <w:r w:rsidRPr="0074138E">
        <w:rPr>
          <w:rFonts w:ascii="Times New Roman" w:eastAsia="Times New Roman" w:hAnsi="Times New Roman" w:cs="Times New Roman"/>
          <w:i/>
          <w:iCs/>
          <w:sz w:val="24"/>
          <w:szCs w:val="24"/>
        </w:rPr>
        <w:t>Handbook on the neuropsychology of traumatic brain injury.</w:t>
      </w:r>
      <w:r w:rsidRPr="0074138E">
        <w:rPr>
          <w:rFonts w:ascii="Times New Roman" w:eastAsia="Times New Roman" w:hAnsi="Times New Roman" w:cs="Times New Roman"/>
          <w:sz w:val="24"/>
          <w:szCs w:val="24"/>
        </w:rPr>
        <w:t xml:space="preserve"> (pp. 49–75). Springer Science + Business Media. </w:t>
      </w:r>
      <w:hyperlink r:id="rId5307" w:history="1">
        <w:r w:rsidRPr="0074138E">
          <w:rPr>
            <w:rFonts w:ascii="Times New Roman" w:eastAsia="Times New Roman" w:hAnsi="Times New Roman" w:cs="Times New Roman"/>
            <w:color w:val="0000FF"/>
            <w:sz w:val="24"/>
            <w:szCs w:val="24"/>
            <w:u w:val="single"/>
          </w:rPr>
          <w:t>https://doi.org/10.1007/978-1-4939-0784-7_3</w:t>
        </w:r>
      </w:hyperlink>
    </w:p>
    <w:p w14:paraId="65D2AE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Sherer, M., Nick, T. G., Millis, S. R., &amp; Novack, T. A. (2003). Use of the WCST and the WCST-64 in the assessment of traumatic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512–520. </w:t>
      </w:r>
      <w:hyperlink r:id="rId5308" w:history="1">
        <w:r w:rsidRPr="0074138E">
          <w:rPr>
            <w:rFonts w:ascii="Times New Roman" w:eastAsia="Times New Roman" w:hAnsi="Times New Roman" w:cs="Times New Roman"/>
            <w:color w:val="0000FF"/>
            <w:sz w:val="24"/>
            <w:szCs w:val="24"/>
            <w:u w:val="single"/>
          </w:rPr>
          <w:t>https://doi.org/10.1076/jcen.25.4.512.13877</w:t>
        </w:r>
      </w:hyperlink>
    </w:p>
    <w:p w14:paraId="5E8557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Sherer, M., Stouter, J., Hart, T., Nakase-Richardson, R., Olivier, J., Manning, E., &amp; Yablon, S. A. (2006). Computed tomography findings and early cognitive outcome after traumatic brain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(10), 997–1005. </w:t>
      </w:r>
      <w:hyperlink r:id="rId5309" w:history="1">
        <w:r w:rsidRPr="0074138E">
          <w:rPr>
            <w:rFonts w:ascii="Times New Roman" w:eastAsia="Times New Roman" w:hAnsi="Times New Roman" w:cs="Times New Roman"/>
            <w:color w:val="0000FF"/>
            <w:sz w:val="24"/>
            <w:szCs w:val="24"/>
            <w:u w:val="single"/>
          </w:rPr>
          <w:t>https://doi.org/10.1080/02699050600677055</w:t>
        </w:r>
      </w:hyperlink>
    </w:p>
    <w:p w14:paraId="3C8186B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E. M. S., Brooks, B. L., Iverson, G. L., Slick, D. J., &amp; Strauss, E. (2011). Reliability and validity in neuropsychology. In M. R. Schoenberg &amp; J. G. Scott (Eds.), </w:t>
      </w:r>
      <w:r w:rsidRPr="0074138E">
        <w:rPr>
          <w:rFonts w:ascii="Times New Roman" w:eastAsia="Times New Roman" w:hAnsi="Times New Roman" w:cs="Times New Roman"/>
          <w:i/>
          <w:iCs/>
          <w:sz w:val="24"/>
          <w:szCs w:val="24"/>
        </w:rPr>
        <w:t>The little black book of neuropsychology: A syndrome-based approach.</w:t>
      </w:r>
      <w:r w:rsidRPr="0074138E">
        <w:rPr>
          <w:rFonts w:ascii="Times New Roman" w:eastAsia="Times New Roman" w:hAnsi="Times New Roman" w:cs="Times New Roman"/>
          <w:sz w:val="24"/>
          <w:szCs w:val="24"/>
        </w:rPr>
        <w:t xml:space="preserve"> (pp. 873–892). Springer Science + Business Media. </w:t>
      </w:r>
      <w:hyperlink r:id="rId5310" w:history="1">
        <w:r w:rsidRPr="0074138E">
          <w:rPr>
            <w:rFonts w:ascii="Times New Roman" w:eastAsia="Times New Roman" w:hAnsi="Times New Roman" w:cs="Times New Roman"/>
            <w:color w:val="0000FF"/>
            <w:sz w:val="24"/>
            <w:szCs w:val="24"/>
            <w:u w:val="single"/>
          </w:rPr>
          <w:t>https://doi.org/10.1007/978-0-387-76978-3_30</w:t>
        </w:r>
      </w:hyperlink>
    </w:p>
    <w:p w14:paraId="50196E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E. M. S., Slick, D. J., &amp; Eyrl, K. L. (2006). Executive Dysfunction Is a Significant Predictor of Poor Quality of Life in Children with Epilepsy. </w:t>
      </w:r>
      <w:r w:rsidRPr="0074138E">
        <w:rPr>
          <w:rFonts w:ascii="Times New Roman" w:eastAsia="Times New Roman" w:hAnsi="Times New Roman" w:cs="Times New Roman"/>
          <w:i/>
          <w:iCs/>
          <w:sz w:val="24"/>
          <w:szCs w:val="24"/>
        </w:rPr>
        <w:t>Epilepsia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(11), 1936–1942. </w:t>
      </w:r>
      <w:hyperlink r:id="rId5311" w:history="1">
        <w:r w:rsidRPr="0074138E">
          <w:rPr>
            <w:rFonts w:ascii="Times New Roman" w:eastAsia="Times New Roman" w:hAnsi="Times New Roman" w:cs="Times New Roman"/>
            <w:color w:val="0000FF"/>
            <w:sz w:val="24"/>
            <w:szCs w:val="24"/>
            <w:u w:val="single"/>
          </w:rPr>
          <w:t>https://doi.org/10.1111/j.1528-1167.2006.00816.x</w:t>
        </w:r>
      </w:hyperlink>
    </w:p>
    <w:p w14:paraId="7AB9860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E. M. S., Wiebe, S., Fay‐McClymont, T. B., Tellez‐Zenteno, J., Metcalfe, A., Hernandez‐Ronquillo, L., Hader, W. J., &amp; Jetté, N. (2011). Neuropsychological outcomes after epilepsy surgery: Systematic review and pooled estimates. </w:t>
      </w:r>
      <w:r w:rsidRPr="0074138E">
        <w:rPr>
          <w:rFonts w:ascii="Times New Roman" w:eastAsia="Times New Roman" w:hAnsi="Times New Roman" w:cs="Times New Roman"/>
          <w:i/>
          <w:iCs/>
          <w:sz w:val="24"/>
          <w:szCs w:val="24"/>
        </w:rPr>
        <w:t>Epilepsia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(5), 857–869. </w:t>
      </w:r>
      <w:hyperlink r:id="rId5312" w:history="1">
        <w:r w:rsidRPr="0074138E">
          <w:rPr>
            <w:rFonts w:ascii="Times New Roman" w:eastAsia="Times New Roman" w:hAnsi="Times New Roman" w:cs="Times New Roman"/>
            <w:color w:val="0000FF"/>
            <w:sz w:val="24"/>
            <w:szCs w:val="24"/>
            <w:u w:val="single"/>
          </w:rPr>
          <w:t>https://doi.org/10.1111/j.1528-1167.2011.03022.x</w:t>
        </w:r>
      </w:hyperlink>
    </w:p>
    <w:p w14:paraId="3A5868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M. R. (2002). </w:t>
      </w:r>
      <w:r w:rsidRPr="0074138E">
        <w:rPr>
          <w:rFonts w:ascii="Times New Roman" w:eastAsia="Times New Roman" w:hAnsi="Times New Roman" w:cs="Times New Roman"/>
          <w:i/>
          <w:iCs/>
          <w:sz w:val="24"/>
          <w:szCs w:val="24"/>
        </w:rPr>
        <w:t>Structural modeling of the WAIS-R and tests of executive function under comprehensive CHC theory.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(1-A), 87–87.</w:t>
      </w:r>
    </w:p>
    <w:p w14:paraId="6CA277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Sherman, T. E., Rapport, L. J., &amp; Ryan, K. A. (2008). Awareness of deficit in multiple sclerosis.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301–311. </w:t>
      </w:r>
      <w:hyperlink r:id="rId5313" w:history="1">
        <w:r w:rsidRPr="0074138E">
          <w:rPr>
            <w:rFonts w:ascii="Times New Roman" w:eastAsia="Times New Roman" w:hAnsi="Times New Roman" w:cs="Times New Roman"/>
            <w:color w:val="0000FF"/>
            <w:sz w:val="24"/>
            <w:szCs w:val="24"/>
            <w:u w:val="single"/>
          </w:rPr>
          <w:t>https://doi.org/10.1080/13803390701380617</w:t>
        </w:r>
      </w:hyperlink>
    </w:p>
    <w:p w14:paraId="2FDB807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 C., Kang, L., Yao, S., Ma, Y., Li, T., Liang, Y., Cheng, Z., Xu, Y., Shi, J., Xu, X., Zhang, C., Franklin, D. R., Heaton, R. K., Jin, H., &amp; Yu, X. (2019). What is the optimal neuropsychological test battery for schizophrenia in China?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208</w:t>
      </w:r>
      <w:r w:rsidRPr="0074138E">
        <w:rPr>
          <w:rFonts w:ascii="Times New Roman" w:eastAsia="Times New Roman" w:hAnsi="Times New Roman" w:cs="Times New Roman"/>
          <w:sz w:val="24"/>
          <w:szCs w:val="24"/>
        </w:rPr>
        <w:t xml:space="preserve">, 317–323. </w:t>
      </w:r>
      <w:hyperlink r:id="rId5314" w:history="1">
        <w:r w:rsidRPr="0074138E">
          <w:rPr>
            <w:rFonts w:ascii="Times New Roman" w:eastAsia="Times New Roman" w:hAnsi="Times New Roman" w:cs="Times New Roman"/>
            <w:color w:val="0000FF"/>
            <w:sz w:val="24"/>
            <w:szCs w:val="24"/>
            <w:u w:val="single"/>
          </w:rPr>
          <w:t>https://doi.org/10.1016/j.schres.2019.01.034</w:t>
        </w:r>
      </w:hyperlink>
    </w:p>
    <w:p w14:paraId="12DC32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Shibuya-Tayoshi, S., Tsuchiya, K., Seki, Y., Arai, T., &amp; Kasahara, T. (2005). Presenile dementia mimicking Pick’s disease: An autopsy case of localized amygdala degeneration with character change and emotional disorder. </w:t>
      </w:r>
      <w:r w:rsidRPr="0074138E">
        <w:rPr>
          <w:rFonts w:ascii="Times New Roman" w:eastAsia="Times New Roman" w:hAnsi="Times New Roman" w:cs="Times New Roman"/>
          <w:i/>
          <w:iCs/>
          <w:sz w:val="24"/>
          <w:szCs w:val="24"/>
        </w:rPr>
        <w:t>Neuropathology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235–240. </w:t>
      </w:r>
      <w:hyperlink r:id="rId5315" w:history="1">
        <w:r w:rsidRPr="0074138E">
          <w:rPr>
            <w:rFonts w:ascii="Times New Roman" w:eastAsia="Times New Roman" w:hAnsi="Times New Roman" w:cs="Times New Roman"/>
            <w:color w:val="0000FF"/>
            <w:sz w:val="24"/>
            <w:szCs w:val="24"/>
            <w:u w:val="single"/>
          </w:rPr>
          <w:t>https://doi.org/10.1111/j.1440-1789.2005.00607.x</w:t>
        </w:r>
      </w:hyperlink>
    </w:p>
    <w:p w14:paraId="2490910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Shields, G. S., Moons, W. G., Tewell, C. A., &amp; Yonelinas, A. P. (2016). The effect of negative affect on cognition: Anxiety, not anger, impairs executive function. </w:t>
      </w:r>
      <w:r w:rsidRPr="0074138E">
        <w:rPr>
          <w:rFonts w:ascii="Times New Roman" w:eastAsia="Times New Roman" w:hAnsi="Times New Roman" w:cs="Times New Roman"/>
          <w:i/>
          <w:iCs/>
          <w:sz w:val="24"/>
          <w:szCs w:val="24"/>
        </w:rPr>
        <w:t>Emotion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(6), 792–797. </w:t>
      </w:r>
      <w:hyperlink r:id="rId5316" w:history="1">
        <w:r w:rsidRPr="0074138E">
          <w:rPr>
            <w:rFonts w:ascii="Times New Roman" w:eastAsia="Times New Roman" w:hAnsi="Times New Roman" w:cs="Times New Roman"/>
            <w:color w:val="0000FF"/>
            <w:sz w:val="24"/>
            <w:szCs w:val="24"/>
            <w:u w:val="single"/>
          </w:rPr>
          <w:t>https://doi.org/10.1037/emo0000151</w:t>
        </w:r>
      </w:hyperlink>
    </w:p>
    <w:p w14:paraId="5917A6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Shields, G. S., Trainor, B. C., Lam, J. C. W., &amp; Yonelinas, A. P. (2016). Acute stress impairs cognitive flexibility in men, not women. </w:t>
      </w:r>
      <w:r w:rsidRPr="0074138E">
        <w:rPr>
          <w:rFonts w:ascii="Times New Roman" w:eastAsia="Times New Roman" w:hAnsi="Times New Roman" w:cs="Times New Roman"/>
          <w:i/>
          <w:iCs/>
          <w:sz w:val="24"/>
          <w:szCs w:val="24"/>
        </w:rPr>
        <w:t>Stress: The International Journal on the Biology of Stress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542–546. </w:t>
      </w:r>
      <w:hyperlink r:id="rId5317" w:history="1">
        <w:r w:rsidRPr="0074138E">
          <w:rPr>
            <w:rFonts w:ascii="Times New Roman" w:eastAsia="Times New Roman" w:hAnsi="Times New Roman" w:cs="Times New Roman"/>
            <w:color w:val="0000FF"/>
            <w:sz w:val="24"/>
            <w:szCs w:val="24"/>
            <w:u w:val="single"/>
          </w:rPr>
          <w:t>https://doi.org/10.1080/10253890.2016.1192603</w:t>
        </w:r>
      </w:hyperlink>
    </w:p>
    <w:p w14:paraId="7B6540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Shields, M. C., Matt, L. M., &amp; Coifman, K. G. (2016). Physical activity and negative emotion during peer-rejection: Evidence for emotion context sensitivity. </w:t>
      </w:r>
      <w:r w:rsidRPr="0074138E">
        <w:rPr>
          <w:rFonts w:ascii="Times New Roman" w:eastAsia="Times New Roman" w:hAnsi="Times New Roman" w:cs="Times New Roman"/>
          <w:i/>
          <w:iCs/>
          <w:sz w:val="24"/>
          <w:szCs w:val="24"/>
        </w:rPr>
        <w:t>Journal of Health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(12), 2851–2862. </w:t>
      </w:r>
      <w:hyperlink r:id="rId5318" w:history="1">
        <w:r w:rsidRPr="0074138E">
          <w:rPr>
            <w:rFonts w:ascii="Times New Roman" w:eastAsia="Times New Roman" w:hAnsi="Times New Roman" w:cs="Times New Roman"/>
            <w:color w:val="0000FF"/>
            <w:sz w:val="24"/>
            <w:szCs w:val="24"/>
            <w:u w:val="single"/>
          </w:rPr>
          <w:t>https://doi.org/10.1177/1359105315587139</w:t>
        </w:r>
      </w:hyperlink>
    </w:p>
    <w:p w14:paraId="766F5C1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Shigaeff, N., Jacinto, A. F., de Mello Franco, F. G., Chiochetta, G., Cendoroglo, M. S., &amp; de Albuquerque Cítero, V. (2013). Cognitive assessment in an elderly population with metabolic syndrome in Brazil.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(2), 206–209. </w:t>
      </w:r>
      <w:hyperlink r:id="rId5319" w:history="1">
        <w:r w:rsidRPr="0074138E">
          <w:rPr>
            <w:rFonts w:ascii="Times New Roman" w:eastAsia="Times New Roman" w:hAnsi="Times New Roman" w:cs="Times New Roman"/>
            <w:color w:val="0000FF"/>
            <w:sz w:val="24"/>
            <w:szCs w:val="24"/>
            <w:u w:val="single"/>
          </w:rPr>
          <w:t>https://doi.org/10.1590/S1980-57642013DN70200011</w:t>
        </w:r>
      </w:hyperlink>
    </w:p>
    <w:p w14:paraId="292D4C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 J.-C., Jung, D.-U., Jung, S.-S., Seo, Y.-S., Cho, D.-M., Lee, J.-H., Lee, S.-W., Kong, B.-G., Kang, J.-W., Oh, M.-K., Kim, S.-D., McMahon, R. P., &amp; Kelly, D. L. (2012). Adjunctive varenicline treatment with antipsychotic medications for cognitive impairments in people with schizophrenia: A randomized double-blind placebo-controlled trial. </w:t>
      </w:r>
      <w:r w:rsidRPr="0074138E">
        <w:rPr>
          <w:rFonts w:ascii="Times New Roman" w:eastAsia="Times New Roman" w:hAnsi="Times New Roman" w:cs="Times New Roman"/>
          <w:i/>
          <w:iCs/>
          <w:sz w:val="24"/>
          <w:szCs w:val="24"/>
        </w:rPr>
        <w:t>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(3), 660–668. </w:t>
      </w:r>
      <w:hyperlink r:id="rId5320" w:history="1">
        <w:r w:rsidRPr="0074138E">
          <w:rPr>
            <w:rFonts w:ascii="Times New Roman" w:eastAsia="Times New Roman" w:hAnsi="Times New Roman" w:cs="Times New Roman"/>
            <w:color w:val="0000FF"/>
            <w:sz w:val="24"/>
            <w:szCs w:val="24"/>
            <w:u w:val="single"/>
          </w:rPr>
          <w:t>https://doi.org/10.1038/npp.2011.238</w:t>
        </w:r>
      </w:hyperlink>
    </w:p>
    <w:p w14:paraId="49D328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Shimizu, Y., Kitagawa, N., Mitsui, N., Fujii, Y., Toyomaki, A., Hashimoto, N., Kako, Y., Tanaka, T., Asakura, S., &amp; Kusumi, I. (2013). Neurocognitive impairments and quality of life in unemployed patients with remitted major depressive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210</w:t>
      </w:r>
      <w:r w:rsidRPr="0074138E">
        <w:rPr>
          <w:rFonts w:ascii="Times New Roman" w:eastAsia="Times New Roman" w:hAnsi="Times New Roman" w:cs="Times New Roman"/>
          <w:sz w:val="24"/>
          <w:szCs w:val="24"/>
        </w:rPr>
        <w:t xml:space="preserve">(3), 913–918. </w:t>
      </w:r>
      <w:hyperlink r:id="rId5321" w:history="1">
        <w:r w:rsidRPr="0074138E">
          <w:rPr>
            <w:rFonts w:ascii="Times New Roman" w:eastAsia="Times New Roman" w:hAnsi="Times New Roman" w:cs="Times New Roman"/>
            <w:color w:val="0000FF"/>
            <w:sz w:val="24"/>
            <w:szCs w:val="24"/>
            <w:u w:val="single"/>
          </w:rPr>
          <w:t>https://doi.org/10.1016/j.psychres.2013.08.030</w:t>
        </w:r>
      </w:hyperlink>
    </w:p>
    <w:p w14:paraId="44C04D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Shimoni, M., Engel-Yeger, B., &amp; Tirosh, E. (2012). Executive dysfunctions among boys with Attention Deficit Hyperactivity Disorder (ADHD): Performance-based test and parents report. </w:t>
      </w:r>
      <w:r w:rsidRPr="0074138E">
        <w:rPr>
          <w:rFonts w:ascii="Times New Roman" w:eastAsia="Times New Roman" w:hAnsi="Times New Roman" w:cs="Times New Roman"/>
          <w:i/>
          <w:iCs/>
          <w:sz w:val="24"/>
          <w:szCs w:val="24"/>
        </w:rPr>
        <w:t>Research in Developmental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(3), 858–865.</w:t>
      </w:r>
    </w:p>
    <w:p w14:paraId="207B5F2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Shimony, J. S., Sheline, Y. I., D’Angelo, G., Epstein, A. A., Benzinger, T. L. S., Mintun, M. A., McKinstry, R. C., &amp; Snyder, A. Z. (2009). Diffuse microstructural abnormalities of normal-appearing white matter in late life depression: A diffusion tensor imaging study.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66</w:t>
      </w:r>
      <w:r w:rsidRPr="0074138E">
        <w:rPr>
          <w:rFonts w:ascii="Times New Roman" w:eastAsia="Times New Roman" w:hAnsi="Times New Roman" w:cs="Times New Roman"/>
          <w:sz w:val="24"/>
          <w:szCs w:val="24"/>
        </w:rPr>
        <w:t xml:space="preserve">(3), 245–252. </w:t>
      </w:r>
      <w:hyperlink r:id="rId5322" w:history="1">
        <w:r w:rsidRPr="0074138E">
          <w:rPr>
            <w:rFonts w:ascii="Times New Roman" w:eastAsia="Times New Roman" w:hAnsi="Times New Roman" w:cs="Times New Roman"/>
            <w:color w:val="0000FF"/>
            <w:sz w:val="24"/>
            <w:szCs w:val="24"/>
            <w:u w:val="single"/>
          </w:rPr>
          <w:t>https://doi.org/10.1016/j.biopsych.2009.02.032</w:t>
        </w:r>
      </w:hyperlink>
    </w:p>
    <w:p w14:paraId="37FD7E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J. C. (2011). The development of temporal coordination in children.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76</w:t>
      </w:r>
      <w:r w:rsidRPr="0074138E">
        <w:rPr>
          <w:rFonts w:ascii="Times New Roman" w:eastAsia="Times New Roman" w:hAnsi="Times New Roman" w:cs="Times New Roman"/>
          <w:sz w:val="24"/>
          <w:szCs w:val="24"/>
        </w:rPr>
        <w:t xml:space="preserve">(1), 106–114. </w:t>
      </w:r>
      <w:hyperlink r:id="rId5323" w:history="1">
        <w:r w:rsidRPr="0074138E">
          <w:rPr>
            <w:rFonts w:ascii="Times New Roman" w:eastAsia="Times New Roman" w:hAnsi="Times New Roman" w:cs="Times New Roman"/>
            <w:color w:val="0000FF"/>
            <w:sz w:val="24"/>
            <w:szCs w:val="24"/>
            <w:u w:val="single"/>
          </w:rPr>
          <w:t>https://doi.org/10.1016/j.bandc.2011.02.011</w:t>
        </w:r>
      </w:hyperlink>
    </w:p>
    <w:p w14:paraId="12F879C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M.-S., Choi, H., Kim, H., Hwang, J.-W., Kim, B.-N., &amp; Cho, S.-C. (2008). A study of neuropsychological deficit in children with obsessive-compulsive disorder.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(7), 512–520. </w:t>
      </w:r>
      <w:hyperlink r:id="rId5324" w:history="1">
        <w:r w:rsidRPr="0074138E">
          <w:rPr>
            <w:rFonts w:ascii="Times New Roman" w:eastAsia="Times New Roman" w:hAnsi="Times New Roman" w:cs="Times New Roman"/>
            <w:color w:val="0000FF"/>
            <w:sz w:val="24"/>
            <w:szCs w:val="24"/>
            <w:u w:val="single"/>
          </w:rPr>
          <w:t>https://doi.org/10.1016/j.eurpsy.2008.03.010</w:t>
        </w:r>
      </w:hyperlink>
    </w:p>
    <w:p w14:paraId="616519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N. Y., Kang, D.-H., Jang, J. H., Park, S. Y., Hwang, J. Y., Kim, S. N., Byun, M. S., Park, H. Y., &amp; Kim, Y. C. (2013). Impaired recognition of social emotion in patients with complex regional pain syndrome. </w:t>
      </w:r>
      <w:r w:rsidRPr="0074138E">
        <w:rPr>
          <w:rFonts w:ascii="Times New Roman" w:eastAsia="Times New Roman" w:hAnsi="Times New Roman" w:cs="Times New Roman"/>
          <w:i/>
          <w:iCs/>
          <w:sz w:val="24"/>
          <w:szCs w:val="24"/>
        </w:rPr>
        <w:t>The Journal of Pain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(11), 1304–1309. </w:t>
      </w:r>
      <w:hyperlink r:id="rId5325" w:history="1">
        <w:r w:rsidRPr="0074138E">
          <w:rPr>
            <w:rFonts w:ascii="Times New Roman" w:eastAsia="Times New Roman" w:hAnsi="Times New Roman" w:cs="Times New Roman"/>
            <w:color w:val="0000FF"/>
            <w:sz w:val="24"/>
            <w:szCs w:val="24"/>
            <w:u w:val="single"/>
          </w:rPr>
          <w:t>https://doi.org/10.1016/j.jpain.2013.05.008</w:t>
        </w:r>
      </w:hyperlink>
    </w:p>
    <w:p w14:paraId="7E8637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N. Y., Lee, A. R., Park, H. Y., Yoo, S. Y., Kang, D.-H., Shin, M. S., &amp; Kwon, J. S. (2008). Impact of coexistent schizotypal personality traits on frontal lobe function in obsessive-compulsive disorder. </w:t>
      </w:r>
      <w:r w:rsidRPr="0074138E">
        <w:rPr>
          <w:rFonts w:ascii="Times New Roman" w:eastAsia="Times New Roman" w:hAnsi="Times New Roman" w:cs="Times New Roman"/>
          <w:i/>
          <w:iCs/>
          <w:sz w:val="24"/>
          <w:szCs w:val="24"/>
        </w:rPr>
        <w:t>Progress in Neuro-Psychopharmacology &amp; 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(2), 472–478. </w:t>
      </w:r>
      <w:hyperlink r:id="rId5326" w:history="1">
        <w:r w:rsidRPr="0074138E">
          <w:rPr>
            <w:rFonts w:ascii="Times New Roman" w:eastAsia="Times New Roman" w:hAnsi="Times New Roman" w:cs="Times New Roman"/>
            <w:color w:val="0000FF"/>
            <w:sz w:val="24"/>
            <w:szCs w:val="24"/>
            <w:u w:val="single"/>
          </w:rPr>
          <w:t>https://doi.org/10.1016/j.pnpbp.2007.09.020</w:t>
        </w:r>
      </w:hyperlink>
    </w:p>
    <w:p w14:paraId="7E1439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N. Y., Lee, T. Y., Kim, E., &amp; Kwon, J. S. (2014). Cognitive functioning in obsessive-compulsive disorder: A meta-analysis.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(6), 1121–1130. </w:t>
      </w:r>
      <w:hyperlink r:id="rId5327" w:history="1">
        <w:r w:rsidRPr="0074138E">
          <w:rPr>
            <w:rFonts w:ascii="Times New Roman" w:eastAsia="Times New Roman" w:hAnsi="Times New Roman" w:cs="Times New Roman"/>
            <w:color w:val="0000FF"/>
            <w:sz w:val="24"/>
            <w:szCs w:val="24"/>
            <w:u w:val="single"/>
          </w:rPr>
          <w:t>https://doi.org/10.1017/S0033291713001803</w:t>
        </w:r>
      </w:hyperlink>
    </w:p>
    <w:p w14:paraId="68E726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Shin, Y. S., Kim, S.-Y., Lee, T. Y., Hur, J.-W., Shin, N. Y., Kim, S. N., Shin, M.-S., &amp; Kwon, J. S. (2016). Longitudinal change in neurocognition and its relation to symptomatic and functional changes over 2 years in individuals at clinical high-risk for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174</w:t>
      </w:r>
      <w:r w:rsidRPr="0074138E">
        <w:rPr>
          <w:rFonts w:ascii="Times New Roman" w:eastAsia="Times New Roman" w:hAnsi="Times New Roman" w:cs="Times New Roman"/>
          <w:sz w:val="24"/>
          <w:szCs w:val="24"/>
        </w:rPr>
        <w:t xml:space="preserve">(1–3), 50–57. </w:t>
      </w:r>
      <w:hyperlink r:id="rId5328" w:history="1">
        <w:r w:rsidRPr="0074138E">
          <w:rPr>
            <w:rFonts w:ascii="Times New Roman" w:eastAsia="Times New Roman" w:hAnsi="Times New Roman" w:cs="Times New Roman"/>
            <w:color w:val="0000FF"/>
            <w:sz w:val="24"/>
            <w:szCs w:val="24"/>
            <w:u w:val="single"/>
          </w:rPr>
          <w:t>https://doi.org/10.1016/j.schres.2016.03.024</w:t>
        </w:r>
      </w:hyperlink>
    </w:p>
    <w:p w14:paraId="06B51E0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Shirayama, Y., Konishi, T., &amp; Hashimoto, K. (2011). Effects of add-on cilostazol on cognition in patients with schizophrenia: An open-label pilot trial. </w:t>
      </w:r>
      <w:r w:rsidRPr="0074138E">
        <w:rPr>
          <w:rFonts w:ascii="Times New Roman" w:eastAsia="Times New Roman" w:hAnsi="Times New Roman" w:cs="Times New Roman"/>
          <w:i/>
          <w:iCs/>
          <w:sz w:val="24"/>
          <w:szCs w:val="24"/>
        </w:rPr>
        <w:t>Journal of Clinical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(5), 659–661. </w:t>
      </w:r>
      <w:hyperlink r:id="rId5329" w:history="1">
        <w:r w:rsidRPr="0074138E">
          <w:rPr>
            <w:rFonts w:ascii="Times New Roman" w:eastAsia="Times New Roman" w:hAnsi="Times New Roman" w:cs="Times New Roman"/>
            <w:color w:val="0000FF"/>
            <w:sz w:val="24"/>
            <w:szCs w:val="24"/>
            <w:u w:val="single"/>
          </w:rPr>
          <w:t>https://doi.org/10.1097/JCP.0b013e31822c94fd</w:t>
        </w:r>
      </w:hyperlink>
    </w:p>
    <w:p w14:paraId="6D4DEC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Shirayama, Y., Obata, T., Matsuzawa, D., Nonaka, H., Kanazawa, Y., Yoshitome, E., Ikehira, H., Hashimoto, K., &amp; Iyo, M. (2010). Specific metabolites in the medial prefrontal cortex are associated with the neurocognitive deficits in schizophrenia: A preliminary study. </w:t>
      </w:r>
      <w:r w:rsidRPr="0074138E">
        <w:rPr>
          <w:rFonts w:ascii="Times New Roman" w:eastAsia="Times New Roman" w:hAnsi="Times New Roman" w:cs="Times New Roman"/>
          <w:i/>
          <w:iCs/>
          <w:sz w:val="24"/>
          <w:szCs w:val="24"/>
        </w:rPr>
        <w:t>NeuroImage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(3), 2783–2790. </w:t>
      </w:r>
      <w:hyperlink r:id="rId5330" w:history="1">
        <w:r w:rsidRPr="0074138E">
          <w:rPr>
            <w:rFonts w:ascii="Times New Roman" w:eastAsia="Times New Roman" w:hAnsi="Times New Roman" w:cs="Times New Roman"/>
            <w:color w:val="0000FF"/>
            <w:sz w:val="24"/>
            <w:szCs w:val="24"/>
            <w:u w:val="single"/>
          </w:rPr>
          <w:t>https://doi.org/10.1016/j.neuroimage.2009.10.031</w:t>
        </w:r>
      </w:hyperlink>
    </w:p>
    <w:p w14:paraId="6172060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Shirayama, Y., Takahashi, M., Suzuki, M., Tsuruoka, Y., &amp; Sato, K. (2014). Effects of add-on ramelteon on cognitive impairment in patients with schizophrenia: An open-label pilot trial. </w:t>
      </w:r>
      <w:r w:rsidRPr="0074138E">
        <w:rPr>
          <w:rFonts w:ascii="Times New Roman" w:eastAsia="Times New Roman" w:hAnsi="Times New Roman" w:cs="Times New Roman"/>
          <w:i/>
          <w:iCs/>
          <w:sz w:val="24"/>
          <w:szCs w:val="24"/>
        </w:rPr>
        <w:t>Clinical Psychopharmacology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215–217. </w:t>
      </w:r>
      <w:hyperlink r:id="rId5331" w:history="1">
        <w:r w:rsidRPr="0074138E">
          <w:rPr>
            <w:rFonts w:ascii="Times New Roman" w:eastAsia="Times New Roman" w:hAnsi="Times New Roman" w:cs="Times New Roman"/>
            <w:color w:val="0000FF"/>
            <w:sz w:val="24"/>
            <w:szCs w:val="24"/>
            <w:u w:val="single"/>
          </w:rPr>
          <w:t>https://doi.org/10.9758/cpn.2014.12.3.215</w:t>
        </w:r>
      </w:hyperlink>
    </w:p>
    <w:p w14:paraId="6E5EFF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Shirazi, T. N., Summers, A. C., Smith, B. R., Steinbach, S. R., Kapetanovic, S., Nath, A., &amp; Snow, J. (2017). Concordance between self-report and performance-based measures of everyday functioning in HIV-associated neurocognitive disorders. </w:t>
      </w:r>
      <w:r w:rsidRPr="0074138E">
        <w:rPr>
          <w:rFonts w:ascii="Times New Roman" w:eastAsia="Times New Roman" w:hAnsi="Times New Roman" w:cs="Times New Roman"/>
          <w:i/>
          <w:iCs/>
          <w:sz w:val="24"/>
          <w:szCs w:val="24"/>
        </w:rPr>
        <w:t>AIDS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(7), 2124–2134. </w:t>
      </w:r>
      <w:hyperlink r:id="rId5332" w:history="1">
        <w:r w:rsidRPr="0074138E">
          <w:rPr>
            <w:rFonts w:ascii="Times New Roman" w:eastAsia="Times New Roman" w:hAnsi="Times New Roman" w:cs="Times New Roman"/>
            <w:color w:val="0000FF"/>
            <w:sz w:val="24"/>
            <w:szCs w:val="24"/>
            <w:u w:val="single"/>
          </w:rPr>
          <w:t>https://doi.org/10.1007/s10461-017-1689-6</w:t>
        </w:r>
      </w:hyperlink>
    </w:p>
    <w:p w14:paraId="4D716F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Shott, M. E., Filoteo, J. V., Bhatnagar, K. A. C., Peak, N. J., Hagman, J. O., Rockwell, R., Kaye, W. H., &amp; Frank, G. K. W. (2012). Cognitive set‐shifting in anorexia nervosa. </w:t>
      </w:r>
      <w:r w:rsidRPr="0074138E">
        <w:rPr>
          <w:rFonts w:ascii="Times New Roman" w:eastAsia="Times New Roman" w:hAnsi="Times New Roman" w:cs="Times New Roman"/>
          <w:i/>
          <w:iCs/>
          <w:sz w:val="24"/>
          <w:szCs w:val="24"/>
        </w:rPr>
        <w:t>European Eating Disorders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(5), 343–349. </w:t>
      </w:r>
      <w:hyperlink r:id="rId5333" w:history="1">
        <w:r w:rsidRPr="0074138E">
          <w:rPr>
            <w:rFonts w:ascii="Times New Roman" w:eastAsia="Times New Roman" w:hAnsi="Times New Roman" w:cs="Times New Roman"/>
            <w:color w:val="0000FF"/>
            <w:sz w:val="24"/>
            <w:szCs w:val="24"/>
            <w:u w:val="single"/>
          </w:rPr>
          <w:t>https://doi.org/10.1002/erv.2172</w:t>
        </w:r>
      </w:hyperlink>
    </w:p>
    <w:p w14:paraId="13E13D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Shoyama, M., Nishioka, T., Okumura, M., Kose, A., Tsuji, T., Ukai, S., &amp; Shinosaki, K. (2011). Brain activity during the Clock-Drawing Test: Multichannel near-infrared spectroscopy study. </w:t>
      </w:r>
      <w:r w:rsidRPr="0074138E">
        <w:rPr>
          <w:rFonts w:ascii="Times New Roman" w:eastAsia="Times New Roman" w:hAnsi="Times New Roman" w:cs="Times New Roman"/>
          <w:i/>
          <w:iCs/>
          <w:sz w:val="24"/>
          <w:szCs w:val="24"/>
        </w:rPr>
        <w:t>Applied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243–251. </w:t>
      </w:r>
      <w:hyperlink r:id="rId5334" w:history="1">
        <w:r w:rsidRPr="0074138E">
          <w:rPr>
            <w:rFonts w:ascii="Times New Roman" w:eastAsia="Times New Roman" w:hAnsi="Times New Roman" w:cs="Times New Roman"/>
            <w:color w:val="0000FF"/>
            <w:sz w:val="24"/>
            <w:szCs w:val="24"/>
            <w:u w:val="single"/>
          </w:rPr>
          <w:t>https://doi.org/10.1080/09084282.2011.595450</w:t>
        </w:r>
      </w:hyperlink>
    </w:p>
    <w:p w14:paraId="42F40C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Shrestha, S., Bloom, M. S., Yucel, R., Seegal, R. F., Rej, R., McCaffrey, R. J., &amp; Fitzgerald, E. F. (2016). Thyroid function and neuropsychological status in older adults. </w:t>
      </w:r>
      <w:r w:rsidRPr="0074138E">
        <w:rPr>
          <w:rFonts w:ascii="Times New Roman" w:eastAsia="Times New Roman" w:hAnsi="Times New Roman" w:cs="Times New Roman"/>
          <w:i/>
          <w:iCs/>
          <w:sz w:val="24"/>
          <w:szCs w:val="24"/>
        </w:rPr>
        <w:t>Physiology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164</w:t>
      </w:r>
      <w:r w:rsidRPr="0074138E">
        <w:rPr>
          <w:rFonts w:ascii="Times New Roman" w:eastAsia="Times New Roman" w:hAnsi="Times New Roman" w:cs="Times New Roman"/>
          <w:sz w:val="24"/>
          <w:szCs w:val="24"/>
        </w:rPr>
        <w:t xml:space="preserve">(Part A), 34–39. </w:t>
      </w:r>
      <w:hyperlink r:id="rId5335" w:history="1">
        <w:r w:rsidRPr="0074138E">
          <w:rPr>
            <w:rFonts w:ascii="Times New Roman" w:eastAsia="Times New Roman" w:hAnsi="Times New Roman" w:cs="Times New Roman"/>
            <w:color w:val="0000FF"/>
            <w:sz w:val="24"/>
            <w:szCs w:val="24"/>
            <w:u w:val="single"/>
          </w:rPr>
          <w:t>https://doi.org/10.1016/j.physbeh.2016.05.037</w:t>
        </w:r>
      </w:hyperlink>
    </w:p>
    <w:p w14:paraId="27A2F7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 B.-C., Tien, A. Y., Lung, F.-W., &amp; Chang, Y.-Y. (2000). Norms for the Wisconsin Card Sorting Test in 6- to 11-year-old children in Taiwan.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(3), 275–286. </w:t>
      </w:r>
      <w:hyperlink r:id="rId5336" w:history="1">
        <w:r w:rsidRPr="0074138E">
          <w:rPr>
            <w:rFonts w:ascii="Times New Roman" w:eastAsia="Times New Roman" w:hAnsi="Times New Roman" w:cs="Times New Roman"/>
            <w:color w:val="0000FF"/>
            <w:sz w:val="24"/>
            <w:szCs w:val="24"/>
            <w:u w:val="single"/>
          </w:rPr>
          <w:t>https://doi.org/10.1076/1385-4046(200008)14:3;1-P;FT275</w:t>
        </w:r>
      </w:hyperlink>
    </w:p>
    <w:p w14:paraId="31EFE08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 C., Wang, G., &amp; Wang, H. (2004). Correlation between clinical symptom and Wisconsin Card Sorting Test in Patients with Schizophrenia. [Correlation between clinical symptom and Wisconsin Card Sorting Test in Patients with Schizophrenia.]. </w:t>
      </w:r>
      <w:r w:rsidRPr="0074138E">
        <w:rPr>
          <w:rFonts w:ascii="Times New Roman" w:eastAsia="Times New Roman" w:hAnsi="Times New Roman" w:cs="Times New Roman"/>
          <w:i/>
          <w:iCs/>
          <w:sz w:val="24"/>
          <w:szCs w:val="24"/>
        </w:rPr>
        <w:t>Chinese Mental Health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(8), 580–582.</w:t>
      </w:r>
    </w:p>
    <w:p w14:paraId="5A8509E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Shuai, L., Chan, R. C. K., &amp; Wang, Y. (2011). Executive function profile of Chinese boys with attention-deficit hyperactivity disorder: Different subtypes and comorbidity.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 120–132. </w:t>
      </w:r>
      <w:hyperlink r:id="rId5337" w:history="1">
        <w:r w:rsidRPr="0074138E">
          <w:rPr>
            <w:rFonts w:ascii="Times New Roman" w:eastAsia="Times New Roman" w:hAnsi="Times New Roman" w:cs="Times New Roman"/>
            <w:color w:val="0000FF"/>
            <w:sz w:val="24"/>
            <w:szCs w:val="24"/>
            <w:u w:val="single"/>
          </w:rPr>
          <w:t>https://doi.org/10.1093/arclin/acq101</w:t>
        </w:r>
      </w:hyperlink>
    </w:p>
    <w:p w14:paraId="3CD90C7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Shum, D., Ungvari, G. S., Tang, W.-K., &amp; Leung, J. P. (2004). Performance of Schizophrenia Patients on Time-, Event-, and Activity-Based Prospective Memory Tasks.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(4), 693–701. </w:t>
      </w:r>
      <w:hyperlink r:id="rId5338" w:history="1">
        <w:r w:rsidRPr="0074138E">
          <w:rPr>
            <w:rFonts w:ascii="Times New Roman" w:eastAsia="Times New Roman" w:hAnsi="Times New Roman" w:cs="Times New Roman"/>
            <w:color w:val="0000FF"/>
            <w:sz w:val="24"/>
            <w:szCs w:val="24"/>
            <w:u w:val="single"/>
          </w:rPr>
          <w:t>https://doi.org/10.1093/oxfordjournals.schbul.a007123</w:t>
        </w:r>
      </w:hyperlink>
    </w:p>
    <w:p w14:paraId="6DBF80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Shura, R. D., Miskey, H. M., Rowland, J. A., Yoash-Gantz, R. E., &amp; Denning, J. H. (2016). Embedded performance validity measures with postdeployment veterans: Cross-validation and efficiency with multiple measures. </w:t>
      </w:r>
      <w:r w:rsidRPr="0074138E">
        <w:rPr>
          <w:rFonts w:ascii="Times New Roman" w:eastAsia="Times New Roman" w:hAnsi="Times New Roman" w:cs="Times New Roman"/>
          <w:i/>
          <w:iCs/>
          <w:sz w:val="24"/>
          <w:szCs w:val="24"/>
        </w:rPr>
        <w:t>Applied Neuropsychology: Adult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(2), 94–104. </w:t>
      </w:r>
      <w:hyperlink r:id="rId5339" w:history="1">
        <w:r w:rsidRPr="0074138E">
          <w:rPr>
            <w:rFonts w:ascii="Times New Roman" w:eastAsia="Times New Roman" w:hAnsi="Times New Roman" w:cs="Times New Roman"/>
            <w:color w:val="0000FF"/>
            <w:sz w:val="24"/>
            <w:szCs w:val="24"/>
            <w:u w:val="single"/>
          </w:rPr>
          <w:t>https://doi.org/10.1080/23279095.2015.1014556</w:t>
        </w:r>
      </w:hyperlink>
    </w:p>
    <w:p w14:paraId="66AFB2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Shurman, B., Horan, W. P., &amp; Nuechterlein, K. H. (2005). Schizophrenia patients demonstrate a distinctive pattern of decision-making impairment on the Iowa Gambling Task.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72</w:t>
      </w:r>
      <w:r w:rsidRPr="0074138E">
        <w:rPr>
          <w:rFonts w:ascii="Times New Roman" w:eastAsia="Times New Roman" w:hAnsi="Times New Roman" w:cs="Times New Roman"/>
          <w:sz w:val="24"/>
          <w:szCs w:val="24"/>
        </w:rPr>
        <w:t xml:space="preserve">(2–3), 215–224. </w:t>
      </w:r>
      <w:hyperlink r:id="rId5340" w:history="1">
        <w:r w:rsidRPr="0074138E">
          <w:rPr>
            <w:rFonts w:ascii="Times New Roman" w:eastAsia="Times New Roman" w:hAnsi="Times New Roman" w:cs="Times New Roman"/>
            <w:color w:val="0000FF"/>
            <w:sz w:val="24"/>
            <w:szCs w:val="24"/>
            <w:u w:val="single"/>
          </w:rPr>
          <w:t>https://doi.org/10.1016/j.schres.2004.03.020</w:t>
        </w:r>
      </w:hyperlink>
    </w:p>
    <w:p w14:paraId="7D5E4E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Siedlecki, K. L., Stern, Y., Reuben, A., Sacco, R. L., Elkind, M. S. V., &amp; Wright, C. B. (2009). Constructive validity of cognitive reserve in a multiethnic cohort: The Northern Manhattan Study.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(4), 558–569. </w:t>
      </w:r>
      <w:hyperlink r:id="rId5341" w:history="1">
        <w:r w:rsidRPr="0074138E">
          <w:rPr>
            <w:rFonts w:ascii="Times New Roman" w:eastAsia="Times New Roman" w:hAnsi="Times New Roman" w:cs="Times New Roman"/>
            <w:color w:val="0000FF"/>
            <w:sz w:val="24"/>
            <w:szCs w:val="24"/>
            <w:u w:val="single"/>
          </w:rPr>
          <w:t>https://doi.org/10.1017/S1355617709090857</w:t>
        </w:r>
      </w:hyperlink>
    </w:p>
    <w:p w14:paraId="25EDEBD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Siegal, M., Iozzi, L., &amp; Surian, L. (2009). Bilingualism and conversational understanding in young children. </w:t>
      </w:r>
      <w:r w:rsidRPr="0074138E">
        <w:rPr>
          <w:rFonts w:ascii="Times New Roman" w:eastAsia="Times New Roman" w:hAnsi="Times New Roman" w:cs="Times New Roman"/>
          <w:i/>
          <w:iCs/>
          <w:sz w:val="24"/>
          <w:szCs w:val="24"/>
        </w:rPr>
        <w:t>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110</w:t>
      </w:r>
      <w:r w:rsidRPr="0074138E">
        <w:rPr>
          <w:rFonts w:ascii="Times New Roman" w:eastAsia="Times New Roman" w:hAnsi="Times New Roman" w:cs="Times New Roman"/>
          <w:sz w:val="24"/>
          <w:szCs w:val="24"/>
        </w:rPr>
        <w:t xml:space="preserve">(1), 115–122. </w:t>
      </w:r>
      <w:hyperlink r:id="rId5342" w:history="1">
        <w:r w:rsidRPr="0074138E">
          <w:rPr>
            <w:rFonts w:ascii="Times New Roman" w:eastAsia="Times New Roman" w:hAnsi="Times New Roman" w:cs="Times New Roman"/>
            <w:color w:val="0000FF"/>
            <w:sz w:val="24"/>
            <w:szCs w:val="24"/>
            <w:u w:val="single"/>
          </w:rPr>
          <w:t>https://doi.org/10.1016/j.cognition.2008.11.002</w:t>
        </w:r>
      </w:hyperlink>
    </w:p>
    <w:p w14:paraId="337D35E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Siegel, L. J. (1999). </w:t>
      </w:r>
      <w:r w:rsidRPr="0074138E">
        <w:rPr>
          <w:rFonts w:ascii="Times New Roman" w:eastAsia="Times New Roman" w:hAnsi="Times New Roman" w:cs="Times New Roman"/>
          <w:i/>
          <w:iCs/>
          <w:sz w:val="24"/>
          <w:szCs w:val="24"/>
        </w:rPr>
        <w:t>Executive functioning characteristics associated with psychopathy in incarcerated females. (Women inmates).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(11-B), 6112–6112.</w:t>
      </w:r>
    </w:p>
    <w:p w14:paraId="6589AB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Sienaert, P. A., Vansteelandt, K., Demyttenaere, K., &amp; Peuskens, J. (2010). Predictors of patient satisfaction after ultrabrief bifrontal and unilateral electroconvulsive therapies for major depression. </w:t>
      </w:r>
      <w:r w:rsidRPr="0074138E">
        <w:rPr>
          <w:rFonts w:ascii="Times New Roman" w:eastAsia="Times New Roman" w:hAnsi="Times New Roman" w:cs="Times New Roman"/>
          <w:i/>
          <w:iCs/>
          <w:sz w:val="24"/>
          <w:szCs w:val="24"/>
        </w:rPr>
        <w:t>The Journal of ECT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55–59. </w:t>
      </w:r>
      <w:hyperlink r:id="rId5343" w:history="1">
        <w:r w:rsidRPr="0074138E">
          <w:rPr>
            <w:rFonts w:ascii="Times New Roman" w:eastAsia="Times New Roman" w:hAnsi="Times New Roman" w:cs="Times New Roman"/>
            <w:color w:val="0000FF"/>
            <w:sz w:val="24"/>
            <w:szCs w:val="24"/>
            <w:u w:val="single"/>
          </w:rPr>
          <w:t>https://doi.org/10.1097/YCT.0b013e3181ac3c8e</w:t>
        </w:r>
      </w:hyperlink>
    </w:p>
    <w:p w14:paraId="6D84F30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Sienaert, P., Vansteelandt, K., Demyttenaere, K., &amp; Peuskens, J. (2010). Randomized comparison of ultra-brief bifrontal and unilateral electroconvulsive therapy for major depression: Cognitive side-effects.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122</w:t>
      </w:r>
      <w:r w:rsidRPr="0074138E">
        <w:rPr>
          <w:rFonts w:ascii="Times New Roman" w:eastAsia="Times New Roman" w:hAnsi="Times New Roman" w:cs="Times New Roman"/>
          <w:sz w:val="24"/>
          <w:szCs w:val="24"/>
        </w:rPr>
        <w:t xml:space="preserve">(1–2), 60–67. </w:t>
      </w:r>
      <w:hyperlink r:id="rId5344" w:history="1">
        <w:r w:rsidRPr="0074138E">
          <w:rPr>
            <w:rFonts w:ascii="Times New Roman" w:eastAsia="Times New Roman" w:hAnsi="Times New Roman" w:cs="Times New Roman"/>
            <w:color w:val="0000FF"/>
            <w:sz w:val="24"/>
            <w:szCs w:val="24"/>
            <w:u w:val="single"/>
          </w:rPr>
          <w:t>https://doi.org/10.1016/j.jad.2009.06.011</w:t>
        </w:r>
      </w:hyperlink>
    </w:p>
    <w:p w14:paraId="206CA08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Sifferd, K. L., &amp; Hirstein, W. (2013). On the criminal culpability of successful and unsuccessful psychopaths. </w:t>
      </w:r>
      <w:r w:rsidRPr="0074138E">
        <w:rPr>
          <w:rFonts w:ascii="Times New Roman" w:eastAsia="Times New Roman" w:hAnsi="Times New Roman" w:cs="Times New Roman"/>
          <w:i/>
          <w:iCs/>
          <w:sz w:val="24"/>
          <w:szCs w:val="24"/>
        </w:rPr>
        <w:t>Neuroethics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(1), 129–140. </w:t>
      </w:r>
      <w:hyperlink r:id="rId5345" w:history="1">
        <w:r w:rsidRPr="0074138E">
          <w:rPr>
            <w:rFonts w:ascii="Times New Roman" w:eastAsia="Times New Roman" w:hAnsi="Times New Roman" w:cs="Times New Roman"/>
            <w:color w:val="0000FF"/>
            <w:sz w:val="24"/>
            <w:szCs w:val="24"/>
            <w:u w:val="single"/>
          </w:rPr>
          <w:t>https://doi.org/10.1007/s12152-012-9172-6</w:t>
        </w:r>
      </w:hyperlink>
    </w:p>
    <w:p w14:paraId="0257F3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Sigaudo, M., Crivelli, B., Castagna, F., Giugiario, M., Mingrone, C., Montemagni, C., Rocca, G., &amp; Rocca, P. (2014). Quality of life in stable schizophrenia: The relative contributions of disorganization and cognitive dysfunction.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153</w:t>
      </w:r>
      <w:r w:rsidRPr="0074138E">
        <w:rPr>
          <w:rFonts w:ascii="Times New Roman" w:eastAsia="Times New Roman" w:hAnsi="Times New Roman" w:cs="Times New Roman"/>
          <w:sz w:val="24"/>
          <w:szCs w:val="24"/>
        </w:rPr>
        <w:t xml:space="preserve">(1–3), 196–203. </w:t>
      </w:r>
      <w:hyperlink r:id="rId5346" w:history="1">
        <w:r w:rsidRPr="0074138E">
          <w:rPr>
            <w:rFonts w:ascii="Times New Roman" w:eastAsia="Times New Roman" w:hAnsi="Times New Roman" w:cs="Times New Roman"/>
            <w:color w:val="0000FF"/>
            <w:sz w:val="24"/>
            <w:szCs w:val="24"/>
            <w:u w:val="single"/>
          </w:rPr>
          <w:t>https://doi.org/10.1016/j.schres.2014.01.013</w:t>
        </w:r>
      </w:hyperlink>
    </w:p>
    <w:p w14:paraId="03254A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Sigmundsdottir, L., Tchan, M. C., Knopman, A. A., Menzies, G. C., Batchelor, J., &amp; Sillence, D. O. (2014). Cognitive and psychological functioning in Fabry disease.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(7), 642–650. </w:t>
      </w:r>
      <w:hyperlink r:id="rId5347" w:history="1">
        <w:r w:rsidRPr="0074138E">
          <w:rPr>
            <w:rFonts w:ascii="Times New Roman" w:eastAsia="Times New Roman" w:hAnsi="Times New Roman" w:cs="Times New Roman"/>
            <w:color w:val="0000FF"/>
            <w:sz w:val="24"/>
            <w:szCs w:val="24"/>
            <w:u w:val="single"/>
          </w:rPr>
          <w:t>https://doi.org/10.1093/arclin/acu047</w:t>
        </w:r>
      </w:hyperlink>
    </w:p>
    <w:p w14:paraId="48B236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Sikoglu, E. M., Liso Navarro, A. A., Czerniak, S. M., McCafferty, J., Eisenstock, J., Stevenson, J. H., King, J. A., &amp; Moore, C. M. (2015). Effects of recent concussion on brain bioenergetics: A phosphorus-31 magnetic resonance spectroscopy study.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(4), 181–187. </w:t>
      </w:r>
      <w:hyperlink r:id="rId5348" w:history="1">
        <w:r w:rsidRPr="0074138E">
          <w:rPr>
            <w:rFonts w:ascii="Times New Roman" w:eastAsia="Times New Roman" w:hAnsi="Times New Roman" w:cs="Times New Roman"/>
            <w:color w:val="0000FF"/>
            <w:sz w:val="24"/>
            <w:szCs w:val="24"/>
            <w:u w:val="single"/>
          </w:rPr>
          <w:t>https://doi.org/10.1097/WNN.0000000000000076</w:t>
        </w:r>
      </w:hyperlink>
    </w:p>
    <w:p w14:paraId="77D4EED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Silberstein, R. B., Ciorciari, J., &amp; Pipingas, A. (1995). Steady-state visually evoked potential topography during the Wisconsin card sorting test. </w:t>
      </w:r>
      <w:r w:rsidRPr="0074138E">
        <w:rPr>
          <w:rFonts w:ascii="Times New Roman" w:eastAsia="Times New Roman" w:hAnsi="Times New Roman" w:cs="Times New Roman"/>
          <w:i/>
          <w:iCs/>
          <w:sz w:val="24"/>
          <w:szCs w:val="24"/>
        </w:rPr>
        <w:t>Electroencephalography &amp; Clinical Neurophysiology: Evoked Potentials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96</w:t>
      </w:r>
      <w:r w:rsidRPr="0074138E">
        <w:rPr>
          <w:rFonts w:ascii="Times New Roman" w:eastAsia="Times New Roman" w:hAnsi="Times New Roman" w:cs="Times New Roman"/>
          <w:sz w:val="24"/>
          <w:szCs w:val="24"/>
        </w:rPr>
        <w:t xml:space="preserve">(1), 24–35. </w:t>
      </w:r>
      <w:hyperlink r:id="rId5349" w:history="1">
        <w:r w:rsidRPr="0074138E">
          <w:rPr>
            <w:rFonts w:ascii="Times New Roman" w:eastAsia="Times New Roman" w:hAnsi="Times New Roman" w:cs="Times New Roman"/>
            <w:color w:val="0000FF"/>
            <w:sz w:val="24"/>
            <w:szCs w:val="24"/>
            <w:u w:val="single"/>
          </w:rPr>
          <w:t>https://doi.org/10.1016/0013-4694(94)00189-R</w:t>
        </w:r>
      </w:hyperlink>
    </w:p>
    <w:p w14:paraId="3EDBEE3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Silfvernagel, K., Westlinder, A., Andersson, S., Bergman, K., Hernandez, R. D., Fallhagen, L., Lundqvist, I., Masri, N., Viberg, L., Forsberg, M.-L., Lind, M., Berger, T., Carlbring, P., &amp; Andersson, G. (2018). Individually tailored internet-based cognitive behaviour therapy for older adults with anxiety and depression: A randomised controlled trial. </w:t>
      </w:r>
      <w:r w:rsidRPr="0074138E">
        <w:rPr>
          <w:rFonts w:ascii="Times New Roman" w:eastAsia="Times New Roman" w:hAnsi="Times New Roman" w:cs="Times New Roman"/>
          <w:i/>
          <w:iCs/>
          <w:sz w:val="24"/>
          <w:szCs w:val="24"/>
        </w:rPr>
        <w:t>Cognitive Behaviour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(4), 286–300. </w:t>
      </w:r>
      <w:hyperlink r:id="rId5350" w:history="1">
        <w:r w:rsidRPr="0074138E">
          <w:rPr>
            <w:rFonts w:ascii="Times New Roman" w:eastAsia="Times New Roman" w:hAnsi="Times New Roman" w:cs="Times New Roman"/>
            <w:color w:val="0000FF"/>
            <w:sz w:val="24"/>
            <w:szCs w:val="24"/>
            <w:u w:val="single"/>
          </w:rPr>
          <w:t>https://doi.org/10.1080/16506073.2017.1388276</w:t>
        </w:r>
      </w:hyperlink>
    </w:p>
    <w:p w14:paraId="164ED0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Silva, K. L., Rovaris, D. L., Guimarães‐da‐Silva, P. O., Victor, M. M., Salgado, C. A. I., Vitola, E. S., Contini, V., Bertuzzi, G., Picon, F. A., Karam, R. G., Belmonte‐de‐Abreu, P., Rohde, L. A., Grevet, E. H., &amp; Bau, C. H. D. (2014). Could comorbid bipolar disorder account for a significant share of executive function deficits in adults with attention‐deficit hyperactivity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(3), 270–276. </w:t>
      </w:r>
      <w:hyperlink r:id="rId5351" w:history="1">
        <w:r w:rsidRPr="0074138E">
          <w:rPr>
            <w:rFonts w:ascii="Times New Roman" w:eastAsia="Times New Roman" w:hAnsi="Times New Roman" w:cs="Times New Roman"/>
            <w:color w:val="0000FF"/>
            <w:sz w:val="24"/>
            <w:szCs w:val="24"/>
            <w:u w:val="single"/>
          </w:rPr>
          <w:t>https://doi.org/10.1111/bdi.12158</w:t>
        </w:r>
      </w:hyperlink>
    </w:p>
    <w:p w14:paraId="689090A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Silva, T., Monteiro, L., &amp; Lopes, E. (2014). INECO frontal screening: An instrument to assess executive dysfunction in schizophrenia. </w:t>
      </w:r>
      <w:r w:rsidRPr="0074138E">
        <w:rPr>
          <w:rFonts w:ascii="Times New Roman" w:eastAsia="Times New Roman" w:hAnsi="Times New Roman" w:cs="Times New Roman"/>
          <w:i/>
          <w:iCs/>
          <w:sz w:val="24"/>
          <w:szCs w:val="24"/>
        </w:rPr>
        <w:t>The Spanish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 </w:t>
      </w:r>
      <w:hyperlink r:id="rId5352" w:history="1">
        <w:r w:rsidRPr="0074138E">
          <w:rPr>
            <w:rFonts w:ascii="Times New Roman" w:eastAsia="Times New Roman" w:hAnsi="Times New Roman" w:cs="Times New Roman"/>
            <w:color w:val="0000FF"/>
            <w:sz w:val="24"/>
            <w:szCs w:val="24"/>
            <w:u w:val="single"/>
          </w:rPr>
          <w:t>https://doi.org/10.1017/sjp.2014.22</w:t>
        </w:r>
      </w:hyperlink>
    </w:p>
    <w:p w14:paraId="0D09981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Silva-Filho, J. H., Pasian, S. R., &amp; de Assis Carvalho do Vale, F. (2007). Typical performance of elderly patients with Alzheimer disease on the Wisconsin Card Sorting Test (WCST).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(2), 181–189. </w:t>
      </w:r>
      <w:hyperlink r:id="rId5353" w:history="1">
        <w:r w:rsidRPr="0074138E">
          <w:rPr>
            <w:rFonts w:ascii="Times New Roman" w:eastAsia="Times New Roman" w:hAnsi="Times New Roman" w:cs="Times New Roman"/>
            <w:color w:val="0000FF"/>
            <w:sz w:val="24"/>
            <w:szCs w:val="24"/>
            <w:u w:val="single"/>
          </w:rPr>
          <w:t>https://doi.org/10.1590/s1980-57642008dn10200011</w:t>
        </w:r>
      </w:hyperlink>
    </w:p>
    <w:p w14:paraId="441D03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Silver, H., &amp; Bilker, W. B. (2013). Pathways to similar executive impairment: Comparison of schizophrenia patients and healthy aging individuals.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210</w:t>
      </w:r>
      <w:r w:rsidRPr="0074138E">
        <w:rPr>
          <w:rFonts w:ascii="Times New Roman" w:eastAsia="Times New Roman" w:hAnsi="Times New Roman" w:cs="Times New Roman"/>
          <w:sz w:val="24"/>
          <w:szCs w:val="24"/>
        </w:rPr>
        <w:t xml:space="preserve">(3), 694–701. </w:t>
      </w:r>
      <w:hyperlink r:id="rId5354" w:history="1">
        <w:r w:rsidRPr="0074138E">
          <w:rPr>
            <w:rFonts w:ascii="Times New Roman" w:eastAsia="Times New Roman" w:hAnsi="Times New Roman" w:cs="Times New Roman"/>
            <w:color w:val="0000FF"/>
            <w:sz w:val="24"/>
            <w:szCs w:val="24"/>
            <w:u w:val="single"/>
          </w:rPr>
          <w:t>https://doi.org/10.1016/j.psychres.2013.07.031</w:t>
        </w:r>
      </w:hyperlink>
    </w:p>
    <w:p w14:paraId="282D47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Silverstein, S. M., Wallace, C. J., &amp; Schenkel, L. S. (2005). The Micro-Module Learning Tests: Work-Sample Assessments of Responsiveness to Skills Training.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73–83. </w:t>
      </w:r>
      <w:hyperlink r:id="rId5355" w:history="1">
        <w:r w:rsidRPr="0074138E">
          <w:rPr>
            <w:rFonts w:ascii="Times New Roman" w:eastAsia="Times New Roman" w:hAnsi="Times New Roman" w:cs="Times New Roman"/>
            <w:color w:val="0000FF"/>
            <w:sz w:val="24"/>
            <w:szCs w:val="24"/>
            <w:u w:val="single"/>
          </w:rPr>
          <w:t>https://doi.org/10.1093/schbul/sbi008</w:t>
        </w:r>
      </w:hyperlink>
    </w:p>
    <w:p w14:paraId="6C1681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Silvia, O., Patricia, S., Damián, C., Brenda, G., Walter, S., Luciana, D., Estela, C., Patricia, S., &amp; Silvia, K. (2003). Mesial temporal lobe epilepsy and hippocampal sclerosis: Cognitive function assessment in Hispanic patients.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(6), 717–722. </w:t>
      </w:r>
      <w:hyperlink r:id="rId5356" w:history="1">
        <w:r w:rsidRPr="0074138E">
          <w:rPr>
            <w:rFonts w:ascii="Times New Roman" w:eastAsia="Times New Roman" w:hAnsi="Times New Roman" w:cs="Times New Roman"/>
            <w:color w:val="0000FF"/>
            <w:sz w:val="24"/>
            <w:szCs w:val="24"/>
            <w:u w:val="single"/>
          </w:rPr>
          <w:t>https://doi.org/10.1016/j.yebeh.2003.09.008</w:t>
        </w:r>
      </w:hyperlink>
    </w:p>
    <w:p w14:paraId="367B0A4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 K., Chan, W.-Y., Woon, P.-S., Low, H.-Q., Lim, L., Yang, G.-L., Lee, J., Chong, S. A., Sitoh, Y.-Y., Chan, Y. H., Liu, J., Tan, E. C., Williams, H., &amp; Nowinski, W. L. (2012). ARVCF genetic influences on neurocognitive and neuroanatomical intermediate phenotypes in Chinese patients with schizophrenia. </w:t>
      </w:r>
      <w:r w:rsidRPr="0074138E">
        <w:rPr>
          <w:rFonts w:ascii="Times New Roman" w:eastAsia="Times New Roman" w:hAnsi="Times New Roman" w:cs="Times New Roman"/>
          <w:i/>
          <w:iCs/>
          <w:sz w:val="24"/>
          <w:szCs w:val="24"/>
        </w:rPr>
        <w:t>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73</w:t>
      </w:r>
      <w:r w:rsidRPr="0074138E">
        <w:rPr>
          <w:rFonts w:ascii="Times New Roman" w:eastAsia="Times New Roman" w:hAnsi="Times New Roman" w:cs="Times New Roman"/>
          <w:sz w:val="24"/>
          <w:szCs w:val="24"/>
        </w:rPr>
        <w:t xml:space="preserve">(3), 320–326. </w:t>
      </w:r>
      <w:hyperlink r:id="rId5357" w:history="1">
        <w:r w:rsidRPr="0074138E">
          <w:rPr>
            <w:rFonts w:ascii="Times New Roman" w:eastAsia="Times New Roman" w:hAnsi="Times New Roman" w:cs="Times New Roman"/>
            <w:color w:val="0000FF"/>
            <w:sz w:val="24"/>
            <w:szCs w:val="24"/>
            <w:u w:val="single"/>
          </w:rPr>
          <w:t>https://doi.org/10.4088/JCP.10m06491</w:t>
        </w:r>
      </w:hyperlink>
    </w:p>
    <w:p w14:paraId="2946BD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 K., Yang, G. L., Loh, D., Poon, L. Y., Sitoh, Y. Y., Verma, S., Keefe, R., Collinson, S., Chong, S. A., Heckers, S., Nowinski, W., &amp; Pantelis, C. (2009). White matter abnormalities and neurocognitive deficits associated with the passivity phenomenon in schizophrenia: A diffusion tensor imaging study.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172</w:t>
      </w:r>
      <w:r w:rsidRPr="0074138E">
        <w:rPr>
          <w:rFonts w:ascii="Times New Roman" w:eastAsia="Times New Roman" w:hAnsi="Times New Roman" w:cs="Times New Roman"/>
          <w:sz w:val="24"/>
          <w:szCs w:val="24"/>
        </w:rPr>
        <w:t xml:space="preserve">(2), 121–127. </w:t>
      </w:r>
      <w:hyperlink r:id="rId5358" w:history="1">
        <w:r w:rsidRPr="0074138E">
          <w:rPr>
            <w:rFonts w:ascii="Times New Roman" w:eastAsia="Times New Roman" w:hAnsi="Times New Roman" w:cs="Times New Roman"/>
            <w:color w:val="0000FF"/>
            <w:sz w:val="24"/>
            <w:szCs w:val="24"/>
            <w:u w:val="single"/>
          </w:rPr>
          <w:t>https://doi.org/10.1016/j.pscychresns.2009.02.003</w:t>
        </w:r>
      </w:hyperlink>
    </w:p>
    <w:p w14:paraId="19E98A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Simard, F., Monetta, L., Nagano-Saito, A., &amp; Monchi, O. (2013). A new lexical card-sorting task for studying fronto-striatal contribution to processing language rules. </w:t>
      </w:r>
      <w:r w:rsidRPr="0074138E">
        <w:rPr>
          <w:rFonts w:ascii="Times New Roman" w:eastAsia="Times New Roman" w:hAnsi="Times New Roman" w:cs="Times New Roman"/>
          <w:i/>
          <w:iCs/>
          <w:sz w:val="24"/>
          <w:szCs w:val="24"/>
        </w:rPr>
        <w:t>Brain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(3), 295–306. </w:t>
      </w:r>
      <w:hyperlink r:id="rId5359" w:history="1">
        <w:r w:rsidRPr="0074138E">
          <w:rPr>
            <w:rFonts w:ascii="Times New Roman" w:eastAsia="Times New Roman" w:hAnsi="Times New Roman" w:cs="Times New Roman"/>
            <w:color w:val="0000FF"/>
            <w:sz w:val="24"/>
            <w:szCs w:val="24"/>
            <w:u w:val="single"/>
          </w:rPr>
          <w:t>https://doi.org/10.1016/j.bandl.2011.08.002</w:t>
        </w:r>
      </w:hyperlink>
    </w:p>
    <w:p w14:paraId="2F78C2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Simard, S., Rouleau, I., Brosseau, J., Laframboise, M., &amp; Bojanowsky, M. (2003). Impact of executive dysfunctions on episodic memory abilities in patients with ruptured aneurysm of the anterior communicating artery.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(2), 354–358. </w:t>
      </w:r>
      <w:hyperlink r:id="rId5360" w:history="1">
        <w:r w:rsidRPr="0074138E">
          <w:rPr>
            <w:rFonts w:ascii="Times New Roman" w:eastAsia="Times New Roman" w:hAnsi="Times New Roman" w:cs="Times New Roman"/>
            <w:color w:val="0000FF"/>
            <w:sz w:val="24"/>
            <w:szCs w:val="24"/>
            <w:u w:val="single"/>
          </w:rPr>
          <w:t>https://doi.org/10.1016/S0278-2626(03)00142-8</w:t>
        </w:r>
      </w:hyperlink>
    </w:p>
    <w:p w14:paraId="46C575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Simmons, G. M. J. (1996). </w:t>
      </w:r>
      <w:r w:rsidRPr="0074138E">
        <w:rPr>
          <w:rFonts w:ascii="Times New Roman" w:eastAsia="Times New Roman" w:hAnsi="Times New Roman" w:cs="Times New Roman"/>
          <w:i/>
          <w:iCs/>
          <w:sz w:val="24"/>
          <w:szCs w:val="24"/>
        </w:rPr>
        <w:t>Frontal-lobe neuropsychological dysfunction in psychopathic prison inmates.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(1-B), 711–711.</w:t>
      </w:r>
    </w:p>
    <w:p w14:paraId="203D6C8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Berger, G. E., Giacomini, V., Ferrero, F., &amp; Mohr, S. (2006). Insight, symptoms and executive functions in schizophrenia.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(5), 437–451. </w:t>
      </w:r>
      <w:hyperlink r:id="rId5361" w:history="1">
        <w:r w:rsidRPr="0074138E">
          <w:rPr>
            <w:rFonts w:ascii="Times New Roman" w:eastAsia="Times New Roman" w:hAnsi="Times New Roman" w:cs="Times New Roman"/>
            <w:color w:val="0000FF"/>
            <w:sz w:val="24"/>
            <w:szCs w:val="24"/>
            <w:u w:val="single"/>
          </w:rPr>
          <w:t>https://doi.org/10.1080/13546800444000308</w:t>
        </w:r>
      </w:hyperlink>
    </w:p>
    <w:p w14:paraId="6F79AA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Cattapan-Ludewig, K., Zmilacher, S., Arbach, D., Gruber, K., Dvorsky, D. N., Roth, B., Isler, E., Zimmer, A., &amp; Umbricht, D. (2007). Cognitive functioning in the schizophrenia prodrome.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(3), 761–771. </w:t>
      </w:r>
      <w:hyperlink r:id="rId5362" w:history="1">
        <w:r w:rsidRPr="0074138E">
          <w:rPr>
            <w:rFonts w:ascii="Times New Roman" w:eastAsia="Times New Roman" w:hAnsi="Times New Roman" w:cs="Times New Roman"/>
            <w:color w:val="0000FF"/>
            <w:sz w:val="24"/>
            <w:szCs w:val="24"/>
            <w:u w:val="single"/>
          </w:rPr>
          <w:t>https://doi.org/10.1093/schbul/sbm018</w:t>
        </w:r>
      </w:hyperlink>
    </w:p>
    <w:p w14:paraId="299184F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Dvorsky, D. N., Boesch, J., Roth, B., Isler, E., Schueler, P., Petralli, C., &amp; Umbricht, D. (2006). Defining subjects at risk for psychosis: A comparison of two approaches.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81</w:t>
      </w:r>
      <w:r w:rsidRPr="0074138E">
        <w:rPr>
          <w:rFonts w:ascii="Times New Roman" w:eastAsia="Times New Roman" w:hAnsi="Times New Roman" w:cs="Times New Roman"/>
          <w:sz w:val="24"/>
          <w:szCs w:val="24"/>
        </w:rPr>
        <w:t xml:space="preserve">(1), 83–90. </w:t>
      </w:r>
      <w:hyperlink r:id="rId5363" w:history="1">
        <w:r w:rsidRPr="0074138E">
          <w:rPr>
            <w:rFonts w:ascii="Times New Roman" w:eastAsia="Times New Roman" w:hAnsi="Times New Roman" w:cs="Times New Roman"/>
            <w:color w:val="0000FF"/>
            <w:sz w:val="24"/>
            <w:szCs w:val="24"/>
            <w:u w:val="single"/>
          </w:rPr>
          <w:t>https://doi.org/10.1016/j.schres.2005.10.006</w:t>
        </w:r>
      </w:hyperlink>
    </w:p>
    <w:p w14:paraId="4EA707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E., Giacomini, V., Ferrero, F., &amp; Mohr, S. (2003). Is executive function associated with symptom severity in schizophrenia?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253</w:t>
      </w:r>
      <w:r w:rsidRPr="0074138E">
        <w:rPr>
          <w:rFonts w:ascii="Times New Roman" w:eastAsia="Times New Roman" w:hAnsi="Times New Roman" w:cs="Times New Roman"/>
          <w:sz w:val="24"/>
          <w:szCs w:val="24"/>
        </w:rPr>
        <w:t xml:space="preserve">(4), 216–218. </w:t>
      </w:r>
      <w:hyperlink r:id="rId5364" w:history="1">
        <w:r w:rsidRPr="0074138E">
          <w:rPr>
            <w:rFonts w:ascii="Times New Roman" w:eastAsia="Times New Roman" w:hAnsi="Times New Roman" w:cs="Times New Roman"/>
            <w:color w:val="0000FF"/>
            <w:sz w:val="24"/>
            <w:szCs w:val="24"/>
            <w:u w:val="single"/>
          </w:rPr>
          <w:t>https://doi.org/10.1007/s00406-003-0421-x</w:t>
        </w:r>
      </w:hyperlink>
    </w:p>
    <w:p w14:paraId="78D842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A., Walterfang, M., Petralli, C., &amp; Velakoulis, D. (2009). First-episode ‘coenesthetic’ schizophrenia presenting with alien hand syndrome and partial agenesis of the corpus callosum.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(3–4), 118–122. </w:t>
      </w:r>
      <w:hyperlink r:id="rId5365" w:history="1">
        <w:r w:rsidRPr="0074138E">
          <w:rPr>
            <w:rFonts w:ascii="Times New Roman" w:eastAsia="Times New Roman" w:hAnsi="Times New Roman" w:cs="Times New Roman"/>
            <w:color w:val="0000FF"/>
            <w:sz w:val="24"/>
            <w:szCs w:val="24"/>
            <w:u w:val="single"/>
          </w:rPr>
          <w:t>https://doi.org/10.1159/000170392</w:t>
        </w:r>
      </w:hyperlink>
    </w:p>
    <w:p w14:paraId="1B7FB3C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S. L., Dean, A. C., Cordova, X., Monterosso, J. R., &amp; London, E. D. (2010). Methamphetamine dependence and neuropsychological functioning: Evaluating change during early abstinence. </w:t>
      </w:r>
      <w:r w:rsidRPr="0074138E">
        <w:rPr>
          <w:rFonts w:ascii="Times New Roman" w:eastAsia="Times New Roman" w:hAnsi="Times New Roman" w:cs="Times New Roman"/>
          <w:i/>
          <w:iCs/>
          <w:sz w:val="24"/>
          <w:szCs w:val="24"/>
        </w:rPr>
        <w:t>Journal of Studies on Alcohol and Drugs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 xml:space="preserve">(3), 335–344. </w:t>
      </w:r>
      <w:hyperlink r:id="rId5366" w:history="1">
        <w:r w:rsidRPr="0074138E">
          <w:rPr>
            <w:rFonts w:ascii="Times New Roman" w:eastAsia="Times New Roman" w:hAnsi="Times New Roman" w:cs="Times New Roman"/>
            <w:color w:val="0000FF"/>
            <w:sz w:val="24"/>
            <w:szCs w:val="24"/>
            <w:u w:val="single"/>
          </w:rPr>
          <w:t>https://doi.org/10.15288/jsad.2010.71.335</w:t>
        </w:r>
      </w:hyperlink>
    </w:p>
    <w:p w14:paraId="0D20F5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 V., De Hert, M., Wampers, M., Peuskens, J., &amp; van Winkel, R. (2009). The relation between neurocognitive dysfunction and impaired insight in patients with schizophrenia.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(4), 239–243. </w:t>
      </w:r>
      <w:hyperlink r:id="rId5367" w:history="1">
        <w:r w:rsidRPr="0074138E">
          <w:rPr>
            <w:rFonts w:ascii="Times New Roman" w:eastAsia="Times New Roman" w:hAnsi="Times New Roman" w:cs="Times New Roman"/>
            <w:color w:val="0000FF"/>
            <w:sz w:val="24"/>
            <w:szCs w:val="24"/>
            <w:u w:val="single"/>
          </w:rPr>
          <w:t>https://doi.org/10.1016/j.eurpsy.2008.10.004</w:t>
        </w:r>
      </w:hyperlink>
    </w:p>
    <w:p w14:paraId="4477BE7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Simón-Martínez, V., Laseca-Zaballa, G., Lubrini, G., Periáñez, J. A., Martínez Álvarez, R., Torres-Díaz, C. V., Martínez Moreno, N., Álvarez-Linera, J., &amp; Ríos-Lago, M. (2021). Cognitive deficits and clinical symptoms in patients with treatment-refractory obsessive–compulsive disorder: The role of slowness in information processing.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304</w:t>
      </w:r>
      <w:r w:rsidRPr="0074138E">
        <w:rPr>
          <w:rFonts w:ascii="Times New Roman" w:eastAsia="Times New Roman" w:hAnsi="Times New Roman" w:cs="Times New Roman"/>
          <w:sz w:val="24"/>
          <w:szCs w:val="24"/>
        </w:rPr>
        <w:t xml:space="preserve">. </w:t>
      </w:r>
      <w:hyperlink r:id="rId5368" w:history="1">
        <w:r w:rsidRPr="0074138E">
          <w:rPr>
            <w:rFonts w:ascii="Times New Roman" w:eastAsia="Times New Roman" w:hAnsi="Times New Roman" w:cs="Times New Roman"/>
            <w:color w:val="0000FF"/>
            <w:sz w:val="24"/>
            <w:szCs w:val="24"/>
            <w:u w:val="single"/>
          </w:rPr>
          <w:t>https://doi.org/10.1016/j.psychres.2021.114143</w:t>
        </w:r>
      </w:hyperlink>
    </w:p>
    <w:p w14:paraId="40D1C7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Simons, J. S., Verfaellie, M., Galton, C. J., Miller, B. L., Hodges, J. R., &amp; Graham, K. S. (2002). Recollection-based memory in frontotemporal dementia: Implications for theories of long-term memory.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(11), 2523–2536. </w:t>
      </w:r>
      <w:hyperlink r:id="rId5369" w:history="1">
        <w:r w:rsidRPr="0074138E">
          <w:rPr>
            <w:rFonts w:ascii="Times New Roman" w:eastAsia="Times New Roman" w:hAnsi="Times New Roman" w:cs="Times New Roman"/>
            <w:color w:val="0000FF"/>
            <w:sz w:val="24"/>
            <w:szCs w:val="24"/>
            <w:u w:val="single"/>
          </w:rPr>
          <w:t>https://doi.org/10.1093/brain/awf247</w:t>
        </w:r>
      </w:hyperlink>
    </w:p>
    <w:p w14:paraId="4AE6DEE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Simón-Sánchezá, J., Dopper, E. G. P., Cohn-Hokke, P. E., Hukema, R. K., Nicolaou, N., Seelaar, H., de Graaf, J. R. A., de Koning, I., van Schoor, N. M., Deeg, D. J. H., Smits, M., Raaphorst, J., van den Berg, L. H., Schelhaas, H. J., De Die-Smulders, C. E. M., Majoor-Krakauer, D., Rozemuller, A. J. M., Willemsen, R., Pijnenburg, Y. A. L., … van Swieten, J. C. (2012). The clinical and pathological phenotype of C9ORF72 hexanucleotide repeat expansions.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135</w:t>
      </w:r>
      <w:r w:rsidRPr="0074138E">
        <w:rPr>
          <w:rFonts w:ascii="Times New Roman" w:eastAsia="Times New Roman" w:hAnsi="Times New Roman" w:cs="Times New Roman"/>
          <w:sz w:val="24"/>
          <w:szCs w:val="24"/>
        </w:rPr>
        <w:t xml:space="preserve">(3), 723–735. </w:t>
      </w:r>
      <w:hyperlink r:id="rId5370" w:history="1">
        <w:r w:rsidRPr="0074138E">
          <w:rPr>
            <w:rFonts w:ascii="Times New Roman" w:eastAsia="Times New Roman" w:hAnsi="Times New Roman" w:cs="Times New Roman"/>
            <w:color w:val="0000FF"/>
            <w:sz w:val="24"/>
            <w:szCs w:val="24"/>
            <w:u w:val="single"/>
          </w:rPr>
          <w:t>https://doi.org/10.1093/brain/awr353</w:t>
        </w:r>
      </w:hyperlink>
    </w:p>
    <w:p w14:paraId="16029C6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Simor, P., Zavecz, Z., Horváth, K., Éltető, N., Török, C., Pesthy, O., Gombos, F., Janacsek, K., &amp; Nemeth, D. (2019). Deconstructing procedural memory: Different learning trajectories and consolidation of sequence and statistical learning.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 </w:t>
      </w:r>
      <w:hyperlink r:id="rId5371" w:history="1">
        <w:r w:rsidRPr="0074138E">
          <w:rPr>
            <w:rFonts w:ascii="Times New Roman" w:eastAsia="Times New Roman" w:hAnsi="Times New Roman" w:cs="Times New Roman"/>
            <w:color w:val="0000FF"/>
            <w:sz w:val="24"/>
            <w:szCs w:val="24"/>
            <w:u w:val="single"/>
          </w:rPr>
          <w:t>https://doi.org/10.3389/fpsyg.2018.02708</w:t>
        </w:r>
      </w:hyperlink>
    </w:p>
    <w:p w14:paraId="7D3652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Simpson, G. M., Loebel, A., Warrington, L., &amp; Yang, R. (2006). Efficacy and tolerability of ziprasidone and olanzapine in acutely ill inpatients with schizophrenia or schizoaffective disorder: Results of a double-blind, six-week study, with a six-month, double-blind, continuation phase. In </w:t>
      </w:r>
      <w:r w:rsidRPr="0074138E">
        <w:rPr>
          <w:rFonts w:ascii="Times New Roman" w:eastAsia="Times New Roman" w:hAnsi="Times New Roman" w:cs="Times New Roman"/>
          <w:i/>
          <w:iCs/>
          <w:sz w:val="24"/>
          <w:szCs w:val="24"/>
        </w:rPr>
        <w:t>Progress in neurotherapeutics and neuropsychopharmacology.</w:t>
      </w:r>
      <w:r w:rsidRPr="0074138E">
        <w:rPr>
          <w:rFonts w:ascii="Times New Roman" w:eastAsia="Times New Roman" w:hAnsi="Times New Roman" w:cs="Times New Roman"/>
          <w:sz w:val="24"/>
          <w:szCs w:val="24"/>
        </w:rPr>
        <w:t xml:space="preserve"> (pp. 149–163). Cambridge University Press. </w:t>
      </w:r>
      <w:hyperlink r:id="rId5372" w:history="1">
        <w:r w:rsidRPr="0074138E">
          <w:rPr>
            <w:rFonts w:ascii="Times New Roman" w:eastAsia="Times New Roman" w:hAnsi="Times New Roman" w:cs="Times New Roman"/>
            <w:color w:val="0000FF"/>
            <w:sz w:val="24"/>
            <w:szCs w:val="24"/>
            <w:u w:val="single"/>
          </w:rPr>
          <w:t>https://doi.org/10.1017/CBO9780511663529.014</w:t>
        </w:r>
      </w:hyperlink>
    </w:p>
    <w:p w14:paraId="280B2F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Simpson, H. B., &amp; Liebowttz, M. R. (2006). Best Practice in Treating Obsessive-Compulsive Disorder: What the Evidence Says. In </w:t>
      </w:r>
      <w:r w:rsidRPr="0074138E">
        <w:rPr>
          <w:rFonts w:ascii="Times New Roman" w:eastAsia="Times New Roman" w:hAnsi="Times New Roman" w:cs="Times New Roman"/>
          <w:i/>
          <w:iCs/>
          <w:sz w:val="24"/>
          <w:szCs w:val="24"/>
        </w:rPr>
        <w:t>Pathological anxiety: Emotional processing in etiology and treatment.</w:t>
      </w:r>
      <w:r w:rsidRPr="0074138E">
        <w:rPr>
          <w:rFonts w:ascii="Times New Roman" w:eastAsia="Times New Roman" w:hAnsi="Times New Roman" w:cs="Times New Roman"/>
          <w:sz w:val="24"/>
          <w:szCs w:val="24"/>
        </w:rPr>
        <w:t xml:space="preserve"> (pp. 132–146). The Guilford Press.</w:t>
      </w:r>
    </w:p>
    <w:p w14:paraId="5026D7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Simpson, H. B., Rosen, W., Huppert, J. D., Lin, S.-H., Foa, E. B., &amp; Liebowitz, M. R. (2006). Are there reliable neuropsychological deficits in obsessive-compulsive disorder?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 xml:space="preserve">(3), 247–257. </w:t>
      </w:r>
      <w:hyperlink r:id="rId5373" w:history="1">
        <w:r w:rsidRPr="0074138E">
          <w:rPr>
            <w:rFonts w:ascii="Times New Roman" w:eastAsia="Times New Roman" w:hAnsi="Times New Roman" w:cs="Times New Roman"/>
            <w:color w:val="0000FF"/>
            <w:sz w:val="24"/>
            <w:szCs w:val="24"/>
            <w:u w:val="single"/>
          </w:rPr>
          <w:t>https://doi.org/10.1016/j.jpsychires.2005.04.004</w:t>
        </w:r>
      </w:hyperlink>
    </w:p>
    <w:p w14:paraId="7D184D8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Sims, R. C., Levy, S.-A., Mwendwa, D. T., Callender, C. O., &amp; Campbell Jr., A. L. (2011). The influence of functional social support on executive functioning in middle-aged African Americans.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414–431. </w:t>
      </w:r>
      <w:hyperlink r:id="rId5374" w:history="1">
        <w:r w:rsidRPr="0074138E">
          <w:rPr>
            <w:rFonts w:ascii="Times New Roman" w:eastAsia="Times New Roman" w:hAnsi="Times New Roman" w:cs="Times New Roman"/>
            <w:color w:val="0000FF"/>
            <w:sz w:val="24"/>
            <w:szCs w:val="24"/>
            <w:u w:val="single"/>
          </w:rPr>
          <w:t>https://doi.org/10.1080/13825585.2011.567325</w:t>
        </w:r>
      </w:hyperlink>
    </w:p>
    <w:p w14:paraId="2864136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Sinclair, S. J., Bello, I., Nyer, M., Slavin-Mulford, J., Stein, M. B., Renna, M., Antonius, D., &amp; Blais, M. A. (2012). The Suicide (SPI) and Violence Potential indices (VPI) from the Personality Assessment Inventory: A preliminary exploration of validity in an outpatient psychiatric sample. </w:t>
      </w:r>
      <w:r w:rsidRPr="0074138E">
        <w:rPr>
          <w:rFonts w:ascii="Times New Roman" w:eastAsia="Times New Roman" w:hAnsi="Times New Roman" w:cs="Times New Roman"/>
          <w:i/>
          <w:iCs/>
          <w:sz w:val="24"/>
          <w:szCs w:val="24"/>
        </w:rPr>
        <w:t>Journal of Psychopathology and Behavioral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(3), 423–431. </w:t>
      </w:r>
      <w:hyperlink r:id="rId5375" w:history="1">
        <w:r w:rsidRPr="0074138E">
          <w:rPr>
            <w:rFonts w:ascii="Times New Roman" w:eastAsia="Times New Roman" w:hAnsi="Times New Roman" w:cs="Times New Roman"/>
            <w:color w:val="0000FF"/>
            <w:sz w:val="24"/>
            <w:szCs w:val="24"/>
            <w:u w:val="single"/>
          </w:rPr>
          <w:t>https://doi.org/10.1007/s10862-012-9277-6</w:t>
        </w:r>
      </w:hyperlink>
    </w:p>
    <w:p w14:paraId="224865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Sinclair, S. J., Slavin-Mulford, J., Antonius, D., Stein, M. B., Siefert, C. J., Haggerty, G., Malone, J. C., O’Keefe, S., &amp; Blais, M. A. (2013). Development and preliminary validation of the Level of Care Index (LOCI) from the Personality Assessment Inventory (PAI) in a psychiatric sample. </w:t>
      </w:r>
      <w:r w:rsidRPr="0074138E">
        <w:rPr>
          <w:rFonts w:ascii="Times New Roman" w:eastAsia="Times New Roman" w:hAnsi="Times New Roman" w:cs="Times New Roman"/>
          <w:i/>
          <w:iCs/>
          <w:sz w:val="24"/>
          <w:szCs w:val="24"/>
        </w:rPr>
        <w:t>Psychological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606–617. </w:t>
      </w:r>
      <w:hyperlink r:id="rId5376" w:history="1">
        <w:r w:rsidRPr="0074138E">
          <w:rPr>
            <w:rFonts w:ascii="Times New Roman" w:eastAsia="Times New Roman" w:hAnsi="Times New Roman" w:cs="Times New Roman"/>
            <w:color w:val="0000FF"/>
            <w:sz w:val="24"/>
            <w:szCs w:val="24"/>
            <w:u w:val="single"/>
          </w:rPr>
          <w:t>https://doi.org/10.1037/a0032085</w:t>
        </w:r>
      </w:hyperlink>
    </w:p>
    <w:p w14:paraId="4E6AC3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Sinforiani, E., Zucchella, C., &amp; Pasotti, C. (2007). Cognitive disturbances in non-demented subjects: Heterogeneity of neuropsychological pictures. </w:t>
      </w:r>
      <w:r w:rsidRPr="0074138E">
        <w:rPr>
          <w:rFonts w:ascii="Times New Roman" w:eastAsia="Times New Roman" w:hAnsi="Times New Roman" w:cs="Times New Roman"/>
          <w:i/>
          <w:iCs/>
          <w:sz w:val="24"/>
          <w:szCs w:val="24"/>
        </w:rPr>
        <w:t>Archives of Gerontology and 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(Suppl 1), 375–380. </w:t>
      </w:r>
      <w:hyperlink r:id="rId5377" w:history="1">
        <w:r w:rsidRPr="0074138E">
          <w:rPr>
            <w:rFonts w:ascii="Times New Roman" w:eastAsia="Times New Roman" w:hAnsi="Times New Roman" w:cs="Times New Roman"/>
            <w:color w:val="0000FF"/>
            <w:sz w:val="24"/>
            <w:szCs w:val="24"/>
            <w:u w:val="single"/>
          </w:rPr>
          <w:t>https://doi.org/10.1016/j.archger.2007.01.052</w:t>
        </w:r>
      </w:hyperlink>
    </w:p>
    <w:p w14:paraId="70DEDE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Singh, D., Mattoo, S. K., Grove, S., &amp; Kohli, A. (2015). Effect of co-morbid depression on neurocognitive functioning in patients with obsessive-compulsive disorder: A study from India. </w:t>
      </w:r>
      <w:r w:rsidRPr="0074138E">
        <w:rPr>
          <w:rFonts w:ascii="Times New Roman" w:eastAsia="Times New Roman" w:hAnsi="Times New Roman" w:cs="Times New Roman"/>
          <w:i/>
          <w:iCs/>
          <w:sz w:val="24"/>
          <w:szCs w:val="24"/>
        </w:rPr>
        <w:t>East Asian Archives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(1), 3–15.</w:t>
      </w:r>
    </w:p>
    <w:p w14:paraId="310CF8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Singh, S. M., Basu, D., Kohli, A., &amp; Prabhakar, S. (2009). Auditory P300 event-related potentials and neurocognitive functions in opioid dependent men and their brothers. </w:t>
      </w:r>
      <w:r w:rsidRPr="0074138E">
        <w:rPr>
          <w:rFonts w:ascii="Times New Roman" w:eastAsia="Times New Roman" w:hAnsi="Times New Roman" w:cs="Times New Roman"/>
          <w:i/>
          <w:iCs/>
          <w:sz w:val="24"/>
          <w:szCs w:val="24"/>
        </w:rPr>
        <w:t>The American Journal on Addictions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198–205. </w:t>
      </w:r>
      <w:hyperlink r:id="rId5378" w:history="1">
        <w:r w:rsidRPr="0074138E">
          <w:rPr>
            <w:rFonts w:ascii="Times New Roman" w:eastAsia="Times New Roman" w:hAnsi="Times New Roman" w:cs="Times New Roman"/>
            <w:color w:val="0000FF"/>
            <w:sz w:val="24"/>
            <w:szCs w:val="24"/>
            <w:u w:val="single"/>
          </w:rPr>
          <w:t>https://doi.org/10.1080/10550490902786975</w:t>
        </w:r>
      </w:hyperlink>
    </w:p>
    <w:p w14:paraId="599ABE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Sinopoli, K. J., &amp; Dennis, M. (2012). Inhibitory control after traumatic brain injury in children. </w:t>
      </w:r>
      <w:r w:rsidRPr="0074138E">
        <w:rPr>
          <w:rFonts w:ascii="Times New Roman" w:eastAsia="Times New Roman" w:hAnsi="Times New Roman" w:cs="Times New Roman"/>
          <w:i/>
          <w:iCs/>
          <w:sz w:val="24"/>
          <w:szCs w:val="24"/>
        </w:rPr>
        <w:t>International Journal of Developmental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(3), 207–215. </w:t>
      </w:r>
      <w:hyperlink r:id="rId5379" w:history="1">
        <w:r w:rsidRPr="0074138E">
          <w:rPr>
            <w:rFonts w:ascii="Times New Roman" w:eastAsia="Times New Roman" w:hAnsi="Times New Roman" w:cs="Times New Roman"/>
            <w:color w:val="0000FF"/>
            <w:sz w:val="24"/>
            <w:szCs w:val="24"/>
            <w:u w:val="single"/>
          </w:rPr>
          <w:t>https://doi.org/10.1016/j.ijdevneu.2011.08.006</w:t>
        </w:r>
      </w:hyperlink>
    </w:p>
    <w:p w14:paraId="2080A10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Sinzig, J., Morsch, D., Bruning, N., Schmidt, M. H., &amp; Lehmkuhl, G. (2008). Inhibition, flexibility, working memory and planning in autism spectrum disorders with and without comorbid ADHD-symptoms. </w:t>
      </w:r>
      <w:r w:rsidRPr="0074138E">
        <w:rPr>
          <w:rFonts w:ascii="Times New Roman" w:eastAsia="Times New Roman" w:hAnsi="Times New Roman" w:cs="Times New Roman"/>
          <w:i/>
          <w:iCs/>
          <w:sz w:val="24"/>
          <w:szCs w:val="24"/>
        </w:rPr>
        <w:t>Child and Adolescent Psychiatry and Mental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 xml:space="preserve">. </w:t>
      </w:r>
      <w:hyperlink r:id="rId5380" w:history="1">
        <w:r w:rsidRPr="0074138E">
          <w:rPr>
            <w:rFonts w:ascii="Times New Roman" w:eastAsia="Times New Roman" w:hAnsi="Times New Roman" w:cs="Times New Roman"/>
            <w:color w:val="0000FF"/>
            <w:sz w:val="24"/>
            <w:szCs w:val="24"/>
            <w:u w:val="single"/>
          </w:rPr>
          <w:t>https://doi.org/10.1186/1753-2000-2-4</w:t>
        </w:r>
      </w:hyperlink>
    </w:p>
    <w:p w14:paraId="01AE10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Sipal, R. F., &amp; Bayhan, P. (2010). Assessing the link between executive functions and aggressive behaviours of chldren who are deaf: Impact of early special education. </w:t>
      </w:r>
      <w:r w:rsidRPr="0074138E">
        <w:rPr>
          <w:rFonts w:ascii="Times New Roman" w:eastAsia="Times New Roman" w:hAnsi="Times New Roman" w:cs="Times New Roman"/>
          <w:i/>
          <w:iCs/>
          <w:sz w:val="24"/>
          <w:szCs w:val="24"/>
        </w:rPr>
        <w:t>Electronic Journal of Research in Educational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(3), 991–1014.</w:t>
      </w:r>
    </w:p>
    <w:p w14:paraId="0DBC47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Sipal, R. F., &amp; Bayhan, P. (2011). Do deaf children delay in their executive functioning due to their delayed language abilities? </w:t>
      </w:r>
      <w:r w:rsidRPr="0074138E">
        <w:rPr>
          <w:rFonts w:ascii="Times New Roman" w:eastAsia="Times New Roman" w:hAnsi="Times New Roman" w:cs="Times New Roman"/>
          <w:i/>
          <w:iCs/>
          <w:sz w:val="24"/>
          <w:szCs w:val="24"/>
        </w:rPr>
        <w:t>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 xml:space="preserve">(7), 737–742. </w:t>
      </w:r>
      <w:hyperlink r:id="rId5381" w:history="1">
        <w:r w:rsidRPr="0074138E">
          <w:rPr>
            <w:rFonts w:ascii="Times New Roman" w:eastAsia="Times New Roman" w:hAnsi="Times New Roman" w:cs="Times New Roman"/>
            <w:color w:val="0000FF"/>
            <w:sz w:val="24"/>
            <w:szCs w:val="24"/>
            <w:u w:val="single"/>
          </w:rPr>
          <w:t>https://doi.org/10.4236/psych.2011.27113</w:t>
        </w:r>
      </w:hyperlink>
    </w:p>
    <w:p w14:paraId="0B0873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Sisco, S. M., Slonena, E., Okun, M. S., Bowers, D., &amp; Price, C. C. (2016). Parkinson’s disease and the Stroop color word test: Processing speed and interference algorithms.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(7), 1104–1117. </w:t>
      </w:r>
      <w:hyperlink r:id="rId5382" w:history="1">
        <w:r w:rsidRPr="0074138E">
          <w:rPr>
            <w:rFonts w:ascii="Times New Roman" w:eastAsia="Times New Roman" w:hAnsi="Times New Roman" w:cs="Times New Roman"/>
            <w:color w:val="0000FF"/>
            <w:sz w:val="24"/>
            <w:szCs w:val="24"/>
            <w:u w:val="single"/>
          </w:rPr>
          <w:t>https://doi.org/10.1080/13854046.2016.1188989</w:t>
        </w:r>
      </w:hyperlink>
    </w:p>
    <w:p w14:paraId="5E4D53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Sistiaga, A., Camaño, P., Otaegui, D., Ibáñez, B., Ruiz-Martinez, J., Martí-Massó, J. F., &amp; de Munain, A. L. (2009). Cognitive function in facioscapulohumeral dystrophy correlates with the molecular defect. </w:t>
      </w:r>
      <w:r w:rsidRPr="0074138E">
        <w:rPr>
          <w:rFonts w:ascii="Times New Roman" w:eastAsia="Times New Roman" w:hAnsi="Times New Roman" w:cs="Times New Roman"/>
          <w:i/>
          <w:iCs/>
          <w:sz w:val="24"/>
          <w:szCs w:val="24"/>
        </w:rPr>
        <w:t>Genes, Brain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(1), 53–59. </w:t>
      </w:r>
      <w:hyperlink r:id="rId5383" w:history="1">
        <w:r w:rsidRPr="0074138E">
          <w:rPr>
            <w:rFonts w:ascii="Times New Roman" w:eastAsia="Times New Roman" w:hAnsi="Times New Roman" w:cs="Times New Roman"/>
            <w:color w:val="0000FF"/>
            <w:sz w:val="24"/>
            <w:szCs w:val="24"/>
            <w:u w:val="single"/>
          </w:rPr>
          <w:t>https://doi.org/10.1111/j.1601-183X.2008.00442.x</w:t>
        </w:r>
      </w:hyperlink>
    </w:p>
    <w:p w14:paraId="577FE1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Sitek, E. J., Barczak, A., Narożańska, E., Chodakowska-Żebrowska, M., Jasińska-Myga, B., Brockhuis, B., Berdyński, M., Wieczorek, D., Żekanowski, C., Konieczna, S., Barcikowska, M., Wszołek, Z. K., &amp; Sławek, J. (2011). The role of neuropsychological assessment in the detection of early symptoms in frontotemporal dementia and parkinsonism linked to chromosome 17 (FTDP-17). </w:t>
      </w:r>
      <w:r w:rsidRPr="0074138E">
        <w:rPr>
          <w:rFonts w:ascii="Times New Roman" w:eastAsia="Times New Roman" w:hAnsi="Times New Roman" w:cs="Times New Roman"/>
          <w:i/>
          <w:iCs/>
          <w:sz w:val="24"/>
          <w:szCs w:val="24"/>
        </w:rPr>
        <w:t>Acta Neuropsychologica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(2), 209–226.</w:t>
      </w:r>
    </w:p>
    <w:p w14:paraId="6009DC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Sitek, E. J., Narozanska, E., Barczak, A., Jasinska-Myga, B., Harciarek, M., Chodakowska-Zebrowska, M., Kubiak, M., Wieczorek, D., Konieczna, S., Rademakers, R., Baker, M., Berdynski, M., Brockhuis, B., Barcikowska, M., Zekanowski, C., Heilman, K. M., Wszolek, Z. K., &amp; Slawek, J. (2014). Agraphia in patients with frontotemporal dementia and parkinsonism linked to chromosome 17 with P301L MAPT mutation: Dysexecutive, aphasic, apraxic or spatial phenomenon?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 69–86. </w:t>
      </w:r>
      <w:hyperlink r:id="rId5384" w:history="1">
        <w:r w:rsidRPr="0074138E">
          <w:rPr>
            <w:rFonts w:ascii="Times New Roman" w:eastAsia="Times New Roman" w:hAnsi="Times New Roman" w:cs="Times New Roman"/>
            <w:color w:val="0000FF"/>
            <w:sz w:val="24"/>
            <w:szCs w:val="24"/>
            <w:u w:val="single"/>
          </w:rPr>
          <w:t>https://doi.org/10.1080/13554794.2012.732087</w:t>
        </w:r>
      </w:hyperlink>
    </w:p>
    <w:p w14:paraId="756260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Situ, W., Zhu, X., &amp; Tan, C. (2010). Three dimensional MRI of male schizophrenia patients and the relationship between their symptoms and brain structure. [Three dimensional MRI of male schizophrenia patients and the relationship between their symptoms and brain structure.]. </w:t>
      </w:r>
      <w:r w:rsidRPr="0074138E">
        <w:rPr>
          <w:rFonts w:ascii="Times New Roman" w:eastAsia="Times New Roman" w:hAnsi="Times New Roman" w:cs="Times New Roman"/>
          <w:i/>
          <w:iCs/>
          <w:sz w:val="24"/>
          <w:szCs w:val="24"/>
        </w:rPr>
        <w:t>Chinese Journal of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(2), 149–151.</w:t>
      </w:r>
    </w:p>
    <w:p w14:paraId="5A12C3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Siu, A. F. Y., &amp; Zhou, Y. (2014). Behavioral assessment of the dysexecutive syndrome for children: An examination of clinical utility for children with attention-deficit hyperactivity disorder (ADHD). </w:t>
      </w:r>
      <w:r w:rsidRPr="0074138E">
        <w:rPr>
          <w:rFonts w:ascii="Times New Roman" w:eastAsia="Times New Roman" w:hAnsi="Times New Roman" w:cs="Times New Roman"/>
          <w:i/>
          <w:iCs/>
          <w:sz w:val="24"/>
          <w:szCs w:val="24"/>
        </w:rPr>
        <w:t>Journal of Child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(5), 608–616. </w:t>
      </w:r>
      <w:hyperlink r:id="rId5385" w:history="1">
        <w:r w:rsidRPr="0074138E">
          <w:rPr>
            <w:rFonts w:ascii="Times New Roman" w:eastAsia="Times New Roman" w:hAnsi="Times New Roman" w:cs="Times New Roman"/>
            <w:color w:val="0000FF"/>
            <w:sz w:val="24"/>
            <w:szCs w:val="24"/>
            <w:u w:val="single"/>
          </w:rPr>
          <w:t>https://doi.org/10.1177/0883073813516191</w:t>
        </w:r>
      </w:hyperlink>
    </w:p>
    <w:p w14:paraId="1CED65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Siuda, K., Chrobak, A. A., Starowicz-Filip, A., Tereszko, A., &amp; Dudek, D. (2014). Zaburzenia emocjonalne u pacjentów z uszkodzeniem móżdżku—Studium przypadków. [Emotional disorders in patients with cerebellar damage—Case studies.]. </w:t>
      </w:r>
      <w:r w:rsidRPr="0074138E">
        <w:rPr>
          <w:rFonts w:ascii="Times New Roman" w:eastAsia="Times New Roman" w:hAnsi="Times New Roman" w:cs="Times New Roman"/>
          <w:i/>
          <w:iCs/>
          <w:sz w:val="24"/>
          <w:szCs w:val="24"/>
        </w:rPr>
        <w:t>Psychiatria Polska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(2), 289–297.</w:t>
      </w:r>
    </w:p>
    <w:p w14:paraId="5A48F5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Sixel-Döring, F., Trautmann, E., Mollenhauer, B., &amp; Trenkwalder, C. (2014). Rapid eye movement sleep behavioral events: A new marker for neurodegeneration in early Parkinson disease? </w:t>
      </w:r>
      <w:r w:rsidRPr="0074138E">
        <w:rPr>
          <w:rFonts w:ascii="Times New Roman" w:eastAsia="Times New Roman" w:hAnsi="Times New Roman" w:cs="Times New Roman"/>
          <w:i/>
          <w:iCs/>
          <w:sz w:val="24"/>
          <w:szCs w:val="24"/>
        </w:rPr>
        <w:t>Sleep: Journal of Sleep and Sleep Disorders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(3), 431–438. </w:t>
      </w:r>
      <w:hyperlink r:id="rId5386" w:history="1">
        <w:r w:rsidRPr="0074138E">
          <w:rPr>
            <w:rFonts w:ascii="Times New Roman" w:eastAsia="Times New Roman" w:hAnsi="Times New Roman" w:cs="Times New Roman"/>
            <w:color w:val="0000FF"/>
            <w:sz w:val="24"/>
            <w:szCs w:val="24"/>
            <w:u w:val="single"/>
          </w:rPr>
          <w:t>https://doi.org/10.5665/sleep.3468</w:t>
        </w:r>
      </w:hyperlink>
    </w:p>
    <w:p w14:paraId="3BEC54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Sjöberg, R. L., Lidman, E., Häggström, B., Hariz, M. I., Linder, J., Fredricks, A., &amp; Blomstedt, P. (2012). Verbal fluency in patients receiving bilateral versus left-sided deep brain stimulation of the subthalamic nucleus for Parkinson’s disease.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606–611. </w:t>
      </w:r>
      <w:hyperlink r:id="rId5387" w:history="1">
        <w:r w:rsidRPr="0074138E">
          <w:rPr>
            <w:rFonts w:ascii="Times New Roman" w:eastAsia="Times New Roman" w:hAnsi="Times New Roman" w:cs="Times New Roman"/>
            <w:color w:val="0000FF"/>
            <w:sz w:val="24"/>
            <w:szCs w:val="24"/>
            <w:u w:val="single"/>
          </w:rPr>
          <w:t>https://doi.org/10.1017/S1355617711001925</w:t>
        </w:r>
      </w:hyperlink>
    </w:p>
    <w:p w14:paraId="747369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Skjerve, A., &amp; Brenne, L. (2003). Frontotemporal demens—Kjennetegn, diagnostikk og behandlingstiltak. [Frontotemporal dementia—Characteristics, diagnostics and treatment.]. </w:t>
      </w:r>
      <w:r w:rsidRPr="0074138E">
        <w:rPr>
          <w:rFonts w:ascii="Times New Roman" w:eastAsia="Times New Roman" w:hAnsi="Times New Roman" w:cs="Times New Roman"/>
          <w:i/>
          <w:iCs/>
          <w:sz w:val="24"/>
          <w:szCs w:val="24"/>
        </w:rPr>
        <w:t>Tidsskrift for Norsk Psykologforening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40</w:t>
      </w:r>
      <w:r w:rsidRPr="0074138E">
        <w:rPr>
          <w:rFonts w:ascii="Times New Roman" w:eastAsia="Times New Roman" w:hAnsi="Times New Roman" w:cs="Times New Roman"/>
          <w:sz w:val="24"/>
          <w:szCs w:val="24"/>
        </w:rPr>
        <w:t>(5), 390–397.</w:t>
      </w:r>
    </w:p>
    <w:p w14:paraId="0AACD9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Skranes, J., Løhaugen, G. C. C., Evensen, K. A. I., Indredavik, M. S., Haraldseth, O., Dale, A. M., Brubakk, A.-M., &amp; Martinussen, M. (2012). Entorhinal cortical thinning affects perceptual and cognitive functions in adolescents born preterm with very low birth weight (VLBW). </w:t>
      </w:r>
      <w:r w:rsidRPr="0074138E">
        <w:rPr>
          <w:rFonts w:ascii="Times New Roman" w:eastAsia="Times New Roman" w:hAnsi="Times New Roman" w:cs="Times New Roman"/>
          <w:i/>
          <w:iCs/>
          <w:sz w:val="24"/>
          <w:szCs w:val="24"/>
        </w:rPr>
        <w:t>Early Human Development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88</w:t>
      </w:r>
      <w:r w:rsidRPr="0074138E">
        <w:rPr>
          <w:rFonts w:ascii="Times New Roman" w:eastAsia="Times New Roman" w:hAnsi="Times New Roman" w:cs="Times New Roman"/>
          <w:sz w:val="24"/>
          <w:szCs w:val="24"/>
        </w:rPr>
        <w:t xml:space="preserve">(2), 103–109. </w:t>
      </w:r>
      <w:hyperlink r:id="rId5388" w:history="1">
        <w:r w:rsidRPr="0074138E">
          <w:rPr>
            <w:rFonts w:ascii="Times New Roman" w:eastAsia="Times New Roman" w:hAnsi="Times New Roman" w:cs="Times New Roman"/>
            <w:color w:val="0000FF"/>
            <w:sz w:val="24"/>
            <w:szCs w:val="24"/>
            <w:u w:val="single"/>
          </w:rPr>
          <w:t>https://doi.org/10.1016/j.earlhumdev.2011.07.017</w:t>
        </w:r>
      </w:hyperlink>
    </w:p>
    <w:p w14:paraId="241243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Skvortsova, V., Degos, B., Welter, M.-L., Vidailhet, M., &amp; Pessiglione, M. (2017). A selective role for dopamine in learning to maximize reward but not to minimize effort: Evidence from patients with Parkinson’s disease.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(25), 6087–6097. </w:t>
      </w:r>
      <w:hyperlink r:id="rId5389" w:history="1">
        <w:r w:rsidRPr="0074138E">
          <w:rPr>
            <w:rFonts w:ascii="Times New Roman" w:eastAsia="Times New Roman" w:hAnsi="Times New Roman" w:cs="Times New Roman"/>
            <w:color w:val="0000FF"/>
            <w:sz w:val="24"/>
            <w:szCs w:val="24"/>
            <w:u w:val="single"/>
          </w:rPr>
          <w:t>https://doi.org/10.1523/JNEUROSCI.2081-16.2017</w:t>
        </w:r>
      </w:hyperlink>
    </w:p>
    <w:p w14:paraId="6BA798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Slaats-Willemse, D. I. E., Swaab-Barneveld, H. J. T., de Sonneville, L. M. J., &amp; Buitelaar, J. K. (2007). Family-genetic study of executive functioning in attention-deficit/hyperactivity disorder: Evidence for an endophenotype?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(6), 751–760. </w:t>
      </w:r>
      <w:hyperlink r:id="rId5390" w:history="1">
        <w:r w:rsidRPr="0074138E">
          <w:rPr>
            <w:rFonts w:ascii="Times New Roman" w:eastAsia="Times New Roman" w:hAnsi="Times New Roman" w:cs="Times New Roman"/>
            <w:color w:val="0000FF"/>
            <w:sz w:val="24"/>
            <w:szCs w:val="24"/>
            <w:u w:val="single"/>
          </w:rPr>
          <w:t>https://doi.org/10.1037/0894-4105.21.6.751</w:t>
        </w:r>
      </w:hyperlink>
    </w:p>
    <w:p w14:paraId="178C4C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Slachevsky, A., Barraza, P., Hornberger, M., Muñoz-Neira, C., Flanagan, E., Henríquez, F., Bravo, E., Farías, M., &amp; Delgado, C. (2018). Neuroanatomical comparison of the “word” and “picture” versions of the free and cued selective reminding test in Alzheimer’s disease.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(2), 589–600. </w:t>
      </w:r>
      <w:hyperlink r:id="rId5391" w:history="1">
        <w:r w:rsidRPr="0074138E">
          <w:rPr>
            <w:rFonts w:ascii="Times New Roman" w:eastAsia="Times New Roman" w:hAnsi="Times New Roman" w:cs="Times New Roman"/>
            <w:color w:val="0000FF"/>
            <w:sz w:val="24"/>
            <w:szCs w:val="24"/>
            <w:u w:val="single"/>
          </w:rPr>
          <w:t>https://doi.org/10.3233/JAD-160973</w:t>
        </w:r>
      </w:hyperlink>
    </w:p>
    <w:p w14:paraId="7C4C62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Slachevsky, A., Guzmán-Martínez, L., Delgado, C., Reyes, P., Farías, G. A., Muñoz-Neira, C., Bravo, E., Farías, M., Flores, P., Garrido, C., Becker, J. T., López, O. L., &amp; Maccioni, R. B. (2017). Tau platelets correlate with regional brain atrophy in patients with Alzheimer’s disease.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(4), 1595–1603. </w:t>
      </w:r>
      <w:hyperlink r:id="rId5392" w:history="1">
        <w:r w:rsidRPr="0074138E">
          <w:rPr>
            <w:rFonts w:ascii="Times New Roman" w:eastAsia="Times New Roman" w:hAnsi="Times New Roman" w:cs="Times New Roman"/>
            <w:color w:val="0000FF"/>
            <w:sz w:val="24"/>
            <w:szCs w:val="24"/>
            <w:u w:val="single"/>
          </w:rPr>
          <w:t>https://doi.org/10.3233/JAD-160652</w:t>
        </w:r>
      </w:hyperlink>
    </w:p>
    <w:p w14:paraId="19662C6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Slako, F. (2003). </w:t>
      </w:r>
      <w:r w:rsidRPr="0074138E">
        <w:rPr>
          <w:rFonts w:ascii="Times New Roman" w:eastAsia="Times New Roman" w:hAnsi="Times New Roman" w:cs="Times New Roman"/>
          <w:i/>
          <w:iCs/>
          <w:sz w:val="24"/>
          <w:szCs w:val="24"/>
        </w:rPr>
        <w:t>The role of frontal lobes in hypnotizability and episodic memory.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63</w:t>
      </w:r>
      <w:r w:rsidRPr="0074138E">
        <w:rPr>
          <w:rFonts w:ascii="Times New Roman" w:eastAsia="Times New Roman" w:hAnsi="Times New Roman" w:cs="Times New Roman"/>
          <w:sz w:val="24"/>
          <w:szCs w:val="24"/>
        </w:rPr>
        <w:t>(12-B), 6136–6136.</w:t>
      </w:r>
    </w:p>
    <w:p w14:paraId="7FC242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Sleezer, B. J., Castagno, M. D., &amp; Hayden, B. Y. (2016). Rule encoding in orbitofrontal cortex and striatum guides selection.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(44), 11223–11237. </w:t>
      </w:r>
      <w:hyperlink r:id="rId5393" w:history="1">
        <w:r w:rsidRPr="0074138E">
          <w:rPr>
            <w:rFonts w:ascii="Times New Roman" w:eastAsia="Times New Roman" w:hAnsi="Times New Roman" w:cs="Times New Roman"/>
            <w:color w:val="0000FF"/>
            <w:sz w:val="24"/>
            <w:szCs w:val="24"/>
            <w:u w:val="single"/>
          </w:rPr>
          <w:t>https://doi.org/10.1523/JNEUROSCI.1766-16.2016</w:t>
        </w:r>
      </w:hyperlink>
    </w:p>
    <w:p w14:paraId="5A74CB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Sleezer, B. J., &amp; Hayden, B. Y. (2016). Differential contributions of ventral and dorsal striatum to early and late phases of cognitive set reconfiguration. </w:t>
      </w:r>
      <w:r w:rsidRPr="0074138E">
        <w:rPr>
          <w:rFonts w:ascii="Times New Roman" w:eastAsia="Times New Roman" w:hAnsi="Times New Roman" w:cs="Times New Roman"/>
          <w:i/>
          <w:iCs/>
          <w:sz w:val="24"/>
          <w:szCs w:val="24"/>
        </w:rPr>
        <w:t>Journal of Cognitive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(12), 1849–1864. </w:t>
      </w:r>
      <w:hyperlink r:id="rId5394" w:history="1">
        <w:r w:rsidRPr="0074138E">
          <w:rPr>
            <w:rFonts w:ascii="Times New Roman" w:eastAsia="Times New Roman" w:hAnsi="Times New Roman" w:cs="Times New Roman"/>
            <w:color w:val="0000FF"/>
            <w:sz w:val="24"/>
            <w:szCs w:val="24"/>
            <w:u w:val="single"/>
          </w:rPr>
          <w:t>https://doi.org/10.1162/jocn_a_01011</w:t>
        </w:r>
      </w:hyperlink>
    </w:p>
    <w:p w14:paraId="4DBC1C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Sleezer, B. J., LoConte, G. A., Castagno, M. D., &amp; Hayden, B. Y. (2017). Neuronal responses support a role for orbitofrontal cortex in cognitive set reconfiguration. </w:t>
      </w:r>
      <w:r w:rsidRPr="0074138E">
        <w:rPr>
          <w:rFonts w:ascii="Times New Roman" w:eastAsia="Times New Roman" w:hAnsi="Times New Roman" w:cs="Times New Roman"/>
          <w:i/>
          <w:iCs/>
          <w:sz w:val="24"/>
          <w:szCs w:val="24"/>
        </w:rPr>
        <w:t>European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(7), 940–951. </w:t>
      </w:r>
      <w:hyperlink r:id="rId5395" w:history="1">
        <w:r w:rsidRPr="0074138E">
          <w:rPr>
            <w:rFonts w:ascii="Times New Roman" w:eastAsia="Times New Roman" w:hAnsi="Times New Roman" w:cs="Times New Roman"/>
            <w:color w:val="0000FF"/>
            <w:sz w:val="24"/>
            <w:szCs w:val="24"/>
            <w:u w:val="single"/>
          </w:rPr>
          <w:t>https://doi.org/10.1111/ejn.13532</w:t>
        </w:r>
      </w:hyperlink>
    </w:p>
    <w:p w14:paraId="44935D8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Śliwerski, A., &amp; Bielawska-Batorowicz, E. (2019). Negative cognitive styles as risk factors for the occurrence of PMS and PMDD. </w:t>
      </w:r>
      <w:r w:rsidRPr="0074138E">
        <w:rPr>
          <w:rFonts w:ascii="Times New Roman" w:eastAsia="Times New Roman" w:hAnsi="Times New Roman" w:cs="Times New Roman"/>
          <w:i/>
          <w:iCs/>
          <w:sz w:val="24"/>
          <w:szCs w:val="24"/>
        </w:rPr>
        <w:t>Journal of Reproductive and Infant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(3), 322–337. </w:t>
      </w:r>
      <w:hyperlink r:id="rId5396" w:history="1">
        <w:r w:rsidRPr="0074138E">
          <w:rPr>
            <w:rFonts w:ascii="Times New Roman" w:eastAsia="Times New Roman" w:hAnsi="Times New Roman" w:cs="Times New Roman"/>
            <w:color w:val="0000FF"/>
            <w:sz w:val="24"/>
            <w:szCs w:val="24"/>
            <w:u w:val="single"/>
          </w:rPr>
          <w:t>https://doi.org/10.1080/02646838.2018.1543943</w:t>
        </w:r>
      </w:hyperlink>
    </w:p>
    <w:p w14:paraId="647794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Slomine, B. S., Gerring, J. P., Grados, M. A., Vasa, R., Brady, K. D., Christensen, J. R., &amp; Denckla, M. B. (2002). Performance on measures of “executive function” following pediatric taumatic brain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(9), 759–772. </w:t>
      </w:r>
      <w:hyperlink r:id="rId5397" w:history="1">
        <w:r w:rsidRPr="0074138E">
          <w:rPr>
            <w:rFonts w:ascii="Times New Roman" w:eastAsia="Times New Roman" w:hAnsi="Times New Roman" w:cs="Times New Roman"/>
            <w:color w:val="0000FF"/>
            <w:sz w:val="24"/>
            <w:szCs w:val="24"/>
            <w:u w:val="single"/>
          </w:rPr>
          <w:t>https://doi.org/10.1080/02699050210127286</w:t>
        </w:r>
      </w:hyperlink>
    </w:p>
    <w:p w14:paraId="5A8CB7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Slomine, B. S., Salorio, C. F., Grados, M. A., Vasa, R. A., Christensen, J. R., &amp; Gerring, J. P. (2005). Differences in attention, executive functioning, and memory in children with and without ADHD after severe traumatic brain injury.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(5), 645–653. </w:t>
      </w:r>
      <w:hyperlink r:id="rId5398" w:history="1">
        <w:r w:rsidRPr="0074138E">
          <w:rPr>
            <w:rFonts w:ascii="Times New Roman" w:eastAsia="Times New Roman" w:hAnsi="Times New Roman" w:cs="Times New Roman"/>
            <w:color w:val="0000FF"/>
            <w:sz w:val="24"/>
            <w:szCs w:val="24"/>
            <w:u w:val="single"/>
          </w:rPr>
          <w:t>https://doi.org/10.1017/S1355617705050769</w:t>
        </w:r>
      </w:hyperlink>
    </w:p>
    <w:p w14:paraId="635F14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Slusher, A. L., Patterson, V. T., Schwartz, C. S., &amp; Acevedo, E. O. (2018). Impact of high intensity interval exercise on executive function and brain derived neurotrophic factor in healthy college aged males. </w:t>
      </w:r>
      <w:r w:rsidRPr="0074138E">
        <w:rPr>
          <w:rFonts w:ascii="Times New Roman" w:eastAsia="Times New Roman" w:hAnsi="Times New Roman" w:cs="Times New Roman"/>
          <w:i/>
          <w:iCs/>
          <w:sz w:val="24"/>
          <w:szCs w:val="24"/>
        </w:rPr>
        <w:t>Physiology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191</w:t>
      </w:r>
      <w:r w:rsidRPr="0074138E">
        <w:rPr>
          <w:rFonts w:ascii="Times New Roman" w:eastAsia="Times New Roman" w:hAnsi="Times New Roman" w:cs="Times New Roman"/>
          <w:sz w:val="24"/>
          <w:szCs w:val="24"/>
        </w:rPr>
        <w:t xml:space="preserve">, 116–122. </w:t>
      </w:r>
      <w:hyperlink r:id="rId5399" w:history="1">
        <w:r w:rsidRPr="0074138E">
          <w:rPr>
            <w:rFonts w:ascii="Times New Roman" w:eastAsia="Times New Roman" w:hAnsi="Times New Roman" w:cs="Times New Roman"/>
            <w:color w:val="0000FF"/>
            <w:sz w:val="24"/>
            <w:szCs w:val="24"/>
            <w:u w:val="single"/>
          </w:rPr>
          <w:t>https://doi.org/10.1016/j.physbeh.2018.04.018</w:t>
        </w:r>
      </w:hyperlink>
    </w:p>
    <w:p w14:paraId="5198BAB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Small, G. W., Kepe, V., Ercoli, L. M., Siddarth, P., Bookheimer, S. Y., Miller, K. J., Lavretsky, H., Burggren, A. C., Cole, G. M., Vinters, H. V., Thompson, P. M., Huang, S.-C., Satyamurthy, N., Phelps, M. E., &amp; Barrio, J. R. (2006). PET of Brain Amyloid and Tau in Mild Cognitive Impairment. </w:t>
      </w:r>
      <w:r w:rsidRPr="0074138E">
        <w:rPr>
          <w:rFonts w:ascii="Times New Roman" w:eastAsia="Times New Roman" w:hAnsi="Times New Roman" w:cs="Times New Roman"/>
          <w:i/>
          <w:iCs/>
          <w:sz w:val="24"/>
          <w:szCs w:val="24"/>
        </w:rPr>
        <w:t>The New England Journal of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355</w:t>
      </w:r>
      <w:r w:rsidRPr="0074138E">
        <w:rPr>
          <w:rFonts w:ascii="Times New Roman" w:eastAsia="Times New Roman" w:hAnsi="Times New Roman" w:cs="Times New Roman"/>
          <w:sz w:val="24"/>
          <w:szCs w:val="24"/>
        </w:rPr>
        <w:t xml:space="preserve">(25), 2652–2663. </w:t>
      </w:r>
      <w:hyperlink r:id="rId5400" w:history="1">
        <w:r w:rsidRPr="0074138E">
          <w:rPr>
            <w:rFonts w:ascii="Times New Roman" w:eastAsia="Times New Roman" w:hAnsi="Times New Roman" w:cs="Times New Roman"/>
            <w:color w:val="0000FF"/>
            <w:sz w:val="24"/>
            <w:szCs w:val="24"/>
            <w:u w:val="single"/>
          </w:rPr>
          <w:t>https://doi.org/10.1056/NEJMoa054625</w:t>
        </w:r>
      </w:hyperlink>
    </w:p>
    <w:p w14:paraId="6B3F9B5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Small, G. W., Siddarth, P., Burggren, A. C., Kepe, V., Ercoli, L. M., Miller, K. J., Lavretsky, H., Thompson, P. M., Cole, G. M., Huang, S. C., Phelps, M. E., Bookheimer, S. Y., &amp; Barrio, J. R. (2009). Influence of cognitive status, age, and APOE-4 genetic risk on brain FDDNP positron-emission tomography imaging in persons without dementia.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66</w:t>
      </w:r>
      <w:r w:rsidRPr="0074138E">
        <w:rPr>
          <w:rFonts w:ascii="Times New Roman" w:eastAsia="Times New Roman" w:hAnsi="Times New Roman" w:cs="Times New Roman"/>
          <w:sz w:val="24"/>
          <w:szCs w:val="24"/>
        </w:rPr>
        <w:t xml:space="preserve">(1), 81–87. </w:t>
      </w:r>
      <w:hyperlink r:id="rId5401" w:history="1">
        <w:r w:rsidRPr="0074138E">
          <w:rPr>
            <w:rFonts w:ascii="Times New Roman" w:eastAsia="Times New Roman" w:hAnsi="Times New Roman" w:cs="Times New Roman"/>
            <w:color w:val="0000FF"/>
            <w:sz w:val="24"/>
            <w:szCs w:val="24"/>
            <w:u w:val="single"/>
          </w:rPr>
          <w:t>https://doi.org/10.1001/archgenpsychiatry.2008.516</w:t>
        </w:r>
      </w:hyperlink>
    </w:p>
    <w:p w14:paraId="0236BC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Smayda, K. E., Van Engen, K. J., Maddox, W. T., &amp; Chandrasekaran, B. (2016). Audio-visual and meaningful semantic context enhancements in older and younger adults.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(3).</w:t>
      </w:r>
    </w:p>
    <w:p w14:paraId="08F33C4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Smederevac, S., Mitrović, D., Sadiković, S., Milovanović, I., Branovački, B., Dinić, B. M., Nikolašević, Ž., Kodžopeljić, J., Bugarski Ignjatović, V., Semnic, M., Vujanić Stankov, T., Vučinić, N., Oljača, M., Pajić, D., Stojadinović, A., Krstić, T., &amp; Milutinović, A. (2019). Serbian Twin Registry. </w:t>
      </w:r>
      <w:r w:rsidRPr="0074138E">
        <w:rPr>
          <w:rFonts w:ascii="Times New Roman" w:eastAsia="Times New Roman" w:hAnsi="Times New Roman" w:cs="Times New Roman"/>
          <w:i/>
          <w:iCs/>
          <w:sz w:val="24"/>
          <w:szCs w:val="24"/>
        </w:rPr>
        <w:t>Twin Research and Human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660–666. </w:t>
      </w:r>
      <w:hyperlink r:id="rId5402" w:history="1">
        <w:r w:rsidRPr="0074138E">
          <w:rPr>
            <w:rFonts w:ascii="Times New Roman" w:eastAsia="Times New Roman" w:hAnsi="Times New Roman" w:cs="Times New Roman"/>
            <w:color w:val="0000FF"/>
            <w:sz w:val="24"/>
            <w:szCs w:val="24"/>
            <w:u w:val="single"/>
          </w:rPr>
          <w:t>https://doi.org/10.1017/thg.2019.114</w:t>
        </w:r>
      </w:hyperlink>
    </w:p>
    <w:p w14:paraId="765B80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Smid, L. M., Kepe, V., Vinters, H. V., Bresjanac, M., Toyokuni, T., Satyamurthy, N., Wong, K.-P., Huang, S.-C., Silverman, D. H. S., Miller, K., Small, G. W., &amp; Barrio, J. R. (2013). Postmortem 3-D brain hemisphere cortical tau and amyloid-β pathology mapping and quantification as a validation method of neuropathology imaging.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(2), 261–274.</w:t>
      </w:r>
    </w:p>
    <w:p w14:paraId="2F5030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Smiley-Oyen, A. L., Lowry, K. A., Francois, S. J., Kohut, M. L., &amp; Ekkekakis, P. (2008). Exercise, fitness, and neurocognitive function in older adults: The “selective improvement” and “cardiovascular fitness” hypotheses. </w:t>
      </w:r>
      <w:r w:rsidRPr="0074138E">
        <w:rPr>
          <w:rFonts w:ascii="Times New Roman" w:eastAsia="Times New Roman" w:hAnsi="Times New Roman" w:cs="Times New Roman"/>
          <w:i/>
          <w:iCs/>
          <w:sz w:val="24"/>
          <w:szCs w:val="24"/>
        </w:rPr>
        <w:t>Annals of Behavioral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(3), 280–291. </w:t>
      </w:r>
      <w:hyperlink r:id="rId5403" w:history="1">
        <w:r w:rsidRPr="0074138E">
          <w:rPr>
            <w:rFonts w:ascii="Times New Roman" w:eastAsia="Times New Roman" w:hAnsi="Times New Roman" w:cs="Times New Roman"/>
            <w:color w:val="0000FF"/>
            <w:sz w:val="24"/>
            <w:szCs w:val="24"/>
            <w:u w:val="single"/>
          </w:rPr>
          <w:t>https://doi.org/10.1007/s12160-008-9064-5</w:t>
        </w:r>
      </w:hyperlink>
    </w:p>
    <w:p w14:paraId="3258CF8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Smillie, L. D., Cooper, A. J., Tharp, I. J., &amp; Pelling, E. L. (2009). Individual differences in cognitive control: The role of psychoticism and working memory in set-shifting. </w:t>
      </w:r>
      <w:r w:rsidRPr="0074138E">
        <w:rPr>
          <w:rFonts w:ascii="Times New Roman" w:eastAsia="Times New Roman" w:hAnsi="Times New Roman" w:cs="Times New Roman"/>
          <w:i/>
          <w:iCs/>
          <w:sz w:val="24"/>
          <w:szCs w:val="24"/>
        </w:rPr>
        <w:t>British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100</w:t>
      </w:r>
      <w:r w:rsidRPr="0074138E">
        <w:rPr>
          <w:rFonts w:ascii="Times New Roman" w:eastAsia="Times New Roman" w:hAnsi="Times New Roman" w:cs="Times New Roman"/>
          <w:sz w:val="24"/>
          <w:szCs w:val="24"/>
        </w:rPr>
        <w:t xml:space="preserve">(4), 629–643. </w:t>
      </w:r>
      <w:hyperlink r:id="rId5404" w:history="1">
        <w:r w:rsidRPr="0074138E">
          <w:rPr>
            <w:rFonts w:ascii="Times New Roman" w:eastAsia="Times New Roman" w:hAnsi="Times New Roman" w:cs="Times New Roman"/>
            <w:color w:val="0000FF"/>
            <w:sz w:val="24"/>
            <w:szCs w:val="24"/>
            <w:u w:val="single"/>
          </w:rPr>
          <w:t>https://doi.org/10.1348/000712608X382094</w:t>
        </w:r>
      </w:hyperlink>
    </w:p>
    <w:p w14:paraId="141DA5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Smirnov, D. S., Galasko, D., Hansen, L. A., Edland, S. D., Brewer, J. B., &amp; Salmon, D. P. (2019). Trajectories of cognitive decline differ in hippocampal sclerosis and Alzheimer’s disease. </w:t>
      </w:r>
      <w:r w:rsidRPr="0074138E">
        <w:rPr>
          <w:rFonts w:ascii="Times New Roman" w:eastAsia="Times New Roman" w:hAnsi="Times New Roman" w:cs="Times New Roman"/>
          <w:i/>
          <w:iCs/>
          <w:sz w:val="24"/>
          <w:szCs w:val="24"/>
        </w:rPr>
        <w:t>Neurobiology of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 169–177. </w:t>
      </w:r>
      <w:hyperlink r:id="rId5405" w:history="1">
        <w:r w:rsidRPr="0074138E">
          <w:rPr>
            <w:rFonts w:ascii="Times New Roman" w:eastAsia="Times New Roman" w:hAnsi="Times New Roman" w:cs="Times New Roman"/>
            <w:color w:val="0000FF"/>
            <w:sz w:val="24"/>
            <w:szCs w:val="24"/>
            <w:u w:val="single"/>
          </w:rPr>
          <w:t>https://doi.org/10.1016/j.neurobiolaging.2018.11.015</w:t>
        </w:r>
      </w:hyperlink>
    </w:p>
    <w:p w14:paraId="506373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A. K., Edgar, J. C., Huang, M., Lu, B. Y., Thoma, R. J., Hanlon, F. M., McHaffie, G., Jones, A. P., Paz, R. D., Miller, G. A., &amp; Cañive, J. M. (2010). Cognitive abilities and 50- and 100-msec paired-click processes in schizophrenia.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167</w:t>
      </w:r>
      <w:r w:rsidRPr="0074138E">
        <w:rPr>
          <w:rFonts w:ascii="Times New Roman" w:eastAsia="Times New Roman" w:hAnsi="Times New Roman" w:cs="Times New Roman"/>
          <w:sz w:val="24"/>
          <w:szCs w:val="24"/>
        </w:rPr>
        <w:t xml:space="preserve">(10), 1264–1275. </w:t>
      </w:r>
      <w:hyperlink r:id="rId5406" w:history="1">
        <w:r w:rsidRPr="0074138E">
          <w:rPr>
            <w:rFonts w:ascii="Times New Roman" w:eastAsia="Times New Roman" w:hAnsi="Times New Roman" w:cs="Times New Roman"/>
            <w:color w:val="0000FF"/>
            <w:sz w:val="24"/>
            <w:szCs w:val="24"/>
            <w:u w:val="single"/>
          </w:rPr>
          <w:t>https://doi.org/10.1176/appi.ajp.2010.09071059</w:t>
        </w:r>
      </w:hyperlink>
    </w:p>
    <w:p w14:paraId="12407E4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E. E., Eich, T. S., Cebenoyan, D., &amp; Malapani, C. (2011). Intact and impaired cognitive-control processes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126</w:t>
      </w:r>
      <w:r w:rsidRPr="0074138E">
        <w:rPr>
          <w:rFonts w:ascii="Times New Roman" w:eastAsia="Times New Roman" w:hAnsi="Times New Roman" w:cs="Times New Roman"/>
          <w:sz w:val="24"/>
          <w:szCs w:val="24"/>
        </w:rPr>
        <w:t xml:space="preserve">(1–3), 132–137. </w:t>
      </w:r>
      <w:hyperlink r:id="rId5407" w:history="1">
        <w:r w:rsidRPr="0074138E">
          <w:rPr>
            <w:rFonts w:ascii="Times New Roman" w:eastAsia="Times New Roman" w:hAnsi="Times New Roman" w:cs="Times New Roman"/>
            <w:color w:val="0000FF"/>
            <w:sz w:val="24"/>
            <w:szCs w:val="24"/>
            <w:u w:val="single"/>
          </w:rPr>
          <w:t>https://doi.org/10.1016/j.schres.2010.11.022</w:t>
        </w:r>
      </w:hyperlink>
    </w:p>
    <w:p w14:paraId="4F384B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E. E., Smith, J. A. D., &amp; Juengst, S. B. (2020). Cognitive process scores associated with self-reported behavioral dysfunction on the Frontal Systems Behavior Scale (FrSBe) in chronic traumatic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(1), 90–100. </w:t>
      </w:r>
      <w:hyperlink r:id="rId5408" w:history="1">
        <w:r w:rsidRPr="0074138E">
          <w:rPr>
            <w:rFonts w:ascii="Times New Roman" w:eastAsia="Times New Roman" w:hAnsi="Times New Roman" w:cs="Times New Roman"/>
            <w:color w:val="0000FF"/>
            <w:sz w:val="24"/>
            <w:szCs w:val="24"/>
            <w:u w:val="single"/>
          </w:rPr>
          <w:t>https://doi.org/10.1080/13803395.2019.1676882</w:t>
        </w:r>
      </w:hyperlink>
    </w:p>
    <w:p w14:paraId="3DB9DB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E., Hay, P., &amp; Raman, J. (2015). Cognitive remediation therapy for obesity. In </w:t>
      </w:r>
      <w:r w:rsidRPr="0074138E">
        <w:rPr>
          <w:rFonts w:ascii="Times New Roman" w:eastAsia="Times New Roman" w:hAnsi="Times New Roman" w:cs="Times New Roman"/>
          <w:i/>
          <w:iCs/>
          <w:sz w:val="24"/>
          <w:szCs w:val="24"/>
        </w:rPr>
        <w:t>Cognitive remediation therapy (CRT) for eating and weight disorders.</w:t>
      </w:r>
      <w:r w:rsidRPr="0074138E">
        <w:rPr>
          <w:rFonts w:ascii="Times New Roman" w:eastAsia="Times New Roman" w:hAnsi="Times New Roman" w:cs="Times New Roman"/>
          <w:sz w:val="24"/>
          <w:szCs w:val="24"/>
        </w:rPr>
        <w:t xml:space="preserve"> (pp. 176–191). Routledge/Taylor &amp; Francis Group.</w:t>
      </w:r>
    </w:p>
    <w:p w14:paraId="1E2A1EF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G. E., &amp; Bondi, M. W. (2013). </w:t>
      </w:r>
      <w:r w:rsidRPr="0074138E">
        <w:rPr>
          <w:rFonts w:ascii="Times New Roman" w:eastAsia="Times New Roman" w:hAnsi="Times New Roman" w:cs="Times New Roman"/>
          <w:i/>
          <w:iCs/>
          <w:sz w:val="24"/>
          <w:szCs w:val="24"/>
        </w:rPr>
        <w:t>Mild cognitive impairment and dementia: Definitions, diagnosis, and treatment.</w:t>
      </w:r>
      <w:r w:rsidRPr="0074138E">
        <w:rPr>
          <w:rFonts w:ascii="Times New Roman" w:eastAsia="Times New Roman" w:hAnsi="Times New Roman" w:cs="Times New Roman"/>
          <w:sz w:val="24"/>
          <w:szCs w:val="24"/>
        </w:rPr>
        <w:t xml:space="preserve"> (pp. xii, 403). Oxford University Press.</w:t>
      </w:r>
    </w:p>
    <w:p w14:paraId="50F31E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H. B. (1995). </w:t>
      </w:r>
      <w:r w:rsidRPr="0074138E">
        <w:rPr>
          <w:rFonts w:ascii="Times New Roman" w:eastAsia="Times New Roman" w:hAnsi="Times New Roman" w:cs="Times New Roman"/>
          <w:i/>
          <w:iCs/>
          <w:sz w:val="24"/>
          <w:szCs w:val="24"/>
        </w:rPr>
        <w:t>The Milwaukee Card Sort Test as a neuropsychological measure of the presence or absence of brain damage in an inner city African American population.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(1-B), 561–561.</w:t>
      </w:r>
    </w:p>
    <w:p w14:paraId="19EA0C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J. G., &amp; McDowall, J. (2004). Impaired Higher Order Implicit Sequence Learning on the Verbal Version of the Serial Reaction Time Task in Patients With Parkinson’s Disease.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(4), 679–691. </w:t>
      </w:r>
      <w:hyperlink r:id="rId5409" w:history="1">
        <w:r w:rsidRPr="0074138E">
          <w:rPr>
            <w:rFonts w:ascii="Times New Roman" w:eastAsia="Times New Roman" w:hAnsi="Times New Roman" w:cs="Times New Roman"/>
            <w:color w:val="0000FF"/>
            <w:sz w:val="24"/>
            <w:szCs w:val="24"/>
            <w:u w:val="single"/>
          </w:rPr>
          <w:t>https://doi.org/10.1037/0894-4105.18.4.679</w:t>
        </w:r>
      </w:hyperlink>
    </w:p>
    <w:p w14:paraId="42F175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J. G., &amp; McDowall, J. (2006). The implicit sequence learning deficit in patients with Parkinson’s disease: A matter of impaired sequence integration?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(2), 275–288. </w:t>
      </w:r>
      <w:hyperlink r:id="rId5410" w:history="1">
        <w:r w:rsidRPr="0074138E">
          <w:rPr>
            <w:rFonts w:ascii="Times New Roman" w:eastAsia="Times New Roman" w:hAnsi="Times New Roman" w:cs="Times New Roman"/>
            <w:color w:val="0000FF"/>
            <w:sz w:val="24"/>
            <w:szCs w:val="24"/>
            <w:u w:val="single"/>
          </w:rPr>
          <w:t>https://doi.org/10.1016/j.neuropsychologia.2005.05.001</w:t>
        </w:r>
      </w:hyperlink>
    </w:p>
    <w:p w14:paraId="443BC3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J. G., &amp; McDowall, J. (2011). Dissociating sequence learning performance in Parkinson’s disease: Visuomotor sequence acquisition and pattern judgment on a serial reaction time task. </w:t>
      </w:r>
      <w:r w:rsidRPr="0074138E">
        <w:rPr>
          <w:rFonts w:ascii="Times New Roman" w:eastAsia="Times New Roman" w:hAnsi="Times New Roman" w:cs="Times New Roman"/>
          <w:i/>
          <w:iCs/>
          <w:sz w:val="24"/>
          <w:szCs w:val="24"/>
        </w:rPr>
        <w:t>Acta Neurobiologiae Experimentalis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71</w:t>
      </w:r>
      <w:r w:rsidRPr="0074138E">
        <w:rPr>
          <w:rFonts w:ascii="Times New Roman" w:eastAsia="Times New Roman" w:hAnsi="Times New Roman" w:cs="Times New Roman"/>
          <w:sz w:val="24"/>
          <w:szCs w:val="24"/>
        </w:rPr>
        <w:t>(3), 359–380.</w:t>
      </w:r>
    </w:p>
    <w:p w14:paraId="43D3E03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K., Boone, K., Victor, T., Miora, D., Cottingham, M., Ziegler, E., Zeller, M., &amp; Wright, M. (2014). Comparison of credible patients of very low intelligence and non-credible patients on neurocognitive performance validity indicators.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(6), 1048–1070. </w:t>
      </w:r>
      <w:hyperlink r:id="rId5411" w:history="1">
        <w:r w:rsidRPr="0074138E">
          <w:rPr>
            <w:rFonts w:ascii="Times New Roman" w:eastAsia="Times New Roman" w:hAnsi="Times New Roman" w:cs="Times New Roman"/>
            <w:color w:val="0000FF"/>
            <w:sz w:val="24"/>
            <w:szCs w:val="24"/>
            <w:u w:val="single"/>
          </w:rPr>
          <w:t>https://doi.org/10.1080/13854046.2014.931465</w:t>
        </w:r>
      </w:hyperlink>
    </w:p>
    <w:p w14:paraId="324DC6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M. J., Barch, D. M., &amp; Csernansky, J. G. (2009). Bridging the gap between schizophrenia and psychotic mood disorders: Relating neurocognitive deficits to psychopathology.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107</w:t>
      </w:r>
      <w:r w:rsidRPr="0074138E">
        <w:rPr>
          <w:rFonts w:ascii="Times New Roman" w:eastAsia="Times New Roman" w:hAnsi="Times New Roman" w:cs="Times New Roman"/>
          <w:sz w:val="24"/>
          <w:szCs w:val="24"/>
        </w:rPr>
        <w:t xml:space="preserve">(1), 69–75. </w:t>
      </w:r>
      <w:hyperlink r:id="rId5412" w:history="1">
        <w:r w:rsidRPr="0074138E">
          <w:rPr>
            <w:rFonts w:ascii="Times New Roman" w:eastAsia="Times New Roman" w:hAnsi="Times New Roman" w:cs="Times New Roman"/>
            <w:color w:val="0000FF"/>
            <w:sz w:val="24"/>
            <w:szCs w:val="24"/>
            <w:u w:val="single"/>
          </w:rPr>
          <w:t>https://doi.org/10.1016/j.schres.2008.07.014</w:t>
        </w:r>
      </w:hyperlink>
    </w:p>
    <w:p w14:paraId="6CC4BD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M. L., Olds, J., Snyder, T., Elliott, I., Lach, L., &amp; Whiting, S. (2014). A follow-up study of cognitive function in young adults who had resective epilepsy surgery in childhood.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 79–83. </w:t>
      </w:r>
      <w:hyperlink r:id="rId5413" w:history="1">
        <w:r w:rsidRPr="0074138E">
          <w:rPr>
            <w:rFonts w:ascii="Times New Roman" w:eastAsia="Times New Roman" w:hAnsi="Times New Roman" w:cs="Times New Roman"/>
            <w:color w:val="0000FF"/>
            <w:sz w:val="24"/>
            <w:szCs w:val="24"/>
            <w:u w:val="single"/>
          </w:rPr>
          <w:t>https://doi.org/10.1016/j.yebeh.2014.01.006</w:t>
        </w:r>
      </w:hyperlink>
    </w:p>
    <w:p w14:paraId="5299FB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R. C., Kadewari, R. P., Rosenberger, J. R., &amp; Bhattacharyya, A. (1999). Nonresponding Schizophrenia: Differentiation by Neurological Soft Signs and Neuropsychological Tests.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813–825. </w:t>
      </w:r>
      <w:hyperlink r:id="rId5414" w:history="1">
        <w:r w:rsidRPr="0074138E">
          <w:rPr>
            <w:rFonts w:ascii="Times New Roman" w:eastAsia="Times New Roman" w:hAnsi="Times New Roman" w:cs="Times New Roman"/>
            <w:color w:val="0000FF"/>
            <w:sz w:val="24"/>
            <w:szCs w:val="24"/>
            <w:u w:val="single"/>
          </w:rPr>
          <w:t>https://doi.org/10.1093/oxfordjournals.schbul.a033421</w:t>
        </w:r>
      </w:hyperlink>
    </w:p>
    <w:p w14:paraId="786397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R. M., Tivarus, M., Campbell, H. L., Hillier, A., &amp; Beversdorf, D. Q. (2006). Apparent Transient Effects of Recent “Ecstasy” Use on Cognitive Performance and Extrapyramidal Signs in Human Subjects.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157–164. </w:t>
      </w:r>
      <w:hyperlink r:id="rId5415" w:history="1">
        <w:r w:rsidRPr="0074138E">
          <w:rPr>
            <w:rFonts w:ascii="Times New Roman" w:eastAsia="Times New Roman" w:hAnsi="Times New Roman" w:cs="Times New Roman"/>
            <w:color w:val="0000FF"/>
            <w:sz w:val="24"/>
            <w:szCs w:val="24"/>
            <w:u w:val="single"/>
          </w:rPr>
          <w:t>https://doi.org/10.1097/01.wnn.0000213909.41901.cc</w:t>
        </w:r>
      </w:hyperlink>
    </w:p>
    <w:p w14:paraId="1FBED8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S. R., Gorske, T. T., Wiggins, C., &amp; Little, J. A. (2010). Personality assessment use by clinical neuropsychologists. </w:t>
      </w:r>
      <w:r w:rsidRPr="0074138E">
        <w:rPr>
          <w:rFonts w:ascii="Times New Roman" w:eastAsia="Times New Roman" w:hAnsi="Times New Roman" w:cs="Times New Roman"/>
          <w:i/>
          <w:iCs/>
          <w:sz w:val="24"/>
          <w:szCs w:val="24"/>
        </w:rPr>
        <w:t>International Journal of Testing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(1), 6–20. </w:t>
      </w:r>
      <w:hyperlink r:id="rId5416" w:history="1">
        <w:r w:rsidRPr="0074138E">
          <w:rPr>
            <w:rFonts w:ascii="Times New Roman" w:eastAsia="Times New Roman" w:hAnsi="Times New Roman" w:cs="Times New Roman"/>
            <w:color w:val="0000FF"/>
            <w:sz w:val="24"/>
            <w:szCs w:val="24"/>
            <w:u w:val="single"/>
          </w:rPr>
          <w:t>https://doi.org/10.1080/15305050903534787</w:t>
        </w:r>
      </w:hyperlink>
    </w:p>
    <w:p w14:paraId="7782F03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 T. E., Hull, J. W., Huppert, J. D., Silverstein, S. M., Anthony, D. T., &amp; McClough, J. F. (2004). Insight and recovery from psychosis in chronic schizophrenia and schizoaffective disorder patients.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(2), 169–176. </w:t>
      </w:r>
      <w:hyperlink r:id="rId5417" w:history="1">
        <w:r w:rsidRPr="0074138E">
          <w:rPr>
            <w:rFonts w:ascii="Times New Roman" w:eastAsia="Times New Roman" w:hAnsi="Times New Roman" w:cs="Times New Roman"/>
            <w:color w:val="0000FF"/>
            <w:sz w:val="24"/>
            <w:szCs w:val="24"/>
            <w:u w:val="single"/>
          </w:rPr>
          <w:t>https://doi.org/10.1016/S0022-3956(03)00091-8</w:t>
        </w:r>
      </w:hyperlink>
    </w:p>
    <w:p w14:paraId="75468D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Smitherman, T. A., Huerkamp, J. K., Miller, B. I., Houle, T. T., &amp; O’Jile, J. R. (2007). The relation of depression and anxiety to measures of executive functioning in a mixed psychiatric sample.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(5), 647–654. </w:t>
      </w:r>
      <w:hyperlink r:id="rId5418" w:history="1">
        <w:r w:rsidRPr="0074138E">
          <w:rPr>
            <w:rFonts w:ascii="Times New Roman" w:eastAsia="Times New Roman" w:hAnsi="Times New Roman" w:cs="Times New Roman"/>
            <w:color w:val="0000FF"/>
            <w:sz w:val="24"/>
            <w:szCs w:val="24"/>
            <w:u w:val="single"/>
          </w:rPr>
          <w:t>https://doi.org/10.1016/j.acn.2007.04.007</w:t>
        </w:r>
      </w:hyperlink>
    </w:p>
    <w:p w14:paraId="2EBDBC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Smith-Seemiller, L., Arffa, S., &amp; Franzen, M. D. (2001). Use of Wisconsin Card Sorting Test short forms with school-age children.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(5), 489–499. </w:t>
      </w:r>
      <w:hyperlink r:id="rId5419" w:history="1">
        <w:r w:rsidRPr="0074138E">
          <w:rPr>
            <w:rFonts w:ascii="Times New Roman" w:eastAsia="Times New Roman" w:hAnsi="Times New Roman" w:cs="Times New Roman"/>
            <w:color w:val="0000FF"/>
            <w:sz w:val="24"/>
            <w:szCs w:val="24"/>
            <w:u w:val="single"/>
          </w:rPr>
          <w:t>https://doi.org/10.1016/S0887-6177(00)00062-7</w:t>
        </w:r>
      </w:hyperlink>
    </w:p>
    <w:p w14:paraId="3FE97A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Smith-Seemiller, L., Franzen, M. D., &amp; Bowers, D. (1997). Use of Wisconsin Card Sorting Test short forms in clinical samples. </w:t>
      </w:r>
      <w:r w:rsidRPr="0074138E">
        <w:rPr>
          <w:rFonts w:ascii="Times New Roman" w:eastAsia="Times New Roman" w:hAnsi="Times New Roman" w:cs="Times New Roman"/>
          <w:i/>
          <w:iCs/>
          <w:sz w:val="24"/>
          <w:szCs w:val="24"/>
        </w:rPr>
        <w:t>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(4), 421–427. </w:t>
      </w:r>
      <w:hyperlink r:id="rId5420" w:history="1">
        <w:r w:rsidRPr="0074138E">
          <w:rPr>
            <w:rFonts w:ascii="Times New Roman" w:eastAsia="Times New Roman" w:hAnsi="Times New Roman" w:cs="Times New Roman"/>
            <w:color w:val="0000FF"/>
            <w:sz w:val="24"/>
            <w:szCs w:val="24"/>
            <w:u w:val="single"/>
          </w:rPr>
          <w:t>https://doi.org/10.1080/13854049708400472</w:t>
        </w:r>
      </w:hyperlink>
    </w:p>
    <w:p w14:paraId="7B0753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Smolentseva, I. G., Sozinova, E. V., Vasenina, E. E., &amp; Levin, O. S. (2014). Characteristics of cognitive and behavioral impairments in patients with semantic dementia with predominantly right- and left-sided cerebral atrophy. </w:t>
      </w:r>
      <w:r w:rsidRPr="0074138E">
        <w:rPr>
          <w:rFonts w:ascii="Times New Roman" w:eastAsia="Times New Roman" w:hAnsi="Times New Roman" w:cs="Times New Roman"/>
          <w:i/>
          <w:iCs/>
          <w:sz w:val="24"/>
          <w:szCs w:val="24"/>
        </w:rPr>
        <w:t>Neuroscience and Behavioral 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 69–75. </w:t>
      </w:r>
      <w:hyperlink r:id="rId5421" w:history="1">
        <w:r w:rsidRPr="0074138E">
          <w:rPr>
            <w:rFonts w:ascii="Times New Roman" w:eastAsia="Times New Roman" w:hAnsi="Times New Roman" w:cs="Times New Roman"/>
            <w:color w:val="0000FF"/>
            <w:sz w:val="24"/>
            <w:szCs w:val="24"/>
            <w:u w:val="single"/>
          </w:rPr>
          <w:t>https://doi.org/10.1007/s11055-013-9875-0</w:t>
        </w:r>
      </w:hyperlink>
    </w:p>
    <w:p w14:paraId="632C13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Snethen, G. A., McCormick, B. P., &amp; Lysaker, P. H. (2014). Physical activity and psychiatric symptoms in adults with schizophrenia spectrum disorders.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202</w:t>
      </w:r>
      <w:r w:rsidRPr="0074138E">
        <w:rPr>
          <w:rFonts w:ascii="Times New Roman" w:eastAsia="Times New Roman" w:hAnsi="Times New Roman" w:cs="Times New Roman"/>
          <w:sz w:val="24"/>
          <w:szCs w:val="24"/>
        </w:rPr>
        <w:t xml:space="preserve">(12), 845–852. </w:t>
      </w:r>
      <w:hyperlink r:id="rId5422" w:history="1">
        <w:r w:rsidRPr="0074138E">
          <w:rPr>
            <w:rFonts w:ascii="Times New Roman" w:eastAsia="Times New Roman" w:hAnsi="Times New Roman" w:cs="Times New Roman"/>
            <w:color w:val="0000FF"/>
            <w:sz w:val="24"/>
            <w:szCs w:val="24"/>
            <w:u w:val="single"/>
          </w:rPr>
          <w:t>https://doi.org/10.1097/NMD.0000000000000216</w:t>
        </w:r>
      </w:hyperlink>
    </w:p>
    <w:p w14:paraId="2CF306F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Snitz, B. E. (1998). </w:t>
      </w:r>
      <w:r w:rsidRPr="0074138E">
        <w:rPr>
          <w:rFonts w:ascii="Times New Roman" w:eastAsia="Times New Roman" w:hAnsi="Times New Roman" w:cs="Times New Roman"/>
          <w:i/>
          <w:iCs/>
          <w:sz w:val="24"/>
          <w:szCs w:val="24"/>
        </w:rPr>
        <w:t>Neuropsychological correlates of spatial working memory performance in schizophrenia: Relationships among putative frontal lobe tasks.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(1-B), 428–428.</w:t>
      </w:r>
    </w:p>
    <w:p w14:paraId="025EB9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Snitz, B. E., Curtis, C. E., Zald, D. H., Katsanis, J., &amp; Iacono, W. G. (1999). Neuropsychological and oculomotor correlates of spatial working memory performance in schizophrenia patients and controls.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(1), 37–50. </w:t>
      </w:r>
      <w:hyperlink r:id="rId5423" w:history="1">
        <w:r w:rsidRPr="0074138E">
          <w:rPr>
            <w:rFonts w:ascii="Times New Roman" w:eastAsia="Times New Roman" w:hAnsi="Times New Roman" w:cs="Times New Roman"/>
            <w:color w:val="0000FF"/>
            <w:sz w:val="24"/>
            <w:szCs w:val="24"/>
            <w:u w:val="single"/>
          </w:rPr>
          <w:t>https://doi.org/10.1016/S0920-9964(98)00178-9</w:t>
        </w:r>
      </w:hyperlink>
    </w:p>
    <w:p w14:paraId="06F49FD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Snow, J. H. (1998). Developmental patterns and use of the Wisconsin Card Sorting Test for Children and adolescents with learning disabilities.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(2), 89–97. </w:t>
      </w:r>
      <w:hyperlink r:id="rId5424" w:history="1">
        <w:r w:rsidRPr="0074138E">
          <w:rPr>
            <w:rFonts w:ascii="Times New Roman" w:eastAsia="Times New Roman" w:hAnsi="Times New Roman" w:cs="Times New Roman"/>
            <w:color w:val="0000FF"/>
            <w:sz w:val="24"/>
            <w:szCs w:val="24"/>
            <w:u w:val="single"/>
          </w:rPr>
          <w:t>https://doi.org/10.1076/chin.4.2.89.3180</w:t>
        </w:r>
      </w:hyperlink>
    </w:p>
    <w:p w14:paraId="71A4D6A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Snow, J. H. (1999). Executive processes for children with spina bifida. </w:t>
      </w:r>
      <w:r w:rsidRPr="0074138E">
        <w:rPr>
          <w:rFonts w:ascii="Times New Roman" w:eastAsia="Times New Roman" w:hAnsi="Times New Roman" w:cs="Times New Roman"/>
          <w:i/>
          <w:iCs/>
          <w:sz w:val="24"/>
          <w:szCs w:val="24"/>
        </w:rPr>
        <w:t>Children’s Health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(3), 241–253. </w:t>
      </w:r>
      <w:hyperlink r:id="rId5425" w:history="1">
        <w:r w:rsidRPr="0074138E">
          <w:rPr>
            <w:rFonts w:ascii="Times New Roman" w:eastAsia="Times New Roman" w:hAnsi="Times New Roman" w:cs="Times New Roman"/>
            <w:color w:val="0000FF"/>
            <w:sz w:val="24"/>
            <w:szCs w:val="24"/>
            <w:u w:val="single"/>
          </w:rPr>
          <w:t>https://doi.org/10.1207/s15326888chc2803_3</w:t>
        </w:r>
      </w:hyperlink>
    </w:p>
    <w:p w14:paraId="5BCC4D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Snowden, J. S., Craufurd, D., Griffiths, H., Thompson, J., &amp; Neary, D. (2001). Longitudinal evaluation of cognitive disorder in Huntington’s disease.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(1), 33–44. </w:t>
      </w:r>
      <w:hyperlink r:id="rId5426" w:history="1">
        <w:r w:rsidRPr="0074138E">
          <w:rPr>
            <w:rFonts w:ascii="Times New Roman" w:eastAsia="Times New Roman" w:hAnsi="Times New Roman" w:cs="Times New Roman"/>
            <w:color w:val="0000FF"/>
            <w:sz w:val="24"/>
            <w:szCs w:val="24"/>
            <w:u w:val="single"/>
          </w:rPr>
          <w:t>https://doi.org/10.1017/S1355617701711046</w:t>
        </w:r>
      </w:hyperlink>
    </w:p>
    <w:p w14:paraId="47CA08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Snyder, H. R. (2013). Major depressive disorder is associated with broad impairments on neuropsychological measures of executive function: A meta-analysis and review. </w:t>
      </w:r>
      <w:r w:rsidRPr="0074138E">
        <w:rPr>
          <w:rFonts w:ascii="Times New Roman" w:eastAsia="Times New Roman" w:hAnsi="Times New Roman" w:cs="Times New Roman"/>
          <w:i/>
          <w:iCs/>
          <w:sz w:val="24"/>
          <w:szCs w:val="24"/>
        </w:rPr>
        <w:t>Psychological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139</w:t>
      </w:r>
      <w:r w:rsidRPr="0074138E">
        <w:rPr>
          <w:rFonts w:ascii="Times New Roman" w:eastAsia="Times New Roman" w:hAnsi="Times New Roman" w:cs="Times New Roman"/>
          <w:sz w:val="24"/>
          <w:szCs w:val="24"/>
        </w:rPr>
        <w:t xml:space="preserve">(1), 81–132. </w:t>
      </w:r>
      <w:hyperlink r:id="rId5427" w:history="1">
        <w:r w:rsidRPr="0074138E">
          <w:rPr>
            <w:rFonts w:ascii="Times New Roman" w:eastAsia="Times New Roman" w:hAnsi="Times New Roman" w:cs="Times New Roman"/>
            <w:color w:val="0000FF"/>
            <w:sz w:val="24"/>
            <w:szCs w:val="24"/>
            <w:u w:val="single"/>
          </w:rPr>
          <w:t>https://doi.org/10.1037/a0028727</w:t>
        </w:r>
      </w:hyperlink>
    </w:p>
    <w:p w14:paraId="2CC083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Snyder, P. J., Jackson, C. E., Petersen, R. C., Khachaturian, A. S., Kaye, J., Albert, M. S., &amp; Weintraub, S. (2011). Assessment of cognition in mild cognitive impairment: A comparative study. </w:t>
      </w:r>
      <w:r w:rsidRPr="0074138E">
        <w:rPr>
          <w:rFonts w:ascii="Times New Roman" w:eastAsia="Times New Roman" w:hAnsi="Times New Roman" w:cs="Times New Roman"/>
          <w:i/>
          <w:iCs/>
          <w:sz w:val="24"/>
          <w:szCs w:val="24"/>
        </w:rPr>
        <w:t>Alzheimer’s &amp; Dementia: The Journal of the Alzheimer’s Association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(3), 338–355. </w:t>
      </w:r>
      <w:hyperlink r:id="rId5428" w:history="1">
        <w:r w:rsidRPr="0074138E">
          <w:rPr>
            <w:rFonts w:ascii="Times New Roman" w:eastAsia="Times New Roman" w:hAnsi="Times New Roman" w:cs="Times New Roman"/>
            <w:color w:val="0000FF"/>
            <w:sz w:val="24"/>
            <w:szCs w:val="24"/>
            <w:u w:val="single"/>
          </w:rPr>
          <w:t>https://doi.org/10.1016/j.jalz.2011.03.009</w:t>
        </w:r>
      </w:hyperlink>
    </w:p>
    <w:p w14:paraId="7093F00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Soble, J. R., Spanierman, L. B., &amp; Smith, J. F. (2013). Neuropsychological functioning of combat veterans with posttraumatic stress disorder and mild traumatic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(5), 551–561. </w:t>
      </w:r>
      <w:hyperlink r:id="rId5429" w:history="1">
        <w:r w:rsidRPr="0074138E">
          <w:rPr>
            <w:rFonts w:ascii="Times New Roman" w:eastAsia="Times New Roman" w:hAnsi="Times New Roman" w:cs="Times New Roman"/>
            <w:color w:val="0000FF"/>
            <w:sz w:val="24"/>
            <w:szCs w:val="24"/>
            <w:u w:val="single"/>
          </w:rPr>
          <w:t>https://doi.org/10.1080/13803395.2013.798398</w:t>
        </w:r>
      </w:hyperlink>
    </w:p>
    <w:p w14:paraId="766D019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Söderlund, H., Black, S. E., Miller, B. L., Freedman, M., &amp; Levine, B. (2008). Episodic memory and regional atrophy in frontotemporal lobar degeneration.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(1), 127–136. </w:t>
      </w:r>
      <w:hyperlink r:id="rId5430" w:history="1">
        <w:r w:rsidRPr="0074138E">
          <w:rPr>
            <w:rFonts w:ascii="Times New Roman" w:eastAsia="Times New Roman" w:hAnsi="Times New Roman" w:cs="Times New Roman"/>
            <w:color w:val="0000FF"/>
            <w:sz w:val="24"/>
            <w:szCs w:val="24"/>
            <w:u w:val="single"/>
          </w:rPr>
          <w:t>https://doi.org/10.1016/j.neuropsychologia.2007.08.003</w:t>
        </w:r>
      </w:hyperlink>
    </w:p>
    <w:p w14:paraId="4EE289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Söderström, S. T., Pettersson, R. P., &amp; Leppert, J. (2006). Prediction of driving ability after stroke and the effect of behind-the-wheel training. </w:t>
      </w:r>
      <w:r w:rsidRPr="0074138E">
        <w:rPr>
          <w:rFonts w:ascii="Times New Roman" w:eastAsia="Times New Roman" w:hAnsi="Times New Roman" w:cs="Times New Roman"/>
          <w:i/>
          <w:iCs/>
          <w:sz w:val="24"/>
          <w:szCs w:val="24"/>
        </w:rPr>
        <w:t>Scandinavian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(5), 419–429. </w:t>
      </w:r>
      <w:hyperlink r:id="rId5431" w:history="1">
        <w:r w:rsidRPr="0074138E">
          <w:rPr>
            <w:rFonts w:ascii="Times New Roman" w:eastAsia="Times New Roman" w:hAnsi="Times New Roman" w:cs="Times New Roman"/>
            <w:color w:val="0000FF"/>
            <w:sz w:val="24"/>
            <w:szCs w:val="24"/>
            <w:u w:val="single"/>
          </w:rPr>
          <w:t>https://doi.org/10.1111/j.1467-9450.2006.00550.x</w:t>
        </w:r>
      </w:hyperlink>
    </w:p>
    <w:p w14:paraId="63C0A0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Bio, D. S., Dias, V. V., Vieta, E., Machado‐Vieira, R., &amp; Moreno, R. A. (2013). The CACNA1C risk allele selectively impacts on executive function in bipolar type I disorder.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128</w:t>
      </w:r>
      <w:r w:rsidRPr="0074138E">
        <w:rPr>
          <w:rFonts w:ascii="Times New Roman" w:eastAsia="Times New Roman" w:hAnsi="Times New Roman" w:cs="Times New Roman"/>
          <w:sz w:val="24"/>
          <w:szCs w:val="24"/>
        </w:rPr>
        <w:t xml:space="preserve">(5), 362–369. </w:t>
      </w:r>
      <w:hyperlink r:id="rId5432" w:history="1">
        <w:r w:rsidRPr="0074138E">
          <w:rPr>
            <w:rFonts w:ascii="Times New Roman" w:eastAsia="Times New Roman" w:hAnsi="Times New Roman" w:cs="Times New Roman"/>
            <w:color w:val="0000FF"/>
            <w:sz w:val="24"/>
            <w:szCs w:val="24"/>
            <w:u w:val="single"/>
          </w:rPr>
          <w:t>https://doi.org/10.1111/acps.12073</w:t>
        </w:r>
      </w:hyperlink>
    </w:p>
    <w:p w14:paraId="6FD75B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Dias, V. V., Bio, D. S., Post, R. M., &amp; Moreno, R. A. (2011). Creativity and executive function across manic, mixed and depressive episodes in bipolar I disorder.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135</w:t>
      </w:r>
      <w:r w:rsidRPr="0074138E">
        <w:rPr>
          <w:rFonts w:ascii="Times New Roman" w:eastAsia="Times New Roman" w:hAnsi="Times New Roman" w:cs="Times New Roman"/>
          <w:sz w:val="24"/>
          <w:szCs w:val="24"/>
        </w:rPr>
        <w:t xml:space="preserve">(1–3), 292–297. </w:t>
      </w:r>
      <w:hyperlink r:id="rId5433" w:history="1">
        <w:r w:rsidRPr="0074138E">
          <w:rPr>
            <w:rFonts w:ascii="Times New Roman" w:eastAsia="Times New Roman" w:hAnsi="Times New Roman" w:cs="Times New Roman"/>
            <w:color w:val="0000FF"/>
            <w:sz w:val="24"/>
            <w:szCs w:val="24"/>
            <w:u w:val="single"/>
          </w:rPr>
          <w:t>https://doi.org/10.1016/j.jad.2011.06.024</w:t>
        </w:r>
      </w:hyperlink>
    </w:p>
    <w:p w14:paraId="33E3D84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Machado‐Vieira, R., Bio, D. S., Do Prado, C. M., &amp; Moreno, R. A. (2012). COMT polymorphisms as predictors of cognitive dysfunction during manic and mixed episodes in bipolar I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(5), 554–564. </w:t>
      </w:r>
      <w:hyperlink r:id="rId5434" w:history="1">
        <w:r w:rsidRPr="0074138E">
          <w:rPr>
            <w:rFonts w:ascii="Times New Roman" w:eastAsia="Times New Roman" w:hAnsi="Times New Roman" w:cs="Times New Roman"/>
            <w:color w:val="0000FF"/>
            <w:sz w:val="24"/>
            <w:szCs w:val="24"/>
            <w:u w:val="single"/>
          </w:rPr>
          <w:t>https://doi.org/10.1111/j.1399-5618.2012.01030.x</w:t>
        </w:r>
      </w:hyperlink>
    </w:p>
    <w:p w14:paraId="46ED08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Soeiro-de-Souza, M. G., Post, R. M., de Sousa, M. L., Missio, G., do Prado, C. M., Gattaz, W. F., Moreno, R. A., &amp; Machado-Vieira, R. (2012). Does BDNF genotype influence creative output in bipolar I manic patients?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139</w:t>
      </w:r>
      <w:r w:rsidRPr="0074138E">
        <w:rPr>
          <w:rFonts w:ascii="Times New Roman" w:eastAsia="Times New Roman" w:hAnsi="Times New Roman" w:cs="Times New Roman"/>
          <w:sz w:val="24"/>
          <w:szCs w:val="24"/>
        </w:rPr>
        <w:t xml:space="preserve">(2), 181–186. </w:t>
      </w:r>
      <w:hyperlink r:id="rId5435" w:history="1">
        <w:r w:rsidRPr="0074138E">
          <w:rPr>
            <w:rFonts w:ascii="Times New Roman" w:eastAsia="Times New Roman" w:hAnsi="Times New Roman" w:cs="Times New Roman"/>
            <w:color w:val="0000FF"/>
            <w:sz w:val="24"/>
            <w:szCs w:val="24"/>
            <w:u w:val="single"/>
          </w:rPr>
          <w:t>https://doi.org/10.1016/j.jad.2012.01.036</w:t>
        </w:r>
      </w:hyperlink>
    </w:p>
    <w:p w14:paraId="0E5B39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Söğüt, M., Göksun, T., &amp; Altan‐Atalay, A. (2021). The role of numeracy skills on the Wisconsin card sorting test (WCST) performances of 5- to 8-year-old Turkish children. </w:t>
      </w:r>
      <w:r w:rsidRPr="0074138E">
        <w:rPr>
          <w:rFonts w:ascii="Times New Roman" w:eastAsia="Times New Roman" w:hAnsi="Times New Roman" w:cs="Times New Roman"/>
          <w:i/>
          <w:iCs/>
          <w:sz w:val="24"/>
          <w:szCs w:val="24"/>
        </w:rPr>
        <w:t>British Journal of 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(1), 231–246. </w:t>
      </w:r>
      <w:hyperlink r:id="rId5436" w:history="1">
        <w:r w:rsidRPr="0074138E">
          <w:rPr>
            <w:rFonts w:ascii="Times New Roman" w:eastAsia="Times New Roman" w:hAnsi="Times New Roman" w:cs="Times New Roman"/>
            <w:color w:val="0000FF"/>
            <w:sz w:val="24"/>
            <w:szCs w:val="24"/>
            <w:u w:val="single"/>
          </w:rPr>
          <w:t>https://doi.org/10.1111/bjdp.12353</w:t>
        </w:r>
      </w:hyperlink>
    </w:p>
    <w:p w14:paraId="5CC1C4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Sohlberg, M. M., Fickas, S., Ehlhardt, L., &amp; Todis, B. (2005). The longitudinal effects of accessible email for individuals with severe cognitive impairments. </w:t>
      </w:r>
      <w:r w:rsidRPr="0074138E">
        <w:rPr>
          <w:rFonts w:ascii="Times New Roman" w:eastAsia="Times New Roman" w:hAnsi="Times New Roman" w:cs="Times New Roman"/>
          <w:i/>
          <w:iCs/>
          <w:sz w:val="24"/>
          <w:szCs w:val="24"/>
        </w:rPr>
        <w:t>Aphasiology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(7), 651–681. </w:t>
      </w:r>
      <w:hyperlink r:id="rId5437" w:history="1">
        <w:r w:rsidRPr="0074138E">
          <w:rPr>
            <w:rFonts w:ascii="Times New Roman" w:eastAsia="Times New Roman" w:hAnsi="Times New Roman" w:cs="Times New Roman"/>
            <w:color w:val="0000FF"/>
            <w:sz w:val="24"/>
            <w:szCs w:val="24"/>
            <w:u w:val="single"/>
          </w:rPr>
          <w:t>https://doi.org/10.1080/02687030544000100</w:t>
        </w:r>
      </w:hyperlink>
    </w:p>
    <w:p w14:paraId="108FA9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Sohn, B. K., Hwang, J. Y., Park, S. M., Choi, J.-S., Lee, J.-Y., Lee, J. Y., &amp; Jung, H.-Y. (2016). Developing a virtual reality-based vocational rehabilitation training program for patients with schizophrenia. </w:t>
      </w:r>
      <w:r w:rsidRPr="0074138E">
        <w:rPr>
          <w:rFonts w:ascii="Times New Roman" w:eastAsia="Times New Roman" w:hAnsi="Times New Roman" w:cs="Times New Roman"/>
          <w:i/>
          <w:iCs/>
          <w:sz w:val="24"/>
          <w:szCs w:val="24"/>
        </w:rPr>
        <w:t>Cyberpsychology, Behavior, and Social Networking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(11), 686–691. </w:t>
      </w:r>
      <w:hyperlink r:id="rId5438" w:history="1">
        <w:r w:rsidRPr="0074138E">
          <w:rPr>
            <w:rFonts w:ascii="Times New Roman" w:eastAsia="Times New Roman" w:hAnsi="Times New Roman" w:cs="Times New Roman"/>
            <w:color w:val="0000FF"/>
            <w:sz w:val="24"/>
            <w:szCs w:val="24"/>
            <w:u w:val="single"/>
          </w:rPr>
          <w:t>https://doi.org/10.1089/cyber.2016.0215</w:t>
        </w:r>
      </w:hyperlink>
    </w:p>
    <w:p w14:paraId="726BFAB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Soininen, H. S., Karhu, J., Partanen, J., Pääkkönen, A., Jousmäki, V., Hänninen, T., Hallikainen, M., Partanen, K., Laakso, M. P., Koivisto, K., &amp; Riekkinen Sr., P. J. (1995). Habituation of auditory N100 correlates with amygdaloid volumes and frontal functions in age-associated memory impairment. </w:t>
      </w:r>
      <w:r w:rsidRPr="0074138E">
        <w:rPr>
          <w:rFonts w:ascii="Times New Roman" w:eastAsia="Times New Roman" w:hAnsi="Times New Roman" w:cs="Times New Roman"/>
          <w:i/>
          <w:iCs/>
          <w:sz w:val="24"/>
          <w:szCs w:val="24"/>
        </w:rPr>
        <w:t>Physiology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 xml:space="preserve">(5), 927–935. </w:t>
      </w:r>
      <w:hyperlink r:id="rId5439" w:history="1">
        <w:r w:rsidRPr="0074138E">
          <w:rPr>
            <w:rFonts w:ascii="Times New Roman" w:eastAsia="Times New Roman" w:hAnsi="Times New Roman" w:cs="Times New Roman"/>
            <w:color w:val="0000FF"/>
            <w:sz w:val="24"/>
            <w:szCs w:val="24"/>
            <w:u w:val="single"/>
          </w:rPr>
          <w:t>https://doi.org/10.1016/0031-9384(94)00393-J</w:t>
        </w:r>
      </w:hyperlink>
    </w:p>
    <w:p w14:paraId="337E9E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Solanto, M. V. (2015). </w:t>
      </w:r>
      <w:r w:rsidRPr="0074138E">
        <w:rPr>
          <w:rFonts w:ascii="Times New Roman" w:eastAsia="Times New Roman" w:hAnsi="Times New Roman" w:cs="Times New Roman"/>
          <w:i/>
          <w:iCs/>
          <w:sz w:val="24"/>
          <w:szCs w:val="24"/>
        </w:rPr>
        <w:t>Executive function deficits in adults with ADHD.</w:t>
      </w:r>
      <w:r w:rsidRPr="0074138E">
        <w:rPr>
          <w:rFonts w:ascii="Times New Roman" w:eastAsia="Times New Roman" w:hAnsi="Times New Roman" w:cs="Times New Roman"/>
          <w:sz w:val="24"/>
          <w:szCs w:val="24"/>
        </w:rPr>
        <w:t xml:space="preserve"> (pp. 256–266).</w:t>
      </w:r>
    </w:p>
    <w:p w14:paraId="1BA54B1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Solanto, M. V., Gilbert, S. N., Raj, A., Zhu, J., Pope-Boyd, S., Stepak, B., Vail, L., &amp; Newcorn, J. H. (2007). Neurocognitive functioning in AD/HD, predominantly inattentive and combined subtypes. </w:t>
      </w:r>
      <w:r w:rsidRPr="0074138E">
        <w:rPr>
          <w:rFonts w:ascii="Times New Roman" w:eastAsia="Times New Roman" w:hAnsi="Times New Roman" w:cs="Times New Roman"/>
          <w:i/>
          <w:iCs/>
          <w:sz w:val="24"/>
          <w:szCs w:val="24"/>
        </w:rPr>
        <w:t>Journal of Abnormal Child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(5), 729–744. </w:t>
      </w:r>
      <w:hyperlink r:id="rId5440" w:history="1">
        <w:r w:rsidRPr="0074138E">
          <w:rPr>
            <w:rFonts w:ascii="Times New Roman" w:eastAsia="Times New Roman" w:hAnsi="Times New Roman" w:cs="Times New Roman"/>
            <w:color w:val="0000FF"/>
            <w:sz w:val="24"/>
            <w:szCs w:val="24"/>
            <w:u w:val="single"/>
          </w:rPr>
          <w:t>https://doi.org/10.1007/s10802-007-9123-6</w:t>
        </w:r>
      </w:hyperlink>
    </w:p>
    <w:p w14:paraId="2F3D7C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Bonnin, C. M., Jiménez, E., Torrent, C., Torres, I., Varo, C., Valls, E., Montejo, L., Gómez‐Ocaña, C., Tomioka, Y., Vieta, E., Martinez‐Aran, A., &amp; Reinares, M. (2018). Heterogeneity of functional outcomes in patients with bipolar disorder: A cluster‐analytic approach.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137</w:t>
      </w:r>
      <w:r w:rsidRPr="0074138E">
        <w:rPr>
          <w:rFonts w:ascii="Times New Roman" w:eastAsia="Times New Roman" w:hAnsi="Times New Roman" w:cs="Times New Roman"/>
          <w:sz w:val="24"/>
          <w:szCs w:val="24"/>
        </w:rPr>
        <w:t xml:space="preserve">(6), 516–527. </w:t>
      </w:r>
      <w:hyperlink r:id="rId5441" w:history="1">
        <w:r w:rsidRPr="0074138E">
          <w:rPr>
            <w:rFonts w:ascii="Times New Roman" w:eastAsia="Times New Roman" w:hAnsi="Times New Roman" w:cs="Times New Roman"/>
            <w:color w:val="0000FF"/>
            <w:sz w:val="24"/>
            <w:szCs w:val="24"/>
            <w:u w:val="single"/>
          </w:rPr>
          <w:t>https://doi.org/10.1111/acps.12871</w:t>
        </w:r>
      </w:hyperlink>
    </w:p>
    <w:p w14:paraId="64E8C1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Bonnin, C. M., Mayoral, M., Amann, B. L., Torres, I., González-Pinto, A., Jimenez, E., Crespo, J. M., Colom, F., Tabarés-Seisdedos, R., Reinares, M., Ayuso-Mateos, J. L., Soria, S., Garcia-Portilla, M. P., Ibañez, Á., Vieta, E., Martinez-Aran, A., &amp; Torrent, C. (2015). Functional remediation for patients with bipolar II disorder: Improvement of functioning and subsyndromal symptoms.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257–264. </w:t>
      </w:r>
      <w:hyperlink r:id="rId5442" w:history="1">
        <w:r w:rsidRPr="0074138E">
          <w:rPr>
            <w:rFonts w:ascii="Times New Roman" w:eastAsia="Times New Roman" w:hAnsi="Times New Roman" w:cs="Times New Roman"/>
            <w:color w:val="0000FF"/>
            <w:sz w:val="24"/>
            <w:szCs w:val="24"/>
            <w:u w:val="single"/>
          </w:rPr>
          <w:t>https://doi.org/10.1016/j.euroneuro.2014.05.010</w:t>
        </w:r>
      </w:hyperlink>
    </w:p>
    <w:p w14:paraId="5056F1B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Bonnin, C. M., Torrent, C., Balanzá‐Martínez, V., Tabarés‐Seisdedos, R., Popovic, D., Martínez‐Arán, A., &amp; Vieta, E. (2012). Neurocognitive impairment and psychosocial functioning in bipolar II disorder.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125</w:t>
      </w:r>
      <w:r w:rsidRPr="0074138E">
        <w:rPr>
          <w:rFonts w:ascii="Times New Roman" w:eastAsia="Times New Roman" w:hAnsi="Times New Roman" w:cs="Times New Roman"/>
          <w:sz w:val="24"/>
          <w:szCs w:val="24"/>
        </w:rPr>
        <w:t xml:space="preserve">(4), 309–317. </w:t>
      </w:r>
      <w:hyperlink r:id="rId5443" w:history="1">
        <w:r w:rsidRPr="0074138E">
          <w:rPr>
            <w:rFonts w:ascii="Times New Roman" w:eastAsia="Times New Roman" w:hAnsi="Times New Roman" w:cs="Times New Roman"/>
            <w:color w:val="0000FF"/>
            <w:sz w:val="24"/>
            <w:szCs w:val="24"/>
            <w:u w:val="single"/>
          </w:rPr>
          <w:t>https://doi.org/10.1111/j.1600-0447.2011.01759.x</w:t>
        </w:r>
      </w:hyperlink>
    </w:p>
    <w:p w14:paraId="328457C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Sole, B., Bonnin, C. M., Torrent, C., Martinez‐Aran, A., Popovic, D., Tabarés‐Seisdedos, R., &amp; Vieta, E. (2012). Neurocognitive impairment across the bipolar spectrum. </w:t>
      </w:r>
      <w:r w:rsidRPr="0074138E">
        <w:rPr>
          <w:rFonts w:ascii="Times New Roman" w:eastAsia="Times New Roman" w:hAnsi="Times New Roman" w:cs="Times New Roman"/>
          <w:i/>
          <w:iCs/>
          <w:sz w:val="24"/>
          <w:szCs w:val="24"/>
        </w:rPr>
        <w:t>CNS Neuroscience &amp; Therapeutics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194–200. </w:t>
      </w:r>
      <w:hyperlink r:id="rId5444" w:history="1">
        <w:r w:rsidRPr="0074138E">
          <w:rPr>
            <w:rFonts w:ascii="Times New Roman" w:eastAsia="Times New Roman" w:hAnsi="Times New Roman" w:cs="Times New Roman"/>
            <w:color w:val="0000FF"/>
            <w:sz w:val="24"/>
            <w:szCs w:val="24"/>
            <w:u w:val="single"/>
          </w:rPr>
          <w:t>https://doi.org/10.1111/j.1755-5949.2011.00262.x</w:t>
        </w:r>
      </w:hyperlink>
    </w:p>
    <w:p w14:paraId="1A28DD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Jiménez, E., Martinez-Aran, A., &amp; Vieta, E. (2015). Cognition as a target in major depression: New developments. </w:t>
      </w:r>
      <w:r w:rsidRPr="0074138E">
        <w:rPr>
          <w:rFonts w:ascii="Times New Roman" w:eastAsia="Times New Roman" w:hAnsi="Times New Roman" w:cs="Times New Roman"/>
          <w:i/>
          <w:iCs/>
          <w:sz w:val="24"/>
          <w:szCs w:val="24"/>
        </w:rPr>
        <w:t>European Neuropsychopharmacology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231–247. </w:t>
      </w:r>
      <w:hyperlink r:id="rId5445" w:history="1">
        <w:r w:rsidRPr="0074138E">
          <w:rPr>
            <w:rFonts w:ascii="Times New Roman" w:eastAsia="Times New Roman" w:hAnsi="Times New Roman" w:cs="Times New Roman"/>
            <w:color w:val="0000FF"/>
            <w:sz w:val="24"/>
            <w:szCs w:val="24"/>
            <w:u w:val="single"/>
          </w:rPr>
          <w:t>https://doi.org/10.1016/j.euroneuro.2014.12.004</w:t>
        </w:r>
      </w:hyperlink>
    </w:p>
    <w:p w14:paraId="2CD250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Jiménez, E., Torrent, C., del Mar Bonnin, C., Torres, I., Reinares, M., Priego, Á., Salamero, M., Colom, F., Varo, C., Vieta, E., &amp; Martínez‐Arán, A. (2016). Cognitive variability in bipolar II disorder: Who is cognitively impaired and who is preserved.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(3), 288–299. </w:t>
      </w:r>
      <w:hyperlink r:id="rId5446" w:history="1">
        <w:r w:rsidRPr="0074138E">
          <w:rPr>
            <w:rFonts w:ascii="Times New Roman" w:eastAsia="Times New Roman" w:hAnsi="Times New Roman" w:cs="Times New Roman"/>
            <w:color w:val="0000FF"/>
            <w:sz w:val="24"/>
            <w:szCs w:val="24"/>
            <w:u w:val="single"/>
          </w:rPr>
          <w:t>https://doi.org/10.1111/bdi.12385</w:t>
        </w:r>
      </w:hyperlink>
    </w:p>
    <w:p w14:paraId="1B7852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Solé, B., Martínez-Arán, A., Torrent, C., Bonnin, C. M., Reinares, M., Popovic, D., Sánchez-Moreno, J., &amp; Vieta, E. (2011). Are bipolar II patients cognitively impaired? A systematic review.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(9), 1791–1803. </w:t>
      </w:r>
      <w:hyperlink r:id="rId5447" w:history="1">
        <w:r w:rsidRPr="0074138E">
          <w:rPr>
            <w:rFonts w:ascii="Times New Roman" w:eastAsia="Times New Roman" w:hAnsi="Times New Roman" w:cs="Times New Roman"/>
            <w:color w:val="0000FF"/>
            <w:sz w:val="24"/>
            <w:szCs w:val="24"/>
            <w:u w:val="single"/>
          </w:rPr>
          <w:t>https://doi.org/10.1017/S0033291711000018</w:t>
        </w:r>
      </w:hyperlink>
    </w:p>
    <w:p w14:paraId="720937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Soler, J., Miret, S., Lázaro, L., Parellada, M., Martín, M., Lera-Miguel, S., Rosa, A., de Castro-Catala, M., Cuesta, M. J., Fañanás, L., Krebs, M. O., &amp; Fatjó-Vilas, M. (2016). Influence of DAOA and RGS4 genes on the risk for psychotic disorders and their associated executive dysfunctions: A family-based study.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 42–47. </w:t>
      </w:r>
      <w:hyperlink r:id="rId5448" w:history="1">
        <w:r w:rsidRPr="0074138E">
          <w:rPr>
            <w:rFonts w:ascii="Times New Roman" w:eastAsia="Times New Roman" w:hAnsi="Times New Roman" w:cs="Times New Roman"/>
            <w:color w:val="0000FF"/>
            <w:sz w:val="24"/>
            <w:szCs w:val="24"/>
            <w:u w:val="single"/>
          </w:rPr>
          <w:t>https://doi.org/10.1016/j.eurpsy.2015.11.002</w:t>
        </w:r>
      </w:hyperlink>
    </w:p>
    <w:p w14:paraId="6690E2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Solís-Ortiz, S., &amp; González-Pérez, E. G. (2020). Slow electroencephalographic oscillations and behavioral measures as predictors of high executive processing in early postmenopausal females: A discriminant analysis approach.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145</w:t>
      </w:r>
      <w:r w:rsidRPr="0074138E">
        <w:rPr>
          <w:rFonts w:ascii="Times New Roman" w:eastAsia="Times New Roman" w:hAnsi="Times New Roman" w:cs="Times New Roman"/>
          <w:sz w:val="24"/>
          <w:szCs w:val="24"/>
        </w:rPr>
        <w:t xml:space="preserve">. </w:t>
      </w:r>
      <w:hyperlink r:id="rId5449" w:history="1">
        <w:r w:rsidRPr="0074138E">
          <w:rPr>
            <w:rFonts w:ascii="Times New Roman" w:eastAsia="Times New Roman" w:hAnsi="Times New Roman" w:cs="Times New Roman"/>
            <w:color w:val="0000FF"/>
            <w:sz w:val="24"/>
            <w:szCs w:val="24"/>
            <w:u w:val="single"/>
          </w:rPr>
          <w:t>https://doi.org/10.1016/j.bandc.2020.105613</w:t>
        </w:r>
      </w:hyperlink>
    </w:p>
    <w:p w14:paraId="5F4E5C7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Solis-Ortiz, S., Guevara, M. A., &amp; Corsi-Cabrera, M. (2004). Performance in a test demanding prefrontal functions is favored by early luteal phase progesterone: An electroencephalographic study. </w:t>
      </w:r>
      <w:r w:rsidRPr="0074138E">
        <w:rPr>
          <w:rFonts w:ascii="Times New Roman" w:eastAsia="Times New Roman" w:hAnsi="Times New Roman" w:cs="Times New Roman"/>
          <w:i/>
          <w:iCs/>
          <w:sz w:val="24"/>
          <w:szCs w:val="24"/>
        </w:rPr>
        <w:t>Psychoneuroendocrinology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(8), 1047–1057. </w:t>
      </w:r>
      <w:hyperlink r:id="rId5450" w:history="1">
        <w:r w:rsidRPr="0074138E">
          <w:rPr>
            <w:rFonts w:ascii="Times New Roman" w:eastAsia="Times New Roman" w:hAnsi="Times New Roman" w:cs="Times New Roman"/>
            <w:color w:val="0000FF"/>
            <w:sz w:val="24"/>
            <w:szCs w:val="24"/>
            <w:u w:val="single"/>
          </w:rPr>
          <w:t>https://doi.org/10.1016/j.psyneuen.2003.10.007</w:t>
        </w:r>
      </w:hyperlink>
    </w:p>
    <w:p w14:paraId="5C3ED0E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Solís-Ortiz, S., Pérez-Luque, E., Morado-Crespo, L., &amp; Gutiérrez-Muñoz, M. (2010). Executive functions and selective attention are favored in middle-aged healthy women carriers of the Val/Val genotype of the catechol-O-methyltransferase gene: A behavioral genetic study. </w:t>
      </w:r>
      <w:r w:rsidRPr="0074138E">
        <w:rPr>
          <w:rFonts w:ascii="Times New Roman" w:eastAsia="Times New Roman" w:hAnsi="Times New Roman" w:cs="Times New Roman"/>
          <w:i/>
          <w:iCs/>
          <w:sz w:val="24"/>
          <w:szCs w:val="24"/>
        </w:rPr>
        <w:t>Behavioral and Brain Functions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 </w:t>
      </w:r>
      <w:hyperlink r:id="rId5451" w:history="1">
        <w:r w:rsidRPr="0074138E">
          <w:rPr>
            <w:rFonts w:ascii="Times New Roman" w:eastAsia="Times New Roman" w:hAnsi="Times New Roman" w:cs="Times New Roman"/>
            <w:color w:val="0000FF"/>
            <w:sz w:val="24"/>
            <w:szCs w:val="24"/>
            <w:u w:val="single"/>
          </w:rPr>
          <w:t>https://doi.org/10.1186/1744-9081-6-67</w:t>
        </w:r>
      </w:hyperlink>
    </w:p>
    <w:p w14:paraId="70E1B9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Solomon, A. M. (2001). </w:t>
      </w:r>
      <w:r w:rsidRPr="0074138E">
        <w:rPr>
          <w:rFonts w:ascii="Times New Roman" w:eastAsia="Times New Roman" w:hAnsi="Times New Roman" w:cs="Times New Roman"/>
          <w:i/>
          <w:iCs/>
          <w:sz w:val="24"/>
          <w:szCs w:val="24"/>
        </w:rPr>
        <w:t>Neurocognitive performance in the multiple chemical sensitivity syndrome.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(8-B), 4430–4430.</w:t>
      </w:r>
    </w:p>
    <w:p w14:paraId="1E8FFC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Solowij, N., &amp; Michie, P. T. (2007). Cannabis and cognitive dysfunction: Parallels with endophenotypes of schizophrenia? </w:t>
      </w:r>
      <w:r w:rsidRPr="0074138E">
        <w:rPr>
          <w:rFonts w:ascii="Times New Roman" w:eastAsia="Times New Roman" w:hAnsi="Times New Roman" w:cs="Times New Roman"/>
          <w:i/>
          <w:iCs/>
          <w:sz w:val="24"/>
          <w:szCs w:val="24"/>
        </w:rPr>
        <w:t>Journal of Psychiatry &amp;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(1), 30–52.</w:t>
      </w:r>
    </w:p>
    <w:p w14:paraId="14DC2F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Solowij, N., &amp; Pesa, N. (2010). Cognitive abnormalities and cannabis use.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(Suppl 1), S31–S40.</w:t>
      </w:r>
    </w:p>
    <w:p w14:paraId="5E0672F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Sommerauer, M., Fedorova, T. D., Hansen, A. K., Knudsen, K., Otto, M., Jeppesen, J., Frederiksen, Y., Blicher, J. U., Geday, J., Nahimi, A., Damholdt, M. F., Brooks, D. J., &amp; Borghammer, P. (2018). Evaluation of the noradrenergic system in Parkinson’s disease: An </w:t>
      </w:r>
      <w:r w:rsidRPr="0074138E">
        <w:rPr>
          <w:rFonts w:ascii="Times New Roman" w:eastAsia="Times New Roman" w:hAnsi="Times New Roman" w:cs="Times New Roman"/>
          <w:sz w:val="24"/>
          <w:szCs w:val="24"/>
          <w:vertAlign w:val="superscript"/>
        </w:rPr>
        <w:t>11</w:t>
      </w:r>
      <w:r w:rsidRPr="0074138E">
        <w:rPr>
          <w:rFonts w:ascii="Times New Roman" w:eastAsia="Times New Roman" w:hAnsi="Times New Roman" w:cs="Times New Roman"/>
          <w:sz w:val="24"/>
          <w:szCs w:val="24"/>
        </w:rPr>
        <w:t xml:space="preserve">C-MeNER PET and neuromelanin MRI study.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141</w:t>
      </w:r>
      <w:r w:rsidRPr="0074138E">
        <w:rPr>
          <w:rFonts w:ascii="Times New Roman" w:eastAsia="Times New Roman" w:hAnsi="Times New Roman" w:cs="Times New Roman"/>
          <w:sz w:val="24"/>
          <w:szCs w:val="24"/>
        </w:rPr>
        <w:t xml:space="preserve">(2), 496–504. </w:t>
      </w:r>
      <w:hyperlink r:id="rId5452" w:history="1">
        <w:r w:rsidRPr="0074138E">
          <w:rPr>
            <w:rFonts w:ascii="Times New Roman" w:eastAsia="Times New Roman" w:hAnsi="Times New Roman" w:cs="Times New Roman"/>
            <w:color w:val="0000FF"/>
            <w:sz w:val="24"/>
            <w:szCs w:val="24"/>
            <w:u w:val="single"/>
          </w:rPr>
          <w:t>https://doi.org/10.1093/brain/awx348</w:t>
        </w:r>
      </w:hyperlink>
    </w:p>
    <w:p w14:paraId="38748A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Somsen, R. J. M., van der Molen, M. W., Jennings, J. R., &amp; Beek, B. van. (2000). Wisconsin card sorting in adolescents: Analysis of performance, response times and heart rate. </w:t>
      </w:r>
      <w:r w:rsidRPr="0074138E">
        <w:rPr>
          <w:rFonts w:ascii="Times New Roman" w:eastAsia="Times New Roman" w:hAnsi="Times New Roman" w:cs="Times New Roman"/>
          <w:i/>
          <w:iCs/>
          <w:sz w:val="24"/>
          <w:szCs w:val="24"/>
        </w:rPr>
        <w:t>Acta 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104</w:t>
      </w:r>
      <w:r w:rsidRPr="0074138E">
        <w:rPr>
          <w:rFonts w:ascii="Times New Roman" w:eastAsia="Times New Roman" w:hAnsi="Times New Roman" w:cs="Times New Roman"/>
          <w:sz w:val="24"/>
          <w:szCs w:val="24"/>
        </w:rPr>
        <w:t xml:space="preserve">(2), 227–257. </w:t>
      </w:r>
      <w:hyperlink r:id="rId5453" w:history="1">
        <w:r w:rsidRPr="0074138E">
          <w:rPr>
            <w:rFonts w:ascii="Times New Roman" w:eastAsia="Times New Roman" w:hAnsi="Times New Roman" w:cs="Times New Roman"/>
            <w:color w:val="0000FF"/>
            <w:sz w:val="24"/>
            <w:szCs w:val="24"/>
            <w:u w:val="single"/>
          </w:rPr>
          <w:t>https://doi.org/10.1016/S0001-6918(00)00030-5</w:t>
        </w:r>
      </w:hyperlink>
    </w:p>
    <w:p w14:paraId="69F603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Song, H., &amp; Min, S. K. (2009). Aggressive behavior model in schizophrenic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167</w:t>
      </w:r>
      <w:r w:rsidRPr="0074138E">
        <w:rPr>
          <w:rFonts w:ascii="Times New Roman" w:eastAsia="Times New Roman" w:hAnsi="Times New Roman" w:cs="Times New Roman"/>
          <w:sz w:val="24"/>
          <w:szCs w:val="24"/>
        </w:rPr>
        <w:t xml:space="preserve">(1–2), 58–65. </w:t>
      </w:r>
      <w:hyperlink r:id="rId5454" w:history="1">
        <w:r w:rsidRPr="0074138E">
          <w:rPr>
            <w:rFonts w:ascii="Times New Roman" w:eastAsia="Times New Roman" w:hAnsi="Times New Roman" w:cs="Times New Roman"/>
            <w:color w:val="0000FF"/>
            <w:sz w:val="24"/>
            <w:szCs w:val="24"/>
            <w:u w:val="single"/>
          </w:rPr>
          <w:t>https://doi.org/10.1016/j.psychres.2008.01.003</w:t>
        </w:r>
      </w:hyperlink>
    </w:p>
    <w:p w14:paraId="1DFF58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Song, M., Lauseng, D., Lee, S., Nordstrom, M., &amp; Katch, V. (2016). Enhanced physical activity improves selected outcomes in children with ADHD: Systematic review. </w:t>
      </w:r>
      <w:r w:rsidRPr="0074138E">
        <w:rPr>
          <w:rFonts w:ascii="Times New Roman" w:eastAsia="Times New Roman" w:hAnsi="Times New Roman" w:cs="Times New Roman"/>
          <w:i/>
          <w:iCs/>
          <w:sz w:val="24"/>
          <w:szCs w:val="24"/>
        </w:rPr>
        <w:t>Western Journal of Nursing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(9), 1155–1184. </w:t>
      </w:r>
      <w:hyperlink r:id="rId5455" w:history="1">
        <w:r w:rsidRPr="0074138E">
          <w:rPr>
            <w:rFonts w:ascii="Times New Roman" w:eastAsia="Times New Roman" w:hAnsi="Times New Roman" w:cs="Times New Roman"/>
            <w:color w:val="0000FF"/>
            <w:sz w:val="24"/>
            <w:szCs w:val="24"/>
            <w:u w:val="single"/>
          </w:rPr>
          <w:t>https://doi.org/10.1177/0193945916649954</w:t>
        </w:r>
      </w:hyperlink>
    </w:p>
    <w:p w14:paraId="67E9921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Soni, M., Lambon Ralph, M. A., Noonan, K., Ehsan, S., Hodgson, C., &amp; Woollams, A. M. (2009). “L” is for tiger: Effects of phonological (mis)cueing on picture naming in semantic aphasia. </w:t>
      </w:r>
      <w:r w:rsidRPr="0074138E">
        <w:rPr>
          <w:rFonts w:ascii="Times New Roman" w:eastAsia="Times New Roman" w:hAnsi="Times New Roman" w:cs="Times New Roman"/>
          <w:i/>
          <w:iCs/>
          <w:sz w:val="24"/>
          <w:szCs w:val="24"/>
        </w:rPr>
        <w:t>Journal of Neurolinguistics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(6), 538–547. </w:t>
      </w:r>
      <w:hyperlink r:id="rId5456" w:history="1">
        <w:r w:rsidRPr="0074138E">
          <w:rPr>
            <w:rFonts w:ascii="Times New Roman" w:eastAsia="Times New Roman" w:hAnsi="Times New Roman" w:cs="Times New Roman"/>
            <w:color w:val="0000FF"/>
            <w:sz w:val="24"/>
            <w:szCs w:val="24"/>
            <w:u w:val="single"/>
          </w:rPr>
          <w:t>https://doi.org/10.1016/j.jneuroling.2009.06.002</w:t>
        </w:r>
      </w:hyperlink>
    </w:p>
    <w:p w14:paraId="0695C2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Soni, M., Lambon Ralph, M. A., &amp; Woollams, A. M. (2012). Repetition priming of picture naming in semantic aphasia: The impact of intervening items. </w:t>
      </w:r>
      <w:r w:rsidRPr="0074138E">
        <w:rPr>
          <w:rFonts w:ascii="Times New Roman" w:eastAsia="Times New Roman" w:hAnsi="Times New Roman" w:cs="Times New Roman"/>
          <w:i/>
          <w:iCs/>
          <w:sz w:val="24"/>
          <w:szCs w:val="24"/>
        </w:rPr>
        <w:t>Aphasiology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 44–63. </w:t>
      </w:r>
      <w:hyperlink r:id="rId5457" w:history="1">
        <w:r w:rsidRPr="0074138E">
          <w:rPr>
            <w:rFonts w:ascii="Times New Roman" w:eastAsia="Times New Roman" w:hAnsi="Times New Roman" w:cs="Times New Roman"/>
            <w:color w:val="0000FF"/>
            <w:sz w:val="24"/>
            <w:szCs w:val="24"/>
            <w:u w:val="single"/>
          </w:rPr>
          <w:t>https://doi.org/10.1080/02687038.2011.602302</w:t>
        </w:r>
      </w:hyperlink>
    </w:p>
    <w:p w14:paraId="3A4B4D2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Sonne, J. L. (2012). Psychological assessment measures. In </w:t>
      </w:r>
      <w:r w:rsidRPr="0074138E">
        <w:rPr>
          <w:rFonts w:ascii="Times New Roman" w:eastAsia="Times New Roman" w:hAnsi="Times New Roman" w:cs="Times New Roman"/>
          <w:i/>
          <w:iCs/>
          <w:sz w:val="24"/>
          <w:szCs w:val="24"/>
        </w:rPr>
        <w:t>PsycEssentials: A pocket resource for mental health practitioners.</w:t>
      </w:r>
      <w:r w:rsidRPr="0074138E">
        <w:rPr>
          <w:rFonts w:ascii="Times New Roman" w:eastAsia="Times New Roman" w:hAnsi="Times New Roman" w:cs="Times New Roman"/>
          <w:sz w:val="24"/>
          <w:szCs w:val="24"/>
        </w:rPr>
        <w:t xml:space="preserve"> (pp. 57–80). American Psychological Association. </w:t>
      </w:r>
      <w:hyperlink r:id="rId5458" w:history="1">
        <w:r w:rsidRPr="0074138E">
          <w:rPr>
            <w:rFonts w:ascii="Times New Roman" w:eastAsia="Times New Roman" w:hAnsi="Times New Roman" w:cs="Times New Roman"/>
            <w:color w:val="0000FF"/>
            <w:sz w:val="24"/>
            <w:szCs w:val="24"/>
            <w:u w:val="single"/>
          </w:rPr>
          <w:t>http://search.ebscohost.com/login.aspx?direct=true&amp;db=psyh&amp;AN=2011-19974-005&amp;site=ehost-live</w:t>
        </w:r>
      </w:hyperlink>
    </w:p>
    <w:p w14:paraId="75DA9F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Sontag-Padilla, L. M., Dorn, L. D., Tissot, A., Susman, E. J., Beers, S. R., &amp; Rose, S. R. (2012). Executive functioning, cortisol reactivity, and symptoms of psychopathology in girls with premature adrenarche. </w:t>
      </w:r>
      <w:r w:rsidRPr="0074138E">
        <w:rPr>
          <w:rFonts w:ascii="Times New Roman" w:eastAsia="Times New Roman" w:hAnsi="Times New Roman" w:cs="Times New Roman"/>
          <w:i/>
          <w:iCs/>
          <w:sz w:val="24"/>
          <w:szCs w:val="24"/>
        </w:rPr>
        <w:t>Development and 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(1), 211–223. </w:t>
      </w:r>
      <w:hyperlink r:id="rId5459" w:history="1">
        <w:r w:rsidRPr="0074138E">
          <w:rPr>
            <w:rFonts w:ascii="Times New Roman" w:eastAsia="Times New Roman" w:hAnsi="Times New Roman" w:cs="Times New Roman"/>
            <w:color w:val="0000FF"/>
            <w:sz w:val="24"/>
            <w:szCs w:val="24"/>
            <w:u w:val="single"/>
          </w:rPr>
          <w:t>https://doi.org/10.1017/S0954579411000782</w:t>
        </w:r>
      </w:hyperlink>
    </w:p>
    <w:p w14:paraId="5F378A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Sorg, S. F., Delano-Wood, L., Luc, N., Schiehser, D. M., Hanson, K. L., Nation, D. A., Lanni, E., Jak, A. J., Lu, K., Meloy, M. J., Frank, L. R., Lohr, J. B., &amp; Bondi, M. W. (2014). White matter integrity in veterans with mild traumatic brain injury: Associations with executive function and loss of consciousness. </w:t>
      </w:r>
      <w:r w:rsidRPr="0074138E">
        <w:rPr>
          <w:rFonts w:ascii="Times New Roman" w:eastAsia="Times New Roman" w:hAnsi="Times New Roman" w:cs="Times New Roman"/>
          <w:i/>
          <w:iCs/>
          <w:sz w:val="24"/>
          <w:szCs w:val="24"/>
        </w:rPr>
        <w:t>The Journal of Head Trauma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21–32. </w:t>
      </w:r>
      <w:hyperlink r:id="rId5460" w:history="1">
        <w:r w:rsidRPr="0074138E">
          <w:rPr>
            <w:rFonts w:ascii="Times New Roman" w:eastAsia="Times New Roman" w:hAnsi="Times New Roman" w:cs="Times New Roman"/>
            <w:color w:val="0000FF"/>
            <w:sz w:val="24"/>
            <w:szCs w:val="24"/>
            <w:u w:val="single"/>
          </w:rPr>
          <w:t>https://doi.org/10.1097/HTR.0b013e31828a1aa4</w:t>
        </w:r>
      </w:hyperlink>
    </w:p>
    <w:p w14:paraId="70C219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Sorg, S. F., Schiehser, D. M., Bondi, M. W., Luc, N., Clark, A. L., Jacobson, M. W., Frank, L. R., &amp; Delano-Wood, L. (2016). White matter microstructural compromise is associated with cognition but not posttraumatic stress disorder symptoms in military veterans with traumatic brain injury. </w:t>
      </w:r>
      <w:r w:rsidRPr="0074138E">
        <w:rPr>
          <w:rFonts w:ascii="Times New Roman" w:eastAsia="Times New Roman" w:hAnsi="Times New Roman" w:cs="Times New Roman"/>
          <w:i/>
          <w:iCs/>
          <w:sz w:val="24"/>
          <w:szCs w:val="24"/>
        </w:rPr>
        <w:t>The Journal of Head Trauma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(5), 297–308. </w:t>
      </w:r>
      <w:hyperlink r:id="rId5461" w:history="1">
        <w:r w:rsidRPr="0074138E">
          <w:rPr>
            <w:rFonts w:ascii="Times New Roman" w:eastAsia="Times New Roman" w:hAnsi="Times New Roman" w:cs="Times New Roman"/>
            <w:color w:val="0000FF"/>
            <w:sz w:val="24"/>
            <w:szCs w:val="24"/>
            <w:u w:val="single"/>
          </w:rPr>
          <w:t>https://doi.org/10.1097/HTR.0000000000000189</w:t>
        </w:r>
      </w:hyperlink>
    </w:p>
    <w:p w14:paraId="61504F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Soriano-Raya, J. J., Miralbell, J., López-Cancio, E., Bargalló, N., Arenillas, J. F., Barrios, M., Cáceres, C., Toran, P., Alzamora, M., Dávalos, A., &amp; Mataró, M. (2012). Deep versus periventricular white matter lesions and cognitive function in a community sample of middle-aged participants.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(5), 874–885. </w:t>
      </w:r>
      <w:hyperlink r:id="rId5462" w:history="1">
        <w:r w:rsidRPr="0074138E">
          <w:rPr>
            <w:rFonts w:ascii="Times New Roman" w:eastAsia="Times New Roman" w:hAnsi="Times New Roman" w:cs="Times New Roman"/>
            <w:color w:val="0000FF"/>
            <w:sz w:val="24"/>
            <w:szCs w:val="24"/>
            <w:u w:val="single"/>
          </w:rPr>
          <w:t>https://doi.org/10.1017/S1355617712000677</w:t>
        </w:r>
      </w:hyperlink>
    </w:p>
    <w:p w14:paraId="610F36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Sorokina, N. D., Selitskii, G. V., &amp; Kositsyn, N. S. (2007). EEG and clinical psychophysiological study of functional changes in the chronically ischemic brain upon an increase in cholinergic activity. </w:t>
      </w:r>
      <w:r w:rsidRPr="0074138E">
        <w:rPr>
          <w:rFonts w:ascii="Times New Roman" w:eastAsia="Times New Roman" w:hAnsi="Times New Roman" w:cs="Times New Roman"/>
          <w:i/>
          <w:iCs/>
          <w:sz w:val="24"/>
          <w:szCs w:val="24"/>
        </w:rPr>
        <w:t>Human 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(3), 285–288. </w:t>
      </w:r>
      <w:hyperlink r:id="rId5463" w:history="1">
        <w:r w:rsidRPr="0074138E">
          <w:rPr>
            <w:rFonts w:ascii="Times New Roman" w:eastAsia="Times New Roman" w:hAnsi="Times New Roman" w:cs="Times New Roman"/>
            <w:color w:val="0000FF"/>
            <w:sz w:val="24"/>
            <w:szCs w:val="24"/>
            <w:u w:val="single"/>
          </w:rPr>
          <w:t>https://doi.org/10.1134/S0362119707030048</w:t>
        </w:r>
      </w:hyperlink>
    </w:p>
    <w:p w14:paraId="1F9DA7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Sota, T. L., &amp; Heinrichs, R. W. (2004). Demographic, clinical, and neurocognitive predictors of quality of life in schizophrenia patients receiving conventional neuroleptics.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(5), 415–421. </w:t>
      </w:r>
      <w:hyperlink r:id="rId5464" w:history="1">
        <w:r w:rsidRPr="0074138E">
          <w:rPr>
            <w:rFonts w:ascii="Times New Roman" w:eastAsia="Times New Roman" w:hAnsi="Times New Roman" w:cs="Times New Roman"/>
            <w:color w:val="0000FF"/>
            <w:sz w:val="24"/>
            <w:szCs w:val="24"/>
            <w:u w:val="single"/>
          </w:rPr>
          <w:t>https://doi.org/10.1016/j.comppsych.2004.06.010</w:t>
        </w:r>
      </w:hyperlink>
    </w:p>
    <w:p w14:paraId="7E2DB77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Soto, D., Humphreys, G. W., &amp; Heinke, D. (2006). Dividing the mind: The necessary role of the frontal lobes in separating memory from search.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(8), 1282–1289. </w:t>
      </w:r>
      <w:hyperlink r:id="rId5465" w:history="1">
        <w:r w:rsidRPr="0074138E">
          <w:rPr>
            <w:rFonts w:ascii="Times New Roman" w:eastAsia="Times New Roman" w:hAnsi="Times New Roman" w:cs="Times New Roman"/>
            <w:color w:val="0000FF"/>
            <w:sz w:val="24"/>
            <w:szCs w:val="24"/>
            <w:u w:val="single"/>
          </w:rPr>
          <w:t>https://doi.org/10.1016/j.neuropsychologia.2006.01.029</w:t>
        </w:r>
      </w:hyperlink>
    </w:p>
    <w:p w14:paraId="3AE48ED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Gil, R., &amp; Isingrini, M. (2002). Métamémoire et Maladie de Parkinson. [Metamemory and Parkinson’s disease.].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158</w:t>
      </w:r>
      <w:r w:rsidRPr="0074138E">
        <w:rPr>
          <w:rFonts w:ascii="Times New Roman" w:eastAsia="Times New Roman" w:hAnsi="Times New Roman" w:cs="Times New Roman"/>
          <w:sz w:val="24"/>
          <w:szCs w:val="24"/>
        </w:rPr>
        <w:t>(3), 332–337.</w:t>
      </w:r>
    </w:p>
    <w:p w14:paraId="6D48F8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&amp; Isingrini, M. (2004). Age related differences in metacognitive control: Role of executive functioning.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(1), 89–99. </w:t>
      </w:r>
      <w:hyperlink r:id="rId5466" w:history="1">
        <w:r w:rsidRPr="0074138E">
          <w:rPr>
            <w:rFonts w:ascii="Times New Roman" w:eastAsia="Times New Roman" w:hAnsi="Times New Roman" w:cs="Times New Roman"/>
            <w:color w:val="0000FF"/>
            <w:sz w:val="24"/>
            <w:szCs w:val="24"/>
            <w:u w:val="single"/>
          </w:rPr>
          <w:t>https://doi.org/10.1016/j.bandc.2004.06.002</w:t>
        </w:r>
      </w:hyperlink>
    </w:p>
    <w:p w14:paraId="236935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Isingrini, M., Clarys, D., Taconnat, L., &amp; Eustache, F. (2004). Executive Functioning and Judgment-of-Learning versus Feeling-of-Knowing in Older Adults. </w:t>
      </w:r>
      <w:r w:rsidRPr="0074138E">
        <w:rPr>
          <w:rFonts w:ascii="Times New Roman" w:eastAsia="Times New Roman" w:hAnsi="Times New Roman" w:cs="Times New Roman"/>
          <w:i/>
          <w:iCs/>
          <w:sz w:val="24"/>
          <w:szCs w:val="24"/>
        </w:rPr>
        <w:t>Experimental Aging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(1), 47–62. </w:t>
      </w:r>
      <w:hyperlink r:id="rId5467" w:history="1">
        <w:r w:rsidRPr="0074138E">
          <w:rPr>
            <w:rFonts w:ascii="Times New Roman" w:eastAsia="Times New Roman" w:hAnsi="Times New Roman" w:cs="Times New Roman"/>
            <w:color w:val="0000FF"/>
            <w:sz w:val="24"/>
            <w:szCs w:val="24"/>
            <w:u w:val="single"/>
          </w:rPr>
          <w:t>https://doi.org/10.1080/03610730490251478</w:t>
        </w:r>
      </w:hyperlink>
    </w:p>
    <w:p w14:paraId="16477ED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Isingrini, M., Pillon, B., &amp; Gil, R. (2003). Metamemory Accuracy in Alzheimer’s Disease and Frontotemporal Lobe Dementia.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(6), 482–493. </w:t>
      </w:r>
      <w:hyperlink r:id="rId5468" w:history="1">
        <w:r w:rsidRPr="0074138E">
          <w:rPr>
            <w:rFonts w:ascii="Times New Roman" w:eastAsia="Times New Roman" w:hAnsi="Times New Roman" w:cs="Times New Roman"/>
            <w:color w:val="0000FF"/>
            <w:sz w:val="24"/>
            <w:szCs w:val="24"/>
            <w:u w:val="single"/>
          </w:rPr>
          <w:t>https://doi.org/10.1076/neur.9.6.482.29376</w:t>
        </w:r>
      </w:hyperlink>
    </w:p>
    <w:p w14:paraId="4FD92C6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Souchay, C., Moulin, C. J. A., Isingrini, M., &amp; Conway, M. A. (2008). Rehearsal strategy use in Alzheimer’s disease. </w:t>
      </w:r>
      <w:r w:rsidRPr="0074138E">
        <w:rPr>
          <w:rFonts w:ascii="Times New Roman" w:eastAsia="Times New Roman" w:hAnsi="Times New Roman" w:cs="Times New Roman"/>
          <w:i/>
          <w:iCs/>
          <w:sz w:val="24"/>
          <w:szCs w:val="24"/>
        </w:rPr>
        <w:t>Cognitive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(6), 783–797. </w:t>
      </w:r>
      <w:hyperlink r:id="rId5469" w:history="1">
        <w:r w:rsidRPr="0074138E">
          <w:rPr>
            <w:rFonts w:ascii="Times New Roman" w:eastAsia="Times New Roman" w:hAnsi="Times New Roman" w:cs="Times New Roman"/>
            <w:color w:val="0000FF"/>
            <w:sz w:val="24"/>
            <w:szCs w:val="24"/>
            <w:u w:val="single"/>
          </w:rPr>
          <w:t>https://doi.org/10.1080/02643290802338182</w:t>
        </w:r>
      </w:hyperlink>
    </w:p>
    <w:p w14:paraId="598A78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Sousa, H., Machado, M., &amp; Quintas, J. (2013). Detecção de simulação com o uso do Wisconsin Card Sorting Test e do Trail Making Test. [Detection of malingering using the Wisconsin Card Sorting Test and the Trail Making Test.]. </w:t>
      </w:r>
      <w:r w:rsidRPr="0074138E">
        <w:rPr>
          <w:rFonts w:ascii="Times New Roman" w:eastAsia="Times New Roman" w:hAnsi="Times New Roman" w:cs="Times New Roman"/>
          <w:i/>
          <w:iCs/>
          <w:sz w:val="24"/>
          <w:szCs w:val="24"/>
        </w:rPr>
        <w:t>Psicologia: Teoria e Pesquisa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15–20. </w:t>
      </w:r>
      <w:hyperlink r:id="rId5470" w:history="1">
        <w:r w:rsidRPr="0074138E">
          <w:rPr>
            <w:rFonts w:ascii="Times New Roman" w:eastAsia="Times New Roman" w:hAnsi="Times New Roman" w:cs="Times New Roman"/>
            <w:color w:val="0000FF"/>
            <w:sz w:val="24"/>
            <w:szCs w:val="24"/>
            <w:u w:val="single"/>
          </w:rPr>
          <w:t>https://doi.org/10.1590/S0102-37722013000100003</w:t>
        </w:r>
      </w:hyperlink>
    </w:p>
    <w:p w14:paraId="3041F42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Soussignan, R., Ehrlé, N., Henry, A., Schaal, B., &amp; Bakchine, S. (2005). Dissociation of emotional processes in response to visual and olfactory stimuli following frontotemporal damage.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114–128. </w:t>
      </w:r>
      <w:hyperlink r:id="rId5471" w:history="1">
        <w:r w:rsidRPr="0074138E">
          <w:rPr>
            <w:rFonts w:ascii="Times New Roman" w:eastAsia="Times New Roman" w:hAnsi="Times New Roman" w:cs="Times New Roman"/>
            <w:color w:val="0000FF"/>
            <w:sz w:val="24"/>
            <w:szCs w:val="24"/>
            <w:u w:val="single"/>
          </w:rPr>
          <w:t>https://doi.org/10.1080/13554790590922513</w:t>
        </w:r>
      </w:hyperlink>
    </w:p>
    <w:p w14:paraId="6D4063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South, M., Ozonoff, S., &amp; McMahon, W. M. (2007). The relationship between executive functioning, central coherence, and repetitive behaviors in the high-functioning autism spectrum. </w:t>
      </w:r>
      <w:r w:rsidRPr="0074138E">
        <w:rPr>
          <w:rFonts w:ascii="Times New Roman" w:eastAsia="Times New Roman" w:hAnsi="Times New Roman" w:cs="Times New Roman"/>
          <w:i/>
          <w:iCs/>
          <w:sz w:val="24"/>
          <w:szCs w:val="24"/>
        </w:rPr>
        <w:t>Autism</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(5), 437–451. </w:t>
      </w:r>
      <w:hyperlink r:id="rId5472" w:history="1">
        <w:r w:rsidRPr="0074138E">
          <w:rPr>
            <w:rFonts w:ascii="Times New Roman" w:eastAsia="Times New Roman" w:hAnsi="Times New Roman" w:cs="Times New Roman"/>
            <w:color w:val="0000FF"/>
            <w:sz w:val="24"/>
            <w:szCs w:val="24"/>
            <w:u w:val="single"/>
          </w:rPr>
          <w:t>https://doi.org/10.1177/1362361307079606</w:t>
        </w:r>
      </w:hyperlink>
    </w:p>
    <w:p w14:paraId="5A2A45A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Sowerby, P., Seal, S., &amp; Tripp, G. (2011). Working memory deficits in ADHD: The contribution of age, learning/language difficulties, and task parameters.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(6), 461–472. </w:t>
      </w:r>
      <w:hyperlink r:id="rId5473" w:history="1">
        <w:r w:rsidRPr="0074138E">
          <w:rPr>
            <w:rFonts w:ascii="Times New Roman" w:eastAsia="Times New Roman" w:hAnsi="Times New Roman" w:cs="Times New Roman"/>
            <w:color w:val="0000FF"/>
            <w:sz w:val="24"/>
            <w:szCs w:val="24"/>
            <w:u w:val="single"/>
          </w:rPr>
          <w:t>https://doi.org/10.1177/1087054710370674</w:t>
        </w:r>
      </w:hyperlink>
    </w:p>
    <w:p w14:paraId="22BE5B5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Soyata, A. Z., Akışık, S., İnhanlı, D., Noyan, H., &amp; Üçok, A. (2018). Relationship of obsessive-compulsive symptoms to clinical variables and cognitive functions in individuals at ultra high risk for psychosis.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261</w:t>
      </w:r>
      <w:r w:rsidRPr="0074138E">
        <w:rPr>
          <w:rFonts w:ascii="Times New Roman" w:eastAsia="Times New Roman" w:hAnsi="Times New Roman" w:cs="Times New Roman"/>
          <w:sz w:val="24"/>
          <w:szCs w:val="24"/>
        </w:rPr>
        <w:t xml:space="preserve">, 332–337. </w:t>
      </w:r>
      <w:hyperlink r:id="rId5474" w:history="1">
        <w:r w:rsidRPr="0074138E">
          <w:rPr>
            <w:rFonts w:ascii="Times New Roman" w:eastAsia="Times New Roman" w:hAnsi="Times New Roman" w:cs="Times New Roman"/>
            <w:color w:val="0000FF"/>
            <w:sz w:val="24"/>
            <w:szCs w:val="24"/>
            <w:u w:val="single"/>
          </w:rPr>
          <w:t>https://doi.org/10.1016/j.psychres.2018.01.004</w:t>
        </w:r>
      </w:hyperlink>
    </w:p>
    <w:p w14:paraId="7BC35D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Soyata, A. Z., Aksu, S., Woods, A. J., İşçen, P., Saçar, K. T., &amp; Karamürsel, S. (2019). Effect of transcranial direct current stimulation on decision making and cognitive flexibility in gambling disorder.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269</w:t>
      </w:r>
      <w:r w:rsidRPr="0074138E">
        <w:rPr>
          <w:rFonts w:ascii="Times New Roman" w:eastAsia="Times New Roman" w:hAnsi="Times New Roman" w:cs="Times New Roman"/>
          <w:sz w:val="24"/>
          <w:szCs w:val="24"/>
        </w:rPr>
        <w:t xml:space="preserve">(3), 275–284. </w:t>
      </w:r>
      <w:hyperlink r:id="rId5475" w:history="1">
        <w:r w:rsidRPr="0074138E">
          <w:rPr>
            <w:rFonts w:ascii="Times New Roman" w:eastAsia="Times New Roman" w:hAnsi="Times New Roman" w:cs="Times New Roman"/>
            <w:color w:val="0000FF"/>
            <w:sz w:val="24"/>
            <w:szCs w:val="24"/>
            <w:u w:val="single"/>
          </w:rPr>
          <w:t>https://doi.org/10.1007/s00406-018-0948-5</w:t>
        </w:r>
      </w:hyperlink>
    </w:p>
    <w:p w14:paraId="10D639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Soyka, M. (2011). Neurobiology of aggression and violence in schizophrenia.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(Suppl 5), 913–920. </w:t>
      </w:r>
      <w:hyperlink r:id="rId5476" w:history="1">
        <w:r w:rsidRPr="0074138E">
          <w:rPr>
            <w:rFonts w:ascii="Times New Roman" w:eastAsia="Times New Roman" w:hAnsi="Times New Roman" w:cs="Times New Roman"/>
            <w:color w:val="0000FF"/>
            <w:sz w:val="24"/>
            <w:szCs w:val="24"/>
            <w:u w:val="single"/>
          </w:rPr>
          <w:t>https://doi.org/10.1093/schbul/sbr103</w:t>
        </w:r>
      </w:hyperlink>
    </w:p>
    <w:p w14:paraId="0557AC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Soyka, M., Limmer, C., Lehnert, R., Koller, G., Martin, G., Küfner, H., Kagerer, S., &amp; Haberthür, A. (2011). A comparison of cognitive function in patients under maintenance treatment with heroin, methadone, or buprenorphine and healthy controls: An open pilot study. </w:t>
      </w:r>
      <w:r w:rsidRPr="0074138E">
        <w:rPr>
          <w:rFonts w:ascii="Times New Roman" w:eastAsia="Times New Roman" w:hAnsi="Times New Roman" w:cs="Times New Roman"/>
          <w:i/>
          <w:iCs/>
          <w:sz w:val="24"/>
          <w:szCs w:val="24"/>
        </w:rPr>
        <w:t>The American Journal of Drug and Alcohol Abuse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(6), 497–508. </w:t>
      </w:r>
      <w:hyperlink r:id="rId5477" w:history="1">
        <w:r w:rsidRPr="0074138E">
          <w:rPr>
            <w:rFonts w:ascii="Times New Roman" w:eastAsia="Times New Roman" w:hAnsi="Times New Roman" w:cs="Times New Roman"/>
            <w:color w:val="0000FF"/>
            <w:sz w:val="24"/>
            <w:szCs w:val="24"/>
            <w:u w:val="single"/>
          </w:rPr>
          <w:t>https://doi.org/10.3109/00952990.2011.600381</w:t>
        </w:r>
      </w:hyperlink>
    </w:p>
    <w:p w14:paraId="0F8FB8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Sözeri̇ Varma, G., Karadağ, F., Erdal, M. E., İzci̇ Ay, Ö., Aydin, E., Gökdoğan Edgünlü, T., &amp; Herken, H. (2012). Şizofrenide DRD3 ser9gly polimorfizmlerinin bilişsel işlevlerle ilişkisi: Bir ön çalışma. [The relationship DRD3 Ser9Gly polymorphisms and cognitive functions in schizophrenia: A preliminary study.]. </w:t>
      </w:r>
      <w:r w:rsidRPr="0074138E">
        <w:rPr>
          <w:rFonts w:ascii="Times New Roman" w:eastAsia="Times New Roman" w:hAnsi="Times New Roman" w:cs="Times New Roman"/>
          <w:i/>
          <w:iCs/>
          <w:sz w:val="24"/>
          <w:szCs w:val="24"/>
        </w:rPr>
        <w:t>Anadolu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(3), 184–190.</w:t>
      </w:r>
    </w:p>
    <w:p w14:paraId="179BAB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Spaccavento, S., Del Prete, M., Loverre, A., Craca, A., &amp; Nardulli, R. (2013). Multiple system atrophy with early cognitive deficits: A case report.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(6), 613–622. </w:t>
      </w:r>
      <w:hyperlink r:id="rId5478" w:history="1">
        <w:r w:rsidRPr="0074138E">
          <w:rPr>
            <w:rFonts w:ascii="Times New Roman" w:eastAsia="Times New Roman" w:hAnsi="Times New Roman" w:cs="Times New Roman"/>
            <w:color w:val="0000FF"/>
            <w:sz w:val="24"/>
            <w:szCs w:val="24"/>
            <w:u w:val="single"/>
          </w:rPr>
          <w:t>https://doi.org/10.1080/13554794.2012.713494</w:t>
        </w:r>
      </w:hyperlink>
    </w:p>
    <w:p w14:paraId="4A1858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Spalletta, G., Cravello, L., Gianni, W., Piras, F., Iorio, M., Cacciari, C., Casini, A. R., Chiapponi, C., Sancesario, G., Fratangeli, C., Orfei, M. D., Caltagirone, C., &amp; Piras, F. (2016). Homotaurine effects on hippocampal volume loss and episodic memory in amnestic mild cognitive impairment. </w:t>
      </w:r>
      <w:r w:rsidRPr="0074138E">
        <w:rPr>
          <w:rFonts w:ascii="Times New Roman" w:eastAsia="Times New Roman" w:hAnsi="Times New Roman" w:cs="Times New Roman"/>
          <w:i/>
          <w:iCs/>
          <w:sz w:val="24"/>
          <w:szCs w:val="24"/>
        </w:rPr>
        <w:t>Journal of Alzheimer’s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w:t>
      </w:r>
      <w:r w:rsidRPr="0074138E">
        <w:rPr>
          <w:rFonts w:ascii="Times New Roman" w:eastAsia="Times New Roman" w:hAnsi="Times New Roman" w:cs="Times New Roman"/>
          <w:sz w:val="24"/>
          <w:szCs w:val="24"/>
        </w:rPr>
        <w:t xml:space="preserve">(3), 807–816. </w:t>
      </w:r>
      <w:hyperlink r:id="rId5479" w:history="1">
        <w:r w:rsidRPr="0074138E">
          <w:rPr>
            <w:rFonts w:ascii="Times New Roman" w:eastAsia="Times New Roman" w:hAnsi="Times New Roman" w:cs="Times New Roman"/>
            <w:color w:val="0000FF"/>
            <w:sz w:val="24"/>
            <w:szCs w:val="24"/>
            <w:u w:val="single"/>
          </w:rPr>
          <w:t>https://doi.org/10.3233/JAD-150484</w:t>
        </w:r>
      </w:hyperlink>
    </w:p>
    <w:p w14:paraId="230C48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Spalletta, G., Cravello, L., Piras, F., Iorio, M., Sancesario, G., Marchi, A., Caltagirone, C., &amp; Cacciari, C. (2013). Rapid-onset apathy may be the only clinical manifestation after dorsal striatum hemorrhagic lesion: A case report. </w:t>
      </w:r>
      <w:r w:rsidRPr="0074138E">
        <w:rPr>
          <w:rFonts w:ascii="Times New Roman" w:eastAsia="Times New Roman" w:hAnsi="Times New Roman" w:cs="Times New Roman"/>
          <w:i/>
          <w:iCs/>
          <w:sz w:val="24"/>
          <w:szCs w:val="24"/>
        </w:rPr>
        <w:t>Alzheimer Disease and Associated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192–194. </w:t>
      </w:r>
      <w:hyperlink r:id="rId5480" w:history="1">
        <w:r w:rsidRPr="0074138E">
          <w:rPr>
            <w:rFonts w:ascii="Times New Roman" w:eastAsia="Times New Roman" w:hAnsi="Times New Roman" w:cs="Times New Roman"/>
            <w:color w:val="0000FF"/>
            <w:sz w:val="24"/>
            <w:szCs w:val="24"/>
            <w:u w:val="single"/>
          </w:rPr>
          <w:t>https://doi.org/10.1097/WAD.0b013e318260ab97</w:t>
        </w:r>
      </w:hyperlink>
    </w:p>
    <w:p w14:paraId="2947B7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Spalletta, G., Piras, F., Piras, F., Caltagirone, C., &amp; Orfei, M. D. (2014). The structural neuroanatomy of metacognitive insight in schizophrenia and its psychopathological and neuropsychological correlates. </w:t>
      </w:r>
      <w:r w:rsidRPr="0074138E">
        <w:rPr>
          <w:rFonts w:ascii="Times New Roman" w:eastAsia="Times New Roman" w:hAnsi="Times New Roman" w:cs="Times New Roman"/>
          <w:i/>
          <w:iCs/>
          <w:sz w:val="24"/>
          <w:szCs w:val="24"/>
        </w:rPr>
        <w:t>Human Brain Mapping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(9), 4729–4740. </w:t>
      </w:r>
      <w:hyperlink r:id="rId5481" w:history="1">
        <w:r w:rsidRPr="0074138E">
          <w:rPr>
            <w:rFonts w:ascii="Times New Roman" w:eastAsia="Times New Roman" w:hAnsi="Times New Roman" w:cs="Times New Roman"/>
            <w:color w:val="0000FF"/>
            <w:sz w:val="24"/>
            <w:szCs w:val="24"/>
            <w:u w:val="single"/>
          </w:rPr>
          <w:t>https://doi.org/10.1002/hbm.22507</w:t>
        </w:r>
      </w:hyperlink>
    </w:p>
    <w:p w14:paraId="3F4D88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Spangaro, M., Bosia, M., Bechi, M., Buonocore, M., Cocchi, F., Guglielmino, C., Bianchi, L., Mastromatteo, A., Lorenzi, C., &amp; Cavallaro, R. (2018). Neurobiology of cognitive remediation in schizophrenia: Effects of EAAT2 polymorphism.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202</w:t>
      </w:r>
      <w:r w:rsidRPr="0074138E">
        <w:rPr>
          <w:rFonts w:ascii="Times New Roman" w:eastAsia="Times New Roman" w:hAnsi="Times New Roman" w:cs="Times New Roman"/>
          <w:sz w:val="24"/>
          <w:szCs w:val="24"/>
        </w:rPr>
        <w:t xml:space="preserve">, 106–110. </w:t>
      </w:r>
      <w:hyperlink r:id="rId5482" w:history="1">
        <w:r w:rsidRPr="0074138E">
          <w:rPr>
            <w:rFonts w:ascii="Times New Roman" w:eastAsia="Times New Roman" w:hAnsi="Times New Roman" w:cs="Times New Roman"/>
            <w:color w:val="0000FF"/>
            <w:sz w:val="24"/>
            <w:szCs w:val="24"/>
            <w:u w:val="single"/>
          </w:rPr>
          <w:t>https://doi.org/10.1016/j.schres.2018.06.059</w:t>
        </w:r>
      </w:hyperlink>
    </w:p>
    <w:p w14:paraId="1C7DAB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Spangler, D. P., Bell, M. A., &amp; Deater‐Deckard, K. (2015). Emotion suppression moderates the quadratic association between RSA and executive function. </w:t>
      </w:r>
      <w:r w:rsidRPr="0074138E">
        <w:rPr>
          <w:rFonts w:ascii="Times New Roman" w:eastAsia="Times New Roman" w:hAnsi="Times New Roman" w:cs="Times New Roman"/>
          <w:i/>
          <w:iCs/>
          <w:sz w:val="24"/>
          <w:szCs w:val="24"/>
        </w:rPr>
        <w:t>Psychophysiology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(9), 1175–1185. </w:t>
      </w:r>
      <w:hyperlink r:id="rId5483" w:history="1">
        <w:r w:rsidRPr="0074138E">
          <w:rPr>
            <w:rFonts w:ascii="Times New Roman" w:eastAsia="Times New Roman" w:hAnsi="Times New Roman" w:cs="Times New Roman"/>
            <w:color w:val="0000FF"/>
            <w:sz w:val="24"/>
            <w:szCs w:val="24"/>
            <w:u w:val="single"/>
          </w:rPr>
          <w:t>https://doi.org/10.1111/psyp.12451</w:t>
        </w:r>
      </w:hyperlink>
    </w:p>
    <w:p w14:paraId="1C33972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Spann, M. N., Mayes, L. C., Kalmar, J. H., Guiney, J., Womer, F. Y., Pittman, B., Mazure, C. M., Sinha, R., &amp; Blumberg, H. P. (2012). Childhood abuse and neglect and cognitive flexibility in adolescents.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(2), 182–189. </w:t>
      </w:r>
      <w:hyperlink r:id="rId5484" w:history="1">
        <w:r w:rsidRPr="0074138E">
          <w:rPr>
            <w:rFonts w:ascii="Times New Roman" w:eastAsia="Times New Roman" w:hAnsi="Times New Roman" w:cs="Times New Roman"/>
            <w:color w:val="0000FF"/>
            <w:sz w:val="24"/>
            <w:szCs w:val="24"/>
            <w:u w:val="single"/>
          </w:rPr>
          <w:t>https://doi.org/10.1080/09297049.2011.595400</w:t>
        </w:r>
      </w:hyperlink>
    </w:p>
    <w:p w14:paraId="0239C2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Specht, K., Lie, C.-H., Shah, Nadim. J., &amp; Fink, G. R. (2009). Disentangling the prefrontal network for rule selection by means of a non-verbal variant of the Wisconsin Card Sorting Test. </w:t>
      </w:r>
      <w:r w:rsidRPr="0074138E">
        <w:rPr>
          <w:rFonts w:ascii="Times New Roman" w:eastAsia="Times New Roman" w:hAnsi="Times New Roman" w:cs="Times New Roman"/>
          <w:i/>
          <w:iCs/>
          <w:sz w:val="24"/>
          <w:szCs w:val="24"/>
        </w:rPr>
        <w:t>Human Brain Mapping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(5), 1734–1743. </w:t>
      </w:r>
      <w:hyperlink r:id="rId5485" w:history="1">
        <w:r w:rsidRPr="0074138E">
          <w:rPr>
            <w:rFonts w:ascii="Times New Roman" w:eastAsia="Times New Roman" w:hAnsi="Times New Roman" w:cs="Times New Roman"/>
            <w:color w:val="0000FF"/>
            <w:sz w:val="24"/>
            <w:szCs w:val="24"/>
            <w:u w:val="single"/>
          </w:rPr>
          <w:t>https://doi.org/10.1002/hbm.20637</w:t>
        </w:r>
      </w:hyperlink>
    </w:p>
    <w:p w14:paraId="7CF2147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Specht, M. W., &amp; Chang, S. W. (2013). Tourette’s disorder and other tic disorders. In </w:t>
      </w:r>
      <w:r w:rsidRPr="0074138E">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74138E">
        <w:rPr>
          <w:rFonts w:ascii="Times New Roman" w:eastAsia="Times New Roman" w:hAnsi="Times New Roman" w:cs="Times New Roman"/>
          <w:sz w:val="24"/>
          <w:szCs w:val="24"/>
        </w:rPr>
        <w:t xml:space="preserve"> (pp. 201–224). American Psychological Association. </w:t>
      </w:r>
      <w:hyperlink r:id="rId5486" w:history="1">
        <w:r w:rsidRPr="0074138E">
          <w:rPr>
            <w:rFonts w:ascii="Times New Roman" w:eastAsia="Times New Roman" w:hAnsi="Times New Roman" w:cs="Times New Roman"/>
            <w:color w:val="0000FF"/>
            <w:sz w:val="24"/>
            <w:szCs w:val="24"/>
            <w:u w:val="single"/>
          </w:rPr>
          <w:t>https://doi.org/10.1037/14091-009</w:t>
        </w:r>
      </w:hyperlink>
    </w:p>
    <w:p w14:paraId="6E0756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Spencer, R. J., &amp; Adams, K. M. (2012). Neuropsychology and polytrauma services. In </w:t>
      </w:r>
      <w:r w:rsidRPr="0074138E">
        <w:rPr>
          <w:rFonts w:ascii="Times New Roman" w:eastAsia="Times New Roman" w:hAnsi="Times New Roman" w:cs="Times New Roman"/>
          <w:i/>
          <w:iCs/>
          <w:sz w:val="24"/>
          <w:szCs w:val="24"/>
        </w:rPr>
        <w:t>Neuropsychological practice with veterans.</w:t>
      </w:r>
      <w:r w:rsidRPr="0074138E">
        <w:rPr>
          <w:rFonts w:ascii="Times New Roman" w:eastAsia="Times New Roman" w:hAnsi="Times New Roman" w:cs="Times New Roman"/>
          <w:sz w:val="24"/>
          <w:szCs w:val="24"/>
        </w:rPr>
        <w:t xml:space="preserve"> (pp. 77–98). Springer Publishing Co.</w:t>
      </w:r>
    </w:p>
    <w:p w14:paraId="2A90107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Spencer, W. D., &amp; Raz, N. (1994). Memory for facts, source, and context: Can frontal lobe dysfunction explain age-related differences?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(1), 149–159. </w:t>
      </w:r>
      <w:hyperlink r:id="rId5487" w:history="1">
        <w:r w:rsidRPr="0074138E">
          <w:rPr>
            <w:rFonts w:ascii="Times New Roman" w:eastAsia="Times New Roman" w:hAnsi="Times New Roman" w:cs="Times New Roman"/>
            <w:color w:val="0000FF"/>
            <w:sz w:val="24"/>
            <w:szCs w:val="24"/>
            <w:u w:val="single"/>
          </w:rPr>
          <w:t>https://doi.org/10.1037/0882-7974.9.1.149</w:t>
        </w:r>
      </w:hyperlink>
    </w:p>
    <w:p w14:paraId="73D3F2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Spengler, S., von Cramon, D. Y., &amp; Brass, M. (2010). Resisting motor mimicry: Control of imitation involves processes central to social cognition in patients with frontal and temporo-parietal lesions. </w:t>
      </w:r>
      <w:r w:rsidRPr="0074138E">
        <w:rPr>
          <w:rFonts w:ascii="Times New Roman" w:eastAsia="Times New Roman" w:hAnsi="Times New Roman" w:cs="Times New Roman"/>
          <w:i/>
          <w:iCs/>
          <w:sz w:val="24"/>
          <w:szCs w:val="24"/>
        </w:rPr>
        <w:t>Social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(4), 401–416. </w:t>
      </w:r>
      <w:hyperlink r:id="rId5488" w:history="1">
        <w:r w:rsidRPr="0074138E">
          <w:rPr>
            <w:rFonts w:ascii="Times New Roman" w:eastAsia="Times New Roman" w:hAnsi="Times New Roman" w:cs="Times New Roman"/>
            <w:color w:val="0000FF"/>
            <w:sz w:val="24"/>
            <w:szCs w:val="24"/>
            <w:u w:val="single"/>
          </w:rPr>
          <w:t>https://doi.org/10.1080/17470911003687905</w:t>
        </w:r>
      </w:hyperlink>
    </w:p>
    <w:p w14:paraId="2510D9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Spiekermann, A., Schulz, M., Behrens, J., Driessen, M., Rahn, E., &amp; Beblo, T. (2011). Kognitive Leistungen und Adhärenzverhalten bei Patienten mit schizophrenen Psychosen. [Adherence and cognitive performance in schizophrenia.]. </w:t>
      </w:r>
      <w:r w:rsidRPr="0074138E">
        <w:rPr>
          <w:rFonts w:ascii="Times New Roman" w:eastAsia="Times New Roman" w:hAnsi="Times New Roman" w:cs="Times New Roman"/>
          <w:i/>
          <w:iCs/>
          <w:sz w:val="24"/>
          <w:szCs w:val="24"/>
        </w:rPr>
        <w:t>Fortschritte Der Neurologie, Psychiatrie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79</w:t>
      </w:r>
      <w:r w:rsidRPr="0074138E">
        <w:rPr>
          <w:rFonts w:ascii="Times New Roman" w:eastAsia="Times New Roman" w:hAnsi="Times New Roman" w:cs="Times New Roman"/>
          <w:sz w:val="24"/>
          <w:szCs w:val="24"/>
        </w:rPr>
        <w:t xml:space="preserve">(2), 73–82. </w:t>
      </w:r>
      <w:hyperlink r:id="rId5489" w:history="1">
        <w:r w:rsidRPr="0074138E">
          <w:rPr>
            <w:rFonts w:ascii="Times New Roman" w:eastAsia="Times New Roman" w:hAnsi="Times New Roman" w:cs="Times New Roman"/>
            <w:color w:val="0000FF"/>
            <w:sz w:val="24"/>
            <w:szCs w:val="24"/>
            <w:u w:val="single"/>
          </w:rPr>
          <w:t>https://doi.org/10.1055/s-0029-1245622</w:t>
        </w:r>
      </w:hyperlink>
    </w:p>
    <w:p w14:paraId="127774E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Spies, G., Fennema-Notestine, C., Archibald, S. L., Cherner, M., &amp; Seedat, S. (2012). Neurocognitive deficits in HIV-infected women and victims of childhood trauma. </w:t>
      </w:r>
      <w:r w:rsidRPr="0074138E">
        <w:rPr>
          <w:rFonts w:ascii="Times New Roman" w:eastAsia="Times New Roman" w:hAnsi="Times New Roman" w:cs="Times New Roman"/>
          <w:i/>
          <w:iCs/>
          <w:sz w:val="24"/>
          <w:szCs w:val="24"/>
        </w:rPr>
        <w:t>AIDS Care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(9), 1126–1135. </w:t>
      </w:r>
      <w:hyperlink r:id="rId5490" w:history="1">
        <w:r w:rsidRPr="0074138E">
          <w:rPr>
            <w:rFonts w:ascii="Times New Roman" w:eastAsia="Times New Roman" w:hAnsi="Times New Roman" w:cs="Times New Roman"/>
            <w:color w:val="0000FF"/>
            <w:sz w:val="24"/>
            <w:szCs w:val="24"/>
            <w:u w:val="single"/>
          </w:rPr>
          <w:t>https://doi.org/10.1080/09540121.2012.687813</w:t>
        </w:r>
      </w:hyperlink>
    </w:p>
    <w:p w14:paraId="0BCCAAF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Spiller, M. J., &amp; Jansari, A. S. (2013). Synesthesia and savantism. In </w:t>
      </w:r>
      <w:r w:rsidRPr="0074138E">
        <w:rPr>
          <w:rFonts w:ascii="Times New Roman" w:eastAsia="Times New Roman" w:hAnsi="Times New Roman" w:cs="Times New Roman"/>
          <w:i/>
          <w:iCs/>
          <w:sz w:val="24"/>
          <w:szCs w:val="24"/>
        </w:rPr>
        <w:t>The Oxford handbook of synesthesia.</w:t>
      </w:r>
      <w:r w:rsidRPr="0074138E">
        <w:rPr>
          <w:rFonts w:ascii="Times New Roman" w:eastAsia="Times New Roman" w:hAnsi="Times New Roman" w:cs="Times New Roman"/>
          <w:sz w:val="24"/>
          <w:szCs w:val="24"/>
        </w:rPr>
        <w:t xml:space="preserve"> (pp. 707–727). Oxford University Press.</w:t>
      </w:r>
    </w:p>
    <w:p w14:paraId="45C7B8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Spina, S., Farlow, M. R., Unverzagt, F. W., Kareken, D. A., Murrell, J. R., Fraser, G., Epperson, F., Crowther, R. A., Spillantini, M. G., Goedert, M., &amp; Ghetti, B. (2008). The tauopathy associated with mutation +3 in intron 10 of Tau: Characterization of the MSTD family.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131</w:t>
      </w:r>
      <w:r w:rsidRPr="0074138E">
        <w:rPr>
          <w:rFonts w:ascii="Times New Roman" w:eastAsia="Times New Roman" w:hAnsi="Times New Roman" w:cs="Times New Roman"/>
          <w:sz w:val="24"/>
          <w:szCs w:val="24"/>
        </w:rPr>
        <w:t xml:space="preserve">(1), 72–89. </w:t>
      </w:r>
      <w:hyperlink r:id="rId5491" w:history="1">
        <w:r w:rsidRPr="0074138E">
          <w:rPr>
            <w:rFonts w:ascii="Times New Roman" w:eastAsia="Times New Roman" w:hAnsi="Times New Roman" w:cs="Times New Roman"/>
            <w:color w:val="0000FF"/>
            <w:sz w:val="24"/>
            <w:szCs w:val="24"/>
            <w:u w:val="single"/>
          </w:rPr>
          <w:t>https://doi.org/10.1093/brain/awm280</w:t>
        </w:r>
      </w:hyperlink>
    </w:p>
    <w:p w14:paraId="1A0D0A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Spiro III, A., &amp; Brady, C. B. (2008). Integrating health into cognitive aging research and theory: Quo vadis? In </w:t>
      </w:r>
      <w:r w:rsidRPr="0074138E">
        <w:rPr>
          <w:rFonts w:ascii="Times New Roman" w:eastAsia="Times New Roman" w:hAnsi="Times New Roman" w:cs="Times New Roman"/>
          <w:i/>
          <w:iCs/>
          <w:sz w:val="24"/>
          <w:szCs w:val="24"/>
        </w:rPr>
        <w:t>Handbook of cognitive aging: Interdisciplinary perspectives.</w:t>
      </w:r>
      <w:r w:rsidRPr="0074138E">
        <w:rPr>
          <w:rFonts w:ascii="Times New Roman" w:eastAsia="Times New Roman" w:hAnsi="Times New Roman" w:cs="Times New Roman"/>
          <w:sz w:val="24"/>
          <w:szCs w:val="24"/>
        </w:rPr>
        <w:t xml:space="preserve"> (pp. 260–283). Sage Publications, Inc. </w:t>
      </w:r>
      <w:hyperlink r:id="rId5492" w:history="1">
        <w:r w:rsidRPr="0074138E">
          <w:rPr>
            <w:rFonts w:ascii="Times New Roman" w:eastAsia="Times New Roman" w:hAnsi="Times New Roman" w:cs="Times New Roman"/>
            <w:color w:val="0000FF"/>
            <w:sz w:val="24"/>
            <w:szCs w:val="24"/>
            <w:u w:val="single"/>
          </w:rPr>
          <w:t>https://doi.org/10.4135/9781412976589.n16</w:t>
        </w:r>
      </w:hyperlink>
    </w:p>
    <w:p w14:paraId="01456F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Spitoni, G. F., Aragonaa, M., Bevacqua, S., Cotugno, A., &amp; Antonucci, G. (2018). An ecological approach to the behavioral assessment of executive functions in anorexia nervosa.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259</w:t>
      </w:r>
      <w:r w:rsidRPr="0074138E">
        <w:rPr>
          <w:rFonts w:ascii="Times New Roman" w:eastAsia="Times New Roman" w:hAnsi="Times New Roman" w:cs="Times New Roman"/>
          <w:sz w:val="24"/>
          <w:szCs w:val="24"/>
        </w:rPr>
        <w:t xml:space="preserve">, 283–288. </w:t>
      </w:r>
      <w:hyperlink r:id="rId5493" w:history="1">
        <w:r w:rsidRPr="0074138E">
          <w:rPr>
            <w:rFonts w:ascii="Times New Roman" w:eastAsia="Times New Roman" w:hAnsi="Times New Roman" w:cs="Times New Roman"/>
            <w:color w:val="0000FF"/>
            <w:sz w:val="24"/>
            <w:szCs w:val="24"/>
            <w:u w:val="single"/>
          </w:rPr>
          <w:t>https://doi.org/10.1016/j.psychres.2017.10.029</w:t>
        </w:r>
      </w:hyperlink>
    </w:p>
    <w:p w14:paraId="5FD54D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Spitznagel, M. B., &amp; Suhr, J. A. (2004). Neuropsychological Impairment Associated With Symptoms of Schizotypy: Role of Depressive and Paranoid Symptoms.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192</w:t>
      </w:r>
      <w:r w:rsidRPr="0074138E">
        <w:rPr>
          <w:rFonts w:ascii="Times New Roman" w:eastAsia="Times New Roman" w:hAnsi="Times New Roman" w:cs="Times New Roman"/>
          <w:sz w:val="24"/>
          <w:szCs w:val="24"/>
        </w:rPr>
        <w:t xml:space="preserve">(5), 382–384. </w:t>
      </w:r>
      <w:hyperlink r:id="rId5494" w:history="1">
        <w:r w:rsidRPr="0074138E">
          <w:rPr>
            <w:rFonts w:ascii="Times New Roman" w:eastAsia="Times New Roman" w:hAnsi="Times New Roman" w:cs="Times New Roman"/>
            <w:color w:val="0000FF"/>
            <w:sz w:val="24"/>
            <w:szCs w:val="24"/>
            <w:u w:val="single"/>
          </w:rPr>
          <w:t>https://doi.org/10.1097/01.nmd.0000126733.38673.8f</w:t>
        </w:r>
      </w:hyperlink>
    </w:p>
    <w:p w14:paraId="151DAD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Spoletini, I., Cherubini, A., Banfi, G., Rubino, I. A., Peran, P., Caltagirone, C., &amp; Spalletta, G. (2011). Hippocampi, thalami, and accumbens microstructural damage in schizophrenia: A volumetry, diffusivity, and neuropsychological study.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(1), 118–130. </w:t>
      </w:r>
      <w:hyperlink r:id="rId5495" w:history="1">
        <w:r w:rsidRPr="0074138E">
          <w:rPr>
            <w:rFonts w:ascii="Times New Roman" w:eastAsia="Times New Roman" w:hAnsi="Times New Roman" w:cs="Times New Roman"/>
            <w:color w:val="0000FF"/>
            <w:sz w:val="24"/>
            <w:szCs w:val="24"/>
            <w:u w:val="single"/>
          </w:rPr>
          <w:t>https://doi.org/10.1093/schbul/sbp058</w:t>
        </w:r>
      </w:hyperlink>
    </w:p>
    <w:p w14:paraId="2E9A49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Spreij, L. A., Gosselt, I. K., Visser-Meily, J. M. A., &amp; Nijboer, T. C. W. (2020). Digital neuropsychological assessment: Feasibility and applicability in patients with acquired brain injury.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(8), 781–793. </w:t>
      </w:r>
      <w:hyperlink r:id="rId5496" w:history="1">
        <w:r w:rsidRPr="0074138E">
          <w:rPr>
            <w:rFonts w:ascii="Times New Roman" w:eastAsia="Times New Roman" w:hAnsi="Times New Roman" w:cs="Times New Roman"/>
            <w:color w:val="0000FF"/>
            <w:sz w:val="24"/>
            <w:szCs w:val="24"/>
            <w:u w:val="single"/>
          </w:rPr>
          <w:t>https://doi.org/10.1080/13803395.2020.1808595</w:t>
        </w:r>
      </w:hyperlink>
    </w:p>
    <w:p w14:paraId="6FEFBDE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Sproch, L. E., Anderson, K. P., Sherman, M. F., Crawford, S. F., &amp; Brandt, H. A. (2019). A randomized controlled trial of group cognitive remediation therapy for anorexia nervosa: Effects on set‐shifting tasks for inpatient adults and adolescents. </w:t>
      </w:r>
      <w:r w:rsidRPr="0074138E">
        <w:rPr>
          <w:rFonts w:ascii="Times New Roman" w:eastAsia="Times New Roman" w:hAnsi="Times New Roman" w:cs="Times New Roman"/>
          <w:i/>
          <w:iCs/>
          <w:sz w:val="24"/>
          <w:szCs w:val="24"/>
        </w:rPr>
        <w:t>International Journal of Eating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(9), 1004–1014. </w:t>
      </w:r>
      <w:hyperlink r:id="rId5497" w:history="1">
        <w:r w:rsidRPr="0074138E">
          <w:rPr>
            <w:rFonts w:ascii="Times New Roman" w:eastAsia="Times New Roman" w:hAnsi="Times New Roman" w:cs="Times New Roman"/>
            <w:color w:val="0000FF"/>
            <w:sz w:val="24"/>
            <w:szCs w:val="24"/>
            <w:u w:val="single"/>
          </w:rPr>
          <w:t>https://doi.org/10.1002/eat.23143</w:t>
        </w:r>
      </w:hyperlink>
    </w:p>
    <w:p w14:paraId="5B55EB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Squarcina, L., Perlini, C., Peruzzo, D., Castellani, U., Marinelli, V., Bellani, M., Rambaldelli, G., Lasalvia, A., Tosato, S., De Santi, K., Spagnolli, F., Cerini, R., Ruggeri, M., &amp; Brambilla, P. (2015). The use of dynamic susceptibility contrast (DSC) MRI to automatically classify patients with first episode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165</w:t>
      </w:r>
      <w:r w:rsidRPr="0074138E">
        <w:rPr>
          <w:rFonts w:ascii="Times New Roman" w:eastAsia="Times New Roman" w:hAnsi="Times New Roman" w:cs="Times New Roman"/>
          <w:sz w:val="24"/>
          <w:szCs w:val="24"/>
        </w:rPr>
        <w:t xml:space="preserve">(1), 38–44. </w:t>
      </w:r>
      <w:hyperlink r:id="rId5498" w:history="1">
        <w:r w:rsidRPr="0074138E">
          <w:rPr>
            <w:rFonts w:ascii="Times New Roman" w:eastAsia="Times New Roman" w:hAnsi="Times New Roman" w:cs="Times New Roman"/>
            <w:color w:val="0000FF"/>
            <w:sz w:val="24"/>
            <w:szCs w:val="24"/>
            <w:u w:val="single"/>
          </w:rPr>
          <w:t>https://doi.org/10.1016/j.schres.2015.03.017</w:t>
        </w:r>
      </w:hyperlink>
    </w:p>
    <w:p w14:paraId="0A3EA6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Sreenivasan, S., Walker, S. C., Weinberger, L. E., Kirkish, P., &amp; Garrick, T. (2008). Four-facet PCL-R structure and cognitive functioning among high violent criminal offenders. </w:t>
      </w:r>
      <w:r w:rsidRPr="0074138E">
        <w:rPr>
          <w:rFonts w:ascii="Times New Roman" w:eastAsia="Times New Roman" w:hAnsi="Times New Roman" w:cs="Times New Roman"/>
          <w:i/>
          <w:iCs/>
          <w:sz w:val="24"/>
          <w:szCs w:val="24"/>
        </w:rPr>
        <w:t>Journal of Personality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90</w:t>
      </w:r>
      <w:r w:rsidRPr="0074138E">
        <w:rPr>
          <w:rFonts w:ascii="Times New Roman" w:eastAsia="Times New Roman" w:hAnsi="Times New Roman" w:cs="Times New Roman"/>
          <w:sz w:val="24"/>
          <w:szCs w:val="24"/>
        </w:rPr>
        <w:t xml:space="preserve">(2), 197–200. </w:t>
      </w:r>
      <w:hyperlink r:id="rId5499" w:history="1">
        <w:r w:rsidRPr="0074138E">
          <w:rPr>
            <w:rFonts w:ascii="Times New Roman" w:eastAsia="Times New Roman" w:hAnsi="Times New Roman" w:cs="Times New Roman"/>
            <w:color w:val="0000FF"/>
            <w:sz w:val="24"/>
            <w:szCs w:val="24"/>
            <w:u w:val="single"/>
          </w:rPr>
          <w:t>https://doi.org/10.1080/00223890701845476</w:t>
        </w:r>
      </w:hyperlink>
    </w:p>
    <w:p w14:paraId="20737E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C., Bhardwaj, A., Sharma, M., &amp; Kumar, S. (2019). Cognitive deficits in euthymic patients with bipolar disorder: State or trait marker?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207</w:t>
      </w:r>
      <w:r w:rsidRPr="0074138E">
        <w:rPr>
          <w:rFonts w:ascii="Times New Roman" w:eastAsia="Times New Roman" w:hAnsi="Times New Roman" w:cs="Times New Roman"/>
          <w:sz w:val="24"/>
          <w:szCs w:val="24"/>
        </w:rPr>
        <w:t xml:space="preserve">(2), 100–105. </w:t>
      </w:r>
      <w:hyperlink r:id="rId5500" w:history="1">
        <w:r w:rsidRPr="0074138E">
          <w:rPr>
            <w:rFonts w:ascii="Times New Roman" w:eastAsia="Times New Roman" w:hAnsi="Times New Roman" w:cs="Times New Roman"/>
            <w:color w:val="0000FF"/>
            <w:sz w:val="24"/>
            <w:szCs w:val="24"/>
            <w:u w:val="single"/>
          </w:rPr>
          <w:t>https://doi.org/10.1097/NMD.0000000000000920</w:t>
        </w:r>
      </w:hyperlink>
    </w:p>
    <w:p w14:paraId="09DB3E6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K., &amp; Kumar, R. (2016). Cognitive insight and executive function in schizophrenia. </w:t>
      </w:r>
      <w:r w:rsidRPr="0074138E">
        <w:rPr>
          <w:rFonts w:ascii="Times New Roman" w:eastAsia="Times New Roman" w:hAnsi="Times New Roman" w:cs="Times New Roman"/>
          <w:i/>
          <w:iCs/>
          <w:sz w:val="24"/>
          <w:szCs w:val="24"/>
        </w:rPr>
        <w:t>Journal of Projective Psychology &amp; Mental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(2), 106–114.</w:t>
      </w:r>
    </w:p>
    <w:p w14:paraId="3AF49E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K., &amp; Singh, L. K. (2015). Set shifting difficulty and psychopathology in schizophrenia. </w:t>
      </w:r>
      <w:r w:rsidRPr="0074138E">
        <w:rPr>
          <w:rFonts w:ascii="Times New Roman" w:eastAsia="Times New Roman" w:hAnsi="Times New Roman" w:cs="Times New Roman"/>
          <w:i/>
          <w:iCs/>
          <w:sz w:val="24"/>
          <w:szCs w:val="24"/>
        </w:rPr>
        <w:t>Indian Journal of Community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(1), 50–61.</w:t>
      </w:r>
    </w:p>
    <w:p w14:paraId="557256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Srivastava, V., &amp; Goldman, D. (2011). Imaging genetics and addiction. In </w:t>
      </w:r>
      <w:r w:rsidRPr="0074138E">
        <w:rPr>
          <w:rFonts w:ascii="Times New Roman" w:eastAsia="Times New Roman" w:hAnsi="Times New Roman" w:cs="Times New Roman"/>
          <w:i/>
          <w:iCs/>
          <w:sz w:val="24"/>
          <w:szCs w:val="24"/>
        </w:rPr>
        <w:t>Neuroimaging in addiction.</w:t>
      </w:r>
      <w:r w:rsidRPr="0074138E">
        <w:rPr>
          <w:rFonts w:ascii="Times New Roman" w:eastAsia="Times New Roman" w:hAnsi="Times New Roman" w:cs="Times New Roman"/>
          <w:sz w:val="24"/>
          <w:szCs w:val="24"/>
        </w:rPr>
        <w:t xml:space="preserve"> (pp. 287–317). Wiley-Blackwell. </w:t>
      </w:r>
      <w:hyperlink r:id="rId5501" w:history="1">
        <w:r w:rsidRPr="0074138E">
          <w:rPr>
            <w:rFonts w:ascii="Times New Roman" w:eastAsia="Times New Roman" w:hAnsi="Times New Roman" w:cs="Times New Roman"/>
            <w:color w:val="0000FF"/>
            <w:sz w:val="24"/>
            <w:szCs w:val="24"/>
            <w:u w:val="single"/>
          </w:rPr>
          <w:t>https://doi.org/10.1002/9781119998938.ch12</w:t>
        </w:r>
      </w:hyperlink>
    </w:p>
    <w:p w14:paraId="1E71C0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Ş¡şmanlar, Ş. G., Coşkun, A., Ağaoğlu, B., Zaimoğlu, S., Karakaya, lşık, &amp; Yavuz, C. lşık. (2009). Şizofreni tanılı hastaların Çocuklarında dikkat, bellek ve yürütücü işlevler. [Attention, memory and executive functions in the offspring of schizophrenic patients.]. </w:t>
      </w:r>
      <w:r w:rsidRPr="0074138E">
        <w:rPr>
          <w:rFonts w:ascii="Times New Roman" w:eastAsia="Times New Roman" w:hAnsi="Times New Roman" w:cs="Times New Roman"/>
          <w:i/>
          <w:iCs/>
          <w:sz w:val="24"/>
          <w:szCs w:val="24"/>
        </w:rPr>
        <w:t>Klinik Psikiyatri Dergisi: 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(4), 161–171.</w:t>
      </w:r>
    </w:p>
    <w:p w14:paraId="0CEDAF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 F. E., Van Heijningen, C. J. M., Wiedl, K. H., &amp; Resing, W. C. M. (2018). Predicting school achievement: Differential effects of dynamic testing measures and cognitive flexibility for math performance. </w:t>
      </w:r>
      <w:r w:rsidRPr="0074138E">
        <w:rPr>
          <w:rFonts w:ascii="Times New Roman" w:eastAsia="Times New Roman" w:hAnsi="Times New Roman" w:cs="Times New Roman"/>
          <w:i/>
          <w:iCs/>
          <w:sz w:val="24"/>
          <w:szCs w:val="24"/>
        </w:rPr>
        <w:t>Learning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67</w:t>
      </w:r>
      <w:r w:rsidRPr="0074138E">
        <w:rPr>
          <w:rFonts w:ascii="Times New Roman" w:eastAsia="Times New Roman" w:hAnsi="Times New Roman" w:cs="Times New Roman"/>
          <w:sz w:val="24"/>
          <w:szCs w:val="24"/>
        </w:rPr>
        <w:t xml:space="preserve">, 117–125. </w:t>
      </w:r>
      <w:hyperlink r:id="rId5502" w:history="1">
        <w:r w:rsidRPr="0074138E">
          <w:rPr>
            <w:rFonts w:ascii="Times New Roman" w:eastAsia="Times New Roman" w:hAnsi="Times New Roman" w:cs="Times New Roman"/>
            <w:color w:val="0000FF"/>
            <w:sz w:val="24"/>
            <w:szCs w:val="24"/>
            <w:u w:val="single"/>
          </w:rPr>
          <w:t>https://doi.org/10.1016/j.lindif.2018.07.006</w:t>
        </w:r>
      </w:hyperlink>
    </w:p>
    <w:p w14:paraId="15688F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 F. E., Wiedl, K. H., Vogelaar, B., Bakker, M., &amp; Resing, W. C. M. (2019). The role of cognitive flexibility in young children’s potential for learning under dynamic testing conditions. </w:t>
      </w:r>
      <w:r w:rsidRPr="0074138E">
        <w:rPr>
          <w:rFonts w:ascii="Times New Roman" w:eastAsia="Times New Roman" w:hAnsi="Times New Roman" w:cs="Times New Roman"/>
          <w:i/>
          <w:iCs/>
          <w:sz w:val="24"/>
          <w:szCs w:val="24"/>
        </w:rPr>
        <w:t>European Journal of Psychology of Education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(1), 123–146. </w:t>
      </w:r>
      <w:hyperlink r:id="rId5503" w:history="1">
        <w:r w:rsidRPr="0074138E">
          <w:rPr>
            <w:rFonts w:ascii="Times New Roman" w:eastAsia="Times New Roman" w:hAnsi="Times New Roman" w:cs="Times New Roman"/>
            <w:color w:val="0000FF"/>
            <w:sz w:val="24"/>
            <w:szCs w:val="24"/>
            <w:u w:val="single"/>
          </w:rPr>
          <w:t>https://doi.org/10.1007/s10212-018-0379-8</w:t>
        </w:r>
      </w:hyperlink>
    </w:p>
    <w:p w14:paraId="676460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Stadler, C., Sterzer, P., Schmeck, K., Krebs, A., Kleinschmidt, A., &amp; Poustka, F. (2007). Reduced anterior cingulate activation in aggressive children and adolescents during affective stimulation: Association with temperament traits.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(5), 410–417. </w:t>
      </w:r>
      <w:hyperlink r:id="rId5504" w:history="1">
        <w:r w:rsidRPr="0074138E">
          <w:rPr>
            <w:rFonts w:ascii="Times New Roman" w:eastAsia="Times New Roman" w:hAnsi="Times New Roman" w:cs="Times New Roman"/>
            <w:color w:val="0000FF"/>
            <w:sz w:val="24"/>
            <w:szCs w:val="24"/>
            <w:u w:val="single"/>
          </w:rPr>
          <w:t>https://doi.org/10.1016/j.jpsychires.2006.01.006</w:t>
        </w:r>
      </w:hyperlink>
    </w:p>
    <w:p w14:paraId="10DB318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Stadskleiv, K., Jahnsen, R., Andersen, G. L., &amp; von Tetzchner, S. (2017). Executive functioning in children aged 6–18 years with cerebral palsy. </w:t>
      </w:r>
      <w:r w:rsidRPr="0074138E">
        <w:rPr>
          <w:rFonts w:ascii="Times New Roman" w:eastAsia="Times New Roman" w:hAnsi="Times New Roman" w:cs="Times New Roman"/>
          <w:i/>
          <w:iCs/>
          <w:sz w:val="24"/>
          <w:szCs w:val="24"/>
        </w:rPr>
        <w:t>Journal of Developmental and Physical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(4), 663–681. </w:t>
      </w:r>
      <w:hyperlink r:id="rId5505" w:history="1">
        <w:r w:rsidRPr="0074138E">
          <w:rPr>
            <w:rFonts w:ascii="Times New Roman" w:eastAsia="Times New Roman" w:hAnsi="Times New Roman" w:cs="Times New Roman"/>
            <w:color w:val="0000FF"/>
            <w:sz w:val="24"/>
            <w:szCs w:val="24"/>
            <w:u w:val="single"/>
          </w:rPr>
          <w:t>https://doi.org/10.1007/s10882-017-9549-x</w:t>
        </w:r>
      </w:hyperlink>
    </w:p>
    <w:p w14:paraId="44075D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Staios, M., Fisher, F., Lindell, A. K., Ong, B., Howe, J., &amp; Reardon, K. (2013). Exploring sarcasm detection in amyotrophic lateral sclerosis using ecologically valid measures. </w:t>
      </w:r>
      <w:r w:rsidRPr="0074138E">
        <w:rPr>
          <w:rFonts w:ascii="Times New Roman" w:eastAsia="Times New Roman" w:hAnsi="Times New Roman" w:cs="Times New Roman"/>
          <w:i/>
          <w:iCs/>
          <w:sz w:val="24"/>
          <w:szCs w:val="24"/>
        </w:rPr>
        <w:t>Frontiers in Human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 </w:t>
      </w:r>
      <w:hyperlink r:id="rId5506" w:history="1">
        <w:r w:rsidRPr="0074138E">
          <w:rPr>
            <w:rFonts w:ascii="Times New Roman" w:eastAsia="Times New Roman" w:hAnsi="Times New Roman" w:cs="Times New Roman"/>
            <w:color w:val="0000FF"/>
            <w:sz w:val="24"/>
            <w:szCs w:val="24"/>
            <w:u w:val="single"/>
          </w:rPr>
          <w:t>https://doi.org/10.3389/fnhum.2013.00178</w:t>
        </w:r>
      </w:hyperlink>
    </w:p>
    <w:p w14:paraId="699D11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Stamenova, V., Gao, F., Black, S. E., Schwartz, M. L., Kovacevic, N., Alexander, M. P., &amp; Levine, B. (2017). The effect of focal cortical frontal and posterior lesions on recollection and familiarity in recognition memory.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91</w:t>
      </w:r>
      <w:r w:rsidRPr="0074138E">
        <w:rPr>
          <w:rFonts w:ascii="Times New Roman" w:eastAsia="Times New Roman" w:hAnsi="Times New Roman" w:cs="Times New Roman"/>
          <w:sz w:val="24"/>
          <w:szCs w:val="24"/>
        </w:rPr>
        <w:t xml:space="preserve">, 316–326. </w:t>
      </w:r>
      <w:hyperlink r:id="rId5507" w:history="1">
        <w:r w:rsidRPr="0074138E">
          <w:rPr>
            <w:rFonts w:ascii="Times New Roman" w:eastAsia="Times New Roman" w:hAnsi="Times New Roman" w:cs="Times New Roman"/>
            <w:color w:val="0000FF"/>
            <w:sz w:val="24"/>
            <w:szCs w:val="24"/>
            <w:u w:val="single"/>
          </w:rPr>
          <w:t>https://doi.org/10.1016/j.cortex.2017.04.003</w:t>
        </w:r>
      </w:hyperlink>
    </w:p>
    <w:p w14:paraId="49A8466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Stanford, M. S., Conklin, S. M., Helfritz, L. E., &amp; Kockler, T. R. (2007). P3 amplitude reduction and executive function deficits in men convicted of spousal/partner abuse. </w:t>
      </w:r>
      <w:r w:rsidRPr="0074138E">
        <w:rPr>
          <w:rFonts w:ascii="Times New Roman" w:eastAsia="Times New Roman" w:hAnsi="Times New Roman" w:cs="Times New Roman"/>
          <w:i/>
          <w:iCs/>
          <w:sz w:val="24"/>
          <w:szCs w:val="24"/>
        </w:rPr>
        <w:t>Personality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(2), 365–375. </w:t>
      </w:r>
      <w:hyperlink r:id="rId5508" w:history="1">
        <w:r w:rsidRPr="0074138E">
          <w:rPr>
            <w:rFonts w:ascii="Times New Roman" w:eastAsia="Times New Roman" w:hAnsi="Times New Roman" w:cs="Times New Roman"/>
            <w:color w:val="0000FF"/>
            <w:sz w:val="24"/>
            <w:szCs w:val="24"/>
            <w:u w:val="single"/>
          </w:rPr>
          <w:t>https://doi.org/10.1016/j.paid.2006.12.011</w:t>
        </w:r>
      </w:hyperlink>
    </w:p>
    <w:p w14:paraId="57A1EE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Staniloiu, A., Borsutzky, S., Woermann, F. G., &amp; Markowitsch, H. J. (2013). Social cognition in a case of amnesia with neurodevelopmental mechanisms.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 </w:t>
      </w:r>
      <w:hyperlink r:id="rId5509" w:history="1">
        <w:r w:rsidRPr="0074138E">
          <w:rPr>
            <w:rFonts w:ascii="Times New Roman" w:eastAsia="Times New Roman" w:hAnsi="Times New Roman" w:cs="Times New Roman"/>
            <w:color w:val="0000FF"/>
            <w:sz w:val="24"/>
            <w:szCs w:val="24"/>
            <w:u w:val="single"/>
          </w:rPr>
          <w:t>https://doi.org/10.3389/fpsyg.2013.00342</w:t>
        </w:r>
      </w:hyperlink>
    </w:p>
    <w:p w14:paraId="7A57F0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Staniloiu, A., Woermann, F. G., &amp; Markowitsch, H. J. (2014). Impairments in episodic-autobiographical memory and emotional and social information processing in CADASIL during mid-adulthood.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1AB47E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Stankovic, I., &amp; Wenning, G. K. (2015). Neuropsychiatric manifestations in atypical Parkinsonian syndromes. In </w:t>
      </w:r>
      <w:r w:rsidRPr="0074138E">
        <w:rPr>
          <w:rFonts w:ascii="Times New Roman" w:eastAsia="Times New Roman" w:hAnsi="Times New Roman" w:cs="Times New Roman"/>
          <w:i/>
          <w:iCs/>
          <w:sz w:val="24"/>
          <w:szCs w:val="24"/>
        </w:rPr>
        <w:t>Neuropsychiatric symptoms of movement disorders.</w:t>
      </w:r>
      <w:r w:rsidRPr="0074138E">
        <w:rPr>
          <w:rFonts w:ascii="Times New Roman" w:eastAsia="Times New Roman" w:hAnsi="Times New Roman" w:cs="Times New Roman"/>
          <w:sz w:val="24"/>
          <w:szCs w:val="24"/>
        </w:rPr>
        <w:t xml:space="preserve"> (pp. 141–170). Springer International Publishing. </w:t>
      </w:r>
      <w:hyperlink r:id="rId5510" w:history="1">
        <w:r w:rsidRPr="0074138E">
          <w:rPr>
            <w:rFonts w:ascii="Times New Roman" w:eastAsia="Times New Roman" w:hAnsi="Times New Roman" w:cs="Times New Roman"/>
            <w:color w:val="0000FF"/>
            <w:sz w:val="24"/>
            <w:szCs w:val="24"/>
            <w:u w:val="single"/>
          </w:rPr>
          <w:t>https://doi.org/10.1007/978-3-319-09537-0_7</w:t>
        </w:r>
      </w:hyperlink>
    </w:p>
    <w:p w14:paraId="196426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Starchina, Yu. A., Parfenov, V. A., Chazova, I. E., Sinitsyn, V. E., Pustovitova, T. S., Kolos, I. P., &amp; Ustyuzhanin, D. V. (2007). Cognitive function and the emotional state of stroke patients on antihypertensive therapy. </w:t>
      </w:r>
      <w:r w:rsidRPr="0074138E">
        <w:rPr>
          <w:rFonts w:ascii="Times New Roman" w:eastAsia="Times New Roman" w:hAnsi="Times New Roman" w:cs="Times New Roman"/>
          <w:i/>
          <w:iCs/>
          <w:sz w:val="24"/>
          <w:szCs w:val="24"/>
        </w:rPr>
        <w:t>Neuroscience and Behavioral 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(1), 13–17. </w:t>
      </w:r>
      <w:hyperlink r:id="rId5511" w:history="1">
        <w:r w:rsidRPr="0074138E">
          <w:rPr>
            <w:rFonts w:ascii="Times New Roman" w:eastAsia="Times New Roman" w:hAnsi="Times New Roman" w:cs="Times New Roman"/>
            <w:color w:val="0000FF"/>
            <w:sz w:val="24"/>
            <w:szCs w:val="24"/>
            <w:u w:val="single"/>
          </w:rPr>
          <w:t>https://doi.org/10.1007/s11055-007-0143-z</w:t>
        </w:r>
      </w:hyperlink>
    </w:p>
    <w:p w14:paraId="32278C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Starcke, K., Tuschen-Caffier, B., Markowitsch, H. J., &amp; Brand, M. (2010). Dissociation of decisions in ambiguous and risky situations in obsessive–compulsive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175</w:t>
      </w:r>
      <w:r w:rsidRPr="0074138E">
        <w:rPr>
          <w:rFonts w:ascii="Times New Roman" w:eastAsia="Times New Roman" w:hAnsi="Times New Roman" w:cs="Times New Roman"/>
          <w:sz w:val="24"/>
          <w:szCs w:val="24"/>
        </w:rPr>
        <w:t xml:space="preserve">(1–2), 114–120. </w:t>
      </w:r>
      <w:hyperlink r:id="rId5512" w:history="1">
        <w:r w:rsidRPr="0074138E">
          <w:rPr>
            <w:rFonts w:ascii="Times New Roman" w:eastAsia="Times New Roman" w:hAnsi="Times New Roman" w:cs="Times New Roman"/>
            <w:color w:val="0000FF"/>
            <w:sz w:val="24"/>
            <w:szCs w:val="24"/>
            <w:u w:val="single"/>
          </w:rPr>
          <w:t>https://doi.org/10.1016/j.psychres.2008.10.022</w:t>
        </w:r>
      </w:hyperlink>
    </w:p>
    <w:p w14:paraId="324F449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Starcke, K., Wolf, O. T., Markowitsch, H. J., &amp; Brand, M. (2008). Anticipatory stress influences decision making under explicit risk conditions. </w:t>
      </w:r>
      <w:r w:rsidRPr="0074138E">
        <w:rPr>
          <w:rFonts w:ascii="Times New Roman" w:eastAsia="Times New Roman" w:hAnsi="Times New Roman" w:cs="Times New Roman"/>
          <w:i/>
          <w:iCs/>
          <w:sz w:val="24"/>
          <w:szCs w:val="24"/>
        </w:rPr>
        <w:t>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122</w:t>
      </w:r>
      <w:r w:rsidRPr="0074138E">
        <w:rPr>
          <w:rFonts w:ascii="Times New Roman" w:eastAsia="Times New Roman" w:hAnsi="Times New Roman" w:cs="Times New Roman"/>
          <w:sz w:val="24"/>
          <w:szCs w:val="24"/>
        </w:rPr>
        <w:t xml:space="preserve">(6), 1352–1360. </w:t>
      </w:r>
      <w:hyperlink r:id="rId5513" w:history="1">
        <w:r w:rsidRPr="0074138E">
          <w:rPr>
            <w:rFonts w:ascii="Times New Roman" w:eastAsia="Times New Roman" w:hAnsi="Times New Roman" w:cs="Times New Roman"/>
            <w:color w:val="0000FF"/>
            <w:sz w:val="24"/>
            <w:szCs w:val="24"/>
            <w:u w:val="single"/>
          </w:rPr>
          <w:t>https://doi.org/10.1037/a0013281</w:t>
        </w:r>
      </w:hyperlink>
    </w:p>
    <w:p w14:paraId="2607407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Stark, C., Stark, S., &amp; Gordon, B. (2005). New Semantic Learning and Generalization in a Patient With Amnesia.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 139–151. </w:t>
      </w:r>
      <w:hyperlink r:id="rId5514" w:history="1">
        <w:r w:rsidRPr="0074138E">
          <w:rPr>
            <w:rFonts w:ascii="Times New Roman" w:eastAsia="Times New Roman" w:hAnsi="Times New Roman" w:cs="Times New Roman"/>
            <w:color w:val="0000FF"/>
            <w:sz w:val="24"/>
            <w:szCs w:val="24"/>
            <w:u w:val="single"/>
          </w:rPr>
          <w:t>https://doi.org/10.1037/0894-4105.19.2.139</w:t>
        </w:r>
      </w:hyperlink>
    </w:p>
    <w:p w14:paraId="7F4075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Starkstein, S. E., Migliorelli, R., Manes, F., Tesón, A., Petracca, G., Chemerinski, E., Sabe, L., &amp; Leiguarda, R. (1995). The prevalence and clinical correlates of apathy and irritability in Alzheimer’s disease. </w:t>
      </w:r>
      <w:r w:rsidRPr="0074138E">
        <w:rPr>
          <w:rFonts w:ascii="Times New Roman" w:eastAsia="Times New Roman" w:hAnsi="Times New Roman" w:cs="Times New Roman"/>
          <w:i/>
          <w:iCs/>
          <w:sz w:val="24"/>
          <w:szCs w:val="24"/>
        </w:rPr>
        <w:t>European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w:t>
      </w:r>
      <w:r w:rsidRPr="0074138E">
        <w:rPr>
          <w:rFonts w:ascii="Times New Roman" w:eastAsia="Times New Roman" w:hAnsi="Times New Roman" w:cs="Times New Roman"/>
          <w:sz w:val="24"/>
          <w:szCs w:val="24"/>
        </w:rPr>
        <w:t xml:space="preserve">(6), 540–546. </w:t>
      </w:r>
      <w:hyperlink r:id="rId5515" w:history="1">
        <w:r w:rsidRPr="0074138E">
          <w:rPr>
            <w:rFonts w:ascii="Times New Roman" w:eastAsia="Times New Roman" w:hAnsi="Times New Roman" w:cs="Times New Roman"/>
            <w:color w:val="0000FF"/>
            <w:sz w:val="24"/>
            <w:szCs w:val="24"/>
            <w:u w:val="single"/>
          </w:rPr>
          <w:t>https://doi.org/10.1111/j.1468-1331.1995.tb00171.x</w:t>
        </w:r>
      </w:hyperlink>
    </w:p>
    <w:p w14:paraId="66EFA8B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Starkstein, S. E., Sabe, L., Cuerva, A. G., Kuzis, G., &amp; Leiguarda, R. (1997). Anosognosia and procedural learning in Alzheimer’s disease.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(2), 96–101.</w:t>
      </w:r>
    </w:p>
    <w:p w14:paraId="132875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Starowicz-Filip, A., Milczarek, O., Kwiatkowski, S., Bętkowska-Korpała, B., &amp; Prochwicz, K. (2013). Cerebellar cognitive affective syndrome CCAS—A case report.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57–64. </w:t>
      </w:r>
      <w:hyperlink r:id="rId5516" w:history="1">
        <w:r w:rsidRPr="0074138E">
          <w:rPr>
            <w:rFonts w:ascii="Times New Roman" w:eastAsia="Times New Roman" w:hAnsi="Times New Roman" w:cs="Times New Roman"/>
            <w:color w:val="0000FF"/>
            <w:sz w:val="24"/>
            <w:szCs w:val="24"/>
            <w:u w:val="single"/>
          </w:rPr>
          <w:t>https://doi.org/10.12740/APP/18666</w:t>
        </w:r>
      </w:hyperlink>
    </w:p>
    <w:p w14:paraId="12282E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Startup, H., Lavender, A., Oldershaw, A., Stott, R., Tchanturia, K., Treasure, J., &amp; Schmidt, U. (2013). Worry and rumination in anorexia nervosa. </w:t>
      </w:r>
      <w:r w:rsidRPr="0074138E">
        <w:rPr>
          <w:rFonts w:ascii="Times New Roman" w:eastAsia="Times New Roman" w:hAnsi="Times New Roman" w:cs="Times New Roman"/>
          <w:i/>
          <w:iCs/>
          <w:sz w:val="24"/>
          <w:szCs w:val="24"/>
        </w:rPr>
        <w:t>Behavioural and Cognitive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(3), 301–316. </w:t>
      </w:r>
      <w:hyperlink r:id="rId5517" w:history="1">
        <w:r w:rsidRPr="0074138E">
          <w:rPr>
            <w:rFonts w:ascii="Times New Roman" w:eastAsia="Times New Roman" w:hAnsi="Times New Roman" w:cs="Times New Roman"/>
            <w:color w:val="0000FF"/>
            <w:sz w:val="24"/>
            <w:szCs w:val="24"/>
            <w:u w:val="single"/>
          </w:rPr>
          <w:t>https://doi.org/10.1017/S1352465812000847</w:t>
        </w:r>
      </w:hyperlink>
    </w:p>
    <w:p w14:paraId="2A81AC6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Statucka, M., &amp; Cohn, M. (2019). Origins matter: Culture impacts cognitive testing in Parkinson’s disease. </w:t>
      </w:r>
      <w:r w:rsidRPr="0074138E">
        <w:rPr>
          <w:rFonts w:ascii="Times New Roman" w:eastAsia="Times New Roman" w:hAnsi="Times New Roman" w:cs="Times New Roman"/>
          <w:i/>
          <w:iCs/>
          <w:sz w:val="24"/>
          <w:szCs w:val="24"/>
        </w:rPr>
        <w:t>Frontiers in Human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 </w:t>
      </w:r>
      <w:hyperlink r:id="rId5518" w:history="1">
        <w:r w:rsidRPr="0074138E">
          <w:rPr>
            <w:rFonts w:ascii="Times New Roman" w:eastAsia="Times New Roman" w:hAnsi="Times New Roman" w:cs="Times New Roman"/>
            <w:color w:val="0000FF"/>
            <w:sz w:val="24"/>
            <w:szCs w:val="24"/>
            <w:u w:val="single"/>
          </w:rPr>
          <w:t>https://doi.org/10.3389/fnhum.2019.00269</w:t>
        </w:r>
      </w:hyperlink>
    </w:p>
    <w:p w14:paraId="4BBFBC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Statucka, M., &amp; Walder, D. J. (2013). Efficacy of social cognition remediation programs targeting facial affect recognition deficits in schizophrenia: A review and consideration of high-risk samples and sex differences.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206</w:t>
      </w:r>
      <w:r w:rsidRPr="0074138E">
        <w:rPr>
          <w:rFonts w:ascii="Times New Roman" w:eastAsia="Times New Roman" w:hAnsi="Times New Roman" w:cs="Times New Roman"/>
          <w:sz w:val="24"/>
          <w:szCs w:val="24"/>
        </w:rPr>
        <w:t xml:space="preserve">(2–3), 125–139. </w:t>
      </w:r>
      <w:hyperlink r:id="rId5519" w:history="1">
        <w:r w:rsidRPr="0074138E">
          <w:rPr>
            <w:rFonts w:ascii="Times New Roman" w:eastAsia="Times New Roman" w:hAnsi="Times New Roman" w:cs="Times New Roman"/>
            <w:color w:val="0000FF"/>
            <w:sz w:val="24"/>
            <w:szCs w:val="24"/>
            <w:u w:val="single"/>
          </w:rPr>
          <w:t>https://doi.org/10.1016/j.psychres.2012.12.005</w:t>
        </w:r>
      </w:hyperlink>
    </w:p>
    <w:p w14:paraId="15B4B5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Stave, E. A., De Bellis, M. D., Hooper, S. R., Woolley, D. P., Chang, S. K., &amp; Chen, S. D. (2017). Dimensions of attention associated with the microstructure of corona radiata white matter. </w:t>
      </w:r>
      <w:r w:rsidRPr="0074138E">
        <w:rPr>
          <w:rFonts w:ascii="Times New Roman" w:eastAsia="Times New Roman" w:hAnsi="Times New Roman" w:cs="Times New Roman"/>
          <w:i/>
          <w:iCs/>
          <w:sz w:val="24"/>
          <w:szCs w:val="24"/>
        </w:rPr>
        <w:t>Journal of Child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(5), 458–466. </w:t>
      </w:r>
      <w:hyperlink r:id="rId5520" w:history="1">
        <w:r w:rsidRPr="0074138E">
          <w:rPr>
            <w:rFonts w:ascii="Times New Roman" w:eastAsia="Times New Roman" w:hAnsi="Times New Roman" w:cs="Times New Roman"/>
            <w:color w:val="0000FF"/>
            <w:sz w:val="24"/>
            <w:szCs w:val="24"/>
            <w:u w:val="single"/>
          </w:rPr>
          <w:t>https://doi.org/10.1177/0883073816685652</w:t>
        </w:r>
      </w:hyperlink>
    </w:p>
    <w:p w14:paraId="50A496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Stavinoha, P. L. (2008a). A slippery descent: Adolescent traumatic brain injury. In </w:t>
      </w:r>
      <w:r w:rsidRPr="0074138E">
        <w:rPr>
          <w:rFonts w:ascii="Times New Roman" w:eastAsia="Times New Roman" w:hAnsi="Times New Roman" w:cs="Times New Roman"/>
          <w:i/>
          <w:iCs/>
          <w:sz w:val="24"/>
          <w:szCs w:val="24"/>
        </w:rPr>
        <w:t>Pediatric neuropsychology case studies: From the exceptional to the commonplace.</w:t>
      </w:r>
      <w:r w:rsidRPr="0074138E">
        <w:rPr>
          <w:rFonts w:ascii="Times New Roman" w:eastAsia="Times New Roman" w:hAnsi="Times New Roman" w:cs="Times New Roman"/>
          <w:sz w:val="24"/>
          <w:szCs w:val="24"/>
        </w:rPr>
        <w:t xml:space="preserve"> (pp. 33–42). Springer Science + Business Media. </w:t>
      </w:r>
      <w:hyperlink r:id="rId5521" w:history="1">
        <w:r w:rsidRPr="0074138E">
          <w:rPr>
            <w:rFonts w:ascii="Times New Roman" w:eastAsia="Times New Roman" w:hAnsi="Times New Roman" w:cs="Times New Roman"/>
            <w:color w:val="0000FF"/>
            <w:sz w:val="24"/>
            <w:szCs w:val="24"/>
            <w:u w:val="single"/>
          </w:rPr>
          <w:t>https://doi.org/10.1007/978-0-387-78965-1_4</w:t>
        </w:r>
      </w:hyperlink>
    </w:p>
    <w:p w14:paraId="55259E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Stavinoha, P. L. (2008b). Life interrupted: Medulloblastoma. In </w:t>
      </w:r>
      <w:r w:rsidRPr="0074138E">
        <w:rPr>
          <w:rFonts w:ascii="Times New Roman" w:eastAsia="Times New Roman" w:hAnsi="Times New Roman" w:cs="Times New Roman"/>
          <w:i/>
          <w:iCs/>
          <w:sz w:val="24"/>
          <w:szCs w:val="24"/>
        </w:rPr>
        <w:t>Pediatric neuropsychology case studies: From the exceptional to the commonplace.</w:t>
      </w:r>
      <w:r w:rsidRPr="0074138E">
        <w:rPr>
          <w:rFonts w:ascii="Times New Roman" w:eastAsia="Times New Roman" w:hAnsi="Times New Roman" w:cs="Times New Roman"/>
          <w:sz w:val="24"/>
          <w:szCs w:val="24"/>
        </w:rPr>
        <w:t xml:space="preserve"> (pp. 59–68). Springer Science + Business Media. </w:t>
      </w:r>
      <w:hyperlink r:id="rId5522" w:history="1">
        <w:r w:rsidRPr="0074138E">
          <w:rPr>
            <w:rFonts w:ascii="Times New Roman" w:eastAsia="Times New Roman" w:hAnsi="Times New Roman" w:cs="Times New Roman"/>
            <w:color w:val="0000FF"/>
            <w:sz w:val="24"/>
            <w:szCs w:val="24"/>
            <w:u w:val="single"/>
          </w:rPr>
          <w:t>https://doi.org/10.1007/978-0-387-78965-1_7</w:t>
        </w:r>
      </w:hyperlink>
    </w:p>
    <w:p w14:paraId="1F4128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Stavro, G. M., Ettenhofer, M. L., &amp; Nigg, J. T. (2007). Executive functions and adaptive functioning in young adult attention-deficit/hyperactivity disorder.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(2), 324–334. </w:t>
      </w:r>
      <w:hyperlink r:id="rId5523" w:history="1">
        <w:r w:rsidRPr="0074138E">
          <w:rPr>
            <w:rFonts w:ascii="Times New Roman" w:eastAsia="Times New Roman" w:hAnsi="Times New Roman" w:cs="Times New Roman"/>
            <w:color w:val="0000FF"/>
            <w:sz w:val="24"/>
            <w:szCs w:val="24"/>
            <w:u w:val="single"/>
          </w:rPr>
          <w:t>https://doi.org/10.1017/S1355617707070348</w:t>
        </w:r>
      </w:hyperlink>
    </w:p>
    <w:p w14:paraId="21ADFC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Štecková, T., Hluštík, P., Sládková, V., Odstrčil, F., Mareš, J., &amp; Kaňovský, P. (2014). Thalamic atrophy and cognitive impairment in clinically isolated syndrome and multiple sclerosis.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342</w:t>
      </w:r>
      <w:r w:rsidRPr="0074138E">
        <w:rPr>
          <w:rFonts w:ascii="Times New Roman" w:eastAsia="Times New Roman" w:hAnsi="Times New Roman" w:cs="Times New Roman"/>
          <w:sz w:val="24"/>
          <w:szCs w:val="24"/>
        </w:rPr>
        <w:t xml:space="preserve">(1–2), 62–68. </w:t>
      </w:r>
      <w:hyperlink r:id="rId5524" w:history="1">
        <w:r w:rsidRPr="0074138E">
          <w:rPr>
            <w:rFonts w:ascii="Times New Roman" w:eastAsia="Times New Roman" w:hAnsi="Times New Roman" w:cs="Times New Roman"/>
            <w:color w:val="0000FF"/>
            <w:sz w:val="24"/>
            <w:szCs w:val="24"/>
            <w:u w:val="single"/>
          </w:rPr>
          <w:t>https://doi.org/10.1016/j.jns.2014.04.026</w:t>
        </w:r>
      </w:hyperlink>
    </w:p>
    <w:p w14:paraId="2ACA99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Steck-Silvestri, E. L., Phelps, L., MacAllister, W. S., Ensign, J., Crevier-Quintin, E., &amp; Hale, J. B. (2013). Chronic pediatric medical conditions and comorbid psychopathology. In </w:t>
      </w:r>
      <w:r w:rsidRPr="0074138E">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74138E">
        <w:rPr>
          <w:rFonts w:ascii="Times New Roman" w:eastAsia="Times New Roman" w:hAnsi="Times New Roman" w:cs="Times New Roman"/>
          <w:sz w:val="24"/>
          <w:szCs w:val="24"/>
        </w:rPr>
        <w:t xml:space="preserve"> (pp. 299–323). American Psychological Association. </w:t>
      </w:r>
      <w:hyperlink r:id="rId5525" w:history="1">
        <w:r w:rsidRPr="0074138E">
          <w:rPr>
            <w:rFonts w:ascii="Times New Roman" w:eastAsia="Times New Roman" w:hAnsi="Times New Roman" w:cs="Times New Roman"/>
            <w:color w:val="0000FF"/>
            <w:sz w:val="24"/>
            <w:szCs w:val="24"/>
            <w:u w:val="single"/>
          </w:rPr>
          <w:t>https://doi.org/10.1037/14091-013</w:t>
        </w:r>
      </w:hyperlink>
    </w:p>
    <w:p w14:paraId="39800B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Stedal, K., Ely, A. V., Kurniadi, N., Lopez, E., Kaye, W. H., &amp; Wierenga, C. E. (2019). A process approach to verbal memory assessment: Exploratory evidence of inefficient learning in women remitted from anorexia nervosa.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(6), 653–663. </w:t>
      </w:r>
      <w:hyperlink r:id="rId5526" w:history="1">
        <w:r w:rsidRPr="0074138E">
          <w:rPr>
            <w:rFonts w:ascii="Times New Roman" w:eastAsia="Times New Roman" w:hAnsi="Times New Roman" w:cs="Times New Roman"/>
            <w:color w:val="0000FF"/>
            <w:sz w:val="24"/>
            <w:szCs w:val="24"/>
            <w:u w:val="single"/>
          </w:rPr>
          <w:t>https://doi.org/10.1080/13803395.2019.1610160</w:t>
        </w:r>
      </w:hyperlink>
    </w:p>
    <w:p w14:paraId="004C48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Stefanatou, P., Karatosidi, C.-S., Tsompanaki, E., Kattoulas, E., Stefanis, N. C., &amp; Smyrnis, N. (2018). Premorbid adjustment predictors of cognitive dysfunction in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267</w:t>
      </w:r>
      <w:r w:rsidRPr="0074138E">
        <w:rPr>
          <w:rFonts w:ascii="Times New Roman" w:eastAsia="Times New Roman" w:hAnsi="Times New Roman" w:cs="Times New Roman"/>
          <w:sz w:val="24"/>
          <w:szCs w:val="24"/>
        </w:rPr>
        <w:t xml:space="preserve">, 249–255. </w:t>
      </w:r>
      <w:hyperlink r:id="rId5527" w:history="1">
        <w:r w:rsidRPr="0074138E">
          <w:rPr>
            <w:rFonts w:ascii="Times New Roman" w:eastAsia="Times New Roman" w:hAnsi="Times New Roman" w:cs="Times New Roman"/>
            <w:color w:val="0000FF"/>
            <w:sz w:val="24"/>
            <w:szCs w:val="24"/>
            <w:u w:val="single"/>
          </w:rPr>
          <w:t>https://doi.org/10.1016/j.psychres.2018.06.029</w:t>
        </w:r>
      </w:hyperlink>
    </w:p>
    <w:p w14:paraId="0979FB3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Stefanis, N. C., Van Os, J., Avramopoulos, D., Smyrnis, N., Evdokimidis, I., Hantoumi, I., &amp; Stefanis, C. N. (2004). Variation in catechol-O-methyltransferase val</w:t>
      </w:r>
      <w:r w:rsidRPr="0074138E">
        <w:rPr>
          <w:rFonts w:ascii="Times New Roman" w:eastAsia="Times New Roman" w:hAnsi="Times New Roman" w:cs="Times New Roman"/>
          <w:sz w:val="24"/>
          <w:szCs w:val="24"/>
          <w:vertAlign w:val="superscript"/>
        </w:rPr>
        <w:t>158</w:t>
      </w:r>
      <w:r w:rsidRPr="0074138E">
        <w:rPr>
          <w:rFonts w:ascii="Times New Roman" w:eastAsia="Times New Roman" w:hAnsi="Times New Roman" w:cs="Times New Roman"/>
          <w:sz w:val="24"/>
          <w:szCs w:val="24"/>
        </w:rPr>
        <w:t xml:space="preserve"> met genotype associated with schizotypy but not cognition: A population study in 543 young men.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 xml:space="preserve">(7), 510–515. </w:t>
      </w:r>
      <w:hyperlink r:id="rId5528" w:history="1">
        <w:r w:rsidRPr="0074138E">
          <w:rPr>
            <w:rFonts w:ascii="Times New Roman" w:eastAsia="Times New Roman" w:hAnsi="Times New Roman" w:cs="Times New Roman"/>
            <w:color w:val="0000FF"/>
            <w:sz w:val="24"/>
            <w:szCs w:val="24"/>
            <w:u w:val="single"/>
          </w:rPr>
          <w:t>https://doi.org/10.1016/j.biopsych.2004.06.038</w:t>
        </w:r>
      </w:hyperlink>
    </w:p>
    <w:p w14:paraId="27A7DD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Stefansson, H., Meyer-Lindenberg, A., Steinberg, S., Magnusdottir, B., Morgen, K., Arnarsdottir, S., Bjornsdottir, G., Walters, G. B., Jonsdottir, G. A., Doyle, O. M., Tost, H., Grimm, O., Kristjansdottir, S., Snorrason, H., Davidsdottir, S. R., Gudmundsson, L. J., Jonsson, G. F., Stefansdottir, B., Helgadottir, I., … Stefansson, K. (2013). CNVs conferring risk of autism or schizophrenia affect cognition in controls. </w:t>
      </w:r>
      <w:r w:rsidRPr="0074138E">
        <w:rPr>
          <w:rFonts w:ascii="Times New Roman" w:eastAsia="Times New Roman" w:hAnsi="Times New Roman" w:cs="Times New Roman"/>
          <w:i/>
          <w:iCs/>
          <w:sz w:val="24"/>
          <w:szCs w:val="24"/>
        </w:rPr>
        <w:t>Nature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505</w:t>
      </w:r>
      <w:r w:rsidRPr="0074138E">
        <w:rPr>
          <w:rFonts w:ascii="Times New Roman" w:eastAsia="Times New Roman" w:hAnsi="Times New Roman" w:cs="Times New Roman"/>
          <w:sz w:val="24"/>
          <w:szCs w:val="24"/>
        </w:rPr>
        <w:t xml:space="preserve">(7483), 361–366. </w:t>
      </w:r>
      <w:hyperlink r:id="rId5529" w:history="1">
        <w:r w:rsidRPr="0074138E">
          <w:rPr>
            <w:rFonts w:ascii="Times New Roman" w:eastAsia="Times New Roman" w:hAnsi="Times New Roman" w:cs="Times New Roman"/>
            <w:color w:val="0000FF"/>
            <w:sz w:val="24"/>
            <w:szCs w:val="24"/>
            <w:u w:val="single"/>
          </w:rPr>
          <w:t>https://doi.org/10.1038/nature12818</w:t>
        </w:r>
      </w:hyperlink>
    </w:p>
    <w:p w14:paraId="6DDDE2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 M. B., Slavin-Mulford, J., Sinclair, S. J., Siefert, C. J., &amp; Blais, M. A. (2012). Exploring the Construct Validity of the Social Cognition and Object Relations Scale in a Clinical Sample. </w:t>
      </w:r>
      <w:r w:rsidRPr="0074138E">
        <w:rPr>
          <w:rFonts w:ascii="Times New Roman" w:eastAsia="Times New Roman" w:hAnsi="Times New Roman" w:cs="Times New Roman"/>
          <w:i/>
          <w:iCs/>
          <w:sz w:val="24"/>
          <w:szCs w:val="24"/>
        </w:rPr>
        <w:t>Journal of Personality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(5), 533–540. </w:t>
      </w:r>
      <w:hyperlink r:id="rId5530" w:history="1">
        <w:r w:rsidRPr="0074138E">
          <w:rPr>
            <w:rFonts w:ascii="Times New Roman" w:eastAsia="Times New Roman" w:hAnsi="Times New Roman" w:cs="Times New Roman"/>
            <w:color w:val="0000FF"/>
            <w:sz w:val="24"/>
            <w:szCs w:val="24"/>
            <w:u w:val="single"/>
          </w:rPr>
          <w:t>https://doi.org/10.1080/00223891.2012.668594</w:t>
        </w:r>
      </w:hyperlink>
    </w:p>
    <w:p w14:paraId="7451E7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Steinberg, J. L., Devous Sr., M. D., &amp; Paulman, R. G. (1996). Wisconsin Card Sorting activated regional cerebral blood flow in first break and chronic schizophrenic patients and normal controls.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(2,3), 177–187. </w:t>
      </w:r>
      <w:hyperlink r:id="rId5531" w:history="1">
        <w:r w:rsidRPr="0074138E">
          <w:rPr>
            <w:rFonts w:ascii="Times New Roman" w:eastAsia="Times New Roman" w:hAnsi="Times New Roman" w:cs="Times New Roman"/>
            <w:color w:val="0000FF"/>
            <w:sz w:val="24"/>
            <w:szCs w:val="24"/>
            <w:u w:val="single"/>
          </w:rPr>
          <w:t>https://doi.org/10.1016/0920-9964(96)88525-2</w:t>
        </w:r>
      </w:hyperlink>
    </w:p>
    <w:p w14:paraId="052B6E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Steinglass, J. E., Walsh, B. T., &amp; Stern, Y. (2006). Set shifting deficit in anorexia nervosa.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431–435. </w:t>
      </w:r>
      <w:hyperlink r:id="rId5532" w:history="1">
        <w:r w:rsidRPr="0074138E">
          <w:rPr>
            <w:rFonts w:ascii="Times New Roman" w:eastAsia="Times New Roman" w:hAnsi="Times New Roman" w:cs="Times New Roman"/>
            <w:color w:val="0000FF"/>
            <w:sz w:val="24"/>
            <w:szCs w:val="24"/>
            <w:u w:val="single"/>
          </w:rPr>
          <w:t>https://doi.org/10.1017/S1355617706060528</w:t>
        </w:r>
      </w:hyperlink>
    </w:p>
    <w:p w14:paraId="6E3BCD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Steinmetz, J.-P., Brunner, M., Loarer, E., &amp; Houssemand, C. (2010). Incomplete psychometric equivalence of scores obtained on the manual and the computer version of the Wisconsin Card Sorting Test? </w:t>
      </w:r>
      <w:r w:rsidRPr="0074138E">
        <w:rPr>
          <w:rFonts w:ascii="Times New Roman" w:eastAsia="Times New Roman" w:hAnsi="Times New Roman" w:cs="Times New Roman"/>
          <w:i/>
          <w:iCs/>
          <w:sz w:val="24"/>
          <w:szCs w:val="24"/>
        </w:rPr>
        <w:t>Psychological Assessment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(1), 199–202. </w:t>
      </w:r>
      <w:hyperlink r:id="rId5533" w:history="1">
        <w:r w:rsidRPr="0074138E">
          <w:rPr>
            <w:rFonts w:ascii="Times New Roman" w:eastAsia="Times New Roman" w:hAnsi="Times New Roman" w:cs="Times New Roman"/>
            <w:color w:val="0000FF"/>
            <w:sz w:val="24"/>
            <w:szCs w:val="24"/>
            <w:u w:val="single"/>
          </w:rPr>
          <w:t>https://doi.org/10.1037/a0017661</w:t>
        </w:r>
      </w:hyperlink>
    </w:p>
    <w:p w14:paraId="0750BB4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Steinmetz, J.-P., &amp; Houssemand, C. (2011). What about inhibition in the Wisconsin Card Sorting Test?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652–669. </w:t>
      </w:r>
      <w:hyperlink r:id="rId5534" w:history="1">
        <w:r w:rsidRPr="0074138E">
          <w:rPr>
            <w:rFonts w:ascii="Times New Roman" w:eastAsia="Times New Roman" w:hAnsi="Times New Roman" w:cs="Times New Roman"/>
            <w:color w:val="0000FF"/>
            <w:sz w:val="24"/>
            <w:szCs w:val="24"/>
            <w:u w:val="single"/>
          </w:rPr>
          <w:t>https://doi.org/10.1080/13854046.2011.568525</w:t>
        </w:r>
      </w:hyperlink>
    </w:p>
    <w:p w14:paraId="3F2E6BB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Steinvorth, S., Levine, B., &amp; Corkin, S. (2005). Medial temporal lobe structures are needed to re-experience remote autobiographical memories: Evidence from H.M. and W.R.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(4), 479–496. </w:t>
      </w:r>
      <w:hyperlink r:id="rId5535" w:history="1">
        <w:r w:rsidRPr="0074138E">
          <w:rPr>
            <w:rFonts w:ascii="Times New Roman" w:eastAsia="Times New Roman" w:hAnsi="Times New Roman" w:cs="Times New Roman"/>
            <w:color w:val="0000FF"/>
            <w:sz w:val="24"/>
            <w:szCs w:val="24"/>
            <w:u w:val="single"/>
          </w:rPr>
          <w:t>https://doi.org/10.1016/j.neuropsychologia.2005.01.001</w:t>
        </w:r>
      </w:hyperlink>
    </w:p>
    <w:p w14:paraId="72E61C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Stejskal, W. J. (2013). </w:t>
      </w:r>
      <w:r w:rsidRPr="0074138E">
        <w:rPr>
          <w:rFonts w:ascii="Times New Roman" w:eastAsia="Times New Roman" w:hAnsi="Times New Roman" w:cs="Times New Roman"/>
          <w:i/>
          <w:iCs/>
          <w:sz w:val="24"/>
          <w:szCs w:val="24"/>
        </w:rPr>
        <w:t>Psychological testing in workplace disability evaluations.</w:t>
      </w:r>
      <w:r w:rsidRPr="0074138E">
        <w:rPr>
          <w:rFonts w:ascii="Times New Roman" w:eastAsia="Times New Roman" w:hAnsi="Times New Roman" w:cs="Times New Roman"/>
          <w:sz w:val="24"/>
          <w:szCs w:val="24"/>
        </w:rPr>
        <w:t xml:space="preserve"> (pp. 127–154).</w:t>
      </w:r>
    </w:p>
    <w:p w14:paraId="00D875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Stenberg, N. (2007). Asperger syndrom og eksekutive funksjonsvansker: Konsekvenser for behandling. [Asperger syndrome and executive dysfunction-Implications for treatment.]. </w:t>
      </w:r>
      <w:r w:rsidRPr="0074138E">
        <w:rPr>
          <w:rFonts w:ascii="Times New Roman" w:eastAsia="Times New Roman" w:hAnsi="Times New Roman" w:cs="Times New Roman"/>
          <w:i/>
          <w:iCs/>
          <w:sz w:val="24"/>
          <w:szCs w:val="24"/>
        </w:rPr>
        <w:t>Tidsskrift for Norsk Psykologforening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(3), 254–260.</w:t>
      </w:r>
    </w:p>
    <w:p w14:paraId="0B2F5D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Stenuit, P., &amp; Kerkhofs, M. (2008). Effects of sleep restriction on cognition in women. </w:t>
      </w:r>
      <w:r w:rsidRPr="0074138E">
        <w:rPr>
          <w:rFonts w:ascii="Times New Roman" w:eastAsia="Times New Roman" w:hAnsi="Times New Roman" w:cs="Times New Roman"/>
          <w:i/>
          <w:iCs/>
          <w:sz w:val="24"/>
          <w:szCs w:val="24"/>
        </w:rPr>
        <w:t>Biological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77</w:t>
      </w:r>
      <w:r w:rsidRPr="0074138E">
        <w:rPr>
          <w:rFonts w:ascii="Times New Roman" w:eastAsia="Times New Roman" w:hAnsi="Times New Roman" w:cs="Times New Roman"/>
          <w:sz w:val="24"/>
          <w:szCs w:val="24"/>
        </w:rPr>
        <w:t xml:space="preserve">(1), 81–88. </w:t>
      </w:r>
      <w:hyperlink r:id="rId5536" w:history="1">
        <w:r w:rsidRPr="0074138E">
          <w:rPr>
            <w:rFonts w:ascii="Times New Roman" w:eastAsia="Times New Roman" w:hAnsi="Times New Roman" w:cs="Times New Roman"/>
            <w:color w:val="0000FF"/>
            <w:sz w:val="24"/>
            <w:szCs w:val="24"/>
            <w:u w:val="single"/>
          </w:rPr>
          <w:t>https://doi.org/10.1016/j.biopsycho.2007.09.011</w:t>
        </w:r>
      </w:hyperlink>
    </w:p>
    <w:p w14:paraId="3311C8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Stephan, M. A., Meier, B., Zaugg, S. W., &amp; Kaelin-Lang, A. (2011). Motor sequence learning performance in Parkinson’s disease patients depends on the stage of disease.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75</w:t>
      </w:r>
      <w:r w:rsidRPr="0074138E">
        <w:rPr>
          <w:rFonts w:ascii="Times New Roman" w:eastAsia="Times New Roman" w:hAnsi="Times New Roman" w:cs="Times New Roman"/>
          <w:sz w:val="24"/>
          <w:szCs w:val="24"/>
        </w:rPr>
        <w:t xml:space="preserve">(2), 135–140. </w:t>
      </w:r>
      <w:hyperlink r:id="rId5537" w:history="1">
        <w:r w:rsidRPr="0074138E">
          <w:rPr>
            <w:rFonts w:ascii="Times New Roman" w:eastAsia="Times New Roman" w:hAnsi="Times New Roman" w:cs="Times New Roman"/>
            <w:color w:val="0000FF"/>
            <w:sz w:val="24"/>
            <w:szCs w:val="24"/>
            <w:u w:val="single"/>
          </w:rPr>
          <w:t>https://doi.org/10.1016/j.bandc.2010.10.015</w:t>
        </w:r>
      </w:hyperlink>
    </w:p>
    <w:p w14:paraId="4C5499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Stephens, R., Rutherford, A., Potter, D., &amp; Fernie, G. (2005). Neuropsychological impairment as a consequence of football (soccer) play and football heading: A preliminary analysis and report on school students (13-16 years). </w:t>
      </w:r>
      <w:r w:rsidRPr="0074138E">
        <w:rPr>
          <w:rFonts w:ascii="Times New Roman" w:eastAsia="Times New Roman" w:hAnsi="Times New Roman" w:cs="Times New Roman"/>
          <w:i/>
          <w:iCs/>
          <w:sz w:val="24"/>
          <w:szCs w:val="24"/>
        </w:rPr>
        <w:t>Child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(6), 513–526. </w:t>
      </w:r>
      <w:hyperlink r:id="rId5538" w:history="1">
        <w:r w:rsidRPr="0074138E">
          <w:rPr>
            <w:rFonts w:ascii="Times New Roman" w:eastAsia="Times New Roman" w:hAnsi="Times New Roman" w:cs="Times New Roman"/>
            <w:color w:val="0000FF"/>
            <w:sz w:val="24"/>
            <w:szCs w:val="24"/>
            <w:u w:val="single"/>
          </w:rPr>
          <w:t>https://doi.org/10.1080/092970490959629</w:t>
        </w:r>
      </w:hyperlink>
    </w:p>
    <w:p w14:paraId="64A0DE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Stephens, R., Rutherford, A., Potter, D., &amp; Fernie, G. (2010). Neuropsychological consequence of soccer play in adolescent U.K. school team soccer players.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(3), 295–303. </w:t>
      </w:r>
      <w:hyperlink r:id="rId5539" w:history="1">
        <w:r w:rsidRPr="0074138E">
          <w:rPr>
            <w:rFonts w:ascii="Times New Roman" w:eastAsia="Times New Roman" w:hAnsi="Times New Roman" w:cs="Times New Roman"/>
            <w:color w:val="0000FF"/>
            <w:sz w:val="24"/>
            <w:szCs w:val="24"/>
            <w:u w:val="single"/>
          </w:rPr>
          <w:t>https://doi.org/10.1176/appi.neuropsych.22.3.295</w:t>
        </w:r>
      </w:hyperlink>
    </w:p>
    <w:p w14:paraId="0A78C0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Stergiopoulos, V., Burra, T., Rourke, S., &amp; Hwang, S. (2011). Housing status as an independent predictor of functional capacity in patients with schizophrenia.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199</w:t>
      </w:r>
      <w:r w:rsidRPr="0074138E">
        <w:rPr>
          <w:rFonts w:ascii="Times New Roman" w:eastAsia="Times New Roman" w:hAnsi="Times New Roman" w:cs="Times New Roman"/>
          <w:sz w:val="24"/>
          <w:szCs w:val="24"/>
        </w:rPr>
        <w:t xml:space="preserve">(11), 854–860. </w:t>
      </w:r>
      <w:hyperlink r:id="rId5540" w:history="1">
        <w:r w:rsidRPr="0074138E">
          <w:rPr>
            <w:rFonts w:ascii="Times New Roman" w:eastAsia="Times New Roman" w:hAnsi="Times New Roman" w:cs="Times New Roman"/>
            <w:color w:val="0000FF"/>
            <w:sz w:val="24"/>
            <w:szCs w:val="24"/>
            <w:u w:val="single"/>
          </w:rPr>
          <w:t>https://doi.org/10.1097/NMD.0b013e3182349cfc</w:t>
        </w:r>
      </w:hyperlink>
    </w:p>
    <w:p w14:paraId="557D483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Stern, S. K., &amp; Morris, M. K. (2013). Discrimination of ADHD and reading disability in adults using the D-KEFS.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125–134. </w:t>
      </w:r>
      <w:hyperlink r:id="rId5541" w:history="1">
        <w:r w:rsidRPr="0074138E">
          <w:rPr>
            <w:rFonts w:ascii="Times New Roman" w:eastAsia="Times New Roman" w:hAnsi="Times New Roman" w:cs="Times New Roman"/>
            <w:color w:val="0000FF"/>
            <w:sz w:val="24"/>
            <w:szCs w:val="24"/>
            <w:u w:val="single"/>
          </w:rPr>
          <w:t>https://doi.org/10.1093/arclin/acs111</w:t>
        </w:r>
      </w:hyperlink>
    </w:p>
    <w:p w14:paraId="424820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Sternbach, H. (2003). Psychiatric Manifestations of Low Testosterone in Men. </w:t>
      </w:r>
      <w:r w:rsidRPr="0074138E">
        <w:rPr>
          <w:rFonts w:ascii="Times New Roman" w:eastAsia="Times New Roman" w:hAnsi="Times New Roman" w:cs="Times New Roman"/>
          <w:i/>
          <w:iCs/>
          <w:sz w:val="24"/>
          <w:szCs w:val="24"/>
        </w:rPr>
        <w:t>Psychiatric Annals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(8), 517–524. </w:t>
      </w:r>
      <w:hyperlink r:id="rId5542" w:history="1">
        <w:r w:rsidRPr="0074138E">
          <w:rPr>
            <w:rFonts w:ascii="Times New Roman" w:eastAsia="Times New Roman" w:hAnsi="Times New Roman" w:cs="Times New Roman"/>
            <w:color w:val="0000FF"/>
            <w:sz w:val="24"/>
            <w:szCs w:val="24"/>
            <w:u w:val="single"/>
          </w:rPr>
          <w:t>https://doi.org/10.3928/0048-5713-20030801-09</w:t>
        </w:r>
      </w:hyperlink>
    </w:p>
    <w:p w14:paraId="6410C3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Sternheim, L., van der Burgh, M., Berkhout, L. J., Dekker, M. R., &amp; Ruiter, C. (2014). Poor cognitive flexibility, and the experience thereof, in a subclinical sample of female students with obsessive‐compulsive symptoms. </w:t>
      </w:r>
      <w:r w:rsidRPr="0074138E">
        <w:rPr>
          <w:rFonts w:ascii="Times New Roman" w:eastAsia="Times New Roman" w:hAnsi="Times New Roman" w:cs="Times New Roman"/>
          <w:i/>
          <w:iCs/>
          <w:sz w:val="24"/>
          <w:szCs w:val="24"/>
        </w:rPr>
        <w:t>Scandinavian Journal of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(6), 573–577. </w:t>
      </w:r>
      <w:hyperlink r:id="rId5543" w:history="1">
        <w:r w:rsidRPr="0074138E">
          <w:rPr>
            <w:rFonts w:ascii="Times New Roman" w:eastAsia="Times New Roman" w:hAnsi="Times New Roman" w:cs="Times New Roman"/>
            <w:color w:val="0000FF"/>
            <w:sz w:val="24"/>
            <w:szCs w:val="24"/>
            <w:u w:val="single"/>
          </w:rPr>
          <w:t>https://doi.org/10.1111/sjop.12163</w:t>
        </w:r>
      </w:hyperlink>
    </w:p>
    <w:p w14:paraId="721B62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Stetkiewicz-Lewandowicz, A., &amp; Borkowska, A. (2013). Badania neuropsychologiczne u pacjentów z chorobą niedokrwienną serca. [Neuropsychological tests in a group of patients with ischaemic heart disease.]. </w:t>
      </w:r>
      <w:r w:rsidRPr="0074138E">
        <w:rPr>
          <w:rFonts w:ascii="Times New Roman" w:eastAsia="Times New Roman" w:hAnsi="Times New Roman" w:cs="Times New Roman"/>
          <w:i/>
          <w:iCs/>
          <w:sz w:val="24"/>
          <w:szCs w:val="24"/>
        </w:rPr>
        <w:t>Psychiatria Polska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(1), 5–16.</w:t>
      </w:r>
    </w:p>
    <w:p w14:paraId="1FA145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Stetkiewicz-Lewandowicz, A., Borkowska, A., &amp; Sobów, T. (2015). Depressive symptoms and working memory dysfunctions in patients with Ischemic Heart Disease. </w:t>
      </w:r>
      <w:r w:rsidRPr="0074138E">
        <w:rPr>
          <w:rFonts w:ascii="Times New Roman" w:eastAsia="Times New Roman" w:hAnsi="Times New Roman" w:cs="Times New Roman"/>
          <w:i/>
          <w:iCs/>
          <w:sz w:val="24"/>
          <w:szCs w:val="24"/>
        </w:rPr>
        <w:t>Acta Neuropsychologica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(2), 145–155.</w:t>
      </w:r>
    </w:p>
    <w:p w14:paraId="08FD67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 A., Schneider, K., Liske, B., Hermle, L., Huber, H., &amp; Hetzel, G. (2014). Is subnormal cognitive performance in schizophrenia due to lack of effort or to cognitive impairment? </w:t>
      </w:r>
      <w:r w:rsidRPr="0074138E">
        <w:rPr>
          <w:rFonts w:ascii="Times New Roman" w:eastAsia="Times New Roman" w:hAnsi="Times New Roman" w:cs="Times New Roman"/>
          <w:i/>
          <w:iCs/>
          <w:sz w:val="24"/>
          <w:szCs w:val="24"/>
        </w:rPr>
        <w:t>German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(1), 1–9.</w:t>
      </w:r>
    </w:p>
    <w:p w14:paraId="7C7CA07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 D., Scott, E. A. M., Bowditch, A. P., Griffiths, G. D., &amp; Pearce, P. C. (2006). Multiple vaccine and pyridostigmine interactions: Effects on cognition, muscle function and health outcomes in marmosets. </w:t>
      </w:r>
      <w:r w:rsidRPr="0074138E">
        <w:rPr>
          <w:rFonts w:ascii="Times New Roman" w:eastAsia="Times New Roman" w:hAnsi="Times New Roman" w:cs="Times New Roman"/>
          <w:i/>
          <w:iCs/>
          <w:sz w:val="24"/>
          <w:szCs w:val="24"/>
        </w:rPr>
        <w:t>Pharmacology, Biochemistry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84</w:t>
      </w:r>
      <w:r w:rsidRPr="0074138E">
        <w:rPr>
          <w:rFonts w:ascii="Times New Roman" w:eastAsia="Times New Roman" w:hAnsi="Times New Roman" w:cs="Times New Roman"/>
          <w:sz w:val="24"/>
          <w:szCs w:val="24"/>
        </w:rPr>
        <w:t xml:space="preserve">(2), 207–218. </w:t>
      </w:r>
      <w:hyperlink r:id="rId5544" w:history="1">
        <w:r w:rsidRPr="0074138E">
          <w:rPr>
            <w:rFonts w:ascii="Times New Roman" w:eastAsia="Times New Roman" w:hAnsi="Times New Roman" w:cs="Times New Roman"/>
            <w:color w:val="0000FF"/>
            <w:sz w:val="24"/>
            <w:szCs w:val="24"/>
            <w:u w:val="single"/>
          </w:rPr>
          <w:t>https://doi.org/10.1016/j.pbb.2006.04.020</w:t>
        </w:r>
      </w:hyperlink>
    </w:p>
    <w:p w14:paraId="5425CC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Stevenson, J. E., Kortte, K. B., Salorio, C. F., &amp; Rohe, D. E. (2013). Assessment in rehabilitation psychology. In </w:t>
      </w:r>
      <w:r w:rsidRPr="0074138E">
        <w:rPr>
          <w:rFonts w:ascii="Times New Roman" w:eastAsia="Times New Roman" w:hAnsi="Times New Roman" w:cs="Times New Roman"/>
          <w:i/>
          <w:iCs/>
          <w:sz w:val="24"/>
          <w:szCs w:val="24"/>
        </w:rPr>
        <w:t>APA handbook of testing and assessment in psychology, Vol. 2: Testing and assessment in clinical and counseling psychology.</w:t>
      </w:r>
      <w:r w:rsidRPr="0074138E">
        <w:rPr>
          <w:rFonts w:ascii="Times New Roman" w:eastAsia="Times New Roman" w:hAnsi="Times New Roman" w:cs="Times New Roman"/>
          <w:sz w:val="24"/>
          <w:szCs w:val="24"/>
        </w:rPr>
        <w:t xml:space="preserve"> (pp. 501–521). American Psychological Association. </w:t>
      </w:r>
      <w:hyperlink r:id="rId5545" w:history="1">
        <w:r w:rsidRPr="0074138E">
          <w:rPr>
            <w:rFonts w:ascii="Times New Roman" w:eastAsia="Times New Roman" w:hAnsi="Times New Roman" w:cs="Times New Roman"/>
            <w:color w:val="0000FF"/>
            <w:sz w:val="24"/>
            <w:szCs w:val="24"/>
            <w:u w:val="single"/>
          </w:rPr>
          <w:t>https://doi.org/10.1037/14048-029</w:t>
        </w:r>
      </w:hyperlink>
    </w:p>
    <w:p w14:paraId="4933812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Stevenson, M., &amp; McNaughton, N. (2013). A comparison of phenylketonuria with attention deficit hyperactivity disorder: Do markedly different aetiologies deliver common phenotypes? </w:t>
      </w:r>
      <w:r w:rsidRPr="0074138E">
        <w:rPr>
          <w:rFonts w:ascii="Times New Roman" w:eastAsia="Times New Roman" w:hAnsi="Times New Roman" w:cs="Times New Roman"/>
          <w:i/>
          <w:iCs/>
          <w:sz w:val="24"/>
          <w:szCs w:val="24"/>
        </w:rPr>
        <w:t>Brain Research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99</w:t>
      </w:r>
      <w:r w:rsidRPr="0074138E">
        <w:rPr>
          <w:rFonts w:ascii="Times New Roman" w:eastAsia="Times New Roman" w:hAnsi="Times New Roman" w:cs="Times New Roman"/>
          <w:sz w:val="24"/>
          <w:szCs w:val="24"/>
        </w:rPr>
        <w:t xml:space="preserve">, 63–83. </w:t>
      </w:r>
      <w:hyperlink r:id="rId5546" w:history="1">
        <w:r w:rsidRPr="0074138E">
          <w:rPr>
            <w:rFonts w:ascii="Times New Roman" w:eastAsia="Times New Roman" w:hAnsi="Times New Roman" w:cs="Times New Roman"/>
            <w:color w:val="0000FF"/>
            <w:sz w:val="24"/>
            <w:szCs w:val="24"/>
            <w:u w:val="single"/>
          </w:rPr>
          <w:t>https://doi.org/10.1016/j.brainresbull.2013.10.003</w:t>
        </w:r>
      </w:hyperlink>
    </w:p>
    <w:p w14:paraId="57EDB17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Stewart, A., Collins, B., Mackenzie, J., Tomiak, E., Verma, S., &amp; Bielajew, C. (2008). The cognitive effects of adjuvant chemotherapy in early stage breast cancer: A prospective study. </w:t>
      </w:r>
      <w:r w:rsidRPr="0074138E">
        <w:rPr>
          <w:rFonts w:ascii="Times New Roman" w:eastAsia="Times New Roman" w:hAnsi="Times New Roman" w:cs="Times New Roman"/>
          <w:i/>
          <w:iCs/>
          <w:sz w:val="24"/>
          <w:szCs w:val="24"/>
        </w:rPr>
        <w:t>Psycho-Oncology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(2), 122–130. </w:t>
      </w:r>
      <w:hyperlink r:id="rId5547" w:history="1">
        <w:r w:rsidRPr="0074138E">
          <w:rPr>
            <w:rFonts w:ascii="Times New Roman" w:eastAsia="Times New Roman" w:hAnsi="Times New Roman" w:cs="Times New Roman"/>
            <w:color w:val="0000FF"/>
            <w:sz w:val="24"/>
            <w:szCs w:val="24"/>
            <w:u w:val="single"/>
          </w:rPr>
          <w:t>https://doi.org/10.1002/pon.1210</w:t>
        </w:r>
      </w:hyperlink>
    </w:p>
    <w:p w14:paraId="54BD2FD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Stewart, A. M. (1997). </w:t>
      </w:r>
      <w:r w:rsidRPr="0074138E">
        <w:rPr>
          <w:rFonts w:ascii="Times New Roman" w:eastAsia="Times New Roman" w:hAnsi="Times New Roman" w:cs="Times New Roman"/>
          <w:i/>
          <w:iCs/>
          <w:sz w:val="24"/>
          <w:szCs w:val="24"/>
        </w:rPr>
        <w:t>Executive functioning in schizophrenic and bipolar disorder.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(4-B), 2142–2142.</w:t>
      </w:r>
    </w:p>
    <w:p w14:paraId="78E030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Stewart, P. W., Reihman, J., Lonky, E., &amp; Pagano, J. (2012). Issues in the interpretation of associations of PCBs and IQ. </w:t>
      </w:r>
      <w:r w:rsidRPr="0074138E">
        <w:rPr>
          <w:rFonts w:ascii="Times New Roman" w:eastAsia="Times New Roman" w:hAnsi="Times New Roman" w:cs="Times New Roman"/>
          <w:i/>
          <w:iCs/>
          <w:sz w:val="24"/>
          <w:szCs w:val="24"/>
        </w:rPr>
        <w:t>Neurotoxicology and Teratology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(1), 96–107. </w:t>
      </w:r>
      <w:hyperlink r:id="rId5548" w:history="1">
        <w:r w:rsidRPr="0074138E">
          <w:rPr>
            <w:rFonts w:ascii="Times New Roman" w:eastAsia="Times New Roman" w:hAnsi="Times New Roman" w:cs="Times New Roman"/>
            <w:color w:val="0000FF"/>
            <w:sz w:val="24"/>
            <w:szCs w:val="24"/>
            <w:u w:val="single"/>
          </w:rPr>
          <w:t>https://doi.org/10.1016/j.ntt.2011.11.003</w:t>
        </w:r>
      </w:hyperlink>
    </w:p>
    <w:p w14:paraId="4BBB2F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Stiles-Smith, B. L. (1999). </w:t>
      </w:r>
      <w:r w:rsidRPr="0074138E">
        <w:rPr>
          <w:rFonts w:ascii="Times New Roman" w:eastAsia="Times New Roman" w:hAnsi="Times New Roman" w:cs="Times New Roman"/>
          <w:i/>
          <w:iCs/>
          <w:sz w:val="24"/>
          <w:szCs w:val="24"/>
        </w:rPr>
        <w:t>The examination of selected tasks of frontal lobe functioning and subtyping by birth trauma, hereditary, and environmental stress factors in children diagnosed with attention deficit hyperactivity disorder.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(3-B), 1317–1317.</w:t>
      </w:r>
    </w:p>
    <w:p w14:paraId="67092F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Stöckel, T., &amp; Mau-Moeller, A. (2020). Cognitive control processes associated with successful gait performance in dual-task walking in healthy young adults. </w:t>
      </w:r>
      <w:r w:rsidRPr="0074138E">
        <w:rPr>
          <w:rFonts w:ascii="Times New Roman" w:eastAsia="Times New Roman" w:hAnsi="Times New Roman" w:cs="Times New Roman"/>
          <w:i/>
          <w:iCs/>
          <w:sz w:val="24"/>
          <w:szCs w:val="24"/>
        </w:rPr>
        <w:t>Psychological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84</w:t>
      </w:r>
      <w:r w:rsidRPr="0074138E">
        <w:rPr>
          <w:rFonts w:ascii="Times New Roman" w:eastAsia="Times New Roman" w:hAnsi="Times New Roman" w:cs="Times New Roman"/>
          <w:sz w:val="24"/>
          <w:szCs w:val="24"/>
        </w:rPr>
        <w:t xml:space="preserve">(6), 1766–1776. </w:t>
      </w:r>
      <w:hyperlink r:id="rId5549" w:history="1">
        <w:r w:rsidRPr="0074138E">
          <w:rPr>
            <w:rFonts w:ascii="Times New Roman" w:eastAsia="Times New Roman" w:hAnsi="Times New Roman" w:cs="Times New Roman"/>
            <w:color w:val="0000FF"/>
            <w:sz w:val="24"/>
            <w:szCs w:val="24"/>
            <w:u w:val="single"/>
          </w:rPr>
          <w:t>https://doi.org/10.1007/s00426-019-01184-4</w:t>
        </w:r>
      </w:hyperlink>
    </w:p>
    <w:p w14:paraId="6667DF6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Stoet, G., &amp; López, B. (2011). Task-switching abilities in children with autism spectrum disorder. </w:t>
      </w:r>
      <w:r w:rsidRPr="0074138E">
        <w:rPr>
          <w:rFonts w:ascii="Times New Roman" w:eastAsia="Times New Roman" w:hAnsi="Times New Roman" w:cs="Times New Roman"/>
          <w:i/>
          <w:iCs/>
          <w:sz w:val="24"/>
          <w:szCs w:val="24"/>
        </w:rPr>
        <w:t>European Journal of Developmental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(2), 244–260. </w:t>
      </w:r>
      <w:hyperlink r:id="rId5550" w:history="1">
        <w:r w:rsidRPr="0074138E">
          <w:rPr>
            <w:rFonts w:ascii="Times New Roman" w:eastAsia="Times New Roman" w:hAnsi="Times New Roman" w:cs="Times New Roman"/>
            <w:color w:val="0000FF"/>
            <w:sz w:val="24"/>
            <w:szCs w:val="24"/>
            <w:u w:val="single"/>
          </w:rPr>
          <w:t>https://doi.org/10.1080/17405629.2010.492000</w:t>
        </w:r>
      </w:hyperlink>
    </w:p>
    <w:p w14:paraId="39F180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Stoet, G., &amp; López, B. (2013). Development of task-switching skills. In </w:t>
      </w:r>
      <w:r w:rsidRPr="0074138E">
        <w:rPr>
          <w:rFonts w:ascii="Times New Roman" w:eastAsia="Times New Roman" w:hAnsi="Times New Roman" w:cs="Times New Roman"/>
          <w:i/>
          <w:iCs/>
          <w:sz w:val="24"/>
          <w:szCs w:val="24"/>
        </w:rPr>
        <w:t>Cognition and brain development: Converging evidence from various methodologies.</w:t>
      </w:r>
      <w:r w:rsidRPr="0074138E">
        <w:rPr>
          <w:rFonts w:ascii="Times New Roman" w:eastAsia="Times New Roman" w:hAnsi="Times New Roman" w:cs="Times New Roman"/>
          <w:sz w:val="24"/>
          <w:szCs w:val="24"/>
        </w:rPr>
        <w:t xml:space="preserve"> (pp. 85–101). American Psychological Association. </w:t>
      </w:r>
      <w:hyperlink r:id="rId5551" w:history="1">
        <w:r w:rsidRPr="0074138E">
          <w:rPr>
            <w:rFonts w:ascii="Times New Roman" w:eastAsia="Times New Roman" w:hAnsi="Times New Roman" w:cs="Times New Roman"/>
            <w:color w:val="0000FF"/>
            <w:sz w:val="24"/>
            <w:szCs w:val="24"/>
            <w:u w:val="single"/>
          </w:rPr>
          <w:t>https://doi.org/10.1037/14043-005</w:t>
        </w:r>
      </w:hyperlink>
    </w:p>
    <w:p w14:paraId="00DF71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Jakobsen, O., Czarna, J. M., Mortensen, H. V., &amp; Waldemar, G. (2005). Years of severe and isolated amnesia can precede the development of dementia in early-onset Alzheimer’s disease.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(1), 48–55. </w:t>
      </w:r>
      <w:hyperlink r:id="rId5552" w:history="1">
        <w:r w:rsidRPr="0074138E">
          <w:rPr>
            <w:rFonts w:ascii="Times New Roman" w:eastAsia="Times New Roman" w:hAnsi="Times New Roman" w:cs="Times New Roman"/>
            <w:color w:val="0000FF"/>
            <w:sz w:val="24"/>
            <w:szCs w:val="24"/>
            <w:u w:val="single"/>
          </w:rPr>
          <w:t>https://doi.org/10.1080/13554790490896965</w:t>
        </w:r>
      </w:hyperlink>
    </w:p>
    <w:p w14:paraId="1704E3E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Jørgensen, K., &amp; Vogel, A. (2013). Performances on five verbal fluency tests in a healthy, elderly Danish sample.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(1), 22–33. </w:t>
      </w:r>
      <w:hyperlink r:id="rId5553" w:history="1">
        <w:r w:rsidRPr="0074138E">
          <w:rPr>
            <w:rFonts w:ascii="Times New Roman" w:eastAsia="Times New Roman" w:hAnsi="Times New Roman" w:cs="Times New Roman"/>
            <w:color w:val="0000FF"/>
            <w:sz w:val="24"/>
            <w:szCs w:val="24"/>
            <w:u w:val="single"/>
          </w:rPr>
          <w:t>https://doi.org/10.1080/13825585.2012.656576</w:t>
        </w:r>
      </w:hyperlink>
    </w:p>
    <w:p w14:paraId="31A6C1C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Vogel, A., Gade, A., &amp; Waldemar, G. (2005). The Executive Interview as a Screening Test for Executive Dysfunction in Patients with Mild Dementia. </w:t>
      </w:r>
      <w:r w:rsidRPr="0074138E">
        <w:rPr>
          <w:rFonts w:ascii="Times New Roman" w:eastAsia="Times New Roman" w:hAnsi="Times New Roman" w:cs="Times New Roman"/>
          <w:i/>
          <w:iCs/>
          <w:sz w:val="24"/>
          <w:szCs w:val="24"/>
        </w:rPr>
        <w:t>Journal of the American Geriatrics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(9), 1577–1581. </w:t>
      </w:r>
      <w:hyperlink r:id="rId5554" w:history="1">
        <w:r w:rsidRPr="0074138E">
          <w:rPr>
            <w:rFonts w:ascii="Times New Roman" w:eastAsia="Times New Roman" w:hAnsi="Times New Roman" w:cs="Times New Roman"/>
            <w:color w:val="0000FF"/>
            <w:sz w:val="24"/>
            <w:szCs w:val="24"/>
            <w:u w:val="single"/>
          </w:rPr>
          <w:t>https://doi.org/10.1111/j.1532-5415.2005.53470.x</w:t>
        </w:r>
      </w:hyperlink>
    </w:p>
    <w:p w14:paraId="65648D2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Stokholm, J., Vogel, A., Gade, A., &amp; Waldemar, G. (2006). Heterogeneity in Executive Impairment in Patients with Very Mild Alzheimer’s Disease.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(1), 54–59. </w:t>
      </w:r>
      <w:hyperlink r:id="rId5555" w:history="1">
        <w:r w:rsidRPr="0074138E">
          <w:rPr>
            <w:rFonts w:ascii="Times New Roman" w:eastAsia="Times New Roman" w:hAnsi="Times New Roman" w:cs="Times New Roman"/>
            <w:color w:val="0000FF"/>
            <w:sz w:val="24"/>
            <w:szCs w:val="24"/>
            <w:u w:val="single"/>
          </w:rPr>
          <w:t>https://doi.org/10.1159/000093262</w:t>
        </w:r>
      </w:hyperlink>
    </w:p>
    <w:p w14:paraId="5D87E6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Stolwyk, R. J., Lee, S., McKay, A., &amp; Ponsford, J. L. (2013). Exploring what the Austin maze measures: A comparison across conventional and computer versions.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(2), 243–252. </w:t>
      </w:r>
      <w:hyperlink r:id="rId5556" w:history="1">
        <w:r w:rsidRPr="0074138E">
          <w:rPr>
            <w:rFonts w:ascii="Times New Roman" w:eastAsia="Times New Roman" w:hAnsi="Times New Roman" w:cs="Times New Roman"/>
            <w:color w:val="0000FF"/>
            <w:sz w:val="24"/>
            <w:szCs w:val="24"/>
            <w:u w:val="single"/>
          </w:rPr>
          <w:t>https://doi.org/10.1017/BrImp.2013.23</w:t>
        </w:r>
      </w:hyperlink>
    </w:p>
    <w:p w14:paraId="41A4750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Stone, D. C., Boone, K. B., Back-Madruga, C., &amp; Lesser, I. M. (2006). Has the rolling uterus finally gathered moss? Somatization and malingering of cognitive deficit in six cases of “toxic mold” exposure.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766–785. </w:t>
      </w:r>
      <w:hyperlink r:id="rId5557" w:history="1">
        <w:r w:rsidRPr="0074138E">
          <w:rPr>
            <w:rFonts w:ascii="Times New Roman" w:eastAsia="Times New Roman" w:hAnsi="Times New Roman" w:cs="Times New Roman"/>
            <w:color w:val="0000FF"/>
            <w:sz w:val="24"/>
            <w:szCs w:val="24"/>
            <w:u w:val="single"/>
          </w:rPr>
          <w:t>https://doi.org/10.1080/13854040500428459</w:t>
        </w:r>
      </w:hyperlink>
    </w:p>
    <w:p w14:paraId="5D2B7F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Stone, W. S., Hsi, X., Giuliano, A. J., Tan, L., Zhu, S., Li, L., Seidman, L. J., &amp; Tsuang, M. T. (2012). Are neurocognitive, clinical and social dysfunctions in schizotaxia reversible pharmacologically? Results from the Changsha Study.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(1), 73–82. </w:t>
      </w:r>
      <w:hyperlink r:id="rId5558" w:history="1">
        <w:r w:rsidRPr="0074138E">
          <w:rPr>
            <w:rFonts w:ascii="Times New Roman" w:eastAsia="Times New Roman" w:hAnsi="Times New Roman" w:cs="Times New Roman"/>
            <w:color w:val="0000FF"/>
            <w:sz w:val="24"/>
            <w:szCs w:val="24"/>
            <w:u w:val="single"/>
          </w:rPr>
          <w:t>https://doi.org/10.1016/j.ajp.2011.12.001</w:t>
        </w:r>
      </w:hyperlink>
    </w:p>
    <w:p w14:paraId="68B489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Stone, W. S., Hsi, X., Tan, L., Zhu, S., Li, L., Giuliano, A. J., Seidman, L. J., &amp; Tsuang, M. T. (2012). Neurocognitive and clinical dysfunction in adult Chinese, nonpsychotic relatives of patients with schizophrenia: Findings from the Changsha Study and evidence for schizotaxia. </w:t>
      </w:r>
      <w:r w:rsidRPr="0074138E">
        <w:rPr>
          <w:rFonts w:ascii="Times New Roman" w:eastAsia="Times New Roman" w:hAnsi="Times New Roman" w:cs="Times New Roman"/>
          <w:i/>
          <w:iCs/>
          <w:sz w:val="24"/>
          <w:szCs w:val="24"/>
        </w:rPr>
        <w:t>Asian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(1), 83–92. </w:t>
      </w:r>
      <w:hyperlink r:id="rId5559" w:history="1">
        <w:r w:rsidRPr="0074138E">
          <w:rPr>
            <w:rFonts w:ascii="Times New Roman" w:eastAsia="Times New Roman" w:hAnsi="Times New Roman" w:cs="Times New Roman"/>
            <w:color w:val="0000FF"/>
            <w:sz w:val="24"/>
            <w:szCs w:val="24"/>
            <w:u w:val="single"/>
          </w:rPr>
          <w:t>https://doi.org/10.1016/j.ajp.2011.11.007</w:t>
        </w:r>
      </w:hyperlink>
    </w:p>
    <w:p w14:paraId="7110C2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Stonnington, C. M., Chen, K., Lee, W., Locke, D. E. C., Dueck, A. C., Liu, X., Roontiva, A., Fleisher, A. S., Caselli, R. J., &amp; Reiman, E. M. (2014). Fibrillar amyloid correlates of preclinical cognitive decline. </w:t>
      </w:r>
      <w:r w:rsidRPr="0074138E">
        <w:rPr>
          <w:rFonts w:ascii="Times New Roman" w:eastAsia="Times New Roman" w:hAnsi="Times New Roman" w:cs="Times New Roman"/>
          <w:i/>
          <w:iCs/>
          <w:sz w:val="24"/>
          <w:szCs w:val="24"/>
        </w:rPr>
        <w:t>Alzheimer’s &amp; Dementia: The Journal of the Alzheimer’s Association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(1), e1–e8. </w:t>
      </w:r>
      <w:hyperlink r:id="rId5560" w:history="1">
        <w:r w:rsidRPr="0074138E">
          <w:rPr>
            <w:rFonts w:ascii="Times New Roman" w:eastAsia="Times New Roman" w:hAnsi="Times New Roman" w:cs="Times New Roman"/>
            <w:color w:val="0000FF"/>
            <w:sz w:val="24"/>
            <w:szCs w:val="24"/>
            <w:u w:val="single"/>
          </w:rPr>
          <w:t>https://doi.org/10.1016/j.jalz.2013.01.009</w:t>
        </w:r>
      </w:hyperlink>
    </w:p>
    <w:p w14:paraId="2B0D05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Stonnington, C. M., Locke, D. E. C., Dueck, A. C., &amp; Caselli, R. J. (2011). Anxiety affects cognition differently in health apolipoprotein E ɛ4 homozygotes and non-carriers.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(3), 294–299. </w:t>
      </w:r>
      <w:hyperlink r:id="rId5561" w:history="1">
        <w:r w:rsidRPr="0074138E">
          <w:rPr>
            <w:rFonts w:ascii="Times New Roman" w:eastAsia="Times New Roman" w:hAnsi="Times New Roman" w:cs="Times New Roman"/>
            <w:color w:val="0000FF"/>
            <w:sz w:val="24"/>
            <w:szCs w:val="24"/>
            <w:u w:val="single"/>
          </w:rPr>
          <w:t>https://doi.org/10.1176/appi.neuropsych.23.3.294</w:t>
        </w:r>
      </w:hyperlink>
    </w:p>
    <w:p w14:paraId="2D8ED0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Stoodley, C. J. (2012). The cerebellum and cognition: Evidence from functional imaging studies. </w:t>
      </w:r>
      <w:r w:rsidRPr="0074138E">
        <w:rPr>
          <w:rFonts w:ascii="Times New Roman" w:eastAsia="Times New Roman" w:hAnsi="Times New Roman" w:cs="Times New Roman"/>
          <w:i/>
          <w:iCs/>
          <w:sz w:val="24"/>
          <w:szCs w:val="24"/>
        </w:rPr>
        <w:t>The Cerebellum</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(2), 352–365. </w:t>
      </w:r>
      <w:hyperlink r:id="rId5562" w:history="1">
        <w:r w:rsidRPr="0074138E">
          <w:rPr>
            <w:rFonts w:ascii="Times New Roman" w:eastAsia="Times New Roman" w:hAnsi="Times New Roman" w:cs="Times New Roman"/>
            <w:color w:val="0000FF"/>
            <w:sz w:val="24"/>
            <w:szCs w:val="24"/>
            <w:u w:val="single"/>
          </w:rPr>
          <w:t>https://doi.org/10.1007/s12311-011-0260-7</w:t>
        </w:r>
      </w:hyperlink>
    </w:p>
    <w:p w14:paraId="5AED01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Stordal, K. I., Lundervold, A. J., Egeland, J., Mykletun, A., Asbjørnsen, A., Landrø, N. I., Roness, A., Rund, B. R., Sundet, K., Oedegaard, K. J., &amp; Lund, A. (2004). Impairment across executive functions in recurrent major depression. </w:t>
      </w:r>
      <w:r w:rsidRPr="0074138E">
        <w:rPr>
          <w:rFonts w:ascii="Times New Roman" w:eastAsia="Times New Roman" w:hAnsi="Times New Roman" w:cs="Times New Roman"/>
          <w:i/>
          <w:iCs/>
          <w:sz w:val="24"/>
          <w:szCs w:val="24"/>
        </w:rPr>
        <w:t>Nordic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(1), 41–47. </w:t>
      </w:r>
      <w:hyperlink r:id="rId5563" w:history="1">
        <w:r w:rsidRPr="0074138E">
          <w:rPr>
            <w:rFonts w:ascii="Times New Roman" w:eastAsia="Times New Roman" w:hAnsi="Times New Roman" w:cs="Times New Roman"/>
            <w:color w:val="0000FF"/>
            <w:sz w:val="24"/>
            <w:szCs w:val="24"/>
            <w:u w:val="single"/>
          </w:rPr>
          <w:t>https://doi.org/10.1080/08039480310000789</w:t>
        </w:r>
      </w:hyperlink>
    </w:p>
    <w:p w14:paraId="516201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Stordal, K. I., Mykletun, A., Asbjørnsen, A., Egeland, J., Landrø, N. I., Roness, A., Rund, B. R., Sundet, K. S., Lundervold, A. J., &amp; Lund, A. (2005). General psychopathology is more important for executive functioning than diagnosis.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111</w:t>
      </w:r>
      <w:r w:rsidRPr="0074138E">
        <w:rPr>
          <w:rFonts w:ascii="Times New Roman" w:eastAsia="Times New Roman" w:hAnsi="Times New Roman" w:cs="Times New Roman"/>
          <w:sz w:val="24"/>
          <w:szCs w:val="24"/>
        </w:rPr>
        <w:t xml:space="preserve">(1), 22–28. </w:t>
      </w:r>
      <w:hyperlink r:id="rId5564" w:history="1">
        <w:r w:rsidRPr="0074138E">
          <w:rPr>
            <w:rFonts w:ascii="Times New Roman" w:eastAsia="Times New Roman" w:hAnsi="Times New Roman" w:cs="Times New Roman"/>
            <w:color w:val="0000FF"/>
            <w:sz w:val="24"/>
            <w:szCs w:val="24"/>
            <w:u w:val="single"/>
          </w:rPr>
          <w:t>https://doi.org/10.1111/j.1600-0447.2004.00389.x</w:t>
        </w:r>
      </w:hyperlink>
    </w:p>
    <w:p w14:paraId="37D6CB7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Stöttinger, E., Filipowicz, A., Marandi, E., Quehl, N., Danckert, J., &amp; Anderson, B. (2014). Statistical and perceptual updating: Correlated impairments in right brain injury. </w:t>
      </w:r>
      <w:r w:rsidRPr="0074138E">
        <w:rPr>
          <w:rFonts w:ascii="Times New Roman" w:eastAsia="Times New Roman" w:hAnsi="Times New Roman" w:cs="Times New Roman"/>
          <w:i/>
          <w:iCs/>
          <w:sz w:val="24"/>
          <w:szCs w:val="24"/>
        </w:rPr>
        <w:t>Experimental Brain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232</w:t>
      </w:r>
      <w:r w:rsidRPr="0074138E">
        <w:rPr>
          <w:rFonts w:ascii="Times New Roman" w:eastAsia="Times New Roman" w:hAnsi="Times New Roman" w:cs="Times New Roman"/>
          <w:sz w:val="24"/>
          <w:szCs w:val="24"/>
        </w:rPr>
        <w:t xml:space="preserve">(6), 1971–1987. </w:t>
      </w:r>
      <w:hyperlink r:id="rId5565" w:history="1">
        <w:r w:rsidRPr="0074138E">
          <w:rPr>
            <w:rFonts w:ascii="Times New Roman" w:eastAsia="Times New Roman" w:hAnsi="Times New Roman" w:cs="Times New Roman"/>
            <w:color w:val="0000FF"/>
            <w:sz w:val="24"/>
            <w:szCs w:val="24"/>
            <w:u w:val="single"/>
          </w:rPr>
          <w:t>https://doi.org/10.1007/s00221-014-3887-z</w:t>
        </w:r>
      </w:hyperlink>
    </w:p>
    <w:p w14:paraId="46487E8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Stowe, M. T. (1996). </w:t>
      </w:r>
      <w:r w:rsidRPr="0074138E">
        <w:rPr>
          <w:rFonts w:ascii="Times New Roman" w:eastAsia="Times New Roman" w:hAnsi="Times New Roman" w:cs="Times New Roman"/>
          <w:i/>
          <w:iCs/>
          <w:sz w:val="24"/>
          <w:szCs w:val="24"/>
        </w:rPr>
        <w:t>Executive function in patients with sickle cell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56</w:t>
      </w:r>
      <w:r w:rsidRPr="0074138E">
        <w:rPr>
          <w:rFonts w:ascii="Times New Roman" w:eastAsia="Times New Roman" w:hAnsi="Times New Roman" w:cs="Times New Roman"/>
          <w:sz w:val="24"/>
          <w:szCs w:val="24"/>
        </w:rPr>
        <w:t>(10-B), 5821–5821.</w:t>
      </w:r>
    </w:p>
    <w:p w14:paraId="662BDD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Stoyanov, D., Machamer, P., &amp; Schaffner, K. F. (2013). In quest for scientific psychiatry: Toward bridging the explanatory gap. </w:t>
      </w:r>
      <w:r w:rsidRPr="0074138E">
        <w:rPr>
          <w:rFonts w:ascii="Times New Roman" w:eastAsia="Times New Roman" w:hAnsi="Times New Roman" w:cs="Times New Roman"/>
          <w:i/>
          <w:iCs/>
          <w:sz w:val="24"/>
          <w:szCs w:val="24"/>
        </w:rPr>
        <w:t>Philosophy, Psychiatry, &amp;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261–273. </w:t>
      </w:r>
      <w:hyperlink r:id="rId5566" w:history="1">
        <w:r w:rsidRPr="0074138E">
          <w:rPr>
            <w:rFonts w:ascii="Times New Roman" w:eastAsia="Times New Roman" w:hAnsi="Times New Roman" w:cs="Times New Roman"/>
            <w:color w:val="0000FF"/>
            <w:sz w:val="24"/>
            <w:szCs w:val="24"/>
            <w:u w:val="single"/>
          </w:rPr>
          <w:t>https://doi.org/10.1353/ppp.2013.0041</w:t>
        </w:r>
      </w:hyperlink>
    </w:p>
    <w:p w14:paraId="3BE742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Stracciari, A., Fonti, C., &amp; Guarino, M. (2008). When the past is lost: Focal retrograde amnesia. Focus on the “functional” form. </w:t>
      </w:r>
      <w:r w:rsidRPr="0074138E">
        <w:rPr>
          <w:rFonts w:ascii="Times New Roman" w:eastAsia="Times New Roman" w:hAnsi="Times New Roman" w:cs="Times New Roman"/>
          <w:i/>
          <w:iCs/>
          <w:sz w:val="24"/>
          <w:szCs w:val="24"/>
        </w:rPr>
        <w:t>Behavioural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(3–4), 113–125. </w:t>
      </w:r>
      <w:hyperlink r:id="rId5567" w:history="1">
        <w:r w:rsidRPr="0074138E">
          <w:rPr>
            <w:rFonts w:ascii="Times New Roman" w:eastAsia="Times New Roman" w:hAnsi="Times New Roman" w:cs="Times New Roman"/>
            <w:color w:val="0000FF"/>
            <w:sz w:val="24"/>
            <w:szCs w:val="24"/>
            <w:u w:val="single"/>
          </w:rPr>
          <w:t>https://doi.org/10.1155/2008/376159</w:t>
        </w:r>
      </w:hyperlink>
    </w:p>
    <w:p w14:paraId="32005E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Stracciari, A., Mattarozzi, K., Fonti, C., &amp; Guarino, M. (2005). Functional focal retrograde amnesia: Lost access to abstract autobiographical knowledge? </w:t>
      </w:r>
      <w:r w:rsidRPr="0074138E">
        <w:rPr>
          <w:rFonts w:ascii="Times New Roman" w:eastAsia="Times New Roman" w:hAnsi="Times New Roman" w:cs="Times New Roman"/>
          <w:i/>
          <w:iCs/>
          <w:sz w:val="24"/>
          <w:szCs w:val="24"/>
        </w:rPr>
        <w:t>Memory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(7), 690–699. </w:t>
      </w:r>
      <w:hyperlink r:id="rId5568" w:history="1">
        <w:r w:rsidRPr="0074138E">
          <w:rPr>
            <w:rFonts w:ascii="Times New Roman" w:eastAsia="Times New Roman" w:hAnsi="Times New Roman" w:cs="Times New Roman"/>
            <w:color w:val="0000FF"/>
            <w:sz w:val="24"/>
            <w:szCs w:val="24"/>
            <w:u w:val="single"/>
          </w:rPr>
          <w:t>https://doi.org/10.1080/09658210444000331</w:t>
        </w:r>
      </w:hyperlink>
    </w:p>
    <w:p w14:paraId="53387E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Stranks, E. K., &amp; Crowe, S. F. (2016). The cognitive effects of obstructive sleep apnea: An updated meta-analysis.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(2), 186–193.</w:t>
      </w:r>
    </w:p>
    <w:p w14:paraId="395C931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Arduini, L., Daneluzzo, E., Rinaldi, O., di Genova, A., &amp; Rossi, A. (2004). Relationship of good and poor Wisconsin Card Sorting Test performance to illness duration in schizophrenia: A cross-sectional analysis.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121</w:t>
      </w:r>
      <w:r w:rsidRPr="0074138E">
        <w:rPr>
          <w:rFonts w:ascii="Times New Roman" w:eastAsia="Times New Roman" w:hAnsi="Times New Roman" w:cs="Times New Roman"/>
          <w:sz w:val="24"/>
          <w:szCs w:val="24"/>
        </w:rPr>
        <w:t xml:space="preserve">(3), 219–227. </w:t>
      </w:r>
      <w:hyperlink r:id="rId5569" w:history="1">
        <w:r w:rsidRPr="0074138E">
          <w:rPr>
            <w:rFonts w:ascii="Times New Roman" w:eastAsia="Times New Roman" w:hAnsi="Times New Roman" w:cs="Times New Roman"/>
            <w:color w:val="0000FF"/>
            <w:sz w:val="24"/>
            <w:szCs w:val="24"/>
            <w:u w:val="single"/>
          </w:rPr>
          <w:t>https://doi.org/10.1016/S0165-1781(03)00256-7</w:t>
        </w:r>
      </w:hyperlink>
    </w:p>
    <w:p w14:paraId="2F8389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Daneluzzo, E., Bustini, M., Prosperini, P., &amp; Rossi, A. (2000). Processing of context information in schizophrenia: Relation to clinical symptoms and WCST performance.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 57–67. </w:t>
      </w:r>
      <w:hyperlink r:id="rId5570" w:history="1">
        <w:r w:rsidRPr="0074138E">
          <w:rPr>
            <w:rFonts w:ascii="Times New Roman" w:eastAsia="Times New Roman" w:hAnsi="Times New Roman" w:cs="Times New Roman"/>
            <w:color w:val="0000FF"/>
            <w:sz w:val="24"/>
            <w:szCs w:val="24"/>
            <w:u w:val="single"/>
          </w:rPr>
          <w:t>https://doi.org/10.1016/S0920-9964(99)00142-5</w:t>
        </w:r>
      </w:hyperlink>
    </w:p>
    <w:p w14:paraId="64515D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Daneluzzo, E., Mattei, P., Bustini, M., Casacchia, M., &amp; Rossi, A. (1997). No deficit in Wisconsin Card Sorting Test performance of schizophrenic patients’ first-degree relatives.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(2–3), 147–151. </w:t>
      </w:r>
      <w:hyperlink r:id="rId5571" w:history="1">
        <w:r w:rsidRPr="0074138E">
          <w:rPr>
            <w:rFonts w:ascii="Times New Roman" w:eastAsia="Times New Roman" w:hAnsi="Times New Roman" w:cs="Times New Roman"/>
            <w:color w:val="0000FF"/>
            <w:sz w:val="24"/>
            <w:szCs w:val="24"/>
            <w:u w:val="single"/>
          </w:rPr>
          <w:t>https://doi.org/10.1016/S0920-9964(97)00047-9</w:t>
        </w:r>
      </w:hyperlink>
    </w:p>
    <w:p w14:paraId="208EA9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Daneluzzo, E., Prosperini, P., Bustini, M., Mattei, P., &amp; Rossi, A. (1997). Is Wisconsin Card Sorting Test performance related to working memory’ capacity?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11–19. </w:t>
      </w:r>
      <w:hyperlink r:id="rId5572" w:history="1">
        <w:r w:rsidRPr="0074138E">
          <w:rPr>
            <w:rFonts w:ascii="Times New Roman" w:eastAsia="Times New Roman" w:hAnsi="Times New Roman" w:cs="Times New Roman"/>
            <w:color w:val="0000FF"/>
            <w:sz w:val="24"/>
            <w:szCs w:val="24"/>
            <w:u w:val="single"/>
          </w:rPr>
          <w:t>https://doi.org/10.1016/S0920-9964(97)00090-X</w:t>
        </w:r>
      </w:hyperlink>
    </w:p>
    <w:p w14:paraId="1C007C0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Donda, P., Rossi, A., &amp; Rossi, A. (2005). Executive function assessment of patients with schizophrenic disorder residual type in olanzapine treatment: An open study.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401–408. </w:t>
      </w:r>
      <w:hyperlink r:id="rId5573" w:history="1">
        <w:r w:rsidRPr="0074138E">
          <w:rPr>
            <w:rFonts w:ascii="Times New Roman" w:eastAsia="Times New Roman" w:hAnsi="Times New Roman" w:cs="Times New Roman"/>
            <w:color w:val="0000FF"/>
            <w:sz w:val="24"/>
            <w:szCs w:val="24"/>
            <w:u w:val="single"/>
          </w:rPr>
          <w:t>https://doi.org/10.1002/hup.703</w:t>
        </w:r>
      </w:hyperlink>
    </w:p>
    <w:p w14:paraId="59A403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Mancini, F., Mattei, P., Casacchia, M., &amp; Rossi, A. (1994). Information processing strategy to remediate Wisconsin Cart Sorting Test performance in schizophrenia: A pilot study.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151</w:t>
      </w:r>
      <w:r w:rsidRPr="0074138E">
        <w:rPr>
          <w:rFonts w:ascii="Times New Roman" w:eastAsia="Times New Roman" w:hAnsi="Times New Roman" w:cs="Times New Roman"/>
          <w:sz w:val="24"/>
          <w:szCs w:val="24"/>
        </w:rPr>
        <w:t xml:space="preserve">(6), 915–918. </w:t>
      </w:r>
      <w:hyperlink r:id="rId5574" w:history="1">
        <w:r w:rsidRPr="0074138E">
          <w:rPr>
            <w:rFonts w:ascii="Times New Roman" w:eastAsia="Times New Roman" w:hAnsi="Times New Roman" w:cs="Times New Roman"/>
            <w:color w:val="0000FF"/>
            <w:sz w:val="24"/>
            <w:szCs w:val="24"/>
            <w:u w:val="single"/>
          </w:rPr>
          <w:t>https://doi.org/10.1176/ajp.151.6.915</w:t>
        </w:r>
      </w:hyperlink>
    </w:p>
    <w:p w14:paraId="0429D3C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Mancini, F., Mattei, P., Daneluzzo, E., Bustini, M., Casacchia, M., &amp; Rossi, A. (1997). Remediation of Wisconsin Card Sorting Test performance in schizophrenia. </w:t>
      </w:r>
      <w:r w:rsidRPr="0074138E">
        <w:rPr>
          <w:rFonts w:ascii="Times New Roman" w:eastAsia="Times New Roman" w:hAnsi="Times New Roman" w:cs="Times New Roman"/>
          <w:i/>
          <w:iCs/>
          <w:sz w:val="24"/>
          <w:szCs w:val="24"/>
        </w:rPr>
        <w:t>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59–66. </w:t>
      </w:r>
      <w:hyperlink r:id="rId5575" w:history="1">
        <w:r w:rsidRPr="0074138E">
          <w:rPr>
            <w:rFonts w:ascii="Times New Roman" w:eastAsia="Times New Roman" w:hAnsi="Times New Roman" w:cs="Times New Roman"/>
            <w:color w:val="0000FF"/>
            <w:sz w:val="24"/>
            <w:szCs w:val="24"/>
            <w:u w:val="single"/>
          </w:rPr>
          <w:t>https://doi.org/10.1159/000285030</w:t>
        </w:r>
      </w:hyperlink>
    </w:p>
    <w:p w14:paraId="53AD532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Prosperini, P., Daneluzzo, E., Bustini, M., &amp; Rossi, A. (2001). Educational level and age influence spatial working memory and Wisconsin Card Sorting Test performance differently: A controlled study in schizophrenic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(1), 39–48. </w:t>
      </w:r>
      <w:hyperlink r:id="rId5576" w:history="1">
        <w:r w:rsidRPr="0074138E">
          <w:rPr>
            <w:rFonts w:ascii="Times New Roman" w:eastAsia="Times New Roman" w:hAnsi="Times New Roman" w:cs="Times New Roman"/>
            <w:color w:val="0000FF"/>
            <w:sz w:val="24"/>
            <w:szCs w:val="24"/>
            <w:u w:val="single"/>
          </w:rPr>
          <w:t>https://doi.org/10.1016/S0165-1781(01)00230-X</w:t>
        </w:r>
      </w:hyperlink>
    </w:p>
    <w:p w14:paraId="3B5CCA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Stratta, P., Rossi, A., Mancini, F., Cupillari, M., &amp; al, et. (1993). Wisconsin Card Sorting Test performance and educational level in schizophrenic and control samples.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(3), 149–153.</w:t>
      </w:r>
    </w:p>
    <w:p w14:paraId="71DCF2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Straub, R. E., Lipska, B. K., Egan, M. F., Goldberg, T. E., Callicott, J. H., Mayhew, M. B., Vakkalanka, R. K., Kolachana, B. S., Kleinman, J. E., &amp; Weinberger, D. R. (2007). Allelic variation in GAD1 (GAD₆₇) is associated with schizophrenia and influences cortical function and gene expression. </w:t>
      </w:r>
      <w:r w:rsidRPr="0074138E">
        <w:rPr>
          <w:rFonts w:ascii="Times New Roman" w:eastAsia="Times New Roman" w:hAnsi="Times New Roman" w:cs="Times New Roman"/>
          <w:i/>
          <w:iCs/>
          <w:sz w:val="24"/>
          <w:szCs w:val="24"/>
        </w:rPr>
        <w:t>Molecular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(9), 854–869. </w:t>
      </w:r>
      <w:hyperlink r:id="rId5577" w:history="1">
        <w:r w:rsidRPr="0074138E">
          <w:rPr>
            <w:rFonts w:ascii="Times New Roman" w:eastAsia="Times New Roman" w:hAnsi="Times New Roman" w:cs="Times New Roman"/>
            <w:color w:val="0000FF"/>
            <w:sz w:val="24"/>
            <w:szCs w:val="24"/>
            <w:u w:val="single"/>
          </w:rPr>
          <w:t>https://doi.org/10.1038/sj.mp.4001988</w:t>
        </w:r>
      </w:hyperlink>
    </w:p>
    <w:p w14:paraId="443F36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Strauss, G. P., Robinson, B. M., Waltz, J. A., Frank, M. J., Kasanova, Z., Herbener, E. S., &amp; Gold, J. M. (2011). Patients with schizophrenia demonstrate inconsistent preference judgments for affective and nonaffective stimuli.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(6), 1295–1304. </w:t>
      </w:r>
      <w:hyperlink r:id="rId5578" w:history="1">
        <w:r w:rsidRPr="0074138E">
          <w:rPr>
            <w:rFonts w:ascii="Times New Roman" w:eastAsia="Times New Roman" w:hAnsi="Times New Roman" w:cs="Times New Roman"/>
            <w:color w:val="0000FF"/>
            <w:sz w:val="24"/>
            <w:szCs w:val="24"/>
            <w:u w:val="single"/>
          </w:rPr>
          <w:t>https://doi.org/10.1093/schbul/sbq047</w:t>
        </w:r>
      </w:hyperlink>
    </w:p>
    <w:p w14:paraId="481F06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Strazzer, S., Rocca, M. A., Molteni, E., DeMeo, E., Recla, M., Valsasina, P., Arrigoni, F., Galbiati, S., Bardoni, A., &amp; Filippi, M. (2015). Altered Recruitment of the Attention Network Is Associated with Disability and Cognitive Impairment in Pediatric Patients with Acquired Brain Injury. </w:t>
      </w:r>
      <w:r w:rsidRPr="0074138E">
        <w:rPr>
          <w:rFonts w:ascii="Times New Roman" w:eastAsia="Times New Roman" w:hAnsi="Times New Roman" w:cs="Times New Roman"/>
          <w:i/>
          <w:iCs/>
          <w:sz w:val="24"/>
          <w:szCs w:val="24"/>
        </w:rPr>
        <w:t>Neural Plasticity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2015</w:t>
      </w:r>
      <w:r w:rsidRPr="0074138E">
        <w:rPr>
          <w:rFonts w:ascii="Times New Roman" w:eastAsia="Times New Roman" w:hAnsi="Times New Roman" w:cs="Times New Roman"/>
          <w:sz w:val="24"/>
          <w:szCs w:val="24"/>
        </w:rPr>
        <w:t>.</w:t>
      </w:r>
    </w:p>
    <w:p w14:paraId="695B1B1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Strehl, U., Kotchoubey, B., Trevorrow, T., &amp; Birbaumer, N. (2005). Predictors of seizure reduction after self-regulation of slow cortical potentials as a treatment of drug-resistant epilepsy.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(2), 156–166. </w:t>
      </w:r>
      <w:hyperlink r:id="rId5579" w:history="1">
        <w:r w:rsidRPr="0074138E">
          <w:rPr>
            <w:rFonts w:ascii="Times New Roman" w:eastAsia="Times New Roman" w:hAnsi="Times New Roman" w:cs="Times New Roman"/>
            <w:color w:val="0000FF"/>
            <w:sz w:val="24"/>
            <w:szCs w:val="24"/>
            <w:u w:val="single"/>
          </w:rPr>
          <w:t>https://doi.org/10.1016/j.yebeh.2004.11.004</w:t>
        </w:r>
      </w:hyperlink>
    </w:p>
    <w:p w14:paraId="672AB6F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Strejilevich, S. A., &amp; Martino, D. J. (2013). Cognitive function in adulthood and elderly euthymic bipolar patients: A comparison to test models of cognitive evolution.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150</w:t>
      </w:r>
      <w:r w:rsidRPr="0074138E">
        <w:rPr>
          <w:rFonts w:ascii="Times New Roman" w:eastAsia="Times New Roman" w:hAnsi="Times New Roman" w:cs="Times New Roman"/>
          <w:sz w:val="24"/>
          <w:szCs w:val="24"/>
        </w:rPr>
        <w:t xml:space="preserve">(3), 1188–1191. </w:t>
      </w:r>
      <w:hyperlink r:id="rId5580" w:history="1">
        <w:r w:rsidRPr="0074138E">
          <w:rPr>
            <w:rFonts w:ascii="Times New Roman" w:eastAsia="Times New Roman" w:hAnsi="Times New Roman" w:cs="Times New Roman"/>
            <w:color w:val="0000FF"/>
            <w:sz w:val="24"/>
            <w:szCs w:val="24"/>
            <w:u w:val="single"/>
          </w:rPr>
          <w:t>https://doi.org/10.1016/j.jad.2013.05.012</w:t>
        </w:r>
      </w:hyperlink>
    </w:p>
    <w:p w14:paraId="6CB90B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Strieker, N. H., Salat, D. H., Foley, J. M., Zink, T. A., Kellison, I. L., McFarland, C. P., Grande, L. J., McGlinchey, R. E., Milberg, W. P., &amp; Leritz, E. C. (2013). Decreased white matter integrity in neuropsychologically defined mild cognitive impairment is independent of cortical thinning.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(8), 925–937. </w:t>
      </w:r>
      <w:hyperlink r:id="rId5581" w:history="1">
        <w:r w:rsidRPr="0074138E">
          <w:rPr>
            <w:rFonts w:ascii="Times New Roman" w:eastAsia="Times New Roman" w:hAnsi="Times New Roman" w:cs="Times New Roman"/>
            <w:color w:val="0000FF"/>
            <w:sz w:val="24"/>
            <w:szCs w:val="24"/>
            <w:u w:val="single"/>
          </w:rPr>
          <w:t>https://doi.org/10.1017/S1355617713000660</w:t>
        </w:r>
      </w:hyperlink>
    </w:p>
    <w:p w14:paraId="12095F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Strik, W., Schmidt, S., &amp; Roder, V. (2012). Cognition and schizophrenia. In J. Lauriello &amp; S. Pallanti (Eds.), </w:t>
      </w:r>
      <w:r w:rsidRPr="0074138E">
        <w:rPr>
          <w:rFonts w:ascii="Times New Roman" w:eastAsia="Times New Roman" w:hAnsi="Times New Roman" w:cs="Times New Roman"/>
          <w:i/>
          <w:iCs/>
          <w:sz w:val="24"/>
          <w:szCs w:val="24"/>
        </w:rPr>
        <w:t>Clinical manual for treatment of schizophrenia.</w:t>
      </w:r>
      <w:r w:rsidRPr="0074138E">
        <w:rPr>
          <w:rFonts w:ascii="Times New Roman" w:eastAsia="Times New Roman" w:hAnsi="Times New Roman" w:cs="Times New Roman"/>
          <w:sz w:val="24"/>
          <w:szCs w:val="24"/>
        </w:rPr>
        <w:t xml:space="preserve"> (pp. 149–211). American Psychiatric Publishing, Inc. </w:t>
      </w:r>
      <w:hyperlink r:id="rId5582" w:history="1">
        <w:r w:rsidRPr="0074138E">
          <w:rPr>
            <w:rFonts w:ascii="Times New Roman" w:eastAsia="Times New Roman" w:hAnsi="Times New Roman" w:cs="Times New Roman"/>
            <w:color w:val="0000FF"/>
            <w:sz w:val="24"/>
            <w:szCs w:val="24"/>
            <w:u w:val="single"/>
          </w:rPr>
          <w:t>http://search.ebscohost.com/login.aspx?direct=true&amp;db=psyh&amp;AN=2012-06263-005&amp;site=ehost-live</w:t>
        </w:r>
      </w:hyperlink>
    </w:p>
    <w:p w14:paraId="0C9EA4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Stringer, D., Marshall, D., Pester, B., Baker, A., Langenecker, S. A., Angers, K., Frazier, N., Archer, C., Kamali, M., McInnis, M., &amp; Ryan, K. A. (2014). Openness predicts cognitive functioning in bipolar disorder.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168</w:t>
      </w:r>
      <w:r w:rsidRPr="0074138E">
        <w:rPr>
          <w:rFonts w:ascii="Times New Roman" w:eastAsia="Times New Roman" w:hAnsi="Times New Roman" w:cs="Times New Roman"/>
          <w:sz w:val="24"/>
          <w:szCs w:val="24"/>
        </w:rPr>
        <w:t xml:space="preserve">, 51–57. </w:t>
      </w:r>
      <w:hyperlink r:id="rId5583" w:history="1">
        <w:r w:rsidRPr="0074138E">
          <w:rPr>
            <w:rFonts w:ascii="Times New Roman" w:eastAsia="Times New Roman" w:hAnsi="Times New Roman" w:cs="Times New Roman"/>
            <w:color w:val="0000FF"/>
            <w:sz w:val="24"/>
            <w:szCs w:val="24"/>
            <w:u w:val="single"/>
          </w:rPr>
          <w:t>https://doi.org/10.1016/j.jad.2014.06.038</w:t>
        </w:r>
      </w:hyperlink>
    </w:p>
    <w:p w14:paraId="3D13DC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Stroescu, I., Salinas, C. M., Nahab, F. B., &amp; Stringer, A. Y. (2011). Long-term neurocognitive and neuroimaging outcomes in posterior reversible encephalopathy syndrome: Two case reports and implications.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(8), 1386–1402. </w:t>
      </w:r>
      <w:hyperlink r:id="rId5584" w:history="1">
        <w:r w:rsidRPr="0074138E">
          <w:rPr>
            <w:rFonts w:ascii="Times New Roman" w:eastAsia="Times New Roman" w:hAnsi="Times New Roman" w:cs="Times New Roman"/>
            <w:color w:val="0000FF"/>
            <w:sz w:val="24"/>
            <w:szCs w:val="24"/>
            <w:u w:val="single"/>
          </w:rPr>
          <w:t>https://doi.org/10.1080/13854046.2011.628339</w:t>
        </w:r>
      </w:hyperlink>
    </w:p>
    <w:p w14:paraId="3E0593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Strong, C.-A. H., Tiesma, D., &amp; Donders, J. (2011). Criterion validity of the Delis-Kaplin Executive Function System (D-KEFS) Fluency subtests after traumatic brain injury.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(2), 230–237. </w:t>
      </w:r>
      <w:hyperlink r:id="rId5585" w:history="1">
        <w:r w:rsidRPr="0074138E">
          <w:rPr>
            <w:rFonts w:ascii="Times New Roman" w:eastAsia="Times New Roman" w:hAnsi="Times New Roman" w:cs="Times New Roman"/>
            <w:color w:val="0000FF"/>
            <w:sz w:val="24"/>
            <w:szCs w:val="24"/>
            <w:u w:val="single"/>
          </w:rPr>
          <w:t>https://doi.org/10.1017/S1355617710001451</w:t>
        </w:r>
      </w:hyperlink>
    </w:p>
    <w:p w14:paraId="76F351A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Stroup, S., Appelbaum, P., Swartz, M., Patel, M., Davis, S., Jeste, D., Kim, S., Keefe, R., Manschreck, T., McEvoy, J., &amp; Lieberman, J. (2005). Decision-making capacity for research participation among individuals in the CATIE schizophrenia trial.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80</w:t>
      </w:r>
      <w:r w:rsidRPr="0074138E">
        <w:rPr>
          <w:rFonts w:ascii="Times New Roman" w:eastAsia="Times New Roman" w:hAnsi="Times New Roman" w:cs="Times New Roman"/>
          <w:sz w:val="24"/>
          <w:szCs w:val="24"/>
        </w:rPr>
        <w:t xml:space="preserve">(1), 1–8. </w:t>
      </w:r>
      <w:hyperlink r:id="rId5586" w:history="1">
        <w:r w:rsidRPr="0074138E">
          <w:rPr>
            <w:rFonts w:ascii="Times New Roman" w:eastAsia="Times New Roman" w:hAnsi="Times New Roman" w:cs="Times New Roman"/>
            <w:color w:val="0000FF"/>
            <w:sz w:val="24"/>
            <w:szCs w:val="24"/>
            <w:u w:val="single"/>
          </w:rPr>
          <w:t>https://doi.org/10.1016/j.schres.2005.08.007</w:t>
        </w:r>
      </w:hyperlink>
    </w:p>
    <w:p w14:paraId="6F90E2C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Stroup, T. S., Appelbaum, P. S., Gu, H., Hays, S., Swartz, M. S., Keefe, R. S. E., Kim, S. Y., Manschreck, T. C., Boshes, R. A., McEvoy, J. P., &amp; Lieberman, J. A. (2011). Longitudinal consent-related abilities among research participants with schizophrenia: Results from the CATIE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(1–3), 47–52. </w:t>
      </w:r>
      <w:hyperlink r:id="rId5587" w:history="1">
        <w:r w:rsidRPr="0074138E">
          <w:rPr>
            <w:rFonts w:ascii="Times New Roman" w:eastAsia="Times New Roman" w:hAnsi="Times New Roman" w:cs="Times New Roman"/>
            <w:color w:val="0000FF"/>
            <w:sz w:val="24"/>
            <w:szCs w:val="24"/>
            <w:u w:val="single"/>
          </w:rPr>
          <w:t>https://doi.org/10.1016/j.schres.2011.04.012</w:t>
        </w:r>
      </w:hyperlink>
    </w:p>
    <w:p w14:paraId="245844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Strutt, A. M., Burton, V. J., Resendiz, C. V., &amp; Peery, S. (2016). Neurocognitive assessment of Hispanic individuals residing in the United States: Current issues and potential solutions. In </w:t>
      </w:r>
      <w:r w:rsidRPr="0074138E">
        <w:rPr>
          <w:rFonts w:ascii="Times New Roman" w:eastAsia="Times New Roman" w:hAnsi="Times New Roman" w:cs="Times New Roman"/>
          <w:i/>
          <w:iCs/>
          <w:sz w:val="24"/>
          <w:szCs w:val="24"/>
        </w:rPr>
        <w:t>Minority and cross-cultural aspects of neuropsychological assessment: Enduring and emerging trends, 2nd ed.</w:t>
      </w:r>
      <w:r w:rsidRPr="0074138E">
        <w:rPr>
          <w:rFonts w:ascii="Times New Roman" w:eastAsia="Times New Roman" w:hAnsi="Times New Roman" w:cs="Times New Roman"/>
          <w:sz w:val="24"/>
          <w:szCs w:val="24"/>
        </w:rPr>
        <w:t xml:space="preserve"> (pp. 201–228). Taylor &amp; Francis.</w:t>
      </w:r>
    </w:p>
    <w:p w14:paraId="694338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Strutt, A. M., Scott, B. M., Shrestha, S., &amp; York, M. K. (2011). The Rey 15-item Memory Test and Spanish-speaking older adults.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(7), 1253–1265. </w:t>
      </w:r>
      <w:hyperlink r:id="rId5588" w:history="1">
        <w:r w:rsidRPr="0074138E">
          <w:rPr>
            <w:rFonts w:ascii="Times New Roman" w:eastAsia="Times New Roman" w:hAnsi="Times New Roman" w:cs="Times New Roman"/>
            <w:color w:val="0000FF"/>
            <w:sz w:val="24"/>
            <w:szCs w:val="24"/>
            <w:u w:val="single"/>
          </w:rPr>
          <w:t>https://doi.org/10.1080/13854046.2011.609839</w:t>
        </w:r>
      </w:hyperlink>
    </w:p>
    <w:p w14:paraId="52CBAC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Strzelecki, D., Kałużyńska, O., Józefowicz, O., Pawełczyk, T., &amp; Rabe-Jabłońska, J. (2011). Initial glycine serum level is not a predictor of the recovery resulting from glycine augmentation of antipsychotic treatment.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(2), 5–11.</w:t>
      </w:r>
    </w:p>
    <w:p w14:paraId="6AB174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Strzelecki, D., &amp; Rabe-Jabłońska, J. (2010). Czy osoczowe stężenia glicyny mogą być czynnikiem rokowniczym skuteczności jej stosowania u chorych na schizofrenię? [Could we use a serum level of glycine as a prognostic factor of its efficacy in schizophrenic patients?]. </w:t>
      </w:r>
      <w:r w:rsidRPr="0074138E">
        <w:rPr>
          <w:rFonts w:ascii="Times New Roman" w:eastAsia="Times New Roman" w:hAnsi="Times New Roman" w:cs="Times New Roman"/>
          <w:i/>
          <w:iCs/>
          <w:sz w:val="24"/>
          <w:szCs w:val="24"/>
        </w:rPr>
        <w:t>Psychiatria Polska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(3), 395–404.</w:t>
      </w:r>
    </w:p>
    <w:p w14:paraId="34E0F3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Studeny, J., Weber, E., Kavanaugh, B. C., Dupont-Frechette, J. A., Tellock, P. P., Maher, I. D., Haisley, L. D., McCurdy, K., &amp; Holler, K. A. (2019). Executive and nonexecutive demands of constructional measures within a children’s psychiatric inpatient setting. </w:t>
      </w:r>
      <w:r w:rsidRPr="0074138E">
        <w:rPr>
          <w:rFonts w:ascii="Times New Roman" w:eastAsia="Times New Roman" w:hAnsi="Times New Roman" w:cs="Times New Roman"/>
          <w:i/>
          <w:iCs/>
          <w:sz w:val="24"/>
          <w:szCs w:val="24"/>
        </w:rPr>
        <w:t>Applied Neuropsychology: Child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 xml:space="preserve">(1), 40–49. </w:t>
      </w:r>
      <w:hyperlink r:id="rId5589" w:history="1">
        <w:r w:rsidRPr="0074138E">
          <w:rPr>
            <w:rFonts w:ascii="Times New Roman" w:eastAsia="Times New Roman" w:hAnsi="Times New Roman" w:cs="Times New Roman"/>
            <w:color w:val="0000FF"/>
            <w:sz w:val="24"/>
            <w:szCs w:val="24"/>
            <w:u w:val="single"/>
          </w:rPr>
          <w:t>https://doi.org/10.1080/21622965.2017.1381098</w:t>
        </w:r>
      </w:hyperlink>
    </w:p>
    <w:p w14:paraId="34EC87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Sturm, A., &amp; Chang, S. W. (2015). Pediatric anxiety: A neurocognitive review. In </w:t>
      </w:r>
      <w:r w:rsidRPr="0074138E">
        <w:rPr>
          <w:rFonts w:ascii="Times New Roman" w:eastAsia="Times New Roman" w:hAnsi="Times New Roman" w:cs="Times New Roman"/>
          <w:i/>
          <w:iCs/>
          <w:sz w:val="24"/>
          <w:szCs w:val="24"/>
        </w:rPr>
        <w:t>From symptom to synapse: A neurocognitive perspective on clinical psychology.</w:t>
      </w:r>
      <w:r w:rsidRPr="0074138E">
        <w:rPr>
          <w:rFonts w:ascii="Times New Roman" w:eastAsia="Times New Roman" w:hAnsi="Times New Roman" w:cs="Times New Roman"/>
          <w:sz w:val="24"/>
          <w:szCs w:val="24"/>
        </w:rPr>
        <w:t xml:space="preserve"> (pp. 45–74). Routledge/Taylor &amp; Francis Group.</w:t>
      </w:r>
    </w:p>
    <w:p w14:paraId="712638F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(2013). Science mirroring reality: An improbable journey into the functions of the frontal lobes.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(1), 1–8. </w:t>
      </w:r>
      <w:hyperlink r:id="rId5590" w:history="1">
        <w:r w:rsidRPr="0074138E">
          <w:rPr>
            <w:rFonts w:ascii="Times New Roman" w:eastAsia="Times New Roman" w:hAnsi="Times New Roman" w:cs="Times New Roman"/>
            <w:color w:val="0000FF"/>
            <w:sz w:val="24"/>
            <w:szCs w:val="24"/>
            <w:u w:val="single"/>
          </w:rPr>
          <w:t>https://doi.org/10.1093/arclin/acs107</w:t>
        </w:r>
      </w:hyperlink>
    </w:p>
    <w:p w14:paraId="6263BD8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&amp; Alexander, M. P. (2008). Is there a dysexecutive syndrome? In </w:t>
      </w:r>
      <w:r w:rsidRPr="0074138E">
        <w:rPr>
          <w:rFonts w:ascii="Times New Roman" w:eastAsia="Times New Roman" w:hAnsi="Times New Roman" w:cs="Times New Roman"/>
          <w:i/>
          <w:iCs/>
          <w:sz w:val="24"/>
          <w:szCs w:val="24"/>
        </w:rPr>
        <w:t>Mental processes in the human brain.</w:t>
      </w:r>
      <w:r w:rsidRPr="0074138E">
        <w:rPr>
          <w:rFonts w:ascii="Times New Roman" w:eastAsia="Times New Roman" w:hAnsi="Times New Roman" w:cs="Times New Roman"/>
          <w:sz w:val="24"/>
          <w:szCs w:val="24"/>
        </w:rPr>
        <w:t xml:space="preserve"> (pp. 225–248). Oxford University Press.</w:t>
      </w:r>
    </w:p>
    <w:p w14:paraId="276B02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Levine, B., Alexander, M. P., Hong, J., Palumbo, C., Hamer, L., Murphy, K. J., &amp; Isukawa, D. (2000). Wisconsin Card Sorting Test performance in patients with focal frontal and posterior brain damage: Effects of lesion location and test structure on separable cognitive processes.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(4), 388–402. </w:t>
      </w:r>
      <w:hyperlink r:id="rId5591" w:history="1">
        <w:r w:rsidRPr="0074138E">
          <w:rPr>
            <w:rFonts w:ascii="Times New Roman" w:eastAsia="Times New Roman" w:hAnsi="Times New Roman" w:cs="Times New Roman"/>
            <w:color w:val="0000FF"/>
            <w:sz w:val="24"/>
            <w:szCs w:val="24"/>
            <w:u w:val="single"/>
          </w:rPr>
          <w:t>https://doi.org/10.1016/S0028-3932(99)00093-7</w:t>
        </w:r>
      </w:hyperlink>
    </w:p>
    <w:p w14:paraId="4F5DA18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Stuss, D. T., Robertson, I. H., Craik, F. I. M., Levine, B., Alexander, M. P., Black, S., Dawson, D., Binns, M. A., Palmer, H., Downey-Lamb, M., &amp; Winocur, G. (2007). Cognitive rehabilitation in the elderly: A randomized trial to evaluate a new protocol.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(1), 120–131. </w:t>
      </w:r>
      <w:hyperlink r:id="rId5592" w:history="1">
        <w:r w:rsidRPr="0074138E">
          <w:rPr>
            <w:rFonts w:ascii="Times New Roman" w:eastAsia="Times New Roman" w:hAnsi="Times New Roman" w:cs="Times New Roman"/>
            <w:color w:val="0000FF"/>
            <w:sz w:val="24"/>
            <w:szCs w:val="24"/>
            <w:u w:val="single"/>
          </w:rPr>
          <w:t>https://doi.org/10.1017/S1355617707070154</w:t>
        </w:r>
      </w:hyperlink>
    </w:p>
    <w:p w14:paraId="560ADC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Chen, C.-C., Wuang, Y.-P., Lin, Y.-H., &amp; Wu, Y.-Y. (2008). Neuropsychological predictors of everyday functioning in adults with intellectual disabilities. </w:t>
      </w:r>
      <w:r w:rsidRPr="0074138E">
        <w:rPr>
          <w:rFonts w:ascii="Times New Roman" w:eastAsia="Times New Roman" w:hAnsi="Times New Roman" w:cs="Times New Roman"/>
          <w:i/>
          <w:iCs/>
          <w:sz w:val="24"/>
          <w:szCs w:val="24"/>
        </w:rPr>
        <w:t>Journal of Intellectual Disability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(1), 18–28.</w:t>
      </w:r>
    </w:p>
    <w:p w14:paraId="79BA5B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Chen, H.-M., Kwan, A.-L., Lin, Y.-H., &amp; Guo, N.-W. (2007). Neuropsychological impairment after hemorrhagic stroke in basal ganglia.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(4), 465–474. </w:t>
      </w:r>
      <w:hyperlink r:id="rId5593" w:history="1">
        <w:r w:rsidRPr="0074138E">
          <w:rPr>
            <w:rFonts w:ascii="Times New Roman" w:eastAsia="Times New Roman" w:hAnsi="Times New Roman" w:cs="Times New Roman"/>
            <w:color w:val="0000FF"/>
            <w:sz w:val="24"/>
            <w:szCs w:val="24"/>
            <w:u w:val="single"/>
          </w:rPr>
          <w:t>https://doi.org/10.1016/j.acn.2007.01.025</w:t>
        </w:r>
      </w:hyperlink>
    </w:p>
    <w:p w14:paraId="7D66EC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Chen, W.-L., Tsai, P.-C., Tsai, C.-Y., &amp; Su, W.-L. (2007). Psychometric properties of the Loewenstein Occupational Therapy Cognitive Assessment—Second Edition in Taiwanese persons with schizophrenia. </w:t>
      </w:r>
      <w:r w:rsidRPr="0074138E">
        <w:rPr>
          <w:rFonts w:ascii="Times New Roman" w:eastAsia="Times New Roman" w:hAnsi="Times New Roman" w:cs="Times New Roman"/>
          <w:i/>
          <w:iCs/>
          <w:sz w:val="24"/>
          <w:szCs w:val="24"/>
        </w:rPr>
        <w:t>American Journal of Occupational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(1), 108–118. </w:t>
      </w:r>
      <w:hyperlink r:id="rId5594" w:history="1">
        <w:r w:rsidRPr="0074138E">
          <w:rPr>
            <w:rFonts w:ascii="Times New Roman" w:eastAsia="Times New Roman" w:hAnsi="Times New Roman" w:cs="Times New Roman"/>
            <w:color w:val="0000FF"/>
            <w:sz w:val="24"/>
            <w:szCs w:val="24"/>
            <w:u w:val="single"/>
          </w:rPr>
          <w:t>https://doi.org/10.5014/ajot.61.1.108</w:t>
        </w:r>
      </w:hyperlink>
    </w:p>
    <w:p w14:paraId="7088A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Lin, Y.-H., Kwan, A.-L., &amp; Guo, N.-W. (2008). Construct validity of the Wisconsin Card Sorting Test-64 in patients with stroke.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(2), 273–287. </w:t>
      </w:r>
      <w:hyperlink r:id="rId5595" w:history="1">
        <w:r w:rsidRPr="0074138E">
          <w:rPr>
            <w:rFonts w:ascii="Times New Roman" w:eastAsia="Times New Roman" w:hAnsi="Times New Roman" w:cs="Times New Roman"/>
            <w:color w:val="0000FF"/>
            <w:sz w:val="24"/>
            <w:szCs w:val="24"/>
            <w:u w:val="single"/>
          </w:rPr>
          <w:t>https://doi.org/10.1080/13854040701220036</w:t>
        </w:r>
      </w:hyperlink>
    </w:p>
    <w:p w14:paraId="46B021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Lin, Y.-H., Wu, Y.-Y., &amp; Chen, C.-C. (2008). The role of cognition and adaptive behavior in employment of people with mental retardation. </w:t>
      </w:r>
      <w:r w:rsidRPr="0074138E">
        <w:rPr>
          <w:rFonts w:ascii="Times New Roman" w:eastAsia="Times New Roman" w:hAnsi="Times New Roman" w:cs="Times New Roman"/>
          <w:i/>
          <w:iCs/>
          <w:sz w:val="24"/>
          <w:szCs w:val="24"/>
        </w:rPr>
        <w:t>Research in Developmental Disabilities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83–95. </w:t>
      </w:r>
      <w:hyperlink r:id="rId5596" w:history="1">
        <w:r w:rsidRPr="0074138E">
          <w:rPr>
            <w:rFonts w:ascii="Times New Roman" w:eastAsia="Times New Roman" w:hAnsi="Times New Roman" w:cs="Times New Roman"/>
            <w:color w:val="0000FF"/>
            <w:sz w:val="24"/>
            <w:szCs w:val="24"/>
            <w:u w:val="single"/>
          </w:rPr>
          <w:t>https://doi.org/10.1016/j.ridd.2006.12.001</w:t>
        </w:r>
      </w:hyperlink>
    </w:p>
    <w:p w14:paraId="6E0893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C.-Y., Wuang, Y.-P., Lin, Y.-H., &amp; Su, J.-H. (2015). The role of processing speed in post-stroke cognitive dysfunction.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148–160. </w:t>
      </w:r>
      <w:hyperlink r:id="rId5597" w:history="1">
        <w:r w:rsidRPr="0074138E">
          <w:rPr>
            <w:rFonts w:ascii="Times New Roman" w:eastAsia="Times New Roman" w:hAnsi="Times New Roman" w:cs="Times New Roman"/>
            <w:color w:val="0000FF"/>
            <w:sz w:val="24"/>
            <w:szCs w:val="24"/>
            <w:u w:val="single"/>
          </w:rPr>
          <w:t>https://doi.org/10.1093/arclin/acu057</w:t>
        </w:r>
      </w:hyperlink>
    </w:p>
    <w:p w14:paraId="5A1E1B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Q., Yu, M., Liu, F., Zhang, Z., Lei, M., Jiang, Y., Luo, T., &amp; Guo, W. (2021). Frequency-specific alterations of the frontal-cerebellar circuit in first-episode, drug-naive somatization disorder.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280</w:t>
      </w:r>
      <w:r w:rsidRPr="0074138E">
        <w:rPr>
          <w:rFonts w:ascii="Times New Roman" w:eastAsia="Times New Roman" w:hAnsi="Times New Roman" w:cs="Times New Roman"/>
          <w:sz w:val="24"/>
          <w:szCs w:val="24"/>
        </w:rPr>
        <w:t xml:space="preserve">(Part A), 319–325. </w:t>
      </w:r>
      <w:hyperlink r:id="rId5598" w:history="1">
        <w:r w:rsidRPr="0074138E">
          <w:rPr>
            <w:rFonts w:ascii="Times New Roman" w:eastAsia="Times New Roman" w:hAnsi="Times New Roman" w:cs="Times New Roman"/>
            <w:color w:val="0000FF"/>
            <w:sz w:val="24"/>
            <w:szCs w:val="24"/>
            <w:u w:val="single"/>
          </w:rPr>
          <w:t>https://doi.org/10.1016/j.jad.2020.11.090</w:t>
        </w:r>
      </w:hyperlink>
    </w:p>
    <w:p w14:paraId="50033BD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 T.-W., Lan, T.-H., Hsu, T.-W., Biswal, B. B., Tsai, P.-J., Lin, W.-C., &amp; Lin, C.-P. (2013). Reduced neuro-integration from the dorsolateral prefrontal cortex to the whole brain and executive dysfunction in schizophrenia patients and their relatives.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148</w:t>
      </w:r>
      <w:r w:rsidRPr="0074138E">
        <w:rPr>
          <w:rFonts w:ascii="Times New Roman" w:eastAsia="Times New Roman" w:hAnsi="Times New Roman" w:cs="Times New Roman"/>
          <w:sz w:val="24"/>
          <w:szCs w:val="24"/>
        </w:rPr>
        <w:t xml:space="preserve">(1–3), 50–58. </w:t>
      </w:r>
      <w:hyperlink r:id="rId5599" w:history="1">
        <w:r w:rsidRPr="0074138E">
          <w:rPr>
            <w:rFonts w:ascii="Times New Roman" w:eastAsia="Times New Roman" w:hAnsi="Times New Roman" w:cs="Times New Roman"/>
            <w:color w:val="0000FF"/>
            <w:sz w:val="24"/>
            <w:szCs w:val="24"/>
            <w:u w:val="single"/>
          </w:rPr>
          <w:t>https://doi.org/10.1016/j.schres.2013.05.005</w:t>
        </w:r>
      </w:hyperlink>
    </w:p>
    <w:p w14:paraId="271AACA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Suárez-Monteagudo, C., Hernández-Ramírez, P., Álvarez-González, L., García-Maeso, I., de la Cuétara-Bernal, K., Castillo-Díaz, L., Bringas-Vega, M. L., Martínez-Aching, G., Morales-Chacón, L. M., Báez-Martín, M. M., Sánchez-Catasús, C., Carballo-Barreda, M., Rodríguez-Rojas, R., Gómez-Fernández, L., Alberti-Amador, E., Macías-Abraham, C., Balea, E. D., Rosales, L. C., del Valle Pérez, L., … Bergado, J. A. (2009). Autologous bone marrow stem cell neurotransplantation in stroke patients. An open study. </w:t>
      </w:r>
      <w:r w:rsidRPr="0074138E">
        <w:rPr>
          <w:rFonts w:ascii="Times New Roman" w:eastAsia="Times New Roman" w:hAnsi="Times New Roman" w:cs="Times New Roman"/>
          <w:i/>
          <w:iCs/>
          <w:sz w:val="24"/>
          <w:szCs w:val="24"/>
        </w:rPr>
        <w:t>Restorative Neurology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(3), 151–161.</w:t>
      </w:r>
    </w:p>
    <w:p w14:paraId="455F23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Subramanian, S. K., Chilingaryan, G., Sveistrup, H., &amp; Levin, M. F. (2015). Depressive symptoms influence use of feedback for motor learning and recovery in chronic stroke. </w:t>
      </w:r>
      <w:r w:rsidRPr="0074138E">
        <w:rPr>
          <w:rFonts w:ascii="Times New Roman" w:eastAsia="Times New Roman" w:hAnsi="Times New Roman" w:cs="Times New Roman"/>
          <w:i/>
          <w:iCs/>
          <w:sz w:val="24"/>
          <w:szCs w:val="24"/>
        </w:rPr>
        <w:t>Restorative Neurology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(5), 727–740. </w:t>
      </w:r>
      <w:hyperlink r:id="rId5600" w:history="1">
        <w:r w:rsidRPr="0074138E">
          <w:rPr>
            <w:rFonts w:ascii="Times New Roman" w:eastAsia="Times New Roman" w:hAnsi="Times New Roman" w:cs="Times New Roman"/>
            <w:color w:val="0000FF"/>
            <w:sz w:val="24"/>
            <w:szCs w:val="24"/>
            <w:u w:val="single"/>
          </w:rPr>
          <w:t>https://doi.org/10.3233/RNN-150508</w:t>
        </w:r>
      </w:hyperlink>
    </w:p>
    <w:p w14:paraId="6DF3A0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Subramaniapillai, M., Tremblay, L., Grassmann, V., Remington, G., &amp; Faulkner, G. (2016). The effect of an acute bout of exercise on executive function among individuals with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246</w:t>
      </w:r>
      <w:r w:rsidRPr="0074138E">
        <w:rPr>
          <w:rFonts w:ascii="Times New Roman" w:eastAsia="Times New Roman" w:hAnsi="Times New Roman" w:cs="Times New Roman"/>
          <w:sz w:val="24"/>
          <w:szCs w:val="24"/>
        </w:rPr>
        <w:t xml:space="preserve">, 637–643. </w:t>
      </w:r>
      <w:hyperlink r:id="rId5601" w:history="1">
        <w:r w:rsidRPr="0074138E">
          <w:rPr>
            <w:rFonts w:ascii="Times New Roman" w:eastAsia="Times New Roman" w:hAnsi="Times New Roman" w:cs="Times New Roman"/>
            <w:color w:val="0000FF"/>
            <w:sz w:val="24"/>
            <w:szCs w:val="24"/>
            <w:u w:val="single"/>
          </w:rPr>
          <w:t>https://doi.org/10.1016/j.psychres.2016.10.075</w:t>
        </w:r>
      </w:hyperlink>
    </w:p>
    <w:p w14:paraId="366641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Subramaniapillai, S., Rajah, M. N., Pasvanis, S., &amp; Titone, D. (2019). Bilingual experience and executive control over the adult lifespan: The role of biological sex. </w:t>
      </w:r>
      <w:r w:rsidRPr="0074138E">
        <w:rPr>
          <w:rFonts w:ascii="Times New Roman" w:eastAsia="Times New Roman" w:hAnsi="Times New Roman" w:cs="Times New Roman"/>
          <w:i/>
          <w:iCs/>
          <w:sz w:val="24"/>
          <w:szCs w:val="24"/>
        </w:rPr>
        <w:t>Bilingualism: Language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(4), 733–751. </w:t>
      </w:r>
      <w:hyperlink r:id="rId5602" w:history="1">
        <w:r w:rsidRPr="0074138E">
          <w:rPr>
            <w:rFonts w:ascii="Times New Roman" w:eastAsia="Times New Roman" w:hAnsi="Times New Roman" w:cs="Times New Roman"/>
            <w:color w:val="0000FF"/>
            <w:sz w:val="24"/>
            <w:szCs w:val="24"/>
            <w:u w:val="single"/>
          </w:rPr>
          <w:t>https://doi.org/10.1017/S1366728918000317</w:t>
        </w:r>
      </w:hyperlink>
    </w:p>
    <w:p w14:paraId="0BFA95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Suchy, Y., Leahy, B., Sweet, J. J., &amp; Lam, C. S. (2003). Behavioral Dyscontrol Scale Deficits Among Traumatic Brain Injury Patients, Part II: Comparison to Other Measures of Executive Functioning.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(4), 492–506. </w:t>
      </w:r>
      <w:hyperlink r:id="rId5603" w:history="1">
        <w:r w:rsidRPr="0074138E">
          <w:rPr>
            <w:rFonts w:ascii="Times New Roman" w:eastAsia="Times New Roman" w:hAnsi="Times New Roman" w:cs="Times New Roman"/>
            <w:color w:val="0000FF"/>
            <w:sz w:val="24"/>
            <w:szCs w:val="24"/>
            <w:u w:val="single"/>
          </w:rPr>
          <w:t>https://doi.org/10.1076/clin.17.4.492.27949</w:t>
        </w:r>
      </w:hyperlink>
    </w:p>
    <w:p w14:paraId="275882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Sucksmith, E., Roth, I., &amp; Hoekstra, R. A. (2011). Autistic traits below the clinical threshold: Re-examining the broader autism phenotype in the 21st century. </w:t>
      </w:r>
      <w:r w:rsidRPr="0074138E">
        <w:rPr>
          <w:rFonts w:ascii="Times New Roman" w:eastAsia="Times New Roman" w:hAnsi="Times New Roman" w:cs="Times New Roman"/>
          <w:i/>
          <w:iCs/>
          <w:sz w:val="24"/>
          <w:szCs w:val="24"/>
        </w:rPr>
        <w:t>Neuropsychology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(4), 360–389. </w:t>
      </w:r>
      <w:hyperlink r:id="rId5604" w:history="1">
        <w:r w:rsidRPr="0074138E">
          <w:rPr>
            <w:rFonts w:ascii="Times New Roman" w:eastAsia="Times New Roman" w:hAnsi="Times New Roman" w:cs="Times New Roman"/>
            <w:color w:val="0000FF"/>
            <w:sz w:val="24"/>
            <w:szCs w:val="24"/>
            <w:u w:val="single"/>
          </w:rPr>
          <w:t>https://doi.org/10.1007/s11065-011-9183-9</w:t>
        </w:r>
      </w:hyperlink>
    </w:p>
    <w:p w14:paraId="09A534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Sugiyama, K., Kondo, T., Higano, S., Endo, M., Watanabe, H., Shindo, K., &amp; Izumi, S.-I. (2007). Diffusion tensor imaging fiber tractography for evaluating diffuse axonal injury.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(4), 413–419. </w:t>
      </w:r>
      <w:hyperlink r:id="rId5605" w:history="1">
        <w:r w:rsidRPr="0074138E">
          <w:rPr>
            <w:rFonts w:ascii="Times New Roman" w:eastAsia="Times New Roman" w:hAnsi="Times New Roman" w:cs="Times New Roman"/>
            <w:color w:val="0000FF"/>
            <w:sz w:val="24"/>
            <w:szCs w:val="24"/>
            <w:u w:val="single"/>
          </w:rPr>
          <w:t>https://doi.org/10.1080/02699050701311042</w:t>
        </w:r>
      </w:hyperlink>
    </w:p>
    <w:p w14:paraId="21D01C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(1995). </w:t>
      </w:r>
      <w:r w:rsidRPr="0074138E">
        <w:rPr>
          <w:rFonts w:ascii="Times New Roman" w:eastAsia="Times New Roman" w:hAnsi="Times New Roman" w:cs="Times New Roman"/>
          <w:i/>
          <w:iCs/>
          <w:sz w:val="24"/>
          <w:szCs w:val="24"/>
        </w:rPr>
        <w:t>Executive functioning deficits in schizotypal college students.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(12-B), 5578–5578.</w:t>
      </w:r>
    </w:p>
    <w:p w14:paraId="47DADAB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(1997). Executive functioning deficits in hypothetically psychosis-prone college students.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(1), 29–35. </w:t>
      </w:r>
      <w:hyperlink r:id="rId5606" w:history="1">
        <w:r w:rsidRPr="0074138E">
          <w:rPr>
            <w:rFonts w:ascii="Times New Roman" w:eastAsia="Times New Roman" w:hAnsi="Times New Roman" w:cs="Times New Roman"/>
            <w:color w:val="0000FF"/>
            <w:sz w:val="24"/>
            <w:szCs w:val="24"/>
            <w:u w:val="single"/>
          </w:rPr>
          <w:t>https://doi.org/10.1016/S0920-9964(97)00072-8</w:t>
        </w:r>
      </w:hyperlink>
    </w:p>
    <w:p w14:paraId="32066E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(2015). </w:t>
      </w:r>
      <w:r w:rsidRPr="0074138E">
        <w:rPr>
          <w:rFonts w:ascii="Times New Roman" w:eastAsia="Times New Roman" w:hAnsi="Times New Roman" w:cs="Times New Roman"/>
          <w:i/>
          <w:iCs/>
          <w:sz w:val="24"/>
          <w:szCs w:val="24"/>
        </w:rPr>
        <w:t>Psychological assessment: A problem-solving approach</w:t>
      </w:r>
      <w:r w:rsidRPr="0074138E">
        <w:rPr>
          <w:rFonts w:ascii="Times New Roman" w:eastAsia="Times New Roman" w:hAnsi="Times New Roman" w:cs="Times New Roman"/>
          <w:sz w:val="24"/>
          <w:szCs w:val="24"/>
        </w:rPr>
        <w:t xml:space="preserve">. Guilford Press. </w:t>
      </w:r>
      <w:hyperlink r:id="rId5607" w:history="1">
        <w:r w:rsidRPr="0074138E">
          <w:rPr>
            <w:rFonts w:ascii="Times New Roman" w:eastAsia="Times New Roman" w:hAnsi="Times New Roman" w:cs="Times New Roman"/>
            <w:color w:val="0000FF"/>
            <w:sz w:val="24"/>
            <w:szCs w:val="24"/>
            <w:u w:val="single"/>
          </w:rPr>
          <w:t>http://search.ebscohost.com/login.aspx?direct=true&amp;db=psyh&amp;AN=2015-13429-000&amp;site=ehost-live</w:t>
        </w:r>
      </w:hyperlink>
    </w:p>
    <w:p w14:paraId="3BD9A9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Angers, K. (2020). Neuropsychological testing and assessment. </w:t>
      </w:r>
      <w:r w:rsidRPr="0074138E">
        <w:rPr>
          <w:rFonts w:ascii="Times New Roman" w:eastAsia="Times New Roman" w:hAnsi="Times New Roman" w:cs="Times New Roman"/>
          <w:i/>
          <w:iCs/>
          <w:sz w:val="24"/>
          <w:szCs w:val="24"/>
        </w:rPr>
        <w:t>The Cambridge Handbook of Clinical Assessment and Diagnosis.</w:t>
      </w:r>
      <w:r w:rsidRPr="0074138E">
        <w:rPr>
          <w:rFonts w:ascii="Times New Roman" w:eastAsia="Times New Roman" w:hAnsi="Times New Roman" w:cs="Times New Roman"/>
          <w:sz w:val="24"/>
          <w:szCs w:val="24"/>
        </w:rPr>
        <w:t xml:space="preserve">, 191–207. </w:t>
      </w:r>
      <w:hyperlink r:id="rId5608" w:history="1">
        <w:r w:rsidRPr="0074138E">
          <w:rPr>
            <w:rFonts w:ascii="Times New Roman" w:eastAsia="Times New Roman" w:hAnsi="Times New Roman" w:cs="Times New Roman"/>
            <w:color w:val="0000FF"/>
            <w:sz w:val="24"/>
            <w:szCs w:val="24"/>
            <w:u w:val="single"/>
          </w:rPr>
          <w:t>https://doi.org/10.1017/9781108235433.015</w:t>
        </w:r>
      </w:hyperlink>
    </w:p>
    <w:p w14:paraId="2855D5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Boyer, D. (1999). Use of the Wisconsin Card Sorting Test in the detection of malingering in student simulator and patient samples.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(5), 701–708. </w:t>
      </w:r>
      <w:hyperlink r:id="rId5609" w:history="1">
        <w:r w:rsidRPr="0074138E">
          <w:rPr>
            <w:rFonts w:ascii="Times New Roman" w:eastAsia="Times New Roman" w:hAnsi="Times New Roman" w:cs="Times New Roman"/>
            <w:color w:val="0000FF"/>
            <w:sz w:val="24"/>
            <w:szCs w:val="24"/>
            <w:u w:val="single"/>
          </w:rPr>
          <w:t>https://doi.org/10.1076/jcen.21.5.701.868</w:t>
        </w:r>
      </w:hyperlink>
    </w:p>
    <w:p w14:paraId="7FE9B0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Chelberg, M. B. (2013). Use of near-infrared spectroscopy as a measure of cerebrovascular health in aging adults.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(2), 243–252. </w:t>
      </w:r>
      <w:hyperlink r:id="rId5610" w:history="1">
        <w:r w:rsidRPr="0074138E">
          <w:rPr>
            <w:rFonts w:ascii="Times New Roman" w:eastAsia="Times New Roman" w:hAnsi="Times New Roman" w:cs="Times New Roman"/>
            <w:color w:val="0000FF"/>
            <w:sz w:val="24"/>
            <w:szCs w:val="24"/>
            <w:u w:val="single"/>
          </w:rPr>
          <w:t>https://doi.org/10.1080/13825585.2012.727976</w:t>
        </w:r>
      </w:hyperlink>
    </w:p>
    <w:p w14:paraId="4325330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Gunstad, J. (2005). Further exploration of the effect of “diagnosis threat” on cognitive performance in individuals with mild head injury.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w:t>
      </w:r>
      <w:r w:rsidRPr="0074138E">
        <w:rPr>
          <w:rFonts w:ascii="Times New Roman" w:eastAsia="Times New Roman" w:hAnsi="Times New Roman" w:cs="Times New Roman"/>
          <w:sz w:val="24"/>
          <w:szCs w:val="24"/>
        </w:rPr>
        <w:t xml:space="preserve">(1), 23–29. </w:t>
      </w:r>
      <w:hyperlink r:id="rId5611" w:history="1">
        <w:r w:rsidRPr="0074138E">
          <w:rPr>
            <w:rFonts w:ascii="Times New Roman" w:eastAsia="Times New Roman" w:hAnsi="Times New Roman" w:cs="Times New Roman"/>
            <w:color w:val="0000FF"/>
            <w:sz w:val="24"/>
            <w:szCs w:val="24"/>
            <w:u w:val="single"/>
          </w:rPr>
          <w:t>https://doi.org/10.1017/S1355617705050010</w:t>
        </w:r>
      </w:hyperlink>
    </w:p>
    <w:p w14:paraId="0522AE2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Spitznagel, M. B. (2001). Factor versus cluster models of schizotypal traits. II: Relation to neuropsychological impairment.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52</w:t>
      </w:r>
      <w:r w:rsidRPr="0074138E">
        <w:rPr>
          <w:rFonts w:ascii="Times New Roman" w:eastAsia="Times New Roman" w:hAnsi="Times New Roman" w:cs="Times New Roman"/>
          <w:sz w:val="24"/>
          <w:szCs w:val="24"/>
        </w:rPr>
        <w:t xml:space="preserve">(3), 241–250. </w:t>
      </w:r>
      <w:hyperlink r:id="rId5612" w:history="1">
        <w:r w:rsidRPr="0074138E">
          <w:rPr>
            <w:rFonts w:ascii="Times New Roman" w:eastAsia="Times New Roman" w:hAnsi="Times New Roman" w:cs="Times New Roman"/>
            <w:color w:val="0000FF"/>
            <w:sz w:val="24"/>
            <w:szCs w:val="24"/>
            <w:u w:val="single"/>
          </w:rPr>
          <w:t>https://doi.org/10.1016/S0920-9964(00)00185-7</w:t>
        </w:r>
      </w:hyperlink>
    </w:p>
    <w:p w14:paraId="1E80645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Tsanadis, J. (2007). Affect and personality correlates of the Iowa Gambling Task. </w:t>
      </w:r>
      <w:r w:rsidRPr="0074138E">
        <w:rPr>
          <w:rFonts w:ascii="Times New Roman" w:eastAsia="Times New Roman" w:hAnsi="Times New Roman" w:cs="Times New Roman"/>
          <w:i/>
          <w:iCs/>
          <w:sz w:val="24"/>
          <w:szCs w:val="24"/>
        </w:rPr>
        <w:t>Personality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(1), 27–36. </w:t>
      </w:r>
      <w:hyperlink r:id="rId5613" w:history="1">
        <w:r w:rsidRPr="0074138E">
          <w:rPr>
            <w:rFonts w:ascii="Times New Roman" w:eastAsia="Times New Roman" w:hAnsi="Times New Roman" w:cs="Times New Roman"/>
            <w:color w:val="0000FF"/>
            <w:sz w:val="24"/>
            <w:szCs w:val="24"/>
            <w:u w:val="single"/>
          </w:rPr>
          <w:t>https://doi.org/10.1016/j.paid.2006.11.004</w:t>
        </w:r>
      </w:hyperlink>
    </w:p>
    <w:p w14:paraId="3E952FD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 &amp; Wei, C. (2013). Response expectancies and their potential influence in neuropsychological evaluation. In </w:t>
      </w:r>
      <w:r w:rsidRPr="0074138E">
        <w:rPr>
          <w:rFonts w:ascii="Times New Roman" w:eastAsia="Times New Roman" w:hAnsi="Times New Roman" w:cs="Times New Roman"/>
          <w:i/>
          <w:iCs/>
          <w:sz w:val="24"/>
          <w:szCs w:val="24"/>
        </w:rPr>
        <w:t>Secondary influences on neuropsychological test performance: Research findings and practical applications.</w:t>
      </w:r>
      <w:r w:rsidRPr="0074138E">
        <w:rPr>
          <w:rFonts w:ascii="Times New Roman" w:eastAsia="Times New Roman" w:hAnsi="Times New Roman" w:cs="Times New Roman"/>
          <w:sz w:val="24"/>
          <w:szCs w:val="24"/>
        </w:rPr>
        <w:t xml:space="preserve"> (pp. 182–200). Oxford University Press.</w:t>
      </w:r>
    </w:p>
    <w:p w14:paraId="7C59690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Gunstad, J., Greub, B., &amp; Barrash, J. (2004). Exaggeration Index for an Expanded Version of the Auditory Verbal Learning Test: Robustness to Coaching.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(3), 416–427. </w:t>
      </w:r>
      <w:hyperlink r:id="rId5614" w:history="1">
        <w:r w:rsidRPr="0074138E">
          <w:rPr>
            <w:rFonts w:ascii="Times New Roman" w:eastAsia="Times New Roman" w:hAnsi="Times New Roman" w:cs="Times New Roman"/>
            <w:color w:val="0000FF"/>
            <w:sz w:val="24"/>
            <w:szCs w:val="24"/>
            <w:u w:val="single"/>
          </w:rPr>
          <w:t>https://doi.org/10.1080/13803390490510121</w:t>
        </w:r>
      </w:hyperlink>
    </w:p>
    <w:p w14:paraId="0D2014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&amp; Hammers, D. (2010). Who fails the Iowa Gambling Test (IGT)? Personality, neuropsychological, and near-infrared spectroscopy findings in healthy young controls.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293–302. </w:t>
      </w:r>
      <w:hyperlink r:id="rId5615" w:history="1">
        <w:r w:rsidRPr="0074138E">
          <w:rPr>
            <w:rFonts w:ascii="Times New Roman" w:eastAsia="Times New Roman" w:hAnsi="Times New Roman" w:cs="Times New Roman"/>
            <w:color w:val="0000FF"/>
            <w:sz w:val="24"/>
            <w:szCs w:val="24"/>
            <w:u w:val="single"/>
          </w:rPr>
          <w:t>https://doi.org/10.1093/arclin/acq017</w:t>
        </w:r>
      </w:hyperlink>
    </w:p>
    <w:p w14:paraId="22AD379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Suhr, J., Hammers, D., Dobbins-Buckland, K., Zimak, E., &amp; Hughes, C. (2008). The relationship of malingering test failure to self-reported symptoms and neuropsychological findings in adults referred for ADHD evaluation.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(5), 521–530. </w:t>
      </w:r>
      <w:hyperlink r:id="rId5616" w:history="1">
        <w:r w:rsidRPr="0074138E">
          <w:rPr>
            <w:rFonts w:ascii="Times New Roman" w:eastAsia="Times New Roman" w:hAnsi="Times New Roman" w:cs="Times New Roman"/>
            <w:color w:val="0000FF"/>
            <w:sz w:val="24"/>
            <w:szCs w:val="24"/>
            <w:u w:val="single"/>
          </w:rPr>
          <w:t>https://doi.org/10.1016/j.acn.2008.05.003</w:t>
        </w:r>
      </w:hyperlink>
    </w:p>
    <w:p w14:paraId="6A39AC8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Sui, J., &amp; Humphreys, G. W. (2013). Self-referential processing is distinct from semantic elaboration: Evidence from long-term memory effects in a patient with amnesia and semantic impairments.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51</w:t>
      </w:r>
      <w:r w:rsidRPr="0074138E">
        <w:rPr>
          <w:rFonts w:ascii="Times New Roman" w:eastAsia="Times New Roman" w:hAnsi="Times New Roman" w:cs="Times New Roman"/>
          <w:sz w:val="24"/>
          <w:szCs w:val="24"/>
        </w:rPr>
        <w:t xml:space="preserve">(13), 2663–2673. </w:t>
      </w:r>
      <w:hyperlink r:id="rId5617" w:history="1">
        <w:r w:rsidRPr="0074138E">
          <w:rPr>
            <w:rFonts w:ascii="Times New Roman" w:eastAsia="Times New Roman" w:hAnsi="Times New Roman" w:cs="Times New Roman"/>
            <w:color w:val="0000FF"/>
            <w:sz w:val="24"/>
            <w:szCs w:val="24"/>
            <w:u w:val="single"/>
          </w:rPr>
          <w:t>https://doi.org/10.1016/j.neuropsychologia.2013.07.025</w:t>
        </w:r>
      </w:hyperlink>
    </w:p>
    <w:p w14:paraId="419BFA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D., &amp; Barkley-Levenson, E. E. (2021). Risky sexual behavior in young adults: The contribution of impulsivity. </w:t>
      </w:r>
      <w:r w:rsidRPr="0074138E">
        <w:rPr>
          <w:rFonts w:ascii="Times New Roman" w:eastAsia="Times New Roman" w:hAnsi="Times New Roman" w:cs="Times New Roman"/>
          <w:i/>
          <w:iCs/>
          <w:sz w:val="24"/>
          <w:szCs w:val="24"/>
        </w:rPr>
        <w:t>Personality and Individual Differences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180</w:t>
      </w:r>
      <w:r w:rsidRPr="0074138E">
        <w:rPr>
          <w:rFonts w:ascii="Times New Roman" w:eastAsia="Times New Roman" w:hAnsi="Times New Roman" w:cs="Times New Roman"/>
          <w:sz w:val="24"/>
          <w:szCs w:val="24"/>
        </w:rPr>
        <w:t xml:space="preserve">. </w:t>
      </w:r>
      <w:hyperlink r:id="rId5618" w:history="1">
        <w:r w:rsidRPr="0074138E">
          <w:rPr>
            <w:rFonts w:ascii="Times New Roman" w:eastAsia="Times New Roman" w:hAnsi="Times New Roman" w:cs="Times New Roman"/>
            <w:color w:val="0000FF"/>
            <w:sz w:val="24"/>
            <w:szCs w:val="24"/>
            <w:u w:val="single"/>
          </w:rPr>
          <w:t>https://doi.org/10.1016/j.paid.2021.110970</w:t>
        </w:r>
      </w:hyperlink>
    </w:p>
    <w:p w14:paraId="17E8C3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E. V., Mathalon, D. H., Zipursky, R. B., Kersteen-Tucker, Z., Knight, R. T., &amp; Pfefferbaum, A. (1993). Factors of the Wisconsin Card Sorting Test as measures of frontal-lobe function in schizophrenia and in chronic alcoholism.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(2), 175–199. </w:t>
      </w:r>
      <w:hyperlink r:id="rId5619" w:history="1">
        <w:r w:rsidRPr="0074138E">
          <w:rPr>
            <w:rFonts w:ascii="Times New Roman" w:eastAsia="Times New Roman" w:hAnsi="Times New Roman" w:cs="Times New Roman"/>
            <w:color w:val="0000FF"/>
            <w:sz w:val="24"/>
            <w:szCs w:val="24"/>
            <w:u w:val="single"/>
          </w:rPr>
          <w:t>https://doi.org/10.1016/0165-1781(93)90019-D</w:t>
        </w:r>
      </w:hyperlink>
    </w:p>
    <w:p w14:paraId="579567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K., Krengel, M., Bradford, W., Stone, C., Thompson, T. A., Heeren, T., &amp; White, R. F. (2018). Neuropsychological functioning in military pesticide applicators from the Gulf War: Effects on information processing speed, attention and visual memory. </w:t>
      </w:r>
      <w:r w:rsidRPr="0074138E">
        <w:rPr>
          <w:rFonts w:ascii="Times New Roman" w:eastAsia="Times New Roman" w:hAnsi="Times New Roman" w:cs="Times New Roman"/>
          <w:i/>
          <w:iCs/>
          <w:sz w:val="24"/>
          <w:szCs w:val="24"/>
        </w:rPr>
        <w:t>Neurotoxicology and Teratology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65</w:t>
      </w:r>
      <w:r w:rsidRPr="0074138E">
        <w:rPr>
          <w:rFonts w:ascii="Times New Roman" w:eastAsia="Times New Roman" w:hAnsi="Times New Roman" w:cs="Times New Roman"/>
          <w:sz w:val="24"/>
          <w:szCs w:val="24"/>
        </w:rPr>
        <w:t xml:space="preserve">, 1–13. </w:t>
      </w:r>
      <w:hyperlink r:id="rId5620" w:history="1">
        <w:r w:rsidRPr="0074138E">
          <w:rPr>
            <w:rFonts w:ascii="Times New Roman" w:eastAsia="Times New Roman" w:hAnsi="Times New Roman" w:cs="Times New Roman"/>
            <w:color w:val="0000FF"/>
            <w:sz w:val="24"/>
            <w:szCs w:val="24"/>
            <w:u w:val="single"/>
          </w:rPr>
          <w:t>https://doi.org/10.1016/j.ntt.2017.11.002</w:t>
        </w:r>
      </w:hyperlink>
    </w:p>
    <w:p w14:paraId="19B629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M. C., Miller, R. J., &amp; Msall, M. E. (2012). 17‐year outcome of preterm infants with diverse neonatal morbidities: Part 2, impact on activities and participation. </w:t>
      </w:r>
      <w:r w:rsidRPr="0074138E">
        <w:rPr>
          <w:rFonts w:ascii="Times New Roman" w:eastAsia="Times New Roman" w:hAnsi="Times New Roman" w:cs="Times New Roman"/>
          <w:i/>
          <w:iCs/>
          <w:sz w:val="24"/>
          <w:szCs w:val="24"/>
        </w:rPr>
        <w:t>Journal for Specialists in Pediatric Nursing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(4), 275–287. </w:t>
      </w:r>
      <w:hyperlink r:id="rId5621" w:history="1">
        <w:r w:rsidRPr="0074138E">
          <w:rPr>
            <w:rFonts w:ascii="Times New Roman" w:eastAsia="Times New Roman" w:hAnsi="Times New Roman" w:cs="Times New Roman"/>
            <w:color w:val="0000FF"/>
            <w:sz w:val="24"/>
            <w:szCs w:val="24"/>
            <w:u w:val="single"/>
          </w:rPr>
          <w:t>https://doi.org/10.1111/j.1744-6155.2012.00339.x</w:t>
        </w:r>
      </w:hyperlink>
    </w:p>
    <w:p w14:paraId="7C59E6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M. C., Msall, M. E., &amp; Miller, R. J. (2012). 17‐year outcome of preterm infants with diverse neonatal morbidities: Part 1—Impact on physical, neurological, and psychological health status. </w:t>
      </w:r>
      <w:r w:rsidRPr="0074138E">
        <w:rPr>
          <w:rFonts w:ascii="Times New Roman" w:eastAsia="Times New Roman" w:hAnsi="Times New Roman" w:cs="Times New Roman"/>
          <w:i/>
          <w:iCs/>
          <w:sz w:val="24"/>
          <w:szCs w:val="24"/>
        </w:rPr>
        <w:t>Journal for Specialists in Pediatric Nursing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(3), 226–241. </w:t>
      </w:r>
      <w:hyperlink r:id="rId5622" w:history="1">
        <w:r w:rsidRPr="0074138E">
          <w:rPr>
            <w:rFonts w:ascii="Times New Roman" w:eastAsia="Times New Roman" w:hAnsi="Times New Roman" w:cs="Times New Roman"/>
            <w:color w:val="0000FF"/>
            <w:sz w:val="24"/>
            <w:szCs w:val="24"/>
            <w:u w:val="single"/>
          </w:rPr>
          <w:t>https://doi.org/10.1111/j.1744-6155.2012.00337.x</w:t>
        </w:r>
      </w:hyperlink>
    </w:p>
    <w:p w14:paraId="1FFFC7E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Sullivan, P. F., Keefe, R. S. E., Lange, L. A., Lange, E. M., Stroup, T. S., Lieberman, J., &amp; Maness, P. F. (2007). NCAM1 and Neurocognition in Schizophrenia.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61</w:t>
      </w:r>
      <w:r w:rsidRPr="0074138E">
        <w:rPr>
          <w:rFonts w:ascii="Times New Roman" w:eastAsia="Times New Roman" w:hAnsi="Times New Roman" w:cs="Times New Roman"/>
          <w:sz w:val="24"/>
          <w:szCs w:val="24"/>
        </w:rPr>
        <w:t xml:space="preserve">(7), 902–910. </w:t>
      </w:r>
      <w:hyperlink r:id="rId5623" w:history="1">
        <w:r w:rsidRPr="0074138E">
          <w:rPr>
            <w:rFonts w:ascii="Times New Roman" w:eastAsia="Times New Roman" w:hAnsi="Times New Roman" w:cs="Times New Roman"/>
            <w:color w:val="0000FF"/>
            <w:sz w:val="24"/>
            <w:szCs w:val="24"/>
            <w:u w:val="single"/>
          </w:rPr>
          <w:t>https://doi.org/10.1016/j.biopsych.2006.07.036</w:t>
        </w:r>
      </w:hyperlink>
    </w:p>
    <w:p w14:paraId="32A518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Sumich, A., Kumari, V., Dodd, P., Ettinger, U., Hughes, C., Zachariah, E., &amp; Sharma, T. (2008). N100 and P300 amplitude to Go and No-Go variants of the auditory oddball in siblings discordant for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98</w:t>
      </w:r>
      <w:r w:rsidRPr="0074138E">
        <w:rPr>
          <w:rFonts w:ascii="Times New Roman" w:eastAsia="Times New Roman" w:hAnsi="Times New Roman" w:cs="Times New Roman"/>
          <w:sz w:val="24"/>
          <w:szCs w:val="24"/>
        </w:rPr>
        <w:t xml:space="preserve">(1–3), 265–277. </w:t>
      </w:r>
      <w:hyperlink r:id="rId5624" w:history="1">
        <w:r w:rsidRPr="0074138E">
          <w:rPr>
            <w:rFonts w:ascii="Times New Roman" w:eastAsia="Times New Roman" w:hAnsi="Times New Roman" w:cs="Times New Roman"/>
            <w:color w:val="0000FF"/>
            <w:sz w:val="24"/>
            <w:szCs w:val="24"/>
            <w:u w:val="single"/>
          </w:rPr>
          <w:t>https://doi.org/10.1016/j.schres.2007.09.018</w:t>
        </w:r>
      </w:hyperlink>
    </w:p>
    <w:p w14:paraId="02A8CA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Sumida, C. A., Van Etten, E. J., Lopez, F. V., Sheppard, D. P., Pirogovsky-Turk, E., Corey-Bloom, J., Filoteo, J. V., Woods, S. P., Gilbert, P. E., &amp; Schmitter-Edgecombe, M. (2019). Medication management capacity and its neurocognitive correlates in Huntington’s disease.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 xml:space="preserve">(7), 1121–1126. </w:t>
      </w:r>
      <w:hyperlink r:id="rId5625" w:history="1">
        <w:r w:rsidRPr="0074138E">
          <w:rPr>
            <w:rFonts w:ascii="Times New Roman" w:eastAsia="Times New Roman" w:hAnsi="Times New Roman" w:cs="Times New Roman"/>
            <w:color w:val="0000FF"/>
            <w:sz w:val="24"/>
            <w:szCs w:val="24"/>
            <w:u w:val="single"/>
          </w:rPr>
          <w:t>https://doi.org/10.1093/arclin/acy093</w:t>
        </w:r>
      </w:hyperlink>
    </w:p>
    <w:p w14:paraId="2061E41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Sumitani, S., Tanaka, T., Tayoshi, S., Ota, K., Kameoka, N., Ueno, S., &amp; Ohmori, T. (2006). Activation of the Prefrontal Cortex during the Wisconsin Card Sorting Test as Measured by Multichannel Near-Infrared Spectroscopy.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(2), 70–76. </w:t>
      </w:r>
      <w:hyperlink r:id="rId5626" w:history="1">
        <w:r w:rsidRPr="0074138E">
          <w:rPr>
            <w:rFonts w:ascii="Times New Roman" w:eastAsia="Times New Roman" w:hAnsi="Times New Roman" w:cs="Times New Roman"/>
            <w:color w:val="0000FF"/>
            <w:sz w:val="24"/>
            <w:szCs w:val="24"/>
            <w:u w:val="single"/>
          </w:rPr>
          <w:t>https://doi.org/10.1159/000091722</w:t>
        </w:r>
      </w:hyperlink>
    </w:p>
    <w:p w14:paraId="6679015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C., Ertugrul, A., Yağcıoğlu, A. E. A., Roy, A., Jayathilake, K., Milby, A., Meltzer, H. Y., &amp; Sumiyoshi, T. (2014). Language-dependent performance on the letter fluency task in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152</w:t>
      </w:r>
      <w:r w:rsidRPr="0074138E">
        <w:rPr>
          <w:rFonts w:ascii="Times New Roman" w:eastAsia="Times New Roman" w:hAnsi="Times New Roman" w:cs="Times New Roman"/>
          <w:sz w:val="24"/>
          <w:szCs w:val="24"/>
        </w:rPr>
        <w:t xml:space="preserve">(2–3), 421–429. </w:t>
      </w:r>
      <w:hyperlink r:id="rId5627" w:history="1">
        <w:r w:rsidRPr="0074138E">
          <w:rPr>
            <w:rFonts w:ascii="Times New Roman" w:eastAsia="Times New Roman" w:hAnsi="Times New Roman" w:cs="Times New Roman"/>
            <w:color w:val="0000FF"/>
            <w:sz w:val="24"/>
            <w:szCs w:val="24"/>
            <w:u w:val="single"/>
          </w:rPr>
          <w:t>https://doi.org/10.1016/j.schres.2013.12.009</w:t>
        </w:r>
      </w:hyperlink>
    </w:p>
    <w:p w14:paraId="4B35E23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C., Kawakubo, Y., Suga, M., Sumiyoshi, T., &amp; Kasai, K. (2011). Impaired ability to organize information in individuals with autism spectrum disorders and their siblings. </w:t>
      </w:r>
      <w:r w:rsidRPr="0074138E">
        <w:rPr>
          <w:rFonts w:ascii="Times New Roman" w:eastAsia="Times New Roman" w:hAnsi="Times New Roman" w:cs="Times New Roman"/>
          <w:i/>
          <w:iCs/>
          <w:sz w:val="24"/>
          <w:szCs w:val="24"/>
        </w:rPr>
        <w:t>Neuroscience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(3), 252–257. </w:t>
      </w:r>
      <w:hyperlink r:id="rId5628" w:history="1">
        <w:r w:rsidRPr="0074138E">
          <w:rPr>
            <w:rFonts w:ascii="Times New Roman" w:eastAsia="Times New Roman" w:hAnsi="Times New Roman" w:cs="Times New Roman"/>
            <w:color w:val="0000FF"/>
            <w:sz w:val="24"/>
            <w:szCs w:val="24"/>
            <w:u w:val="single"/>
          </w:rPr>
          <w:t>https://doi.org/10.1016/j.neures.2010.11.007</w:t>
        </w:r>
      </w:hyperlink>
    </w:p>
    <w:p w14:paraId="6D342F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T., Jayathilake, K., &amp; Meltzer, H. Y. (2003). The effect of melperone, an atypical antipsychotic drug, on cognitive function in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(1), 7–16. </w:t>
      </w:r>
      <w:hyperlink r:id="rId5629" w:history="1">
        <w:r w:rsidRPr="0074138E">
          <w:rPr>
            <w:rFonts w:ascii="Times New Roman" w:eastAsia="Times New Roman" w:hAnsi="Times New Roman" w:cs="Times New Roman"/>
            <w:color w:val="0000FF"/>
            <w:sz w:val="24"/>
            <w:szCs w:val="24"/>
            <w:u w:val="single"/>
          </w:rPr>
          <w:t>https://doi.org/10.1016/S0920-9964(01)00329-2</w:t>
        </w:r>
      </w:hyperlink>
    </w:p>
    <w:p w14:paraId="061D5A5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Sumiyoshi, T., Park, S., Jayathilake, K., Roy, A., Ertugrul, A., &amp; Meltzer, H. Y. (2007). Effect of buspirone, a serotonin1A partial agonist, on cognitive function in schizophrenia: A randomized, double-blind, placebo-controlled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95</w:t>
      </w:r>
      <w:r w:rsidRPr="0074138E">
        <w:rPr>
          <w:rFonts w:ascii="Times New Roman" w:eastAsia="Times New Roman" w:hAnsi="Times New Roman" w:cs="Times New Roman"/>
          <w:sz w:val="24"/>
          <w:szCs w:val="24"/>
        </w:rPr>
        <w:t xml:space="preserve">(1–3), 158–168. </w:t>
      </w:r>
      <w:hyperlink r:id="rId5630" w:history="1">
        <w:r w:rsidRPr="0074138E">
          <w:rPr>
            <w:rFonts w:ascii="Times New Roman" w:eastAsia="Times New Roman" w:hAnsi="Times New Roman" w:cs="Times New Roman"/>
            <w:color w:val="0000FF"/>
            <w:sz w:val="24"/>
            <w:szCs w:val="24"/>
            <w:u w:val="single"/>
          </w:rPr>
          <w:t>https://doi.org/10.1016/j.schres.2007.06.008</w:t>
        </w:r>
      </w:hyperlink>
    </w:p>
    <w:p w14:paraId="2F1EF3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Summers, M., Papadopoulou, K., Bruno, S., Cipolotti, L., &amp; Ron, M. A. (2006). Bipolar I and bipolar II disorder: Cognition and emotion processing. </w:t>
      </w:r>
      <w:r w:rsidRPr="0074138E">
        <w:rPr>
          <w:rFonts w:ascii="Times New Roman" w:eastAsia="Times New Roman" w:hAnsi="Times New Roman" w:cs="Times New Roman"/>
          <w:i/>
          <w:iCs/>
          <w:sz w:val="24"/>
          <w:szCs w:val="24"/>
        </w:rPr>
        <w:t>Psychological Medicine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(12), 1799–1809. </w:t>
      </w:r>
      <w:hyperlink r:id="rId5631" w:history="1">
        <w:r w:rsidRPr="0074138E">
          <w:rPr>
            <w:rFonts w:ascii="Times New Roman" w:eastAsia="Times New Roman" w:hAnsi="Times New Roman" w:cs="Times New Roman"/>
            <w:color w:val="0000FF"/>
            <w:sz w:val="24"/>
            <w:szCs w:val="24"/>
            <w:u w:val="single"/>
          </w:rPr>
          <w:t>https://doi.org/10.1017/S0033291706008804</w:t>
        </w:r>
      </w:hyperlink>
    </w:p>
    <w:p w14:paraId="51741F6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B., Abadjian, L., Rempel, H., Calosing, C., Rothlind, J., &amp; Pulliam, L. (2010). Peripheral biomarkers do not correlate with cognitive impairment in highly active antiretroviral therapy–treated subjects with human immunodeficiency virus type 1 infection. </w:t>
      </w:r>
      <w:r w:rsidRPr="0074138E">
        <w:rPr>
          <w:rFonts w:ascii="Times New Roman" w:eastAsia="Times New Roman" w:hAnsi="Times New Roman" w:cs="Times New Roman"/>
          <w:i/>
          <w:iCs/>
          <w:sz w:val="24"/>
          <w:szCs w:val="24"/>
        </w:rPr>
        <w:t>Journal of Neurovirology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(2), 115–124. </w:t>
      </w:r>
      <w:hyperlink r:id="rId5632" w:history="1">
        <w:r w:rsidRPr="0074138E">
          <w:rPr>
            <w:rFonts w:ascii="Times New Roman" w:eastAsia="Times New Roman" w:hAnsi="Times New Roman" w:cs="Times New Roman"/>
            <w:color w:val="0000FF"/>
            <w:sz w:val="24"/>
            <w:szCs w:val="24"/>
            <w:u w:val="single"/>
          </w:rPr>
          <w:t>https://doi.org/10.3109/13550280903559789</w:t>
        </w:r>
      </w:hyperlink>
    </w:p>
    <w:p w14:paraId="6EE699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B., Abadjian, L., Rempel, H., Monto, A., &amp; Pulliam, L. (2013). Differential cognitive impairment in HCV coinfected men with controlled HIV compared to HCV monoinfection. </w:t>
      </w:r>
      <w:r w:rsidRPr="0074138E">
        <w:rPr>
          <w:rFonts w:ascii="Times New Roman" w:eastAsia="Times New Roman" w:hAnsi="Times New Roman" w:cs="Times New Roman"/>
          <w:i/>
          <w:iCs/>
          <w:sz w:val="24"/>
          <w:szCs w:val="24"/>
        </w:rPr>
        <w:t>JAIDS Journal of Acquired Immune Deficiency Syndromes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(2), 190–196. </w:t>
      </w:r>
      <w:hyperlink r:id="rId5633" w:history="1">
        <w:r w:rsidRPr="0074138E">
          <w:rPr>
            <w:rFonts w:ascii="Times New Roman" w:eastAsia="Times New Roman" w:hAnsi="Times New Roman" w:cs="Times New Roman"/>
            <w:color w:val="0000FF"/>
            <w:sz w:val="24"/>
            <w:szCs w:val="24"/>
            <w:u w:val="single"/>
          </w:rPr>
          <w:t>https://doi.org/10.1097/QAI.0b013e31827b61f1</w:t>
        </w:r>
      </w:hyperlink>
    </w:p>
    <w:p w14:paraId="1F9D80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C., Wu, Z., Wu, Z., &amp; Xu, S. (1996). Age differences in the level of categorical generalization of adults and the relationship with memory. [Age differences in the level of categorical generalization of adults and the relationship with memory.]. </w:t>
      </w:r>
      <w:r w:rsidRPr="0074138E">
        <w:rPr>
          <w:rFonts w:ascii="Times New Roman" w:eastAsia="Times New Roman" w:hAnsi="Times New Roman" w:cs="Times New Roman"/>
          <w:i/>
          <w:iCs/>
          <w:sz w:val="24"/>
          <w:szCs w:val="24"/>
        </w:rPr>
        <w:t>Psychological Science (China)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(3), 129–133.</w:t>
      </w:r>
    </w:p>
    <w:p w14:paraId="786501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H.-F. (2001). </w:t>
      </w:r>
      <w:r w:rsidRPr="0074138E">
        <w:rPr>
          <w:rFonts w:ascii="Times New Roman" w:eastAsia="Times New Roman" w:hAnsi="Times New Roman" w:cs="Times New Roman"/>
          <w:i/>
          <w:iCs/>
          <w:sz w:val="24"/>
          <w:szCs w:val="24"/>
        </w:rPr>
        <w:t>The relationship between second grade executive function performance and the development of aggressive behavior in elementary school-aged children.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(2-B), 1061–1061.</w:t>
      </w:r>
    </w:p>
    <w:p w14:paraId="560081A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J., &amp; Buys, N. (2012). Inhibition and prefrontal lobe functioning in preterm and full-term infants. </w:t>
      </w:r>
      <w:r w:rsidRPr="0074138E">
        <w:rPr>
          <w:rFonts w:ascii="Times New Roman" w:eastAsia="Times New Roman" w:hAnsi="Times New Roman" w:cs="Times New Roman"/>
          <w:i/>
          <w:iCs/>
          <w:sz w:val="24"/>
          <w:szCs w:val="24"/>
        </w:rPr>
        <w:t>International Journal of Child and Adolescent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(3), 301–310.</w:t>
      </w:r>
    </w:p>
    <w:p w14:paraId="6C79F2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Q., Luo, L., Ren, H., Wei, C., Xing, M., Cheng, Y., &amp; Zhang, N. (2016). Semantic clustering and sleep in patients with amnestic mild cognitive impairment or with vascular cognitive impairment-no dementia. </w:t>
      </w:r>
      <w:r w:rsidRPr="0074138E">
        <w:rPr>
          <w:rFonts w:ascii="Times New Roman" w:eastAsia="Times New Roman" w:hAnsi="Times New Roman" w:cs="Times New Roman"/>
          <w:i/>
          <w:iCs/>
          <w:sz w:val="24"/>
          <w:szCs w:val="24"/>
        </w:rPr>
        <w:t>International 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(9), 1493–1502. </w:t>
      </w:r>
      <w:hyperlink r:id="rId5634" w:history="1">
        <w:r w:rsidRPr="0074138E">
          <w:rPr>
            <w:rFonts w:ascii="Times New Roman" w:eastAsia="Times New Roman" w:hAnsi="Times New Roman" w:cs="Times New Roman"/>
            <w:color w:val="0000FF"/>
            <w:sz w:val="24"/>
            <w:szCs w:val="24"/>
            <w:u w:val="single"/>
          </w:rPr>
          <w:t>https://doi.org/10.1017/S1041610216000739</w:t>
        </w:r>
      </w:hyperlink>
    </w:p>
    <w:p w14:paraId="1D68539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Y.-Y., Zhu, Y.-H., Sun, J.-J., Pan, S.-M., &amp; Ma, W. (2014). Correlation of attention and executive functioning to serum homocysteine level in patients with schizophrenia. [Correlation of attention and executive functioning to serum homocysteine level in patients with schizophrenia.]. </w:t>
      </w:r>
      <w:r w:rsidRPr="0074138E">
        <w:rPr>
          <w:rFonts w:ascii="Times New Roman" w:eastAsia="Times New Roman" w:hAnsi="Times New Roman" w:cs="Times New Roman"/>
          <w:i/>
          <w:iCs/>
          <w:sz w:val="24"/>
          <w:szCs w:val="24"/>
        </w:rPr>
        <w:t>Chinese Mental Health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(11), 835–839.</w:t>
      </w:r>
    </w:p>
    <w:p w14:paraId="465BD9B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Z., Ma, Y., Li, W., He, J., Li, J., Yang, X., Mao, P., Cubells, J. F., &amp; Tang, Y.-L. (2018). Associations between the DBH gene, plasma dopamine β-hydroxylase activity and cognitive measures in Han Chinese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193</w:t>
      </w:r>
      <w:r w:rsidRPr="0074138E">
        <w:rPr>
          <w:rFonts w:ascii="Times New Roman" w:eastAsia="Times New Roman" w:hAnsi="Times New Roman" w:cs="Times New Roman"/>
          <w:sz w:val="24"/>
          <w:szCs w:val="24"/>
        </w:rPr>
        <w:t xml:space="preserve">, 58–63. </w:t>
      </w:r>
      <w:hyperlink r:id="rId5635" w:history="1">
        <w:r w:rsidRPr="0074138E">
          <w:rPr>
            <w:rFonts w:ascii="Times New Roman" w:eastAsia="Times New Roman" w:hAnsi="Times New Roman" w:cs="Times New Roman"/>
            <w:color w:val="0000FF"/>
            <w:sz w:val="24"/>
            <w:szCs w:val="24"/>
            <w:u w:val="single"/>
          </w:rPr>
          <w:t>https://doi.org/10.1016/j.schres.2017.06.028</w:t>
        </w:r>
      </w:hyperlink>
    </w:p>
    <w:p w14:paraId="4CBD1A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Z., Wang, Z., Xu, L., Lv, X., Li, Q., Wang, H., &amp; Yu, X. (2019). Characteristics of cognitive deficit in amnestic mild cognitive impairment with subthreshold depression. </w:t>
      </w:r>
      <w:r w:rsidRPr="0074138E">
        <w:rPr>
          <w:rFonts w:ascii="Times New Roman" w:eastAsia="Times New Roman" w:hAnsi="Times New Roman" w:cs="Times New Roman"/>
          <w:i/>
          <w:iCs/>
          <w:sz w:val="24"/>
          <w:szCs w:val="24"/>
        </w:rPr>
        <w:t>Journal of Geriatric Psychiatry and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(6), 344–353. </w:t>
      </w:r>
      <w:hyperlink r:id="rId5636" w:history="1">
        <w:r w:rsidRPr="0074138E">
          <w:rPr>
            <w:rFonts w:ascii="Times New Roman" w:eastAsia="Times New Roman" w:hAnsi="Times New Roman" w:cs="Times New Roman"/>
            <w:color w:val="0000FF"/>
            <w:sz w:val="24"/>
            <w:szCs w:val="24"/>
            <w:u w:val="single"/>
          </w:rPr>
          <w:t>https://doi.org/10.1177/0891988719865943</w:t>
        </w:r>
      </w:hyperlink>
    </w:p>
    <w:p w14:paraId="0DB251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 Z.-L., Liu, J., Guo, W., Jiang, T., Ma, C., Li, W.-B., Tang, Y.-L., &amp; Ling, S.-H. (2016). Serum brain-derived neurotrophic factor levels associate with cognitive improvement in patients with schizophrenia treated with electroacupuncture.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244</w:t>
      </w:r>
      <w:r w:rsidRPr="0074138E">
        <w:rPr>
          <w:rFonts w:ascii="Times New Roman" w:eastAsia="Times New Roman" w:hAnsi="Times New Roman" w:cs="Times New Roman"/>
          <w:sz w:val="24"/>
          <w:szCs w:val="24"/>
        </w:rPr>
        <w:t xml:space="preserve">, 370–375. </w:t>
      </w:r>
      <w:hyperlink r:id="rId5637" w:history="1">
        <w:r w:rsidRPr="0074138E">
          <w:rPr>
            <w:rFonts w:ascii="Times New Roman" w:eastAsia="Times New Roman" w:hAnsi="Times New Roman" w:cs="Times New Roman"/>
            <w:color w:val="0000FF"/>
            <w:sz w:val="24"/>
            <w:szCs w:val="24"/>
            <w:u w:val="single"/>
          </w:rPr>
          <w:t>https://doi.org/10.1016/j.psychres.2016.07.040</w:t>
        </w:r>
      </w:hyperlink>
    </w:p>
    <w:p w14:paraId="0CFACB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Sundberg, H., Egeland, J., Andreassen, T. H., &amp; Stensli, O. (2006). Sammenligning av WISC-R- og WISC-III-skårer i et klinisk utvalg: Svakheter i WISC-III-normer eller foreldete WISC-R-normer? [Comparison of WISC-R- and WISC-III-scores in a clinical sample: Are WISC-III norms flawed, or are WISC-R norms outdated?]. </w:t>
      </w:r>
      <w:r w:rsidRPr="0074138E">
        <w:rPr>
          <w:rFonts w:ascii="Times New Roman" w:eastAsia="Times New Roman" w:hAnsi="Times New Roman" w:cs="Times New Roman"/>
          <w:i/>
          <w:iCs/>
          <w:sz w:val="24"/>
          <w:szCs w:val="24"/>
        </w:rPr>
        <w:t>Tidsskrift for Norsk Psykologforening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(5), 476–481.</w:t>
      </w:r>
    </w:p>
    <w:p w14:paraId="0C67370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Sung, Y. H., &amp; Renshaw, P. F. (2011). Anatomical and neurochemical evidence of neurotoxic changes in psychostimulant abuse and dependence. </w:t>
      </w:r>
      <w:r w:rsidRPr="0074138E">
        <w:rPr>
          <w:rFonts w:ascii="Times New Roman" w:eastAsia="Times New Roman" w:hAnsi="Times New Roman" w:cs="Times New Roman"/>
          <w:i/>
          <w:iCs/>
          <w:sz w:val="24"/>
          <w:szCs w:val="24"/>
        </w:rPr>
        <w:t>Neuroimaging in Addiction.</w:t>
      </w:r>
      <w:r w:rsidRPr="0074138E">
        <w:rPr>
          <w:rFonts w:ascii="Times New Roman" w:eastAsia="Times New Roman" w:hAnsi="Times New Roman" w:cs="Times New Roman"/>
          <w:sz w:val="24"/>
          <w:szCs w:val="24"/>
        </w:rPr>
        <w:t xml:space="preserve">, 237–259. </w:t>
      </w:r>
      <w:hyperlink r:id="rId5638" w:history="1">
        <w:r w:rsidRPr="0074138E">
          <w:rPr>
            <w:rFonts w:ascii="Times New Roman" w:eastAsia="Times New Roman" w:hAnsi="Times New Roman" w:cs="Times New Roman"/>
            <w:color w:val="0000FF"/>
            <w:sz w:val="24"/>
            <w:szCs w:val="24"/>
            <w:u w:val="single"/>
          </w:rPr>
          <w:t>https://doi.org/10.1002/9781119998938.ch10</w:t>
        </w:r>
      </w:hyperlink>
    </w:p>
    <w:p w14:paraId="6EB6DC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Suozzo, A. C., Malta, S. M., Rodriguez, R. A., Villar, E., &amp; Nogueira-Martins, L. A. (2011). Executive functions of interns after a night on call.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(3), 310–311. </w:t>
      </w:r>
      <w:hyperlink r:id="rId5639" w:history="1">
        <w:r w:rsidRPr="0074138E">
          <w:rPr>
            <w:rFonts w:ascii="Times New Roman" w:eastAsia="Times New Roman" w:hAnsi="Times New Roman" w:cs="Times New Roman"/>
            <w:color w:val="0000FF"/>
            <w:sz w:val="24"/>
            <w:szCs w:val="24"/>
            <w:u w:val="single"/>
          </w:rPr>
          <w:t>https://doi.org/10.1590/S1516-44462011000300018</w:t>
        </w:r>
      </w:hyperlink>
    </w:p>
    <w:p w14:paraId="7841E62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Suppiej, A., &amp; Cainelli, E. (2014). Cognitive dysfunction in pediatric multiple sclerosis. </w:t>
      </w:r>
      <w:r w:rsidRPr="0074138E">
        <w:rPr>
          <w:rFonts w:ascii="Times New Roman" w:eastAsia="Times New Roman" w:hAnsi="Times New Roman" w:cs="Times New Roman"/>
          <w:i/>
          <w:iCs/>
          <w:sz w:val="24"/>
          <w:szCs w:val="24"/>
        </w:rPr>
        <w:t>Neuropsychiatric Disease and Treatment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w:t>
      </w:r>
    </w:p>
    <w:p w14:paraId="1327A19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Surman, C. B. H., Biederman, J., Spencer, T., Miller, C. A., Petty, C. R., &amp; Faraone, S. V. (2015). Neuropsychological deficits are not predictive of deficient emotional self-regulation in adults with ADHD.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(12), 1046–1053. </w:t>
      </w:r>
      <w:hyperlink r:id="rId5640" w:history="1">
        <w:r w:rsidRPr="0074138E">
          <w:rPr>
            <w:rFonts w:ascii="Times New Roman" w:eastAsia="Times New Roman" w:hAnsi="Times New Roman" w:cs="Times New Roman"/>
            <w:color w:val="0000FF"/>
            <w:sz w:val="24"/>
            <w:szCs w:val="24"/>
            <w:u w:val="single"/>
          </w:rPr>
          <w:t>https://doi.org/10.1177/1087054713476548</w:t>
        </w:r>
      </w:hyperlink>
    </w:p>
    <w:p w14:paraId="726DF6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Suslow, T., &amp; Arolt, V. (1997). Paranoid schizophrenia: Non-specificity of neuropsychological vulnerability markers.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72</w:t>
      </w:r>
      <w:r w:rsidRPr="0074138E">
        <w:rPr>
          <w:rFonts w:ascii="Times New Roman" w:eastAsia="Times New Roman" w:hAnsi="Times New Roman" w:cs="Times New Roman"/>
          <w:sz w:val="24"/>
          <w:szCs w:val="24"/>
        </w:rPr>
        <w:t xml:space="preserve">(2), 103–114. </w:t>
      </w:r>
      <w:hyperlink r:id="rId5641" w:history="1">
        <w:r w:rsidRPr="0074138E">
          <w:rPr>
            <w:rFonts w:ascii="Times New Roman" w:eastAsia="Times New Roman" w:hAnsi="Times New Roman" w:cs="Times New Roman"/>
            <w:color w:val="0000FF"/>
            <w:sz w:val="24"/>
            <w:szCs w:val="24"/>
            <w:u w:val="single"/>
          </w:rPr>
          <w:t>https://doi.org/10.1016/S0165-1781(97)00104-2</w:t>
        </w:r>
      </w:hyperlink>
    </w:p>
    <w:p w14:paraId="7F86B5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Suslow, T., Junghanns, K., Weitzsch, C., &amp; Arolt, V. (1998). Relations between neuropsychological vulnerability markers and negative symptoms in schizophrenia. </w:t>
      </w:r>
      <w:r w:rsidRPr="0074138E">
        <w:rPr>
          <w:rFonts w:ascii="Times New Roman" w:eastAsia="Times New Roman" w:hAnsi="Times New Roman" w:cs="Times New Roman"/>
          <w:i/>
          <w:iCs/>
          <w:sz w:val="24"/>
          <w:szCs w:val="24"/>
        </w:rPr>
        <w:t>Psychopathology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(4), 178–187. </w:t>
      </w:r>
      <w:hyperlink r:id="rId5642" w:history="1">
        <w:r w:rsidRPr="0074138E">
          <w:rPr>
            <w:rFonts w:ascii="Times New Roman" w:eastAsia="Times New Roman" w:hAnsi="Times New Roman" w:cs="Times New Roman"/>
            <w:color w:val="0000FF"/>
            <w:sz w:val="24"/>
            <w:szCs w:val="24"/>
            <w:u w:val="single"/>
          </w:rPr>
          <w:t>https://doi.org/10.1159/000029038</w:t>
        </w:r>
      </w:hyperlink>
    </w:p>
    <w:p w14:paraId="6DFF5D8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Suter, P. J. M. (1997). </w:t>
      </w:r>
      <w:r w:rsidRPr="0074138E">
        <w:rPr>
          <w:rFonts w:ascii="Times New Roman" w:eastAsia="Times New Roman" w:hAnsi="Times New Roman" w:cs="Times New Roman"/>
          <w:i/>
          <w:iCs/>
          <w:sz w:val="24"/>
          <w:szCs w:val="24"/>
        </w:rPr>
        <w:t>Interrelationships among four tests of frontal lobe-mediated cognitive abilities: An attempt to clarify their differences by reference to the hemispheric distribution of attention.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(11-B), 7238–7238.</w:t>
      </w:r>
    </w:p>
    <w:p w14:paraId="78B409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Sutterby, S. R., &amp; Bedwell, J. S. (2012). Lack of neuropsychological deficits in generalized social phobia.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(8). </w:t>
      </w:r>
      <w:hyperlink r:id="rId5643" w:history="1">
        <w:r w:rsidRPr="0074138E">
          <w:rPr>
            <w:rFonts w:ascii="Times New Roman" w:eastAsia="Times New Roman" w:hAnsi="Times New Roman" w:cs="Times New Roman"/>
            <w:color w:val="0000FF"/>
            <w:sz w:val="24"/>
            <w:szCs w:val="24"/>
            <w:u w:val="single"/>
          </w:rPr>
          <w:t>https://doi.org/10.1371/journal.pone.0042675</w:t>
        </w:r>
      </w:hyperlink>
    </w:p>
    <w:p w14:paraId="2DCBAE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Sütterlin, S., Schroijen, M., Constantinou, E., Smets, E., Van den Bergh, O., &amp; Van Diest, I. (2013). Breath holding duration as a measure of distress tolerance: Examining its relation to measures of executive control.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w:t>
      </w:r>
      <w:r w:rsidRPr="0074138E">
        <w:rPr>
          <w:rFonts w:ascii="Times New Roman" w:eastAsia="Times New Roman" w:hAnsi="Times New Roman" w:cs="Times New Roman"/>
          <w:sz w:val="24"/>
          <w:szCs w:val="24"/>
        </w:rPr>
        <w:t xml:space="preserve">. </w:t>
      </w:r>
      <w:hyperlink r:id="rId5644" w:history="1">
        <w:r w:rsidRPr="0074138E">
          <w:rPr>
            <w:rFonts w:ascii="Times New Roman" w:eastAsia="Times New Roman" w:hAnsi="Times New Roman" w:cs="Times New Roman"/>
            <w:color w:val="0000FF"/>
            <w:sz w:val="24"/>
            <w:szCs w:val="24"/>
            <w:u w:val="single"/>
          </w:rPr>
          <w:t>https://doi.org/10.3389/fpsyg.2013.00483</w:t>
        </w:r>
      </w:hyperlink>
    </w:p>
    <w:p w14:paraId="79ECBE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Suzuki, H., &amp; Gen, K. (2012). The influence of switching from haloperidol decanoate depot to risperidone long‐acting injection on the clinical symptoms and cognitive function in schizophrenia.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(5), 470–475. </w:t>
      </w:r>
      <w:hyperlink r:id="rId5645" w:history="1">
        <w:r w:rsidRPr="0074138E">
          <w:rPr>
            <w:rFonts w:ascii="Times New Roman" w:eastAsia="Times New Roman" w:hAnsi="Times New Roman" w:cs="Times New Roman"/>
            <w:color w:val="0000FF"/>
            <w:sz w:val="24"/>
            <w:szCs w:val="24"/>
            <w:u w:val="single"/>
          </w:rPr>
          <w:t>https://doi.org/10.1002/hup.2249</w:t>
        </w:r>
      </w:hyperlink>
    </w:p>
    <w:p w14:paraId="0A4CDF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Suzuki, H., Hibino, H., Inoue, Y., Mikami, A., Matsumoto, H., &amp; Mikami, K. (2017). Benefit of extending the dosing interval of long‐acting antipsychotic injections in elderly schizophrenics with cognitive dysfunction. </w:t>
      </w:r>
      <w:r w:rsidRPr="0074138E">
        <w:rPr>
          <w:rFonts w:ascii="Times New Roman" w:eastAsia="Times New Roman" w:hAnsi="Times New Roman" w:cs="Times New Roman"/>
          <w:i/>
          <w:iCs/>
          <w:sz w:val="24"/>
          <w:szCs w:val="24"/>
        </w:rPr>
        <w:t>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(6), 522–523. </w:t>
      </w:r>
      <w:hyperlink r:id="rId5646" w:history="1">
        <w:r w:rsidRPr="0074138E">
          <w:rPr>
            <w:rFonts w:ascii="Times New Roman" w:eastAsia="Times New Roman" w:hAnsi="Times New Roman" w:cs="Times New Roman"/>
            <w:color w:val="0000FF"/>
            <w:sz w:val="24"/>
            <w:szCs w:val="24"/>
            <w:u w:val="single"/>
          </w:rPr>
          <w:t>https://doi.org/10.1111/psyg.12258</w:t>
        </w:r>
      </w:hyperlink>
    </w:p>
    <w:p w14:paraId="4229B0F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Švegar, D., Antulov, R., Tkalčić, M., &amp; Antončić, I. (2016). Lesions of left basal ganglia and insula structures impair executive functions but not emotion recognition: A case report.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(3), 233–241. </w:t>
      </w:r>
      <w:hyperlink r:id="rId5647" w:history="1">
        <w:r w:rsidRPr="0074138E">
          <w:rPr>
            <w:rFonts w:ascii="Times New Roman" w:eastAsia="Times New Roman" w:hAnsi="Times New Roman" w:cs="Times New Roman"/>
            <w:color w:val="0000FF"/>
            <w:sz w:val="24"/>
            <w:szCs w:val="24"/>
            <w:u w:val="single"/>
          </w:rPr>
          <w:t>https://doi.org/10.1017/BrImp.2016.23</w:t>
        </w:r>
      </w:hyperlink>
    </w:p>
    <w:p w14:paraId="5477C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Svenstrup, K., Giraud, G., Boespflug-Tanguy, O., Danielsen, E. R., Thomsen, C., Rasmussen, K., Law, I., Vogel, A., Stokholm, J., Crone, C., Hjermind, L. E., &amp; Nielsen, J. E. (2010). Hereditary spastic paraplegia caused by the PLP1 ‘rumpshaker mutation’. </w:t>
      </w:r>
      <w:r w:rsidRPr="0074138E">
        <w:rPr>
          <w:rFonts w:ascii="Times New Roman" w:eastAsia="Times New Roman" w:hAnsi="Times New Roman" w:cs="Times New Roman"/>
          <w:i/>
          <w:iCs/>
          <w:sz w:val="24"/>
          <w:szCs w:val="24"/>
        </w:rPr>
        <w:t>Journal of Neurology, Neurosurgery &amp;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81</w:t>
      </w:r>
      <w:r w:rsidRPr="0074138E">
        <w:rPr>
          <w:rFonts w:ascii="Times New Roman" w:eastAsia="Times New Roman" w:hAnsi="Times New Roman" w:cs="Times New Roman"/>
          <w:sz w:val="24"/>
          <w:szCs w:val="24"/>
        </w:rPr>
        <w:t xml:space="preserve">(6), 666–672. </w:t>
      </w:r>
      <w:hyperlink r:id="rId5648" w:history="1">
        <w:r w:rsidRPr="0074138E">
          <w:rPr>
            <w:rFonts w:ascii="Times New Roman" w:eastAsia="Times New Roman" w:hAnsi="Times New Roman" w:cs="Times New Roman"/>
            <w:color w:val="0000FF"/>
            <w:sz w:val="24"/>
            <w:szCs w:val="24"/>
            <w:u w:val="single"/>
          </w:rPr>
          <w:t>https://doi.org/10.1136/jnnp.2009.180315</w:t>
        </w:r>
      </w:hyperlink>
    </w:p>
    <w:p w14:paraId="12599A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Svoboda, E., Richards, B., Leach, L., &amp; Mertens, V. (2012). PDA and smartphone use by individuals with moderate-to-severe memory impairment: Application of a theory-driven training programme.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408–427.</w:t>
      </w:r>
    </w:p>
    <w:p w14:paraId="1282D6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Svoboda, E., Richards, B., Polsinelli, A., &amp; Guger, S. (2010). A theory-driven training programme in the use of emerging commercial technology: Application to an adolescent with severe memory impairment.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562–586. </w:t>
      </w:r>
      <w:hyperlink r:id="rId5649" w:history="1">
        <w:r w:rsidRPr="0074138E">
          <w:rPr>
            <w:rFonts w:ascii="Times New Roman" w:eastAsia="Times New Roman" w:hAnsi="Times New Roman" w:cs="Times New Roman"/>
            <w:color w:val="0000FF"/>
            <w:sz w:val="24"/>
            <w:szCs w:val="24"/>
            <w:u w:val="single"/>
          </w:rPr>
          <w:t>https://doi.org/10.1080/09602011003669918</w:t>
        </w:r>
      </w:hyperlink>
    </w:p>
    <w:p w14:paraId="405D26E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Svoboda, E., Richards, B., Yao, C., &amp; Leach, L. (2015). Long-term maintenance of smartphone and PDA use in individuals with moderate to severe memory impairment. </w:t>
      </w:r>
      <w:r w:rsidRPr="0074138E">
        <w:rPr>
          <w:rFonts w:ascii="Times New Roman" w:eastAsia="Times New Roman" w:hAnsi="Times New Roman" w:cs="Times New Roman"/>
          <w:i/>
          <w:iCs/>
          <w:sz w:val="24"/>
          <w:szCs w:val="24"/>
        </w:rPr>
        <w:t>Neuropsychological 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353–373. </w:t>
      </w:r>
      <w:hyperlink r:id="rId5650" w:history="1">
        <w:r w:rsidRPr="0074138E">
          <w:rPr>
            <w:rFonts w:ascii="Times New Roman" w:eastAsia="Times New Roman" w:hAnsi="Times New Roman" w:cs="Times New Roman"/>
            <w:color w:val="0000FF"/>
            <w:sz w:val="24"/>
            <w:szCs w:val="24"/>
            <w:u w:val="single"/>
          </w:rPr>
          <w:t>https://doi.org/10.1080/09602011.2014.927368</w:t>
        </w:r>
      </w:hyperlink>
    </w:p>
    <w:p w14:paraId="50AB066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Swartwood, M. O., Swartwood, J. N., &amp; Farrell, J. (2003). Stimulant Treatment of ADHD: Effects on Creativity and Flexibility in Problem Solving. </w:t>
      </w:r>
      <w:r w:rsidRPr="0074138E">
        <w:rPr>
          <w:rFonts w:ascii="Times New Roman" w:eastAsia="Times New Roman" w:hAnsi="Times New Roman" w:cs="Times New Roman"/>
          <w:i/>
          <w:iCs/>
          <w:sz w:val="24"/>
          <w:szCs w:val="24"/>
        </w:rPr>
        <w:t>Creativity Research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(4), 417–419. </w:t>
      </w:r>
      <w:hyperlink r:id="rId5651" w:history="1">
        <w:r w:rsidRPr="0074138E">
          <w:rPr>
            <w:rFonts w:ascii="Times New Roman" w:eastAsia="Times New Roman" w:hAnsi="Times New Roman" w:cs="Times New Roman"/>
            <w:color w:val="0000FF"/>
            <w:sz w:val="24"/>
            <w:szCs w:val="24"/>
            <w:u w:val="single"/>
          </w:rPr>
          <w:t>https://doi.org/10.1207/S15326934CRJ1504_9</w:t>
        </w:r>
      </w:hyperlink>
    </w:p>
    <w:p w14:paraId="4C214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Sweet, J. J., Tovian, S. M., Breting, L. M. G., &amp; Suchy, Y. (2013). Psychological assessment in medical settings. In </w:t>
      </w:r>
      <w:r w:rsidRPr="0074138E">
        <w:rPr>
          <w:rFonts w:ascii="Times New Roman" w:eastAsia="Times New Roman" w:hAnsi="Times New Roman" w:cs="Times New Roman"/>
          <w:i/>
          <w:iCs/>
          <w:sz w:val="24"/>
          <w:szCs w:val="24"/>
        </w:rPr>
        <w:t>Handbook of psychology: Assessment psychology, Vol. 10, 2nd ed.</w:t>
      </w:r>
      <w:r w:rsidRPr="0074138E">
        <w:rPr>
          <w:rFonts w:ascii="Times New Roman" w:eastAsia="Times New Roman" w:hAnsi="Times New Roman" w:cs="Times New Roman"/>
          <w:sz w:val="24"/>
          <w:szCs w:val="24"/>
        </w:rPr>
        <w:t xml:space="preserve"> (pp. 315–346). John Wiley &amp; Sons Inc.</w:t>
      </w:r>
    </w:p>
    <w:p w14:paraId="33ED01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Sweitzer, M. M., Allen, P. A., &amp; Kaut, K. P. (2008). Relation of individual differences in impulsivity to nonclinical emotional decision making.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(5), 878–882. </w:t>
      </w:r>
      <w:hyperlink r:id="rId5652" w:history="1">
        <w:r w:rsidRPr="0074138E">
          <w:rPr>
            <w:rFonts w:ascii="Times New Roman" w:eastAsia="Times New Roman" w:hAnsi="Times New Roman" w:cs="Times New Roman"/>
            <w:color w:val="0000FF"/>
            <w:sz w:val="24"/>
            <w:szCs w:val="24"/>
            <w:u w:val="single"/>
          </w:rPr>
          <w:t>https://doi.org/10.1017/S1355617708080934</w:t>
        </w:r>
      </w:hyperlink>
    </w:p>
    <w:p w14:paraId="264FA1B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Swick, D., Honzel, N., Larsen, J., &amp; Ashley, V. (2013). Increased response variability as a marker of executive dysfunction in veterans with post-traumatic stress disorder.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51</w:t>
      </w:r>
      <w:r w:rsidRPr="0074138E">
        <w:rPr>
          <w:rFonts w:ascii="Times New Roman" w:eastAsia="Times New Roman" w:hAnsi="Times New Roman" w:cs="Times New Roman"/>
          <w:sz w:val="24"/>
          <w:szCs w:val="24"/>
        </w:rPr>
        <w:t xml:space="preserve">(14), 3033–3040. </w:t>
      </w:r>
      <w:hyperlink r:id="rId5653" w:history="1">
        <w:r w:rsidRPr="0074138E">
          <w:rPr>
            <w:rFonts w:ascii="Times New Roman" w:eastAsia="Times New Roman" w:hAnsi="Times New Roman" w:cs="Times New Roman"/>
            <w:color w:val="0000FF"/>
            <w:sz w:val="24"/>
            <w:szCs w:val="24"/>
            <w:u w:val="single"/>
          </w:rPr>
          <w:t>https://doi.org/10.1016/j.neuropsychologia.2013.10.008</w:t>
        </w:r>
      </w:hyperlink>
    </w:p>
    <w:p w14:paraId="57FB41C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Swier-Vosnos, A. L. (2013). Attention and executive functions in cancer and cancer treatment. In </w:t>
      </w:r>
      <w:r w:rsidRPr="0074138E">
        <w:rPr>
          <w:rFonts w:ascii="Times New Roman" w:eastAsia="Times New Roman" w:hAnsi="Times New Roman" w:cs="Times New Roman"/>
          <w:i/>
          <w:iCs/>
          <w:sz w:val="24"/>
          <w:szCs w:val="24"/>
        </w:rPr>
        <w:t>The neuropsychology of cancer and oncology.</w:t>
      </w:r>
      <w:r w:rsidRPr="0074138E">
        <w:rPr>
          <w:rFonts w:ascii="Times New Roman" w:eastAsia="Times New Roman" w:hAnsi="Times New Roman" w:cs="Times New Roman"/>
          <w:sz w:val="24"/>
          <w:szCs w:val="24"/>
        </w:rPr>
        <w:t xml:space="preserve"> (pp. 263–271). Springer Publishing Co.</w:t>
      </w:r>
    </w:p>
    <w:p w14:paraId="5D16F2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Świtaj, P., Anczewska, M., Chrostek, A., Sabariego, C., Cieza, A., Bickenbach, J., &amp; Chatterji, S. (2012). Disability and schizophrenia: A systematic review of experienced psychosocial difficulties.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w:t>
      </w:r>
    </w:p>
    <w:p w14:paraId="545145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Świtalska, J. (2016). Neuropsychological functioning across different states of bipolar disorder: Mania, hypomania and depression.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22–30. </w:t>
      </w:r>
      <w:hyperlink r:id="rId5654" w:history="1">
        <w:r w:rsidRPr="0074138E">
          <w:rPr>
            <w:rFonts w:ascii="Times New Roman" w:eastAsia="Times New Roman" w:hAnsi="Times New Roman" w:cs="Times New Roman"/>
            <w:color w:val="0000FF"/>
            <w:sz w:val="24"/>
            <w:szCs w:val="24"/>
            <w:u w:val="single"/>
          </w:rPr>
          <w:t>https://doi.org/10.12740/APP/61894</w:t>
        </w:r>
      </w:hyperlink>
    </w:p>
    <w:p w14:paraId="4CDC6D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Świtalska, J., &amp; Borkowska, A. (2014). Cognitive functioning in a depressive period of bipolar disorder.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(4), 27–37. </w:t>
      </w:r>
      <w:hyperlink r:id="rId5655" w:history="1">
        <w:r w:rsidRPr="0074138E">
          <w:rPr>
            <w:rFonts w:ascii="Times New Roman" w:eastAsia="Times New Roman" w:hAnsi="Times New Roman" w:cs="Times New Roman"/>
            <w:color w:val="0000FF"/>
            <w:sz w:val="24"/>
            <w:szCs w:val="24"/>
            <w:u w:val="single"/>
          </w:rPr>
          <w:t>https://doi.org/10.12740/APP/31318</w:t>
        </w:r>
      </w:hyperlink>
    </w:p>
    <w:p w14:paraId="3F662DA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Syngelaki, E. M., Moore, S. C., Savage, J. C., Fairchild, G., &amp; Van Goozen, S. H. M. (2009). Executive functioning and risky decision making in young male offenders. </w:t>
      </w:r>
      <w:r w:rsidRPr="0074138E">
        <w:rPr>
          <w:rFonts w:ascii="Times New Roman" w:eastAsia="Times New Roman" w:hAnsi="Times New Roman" w:cs="Times New Roman"/>
          <w:i/>
          <w:iCs/>
          <w:sz w:val="24"/>
          <w:szCs w:val="24"/>
        </w:rPr>
        <w:t>Criminal Justice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(11), 1213–1227. </w:t>
      </w:r>
      <w:hyperlink r:id="rId5656" w:history="1">
        <w:r w:rsidRPr="0074138E">
          <w:rPr>
            <w:rFonts w:ascii="Times New Roman" w:eastAsia="Times New Roman" w:hAnsi="Times New Roman" w:cs="Times New Roman"/>
            <w:color w:val="0000FF"/>
            <w:sz w:val="24"/>
            <w:szCs w:val="24"/>
            <w:u w:val="single"/>
          </w:rPr>
          <w:t>https://doi.org/10.1177/0093854809343095</w:t>
        </w:r>
      </w:hyperlink>
    </w:p>
    <w:p w14:paraId="4DF21EA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Szabó, C., Németh, A., &amp; Kéri, S. (2013). Ethical sensitivity in obsessive-compulsive disorder and generalized anxiety disorder: The role of reversal learning. </w:t>
      </w:r>
      <w:r w:rsidRPr="0074138E">
        <w:rPr>
          <w:rFonts w:ascii="Times New Roman" w:eastAsia="Times New Roman" w:hAnsi="Times New Roman" w:cs="Times New Roman"/>
          <w:i/>
          <w:iCs/>
          <w:sz w:val="24"/>
          <w:szCs w:val="24"/>
        </w:rPr>
        <w:t>Journal of Behavior Therapy and Experimental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(4), 404–410. </w:t>
      </w:r>
      <w:hyperlink r:id="rId5657" w:history="1">
        <w:r w:rsidRPr="0074138E">
          <w:rPr>
            <w:rFonts w:ascii="Times New Roman" w:eastAsia="Times New Roman" w:hAnsi="Times New Roman" w:cs="Times New Roman"/>
            <w:color w:val="0000FF"/>
            <w:sz w:val="24"/>
            <w:szCs w:val="24"/>
            <w:u w:val="single"/>
          </w:rPr>
          <w:t>https://doi.org/10.1016/j.jbtep.2013.04.001</w:t>
        </w:r>
      </w:hyperlink>
    </w:p>
    <w:p w14:paraId="5C8FF0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Szabolcs, K., Oguz, K., György, S., Nóra, B., Rita, E., György, B., &amp; Zoltán, J. (2001). Vizuális kategória-tanulás szkizofréniában. [Visual category learning in schizophrenia.]. </w:t>
      </w:r>
      <w:r w:rsidRPr="0074138E">
        <w:rPr>
          <w:rFonts w:ascii="Times New Roman" w:eastAsia="Times New Roman" w:hAnsi="Times New Roman" w:cs="Times New Roman"/>
          <w:i/>
          <w:iCs/>
          <w:sz w:val="24"/>
          <w:szCs w:val="24"/>
        </w:rPr>
        <w:t>Psychiatria Hungarica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(2), 145–153.</w:t>
      </w:r>
    </w:p>
    <w:p w14:paraId="18FE99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Szatkowska, I., Szymańska, O., Marchewka, A., Soluch, P., &amp; Rymarczyk, K. (2011). Dissociable contributions of the left and right posterior medial orbitofrontal cortex in motivational control of goal-directed behavior. </w:t>
      </w:r>
      <w:r w:rsidRPr="0074138E">
        <w:rPr>
          <w:rFonts w:ascii="Times New Roman" w:eastAsia="Times New Roman" w:hAnsi="Times New Roman" w:cs="Times New Roman"/>
          <w:i/>
          <w:iCs/>
          <w:sz w:val="24"/>
          <w:szCs w:val="24"/>
        </w:rPr>
        <w:t>Neurobiology of Learning and Memory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96</w:t>
      </w:r>
      <w:r w:rsidRPr="0074138E">
        <w:rPr>
          <w:rFonts w:ascii="Times New Roman" w:eastAsia="Times New Roman" w:hAnsi="Times New Roman" w:cs="Times New Roman"/>
          <w:sz w:val="24"/>
          <w:szCs w:val="24"/>
        </w:rPr>
        <w:t xml:space="preserve">(2), 385–391. </w:t>
      </w:r>
      <w:hyperlink r:id="rId5658" w:history="1">
        <w:r w:rsidRPr="0074138E">
          <w:rPr>
            <w:rFonts w:ascii="Times New Roman" w:eastAsia="Times New Roman" w:hAnsi="Times New Roman" w:cs="Times New Roman"/>
            <w:color w:val="0000FF"/>
            <w:sz w:val="24"/>
            <w:szCs w:val="24"/>
            <w:u w:val="single"/>
          </w:rPr>
          <w:t>https://doi.org/10.1016/j.nlm.2011.06.014</w:t>
        </w:r>
      </w:hyperlink>
    </w:p>
    <w:p w14:paraId="7A43C28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Szekeres, G., Kéri, S., Juhász, A., Rimanóczy, Á., Szendi, I., Czimmer, C., &amp; Janka, Z. (2004). Role of dopamine D3 receptor (DRD3) and dopamine transporter (DAT) polymorphism in cognitive dysfunctions and therapeutic response to atypical antipsychotics in patients with schizophrenia.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124B</w:t>
      </w:r>
      <w:r w:rsidRPr="0074138E">
        <w:rPr>
          <w:rFonts w:ascii="Times New Roman" w:eastAsia="Times New Roman" w:hAnsi="Times New Roman" w:cs="Times New Roman"/>
          <w:sz w:val="24"/>
          <w:szCs w:val="24"/>
        </w:rPr>
        <w:t xml:space="preserve">(1), 1–5. </w:t>
      </w:r>
      <w:hyperlink r:id="rId5659" w:history="1">
        <w:r w:rsidRPr="0074138E">
          <w:rPr>
            <w:rFonts w:ascii="Times New Roman" w:eastAsia="Times New Roman" w:hAnsi="Times New Roman" w:cs="Times New Roman"/>
            <w:color w:val="0000FF"/>
            <w:sz w:val="24"/>
            <w:szCs w:val="24"/>
            <w:u w:val="single"/>
          </w:rPr>
          <w:t>https://doi.org/10.1002/ajmg.b.20045</w:t>
        </w:r>
      </w:hyperlink>
    </w:p>
    <w:p w14:paraId="148B61B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Szendi, I., Kiss, M., Racsmány, M., Boda, K., Cimmer, C., Vörös, E., Kovács, Z. A., Szekeres, G., Galsi, G., Pléh, C., Csernay, L., &amp; Janka, Z. (2006). Correlations between clinical symptoms, working memory functions and structural brain abnormalities in men with schizophrenia.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147</w:t>
      </w:r>
      <w:r w:rsidRPr="0074138E">
        <w:rPr>
          <w:rFonts w:ascii="Times New Roman" w:eastAsia="Times New Roman" w:hAnsi="Times New Roman" w:cs="Times New Roman"/>
          <w:sz w:val="24"/>
          <w:szCs w:val="24"/>
        </w:rPr>
        <w:t xml:space="preserve">(1), 47–55. </w:t>
      </w:r>
      <w:hyperlink r:id="rId5660" w:history="1">
        <w:r w:rsidRPr="0074138E">
          <w:rPr>
            <w:rFonts w:ascii="Times New Roman" w:eastAsia="Times New Roman" w:hAnsi="Times New Roman" w:cs="Times New Roman"/>
            <w:color w:val="0000FF"/>
            <w:sz w:val="24"/>
            <w:szCs w:val="24"/>
            <w:u w:val="single"/>
          </w:rPr>
          <w:t>https://doi.org/10.1016/j.pscychresns.2005.05.014</w:t>
        </w:r>
      </w:hyperlink>
    </w:p>
    <w:p w14:paraId="423119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Szendi, I., Racsmány, M., Cimmer, C., Csifcsák, G., Kovács, Z. A., Szekeres, G., Galsi, G., Tóth, F., Nagy, A., Garab, E. A., Boda, K., Gulyás, G., Kiss, J. G., Dombi, J., Pléh, C., &amp; Janka, Z. (2010). Two subgroups of schizophrenia identified by systematic cognitive neuropsychiatric mapping. </w:t>
      </w:r>
      <w:r w:rsidRPr="0074138E">
        <w:rPr>
          <w:rFonts w:ascii="Times New Roman" w:eastAsia="Times New Roman" w:hAnsi="Times New Roman" w:cs="Times New Roman"/>
          <w:i/>
          <w:iCs/>
          <w:sz w:val="24"/>
          <w:szCs w:val="24"/>
        </w:rPr>
        <w:t>European Archives of Psychiatry and Clinical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260</w:t>
      </w:r>
      <w:r w:rsidRPr="0074138E">
        <w:rPr>
          <w:rFonts w:ascii="Times New Roman" w:eastAsia="Times New Roman" w:hAnsi="Times New Roman" w:cs="Times New Roman"/>
          <w:sz w:val="24"/>
          <w:szCs w:val="24"/>
        </w:rPr>
        <w:t xml:space="preserve">(3), 257–266. </w:t>
      </w:r>
      <w:hyperlink r:id="rId5661" w:history="1">
        <w:r w:rsidRPr="0074138E">
          <w:rPr>
            <w:rFonts w:ascii="Times New Roman" w:eastAsia="Times New Roman" w:hAnsi="Times New Roman" w:cs="Times New Roman"/>
            <w:color w:val="0000FF"/>
            <w:sz w:val="24"/>
            <w:szCs w:val="24"/>
            <w:u w:val="single"/>
          </w:rPr>
          <w:t>https://doi.org/10.1007/s00406-009-0073-6</w:t>
        </w:r>
      </w:hyperlink>
    </w:p>
    <w:p w14:paraId="70BC6E8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Szoke, A., Meary, A., Trandafir, A., Bellivier, F., Roy, I., Schurhoff, F., &amp; Leboyer, M. (2008). Executive deficits in psychotic and bipolar disorders—Implications for our understanding of schizoaffective disorder. </w:t>
      </w:r>
      <w:r w:rsidRPr="0074138E">
        <w:rPr>
          <w:rFonts w:ascii="Times New Roman" w:eastAsia="Times New Roman" w:hAnsi="Times New Roman" w:cs="Times New Roman"/>
          <w:i/>
          <w:iCs/>
          <w:sz w:val="24"/>
          <w:szCs w:val="24"/>
        </w:rPr>
        <w:t>European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 20–25. </w:t>
      </w:r>
      <w:hyperlink r:id="rId5662" w:history="1">
        <w:r w:rsidRPr="0074138E">
          <w:rPr>
            <w:rFonts w:ascii="Times New Roman" w:eastAsia="Times New Roman" w:hAnsi="Times New Roman" w:cs="Times New Roman"/>
            <w:color w:val="0000FF"/>
            <w:sz w:val="24"/>
            <w:szCs w:val="24"/>
            <w:u w:val="single"/>
          </w:rPr>
          <w:t>https://doi.org/10.1016/j.eurpsy.2007.10.006</w:t>
        </w:r>
      </w:hyperlink>
    </w:p>
    <w:p w14:paraId="07E89A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Szöke, A., Schürhoff, F., Golmard, J.-L., Alter, C., Roy, I., Méary, A., Etain, B., Bellivier, F., &amp; Leboyer, M. (2006). Familial resemblance for executive functions in families of schizophrenic and bipolar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144</w:t>
      </w:r>
      <w:r w:rsidRPr="0074138E">
        <w:rPr>
          <w:rFonts w:ascii="Times New Roman" w:eastAsia="Times New Roman" w:hAnsi="Times New Roman" w:cs="Times New Roman"/>
          <w:sz w:val="24"/>
          <w:szCs w:val="24"/>
        </w:rPr>
        <w:t xml:space="preserve">(2–3), 131–138. </w:t>
      </w:r>
      <w:hyperlink r:id="rId5663" w:history="1">
        <w:r w:rsidRPr="0074138E">
          <w:rPr>
            <w:rFonts w:ascii="Times New Roman" w:eastAsia="Times New Roman" w:hAnsi="Times New Roman" w:cs="Times New Roman"/>
            <w:color w:val="0000FF"/>
            <w:sz w:val="24"/>
            <w:szCs w:val="24"/>
            <w:u w:val="single"/>
          </w:rPr>
          <w:t>https://doi.org/10.1016/j.psychres.2005.11.013</w:t>
        </w:r>
      </w:hyperlink>
    </w:p>
    <w:p w14:paraId="017B93D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Szöke, A., Schürhoff, F., Méary, A., Mathieu, F., Chevalier, F., Trandafir, A., Alter, C., Roy, I., Bellivier, F., &amp; Leboyer, M. (2006). Lack of influence of COMT and NET genes variants on executive functions in schizophrenic and bipolar patients, their first‐degree relatives and controls.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141B</w:t>
      </w:r>
      <w:r w:rsidRPr="0074138E">
        <w:rPr>
          <w:rFonts w:ascii="Times New Roman" w:eastAsia="Times New Roman" w:hAnsi="Times New Roman" w:cs="Times New Roman"/>
          <w:sz w:val="24"/>
          <w:szCs w:val="24"/>
        </w:rPr>
        <w:t xml:space="preserve">(5), 504–512. </w:t>
      </w:r>
      <w:hyperlink r:id="rId5664" w:history="1">
        <w:r w:rsidRPr="0074138E">
          <w:rPr>
            <w:rFonts w:ascii="Times New Roman" w:eastAsia="Times New Roman" w:hAnsi="Times New Roman" w:cs="Times New Roman"/>
            <w:color w:val="0000FF"/>
            <w:sz w:val="24"/>
            <w:szCs w:val="24"/>
            <w:u w:val="single"/>
          </w:rPr>
          <w:t>https://doi.org/10.1002/ajmg.b.30352</w:t>
        </w:r>
      </w:hyperlink>
    </w:p>
    <w:p w14:paraId="7CE35E3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Szpisjak, L., Nemeth, V. L., Szepfalusi, N., Zadori, D., Maroti, Z., Kalmar, T., Vecsei, L., &amp; Klivenyi, P. (2017). Neurocognitive characterization of an SCA28 family caused by a novel AFG3L2 gene mutation. </w:t>
      </w:r>
      <w:r w:rsidRPr="0074138E">
        <w:rPr>
          <w:rFonts w:ascii="Times New Roman" w:eastAsia="Times New Roman" w:hAnsi="Times New Roman" w:cs="Times New Roman"/>
          <w:i/>
          <w:iCs/>
          <w:sz w:val="24"/>
          <w:szCs w:val="24"/>
        </w:rPr>
        <w:t>The Cerebellum</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(5–6), 979–985. </w:t>
      </w:r>
      <w:hyperlink r:id="rId5665" w:history="1">
        <w:r w:rsidRPr="0074138E">
          <w:rPr>
            <w:rFonts w:ascii="Times New Roman" w:eastAsia="Times New Roman" w:hAnsi="Times New Roman" w:cs="Times New Roman"/>
            <w:color w:val="0000FF"/>
            <w:sz w:val="24"/>
            <w:szCs w:val="24"/>
            <w:u w:val="single"/>
          </w:rPr>
          <w:t>https://doi.org/10.1007/s12311-017-0870-9</w:t>
        </w:r>
      </w:hyperlink>
    </w:p>
    <w:p w14:paraId="39A17B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Szucs, D., Devine, A., Soltesz, F., Nobes, A., &amp; Gabriel, F. (2013). Developmental dyscalculia is related to visuo-spatial memory and inhibition impairment.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(10), 2674–2688. </w:t>
      </w:r>
      <w:hyperlink r:id="rId5666" w:history="1">
        <w:r w:rsidRPr="0074138E">
          <w:rPr>
            <w:rFonts w:ascii="Times New Roman" w:eastAsia="Times New Roman" w:hAnsi="Times New Roman" w:cs="Times New Roman"/>
            <w:color w:val="0000FF"/>
            <w:sz w:val="24"/>
            <w:szCs w:val="24"/>
            <w:u w:val="single"/>
          </w:rPr>
          <w:t>https://doi.org/10.1016/j.cortex.2013.06.007</w:t>
        </w:r>
      </w:hyperlink>
    </w:p>
    <w:p w14:paraId="03158D8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Szulc, A., Galińska, B., Tarasów, E., Walecki, J., Dzienis, W., Kubas, B., &amp; Czernikiewicz, A. (2005). Clinical and neuropsychological correlates of proton magnetic resonance spectroscopy detected metabolites in brains of first-episode and chronic schizophrenic patients.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(4), 17–25.</w:t>
      </w:r>
    </w:p>
    <w:p w14:paraId="6CE35BE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Szuromi, B., Bitter, I., &amp; Czobor, P. (2013). Functional impairment in adults positively screened for attention-deficit hyperactivity disorder: The role of symptom presentation and executive functioning.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(7), 974–981. </w:t>
      </w:r>
      <w:hyperlink r:id="rId5667" w:history="1">
        <w:r w:rsidRPr="0074138E">
          <w:rPr>
            <w:rFonts w:ascii="Times New Roman" w:eastAsia="Times New Roman" w:hAnsi="Times New Roman" w:cs="Times New Roman"/>
            <w:color w:val="0000FF"/>
            <w:sz w:val="24"/>
            <w:szCs w:val="24"/>
            <w:u w:val="single"/>
          </w:rPr>
          <w:t>https://doi.org/10.1016/j.comppsych.2013.04.002</w:t>
        </w:r>
      </w:hyperlink>
    </w:p>
    <w:p w14:paraId="694930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Szymkowicz, S. M., Dotson, V. M., &amp; Vanderploeg, R. D. (2021). Weak associations between depressive symptom severity, depressive symptom clusters, and cognitive performance in young to middle-aged men without clinical depression.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(6), 921–935. </w:t>
      </w:r>
      <w:hyperlink r:id="rId5668" w:history="1">
        <w:r w:rsidRPr="0074138E">
          <w:rPr>
            <w:rFonts w:ascii="Times New Roman" w:eastAsia="Times New Roman" w:hAnsi="Times New Roman" w:cs="Times New Roman"/>
            <w:color w:val="0000FF"/>
            <w:sz w:val="24"/>
            <w:szCs w:val="24"/>
            <w:u w:val="single"/>
          </w:rPr>
          <w:t>https://doi.org/10.1080/13825585.2020.1840505</w:t>
        </w:r>
      </w:hyperlink>
    </w:p>
    <w:p w14:paraId="37D9FD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Tabarés-Seisdedos, R., Balanzá-Martinez, V., Salazar-Fraile, J., Selva-Vera, G., Leal-Cercós, C., &amp; Gómez-Beneyto, M. (2003). Specific executive/attentional deficits in patients with schizophrenia or bipolar disorder who have a positive family history of psychosis. </w:t>
      </w:r>
      <w:r w:rsidRPr="0074138E">
        <w:rPr>
          <w:rFonts w:ascii="Times New Roman" w:eastAsia="Times New Roman" w:hAnsi="Times New Roman" w:cs="Times New Roman"/>
          <w:i/>
          <w:iCs/>
          <w:sz w:val="24"/>
          <w:szCs w:val="24"/>
        </w:rPr>
        <w:t>Journal of Psychiatric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37</w:t>
      </w:r>
      <w:r w:rsidRPr="0074138E">
        <w:rPr>
          <w:rFonts w:ascii="Times New Roman" w:eastAsia="Times New Roman" w:hAnsi="Times New Roman" w:cs="Times New Roman"/>
          <w:sz w:val="24"/>
          <w:szCs w:val="24"/>
        </w:rPr>
        <w:t xml:space="preserve">(6), 479–486. </w:t>
      </w:r>
      <w:hyperlink r:id="rId5669" w:history="1">
        <w:r w:rsidRPr="0074138E">
          <w:rPr>
            <w:rFonts w:ascii="Times New Roman" w:eastAsia="Times New Roman" w:hAnsi="Times New Roman" w:cs="Times New Roman"/>
            <w:color w:val="0000FF"/>
            <w:sz w:val="24"/>
            <w:szCs w:val="24"/>
            <w:u w:val="single"/>
          </w:rPr>
          <w:t>https://doi.org/10.1016/S0022-3956(03)00071-2</w:t>
        </w:r>
      </w:hyperlink>
    </w:p>
    <w:p w14:paraId="40ED5F3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Tabarés-Seisdedos, R., Mata, I., Escámez, T., Vieta, E., López-Ilundain, J. M., Salazar, J., Selva, G., Balanzá, V., Rubio, C., Martínez-Arán, A., Valdés-Sánchez, L., Geijo-Barrientos, E., &amp; Martínez, S. (2008). Evidence for association between structural variants in lissencephaly-related genes and executive deficits in schizophrenia or bipolar patients from a Spanish isolate population. </w:t>
      </w:r>
      <w:r w:rsidRPr="0074138E">
        <w:rPr>
          <w:rFonts w:ascii="Times New Roman" w:eastAsia="Times New Roman" w:hAnsi="Times New Roman" w:cs="Times New Roman"/>
          <w:i/>
          <w:iCs/>
          <w:sz w:val="24"/>
          <w:szCs w:val="24"/>
        </w:rPr>
        <w:t>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(6), 313–317. </w:t>
      </w:r>
      <w:hyperlink r:id="rId5670" w:history="1">
        <w:r w:rsidRPr="0074138E">
          <w:rPr>
            <w:rFonts w:ascii="Times New Roman" w:eastAsia="Times New Roman" w:hAnsi="Times New Roman" w:cs="Times New Roman"/>
            <w:color w:val="0000FF"/>
            <w:sz w:val="24"/>
            <w:szCs w:val="24"/>
            <w:u w:val="single"/>
          </w:rPr>
          <w:t>https://doi.org/10.1097/YPG.0b013e3283118725</w:t>
        </w:r>
      </w:hyperlink>
    </w:p>
    <w:p w14:paraId="6D6B20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Tachibana, Y., Hwang, Y., Abe, Y., Goto, S., Sugai, K., &amp; Kawashima, R. (2013). Reading aloud improves executive function of children with autism spectrum disorder: A pilot randomized controlled trial. </w:t>
      </w:r>
      <w:r w:rsidRPr="0074138E">
        <w:rPr>
          <w:rFonts w:ascii="Times New Roman" w:eastAsia="Times New Roman" w:hAnsi="Times New Roman" w:cs="Times New Roman"/>
          <w:i/>
          <w:iCs/>
          <w:sz w:val="24"/>
          <w:szCs w:val="24"/>
        </w:rPr>
        <w:t>International Journal on Disability and Human Development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(1), 91–101. </w:t>
      </w:r>
      <w:hyperlink r:id="rId5671" w:history="1">
        <w:r w:rsidRPr="0074138E">
          <w:rPr>
            <w:rFonts w:ascii="Times New Roman" w:eastAsia="Times New Roman" w:hAnsi="Times New Roman" w:cs="Times New Roman"/>
            <w:color w:val="0000FF"/>
            <w:sz w:val="24"/>
            <w:szCs w:val="24"/>
            <w:u w:val="single"/>
          </w:rPr>
          <w:t>https://doi.org/10.1515/ijdhd-2012-0128</w:t>
        </w:r>
      </w:hyperlink>
    </w:p>
    <w:p w14:paraId="41D014F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Baudouin, A., Fay, S., Clarys, D., Vanneste, S., Tournelle, L., &amp; Isingrini, M. (2006). Aging and implementation of encoding strategies in the generation of rhymes: The role of executive functions.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(6), 658–665. </w:t>
      </w:r>
      <w:hyperlink r:id="rId5672" w:history="1">
        <w:r w:rsidRPr="0074138E">
          <w:rPr>
            <w:rFonts w:ascii="Times New Roman" w:eastAsia="Times New Roman" w:hAnsi="Times New Roman" w:cs="Times New Roman"/>
            <w:color w:val="0000FF"/>
            <w:sz w:val="24"/>
            <w:szCs w:val="24"/>
            <w:u w:val="single"/>
          </w:rPr>
          <w:t>https://doi.org/10.1037/0894-4105.20.6.658</w:t>
        </w:r>
      </w:hyperlink>
    </w:p>
    <w:p w14:paraId="66C1E67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Baudouin, A., Fay, S., Raz, N., Bouazzaoui, B., El-Hage, W., Isingrini, M., &amp; Ergis, A.-M. (2010). Episodic memory and organizational strategy in free recall in unipolar depression: The role of cognitive support and executive functions.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(7), 719–727. </w:t>
      </w:r>
      <w:hyperlink r:id="rId5673" w:history="1">
        <w:r w:rsidRPr="0074138E">
          <w:rPr>
            <w:rFonts w:ascii="Times New Roman" w:eastAsia="Times New Roman" w:hAnsi="Times New Roman" w:cs="Times New Roman"/>
            <w:color w:val="0000FF"/>
            <w:sz w:val="24"/>
            <w:szCs w:val="24"/>
            <w:u w:val="single"/>
          </w:rPr>
          <w:t>https://doi.org/10.1080/13803390903512645</w:t>
        </w:r>
      </w:hyperlink>
    </w:p>
    <w:p w14:paraId="37B3DBD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Clarys, D., Vanneste, S., Bouazzaoui, B., &amp; Isingrini, M. (2007). Aging and strategic retrieval in a cued-recall test: The role of executive functions and fluid intelligence.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64</w:t>
      </w:r>
      <w:r w:rsidRPr="0074138E">
        <w:rPr>
          <w:rFonts w:ascii="Times New Roman" w:eastAsia="Times New Roman" w:hAnsi="Times New Roman" w:cs="Times New Roman"/>
          <w:sz w:val="24"/>
          <w:szCs w:val="24"/>
        </w:rPr>
        <w:t xml:space="preserve">(1), 1–6. </w:t>
      </w:r>
      <w:hyperlink r:id="rId5674" w:history="1">
        <w:r w:rsidRPr="0074138E">
          <w:rPr>
            <w:rFonts w:ascii="Times New Roman" w:eastAsia="Times New Roman" w:hAnsi="Times New Roman" w:cs="Times New Roman"/>
            <w:color w:val="0000FF"/>
            <w:sz w:val="24"/>
            <w:szCs w:val="24"/>
            <w:u w:val="single"/>
          </w:rPr>
          <w:t>https://doi.org/10.1016/j.bandc.2006.09.011</w:t>
        </w:r>
      </w:hyperlink>
    </w:p>
    <w:p w14:paraId="0A05BB2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Taconnat, L., Raz, N., Toczé, C., Bouazzaoui, B., Sauzéon, H., Fay, S., &amp; Isingrini, M. (2009). Ageing and organisation strategies in free recall: The role of cognitive flexibility. </w:t>
      </w:r>
      <w:r w:rsidRPr="0074138E">
        <w:rPr>
          <w:rFonts w:ascii="Times New Roman" w:eastAsia="Times New Roman" w:hAnsi="Times New Roman" w:cs="Times New Roman"/>
          <w:i/>
          <w:iCs/>
          <w:sz w:val="24"/>
          <w:szCs w:val="24"/>
        </w:rPr>
        <w:t>European Journal of Cognitive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(2–3), 347–365. </w:t>
      </w:r>
      <w:hyperlink r:id="rId5675" w:history="1">
        <w:r w:rsidRPr="0074138E">
          <w:rPr>
            <w:rFonts w:ascii="Times New Roman" w:eastAsia="Times New Roman" w:hAnsi="Times New Roman" w:cs="Times New Roman"/>
            <w:color w:val="0000FF"/>
            <w:sz w:val="24"/>
            <w:szCs w:val="24"/>
            <w:u w:val="single"/>
          </w:rPr>
          <w:t>https://doi.org/10.1080/09541440802296413</w:t>
        </w:r>
      </w:hyperlink>
    </w:p>
    <w:p w14:paraId="18EA485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Taha, H. (2017). Poor executive functions among children with moderate-into-severe asthma: Evidence from WCST performance.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6EE55A9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Taiminen, T., Jääskeläinen, S., Ilonen, T., Meyer, H., Karlsson, H., Lauerma, H., Leinonen, K.-M., Wallenius, E., Kaljonen, A., &amp; Salokangas, R. K. R. (2000). Habituation of the blink reflex in first-episode schizophrenia, psychotic depression and non-psychotic depression.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 69–79. </w:t>
      </w:r>
      <w:hyperlink r:id="rId5676" w:history="1">
        <w:r w:rsidRPr="0074138E">
          <w:rPr>
            <w:rFonts w:ascii="Times New Roman" w:eastAsia="Times New Roman" w:hAnsi="Times New Roman" w:cs="Times New Roman"/>
            <w:color w:val="0000FF"/>
            <w:sz w:val="24"/>
            <w:szCs w:val="24"/>
            <w:u w:val="single"/>
          </w:rPr>
          <w:t>https://doi.org/10.1016/S0920-9964(99)00140-1</w:t>
        </w:r>
      </w:hyperlink>
    </w:p>
    <w:p w14:paraId="6FD2174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H., Kato, M., Takano, H., Arakawa, R., Okumura, M., Otsuka, T., Kodaka, F., Hayashi, M., Okubo, Y., Ito, H., &amp; Suhara, T. (2008). Differential contribution of prefrontal and hippocampal dopamine D₁ and D₂ receptors in human cognitive functions.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(46), 12032–12038. </w:t>
      </w:r>
      <w:hyperlink r:id="rId5677" w:history="1">
        <w:r w:rsidRPr="0074138E">
          <w:rPr>
            <w:rFonts w:ascii="Times New Roman" w:eastAsia="Times New Roman" w:hAnsi="Times New Roman" w:cs="Times New Roman"/>
            <w:color w:val="0000FF"/>
            <w:sz w:val="24"/>
            <w:szCs w:val="24"/>
            <w:u w:val="single"/>
          </w:rPr>
          <w:t>https://doi.org/10.1523/JNEUROSCI.3446-08.2008</w:t>
        </w:r>
      </w:hyperlink>
    </w:p>
    <w:p w14:paraId="69D4859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J., Gyoba, J., &amp; Yamawaki, N. (2013). Brief report: Effect of spatial complexity on visual short-term memory and self-reported autistic-like traits in typically developed individuals. </w:t>
      </w:r>
      <w:r w:rsidRPr="0074138E">
        <w:rPr>
          <w:rFonts w:ascii="Times New Roman" w:eastAsia="Times New Roman" w:hAnsi="Times New Roman" w:cs="Times New Roman"/>
          <w:i/>
          <w:iCs/>
          <w:sz w:val="24"/>
          <w:szCs w:val="24"/>
        </w:rPr>
        <w:t>Journal of Autism and Developmental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43</w:t>
      </w:r>
      <w:r w:rsidRPr="0074138E">
        <w:rPr>
          <w:rFonts w:ascii="Times New Roman" w:eastAsia="Times New Roman" w:hAnsi="Times New Roman" w:cs="Times New Roman"/>
          <w:sz w:val="24"/>
          <w:szCs w:val="24"/>
        </w:rPr>
        <w:t xml:space="preserve">(7), 1725–1731. </w:t>
      </w:r>
      <w:hyperlink r:id="rId5678" w:history="1">
        <w:r w:rsidRPr="0074138E">
          <w:rPr>
            <w:rFonts w:ascii="Times New Roman" w:eastAsia="Times New Roman" w:hAnsi="Times New Roman" w:cs="Times New Roman"/>
            <w:color w:val="0000FF"/>
            <w:sz w:val="24"/>
            <w:szCs w:val="24"/>
            <w:u w:val="single"/>
          </w:rPr>
          <w:t>https://doi.org/10.1007/s10803-012-1711-9</w:t>
        </w:r>
      </w:hyperlink>
    </w:p>
    <w:p w14:paraId="1914E61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M., Iwamoto, K., Kawamura, Y., Nakamura, Y., Ishihara, R., Uchiyama, Y., Ebe, K., Noda, A., Noda, Y., Yoshida, K., Iidaka, T., &amp; Ozaki, N. (2010). The effects of acute treatment with tandospirone, diazepam, and placebo on driving performance and cognitive function in healthy volunteers. </w:t>
      </w:r>
      <w:r w:rsidRPr="0074138E">
        <w:rPr>
          <w:rFonts w:ascii="Times New Roman" w:eastAsia="Times New Roman" w:hAnsi="Times New Roman" w:cs="Times New Roman"/>
          <w:i/>
          <w:iCs/>
          <w:sz w:val="24"/>
          <w:szCs w:val="24"/>
        </w:rPr>
        <w:t>Human Psychopharmacology: Clinical and Experimental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(3), 260–267. </w:t>
      </w:r>
      <w:hyperlink r:id="rId5679" w:history="1">
        <w:r w:rsidRPr="0074138E">
          <w:rPr>
            <w:rFonts w:ascii="Times New Roman" w:eastAsia="Times New Roman" w:hAnsi="Times New Roman" w:cs="Times New Roman"/>
            <w:color w:val="0000FF"/>
            <w:sz w:val="24"/>
            <w:szCs w:val="24"/>
            <w:u w:val="single"/>
          </w:rPr>
          <w:t>https://doi.org/10.1002/hup.1105</w:t>
        </w:r>
      </w:hyperlink>
    </w:p>
    <w:p w14:paraId="51CCC9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M., Yasuno, F., Yamamuro, K., Matsuoka, K., Kitamura, S., Yoshikawa, H., Yamamoto, A., Iida, H., Fukuda, T., Ihara, M., Nagatsuka, K., &amp; Kishimoto, T. (2019). Detection of brain amyloid‐β deposits due to the repetitive head trauma in a former karate player. </w:t>
      </w:r>
      <w:r w:rsidRPr="0074138E">
        <w:rPr>
          <w:rFonts w:ascii="Times New Roman" w:eastAsia="Times New Roman" w:hAnsi="Times New Roman" w:cs="Times New Roman"/>
          <w:i/>
          <w:iCs/>
          <w:sz w:val="24"/>
          <w:szCs w:val="24"/>
        </w:rPr>
        <w:t>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276–281. </w:t>
      </w:r>
      <w:hyperlink r:id="rId5680" w:history="1">
        <w:r w:rsidRPr="0074138E">
          <w:rPr>
            <w:rFonts w:ascii="Times New Roman" w:eastAsia="Times New Roman" w:hAnsi="Times New Roman" w:cs="Times New Roman"/>
            <w:color w:val="0000FF"/>
            <w:sz w:val="24"/>
            <w:szCs w:val="24"/>
            <w:u w:val="single"/>
          </w:rPr>
          <w:t>https://doi.org/10.1111/psyg.12383</w:t>
        </w:r>
      </w:hyperlink>
    </w:p>
    <w:p w14:paraId="385E84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Takahashi, S., Keeser, D., Rauchmann, B.-S., Schneider-Axmann, T., Keller-Varady, K., Maurus, I., Dechent, P., Wobrock, T., Hasan, A., Schmitt, A., Ertl-Wagner, B., Malchow, B., &amp; Falkai, P. (2020). Effect of aerobic exercise combined with cognitive remediation on cortical thickness and prediction of social adaptation in patients with schizophrenia.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216</w:t>
      </w:r>
      <w:r w:rsidRPr="0074138E">
        <w:rPr>
          <w:rFonts w:ascii="Times New Roman" w:eastAsia="Times New Roman" w:hAnsi="Times New Roman" w:cs="Times New Roman"/>
          <w:sz w:val="24"/>
          <w:szCs w:val="24"/>
        </w:rPr>
        <w:t xml:space="preserve">, 397–407. </w:t>
      </w:r>
      <w:hyperlink r:id="rId5681" w:history="1">
        <w:r w:rsidRPr="0074138E">
          <w:rPr>
            <w:rFonts w:ascii="Times New Roman" w:eastAsia="Times New Roman" w:hAnsi="Times New Roman" w:cs="Times New Roman"/>
            <w:color w:val="0000FF"/>
            <w:sz w:val="24"/>
            <w:szCs w:val="24"/>
            <w:u w:val="single"/>
          </w:rPr>
          <w:t>https://doi.org/10.1016/j.schres.2019.11.004</w:t>
        </w:r>
      </w:hyperlink>
    </w:p>
    <w:p w14:paraId="1D1358C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Takahata, K., Kimura, Y., Sahara, N., Koga, S., Shimada, H., Ichise, M., Saito, F., Moriguchi, S., Kitamura, S., Kubota, M., Umeda, S., Niwa, F., Mizushima, J., Morimoto, Y., Funayama, M., Tabuchi, H., Bieniek, K. F., Kawamura, K., Zhang, M.-R., … Higuchi, M. (2019). PET-detectable tau pathology correlates with long-term neuropsychiatric outcomes in patients with traumatic brain injury.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142</w:t>
      </w:r>
      <w:r w:rsidRPr="0074138E">
        <w:rPr>
          <w:rFonts w:ascii="Times New Roman" w:eastAsia="Times New Roman" w:hAnsi="Times New Roman" w:cs="Times New Roman"/>
          <w:sz w:val="24"/>
          <w:szCs w:val="24"/>
        </w:rPr>
        <w:t xml:space="preserve">(10), 3265–3279. </w:t>
      </w:r>
      <w:hyperlink r:id="rId5682" w:history="1">
        <w:r w:rsidRPr="0074138E">
          <w:rPr>
            <w:rFonts w:ascii="Times New Roman" w:eastAsia="Times New Roman" w:hAnsi="Times New Roman" w:cs="Times New Roman"/>
            <w:color w:val="0000FF"/>
            <w:sz w:val="24"/>
            <w:szCs w:val="24"/>
            <w:u w:val="single"/>
          </w:rPr>
          <w:t>https://doi.org/10.1093/brain/awz238</w:t>
        </w:r>
      </w:hyperlink>
    </w:p>
    <w:p w14:paraId="0A4286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Takahata, K., Saito, F., Muramatsu, T., Yamada, M., Shirahase, J., Tabuchi, H., Suhara, T., Mimura, M., &amp; Kato, M. (2014). Emergence of realism: Enhanced visual artistry and high accuracy of visual numerosity representation after left prefrontal damage.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57</w:t>
      </w:r>
      <w:r w:rsidRPr="0074138E">
        <w:rPr>
          <w:rFonts w:ascii="Times New Roman" w:eastAsia="Times New Roman" w:hAnsi="Times New Roman" w:cs="Times New Roman"/>
          <w:sz w:val="24"/>
          <w:szCs w:val="24"/>
        </w:rPr>
        <w:t xml:space="preserve">, 38–49. </w:t>
      </w:r>
      <w:hyperlink r:id="rId5683" w:history="1">
        <w:r w:rsidRPr="0074138E">
          <w:rPr>
            <w:rFonts w:ascii="Times New Roman" w:eastAsia="Times New Roman" w:hAnsi="Times New Roman" w:cs="Times New Roman"/>
            <w:color w:val="0000FF"/>
            <w:sz w:val="24"/>
            <w:szCs w:val="24"/>
            <w:u w:val="single"/>
          </w:rPr>
          <w:t>https://doi.org/10.1016/j.neuropsychologia.2014.02.022</w:t>
        </w:r>
      </w:hyperlink>
    </w:p>
    <w:p w14:paraId="352B777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Takayanagi, Y., Gerner, G., Takayanagi, M., Rao, V., Vannorsdall, T. D., Sawa, A., Schretlen, D. J., &amp; Cascella, N. G. (2013). Hippocampal volume reduction correlates with apathy in traumatic brain injury, but not schizophrenia.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(4), 292–301. </w:t>
      </w:r>
      <w:hyperlink r:id="rId5684" w:history="1">
        <w:r w:rsidRPr="0074138E">
          <w:rPr>
            <w:rFonts w:ascii="Times New Roman" w:eastAsia="Times New Roman" w:hAnsi="Times New Roman" w:cs="Times New Roman"/>
            <w:color w:val="0000FF"/>
            <w:sz w:val="24"/>
            <w:szCs w:val="24"/>
            <w:u w:val="single"/>
          </w:rPr>
          <w:t>https://doi.org/10.1176/appi.neuropsych.12040093</w:t>
        </w:r>
      </w:hyperlink>
    </w:p>
    <w:p w14:paraId="5F92B3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Takeda, N., Terada, S., Sato, S., Honda, H., Yoshida, H., Kishimoto, Y., Kamata, G., Oshima, E., Ishihara, T., &amp; Kuroda, S. (2010). Wisconsin Card Sorting Test and brain perfusion imaging in early dementia.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(1), 21–27. </w:t>
      </w:r>
      <w:hyperlink r:id="rId5685" w:history="1">
        <w:r w:rsidRPr="0074138E">
          <w:rPr>
            <w:rFonts w:ascii="Times New Roman" w:eastAsia="Times New Roman" w:hAnsi="Times New Roman" w:cs="Times New Roman"/>
            <w:color w:val="0000FF"/>
            <w:sz w:val="24"/>
            <w:szCs w:val="24"/>
            <w:u w:val="single"/>
          </w:rPr>
          <w:t>https://doi.org/10.1159/000261645</w:t>
        </w:r>
      </w:hyperlink>
    </w:p>
    <w:p w14:paraId="19F8249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Takeda, Y., Kurita, T., Sakurai, K., Shiga, T., Tamaki, N., &amp; Koyama, T. (2011). Persistent déjà vu associated with hyperperfusion in the entorhinal cortex.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196–199. </w:t>
      </w:r>
      <w:hyperlink r:id="rId5686" w:history="1">
        <w:r w:rsidRPr="0074138E">
          <w:rPr>
            <w:rFonts w:ascii="Times New Roman" w:eastAsia="Times New Roman" w:hAnsi="Times New Roman" w:cs="Times New Roman"/>
            <w:color w:val="0000FF"/>
            <w:sz w:val="24"/>
            <w:szCs w:val="24"/>
            <w:u w:val="single"/>
          </w:rPr>
          <w:t>https://doi.org/10.1016/j.yebeh.2011.03.031</w:t>
        </w:r>
      </w:hyperlink>
    </w:p>
    <w:p w14:paraId="5FA1AAD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Takeuchi, I., Suzuki, T., Kishi, T., Kanamori, D., Hanya, M., Uno, J., Fujita, K., &amp; Kamei, H. (2015). Effect of scopolamine butylbromide on clozapine-induced hypersalivation in schizophrenic patients: A case series. </w:t>
      </w:r>
      <w:r w:rsidRPr="0074138E">
        <w:rPr>
          <w:rFonts w:ascii="Times New Roman" w:eastAsia="Times New Roman" w:hAnsi="Times New Roman" w:cs="Times New Roman"/>
          <w:i/>
          <w:iCs/>
          <w:sz w:val="24"/>
          <w:szCs w:val="24"/>
        </w:rPr>
        <w:t>Clinical Psychopharmacology and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(1), 109–112. </w:t>
      </w:r>
      <w:hyperlink r:id="rId5687" w:history="1">
        <w:r w:rsidRPr="0074138E">
          <w:rPr>
            <w:rFonts w:ascii="Times New Roman" w:eastAsia="Times New Roman" w:hAnsi="Times New Roman" w:cs="Times New Roman"/>
            <w:color w:val="0000FF"/>
            <w:sz w:val="24"/>
            <w:szCs w:val="24"/>
            <w:u w:val="single"/>
          </w:rPr>
          <w:t>https://doi.org/10.9758/cpn.2015.13.1.109</w:t>
        </w:r>
      </w:hyperlink>
    </w:p>
    <w:p w14:paraId="582329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Talbot, A., Hay, P., Buckett, G., &amp; Touyz, S. (2015). Cognitive deficits as an endophenotype for anorexia nervosa: An accepted fact or a need for re‐examination? </w:t>
      </w:r>
      <w:r w:rsidRPr="0074138E">
        <w:rPr>
          <w:rFonts w:ascii="Times New Roman" w:eastAsia="Times New Roman" w:hAnsi="Times New Roman" w:cs="Times New Roman"/>
          <w:i/>
          <w:iCs/>
          <w:sz w:val="24"/>
          <w:szCs w:val="24"/>
        </w:rPr>
        <w:t>International Journal of Eating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48</w:t>
      </w:r>
      <w:r w:rsidRPr="0074138E">
        <w:rPr>
          <w:rFonts w:ascii="Times New Roman" w:eastAsia="Times New Roman" w:hAnsi="Times New Roman" w:cs="Times New Roman"/>
          <w:sz w:val="24"/>
          <w:szCs w:val="24"/>
        </w:rPr>
        <w:t xml:space="preserve">(1), 15–25. </w:t>
      </w:r>
      <w:hyperlink r:id="rId5688" w:history="1">
        <w:r w:rsidRPr="0074138E">
          <w:rPr>
            <w:rFonts w:ascii="Times New Roman" w:eastAsia="Times New Roman" w:hAnsi="Times New Roman" w:cs="Times New Roman"/>
            <w:color w:val="0000FF"/>
            <w:sz w:val="24"/>
            <w:szCs w:val="24"/>
            <w:u w:val="single"/>
          </w:rPr>
          <w:t>https://doi.org/10.1002/eat.22332</w:t>
        </w:r>
      </w:hyperlink>
    </w:p>
    <w:p w14:paraId="580C82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Talbot, A., Hay, P., &amp; Touyz, S. (2015). Exploring the relationship between cognitive style and daily functioning in patients with anorexia nervosa. </w:t>
      </w:r>
      <w:r w:rsidRPr="0074138E">
        <w:rPr>
          <w:rFonts w:ascii="Times New Roman" w:eastAsia="Times New Roman" w:hAnsi="Times New Roman" w:cs="Times New Roman"/>
          <w:i/>
          <w:iCs/>
          <w:sz w:val="24"/>
          <w:szCs w:val="24"/>
        </w:rPr>
        <w:t>Advances in Eating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(3), 300–310. </w:t>
      </w:r>
      <w:hyperlink r:id="rId5689" w:history="1">
        <w:r w:rsidRPr="0074138E">
          <w:rPr>
            <w:rFonts w:ascii="Times New Roman" w:eastAsia="Times New Roman" w:hAnsi="Times New Roman" w:cs="Times New Roman"/>
            <w:color w:val="0000FF"/>
            <w:sz w:val="24"/>
            <w:szCs w:val="24"/>
            <w:u w:val="single"/>
          </w:rPr>
          <w:t>https://doi.org/10.1080/21662630.2015.1057858</w:t>
        </w:r>
      </w:hyperlink>
    </w:p>
    <w:p w14:paraId="72E515F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Davidson, P. S. R., Sheppard, C., &amp; Gardiner, J. (2021). A discourse-theoretic approach to story recall in aging and mild cognitive impairment.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(5), 762–780. </w:t>
      </w:r>
      <w:hyperlink r:id="rId5690" w:history="1">
        <w:r w:rsidRPr="0074138E">
          <w:rPr>
            <w:rFonts w:ascii="Times New Roman" w:eastAsia="Times New Roman" w:hAnsi="Times New Roman" w:cs="Times New Roman"/>
            <w:color w:val="0000FF"/>
            <w:sz w:val="24"/>
            <w:szCs w:val="24"/>
            <w:u w:val="single"/>
          </w:rPr>
          <w:t>https://doi.org/10.1080/13825585.2020.1821865</w:t>
        </w:r>
      </w:hyperlink>
    </w:p>
    <w:p w14:paraId="598893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Johns, B. T., Young, K., Sheppard, C., &amp; Jones, M. N. (2013). A computational analysis of semantic structure in bilingual verbal fluency performance. </w:t>
      </w:r>
      <w:r w:rsidRPr="0074138E">
        <w:rPr>
          <w:rFonts w:ascii="Times New Roman" w:eastAsia="Times New Roman" w:hAnsi="Times New Roman" w:cs="Times New Roman"/>
          <w:i/>
          <w:iCs/>
          <w:sz w:val="24"/>
          <w:szCs w:val="24"/>
        </w:rPr>
        <w:t>Journal of Memory and Language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(4), 607–618. </w:t>
      </w:r>
      <w:hyperlink r:id="rId5691" w:history="1">
        <w:r w:rsidRPr="0074138E">
          <w:rPr>
            <w:rFonts w:ascii="Times New Roman" w:eastAsia="Times New Roman" w:hAnsi="Times New Roman" w:cs="Times New Roman"/>
            <w:color w:val="0000FF"/>
            <w:sz w:val="24"/>
            <w:szCs w:val="24"/>
            <w:u w:val="single"/>
          </w:rPr>
          <w:t>https://doi.org/10.1016/j.jml.2013.08.004</w:t>
        </w:r>
      </w:hyperlink>
    </w:p>
    <w:p w14:paraId="6785D51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Monetta, L., Sheppard, C., &amp; Ohman, A. (2020). Semantic function in mild cognitive impairment.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 </w:t>
      </w:r>
      <w:hyperlink r:id="rId5692" w:history="1">
        <w:r w:rsidRPr="0074138E">
          <w:rPr>
            <w:rFonts w:ascii="Times New Roman" w:eastAsia="Times New Roman" w:hAnsi="Times New Roman" w:cs="Times New Roman"/>
            <w:color w:val="0000FF"/>
            <w:sz w:val="24"/>
            <w:szCs w:val="24"/>
            <w:u w:val="single"/>
          </w:rPr>
          <w:t>https://doi.org/10.3389/fpsyg.2019.03041</w:t>
        </w:r>
      </w:hyperlink>
    </w:p>
    <w:p w14:paraId="144CC13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Taler, V., Voronchikhina, A., Gorfine, G., &amp; Lukasik, M. (2016). Knowledge of semantic features in mild cognitive impairment. </w:t>
      </w:r>
      <w:r w:rsidRPr="0074138E">
        <w:rPr>
          <w:rFonts w:ascii="Times New Roman" w:eastAsia="Times New Roman" w:hAnsi="Times New Roman" w:cs="Times New Roman"/>
          <w:i/>
          <w:iCs/>
          <w:sz w:val="24"/>
          <w:szCs w:val="24"/>
        </w:rPr>
        <w:t>Journal of Neurolinguistics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 56–70. </w:t>
      </w:r>
      <w:hyperlink r:id="rId5693" w:history="1">
        <w:r w:rsidRPr="0074138E">
          <w:rPr>
            <w:rFonts w:ascii="Times New Roman" w:eastAsia="Times New Roman" w:hAnsi="Times New Roman" w:cs="Times New Roman"/>
            <w:color w:val="0000FF"/>
            <w:sz w:val="24"/>
            <w:szCs w:val="24"/>
            <w:u w:val="single"/>
          </w:rPr>
          <w:t>https://doi.org/10.1016/j.jneuroling.2015.11.002</w:t>
        </w:r>
      </w:hyperlink>
    </w:p>
    <w:p w14:paraId="5F9CA64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Tallent, K. A., &amp; Gooding, D. C. (1999). Working memory and Wisconsin Card Sorting Test performance in schizotypic individuals: A replication and extension.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89</w:t>
      </w:r>
      <w:r w:rsidRPr="0074138E">
        <w:rPr>
          <w:rFonts w:ascii="Times New Roman" w:eastAsia="Times New Roman" w:hAnsi="Times New Roman" w:cs="Times New Roman"/>
          <w:sz w:val="24"/>
          <w:szCs w:val="24"/>
        </w:rPr>
        <w:t xml:space="preserve">(3), 161–170. </w:t>
      </w:r>
      <w:hyperlink r:id="rId5694" w:history="1">
        <w:r w:rsidRPr="0074138E">
          <w:rPr>
            <w:rFonts w:ascii="Times New Roman" w:eastAsia="Times New Roman" w:hAnsi="Times New Roman" w:cs="Times New Roman"/>
            <w:color w:val="0000FF"/>
            <w:sz w:val="24"/>
            <w:szCs w:val="24"/>
            <w:u w:val="single"/>
          </w:rPr>
          <w:t>https://doi.org/10.1016/S0165-1781(99)00101-8</w:t>
        </w:r>
      </w:hyperlink>
    </w:p>
    <w:p w14:paraId="17A4E3F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Talmi, D., Caplan, J. B., Richards, B., &amp; Moscovitch, M. (2015). Long-term recency in anterograde amnesia.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(6).</w:t>
      </w:r>
    </w:p>
    <w:p w14:paraId="2BC953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Talmi, D., Fuentemilla, L., Litvak, V., Duzel, E., &amp; Dolan, R. J. (2012). An MEG signature corresponding to an axiomatic model of reward prediction error. </w:t>
      </w:r>
      <w:r w:rsidRPr="0074138E">
        <w:rPr>
          <w:rFonts w:ascii="Times New Roman" w:eastAsia="Times New Roman" w:hAnsi="Times New Roman" w:cs="Times New Roman"/>
          <w:i/>
          <w:iCs/>
          <w:sz w:val="24"/>
          <w:szCs w:val="24"/>
        </w:rPr>
        <w:t>NeuroImage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(1), 635–645. </w:t>
      </w:r>
      <w:hyperlink r:id="rId5695" w:history="1">
        <w:r w:rsidRPr="0074138E">
          <w:rPr>
            <w:rFonts w:ascii="Times New Roman" w:eastAsia="Times New Roman" w:hAnsi="Times New Roman" w:cs="Times New Roman"/>
            <w:color w:val="0000FF"/>
            <w:sz w:val="24"/>
            <w:szCs w:val="24"/>
            <w:u w:val="single"/>
          </w:rPr>
          <w:t>https://doi.org/10.1016/j.neuroimage.2011.06.051</w:t>
        </w:r>
      </w:hyperlink>
    </w:p>
    <w:p w14:paraId="659D720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 A., Luedke, A. C., Walsh, J. J., Fernandez-Ruiz, J., &amp; Garcia, A. (2015). Effects of reaction time variability and age on brain activity during Stroop task performance. </w:t>
      </w:r>
      <w:r w:rsidRPr="0074138E">
        <w:rPr>
          <w:rFonts w:ascii="Times New Roman" w:eastAsia="Times New Roman" w:hAnsi="Times New Roman" w:cs="Times New Roman"/>
          <w:i/>
          <w:iCs/>
          <w:sz w:val="24"/>
          <w:szCs w:val="24"/>
        </w:rPr>
        <w:t>Brain Imaging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(3), 609–618. </w:t>
      </w:r>
      <w:hyperlink r:id="rId5696" w:history="1">
        <w:r w:rsidRPr="0074138E">
          <w:rPr>
            <w:rFonts w:ascii="Times New Roman" w:eastAsia="Times New Roman" w:hAnsi="Times New Roman" w:cs="Times New Roman"/>
            <w:color w:val="0000FF"/>
            <w:sz w:val="24"/>
            <w:szCs w:val="24"/>
            <w:u w:val="single"/>
          </w:rPr>
          <w:t>https://doi.org/10.1007/s11682-014-9323-y</w:t>
        </w:r>
      </w:hyperlink>
    </w:p>
    <w:p w14:paraId="642CCC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 W.-C. C., Sewell, K. W., &amp; Deng, H.-C. (1998). Information processing in schizophrenia and bipolar disorder: A discriminant analysis.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186</w:t>
      </w:r>
      <w:r w:rsidRPr="0074138E">
        <w:rPr>
          <w:rFonts w:ascii="Times New Roman" w:eastAsia="Times New Roman" w:hAnsi="Times New Roman" w:cs="Times New Roman"/>
          <w:sz w:val="24"/>
          <w:szCs w:val="24"/>
        </w:rPr>
        <w:t xml:space="preserve">(10), 597–603. </w:t>
      </w:r>
      <w:hyperlink r:id="rId5697" w:history="1">
        <w:r w:rsidRPr="0074138E">
          <w:rPr>
            <w:rFonts w:ascii="Times New Roman" w:eastAsia="Times New Roman" w:hAnsi="Times New Roman" w:cs="Times New Roman"/>
            <w:color w:val="0000FF"/>
            <w:sz w:val="24"/>
            <w:szCs w:val="24"/>
            <w:u w:val="single"/>
          </w:rPr>
          <w:t>https://doi.org/10.1097/00005053-199810000-00002</w:t>
        </w:r>
      </w:hyperlink>
    </w:p>
    <w:p w14:paraId="25A6FB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Tamburin, S., Maier, A., Schiff, S., Lauriola, M. F., Di Rosa, E., Zanette, G., &amp; Mapelli, D. (2014). Cognition and emotional decision-making in chronic low back pain: An ERPs study during Iowa gambling task.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w:t>
      </w:r>
    </w:p>
    <w:p w14:paraId="12062A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Tampi, R. R., &amp; Williamson, D. (2012). Psychotic depression in the elderly. In </w:t>
      </w:r>
      <w:r w:rsidRPr="0074138E">
        <w:rPr>
          <w:rFonts w:ascii="Times New Roman" w:eastAsia="Times New Roman" w:hAnsi="Times New Roman" w:cs="Times New Roman"/>
          <w:i/>
          <w:iCs/>
          <w:sz w:val="24"/>
          <w:szCs w:val="24"/>
        </w:rPr>
        <w:t>Depression in the elderly.</w:t>
      </w:r>
      <w:r w:rsidRPr="0074138E">
        <w:rPr>
          <w:rFonts w:ascii="Times New Roman" w:eastAsia="Times New Roman" w:hAnsi="Times New Roman" w:cs="Times New Roman"/>
          <w:sz w:val="24"/>
          <w:szCs w:val="24"/>
        </w:rPr>
        <w:t xml:space="preserve"> (pp. 103–114). Nova Science Publishers.</w:t>
      </w:r>
    </w:p>
    <w:p w14:paraId="11AB8C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 Y., Zou, Y., Qu, Y., &amp; Guo, X. (2002). Stability of commonly used measures in the Wisconsin Card Sorting Test. [Stability of commonly used measures in the Wisconsin Card Sorting Test.]. </w:t>
      </w:r>
      <w:r w:rsidRPr="0074138E">
        <w:rPr>
          <w:rFonts w:ascii="Times New Roman" w:eastAsia="Times New Roman" w:hAnsi="Times New Roman" w:cs="Times New Roman"/>
          <w:i/>
          <w:iCs/>
          <w:sz w:val="24"/>
          <w:szCs w:val="24"/>
        </w:rPr>
        <w:t>Chinese Mental Health Journal</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(12), 831–833.</w:t>
      </w:r>
    </w:p>
    <w:p w14:paraId="7D48D90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Tanabe, M. K., Whitaker, A. M., O’Callaghan, E. T., Murray, J., &amp; Houskamp, B. M. (2014). Intellectual ability as a predictor of performance on the Wisconsin Card-Sorting Test. </w:t>
      </w:r>
      <w:r w:rsidRPr="0074138E">
        <w:rPr>
          <w:rFonts w:ascii="Times New Roman" w:eastAsia="Times New Roman" w:hAnsi="Times New Roman" w:cs="Times New Roman"/>
          <w:i/>
          <w:iCs/>
          <w:sz w:val="24"/>
          <w:szCs w:val="24"/>
        </w:rPr>
        <w:t>Applied Neuropsychology: Child</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w:t>
      </w:r>
      <w:r w:rsidRPr="0074138E">
        <w:rPr>
          <w:rFonts w:ascii="Times New Roman" w:eastAsia="Times New Roman" w:hAnsi="Times New Roman" w:cs="Times New Roman"/>
          <w:sz w:val="24"/>
          <w:szCs w:val="24"/>
        </w:rPr>
        <w:t xml:space="preserve">(4), 275–283. </w:t>
      </w:r>
      <w:hyperlink r:id="rId5698" w:history="1">
        <w:r w:rsidRPr="0074138E">
          <w:rPr>
            <w:rFonts w:ascii="Times New Roman" w:eastAsia="Times New Roman" w:hAnsi="Times New Roman" w:cs="Times New Roman"/>
            <w:color w:val="0000FF"/>
            <w:sz w:val="24"/>
            <w:szCs w:val="24"/>
            <w:u w:val="single"/>
          </w:rPr>
          <w:t>https://doi.org/10.1080/21622965.2012.757700</w:t>
        </w:r>
      </w:hyperlink>
    </w:p>
    <w:p w14:paraId="6EBA9E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H., Arai, M., Harada, M., Hozumi, A., &amp; Hirata, K. (2012). Cognition and event-related potentials in adult-onset non-demented myotonic dystrophy type 1. </w:t>
      </w:r>
      <w:r w:rsidRPr="0074138E">
        <w:rPr>
          <w:rFonts w:ascii="Times New Roman" w:eastAsia="Times New Roman" w:hAnsi="Times New Roman" w:cs="Times New Roman"/>
          <w:i/>
          <w:iCs/>
          <w:sz w:val="24"/>
          <w:szCs w:val="24"/>
        </w:rPr>
        <w:t>Clinical Neurophysiology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123</w:t>
      </w:r>
      <w:r w:rsidRPr="0074138E">
        <w:rPr>
          <w:rFonts w:ascii="Times New Roman" w:eastAsia="Times New Roman" w:hAnsi="Times New Roman" w:cs="Times New Roman"/>
          <w:sz w:val="24"/>
          <w:szCs w:val="24"/>
        </w:rPr>
        <w:t xml:space="preserve">(2), 261–269. </w:t>
      </w:r>
      <w:hyperlink r:id="rId5699" w:history="1">
        <w:r w:rsidRPr="0074138E">
          <w:rPr>
            <w:rFonts w:ascii="Times New Roman" w:eastAsia="Times New Roman" w:hAnsi="Times New Roman" w:cs="Times New Roman"/>
            <w:color w:val="0000FF"/>
            <w:sz w:val="24"/>
            <w:szCs w:val="24"/>
            <w:u w:val="single"/>
          </w:rPr>
          <w:t>https://doi.org/10.1016/j.clinph.2011.06.012</w:t>
        </w:r>
      </w:hyperlink>
    </w:p>
    <w:p w14:paraId="0872014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K., Buckley, M. J., &amp; Mansouri, F. A. (2017). Functional division among prefrontal cortical areas in an analog of Wisconsin Card Sorting Test. In </w:t>
      </w:r>
      <w:r w:rsidRPr="0074138E">
        <w:rPr>
          <w:rFonts w:ascii="Times New Roman" w:eastAsia="Times New Roman" w:hAnsi="Times New Roman" w:cs="Times New Roman"/>
          <w:i/>
          <w:iCs/>
          <w:sz w:val="24"/>
          <w:szCs w:val="24"/>
        </w:rPr>
        <w:t>The prefrontal cortex as an executive, emotional, and social brain.</w:t>
      </w:r>
      <w:r w:rsidRPr="0074138E">
        <w:rPr>
          <w:rFonts w:ascii="Times New Roman" w:eastAsia="Times New Roman" w:hAnsi="Times New Roman" w:cs="Times New Roman"/>
          <w:sz w:val="24"/>
          <w:szCs w:val="24"/>
        </w:rPr>
        <w:t xml:space="preserve"> (pp. 17–38). Springer Science + Business Media. </w:t>
      </w:r>
      <w:hyperlink r:id="rId5700" w:history="1">
        <w:r w:rsidRPr="0074138E">
          <w:rPr>
            <w:rFonts w:ascii="Times New Roman" w:eastAsia="Times New Roman" w:hAnsi="Times New Roman" w:cs="Times New Roman"/>
            <w:color w:val="0000FF"/>
            <w:sz w:val="24"/>
            <w:szCs w:val="24"/>
            <w:u w:val="single"/>
          </w:rPr>
          <w:t>https://doi.org/10.1007/978-4-431-56508-6_2</w:t>
        </w:r>
      </w:hyperlink>
    </w:p>
    <w:p w14:paraId="18A842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K., de Quadros Jr., A. C., Santos, R. F., Stella, F., Gobbi, L. T. B., &amp; Gobbi, S. (2009). Benefits of physical exercise on executive functions in older people with Parkinson’s Disease.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69</w:t>
      </w:r>
      <w:r w:rsidRPr="0074138E">
        <w:rPr>
          <w:rFonts w:ascii="Times New Roman" w:eastAsia="Times New Roman" w:hAnsi="Times New Roman" w:cs="Times New Roman"/>
          <w:sz w:val="24"/>
          <w:szCs w:val="24"/>
        </w:rPr>
        <w:t xml:space="preserve">(2), 435–441. </w:t>
      </w:r>
      <w:hyperlink r:id="rId5701" w:history="1">
        <w:r w:rsidRPr="0074138E">
          <w:rPr>
            <w:rFonts w:ascii="Times New Roman" w:eastAsia="Times New Roman" w:hAnsi="Times New Roman" w:cs="Times New Roman"/>
            <w:color w:val="0000FF"/>
            <w:sz w:val="24"/>
            <w:szCs w:val="24"/>
            <w:u w:val="single"/>
          </w:rPr>
          <w:t>https://doi.org/10.1016/j.bandc.2008.09.008</w:t>
        </w:r>
      </w:hyperlink>
    </w:p>
    <w:p w14:paraId="0A05978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Y., Kato, M., Muramatsu, T., Saito, F., Sato, S., Matsuo, N., Shintaku, H., Okano, Y., Kondo, H., &amp; Nukazawa, T. (2007). Early initiation of L-dopa therapy enables stable development of executive function in tetrahydrobiopterin (BH4) deficiency. </w:t>
      </w:r>
      <w:r w:rsidRPr="0074138E">
        <w:rPr>
          <w:rFonts w:ascii="Times New Roman" w:eastAsia="Times New Roman" w:hAnsi="Times New Roman" w:cs="Times New Roman"/>
          <w:i/>
          <w:iCs/>
          <w:sz w:val="24"/>
          <w:szCs w:val="24"/>
        </w:rPr>
        <w:t>Developmental Medicine &amp; Child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49</w:t>
      </w:r>
      <w:r w:rsidRPr="0074138E">
        <w:rPr>
          <w:rFonts w:ascii="Times New Roman" w:eastAsia="Times New Roman" w:hAnsi="Times New Roman" w:cs="Times New Roman"/>
          <w:sz w:val="24"/>
          <w:szCs w:val="24"/>
        </w:rPr>
        <w:t xml:space="preserve">(5), 372–376. </w:t>
      </w:r>
      <w:hyperlink r:id="rId5702" w:history="1">
        <w:r w:rsidRPr="0074138E">
          <w:rPr>
            <w:rFonts w:ascii="Times New Roman" w:eastAsia="Times New Roman" w:hAnsi="Times New Roman" w:cs="Times New Roman"/>
            <w:color w:val="0000FF"/>
            <w:sz w:val="24"/>
            <w:szCs w:val="24"/>
            <w:u w:val="single"/>
          </w:rPr>
          <w:t>https://doi.org/10.1111/j.1469-8749.2007.00372.x</w:t>
        </w:r>
      </w:hyperlink>
    </w:p>
    <w:p w14:paraId="139348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Tanaka, Y., Obata, T., Sassa, T., Yoshitome, E., Asai, Y., Ikehira, H., Suhara, T., Okubo, Y., &amp; Nishikawa, T. (2006). Quantitative magnetic resonance spectroscopy of schizophrenia: Relationship between decreased N-acetylaspartate and frontal lobe dysfunction.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(3), 365–372. </w:t>
      </w:r>
      <w:hyperlink r:id="rId5703" w:history="1">
        <w:r w:rsidRPr="0074138E">
          <w:rPr>
            <w:rFonts w:ascii="Times New Roman" w:eastAsia="Times New Roman" w:hAnsi="Times New Roman" w:cs="Times New Roman"/>
            <w:color w:val="0000FF"/>
            <w:sz w:val="24"/>
            <w:szCs w:val="24"/>
            <w:u w:val="single"/>
          </w:rPr>
          <w:t>https://doi.org/10.1111/j.1440-1819.2006.01515.x</w:t>
        </w:r>
      </w:hyperlink>
    </w:p>
    <w:p w14:paraId="145AA96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Tandberg, M., Ueland, T., Sundet, K., Haahr, U., Joa, I., Johannessen, J. O., Larsen, T. K., Opjordsmoen, S., Rund, B. R., Røssberg, J. I., Simonsen, E., Vaglum, P., Melle, I., Friis, S., &amp; McGlashan, T. (2011). Neurocognition and occupational functioning in patients with first-episode psychosis: A 2-year follow-up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188</w:t>
      </w:r>
      <w:r w:rsidRPr="0074138E">
        <w:rPr>
          <w:rFonts w:ascii="Times New Roman" w:eastAsia="Times New Roman" w:hAnsi="Times New Roman" w:cs="Times New Roman"/>
          <w:sz w:val="24"/>
          <w:szCs w:val="24"/>
        </w:rPr>
        <w:t xml:space="preserve">(3), 334–342. </w:t>
      </w:r>
      <w:hyperlink r:id="rId5704" w:history="1">
        <w:r w:rsidRPr="0074138E">
          <w:rPr>
            <w:rFonts w:ascii="Times New Roman" w:eastAsia="Times New Roman" w:hAnsi="Times New Roman" w:cs="Times New Roman"/>
            <w:color w:val="0000FF"/>
            <w:sz w:val="24"/>
            <w:szCs w:val="24"/>
            <w:u w:val="single"/>
          </w:rPr>
          <w:t>https://doi.org/10.1016/j.psychres.2011.04.021</w:t>
        </w:r>
      </w:hyperlink>
    </w:p>
    <w:p w14:paraId="752151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Tandon, N., Bolo, N. R., Sanghavi, K., Mathew, I. T., Francis, A. N., Stanley, J. A., &amp; Keshavan, M. S. (2013). Brain metabolite alterations in young adults at familial high risk for schizophrenia using proton magnetic resonance spectroscopy.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148</w:t>
      </w:r>
      <w:r w:rsidRPr="0074138E">
        <w:rPr>
          <w:rFonts w:ascii="Times New Roman" w:eastAsia="Times New Roman" w:hAnsi="Times New Roman" w:cs="Times New Roman"/>
          <w:sz w:val="24"/>
          <w:szCs w:val="24"/>
        </w:rPr>
        <w:t xml:space="preserve">(1–3), 59–66. </w:t>
      </w:r>
      <w:hyperlink r:id="rId5705" w:history="1">
        <w:r w:rsidRPr="0074138E">
          <w:rPr>
            <w:rFonts w:ascii="Times New Roman" w:eastAsia="Times New Roman" w:hAnsi="Times New Roman" w:cs="Times New Roman"/>
            <w:color w:val="0000FF"/>
            <w:sz w:val="24"/>
            <w:szCs w:val="24"/>
            <w:u w:val="single"/>
          </w:rPr>
          <w:t>https://doi.org/10.1016/j.schres.2013.05.024</w:t>
        </w:r>
      </w:hyperlink>
    </w:p>
    <w:p w14:paraId="1A460B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Taner, Y. I., Erdogan Bakar, E., &amp; Oner, O. (2011). Impaired executive functions in paediatric obsessive‐compulsive disorder patients. </w:t>
      </w:r>
      <w:r w:rsidRPr="0074138E">
        <w:rPr>
          <w:rFonts w:ascii="Times New Roman" w:eastAsia="Times New Roman" w:hAnsi="Times New Roman" w:cs="Times New Roman"/>
          <w:i/>
          <w:iCs/>
          <w:sz w:val="24"/>
          <w:szCs w:val="24"/>
        </w:rPr>
        <w:t>Acta Neuropsychiatrica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(6), 272–281. </w:t>
      </w:r>
      <w:hyperlink r:id="rId5706" w:history="1">
        <w:r w:rsidRPr="0074138E">
          <w:rPr>
            <w:rFonts w:ascii="Times New Roman" w:eastAsia="Times New Roman" w:hAnsi="Times New Roman" w:cs="Times New Roman"/>
            <w:color w:val="0000FF"/>
            <w:sz w:val="24"/>
            <w:szCs w:val="24"/>
            <w:u w:val="single"/>
          </w:rPr>
          <w:t>https://doi.org/10.1111/j.1601-5215.2011.00562.x</w:t>
        </w:r>
      </w:hyperlink>
    </w:p>
    <w:p w14:paraId="0C33D7F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D. Y. Y., Liu, A. C. Y., Lui, S. S. Y., Lam, B. Y. H., Siu, B. W. M., Lee, T. M. C., &amp; Cheung, E. F. C. (2016). Facial emotion perception impairments in schizophrenia patients with comorbid antisocial personality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236</w:t>
      </w:r>
      <w:r w:rsidRPr="0074138E">
        <w:rPr>
          <w:rFonts w:ascii="Times New Roman" w:eastAsia="Times New Roman" w:hAnsi="Times New Roman" w:cs="Times New Roman"/>
          <w:sz w:val="24"/>
          <w:szCs w:val="24"/>
        </w:rPr>
        <w:t xml:space="preserve">, 22–27. </w:t>
      </w:r>
      <w:hyperlink r:id="rId5707" w:history="1">
        <w:r w:rsidRPr="0074138E">
          <w:rPr>
            <w:rFonts w:ascii="Times New Roman" w:eastAsia="Times New Roman" w:hAnsi="Times New Roman" w:cs="Times New Roman"/>
            <w:color w:val="0000FF"/>
            <w:sz w:val="24"/>
            <w:szCs w:val="24"/>
            <w:u w:val="single"/>
          </w:rPr>
          <w:t>https://doi.org/10.1016/j.psychres.2016.01.005</w:t>
        </w:r>
      </w:hyperlink>
    </w:p>
    <w:p w14:paraId="3BF1B80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J. Y.-M., Chang, W.-C., Hui, C. L.-M., Wong, G. H.-Y., Chan, S. K.-W., Lee, E. H.-M., Yeung, W.-S., Wong, C.-K., Tang, W.-N., Chan, W.-F., Pang, E. P.-F., Tso, S., Ng, R. M.-K., Hung, S.-F., Dunn, E. L.-W., Sham, P.-C., &amp; Chen, E. Y.-H. (2014). Prospective relationship between duration of untreated psychosis and 13-year clinical outcome: A first-episode psychosis study.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153</w:t>
      </w:r>
      <w:r w:rsidRPr="0074138E">
        <w:rPr>
          <w:rFonts w:ascii="Times New Roman" w:eastAsia="Times New Roman" w:hAnsi="Times New Roman" w:cs="Times New Roman"/>
          <w:sz w:val="24"/>
          <w:szCs w:val="24"/>
        </w:rPr>
        <w:t xml:space="preserve">(1–3), 1–8. </w:t>
      </w:r>
      <w:hyperlink r:id="rId5708" w:history="1">
        <w:r w:rsidRPr="0074138E">
          <w:rPr>
            <w:rFonts w:ascii="Times New Roman" w:eastAsia="Times New Roman" w:hAnsi="Times New Roman" w:cs="Times New Roman"/>
            <w:color w:val="0000FF"/>
            <w:sz w:val="24"/>
            <w:szCs w:val="24"/>
            <w:u w:val="single"/>
          </w:rPr>
          <w:t>https://doi.org/10.1016/j.schres.2014.01.022</w:t>
        </w:r>
      </w:hyperlink>
    </w:p>
    <w:p w14:paraId="432D204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L. S. C., Wong, G. H. Y., &amp; Chen, E. Y. H. (2016). Increased distractibility to own name in psychotic patients with ideas and delusions of reference. </w:t>
      </w:r>
      <w:r w:rsidRPr="0074138E">
        <w:rPr>
          <w:rFonts w:ascii="Times New Roman" w:eastAsia="Times New Roman" w:hAnsi="Times New Roman" w:cs="Times New Roman"/>
          <w:i/>
          <w:iCs/>
          <w:sz w:val="24"/>
          <w:szCs w:val="24"/>
        </w:rPr>
        <w:t>Cognitive Neuropsychiatry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(2), 107–115. </w:t>
      </w:r>
      <w:hyperlink r:id="rId5709" w:history="1">
        <w:r w:rsidRPr="0074138E">
          <w:rPr>
            <w:rFonts w:ascii="Times New Roman" w:eastAsia="Times New Roman" w:hAnsi="Times New Roman" w:cs="Times New Roman"/>
            <w:color w:val="0000FF"/>
            <w:sz w:val="24"/>
            <w:szCs w:val="24"/>
            <w:u w:val="single"/>
          </w:rPr>
          <w:t>https://doi.org/10.1080/13546805.2015.1137212</w:t>
        </w:r>
      </w:hyperlink>
    </w:p>
    <w:p w14:paraId="353C58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 W. K., Lau, C. G., Ungvari, G. S., Lin, S.-K., &amp; Lane, H.-Y. (2019). Recovery of cognitive functioning following abstinence from ketamine. </w:t>
      </w:r>
      <w:r w:rsidRPr="0074138E">
        <w:rPr>
          <w:rFonts w:ascii="Times New Roman" w:eastAsia="Times New Roman" w:hAnsi="Times New Roman" w:cs="Times New Roman"/>
          <w:i/>
          <w:iCs/>
          <w:sz w:val="24"/>
          <w:szCs w:val="24"/>
        </w:rPr>
        <w:t>Addictive Behaviors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99</w:t>
      </w:r>
      <w:r w:rsidRPr="0074138E">
        <w:rPr>
          <w:rFonts w:ascii="Times New Roman" w:eastAsia="Times New Roman" w:hAnsi="Times New Roman" w:cs="Times New Roman"/>
          <w:sz w:val="24"/>
          <w:szCs w:val="24"/>
        </w:rPr>
        <w:t xml:space="preserve">. </w:t>
      </w:r>
      <w:hyperlink r:id="rId5710" w:history="1">
        <w:r w:rsidRPr="0074138E">
          <w:rPr>
            <w:rFonts w:ascii="Times New Roman" w:eastAsia="Times New Roman" w:hAnsi="Times New Roman" w:cs="Times New Roman"/>
            <w:color w:val="0000FF"/>
            <w:sz w:val="24"/>
            <w:szCs w:val="24"/>
            <w:u w:val="single"/>
          </w:rPr>
          <w:t>https://doi.org/10.1016/j.addbeh.2019.106081</w:t>
        </w:r>
      </w:hyperlink>
    </w:p>
    <w:p w14:paraId="670E9C8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Tanguay, A. N., Davidson, P. S. R., Nuñez, K. V. G., &amp; Ferland, M. B. (2014). Cooking breakfast after a brain injury.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w:t>
      </w:r>
    </w:p>
    <w:p w14:paraId="369777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Tanner, J. J., Levy, S.-A., Schwab, N. A., Hizel, L. P., Nguyen, P. T., Okun, M. S., &amp; Price, C. C. (2017). Marked brain asymmetry with intact cognitive functioning in idiopathic Parkinson’s disease: A longitudinal analysis.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(3), 654–675. </w:t>
      </w:r>
      <w:hyperlink r:id="rId5711" w:history="1">
        <w:r w:rsidRPr="0074138E">
          <w:rPr>
            <w:rFonts w:ascii="Times New Roman" w:eastAsia="Times New Roman" w:hAnsi="Times New Roman" w:cs="Times New Roman"/>
            <w:color w:val="0000FF"/>
            <w:sz w:val="24"/>
            <w:szCs w:val="24"/>
            <w:u w:val="single"/>
          </w:rPr>
          <w:t>https://doi.org/10.1080/13854046.2016.1251973</w:t>
        </w:r>
      </w:hyperlink>
    </w:p>
    <w:p w14:paraId="6BD70E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Tantam, D. (2012). </w:t>
      </w:r>
      <w:r w:rsidRPr="0074138E">
        <w:rPr>
          <w:rFonts w:ascii="Times New Roman" w:eastAsia="Times New Roman" w:hAnsi="Times New Roman" w:cs="Times New Roman"/>
          <w:i/>
          <w:iCs/>
          <w:sz w:val="24"/>
          <w:szCs w:val="24"/>
        </w:rPr>
        <w:t>Autism spectrum disorders through the life span.</w:t>
      </w:r>
      <w:r w:rsidRPr="0074138E">
        <w:rPr>
          <w:rFonts w:ascii="Times New Roman" w:eastAsia="Times New Roman" w:hAnsi="Times New Roman" w:cs="Times New Roman"/>
          <w:sz w:val="24"/>
          <w:szCs w:val="24"/>
        </w:rPr>
        <w:t xml:space="preserve"> (pp. xxvi, 550). Jessica Kingsley Publishers.</w:t>
      </w:r>
    </w:p>
    <w:p w14:paraId="3445B92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Tarafder, S., &amp; Mukhopadhyay, P. (2018a). History taking, mental status examination and assessment. </w:t>
      </w:r>
      <w:r w:rsidRPr="0074138E">
        <w:rPr>
          <w:rFonts w:ascii="Times New Roman" w:eastAsia="Times New Roman" w:hAnsi="Times New Roman" w:cs="Times New Roman"/>
          <w:i/>
          <w:iCs/>
          <w:sz w:val="24"/>
          <w:szCs w:val="24"/>
        </w:rPr>
        <w:t>Obsessive Compulsive Disorder: A Neuropsychological Approach.</w:t>
      </w:r>
      <w:r w:rsidRPr="0074138E">
        <w:rPr>
          <w:rFonts w:ascii="Times New Roman" w:eastAsia="Times New Roman" w:hAnsi="Times New Roman" w:cs="Times New Roman"/>
          <w:sz w:val="24"/>
          <w:szCs w:val="24"/>
        </w:rPr>
        <w:t xml:space="preserve">, 62–85. </w:t>
      </w:r>
      <w:hyperlink r:id="rId5712" w:history="1">
        <w:r w:rsidRPr="0074138E">
          <w:rPr>
            <w:rFonts w:ascii="Times New Roman" w:eastAsia="Times New Roman" w:hAnsi="Times New Roman" w:cs="Times New Roman"/>
            <w:color w:val="0000FF"/>
            <w:sz w:val="24"/>
            <w:szCs w:val="24"/>
            <w:u w:val="single"/>
          </w:rPr>
          <w:t>https://doi.org/10.4135/9789353280765.n3</w:t>
        </w:r>
      </w:hyperlink>
    </w:p>
    <w:p w14:paraId="71DC79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Tarafder, S., &amp; Mukhopadhyay, P. (2018b). Obsessive personality traits, metacognitive beliefs and executive functions in patients with OCD. </w:t>
      </w:r>
      <w:r w:rsidRPr="0074138E">
        <w:rPr>
          <w:rFonts w:ascii="Times New Roman" w:eastAsia="Times New Roman" w:hAnsi="Times New Roman" w:cs="Times New Roman"/>
          <w:i/>
          <w:iCs/>
          <w:sz w:val="24"/>
          <w:szCs w:val="24"/>
        </w:rPr>
        <w:t>Obsessive Compulsive Disorder: A Neuropsychological Approach.</w:t>
      </w:r>
      <w:r w:rsidRPr="0074138E">
        <w:rPr>
          <w:rFonts w:ascii="Times New Roman" w:eastAsia="Times New Roman" w:hAnsi="Times New Roman" w:cs="Times New Roman"/>
          <w:sz w:val="24"/>
          <w:szCs w:val="24"/>
        </w:rPr>
        <w:t xml:space="preserve">, 108–144. </w:t>
      </w:r>
      <w:hyperlink r:id="rId5713" w:history="1">
        <w:r w:rsidRPr="0074138E">
          <w:rPr>
            <w:rFonts w:ascii="Times New Roman" w:eastAsia="Times New Roman" w:hAnsi="Times New Roman" w:cs="Times New Roman"/>
            <w:color w:val="0000FF"/>
            <w:sz w:val="24"/>
            <w:szCs w:val="24"/>
            <w:u w:val="single"/>
          </w:rPr>
          <w:t>https://doi.org/10.4135/9789353280765.n5</w:t>
        </w:r>
      </w:hyperlink>
    </w:p>
    <w:p w14:paraId="323DC5B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Tarafder, S., &amp; Mukhopadhyay, P. (2018c). Search for an endophenotypic model of obsessive compulsive disorder. </w:t>
      </w:r>
      <w:r w:rsidRPr="0074138E">
        <w:rPr>
          <w:rFonts w:ascii="Times New Roman" w:eastAsia="Times New Roman" w:hAnsi="Times New Roman" w:cs="Times New Roman"/>
          <w:i/>
          <w:iCs/>
          <w:sz w:val="24"/>
          <w:szCs w:val="24"/>
        </w:rPr>
        <w:t>Obsessive Compulsive Disorder: A Neuropsychological Approach.</w:t>
      </w:r>
      <w:r w:rsidRPr="0074138E">
        <w:rPr>
          <w:rFonts w:ascii="Times New Roman" w:eastAsia="Times New Roman" w:hAnsi="Times New Roman" w:cs="Times New Roman"/>
          <w:sz w:val="24"/>
          <w:szCs w:val="24"/>
        </w:rPr>
        <w:t xml:space="preserve">, 145–172. </w:t>
      </w:r>
      <w:hyperlink r:id="rId5714" w:history="1">
        <w:r w:rsidRPr="0074138E">
          <w:rPr>
            <w:rFonts w:ascii="Times New Roman" w:eastAsia="Times New Roman" w:hAnsi="Times New Roman" w:cs="Times New Roman"/>
            <w:color w:val="0000FF"/>
            <w:sz w:val="24"/>
            <w:szCs w:val="24"/>
            <w:u w:val="single"/>
          </w:rPr>
          <w:t>https://doi.org/10.4135/9789353280765.n6</w:t>
        </w:r>
      </w:hyperlink>
    </w:p>
    <w:p w14:paraId="06D626C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Tarbell, M. H., Henry, A. D., &amp; Coster, W. J. (2004). Psychometric properties of the Scorable Self-Care Evaluation. </w:t>
      </w:r>
      <w:r w:rsidRPr="0074138E">
        <w:rPr>
          <w:rFonts w:ascii="Times New Roman" w:eastAsia="Times New Roman" w:hAnsi="Times New Roman" w:cs="Times New Roman"/>
          <w:i/>
          <w:iCs/>
          <w:sz w:val="24"/>
          <w:szCs w:val="24"/>
        </w:rPr>
        <w:t>American Journal of Occupational 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(3), 324–332. </w:t>
      </w:r>
      <w:hyperlink r:id="rId5715" w:history="1">
        <w:r w:rsidRPr="0074138E">
          <w:rPr>
            <w:rFonts w:ascii="Times New Roman" w:eastAsia="Times New Roman" w:hAnsi="Times New Roman" w:cs="Times New Roman"/>
            <w:color w:val="0000FF"/>
            <w:sz w:val="24"/>
            <w:szCs w:val="24"/>
            <w:u w:val="single"/>
          </w:rPr>
          <w:t>https://doi.org/10.5014/ajot.58.3.324</w:t>
        </w:r>
      </w:hyperlink>
    </w:p>
    <w:p w14:paraId="609AE72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Tas, C., Brown, E. C., Aydemir, O., Brüne, M., &amp; Lysaker, P. H. (2014). Metacognition in psychosis: Comparison of schizophrenia with bipolar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219</w:t>
      </w:r>
      <w:r w:rsidRPr="0074138E">
        <w:rPr>
          <w:rFonts w:ascii="Times New Roman" w:eastAsia="Times New Roman" w:hAnsi="Times New Roman" w:cs="Times New Roman"/>
          <w:sz w:val="24"/>
          <w:szCs w:val="24"/>
        </w:rPr>
        <w:t xml:space="preserve">(3), 464–469. </w:t>
      </w:r>
      <w:hyperlink r:id="rId5716" w:history="1">
        <w:r w:rsidRPr="0074138E">
          <w:rPr>
            <w:rFonts w:ascii="Times New Roman" w:eastAsia="Times New Roman" w:hAnsi="Times New Roman" w:cs="Times New Roman"/>
            <w:color w:val="0000FF"/>
            <w:sz w:val="24"/>
            <w:szCs w:val="24"/>
            <w:u w:val="single"/>
          </w:rPr>
          <w:t>https://doi.org/10.1016/j.psychres.2014.06.040</w:t>
        </w:r>
      </w:hyperlink>
    </w:p>
    <w:p w14:paraId="31A29FD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Tas, C., Brown, E., Cubukcuoglu, Z., Aydemir, O., Danaci, A. E., &amp; Brüne, M. (2013). Towards an integrative approach to understanding quality of life in schizophrenia: The role of neurocognition, social cognition, and psychopathology. </w:t>
      </w:r>
      <w:r w:rsidRPr="0074138E">
        <w:rPr>
          <w:rFonts w:ascii="Times New Roman" w:eastAsia="Times New Roman" w:hAnsi="Times New Roman" w:cs="Times New Roman"/>
          <w:i/>
          <w:iCs/>
          <w:sz w:val="24"/>
          <w:szCs w:val="24"/>
        </w:rPr>
        <w:t>Comprehensive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 xml:space="preserve">(3), 262–268. </w:t>
      </w:r>
      <w:hyperlink r:id="rId5717" w:history="1">
        <w:r w:rsidRPr="0074138E">
          <w:rPr>
            <w:rFonts w:ascii="Times New Roman" w:eastAsia="Times New Roman" w:hAnsi="Times New Roman" w:cs="Times New Roman"/>
            <w:color w:val="0000FF"/>
            <w:sz w:val="24"/>
            <w:szCs w:val="24"/>
            <w:u w:val="single"/>
          </w:rPr>
          <w:t>https://doi.org/10.1016/j.comppsych.2012.08.001</w:t>
        </w:r>
      </w:hyperlink>
    </w:p>
    <w:p w14:paraId="46DB627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Tasdelen, B. I., Karakaya, E., &amp; Oztop, D. B. (2015). Effects of atomoxetine and osmotic release oral system-methylphenidate on executive functions in patients with combined type attention-deficit/hyperactivity disorder. </w:t>
      </w:r>
      <w:r w:rsidRPr="0074138E">
        <w:rPr>
          <w:rFonts w:ascii="Times New Roman" w:eastAsia="Times New Roman" w:hAnsi="Times New Roman" w:cs="Times New Roman"/>
          <w:i/>
          <w:iCs/>
          <w:sz w:val="24"/>
          <w:szCs w:val="24"/>
        </w:rPr>
        <w:t>Journal of Child and Adolescent 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(6), 494–500. </w:t>
      </w:r>
      <w:hyperlink r:id="rId5718" w:history="1">
        <w:r w:rsidRPr="0074138E">
          <w:rPr>
            <w:rFonts w:ascii="Times New Roman" w:eastAsia="Times New Roman" w:hAnsi="Times New Roman" w:cs="Times New Roman"/>
            <w:color w:val="0000FF"/>
            <w:sz w:val="24"/>
            <w:szCs w:val="24"/>
            <w:u w:val="single"/>
          </w:rPr>
          <w:t>https://doi.org/10.1089/cap.2014.0155</w:t>
        </w:r>
      </w:hyperlink>
    </w:p>
    <w:p w14:paraId="695E054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Tatay-Manteiga, A., Correa-Ghisays, P., Cauli, O., Kapczinski, F. P., Tabarés-Seisdedos, R., &amp; Balanzá-Martínez, V. (2018). Staging, neurocognition and social functioning in bipolar disorder. </w:t>
      </w:r>
      <w:r w:rsidRPr="0074138E">
        <w:rPr>
          <w:rFonts w:ascii="Times New Roman" w:eastAsia="Times New Roman" w:hAnsi="Times New Roman" w:cs="Times New Roman"/>
          <w:i/>
          <w:iCs/>
          <w:sz w:val="24"/>
          <w:szCs w:val="24"/>
        </w:rPr>
        <w:t>Frontiers in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 </w:t>
      </w:r>
      <w:hyperlink r:id="rId5719" w:history="1">
        <w:r w:rsidRPr="0074138E">
          <w:rPr>
            <w:rFonts w:ascii="Times New Roman" w:eastAsia="Times New Roman" w:hAnsi="Times New Roman" w:cs="Times New Roman"/>
            <w:color w:val="0000FF"/>
            <w:sz w:val="24"/>
            <w:szCs w:val="24"/>
            <w:u w:val="single"/>
          </w:rPr>
          <w:t>https://doi.org/10.3389/fpsyt.2018.00709</w:t>
        </w:r>
      </w:hyperlink>
    </w:p>
    <w:p w14:paraId="56FDC45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P. S., Freed, D. M., Bombardier, C. H., Harter, S. L., &amp; Brinkman, S. (1999). Traumatic brain injury: Influence of blood alcohol level on post-acute cognitive function.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(10), 767–784. </w:t>
      </w:r>
      <w:hyperlink r:id="rId5720" w:history="1">
        <w:r w:rsidRPr="0074138E">
          <w:rPr>
            <w:rFonts w:ascii="Times New Roman" w:eastAsia="Times New Roman" w:hAnsi="Times New Roman" w:cs="Times New Roman"/>
            <w:color w:val="0000FF"/>
            <w:sz w:val="24"/>
            <w:szCs w:val="24"/>
            <w:u w:val="single"/>
          </w:rPr>
          <w:t>https://doi.org/10.1080/026990599121160</w:t>
        </w:r>
      </w:hyperlink>
    </w:p>
    <w:p w14:paraId="6062435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R. L., Godbee, K., &amp; Sigmundsdottir, L. (2013). A systematic review of assessment tools for adults used in traumatic brain injury research and their relationship to the ICF. </w:t>
      </w:r>
      <w:r w:rsidRPr="0074138E">
        <w:rPr>
          <w:rFonts w:ascii="Times New Roman" w:eastAsia="Times New Roman" w:hAnsi="Times New Roman" w:cs="Times New Roman"/>
          <w:i/>
          <w:iCs/>
          <w:sz w:val="24"/>
          <w:szCs w:val="24"/>
        </w:rPr>
        <w:t>NeuroRehabilitation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(4), 729–750.</w:t>
      </w:r>
    </w:p>
    <w:p w14:paraId="34BEB6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R. L., Perdices, M., &amp; Maggiotto, S. (1998). Stability of the Wisconsin Card Sorting Test and the determination of reliability of change in scores. </w:t>
      </w:r>
      <w:r w:rsidRPr="0074138E">
        <w:rPr>
          <w:rFonts w:ascii="Times New Roman" w:eastAsia="Times New Roman" w:hAnsi="Times New Roman" w:cs="Times New Roman"/>
          <w:i/>
          <w:iCs/>
          <w:sz w:val="24"/>
          <w:szCs w:val="24"/>
        </w:rPr>
        <w:t>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348–357. </w:t>
      </w:r>
      <w:hyperlink r:id="rId5721" w:history="1">
        <w:r w:rsidRPr="0074138E">
          <w:rPr>
            <w:rFonts w:ascii="Times New Roman" w:eastAsia="Times New Roman" w:hAnsi="Times New Roman" w:cs="Times New Roman"/>
            <w:color w:val="0000FF"/>
            <w:sz w:val="24"/>
            <w:szCs w:val="24"/>
            <w:u w:val="single"/>
          </w:rPr>
          <w:t>https://doi.org/10.1076/clin.12.3.348.1988</w:t>
        </w:r>
      </w:hyperlink>
    </w:p>
    <w:p w14:paraId="1364835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 S. R., Mrnak‐Meyer, J., Shriver, C. L., Atkinson, J. H., Robinson, S. K., &amp; Brown, S. A. (2011). Predictors of treatment retention for substance‐dependent adults with co‐occurring depression. </w:t>
      </w:r>
      <w:r w:rsidRPr="0074138E">
        <w:rPr>
          <w:rFonts w:ascii="Times New Roman" w:eastAsia="Times New Roman" w:hAnsi="Times New Roman" w:cs="Times New Roman"/>
          <w:i/>
          <w:iCs/>
          <w:sz w:val="24"/>
          <w:szCs w:val="24"/>
        </w:rPr>
        <w:t>The American Journal on Addictions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357–365. </w:t>
      </w:r>
      <w:hyperlink r:id="rId5722" w:history="1">
        <w:r w:rsidRPr="0074138E">
          <w:rPr>
            <w:rFonts w:ascii="Times New Roman" w:eastAsia="Times New Roman" w:hAnsi="Times New Roman" w:cs="Times New Roman"/>
            <w:color w:val="0000FF"/>
            <w:sz w:val="24"/>
            <w:szCs w:val="24"/>
            <w:u w:val="single"/>
          </w:rPr>
          <w:t>https://doi.org/10.1111/j.1521-0391.2011.00137.x</w:t>
        </w:r>
      </w:hyperlink>
    </w:p>
    <w:p w14:paraId="120E57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Tateishi, H., Nishihara, M., Kawaguchi, A., Matsushima, J., Murakawa, T., Haraguchi, Y., Kunitake, Y., Maekawa, T., Kato, T. A., Asami, T., Mizoguchi, Y., &amp; Monji, A. (2019). Improvement of frontal lobe dysfunction and white matter integrity by rTMS in treatment-resistant depression. </w:t>
      </w:r>
      <w:r w:rsidRPr="0074138E">
        <w:rPr>
          <w:rFonts w:ascii="Times New Roman" w:eastAsia="Times New Roman" w:hAnsi="Times New Roman" w:cs="Times New Roman"/>
          <w:i/>
          <w:iCs/>
          <w:sz w:val="24"/>
          <w:szCs w:val="24"/>
        </w:rPr>
        <w:t>Neuropsychiatric Disease and Treatment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 </w:t>
      </w:r>
      <w:hyperlink r:id="rId5723" w:history="1">
        <w:r w:rsidRPr="0074138E">
          <w:rPr>
            <w:rFonts w:ascii="Times New Roman" w:eastAsia="Times New Roman" w:hAnsi="Times New Roman" w:cs="Times New Roman"/>
            <w:color w:val="0000FF"/>
            <w:sz w:val="24"/>
            <w:szCs w:val="24"/>
            <w:u w:val="single"/>
          </w:rPr>
          <w:t>https://doi.org/10.2147/NDT.S228501</w:t>
        </w:r>
      </w:hyperlink>
    </w:p>
    <w:p w14:paraId="4B454F0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Tatsuoka, C., Varadi, F., &amp; Jaeger, J. (2013). Latent partially ordered classification models and normal mixtures. </w:t>
      </w:r>
      <w:r w:rsidRPr="0074138E">
        <w:rPr>
          <w:rFonts w:ascii="Times New Roman" w:eastAsia="Times New Roman" w:hAnsi="Times New Roman" w:cs="Times New Roman"/>
          <w:i/>
          <w:iCs/>
          <w:sz w:val="24"/>
          <w:szCs w:val="24"/>
        </w:rPr>
        <w:t>Journal of Educational and Behavioral Statistics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(3), 267–294. </w:t>
      </w:r>
      <w:hyperlink r:id="rId5724" w:history="1">
        <w:r w:rsidRPr="0074138E">
          <w:rPr>
            <w:rFonts w:ascii="Times New Roman" w:eastAsia="Times New Roman" w:hAnsi="Times New Roman" w:cs="Times New Roman"/>
            <w:color w:val="0000FF"/>
            <w:sz w:val="24"/>
            <w:szCs w:val="24"/>
            <w:u w:val="single"/>
          </w:rPr>
          <w:t>https://doi.org/10.3102/1076998612458318</w:t>
        </w:r>
      </w:hyperlink>
    </w:p>
    <w:p w14:paraId="3CF488B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Tatsuzawa, Y., Yoshino, A., &amp; Nomura, S. (2010). A case of seizures induced by abstract reasoning.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(4), 552–554. </w:t>
      </w:r>
      <w:hyperlink r:id="rId5725" w:history="1">
        <w:r w:rsidRPr="0074138E">
          <w:rPr>
            <w:rFonts w:ascii="Times New Roman" w:eastAsia="Times New Roman" w:hAnsi="Times New Roman" w:cs="Times New Roman"/>
            <w:color w:val="0000FF"/>
            <w:sz w:val="24"/>
            <w:szCs w:val="24"/>
            <w:u w:val="single"/>
          </w:rPr>
          <w:t>https://doi.org/10.1016/j.yebeh.2010.01.020</w:t>
        </w:r>
      </w:hyperlink>
    </w:p>
    <w:p w14:paraId="0C2DCCE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Taura, M., Gama, A. P., Sousa, A. V. M., Noffs, M. H. S., Alonso, N. B., Yacubian, E. M., &amp; Guilhoto, L. M. (2020). Dysfunctional personality beliefs and executive performance in patients with juvenile myoclonic epilepsy.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105</w:t>
      </w:r>
      <w:r w:rsidRPr="0074138E">
        <w:rPr>
          <w:rFonts w:ascii="Times New Roman" w:eastAsia="Times New Roman" w:hAnsi="Times New Roman" w:cs="Times New Roman"/>
          <w:sz w:val="24"/>
          <w:szCs w:val="24"/>
        </w:rPr>
        <w:t xml:space="preserve">. </w:t>
      </w:r>
      <w:hyperlink r:id="rId5726" w:history="1">
        <w:r w:rsidRPr="0074138E">
          <w:rPr>
            <w:rFonts w:ascii="Times New Roman" w:eastAsia="Times New Roman" w:hAnsi="Times New Roman" w:cs="Times New Roman"/>
            <w:color w:val="0000FF"/>
            <w:sz w:val="24"/>
            <w:szCs w:val="24"/>
            <w:u w:val="single"/>
          </w:rPr>
          <w:t>https://doi.org/10.1016/j.yebeh.2020.106958</w:t>
        </w:r>
      </w:hyperlink>
    </w:p>
    <w:p w14:paraId="541A1C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Tavakolian, E., &amp; Abolghasemi, A. (2016). Effects of cognitive restructuring training on neurocognitive functions in opioid addicts. </w:t>
      </w:r>
      <w:r w:rsidRPr="0074138E">
        <w:rPr>
          <w:rFonts w:ascii="Times New Roman" w:eastAsia="Times New Roman" w:hAnsi="Times New Roman" w:cs="Times New Roman"/>
          <w:i/>
          <w:iCs/>
          <w:sz w:val="24"/>
          <w:szCs w:val="24"/>
        </w:rPr>
        <w:t>Archives of Psychiatry and Psychotherapy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(1), 14–21. </w:t>
      </w:r>
      <w:hyperlink r:id="rId5727" w:history="1">
        <w:r w:rsidRPr="0074138E">
          <w:rPr>
            <w:rFonts w:ascii="Times New Roman" w:eastAsia="Times New Roman" w:hAnsi="Times New Roman" w:cs="Times New Roman"/>
            <w:color w:val="0000FF"/>
            <w:sz w:val="24"/>
            <w:szCs w:val="24"/>
            <w:u w:val="single"/>
          </w:rPr>
          <w:t>https://doi.org/10.12740/APP/62157</w:t>
        </w:r>
      </w:hyperlink>
    </w:p>
    <w:p w14:paraId="08CBB8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&amp; Borgatti, R. (2010). Evidence for a link among cognition, language and emotion in cerebellar malformations.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(7), 907–918. </w:t>
      </w:r>
      <w:hyperlink r:id="rId5728" w:history="1">
        <w:r w:rsidRPr="0074138E">
          <w:rPr>
            <w:rFonts w:ascii="Times New Roman" w:eastAsia="Times New Roman" w:hAnsi="Times New Roman" w:cs="Times New Roman"/>
            <w:color w:val="0000FF"/>
            <w:sz w:val="24"/>
            <w:szCs w:val="24"/>
            <w:u w:val="single"/>
          </w:rPr>
          <w:t>https://doi.org/10.1016/j.cortex.2009.07.017</w:t>
        </w:r>
      </w:hyperlink>
    </w:p>
    <w:p w14:paraId="0A7785E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Fabbro, F., &amp; Borgatti, R. (2007). Language and social communication in children with cerebellar dysgenesis. </w:t>
      </w:r>
      <w:r w:rsidRPr="0074138E">
        <w:rPr>
          <w:rFonts w:ascii="Times New Roman" w:eastAsia="Times New Roman" w:hAnsi="Times New Roman" w:cs="Times New Roman"/>
          <w:i/>
          <w:iCs/>
          <w:sz w:val="24"/>
          <w:szCs w:val="24"/>
        </w:rPr>
        <w:t>Folia Phoniatrica et Logopaedica:International Journal of Phoniatrics, Speech Therapy and Communication Pathology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59</w:t>
      </w:r>
      <w:r w:rsidRPr="0074138E">
        <w:rPr>
          <w:rFonts w:ascii="Times New Roman" w:eastAsia="Times New Roman" w:hAnsi="Times New Roman" w:cs="Times New Roman"/>
          <w:sz w:val="24"/>
          <w:szCs w:val="24"/>
        </w:rPr>
        <w:t xml:space="preserve">(4), 201–209. </w:t>
      </w:r>
      <w:hyperlink r:id="rId5729" w:history="1">
        <w:r w:rsidRPr="0074138E">
          <w:rPr>
            <w:rFonts w:ascii="Times New Roman" w:eastAsia="Times New Roman" w:hAnsi="Times New Roman" w:cs="Times New Roman"/>
            <w:color w:val="0000FF"/>
            <w:sz w:val="24"/>
            <w:szCs w:val="24"/>
            <w:u w:val="single"/>
          </w:rPr>
          <w:t>https://doi.org/10.1159/000102932</w:t>
        </w:r>
      </w:hyperlink>
    </w:p>
    <w:p w14:paraId="2659DC3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Galbiati, S., Recla, M., Bardoni, A., Dominici, C., Pastore, V., &amp; Strazzer, S. (2014). Cognitive recovery after severe traumatic brain injury in children/adolescents and adults: Similar positive outcome but different underlying pathways?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(7), 900–905. </w:t>
      </w:r>
      <w:hyperlink r:id="rId5730" w:history="1">
        <w:r w:rsidRPr="0074138E">
          <w:rPr>
            <w:rFonts w:ascii="Times New Roman" w:eastAsia="Times New Roman" w:hAnsi="Times New Roman" w:cs="Times New Roman"/>
            <w:color w:val="0000FF"/>
            <w:sz w:val="24"/>
            <w:szCs w:val="24"/>
            <w:u w:val="single"/>
          </w:rPr>
          <w:t>https://doi.org/10.3109/02699052.2014.890742</w:t>
        </w:r>
      </w:hyperlink>
    </w:p>
    <w:p w14:paraId="606130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Tavano, A., Grasso, R., Gagliardi, C., Triulzi, F., Bresolin, N., Fabbro, F., &amp; Borgatti, R. (2007). Disorders of cognitive and affective development in cerebellar malformations.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130</w:t>
      </w:r>
      <w:r w:rsidRPr="0074138E">
        <w:rPr>
          <w:rFonts w:ascii="Times New Roman" w:eastAsia="Times New Roman" w:hAnsi="Times New Roman" w:cs="Times New Roman"/>
          <w:sz w:val="24"/>
          <w:szCs w:val="24"/>
        </w:rPr>
        <w:t xml:space="preserve">(10), 2646–2660. </w:t>
      </w:r>
      <w:hyperlink r:id="rId5731" w:history="1">
        <w:r w:rsidRPr="0074138E">
          <w:rPr>
            <w:rFonts w:ascii="Times New Roman" w:eastAsia="Times New Roman" w:hAnsi="Times New Roman" w:cs="Times New Roman"/>
            <w:color w:val="0000FF"/>
            <w:sz w:val="24"/>
            <w:szCs w:val="24"/>
            <w:u w:val="single"/>
          </w:rPr>
          <w:t>https://doi.org/10.1093/brain/awm201</w:t>
        </w:r>
      </w:hyperlink>
    </w:p>
    <w:p w14:paraId="0B97ED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B. P., Bruder, G. E., Stewart, J. W., McGrath, P. J., Halperin, J., Ehrlichman, H., &amp; Quitkin, F. M. (2006). Psychomotor Slowing as a Predictor of Fluoxetine Nonresponse in Depressed Outpatients.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163</w:t>
      </w:r>
      <w:r w:rsidRPr="0074138E">
        <w:rPr>
          <w:rFonts w:ascii="Times New Roman" w:eastAsia="Times New Roman" w:hAnsi="Times New Roman" w:cs="Times New Roman"/>
          <w:sz w:val="24"/>
          <w:szCs w:val="24"/>
        </w:rPr>
        <w:t xml:space="preserve">(1), 73–78. </w:t>
      </w:r>
      <w:hyperlink r:id="rId5732" w:history="1">
        <w:r w:rsidRPr="0074138E">
          <w:rPr>
            <w:rFonts w:ascii="Times New Roman" w:eastAsia="Times New Roman" w:hAnsi="Times New Roman" w:cs="Times New Roman"/>
            <w:color w:val="0000FF"/>
            <w:sz w:val="24"/>
            <w:szCs w:val="24"/>
            <w:u w:val="single"/>
          </w:rPr>
          <w:t>https://doi.org/10.1176/appi.ajp.163.1.73</w:t>
        </w:r>
      </w:hyperlink>
    </w:p>
    <w:p w14:paraId="5E7660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E. M., Murphy, A., Boyapati, V., Ersche, K. D., Flechais, R., Kuchibatla, S., McGonigle, J., Metastasio, A., Nestor, L., Orban, C., Passetti, F., Paterson, L., Smith, D., Suckling, J., Tait, R., Lingford-Hughes, A. R., Robbins, T. W., Nutt, D. J., Deakin, J. F. W., &amp; Elliott, R. (2016). Impulsivity in abstinent alcohol and polydrug dependence: A multidimensional approach. </w:t>
      </w:r>
      <w:r w:rsidRPr="0074138E">
        <w:rPr>
          <w:rFonts w:ascii="Times New Roman" w:eastAsia="Times New Roman" w:hAnsi="Times New Roman" w:cs="Times New Roman"/>
          <w:i/>
          <w:iCs/>
          <w:sz w:val="24"/>
          <w:szCs w:val="24"/>
        </w:rPr>
        <w:t>Psychopharmacology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233</w:t>
      </w:r>
      <w:r w:rsidRPr="0074138E">
        <w:rPr>
          <w:rFonts w:ascii="Times New Roman" w:eastAsia="Times New Roman" w:hAnsi="Times New Roman" w:cs="Times New Roman"/>
          <w:sz w:val="24"/>
          <w:szCs w:val="24"/>
        </w:rPr>
        <w:t xml:space="preserve">(8), 1487–1499. </w:t>
      </w:r>
      <w:hyperlink r:id="rId5733" w:history="1">
        <w:r w:rsidRPr="0074138E">
          <w:rPr>
            <w:rFonts w:ascii="Times New Roman" w:eastAsia="Times New Roman" w:hAnsi="Times New Roman" w:cs="Times New Roman"/>
            <w:color w:val="0000FF"/>
            <w:sz w:val="24"/>
            <w:szCs w:val="24"/>
            <w:u w:val="single"/>
          </w:rPr>
          <w:t>https://doi.org/10.1007/s00213-016-4245-6</w:t>
        </w:r>
      </w:hyperlink>
    </w:p>
    <w:p w14:paraId="7E6AD38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J. (2005). Substance Use Disorders and Cluster B Personality Disorders: Physiological, Cognitive, and Environmental Correlates in a College Sample. </w:t>
      </w:r>
      <w:r w:rsidRPr="0074138E">
        <w:rPr>
          <w:rFonts w:ascii="Times New Roman" w:eastAsia="Times New Roman" w:hAnsi="Times New Roman" w:cs="Times New Roman"/>
          <w:i/>
          <w:iCs/>
          <w:sz w:val="24"/>
          <w:szCs w:val="24"/>
        </w:rPr>
        <w:t>The American Journal of Drug and Alcohol Abuse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(3), 515–535. </w:t>
      </w:r>
      <w:hyperlink r:id="rId5734" w:history="1">
        <w:r w:rsidRPr="0074138E">
          <w:rPr>
            <w:rFonts w:ascii="Times New Roman" w:eastAsia="Times New Roman" w:hAnsi="Times New Roman" w:cs="Times New Roman"/>
            <w:color w:val="0000FF"/>
            <w:sz w:val="24"/>
            <w:szCs w:val="24"/>
            <w:u w:val="single"/>
          </w:rPr>
          <w:t>https://doi.org/10.1081/ADA-200068107</w:t>
        </w:r>
      </w:hyperlink>
    </w:p>
    <w:p w14:paraId="634104A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J. (2007). Heritability of Wisconsin Card Sorting Test (WCST) and Stroop Color-Word Test performance in normal individuals: Implications for the search for endophenotypes. </w:t>
      </w:r>
      <w:r w:rsidRPr="0074138E">
        <w:rPr>
          <w:rFonts w:ascii="Times New Roman" w:eastAsia="Times New Roman" w:hAnsi="Times New Roman" w:cs="Times New Roman"/>
          <w:i/>
          <w:iCs/>
          <w:sz w:val="24"/>
          <w:szCs w:val="24"/>
        </w:rPr>
        <w:t>Twin Research and Human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(6), 829–834. </w:t>
      </w:r>
      <w:hyperlink r:id="rId5735" w:history="1">
        <w:r w:rsidRPr="0074138E">
          <w:rPr>
            <w:rFonts w:ascii="Times New Roman" w:eastAsia="Times New Roman" w:hAnsi="Times New Roman" w:cs="Times New Roman"/>
            <w:color w:val="0000FF"/>
            <w:sz w:val="24"/>
            <w:szCs w:val="24"/>
            <w:u w:val="single"/>
          </w:rPr>
          <w:t>https://doi.org/10.1375/twin.10.6.829</w:t>
        </w:r>
      </w:hyperlink>
    </w:p>
    <w:p w14:paraId="505D7B2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J. E., James, L. M., Reeves, M. D., &amp; Bobadilla, L. (2006). The Florida State Twin Registry: Research aims and design. </w:t>
      </w:r>
      <w:r w:rsidRPr="0074138E">
        <w:rPr>
          <w:rFonts w:ascii="Times New Roman" w:eastAsia="Times New Roman" w:hAnsi="Times New Roman" w:cs="Times New Roman"/>
          <w:i/>
          <w:iCs/>
          <w:sz w:val="24"/>
          <w:szCs w:val="24"/>
        </w:rPr>
        <w:t>Twin Research and Human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 xml:space="preserve">(6), 958–962. </w:t>
      </w:r>
      <w:hyperlink r:id="rId5736" w:history="1">
        <w:r w:rsidRPr="0074138E">
          <w:rPr>
            <w:rFonts w:ascii="Times New Roman" w:eastAsia="Times New Roman" w:hAnsi="Times New Roman" w:cs="Times New Roman"/>
            <w:color w:val="0000FF"/>
            <w:sz w:val="24"/>
            <w:szCs w:val="24"/>
            <w:u w:val="single"/>
          </w:rPr>
          <w:t>https://doi.org/10.1375/twin.9.6.958</w:t>
        </w:r>
      </w:hyperlink>
    </w:p>
    <w:p w14:paraId="2D49546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K. J., Henson, R. N. A., &amp; Graham, K. S. (2007). Recognition memory for faces and scenes in amnesia: Dissociable roles of medial temporal lobe structures.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(11), 2428–2438. </w:t>
      </w:r>
      <w:hyperlink r:id="rId5737" w:history="1">
        <w:r w:rsidRPr="0074138E">
          <w:rPr>
            <w:rFonts w:ascii="Times New Roman" w:eastAsia="Times New Roman" w:hAnsi="Times New Roman" w:cs="Times New Roman"/>
            <w:color w:val="0000FF"/>
            <w:sz w:val="24"/>
            <w:szCs w:val="24"/>
            <w:u w:val="single"/>
          </w:rPr>
          <w:t>https://doi.org/10.1016/j.neuropsychologia.2007.04.004</w:t>
        </w:r>
      </w:hyperlink>
    </w:p>
    <w:p w14:paraId="71374B0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L. J., Brown, R. G., Tsermentseli, S., Al-Chalabi, A., Shaw, C. E., Ellis, C. M., Leigh, P. N., &amp; Goldstein, L. H. (2013). Is language impairment more common than executive dysfunction in amyotrophic lateral sclerosis? </w:t>
      </w:r>
      <w:r w:rsidRPr="0074138E">
        <w:rPr>
          <w:rFonts w:ascii="Times New Roman" w:eastAsia="Times New Roman" w:hAnsi="Times New Roman" w:cs="Times New Roman"/>
          <w:i/>
          <w:iCs/>
          <w:sz w:val="24"/>
          <w:szCs w:val="24"/>
        </w:rPr>
        <w:t>Journal of Neurology, Neurosurgery &amp;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84</w:t>
      </w:r>
      <w:r w:rsidRPr="0074138E">
        <w:rPr>
          <w:rFonts w:ascii="Times New Roman" w:eastAsia="Times New Roman" w:hAnsi="Times New Roman" w:cs="Times New Roman"/>
          <w:sz w:val="24"/>
          <w:szCs w:val="24"/>
        </w:rPr>
        <w:t xml:space="preserve">(5), 494–498. </w:t>
      </w:r>
      <w:hyperlink r:id="rId5738" w:history="1">
        <w:r w:rsidRPr="0074138E">
          <w:rPr>
            <w:rFonts w:ascii="Times New Roman" w:eastAsia="Times New Roman" w:hAnsi="Times New Roman" w:cs="Times New Roman"/>
            <w:color w:val="0000FF"/>
            <w:sz w:val="24"/>
            <w:szCs w:val="24"/>
            <w:u w:val="single"/>
          </w:rPr>
          <w:t>https://doi.org/10.1136/jnnp-2012-303526</w:t>
        </w:r>
      </w:hyperlink>
    </w:p>
    <w:p w14:paraId="71464F6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L. J., Maybery, M. T., &amp; Whitehouse, A. J. O. (2012). Do children with specific language impairment have a cognitive profile reminiscent of autism? A review of the literature. </w:t>
      </w:r>
      <w:r w:rsidRPr="0074138E">
        <w:rPr>
          <w:rFonts w:ascii="Times New Roman" w:eastAsia="Times New Roman" w:hAnsi="Times New Roman" w:cs="Times New Roman"/>
          <w:i/>
          <w:iCs/>
          <w:sz w:val="24"/>
          <w:szCs w:val="24"/>
        </w:rPr>
        <w:t>Journal of Autism and Developmental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42</w:t>
      </w:r>
      <w:r w:rsidRPr="0074138E">
        <w:rPr>
          <w:rFonts w:ascii="Times New Roman" w:eastAsia="Times New Roman" w:hAnsi="Times New Roman" w:cs="Times New Roman"/>
          <w:sz w:val="24"/>
          <w:szCs w:val="24"/>
        </w:rPr>
        <w:t xml:space="preserve">(10), 2067–2083. </w:t>
      </w:r>
      <w:hyperlink r:id="rId5739" w:history="1">
        <w:r w:rsidRPr="0074138E">
          <w:rPr>
            <w:rFonts w:ascii="Times New Roman" w:eastAsia="Times New Roman" w:hAnsi="Times New Roman" w:cs="Times New Roman"/>
            <w:color w:val="0000FF"/>
            <w:sz w:val="24"/>
            <w:szCs w:val="24"/>
            <w:u w:val="single"/>
          </w:rPr>
          <w:t>https://doi.org/10.1007/s10803-012-1456-5</w:t>
        </w:r>
      </w:hyperlink>
    </w:p>
    <w:p w14:paraId="316189B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S. (2011). Early versus late onset obsessive–compulsive disorder: Evidence for distinct subtypes. </w:t>
      </w:r>
      <w:r w:rsidRPr="0074138E">
        <w:rPr>
          <w:rFonts w:ascii="Times New Roman" w:eastAsia="Times New Roman" w:hAnsi="Times New Roman" w:cs="Times New Roman"/>
          <w:i/>
          <w:iCs/>
          <w:sz w:val="24"/>
          <w:szCs w:val="24"/>
        </w:rPr>
        <w:t>Clinical Psychology Review</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(7), 1083–1100. </w:t>
      </w:r>
      <w:hyperlink r:id="rId5740" w:history="1">
        <w:r w:rsidRPr="0074138E">
          <w:rPr>
            <w:rFonts w:ascii="Times New Roman" w:eastAsia="Times New Roman" w:hAnsi="Times New Roman" w:cs="Times New Roman"/>
            <w:color w:val="0000FF"/>
            <w:sz w:val="24"/>
            <w:szCs w:val="24"/>
            <w:u w:val="single"/>
          </w:rPr>
          <w:t>https://doi.org/10.1016/j.cpr.2011.06.007</w:t>
        </w:r>
      </w:hyperlink>
    </w:p>
    <w:p w14:paraId="05ED4D8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S. (2012). Endophenotypes of obsessive–compulsive disorder: Current status and future directions. </w:t>
      </w:r>
      <w:r w:rsidRPr="0074138E">
        <w:rPr>
          <w:rFonts w:ascii="Times New Roman" w:eastAsia="Times New Roman" w:hAnsi="Times New Roman" w:cs="Times New Roman"/>
          <w:i/>
          <w:iCs/>
          <w:sz w:val="24"/>
          <w:szCs w:val="24"/>
        </w:rPr>
        <w:t>Journal of Obsessive-Compulsive and Related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(4), 258–262. </w:t>
      </w:r>
      <w:hyperlink r:id="rId5741" w:history="1">
        <w:r w:rsidRPr="0074138E">
          <w:rPr>
            <w:rFonts w:ascii="Times New Roman" w:eastAsia="Times New Roman" w:hAnsi="Times New Roman" w:cs="Times New Roman"/>
            <w:color w:val="0000FF"/>
            <w:sz w:val="24"/>
            <w:szCs w:val="24"/>
            <w:u w:val="single"/>
          </w:rPr>
          <w:t>https://doi.org/10.1016/j.jocrd.2012.06.004</w:t>
        </w:r>
      </w:hyperlink>
    </w:p>
    <w:p w14:paraId="7BC5282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S. J., Barker, L. A., Heavey, L., &amp; McHale, S. (2015). The longitudinal development of social and executive functions in late adolescence and early adulthood. </w:t>
      </w:r>
      <w:r w:rsidRPr="0074138E">
        <w:rPr>
          <w:rFonts w:ascii="Times New Roman" w:eastAsia="Times New Roman" w:hAnsi="Times New Roman" w:cs="Times New Roman"/>
          <w:i/>
          <w:iCs/>
          <w:sz w:val="24"/>
          <w:szCs w:val="24"/>
        </w:rPr>
        <w:t>Frontiers in Behavioral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w:t>
      </w:r>
      <w:r w:rsidRPr="0074138E">
        <w:rPr>
          <w:rFonts w:ascii="Times New Roman" w:eastAsia="Times New Roman" w:hAnsi="Times New Roman" w:cs="Times New Roman"/>
          <w:sz w:val="24"/>
          <w:szCs w:val="24"/>
        </w:rPr>
        <w:t>.</w:t>
      </w:r>
    </w:p>
    <w:p w14:paraId="55A1A1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Taylor, W. D., Aizenstein, H. J., &amp; Alexopoulos, G. S. (2013). The vascular depression hypothesis: Mechanisms linking vascular disease with depression. </w:t>
      </w:r>
      <w:r w:rsidRPr="0074138E">
        <w:rPr>
          <w:rFonts w:ascii="Times New Roman" w:eastAsia="Times New Roman" w:hAnsi="Times New Roman" w:cs="Times New Roman"/>
          <w:i/>
          <w:iCs/>
          <w:sz w:val="24"/>
          <w:szCs w:val="24"/>
        </w:rPr>
        <w:t>Molecular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(9), 963–974. </w:t>
      </w:r>
      <w:hyperlink r:id="rId5742" w:history="1">
        <w:r w:rsidRPr="0074138E">
          <w:rPr>
            <w:rFonts w:ascii="Times New Roman" w:eastAsia="Times New Roman" w:hAnsi="Times New Roman" w:cs="Times New Roman"/>
            <w:color w:val="0000FF"/>
            <w:sz w:val="24"/>
            <w:szCs w:val="24"/>
            <w:u w:val="single"/>
          </w:rPr>
          <w:t>https://doi.org/10.1038/mp.2013.20</w:t>
        </w:r>
      </w:hyperlink>
    </w:p>
    <w:p w14:paraId="34C177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Tchanturia, K., Davies, H., Roberts, M., Harrison, A., Nakazato, M., Schmidt, U., Treasure, J., &amp; Morris, R. (2012). Poor cognitive flexibility in eating disorders: Examining the evidence using the Wisconsin Card Sorting Task.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w:t>
      </w:r>
      <w:r w:rsidRPr="0074138E">
        <w:rPr>
          <w:rFonts w:ascii="Times New Roman" w:eastAsia="Times New Roman" w:hAnsi="Times New Roman" w:cs="Times New Roman"/>
          <w:sz w:val="24"/>
          <w:szCs w:val="24"/>
        </w:rPr>
        <w:t xml:space="preserve">(1). </w:t>
      </w:r>
      <w:hyperlink r:id="rId5743" w:history="1">
        <w:r w:rsidRPr="0074138E">
          <w:rPr>
            <w:rFonts w:ascii="Times New Roman" w:eastAsia="Times New Roman" w:hAnsi="Times New Roman" w:cs="Times New Roman"/>
            <w:color w:val="0000FF"/>
            <w:sz w:val="24"/>
            <w:szCs w:val="24"/>
            <w:u w:val="single"/>
          </w:rPr>
          <w:t>https://doi.org/10.1371/journal.pone.0028331</w:t>
        </w:r>
      </w:hyperlink>
    </w:p>
    <w:p w14:paraId="7D131CB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Tchanturia, K., &amp; Lang, K. (2015). Cognitive profiles in adults and children with anorexia nervosa and how they have informed us in developing CRT for anorexia nervosa. In </w:t>
      </w:r>
      <w:r w:rsidRPr="0074138E">
        <w:rPr>
          <w:rFonts w:ascii="Times New Roman" w:eastAsia="Times New Roman" w:hAnsi="Times New Roman" w:cs="Times New Roman"/>
          <w:i/>
          <w:iCs/>
          <w:sz w:val="24"/>
          <w:szCs w:val="24"/>
        </w:rPr>
        <w:t>Cognitive remediation therapy (CRT) for eating and weight disorders.</w:t>
      </w:r>
      <w:r w:rsidRPr="0074138E">
        <w:rPr>
          <w:rFonts w:ascii="Times New Roman" w:eastAsia="Times New Roman" w:hAnsi="Times New Roman" w:cs="Times New Roman"/>
          <w:sz w:val="24"/>
          <w:szCs w:val="24"/>
        </w:rPr>
        <w:t xml:space="preserve"> (pp. 1–13). Routledge/Taylor &amp; Francis Group.</w:t>
      </w:r>
    </w:p>
    <w:p w14:paraId="61411B1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Tedesco, A. M., Bianchini, F., Piccardi, L., Clausi, S., Berthoz, A., Molinari, M., Guariglia, C., &amp; Leggio, M. (2017). Does the cerebellum contribute to human navigation by processing sequential information?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(5), 564–574. </w:t>
      </w:r>
      <w:hyperlink r:id="rId5744" w:history="1">
        <w:r w:rsidRPr="0074138E">
          <w:rPr>
            <w:rFonts w:ascii="Times New Roman" w:eastAsia="Times New Roman" w:hAnsi="Times New Roman" w:cs="Times New Roman"/>
            <w:color w:val="0000FF"/>
            <w:sz w:val="24"/>
            <w:szCs w:val="24"/>
            <w:u w:val="single"/>
          </w:rPr>
          <w:t>https://doi.org/10.1037/neu0000354</w:t>
        </w:r>
      </w:hyperlink>
    </w:p>
    <w:p w14:paraId="19B99C1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 H., Soma, Y., &amp; Iwata, M. (1995). Korsakoff’s syndrome as the first clinical manifestation of acute disseminated encephalomyelitis. </w:t>
      </w:r>
      <w:r w:rsidRPr="0074138E">
        <w:rPr>
          <w:rFonts w:ascii="Times New Roman" w:eastAsia="Times New Roman" w:hAnsi="Times New Roman" w:cs="Times New Roman"/>
          <w:i/>
          <w:iCs/>
          <w:sz w:val="24"/>
          <w:szCs w:val="24"/>
        </w:rPr>
        <w:t>Behavioural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w:t>
      </w:r>
      <w:r w:rsidRPr="0074138E">
        <w:rPr>
          <w:rFonts w:ascii="Times New Roman" w:eastAsia="Times New Roman" w:hAnsi="Times New Roman" w:cs="Times New Roman"/>
          <w:sz w:val="24"/>
          <w:szCs w:val="24"/>
        </w:rPr>
        <w:t>(3–4), 181–185.</w:t>
      </w:r>
    </w:p>
    <w:p w14:paraId="00A5406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 S., Kauppi, J.-P., Jankowski, K. F., Fujino, J., Monti, R. P., Tohka, J., Abe, N., Murai, T., Takahashi, H., &amp; Hari, R. (2020). Brain and behavioral alterations in subjects with social anxiety dominated by empathic embarrassment. </w:t>
      </w:r>
      <w:r w:rsidRPr="0074138E">
        <w:rPr>
          <w:rFonts w:ascii="Times New Roman" w:eastAsia="Times New Roman" w:hAnsi="Times New Roman" w:cs="Times New Roman"/>
          <w:i/>
          <w:iCs/>
          <w:sz w:val="24"/>
          <w:szCs w:val="24"/>
        </w:rPr>
        <w:t>PNAS Proceedings of the National Academy of Sciences of the United States of America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117</w:t>
      </w:r>
      <w:r w:rsidRPr="0074138E">
        <w:rPr>
          <w:rFonts w:ascii="Times New Roman" w:eastAsia="Times New Roman" w:hAnsi="Times New Roman" w:cs="Times New Roman"/>
          <w:sz w:val="24"/>
          <w:szCs w:val="24"/>
        </w:rPr>
        <w:t xml:space="preserve">(8), 4385–4391. </w:t>
      </w:r>
      <w:hyperlink r:id="rId5745" w:history="1">
        <w:r w:rsidRPr="0074138E">
          <w:rPr>
            <w:rFonts w:ascii="Times New Roman" w:eastAsia="Times New Roman" w:hAnsi="Times New Roman" w:cs="Times New Roman"/>
            <w:color w:val="0000FF"/>
            <w:sz w:val="24"/>
            <w:szCs w:val="24"/>
            <w:u w:val="single"/>
          </w:rPr>
          <w:t>https://doi.org/10.1073/pnas.1918081117</w:t>
        </w:r>
      </w:hyperlink>
    </w:p>
    <w:p w14:paraId="5EA445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Teichner, G., &amp; Wagner, M. T. (2004). The Test of Memory Malingering (TOMM): Normative data from cognitively intact, cognitively impaired, and elderly patients with dementia.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(3), 455–464. </w:t>
      </w:r>
      <w:hyperlink r:id="rId5746" w:history="1">
        <w:r w:rsidRPr="0074138E">
          <w:rPr>
            <w:rFonts w:ascii="Times New Roman" w:eastAsia="Times New Roman" w:hAnsi="Times New Roman" w:cs="Times New Roman"/>
            <w:color w:val="0000FF"/>
            <w:sz w:val="24"/>
            <w:szCs w:val="24"/>
            <w:u w:val="single"/>
          </w:rPr>
          <w:t>https://doi.org/10.1016/S0887-6177(03)00078-7</w:t>
        </w:r>
      </w:hyperlink>
    </w:p>
    <w:p w14:paraId="5EFAB05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Teigset, C. M., Mohn, C., &amp; Rund, B. R. (2020). Perinatal complications and executive dysfunction in early-onset schizophrenia.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 </w:t>
      </w:r>
      <w:hyperlink r:id="rId5747" w:history="1">
        <w:r w:rsidRPr="0074138E">
          <w:rPr>
            <w:rFonts w:ascii="Times New Roman" w:eastAsia="Times New Roman" w:hAnsi="Times New Roman" w:cs="Times New Roman"/>
            <w:color w:val="0000FF"/>
            <w:sz w:val="24"/>
            <w:szCs w:val="24"/>
            <w:u w:val="single"/>
          </w:rPr>
          <w:t>https://doi.org/10.1186/s12888-020-02517-z</w:t>
        </w:r>
      </w:hyperlink>
    </w:p>
    <w:p w14:paraId="524BAE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Telecka, S. (2013). Vascular dementia. In </w:t>
      </w:r>
      <w:r w:rsidRPr="0074138E">
        <w:rPr>
          <w:rFonts w:ascii="Times New Roman" w:eastAsia="Times New Roman" w:hAnsi="Times New Roman" w:cs="Times New Roman"/>
          <w:i/>
          <w:iCs/>
          <w:sz w:val="24"/>
          <w:szCs w:val="24"/>
        </w:rPr>
        <w:t>Cognitive deficit in mental and neurological disorders.</w:t>
      </w:r>
      <w:r w:rsidRPr="0074138E">
        <w:rPr>
          <w:rFonts w:ascii="Times New Roman" w:eastAsia="Times New Roman" w:hAnsi="Times New Roman" w:cs="Times New Roman"/>
          <w:sz w:val="24"/>
          <w:szCs w:val="24"/>
        </w:rPr>
        <w:t xml:space="preserve"> (pp. 395–413). Nova Science Publishers.</w:t>
      </w:r>
    </w:p>
    <w:p w14:paraId="3C782D9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Tempesta, D., Mazza, M., Serroni, N., Moschetta, F. S., Di Giannantonio, M., Ferrara, M., &amp; De Berardis, D. (2013). Neuropsychological functioning in young subjects with generalized anxiety disorder with and without pharmacotherapy. </w:t>
      </w:r>
      <w:r w:rsidRPr="0074138E">
        <w:rPr>
          <w:rFonts w:ascii="Times New Roman" w:eastAsia="Times New Roman" w:hAnsi="Times New Roman" w:cs="Times New Roman"/>
          <w:i/>
          <w:iCs/>
          <w:sz w:val="24"/>
          <w:szCs w:val="24"/>
        </w:rPr>
        <w:t>Progress in Neuro-Psychopharmacology &amp; 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 236–241. </w:t>
      </w:r>
      <w:hyperlink r:id="rId5748" w:history="1">
        <w:r w:rsidRPr="0074138E">
          <w:rPr>
            <w:rFonts w:ascii="Times New Roman" w:eastAsia="Times New Roman" w:hAnsi="Times New Roman" w:cs="Times New Roman"/>
            <w:color w:val="0000FF"/>
            <w:sz w:val="24"/>
            <w:szCs w:val="24"/>
            <w:u w:val="single"/>
          </w:rPr>
          <w:t>https://doi.org/10.1016/j.pnpbp.2013.06.006</w:t>
        </w:r>
      </w:hyperlink>
    </w:p>
    <w:p w14:paraId="6979A3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C. M., Carney, R. A., &amp; Mullarkey, S. (1996). Frontal lobe function and executive skills in children with Turner’s syndrome. </w:t>
      </w:r>
      <w:r w:rsidRPr="0074138E">
        <w:rPr>
          <w:rFonts w:ascii="Times New Roman" w:eastAsia="Times New Roman" w:hAnsi="Times New Roman" w:cs="Times New Roman"/>
          <w:i/>
          <w:iCs/>
          <w:sz w:val="24"/>
          <w:szCs w:val="24"/>
        </w:rPr>
        <w:t>Developmental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12</w:t>
      </w:r>
      <w:r w:rsidRPr="0074138E">
        <w:rPr>
          <w:rFonts w:ascii="Times New Roman" w:eastAsia="Times New Roman" w:hAnsi="Times New Roman" w:cs="Times New Roman"/>
          <w:sz w:val="24"/>
          <w:szCs w:val="24"/>
        </w:rPr>
        <w:t xml:space="preserve">(3), 343–363. </w:t>
      </w:r>
      <w:hyperlink r:id="rId5749" w:history="1">
        <w:r w:rsidRPr="0074138E">
          <w:rPr>
            <w:rFonts w:ascii="Times New Roman" w:eastAsia="Times New Roman" w:hAnsi="Times New Roman" w:cs="Times New Roman"/>
            <w:color w:val="0000FF"/>
            <w:sz w:val="24"/>
            <w:szCs w:val="24"/>
            <w:u w:val="single"/>
          </w:rPr>
          <w:t>https://doi.org/10.1080/87565649609540657</w:t>
        </w:r>
      </w:hyperlink>
    </w:p>
    <w:p w14:paraId="7A71994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C. M., &amp; Sanfilippo, P. M. (2003). Executive skills in Klinefelter’s syndrome.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41</w:t>
      </w:r>
      <w:r w:rsidRPr="0074138E">
        <w:rPr>
          <w:rFonts w:ascii="Times New Roman" w:eastAsia="Times New Roman" w:hAnsi="Times New Roman" w:cs="Times New Roman"/>
          <w:sz w:val="24"/>
          <w:szCs w:val="24"/>
        </w:rPr>
        <w:t xml:space="preserve">(11), 1547–1559. </w:t>
      </w:r>
      <w:hyperlink r:id="rId5750" w:history="1">
        <w:r w:rsidRPr="0074138E">
          <w:rPr>
            <w:rFonts w:ascii="Times New Roman" w:eastAsia="Times New Roman" w:hAnsi="Times New Roman" w:cs="Times New Roman"/>
            <w:color w:val="0000FF"/>
            <w:sz w:val="24"/>
            <w:szCs w:val="24"/>
            <w:u w:val="single"/>
          </w:rPr>
          <w:t>https://doi.org/10.1016/S0028-3932(03)00061-7</w:t>
        </w:r>
      </w:hyperlink>
    </w:p>
    <w:p w14:paraId="7311BA9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R. O., Davis, J. D., Silverman, I., &amp; Tremont, G. (2006). Differential impact of executive function on visual memory tasks.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480–490. </w:t>
      </w:r>
      <w:hyperlink r:id="rId5751" w:history="1">
        <w:r w:rsidRPr="0074138E">
          <w:rPr>
            <w:rFonts w:ascii="Times New Roman" w:eastAsia="Times New Roman" w:hAnsi="Times New Roman" w:cs="Times New Roman"/>
            <w:color w:val="0000FF"/>
            <w:sz w:val="24"/>
            <w:szCs w:val="24"/>
            <w:u w:val="single"/>
          </w:rPr>
          <w:t>https://doi.org/10.1080/13854040590967540</w:t>
        </w:r>
      </w:hyperlink>
    </w:p>
    <w:p w14:paraId="0A301A7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Temple, R. O., Horner, M. D., &amp; Taylor, R. M. (2004). Brief Report: Relationship of MMPI-2 anxiety and defensiveness to neuropsychological test performance and psychotropic medication use. </w:t>
      </w:r>
      <w:r w:rsidRPr="0074138E">
        <w:rPr>
          <w:rFonts w:ascii="Times New Roman" w:eastAsia="Times New Roman" w:hAnsi="Times New Roman" w:cs="Times New Roman"/>
          <w:i/>
          <w:iCs/>
          <w:sz w:val="24"/>
          <w:szCs w:val="24"/>
        </w:rPr>
        <w:t>Cognition and Emotion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w:t>
      </w:r>
      <w:r w:rsidRPr="0074138E">
        <w:rPr>
          <w:rFonts w:ascii="Times New Roman" w:eastAsia="Times New Roman" w:hAnsi="Times New Roman" w:cs="Times New Roman"/>
          <w:sz w:val="24"/>
          <w:szCs w:val="24"/>
        </w:rPr>
        <w:t xml:space="preserve">(7), 989–998. </w:t>
      </w:r>
      <w:hyperlink r:id="rId5752" w:history="1">
        <w:r w:rsidRPr="0074138E">
          <w:rPr>
            <w:rFonts w:ascii="Times New Roman" w:eastAsia="Times New Roman" w:hAnsi="Times New Roman" w:cs="Times New Roman"/>
            <w:color w:val="0000FF"/>
            <w:sz w:val="24"/>
            <w:szCs w:val="24"/>
            <w:u w:val="single"/>
          </w:rPr>
          <w:t>https://doi.org/10.1080/02699930341000012</w:t>
        </w:r>
      </w:hyperlink>
    </w:p>
    <w:p w14:paraId="7274C29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Tenconi, E., Degortes, D., Clementi, M., Collantoni, E., Pinato, C., Forzan, M., Cassina, M., Santonastaso, P., &amp; Favaro, A. (2016). Clinical and genetic correlates of decision making in anorexia nervosa.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(3), 327–337. </w:t>
      </w:r>
      <w:hyperlink r:id="rId5753" w:history="1">
        <w:r w:rsidRPr="0074138E">
          <w:rPr>
            <w:rFonts w:ascii="Times New Roman" w:eastAsia="Times New Roman" w:hAnsi="Times New Roman" w:cs="Times New Roman"/>
            <w:color w:val="0000FF"/>
            <w:sz w:val="24"/>
            <w:szCs w:val="24"/>
            <w:u w:val="single"/>
          </w:rPr>
          <w:t>https://doi.org/10.1080/13803395.2015.1112878</w:t>
        </w:r>
      </w:hyperlink>
    </w:p>
    <w:p w14:paraId="045AEA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Tenconi, F., Dieci, M., Ferri, S., Bettinardi, V., Righini, A., Bettinelli, A., De Peri, L., Vita, A., &amp; Invernizzi, G. (1999). Neuropsychological performance and brain morphology in sib-pairs discordant for schizophrenia. </w:t>
      </w:r>
      <w:r w:rsidRPr="0074138E">
        <w:rPr>
          <w:rFonts w:ascii="Times New Roman" w:eastAsia="Times New Roman" w:hAnsi="Times New Roman" w:cs="Times New Roman"/>
          <w:i/>
          <w:iCs/>
          <w:sz w:val="24"/>
          <w:szCs w:val="24"/>
        </w:rPr>
        <w:t>New Trends in Experimental &amp;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(4), 215–219.</w:t>
      </w:r>
    </w:p>
    <w:p w14:paraId="2EDE9A6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Tendolkar, I., Ruhrmann, S., Brockhaus-Dumke, A., Pauli, M., Mueller, R., Pukrop, R., &amp; Klosterkötter, J. (2005). Neural correlates of visuo-spatial attention during an antisaccade task in schizophrenia: An ERP study. </w:t>
      </w:r>
      <w:r w:rsidRPr="0074138E">
        <w:rPr>
          <w:rFonts w:ascii="Times New Roman" w:eastAsia="Times New Roman" w:hAnsi="Times New Roman" w:cs="Times New Roman"/>
          <w:i/>
          <w:iCs/>
          <w:sz w:val="24"/>
          <w:szCs w:val="24"/>
        </w:rPr>
        <w:t>International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115</w:t>
      </w:r>
      <w:r w:rsidRPr="0074138E">
        <w:rPr>
          <w:rFonts w:ascii="Times New Roman" w:eastAsia="Times New Roman" w:hAnsi="Times New Roman" w:cs="Times New Roman"/>
          <w:sz w:val="24"/>
          <w:szCs w:val="24"/>
        </w:rPr>
        <w:t xml:space="preserve">(5), 681–698. </w:t>
      </w:r>
      <w:hyperlink r:id="rId5754" w:history="1">
        <w:r w:rsidRPr="0074138E">
          <w:rPr>
            <w:rFonts w:ascii="Times New Roman" w:eastAsia="Times New Roman" w:hAnsi="Times New Roman" w:cs="Times New Roman"/>
            <w:color w:val="0000FF"/>
            <w:sz w:val="24"/>
            <w:szCs w:val="24"/>
            <w:u w:val="single"/>
          </w:rPr>
          <w:t>https://doi.org/10.1080/00207450590887475</w:t>
        </w:r>
      </w:hyperlink>
    </w:p>
    <w:p w14:paraId="2CD725D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Teng, E., Lu, P. H., &amp; Cummings, J. L. (2007). Neuropsychiatric symptoms are associated with progression from mild cognitive impairment to Alzheimer’s disease. </w:t>
      </w:r>
      <w:r w:rsidRPr="0074138E">
        <w:rPr>
          <w:rFonts w:ascii="Times New Roman" w:eastAsia="Times New Roman" w:hAnsi="Times New Roman" w:cs="Times New Roman"/>
          <w:i/>
          <w:iCs/>
          <w:sz w:val="24"/>
          <w:szCs w:val="24"/>
        </w:rPr>
        <w:t>Dementia and Geriatric Cognitive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24</w:t>
      </w:r>
      <w:r w:rsidRPr="0074138E">
        <w:rPr>
          <w:rFonts w:ascii="Times New Roman" w:eastAsia="Times New Roman" w:hAnsi="Times New Roman" w:cs="Times New Roman"/>
          <w:sz w:val="24"/>
          <w:szCs w:val="24"/>
        </w:rPr>
        <w:t xml:space="preserve">(4), 253–259. </w:t>
      </w:r>
      <w:hyperlink r:id="rId5755" w:history="1">
        <w:r w:rsidRPr="0074138E">
          <w:rPr>
            <w:rFonts w:ascii="Times New Roman" w:eastAsia="Times New Roman" w:hAnsi="Times New Roman" w:cs="Times New Roman"/>
            <w:color w:val="0000FF"/>
            <w:sz w:val="24"/>
            <w:szCs w:val="24"/>
            <w:u w:val="single"/>
          </w:rPr>
          <w:t>https://doi.org/10.1159/000107100</w:t>
        </w:r>
      </w:hyperlink>
    </w:p>
    <w:p w14:paraId="54D42FB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Terada, S., Sato, S., Honda, H., Kishimoto, Y., Takeda, N., Oshima, E., Yokota, O., &amp; Uchitomi, Y. (2011). Perseverative errors on the Wisconsin Card Sorting Test and brain perfusion imaging in mild Alzheimer’s disease. </w:t>
      </w:r>
      <w:r w:rsidRPr="0074138E">
        <w:rPr>
          <w:rFonts w:ascii="Times New Roman" w:eastAsia="Times New Roman" w:hAnsi="Times New Roman" w:cs="Times New Roman"/>
          <w:i/>
          <w:iCs/>
          <w:sz w:val="24"/>
          <w:szCs w:val="24"/>
        </w:rPr>
        <w:t>International Psychogeriatrics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(10), 1552–1559. </w:t>
      </w:r>
      <w:hyperlink r:id="rId5756" w:history="1">
        <w:r w:rsidRPr="0074138E">
          <w:rPr>
            <w:rFonts w:ascii="Times New Roman" w:eastAsia="Times New Roman" w:hAnsi="Times New Roman" w:cs="Times New Roman"/>
            <w:color w:val="0000FF"/>
            <w:sz w:val="24"/>
            <w:szCs w:val="24"/>
            <w:u w:val="single"/>
          </w:rPr>
          <w:t>https://doi.org/10.1017/S1041610211001463</w:t>
        </w:r>
      </w:hyperlink>
    </w:p>
    <w:p w14:paraId="6B37E55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Terasawa, Y., Kurosaki, Y., Ibata, Y., Moriguchi, Y., &amp; Umeda, S. (2015). Attenuated sensitivity to the emotions of others by insular lesion. </w:t>
      </w:r>
      <w:r w:rsidRPr="0074138E">
        <w:rPr>
          <w:rFonts w:ascii="Times New Roman" w:eastAsia="Times New Roman" w:hAnsi="Times New Roman" w:cs="Times New Roman"/>
          <w:i/>
          <w:iCs/>
          <w:sz w:val="24"/>
          <w:szCs w:val="24"/>
        </w:rPr>
        <w:t>Frontiers in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w:t>
      </w:r>
    </w:p>
    <w:p w14:paraId="5A66DEC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Terevnikov, V., &amp; Joffe, G. (2013). Antidepressants in schizophrenia: A place for them? In </w:t>
      </w:r>
      <w:r w:rsidRPr="0074138E">
        <w:rPr>
          <w:rFonts w:ascii="Times New Roman" w:eastAsia="Times New Roman" w:hAnsi="Times New Roman" w:cs="Times New Roman"/>
          <w:i/>
          <w:iCs/>
          <w:sz w:val="24"/>
          <w:szCs w:val="24"/>
        </w:rPr>
        <w:t>Polypharmacy in psychiatry practice: Multiple medication use strategies, Vol. I</w:t>
      </w:r>
      <w:r w:rsidRPr="0074138E">
        <w:rPr>
          <w:rFonts w:ascii="Times New Roman" w:eastAsia="Times New Roman" w:hAnsi="Times New Roman" w:cs="Times New Roman"/>
          <w:sz w:val="24"/>
          <w:szCs w:val="24"/>
        </w:rPr>
        <w:t xml:space="preserve"> (pp. 211–231). Springer Science + Business Media. </w:t>
      </w:r>
      <w:hyperlink r:id="rId5757" w:history="1">
        <w:r w:rsidRPr="0074138E">
          <w:rPr>
            <w:rFonts w:ascii="Times New Roman" w:eastAsia="Times New Roman" w:hAnsi="Times New Roman" w:cs="Times New Roman"/>
            <w:color w:val="0000FF"/>
            <w:sz w:val="24"/>
            <w:szCs w:val="24"/>
            <w:u w:val="single"/>
          </w:rPr>
          <w:t>https://doi.org/10.1007/978-94-007-5805-6_9</w:t>
        </w:r>
      </w:hyperlink>
    </w:p>
    <w:p w14:paraId="377C4DF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Termine, C., Rubboli, G., &amp; Veggiotti, P. (2006). Eye-Closure-Triggered Paroxysmal Activity and Cognitive Impairment: A Case Report. </w:t>
      </w:r>
      <w:r w:rsidRPr="0074138E">
        <w:rPr>
          <w:rFonts w:ascii="Times New Roman" w:eastAsia="Times New Roman" w:hAnsi="Times New Roman" w:cs="Times New Roman"/>
          <w:i/>
          <w:iCs/>
          <w:sz w:val="24"/>
          <w:szCs w:val="24"/>
        </w:rPr>
        <w:t>Epilepsia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(Suppl 2), 115–118. </w:t>
      </w:r>
      <w:hyperlink r:id="rId5758" w:history="1">
        <w:r w:rsidRPr="0074138E">
          <w:rPr>
            <w:rFonts w:ascii="Times New Roman" w:eastAsia="Times New Roman" w:hAnsi="Times New Roman" w:cs="Times New Roman"/>
            <w:color w:val="0000FF"/>
            <w:sz w:val="24"/>
            <w:szCs w:val="24"/>
            <w:u w:val="single"/>
          </w:rPr>
          <w:t>https://doi.org/10.1111/j.1528-1167.2006.00708.x</w:t>
        </w:r>
      </w:hyperlink>
    </w:p>
    <w:p w14:paraId="36C875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Termine, C., Teutonico, F., Balottin, U., Fasce, M., Ferri, M., Perna, S., Piccinelli, P., Rubboli, G., &amp; Veggiotti, P. (2008). Long-term cognitive and behavioural follow-up in three patients with eye closure-triggered paroxysmal activity. </w:t>
      </w:r>
      <w:r w:rsidRPr="0074138E">
        <w:rPr>
          <w:rFonts w:ascii="Times New Roman" w:eastAsia="Times New Roman" w:hAnsi="Times New Roman" w:cs="Times New Roman"/>
          <w:i/>
          <w:iCs/>
          <w:sz w:val="24"/>
          <w:szCs w:val="24"/>
        </w:rPr>
        <w:t>Epileptic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(1), 22–30.</w:t>
      </w:r>
    </w:p>
    <w:p w14:paraId="433EFF3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Terroni, L., Sobreiro, M. F. M., Conforto, A. B., Adda, C. C., Guajardo, V. D., de Lucia, M. C. S., &amp; Fráguas, R. (2012). Association among depression, cognitive impairment and executive dysfunction after stroke.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 xml:space="preserve">(3), 152–157. </w:t>
      </w:r>
      <w:hyperlink r:id="rId5759" w:history="1">
        <w:r w:rsidRPr="0074138E">
          <w:rPr>
            <w:rFonts w:ascii="Times New Roman" w:eastAsia="Times New Roman" w:hAnsi="Times New Roman" w:cs="Times New Roman"/>
            <w:color w:val="0000FF"/>
            <w:sz w:val="24"/>
            <w:szCs w:val="24"/>
            <w:u w:val="single"/>
          </w:rPr>
          <w:t>https://doi.org/10.1590/S1980-57642012DN06030007</w:t>
        </w:r>
      </w:hyperlink>
    </w:p>
    <w:p w14:paraId="62D0A64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Ter-Stepanian, M., Grizenko, N., Cornish, K., Talwar, V., Mbekou, V., Schmitz, N., &amp; Joober, R. (2017). Attention and executive function in children diagnosed with Attention Deficit Hyperactivity Disorder and comorbid disorders. </w:t>
      </w:r>
      <w:r w:rsidRPr="0074138E">
        <w:rPr>
          <w:rFonts w:ascii="Times New Roman" w:eastAsia="Times New Roman" w:hAnsi="Times New Roman" w:cs="Times New Roman"/>
          <w:i/>
          <w:iCs/>
          <w:sz w:val="24"/>
          <w:szCs w:val="24"/>
        </w:rPr>
        <w:t>Journal of the Canadian Academy of Child and Adolescent Psychiatry / Journal de l’Académie Canadienne de Psychiatrie de l’enfant et de l’adolescent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(1), 21–30.</w:t>
      </w:r>
    </w:p>
    <w:p w14:paraId="798719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Terzaghi, M., Zucchella, C., Rustioni, V., Sinforiani, E., &amp; Manni, R. (2013). Cognitive performances and mild cognitive impairment in idiopathic rapid eye movement sleep behavior disorder: Results of a longitudinal follow-up study. </w:t>
      </w:r>
      <w:r w:rsidRPr="0074138E">
        <w:rPr>
          <w:rFonts w:ascii="Times New Roman" w:eastAsia="Times New Roman" w:hAnsi="Times New Roman" w:cs="Times New Roman"/>
          <w:i/>
          <w:iCs/>
          <w:sz w:val="24"/>
          <w:szCs w:val="24"/>
        </w:rPr>
        <w:t>Sleep: Journal of Sleep and Sleep Disorders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(10), 1527–1532. </w:t>
      </w:r>
      <w:hyperlink r:id="rId5760" w:history="1">
        <w:r w:rsidRPr="0074138E">
          <w:rPr>
            <w:rFonts w:ascii="Times New Roman" w:eastAsia="Times New Roman" w:hAnsi="Times New Roman" w:cs="Times New Roman"/>
            <w:color w:val="0000FF"/>
            <w:sz w:val="24"/>
            <w:szCs w:val="24"/>
            <w:u w:val="single"/>
          </w:rPr>
          <w:t>https://doi.org/10.5665/sleep.3050</w:t>
        </w:r>
      </w:hyperlink>
    </w:p>
    <w:p w14:paraId="4EE28B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Tessitore, A., Russo, A., Conte, F., Giordano, A., De Stefano, M., Lavorgna, L., Corbo, D., Caiazzo, G., Esposito, F., &amp; Tedeschi, G. (2015). Abnormal connectivity within executive resting-state network in migraine with aura. </w:t>
      </w:r>
      <w:r w:rsidRPr="0074138E">
        <w:rPr>
          <w:rFonts w:ascii="Times New Roman" w:eastAsia="Times New Roman" w:hAnsi="Times New Roman" w:cs="Times New Roman"/>
          <w:i/>
          <w:iCs/>
          <w:sz w:val="24"/>
          <w:szCs w:val="24"/>
        </w:rPr>
        <w:t>Headache: The Journal of Head and Face Pain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55</w:t>
      </w:r>
      <w:r w:rsidRPr="0074138E">
        <w:rPr>
          <w:rFonts w:ascii="Times New Roman" w:eastAsia="Times New Roman" w:hAnsi="Times New Roman" w:cs="Times New Roman"/>
          <w:sz w:val="24"/>
          <w:szCs w:val="24"/>
        </w:rPr>
        <w:t xml:space="preserve">(6), 794–805. </w:t>
      </w:r>
      <w:hyperlink r:id="rId5761" w:history="1">
        <w:r w:rsidRPr="0074138E">
          <w:rPr>
            <w:rFonts w:ascii="Times New Roman" w:eastAsia="Times New Roman" w:hAnsi="Times New Roman" w:cs="Times New Roman"/>
            <w:color w:val="0000FF"/>
            <w:sz w:val="24"/>
            <w:szCs w:val="24"/>
            <w:u w:val="single"/>
          </w:rPr>
          <w:t>https://doi.org/10.1111/head.12587</w:t>
        </w:r>
      </w:hyperlink>
    </w:p>
    <w:p w14:paraId="6407957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Tessitore, A., Russo, A., Giordano, A., Conte, F., Corbo, D., De Stefano, M., Cirillo, S., Cirillo, M., Esposito, F., &amp; Tedeschi, G. (2013). Disrupted default mode network connectivity in migraine without aura. </w:t>
      </w:r>
      <w:r w:rsidRPr="0074138E">
        <w:rPr>
          <w:rFonts w:ascii="Times New Roman" w:eastAsia="Times New Roman" w:hAnsi="Times New Roman" w:cs="Times New Roman"/>
          <w:i/>
          <w:iCs/>
          <w:sz w:val="24"/>
          <w:szCs w:val="24"/>
        </w:rPr>
        <w:t>The Journal of Headache and Pain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 </w:t>
      </w:r>
      <w:hyperlink r:id="rId5762" w:history="1">
        <w:r w:rsidRPr="0074138E">
          <w:rPr>
            <w:rFonts w:ascii="Times New Roman" w:eastAsia="Times New Roman" w:hAnsi="Times New Roman" w:cs="Times New Roman"/>
            <w:color w:val="0000FF"/>
            <w:sz w:val="24"/>
            <w:szCs w:val="24"/>
            <w:u w:val="single"/>
          </w:rPr>
          <w:t>https://doi.org/10.1186/1129-2377-14-89</w:t>
        </w:r>
      </w:hyperlink>
    </w:p>
    <w:p w14:paraId="11FCE2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Testa, R., Bennett, P., &amp; Ponsford, J. (2012). Factor analysis of nineteen executive function tests in a healthy adult population.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213–224. </w:t>
      </w:r>
      <w:hyperlink r:id="rId5763" w:history="1">
        <w:r w:rsidRPr="0074138E">
          <w:rPr>
            <w:rFonts w:ascii="Times New Roman" w:eastAsia="Times New Roman" w:hAnsi="Times New Roman" w:cs="Times New Roman"/>
            <w:color w:val="0000FF"/>
            <w:sz w:val="24"/>
            <w:szCs w:val="24"/>
            <w:u w:val="single"/>
          </w:rPr>
          <w:t>https://doi.org/10.1093/arclin/acr112</w:t>
        </w:r>
      </w:hyperlink>
    </w:p>
    <w:p w14:paraId="2D9A4D8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Testa, S. M., Winicki, J. M., Pearlson, G. D., Gordon, B., &amp; Schretlen, D. J. (2009). Accounting for estimated IQ in neuropsychological test performance with regression-based techniques.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(6), 1012–1022. </w:t>
      </w:r>
      <w:hyperlink r:id="rId5764" w:history="1">
        <w:r w:rsidRPr="0074138E">
          <w:rPr>
            <w:rFonts w:ascii="Times New Roman" w:eastAsia="Times New Roman" w:hAnsi="Times New Roman" w:cs="Times New Roman"/>
            <w:color w:val="0000FF"/>
            <w:sz w:val="24"/>
            <w:szCs w:val="24"/>
            <w:u w:val="single"/>
          </w:rPr>
          <w:t>https://doi.org/10.1017/S1355617709990713</w:t>
        </w:r>
      </w:hyperlink>
    </w:p>
    <w:p w14:paraId="139D0D1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Teubner-Rhodes, S., Vaden Jr., K. I., Dubno, J. R., &amp; Eckert, M. A. (2017). Cognitive persistence: Development and validation of a novel measure from the Wisconsin Card Sorting Test.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102</w:t>
      </w:r>
      <w:r w:rsidRPr="0074138E">
        <w:rPr>
          <w:rFonts w:ascii="Times New Roman" w:eastAsia="Times New Roman" w:hAnsi="Times New Roman" w:cs="Times New Roman"/>
          <w:sz w:val="24"/>
          <w:szCs w:val="24"/>
        </w:rPr>
        <w:t xml:space="preserve">, 95–108. </w:t>
      </w:r>
      <w:hyperlink r:id="rId5765" w:history="1">
        <w:r w:rsidRPr="0074138E">
          <w:rPr>
            <w:rFonts w:ascii="Times New Roman" w:eastAsia="Times New Roman" w:hAnsi="Times New Roman" w:cs="Times New Roman"/>
            <w:color w:val="0000FF"/>
            <w:sz w:val="24"/>
            <w:szCs w:val="24"/>
            <w:u w:val="single"/>
          </w:rPr>
          <w:t>https://doi.org/10.1016/j.neuropsychologia.2017.05.027</w:t>
        </w:r>
      </w:hyperlink>
    </w:p>
    <w:p w14:paraId="0B0ACA3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Teunisse, J.-P., Roelofs, R. L., Verhoeven, E. W. M., Cuppen, L., Mol, J., &amp; Berger, H. J. C. (2012). Flexibility in children with autism spectrum disorders (ASD): Inconsistency between neuropsychological tests and parent-based rating scales.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34</w:t>
      </w:r>
      <w:r w:rsidRPr="0074138E">
        <w:rPr>
          <w:rFonts w:ascii="Times New Roman" w:eastAsia="Times New Roman" w:hAnsi="Times New Roman" w:cs="Times New Roman"/>
          <w:sz w:val="24"/>
          <w:szCs w:val="24"/>
        </w:rPr>
        <w:t>(7), 714–723.</w:t>
      </w:r>
    </w:p>
    <w:p w14:paraId="37FBC08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Thakur, G. A., Sengupta, S. M., Grizenko, N., Schmitz, N., Pagé, V., &amp; Joober, R. (2013). Maternal smoking during pregnancy and ADHD: A comprehensive clinical and neurocognitive characterization. </w:t>
      </w:r>
      <w:r w:rsidRPr="0074138E">
        <w:rPr>
          <w:rFonts w:ascii="Times New Roman" w:eastAsia="Times New Roman" w:hAnsi="Times New Roman" w:cs="Times New Roman"/>
          <w:i/>
          <w:iCs/>
          <w:sz w:val="24"/>
          <w:szCs w:val="24"/>
        </w:rPr>
        <w:t>Nicotine &amp; Tobacco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(1), 149–157. </w:t>
      </w:r>
      <w:hyperlink r:id="rId5766" w:history="1">
        <w:r w:rsidRPr="0074138E">
          <w:rPr>
            <w:rFonts w:ascii="Times New Roman" w:eastAsia="Times New Roman" w:hAnsi="Times New Roman" w:cs="Times New Roman"/>
            <w:color w:val="0000FF"/>
            <w:sz w:val="24"/>
            <w:szCs w:val="24"/>
            <w:u w:val="single"/>
          </w:rPr>
          <w:t>https://doi.org/10.1093/ntr/nts102</w:t>
        </w:r>
      </w:hyperlink>
    </w:p>
    <w:p w14:paraId="50159EC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Thaler, N. S., Allen, D. N., &amp; Goldstein, G. (2013). Bipolar disorders. In </w:t>
      </w:r>
      <w:r w:rsidRPr="0074138E">
        <w:rPr>
          <w:rFonts w:ascii="Times New Roman" w:eastAsia="Times New Roman" w:hAnsi="Times New Roman" w:cs="Times New Roman"/>
          <w:i/>
          <w:iCs/>
          <w:sz w:val="24"/>
          <w:szCs w:val="24"/>
        </w:rPr>
        <w:t>The neuropsychology of psychopathology.</w:t>
      </w:r>
      <w:r w:rsidRPr="0074138E">
        <w:rPr>
          <w:rFonts w:ascii="Times New Roman" w:eastAsia="Times New Roman" w:hAnsi="Times New Roman" w:cs="Times New Roman"/>
          <w:sz w:val="24"/>
          <w:szCs w:val="24"/>
        </w:rPr>
        <w:t xml:space="preserve"> (pp. 221–242). Springer Publishing Co.</w:t>
      </w:r>
    </w:p>
    <w:p w14:paraId="6879512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Thaler, N. S., Sayegh, P., Arentoft, A., Thames, A. D., Castellon, S. A., &amp; Hinkin, C. H. (2015). Increased neurocognitive intra-individual variability is associated with declines in medication adherence in HIV-infected adults.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(6), 919–925. </w:t>
      </w:r>
      <w:hyperlink r:id="rId5767" w:history="1">
        <w:r w:rsidRPr="0074138E">
          <w:rPr>
            <w:rFonts w:ascii="Times New Roman" w:eastAsia="Times New Roman" w:hAnsi="Times New Roman" w:cs="Times New Roman"/>
            <w:color w:val="0000FF"/>
            <w:sz w:val="24"/>
            <w:szCs w:val="24"/>
            <w:u w:val="single"/>
          </w:rPr>
          <w:t>https://doi.org/10.1037/neu0000191</w:t>
        </w:r>
      </w:hyperlink>
    </w:p>
    <w:p w14:paraId="112AE74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Thaler, N. S., Sayegh, P., Kim, M. S., Castellon, S. A., &amp; Hinkin, C. H. (2015). Interactive effects of neurocognitive impairment and substance use on antiretroviral non-adherence in HIV disease.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114–121. </w:t>
      </w:r>
      <w:hyperlink r:id="rId5768" w:history="1">
        <w:r w:rsidRPr="0074138E">
          <w:rPr>
            <w:rFonts w:ascii="Times New Roman" w:eastAsia="Times New Roman" w:hAnsi="Times New Roman" w:cs="Times New Roman"/>
            <w:color w:val="0000FF"/>
            <w:sz w:val="24"/>
            <w:szCs w:val="24"/>
            <w:u w:val="single"/>
          </w:rPr>
          <w:t>https://doi.org/10.1093/arclin/acu092</w:t>
        </w:r>
      </w:hyperlink>
    </w:p>
    <w:p w14:paraId="35F6C19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Becker, B. W., Marcotte, T. D., Hines, L. J., Foley, J. M., Ramezani, A., Singer, E. J., Castellon, S. A., Heaton, R. K., &amp; Hinkin, C. H. (2011). Depression, cognition, and self-appraisal of functional abilities in HIV: An examination of subjective appraisal versus objective performance.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(2), 224–243. </w:t>
      </w:r>
      <w:hyperlink r:id="rId5769" w:history="1">
        <w:r w:rsidRPr="0074138E">
          <w:rPr>
            <w:rFonts w:ascii="Times New Roman" w:eastAsia="Times New Roman" w:hAnsi="Times New Roman" w:cs="Times New Roman"/>
            <w:color w:val="0000FF"/>
            <w:sz w:val="24"/>
            <w:szCs w:val="24"/>
            <w:u w:val="single"/>
          </w:rPr>
          <w:t>https://doi.org/10.1080/13854046.2010.539577</w:t>
        </w:r>
      </w:hyperlink>
    </w:p>
    <w:p w14:paraId="566EA0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Foley, J. M., Wright, M. J., Panos, S. E., Ettenhofer, M., Ramezani, A., Streiff, V., El-Saden, S., Goodwin, S., Bookheimer, S. Y., &amp; Hinkin, C. H. (2012). Basal ganglia structures differentially contribute to verbal fluency: Evidence from Human Immunodeficiency Virus (HIV)-infected adults.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w:t>
      </w:r>
      <w:r w:rsidRPr="0074138E">
        <w:rPr>
          <w:rFonts w:ascii="Times New Roman" w:eastAsia="Times New Roman" w:hAnsi="Times New Roman" w:cs="Times New Roman"/>
          <w:sz w:val="24"/>
          <w:szCs w:val="24"/>
        </w:rPr>
        <w:t xml:space="preserve">(3), 390–395. </w:t>
      </w:r>
      <w:hyperlink r:id="rId5770" w:history="1">
        <w:r w:rsidRPr="0074138E">
          <w:rPr>
            <w:rFonts w:ascii="Times New Roman" w:eastAsia="Times New Roman" w:hAnsi="Times New Roman" w:cs="Times New Roman"/>
            <w:color w:val="0000FF"/>
            <w:sz w:val="24"/>
            <w:szCs w:val="24"/>
            <w:u w:val="single"/>
          </w:rPr>
          <w:t>https://doi.org/10.1016/j.neuropsychologia.2011.12.010</w:t>
        </w:r>
      </w:hyperlink>
    </w:p>
    <w:p w14:paraId="6D1B4F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Kim, M. S., Becker, B. W., Foley, J. M., Hines, L. J., Singer, E. J., Heaton, R. K., Castellon, S. A., &amp; Hinkin, C. H. (2011). Medication and finance management among HIV-infected adults: The impact of age and cognition.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(2), 200–209. </w:t>
      </w:r>
      <w:hyperlink r:id="rId5771" w:history="1">
        <w:r w:rsidRPr="0074138E">
          <w:rPr>
            <w:rFonts w:ascii="Times New Roman" w:eastAsia="Times New Roman" w:hAnsi="Times New Roman" w:cs="Times New Roman"/>
            <w:color w:val="0000FF"/>
            <w:sz w:val="24"/>
            <w:szCs w:val="24"/>
            <w:u w:val="single"/>
          </w:rPr>
          <w:t>https://doi.org/10.1080/13803395.2010.499357</w:t>
        </w:r>
      </w:hyperlink>
    </w:p>
    <w:p w14:paraId="4BD082C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Thames, A. D., Moizel, J., Panos, S. E., Patel, S. M., Byrd, D. A., Myers, H. F., Wyatt, G. E., &amp; Hinkin, C. H. (2012). Differential predictors of medication adherence in HIV: Findings from a sample of African American and Caucasian HIV-positive drug-using adults. </w:t>
      </w:r>
      <w:r w:rsidRPr="0074138E">
        <w:rPr>
          <w:rFonts w:ascii="Times New Roman" w:eastAsia="Times New Roman" w:hAnsi="Times New Roman" w:cs="Times New Roman"/>
          <w:i/>
          <w:iCs/>
          <w:sz w:val="24"/>
          <w:szCs w:val="24"/>
        </w:rPr>
        <w:t>AIDS Patient Care and STDs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26</w:t>
      </w:r>
      <w:r w:rsidRPr="0074138E">
        <w:rPr>
          <w:rFonts w:ascii="Times New Roman" w:eastAsia="Times New Roman" w:hAnsi="Times New Roman" w:cs="Times New Roman"/>
          <w:sz w:val="24"/>
          <w:szCs w:val="24"/>
        </w:rPr>
        <w:t xml:space="preserve">(10), 621–630. </w:t>
      </w:r>
      <w:hyperlink r:id="rId5772" w:history="1">
        <w:r w:rsidRPr="0074138E">
          <w:rPr>
            <w:rFonts w:ascii="Times New Roman" w:eastAsia="Times New Roman" w:hAnsi="Times New Roman" w:cs="Times New Roman"/>
            <w:color w:val="0000FF"/>
            <w:sz w:val="24"/>
            <w:szCs w:val="24"/>
            <w:u w:val="single"/>
          </w:rPr>
          <w:t>https://doi.org/10.1089/apc.2012.0157</w:t>
        </w:r>
      </w:hyperlink>
    </w:p>
    <w:p w14:paraId="1936AF8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Thapar, A., Langley, K., Fowler, T., Rice, F., Turic, D., Whittinger, N., Aggleton, J., Van den Bree, M., Owen, M., &amp; O’Donovan, M. (2005). Catechol O-Methyltransferase Gene Variant and Birth Weight Predict Early-Onset Antisocial Behavior in Children With Attention-Deficit/Hyperactivity Disorder. </w:t>
      </w:r>
      <w:r w:rsidRPr="0074138E">
        <w:rPr>
          <w:rFonts w:ascii="Times New Roman" w:eastAsia="Times New Roman" w:hAnsi="Times New Roman" w:cs="Times New Roman"/>
          <w:i/>
          <w:iCs/>
          <w:sz w:val="24"/>
          <w:szCs w:val="24"/>
        </w:rPr>
        <w:t>Archives of General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62</w:t>
      </w:r>
      <w:r w:rsidRPr="0074138E">
        <w:rPr>
          <w:rFonts w:ascii="Times New Roman" w:eastAsia="Times New Roman" w:hAnsi="Times New Roman" w:cs="Times New Roman"/>
          <w:sz w:val="24"/>
          <w:szCs w:val="24"/>
        </w:rPr>
        <w:t xml:space="preserve">(11), 1275–1278. </w:t>
      </w:r>
      <w:hyperlink r:id="rId5773" w:history="1">
        <w:r w:rsidRPr="0074138E">
          <w:rPr>
            <w:rFonts w:ascii="Times New Roman" w:eastAsia="Times New Roman" w:hAnsi="Times New Roman" w:cs="Times New Roman"/>
            <w:color w:val="0000FF"/>
            <w:sz w:val="24"/>
            <w:szCs w:val="24"/>
            <w:u w:val="single"/>
          </w:rPr>
          <w:t>https://doi.org/10.1001/archpsyc.62.11.1275</w:t>
        </w:r>
      </w:hyperlink>
    </w:p>
    <w:p w14:paraId="61F91C6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 R. J., Haghani Tehrani, P., Turner, J. A., Houck, J., Bigelow, R., Clark, V. P., Yeo, R. A., Calhoun, V., &amp; Stephen, J. (2018). Neuropsychological analysis of auditory verbal hallucinations.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192</w:t>
      </w:r>
      <w:r w:rsidRPr="0074138E">
        <w:rPr>
          <w:rFonts w:ascii="Times New Roman" w:eastAsia="Times New Roman" w:hAnsi="Times New Roman" w:cs="Times New Roman"/>
          <w:sz w:val="24"/>
          <w:szCs w:val="24"/>
        </w:rPr>
        <w:t xml:space="preserve">, 459–460. </w:t>
      </w:r>
      <w:hyperlink r:id="rId5774" w:history="1">
        <w:r w:rsidRPr="0074138E">
          <w:rPr>
            <w:rFonts w:ascii="Times New Roman" w:eastAsia="Times New Roman" w:hAnsi="Times New Roman" w:cs="Times New Roman"/>
            <w:color w:val="0000FF"/>
            <w:sz w:val="24"/>
            <w:szCs w:val="24"/>
            <w:u w:val="single"/>
          </w:rPr>
          <w:t>https://doi.org/10.1016/j.schres.2017.03.044</w:t>
        </w:r>
      </w:hyperlink>
    </w:p>
    <w:p w14:paraId="2CC331A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 R. J., Monnig, M. A., Lysne, P. A., Ruhl, D. A., Pommy, J. A., Bogenschutz, M., Tonigan, J. S., &amp; Yeo, R. A. (2011). Adolescent substance abuse: The effects of alcohol and marijuana on neuropsychological performance. </w:t>
      </w:r>
      <w:r w:rsidRPr="0074138E">
        <w:rPr>
          <w:rFonts w:ascii="Times New Roman" w:eastAsia="Times New Roman" w:hAnsi="Times New Roman" w:cs="Times New Roman"/>
          <w:i/>
          <w:iCs/>
          <w:sz w:val="24"/>
          <w:szCs w:val="24"/>
        </w:rPr>
        <w:t>Alcoholism: Clinical and Experimental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35</w:t>
      </w:r>
      <w:r w:rsidRPr="0074138E">
        <w:rPr>
          <w:rFonts w:ascii="Times New Roman" w:eastAsia="Times New Roman" w:hAnsi="Times New Roman" w:cs="Times New Roman"/>
          <w:sz w:val="24"/>
          <w:szCs w:val="24"/>
        </w:rPr>
        <w:t xml:space="preserve">(1), 39–46. </w:t>
      </w:r>
      <w:hyperlink r:id="rId5775" w:history="1">
        <w:r w:rsidRPr="0074138E">
          <w:rPr>
            <w:rFonts w:ascii="Times New Roman" w:eastAsia="Times New Roman" w:hAnsi="Times New Roman" w:cs="Times New Roman"/>
            <w:color w:val="0000FF"/>
            <w:sz w:val="24"/>
            <w:szCs w:val="24"/>
            <w:u w:val="single"/>
          </w:rPr>
          <w:t>https://doi.org/10.1111/j.1530-0277.2010.01320.x</w:t>
        </w:r>
      </w:hyperlink>
    </w:p>
    <w:p w14:paraId="57556B4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A. K., Dave, J. B., &amp; Bonura, B. M. (2019). Theoretical perspectives on cognitive aging. </w:t>
      </w:r>
      <w:r w:rsidRPr="0074138E">
        <w:rPr>
          <w:rFonts w:ascii="Times New Roman" w:eastAsia="Times New Roman" w:hAnsi="Times New Roman" w:cs="Times New Roman"/>
          <w:i/>
          <w:iCs/>
          <w:sz w:val="24"/>
          <w:szCs w:val="24"/>
        </w:rPr>
        <w:t>Handbook of Medical Neuropsychology: Applications of Cognitive Neuroscience, 2nd Ed.</w:t>
      </w:r>
      <w:r w:rsidRPr="0074138E">
        <w:rPr>
          <w:rFonts w:ascii="Times New Roman" w:eastAsia="Times New Roman" w:hAnsi="Times New Roman" w:cs="Times New Roman"/>
          <w:sz w:val="24"/>
          <w:szCs w:val="24"/>
        </w:rPr>
        <w:t xml:space="preserve">, 397–414. </w:t>
      </w:r>
      <w:hyperlink r:id="rId5776" w:history="1">
        <w:r w:rsidRPr="0074138E">
          <w:rPr>
            <w:rFonts w:ascii="Times New Roman" w:eastAsia="Times New Roman" w:hAnsi="Times New Roman" w:cs="Times New Roman"/>
            <w:color w:val="0000FF"/>
            <w:sz w:val="24"/>
            <w:szCs w:val="24"/>
            <w:u w:val="single"/>
          </w:rPr>
          <w:t>https://doi.org/10.1007/978-3-030-14895-9_18</w:t>
        </w:r>
      </w:hyperlink>
    </w:p>
    <w:p w14:paraId="03023E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A. K., Gordon, L. T., &amp; Bulevich, J. B. (2014). Uniting theory to empirical evidence: How to understand memory of the elderly witness. In </w:t>
      </w:r>
      <w:r w:rsidRPr="0074138E">
        <w:rPr>
          <w:rFonts w:ascii="Times New Roman" w:eastAsia="Times New Roman" w:hAnsi="Times New Roman" w:cs="Times New Roman"/>
          <w:i/>
          <w:iCs/>
          <w:sz w:val="24"/>
          <w:szCs w:val="24"/>
        </w:rPr>
        <w:t>The elderly eyewitness in court.</w:t>
      </w:r>
      <w:r w:rsidRPr="0074138E">
        <w:rPr>
          <w:rFonts w:ascii="Times New Roman" w:eastAsia="Times New Roman" w:hAnsi="Times New Roman" w:cs="Times New Roman"/>
          <w:sz w:val="24"/>
          <w:szCs w:val="24"/>
        </w:rPr>
        <w:t xml:space="preserve"> (pp. 308–335). Psychology Press.</w:t>
      </w:r>
    </w:p>
    <w:p w14:paraId="081D7EF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A. K., &amp; McDaniel, M. A. (2013). The interaction between frontal functioning and encoding processes in reducing false memories. </w:t>
      </w:r>
      <w:r w:rsidRPr="0074138E">
        <w:rPr>
          <w:rFonts w:ascii="Times New Roman" w:eastAsia="Times New Roman" w:hAnsi="Times New Roman" w:cs="Times New Roman"/>
          <w:i/>
          <w:iCs/>
          <w:sz w:val="24"/>
          <w:szCs w:val="24"/>
        </w:rPr>
        <w:t>Aging, Neuropsychology,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443–470. </w:t>
      </w:r>
      <w:hyperlink r:id="rId5777" w:history="1">
        <w:r w:rsidRPr="0074138E">
          <w:rPr>
            <w:rFonts w:ascii="Times New Roman" w:eastAsia="Times New Roman" w:hAnsi="Times New Roman" w:cs="Times New Roman"/>
            <w:color w:val="0000FF"/>
            <w:sz w:val="24"/>
            <w:szCs w:val="24"/>
            <w:u w:val="single"/>
          </w:rPr>
          <w:t>https://doi.org/10.1080/13825585.2012.736468</w:t>
        </w:r>
      </w:hyperlink>
    </w:p>
    <w:p w14:paraId="6E9DC0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Thomas, E. H. X., Rossell, S. L., Tan, E. J., Neill, E., Van Rheenen, T. E., Carruthers, S. P., Sumner, P. J., Louise, S., Bozaoglu, K., &amp; Gurvich, C. (2019). Do schizotypy dimensions reflect the symptoms of schizophrenia? </w:t>
      </w:r>
      <w:r w:rsidRPr="0074138E">
        <w:rPr>
          <w:rFonts w:ascii="Times New Roman" w:eastAsia="Times New Roman" w:hAnsi="Times New Roman" w:cs="Times New Roman"/>
          <w:i/>
          <w:iCs/>
          <w:sz w:val="24"/>
          <w:szCs w:val="24"/>
        </w:rPr>
        <w:t>Australian and New Zealand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(3), 236–247. </w:t>
      </w:r>
      <w:hyperlink r:id="rId5778" w:history="1">
        <w:r w:rsidRPr="0074138E">
          <w:rPr>
            <w:rFonts w:ascii="Times New Roman" w:eastAsia="Times New Roman" w:hAnsi="Times New Roman" w:cs="Times New Roman"/>
            <w:color w:val="0000FF"/>
            <w:sz w:val="24"/>
            <w:szCs w:val="24"/>
            <w:u w:val="single"/>
          </w:rPr>
          <w:t>https://doi.org/10.1177/0004867418769746</w:t>
        </w:r>
      </w:hyperlink>
    </w:p>
    <w:p w14:paraId="34F8547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Thome, J., Drossos, T., &amp; Hunter, S. J. (2013). </w:t>
      </w:r>
      <w:r w:rsidRPr="0074138E">
        <w:rPr>
          <w:rFonts w:ascii="Times New Roman" w:eastAsia="Times New Roman" w:hAnsi="Times New Roman" w:cs="Times New Roman"/>
          <w:i/>
          <w:iCs/>
          <w:sz w:val="24"/>
          <w:szCs w:val="24"/>
        </w:rPr>
        <w:t>Neurodevelopmental disorders and associated emotional/behavioral sequelae.</w:t>
      </w:r>
      <w:r w:rsidRPr="0074138E">
        <w:rPr>
          <w:rFonts w:ascii="Times New Roman" w:eastAsia="Times New Roman" w:hAnsi="Times New Roman" w:cs="Times New Roman"/>
          <w:sz w:val="24"/>
          <w:szCs w:val="24"/>
        </w:rPr>
        <w:t xml:space="preserve"> (pp. 271–298).</w:t>
      </w:r>
    </w:p>
    <w:p w14:paraId="35CE2CB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Thompson, D. G., Kesler, S. R., Sudheimer, K., Mehta, K. M., Thompson, L. W., Marquett, R. M., Holland, J. M., Reiser, R., Rasgon, N., Schatzberg, A., &amp; O’Hara, R. M. (2015). FMRI activation during executive function predicts response to cognitive behavioral therapy in older, depressed adults.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w:t>
      </w:r>
      <w:r w:rsidRPr="0074138E">
        <w:rPr>
          <w:rFonts w:ascii="Times New Roman" w:eastAsia="Times New Roman" w:hAnsi="Times New Roman" w:cs="Times New Roman"/>
          <w:sz w:val="24"/>
          <w:szCs w:val="24"/>
        </w:rPr>
        <w:t xml:space="preserve">(1), 13–22. </w:t>
      </w:r>
      <w:hyperlink r:id="rId5779" w:history="1">
        <w:r w:rsidRPr="0074138E">
          <w:rPr>
            <w:rFonts w:ascii="Times New Roman" w:eastAsia="Times New Roman" w:hAnsi="Times New Roman" w:cs="Times New Roman"/>
            <w:color w:val="0000FF"/>
            <w:sz w:val="24"/>
            <w:szCs w:val="24"/>
            <w:u w:val="single"/>
          </w:rPr>
          <w:t>https://doi.org/10.1016/j.jagp.2014.02.001</w:t>
        </w:r>
      </w:hyperlink>
    </w:p>
    <w:p w14:paraId="4196DC4C"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Thompson, J. L., Watson, J. R., Steinhauer, S. R., Goldstein, G., &amp; Pogue-Geile, M. F. (2005). Indicators of Genetic Liability to Schizophrenia: A Sibling Study of Neuropsychological Performance.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(1), 85–96. </w:t>
      </w:r>
      <w:hyperlink r:id="rId5780" w:history="1">
        <w:r w:rsidRPr="0074138E">
          <w:rPr>
            <w:rFonts w:ascii="Times New Roman" w:eastAsia="Times New Roman" w:hAnsi="Times New Roman" w:cs="Times New Roman"/>
            <w:color w:val="0000FF"/>
            <w:sz w:val="24"/>
            <w:szCs w:val="24"/>
            <w:u w:val="single"/>
          </w:rPr>
          <w:t>https://doi.org/10.1093/schbul/sbi009</w:t>
        </w:r>
      </w:hyperlink>
    </w:p>
    <w:p w14:paraId="538E2BB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Thornton, A. E., Boudreau, V. G., Griffiths, S. Y., Woodward, T. S., Fawkes-Kirby, T., &amp; Honer, W. G. (2007). The impact of monetary reward on memory in schizophrenia spectrum disorder.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w:t>
      </w:r>
      <w:r w:rsidRPr="0074138E">
        <w:rPr>
          <w:rFonts w:ascii="Times New Roman" w:eastAsia="Times New Roman" w:hAnsi="Times New Roman" w:cs="Times New Roman"/>
          <w:sz w:val="24"/>
          <w:szCs w:val="24"/>
        </w:rPr>
        <w:t xml:space="preserve">(5), 631–645. </w:t>
      </w:r>
      <w:hyperlink r:id="rId5781" w:history="1">
        <w:r w:rsidRPr="0074138E">
          <w:rPr>
            <w:rFonts w:ascii="Times New Roman" w:eastAsia="Times New Roman" w:hAnsi="Times New Roman" w:cs="Times New Roman"/>
            <w:color w:val="0000FF"/>
            <w:sz w:val="24"/>
            <w:szCs w:val="24"/>
            <w:u w:val="single"/>
          </w:rPr>
          <w:t>https://doi.org/10.1037/0894-4105.21.5.631</w:t>
        </w:r>
      </w:hyperlink>
    </w:p>
    <w:p w14:paraId="102F2E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Thornton, A. E., &amp; DeFreitas, V. G. (2009). The neuropsychology of multiple sclerosis. In </w:t>
      </w:r>
      <w:r w:rsidRPr="0074138E">
        <w:rPr>
          <w:rFonts w:ascii="Times New Roman" w:eastAsia="Times New Roman" w:hAnsi="Times New Roman" w:cs="Times New Roman"/>
          <w:i/>
          <w:iCs/>
          <w:sz w:val="24"/>
          <w:szCs w:val="24"/>
        </w:rPr>
        <w:t>Neuropsychological assessment of neuropsychiatric and neuromedical disorders, 3rd ed.</w:t>
      </w:r>
      <w:r w:rsidRPr="0074138E">
        <w:rPr>
          <w:rFonts w:ascii="Times New Roman" w:eastAsia="Times New Roman" w:hAnsi="Times New Roman" w:cs="Times New Roman"/>
          <w:sz w:val="24"/>
          <w:szCs w:val="24"/>
        </w:rPr>
        <w:t xml:space="preserve"> (pp. 280–305). Oxford University Press.</w:t>
      </w:r>
    </w:p>
    <w:p w14:paraId="7D1A67E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Thorp, S. R., Sones, H. M., Glorioso, D., Thompson, W., Light, G. A., Golshan, S., &amp; Jeste, D. V. (2012). Older patients with schizophrenia: Does military veteran status matter? </w:t>
      </w:r>
      <w:r w:rsidRPr="0074138E">
        <w:rPr>
          <w:rFonts w:ascii="Times New Roman" w:eastAsia="Times New Roman" w:hAnsi="Times New Roman" w:cs="Times New Roman"/>
          <w:i/>
          <w:iCs/>
          <w:sz w:val="24"/>
          <w:szCs w:val="24"/>
        </w:rPr>
        <w:t>The American Journal of Geriatric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(3), 248–256. </w:t>
      </w:r>
      <w:hyperlink r:id="rId5782" w:history="1">
        <w:r w:rsidRPr="0074138E">
          <w:rPr>
            <w:rFonts w:ascii="Times New Roman" w:eastAsia="Times New Roman" w:hAnsi="Times New Roman" w:cs="Times New Roman"/>
            <w:color w:val="0000FF"/>
            <w:sz w:val="24"/>
            <w:szCs w:val="24"/>
            <w:u w:val="single"/>
          </w:rPr>
          <w:t>https://doi.org/10.1097/JGP.0b013e3182096ae5</w:t>
        </w:r>
      </w:hyperlink>
    </w:p>
    <w:p w14:paraId="791048E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Thorpe, C. M., Hallett, D., Murphy, M., Fitzpatrick, C. L., &amp; Bakhtiar, A. (2012). Interval time-place learning in young children. </w:t>
      </w:r>
      <w:r w:rsidRPr="0074138E">
        <w:rPr>
          <w:rFonts w:ascii="Times New Roman" w:eastAsia="Times New Roman" w:hAnsi="Times New Roman" w:cs="Times New Roman"/>
          <w:i/>
          <w:iCs/>
          <w:sz w:val="24"/>
          <w:szCs w:val="24"/>
        </w:rPr>
        <w:t>Behavioural Processes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91</w:t>
      </w:r>
      <w:r w:rsidRPr="0074138E">
        <w:rPr>
          <w:rFonts w:ascii="Times New Roman" w:eastAsia="Times New Roman" w:hAnsi="Times New Roman" w:cs="Times New Roman"/>
          <w:sz w:val="24"/>
          <w:szCs w:val="24"/>
        </w:rPr>
        <w:t xml:space="preserve">(2), 198–201. </w:t>
      </w:r>
      <w:hyperlink r:id="rId5783" w:history="1">
        <w:r w:rsidRPr="0074138E">
          <w:rPr>
            <w:rFonts w:ascii="Times New Roman" w:eastAsia="Times New Roman" w:hAnsi="Times New Roman" w:cs="Times New Roman"/>
            <w:color w:val="0000FF"/>
            <w:sz w:val="24"/>
            <w:szCs w:val="24"/>
            <w:u w:val="single"/>
          </w:rPr>
          <w:t>https://doi.org/10.1016/j.beproc.2012.07.002</w:t>
        </w:r>
      </w:hyperlink>
    </w:p>
    <w:p w14:paraId="00CAA7C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Thuaire, F., Izaute, M., &amp; Bacon, E. (2012). Evidence of some strategic preservation of episodic learning in patients with schizophrenia.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195</w:t>
      </w:r>
      <w:r w:rsidRPr="0074138E">
        <w:rPr>
          <w:rFonts w:ascii="Times New Roman" w:eastAsia="Times New Roman" w:hAnsi="Times New Roman" w:cs="Times New Roman"/>
          <w:sz w:val="24"/>
          <w:szCs w:val="24"/>
        </w:rPr>
        <w:t xml:space="preserve">(1–2), 27–31. </w:t>
      </w:r>
      <w:hyperlink r:id="rId5784" w:history="1">
        <w:r w:rsidRPr="0074138E">
          <w:rPr>
            <w:rFonts w:ascii="Times New Roman" w:eastAsia="Times New Roman" w:hAnsi="Times New Roman" w:cs="Times New Roman"/>
            <w:color w:val="0000FF"/>
            <w:sz w:val="24"/>
            <w:szCs w:val="24"/>
            <w:u w:val="single"/>
          </w:rPr>
          <w:t>https://doi.org/10.1016/j.psychres.2011.07.036</w:t>
        </w:r>
      </w:hyperlink>
    </w:p>
    <w:p w14:paraId="79945F7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Thurston-Snoha, B.-J., &amp; Lewine, R. R. J. (2007). Intact Wisconsin Card Sorting Test performance: Implications for the role of executive function in schizophrenia. </w:t>
      </w:r>
      <w:r w:rsidRPr="0074138E">
        <w:rPr>
          <w:rFonts w:ascii="Times New Roman" w:eastAsia="Times New Roman" w:hAnsi="Times New Roman" w:cs="Times New Roman"/>
          <w:i/>
          <w:iCs/>
          <w:sz w:val="24"/>
          <w:szCs w:val="24"/>
        </w:rPr>
        <w:t>British Journal of Clinical 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46</w:t>
      </w:r>
      <w:r w:rsidRPr="0074138E">
        <w:rPr>
          <w:rFonts w:ascii="Times New Roman" w:eastAsia="Times New Roman" w:hAnsi="Times New Roman" w:cs="Times New Roman"/>
          <w:sz w:val="24"/>
          <w:szCs w:val="24"/>
        </w:rPr>
        <w:t xml:space="preserve">(3), 361–369. </w:t>
      </w:r>
      <w:hyperlink r:id="rId5785" w:history="1">
        <w:r w:rsidRPr="0074138E">
          <w:rPr>
            <w:rFonts w:ascii="Times New Roman" w:eastAsia="Times New Roman" w:hAnsi="Times New Roman" w:cs="Times New Roman"/>
            <w:color w:val="0000FF"/>
            <w:sz w:val="24"/>
            <w:szCs w:val="24"/>
            <w:u w:val="single"/>
          </w:rPr>
          <w:t>https://doi.org/10.1348/014466507X173772</w:t>
        </w:r>
      </w:hyperlink>
    </w:p>
    <w:p w14:paraId="4C1FBCC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Thurston-Snoha, B.-J., &amp; Lewine, R. R. J. (2010). Sex, affect, and cognitive perseveration in schizophrenia. </w:t>
      </w:r>
      <w:r w:rsidRPr="0074138E">
        <w:rPr>
          <w:rFonts w:ascii="Times New Roman" w:eastAsia="Times New Roman" w:hAnsi="Times New Roman" w:cs="Times New Roman"/>
          <w:i/>
          <w:iCs/>
          <w:sz w:val="24"/>
          <w:szCs w:val="24"/>
        </w:rPr>
        <w:t>Internet Journal of Mental Health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w:t>
      </w:r>
      <w:r w:rsidRPr="0074138E">
        <w:rPr>
          <w:rFonts w:ascii="Times New Roman" w:eastAsia="Times New Roman" w:hAnsi="Times New Roman" w:cs="Times New Roman"/>
          <w:sz w:val="24"/>
          <w:szCs w:val="24"/>
        </w:rPr>
        <w:t>(2), 1–18.</w:t>
      </w:r>
    </w:p>
    <w:p w14:paraId="78996A5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Tian, T., Qin, W., Liu, B., Jiang, T., &amp; Yu, C. (2013). Functional connectivity in healthy subjects is nonlinearly modulated by the COMT and DRD2 polymorphisms in a functional system-dependent manner. </w:t>
      </w:r>
      <w:r w:rsidRPr="0074138E">
        <w:rPr>
          <w:rFonts w:ascii="Times New Roman" w:eastAsia="Times New Roman" w:hAnsi="Times New Roman" w:cs="Times New Roman"/>
          <w:i/>
          <w:iCs/>
          <w:sz w:val="24"/>
          <w:szCs w:val="24"/>
        </w:rPr>
        <w:t>The Journal of Neuroscience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33</w:t>
      </w:r>
      <w:r w:rsidRPr="0074138E">
        <w:rPr>
          <w:rFonts w:ascii="Times New Roman" w:eastAsia="Times New Roman" w:hAnsi="Times New Roman" w:cs="Times New Roman"/>
          <w:sz w:val="24"/>
          <w:szCs w:val="24"/>
        </w:rPr>
        <w:t xml:space="preserve">(44), 17519–17526. </w:t>
      </w:r>
      <w:hyperlink r:id="rId5786" w:history="1">
        <w:r w:rsidRPr="0074138E">
          <w:rPr>
            <w:rFonts w:ascii="Times New Roman" w:eastAsia="Times New Roman" w:hAnsi="Times New Roman" w:cs="Times New Roman"/>
            <w:color w:val="0000FF"/>
            <w:sz w:val="24"/>
            <w:szCs w:val="24"/>
            <w:u w:val="single"/>
          </w:rPr>
          <w:t>https://doi.org/10.1523/JNEUROSCI.2163-13.2013</w:t>
        </w:r>
      </w:hyperlink>
    </w:p>
    <w:p w14:paraId="309276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Tien, A. Y., Ross, D. E., Pearlson, G., &amp; Strauss, M. E. (1996). Eye movements and psychopathology in schizophrenia and bipolar disorder. </w:t>
      </w:r>
      <w:r w:rsidRPr="0074138E">
        <w:rPr>
          <w:rFonts w:ascii="Times New Roman" w:eastAsia="Times New Roman" w:hAnsi="Times New Roman" w:cs="Times New Roman"/>
          <w:i/>
          <w:iCs/>
          <w:sz w:val="24"/>
          <w:szCs w:val="24"/>
        </w:rPr>
        <w:t>Journal of Nervous and Mental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184</w:t>
      </w:r>
      <w:r w:rsidRPr="0074138E">
        <w:rPr>
          <w:rFonts w:ascii="Times New Roman" w:eastAsia="Times New Roman" w:hAnsi="Times New Roman" w:cs="Times New Roman"/>
          <w:sz w:val="24"/>
          <w:szCs w:val="24"/>
        </w:rPr>
        <w:t xml:space="preserve">(6), 331–338. </w:t>
      </w:r>
      <w:hyperlink r:id="rId5787" w:history="1">
        <w:r w:rsidRPr="0074138E">
          <w:rPr>
            <w:rFonts w:ascii="Times New Roman" w:eastAsia="Times New Roman" w:hAnsi="Times New Roman" w:cs="Times New Roman"/>
            <w:color w:val="0000FF"/>
            <w:sz w:val="24"/>
            <w:szCs w:val="24"/>
            <w:u w:val="single"/>
          </w:rPr>
          <w:t>https://doi.org/10.1097/00005053-199606000-00001</w:t>
        </w:r>
      </w:hyperlink>
    </w:p>
    <w:p w14:paraId="7DE0E09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Tien, A. Y., Schlaepfer, T. E., Orr, W., &amp; Pearlson, G. D. (1998). SPECT brain flow changes with continuous ligand infusion during previously learned WCST performance. </w:t>
      </w:r>
      <w:r w:rsidRPr="0074138E">
        <w:rPr>
          <w:rFonts w:ascii="Times New Roman" w:eastAsia="Times New Roman" w:hAnsi="Times New Roman" w:cs="Times New Roman"/>
          <w:i/>
          <w:iCs/>
          <w:sz w:val="24"/>
          <w:szCs w:val="24"/>
        </w:rPr>
        <w:t>Psychiatry Research: Neuroimaging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82</w:t>
      </w:r>
      <w:r w:rsidRPr="0074138E">
        <w:rPr>
          <w:rFonts w:ascii="Times New Roman" w:eastAsia="Times New Roman" w:hAnsi="Times New Roman" w:cs="Times New Roman"/>
          <w:sz w:val="24"/>
          <w:szCs w:val="24"/>
        </w:rPr>
        <w:t xml:space="preserve">(1), 47–52. </w:t>
      </w:r>
      <w:hyperlink r:id="rId5788" w:history="1">
        <w:r w:rsidRPr="0074138E">
          <w:rPr>
            <w:rFonts w:ascii="Times New Roman" w:eastAsia="Times New Roman" w:hAnsi="Times New Roman" w:cs="Times New Roman"/>
            <w:color w:val="0000FF"/>
            <w:sz w:val="24"/>
            <w:szCs w:val="24"/>
            <w:u w:val="single"/>
          </w:rPr>
          <w:t>https://doi.org/10.1016/S0925-4927(98)00003-1</w:t>
        </w:r>
      </w:hyperlink>
    </w:p>
    <w:p w14:paraId="3714A45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Tiernan, B. N., &amp; Mutter, S. A. (2021). The effects of age and uncertainty in the Stroop priming task. </w:t>
      </w:r>
      <w:r w:rsidRPr="0074138E">
        <w:rPr>
          <w:rFonts w:ascii="Times New Roman" w:eastAsia="Times New Roman" w:hAnsi="Times New Roman" w:cs="Times New Roman"/>
          <w:i/>
          <w:iCs/>
          <w:sz w:val="24"/>
          <w:szCs w:val="24"/>
        </w:rPr>
        <w:t>Psychology and Aging</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36</w:t>
      </w:r>
      <w:r w:rsidRPr="0074138E">
        <w:rPr>
          <w:rFonts w:ascii="Times New Roman" w:eastAsia="Times New Roman" w:hAnsi="Times New Roman" w:cs="Times New Roman"/>
          <w:sz w:val="24"/>
          <w:szCs w:val="24"/>
        </w:rPr>
        <w:t xml:space="preserve">(4), 452–462. </w:t>
      </w:r>
      <w:hyperlink r:id="rId5789" w:history="1">
        <w:r w:rsidRPr="0074138E">
          <w:rPr>
            <w:rFonts w:ascii="Times New Roman" w:eastAsia="Times New Roman" w:hAnsi="Times New Roman" w:cs="Times New Roman"/>
            <w:color w:val="0000FF"/>
            <w:sz w:val="24"/>
            <w:szCs w:val="24"/>
            <w:u w:val="single"/>
          </w:rPr>
          <w:t>https://doi.org/10.1037/pag0000495</w:t>
        </w:r>
      </w:hyperlink>
    </w:p>
    <w:p w14:paraId="2DF2AE40"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Tikka, D. L., Singh, A. R., &amp; Tikka, S. K. (2020). Social cognitive endophenotypes in schizophrenia: A study comparing first episode schizophrenia patients and, individuals at clinical- and familial- ‘at-risk’ for psychosis. </w:t>
      </w:r>
      <w:r w:rsidRPr="0074138E">
        <w:rPr>
          <w:rFonts w:ascii="Times New Roman" w:eastAsia="Times New Roman" w:hAnsi="Times New Roman" w:cs="Times New Roman"/>
          <w:i/>
          <w:iCs/>
          <w:sz w:val="24"/>
          <w:szCs w:val="24"/>
        </w:rPr>
        <w:t>Schizophrenia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215</w:t>
      </w:r>
      <w:r w:rsidRPr="0074138E">
        <w:rPr>
          <w:rFonts w:ascii="Times New Roman" w:eastAsia="Times New Roman" w:hAnsi="Times New Roman" w:cs="Times New Roman"/>
          <w:sz w:val="24"/>
          <w:szCs w:val="24"/>
        </w:rPr>
        <w:t xml:space="preserve">, 157–166. </w:t>
      </w:r>
      <w:hyperlink r:id="rId5790" w:history="1">
        <w:r w:rsidRPr="0074138E">
          <w:rPr>
            <w:rFonts w:ascii="Times New Roman" w:eastAsia="Times New Roman" w:hAnsi="Times New Roman" w:cs="Times New Roman"/>
            <w:color w:val="0000FF"/>
            <w:sz w:val="24"/>
            <w:szCs w:val="24"/>
            <w:u w:val="single"/>
          </w:rPr>
          <w:t>https://doi.org/10.1016/j.schres.2019.10.053</w:t>
        </w:r>
      </w:hyperlink>
    </w:p>
    <w:p w14:paraId="521389A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Till, C., Ho, C., Dudani, A., García-Lorenzo, D., Collins, D. L., &amp; Banwell, B. L. (2012). Magnetic Resonance Imaging Predictors of Executive Functioning in Patients with Pediatric-Onset Multiple Sclerosis C. </w:t>
      </w:r>
      <w:r w:rsidRPr="0074138E">
        <w:rPr>
          <w:rFonts w:ascii="Times New Roman" w:eastAsia="Times New Roman" w:hAnsi="Times New Roman" w:cs="Times New Roman"/>
          <w:i/>
          <w:iCs/>
          <w:sz w:val="24"/>
          <w:szCs w:val="24"/>
        </w:rPr>
        <w:t>Archives of Clinical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(5), 495–509. </w:t>
      </w:r>
      <w:hyperlink r:id="rId5791" w:history="1">
        <w:r w:rsidRPr="0074138E">
          <w:rPr>
            <w:rFonts w:ascii="Times New Roman" w:eastAsia="Times New Roman" w:hAnsi="Times New Roman" w:cs="Times New Roman"/>
            <w:color w:val="0000FF"/>
            <w:sz w:val="24"/>
            <w:szCs w:val="24"/>
            <w:u w:val="single"/>
          </w:rPr>
          <w:t>https://doi.org/10.1093/arclin/acs058</w:t>
        </w:r>
      </w:hyperlink>
    </w:p>
    <w:p w14:paraId="529441D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Till, C., Racine, N., Araujo, D., Narayanan, S., Collins, D. L., Aubert-Broche, B., Arnold, D. L., &amp; Banwell, B. (2013). Changes in cognitive performance over a 1-year period in children and adolescents with multiple sclerosis. </w:t>
      </w:r>
      <w:r w:rsidRPr="0074138E">
        <w:rPr>
          <w:rFonts w:ascii="Times New Roman" w:eastAsia="Times New Roman" w:hAnsi="Times New Roman" w:cs="Times New Roman"/>
          <w:i/>
          <w:iCs/>
          <w:sz w:val="24"/>
          <w:szCs w:val="24"/>
        </w:rPr>
        <w:t>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(2), 210–219. </w:t>
      </w:r>
      <w:hyperlink r:id="rId5792" w:history="1">
        <w:r w:rsidRPr="0074138E">
          <w:rPr>
            <w:rFonts w:ascii="Times New Roman" w:eastAsia="Times New Roman" w:hAnsi="Times New Roman" w:cs="Times New Roman"/>
            <w:color w:val="0000FF"/>
            <w:sz w:val="24"/>
            <w:szCs w:val="24"/>
            <w:u w:val="single"/>
          </w:rPr>
          <w:t>https://doi.org/10.1037/a0031665</w:t>
        </w:r>
      </w:hyperlink>
    </w:p>
    <w:p w14:paraId="1CAF29E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Ting, C., Rajji, T. K., Ismail, Z., Tang-Wai, D. F., Apanasiewicz, N., Miranda, D., Mamo, D., &amp; Mulsant, B. H. (2010). Differentiating the cognitive profile of schizophrenia from that of Alzheimer disease and depression in late life. </w:t>
      </w:r>
      <w:r w:rsidRPr="0074138E">
        <w:rPr>
          <w:rFonts w:ascii="Times New Roman" w:eastAsia="Times New Roman" w:hAnsi="Times New Roman" w:cs="Times New Roman"/>
          <w:i/>
          <w:iCs/>
          <w:sz w:val="24"/>
          <w:szCs w:val="24"/>
        </w:rPr>
        <w:t>PLoS ONE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 xml:space="preserve">(4). </w:t>
      </w:r>
      <w:hyperlink r:id="rId5793" w:history="1">
        <w:r w:rsidRPr="0074138E">
          <w:rPr>
            <w:rFonts w:ascii="Times New Roman" w:eastAsia="Times New Roman" w:hAnsi="Times New Roman" w:cs="Times New Roman"/>
            <w:color w:val="0000FF"/>
            <w:sz w:val="24"/>
            <w:szCs w:val="24"/>
            <w:u w:val="single"/>
          </w:rPr>
          <w:t>https://doi.org/10.1371/journal.pone.0010151</w:t>
        </w:r>
      </w:hyperlink>
    </w:p>
    <w:p w14:paraId="06E757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Tirapu Ustárroz, J., Martĭnez Sarasa, M., Casi Arboniés, A., Muñoz Céspedes, J. M., &amp; Ferreras, A. A. (1999). Evaluación de un programa de rehabilitación en grupo para pacientes afectados por sindromes frontales. [Assessment of a rehabilitation program in a group treatment approach with frontal-damaged patients.]. </w:t>
      </w:r>
      <w:r w:rsidRPr="0074138E">
        <w:rPr>
          <w:rFonts w:ascii="Times New Roman" w:eastAsia="Times New Roman" w:hAnsi="Times New Roman" w:cs="Times New Roman"/>
          <w:i/>
          <w:iCs/>
          <w:sz w:val="24"/>
          <w:szCs w:val="24"/>
        </w:rPr>
        <w:t>Análisis y Modificación de Conducta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(101), 405–428.</w:t>
      </w:r>
    </w:p>
    <w:p w14:paraId="740F597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Tisser, L., Palmini, A., Paglioli, E., Portuguez, M., Azambuja, N., da Costa, J. C., Paglioli, E., Torres, C., &amp; Martinez, J. V. (2007). Pre- and post-operative Wisconsin card sorting test performance in patients with temporal lobe epilepsy due to hippocampal sclerosis. </w:t>
      </w:r>
      <w:r w:rsidRPr="0074138E">
        <w:rPr>
          <w:rFonts w:ascii="Times New Roman" w:eastAsia="Times New Roman" w:hAnsi="Times New Roman" w:cs="Times New Roman"/>
          <w:i/>
          <w:iCs/>
          <w:sz w:val="24"/>
          <w:szCs w:val="24"/>
        </w:rPr>
        <w:t>Dementia &amp; 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w:t>
      </w:r>
      <w:r w:rsidRPr="0074138E">
        <w:rPr>
          <w:rFonts w:ascii="Times New Roman" w:eastAsia="Times New Roman" w:hAnsi="Times New Roman" w:cs="Times New Roman"/>
          <w:sz w:val="24"/>
          <w:szCs w:val="24"/>
        </w:rPr>
        <w:t xml:space="preserve">(2), 173–180. </w:t>
      </w:r>
      <w:hyperlink r:id="rId5794" w:history="1">
        <w:r w:rsidRPr="0074138E">
          <w:rPr>
            <w:rFonts w:ascii="Times New Roman" w:eastAsia="Times New Roman" w:hAnsi="Times New Roman" w:cs="Times New Roman"/>
            <w:color w:val="0000FF"/>
            <w:sz w:val="24"/>
            <w:szCs w:val="24"/>
            <w:u w:val="single"/>
          </w:rPr>
          <w:t>https://doi.org/10.1590/s1980-57642008dn10200010</w:t>
        </w:r>
      </w:hyperlink>
    </w:p>
    <w:p w14:paraId="0BE7D31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Titov, N., &amp; Knight, R. G. (2005). A computer-based procedure for assessing functional cognitive skills in patients with neurological injuries: The virtual street. </w:t>
      </w:r>
      <w:r w:rsidRPr="0074138E">
        <w:rPr>
          <w:rFonts w:ascii="Times New Roman" w:eastAsia="Times New Roman" w:hAnsi="Times New Roman" w:cs="Times New Roman"/>
          <w:i/>
          <w:iCs/>
          <w:sz w:val="24"/>
          <w:szCs w:val="24"/>
        </w:rPr>
        <w:t>Brain Injury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19</w:t>
      </w:r>
      <w:r w:rsidRPr="0074138E">
        <w:rPr>
          <w:rFonts w:ascii="Times New Roman" w:eastAsia="Times New Roman" w:hAnsi="Times New Roman" w:cs="Times New Roman"/>
          <w:sz w:val="24"/>
          <w:szCs w:val="24"/>
        </w:rPr>
        <w:t xml:space="preserve">(5), 315–322. </w:t>
      </w:r>
      <w:hyperlink r:id="rId5795" w:history="1">
        <w:r w:rsidRPr="0074138E">
          <w:rPr>
            <w:rFonts w:ascii="Times New Roman" w:eastAsia="Times New Roman" w:hAnsi="Times New Roman" w:cs="Times New Roman"/>
            <w:color w:val="0000FF"/>
            <w:sz w:val="24"/>
            <w:szCs w:val="24"/>
            <w:u w:val="single"/>
          </w:rPr>
          <w:t>https://doi.org/10.1080/02699050400013725</w:t>
        </w:r>
      </w:hyperlink>
    </w:p>
    <w:p w14:paraId="57990CD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Tivis, L. J., Ceballos, N. A., Chastain, G., &amp; Tivis, R. D. (2008). Alcohol and estrogen replacement therapy in postmenopausal women: Direct and mediated effects on cognitive component processes. </w:t>
      </w:r>
      <w:r w:rsidRPr="0074138E">
        <w:rPr>
          <w:rFonts w:ascii="Times New Roman" w:eastAsia="Times New Roman" w:hAnsi="Times New Roman" w:cs="Times New Roman"/>
          <w:i/>
          <w:iCs/>
          <w:sz w:val="24"/>
          <w:szCs w:val="24"/>
        </w:rPr>
        <w:t>Neuropsychobiology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58</w:t>
      </w:r>
      <w:r w:rsidRPr="0074138E">
        <w:rPr>
          <w:rFonts w:ascii="Times New Roman" w:eastAsia="Times New Roman" w:hAnsi="Times New Roman" w:cs="Times New Roman"/>
          <w:sz w:val="24"/>
          <w:szCs w:val="24"/>
        </w:rPr>
        <w:t xml:space="preserve">(2), 104–110. </w:t>
      </w:r>
      <w:hyperlink r:id="rId5796" w:history="1">
        <w:r w:rsidRPr="0074138E">
          <w:rPr>
            <w:rFonts w:ascii="Times New Roman" w:eastAsia="Times New Roman" w:hAnsi="Times New Roman" w:cs="Times New Roman"/>
            <w:color w:val="0000FF"/>
            <w:sz w:val="24"/>
            <w:szCs w:val="24"/>
            <w:u w:val="single"/>
          </w:rPr>
          <w:t>https://doi.org/10.1159/000162357</w:t>
        </w:r>
      </w:hyperlink>
    </w:p>
    <w:p w14:paraId="258F646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Togay, B., Noyan, H., Tasdelen, R., &amp; Ucok, A. (2015). Clinical variables associated with suicide attempts in schizophrenia before and after the first episode.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229</w:t>
      </w:r>
      <w:r w:rsidRPr="0074138E">
        <w:rPr>
          <w:rFonts w:ascii="Times New Roman" w:eastAsia="Times New Roman" w:hAnsi="Times New Roman" w:cs="Times New Roman"/>
          <w:sz w:val="24"/>
          <w:szCs w:val="24"/>
        </w:rPr>
        <w:t xml:space="preserve">(1–2), 252–256. </w:t>
      </w:r>
      <w:hyperlink r:id="rId5797" w:history="1">
        <w:r w:rsidRPr="0074138E">
          <w:rPr>
            <w:rFonts w:ascii="Times New Roman" w:eastAsia="Times New Roman" w:hAnsi="Times New Roman" w:cs="Times New Roman"/>
            <w:color w:val="0000FF"/>
            <w:sz w:val="24"/>
            <w:szCs w:val="24"/>
            <w:u w:val="single"/>
          </w:rPr>
          <w:t>https://doi.org/10.1016/j.psychres.2015.07.025</w:t>
        </w:r>
      </w:hyperlink>
    </w:p>
    <w:p w14:paraId="090AE53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Togher, L., McDonald, S., Tate, R., Power, E., &amp; Rietdijk, R. (2009). Training communication partners of people with traumatic brain injury: Reporting the protocol for a clinical trial. </w:t>
      </w:r>
      <w:r w:rsidRPr="0074138E">
        <w:rPr>
          <w:rFonts w:ascii="Times New Roman" w:eastAsia="Times New Roman" w:hAnsi="Times New Roman" w:cs="Times New Roman"/>
          <w:i/>
          <w:iCs/>
          <w:sz w:val="24"/>
          <w:szCs w:val="24"/>
        </w:rPr>
        <w:t>Brain Impairment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10</w:t>
      </w:r>
      <w:r w:rsidRPr="0074138E">
        <w:rPr>
          <w:rFonts w:ascii="Times New Roman" w:eastAsia="Times New Roman" w:hAnsi="Times New Roman" w:cs="Times New Roman"/>
          <w:sz w:val="24"/>
          <w:szCs w:val="24"/>
        </w:rPr>
        <w:t xml:space="preserve">(2), 188–204. </w:t>
      </w:r>
      <w:hyperlink r:id="rId5798" w:history="1">
        <w:r w:rsidRPr="0074138E">
          <w:rPr>
            <w:rFonts w:ascii="Times New Roman" w:eastAsia="Times New Roman" w:hAnsi="Times New Roman" w:cs="Times New Roman"/>
            <w:color w:val="0000FF"/>
            <w:sz w:val="24"/>
            <w:szCs w:val="24"/>
            <w:u w:val="single"/>
          </w:rPr>
          <w:t>https://doi.org/10.1375/brim.10.2.188</w:t>
        </w:r>
      </w:hyperlink>
    </w:p>
    <w:p w14:paraId="0208FC4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Tolman, A. W., &amp; Kurtz, M. M. (2012). Neurocognitive predictors of objective and subjective quality of life in individuals with schizophrenia: A meta-analytic investigation. </w:t>
      </w:r>
      <w:r w:rsidRPr="0074138E">
        <w:rPr>
          <w:rFonts w:ascii="Times New Roman" w:eastAsia="Times New Roman" w:hAnsi="Times New Roman" w:cs="Times New Roman"/>
          <w:i/>
          <w:iCs/>
          <w:sz w:val="24"/>
          <w:szCs w:val="24"/>
        </w:rPr>
        <w:t>Schizophrenia Bulletin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(2), 304–315. </w:t>
      </w:r>
      <w:hyperlink r:id="rId5799" w:history="1">
        <w:r w:rsidRPr="0074138E">
          <w:rPr>
            <w:rFonts w:ascii="Times New Roman" w:eastAsia="Times New Roman" w:hAnsi="Times New Roman" w:cs="Times New Roman"/>
            <w:color w:val="0000FF"/>
            <w:sz w:val="24"/>
            <w:szCs w:val="24"/>
            <w:u w:val="single"/>
          </w:rPr>
          <w:t>https://doi.org/10.1093/schbul/sbq077</w:t>
        </w:r>
      </w:hyperlink>
    </w:p>
    <w:p w14:paraId="2DC2DC3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Tomasino, B., Rumiati, R. I., &amp; Umiltá, C. A. (2003). Selective deficit of motor imagery as tapped by a left-right decision of visually presented hands. </w:t>
      </w:r>
      <w:r w:rsidRPr="0074138E">
        <w:rPr>
          <w:rFonts w:ascii="Times New Roman" w:eastAsia="Times New Roman" w:hAnsi="Times New Roman" w:cs="Times New Roman"/>
          <w:i/>
          <w:iCs/>
          <w:sz w:val="24"/>
          <w:szCs w:val="24"/>
        </w:rPr>
        <w:t>Brain and Cognition</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53</w:t>
      </w:r>
      <w:r w:rsidRPr="0074138E">
        <w:rPr>
          <w:rFonts w:ascii="Times New Roman" w:eastAsia="Times New Roman" w:hAnsi="Times New Roman" w:cs="Times New Roman"/>
          <w:sz w:val="24"/>
          <w:szCs w:val="24"/>
        </w:rPr>
        <w:t xml:space="preserve">(2), 376–380. </w:t>
      </w:r>
      <w:hyperlink r:id="rId5800" w:history="1">
        <w:r w:rsidRPr="0074138E">
          <w:rPr>
            <w:rFonts w:ascii="Times New Roman" w:eastAsia="Times New Roman" w:hAnsi="Times New Roman" w:cs="Times New Roman"/>
            <w:color w:val="0000FF"/>
            <w:sz w:val="24"/>
            <w:szCs w:val="24"/>
            <w:u w:val="single"/>
          </w:rPr>
          <w:t>https://doi.org/10.1016/S0278-2626(03)00147-7</w:t>
        </w:r>
      </w:hyperlink>
    </w:p>
    <w:p w14:paraId="27876BE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Tomer, R., Fisher, T., Giladi, N., &amp; Aharon-Peretz, J. (2002). Dissociation between spontaneous and reactive flexibility in early Parkinson’s disease. </w:t>
      </w:r>
      <w:r w:rsidRPr="0074138E">
        <w:rPr>
          <w:rFonts w:ascii="Times New Roman" w:eastAsia="Times New Roman" w:hAnsi="Times New Roman" w:cs="Times New Roman"/>
          <w:i/>
          <w:iCs/>
          <w:sz w:val="24"/>
          <w:szCs w:val="24"/>
        </w:rPr>
        <w:t>Neuropsychiatry, Neuropsychology, &amp;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(2), 106–112.</w:t>
      </w:r>
    </w:p>
    <w:p w14:paraId="1143245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Tomić, G., Stojanović, M., Pavlović, A., Stanković, P., Zidverc-Trajković, J., Pavlović, D., Marković-Jovanović, Z., &amp; Čovičković-Šternić, N. (2009). Speech and language disorders secondary to diffuse subcortical vascular lesions: Neurolinguistic and acoustic analysis. A case report. </w:t>
      </w:r>
      <w:r w:rsidRPr="0074138E">
        <w:rPr>
          <w:rFonts w:ascii="Times New Roman" w:eastAsia="Times New Roman" w:hAnsi="Times New Roman" w:cs="Times New Roman"/>
          <w:i/>
          <w:iCs/>
          <w:sz w:val="24"/>
          <w:szCs w:val="24"/>
        </w:rPr>
        <w:t>Journal of the Neurological 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283</w:t>
      </w:r>
      <w:r w:rsidRPr="0074138E">
        <w:rPr>
          <w:rFonts w:ascii="Times New Roman" w:eastAsia="Times New Roman" w:hAnsi="Times New Roman" w:cs="Times New Roman"/>
          <w:sz w:val="24"/>
          <w:szCs w:val="24"/>
        </w:rPr>
        <w:t xml:space="preserve">(1–2), 163–169. </w:t>
      </w:r>
      <w:hyperlink r:id="rId5801" w:history="1">
        <w:r w:rsidRPr="0074138E">
          <w:rPr>
            <w:rFonts w:ascii="Times New Roman" w:eastAsia="Times New Roman" w:hAnsi="Times New Roman" w:cs="Times New Roman"/>
            <w:color w:val="0000FF"/>
            <w:sz w:val="24"/>
            <w:szCs w:val="24"/>
            <w:u w:val="single"/>
          </w:rPr>
          <w:t>https://doi.org/10.1016/j.jns.2009.02.361</w:t>
        </w:r>
      </w:hyperlink>
    </w:p>
    <w:p w14:paraId="57D599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Tomida, K., Takahashi, N., Saito, S., Maeno, N., Iwamoto, K., Yoshida, K., Kimura, H., Iidaka, T., &amp; Ozaki, N. (2010). Relationship of psychopathological symptoms and cognitive function to subjective quality of life in patients with chronic schizophrenia. </w:t>
      </w:r>
      <w:r w:rsidRPr="0074138E">
        <w:rPr>
          <w:rFonts w:ascii="Times New Roman" w:eastAsia="Times New Roman" w:hAnsi="Times New Roman" w:cs="Times New Roman"/>
          <w:i/>
          <w:iCs/>
          <w:sz w:val="24"/>
          <w:szCs w:val="24"/>
        </w:rPr>
        <w:t>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64</w:t>
      </w:r>
      <w:r w:rsidRPr="0074138E">
        <w:rPr>
          <w:rFonts w:ascii="Times New Roman" w:eastAsia="Times New Roman" w:hAnsi="Times New Roman" w:cs="Times New Roman"/>
          <w:sz w:val="24"/>
          <w:szCs w:val="24"/>
        </w:rPr>
        <w:t xml:space="preserve">(1), 62–69. </w:t>
      </w:r>
      <w:hyperlink r:id="rId5802" w:history="1">
        <w:r w:rsidRPr="0074138E">
          <w:rPr>
            <w:rFonts w:ascii="Times New Roman" w:eastAsia="Times New Roman" w:hAnsi="Times New Roman" w:cs="Times New Roman"/>
            <w:color w:val="0000FF"/>
            <w:sz w:val="24"/>
            <w:szCs w:val="24"/>
            <w:u w:val="single"/>
          </w:rPr>
          <w:t>https://doi.org/10.1111/j.1440-1819.2009.02033.x</w:t>
        </w:r>
      </w:hyperlink>
    </w:p>
    <w:p w14:paraId="386284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Tondo, G., De Marchi, F., Terazzi, E., Sacchetti, M., &amp; Cantello, R. (2017). Frontotemporal dementia presenting as gambling disorder: When a psychiatric condition is the clue to a neurodegenerative disease.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30</w:t>
      </w:r>
      <w:r w:rsidRPr="0074138E">
        <w:rPr>
          <w:rFonts w:ascii="Times New Roman" w:eastAsia="Times New Roman" w:hAnsi="Times New Roman" w:cs="Times New Roman"/>
          <w:sz w:val="24"/>
          <w:szCs w:val="24"/>
        </w:rPr>
        <w:t xml:space="preserve">(2), 62–67. </w:t>
      </w:r>
      <w:hyperlink r:id="rId5803" w:history="1">
        <w:r w:rsidRPr="0074138E">
          <w:rPr>
            <w:rFonts w:ascii="Times New Roman" w:eastAsia="Times New Roman" w:hAnsi="Times New Roman" w:cs="Times New Roman"/>
            <w:color w:val="0000FF"/>
            <w:sz w:val="24"/>
            <w:szCs w:val="24"/>
            <w:u w:val="single"/>
          </w:rPr>
          <w:t>https://doi.org/10.1097/WNN.0000000000000122</w:t>
        </w:r>
      </w:hyperlink>
    </w:p>
    <w:p w14:paraId="368CA4E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Toniolo, R. A., Fernandes, F. de B. F., Silva, M., da Silva Dias, R., &amp; Lafer, B. (2017). Cognitive effects of creatine monohydrate adjunctive therapy in patients with bipolar depression: Results from a randomized, double-blind, placebo-controlled trial.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224</w:t>
      </w:r>
      <w:r w:rsidRPr="0074138E">
        <w:rPr>
          <w:rFonts w:ascii="Times New Roman" w:eastAsia="Times New Roman" w:hAnsi="Times New Roman" w:cs="Times New Roman"/>
          <w:sz w:val="24"/>
          <w:szCs w:val="24"/>
        </w:rPr>
        <w:t xml:space="preserve">, 69–75. </w:t>
      </w:r>
      <w:hyperlink r:id="rId5804" w:history="1">
        <w:r w:rsidRPr="0074138E">
          <w:rPr>
            <w:rFonts w:ascii="Times New Roman" w:eastAsia="Times New Roman" w:hAnsi="Times New Roman" w:cs="Times New Roman"/>
            <w:color w:val="0000FF"/>
            <w:sz w:val="24"/>
            <w:szCs w:val="24"/>
            <w:u w:val="single"/>
          </w:rPr>
          <w:t>https://doi.org/10.1016/j.jad.2016.11.029</w:t>
        </w:r>
      </w:hyperlink>
    </w:p>
    <w:p w14:paraId="4CA001B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Tonkonogy, J. M., &amp; Puente, A. E. (2009). </w:t>
      </w:r>
      <w:r w:rsidRPr="0074138E">
        <w:rPr>
          <w:rFonts w:ascii="Times New Roman" w:eastAsia="Times New Roman" w:hAnsi="Times New Roman" w:cs="Times New Roman"/>
          <w:i/>
          <w:iCs/>
          <w:sz w:val="24"/>
          <w:szCs w:val="24"/>
        </w:rPr>
        <w:t>Localization of clinical syndromes in neuropsychology and neuroscience.</w:t>
      </w:r>
      <w:r w:rsidRPr="0074138E">
        <w:rPr>
          <w:rFonts w:ascii="Times New Roman" w:eastAsia="Times New Roman" w:hAnsi="Times New Roman" w:cs="Times New Roman"/>
          <w:sz w:val="24"/>
          <w:szCs w:val="24"/>
        </w:rPr>
        <w:t xml:space="preserve"> (pp. xv, 846). Springer Publishing Co.</w:t>
      </w:r>
    </w:p>
    <w:p w14:paraId="316FDA9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Toomey, R., Alpern, R., Vasterling, J. J., Baker, D. G., Reda, D. J., Lyons, M. J., Henderson, W. G., Kang, H. K., Eisen, S. A., &amp; Murphy, F. M. (2009). Neuropsychological functioning of U.S. Gulf War veterans 10 years after the war.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(5), 717–729. </w:t>
      </w:r>
      <w:hyperlink r:id="rId5805" w:history="1">
        <w:r w:rsidRPr="0074138E">
          <w:rPr>
            <w:rFonts w:ascii="Times New Roman" w:eastAsia="Times New Roman" w:hAnsi="Times New Roman" w:cs="Times New Roman"/>
            <w:color w:val="0000FF"/>
            <w:sz w:val="24"/>
            <w:szCs w:val="24"/>
            <w:u w:val="single"/>
          </w:rPr>
          <w:t>https://doi.org/10.1017/S1355617709990294</w:t>
        </w:r>
      </w:hyperlink>
    </w:p>
    <w:p w14:paraId="2B20F93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Topçuoğlu, V., Fistikci, N., Ekinci, Ö., Gönentür, A. G., &amp; Agouridas, B. C. (2009). Assessment of executive functions in social phobia patients using the Wisconsin Card Sorting Test. </w:t>
      </w:r>
      <w:r w:rsidRPr="0074138E">
        <w:rPr>
          <w:rFonts w:ascii="Times New Roman" w:eastAsia="Times New Roman" w:hAnsi="Times New Roman" w:cs="Times New Roman"/>
          <w:i/>
          <w:iCs/>
          <w:sz w:val="24"/>
          <w:szCs w:val="24"/>
        </w:rPr>
        <w:t>Türk Psikiyatri Dergisi</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(4), 1–9.</w:t>
      </w:r>
    </w:p>
    <w:p w14:paraId="2B06901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Toplak, M. E., West, R. F., &amp; Stanovich, K. E. (2013). Do performance‐based measures and ratings of executive function assess the same construct? </w:t>
      </w:r>
      <w:r w:rsidRPr="0074138E">
        <w:rPr>
          <w:rFonts w:ascii="Times New Roman" w:eastAsia="Times New Roman" w:hAnsi="Times New Roman" w:cs="Times New Roman"/>
          <w:i/>
          <w:iCs/>
          <w:sz w:val="24"/>
          <w:szCs w:val="24"/>
        </w:rPr>
        <w:t>Journal of Child Psychology and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54</w:t>
      </w:r>
      <w:r w:rsidRPr="0074138E">
        <w:rPr>
          <w:rFonts w:ascii="Times New Roman" w:eastAsia="Times New Roman" w:hAnsi="Times New Roman" w:cs="Times New Roman"/>
          <w:sz w:val="24"/>
          <w:szCs w:val="24"/>
        </w:rPr>
        <w:t>(2), 131–143.</w:t>
      </w:r>
    </w:p>
    <w:p w14:paraId="35D1E67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 J., Dolz, M., Sintes-Estevez, A., de la Serna, E., Puig, O., Muñoz-Samons, D., Pardo, M., Rodríguez-Pascual, M., Sugranyes, G., Sánchez-Gistau, V., &amp; Baeza, I. (2020). Neuropsychological profile of children and adolescents with psychosis risk syndrome: The CAPRIS study. </w:t>
      </w:r>
      <w:r w:rsidRPr="0074138E">
        <w:rPr>
          <w:rFonts w:ascii="Times New Roman" w:eastAsia="Times New Roman" w:hAnsi="Times New Roman" w:cs="Times New Roman"/>
          <w:i/>
          <w:iCs/>
          <w:sz w:val="24"/>
          <w:szCs w:val="24"/>
        </w:rPr>
        <w:t>European Child &amp; Adolescent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(9), 1311–1324. </w:t>
      </w:r>
      <w:hyperlink r:id="rId5806" w:history="1">
        <w:r w:rsidRPr="0074138E">
          <w:rPr>
            <w:rFonts w:ascii="Times New Roman" w:eastAsia="Times New Roman" w:hAnsi="Times New Roman" w:cs="Times New Roman"/>
            <w:color w:val="0000FF"/>
            <w:sz w:val="24"/>
            <w:szCs w:val="24"/>
            <w:u w:val="single"/>
          </w:rPr>
          <w:t>https://doi.org/10.1007/s00787-019-01459-6</w:t>
        </w:r>
      </w:hyperlink>
    </w:p>
    <w:p w14:paraId="5084557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Toren, P., Sadeh, M., Wolmer, L., Eldar, S., Koren, S., Weizman, R., &amp; Laor, N. (2000). Neurocognitive correlates of anxiety disorders in children: A preliminary report. </w:t>
      </w:r>
      <w:r w:rsidRPr="0074138E">
        <w:rPr>
          <w:rFonts w:ascii="Times New Roman" w:eastAsia="Times New Roman" w:hAnsi="Times New Roman" w:cs="Times New Roman"/>
          <w:i/>
          <w:iCs/>
          <w:sz w:val="24"/>
          <w:szCs w:val="24"/>
        </w:rPr>
        <w:t>Journal of Anxiety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14</w:t>
      </w:r>
      <w:r w:rsidRPr="0074138E">
        <w:rPr>
          <w:rFonts w:ascii="Times New Roman" w:eastAsia="Times New Roman" w:hAnsi="Times New Roman" w:cs="Times New Roman"/>
          <w:sz w:val="24"/>
          <w:szCs w:val="24"/>
        </w:rPr>
        <w:t xml:space="preserve">(3), 239–247. </w:t>
      </w:r>
      <w:hyperlink r:id="rId5807" w:history="1">
        <w:r w:rsidRPr="0074138E">
          <w:rPr>
            <w:rFonts w:ascii="Times New Roman" w:eastAsia="Times New Roman" w:hAnsi="Times New Roman" w:cs="Times New Roman"/>
            <w:color w:val="0000FF"/>
            <w:sz w:val="24"/>
            <w:szCs w:val="24"/>
            <w:u w:val="single"/>
          </w:rPr>
          <w:t>https://doi.org/10.1016/S0887-6185(99)00036-5</w:t>
        </w:r>
      </w:hyperlink>
    </w:p>
    <w:p w14:paraId="7FCF094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Torkamani, M., &amp; Jahanshahi, M. (2015). Neuropsychological and neuropsychiatric features of dystonia and the impact of medical and surgical treatment. In </w:t>
      </w:r>
      <w:r w:rsidRPr="0074138E">
        <w:rPr>
          <w:rFonts w:ascii="Times New Roman" w:eastAsia="Times New Roman" w:hAnsi="Times New Roman" w:cs="Times New Roman"/>
          <w:i/>
          <w:iCs/>
          <w:sz w:val="24"/>
          <w:szCs w:val="24"/>
        </w:rPr>
        <w:t>Clinical neuropsychology and cognitive neurology of Parkinson’s disease and other movement disorders.</w:t>
      </w:r>
      <w:r w:rsidRPr="0074138E">
        <w:rPr>
          <w:rFonts w:ascii="Times New Roman" w:eastAsia="Times New Roman" w:hAnsi="Times New Roman" w:cs="Times New Roman"/>
          <w:sz w:val="24"/>
          <w:szCs w:val="24"/>
        </w:rPr>
        <w:t xml:space="preserve"> (pp. 455–483). Oxford University Press.</w:t>
      </w:r>
    </w:p>
    <w:p w14:paraId="44A39CD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Torny, F., Lacoste, M., Videaud, H., Chouly, M., Parveau, M.-C., &amp; Couratier, P. (2009). Comparaison de la qualité de vie de patients atteints d’atrophie multisystématisée et de maladie de Parkinson. [Comparison of quality of life in multiple system atrophy and Parkinson’s disease.]. </w:t>
      </w:r>
      <w:r w:rsidRPr="0074138E">
        <w:rPr>
          <w:rFonts w:ascii="Times New Roman" w:eastAsia="Times New Roman" w:hAnsi="Times New Roman" w:cs="Times New Roman"/>
          <w:i/>
          <w:iCs/>
          <w:sz w:val="24"/>
          <w:szCs w:val="24"/>
        </w:rPr>
        <w:t>Revue Neurologique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165</w:t>
      </w:r>
      <w:r w:rsidRPr="0074138E">
        <w:rPr>
          <w:rFonts w:ascii="Times New Roman" w:eastAsia="Times New Roman" w:hAnsi="Times New Roman" w:cs="Times New Roman"/>
          <w:sz w:val="24"/>
          <w:szCs w:val="24"/>
        </w:rPr>
        <w:t xml:space="preserve">(11), 911–915. </w:t>
      </w:r>
      <w:hyperlink r:id="rId5808" w:history="1">
        <w:r w:rsidRPr="0074138E">
          <w:rPr>
            <w:rFonts w:ascii="Times New Roman" w:eastAsia="Times New Roman" w:hAnsi="Times New Roman" w:cs="Times New Roman"/>
            <w:color w:val="0000FF"/>
            <w:sz w:val="24"/>
            <w:szCs w:val="24"/>
            <w:u w:val="single"/>
          </w:rPr>
          <w:t>https://doi.org/10.1016/j.neurol.2009.02.001</w:t>
        </w:r>
      </w:hyperlink>
    </w:p>
    <w:p w14:paraId="53C5D3C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Gleichgerrcht, E., Ardila, M. J. T., Roca, M., &amp; Manes, F. F. (2015). Differential cognitive and affective theory of mind abilities at mild and moderate stages of behavioral variant frontotemporal dementia.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63–70. </w:t>
      </w:r>
      <w:hyperlink r:id="rId5809" w:history="1">
        <w:r w:rsidRPr="0074138E">
          <w:rPr>
            <w:rFonts w:ascii="Times New Roman" w:eastAsia="Times New Roman" w:hAnsi="Times New Roman" w:cs="Times New Roman"/>
            <w:color w:val="0000FF"/>
            <w:sz w:val="24"/>
            <w:szCs w:val="24"/>
            <w:u w:val="single"/>
          </w:rPr>
          <w:t>https://doi.org/10.1097/WNN.0000000000000053</w:t>
        </w:r>
      </w:hyperlink>
    </w:p>
    <w:p w14:paraId="675A5F0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Gleichgerrcht, E., Lischinsky, A., Roca, M., &amp; Manes, F. (2013). “Ecological” and highly demanding executive tasks detect real-life deficits in high-functioning adult ADHD patients.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w:t>
      </w:r>
      <w:r w:rsidRPr="0074138E">
        <w:rPr>
          <w:rFonts w:ascii="Times New Roman" w:eastAsia="Times New Roman" w:hAnsi="Times New Roman" w:cs="Times New Roman"/>
          <w:sz w:val="24"/>
          <w:szCs w:val="24"/>
        </w:rPr>
        <w:t xml:space="preserve">(1), 11–19. </w:t>
      </w:r>
      <w:hyperlink r:id="rId5810" w:history="1">
        <w:r w:rsidRPr="0074138E">
          <w:rPr>
            <w:rFonts w:ascii="Times New Roman" w:eastAsia="Times New Roman" w:hAnsi="Times New Roman" w:cs="Times New Roman"/>
            <w:color w:val="0000FF"/>
            <w:sz w:val="24"/>
            <w:szCs w:val="24"/>
            <w:u w:val="single"/>
          </w:rPr>
          <w:t>https://doi.org/10.1177/1087054710389988</w:t>
        </w:r>
      </w:hyperlink>
    </w:p>
    <w:p w14:paraId="10FD1C7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Gleichgerrcht, E., Torrente, F., Roca, M., Strejilevich, S. A., Cetkovich, M., Lischinsky, A., &amp; Manes, F. (2011). Neuropsychological functioning in adult bipolar disorder and ADHD patients: A comparative study.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186</w:t>
      </w:r>
      <w:r w:rsidRPr="0074138E">
        <w:rPr>
          <w:rFonts w:ascii="Times New Roman" w:eastAsia="Times New Roman" w:hAnsi="Times New Roman" w:cs="Times New Roman"/>
          <w:sz w:val="24"/>
          <w:szCs w:val="24"/>
        </w:rPr>
        <w:t xml:space="preserve">(2–3), 261–266. </w:t>
      </w:r>
      <w:hyperlink r:id="rId5811" w:history="1">
        <w:r w:rsidRPr="0074138E">
          <w:rPr>
            <w:rFonts w:ascii="Times New Roman" w:eastAsia="Times New Roman" w:hAnsi="Times New Roman" w:cs="Times New Roman"/>
            <w:color w:val="0000FF"/>
            <w:sz w:val="24"/>
            <w:szCs w:val="24"/>
            <w:u w:val="single"/>
          </w:rPr>
          <w:t>https://doi.org/10.1016/j.psychres.2010.08.007</w:t>
        </w:r>
      </w:hyperlink>
    </w:p>
    <w:p w14:paraId="5939B12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Laffaye, T., Báez, S., Gleichgerrcht, E., Bruno, D., Chade, A., Ibañez, A., Manes, F., Gershanik, O., &amp; Roca, M. (2015). Verbal fluency as a rapid screening test for cognitive impairment in early Parkinson’s disease. </w:t>
      </w:r>
      <w:r w:rsidRPr="0074138E">
        <w:rPr>
          <w:rFonts w:ascii="Times New Roman" w:eastAsia="Times New Roman" w:hAnsi="Times New Roman" w:cs="Times New Roman"/>
          <w:i/>
          <w:iCs/>
          <w:sz w:val="24"/>
          <w:szCs w:val="24"/>
        </w:rPr>
        <w:t>The Journal of Neuropsychiatry and Clinical Neurosciences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w:t>
      </w:r>
      <w:r w:rsidRPr="0074138E">
        <w:rPr>
          <w:rFonts w:ascii="Times New Roman" w:eastAsia="Times New Roman" w:hAnsi="Times New Roman" w:cs="Times New Roman"/>
          <w:sz w:val="24"/>
          <w:szCs w:val="24"/>
        </w:rPr>
        <w:t xml:space="preserve">(3), 244–247. </w:t>
      </w:r>
      <w:hyperlink r:id="rId5812" w:history="1">
        <w:r w:rsidRPr="0074138E">
          <w:rPr>
            <w:rFonts w:ascii="Times New Roman" w:eastAsia="Times New Roman" w:hAnsi="Times New Roman" w:cs="Times New Roman"/>
            <w:color w:val="0000FF"/>
            <w:sz w:val="24"/>
            <w:szCs w:val="24"/>
            <w:u w:val="single"/>
          </w:rPr>
          <w:t>https://doi.org/10.1176/appi.neuropsych.14060139</w:t>
        </w:r>
      </w:hyperlink>
    </w:p>
    <w:p w14:paraId="154F3B8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Roca, M., Gleichgerrcht, E., Bekinschtein, T., &amp; Manes, F. (2009). A neuropsychological battery to detect specific executive and social cognitive impairments in early frontotemporal dementia.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132</w:t>
      </w:r>
      <w:r w:rsidRPr="0074138E">
        <w:rPr>
          <w:rFonts w:ascii="Times New Roman" w:eastAsia="Times New Roman" w:hAnsi="Times New Roman" w:cs="Times New Roman"/>
          <w:sz w:val="24"/>
          <w:szCs w:val="24"/>
        </w:rPr>
        <w:t xml:space="preserve">(5), 1299–1309. </w:t>
      </w:r>
      <w:hyperlink r:id="rId5813" w:history="1">
        <w:r w:rsidRPr="0074138E">
          <w:rPr>
            <w:rFonts w:ascii="Times New Roman" w:eastAsia="Times New Roman" w:hAnsi="Times New Roman" w:cs="Times New Roman"/>
            <w:color w:val="0000FF"/>
            <w:sz w:val="24"/>
            <w:szCs w:val="24"/>
            <w:u w:val="single"/>
          </w:rPr>
          <w:t>https://doi.org/10.1093/brain/awp041</w:t>
        </w:r>
      </w:hyperlink>
    </w:p>
    <w:p w14:paraId="1BAA9F2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Torralva, T., Roca, M., Gleichgerrcht, E., López, P., &amp; Manes, F. (2009). INECO Frontal Screening (IFS): A brief, sensitive, and specific tool to assess executive functions in dementia. </w:t>
      </w:r>
      <w:r w:rsidRPr="0074138E">
        <w:rPr>
          <w:rFonts w:ascii="Times New Roman" w:eastAsia="Times New Roman" w:hAnsi="Times New Roman" w:cs="Times New Roman"/>
          <w:i/>
          <w:iCs/>
          <w:sz w:val="24"/>
          <w:szCs w:val="24"/>
        </w:rPr>
        <w:t>Journal of the International Neuropsychological Society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(5), 777–786. </w:t>
      </w:r>
      <w:hyperlink r:id="rId5814" w:history="1">
        <w:r w:rsidRPr="0074138E">
          <w:rPr>
            <w:rFonts w:ascii="Times New Roman" w:eastAsia="Times New Roman" w:hAnsi="Times New Roman" w:cs="Times New Roman"/>
            <w:color w:val="0000FF"/>
            <w:sz w:val="24"/>
            <w:szCs w:val="24"/>
            <w:u w:val="single"/>
          </w:rPr>
          <w:t>https://doi.org/10.1017/S1355617709990415</w:t>
        </w:r>
      </w:hyperlink>
    </w:p>
    <w:p w14:paraId="7BA7719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Torrell, H., Salas, A., Abasolo, N., Morén, C., Garrabou, G., Valero, J., Alonso, Y., Vilella, E., Costas, J., &amp; Martorell, L. (2014). Mitochondrial DNA (mtDNA) variants in the European haplogroups HV, JT, and U do not have a major role in schizophrenia. </w:t>
      </w:r>
      <w:r w:rsidRPr="0074138E">
        <w:rPr>
          <w:rFonts w:ascii="Times New Roman" w:eastAsia="Times New Roman" w:hAnsi="Times New Roman" w:cs="Times New Roman"/>
          <w:i/>
          <w:iCs/>
          <w:sz w:val="24"/>
          <w:szCs w:val="24"/>
        </w:rPr>
        <w:t>American Journal of Medical Genetics Part B: Neuropsychiatric Genetics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165</w:t>
      </w:r>
      <w:r w:rsidRPr="0074138E">
        <w:rPr>
          <w:rFonts w:ascii="Times New Roman" w:eastAsia="Times New Roman" w:hAnsi="Times New Roman" w:cs="Times New Roman"/>
          <w:sz w:val="24"/>
          <w:szCs w:val="24"/>
        </w:rPr>
        <w:t xml:space="preserve">(7), 607–617. </w:t>
      </w:r>
      <w:hyperlink r:id="rId5815" w:history="1">
        <w:r w:rsidRPr="0074138E">
          <w:rPr>
            <w:rFonts w:ascii="Times New Roman" w:eastAsia="Times New Roman" w:hAnsi="Times New Roman" w:cs="Times New Roman"/>
            <w:color w:val="0000FF"/>
            <w:sz w:val="24"/>
            <w:szCs w:val="24"/>
            <w:u w:val="single"/>
          </w:rPr>
          <w:t>https://doi.org/10.1002/ajmg.b.32264</w:t>
        </w:r>
      </w:hyperlink>
    </w:p>
    <w:p w14:paraId="61BE1F1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del Mar Bonnin, C., Martínez-Arán, A., Valle, J., Amann, B. L., González-Pinto, A., Crespo, J. M., Ibáñez, Á., Garcia-Portilla, M. P., Tabarés-Seisdedos, R., Arango, C., Colom, F., Solé, B., Pacchiarotti, I., Rosa, A. R., Ayuso-Mateos, J. L., Anaya, C., Fernández, P., Landín-Romero, R., … Vieta, E. (2013). Efficacy of functional remediation in bipolar disorder: A multicenter randomized controlled study.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170</w:t>
      </w:r>
      <w:r w:rsidRPr="0074138E">
        <w:rPr>
          <w:rFonts w:ascii="Times New Roman" w:eastAsia="Times New Roman" w:hAnsi="Times New Roman" w:cs="Times New Roman"/>
          <w:sz w:val="24"/>
          <w:szCs w:val="24"/>
        </w:rPr>
        <w:t xml:space="preserve">(8), 852–859. </w:t>
      </w:r>
      <w:hyperlink r:id="rId5816" w:history="1">
        <w:r w:rsidRPr="0074138E">
          <w:rPr>
            <w:rFonts w:ascii="Times New Roman" w:eastAsia="Times New Roman" w:hAnsi="Times New Roman" w:cs="Times New Roman"/>
            <w:color w:val="0000FF"/>
            <w:sz w:val="24"/>
            <w:szCs w:val="24"/>
            <w:u w:val="single"/>
          </w:rPr>
          <w:t>https://doi.org/10.1176/appi.ajp.2012.12070971</w:t>
        </w:r>
      </w:hyperlink>
    </w:p>
    <w:p w14:paraId="55BCE3F8"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Martínez-Arán, A., Amann, B., Daban, C., Tabarés-SeisDedos, R., González-Pinto, A., Reinares, M., Benabarre, A., Salamero, M., McKenna, P., &amp; Vieta, E. (2007). Cognitive impairment in schizoaffective disorder: A comparison with non-psychotic bipolar and healthy subjects. </w:t>
      </w:r>
      <w:r w:rsidRPr="0074138E">
        <w:rPr>
          <w:rFonts w:ascii="Times New Roman" w:eastAsia="Times New Roman" w:hAnsi="Times New Roman" w:cs="Times New Roman"/>
          <w:i/>
          <w:iCs/>
          <w:sz w:val="24"/>
          <w:szCs w:val="24"/>
        </w:rPr>
        <w:t>Acta Psychiatrica Scandinavica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116</w:t>
      </w:r>
      <w:r w:rsidRPr="0074138E">
        <w:rPr>
          <w:rFonts w:ascii="Times New Roman" w:eastAsia="Times New Roman" w:hAnsi="Times New Roman" w:cs="Times New Roman"/>
          <w:sz w:val="24"/>
          <w:szCs w:val="24"/>
        </w:rPr>
        <w:t xml:space="preserve">(6), 453–460. </w:t>
      </w:r>
      <w:hyperlink r:id="rId5817" w:history="1">
        <w:r w:rsidRPr="0074138E">
          <w:rPr>
            <w:rFonts w:ascii="Times New Roman" w:eastAsia="Times New Roman" w:hAnsi="Times New Roman" w:cs="Times New Roman"/>
            <w:color w:val="0000FF"/>
            <w:sz w:val="24"/>
            <w:szCs w:val="24"/>
            <w:u w:val="single"/>
          </w:rPr>
          <w:t>https://doi.org/10.1111/j.1600-0447.2007.01072.x</w:t>
        </w:r>
      </w:hyperlink>
    </w:p>
    <w:p w14:paraId="4A8276A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Martinez-Arán, A., del Mar Bonnin, C., Reinares, M., Daban, C., Solé, B., Rosa, A. R., Tabarés-Seisdedos, R., Popovic, D., Salamero, M., &amp; Vieta, E. (2012). Long-term outcome of cognitive impairment in bipolar disorder. </w:t>
      </w:r>
      <w:r w:rsidRPr="0074138E">
        <w:rPr>
          <w:rFonts w:ascii="Times New Roman" w:eastAsia="Times New Roman" w:hAnsi="Times New Roman" w:cs="Times New Roman"/>
          <w:i/>
          <w:iCs/>
          <w:sz w:val="24"/>
          <w:szCs w:val="24"/>
        </w:rPr>
        <w:t>The Journal of Clinical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73</w:t>
      </w:r>
      <w:r w:rsidRPr="0074138E">
        <w:rPr>
          <w:rFonts w:ascii="Times New Roman" w:eastAsia="Times New Roman" w:hAnsi="Times New Roman" w:cs="Times New Roman"/>
          <w:sz w:val="24"/>
          <w:szCs w:val="24"/>
        </w:rPr>
        <w:t xml:space="preserve">(7), e899–e905. </w:t>
      </w:r>
      <w:hyperlink r:id="rId5818" w:history="1">
        <w:r w:rsidRPr="0074138E">
          <w:rPr>
            <w:rFonts w:ascii="Times New Roman" w:eastAsia="Times New Roman" w:hAnsi="Times New Roman" w:cs="Times New Roman"/>
            <w:color w:val="0000FF"/>
            <w:sz w:val="24"/>
            <w:szCs w:val="24"/>
            <w:u w:val="single"/>
          </w:rPr>
          <w:t>https://doi.org/10.4088/JCP.11m07471</w:t>
        </w:r>
      </w:hyperlink>
    </w:p>
    <w:p w14:paraId="0A0F1BD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 C., Reinares, M., Martinez-Arán, A., Cabrera, B., Amoretti, S., Corripio, I., Contreras, F., Sarró, S., González-Pinto, A., Lobo, A., Cuesta, M. J., Sánchez-Torres, A., Bergé, D., Castro-Fornieles, J., Moreno, C., Bernardo, M., &amp; Vieta, E. (2018). Affective versus non-affective first episode psychoses: A longitudinal study. </w:t>
      </w:r>
      <w:r w:rsidRPr="0074138E">
        <w:rPr>
          <w:rFonts w:ascii="Times New Roman" w:eastAsia="Times New Roman" w:hAnsi="Times New Roman" w:cs="Times New Roman"/>
          <w:i/>
          <w:iCs/>
          <w:sz w:val="24"/>
          <w:szCs w:val="24"/>
        </w:rPr>
        <w:t>Journal of Affective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238</w:t>
      </w:r>
      <w:r w:rsidRPr="0074138E">
        <w:rPr>
          <w:rFonts w:ascii="Times New Roman" w:eastAsia="Times New Roman" w:hAnsi="Times New Roman" w:cs="Times New Roman"/>
          <w:sz w:val="24"/>
          <w:szCs w:val="24"/>
        </w:rPr>
        <w:t xml:space="preserve">, 297–304. </w:t>
      </w:r>
      <w:hyperlink r:id="rId5819" w:history="1">
        <w:r w:rsidRPr="0074138E">
          <w:rPr>
            <w:rFonts w:ascii="Times New Roman" w:eastAsia="Times New Roman" w:hAnsi="Times New Roman" w:cs="Times New Roman"/>
            <w:color w:val="0000FF"/>
            <w:sz w:val="24"/>
            <w:szCs w:val="24"/>
            <w:u w:val="single"/>
          </w:rPr>
          <w:t>https://doi.org/10.1016/j.jad.2018.06.005</w:t>
        </w:r>
      </w:hyperlink>
    </w:p>
    <w:p w14:paraId="00ACF1C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Torrente, F., Lischinsky, A., Torralva, T., López, P., Roca, M., &amp; Manes, F. (2011). Not always hyperactive? Elevated apathy scores in adolescents and adults with ADHD. </w:t>
      </w:r>
      <w:r w:rsidRPr="0074138E">
        <w:rPr>
          <w:rFonts w:ascii="Times New Roman" w:eastAsia="Times New Roman" w:hAnsi="Times New Roman" w:cs="Times New Roman"/>
          <w:i/>
          <w:iCs/>
          <w:sz w:val="24"/>
          <w:szCs w:val="24"/>
        </w:rPr>
        <w:t>Journal of Attention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(7), 545–556. </w:t>
      </w:r>
      <w:hyperlink r:id="rId5820" w:history="1">
        <w:r w:rsidRPr="0074138E">
          <w:rPr>
            <w:rFonts w:ascii="Times New Roman" w:eastAsia="Times New Roman" w:hAnsi="Times New Roman" w:cs="Times New Roman"/>
            <w:color w:val="0000FF"/>
            <w:sz w:val="24"/>
            <w:szCs w:val="24"/>
            <w:u w:val="single"/>
          </w:rPr>
          <w:t>https://doi.org/10.1177/1087054709359887</w:t>
        </w:r>
      </w:hyperlink>
    </w:p>
    <w:p w14:paraId="05C37EB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Torres Carbajo, A., Méndez, L., Olivares, J. M., &amp; Vaamonde, A. (2001). Déficit cognitivo y esquizofrenia. [Cognitive deficit and schizophrenia.]. </w:t>
      </w:r>
      <w:r w:rsidRPr="0074138E">
        <w:rPr>
          <w:rFonts w:ascii="Times New Roman" w:eastAsia="Times New Roman" w:hAnsi="Times New Roman" w:cs="Times New Roman"/>
          <w:i/>
          <w:iCs/>
          <w:sz w:val="24"/>
          <w:szCs w:val="24"/>
        </w:rPr>
        <w:t>Actas Españolas de Psiquiatría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(1), 1–9.</w:t>
      </w:r>
    </w:p>
    <w:p w14:paraId="37E0E0C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Torres, I. J., Kozicky, J., Popuri, S., Bond, D. J., Honer, W. G., Lam, R. W., &amp; Yatham, L. N. (2014). 12‐month longitudinal cognitive functioning in patients recently diagnosed with bipolar disorder. </w:t>
      </w:r>
      <w:r w:rsidRPr="0074138E">
        <w:rPr>
          <w:rFonts w:ascii="Times New Roman" w:eastAsia="Times New Roman" w:hAnsi="Times New Roman" w:cs="Times New Roman"/>
          <w:i/>
          <w:iCs/>
          <w:sz w:val="24"/>
          <w:szCs w:val="24"/>
        </w:rPr>
        <w:t>Bipolar Disorders</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w:t>
      </w:r>
      <w:r w:rsidRPr="0074138E">
        <w:rPr>
          <w:rFonts w:ascii="Times New Roman" w:eastAsia="Times New Roman" w:hAnsi="Times New Roman" w:cs="Times New Roman"/>
          <w:sz w:val="24"/>
          <w:szCs w:val="24"/>
        </w:rPr>
        <w:t xml:space="preserve">(2), 159–171. </w:t>
      </w:r>
      <w:hyperlink r:id="rId5821" w:history="1">
        <w:r w:rsidRPr="0074138E">
          <w:rPr>
            <w:rFonts w:ascii="Times New Roman" w:eastAsia="Times New Roman" w:hAnsi="Times New Roman" w:cs="Times New Roman"/>
            <w:color w:val="0000FF"/>
            <w:sz w:val="24"/>
            <w:szCs w:val="24"/>
            <w:u w:val="single"/>
          </w:rPr>
          <w:t>https://doi.org/10.1111/bdi.12154</w:t>
        </w:r>
      </w:hyperlink>
    </w:p>
    <w:p w14:paraId="491C6E1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Torres, V. L., Vila-Castelar, C., Bocanegra, Y., Baena, A., Guzmán-Vélez, E., Aguirre-Acevedo, D. C., Tirado, V., Munoz, C., Henao, E., Moreno, S., Giraldo, M., Acosta, N., Rios Romenets, S., Langbaum, J. B., Cho, W., Reiman, E. M., Tariot, P. N., Rosselli, M., Quiroz, Y. T., &amp; Lopera, F. (2021). Normative data stratified by age and education for a Spanish neuropsychological test battery: Results from the Colombian Alzheimer’s prevention initiative registry. </w:t>
      </w:r>
      <w:r w:rsidRPr="0074138E">
        <w:rPr>
          <w:rFonts w:ascii="Times New Roman" w:eastAsia="Times New Roman" w:hAnsi="Times New Roman" w:cs="Times New Roman"/>
          <w:i/>
          <w:iCs/>
          <w:sz w:val="24"/>
          <w:szCs w:val="24"/>
        </w:rPr>
        <w:t>Applied Neuropsychology: Adult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28</w:t>
      </w:r>
      <w:r w:rsidRPr="0074138E">
        <w:rPr>
          <w:rFonts w:ascii="Times New Roman" w:eastAsia="Times New Roman" w:hAnsi="Times New Roman" w:cs="Times New Roman"/>
          <w:sz w:val="24"/>
          <w:szCs w:val="24"/>
        </w:rPr>
        <w:t xml:space="preserve">(2), 230–244. </w:t>
      </w:r>
      <w:hyperlink r:id="rId5822" w:history="1">
        <w:r w:rsidRPr="0074138E">
          <w:rPr>
            <w:rFonts w:ascii="Times New Roman" w:eastAsia="Times New Roman" w:hAnsi="Times New Roman" w:cs="Times New Roman"/>
            <w:color w:val="0000FF"/>
            <w:sz w:val="24"/>
            <w:szCs w:val="24"/>
            <w:u w:val="single"/>
          </w:rPr>
          <w:t>https://doi.org/10.1080/23279095.2019.1627357</w:t>
        </w:r>
      </w:hyperlink>
    </w:p>
    <w:p w14:paraId="62B87EF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Torriero, S., Oliveri, M., Koch, G., Lo Gerfo, E., Salerno, S., Petrosini, L., &amp; Caltagirone, C. (2007). Cortical networks of procedural learning: Evidence from cerebellar damage.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45</w:t>
      </w:r>
      <w:r w:rsidRPr="0074138E">
        <w:rPr>
          <w:rFonts w:ascii="Times New Roman" w:eastAsia="Times New Roman" w:hAnsi="Times New Roman" w:cs="Times New Roman"/>
          <w:sz w:val="24"/>
          <w:szCs w:val="24"/>
        </w:rPr>
        <w:t xml:space="preserve">(6), 1208–1214. </w:t>
      </w:r>
      <w:hyperlink r:id="rId5823" w:history="1">
        <w:r w:rsidRPr="0074138E">
          <w:rPr>
            <w:rFonts w:ascii="Times New Roman" w:eastAsia="Times New Roman" w:hAnsi="Times New Roman" w:cs="Times New Roman"/>
            <w:color w:val="0000FF"/>
            <w:sz w:val="24"/>
            <w:szCs w:val="24"/>
            <w:u w:val="single"/>
          </w:rPr>
          <w:t>https://doi.org/10.1016/j.neuropsychologia.2006.10.007</w:t>
        </w:r>
      </w:hyperlink>
    </w:p>
    <w:p w14:paraId="5AEB80F4"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Tost, H., Meyer-Lindenberg, A., Klein, S., Schmitt, A., Höhn, F., Tenckhoff, A., Ruf, M., Ende, G., Rietschel, M., Henn, F. A., &amp; Braus, D. F. (2006). D₂ Antidopaminergic Modulation of Frontal Lobe Function in Healthy Human Subjects. </w:t>
      </w:r>
      <w:r w:rsidRPr="0074138E">
        <w:rPr>
          <w:rFonts w:ascii="Times New Roman" w:eastAsia="Times New Roman" w:hAnsi="Times New Roman" w:cs="Times New Roman"/>
          <w:i/>
          <w:iCs/>
          <w:sz w:val="24"/>
          <w:szCs w:val="24"/>
        </w:rPr>
        <w:t>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60</w:t>
      </w:r>
      <w:r w:rsidRPr="0074138E">
        <w:rPr>
          <w:rFonts w:ascii="Times New Roman" w:eastAsia="Times New Roman" w:hAnsi="Times New Roman" w:cs="Times New Roman"/>
          <w:sz w:val="24"/>
          <w:szCs w:val="24"/>
        </w:rPr>
        <w:t xml:space="preserve">(11), 1196–1205. </w:t>
      </w:r>
      <w:hyperlink r:id="rId5824" w:history="1">
        <w:r w:rsidRPr="0074138E">
          <w:rPr>
            <w:rFonts w:ascii="Times New Roman" w:eastAsia="Times New Roman" w:hAnsi="Times New Roman" w:cs="Times New Roman"/>
            <w:color w:val="0000FF"/>
            <w:sz w:val="24"/>
            <w:szCs w:val="24"/>
            <w:u w:val="single"/>
          </w:rPr>
          <w:t>https://doi.org/10.1016/j.biopsych.2006.04.014</w:t>
        </w:r>
      </w:hyperlink>
    </w:p>
    <w:p w14:paraId="17BEE576" w14:textId="09CF98B9" w:rsid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Tost, H., Wendt, C. S., Schmitt, A., Heinz, A., &amp; Braus, D. F. (2004). Huntington’s Disease: Phenomenological Diversity of a Neuropsychiatric Condition That Challenges Traditional Concepts in Neurology and Psychiatry. </w:t>
      </w:r>
      <w:r w:rsidRPr="0074138E">
        <w:rPr>
          <w:rFonts w:ascii="Times New Roman" w:eastAsia="Times New Roman" w:hAnsi="Times New Roman" w:cs="Times New Roman"/>
          <w:i/>
          <w:iCs/>
          <w:sz w:val="24"/>
          <w:szCs w:val="24"/>
        </w:rPr>
        <w:t>The American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161</w:t>
      </w:r>
      <w:r w:rsidRPr="0074138E">
        <w:rPr>
          <w:rFonts w:ascii="Times New Roman" w:eastAsia="Times New Roman" w:hAnsi="Times New Roman" w:cs="Times New Roman"/>
          <w:sz w:val="24"/>
          <w:szCs w:val="24"/>
        </w:rPr>
        <w:t xml:space="preserve">(1), 28–34. </w:t>
      </w:r>
      <w:hyperlink r:id="rId5825" w:history="1">
        <w:r w:rsidRPr="0074138E">
          <w:rPr>
            <w:rFonts w:ascii="Times New Roman" w:eastAsia="Times New Roman" w:hAnsi="Times New Roman" w:cs="Times New Roman"/>
            <w:color w:val="0000FF"/>
            <w:sz w:val="24"/>
            <w:szCs w:val="24"/>
            <w:u w:val="single"/>
          </w:rPr>
          <w:t>https://doi.org/10.1176/appi.ajp.161.1.28</w:t>
        </w:r>
      </w:hyperlink>
    </w:p>
    <w:p w14:paraId="7C229731" w14:textId="71B48FEE" w:rsidR="003C721D" w:rsidRPr="0074138E" w:rsidRDefault="003C721D"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Τournikioti, Κ., Dikeos, D., Αlevizaki, Μ., Michopoulos, Ι., Ferentinos, P., Porichi, Ε., Soldatos, C. R., &amp; Douzenis, Α. (2018). Hypothalamus-pituitary-adrenal (HPA) axis parameters and neurocognitive evaluation in patients with bipolar disorder. </w:t>
      </w:r>
      <w:r w:rsidRPr="00DB4C76">
        <w:rPr>
          <w:rFonts w:ascii="Times New Roman" w:eastAsia="Times New Roman" w:hAnsi="Times New Roman" w:cs="Times New Roman"/>
          <w:i/>
          <w:iCs/>
          <w:sz w:val="24"/>
          <w:szCs w:val="24"/>
        </w:rPr>
        <w:t>Psychiatriki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(3), 199–208. </w:t>
      </w:r>
      <w:hyperlink r:id="rId5826" w:history="1">
        <w:r w:rsidRPr="00DB4C76">
          <w:rPr>
            <w:rFonts w:ascii="Times New Roman" w:eastAsia="Times New Roman" w:hAnsi="Times New Roman" w:cs="Times New Roman"/>
            <w:color w:val="0000FF"/>
            <w:sz w:val="24"/>
            <w:szCs w:val="24"/>
            <w:u w:val="single"/>
          </w:rPr>
          <w:t>https://doi.org/10.22365/jpsych.2018.293.199</w:t>
        </w:r>
      </w:hyperlink>
    </w:p>
    <w:p w14:paraId="1175AB0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Townsend, L. A., Norman, R. M. G., Malla, A. K., Rychlo, A. D., &amp; Ahmed, R. R. (2002). Changes in cognitive functioning following comprehensive treatment for first episode patients with schizophrenia spectrum disorders.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113</w:t>
      </w:r>
      <w:r w:rsidRPr="0074138E">
        <w:rPr>
          <w:rFonts w:ascii="Times New Roman" w:eastAsia="Times New Roman" w:hAnsi="Times New Roman" w:cs="Times New Roman"/>
          <w:sz w:val="24"/>
          <w:szCs w:val="24"/>
        </w:rPr>
        <w:t xml:space="preserve">(1–2), 69–81. </w:t>
      </w:r>
      <w:hyperlink r:id="rId5827" w:history="1">
        <w:r w:rsidRPr="0074138E">
          <w:rPr>
            <w:rFonts w:ascii="Times New Roman" w:eastAsia="Times New Roman" w:hAnsi="Times New Roman" w:cs="Times New Roman"/>
            <w:color w:val="0000FF"/>
            <w:sz w:val="24"/>
            <w:szCs w:val="24"/>
            <w:u w:val="single"/>
          </w:rPr>
          <w:t>https://doi.org/10.1016/S0165-1781(02)00236-6</w:t>
        </w:r>
      </w:hyperlink>
    </w:p>
    <w:p w14:paraId="6A2EBFC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Toyomaki, A., Kusumi, I., Matsuyama, T., Kako, Y., Ito, K., &amp; Koyama, T. (2008). Tone duration mismatch negativity deficits predict impairment of executive function in schizophrenia. </w:t>
      </w:r>
      <w:r w:rsidRPr="0074138E">
        <w:rPr>
          <w:rFonts w:ascii="Times New Roman" w:eastAsia="Times New Roman" w:hAnsi="Times New Roman" w:cs="Times New Roman"/>
          <w:i/>
          <w:iCs/>
          <w:sz w:val="24"/>
          <w:szCs w:val="24"/>
        </w:rPr>
        <w:t>Progress in Neuro-Psychopharmacology &amp; Biological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32</w:t>
      </w:r>
      <w:r w:rsidRPr="0074138E">
        <w:rPr>
          <w:rFonts w:ascii="Times New Roman" w:eastAsia="Times New Roman" w:hAnsi="Times New Roman" w:cs="Times New Roman"/>
          <w:sz w:val="24"/>
          <w:szCs w:val="24"/>
        </w:rPr>
        <w:t xml:space="preserve">(1), 95–99. </w:t>
      </w:r>
      <w:hyperlink r:id="rId5828" w:history="1">
        <w:r w:rsidRPr="0074138E">
          <w:rPr>
            <w:rFonts w:ascii="Times New Roman" w:eastAsia="Times New Roman" w:hAnsi="Times New Roman" w:cs="Times New Roman"/>
            <w:color w:val="0000FF"/>
            <w:sz w:val="24"/>
            <w:szCs w:val="24"/>
            <w:u w:val="single"/>
          </w:rPr>
          <w:t>https://doi.org/10.1016/j.pnpbp.2007.07.020</w:t>
        </w:r>
      </w:hyperlink>
    </w:p>
    <w:p w14:paraId="1E7FEA6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Toyoshima, K., Fujii, Y., Mitsui, N., Kako, Y., Asakura, S., Martinez-Aran, A., Vieta, E., &amp; Kusumi, I. (2017). Validity and reliability of the Cognitive Complaints in Bipolar Disorder Rating Assessment (COBRA) in Japanese patients with bipolar disorder.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254</w:t>
      </w:r>
      <w:r w:rsidRPr="0074138E">
        <w:rPr>
          <w:rFonts w:ascii="Times New Roman" w:eastAsia="Times New Roman" w:hAnsi="Times New Roman" w:cs="Times New Roman"/>
          <w:sz w:val="24"/>
          <w:szCs w:val="24"/>
        </w:rPr>
        <w:t xml:space="preserve">, 85–89. </w:t>
      </w:r>
      <w:hyperlink r:id="rId5829" w:history="1">
        <w:r w:rsidRPr="0074138E">
          <w:rPr>
            <w:rFonts w:ascii="Times New Roman" w:eastAsia="Times New Roman" w:hAnsi="Times New Roman" w:cs="Times New Roman"/>
            <w:color w:val="0000FF"/>
            <w:sz w:val="24"/>
            <w:szCs w:val="24"/>
            <w:u w:val="single"/>
          </w:rPr>
          <w:t>https://doi.org/10.1016/j.psychres.2017.04.043</w:t>
        </w:r>
      </w:hyperlink>
    </w:p>
    <w:p w14:paraId="2C50DC6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Toyoshima, K., Kako, Y., Toyomaki, A., Shimizu, Y., Tanaka, T., Nakagawa, S., Inoue, T., Martinez-Aran, A., Vieta, E., &amp; Kusumi, I. (2019). Associations between cognitive impairment and quality of life in euthymic bipolar patients. </w:t>
      </w:r>
      <w:r w:rsidRPr="0074138E">
        <w:rPr>
          <w:rFonts w:ascii="Times New Roman" w:eastAsia="Times New Roman" w:hAnsi="Times New Roman" w:cs="Times New Roman"/>
          <w:i/>
          <w:iCs/>
          <w:sz w:val="24"/>
          <w:szCs w:val="24"/>
        </w:rPr>
        <w:t>Psychiatry Research</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271</w:t>
      </w:r>
      <w:r w:rsidRPr="0074138E">
        <w:rPr>
          <w:rFonts w:ascii="Times New Roman" w:eastAsia="Times New Roman" w:hAnsi="Times New Roman" w:cs="Times New Roman"/>
          <w:sz w:val="24"/>
          <w:szCs w:val="24"/>
        </w:rPr>
        <w:t xml:space="preserve">, 510–515. </w:t>
      </w:r>
      <w:hyperlink r:id="rId5830" w:history="1">
        <w:r w:rsidRPr="0074138E">
          <w:rPr>
            <w:rFonts w:ascii="Times New Roman" w:eastAsia="Times New Roman" w:hAnsi="Times New Roman" w:cs="Times New Roman"/>
            <w:color w:val="0000FF"/>
            <w:sz w:val="24"/>
            <w:szCs w:val="24"/>
            <w:u w:val="single"/>
          </w:rPr>
          <w:t>https://doi.org/10.1016/j.psychres.2018.11.061</w:t>
        </w:r>
      </w:hyperlink>
    </w:p>
    <w:p w14:paraId="3523DA2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Tracy, V. L., Basso, M. R., Marson, D. C., Combs, D. R., &amp; Whiteside, D. M. (2017). Capacity for financial decision making in multiple sclerosis.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39</w:t>
      </w:r>
      <w:r w:rsidRPr="0074138E">
        <w:rPr>
          <w:rFonts w:ascii="Times New Roman" w:eastAsia="Times New Roman" w:hAnsi="Times New Roman" w:cs="Times New Roman"/>
          <w:sz w:val="24"/>
          <w:szCs w:val="24"/>
        </w:rPr>
        <w:t xml:space="preserve">(1), 46–57. </w:t>
      </w:r>
      <w:hyperlink r:id="rId5831" w:history="1">
        <w:r w:rsidRPr="0074138E">
          <w:rPr>
            <w:rFonts w:ascii="Times New Roman" w:eastAsia="Times New Roman" w:hAnsi="Times New Roman" w:cs="Times New Roman"/>
            <w:color w:val="0000FF"/>
            <w:sz w:val="24"/>
            <w:szCs w:val="24"/>
            <w:u w:val="single"/>
          </w:rPr>
          <w:t>https://doi.org/10.1080/13803395.2016.1201050</w:t>
        </w:r>
      </w:hyperlink>
    </w:p>
    <w:p w14:paraId="3B7493E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Traianou, A., Patrikelis, P., Kosmidis, M. H., Kimiskidis, V. Κ., &amp; Gatzonis, S. (2019). The neuropsychological profile of parietal and occipital lobe epilepsy. </w:t>
      </w:r>
      <w:r w:rsidRPr="0074138E">
        <w:rPr>
          <w:rFonts w:ascii="Times New Roman" w:eastAsia="Times New Roman" w:hAnsi="Times New Roman" w:cs="Times New Roman"/>
          <w:i/>
          <w:iCs/>
          <w:sz w:val="24"/>
          <w:szCs w:val="24"/>
        </w:rPr>
        <w:t>Epilepsy &amp;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94</w:t>
      </w:r>
      <w:r w:rsidRPr="0074138E">
        <w:rPr>
          <w:rFonts w:ascii="Times New Roman" w:eastAsia="Times New Roman" w:hAnsi="Times New Roman" w:cs="Times New Roman"/>
          <w:sz w:val="24"/>
          <w:szCs w:val="24"/>
        </w:rPr>
        <w:t xml:space="preserve">, 137–143. </w:t>
      </w:r>
      <w:hyperlink r:id="rId5832" w:history="1">
        <w:r w:rsidRPr="0074138E">
          <w:rPr>
            <w:rFonts w:ascii="Times New Roman" w:eastAsia="Times New Roman" w:hAnsi="Times New Roman" w:cs="Times New Roman"/>
            <w:color w:val="0000FF"/>
            <w:sz w:val="24"/>
            <w:szCs w:val="24"/>
            <w:u w:val="single"/>
          </w:rPr>
          <w:t>https://doi.org/10.1016/j.yebeh.2019.02.021</w:t>
        </w:r>
      </w:hyperlink>
    </w:p>
    <w:p w14:paraId="025B1CA7"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Tramoni, E., Aubert-Khalfa, S., Guye, M., Ranjeva, J. P., Felician, O., &amp; Ceccaldi, M. (2009). Hypo-retrieval and hyper-suppression mechanisms in functional amnesia.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47</w:t>
      </w:r>
      <w:r w:rsidRPr="0074138E">
        <w:rPr>
          <w:rFonts w:ascii="Times New Roman" w:eastAsia="Times New Roman" w:hAnsi="Times New Roman" w:cs="Times New Roman"/>
          <w:sz w:val="24"/>
          <w:szCs w:val="24"/>
        </w:rPr>
        <w:t xml:space="preserve">(3), 611–624. </w:t>
      </w:r>
      <w:hyperlink r:id="rId5833" w:history="1">
        <w:r w:rsidRPr="0074138E">
          <w:rPr>
            <w:rFonts w:ascii="Times New Roman" w:eastAsia="Times New Roman" w:hAnsi="Times New Roman" w:cs="Times New Roman"/>
            <w:color w:val="0000FF"/>
            <w:sz w:val="24"/>
            <w:szCs w:val="24"/>
            <w:u w:val="single"/>
          </w:rPr>
          <w:t>https://doi.org/10.1016/j.neuropsychologia.2008.11.012</w:t>
        </w:r>
      </w:hyperlink>
    </w:p>
    <w:p w14:paraId="7C66DF5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Tramoni, E., Felician, O., Barbeau, E. J., Guedj, E., Guye, M., Bartolomei, F., &amp; Ceccaldi, M. (2011). Long-term consolidation of declarative memory: Insight from temporal lobe epilepsy. </w:t>
      </w:r>
      <w:r w:rsidRPr="0074138E">
        <w:rPr>
          <w:rFonts w:ascii="Times New Roman" w:eastAsia="Times New Roman" w:hAnsi="Times New Roman" w:cs="Times New Roman"/>
          <w:i/>
          <w:iCs/>
          <w:sz w:val="24"/>
          <w:szCs w:val="24"/>
        </w:rPr>
        <w:t>Brain: A Journal of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134</w:t>
      </w:r>
      <w:r w:rsidRPr="0074138E">
        <w:rPr>
          <w:rFonts w:ascii="Times New Roman" w:eastAsia="Times New Roman" w:hAnsi="Times New Roman" w:cs="Times New Roman"/>
          <w:sz w:val="24"/>
          <w:szCs w:val="24"/>
        </w:rPr>
        <w:t xml:space="preserve">(3), 816–831. </w:t>
      </w:r>
      <w:hyperlink r:id="rId5834" w:history="1">
        <w:r w:rsidRPr="0074138E">
          <w:rPr>
            <w:rFonts w:ascii="Times New Roman" w:eastAsia="Times New Roman" w:hAnsi="Times New Roman" w:cs="Times New Roman"/>
            <w:color w:val="0000FF"/>
            <w:sz w:val="24"/>
            <w:szCs w:val="24"/>
            <w:u w:val="single"/>
          </w:rPr>
          <w:t>https://doi.org/10.1093/brain/awr002</w:t>
        </w:r>
      </w:hyperlink>
    </w:p>
    <w:p w14:paraId="119256E3"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Tramontana, M. G., Molinari, A. L., Konrad, P. E., Davis, T. L., Wylie, S. A., Neimat, J. S., May, A. T., Phibbs, F. T., Hedera, P., Gill, C. E., Salomon, R. M., Wang, L., Song, Y., &amp; Charles, D. (2015). Neuropsychological effects of deep brain stimulation in subjects with early stage Parkinson’s disease in a randomized clinical trial. </w:t>
      </w:r>
      <w:r w:rsidRPr="0074138E">
        <w:rPr>
          <w:rFonts w:ascii="Times New Roman" w:eastAsia="Times New Roman" w:hAnsi="Times New Roman" w:cs="Times New Roman"/>
          <w:i/>
          <w:iCs/>
          <w:sz w:val="24"/>
          <w:szCs w:val="24"/>
        </w:rPr>
        <w:t>Journal of Parkinson’s Disease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w:t>
      </w:r>
      <w:r w:rsidRPr="0074138E">
        <w:rPr>
          <w:rFonts w:ascii="Times New Roman" w:eastAsia="Times New Roman" w:hAnsi="Times New Roman" w:cs="Times New Roman"/>
          <w:sz w:val="24"/>
          <w:szCs w:val="24"/>
        </w:rPr>
        <w:t>(1), 151–163.</w:t>
      </w:r>
    </w:p>
    <w:p w14:paraId="361C03E1"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Tramontina, J. F., Yates, D., da Silva Magalhães, P. V., Trentini, C., Sant’Anna, M. K., Fries, G. R., Bock, H., Saraiva-Pereira, M. L., &amp; Kapczinski, F. (2009). Brain-derived neurotrophic factor gene val66met polymorphism and executive functioning in patients with bipolar disorder. </w:t>
      </w:r>
      <w:r w:rsidRPr="0074138E">
        <w:rPr>
          <w:rFonts w:ascii="Times New Roman" w:eastAsia="Times New Roman" w:hAnsi="Times New Roman" w:cs="Times New Roman"/>
          <w:i/>
          <w:iCs/>
          <w:sz w:val="24"/>
          <w:szCs w:val="24"/>
        </w:rPr>
        <w:t>Revista Brasileira de Psiquiatria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31</w:t>
      </w:r>
      <w:r w:rsidRPr="0074138E">
        <w:rPr>
          <w:rFonts w:ascii="Times New Roman" w:eastAsia="Times New Roman" w:hAnsi="Times New Roman" w:cs="Times New Roman"/>
          <w:sz w:val="24"/>
          <w:szCs w:val="24"/>
        </w:rPr>
        <w:t xml:space="preserve">(2), 136–140. </w:t>
      </w:r>
      <w:hyperlink r:id="rId5835" w:history="1">
        <w:r w:rsidRPr="0074138E">
          <w:rPr>
            <w:rFonts w:ascii="Times New Roman" w:eastAsia="Times New Roman" w:hAnsi="Times New Roman" w:cs="Times New Roman"/>
            <w:color w:val="0000FF"/>
            <w:sz w:val="24"/>
            <w:szCs w:val="24"/>
            <w:u w:val="single"/>
          </w:rPr>
          <w:t>https://doi.org/10.1590/S1516-44462009000200010</w:t>
        </w:r>
      </w:hyperlink>
    </w:p>
    <w:p w14:paraId="6BCD982A"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(2009). The Iowa-Benton School of Neuropsychological Assessment. In </w:t>
      </w:r>
      <w:r w:rsidRPr="0074138E">
        <w:rPr>
          <w:rFonts w:ascii="Times New Roman" w:eastAsia="Times New Roman" w:hAnsi="Times New Roman" w:cs="Times New Roman"/>
          <w:i/>
          <w:iCs/>
          <w:sz w:val="24"/>
          <w:szCs w:val="24"/>
        </w:rPr>
        <w:t>Neuropsychological assessment of neuropsychiatric and neuromedical disorders, 3rd ed.</w:t>
      </w:r>
      <w:r w:rsidRPr="0074138E">
        <w:rPr>
          <w:rFonts w:ascii="Times New Roman" w:eastAsia="Times New Roman" w:hAnsi="Times New Roman" w:cs="Times New Roman"/>
          <w:sz w:val="24"/>
          <w:szCs w:val="24"/>
        </w:rPr>
        <w:t xml:space="preserve"> (pp. 66–83). Oxford University Press.</w:t>
      </w:r>
    </w:p>
    <w:p w14:paraId="495383C2"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&amp; Bechara, A. (2009). Sex-related functional asymmetry of the amygdala: Preliminary evidence using a case-matched lesion approach. </w:t>
      </w:r>
      <w:r w:rsidRPr="0074138E">
        <w:rPr>
          <w:rFonts w:ascii="Times New Roman" w:eastAsia="Times New Roman" w:hAnsi="Times New Roman" w:cs="Times New Roman"/>
          <w:i/>
          <w:iCs/>
          <w:sz w:val="24"/>
          <w:szCs w:val="24"/>
        </w:rPr>
        <w:t>Neurocase</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15</w:t>
      </w:r>
      <w:r w:rsidRPr="0074138E">
        <w:rPr>
          <w:rFonts w:ascii="Times New Roman" w:eastAsia="Times New Roman" w:hAnsi="Times New Roman" w:cs="Times New Roman"/>
          <w:sz w:val="24"/>
          <w:szCs w:val="24"/>
        </w:rPr>
        <w:t xml:space="preserve">(3), 217–234. </w:t>
      </w:r>
      <w:hyperlink r:id="rId5836" w:history="1">
        <w:r w:rsidRPr="0074138E">
          <w:rPr>
            <w:rFonts w:ascii="Times New Roman" w:eastAsia="Times New Roman" w:hAnsi="Times New Roman" w:cs="Times New Roman"/>
            <w:color w:val="0000FF"/>
            <w:sz w:val="24"/>
            <w:szCs w:val="24"/>
            <w:u w:val="single"/>
          </w:rPr>
          <w:t>https://doi.org/10.1080/13554790902775492</w:t>
        </w:r>
      </w:hyperlink>
    </w:p>
    <w:p w14:paraId="23F29719"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Bechara, A., &amp; Denburg, N. L. (2002). Asymmetric functional roles of right and left ventromedial prefrontal cortices in social conduct, decision making and emotional processing. </w:t>
      </w:r>
      <w:r w:rsidRPr="0074138E">
        <w:rPr>
          <w:rFonts w:ascii="Times New Roman" w:eastAsia="Times New Roman" w:hAnsi="Times New Roman" w:cs="Times New Roman"/>
          <w:i/>
          <w:iCs/>
          <w:sz w:val="24"/>
          <w:szCs w:val="24"/>
        </w:rPr>
        <w:t>Cortex: A Journal Devoted to the Study of the Nervous System and Behavior</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38</w:t>
      </w:r>
      <w:r w:rsidRPr="0074138E">
        <w:rPr>
          <w:rFonts w:ascii="Times New Roman" w:eastAsia="Times New Roman" w:hAnsi="Times New Roman" w:cs="Times New Roman"/>
          <w:sz w:val="24"/>
          <w:szCs w:val="24"/>
        </w:rPr>
        <w:t xml:space="preserve">(4), 589–612. </w:t>
      </w:r>
      <w:hyperlink r:id="rId5837" w:history="1">
        <w:r w:rsidRPr="0074138E">
          <w:rPr>
            <w:rFonts w:ascii="Times New Roman" w:eastAsia="Times New Roman" w:hAnsi="Times New Roman" w:cs="Times New Roman"/>
            <w:color w:val="0000FF"/>
            <w:sz w:val="24"/>
            <w:szCs w:val="24"/>
            <w:u w:val="single"/>
          </w:rPr>
          <w:t>https://doi.org/10.1016/S0010-9452(08)70024-8</w:t>
        </w:r>
      </w:hyperlink>
    </w:p>
    <w:p w14:paraId="2C9B69F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Hathaway-Nepple, J., &amp; Anderson, S. W. (2007). Impaired behavior on real-world tasks following damage to the ventromedial prefrontal cortex. </w:t>
      </w:r>
      <w:r w:rsidRPr="0074138E">
        <w:rPr>
          <w:rFonts w:ascii="Times New Roman" w:eastAsia="Times New Roman" w:hAnsi="Times New Roman" w:cs="Times New Roman"/>
          <w:i/>
          <w:iCs/>
          <w:sz w:val="24"/>
          <w:szCs w:val="24"/>
        </w:rPr>
        <w:t>Journal of Clinical and Experimental Neuropsychology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29</w:t>
      </w:r>
      <w:r w:rsidRPr="0074138E">
        <w:rPr>
          <w:rFonts w:ascii="Times New Roman" w:eastAsia="Times New Roman" w:hAnsi="Times New Roman" w:cs="Times New Roman"/>
          <w:sz w:val="24"/>
          <w:szCs w:val="24"/>
        </w:rPr>
        <w:t xml:space="preserve">(3), 319–332. </w:t>
      </w:r>
      <w:hyperlink r:id="rId5838" w:history="1">
        <w:r w:rsidRPr="0074138E">
          <w:rPr>
            <w:rFonts w:ascii="Times New Roman" w:eastAsia="Times New Roman" w:hAnsi="Times New Roman" w:cs="Times New Roman"/>
            <w:color w:val="0000FF"/>
            <w:sz w:val="24"/>
            <w:szCs w:val="24"/>
            <w:u w:val="single"/>
          </w:rPr>
          <w:t>https://doi.org/10.1080/13803390600701376</w:t>
        </w:r>
      </w:hyperlink>
    </w:p>
    <w:p w14:paraId="613CA79B"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Manzel, K., &amp; Anderson, S. W. (2008). Is the prefrontal cortex important for fluid intelligence? A neuropsychological study using matrix reasoning. </w:t>
      </w:r>
      <w:r w:rsidRPr="0074138E">
        <w:rPr>
          <w:rFonts w:ascii="Times New Roman" w:eastAsia="Times New Roman" w:hAnsi="Times New Roman" w:cs="Times New Roman"/>
          <w:i/>
          <w:iCs/>
          <w:sz w:val="24"/>
          <w:szCs w:val="24"/>
        </w:rPr>
        <w:t>The Clinical Neuropsychologist</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22</w:t>
      </w:r>
      <w:r w:rsidRPr="0074138E">
        <w:rPr>
          <w:rFonts w:ascii="Times New Roman" w:eastAsia="Times New Roman" w:hAnsi="Times New Roman" w:cs="Times New Roman"/>
          <w:sz w:val="24"/>
          <w:szCs w:val="24"/>
        </w:rPr>
        <w:t xml:space="preserve">(2), 242–261. </w:t>
      </w:r>
      <w:hyperlink r:id="rId5839" w:history="1">
        <w:r w:rsidRPr="0074138E">
          <w:rPr>
            <w:rFonts w:ascii="Times New Roman" w:eastAsia="Times New Roman" w:hAnsi="Times New Roman" w:cs="Times New Roman"/>
            <w:color w:val="0000FF"/>
            <w:sz w:val="24"/>
            <w:szCs w:val="24"/>
            <w:u w:val="single"/>
          </w:rPr>
          <w:t>https://doi.org/10.1080/13854040701218410</w:t>
        </w:r>
      </w:hyperlink>
    </w:p>
    <w:p w14:paraId="6EF6C9B6"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Tranel, D., McNutt, A., &amp; Bechara, A. (2012). Smoking cessation after brain damage does not lead to increased depression: Implications for understanding the psychiatric complications of varenicline.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25</w:t>
      </w:r>
      <w:r w:rsidRPr="0074138E">
        <w:rPr>
          <w:rFonts w:ascii="Times New Roman" w:eastAsia="Times New Roman" w:hAnsi="Times New Roman" w:cs="Times New Roman"/>
          <w:sz w:val="24"/>
          <w:szCs w:val="24"/>
        </w:rPr>
        <w:t xml:space="preserve">(1), 16–24. </w:t>
      </w:r>
      <w:hyperlink r:id="rId5840" w:history="1">
        <w:r w:rsidRPr="0074138E">
          <w:rPr>
            <w:rFonts w:ascii="Times New Roman" w:eastAsia="Times New Roman" w:hAnsi="Times New Roman" w:cs="Times New Roman"/>
            <w:color w:val="0000FF"/>
            <w:sz w:val="24"/>
            <w:szCs w:val="24"/>
            <w:u w:val="single"/>
          </w:rPr>
          <w:t>https://doi.org/10.1097/WNN.0b013e3182492a9c</w:t>
        </w:r>
      </w:hyperlink>
    </w:p>
    <w:p w14:paraId="0CA5343F"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Trapp, W., Engel, S., Hajak, G., Lautenbacher, S., &amp; Gallhofer, B. (2016). Cognitive remediation for depressed inpatients: Results of a pilot randomized controlled trial. </w:t>
      </w:r>
      <w:r w:rsidRPr="0074138E">
        <w:rPr>
          <w:rFonts w:ascii="Times New Roman" w:eastAsia="Times New Roman" w:hAnsi="Times New Roman" w:cs="Times New Roman"/>
          <w:i/>
          <w:iCs/>
          <w:sz w:val="24"/>
          <w:szCs w:val="24"/>
        </w:rPr>
        <w:t>Australian and New Zealand Journal of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50</w:t>
      </w:r>
      <w:r w:rsidRPr="0074138E">
        <w:rPr>
          <w:rFonts w:ascii="Times New Roman" w:eastAsia="Times New Roman" w:hAnsi="Times New Roman" w:cs="Times New Roman"/>
          <w:sz w:val="24"/>
          <w:szCs w:val="24"/>
        </w:rPr>
        <w:t xml:space="preserve">(1), 46–55. </w:t>
      </w:r>
      <w:hyperlink r:id="rId5841" w:history="1">
        <w:r w:rsidRPr="0074138E">
          <w:rPr>
            <w:rFonts w:ascii="Times New Roman" w:eastAsia="Times New Roman" w:hAnsi="Times New Roman" w:cs="Times New Roman"/>
            <w:color w:val="0000FF"/>
            <w:sz w:val="24"/>
            <w:szCs w:val="24"/>
            <w:u w:val="single"/>
          </w:rPr>
          <w:t>https://doi.org/10.1177/0004867415622271</w:t>
        </w:r>
      </w:hyperlink>
    </w:p>
    <w:p w14:paraId="38D2025E"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Trapp, W., Landgrebe, M., Hoesl, K., Lautenbacher, S., Gallhofer, B., Günther, W., &amp; Hajak, G. (2013). Cognitive remediation improves cognition and good cognitive performance increases time to relapse – Results of a 5 year catamnestic study in schizophrenia patients. </w:t>
      </w:r>
      <w:r w:rsidRPr="0074138E">
        <w:rPr>
          <w:rFonts w:ascii="Times New Roman" w:eastAsia="Times New Roman" w:hAnsi="Times New Roman" w:cs="Times New Roman"/>
          <w:i/>
          <w:iCs/>
          <w:sz w:val="24"/>
          <w:szCs w:val="24"/>
        </w:rPr>
        <w:t>BMC Psychiatry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13</w:t>
      </w:r>
      <w:r w:rsidRPr="0074138E">
        <w:rPr>
          <w:rFonts w:ascii="Times New Roman" w:eastAsia="Times New Roman" w:hAnsi="Times New Roman" w:cs="Times New Roman"/>
          <w:sz w:val="24"/>
          <w:szCs w:val="24"/>
        </w:rPr>
        <w:t xml:space="preserve">. </w:t>
      </w:r>
      <w:hyperlink r:id="rId5842" w:history="1">
        <w:r w:rsidRPr="0074138E">
          <w:rPr>
            <w:rFonts w:ascii="Times New Roman" w:eastAsia="Times New Roman" w:hAnsi="Times New Roman" w:cs="Times New Roman"/>
            <w:color w:val="0000FF"/>
            <w:sz w:val="24"/>
            <w:szCs w:val="24"/>
            <w:u w:val="single"/>
          </w:rPr>
          <w:t>https://doi.org/10.1186/1471-244X-13-184</w:t>
        </w:r>
      </w:hyperlink>
    </w:p>
    <w:p w14:paraId="6BB1B3CD"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Traykov, L., Raoux, N., Latour, F., Gallo, L., Hanon, O., Baudic, S., Bayle, C., Wenisch, E., Remy, P., &amp; Rigaud, A.-S. (2007). Executive functions deficit in mild cognitive impairment. </w:t>
      </w:r>
      <w:r w:rsidRPr="0074138E">
        <w:rPr>
          <w:rFonts w:ascii="Times New Roman" w:eastAsia="Times New Roman" w:hAnsi="Times New Roman" w:cs="Times New Roman"/>
          <w:i/>
          <w:iCs/>
          <w:sz w:val="24"/>
          <w:szCs w:val="24"/>
        </w:rPr>
        <w:t>Cognitive and Behavioral Neurology</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20</w:t>
      </w:r>
      <w:r w:rsidRPr="0074138E">
        <w:rPr>
          <w:rFonts w:ascii="Times New Roman" w:eastAsia="Times New Roman" w:hAnsi="Times New Roman" w:cs="Times New Roman"/>
          <w:sz w:val="24"/>
          <w:szCs w:val="24"/>
        </w:rPr>
        <w:t xml:space="preserve">(4), 219–224. </w:t>
      </w:r>
      <w:hyperlink r:id="rId5843" w:history="1">
        <w:r w:rsidRPr="0074138E">
          <w:rPr>
            <w:rFonts w:ascii="Times New Roman" w:eastAsia="Times New Roman" w:hAnsi="Times New Roman" w:cs="Times New Roman"/>
            <w:color w:val="0000FF"/>
            <w:sz w:val="24"/>
            <w:szCs w:val="24"/>
            <w:u w:val="single"/>
          </w:rPr>
          <w:t>https://doi.org/10.1097/WNN.0b013e31815e6254</w:t>
        </w:r>
      </w:hyperlink>
    </w:p>
    <w:p w14:paraId="1B4BAFA5" w14:textId="77777777" w:rsidR="0074138E" w:rsidRPr="0074138E" w:rsidRDefault="0074138E" w:rsidP="003B57E5">
      <w:pPr>
        <w:spacing w:before="240" w:after="0" w:line="240" w:lineRule="auto"/>
        <w:ind w:left="450" w:hanging="450"/>
        <w:rPr>
          <w:rFonts w:ascii="Times New Roman" w:eastAsia="Times New Roman" w:hAnsi="Times New Roman" w:cs="Times New Roman"/>
          <w:sz w:val="24"/>
          <w:szCs w:val="24"/>
        </w:rPr>
      </w:pPr>
      <w:r w:rsidRPr="0074138E">
        <w:rPr>
          <w:rFonts w:ascii="Times New Roman" w:eastAsia="Times New Roman" w:hAnsi="Times New Roman" w:cs="Times New Roman"/>
          <w:sz w:val="24"/>
          <w:szCs w:val="24"/>
        </w:rPr>
        <w:t xml:space="preserve">Tree, J. J., &amp; Kay, J. (2006). Phonological dyslexia and phonological impairment: An exception to the rule? </w:t>
      </w:r>
      <w:r w:rsidRPr="0074138E">
        <w:rPr>
          <w:rFonts w:ascii="Times New Roman" w:eastAsia="Times New Roman" w:hAnsi="Times New Roman" w:cs="Times New Roman"/>
          <w:i/>
          <w:iCs/>
          <w:sz w:val="24"/>
          <w:szCs w:val="24"/>
        </w:rPr>
        <w:t>Neuropsychologia</w:t>
      </w:r>
      <w:r w:rsidRPr="0074138E">
        <w:rPr>
          <w:rFonts w:ascii="Times New Roman" w:eastAsia="Times New Roman" w:hAnsi="Times New Roman" w:cs="Times New Roman"/>
          <w:sz w:val="24"/>
          <w:szCs w:val="24"/>
        </w:rPr>
        <w:t xml:space="preserve">, </w:t>
      </w:r>
      <w:r w:rsidRPr="0074138E">
        <w:rPr>
          <w:rFonts w:ascii="Times New Roman" w:eastAsia="Times New Roman" w:hAnsi="Times New Roman" w:cs="Times New Roman"/>
          <w:i/>
          <w:iCs/>
          <w:sz w:val="24"/>
          <w:szCs w:val="24"/>
        </w:rPr>
        <w:t>44</w:t>
      </w:r>
      <w:r w:rsidRPr="0074138E">
        <w:rPr>
          <w:rFonts w:ascii="Times New Roman" w:eastAsia="Times New Roman" w:hAnsi="Times New Roman" w:cs="Times New Roman"/>
          <w:sz w:val="24"/>
          <w:szCs w:val="24"/>
        </w:rPr>
        <w:t xml:space="preserve">(14), 2861–2873. </w:t>
      </w:r>
      <w:hyperlink r:id="rId5844" w:history="1">
        <w:r w:rsidRPr="0074138E">
          <w:rPr>
            <w:rFonts w:ascii="Times New Roman" w:eastAsia="Times New Roman" w:hAnsi="Times New Roman" w:cs="Times New Roman"/>
            <w:color w:val="0000FF"/>
            <w:sz w:val="24"/>
            <w:szCs w:val="24"/>
            <w:u w:val="single"/>
          </w:rPr>
          <w:t>https://doi.org/10.1016/j.neuropsychologia.2006.06.006</w:t>
        </w:r>
      </w:hyperlink>
    </w:p>
    <w:p w14:paraId="019A8E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Tree, J. J., Kay, J., &amp; Perfect, T. J. (2005). “Deep” language disorders in nonfluent progressive aphasia: An evaluation of the “summation” account of semantic errors across language production tasks. </w:t>
      </w:r>
      <w:r w:rsidRPr="00DB4C76">
        <w:rPr>
          <w:rFonts w:ascii="Times New Roman" w:eastAsia="Times New Roman" w:hAnsi="Times New Roman" w:cs="Times New Roman"/>
          <w:i/>
          <w:iCs/>
          <w:sz w:val="24"/>
          <w:szCs w:val="24"/>
        </w:rPr>
        <w:t>Cognitive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(6), 643–659. </w:t>
      </w:r>
      <w:hyperlink r:id="rId5845" w:history="1">
        <w:r w:rsidRPr="00DB4C76">
          <w:rPr>
            <w:rFonts w:ascii="Times New Roman" w:eastAsia="Times New Roman" w:hAnsi="Times New Roman" w:cs="Times New Roman"/>
            <w:color w:val="0000FF"/>
            <w:sz w:val="24"/>
            <w:szCs w:val="24"/>
            <w:u w:val="single"/>
          </w:rPr>
          <w:t>https://doi.org/10.1080/02643290442000220</w:t>
        </w:r>
      </w:hyperlink>
    </w:p>
    <w:p w14:paraId="216005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Tree, J. J., &amp; Playfoot, D. (2015). Strategic effects on pseudohomophone reading in phonological dyslexics with and without phonological impairment. </w:t>
      </w:r>
      <w:r w:rsidRPr="00DB4C76">
        <w:rPr>
          <w:rFonts w:ascii="Times New Roman" w:eastAsia="Times New Roman" w:hAnsi="Times New Roman" w:cs="Times New Roman"/>
          <w:i/>
          <w:iCs/>
          <w:sz w:val="24"/>
          <w:szCs w:val="24"/>
        </w:rPr>
        <w:t>Journal of Neurolinguistics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 39–54. </w:t>
      </w:r>
      <w:hyperlink r:id="rId5846" w:history="1">
        <w:r w:rsidRPr="00DB4C76">
          <w:rPr>
            <w:rFonts w:ascii="Times New Roman" w:eastAsia="Times New Roman" w:hAnsi="Times New Roman" w:cs="Times New Roman"/>
            <w:color w:val="0000FF"/>
            <w:sz w:val="24"/>
            <w:szCs w:val="24"/>
            <w:u w:val="single"/>
          </w:rPr>
          <w:t>https://doi.org/10.1016/j.jneuroling.2015.02.003</w:t>
        </w:r>
      </w:hyperlink>
    </w:p>
    <w:p w14:paraId="7BC753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Tree, J., &amp; Kay, J. (2015). Longitudinal assessment of short‐term memory deterioration in a logopenic variant primary progressive aphasia with post‐mortem confirmed Alzheimer’s disease pathology.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(2), 184–202. </w:t>
      </w:r>
      <w:hyperlink r:id="rId5847" w:history="1">
        <w:r w:rsidRPr="00DB4C76">
          <w:rPr>
            <w:rFonts w:ascii="Times New Roman" w:eastAsia="Times New Roman" w:hAnsi="Times New Roman" w:cs="Times New Roman"/>
            <w:color w:val="0000FF"/>
            <w:sz w:val="24"/>
            <w:szCs w:val="24"/>
            <w:u w:val="single"/>
          </w:rPr>
          <w:t>https://doi.org/10.1111/jnp.12045</w:t>
        </w:r>
      </w:hyperlink>
    </w:p>
    <w:p w14:paraId="28E513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Trenerry, M. R., &amp; Jack, C. R. (1994). Wisconsin Card Sorting Test performance before and after temporal lobe lobectomy. </w:t>
      </w:r>
      <w:r w:rsidRPr="00DB4C76">
        <w:rPr>
          <w:rFonts w:ascii="Times New Roman" w:eastAsia="Times New Roman" w:hAnsi="Times New Roman" w:cs="Times New Roman"/>
          <w:i/>
          <w:iCs/>
          <w:sz w:val="24"/>
          <w:szCs w:val="24"/>
        </w:rPr>
        <w:t>Journal of Epilepsy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(4), 313–317. </w:t>
      </w:r>
      <w:hyperlink r:id="rId5848" w:history="1">
        <w:r w:rsidRPr="00DB4C76">
          <w:rPr>
            <w:rFonts w:ascii="Times New Roman" w:eastAsia="Times New Roman" w:hAnsi="Times New Roman" w:cs="Times New Roman"/>
            <w:color w:val="0000FF"/>
            <w:sz w:val="24"/>
            <w:szCs w:val="24"/>
            <w:u w:val="single"/>
          </w:rPr>
          <w:t>https://doi.org/10.1016/0896-6974(94)90062-0</w:t>
        </w:r>
      </w:hyperlink>
    </w:p>
    <w:p w14:paraId="772A0B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Trépanier, L. L., Rourke, S. B., Bayoumi, A. M., Halman, M. H., Krzyzanowski, S., &amp; Power, C. (2005). The Impact of Neuropsychological Impairment and Depression on Health-Related Quality of Life in HIV-Infection.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 1–15. </w:t>
      </w:r>
      <w:hyperlink r:id="rId5849" w:history="1">
        <w:r w:rsidRPr="00DB4C76">
          <w:rPr>
            <w:rFonts w:ascii="Times New Roman" w:eastAsia="Times New Roman" w:hAnsi="Times New Roman" w:cs="Times New Roman"/>
            <w:color w:val="0000FF"/>
            <w:sz w:val="24"/>
            <w:szCs w:val="24"/>
            <w:u w:val="single"/>
          </w:rPr>
          <w:t>https://doi.org/10.1080/138033990513546</w:t>
        </w:r>
      </w:hyperlink>
    </w:p>
    <w:p w14:paraId="2313FD2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Trestman, R. L., Keefe, R. S. E., Mitropoulou, V., Harvey, P. D., deVegvar, M. L., Lees-Roitman, S., Davidson, M., Aronson, A., Silverman, J., &amp; Siever, L. J. (1995). Cognitive function and biological correlates of cognitive performance in schizotypal personality disorder.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 xml:space="preserve">(1–2), 127–136. </w:t>
      </w:r>
      <w:hyperlink r:id="rId5850" w:history="1">
        <w:r w:rsidRPr="00DB4C76">
          <w:rPr>
            <w:rFonts w:ascii="Times New Roman" w:eastAsia="Times New Roman" w:hAnsi="Times New Roman" w:cs="Times New Roman"/>
            <w:color w:val="0000FF"/>
            <w:sz w:val="24"/>
            <w:szCs w:val="24"/>
            <w:u w:val="single"/>
          </w:rPr>
          <w:t>https://doi.org/10.1016/0165-1781(95)02709-2</w:t>
        </w:r>
      </w:hyperlink>
    </w:p>
    <w:p w14:paraId="50E2E1C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Tretter, F., &amp; Gebicke-Haerter, P. J. (2012). Systems biology in psychiatric research: From complex data sets over wiring diagrams to computer simulations. In </w:t>
      </w:r>
      <w:r w:rsidRPr="00DB4C76">
        <w:rPr>
          <w:rFonts w:ascii="Times New Roman" w:eastAsia="Times New Roman" w:hAnsi="Times New Roman" w:cs="Times New Roman"/>
          <w:i/>
          <w:iCs/>
          <w:sz w:val="24"/>
          <w:szCs w:val="24"/>
        </w:rPr>
        <w:t>Psychiatric disorders: Methods and protocols.</w:t>
      </w:r>
      <w:r w:rsidRPr="00DB4C76">
        <w:rPr>
          <w:rFonts w:ascii="Times New Roman" w:eastAsia="Times New Roman" w:hAnsi="Times New Roman" w:cs="Times New Roman"/>
          <w:sz w:val="24"/>
          <w:szCs w:val="24"/>
        </w:rPr>
        <w:t xml:space="preserve"> (pp. 567–592). Humana Press. </w:t>
      </w:r>
      <w:hyperlink r:id="rId5851" w:history="1">
        <w:r w:rsidRPr="00DB4C76">
          <w:rPr>
            <w:rFonts w:ascii="Times New Roman" w:eastAsia="Times New Roman" w:hAnsi="Times New Roman" w:cs="Times New Roman"/>
            <w:color w:val="0000FF"/>
            <w:sz w:val="24"/>
            <w:szCs w:val="24"/>
            <w:u w:val="single"/>
          </w:rPr>
          <w:t>https://doi.org/10.1007/978-1-61779-458-2_36</w:t>
        </w:r>
      </w:hyperlink>
    </w:p>
    <w:p w14:paraId="2AFCAD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Trevisi, M., Talamo, A., Bandinelli, P. L., Ducci, G., Kotzalidis, G. D., Santucci, C., Manfredi, G., Girardi, N., &amp; Tatarelli, R. (2012). Insight and awareness as related to psychopathology and cognition. </w:t>
      </w:r>
      <w:r w:rsidRPr="00DB4C76">
        <w:rPr>
          <w:rFonts w:ascii="Times New Roman" w:eastAsia="Times New Roman" w:hAnsi="Times New Roman" w:cs="Times New Roman"/>
          <w:i/>
          <w:iCs/>
          <w:sz w:val="24"/>
          <w:szCs w:val="24"/>
        </w:rPr>
        <w:t>Psychopathology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(4), 235–243. </w:t>
      </w:r>
      <w:hyperlink r:id="rId5852" w:history="1">
        <w:r w:rsidRPr="00DB4C76">
          <w:rPr>
            <w:rFonts w:ascii="Times New Roman" w:eastAsia="Times New Roman" w:hAnsi="Times New Roman" w:cs="Times New Roman"/>
            <w:color w:val="0000FF"/>
            <w:sz w:val="24"/>
            <w:szCs w:val="24"/>
            <w:u w:val="single"/>
          </w:rPr>
          <w:t>https://doi.org/10.1159/000329998</w:t>
        </w:r>
      </w:hyperlink>
    </w:p>
    <w:p w14:paraId="3A8939B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J. K., Dhyani, M., Sharma, S., Sinha, P. K., Singh, A. P., &amp; Tandon, R. (2008). Cognitive functions in euthymic state of bipolar disorder: An Indian study.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(2), 135–147. </w:t>
      </w:r>
      <w:hyperlink r:id="rId5853" w:history="1">
        <w:r w:rsidRPr="00DB4C76">
          <w:rPr>
            <w:rFonts w:ascii="Times New Roman" w:eastAsia="Times New Roman" w:hAnsi="Times New Roman" w:cs="Times New Roman"/>
            <w:color w:val="0000FF"/>
            <w:sz w:val="24"/>
            <w:szCs w:val="24"/>
            <w:u w:val="single"/>
          </w:rPr>
          <w:t>https://doi.org/10.1080/13546800801897346</w:t>
        </w:r>
      </w:hyperlink>
    </w:p>
    <w:p w14:paraId="3D785D6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J. K., Goel, D., Dhyani, M., Sharma, S., Singh, A. P., Sinha, P. K., &amp; Tandon, R. (2008). Neurocognition in first-degree healthy relatives (siblings) of bipolar affective disorder patients. </w:t>
      </w:r>
      <w:r w:rsidRPr="00DB4C76">
        <w:rPr>
          <w:rFonts w:ascii="Times New Roman" w:eastAsia="Times New Roman" w:hAnsi="Times New Roman" w:cs="Times New Roman"/>
          <w:i/>
          <w:iCs/>
          <w:sz w:val="24"/>
          <w:szCs w:val="24"/>
        </w:rPr>
        <w:t>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(2), 190–196. </w:t>
      </w:r>
      <w:hyperlink r:id="rId5854" w:history="1">
        <w:r w:rsidRPr="00DB4C76">
          <w:rPr>
            <w:rFonts w:ascii="Times New Roman" w:eastAsia="Times New Roman" w:hAnsi="Times New Roman" w:cs="Times New Roman"/>
            <w:color w:val="0000FF"/>
            <w:sz w:val="24"/>
            <w:szCs w:val="24"/>
            <w:u w:val="single"/>
          </w:rPr>
          <w:t>https://doi.org/10.1111/j.1440-1819.2008.01754.x</w:t>
        </w:r>
      </w:hyperlink>
    </w:p>
    <w:p w14:paraId="4DA401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J. K., Sharma, S., Singh, A. P., Sinha, P. K., &amp; Tandon, R. (2005). Neurocognition in Somatisation Disorder. </w:t>
      </w:r>
      <w:r w:rsidRPr="00DB4C76">
        <w:rPr>
          <w:rFonts w:ascii="Times New Roman" w:eastAsia="Times New Roman" w:hAnsi="Times New Roman" w:cs="Times New Roman"/>
          <w:i/>
          <w:iCs/>
          <w:sz w:val="24"/>
          <w:szCs w:val="24"/>
        </w:rPr>
        <w:t>Hong Kong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(3), 97–100.</w:t>
      </w:r>
    </w:p>
    <w:p w14:paraId="27CDDD2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Trivedi, M. H., &amp; Greer, T. L. (2014). Cognitive dysfunction in unipolar depression: Implications for treatment.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152–154</w:t>
      </w:r>
      <w:r w:rsidRPr="00DB4C76">
        <w:rPr>
          <w:rFonts w:ascii="Times New Roman" w:eastAsia="Times New Roman" w:hAnsi="Times New Roman" w:cs="Times New Roman"/>
          <w:sz w:val="24"/>
          <w:szCs w:val="24"/>
        </w:rPr>
        <w:t xml:space="preserve">, 19–27. </w:t>
      </w:r>
      <w:hyperlink r:id="rId5855" w:history="1">
        <w:r w:rsidRPr="00DB4C76">
          <w:rPr>
            <w:rFonts w:ascii="Times New Roman" w:eastAsia="Times New Roman" w:hAnsi="Times New Roman" w:cs="Times New Roman"/>
            <w:color w:val="0000FF"/>
            <w:sz w:val="24"/>
            <w:szCs w:val="24"/>
            <w:u w:val="single"/>
          </w:rPr>
          <w:t>https://doi.org/10.1016/j.jad.2013.09.012</w:t>
        </w:r>
      </w:hyperlink>
    </w:p>
    <w:p w14:paraId="1FA94D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Triviño, M., Arnedo, M., Lupiáñez, J., Chirivella, J., &amp; Correa, Á. (2011). Rhythms can overcome temporal orienting deficit after right frontal damage.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(14), 3917–3930. </w:t>
      </w:r>
      <w:hyperlink r:id="rId5856" w:history="1">
        <w:r w:rsidRPr="00DB4C76">
          <w:rPr>
            <w:rFonts w:ascii="Times New Roman" w:eastAsia="Times New Roman" w:hAnsi="Times New Roman" w:cs="Times New Roman"/>
            <w:color w:val="0000FF"/>
            <w:sz w:val="24"/>
            <w:szCs w:val="24"/>
            <w:u w:val="single"/>
          </w:rPr>
          <w:t>https://doi.org/10.1016/j.neuropsychologia.2011.10.009</w:t>
        </w:r>
      </w:hyperlink>
    </w:p>
    <w:p w14:paraId="3D13B8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Triviño, M., Ródenas, E., Lupiáñez, J., &amp; Arnedo, M. (2017). Effectiveness of a neuropsychological treatment for confabulations after brain injury: A clinical trial with theoretical implications.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(3).</w:t>
      </w:r>
    </w:p>
    <w:p w14:paraId="389FF47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&amp; Aarsland, D. (2013). Early cognitive impairment. In </w:t>
      </w:r>
      <w:r w:rsidRPr="00DB4C76">
        <w:rPr>
          <w:rFonts w:ascii="Times New Roman" w:eastAsia="Times New Roman" w:hAnsi="Times New Roman" w:cs="Times New Roman"/>
          <w:i/>
          <w:iCs/>
          <w:sz w:val="24"/>
          <w:szCs w:val="24"/>
        </w:rPr>
        <w:t>Neuropsychiatric and cognitive changes in Parkinson’s disease and related movement disorders: Diagnosis and management.</w:t>
      </w:r>
      <w:r w:rsidRPr="00DB4C76">
        <w:rPr>
          <w:rFonts w:ascii="Times New Roman" w:eastAsia="Times New Roman" w:hAnsi="Times New Roman" w:cs="Times New Roman"/>
          <w:sz w:val="24"/>
          <w:szCs w:val="24"/>
        </w:rPr>
        <w:t xml:space="preserve"> (pp. 163–176). Cambridge University Press. </w:t>
      </w:r>
      <w:hyperlink r:id="rId5857" w:history="1">
        <w:r w:rsidRPr="00DB4C76">
          <w:rPr>
            <w:rFonts w:ascii="Times New Roman" w:eastAsia="Times New Roman" w:hAnsi="Times New Roman" w:cs="Times New Roman"/>
            <w:color w:val="0000FF"/>
            <w:sz w:val="24"/>
            <w:szCs w:val="24"/>
            <w:u w:val="single"/>
          </w:rPr>
          <w:t>https://doi.org/10.1017/CBO9781139856669.016</w:t>
        </w:r>
      </w:hyperlink>
    </w:p>
    <w:p w14:paraId="6B71BD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&amp; Abbott, A. (2019). Movement disorders with dementia in older adults. </w:t>
      </w:r>
      <w:r w:rsidRPr="00DB4C76">
        <w:rPr>
          <w:rFonts w:ascii="Times New Roman" w:eastAsia="Times New Roman" w:hAnsi="Times New Roman" w:cs="Times New Roman"/>
          <w:i/>
          <w:iCs/>
          <w:sz w:val="24"/>
          <w:szCs w:val="24"/>
        </w:rPr>
        <w:t>Handbook on the Neuropsychology of Aging and Dementia, 2nd Ed.</w:t>
      </w:r>
      <w:r w:rsidRPr="00DB4C76">
        <w:rPr>
          <w:rFonts w:ascii="Times New Roman" w:eastAsia="Times New Roman" w:hAnsi="Times New Roman" w:cs="Times New Roman"/>
          <w:sz w:val="24"/>
          <w:szCs w:val="24"/>
        </w:rPr>
        <w:t xml:space="preserve">, 543–575. </w:t>
      </w:r>
      <w:hyperlink r:id="rId5858" w:history="1">
        <w:r w:rsidRPr="00DB4C76">
          <w:rPr>
            <w:rFonts w:ascii="Times New Roman" w:eastAsia="Times New Roman" w:hAnsi="Times New Roman" w:cs="Times New Roman"/>
            <w:color w:val="0000FF"/>
            <w:sz w:val="24"/>
            <w:szCs w:val="24"/>
            <w:u w:val="single"/>
          </w:rPr>
          <w:t>https://doi.org/10.1007/978-3-319-93497-6_34</w:t>
        </w:r>
      </w:hyperlink>
    </w:p>
    <w:p w14:paraId="057D4D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&amp; Browner, N. (2013). Movement disorders with dementia in older adults. In </w:t>
      </w:r>
      <w:r w:rsidRPr="00DB4C76">
        <w:rPr>
          <w:rFonts w:ascii="Times New Roman" w:eastAsia="Times New Roman" w:hAnsi="Times New Roman" w:cs="Times New Roman"/>
          <w:i/>
          <w:iCs/>
          <w:sz w:val="24"/>
          <w:szCs w:val="24"/>
        </w:rPr>
        <w:t>Handbook on the neuropsychology of aging and dementia.</w:t>
      </w:r>
      <w:r w:rsidRPr="00DB4C76">
        <w:rPr>
          <w:rFonts w:ascii="Times New Roman" w:eastAsia="Times New Roman" w:hAnsi="Times New Roman" w:cs="Times New Roman"/>
          <w:sz w:val="24"/>
          <w:szCs w:val="24"/>
        </w:rPr>
        <w:t xml:space="preserve"> (pp. 333–361). Springer Science + Business Media. </w:t>
      </w:r>
      <w:hyperlink r:id="rId5859" w:history="1">
        <w:r w:rsidRPr="00DB4C76">
          <w:rPr>
            <w:rFonts w:ascii="Times New Roman" w:eastAsia="Times New Roman" w:hAnsi="Times New Roman" w:cs="Times New Roman"/>
            <w:color w:val="0000FF"/>
            <w:sz w:val="24"/>
            <w:szCs w:val="24"/>
            <w:u w:val="single"/>
          </w:rPr>
          <w:t>https://doi.org/10.1007/978-1-4614-3106-0_22</w:t>
        </w:r>
      </w:hyperlink>
    </w:p>
    <w:p w14:paraId="3312086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Fields, J. A., Paolo, A. M., &amp; Koller, W. C. (2006). Absence of the apolipoprotein E ε4 allele is associated with working memory impairment in Parkinson’s disease. </w:t>
      </w:r>
      <w:r w:rsidRPr="00DB4C76">
        <w:rPr>
          <w:rFonts w:ascii="Times New Roman" w:eastAsia="Times New Roman" w:hAnsi="Times New Roman" w:cs="Times New Roman"/>
          <w:i/>
          <w:iCs/>
          <w:sz w:val="24"/>
          <w:szCs w:val="24"/>
        </w:rPr>
        <w:t>Journal of the Neurological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248</w:t>
      </w:r>
      <w:r w:rsidRPr="00DB4C76">
        <w:rPr>
          <w:rFonts w:ascii="Times New Roman" w:eastAsia="Times New Roman" w:hAnsi="Times New Roman" w:cs="Times New Roman"/>
          <w:sz w:val="24"/>
          <w:szCs w:val="24"/>
        </w:rPr>
        <w:t xml:space="preserve">(1–2), 62–67. </w:t>
      </w:r>
      <w:hyperlink r:id="rId5860" w:history="1">
        <w:r w:rsidRPr="00DB4C76">
          <w:rPr>
            <w:rFonts w:ascii="Times New Roman" w:eastAsia="Times New Roman" w:hAnsi="Times New Roman" w:cs="Times New Roman"/>
            <w:color w:val="0000FF"/>
            <w:sz w:val="24"/>
            <w:szCs w:val="24"/>
            <w:u w:val="single"/>
          </w:rPr>
          <w:t>https://doi.org/10.1016/j.jns.2006.05.032</w:t>
        </w:r>
      </w:hyperlink>
    </w:p>
    <w:p w14:paraId="55DA25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Prizer, L. P., &amp; Baxley, A. (2013). Parkinson’s disease: Secondary influences on cognition. In </w:t>
      </w:r>
      <w:r w:rsidRPr="00DB4C76">
        <w:rPr>
          <w:rFonts w:ascii="Times New Roman" w:eastAsia="Times New Roman" w:hAnsi="Times New Roman" w:cs="Times New Roman"/>
          <w:i/>
          <w:iCs/>
          <w:sz w:val="24"/>
          <w:szCs w:val="24"/>
        </w:rPr>
        <w:t>Secondary influences on neuropsychological test performance: Research findings and practical applications.</w:t>
      </w:r>
      <w:r w:rsidRPr="00DB4C76">
        <w:rPr>
          <w:rFonts w:ascii="Times New Roman" w:eastAsia="Times New Roman" w:hAnsi="Times New Roman" w:cs="Times New Roman"/>
          <w:sz w:val="24"/>
          <w:szCs w:val="24"/>
        </w:rPr>
        <w:t xml:space="preserve"> (pp. 259–291). Oxford University Press.</w:t>
      </w:r>
    </w:p>
    <w:p w14:paraId="2CECBC6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Pulaski, S. J., &amp; Woods, S. P. (2019). Neuropsychology of movement disorders and motor neuron disease: Parkinson’s disease, progressive supranuclear palsy, essential tremor, Huntington’s disease, and amyotrophic lateral sclerosis. </w:t>
      </w:r>
      <w:r w:rsidRPr="00DB4C76">
        <w:rPr>
          <w:rFonts w:ascii="Times New Roman" w:eastAsia="Times New Roman" w:hAnsi="Times New Roman" w:cs="Times New Roman"/>
          <w:i/>
          <w:iCs/>
          <w:sz w:val="24"/>
          <w:szCs w:val="24"/>
        </w:rPr>
        <w:t>Handbook of Medical Neuropsychology: Applications of Cognitive Neuroscience, 2nd Ed.</w:t>
      </w:r>
      <w:r w:rsidRPr="00DB4C76">
        <w:rPr>
          <w:rFonts w:ascii="Times New Roman" w:eastAsia="Times New Roman" w:hAnsi="Times New Roman" w:cs="Times New Roman"/>
          <w:sz w:val="24"/>
          <w:szCs w:val="24"/>
        </w:rPr>
        <w:t xml:space="preserve">, 415–440. </w:t>
      </w:r>
      <w:hyperlink r:id="rId5861" w:history="1">
        <w:r w:rsidRPr="00DB4C76">
          <w:rPr>
            <w:rFonts w:ascii="Times New Roman" w:eastAsia="Times New Roman" w:hAnsi="Times New Roman" w:cs="Times New Roman"/>
            <w:color w:val="0000FF"/>
            <w:sz w:val="24"/>
            <w:szCs w:val="24"/>
            <w:u w:val="single"/>
          </w:rPr>
          <w:t>https://doi.org/10.1007/978-3-030-14895-9_19</w:t>
        </w:r>
      </w:hyperlink>
    </w:p>
    <w:p w14:paraId="110478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Tröster, A. I., Woods, S. P., &amp; Morgan, E. E. (2007). Assessing cognitive change in Parkinson’s disease: Development of practice effect-corrected reliable change indices.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(6), 711–718. </w:t>
      </w:r>
      <w:hyperlink r:id="rId5862" w:history="1">
        <w:r w:rsidRPr="00DB4C76">
          <w:rPr>
            <w:rFonts w:ascii="Times New Roman" w:eastAsia="Times New Roman" w:hAnsi="Times New Roman" w:cs="Times New Roman"/>
            <w:color w:val="0000FF"/>
            <w:sz w:val="24"/>
            <w:szCs w:val="24"/>
            <w:u w:val="single"/>
          </w:rPr>
          <w:t>https://doi.org/10.1016/j.acn.2007.05.004</w:t>
        </w:r>
      </w:hyperlink>
    </w:p>
    <w:p w14:paraId="7397A7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Trott, C. T., Fahn, S., Greene, P., Dillon, S., Winfield, H., Winfield, L., Kao, R., Eidelberg, D., Freed, C. R., Breeze, R. E., &amp; Stern, Y. (2003). Cognition following bilateral implants of embryonic dopamine neurons in PD: A double blind study.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(12), 1938–1943. </w:t>
      </w:r>
      <w:hyperlink r:id="rId5863" w:history="1">
        <w:r w:rsidRPr="00DB4C76">
          <w:rPr>
            <w:rFonts w:ascii="Times New Roman" w:eastAsia="Times New Roman" w:hAnsi="Times New Roman" w:cs="Times New Roman"/>
            <w:color w:val="0000FF"/>
            <w:sz w:val="24"/>
            <w:szCs w:val="24"/>
            <w:u w:val="single"/>
          </w:rPr>
          <w:t>https://doi.org/10.1212/01.WNL.0000070181.28651.3B</w:t>
        </w:r>
      </w:hyperlink>
    </w:p>
    <w:p w14:paraId="1C11DF5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Troyer, A. K., Black, S. E., Armilio, M. L., &amp; Moscovitch, M. (2004). Cognitive and motor functioning in a patient with selective infarction of the left basal ganglia: Evidence for decreased non-routine response selection and performance.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(7), 902–911. </w:t>
      </w:r>
      <w:hyperlink r:id="rId5864" w:history="1">
        <w:r w:rsidRPr="00DB4C76">
          <w:rPr>
            <w:rFonts w:ascii="Times New Roman" w:eastAsia="Times New Roman" w:hAnsi="Times New Roman" w:cs="Times New Roman"/>
            <w:color w:val="0000FF"/>
            <w:sz w:val="24"/>
            <w:szCs w:val="24"/>
            <w:u w:val="single"/>
          </w:rPr>
          <w:t>https://doi.org/10.1016/j.neuropsychologia.2003.12.003</w:t>
        </w:r>
      </w:hyperlink>
    </w:p>
    <w:p w14:paraId="74B258A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Trudel, T. M., Tryon, W. W., &amp; Purdum, C. M. (1998). Awareness of disability and long-term outcome after traumatic brain injury. </w:t>
      </w:r>
      <w:r w:rsidRPr="00DB4C76">
        <w:rPr>
          <w:rFonts w:ascii="Times New Roman" w:eastAsia="Times New Roman" w:hAnsi="Times New Roman" w:cs="Times New Roman"/>
          <w:i/>
          <w:iCs/>
          <w:sz w:val="24"/>
          <w:szCs w:val="24"/>
        </w:rPr>
        <w:t>Rehabilitation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(4), 267–281. </w:t>
      </w:r>
      <w:hyperlink r:id="rId5865" w:history="1">
        <w:r w:rsidRPr="00DB4C76">
          <w:rPr>
            <w:rFonts w:ascii="Times New Roman" w:eastAsia="Times New Roman" w:hAnsi="Times New Roman" w:cs="Times New Roman"/>
            <w:color w:val="0000FF"/>
            <w:sz w:val="24"/>
            <w:szCs w:val="24"/>
            <w:u w:val="single"/>
          </w:rPr>
          <w:t>https://doi.org/10.1037/0090-5550.43.4.267</w:t>
        </w:r>
      </w:hyperlink>
    </w:p>
    <w:p w14:paraId="78FF2F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Trujillo, S., Trujillo, N., Valencia, S., Ugarriza, J. E., &amp; Acosta Mesas, A. (2019). Executive and behavioral characterization of chronic exposure to armed conflict among war victims and veterans. </w:t>
      </w:r>
      <w:r w:rsidRPr="00DB4C76">
        <w:rPr>
          <w:rFonts w:ascii="Times New Roman" w:eastAsia="Times New Roman" w:hAnsi="Times New Roman" w:cs="Times New Roman"/>
          <w:i/>
          <w:iCs/>
          <w:sz w:val="24"/>
          <w:szCs w:val="24"/>
        </w:rPr>
        <w:t>Peace and Conflict: Journal of Peace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(4), 312–324. </w:t>
      </w:r>
      <w:hyperlink r:id="rId5866" w:history="1">
        <w:r w:rsidRPr="00DB4C76">
          <w:rPr>
            <w:rFonts w:ascii="Times New Roman" w:eastAsia="Times New Roman" w:hAnsi="Times New Roman" w:cs="Times New Roman"/>
            <w:color w:val="0000FF"/>
            <w:sz w:val="24"/>
            <w:szCs w:val="24"/>
            <w:u w:val="single"/>
          </w:rPr>
          <w:t>https://doi.org/10.1037/pac0000408</w:t>
        </w:r>
      </w:hyperlink>
    </w:p>
    <w:p w14:paraId="70E107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Tryon, W. W. (2014). </w:t>
      </w:r>
      <w:r w:rsidRPr="00DB4C76">
        <w:rPr>
          <w:rFonts w:ascii="Times New Roman" w:eastAsia="Times New Roman" w:hAnsi="Times New Roman" w:cs="Times New Roman"/>
          <w:i/>
          <w:iCs/>
          <w:sz w:val="24"/>
          <w:szCs w:val="24"/>
        </w:rPr>
        <w:t>Cognitive neuroscience and psychotherapy: Network principles for a unified theory.</w:t>
      </w:r>
      <w:r w:rsidRPr="00DB4C76">
        <w:rPr>
          <w:rFonts w:ascii="Times New Roman" w:eastAsia="Times New Roman" w:hAnsi="Times New Roman" w:cs="Times New Roman"/>
          <w:sz w:val="24"/>
          <w:szCs w:val="24"/>
        </w:rPr>
        <w:t xml:space="preserve"> (pp. xiii, 678). Elsevier Academic Press.</w:t>
      </w:r>
    </w:p>
    <w:p w14:paraId="03F900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Trystuła, M., Góral-Półrola, J., Kropotov, J. D., &amp; Pąchalska, M. (2018). Functional neuromarkers of Post-Traumatic Stress Disorder (PTSD) in a major ischemic stroke survivor after carotid endarterectomy (CEA) revascularization. </w:t>
      </w:r>
      <w:r w:rsidRPr="00DB4C76">
        <w:rPr>
          <w:rFonts w:ascii="Times New Roman" w:eastAsia="Times New Roman" w:hAnsi="Times New Roman" w:cs="Times New Roman"/>
          <w:i/>
          <w:iCs/>
          <w:sz w:val="24"/>
          <w:szCs w:val="24"/>
        </w:rPr>
        <w:t>Acta Neuropsychologica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(4), 417–429. </w:t>
      </w:r>
      <w:hyperlink r:id="rId5867" w:history="1">
        <w:r w:rsidRPr="00DB4C76">
          <w:rPr>
            <w:rFonts w:ascii="Times New Roman" w:eastAsia="Times New Roman" w:hAnsi="Times New Roman" w:cs="Times New Roman"/>
            <w:color w:val="0000FF"/>
            <w:sz w:val="24"/>
            <w:szCs w:val="24"/>
            <w:u w:val="single"/>
          </w:rPr>
          <w:t>https://doi.org/10.5604/01.3001.0012.8119</w:t>
        </w:r>
      </w:hyperlink>
    </w:p>
    <w:p w14:paraId="029B21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Tsai, C.-L., Liang, C.-S., Yang, C.-P., Lee, J.-T., Ho, T.-H., Su, M.-W., Lin, G.-Y., Lin, Y.-K., Chu, H.-T., Hsu, Y.-W., &amp; Yang, F.-C. (2020). Indicators of rapid cognitive decline in amnestic mild cognitive impairment: The role of plasma biomarkers using magnetically labeled immunoassays.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129</w:t>
      </w:r>
      <w:r w:rsidRPr="00DB4C76">
        <w:rPr>
          <w:rFonts w:ascii="Times New Roman" w:eastAsia="Times New Roman" w:hAnsi="Times New Roman" w:cs="Times New Roman"/>
          <w:sz w:val="24"/>
          <w:szCs w:val="24"/>
        </w:rPr>
        <w:t xml:space="preserve">, 66–72. </w:t>
      </w:r>
      <w:hyperlink r:id="rId5868" w:history="1">
        <w:r w:rsidRPr="00DB4C76">
          <w:rPr>
            <w:rFonts w:ascii="Times New Roman" w:eastAsia="Times New Roman" w:hAnsi="Times New Roman" w:cs="Times New Roman"/>
            <w:color w:val="0000FF"/>
            <w:sz w:val="24"/>
            <w:szCs w:val="24"/>
            <w:u w:val="single"/>
          </w:rPr>
          <w:t>https://doi.org/10.1016/j.jpsychires.2020.06.006</w:t>
        </w:r>
      </w:hyperlink>
    </w:p>
    <w:p w14:paraId="146E3C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Tsai, G., Yang, P., Chung, L.-C., Lange, N., &amp; Coyle, J. T. (1998). D-serine added to antipsychotics for the treatment of schizophrenia.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(11), 1081–1089. </w:t>
      </w:r>
      <w:hyperlink r:id="rId5869" w:history="1">
        <w:r w:rsidRPr="00DB4C76">
          <w:rPr>
            <w:rFonts w:ascii="Times New Roman" w:eastAsia="Times New Roman" w:hAnsi="Times New Roman" w:cs="Times New Roman"/>
            <w:color w:val="0000FF"/>
            <w:sz w:val="24"/>
            <w:szCs w:val="24"/>
            <w:u w:val="single"/>
          </w:rPr>
          <w:t>https://doi.org/10.1016/S0006-3223(98)00279-0</w:t>
        </w:r>
      </w:hyperlink>
    </w:p>
    <w:p w14:paraId="64057D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Tsang, M. M. Y., &amp; Man, D. W. K. (2013). A virtual reality-based vocational training system (VRVTS) for people with schizophrenia in vocational rehabilitation.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144</w:t>
      </w:r>
      <w:r w:rsidRPr="00DB4C76">
        <w:rPr>
          <w:rFonts w:ascii="Times New Roman" w:eastAsia="Times New Roman" w:hAnsi="Times New Roman" w:cs="Times New Roman"/>
          <w:sz w:val="24"/>
          <w:szCs w:val="24"/>
        </w:rPr>
        <w:t xml:space="preserve">(1–3), 51–62. </w:t>
      </w:r>
      <w:hyperlink r:id="rId5870" w:history="1">
        <w:r w:rsidRPr="00DB4C76">
          <w:rPr>
            <w:rFonts w:ascii="Times New Roman" w:eastAsia="Times New Roman" w:hAnsi="Times New Roman" w:cs="Times New Roman"/>
            <w:color w:val="0000FF"/>
            <w:sz w:val="24"/>
            <w:szCs w:val="24"/>
            <w:u w:val="single"/>
          </w:rPr>
          <w:t>https://doi.org/10.1016/j.schres.2012.12.024</w:t>
        </w:r>
      </w:hyperlink>
    </w:p>
    <w:p w14:paraId="41B075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Tsantali, E., &amp; Economidis, D. (2014). Implications of a longitudinal cognitive intervention program in mild Alzheimer’s disease. </w:t>
      </w:r>
      <w:r w:rsidRPr="00DB4C76">
        <w:rPr>
          <w:rFonts w:ascii="Times New Roman" w:eastAsia="Times New Roman" w:hAnsi="Times New Roman" w:cs="Times New Roman"/>
          <w:i/>
          <w:iCs/>
          <w:sz w:val="24"/>
          <w:szCs w:val="24"/>
        </w:rPr>
        <w:t>Archives of Psychiatric Nursing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(2), 128–134. </w:t>
      </w:r>
      <w:hyperlink r:id="rId5871" w:history="1">
        <w:r w:rsidRPr="00DB4C76">
          <w:rPr>
            <w:rFonts w:ascii="Times New Roman" w:eastAsia="Times New Roman" w:hAnsi="Times New Roman" w:cs="Times New Roman"/>
            <w:color w:val="0000FF"/>
            <w:sz w:val="24"/>
            <w:szCs w:val="24"/>
            <w:u w:val="single"/>
          </w:rPr>
          <w:t>https://doi.org/10.1016/j.apnu.2013.12.004</w:t>
        </w:r>
      </w:hyperlink>
    </w:p>
    <w:p w14:paraId="29A9F8E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Tsatsanis, K. D., &amp; Powell, K. (2014). Neuropsychological characteristics of autism spectrum disorders. In </w:t>
      </w:r>
      <w:r w:rsidRPr="00DB4C76">
        <w:rPr>
          <w:rFonts w:ascii="Times New Roman" w:eastAsia="Times New Roman" w:hAnsi="Times New Roman" w:cs="Times New Roman"/>
          <w:i/>
          <w:iCs/>
          <w:sz w:val="24"/>
          <w:szCs w:val="24"/>
        </w:rPr>
        <w:t>Handbook of autism and pervasive developmental disorders: Diagnosis, development, and brain mechanisms, Volume 1, 4th ed.</w:t>
      </w:r>
      <w:r w:rsidRPr="00DB4C76">
        <w:rPr>
          <w:rFonts w:ascii="Times New Roman" w:eastAsia="Times New Roman" w:hAnsi="Times New Roman" w:cs="Times New Roman"/>
          <w:sz w:val="24"/>
          <w:szCs w:val="24"/>
        </w:rPr>
        <w:t xml:space="preserve"> (pp. 302–331). John Wiley &amp; Sons Inc.</w:t>
      </w:r>
    </w:p>
    <w:p w14:paraId="78BE283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Tse, M. T., Piantadosi, P. T., &amp; Floresco, S. B. (2015). Prefrontal cortical gamma-aminobutyric acid transmission and cognitive function: Drawing links to schizophrenia from preclinical research.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77</w:t>
      </w:r>
      <w:r w:rsidRPr="00DB4C76">
        <w:rPr>
          <w:rFonts w:ascii="Times New Roman" w:eastAsia="Times New Roman" w:hAnsi="Times New Roman" w:cs="Times New Roman"/>
          <w:sz w:val="24"/>
          <w:szCs w:val="24"/>
        </w:rPr>
        <w:t xml:space="preserve">(11), 929–939. </w:t>
      </w:r>
      <w:hyperlink r:id="rId5872" w:history="1">
        <w:r w:rsidRPr="00DB4C76">
          <w:rPr>
            <w:rFonts w:ascii="Times New Roman" w:eastAsia="Times New Roman" w:hAnsi="Times New Roman" w:cs="Times New Roman"/>
            <w:color w:val="0000FF"/>
            <w:sz w:val="24"/>
            <w:szCs w:val="24"/>
            <w:u w:val="single"/>
          </w:rPr>
          <w:t>https://doi.org/10.1016/j.biopsych.2014.09.007</w:t>
        </w:r>
      </w:hyperlink>
    </w:p>
    <w:p w14:paraId="321949E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Tseng, H.-H., Chen, S.-H., Liu, C.-M., Howes, O., Huang, Y.-L., Hsieh, M. H., Liu, C.-C., Shan, J.-C., Lin, Y.-T., &amp; Hwu, H.-G. (2013). Facial and prosodic emotion recognition deficits associate with specific clusters of psychotic symptoms in schizophrenia.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(6). </w:t>
      </w:r>
      <w:hyperlink r:id="rId5873" w:history="1">
        <w:r w:rsidRPr="00DB4C76">
          <w:rPr>
            <w:rFonts w:ascii="Times New Roman" w:eastAsia="Times New Roman" w:hAnsi="Times New Roman" w:cs="Times New Roman"/>
            <w:color w:val="0000FF"/>
            <w:sz w:val="24"/>
            <w:szCs w:val="24"/>
            <w:u w:val="single"/>
          </w:rPr>
          <w:t>https://doi.org/10.1371/journal.pone.0066571</w:t>
        </w:r>
      </w:hyperlink>
    </w:p>
    <w:p w14:paraId="0F34014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Tsirka, V., Simos, P., Vakis, A., Vourkas, M., Arzoglou, V., Syrmos, N., Stavropoulos, S., &amp; Micheloyannis, S. (2010). Material-specific difficulties in episodic memory tasks in mild traumatic brain injury. </w:t>
      </w:r>
      <w:r w:rsidRPr="00DB4C76">
        <w:rPr>
          <w:rFonts w:ascii="Times New Roman" w:eastAsia="Times New Roman" w:hAnsi="Times New Roman" w:cs="Times New Roman"/>
          <w:i/>
          <w:iCs/>
          <w:sz w:val="24"/>
          <w:szCs w:val="24"/>
        </w:rPr>
        <w:t>International Journal of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120</w:t>
      </w:r>
      <w:r w:rsidRPr="00DB4C76">
        <w:rPr>
          <w:rFonts w:ascii="Times New Roman" w:eastAsia="Times New Roman" w:hAnsi="Times New Roman" w:cs="Times New Roman"/>
          <w:sz w:val="24"/>
          <w:szCs w:val="24"/>
        </w:rPr>
        <w:t xml:space="preserve">(3), 184–191. </w:t>
      </w:r>
      <w:hyperlink r:id="rId5874" w:history="1">
        <w:r w:rsidRPr="00DB4C76">
          <w:rPr>
            <w:rFonts w:ascii="Times New Roman" w:eastAsia="Times New Roman" w:hAnsi="Times New Roman" w:cs="Times New Roman"/>
            <w:color w:val="0000FF"/>
            <w:sz w:val="24"/>
            <w:szCs w:val="24"/>
            <w:u w:val="single"/>
          </w:rPr>
          <w:t>https://doi.org/10.3109/00207450903585308</w:t>
        </w:r>
      </w:hyperlink>
    </w:p>
    <w:p w14:paraId="5922A22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Tsuchiya, E., Oki, J., Yahara, N., &amp; Fujieda, K. (2005). Computerized version of the Wisconsin card sorting test in children with high-functioning autistic disorder or attention-deficit/hyperactivity disorder.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233–236. </w:t>
      </w:r>
      <w:hyperlink r:id="rId5875" w:history="1">
        <w:r w:rsidRPr="00DB4C76">
          <w:rPr>
            <w:rFonts w:ascii="Times New Roman" w:eastAsia="Times New Roman" w:hAnsi="Times New Roman" w:cs="Times New Roman"/>
            <w:color w:val="0000FF"/>
            <w:sz w:val="24"/>
            <w:szCs w:val="24"/>
            <w:u w:val="single"/>
          </w:rPr>
          <w:t>https://doi.org/10.1016/j.braindev.2004.06.008</w:t>
        </w:r>
      </w:hyperlink>
    </w:p>
    <w:p w14:paraId="20B412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Tsuchiya, H., Yamaguchi, S., &amp; Kobayashi, S. (2000). Impaired novelty detection and frontal lobe dysfunction in Parkinson’s disease.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(5), 645–654. </w:t>
      </w:r>
      <w:hyperlink r:id="rId5876" w:history="1">
        <w:r w:rsidRPr="00DB4C76">
          <w:rPr>
            <w:rFonts w:ascii="Times New Roman" w:eastAsia="Times New Roman" w:hAnsi="Times New Roman" w:cs="Times New Roman"/>
            <w:color w:val="0000FF"/>
            <w:sz w:val="24"/>
            <w:szCs w:val="24"/>
            <w:u w:val="single"/>
          </w:rPr>
          <w:t>https://doi.org/10.1016/S0028-3932(99)00108-6</w:t>
        </w:r>
      </w:hyperlink>
    </w:p>
    <w:p w14:paraId="372852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Tsui, C. F., Huang, J., Lui, S. S. Y., Au, A. C. W., Leung, M. M. W., Cheung, E. F. C., &amp; Chan, R. C. K. (2013). Facial emotion perception abnormality in patients with early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147</w:t>
      </w:r>
      <w:r w:rsidRPr="00DB4C76">
        <w:rPr>
          <w:rFonts w:ascii="Times New Roman" w:eastAsia="Times New Roman" w:hAnsi="Times New Roman" w:cs="Times New Roman"/>
          <w:sz w:val="24"/>
          <w:szCs w:val="24"/>
        </w:rPr>
        <w:t xml:space="preserve">(2–3), 230–235. </w:t>
      </w:r>
      <w:hyperlink r:id="rId5877" w:history="1">
        <w:r w:rsidRPr="00DB4C76">
          <w:rPr>
            <w:rFonts w:ascii="Times New Roman" w:eastAsia="Times New Roman" w:hAnsi="Times New Roman" w:cs="Times New Roman"/>
            <w:color w:val="0000FF"/>
            <w:sz w:val="24"/>
            <w:szCs w:val="24"/>
            <w:u w:val="single"/>
          </w:rPr>
          <w:t>https://doi.org/10.1016/j.schres.2013.04.019</w:t>
        </w:r>
      </w:hyperlink>
    </w:p>
    <w:p w14:paraId="21015C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Tsujimoto, S., &amp; Sawaguchi, T. (2005). Context-dependent Representation of Response-outcome in Monkey Prefrontal Neurons. </w:t>
      </w:r>
      <w:r w:rsidRPr="00DB4C76">
        <w:rPr>
          <w:rFonts w:ascii="Times New Roman" w:eastAsia="Times New Roman" w:hAnsi="Times New Roman" w:cs="Times New Roman"/>
          <w:i/>
          <w:iCs/>
          <w:sz w:val="24"/>
          <w:szCs w:val="24"/>
        </w:rPr>
        <w:t>Cerebral Cortex</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(7), 888–898. </w:t>
      </w:r>
      <w:hyperlink r:id="rId5878" w:history="1">
        <w:r w:rsidRPr="00DB4C76">
          <w:rPr>
            <w:rFonts w:ascii="Times New Roman" w:eastAsia="Times New Roman" w:hAnsi="Times New Roman" w:cs="Times New Roman"/>
            <w:color w:val="0000FF"/>
            <w:sz w:val="24"/>
            <w:szCs w:val="24"/>
            <w:u w:val="single"/>
          </w:rPr>
          <w:t>https://doi.org/10.1093/cercor/bhh188</w:t>
        </w:r>
      </w:hyperlink>
    </w:p>
    <w:p w14:paraId="4C4F529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Tsuruya, N., Kobayakawa, M., &amp; Kawamura, M. (2011). Is “reading mind in the eyes” impaired in Parkinson’s disease? </w:t>
      </w:r>
      <w:r w:rsidRPr="00DB4C76">
        <w:rPr>
          <w:rFonts w:ascii="Times New Roman" w:eastAsia="Times New Roman" w:hAnsi="Times New Roman" w:cs="Times New Roman"/>
          <w:i/>
          <w:iCs/>
          <w:sz w:val="24"/>
          <w:szCs w:val="24"/>
        </w:rPr>
        <w:t>Parkinsonism &amp; Related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(4), 246–248. </w:t>
      </w:r>
      <w:hyperlink r:id="rId5879" w:history="1">
        <w:r w:rsidRPr="00DB4C76">
          <w:rPr>
            <w:rFonts w:ascii="Times New Roman" w:eastAsia="Times New Roman" w:hAnsi="Times New Roman" w:cs="Times New Roman"/>
            <w:color w:val="0000FF"/>
            <w:sz w:val="24"/>
            <w:szCs w:val="24"/>
            <w:u w:val="single"/>
          </w:rPr>
          <w:t>https://doi.org/10.1016/j.parkreldis.2010.09.001</w:t>
        </w:r>
      </w:hyperlink>
    </w:p>
    <w:p w14:paraId="1A2050D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Tsushima, W. T., Tsushima, V. G., &amp; Fujii, D. (2011). Neuropsychology of Japanese Americans. </w:t>
      </w:r>
      <w:r w:rsidRPr="00DB4C76">
        <w:rPr>
          <w:rFonts w:ascii="Times New Roman" w:eastAsia="Times New Roman" w:hAnsi="Times New Roman" w:cs="Times New Roman"/>
          <w:i/>
          <w:iCs/>
          <w:sz w:val="24"/>
          <w:szCs w:val="24"/>
        </w:rPr>
        <w:t>The Neuropsychology of Asian Americans.</w:t>
      </w:r>
      <w:r w:rsidRPr="00DB4C76">
        <w:rPr>
          <w:rFonts w:ascii="Times New Roman" w:eastAsia="Times New Roman" w:hAnsi="Times New Roman" w:cs="Times New Roman"/>
          <w:sz w:val="24"/>
          <w:szCs w:val="24"/>
        </w:rPr>
        <w:t>, 107–129.</w:t>
      </w:r>
    </w:p>
    <w:p w14:paraId="64C9DD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 P.-C., Chen, L.-F., Hsieh, J.-C., Bai, Y.-M., Li, C.-T., &amp; Su, T.-P. (2012). Regional cortical thinning in patients with major depressive disorder: A surface-based morphometry study.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202</w:t>
      </w:r>
      <w:r w:rsidRPr="00DB4C76">
        <w:rPr>
          <w:rFonts w:ascii="Times New Roman" w:eastAsia="Times New Roman" w:hAnsi="Times New Roman" w:cs="Times New Roman"/>
          <w:sz w:val="24"/>
          <w:szCs w:val="24"/>
        </w:rPr>
        <w:t xml:space="preserve">(3), 206–213. </w:t>
      </w:r>
      <w:hyperlink r:id="rId5880" w:history="1">
        <w:r w:rsidRPr="00DB4C76">
          <w:rPr>
            <w:rFonts w:ascii="Times New Roman" w:eastAsia="Times New Roman" w:hAnsi="Times New Roman" w:cs="Times New Roman"/>
            <w:color w:val="0000FF"/>
            <w:sz w:val="24"/>
            <w:szCs w:val="24"/>
            <w:u w:val="single"/>
          </w:rPr>
          <w:t>https://doi.org/10.1016/j.pscychresns.2011.07.011</w:t>
        </w:r>
      </w:hyperlink>
    </w:p>
    <w:p w14:paraId="2F3EE8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 P.-C., Li, C.-T., Lin, W.-C., Chen, M.-H., Su, T.-P., &amp; Bai, Y.-M. (2017). Structural and functional correlates of serum soluble IL-6 receptor level in patients with bipolar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219</w:t>
      </w:r>
      <w:r w:rsidRPr="00DB4C76">
        <w:rPr>
          <w:rFonts w:ascii="Times New Roman" w:eastAsia="Times New Roman" w:hAnsi="Times New Roman" w:cs="Times New Roman"/>
          <w:sz w:val="24"/>
          <w:szCs w:val="24"/>
        </w:rPr>
        <w:t xml:space="preserve">, 172–177. </w:t>
      </w:r>
      <w:hyperlink r:id="rId5881" w:history="1">
        <w:r w:rsidRPr="00DB4C76">
          <w:rPr>
            <w:rFonts w:ascii="Times New Roman" w:eastAsia="Times New Roman" w:hAnsi="Times New Roman" w:cs="Times New Roman"/>
            <w:color w:val="0000FF"/>
            <w:sz w:val="24"/>
            <w:szCs w:val="24"/>
            <w:u w:val="single"/>
          </w:rPr>
          <w:t>https://doi.org/10.1016/j.jad.2017.04.036</w:t>
        </w:r>
      </w:hyperlink>
    </w:p>
    <w:p w14:paraId="1B7A63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Tucker, A. M., &amp; Stern, Y. (2011). Cognitive reserve in aging. </w:t>
      </w:r>
      <w:r w:rsidRPr="00DB4C76">
        <w:rPr>
          <w:rFonts w:ascii="Times New Roman" w:eastAsia="Times New Roman" w:hAnsi="Times New Roman" w:cs="Times New Roman"/>
          <w:i/>
          <w:iCs/>
          <w:sz w:val="24"/>
          <w:szCs w:val="24"/>
        </w:rPr>
        <w:t>Current Alzheimer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(4), 354–360. </w:t>
      </w:r>
      <w:hyperlink r:id="rId5882" w:history="1">
        <w:r w:rsidRPr="00DB4C76">
          <w:rPr>
            <w:rFonts w:ascii="Times New Roman" w:eastAsia="Times New Roman" w:hAnsi="Times New Roman" w:cs="Times New Roman"/>
            <w:color w:val="0000FF"/>
            <w:sz w:val="24"/>
            <w:szCs w:val="24"/>
            <w:u w:val="single"/>
          </w:rPr>
          <w:t>https://doi.org/10.2174/156720511795745320</w:t>
        </w:r>
      </w:hyperlink>
    </w:p>
    <w:p w14:paraId="41584BC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Tuğal, Ö., Yazici, K. M., Yağcioğlu, A. E. A., &amp; Göğüş, A. (2004). A double-blind, placebo controlled, cross-over trial of adjunctive donepezil for cognitive impairment in schizophrenia. </w:t>
      </w:r>
      <w:r w:rsidRPr="00DB4C76">
        <w:rPr>
          <w:rFonts w:ascii="Times New Roman" w:eastAsia="Times New Roman" w:hAnsi="Times New Roman" w:cs="Times New Roman"/>
          <w:i/>
          <w:iCs/>
          <w:sz w:val="24"/>
          <w:szCs w:val="24"/>
        </w:rPr>
        <w:t>International Journal of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(2), 117–123. </w:t>
      </w:r>
      <w:hyperlink r:id="rId5883" w:history="1">
        <w:r w:rsidRPr="00DB4C76">
          <w:rPr>
            <w:rFonts w:ascii="Times New Roman" w:eastAsia="Times New Roman" w:hAnsi="Times New Roman" w:cs="Times New Roman"/>
            <w:color w:val="0000FF"/>
            <w:sz w:val="24"/>
            <w:szCs w:val="24"/>
            <w:u w:val="single"/>
          </w:rPr>
          <w:t>https://doi.org/10.1017/S1461145703004024</w:t>
        </w:r>
      </w:hyperlink>
    </w:p>
    <w:p w14:paraId="73609CA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Alkaş, E., Gürvit, H., Ertekin, B. A., Ertekin, E., Baran, B., Kalem, Ş. A., &amp; Direskeneli, G. S. (2016). Serotonin transporter promoter polymorphism is associated with executive function impairments in patients with obsessive compulsive disorder.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(4), 536–546. </w:t>
      </w:r>
      <w:hyperlink r:id="rId5884" w:history="1">
        <w:r w:rsidRPr="00DB4C76">
          <w:rPr>
            <w:rFonts w:ascii="Times New Roman" w:eastAsia="Times New Roman" w:hAnsi="Times New Roman" w:cs="Times New Roman"/>
            <w:color w:val="0000FF"/>
            <w:sz w:val="24"/>
            <w:szCs w:val="24"/>
            <w:u w:val="single"/>
          </w:rPr>
          <w:t>https://doi.org/10.1080/13854046.2016.1162329</w:t>
        </w:r>
      </w:hyperlink>
    </w:p>
    <w:p w14:paraId="5C65F6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Gürvit, H., Ertekin, B. A., Oflaz, S., Ertekin, E., Baran, B., Kalem, Ş. A., Kandemir, P. E., Özdemiroğlu, F. A., &amp; Atalay, F. (2012). Neuropsychological function in obsessive-compulsive disorder. </w:t>
      </w:r>
      <w:r w:rsidRPr="00DB4C76">
        <w:rPr>
          <w:rFonts w:ascii="Times New Roman" w:eastAsia="Times New Roman" w:hAnsi="Times New Roman" w:cs="Times New Roman"/>
          <w:i/>
          <w:iCs/>
          <w:sz w:val="24"/>
          <w:szCs w:val="24"/>
        </w:rPr>
        <w:t>Comprehensive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(2), 167–175. </w:t>
      </w:r>
      <w:hyperlink r:id="rId5885" w:history="1">
        <w:r w:rsidRPr="00DB4C76">
          <w:rPr>
            <w:rFonts w:ascii="Times New Roman" w:eastAsia="Times New Roman" w:hAnsi="Times New Roman" w:cs="Times New Roman"/>
            <w:color w:val="0000FF"/>
            <w:sz w:val="24"/>
            <w:szCs w:val="24"/>
            <w:u w:val="single"/>
          </w:rPr>
          <w:t>https://doi.org/10.1016/j.comppsych.2011.03.007</w:t>
        </w:r>
      </w:hyperlink>
    </w:p>
    <w:p w14:paraId="4EB42B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Gürvit, H., Özata, B., Öztürk, N., Ertekin, B. A., Ertekin, E., Baran, B., Kalem, Ş. A., Büyükgök, D., &amp; Direskeneli, G. S. (2012). Brain‐derived neurotrophic factor gene Val66Met polymorphism and cognitive function in obsessive–compulsive disorder.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159B</w:t>
      </w:r>
      <w:r w:rsidRPr="00DB4C76">
        <w:rPr>
          <w:rFonts w:ascii="Times New Roman" w:eastAsia="Times New Roman" w:hAnsi="Times New Roman" w:cs="Times New Roman"/>
          <w:sz w:val="24"/>
          <w:szCs w:val="24"/>
        </w:rPr>
        <w:t xml:space="preserve">(7), 850–858. </w:t>
      </w:r>
      <w:hyperlink r:id="rId5886" w:history="1">
        <w:r w:rsidRPr="00DB4C76">
          <w:rPr>
            <w:rFonts w:ascii="Times New Roman" w:eastAsia="Times New Roman" w:hAnsi="Times New Roman" w:cs="Times New Roman"/>
            <w:color w:val="0000FF"/>
            <w:sz w:val="24"/>
            <w:szCs w:val="24"/>
            <w:u w:val="single"/>
          </w:rPr>
          <w:t>https://doi.org/10.1002/ajmg.b.32092</w:t>
        </w:r>
      </w:hyperlink>
    </w:p>
    <w:p w14:paraId="70FA73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Tükel, R., Gürvit, H., Öztürk, N., Özata, B., Ertekin, B. A., Ertekin, E., Baran, B., Kalem, Ş. A., Büyükgök, D., &amp; Direskeneli, G. S. (2013). COMT Val158Met polymorphism and executive functions in obsessive-compulsive disorder.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(3), 214–221. </w:t>
      </w:r>
      <w:hyperlink r:id="rId5887" w:history="1">
        <w:r w:rsidRPr="00DB4C76">
          <w:rPr>
            <w:rFonts w:ascii="Times New Roman" w:eastAsia="Times New Roman" w:hAnsi="Times New Roman" w:cs="Times New Roman"/>
            <w:color w:val="0000FF"/>
            <w:sz w:val="24"/>
            <w:szCs w:val="24"/>
            <w:u w:val="single"/>
          </w:rPr>
          <w:t>https://doi.org/10.1176/appi.neuropsych.12040103</w:t>
        </w:r>
      </w:hyperlink>
    </w:p>
    <w:p w14:paraId="532D5E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Tuladhar, A. M., Lawrence, A., Norris, David. G., Barrick, T. R., Markus, H. S., &amp; Leeuw, F. (2017). Disruption of rich club organisation in cerebral small vessel disease.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(4), 1751–1766. </w:t>
      </w:r>
      <w:hyperlink r:id="rId5888" w:history="1">
        <w:r w:rsidRPr="00DB4C76">
          <w:rPr>
            <w:rFonts w:ascii="Times New Roman" w:eastAsia="Times New Roman" w:hAnsi="Times New Roman" w:cs="Times New Roman"/>
            <w:color w:val="0000FF"/>
            <w:sz w:val="24"/>
            <w:szCs w:val="24"/>
            <w:u w:val="single"/>
          </w:rPr>
          <w:t>https://doi.org/10.1002/hbm.23479</w:t>
        </w:r>
      </w:hyperlink>
    </w:p>
    <w:p w14:paraId="0E8F11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Tully, L. M., Lincoln, S. H., Liyanage-Don, N., &amp; Hooker, C. I. (2014). Impaired cognitive control mediates the relationship between cortical thickness of the superior frontal gyrus and role functioning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152</w:t>
      </w:r>
      <w:r w:rsidRPr="00DB4C76">
        <w:rPr>
          <w:rFonts w:ascii="Times New Roman" w:eastAsia="Times New Roman" w:hAnsi="Times New Roman" w:cs="Times New Roman"/>
          <w:sz w:val="24"/>
          <w:szCs w:val="24"/>
        </w:rPr>
        <w:t xml:space="preserve">(2–3), 358–364. </w:t>
      </w:r>
      <w:hyperlink r:id="rId5889" w:history="1">
        <w:r w:rsidRPr="00DB4C76">
          <w:rPr>
            <w:rFonts w:ascii="Times New Roman" w:eastAsia="Times New Roman" w:hAnsi="Times New Roman" w:cs="Times New Roman"/>
            <w:color w:val="0000FF"/>
            <w:sz w:val="24"/>
            <w:szCs w:val="24"/>
            <w:u w:val="single"/>
          </w:rPr>
          <w:t>https://doi.org/10.1016/j.schres.2013.12.005</w:t>
        </w:r>
      </w:hyperlink>
    </w:p>
    <w:p w14:paraId="219083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Tulsky, D. S., Carlozzi, N., Chiaravalloti, N. D., Beaumont, J. L., Kisala, P. A., Mungas, D., Conway, K., &amp; Gershon, R. (2014). NIH Toolbox Cognition Battery (NIHTB-CB): List sorting test to measure working memory.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(6), 599–610. </w:t>
      </w:r>
      <w:hyperlink r:id="rId5890" w:history="1">
        <w:r w:rsidRPr="00DB4C76">
          <w:rPr>
            <w:rFonts w:ascii="Times New Roman" w:eastAsia="Times New Roman" w:hAnsi="Times New Roman" w:cs="Times New Roman"/>
            <w:color w:val="0000FF"/>
            <w:sz w:val="24"/>
            <w:szCs w:val="24"/>
            <w:u w:val="single"/>
          </w:rPr>
          <w:t>https://doi.org/10.1017/S135561771400040X</w:t>
        </w:r>
      </w:hyperlink>
    </w:p>
    <w:p w14:paraId="4019D8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Tulsky, D. S., Carlozzi, N. E., Chevalier, N., Espy, K. A., Beaumont, J. L., &amp; Mungas, D. (2013). National Institutes of Health Toolbox Cognition Battery (NIH Toolbox CB): Validation for children between 3 and 15 years: V. NIH Toolbox Cognition Battery (CB): Measuring working memory. </w:t>
      </w:r>
      <w:r w:rsidRPr="00DB4C76">
        <w:rPr>
          <w:rFonts w:ascii="Times New Roman" w:eastAsia="Times New Roman" w:hAnsi="Times New Roman" w:cs="Times New Roman"/>
          <w:i/>
          <w:iCs/>
          <w:sz w:val="24"/>
          <w:szCs w:val="24"/>
        </w:rPr>
        <w:t>Monographs of the Society for Research in Child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(4), 70–87. </w:t>
      </w:r>
      <w:hyperlink r:id="rId5891" w:history="1">
        <w:r w:rsidRPr="00DB4C76">
          <w:rPr>
            <w:rFonts w:ascii="Times New Roman" w:eastAsia="Times New Roman" w:hAnsi="Times New Roman" w:cs="Times New Roman"/>
            <w:color w:val="0000FF"/>
            <w:sz w:val="24"/>
            <w:szCs w:val="24"/>
            <w:u w:val="single"/>
          </w:rPr>
          <w:t>https://doi.org/10.1111/mono.12035</w:t>
        </w:r>
      </w:hyperlink>
    </w:p>
    <w:p w14:paraId="3A9FEC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Tulsky, D. S., Holdnack, J. A., Cohen, M. L., Heaton, R. K., Carlozzi, N. E., Wong, A. W. K., Boulton, A. J., &amp; Heinemann, A. W. (2017). Factor structure of the NIH Toolbox Cognition Battery in individuals with acquired brain injury. </w:t>
      </w:r>
      <w:r w:rsidRPr="00DB4C76">
        <w:rPr>
          <w:rFonts w:ascii="Times New Roman" w:eastAsia="Times New Roman" w:hAnsi="Times New Roman" w:cs="Times New Roman"/>
          <w:i/>
          <w:iCs/>
          <w:sz w:val="24"/>
          <w:szCs w:val="24"/>
        </w:rPr>
        <w:t>Rehabilitation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(4), 435–442. </w:t>
      </w:r>
      <w:hyperlink r:id="rId5892" w:history="1">
        <w:r w:rsidRPr="00DB4C76">
          <w:rPr>
            <w:rFonts w:ascii="Times New Roman" w:eastAsia="Times New Roman" w:hAnsi="Times New Roman" w:cs="Times New Roman"/>
            <w:color w:val="0000FF"/>
            <w:sz w:val="24"/>
            <w:szCs w:val="24"/>
            <w:u w:val="single"/>
          </w:rPr>
          <w:t>https://doi.org/10.1037/rep0000183</w:t>
        </w:r>
      </w:hyperlink>
    </w:p>
    <w:p w14:paraId="24360A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Tuokko, H. A., &amp; Smart, C. M. (2014). Functional sequelae of cognitive decline in later life. In N. A. Pachana &amp; K. Laidlaw (Eds.), </w:t>
      </w:r>
      <w:r w:rsidRPr="00DB4C76">
        <w:rPr>
          <w:rFonts w:ascii="Times New Roman" w:eastAsia="Times New Roman" w:hAnsi="Times New Roman" w:cs="Times New Roman"/>
          <w:i/>
          <w:iCs/>
          <w:sz w:val="24"/>
          <w:szCs w:val="24"/>
        </w:rPr>
        <w:t>The Oxford handbook of clinical geropsychology.</w:t>
      </w:r>
      <w:r w:rsidRPr="00DB4C76">
        <w:rPr>
          <w:rFonts w:ascii="Times New Roman" w:eastAsia="Times New Roman" w:hAnsi="Times New Roman" w:cs="Times New Roman"/>
          <w:sz w:val="24"/>
          <w:szCs w:val="24"/>
        </w:rPr>
        <w:t xml:space="preserve"> (pp. 306–334). Oxford University Press. </w:t>
      </w:r>
      <w:hyperlink r:id="rId5893" w:history="1">
        <w:r w:rsidRPr="00DB4C76">
          <w:rPr>
            <w:rFonts w:ascii="Times New Roman" w:eastAsia="Times New Roman" w:hAnsi="Times New Roman" w:cs="Times New Roman"/>
            <w:color w:val="0000FF"/>
            <w:sz w:val="24"/>
            <w:szCs w:val="24"/>
            <w:u w:val="single"/>
          </w:rPr>
          <w:t>http://search.ebscohost.com/login.aspx?direct=true&amp;db=psyh&amp;AN=2015-47050-015&amp;site=ehost-live</w:t>
        </w:r>
      </w:hyperlink>
    </w:p>
    <w:p w14:paraId="4849D20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Tuominen, T., Korhonen, T., Hämäläinen, H., Katajisto, J., Vartiainen, H., Joukamaa, M., Lintonen, T., Wuolijoki, T., Jüriloo, A., &amp; Lauerma, H. (2017). The factors associated with criminal recidivism in Finnish male offenders: Importance of neurocognitive deficits and substance dependence. </w:t>
      </w:r>
      <w:r w:rsidRPr="00DB4C76">
        <w:rPr>
          <w:rFonts w:ascii="Times New Roman" w:eastAsia="Times New Roman" w:hAnsi="Times New Roman" w:cs="Times New Roman"/>
          <w:i/>
          <w:iCs/>
          <w:sz w:val="24"/>
          <w:szCs w:val="24"/>
        </w:rPr>
        <w:t>Journal of Scandinavian Studies in Criminology and Crime Prevention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(1), 52–67. </w:t>
      </w:r>
      <w:hyperlink r:id="rId5894" w:history="1">
        <w:r w:rsidRPr="00DB4C76">
          <w:rPr>
            <w:rFonts w:ascii="Times New Roman" w:eastAsia="Times New Roman" w:hAnsi="Times New Roman" w:cs="Times New Roman"/>
            <w:color w:val="0000FF"/>
            <w:sz w:val="24"/>
            <w:szCs w:val="24"/>
            <w:u w:val="single"/>
          </w:rPr>
          <w:t>https://doi.org/10.1080/14043858.2017.1305037</w:t>
        </w:r>
      </w:hyperlink>
    </w:p>
    <w:p w14:paraId="530B82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Tuominen, T., Korhonen, T., Hämäläinen, H., Temonen, S., Salo, H., Katajisto, J., &amp; Lauerma, H. (2014a). Functional illiteracy and neurocognitive deficits among male prisoners: Implications for rehabilitation. </w:t>
      </w:r>
      <w:r w:rsidRPr="00DB4C76">
        <w:rPr>
          <w:rFonts w:ascii="Times New Roman" w:eastAsia="Times New Roman" w:hAnsi="Times New Roman" w:cs="Times New Roman"/>
          <w:i/>
          <w:iCs/>
          <w:sz w:val="24"/>
          <w:szCs w:val="24"/>
        </w:rPr>
        <w:t>Journal of Forensic Practice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(4), 268–280. </w:t>
      </w:r>
      <w:hyperlink r:id="rId5895" w:history="1">
        <w:r w:rsidRPr="00DB4C76">
          <w:rPr>
            <w:rFonts w:ascii="Times New Roman" w:eastAsia="Times New Roman" w:hAnsi="Times New Roman" w:cs="Times New Roman"/>
            <w:color w:val="0000FF"/>
            <w:sz w:val="24"/>
            <w:szCs w:val="24"/>
            <w:u w:val="single"/>
          </w:rPr>
          <w:t>https://doi.org/10.1108/JFP-10-2013-0044</w:t>
        </w:r>
      </w:hyperlink>
    </w:p>
    <w:p w14:paraId="7B9A63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Tuominen, T., Korhonen, T., Hämäläinen, H., Temonen, S., Salo, H., Katajisto, J., &amp; Lauerma, H. (2014b). Neurocognitive disorders in sentenced male offenders: Implications for rehabilitation. </w:t>
      </w:r>
      <w:r w:rsidRPr="00DB4C76">
        <w:rPr>
          <w:rFonts w:ascii="Times New Roman" w:eastAsia="Times New Roman" w:hAnsi="Times New Roman" w:cs="Times New Roman"/>
          <w:i/>
          <w:iCs/>
          <w:sz w:val="24"/>
          <w:szCs w:val="24"/>
        </w:rPr>
        <w:t>Criminal Behaviour and Mental Health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 36–48. </w:t>
      </w:r>
      <w:hyperlink r:id="rId5896" w:history="1">
        <w:r w:rsidRPr="00DB4C76">
          <w:rPr>
            <w:rFonts w:ascii="Times New Roman" w:eastAsia="Times New Roman" w:hAnsi="Times New Roman" w:cs="Times New Roman"/>
            <w:color w:val="0000FF"/>
            <w:sz w:val="24"/>
            <w:szCs w:val="24"/>
            <w:u w:val="single"/>
          </w:rPr>
          <w:t>https://doi.org/10.1002/cbm.1879</w:t>
        </w:r>
      </w:hyperlink>
    </w:p>
    <w:p w14:paraId="6CE93BF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Turco, E. C., Ormitti, F., Andreolli, A., Barsacchi, M., Facini, C., &amp; Pisani, F. (2018). A novel temporal pattern of childhood cerebral X-linked adrenoleukodystrophy.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(3), 238–241. </w:t>
      </w:r>
      <w:hyperlink r:id="rId5897" w:history="1">
        <w:r w:rsidRPr="00DB4C76">
          <w:rPr>
            <w:rFonts w:ascii="Times New Roman" w:eastAsia="Times New Roman" w:hAnsi="Times New Roman" w:cs="Times New Roman"/>
            <w:color w:val="0000FF"/>
            <w:sz w:val="24"/>
            <w:szCs w:val="24"/>
            <w:u w:val="single"/>
          </w:rPr>
          <w:t>https://doi.org/10.1016/j.braindev.2017.10.005</w:t>
        </w:r>
      </w:hyperlink>
    </w:p>
    <w:p w14:paraId="4AAF1B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Türkdoğan, D., Orengul, A. C., Zaimoğlu, S., &amp; Ekinci, G. (2014). Anti-N-methyl-D-aspartate (anti-NMDA) receptor encephalitis: Rapid and sustained clinical improvement with steroid therapy starting in the late phase. </w:t>
      </w:r>
      <w:r w:rsidRPr="00DB4C76">
        <w:rPr>
          <w:rFonts w:ascii="Times New Roman" w:eastAsia="Times New Roman" w:hAnsi="Times New Roman" w:cs="Times New Roman"/>
          <w:i/>
          <w:iCs/>
          <w:sz w:val="24"/>
          <w:szCs w:val="24"/>
        </w:rPr>
        <w:t>Journal of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(5), 684–687. </w:t>
      </w:r>
      <w:hyperlink r:id="rId5898" w:history="1">
        <w:r w:rsidRPr="00DB4C76">
          <w:rPr>
            <w:rFonts w:ascii="Times New Roman" w:eastAsia="Times New Roman" w:hAnsi="Times New Roman" w:cs="Times New Roman"/>
            <w:color w:val="0000FF"/>
            <w:sz w:val="24"/>
            <w:szCs w:val="24"/>
            <w:u w:val="single"/>
          </w:rPr>
          <w:t>https://doi.org/10.1177/0883073813520497</w:t>
        </w:r>
      </w:hyperlink>
    </w:p>
    <w:p w14:paraId="3ACB29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Turley, M. R., &amp; Obrzut, J. E. (2012). Neuropsychological effects of posttraumatic stress disorder in children and adolescents. </w:t>
      </w:r>
      <w:r w:rsidRPr="00DB4C76">
        <w:rPr>
          <w:rFonts w:ascii="Times New Roman" w:eastAsia="Times New Roman" w:hAnsi="Times New Roman" w:cs="Times New Roman"/>
          <w:i/>
          <w:iCs/>
          <w:sz w:val="24"/>
          <w:szCs w:val="24"/>
        </w:rPr>
        <w:t>Canadian Journal of School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(2), 166–182. </w:t>
      </w:r>
      <w:hyperlink r:id="rId5899" w:history="1">
        <w:r w:rsidRPr="00DB4C76">
          <w:rPr>
            <w:rFonts w:ascii="Times New Roman" w:eastAsia="Times New Roman" w:hAnsi="Times New Roman" w:cs="Times New Roman"/>
            <w:color w:val="0000FF"/>
            <w:sz w:val="24"/>
            <w:szCs w:val="24"/>
            <w:u w:val="single"/>
          </w:rPr>
          <w:t>https://doi.org/10.1177/0829573512440420</w:t>
        </w:r>
      </w:hyperlink>
    </w:p>
    <w:p w14:paraId="1EF372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Turnbull, J., Cunnington, J., Unsal, A., Norman, G., &amp; Ferguson, B. (2006). Competence and Cognitive Difficulty in Physicians: A Follow-up Study. </w:t>
      </w:r>
      <w:r w:rsidRPr="00DB4C76">
        <w:rPr>
          <w:rFonts w:ascii="Times New Roman" w:eastAsia="Times New Roman" w:hAnsi="Times New Roman" w:cs="Times New Roman"/>
          <w:i/>
          <w:iCs/>
          <w:sz w:val="24"/>
          <w:szCs w:val="24"/>
        </w:rPr>
        <w:t>Academic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81</w:t>
      </w:r>
      <w:r w:rsidRPr="00DB4C76">
        <w:rPr>
          <w:rFonts w:ascii="Times New Roman" w:eastAsia="Times New Roman" w:hAnsi="Times New Roman" w:cs="Times New Roman"/>
          <w:sz w:val="24"/>
          <w:szCs w:val="24"/>
        </w:rPr>
        <w:t xml:space="preserve">(10), 915–918. </w:t>
      </w:r>
      <w:hyperlink r:id="rId5900" w:history="1">
        <w:r w:rsidRPr="00DB4C76">
          <w:rPr>
            <w:rFonts w:ascii="Times New Roman" w:eastAsia="Times New Roman" w:hAnsi="Times New Roman" w:cs="Times New Roman"/>
            <w:color w:val="0000FF"/>
            <w:sz w:val="24"/>
            <w:szCs w:val="24"/>
            <w:u w:val="single"/>
          </w:rPr>
          <w:t>https://doi.org/10.1097/01.ACM.0000238194.55648.b2</w:t>
        </w:r>
      </w:hyperlink>
    </w:p>
    <w:p w14:paraId="7C8DC5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Turnbull, O. H., Bowman, C. H., Shanker, S., &amp; Davies, J. L. (2014). Emotion-based learning: Insights from the Iowa Gambling Task.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w:t>
      </w:r>
    </w:p>
    <w:p w14:paraId="65D2DE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Turnbull, O. H., Evans, C. E. Y., Kemish, K., Park, S., &amp; Bowman, C. H. (2006). A novel set-shifting modification of the iowa gambling task: Flexible emotion-based learning in schizophrenia.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(3), 290–298. </w:t>
      </w:r>
      <w:hyperlink r:id="rId5901" w:history="1">
        <w:r w:rsidRPr="00DB4C76">
          <w:rPr>
            <w:rFonts w:ascii="Times New Roman" w:eastAsia="Times New Roman" w:hAnsi="Times New Roman" w:cs="Times New Roman"/>
            <w:color w:val="0000FF"/>
            <w:sz w:val="24"/>
            <w:szCs w:val="24"/>
            <w:u w:val="single"/>
          </w:rPr>
          <w:t>https://doi.org/10.1037/0894-4105.20.3.290</w:t>
        </w:r>
      </w:hyperlink>
    </w:p>
    <w:p w14:paraId="65B7CE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B. M., Paradiso, S., Marvel, C. L., Pierson, R., Boles Ponto, L. L., Hichwa, R. D., &amp; Robinson, R. G. (2007). The cerebellum and emotional experience.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(6), 1331–1341. </w:t>
      </w:r>
      <w:hyperlink r:id="rId5902" w:history="1">
        <w:r w:rsidRPr="00DB4C76">
          <w:rPr>
            <w:rFonts w:ascii="Times New Roman" w:eastAsia="Times New Roman" w:hAnsi="Times New Roman" w:cs="Times New Roman"/>
            <w:color w:val="0000FF"/>
            <w:sz w:val="24"/>
            <w:szCs w:val="24"/>
            <w:u w:val="single"/>
          </w:rPr>
          <w:t>https://doi.org/10.1016/j.neuropsychologia.2006.09.023</w:t>
        </w:r>
      </w:hyperlink>
    </w:p>
    <w:p w14:paraId="578950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D., Roszyk, A., Szumski, F., &amp; Rettenberger, M. (2020). Deviant sexual interests but not antisocial behaviors are associated with deficits in executive functioning in individuals convicted of sexual offenses against children.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(8), 906–916. </w:t>
      </w:r>
      <w:hyperlink r:id="rId5903" w:history="1">
        <w:r w:rsidRPr="00DB4C76">
          <w:rPr>
            <w:rFonts w:ascii="Times New Roman" w:eastAsia="Times New Roman" w:hAnsi="Times New Roman" w:cs="Times New Roman"/>
            <w:color w:val="0000FF"/>
            <w:sz w:val="24"/>
            <w:szCs w:val="24"/>
            <w:u w:val="single"/>
          </w:rPr>
          <w:t>https://doi.org/10.1037/neu0000703</w:t>
        </w:r>
      </w:hyperlink>
    </w:p>
    <w:p w14:paraId="49DD789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G. R., &amp; Spreng, R. N. (2015). Prefrontal engagement and reduced default network suppression co-occur and are dynamically coupled in older adults: The default–executive coupling hypothesis of aging. </w:t>
      </w:r>
      <w:r w:rsidRPr="00DB4C76">
        <w:rPr>
          <w:rFonts w:ascii="Times New Roman" w:eastAsia="Times New Roman" w:hAnsi="Times New Roman" w:cs="Times New Roman"/>
          <w:i/>
          <w:iCs/>
          <w:sz w:val="24"/>
          <w:szCs w:val="24"/>
        </w:rPr>
        <w:t>Journal of Cognitive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(12), 2462–2476. </w:t>
      </w:r>
      <w:hyperlink r:id="rId5904" w:history="1">
        <w:r w:rsidRPr="00DB4C76">
          <w:rPr>
            <w:rFonts w:ascii="Times New Roman" w:eastAsia="Times New Roman" w:hAnsi="Times New Roman" w:cs="Times New Roman"/>
            <w:color w:val="0000FF"/>
            <w:sz w:val="24"/>
            <w:szCs w:val="24"/>
            <w:u w:val="single"/>
          </w:rPr>
          <w:t>https://doi.org/10.1162/jocn_a_00869</w:t>
        </w:r>
      </w:hyperlink>
    </w:p>
    <w:p w14:paraId="50694E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M. S., Cipolotti, L., &amp; Shallice, T. (2010). Spontaneous confabulation, temporal context confusion and reality monitoring: A study of three patients with anterior communicating artery aneurysms.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(6), 984–994. </w:t>
      </w:r>
      <w:hyperlink r:id="rId5905" w:history="1">
        <w:r w:rsidRPr="00DB4C76">
          <w:rPr>
            <w:rFonts w:ascii="Times New Roman" w:eastAsia="Times New Roman" w:hAnsi="Times New Roman" w:cs="Times New Roman"/>
            <w:color w:val="0000FF"/>
            <w:sz w:val="24"/>
            <w:szCs w:val="24"/>
            <w:u w:val="single"/>
          </w:rPr>
          <w:t>https://doi.org/10.1017/S1355617710001104</w:t>
        </w:r>
      </w:hyperlink>
    </w:p>
    <w:p w14:paraId="72F047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T. H., Horner, M. D., VanKirk, K. K., Myrick, H., &amp; Tuerk, P. W. (2012). A pilot trial of neuropsychological evaluations conducted via telemedicine in the Veterans Health Administration. </w:t>
      </w:r>
      <w:r w:rsidRPr="00DB4C76">
        <w:rPr>
          <w:rFonts w:ascii="Times New Roman" w:eastAsia="Times New Roman" w:hAnsi="Times New Roman" w:cs="Times New Roman"/>
          <w:i/>
          <w:iCs/>
          <w:sz w:val="24"/>
          <w:szCs w:val="24"/>
        </w:rPr>
        <w:t>Telemedicine and E-Health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(9), 662–667. </w:t>
      </w:r>
      <w:hyperlink r:id="rId5906" w:history="1">
        <w:r w:rsidRPr="00DB4C76">
          <w:rPr>
            <w:rFonts w:ascii="Times New Roman" w:eastAsia="Times New Roman" w:hAnsi="Times New Roman" w:cs="Times New Roman"/>
            <w:color w:val="0000FF"/>
            <w:sz w:val="24"/>
            <w:szCs w:val="24"/>
            <w:u w:val="single"/>
          </w:rPr>
          <w:t>https://doi.org/10.1089/tmj.2011.0272</w:t>
        </w:r>
      </w:hyperlink>
    </w:p>
    <w:p w14:paraId="06F34A0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Turner, T. H., LaRowe, S., Horner, M. D., Herron, J., &amp; Malcolm, R. (2009). Measures of cognitive functioning as predictors of treatment outcome for cocaine dependence. </w:t>
      </w:r>
      <w:r w:rsidRPr="00DB4C76">
        <w:rPr>
          <w:rFonts w:ascii="Times New Roman" w:eastAsia="Times New Roman" w:hAnsi="Times New Roman" w:cs="Times New Roman"/>
          <w:i/>
          <w:iCs/>
          <w:sz w:val="24"/>
          <w:szCs w:val="24"/>
        </w:rPr>
        <w:t>Journal of Substance Abuse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(4), 328–334. </w:t>
      </w:r>
      <w:hyperlink r:id="rId5907" w:history="1">
        <w:r w:rsidRPr="00DB4C76">
          <w:rPr>
            <w:rFonts w:ascii="Times New Roman" w:eastAsia="Times New Roman" w:hAnsi="Times New Roman" w:cs="Times New Roman"/>
            <w:color w:val="0000FF"/>
            <w:sz w:val="24"/>
            <w:szCs w:val="24"/>
            <w:u w:val="single"/>
          </w:rPr>
          <w:t>https://doi.org/10.1016/j.jsat.2009.03.009</w:t>
        </w:r>
      </w:hyperlink>
    </w:p>
    <w:p w14:paraId="3E6A8F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Turriziani, P., Serra, L., Fadda, L., Caltagirone, C., &amp; Carlesimo, G. A. (2008). Recollection and familiarity in hippocampus amnesia. </w:t>
      </w:r>
      <w:r w:rsidRPr="00DB4C76">
        <w:rPr>
          <w:rFonts w:ascii="Times New Roman" w:eastAsia="Times New Roman" w:hAnsi="Times New Roman" w:cs="Times New Roman"/>
          <w:i/>
          <w:iCs/>
          <w:sz w:val="24"/>
          <w:szCs w:val="24"/>
        </w:rPr>
        <w:t>Hippocampus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469–480. </w:t>
      </w:r>
      <w:hyperlink r:id="rId5908" w:history="1">
        <w:r w:rsidRPr="00DB4C76">
          <w:rPr>
            <w:rFonts w:ascii="Times New Roman" w:eastAsia="Times New Roman" w:hAnsi="Times New Roman" w:cs="Times New Roman"/>
            <w:color w:val="0000FF"/>
            <w:sz w:val="24"/>
            <w:szCs w:val="24"/>
            <w:u w:val="single"/>
          </w:rPr>
          <w:t>https://doi.org/10.1002/hipo.20412</w:t>
        </w:r>
      </w:hyperlink>
    </w:p>
    <w:p w14:paraId="190F45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Turunen, K. E. A., Laari, S. P. K., Kauranen, T. V., Mustanoja, S., Tatlisumak, T., &amp; Poutiainen, E. (2016). Executive impairment is associated with impaired memory performance in working-aged stroke patients.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(5), 551–560. </w:t>
      </w:r>
      <w:hyperlink r:id="rId5909" w:history="1">
        <w:r w:rsidRPr="00DB4C76">
          <w:rPr>
            <w:rFonts w:ascii="Times New Roman" w:eastAsia="Times New Roman" w:hAnsi="Times New Roman" w:cs="Times New Roman"/>
            <w:color w:val="0000FF"/>
            <w:sz w:val="24"/>
            <w:szCs w:val="24"/>
            <w:u w:val="single"/>
          </w:rPr>
          <w:t>https://doi.org/10.1017/S1355617716000205</w:t>
        </w:r>
      </w:hyperlink>
    </w:p>
    <w:p w14:paraId="79E3E4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Tussey, C. (2013). Conduct and oppositional defiant disorders. In </w:t>
      </w:r>
      <w:r w:rsidRPr="00DB4C76">
        <w:rPr>
          <w:rFonts w:ascii="Times New Roman" w:eastAsia="Times New Roman" w:hAnsi="Times New Roman" w:cs="Times New Roman"/>
          <w:i/>
          <w:iCs/>
          <w:sz w:val="24"/>
          <w:szCs w:val="24"/>
        </w:rPr>
        <w:t>The neuropsychology of psychopathology.</w:t>
      </w:r>
      <w:r w:rsidRPr="00DB4C76">
        <w:rPr>
          <w:rFonts w:ascii="Times New Roman" w:eastAsia="Times New Roman" w:hAnsi="Times New Roman" w:cs="Times New Roman"/>
          <w:sz w:val="24"/>
          <w:szCs w:val="24"/>
        </w:rPr>
        <w:t xml:space="preserve"> (pp. 171–186). Springer Publishing Co.</w:t>
      </w:r>
    </w:p>
    <w:p w14:paraId="36BE66C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Tuulio-Henriksson, A. (2004). Neuropsychological endophenotypes in schizophrenia—What can the cognitive deficits tell? </w:t>
      </w:r>
      <w:r w:rsidRPr="00DB4C76">
        <w:rPr>
          <w:rFonts w:ascii="Times New Roman" w:eastAsia="Times New Roman" w:hAnsi="Times New Roman" w:cs="Times New Roman"/>
          <w:i/>
          <w:iCs/>
          <w:sz w:val="24"/>
          <w:szCs w:val="24"/>
        </w:rPr>
        <w:t>Psychiatria Fennica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31–45.</w:t>
      </w:r>
    </w:p>
    <w:p w14:paraId="41791FC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Hays, C. C., Van Patten, R., Seewald, P. M., Orff, H. J., Depp, C. A., Olsen, D. C., &amp; Jak, A. J. (2019). Neurocognition, psychiatric symptoms, and lifetime homelessness among veterans with a history of traumatic brain injury.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271</w:t>
      </w:r>
      <w:r w:rsidRPr="00DB4C76">
        <w:rPr>
          <w:rFonts w:ascii="Times New Roman" w:eastAsia="Times New Roman" w:hAnsi="Times New Roman" w:cs="Times New Roman"/>
          <w:sz w:val="24"/>
          <w:szCs w:val="24"/>
        </w:rPr>
        <w:t xml:space="preserve">, 167–170. </w:t>
      </w:r>
      <w:hyperlink r:id="rId5910" w:history="1">
        <w:r w:rsidRPr="00DB4C76">
          <w:rPr>
            <w:rFonts w:ascii="Times New Roman" w:eastAsia="Times New Roman" w:hAnsi="Times New Roman" w:cs="Times New Roman"/>
            <w:color w:val="0000FF"/>
            <w:sz w:val="24"/>
            <w:szCs w:val="24"/>
            <w:u w:val="single"/>
          </w:rPr>
          <w:t>https://doi.org/10.1016/j.psychres.2018.11.049</w:t>
        </w:r>
      </w:hyperlink>
    </w:p>
    <w:p w14:paraId="5EC506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Thomas, K. R., Gregory, A. M., Jak, A. J., Bondi, M. W., Delis, D. C., &amp; Lohr, J. B. (2015). CogSMART compensatory cognitive training for traumatic brain injury: Effects over 1 year. </w:t>
      </w:r>
      <w:r w:rsidRPr="00DB4C76">
        <w:rPr>
          <w:rFonts w:ascii="Times New Roman" w:eastAsia="Times New Roman" w:hAnsi="Times New Roman" w:cs="Times New Roman"/>
          <w:i/>
          <w:iCs/>
          <w:sz w:val="24"/>
          <w:szCs w:val="24"/>
        </w:rPr>
        <w:t>The Journal of Head Trauma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(6), 391–401. </w:t>
      </w:r>
      <w:hyperlink r:id="rId5911" w:history="1">
        <w:r w:rsidRPr="00DB4C76">
          <w:rPr>
            <w:rFonts w:ascii="Times New Roman" w:eastAsia="Times New Roman" w:hAnsi="Times New Roman" w:cs="Times New Roman"/>
            <w:color w:val="0000FF"/>
            <w:sz w:val="24"/>
            <w:szCs w:val="24"/>
            <w:u w:val="single"/>
          </w:rPr>
          <w:t>https://doi.org/10.1097/HTR.0000000000000076</w:t>
        </w:r>
      </w:hyperlink>
    </w:p>
    <w:p w14:paraId="4794B4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Vella, L., Burton, C. Z., Heaton, R. K., &amp; Jeste, D. V. (2012). Compensatory cognitive training for psychosis: Effects in a randomized controlled trial. </w:t>
      </w:r>
      <w:r w:rsidRPr="00DB4C76">
        <w:rPr>
          <w:rFonts w:ascii="Times New Roman" w:eastAsia="Times New Roman" w:hAnsi="Times New Roman" w:cs="Times New Roman"/>
          <w:i/>
          <w:iCs/>
          <w:sz w:val="24"/>
          <w:szCs w:val="24"/>
        </w:rPr>
        <w:t>The Journal of Clinical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73</w:t>
      </w:r>
      <w:r w:rsidRPr="00DB4C76">
        <w:rPr>
          <w:rFonts w:ascii="Times New Roman" w:eastAsia="Times New Roman" w:hAnsi="Times New Roman" w:cs="Times New Roman"/>
          <w:sz w:val="24"/>
          <w:szCs w:val="24"/>
        </w:rPr>
        <w:t xml:space="preserve">(9), 1212–1219. </w:t>
      </w:r>
      <w:hyperlink r:id="rId5912" w:history="1">
        <w:r w:rsidRPr="00DB4C76">
          <w:rPr>
            <w:rFonts w:ascii="Times New Roman" w:eastAsia="Times New Roman" w:hAnsi="Times New Roman" w:cs="Times New Roman"/>
            <w:color w:val="0000FF"/>
            <w:sz w:val="24"/>
            <w:szCs w:val="24"/>
            <w:u w:val="single"/>
          </w:rPr>
          <w:t>https://doi.org/10.4088/JCP.12m07686</w:t>
        </w:r>
      </w:hyperlink>
    </w:p>
    <w:p w14:paraId="2EE90C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Twamley, E. W., Woods, S. P., Zurhellen, C. H., Vertinski, M., Narvaez, J. M., Mausbach, B. T., Patterson, T. L., &amp; Jeste, D. V. (2008). Neuropsychological substrates and everyday functioning implications of prospective memory impairment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106</w:t>
      </w:r>
      <w:r w:rsidRPr="00DB4C76">
        <w:rPr>
          <w:rFonts w:ascii="Times New Roman" w:eastAsia="Times New Roman" w:hAnsi="Times New Roman" w:cs="Times New Roman"/>
          <w:sz w:val="24"/>
          <w:szCs w:val="24"/>
        </w:rPr>
        <w:t xml:space="preserve">(1), 42–49. </w:t>
      </w:r>
      <w:hyperlink r:id="rId5913" w:history="1">
        <w:r w:rsidRPr="00DB4C76">
          <w:rPr>
            <w:rFonts w:ascii="Times New Roman" w:eastAsia="Times New Roman" w:hAnsi="Times New Roman" w:cs="Times New Roman"/>
            <w:color w:val="0000FF"/>
            <w:sz w:val="24"/>
            <w:szCs w:val="24"/>
            <w:u w:val="single"/>
          </w:rPr>
          <w:t>https://doi.org/10.1016/j.schres.2007.10.030</w:t>
        </w:r>
      </w:hyperlink>
    </w:p>
    <w:p w14:paraId="3D93E65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Tybura, P., Mak, M., Samochowiec, A., Pełka-Wysiecka, J., Grzywacz, A., Grochans, E., Zaremba-Pechmann, L., &amp; Samochowiec, J. (2013). The influence of antipsychotic therapy on the cognitive functions of schizophrenic patients. </w:t>
      </w:r>
      <w:r w:rsidRPr="00DB4C76">
        <w:rPr>
          <w:rFonts w:ascii="Times New Roman" w:eastAsia="Times New Roman" w:hAnsi="Times New Roman" w:cs="Times New Roman"/>
          <w:i/>
          <w:iCs/>
          <w:sz w:val="24"/>
          <w:szCs w:val="24"/>
        </w:rPr>
        <w:t>Psychiatria Polska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47</w:t>
      </w:r>
      <w:r w:rsidRPr="00DB4C76">
        <w:rPr>
          <w:rFonts w:ascii="Times New Roman" w:eastAsia="Times New Roman" w:hAnsi="Times New Roman" w:cs="Times New Roman"/>
          <w:sz w:val="24"/>
          <w:szCs w:val="24"/>
        </w:rPr>
        <w:t>(4), 567–576.</w:t>
      </w:r>
    </w:p>
    <w:p w14:paraId="6DF7DB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Tyburski, E., Pełka-Wysiecka, J., Mak, M., Samochowiec, A., Bieńkowski, P., &amp; Samochowiec, J. (2017). Neuropsychological profile of specific executive dysfunctions in patients with deficit and non-deficit schizophrenia.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5914" w:history="1">
        <w:r w:rsidRPr="00DB4C76">
          <w:rPr>
            <w:rFonts w:ascii="Times New Roman" w:eastAsia="Times New Roman" w:hAnsi="Times New Roman" w:cs="Times New Roman"/>
            <w:color w:val="0000FF"/>
            <w:sz w:val="24"/>
            <w:szCs w:val="24"/>
            <w:u w:val="single"/>
          </w:rPr>
          <w:t>https://doi.org/10.3389/fpsyg.2017.01459</w:t>
        </w:r>
      </w:hyperlink>
    </w:p>
    <w:p w14:paraId="58A197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Tymchuk, S., Gomez, D., Koenig, N., Gill, M. J., Fujiwara, E., &amp; Power, C. (2018). Associations between depressive symptomatology and neurocognitive impairment in HIV/AIDS. </w:t>
      </w:r>
      <w:r w:rsidRPr="00DB4C76">
        <w:rPr>
          <w:rFonts w:ascii="Times New Roman" w:eastAsia="Times New Roman" w:hAnsi="Times New Roman" w:cs="Times New Roman"/>
          <w:i/>
          <w:iCs/>
          <w:sz w:val="24"/>
          <w:szCs w:val="24"/>
        </w:rPr>
        <w:t>The Canadian Journal of Psychiatry / La Revue Canadienne de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(5), 329–336. </w:t>
      </w:r>
      <w:hyperlink r:id="rId5915" w:history="1">
        <w:r w:rsidRPr="00DB4C76">
          <w:rPr>
            <w:rFonts w:ascii="Times New Roman" w:eastAsia="Times New Roman" w:hAnsi="Times New Roman" w:cs="Times New Roman"/>
            <w:color w:val="0000FF"/>
            <w:sz w:val="24"/>
            <w:szCs w:val="24"/>
            <w:u w:val="single"/>
          </w:rPr>
          <w:t>https://doi.org/10.1177/0706743717737029</w:t>
        </w:r>
      </w:hyperlink>
    </w:p>
    <w:p w14:paraId="4A3972A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Tyrberg, M. J., Parling, T., &amp; Lundgren, T. (2021). Patterns of relational framing in executive function: An investigation of the Wisconsin Card Sorting Test. </w:t>
      </w:r>
      <w:r w:rsidRPr="00DB4C76">
        <w:rPr>
          <w:rFonts w:ascii="Times New Roman" w:eastAsia="Times New Roman" w:hAnsi="Times New Roman" w:cs="Times New Roman"/>
          <w:i/>
          <w:iCs/>
          <w:sz w:val="24"/>
          <w:szCs w:val="24"/>
        </w:rPr>
        <w:t>The Psychological Record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71</w:t>
      </w:r>
      <w:r w:rsidRPr="00DB4C76">
        <w:rPr>
          <w:rFonts w:ascii="Times New Roman" w:eastAsia="Times New Roman" w:hAnsi="Times New Roman" w:cs="Times New Roman"/>
          <w:sz w:val="24"/>
          <w:szCs w:val="24"/>
        </w:rPr>
        <w:t xml:space="preserve">(3), 411–422. </w:t>
      </w:r>
      <w:hyperlink r:id="rId5916" w:history="1">
        <w:r w:rsidRPr="00DB4C76">
          <w:rPr>
            <w:rFonts w:ascii="Times New Roman" w:eastAsia="Times New Roman" w:hAnsi="Times New Roman" w:cs="Times New Roman"/>
            <w:color w:val="0000FF"/>
            <w:sz w:val="24"/>
            <w:szCs w:val="24"/>
            <w:u w:val="single"/>
          </w:rPr>
          <w:t>https://doi.org/10.1007/s40732-021-00459-w</w:t>
        </w:r>
      </w:hyperlink>
    </w:p>
    <w:p w14:paraId="18F13C2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Tyson, B. T., Baker, S., Greenacre, M., Kent, K. J., Lichtenstein, J. D., Sabelli, A., &amp; Erdodi, L. A. (2018). Differentiating epilepsy from psychogenic nonepileptic seizures using neuropsychological test data.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87</w:t>
      </w:r>
      <w:r w:rsidRPr="00DB4C76">
        <w:rPr>
          <w:rFonts w:ascii="Times New Roman" w:eastAsia="Times New Roman" w:hAnsi="Times New Roman" w:cs="Times New Roman"/>
          <w:sz w:val="24"/>
          <w:szCs w:val="24"/>
        </w:rPr>
        <w:t xml:space="preserve">, 39–45. </w:t>
      </w:r>
      <w:hyperlink r:id="rId5917" w:history="1">
        <w:r w:rsidRPr="00DB4C76">
          <w:rPr>
            <w:rFonts w:ascii="Times New Roman" w:eastAsia="Times New Roman" w:hAnsi="Times New Roman" w:cs="Times New Roman"/>
            <w:color w:val="0000FF"/>
            <w:sz w:val="24"/>
            <w:szCs w:val="24"/>
            <w:u w:val="single"/>
          </w:rPr>
          <w:t>https://doi.org/10.1016/j.yebeh.2018.08.010</w:t>
        </w:r>
      </w:hyperlink>
    </w:p>
    <w:p w14:paraId="799D6D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Tzuriel, D., &amp; Groman, T. (2017). Dynamic assessment of figurative language of children in the autistic spectrum: The relation to some cognitive and language aspects.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(1), 38–63. </w:t>
      </w:r>
      <w:hyperlink r:id="rId5918" w:history="1">
        <w:r w:rsidRPr="00DB4C76">
          <w:rPr>
            <w:rFonts w:ascii="Times New Roman" w:eastAsia="Times New Roman" w:hAnsi="Times New Roman" w:cs="Times New Roman"/>
            <w:color w:val="0000FF"/>
            <w:sz w:val="24"/>
            <w:szCs w:val="24"/>
            <w:u w:val="single"/>
          </w:rPr>
          <w:t>https://doi.org/10.1891/1945-8959.16.1.38</w:t>
        </w:r>
      </w:hyperlink>
    </w:p>
    <w:p w14:paraId="278B00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Uc, E. Y., Doerschug, K. C., Magnotta, V., Dawson, J. D., Thomsen, T. R., Kline, J. N., Rizzo, M., Newman, S. R., Mehta, S., Grabowski, T. J., Bruss, J., Blanchette, D. R., Anderson, S. W., Voss, M. W., Kramer, A. F., &amp; Darling, W. G. (2014). Phase I/II randomized trial of aerobic exercise in Parkinson disease in a community setting.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83</w:t>
      </w:r>
      <w:r w:rsidRPr="00DB4C76">
        <w:rPr>
          <w:rFonts w:ascii="Times New Roman" w:eastAsia="Times New Roman" w:hAnsi="Times New Roman" w:cs="Times New Roman"/>
          <w:sz w:val="24"/>
          <w:szCs w:val="24"/>
        </w:rPr>
        <w:t xml:space="preserve">(5), 413–425. </w:t>
      </w:r>
      <w:hyperlink r:id="rId5919" w:history="1">
        <w:r w:rsidRPr="00DB4C76">
          <w:rPr>
            <w:rFonts w:ascii="Times New Roman" w:eastAsia="Times New Roman" w:hAnsi="Times New Roman" w:cs="Times New Roman"/>
            <w:color w:val="0000FF"/>
            <w:sz w:val="24"/>
            <w:szCs w:val="24"/>
            <w:u w:val="single"/>
          </w:rPr>
          <w:t>https://doi.org/10.1212/WNL.0000000000000644</w:t>
        </w:r>
      </w:hyperlink>
    </w:p>
    <w:p w14:paraId="1A989E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Uchida, M., Fitzgerald, M., Lin, K., Carrellas, N., Woodworth, H., &amp; Biederman, J. (2017). Can subsyndromal manifestations of major depression be identified in children at risk?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135</w:t>
      </w:r>
      <w:r w:rsidRPr="00DB4C76">
        <w:rPr>
          <w:rFonts w:ascii="Times New Roman" w:eastAsia="Times New Roman" w:hAnsi="Times New Roman" w:cs="Times New Roman"/>
          <w:sz w:val="24"/>
          <w:szCs w:val="24"/>
        </w:rPr>
        <w:t xml:space="preserve">(2), 127–137. </w:t>
      </w:r>
      <w:hyperlink r:id="rId5920" w:history="1">
        <w:r w:rsidRPr="00DB4C76">
          <w:rPr>
            <w:rFonts w:ascii="Times New Roman" w:eastAsia="Times New Roman" w:hAnsi="Times New Roman" w:cs="Times New Roman"/>
            <w:color w:val="0000FF"/>
            <w:sz w:val="24"/>
            <w:szCs w:val="24"/>
            <w:u w:val="single"/>
          </w:rPr>
          <w:t>https://doi.org/10.1111/acps.12660</w:t>
        </w:r>
      </w:hyperlink>
    </w:p>
    <w:p w14:paraId="6BFA55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Uchikawa, K., Inaba, M., Kagami, H., Ichimura, S., Fujiwara, T., Tsuji, T., Otaka, Y., &amp; Liu, M. (2014). Executive dysfunction is related with decreased frontal lobe blood flow in patients with subarachnoid haemorrhage.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 15–19. </w:t>
      </w:r>
      <w:hyperlink r:id="rId5921" w:history="1">
        <w:r w:rsidRPr="00DB4C76">
          <w:rPr>
            <w:rFonts w:ascii="Times New Roman" w:eastAsia="Times New Roman" w:hAnsi="Times New Roman" w:cs="Times New Roman"/>
            <w:color w:val="0000FF"/>
            <w:sz w:val="24"/>
            <w:szCs w:val="24"/>
            <w:u w:val="single"/>
          </w:rPr>
          <w:t>https://doi.org/10.3109/02699052.2013.847209</w:t>
        </w:r>
      </w:hyperlink>
    </w:p>
    <w:p w14:paraId="7DB218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Alpsan, H., Çakır, S., &amp; Saruhan‐Direskeneli, G. (2007). Association of a serotonin receptor 2A gene polymorphism with cognitive functions in patients with schizophrenia.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144B</w:t>
      </w:r>
      <w:r w:rsidRPr="00DB4C76">
        <w:rPr>
          <w:rFonts w:ascii="Times New Roman" w:eastAsia="Times New Roman" w:hAnsi="Times New Roman" w:cs="Times New Roman"/>
          <w:sz w:val="24"/>
          <w:szCs w:val="24"/>
        </w:rPr>
        <w:t xml:space="preserve">(5), 704–707. </w:t>
      </w:r>
      <w:hyperlink r:id="rId5922" w:history="1">
        <w:r w:rsidRPr="00DB4C76">
          <w:rPr>
            <w:rFonts w:ascii="Times New Roman" w:eastAsia="Times New Roman" w:hAnsi="Times New Roman" w:cs="Times New Roman"/>
            <w:color w:val="0000FF"/>
            <w:sz w:val="24"/>
            <w:szCs w:val="24"/>
            <w:u w:val="single"/>
          </w:rPr>
          <w:t>https://doi.org/10.1002/ajmg.b.30463</w:t>
        </w:r>
      </w:hyperlink>
    </w:p>
    <w:p w14:paraId="345F41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Çakir, S., Duman, Z. Ç., Dişcigil, A., Kandemir, P., &amp; Atli, H. (2006). Cognitive predictors of skill acquisition on social problem solving in patients with schizophrenia.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256</w:t>
      </w:r>
      <w:r w:rsidRPr="00DB4C76">
        <w:rPr>
          <w:rFonts w:ascii="Times New Roman" w:eastAsia="Times New Roman" w:hAnsi="Times New Roman" w:cs="Times New Roman"/>
          <w:sz w:val="24"/>
          <w:szCs w:val="24"/>
        </w:rPr>
        <w:t xml:space="preserve">(6), 388–394. </w:t>
      </w:r>
      <w:hyperlink r:id="rId5923" w:history="1">
        <w:r w:rsidRPr="00DB4C76">
          <w:rPr>
            <w:rFonts w:ascii="Times New Roman" w:eastAsia="Times New Roman" w:hAnsi="Times New Roman" w:cs="Times New Roman"/>
            <w:color w:val="0000FF"/>
            <w:sz w:val="24"/>
            <w:szCs w:val="24"/>
            <w:u w:val="single"/>
          </w:rPr>
          <w:t>https://doi.org/10.1007/s00406-006-0651-9</w:t>
        </w:r>
      </w:hyperlink>
    </w:p>
    <w:p w14:paraId="456263C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Direk, N., Koyuncu, A., Keskin-Ergen, Y., Yüksel, Ç., Güler, J., Karadayı, G., Akturan, E., &amp; Devrim-Üçok, M. (2013). Cognitive deficits in clinical and familial high risk groups for psychosis are common as in first episode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151</w:t>
      </w:r>
      <w:r w:rsidRPr="00DB4C76">
        <w:rPr>
          <w:rFonts w:ascii="Times New Roman" w:eastAsia="Times New Roman" w:hAnsi="Times New Roman" w:cs="Times New Roman"/>
          <w:sz w:val="24"/>
          <w:szCs w:val="24"/>
        </w:rPr>
        <w:t xml:space="preserve">(1–3), 265–269. </w:t>
      </w:r>
      <w:hyperlink r:id="rId5924" w:history="1">
        <w:r w:rsidRPr="00DB4C76">
          <w:rPr>
            <w:rFonts w:ascii="Times New Roman" w:eastAsia="Times New Roman" w:hAnsi="Times New Roman" w:cs="Times New Roman"/>
            <w:color w:val="0000FF"/>
            <w:sz w:val="24"/>
            <w:szCs w:val="24"/>
            <w:u w:val="single"/>
          </w:rPr>
          <w:t>https://doi.org/10.1016/j.schres.2013.10.030</w:t>
        </w:r>
      </w:hyperlink>
    </w:p>
    <w:p w14:paraId="6A9A09C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&amp; Ergül, C. (2014). Persistent negative symptoms after first episode schizophrenia: A 2-year follow-up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158</w:t>
      </w:r>
      <w:r w:rsidRPr="00DB4C76">
        <w:rPr>
          <w:rFonts w:ascii="Times New Roman" w:eastAsia="Times New Roman" w:hAnsi="Times New Roman" w:cs="Times New Roman"/>
          <w:sz w:val="24"/>
          <w:szCs w:val="24"/>
        </w:rPr>
        <w:t xml:space="preserve">(1–3), 241–246. </w:t>
      </w:r>
      <w:hyperlink r:id="rId5925" w:history="1">
        <w:r w:rsidRPr="00DB4C76">
          <w:rPr>
            <w:rFonts w:ascii="Times New Roman" w:eastAsia="Times New Roman" w:hAnsi="Times New Roman" w:cs="Times New Roman"/>
            <w:color w:val="0000FF"/>
            <w:sz w:val="24"/>
            <w:szCs w:val="24"/>
            <w:u w:val="single"/>
          </w:rPr>
          <w:t>https://doi.org/10.1016/j.schres.2014.07.021</w:t>
        </w:r>
      </w:hyperlink>
    </w:p>
    <w:p w14:paraId="327509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Üçok, A., Kaya, H., Uğurpala, C., Çıkrıkçılı, U., Ergül, C., Yokuşoğlu, Ç., Bülbül, Ö., &amp; Direk, N. (2015). History of childhood physical trauma is related to cognitive decline in individuals with ultra-high risk for psychosis.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169</w:t>
      </w:r>
      <w:r w:rsidRPr="00DB4C76">
        <w:rPr>
          <w:rFonts w:ascii="Times New Roman" w:eastAsia="Times New Roman" w:hAnsi="Times New Roman" w:cs="Times New Roman"/>
          <w:sz w:val="24"/>
          <w:szCs w:val="24"/>
        </w:rPr>
        <w:t xml:space="preserve">(1–3), 199–203. </w:t>
      </w:r>
      <w:hyperlink r:id="rId5926" w:history="1">
        <w:r w:rsidRPr="00DB4C76">
          <w:rPr>
            <w:rFonts w:ascii="Times New Roman" w:eastAsia="Times New Roman" w:hAnsi="Times New Roman" w:cs="Times New Roman"/>
            <w:color w:val="0000FF"/>
            <w:sz w:val="24"/>
            <w:szCs w:val="24"/>
            <w:u w:val="single"/>
          </w:rPr>
          <w:t>https://doi.org/10.1016/j.schres.2015.08.038</w:t>
        </w:r>
      </w:hyperlink>
    </w:p>
    <w:p w14:paraId="4F0406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Üçok, A., Öztürk, M., Duman, Z., &amp; Saruhan-Direskeneli, G. (2010). COMT Val</w:t>
      </w:r>
      <w:r w:rsidRPr="00DB4C76">
        <w:rPr>
          <w:rFonts w:ascii="Times New Roman" w:eastAsia="Times New Roman" w:hAnsi="Times New Roman" w:cs="Times New Roman"/>
          <w:sz w:val="24"/>
          <w:szCs w:val="24"/>
          <w:vertAlign w:val="superscript"/>
        </w:rPr>
        <w:t>158</w:t>
      </w:r>
      <w:r w:rsidRPr="00DB4C76">
        <w:rPr>
          <w:rFonts w:ascii="Times New Roman" w:eastAsia="Times New Roman" w:hAnsi="Times New Roman" w:cs="Times New Roman"/>
          <w:sz w:val="24"/>
          <w:szCs w:val="24"/>
        </w:rPr>
        <w:t xml:space="preserve">Met polymorphism is related with interpersonal problem solving in schizophrenia.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(6), 320–322. </w:t>
      </w:r>
      <w:hyperlink r:id="rId5927" w:history="1">
        <w:r w:rsidRPr="00DB4C76">
          <w:rPr>
            <w:rFonts w:ascii="Times New Roman" w:eastAsia="Times New Roman" w:hAnsi="Times New Roman" w:cs="Times New Roman"/>
            <w:color w:val="0000FF"/>
            <w:sz w:val="24"/>
            <w:szCs w:val="24"/>
            <w:u w:val="single"/>
          </w:rPr>
          <w:t>https://doi.org/10.1016/j.eurpsy.2010.01.012</w:t>
        </w:r>
      </w:hyperlink>
    </w:p>
    <w:p w14:paraId="6875AC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Udal, A. H., Øygarden, B., Egeland, J., Malt, U. F., Løvdahl, H., Pripp, A. H., &amp; Grøholt, B. (2013). Executive deficits in early onset bipolar disorder versus ADHD: Impact of processing speed and lifetime psychosis. </w:t>
      </w:r>
      <w:r w:rsidRPr="00DB4C76">
        <w:rPr>
          <w:rFonts w:ascii="Times New Roman" w:eastAsia="Times New Roman" w:hAnsi="Times New Roman" w:cs="Times New Roman"/>
          <w:i/>
          <w:iCs/>
          <w:sz w:val="24"/>
          <w:szCs w:val="24"/>
        </w:rPr>
        <w:t>Clinical Child Psychology and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(2), 284–299. </w:t>
      </w:r>
      <w:hyperlink r:id="rId5928" w:history="1">
        <w:r w:rsidRPr="00DB4C76">
          <w:rPr>
            <w:rFonts w:ascii="Times New Roman" w:eastAsia="Times New Roman" w:hAnsi="Times New Roman" w:cs="Times New Roman"/>
            <w:color w:val="0000FF"/>
            <w:sz w:val="24"/>
            <w:szCs w:val="24"/>
            <w:u w:val="single"/>
          </w:rPr>
          <w:t>https://doi.org/10.1177/1359104512455181</w:t>
        </w:r>
      </w:hyperlink>
    </w:p>
    <w:p w14:paraId="055C0F2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Udala, M., Clark, J., Miller, H., Leitner, D., &amp; Libben, M. (2019). Psychological disturbance and cognitive functioning in TBI patients.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(6), 581–590. </w:t>
      </w:r>
      <w:hyperlink r:id="rId5929" w:history="1">
        <w:r w:rsidRPr="00DB4C76">
          <w:rPr>
            <w:rFonts w:ascii="Times New Roman" w:eastAsia="Times New Roman" w:hAnsi="Times New Roman" w:cs="Times New Roman"/>
            <w:color w:val="0000FF"/>
            <w:sz w:val="24"/>
            <w:szCs w:val="24"/>
            <w:u w:val="single"/>
          </w:rPr>
          <w:t>https://doi.org/10.1080/23279095.2018.1460370</w:t>
        </w:r>
      </w:hyperlink>
    </w:p>
    <w:p w14:paraId="37BCF5F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Ueland, T., Øie, M., Landrø, N. I., &amp; Rund, B. R. (2004). Cognitive functioning in adolescents with schizophrenia spectrum disorders.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126</w:t>
      </w:r>
      <w:r w:rsidRPr="00DB4C76">
        <w:rPr>
          <w:rFonts w:ascii="Times New Roman" w:eastAsia="Times New Roman" w:hAnsi="Times New Roman" w:cs="Times New Roman"/>
          <w:sz w:val="24"/>
          <w:szCs w:val="24"/>
        </w:rPr>
        <w:t xml:space="preserve">(3), 229–239. </w:t>
      </w:r>
      <w:hyperlink r:id="rId5930" w:history="1">
        <w:r w:rsidRPr="00DB4C76">
          <w:rPr>
            <w:rFonts w:ascii="Times New Roman" w:eastAsia="Times New Roman" w:hAnsi="Times New Roman" w:cs="Times New Roman"/>
            <w:color w:val="0000FF"/>
            <w:sz w:val="24"/>
            <w:szCs w:val="24"/>
            <w:u w:val="single"/>
          </w:rPr>
          <w:t>https://doi.org/10.1016/j.psychres.2004.02.014</w:t>
        </w:r>
      </w:hyperlink>
    </w:p>
    <w:p w14:paraId="67361A6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Ueland, T., &amp; Rund, B. R. (2004). A controlled randomized treatment study: The effects of a cognitive remediation program on adolescents with early onset psychosis.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109</w:t>
      </w:r>
      <w:r w:rsidRPr="00DB4C76">
        <w:rPr>
          <w:rFonts w:ascii="Times New Roman" w:eastAsia="Times New Roman" w:hAnsi="Times New Roman" w:cs="Times New Roman"/>
          <w:sz w:val="24"/>
          <w:szCs w:val="24"/>
        </w:rPr>
        <w:t xml:space="preserve">(1), 70–74. </w:t>
      </w:r>
      <w:hyperlink r:id="rId5931" w:history="1">
        <w:r w:rsidRPr="00DB4C76">
          <w:rPr>
            <w:rFonts w:ascii="Times New Roman" w:eastAsia="Times New Roman" w:hAnsi="Times New Roman" w:cs="Times New Roman"/>
            <w:color w:val="0000FF"/>
            <w:sz w:val="24"/>
            <w:szCs w:val="24"/>
            <w:u w:val="single"/>
          </w:rPr>
          <w:t>https://doi.org/10.1046/j.0001-690X.2003.00239.x</w:t>
        </w:r>
      </w:hyperlink>
    </w:p>
    <w:p w14:paraId="219F57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Uetsuki, S., Kinoshita, H., Takahashi, R., Obata, S., Kakigi, T., Wada, Y., &amp; Yokoyama, K. (2016). A case of expressive-vocal amusia in a right-handed patient with left hemispheric cerebral infarction.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103</w:t>
      </w:r>
      <w:r w:rsidRPr="00DB4C76">
        <w:rPr>
          <w:rFonts w:ascii="Times New Roman" w:eastAsia="Times New Roman" w:hAnsi="Times New Roman" w:cs="Times New Roman"/>
          <w:sz w:val="24"/>
          <w:szCs w:val="24"/>
        </w:rPr>
        <w:t xml:space="preserve">, 23–29. </w:t>
      </w:r>
      <w:hyperlink r:id="rId5932" w:history="1">
        <w:r w:rsidRPr="00DB4C76">
          <w:rPr>
            <w:rFonts w:ascii="Times New Roman" w:eastAsia="Times New Roman" w:hAnsi="Times New Roman" w:cs="Times New Roman"/>
            <w:color w:val="0000FF"/>
            <w:sz w:val="24"/>
            <w:szCs w:val="24"/>
            <w:u w:val="single"/>
          </w:rPr>
          <w:t>https://doi.org/10.1016/j.bandc.2016.01.003</w:t>
        </w:r>
      </w:hyperlink>
    </w:p>
    <w:p w14:paraId="78F090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Uittenhove, K., Burger, L., Taconnat, L., &amp; Lemaire, P. (2015). Sequential difficulty effects during execution of memory strategies in young and older adults. </w:t>
      </w:r>
      <w:r w:rsidRPr="00DB4C76">
        <w:rPr>
          <w:rFonts w:ascii="Times New Roman" w:eastAsia="Times New Roman" w:hAnsi="Times New Roman" w:cs="Times New Roman"/>
          <w:i/>
          <w:iCs/>
          <w:sz w:val="24"/>
          <w:szCs w:val="24"/>
        </w:rPr>
        <w:t>Memory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(6), 806–816. </w:t>
      </w:r>
      <w:hyperlink r:id="rId5933" w:history="1">
        <w:r w:rsidRPr="00DB4C76">
          <w:rPr>
            <w:rFonts w:ascii="Times New Roman" w:eastAsia="Times New Roman" w:hAnsi="Times New Roman" w:cs="Times New Roman"/>
            <w:color w:val="0000FF"/>
            <w:sz w:val="24"/>
            <w:szCs w:val="24"/>
            <w:u w:val="single"/>
          </w:rPr>
          <w:t>https://doi.org/10.1080/09658211.2014.928730</w:t>
        </w:r>
      </w:hyperlink>
    </w:p>
    <w:p w14:paraId="3FEA2B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Uittenhove, K., &amp; Lemaire, P. (2013). Strategy sequential difficulty effects in Alzheimer patients: A study in arithmetic.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 83–89. </w:t>
      </w:r>
      <w:hyperlink r:id="rId5934" w:history="1">
        <w:r w:rsidRPr="00DB4C76">
          <w:rPr>
            <w:rFonts w:ascii="Times New Roman" w:eastAsia="Times New Roman" w:hAnsi="Times New Roman" w:cs="Times New Roman"/>
            <w:color w:val="0000FF"/>
            <w:sz w:val="24"/>
            <w:szCs w:val="24"/>
            <w:u w:val="single"/>
          </w:rPr>
          <w:t>https://doi.org/10.1080/13803395.2012.753036</w:t>
        </w:r>
      </w:hyperlink>
    </w:p>
    <w:p w14:paraId="1584C64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Umeda, S. (2013). Emotion, personality, and the frontal lobe. In </w:t>
      </w:r>
      <w:r w:rsidRPr="00DB4C76">
        <w:rPr>
          <w:rFonts w:ascii="Times New Roman" w:eastAsia="Times New Roman" w:hAnsi="Times New Roman" w:cs="Times New Roman"/>
          <w:i/>
          <w:iCs/>
          <w:sz w:val="24"/>
          <w:szCs w:val="24"/>
        </w:rPr>
        <w:t>Emotions of animals and humans: Comparative perspectives.</w:t>
      </w:r>
      <w:r w:rsidRPr="00DB4C76">
        <w:rPr>
          <w:rFonts w:ascii="Times New Roman" w:eastAsia="Times New Roman" w:hAnsi="Times New Roman" w:cs="Times New Roman"/>
          <w:sz w:val="24"/>
          <w:szCs w:val="24"/>
        </w:rPr>
        <w:t xml:space="preserve"> (pp. 223–241). Springer Science + Business Media.</w:t>
      </w:r>
    </w:p>
    <w:p w14:paraId="21B7B4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Umeda, S., Mimura, M., &amp; Kato, M. (2010). Acquired personality traits of autism following damage to the medial prefrontal cortex. </w:t>
      </w:r>
      <w:r w:rsidRPr="00DB4C76">
        <w:rPr>
          <w:rFonts w:ascii="Times New Roman" w:eastAsia="Times New Roman" w:hAnsi="Times New Roman" w:cs="Times New Roman"/>
          <w:i/>
          <w:iCs/>
          <w:sz w:val="24"/>
          <w:szCs w:val="24"/>
        </w:rPr>
        <w:t>Social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(1), 19–29. </w:t>
      </w:r>
      <w:hyperlink r:id="rId5935" w:history="1">
        <w:r w:rsidRPr="00DB4C76">
          <w:rPr>
            <w:rFonts w:ascii="Times New Roman" w:eastAsia="Times New Roman" w:hAnsi="Times New Roman" w:cs="Times New Roman"/>
            <w:color w:val="0000FF"/>
            <w:sz w:val="24"/>
            <w:szCs w:val="24"/>
            <w:u w:val="single"/>
          </w:rPr>
          <w:t>https://doi.org/10.1080/17470910902990584</w:t>
        </w:r>
      </w:hyperlink>
    </w:p>
    <w:p w14:paraId="1F9B99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Ungvari, G. S., Xiang, Y.-T., Tang, W.-K., &amp; Shum, D. (2008). Prospective memory and its correlates and predictors in schizophrenia: An extension of previous findings.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(5), 613–622. </w:t>
      </w:r>
      <w:hyperlink r:id="rId5936" w:history="1">
        <w:r w:rsidRPr="00DB4C76">
          <w:rPr>
            <w:rFonts w:ascii="Times New Roman" w:eastAsia="Times New Roman" w:hAnsi="Times New Roman" w:cs="Times New Roman"/>
            <w:color w:val="0000FF"/>
            <w:sz w:val="24"/>
            <w:szCs w:val="24"/>
            <w:u w:val="single"/>
          </w:rPr>
          <w:t>https://doi.org/10.1016/j.acn.2008.06.005</w:t>
        </w:r>
      </w:hyperlink>
    </w:p>
    <w:p w14:paraId="2F59F4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Uomoto, J. M. (2010). The contribution of the neuropsychological evaluation to traumatic brain injury rehabilitation. In </w:t>
      </w:r>
      <w:r w:rsidRPr="00DB4C76">
        <w:rPr>
          <w:rFonts w:ascii="Times New Roman" w:eastAsia="Times New Roman" w:hAnsi="Times New Roman" w:cs="Times New Roman"/>
          <w:i/>
          <w:iCs/>
          <w:sz w:val="24"/>
          <w:szCs w:val="24"/>
        </w:rPr>
        <w:t>Traumatic brain injury: Rehabilitation, treatment, and case management, 3rd ed.</w:t>
      </w:r>
      <w:r w:rsidRPr="00DB4C76">
        <w:rPr>
          <w:rFonts w:ascii="Times New Roman" w:eastAsia="Times New Roman" w:hAnsi="Times New Roman" w:cs="Times New Roman"/>
          <w:sz w:val="24"/>
          <w:szCs w:val="24"/>
        </w:rPr>
        <w:t xml:space="preserve"> (pp. 843–882). CRC Press. </w:t>
      </w:r>
      <w:hyperlink r:id="rId5937" w:history="1">
        <w:r w:rsidRPr="00DB4C76">
          <w:rPr>
            <w:rFonts w:ascii="Times New Roman" w:eastAsia="Times New Roman" w:hAnsi="Times New Roman" w:cs="Times New Roman"/>
            <w:color w:val="0000FF"/>
            <w:sz w:val="24"/>
            <w:szCs w:val="24"/>
            <w:u w:val="single"/>
          </w:rPr>
          <w:t>https://doi.org/10.1201/9781439849828-c26</w:t>
        </w:r>
      </w:hyperlink>
    </w:p>
    <w:p w14:paraId="29045B7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Uprichard, S., Kupshik, G., Pine, K., &amp; Fletcher, B. (2009). Dynamic assessment of learning ability improves outcome prediction following acquired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(4), 278–290. </w:t>
      </w:r>
      <w:hyperlink r:id="rId5938" w:history="1">
        <w:r w:rsidRPr="00DB4C76">
          <w:rPr>
            <w:rFonts w:ascii="Times New Roman" w:eastAsia="Times New Roman" w:hAnsi="Times New Roman" w:cs="Times New Roman"/>
            <w:color w:val="0000FF"/>
            <w:sz w:val="24"/>
            <w:szCs w:val="24"/>
            <w:u w:val="single"/>
          </w:rPr>
          <w:t>https://doi.org/10.1080/02699050902788444</w:t>
        </w:r>
      </w:hyperlink>
    </w:p>
    <w:p w14:paraId="27359CB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Uran, P., &amp; Kılıç, B. G. (2015). Comparison of neuropsychological performances and behavioral patterns of children with attention deficit hyperactivity disorder and severe mood dysregulation. </w:t>
      </w:r>
      <w:r w:rsidRPr="00DB4C76">
        <w:rPr>
          <w:rFonts w:ascii="Times New Roman" w:eastAsia="Times New Roman" w:hAnsi="Times New Roman" w:cs="Times New Roman"/>
          <w:i/>
          <w:iCs/>
          <w:sz w:val="24"/>
          <w:szCs w:val="24"/>
        </w:rPr>
        <w:t>European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 21–30. </w:t>
      </w:r>
      <w:hyperlink r:id="rId5939" w:history="1">
        <w:r w:rsidRPr="00DB4C76">
          <w:rPr>
            <w:rFonts w:ascii="Times New Roman" w:eastAsia="Times New Roman" w:hAnsi="Times New Roman" w:cs="Times New Roman"/>
            <w:color w:val="0000FF"/>
            <w:sz w:val="24"/>
            <w:szCs w:val="24"/>
            <w:u w:val="single"/>
          </w:rPr>
          <w:t>https://doi.org/10.1007/s00787-014-0529-8</w:t>
        </w:r>
      </w:hyperlink>
    </w:p>
    <w:p w14:paraId="4ECA63C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Urazán-Torres, G. R., Puche-Cabrera, M. J., Caballero-Forero, M., &amp; Rey-Anacona, C. A. (2013). Cognitive and executive functions in Colombian school children with conduct disorder: Sex differences. </w:t>
      </w:r>
      <w:r w:rsidRPr="00DB4C76">
        <w:rPr>
          <w:rFonts w:ascii="Times New Roman" w:eastAsia="Times New Roman" w:hAnsi="Times New Roman" w:cs="Times New Roman"/>
          <w:i/>
          <w:iCs/>
          <w:sz w:val="24"/>
          <w:szCs w:val="24"/>
        </w:rPr>
        <w:t>Revista Colombiana de Psiquiatría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(4), 324–332. </w:t>
      </w:r>
      <w:hyperlink r:id="rId5940" w:history="1">
        <w:r w:rsidRPr="00DB4C76">
          <w:rPr>
            <w:rFonts w:ascii="Times New Roman" w:eastAsia="Times New Roman" w:hAnsi="Times New Roman" w:cs="Times New Roman"/>
            <w:color w:val="0000FF"/>
            <w:sz w:val="24"/>
            <w:szCs w:val="24"/>
            <w:u w:val="single"/>
          </w:rPr>
          <w:t>https://doi.org/10.1016/S0034-7450(13)70029-5</w:t>
        </w:r>
      </w:hyperlink>
    </w:p>
    <w:p w14:paraId="456201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Urban, P., Pelclová, D., Lukáš, E., Kupka, K., Preiss, J., Fenclová, Z., &amp; Šmerhovský, Z. (2007). Neurological and neurophysiological examinations on workers with chronic poisoning by 2,3,7,8-TCDD: Follow-up 35 years after exposure.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(2), 213–218. </w:t>
      </w:r>
      <w:hyperlink r:id="rId5941" w:history="1">
        <w:r w:rsidRPr="00DB4C76">
          <w:rPr>
            <w:rFonts w:ascii="Times New Roman" w:eastAsia="Times New Roman" w:hAnsi="Times New Roman" w:cs="Times New Roman"/>
            <w:color w:val="0000FF"/>
            <w:sz w:val="24"/>
            <w:szCs w:val="24"/>
            <w:u w:val="single"/>
          </w:rPr>
          <w:t>https://doi.org/10.1111/j.1468-1331.2006.01618.x</w:t>
        </w:r>
      </w:hyperlink>
    </w:p>
    <w:p w14:paraId="5BE697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Uretzky, S., &amp; Gilboa, A. (2010). Knowing your lines but missing your cue: Rostral prefrontal lesions impair prospective memory cue detection, but not action-intention superiority. </w:t>
      </w:r>
      <w:r w:rsidRPr="00DB4C76">
        <w:rPr>
          <w:rFonts w:ascii="Times New Roman" w:eastAsia="Times New Roman" w:hAnsi="Times New Roman" w:cs="Times New Roman"/>
          <w:i/>
          <w:iCs/>
          <w:sz w:val="24"/>
          <w:szCs w:val="24"/>
        </w:rPr>
        <w:t>Journal of Cognitive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(12), 2745–2757. </w:t>
      </w:r>
      <w:hyperlink r:id="rId5942" w:history="1">
        <w:r w:rsidRPr="00DB4C76">
          <w:rPr>
            <w:rFonts w:ascii="Times New Roman" w:eastAsia="Times New Roman" w:hAnsi="Times New Roman" w:cs="Times New Roman"/>
            <w:color w:val="0000FF"/>
            <w:sz w:val="24"/>
            <w:szCs w:val="24"/>
            <w:u w:val="single"/>
          </w:rPr>
          <w:t>https://doi.org/10.1162/jocn.2010.21419</w:t>
        </w:r>
      </w:hyperlink>
    </w:p>
    <w:p w14:paraId="38575A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Urger, S. E., De Bellis, M. D., Hooper, S. R., Woolley, D. P., Chen, S. D., &amp; Provenzale, J. (2015). The superior longitudinal fasciculus in typically developing children and adolescents: Diffusion tensor imaging and neuropsychological correlates. </w:t>
      </w:r>
      <w:r w:rsidRPr="00DB4C76">
        <w:rPr>
          <w:rFonts w:ascii="Times New Roman" w:eastAsia="Times New Roman" w:hAnsi="Times New Roman" w:cs="Times New Roman"/>
          <w:i/>
          <w:iCs/>
          <w:sz w:val="24"/>
          <w:szCs w:val="24"/>
        </w:rPr>
        <w:t>Journal of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(1), 9–20. </w:t>
      </w:r>
      <w:hyperlink r:id="rId5943" w:history="1">
        <w:r w:rsidRPr="00DB4C76">
          <w:rPr>
            <w:rFonts w:ascii="Times New Roman" w:eastAsia="Times New Roman" w:hAnsi="Times New Roman" w:cs="Times New Roman"/>
            <w:color w:val="0000FF"/>
            <w:sz w:val="24"/>
            <w:szCs w:val="24"/>
            <w:u w:val="single"/>
          </w:rPr>
          <w:t>https://doi.org/10.1177/0883073813520503</w:t>
        </w:r>
      </w:hyperlink>
    </w:p>
    <w:p w14:paraId="0A2BD6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Usher, C. J. (2000). </w:t>
      </w:r>
      <w:r w:rsidRPr="00DB4C76">
        <w:rPr>
          <w:rFonts w:ascii="Times New Roman" w:eastAsia="Times New Roman" w:hAnsi="Times New Roman" w:cs="Times New Roman"/>
          <w:i/>
          <w:iCs/>
          <w:sz w:val="24"/>
          <w:szCs w:val="24"/>
        </w:rPr>
        <w:t>Cognitive flexibility in adolescents with externalizing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(9-B), 4924–4924.</w:t>
      </w:r>
    </w:p>
    <w:p w14:paraId="4EC933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Uttal, W. R. (2013). </w:t>
      </w:r>
      <w:r w:rsidRPr="00DB4C76">
        <w:rPr>
          <w:rFonts w:ascii="Times New Roman" w:eastAsia="Times New Roman" w:hAnsi="Times New Roman" w:cs="Times New Roman"/>
          <w:i/>
          <w:iCs/>
          <w:sz w:val="24"/>
          <w:szCs w:val="24"/>
        </w:rPr>
        <w:t>Reliability in cognitive neuroscience: A meta-meta-analysis.</w:t>
      </w:r>
      <w:r w:rsidRPr="00DB4C76">
        <w:rPr>
          <w:rFonts w:ascii="Times New Roman" w:eastAsia="Times New Roman" w:hAnsi="Times New Roman" w:cs="Times New Roman"/>
          <w:sz w:val="24"/>
          <w:szCs w:val="24"/>
        </w:rPr>
        <w:t xml:space="preserve"> (pp. xv, 238). MIT Press.</w:t>
      </w:r>
    </w:p>
    <w:p w14:paraId="17C0BC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Uytun, M. C., Karakaya, E., Oztop, D. B., Gengec, S., Gumus, K., Ozmen, S., Doğanay, S., Icer, S., Demirci, E., &amp; Ozsoy, S. D. (2017). Default mode network activity and neuropsychological profile in male children and adolescents with attention deficit hyperactivity disorder and conduct disorder. </w:t>
      </w:r>
      <w:r w:rsidRPr="00DB4C76">
        <w:rPr>
          <w:rFonts w:ascii="Times New Roman" w:eastAsia="Times New Roman" w:hAnsi="Times New Roman" w:cs="Times New Roman"/>
          <w:i/>
          <w:iCs/>
          <w:sz w:val="24"/>
          <w:szCs w:val="24"/>
        </w:rPr>
        <w:t>Brain Imaging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(6), 1561–1570. </w:t>
      </w:r>
      <w:hyperlink r:id="rId5944" w:history="1">
        <w:r w:rsidRPr="00DB4C76">
          <w:rPr>
            <w:rFonts w:ascii="Times New Roman" w:eastAsia="Times New Roman" w:hAnsi="Times New Roman" w:cs="Times New Roman"/>
            <w:color w:val="0000FF"/>
            <w:sz w:val="24"/>
            <w:szCs w:val="24"/>
            <w:u w:val="single"/>
          </w:rPr>
          <w:t>https://doi.org/10.1007/s11682-016-9614-6</w:t>
        </w:r>
      </w:hyperlink>
    </w:p>
    <w:p w14:paraId="57FD09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Vaccarino, S. R., Rajji, T. K., Gildengers, A. G., Waters, S. E. S., Butters, M. A., Menon, M., Blumberger, D. M., Voineskos, A. N., Miranda, D., &amp; Mulsant, B. H. (2018). Allostatic load but not medical burden predicts memory performance in late‐life bipolar disorder. </w:t>
      </w:r>
      <w:r w:rsidRPr="00DB4C76">
        <w:rPr>
          <w:rFonts w:ascii="Times New Roman" w:eastAsia="Times New Roman" w:hAnsi="Times New Roman" w:cs="Times New Roman"/>
          <w:i/>
          <w:iCs/>
          <w:sz w:val="24"/>
          <w:szCs w:val="24"/>
        </w:rPr>
        <w:t>International Journal of Geriatric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(3), 546–552. </w:t>
      </w:r>
      <w:hyperlink r:id="rId5945" w:history="1">
        <w:r w:rsidRPr="00DB4C76">
          <w:rPr>
            <w:rFonts w:ascii="Times New Roman" w:eastAsia="Times New Roman" w:hAnsi="Times New Roman" w:cs="Times New Roman"/>
            <w:color w:val="0000FF"/>
            <w:sz w:val="24"/>
            <w:szCs w:val="24"/>
            <w:u w:val="single"/>
          </w:rPr>
          <w:t>https://doi.org/10.1002/gps.4829</w:t>
        </w:r>
      </w:hyperlink>
    </w:p>
    <w:p w14:paraId="216A63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Vaccaro, M. G., Trimboli, M., Scarpazza, C., Palermo, L., Bruni, A., Gambardella, A., &amp; Labate, A. (2018). Neuropsychological profile of mild temporal lobe epilepsy.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85</w:t>
      </w:r>
      <w:r w:rsidRPr="00DB4C76">
        <w:rPr>
          <w:rFonts w:ascii="Times New Roman" w:eastAsia="Times New Roman" w:hAnsi="Times New Roman" w:cs="Times New Roman"/>
          <w:sz w:val="24"/>
          <w:szCs w:val="24"/>
        </w:rPr>
        <w:t xml:space="preserve">, 222–226. </w:t>
      </w:r>
      <w:hyperlink r:id="rId5946" w:history="1">
        <w:r w:rsidRPr="00DB4C76">
          <w:rPr>
            <w:rFonts w:ascii="Times New Roman" w:eastAsia="Times New Roman" w:hAnsi="Times New Roman" w:cs="Times New Roman"/>
            <w:color w:val="0000FF"/>
            <w:sz w:val="24"/>
            <w:szCs w:val="24"/>
            <w:u w:val="single"/>
          </w:rPr>
          <w:t>https://doi.org/10.1016/j.yebeh.2018.06.013</w:t>
        </w:r>
      </w:hyperlink>
    </w:p>
    <w:p w14:paraId="09879E7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Vadhan, N. P., Hart, C. L., Haney, M., van Gorp, W. G., &amp; Foltin, R. W. (2009). Decision-making in long-term cocaine users: Effects of a cash monetary contingency on Gambling task performance.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102</w:t>
      </w:r>
      <w:r w:rsidRPr="00DB4C76">
        <w:rPr>
          <w:rFonts w:ascii="Times New Roman" w:eastAsia="Times New Roman" w:hAnsi="Times New Roman" w:cs="Times New Roman"/>
          <w:sz w:val="24"/>
          <w:szCs w:val="24"/>
        </w:rPr>
        <w:t xml:space="preserve">(1–3), 95–101. </w:t>
      </w:r>
      <w:hyperlink r:id="rId5947" w:history="1">
        <w:r w:rsidRPr="00DB4C76">
          <w:rPr>
            <w:rFonts w:ascii="Times New Roman" w:eastAsia="Times New Roman" w:hAnsi="Times New Roman" w:cs="Times New Roman"/>
            <w:color w:val="0000FF"/>
            <w:sz w:val="24"/>
            <w:szCs w:val="24"/>
            <w:u w:val="single"/>
          </w:rPr>
          <w:t>https://doi.org/10.1016/j.drugalcdep.2009.02.003</w:t>
        </w:r>
      </w:hyperlink>
    </w:p>
    <w:p w14:paraId="32D7E7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Vadnais, S. A., Kibby, M. Y., &amp; Jagger-Rickels, A. C. (2018). Which neuropsychological functions predict various processing speed components in children with and without attention-deficit/hyperactivity disorder?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(5), 403–418. </w:t>
      </w:r>
      <w:hyperlink r:id="rId5948" w:history="1">
        <w:r w:rsidRPr="00DB4C76">
          <w:rPr>
            <w:rFonts w:ascii="Times New Roman" w:eastAsia="Times New Roman" w:hAnsi="Times New Roman" w:cs="Times New Roman"/>
            <w:color w:val="0000FF"/>
            <w:sz w:val="24"/>
            <w:szCs w:val="24"/>
            <w:u w:val="single"/>
          </w:rPr>
          <w:t>https://doi.org/10.1080/87565641.2018.1469135</w:t>
        </w:r>
      </w:hyperlink>
    </w:p>
    <w:p w14:paraId="1FE3398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Vaghi, M. M., &amp; Robbins, T. W. (2017). Task-based functional neuroimaging studies of obsessive-compulsive disorder: A hypothesis-driven review. In </w:t>
      </w:r>
      <w:r w:rsidRPr="00DB4C76">
        <w:rPr>
          <w:rFonts w:ascii="Times New Roman" w:eastAsia="Times New Roman" w:hAnsi="Times New Roman" w:cs="Times New Roman"/>
          <w:i/>
          <w:iCs/>
          <w:sz w:val="24"/>
          <w:szCs w:val="24"/>
        </w:rPr>
        <w:t>Obsessive-compulsive disorder: Phenomenology, pathophysiology, and treatment.</w:t>
      </w:r>
      <w:r w:rsidRPr="00DB4C76">
        <w:rPr>
          <w:rFonts w:ascii="Times New Roman" w:eastAsia="Times New Roman" w:hAnsi="Times New Roman" w:cs="Times New Roman"/>
          <w:sz w:val="24"/>
          <w:szCs w:val="24"/>
        </w:rPr>
        <w:t xml:space="preserve"> (pp. 231–245). Oxford University Press.</w:t>
      </w:r>
    </w:p>
    <w:p w14:paraId="6B23868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Vagnini, V. L., Sollman, M. J., Berry, D. T. R., Granacher, R. P., Clark, J. A., Burton, R., O’Brien, M., Bacon, E., &amp; Saier, J. (2006). Known-groups cross-validation of the letter memory test in a compensation-seeking mixed neurologic sample.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289–304. </w:t>
      </w:r>
      <w:hyperlink r:id="rId5949" w:history="1">
        <w:r w:rsidRPr="00DB4C76">
          <w:rPr>
            <w:rFonts w:ascii="Times New Roman" w:eastAsia="Times New Roman" w:hAnsi="Times New Roman" w:cs="Times New Roman"/>
            <w:color w:val="0000FF"/>
            <w:sz w:val="24"/>
            <w:szCs w:val="24"/>
            <w:u w:val="single"/>
          </w:rPr>
          <w:t>https://doi.org/10.1080/13854040590947470</w:t>
        </w:r>
      </w:hyperlink>
    </w:p>
    <w:p w14:paraId="4CEDAF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Vahia, I. V., Palmer, B. W., Depp, C., Fellows, I., Golshan, S., Kraemer, H. C., &amp; Jeste, D. V. (2010). Is late-onset schizophrenia a subtype of schizophrenia?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122</w:t>
      </w:r>
      <w:r w:rsidRPr="00DB4C76">
        <w:rPr>
          <w:rFonts w:ascii="Times New Roman" w:eastAsia="Times New Roman" w:hAnsi="Times New Roman" w:cs="Times New Roman"/>
          <w:sz w:val="24"/>
          <w:szCs w:val="24"/>
        </w:rPr>
        <w:t xml:space="preserve">(5), 414–426. </w:t>
      </w:r>
      <w:hyperlink r:id="rId5950" w:history="1">
        <w:r w:rsidRPr="00DB4C76">
          <w:rPr>
            <w:rFonts w:ascii="Times New Roman" w:eastAsia="Times New Roman" w:hAnsi="Times New Roman" w:cs="Times New Roman"/>
            <w:color w:val="0000FF"/>
            <w:sz w:val="24"/>
            <w:szCs w:val="24"/>
            <w:u w:val="single"/>
          </w:rPr>
          <w:t>https://doi.org/10.1111/j.1600-0447.2010.01552.x</w:t>
        </w:r>
      </w:hyperlink>
    </w:p>
    <w:p w14:paraId="5564720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Vainik, U., Dagher, A., Dubé, L., &amp; Fellows, L. K. (2013). Neurobehavioural correlates of body mass index and eating behaviours in adults: A systematic review.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(3), 279–299. </w:t>
      </w:r>
      <w:hyperlink r:id="rId5951" w:history="1">
        <w:r w:rsidRPr="00DB4C76">
          <w:rPr>
            <w:rFonts w:ascii="Times New Roman" w:eastAsia="Times New Roman" w:hAnsi="Times New Roman" w:cs="Times New Roman"/>
            <w:color w:val="0000FF"/>
            <w:sz w:val="24"/>
            <w:szCs w:val="24"/>
            <w:u w:val="single"/>
          </w:rPr>
          <w:t>https://doi.org/10.1016/j.neubiorev.2012.11.008</w:t>
        </w:r>
      </w:hyperlink>
    </w:p>
    <w:p w14:paraId="09769B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Vakhtin, A. A., Calhoun, V. D., Jung, R. E., Prestopnik, J. L., Taylor, P. A., &amp; Ford, C. C. (2013). Changes in intrinsic functional brain networks following blast-induced mild traumatic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(11), 1304–1310. </w:t>
      </w:r>
      <w:hyperlink r:id="rId5952" w:history="1">
        <w:r w:rsidRPr="00DB4C76">
          <w:rPr>
            <w:rFonts w:ascii="Times New Roman" w:eastAsia="Times New Roman" w:hAnsi="Times New Roman" w:cs="Times New Roman"/>
            <w:color w:val="0000FF"/>
            <w:sz w:val="24"/>
            <w:szCs w:val="24"/>
            <w:u w:val="single"/>
          </w:rPr>
          <w:t>https://doi.org/10.3109/02699052.2013.823561</w:t>
        </w:r>
      </w:hyperlink>
    </w:p>
    <w:p w14:paraId="263B69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Vakil, E. (2012). Neuropsychological assessment: Principles, rationale, and challenges.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(2), 135–150. </w:t>
      </w:r>
      <w:hyperlink r:id="rId5953" w:history="1">
        <w:r w:rsidRPr="00DB4C76">
          <w:rPr>
            <w:rFonts w:ascii="Times New Roman" w:eastAsia="Times New Roman" w:hAnsi="Times New Roman" w:cs="Times New Roman"/>
            <w:color w:val="0000FF"/>
            <w:sz w:val="24"/>
            <w:szCs w:val="24"/>
            <w:u w:val="single"/>
          </w:rPr>
          <w:t>https://doi.org/10.1080/13803395.2011.623121</w:t>
        </w:r>
      </w:hyperlink>
    </w:p>
    <w:p w14:paraId="5044E9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Vakil, E., &amp; Galon, C. L.-R. (2014). Baseline performance and learning rate of conceptual and perceptual skill-learning tasks: The effect of moderate to severe traumatic brain injury.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(5), 447–454. </w:t>
      </w:r>
      <w:hyperlink r:id="rId5954" w:history="1">
        <w:r w:rsidRPr="00DB4C76">
          <w:rPr>
            <w:rFonts w:ascii="Times New Roman" w:eastAsia="Times New Roman" w:hAnsi="Times New Roman" w:cs="Times New Roman"/>
            <w:color w:val="0000FF"/>
            <w:sz w:val="24"/>
            <w:szCs w:val="24"/>
            <w:u w:val="single"/>
          </w:rPr>
          <w:t>https://doi.org/10.1080/13803395.2014.901299</w:t>
        </w:r>
      </w:hyperlink>
    </w:p>
    <w:p w14:paraId="7EC4643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Valdois, S., Lassus-Sangosse, D., Lallier, M., Moreaud, O., &amp; Pisella, L. (2019). What bilateral damage of the superior parietal lobes tells us about visual attention disorders in developmental dyslexia.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 78–91. </w:t>
      </w:r>
      <w:hyperlink r:id="rId5955" w:history="1">
        <w:r w:rsidRPr="00DB4C76">
          <w:rPr>
            <w:rFonts w:ascii="Times New Roman" w:eastAsia="Times New Roman" w:hAnsi="Times New Roman" w:cs="Times New Roman"/>
            <w:color w:val="0000FF"/>
            <w:sz w:val="24"/>
            <w:szCs w:val="24"/>
            <w:u w:val="single"/>
          </w:rPr>
          <w:t>https://doi.org/10.1016/j.neuropsychologia.2018.08.001</w:t>
        </w:r>
      </w:hyperlink>
    </w:p>
    <w:p w14:paraId="4F4657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Valenstein, M., Blow, F. C., Copeland, L. A., McCarthy, J. F., Zeber, J. E., Gillon, L., Bingham, C. R., &amp; Stavenger, T. (2004). Poor Antipsychotic Adherence Among Patients With Schizophrenia: Medication and Patient Factors.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(2), 255–264. </w:t>
      </w:r>
      <w:hyperlink r:id="rId5956" w:history="1">
        <w:r w:rsidRPr="00DB4C76">
          <w:rPr>
            <w:rFonts w:ascii="Times New Roman" w:eastAsia="Times New Roman" w:hAnsi="Times New Roman" w:cs="Times New Roman"/>
            <w:color w:val="0000FF"/>
            <w:sz w:val="24"/>
            <w:szCs w:val="24"/>
            <w:u w:val="single"/>
          </w:rPr>
          <w:t>https://doi.org/10.1093/oxfordjournals.schbul.a007076</w:t>
        </w:r>
      </w:hyperlink>
    </w:p>
    <w:p w14:paraId="5890B2A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Valente, K. D., Rzezak, P., Moschetta, S. P., de Vincentiis, S., Coan, A. C., &amp; Guerreiro, C. A. M. (2016). Delineating behavioral and cognitive phenotypes in juvenile myoclonic epilepsy: Are we missing the forest for the trees?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 95–99. </w:t>
      </w:r>
      <w:hyperlink r:id="rId5957" w:history="1">
        <w:r w:rsidRPr="00DB4C76">
          <w:rPr>
            <w:rFonts w:ascii="Times New Roman" w:eastAsia="Times New Roman" w:hAnsi="Times New Roman" w:cs="Times New Roman"/>
            <w:color w:val="0000FF"/>
            <w:sz w:val="24"/>
            <w:szCs w:val="24"/>
            <w:u w:val="single"/>
          </w:rPr>
          <w:t>https://doi.org/10.1016/j.yebeh.2015.10.022</w:t>
        </w:r>
      </w:hyperlink>
    </w:p>
    <w:p w14:paraId="42220C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Valentino, K., Bridgett, D. J., Hayden, L. C., &amp; Nuttall, A. K. (2012). Abuse, depressive symptoms, executive functioning, and overgeneral memory among a psychiatric sample of children and adolescents. </w:t>
      </w:r>
      <w:r w:rsidRPr="00DB4C76">
        <w:rPr>
          <w:rFonts w:ascii="Times New Roman" w:eastAsia="Times New Roman" w:hAnsi="Times New Roman" w:cs="Times New Roman"/>
          <w:i/>
          <w:iCs/>
          <w:sz w:val="24"/>
          <w:szCs w:val="24"/>
        </w:rPr>
        <w:t>Journal of Clinical Child and Adolescent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(4), 491–498. </w:t>
      </w:r>
      <w:hyperlink r:id="rId5958" w:history="1">
        <w:r w:rsidRPr="00DB4C76">
          <w:rPr>
            <w:rFonts w:ascii="Times New Roman" w:eastAsia="Times New Roman" w:hAnsi="Times New Roman" w:cs="Times New Roman"/>
            <w:color w:val="0000FF"/>
            <w:sz w:val="24"/>
            <w:szCs w:val="24"/>
            <w:u w:val="single"/>
          </w:rPr>
          <w:t>https://doi.org/10.1080/15374416.2012.660689</w:t>
        </w:r>
      </w:hyperlink>
    </w:p>
    <w:p w14:paraId="2F53E7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Valgimigli, S., Padovani, R., Donati, C., &amp; Mazzi, F. (2013). Neuropsicologia dell’esordio schizofrenico. Breve rassegna della letteratura e proposta di una batteria di test per l’uso clinico. [The neuropsychology of prodromal schizophrenia. Brief review and proposal of a tests battery for clinical use.]. </w:t>
      </w:r>
      <w:r w:rsidRPr="00DB4C76">
        <w:rPr>
          <w:rFonts w:ascii="Times New Roman" w:eastAsia="Times New Roman" w:hAnsi="Times New Roman" w:cs="Times New Roman"/>
          <w:i/>
          <w:iCs/>
          <w:sz w:val="24"/>
          <w:szCs w:val="24"/>
        </w:rPr>
        <w:t>Rivista Di Psichiatria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(2), 77–87.</w:t>
      </w:r>
    </w:p>
    <w:p w14:paraId="40EF9C4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Valkonen-Korhonen, M., Tarvainen, M. P., Ranta-Aho, P., Karjalainen, P. A., Partanen, J., Karhu, J., &amp; Lehtonen, J. (2003). Heart rate variability in acute psychosis. </w:t>
      </w:r>
      <w:r w:rsidRPr="00DB4C76">
        <w:rPr>
          <w:rFonts w:ascii="Times New Roman" w:eastAsia="Times New Roman" w:hAnsi="Times New Roman" w:cs="Times New Roman"/>
          <w:i/>
          <w:iCs/>
          <w:sz w:val="24"/>
          <w:szCs w:val="24"/>
        </w:rPr>
        <w:t>Psychophysiology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(5), 716–726. </w:t>
      </w:r>
      <w:hyperlink r:id="rId5959" w:history="1">
        <w:r w:rsidRPr="00DB4C76">
          <w:rPr>
            <w:rFonts w:ascii="Times New Roman" w:eastAsia="Times New Roman" w:hAnsi="Times New Roman" w:cs="Times New Roman"/>
            <w:color w:val="0000FF"/>
            <w:sz w:val="24"/>
            <w:szCs w:val="24"/>
            <w:u w:val="single"/>
          </w:rPr>
          <w:t>https://doi.org/10.1111/1469-8986.00072</w:t>
        </w:r>
      </w:hyperlink>
    </w:p>
    <w:p w14:paraId="434C1C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Vallejo-Reyes, F. (2019). Evaluación de la Función Ejecutiva en Usuarios con Dependencia de Pasta Base de Cocaína Mediante una Batería Neuropsicológica. [Assessment of the executive function in cocaine paste dependent patients using a neuropsychological battery.]. </w:t>
      </w:r>
      <w:r w:rsidRPr="00DB4C76">
        <w:rPr>
          <w:rFonts w:ascii="Times New Roman" w:eastAsia="Times New Roman" w:hAnsi="Times New Roman" w:cs="Times New Roman"/>
          <w:i/>
          <w:iCs/>
          <w:sz w:val="24"/>
          <w:szCs w:val="24"/>
        </w:rPr>
        <w:t>Psykhe: Revista de La Escuela de Psicología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 1–17. </w:t>
      </w:r>
      <w:hyperlink r:id="rId5960" w:history="1">
        <w:r w:rsidRPr="00DB4C76">
          <w:rPr>
            <w:rFonts w:ascii="Times New Roman" w:eastAsia="Times New Roman" w:hAnsi="Times New Roman" w:cs="Times New Roman"/>
            <w:color w:val="0000FF"/>
            <w:sz w:val="24"/>
            <w:szCs w:val="24"/>
            <w:u w:val="single"/>
          </w:rPr>
          <w:t>https://doi.org/10.7764/psykhe.28.1.1111</w:t>
        </w:r>
      </w:hyperlink>
    </w:p>
    <w:p w14:paraId="59DEDB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Valli, I., De La Serna, E., Borràs, R., Ilzarbe, D., Baeza, I., Picouto, M. D., Baltasar, I., Moreno, D., Bernardo, M., Young, A. H., Vieta, E., Sugranyes, G., &amp; Castro-Fornieles, J. (2021). Cognitive heterogeneity in the offspring of patients with schizophrenia or bipolar disorder: A cluster analysis across family risk.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282</w:t>
      </w:r>
      <w:r w:rsidRPr="00DB4C76">
        <w:rPr>
          <w:rFonts w:ascii="Times New Roman" w:eastAsia="Times New Roman" w:hAnsi="Times New Roman" w:cs="Times New Roman"/>
          <w:sz w:val="24"/>
          <w:szCs w:val="24"/>
        </w:rPr>
        <w:t xml:space="preserve">, 757–765. </w:t>
      </w:r>
      <w:hyperlink r:id="rId5961" w:history="1">
        <w:r w:rsidRPr="00DB4C76">
          <w:rPr>
            <w:rFonts w:ascii="Times New Roman" w:eastAsia="Times New Roman" w:hAnsi="Times New Roman" w:cs="Times New Roman"/>
            <w:color w:val="0000FF"/>
            <w:sz w:val="24"/>
            <w:szCs w:val="24"/>
            <w:u w:val="single"/>
          </w:rPr>
          <w:t>https://doi.org/10.1016/j.jad.2020.12.090</w:t>
        </w:r>
      </w:hyperlink>
    </w:p>
    <w:p w14:paraId="55855D4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Valsdottir, V., Haraldsson, M., Gylfason, H. F., Sigurdsson, E., &amp; Magnusdottir, B. B. (2020). Schizophrenia, cognition, and aging: Cognitive deficits and the relationship between test performance and aging. </w:t>
      </w:r>
      <w:r w:rsidRPr="00DB4C76">
        <w:rPr>
          <w:rFonts w:ascii="Times New Roman" w:eastAsia="Times New Roman" w:hAnsi="Times New Roman" w:cs="Times New Roman"/>
          <w:i/>
          <w:iCs/>
          <w:sz w:val="24"/>
          <w:szCs w:val="24"/>
        </w:rPr>
        <w:t>Aging, Neuropsychology,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 40–51. </w:t>
      </w:r>
      <w:hyperlink r:id="rId5962" w:history="1">
        <w:r w:rsidRPr="00DB4C76">
          <w:rPr>
            <w:rFonts w:ascii="Times New Roman" w:eastAsia="Times New Roman" w:hAnsi="Times New Roman" w:cs="Times New Roman"/>
            <w:color w:val="0000FF"/>
            <w:sz w:val="24"/>
            <w:szCs w:val="24"/>
            <w:u w:val="single"/>
          </w:rPr>
          <w:t>https://doi.org/10.1080/13825585.2019.1572100</w:t>
        </w:r>
      </w:hyperlink>
    </w:p>
    <w:p w14:paraId="78576B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Autreve, S., de Baene, W., Baeken, C., van Heeringen, C., &amp; Vervaet, M. (2013). Do restrictive and bingeing/purging subtypes of anorexia nervosa differ on central coherence and set shifting? </w:t>
      </w:r>
      <w:r w:rsidRPr="00DB4C76">
        <w:rPr>
          <w:rFonts w:ascii="Times New Roman" w:eastAsia="Times New Roman" w:hAnsi="Times New Roman" w:cs="Times New Roman"/>
          <w:i/>
          <w:iCs/>
          <w:sz w:val="24"/>
          <w:szCs w:val="24"/>
        </w:rPr>
        <w:t>European Eating Disorders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(4), 308–314. </w:t>
      </w:r>
      <w:hyperlink r:id="rId5963" w:history="1">
        <w:r w:rsidRPr="00DB4C76">
          <w:rPr>
            <w:rFonts w:ascii="Times New Roman" w:eastAsia="Times New Roman" w:hAnsi="Times New Roman" w:cs="Times New Roman"/>
            <w:color w:val="0000FF"/>
            <w:sz w:val="24"/>
            <w:szCs w:val="24"/>
            <w:u w:val="single"/>
          </w:rPr>
          <w:t>https://doi.org/10.1002/erv.2233</w:t>
        </w:r>
      </w:hyperlink>
    </w:p>
    <w:p w14:paraId="4CD3E0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Beilen, M., Kiers, H. A. L., Bouma, A., van Zomeren, E. H., Withaar, F. K., Arends, J., &amp; van den Bosch, R. J. (2003). Cognitive Deficits and Social Functioning in Schizophrenia: A Clinical Perspective.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(4), 507–514. </w:t>
      </w:r>
      <w:hyperlink r:id="rId5964" w:history="1">
        <w:r w:rsidRPr="00DB4C76">
          <w:rPr>
            <w:rFonts w:ascii="Times New Roman" w:eastAsia="Times New Roman" w:hAnsi="Times New Roman" w:cs="Times New Roman"/>
            <w:color w:val="0000FF"/>
            <w:sz w:val="24"/>
            <w:szCs w:val="24"/>
            <w:u w:val="single"/>
          </w:rPr>
          <w:t>https://doi.org/10.1076/clin.17.4.507.27935</w:t>
        </w:r>
      </w:hyperlink>
    </w:p>
    <w:p w14:paraId="774635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Beilen, M., Pijnenborg, M., van Zomeren, E. H., van den Bosch, R. J., Withaar, F. K., &amp; Bouma, A. (2004). What is measured by verbal fluency tests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69</w:t>
      </w:r>
      <w:r w:rsidRPr="00DB4C76">
        <w:rPr>
          <w:rFonts w:ascii="Times New Roman" w:eastAsia="Times New Roman" w:hAnsi="Times New Roman" w:cs="Times New Roman"/>
          <w:sz w:val="24"/>
          <w:szCs w:val="24"/>
        </w:rPr>
        <w:t xml:space="preserve">(2–3), 267–276. </w:t>
      </w:r>
      <w:hyperlink r:id="rId5965" w:history="1">
        <w:r w:rsidRPr="00DB4C76">
          <w:rPr>
            <w:rFonts w:ascii="Times New Roman" w:eastAsia="Times New Roman" w:hAnsi="Times New Roman" w:cs="Times New Roman"/>
            <w:color w:val="0000FF"/>
            <w:sz w:val="24"/>
            <w:szCs w:val="24"/>
            <w:u w:val="single"/>
          </w:rPr>
          <w:t>https://doi.org/10.1016/j.schres.2003.09.007</w:t>
        </w:r>
      </w:hyperlink>
    </w:p>
    <w:p w14:paraId="5B778C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Beilen, M., van Zomeren, E. H., van den Bosch, R. J., Withaar, F. K., &amp; Bouma, A. (2005). Measuring the executive functions in schizophrenia: The voluntary allocation of effort.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(6), 585–593. </w:t>
      </w:r>
      <w:hyperlink r:id="rId5966" w:history="1">
        <w:r w:rsidRPr="00DB4C76">
          <w:rPr>
            <w:rFonts w:ascii="Times New Roman" w:eastAsia="Times New Roman" w:hAnsi="Times New Roman" w:cs="Times New Roman"/>
            <w:color w:val="0000FF"/>
            <w:sz w:val="24"/>
            <w:szCs w:val="24"/>
            <w:u w:val="single"/>
          </w:rPr>
          <w:t>https://doi.org/10.1016/j.jpsychires.2005.02.001</w:t>
        </w:r>
      </w:hyperlink>
    </w:p>
    <w:p w14:paraId="145FDA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Damme, I., &amp; d’Ydewalle, G. (2010a). Confabulation versus experimentally induced false memories in Korsakoff patients.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(2), 211–230. </w:t>
      </w:r>
      <w:hyperlink r:id="rId5967" w:history="1">
        <w:r w:rsidRPr="00DB4C76">
          <w:rPr>
            <w:rFonts w:ascii="Times New Roman" w:eastAsia="Times New Roman" w:hAnsi="Times New Roman" w:cs="Times New Roman"/>
            <w:color w:val="0000FF"/>
            <w:sz w:val="24"/>
            <w:szCs w:val="24"/>
            <w:u w:val="single"/>
          </w:rPr>
          <w:t>https://doi.org/10.1348/174866409X478231</w:t>
        </w:r>
      </w:hyperlink>
    </w:p>
    <w:p w14:paraId="3C5D7D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Damme, I., &amp; d’Ydewalle, G. (2010b). Incidental versus intentional encoding in the Deese-Roediger-McDermott paradigm: Does amnesic patients’ implicit false memory depend on conscious activation of the lure?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(5), 536–554. </w:t>
      </w:r>
      <w:hyperlink r:id="rId5968" w:history="1">
        <w:r w:rsidRPr="00DB4C76">
          <w:rPr>
            <w:rFonts w:ascii="Times New Roman" w:eastAsia="Times New Roman" w:hAnsi="Times New Roman" w:cs="Times New Roman"/>
            <w:color w:val="0000FF"/>
            <w:sz w:val="24"/>
            <w:szCs w:val="24"/>
            <w:u w:val="single"/>
          </w:rPr>
          <w:t>https://doi.org/10.1080/13803390903310990</w:t>
        </w:r>
      </w:hyperlink>
    </w:p>
    <w:p w14:paraId="6992365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Damme, U., &amp; Dewhurst, S. A. (2012). Amnesia and the DRM paradigm: How encoding factors (do not) affect lure recognition. </w:t>
      </w:r>
      <w:r w:rsidRPr="00DB4C76">
        <w:rPr>
          <w:rFonts w:ascii="Times New Roman" w:eastAsia="Times New Roman" w:hAnsi="Times New Roman" w:cs="Times New Roman"/>
          <w:i/>
          <w:iCs/>
          <w:sz w:val="24"/>
          <w:szCs w:val="24"/>
        </w:rPr>
        <w:t>Psychologica Belgica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(2–3), 95–120. </w:t>
      </w:r>
      <w:hyperlink r:id="rId5969" w:history="1">
        <w:r w:rsidRPr="00DB4C76">
          <w:rPr>
            <w:rFonts w:ascii="Times New Roman" w:eastAsia="Times New Roman" w:hAnsi="Times New Roman" w:cs="Times New Roman"/>
            <w:color w:val="0000FF"/>
            <w:sz w:val="24"/>
            <w:szCs w:val="24"/>
            <w:u w:val="single"/>
          </w:rPr>
          <w:t>https://doi.org/10.5334/pb-52-2-3-95</w:t>
        </w:r>
      </w:hyperlink>
    </w:p>
    <w:p w14:paraId="293C1F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Berg, E., Jiskoot, L. C., Grosveld, M. J. H., van Swieten, J. C., &amp; Papma, J. M. (2017). Qualitative assessment of verbal fluency performance in frontotemporal dementia. </w:t>
      </w:r>
      <w:r w:rsidRPr="00DB4C76">
        <w:rPr>
          <w:rFonts w:ascii="Times New Roman" w:eastAsia="Times New Roman" w:hAnsi="Times New Roman" w:cs="Times New Roman"/>
          <w:i/>
          <w:iCs/>
          <w:sz w:val="24"/>
          <w:szCs w:val="24"/>
        </w:rPr>
        <w:t>Dementia and Geriatric Cognitive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(1–2), 35–44. </w:t>
      </w:r>
      <w:hyperlink r:id="rId5970" w:history="1">
        <w:r w:rsidRPr="00DB4C76">
          <w:rPr>
            <w:rFonts w:ascii="Times New Roman" w:eastAsia="Times New Roman" w:hAnsi="Times New Roman" w:cs="Times New Roman"/>
            <w:color w:val="0000FF"/>
            <w:sz w:val="24"/>
            <w:szCs w:val="24"/>
            <w:u w:val="single"/>
          </w:rPr>
          <w:t>https://doi.org/10.1159/000477538</w:t>
        </w:r>
      </w:hyperlink>
    </w:p>
    <w:p w14:paraId="029013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Berg, L., de Weerd, A., Reuvekamp, M., &amp; van der Meere, J. (2020). Cognitive control deficits in pediatric frontal lobe epilepsy.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102</w:t>
      </w:r>
      <w:r w:rsidRPr="00DB4C76">
        <w:rPr>
          <w:rFonts w:ascii="Times New Roman" w:eastAsia="Times New Roman" w:hAnsi="Times New Roman" w:cs="Times New Roman"/>
          <w:sz w:val="24"/>
          <w:szCs w:val="24"/>
        </w:rPr>
        <w:t xml:space="preserve">. </w:t>
      </w:r>
      <w:hyperlink r:id="rId5971" w:history="1">
        <w:r w:rsidRPr="00DB4C76">
          <w:rPr>
            <w:rFonts w:ascii="Times New Roman" w:eastAsia="Times New Roman" w:hAnsi="Times New Roman" w:cs="Times New Roman"/>
            <w:color w:val="0000FF"/>
            <w:sz w:val="24"/>
            <w:szCs w:val="24"/>
            <w:u w:val="single"/>
          </w:rPr>
          <w:t>https://doi.org/10.1016/j.yebeh.2019.106645</w:t>
        </w:r>
      </w:hyperlink>
    </w:p>
    <w:p w14:paraId="6C42B4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Broek, M. D., Bradshaw, C. M., &amp; Szabadi, E. (1993). Utility of the Modified Wisconsin Card Sorting Test in neuropsychological assessment. </w:t>
      </w:r>
      <w:r w:rsidRPr="00DB4C76">
        <w:rPr>
          <w:rFonts w:ascii="Times New Roman" w:eastAsia="Times New Roman" w:hAnsi="Times New Roman" w:cs="Times New Roman"/>
          <w:i/>
          <w:iCs/>
          <w:sz w:val="24"/>
          <w:szCs w:val="24"/>
        </w:rPr>
        <w:t>British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(3), 333–343. </w:t>
      </w:r>
      <w:hyperlink r:id="rId5972" w:history="1">
        <w:r w:rsidRPr="00DB4C76">
          <w:rPr>
            <w:rFonts w:ascii="Times New Roman" w:eastAsia="Times New Roman" w:hAnsi="Times New Roman" w:cs="Times New Roman"/>
            <w:color w:val="0000FF"/>
            <w:sz w:val="24"/>
            <w:szCs w:val="24"/>
            <w:u w:val="single"/>
          </w:rPr>
          <w:t>https://doi.org/10.1111/j.2044-8260.1993.tb01064.x</w:t>
        </w:r>
      </w:hyperlink>
    </w:p>
    <w:p w14:paraId="561E8E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Dries, L. W. J., Wagener, M. N., Jiskoot, L. C., Visser, M., Robertson, K. R., Adriani, K. S., &amp; van Gorp, E. C. M. (2017). Neurocognitive impairment in a chronically well-suppressed HIV-infected population: The Dutch TREVI Cohort Study. </w:t>
      </w:r>
      <w:r w:rsidRPr="00DB4C76">
        <w:rPr>
          <w:rFonts w:ascii="Times New Roman" w:eastAsia="Times New Roman" w:hAnsi="Times New Roman" w:cs="Times New Roman"/>
          <w:i/>
          <w:iCs/>
          <w:sz w:val="24"/>
          <w:szCs w:val="24"/>
        </w:rPr>
        <w:t>AIDS Patient Care and STDs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(8), 329–334. </w:t>
      </w:r>
      <w:hyperlink r:id="rId5973" w:history="1">
        <w:r w:rsidRPr="00DB4C76">
          <w:rPr>
            <w:rFonts w:ascii="Times New Roman" w:eastAsia="Times New Roman" w:hAnsi="Times New Roman" w:cs="Times New Roman"/>
            <w:color w:val="0000FF"/>
            <w:sz w:val="24"/>
            <w:szCs w:val="24"/>
            <w:u w:val="single"/>
          </w:rPr>
          <w:t>https://doi.org/10.1089/apc.2017.0038</w:t>
        </w:r>
      </w:hyperlink>
    </w:p>
    <w:p w14:paraId="6D4C36F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den Eynde, F., Guillaume, S., Broadbent, H., Stahl, D., Campbell, I. C., Schmidt, U., &amp; Tchanturia, K. (2011). Neurocognition in bulimic eating disorders: A systematic review.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124</w:t>
      </w:r>
      <w:r w:rsidRPr="00DB4C76">
        <w:rPr>
          <w:rFonts w:ascii="Times New Roman" w:eastAsia="Times New Roman" w:hAnsi="Times New Roman" w:cs="Times New Roman"/>
          <w:sz w:val="24"/>
          <w:szCs w:val="24"/>
        </w:rPr>
        <w:t xml:space="preserve">(2), 120–140. </w:t>
      </w:r>
      <w:hyperlink r:id="rId5974" w:history="1">
        <w:r w:rsidRPr="00DB4C76">
          <w:rPr>
            <w:rFonts w:ascii="Times New Roman" w:eastAsia="Times New Roman" w:hAnsi="Times New Roman" w:cs="Times New Roman"/>
            <w:color w:val="0000FF"/>
            <w:sz w:val="24"/>
            <w:szCs w:val="24"/>
            <w:u w:val="single"/>
          </w:rPr>
          <w:t>https://doi.org/10.1111/j.1600-0447.2011.01701.x</w:t>
        </w:r>
      </w:hyperlink>
    </w:p>
    <w:p w14:paraId="1FE62D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Does, A. J., Dingemans, P. M., Linszen, D. H., Nugter, M. A., &amp; Scholte, W. F. (1993). Symptom dimensions and cognitive and social functioning in recent-onset schizophrenia.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(3), 745–753. </w:t>
      </w:r>
      <w:hyperlink r:id="rId5975" w:history="1">
        <w:r w:rsidRPr="00DB4C76">
          <w:rPr>
            <w:rFonts w:ascii="Times New Roman" w:eastAsia="Times New Roman" w:hAnsi="Times New Roman" w:cs="Times New Roman"/>
            <w:color w:val="0000FF"/>
            <w:sz w:val="24"/>
            <w:szCs w:val="24"/>
            <w:u w:val="single"/>
          </w:rPr>
          <w:t>https://doi.org/10.1017/S0033291700025514</w:t>
        </w:r>
      </w:hyperlink>
    </w:p>
    <w:p w14:paraId="5C6D4E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Hiele, K., Spliethoff‐Kamminga, N. G. A., Ruimschotel, R. P., Middelkoop, H. A. M., &amp; Visser, L. H. (2012). The relationship between self‐reported executive performance and psychological characteristics in multiple sclerosis.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(4), 562–569. </w:t>
      </w:r>
      <w:hyperlink r:id="rId5976" w:history="1">
        <w:r w:rsidRPr="00DB4C76">
          <w:rPr>
            <w:rFonts w:ascii="Times New Roman" w:eastAsia="Times New Roman" w:hAnsi="Times New Roman" w:cs="Times New Roman"/>
            <w:color w:val="0000FF"/>
            <w:sz w:val="24"/>
            <w:szCs w:val="24"/>
            <w:u w:val="single"/>
          </w:rPr>
          <w:t>https://doi.org/10.1111/j.1468-1331.2011.03538.x</w:t>
        </w:r>
      </w:hyperlink>
    </w:p>
    <w:p w14:paraId="68717E9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Hiele, K., van Gorp, D., Ruimschotel, R., Kamminga, N., Visser, L., &amp; Middelkoop, H. (2015). Work participation and executive abilities in patients with relapsing-remitting Multiple Sclerosis.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(6).</w:t>
      </w:r>
    </w:p>
    <w:p w14:paraId="65119AC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Linden, D., Frese, M., &amp; Meijman, T. F. (2003). Mental fatigue and the control of cognitive processes: Effects on perseveration and planning. </w:t>
      </w:r>
      <w:r w:rsidRPr="00DB4C76">
        <w:rPr>
          <w:rFonts w:ascii="Times New Roman" w:eastAsia="Times New Roman" w:hAnsi="Times New Roman" w:cs="Times New Roman"/>
          <w:i/>
          <w:iCs/>
          <w:sz w:val="24"/>
          <w:szCs w:val="24"/>
        </w:rPr>
        <w:t>Acta Psychologica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(1), 45–65. </w:t>
      </w:r>
      <w:hyperlink r:id="rId5977" w:history="1">
        <w:r w:rsidRPr="00DB4C76">
          <w:rPr>
            <w:rFonts w:ascii="Times New Roman" w:eastAsia="Times New Roman" w:hAnsi="Times New Roman" w:cs="Times New Roman"/>
            <w:color w:val="0000FF"/>
            <w:sz w:val="24"/>
            <w:szCs w:val="24"/>
            <w:u w:val="single"/>
          </w:rPr>
          <w:t>https://doi.org/10.1016/S0001-6918(02)00150-6</w:t>
        </w:r>
      </w:hyperlink>
    </w:p>
    <w:p w14:paraId="6F6C9C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Molen, M. J. W., Van der Molen, M. W., Ridderinkhof, K. R., Hamel, B. C. J., Curfs, L. M. G., &amp; Ramakers, G. J. A. (2012). Attentional set-shifting in fragile X syndrome.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(3), 206–217. </w:t>
      </w:r>
      <w:hyperlink r:id="rId5978" w:history="1">
        <w:r w:rsidRPr="00DB4C76">
          <w:rPr>
            <w:rFonts w:ascii="Times New Roman" w:eastAsia="Times New Roman" w:hAnsi="Times New Roman" w:cs="Times New Roman"/>
            <w:color w:val="0000FF"/>
            <w:sz w:val="24"/>
            <w:szCs w:val="24"/>
            <w:u w:val="single"/>
          </w:rPr>
          <w:t>https://doi.org/10.1016/j.bandc.2011.12.008</w:t>
        </w:r>
      </w:hyperlink>
    </w:p>
    <w:p w14:paraId="34C2F8B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der Plas, E. A. A., Crone, E. A., van den Wildenberg, W. P. M., Tranel, D., &amp; Bechara, A. (2009). Executive control deficits in substance-dependent individuals: A comparison of alcohol, cocaine, and methamphetamine and of men and women.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(6), 706–719. </w:t>
      </w:r>
      <w:hyperlink r:id="rId5979" w:history="1">
        <w:r w:rsidRPr="00DB4C76">
          <w:rPr>
            <w:rFonts w:ascii="Times New Roman" w:eastAsia="Times New Roman" w:hAnsi="Times New Roman" w:cs="Times New Roman"/>
            <w:color w:val="0000FF"/>
            <w:sz w:val="24"/>
            <w:szCs w:val="24"/>
            <w:u w:val="single"/>
          </w:rPr>
          <w:t>https://doi.org/10.1080/13803390802484797</w:t>
        </w:r>
      </w:hyperlink>
    </w:p>
    <w:p w14:paraId="36CBEE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Dijck, J.-P., Gevers, W., Lafosse, C., Doricchi, F., &amp; Fias, W. (2011). Non-spatial neglect for the mental number line.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(9), 2570–2583. </w:t>
      </w:r>
      <w:hyperlink r:id="rId5980" w:history="1">
        <w:r w:rsidRPr="00DB4C76">
          <w:rPr>
            <w:rFonts w:ascii="Times New Roman" w:eastAsia="Times New Roman" w:hAnsi="Times New Roman" w:cs="Times New Roman"/>
            <w:color w:val="0000FF"/>
            <w:sz w:val="24"/>
            <w:szCs w:val="24"/>
            <w:u w:val="single"/>
          </w:rPr>
          <w:t>https://doi.org/10.1016/j.neuropsychologia.2011.05.005</w:t>
        </w:r>
      </w:hyperlink>
    </w:p>
    <w:p w14:paraId="487F02E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Dijck, J.-P., Gevers, W., Lafosse, C., &amp; Fias, W. (2013). Right-sided representational neglect after left brain damage in a case without visuospatial working memory deficits. </w:t>
      </w:r>
      <w:r w:rsidRPr="00DB4C76">
        <w:rPr>
          <w:rFonts w:ascii="Times New Roman" w:eastAsia="Times New Roman" w:hAnsi="Times New Roman" w:cs="Times New Roman"/>
          <w:i/>
          <w:iCs/>
          <w:sz w:val="24"/>
          <w:szCs w:val="24"/>
        </w:rPr>
        <w:t>Cortex: A Journal Devoted to the Study of the Nervous System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(9), 2283–2293. </w:t>
      </w:r>
      <w:hyperlink r:id="rId5981" w:history="1">
        <w:r w:rsidRPr="00DB4C76">
          <w:rPr>
            <w:rFonts w:ascii="Times New Roman" w:eastAsia="Times New Roman" w:hAnsi="Times New Roman" w:cs="Times New Roman"/>
            <w:color w:val="0000FF"/>
            <w:sz w:val="24"/>
            <w:szCs w:val="24"/>
            <w:u w:val="single"/>
          </w:rPr>
          <w:t>https://doi.org/10.1016/j.cortex.2013.03.004</w:t>
        </w:r>
      </w:hyperlink>
    </w:p>
    <w:p w14:paraId="4BA058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Duinkerken, E., Ryan, C. M., Schoonheim, M. M., Barkhof, F., Klein, M., Moll, A. C., Diamant, M., IJzerman, R. G., &amp; Snoek, F. J. (2016). Subgenual cingulate cortex functional connectivity in relation to depressive symptoms and cognitive functioning in type 1 diabetes mellitus patients. </w:t>
      </w:r>
      <w:r w:rsidRPr="00DB4C76">
        <w:rPr>
          <w:rFonts w:ascii="Times New Roman" w:eastAsia="Times New Roman" w:hAnsi="Times New Roman" w:cs="Times New Roman"/>
          <w:i/>
          <w:iCs/>
          <w:sz w:val="24"/>
          <w:szCs w:val="24"/>
        </w:rPr>
        <w:t>Psychosomatic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(6), 740–749. </w:t>
      </w:r>
      <w:hyperlink r:id="rId5982" w:history="1">
        <w:r w:rsidRPr="00DB4C76">
          <w:rPr>
            <w:rFonts w:ascii="Times New Roman" w:eastAsia="Times New Roman" w:hAnsi="Times New Roman" w:cs="Times New Roman"/>
            <w:color w:val="0000FF"/>
            <w:sz w:val="24"/>
            <w:szCs w:val="24"/>
            <w:u w:val="single"/>
          </w:rPr>
          <w:t>https://doi.org/10.1097/PSY.0000000000000335</w:t>
        </w:r>
      </w:hyperlink>
    </w:p>
    <w:p w14:paraId="617C73D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Eijndhoven, P., van Wingen, G., Fernández, G., Rijpkema, M., Pop‐Purceleanu, M., Verkes, R. J., Buitelaar, J., &amp; Tendolkar, I. (2013). Neural basis of recollection in first-episode major depression.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(2), 283–294. </w:t>
      </w:r>
      <w:hyperlink r:id="rId5983" w:history="1">
        <w:r w:rsidRPr="00DB4C76">
          <w:rPr>
            <w:rFonts w:ascii="Times New Roman" w:eastAsia="Times New Roman" w:hAnsi="Times New Roman" w:cs="Times New Roman"/>
            <w:color w:val="0000FF"/>
            <w:sz w:val="24"/>
            <w:szCs w:val="24"/>
            <w:u w:val="single"/>
          </w:rPr>
          <w:t>https://doi.org/10.1002/hbm.21439</w:t>
        </w:r>
      </w:hyperlink>
    </w:p>
    <w:p w14:paraId="7E75BD9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Eijndhoven, P., van Wingen, G., Katzenbauer, M., Groen, W., Tepest, R., Fernández, G., Buitelaar, J., &amp; Tendolkar, I. (2013). Paralimbic cortical thickness in first-episode depression: Evidence for trait-related differences in mood regulation. </w:t>
      </w:r>
      <w:r w:rsidRPr="00DB4C76">
        <w:rPr>
          <w:rFonts w:ascii="Times New Roman" w:eastAsia="Times New Roman" w:hAnsi="Times New Roman" w:cs="Times New Roman"/>
          <w:i/>
          <w:iCs/>
          <w:sz w:val="24"/>
          <w:szCs w:val="24"/>
        </w:rPr>
        <w:t>The American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170</w:t>
      </w:r>
      <w:r w:rsidRPr="00DB4C76">
        <w:rPr>
          <w:rFonts w:ascii="Times New Roman" w:eastAsia="Times New Roman" w:hAnsi="Times New Roman" w:cs="Times New Roman"/>
          <w:sz w:val="24"/>
          <w:szCs w:val="24"/>
        </w:rPr>
        <w:t xml:space="preserve">(12), 1477–1486. </w:t>
      </w:r>
      <w:hyperlink r:id="rId5984" w:history="1">
        <w:r w:rsidRPr="00DB4C76">
          <w:rPr>
            <w:rFonts w:ascii="Times New Roman" w:eastAsia="Times New Roman" w:hAnsi="Times New Roman" w:cs="Times New Roman"/>
            <w:color w:val="0000FF"/>
            <w:sz w:val="24"/>
            <w:szCs w:val="24"/>
            <w:u w:val="single"/>
          </w:rPr>
          <w:t>https://doi.org/10.1176/appi.ajp.2013.12121504</w:t>
        </w:r>
      </w:hyperlink>
    </w:p>
    <w:p w14:paraId="05F882E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Eylen, L., Boets, B., Steyaert, J., Evers, K., Wagemans, J., &amp; Noens, I. (2011). Cognitive flexibility in autism spectrum disorder: Explaining the inconsistencies? </w:t>
      </w:r>
      <w:r w:rsidRPr="00DB4C76">
        <w:rPr>
          <w:rFonts w:ascii="Times New Roman" w:eastAsia="Times New Roman" w:hAnsi="Times New Roman" w:cs="Times New Roman"/>
          <w:i/>
          <w:iCs/>
          <w:sz w:val="24"/>
          <w:szCs w:val="24"/>
        </w:rPr>
        <w:t>Research in Autism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(4), 1390–1401.</w:t>
      </w:r>
    </w:p>
    <w:p w14:paraId="29C1F7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Eylen, L., Boets, B., Steyaert, J., Wagemans, J., &amp; Noens, I. (2015). Executive functioning in autism spectrum disorders: Influence of task and sample characteristics and relation to symptom severity. </w:t>
      </w:r>
      <w:r w:rsidRPr="00DB4C76">
        <w:rPr>
          <w:rFonts w:ascii="Times New Roman" w:eastAsia="Times New Roman" w:hAnsi="Times New Roman" w:cs="Times New Roman"/>
          <w:i/>
          <w:iCs/>
          <w:sz w:val="24"/>
          <w:szCs w:val="24"/>
        </w:rPr>
        <w:t>European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(11), 1399–1417. </w:t>
      </w:r>
      <w:hyperlink r:id="rId5985" w:history="1">
        <w:r w:rsidRPr="00DB4C76">
          <w:rPr>
            <w:rFonts w:ascii="Times New Roman" w:eastAsia="Times New Roman" w:hAnsi="Times New Roman" w:cs="Times New Roman"/>
            <w:color w:val="0000FF"/>
            <w:sz w:val="24"/>
            <w:szCs w:val="24"/>
            <w:u w:val="single"/>
          </w:rPr>
          <w:t>https://doi.org/10.1007/s00787-015-0689-1</w:t>
        </w:r>
      </w:hyperlink>
    </w:p>
    <w:p w14:paraId="113A72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Gorp, W. G., Kalechstein, A. D., Moore, L. H., Hinkin, C. H., Mahler, M. E., Foti, D., &amp; Mendez, M. (1997). A clinical comparison of two forms of the Card Sorting Test. </w:t>
      </w:r>
      <w:r w:rsidRPr="00DB4C76">
        <w:rPr>
          <w:rFonts w:ascii="Times New Roman" w:eastAsia="Times New Roman" w:hAnsi="Times New Roman" w:cs="Times New Roman"/>
          <w:i/>
          <w:iCs/>
          <w:sz w:val="24"/>
          <w:szCs w:val="24"/>
        </w:rPr>
        <w:t>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(2), 155–160. </w:t>
      </w:r>
      <w:hyperlink r:id="rId5986" w:history="1">
        <w:r w:rsidRPr="00DB4C76">
          <w:rPr>
            <w:rFonts w:ascii="Times New Roman" w:eastAsia="Times New Roman" w:hAnsi="Times New Roman" w:cs="Times New Roman"/>
            <w:color w:val="0000FF"/>
            <w:sz w:val="24"/>
            <w:szCs w:val="24"/>
            <w:u w:val="single"/>
          </w:rPr>
          <w:t>https://doi.org/10.1080/13854049708407044</w:t>
        </w:r>
      </w:hyperlink>
    </w:p>
    <w:p w14:paraId="0A5738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Gorp, W. G., Rabkin, J. G., Ferrando, S. J., Mintz, J., Ryan, E., Borkowski, T., &amp; Mcelhiney, M. (2007). Neuropsychiatric predictors of return to work in HIV/AIDS.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(1), 80–89. </w:t>
      </w:r>
      <w:hyperlink r:id="rId5987" w:history="1">
        <w:r w:rsidRPr="00DB4C76">
          <w:rPr>
            <w:rFonts w:ascii="Times New Roman" w:eastAsia="Times New Roman" w:hAnsi="Times New Roman" w:cs="Times New Roman"/>
            <w:color w:val="0000FF"/>
            <w:sz w:val="24"/>
            <w:szCs w:val="24"/>
            <w:u w:val="single"/>
          </w:rPr>
          <w:t>https://doi.org/10.1017/S1355617707070117</w:t>
        </w:r>
      </w:hyperlink>
    </w:p>
    <w:p w14:paraId="4F14CB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Heugten, C. M., Hendriksen, J., Rasquin, S., Dijcks, B., Jaeken, D., &amp; Vles, J. H. S. (2006). Long-term neuropsychological performance in a cohort of children and adolescents after severe paediatric traumatic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(9), 895–903. </w:t>
      </w:r>
      <w:hyperlink r:id="rId5988" w:history="1">
        <w:r w:rsidRPr="00DB4C76">
          <w:rPr>
            <w:rFonts w:ascii="Times New Roman" w:eastAsia="Times New Roman" w:hAnsi="Times New Roman" w:cs="Times New Roman"/>
            <w:color w:val="0000FF"/>
            <w:sz w:val="24"/>
            <w:szCs w:val="24"/>
            <w:u w:val="single"/>
          </w:rPr>
          <w:t>https://doi.org/10.1080/02699050600832015</w:t>
        </w:r>
      </w:hyperlink>
    </w:p>
    <w:p w14:paraId="6BDF5E0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Holstein, M., Aarts, E., van der Schaaf, M. E., Geurts, D. E. M., Verkes, R. J., Franke, B., van Schouwenburg, M. R., &amp; Cools, R. (2011). Human cognitive flexibility depends on dopamine D2 receptor signaling. </w:t>
      </w:r>
      <w:r w:rsidRPr="00DB4C76">
        <w:rPr>
          <w:rFonts w:ascii="Times New Roman" w:eastAsia="Times New Roman" w:hAnsi="Times New Roman" w:cs="Times New Roman"/>
          <w:i/>
          <w:iCs/>
          <w:sz w:val="24"/>
          <w:szCs w:val="24"/>
        </w:rPr>
        <w:t>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218</w:t>
      </w:r>
      <w:r w:rsidRPr="00DB4C76">
        <w:rPr>
          <w:rFonts w:ascii="Times New Roman" w:eastAsia="Times New Roman" w:hAnsi="Times New Roman" w:cs="Times New Roman"/>
          <w:sz w:val="24"/>
          <w:szCs w:val="24"/>
        </w:rPr>
        <w:t xml:space="preserve">(3), 567–578. </w:t>
      </w:r>
      <w:hyperlink r:id="rId5989" w:history="1">
        <w:r w:rsidRPr="00DB4C76">
          <w:rPr>
            <w:rFonts w:ascii="Times New Roman" w:eastAsia="Times New Roman" w:hAnsi="Times New Roman" w:cs="Times New Roman"/>
            <w:color w:val="0000FF"/>
            <w:sz w:val="24"/>
            <w:szCs w:val="24"/>
            <w:u w:val="single"/>
          </w:rPr>
          <w:t>https://doi.org/10.1007/s00213-011-2340-2</w:t>
        </w:r>
      </w:hyperlink>
    </w:p>
    <w:p w14:paraId="7326BE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Lancker Sidtis, D., Pachana, N., Cummings, J. L., &amp; Sidtis, J. J. (2006). Dysprosodic speech following basal ganglia insult: Toward a conceptual framework for the study of the cerebral representation of prosody.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97</w:t>
      </w:r>
      <w:r w:rsidRPr="00DB4C76">
        <w:rPr>
          <w:rFonts w:ascii="Times New Roman" w:eastAsia="Times New Roman" w:hAnsi="Times New Roman" w:cs="Times New Roman"/>
          <w:sz w:val="24"/>
          <w:szCs w:val="24"/>
        </w:rPr>
        <w:t xml:space="preserve">(2), 135–153. </w:t>
      </w:r>
      <w:hyperlink r:id="rId5990" w:history="1">
        <w:r w:rsidRPr="00DB4C76">
          <w:rPr>
            <w:rFonts w:ascii="Times New Roman" w:eastAsia="Times New Roman" w:hAnsi="Times New Roman" w:cs="Times New Roman"/>
            <w:color w:val="0000FF"/>
            <w:sz w:val="24"/>
            <w:szCs w:val="24"/>
            <w:u w:val="single"/>
          </w:rPr>
          <w:t>https://doi.org/10.1016/j.bandl.2005.09.001</w:t>
        </w:r>
      </w:hyperlink>
    </w:p>
    <w:p w14:paraId="306284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Lieshout, M., Luman, M., Buitelaar, J., Rommelse, N. N. J., &amp; Oosterlaan, J. (2013). Does neurocognitive functioning predict future or persistence of ADHD? A systematic review. </w:t>
      </w:r>
      <w:r w:rsidRPr="00DB4C76">
        <w:rPr>
          <w:rFonts w:ascii="Times New Roman" w:eastAsia="Times New Roman" w:hAnsi="Times New Roman" w:cs="Times New Roman"/>
          <w:i/>
          <w:iCs/>
          <w:sz w:val="24"/>
          <w:szCs w:val="24"/>
        </w:rPr>
        <w:t>Clinical Psychology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(4), 539–560. </w:t>
      </w:r>
      <w:hyperlink r:id="rId5991" w:history="1">
        <w:r w:rsidRPr="00DB4C76">
          <w:rPr>
            <w:rFonts w:ascii="Times New Roman" w:eastAsia="Times New Roman" w:hAnsi="Times New Roman" w:cs="Times New Roman"/>
            <w:color w:val="0000FF"/>
            <w:sz w:val="24"/>
            <w:szCs w:val="24"/>
            <w:u w:val="single"/>
          </w:rPr>
          <w:t>https://doi.org/10.1016/j.cpr.2013.02.003</w:t>
        </w:r>
      </w:hyperlink>
    </w:p>
    <w:p w14:paraId="4E70C77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Niekerk, M. E. H., Groen, W., Vissers, C. Th. W. M., van Driel-de Jong, D., Kan, C. C., &amp; Voshaar, R. C. O. (2011). Diagnosing autism spectrum disorders in elderly people. </w:t>
      </w:r>
      <w:r w:rsidRPr="00DB4C76">
        <w:rPr>
          <w:rFonts w:ascii="Times New Roman" w:eastAsia="Times New Roman" w:hAnsi="Times New Roman" w:cs="Times New Roman"/>
          <w:i/>
          <w:iCs/>
          <w:sz w:val="24"/>
          <w:szCs w:val="24"/>
        </w:rPr>
        <w:t>International 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(5), 700–710. </w:t>
      </w:r>
      <w:hyperlink r:id="rId5992" w:history="1">
        <w:r w:rsidRPr="00DB4C76">
          <w:rPr>
            <w:rFonts w:ascii="Times New Roman" w:eastAsia="Times New Roman" w:hAnsi="Times New Roman" w:cs="Times New Roman"/>
            <w:color w:val="0000FF"/>
            <w:sz w:val="24"/>
            <w:szCs w:val="24"/>
            <w:u w:val="single"/>
          </w:rPr>
          <w:t>https://doi.org/10.1017/S1041610210002152</w:t>
        </w:r>
      </w:hyperlink>
    </w:p>
    <w:p w14:paraId="57A09A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Patten, R., Britton, K., &amp; Tremont, G. (2019). Comparing the Mini-Mental State Examination and the modified Mini-Mental State Examination in the detection of mild cognitive impairment in older adults. </w:t>
      </w:r>
      <w:r w:rsidRPr="00DB4C76">
        <w:rPr>
          <w:rFonts w:ascii="Times New Roman" w:eastAsia="Times New Roman" w:hAnsi="Times New Roman" w:cs="Times New Roman"/>
          <w:i/>
          <w:iCs/>
          <w:sz w:val="24"/>
          <w:szCs w:val="24"/>
        </w:rPr>
        <w:t>International 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(5), 693–701. </w:t>
      </w:r>
      <w:hyperlink r:id="rId5993" w:history="1">
        <w:r w:rsidRPr="00DB4C76">
          <w:rPr>
            <w:rFonts w:ascii="Times New Roman" w:eastAsia="Times New Roman" w:hAnsi="Times New Roman" w:cs="Times New Roman"/>
            <w:color w:val="0000FF"/>
            <w:sz w:val="24"/>
            <w:szCs w:val="24"/>
            <w:u w:val="single"/>
          </w:rPr>
          <w:t>https://doi.org/10.1017/S1041610218001023</w:t>
        </w:r>
      </w:hyperlink>
    </w:p>
    <w:p w14:paraId="47441BE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Patten, R., Greif, T., Britton, K., &amp; Tremont, G. (2019). Single-photon emission computed tomography (SPECT) perfusion and neuropsychological performance in mild cognitive impairment.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(5), 530–543. </w:t>
      </w:r>
      <w:hyperlink r:id="rId5994" w:history="1">
        <w:r w:rsidRPr="00DB4C76">
          <w:rPr>
            <w:rFonts w:ascii="Times New Roman" w:eastAsia="Times New Roman" w:hAnsi="Times New Roman" w:cs="Times New Roman"/>
            <w:color w:val="0000FF"/>
            <w:sz w:val="24"/>
            <w:szCs w:val="24"/>
            <w:u w:val="single"/>
          </w:rPr>
          <w:t>https://doi.org/10.1080/13803395.2019.1586838</w:t>
        </w:r>
      </w:hyperlink>
    </w:p>
    <w:p w14:paraId="1AEE51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Rheenen, T. E., &amp; Rossell, S. L. (2013). Genetic and neurocognitive foundations of emotion abnormalities in bipolar disorder.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(3), 168–207. </w:t>
      </w:r>
      <w:hyperlink r:id="rId5995" w:history="1">
        <w:r w:rsidRPr="00DB4C76">
          <w:rPr>
            <w:rFonts w:ascii="Times New Roman" w:eastAsia="Times New Roman" w:hAnsi="Times New Roman" w:cs="Times New Roman"/>
            <w:color w:val="0000FF"/>
            <w:sz w:val="24"/>
            <w:szCs w:val="24"/>
            <w:u w:val="single"/>
          </w:rPr>
          <w:t>https://doi.org/10.1080/13546805.2012.690938</w:t>
        </w:r>
      </w:hyperlink>
    </w:p>
    <w:p w14:paraId="43A8DA3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Rheenen, T. E., &amp; Rossell, S. L. (2014). An empirical evaluation of the MATRICS Consensus Cognitive Battery in bipolar disorder.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(3), 318–325. </w:t>
      </w:r>
      <w:hyperlink r:id="rId5996" w:history="1">
        <w:r w:rsidRPr="00DB4C76">
          <w:rPr>
            <w:rFonts w:ascii="Times New Roman" w:eastAsia="Times New Roman" w:hAnsi="Times New Roman" w:cs="Times New Roman"/>
            <w:color w:val="0000FF"/>
            <w:sz w:val="24"/>
            <w:szCs w:val="24"/>
            <w:u w:val="single"/>
          </w:rPr>
          <w:t>https://doi.org/10.1111/bdi.12134</w:t>
        </w:r>
      </w:hyperlink>
    </w:p>
    <w:p w14:paraId="3FC805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Rijn, S., Bierman, M., Bruining, H., &amp; Swaab, H. (2012). Vulnerability for autism traits in boys and men with an extra X chromosome (47,XXY): The mediating role of cognitive flexibility.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(10), 1300–1306. </w:t>
      </w:r>
      <w:hyperlink r:id="rId5997" w:history="1">
        <w:r w:rsidRPr="00DB4C76">
          <w:rPr>
            <w:rFonts w:ascii="Times New Roman" w:eastAsia="Times New Roman" w:hAnsi="Times New Roman" w:cs="Times New Roman"/>
            <w:color w:val="0000FF"/>
            <w:sz w:val="24"/>
            <w:szCs w:val="24"/>
            <w:u w:val="single"/>
          </w:rPr>
          <w:t>https://doi.org/10.1016/j.jpsychires.2012.06.004</w:t>
        </w:r>
      </w:hyperlink>
    </w:p>
    <w:p w14:paraId="778FE48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Timmeren, T., Daams, J. G., van Holst, R. J., &amp; Goudriaan, A. E. (2018). Compulsivity-related neurocognitive performance deficits in gambling disorder: A systematic review and meta-analysis.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84</w:t>
      </w:r>
      <w:r w:rsidRPr="00DB4C76">
        <w:rPr>
          <w:rFonts w:ascii="Times New Roman" w:eastAsia="Times New Roman" w:hAnsi="Times New Roman" w:cs="Times New Roman"/>
          <w:sz w:val="24"/>
          <w:szCs w:val="24"/>
        </w:rPr>
        <w:t xml:space="preserve">, 204–217. </w:t>
      </w:r>
      <w:hyperlink r:id="rId5998" w:history="1">
        <w:r w:rsidRPr="00DB4C76">
          <w:rPr>
            <w:rFonts w:ascii="Times New Roman" w:eastAsia="Times New Roman" w:hAnsi="Times New Roman" w:cs="Times New Roman"/>
            <w:color w:val="0000FF"/>
            <w:sz w:val="24"/>
            <w:szCs w:val="24"/>
            <w:u w:val="single"/>
          </w:rPr>
          <w:t>https://doi.org/10.1016/j.neubiorev.2017.11.022</w:t>
        </w:r>
      </w:hyperlink>
    </w:p>
    <w:p w14:paraId="663E8E2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Tol, M. J., van der Wee, N. J. A., Demenescu, L. R., Nielen, M. M. A., Aleman, A., Renken, R., van Buchem, M. A., Zitman, F. G., &amp; Veltman, D. J. (2011). Functional MRI correlates of visuospatial planning in out‐patient depression and anxiety.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124</w:t>
      </w:r>
      <w:r w:rsidRPr="00DB4C76">
        <w:rPr>
          <w:rFonts w:ascii="Times New Roman" w:eastAsia="Times New Roman" w:hAnsi="Times New Roman" w:cs="Times New Roman"/>
          <w:sz w:val="24"/>
          <w:szCs w:val="24"/>
        </w:rPr>
        <w:t xml:space="preserve">(4), 273–284. </w:t>
      </w:r>
      <w:hyperlink r:id="rId5999" w:history="1">
        <w:r w:rsidRPr="00DB4C76">
          <w:rPr>
            <w:rFonts w:ascii="Times New Roman" w:eastAsia="Times New Roman" w:hAnsi="Times New Roman" w:cs="Times New Roman"/>
            <w:color w:val="0000FF"/>
            <w:sz w:val="24"/>
            <w:szCs w:val="24"/>
            <w:u w:val="single"/>
          </w:rPr>
          <w:t>https://doi.org/10.1111/j.1600-0447.2011.01702.x</w:t>
        </w:r>
      </w:hyperlink>
    </w:p>
    <w:p w14:paraId="08DFF46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Veelen, N. M. J., Grootens, Koen. P., Peuskens, J., Sabbe, B. G. C., Salden, M. E., Verkes, R. J., Kahn, R. S., &amp; Sitskoorn, M. M. (2010). Short term neurocognitive effects of treatment with ziprasidone and olanzapine in recent onset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120</w:t>
      </w:r>
      <w:r w:rsidRPr="00DB4C76">
        <w:rPr>
          <w:rFonts w:ascii="Times New Roman" w:eastAsia="Times New Roman" w:hAnsi="Times New Roman" w:cs="Times New Roman"/>
          <w:sz w:val="24"/>
          <w:szCs w:val="24"/>
        </w:rPr>
        <w:t xml:space="preserve">(1–3), 191–198. </w:t>
      </w:r>
      <w:hyperlink r:id="rId6000" w:history="1">
        <w:r w:rsidRPr="00DB4C76">
          <w:rPr>
            <w:rFonts w:ascii="Times New Roman" w:eastAsia="Times New Roman" w:hAnsi="Times New Roman" w:cs="Times New Roman"/>
            <w:color w:val="0000FF"/>
            <w:sz w:val="24"/>
            <w:szCs w:val="24"/>
            <w:u w:val="single"/>
          </w:rPr>
          <w:t>https://doi.org/10.1016/j.schres.2010.04.011</w:t>
        </w:r>
      </w:hyperlink>
    </w:p>
    <w:p w14:paraId="12AF56B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Walsem, M. R., Sundet, K., Retterstøl, L., &amp; Sundseth, Ø. (2010). A double blind evaluation of cognitive decline in a Norwegian cohort of asymptomatic carriers of Huntington’s disease.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(6), 590–598. </w:t>
      </w:r>
      <w:hyperlink r:id="rId6001" w:history="1">
        <w:r w:rsidRPr="00DB4C76">
          <w:rPr>
            <w:rFonts w:ascii="Times New Roman" w:eastAsia="Times New Roman" w:hAnsi="Times New Roman" w:cs="Times New Roman"/>
            <w:color w:val="0000FF"/>
            <w:sz w:val="24"/>
            <w:szCs w:val="24"/>
            <w:u w:val="single"/>
          </w:rPr>
          <w:t>https://doi.org/10.1080/13803390903337878</w:t>
        </w:r>
      </w:hyperlink>
    </w:p>
    <w:p w14:paraId="6B9EF2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 Wingen, G. A., van Eijndhoven, P., Tendolka, I., Buitelaar, J., Verkes, R. J., &amp; Fernández, G. (2011). Neural basis of emotion recognition deficits in first-episode major depression.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(7), 1397–1405. </w:t>
      </w:r>
      <w:hyperlink r:id="rId6002" w:history="1">
        <w:r w:rsidRPr="00DB4C76">
          <w:rPr>
            <w:rFonts w:ascii="Times New Roman" w:eastAsia="Times New Roman" w:hAnsi="Times New Roman" w:cs="Times New Roman"/>
            <w:color w:val="0000FF"/>
            <w:sz w:val="24"/>
            <w:szCs w:val="24"/>
            <w:u w:val="single"/>
          </w:rPr>
          <w:t>https://doi.org/10.1017/S0033291710002084</w:t>
        </w:r>
      </w:hyperlink>
    </w:p>
    <w:p w14:paraId="4BC8915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Vance, D. E., Fazeli, P. L., &amp; Gakumo, C. A. (2013). The impact of neuropsychological performance on everyday functioning between older and younger adults with and without HIV. </w:t>
      </w:r>
      <w:r w:rsidRPr="00DB4C76">
        <w:rPr>
          <w:rFonts w:ascii="Times New Roman" w:eastAsia="Times New Roman" w:hAnsi="Times New Roman" w:cs="Times New Roman"/>
          <w:i/>
          <w:iCs/>
          <w:sz w:val="24"/>
          <w:szCs w:val="24"/>
        </w:rPr>
        <w:t>JANAC: Journal of the Association of Nurses in AIDS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(2), 112–125. </w:t>
      </w:r>
      <w:hyperlink r:id="rId6003" w:history="1">
        <w:r w:rsidRPr="00DB4C76">
          <w:rPr>
            <w:rFonts w:ascii="Times New Roman" w:eastAsia="Times New Roman" w:hAnsi="Times New Roman" w:cs="Times New Roman"/>
            <w:color w:val="0000FF"/>
            <w:sz w:val="24"/>
            <w:szCs w:val="24"/>
            <w:u w:val="single"/>
          </w:rPr>
          <w:t>https://doi.org/10.1016/j.jana.2012.05.002</w:t>
        </w:r>
      </w:hyperlink>
    </w:p>
    <w:p w14:paraId="687D068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Vance, D. E., Fazeli, P. L., Ross, L. A., Wadley, V. G., &amp; Ball, K. K. (2012). Speed of processing training with middle-age and older adults with HIV: A pilot study. </w:t>
      </w:r>
      <w:r w:rsidRPr="00DB4C76">
        <w:rPr>
          <w:rFonts w:ascii="Times New Roman" w:eastAsia="Times New Roman" w:hAnsi="Times New Roman" w:cs="Times New Roman"/>
          <w:i/>
          <w:iCs/>
          <w:sz w:val="24"/>
          <w:szCs w:val="24"/>
        </w:rPr>
        <w:t>JANAC: Journal of the Association of Nurses in AIDS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(6), 500–510. </w:t>
      </w:r>
      <w:hyperlink r:id="rId6004" w:history="1">
        <w:r w:rsidRPr="00DB4C76">
          <w:rPr>
            <w:rFonts w:ascii="Times New Roman" w:eastAsia="Times New Roman" w:hAnsi="Times New Roman" w:cs="Times New Roman"/>
            <w:color w:val="0000FF"/>
            <w:sz w:val="24"/>
            <w:szCs w:val="24"/>
            <w:u w:val="single"/>
          </w:rPr>
          <w:t>https://doi.org/10.1016/j.jana.2012.01.005</w:t>
        </w:r>
      </w:hyperlink>
    </w:p>
    <w:p w14:paraId="1F706B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Vance, D. E., Graham, M. A., Fazeli, P. L., Heaton, K., &amp; Moneyham, L. (2012). An overview of nonpathological geroneuropsychology: Implications for nursing practice and research. </w:t>
      </w:r>
      <w:r w:rsidRPr="00DB4C76">
        <w:rPr>
          <w:rFonts w:ascii="Times New Roman" w:eastAsia="Times New Roman" w:hAnsi="Times New Roman" w:cs="Times New Roman"/>
          <w:i/>
          <w:iCs/>
          <w:sz w:val="24"/>
          <w:szCs w:val="24"/>
        </w:rPr>
        <w:t>Journal of Neuroscience Nursing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 43–53. </w:t>
      </w:r>
      <w:hyperlink r:id="rId6005" w:history="1">
        <w:r w:rsidRPr="00DB4C76">
          <w:rPr>
            <w:rFonts w:ascii="Times New Roman" w:eastAsia="Times New Roman" w:hAnsi="Times New Roman" w:cs="Times New Roman"/>
            <w:color w:val="0000FF"/>
            <w:sz w:val="24"/>
            <w:szCs w:val="24"/>
            <w:u w:val="single"/>
          </w:rPr>
          <w:t>https://doi.org/10.1097/JNN.0b013e31823ae48b</w:t>
        </w:r>
      </w:hyperlink>
    </w:p>
    <w:p w14:paraId="36D0041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Eskildsen, A., Videbech, P. B. H., &amp; Thomsen, P. hove. (2012). Do cognitive functions in obsessive–compulsive disorder change after treatment? A systematic review and a double case report.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66</w:t>
      </w:r>
      <w:r w:rsidRPr="00DB4C76">
        <w:rPr>
          <w:rFonts w:ascii="Times New Roman" w:eastAsia="Times New Roman" w:hAnsi="Times New Roman" w:cs="Times New Roman"/>
          <w:sz w:val="24"/>
          <w:szCs w:val="24"/>
        </w:rPr>
        <w:t xml:space="preserve">(1), 60–67. </w:t>
      </w:r>
      <w:hyperlink r:id="rId6006" w:history="1">
        <w:r w:rsidRPr="00DB4C76">
          <w:rPr>
            <w:rFonts w:ascii="Times New Roman" w:eastAsia="Times New Roman" w:hAnsi="Times New Roman" w:cs="Times New Roman"/>
            <w:color w:val="0000FF"/>
            <w:sz w:val="24"/>
            <w:szCs w:val="24"/>
            <w:u w:val="single"/>
          </w:rPr>
          <w:t>https://doi.org/10.3109/08039488.2011.626869</w:t>
        </w:r>
      </w:hyperlink>
    </w:p>
    <w:p w14:paraId="6538DD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&amp; Thomsen, P. H. (2014). Memory and executive functions in patients with obsessive-compulsive disorder.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 8–16. </w:t>
      </w:r>
      <w:hyperlink r:id="rId6007" w:history="1">
        <w:r w:rsidRPr="00DB4C76">
          <w:rPr>
            <w:rFonts w:ascii="Times New Roman" w:eastAsia="Times New Roman" w:hAnsi="Times New Roman" w:cs="Times New Roman"/>
            <w:color w:val="0000FF"/>
            <w:sz w:val="24"/>
            <w:szCs w:val="24"/>
            <w:u w:val="single"/>
          </w:rPr>
          <w:t>https://doi.org/10.1097/WNN.0000000000000021</w:t>
        </w:r>
      </w:hyperlink>
    </w:p>
    <w:p w14:paraId="5191F7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&amp; Thomsen, P. H. (2015). Are there reliable changes in memory and executive functions after cognitive behavioural therapy in patients with obsessive-compulsive disorder?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128–143. </w:t>
      </w:r>
      <w:hyperlink r:id="rId6008" w:history="1">
        <w:r w:rsidRPr="00DB4C76">
          <w:rPr>
            <w:rFonts w:ascii="Times New Roman" w:eastAsia="Times New Roman" w:hAnsi="Times New Roman" w:cs="Times New Roman"/>
            <w:color w:val="0000FF"/>
            <w:sz w:val="24"/>
            <w:szCs w:val="24"/>
            <w:u w:val="single"/>
          </w:rPr>
          <w:t>https://doi.org/10.1080/13546805.2014.981649</w:t>
        </w:r>
      </w:hyperlink>
    </w:p>
    <w:p w14:paraId="67C94B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Vandborg, S. K., Hartmann, T. B., Bennedsen, B. E., Pedersen, A. D., &amp; Thomsen, P. H. (2016). Can memory and executive functions in patients with obsessive–compulsive disorder predict outcome of cognitive behavioural therapy?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70</w:t>
      </w:r>
      <w:r w:rsidRPr="00DB4C76">
        <w:rPr>
          <w:rFonts w:ascii="Times New Roman" w:eastAsia="Times New Roman" w:hAnsi="Times New Roman" w:cs="Times New Roman"/>
          <w:sz w:val="24"/>
          <w:szCs w:val="24"/>
        </w:rPr>
        <w:t xml:space="preserve">(3), 183–189. </w:t>
      </w:r>
      <w:hyperlink r:id="rId6009" w:history="1">
        <w:r w:rsidRPr="00DB4C76">
          <w:rPr>
            <w:rFonts w:ascii="Times New Roman" w:eastAsia="Times New Roman" w:hAnsi="Times New Roman" w:cs="Times New Roman"/>
            <w:color w:val="0000FF"/>
            <w:sz w:val="24"/>
            <w:szCs w:val="24"/>
            <w:u w:val="single"/>
          </w:rPr>
          <w:t>https://doi.org/10.3109/08039488.2015.1074282</w:t>
        </w:r>
      </w:hyperlink>
    </w:p>
    <w:p w14:paraId="3052B6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Vandenbroucke, C. L. A., &amp; Gabriëls, L. (2012). Besluitvormingsproces bij obsessieve-compulsieve stoornis. [The decision-making process in obsessive compulsive disorder.]. </w:t>
      </w:r>
      <w:r w:rsidRPr="00DB4C76">
        <w:rPr>
          <w:rFonts w:ascii="Times New Roman" w:eastAsia="Times New Roman" w:hAnsi="Times New Roman" w:cs="Times New Roman"/>
          <w:i/>
          <w:iCs/>
          <w:sz w:val="24"/>
          <w:szCs w:val="24"/>
        </w:rPr>
        <w:t>Tijdschrift Voor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(1), 39–49.</w:t>
      </w:r>
    </w:p>
    <w:p w14:paraId="703BC3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Vanderploeg, R. D. (2013). Neuropsychological assessment. In </w:t>
      </w:r>
      <w:r w:rsidRPr="00DB4C76">
        <w:rPr>
          <w:rFonts w:ascii="Times New Roman" w:eastAsia="Times New Roman" w:hAnsi="Times New Roman" w:cs="Times New Roman"/>
          <w:i/>
          <w:iCs/>
          <w:sz w:val="24"/>
          <w:szCs w:val="24"/>
        </w:rPr>
        <w:t>Management of adults with traumatic brain injury.</w:t>
      </w:r>
      <w:r w:rsidRPr="00DB4C76">
        <w:rPr>
          <w:rFonts w:ascii="Times New Roman" w:eastAsia="Times New Roman" w:hAnsi="Times New Roman" w:cs="Times New Roman"/>
          <w:sz w:val="24"/>
          <w:szCs w:val="24"/>
        </w:rPr>
        <w:t xml:space="preserve"> (pp. 73–97). American Psychiatric Publishing, Inc.</w:t>
      </w:r>
    </w:p>
    <w:p w14:paraId="3FCA7D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Vanderploeg, R. D., Curtiss, G., &amp; Belanger, H. G. (2005). Long-term neuropsychological outcomes following mild traumatic brain injury.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(3), 228–236. </w:t>
      </w:r>
      <w:hyperlink r:id="rId6010" w:history="1">
        <w:r w:rsidRPr="00DB4C76">
          <w:rPr>
            <w:rFonts w:ascii="Times New Roman" w:eastAsia="Times New Roman" w:hAnsi="Times New Roman" w:cs="Times New Roman"/>
            <w:color w:val="0000FF"/>
            <w:sz w:val="24"/>
            <w:szCs w:val="24"/>
            <w:u w:val="single"/>
          </w:rPr>
          <w:t>https://doi.org/10.1017/S1355617705050289</w:t>
        </w:r>
      </w:hyperlink>
    </w:p>
    <w:p w14:paraId="563D59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Vandierendonck, A. (2012). Role of working memory in task switching. </w:t>
      </w:r>
      <w:r w:rsidRPr="00DB4C76">
        <w:rPr>
          <w:rFonts w:ascii="Times New Roman" w:eastAsia="Times New Roman" w:hAnsi="Times New Roman" w:cs="Times New Roman"/>
          <w:i/>
          <w:iCs/>
          <w:sz w:val="24"/>
          <w:szCs w:val="24"/>
        </w:rPr>
        <w:t>Psychologica Belgica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(2–3), 229–253. </w:t>
      </w:r>
      <w:hyperlink r:id="rId6011" w:history="1">
        <w:r w:rsidRPr="00DB4C76">
          <w:rPr>
            <w:rFonts w:ascii="Times New Roman" w:eastAsia="Times New Roman" w:hAnsi="Times New Roman" w:cs="Times New Roman"/>
            <w:color w:val="0000FF"/>
            <w:sz w:val="24"/>
            <w:szCs w:val="24"/>
            <w:u w:val="single"/>
          </w:rPr>
          <w:t>https://doi.org/10.5334/pb-52-2-3-229</w:t>
        </w:r>
      </w:hyperlink>
    </w:p>
    <w:p w14:paraId="0AA591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Vanegas, S. B., &amp; Davidson, D. (2015). Investigating distinct and related contributions of Weak Central Coherence, Executive Dysfunction, and Systemizing theories to the cognitive profiles of children with Autism Spectrum Disordersand typically developing children. </w:t>
      </w:r>
      <w:r w:rsidRPr="00DB4C76">
        <w:rPr>
          <w:rFonts w:ascii="Times New Roman" w:eastAsia="Times New Roman" w:hAnsi="Times New Roman" w:cs="Times New Roman"/>
          <w:i/>
          <w:iCs/>
          <w:sz w:val="24"/>
          <w:szCs w:val="24"/>
        </w:rPr>
        <w:t>Research in Autism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 77–92. </w:t>
      </w:r>
      <w:hyperlink r:id="rId6012" w:history="1">
        <w:r w:rsidRPr="00DB4C76">
          <w:rPr>
            <w:rFonts w:ascii="Times New Roman" w:eastAsia="Times New Roman" w:hAnsi="Times New Roman" w:cs="Times New Roman"/>
            <w:color w:val="0000FF"/>
            <w:sz w:val="24"/>
            <w:szCs w:val="24"/>
            <w:u w:val="single"/>
          </w:rPr>
          <w:t>https://doi.org/10.1016/j.rasd.2014.12.005</w:t>
        </w:r>
      </w:hyperlink>
    </w:p>
    <w:p w14:paraId="0CBE0F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Cascella, N. G., Rao, V., Pearlson, G. D., Gordon, B., &amp; Schretlen, D. J. (2010). A morphometric analysis of neuroanatomic abnormalities in traumatic brain injury.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(2), 173–181. </w:t>
      </w:r>
      <w:hyperlink r:id="rId6013" w:history="1">
        <w:r w:rsidRPr="00DB4C76">
          <w:rPr>
            <w:rFonts w:ascii="Times New Roman" w:eastAsia="Times New Roman" w:hAnsi="Times New Roman" w:cs="Times New Roman"/>
            <w:color w:val="0000FF"/>
            <w:sz w:val="24"/>
            <w:szCs w:val="24"/>
            <w:u w:val="single"/>
          </w:rPr>
          <w:t>https://doi.org/10.1176/appi.neuropsych.22.2.173</w:t>
        </w:r>
      </w:hyperlink>
    </w:p>
    <w:p w14:paraId="726E6A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Maroof, D. A., Gordon, B., &amp; Schretlen, D. J. (2012). Ideational fluency as a domain of human cognition.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(3), 400–405. </w:t>
      </w:r>
      <w:hyperlink r:id="rId6014" w:history="1">
        <w:r w:rsidRPr="00DB4C76">
          <w:rPr>
            <w:rFonts w:ascii="Times New Roman" w:eastAsia="Times New Roman" w:hAnsi="Times New Roman" w:cs="Times New Roman"/>
            <w:color w:val="0000FF"/>
            <w:sz w:val="24"/>
            <w:szCs w:val="24"/>
            <w:u w:val="single"/>
          </w:rPr>
          <w:t>https://doi.org/10.1037/a0027989</w:t>
        </w:r>
      </w:hyperlink>
    </w:p>
    <w:p w14:paraId="10EDFF2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&amp; Schretlen, D. J. (2013). Late-onset schizophrenia. In </w:t>
      </w:r>
      <w:r w:rsidRPr="00DB4C76">
        <w:rPr>
          <w:rFonts w:ascii="Times New Roman" w:eastAsia="Times New Roman" w:hAnsi="Times New Roman" w:cs="Times New Roman"/>
          <w:i/>
          <w:iCs/>
          <w:sz w:val="24"/>
          <w:szCs w:val="24"/>
        </w:rPr>
        <w:t>Handbook on the neuropsychology of aging and dementia.</w:t>
      </w:r>
      <w:r w:rsidRPr="00DB4C76">
        <w:rPr>
          <w:rFonts w:ascii="Times New Roman" w:eastAsia="Times New Roman" w:hAnsi="Times New Roman" w:cs="Times New Roman"/>
          <w:sz w:val="24"/>
          <w:szCs w:val="24"/>
        </w:rPr>
        <w:t xml:space="preserve"> (pp. 487–500). Springer Science + Business Media. </w:t>
      </w:r>
      <w:hyperlink r:id="rId6015" w:history="1">
        <w:r w:rsidRPr="00DB4C76">
          <w:rPr>
            <w:rFonts w:ascii="Times New Roman" w:eastAsia="Times New Roman" w:hAnsi="Times New Roman" w:cs="Times New Roman"/>
            <w:color w:val="0000FF"/>
            <w:sz w:val="24"/>
            <w:szCs w:val="24"/>
            <w:u w:val="single"/>
          </w:rPr>
          <w:t>https://doi.org/10.1007/978-1-4614-3106-0_30</w:t>
        </w:r>
      </w:hyperlink>
    </w:p>
    <w:p w14:paraId="156130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Vannorsdall, T. D., Waldstein, S. R., Kraut, M., Pearlson, G. D., &amp; Schretlen, D. J. (2009). White matter abnormalities and cognition in a community sample.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(3), 209–217. </w:t>
      </w:r>
      <w:hyperlink r:id="rId6016" w:history="1">
        <w:r w:rsidRPr="00DB4C76">
          <w:rPr>
            <w:rFonts w:ascii="Times New Roman" w:eastAsia="Times New Roman" w:hAnsi="Times New Roman" w:cs="Times New Roman"/>
            <w:color w:val="0000FF"/>
            <w:sz w:val="24"/>
            <w:szCs w:val="24"/>
            <w:u w:val="single"/>
          </w:rPr>
          <w:t>https://doi.org/10.1093/arclin/acp037</w:t>
        </w:r>
      </w:hyperlink>
    </w:p>
    <w:p w14:paraId="4C8278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Vanotti, S., Tabullo, Á., Cores, E. E., Fiorentini, L., Garcea, O., &amp; Yori, A. A. (2014). Impaired performances in a stimulus for relapsing-remitting multiple sclerosis patients versus controls. </w:t>
      </w:r>
      <w:r w:rsidRPr="00DB4C76">
        <w:rPr>
          <w:rFonts w:ascii="Times New Roman" w:eastAsia="Times New Roman" w:hAnsi="Times New Roman" w:cs="Times New Roman"/>
          <w:i/>
          <w:iCs/>
          <w:sz w:val="24"/>
          <w:szCs w:val="24"/>
        </w:rPr>
        <w:t>International Journal of Psychology &amp; Psychological 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(2), 191–202.</w:t>
      </w:r>
    </w:p>
    <w:p w14:paraId="446148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Vanwalleghem, S., Haggège-Bonnefont, A., &amp; Leblanc, T. (2016). Séquelles cognitives chez les patients traités pour une leucémie aiguë lymphoblastique pendant l’enfance. [Cognitive impairment of leukemia and its treatment in childhood.]. </w:t>
      </w:r>
      <w:r w:rsidRPr="00DB4C76">
        <w:rPr>
          <w:rFonts w:ascii="Times New Roman" w:eastAsia="Times New Roman" w:hAnsi="Times New Roman" w:cs="Times New Roman"/>
          <w:i/>
          <w:iCs/>
          <w:sz w:val="24"/>
          <w:szCs w:val="24"/>
        </w:rPr>
        <w:t>Psycho-Oncologie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(4), 284–288. </w:t>
      </w:r>
      <w:hyperlink r:id="rId6017" w:history="1">
        <w:r w:rsidRPr="00DB4C76">
          <w:rPr>
            <w:rFonts w:ascii="Times New Roman" w:eastAsia="Times New Roman" w:hAnsi="Times New Roman" w:cs="Times New Roman"/>
            <w:color w:val="0000FF"/>
            <w:sz w:val="24"/>
            <w:szCs w:val="24"/>
            <w:u w:val="single"/>
          </w:rPr>
          <w:t>https://doi.org/10.1007/s11839-016-0602-2</w:t>
        </w:r>
      </w:hyperlink>
    </w:p>
    <w:p w14:paraId="63301C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Vaquero, E., Gómez, C. M., Quintero, E. A., González-Rosa, J. J., &amp; Márquez, J. (2008). Differential prefrontal-like deficit in children after cerebellar astrocytoma and medulloblastoma tumor.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 </w:t>
      </w:r>
      <w:hyperlink r:id="rId6018" w:history="1">
        <w:r w:rsidRPr="00DB4C76">
          <w:rPr>
            <w:rFonts w:ascii="Times New Roman" w:eastAsia="Times New Roman" w:hAnsi="Times New Roman" w:cs="Times New Roman"/>
            <w:color w:val="0000FF"/>
            <w:sz w:val="24"/>
            <w:szCs w:val="24"/>
            <w:u w:val="single"/>
          </w:rPr>
          <w:t>https://doi.org/10.1186/1744-9081-4-18</w:t>
        </w:r>
      </w:hyperlink>
    </w:p>
    <w:p w14:paraId="47B7C5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Varanda, C. de A., &amp; Fernandes, F. D. M. (2017). Cognitive flexibility training intervention among children with autism: A longitudinal study. </w:t>
      </w:r>
      <w:r w:rsidRPr="00DB4C76">
        <w:rPr>
          <w:rFonts w:ascii="Times New Roman" w:eastAsia="Times New Roman" w:hAnsi="Times New Roman" w:cs="Times New Roman"/>
          <w:i/>
          <w:iCs/>
          <w:sz w:val="24"/>
          <w:szCs w:val="24"/>
        </w:rPr>
        <w:t>Psicologia: Reflexão e Crítica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 </w:t>
      </w:r>
      <w:hyperlink r:id="rId6019" w:history="1">
        <w:r w:rsidRPr="00DB4C76">
          <w:rPr>
            <w:rFonts w:ascii="Times New Roman" w:eastAsia="Times New Roman" w:hAnsi="Times New Roman" w:cs="Times New Roman"/>
            <w:color w:val="0000FF"/>
            <w:sz w:val="24"/>
            <w:szCs w:val="24"/>
            <w:u w:val="single"/>
          </w:rPr>
          <w:t>https://doi.org/10.1186/s41155-017-0069-5</w:t>
        </w:r>
      </w:hyperlink>
    </w:p>
    <w:p w14:paraId="7018C1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Varanese, S., Perfetti, B., Ghilardi, M. F., &amp; Di Rocco, A. (2011). Apathy, but not depression, reflects inefficient cognitive strategies in Parkinson’s disease.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(3). </w:t>
      </w:r>
      <w:hyperlink r:id="rId6020" w:history="1">
        <w:r w:rsidRPr="00DB4C76">
          <w:rPr>
            <w:rFonts w:ascii="Times New Roman" w:eastAsia="Times New Roman" w:hAnsi="Times New Roman" w:cs="Times New Roman"/>
            <w:color w:val="0000FF"/>
            <w:sz w:val="24"/>
            <w:szCs w:val="24"/>
            <w:u w:val="single"/>
          </w:rPr>
          <w:t>https://doi.org/10.1371/journal.pone.0017846</w:t>
        </w:r>
      </w:hyperlink>
    </w:p>
    <w:p w14:paraId="00C399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K., Németh, Z., &amp; Szekely, A. (2011). Lack of correlation between hypnotic susceptibility and various components of attention. </w:t>
      </w:r>
      <w:r w:rsidRPr="00DB4C76">
        <w:rPr>
          <w:rFonts w:ascii="Times New Roman" w:eastAsia="Times New Roman" w:hAnsi="Times New Roman" w:cs="Times New Roman"/>
          <w:i/>
          <w:iCs/>
          <w:sz w:val="24"/>
          <w:szCs w:val="24"/>
        </w:rPr>
        <w:t>Consciousness and Cognition: An International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(4), 1872–1881. </w:t>
      </w:r>
      <w:hyperlink r:id="rId6021" w:history="1">
        <w:r w:rsidRPr="00DB4C76">
          <w:rPr>
            <w:rFonts w:ascii="Times New Roman" w:eastAsia="Times New Roman" w:hAnsi="Times New Roman" w:cs="Times New Roman"/>
            <w:color w:val="0000FF"/>
            <w:sz w:val="24"/>
            <w:szCs w:val="24"/>
            <w:u w:val="single"/>
          </w:rPr>
          <w:t>https://doi.org/10.1016/j.concog.2011.09.008</w:t>
        </w:r>
      </w:hyperlink>
    </w:p>
    <w:p w14:paraId="6AF0FD2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M., Babovic, A., Flekkoy, K., Ronneberg, U., Landro, N. I., David, A. S., &amp; Opjordsmoen, S. (2009). Reduced insight in bipolar I disorder: Neurofunctional and neurostructural correlates: A preliminary study.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116</w:t>
      </w:r>
      <w:r w:rsidRPr="00DB4C76">
        <w:rPr>
          <w:rFonts w:ascii="Times New Roman" w:eastAsia="Times New Roman" w:hAnsi="Times New Roman" w:cs="Times New Roman"/>
          <w:sz w:val="24"/>
          <w:szCs w:val="24"/>
        </w:rPr>
        <w:t xml:space="preserve">(1–2), 56–63. </w:t>
      </w:r>
      <w:hyperlink r:id="rId6022" w:history="1">
        <w:r w:rsidRPr="00DB4C76">
          <w:rPr>
            <w:rFonts w:ascii="Times New Roman" w:eastAsia="Times New Roman" w:hAnsi="Times New Roman" w:cs="Times New Roman"/>
            <w:color w:val="0000FF"/>
            <w:sz w:val="24"/>
            <w:szCs w:val="24"/>
            <w:u w:val="single"/>
          </w:rPr>
          <w:t>https://doi.org/10.1016/j.jad.2008.11.005</w:t>
        </w:r>
      </w:hyperlink>
    </w:p>
    <w:p w14:paraId="3A2CC8A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M., Magnusson, A., Flekkøy, K., David, A. S., &amp; Opjordsmoen, S. (2007). Clinical and neuropsychological correlates of insight in schizophrenia and bipolar I disorder: Does diagnosis matter? </w:t>
      </w:r>
      <w:r w:rsidRPr="00DB4C76">
        <w:rPr>
          <w:rFonts w:ascii="Times New Roman" w:eastAsia="Times New Roman" w:hAnsi="Times New Roman" w:cs="Times New Roman"/>
          <w:i/>
          <w:iCs/>
          <w:sz w:val="24"/>
          <w:szCs w:val="24"/>
        </w:rPr>
        <w:t>Comprehensive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(6), 583–591. </w:t>
      </w:r>
      <w:hyperlink r:id="rId6023" w:history="1">
        <w:r w:rsidRPr="00DB4C76">
          <w:rPr>
            <w:rFonts w:ascii="Times New Roman" w:eastAsia="Times New Roman" w:hAnsi="Times New Roman" w:cs="Times New Roman"/>
            <w:color w:val="0000FF"/>
            <w:sz w:val="24"/>
            <w:szCs w:val="24"/>
            <w:u w:val="single"/>
          </w:rPr>
          <w:t>https://doi.org/10.1016/j.comppsych.2007.06.003</w:t>
        </w:r>
      </w:hyperlink>
    </w:p>
    <w:p w14:paraId="631A0A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Varga, M., Magnusson, A., Flekkøy, K., Rønneberg, U., &amp; Opjordsmoen, S. (2006). Insight, symptoms and neurocognition in bipolar I patients.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91</w:t>
      </w:r>
      <w:r w:rsidRPr="00DB4C76">
        <w:rPr>
          <w:rFonts w:ascii="Times New Roman" w:eastAsia="Times New Roman" w:hAnsi="Times New Roman" w:cs="Times New Roman"/>
          <w:sz w:val="24"/>
          <w:szCs w:val="24"/>
        </w:rPr>
        <w:t xml:space="preserve">(1), 1–9. </w:t>
      </w:r>
      <w:hyperlink r:id="rId6024" w:history="1">
        <w:r w:rsidRPr="00DB4C76">
          <w:rPr>
            <w:rFonts w:ascii="Times New Roman" w:eastAsia="Times New Roman" w:hAnsi="Times New Roman" w:cs="Times New Roman"/>
            <w:color w:val="0000FF"/>
            <w:sz w:val="24"/>
            <w:szCs w:val="24"/>
            <w:u w:val="single"/>
          </w:rPr>
          <w:t>https://doi.org/10.1016/j.jad.2005.09.002</w:t>
        </w:r>
      </w:hyperlink>
    </w:p>
    <w:p w14:paraId="79054E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Varlakova, Y., Patel, D. D., Mukhopadhaya, K., Laws, K. R., David, E., Sukwinder, K., &amp; Fineberg, N. A. (2015). The neurocognitive and behavioural impact of comorbid obsessive-compulsive syndrome in schizophrenia. In </w:t>
      </w:r>
      <w:r w:rsidRPr="00DB4C76">
        <w:rPr>
          <w:rFonts w:ascii="Times New Roman" w:eastAsia="Times New Roman" w:hAnsi="Times New Roman" w:cs="Times New Roman"/>
          <w:i/>
          <w:iCs/>
          <w:sz w:val="24"/>
          <w:szCs w:val="24"/>
        </w:rPr>
        <w:t>Obsessive-compulsive symptoms in schizophrenia.</w:t>
      </w:r>
      <w:r w:rsidRPr="00DB4C76">
        <w:rPr>
          <w:rFonts w:ascii="Times New Roman" w:eastAsia="Times New Roman" w:hAnsi="Times New Roman" w:cs="Times New Roman"/>
          <w:sz w:val="24"/>
          <w:szCs w:val="24"/>
        </w:rPr>
        <w:t xml:space="preserve"> (pp. 91–114). Springer International Publishing. </w:t>
      </w:r>
      <w:hyperlink r:id="rId6025" w:history="1">
        <w:r w:rsidRPr="00DB4C76">
          <w:rPr>
            <w:rFonts w:ascii="Times New Roman" w:eastAsia="Times New Roman" w:hAnsi="Times New Roman" w:cs="Times New Roman"/>
            <w:color w:val="0000FF"/>
            <w:sz w:val="24"/>
            <w:szCs w:val="24"/>
            <w:u w:val="single"/>
          </w:rPr>
          <w:t>https://doi.org/10.1007/978-3-319-12952-5_7</w:t>
        </w:r>
      </w:hyperlink>
    </w:p>
    <w:p w14:paraId="5BB2514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Varley, R., Cowell, P. E., Gibson, A., &amp; Romanowski, C. A. J. (2005). Disconnection agraphia in a case of multiple sclerosis: The isolation of letter movement plans from language.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(10), 1503–1513. </w:t>
      </w:r>
      <w:hyperlink r:id="rId6026" w:history="1">
        <w:r w:rsidRPr="00DB4C76">
          <w:rPr>
            <w:rFonts w:ascii="Times New Roman" w:eastAsia="Times New Roman" w:hAnsi="Times New Roman" w:cs="Times New Roman"/>
            <w:color w:val="0000FF"/>
            <w:sz w:val="24"/>
            <w:szCs w:val="24"/>
            <w:u w:val="single"/>
          </w:rPr>
          <w:t>https://doi.org/10.1016/j.neuropsychologia.2004.12.011</w:t>
        </w:r>
      </w:hyperlink>
    </w:p>
    <w:p w14:paraId="62E5405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Varma, G. S., Karadağ, F., Erdal, M. E., Ay, Ö. I., Levent, N., Tekkanat, Ç., Gökdoğan, T. E., &amp; Herken, H. (2011). Effects of catechol-O-methyltransferase enzyme Val158Met polymorphism on cognitive functions in schizophrenic patients. </w:t>
      </w:r>
      <w:r w:rsidRPr="00DB4C76">
        <w:rPr>
          <w:rFonts w:ascii="Times New Roman" w:eastAsia="Times New Roman" w:hAnsi="Times New Roman" w:cs="Times New Roman"/>
          <w:i/>
          <w:iCs/>
          <w:sz w:val="24"/>
          <w:szCs w:val="24"/>
        </w:rPr>
        <w:t>Klinik Psikofarmakoloji Bülteni / Bulletin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24–32. </w:t>
      </w:r>
      <w:hyperlink r:id="rId6027" w:history="1">
        <w:r w:rsidRPr="00DB4C76">
          <w:rPr>
            <w:rFonts w:ascii="Times New Roman" w:eastAsia="Times New Roman" w:hAnsi="Times New Roman" w:cs="Times New Roman"/>
            <w:color w:val="0000FF"/>
            <w:sz w:val="24"/>
            <w:szCs w:val="24"/>
            <w:u w:val="single"/>
          </w:rPr>
          <w:t>https://doi.org/10.5350/KPB-BCP201121105</w:t>
        </w:r>
      </w:hyperlink>
    </w:p>
    <w:p w14:paraId="0FE286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Varo, C., Jiménez, E., Solé, B., Bonnín, C. M., Torrent, C., Lahera, G., Benabarre, A., Saiz, P. A., de la Fuente, L., Martínez‐Arán, A., Vieta, E., &amp; Reinares, M. (2019). Social cognition in bipolar disorder: The role of sociodemographic, clinical, and neurocognitive variables in emotional intelligence. </w:t>
      </w:r>
      <w:r w:rsidRPr="00DB4C76">
        <w:rPr>
          <w:rFonts w:ascii="Times New Roman" w:eastAsia="Times New Roman" w:hAnsi="Times New Roman" w:cs="Times New Roman"/>
          <w:i/>
          <w:iCs/>
          <w:sz w:val="24"/>
          <w:szCs w:val="24"/>
        </w:rPr>
        <w:t>Acta Psychiatrica Scandinavica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139</w:t>
      </w:r>
      <w:r w:rsidRPr="00DB4C76">
        <w:rPr>
          <w:rFonts w:ascii="Times New Roman" w:eastAsia="Times New Roman" w:hAnsi="Times New Roman" w:cs="Times New Roman"/>
          <w:sz w:val="24"/>
          <w:szCs w:val="24"/>
        </w:rPr>
        <w:t xml:space="preserve">(4), 369–380. </w:t>
      </w:r>
      <w:hyperlink r:id="rId6028" w:history="1">
        <w:r w:rsidRPr="00DB4C76">
          <w:rPr>
            <w:rFonts w:ascii="Times New Roman" w:eastAsia="Times New Roman" w:hAnsi="Times New Roman" w:cs="Times New Roman"/>
            <w:color w:val="0000FF"/>
            <w:sz w:val="24"/>
            <w:szCs w:val="24"/>
            <w:u w:val="single"/>
          </w:rPr>
          <w:t>https://doi.org/10.1111/acps.13014</w:t>
        </w:r>
      </w:hyperlink>
    </w:p>
    <w:p w14:paraId="005192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Varo, C., Jimenez, E., Solé, B., Bonnín, C. M., Torrent, C., Valls, E., Morilla, I., Lahera, G., Martínez-Arán, A., Vieta, E., &amp; Reinares, M. (2017). Social cognition in bipolar disorder: Focus on emotional intelligence.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217</w:t>
      </w:r>
      <w:r w:rsidRPr="00DB4C76">
        <w:rPr>
          <w:rFonts w:ascii="Times New Roman" w:eastAsia="Times New Roman" w:hAnsi="Times New Roman" w:cs="Times New Roman"/>
          <w:sz w:val="24"/>
          <w:szCs w:val="24"/>
        </w:rPr>
        <w:t xml:space="preserve">, 210–217. </w:t>
      </w:r>
      <w:hyperlink r:id="rId6029" w:history="1">
        <w:r w:rsidRPr="00DB4C76">
          <w:rPr>
            <w:rFonts w:ascii="Times New Roman" w:eastAsia="Times New Roman" w:hAnsi="Times New Roman" w:cs="Times New Roman"/>
            <w:color w:val="0000FF"/>
            <w:sz w:val="24"/>
            <w:szCs w:val="24"/>
            <w:u w:val="single"/>
          </w:rPr>
          <w:t>https://doi.org/10.1016/j.jad.2017.04.012</w:t>
        </w:r>
      </w:hyperlink>
    </w:p>
    <w:p w14:paraId="5480C8B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Vartanian, O. (2016). Attention, cognitive flexibility, and creativity: Insights from the brain. In </w:t>
      </w:r>
      <w:r w:rsidRPr="00DB4C76">
        <w:rPr>
          <w:rFonts w:ascii="Times New Roman" w:eastAsia="Times New Roman" w:hAnsi="Times New Roman" w:cs="Times New Roman"/>
          <w:i/>
          <w:iCs/>
          <w:sz w:val="24"/>
          <w:szCs w:val="24"/>
        </w:rPr>
        <w:t>Creativity and reason in cognitive development, 2nd ed.</w:t>
      </w:r>
      <w:r w:rsidRPr="00DB4C76">
        <w:rPr>
          <w:rFonts w:ascii="Times New Roman" w:eastAsia="Times New Roman" w:hAnsi="Times New Roman" w:cs="Times New Roman"/>
          <w:sz w:val="24"/>
          <w:szCs w:val="24"/>
        </w:rPr>
        <w:t xml:space="preserve"> (pp. 246–258). Cambridge University Press. </w:t>
      </w:r>
      <w:hyperlink r:id="rId6030" w:history="1">
        <w:r w:rsidRPr="00DB4C76">
          <w:rPr>
            <w:rFonts w:ascii="Times New Roman" w:eastAsia="Times New Roman" w:hAnsi="Times New Roman" w:cs="Times New Roman"/>
            <w:color w:val="0000FF"/>
            <w:sz w:val="24"/>
            <w:szCs w:val="24"/>
            <w:u w:val="single"/>
          </w:rPr>
          <w:t>https://doi.org/10.1017/CBO9781139941969.013</w:t>
        </w:r>
      </w:hyperlink>
    </w:p>
    <w:p w14:paraId="6BA179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Vartanian, O. (2019). Fluid intelligence, working memory, and creativity: A componential view. </w:t>
      </w:r>
      <w:r w:rsidRPr="00DB4C76">
        <w:rPr>
          <w:rFonts w:ascii="Times New Roman" w:eastAsia="Times New Roman" w:hAnsi="Times New Roman" w:cs="Times New Roman"/>
          <w:i/>
          <w:iCs/>
          <w:sz w:val="24"/>
          <w:szCs w:val="24"/>
        </w:rPr>
        <w:t>Secrets of Creativity: What Neuroscience, the Arts, and Our Minds Reveal.</w:t>
      </w:r>
      <w:r w:rsidRPr="00DB4C76">
        <w:rPr>
          <w:rFonts w:ascii="Times New Roman" w:eastAsia="Times New Roman" w:hAnsi="Times New Roman" w:cs="Times New Roman"/>
          <w:sz w:val="24"/>
          <w:szCs w:val="24"/>
        </w:rPr>
        <w:t xml:space="preserve">, 45–63. </w:t>
      </w:r>
      <w:hyperlink r:id="rId6031" w:history="1">
        <w:r w:rsidRPr="00DB4C76">
          <w:rPr>
            <w:rFonts w:ascii="Times New Roman" w:eastAsia="Times New Roman" w:hAnsi="Times New Roman" w:cs="Times New Roman"/>
            <w:color w:val="0000FF"/>
            <w:sz w:val="24"/>
            <w:szCs w:val="24"/>
            <w:u w:val="single"/>
          </w:rPr>
          <w:t>https://doi.org/10.1093/oso/9780190462321.003.0003</w:t>
        </w:r>
      </w:hyperlink>
    </w:p>
    <w:p w14:paraId="2CAF30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Varvara, P., Varuzza, C., Sorrentino, A. C. P., Vicari, S., &amp; Menghini, D. (2014). Executive functions in developmental dyslexia. </w:t>
      </w:r>
      <w:r w:rsidRPr="00DB4C76">
        <w:rPr>
          <w:rFonts w:ascii="Times New Roman" w:eastAsia="Times New Roman" w:hAnsi="Times New Roman" w:cs="Times New Roman"/>
          <w:i/>
          <w:iCs/>
          <w:sz w:val="24"/>
          <w:szCs w:val="24"/>
        </w:rPr>
        <w:t>Frontiers in Human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032" w:history="1">
        <w:r w:rsidRPr="00DB4C76">
          <w:rPr>
            <w:rFonts w:ascii="Times New Roman" w:eastAsia="Times New Roman" w:hAnsi="Times New Roman" w:cs="Times New Roman"/>
            <w:color w:val="0000FF"/>
            <w:sz w:val="24"/>
            <w:szCs w:val="24"/>
            <w:u w:val="single"/>
          </w:rPr>
          <w:t>https://doi.org/10.3389/fnhum.2014.00120</w:t>
        </w:r>
      </w:hyperlink>
    </w:p>
    <w:p w14:paraId="57DE2A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Vascello, M. G. F., Marchetti, M., Scaltritti, M., Altoè, G., Spada, M. S., Molinero, G., &amp; Manfrinati, A. (2018). Are moral and socio-conventional knowledge impaired in severe traumatic brain injury?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(5), 583–595. </w:t>
      </w:r>
      <w:hyperlink r:id="rId6033" w:history="1">
        <w:r w:rsidRPr="00DB4C76">
          <w:rPr>
            <w:rFonts w:ascii="Times New Roman" w:eastAsia="Times New Roman" w:hAnsi="Times New Roman" w:cs="Times New Roman"/>
            <w:color w:val="0000FF"/>
            <w:sz w:val="24"/>
            <w:szCs w:val="24"/>
            <w:u w:val="single"/>
          </w:rPr>
          <w:t>https://doi.org/10.1093/arclin/acx099</w:t>
        </w:r>
      </w:hyperlink>
    </w:p>
    <w:p w14:paraId="0101557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Vasconcelos-Moreno, M. P., Bücker, J., Bürke, K. P., Czepielewski, L., Santos, B. T., Fijtman, A., Passos, I. C., Kunz, M., Del Mar Bonnín, C., Vieta, E., Kapczinski, F., Rosa, A. R., &amp; Kauer-Sant’Anna, M. (2016). Cognitive performance and psychosocial functioning in patients with bipolar disorder, unaffected siblings, and healthy controls. </w:t>
      </w:r>
      <w:r w:rsidRPr="00DB4C76">
        <w:rPr>
          <w:rFonts w:ascii="Times New Roman" w:eastAsia="Times New Roman" w:hAnsi="Times New Roman" w:cs="Times New Roman"/>
          <w:i/>
          <w:iCs/>
          <w:sz w:val="24"/>
          <w:szCs w:val="24"/>
        </w:rPr>
        <w:t>Revista Brasileira de Psiquiatria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(4), 275–280. </w:t>
      </w:r>
      <w:hyperlink r:id="rId6034" w:history="1">
        <w:r w:rsidRPr="00DB4C76">
          <w:rPr>
            <w:rFonts w:ascii="Times New Roman" w:eastAsia="Times New Roman" w:hAnsi="Times New Roman" w:cs="Times New Roman"/>
            <w:color w:val="0000FF"/>
            <w:sz w:val="24"/>
            <w:szCs w:val="24"/>
            <w:u w:val="single"/>
          </w:rPr>
          <w:t>https://doi.org/10.1590/1516-4446-2015-1868</w:t>
        </w:r>
      </w:hyperlink>
    </w:p>
    <w:p w14:paraId="2B38E7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Vasilopoulos, T., Franz, C. E., Panizzon, M. S., Xian, H., Grant, M. D., Lyons, M. J., Toomey, R., Jacobson, K. C., &amp; Kremen, W. S. (2012). Genetic architecture of the Delis-Kaplan executive function system Trail Making Test: Evidence for distinct genetic influences on executive function.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238–250. </w:t>
      </w:r>
      <w:hyperlink r:id="rId6035" w:history="1">
        <w:r w:rsidRPr="00DB4C76">
          <w:rPr>
            <w:rFonts w:ascii="Times New Roman" w:eastAsia="Times New Roman" w:hAnsi="Times New Roman" w:cs="Times New Roman"/>
            <w:color w:val="0000FF"/>
            <w:sz w:val="24"/>
            <w:szCs w:val="24"/>
            <w:u w:val="single"/>
          </w:rPr>
          <w:t>https://doi.org/10.1037/a0026768</w:t>
        </w:r>
      </w:hyperlink>
    </w:p>
    <w:p w14:paraId="411EFC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Vaskinn, A., &amp; Egeland, J. (2012). Testbruksundersøkelsen: En oversikt over tester brukt av norske psykologer. [An overview of tests used by Norwegian psychologists.]. </w:t>
      </w:r>
      <w:r w:rsidRPr="00DB4C76">
        <w:rPr>
          <w:rFonts w:ascii="Times New Roman" w:eastAsia="Times New Roman" w:hAnsi="Times New Roman" w:cs="Times New Roman"/>
          <w:i/>
          <w:iCs/>
          <w:sz w:val="24"/>
          <w:szCs w:val="24"/>
        </w:rPr>
        <w:t>Tidsskrift for Norsk Psykologforening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(7), 658–665.</w:t>
      </w:r>
    </w:p>
    <w:p w14:paraId="5CD8F4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Vaskinn, A., Sundet, K., Friis, S., Ueland, T., Simonsen, C., Birkenaes, A. B., Engh, J. A., Jónsdóttir, H., Opjordsmoen, S., Ringen, P. A., &amp; Andreassen, O. A. (2009). Using the Wisconsin Card Sorting Test to assess learning potential in normal IQ schizophrenia: Does it have potential?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(5), 405–411. </w:t>
      </w:r>
      <w:hyperlink r:id="rId6036" w:history="1">
        <w:r w:rsidRPr="00DB4C76">
          <w:rPr>
            <w:rFonts w:ascii="Times New Roman" w:eastAsia="Times New Roman" w:hAnsi="Times New Roman" w:cs="Times New Roman"/>
            <w:color w:val="0000FF"/>
            <w:sz w:val="24"/>
            <w:szCs w:val="24"/>
            <w:u w:val="single"/>
          </w:rPr>
          <w:t>https://doi.org/10.1080/08039480902879941</w:t>
        </w:r>
      </w:hyperlink>
    </w:p>
    <w:p w14:paraId="0A2BE5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Vasques, P., Becciu, M., &amp; Corcelli, A. (1997). La valutazione neuropsicologica relativa ad un caso di lesione fronto-temporale acquisita in età evolutiva. [Neuropsychological assessment in a single case of fronto-temporal injury in childhood.]. </w:t>
      </w:r>
      <w:r w:rsidRPr="00DB4C76">
        <w:rPr>
          <w:rFonts w:ascii="Times New Roman" w:eastAsia="Times New Roman" w:hAnsi="Times New Roman" w:cs="Times New Roman"/>
          <w:i/>
          <w:iCs/>
          <w:sz w:val="24"/>
          <w:szCs w:val="24"/>
        </w:rPr>
        <w:t>Psichiatria Dell’infanzia e Dell’adolescenza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64</w:t>
      </w:r>
      <w:r w:rsidRPr="00DB4C76">
        <w:rPr>
          <w:rFonts w:ascii="Times New Roman" w:eastAsia="Times New Roman" w:hAnsi="Times New Roman" w:cs="Times New Roman"/>
          <w:sz w:val="24"/>
          <w:szCs w:val="24"/>
        </w:rPr>
        <w:t>(3–4), 425–436.</w:t>
      </w:r>
    </w:p>
    <w:p w14:paraId="510B67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Vasquez, B. P., Binns, M. A., &amp; Anderson, N. D. (2016). Staying on task: Age-related changes in the relationship between executive functioning and response time consistency. </w:t>
      </w:r>
      <w:r w:rsidRPr="00DB4C76">
        <w:rPr>
          <w:rFonts w:ascii="Times New Roman" w:eastAsia="Times New Roman" w:hAnsi="Times New Roman" w:cs="Times New Roman"/>
          <w:i/>
          <w:iCs/>
          <w:sz w:val="24"/>
          <w:szCs w:val="24"/>
        </w:rPr>
        <w:t>The Journals of Gerontology: Series B: Psychological Sciences and Social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71</w:t>
      </w:r>
      <w:r w:rsidRPr="00DB4C76">
        <w:rPr>
          <w:rFonts w:ascii="Times New Roman" w:eastAsia="Times New Roman" w:hAnsi="Times New Roman" w:cs="Times New Roman"/>
          <w:sz w:val="24"/>
          <w:szCs w:val="24"/>
        </w:rPr>
        <w:t xml:space="preserve">(2), 189–200. </w:t>
      </w:r>
      <w:hyperlink r:id="rId6037" w:history="1">
        <w:r w:rsidRPr="00DB4C76">
          <w:rPr>
            <w:rFonts w:ascii="Times New Roman" w:eastAsia="Times New Roman" w:hAnsi="Times New Roman" w:cs="Times New Roman"/>
            <w:color w:val="0000FF"/>
            <w:sz w:val="24"/>
            <w:szCs w:val="24"/>
            <w:u w:val="single"/>
          </w:rPr>
          <w:t>https://doi.org/10.1093/geronb/gbu140</w:t>
        </w:r>
      </w:hyperlink>
    </w:p>
    <w:p w14:paraId="3D85A24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Vasquez, B. P., Binns, M. A., &amp; Anderson, N. D. (2018). Response time consistency is an indicator of executive control rather than global cognitive ability.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(5), 456–465. </w:t>
      </w:r>
      <w:hyperlink r:id="rId6038" w:history="1">
        <w:r w:rsidRPr="00DB4C76">
          <w:rPr>
            <w:rFonts w:ascii="Times New Roman" w:eastAsia="Times New Roman" w:hAnsi="Times New Roman" w:cs="Times New Roman"/>
            <w:color w:val="0000FF"/>
            <w:sz w:val="24"/>
            <w:szCs w:val="24"/>
            <w:u w:val="single"/>
          </w:rPr>
          <w:t>https://doi.org/10.1017/S1355617717001266</w:t>
        </w:r>
      </w:hyperlink>
    </w:p>
    <w:p w14:paraId="4AAF39F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Vasudev, L. (2000). </w:t>
      </w:r>
      <w:r w:rsidRPr="00DB4C76">
        <w:rPr>
          <w:rFonts w:ascii="Times New Roman" w:eastAsia="Times New Roman" w:hAnsi="Times New Roman" w:cs="Times New Roman"/>
          <w:i/>
          <w:iCs/>
          <w:sz w:val="24"/>
          <w:szCs w:val="24"/>
        </w:rPr>
        <w:t>Executive function in high functioning individuals with age-associated memory impairment or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(4-B), 2227–2227.</w:t>
      </w:r>
    </w:p>
    <w:p w14:paraId="3F4F66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Vaughn, B. K., &amp; Daniel, S. R. (2012). Conceptualizing validity. In </w:t>
      </w:r>
      <w:r w:rsidRPr="00DB4C76">
        <w:rPr>
          <w:rFonts w:ascii="Times New Roman" w:eastAsia="Times New Roman" w:hAnsi="Times New Roman" w:cs="Times New Roman"/>
          <w:i/>
          <w:iCs/>
          <w:sz w:val="24"/>
          <w:szCs w:val="24"/>
        </w:rPr>
        <w:t>Measurement in sport and exercise psychology.</w:t>
      </w:r>
      <w:r w:rsidRPr="00DB4C76">
        <w:rPr>
          <w:rFonts w:ascii="Times New Roman" w:eastAsia="Times New Roman" w:hAnsi="Times New Roman" w:cs="Times New Roman"/>
          <w:sz w:val="24"/>
          <w:szCs w:val="24"/>
        </w:rPr>
        <w:t xml:space="preserve"> (pp. 33–39). Human Kinetics.</w:t>
      </w:r>
    </w:p>
    <w:p w14:paraId="6425285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Vaurio, L., Crocker, N., &amp; Mattson, S. N. (2011). Fetal alcohol spectrum disorders. </w:t>
      </w:r>
      <w:r w:rsidRPr="00DB4C76">
        <w:rPr>
          <w:rFonts w:ascii="Times New Roman" w:eastAsia="Times New Roman" w:hAnsi="Times New Roman" w:cs="Times New Roman"/>
          <w:i/>
          <w:iCs/>
          <w:sz w:val="24"/>
          <w:szCs w:val="24"/>
        </w:rPr>
        <w:t>Handbook of Pediatric Neuropsychology.</w:t>
      </w:r>
      <w:r w:rsidRPr="00DB4C76">
        <w:rPr>
          <w:rFonts w:ascii="Times New Roman" w:eastAsia="Times New Roman" w:hAnsi="Times New Roman" w:cs="Times New Roman"/>
          <w:sz w:val="24"/>
          <w:szCs w:val="24"/>
        </w:rPr>
        <w:t>, 877–886.</w:t>
      </w:r>
    </w:p>
    <w:p w14:paraId="008A717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Vaurio, L., Crocker, N., &amp; Mattson, S. N. (2013). Early childhood cognitive disorders: Fetal alcohol spectrum disorders. In </w:t>
      </w:r>
      <w:r w:rsidRPr="00DB4C76">
        <w:rPr>
          <w:rFonts w:ascii="Times New Roman" w:eastAsia="Times New Roman" w:hAnsi="Times New Roman" w:cs="Times New Roman"/>
          <w:i/>
          <w:iCs/>
          <w:sz w:val="24"/>
          <w:szCs w:val="24"/>
        </w:rPr>
        <w:t>Psychopathology of childhood and adolescence: A neuropsychological approach.</w:t>
      </w:r>
      <w:r w:rsidRPr="00DB4C76">
        <w:rPr>
          <w:rFonts w:ascii="Times New Roman" w:eastAsia="Times New Roman" w:hAnsi="Times New Roman" w:cs="Times New Roman"/>
          <w:sz w:val="24"/>
          <w:szCs w:val="24"/>
        </w:rPr>
        <w:t xml:space="preserve"> (pp. 461–475). Springer Publishing Company.</w:t>
      </w:r>
    </w:p>
    <w:p w14:paraId="5A2FE1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Vaurio, L., Riley, E. P., &amp; Mattson, S. N. (2008). Differences in executive functioning in children with heavy prenatal alcohol exposure or attention-deficit/hyperactivity disorder.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(1), 119–129. </w:t>
      </w:r>
      <w:hyperlink r:id="rId6039" w:history="1">
        <w:r w:rsidRPr="00DB4C76">
          <w:rPr>
            <w:rFonts w:ascii="Times New Roman" w:eastAsia="Times New Roman" w:hAnsi="Times New Roman" w:cs="Times New Roman"/>
            <w:color w:val="0000FF"/>
            <w:sz w:val="24"/>
            <w:szCs w:val="24"/>
            <w:u w:val="single"/>
          </w:rPr>
          <w:t>https://doi.org/10.1017/S1355617708080144</w:t>
        </w:r>
      </w:hyperlink>
    </w:p>
    <w:p w14:paraId="79F78F0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Vauth, R., Löschmann, C., Rüsch, N., &amp; Corrigan, P. W. (2004). Understanding adherence to neuroleptic treatment in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126</w:t>
      </w:r>
      <w:r w:rsidRPr="00DB4C76">
        <w:rPr>
          <w:rFonts w:ascii="Times New Roman" w:eastAsia="Times New Roman" w:hAnsi="Times New Roman" w:cs="Times New Roman"/>
          <w:sz w:val="24"/>
          <w:szCs w:val="24"/>
        </w:rPr>
        <w:t xml:space="preserve">(1), 43–49. </w:t>
      </w:r>
      <w:hyperlink r:id="rId6040" w:history="1">
        <w:r w:rsidRPr="00DB4C76">
          <w:rPr>
            <w:rFonts w:ascii="Times New Roman" w:eastAsia="Times New Roman" w:hAnsi="Times New Roman" w:cs="Times New Roman"/>
            <w:color w:val="0000FF"/>
            <w:sz w:val="24"/>
            <w:szCs w:val="24"/>
            <w:u w:val="single"/>
          </w:rPr>
          <w:t>https://doi.org/10.1016/j.psychres.2003.07.004</w:t>
        </w:r>
      </w:hyperlink>
    </w:p>
    <w:p w14:paraId="293705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Vauth, R., Rüsch, N., Wirtz, M., &amp; Corrigan, P. W. (2004). Does social cognition influence the relation between neurocognitive deficits and vocational functioning in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128</w:t>
      </w:r>
      <w:r w:rsidRPr="00DB4C76">
        <w:rPr>
          <w:rFonts w:ascii="Times New Roman" w:eastAsia="Times New Roman" w:hAnsi="Times New Roman" w:cs="Times New Roman"/>
          <w:sz w:val="24"/>
          <w:szCs w:val="24"/>
        </w:rPr>
        <w:t xml:space="preserve">(2), 155–165. </w:t>
      </w:r>
      <w:hyperlink r:id="rId6041" w:history="1">
        <w:r w:rsidRPr="00DB4C76">
          <w:rPr>
            <w:rFonts w:ascii="Times New Roman" w:eastAsia="Times New Roman" w:hAnsi="Times New Roman" w:cs="Times New Roman"/>
            <w:color w:val="0000FF"/>
            <w:sz w:val="24"/>
            <w:szCs w:val="24"/>
            <w:u w:val="single"/>
          </w:rPr>
          <w:t>https://doi.org/10.1016/j.psychres.2004.05.018</w:t>
        </w:r>
      </w:hyperlink>
    </w:p>
    <w:p w14:paraId="3ED5AA8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Vayalakkara, J., Devaraju-Backhaus, S., Bradley, J. D. D., Simco, E. R., &amp; Golden, C. J. (2000). Abbreviated form of the Wisconsin Card Sort Test. </w:t>
      </w:r>
      <w:r w:rsidRPr="00DB4C76">
        <w:rPr>
          <w:rFonts w:ascii="Times New Roman" w:eastAsia="Times New Roman" w:hAnsi="Times New Roman" w:cs="Times New Roman"/>
          <w:i/>
          <w:iCs/>
          <w:sz w:val="24"/>
          <w:szCs w:val="24"/>
        </w:rPr>
        <w:t>International Journal of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103</w:t>
      </w:r>
      <w:r w:rsidRPr="00DB4C76">
        <w:rPr>
          <w:rFonts w:ascii="Times New Roman" w:eastAsia="Times New Roman" w:hAnsi="Times New Roman" w:cs="Times New Roman"/>
          <w:sz w:val="24"/>
          <w:szCs w:val="24"/>
        </w:rPr>
        <w:t xml:space="preserve">(1–4), 131–137. </w:t>
      </w:r>
      <w:hyperlink r:id="rId6042" w:history="1">
        <w:r w:rsidRPr="00DB4C76">
          <w:rPr>
            <w:rFonts w:ascii="Times New Roman" w:eastAsia="Times New Roman" w:hAnsi="Times New Roman" w:cs="Times New Roman"/>
            <w:color w:val="0000FF"/>
            <w:sz w:val="24"/>
            <w:szCs w:val="24"/>
            <w:u w:val="single"/>
          </w:rPr>
          <w:t>https://doi.org/10.3109/00207450009003259</w:t>
        </w:r>
      </w:hyperlink>
    </w:p>
    <w:p w14:paraId="25FB226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Vayısoğlu, S., Yağcıoğlu, A. E. A., Yağcıoğlu, S., Karahan, S., Karcı, O., Gürel, Ş. C., &amp; Yazıcı, M. K. (2013). Lamotrigine augmentation in patients with schizophrenia who show partial response to clozapine treatment.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143</w:t>
      </w:r>
      <w:r w:rsidRPr="00DB4C76">
        <w:rPr>
          <w:rFonts w:ascii="Times New Roman" w:eastAsia="Times New Roman" w:hAnsi="Times New Roman" w:cs="Times New Roman"/>
          <w:sz w:val="24"/>
          <w:szCs w:val="24"/>
        </w:rPr>
        <w:t xml:space="preserve">(1), 207–214. </w:t>
      </w:r>
      <w:hyperlink r:id="rId6043" w:history="1">
        <w:r w:rsidRPr="00DB4C76">
          <w:rPr>
            <w:rFonts w:ascii="Times New Roman" w:eastAsia="Times New Roman" w:hAnsi="Times New Roman" w:cs="Times New Roman"/>
            <w:color w:val="0000FF"/>
            <w:sz w:val="24"/>
            <w:szCs w:val="24"/>
            <w:u w:val="single"/>
          </w:rPr>
          <w:t>https://doi.org/10.1016/j.schres.2012.11.006</w:t>
        </w:r>
      </w:hyperlink>
    </w:p>
    <w:p w14:paraId="2E62C5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Vaz, L. J., Pradella-Hallinan, M., Bueno, O. F. A., &amp; Pompéia, S. (2011). Acute glucocorticoid effects on the multicomponent model of working memory. </w:t>
      </w:r>
      <w:r w:rsidRPr="00DB4C76">
        <w:rPr>
          <w:rFonts w:ascii="Times New Roman" w:eastAsia="Times New Roman" w:hAnsi="Times New Roman" w:cs="Times New Roman"/>
          <w:i/>
          <w:iCs/>
          <w:sz w:val="24"/>
          <w:szCs w:val="24"/>
        </w:rPr>
        <w:t>Human Psychopharmacology: Clinical and Experimental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(7), 477–487. </w:t>
      </w:r>
      <w:hyperlink r:id="rId6044" w:history="1">
        <w:r w:rsidRPr="00DB4C76">
          <w:rPr>
            <w:rFonts w:ascii="Times New Roman" w:eastAsia="Times New Roman" w:hAnsi="Times New Roman" w:cs="Times New Roman"/>
            <w:color w:val="0000FF"/>
            <w:sz w:val="24"/>
            <w:szCs w:val="24"/>
            <w:u w:val="single"/>
          </w:rPr>
          <w:t>https://doi.org/10.1002/hup.1230</w:t>
        </w:r>
      </w:hyperlink>
    </w:p>
    <w:p w14:paraId="1E38AB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Vaz, S. M., &amp; Heinrichs, R. W. (2006). Stability and validity of memory-based subtypes of schizophrenia.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(6), 782–791. </w:t>
      </w:r>
      <w:hyperlink r:id="rId6045" w:history="1">
        <w:r w:rsidRPr="00DB4C76">
          <w:rPr>
            <w:rFonts w:ascii="Times New Roman" w:eastAsia="Times New Roman" w:hAnsi="Times New Roman" w:cs="Times New Roman"/>
            <w:color w:val="0000FF"/>
            <w:sz w:val="24"/>
            <w:szCs w:val="24"/>
            <w:u w:val="single"/>
          </w:rPr>
          <w:t>https://doi.org/10.1017/S1355617706060966</w:t>
        </w:r>
      </w:hyperlink>
    </w:p>
    <w:p w14:paraId="7F2045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Veale, D., &amp; Neziroglu, F. (2010). </w:t>
      </w:r>
      <w:r w:rsidRPr="00DB4C76">
        <w:rPr>
          <w:rFonts w:ascii="Times New Roman" w:eastAsia="Times New Roman" w:hAnsi="Times New Roman" w:cs="Times New Roman"/>
          <w:i/>
          <w:iCs/>
          <w:sz w:val="24"/>
          <w:szCs w:val="24"/>
        </w:rPr>
        <w:t>Body dysmorphic disorder: A treatment manual.</w:t>
      </w:r>
      <w:r w:rsidRPr="00DB4C76">
        <w:rPr>
          <w:rFonts w:ascii="Times New Roman" w:eastAsia="Times New Roman" w:hAnsi="Times New Roman" w:cs="Times New Roman"/>
          <w:sz w:val="24"/>
          <w:szCs w:val="24"/>
        </w:rPr>
        <w:t xml:space="preserve"> (pp. xi, 476). Wiley-Blackwell. </w:t>
      </w:r>
      <w:hyperlink r:id="rId6046" w:history="1">
        <w:r w:rsidRPr="00DB4C76">
          <w:rPr>
            <w:rFonts w:ascii="Times New Roman" w:eastAsia="Times New Roman" w:hAnsi="Times New Roman" w:cs="Times New Roman"/>
            <w:color w:val="0000FF"/>
            <w:sz w:val="24"/>
            <w:szCs w:val="24"/>
            <w:u w:val="single"/>
          </w:rPr>
          <w:t>https://doi.org/10.1002/9780470684610</w:t>
        </w:r>
      </w:hyperlink>
    </w:p>
    <w:p w14:paraId="141903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Veerasakul, S., Thanoi, S., Watiktinkorn, P., Reynolds, G. P., &amp; Nudmamud‐Thanoi, S. (2016). Does elevated peripheral benzodiazepine receptor gene expression relate to cognitive deficits in methamphetamine dependence? </w:t>
      </w:r>
      <w:r w:rsidRPr="00DB4C76">
        <w:rPr>
          <w:rFonts w:ascii="Times New Roman" w:eastAsia="Times New Roman" w:hAnsi="Times New Roman" w:cs="Times New Roman"/>
          <w:i/>
          <w:iCs/>
          <w:sz w:val="24"/>
          <w:szCs w:val="24"/>
        </w:rPr>
        <w:t>Human Psychopharmacology: Clinical and Experimental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(3), 243–246. </w:t>
      </w:r>
      <w:hyperlink r:id="rId6047" w:history="1">
        <w:r w:rsidRPr="00DB4C76">
          <w:rPr>
            <w:rFonts w:ascii="Times New Roman" w:eastAsia="Times New Roman" w:hAnsi="Times New Roman" w:cs="Times New Roman"/>
            <w:color w:val="0000FF"/>
            <w:sz w:val="24"/>
            <w:szCs w:val="24"/>
            <w:u w:val="single"/>
          </w:rPr>
          <w:t>https://doi.org/10.1002/hup.2523</w:t>
        </w:r>
      </w:hyperlink>
    </w:p>
    <w:p w14:paraId="1EA042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Vega, C., &amp; Fernandez, M. (2011). Errors on the WCST correlate with language proficiency scores in Spanish-English bilingual children.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158–164. </w:t>
      </w:r>
      <w:hyperlink r:id="rId6048" w:history="1">
        <w:r w:rsidRPr="00DB4C76">
          <w:rPr>
            <w:rFonts w:ascii="Times New Roman" w:eastAsia="Times New Roman" w:hAnsi="Times New Roman" w:cs="Times New Roman"/>
            <w:color w:val="0000FF"/>
            <w:sz w:val="24"/>
            <w:szCs w:val="24"/>
            <w:u w:val="single"/>
          </w:rPr>
          <w:t>https://doi.org/10.1093/arclin/acq097</w:t>
        </w:r>
      </w:hyperlink>
    </w:p>
    <w:p w14:paraId="052E2F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Velanova, K., Lustig, C., Jacoby, L. L., &amp; Buckner, R. L. (2007). Evidence for frontally mediated controlled processing differences in older adults. </w:t>
      </w:r>
      <w:r w:rsidRPr="00DB4C76">
        <w:rPr>
          <w:rFonts w:ascii="Times New Roman" w:eastAsia="Times New Roman" w:hAnsi="Times New Roman" w:cs="Times New Roman"/>
          <w:i/>
          <w:iCs/>
          <w:sz w:val="24"/>
          <w:szCs w:val="24"/>
        </w:rPr>
        <w:t>Cerebral Cortex</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(5), 1033–1046. </w:t>
      </w:r>
      <w:hyperlink r:id="rId6049" w:history="1">
        <w:r w:rsidRPr="00DB4C76">
          <w:rPr>
            <w:rFonts w:ascii="Times New Roman" w:eastAsia="Times New Roman" w:hAnsi="Times New Roman" w:cs="Times New Roman"/>
            <w:color w:val="0000FF"/>
            <w:sz w:val="24"/>
            <w:szCs w:val="24"/>
            <w:u w:val="single"/>
          </w:rPr>
          <w:t>https://doi.org/10.1093/cercor/bhl013</w:t>
        </w:r>
      </w:hyperlink>
    </w:p>
    <w:p w14:paraId="57F323F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Veldhuijzen, D. S., Sondaal, S. F. V., &amp; Oosterman, J. M. (2012). Intact cognitive inhibition in patients with fibromyalgia but evidence of declined processing speed. </w:t>
      </w:r>
      <w:r w:rsidRPr="00DB4C76">
        <w:rPr>
          <w:rFonts w:ascii="Times New Roman" w:eastAsia="Times New Roman" w:hAnsi="Times New Roman" w:cs="Times New Roman"/>
          <w:i/>
          <w:iCs/>
          <w:sz w:val="24"/>
          <w:szCs w:val="24"/>
        </w:rPr>
        <w:t>The Journal of Pain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(5), 507–515. </w:t>
      </w:r>
      <w:hyperlink r:id="rId6050" w:history="1">
        <w:r w:rsidRPr="00DB4C76">
          <w:rPr>
            <w:rFonts w:ascii="Times New Roman" w:eastAsia="Times New Roman" w:hAnsi="Times New Roman" w:cs="Times New Roman"/>
            <w:color w:val="0000FF"/>
            <w:sz w:val="24"/>
            <w:szCs w:val="24"/>
            <w:u w:val="single"/>
          </w:rPr>
          <w:t>https://doi.org/10.1016/j.jpain.2012.02.011</w:t>
        </w:r>
      </w:hyperlink>
    </w:p>
    <w:p w14:paraId="25B7C9F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Velikonja, D., Warriner, E., &amp; Brum, C. (2010). Profiles of emotional and behavioral sequelae following acquired brain injury: Cluster analysis of the Personality Assessment Inventory.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(6), 610–621. </w:t>
      </w:r>
      <w:hyperlink r:id="rId6051" w:history="1">
        <w:r w:rsidRPr="00DB4C76">
          <w:rPr>
            <w:rFonts w:ascii="Times New Roman" w:eastAsia="Times New Roman" w:hAnsi="Times New Roman" w:cs="Times New Roman"/>
            <w:color w:val="0000FF"/>
            <w:sz w:val="24"/>
            <w:szCs w:val="24"/>
            <w:u w:val="single"/>
          </w:rPr>
          <w:t>https://doi.org/10.1080/13803390903401302</w:t>
        </w:r>
      </w:hyperlink>
    </w:p>
    <w:p w14:paraId="16CCFA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Veling, W., Moritz, S., &amp; van der Gaag, M. (2014). Brave new worlds—Review and update on virtual reality assessment and treatment in psychosis.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(6), 1194–1197. </w:t>
      </w:r>
      <w:hyperlink r:id="rId6052" w:history="1">
        <w:r w:rsidRPr="00DB4C76">
          <w:rPr>
            <w:rFonts w:ascii="Times New Roman" w:eastAsia="Times New Roman" w:hAnsi="Times New Roman" w:cs="Times New Roman"/>
            <w:color w:val="0000FF"/>
            <w:sz w:val="24"/>
            <w:szCs w:val="24"/>
            <w:u w:val="single"/>
          </w:rPr>
          <w:t>https://doi.org/10.1093/schbul/sbu125</w:t>
        </w:r>
      </w:hyperlink>
    </w:p>
    <w:p w14:paraId="50B2E9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Velthorst, E., Meyer, E. C., Giuliano, A. J., Addington, J., Cadenhead, K. S., Cannon, T. D., Cornblatt, B. A., McGlashan, T. H., Perkins, D. O., Tsuang, M. T., Walker, E. F., Woods, S. W., Bearden, C. E., &amp; Seidman, L. J. (2019). Neurocognitive profiles in the prodrome to psychosis in NAPLS-1.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204</w:t>
      </w:r>
      <w:r w:rsidRPr="00DB4C76">
        <w:rPr>
          <w:rFonts w:ascii="Times New Roman" w:eastAsia="Times New Roman" w:hAnsi="Times New Roman" w:cs="Times New Roman"/>
          <w:sz w:val="24"/>
          <w:szCs w:val="24"/>
        </w:rPr>
        <w:t xml:space="preserve">, 311–319. </w:t>
      </w:r>
      <w:hyperlink r:id="rId6053" w:history="1">
        <w:r w:rsidRPr="00DB4C76">
          <w:rPr>
            <w:rFonts w:ascii="Times New Roman" w:eastAsia="Times New Roman" w:hAnsi="Times New Roman" w:cs="Times New Roman"/>
            <w:color w:val="0000FF"/>
            <w:sz w:val="24"/>
            <w:szCs w:val="24"/>
            <w:u w:val="single"/>
          </w:rPr>
          <w:t>https://doi.org/10.1016/j.schres.2018.07.038</w:t>
        </w:r>
      </w:hyperlink>
    </w:p>
    <w:p w14:paraId="7AB693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Veneziano, C., Veneziano, L., LeGrand, S., &amp; Richards, L. (2004). Neuropsychological Executive Functions of Adolescent Sex Offenders and Nonsex Offenders. </w:t>
      </w:r>
      <w:r w:rsidRPr="00DB4C76">
        <w:rPr>
          <w:rFonts w:ascii="Times New Roman" w:eastAsia="Times New Roman" w:hAnsi="Times New Roman" w:cs="Times New Roman"/>
          <w:i/>
          <w:iCs/>
          <w:sz w:val="24"/>
          <w:szCs w:val="24"/>
        </w:rPr>
        <w:t>Perceptual and Motor Skills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98</w:t>
      </w:r>
      <w:r w:rsidRPr="00DB4C76">
        <w:rPr>
          <w:rFonts w:ascii="Times New Roman" w:eastAsia="Times New Roman" w:hAnsi="Times New Roman" w:cs="Times New Roman"/>
          <w:sz w:val="24"/>
          <w:szCs w:val="24"/>
        </w:rPr>
        <w:t xml:space="preserve">(2), 661–674. </w:t>
      </w:r>
      <w:hyperlink r:id="rId6054" w:history="1">
        <w:r w:rsidRPr="00DB4C76">
          <w:rPr>
            <w:rFonts w:ascii="Times New Roman" w:eastAsia="Times New Roman" w:hAnsi="Times New Roman" w:cs="Times New Roman"/>
            <w:color w:val="0000FF"/>
            <w:sz w:val="24"/>
            <w:szCs w:val="24"/>
            <w:u w:val="single"/>
          </w:rPr>
          <w:t>https://doi.org/10.2466/PMS.98.2.661-674</w:t>
        </w:r>
      </w:hyperlink>
    </w:p>
    <w:p w14:paraId="49332D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Venneri, A., Nichelli, P., Modonesi, G., Molinari, M. A., Russo, R., &amp; Sardini, C. (1997). Impairment in dating and retrieving remote events in patients with early Parkinsons’ disease.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(4), 410–413. </w:t>
      </w:r>
      <w:hyperlink r:id="rId6055" w:history="1">
        <w:r w:rsidRPr="00DB4C76">
          <w:rPr>
            <w:rFonts w:ascii="Times New Roman" w:eastAsia="Times New Roman" w:hAnsi="Times New Roman" w:cs="Times New Roman"/>
            <w:color w:val="0000FF"/>
            <w:sz w:val="24"/>
            <w:szCs w:val="24"/>
            <w:u w:val="single"/>
          </w:rPr>
          <w:t>https://doi.org/10.1136/jnnp.62.4.410</w:t>
        </w:r>
      </w:hyperlink>
    </w:p>
    <w:p w14:paraId="4B7810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Ventura, M. I., Baynes, K., Sigvardt, K. A., Unruh, A. M., Acklin, S. S., Kirsch, H. E., Francisco, S., &amp; Disbrow, E. A. (2012). Hemispheric asymmetries and prosodic emotion recognition deficits in Parkinson’s disease.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1936–1945.</w:t>
      </w:r>
    </w:p>
    <w:p w14:paraId="581C58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Venturelli, E., Villa, C., Fenoglio, C., Clerici, F., Marcone, A., Benussi, L., Ghidoni, R., Gallone, S., Cortini, F., Serpente, M., Cantoni, C., Fumagalli, G., Ridolfi, E., Cappa, S., Binetti, G., Franceschi, M., Rainero, I., Giordana, M. T., Mariani, C., … Galimberti, D. (2011). BAG1 is a protective factor for sporadic frontotemporal lobar degeneration but not for Alzheimer’s disease.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(4), 701–707.</w:t>
      </w:r>
    </w:p>
    <w:p w14:paraId="5281098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Venturelli, E., Villa, C., Fenoglio, C., Clerici, F., Marcone, A., Ghidoni, R., Cortini, F., Scalabrini, D., Gallone, S., Rainero, I., Mandelli, A., Restelli, I., Binetti, G., Cappa, S., Mariani, C., Giordana, M. T., Bresolin, N., Scarpini, E., &amp; Galimberti, D. (2009). The NOS3 G894T (Glu298Asp) polymorphism is a risk factor for frontotemporal lobar degeneration.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(1), 37–42. </w:t>
      </w:r>
      <w:hyperlink r:id="rId6056" w:history="1">
        <w:r w:rsidRPr="00DB4C76">
          <w:rPr>
            <w:rFonts w:ascii="Times New Roman" w:eastAsia="Times New Roman" w:hAnsi="Times New Roman" w:cs="Times New Roman"/>
            <w:color w:val="0000FF"/>
            <w:sz w:val="24"/>
            <w:szCs w:val="24"/>
            <w:u w:val="single"/>
          </w:rPr>
          <w:t>https://doi.org/10.1111/j.1468-1331.2008.02335.x</w:t>
        </w:r>
      </w:hyperlink>
    </w:p>
    <w:p w14:paraId="3B586A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Vercelletto, M., Delchoque, C., Magne, C., Huvet, M., Lanier, S., &amp; Feve, J. R. (1999). Analyse des troubles neuropsychologiques couplée à la tomographie à émission monophonique au HMPAO Tc99 m dans la sclérose latérale amyotrophique: Étude prospective de 16 cas. [Analysis of neuropsychological disorders coupled with 99 m Tc-HMPAP SPECT in a. </w:t>
      </w:r>
      <w:r w:rsidRPr="00DB4C76">
        <w:rPr>
          <w:rFonts w:ascii="Times New Roman" w:eastAsia="Times New Roman" w:hAnsi="Times New Roman" w:cs="Times New Roman"/>
          <w:i/>
          <w:iCs/>
          <w:sz w:val="24"/>
          <w:szCs w:val="24"/>
        </w:rPr>
        <w:t>Revue Neurologique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155</w:t>
      </w:r>
      <w:r w:rsidRPr="00DB4C76">
        <w:rPr>
          <w:rFonts w:ascii="Times New Roman" w:eastAsia="Times New Roman" w:hAnsi="Times New Roman" w:cs="Times New Roman"/>
          <w:sz w:val="24"/>
          <w:szCs w:val="24"/>
        </w:rPr>
        <w:t>(2), 141–147.</w:t>
      </w:r>
    </w:p>
    <w:p w14:paraId="49EB0EE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 A., Toribio, I., Orozco, C., Puente, K. L., &amp; Pérez-García, M. (2005). Neuropsychological functioning in methadone maintenance patients versus abstinent heroin abusers.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(3), 283–288. </w:t>
      </w:r>
      <w:hyperlink r:id="rId6057" w:history="1">
        <w:r w:rsidRPr="00DB4C76">
          <w:rPr>
            <w:rFonts w:ascii="Times New Roman" w:eastAsia="Times New Roman" w:hAnsi="Times New Roman" w:cs="Times New Roman"/>
            <w:color w:val="0000FF"/>
            <w:sz w:val="24"/>
            <w:szCs w:val="24"/>
            <w:u w:val="single"/>
          </w:rPr>
          <w:t>https://doi.org/10.1016/j.drugalcdep.2004.11.006</w:t>
        </w:r>
      </w:hyperlink>
    </w:p>
    <w:p w14:paraId="59A8B6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Verdejo-García, A., Bechara, A., Recknor, E. C., &amp; Pérez-García, M. (2006). Executive dysfunction in substance dependent individuals during drug use and abstinence: An examination of the behavioral, cognitive and emotional correlates of addiction.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405–415. </w:t>
      </w:r>
      <w:hyperlink r:id="rId6058" w:history="1">
        <w:r w:rsidRPr="00DB4C76">
          <w:rPr>
            <w:rFonts w:ascii="Times New Roman" w:eastAsia="Times New Roman" w:hAnsi="Times New Roman" w:cs="Times New Roman"/>
            <w:color w:val="0000FF"/>
            <w:sz w:val="24"/>
            <w:szCs w:val="24"/>
            <w:u w:val="single"/>
          </w:rPr>
          <w:t>https://doi.org/10.1017/S1355617706060486</w:t>
        </w:r>
      </w:hyperlink>
    </w:p>
    <w:p w14:paraId="385EBD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Verdejo-García, A., López-Torrecillas, F., Calandre, E. P., Delgado-Rodríguez, A., &amp; Bechara, A. (2009). Executive function and decision-making in women with fibromyalgia.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(1), 113–122. </w:t>
      </w:r>
      <w:hyperlink r:id="rId6059" w:history="1">
        <w:r w:rsidRPr="00DB4C76">
          <w:rPr>
            <w:rFonts w:ascii="Times New Roman" w:eastAsia="Times New Roman" w:hAnsi="Times New Roman" w:cs="Times New Roman"/>
            <w:color w:val="0000FF"/>
            <w:sz w:val="24"/>
            <w:szCs w:val="24"/>
            <w:u w:val="single"/>
          </w:rPr>
          <w:t>https://doi.org/10.1093/arclin/acp014</w:t>
        </w:r>
      </w:hyperlink>
    </w:p>
    <w:p w14:paraId="259F01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Verdejo-García, A., &amp; Pérez-García, M. (2007). Ecological assessment of executive functions in substance dependent individuals.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90</w:t>
      </w:r>
      <w:r w:rsidRPr="00DB4C76">
        <w:rPr>
          <w:rFonts w:ascii="Times New Roman" w:eastAsia="Times New Roman" w:hAnsi="Times New Roman" w:cs="Times New Roman"/>
          <w:sz w:val="24"/>
          <w:szCs w:val="24"/>
        </w:rPr>
        <w:t xml:space="preserve">(1), 48–55. </w:t>
      </w:r>
      <w:hyperlink r:id="rId6060" w:history="1">
        <w:r w:rsidRPr="00DB4C76">
          <w:rPr>
            <w:rFonts w:ascii="Times New Roman" w:eastAsia="Times New Roman" w:hAnsi="Times New Roman" w:cs="Times New Roman"/>
            <w:color w:val="0000FF"/>
            <w:sz w:val="24"/>
            <w:szCs w:val="24"/>
            <w:u w:val="single"/>
          </w:rPr>
          <w:t>https://doi.org/10.1016/j.drugalcdep.2007.02.010</w:t>
        </w:r>
      </w:hyperlink>
    </w:p>
    <w:p w14:paraId="6013A2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&amp; Liraud, F. (2000). Neuropsychological function in subjects with psychotic and affective disorders: Relationship to diagnostic category and duration of illness.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(4), 236–243. </w:t>
      </w:r>
      <w:hyperlink r:id="rId6061" w:history="1">
        <w:r w:rsidRPr="00DB4C76">
          <w:rPr>
            <w:rFonts w:ascii="Times New Roman" w:eastAsia="Times New Roman" w:hAnsi="Times New Roman" w:cs="Times New Roman"/>
            <w:color w:val="0000FF"/>
            <w:sz w:val="24"/>
            <w:szCs w:val="24"/>
            <w:u w:val="single"/>
          </w:rPr>
          <w:t>https://doi.org/10.1016/S0924-9338(00)00238-8</w:t>
        </w:r>
      </w:hyperlink>
    </w:p>
    <w:p w14:paraId="6C47607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Liraud, F., Assens, F., Abalan, F., &amp; van Os, J. (2002). Social and clinical consequences of cognitive deficits in early psychosis: A two-year follow-up study of first-admitted patients.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(1–2), 148–159. </w:t>
      </w:r>
      <w:hyperlink r:id="rId6062" w:history="1">
        <w:r w:rsidRPr="00DB4C76">
          <w:rPr>
            <w:rFonts w:ascii="Times New Roman" w:eastAsia="Times New Roman" w:hAnsi="Times New Roman" w:cs="Times New Roman"/>
            <w:color w:val="0000FF"/>
            <w:sz w:val="24"/>
            <w:szCs w:val="24"/>
            <w:u w:val="single"/>
          </w:rPr>
          <w:t>https://doi.org/10.1016/S0920-9964(01)00225-0</w:t>
        </w:r>
      </w:hyperlink>
    </w:p>
    <w:p w14:paraId="094C50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Magnin, E., &amp; Bourgeois, M. (1994). Effets des neuroleptiques sur les fonctions frontales des schizophrènes. [The effects of neuroleptics on frontal lobe functions in schizophrenics.]. </w:t>
      </w:r>
      <w:r w:rsidRPr="00DB4C76">
        <w:rPr>
          <w:rFonts w:ascii="Times New Roman" w:eastAsia="Times New Roman" w:hAnsi="Times New Roman" w:cs="Times New Roman"/>
          <w:i/>
          <w:iCs/>
          <w:sz w:val="24"/>
          <w:szCs w:val="24"/>
        </w:rPr>
        <w:t>Annales Médico-Psychologiques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152</w:t>
      </w:r>
      <w:r w:rsidRPr="00DB4C76">
        <w:rPr>
          <w:rFonts w:ascii="Times New Roman" w:eastAsia="Times New Roman" w:hAnsi="Times New Roman" w:cs="Times New Roman"/>
          <w:sz w:val="24"/>
          <w:szCs w:val="24"/>
        </w:rPr>
        <w:t>(8), 530–534.</w:t>
      </w:r>
    </w:p>
    <w:p w14:paraId="4FBC23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Verdoux, H., Magnin, E., &amp; Bourgeois, M. (1995). Neuroleptic effects on neuropsychological test performance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(2), 133–139. </w:t>
      </w:r>
      <w:hyperlink r:id="rId6063" w:history="1">
        <w:r w:rsidRPr="00DB4C76">
          <w:rPr>
            <w:rFonts w:ascii="Times New Roman" w:eastAsia="Times New Roman" w:hAnsi="Times New Roman" w:cs="Times New Roman"/>
            <w:color w:val="0000FF"/>
            <w:sz w:val="24"/>
            <w:szCs w:val="24"/>
            <w:u w:val="single"/>
          </w:rPr>
          <w:t>https://doi.org/10.1016/0920-9964(94)00018-4</w:t>
        </w:r>
      </w:hyperlink>
    </w:p>
    <w:p w14:paraId="7F9D131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Vereenooghe, L., Gega, L., Reynolds, S., &amp; Langdon, P. E. (2016). Using computers to teach people with intellectual disabilities to perform some of the tasks used within cognitive behavioural therapy: A randomised experiment. </w:t>
      </w:r>
      <w:r w:rsidRPr="00DB4C76">
        <w:rPr>
          <w:rFonts w:ascii="Times New Roman" w:eastAsia="Times New Roman" w:hAnsi="Times New Roman" w:cs="Times New Roman"/>
          <w:i/>
          <w:iCs/>
          <w:sz w:val="24"/>
          <w:szCs w:val="24"/>
        </w:rPr>
        <w:t>Behaviour Research and 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76</w:t>
      </w:r>
      <w:r w:rsidRPr="00DB4C76">
        <w:rPr>
          <w:rFonts w:ascii="Times New Roman" w:eastAsia="Times New Roman" w:hAnsi="Times New Roman" w:cs="Times New Roman"/>
          <w:sz w:val="24"/>
          <w:szCs w:val="24"/>
        </w:rPr>
        <w:t xml:space="preserve">, 13–23. </w:t>
      </w:r>
      <w:hyperlink r:id="rId6064" w:history="1">
        <w:r w:rsidRPr="00DB4C76">
          <w:rPr>
            <w:rFonts w:ascii="Times New Roman" w:eastAsia="Times New Roman" w:hAnsi="Times New Roman" w:cs="Times New Roman"/>
            <w:color w:val="0000FF"/>
            <w:sz w:val="24"/>
            <w:szCs w:val="24"/>
            <w:u w:val="single"/>
          </w:rPr>
          <w:t>https://doi.org/10.1016/j.brat.2015.11.002</w:t>
        </w:r>
      </w:hyperlink>
    </w:p>
    <w:p w14:paraId="47F137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Verfaellie, M., &amp; Giovanello, K. S. (2006). Conceptual priming in semantic dementia: A window into the cognitive and neural basis of conceptual implicit memory. </w:t>
      </w:r>
      <w:r w:rsidRPr="00DB4C76">
        <w:rPr>
          <w:rFonts w:ascii="Times New Roman" w:eastAsia="Times New Roman" w:hAnsi="Times New Roman" w:cs="Times New Roman"/>
          <w:i/>
          <w:iCs/>
          <w:sz w:val="24"/>
          <w:szCs w:val="24"/>
        </w:rPr>
        <w:t>Cognitive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(4), 606–620. </w:t>
      </w:r>
      <w:hyperlink r:id="rId6065" w:history="1">
        <w:r w:rsidRPr="00DB4C76">
          <w:rPr>
            <w:rFonts w:ascii="Times New Roman" w:eastAsia="Times New Roman" w:hAnsi="Times New Roman" w:cs="Times New Roman"/>
            <w:color w:val="0000FF"/>
            <w:sz w:val="24"/>
            <w:szCs w:val="24"/>
            <w:u w:val="single"/>
          </w:rPr>
          <w:t>https://doi.org/10.1080/02643290500346099</w:t>
        </w:r>
      </w:hyperlink>
    </w:p>
    <w:p w14:paraId="0BF408E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Vergara-Lopez, C., Lopez-Vergara, H. I., &amp; Colder, C. R. (2013). Executive functioning moderates the relationship between motivation and adolescent depressive symptoms. </w:t>
      </w:r>
      <w:r w:rsidRPr="00DB4C76">
        <w:rPr>
          <w:rFonts w:ascii="Times New Roman" w:eastAsia="Times New Roman" w:hAnsi="Times New Roman" w:cs="Times New Roman"/>
          <w:i/>
          <w:iCs/>
          <w:sz w:val="24"/>
          <w:szCs w:val="24"/>
        </w:rPr>
        <w:t>Personality and Individual Differences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(1), 18–22. </w:t>
      </w:r>
      <w:hyperlink r:id="rId6066" w:history="1">
        <w:r w:rsidRPr="00DB4C76">
          <w:rPr>
            <w:rFonts w:ascii="Times New Roman" w:eastAsia="Times New Roman" w:hAnsi="Times New Roman" w:cs="Times New Roman"/>
            <w:color w:val="0000FF"/>
            <w:sz w:val="24"/>
            <w:szCs w:val="24"/>
            <w:u w:val="single"/>
          </w:rPr>
          <w:t>https://doi.org/10.1016/j.paid.2012.07.034</w:t>
        </w:r>
      </w:hyperlink>
    </w:p>
    <w:p w14:paraId="2C075F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Vergara-Lopez, C., Lopez-Vergara, H. I., &amp; Roberts, J. E. (2016). Testing a “content meets process” model of depression vulnerability and rumination: Exploring the moderating role of set-shifting deficits. </w:t>
      </w:r>
      <w:r w:rsidRPr="00DB4C76">
        <w:rPr>
          <w:rFonts w:ascii="Times New Roman" w:eastAsia="Times New Roman" w:hAnsi="Times New Roman" w:cs="Times New Roman"/>
          <w:i/>
          <w:iCs/>
          <w:sz w:val="24"/>
          <w:szCs w:val="24"/>
        </w:rPr>
        <w:t>Journal of Behavior Therapy and Experimental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 201–208. </w:t>
      </w:r>
      <w:hyperlink r:id="rId6067" w:history="1">
        <w:r w:rsidRPr="00DB4C76">
          <w:rPr>
            <w:rFonts w:ascii="Times New Roman" w:eastAsia="Times New Roman" w:hAnsi="Times New Roman" w:cs="Times New Roman"/>
            <w:color w:val="0000FF"/>
            <w:sz w:val="24"/>
            <w:szCs w:val="24"/>
            <w:u w:val="single"/>
          </w:rPr>
          <w:t>https://doi.org/10.1016/j.jbtep.2015.08.002</w:t>
        </w:r>
      </w:hyperlink>
    </w:p>
    <w:p w14:paraId="31F84CF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Verhoeven, J., &amp; Mariën, P. (2010). Neurogenic foreign accent syndrome: Articulatory setting, segments and prosody in a Dutch speaker. </w:t>
      </w:r>
      <w:r w:rsidRPr="00DB4C76">
        <w:rPr>
          <w:rFonts w:ascii="Times New Roman" w:eastAsia="Times New Roman" w:hAnsi="Times New Roman" w:cs="Times New Roman"/>
          <w:i/>
          <w:iCs/>
          <w:sz w:val="24"/>
          <w:szCs w:val="24"/>
        </w:rPr>
        <w:t>Journal of Neurolinguistics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(6), 599–614. </w:t>
      </w:r>
      <w:hyperlink r:id="rId6068" w:history="1">
        <w:r w:rsidRPr="00DB4C76">
          <w:rPr>
            <w:rFonts w:ascii="Times New Roman" w:eastAsia="Times New Roman" w:hAnsi="Times New Roman" w:cs="Times New Roman"/>
            <w:color w:val="0000FF"/>
            <w:sz w:val="24"/>
            <w:szCs w:val="24"/>
            <w:u w:val="single"/>
          </w:rPr>
          <w:t>https://doi.org/10.1016/j.jneuroling.2010.05.004</w:t>
        </w:r>
      </w:hyperlink>
    </w:p>
    <w:p w14:paraId="1DAE2E6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Verleden, S., Vingerhoets, G., &amp; Santens, P. (2007). Heterogeneity of cognitive dysfunction in Parkinson’s disease: A cohort study. </w:t>
      </w:r>
      <w:r w:rsidRPr="00DB4C76">
        <w:rPr>
          <w:rFonts w:ascii="Times New Roman" w:eastAsia="Times New Roman" w:hAnsi="Times New Roman" w:cs="Times New Roman"/>
          <w:i/>
          <w:iCs/>
          <w:sz w:val="24"/>
          <w:szCs w:val="24"/>
        </w:rPr>
        <w:t>European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 xml:space="preserve">(1), 34–40. </w:t>
      </w:r>
      <w:hyperlink r:id="rId6069" w:history="1">
        <w:r w:rsidRPr="00DB4C76">
          <w:rPr>
            <w:rFonts w:ascii="Times New Roman" w:eastAsia="Times New Roman" w:hAnsi="Times New Roman" w:cs="Times New Roman"/>
            <w:color w:val="0000FF"/>
            <w:sz w:val="24"/>
            <w:szCs w:val="24"/>
            <w:u w:val="single"/>
          </w:rPr>
          <w:t>https://doi.org/10.1159/000102164</w:t>
        </w:r>
      </w:hyperlink>
    </w:p>
    <w:p w14:paraId="3E35CF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Verma, M., Sahoo, S., Nehra, R., &amp; Grover, S. (2020). Does clozapine improves cognition in patients with treatment resistant schizophrenia?: An exploratory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218</w:t>
      </w:r>
      <w:r w:rsidRPr="00DB4C76">
        <w:rPr>
          <w:rFonts w:ascii="Times New Roman" w:eastAsia="Times New Roman" w:hAnsi="Times New Roman" w:cs="Times New Roman"/>
          <w:sz w:val="24"/>
          <w:szCs w:val="24"/>
        </w:rPr>
        <w:t xml:space="preserve">, 315–317. </w:t>
      </w:r>
      <w:hyperlink r:id="rId6070" w:history="1">
        <w:r w:rsidRPr="00DB4C76">
          <w:rPr>
            <w:rFonts w:ascii="Times New Roman" w:eastAsia="Times New Roman" w:hAnsi="Times New Roman" w:cs="Times New Roman"/>
            <w:color w:val="0000FF"/>
            <w:sz w:val="24"/>
            <w:szCs w:val="24"/>
            <w:u w:val="single"/>
          </w:rPr>
          <w:t>https://doi.org/10.1016/j.schres.2020.02.002</w:t>
        </w:r>
      </w:hyperlink>
    </w:p>
    <w:p w14:paraId="316BE4A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Vernaleken, I., Buchholz, H.-G., Kumakura, Y., Siessmeier, T., Stoeter, P., Bartenstein, P., Gumming, P., &amp; Gründer, G. (2007). “Prefrontal” cognitive performance of healthy subjects positively correlates with cerebral FDOPA influx: An exploratory [</w:t>
      </w:r>
      <w:r w:rsidRPr="00DB4C76">
        <w:rPr>
          <w:rFonts w:ascii="Times New Roman" w:eastAsia="Times New Roman" w:hAnsi="Times New Roman" w:cs="Times New Roman"/>
          <w:sz w:val="24"/>
          <w:szCs w:val="24"/>
          <w:vertAlign w:val="superscript"/>
        </w:rPr>
        <w:t>18</w:t>
      </w:r>
      <w:r w:rsidRPr="00DB4C76">
        <w:rPr>
          <w:rFonts w:ascii="Times New Roman" w:eastAsia="Times New Roman" w:hAnsi="Times New Roman" w:cs="Times New Roman"/>
          <w:sz w:val="24"/>
          <w:szCs w:val="24"/>
        </w:rPr>
        <w:t xml:space="preserve">F]-fluoro-L-DOPA-PET investigation.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(10), 931–939. </w:t>
      </w:r>
      <w:hyperlink r:id="rId6071" w:history="1">
        <w:r w:rsidRPr="00DB4C76">
          <w:rPr>
            <w:rFonts w:ascii="Times New Roman" w:eastAsia="Times New Roman" w:hAnsi="Times New Roman" w:cs="Times New Roman"/>
            <w:color w:val="0000FF"/>
            <w:sz w:val="24"/>
            <w:szCs w:val="24"/>
            <w:u w:val="single"/>
          </w:rPr>
          <w:t>https://doi.org/10.1002/hbm.20325</w:t>
        </w:r>
      </w:hyperlink>
    </w:p>
    <w:p w14:paraId="1330A4B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Verney, S. P., Bennett, J., &amp; Hamilton, J. M. (2016). Cultural considerations in the neuropsychological assessment of American Indians/Alaska Natives. In </w:t>
      </w:r>
      <w:r w:rsidRPr="00DB4C76">
        <w:rPr>
          <w:rFonts w:ascii="Times New Roman" w:eastAsia="Times New Roman" w:hAnsi="Times New Roman" w:cs="Times New Roman"/>
          <w:i/>
          <w:iCs/>
          <w:sz w:val="24"/>
          <w:szCs w:val="24"/>
        </w:rPr>
        <w:t>Minority and cross-cultural aspects of neuropsychological assessment: Enduring and emerging trends, 2nd ed.</w:t>
      </w:r>
      <w:r w:rsidRPr="00DB4C76">
        <w:rPr>
          <w:rFonts w:ascii="Times New Roman" w:eastAsia="Times New Roman" w:hAnsi="Times New Roman" w:cs="Times New Roman"/>
          <w:sz w:val="24"/>
          <w:szCs w:val="24"/>
        </w:rPr>
        <w:t xml:space="preserve"> (pp. 115–158). Taylor &amp; Francis.</w:t>
      </w:r>
    </w:p>
    <w:p w14:paraId="4C2C52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Verri, A. P., Galimberti, C. A., Perucca, P., Cremante, A., Vernice, M., &amp; Uggetti, A. (2008). Psychotic disorder and focal epilepsy in a left-handed patient with chromosome XYY abnormality. </w:t>
      </w:r>
      <w:r w:rsidRPr="00DB4C76">
        <w:rPr>
          <w:rFonts w:ascii="Times New Roman" w:eastAsia="Times New Roman" w:hAnsi="Times New Roman" w:cs="Times New Roman"/>
          <w:i/>
          <w:iCs/>
          <w:sz w:val="24"/>
          <w:szCs w:val="24"/>
        </w:rPr>
        <w:t>Genetic Counseling: Medical, Psychological, and Ethical Aspects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(4), 373–379.</w:t>
      </w:r>
    </w:p>
    <w:p w14:paraId="5B5D5E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Verroulx, K., Hirst, R. B., Lin, G., &amp; Peery, S. (2019). Embedded performance validity indicator for children: California Verbal Learning Test – Children’s Edition, forced choice. </w:t>
      </w:r>
      <w:r w:rsidRPr="00DB4C76">
        <w:rPr>
          <w:rFonts w:ascii="Times New Roman" w:eastAsia="Times New Roman" w:hAnsi="Times New Roman" w:cs="Times New Roman"/>
          <w:i/>
          <w:iCs/>
          <w:sz w:val="24"/>
          <w:szCs w:val="24"/>
        </w:rPr>
        <w:t>Applied Neuropsychology: Child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(3), 206–212. </w:t>
      </w:r>
      <w:hyperlink r:id="rId6072" w:history="1">
        <w:r w:rsidRPr="00DB4C76">
          <w:rPr>
            <w:rFonts w:ascii="Times New Roman" w:eastAsia="Times New Roman" w:hAnsi="Times New Roman" w:cs="Times New Roman"/>
            <w:color w:val="0000FF"/>
            <w:sz w:val="24"/>
            <w:szCs w:val="24"/>
            <w:u w:val="single"/>
          </w:rPr>
          <w:t>https://doi.org/10.1080/21622965.2018.1426463</w:t>
        </w:r>
      </w:hyperlink>
    </w:p>
    <w:p w14:paraId="27FBBC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Verté, S., Geurts, H. M., Roeyers, H., Oosterlaan, J., &amp; Sergeant, J. A. (2006). Executive Functioning in Children with an Autism Spectrum Disorder: Can We Differentiate Within the Spectrum?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(3), 351–372. </w:t>
      </w:r>
      <w:hyperlink r:id="rId6073" w:history="1">
        <w:r w:rsidRPr="00DB4C76">
          <w:rPr>
            <w:rFonts w:ascii="Times New Roman" w:eastAsia="Times New Roman" w:hAnsi="Times New Roman" w:cs="Times New Roman"/>
            <w:color w:val="0000FF"/>
            <w:sz w:val="24"/>
            <w:szCs w:val="24"/>
            <w:u w:val="single"/>
          </w:rPr>
          <w:t>https://doi.org/10.1007/s10803-006-0074-5</w:t>
        </w:r>
      </w:hyperlink>
    </w:p>
    <w:p w14:paraId="7F7023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Vianin, P., Urben, S., Magistretti, P., Marquet, P., Fornari, E., &amp; Jaugey, L. (2014). Increased activation in Broca’s area after cognitive remediation in schizophrenia.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221</w:t>
      </w:r>
      <w:r w:rsidRPr="00DB4C76">
        <w:rPr>
          <w:rFonts w:ascii="Times New Roman" w:eastAsia="Times New Roman" w:hAnsi="Times New Roman" w:cs="Times New Roman"/>
          <w:sz w:val="24"/>
          <w:szCs w:val="24"/>
        </w:rPr>
        <w:t xml:space="preserve">(3), 204–209. </w:t>
      </w:r>
      <w:hyperlink r:id="rId6074" w:history="1">
        <w:r w:rsidRPr="00DB4C76">
          <w:rPr>
            <w:rFonts w:ascii="Times New Roman" w:eastAsia="Times New Roman" w:hAnsi="Times New Roman" w:cs="Times New Roman"/>
            <w:color w:val="0000FF"/>
            <w:sz w:val="24"/>
            <w:szCs w:val="24"/>
            <w:u w:val="single"/>
          </w:rPr>
          <w:t>https://doi.org/10.1016/j.pscychresns.2014.01.004</w:t>
        </w:r>
      </w:hyperlink>
    </w:p>
    <w:p w14:paraId="0C1B6F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Vicent-Gil, M., Keymer-Gausset, A., Serra-Blasco, M., Carceller-Sindreu, M., de Diego-Adeliño, J., Trujols, J., Mur, M., Pérez, V., Alvarez, E., Cardoner, N., &amp; Portella, M. J. (2018). Cognitive predictors of illness course at 12 months after first-episode of depression. </w:t>
      </w:r>
      <w:r w:rsidRPr="00DB4C76">
        <w:rPr>
          <w:rFonts w:ascii="Times New Roman" w:eastAsia="Times New Roman" w:hAnsi="Times New Roman" w:cs="Times New Roman"/>
          <w:i/>
          <w:iCs/>
          <w:sz w:val="24"/>
          <w:szCs w:val="24"/>
        </w:rPr>
        <w:t>European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(4), 529–537. </w:t>
      </w:r>
      <w:hyperlink r:id="rId6075" w:history="1">
        <w:r w:rsidRPr="00DB4C76">
          <w:rPr>
            <w:rFonts w:ascii="Times New Roman" w:eastAsia="Times New Roman" w:hAnsi="Times New Roman" w:cs="Times New Roman"/>
            <w:color w:val="0000FF"/>
            <w:sz w:val="24"/>
            <w:szCs w:val="24"/>
            <w:u w:val="single"/>
          </w:rPr>
          <w:t>https://doi.org/10.1016/j.euroneuro.2018.02.001</w:t>
        </w:r>
      </w:hyperlink>
    </w:p>
    <w:p w14:paraId="138DB8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Vicent-Gil, M., Raventós, B., Marín-Martínez, E. D., González-Simarro, S., Martínez-Arán, A., del Mar Bonnin, C., Trujols, J., Pérez-Blanco, J., de Diego-Adeliño, J., Puigdemont, D., Serra-Blasco, M., Cardoner, N., &amp; Portella, M. J. (2019). Testing the efficacy of INtegral Cognitive REMediation (INCREM) in major depressive disorder: Study protocol for a randomized clinical trial. </w:t>
      </w:r>
      <w:r w:rsidRPr="00DB4C76">
        <w:rPr>
          <w:rFonts w:ascii="Times New Roman" w:eastAsia="Times New Roman" w:hAnsi="Times New Roman" w:cs="Times New Roman"/>
          <w:i/>
          <w:iCs/>
          <w:sz w:val="24"/>
          <w:szCs w:val="24"/>
        </w:rPr>
        <w:t>BMC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 </w:t>
      </w:r>
      <w:hyperlink r:id="rId6076" w:history="1">
        <w:r w:rsidRPr="00DB4C76">
          <w:rPr>
            <w:rFonts w:ascii="Times New Roman" w:eastAsia="Times New Roman" w:hAnsi="Times New Roman" w:cs="Times New Roman"/>
            <w:color w:val="0000FF"/>
            <w:sz w:val="24"/>
            <w:szCs w:val="24"/>
            <w:u w:val="single"/>
          </w:rPr>
          <w:t>https://doi.org/10.1186/s12888-019-2117-4</w:t>
        </w:r>
      </w:hyperlink>
    </w:p>
    <w:p w14:paraId="3EDDB1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Victor, A., Wozniak, J. R., &amp; Chang, P.-N. (2008). Environmental correlates of cognition and behavior in children with fetal alcohol spectrum disorders. </w:t>
      </w:r>
      <w:r w:rsidRPr="00DB4C76">
        <w:rPr>
          <w:rFonts w:ascii="Times New Roman" w:eastAsia="Times New Roman" w:hAnsi="Times New Roman" w:cs="Times New Roman"/>
          <w:i/>
          <w:iCs/>
          <w:sz w:val="24"/>
          <w:szCs w:val="24"/>
        </w:rPr>
        <w:t>Journal of Human Behavior in the Social Environment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(3), 288–300. </w:t>
      </w:r>
      <w:hyperlink r:id="rId6077" w:history="1">
        <w:r w:rsidRPr="00DB4C76">
          <w:rPr>
            <w:rFonts w:ascii="Times New Roman" w:eastAsia="Times New Roman" w:hAnsi="Times New Roman" w:cs="Times New Roman"/>
            <w:color w:val="0000FF"/>
            <w:sz w:val="24"/>
            <w:szCs w:val="24"/>
            <w:u w:val="single"/>
          </w:rPr>
          <w:t>https://doi.org/10.1080/10911350802427605</w:t>
        </w:r>
      </w:hyperlink>
    </w:p>
    <w:p w14:paraId="59F0D6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Vidailhet, M., Yelnik, J., Lagrange, C., Fraix, V., Grabli, D., Thobois, S., Burbaud, P., Welter, M.-L., Xie-Brustolin, J., Braga, M.-C. C., Ardouin, C., Czernecki, V., Klinger, H., Chabardes, S., Seigneuret, E., Mertens, P., Cuny, E., Navarro, S., Cornu, P., … Pollak, P. (2009). Bilateral pallidal deep brain stimulation for the treatment of patients with dystonia-choreoathetosis cerebral palsy: A prospective pilot study. </w:t>
      </w:r>
      <w:r w:rsidRPr="00DB4C76">
        <w:rPr>
          <w:rFonts w:ascii="Times New Roman" w:eastAsia="Times New Roman" w:hAnsi="Times New Roman" w:cs="Times New Roman"/>
          <w:i/>
          <w:iCs/>
          <w:sz w:val="24"/>
          <w:szCs w:val="24"/>
        </w:rPr>
        <w:t>The Lancet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(8), 709–717. </w:t>
      </w:r>
      <w:hyperlink r:id="rId6078" w:history="1">
        <w:r w:rsidRPr="00DB4C76">
          <w:rPr>
            <w:rFonts w:ascii="Times New Roman" w:eastAsia="Times New Roman" w:hAnsi="Times New Roman" w:cs="Times New Roman"/>
            <w:color w:val="0000FF"/>
            <w:sz w:val="24"/>
            <w:szCs w:val="24"/>
            <w:u w:val="single"/>
          </w:rPr>
          <w:t>https://doi.org/10.1016/S1474-4422(09)70151-6</w:t>
        </w:r>
      </w:hyperlink>
    </w:p>
    <w:p w14:paraId="074F64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Videbech, P., Ravnkilde, B., Gammelgaard, L., Egander, A., Clemmensen, K., Rasmussen, N. A., Gjedde, A., &amp; Rosenberg, R. (2004). The Danish PET/depression project: Performance on Stroop’s test linked to white matter lesions in the brain.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(2), 117–130. </w:t>
      </w:r>
      <w:hyperlink r:id="rId6079" w:history="1">
        <w:r w:rsidRPr="00DB4C76">
          <w:rPr>
            <w:rFonts w:ascii="Times New Roman" w:eastAsia="Times New Roman" w:hAnsi="Times New Roman" w:cs="Times New Roman"/>
            <w:color w:val="0000FF"/>
            <w:sz w:val="24"/>
            <w:szCs w:val="24"/>
            <w:u w:val="single"/>
          </w:rPr>
          <w:t>https://doi.org/10.1016/j.pscychresns.2003.10.002</w:t>
        </w:r>
      </w:hyperlink>
    </w:p>
    <w:p w14:paraId="0BC863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Vidot, D. C., Lerner, B., &amp; Gonzalez, R. (2017). Cannabis use, medication management and adherence among persons living with HIV. </w:t>
      </w:r>
      <w:r w:rsidRPr="00DB4C76">
        <w:rPr>
          <w:rFonts w:ascii="Times New Roman" w:eastAsia="Times New Roman" w:hAnsi="Times New Roman" w:cs="Times New Roman"/>
          <w:i/>
          <w:iCs/>
          <w:sz w:val="24"/>
          <w:szCs w:val="24"/>
        </w:rPr>
        <w:t>AIDS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(7), 2005–2013. </w:t>
      </w:r>
      <w:hyperlink r:id="rId6080" w:history="1">
        <w:r w:rsidRPr="00DB4C76">
          <w:rPr>
            <w:rFonts w:ascii="Times New Roman" w:eastAsia="Times New Roman" w:hAnsi="Times New Roman" w:cs="Times New Roman"/>
            <w:color w:val="0000FF"/>
            <w:sz w:val="24"/>
            <w:szCs w:val="24"/>
            <w:u w:val="single"/>
          </w:rPr>
          <w:t>https://doi.org/10.1007/s10461-017-1782-x</w:t>
        </w:r>
      </w:hyperlink>
    </w:p>
    <w:p w14:paraId="21AB4F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Vierck, E., Reichenberg, A., Harvey, P. D., &amp; Silverman, J. M. (2013). Intact cognitive flexibility in parents of autistic children. In </w:t>
      </w:r>
      <w:r w:rsidRPr="00DB4C76">
        <w:rPr>
          <w:rFonts w:ascii="Times New Roman" w:eastAsia="Times New Roman" w:hAnsi="Times New Roman" w:cs="Times New Roman"/>
          <w:i/>
          <w:iCs/>
          <w:sz w:val="24"/>
          <w:szCs w:val="24"/>
        </w:rPr>
        <w:t>Understanding autism spectrum disorder: Current research aspects.</w:t>
      </w:r>
      <w:r w:rsidRPr="00DB4C76">
        <w:rPr>
          <w:rFonts w:ascii="Times New Roman" w:eastAsia="Times New Roman" w:hAnsi="Times New Roman" w:cs="Times New Roman"/>
          <w:sz w:val="24"/>
          <w:szCs w:val="24"/>
        </w:rPr>
        <w:t xml:space="preserve"> (pp. 189–198). Nova Biomedical Books.</w:t>
      </w:r>
    </w:p>
    <w:p w14:paraId="440E24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Vigliano, P., Margary, G., Bagnasco, I., &amp; Jarre, L. (2010). Cognitive evolution of a girl submitted to right hemispherotomy when five years old.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(7), 579–582. </w:t>
      </w:r>
      <w:hyperlink r:id="rId6081" w:history="1">
        <w:r w:rsidRPr="00DB4C76">
          <w:rPr>
            <w:rFonts w:ascii="Times New Roman" w:eastAsia="Times New Roman" w:hAnsi="Times New Roman" w:cs="Times New Roman"/>
            <w:color w:val="0000FF"/>
            <w:sz w:val="24"/>
            <w:szCs w:val="24"/>
            <w:u w:val="single"/>
          </w:rPr>
          <w:t>https://doi.org/10.1016/j.braindev.2009.07.010</w:t>
        </w:r>
      </w:hyperlink>
    </w:p>
    <w:p w14:paraId="6D8DA4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Vigliecca, N. S., Castillo, J. A., &amp; Ontivero, K. E. (2007). Executive fuction, intelligence and academic achievement in high school students from public and private institutions. In </w:t>
      </w:r>
      <w:r w:rsidRPr="00DB4C76">
        <w:rPr>
          <w:rFonts w:ascii="Times New Roman" w:eastAsia="Times New Roman" w:hAnsi="Times New Roman" w:cs="Times New Roman"/>
          <w:i/>
          <w:iCs/>
          <w:sz w:val="24"/>
          <w:szCs w:val="24"/>
        </w:rPr>
        <w:t>Psychological science: Research, theory and future directions.</w:t>
      </w:r>
      <w:r w:rsidRPr="00DB4C76">
        <w:rPr>
          <w:rFonts w:ascii="Times New Roman" w:eastAsia="Times New Roman" w:hAnsi="Times New Roman" w:cs="Times New Roman"/>
          <w:sz w:val="24"/>
          <w:szCs w:val="24"/>
        </w:rPr>
        <w:t xml:space="preserve"> (pp. 193–203). Athens Institute for Education and Research.</w:t>
      </w:r>
    </w:p>
    <w:p w14:paraId="6DE1A6B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Vignoli, A., Canevini, M. P., Darra, F., La Selva, L., Fiorini, E., Piazzini, A., Lazzarotto, F., Zucca, C., &amp; Bernardina, B. D. (2009). Ring chromosome 20 syndrome: A link between epilepsy onset and neuropsychological impairment in three children. </w:t>
      </w:r>
      <w:r w:rsidRPr="00DB4C76">
        <w:rPr>
          <w:rFonts w:ascii="Times New Roman" w:eastAsia="Times New Roman" w:hAnsi="Times New Roman" w:cs="Times New Roman"/>
          <w:i/>
          <w:iCs/>
          <w:sz w:val="24"/>
          <w:szCs w:val="24"/>
        </w:rPr>
        <w:t>Epilepsia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(11), 2420–2427. </w:t>
      </w:r>
      <w:hyperlink r:id="rId6082" w:history="1">
        <w:r w:rsidRPr="00DB4C76">
          <w:rPr>
            <w:rFonts w:ascii="Times New Roman" w:eastAsia="Times New Roman" w:hAnsi="Times New Roman" w:cs="Times New Roman"/>
            <w:color w:val="0000FF"/>
            <w:sz w:val="24"/>
            <w:szCs w:val="24"/>
            <w:u w:val="single"/>
          </w:rPr>
          <w:t>https://doi.org/10.1111/j.1528-1167.2009.02176.x</w:t>
        </w:r>
      </w:hyperlink>
    </w:p>
    <w:p w14:paraId="04C5F1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Vik, P. W., Williams, C., Dasher, N., &amp; Van Wyk, P. (2014). Alcohol use, drinking consequences, and sensitivity to social cues among college women. </w:t>
      </w:r>
      <w:r w:rsidRPr="00DB4C76">
        <w:rPr>
          <w:rFonts w:ascii="Times New Roman" w:eastAsia="Times New Roman" w:hAnsi="Times New Roman" w:cs="Times New Roman"/>
          <w:i/>
          <w:iCs/>
          <w:sz w:val="24"/>
          <w:szCs w:val="24"/>
        </w:rPr>
        <w:t>Addictive Behaviors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(6), 1106–1112. </w:t>
      </w:r>
      <w:hyperlink r:id="rId6083" w:history="1">
        <w:r w:rsidRPr="00DB4C76">
          <w:rPr>
            <w:rFonts w:ascii="Times New Roman" w:eastAsia="Times New Roman" w:hAnsi="Times New Roman" w:cs="Times New Roman"/>
            <w:color w:val="0000FF"/>
            <w:sz w:val="24"/>
            <w:szCs w:val="24"/>
            <w:u w:val="single"/>
          </w:rPr>
          <w:t>https://doi.org/10.1016/j.addbeh.2014.03.011</w:t>
        </w:r>
      </w:hyperlink>
    </w:p>
    <w:p w14:paraId="38DB3E2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Vilà-Balló, A., Cunillera, T., Rostan, C., Hdez-Lafuente, P., Fuentemilla, L., &amp; Rodríguez-Fornells, A. (2015). Neurophysiological correlates of cognitive flexibility and feedback processing in violent juvenile offenders.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1610</w:t>
      </w:r>
      <w:r w:rsidRPr="00DB4C76">
        <w:rPr>
          <w:rFonts w:ascii="Times New Roman" w:eastAsia="Times New Roman" w:hAnsi="Times New Roman" w:cs="Times New Roman"/>
          <w:sz w:val="24"/>
          <w:szCs w:val="24"/>
        </w:rPr>
        <w:t xml:space="preserve">, 98–109. </w:t>
      </w:r>
      <w:hyperlink r:id="rId6084" w:history="1">
        <w:r w:rsidRPr="00DB4C76">
          <w:rPr>
            <w:rFonts w:ascii="Times New Roman" w:eastAsia="Times New Roman" w:hAnsi="Times New Roman" w:cs="Times New Roman"/>
            <w:color w:val="0000FF"/>
            <w:sz w:val="24"/>
            <w:szCs w:val="24"/>
            <w:u w:val="single"/>
          </w:rPr>
          <w:t>https://doi.org/10.1016/j.brainres.2015.03.040</w:t>
        </w:r>
      </w:hyperlink>
    </w:p>
    <w:p w14:paraId="4DEBA2A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Vilar-López, R., &amp; Puente, A. E. (2010). Forensic neuropsychological assessment of members of minority groups: The case for assessing Hispanics. In </w:t>
      </w:r>
      <w:r w:rsidRPr="00DB4C76">
        <w:rPr>
          <w:rFonts w:ascii="Times New Roman" w:eastAsia="Times New Roman" w:hAnsi="Times New Roman" w:cs="Times New Roman"/>
          <w:i/>
          <w:iCs/>
          <w:sz w:val="24"/>
          <w:szCs w:val="24"/>
        </w:rPr>
        <w:t>Handbook of forensic neuropsychology, 2nd ed.</w:t>
      </w:r>
      <w:r w:rsidRPr="00DB4C76">
        <w:rPr>
          <w:rFonts w:ascii="Times New Roman" w:eastAsia="Times New Roman" w:hAnsi="Times New Roman" w:cs="Times New Roman"/>
          <w:sz w:val="24"/>
          <w:szCs w:val="24"/>
        </w:rPr>
        <w:t xml:space="preserve"> (pp. 309–331). Springer Publishing Company.</w:t>
      </w:r>
    </w:p>
    <w:p w14:paraId="63CC98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 C., Ghezzi, L., Fenoglio, C., Clerici, F., Marcone, A., Benussi, L., Ghidoni, R., Gallone, S., Serpente, M., Cantoni, C., Ridolfi, E., Bonsi, R., Cerami, C., Cappa, S., Binetti, G., Franceschi, M., Rainero, I., Mariani, C., Bresolin, N., … Galimberti, D. (2012). Genetics and expression analysis of the specificity protein 4 gene (SP4) in patients with Alzheimer’s disease and frontotemporal lobar degeneration.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(3), 537–542.</w:t>
      </w:r>
    </w:p>
    <w:p w14:paraId="3AF5A05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 C., Venturelli, E., Fenoglio, C., Clerici, F., Marcone, A., Benussi, L., Gallone, S., Scalabrini, D., Cortini, F., Serpente, M., Martinelli Boneschi, F., Cappa, S., Binetti, G., Mariani, C., Rainero, I., Giordana, M. T., Bresolin, N., Scarpini, E., &amp; Galimberti, D. (2009). DCUN1D1 is a risk factor for frontotemporal lobar degeneration.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(7), 870–873. </w:t>
      </w:r>
      <w:hyperlink r:id="rId6085" w:history="1">
        <w:r w:rsidRPr="00DB4C76">
          <w:rPr>
            <w:rFonts w:ascii="Times New Roman" w:eastAsia="Times New Roman" w:hAnsi="Times New Roman" w:cs="Times New Roman"/>
            <w:color w:val="0000FF"/>
            <w:sz w:val="24"/>
            <w:szCs w:val="24"/>
            <w:u w:val="single"/>
          </w:rPr>
          <w:t>https://doi.org/10.1111/j.1468-1331.2009.02611.x</w:t>
        </w:r>
      </w:hyperlink>
    </w:p>
    <w:p w14:paraId="7C157F8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Villalobos, D., Caperos, J. M., Bilbao, Á., López-Muñoz, F., &amp; Pacios, J. (2021). Cognitive predictors of self-awareness in patients with acquired brain injury along neuropsychological rehabilitation. </w:t>
      </w:r>
      <w:r w:rsidRPr="00DB4C76">
        <w:rPr>
          <w:rFonts w:ascii="Times New Roman" w:eastAsia="Times New Roman" w:hAnsi="Times New Roman" w:cs="Times New Roman"/>
          <w:i/>
          <w:iCs/>
          <w:sz w:val="24"/>
          <w:szCs w:val="24"/>
        </w:rPr>
        <w:t>Neuropsychological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(6), 983–1001. </w:t>
      </w:r>
      <w:hyperlink r:id="rId6086" w:history="1">
        <w:r w:rsidRPr="00DB4C76">
          <w:rPr>
            <w:rFonts w:ascii="Times New Roman" w:eastAsia="Times New Roman" w:hAnsi="Times New Roman" w:cs="Times New Roman"/>
            <w:color w:val="0000FF"/>
            <w:sz w:val="24"/>
            <w:szCs w:val="24"/>
            <w:u w:val="single"/>
          </w:rPr>
          <w:t>https://doi.org/10.1080/09602011.2020.1751663</w:t>
        </w:r>
      </w:hyperlink>
    </w:p>
    <w:p w14:paraId="5FCA27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Villalta-Gil, V., Vilaplana, M., Ochoa, S., Haro, J. M., Dolz, M., Usall, J., &amp; Cervilla, J. (2006). Neurocognitive performance and negative symptoms: Are they equal in explaining disability in schizophrenia outpatients?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87</w:t>
      </w:r>
      <w:r w:rsidRPr="00DB4C76">
        <w:rPr>
          <w:rFonts w:ascii="Times New Roman" w:eastAsia="Times New Roman" w:hAnsi="Times New Roman" w:cs="Times New Roman"/>
          <w:sz w:val="24"/>
          <w:szCs w:val="24"/>
        </w:rPr>
        <w:t xml:space="preserve">(1–3), 246–253. </w:t>
      </w:r>
      <w:hyperlink r:id="rId6087" w:history="1">
        <w:r w:rsidRPr="00DB4C76">
          <w:rPr>
            <w:rFonts w:ascii="Times New Roman" w:eastAsia="Times New Roman" w:hAnsi="Times New Roman" w:cs="Times New Roman"/>
            <w:color w:val="0000FF"/>
            <w:sz w:val="24"/>
            <w:szCs w:val="24"/>
            <w:u w:val="single"/>
          </w:rPr>
          <w:t>https://doi.org/10.1016/j.schres.2006.06.013</w:t>
        </w:r>
      </w:hyperlink>
    </w:p>
    <w:p w14:paraId="696A66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Vingerhoets, G., Verleden, S., Santens, P., Miatton, M., &amp; de Reuck, J. (2003). Predictors of cognitive impairment in advanced Parkinson’s disease.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74</w:t>
      </w:r>
      <w:r w:rsidRPr="00DB4C76">
        <w:rPr>
          <w:rFonts w:ascii="Times New Roman" w:eastAsia="Times New Roman" w:hAnsi="Times New Roman" w:cs="Times New Roman"/>
          <w:sz w:val="24"/>
          <w:szCs w:val="24"/>
        </w:rPr>
        <w:t xml:space="preserve">(6), 793–796. </w:t>
      </w:r>
      <w:hyperlink r:id="rId6088" w:history="1">
        <w:r w:rsidRPr="00DB4C76">
          <w:rPr>
            <w:rFonts w:ascii="Times New Roman" w:eastAsia="Times New Roman" w:hAnsi="Times New Roman" w:cs="Times New Roman"/>
            <w:color w:val="0000FF"/>
            <w:sz w:val="24"/>
            <w:szCs w:val="24"/>
            <w:u w:val="single"/>
          </w:rPr>
          <w:t>https://doi.org/10.1136/jnnp.74.6.793</w:t>
        </w:r>
      </w:hyperlink>
    </w:p>
    <w:p w14:paraId="31E9EC5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Visser, E. M., Berger, H. J. C., Prins, J. B., Van Schrojenstein Lantman-De Valk, H. M. J., &amp; Teunisse, J. P. (2014). Shifting impairment and aggression in intellectual disability and Autism Spectrum Disorder.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(9), 2137–2147. </w:t>
      </w:r>
      <w:hyperlink r:id="rId6089" w:history="1">
        <w:r w:rsidRPr="00DB4C76">
          <w:rPr>
            <w:rFonts w:ascii="Times New Roman" w:eastAsia="Times New Roman" w:hAnsi="Times New Roman" w:cs="Times New Roman"/>
            <w:color w:val="0000FF"/>
            <w:sz w:val="24"/>
            <w:szCs w:val="24"/>
            <w:u w:val="single"/>
          </w:rPr>
          <w:t>https://doi.org/10.1016/j.ridd.2014.04.021</w:t>
        </w:r>
      </w:hyperlink>
    </w:p>
    <w:p w14:paraId="761CFB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Visser, E. M., Berger, H. J. C., Van Schrojenstein Lantman‐De Valk, H. M. J., Prins, J. B., &amp; Teunisse, J. P. (2015). Cognitive shifting and externalising problem behaviour in intellectual disability and autism spectrum disorder. </w:t>
      </w:r>
      <w:r w:rsidRPr="00DB4C76">
        <w:rPr>
          <w:rFonts w:ascii="Times New Roman" w:eastAsia="Times New Roman" w:hAnsi="Times New Roman" w:cs="Times New Roman"/>
          <w:i/>
          <w:iCs/>
          <w:sz w:val="24"/>
          <w:szCs w:val="24"/>
        </w:rPr>
        <w:t>Journal of Intellectual Disability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(8), 755–766.</w:t>
      </w:r>
    </w:p>
    <w:p w14:paraId="50ED4B0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Vissers, M. E., Cohen, M. X., &amp; Geurts, H. M. (2012). Brain connectivity and high functioning autism: A promising path of research that needs refined models, methodological convergence, and stronger behavioral links.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(1), 604–625. </w:t>
      </w:r>
      <w:hyperlink r:id="rId6090" w:history="1">
        <w:r w:rsidRPr="00DB4C76">
          <w:rPr>
            <w:rFonts w:ascii="Times New Roman" w:eastAsia="Times New Roman" w:hAnsi="Times New Roman" w:cs="Times New Roman"/>
            <w:color w:val="0000FF"/>
            <w:sz w:val="24"/>
            <w:szCs w:val="24"/>
            <w:u w:val="single"/>
          </w:rPr>
          <w:t>https://doi.org/10.1016/j.neubiorev.2011.09.003</w:t>
        </w:r>
      </w:hyperlink>
    </w:p>
    <w:p w14:paraId="3A63AC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Viswanath, B., Reddy, Y. C. J., Kumar, K. J., Kandavel, T., &amp; Chandrashekar, C. R. (2009). Cognitive endophenotypes in OCD: A study of unaffected siblings of probands with familial OCD.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(4), 610–615. </w:t>
      </w:r>
      <w:hyperlink r:id="rId6091" w:history="1">
        <w:r w:rsidRPr="00DB4C76">
          <w:rPr>
            <w:rFonts w:ascii="Times New Roman" w:eastAsia="Times New Roman" w:hAnsi="Times New Roman" w:cs="Times New Roman"/>
            <w:color w:val="0000FF"/>
            <w:sz w:val="24"/>
            <w:szCs w:val="24"/>
            <w:u w:val="single"/>
          </w:rPr>
          <w:t>https://doi.org/10.1016/j.pnpbp.2009.02.018</w:t>
        </w:r>
      </w:hyperlink>
    </w:p>
    <w:p w14:paraId="1CECC2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Vita, A., De Peri, L., Barlati, S., Cacciani, P., Cisima, M., Deste, G., Cesana, B. M., &amp; Sacchetti, E. (2011). Psychopathologic, neuropsychological and functional outcome measures during cognitive rehabilitation in schizophrenia: A prospective controlled study in a real-world setting.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(5), 276–283. </w:t>
      </w:r>
      <w:hyperlink r:id="rId6092" w:history="1">
        <w:r w:rsidRPr="00DB4C76">
          <w:rPr>
            <w:rFonts w:ascii="Times New Roman" w:eastAsia="Times New Roman" w:hAnsi="Times New Roman" w:cs="Times New Roman"/>
            <w:color w:val="0000FF"/>
            <w:sz w:val="24"/>
            <w:szCs w:val="24"/>
            <w:u w:val="single"/>
          </w:rPr>
          <w:t>https://doi.org/10.1016/j.eurpsy.2010.03.008</w:t>
        </w:r>
      </w:hyperlink>
    </w:p>
    <w:p w14:paraId="41E420A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Vita, A., De Peri, L., Barlati, S., Cacciani, P., Deste, G., Poli, R., Agrimi, E., Cesana, B. M., &amp; Sacchetti, E. (2011). Effectiveness of different modalities of cognitive remediation on symptomatological, neuropsychological, and functional outcome domains in schizophrenia: A prospective study in a real-world setting.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133</w:t>
      </w:r>
      <w:r w:rsidRPr="00DB4C76">
        <w:rPr>
          <w:rFonts w:ascii="Times New Roman" w:eastAsia="Times New Roman" w:hAnsi="Times New Roman" w:cs="Times New Roman"/>
          <w:sz w:val="24"/>
          <w:szCs w:val="24"/>
        </w:rPr>
        <w:t xml:space="preserve">(1–3), 223–231. </w:t>
      </w:r>
      <w:hyperlink r:id="rId6093" w:history="1">
        <w:r w:rsidRPr="00DB4C76">
          <w:rPr>
            <w:rFonts w:ascii="Times New Roman" w:eastAsia="Times New Roman" w:hAnsi="Times New Roman" w:cs="Times New Roman"/>
            <w:color w:val="0000FF"/>
            <w:sz w:val="24"/>
            <w:szCs w:val="24"/>
            <w:u w:val="single"/>
          </w:rPr>
          <w:t>https://doi.org/10.1016/j.schres.2011.08.010</w:t>
        </w:r>
      </w:hyperlink>
    </w:p>
    <w:p w14:paraId="67C4C07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Vita, A., Deste, G., De Peri, L., Barlati, S., Poli, R., Cesana, B. M., &amp; Sacchetti, E. (2013). Predictors of cognitive and functional improvement and normalization after cognitive remediation in patients with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150</w:t>
      </w:r>
      <w:r w:rsidRPr="00DB4C76">
        <w:rPr>
          <w:rFonts w:ascii="Times New Roman" w:eastAsia="Times New Roman" w:hAnsi="Times New Roman" w:cs="Times New Roman"/>
          <w:sz w:val="24"/>
          <w:szCs w:val="24"/>
        </w:rPr>
        <w:t xml:space="preserve">(1), 51–57. </w:t>
      </w:r>
      <w:hyperlink r:id="rId6094" w:history="1">
        <w:r w:rsidRPr="00DB4C76">
          <w:rPr>
            <w:rFonts w:ascii="Times New Roman" w:eastAsia="Times New Roman" w:hAnsi="Times New Roman" w:cs="Times New Roman"/>
            <w:color w:val="0000FF"/>
            <w:sz w:val="24"/>
            <w:szCs w:val="24"/>
            <w:u w:val="single"/>
          </w:rPr>
          <w:t>https://doi.org/10.1016/j.schres.2013.08.011</w:t>
        </w:r>
      </w:hyperlink>
    </w:p>
    <w:p w14:paraId="0218785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Vitek, J. L., Bakay, R. A. E., Freeman, A., Evatt, M., Green, J., McDonald, W., Haber, M., Barnhart, H., Wahlay, N., Triche, S., Mewes, K., Chockkan, V., Zhang, J.-Y., &amp; DeLong, M. R. (2003). Randomized Trial of Pallidotomy versus Medical Therapy for Parkinson’s Disease. </w:t>
      </w:r>
      <w:r w:rsidRPr="00DB4C76">
        <w:rPr>
          <w:rFonts w:ascii="Times New Roman" w:eastAsia="Times New Roman" w:hAnsi="Times New Roman" w:cs="Times New Roman"/>
          <w:i/>
          <w:iCs/>
          <w:sz w:val="24"/>
          <w:szCs w:val="24"/>
        </w:rPr>
        <w:t>Annals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(5), 558–569. </w:t>
      </w:r>
      <w:hyperlink r:id="rId6095" w:history="1">
        <w:r w:rsidRPr="00DB4C76">
          <w:rPr>
            <w:rFonts w:ascii="Times New Roman" w:eastAsia="Times New Roman" w:hAnsi="Times New Roman" w:cs="Times New Roman"/>
            <w:color w:val="0000FF"/>
            <w:sz w:val="24"/>
            <w:szCs w:val="24"/>
            <w:u w:val="single"/>
          </w:rPr>
          <w:t>https://doi.org/10.1002/ana.10517</w:t>
        </w:r>
      </w:hyperlink>
    </w:p>
    <w:p w14:paraId="7FCE47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Viterbori, P., Traverso, L., &amp; Usai, M. C. (2017). The role of executive function in arithmetic problem-solving processes: A study of third graders. </w:t>
      </w:r>
      <w:r w:rsidRPr="00DB4C76">
        <w:rPr>
          <w:rFonts w:ascii="Times New Roman" w:eastAsia="Times New Roman" w:hAnsi="Times New Roman" w:cs="Times New Roman"/>
          <w:i/>
          <w:iCs/>
          <w:sz w:val="24"/>
          <w:szCs w:val="24"/>
        </w:rPr>
        <w:t>Journal of Cognition and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595–616. </w:t>
      </w:r>
      <w:hyperlink r:id="rId6096" w:history="1">
        <w:r w:rsidRPr="00DB4C76">
          <w:rPr>
            <w:rFonts w:ascii="Times New Roman" w:eastAsia="Times New Roman" w:hAnsi="Times New Roman" w:cs="Times New Roman"/>
            <w:color w:val="0000FF"/>
            <w:sz w:val="24"/>
            <w:szCs w:val="24"/>
            <w:u w:val="single"/>
          </w:rPr>
          <w:t>https://doi.org/10.1080/15248372.2017.1392307</w:t>
        </w:r>
      </w:hyperlink>
    </w:p>
    <w:p w14:paraId="278D567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Vitoria Estruch, S., Romero Martínez, Á., Ruiz Robledillo, N., Sariñana González, P., Lila Murillo, M., &amp; Moya Albiol, L. (2017). The role of mental rigidity and alcohol consumption interaction on intimate partner violence: A Spanish study. </w:t>
      </w:r>
      <w:r w:rsidRPr="00DB4C76">
        <w:rPr>
          <w:rFonts w:ascii="Times New Roman" w:eastAsia="Times New Roman" w:hAnsi="Times New Roman" w:cs="Times New Roman"/>
          <w:i/>
          <w:iCs/>
          <w:sz w:val="24"/>
          <w:szCs w:val="24"/>
        </w:rPr>
        <w:t>Journal of Aggression, Maltreatment &amp; Trauma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(6), 664–675. </w:t>
      </w:r>
      <w:hyperlink r:id="rId6097" w:history="1">
        <w:r w:rsidRPr="00DB4C76">
          <w:rPr>
            <w:rFonts w:ascii="Times New Roman" w:eastAsia="Times New Roman" w:hAnsi="Times New Roman" w:cs="Times New Roman"/>
            <w:color w:val="0000FF"/>
            <w:sz w:val="24"/>
            <w:szCs w:val="24"/>
            <w:u w:val="single"/>
          </w:rPr>
          <w:t>https://doi.org/10.1080/10926771.2017.1300619</w:t>
        </w:r>
      </w:hyperlink>
    </w:p>
    <w:p w14:paraId="743A67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Vitoria-Estruch, S., Romero-Martínez, A., Lila, M., &amp; Moya-Albiol, L. (2018). Differential cognitive profiles of intimate partner violence perpetrators based on alcohol consumption. </w:t>
      </w:r>
      <w:r w:rsidRPr="00DB4C76">
        <w:rPr>
          <w:rFonts w:ascii="Times New Roman" w:eastAsia="Times New Roman" w:hAnsi="Times New Roman" w:cs="Times New Roman"/>
          <w:i/>
          <w:iCs/>
          <w:sz w:val="24"/>
          <w:szCs w:val="24"/>
        </w:rPr>
        <w:t>Alcohol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70</w:t>
      </w:r>
      <w:r w:rsidRPr="00DB4C76">
        <w:rPr>
          <w:rFonts w:ascii="Times New Roman" w:eastAsia="Times New Roman" w:hAnsi="Times New Roman" w:cs="Times New Roman"/>
          <w:sz w:val="24"/>
          <w:szCs w:val="24"/>
        </w:rPr>
        <w:t xml:space="preserve">, 61–71. </w:t>
      </w:r>
      <w:hyperlink r:id="rId6098" w:history="1">
        <w:r w:rsidRPr="00DB4C76">
          <w:rPr>
            <w:rFonts w:ascii="Times New Roman" w:eastAsia="Times New Roman" w:hAnsi="Times New Roman" w:cs="Times New Roman"/>
            <w:color w:val="0000FF"/>
            <w:sz w:val="24"/>
            <w:szCs w:val="24"/>
            <w:u w:val="single"/>
          </w:rPr>
          <w:t>https://doi.org/10.1016/j.alcohol.2018.01.006</w:t>
        </w:r>
      </w:hyperlink>
    </w:p>
    <w:p w14:paraId="7F9204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Voelbel, G. T., Bates, M. E., Buckman, J. F., Pandina, G., &amp; Hendren, R. L. (2006). Caudate Nucleus Volume and Cognitive Performance: Are They Related in Childhood Psychopathology?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(9), 942–950. </w:t>
      </w:r>
      <w:hyperlink r:id="rId6099" w:history="1">
        <w:r w:rsidRPr="00DB4C76">
          <w:rPr>
            <w:rFonts w:ascii="Times New Roman" w:eastAsia="Times New Roman" w:hAnsi="Times New Roman" w:cs="Times New Roman"/>
            <w:color w:val="0000FF"/>
            <w:sz w:val="24"/>
            <w:szCs w:val="24"/>
            <w:u w:val="single"/>
          </w:rPr>
          <w:t>https://doi.org/10.1016/j.biopsych.2006.03.071</w:t>
        </w:r>
      </w:hyperlink>
    </w:p>
    <w:p w14:paraId="1FC165A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A., Elberling, Tina. V., Hørding, M., Dock, J., Rasmussen, Å. K., Feldt-Rasmussen, U., Perrild, H., &amp; Waldemar, G. (2007). Affective symptoms and cognitive functions in the acute phase of Graves’ thyrotoxicosis. </w:t>
      </w:r>
      <w:r w:rsidRPr="00DB4C76">
        <w:rPr>
          <w:rFonts w:ascii="Times New Roman" w:eastAsia="Times New Roman" w:hAnsi="Times New Roman" w:cs="Times New Roman"/>
          <w:i/>
          <w:iCs/>
          <w:sz w:val="24"/>
          <w:szCs w:val="24"/>
        </w:rPr>
        <w:t>Psychoneuroendocrinology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(1), 36–43. </w:t>
      </w:r>
      <w:hyperlink r:id="rId6100" w:history="1">
        <w:r w:rsidRPr="00DB4C76">
          <w:rPr>
            <w:rFonts w:ascii="Times New Roman" w:eastAsia="Times New Roman" w:hAnsi="Times New Roman" w:cs="Times New Roman"/>
            <w:color w:val="0000FF"/>
            <w:sz w:val="24"/>
            <w:szCs w:val="24"/>
            <w:u w:val="single"/>
          </w:rPr>
          <w:t>https://doi.org/10.1016/j.psyneuen.2006.09.012</w:t>
        </w:r>
      </w:hyperlink>
    </w:p>
    <w:p w14:paraId="596582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A., Hasselbalch, S. G., Gade, A., Ziebell, M., &amp; Waldemar, G. (2005). Cognitive and functional neuroimaging correlates for anosognosia in Mild Cognitive Impairment and Alzheimer’s disease. </w:t>
      </w:r>
      <w:r w:rsidRPr="00DB4C76">
        <w:rPr>
          <w:rFonts w:ascii="Times New Roman" w:eastAsia="Times New Roman" w:hAnsi="Times New Roman" w:cs="Times New Roman"/>
          <w:i/>
          <w:iCs/>
          <w:sz w:val="24"/>
          <w:szCs w:val="24"/>
        </w:rPr>
        <w:t>International Journal of Geriatric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(3), 238–246. </w:t>
      </w:r>
      <w:hyperlink r:id="rId6101" w:history="1">
        <w:r w:rsidRPr="00DB4C76">
          <w:rPr>
            <w:rFonts w:ascii="Times New Roman" w:eastAsia="Times New Roman" w:hAnsi="Times New Roman" w:cs="Times New Roman"/>
            <w:color w:val="0000FF"/>
            <w:sz w:val="24"/>
            <w:szCs w:val="24"/>
            <w:u w:val="single"/>
          </w:rPr>
          <w:t>https://doi.org/10.1002/gps.1272</w:t>
        </w:r>
      </w:hyperlink>
    </w:p>
    <w:p w14:paraId="2641944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A., Stokholm, J., Gade, A., Andersen, B. B., Hejl, A.-M., &amp; Waldemar, G. (2004). Awareness of Deficits in Mild Cognitive Impairment and Alzheimer’s Disease: Do MCI Patients Have Impaired Insight? </w:t>
      </w:r>
      <w:r w:rsidRPr="00DB4C76">
        <w:rPr>
          <w:rFonts w:ascii="Times New Roman" w:eastAsia="Times New Roman" w:hAnsi="Times New Roman" w:cs="Times New Roman"/>
          <w:i/>
          <w:iCs/>
          <w:sz w:val="24"/>
          <w:szCs w:val="24"/>
        </w:rPr>
        <w:t>Dementia and Geriatric Cognitive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(3), 181–187. </w:t>
      </w:r>
      <w:hyperlink r:id="rId6102" w:history="1">
        <w:r w:rsidRPr="00DB4C76">
          <w:rPr>
            <w:rFonts w:ascii="Times New Roman" w:eastAsia="Times New Roman" w:hAnsi="Times New Roman" w:cs="Times New Roman"/>
            <w:color w:val="0000FF"/>
            <w:sz w:val="24"/>
            <w:szCs w:val="24"/>
            <w:u w:val="single"/>
          </w:rPr>
          <w:t>https://doi.org/10.1159/000076354</w:t>
        </w:r>
      </w:hyperlink>
    </w:p>
    <w:p w14:paraId="3CE2644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Vogel, S. J., Strauss, G. P., &amp; Allen, D. N. (2013). Using negative feedback to guide behavior: Impairments on the first 4 cards of the Wisconsin Card Sorting Test predict negative symptoms of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151</w:t>
      </w:r>
      <w:r w:rsidRPr="00DB4C76">
        <w:rPr>
          <w:rFonts w:ascii="Times New Roman" w:eastAsia="Times New Roman" w:hAnsi="Times New Roman" w:cs="Times New Roman"/>
          <w:sz w:val="24"/>
          <w:szCs w:val="24"/>
        </w:rPr>
        <w:t xml:space="preserve">(1–3), 97–101. </w:t>
      </w:r>
      <w:hyperlink r:id="rId6103" w:history="1">
        <w:r w:rsidRPr="00DB4C76">
          <w:rPr>
            <w:rFonts w:ascii="Times New Roman" w:eastAsia="Times New Roman" w:hAnsi="Times New Roman" w:cs="Times New Roman"/>
            <w:color w:val="0000FF"/>
            <w:sz w:val="24"/>
            <w:szCs w:val="24"/>
            <w:u w:val="single"/>
          </w:rPr>
          <w:t>https://doi.org/10.1016/j.schres.2013.07.052</w:t>
        </w:r>
      </w:hyperlink>
    </w:p>
    <w:p w14:paraId="542CB9C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Voglmaier, M. M., Seidman, L. J., Niznikiewicz, M. A., Dickey, C. C., Shenton, M. E., &amp; McCarley, R. W. (2005). A comparative profile analysis of neuropsychological function in men and women with schizotypal personality disorder.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74</w:t>
      </w:r>
      <w:r w:rsidRPr="00DB4C76">
        <w:rPr>
          <w:rFonts w:ascii="Times New Roman" w:eastAsia="Times New Roman" w:hAnsi="Times New Roman" w:cs="Times New Roman"/>
          <w:sz w:val="24"/>
          <w:szCs w:val="24"/>
        </w:rPr>
        <w:t xml:space="preserve">(1), 43–49. </w:t>
      </w:r>
      <w:hyperlink r:id="rId6104" w:history="1">
        <w:r w:rsidRPr="00DB4C76">
          <w:rPr>
            <w:rFonts w:ascii="Times New Roman" w:eastAsia="Times New Roman" w:hAnsi="Times New Roman" w:cs="Times New Roman"/>
            <w:color w:val="0000FF"/>
            <w:sz w:val="24"/>
            <w:szCs w:val="24"/>
            <w:u w:val="single"/>
          </w:rPr>
          <w:t>https://doi.org/10.1016/j.schres.2004.09.013</w:t>
        </w:r>
      </w:hyperlink>
    </w:p>
    <w:p w14:paraId="52DFC88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Vöhringer, P. A., Barroilhet, S. A., Amerio, A., Reale, M. L., Alvear, K., Vergne, D., &amp; Ghaemi, S. N. (2013). Cognitive impairment in bipolar disorder and schizophrenia: A systematic review.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 </w:t>
      </w:r>
      <w:hyperlink r:id="rId6105" w:history="1">
        <w:r w:rsidRPr="00DB4C76">
          <w:rPr>
            <w:rFonts w:ascii="Times New Roman" w:eastAsia="Times New Roman" w:hAnsi="Times New Roman" w:cs="Times New Roman"/>
            <w:color w:val="0000FF"/>
            <w:sz w:val="24"/>
            <w:szCs w:val="24"/>
            <w:u w:val="single"/>
          </w:rPr>
          <w:t>https://doi.org/10.3389/fpsyt.2013.00087</w:t>
        </w:r>
      </w:hyperlink>
    </w:p>
    <w:p w14:paraId="6E1DD1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Vohs, J. L., Lysaker, P. H., Liffick, E., Francis, M. M., Leonhardt, B. L., James, A., Buck, K. D., Hamm, J. A., Minor, K. S., Mehdiyoun, N., &amp; Breier, A. (2015). Metacognitive capacity as a predictor of insight in first-episode psychosis.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203</w:t>
      </w:r>
      <w:r w:rsidRPr="00DB4C76">
        <w:rPr>
          <w:rFonts w:ascii="Times New Roman" w:eastAsia="Times New Roman" w:hAnsi="Times New Roman" w:cs="Times New Roman"/>
          <w:sz w:val="24"/>
          <w:szCs w:val="24"/>
        </w:rPr>
        <w:t xml:space="preserve">(5), 372–378. </w:t>
      </w:r>
      <w:hyperlink r:id="rId6106" w:history="1">
        <w:r w:rsidRPr="00DB4C76">
          <w:rPr>
            <w:rFonts w:ascii="Times New Roman" w:eastAsia="Times New Roman" w:hAnsi="Times New Roman" w:cs="Times New Roman"/>
            <w:color w:val="0000FF"/>
            <w:sz w:val="24"/>
            <w:szCs w:val="24"/>
            <w:u w:val="single"/>
          </w:rPr>
          <w:t>https://doi.org/10.1097/NMD.0000000000000291</w:t>
        </w:r>
      </w:hyperlink>
    </w:p>
    <w:p w14:paraId="08F8BE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Vollema, M. G., &amp; Geurtsen, G. J. (1993). Positieve schizotypie: Over het construct, de schalen en de relatie tot kwetsbaarheidsindicatoren voor schizofrenie. [Positive schizotypy: About the construct, the scales and its relationship to vulnerability indicators for schizophrenia.]. </w:t>
      </w:r>
      <w:r w:rsidRPr="00DB4C76">
        <w:rPr>
          <w:rFonts w:ascii="Times New Roman" w:eastAsia="Times New Roman" w:hAnsi="Times New Roman" w:cs="Times New Roman"/>
          <w:i/>
          <w:iCs/>
          <w:sz w:val="24"/>
          <w:szCs w:val="24"/>
        </w:rPr>
        <w:t>Tijdschrift Voor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(8), 540–549.</w:t>
      </w:r>
    </w:p>
    <w:p w14:paraId="49AE6E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Vollema, M. G., Geurtsen, G. J., &amp; Kuipers, T. (1995). Negatieve symptomen: Een unidimensioneel construct, samenhangend met frontale functiestoornissen. [Negative symptoms: A unidimensional construct related to frontal lobe deficits.]. </w:t>
      </w:r>
      <w:r w:rsidRPr="00DB4C76">
        <w:rPr>
          <w:rFonts w:ascii="Times New Roman" w:eastAsia="Times New Roman" w:hAnsi="Times New Roman" w:cs="Times New Roman"/>
          <w:i/>
          <w:iCs/>
          <w:sz w:val="24"/>
          <w:szCs w:val="24"/>
        </w:rPr>
        <w:t>Tijdschrift Voor Psychiatrie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(8), 615–628.</w:t>
      </w:r>
    </w:p>
    <w:p w14:paraId="43DEB8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Vollema, M. G., Geurtsen, G. J., &amp; van Voorst, A. J. P. (1995). Durable improvements in Wisconsin Card Sorting Test performance in schizophrenic patients.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(3), 209–215. </w:t>
      </w:r>
      <w:hyperlink r:id="rId6107" w:history="1">
        <w:r w:rsidRPr="00DB4C76">
          <w:rPr>
            <w:rFonts w:ascii="Times New Roman" w:eastAsia="Times New Roman" w:hAnsi="Times New Roman" w:cs="Times New Roman"/>
            <w:color w:val="0000FF"/>
            <w:sz w:val="24"/>
            <w:szCs w:val="24"/>
            <w:u w:val="single"/>
          </w:rPr>
          <w:t>https://doi.org/10.1016/0920-9964(94)00079-N</w:t>
        </w:r>
      </w:hyperlink>
    </w:p>
    <w:p w14:paraId="52510A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Volz, H.-P., Gaser, C., Häger, F., Rzanny, R., Mentzel, H.-J., Kreitschmann-Andermahr, I., Alois Kaiser, W., &amp; Sauer, H. (1997). Brain activation during cognitive stimulation with the Wisconsin Card Sorting Test—A functional MRI study on healthy volunteers and schizophrenics.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(3), 145–157. </w:t>
      </w:r>
      <w:hyperlink r:id="rId6108" w:history="1">
        <w:r w:rsidRPr="00DB4C76">
          <w:rPr>
            <w:rFonts w:ascii="Times New Roman" w:eastAsia="Times New Roman" w:hAnsi="Times New Roman" w:cs="Times New Roman"/>
            <w:color w:val="0000FF"/>
            <w:sz w:val="24"/>
            <w:szCs w:val="24"/>
            <w:u w:val="single"/>
          </w:rPr>
          <w:t>https://doi.org/10.1016/S0925-4927(97)00053-X</w:t>
        </w:r>
      </w:hyperlink>
    </w:p>
    <w:p w14:paraId="09FBC21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von Bastian, C. C., &amp; Druey, M. D. (2017). Shifting between mental sets: An individual differences approach to commonalities and differences of task switching components. </w:t>
      </w:r>
      <w:r w:rsidRPr="00DB4C76">
        <w:rPr>
          <w:rFonts w:ascii="Times New Roman" w:eastAsia="Times New Roman" w:hAnsi="Times New Roman" w:cs="Times New Roman"/>
          <w:i/>
          <w:iCs/>
          <w:sz w:val="24"/>
          <w:szCs w:val="24"/>
        </w:rPr>
        <w:t>Journal of Experimental Psychology: General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146</w:t>
      </w:r>
      <w:r w:rsidRPr="00DB4C76">
        <w:rPr>
          <w:rFonts w:ascii="Times New Roman" w:eastAsia="Times New Roman" w:hAnsi="Times New Roman" w:cs="Times New Roman"/>
          <w:sz w:val="24"/>
          <w:szCs w:val="24"/>
        </w:rPr>
        <w:t xml:space="preserve">(9), 1266–1285. </w:t>
      </w:r>
      <w:hyperlink r:id="rId6109" w:history="1">
        <w:r w:rsidRPr="00DB4C76">
          <w:rPr>
            <w:rFonts w:ascii="Times New Roman" w:eastAsia="Times New Roman" w:hAnsi="Times New Roman" w:cs="Times New Roman"/>
            <w:color w:val="0000FF"/>
            <w:sz w:val="24"/>
            <w:szCs w:val="24"/>
            <w:u w:val="single"/>
          </w:rPr>
          <w:t>https://doi.org/10.1037/xge0000333</w:t>
        </w:r>
      </w:hyperlink>
    </w:p>
    <w:p w14:paraId="1A526B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von Geusau, N. A., Stalenhoef, P., Huizinga, M., Snel, J., &amp; Ridderinkhof, K. R. (2004). Impaired executive function in male MDMA (“ecstasy”) users. </w:t>
      </w:r>
      <w:r w:rsidRPr="00DB4C76">
        <w:rPr>
          <w:rFonts w:ascii="Times New Roman" w:eastAsia="Times New Roman" w:hAnsi="Times New Roman" w:cs="Times New Roman"/>
          <w:i/>
          <w:iCs/>
          <w:sz w:val="24"/>
          <w:szCs w:val="24"/>
        </w:rPr>
        <w:t>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175</w:t>
      </w:r>
      <w:r w:rsidRPr="00DB4C76">
        <w:rPr>
          <w:rFonts w:ascii="Times New Roman" w:eastAsia="Times New Roman" w:hAnsi="Times New Roman" w:cs="Times New Roman"/>
          <w:sz w:val="24"/>
          <w:szCs w:val="24"/>
        </w:rPr>
        <w:t xml:space="preserve">(3), 331–341. </w:t>
      </w:r>
      <w:hyperlink r:id="rId6110" w:history="1">
        <w:r w:rsidRPr="00DB4C76">
          <w:rPr>
            <w:rFonts w:ascii="Times New Roman" w:eastAsia="Times New Roman" w:hAnsi="Times New Roman" w:cs="Times New Roman"/>
            <w:color w:val="0000FF"/>
            <w:sz w:val="24"/>
            <w:szCs w:val="24"/>
            <w:u w:val="single"/>
          </w:rPr>
          <w:t>https://doi.org/10.1007/s00213-004-1832-8</w:t>
        </w:r>
      </w:hyperlink>
    </w:p>
    <w:p w14:paraId="66FDE00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Vorspan, F., Bertoux, M., Brichant-Petitjean, C., Dubois, B., &amp; Lépine, J.-P. (2012). Relapsing-remitting behavioural variant of frontotemporal dementia in a bipolar patient. </w:t>
      </w:r>
      <w:r w:rsidRPr="00DB4C76">
        <w:rPr>
          <w:rFonts w:ascii="Times New Roman" w:eastAsia="Times New Roman" w:hAnsi="Times New Roman" w:cs="Times New Roman"/>
          <w:i/>
          <w:iCs/>
          <w:sz w:val="24"/>
          <w:szCs w:val="24"/>
        </w:rPr>
        <w:t>Functional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(3), 193–196.</w:t>
      </w:r>
    </w:p>
    <w:p w14:paraId="3488368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Voruganti, L. P., Awad, A. G., Parker, G., Forrest, C., Usmani, Y., Fernando, M. L. D., &amp; Senthilal, S. (2007). Cognition, functioning and quality of life in schizophrenia treatment: Results of a one-year randomized controlled trial of olanzapine and quetiapine.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96</w:t>
      </w:r>
      <w:r w:rsidRPr="00DB4C76">
        <w:rPr>
          <w:rFonts w:ascii="Times New Roman" w:eastAsia="Times New Roman" w:hAnsi="Times New Roman" w:cs="Times New Roman"/>
          <w:sz w:val="24"/>
          <w:szCs w:val="24"/>
        </w:rPr>
        <w:t xml:space="preserve">(1–3), 146–155. </w:t>
      </w:r>
      <w:hyperlink r:id="rId6111" w:history="1">
        <w:r w:rsidRPr="00DB4C76">
          <w:rPr>
            <w:rFonts w:ascii="Times New Roman" w:eastAsia="Times New Roman" w:hAnsi="Times New Roman" w:cs="Times New Roman"/>
            <w:color w:val="0000FF"/>
            <w:sz w:val="24"/>
            <w:szCs w:val="24"/>
            <w:u w:val="single"/>
          </w:rPr>
          <w:t>https://doi.org/10.1016/j.schres.2007.08.002</w:t>
        </w:r>
      </w:hyperlink>
    </w:p>
    <w:p w14:paraId="689F8A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Voruz, P., Le Jeune, F., Haegelen, C., N’Diaye, K., Houvenaghel, J.-F., Sauleau, P., Drapier, S., Drapier, D., Grandjean, D., Vérin, M., &amp; Péron, J. (2020). Motor symptom asymmetry in Parkinson’s disease predicts emotional outcome following subthalamic nucleus deep brain stimulation.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144</w:t>
      </w:r>
      <w:r w:rsidRPr="00DB4C76">
        <w:rPr>
          <w:rFonts w:ascii="Times New Roman" w:eastAsia="Times New Roman" w:hAnsi="Times New Roman" w:cs="Times New Roman"/>
          <w:sz w:val="24"/>
          <w:szCs w:val="24"/>
        </w:rPr>
        <w:t xml:space="preserve">. </w:t>
      </w:r>
      <w:hyperlink r:id="rId6112" w:history="1">
        <w:r w:rsidRPr="00DB4C76">
          <w:rPr>
            <w:rFonts w:ascii="Times New Roman" w:eastAsia="Times New Roman" w:hAnsi="Times New Roman" w:cs="Times New Roman"/>
            <w:color w:val="0000FF"/>
            <w:sz w:val="24"/>
            <w:szCs w:val="24"/>
            <w:u w:val="single"/>
          </w:rPr>
          <w:t>https://doi.org/10.1016/j.neuropsychologia.2020.107494</w:t>
        </w:r>
      </w:hyperlink>
    </w:p>
    <w:p w14:paraId="4B98790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Voss, M. W., Erickson, K. I., Prakash, R. S., Chaddock, L., Malkowski, E., Alves, H., Kim, J. S., Morris, K. S., White, S. M., Wójcicki, T. R., Hu, L., Szabo, A., Klamm, E., McAuley, E., &amp; Kramer, A. F. (2010). Functional connectivity: A source of variance in the association between cardiorespiratory fitness and cognition?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(5), 1394–1406. </w:t>
      </w:r>
      <w:hyperlink r:id="rId6113" w:history="1">
        <w:r w:rsidRPr="00DB4C76">
          <w:rPr>
            <w:rFonts w:ascii="Times New Roman" w:eastAsia="Times New Roman" w:hAnsi="Times New Roman" w:cs="Times New Roman"/>
            <w:color w:val="0000FF"/>
            <w:sz w:val="24"/>
            <w:szCs w:val="24"/>
            <w:u w:val="single"/>
          </w:rPr>
          <w:t>https://doi.org/10.1016/j.neuropsychologia.2010.01.005</w:t>
        </w:r>
      </w:hyperlink>
    </w:p>
    <w:p w14:paraId="3366C0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Voss, M. W., Heo, S., Prakash, R. S., Erickson, K. I., Alves, H., Chaddock, L., Szabo, A. N., Mailey, E. L., Wójcicki, T. R., White, S. M., Gothe, N., McAuley, E., Sutton, B. P., &amp; Kramer, A. F. (2013). The influence of aerobic fitness on cerebral white matter integrity and cognitive function in older adults: Results of a one‐year exercise intervention.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(11), 2972–2985. </w:t>
      </w:r>
      <w:hyperlink r:id="rId6114" w:history="1">
        <w:r w:rsidRPr="00DB4C76">
          <w:rPr>
            <w:rFonts w:ascii="Times New Roman" w:eastAsia="Times New Roman" w:hAnsi="Times New Roman" w:cs="Times New Roman"/>
            <w:color w:val="0000FF"/>
            <w:sz w:val="24"/>
            <w:szCs w:val="24"/>
            <w:u w:val="single"/>
          </w:rPr>
          <w:t>https://doi.org/10.1002/hbm.22119</w:t>
        </w:r>
      </w:hyperlink>
    </w:p>
    <w:p w14:paraId="07F4D8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Vost, K. G. (1998). </w:t>
      </w:r>
      <w:r w:rsidRPr="00DB4C76">
        <w:rPr>
          <w:rFonts w:ascii="Times New Roman" w:eastAsia="Times New Roman" w:hAnsi="Times New Roman" w:cs="Times New Roman"/>
          <w:i/>
          <w:iCs/>
          <w:sz w:val="24"/>
          <w:szCs w:val="24"/>
        </w:rPr>
        <w:t>Executive functioning in early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(8-B), 4477–4477.</w:t>
      </w:r>
    </w:p>
    <w:p w14:paraId="5721AD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Votruba, K. L., &amp; Langenecker, S. A. (2013). Factor structure, construct validity, and age- and education-based normative data for the Parametric Go/No-Go Test.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(2), 132–146. </w:t>
      </w:r>
      <w:hyperlink r:id="rId6115" w:history="1">
        <w:r w:rsidRPr="00DB4C76">
          <w:rPr>
            <w:rFonts w:ascii="Times New Roman" w:eastAsia="Times New Roman" w:hAnsi="Times New Roman" w:cs="Times New Roman"/>
            <w:color w:val="0000FF"/>
            <w:sz w:val="24"/>
            <w:szCs w:val="24"/>
            <w:u w:val="single"/>
          </w:rPr>
          <w:t>https://doi.org/10.1080/13803395.2012.758239</w:t>
        </w:r>
      </w:hyperlink>
    </w:p>
    <w:p w14:paraId="420C67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Votruba, K. L., Persad, C., &amp; Giordani, B. (2016). Cognitive deficits in healthy elderly population with “normal” scores on the Mini-Mental State Examination. </w:t>
      </w:r>
      <w:r w:rsidRPr="00DB4C76">
        <w:rPr>
          <w:rFonts w:ascii="Times New Roman" w:eastAsia="Times New Roman" w:hAnsi="Times New Roman" w:cs="Times New Roman"/>
          <w:i/>
          <w:iCs/>
          <w:sz w:val="24"/>
          <w:szCs w:val="24"/>
        </w:rPr>
        <w:t>Journal of Geriatric Psychiatry and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(3), 126–132. </w:t>
      </w:r>
      <w:hyperlink r:id="rId6116" w:history="1">
        <w:r w:rsidRPr="00DB4C76">
          <w:rPr>
            <w:rFonts w:ascii="Times New Roman" w:eastAsia="Times New Roman" w:hAnsi="Times New Roman" w:cs="Times New Roman"/>
            <w:color w:val="0000FF"/>
            <w:sz w:val="24"/>
            <w:szCs w:val="24"/>
            <w:u w:val="single"/>
          </w:rPr>
          <w:t>https://doi.org/10.1177/0891988716629858</w:t>
        </w:r>
      </w:hyperlink>
    </w:p>
    <w:p w14:paraId="70DAFD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Vriezen, E. R., &amp; Pigott, S. E. (2002). The relationship between parental report on the BRIEF and performance-based measures of executive function in children with moderate to severe traumatic brain injury. </w:t>
      </w:r>
      <w:r w:rsidRPr="00DB4C76">
        <w:rPr>
          <w:rFonts w:ascii="Times New Roman" w:eastAsia="Times New Roman" w:hAnsi="Times New Roman" w:cs="Times New Roman"/>
          <w:i/>
          <w:iCs/>
          <w:sz w:val="24"/>
          <w:szCs w:val="24"/>
        </w:rPr>
        <w:t>Child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(4), 296–303. </w:t>
      </w:r>
      <w:hyperlink r:id="rId6117" w:history="1">
        <w:r w:rsidRPr="00DB4C76">
          <w:rPr>
            <w:rFonts w:ascii="Times New Roman" w:eastAsia="Times New Roman" w:hAnsi="Times New Roman" w:cs="Times New Roman"/>
            <w:color w:val="0000FF"/>
            <w:sz w:val="24"/>
            <w:szCs w:val="24"/>
            <w:u w:val="single"/>
          </w:rPr>
          <w:t>https://doi.org/10.1076/chin.8.4.296.13505</w:t>
        </w:r>
      </w:hyperlink>
    </w:p>
    <w:p w14:paraId="1C456A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Vukov, M., &amp; Mijalković, S. (1993). Adaptability and conceptual abilities in drug addict families. </w:t>
      </w:r>
      <w:r w:rsidRPr="00DB4C76">
        <w:rPr>
          <w:rFonts w:ascii="Times New Roman" w:eastAsia="Times New Roman" w:hAnsi="Times New Roman" w:cs="Times New Roman"/>
          <w:i/>
          <w:iCs/>
          <w:sz w:val="24"/>
          <w:szCs w:val="24"/>
        </w:rPr>
        <w:t>Psihijatrija Danas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(3–4), 155–172.</w:t>
      </w:r>
    </w:p>
    <w:p w14:paraId="2E238D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Vyas, N. S., Buchsbaum, M. S., Lehrer, D. S., Merrill, B. M., DeCastro, A., Doninger, N. A., Christian, B. T., &amp; Mukherjee, J. (2018). D2/d3 dopamine receptor binding with [F-18]fallypride correlates of executive function in medication-naïve patients with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192</w:t>
      </w:r>
      <w:r w:rsidRPr="00DB4C76">
        <w:rPr>
          <w:rFonts w:ascii="Times New Roman" w:eastAsia="Times New Roman" w:hAnsi="Times New Roman" w:cs="Times New Roman"/>
          <w:sz w:val="24"/>
          <w:szCs w:val="24"/>
        </w:rPr>
        <w:t xml:space="preserve">, 442–456. </w:t>
      </w:r>
      <w:hyperlink r:id="rId6118" w:history="1">
        <w:r w:rsidRPr="00DB4C76">
          <w:rPr>
            <w:rFonts w:ascii="Times New Roman" w:eastAsia="Times New Roman" w:hAnsi="Times New Roman" w:cs="Times New Roman"/>
            <w:color w:val="0000FF"/>
            <w:sz w:val="24"/>
            <w:szCs w:val="24"/>
            <w:u w:val="single"/>
          </w:rPr>
          <w:t>https://doi.org/10.1016/j.schres.2017.05.017</w:t>
        </w:r>
      </w:hyperlink>
    </w:p>
    <w:p w14:paraId="250459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Vyas, N. S., Patel, N. H., Nijran, K. S., Al-Nahhas, A., &amp; Puri, B. K. (2011). The use of PET imaging in studying cognition, genetics and pharmacotherapeutic interventions in schizophrenia. </w:t>
      </w:r>
      <w:r w:rsidRPr="00DB4C76">
        <w:rPr>
          <w:rFonts w:ascii="Times New Roman" w:eastAsia="Times New Roman" w:hAnsi="Times New Roman" w:cs="Times New Roman"/>
          <w:i/>
          <w:iCs/>
          <w:sz w:val="24"/>
          <w:szCs w:val="24"/>
        </w:rPr>
        <w:t>Expert Review of Neurotherapeutics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(1), 37–51. </w:t>
      </w:r>
      <w:hyperlink r:id="rId6119" w:history="1">
        <w:r w:rsidRPr="00DB4C76">
          <w:rPr>
            <w:rFonts w:ascii="Times New Roman" w:eastAsia="Times New Roman" w:hAnsi="Times New Roman" w:cs="Times New Roman"/>
            <w:color w:val="0000FF"/>
            <w:sz w:val="24"/>
            <w:szCs w:val="24"/>
            <w:u w:val="single"/>
          </w:rPr>
          <w:t>https://doi.org/10.1586/ern.10.160</w:t>
        </w:r>
      </w:hyperlink>
    </w:p>
    <w:p w14:paraId="32EE38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Waber, D. P., Bryce, C. P., Fitzmaurice, G. M., Zichlin, M. L., McGaughy, J., Girard, J. M., &amp; Galler, J. R. (2014). Neuropsychological Outcomes at Midlife Following Moderate to Severe Malnutrition in Infancy.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(4), 530–540. </w:t>
      </w:r>
      <w:hyperlink r:id="rId6120" w:history="1">
        <w:r w:rsidRPr="00DB4C76">
          <w:rPr>
            <w:rFonts w:ascii="Times New Roman" w:eastAsia="Times New Roman" w:hAnsi="Times New Roman" w:cs="Times New Roman"/>
            <w:color w:val="0000FF"/>
            <w:sz w:val="24"/>
            <w:szCs w:val="24"/>
            <w:u w:val="single"/>
          </w:rPr>
          <w:t>https://doi.org/10.1037/neu0000058</w:t>
        </w:r>
      </w:hyperlink>
    </w:p>
    <w:p w14:paraId="77ECBD0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Waddington, J. L., O’Callaghan, E., Buckley, P., Madigan, C., Redmond, O., Stack, J. P., Kinsella, A., Larkin, C., &amp; Ennis, J. T. (1995). Tardive dyskinesia in schizophrenia: Relationship to minor physical anomalies, frontal lobe dysfunction and cerebral structure on magnetic resonance imaging. </w:t>
      </w:r>
      <w:r w:rsidRPr="00DB4C76">
        <w:rPr>
          <w:rFonts w:ascii="Times New Roman" w:eastAsia="Times New Roman" w:hAnsi="Times New Roman" w:cs="Times New Roman"/>
          <w:i/>
          <w:iCs/>
          <w:sz w:val="24"/>
          <w:szCs w:val="24"/>
        </w:rPr>
        <w:t>The British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167</w:t>
      </w:r>
      <w:r w:rsidRPr="00DB4C76">
        <w:rPr>
          <w:rFonts w:ascii="Times New Roman" w:eastAsia="Times New Roman" w:hAnsi="Times New Roman" w:cs="Times New Roman"/>
          <w:sz w:val="24"/>
          <w:szCs w:val="24"/>
        </w:rPr>
        <w:t xml:space="preserve">(1), 41–44. </w:t>
      </w:r>
      <w:hyperlink r:id="rId6121" w:history="1">
        <w:r w:rsidRPr="00DB4C76">
          <w:rPr>
            <w:rFonts w:ascii="Times New Roman" w:eastAsia="Times New Roman" w:hAnsi="Times New Roman" w:cs="Times New Roman"/>
            <w:color w:val="0000FF"/>
            <w:sz w:val="24"/>
            <w:szCs w:val="24"/>
            <w:u w:val="single"/>
          </w:rPr>
          <w:t>https://doi.org/10.1192/bjp.167.1.41</w:t>
        </w:r>
      </w:hyperlink>
    </w:p>
    <w:p w14:paraId="501DA5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Waford, R. N., &amp; Lewine, R. (2010). Is perseveration uniquely characteristic of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118</w:t>
      </w:r>
      <w:r w:rsidRPr="00DB4C76">
        <w:rPr>
          <w:rFonts w:ascii="Times New Roman" w:eastAsia="Times New Roman" w:hAnsi="Times New Roman" w:cs="Times New Roman"/>
          <w:sz w:val="24"/>
          <w:szCs w:val="24"/>
        </w:rPr>
        <w:t xml:space="preserve">(1–3), 128–133. </w:t>
      </w:r>
      <w:hyperlink r:id="rId6122" w:history="1">
        <w:r w:rsidRPr="00DB4C76">
          <w:rPr>
            <w:rFonts w:ascii="Times New Roman" w:eastAsia="Times New Roman" w:hAnsi="Times New Roman" w:cs="Times New Roman"/>
            <w:color w:val="0000FF"/>
            <w:sz w:val="24"/>
            <w:szCs w:val="24"/>
            <w:u w:val="single"/>
          </w:rPr>
          <w:t>https://doi.org/10.1016/j.schres.2010.01.031</w:t>
        </w:r>
      </w:hyperlink>
    </w:p>
    <w:p w14:paraId="1C5814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A. K., Brett, C. A., McCullough, E. H., Niyonkuru, C., Loucks, T. L., Dixon, C. E., Ricker, J., Arenth, P., &amp; Berga, S. L. (2012). Persistent hypogonadism influences estradiol synthesis, cognition and outcome in males after severe TBI.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(10), 1226–1242. </w:t>
      </w:r>
      <w:hyperlink r:id="rId6123" w:history="1">
        <w:r w:rsidRPr="00DB4C76">
          <w:rPr>
            <w:rFonts w:ascii="Times New Roman" w:eastAsia="Times New Roman" w:hAnsi="Times New Roman" w:cs="Times New Roman"/>
            <w:color w:val="0000FF"/>
            <w:sz w:val="24"/>
            <w:szCs w:val="24"/>
            <w:u w:val="single"/>
          </w:rPr>
          <w:t>https://doi.org/10.3109/02699052.2012.667594</w:t>
        </w:r>
      </w:hyperlink>
    </w:p>
    <w:p w14:paraId="7A231D4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E. F., Hospital, M. M., Sobell, M. B., &amp; Sobell, L. C. (2014). Substance-related disorders: Alcohol. In </w:t>
      </w:r>
      <w:r w:rsidRPr="00DB4C76">
        <w:rPr>
          <w:rFonts w:ascii="Times New Roman" w:eastAsia="Times New Roman" w:hAnsi="Times New Roman" w:cs="Times New Roman"/>
          <w:i/>
          <w:iCs/>
          <w:sz w:val="24"/>
          <w:szCs w:val="24"/>
        </w:rPr>
        <w:t>Adult psychopathology and diagnosis, 7th ed.</w:t>
      </w:r>
      <w:r w:rsidRPr="00DB4C76">
        <w:rPr>
          <w:rFonts w:ascii="Times New Roman" w:eastAsia="Times New Roman" w:hAnsi="Times New Roman" w:cs="Times New Roman"/>
          <w:sz w:val="24"/>
          <w:szCs w:val="24"/>
        </w:rPr>
        <w:t xml:space="preserve"> (pp. 641–672). John Wiley &amp; Sons Inc.</w:t>
      </w:r>
    </w:p>
    <w:p w14:paraId="3026B24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G. P., MacPherson, S. E., Parente, M. A. M. P., &amp; Trentini, C. M. (2011). Cognitive estimation abilities in healthy and clinical populations: The use of the Cognitive Estimation Test. </w:t>
      </w:r>
      <w:r w:rsidRPr="00DB4C76">
        <w:rPr>
          <w:rFonts w:ascii="Times New Roman" w:eastAsia="Times New Roman" w:hAnsi="Times New Roman" w:cs="Times New Roman"/>
          <w:i/>
          <w:iCs/>
          <w:sz w:val="24"/>
          <w:szCs w:val="24"/>
        </w:rPr>
        <w:t>Neurological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(2), 203–210. </w:t>
      </w:r>
      <w:hyperlink r:id="rId6124" w:history="1">
        <w:r w:rsidRPr="00DB4C76">
          <w:rPr>
            <w:rFonts w:ascii="Times New Roman" w:eastAsia="Times New Roman" w:hAnsi="Times New Roman" w:cs="Times New Roman"/>
            <w:color w:val="0000FF"/>
            <w:sz w:val="24"/>
            <w:szCs w:val="24"/>
            <w:u w:val="single"/>
          </w:rPr>
          <w:t>https://doi.org/10.1007/s10072-010-0449-4</w:t>
        </w:r>
      </w:hyperlink>
    </w:p>
    <w:p w14:paraId="579198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G. P., &amp; Trentini, C. M. (2009). Assessing executive functions in older adults: A comparison between the manual and the computer-based versions of the Wisconsin Card Sorting Test. </w:t>
      </w:r>
      <w:r w:rsidRPr="00DB4C76">
        <w:rPr>
          <w:rFonts w:ascii="Times New Roman" w:eastAsia="Times New Roman" w:hAnsi="Times New Roman" w:cs="Times New Roman"/>
          <w:i/>
          <w:iCs/>
          <w:sz w:val="24"/>
          <w:szCs w:val="24"/>
        </w:rPr>
        <w:t>Psychology &amp;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195–198. </w:t>
      </w:r>
      <w:hyperlink r:id="rId6125" w:history="1">
        <w:r w:rsidRPr="00DB4C76">
          <w:rPr>
            <w:rFonts w:ascii="Times New Roman" w:eastAsia="Times New Roman" w:hAnsi="Times New Roman" w:cs="Times New Roman"/>
            <w:color w:val="0000FF"/>
            <w:sz w:val="24"/>
            <w:szCs w:val="24"/>
            <w:u w:val="single"/>
          </w:rPr>
          <w:t>https://doi.org/10.3922/j.psns.2009.2.011</w:t>
        </w:r>
      </w:hyperlink>
    </w:p>
    <w:p w14:paraId="07897B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G. P., Trentini, C. M., &amp; de Mattos Pimenta Parente, M. A. (2009). O desempenho de idosos com e sem declínio cognitivo leve nos Testes Wisconsin de Classificação de Cartas e Iowa Gambling Test. [Performance of elderly with and without mild cognitive impairment in the Wisconsin Card Sorting Test and Iowa Gambling Test.]. </w:t>
      </w:r>
      <w:r w:rsidRPr="00DB4C76">
        <w:rPr>
          <w:rFonts w:ascii="Times New Roman" w:eastAsia="Times New Roman" w:hAnsi="Times New Roman" w:cs="Times New Roman"/>
          <w:i/>
          <w:iCs/>
          <w:sz w:val="24"/>
          <w:szCs w:val="24"/>
        </w:rPr>
        <w:t>PSICO</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(2), 220–226.</w:t>
      </w:r>
    </w:p>
    <w:p w14:paraId="404292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K. E., Kates, W. R., Fremont, W., &amp; Antshel, K. M. (2017). Childhood predictors of young adult social functioning in 22q11.2 deletion syndrome.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47</w:t>
      </w:r>
      <w:r w:rsidRPr="00DB4C76">
        <w:rPr>
          <w:rFonts w:ascii="Times New Roman" w:eastAsia="Times New Roman" w:hAnsi="Times New Roman" w:cs="Times New Roman"/>
          <w:sz w:val="24"/>
          <w:szCs w:val="24"/>
        </w:rPr>
        <w:t xml:space="preserve">(8), 2480–2501. </w:t>
      </w:r>
      <w:hyperlink r:id="rId6126" w:history="1">
        <w:r w:rsidRPr="00DB4C76">
          <w:rPr>
            <w:rFonts w:ascii="Times New Roman" w:eastAsia="Times New Roman" w:hAnsi="Times New Roman" w:cs="Times New Roman"/>
            <w:color w:val="0000FF"/>
            <w:sz w:val="24"/>
            <w:szCs w:val="24"/>
            <w:u w:val="single"/>
          </w:rPr>
          <w:t>https://doi.org/10.1007/s10803-017-3165-6</w:t>
        </w:r>
      </w:hyperlink>
    </w:p>
    <w:p w14:paraId="54F4EDA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Wagner, M., Rihs, T. A., Mosimann, U. P., Fisch, H. U., &amp; Schlaepfer, T. E. (2006). Repetitive transcranial magnetic stimulation of the dorsolateral prefrontal cortex affects divided attention immediately after cessation of stimulation.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(4), 315–321. </w:t>
      </w:r>
      <w:hyperlink r:id="rId6127" w:history="1">
        <w:r w:rsidRPr="00DB4C76">
          <w:rPr>
            <w:rFonts w:ascii="Times New Roman" w:eastAsia="Times New Roman" w:hAnsi="Times New Roman" w:cs="Times New Roman"/>
            <w:color w:val="0000FF"/>
            <w:sz w:val="24"/>
            <w:szCs w:val="24"/>
            <w:u w:val="single"/>
          </w:rPr>
          <w:t>https://doi.org/10.1016/j.jpsychires.2005.06.001</w:t>
        </w:r>
      </w:hyperlink>
    </w:p>
    <w:p w14:paraId="534E9F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Waldie, K. E., Badzakova-Trajkov, G., Miliivojevic, B., &amp; Kirk, I. J. (2009). Neural activity during Stroop colour-word task performance in late proficient bilinguals: A functional Magnetic Resonance Imaging study. </w:t>
      </w:r>
      <w:r w:rsidRPr="00DB4C76">
        <w:rPr>
          <w:rFonts w:ascii="Times New Roman" w:eastAsia="Times New Roman" w:hAnsi="Times New Roman" w:cs="Times New Roman"/>
          <w:i/>
          <w:iCs/>
          <w:sz w:val="24"/>
          <w:szCs w:val="24"/>
        </w:rPr>
        <w:t>Psychology &amp;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125–136. </w:t>
      </w:r>
      <w:hyperlink r:id="rId6128" w:history="1">
        <w:r w:rsidRPr="00DB4C76">
          <w:rPr>
            <w:rFonts w:ascii="Times New Roman" w:eastAsia="Times New Roman" w:hAnsi="Times New Roman" w:cs="Times New Roman"/>
            <w:color w:val="0000FF"/>
            <w:sz w:val="24"/>
            <w:szCs w:val="24"/>
            <w:u w:val="single"/>
          </w:rPr>
          <w:t>https://doi.org/10.3922/j.psns.2009.2.004</w:t>
        </w:r>
      </w:hyperlink>
    </w:p>
    <w:p w14:paraId="0A5163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Waldorf, M., Pruß, L., &amp; Wiedl, K. H. (2017). Is there more to insight into illness in schizophrenia than cognition? A study applying the Dynamic Wisconsin Card Sorting Test.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(1), 94–106. </w:t>
      </w:r>
      <w:hyperlink r:id="rId6129" w:history="1">
        <w:r w:rsidRPr="00DB4C76">
          <w:rPr>
            <w:rFonts w:ascii="Times New Roman" w:eastAsia="Times New Roman" w:hAnsi="Times New Roman" w:cs="Times New Roman"/>
            <w:color w:val="0000FF"/>
            <w:sz w:val="24"/>
            <w:szCs w:val="24"/>
            <w:u w:val="single"/>
          </w:rPr>
          <w:t>https://doi.org/10.1891/1945-8959.16.1.94</w:t>
        </w:r>
      </w:hyperlink>
    </w:p>
    <w:p w14:paraId="6F51DF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Waldorf, M., Wiedl, K. H., &amp; Schöttke, H. (2009). On the concordance of three reliable change indexes: An analysis applying the Dynamic Wisconsin Card Sorting Test.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(1), 63–80. </w:t>
      </w:r>
      <w:hyperlink r:id="rId6130" w:history="1">
        <w:r w:rsidRPr="00DB4C76">
          <w:rPr>
            <w:rFonts w:ascii="Times New Roman" w:eastAsia="Times New Roman" w:hAnsi="Times New Roman" w:cs="Times New Roman"/>
            <w:color w:val="0000FF"/>
            <w:sz w:val="24"/>
            <w:szCs w:val="24"/>
            <w:u w:val="single"/>
          </w:rPr>
          <w:t>https://doi.org/10.1891/1945-8959.8.1.63</w:t>
        </w:r>
      </w:hyperlink>
    </w:p>
    <w:p w14:paraId="32F58C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Waldron, E. J., Barrash, J., Swenson, A., &amp; Tranel, D. (2014). Personality disturbances in amyotrophic lateral sclerosis: A case study demonstrating changes in personality without cognitive deficits.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(7), 764–771. </w:t>
      </w:r>
      <w:hyperlink r:id="rId6131" w:history="1">
        <w:r w:rsidRPr="00DB4C76">
          <w:rPr>
            <w:rFonts w:ascii="Times New Roman" w:eastAsia="Times New Roman" w:hAnsi="Times New Roman" w:cs="Times New Roman"/>
            <w:color w:val="0000FF"/>
            <w:sz w:val="24"/>
            <w:szCs w:val="24"/>
            <w:u w:val="single"/>
          </w:rPr>
          <w:t>https://doi.org/10.1017/S1355617714000459</w:t>
        </w:r>
      </w:hyperlink>
    </w:p>
    <w:p w14:paraId="112A486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Waldron, H., Whitworth, A., &amp; Howard, D. (2011a). Comparing monitoring and production based approaches to the treatment of phonological assembly difficulties in aphasia. </w:t>
      </w:r>
      <w:r w:rsidRPr="00DB4C76">
        <w:rPr>
          <w:rFonts w:ascii="Times New Roman" w:eastAsia="Times New Roman" w:hAnsi="Times New Roman" w:cs="Times New Roman"/>
          <w:i/>
          <w:iCs/>
          <w:sz w:val="24"/>
          <w:szCs w:val="24"/>
        </w:rPr>
        <w:t>Aphasiology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(10), 1153–1173. </w:t>
      </w:r>
      <w:hyperlink r:id="rId6132" w:history="1">
        <w:r w:rsidRPr="00DB4C76">
          <w:rPr>
            <w:rFonts w:ascii="Times New Roman" w:eastAsia="Times New Roman" w:hAnsi="Times New Roman" w:cs="Times New Roman"/>
            <w:color w:val="0000FF"/>
            <w:sz w:val="24"/>
            <w:szCs w:val="24"/>
            <w:u w:val="single"/>
          </w:rPr>
          <w:t>https://doi.org/10.1080/02687038.2011.577286</w:t>
        </w:r>
      </w:hyperlink>
    </w:p>
    <w:p w14:paraId="1E28D8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Waldron, H., Whitworth, A., &amp; Howard, D. (2011b). Therapy for phonological assembly difficulties: A case series. </w:t>
      </w:r>
      <w:r w:rsidRPr="00DB4C76">
        <w:rPr>
          <w:rFonts w:ascii="Times New Roman" w:eastAsia="Times New Roman" w:hAnsi="Times New Roman" w:cs="Times New Roman"/>
          <w:i/>
          <w:iCs/>
          <w:sz w:val="24"/>
          <w:szCs w:val="24"/>
        </w:rPr>
        <w:t>Aphasiology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(4), 434–455. </w:t>
      </w:r>
      <w:hyperlink r:id="rId6133" w:history="1">
        <w:r w:rsidRPr="00DB4C76">
          <w:rPr>
            <w:rFonts w:ascii="Times New Roman" w:eastAsia="Times New Roman" w:hAnsi="Times New Roman" w:cs="Times New Roman"/>
            <w:color w:val="0000FF"/>
            <w:sz w:val="24"/>
            <w:szCs w:val="24"/>
            <w:u w:val="single"/>
          </w:rPr>
          <w:t>https://doi.org/10.1080/02687038.2010.494830</w:t>
        </w:r>
      </w:hyperlink>
    </w:p>
    <w:p w14:paraId="2009B04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Waldrop-Valverde, D., Ownby, R. L., Jones, D. L., Sharma, S., Nehra, R., Kumar, A. M., Prabhakar, S., &amp; Kumar, M. (2015). Neuropsychological test performance among healthy persons in northern India: Development of normative data. </w:t>
      </w:r>
      <w:r w:rsidRPr="00DB4C76">
        <w:rPr>
          <w:rFonts w:ascii="Times New Roman" w:eastAsia="Times New Roman" w:hAnsi="Times New Roman" w:cs="Times New Roman"/>
          <w:i/>
          <w:iCs/>
          <w:sz w:val="24"/>
          <w:szCs w:val="24"/>
        </w:rPr>
        <w:t>Journal of Neurovirology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(4), 433–438. </w:t>
      </w:r>
      <w:hyperlink r:id="rId6134" w:history="1">
        <w:r w:rsidRPr="00DB4C76">
          <w:rPr>
            <w:rFonts w:ascii="Times New Roman" w:eastAsia="Times New Roman" w:hAnsi="Times New Roman" w:cs="Times New Roman"/>
            <w:color w:val="0000FF"/>
            <w:sz w:val="24"/>
            <w:szCs w:val="24"/>
            <w:u w:val="single"/>
          </w:rPr>
          <w:t>https://doi.org/10.1007/s13365-015-0332-4</w:t>
        </w:r>
      </w:hyperlink>
    </w:p>
    <w:p w14:paraId="2EBD9A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Walhovd, K. B., Fjell, A. M., Reinvang, I., Lundervold, A., Fischl, B., Quinn, B. T., Makris, N., &amp; Dale, A. M. (2006). The functional and structural significance of the frontal shift in the old/new ERP effect.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1081</w:t>
      </w:r>
      <w:r w:rsidRPr="00DB4C76">
        <w:rPr>
          <w:rFonts w:ascii="Times New Roman" w:eastAsia="Times New Roman" w:hAnsi="Times New Roman" w:cs="Times New Roman"/>
          <w:sz w:val="24"/>
          <w:szCs w:val="24"/>
        </w:rPr>
        <w:t xml:space="preserve">(1), 156–170. </w:t>
      </w:r>
      <w:hyperlink r:id="rId6135" w:history="1">
        <w:r w:rsidRPr="00DB4C76">
          <w:rPr>
            <w:rFonts w:ascii="Times New Roman" w:eastAsia="Times New Roman" w:hAnsi="Times New Roman" w:cs="Times New Roman"/>
            <w:color w:val="0000FF"/>
            <w:sz w:val="24"/>
            <w:szCs w:val="24"/>
            <w:u w:val="single"/>
          </w:rPr>
          <w:t>https://doi.org/10.1016/j.brainres.2006.01.076</w:t>
        </w:r>
      </w:hyperlink>
    </w:p>
    <w:p w14:paraId="3AED09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A. J., Meares, S., Sachdev, P. S., &amp; Brodaty, H. (2005). The differentiation of mild frontotemporal dementia from Alzheimer’s disease and healthy aging by neuropsychological tests. </w:t>
      </w:r>
      <w:r w:rsidRPr="00DB4C76">
        <w:rPr>
          <w:rFonts w:ascii="Times New Roman" w:eastAsia="Times New Roman" w:hAnsi="Times New Roman" w:cs="Times New Roman"/>
          <w:i/>
          <w:iCs/>
          <w:sz w:val="24"/>
          <w:szCs w:val="24"/>
        </w:rPr>
        <w:t>International 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(1), 57–68. </w:t>
      </w:r>
      <w:hyperlink r:id="rId6136" w:history="1">
        <w:r w:rsidRPr="00DB4C76">
          <w:rPr>
            <w:rFonts w:ascii="Times New Roman" w:eastAsia="Times New Roman" w:hAnsi="Times New Roman" w:cs="Times New Roman"/>
            <w:color w:val="0000FF"/>
            <w:sz w:val="24"/>
            <w:szCs w:val="24"/>
            <w:u w:val="single"/>
          </w:rPr>
          <w:t>https://doi.org/10.1017/S1041610204000778</w:t>
        </w:r>
      </w:hyperlink>
    </w:p>
    <w:p w14:paraId="3292756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L. A. S., Bourque, P., Smith, A. M., &amp; Warman Chardon, J. (2017). Autosomal dominant cerebellar ataxia, deafness, and narcolepsy (ADCA-DN) associated with progressive cognitive and behavioral deterioration.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(3), 292–303. </w:t>
      </w:r>
      <w:hyperlink r:id="rId6137" w:history="1">
        <w:r w:rsidRPr="00DB4C76">
          <w:rPr>
            <w:rFonts w:ascii="Times New Roman" w:eastAsia="Times New Roman" w:hAnsi="Times New Roman" w:cs="Times New Roman"/>
            <w:color w:val="0000FF"/>
            <w:sz w:val="24"/>
            <w:szCs w:val="24"/>
            <w:u w:val="single"/>
          </w:rPr>
          <w:t>https://doi.org/10.1037/neu0000322</w:t>
        </w:r>
      </w:hyperlink>
    </w:p>
    <w:p w14:paraId="37AFAF1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L. A. S., Mendella, P. D., Stewart, A., Freedman, M. S., &amp; Smith, A. M. (2011). Meaningful change in cognition in multiple sclerosis: Method matters. </w:t>
      </w:r>
      <w:r w:rsidRPr="00DB4C76">
        <w:rPr>
          <w:rFonts w:ascii="Times New Roman" w:eastAsia="Times New Roman" w:hAnsi="Times New Roman" w:cs="Times New Roman"/>
          <w:i/>
          <w:iCs/>
          <w:sz w:val="24"/>
          <w:szCs w:val="24"/>
        </w:rPr>
        <w:t>The Canadian Journal of Neurological Sciences / Le Journal Canadien Des Sciences Neurologiques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(2), 282–288. </w:t>
      </w:r>
      <w:hyperlink r:id="rId6138" w:history="1">
        <w:r w:rsidRPr="00DB4C76">
          <w:rPr>
            <w:rFonts w:ascii="Times New Roman" w:eastAsia="Times New Roman" w:hAnsi="Times New Roman" w:cs="Times New Roman"/>
            <w:color w:val="0000FF"/>
            <w:sz w:val="24"/>
            <w:szCs w:val="24"/>
            <w:u w:val="single"/>
          </w:rPr>
          <w:t>https://doi.org/10.1017/S0317167100011471</w:t>
        </w:r>
      </w:hyperlink>
    </w:p>
    <w:p w14:paraId="69DCCCA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Walker, L., &amp; DeMeulemeester, C. (2008). Spontaneous intracranial hypotension masquerading as frontotemporal dementia.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(6), 1035–1053. </w:t>
      </w:r>
      <w:hyperlink r:id="rId6139" w:history="1">
        <w:r w:rsidRPr="00DB4C76">
          <w:rPr>
            <w:rFonts w:ascii="Times New Roman" w:eastAsia="Times New Roman" w:hAnsi="Times New Roman" w:cs="Times New Roman"/>
            <w:color w:val="0000FF"/>
            <w:sz w:val="24"/>
            <w:szCs w:val="24"/>
            <w:u w:val="single"/>
          </w:rPr>
          <w:t>https://doi.org/10.1080/13854040701874386</w:t>
        </w:r>
      </w:hyperlink>
    </w:p>
    <w:p w14:paraId="56A552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 J. D. (2009). Review of Assessment of feigned cognitive impairment: A neuropsychological perspective. </w:t>
      </w:r>
      <w:r w:rsidRPr="00DB4C76">
        <w:rPr>
          <w:rFonts w:ascii="Times New Roman" w:eastAsia="Times New Roman" w:hAnsi="Times New Roman" w:cs="Times New Roman"/>
          <w:i/>
          <w:iCs/>
          <w:sz w:val="24"/>
          <w:szCs w:val="24"/>
        </w:rPr>
        <w:t>Journal of Psychiatry &amp; Law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(4), 461–471. </w:t>
      </w:r>
      <w:hyperlink r:id="rId6140" w:history="1">
        <w:r w:rsidRPr="00DB4C76">
          <w:rPr>
            <w:rFonts w:ascii="Times New Roman" w:eastAsia="Times New Roman" w:hAnsi="Times New Roman" w:cs="Times New Roman"/>
            <w:color w:val="0000FF"/>
            <w:sz w:val="24"/>
            <w:szCs w:val="24"/>
            <w:u w:val="single"/>
          </w:rPr>
          <w:t>https://doi.org/10.1177/009318530903700412</w:t>
        </w:r>
      </w:hyperlink>
    </w:p>
    <w:p w14:paraId="1F658A2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 P. L. (Herbig). (2012). Posttraumatic stress disorder and traumatic brain injury in current military populations: A critical analysis. </w:t>
      </w:r>
      <w:r w:rsidRPr="00DB4C76">
        <w:rPr>
          <w:rFonts w:ascii="Times New Roman" w:eastAsia="Times New Roman" w:hAnsi="Times New Roman" w:cs="Times New Roman"/>
          <w:i/>
          <w:iCs/>
          <w:sz w:val="24"/>
          <w:szCs w:val="24"/>
        </w:rPr>
        <w:t>Journal of the American Psychiatric Nurses Association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278–298. </w:t>
      </w:r>
      <w:hyperlink r:id="rId6141" w:history="1">
        <w:r w:rsidRPr="00DB4C76">
          <w:rPr>
            <w:rFonts w:ascii="Times New Roman" w:eastAsia="Times New Roman" w:hAnsi="Times New Roman" w:cs="Times New Roman"/>
            <w:color w:val="0000FF"/>
            <w:sz w:val="24"/>
            <w:szCs w:val="24"/>
            <w:u w:val="single"/>
          </w:rPr>
          <w:t>https://doi.org/10.1177/1078390312460578</w:t>
        </w:r>
      </w:hyperlink>
    </w:p>
    <w:p w14:paraId="157145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Wallin, M. T., Wilken, J., Alfaro, M. H., Rogers, C., Mahan, C., Chapman, J. C., Fratto, T., Sullivan, C., Kang, H., &amp; Kane, R. (2009). Neuropsychologic assessment of a population-based sample of Gulf War veterans.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(3), 155–166. </w:t>
      </w:r>
      <w:hyperlink r:id="rId6142" w:history="1">
        <w:r w:rsidRPr="00DB4C76">
          <w:rPr>
            <w:rFonts w:ascii="Times New Roman" w:eastAsia="Times New Roman" w:hAnsi="Times New Roman" w:cs="Times New Roman"/>
            <w:color w:val="0000FF"/>
            <w:sz w:val="24"/>
            <w:szCs w:val="24"/>
            <w:u w:val="single"/>
          </w:rPr>
          <w:t>https://doi.org/10.1097/WNN.0b013e3181b278e8</w:t>
        </w:r>
      </w:hyperlink>
    </w:p>
    <w:p w14:paraId="3583D86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Walling, S. M., Meehan, J. C., Marshall, A. D., Holtzworth‐Munroe, A., &amp; Taft, C. T. (2012). The relationship of intimate partner aggression to head injury, executive functioning, and intelligence. </w:t>
      </w:r>
      <w:r w:rsidRPr="00DB4C76">
        <w:rPr>
          <w:rFonts w:ascii="Times New Roman" w:eastAsia="Times New Roman" w:hAnsi="Times New Roman" w:cs="Times New Roman"/>
          <w:i/>
          <w:iCs/>
          <w:sz w:val="24"/>
          <w:szCs w:val="24"/>
        </w:rPr>
        <w:t>Journal of Marital and Family 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(3), 471–485. </w:t>
      </w:r>
      <w:hyperlink r:id="rId6143" w:history="1">
        <w:r w:rsidRPr="00DB4C76">
          <w:rPr>
            <w:rFonts w:ascii="Times New Roman" w:eastAsia="Times New Roman" w:hAnsi="Times New Roman" w:cs="Times New Roman"/>
            <w:color w:val="0000FF"/>
            <w:sz w:val="24"/>
            <w:szCs w:val="24"/>
            <w:u w:val="single"/>
          </w:rPr>
          <w:t>https://doi.org/10.1111/j.1752-0606.2011.00226.x</w:t>
        </w:r>
      </w:hyperlink>
    </w:p>
    <w:p w14:paraId="1E10C0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 J. K., Hall-Porter, J. M., Griffin, K. S., Dodson, E. R., Forst, E. H., Curry, D. T., Eisenstein, R. D., &amp; Schweitzer, P. K. (2010). Enhancing slow wave sleep with sodium oxybate reduces the behavioral and physiological impact of sleep loss. </w:t>
      </w:r>
      <w:r w:rsidRPr="00DB4C76">
        <w:rPr>
          <w:rFonts w:ascii="Times New Roman" w:eastAsia="Times New Roman" w:hAnsi="Times New Roman" w:cs="Times New Roman"/>
          <w:i/>
          <w:iCs/>
          <w:sz w:val="24"/>
          <w:szCs w:val="24"/>
        </w:rPr>
        <w:t>Sleep: Journal of Sleep and Sleep Disorders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(9), 1217–1225. </w:t>
      </w:r>
      <w:hyperlink r:id="rId6144" w:history="1">
        <w:r w:rsidRPr="00DB4C76">
          <w:rPr>
            <w:rFonts w:ascii="Times New Roman" w:eastAsia="Times New Roman" w:hAnsi="Times New Roman" w:cs="Times New Roman"/>
            <w:color w:val="0000FF"/>
            <w:sz w:val="24"/>
            <w:szCs w:val="24"/>
            <w:u w:val="single"/>
          </w:rPr>
          <w:t>https://doi.org/10.1093/sleep/33.9.1217</w:t>
        </w:r>
      </w:hyperlink>
    </w:p>
    <w:p w14:paraId="03B20DF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 J. K., Randazzo, A. C., Stone, K., Eisenstein, R., Feren, S. D., Kajy, S., Dickey, P., Roehrs, T., Roth, T., &amp; Schweitzer, P. K. (2006). Tiagabine is Associated With Sustained Attention During Sleep Restriction: Evidence for the Value of Slow-Wave Sleep Enhancement? </w:t>
      </w:r>
      <w:r w:rsidRPr="00DB4C76">
        <w:rPr>
          <w:rFonts w:ascii="Times New Roman" w:eastAsia="Times New Roman" w:hAnsi="Times New Roman" w:cs="Times New Roman"/>
          <w:i/>
          <w:iCs/>
          <w:sz w:val="24"/>
          <w:szCs w:val="24"/>
        </w:rPr>
        <w:t>Sleep: Journal of Sleep and Sleep Disorders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(4), 433–443.</w:t>
      </w:r>
    </w:p>
    <w:p w14:paraId="60CF128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 J. K., Randazzo, A. C., Stone, K. L., &amp; Schweitzer, P. K. (2004). Modafinil Improves Alertness, Vigilance, and Executive Function During Simulated Night Shifts. </w:t>
      </w:r>
      <w:r w:rsidRPr="00DB4C76">
        <w:rPr>
          <w:rFonts w:ascii="Times New Roman" w:eastAsia="Times New Roman" w:hAnsi="Times New Roman" w:cs="Times New Roman"/>
          <w:i/>
          <w:iCs/>
          <w:sz w:val="24"/>
          <w:szCs w:val="24"/>
        </w:rPr>
        <w:t>Sleep: Journal of Sleep and Sleep Disorders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434–439. </w:t>
      </w:r>
      <w:hyperlink r:id="rId6145" w:history="1">
        <w:r w:rsidRPr="00DB4C76">
          <w:rPr>
            <w:rFonts w:ascii="Times New Roman" w:eastAsia="Times New Roman" w:hAnsi="Times New Roman" w:cs="Times New Roman"/>
            <w:color w:val="0000FF"/>
            <w:sz w:val="24"/>
            <w:szCs w:val="24"/>
            <w:u w:val="single"/>
          </w:rPr>
          <w:t>https://doi.org/10.1093/sleep/27.3.434</w:t>
        </w:r>
      </w:hyperlink>
    </w:p>
    <w:p w14:paraId="03059A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Walshaw, P. D., &amp; Bearden, C. E. (2013). Bipolar disorder. In </w:t>
      </w:r>
      <w:r w:rsidRPr="00DB4C76">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DB4C76">
        <w:rPr>
          <w:rFonts w:ascii="Times New Roman" w:eastAsia="Times New Roman" w:hAnsi="Times New Roman" w:cs="Times New Roman"/>
          <w:sz w:val="24"/>
          <w:szCs w:val="24"/>
        </w:rPr>
        <w:t xml:space="preserve"> (pp. 97–123). American Psychological Association. </w:t>
      </w:r>
      <w:hyperlink r:id="rId6146" w:history="1">
        <w:r w:rsidRPr="00DB4C76">
          <w:rPr>
            <w:rFonts w:ascii="Times New Roman" w:eastAsia="Times New Roman" w:hAnsi="Times New Roman" w:cs="Times New Roman"/>
            <w:color w:val="0000FF"/>
            <w:sz w:val="24"/>
            <w:szCs w:val="24"/>
            <w:u w:val="single"/>
          </w:rPr>
          <w:t>https://doi.org/10.1037/14091-005</w:t>
        </w:r>
      </w:hyperlink>
    </w:p>
    <w:p w14:paraId="0910B6A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Walther, K., Birdsill, A. C., Glisky, E. L., &amp; Ryan, L. (2010). Structural brain differences and cognitive functioning related to body mass index in older females.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31</w:t>
      </w:r>
      <w:r w:rsidRPr="00DB4C76">
        <w:rPr>
          <w:rFonts w:ascii="Times New Roman" w:eastAsia="Times New Roman" w:hAnsi="Times New Roman" w:cs="Times New Roman"/>
          <w:sz w:val="24"/>
          <w:szCs w:val="24"/>
        </w:rPr>
        <w:t xml:space="preserve">(7), 1052–1064. </w:t>
      </w:r>
      <w:hyperlink r:id="rId6147" w:history="1">
        <w:r w:rsidRPr="00DB4C76">
          <w:rPr>
            <w:rFonts w:ascii="Times New Roman" w:eastAsia="Times New Roman" w:hAnsi="Times New Roman" w:cs="Times New Roman"/>
            <w:color w:val="0000FF"/>
            <w:sz w:val="24"/>
            <w:szCs w:val="24"/>
            <w:u w:val="single"/>
          </w:rPr>
          <w:t>https://doi.org/10.1002/hbm.20916</w:t>
        </w:r>
      </w:hyperlink>
    </w:p>
    <w:p w14:paraId="613C6B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 C.-L., Zainal, N. Z., Lian, L.-H., &amp; Mohamed, Z. (2011). Association of the functional polymorphism in the catechol-O-methyltransferase gene with schizophrenia in the three ethnic groups of the Malaysian population.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189</w:t>
      </w:r>
      <w:r w:rsidRPr="00DB4C76">
        <w:rPr>
          <w:rFonts w:ascii="Times New Roman" w:eastAsia="Times New Roman" w:hAnsi="Times New Roman" w:cs="Times New Roman"/>
          <w:sz w:val="24"/>
          <w:szCs w:val="24"/>
        </w:rPr>
        <w:t xml:space="preserve">(1), 67–71. </w:t>
      </w:r>
      <w:hyperlink r:id="rId6148" w:history="1">
        <w:r w:rsidRPr="00DB4C76">
          <w:rPr>
            <w:rFonts w:ascii="Times New Roman" w:eastAsia="Times New Roman" w:hAnsi="Times New Roman" w:cs="Times New Roman"/>
            <w:color w:val="0000FF"/>
            <w:sz w:val="24"/>
            <w:szCs w:val="24"/>
            <w:u w:val="single"/>
          </w:rPr>
          <w:t>https://doi.org/10.1016/j.psychres.2011.02.008</w:t>
        </w:r>
      </w:hyperlink>
    </w:p>
    <w:p w14:paraId="66018D3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Wandschneider, B., Kopp, U. A., Kliegel, M., Stephani, U., Kurlemann, G., Janz, D., &amp; Schmitz, B. (2010). Prospective memory in patients with juvenile myoclonic epilepsy and their healthy siblings.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(24), 2161–2167. </w:t>
      </w:r>
      <w:hyperlink r:id="rId6149" w:history="1">
        <w:r w:rsidRPr="00DB4C76">
          <w:rPr>
            <w:rFonts w:ascii="Times New Roman" w:eastAsia="Times New Roman" w:hAnsi="Times New Roman" w:cs="Times New Roman"/>
            <w:color w:val="0000FF"/>
            <w:sz w:val="24"/>
            <w:szCs w:val="24"/>
            <w:u w:val="single"/>
          </w:rPr>
          <w:t>https://doi.org/10.1212/WNL.0b013e318202010a</w:t>
        </w:r>
      </w:hyperlink>
    </w:p>
    <w:p w14:paraId="6492F5B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Wandschneider, B., Stretton, J., Sidhu, M., Centeno, M., Kozák, L. R., Symms, M., Thompson, P. J., Duncan, J. S., &amp; Koepp, M. J. (2014). Levetiracetam reduces abnormal network activations in temporal lobe epilepsy.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83</w:t>
      </w:r>
      <w:r w:rsidRPr="00DB4C76">
        <w:rPr>
          <w:rFonts w:ascii="Times New Roman" w:eastAsia="Times New Roman" w:hAnsi="Times New Roman" w:cs="Times New Roman"/>
          <w:sz w:val="24"/>
          <w:szCs w:val="24"/>
        </w:rPr>
        <w:t xml:space="preserve">(17), 1508–1512. </w:t>
      </w:r>
      <w:hyperlink r:id="rId6150" w:history="1">
        <w:r w:rsidRPr="00DB4C76">
          <w:rPr>
            <w:rFonts w:ascii="Times New Roman" w:eastAsia="Times New Roman" w:hAnsi="Times New Roman" w:cs="Times New Roman"/>
            <w:color w:val="0000FF"/>
            <w:sz w:val="24"/>
            <w:szCs w:val="24"/>
            <w:u w:val="single"/>
          </w:rPr>
          <w:t>https://doi.org/10.1212/WNL.0000000000000910</w:t>
        </w:r>
      </w:hyperlink>
    </w:p>
    <w:p w14:paraId="74E8F7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 Zhang, Y., Liu, B., Long, H., Yu, C., &amp; Jiang, T. (2014). Dosage effects of BDNF Val66Met polymorphism on cortical surface area and functional connectivity. </w:t>
      </w:r>
      <w:r w:rsidRPr="00DB4C76">
        <w:rPr>
          <w:rFonts w:ascii="Times New Roman" w:eastAsia="Times New Roman" w:hAnsi="Times New Roman" w:cs="Times New Roman"/>
          <w:i/>
          <w:iCs/>
          <w:sz w:val="24"/>
          <w:szCs w:val="24"/>
        </w:rPr>
        <w:t>The Journal of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(7), 2645–2651. </w:t>
      </w:r>
      <w:hyperlink r:id="rId6151" w:history="1">
        <w:r w:rsidRPr="00DB4C76">
          <w:rPr>
            <w:rFonts w:ascii="Times New Roman" w:eastAsia="Times New Roman" w:hAnsi="Times New Roman" w:cs="Times New Roman"/>
            <w:color w:val="0000FF"/>
            <w:sz w:val="24"/>
            <w:szCs w:val="24"/>
            <w:u w:val="single"/>
          </w:rPr>
          <w:t>https://doi.org/10.1523/JNEUROSCI.3501-13.2014</w:t>
        </w:r>
      </w:hyperlink>
    </w:p>
    <w:p w14:paraId="286110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 Zhou, D., &amp; He, H. (2001). Controlled study on Wisconsin Card Sorting Test and Continuous Performance Test in patients with depression. [Controlled study on Wisconsin Card Sorting Test and Continuous Performance Test in patients with depression.].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(5), 336–339.</w:t>
      </w:r>
    </w:p>
    <w:p w14:paraId="2ECAE9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C.-C., Chu, C.-H., Chu, I.-H., Chan, K.-H., &amp; Chang, Y.-K. (2013). Executive function during acute exercise: The role of exercise intensity. </w:t>
      </w:r>
      <w:r w:rsidRPr="00DB4C76">
        <w:rPr>
          <w:rFonts w:ascii="Times New Roman" w:eastAsia="Times New Roman" w:hAnsi="Times New Roman" w:cs="Times New Roman"/>
          <w:i/>
          <w:iCs/>
          <w:sz w:val="24"/>
          <w:szCs w:val="24"/>
        </w:rPr>
        <w:t>Journal of Sport &amp; Exercise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(4), 358–367.</w:t>
      </w:r>
    </w:p>
    <w:p w14:paraId="3961A75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C.-S., Wu, J. Y.-W., Chang, W.-C., &amp; Chuang, S.-P. (2013). Cognitive functioning correlates of self-esteem and health locus of control in schizophrenia.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w:t>
      </w:r>
    </w:p>
    <w:p w14:paraId="725C9B1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D., Liu, B., Qin, W., Wang, J., Zhang, Y., Jiang, T., &amp; Yu, C. (2013). KIBRA gene variants are associated with synchronization within the default-mode and executive control networks. </w:t>
      </w:r>
      <w:r w:rsidRPr="00DB4C76">
        <w:rPr>
          <w:rFonts w:ascii="Times New Roman" w:eastAsia="Times New Roman" w:hAnsi="Times New Roman" w:cs="Times New Roman"/>
          <w:i/>
          <w:iCs/>
          <w:sz w:val="24"/>
          <w:szCs w:val="24"/>
        </w:rPr>
        <w:t>NeuroImage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69</w:t>
      </w:r>
      <w:r w:rsidRPr="00DB4C76">
        <w:rPr>
          <w:rFonts w:ascii="Times New Roman" w:eastAsia="Times New Roman" w:hAnsi="Times New Roman" w:cs="Times New Roman"/>
          <w:sz w:val="24"/>
          <w:szCs w:val="24"/>
        </w:rPr>
        <w:t xml:space="preserve">, 213–222. </w:t>
      </w:r>
      <w:hyperlink r:id="rId6152" w:history="1">
        <w:r w:rsidRPr="00DB4C76">
          <w:rPr>
            <w:rFonts w:ascii="Times New Roman" w:eastAsia="Times New Roman" w:hAnsi="Times New Roman" w:cs="Times New Roman"/>
            <w:color w:val="0000FF"/>
            <w:sz w:val="24"/>
            <w:szCs w:val="24"/>
            <w:u w:val="single"/>
          </w:rPr>
          <w:t>https://doi.org/10.1016/j.neuroimage.2012.12.022</w:t>
        </w:r>
      </w:hyperlink>
    </w:p>
    <w:p w14:paraId="65B621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H.-Y., Wang, T.-S., &amp; Chen, Y.-C. (2017). Diversities of behavioral traits and neuropsychological function in different substance addiction.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 82–87. </w:t>
      </w:r>
      <w:hyperlink r:id="rId6153" w:history="1">
        <w:r w:rsidRPr="00DB4C76">
          <w:rPr>
            <w:rFonts w:ascii="Times New Roman" w:eastAsia="Times New Roman" w:hAnsi="Times New Roman" w:cs="Times New Roman"/>
            <w:color w:val="0000FF"/>
            <w:sz w:val="24"/>
            <w:szCs w:val="24"/>
            <w:u w:val="single"/>
          </w:rPr>
          <w:t>https://doi.org/10.1016/j.pnpbp.2017.05.016</w:t>
        </w:r>
      </w:hyperlink>
    </w:p>
    <w:p w14:paraId="172211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J., Cao, B., Cai, X., Gao, H., &amp; Li, F. (2015). Brain activation of negative feedback in rule acquisition revealed in a segmented Wisconsin Card Sorting Test.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(10).</w:t>
      </w:r>
    </w:p>
    <w:p w14:paraId="110C40F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K., Song, L.-L., Cheung, E. F. C., Lui, S. S. Y., Shum, D. H. K., &amp; Chan, R. C. K. (2013). Bipolar disorder and schizophrenia share a similar deficit in semantic inhibition: A meta-analysis based on Hayling Sentence Completion Test performance.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 153–160. </w:t>
      </w:r>
      <w:hyperlink r:id="rId6154" w:history="1">
        <w:r w:rsidRPr="00DB4C76">
          <w:rPr>
            <w:rFonts w:ascii="Times New Roman" w:eastAsia="Times New Roman" w:hAnsi="Times New Roman" w:cs="Times New Roman"/>
            <w:color w:val="0000FF"/>
            <w:sz w:val="24"/>
            <w:szCs w:val="24"/>
            <w:u w:val="single"/>
          </w:rPr>
          <w:t>https://doi.org/10.1016/j.pnpbp.2013.07.012</w:t>
        </w:r>
      </w:hyperlink>
    </w:p>
    <w:p w14:paraId="1E25CD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 Guo, Y., &amp; Shen, F. (2014). Effect of computerized cognitive remediation therapy on obsessive-compulsive disorder. [Effect of computerized cognitive remediation therapy on obsessive-compulsive disorder.].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(4), 749–751.</w:t>
      </w:r>
    </w:p>
    <w:p w14:paraId="2B384C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 Kakigi, R., &amp; Hoshiyama, M. (2001). Neural activities during Wisconsin Card Sorting Test—MEG observation. </w:t>
      </w:r>
      <w:r w:rsidRPr="00DB4C76">
        <w:rPr>
          <w:rFonts w:ascii="Times New Roman" w:eastAsia="Times New Roman" w:hAnsi="Times New Roman" w:cs="Times New Roman"/>
          <w:i/>
          <w:iCs/>
          <w:sz w:val="24"/>
          <w:szCs w:val="24"/>
        </w:rPr>
        <w:t>Cognitive 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(1), 19–31. </w:t>
      </w:r>
      <w:hyperlink r:id="rId6155" w:history="1">
        <w:r w:rsidRPr="00DB4C76">
          <w:rPr>
            <w:rFonts w:ascii="Times New Roman" w:eastAsia="Times New Roman" w:hAnsi="Times New Roman" w:cs="Times New Roman"/>
            <w:color w:val="0000FF"/>
            <w:sz w:val="24"/>
            <w:szCs w:val="24"/>
            <w:u w:val="single"/>
          </w:rPr>
          <w:t>https://doi.org/10.1016/S0926-6410(01)00022-2</w:t>
        </w:r>
      </w:hyperlink>
    </w:p>
    <w:p w14:paraId="29E84A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 Mamah, D., Harms, M. P., Karnik, M., Price, J. L., Gado, M. H., Thompson, P. A., Barch, D. M., Miller, M. I., &amp; Csernansky, J. G. (2008). Progressive deformation of deep brain nuclei and hippocampal-amygdala formation in schizophrenia.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64</w:t>
      </w:r>
      <w:r w:rsidRPr="00DB4C76">
        <w:rPr>
          <w:rFonts w:ascii="Times New Roman" w:eastAsia="Times New Roman" w:hAnsi="Times New Roman" w:cs="Times New Roman"/>
          <w:sz w:val="24"/>
          <w:szCs w:val="24"/>
        </w:rPr>
        <w:t xml:space="preserve">(12), 1060–1068. </w:t>
      </w:r>
      <w:hyperlink r:id="rId6156" w:history="1">
        <w:r w:rsidRPr="00DB4C76">
          <w:rPr>
            <w:rFonts w:ascii="Times New Roman" w:eastAsia="Times New Roman" w:hAnsi="Times New Roman" w:cs="Times New Roman"/>
            <w:color w:val="0000FF"/>
            <w:sz w:val="24"/>
            <w:szCs w:val="24"/>
            <w:u w:val="single"/>
          </w:rPr>
          <w:t>https://doi.org/10.1016/j.biopsych.2008.08.007</w:t>
        </w:r>
      </w:hyperlink>
    </w:p>
    <w:p w14:paraId="4F7C9A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L.-J., Yeh, C.-B., Huang, Y.-S., Tang, C.-S., Chou, W.-J., Chou, M.-C., &amp; Chen, C.-K. (2012). Neurocognitive effects of aripiprazole in adolescents and young adults with bipolar disorder.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66</w:t>
      </w:r>
      <w:r w:rsidRPr="00DB4C76">
        <w:rPr>
          <w:rFonts w:ascii="Times New Roman" w:eastAsia="Times New Roman" w:hAnsi="Times New Roman" w:cs="Times New Roman"/>
          <w:sz w:val="24"/>
          <w:szCs w:val="24"/>
        </w:rPr>
        <w:t xml:space="preserve">(4), 276–282. </w:t>
      </w:r>
      <w:hyperlink r:id="rId6157" w:history="1">
        <w:r w:rsidRPr="00DB4C76">
          <w:rPr>
            <w:rFonts w:ascii="Times New Roman" w:eastAsia="Times New Roman" w:hAnsi="Times New Roman" w:cs="Times New Roman"/>
            <w:color w:val="0000FF"/>
            <w:sz w:val="24"/>
            <w:szCs w:val="24"/>
            <w:u w:val="single"/>
          </w:rPr>
          <w:t>https://doi.org/10.3109/08039488.2011.643484</w:t>
        </w:r>
      </w:hyperlink>
    </w:p>
    <w:p w14:paraId="7A397B1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P. J., Saykin, A. J., Flashman, L. A., Wishart, H. A., Rabin, L. A., Santulli, R. B., McHugh, T. L., MacDonald, J. W., &amp; Mamourian, A. C. (2006). Regionally specific atrophy of the corpus callosum in AD, MCI and cognitive complaints. </w:t>
      </w:r>
      <w:r w:rsidRPr="00DB4C76">
        <w:rPr>
          <w:rFonts w:ascii="Times New Roman" w:eastAsia="Times New Roman" w:hAnsi="Times New Roman" w:cs="Times New Roman"/>
          <w:i/>
          <w:iCs/>
          <w:sz w:val="24"/>
          <w:szCs w:val="24"/>
        </w:rPr>
        <w:t>Neurobiology of 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(11), 1613–1617. </w:t>
      </w:r>
      <w:hyperlink r:id="rId6158" w:history="1">
        <w:r w:rsidRPr="00DB4C76">
          <w:rPr>
            <w:rFonts w:ascii="Times New Roman" w:eastAsia="Times New Roman" w:hAnsi="Times New Roman" w:cs="Times New Roman"/>
            <w:color w:val="0000FF"/>
            <w:sz w:val="24"/>
            <w:szCs w:val="24"/>
            <w:u w:val="single"/>
          </w:rPr>
          <w:t>https://doi.org/10.1016/j.neurobiolaging.2005.09.035</w:t>
        </w:r>
      </w:hyperlink>
    </w:p>
    <w:p w14:paraId="0A33A4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Q., Sun, J., Ma, X., Wang, Y., Yao, J., Deng, W., Liu, X., Collier, D. A., &amp; Li, T. (2011). Normative data on a battery of neuropsychological tests in the Han Chinese population.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(1), 126–142. </w:t>
      </w:r>
      <w:hyperlink r:id="rId6159" w:history="1">
        <w:r w:rsidRPr="00DB4C76">
          <w:rPr>
            <w:rFonts w:ascii="Times New Roman" w:eastAsia="Times New Roman" w:hAnsi="Times New Roman" w:cs="Times New Roman"/>
            <w:color w:val="0000FF"/>
            <w:sz w:val="24"/>
            <w:szCs w:val="24"/>
            <w:u w:val="single"/>
          </w:rPr>
          <w:t>https://doi.org/10.1348/174866410X516803</w:t>
        </w:r>
      </w:hyperlink>
    </w:p>
    <w:p w14:paraId="7A2975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S. ‐H., Hsiao, P. ‐C., Yeh, L. ‐L., Liu, C. ‐M., Liu, C. ‐C., Hwang, T. ‐J., Hsieh, M. H., Chien, Y. ‐L., Lin, Y. ‐T., Chandler, S. D., Faraone, S. V., Laird, N., Neale, B., McCarroll, S. A., Glatt, S. J., Tsuang, M. T., Hwu, H. ‐G., &amp; Chen, W. J. (2018). Polygenic risk for schizophrenia and neurocognitive performance in patients with schizophrenia. </w:t>
      </w:r>
      <w:r w:rsidRPr="00DB4C76">
        <w:rPr>
          <w:rFonts w:ascii="Times New Roman" w:eastAsia="Times New Roman" w:hAnsi="Times New Roman" w:cs="Times New Roman"/>
          <w:i/>
          <w:iCs/>
          <w:sz w:val="24"/>
          <w:szCs w:val="24"/>
        </w:rPr>
        <w:t>Genes, Brain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(1), 49–55. </w:t>
      </w:r>
      <w:hyperlink r:id="rId6160" w:history="1">
        <w:r w:rsidRPr="00DB4C76">
          <w:rPr>
            <w:rFonts w:ascii="Times New Roman" w:eastAsia="Times New Roman" w:hAnsi="Times New Roman" w:cs="Times New Roman"/>
            <w:color w:val="0000FF"/>
            <w:sz w:val="24"/>
            <w:szCs w:val="24"/>
            <w:u w:val="single"/>
          </w:rPr>
          <w:t>https://doi.org/10.1111/gbb.12401</w:t>
        </w:r>
      </w:hyperlink>
    </w:p>
    <w:p w14:paraId="2383A24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W., Pu, C., Jiang, J., Cao, Q., Wang, J., Zhao, M., &amp; Li, C. (2015). Efficacy and safety of treating patients with refractory schizophrenia with antipsychotic medication and adjunctive electroconvulsive therapy: A systematic review and meta-analysis.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(4), 206–219.</w:t>
      </w:r>
    </w:p>
    <w:p w14:paraId="0BF5D7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W.-H., Liou, H.-H., Chen, C.-C., Chiu, M.-J., Chen, T.-F., Cheng, T.-W., &amp; Hua, M.-S. (2011). Neuropsychological performance and seizure-related risk factors in patients with temporal lobe epilepsy: A retrospective cross-sectional study. </w:t>
      </w:r>
      <w:r w:rsidRPr="00DB4C76">
        <w:rPr>
          <w:rFonts w:ascii="Times New Roman" w:eastAsia="Times New Roman" w:hAnsi="Times New Roman" w:cs="Times New Roman"/>
          <w:i/>
          <w:iCs/>
          <w:sz w:val="24"/>
          <w:szCs w:val="24"/>
        </w:rPr>
        <w:t>Epilepsy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(4), 728–734. </w:t>
      </w:r>
      <w:hyperlink r:id="rId6161" w:history="1">
        <w:r w:rsidRPr="00DB4C76">
          <w:rPr>
            <w:rFonts w:ascii="Times New Roman" w:eastAsia="Times New Roman" w:hAnsi="Times New Roman" w:cs="Times New Roman"/>
            <w:color w:val="0000FF"/>
            <w:sz w:val="24"/>
            <w:szCs w:val="24"/>
            <w:u w:val="single"/>
          </w:rPr>
          <w:t>https://doi.org/10.1016/j.yebeh.2011.08.038</w:t>
        </w:r>
      </w:hyperlink>
    </w:p>
    <w:p w14:paraId="7168D6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X., Yao, S., Kirkpatrick, B., Shi, C., &amp; Yi, J. (2008). Psychopathology and neuropsychological impairments in deficit and nondeficit schizophrenia of Chinese origin.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158</w:t>
      </w:r>
      <w:r w:rsidRPr="00DB4C76">
        <w:rPr>
          <w:rFonts w:ascii="Times New Roman" w:eastAsia="Times New Roman" w:hAnsi="Times New Roman" w:cs="Times New Roman"/>
          <w:sz w:val="24"/>
          <w:szCs w:val="24"/>
        </w:rPr>
        <w:t xml:space="preserve">(2), 195–205. </w:t>
      </w:r>
      <w:hyperlink r:id="rId6162" w:history="1">
        <w:r w:rsidRPr="00DB4C76">
          <w:rPr>
            <w:rFonts w:ascii="Times New Roman" w:eastAsia="Times New Roman" w:hAnsi="Times New Roman" w:cs="Times New Roman"/>
            <w:color w:val="0000FF"/>
            <w:sz w:val="24"/>
            <w:szCs w:val="24"/>
            <w:u w:val="single"/>
          </w:rPr>
          <w:t>https://doi.org/10.1016/j.psychres.2006.09.007</w:t>
        </w:r>
      </w:hyperlink>
    </w:p>
    <w:p w14:paraId="5DEB19E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Xiang, Y. ‐T., Wang, C. ‐Y., Chiu, H. F. K., Zhao, J. ‐P., Chen, Q., Chan, S. S. M., Lee, E. H. M., Tang, W. ‐K., &amp; Ungvari, G. S. (2011). Insight in Chinese schizophrenia patients: A 12‐month follow‐up. </w:t>
      </w:r>
      <w:r w:rsidRPr="00DB4C76">
        <w:rPr>
          <w:rFonts w:ascii="Times New Roman" w:eastAsia="Times New Roman" w:hAnsi="Times New Roman" w:cs="Times New Roman"/>
          <w:i/>
          <w:iCs/>
          <w:sz w:val="24"/>
          <w:szCs w:val="24"/>
        </w:rPr>
        <w:t>Journal of Psychiatric and Mental Health Nursing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(9), 751–757. </w:t>
      </w:r>
      <w:hyperlink r:id="rId6163" w:history="1">
        <w:r w:rsidRPr="00DB4C76">
          <w:rPr>
            <w:rFonts w:ascii="Times New Roman" w:eastAsia="Times New Roman" w:hAnsi="Times New Roman" w:cs="Times New Roman"/>
            <w:color w:val="0000FF"/>
            <w:sz w:val="24"/>
            <w:szCs w:val="24"/>
            <w:u w:val="single"/>
          </w:rPr>
          <w:t>https://doi.org/10.1111/j.1365-2850.2010.01677.x</w:t>
        </w:r>
      </w:hyperlink>
    </w:p>
    <w:p w14:paraId="1F4CDCF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&amp; Yang, J. (2017). Effects of arousal and context on recognition memory for emotional pictures in younger and older adults. </w:t>
      </w:r>
      <w:r w:rsidRPr="00DB4C76">
        <w:rPr>
          <w:rFonts w:ascii="Times New Roman" w:eastAsia="Times New Roman" w:hAnsi="Times New Roman" w:cs="Times New Roman"/>
          <w:i/>
          <w:iCs/>
          <w:sz w:val="24"/>
          <w:szCs w:val="24"/>
        </w:rPr>
        <w:t>Experimental Aging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(2), 124–148. </w:t>
      </w:r>
      <w:hyperlink r:id="rId6164" w:history="1">
        <w:r w:rsidRPr="00DB4C76">
          <w:rPr>
            <w:rFonts w:ascii="Times New Roman" w:eastAsia="Times New Roman" w:hAnsi="Times New Roman" w:cs="Times New Roman"/>
            <w:color w:val="0000FF"/>
            <w:sz w:val="24"/>
            <w:szCs w:val="24"/>
            <w:u w:val="single"/>
          </w:rPr>
          <w:t>https://doi.org/10.1080/0361073X.2017.1276375</w:t>
        </w:r>
      </w:hyperlink>
    </w:p>
    <w:p w14:paraId="62C62F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Zhang, Y., Chen, M., &amp; Chen, Y. (2021). Adolescents’ daily executive function: Methodological considerations, daily variation, and associations with daily experiences. </w:t>
      </w:r>
      <w:r w:rsidRPr="00DB4C76">
        <w:rPr>
          <w:rFonts w:ascii="Times New Roman" w:eastAsia="Times New Roman" w:hAnsi="Times New Roman" w:cs="Times New Roman"/>
          <w:i/>
          <w:iCs/>
          <w:sz w:val="24"/>
          <w:szCs w:val="24"/>
        </w:rPr>
        <w:t>Psychological Assessment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(10), 973–986. </w:t>
      </w:r>
      <w:hyperlink r:id="rId6165" w:history="1">
        <w:r w:rsidRPr="00DB4C76">
          <w:rPr>
            <w:rFonts w:ascii="Times New Roman" w:eastAsia="Times New Roman" w:hAnsi="Times New Roman" w:cs="Times New Roman"/>
            <w:color w:val="0000FF"/>
            <w:sz w:val="24"/>
            <w:szCs w:val="24"/>
            <w:u w:val="single"/>
          </w:rPr>
          <w:t>https://doi.org/10.1037/pas0001040</w:t>
        </w:r>
      </w:hyperlink>
    </w:p>
    <w:p w14:paraId="681AE7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 Zhong, S., Chen, G., Liu, T., Zhao, L., Sun, Y., Jia, Y., &amp; Huang, L. (2018). Altered cerebellar functional connectivity in remitted bipolar disorder: A resting-state functional magnetic resonance imaging study. </w:t>
      </w:r>
      <w:r w:rsidRPr="00DB4C76">
        <w:rPr>
          <w:rFonts w:ascii="Times New Roman" w:eastAsia="Times New Roman" w:hAnsi="Times New Roman" w:cs="Times New Roman"/>
          <w:i/>
          <w:iCs/>
          <w:sz w:val="24"/>
          <w:szCs w:val="24"/>
        </w:rPr>
        <w:t>Australian and New Zealand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(10), 962–971. </w:t>
      </w:r>
      <w:hyperlink r:id="rId6166" w:history="1">
        <w:r w:rsidRPr="00DB4C76">
          <w:rPr>
            <w:rFonts w:ascii="Times New Roman" w:eastAsia="Times New Roman" w:hAnsi="Times New Roman" w:cs="Times New Roman"/>
            <w:color w:val="0000FF"/>
            <w:sz w:val="24"/>
            <w:szCs w:val="24"/>
            <w:u w:val="single"/>
          </w:rPr>
          <w:t>https://doi.org/10.1177/0004867417745996</w:t>
        </w:r>
      </w:hyperlink>
    </w:p>
    <w:p w14:paraId="6B378F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Y.-T., Chiu, N.-Y., Jou, S.-H., Yang, Y. K., Lee, I. H., Wang, C.-C., Chen, K. C., &amp; Liao, Y.-C. (2008). Effects of amisulpride on the cognitive function of patients with schizophrenia who switched from risperidone. </w:t>
      </w:r>
      <w:r w:rsidRPr="00DB4C76">
        <w:rPr>
          <w:rFonts w:ascii="Times New Roman" w:eastAsia="Times New Roman" w:hAnsi="Times New Roman" w:cs="Times New Roman"/>
          <w:i/>
          <w:iCs/>
          <w:sz w:val="24"/>
          <w:szCs w:val="24"/>
        </w:rPr>
        <w:t>International Journal of Psychiatry in Clinical Practice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180–186. </w:t>
      </w:r>
      <w:hyperlink r:id="rId6167" w:history="1">
        <w:r w:rsidRPr="00DB4C76">
          <w:rPr>
            <w:rFonts w:ascii="Times New Roman" w:eastAsia="Times New Roman" w:hAnsi="Times New Roman" w:cs="Times New Roman"/>
            <w:color w:val="0000FF"/>
            <w:sz w:val="24"/>
            <w:szCs w:val="24"/>
            <w:u w:val="single"/>
          </w:rPr>
          <w:t>https://doi.org/10.1080/13651500701805727</w:t>
        </w:r>
      </w:hyperlink>
    </w:p>
    <w:p w14:paraId="4D909F6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Wang, Z., Jing, J., Igarashi, K., Fan, L., Yang, S., Li, Y., &amp; Jin, Y. (2018). Executive function predicts the visuospatial working memory in autism spectrum disorder and attention‐deficit/hyperactivity disorder. </w:t>
      </w:r>
      <w:r w:rsidRPr="00DB4C76">
        <w:rPr>
          <w:rFonts w:ascii="Times New Roman" w:eastAsia="Times New Roman" w:hAnsi="Times New Roman" w:cs="Times New Roman"/>
          <w:i/>
          <w:iCs/>
          <w:sz w:val="24"/>
          <w:szCs w:val="24"/>
        </w:rPr>
        <w:t>Autism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(8), 1148–1156. </w:t>
      </w:r>
      <w:hyperlink r:id="rId6168" w:history="1">
        <w:r w:rsidRPr="00DB4C76">
          <w:rPr>
            <w:rFonts w:ascii="Times New Roman" w:eastAsia="Times New Roman" w:hAnsi="Times New Roman" w:cs="Times New Roman"/>
            <w:color w:val="0000FF"/>
            <w:sz w:val="24"/>
            <w:szCs w:val="24"/>
            <w:u w:val="single"/>
          </w:rPr>
          <w:t>https://doi.org/10.1002/aur.1967</w:t>
        </w:r>
      </w:hyperlink>
    </w:p>
    <w:p w14:paraId="40409A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Ward, J., Sheppard, J.-M., Shpritz, B., Margolis, R. L., Rosenblatt, A., &amp; Brandt, J. (2006). A four-year prospective study of cognitive functioning in Huntington’s disease.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(4), 445–454. </w:t>
      </w:r>
      <w:hyperlink r:id="rId6169" w:history="1">
        <w:r w:rsidRPr="00DB4C76">
          <w:rPr>
            <w:rFonts w:ascii="Times New Roman" w:eastAsia="Times New Roman" w:hAnsi="Times New Roman" w:cs="Times New Roman"/>
            <w:color w:val="0000FF"/>
            <w:sz w:val="24"/>
            <w:szCs w:val="24"/>
            <w:u w:val="single"/>
          </w:rPr>
          <w:t>https://doi.org/10.1017/S1355617706060565</w:t>
        </w:r>
      </w:hyperlink>
    </w:p>
    <w:p w14:paraId="09675CB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Wardle, M. C., Hart, A. B., Palmer, A. A., &amp; de Wit, H. (2013). Does COMT genotype influence the effects of d‐amphetamine on executive functioning? </w:t>
      </w:r>
      <w:r w:rsidRPr="00DB4C76">
        <w:rPr>
          <w:rFonts w:ascii="Times New Roman" w:eastAsia="Times New Roman" w:hAnsi="Times New Roman" w:cs="Times New Roman"/>
          <w:i/>
          <w:iCs/>
          <w:sz w:val="24"/>
          <w:szCs w:val="24"/>
        </w:rPr>
        <w:t>Genes, Brain &amp;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(1), 13–20. </w:t>
      </w:r>
      <w:hyperlink r:id="rId6170" w:history="1">
        <w:r w:rsidRPr="00DB4C76">
          <w:rPr>
            <w:rFonts w:ascii="Times New Roman" w:eastAsia="Times New Roman" w:hAnsi="Times New Roman" w:cs="Times New Roman"/>
            <w:color w:val="0000FF"/>
            <w:sz w:val="24"/>
            <w:szCs w:val="24"/>
            <w:u w:val="single"/>
          </w:rPr>
          <w:t>https://doi.org/10.1111/gbb.12012</w:t>
        </w:r>
      </w:hyperlink>
    </w:p>
    <w:p w14:paraId="5D5C53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Warren, A. M. (1997). </w:t>
      </w:r>
      <w:r w:rsidRPr="00DB4C76">
        <w:rPr>
          <w:rFonts w:ascii="Times New Roman" w:eastAsia="Times New Roman" w:hAnsi="Times New Roman" w:cs="Times New Roman"/>
          <w:i/>
          <w:iCs/>
          <w:sz w:val="24"/>
          <w:szCs w:val="24"/>
        </w:rPr>
        <w:t>Neuropsychological aspects of sustained attention in sexually abused children.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(4-B), 2144–2144.</w:t>
      </w:r>
    </w:p>
    <w:p w14:paraId="3A0068E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Warren, D. E., Denburg, N. L., Power, J. D., Bruss, J., Waldron, E. J., Sun, H., Petersen, S. E., &amp; Tranel, D. (2017). Brain network theory can predict whether neuropsychological outcomes will differ from clinical expectations.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(1), 40–52.</w:t>
      </w:r>
    </w:p>
    <w:p w14:paraId="3CC6437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Warren, D. E., Duff, M. C., Magnotta, V., Capizzano, A. A., Cassell, M. D., &amp; Tranel, D. (2012). Long-term neuropsychological, neuroanatomical, and life outcome in hippocampal amnesia.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335–369. </w:t>
      </w:r>
      <w:hyperlink r:id="rId6171" w:history="1">
        <w:r w:rsidRPr="00DB4C76">
          <w:rPr>
            <w:rFonts w:ascii="Times New Roman" w:eastAsia="Times New Roman" w:hAnsi="Times New Roman" w:cs="Times New Roman"/>
            <w:color w:val="0000FF"/>
            <w:sz w:val="24"/>
            <w:szCs w:val="24"/>
            <w:u w:val="single"/>
          </w:rPr>
          <w:t>https://doi.org/10.1080/13854046.2012.655781</w:t>
        </w:r>
      </w:hyperlink>
    </w:p>
    <w:p w14:paraId="1D16C6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Warrington, E. K. (2000). Homophone meaning generation: A new test of verbal switching for the detection of frontal lobe dysfunction.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(6), 643–648. </w:t>
      </w:r>
      <w:hyperlink r:id="rId6172" w:history="1">
        <w:r w:rsidRPr="00DB4C76">
          <w:rPr>
            <w:rFonts w:ascii="Times New Roman" w:eastAsia="Times New Roman" w:hAnsi="Times New Roman" w:cs="Times New Roman"/>
            <w:color w:val="0000FF"/>
            <w:sz w:val="24"/>
            <w:szCs w:val="24"/>
            <w:u w:val="single"/>
          </w:rPr>
          <w:t>https://doi.org/10.1017/S1355617700666018</w:t>
        </w:r>
      </w:hyperlink>
    </w:p>
    <w:p w14:paraId="0DD97F3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 S. V. (2015). Applying cognitive training to target executive functions during early development. </w:t>
      </w:r>
      <w:r w:rsidRPr="00DB4C76">
        <w:rPr>
          <w:rFonts w:ascii="Times New Roman" w:eastAsia="Times New Roman" w:hAnsi="Times New Roman" w:cs="Times New Roman"/>
          <w:i/>
          <w:iCs/>
          <w:sz w:val="24"/>
          <w:szCs w:val="24"/>
        </w:rPr>
        <w:t>Child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(2), 150–166. </w:t>
      </w:r>
      <w:hyperlink r:id="rId6173" w:history="1">
        <w:r w:rsidRPr="00DB4C76">
          <w:rPr>
            <w:rFonts w:ascii="Times New Roman" w:eastAsia="Times New Roman" w:hAnsi="Times New Roman" w:cs="Times New Roman"/>
            <w:color w:val="0000FF"/>
            <w:sz w:val="24"/>
            <w:szCs w:val="24"/>
            <w:u w:val="single"/>
          </w:rPr>
          <w:t>https://doi.org/10.1080/09297049.2014.882888</w:t>
        </w:r>
      </w:hyperlink>
    </w:p>
    <w:p w14:paraId="6BF2E9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 S. V., &amp; Porayska-Pomsta, K. (2014). The uses of cognitive training technologies in the treatment of autism spectrum disorders. </w:t>
      </w:r>
      <w:r w:rsidRPr="00DB4C76">
        <w:rPr>
          <w:rFonts w:ascii="Times New Roman" w:eastAsia="Times New Roman" w:hAnsi="Times New Roman" w:cs="Times New Roman"/>
          <w:i/>
          <w:iCs/>
          <w:sz w:val="24"/>
          <w:szCs w:val="24"/>
        </w:rPr>
        <w:t>Autism</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(8), 851–871. </w:t>
      </w:r>
      <w:hyperlink r:id="rId6174" w:history="1">
        <w:r w:rsidRPr="00DB4C76">
          <w:rPr>
            <w:rFonts w:ascii="Times New Roman" w:eastAsia="Times New Roman" w:hAnsi="Times New Roman" w:cs="Times New Roman"/>
            <w:color w:val="0000FF"/>
            <w:sz w:val="24"/>
            <w:szCs w:val="24"/>
            <w:u w:val="single"/>
          </w:rPr>
          <w:t>https://doi.org/10.1177/1362361313499827</w:t>
        </w:r>
      </w:hyperlink>
    </w:p>
    <w:p w14:paraId="60E84F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Wasserman, T., &amp; Wasserman, L. D. (2013). Toward an integrated model of executive functioning in children. </w:t>
      </w:r>
      <w:r w:rsidRPr="00DB4C76">
        <w:rPr>
          <w:rFonts w:ascii="Times New Roman" w:eastAsia="Times New Roman" w:hAnsi="Times New Roman" w:cs="Times New Roman"/>
          <w:i/>
          <w:iCs/>
          <w:sz w:val="24"/>
          <w:szCs w:val="24"/>
        </w:rPr>
        <w:t>Applied Neuropsychology: Child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88–96. </w:t>
      </w:r>
      <w:hyperlink r:id="rId6175" w:history="1">
        <w:r w:rsidRPr="00DB4C76">
          <w:rPr>
            <w:rFonts w:ascii="Times New Roman" w:eastAsia="Times New Roman" w:hAnsi="Times New Roman" w:cs="Times New Roman"/>
            <w:color w:val="0000FF"/>
            <w:sz w:val="24"/>
            <w:szCs w:val="24"/>
            <w:u w:val="single"/>
          </w:rPr>
          <w:t>https://doi.org/10.1080/21622965.2013.748394</w:t>
        </w:r>
      </w:hyperlink>
    </w:p>
    <w:p w14:paraId="4B2C4D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Wassink, T. H., Nopoulos, P., Pietila, J., Crowe, R. R., &amp; Andreasen, N. C. (2003). NOTCH4 and the frontal lobe in schizophrenia.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118B</w:t>
      </w:r>
      <w:r w:rsidRPr="00DB4C76">
        <w:rPr>
          <w:rFonts w:ascii="Times New Roman" w:eastAsia="Times New Roman" w:hAnsi="Times New Roman" w:cs="Times New Roman"/>
          <w:sz w:val="24"/>
          <w:szCs w:val="24"/>
        </w:rPr>
        <w:t xml:space="preserve">(1), 1–7. </w:t>
      </w:r>
      <w:hyperlink r:id="rId6176" w:history="1">
        <w:r w:rsidRPr="00DB4C76">
          <w:rPr>
            <w:rFonts w:ascii="Times New Roman" w:eastAsia="Times New Roman" w:hAnsi="Times New Roman" w:cs="Times New Roman"/>
            <w:color w:val="0000FF"/>
            <w:sz w:val="24"/>
            <w:szCs w:val="24"/>
            <w:u w:val="single"/>
          </w:rPr>
          <w:t>https://doi.org/10.1002/ajmg.b.10071</w:t>
        </w:r>
      </w:hyperlink>
    </w:p>
    <w:p w14:paraId="7DA259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Waszkiewicz, J., Wciórka, J., Anczewska, M., Chrostek, A., &amp; Świtaj, P. (2012). Zaburzenia językowe a inne wybrane funkcje poznawcze u osób chorujących na zaburzenia schizofreniczne. [Language disorders and cognitive functions in persons with schizophrenic disorders.]. </w:t>
      </w:r>
      <w:r w:rsidRPr="00DB4C76">
        <w:rPr>
          <w:rFonts w:ascii="Times New Roman" w:eastAsia="Times New Roman" w:hAnsi="Times New Roman" w:cs="Times New Roman"/>
          <w:i/>
          <w:iCs/>
          <w:sz w:val="24"/>
          <w:szCs w:val="24"/>
        </w:rPr>
        <w:t>Psychiatria Polska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(4), 553–570.</w:t>
      </w:r>
    </w:p>
    <w:p w14:paraId="584CE7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Watanabe, A., Kasai, K., Fukuda, M., Iwanami, A., Nakagome, K., Henomatsu, K., Ohno, T., Akimoto, K., Itoh, T., Asai, H., Kamio, S., Murakami, T., Hata, A., Hashimoto, O., &amp; Kato, N. (2000). The level of participation during social skills training of persons with schizophrenia: Correlates of cognitive function and symptomatology. [The level of participation during social skills training of persons with schizophrenia: Correlates of cognitive f. </w:t>
      </w:r>
      <w:r w:rsidRPr="00DB4C76">
        <w:rPr>
          <w:rFonts w:ascii="Times New Roman" w:eastAsia="Times New Roman" w:hAnsi="Times New Roman" w:cs="Times New Roman"/>
          <w:i/>
          <w:iCs/>
          <w:sz w:val="24"/>
          <w:szCs w:val="24"/>
        </w:rPr>
        <w:t>Seishin Igaku (Clinical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(8), 801–807.</w:t>
      </w:r>
    </w:p>
    <w:p w14:paraId="19611C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Watanabe, K., Ogino, T., Nakano, K., Hattori, J., Kado, Y., Sanada, S., &amp; Ohtsuka, Y. (2005). The Rey-Osterrieth Complex Figure as a measure of executive function in childhood.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(8), 564–569. </w:t>
      </w:r>
      <w:hyperlink r:id="rId6177" w:history="1">
        <w:r w:rsidRPr="00DB4C76">
          <w:rPr>
            <w:rFonts w:ascii="Times New Roman" w:eastAsia="Times New Roman" w:hAnsi="Times New Roman" w:cs="Times New Roman"/>
            <w:color w:val="0000FF"/>
            <w:sz w:val="24"/>
            <w:szCs w:val="24"/>
            <w:u w:val="single"/>
          </w:rPr>
          <w:t>https://doi.org/10.1016/j.braindev.2005.02.007</w:t>
        </w:r>
      </w:hyperlink>
    </w:p>
    <w:p w14:paraId="3DA1C56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Watanabe, Y., &amp; Funahashi, S. (2012). Thalamic mediodorsal nucleus and working memory.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(1), 134–142. </w:t>
      </w:r>
      <w:hyperlink r:id="rId6178" w:history="1">
        <w:r w:rsidRPr="00DB4C76">
          <w:rPr>
            <w:rFonts w:ascii="Times New Roman" w:eastAsia="Times New Roman" w:hAnsi="Times New Roman" w:cs="Times New Roman"/>
            <w:color w:val="0000FF"/>
            <w:sz w:val="24"/>
            <w:szCs w:val="24"/>
            <w:u w:val="single"/>
          </w:rPr>
          <w:t>https://doi.org/10.1016/j.neubiorev.2011.05.003</w:t>
        </w:r>
      </w:hyperlink>
    </w:p>
    <w:p w14:paraId="021F53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Watari, K., Letamendi, A., Elderkin-Thompson, V., Haroon, E., Miller, J., Darwin, C., &amp; Kumar, A. (2006). Cognitive function in adults with type 2 diabetes and major depression.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(8), 787–796. </w:t>
      </w:r>
      <w:hyperlink r:id="rId6179" w:history="1">
        <w:r w:rsidRPr="00DB4C76">
          <w:rPr>
            <w:rFonts w:ascii="Times New Roman" w:eastAsia="Times New Roman" w:hAnsi="Times New Roman" w:cs="Times New Roman"/>
            <w:color w:val="0000FF"/>
            <w:sz w:val="24"/>
            <w:szCs w:val="24"/>
            <w:u w:val="single"/>
          </w:rPr>
          <w:t>https://doi.org/10.1016/j.acn.2006.06.014</w:t>
        </w:r>
      </w:hyperlink>
    </w:p>
    <w:p w14:paraId="06D2D66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Waters, A., Farrell, L. J., &amp; Schilpzand, E. (2013). Anxiety disorders. In </w:t>
      </w:r>
      <w:r w:rsidRPr="00DB4C76">
        <w:rPr>
          <w:rFonts w:ascii="Times New Roman" w:eastAsia="Times New Roman" w:hAnsi="Times New Roman" w:cs="Times New Roman"/>
          <w:i/>
          <w:iCs/>
          <w:sz w:val="24"/>
          <w:szCs w:val="24"/>
        </w:rPr>
        <w:t>Neuropsychological assessment and intervention for youth: An evidence-based approach to emotional and behavioral disorders.</w:t>
      </w:r>
      <w:r w:rsidRPr="00DB4C76">
        <w:rPr>
          <w:rFonts w:ascii="Times New Roman" w:eastAsia="Times New Roman" w:hAnsi="Times New Roman" w:cs="Times New Roman"/>
          <w:sz w:val="24"/>
          <w:szCs w:val="24"/>
        </w:rPr>
        <w:t xml:space="preserve"> (pp. 13–40). American Psychological Association. </w:t>
      </w:r>
      <w:hyperlink r:id="rId6180" w:history="1">
        <w:r w:rsidRPr="00DB4C76">
          <w:rPr>
            <w:rFonts w:ascii="Times New Roman" w:eastAsia="Times New Roman" w:hAnsi="Times New Roman" w:cs="Times New Roman"/>
            <w:color w:val="0000FF"/>
            <w:sz w:val="24"/>
            <w:szCs w:val="24"/>
            <w:u w:val="single"/>
          </w:rPr>
          <w:t>https://doi.org/10.1037/14091-002</w:t>
        </w:r>
      </w:hyperlink>
    </w:p>
    <w:p w14:paraId="6177E7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Watkins, K. E., Hewes, D. K. M., Connelly, A., Kendall, B. E., Kingsley, D. P. E., Evans, J. E. P., Gadian, D. G., Vargha-Khadem, F., &amp; Kirkham, F. J. (1998). Cognitive deficits associated with frontal-lobe infarction in children with sickle cell disease. </w:t>
      </w:r>
      <w:r w:rsidRPr="00DB4C76">
        <w:rPr>
          <w:rFonts w:ascii="Times New Roman" w:eastAsia="Times New Roman" w:hAnsi="Times New Roman" w:cs="Times New Roman"/>
          <w:i/>
          <w:iCs/>
          <w:sz w:val="24"/>
          <w:szCs w:val="24"/>
        </w:rPr>
        <w:t>Developmental Medicine &amp;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(8), 536–543. </w:t>
      </w:r>
      <w:hyperlink r:id="rId6181" w:history="1">
        <w:r w:rsidRPr="00DB4C76">
          <w:rPr>
            <w:rFonts w:ascii="Times New Roman" w:eastAsia="Times New Roman" w:hAnsi="Times New Roman" w:cs="Times New Roman"/>
            <w:color w:val="0000FF"/>
            <w:sz w:val="24"/>
            <w:szCs w:val="24"/>
            <w:u w:val="single"/>
          </w:rPr>
          <w:t>https://doi.org/10.1111/j.1469-8749.1998.tb15412.x</w:t>
        </w:r>
      </w:hyperlink>
    </w:p>
    <w:p w14:paraId="50040DF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Watson, G. S., Cholerton, B. A., Gross, R. G., Weintraub, D., Zabetian, C. P., Trojanowski, J. Q., Montine, T. J., Siderowf, A., &amp; Leverenz, J. B. (2013). Neuropsychologic assessment in collaborative Parkinson’s disease research: A proposal from the National Institute of Neurological disorders and Stroke Morris K. Udall Centers of Excellence for Parkinson’s Disease Research at the University of Pennsylvania. </w:t>
      </w:r>
      <w:r w:rsidRPr="00DB4C76">
        <w:rPr>
          <w:rFonts w:ascii="Times New Roman" w:eastAsia="Times New Roman" w:hAnsi="Times New Roman" w:cs="Times New Roman"/>
          <w:i/>
          <w:iCs/>
          <w:sz w:val="24"/>
          <w:szCs w:val="24"/>
        </w:rPr>
        <w:t>Alzheimer’s &amp; Dementia: The Journal of the Alzheimer’s Association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(5), 609–614. </w:t>
      </w:r>
      <w:hyperlink r:id="rId6182" w:history="1">
        <w:r w:rsidRPr="00DB4C76">
          <w:rPr>
            <w:rFonts w:ascii="Times New Roman" w:eastAsia="Times New Roman" w:hAnsi="Times New Roman" w:cs="Times New Roman"/>
            <w:color w:val="0000FF"/>
            <w:sz w:val="24"/>
            <w:szCs w:val="24"/>
            <w:u w:val="single"/>
          </w:rPr>
          <w:t>https://doi.org/10.1016/j.jalz.2012.07.006</w:t>
        </w:r>
      </w:hyperlink>
    </w:p>
    <w:p w14:paraId="46985B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Watson, P. D., Voss, J. L., Warren, D. E., Tranel, D., &amp; Cohen, N. J. (2013). Spatial reconstruction by patients with hippocampal damage is dominated by relational memory errors. </w:t>
      </w:r>
      <w:r w:rsidRPr="00DB4C76">
        <w:rPr>
          <w:rFonts w:ascii="Times New Roman" w:eastAsia="Times New Roman" w:hAnsi="Times New Roman" w:cs="Times New Roman"/>
          <w:i/>
          <w:iCs/>
          <w:sz w:val="24"/>
          <w:szCs w:val="24"/>
        </w:rPr>
        <w:t>Hippocampus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(7), 570–580. </w:t>
      </w:r>
      <w:hyperlink r:id="rId6183" w:history="1">
        <w:r w:rsidRPr="00DB4C76">
          <w:rPr>
            <w:rFonts w:ascii="Times New Roman" w:eastAsia="Times New Roman" w:hAnsi="Times New Roman" w:cs="Times New Roman"/>
            <w:color w:val="0000FF"/>
            <w:sz w:val="24"/>
            <w:szCs w:val="24"/>
            <w:u w:val="single"/>
          </w:rPr>
          <w:t>https://doi.org/10.1002/hipo.22115</w:t>
        </w:r>
      </w:hyperlink>
    </w:p>
    <w:p w14:paraId="5E0A75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Watson, T. D., Azizian, A., &amp; Squires, N. K. (2006). Event-related potential correlates of extradimensional and intradimensional set-shifts in a modified Wisconsin Card Sorting Test.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1092</w:t>
      </w:r>
      <w:r w:rsidRPr="00DB4C76">
        <w:rPr>
          <w:rFonts w:ascii="Times New Roman" w:eastAsia="Times New Roman" w:hAnsi="Times New Roman" w:cs="Times New Roman"/>
          <w:sz w:val="24"/>
          <w:szCs w:val="24"/>
        </w:rPr>
        <w:t xml:space="preserve">(1), 138–151. </w:t>
      </w:r>
      <w:hyperlink r:id="rId6184" w:history="1">
        <w:r w:rsidRPr="00DB4C76">
          <w:rPr>
            <w:rFonts w:ascii="Times New Roman" w:eastAsia="Times New Roman" w:hAnsi="Times New Roman" w:cs="Times New Roman"/>
            <w:color w:val="0000FF"/>
            <w:sz w:val="24"/>
            <w:szCs w:val="24"/>
            <w:u w:val="single"/>
          </w:rPr>
          <w:t>https://doi.org/10.1016/j.brainres.2006.03.098</w:t>
        </w:r>
      </w:hyperlink>
    </w:p>
    <w:p w14:paraId="525CAF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Watt, S., Prado, C. E., &amp; Crowe, S. F. (2018). Immediate and delayed neuropsychological effects of carbon monoxide poisoning: A meta-analysis.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(4), 405–415. </w:t>
      </w:r>
      <w:hyperlink r:id="rId6185" w:history="1">
        <w:r w:rsidRPr="00DB4C76">
          <w:rPr>
            <w:rFonts w:ascii="Times New Roman" w:eastAsia="Times New Roman" w:hAnsi="Times New Roman" w:cs="Times New Roman"/>
            <w:color w:val="0000FF"/>
            <w:sz w:val="24"/>
            <w:szCs w:val="24"/>
            <w:u w:val="single"/>
          </w:rPr>
          <w:t>https://doi.org/10.1017/S1355617717001035</w:t>
        </w:r>
      </w:hyperlink>
    </w:p>
    <w:p w14:paraId="48B6EDA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Watzke, S. (2013). Dynamisch kognitives Testen in der Auswahl optimaler rehabilitativer Versorgungsangebote. [Dynamic cognitive testing for selecting the optimal vocational rehabilitation strategy.]. </w:t>
      </w:r>
      <w:r w:rsidRPr="00DB4C76">
        <w:rPr>
          <w:rFonts w:ascii="Times New Roman" w:eastAsia="Times New Roman" w:hAnsi="Times New Roman" w:cs="Times New Roman"/>
          <w:i/>
          <w:iCs/>
          <w:sz w:val="24"/>
          <w:szCs w:val="24"/>
        </w:rPr>
        <w:t>Nervenheilkunde: Zeitschrift Für Interdisziplinaere Fortbildung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(6), 363–369. </w:t>
      </w:r>
      <w:hyperlink r:id="rId6186" w:history="1">
        <w:r w:rsidRPr="00DB4C76">
          <w:rPr>
            <w:rFonts w:ascii="Times New Roman" w:eastAsia="Times New Roman" w:hAnsi="Times New Roman" w:cs="Times New Roman"/>
            <w:color w:val="0000FF"/>
            <w:sz w:val="24"/>
            <w:szCs w:val="24"/>
            <w:u w:val="single"/>
          </w:rPr>
          <w:t>https://doi.org/10.1055/s-0038-1628513</w:t>
        </w:r>
      </w:hyperlink>
    </w:p>
    <w:p w14:paraId="2CC93F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Watzke, S., Brieger, P., Kuss, O., Schoettke, H., &amp; Wiedl, K. H. (2008). A longitudinal study of learning potential and rehabilitation outcome in schizophrenia. </w:t>
      </w:r>
      <w:r w:rsidRPr="00DB4C76">
        <w:rPr>
          <w:rFonts w:ascii="Times New Roman" w:eastAsia="Times New Roman" w:hAnsi="Times New Roman" w:cs="Times New Roman"/>
          <w:i/>
          <w:iCs/>
          <w:sz w:val="24"/>
          <w:szCs w:val="24"/>
        </w:rPr>
        <w:t>Psychiatric Services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 xml:space="preserve">(3), 248–255. </w:t>
      </w:r>
      <w:hyperlink r:id="rId6187" w:history="1">
        <w:r w:rsidRPr="00DB4C76">
          <w:rPr>
            <w:rFonts w:ascii="Times New Roman" w:eastAsia="Times New Roman" w:hAnsi="Times New Roman" w:cs="Times New Roman"/>
            <w:color w:val="0000FF"/>
            <w:sz w:val="24"/>
            <w:szCs w:val="24"/>
            <w:u w:val="single"/>
          </w:rPr>
          <w:t>https://doi.org/10.1176/appi.ps.59.3.248</w:t>
        </w:r>
      </w:hyperlink>
    </w:p>
    <w:p w14:paraId="3FA7EE6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Watzke, S., Brieger, P., &amp; Wiedl, K. H. (2009). Prediction of vocational rehabilitation outcome in schizophrenia: Incremental prognostic validity of learning potential beyond basic cognitive performance.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(1), 52–62. </w:t>
      </w:r>
      <w:hyperlink r:id="rId6188" w:history="1">
        <w:r w:rsidRPr="00DB4C76">
          <w:rPr>
            <w:rFonts w:ascii="Times New Roman" w:eastAsia="Times New Roman" w:hAnsi="Times New Roman" w:cs="Times New Roman"/>
            <w:color w:val="0000FF"/>
            <w:sz w:val="24"/>
            <w:szCs w:val="24"/>
            <w:u w:val="single"/>
          </w:rPr>
          <w:t>https://doi.org/10.1891/1945-8959.8.1.52</w:t>
        </w:r>
      </w:hyperlink>
    </w:p>
    <w:p w14:paraId="2872A39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Wauters, L., Marquardt, T., &amp; Muñoz, M. L. (2020). Verbal fluency in three Spanish-English bilingual speakers with TBI. </w:t>
      </w:r>
      <w:r w:rsidRPr="00DB4C76">
        <w:rPr>
          <w:rFonts w:ascii="Times New Roman" w:eastAsia="Times New Roman" w:hAnsi="Times New Roman" w:cs="Times New Roman"/>
          <w:i/>
          <w:iCs/>
          <w:sz w:val="24"/>
          <w:szCs w:val="24"/>
        </w:rPr>
        <w:t>Journal of Communication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84</w:t>
      </w:r>
      <w:r w:rsidRPr="00DB4C76">
        <w:rPr>
          <w:rFonts w:ascii="Times New Roman" w:eastAsia="Times New Roman" w:hAnsi="Times New Roman" w:cs="Times New Roman"/>
          <w:sz w:val="24"/>
          <w:szCs w:val="24"/>
        </w:rPr>
        <w:t xml:space="preserve">. </w:t>
      </w:r>
      <w:hyperlink r:id="rId6189" w:history="1">
        <w:r w:rsidRPr="00DB4C76">
          <w:rPr>
            <w:rFonts w:ascii="Times New Roman" w:eastAsia="Times New Roman" w:hAnsi="Times New Roman" w:cs="Times New Roman"/>
            <w:color w:val="0000FF"/>
            <w:sz w:val="24"/>
            <w:szCs w:val="24"/>
            <w:u w:val="single"/>
          </w:rPr>
          <w:t>https://doi.org/10.1016/j.jcomdis.2019.105971</w:t>
        </w:r>
      </w:hyperlink>
    </w:p>
    <w:p w14:paraId="50F9AE9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Weatherly, G. E. (2002). </w:t>
      </w:r>
      <w:r w:rsidRPr="00DB4C76">
        <w:rPr>
          <w:rFonts w:ascii="Times New Roman" w:eastAsia="Times New Roman" w:hAnsi="Times New Roman" w:cs="Times New Roman"/>
          <w:i/>
          <w:iCs/>
          <w:sz w:val="24"/>
          <w:szCs w:val="24"/>
        </w:rPr>
        <w:t>Investigation of the factor structure of the wisconsin card sorting test using structural equation modeling.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(7-B), 3394–3394.</w:t>
      </w:r>
    </w:p>
    <w:p w14:paraId="15ABCA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Weaver, F. M., Follett, K. A., Stern, M., Luo, P., Harris, C. L., Hur, K., Marks Jr., W. J., Rothlind, J., Sagher, O., Moy, C., Pahwa, R., Burchiel, K., Hogarth, P., Lai, E. C., Duda, J. E., Holloway, K., Samii, A., Horn, S., Bronstein, J. M., … Reda, D. J. (2012). Randomized trial of deep brain stimulation for Parkinson disease: Thirty-six-month outcomes.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79</w:t>
      </w:r>
      <w:r w:rsidRPr="00DB4C76">
        <w:rPr>
          <w:rFonts w:ascii="Times New Roman" w:eastAsia="Times New Roman" w:hAnsi="Times New Roman" w:cs="Times New Roman"/>
          <w:sz w:val="24"/>
          <w:szCs w:val="24"/>
        </w:rPr>
        <w:t xml:space="preserve">(1), 55–65. </w:t>
      </w:r>
      <w:hyperlink r:id="rId6190" w:history="1">
        <w:r w:rsidRPr="00DB4C76">
          <w:rPr>
            <w:rFonts w:ascii="Times New Roman" w:eastAsia="Times New Roman" w:hAnsi="Times New Roman" w:cs="Times New Roman"/>
            <w:color w:val="0000FF"/>
            <w:sz w:val="24"/>
            <w:szCs w:val="24"/>
            <w:u w:val="single"/>
          </w:rPr>
          <w:t>https://doi.org/10.1212/WNL.0b013e31825dcdc1</w:t>
        </w:r>
      </w:hyperlink>
    </w:p>
    <w:p w14:paraId="7A8621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Weaver, F. M., Follett, K., Stern, M., Hur, K., Harris, C., Marks Jr., W. J., Rothlind, J., Sagher, O., Reda, D., Moy, C. S., Pahwa, R., Burchiel, K., Hogarth, P., Lai, E. C., Duda, J. E., Holloway, K., Samii, A., Horn, S., Bronstein, J., … Huang, G. D. (2009). Bilateral deep brain stimulation vs best medical therapy for patients with advanced Parkinson disease: A randomized controlled trial. </w:t>
      </w:r>
      <w:r w:rsidRPr="00DB4C76">
        <w:rPr>
          <w:rFonts w:ascii="Times New Roman" w:eastAsia="Times New Roman" w:hAnsi="Times New Roman" w:cs="Times New Roman"/>
          <w:i/>
          <w:iCs/>
          <w:sz w:val="24"/>
          <w:szCs w:val="24"/>
        </w:rPr>
        <w:t>JAMA: Journal of the American Medical Association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301</w:t>
      </w:r>
      <w:r w:rsidRPr="00DB4C76">
        <w:rPr>
          <w:rFonts w:ascii="Times New Roman" w:eastAsia="Times New Roman" w:hAnsi="Times New Roman" w:cs="Times New Roman"/>
          <w:sz w:val="24"/>
          <w:szCs w:val="24"/>
        </w:rPr>
        <w:t xml:space="preserve">(1), 63–72. </w:t>
      </w:r>
      <w:hyperlink r:id="rId6191" w:history="1">
        <w:r w:rsidRPr="00DB4C76">
          <w:rPr>
            <w:rFonts w:ascii="Times New Roman" w:eastAsia="Times New Roman" w:hAnsi="Times New Roman" w:cs="Times New Roman"/>
            <w:color w:val="0000FF"/>
            <w:sz w:val="24"/>
            <w:szCs w:val="24"/>
            <w:u w:val="single"/>
          </w:rPr>
          <w:t>https://doi.org/10.1001/jama.2008.929</w:t>
        </w:r>
      </w:hyperlink>
    </w:p>
    <w:p w14:paraId="06C866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Blackstone, K., Iudicello, J. E., Morgan, E. E., Grant, I., Moore, D. J., &amp; Woods, S. P. (2012). Neurocognitive deficits are associated with unemployment in chronic methamphetamine users.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125</w:t>
      </w:r>
      <w:r w:rsidRPr="00DB4C76">
        <w:rPr>
          <w:rFonts w:ascii="Times New Roman" w:eastAsia="Times New Roman" w:hAnsi="Times New Roman" w:cs="Times New Roman"/>
          <w:sz w:val="24"/>
          <w:szCs w:val="24"/>
        </w:rPr>
        <w:t xml:space="preserve">(1–2), 146–153. </w:t>
      </w:r>
      <w:hyperlink r:id="rId6192" w:history="1">
        <w:r w:rsidRPr="00DB4C76">
          <w:rPr>
            <w:rFonts w:ascii="Times New Roman" w:eastAsia="Times New Roman" w:hAnsi="Times New Roman" w:cs="Times New Roman"/>
            <w:color w:val="0000FF"/>
            <w:sz w:val="24"/>
            <w:szCs w:val="24"/>
            <w:u w:val="single"/>
          </w:rPr>
          <w:t>https://doi.org/10.1016/j.drugalcdep.2012.04.002</w:t>
        </w:r>
      </w:hyperlink>
    </w:p>
    <w:p w14:paraId="5120D52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Blackstone, K., &amp; Woods, S. P. (2013). Cognitive neurorehabilitation of HIV-associated neurocognitive disorders: A qualitative review and call to action. </w:t>
      </w:r>
      <w:r w:rsidRPr="00DB4C76">
        <w:rPr>
          <w:rFonts w:ascii="Times New Roman" w:eastAsia="Times New Roman" w:hAnsi="Times New Roman" w:cs="Times New Roman"/>
          <w:i/>
          <w:iCs/>
          <w:sz w:val="24"/>
          <w:szCs w:val="24"/>
        </w:rPr>
        <w:t>Neuropsychology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81–98. </w:t>
      </w:r>
      <w:hyperlink r:id="rId6193" w:history="1">
        <w:r w:rsidRPr="00DB4C76">
          <w:rPr>
            <w:rFonts w:ascii="Times New Roman" w:eastAsia="Times New Roman" w:hAnsi="Times New Roman" w:cs="Times New Roman"/>
            <w:color w:val="0000FF"/>
            <w:sz w:val="24"/>
            <w:szCs w:val="24"/>
            <w:u w:val="single"/>
          </w:rPr>
          <w:t>https://doi.org/10.1007/s11065-013-9225-6</w:t>
        </w:r>
      </w:hyperlink>
    </w:p>
    <w:p w14:paraId="739F2C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Spirou, A., Chiaravalloti, N., &amp; Lengenfelder, J. (2018). Impact of frontal neurobehavioral symptoms on employment in individuals with TBI. </w:t>
      </w:r>
      <w:r w:rsidRPr="00DB4C76">
        <w:rPr>
          <w:rFonts w:ascii="Times New Roman" w:eastAsia="Times New Roman" w:hAnsi="Times New Roman" w:cs="Times New Roman"/>
          <w:i/>
          <w:iCs/>
          <w:sz w:val="24"/>
          <w:szCs w:val="24"/>
        </w:rPr>
        <w:t>Rehabilitation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(3), 383–391. </w:t>
      </w:r>
      <w:hyperlink r:id="rId6194" w:history="1">
        <w:r w:rsidRPr="00DB4C76">
          <w:rPr>
            <w:rFonts w:ascii="Times New Roman" w:eastAsia="Times New Roman" w:hAnsi="Times New Roman" w:cs="Times New Roman"/>
            <w:color w:val="0000FF"/>
            <w:sz w:val="24"/>
            <w:szCs w:val="24"/>
            <w:u w:val="single"/>
          </w:rPr>
          <w:t>https://doi.org/10.1037/rep0000208</w:t>
        </w:r>
      </w:hyperlink>
    </w:p>
    <w:p w14:paraId="3C6A40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E., Woods, S. P., Cameron, M. V., Gibson, S. A., &amp; Grant, I. (2010). Mental rotation of hands in HIV infection: Neuropsychological evidence of dysfunction in fronto-striato-parietal networks.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(1), 115–122. </w:t>
      </w:r>
      <w:hyperlink r:id="rId6195" w:history="1">
        <w:r w:rsidRPr="00DB4C76">
          <w:rPr>
            <w:rFonts w:ascii="Times New Roman" w:eastAsia="Times New Roman" w:hAnsi="Times New Roman" w:cs="Times New Roman"/>
            <w:color w:val="0000FF"/>
            <w:sz w:val="24"/>
            <w:szCs w:val="24"/>
            <w:u w:val="single"/>
          </w:rPr>
          <w:t>https://doi.org/10.1176/appi.neuropsych.22.1.115</w:t>
        </w:r>
      </w:hyperlink>
    </w:p>
    <w:p w14:paraId="53317F6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 R. C., Riccio, C. A., &amp; Cohen, M. J. (2013). Does Rey complex figure copy performance measure executive function in children? </w:t>
      </w:r>
      <w:r w:rsidRPr="00DB4C76">
        <w:rPr>
          <w:rFonts w:ascii="Times New Roman" w:eastAsia="Times New Roman" w:hAnsi="Times New Roman" w:cs="Times New Roman"/>
          <w:i/>
          <w:iCs/>
          <w:sz w:val="24"/>
          <w:szCs w:val="24"/>
        </w:rPr>
        <w:t>Applied Neuropsychology: Child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(1), 6–12. </w:t>
      </w:r>
      <w:hyperlink r:id="rId6196" w:history="1">
        <w:r w:rsidRPr="00DB4C76">
          <w:rPr>
            <w:rFonts w:ascii="Times New Roman" w:eastAsia="Times New Roman" w:hAnsi="Times New Roman" w:cs="Times New Roman"/>
            <w:color w:val="0000FF"/>
            <w:sz w:val="24"/>
            <w:szCs w:val="24"/>
            <w:u w:val="single"/>
          </w:rPr>
          <w:t>https://doi.org/10.1080/09084282.2011.643964</w:t>
        </w:r>
      </w:hyperlink>
    </w:p>
    <w:p w14:paraId="2CF1331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Weber-Fahr, W., Englisch, S., Esser, A., Tunc-Skarka, N., Meyer-Lindenberg, A., Ende, G., &amp; Zink, M. (2013). Altered phospholipid metabolism in schizophrenia: A phosphorus 31 nuclear magnetic resonance spectroscopy study.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214</w:t>
      </w:r>
      <w:r w:rsidRPr="00DB4C76">
        <w:rPr>
          <w:rFonts w:ascii="Times New Roman" w:eastAsia="Times New Roman" w:hAnsi="Times New Roman" w:cs="Times New Roman"/>
          <w:sz w:val="24"/>
          <w:szCs w:val="24"/>
        </w:rPr>
        <w:t xml:space="preserve">(3), 365–373. </w:t>
      </w:r>
      <w:hyperlink r:id="rId6197" w:history="1">
        <w:r w:rsidRPr="00DB4C76">
          <w:rPr>
            <w:rFonts w:ascii="Times New Roman" w:eastAsia="Times New Roman" w:hAnsi="Times New Roman" w:cs="Times New Roman"/>
            <w:color w:val="0000FF"/>
            <w:sz w:val="24"/>
            <w:szCs w:val="24"/>
            <w:u w:val="single"/>
          </w:rPr>
          <w:t>https://doi.org/10.1016/j.pscychresns.2013.06.011</w:t>
        </w:r>
      </w:hyperlink>
    </w:p>
    <w:p w14:paraId="3C41B45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Webster, J. P., Lamberton, P. H. L., &amp; McConkey, G. A. (2016). The Toxoplasma gondii model of schizophrenia. In </w:t>
      </w:r>
      <w:r w:rsidRPr="00DB4C76">
        <w:rPr>
          <w:rFonts w:ascii="Times New Roman" w:eastAsia="Times New Roman" w:hAnsi="Times New Roman" w:cs="Times New Roman"/>
          <w:i/>
          <w:iCs/>
          <w:sz w:val="24"/>
          <w:szCs w:val="24"/>
        </w:rPr>
        <w:t>Modeling the psychopathological dimensions of schizophrenia: From molecules to behavior.</w:t>
      </w:r>
      <w:r w:rsidRPr="00DB4C76">
        <w:rPr>
          <w:rFonts w:ascii="Times New Roman" w:eastAsia="Times New Roman" w:hAnsi="Times New Roman" w:cs="Times New Roman"/>
          <w:sz w:val="24"/>
          <w:szCs w:val="24"/>
        </w:rPr>
        <w:t xml:space="preserve"> (pp. 225–241). Elsevier Academic Press. </w:t>
      </w:r>
      <w:hyperlink r:id="rId6198" w:history="1">
        <w:r w:rsidRPr="00DB4C76">
          <w:rPr>
            <w:rFonts w:ascii="Times New Roman" w:eastAsia="Times New Roman" w:hAnsi="Times New Roman" w:cs="Times New Roman"/>
            <w:color w:val="0000FF"/>
            <w:sz w:val="24"/>
            <w:szCs w:val="24"/>
            <w:u w:val="single"/>
          </w:rPr>
          <w:t>https://doi.org/10.1016/B978-0-12-800981-9.00014-6</w:t>
        </w:r>
      </w:hyperlink>
    </w:p>
    <w:p w14:paraId="3FAFAC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Wedding, I. M., Koht, J., Dietrichs, E., Landrø, N. I., &amp; Tallaksen, C. M. E. (2013). Cognition is only minimally impaired in spinocerebellar ataxia type 14 (SCA14): A neuropsychological study of ten Norwegian subjects compared to intrafamilial controls and population norm. </w:t>
      </w:r>
      <w:r w:rsidRPr="00DB4C76">
        <w:rPr>
          <w:rFonts w:ascii="Times New Roman" w:eastAsia="Times New Roman" w:hAnsi="Times New Roman" w:cs="Times New Roman"/>
          <w:i/>
          <w:iCs/>
          <w:sz w:val="24"/>
          <w:szCs w:val="24"/>
        </w:rPr>
        <w:t>BMC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w:t>
      </w:r>
    </w:p>
    <w:p w14:paraId="516ADE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Wegesin, D. J., &amp; Stern, Y. (2007). Effects of hormone replacement therapy and aging on cognition: Evidence for executive dysfunction. </w:t>
      </w:r>
      <w:r w:rsidRPr="00DB4C76">
        <w:rPr>
          <w:rFonts w:ascii="Times New Roman" w:eastAsia="Times New Roman" w:hAnsi="Times New Roman" w:cs="Times New Roman"/>
          <w:i/>
          <w:iCs/>
          <w:sz w:val="24"/>
          <w:szCs w:val="24"/>
        </w:rPr>
        <w:t>Aging, Neuropsychology,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(3), 301–328. </w:t>
      </w:r>
      <w:hyperlink r:id="rId6199" w:history="1">
        <w:r w:rsidRPr="00DB4C76">
          <w:rPr>
            <w:rFonts w:ascii="Times New Roman" w:eastAsia="Times New Roman" w:hAnsi="Times New Roman" w:cs="Times New Roman"/>
            <w:color w:val="0000FF"/>
            <w:sz w:val="24"/>
            <w:szCs w:val="24"/>
            <w:u w:val="single"/>
          </w:rPr>
          <w:t>https://doi.org/10.1080/13825580600802893</w:t>
        </w:r>
      </w:hyperlink>
    </w:p>
    <w:p w14:paraId="0BDA580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 C., Sun, Y., Chen, N., Chen, S., Xiu, M., &amp; Zhang, X. (2020). Interaction of oxidative stress and BDNF on executive dysfunction in patients with chronic schizophrenia. </w:t>
      </w:r>
      <w:r w:rsidRPr="00DB4C76">
        <w:rPr>
          <w:rFonts w:ascii="Times New Roman" w:eastAsia="Times New Roman" w:hAnsi="Times New Roman" w:cs="Times New Roman"/>
          <w:i/>
          <w:iCs/>
          <w:sz w:val="24"/>
          <w:szCs w:val="24"/>
        </w:rPr>
        <w:t>Psychoneuroendocrinology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111</w:t>
      </w:r>
      <w:r w:rsidRPr="00DB4C76">
        <w:rPr>
          <w:rFonts w:ascii="Times New Roman" w:eastAsia="Times New Roman" w:hAnsi="Times New Roman" w:cs="Times New Roman"/>
          <w:sz w:val="24"/>
          <w:szCs w:val="24"/>
        </w:rPr>
        <w:t xml:space="preserve">. </w:t>
      </w:r>
      <w:hyperlink r:id="rId6200" w:history="1">
        <w:r w:rsidRPr="00DB4C76">
          <w:rPr>
            <w:rFonts w:ascii="Times New Roman" w:eastAsia="Times New Roman" w:hAnsi="Times New Roman" w:cs="Times New Roman"/>
            <w:color w:val="0000FF"/>
            <w:sz w:val="24"/>
            <w:szCs w:val="24"/>
            <w:u w:val="single"/>
          </w:rPr>
          <w:t>https://doi.org/10.1016/j.psyneuen.2019.104473</w:t>
        </w:r>
      </w:hyperlink>
    </w:p>
    <w:p w14:paraId="52703C7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Weickert, T. W., Goldberg, T. E., Mishara, A., Apud, J. A., Kolachana, B. S., Egan, M. F., &amp; Weinberger, D. R. (2004). Catechol-O-Methyltransferase Val108/158Met Genotype Predicts Working Memory Response to Antipsychotic Medications.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(9), 677–682. </w:t>
      </w:r>
      <w:hyperlink r:id="rId6201" w:history="1">
        <w:r w:rsidRPr="00DB4C76">
          <w:rPr>
            <w:rFonts w:ascii="Times New Roman" w:eastAsia="Times New Roman" w:hAnsi="Times New Roman" w:cs="Times New Roman"/>
            <w:color w:val="0000FF"/>
            <w:sz w:val="24"/>
            <w:szCs w:val="24"/>
            <w:u w:val="single"/>
          </w:rPr>
          <w:t>https://doi.org/10.1016/j.biopsych.2004.08.012</w:t>
        </w:r>
      </w:hyperlink>
    </w:p>
    <w:p w14:paraId="36CD84D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Weickert, T. W., Terrazas, A., Bigelow, L. B., Apud, J. A., Egan, M. F., &amp; Weinberger, D. R. (2014). Perceptual category judgment deficits are related to prefrontal decision making abnormalities in schizophrenia.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 </w:t>
      </w:r>
      <w:hyperlink r:id="rId6202" w:history="1">
        <w:r w:rsidRPr="00DB4C76">
          <w:rPr>
            <w:rFonts w:ascii="Times New Roman" w:eastAsia="Times New Roman" w:hAnsi="Times New Roman" w:cs="Times New Roman"/>
            <w:color w:val="0000FF"/>
            <w:sz w:val="24"/>
            <w:szCs w:val="24"/>
            <w:u w:val="single"/>
          </w:rPr>
          <w:t>https://doi.org/10.3389/fpsyt.2013.00184</w:t>
        </w:r>
      </w:hyperlink>
    </w:p>
    <w:p w14:paraId="056E08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Weider, S., Indredavik, M. S., Lydersen, S., &amp; Hestad, K. (2015). Neuropsychological function in patients with anorexia nervosa or bulimia nervosa. </w:t>
      </w:r>
      <w:r w:rsidRPr="00DB4C76">
        <w:rPr>
          <w:rFonts w:ascii="Times New Roman" w:eastAsia="Times New Roman" w:hAnsi="Times New Roman" w:cs="Times New Roman"/>
          <w:i/>
          <w:iCs/>
          <w:sz w:val="24"/>
          <w:szCs w:val="24"/>
        </w:rPr>
        <w:t>International Journal of Eating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(4), 397–405. </w:t>
      </w:r>
      <w:hyperlink r:id="rId6203" w:history="1">
        <w:r w:rsidRPr="00DB4C76">
          <w:rPr>
            <w:rFonts w:ascii="Times New Roman" w:eastAsia="Times New Roman" w:hAnsi="Times New Roman" w:cs="Times New Roman"/>
            <w:color w:val="0000FF"/>
            <w:sz w:val="24"/>
            <w:szCs w:val="24"/>
            <w:u w:val="single"/>
          </w:rPr>
          <w:t>https://doi.org/10.1002/eat.22283</w:t>
        </w:r>
      </w:hyperlink>
    </w:p>
    <w:p w14:paraId="6948A2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Weierink, L., Vermeulen, R. J., &amp; Boyd, R. N. (2013). Brain structure and executive functions in children with cerebral palsy: A systematic review.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(5), 1678–1688. </w:t>
      </w:r>
      <w:hyperlink r:id="rId6204" w:history="1">
        <w:r w:rsidRPr="00DB4C76">
          <w:rPr>
            <w:rFonts w:ascii="Times New Roman" w:eastAsia="Times New Roman" w:hAnsi="Times New Roman" w:cs="Times New Roman"/>
            <w:color w:val="0000FF"/>
            <w:sz w:val="24"/>
            <w:szCs w:val="24"/>
            <w:u w:val="single"/>
          </w:rPr>
          <w:t>https://doi.org/10.1016/j.ridd.2013.01.035</w:t>
        </w:r>
      </w:hyperlink>
    </w:p>
    <w:p w14:paraId="2282F2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Weiler, M. D., Bellinger, D., Marmor, J., Rancier, S., &amp; Waber, D. (1999). Mother and teacher reports of ADHD symptoms: DSM-IV questionnaire data. </w:t>
      </w:r>
      <w:r w:rsidRPr="00DB4C76">
        <w:rPr>
          <w:rFonts w:ascii="Times New Roman" w:eastAsia="Times New Roman" w:hAnsi="Times New Roman" w:cs="Times New Roman"/>
          <w:i/>
          <w:iCs/>
          <w:sz w:val="24"/>
          <w:szCs w:val="24"/>
        </w:rPr>
        <w:t>Journal of the American Academy of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38</w:t>
      </w:r>
      <w:r w:rsidRPr="00DB4C76">
        <w:rPr>
          <w:rFonts w:ascii="Times New Roman" w:eastAsia="Times New Roman" w:hAnsi="Times New Roman" w:cs="Times New Roman"/>
          <w:sz w:val="24"/>
          <w:szCs w:val="24"/>
        </w:rPr>
        <w:t xml:space="preserve">(9), 1139–1147. </w:t>
      </w:r>
      <w:hyperlink r:id="rId6205" w:history="1">
        <w:r w:rsidRPr="00DB4C76">
          <w:rPr>
            <w:rFonts w:ascii="Times New Roman" w:eastAsia="Times New Roman" w:hAnsi="Times New Roman" w:cs="Times New Roman"/>
            <w:color w:val="0000FF"/>
            <w:sz w:val="24"/>
            <w:szCs w:val="24"/>
            <w:u w:val="single"/>
          </w:rPr>
          <w:t>https://doi.org/10.1097/00004583-199909000-00018</w:t>
        </w:r>
      </w:hyperlink>
    </w:p>
    <w:p w14:paraId="149110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Weinborn, M., Woods, S. P., O’Toole, S., Kellogg, E. J., &amp; Moyle, J. (2011). Prospective memory in substance abusers at treatment entry: Associations with education, neuropsychology functioning, and everyday memory lapses.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(8), 746–755. </w:t>
      </w:r>
      <w:hyperlink r:id="rId6206" w:history="1">
        <w:r w:rsidRPr="00DB4C76">
          <w:rPr>
            <w:rFonts w:ascii="Times New Roman" w:eastAsia="Times New Roman" w:hAnsi="Times New Roman" w:cs="Times New Roman"/>
            <w:color w:val="0000FF"/>
            <w:sz w:val="24"/>
            <w:szCs w:val="24"/>
            <w:u w:val="single"/>
          </w:rPr>
          <w:t>https://doi.org/10.1093/arclin/acr071</w:t>
        </w:r>
      </w:hyperlink>
    </w:p>
    <w:p w14:paraId="1C2821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Weiner, E., Conley, R. R., Ball, M. P., Feldman, S., Gold, J. M., Kelly, D. L., Wonodi, I., McMahon, R. P., &amp; Buchanan, R. W. (2010). Adjunctive risperidone for partially responsive people with schizophrenia treated with clozapine.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(11), 2274–2283. </w:t>
      </w:r>
      <w:hyperlink r:id="rId6207" w:history="1">
        <w:r w:rsidRPr="00DB4C76">
          <w:rPr>
            <w:rFonts w:ascii="Times New Roman" w:eastAsia="Times New Roman" w:hAnsi="Times New Roman" w:cs="Times New Roman"/>
            <w:color w:val="0000FF"/>
            <w:sz w:val="24"/>
            <w:szCs w:val="24"/>
            <w:u w:val="single"/>
          </w:rPr>
          <w:t>https://doi.org/10.1038/npp.2010.101</w:t>
        </w:r>
      </w:hyperlink>
    </w:p>
    <w:p w14:paraId="4AA610D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Weiner, I. B. (Ed.). (2013). Assessment psychology. In </w:t>
      </w:r>
      <w:r w:rsidRPr="00DB4C76">
        <w:rPr>
          <w:rFonts w:ascii="Times New Roman" w:eastAsia="Times New Roman" w:hAnsi="Times New Roman" w:cs="Times New Roman"/>
          <w:i/>
          <w:iCs/>
          <w:sz w:val="24"/>
          <w:szCs w:val="24"/>
        </w:rPr>
        <w:t>Handbook of psychology: History of psychology, Vol. 1, 2nd ed.</w:t>
      </w:r>
      <w:r w:rsidRPr="00DB4C76">
        <w:rPr>
          <w:rFonts w:ascii="Times New Roman" w:eastAsia="Times New Roman" w:hAnsi="Times New Roman" w:cs="Times New Roman"/>
          <w:sz w:val="24"/>
          <w:szCs w:val="24"/>
        </w:rPr>
        <w:t xml:space="preserve"> (pp. 314–339). John Wiley &amp; Sons Inc.</w:t>
      </w:r>
    </w:p>
    <w:p w14:paraId="5FE1C2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Weingartz, S., Wiedl, K. H., &amp; Watzke, S. (2008). Dynamic assessment of executive functioning: (How) can we measure change? </w:t>
      </w:r>
      <w:r w:rsidRPr="00DB4C76">
        <w:rPr>
          <w:rFonts w:ascii="Times New Roman" w:eastAsia="Times New Roman" w:hAnsi="Times New Roman" w:cs="Times New Roman"/>
          <w:i/>
          <w:iCs/>
          <w:sz w:val="24"/>
          <w:szCs w:val="24"/>
        </w:rPr>
        <w:t>Journal of Cognitive Education and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(3), 368–387. </w:t>
      </w:r>
      <w:hyperlink r:id="rId6208" w:history="1">
        <w:r w:rsidRPr="00DB4C76">
          <w:rPr>
            <w:rFonts w:ascii="Times New Roman" w:eastAsia="Times New Roman" w:hAnsi="Times New Roman" w:cs="Times New Roman"/>
            <w:color w:val="0000FF"/>
            <w:sz w:val="24"/>
            <w:szCs w:val="24"/>
            <w:u w:val="single"/>
          </w:rPr>
          <w:t>https://doi.org/10.1891/194589508787724088</w:t>
        </w:r>
      </w:hyperlink>
    </w:p>
    <w:p w14:paraId="72E14FA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Weinstein, A., Brickner, O., Lerman, H., Greemland, M., Bloch, M., Lester, H., Chisin, R., Mechoulam, R., Bar-Hamburger, R., Freedman, N., &amp; Even-Sapir, E. (2008). Brain imaging study of the acute effects of Δ</w:t>
      </w:r>
      <w:r w:rsidRPr="00DB4C76">
        <w:rPr>
          <w:rFonts w:ascii="Times New Roman" w:eastAsia="Times New Roman" w:hAnsi="Times New Roman" w:cs="Times New Roman"/>
          <w:sz w:val="24"/>
          <w:szCs w:val="24"/>
          <w:vertAlign w:val="superscript"/>
        </w:rPr>
        <w:t>9</w:t>
      </w:r>
      <w:r w:rsidRPr="00DB4C76">
        <w:rPr>
          <w:rFonts w:ascii="Times New Roman" w:eastAsia="Times New Roman" w:hAnsi="Times New Roman" w:cs="Times New Roman"/>
          <w:sz w:val="24"/>
          <w:szCs w:val="24"/>
        </w:rPr>
        <w:t xml:space="preserve">-tetrahydrocannabinol (THC) on attention and motor coordination in regular users of marijuana. </w:t>
      </w:r>
      <w:r w:rsidRPr="00DB4C76">
        <w:rPr>
          <w:rFonts w:ascii="Times New Roman" w:eastAsia="Times New Roman" w:hAnsi="Times New Roman" w:cs="Times New Roman"/>
          <w:i/>
          <w:iCs/>
          <w:sz w:val="24"/>
          <w:szCs w:val="24"/>
        </w:rPr>
        <w:t>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196</w:t>
      </w:r>
      <w:r w:rsidRPr="00DB4C76">
        <w:rPr>
          <w:rFonts w:ascii="Times New Roman" w:eastAsia="Times New Roman" w:hAnsi="Times New Roman" w:cs="Times New Roman"/>
          <w:sz w:val="24"/>
          <w:szCs w:val="24"/>
        </w:rPr>
        <w:t xml:space="preserve">(1), 119–131. </w:t>
      </w:r>
      <w:hyperlink r:id="rId6209" w:history="1">
        <w:r w:rsidRPr="00DB4C76">
          <w:rPr>
            <w:rFonts w:ascii="Times New Roman" w:eastAsia="Times New Roman" w:hAnsi="Times New Roman" w:cs="Times New Roman"/>
            <w:color w:val="0000FF"/>
            <w:sz w:val="24"/>
            <w:szCs w:val="24"/>
            <w:u w:val="single"/>
          </w:rPr>
          <w:t>https://doi.org/10.1007/s00213-007-0940-7</w:t>
        </w:r>
      </w:hyperlink>
    </w:p>
    <w:p w14:paraId="48B936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Weinstein, J. A. (1997). </w:t>
      </w:r>
      <w:r w:rsidRPr="00DB4C76">
        <w:rPr>
          <w:rFonts w:ascii="Times New Roman" w:eastAsia="Times New Roman" w:hAnsi="Times New Roman" w:cs="Times New Roman"/>
          <w:i/>
          <w:iCs/>
          <w:sz w:val="24"/>
          <w:szCs w:val="24"/>
        </w:rPr>
        <w:t>Neuromotor and attentional functioning in schizophrenia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(11-B), 7240–7240.</w:t>
      </w:r>
    </w:p>
    <w:p w14:paraId="047614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Weintraub, S., Bauer, P. J., Zelazo, P. D., Wallner‐Allen, K., Dikmen, S. S., Heaton, R. K., Tulsky, D. S., Slotkin, J., Blitz, D. L., Carlozzi, N. E., Havlik, R. J., Beaumont, J. L., Mungas, D., Manly, J. J., Borosh, B. G., Nowinski, C. J., &amp; Gershon, R. C. (2013). National Institutes of Health Toolbox Cognition Battery (NIH Toolbox CB): Validation for children between 3 and 15 years: I. NIH Toolbox Cognition Battery (CB): Introduction and pediatric data. </w:t>
      </w:r>
      <w:r w:rsidRPr="00DB4C76">
        <w:rPr>
          <w:rFonts w:ascii="Times New Roman" w:eastAsia="Times New Roman" w:hAnsi="Times New Roman" w:cs="Times New Roman"/>
          <w:i/>
          <w:iCs/>
          <w:sz w:val="24"/>
          <w:szCs w:val="24"/>
        </w:rPr>
        <w:t>Monographs of the Society for Research in Child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(4), 1–15. </w:t>
      </w:r>
      <w:hyperlink r:id="rId6210" w:history="1">
        <w:r w:rsidRPr="00DB4C76">
          <w:rPr>
            <w:rFonts w:ascii="Times New Roman" w:eastAsia="Times New Roman" w:hAnsi="Times New Roman" w:cs="Times New Roman"/>
            <w:color w:val="0000FF"/>
            <w:sz w:val="24"/>
            <w:szCs w:val="24"/>
            <w:u w:val="single"/>
          </w:rPr>
          <w:t>https://doi.org/10.1111/mono.12031</w:t>
        </w:r>
      </w:hyperlink>
    </w:p>
    <w:p w14:paraId="40ED23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Weisfelt, M., Hoogman, M., van de Beek, D., de Gans, J., Dreschler, W. A., &amp; Schmand, B. A. (2006). Dexamethasone and Long-Term Outcome in Adults with Bacterial Meningitis. </w:t>
      </w:r>
      <w:r w:rsidRPr="00DB4C76">
        <w:rPr>
          <w:rFonts w:ascii="Times New Roman" w:eastAsia="Times New Roman" w:hAnsi="Times New Roman" w:cs="Times New Roman"/>
          <w:i/>
          <w:iCs/>
          <w:sz w:val="24"/>
          <w:szCs w:val="24"/>
        </w:rPr>
        <w:t>Annals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(4), 456–468. </w:t>
      </w:r>
      <w:hyperlink r:id="rId6211" w:history="1">
        <w:r w:rsidRPr="00DB4C76">
          <w:rPr>
            <w:rFonts w:ascii="Times New Roman" w:eastAsia="Times New Roman" w:hAnsi="Times New Roman" w:cs="Times New Roman"/>
            <w:color w:val="0000FF"/>
            <w:sz w:val="24"/>
            <w:szCs w:val="24"/>
            <w:u w:val="single"/>
          </w:rPr>
          <w:t>https://doi.org/10.1002/ana.20944</w:t>
        </w:r>
      </w:hyperlink>
    </w:p>
    <w:p w14:paraId="646B3C0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Weissberger, G. H., Gollan, T. H., Bondi, M. W., Nation, D. A., Hansen, L. A., Galasko, D., &amp; Salmon, D. P. (2019). Neuropsychological deficit profiles, vascular risk factors, and neuropathological findings in Hispanic older adults with autopsy-confirmed Alzheimer’s disease.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67</w:t>
      </w:r>
      <w:r w:rsidRPr="00DB4C76">
        <w:rPr>
          <w:rFonts w:ascii="Times New Roman" w:eastAsia="Times New Roman" w:hAnsi="Times New Roman" w:cs="Times New Roman"/>
          <w:sz w:val="24"/>
          <w:szCs w:val="24"/>
        </w:rPr>
        <w:t xml:space="preserve">(1), 291–302. </w:t>
      </w:r>
      <w:hyperlink r:id="rId6212" w:history="1">
        <w:r w:rsidRPr="00DB4C76">
          <w:rPr>
            <w:rFonts w:ascii="Times New Roman" w:eastAsia="Times New Roman" w:hAnsi="Times New Roman" w:cs="Times New Roman"/>
            <w:color w:val="0000FF"/>
            <w:sz w:val="24"/>
            <w:szCs w:val="24"/>
            <w:u w:val="single"/>
          </w:rPr>
          <w:t>https://doi.org/10.3233/JAD-180351</w:t>
        </w:r>
      </w:hyperlink>
    </w:p>
    <w:p w14:paraId="00E9D7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Weissberger, G. H., Salmon, D. P., Bondi, M. W., &amp; Gollan, T. H. (2013). Which neuropsychological tests predict progression to Alzheimer’s disease in Hispanics?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343–355. </w:t>
      </w:r>
      <w:hyperlink r:id="rId6213" w:history="1">
        <w:r w:rsidRPr="00DB4C76">
          <w:rPr>
            <w:rFonts w:ascii="Times New Roman" w:eastAsia="Times New Roman" w:hAnsi="Times New Roman" w:cs="Times New Roman"/>
            <w:color w:val="0000FF"/>
            <w:sz w:val="24"/>
            <w:szCs w:val="24"/>
            <w:u w:val="single"/>
          </w:rPr>
          <w:t>https://doi.org/10.1037/a0032399</w:t>
        </w:r>
      </w:hyperlink>
    </w:p>
    <w:p w14:paraId="25F2458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Weissgerber, K. R., &amp; Epping, A. (2008). Bad signs: Sickle-cell disease and stroke. In </w:t>
      </w:r>
      <w:r w:rsidRPr="00DB4C76">
        <w:rPr>
          <w:rFonts w:ascii="Times New Roman" w:eastAsia="Times New Roman" w:hAnsi="Times New Roman" w:cs="Times New Roman"/>
          <w:i/>
          <w:iCs/>
          <w:sz w:val="24"/>
          <w:szCs w:val="24"/>
        </w:rPr>
        <w:t>Pediatric neuropsychology case studies: From the exceptional to the commonplace.</w:t>
      </w:r>
      <w:r w:rsidRPr="00DB4C76">
        <w:rPr>
          <w:rFonts w:ascii="Times New Roman" w:eastAsia="Times New Roman" w:hAnsi="Times New Roman" w:cs="Times New Roman"/>
          <w:sz w:val="24"/>
          <w:szCs w:val="24"/>
        </w:rPr>
        <w:t xml:space="preserve"> (pp. 51–58). Springer Science + Business Media. </w:t>
      </w:r>
      <w:hyperlink r:id="rId6214" w:history="1">
        <w:r w:rsidRPr="00DB4C76">
          <w:rPr>
            <w:rFonts w:ascii="Times New Roman" w:eastAsia="Times New Roman" w:hAnsi="Times New Roman" w:cs="Times New Roman"/>
            <w:color w:val="0000FF"/>
            <w:sz w:val="24"/>
            <w:szCs w:val="24"/>
            <w:u w:val="single"/>
          </w:rPr>
          <w:t>https://doi.org/10.1007/978-0-387-78965-1_6</w:t>
        </w:r>
      </w:hyperlink>
    </w:p>
    <w:p w14:paraId="5A6313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Weller, J. A., King, M. L., Figner, B., &amp; Denburg, N. L. (2019). Information use in risky decision making: Do age differences depend on affective context? </w:t>
      </w:r>
      <w:r w:rsidRPr="00DB4C76">
        <w:rPr>
          <w:rFonts w:ascii="Times New Roman" w:eastAsia="Times New Roman" w:hAnsi="Times New Roman" w:cs="Times New Roman"/>
          <w:i/>
          <w:iCs/>
          <w:sz w:val="24"/>
          <w:szCs w:val="24"/>
        </w:rPr>
        <w:t>Psychology and 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(7), 1005–1020. </w:t>
      </w:r>
      <w:hyperlink r:id="rId6215" w:history="1">
        <w:r w:rsidRPr="00DB4C76">
          <w:rPr>
            <w:rFonts w:ascii="Times New Roman" w:eastAsia="Times New Roman" w:hAnsi="Times New Roman" w:cs="Times New Roman"/>
            <w:color w:val="0000FF"/>
            <w:sz w:val="24"/>
            <w:szCs w:val="24"/>
            <w:u w:val="single"/>
          </w:rPr>
          <w:t>https://doi.org/10.1037/pag0000397</w:t>
        </w:r>
      </w:hyperlink>
    </w:p>
    <w:p w14:paraId="25F4F1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Welsh-Bohmer, K. A., &amp; Attix, D. K. (2012). Neuropsychological assessment of dementia. In </w:t>
      </w:r>
      <w:r w:rsidRPr="00DB4C76">
        <w:rPr>
          <w:rFonts w:ascii="Times New Roman" w:eastAsia="Times New Roman" w:hAnsi="Times New Roman" w:cs="Times New Roman"/>
          <w:i/>
          <w:iCs/>
          <w:sz w:val="24"/>
          <w:szCs w:val="24"/>
        </w:rPr>
        <w:t>Essentials of geriatric psychiatry, 2nd ed.</w:t>
      </w:r>
      <w:r w:rsidRPr="00DB4C76">
        <w:rPr>
          <w:rFonts w:ascii="Times New Roman" w:eastAsia="Times New Roman" w:hAnsi="Times New Roman" w:cs="Times New Roman"/>
          <w:sz w:val="24"/>
          <w:szCs w:val="24"/>
        </w:rPr>
        <w:t xml:space="preserve"> (pp. 75–89). American Psychiatric Publishing, Inc.</w:t>
      </w:r>
    </w:p>
    <w:p w14:paraId="40F1D8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Welter, M.-L., Schüpbach, M., Czernecki, V., Karachi, C., Fernandez-Vidal, S., Golmard, J.-L., Serra, G., Navarro, S., Welaratne, A., Hartmann, A., Mesnage, V., Pineau, F., Cornu, P., Pidoux, B., Worbe, Y., Zikos, P., Grabli, D., Galanaud, D., Bonnet, A.-M., … Agid, Y. (2014). Optimal target localization for subthalamic stimulation in patients with Parkinson disease.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(15), 1352–1361. </w:t>
      </w:r>
      <w:hyperlink r:id="rId6216" w:history="1">
        <w:r w:rsidRPr="00DB4C76">
          <w:rPr>
            <w:rFonts w:ascii="Times New Roman" w:eastAsia="Times New Roman" w:hAnsi="Times New Roman" w:cs="Times New Roman"/>
            <w:color w:val="0000FF"/>
            <w:sz w:val="24"/>
            <w:szCs w:val="24"/>
            <w:u w:val="single"/>
          </w:rPr>
          <w:t>https://doi.org/10.1212/WNL.0000000000000315</w:t>
        </w:r>
      </w:hyperlink>
    </w:p>
    <w:p w14:paraId="190E8A8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 S., Cheng, M., Cheng, M., Yue, J., Li, J., &amp; Xie, L. (2014). Neurocognitive dysfunction and regional cerebral blood flow in medically naïve patients with obsessive-compulsive disorder.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(1), 37–50. </w:t>
      </w:r>
      <w:hyperlink r:id="rId6217" w:history="1">
        <w:r w:rsidRPr="00DB4C76">
          <w:rPr>
            <w:rFonts w:ascii="Times New Roman" w:eastAsia="Times New Roman" w:hAnsi="Times New Roman" w:cs="Times New Roman"/>
            <w:color w:val="0000FF"/>
            <w:sz w:val="24"/>
            <w:szCs w:val="24"/>
            <w:u w:val="single"/>
          </w:rPr>
          <w:t>https://doi.org/10.1080/87565641.2013.839682</w:t>
        </w:r>
      </w:hyperlink>
    </w:p>
    <w:p w14:paraId="5DE5DC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Wendsche, J., Ghadiri, A., Bengsch, A., &amp; Wegge, J. (2017). Antecedents and outcomes of nurses’ rest break organization: A scoping review. </w:t>
      </w:r>
      <w:r w:rsidRPr="00DB4C76">
        <w:rPr>
          <w:rFonts w:ascii="Times New Roman" w:eastAsia="Times New Roman" w:hAnsi="Times New Roman" w:cs="Times New Roman"/>
          <w:i/>
          <w:iCs/>
          <w:sz w:val="24"/>
          <w:szCs w:val="24"/>
        </w:rPr>
        <w:t>International Journal of Nursing Studies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 65–80. </w:t>
      </w:r>
      <w:hyperlink r:id="rId6218" w:history="1">
        <w:r w:rsidRPr="00DB4C76">
          <w:rPr>
            <w:rFonts w:ascii="Times New Roman" w:eastAsia="Times New Roman" w:hAnsi="Times New Roman" w:cs="Times New Roman"/>
            <w:color w:val="0000FF"/>
            <w:sz w:val="24"/>
            <w:szCs w:val="24"/>
            <w:u w:val="single"/>
          </w:rPr>
          <w:t>https://doi.org/10.1016/j.ijnurstu.2017.07.005</w:t>
        </w:r>
      </w:hyperlink>
    </w:p>
    <w:p w14:paraId="563990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Weniger, G., Boucsein, K., &amp; Irle, E. (2004). Impaired Associative Memory in Temporal Lobe Epilepsy Subjects after Lesions of Hippocampus, Parahippocampal Gyrus, and Amygdala. </w:t>
      </w:r>
      <w:r w:rsidRPr="00DB4C76">
        <w:rPr>
          <w:rFonts w:ascii="Times New Roman" w:eastAsia="Times New Roman" w:hAnsi="Times New Roman" w:cs="Times New Roman"/>
          <w:i/>
          <w:iCs/>
          <w:sz w:val="24"/>
          <w:szCs w:val="24"/>
        </w:rPr>
        <w:t>Hippocampus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(6), 785–796. </w:t>
      </w:r>
      <w:hyperlink r:id="rId6219" w:history="1">
        <w:r w:rsidRPr="00DB4C76">
          <w:rPr>
            <w:rFonts w:ascii="Times New Roman" w:eastAsia="Times New Roman" w:hAnsi="Times New Roman" w:cs="Times New Roman"/>
            <w:color w:val="0000FF"/>
            <w:sz w:val="24"/>
            <w:szCs w:val="24"/>
            <w:u w:val="single"/>
          </w:rPr>
          <w:t>https://doi.org/10.1002/hipo.10216</w:t>
        </w:r>
      </w:hyperlink>
    </w:p>
    <w:p w14:paraId="796D8F3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Weniger, G., Ruhleder, M., Lange, C., Wolf, S., &amp; Irle, E. (2011). Egocentric and allocentric memory as assessed by virtual reality in individuals with amnestic mild cognitive impairment.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(3), 518–527. </w:t>
      </w:r>
      <w:hyperlink r:id="rId6220" w:history="1">
        <w:r w:rsidRPr="00DB4C76">
          <w:rPr>
            <w:rFonts w:ascii="Times New Roman" w:eastAsia="Times New Roman" w:hAnsi="Times New Roman" w:cs="Times New Roman"/>
            <w:color w:val="0000FF"/>
            <w:sz w:val="24"/>
            <w:szCs w:val="24"/>
            <w:u w:val="single"/>
          </w:rPr>
          <w:t>https://doi.org/10.1016/j.neuropsychologia.2010.12.031</w:t>
        </w:r>
      </w:hyperlink>
    </w:p>
    <w:p w14:paraId="7B1CAD1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Wenisch, É., De Tassigny, A., Trocello, J.-M., Beretti, J., Girardot-Tinant, N., &amp; Woimant, F. (2013). Cognitive profile in Wilson’s disease: A case series of 31 patients. </w:t>
      </w:r>
      <w:r w:rsidRPr="00DB4C76">
        <w:rPr>
          <w:rFonts w:ascii="Times New Roman" w:eastAsia="Times New Roman" w:hAnsi="Times New Roman" w:cs="Times New Roman"/>
          <w:i/>
          <w:iCs/>
          <w:sz w:val="24"/>
          <w:szCs w:val="24"/>
        </w:rPr>
        <w:t>Revue Neurologique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169</w:t>
      </w:r>
      <w:r w:rsidRPr="00DB4C76">
        <w:rPr>
          <w:rFonts w:ascii="Times New Roman" w:eastAsia="Times New Roman" w:hAnsi="Times New Roman" w:cs="Times New Roman"/>
          <w:sz w:val="24"/>
          <w:szCs w:val="24"/>
        </w:rPr>
        <w:t xml:space="preserve">(12), 944–949. </w:t>
      </w:r>
      <w:hyperlink r:id="rId6221" w:history="1">
        <w:r w:rsidRPr="00DB4C76">
          <w:rPr>
            <w:rFonts w:ascii="Times New Roman" w:eastAsia="Times New Roman" w:hAnsi="Times New Roman" w:cs="Times New Roman"/>
            <w:color w:val="0000FF"/>
            <w:sz w:val="24"/>
            <w:szCs w:val="24"/>
            <w:u w:val="single"/>
          </w:rPr>
          <w:t>https://doi.org/10.1016/j.neurol.2013.06.002</w:t>
        </w:r>
      </w:hyperlink>
    </w:p>
    <w:p w14:paraId="162A13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Werder, S. F. (2010). Cobalamin deficiency, hyperhomocysteinemia, and dementia.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(1).</w:t>
      </w:r>
    </w:p>
    <w:p w14:paraId="674AE4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Werheid, K., Koch, I., Reichert, K., &amp; Brass, M. (2007). Impaired self-initiated task preparation during task switching in Parkinson’s disease.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(2), 273–281. </w:t>
      </w:r>
      <w:hyperlink r:id="rId6222" w:history="1">
        <w:r w:rsidRPr="00DB4C76">
          <w:rPr>
            <w:rFonts w:ascii="Times New Roman" w:eastAsia="Times New Roman" w:hAnsi="Times New Roman" w:cs="Times New Roman"/>
            <w:color w:val="0000FF"/>
            <w:sz w:val="24"/>
            <w:szCs w:val="24"/>
            <w:u w:val="single"/>
          </w:rPr>
          <w:t>https://doi.org/10.1016/j.neuropsychologia.2006.07.007</w:t>
        </w:r>
      </w:hyperlink>
    </w:p>
    <w:p w14:paraId="3F3B62A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Werli, K. S., Otuyama, L. J., Bertolucci, P. H., Rizzi, C. F., Guilleminault, C., Tufik, S., &amp; Poyares, D. (2016). Neurocognitive function in patients with residual excessive sleepiness from obstructive sleep apnea: A prospective, controlled study. </w:t>
      </w:r>
      <w:r w:rsidRPr="00DB4C76">
        <w:rPr>
          <w:rFonts w:ascii="Times New Roman" w:eastAsia="Times New Roman" w:hAnsi="Times New Roman" w:cs="Times New Roman"/>
          <w:i/>
          <w:iCs/>
          <w:sz w:val="24"/>
          <w:szCs w:val="24"/>
        </w:rPr>
        <w:t>Sleep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 6–11. </w:t>
      </w:r>
      <w:hyperlink r:id="rId6223" w:history="1">
        <w:r w:rsidRPr="00DB4C76">
          <w:rPr>
            <w:rFonts w:ascii="Times New Roman" w:eastAsia="Times New Roman" w:hAnsi="Times New Roman" w:cs="Times New Roman"/>
            <w:color w:val="0000FF"/>
            <w:sz w:val="24"/>
            <w:szCs w:val="24"/>
            <w:u w:val="single"/>
          </w:rPr>
          <w:t>https://doi.org/10.1016/j.sleep.2016.06.028</w:t>
        </w:r>
      </w:hyperlink>
    </w:p>
    <w:p w14:paraId="644495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Werring, D. J., Frazer, D. W., Coward, L. J., Losseff, N. A., Watt, H., Cipolotti, L., Brown, M. M., &amp; Jäger, H. R. (2004). Cognitive dysfunction in patients with cerebral microbleeds on T2*-weighted gradient-echo MRI. </w:t>
      </w:r>
      <w:r w:rsidRPr="00DB4C76">
        <w:rPr>
          <w:rFonts w:ascii="Times New Roman" w:eastAsia="Times New Roman" w:hAnsi="Times New Roman" w:cs="Times New Roman"/>
          <w:i/>
          <w:iCs/>
          <w:sz w:val="24"/>
          <w:szCs w:val="24"/>
        </w:rPr>
        <w:t>Brain: A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127</w:t>
      </w:r>
      <w:r w:rsidRPr="00DB4C76">
        <w:rPr>
          <w:rFonts w:ascii="Times New Roman" w:eastAsia="Times New Roman" w:hAnsi="Times New Roman" w:cs="Times New Roman"/>
          <w:sz w:val="24"/>
          <w:szCs w:val="24"/>
        </w:rPr>
        <w:t xml:space="preserve">(10), 2265–2275. </w:t>
      </w:r>
      <w:hyperlink r:id="rId6224" w:history="1">
        <w:r w:rsidRPr="00DB4C76">
          <w:rPr>
            <w:rFonts w:ascii="Times New Roman" w:eastAsia="Times New Roman" w:hAnsi="Times New Roman" w:cs="Times New Roman"/>
            <w:color w:val="0000FF"/>
            <w:sz w:val="24"/>
            <w:szCs w:val="24"/>
            <w:u w:val="single"/>
          </w:rPr>
          <w:t>https://doi.org/10.1093/brain/awh253</w:t>
        </w:r>
      </w:hyperlink>
    </w:p>
    <w:p w14:paraId="3627705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McNerney, M. W., &amp; Krauss, I. (2007). Impaired strategic monitoring as the locus of a focal prospective memory deficit. </w:t>
      </w:r>
      <w:r w:rsidRPr="00DB4C76">
        <w:rPr>
          <w:rFonts w:ascii="Times New Roman" w:eastAsia="Times New Roman" w:hAnsi="Times New Roman" w:cs="Times New Roman"/>
          <w:i/>
          <w:iCs/>
          <w:sz w:val="24"/>
          <w:szCs w:val="24"/>
        </w:rPr>
        <w:t>Neurocase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(2), 115–126. </w:t>
      </w:r>
      <w:hyperlink r:id="rId6225" w:history="1">
        <w:r w:rsidRPr="00DB4C76">
          <w:rPr>
            <w:rFonts w:ascii="Times New Roman" w:eastAsia="Times New Roman" w:hAnsi="Times New Roman" w:cs="Times New Roman"/>
            <w:color w:val="0000FF"/>
            <w:sz w:val="24"/>
            <w:szCs w:val="24"/>
            <w:u w:val="single"/>
          </w:rPr>
          <w:t>https://doi.org/10.1080/13554790701399247</w:t>
        </w:r>
      </w:hyperlink>
    </w:p>
    <w:p w14:paraId="220D9F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&amp; Schwarb, H. (2006). The influence of aging and frontal function on the neural correlates of regulative and evaluative aspects of cognitive control.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(4), 468–481. </w:t>
      </w:r>
      <w:hyperlink r:id="rId6226" w:history="1">
        <w:r w:rsidRPr="00DB4C76">
          <w:rPr>
            <w:rFonts w:ascii="Times New Roman" w:eastAsia="Times New Roman" w:hAnsi="Times New Roman" w:cs="Times New Roman"/>
            <w:color w:val="0000FF"/>
            <w:sz w:val="24"/>
            <w:szCs w:val="24"/>
            <w:u w:val="single"/>
          </w:rPr>
          <w:t>https://doi.org/10.1037/0894-4105.20.4.468</w:t>
        </w:r>
      </w:hyperlink>
    </w:p>
    <w:p w14:paraId="7FAFF9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Schwarb, H., &amp; Johnson, B. N. (2010). The influence of age and individual differences in executive function on stimulus processing in the oddball task. </w:t>
      </w:r>
      <w:r w:rsidRPr="00DB4C76">
        <w:rPr>
          <w:rFonts w:ascii="Times New Roman" w:eastAsia="Times New Roman" w:hAnsi="Times New Roman" w:cs="Times New Roman"/>
          <w:i/>
          <w:iCs/>
          <w:sz w:val="24"/>
          <w:szCs w:val="24"/>
        </w:rPr>
        <w:t>Cortex: A Journal Devoted to the Study of the Nervous System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(4), 550–563. </w:t>
      </w:r>
      <w:hyperlink r:id="rId6227" w:history="1">
        <w:r w:rsidRPr="00DB4C76">
          <w:rPr>
            <w:rFonts w:ascii="Times New Roman" w:eastAsia="Times New Roman" w:hAnsi="Times New Roman" w:cs="Times New Roman"/>
            <w:color w:val="0000FF"/>
            <w:sz w:val="24"/>
            <w:szCs w:val="24"/>
            <w:u w:val="single"/>
          </w:rPr>
          <w:t>https://doi.org/10.1016/j.cortex.2009.08.001</w:t>
        </w:r>
      </w:hyperlink>
    </w:p>
    <w:p w14:paraId="1CF57D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 R., &amp; Travers, S. (2008). Differential effects of aging on processes underlying task switching.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68</w:t>
      </w:r>
      <w:r w:rsidRPr="00DB4C76">
        <w:rPr>
          <w:rFonts w:ascii="Times New Roman" w:eastAsia="Times New Roman" w:hAnsi="Times New Roman" w:cs="Times New Roman"/>
          <w:sz w:val="24"/>
          <w:szCs w:val="24"/>
        </w:rPr>
        <w:t xml:space="preserve">(1), 67–80. </w:t>
      </w:r>
      <w:hyperlink r:id="rId6228" w:history="1">
        <w:r w:rsidRPr="00DB4C76">
          <w:rPr>
            <w:rFonts w:ascii="Times New Roman" w:eastAsia="Times New Roman" w:hAnsi="Times New Roman" w:cs="Times New Roman"/>
            <w:color w:val="0000FF"/>
            <w:sz w:val="24"/>
            <w:szCs w:val="24"/>
            <w:u w:val="single"/>
          </w:rPr>
          <w:t>https://doi.org/10.1016/j.bandc.2008.03.001</w:t>
        </w:r>
      </w:hyperlink>
    </w:p>
    <w:p w14:paraId="10E2ED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Westby, C. E. (2015). Social neuroscience. In </w:t>
      </w:r>
      <w:r w:rsidRPr="00DB4C76">
        <w:rPr>
          <w:rFonts w:ascii="Times New Roman" w:eastAsia="Times New Roman" w:hAnsi="Times New Roman" w:cs="Times New Roman"/>
          <w:i/>
          <w:iCs/>
          <w:sz w:val="24"/>
          <w:szCs w:val="24"/>
        </w:rPr>
        <w:t>Social communication development and disorders.</w:t>
      </w:r>
      <w:r w:rsidRPr="00DB4C76">
        <w:rPr>
          <w:rFonts w:ascii="Times New Roman" w:eastAsia="Times New Roman" w:hAnsi="Times New Roman" w:cs="Times New Roman"/>
          <w:sz w:val="24"/>
          <w:szCs w:val="24"/>
        </w:rPr>
        <w:t xml:space="preserve"> (pp. 20–49). Psychology Press.</w:t>
      </w:r>
    </w:p>
    <w:p w14:paraId="6CC7B66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Westby, M. D. (1999). </w:t>
      </w:r>
      <w:r w:rsidRPr="00DB4C76">
        <w:rPr>
          <w:rFonts w:ascii="Times New Roman" w:eastAsia="Times New Roman" w:hAnsi="Times New Roman" w:cs="Times New Roman"/>
          <w:i/>
          <w:iCs/>
          <w:sz w:val="24"/>
          <w:szCs w:val="24"/>
        </w:rPr>
        <w:t>Frontal lobe deficits in domestic violence offenders.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(2-B), 852–852.</w:t>
      </w:r>
    </w:p>
    <w:p w14:paraId="44ADEE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Westwood, H., Mandy, W., &amp; Tchanturia, K. (2017). The association between symptoms of autism and neuropsychological performance in females with anorexia nervosa.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258</w:t>
      </w:r>
      <w:r w:rsidRPr="00DB4C76">
        <w:rPr>
          <w:rFonts w:ascii="Times New Roman" w:eastAsia="Times New Roman" w:hAnsi="Times New Roman" w:cs="Times New Roman"/>
          <w:sz w:val="24"/>
          <w:szCs w:val="24"/>
        </w:rPr>
        <w:t xml:space="preserve">, 531–537. </w:t>
      </w:r>
      <w:hyperlink r:id="rId6229" w:history="1">
        <w:r w:rsidRPr="00DB4C76">
          <w:rPr>
            <w:rFonts w:ascii="Times New Roman" w:eastAsia="Times New Roman" w:hAnsi="Times New Roman" w:cs="Times New Roman"/>
            <w:color w:val="0000FF"/>
            <w:sz w:val="24"/>
            <w:szCs w:val="24"/>
            <w:u w:val="single"/>
          </w:rPr>
          <w:t>https://doi.org/10.1016/j.psychres.2017.09.005</w:t>
        </w:r>
      </w:hyperlink>
    </w:p>
    <w:p w14:paraId="5F9AF7A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Westwood, H., Stahl, D., Mandy, W., &amp; Tchanturia, K. (2016). The set-shifting profiles of anorexia nervosa and autism spectrum disorder using the Wisconsin Card Sorting Test: A systematic review and meta-analysis.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(9), 1809–1827. </w:t>
      </w:r>
      <w:hyperlink r:id="rId6230" w:history="1">
        <w:r w:rsidRPr="00DB4C76">
          <w:rPr>
            <w:rFonts w:ascii="Times New Roman" w:eastAsia="Times New Roman" w:hAnsi="Times New Roman" w:cs="Times New Roman"/>
            <w:color w:val="0000FF"/>
            <w:sz w:val="24"/>
            <w:szCs w:val="24"/>
            <w:u w:val="single"/>
          </w:rPr>
          <w:t>https://doi.org/10.1017/S0033291716000581</w:t>
        </w:r>
      </w:hyperlink>
    </w:p>
    <w:p w14:paraId="571C98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DuPaul, G. (2006). ADHD in college students. </w:t>
      </w:r>
      <w:r w:rsidRPr="00DB4C76">
        <w:rPr>
          <w:rFonts w:ascii="Times New Roman" w:eastAsia="Times New Roman" w:hAnsi="Times New Roman" w:cs="Times New Roman"/>
          <w:i/>
          <w:iCs/>
          <w:sz w:val="24"/>
          <w:szCs w:val="24"/>
        </w:rPr>
        <w:t>Journal of Attention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(1), 9–19. </w:t>
      </w:r>
      <w:hyperlink r:id="rId6231" w:history="1">
        <w:r w:rsidRPr="00DB4C76">
          <w:rPr>
            <w:rFonts w:ascii="Times New Roman" w:eastAsia="Times New Roman" w:hAnsi="Times New Roman" w:cs="Times New Roman"/>
            <w:color w:val="0000FF"/>
            <w:sz w:val="24"/>
            <w:szCs w:val="24"/>
            <w:u w:val="single"/>
          </w:rPr>
          <w:t>https://doi.org/10.1177/1087054705286061</w:t>
        </w:r>
      </w:hyperlink>
    </w:p>
    <w:p w14:paraId="7F14C72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Gudmundsdottir, B. G. (2015). Developmental and neuropsychological deficits in children with ADHD. In </w:t>
      </w:r>
      <w:r w:rsidRPr="00DB4C76">
        <w:rPr>
          <w:rFonts w:ascii="Times New Roman" w:eastAsia="Times New Roman" w:hAnsi="Times New Roman" w:cs="Times New Roman"/>
          <w:i/>
          <w:iCs/>
          <w:sz w:val="24"/>
          <w:szCs w:val="24"/>
        </w:rPr>
        <w:t>Attention-deficit hyperactivity disorder: A handbook for diagnosis and treatment, 4th ed.</w:t>
      </w:r>
      <w:r w:rsidRPr="00DB4C76">
        <w:rPr>
          <w:rFonts w:ascii="Times New Roman" w:eastAsia="Times New Roman" w:hAnsi="Times New Roman" w:cs="Times New Roman"/>
          <w:sz w:val="24"/>
          <w:szCs w:val="24"/>
        </w:rPr>
        <w:t xml:space="preserve"> (pp. 116–139). The Guilford Press.</w:t>
      </w:r>
    </w:p>
    <w:p w14:paraId="5B2978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Oster, D. R., Marraccini, M. E., Gudmundsdottir, B. G., Munro, B. A., Rathkey, E. S., &amp; McCallum, A. (2016). Prescription stimulant medication misuse: Where are we and where do we go from here? </w:t>
      </w:r>
      <w:r w:rsidRPr="00DB4C76">
        <w:rPr>
          <w:rFonts w:ascii="Times New Roman" w:eastAsia="Times New Roman" w:hAnsi="Times New Roman" w:cs="Times New Roman"/>
          <w:i/>
          <w:iCs/>
          <w:sz w:val="24"/>
          <w:szCs w:val="24"/>
        </w:rPr>
        <w:t>Experimental and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(5), 400–414. </w:t>
      </w:r>
      <w:hyperlink r:id="rId6232" w:history="1">
        <w:r w:rsidRPr="00DB4C76">
          <w:rPr>
            <w:rFonts w:ascii="Times New Roman" w:eastAsia="Times New Roman" w:hAnsi="Times New Roman" w:cs="Times New Roman"/>
            <w:color w:val="0000FF"/>
            <w:sz w:val="24"/>
            <w:szCs w:val="24"/>
            <w:u w:val="single"/>
          </w:rPr>
          <w:t>https://doi.org/10.1037/pha0000093</w:t>
        </w:r>
      </w:hyperlink>
    </w:p>
    <w:p w14:paraId="6108D20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Rice, J. A., Linterman, I., Mitzlaff, L., &amp; Emert, E. (1998). Neuropsychological performance of a sample of adults with ADHD, Developmental Reading Disorder, and controls.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(4), 643–656. </w:t>
      </w:r>
      <w:hyperlink r:id="rId6233" w:history="1">
        <w:r w:rsidRPr="00DB4C76">
          <w:rPr>
            <w:rFonts w:ascii="Times New Roman" w:eastAsia="Times New Roman" w:hAnsi="Times New Roman" w:cs="Times New Roman"/>
            <w:color w:val="0000FF"/>
            <w:sz w:val="24"/>
            <w:szCs w:val="24"/>
            <w:u w:val="single"/>
          </w:rPr>
          <w:t>https://doi.org/10.1080/87565649809540734</w:t>
        </w:r>
      </w:hyperlink>
    </w:p>
    <w:p w14:paraId="2A6E56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Swentosky, A. (2013). Attention deficit hyperactivity disorder. In </w:t>
      </w:r>
      <w:r w:rsidRPr="00DB4C76">
        <w:rPr>
          <w:rFonts w:ascii="Times New Roman" w:eastAsia="Times New Roman" w:hAnsi="Times New Roman" w:cs="Times New Roman"/>
          <w:i/>
          <w:iCs/>
          <w:sz w:val="24"/>
          <w:szCs w:val="24"/>
        </w:rPr>
        <w:t>The neuropsychology of psychopathology.</w:t>
      </w:r>
      <w:r w:rsidRPr="00DB4C76">
        <w:rPr>
          <w:rFonts w:ascii="Times New Roman" w:eastAsia="Times New Roman" w:hAnsi="Times New Roman" w:cs="Times New Roman"/>
          <w:sz w:val="24"/>
          <w:szCs w:val="24"/>
        </w:rPr>
        <w:t xml:space="preserve"> (pp. 59–74). Springer Publishing Co.</w:t>
      </w:r>
    </w:p>
    <w:p w14:paraId="65FFCF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Weyandt, L. L., &amp; Willis, W. G. (1994). Executive functions in school-aged children: Potential efficacy of tasks in discriminating clinical groups.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(1), 27–38. </w:t>
      </w:r>
      <w:hyperlink r:id="rId6234" w:history="1">
        <w:r w:rsidRPr="00DB4C76">
          <w:rPr>
            <w:rFonts w:ascii="Times New Roman" w:eastAsia="Times New Roman" w:hAnsi="Times New Roman" w:cs="Times New Roman"/>
            <w:color w:val="0000FF"/>
            <w:sz w:val="24"/>
            <w:szCs w:val="24"/>
            <w:u w:val="single"/>
          </w:rPr>
          <w:t>https://doi.org/10.1080/87565649409540564</w:t>
        </w:r>
      </w:hyperlink>
    </w:p>
    <w:p w14:paraId="21BC41F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Whearty, K. M., Allen, D. N., Lee, B. G., &amp; Strauss, G. P. (2015). The evaluation of insufficient cognitive effort in schizophrenia in light of low IQ scores.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68</w:t>
      </w:r>
      <w:r w:rsidRPr="00DB4C76">
        <w:rPr>
          <w:rFonts w:ascii="Times New Roman" w:eastAsia="Times New Roman" w:hAnsi="Times New Roman" w:cs="Times New Roman"/>
          <w:sz w:val="24"/>
          <w:szCs w:val="24"/>
        </w:rPr>
        <w:t xml:space="preserve">, 397–404. </w:t>
      </w:r>
      <w:hyperlink r:id="rId6235" w:history="1">
        <w:r w:rsidRPr="00DB4C76">
          <w:rPr>
            <w:rFonts w:ascii="Times New Roman" w:eastAsia="Times New Roman" w:hAnsi="Times New Roman" w:cs="Times New Roman"/>
            <w:color w:val="0000FF"/>
            <w:sz w:val="24"/>
            <w:szCs w:val="24"/>
            <w:u w:val="single"/>
          </w:rPr>
          <w:t>https://doi.org/10.1016/j.jpsychires.2015.04.018</w:t>
        </w:r>
      </w:hyperlink>
    </w:p>
    <w:p w14:paraId="4E3AD5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Whelihan, W. M., DiCarlo, M. A., &amp; Paul, R. H. (2005). The relationship of neuropsychological functioning to driving competence in older persons with early cognitive decline.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217–228. </w:t>
      </w:r>
      <w:hyperlink r:id="rId6236" w:history="1">
        <w:r w:rsidRPr="00DB4C76">
          <w:rPr>
            <w:rFonts w:ascii="Times New Roman" w:eastAsia="Times New Roman" w:hAnsi="Times New Roman" w:cs="Times New Roman"/>
            <w:color w:val="0000FF"/>
            <w:sz w:val="24"/>
            <w:szCs w:val="24"/>
            <w:u w:val="single"/>
          </w:rPr>
          <w:t>https://doi.org/10.1016/j.acn.2004.07.002</w:t>
        </w:r>
      </w:hyperlink>
    </w:p>
    <w:p w14:paraId="420F224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A. J., Batchelor, J., Meares, S., Pulman, S., &amp; Howard, D. (2016). Fitness to stand trial in one Australian jurisdiction: The role of cognitive abilities, neurological dysfunction and psychiatric disorders. </w:t>
      </w:r>
      <w:r w:rsidRPr="00DB4C76">
        <w:rPr>
          <w:rFonts w:ascii="Times New Roman" w:eastAsia="Times New Roman" w:hAnsi="Times New Roman" w:cs="Times New Roman"/>
          <w:i/>
          <w:iCs/>
          <w:sz w:val="24"/>
          <w:szCs w:val="24"/>
        </w:rPr>
        <w:t>Psychiatry, Psychology and Law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(4), 499–511. </w:t>
      </w:r>
      <w:hyperlink r:id="rId6237" w:history="1">
        <w:r w:rsidRPr="00DB4C76">
          <w:rPr>
            <w:rFonts w:ascii="Times New Roman" w:eastAsia="Times New Roman" w:hAnsi="Times New Roman" w:cs="Times New Roman"/>
            <w:color w:val="0000FF"/>
            <w:sz w:val="24"/>
            <w:szCs w:val="24"/>
            <w:u w:val="single"/>
          </w:rPr>
          <w:t>https://doi.org/10.1080/13218719.2015.1080152</w:t>
        </w:r>
      </w:hyperlink>
    </w:p>
    <w:p w14:paraId="59A244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A. J., Batchelor, J., Pulman, S., &amp; Howard, D. (2012). The role of cognitive assessment in determining fitness to stand trial. </w:t>
      </w:r>
      <w:r w:rsidRPr="00DB4C76">
        <w:rPr>
          <w:rFonts w:ascii="Times New Roman" w:eastAsia="Times New Roman" w:hAnsi="Times New Roman" w:cs="Times New Roman"/>
          <w:i/>
          <w:iCs/>
          <w:sz w:val="24"/>
          <w:szCs w:val="24"/>
        </w:rPr>
        <w:t>The International Journal of Forensic Mental Health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(2), 102–109. </w:t>
      </w:r>
      <w:hyperlink r:id="rId6238" w:history="1">
        <w:r w:rsidRPr="00DB4C76">
          <w:rPr>
            <w:rFonts w:ascii="Times New Roman" w:eastAsia="Times New Roman" w:hAnsi="Times New Roman" w:cs="Times New Roman"/>
            <w:color w:val="0000FF"/>
            <w:sz w:val="24"/>
            <w:szCs w:val="24"/>
            <w:u w:val="single"/>
          </w:rPr>
          <w:t>https://doi.org/10.1080/14999013.2012.688091</w:t>
        </w:r>
      </w:hyperlink>
    </w:p>
    <w:p w14:paraId="413AF0B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A. J., Meares, S., &amp; Batchelor, J. (2014). The role of cognition in fitness to stand trial: A systematic review. </w:t>
      </w:r>
      <w:r w:rsidRPr="00DB4C76">
        <w:rPr>
          <w:rFonts w:ascii="Times New Roman" w:eastAsia="Times New Roman" w:hAnsi="Times New Roman" w:cs="Times New Roman"/>
          <w:i/>
          <w:iCs/>
          <w:sz w:val="24"/>
          <w:szCs w:val="24"/>
        </w:rPr>
        <w:t>Journal of Forensic Psychiatry &amp;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(1), 77–99. </w:t>
      </w:r>
      <w:hyperlink r:id="rId6239" w:history="1">
        <w:r w:rsidRPr="00DB4C76">
          <w:rPr>
            <w:rFonts w:ascii="Times New Roman" w:eastAsia="Times New Roman" w:hAnsi="Times New Roman" w:cs="Times New Roman"/>
            <w:color w:val="0000FF"/>
            <w:sz w:val="24"/>
            <w:szCs w:val="24"/>
            <w:u w:val="single"/>
          </w:rPr>
          <w:t>https://doi.org/10.1080/14789949.2013.868916</w:t>
        </w:r>
      </w:hyperlink>
    </w:p>
    <w:p w14:paraId="0D328F2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D. A., Nortz, M. J., Mandernach, T., Huntington, K., &amp; Steiner, R. D. (2001). Deficits in memory strategy use related to prefrontal dysfunction during early development: Evidence from children with phenylketonuria.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(2), 221–229. </w:t>
      </w:r>
      <w:hyperlink r:id="rId6240" w:history="1">
        <w:r w:rsidRPr="00DB4C76">
          <w:rPr>
            <w:rFonts w:ascii="Times New Roman" w:eastAsia="Times New Roman" w:hAnsi="Times New Roman" w:cs="Times New Roman"/>
            <w:color w:val="0000FF"/>
            <w:sz w:val="24"/>
            <w:szCs w:val="24"/>
            <w:u w:val="single"/>
          </w:rPr>
          <w:t>https://doi.org/10.1037/0894-4105.15.2.221</w:t>
        </w:r>
      </w:hyperlink>
    </w:p>
    <w:p w14:paraId="67AA94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D. J., Korinek, D., Bernstein, M. T., Ovsiew, G. P., Resch, Z. J., &amp; Soble, J. R. (2020). Cross-validation of non-memory-based embedded performance validity tests for detecting invalid performance among patients with and without neurocognitive impairment.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(5), 459–472. </w:t>
      </w:r>
      <w:hyperlink r:id="rId6241" w:history="1">
        <w:r w:rsidRPr="00DB4C76">
          <w:rPr>
            <w:rFonts w:ascii="Times New Roman" w:eastAsia="Times New Roman" w:hAnsi="Times New Roman" w:cs="Times New Roman"/>
            <w:color w:val="0000FF"/>
            <w:sz w:val="24"/>
            <w:szCs w:val="24"/>
            <w:u w:val="single"/>
          </w:rPr>
          <w:t>https://doi.org/10.1080/13803395.2020.1758634</w:t>
        </w:r>
      </w:hyperlink>
    </w:p>
    <w:p w14:paraId="16194B7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H. A., &amp; Shah, P. (2006). Training attention-switching ability in adults with ADHD. </w:t>
      </w:r>
      <w:r w:rsidRPr="00DB4C76">
        <w:rPr>
          <w:rFonts w:ascii="Times New Roman" w:eastAsia="Times New Roman" w:hAnsi="Times New Roman" w:cs="Times New Roman"/>
          <w:i/>
          <w:iCs/>
          <w:sz w:val="24"/>
          <w:szCs w:val="24"/>
        </w:rPr>
        <w:t>Journal of Attention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(1), 44–53. </w:t>
      </w:r>
      <w:hyperlink r:id="rId6242" w:history="1">
        <w:r w:rsidRPr="00DB4C76">
          <w:rPr>
            <w:rFonts w:ascii="Times New Roman" w:eastAsia="Times New Roman" w:hAnsi="Times New Roman" w:cs="Times New Roman"/>
            <w:color w:val="0000FF"/>
            <w:sz w:val="24"/>
            <w:szCs w:val="24"/>
            <w:u w:val="single"/>
          </w:rPr>
          <w:t>https://doi.org/10.1177/1087054705286063</w:t>
        </w:r>
      </w:hyperlink>
    </w:p>
    <w:p w14:paraId="6370D3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J. N. (2003). Comparison of QEEG reference databases in basic signal analysis and in the evaluation of adult ADHD. </w:t>
      </w:r>
      <w:r w:rsidRPr="00DB4C76">
        <w:rPr>
          <w:rFonts w:ascii="Times New Roman" w:eastAsia="Times New Roman" w:hAnsi="Times New Roman" w:cs="Times New Roman"/>
          <w:i/>
          <w:iCs/>
          <w:sz w:val="24"/>
          <w:szCs w:val="24"/>
        </w:rPr>
        <w:t>Journal of Neurotherapy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(3–4), 123–169. </w:t>
      </w:r>
      <w:hyperlink r:id="rId6243" w:history="1">
        <w:r w:rsidRPr="00DB4C76">
          <w:rPr>
            <w:rFonts w:ascii="Times New Roman" w:eastAsia="Times New Roman" w:hAnsi="Times New Roman" w:cs="Times New Roman"/>
            <w:color w:val="0000FF"/>
            <w:sz w:val="24"/>
            <w:szCs w:val="24"/>
            <w:u w:val="single"/>
          </w:rPr>
          <w:t>https://doi.org/10.1300/J184v07n03_06</w:t>
        </w:r>
      </w:hyperlink>
    </w:p>
    <w:p w14:paraId="7A6208A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J. N., Hutchens, T. A., &amp; Lubar, J. F. (2005). Quantitative EEG assessment during neuropsychological task performance in adults with attention deficit hyperactivity disorder. </w:t>
      </w:r>
      <w:r w:rsidRPr="00DB4C76">
        <w:rPr>
          <w:rFonts w:ascii="Times New Roman" w:eastAsia="Times New Roman" w:hAnsi="Times New Roman" w:cs="Times New Roman"/>
          <w:i/>
          <w:iCs/>
          <w:sz w:val="24"/>
          <w:szCs w:val="24"/>
        </w:rPr>
        <w:t>Journal of Adult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(2–3), 113–121. </w:t>
      </w:r>
      <w:hyperlink r:id="rId6244" w:history="1">
        <w:r w:rsidRPr="00DB4C76">
          <w:rPr>
            <w:rFonts w:ascii="Times New Roman" w:eastAsia="Times New Roman" w:hAnsi="Times New Roman" w:cs="Times New Roman"/>
            <w:color w:val="0000FF"/>
            <w:sz w:val="24"/>
            <w:szCs w:val="24"/>
            <w:u w:val="single"/>
          </w:rPr>
          <w:t>https://doi.org/10.1007/s10804-005-7027-7</w:t>
        </w:r>
      </w:hyperlink>
    </w:p>
    <w:p w14:paraId="1DF2444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Jr., J. N. (2002). </w:t>
      </w:r>
      <w:r w:rsidRPr="00DB4C76">
        <w:rPr>
          <w:rFonts w:ascii="Times New Roman" w:eastAsia="Times New Roman" w:hAnsi="Times New Roman" w:cs="Times New Roman"/>
          <w:i/>
          <w:iCs/>
          <w:sz w:val="24"/>
          <w:szCs w:val="24"/>
        </w:rPr>
        <w:t>Neuropsychological and electrophysiological assessment of adults with attention deficit hyperactivity disorder.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(8-B), 3819–3819.</w:t>
      </w:r>
    </w:p>
    <w:p w14:paraId="7231794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S. J. (2013). The Triple I hypothesis: Taking another(’s) perspective on executive dysfunction in autism.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114–121.</w:t>
      </w:r>
    </w:p>
    <w:p w14:paraId="6F07A3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 T., Ho, B.-C., Ward, J., O’Leary, D., &amp; Andreasen, N. C. (2006). Neuropsychological Performance in First-Episode Adolescents with Schizophrenia: A Comparison with First-Episode Adults and Adolescent Control Subjects.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(5), 463–471. </w:t>
      </w:r>
      <w:hyperlink r:id="rId6245" w:history="1">
        <w:r w:rsidRPr="00DB4C76">
          <w:rPr>
            <w:rFonts w:ascii="Times New Roman" w:eastAsia="Times New Roman" w:hAnsi="Times New Roman" w:cs="Times New Roman"/>
            <w:color w:val="0000FF"/>
            <w:sz w:val="24"/>
            <w:szCs w:val="24"/>
            <w:u w:val="single"/>
          </w:rPr>
          <w:t>https://doi.org/10.1016/j.biopsych.2006.01.002</w:t>
        </w:r>
      </w:hyperlink>
    </w:p>
    <w:p w14:paraId="131E94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Caraher, K., Hahn-Ketter, A., Gaasedelen, O., &amp; Basso, M. R. (2019). Classification accuracy of individual and combined executive functioning embedded performance validity measures in mild traumatic brain injury.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(5), 472–481. </w:t>
      </w:r>
      <w:hyperlink r:id="rId6246" w:history="1">
        <w:r w:rsidRPr="00DB4C76">
          <w:rPr>
            <w:rFonts w:ascii="Times New Roman" w:eastAsia="Times New Roman" w:hAnsi="Times New Roman" w:cs="Times New Roman"/>
            <w:color w:val="0000FF"/>
            <w:sz w:val="24"/>
            <w:szCs w:val="24"/>
            <w:u w:val="single"/>
          </w:rPr>
          <w:t>https://doi.org/10.1080/23279095.2018.1443935</w:t>
        </w:r>
      </w:hyperlink>
    </w:p>
    <w:p w14:paraId="1727D0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Hellings, J. R., &amp; Brown, J. (2010). The impact of left temporal lobe seizure disorder on learning disorders: A case study.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(6), 1026–1044. </w:t>
      </w:r>
      <w:hyperlink r:id="rId6247" w:history="1">
        <w:r w:rsidRPr="00DB4C76">
          <w:rPr>
            <w:rFonts w:ascii="Times New Roman" w:eastAsia="Times New Roman" w:hAnsi="Times New Roman" w:cs="Times New Roman"/>
            <w:color w:val="0000FF"/>
            <w:sz w:val="24"/>
            <w:szCs w:val="24"/>
            <w:u w:val="single"/>
          </w:rPr>
          <w:t>https://doi.org/10.1080/13854046.2010.486008</w:t>
        </w:r>
      </w:hyperlink>
    </w:p>
    <w:p w14:paraId="6D8125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Kealey, T., Semla, M., Luu, H., Rice, L., Basso, M. R., &amp; Roper, B. (2016). Verbal fluency: Language or executive function measure?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29–34. </w:t>
      </w:r>
      <w:hyperlink r:id="rId6248" w:history="1">
        <w:r w:rsidRPr="00DB4C76">
          <w:rPr>
            <w:rFonts w:ascii="Times New Roman" w:eastAsia="Times New Roman" w:hAnsi="Times New Roman" w:cs="Times New Roman"/>
            <w:color w:val="0000FF"/>
            <w:sz w:val="24"/>
            <w:szCs w:val="24"/>
            <w:u w:val="single"/>
          </w:rPr>
          <w:t>https://doi.org/10.1080/23279095.2015.1004574</w:t>
        </w:r>
      </w:hyperlink>
    </w:p>
    <w:p w14:paraId="0E96FC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Whiteside, D. M., Kogan, J., Wardin, L., Phillips, D., Franzwa, M. G., Rice, L., Basso, M., &amp; Roper, B. (2015). Language-based embedded performance validity measures in traumatic brain injury.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(2), 220–227. </w:t>
      </w:r>
      <w:hyperlink r:id="rId6249" w:history="1">
        <w:r w:rsidRPr="00DB4C76">
          <w:rPr>
            <w:rFonts w:ascii="Times New Roman" w:eastAsia="Times New Roman" w:hAnsi="Times New Roman" w:cs="Times New Roman"/>
            <w:color w:val="0000FF"/>
            <w:sz w:val="24"/>
            <w:szCs w:val="24"/>
            <w:u w:val="single"/>
          </w:rPr>
          <w:t>https://doi.org/10.1080/13803395.2014.1002758</w:t>
        </w:r>
      </w:hyperlink>
    </w:p>
    <w:p w14:paraId="515F04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Whiting, D. L., Deane, F. P., Simpson, G. K., Ciarrochi, J., &amp; Mcleod, H. J. (2018). Acceptance and Commitment Therapy delivered in a dyad after a severe traumatic brain injury: A feasibility study. </w:t>
      </w:r>
      <w:r w:rsidRPr="00DB4C76">
        <w:rPr>
          <w:rFonts w:ascii="Times New Roman" w:eastAsia="Times New Roman" w:hAnsi="Times New Roman" w:cs="Times New Roman"/>
          <w:i/>
          <w:iCs/>
          <w:sz w:val="24"/>
          <w:szCs w:val="24"/>
        </w:rPr>
        <w:t>Clinical 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(2), 230–240. </w:t>
      </w:r>
      <w:hyperlink r:id="rId6250" w:history="1">
        <w:r w:rsidRPr="00DB4C76">
          <w:rPr>
            <w:rFonts w:ascii="Times New Roman" w:eastAsia="Times New Roman" w:hAnsi="Times New Roman" w:cs="Times New Roman"/>
            <w:color w:val="0000FF"/>
            <w:sz w:val="24"/>
            <w:szCs w:val="24"/>
            <w:u w:val="single"/>
          </w:rPr>
          <w:t>https://doi.org/10.1111/cp.12118</w:t>
        </w:r>
      </w:hyperlink>
    </w:p>
    <w:p w14:paraId="452DCBE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Whitmer, A. J., &amp; Gotlib, I. H. (2013). An attentional scope model of rumination. </w:t>
      </w:r>
      <w:r w:rsidRPr="00DB4C76">
        <w:rPr>
          <w:rFonts w:ascii="Times New Roman" w:eastAsia="Times New Roman" w:hAnsi="Times New Roman" w:cs="Times New Roman"/>
          <w:i/>
          <w:iCs/>
          <w:sz w:val="24"/>
          <w:szCs w:val="24"/>
        </w:rPr>
        <w:t>Psychological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139</w:t>
      </w:r>
      <w:r w:rsidRPr="00DB4C76">
        <w:rPr>
          <w:rFonts w:ascii="Times New Roman" w:eastAsia="Times New Roman" w:hAnsi="Times New Roman" w:cs="Times New Roman"/>
          <w:sz w:val="24"/>
          <w:szCs w:val="24"/>
        </w:rPr>
        <w:t xml:space="preserve">(5), 1036–1061. </w:t>
      </w:r>
      <w:hyperlink r:id="rId6251" w:history="1">
        <w:r w:rsidRPr="00DB4C76">
          <w:rPr>
            <w:rFonts w:ascii="Times New Roman" w:eastAsia="Times New Roman" w:hAnsi="Times New Roman" w:cs="Times New Roman"/>
            <w:color w:val="0000FF"/>
            <w:sz w:val="24"/>
            <w:szCs w:val="24"/>
            <w:u w:val="single"/>
          </w:rPr>
          <w:t>https://doi.org/10.1037/a0030923</w:t>
        </w:r>
      </w:hyperlink>
    </w:p>
    <w:p w14:paraId="08F4A1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Whitney, K. A., Fastenau, P. S., Evans, J. D., &amp; Lysaker, P. H. (2004). Comparative neuropsychological function in obsessive-compulsive disorder and schizophrenia with and without obsessive-compulsive symptoms.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69</w:t>
      </w:r>
      <w:r w:rsidRPr="00DB4C76">
        <w:rPr>
          <w:rFonts w:ascii="Times New Roman" w:eastAsia="Times New Roman" w:hAnsi="Times New Roman" w:cs="Times New Roman"/>
          <w:sz w:val="24"/>
          <w:szCs w:val="24"/>
        </w:rPr>
        <w:t xml:space="preserve">(1), 75–83. </w:t>
      </w:r>
      <w:hyperlink r:id="rId6252" w:history="1">
        <w:r w:rsidRPr="00DB4C76">
          <w:rPr>
            <w:rFonts w:ascii="Times New Roman" w:eastAsia="Times New Roman" w:hAnsi="Times New Roman" w:cs="Times New Roman"/>
            <w:color w:val="0000FF"/>
            <w:sz w:val="24"/>
            <w:szCs w:val="24"/>
            <w:u w:val="single"/>
          </w:rPr>
          <w:t>https://doi.org/10.1016/j.schres.2003.08.013</w:t>
        </w:r>
      </w:hyperlink>
    </w:p>
    <w:p w14:paraId="2BEE497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Wicks, S., Hammar, J., Heilig, M., &amp; Wisén, O. (2001). Factors affecting the short-term prognosis of alcohol dependent patients undergoing inpatient detoxification. </w:t>
      </w:r>
      <w:r w:rsidRPr="00DB4C76">
        <w:rPr>
          <w:rFonts w:ascii="Times New Roman" w:eastAsia="Times New Roman" w:hAnsi="Times New Roman" w:cs="Times New Roman"/>
          <w:i/>
          <w:iCs/>
          <w:sz w:val="24"/>
          <w:szCs w:val="24"/>
        </w:rPr>
        <w:t>Substance Abuse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(4), 235–245. </w:t>
      </w:r>
      <w:hyperlink r:id="rId6253" w:history="1">
        <w:r w:rsidRPr="00DB4C76">
          <w:rPr>
            <w:rFonts w:ascii="Times New Roman" w:eastAsia="Times New Roman" w:hAnsi="Times New Roman" w:cs="Times New Roman"/>
            <w:color w:val="0000FF"/>
            <w:sz w:val="24"/>
            <w:szCs w:val="24"/>
            <w:u w:val="single"/>
          </w:rPr>
          <w:t>https://doi.org/10.1023/A:1012248628230</w:t>
        </w:r>
      </w:hyperlink>
    </w:p>
    <w:p w14:paraId="6F8571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Widner Jr., R. L., Otani, H., &amp; Winkelman, S. E. (2005). Tip-of-the-tongue experiences are not merely strong feeling-of-knowing experiences. </w:t>
      </w:r>
      <w:r w:rsidRPr="00DB4C76">
        <w:rPr>
          <w:rFonts w:ascii="Times New Roman" w:eastAsia="Times New Roman" w:hAnsi="Times New Roman" w:cs="Times New Roman"/>
          <w:i/>
          <w:iCs/>
          <w:sz w:val="24"/>
          <w:szCs w:val="24"/>
        </w:rPr>
        <w:t>Journal of General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132</w:t>
      </w:r>
      <w:r w:rsidRPr="00DB4C76">
        <w:rPr>
          <w:rFonts w:ascii="Times New Roman" w:eastAsia="Times New Roman" w:hAnsi="Times New Roman" w:cs="Times New Roman"/>
          <w:sz w:val="24"/>
          <w:szCs w:val="24"/>
        </w:rPr>
        <w:t xml:space="preserve">(4), 392–407. </w:t>
      </w:r>
      <w:hyperlink r:id="rId6254" w:history="1">
        <w:r w:rsidRPr="00DB4C76">
          <w:rPr>
            <w:rFonts w:ascii="Times New Roman" w:eastAsia="Times New Roman" w:hAnsi="Times New Roman" w:cs="Times New Roman"/>
            <w:color w:val="0000FF"/>
            <w:sz w:val="24"/>
            <w:szCs w:val="24"/>
            <w:u w:val="single"/>
          </w:rPr>
          <w:t>https://doi.org/10.3200/GENP.132.4.392-407</w:t>
        </w:r>
      </w:hyperlink>
    </w:p>
    <w:p w14:paraId="6D4F3E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(1999). Cognitive modifiability as a measure of readiness for rehabilitation. </w:t>
      </w:r>
      <w:r w:rsidRPr="00DB4C76">
        <w:rPr>
          <w:rFonts w:ascii="Times New Roman" w:eastAsia="Times New Roman" w:hAnsi="Times New Roman" w:cs="Times New Roman"/>
          <w:i/>
          <w:iCs/>
          <w:sz w:val="24"/>
          <w:szCs w:val="24"/>
        </w:rPr>
        <w:t>Psychiatric Services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(11), 1411–1413. </w:t>
      </w:r>
      <w:hyperlink r:id="rId6255" w:history="1">
        <w:r w:rsidRPr="00DB4C76">
          <w:rPr>
            <w:rFonts w:ascii="Times New Roman" w:eastAsia="Times New Roman" w:hAnsi="Times New Roman" w:cs="Times New Roman"/>
            <w:color w:val="0000FF"/>
            <w:sz w:val="24"/>
            <w:szCs w:val="24"/>
            <w:u w:val="single"/>
          </w:rPr>
          <w:t>https://doi.org/10.1176/ps.50.11.1411</w:t>
        </w:r>
      </w:hyperlink>
    </w:p>
    <w:p w14:paraId="142E6C0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&amp; Schöttke, H. (2002). Vorhersage des Erfolgs schizophrener Patienten in einem psychoedukativen Behandlungsprogramm durch Indikatoren des Veränderungspotentials im Wisconsin Card Sorting Test. [The prediction of schizophrenic patients’ proficiency in psycho-educational treatmen. </w:t>
      </w:r>
      <w:r w:rsidRPr="00DB4C76">
        <w:rPr>
          <w:rFonts w:ascii="Times New Roman" w:eastAsia="Times New Roman" w:hAnsi="Times New Roman" w:cs="Times New Roman"/>
          <w:i/>
          <w:iCs/>
          <w:sz w:val="24"/>
          <w:szCs w:val="24"/>
        </w:rPr>
        <w:t>Verhaltenstherapie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(2), 90–96. </w:t>
      </w:r>
      <w:hyperlink r:id="rId6256" w:history="1">
        <w:r w:rsidRPr="00DB4C76">
          <w:rPr>
            <w:rFonts w:ascii="Times New Roman" w:eastAsia="Times New Roman" w:hAnsi="Times New Roman" w:cs="Times New Roman"/>
            <w:color w:val="0000FF"/>
            <w:sz w:val="24"/>
            <w:szCs w:val="24"/>
            <w:u w:val="single"/>
          </w:rPr>
          <w:t>https://doi.org/10.1159/000064372</w:t>
        </w:r>
      </w:hyperlink>
    </w:p>
    <w:p w14:paraId="53F2551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Schöttke, H., &amp; Garcia, M. D. C. (2001). Dynamic assessment of cognitive rehabilitation potential in schizophrenic persons and in elderly persons with and without dementia. </w:t>
      </w:r>
      <w:r w:rsidRPr="00DB4C76">
        <w:rPr>
          <w:rFonts w:ascii="Times New Roman" w:eastAsia="Times New Roman" w:hAnsi="Times New Roman" w:cs="Times New Roman"/>
          <w:i/>
          <w:iCs/>
          <w:sz w:val="24"/>
          <w:szCs w:val="24"/>
        </w:rPr>
        <w:t>European Journal of Psychological Assessment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(2), 112–119. </w:t>
      </w:r>
      <w:hyperlink r:id="rId6257" w:history="1">
        <w:r w:rsidRPr="00DB4C76">
          <w:rPr>
            <w:rFonts w:ascii="Times New Roman" w:eastAsia="Times New Roman" w:hAnsi="Times New Roman" w:cs="Times New Roman"/>
            <w:color w:val="0000FF"/>
            <w:sz w:val="24"/>
            <w:szCs w:val="24"/>
            <w:u w:val="single"/>
          </w:rPr>
          <w:t>https://doi.org/10.1027//1015-5759.17.2.112</w:t>
        </w:r>
      </w:hyperlink>
    </w:p>
    <w:p w14:paraId="12B6BD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Schöttke, H., Green, M. F., &amp; Nuechterlein, K. H. (2004). Dynamic Testing in Schizophrenia: Does Training Change the Construct Validity of a Test?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(4), 703–711. </w:t>
      </w:r>
      <w:hyperlink r:id="rId6258" w:history="1">
        <w:r w:rsidRPr="00DB4C76">
          <w:rPr>
            <w:rFonts w:ascii="Times New Roman" w:eastAsia="Times New Roman" w:hAnsi="Times New Roman" w:cs="Times New Roman"/>
            <w:color w:val="0000FF"/>
            <w:sz w:val="24"/>
            <w:szCs w:val="24"/>
            <w:u w:val="single"/>
          </w:rPr>
          <w:t>https://doi.org/10.1093/oxfordjournals.schbul.a007124</w:t>
        </w:r>
      </w:hyperlink>
    </w:p>
    <w:p w14:paraId="079589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Wienöbst, J., &amp; Schöttke, H. (2001). Estimating rehabilitation potential in schizophrenic subjects. In </w:t>
      </w:r>
      <w:r w:rsidRPr="00DB4C76">
        <w:rPr>
          <w:rFonts w:ascii="Times New Roman" w:eastAsia="Times New Roman" w:hAnsi="Times New Roman" w:cs="Times New Roman"/>
          <w:i/>
          <w:iCs/>
          <w:sz w:val="24"/>
          <w:szCs w:val="24"/>
        </w:rPr>
        <w:t>The treatment of schizophrenia—Status and emerging trends.</w:t>
      </w:r>
      <w:r w:rsidRPr="00DB4C76">
        <w:rPr>
          <w:rFonts w:ascii="Times New Roman" w:eastAsia="Times New Roman" w:hAnsi="Times New Roman" w:cs="Times New Roman"/>
          <w:sz w:val="24"/>
          <w:szCs w:val="24"/>
        </w:rPr>
        <w:t xml:space="preserve"> (pp. 88–103). Hogrefe &amp; Huber Publishers.</w:t>
      </w:r>
    </w:p>
    <w:p w14:paraId="0EC50B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H., Wienöbst, J., Schöttke, H. H., Green, M. F., &amp; Nuechterlein, K. H. (2001). Attentional characteristics of schizophrenia patients differing in learning proficiency on the Wisconsin Card Sorting Test.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(4), 687–695. </w:t>
      </w:r>
      <w:hyperlink r:id="rId6259" w:history="1">
        <w:r w:rsidRPr="00DB4C76">
          <w:rPr>
            <w:rFonts w:ascii="Times New Roman" w:eastAsia="Times New Roman" w:hAnsi="Times New Roman" w:cs="Times New Roman"/>
            <w:color w:val="0000FF"/>
            <w:sz w:val="24"/>
            <w:szCs w:val="24"/>
            <w:u w:val="single"/>
          </w:rPr>
          <w:t>https://doi.org/10.1093/oxfordjournals.schbul.a006907</w:t>
        </w:r>
      </w:hyperlink>
    </w:p>
    <w:p w14:paraId="3867AF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Wiedl, K. W., Wienöbst, J., Schöttke, H., &amp; Kauffeldt, S. (1999). Differentielle Aspekte kognitiver Remediation bei schizophren Erkranten auf der Grundlage des Wisconsin Card Sorting Tests. [Interindividual differences in schizophrenic patients responsivity to cognitive remediation in the Wisconsin Card Sort Test.]. </w:t>
      </w:r>
      <w:r w:rsidRPr="00DB4C76">
        <w:rPr>
          <w:rFonts w:ascii="Times New Roman" w:eastAsia="Times New Roman" w:hAnsi="Times New Roman" w:cs="Times New Roman"/>
          <w:i/>
          <w:iCs/>
          <w:sz w:val="24"/>
          <w:szCs w:val="24"/>
        </w:rPr>
        <w:t>Zeitschrift Für Klinische Psychologie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(3), 214–219. </w:t>
      </w:r>
      <w:hyperlink r:id="rId6260" w:history="1">
        <w:r w:rsidRPr="00DB4C76">
          <w:rPr>
            <w:rFonts w:ascii="Times New Roman" w:eastAsia="Times New Roman" w:hAnsi="Times New Roman" w:cs="Times New Roman"/>
            <w:color w:val="0000FF"/>
            <w:sz w:val="24"/>
            <w:szCs w:val="24"/>
            <w:u w:val="single"/>
          </w:rPr>
          <w:t>https://doi.org/10.1026//0084-5345.28.3.214</w:t>
        </w:r>
      </w:hyperlink>
    </w:p>
    <w:p w14:paraId="7CCAA6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Wiegner, S., &amp; Donders, J. (1999). Performance on the Wisconsin Card Sorting Test after traumatic brain injury. </w:t>
      </w:r>
      <w:r w:rsidRPr="00DB4C76">
        <w:rPr>
          <w:rFonts w:ascii="Times New Roman" w:eastAsia="Times New Roman" w:hAnsi="Times New Roman" w:cs="Times New Roman"/>
          <w:i/>
          <w:iCs/>
          <w:sz w:val="24"/>
          <w:szCs w:val="24"/>
        </w:rPr>
        <w:t>Assessment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(2), 179–187. </w:t>
      </w:r>
      <w:hyperlink r:id="rId6261" w:history="1">
        <w:r w:rsidRPr="00DB4C76">
          <w:rPr>
            <w:rFonts w:ascii="Times New Roman" w:eastAsia="Times New Roman" w:hAnsi="Times New Roman" w:cs="Times New Roman"/>
            <w:color w:val="0000FF"/>
            <w:sz w:val="24"/>
            <w:szCs w:val="24"/>
            <w:u w:val="single"/>
          </w:rPr>
          <w:t>https://doi.org/10.1177/107319119900600205</w:t>
        </w:r>
      </w:hyperlink>
    </w:p>
    <w:p w14:paraId="05525C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Wiesel, F.-A., Edman, G., Flyckt, L., Eriksson, Å., Nyman, H., Venizelos, N., &amp; Bjerkenstedt, L. (2005). Kinetics of tyrosine transport and cognitive functioning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74</w:t>
      </w:r>
      <w:r w:rsidRPr="00DB4C76">
        <w:rPr>
          <w:rFonts w:ascii="Times New Roman" w:eastAsia="Times New Roman" w:hAnsi="Times New Roman" w:cs="Times New Roman"/>
          <w:sz w:val="24"/>
          <w:szCs w:val="24"/>
        </w:rPr>
        <w:t xml:space="preserve">(1), 81–89. </w:t>
      </w:r>
      <w:hyperlink r:id="rId6262" w:history="1">
        <w:r w:rsidRPr="00DB4C76">
          <w:rPr>
            <w:rFonts w:ascii="Times New Roman" w:eastAsia="Times New Roman" w:hAnsi="Times New Roman" w:cs="Times New Roman"/>
            <w:color w:val="0000FF"/>
            <w:sz w:val="24"/>
            <w:szCs w:val="24"/>
            <w:u w:val="single"/>
          </w:rPr>
          <w:t>https://doi.org/10.1016/j.schres.2004.07.009</w:t>
        </w:r>
      </w:hyperlink>
    </w:p>
    <w:p w14:paraId="43B76C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Wijenberg, M., Rauwenhoff, J., Stapert, S., Verbunt, J., &amp; van Heugten, C. (2021). Do fear and catastrophizing about mental activities relate to fear-avoidance behavior in a community sample? An experimental study.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(1), 66–77. </w:t>
      </w:r>
      <w:hyperlink r:id="rId6263" w:history="1">
        <w:r w:rsidRPr="00DB4C76">
          <w:rPr>
            <w:rFonts w:ascii="Times New Roman" w:eastAsia="Times New Roman" w:hAnsi="Times New Roman" w:cs="Times New Roman"/>
            <w:color w:val="0000FF"/>
            <w:sz w:val="24"/>
            <w:szCs w:val="24"/>
            <w:u w:val="single"/>
          </w:rPr>
          <w:t>https://doi.org/10.1080/13803395.2021.1874881</w:t>
        </w:r>
      </w:hyperlink>
    </w:p>
    <w:p w14:paraId="6EBF65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Wildgruber, D., Kischka, U., Faßbender, K., &amp; Ettlin, T. M. (2000). The Frontal Lobe Score: Part II: Evaluation of its clinical valdity. </w:t>
      </w:r>
      <w:r w:rsidRPr="00DB4C76">
        <w:rPr>
          <w:rFonts w:ascii="Times New Roman" w:eastAsia="Times New Roman" w:hAnsi="Times New Roman" w:cs="Times New Roman"/>
          <w:i/>
          <w:iCs/>
          <w:sz w:val="24"/>
          <w:szCs w:val="24"/>
        </w:rPr>
        <w:t>Clinical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(3), 272–278. </w:t>
      </w:r>
      <w:hyperlink r:id="rId6264" w:history="1">
        <w:r w:rsidRPr="00DB4C76">
          <w:rPr>
            <w:rFonts w:ascii="Times New Roman" w:eastAsia="Times New Roman" w:hAnsi="Times New Roman" w:cs="Times New Roman"/>
            <w:color w:val="0000FF"/>
            <w:sz w:val="24"/>
            <w:szCs w:val="24"/>
            <w:u w:val="single"/>
          </w:rPr>
          <w:t>https://doi.org/10.1191/026921500676524726</w:t>
        </w:r>
      </w:hyperlink>
    </w:p>
    <w:p w14:paraId="3FB431C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Wilens, T. E., Martelon, M., Fried, R., Petty, C., Bateman, C., &amp; Biederman, J. (2011). Do executive function deficits predict later substance use disorders among adolescents and young adults? </w:t>
      </w:r>
      <w:r w:rsidRPr="00DB4C76">
        <w:rPr>
          <w:rFonts w:ascii="Times New Roman" w:eastAsia="Times New Roman" w:hAnsi="Times New Roman" w:cs="Times New Roman"/>
          <w:i/>
          <w:iCs/>
          <w:sz w:val="24"/>
          <w:szCs w:val="24"/>
        </w:rPr>
        <w:t>Journal of the American Academy of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(2), 141–149. </w:t>
      </w:r>
      <w:hyperlink r:id="rId6265" w:history="1">
        <w:r w:rsidRPr="00DB4C76">
          <w:rPr>
            <w:rFonts w:ascii="Times New Roman" w:eastAsia="Times New Roman" w:hAnsi="Times New Roman" w:cs="Times New Roman"/>
            <w:color w:val="0000FF"/>
            <w:sz w:val="24"/>
            <w:szCs w:val="24"/>
            <w:u w:val="single"/>
          </w:rPr>
          <w:t>https://doi.org/10.1016/j.jaac.2010.11.010</w:t>
        </w:r>
      </w:hyperlink>
    </w:p>
    <w:p w14:paraId="7EE7167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Wiles, C. M., Omar, L., Swan, A. V., Sawle, G., Frankel, J., Grunewald, R., Joannides, T., Jones, P., Laing, H., Richardson, P. H., Hamblin, A. S., Harris, J., Thomas, G., Miller, D. H., Moseley, I. F., McDonald, W. I., &amp; MacManus, D. G. (1994). Total lymphoid irradiation in multiple sclerosis.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 xml:space="preserve">(2), 154–163. </w:t>
      </w:r>
      <w:hyperlink r:id="rId6266" w:history="1">
        <w:r w:rsidRPr="00DB4C76">
          <w:rPr>
            <w:rFonts w:ascii="Times New Roman" w:eastAsia="Times New Roman" w:hAnsi="Times New Roman" w:cs="Times New Roman"/>
            <w:color w:val="0000FF"/>
            <w:sz w:val="24"/>
            <w:szCs w:val="24"/>
            <w:u w:val="single"/>
          </w:rPr>
          <w:t>https://doi.org/10.1136/jnnp.57.2.154</w:t>
        </w:r>
      </w:hyperlink>
    </w:p>
    <w:p w14:paraId="02564F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Wilhelmsen, K. C., Forman, M. S., Rosen, H. J., Alving, L. I., Goldman, J., Feiger, J., Lee, J. V., Segall, S. K., Kramer, J. H., Lomen-Hoerth, C., Rankin, K. P., Johnson, J., Feiler, H. S., Weiner, M. W., Lee, V. M.-Y., Trojanowski, J. Q., &amp; Miller, B. L. (2004). 17q-Linked Frontotemporal Dementia-Amyotrophic Lateral Sclerosis Without Tau Mutations With Tau and α-Synuclein Inclusions. </w:t>
      </w:r>
      <w:r w:rsidRPr="00DB4C76">
        <w:rPr>
          <w:rFonts w:ascii="Times New Roman" w:eastAsia="Times New Roman" w:hAnsi="Times New Roman" w:cs="Times New Roman"/>
          <w:i/>
          <w:iCs/>
          <w:sz w:val="24"/>
          <w:szCs w:val="24"/>
        </w:rPr>
        <w:t>Archives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 xml:space="preserve">(3), 398–406. </w:t>
      </w:r>
      <w:hyperlink r:id="rId6267" w:history="1">
        <w:r w:rsidRPr="00DB4C76">
          <w:rPr>
            <w:rFonts w:ascii="Times New Roman" w:eastAsia="Times New Roman" w:hAnsi="Times New Roman" w:cs="Times New Roman"/>
            <w:color w:val="0000FF"/>
            <w:sz w:val="24"/>
            <w:szCs w:val="24"/>
            <w:u w:val="single"/>
          </w:rPr>
          <w:t>https://doi.org/10.1001/archneur.61.3.398</w:t>
        </w:r>
      </w:hyperlink>
    </w:p>
    <w:p w14:paraId="443265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Wilkie, F. L., Goodkin, K., Ardila, A., Concha, M., Lee, D., Lecusay, R., Suarez, P., Van Zuilen, M. H., Molina, R., &amp; O’Mellan, S. (2004). HUMANS: An English and Spanish Neuropsychological Test Battery for Assessing HIV-1-Infected Individuals—Initial Report. </w:t>
      </w:r>
      <w:r w:rsidRPr="00DB4C76">
        <w:rPr>
          <w:rFonts w:ascii="Times New Roman" w:eastAsia="Times New Roman" w:hAnsi="Times New Roman" w:cs="Times New Roman"/>
          <w:i/>
          <w:iCs/>
          <w:sz w:val="24"/>
          <w:szCs w:val="24"/>
        </w:rPr>
        <w:t>Applied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(3), 121–133. </w:t>
      </w:r>
      <w:hyperlink r:id="rId6268" w:history="1">
        <w:r w:rsidRPr="00DB4C76">
          <w:rPr>
            <w:rFonts w:ascii="Times New Roman" w:eastAsia="Times New Roman" w:hAnsi="Times New Roman" w:cs="Times New Roman"/>
            <w:color w:val="0000FF"/>
            <w:sz w:val="24"/>
            <w:szCs w:val="24"/>
            <w:u w:val="single"/>
          </w:rPr>
          <w:t>https://doi.org/10.1207/s15324826an1103_1</w:t>
        </w:r>
      </w:hyperlink>
    </w:p>
    <w:p w14:paraId="5C5DD2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Wiłkość, M., Szałkowska, A., Skibińska, M., Zając-Lamparska, L., Maciukiewicz, M., &amp; Araszkiewicz, A. (2016). BDNF gene polymorphisms and haplotypes in relation to cognitive performance in Polish healthy subjects. </w:t>
      </w:r>
      <w:r w:rsidRPr="00DB4C76">
        <w:rPr>
          <w:rFonts w:ascii="Times New Roman" w:eastAsia="Times New Roman" w:hAnsi="Times New Roman" w:cs="Times New Roman"/>
          <w:i/>
          <w:iCs/>
          <w:sz w:val="24"/>
          <w:szCs w:val="24"/>
        </w:rPr>
        <w:t>Acta Neurobiologiae Experimentalis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76</w:t>
      </w:r>
      <w:r w:rsidRPr="00DB4C76">
        <w:rPr>
          <w:rFonts w:ascii="Times New Roman" w:eastAsia="Times New Roman" w:hAnsi="Times New Roman" w:cs="Times New Roman"/>
          <w:sz w:val="24"/>
          <w:szCs w:val="24"/>
        </w:rPr>
        <w:t>(1), 43–52.</w:t>
      </w:r>
    </w:p>
    <w:p w14:paraId="166D7F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Willcutt, E. G., Petrill, S. A., Wu, S., Boada, R., DeFries, J. C., Olson, R. K., &amp; Pennington, B. F. (2013). Comorbidity between reading disability and math disability: Concurrent psychopathology, functional impairment, and neuropsychological functioning. </w:t>
      </w:r>
      <w:r w:rsidRPr="00DB4C76">
        <w:rPr>
          <w:rFonts w:ascii="Times New Roman" w:eastAsia="Times New Roman" w:hAnsi="Times New Roman" w:cs="Times New Roman"/>
          <w:i/>
          <w:iCs/>
          <w:sz w:val="24"/>
          <w:szCs w:val="24"/>
        </w:rPr>
        <w:t>Journal of Learning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(6), 500–516. </w:t>
      </w:r>
      <w:hyperlink r:id="rId6269" w:history="1">
        <w:r w:rsidRPr="00DB4C76">
          <w:rPr>
            <w:rFonts w:ascii="Times New Roman" w:eastAsia="Times New Roman" w:hAnsi="Times New Roman" w:cs="Times New Roman"/>
            <w:color w:val="0000FF"/>
            <w:sz w:val="24"/>
            <w:szCs w:val="24"/>
            <w:u w:val="single"/>
          </w:rPr>
          <w:t>https://doi.org/10.1177/0022219413477476</w:t>
        </w:r>
      </w:hyperlink>
    </w:p>
    <w:p w14:paraId="01B301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Willemssen, R., Falkenstein, M., Schwarz, M., Müller, T., &amp; Beste, C. (2011). Effects of aging, Parkinson’s disease, and dopaminergic medication on response selection and control. </w:t>
      </w:r>
      <w:r w:rsidRPr="00DB4C76">
        <w:rPr>
          <w:rFonts w:ascii="Times New Roman" w:eastAsia="Times New Roman" w:hAnsi="Times New Roman" w:cs="Times New Roman"/>
          <w:i/>
          <w:iCs/>
          <w:sz w:val="24"/>
          <w:szCs w:val="24"/>
        </w:rPr>
        <w:t>Neurobiology of 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(2), 327–335. </w:t>
      </w:r>
      <w:hyperlink r:id="rId6270" w:history="1">
        <w:r w:rsidRPr="00DB4C76">
          <w:rPr>
            <w:rFonts w:ascii="Times New Roman" w:eastAsia="Times New Roman" w:hAnsi="Times New Roman" w:cs="Times New Roman"/>
            <w:color w:val="0000FF"/>
            <w:sz w:val="24"/>
            <w:szCs w:val="24"/>
            <w:u w:val="single"/>
          </w:rPr>
          <w:t>https://doi.org/10.1016/j.neurobiolaging.2009.02.002</w:t>
        </w:r>
      </w:hyperlink>
    </w:p>
    <w:p w14:paraId="4B556C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Willer, B. S., Tiso, M. R., Haider, M. N., Hinds, A. L., Baker, J. G., Miecznikowski, J. C., &amp; Leddy, J. J. (2018). Evaluation of executive function and mental health in retired contact sport athletes. </w:t>
      </w:r>
      <w:r w:rsidRPr="00DB4C76">
        <w:rPr>
          <w:rFonts w:ascii="Times New Roman" w:eastAsia="Times New Roman" w:hAnsi="Times New Roman" w:cs="Times New Roman"/>
          <w:i/>
          <w:iCs/>
          <w:sz w:val="24"/>
          <w:szCs w:val="24"/>
        </w:rPr>
        <w:t>The Journal of Head Trauma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(5), E9–E15. </w:t>
      </w:r>
      <w:hyperlink r:id="rId6271" w:history="1">
        <w:r w:rsidRPr="00DB4C76">
          <w:rPr>
            <w:rFonts w:ascii="Times New Roman" w:eastAsia="Times New Roman" w:hAnsi="Times New Roman" w:cs="Times New Roman"/>
            <w:color w:val="0000FF"/>
            <w:sz w:val="24"/>
            <w:szCs w:val="24"/>
            <w:u w:val="single"/>
          </w:rPr>
          <w:t>https://doi.org/10.1097/HTR.0000000000000423</w:t>
        </w:r>
      </w:hyperlink>
    </w:p>
    <w:p w14:paraId="2720D1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Willfors, C., Poltrago, L., Berggren, S., Coco, C., Anckarsäter, H., Lichtenstein, P., Ronald, A., &amp; Bölte, S. (2014). On the role of non-shared environment for executive functioning in ADHD: A twin-differences design study. </w:t>
      </w:r>
      <w:r w:rsidRPr="00DB4C76">
        <w:rPr>
          <w:rFonts w:ascii="Times New Roman" w:eastAsia="Times New Roman" w:hAnsi="Times New Roman" w:cs="Times New Roman"/>
          <w:i/>
          <w:iCs/>
          <w:sz w:val="24"/>
          <w:szCs w:val="24"/>
        </w:rPr>
        <w:t>International Journal of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(3), 163–173. </w:t>
      </w:r>
      <w:hyperlink r:id="rId6272" w:history="1">
        <w:r w:rsidRPr="00DB4C76">
          <w:rPr>
            <w:rFonts w:ascii="Times New Roman" w:eastAsia="Times New Roman" w:hAnsi="Times New Roman" w:cs="Times New Roman"/>
            <w:color w:val="0000FF"/>
            <w:sz w:val="24"/>
            <w:szCs w:val="24"/>
            <w:u w:val="single"/>
          </w:rPr>
          <w:t>https://doi.org/10.1179/2047387714Y.0000000041</w:t>
        </w:r>
      </w:hyperlink>
    </w:p>
    <w:p w14:paraId="311C8FD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A. D. (1997). Fixed versus flexible batteries. In </w:t>
      </w:r>
      <w:r w:rsidRPr="00DB4C76">
        <w:rPr>
          <w:rFonts w:ascii="Times New Roman" w:eastAsia="Times New Roman" w:hAnsi="Times New Roman" w:cs="Times New Roman"/>
          <w:i/>
          <w:iCs/>
          <w:sz w:val="24"/>
          <w:szCs w:val="24"/>
        </w:rPr>
        <w:t>The practice of forensic neuropsychology: Meeting challenges in the courtroom.</w:t>
      </w:r>
      <w:r w:rsidRPr="00DB4C76">
        <w:rPr>
          <w:rFonts w:ascii="Times New Roman" w:eastAsia="Times New Roman" w:hAnsi="Times New Roman" w:cs="Times New Roman"/>
          <w:sz w:val="24"/>
          <w:szCs w:val="24"/>
        </w:rPr>
        <w:t xml:space="preserve"> (pp. 57–70). Plenum Press.</w:t>
      </w:r>
    </w:p>
    <w:p w14:paraId="2FC70F1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A. E., Arzola, G. M., Strutt, A. M., Simpson, R., Jankovic, J., &amp; York, M. K. (2011). Cognitive outcome and reliable change indices two years following bilateral subthalamic nucleus deep brain stimulation. </w:t>
      </w:r>
      <w:r w:rsidRPr="00DB4C76">
        <w:rPr>
          <w:rFonts w:ascii="Times New Roman" w:eastAsia="Times New Roman" w:hAnsi="Times New Roman" w:cs="Times New Roman"/>
          <w:i/>
          <w:iCs/>
          <w:sz w:val="24"/>
          <w:szCs w:val="24"/>
        </w:rPr>
        <w:t>Parkinsonism &amp; Related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(5), 321–327. </w:t>
      </w:r>
      <w:hyperlink r:id="rId6273" w:history="1">
        <w:r w:rsidRPr="00DB4C76">
          <w:rPr>
            <w:rFonts w:ascii="Times New Roman" w:eastAsia="Times New Roman" w:hAnsi="Times New Roman" w:cs="Times New Roman"/>
            <w:color w:val="0000FF"/>
            <w:sz w:val="24"/>
            <w:szCs w:val="24"/>
            <w:u w:val="single"/>
          </w:rPr>
          <w:t>https://doi.org/10.1016/j.parkreldis.2011.01.011</w:t>
        </w:r>
      </w:hyperlink>
    </w:p>
    <w:p w14:paraId="029998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Boucher, J., Lind, S., &amp; Jarrold, C. (2013). Time-based and event-based prospective memory in autism spectrum disorder: The roles of executive function and theory of mind, and time-estimation.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(7), 1555–1567. </w:t>
      </w:r>
      <w:hyperlink r:id="rId6274" w:history="1">
        <w:r w:rsidRPr="00DB4C76">
          <w:rPr>
            <w:rFonts w:ascii="Times New Roman" w:eastAsia="Times New Roman" w:hAnsi="Times New Roman" w:cs="Times New Roman"/>
            <w:color w:val="0000FF"/>
            <w:sz w:val="24"/>
            <w:szCs w:val="24"/>
            <w:u w:val="single"/>
          </w:rPr>
          <w:t>https://doi.org/10.1007/s10803-012-1703-9</w:t>
        </w:r>
      </w:hyperlink>
    </w:p>
    <w:p w14:paraId="596DF0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&amp; Jarrold, C. (2013). Assessing planning and set‐shifting abilities in autism: Are experimenter‐administered and computerised versions of tasks equivalent? </w:t>
      </w:r>
      <w:r w:rsidRPr="00DB4C76">
        <w:rPr>
          <w:rFonts w:ascii="Times New Roman" w:eastAsia="Times New Roman" w:hAnsi="Times New Roman" w:cs="Times New Roman"/>
          <w:i/>
          <w:iCs/>
          <w:sz w:val="24"/>
          <w:szCs w:val="24"/>
        </w:rPr>
        <w:t>Autism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 xml:space="preserve">(6), 461–467. </w:t>
      </w:r>
      <w:hyperlink r:id="rId6275" w:history="1">
        <w:r w:rsidRPr="00DB4C76">
          <w:rPr>
            <w:rFonts w:ascii="Times New Roman" w:eastAsia="Times New Roman" w:hAnsi="Times New Roman" w:cs="Times New Roman"/>
            <w:color w:val="0000FF"/>
            <w:sz w:val="24"/>
            <w:szCs w:val="24"/>
            <w:u w:val="single"/>
          </w:rPr>
          <w:t>https://doi.org/10.1002/aur.1311</w:t>
        </w:r>
      </w:hyperlink>
    </w:p>
    <w:p w14:paraId="69A1AFB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L., Mazefsky, C. A., Walker, J. D., Minshew, N. J., &amp; Goldstein, G. (2014). Associations between conceptual reasoning, problem solving, and adaptive ability in high-functioning autism.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(11), 2908–2920. </w:t>
      </w:r>
      <w:hyperlink r:id="rId6276" w:history="1">
        <w:r w:rsidRPr="00DB4C76">
          <w:rPr>
            <w:rFonts w:ascii="Times New Roman" w:eastAsia="Times New Roman" w:hAnsi="Times New Roman" w:cs="Times New Roman"/>
            <w:color w:val="0000FF"/>
            <w:sz w:val="24"/>
            <w:szCs w:val="24"/>
            <w:u w:val="single"/>
          </w:rPr>
          <w:t>https://doi.org/10.1007/s10803-014-2190-y</w:t>
        </w:r>
      </w:hyperlink>
    </w:p>
    <w:p w14:paraId="7ADE601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D. L., Minshew, N. J., &amp; Goldstein, G. (2015). Further understanding of complex information processing in verbal adolescents and adults with autism spectrum disorders. </w:t>
      </w:r>
      <w:r w:rsidRPr="00DB4C76">
        <w:rPr>
          <w:rFonts w:ascii="Times New Roman" w:eastAsia="Times New Roman" w:hAnsi="Times New Roman" w:cs="Times New Roman"/>
          <w:i/>
          <w:iCs/>
          <w:sz w:val="24"/>
          <w:szCs w:val="24"/>
        </w:rPr>
        <w:t>Autism</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(7), 859–867. </w:t>
      </w:r>
      <w:hyperlink r:id="rId6277" w:history="1">
        <w:r w:rsidRPr="00DB4C76">
          <w:rPr>
            <w:rFonts w:ascii="Times New Roman" w:eastAsia="Times New Roman" w:hAnsi="Times New Roman" w:cs="Times New Roman"/>
            <w:color w:val="0000FF"/>
            <w:sz w:val="24"/>
            <w:szCs w:val="24"/>
            <w:u w:val="single"/>
          </w:rPr>
          <w:t>https://doi.org/10.1177/1362361315586171</w:t>
        </w:r>
      </w:hyperlink>
    </w:p>
    <w:p w14:paraId="401901B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J. M. (2011). The malingering factor.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(3), 280–285. </w:t>
      </w:r>
      <w:hyperlink r:id="rId6278" w:history="1">
        <w:r w:rsidRPr="00DB4C76">
          <w:rPr>
            <w:rFonts w:ascii="Times New Roman" w:eastAsia="Times New Roman" w:hAnsi="Times New Roman" w:cs="Times New Roman"/>
            <w:color w:val="0000FF"/>
            <w:sz w:val="24"/>
            <w:szCs w:val="24"/>
            <w:u w:val="single"/>
          </w:rPr>
          <w:t>https://doi.org/10.1093/arclin/acr009</w:t>
        </w:r>
      </w:hyperlink>
    </w:p>
    <w:p w14:paraId="1A6375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L. J., Dunlop, J. P., &amp; Abdi, H. (2012). Effect of age on variability in the production of text-based global inferences.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(5). </w:t>
      </w:r>
      <w:hyperlink r:id="rId6279" w:history="1">
        <w:r w:rsidRPr="00DB4C76">
          <w:rPr>
            <w:rFonts w:ascii="Times New Roman" w:eastAsia="Times New Roman" w:hAnsi="Times New Roman" w:cs="Times New Roman"/>
            <w:color w:val="0000FF"/>
            <w:sz w:val="24"/>
            <w:szCs w:val="24"/>
            <w:u w:val="single"/>
          </w:rPr>
          <w:t>https://doi.org/10.1371/journal.pone.0036161</w:t>
        </w:r>
      </w:hyperlink>
    </w:p>
    <w:p w14:paraId="7492A2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L. M., &amp; Gott, C. (2013). What dimensions of heterogeneity are relevant for treatment outcome? In </w:t>
      </w:r>
      <w:r w:rsidRPr="00DB4C76">
        <w:rPr>
          <w:rFonts w:ascii="Times New Roman" w:eastAsia="Times New Roman" w:hAnsi="Times New Roman" w:cs="Times New Roman"/>
          <w:i/>
          <w:iCs/>
          <w:sz w:val="24"/>
          <w:szCs w:val="24"/>
        </w:rPr>
        <w:t>Schizophrenia: Evolution and synthesis.</w:t>
      </w:r>
      <w:r w:rsidRPr="00DB4C76">
        <w:rPr>
          <w:rFonts w:ascii="Times New Roman" w:eastAsia="Times New Roman" w:hAnsi="Times New Roman" w:cs="Times New Roman"/>
          <w:sz w:val="24"/>
          <w:szCs w:val="24"/>
        </w:rPr>
        <w:t xml:space="preserve"> (pp. 63–74). MIT Press. </w:t>
      </w:r>
      <w:hyperlink r:id="rId6280" w:history="1">
        <w:r w:rsidRPr="00DB4C76">
          <w:rPr>
            <w:rFonts w:ascii="Times New Roman" w:eastAsia="Times New Roman" w:hAnsi="Times New Roman" w:cs="Times New Roman"/>
            <w:color w:val="0000FF"/>
            <w:sz w:val="24"/>
            <w:szCs w:val="24"/>
            <w:u w:val="single"/>
          </w:rPr>
          <w:t>https://doi.org/10.7551/mitpress/9780262019620.003.0004</w:t>
        </w:r>
      </w:hyperlink>
    </w:p>
    <w:p w14:paraId="386285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L., Sandercock, R., &amp; Klinger, L. G. (2020). Assessment of childhood neurodevelopmental disorders. </w:t>
      </w:r>
      <w:r w:rsidRPr="00DB4C76">
        <w:rPr>
          <w:rFonts w:ascii="Times New Roman" w:eastAsia="Times New Roman" w:hAnsi="Times New Roman" w:cs="Times New Roman"/>
          <w:i/>
          <w:iCs/>
          <w:sz w:val="24"/>
          <w:szCs w:val="24"/>
        </w:rPr>
        <w:t>The Cambridge Handbook of Clinical Assessment and Diagnosis.</w:t>
      </w:r>
      <w:r w:rsidRPr="00DB4C76">
        <w:rPr>
          <w:rFonts w:ascii="Times New Roman" w:eastAsia="Times New Roman" w:hAnsi="Times New Roman" w:cs="Times New Roman"/>
          <w:sz w:val="24"/>
          <w:szCs w:val="24"/>
        </w:rPr>
        <w:t xml:space="preserve">, 293–307. </w:t>
      </w:r>
      <w:hyperlink r:id="rId6281" w:history="1">
        <w:r w:rsidRPr="00DB4C76">
          <w:rPr>
            <w:rFonts w:ascii="Times New Roman" w:eastAsia="Times New Roman" w:hAnsi="Times New Roman" w:cs="Times New Roman"/>
            <w:color w:val="0000FF"/>
            <w:sz w:val="24"/>
            <w:szCs w:val="24"/>
            <w:u w:val="single"/>
          </w:rPr>
          <w:t>https://doi.org/10.1017/9781108235433.021</w:t>
        </w:r>
      </w:hyperlink>
    </w:p>
    <w:p w14:paraId="36AC7F6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 M. C., Littell, R. R., Reinoso, C., &amp; Greve, K. (1994). Effect of wavelength on performance of attention-disordered and normal children on the Wisconsin Card Sorting Test.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(2), 187–193. </w:t>
      </w:r>
      <w:hyperlink r:id="rId6282" w:history="1">
        <w:r w:rsidRPr="00DB4C76">
          <w:rPr>
            <w:rFonts w:ascii="Times New Roman" w:eastAsia="Times New Roman" w:hAnsi="Times New Roman" w:cs="Times New Roman"/>
            <w:color w:val="0000FF"/>
            <w:sz w:val="24"/>
            <w:szCs w:val="24"/>
            <w:u w:val="single"/>
          </w:rPr>
          <w:t>https://doi.org/10.1037/0894-4105.8.2.187</w:t>
        </w:r>
      </w:hyperlink>
    </w:p>
    <w:p w14:paraId="129F47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Williams-Gray, C. H., &amp; Barker, R. A. (2013). The genetics of behavior and cognition in Parkinson’s disease. In </w:t>
      </w:r>
      <w:r w:rsidRPr="00DB4C76">
        <w:rPr>
          <w:rFonts w:ascii="Times New Roman" w:eastAsia="Times New Roman" w:hAnsi="Times New Roman" w:cs="Times New Roman"/>
          <w:i/>
          <w:iCs/>
          <w:sz w:val="24"/>
          <w:szCs w:val="24"/>
        </w:rPr>
        <w:t>Neuropsychiatric and cognitive changes in Parkinson’s disease and related movement disorders: Diagnosis and management.</w:t>
      </w:r>
      <w:r w:rsidRPr="00DB4C76">
        <w:rPr>
          <w:rFonts w:ascii="Times New Roman" w:eastAsia="Times New Roman" w:hAnsi="Times New Roman" w:cs="Times New Roman"/>
          <w:sz w:val="24"/>
          <w:szCs w:val="24"/>
        </w:rPr>
        <w:t xml:space="preserve"> (pp. 25–39). Cambridge University Press. </w:t>
      </w:r>
      <w:hyperlink r:id="rId6283" w:history="1">
        <w:r w:rsidRPr="00DB4C76">
          <w:rPr>
            <w:rFonts w:ascii="Times New Roman" w:eastAsia="Times New Roman" w:hAnsi="Times New Roman" w:cs="Times New Roman"/>
            <w:color w:val="0000FF"/>
            <w:sz w:val="24"/>
            <w:szCs w:val="24"/>
            <w:u w:val="single"/>
          </w:rPr>
          <w:t>https://doi.org/10.1017/CBO9781139856669.004</w:t>
        </w:r>
      </w:hyperlink>
    </w:p>
    <w:p w14:paraId="037BCB7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Willinger, U., Deckert, M., Schmöger, M., Schaunig-Busch, I., Formann, A. K., &amp; Auff, E. (2019). Developmental steps in metaphorical language abilities: The influence of age, gender, cognitive flexibility, information processing speed, and analogical reasoning. </w:t>
      </w:r>
      <w:r w:rsidRPr="00DB4C76">
        <w:rPr>
          <w:rFonts w:ascii="Times New Roman" w:eastAsia="Times New Roman" w:hAnsi="Times New Roman" w:cs="Times New Roman"/>
          <w:i/>
          <w:iCs/>
          <w:sz w:val="24"/>
          <w:szCs w:val="24"/>
        </w:rPr>
        <w:t>Language and Speech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(2), 207–228. </w:t>
      </w:r>
      <w:hyperlink r:id="rId6284" w:history="1">
        <w:r w:rsidRPr="00DB4C76">
          <w:rPr>
            <w:rFonts w:ascii="Times New Roman" w:eastAsia="Times New Roman" w:hAnsi="Times New Roman" w:cs="Times New Roman"/>
            <w:color w:val="0000FF"/>
            <w:sz w:val="24"/>
            <w:szCs w:val="24"/>
            <w:u w:val="single"/>
          </w:rPr>
          <w:t>https://doi.org/10.1177/0023830917746552</w:t>
        </w:r>
      </w:hyperlink>
    </w:p>
    <w:p w14:paraId="3F388C5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Willis, P. F., Farrer, T. J., &amp; Bigler, E. D. (2011). Are effort measures sensitive to cognitive impairment? </w:t>
      </w:r>
      <w:r w:rsidRPr="00DB4C76">
        <w:rPr>
          <w:rFonts w:ascii="Times New Roman" w:eastAsia="Times New Roman" w:hAnsi="Times New Roman" w:cs="Times New Roman"/>
          <w:i/>
          <w:iCs/>
          <w:sz w:val="24"/>
          <w:szCs w:val="24"/>
        </w:rPr>
        <w:t>Military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176</w:t>
      </w:r>
      <w:r w:rsidRPr="00DB4C76">
        <w:rPr>
          <w:rFonts w:ascii="Times New Roman" w:eastAsia="Times New Roman" w:hAnsi="Times New Roman" w:cs="Times New Roman"/>
          <w:sz w:val="24"/>
          <w:szCs w:val="24"/>
        </w:rPr>
        <w:t xml:space="preserve">(12), 1426–1431. </w:t>
      </w:r>
      <w:hyperlink r:id="rId6285" w:history="1">
        <w:r w:rsidRPr="00DB4C76">
          <w:rPr>
            <w:rFonts w:ascii="Times New Roman" w:eastAsia="Times New Roman" w:hAnsi="Times New Roman" w:cs="Times New Roman"/>
            <w:color w:val="0000FF"/>
            <w:sz w:val="24"/>
            <w:szCs w:val="24"/>
            <w:u w:val="single"/>
          </w:rPr>
          <w:t>https://doi.org/10.7205/MILMED-D-11-00168</w:t>
        </w:r>
      </w:hyperlink>
    </w:p>
    <w:p w14:paraId="776B9F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Willmott, C., Ponsford, J., McAllister, T. W., &amp; Burke, R. (2013). Effect of COMT Val158Met genotype on attention and response to methylphenidate following traumatic brain injury.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(11), 1281–1286. </w:t>
      </w:r>
      <w:hyperlink r:id="rId6286" w:history="1">
        <w:r w:rsidRPr="00DB4C76">
          <w:rPr>
            <w:rFonts w:ascii="Times New Roman" w:eastAsia="Times New Roman" w:hAnsi="Times New Roman" w:cs="Times New Roman"/>
            <w:color w:val="0000FF"/>
            <w:sz w:val="24"/>
            <w:szCs w:val="24"/>
            <w:u w:val="single"/>
          </w:rPr>
          <w:t>https://doi.org/10.3109/02699052.2013.809553</w:t>
        </w:r>
      </w:hyperlink>
    </w:p>
    <w:p w14:paraId="76E0FA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Willoughby, M., Holochwost, S. J., Blanton, Z. E., &amp; Blair, C. B. (2014). Executive functions: Formative versus reflective measurement. </w:t>
      </w:r>
      <w:r w:rsidRPr="00DB4C76">
        <w:rPr>
          <w:rFonts w:ascii="Times New Roman" w:eastAsia="Times New Roman" w:hAnsi="Times New Roman" w:cs="Times New Roman"/>
          <w:i/>
          <w:iCs/>
          <w:sz w:val="24"/>
          <w:szCs w:val="24"/>
        </w:rPr>
        <w:t>Measurement: Interdisciplinary Research and Perspectives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69–95. </w:t>
      </w:r>
      <w:hyperlink r:id="rId6287" w:history="1">
        <w:r w:rsidRPr="00DB4C76">
          <w:rPr>
            <w:rFonts w:ascii="Times New Roman" w:eastAsia="Times New Roman" w:hAnsi="Times New Roman" w:cs="Times New Roman"/>
            <w:color w:val="0000FF"/>
            <w:sz w:val="24"/>
            <w:szCs w:val="24"/>
            <w:u w:val="single"/>
          </w:rPr>
          <w:t>https://doi.org/10.1080/15366367.2014.929453</w:t>
        </w:r>
      </w:hyperlink>
    </w:p>
    <w:p w14:paraId="2FF47F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Wilmsmeier, A., Ohrmann, P., Suslow, T., Siegmund, A., Koelkebeck, K., Rothermundt, M., Kugel, H., Arolt, V., Bauer, J., &amp; Pedersen, A. (2010). Neural correlates of set-shifting: Decomposing executive functions in schizophrenia. </w:t>
      </w:r>
      <w:r w:rsidRPr="00DB4C76">
        <w:rPr>
          <w:rFonts w:ascii="Times New Roman" w:eastAsia="Times New Roman" w:hAnsi="Times New Roman" w:cs="Times New Roman"/>
          <w:i/>
          <w:iCs/>
          <w:sz w:val="24"/>
          <w:szCs w:val="24"/>
        </w:rPr>
        <w:t>Journal of Psychiatry &amp;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(5), 321–329. </w:t>
      </w:r>
      <w:hyperlink r:id="rId6288" w:history="1">
        <w:r w:rsidRPr="00DB4C76">
          <w:rPr>
            <w:rFonts w:ascii="Times New Roman" w:eastAsia="Times New Roman" w:hAnsi="Times New Roman" w:cs="Times New Roman"/>
            <w:color w:val="0000FF"/>
            <w:sz w:val="24"/>
            <w:szCs w:val="24"/>
            <w:u w:val="single"/>
          </w:rPr>
          <w:t>https://doi.org/10.1503/jpn.090181</w:t>
        </w:r>
      </w:hyperlink>
    </w:p>
    <w:p w14:paraId="51B99EA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Wilsdon, A., &amp; Wade, T. D. (2006). Executive functioning in anorexia nervosa: Exploration of the role of obsessionality, depression and starvation.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(8), 746–754. </w:t>
      </w:r>
      <w:hyperlink r:id="rId6289" w:history="1">
        <w:r w:rsidRPr="00DB4C76">
          <w:rPr>
            <w:rFonts w:ascii="Times New Roman" w:eastAsia="Times New Roman" w:hAnsi="Times New Roman" w:cs="Times New Roman"/>
            <w:color w:val="0000FF"/>
            <w:sz w:val="24"/>
            <w:szCs w:val="24"/>
            <w:u w:val="single"/>
          </w:rPr>
          <w:t>https://doi.org/10.1016/j.jpsychires.2005.10.006</w:t>
        </w:r>
      </w:hyperlink>
    </w:p>
    <w:p w14:paraId="59097E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A. G., Franck, C. T., Mueller, E. T., Landes, R. D., Kowal, B. P., Yi, R., &amp; Bickel, W. K. (2015). Predictors of delay discounting among smokers: Education level and a Utility Measure of Cigarette Reinforcement Efficacy are better predictors than demographics, smoking characteristics, executive functioning, impulsivity, or time perception. </w:t>
      </w:r>
      <w:r w:rsidRPr="00DB4C76">
        <w:rPr>
          <w:rFonts w:ascii="Times New Roman" w:eastAsia="Times New Roman" w:hAnsi="Times New Roman" w:cs="Times New Roman"/>
          <w:i/>
          <w:iCs/>
          <w:sz w:val="24"/>
          <w:szCs w:val="24"/>
        </w:rPr>
        <w:t>Addictive Behaviors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 124–133. </w:t>
      </w:r>
      <w:hyperlink r:id="rId6290" w:history="1">
        <w:r w:rsidRPr="00DB4C76">
          <w:rPr>
            <w:rFonts w:ascii="Times New Roman" w:eastAsia="Times New Roman" w:hAnsi="Times New Roman" w:cs="Times New Roman"/>
            <w:color w:val="0000FF"/>
            <w:sz w:val="24"/>
            <w:szCs w:val="24"/>
            <w:u w:val="single"/>
          </w:rPr>
          <w:t>https://doi.org/10.1016/j.addbeh.2015.01.027</w:t>
        </w:r>
      </w:hyperlink>
    </w:p>
    <w:p w14:paraId="5C44408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B. A., Hinchcliffe, A., Okines, T., Florschutz, G., &amp; Fish, J. (2011). A case study of Locked-In-Syndrome: Psychological and personal perspectives.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(5), 526–538. </w:t>
      </w:r>
      <w:hyperlink r:id="rId6291" w:history="1">
        <w:r w:rsidRPr="00DB4C76">
          <w:rPr>
            <w:rFonts w:ascii="Times New Roman" w:eastAsia="Times New Roman" w:hAnsi="Times New Roman" w:cs="Times New Roman"/>
            <w:color w:val="0000FF"/>
            <w:sz w:val="24"/>
            <w:szCs w:val="24"/>
            <w:u w:val="single"/>
          </w:rPr>
          <w:t>https://doi.org/10.3109/02699052.2011.568034</w:t>
        </w:r>
      </w:hyperlink>
    </w:p>
    <w:p w14:paraId="416BD9C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C. M., Christensen, B. K., King, J. P., Li, Q., &amp; Zelazo, P. D. (2008). Decomposing perseverative errors among undergraduates scoring high on the Schizotypal Personality Questionnaire.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106</w:t>
      </w:r>
      <w:r w:rsidRPr="00DB4C76">
        <w:rPr>
          <w:rFonts w:ascii="Times New Roman" w:eastAsia="Times New Roman" w:hAnsi="Times New Roman" w:cs="Times New Roman"/>
          <w:sz w:val="24"/>
          <w:szCs w:val="24"/>
        </w:rPr>
        <w:t xml:space="preserve">(1), 3–12. </w:t>
      </w:r>
      <w:hyperlink r:id="rId6292" w:history="1">
        <w:r w:rsidRPr="00DB4C76">
          <w:rPr>
            <w:rFonts w:ascii="Times New Roman" w:eastAsia="Times New Roman" w:hAnsi="Times New Roman" w:cs="Times New Roman"/>
            <w:color w:val="0000FF"/>
            <w:sz w:val="24"/>
            <w:szCs w:val="24"/>
            <w:u w:val="single"/>
          </w:rPr>
          <w:t>https://doi.org/10.1016/j.schres.2008.05.031</w:t>
        </w:r>
      </w:hyperlink>
    </w:p>
    <w:p w14:paraId="618E684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Wilson, K. R., Hansen, D. J., &amp; Li, M. (2011). The traumatic stress response in child maltreatment and resultant neuropsychological effects. </w:t>
      </w:r>
      <w:r w:rsidRPr="00DB4C76">
        <w:rPr>
          <w:rFonts w:ascii="Times New Roman" w:eastAsia="Times New Roman" w:hAnsi="Times New Roman" w:cs="Times New Roman"/>
          <w:i/>
          <w:iCs/>
          <w:sz w:val="24"/>
          <w:szCs w:val="24"/>
        </w:rPr>
        <w:t>Aggression and Violent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(2), 87–97. </w:t>
      </w:r>
      <w:hyperlink r:id="rId6293" w:history="1">
        <w:r w:rsidRPr="00DB4C76">
          <w:rPr>
            <w:rFonts w:ascii="Times New Roman" w:eastAsia="Times New Roman" w:hAnsi="Times New Roman" w:cs="Times New Roman"/>
            <w:color w:val="0000FF"/>
            <w:sz w:val="24"/>
            <w:szCs w:val="24"/>
            <w:u w:val="single"/>
          </w:rPr>
          <w:t>https://doi.org/10.1016/j.avb.2010.12.007</w:t>
        </w:r>
      </w:hyperlink>
    </w:p>
    <w:p w14:paraId="2F4271F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Wimmer, L., Bellingrath, S., &amp; von Stockhausen, L. (2016). Cognitive effects of mindfulness training: Results of a pilot study based on a theory driven approach.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w:t>
      </w:r>
    </w:p>
    <w:p w14:paraId="231AB6D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Hellström, P., Lindberg, C., &amp; Hansen, S. (2006). Facial emotion recognition in myotonic dystrophy type 1 correlates with CTG repeat expansion.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77</w:t>
      </w:r>
      <w:r w:rsidRPr="00DB4C76">
        <w:rPr>
          <w:rFonts w:ascii="Times New Roman" w:eastAsia="Times New Roman" w:hAnsi="Times New Roman" w:cs="Times New Roman"/>
          <w:sz w:val="24"/>
          <w:szCs w:val="24"/>
        </w:rPr>
        <w:t xml:space="preserve">(2), 219–223. </w:t>
      </w:r>
      <w:hyperlink r:id="rId6294" w:history="1">
        <w:r w:rsidRPr="00DB4C76">
          <w:rPr>
            <w:rFonts w:ascii="Times New Roman" w:eastAsia="Times New Roman" w:hAnsi="Times New Roman" w:cs="Times New Roman"/>
            <w:color w:val="0000FF"/>
            <w:sz w:val="24"/>
            <w:szCs w:val="24"/>
            <w:u w:val="single"/>
          </w:rPr>
          <w:t>https://doi.org/10.1136/jnnp.2005.070763</w:t>
        </w:r>
      </w:hyperlink>
    </w:p>
    <w:p w14:paraId="52E64DF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Lindberg, C., &amp; Hansen, S. (2006). Cognitive deficits and CTG repeat expansion size in classical myotonic dystrophy type 1 (DM1).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 </w:t>
      </w:r>
      <w:hyperlink r:id="rId6295" w:history="1">
        <w:r w:rsidRPr="00DB4C76">
          <w:rPr>
            <w:rFonts w:ascii="Times New Roman" w:eastAsia="Times New Roman" w:hAnsi="Times New Roman" w:cs="Times New Roman"/>
            <w:color w:val="0000FF"/>
            <w:sz w:val="24"/>
            <w:szCs w:val="24"/>
            <w:u w:val="single"/>
          </w:rPr>
          <w:t>https://doi.org/10.1186/1744-9081-2-16</w:t>
        </w:r>
      </w:hyperlink>
    </w:p>
    <w:p w14:paraId="68491AF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Månsson, J. E., Blennow, K., Jensen, C., Samuelsson, L., &amp; Lindberg, C. (2008). Cerebrospinal fluid tau and amyloid β42 protein in patients with myotonic dystrophy type 1.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(9), 947–952. </w:t>
      </w:r>
      <w:hyperlink r:id="rId6296" w:history="1">
        <w:r w:rsidRPr="00DB4C76">
          <w:rPr>
            <w:rFonts w:ascii="Times New Roman" w:eastAsia="Times New Roman" w:hAnsi="Times New Roman" w:cs="Times New Roman"/>
            <w:color w:val="0000FF"/>
            <w:sz w:val="24"/>
            <w:szCs w:val="24"/>
            <w:u w:val="single"/>
          </w:rPr>
          <w:t>https://doi.org/10.1111/j.1468-1331.2008.02217.x</w:t>
        </w:r>
      </w:hyperlink>
    </w:p>
    <w:p w14:paraId="579BB48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Winblad, S., Samuelsson, L., Lindberg, C., &amp; Meola, G. (2016). Cognition in myotonic dystrophy type 1: A 5‐year follow‐up study. </w:t>
      </w:r>
      <w:r w:rsidRPr="00DB4C76">
        <w:rPr>
          <w:rFonts w:ascii="Times New Roman" w:eastAsia="Times New Roman" w:hAnsi="Times New Roman" w:cs="Times New Roman"/>
          <w:i/>
          <w:iCs/>
          <w:sz w:val="24"/>
          <w:szCs w:val="24"/>
        </w:rPr>
        <w:t>European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(9), 1471–1476. </w:t>
      </w:r>
      <w:hyperlink r:id="rId6297" w:history="1">
        <w:r w:rsidRPr="00DB4C76">
          <w:rPr>
            <w:rFonts w:ascii="Times New Roman" w:eastAsia="Times New Roman" w:hAnsi="Times New Roman" w:cs="Times New Roman"/>
            <w:color w:val="0000FF"/>
            <w:sz w:val="24"/>
            <w:szCs w:val="24"/>
            <w:u w:val="single"/>
          </w:rPr>
          <w:t>https://doi.org/10.1111/ene.13062</w:t>
        </w:r>
      </w:hyperlink>
    </w:p>
    <w:p w14:paraId="0B6A114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Windle, M. (1993). A retrospective measure of childhood behavior problems and its use in predicting adolescent problem behaviors. </w:t>
      </w:r>
      <w:r w:rsidRPr="00DB4C76">
        <w:rPr>
          <w:rFonts w:ascii="Times New Roman" w:eastAsia="Times New Roman" w:hAnsi="Times New Roman" w:cs="Times New Roman"/>
          <w:i/>
          <w:iCs/>
          <w:sz w:val="24"/>
          <w:szCs w:val="24"/>
        </w:rPr>
        <w:t>Journal of Studies on Alcohol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(4), 422–431. </w:t>
      </w:r>
      <w:hyperlink r:id="rId6298" w:history="1">
        <w:r w:rsidRPr="00DB4C76">
          <w:rPr>
            <w:rFonts w:ascii="Times New Roman" w:eastAsia="Times New Roman" w:hAnsi="Times New Roman" w:cs="Times New Roman"/>
            <w:color w:val="0000FF"/>
            <w:sz w:val="24"/>
            <w:szCs w:val="24"/>
            <w:u w:val="single"/>
          </w:rPr>
          <w:t>https://doi.org/10.15288/jsa.1993.54.422</w:t>
        </w:r>
      </w:hyperlink>
    </w:p>
    <w:p w14:paraId="7F2600B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Wing, V. C., Bacher, I., Sacco, K. A., &amp; George, T. P. (2011). Neuropsychological performance in patients with schizophrenia and controls as a function of cigarette smoking status.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188</w:t>
      </w:r>
      <w:r w:rsidRPr="00DB4C76">
        <w:rPr>
          <w:rFonts w:ascii="Times New Roman" w:eastAsia="Times New Roman" w:hAnsi="Times New Roman" w:cs="Times New Roman"/>
          <w:sz w:val="24"/>
          <w:szCs w:val="24"/>
        </w:rPr>
        <w:t xml:space="preserve">(3), 320–326. </w:t>
      </w:r>
      <w:hyperlink r:id="rId6299" w:history="1">
        <w:r w:rsidRPr="00DB4C76">
          <w:rPr>
            <w:rFonts w:ascii="Times New Roman" w:eastAsia="Times New Roman" w:hAnsi="Times New Roman" w:cs="Times New Roman"/>
            <w:color w:val="0000FF"/>
            <w:sz w:val="24"/>
            <w:szCs w:val="24"/>
            <w:u w:val="single"/>
          </w:rPr>
          <w:t>https://doi.org/10.1016/j.psychres.2011.05.037</w:t>
        </w:r>
      </w:hyperlink>
    </w:p>
    <w:p w14:paraId="6FF6A5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Wing, V. C., Payer, D. E., Houle, S., George, T. P., &amp; Boileau, I. (2015). Measuring cigarette smoking-induced cortical dopamine release: A [</w:t>
      </w:r>
      <w:r w:rsidRPr="00DB4C76">
        <w:rPr>
          <w:rFonts w:ascii="Times New Roman" w:eastAsia="Times New Roman" w:hAnsi="Times New Roman" w:cs="Times New Roman"/>
          <w:sz w:val="24"/>
          <w:szCs w:val="24"/>
          <w:vertAlign w:val="superscript"/>
        </w:rPr>
        <w:t>11</w:t>
      </w:r>
      <w:r w:rsidRPr="00DB4C76">
        <w:rPr>
          <w:rFonts w:ascii="Times New Roman" w:eastAsia="Times New Roman" w:hAnsi="Times New Roman" w:cs="Times New Roman"/>
          <w:sz w:val="24"/>
          <w:szCs w:val="24"/>
        </w:rPr>
        <w:t xml:space="preserve">C]FLB-457 PET study.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(6), 1417–1427. </w:t>
      </w:r>
      <w:hyperlink r:id="rId6300" w:history="1">
        <w:r w:rsidRPr="00DB4C76">
          <w:rPr>
            <w:rFonts w:ascii="Times New Roman" w:eastAsia="Times New Roman" w:hAnsi="Times New Roman" w:cs="Times New Roman"/>
            <w:color w:val="0000FF"/>
            <w:sz w:val="24"/>
            <w:szCs w:val="24"/>
            <w:u w:val="single"/>
          </w:rPr>
          <w:t>https://doi.org/10.1038/npp.2014.327</w:t>
        </w:r>
      </w:hyperlink>
    </w:p>
    <w:p w14:paraId="6448648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Wing, V. C., Tang, Y.-L., Sacco, K. A., Cubells, J. F., &amp; George, T. P. (2013). Effect of COMT Val</w:t>
      </w:r>
      <w:r w:rsidRPr="00DB4C76">
        <w:rPr>
          <w:rFonts w:ascii="Times New Roman" w:eastAsia="Times New Roman" w:hAnsi="Times New Roman" w:cs="Times New Roman"/>
          <w:sz w:val="24"/>
          <w:szCs w:val="24"/>
          <w:vertAlign w:val="superscript"/>
        </w:rPr>
        <w:t>158</w:t>
      </w:r>
      <w:r w:rsidRPr="00DB4C76">
        <w:rPr>
          <w:rFonts w:ascii="Times New Roman" w:eastAsia="Times New Roman" w:hAnsi="Times New Roman" w:cs="Times New Roman"/>
          <w:sz w:val="24"/>
          <w:szCs w:val="24"/>
        </w:rPr>
        <w:t xml:space="preserve">Met genotype on nicotine withdrawal-related cognitive dysfunction in smokers with and without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150</w:t>
      </w:r>
      <w:r w:rsidRPr="00DB4C76">
        <w:rPr>
          <w:rFonts w:ascii="Times New Roman" w:eastAsia="Times New Roman" w:hAnsi="Times New Roman" w:cs="Times New Roman"/>
          <w:sz w:val="24"/>
          <w:szCs w:val="24"/>
        </w:rPr>
        <w:t xml:space="preserve">(2–3), 602–603. </w:t>
      </w:r>
      <w:hyperlink r:id="rId6301" w:history="1">
        <w:r w:rsidRPr="00DB4C76">
          <w:rPr>
            <w:rFonts w:ascii="Times New Roman" w:eastAsia="Times New Roman" w:hAnsi="Times New Roman" w:cs="Times New Roman"/>
            <w:color w:val="0000FF"/>
            <w:sz w:val="24"/>
            <w:szCs w:val="24"/>
            <w:u w:val="single"/>
          </w:rPr>
          <w:t>https://doi.org/10.1016/j.schres.2013.09.005</w:t>
        </w:r>
      </w:hyperlink>
    </w:p>
    <w:p w14:paraId="4844F9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Wingo, J., Kalkut, E., Tuminello, E., Asconape, J., &amp; Han, S. D. (2013). Executive Functions, Depressive Symptoms, and College Adjustment in Women.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(2), 136–144. </w:t>
      </w:r>
      <w:hyperlink r:id="rId6302" w:history="1">
        <w:r w:rsidRPr="00DB4C76">
          <w:rPr>
            <w:rFonts w:ascii="Times New Roman" w:eastAsia="Times New Roman" w:hAnsi="Times New Roman" w:cs="Times New Roman"/>
            <w:color w:val="0000FF"/>
            <w:sz w:val="24"/>
            <w:szCs w:val="24"/>
            <w:u w:val="single"/>
          </w:rPr>
          <w:t>https://doi.org/10.1080/09084282.2012.670154</w:t>
        </w:r>
      </w:hyperlink>
    </w:p>
    <w:p w14:paraId="192BB7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Winstanley, F. S., &amp; Thrasher, S. T. (2013). Cognitive rehabilitation following neurosurgical intervention. In </w:t>
      </w:r>
      <w:r w:rsidRPr="00DB4C76">
        <w:rPr>
          <w:rFonts w:ascii="Times New Roman" w:eastAsia="Times New Roman" w:hAnsi="Times New Roman" w:cs="Times New Roman"/>
          <w:i/>
          <w:iCs/>
          <w:sz w:val="24"/>
          <w:szCs w:val="24"/>
        </w:rPr>
        <w:t>Neuropsychological rehabilitation.</w:t>
      </w:r>
      <w:r w:rsidRPr="00DB4C76">
        <w:rPr>
          <w:rFonts w:ascii="Times New Roman" w:eastAsia="Times New Roman" w:hAnsi="Times New Roman" w:cs="Times New Roman"/>
          <w:sz w:val="24"/>
          <w:szCs w:val="24"/>
        </w:rPr>
        <w:t xml:space="preserve"> (pp. 185–202). Springer Publishing Company.</w:t>
      </w:r>
    </w:p>
    <w:p w14:paraId="3D32EA9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Wirrell, E., Sherman, E. M. S., Vanmastrigt, R., &amp; Hamiwka, L. (2008). Deterioration in cognitive function in children with benign epilepsy of childhood with central temporal spikes treated with sulthiame. </w:t>
      </w:r>
      <w:r w:rsidRPr="00DB4C76">
        <w:rPr>
          <w:rFonts w:ascii="Times New Roman" w:eastAsia="Times New Roman" w:hAnsi="Times New Roman" w:cs="Times New Roman"/>
          <w:i/>
          <w:iCs/>
          <w:sz w:val="24"/>
          <w:szCs w:val="24"/>
        </w:rPr>
        <w:t>Journal of Child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14–21. </w:t>
      </w:r>
      <w:hyperlink r:id="rId6303" w:history="1">
        <w:r w:rsidRPr="00DB4C76">
          <w:rPr>
            <w:rFonts w:ascii="Times New Roman" w:eastAsia="Times New Roman" w:hAnsi="Times New Roman" w:cs="Times New Roman"/>
            <w:color w:val="0000FF"/>
            <w:sz w:val="24"/>
            <w:szCs w:val="24"/>
            <w:u w:val="single"/>
          </w:rPr>
          <w:t>https://doi.org/10.1177/0883073807307082</w:t>
        </w:r>
      </w:hyperlink>
    </w:p>
    <w:p w14:paraId="655DEB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Wisdom, N. M., Pastorek, N. J., Miller, B. I., Booth, J. E., Romesser, J. M., Linck, J. F., &amp; Sim, A. H. (2014). PTSD and cognitive functioning: Importance of including performance validity testing.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(1), 128–145. </w:t>
      </w:r>
      <w:hyperlink r:id="rId6304" w:history="1">
        <w:r w:rsidRPr="00DB4C76">
          <w:rPr>
            <w:rFonts w:ascii="Times New Roman" w:eastAsia="Times New Roman" w:hAnsi="Times New Roman" w:cs="Times New Roman"/>
            <w:color w:val="0000FF"/>
            <w:sz w:val="24"/>
            <w:szCs w:val="24"/>
            <w:u w:val="single"/>
          </w:rPr>
          <w:t>https://doi.org/10.1080/13854046.2013.863977</w:t>
        </w:r>
      </w:hyperlink>
    </w:p>
    <w:p w14:paraId="5F11659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Wisner, K. M., Elvevåg, B., Gold, J. M., Weinberger, D. R., &amp; Dickinson, D. (2011). A closer look at siblings of patients with schizophrenia: The association of depression history and sex with cognitive phenotypes.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126</w:t>
      </w:r>
      <w:r w:rsidRPr="00DB4C76">
        <w:rPr>
          <w:rFonts w:ascii="Times New Roman" w:eastAsia="Times New Roman" w:hAnsi="Times New Roman" w:cs="Times New Roman"/>
          <w:sz w:val="24"/>
          <w:szCs w:val="24"/>
        </w:rPr>
        <w:t xml:space="preserve">(1–3), 164–173. </w:t>
      </w:r>
      <w:hyperlink r:id="rId6305" w:history="1">
        <w:r w:rsidRPr="00DB4C76">
          <w:rPr>
            <w:rFonts w:ascii="Times New Roman" w:eastAsia="Times New Roman" w:hAnsi="Times New Roman" w:cs="Times New Roman"/>
            <w:color w:val="0000FF"/>
            <w:sz w:val="24"/>
            <w:szCs w:val="24"/>
            <w:u w:val="single"/>
          </w:rPr>
          <w:t>https://doi.org/10.1016/j.schres.2010.09.011</w:t>
        </w:r>
      </w:hyperlink>
    </w:p>
    <w:p w14:paraId="39742D1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Witjes-Ané, M.-N., Mertens, B., van Vugt, J. P. P., Bachoud-Lévi, A.-C., van Ommen, G.-J. B., &amp; Roos, R. A. C. (2007). Longitudinal evaluation of “presymptomatic” carriers of Huntington’s disease.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(3), 310–317. </w:t>
      </w:r>
      <w:hyperlink r:id="rId6306" w:history="1">
        <w:r w:rsidRPr="00DB4C76">
          <w:rPr>
            <w:rFonts w:ascii="Times New Roman" w:eastAsia="Times New Roman" w:hAnsi="Times New Roman" w:cs="Times New Roman"/>
            <w:color w:val="0000FF"/>
            <w:sz w:val="24"/>
            <w:szCs w:val="24"/>
            <w:u w:val="single"/>
          </w:rPr>
          <w:t>https://doi.org/10.1176/appi.neuropsych.19.3.310</w:t>
        </w:r>
      </w:hyperlink>
    </w:p>
    <w:p w14:paraId="38F201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 K., Daniels, C., Daniel, V., Schmitt-Eliassen, J., Volkmann, J., &amp; Deuschl, G. (2006). Patients with Parkinson’s disease learn to control complex systems—An indication for intact implicit cognitive skill learning.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(12), 2445–2451. </w:t>
      </w:r>
      <w:hyperlink r:id="rId6307" w:history="1">
        <w:r w:rsidRPr="00DB4C76">
          <w:rPr>
            <w:rFonts w:ascii="Times New Roman" w:eastAsia="Times New Roman" w:hAnsi="Times New Roman" w:cs="Times New Roman"/>
            <w:color w:val="0000FF"/>
            <w:sz w:val="24"/>
            <w:szCs w:val="24"/>
            <w:u w:val="single"/>
          </w:rPr>
          <w:t>https://doi.org/10.1016/j.neuropsychologia.2006.04.013</w:t>
        </w:r>
      </w:hyperlink>
    </w:p>
    <w:p w14:paraId="37211C0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 K., Daniels, C., Schmitt-Eliassen, J., Kernbichler, J., Rehm, S., Volkmann, J., &amp; Deuschl, G. (2006). The impact of normal aging and Parkinson’s disease on response preparation in task-switching behavior.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1114</w:t>
      </w:r>
      <w:r w:rsidRPr="00DB4C76">
        <w:rPr>
          <w:rFonts w:ascii="Times New Roman" w:eastAsia="Times New Roman" w:hAnsi="Times New Roman" w:cs="Times New Roman"/>
          <w:sz w:val="24"/>
          <w:szCs w:val="24"/>
        </w:rPr>
        <w:t xml:space="preserve">(1), 173–182. </w:t>
      </w:r>
      <w:hyperlink r:id="rId6308" w:history="1">
        <w:r w:rsidRPr="00DB4C76">
          <w:rPr>
            <w:rFonts w:ascii="Times New Roman" w:eastAsia="Times New Roman" w:hAnsi="Times New Roman" w:cs="Times New Roman"/>
            <w:color w:val="0000FF"/>
            <w:sz w:val="24"/>
            <w:szCs w:val="24"/>
            <w:u w:val="single"/>
          </w:rPr>
          <w:t>https://doi.org/10.1016/j.brainres.2006.07.055</w:t>
        </w:r>
      </w:hyperlink>
    </w:p>
    <w:p w14:paraId="0C3E4E9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 K., van Dorn, R., &amp; Fazel, S. (2013). Risk factors for violence in psychosis: Systematic review and meta-regression analysis of 110 studies.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(2). </w:t>
      </w:r>
      <w:hyperlink r:id="rId6309" w:history="1">
        <w:r w:rsidRPr="00DB4C76">
          <w:rPr>
            <w:rFonts w:ascii="Times New Roman" w:eastAsia="Times New Roman" w:hAnsi="Times New Roman" w:cs="Times New Roman"/>
            <w:color w:val="0000FF"/>
            <w:sz w:val="24"/>
            <w:szCs w:val="24"/>
            <w:u w:val="single"/>
          </w:rPr>
          <w:t>https://doi.org/10.1371/journal.pone.0055942</w:t>
        </w:r>
      </w:hyperlink>
    </w:p>
    <w:p w14:paraId="4D59698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Wittorf, A., Giel, K. E., Hautzinger, M., Rapp, A., Schönenberg, M., Wolkenstein, L., Zipfel, S., Mehl, S., Fallgatter, A. J., &amp; Klingberg, S. (2012). Specificity of jumping to conclusions and attributional biases: A comparison between patients with schizophrenia, depression, and anorexia nervosa.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 xml:space="preserve">(3), 262–286. </w:t>
      </w:r>
      <w:hyperlink r:id="rId6310" w:history="1">
        <w:r w:rsidRPr="00DB4C76">
          <w:rPr>
            <w:rFonts w:ascii="Times New Roman" w:eastAsia="Times New Roman" w:hAnsi="Times New Roman" w:cs="Times New Roman"/>
            <w:color w:val="0000FF"/>
            <w:sz w:val="24"/>
            <w:szCs w:val="24"/>
            <w:u w:val="single"/>
          </w:rPr>
          <w:t>https://doi.org/10.1080/13546805.2011.633749</w:t>
        </w:r>
      </w:hyperlink>
    </w:p>
    <w:p w14:paraId="7A31E06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Wittorf, A., Wiedemann, G., Buchkremer, G., &amp; Klingberg, S. (2010). Quality and correlates of specific self-esteem at the beginning stabilisation phase of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179</w:t>
      </w:r>
      <w:r w:rsidRPr="00DB4C76">
        <w:rPr>
          <w:rFonts w:ascii="Times New Roman" w:eastAsia="Times New Roman" w:hAnsi="Times New Roman" w:cs="Times New Roman"/>
          <w:sz w:val="24"/>
          <w:szCs w:val="24"/>
        </w:rPr>
        <w:t xml:space="preserve">(2), 130–138. </w:t>
      </w:r>
      <w:hyperlink r:id="rId6311" w:history="1">
        <w:r w:rsidRPr="00DB4C76">
          <w:rPr>
            <w:rFonts w:ascii="Times New Roman" w:eastAsia="Times New Roman" w:hAnsi="Times New Roman" w:cs="Times New Roman"/>
            <w:color w:val="0000FF"/>
            <w:sz w:val="24"/>
            <w:szCs w:val="24"/>
            <w:u w:val="single"/>
          </w:rPr>
          <w:t>https://doi.org/10.1016/j.psychres.2009.03.024</w:t>
        </w:r>
      </w:hyperlink>
    </w:p>
    <w:p w14:paraId="667B3F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Wittorf, A., Wiedemann, G., &amp; Klingberg, S. (2014). Mehrfachwahl-Wortschatz-lntelligenztest MWT bei Schizophrenie: Valides Maß der prämorbiden Intelligenz? [The Multiple-Choice Vocabulary Intelligence Test MWT in schizophrenia: Valid measure of premorbid intelligence?]. </w:t>
      </w:r>
      <w:r w:rsidRPr="00DB4C76">
        <w:rPr>
          <w:rFonts w:ascii="Times New Roman" w:eastAsia="Times New Roman" w:hAnsi="Times New Roman" w:cs="Times New Roman"/>
          <w:i/>
          <w:iCs/>
          <w:sz w:val="24"/>
          <w:szCs w:val="24"/>
        </w:rPr>
        <w:t>Psychiatrische Praxis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(2), 95–100. </w:t>
      </w:r>
      <w:hyperlink r:id="rId6312" w:history="1">
        <w:r w:rsidRPr="00DB4C76">
          <w:rPr>
            <w:rFonts w:ascii="Times New Roman" w:eastAsia="Times New Roman" w:hAnsi="Times New Roman" w:cs="Times New Roman"/>
            <w:color w:val="0000FF"/>
            <w:sz w:val="24"/>
            <w:szCs w:val="24"/>
            <w:u w:val="single"/>
          </w:rPr>
          <w:t>https://doi.org/10.1055/s-0033-1349595</w:t>
        </w:r>
      </w:hyperlink>
    </w:p>
    <w:p w14:paraId="2133F7D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Falkai, P., Schneider-Axmann, T., Hasan, A., Galderisi, S., Davidson, M., Kahn, R. S., Derks, E. M., Boter, H., Rybakowski, J. K., Libiger, J., Dollfus, S., López-Ibor, J. J., Peuskens, J., Hranov, L. G., Gaebel, W., &amp; Fleischhacker, W. W. (2013). Comorbid substance abuse in first-episode schizophrenia: Effects on cognition and psychopathology in the EUFEST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147</w:t>
      </w:r>
      <w:r w:rsidRPr="00DB4C76">
        <w:rPr>
          <w:rFonts w:ascii="Times New Roman" w:eastAsia="Times New Roman" w:hAnsi="Times New Roman" w:cs="Times New Roman"/>
          <w:sz w:val="24"/>
          <w:szCs w:val="24"/>
        </w:rPr>
        <w:t xml:space="preserve">(1), 132–139. </w:t>
      </w:r>
      <w:hyperlink r:id="rId6313" w:history="1">
        <w:r w:rsidRPr="00DB4C76">
          <w:rPr>
            <w:rFonts w:ascii="Times New Roman" w:eastAsia="Times New Roman" w:hAnsi="Times New Roman" w:cs="Times New Roman"/>
            <w:color w:val="0000FF"/>
            <w:sz w:val="24"/>
            <w:szCs w:val="24"/>
            <w:u w:val="single"/>
          </w:rPr>
          <w:t>https://doi.org/10.1016/j.schres.2013.03.001</w:t>
        </w:r>
      </w:hyperlink>
    </w:p>
    <w:p w14:paraId="61B8DA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Gruber, O., McIntosh, A. M., Kraft, S., Klinghardt, A., Scherk, H., Reith, W., Schneider-Axmann, T., Lawrie, S. M., Falkai, P., &amp; Moorhead, T. W. (2010). Reduced prefrontal gyrification in obsessive–compulsive disorder.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260</w:t>
      </w:r>
      <w:r w:rsidRPr="00DB4C76">
        <w:rPr>
          <w:rFonts w:ascii="Times New Roman" w:eastAsia="Times New Roman" w:hAnsi="Times New Roman" w:cs="Times New Roman"/>
          <w:sz w:val="24"/>
          <w:szCs w:val="24"/>
        </w:rPr>
        <w:t xml:space="preserve">(6), 455–464. </w:t>
      </w:r>
      <w:hyperlink r:id="rId6314" w:history="1">
        <w:r w:rsidRPr="00DB4C76">
          <w:rPr>
            <w:rFonts w:ascii="Times New Roman" w:eastAsia="Times New Roman" w:hAnsi="Times New Roman" w:cs="Times New Roman"/>
            <w:color w:val="0000FF"/>
            <w:sz w:val="24"/>
            <w:szCs w:val="24"/>
            <w:u w:val="single"/>
          </w:rPr>
          <w:t>https://doi.org/10.1007/s00406-009-0096-z</w:t>
        </w:r>
      </w:hyperlink>
    </w:p>
    <w:p w14:paraId="0BB2FF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Kamer, T., Roy, A., Vogeley, K., Schneider-Axmann, T., Wagner, M., Maier, W., Rietschel, M., Schulze, T. G., Scherk, H., Schild, H. H., Block, W., Träber, F., Tepest, R., Honer, W. G., &amp; Falkai, P. (2008). Reduction of the internal capsule in families affected with schizophrenia.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63</w:t>
      </w:r>
      <w:r w:rsidRPr="00DB4C76">
        <w:rPr>
          <w:rFonts w:ascii="Times New Roman" w:eastAsia="Times New Roman" w:hAnsi="Times New Roman" w:cs="Times New Roman"/>
          <w:sz w:val="24"/>
          <w:szCs w:val="24"/>
        </w:rPr>
        <w:t xml:space="preserve">(1), 65–71. </w:t>
      </w:r>
      <w:hyperlink r:id="rId6315" w:history="1">
        <w:r w:rsidRPr="00DB4C76">
          <w:rPr>
            <w:rFonts w:ascii="Times New Roman" w:eastAsia="Times New Roman" w:hAnsi="Times New Roman" w:cs="Times New Roman"/>
            <w:color w:val="0000FF"/>
            <w:sz w:val="24"/>
            <w:szCs w:val="24"/>
            <w:u w:val="single"/>
          </w:rPr>
          <w:t>https://doi.org/10.1016/j.biopsych.2007.02.026</w:t>
        </w:r>
      </w:hyperlink>
    </w:p>
    <w:p w14:paraId="6D0574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Wobrock, T., Sittinger, H., Behrendt, B., D’Amelio, R., Falkai, P., &amp; Caspari, D. (2007). Comorbid substance abuse and neurocognitive function in recent-onset schizophrenia.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257</w:t>
      </w:r>
      <w:r w:rsidRPr="00DB4C76">
        <w:rPr>
          <w:rFonts w:ascii="Times New Roman" w:eastAsia="Times New Roman" w:hAnsi="Times New Roman" w:cs="Times New Roman"/>
          <w:sz w:val="24"/>
          <w:szCs w:val="24"/>
        </w:rPr>
        <w:t xml:space="preserve">(4), 203–210. </w:t>
      </w:r>
      <w:hyperlink r:id="rId6316" w:history="1">
        <w:r w:rsidRPr="00DB4C76">
          <w:rPr>
            <w:rFonts w:ascii="Times New Roman" w:eastAsia="Times New Roman" w:hAnsi="Times New Roman" w:cs="Times New Roman"/>
            <w:color w:val="0000FF"/>
            <w:sz w:val="24"/>
            <w:szCs w:val="24"/>
            <w:u w:val="single"/>
          </w:rPr>
          <w:t>https://doi.org/10.1007/s00406-006-0707-x</w:t>
        </w:r>
      </w:hyperlink>
    </w:p>
    <w:p w14:paraId="056416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Wodarz, N., Fritze, J., Riederer, P., &amp; Beckmann, H. (1993). –3H-spiroperidol binding to peripheral mononuclear cells in schizophrenic and healthy subjects. </w:t>
      </w:r>
      <w:r w:rsidRPr="00DB4C76">
        <w:rPr>
          <w:rFonts w:ascii="Times New Roman" w:eastAsia="Times New Roman" w:hAnsi="Times New Roman" w:cs="Times New Roman"/>
          <w:i/>
          <w:iCs/>
          <w:sz w:val="24"/>
          <w:szCs w:val="24"/>
        </w:rPr>
        <w:t>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(10), 727–733. </w:t>
      </w:r>
      <w:hyperlink r:id="rId6317" w:history="1">
        <w:r w:rsidRPr="00DB4C76">
          <w:rPr>
            <w:rFonts w:ascii="Times New Roman" w:eastAsia="Times New Roman" w:hAnsi="Times New Roman" w:cs="Times New Roman"/>
            <w:color w:val="0000FF"/>
            <w:sz w:val="24"/>
            <w:szCs w:val="24"/>
            <w:u w:val="single"/>
          </w:rPr>
          <w:t>https://doi.org/10.1016/0006-3223(93)90123-U</w:t>
        </w:r>
      </w:hyperlink>
    </w:p>
    <w:p w14:paraId="6BCF24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Woicik, P. A., Urban, C., Alia-Klein, N., Henry, A., Maloney, T., Telang, F., Wang, G.-J., Volkow, N. D., &amp; Goldstein, R. Z. (2011). A pattern of perseveration in cocaine addiction may reveal neurocognitive processes implicit in the Wisconsin Card Sorting Test.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(7), 1660–1669. </w:t>
      </w:r>
      <w:hyperlink r:id="rId6318" w:history="1">
        <w:r w:rsidRPr="00DB4C76">
          <w:rPr>
            <w:rFonts w:ascii="Times New Roman" w:eastAsia="Times New Roman" w:hAnsi="Times New Roman" w:cs="Times New Roman"/>
            <w:color w:val="0000FF"/>
            <w:sz w:val="24"/>
            <w:szCs w:val="24"/>
            <w:u w:val="single"/>
          </w:rPr>
          <w:t>https://doi.org/10.1016/j.neuropsychologia.2011.02.037</w:t>
        </w:r>
      </w:hyperlink>
    </w:p>
    <w:p w14:paraId="04C4F0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F., Brüne, M., &amp; Assion, H.-J. (2010). Theory of mind and neurocognitive functioning in patients with bipolar disorder.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(6), 657–666. </w:t>
      </w:r>
      <w:hyperlink r:id="rId6319" w:history="1">
        <w:r w:rsidRPr="00DB4C76">
          <w:rPr>
            <w:rFonts w:ascii="Times New Roman" w:eastAsia="Times New Roman" w:hAnsi="Times New Roman" w:cs="Times New Roman"/>
            <w:color w:val="0000FF"/>
            <w:sz w:val="24"/>
            <w:szCs w:val="24"/>
            <w:u w:val="single"/>
          </w:rPr>
          <w:t>https://doi.org/10.1111/j.1399-5618.2010.00854.x</w:t>
        </w:r>
      </w:hyperlink>
    </w:p>
    <w:p w14:paraId="1257826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L. E., Cornblatt, B. A., Roberts, S. A., Shapiro, B. M., &amp; Erlenmeyer-Kimling, L. (2002). Wisconsin Card Sorting deficits in the offspring of schizophrenics in the New York High-Risk Project.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 xml:space="preserve">(2–3), 173–182. </w:t>
      </w:r>
      <w:hyperlink r:id="rId6320" w:history="1">
        <w:r w:rsidRPr="00DB4C76">
          <w:rPr>
            <w:rFonts w:ascii="Times New Roman" w:eastAsia="Times New Roman" w:hAnsi="Times New Roman" w:cs="Times New Roman"/>
            <w:color w:val="0000FF"/>
            <w:sz w:val="24"/>
            <w:szCs w:val="24"/>
            <w:u w:val="single"/>
          </w:rPr>
          <w:t>https://doi.org/10.1016/S0920-9964(01)00301-2</w:t>
        </w:r>
      </w:hyperlink>
    </w:p>
    <w:p w14:paraId="42337D2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R. C., Vasic, N., Höse, A., Spitzer, M., &amp; Walter, H. (2007). Changes over time in frontotemporal activation during a working memory task in patients with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91</w:t>
      </w:r>
      <w:r w:rsidRPr="00DB4C76">
        <w:rPr>
          <w:rFonts w:ascii="Times New Roman" w:eastAsia="Times New Roman" w:hAnsi="Times New Roman" w:cs="Times New Roman"/>
          <w:sz w:val="24"/>
          <w:szCs w:val="24"/>
        </w:rPr>
        <w:t xml:space="preserve">(1–3), 141–150. </w:t>
      </w:r>
      <w:hyperlink r:id="rId6321" w:history="1">
        <w:r w:rsidRPr="00DB4C76">
          <w:rPr>
            <w:rFonts w:ascii="Times New Roman" w:eastAsia="Times New Roman" w:hAnsi="Times New Roman" w:cs="Times New Roman"/>
            <w:color w:val="0000FF"/>
            <w:sz w:val="24"/>
            <w:szCs w:val="24"/>
            <w:u w:val="single"/>
          </w:rPr>
          <w:t>https://doi.org/10.1016/j.schres.2006.12.001</w:t>
        </w:r>
      </w:hyperlink>
    </w:p>
    <w:p w14:paraId="4C54BD5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R. C., Vasic, N., Schönfeldt-Lecuona, C., Ecker, D., &amp; Landwehrmeyer, G. B. (2009). Cortical dysfunction in patients with Huntington’s disease during working memory performance. </w:t>
      </w:r>
      <w:r w:rsidRPr="00DB4C76">
        <w:rPr>
          <w:rFonts w:ascii="Times New Roman" w:eastAsia="Times New Roman" w:hAnsi="Times New Roman" w:cs="Times New Roman"/>
          <w:i/>
          <w:iCs/>
          <w:sz w:val="24"/>
          <w:szCs w:val="24"/>
        </w:rPr>
        <w:t>Human Brain Mapping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(1), 327–339. </w:t>
      </w:r>
      <w:hyperlink r:id="rId6322" w:history="1">
        <w:r w:rsidRPr="00DB4C76">
          <w:rPr>
            <w:rFonts w:ascii="Times New Roman" w:eastAsia="Times New Roman" w:hAnsi="Times New Roman" w:cs="Times New Roman"/>
            <w:color w:val="0000FF"/>
            <w:sz w:val="24"/>
            <w:szCs w:val="24"/>
            <w:u w:val="single"/>
          </w:rPr>
          <w:t>https://doi.org/10.1002/hbm.20502</w:t>
        </w:r>
      </w:hyperlink>
    </w:p>
    <w:p w14:paraId="69F0CF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 R. C., Vasic, N., Schönfeldt-Lecuona, C., Landwehrmeyer, G. B., &amp; Ecker, D. (2007). Dorsolateral prefrontal cortex dysfunction in presymptomatic Huntington’s disease: Evidence from event-related fMRI. </w:t>
      </w:r>
      <w:r w:rsidRPr="00DB4C76">
        <w:rPr>
          <w:rFonts w:ascii="Times New Roman" w:eastAsia="Times New Roman" w:hAnsi="Times New Roman" w:cs="Times New Roman"/>
          <w:i/>
          <w:iCs/>
          <w:sz w:val="24"/>
          <w:szCs w:val="24"/>
        </w:rPr>
        <w:t>Brain: A Journal of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(11), 2845–2857. </w:t>
      </w:r>
      <w:hyperlink r:id="rId6323" w:history="1">
        <w:r w:rsidRPr="00DB4C76">
          <w:rPr>
            <w:rFonts w:ascii="Times New Roman" w:eastAsia="Times New Roman" w:hAnsi="Times New Roman" w:cs="Times New Roman"/>
            <w:color w:val="0000FF"/>
            <w:sz w:val="24"/>
            <w:szCs w:val="24"/>
            <w:u w:val="single"/>
          </w:rPr>
          <w:t>https://doi.org/10.1093/brain/awm210</w:t>
        </w:r>
      </w:hyperlink>
    </w:p>
    <w:p w14:paraId="5644301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Wolfe, P. L., &amp; Clark, J. A. (2012). Driving capacity. In G. J. Demakis (Ed.), </w:t>
      </w:r>
      <w:r w:rsidRPr="00DB4C76">
        <w:rPr>
          <w:rFonts w:ascii="Times New Roman" w:eastAsia="Times New Roman" w:hAnsi="Times New Roman" w:cs="Times New Roman"/>
          <w:i/>
          <w:iCs/>
          <w:sz w:val="24"/>
          <w:szCs w:val="24"/>
        </w:rPr>
        <w:t>Civil capacities in clinical neuropsychology: Research findings and practical applications.</w:t>
      </w:r>
      <w:r w:rsidRPr="00DB4C76">
        <w:rPr>
          <w:rFonts w:ascii="Times New Roman" w:eastAsia="Times New Roman" w:hAnsi="Times New Roman" w:cs="Times New Roman"/>
          <w:sz w:val="24"/>
          <w:szCs w:val="24"/>
        </w:rPr>
        <w:t xml:space="preserve"> (pp. 121–138). Oxford University Press. </w:t>
      </w:r>
      <w:hyperlink r:id="rId6324" w:history="1">
        <w:r w:rsidRPr="00DB4C76">
          <w:rPr>
            <w:rFonts w:ascii="Times New Roman" w:eastAsia="Times New Roman" w:hAnsi="Times New Roman" w:cs="Times New Roman"/>
            <w:color w:val="0000FF"/>
            <w:sz w:val="24"/>
            <w:szCs w:val="24"/>
            <w:u w:val="single"/>
          </w:rPr>
          <w:t>http://search.ebscohost.com/login.aspx?direct=true&amp;db=psyh&amp;AN=2011-27638-006&amp;site=ehost-live</w:t>
        </w:r>
      </w:hyperlink>
    </w:p>
    <w:p w14:paraId="10F6B52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Wolfe, P. R. (1993). </w:t>
      </w:r>
      <w:r w:rsidRPr="00DB4C76">
        <w:rPr>
          <w:rFonts w:ascii="Times New Roman" w:eastAsia="Times New Roman" w:hAnsi="Times New Roman" w:cs="Times New Roman"/>
          <w:i/>
          <w:iCs/>
          <w:sz w:val="24"/>
          <w:szCs w:val="24"/>
        </w:rPr>
        <w:t>A cognitive process approach to interpreting performance on the Booklet Category Test and the Wisconsin Card Sorting Test.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(4-B), 2233–2233.</w:t>
      </w:r>
    </w:p>
    <w:p w14:paraId="63918E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Wolfkühler, W., Majorek, K., Tas, C., Küper, C., Saimeh, N., Juckel, G., &amp; Brüne, M. (2012). Emotion recognition in pictures of facial affect: Is there a difference between forensic and non-forensic patients with schizophrenia? </w:t>
      </w:r>
      <w:r w:rsidRPr="00DB4C76">
        <w:rPr>
          <w:rFonts w:ascii="Times New Roman" w:eastAsia="Times New Roman" w:hAnsi="Times New Roman" w:cs="Times New Roman"/>
          <w:i/>
          <w:iCs/>
          <w:sz w:val="24"/>
          <w:szCs w:val="24"/>
        </w:rPr>
        <w:t>The European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73–85. </w:t>
      </w:r>
      <w:hyperlink r:id="rId6325" w:history="1">
        <w:r w:rsidRPr="00DB4C76">
          <w:rPr>
            <w:rFonts w:ascii="Times New Roman" w:eastAsia="Times New Roman" w:hAnsi="Times New Roman" w:cs="Times New Roman"/>
            <w:color w:val="0000FF"/>
            <w:sz w:val="24"/>
            <w:szCs w:val="24"/>
            <w:u w:val="single"/>
          </w:rPr>
          <w:t>https://doi.org/10.4321/S0213-61632012000200001</w:t>
        </w:r>
      </w:hyperlink>
    </w:p>
    <w:p w14:paraId="6204BC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Wolk, D. A., Coslett, H. B., &amp; Glosser, G. (2005). The role of sensory-motor information in object recognition: Evidence from category-specific visual agnosia.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94</w:t>
      </w:r>
      <w:r w:rsidRPr="00DB4C76">
        <w:rPr>
          <w:rFonts w:ascii="Times New Roman" w:eastAsia="Times New Roman" w:hAnsi="Times New Roman" w:cs="Times New Roman"/>
          <w:sz w:val="24"/>
          <w:szCs w:val="24"/>
        </w:rPr>
        <w:t xml:space="preserve">(2), 131–146. </w:t>
      </w:r>
      <w:hyperlink r:id="rId6326" w:history="1">
        <w:r w:rsidRPr="00DB4C76">
          <w:rPr>
            <w:rFonts w:ascii="Times New Roman" w:eastAsia="Times New Roman" w:hAnsi="Times New Roman" w:cs="Times New Roman"/>
            <w:color w:val="0000FF"/>
            <w:sz w:val="24"/>
            <w:szCs w:val="24"/>
            <w:u w:val="single"/>
          </w:rPr>
          <w:t>https://doi.org/10.1016/j.bandl.2004.10.015</w:t>
        </w:r>
      </w:hyperlink>
    </w:p>
    <w:p w14:paraId="6ACC0A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Wolkenstein, L., Schönenberg, M., Schirm, E., &amp; Hautzinger, M. (2011). I can see what you feel, but I can’t deal with it: Impaired theory of mind in depression.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132</w:t>
      </w:r>
      <w:r w:rsidRPr="00DB4C76">
        <w:rPr>
          <w:rFonts w:ascii="Times New Roman" w:eastAsia="Times New Roman" w:hAnsi="Times New Roman" w:cs="Times New Roman"/>
          <w:sz w:val="24"/>
          <w:szCs w:val="24"/>
        </w:rPr>
        <w:t xml:space="preserve">(1–2), 104–111. </w:t>
      </w:r>
      <w:hyperlink r:id="rId6327" w:history="1">
        <w:r w:rsidRPr="00DB4C76">
          <w:rPr>
            <w:rFonts w:ascii="Times New Roman" w:eastAsia="Times New Roman" w:hAnsi="Times New Roman" w:cs="Times New Roman"/>
            <w:color w:val="0000FF"/>
            <w:sz w:val="24"/>
            <w:szCs w:val="24"/>
            <w:u w:val="single"/>
          </w:rPr>
          <w:t>https://doi.org/10.1016/j.jad.2011.02.010</w:t>
        </w:r>
      </w:hyperlink>
    </w:p>
    <w:p w14:paraId="30B6A8B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Wollenhaupt, C., Wilke, L., Erim, Y., Rauh, M., Steins-Loeber, S., &amp; Paslakis, G. (2019). The association of leptin secretion with cognitive performance in patients with eating disorders.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276</w:t>
      </w:r>
      <w:r w:rsidRPr="00DB4C76">
        <w:rPr>
          <w:rFonts w:ascii="Times New Roman" w:eastAsia="Times New Roman" w:hAnsi="Times New Roman" w:cs="Times New Roman"/>
          <w:sz w:val="24"/>
          <w:szCs w:val="24"/>
        </w:rPr>
        <w:t xml:space="preserve">, 269–277. </w:t>
      </w:r>
      <w:hyperlink r:id="rId6328" w:history="1">
        <w:r w:rsidRPr="00DB4C76">
          <w:rPr>
            <w:rFonts w:ascii="Times New Roman" w:eastAsia="Times New Roman" w:hAnsi="Times New Roman" w:cs="Times New Roman"/>
            <w:color w:val="0000FF"/>
            <w:sz w:val="24"/>
            <w:szCs w:val="24"/>
            <w:u w:val="single"/>
          </w:rPr>
          <w:t>https://doi.org/10.1016/j.psychres.2019.05.001</w:t>
        </w:r>
      </w:hyperlink>
    </w:p>
    <w:p w14:paraId="6A72618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Wölwer, W., Lowe, A., Brinkmeyer, J., Streit, M., Habakuck, M., Agelink, M. W., Mobascher, A., Gaebel, W., &amp; Cordes, J. (2014). Repetitive transcranial magnetic stimulation (rTMS) improves facial affect recognition in schizophrenia. </w:t>
      </w:r>
      <w:r w:rsidRPr="00DB4C76">
        <w:rPr>
          <w:rFonts w:ascii="Times New Roman" w:eastAsia="Times New Roman" w:hAnsi="Times New Roman" w:cs="Times New Roman"/>
          <w:i/>
          <w:iCs/>
          <w:sz w:val="24"/>
          <w:szCs w:val="24"/>
        </w:rPr>
        <w:t>Brain Stimulation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w:t>
      </w:r>
      <w:r w:rsidRPr="00DB4C76">
        <w:rPr>
          <w:rFonts w:ascii="Times New Roman" w:eastAsia="Times New Roman" w:hAnsi="Times New Roman" w:cs="Times New Roman"/>
          <w:sz w:val="24"/>
          <w:szCs w:val="24"/>
        </w:rPr>
        <w:t xml:space="preserve">(4), 559–563. </w:t>
      </w:r>
      <w:hyperlink r:id="rId6329" w:history="1">
        <w:r w:rsidRPr="00DB4C76">
          <w:rPr>
            <w:rFonts w:ascii="Times New Roman" w:eastAsia="Times New Roman" w:hAnsi="Times New Roman" w:cs="Times New Roman"/>
            <w:color w:val="0000FF"/>
            <w:sz w:val="24"/>
            <w:szCs w:val="24"/>
            <w:u w:val="single"/>
          </w:rPr>
          <w:t>https://doi.org/10.1016/j.brs.2014.04.011</w:t>
        </w:r>
      </w:hyperlink>
    </w:p>
    <w:p w14:paraId="41150A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 J. G. W. S., Cheung, E. P. T., &amp; Chen, E. Y. H. (2005). Decision-Making Capacity of Inpatients With Schizophrenia in Hong Kong.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193</w:t>
      </w:r>
      <w:r w:rsidRPr="00DB4C76">
        <w:rPr>
          <w:rFonts w:ascii="Times New Roman" w:eastAsia="Times New Roman" w:hAnsi="Times New Roman" w:cs="Times New Roman"/>
          <w:sz w:val="24"/>
          <w:szCs w:val="24"/>
        </w:rPr>
        <w:t xml:space="preserve">(5), 316–322. </w:t>
      </w:r>
      <w:hyperlink r:id="rId6330" w:history="1">
        <w:r w:rsidRPr="00DB4C76">
          <w:rPr>
            <w:rFonts w:ascii="Times New Roman" w:eastAsia="Times New Roman" w:hAnsi="Times New Roman" w:cs="Times New Roman"/>
            <w:color w:val="0000FF"/>
            <w:sz w:val="24"/>
            <w:szCs w:val="24"/>
            <w:u w:val="single"/>
          </w:rPr>
          <w:t>https://doi.org/10.1097/01.nmd.0000161685.54077.e4</w:t>
        </w:r>
      </w:hyperlink>
    </w:p>
    <w:p w14:paraId="5F327E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 T. M. (2011). Neuropsychology of Chinese Americans. </w:t>
      </w:r>
      <w:r w:rsidRPr="00DB4C76">
        <w:rPr>
          <w:rFonts w:ascii="Times New Roman" w:eastAsia="Times New Roman" w:hAnsi="Times New Roman" w:cs="Times New Roman"/>
          <w:i/>
          <w:iCs/>
          <w:sz w:val="24"/>
          <w:szCs w:val="24"/>
        </w:rPr>
        <w:t>The Neuropsychology of Asian Americans.</w:t>
      </w:r>
      <w:r w:rsidRPr="00DB4C76">
        <w:rPr>
          <w:rFonts w:ascii="Times New Roman" w:eastAsia="Times New Roman" w:hAnsi="Times New Roman" w:cs="Times New Roman"/>
          <w:sz w:val="24"/>
          <w:szCs w:val="24"/>
        </w:rPr>
        <w:t>, 29–46.</w:t>
      </w:r>
    </w:p>
    <w:p w14:paraId="2F35D2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Wongupparaj, P., Kumari, V., &amp; Morris, R. G. (2015a). Executive function processes mediate the impact of working memory impairment on intelligence in schizophrenia.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(1), 1–7. </w:t>
      </w:r>
      <w:hyperlink r:id="rId6331" w:history="1">
        <w:r w:rsidRPr="00DB4C76">
          <w:rPr>
            <w:rFonts w:ascii="Times New Roman" w:eastAsia="Times New Roman" w:hAnsi="Times New Roman" w:cs="Times New Roman"/>
            <w:color w:val="0000FF"/>
            <w:sz w:val="24"/>
            <w:szCs w:val="24"/>
            <w:u w:val="single"/>
          </w:rPr>
          <w:t>https://doi.org/10.1016/j.eurpsy.2014.06.001</w:t>
        </w:r>
      </w:hyperlink>
    </w:p>
    <w:p w14:paraId="3ED7C79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Wongupparaj, P., Kumari, V., &amp; Morris, R. G. (2015b). The relation between a multicomponent working memory and intelligence: The roles of central executive and short-term storage functions. </w:t>
      </w:r>
      <w:r w:rsidRPr="00DB4C76">
        <w:rPr>
          <w:rFonts w:ascii="Times New Roman" w:eastAsia="Times New Roman" w:hAnsi="Times New Roman" w:cs="Times New Roman"/>
          <w:i/>
          <w:iCs/>
          <w:sz w:val="24"/>
          <w:szCs w:val="24"/>
        </w:rPr>
        <w:t>Intelligence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 166–180. </w:t>
      </w:r>
      <w:hyperlink r:id="rId6332" w:history="1">
        <w:r w:rsidRPr="00DB4C76">
          <w:rPr>
            <w:rFonts w:ascii="Times New Roman" w:eastAsia="Times New Roman" w:hAnsi="Times New Roman" w:cs="Times New Roman"/>
            <w:color w:val="0000FF"/>
            <w:sz w:val="24"/>
            <w:szCs w:val="24"/>
            <w:u w:val="single"/>
          </w:rPr>
          <w:t>https://doi.org/10.1016/j.intell.2015.10.007</w:t>
        </w:r>
      </w:hyperlink>
    </w:p>
    <w:p w14:paraId="7711CE9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Wongupparaj, P., Sumich, A., Wickens, M., Kumari, V., &amp; Morris, R. G. (2018). Individual differences in working memory and general intelligence indexed by P200 and P300: A latent variable model. </w:t>
      </w:r>
      <w:r w:rsidRPr="00DB4C76">
        <w:rPr>
          <w:rFonts w:ascii="Times New Roman" w:eastAsia="Times New Roman" w:hAnsi="Times New Roman" w:cs="Times New Roman"/>
          <w:i/>
          <w:iCs/>
          <w:sz w:val="24"/>
          <w:szCs w:val="24"/>
        </w:rPr>
        <w:t>Biological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139</w:t>
      </w:r>
      <w:r w:rsidRPr="00DB4C76">
        <w:rPr>
          <w:rFonts w:ascii="Times New Roman" w:eastAsia="Times New Roman" w:hAnsi="Times New Roman" w:cs="Times New Roman"/>
          <w:sz w:val="24"/>
          <w:szCs w:val="24"/>
        </w:rPr>
        <w:t xml:space="preserve">, 96–105. </w:t>
      </w:r>
      <w:hyperlink r:id="rId6333" w:history="1">
        <w:r w:rsidRPr="00DB4C76">
          <w:rPr>
            <w:rFonts w:ascii="Times New Roman" w:eastAsia="Times New Roman" w:hAnsi="Times New Roman" w:cs="Times New Roman"/>
            <w:color w:val="0000FF"/>
            <w:sz w:val="24"/>
            <w:szCs w:val="24"/>
            <w:u w:val="single"/>
          </w:rPr>
          <w:t>https://doi.org/10.1016/j.biopsycho.2018.10.009</w:t>
        </w:r>
      </w:hyperlink>
    </w:p>
    <w:p w14:paraId="012E66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Wonodi, I., McMahon, R. P., Krishna, N., Mitchell, B. D., Liu, J., Glassman, M., Elliot Hong, L., &amp; Gold, J. M. (2014). Influence of kynurenine 3-monooxygenase (KMO) gene polymorphism on cognitive function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160</w:t>
      </w:r>
      <w:r w:rsidRPr="00DB4C76">
        <w:rPr>
          <w:rFonts w:ascii="Times New Roman" w:eastAsia="Times New Roman" w:hAnsi="Times New Roman" w:cs="Times New Roman"/>
          <w:sz w:val="24"/>
          <w:szCs w:val="24"/>
        </w:rPr>
        <w:t xml:space="preserve">(1–3), 80–87. </w:t>
      </w:r>
      <w:hyperlink r:id="rId6334" w:history="1">
        <w:r w:rsidRPr="00DB4C76">
          <w:rPr>
            <w:rFonts w:ascii="Times New Roman" w:eastAsia="Times New Roman" w:hAnsi="Times New Roman" w:cs="Times New Roman"/>
            <w:color w:val="0000FF"/>
            <w:sz w:val="24"/>
            <w:szCs w:val="24"/>
            <w:u w:val="single"/>
          </w:rPr>
          <w:t>https://doi.org/10.1016/j.schres.2014.10.026</w:t>
        </w:r>
      </w:hyperlink>
    </w:p>
    <w:p w14:paraId="6C1263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Woodberry, K. A., McFarlane, W. R., Giuliano, A. J., Verdi, M. B., Cook, W. L., Faraone, S. V., &amp; Seidman, L. J. (2013). Change in neuropsychological functioning over one year in youth at clinical high risk for psychosis.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146</w:t>
      </w:r>
      <w:r w:rsidRPr="00DB4C76">
        <w:rPr>
          <w:rFonts w:ascii="Times New Roman" w:eastAsia="Times New Roman" w:hAnsi="Times New Roman" w:cs="Times New Roman"/>
          <w:sz w:val="24"/>
          <w:szCs w:val="24"/>
        </w:rPr>
        <w:t xml:space="preserve">(1–3), 87–94. </w:t>
      </w:r>
      <w:hyperlink r:id="rId6335" w:history="1">
        <w:r w:rsidRPr="00DB4C76">
          <w:rPr>
            <w:rFonts w:ascii="Times New Roman" w:eastAsia="Times New Roman" w:hAnsi="Times New Roman" w:cs="Times New Roman"/>
            <w:color w:val="0000FF"/>
            <w:sz w:val="24"/>
            <w:szCs w:val="24"/>
            <w:u w:val="single"/>
          </w:rPr>
          <w:t>https://doi.org/10.1016/j.schres.2013.01.017</w:t>
        </w:r>
      </w:hyperlink>
    </w:p>
    <w:p w14:paraId="187484B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Woodberry, K. A., Seidman, L. J., Giuliano, A. J., Verdi, M. B., Cook, W. L., &amp; McFarlane, W. R. (2010). Neuropsychological profiles in individuals at clinical high risk for psychosis: Relationship to psychosis and intelligence.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123</w:t>
      </w:r>
      <w:r w:rsidRPr="00DB4C76">
        <w:rPr>
          <w:rFonts w:ascii="Times New Roman" w:eastAsia="Times New Roman" w:hAnsi="Times New Roman" w:cs="Times New Roman"/>
          <w:sz w:val="24"/>
          <w:szCs w:val="24"/>
        </w:rPr>
        <w:t xml:space="preserve">(2–3), 188–198. </w:t>
      </w:r>
      <w:hyperlink r:id="rId6336" w:history="1">
        <w:r w:rsidRPr="00DB4C76">
          <w:rPr>
            <w:rFonts w:ascii="Times New Roman" w:eastAsia="Times New Roman" w:hAnsi="Times New Roman" w:cs="Times New Roman"/>
            <w:color w:val="0000FF"/>
            <w:sz w:val="24"/>
            <w:szCs w:val="24"/>
            <w:u w:val="single"/>
          </w:rPr>
          <w:t>https://doi.org/10.1016/j.schres.2010.06.021</w:t>
        </w:r>
      </w:hyperlink>
    </w:p>
    <w:p w14:paraId="4914B9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Woodruff, G. R. (1997). </w:t>
      </w:r>
      <w:r w:rsidRPr="00DB4C76">
        <w:rPr>
          <w:rFonts w:ascii="Times New Roman" w:eastAsia="Times New Roman" w:hAnsi="Times New Roman" w:cs="Times New Roman"/>
          <w:i/>
          <w:iCs/>
          <w:sz w:val="24"/>
          <w:szCs w:val="24"/>
        </w:rPr>
        <w:t>Unique and shared components of executive function as measured by the Wisconsin Card Sorting Test and the Halstead Categories Test.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(7-A), 2863–2863.</w:t>
      </w:r>
    </w:p>
    <w:p w14:paraId="3B2A915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D., Sirirat, S., Pattara-angkoon, S., &amp; Rattanajan, J. (2017). Neuropsychological assessment of 86-year-old man with Broca’s aphasia complaining of memory difficulties.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(6), 577–586. </w:t>
      </w:r>
      <w:hyperlink r:id="rId6337" w:history="1">
        <w:r w:rsidRPr="00DB4C76">
          <w:rPr>
            <w:rFonts w:ascii="Times New Roman" w:eastAsia="Times New Roman" w:hAnsi="Times New Roman" w:cs="Times New Roman"/>
            <w:color w:val="0000FF"/>
            <w:sz w:val="24"/>
            <w:szCs w:val="24"/>
            <w:u w:val="single"/>
          </w:rPr>
          <w:t>https://doi.org/10.1080/23279095.2016.1225070</w:t>
        </w:r>
      </w:hyperlink>
    </w:p>
    <w:p w14:paraId="6B16E32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J. S., Heyer, N. J., Echeverria, D., Russo, J. E., Martin, M. D., Bernardo, M. F., Luis, H. S., Vaz, L., &amp; Farin, F. M. (2012). Modification of neurobehavioral effects of mercury by a genetic polymorphism of coproporphyrinogen oxidase in children. </w:t>
      </w:r>
      <w:r w:rsidRPr="00DB4C76">
        <w:rPr>
          <w:rFonts w:ascii="Times New Roman" w:eastAsia="Times New Roman" w:hAnsi="Times New Roman" w:cs="Times New Roman"/>
          <w:i/>
          <w:iCs/>
          <w:sz w:val="24"/>
          <w:szCs w:val="24"/>
        </w:rPr>
        <w:t>Neurotoxicology and Teratology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(5), 513–521. </w:t>
      </w:r>
      <w:hyperlink r:id="rId6338" w:history="1">
        <w:r w:rsidRPr="00DB4C76">
          <w:rPr>
            <w:rFonts w:ascii="Times New Roman" w:eastAsia="Times New Roman" w:hAnsi="Times New Roman" w:cs="Times New Roman"/>
            <w:color w:val="0000FF"/>
            <w:sz w:val="24"/>
            <w:szCs w:val="24"/>
            <w:u w:val="single"/>
          </w:rPr>
          <w:t>https://doi.org/10.1016/j.ntt.2012.06.004</w:t>
        </w:r>
      </w:hyperlink>
    </w:p>
    <w:p w14:paraId="6815A84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Childers, M., Ellis, R. J., Guaman, S., Grant, I., &amp; Heaton, R. K. (2006). A battery approach for measuring neuropsychological change.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83–89. </w:t>
      </w:r>
      <w:hyperlink r:id="rId6339" w:history="1">
        <w:r w:rsidRPr="00DB4C76">
          <w:rPr>
            <w:rFonts w:ascii="Times New Roman" w:eastAsia="Times New Roman" w:hAnsi="Times New Roman" w:cs="Times New Roman"/>
            <w:color w:val="0000FF"/>
            <w:sz w:val="24"/>
            <w:szCs w:val="24"/>
            <w:u w:val="single"/>
          </w:rPr>
          <w:t>https://doi.org/10.1016/j.acn.2005.07.008</w:t>
        </w:r>
      </w:hyperlink>
    </w:p>
    <w:p w14:paraId="21E6C7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Iudicello, J. E., Morgan, E. E., Verduzco, M., Smith, T. V., &amp; Cushman, C. (2017). Household everyday functioning in the Internet age: Online shopping and banking skills are affected in HIV−associated neurocognitive disorders.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(7), 605–615. </w:t>
      </w:r>
      <w:hyperlink r:id="rId6340" w:history="1">
        <w:r w:rsidRPr="00DB4C76">
          <w:rPr>
            <w:rFonts w:ascii="Times New Roman" w:eastAsia="Times New Roman" w:hAnsi="Times New Roman" w:cs="Times New Roman"/>
            <w:color w:val="0000FF"/>
            <w:sz w:val="24"/>
            <w:szCs w:val="24"/>
            <w:u w:val="single"/>
          </w:rPr>
          <w:t>https://doi.org/10.1017/S1355617717000431</w:t>
        </w:r>
      </w:hyperlink>
    </w:p>
    <w:p w14:paraId="2D8CBD6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Rippeth, J. D., Frol, A. B., Levy, J. K., Ryan, E., Soukup, V. M., Hinkin, C. H., Lazzaretto, D., Cherner, M., Marcotte, T. D., Gelman, B. B., Morgello, S., Singer, E. J., Grant, I., &amp; Heaton, R. K. (2004). Interrater reliability of clinical ratings and neurocognitive diagnoses in HIV.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(6), 759–778. </w:t>
      </w:r>
      <w:hyperlink r:id="rId6341" w:history="1">
        <w:r w:rsidRPr="00DB4C76">
          <w:rPr>
            <w:rFonts w:ascii="Times New Roman" w:eastAsia="Times New Roman" w:hAnsi="Times New Roman" w:cs="Times New Roman"/>
            <w:color w:val="0000FF"/>
            <w:sz w:val="24"/>
            <w:szCs w:val="24"/>
            <w:u w:val="single"/>
          </w:rPr>
          <w:t>https://doi.org/10.1080/13803390490509565</w:t>
        </w:r>
      </w:hyperlink>
    </w:p>
    <w:p w14:paraId="0B4BB4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Scott, J. C., Fields, J. A., Poquette, A., &amp; Tröster, A. I. (2008). Executive dysfunction and neuropsychiatric symptoms predict lower health status in essential tremor.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28–33. </w:t>
      </w:r>
      <w:hyperlink r:id="rId6342" w:history="1">
        <w:r w:rsidRPr="00DB4C76">
          <w:rPr>
            <w:rFonts w:ascii="Times New Roman" w:eastAsia="Times New Roman" w:hAnsi="Times New Roman" w:cs="Times New Roman"/>
            <w:color w:val="0000FF"/>
            <w:sz w:val="24"/>
            <w:szCs w:val="24"/>
            <w:u w:val="single"/>
          </w:rPr>
          <w:t>https://doi.org/10.1097/WNN.0b013e3181684414</w:t>
        </w:r>
      </w:hyperlink>
    </w:p>
    <w:p w14:paraId="72688FA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Scott, J. C., Sires, D. A., Grant, I., Heaton, R. K., &amp; Tröster, A. I. (2005). Action (verb) fluency: Test-retest reliability, normative standards, and construct validity.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(4), 408–415.</w:t>
      </w:r>
    </w:p>
    <w:p w14:paraId="305C1CA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&amp; Sullivan, K. L. (2019). Lower neurocognitive functioning disrupts the effective use of internet-based health resources in HIV disease: The mediating effects of general health literacy capacity. </w:t>
      </w:r>
      <w:r w:rsidRPr="00DB4C76">
        <w:rPr>
          <w:rFonts w:ascii="Times New Roman" w:eastAsia="Times New Roman" w:hAnsi="Times New Roman" w:cs="Times New Roman"/>
          <w:i/>
          <w:iCs/>
          <w:sz w:val="24"/>
          <w:szCs w:val="24"/>
        </w:rPr>
        <w:t>AIDS and Behavior</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(3), 676–683. </w:t>
      </w:r>
      <w:hyperlink r:id="rId6343" w:history="1">
        <w:r w:rsidRPr="00DB4C76">
          <w:rPr>
            <w:rFonts w:ascii="Times New Roman" w:eastAsia="Times New Roman" w:hAnsi="Times New Roman" w:cs="Times New Roman"/>
            <w:color w:val="0000FF"/>
            <w:sz w:val="24"/>
            <w:szCs w:val="24"/>
            <w:u w:val="single"/>
          </w:rPr>
          <w:t>https://doi.org/10.1007/s10461-018-2350-8</w:t>
        </w:r>
      </w:hyperlink>
    </w:p>
    <w:p w14:paraId="58C375C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&amp; Tröster, A. I. (2003). Prodromal frontal/executive dysfunction predicts incident dementia in Parkinson’s disease.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(1), 17–24. </w:t>
      </w:r>
      <w:hyperlink r:id="rId6344" w:history="1">
        <w:r w:rsidRPr="00DB4C76">
          <w:rPr>
            <w:rFonts w:ascii="Times New Roman" w:eastAsia="Times New Roman" w:hAnsi="Times New Roman" w:cs="Times New Roman"/>
            <w:color w:val="0000FF"/>
            <w:sz w:val="24"/>
            <w:szCs w:val="24"/>
            <w:u w:val="single"/>
          </w:rPr>
          <w:t>https://doi.org/10.1017/S1355617703910022</w:t>
        </w:r>
      </w:hyperlink>
    </w:p>
    <w:p w14:paraId="5D892D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Woods, S. P., Weinborn, M., Posada, C., &amp; O’Grady, J. (2007). Preliminary evidence for impaired rapid verb generation in schizophrenia.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102</w:t>
      </w:r>
      <w:r w:rsidRPr="00DB4C76">
        <w:rPr>
          <w:rFonts w:ascii="Times New Roman" w:eastAsia="Times New Roman" w:hAnsi="Times New Roman" w:cs="Times New Roman"/>
          <w:sz w:val="24"/>
          <w:szCs w:val="24"/>
        </w:rPr>
        <w:t xml:space="preserve">(1), 46–51. </w:t>
      </w:r>
      <w:hyperlink r:id="rId6345" w:history="1">
        <w:r w:rsidRPr="00DB4C76">
          <w:rPr>
            <w:rFonts w:ascii="Times New Roman" w:eastAsia="Times New Roman" w:hAnsi="Times New Roman" w:cs="Times New Roman"/>
            <w:color w:val="0000FF"/>
            <w:sz w:val="24"/>
            <w:szCs w:val="24"/>
            <w:u w:val="single"/>
          </w:rPr>
          <w:t>https://doi.org/10.1016/j.bandl.2006.11.005</w:t>
        </w:r>
      </w:hyperlink>
    </w:p>
    <w:p w14:paraId="72941CE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Woodward, T. S., Buchy, L., Moritz, S., &amp; Liotti, M. (2007). A bias against disconfirmatory evidence is associated with delusion proneness in a nonclinical sample.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(4), 1023–1028. </w:t>
      </w:r>
      <w:hyperlink r:id="rId6346" w:history="1">
        <w:r w:rsidRPr="00DB4C76">
          <w:rPr>
            <w:rFonts w:ascii="Times New Roman" w:eastAsia="Times New Roman" w:hAnsi="Times New Roman" w:cs="Times New Roman"/>
            <w:color w:val="0000FF"/>
            <w:sz w:val="24"/>
            <w:szCs w:val="24"/>
            <w:u w:val="single"/>
          </w:rPr>
          <w:t>https://doi.org/10.1093/schbul/sbm013</w:t>
        </w:r>
      </w:hyperlink>
    </w:p>
    <w:p w14:paraId="3726B2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Woody, S. R., Kellman-McFarlane, K., &amp; Welsted, A. (2014). Review of cognitive performance in hoarding disorder. </w:t>
      </w:r>
      <w:r w:rsidRPr="00DB4C76">
        <w:rPr>
          <w:rFonts w:ascii="Times New Roman" w:eastAsia="Times New Roman" w:hAnsi="Times New Roman" w:cs="Times New Roman"/>
          <w:i/>
          <w:iCs/>
          <w:sz w:val="24"/>
          <w:szCs w:val="24"/>
        </w:rPr>
        <w:t>Clinical Psychology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(4), 324–336. </w:t>
      </w:r>
      <w:hyperlink r:id="rId6347" w:history="1">
        <w:r w:rsidRPr="00DB4C76">
          <w:rPr>
            <w:rFonts w:ascii="Times New Roman" w:eastAsia="Times New Roman" w:hAnsi="Times New Roman" w:cs="Times New Roman"/>
            <w:color w:val="0000FF"/>
            <w:sz w:val="24"/>
            <w:szCs w:val="24"/>
            <w:u w:val="single"/>
          </w:rPr>
          <w:t>https://doi.org/10.1016/j.cpr.2014.04.002</w:t>
        </w:r>
      </w:hyperlink>
    </w:p>
    <w:p w14:paraId="628E28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Woolgar, A., Bor, D., &amp; Duncan, J. (2013). Global increase in task-related fronto-parietal activity after focal frontal lobe lesion. </w:t>
      </w:r>
      <w:r w:rsidRPr="00DB4C76">
        <w:rPr>
          <w:rFonts w:ascii="Times New Roman" w:eastAsia="Times New Roman" w:hAnsi="Times New Roman" w:cs="Times New Roman"/>
          <w:i/>
          <w:iCs/>
          <w:sz w:val="24"/>
          <w:szCs w:val="24"/>
        </w:rPr>
        <w:t>Journal of Cognitive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(9), 1542–1552. </w:t>
      </w:r>
      <w:hyperlink r:id="rId6348" w:history="1">
        <w:r w:rsidRPr="00DB4C76">
          <w:rPr>
            <w:rFonts w:ascii="Times New Roman" w:eastAsia="Times New Roman" w:hAnsi="Times New Roman" w:cs="Times New Roman"/>
            <w:color w:val="0000FF"/>
            <w:sz w:val="24"/>
            <w:szCs w:val="24"/>
            <w:u w:val="single"/>
          </w:rPr>
          <w:t>https://doi.org/10.1162/jocn_a_00432</w:t>
        </w:r>
      </w:hyperlink>
    </w:p>
    <w:p w14:paraId="02B129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Worley, M. J., Tate, S. R., Granholm, E., &amp; Brown, S. A. (2014). Mediated and moderated effects of neurocognitive impairment on outcomes of treatment for substance dependence and major depression. </w:t>
      </w:r>
      <w:r w:rsidRPr="00DB4C76">
        <w:rPr>
          <w:rFonts w:ascii="Times New Roman" w:eastAsia="Times New Roman" w:hAnsi="Times New Roman" w:cs="Times New Roman"/>
          <w:i/>
          <w:iCs/>
          <w:sz w:val="24"/>
          <w:szCs w:val="24"/>
        </w:rPr>
        <w:t>Journal of Consulting and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(3), 418–428. </w:t>
      </w:r>
      <w:hyperlink r:id="rId6349" w:history="1">
        <w:r w:rsidRPr="00DB4C76">
          <w:rPr>
            <w:rFonts w:ascii="Times New Roman" w:eastAsia="Times New Roman" w:hAnsi="Times New Roman" w:cs="Times New Roman"/>
            <w:color w:val="0000FF"/>
            <w:sz w:val="24"/>
            <w:szCs w:val="24"/>
            <w:u w:val="single"/>
          </w:rPr>
          <w:t>https://doi.org/10.1037/a0036033</w:t>
        </w:r>
      </w:hyperlink>
    </w:p>
    <w:p w14:paraId="6195AA2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Worthy, D. A., Cooper, J. A., Byrne, K. A., Gorlick, M. A., &amp; Maddox, W. T. (2014). State-based versus reward-based motivation in younger and older adults. </w:t>
      </w:r>
      <w:r w:rsidRPr="00DB4C76">
        <w:rPr>
          <w:rFonts w:ascii="Times New Roman" w:eastAsia="Times New Roman" w:hAnsi="Times New Roman" w:cs="Times New Roman"/>
          <w:i/>
          <w:iCs/>
          <w:sz w:val="24"/>
          <w:szCs w:val="24"/>
        </w:rPr>
        <w:t>Cognitive, Affective &amp; Behavioral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(4), 1208–1220. </w:t>
      </w:r>
      <w:hyperlink r:id="rId6350" w:history="1">
        <w:r w:rsidRPr="00DB4C76">
          <w:rPr>
            <w:rFonts w:ascii="Times New Roman" w:eastAsia="Times New Roman" w:hAnsi="Times New Roman" w:cs="Times New Roman"/>
            <w:color w:val="0000FF"/>
            <w:sz w:val="24"/>
            <w:szCs w:val="24"/>
            <w:u w:val="single"/>
          </w:rPr>
          <w:t>https://doi.org/10.3758/s13415-014-0293-8</w:t>
        </w:r>
      </w:hyperlink>
    </w:p>
    <w:p w14:paraId="45AE40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Worthy, D. A., Otto, A. R., Doll, B. B., Byrne, K. A., &amp; Maddox, W. T. (2015). Older adults are highly responsive to recent events during decision-making. </w:t>
      </w:r>
      <w:r w:rsidRPr="00DB4C76">
        <w:rPr>
          <w:rFonts w:ascii="Times New Roman" w:eastAsia="Times New Roman" w:hAnsi="Times New Roman" w:cs="Times New Roman"/>
          <w:i/>
          <w:iCs/>
          <w:sz w:val="24"/>
          <w:szCs w:val="24"/>
        </w:rPr>
        <w:t>Decision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(1), 27–38. </w:t>
      </w:r>
      <w:hyperlink r:id="rId6351" w:history="1">
        <w:r w:rsidRPr="00DB4C76">
          <w:rPr>
            <w:rFonts w:ascii="Times New Roman" w:eastAsia="Times New Roman" w:hAnsi="Times New Roman" w:cs="Times New Roman"/>
            <w:color w:val="0000FF"/>
            <w:sz w:val="24"/>
            <w:szCs w:val="24"/>
            <w:u w:val="single"/>
          </w:rPr>
          <w:t>https://doi.org/10.1037/dec0000018</w:t>
        </w:r>
      </w:hyperlink>
    </w:p>
    <w:p w14:paraId="48F857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Petty, C. R., Schreck, M., Moses, A., Faraone, S. V., &amp; Biederman, J. (2011). High level of persistence of pediatric bipolar-I disorder from childhood onto adolescent years: A four year prospective longitudinal follow-up study. </w:t>
      </w:r>
      <w:r w:rsidRPr="00DB4C76">
        <w:rPr>
          <w:rFonts w:ascii="Times New Roman" w:eastAsia="Times New Roman" w:hAnsi="Times New Roman" w:cs="Times New Roman"/>
          <w:i/>
          <w:iCs/>
          <w:sz w:val="24"/>
          <w:szCs w:val="24"/>
        </w:rPr>
        <w:t>Journal of Psychiatric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(10), 1273–1282. </w:t>
      </w:r>
      <w:hyperlink r:id="rId6352" w:history="1">
        <w:r w:rsidRPr="00DB4C76">
          <w:rPr>
            <w:rFonts w:ascii="Times New Roman" w:eastAsia="Times New Roman" w:hAnsi="Times New Roman" w:cs="Times New Roman"/>
            <w:color w:val="0000FF"/>
            <w:sz w:val="24"/>
            <w:szCs w:val="24"/>
            <w:u w:val="single"/>
          </w:rPr>
          <w:t>https://doi.org/10.1016/j.jpsychires.2010.10.006</w:t>
        </w:r>
      </w:hyperlink>
    </w:p>
    <w:p w14:paraId="7A530B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R. (1998). </w:t>
      </w:r>
      <w:r w:rsidRPr="00DB4C76">
        <w:rPr>
          <w:rFonts w:ascii="Times New Roman" w:eastAsia="Times New Roman" w:hAnsi="Times New Roman" w:cs="Times New Roman"/>
          <w:i/>
          <w:iCs/>
          <w:sz w:val="24"/>
          <w:szCs w:val="24"/>
        </w:rPr>
        <w:t>Dorsolateral and orbitofrontal functioning in Attention-Deficit/Hyperactivity Disorder (ADHD): An investigation of neuropsychologically-based sub-types of ADHD.</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(11-B), 6250–6250.</w:t>
      </w:r>
    </w:p>
    <w:p w14:paraId="5EFD46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R., Krach, L., Ward, E., Mueller, B. A., Muetzel, R., Schnoebelen, S., Kiragu, A., &amp; Lim, K. O. (2007). Neurocognitive and neuroimaging correlates of pediatric traumatic brain injury: A diffusion tensor imaging (DTI) study.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(5), 555–568. </w:t>
      </w:r>
      <w:hyperlink r:id="rId6353" w:history="1">
        <w:r w:rsidRPr="00DB4C76">
          <w:rPr>
            <w:rFonts w:ascii="Times New Roman" w:eastAsia="Times New Roman" w:hAnsi="Times New Roman" w:cs="Times New Roman"/>
            <w:color w:val="0000FF"/>
            <w:sz w:val="24"/>
            <w:szCs w:val="24"/>
            <w:u w:val="single"/>
          </w:rPr>
          <w:t>https://doi.org/10.1016/j.acn.2007.03.004</w:t>
        </w:r>
      </w:hyperlink>
    </w:p>
    <w:p w14:paraId="357C3C0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Wozniak, J. R., Mueller, B. A., Lim, K. O., Hemmy, L. S., &amp; Day, J. W. (2014). Tractography reveals diffuse white matter abnormalities in Myotonic Dystrophy Type 1. </w:t>
      </w:r>
      <w:r w:rsidRPr="00DB4C76">
        <w:rPr>
          <w:rFonts w:ascii="Times New Roman" w:eastAsia="Times New Roman" w:hAnsi="Times New Roman" w:cs="Times New Roman"/>
          <w:i/>
          <w:iCs/>
          <w:sz w:val="24"/>
          <w:szCs w:val="24"/>
        </w:rPr>
        <w:t>Journal of the Neurological 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341</w:t>
      </w:r>
      <w:r w:rsidRPr="00DB4C76">
        <w:rPr>
          <w:rFonts w:ascii="Times New Roman" w:eastAsia="Times New Roman" w:hAnsi="Times New Roman" w:cs="Times New Roman"/>
          <w:sz w:val="24"/>
          <w:szCs w:val="24"/>
        </w:rPr>
        <w:t xml:space="preserve">(1–2), 73–78. </w:t>
      </w:r>
      <w:hyperlink r:id="rId6354" w:history="1">
        <w:r w:rsidRPr="00DB4C76">
          <w:rPr>
            <w:rFonts w:ascii="Times New Roman" w:eastAsia="Times New Roman" w:hAnsi="Times New Roman" w:cs="Times New Roman"/>
            <w:color w:val="0000FF"/>
            <w:sz w:val="24"/>
            <w:szCs w:val="24"/>
            <w:u w:val="single"/>
          </w:rPr>
          <w:t>https://doi.org/10.1016/j.jns.2014.04.005</w:t>
        </w:r>
      </w:hyperlink>
    </w:p>
    <w:p w14:paraId="7A1860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A. C., McGurk, S. R., Shaya, Y., Feldman, K., &amp; Mueser, K. T. (2021). Does comprehensive cognitive remediation improve emotion perception? </w:t>
      </w:r>
      <w:r w:rsidRPr="00DB4C76">
        <w:rPr>
          <w:rFonts w:ascii="Times New Roman" w:eastAsia="Times New Roman" w:hAnsi="Times New Roman" w:cs="Times New Roman"/>
          <w:i/>
          <w:iCs/>
          <w:sz w:val="24"/>
          <w:szCs w:val="24"/>
        </w:rPr>
        <w:t>Cognitive Neuropsychiatry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(5), 343–356. </w:t>
      </w:r>
      <w:hyperlink r:id="rId6355" w:history="1">
        <w:r w:rsidRPr="00DB4C76">
          <w:rPr>
            <w:rFonts w:ascii="Times New Roman" w:eastAsia="Times New Roman" w:hAnsi="Times New Roman" w:cs="Times New Roman"/>
            <w:color w:val="0000FF"/>
            <w:sz w:val="24"/>
            <w:szCs w:val="24"/>
            <w:u w:val="single"/>
          </w:rPr>
          <w:t>https://doi.org/10.1080/13546805.2021.1946386</w:t>
        </w:r>
      </w:hyperlink>
    </w:p>
    <w:p w14:paraId="14389E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A. J. (2011). </w:t>
      </w:r>
      <w:r w:rsidRPr="00DB4C76">
        <w:rPr>
          <w:rFonts w:ascii="Times New Roman" w:eastAsia="Times New Roman" w:hAnsi="Times New Roman" w:cs="Times New Roman"/>
          <w:i/>
          <w:iCs/>
          <w:sz w:val="24"/>
          <w:szCs w:val="24"/>
        </w:rPr>
        <w:t>Conducting psychological assessment: A guide for practitioners.</w:t>
      </w:r>
      <w:r w:rsidRPr="00DB4C76">
        <w:rPr>
          <w:rFonts w:ascii="Times New Roman" w:eastAsia="Times New Roman" w:hAnsi="Times New Roman" w:cs="Times New Roman"/>
          <w:sz w:val="24"/>
          <w:szCs w:val="24"/>
        </w:rPr>
        <w:t xml:space="preserve"> John Wiley &amp; Sons Inc. </w:t>
      </w:r>
      <w:hyperlink r:id="rId6356" w:history="1">
        <w:r w:rsidRPr="00DB4C76">
          <w:rPr>
            <w:rFonts w:ascii="Times New Roman" w:eastAsia="Times New Roman" w:hAnsi="Times New Roman" w:cs="Times New Roman"/>
            <w:color w:val="0000FF"/>
            <w:sz w:val="24"/>
            <w:szCs w:val="24"/>
            <w:u w:val="single"/>
          </w:rPr>
          <w:t>http://search.ebscohost.com/login.aspx?direct=true&amp;db=psyh&amp;AN=2011-12743-000&amp;site=ehost-live</w:t>
        </w:r>
      </w:hyperlink>
    </w:p>
    <w:p w14:paraId="5B32D5E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A. J. (2018). Comprehensive assessment of substance abuse and addiction risk in adolescence. </w:t>
      </w:r>
      <w:r w:rsidRPr="00DB4C76">
        <w:rPr>
          <w:rFonts w:ascii="Times New Roman" w:eastAsia="Times New Roman" w:hAnsi="Times New Roman" w:cs="Times New Roman"/>
          <w:i/>
          <w:iCs/>
          <w:sz w:val="24"/>
          <w:szCs w:val="24"/>
        </w:rPr>
        <w:t>New Directions in Treatment, Education, and Outreach for Mental Health and Addiction.</w:t>
      </w:r>
      <w:r w:rsidRPr="00DB4C76">
        <w:rPr>
          <w:rFonts w:ascii="Times New Roman" w:eastAsia="Times New Roman" w:hAnsi="Times New Roman" w:cs="Times New Roman"/>
          <w:sz w:val="24"/>
          <w:szCs w:val="24"/>
        </w:rPr>
        <w:t xml:space="preserve">, 25–55. </w:t>
      </w:r>
      <w:hyperlink r:id="rId6357" w:history="1">
        <w:r w:rsidRPr="00DB4C76">
          <w:rPr>
            <w:rFonts w:ascii="Times New Roman" w:eastAsia="Times New Roman" w:hAnsi="Times New Roman" w:cs="Times New Roman"/>
            <w:color w:val="0000FF"/>
            <w:sz w:val="24"/>
            <w:szCs w:val="24"/>
            <w:u w:val="single"/>
          </w:rPr>
          <w:t>https://doi.org/10.1007/978-3-319-72778-3_3</w:t>
        </w:r>
      </w:hyperlink>
    </w:p>
    <w:p w14:paraId="4844EE6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M. J., Wong, A. L., Obermeit, L. C., Woo, E., Schmitter-Edgecombe, M., &amp; Fuster, J. M. (2014). Memory for performed and observed activities following traumatic brain injury.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(3), 268–277. </w:t>
      </w:r>
      <w:hyperlink r:id="rId6358" w:history="1">
        <w:r w:rsidRPr="00DB4C76">
          <w:rPr>
            <w:rFonts w:ascii="Times New Roman" w:eastAsia="Times New Roman" w:hAnsi="Times New Roman" w:cs="Times New Roman"/>
            <w:color w:val="0000FF"/>
            <w:sz w:val="24"/>
            <w:szCs w:val="24"/>
            <w:u w:val="single"/>
          </w:rPr>
          <w:t>https://doi.org/10.1080/13803395.2014.884543</w:t>
        </w:r>
      </w:hyperlink>
    </w:p>
    <w:p w14:paraId="177B16C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Wright, S. L., Kay, R. E., Avery, E. T., Giordani, B., &amp; Alexander, N. B. (2011). The impact of depression on dual tasking among patients with high fall risk. </w:t>
      </w:r>
      <w:r w:rsidRPr="00DB4C76">
        <w:rPr>
          <w:rFonts w:ascii="Times New Roman" w:eastAsia="Times New Roman" w:hAnsi="Times New Roman" w:cs="Times New Roman"/>
          <w:i/>
          <w:iCs/>
          <w:sz w:val="24"/>
          <w:szCs w:val="24"/>
        </w:rPr>
        <w:t>Journal of Geriatric Psychiatry and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(3), 142–150. </w:t>
      </w:r>
      <w:hyperlink r:id="rId6359" w:history="1">
        <w:r w:rsidRPr="00DB4C76">
          <w:rPr>
            <w:rFonts w:ascii="Times New Roman" w:eastAsia="Times New Roman" w:hAnsi="Times New Roman" w:cs="Times New Roman"/>
            <w:color w:val="0000FF"/>
            <w:sz w:val="24"/>
            <w:szCs w:val="24"/>
            <w:u w:val="single"/>
          </w:rPr>
          <w:t>https://doi.org/10.1177/0891988711409408</w:t>
        </w:r>
      </w:hyperlink>
    </w:p>
    <w:p w14:paraId="6825819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 D., Gao, B., &amp; Wu, D. (2009). Comparison of Wisconsin Card Sorting Test between neuroleptic-naive and short-term medicated onset schizophrenic patients. [Comparison of Wisconsin Card Sorting Test between neuroleptic-naive and short-term medicated onset schizophrenic patients.].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(2), 167–168.</w:t>
      </w:r>
    </w:p>
    <w:p w14:paraId="01E991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 K. K., Chan, S. K., Leung, P. W. L., Liu, W.-S., Leung, F. L. T., &amp; Ng, R. (2011). Components and developmental differences of executive functioning for school-aged children.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(3), 319–337. </w:t>
      </w:r>
      <w:hyperlink r:id="rId6360" w:history="1">
        <w:r w:rsidRPr="00DB4C76">
          <w:rPr>
            <w:rFonts w:ascii="Times New Roman" w:eastAsia="Times New Roman" w:hAnsi="Times New Roman" w:cs="Times New Roman"/>
            <w:color w:val="0000FF"/>
            <w:sz w:val="24"/>
            <w:szCs w:val="24"/>
            <w:u w:val="single"/>
          </w:rPr>
          <w:t>https://doi.org/10.1080/87565641.2010.549979</w:t>
        </w:r>
      </w:hyperlink>
    </w:p>
    <w:p w14:paraId="789274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 M.-T., Tang, P.-F., Tseng, W.-Y. I., Hsu, Y.-C., Chen, Y.-J., Goh, J. O. S., Chou, T.-L., Chang, Y.-K., Gau, S. S.-F., &amp; Lan, C. (2021). Integrity of the prefronto-striato-thalamo-prefrontal loop predicts Tai Chi Chuan training effects on cognitive task-switching in middle-aged and older adults. </w:t>
      </w:r>
      <w:r w:rsidRPr="00DB4C76">
        <w:rPr>
          <w:rFonts w:ascii="Times New Roman" w:eastAsia="Times New Roman" w:hAnsi="Times New Roman" w:cs="Times New Roman"/>
          <w:i/>
          <w:iCs/>
          <w:sz w:val="24"/>
          <w:szCs w:val="24"/>
        </w:rPr>
        <w:t>Frontiers in Aging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 </w:t>
      </w:r>
      <w:hyperlink r:id="rId6361" w:history="1">
        <w:r w:rsidRPr="00DB4C76">
          <w:rPr>
            <w:rFonts w:ascii="Times New Roman" w:eastAsia="Times New Roman" w:hAnsi="Times New Roman" w:cs="Times New Roman"/>
            <w:color w:val="0000FF"/>
            <w:sz w:val="24"/>
            <w:szCs w:val="24"/>
            <w:u w:val="single"/>
          </w:rPr>
          <w:t>https://doi.org/10.3389/fnagi.2020.602191</w:t>
        </w:r>
      </w:hyperlink>
    </w:p>
    <w:p w14:paraId="2594A09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Wuang, Y.-P., Su, C.-Y., &amp; Su, J.-H. (2011). Wisconsin card sorting test performance in children with developmental coordination disorder.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(5), 1669–1676. </w:t>
      </w:r>
      <w:hyperlink r:id="rId6362" w:history="1">
        <w:r w:rsidRPr="00DB4C76">
          <w:rPr>
            <w:rFonts w:ascii="Times New Roman" w:eastAsia="Times New Roman" w:hAnsi="Times New Roman" w:cs="Times New Roman"/>
            <w:color w:val="0000FF"/>
            <w:sz w:val="24"/>
            <w:szCs w:val="24"/>
            <w:u w:val="single"/>
          </w:rPr>
          <w:t>https://doi.org/10.1016/j.ridd.2011.02.021</w:t>
        </w:r>
      </w:hyperlink>
    </w:p>
    <w:p w14:paraId="51E0D6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Wygant, D. B., Burchett, D., &amp; Harp, J. P. (2020). Assessment of noncredible reporting and responding. </w:t>
      </w:r>
      <w:r w:rsidRPr="00DB4C76">
        <w:rPr>
          <w:rFonts w:ascii="Times New Roman" w:eastAsia="Times New Roman" w:hAnsi="Times New Roman" w:cs="Times New Roman"/>
          <w:i/>
          <w:iCs/>
          <w:sz w:val="24"/>
          <w:szCs w:val="24"/>
        </w:rPr>
        <w:t>The Cambridge Handbook of Clinical Assessment and Diagnosis.</w:t>
      </w:r>
      <w:r w:rsidRPr="00DB4C76">
        <w:rPr>
          <w:rFonts w:ascii="Times New Roman" w:eastAsia="Times New Roman" w:hAnsi="Times New Roman" w:cs="Times New Roman"/>
          <w:sz w:val="24"/>
          <w:szCs w:val="24"/>
        </w:rPr>
        <w:t xml:space="preserve">, 63–79. </w:t>
      </w:r>
      <w:hyperlink r:id="rId6363" w:history="1">
        <w:r w:rsidRPr="00DB4C76">
          <w:rPr>
            <w:rFonts w:ascii="Times New Roman" w:eastAsia="Times New Roman" w:hAnsi="Times New Roman" w:cs="Times New Roman"/>
            <w:color w:val="0000FF"/>
            <w:sz w:val="24"/>
            <w:szCs w:val="24"/>
            <w:u w:val="single"/>
          </w:rPr>
          <w:t>https://doi.org/10.1017/9781108235433.006</w:t>
        </w:r>
      </w:hyperlink>
    </w:p>
    <w:p w14:paraId="399E826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Newton, E., Landau, S., Rice, C., Thompson, N., &amp; Frangou, S. (2007). Cognitive remediation therapy (CRT) for young early onset patients with schizophrenia: An exploratory randomized controlled trial.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94</w:t>
      </w:r>
      <w:r w:rsidRPr="00DB4C76">
        <w:rPr>
          <w:rFonts w:ascii="Times New Roman" w:eastAsia="Times New Roman" w:hAnsi="Times New Roman" w:cs="Times New Roman"/>
          <w:sz w:val="24"/>
          <w:szCs w:val="24"/>
        </w:rPr>
        <w:t xml:space="preserve">(1–3), 221–230. </w:t>
      </w:r>
      <w:hyperlink r:id="rId6364" w:history="1">
        <w:r w:rsidRPr="00DB4C76">
          <w:rPr>
            <w:rFonts w:ascii="Times New Roman" w:eastAsia="Times New Roman" w:hAnsi="Times New Roman" w:cs="Times New Roman"/>
            <w:color w:val="0000FF"/>
            <w:sz w:val="24"/>
            <w:szCs w:val="24"/>
            <w:u w:val="single"/>
          </w:rPr>
          <w:t>https://doi.org/10.1016/j.schres.2007.03.030</w:t>
        </w:r>
      </w:hyperlink>
    </w:p>
    <w:p w14:paraId="10FD2E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Reeder, C., Huddy, V., Taylor, R., Wood, H., Ghirasim, N., Kontis, D., &amp; Landau, S. (2012). Developing models of how cognitive improvements change functioning: Mediation, moderation and moderated mediation.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138</w:t>
      </w:r>
      <w:r w:rsidRPr="00DB4C76">
        <w:rPr>
          <w:rFonts w:ascii="Times New Roman" w:eastAsia="Times New Roman" w:hAnsi="Times New Roman" w:cs="Times New Roman"/>
          <w:sz w:val="24"/>
          <w:szCs w:val="24"/>
        </w:rPr>
        <w:t xml:space="preserve">(1), 88–93. </w:t>
      </w:r>
      <w:hyperlink r:id="rId6365" w:history="1">
        <w:r w:rsidRPr="00DB4C76">
          <w:rPr>
            <w:rFonts w:ascii="Times New Roman" w:eastAsia="Times New Roman" w:hAnsi="Times New Roman" w:cs="Times New Roman"/>
            <w:color w:val="0000FF"/>
            <w:sz w:val="24"/>
            <w:szCs w:val="24"/>
            <w:u w:val="single"/>
          </w:rPr>
          <w:t>https://doi.org/10.1016/j.schres.2012.03.020</w:t>
        </w:r>
      </w:hyperlink>
    </w:p>
    <w:p w14:paraId="5BEB5F0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Reeder, C., Landau, S., Everitt, B., Knapp, M., Patel, A., &amp; Romeo, R. (2007). Cognitive remediation therapy in schizophrenia: Randomised controlled trial. </w:t>
      </w:r>
      <w:r w:rsidRPr="00DB4C76">
        <w:rPr>
          <w:rFonts w:ascii="Times New Roman" w:eastAsia="Times New Roman" w:hAnsi="Times New Roman" w:cs="Times New Roman"/>
          <w:i/>
          <w:iCs/>
          <w:sz w:val="24"/>
          <w:szCs w:val="24"/>
        </w:rPr>
        <w:t>The British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190</w:t>
      </w:r>
      <w:r w:rsidRPr="00DB4C76">
        <w:rPr>
          <w:rFonts w:ascii="Times New Roman" w:eastAsia="Times New Roman" w:hAnsi="Times New Roman" w:cs="Times New Roman"/>
          <w:sz w:val="24"/>
          <w:szCs w:val="24"/>
        </w:rPr>
        <w:t xml:space="preserve">, 421–427. </w:t>
      </w:r>
      <w:hyperlink r:id="rId6366" w:history="1">
        <w:r w:rsidRPr="00DB4C76">
          <w:rPr>
            <w:rFonts w:ascii="Times New Roman" w:eastAsia="Times New Roman" w:hAnsi="Times New Roman" w:cs="Times New Roman"/>
            <w:color w:val="0000FF"/>
            <w:sz w:val="24"/>
            <w:szCs w:val="24"/>
            <w:u w:val="single"/>
          </w:rPr>
          <w:t>https://doi.org/10.1192/bjp.bp.106.026575</w:t>
        </w:r>
      </w:hyperlink>
    </w:p>
    <w:p w14:paraId="6FAA19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Wykes, T., Reeder, C., Landau, S., Matthiasson, P., Haworth, E., &amp; Hutchinson, C. (2009). Does age matter? Effects of cognitive rehabilitation across the age span.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(2–3), 252–258. </w:t>
      </w:r>
      <w:hyperlink r:id="rId6367" w:history="1">
        <w:r w:rsidRPr="00DB4C76">
          <w:rPr>
            <w:rFonts w:ascii="Times New Roman" w:eastAsia="Times New Roman" w:hAnsi="Times New Roman" w:cs="Times New Roman"/>
            <w:color w:val="0000FF"/>
            <w:sz w:val="24"/>
            <w:szCs w:val="24"/>
            <w:u w:val="single"/>
          </w:rPr>
          <w:t>https://doi.org/10.1016/j.schres.2009.05.025</w:t>
        </w:r>
      </w:hyperlink>
    </w:p>
    <w:p w14:paraId="6B9FB65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Wytykowska, A., Corr, P. J., &amp; Fajkowska, M. (2015). Dissimilarity focus as an attentional mode of BIS-related comparator function. In </w:t>
      </w:r>
      <w:r w:rsidRPr="00DB4C76">
        <w:rPr>
          <w:rFonts w:ascii="Times New Roman" w:eastAsia="Times New Roman" w:hAnsi="Times New Roman" w:cs="Times New Roman"/>
          <w:i/>
          <w:iCs/>
          <w:sz w:val="24"/>
          <w:szCs w:val="24"/>
        </w:rPr>
        <w:t>Personality and control.</w:t>
      </w:r>
      <w:r w:rsidRPr="00DB4C76">
        <w:rPr>
          <w:rFonts w:ascii="Times New Roman" w:eastAsia="Times New Roman" w:hAnsi="Times New Roman" w:cs="Times New Roman"/>
          <w:sz w:val="24"/>
          <w:szCs w:val="24"/>
        </w:rPr>
        <w:t xml:space="preserve"> (pp. 67–95). Eliot Werner Publications.</w:t>
      </w:r>
    </w:p>
    <w:p w14:paraId="6923AFE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Xenaki, L.-A., &amp; Pehlivanidis, A. (2015). Clinical, neuropsychological and structural convergences and divergences between attention deficit/hyperactivity disorder and borderline personality disorder: A systematic review. </w:t>
      </w:r>
      <w:r w:rsidRPr="00DB4C76">
        <w:rPr>
          <w:rFonts w:ascii="Times New Roman" w:eastAsia="Times New Roman" w:hAnsi="Times New Roman" w:cs="Times New Roman"/>
          <w:i/>
          <w:iCs/>
          <w:sz w:val="24"/>
          <w:szCs w:val="24"/>
        </w:rPr>
        <w:t>Personality and Individual Differences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86</w:t>
      </w:r>
      <w:r w:rsidRPr="00DB4C76">
        <w:rPr>
          <w:rFonts w:ascii="Times New Roman" w:eastAsia="Times New Roman" w:hAnsi="Times New Roman" w:cs="Times New Roman"/>
          <w:sz w:val="24"/>
          <w:szCs w:val="24"/>
        </w:rPr>
        <w:t xml:space="preserve">, 438–449. </w:t>
      </w:r>
      <w:hyperlink r:id="rId6368" w:history="1">
        <w:r w:rsidRPr="00DB4C76">
          <w:rPr>
            <w:rFonts w:ascii="Times New Roman" w:eastAsia="Times New Roman" w:hAnsi="Times New Roman" w:cs="Times New Roman"/>
            <w:color w:val="0000FF"/>
            <w:sz w:val="24"/>
            <w:szCs w:val="24"/>
            <w:u w:val="single"/>
          </w:rPr>
          <w:t>https://doi.org/10.1016/j.paid.2015.06.049</w:t>
        </w:r>
      </w:hyperlink>
    </w:p>
    <w:p w14:paraId="191F171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 M., Womer, F. Y., Chang, M., Zhu, Y., Zhou, Q., Edmiston, E. K., Jiang, X., Wei, S., Duan, J., Xu, K., Tang, Y., He, Y., &amp; Wang, F. (2019). Shared and distinct functional architectures of brain networks across psychiatric disorders. </w:t>
      </w:r>
      <w:r w:rsidRPr="00DB4C76">
        <w:rPr>
          <w:rFonts w:ascii="Times New Roman" w:eastAsia="Times New Roman" w:hAnsi="Times New Roman" w:cs="Times New Roman"/>
          <w:i/>
          <w:iCs/>
          <w:sz w:val="24"/>
          <w:szCs w:val="24"/>
        </w:rPr>
        <w:t>Schizophrenia Bulletin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 xml:space="preserve">(2), 450–463. </w:t>
      </w:r>
      <w:hyperlink r:id="rId6369" w:history="1">
        <w:r w:rsidRPr="00DB4C76">
          <w:rPr>
            <w:rFonts w:ascii="Times New Roman" w:eastAsia="Times New Roman" w:hAnsi="Times New Roman" w:cs="Times New Roman"/>
            <w:color w:val="0000FF"/>
            <w:sz w:val="24"/>
            <w:szCs w:val="24"/>
            <w:u w:val="single"/>
          </w:rPr>
          <w:t>https://doi.org/10.1093/schbul/sby046</w:t>
        </w:r>
      </w:hyperlink>
    </w:p>
    <w:p w14:paraId="58C5AA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 Y., Ma, D., Hu, J., Tang, C., Wu, Z., Liu, L., &amp; Xin, F. (2012). Effect of metabotropic glutamate receptor 3 genotype on N-acetylaspartate levels and neurocognition in non-smoking, active alcoholics.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370" w:history="1">
        <w:r w:rsidRPr="00DB4C76">
          <w:rPr>
            <w:rFonts w:ascii="Times New Roman" w:eastAsia="Times New Roman" w:hAnsi="Times New Roman" w:cs="Times New Roman"/>
            <w:color w:val="0000FF"/>
            <w:sz w:val="24"/>
            <w:szCs w:val="24"/>
            <w:u w:val="single"/>
          </w:rPr>
          <w:t>https://doi.org/10.1186/1744-9081-8-42</w:t>
        </w:r>
      </w:hyperlink>
    </w:p>
    <w:p w14:paraId="323314C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 Li, L., Zhou, J., Wang, C., Dixon, L. B., Dickerson, F., Zhou, F., Ungvari, G. S., Zhang, X., Shum, D. H. K., Au, R. W. C., Tang, W., Man, D., &amp; Chiu, H. F. K. (2014). Quality of life of patients with euthymic bipolar disorder and its associations with demographic and clinical characteristics, psychopathology, and cognitive deficits. </w:t>
      </w:r>
      <w:r w:rsidRPr="00DB4C76">
        <w:rPr>
          <w:rFonts w:ascii="Times New Roman" w:eastAsia="Times New Roman" w:hAnsi="Times New Roman" w:cs="Times New Roman"/>
          <w:i/>
          <w:iCs/>
          <w:sz w:val="24"/>
          <w:szCs w:val="24"/>
        </w:rPr>
        <w:t>Perspectives in Psychiatric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 44–50. </w:t>
      </w:r>
      <w:hyperlink r:id="rId6371" w:history="1">
        <w:r w:rsidRPr="00DB4C76">
          <w:rPr>
            <w:rFonts w:ascii="Times New Roman" w:eastAsia="Times New Roman" w:hAnsi="Times New Roman" w:cs="Times New Roman"/>
            <w:color w:val="0000FF"/>
            <w:sz w:val="24"/>
            <w:szCs w:val="24"/>
            <w:u w:val="single"/>
          </w:rPr>
          <w:t>https://doi.org/10.1111/ppc.12024</w:t>
        </w:r>
      </w:hyperlink>
    </w:p>
    <w:p w14:paraId="6CB02D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Y.-T., Shum, D., Chiu, H. F. K., Tang, W.-K., &amp; Ungvari, G. S. (2010a). Association of demographic characteristics, symptomatology, retrospective and prospective memory, executive functioning and intelligence with social functioning in schizophrenia. </w:t>
      </w:r>
      <w:r w:rsidRPr="00DB4C76">
        <w:rPr>
          <w:rFonts w:ascii="Times New Roman" w:eastAsia="Times New Roman" w:hAnsi="Times New Roman" w:cs="Times New Roman"/>
          <w:i/>
          <w:iCs/>
          <w:sz w:val="24"/>
          <w:szCs w:val="24"/>
        </w:rPr>
        <w:t>Australian and New Zealand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 xml:space="preserve">(12), 1112–1117. </w:t>
      </w:r>
      <w:hyperlink r:id="rId6372" w:history="1">
        <w:r w:rsidRPr="00DB4C76">
          <w:rPr>
            <w:rFonts w:ascii="Times New Roman" w:eastAsia="Times New Roman" w:hAnsi="Times New Roman" w:cs="Times New Roman"/>
            <w:color w:val="0000FF"/>
            <w:sz w:val="24"/>
            <w:szCs w:val="24"/>
            <w:u w:val="single"/>
          </w:rPr>
          <w:t>https://doi.org/10.3109/00048674.2010.514854</w:t>
        </w:r>
      </w:hyperlink>
    </w:p>
    <w:p w14:paraId="3DE149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Y.-T., Shum, D., Chiu, H. F. K., Tang, W.-K., &amp; Ungvari, G. S. (2010b). Independent association of prospective memory with retrospective memory and intelligence in schizophrenia: A controlled study.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(7), 680–684. </w:t>
      </w:r>
      <w:hyperlink r:id="rId6373" w:history="1">
        <w:r w:rsidRPr="00DB4C76">
          <w:rPr>
            <w:rFonts w:ascii="Times New Roman" w:eastAsia="Times New Roman" w:hAnsi="Times New Roman" w:cs="Times New Roman"/>
            <w:color w:val="0000FF"/>
            <w:sz w:val="24"/>
            <w:szCs w:val="24"/>
            <w:u w:val="single"/>
          </w:rPr>
          <w:t>https://doi.org/10.1093/arclin/acq062</w:t>
        </w:r>
      </w:hyperlink>
    </w:p>
    <w:p w14:paraId="06BE76F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Xiang, Y.-T., Wang, Y., Wang, C.-Y., Chiu, H. F. K., Chen, Q., Chan, S. S. M., Lai, K. Y. C., Lee, E. H. M., &amp; Ungvari, G. S. (2012). Association of insight with sociodemographic and clinical factors, quality of life, and cognition in Chinese patients with schizophrenia. </w:t>
      </w:r>
      <w:r w:rsidRPr="00DB4C76">
        <w:rPr>
          <w:rFonts w:ascii="Times New Roman" w:eastAsia="Times New Roman" w:hAnsi="Times New Roman" w:cs="Times New Roman"/>
          <w:i/>
          <w:iCs/>
          <w:sz w:val="24"/>
          <w:szCs w:val="24"/>
        </w:rPr>
        <w:t>Comprehensive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53</w:t>
      </w:r>
      <w:r w:rsidRPr="00DB4C76">
        <w:rPr>
          <w:rFonts w:ascii="Times New Roman" w:eastAsia="Times New Roman" w:hAnsi="Times New Roman" w:cs="Times New Roman"/>
          <w:sz w:val="24"/>
          <w:szCs w:val="24"/>
        </w:rPr>
        <w:t xml:space="preserve">(2), 140–144. </w:t>
      </w:r>
      <w:hyperlink r:id="rId6374" w:history="1">
        <w:r w:rsidRPr="00DB4C76">
          <w:rPr>
            <w:rFonts w:ascii="Times New Roman" w:eastAsia="Times New Roman" w:hAnsi="Times New Roman" w:cs="Times New Roman"/>
            <w:color w:val="0000FF"/>
            <w:sz w:val="24"/>
            <w:szCs w:val="24"/>
            <w:u w:val="single"/>
          </w:rPr>
          <w:t>https://doi.org/10.1016/j.comppsych.2011.04.001</w:t>
        </w:r>
      </w:hyperlink>
    </w:p>
    <w:p w14:paraId="53E59EC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Xiao, Z., Li, Q., Chen, Z., Li, L., &amp; Liu, Z. (2001). A comparative study on cognitive function between geriatric schizophrenia and Alzheimer’s patients. [A comparative study on cognitive function between geriatric schizophrenia and Alzheimer’s patients.].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(3), 164-167,181.</w:t>
      </w:r>
    </w:p>
    <w:p w14:paraId="2B08AD4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Xie, Z. (2018). The influence of second language (L2) proficiency on cognitive control among young adult unbalanced Chinese-English bilinguals.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 </w:t>
      </w:r>
      <w:hyperlink r:id="rId6375" w:history="1">
        <w:r w:rsidRPr="00DB4C76">
          <w:rPr>
            <w:rFonts w:ascii="Times New Roman" w:eastAsia="Times New Roman" w:hAnsi="Times New Roman" w:cs="Times New Roman"/>
            <w:color w:val="0000FF"/>
            <w:sz w:val="24"/>
            <w:szCs w:val="24"/>
            <w:u w:val="single"/>
          </w:rPr>
          <w:t>https://doi.org/10.3389/fpsyg.2018.00412</w:t>
        </w:r>
      </w:hyperlink>
    </w:p>
    <w:p w14:paraId="06EC62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Xie, Z., &amp; Dong, Y. (2017). Contributions of bilingualism and public speaking training to cognitive control differences among young adults. </w:t>
      </w:r>
      <w:r w:rsidRPr="00DB4C76">
        <w:rPr>
          <w:rFonts w:ascii="Times New Roman" w:eastAsia="Times New Roman" w:hAnsi="Times New Roman" w:cs="Times New Roman"/>
          <w:i/>
          <w:iCs/>
          <w:sz w:val="24"/>
          <w:szCs w:val="24"/>
        </w:rPr>
        <w:t>Bilingualism: Language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(1), 55–68. </w:t>
      </w:r>
      <w:hyperlink r:id="rId6376" w:history="1">
        <w:r w:rsidRPr="00DB4C76">
          <w:rPr>
            <w:rFonts w:ascii="Times New Roman" w:eastAsia="Times New Roman" w:hAnsi="Times New Roman" w:cs="Times New Roman"/>
            <w:color w:val="0000FF"/>
            <w:sz w:val="24"/>
            <w:szCs w:val="24"/>
            <w:u w:val="single"/>
          </w:rPr>
          <w:t>https://doi.org/10.1017/S1366728915000474</w:t>
        </w:r>
      </w:hyperlink>
    </w:p>
    <w:p w14:paraId="357C22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Xie, Z., &amp; Pisano, T. S. (2019). Second language (L2) proficiency, socioeconomic status (SES), and intelligence (IQ) are significant predictors of cognitive control differences among young adult unbalanced Chinese–English bilinguals. </w:t>
      </w:r>
      <w:r w:rsidRPr="00DB4C76">
        <w:rPr>
          <w:rFonts w:ascii="Times New Roman" w:eastAsia="Times New Roman" w:hAnsi="Times New Roman" w:cs="Times New Roman"/>
          <w:i/>
          <w:iCs/>
          <w:sz w:val="24"/>
          <w:szCs w:val="24"/>
        </w:rPr>
        <w:t>Bilingualism: Language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(4), 866–882. </w:t>
      </w:r>
      <w:hyperlink r:id="rId6377" w:history="1">
        <w:r w:rsidRPr="00DB4C76">
          <w:rPr>
            <w:rFonts w:ascii="Times New Roman" w:eastAsia="Times New Roman" w:hAnsi="Times New Roman" w:cs="Times New Roman"/>
            <w:color w:val="0000FF"/>
            <w:sz w:val="24"/>
            <w:szCs w:val="24"/>
            <w:u w:val="single"/>
          </w:rPr>
          <w:t>https://doi.org/10.1017/S1366728918000822</w:t>
        </w:r>
      </w:hyperlink>
    </w:p>
    <w:p w14:paraId="764D75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Xiong-Zhao, Z., Xiao-Yan, W., &amp; Ying, H. (2006). A Comparative Study of Wisconsin Card Sorting Test in Individuals with Different Degrees of Alexithymia. [A Comparative Study of Wisconsin Card Sorting Test in Individuals with Different Degrees of Alexithymia.].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(2), 132–133.</w:t>
      </w:r>
    </w:p>
    <w:p w14:paraId="149B6BC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Xiu, M. H., Wang, D. M., Du, X. D., Chen, N., Tan, S. P., Tan, Y. L., Yang, F. D., Cho, R. Y., &amp; Zhang, X. Y. (2019). Interaction of BDNF and cytokines in executive dysfunction in patients with chronic schizophrenia. </w:t>
      </w:r>
      <w:r w:rsidRPr="00DB4C76">
        <w:rPr>
          <w:rFonts w:ascii="Times New Roman" w:eastAsia="Times New Roman" w:hAnsi="Times New Roman" w:cs="Times New Roman"/>
          <w:i/>
          <w:iCs/>
          <w:sz w:val="24"/>
          <w:szCs w:val="24"/>
        </w:rPr>
        <w:t>Psychoneuroendocrinology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108</w:t>
      </w:r>
      <w:r w:rsidRPr="00DB4C76">
        <w:rPr>
          <w:rFonts w:ascii="Times New Roman" w:eastAsia="Times New Roman" w:hAnsi="Times New Roman" w:cs="Times New Roman"/>
          <w:sz w:val="24"/>
          <w:szCs w:val="24"/>
        </w:rPr>
        <w:t xml:space="preserve">, 110–117. </w:t>
      </w:r>
      <w:hyperlink r:id="rId6378" w:history="1">
        <w:r w:rsidRPr="00DB4C76">
          <w:rPr>
            <w:rFonts w:ascii="Times New Roman" w:eastAsia="Times New Roman" w:hAnsi="Times New Roman" w:cs="Times New Roman"/>
            <w:color w:val="0000FF"/>
            <w:sz w:val="24"/>
            <w:szCs w:val="24"/>
            <w:u w:val="single"/>
          </w:rPr>
          <w:t>https://doi.org/10.1016/j.psyneuen.2019.06.006</w:t>
        </w:r>
      </w:hyperlink>
    </w:p>
    <w:p w14:paraId="2982EE7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G., Lin, K., Rao, D., Dang, Y., Ouyang, H., Guo, Y., Ma, J., &amp; Chen, J. (2012). Neuropsychological performance in bipolar I, bipolar II and unipolar depression patients: A longitudinal, naturalistic study.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136</w:t>
      </w:r>
      <w:r w:rsidRPr="00DB4C76">
        <w:rPr>
          <w:rFonts w:ascii="Times New Roman" w:eastAsia="Times New Roman" w:hAnsi="Times New Roman" w:cs="Times New Roman"/>
          <w:sz w:val="24"/>
          <w:szCs w:val="24"/>
        </w:rPr>
        <w:t xml:space="preserve">(3), 328–339. </w:t>
      </w:r>
      <w:hyperlink r:id="rId6379" w:history="1">
        <w:r w:rsidRPr="00DB4C76">
          <w:rPr>
            <w:rFonts w:ascii="Times New Roman" w:eastAsia="Times New Roman" w:hAnsi="Times New Roman" w:cs="Times New Roman"/>
            <w:color w:val="0000FF"/>
            <w:sz w:val="24"/>
            <w:szCs w:val="24"/>
            <w:u w:val="single"/>
          </w:rPr>
          <w:t>https://doi.org/10.1016/j.jad.2011.11.029</w:t>
        </w:r>
      </w:hyperlink>
    </w:p>
    <w:p w14:paraId="1F03FD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G., Lu, W., Ouyang, H., Dang, Y., Guo, Y., Miao, G., Bessonov, D., Akiskal, K. K., Akiskal, H. S., &amp; Lin, K. (2014). Association of affective temperaments measured by TEMPS-A with cognitive deficits in patients with bipolar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161</w:t>
      </w:r>
      <w:r w:rsidRPr="00DB4C76">
        <w:rPr>
          <w:rFonts w:ascii="Times New Roman" w:eastAsia="Times New Roman" w:hAnsi="Times New Roman" w:cs="Times New Roman"/>
          <w:sz w:val="24"/>
          <w:szCs w:val="24"/>
        </w:rPr>
        <w:t xml:space="preserve">, 109–115. </w:t>
      </w:r>
      <w:hyperlink r:id="rId6380" w:history="1">
        <w:r w:rsidRPr="00DB4C76">
          <w:rPr>
            <w:rFonts w:ascii="Times New Roman" w:eastAsia="Times New Roman" w:hAnsi="Times New Roman" w:cs="Times New Roman"/>
            <w:color w:val="0000FF"/>
            <w:sz w:val="24"/>
            <w:szCs w:val="24"/>
            <w:u w:val="single"/>
          </w:rPr>
          <w:t>https://doi.org/10.1016/j.jad.2014.03.005</w:t>
        </w:r>
      </w:hyperlink>
    </w:p>
    <w:p w14:paraId="77225F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J., Qin, W., Liu, B., Jiang, T., &amp; Yu, C. (2016). Interactions of genetic variants reveal inverse modulation patterns of dopamine system on brain gray matter volume and resting-state functional connectivity in healthy young adults. </w:t>
      </w:r>
      <w:r w:rsidRPr="00DB4C76">
        <w:rPr>
          <w:rFonts w:ascii="Times New Roman" w:eastAsia="Times New Roman" w:hAnsi="Times New Roman" w:cs="Times New Roman"/>
          <w:i/>
          <w:iCs/>
          <w:sz w:val="24"/>
          <w:szCs w:val="24"/>
        </w:rPr>
        <w:t>Brain Structure &amp; Function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221</w:t>
      </w:r>
      <w:r w:rsidRPr="00DB4C76">
        <w:rPr>
          <w:rFonts w:ascii="Times New Roman" w:eastAsia="Times New Roman" w:hAnsi="Times New Roman" w:cs="Times New Roman"/>
          <w:sz w:val="24"/>
          <w:szCs w:val="24"/>
        </w:rPr>
        <w:t xml:space="preserve">(8), 3891–3901. </w:t>
      </w:r>
      <w:hyperlink r:id="rId6381" w:history="1">
        <w:r w:rsidRPr="00DB4C76">
          <w:rPr>
            <w:rFonts w:ascii="Times New Roman" w:eastAsia="Times New Roman" w:hAnsi="Times New Roman" w:cs="Times New Roman"/>
            <w:color w:val="0000FF"/>
            <w:sz w:val="24"/>
            <w:szCs w:val="24"/>
            <w:u w:val="single"/>
          </w:rPr>
          <w:t>https://doi.org/10.1007/s00429-015-1134-4</w:t>
        </w:r>
      </w:hyperlink>
    </w:p>
    <w:p w14:paraId="7CB9F0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J.-Q., Hui, C. L.-M., Longenecker, J., Lee, E. H.-M., Chang, W.-C., Chan, S. K.-W., &amp; Chen, E. Y.-H. (2014). Executive function as predictors of persistent thought disorder in first-episode schizophrenia: A one-year follow-up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159</w:t>
      </w:r>
      <w:r w:rsidRPr="00DB4C76">
        <w:rPr>
          <w:rFonts w:ascii="Times New Roman" w:eastAsia="Times New Roman" w:hAnsi="Times New Roman" w:cs="Times New Roman"/>
          <w:sz w:val="24"/>
          <w:szCs w:val="24"/>
        </w:rPr>
        <w:t xml:space="preserve">(2–3), 465–470. </w:t>
      </w:r>
      <w:hyperlink r:id="rId6382" w:history="1">
        <w:r w:rsidRPr="00DB4C76">
          <w:rPr>
            <w:rFonts w:ascii="Times New Roman" w:eastAsia="Times New Roman" w:hAnsi="Times New Roman" w:cs="Times New Roman"/>
            <w:color w:val="0000FF"/>
            <w:sz w:val="24"/>
            <w:szCs w:val="24"/>
            <w:u w:val="single"/>
          </w:rPr>
          <w:t>https://doi.org/10.1016/j.schres.2014.08.022</w:t>
        </w:r>
      </w:hyperlink>
    </w:p>
    <w:p w14:paraId="043E1EE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M., Jiang, W., Du, Y., Li, Y., &amp; Fan, J. (2017). Executive function features in drug-naive children with oppositional defiant disorder.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(4), 228–236.</w:t>
      </w:r>
    </w:p>
    <w:p w14:paraId="5E3409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 S., Thompson, W., Ancoli‐Israel, S., Liu, L., Palmer, B., &amp; Natarajan, L. (2018). Cognition, quality‐of‐life, and symptom clusters in breast cancer: Using Bayesian networks to elucidate complex relationships. </w:t>
      </w:r>
      <w:r w:rsidRPr="00DB4C76">
        <w:rPr>
          <w:rFonts w:ascii="Times New Roman" w:eastAsia="Times New Roman" w:hAnsi="Times New Roman" w:cs="Times New Roman"/>
          <w:i/>
          <w:iCs/>
          <w:sz w:val="24"/>
          <w:szCs w:val="24"/>
        </w:rPr>
        <w:t>Psycho-Oncology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802–809. </w:t>
      </w:r>
      <w:hyperlink r:id="rId6383" w:history="1">
        <w:r w:rsidRPr="00DB4C76">
          <w:rPr>
            <w:rFonts w:ascii="Times New Roman" w:eastAsia="Times New Roman" w:hAnsi="Times New Roman" w:cs="Times New Roman"/>
            <w:color w:val="0000FF"/>
            <w:sz w:val="24"/>
            <w:szCs w:val="24"/>
            <w:u w:val="single"/>
          </w:rPr>
          <w:t>https://doi.org/10.1002/pon.4571</w:t>
        </w:r>
      </w:hyperlink>
    </w:p>
    <w:p w14:paraId="0D533F0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Xu-hui, F., Xiang, W., &amp; Shu-qiao, Y. (2006). A Comparative Study of Neurocognitive Function in Schizophrenics with Positive and Negative Symptoms. [A Comparative Study of Neurocognitive Function in Schizophrenics with Positive and Negative Symptoms.].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(1), 31–32.</w:t>
      </w:r>
    </w:p>
    <w:p w14:paraId="4DA5CF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Yachen, S., Hanqi, Z., Yonghui, L., Gui, X., &amp; Qinghua, H. (2018). To switch or not to switch? Cognitive and neural mechanisms of card switching behavior. </w:t>
      </w:r>
      <w:r w:rsidRPr="00DB4C76">
        <w:rPr>
          <w:rFonts w:ascii="Times New Roman" w:eastAsia="Times New Roman" w:hAnsi="Times New Roman" w:cs="Times New Roman"/>
          <w:i/>
          <w:iCs/>
          <w:sz w:val="24"/>
          <w:szCs w:val="24"/>
        </w:rPr>
        <w:t>Acta Psychologica Sinica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(12), 1449–1459. </w:t>
      </w:r>
      <w:hyperlink r:id="rId6384" w:history="1">
        <w:r w:rsidRPr="00DB4C76">
          <w:rPr>
            <w:rFonts w:ascii="Times New Roman" w:eastAsia="Times New Roman" w:hAnsi="Times New Roman" w:cs="Times New Roman"/>
            <w:color w:val="0000FF"/>
            <w:sz w:val="24"/>
            <w:szCs w:val="24"/>
            <w:u w:val="single"/>
          </w:rPr>
          <w:t>https://doi.org/10.3724/SP.J.1041.2018.01449</w:t>
        </w:r>
      </w:hyperlink>
    </w:p>
    <w:p w14:paraId="6D173BA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Ya-Juan, N., Cheng-Jing, W., &amp; Phillips, M. (2006). Factors Related to the Relapse of First-episode Schizophrenia. [Factors Related to the Relapse of First-episode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(3), 195–197.</w:t>
      </w:r>
    </w:p>
    <w:p w14:paraId="2F58EFD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Yalçin, K., &amp; Karakaş, S. (2007). Wısconsın kart eşleme testı performansinda gelışımın nıcelıksel ve nıtelıksel etkılerı. [Qualitative and quantitative effects of development in Wisconsin sorting test performance.]. </w:t>
      </w:r>
      <w:r w:rsidRPr="00DB4C76">
        <w:rPr>
          <w:rFonts w:ascii="Times New Roman" w:eastAsia="Times New Roman" w:hAnsi="Times New Roman" w:cs="Times New Roman"/>
          <w:i/>
          <w:iCs/>
          <w:sz w:val="24"/>
          <w:szCs w:val="24"/>
        </w:rPr>
        <w:t>Çocuk ve Gençlik Ruh Sağliği Dergisi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(1), 24–32.</w:t>
      </w:r>
    </w:p>
    <w:p w14:paraId="01F66B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Yalçin, K., &amp; Karakaş, S. (2008). Çocuklarda bilgi işlemedeki üst işlemlerin yaşa bağlı değişimi. [Change with age of information processing meta-operations in children.]. </w:t>
      </w:r>
      <w:r w:rsidRPr="00DB4C76">
        <w:rPr>
          <w:rFonts w:ascii="Times New Roman" w:eastAsia="Times New Roman" w:hAnsi="Times New Roman" w:cs="Times New Roman"/>
          <w:i/>
          <w:iCs/>
          <w:sz w:val="24"/>
          <w:szCs w:val="24"/>
        </w:rPr>
        <w:t>Türk Psikiyatri Dergisi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(3), 257–265.</w:t>
      </w:r>
    </w:p>
    <w:p w14:paraId="657C01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Yalçın, Ö., Şener, Ş., Sarıpınar, E. G., Soysal, A. Ş., Güney, E., Sari, B. A., &amp; Işeri, E. (2012). Çocuk ve ergen obsesif-kompülsif bozukluk hastalarının bilişsel işlevlerinin kontrol grubuyla karşılaştırılması: Gniş katılımlı nöropsikolojik bir çalışma. [Comparison between cognitive functions of children and adolescents with obsessive-disorder and hea. </w:t>
      </w:r>
      <w:r w:rsidRPr="00DB4C76">
        <w:rPr>
          <w:rFonts w:ascii="Times New Roman" w:eastAsia="Times New Roman" w:hAnsi="Times New Roman" w:cs="Times New Roman"/>
          <w:i/>
          <w:iCs/>
          <w:sz w:val="24"/>
          <w:szCs w:val="24"/>
        </w:rPr>
        <w:t>Nöropsikiyatri Arşivi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(2), 119–128.</w:t>
      </w:r>
    </w:p>
    <w:p w14:paraId="615F34F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Yaldoo, D. T. (1999). </w:t>
      </w:r>
      <w:r w:rsidRPr="00DB4C76">
        <w:rPr>
          <w:rFonts w:ascii="Times New Roman" w:eastAsia="Times New Roman" w:hAnsi="Times New Roman" w:cs="Times New Roman"/>
          <w:i/>
          <w:iCs/>
          <w:sz w:val="24"/>
          <w:szCs w:val="24"/>
        </w:rPr>
        <w:t>The role of executive functions in graphomotor construction and visual memory in children with myelomeningocele and traumatic 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(8-B), 4495–4495.</w:t>
      </w:r>
    </w:p>
    <w:p w14:paraId="1C7F46B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Yaluğ, İ., Tufan, A. E., Kutlu, H., &amp; Alemdar, M. (2007). Temporal lobe epilepsy and psychosis: A case report. </w:t>
      </w:r>
      <w:r w:rsidRPr="00DB4C76">
        <w:rPr>
          <w:rFonts w:ascii="Times New Roman" w:eastAsia="Times New Roman" w:hAnsi="Times New Roman" w:cs="Times New Roman"/>
          <w:i/>
          <w:iCs/>
          <w:sz w:val="24"/>
          <w:szCs w:val="24"/>
        </w:rPr>
        <w:t>Yeni Symposium: Psikiyatri, Nöroloji ve Davraniş Bilimleri Dergisi</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45</w:t>
      </w:r>
      <w:r w:rsidRPr="00DB4C76">
        <w:rPr>
          <w:rFonts w:ascii="Times New Roman" w:eastAsia="Times New Roman" w:hAnsi="Times New Roman" w:cs="Times New Roman"/>
          <w:sz w:val="24"/>
          <w:szCs w:val="24"/>
        </w:rPr>
        <w:t>(1), 41–44.</w:t>
      </w:r>
    </w:p>
    <w:p w14:paraId="59C7A3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Yamada, M., Murai, T., &amp; Ohigashi, Y. (2003). Postoperative reduplicative paramnesia in a patient with a right frontotemporal lesion. </w:t>
      </w:r>
      <w:r w:rsidRPr="00DB4C76">
        <w:rPr>
          <w:rFonts w:ascii="Times New Roman" w:eastAsia="Times New Roman" w:hAnsi="Times New Roman" w:cs="Times New Roman"/>
          <w:i/>
          <w:iCs/>
          <w:sz w:val="24"/>
          <w:szCs w:val="24"/>
        </w:rPr>
        <w:t>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w:t>
      </w:r>
      <w:r w:rsidRPr="00DB4C76">
        <w:rPr>
          <w:rFonts w:ascii="Times New Roman" w:eastAsia="Times New Roman" w:hAnsi="Times New Roman" w:cs="Times New Roman"/>
          <w:sz w:val="24"/>
          <w:szCs w:val="24"/>
        </w:rPr>
        <w:t xml:space="preserve">(3), 127–131. </w:t>
      </w:r>
      <w:hyperlink r:id="rId6385" w:history="1">
        <w:r w:rsidRPr="00DB4C76">
          <w:rPr>
            <w:rFonts w:ascii="Times New Roman" w:eastAsia="Times New Roman" w:hAnsi="Times New Roman" w:cs="Times New Roman"/>
            <w:color w:val="0000FF"/>
            <w:sz w:val="24"/>
            <w:szCs w:val="24"/>
            <w:u w:val="single"/>
          </w:rPr>
          <w:t>https://doi.org/10.1111/j.1479-8301.2003.00017.x</w:t>
        </w:r>
      </w:hyperlink>
    </w:p>
    <w:p w14:paraId="5AE3F5D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Yamada, T. H., Denburg, N. L., Beglinger, L. J., &amp; Schultz, S. K. (2010). Neuropsychological outcomes of older breast cancer survivors: Cognitive features ten or more years after chemotherapy.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(1), 48–54. </w:t>
      </w:r>
      <w:hyperlink r:id="rId6386" w:history="1">
        <w:r w:rsidRPr="00DB4C76">
          <w:rPr>
            <w:rFonts w:ascii="Times New Roman" w:eastAsia="Times New Roman" w:hAnsi="Times New Roman" w:cs="Times New Roman"/>
            <w:color w:val="0000FF"/>
            <w:sz w:val="24"/>
            <w:szCs w:val="24"/>
            <w:u w:val="single"/>
          </w:rPr>
          <w:t>https://doi.org/10.1176/appi.neuropsych.22.1.48</w:t>
        </w:r>
      </w:hyperlink>
    </w:p>
    <w:p w14:paraId="765A46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Yamamoto, K., &amp; Masumoto, K. (2019). Memory for rules and output monitoring in adults with autism spectrum disorder. </w:t>
      </w:r>
      <w:r w:rsidRPr="00DB4C76">
        <w:rPr>
          <w:rFonts w:ascii="Times New Roman" w:eastAsia="Times New Roman" w:hAnsi="Times New Roman" w:cs="Times New Roman"/>
          <w:i/>
          <w:iCs/>
          <w:sz w:val="24"/>
          <w:szCs w:val="24"/>
        </w:rPr>
        <w:t>Journal of Autism and Developmental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49</w:t>
      </w:r>
      <w:r w:rsidRPr="00DB4C76">
        <w:rPr>
          <w:rFonts w:ascii="Times New Roman" w:eastAsia="Times New Roman" w:hAnsi="Times New Roman" w:cs="Times New Roman"/>
          <w:sz w:val="24"/>
          <w:szCs w:val="24"/>
        </w:rPr>
        <w:t xml:space="preserve">(12), 4780–4787. </w:t>
      </w:r>
      <w:hyperlink r:id="rId6387" w:history="1">
        <w:r w:rsidRPr="00DB4C76">
          <w:rPr>
            <w:rFonts w:ascii="Times New Roman" w:eastAsia="Times New Roman" w:hAnsi="Times New Roman" w:cs="Times New Roman"/>
            <w:color w:val="0000FF"/>
            <w:sz w:val="24"/>
            <w:szCs w:val="24"/>
            <w:u w:val="single"/>
          </w:rPr>
          <w:t>https://doi.org/10.1007/s10803-019-04186-8</w:t>
        </w:r>
      </w:hyperlink>
    </w:p>
    <w:p w14:paraId="005F5F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Yamano-Ikeda, M., Nakaya, M., Takeda, M., Kikuchi, Y., Tone, O., Hara, M., Tomita, H., &amp; Shimada, H. (2014). Construction of cognitive domains in patients with traumatic brain injury. </w:t>
      </w:r>
      <w:r w:rsidRPr="00DB4C76">
        <w:rPr>
          <w:rFonts w:ascii="Times New Roman" w:eastAsia="Times New Roman" w:hAnsi="Times New Roman" w:cs="Times New Roman"/>
          <w:i/>
          <w:iCs/>
          <w:sz w:val="24"/>
          <w:szCs w:val="24"/>
        </w:rPr>
        <w:t>Minerva Psichiatrica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55</w:t>
      </w:r>
      <w:r w:rsidRPr="00DB4C76">
        <w:rPr>
          <w:rFonts w:ascii="Times New Roman" w:eastAsia="Times New Roman" w:hAnsi="Times New Roman" w:cs="Times New Roman"/>
          <w:sz w:val="24"/>
          <w:szCs w:val="24"/>
        </w:rPr>
        <w:t>(1), 25–33.</w:t>
      </w:r>
    </w:p>
    <w:p w14:paraId="65E8C2A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Yamashita, C., Mizuno, M., Nemoto, T., &amp; Kashima, H. (2005). Social cognitive problem-solving in schizophrenia: Associations with fluency and verbal memory.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134</w:t>
      </w:r>
      <w:r w:rsidRPr="00DB4C76">
        <w:rPr>
          <w:rFonts w:ascii="Times New Roman" w:eastAsia="Times New Roman" w:hAnsi="Times New Roman" w:cs="Times New Roman"/>
          <w:sz w:val="24"/>
          <w:szCs w:val="24"/>
        </w:rPr>
        <w:t xml:space="preserve">(2), 123–129. </w:t>
      </w:r>
      <w:hyperlink r:id="rId6388" w:history="1">
        <w:r w:rsidRPr="00DB4C76">
          <w:rPr>
            <w:rFonts w:ascii="Times New Roman" w:eastAsia="Times New Roman" w:hAnsi="Times New Roman" w:cs="Times New Roman"/>
            <w:color w:val="0000FF"/>
            <w:sz w:val="24"/>
            <w:szCs w:val="24"/>
            <w:u w:val="single"/>
          </w:rPr>
          <w:t>https://doi.org/10.1016/j.psychres.2004.06.018</w:t>
        </w:r>
      </w:hyperlink>
    </w:p>
    <w:p w14:paraId="2D81721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Yamashita, I., Matsui, M., Kurachi, M., Nohara, S., Takahashi, T., Yoneyama, E., Kato, K., &amp; Kurokawa, K. (2002). A Comparative profile analysis of neuropsychological functioning in patients with schizotypal disorder and schizophrenia. [A Comparative profile analysis of neuropsychological functioning in patients with schizotypal disorder and schizophrenia.]. </w:t>
      </w:r>
      <w:r w:rsidRPr="00DB4C76">
        <w:rPr>
          <w:rFonts w:ascii="Times New Roman" w:eastAsia="Times New Roman" w:hAnsi="Times New Roman" w:cs="Times New Roman"/>
          <w:i/>
          <w:iCs/>
          <w:sz w:val="24"/>
          <w:szCs w:val="24"/>
        </w:rPr>
        <w:t>Seishin Igaku (Clinical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44</w:t>
      </w:r>
      <w:r w:rsidRPr="00DB4C76">
        <w:rPr>
          <w:rFonts w:ascii="Times New Roman" w:eastAsia="Times New Roman" w:hAnsi="Times New Roman" w:cs="Times New Roman"/>
          <w:sz w:val="24"/>
          <w:szCs w:val="24"/>
        </w:rPr>
        <w:t>(8), 845–851.</w:t>
      </w:r>
    </w:p>
    <w:p w14:paraId="5A01CA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Yamashita, Y., Mukasa, A., Anai, C., Honda, Y., Kunisaki, C., Koutaki, J., Tada, Y., Egami, C., Kodama, N., Nakashima, M., Nagamitsu, S., &amp; Matsuishi, T. (2011). Summer treatment program for children with attention deficit hyperactivity disorder: Japanese experience in 5 years. </w:t>
      </w:r>
      <w:r w:rsidRPr="00DB4C76">
        <w:rPr>
          <w:rFonts w:ascii="Times New Roman" w:eastAsia="Times New Roman" w:hAnsi="Times New Roman" w:cs="Times New Roman"/>
          <w:i/>
          <w:iCs/>
          <w:sz w:val="24"/>
          <w:szCs w:val="24"/>
        </w:rPr>
        <w:t>Brain &amp;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(3), 260–267. </w:t>
      </w:r>
      <w:hyperlink r:id="rId6389" w:history="1">
        <w:r w:rsidRPr="00DB4C76">
          <w:rPr>
            <w:rFonts w:ascii="Times New Roman" w:eastAsia="Times New Roman" w:hAnsi="Times New Roman" w:cs="Times New Roman"/>
            <w:color w:val="0000FF"/>
            <w:sz w:val="24"/>
            <w:szCs w:val="24"/>
            <w:u w:val="single"/>
          </w:rPr>
          <w:t>https://doi.org/10.1016/j.braindev.2010.09.005</w:t>
        </w:r>
      </w:hyperlink>
    </w:p>
    <w:p w14:paraId="11CCC42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Yamauchi, H., Nishii, R., Higashi, T., Kagawa, S., &amp; Fukuyama, H. (2011). Selective neuronal damage and Wisconsin Card Sorting Test performance in atherosclerotic occlusive disease of the major cerebral artery.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(2), 150–156. </w:t>
      </w:r>
      <w:hyperlink r:id="rId6390" w:history="1">
        <w:r w:rsidRPr="00DB4C76">
          <w:rPr>
            <w:rFonts w:ascii="Times New Roman" w:eastAsia="Times New Roman" w:hAnsi="Times New Roman" w:cs="Times New Roman"/>
            <w:color w:val="0000FF"/>
            <w:sz w:val="24"/>
            <w:szCs w:val="24"/>
            <w:u w:val="single"/>
          </w:rPr>
          <w:t>https://doi.org/10.1136/jnnp.2010.207274</w:t>
        </w:r>
      </w:hyperlink>
    </w:p>
    <w:p w14:paraId="778EDFA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 G., Zhang, M., Liu, Y., &amp; Yin, M. (2019). Efficacy of vortioxetine combined cognitive behaviour intervention therapy on brain‐derived neurotrophic factor level on depressive patients. </w:t>
      </w:r>
      <w:r w:rsidRPr="00DB4C76">
        <w:rPr>
          <w:rFonts w:ascii="Times New Roman" w:eastAsia="Times New Roman" w:hAnsi="Times New Roman" w:cs="Times New Roman"/>
          <w:i/>
          <w:iCs/>
          <w:sz w:val="24"/>
          <w:szCs w:val="24"/>
        </w:rPr>
        <w:t>Psychogeriatrics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(5), 475–481. </w:t>
      </w:r>
      <w:hyperlink r:id="rId6391" w:history="1">
        <w:r w:rsidRPr="00DB4C76">
          <w:rPr>
            <w:rFonts w:ascii="Times New Roman" w:eastAsia="Times New Roman" w:hAnsi="Times New Roman" w:cs="Times New Roman"/>
            <w:color w:val="0000FF"/>
            <w:sz w:val="24"/>
            <w:szCs w:val="24"/>
            <w:u w:val="single"/>
          </w:rPr>
          <w:t>https://doi.org/10.1111/psyg.12426</w:t>
        </w:r>
      </w:hyperlink>
    </w:p>
    <w:p w14:paraId="3F277D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 J., Meng, G.-H., &amp; Li, G. (2012). Executive function characteristics in patients with obsessive-compulsive disorder and patients with schizophrenia. [Executive function characteristics in patients with obsessive-compulsive disorder and patients with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(1), 10–14.</w:t>
      </w:r>
    </w:p>
    <w:p w14:paraId="6905DA4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 J., Wang, Y.-F., &amp; Cui, Y.-H. (2007). Executive function in obsessive-compulsive disorder. [Executive function in obsessive-compulsive disorder.].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(7), 492–495.</w:t>
      </w:r>
    </w:p>
    <w:p w14:paraId="2093ED0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Yáñez-Téllez, G., Romero-Romero, H., Rivera-García, L., Prieto-Corona, B., Bernal-Hernández, J., Marosi-Holczberger, E., Guerrero-Juárez, V., Rodríguez Camacho, M. A., &amp; Silva-Pereyra, J. F. (2012). Funciones cognoscitivas y ejecutivas en el TDAH. [Cognitive and executive functions in ADHD.]. </w:t>
      </w:r>
      <w:r w:rsidRPr="00DB4C76">
        <w:rPr>
          <w:rFonts w:ascii="Times New Roman" w:eastAsia="Times New Roman" w:hAnsi="Times New Roman" w:cs="Times New Roman"/>
          <w:i/>
          <w:iCs/>
          <w:sz w:val="24"/>
          <w:szCs w:val="24"/>
        </w:rPr>
        <w:t>Actas Españolas de Psiquiatría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(6), 293–298.</w:t>
      </w:r>
    </w:p>
    <w:p w14:paraId="65F7E1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C., Zhang, T., Li, Z., Heeramun-Aubeeluck, A., Liu, N., Huang, N., Zhang, J., He, L., Li, H., Tang, Y., Chen, F., Liu, F., Wang, J., &amp; Lu, Z. (2015). The relationship between facial emotion recognition and executive functions in first-episode patients with schizophrenia and their siblings. </w:t>
      </w:r>
      <w:r w:rsidRPr="00DB4C76">
        <w:rPr>
          <w:rFonts w:ascii="Times New Roman" w:eastAsia="Times New Roman" w:hAnsi="Times New Roman" w:cs="Times New Roman"/>
          <w:i/>
          <w:iCs/>
          <w:sz w:val="24"/>
          <w:szCs w:val="24"/>
        </w:rPr>
        <w:t>BMC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w:t>
      </w:r>
    </w:p>
    <w:p w14:paraId="7196D18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C.-C., Chiu, M.-J., Chen, T.-F., Chang, H.-L., Liu, B.-H., &amp; Yang, S.-Y. (2018). Assay of plasma phosphorylated tau protein (threonine 181) and total tau protein in early-stage Alzheimer’s disease. </w:t>
      </w:r>
      <w:r w:rsidRPr="00DB4C76">
        <w:rPr>
          <w:rFonts w:ascii="Times New Roman" w:eastAsia="Times New Roman" w:hAnsi="Times New Roman" w:cs="Times New Roman"/>
          <w:i/>
          <w:iCs/>
          <w:sz w:val="24"/>
          <w:szCs w:val="24"/>
        </w:rPr>
        <w:t>Journal of Alzheimer’s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 xml:space="preserve">(4), 1323–1332. </w:t>
      </w:r>
      <w:hyperlink r:id="rId6392" w:history="1">
        <w:r w:rsidRPr="00DB4C76">
          <w:rPr>
            <w:rFonts w:ascii="Times New Roman" w:eastAsia="Times New Roman" w:hAnsi="Times New Roman" w:cs="Times New Roman"/>
            <w:color w:val="0000FF"/>
            <w:sz w:val="24"/>
            <w:szCs w:val="24"/>
            <w:u w:val="single"/>
          </w:rPr>
          <w:t>https://doi.org/10.3233/JAD-170810</w:t>
        </w:r>
      </w:hyperlink>
    </w:p>
    <w:p w14:paraId="41F0CF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C.-C., Huang, S.-J., Lin, W.-C., Tsai, Y.-H., &amp; Hua, M.-S. (2013). Divergent manifestations of irritability in patients with mild and moderate-to-severe traumatic brain injury: Perspectives of awareness and neurocognitive correlates.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(9), 1008–1015. </w:t>
      </w:r>
      <w:hyperlink r:id="rId6393" w:history="1">
        <w:r w:rsidRPr="00DB4C76">
          <w:rPr>
            <w:rFonts w:ascii="Times New Roman" w:eastAsia="Times New Roman" w:hAnsi="Times New Roman" w:cs="Times New Roman"/>
            <w:color w:val="0000FF"/>
            <w:sz w:val="24"/>
            <w:szCs w:val="24"/>
            <w:u w:val="single"/>
          </w:rPr>
          <w:t>https://doi.org/10.3109/02699052.2013.794975</w:t>
        </w:r>
      </w:hyperlink>
    </w:p>
    <w:p w14:paraId="4E61E3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F., Phillips, M., Zhang, P., &amp; Jie, Z. (2000). Cognitive function in first episode schizophrenics. [Cognitive function in first episode schizophrenics.].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(6), 383-385,396.</w:t>
      </w:r>
    </w:p>
    <w:p w14:paraId="1C5772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Guo, J., &amp; Jiang, X. (2017). Executive function in cancer patients with posttraumatic stress disorder. </w:t>
      </w:r>
      <w:r w:rsidRPr="00DB4C76">
        <w:rPr>
          <w:rFonts w:ascii="Times New Roman" w:eastAsia="Times New Roman" w:hAnsi="Times New Roman" w:cs="Times New Roman"/>
          <w:i/>
          <w:iCs/>
          <w:sz w:val="24"/>
          <w:szCs w:val="24"/>
        </w:rPr>
        <w:t>International Journal of Psychiatry in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 137–146. </w:t>
      </w:r>
      <w:hyperlink r:id="rId6394" w:history="1">
        <w:r w:rsidRPr="00DB4C76">
          <w:rPr>
            <w:rFonts w:ascii="Times New Roman" w:eastAsia="Times New Roman" w:hAnsi="Times New Roman" w:cs="Times New Roman"/>
            <w:color w:val="0000FF"/>
            <w:sz w:val="24"/>
            <w:szCs w:val="24"/>
            <w:u w:val="single"/>
          </w:rPr>
          <w:t>https://doi.org/10.1177/0091217417720898</w:t>
        </w:r>
      </w:hyperlink>
    </w:p>
    <w:p w14:paraId="61C5F77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Weng, X., Guan, L., Kuang, P., Zhang, M., Sun, W., &amp; Yu, S. (2002). Frontal lobe participated in priming for new associations: An evidence from patients with frontal lobe lesion. [Frontal lobe participated in priming for new associations: An evidence from patients with frontal lobe lesion.]. </w:t>
      </w:r>
      <w:r w:rsidRPr="00DB4C76">
        <w:rPr>
          <w:rFonts w:ascii="Times New Roman" w:eastAsia="Times New Roman" w:hAnsi="Times New Roman" w:cs="Times New Roman"/>
          <w:i/>
          <w:iCs/>
          <w:sz w:val="24"/>
          <w:szCs w:val="24"/>
        </w:rPr>
        <w:t>Acta Psychologica Sinica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(1), 36–42.</w:t>
      </w:r>
    </w:p>
    <w:p w14:paraId="02B31BE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Zhou, S., Yao, S., Su, L., &amp; McWhinnie, C. (2009). The relationship between theory of mind and executive function in a sample of children from mainland China. </w:t>
      </w:r>
      <w:r w:rsidRPr="00DB4C76">
        <w:rPr>
          <w:rFonts w:ascii="Times New Roman" w:eastAsia="Times New Roman" w:hAnsi="Times New Roman" w:cs="Times New Roman"/>
          <w:i/>
          <w:iCs/>
          <w:sz w:val="24"/>
          <w:szCs w:val="24"/>
        </w:rPr>
        <w:t>Child Psychiatry and Human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(2), 169–182. </w:t>
      </w:r>
      <w:hyperlink r:id="rId6395" w:history="1">
        <w:r w:rsidRPr="00DB4C76">
          <w:rPr>
            <w:rFonts w:ascii="Times New Roman" w:eastAsia="Times New Roman" w:hAnsi="Times New Roman" w:cs="Times New Roman"/>
            <w:color w:val="0000FF"/>
            <w:sz w:val="24"/>
            <w:szCs w:val="24"/>
            <w:u w:val="single"/>
          </w:rPr>
          <w:t>https://doi.org/10.1007/s10578-008-0119-4</w:t>
        </w:r>
      </w:hyperlink>
    </w:p>
    <w:p w14:paraId="2C42ED1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J., Zhou, S.-J., Zhang, L.-Y., Ding, Y., &amp; Zhang, G. (2006). Executive Dysfunction in Autistic Children. [Executive Dysfunction in Autistic Children.].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(5), 475–477.</w:t>
      </w:r>
    </w:p>
    <w:p w14:paraId="1E8EB30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K.-C., Wang, S.-J., Hsieh, W.-C., Lirng, J.-F., Yang, C.-C., Deng, J.-F., Lin, C.-L., &amp; Chou, Y.-H. (2015). Longitudinal changes in the dopamine transporter and cognition in suicide attempters with charcoal burning.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231</w:t>
      </w:r>
      <w:r w:rsidRPr="00DB4C76">
        <w:rPr>
          <w:rFonts w:ascii="Times New Roman" w:eastAsia="Times New Roman" w:hAnsi="Times New Roman" w:cs="Times New Roman"/>
          <w:sz w:val="24"/>
          <w:szCs w:val="24"/>
        </w:rPr>
        <w:t xml:space="preserve">(2), 160–167. </w:t>
      </w:r>
      <w:hyperlink r:id="rId6396" w:history="1">
        <w:r w:rsidRPr="00DB4C76">
          <w:rPr>
            <w:rFonts w:ascii="Times New Roman" w:eastAsia="Times New Roman" w:hAnsi="Times New Roman" w:cs="Times New Roman"/>
            <w:color w:val="0000FF"/>
            <w:sz w:val="24"/>
            <w:szCs w:val="24"/>
            <w:u w:val="single"/>
          </w:rPr>
          <w:t>https://doi.org/10.1016/j.pscychresns.2014.12.002</w:t>
        </w:r>
      </w:hyperlink>
    </w:p>
    <w:p w14:paraId="6377B17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P., Chung, L.-C., Chen, C.-S., &amp; Chen, C.-C. (2004). Rapid improvement in academic grades following methylphenidate treatment in attention-deficit hyperactivity disorder. </w:t>
      </w:r>
      <w:r w:rsidRPr="00DB4C76">
        <w:rPr>
          <w:rFonts w:ascii="Times New Roman" w:eastAsia="Times New Roman" w:hAnsi="Times New Roman" w:cs="Times New Roman"/>
          <w:i/>
          <w:iCs/>
          <w:sz w:val="24"/>
          <w:szCs w:val="24"/>
        </w:rPr>
        <w:t>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58</w:t>
      </w:r>
      <w:r w:rsidRPr="00DB4C76">
        <w:rPr>
          <w:rFonts w:ascii="Times New Roman" w:eastAsia="Times New Roman" w:hAnsi="Times New Roman" w:cs="Times New Roman"/>
          <w:sz w:val="24"/>
          <w:szCs w:val="24"/>
        </w:rPr>
        <w:t xml:space="preserve">(1), 37–41. </w:t>
      </w:r>
      <w:hyperlink r:id="rId6397" w:history="1">
        <w:r w:rsidRPr="00DB4C76">
          <w:rPr>
            <w:rFonts w:ascii="Times New Roman" w:eastAsia="Times New Roman" w:hAnsi="Times New Roman" w:cs="Times New Roman"/>
            <w:color w:val="0000FF"/>
            <w:sz w:val="24"/>
            <w:szCs w:val="24"/>
            <w:u w:val="single"/>
          </w:rPr>
          <w:t>https://doi.org/10.1111/j.1440-1819.2004.01190.x</w:t>
        </w:r>
      </w:hyperlink>
    </w:p>
    <w:p w14:paraId="01E027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R., Gao, W., Li, R., &amp; Zhao, Z. (2015). Effect of atomoxetine on the cognitive functions in treatment of attention deficit hyperactivity disorder in children with congenital hypothyroidism: A pilot study. </w:t>
      </w:r>
      <w:r w:rsidRPr="00DB4C76">
        <w:rPr>
          <w:rFonts w:ascii="Times New Roman" w:eastAsia="Times New Roman" w:hAnsi="Times New Roman" w:cs="Times New Roman"/>
          <w:i/>
          <w:iCs/>
          <w:sz w:val="24"/>
          <w:szCs w:val="24"/>
        </w:rPr>
        <w:t>International Journal of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(8), 1–5. </w:t>
      </w:r>
      <w:hyperlink r:id="rId6398" w:history="1">
        <w:r w:rsidRPr="00DB4C76">
          <w:rPr>
            <w:rFonts w:ascii="Times New Roman" w:eastAsia="Times New Roman" w:hAnsi="Times New Roman" w:cs="Times New Roman"/>
            <w:color w:val="0000FF"/>
            <w:sz w:val="24"/>
            <w:szCs w:val="24"/>
            <w:u w:val="single"/>
          </w:rPr>
          <w:t>https://doi.org/10.1093/ijnp/pyv044</w:t>
        </w:r>
      </w:hyperlink>
    </w:p>
    <w:p w14:paraId="0F64C4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R., Mao, S., Li, R., &amp; Zhao, Z. (2012). The need to develop more sensitive tools to accurately detect clinical response to treatment in ADHD. </w:t>
      </w:r>
      <w:r w:rsidRPr="00DB4C76">
        <w:rPr>
          <w:rFonts w:ascii="Times New Roman" w:eastAsia="Times New Roman" w:hAnsi="Times New Roman" w:cs="Times New Roman"/>
          <w:i/>
          <w:iCs/>
          <w:sz w:val="24"/>
          <w:szCs w:val="24"/>
        </w:rPr>
        <w:t>CNS Drugs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(2), 185–187. </w:t>
      </w:r>
      <w:hyperlink r:id="rId6399" w:history="1">
        <w:r w:rsidRPr="00DB4C76">
          <w:rPr>
            <w:rFonts w:ascii="Times New Roman" w:eastAsia="Times New Roman" w:hAnsi="Times New Roman" w:cs="Times New Roman"/>
            <w:color w:val="0000FF"/>
            <w:sz w:val="24"/>
            <w:szCs w:val="24"/>
            <w:u w:val="single"/>
          </w:rPr>
          <w:t>https://doi.org/10.2165/11630110-000000000-00000</w:t>
        </w:r>
      </w:hyperlink>
    </w:p>
    <w:p w14:paraId="27DA512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T., Peng, Z., Wang, Y., Geng, F., Miao, G., Shum, D. H. K., Cheung, E. F. C., &amp; Chan, R. C. K. (2015). The nature of prospective memory deficit in patients with obsessive–compulsive disorder.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230</w:t>
      </w:r>
      <w:r w:rsidRPr="00DB4C76">
        <w:rPr>
          <w:rFonts w:ascii="Times New Roman" w:eastAsia="Times New Roman" w:hAnsi="Times New Roman" w:cs="Times New Roman"/>
          <w:sz w:val="24"/>
          <w:szCs w:val="24"/>
        </w:rPr>
        <w:t xml:space="preserve">(2), 479–486. </w:t>
      </w:r>
      <w:hyperlink r:id="rId6400" w:history="1">
        <w:r w:rsidRPr="00DB4C76">
          <w:rPr>
            <w:rFonts w:ascii="Times New Roman" w:eastAsia="Times New Roman" w:hAnsi="Times New Roman" w:cs="Times New Roman"/>
            <w:color w:val="0000FF"/>
            <w:sz w:val="24"/>
            <w:szCs w:val="24"/>
            <w:u w:val="single"/>
          </w:rPr>
          <w:t>https://doi.org/10.1016/j.psychres.2015.09.041</w:t>
        </w:r>
      </w:hyperlink>
    </w:p>
    <w:p w14:paraId="7D68455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T., Zhao, G., Mao, R., Huang, J., Xu, X., Su, Y., Zhu, N., Zhou, R., Lin, X., Xia, W., Wang, F., Liu, R., Wang, X., Huang, Z., Wang, Y., Hu, Y., Cao, L., Yuan, C., Wang, Z., … Fang, Y. (2018). The association of duration and severity of disease with executive function: Differences between drug-naïve patients with bipolar and unipolar depression.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238</w:t>
      </w:r>
      <w:r w:rsidRPr="00DB4C76">
        <w:rPr>
          <w:rFonts w:ascii="Times New Roman" w:eastAsia="Times New Roman" w:hAnsi="Times New Roman" w:cs="Times New Roman"/>
          <w:sz w:val="24"/>
          <w:szCs w:val="24"/>
        </w:rPr>
        <w:t xml:space="preserve">, 412–417. </w:t>
      </w:r>
      <w:hyperlink r:id="rId6401" w:history="1">
        <w:r w:rsidRPr="00DB4C76">
          <w:rPr>
            <w:rFonts w:ascii="Times New Roman" w:eastAsia="Times New Roman" w:hAnsi="Times New Roman" w:cs="Times New Roman"/>
            <w:color w:val="0000FF"/>
            <w:sz w:val="24"/>
            <w:szCs w:val="24"/>
            <w:u w:val="single"/>
          </w:rPr>
          <w:t>https://doi.org/10.1016/j.jad.2018.05.051</w:t>
        </w:r>
      </w:hyperlink>
    </w:p>
    <w:p w14:paraId="243A1F3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(2015). Brain abnormalities in psychopathy. In </w:t>
      </w:r>
      <w:r w:rsidRPr="00DB4C76">
        <w:rPr>
          <w:rFonts w:ascii="Times New Roman" w:eastAsia="Times New Roman" w:hAnsi="Times New Roman" w:cs="Times New Roman"/>
          <w:i/>
          <w:iCs/>
          <w:sz w:val="24"/>
          <w:szCs w:val="24"/>
        </w:rPr>
        <w:t>The Routledge international handbook of biosocial criminology.</w:t>
      </w:r>
      <w:r w:rsidRPr="00DB4C76">
        <w:rPr>
          <w:rFonts w:ascii="Times New Roman" w:eastAsia="Times New Roman" w:hAnsi="Times New Roman" w:cs="Times New Roman"/>
          <w:sz w:val="24"/>
          <w:szCs w:val="24"/>
        </w:rPr>
        <w:t xml:space="preserve"> (pp. 281–299). Routledge/Taylor &amp; Francis Group.</w:t>
      </w:r>
    </w:p>
    <w:p w14:paraId="64CB279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K., Chen, C. C., Lee, I. H., Chou, Y. H., Chiu, N. T., Jeffries, K. J., Tsai, T. T., &amp; Yeh, T. L. (2003). Association between regional cerebral blood flow and eye-tracking performance and the Wisconsin card sorting test in schizophrenics: A single photon emission computed tomography study.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123</w:t>
      </w:r>
      <w:r w:rsidRPr="00DB4C76">
        <w:rPr>
          <w:rFonts w:ascii="Times New Roman" w:eastAsia="Times New Roman" w:hAnsi="Times New Roman" w:cs="Times New Roman"/>
          <w:sz w:val="24"/>
          <w:szCs w:val="24"/>
        </w:rPr>
        <w:t xml:space="preserve">(1), 37–48. </w:t>
      </w:r>
      <w:hyperlink r:id="rId6402" w:history="1">
        <w:r w:rsidRPr="00DB4C76">
          <w:rPr>
            <w:rFonts w:ascii="Times New Roman" w:eastAsia="Times New Roman" w:hAnsi="Times New Roman" w:cs="Times New Roman"/>
            <w:color w:val="0000FF"/>
            <w:sz w:val="24"/>
            <w:szCs w:val="24"/>
            <w:u w:val="single"/>
          </w:rPr>
          <w:t>https://doi.org/10.1016/S0925-4927(03)00021-0</w:t>
        </w:r>
      </w:hyperlink>
    </w:p>
    <w:p w14:paraId="60BB8E3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K., Yeh, T. L., Chiu, N. T., Lee, I. H., Chen, P. S., Lee, L.-C., &amp; Jeffries, K. J. (2004). Association between cognitive performance and striatal dopamine binding is higher in timing and motor tasks in patients with schizophrenia. </w:t>
      </w:r>
      <w:r w:rsidRPr="00DB4C76">
        <w:rPr>
          <w:rFonts w:ascii="Times New Roman" w:eastAsia="Times New Roman" w:hAnsi="Times New Roman" w:cs="Times New Roman"/>
          <w:i/>
          <w:iCs/>
          <w:sz w:val="24"/>
          <w:szCs w:val="24"/>
        </w:rPr>
        <w:t>Psychiatry Research: Neuroimaging</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131</w:t>
      </w:r>
      <w:r w:rsidRPr="00DB4C76">
        <w:rPr>
          <w:rFonts w:ascii="Times New Roman" w:eastAsia="Times New Roman" w:hAnsi="Times New Roman" w:cs="Times New Roman"/>
          <w:sz w:val="24"/>
          <w:szCs w:val="24"/>
        </w:rPr>
        <w:t xml:space="preserve">(3), 209–216. </w:t>
      </w:r>
      <w:hyperlink r:id="rId6403" w:history="1">
        <w:r w:rsidRPr="00DB4C76">
          <w:rPr>
            <w:rFonts w:ascii="Times New Roman" w:eastAsia="Times New Roman" w:hAnsi="Times New Roman" w:cs="Times New Roman"/>
            <w:color w:val="0000FF"/>
            <w:sz w:val="24"/>
            <w:szCs w:val="24"/>
            <w:u w:val="single"/>
          </w:rPr>
          <w:t>https://doi.org/10.1016/j.pscychresns.2003.07.002</w:t>
        </w:r>
      </w:hyperlink>
    </w:p>
    <w:p w14:paraId="164AFE0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Yang, Y., Raine, A., Colletti, P., Toga, A. W., &amp; Narr, K. L. (2011). Abnormal structural correlates of response perseveration in individuals with psychopathy. </w:t>
      </w:r>
      <w:r w:rsidRPr="00DB4C76">
        <w:rPr>
          <w:rFonts w:ascii="Times New Roman" w:eastAsia="Times New Roman" w:hAnsi="Times New Roman" w:cs="Times New Roman"/>
          <w:i/>
          <w:iCs/>
          <w:sz w:val="24"/>
          <w:szCs w:val="24"/>
        </w:rPr>
        <w:t>The Journal of Neuropsychiatry and Clinical Neurosciences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(1), 107–110. </w:t>
      </w:r>
      <w:hyperlink r:id="rId6404" w:history="1">
        <w:r w:rsidRPr="00DB4C76">
          <w:rPr>
            <w:rFonts w:ascii="Times New Roman" w:eastAsia="Times New Roman" w:hAnsi="Times New Roman" w:cs="Times New Roman"/>
            <w:color w:val="0000FF"/>
            <w:sz w:val="24"/>
            <w:szCs w:val="24"/>
            <w:u w:val="single"/>
          </w:rPr>
          <w:t>https://doi.org/10.1176/appi.neuropsych.23.1.107</w:t>
        </w:r>
      </w:hyperlink>
    </w:p>
    <w:p w14:paraId="5600925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Yanitskiy, M. S., Seryy, A. V., Vasyagina, N. N., Solodukhin, A. V., &amp; Trubnikova, O. A. (2020). Psychological rehabilitation of patients with cardiovascular diseases by correction of cognitive impairment. </w:t>
      </w:r>
      <w:r w:rsidRPr="00DB4C76">
        <w:rPr>
          <w:rFonts w:ascii="Times New Roman" w:eastAsia="Times New Roman" w:hAnsi="Times New Roman" w:cs="Times New Roman"/>
          <w:i/>
          <w:iCs/>
          <w:sz w:val="24"/>
          <w:szCs w:val="24"/>
        </w:rPr>
        <w:t>Psychology in Russia: State of the Art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(1), 121–132. </w:t>
      </w:r>
      <w:hyperlink r:id="rId6405" w:history="1">
        <w:r w:rsidRPr="00DB4C76">
          <w:rPr>
            <w:rFonts w:ascii="Times New Roman" w:eastAsia="Times New Roman" w:hAnsi="Times New Roman" w:cs="Times New Roman"/>
            <w:color w:val="0000FF"/>
            <w:sz w:val="24"/>
            <w:szCs w:val="24"/>
            <w:u w:val="single"/>
          </w:rPr>
          <w:t>https://doi.org/10.11621/pir.2020.0110</w:t>
        </w:r>
      </w:hyperlink>
    </w:p>
    <w:p w14:paraId="6EFBAD4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Yaniv, A., Benaroya-Milshtein, N., Steinberg, T., Ruhrrman, D., Apter, A., &amp; Lavidor, M. (2017). Specific executive control impairments in Tourette syndrome: The role of response inhibition. </w:t>
      </w:r>
      <w:r w:rsidRPr="00DB4C76">
        <w:rPr>
          <w:rFonts w:ascii="Times New Roman" w:eastAsia="Times New Roman" w:hAnsi="Times New Roman" w:cs="Times New Roman"/>
          <w:i/>
          <w:iCs/>
          <w:sz w:val="24"/>
          <w:szCs w:val="24"/>
        </w:rPr>
        <w:t>Research in Developmental Disabilities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61</w:t>
      </w:r>
      <w:r w:rsidRPr="00DB4C76">
        <w:rPr>
          <w:rFonts w:ascii="Times New Roman" w:eastAsia="Times New Roman" w:hAnsi="Times New Roman" w:cs="Times New Roman"/>
          <w:sz w:val="24"/>
          <w:szCs w:val="24"/>
        </w:rPr>
        <w:t xml:space="preserve">, 1–10. </w:t>
      </w:r>
      <w:hyperlink r:id="rId6406" w:history="1">
        <w:r w:rsidRPr="00DB4C76">
          <w:rPr>
            <w:rFonts w:ascii="Times New Roman" w:eastAsia="Times New Roman" w:hAnsi="Times New Roman" w:cs="Times New Roman"/>
            <w:color w:val="0000FF"/>
            <w:sz w:val="24"/>
            <w:szCs w:val="24"/>
            <w:u w:val="single"/>
          </w:rPr>
          <w:t>https://doi.org/10.1016/j.ridd.2016.12.007</w:t>
        </w:r>
      </w:hyperlink>
    </w:p>
    <w:p w14:paraId="4832B50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Yantz, C. L., &amp; McCaffrey, R. J. (2007). Social facilitation effect of examiner attention of inattention to computer-administered neuropsychological test: First sign that the examiner may affect result.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(4), 663–671. </w:t>
      </w:r>
      <w:hyperlink r:id="rId6407" w:history="1">
        <w:r w:rsidRPr="00DB4C76">
          <w:rPr>
            <w:rFonts w:ascii="Times New Roman" w:eastAsia="Times New Roman" w:hAnsi="Times New Roman" w:cs="Times New Roman"/>
            <w:color w:val="0000FF"/>
            <w:sz w:val="24"/>
            <w:szCs w:val="24"/>
            <w:u w:val="single"/>
          </w:rPr>
          <w:t>https://doi.org/10.1080/13854040600788158</w:t>
        </w:r>
      </w:hyperlink>
    </w:p>
    <w:p w14:paraId="5C570D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Yao, J., Ding, M., Xing, J., Xuan, J., Pang, H., Pan, Y., &amp; Wang, B. (2014). Genetic association between the dopamine D₁-receptor gene and paranoid schizophrenia in a northern Han Chinese population.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w:t>
      </w:r>
    </w:p>
    <w:p w14:paraId="12B2B5A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Yao, W.-J., Pan, H.-A., Yang, Y.-K., Chou, Y.-H., Wang, S.-T., Yu, C.-Y., &amp; Lin, H.-D. (2008). Reduced frontal perfusion in depressed postmenopausal women: A SPECT study with WCST. </w:t>
      </w:r>
      <w:r w:rsidRPr="00DB4C76">
        <w:rPr>
          <w:rFonts w:ascii="Times New Roman" w:eastAsia="Times New Roman" w:hAnsi="Times New Roman" w:cs="Times New Roman"/>
          <w:i/>
          <w:iCs/>
          <w:sz w:val="24"/>
          <w:szCs w:val="24"/>
        </w:rPr>
        <w:t>Maturitas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59</w:t>
      </w:r>
      <w:r w:rsidRPr="00DB4C76">
        <w:rPr>
          <w:rFonts w:ascii="Times New Roman" w:eastAsia="Times New Roman" w:hAnsi="Times New Roman" w:cs="Times New Roman"/>
          <w:sz w:val="24"/>
          <w:szCs w:val="24"/>
        </w:rPr>
        <w:t xml:space="preserve">(1), 83–90. </w:t>
      </w:r>
      <w:hyperlink r:id="rId6408" w:history="1">
        <w:r w:rsidRPr="00DB4C76">
          <w:rPr>
            <w:rFonts w:ascii="Times New Roman" w:eastAsia="Times New Roman" w:hAnsi="Times New Roman" w:cs="Times New Roman"/>
            <w:color w:val="0000FF"/>
            <w:sz w:val="24"/>
            <w:szCs w:val="24"/>
            <w:u w:val="single"/>
          </w:rPr>
          <w:t>https://doi.org/10.1016/j.maturitas.2007.09.014</w:t>
        </w:r>
      </w:hyperlink>
    </w:p>
    <w:p w14:paraId="6CEF8B2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Yassuda, M. S., Flaks, M. K., &amp; Pereira, F. S. (2011). Cognitive screening and neuropsychological and functional assessment: Contributions to early detection of dementia. </w:t>
      </w:r>
      <w:r w:rsidRPr="00DB4C76">
        <w:rPr>
          <w:rFonts w:ascii="Times New Roman" w:eastAsia="Times New Roman" w:hAnsi="Times New Roman" w:cs="Times New Roman"/>
          <w:i/>
          <w:iCs/>
          <w:sz w:val="24"/>
          <w:szCs w:val="24"/>
        </w:rPr>
        <w:t>Dementia, Vols 1–3: History and Incidence, Science and Biology, Treatments and Developments.</w:t>
      </w:r>
      <w:r w:rsidRPr="00DB4C76">
        <w:rPr>
          <w:rFonts w:ascii="Times New Roman" w:eastAsia="Times New Roman" w:hAnsi="Times New Roman" w:cs="Times New Roman"/>
          <w:sz w:val="24"/>
          <w:szCs w:val="24"/>
        </w:rPr>
        <w:t>, 151–176.</w:t>
      </w:r>
    </w:p>
    <w:p w14:paraId="3CBB30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Yasuno, F., Matsuoka, K., Kitamura, S., Kiuchi, K., Kosaka, J., Okada, K., Tanaka, S., Shinkai, T., Taoka, T., &amp; Kishimoto, T. (2014). Decision-making deficit of a patient with axonal damage after traumatic brain injury.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84</w:t>
      </w:r>
      <w:r w:rsidRPr="00DB4C76">
        <w:rPr>
          <w:rFonts w:ascii="Times New Roman" w:eastAsia="Times New Roman" w:hAnsi="Times New Roman" w:cs="Times New Roman"/>
          <w:sz w:val="24"/>
          <w:szCs w:val="24"/>
        </w:rPr>
        <w:t xml:space="preserve">(1), 63–68. </w:t>
      </w:r>
      <w:hyperlink r:id="rId6409" w:history="1">
        <w:r w:rsidRPr="00DB4C76">
          <w:rPr>
            <w:rFonts w:ascii="Times New Roman" w:eastAsia="Times New Roman" w:hAnsi="Times New Roman" w:cs="Times New Roman"/>
            <w:color w:val="0000FF"/>
            <w:sz w:val="24"/>
            <w:szCs w:val="24"/>
            <w:u w:val="single"/>
          </w:rPr>
          <w:t>https://doi.org/10.1016/j.bandc.2013.11.005</w:t>
        </w:r>
      </w:hyperlink>
    </w:p>
    <w:p w14:paraId="743E128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Yates, D. B., Zibetti, M. R., Pawlowski, J., Salles, J. F., de Mattos Pimenta Parente, M. A., de Lima Argimon, I., Fonseca, R. P., &amp; Trentini, C. M. (2013). WCST and NEUPSILIN: Relationships among executive functions, attention, memory and language. </w:t>
      </w:r>
      <w:r w:rsidRPr="00DB4C76">
        <w:rPr>
          <w:rFonts w:ascii="Times New Roman" w:eastAsia="Times New Roman" w:hAnsi="Times New Roman" w:cs="Times New Roman"/>
          <w:i/>
          <w:iCs/>
          <w:sz w:val="24"/>
          <w:szCs w:val="24"/>
        </w:rPr>
        <w:t>Psicologia: Reflexão e Crítica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26</w:t>
      </w:r>
      <w:r w:rsidRPr="00DB4C76">
        <w:rPr>
          <w:rFonts w:ascii="Times New Roman" w:eastAsia="Times New Roman" w:hAnsi="Times New Roman" w:cs="Times New Roman"/>
          <w:sz w:val="24"/>
          <w:szCs w:val="24"/>
        </w:rPr>
        <w:t xml:space="preserve">(3), 506–515. </w:t>
      </w:r>
      <w:hyperlink r:id="rId6410" w:history="1">
        <w:r w:rsidRPr="00DB4C76">
          <w:rPr>
            <w:rFonts w:ascii="Times New Roman" w:eastAsia="Times New Roman" w:hAnsi="Times New Roman" w:cs="Times New Roman"/>
            <w:color w:val="0000FF"/>
            <w:sz w:val="24"/>
            <w:szCs w:val="24"/>
            <w:u w:val="single"/>
          </w:rPr>
          <w:t>https://doi.org/10.1590/S0102-79722013000300010</w:t>
        </w:r>
      </w:hyperlink>
    </w:p>
    <w:p w14:paraId="0C5996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Yates, P. M., Prescott, D., &amp; Ward, T. (2010). </w:t>
      </w:r>
      <w:r w:rsidRPr="00DB4C76">
        <w:rPr>
          <w:rFonts w:ascii="Times New Roman" w:eastAsia="Times New Roman" w:hAnsi="Times New Roman" w:cs="Times New Roman"/>
          <w:i/>
          <w:iCs/>
          <w:sz w:val="24"/>
          <w:szCs w:val="24"/>
        </w:rPr>
        <w:t>Applying the good lives and self-regulation models to sex offender treatment: A practical guide for clinicians.</w:t>
      </w:r>
      <w:r w:rsidRPr="00DB4C76">
        <w:rPr>
          <w:rFonts w:ascii="Times New Roman" w:eastAsia="Times New Roman" w:hAnsi="Times New Roman" w:cs="Times New Roman"/>
          <w:sz w:val="24"/>
          <w:szCs w:val="24"/>
        </w:rPr>
        <w:t xml:space="preserve"> (pp. xii, 308). Safer Society Press.</w:t>
      </w:r>
    </w:p>
    <w:p w14:paraId="63F7C40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Yau, P. L., Castro, M. G., Tagani, A., Tsui, W. H., &amp; Convit, A. (2012). Obesity and metabolic syndrome and functional and structural brain impairments in adolescence. </w:t>
      </w:r>
      <w:r w:rsidRPr="00DB4C76">
        <w:rPr>
          <w:rFonts w:ascii="Times New Roman" w:eastAsia="Times New Roman" w:hAnsi="Times New Roman" w:cs="Times New Roman"/>
          <w:i/>
          <w:iCs/>
          <w:sz w:val="24"/>
          <w:szCs w:val="24"/>
        </w:rPr>
        <w:t>Pediatrics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130</w:t>
      </w:r>
      <w:r w:rsidRPr="00DB4C76">
        <w:rPr>
          <w:rFonts w:ascii="Times New Roman" w:eastAsia="Times New Roman" w:hAnsi="Times New Roman" w:cs="Times New Roman"/>
          <w:sz w:val="24"/>
          <w:szCs w:val="24"/>
        </w:rPr>
        <w:t xml:space="preserve">(4), e856–e864. </w:t>
      </w:r>
      <w:hyperlink r:id="rId6411" w:history="1">
        <w:r w:rsidRPr="00DB4C76">
          <w:rPr>
            <w:rFonts w:ascii="Times New Roman" w:eastAsia="Times New Roman" w:hAnsi="Times New Roman" w:cs="Times New Roman"/>
            <w:color w:val="0000FF"/>
            <w:sz w:val="24"/>
            <w:szCs w:val="24"/>
            <w:u w:val="single"/>
          </w:rPr>
          <w:t>https://doi.org/10.1542/peds.2012-0324</w:t>
        </w:r>
      </w:hyperlink>
    </w:p>
    <w:p w14:paraId="3327CFF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Yau, P. L., Kang, E. H., Javier, D. C., &amp; Convit, A. (2014). Preliminary evidence of cognitive and brain abnormalities in uncomplicated adolescent obesity. </w:t>
      </w:r>
      <w:r w:rsidRPr="00DB4C76">
        <w:rPr>
          <w:rFonts w:ascii="Times New Roman" w:eastAsia="Times New Roman" w:hAnsi="Times New Roman" w:cs="Times New Roman"/>
          <w:i/>
          <w:iCs/>
          <w:sz w:val="24"/>
          <w:szCs w:val="24"/>
        </w:rPr>
        <w:t>Obesity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(8), 1865–1871. </w:t>
      </w:r>
      <w:hyperlink r:id="rId6412" w:history="1">
        <w:r w:rsidRPr="00DB4C76">
          <w:rPr>
            <w:rFonts w:ascii="Times New Roman" w:eastAsia="Times New Roman" w:hAnsi="Times New Roman" w:cs="Times New Roman"/>
            <w:color w:val="0000FF"/>
            <w:sz w:val="24"/>
            <w:szCs w:val="24"/>
            <w:u w:val="single"/>
          </w:rPr>
          <w:t>https://doi.org/10.1002/oby.20801</w:t>
        </w:r>
      </w:hyperlink>
    </w:p>
    <w:p w14:paraId="196293B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Yazdani, S., Soluki, S., Arjmandnia, A. A., Fathabadi, J., Hassanzadeh, S., &amp; Nejati, V. (2021). Spatial ability in children with Mathematics Learning Disorder (MLD) and its impact on executive functions.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(3), 232–248. </w:t>
      </w:r>
      <w:hyperlink r:id="rId6413" w:history="1">
        <w:r w:rsidRPr="00DB4C76">
          <w:rPr>
            <w:rFonts w:ascii="Times New Roman" w:eastAsia="Times New Roman" w:hAnsi="Times New Roman" w:cs="Times New Roman"/>
            <w:color w:val="0000FF"/>
            <w:sz w:val="24"/>
            <w:szCs w:val="24"/>
            <w:u w:val="single"/>
          </w:rPr>
          <w:t>https://doi.org/10.1080/87565641.2021.1913165</w:t>
        </w:r>
      </w:hyperlink>
    </w:p>
    <w:p w14:paraId="75C8E0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Ybarra, O., Winkielman, P., Yeh, I., Burnstein, E., &amp; Kavanagh, L. (2011). Friends (and sometimes enemies) with cognitive benefits: What types of social interactions boost executive functioning? </w:t>
      </w:r>
      <w:r w:rsidRPr="00DB4C76">
        <w:rPr>
          <w:rFonts w:ascii="Times New Roman" w:eastAsia="Times New Roman" w:hAnsi="Times New Roman" w:cs="Times New Roman"/>
          <w:i/>
          <w:iCs/>
          <w:sz w:val="24"/>
          <w:szCs w:val="24"/>
        </w:rPr>
        <w:t>Social Psychological and Personality 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(3), 253–261. </w:t>
      </w:r>
      <w:hyperlink r:id="rId6414" w:history="1">
        <w:r w:rsidRPr="00DB4C76">
          <w:rPr>
            <w:rFonts w:ascii="Times New Roman" w:eastAsia="Times New Roman" w:hAnsi="Times New Roman" w:cs="Times New Roman"/>
            <w:color w:val="0000FF"/>
            <w:sz w:val="24"/>
            <w:szCs w:val="24"/>
            <w:u w:val="single"/>
          </w:rPr>
          <w:t>https://doi.org/10.1177/1948550610386808</w:t>
        </w:r>
      </w:hyperlink>
    </w:p>
    <w:p w14:paraId="3655362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 R., &amp; Gong, Y. (2000). A research on the neuropsychological dysfunction in patients with hepatic cirrhosis. [A research on the neuropsychological dysfunction in patients with hepatic cirrhosis.].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(4), 193–198.</w:t>
      </w:r>
    </w:p>
    <w:p w14:paraId="7E0BE15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Yeh, C.-B., Huang, Y.-S., Tang, C.-S., Wang, L.-J., Chou, W.-J., Chou, M.-C., &amp; Chen, C.-K. (2014). Neurocognitive effects of aripiprazole in adolescents and young adults with schizophrenia. </w:t>
      </w:r>
      <w:r w:rsidRPr="00DB4C76">
        <w:rPr>
          <w:rFonts w:ascii="Times New Roman" w:eastAsia="Times New Roman" w:hAnsi="Times New Roman" w:cs="Times New Roman"/>
          <w:i/>
          <w:iCs/>
          <w:sz w:val="24"/>
          <w:szCs w:val="24"/>
        </w:rPr>
        <w:t>Nordic Journal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68</w:t>
      </w:r>
      <w:r w:rsidRPr="00DB4C76">
        <w:rPr>
          <w:rFonts w:ascii="Times New Roman" w:eastAsia="Times New Roman" w:hAnsi="Times New Roman" w:cs="Times New Roman"/>
          <w:sz w:val="24"/>
          <w:szCs w:val="24"/>
        </w:rPr>
        <w:t xml:space="preserve">(3), 219–224. </w:t>
      </w:r>
      <w:hyperlink r:id="rId6415" w:history="1">
        <w:r w:rsidRPr="00DB4C76">
          <w:rPr>
            <w:rFonts w:ascii="Times New Roman" w:eastAsia="Times New Roman" w:hAnsi="Times New Roman" w:cs="Times New Roman"/>
            <w:color w:val="0000FF"/>
            <w:sz w:val="24"/>
            <w:szCs w:val="24"/>
            <w:u w:val="single"/>
          </w:rPr>
          <w:t>https://doi.org/10.3109/08039488.2013.799228</w:t>
        </w:r>
      </w:hyperlink>
    </w:p>
    <w:p w14:paraId="28D1B38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Yeh, Z.-T., Lo, C.-Y., Tsai, M.-D., &amp; Tsai, M.-C. (2015). Mentalizing ability in patients with prefrontal cortex damage. </w:t>
      </w:r>
      <w:r w:rsidRPr="00DB4C76">
        <w:rPr>
          <w:rFonts w:ascii="Times New Roman" w:eastAsia="Times New Roman" w:hAnsi="Times New Roman" w:cs="Times New Roman"/>
          <w:i/>
          <w:iCs/>
          <w:sz w:val="24"/>
          <w:szCs w:val="24"/>
        </w:rPr>
        <w:t>Journal of Clinical and Experimental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(2), 128–139. </w:t>
      </w:r>
      <w:hyperlink r:id="rId6416" w:history="1">
        <w:r w:rsidRPr="00DB4C76">
          <w:rPr>
            <w:rFonts w:ascii="Times New Roman" w:eastAsia="Times New Roman" w:hAnsi="Times New Roman" w:cs="Times New Roman"/>
            <w:color w:val="0000FF"/>
            <w:sz w:val="24"/>
            <w:szCs w:val="24"/>
            <w:u w:val="single"/>
          </w:rPr>
          <w:t>https://doi.org/10.1080/13803395.2014.992864</w:t>
        </w:r>
      </w:hyperlink>
    </w:p>
    <w:p w14:paraId="0FE04C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Yeh, Z.-T., Tsai, M.-C., Tsai, M.-D., Lo, C.-Y., &amp; Wang, K.-C. (2017). The relationship between theory of mind and the executive functions: Evidence from patients with frontal lobe damage.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(4), 342–349. </w:t>
      </w:r>
      <w:hyperlink r:id="rId6417" w:history="1">
        <w:r w:rsidRPr="00DB4C76">
          <w:rPr>
            <w:rFonts w:ascii="Times New Roman" w:eastAsia="Times New Roman" w:hAnsi="Times New Roman" w:cs="Times New Roman"/>
            <w:color w:val="0000FF"/>
            <w:sz w:val="24"/>
            <w:szCs w:val="24"/>
            <w:u w:val="single"/>
          </w:rPr>
          <w:t>https://doi.org/10.1080/23279095.2016.1185425</w:t>
        </w:r>
      </w:hyperlink>
    </w:p>
    <w:p w14:paraId="2AE2E4C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 C.-F., Cheng, C.-P., Huang, C.-F., Ko, C.-H., Yen, J.-Y., Chang, Y.-P., &amp; Chen, C.-S. (2009). Relationship between psychosocial adjustment and executive function in patients with bipolar disorder and schizophrenia in remission: The mediating and moderating effects of insight.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(2), 190–197. </w:t>
      </w:r>
      <w:hyperlink r:id="rId6418" w:history="1">
        <w:r w:rsidRPr="00DB4C76">
          <w:rPr>
            <w:rFonts w:ascii="Times New Roman" w:eastAsia="Times New Roman" w:hAnsi="Times New Roman" w:cs="Times New Roman"/>
            <w:color w:val="0000FF"/>
            <w:sz w:val="24"/>
            <w:szCs w:val="24"/>
            <w:u w:val="single"/>
          </w:rPr>
          <w:t>https://doi.org/10.1111/j.1399-5618.2008.00650.x</w:t>
        </w:r>
      </w:hyperlink>
    </w:p>
    <w:p w14:paraId="5D6E59F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 C.-F., Chung, L.-C., &amp; Chen, C.-S. (2002). Insight and neuropsychological functions in bipolar outpatients in remission.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190</w:t>
      </w:r>
      <w:r w:rsidRPr="00DB4C76">
        <w:rPr>
          <w:rFonts w:ascii="Times New Roman" w:eastAsia="Times New Roman" w:hAnsi="Times New Roman" w:cs="Times New Roman"/>
          <w:sz w:val="24"/>
          <w:szCs w:val="24"/>
        </w:rPr>
        <w:t xml:space="preserve">(10), 713–715. </w:t>
      </w:r>
      <w:hyperlink r:id="rId6419" w:history="1">
        <w:r w:rsidRPr="00DB4C76">
          <w:rPr>
            <w:rFonts w:ascii="Times New Roman" w:eastAsia="Times New Roman" w:hAnsi="Times New Roman" w:cs="Times New Roman"/>
            <w:color w:val="0000FF"/>
            <w:sz w:val="24"/>
            <w:szCs w:val="24"/>
            <w:u w:val="single"/>
          </w:rPr>
          <w:t>https://doi.org/10.1097/00005053-200210000-00011</w:t>
        </w:r>
      </w:hyperlink>
    </w:p>
    <w:p w14:paraId="6D7E25C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 C.-H., Yeh, Y.-W., Liang, C.-S., Ho, P.-S., Kuo, S.-C., Huang, C.-C., Chen, C.-Y., Shih, M.-C., Ma, K.-H., Peng, G.-S., Lu, R.-B., &amp; Huang, S.-Y. (2015). Reduced dopamine transporter availability and neurocognitive deficits in male patients with alcohol dependence.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(6).</w:t>
      </w:r>
    </w:p>
    <w:p w14:paraId="1B7B52D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Yeniad, N., Malda, M., Mesman, J., van IJzendoorn, M. H., &amp; Pieper, S. (2013). Shifting ability predicts math and reading performance in children: A meta-analytical study. </w:t>
      </w:r>
      <w:r w:rsidRPr="00DB4C76">
        <w:rPr>
          <w:rFonts w:ascii="Times New Roman" w:eastAsia="Times New Roman" w:hAnsi="Times New Roman" w:cs="Times New Roman"/>
          <w:i/>
          <w:iCs/>
          <w:sz w:val="24"/>
          <w:szCs w:val="24"/>
        </w:rPr>
        <w:t>Learning and Individual Differences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 1–9. </w:t>
      </w:r>
      <w:hyperlink r:id="rId6420" w:history="1">
        <w:r w:rsidRPr="00DB4C76">
          <w:rPr>
            <w:rFonts w:ascii="Times New Roman" w:eastAsia="Times New Roman" w:hAnsi="Times New Roman" w:cs="Times New Roman"/>
            <w:color w:val="0000FF"/>
            <w:sz w:val="24"/>
            <w:szCs w:val="24"/>
            <w:u w:val="single"/>
          </w:rPr>
          <w:t>https://doi.org/10.1016/j.lindif.2012.10.004</w:t>
        </w:r>
      </w:hyperlink>
    </w:p>
    <w:p w14:paraId="652550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Yeniceri, N., &amp; Altan-Atalay, A. (2011). Age-related changes in the Wisconsin Card Sorting Test performances of 8- to 11-year-old Turkish children. </w:t>
      </w:r>
      <w:r w:rsidRPr="00DB4C76">
        <w:rPr>
          <w:rFonts w:ascii="Times New Roman" w:eastAsia="Times New Roman" w:hAnsi="Times New Roman" w:cs="Times New Roman"/>
          <w:i/>
          <w:iCs/>
          <w:sz w:val="24"/>
          <w:szCs w:val="24"/>
        </w:rPr>
        <w:t>The Clinical Neuropsychologist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(7), 1179–1192. </w:t>
      </w:r>
      <w:hyperlink r:id="rId6421" w:history="1">
        <w:r w:rsidRPr="00DB4C76">
          <w:rPr>
            <w:rFonts w:ascii="Times New Roman" w:eastAsia="Times New Roman" w:hAnsi="Times New Roman" w:cs="Times New Roman"/>
            <w:color w:val="0000FF"/>
            <w:sz w:val="24"/>
            <w:szCs w:val="24"/>
            <w:u w:val="single"/>
          </w:rPr>
          <w:t>https://doi.org/10.1080/13854046.2011.613855</w:t>
        </w:r>
      </w:hyperlink>
    </w:p>
    <w:p w14:paraId="638595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Yeo, R. A., Gangestad, S. W., Walton, E., Ehrlich, S., Pommy, J., Turner, J. A., Liu, J., Mayer, A. R., Schulz, S. C., Ho, B.-C., Bustillo, J. R., Wassink, T. H., Sponheim, S. R., Morrow, E. M., &amp; Calhoun, V. D. (2014). Genetic influences on cognitive endophenotypes in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156</w:t>
      </w:r>
      <w:r w:rsidRPr="00DB4C76">
        <w:rPr>
          <w:rFonts w:ascii="Times New Roman" w:eastAsia="Times New Roman" w:hAnsi="Times New Roman" w:cs="Times New Roman"/>
          <w:sz w:val="24"/>
          <w:szCs w:val="24"/>
        </w:rPr>
        <w:t xml:space="preserve">(1), 71–75. </w:t>
      </w:r>
      <w:hyperlink r:id="rId6422" w:history="1">
        <w:r w:rsidRPr="00DB4C76">
          <w:rPr>
            <w:rFonts w:ascii="Times New Roman" w:eastAsia="Times New Roman" w:hAnsi="Times New Roman" w:cs="Times New Roman"/>
            <w:color w:val="0000FF"/>
            <w:sz w:val="24"/>
            <w:szCs w:val="24"/>
            <w:u w:val="single"/>
          </w:rPr>
          <w:t>https://doi.org/10.1016/j.schres.2014.03.022</w:t>
        </w:r>
      </w:hyperlink>
    </w:p>
    <w:p w14:paraId="16CAE3B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Yerlikaya, D., Emek-Savaş, D. D., Bircan Kurşun, B., Öztura, İ., &amp; Yener, G. G. (2018). Electrophysiological and neuropsychological outcomes of severe obstructive sleep apnea: Effects of hypoxemia on cognitive performance. </w:t>
      </w:r>
      <w:r w:rsidRPr="00DB4C76">
        <w:rPr>
          <w:rFonts w:ascii="Times New Roman" w:eastAsia="Times New Roman" w:hAnsi="Times New Roman" w:cs="Times New Roman"/>
          <w:i/>
          <w:iCs/>
          <w:sz w:val="24"/>
          <w:szCs w:val="24"/>
        </w:rPr>
        <w:t>Cognitive Neurodynamics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(5), 471–480. </w:t>
      </w:r>
      <w:hyperlink r:id="rId6423" w:history="1">
        <w:r w:rsidRPr="00DB4C76">
          <w:rPr>
            <w:rFonts w:ascii="Times New Roman" w:eastAsia="Times New Roman" w:hAnsi="Times New Roman" w:cs="Times New Roman"/>
            <w:color w:val="0000FF"/>
            <w:sz w:val="24"/>
            <w:szCs w:val="24"/>
            <w:u w:val="single"/>
          </w:rPr>
          <w:t>https://doi.org/10.1007/s11571-018-9487-z</w:t>
        </w:r>
      </w:hyperlink>
    </w:p>
    <w:p w14:paraId="008D9D6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Yerram, S., Glazman, S., &amp; Bodis-Wollner, I. (2013). Cortical control of saccades in Parkinson disease and essential tremor. </w:t>
      </w:r>
      <w:r w:rsidRPr="00DB4C76">
        <w:rPr>
          <w:rFonts w:ascii="Times New Roman" w:eastAsia="Times New Roman" w:hAnsi="Times New Roman" w:cs="Times New Roman"/>
          <w:i/>
          <w:iCs/>
          <w:sz w:val="24"/>
          <w:szCs w:val="24"/>
        </w:rPr>
        <w:t>Journal of Neural Transmission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120</w:t>
      </w:r>
      <w:r w:rsidRPr="00DB4C76">
        <w:rPr>
          <w:rFonts w:ascii="Times New Roman" w:eastAsia="Times New Roman" w:hAnsi="Times New Roman" w:cs="Times New Roman"/>
          <w:sz w:val="24"/>
          <w:szCs w:val="24"/>
        </w:rPr>
        <w:t xml:space="preserve">(1), 145–156. </w:t>
      </w:r>
      <w:hyperlink r:id="rId6424" w:history="1">
        <w:r w:rsidRPr="00DB4C76">
          <w:rPr>
            <w:rFonts w:ascii="Times New Roman" w:eastAsia="Times New Roman" w:hAnsi="Times New Roman" w:cs="Times New Roman"/>
            <w:color w:val="0000FF"/>
            <w:sz w:val="24"/>
            <w:szCs w:val="24"/>
            <w:u w:val="single"/>
          </w:rPr>
          <w:t>https://doi.org/10.1007/s00702-012-0870-3</w:t>
        </w:r>
      </w:hyperlink>
    </w:p>
    <w:p w14:paraId="53DB157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Yeung, M. K., Han, Y. M. Y., Sze, S. L., &amp; Chan, A. S. (2016). Abnormal frontal theta oscillations underlie the cognitive flexibility deficits in children with high-functioning autism spectrum disorders. </w:t>
      </w:r>
      <w:r w:rsidRPr="00DB4C76">
        <w:rPr>
          <w:rFonts w:ascii="Times New Roman" w:eastAsia="Times New Roman" w:hAnsi="Times New Roman" w:cs="Times New Roman"/>
          <w:i/>
          <w:iCs/>
          <w:sz w:val="24"/>
          <w:szCs w:val="24"/>
        </w:rPr>
        <w:t>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(3), 281–295. </w:t>
      </w:r>
      <w:hyperlink r:id="rId6425" w:history="1">
        <w:r w:rsidRPr="00DB4C76">
          <w:rPr>
            <w:rFonts w:ascii="Times New Roman" w:eastAsia="Times New Roman" w:hAnsi="Times New Roman" w:cs="Times New Roman"/>
            <w:color w:val="0000FF"/>
            <w:sz w:val="24"/>
            <w:szCs w:val="24"/>
            <w:u w:val="single"/>
          </w:rPr>
          <w:t>https://doi.org/10.1037/neu0000231</w:t>
        </w:r>
      </w:hyperlink>
    </w:p>
    <w:p w14:paraId="16D322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 Z., Fan, X., Wang, J., Liu, D., Freudenreich, O., Goff, D., &amp; Henderson, D. C. (2012). Rosiglitazone and cognitive function in clozapine-treated patients with schizophrenia: A pilot study.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200</w:t>
      </w:r>
      <w:r w:rsidRPr="00DB4C76">
        <w:rPr>
          <w:rFonts w:ascii="Times New Roman" w:eastAsia="Times New Roman" w:hAnsi="Times New Roman" w:cs="Times New Roman"/>
          <w:sz w:val="24"/>
          <w:szCs w:val="24"/>
        </w:rPr>
        <w:t xml:space="preserve">(2–3), 79–82. </w:t>
      </w:r>
      <w:hyperlink r:id="rId6426" w:history="1">
        <w:r w:rsidRPr="00DB4C76">
          <w:rPr>
            <w:rFonts w:ascii="Times New Roman" w:eastAsia="Times New Roman" w:hAnsi="Times New Roman" w:cs="Times New Roman"/>
            <w:color w:val="0000FF"/>
            <w:sz w:val="24"/>
            <w:szCs w:val="24"/>
            <w:u w:val="single"/>
          </w:rPr>
          <w:t>https://doi.org/10.1016/j.psychres.2012.05.020</w:t>
        </w:r>
      </w:hyperlink>
    </w:p>
    <w:p w14:paraId="3CDD0E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Yildiz, O., Sismanlar, S. G., Memik, N. C., Karakaya, I., &amp; Agaoglu, B. (2011). Atomoxetine and methylphenidate treatment in children with ADHD: The efficacy, tolerability and effects on executive functions. </w:t>
      </w:r>
      <w:r w:rsidRPr="00DB4C76">
        <w:rPr>
          <w:rFonts w:ascii="Times New Roman" w:eastAsia="Times New Roman" w:hAnsi="Times New Roman" w:cs="Times New Roman"/>
          <w:i/>
          <w:iCs/>
          <w:sz w:val="24"/>
          <w:szCs w:val="24"/>
        </w:rPr>
        <w:t>Child Psychiatry and Human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(3), 257–269. </w:t>
      </w:r>
      <w:hyperlink r:id="rId6427" w:history="1">
        <w:r w:rsidRPr="00DB4C76">
          <w:rPr>
            <w:rFonts w:ascii="Times New Roman" w:eastAsia="Times New Roman" w:hAnsi="Times New Roman" w:cs="Times New Roman"/>
            <w:color w:val="0000FF"/>
            <w:sz w:val="24"/>
            <w:szCs w:val="24"/>
            <w:u w:val="single"/>
          </w:rPr>
          <w:t>https://doi.org/10.1007/s10578-010-0212-3</w:t>
        </w:r>
      </w:hyperlink>
    </w:p>
    <w:p w14:paraId="077F99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Yilmaz, A., Gokcen, C., Fettahoglu, E. C., &amp; Ozatalay, E. (2013). The effect of methylphenidate on executive functions in children with Attention-Deficit Hyperactivity Disorder. </w:t>
      </w:r>
      <w:r w:rsidRPr="00DB4C76">
        <w:rPr>
          <w:rFonts w:ascii="Times New Roman" w:eastAsia="Times New Roman" w:hAnsi="Times New Roman" w:cs="Times New Roman"/>
          <w:i/>
          <w:iCs/>
          <w:sz w:val="24"/>
          <w:szCs w:val="24"/>
        </w:rPr>
        <w:t>Klinik Psikofarmakoloji Bülteni / Bulletin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 xml:space="preserve">(2), 162–170. </w:t>
      </w:r>
      <w:hyperlink r:id="rId6428" w:history="1">
        <w:r w:rsidRPr="00DB4C76">
          <w:rPr>
            <w:rFonts w:ascii="Times New Roman" w:eastAsia="Times New Roman" w:hAnsi="Times New Roman" w:cs="Times New Roman"/>
            <w:color w:val="0000FF"/>
            <w:sz w:val="24"/>
            <w:szCs w:val="24"/>
            <w:u w:val="single"/>
          </w:rPr>
          <w:t>https://doi.org/10.5455/bcp.20121130090251</w:t>
        </w:r>
      </w:hyperlink>
    </w:p>
    <w:p w14:paraId="453C59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Yilmaz, N., Mollahasanoglu, A., Gurvit, H., Can, M., Tuncer, N., İnanc, N., &amp; Yavuz, S. (2012). Dysexecutive syndrome: A specific pattern of cognitive impairment in systemic sclerosis. </w:t>
      </w:r>
      <w:r w:rsidRPr="00DB4C76">
        <w:rPr>
          <w:rFonts w:ascii="Times New Roman" w:eastAsia="Times New Roman" w:hAnsi="Times New Roman" w:cs="Times New Roman"/>
          <w:i/>
          <w:iCs/>
          <w:sz w:val="24"/>
          <w:szCs w:val="24"/>
        </w:rPr>
        <w:t>Cognitive and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(2), 57–62. </w:t>
      </w:r>
      <w:hyperlink r:id="rId6429" w:history="1">
        <w:r w:rsidRPr="00DB4C76">
          <w:rPr>
            <w:rFonts w:ascii="Times New Roman" w:eastAsia="Times New Roman" w:hAnsi="Times New Roman" w:cs="Times New Roman"/>
            <w:color w:val="0000FF"/>
            <w:sz w:val="24"/>
            <w:szCs w:val="24"/>
            <w:u w:val="single"/>
          </w:rPr>
          <w:t>https://doi.org/10.1097/WNN.0b013e3182593c75</w:t>
        </w:r>
      </w:hyperlink>
    </w:p>
    <w:p w14:paraId="374B82B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Yilmaz, S., &amp; Kafadar, H. (2020). Investigating the relationship between decision-making processes and cognitive processes, personality traits, and affect via the structural equation model in young adults.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(6), 558–569. </w:t>
      </w:r>
      <w:hyperlink r:id="rId6430" w:history="1">
        <w:r w:rsidRPr="00DB4C76">
          <w:rPr>
            <w:rFonts w:ascii="Times New Roman" w:eastAsia="Times New Roman" w:hAnsi="Times New Roman" w:cs="Times New Roman"/>
            <w:color w:val="0000FF"/>
            <w:sz w:val="24"/>
            <w:szCs w:val="24"/>
            <w:u w:val="single"/>
          </w:rPr>
          <w:t>https://doi.org/10.1080/23279095.2019.1576690</w:t>
        </w:r>
      </w:hyperlink>
    </w:p>
    <w:p w14:paraId="66E1DB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Yip, S. W., Sacco, K. A., George, T. P., &amp; Potenza, M. N. (2009). Risk/reward decision-making in schizophrenia: A preliminary examination of the influence of tobacco smoking and relationship to Wisconsin Card Sorting Task performance.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110</w:t>
      </w:r>
      <w:r w:rsidRPr="00DB4C76">
        <w:rPr>
          <w:rFonts w:ascii="Times New Roman" w:eastAsia="Times New Roman" w:hAnsi="Times New Roman" w:cs="Times New Roman"/>
          <w:sz w:val="24"/>
          <w:szCs w:val="24"/>
        </w:rPr>
        <w:t xml:space="preserve">(1–3), 156–164. </w:t>
      </w:r>
      <w:hyperlink r:id="rId6431" w:history="1">
        <w:r w:rsidRPr="00DB4C76">
          <w:rPr>
            <w:rFonts w:ascii="Times New Roman" w:eastAsia="Times New Roman" w:hAnsi="Times New Roman" w:cs="Times New Roman"/>
            <w:color w:val="0000FF"/>
            <w:sz w:val="24"/>
            <w:szCs w:val="24"/>
            <w:u w:val="single"/>
          </w:rPr>
          <w:t>https://doi.org/10.1016/j.schres.2009.01.012</w:t>
        </w:r>
      </w:hyperlink>
    </w:p>
    <w:p w14:paraId="019F58A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Yıldız, M., Kutlu, H., &amp; Tural, Ü. (2011). Şjzofrenide bilişsel işlevier nüfus ve klinik özelliklerden etkilenir mi? [Are the cognitive functions in schizophrenia affected by demographic and clinical characteristics?]. </w:t>
      </w:r>
      <w:r w:rsidRPr="00DB4C76">
        <w:rPr>
          <w:rFonts w:ascii="Times New Roman" w:eastAsia="Times New Roman" w:hAnsi="Times New Roman" w:cs="Times New Roman"/>
          <w:i/>
          <w:iCs/>
          <w:sz w:val="24"/>
          <w:szCs w:val="24"/>
        </w:rPr>
        <w:t>Klinik Psikofarmakoloji Bülteni / Bulletin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(2), 131–138. </w:t>
      </w:r>
      <w:hyperlink r:id="rId6432" w:history="1">
        <w:r w:rsidRPr="00DB4C76">
          <w:rPr>
            <w:rFonts w:ascii="Times New Roman" w:eastAsia="Times New Roman" w:hAnsi="Times New Roman" w:cs="Times New Roman"/>
            <w:color w:val="0000FF"/>
            <w:sz w:val="24"/>
            <w:szCs w:val="24"/>
            <w:u w:val="single"/>
          </w:rPr>
          <w:t>https://doi.org/10.5455/bcp.20110408022751</w:t>
        </w:r>
      </w:hyperlink>
    </w:p>
    <w:p w14:paraId="5917C65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Ylioja, S. G., Baird, A. D., &amp; Podell, K. (2009). Developing a spatial analogue of the Reliable Digit Span.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 xml:space="preserve">(8), 720–739. </w:t>
      </w:r>
      <w:hyperlink r:id="rId6433" w:history="1">
        <w:r w:rsidRPr="00DB4C76">
          <w:rPr>
            <w:rFonts w:ascii="Times New Roman" w:eastAsia="Times New Roman" w:hAnsi="Times New Roman" w:cs="Times New Roman"/>
            <w:color w:val="0000FF"/>
            <w:sz w:val="24"/>
            <w:szCs w:val="24"/>
            <w:u w:val="single"/>
          </w:rPr>
          <w:t>https://doi.org/10.1093/arclin/acp078</w:t>
        </w:r>
      </w:hyperlink>
    </w:p>
    <w:p w14:paraId="0020FE1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Yolken, R. H., Torrey, E. F., Lieberman, J. A., Yang, S., &amp; Dickerson, F. B. (2011). Serological evidence of exposure to herpes simplex virus type 1 is associated with cognitive deficits in the CATIE schizophrenia sample.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128</w:t>
      </w:r>
      <w:r w:rsidRPr="00DB4C76">
        <w:rPr>
          <w:rFonts w:ascii="Times New Roman" w:eastAsia="Times New Roman" w:hAnsi="Times New Roman" w:cs="Times New Roman"/>
          <w:sz w:val="24"/>
          <w:szCs w:val="24"/>
        </w:rPr>
        <w:t xml:space="preserve">(1–3), 61–65. </w:t>
      </w:r>
      <w:hyperlink r:id="rId6434" w:history="1">
        <w:r w:rsidRPr="00DB4C76">
          <w:rPr>
            <w:rFonts w:ascii="Times New Roman" w:eastAsia="Times New Roman" w:hAnsi="Times New Roman" w:cs="Times New Roman"/>
            <w:color w:val="0000FF"/>
            <w:sz w:val="24"/>
            <w:szCs w:val="24"/>
            <w:u w:val="single"/>
          </w:rPr>
          <w:t>https://doi.org/10.1016/j.schres.2011.01.020</w:t>
        </w:r>
      </w:hyperlink>
    </w:p>
    <w:p w14:paraId="0CC1127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Yong, E., Barbato, M., Penn, D. L., Keefe, R. S. E., Woods, S. W., Perkins, D. O., &amp; Addington, J. (2014). Exploratory analysis of social cognition and neurocognition in individuals at clinical high risk for psychosis.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218</w:t>
      </w:r>
      <w:r w:rsidRPr="00DB4C76">
        <w:rPr>
          <w:rFonts w:ascii="Times New Roman" w:eastAsia="Times New Roman" w:hAnsi="Times New Roman" w:cs="Times New Roman"/>
          <w:sz w:val="24"/>
          <w:szCs w:val="24"/>
        </w:rPr>
        <w:t xml:space="preserve">(1–2), 39–43. </w:t>
      </w:r>
      <w:hyperlink r:id="rId6435" w:history="1">
        <w:r w:rsidRPr="00DB4C76">
          <w:rPr>
            <w:rFonts w:ascii="Times New Roman" w:eastAsia="Times New Roman" w:hAnsi="Times New Roman" w:cs="Times New Roman"/>
            <w:color w:val="0000FF"/>
            <w:sz w:val="24"/>
            <w:szCs w:val="24"/>
            <w:u w:val="single"/>
          </w:rPr>
          <w:t>https://doi.org/10.1016/j.psychres.2014.04.003</w:t>
        </w:r>
      </w:hyperlink>
    </w:p>
    <w:p w14:paraId="65EE7C6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Yoon, S., Shin, C., &amp; Han, C. (2017). Depression and cognitive function in mild cognitive impairment: A 1-year follow-up study. </w:t>
      </w:r>
      <w:r w:rsidRPr="00DB4C76">
        <w:rPr>
          <w:rFonts w:ascii="Times New Roman" w:eastAsia="Times New Roman" w:hAnsi="Times New Roman" w:cs="Times New Roman"/>
          <w:i/>
          <w:iCs/>
          <w:sz w:val="24"/>
          <w:szCs w:val="24"/>
        </w:rPr>
        <w:t>Journal of Geriatric Psychiatry and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(5), 280–288. </w:t>
      </w:r>
      <w:hyperlink r:id="rId6436" w:history="1">
        <w:r w:rsidRPr="00DB4C76">
          <w:rPr>
            <w:rFonts w:ascii="Times New Roman" w:eastAsia="Times New Roman" w:hAnsi="Times New Roman" w:cs="Times New Roman"/>
            <w:color w:val="0000FF"/>
            <w:sz w:val="24"/>
            <w:szCs w:val="24"/>
            <w:u w:val="single"/>
          </w:rPr>
          <w:t>https://doi.org/10.1177/0891988717723741</w:t>
        </w:r>
      </w:hyperlink>
    </w:p>
    <w:p w14:paraId="092873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York, M. K., &amp; Strutt, A. M. (2015). A general approach to clinical neuropsychological assessment of movement disorders. In </w:t>
      </w:r>
      <w:r w:rsidRPr="00DB4C76">
        <w:rPr>
          <w:rFonts w:ascii="Times New Roman" w:eastAsia="Times New Roman" w:hAnsi="Times New Roman" w:cs="Times New Roman"/>
          <w:i/>
          <w:iCs/>
          <w:sz w:val="24"/>
          <w:szCs w:val="24"/>
        </w:rPr>
        <w:t>Clinical neuropsychology and cognitive neurology of Parkinson’s disease and other movement disorders.</w:t>
      </w:r>
      <w:r w:rsidRPr="00DB4C76">
        <w:rPr>
          <w:rFonts w:ascii="Times New Roman" w:eastAsia="Times New Roman" w:hAnsi="Times New Roman" w:cs="Times New Roman"/>
          <w:sz w:val="24"/>
          <w:szCs w:val="24"/>
        </w:rPr>
        <w:t xml:space="preserve"> (pp. 51–78). Oxford University Press.</w:t>
      </w:r>
    </w:p>
    <w:p w14:paraId="6FDD0C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Yoshida, K., Ogawa, K., Mototani, T., Inagaki, Y., Sawamura, D., Ikoma, K., &amp; Sakai, S. (2018). Flow experience enhances the effectiveness of attentional training: A pilot randomized controlled trial of patients with attention deficits after traumatic brain injury. </w:t>
      </w:r>
      <w:r w:rsidRPr="00DB4C76">
        <w:rPr>
          <w:rFonts w:ascii="Times New Roman" w:eastAsia="Times New Roman" w:hAnsi="Times New Roman" w:cs="Times New Roman"/>
          <w:i/>
          <w:iCs/>
          <w:sz w:val="24"/>
          <w:szCs w:val="24"/>
        </w:rPr>
        <w:t>NeuroRehabilitation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(2), 183–193. </w:t>
      </w:r>
      <w:hyperlink r:id="rId6437" w:history="1">
        <w:r w:rsidRPr="00DB4C76">
          <w:rPr>
            <w:rFonts w:ascii="Times New Roman" w:eastAsia="Times New Roman" w:hAnsi="Times New Roman" w:cs="Times New Roman"/>
            <w:color w:val="0000FF"/>
            <w:sz w:val="24"/>
            <w:szCs w:val="24"/>
            <w:u w:val="single"/>
          </w:rPr>
          <w:t>https://doi.org/10.3233/NRE-172396</w:t>
        </w:r>
      </w:hyperlink>
    </w:p>
    <w:p w14:paraId="0E43991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Yoshino, H., Tomiyama, H., Tachibana, N., Ogaki, K., Li, Y., Funayama, M., Hashimoto, T., Takashima, S., &amp; Hattori, N. (2010). Phenotypic spectrum of patients with PLA2G6 mutation and PARK14-linked parkinsonism.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(15), 1356–1361. </w:t>
      </w:r>
      <w:hyperlink r:id="rId6438" w:history="1">
        <w:r w:rsidRPr="00DB4C76">
          <w:rPr>
            <w:rFonts w:ascii="Times New Roman" w:eastAsia="Times New Roman" w:hAnsi="Times New Roman" w:cs="Times New Roman"/>
            <w:color w:val="0000FF"/>
            <w:sz w:val="24"/>
            <w:szCs w:val="24"/>
            <w:u w:val="single"/>
          </w:rPr>
          <w:t>https://doi.org/10.1212/WNL.0b013e3181f73649</w:t>
        </w:r>
      </w:hyperlink>
    </w:p>
    <w:p w14:paraId="5253AA6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Yoshizaki, K., Kuratomi, K., Kimura, Y., &amp; Kato, K. (2013). Age‐related change of location‐based visual selectivity depending on conflict frequency. </w:t>
      </w:r>
      <w:r w:rsidRPr="00DB4C76">
        <w:rPr>
          <w:rFonts w:ascii="Times New Roman" w:eastAsia="Times New Roman" w:hAnsi="Times New Roman" w:cs="Times New Roman"/>
          <w:i/>
          <w:iCs/>
          <w:sz w:val="24"/>
          <w:szCs w:val="24"/>
        </w:rPr>
        <w:t>Japanese Psychological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55</w:t>
      </w:r>
      <w:r w:rsidRPr="00DB4C76">
        <w:rPr>
          <w:rFonts w:ascii="Times New Roman" w:eastAsia="Times New Roman" w:hAnsi="Times New Roman" w:cs="Times New Roman"/>
          <w:sz w:val="24"/>
          <w:szCs w:val="24"/>
        </w:rPr>
        <w:t xml:space="preserve">(1), 72–83. </w:t>
      </w:r>
      <w:hyperlink r:id="rId6439" w:history="1">
        <w:r w:rsidRPr="00DB4C76">
          <w:rPr>
            <w:rFonts w:ascii="Times New Roman" w:eastAsia="Times New Roman" w:hAnsi="Times New Roman" w:cs="Times New Roman"/>
            <w:color w:val="0000FF"/>
            <w:sz w:val="24"/>
            <w:szCs w:val="24"/>
            <w:u w:val="single"/>
          </w:rPr>
          <w:t>https://doi.org/10.1111/j.1468-5884.2012.00534.x</w:t>
        </w:r>
      </w:hyperlink>
    </w:p>
    <w:p w14:paraId="6EBCA54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 Y. S., Lee, H. S., Jung, I. K., &amp; Lee, J. H. (1998). The study of the usefulness of computerized neuropsychological test (STIM) in traumatic brain-injury patients. [The study of the usefulness of computerized neuropsychological test (STIM) in traumatic brain-injury patients.]. </w:t>
      </w:r>
      <w:r w:rsidRPr="00DB4C76">
        <w:rPr>
          <w:rFonts w:ascii="Times New Roman" w:eastAsia="Times New Roman" w:hAnsi="Times New Roman" w:cs="Times New Roman"/>
          <w:i/>
          <w:iCs/>
          <w:sz w:val="24"/>
          <w:szCs w:val="24"/>
        </w:rPr>
        <w:t>Korean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(2), 133–147.</w:t>
      </w:r>
    </w:p>
    <w:p w14:paraId="561D84A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Davila, R., &amp; Sher, H. (1993). Unawareness of illness and neuropsychological performance in chronic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(2), 117–124. </w:t>
      </w:r>
      <w:hyperlink r:id="rId6440" w:history="1">
        <w:r w:rsidRPr="00DB4C76">
          <w:rPr>
            <w:rFonts w:ascii="Times New Roman" w:eastAsia="Times New Roman" w:hAnsi="Times New Roman" w:cs="Times New Roman"/>
            <w:color w:val="0000FF"/>
            <w:sz w:val="24"/>
            <w:szCs w:val="24"/>
            <w:u w:val="single"/>
          </w:rPr>
          <w:t>https://doi.org/10.1016/0920-9964(93)90046-L</w:t>
        </w:r>
      </w:hyperlink>
    </w:p>
    <w:p w14:paraId="457728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&amp; Freyslinger, M. G. (1995). Scaffolded instruction and the remediation of Wisconsin Card Sorting Test deficits in chronic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(3), 199–207. </w:t>
      </w:r>
      <w:hyperlink r:id="rId6441" w:history="1">
        <w:r w:rsidRPr="00DB4C76">
          <w:rPr>
            <w:rFonts w:ascii="Times New Roman" w:eastAsia="Times New Roman" w:hAnsi="Times New Roman" w:cs="Times New Roman"/>
            <w:color w:val="0000FF"/>
            <w:sz w:val="24"/>
            <w:szCs w:val="24"/>
            <w:u w:val="single"/>
          </w:rPr>
          <w:t>https://doi.org/10.1016/0920-9964(94)00074-I</w:t>
        </w:r>
      </w:hyperlink>
    </w:p>
    <w:p w14:paraId="075C7FC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Zakzanis, K. K., Bailey, C., Davila, R., Griese, J., Sartory, G., &amp; Thom, A. (1998). Further parameters of insight and neuropsychological deficit in schizophrenia and other chronic mental disease. </w:t>
      </w:r>
      <w:r w:rsidRPr="00DB4C76">
        <w:rPr>
          <w:rFonts w:ascii="Times New Roman" w:eastAsia="Times New Roman" w:hAnsi="Times New Roman" w:cs="Times New Roman"/>
          <w:i/>
          <w:iCs/>
          <w:sz w:val="24"/>
          <w:szCs w:val="24"/>
        </w:rPr>
        <w:t>Journal of Nervous and Mental Disease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186</w:t>
      </w:r>
      <w:r w:rsidRPr="00DB4C76">
        <w:rPr>
          <w:rFonts w:ascii="Times New Roman" w:eastAsia="Times New Roman" w:hAnsi="Times New Roman" w:cs="Times New Roman"/>
          <w:sz w:val="24"/>
          <w:szCs w:val="24"/>
        </w:rPr>
        <w:t xml:space="preserve">(1), 44–50. </w:t>
      </w:r>
      <w:hyperlink r:id="rId6442" w:history="1">
        <w:r w:rsidRPr="00DB4C76">
          <w:rPr>
            <w:rFonts w:ascii="Times New Roman" w:eastAsia="Times New Roman" w:hAnsi="Times New Roman" w:cs="Times New Roman"/>
            <w:color w:val="0000FF"/>
            <w:sz w:val="24"/>
            <w:szCs w:val="24"/>
            <w:u w:val="single"/>
          </w:rPr>
          <w:t>https://doi.org/10.1097/00005053-199801000-00007</w:t>
        </w:r>
      </w:hyperlink>
    </w:p>
    <w:p w14:paraId="029F7A4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D. A., Zakzanis, K. K., Campbell, Z., Freyslinger, M. G., &amp; Meichenbaum, D. H. (2002). Scaffolded instruction remediates Wisconsin Card Sorting Test deficits in schizophrenia: A comparison to other techniques. </w:t>
      </w:r>
      <w:r w:rsidRPr="00DB4C76">
        <w:rPr>
          <w:rFonts w:ascii="Times New Roman" w:eastAsia="Times New Roman" w:hAnsi="Times New Roman" w:cs="Times New Roman"/>
          <w:i/>
          <w:iCs/>
          <w:sz w:val="24"/>
          <w:szCs w:val="24"/>
        </w:rPr>
        <w:t>Neuropsychological 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w:t>
      </w:r>
      <w:r w:rsidRPr="00DB4C76">
        <w:rPr>
          <w:rFonts w:ascii="Times New Roman" w:eastAsia="Times New Roman" w:hAnsi="Times New Roman" w:cs="Times New Roman"/>
          <w:sz w:val="24"/>
          <w:szCs w:val="24"/>
        </w:rPr>
        <w:t xml:space="preserve">(3), 257–287. </w:t>
      </w:r>
      <w:hyperlink r:id="rId6443" w:history="1">
        <w:r w:rsidRPr="00DB4C76">
          <w:rPr>
            <w:rFonts w:ascii="Times New Roman" w:eastAsia="Times New Roman" w:hAnsi="Times New Roman" w:cs="Times New Roman"/>
            <w:color w:val="0000FF"/>
            <w:sz w:val="24"/>
            <w:szCs w:val="24"/>
            <w:u w:val="single"/>
          </w:rPr>
          <w:t>https://doi.org/10.1080/0960201044000066</w:t>
        </w:r>
      </w:hyperlink>
    </w:p>
    <w:p w14:paraId="3B2275A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J. C., Caron, J. E., Baughman, B. C., &amp; Sawyer, R. J. (2012). Detection of suboptimal effort with symbol span: Development of a new embedded index.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(2), 159–164. </w:t>
      </w:r>
      <w:hyperlink r:id="rId6444" w:history="1">
        <w:r w:rsidRPr="00DB4C76">
          <w:rPr>
            <w:rFonts w:ascii="Times New Roman" w:eastAsia="Times New Roman" w:hAnsi="Times New Roman" w:cs="Times New Roman"/>
            <w:color w:val="0000FF"/>
            <w:sz w:val="24"/>
            <w:szCs w:val="24"/>
            <w:u w:val="single"/>
          </w:rPr>
          <w:t>https://doi.org/10.1093/arclin/acr109</w:t>
        </w:r>
      </w:hyperlink>
    </w:p>
    <w:p w14:paraId="340806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M. H., Justice, J., &amp; Erdberg, P. (2012). A comparison of rape and molest offenders in prison psychiatric treatment. </w:t>
      </w:r>
      <w:r w:rsidRPr="00DB4C76">
        <w:rPr>
          <w:rFonts w:ascii="Times New Roman" w:eastAsia="Times New Roman" w:hAnsi="Times New Roman" w:cs="Times New Roman"/>
          <w:i/>
          <w:iCs/>
          <w:sz w:val="24"/>
          <w:szCs w:val="24"/>
        </w:rPr>
        <w:t>International Journal of Offender Therapy and Comparative Criminology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(7), 1103–1123. </w:t>
      </w:r>
      <w:hyperlink r:id="rId6445" w:history="1">
        <w:r w:rsidRPr="00DB4C76">
          <w:rPr>
            <w:rFonts w:ascii="Times New Roman" w:eastAsia="Times New Roman" w:hAnsi="Times New Roman" w:cs="Times New Roman"/>
            <w:color w:val="0000FF"/>
            <w:sz w:val="24"/>
            <w:szCs w:val="24"/>
            <w:u w:val="single"/>
          </w:rPr>
          <w:t>https://doi.org/10.1177/0306624X11417361</w:t>
        </w:r>
      </w:hyperlink>
    </w:p>
    <w:p w14:paraId="32FB7D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 M. H., Justice, J. V., &amp; Edberg, P. (2010). Sexual offenders in prison psychiatric treatment: A biopsychosocial description. </w:t>
      </w:r>
      <w:r w:rsidRPr="00DB4C76">
        <w:rPr>
          <w:rFonts w:ascii="Times New Roman" w:eastAsia="Times New Roman" w:hAnsi="Times New Roman" w:cs="Times New Roman"/>
          <w:i/>
          <w:iCs/>
          <w:sz w:val="24"/>
          <w:szCs w:val="24"/>
        </w:rPr>
        <w:t>International Journal of Offender Therapy and Comparative Criminology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54</w:t>
      </w:r>
      <w:r w:rsidRPr="00DB4C76">
        <w:rPr>
          <w:rFonts w:ascii="Times New Roman" w:eastAsia="Times New Roman" w:hAnsi="Times New Roman" w:cs="Times New Roman"/>
          <w:sz w:val="24"/>
          <w:szCs w:val="24"/>
        </w:rPr>
        <w:t xml:space="preserve">(1), 92–112. </w:t>
      </w:r>
      <w:hyperlink r:id="rId6446" w:history="1">
        <w:r w:rsidRPr="00DB4C76">
          <w:rPr>
            <w:rFonts w:ascii="Times New Roman" w:eastAsia="Times New Roman" w:hAnsi="Times New Roman" w:cs="Times New Roman"/>
            <w:color w:val="0000FF"/>
            <w:sz w:val="24"/>
            <w:szCs w:val="24"/>
            <w:u w:val="single"/>
          </w:rPr>
          <w:t>https://doi.org/10.1177/0306624X08322373</w:t>
        </w:r>
      </w:hyperlink>
    </w:p>
    <w:p w14:paraId="75060E8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Young-Bernier, M., Kamil, Y., Tremblay, F., &amp; Davidson, P. S. R. (2012). Associations between a neurophysiological marker of central cholinergic activity and cognitive functions in young and older adults. </w:t>
      </w:r>
      <w:r w:rsidRPr="00DB4C76">
        <w:rPr>
          <w:rFonts w:ascii="Times New Roman" w:eastAsia="Times New Roman" w:hAnsi="Times New Roman" w:cs="Times New Roman"/>
          <w:i/>
          <w:iCs/>
          <w:sz w:val="24"/>
          <w:szCs w:val="24"/>
        </w:rPr>
        <w:t>Behavioral and Brain Functions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447" w:history="1">
        <w:r w:rsidRPr="00DB4C76">
          <w:rPr>
            <w:rFonts w:ascii="Times New Roman" w:eastAsia="Times New Roman" w:hAnsi="Times New Roman" w:cs="Times New Roman"/>
            <w:color w:val="0000FF"/>
            <w:sz w:val="24"/>
            <w:szCs w:val="24"/>
            <w:u w:val="single"/>
          </w:rPr>
          <w:t>https://doi.org/10.1186/1744-9081-8-17</w:t>
        </w:r>
      </w:hyperlink>
    </w:p>
    <w:p w14:paraId="04689A3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 R.-L., Wu, R.-M., Tai, C.-H., Lin, C.-H., Cheng, T.-W., &amp; Hua, M.-S. (2012). Neuropsychological profile in patients with early stage of parkinson’s disease in taiwan. </w:t>
      </w:r>
      <w:r w:rsidRPr="00DB4C76">
        <w:rPr>
          <w:rFonts w:ascii="Times New Roman" w:eastAsia="Times New Roman" w:hAnsi="Times New Roman" w:cs="Times New Roman"/>
          <w:i/>
          <w:iCs/>
          <w:sz w:val="24"/>
          <w:szCs w:val="24"/>
        </w:rPr>
        <w:t>Parkinsonism &amp; Related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(10), 1067–1072. </w:t>
      </w:r>
      <w:hyperlink r:id="rId6448" w:history="1">
        <w:r w:rsidRPr="00DB4C76">
          <w:rPr>
            <w:rFonts w:ascii="Times New Roman" w:eastAsia="Times New Roman" w:hAnsi="Times New Roman" w:cs="Times New Roman"/>
            <w:color w:val="0000FF"/>
            <w:sz w:val="24"/>
            <w:szCs w:val="24"/>
            <w:u w:val="single"/>
          </w:rPr>
          <w:t>https://doi.org/10.1016/j.parkreldis.2012.06.002</w:t>
        </w:r>
      </w:hyperlink>
    </w:p>
    <w:p w14:paraId="3BF171A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 Y. W.-Y., Tsai, S.-J., Hong, C.-J., Chen, M.-C., Yang, C.-W., &amp; Chen, T.-J. (2005). Association Study of a Functional MAOA-uVNTR Gene Polymorphism and Cognitive Function in Healthy Females. </w:t>
      </w:r>
      <w:r w:rsidRPr="00DB4C76">
        <w:rPr>
          <w:rFonts w:ascii="Times New Roman" w:eastAsia="Times New Roman" w:hAnsi="Times New Roman" w:cs="Times New Roman"/>
          <w:i/>
          <w:iCs/>
          <w:sz w:val="24"/>
          <w:szCs w:val="24"/>
        </w:rPr>
        <w:t>Neuropsychobiology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52</w:t>
      </w:r>
      <w:r w:rsidRPr="00DB4C76">
        <w:rPr>
          <w:rFonts w:ascii="Times New Roman" w:eastAsia="Times New Roman" w:hAnsi="Times New Roman" w:cs="Times New Roman"/>
          <w:sz w:val="24"/>
          <w:szCs w:val="24"/>
        </w:rPr>
        <w:t xml:space="preserve">(2), 77–82. </w:t>
      </w:r>
      <w:hyperlink r:id="rId6449" w:history="1">
        <w:r w:rsidRPr="00DB4C76">
          <w:rPr>
            <w:rFonts w:ascii="Times New Roman" w:eastAsia="Times New Roman" w:hAnsi="Times New Roman" w:cs="Times New Roman"/>
            <w:color w:val="0000FF"/>
            <w:sz w:val="24"/>
            <w:szCs w:val="24"/>
            <w:u w:val="single"/>
          </w:rPr>
          <w:t>https://doi.org/10.1159/000086609</w:t>
        </w:r>
      </w:hyperlink>
    </w:p>
    <w:p w14:paraId="38A29B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 Y., Yang, D., &amp; Zhao, J. (2015). The cognitive function in treatment-resistant depression. [The cognitive function in treatment-resistant depression.].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23</w:t>
      </w:r>
      <w:r w:rsidRPr="00DB4C76">
        <w:rPr>
          <w:rFonts w:ascii="Times New Roman" w:eastAsia="Times New Roman" w:hAnsi="Times New Roman" w:cs="Times New Roman"/>
          <w:sz w:val="24"/>
          <w:szCs w:val="24"/>
        </w:rPr>
        <w:t>(1), 101–103.</w:t>
      </w:r>
    </w:p>
    <w:p w14:paraId="513C99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Yuan, P., &amp; Raz, N. (2014). Prefrontal cortex and executive functions in healthy adults: A meta-analysis of structural neuroimaging studies. </w:t>
      </w:r>
      <w:r w:rsidRPr="00DB4C76">
        <w:rPr>
          <w:rFonts w:ascii="Times New Roman" w:eastAsia="Times New Roman" w:hAnsi="Times New Roman" w:cs="Times New Roman"/>
          <w:i/>
          <w:iCs/>
          <w:sz w:val="24"/>
          <w:szCs w:val="24"/>
        </w:rPr>
        <w:t>Neuroscience and Biobehavioral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 180–192. </w:t>
      </w:r>
      <w:hyperlink r:id="rId6450" w:history="1">
        <w:r w:rsidRPr="00DB4C76">
          <w:rPr>
            <w:rFonts w:ascii="Times New Roman" w:eastAsia="Times New Roman" w:hAnsi="Times New Roman" w:cs="Times New Roman"/>
            <w:color w:val="0000FF"/>
            <w:sz w:val="24"/>
            <w:szCs w:val="24"/>
            <w:u w:val="single"/>
          </w:rPr>
          <w:t>https://doi.org/10.1016/j.neubiorev.2014.02.005</w:t>
        </w:r>
      </w:hyperlink>
    </w:p>
    <w:p w14:paraId="1CCEB5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Yubero, R., Gil, P., Paul, N., &amp; Maestú, F. (2011). Influence of memory strategies on memory test performance: A study in healthy and pathological aging. </w:t>
      </w:r>
      <w:r w:rsidRPr="00DB4C76">
        <w:rPr>
          <w:rFonts w:ascii="Times New Roman" w:eastAsia="Times New Roman" w:hAnsi="Times New Roman" w:cs="Times New Roman"/>
          <w:i/>
          <w:iCs/>
          <w:sz w:val="24"/>
          <w:szCs w:val="24"/>
        </w:rPr>
        <w:t>Aging, Neuropsychology,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(5), 497–515. </w:t>
      </w:r>
      <w:hyperlink r:id="rId6451" w:history="1">
        <w:r w:rsidRPr="00DB4C76">
          <w:rPr>
            <w:rFonts w:ascii="Times New Roman" w:eastAsia="Times New Roman" w:hAnsi="Times New Roman" w:cs="Times New Roman"/>
            <w:color w:val="0000FF"/>
            <w:sz w:val="24"/>
            <w:szCs w:val="24"/>
            <w:u w:val="single"/>
          </w:rPr>
          <w:t>https://doi.org/10.1080/13825585.2011.597840</w:t>
        </w:r>
      </w:hyperlink>
    </w:p>
    <w:p w14:paraId="411ED69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Yulaf, Y., Gümştaş, F., Gökçe, S., &amp; Yazgan, Y. (2018). Executive functions profile in children and adolescents with or without ADHD: By using performance-based measures and homework and work habits questionnaire. </w:t>
      </w:r>
      <w:r w:rsidRPr="00DB4C76">
        <w:rPr>
          <w:rFonts w:ascii="Times New Roman" w:eastAsia="Times New Roman" w:hAnsi="Times New Roman" w:cs="Times New Roman"/>
          <w:i/>
          <w:iCs/>
          <w:sz w:val="24"/>
          <w:szCs w:val="24"/>
        </w:rPr>
        <w:t>Psychiatry and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(Suppl 1), 283–286.</w:t>
      </w:r>
    </w:p>
    <w:p w14:paraId="571A80B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Yuncu, Z., Zorlu, N., Saatcioglu, H., Basay, B., Basay, O., Zorlu, P. K., Kitis, O., &amp; Gelal, F. (2015). Abnormal white matter integrity and impairment of cognitive abilities in adolescent inhalant abusers. </w:t>
      </w:r>
      <w:r w:rsidRPr="00DB4C76">
        <w:rPr>
          <w:rFonts w:ascii="Times New Roman" w:eastAsia="Times New Roman" w:hAnsi="Times New Roman" w:cs="Times New Roman"/>
          <w:i/>
          <w:iCs/>
          <w:sz w:val="24"/>
          <w:szCs w:val="24"/>
        </w:rPr>
        <w:t>Neurotoxicology and Teratology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47</w:t>
      </w:r>
      <w:r w:rsidRPr="00DB4C76">
        <w:rPr>
          <w:rFonts w:ascii="Times New Roman" w:eastAsia="Times New Roman" w:hAnsi="Times New Roman" w:cs="Times New Roman"/>
          <w:sz w:val="24"/>
          <w:szCs w:val="24"/>
        </w:rPr>
        <w:t xml:space="preserve">, 89–95. </w:t>
      </w:r>
      <w:hyperlink r:id="rId6452" w:history="1">
        <w:r w:rsidRPr="00DB4C76">
          <w:rPr>
            <w:rFonts w:ascii="Times New Roman" w:eastAsia="Times New Roman" w:hAnsi="Times New Roman" w:cs="Times New Roman"/>
            <w:color w:val="0000FF"/>
            <w:sz w:val="24"/>
            <w:szCs w:val="24"/>
            <w:u w:val="single"/>
          </w:rPr>
          <w:t>https://doi.org/10.1016/j.ntt.2014.11.009</w:t>
        </w:r>
      </w:hyperlink>
    </w:p>
    <w:p w14:paraId="2EC9F3D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Yun-fei, Z. (2005). A Preliminary Study of Cognitive Dysfunction in Obsessive-compulsive Disorder. [A Preliminary Study of Cognitive Dysfunction in Obsessive-compulsive Disorder.].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(3), 337–339.</w:t>
      </w:r>
    </w:p>
    <w:p w14:paraId="149C010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Yunlong, T., Yizhuang, Z., &amp; Ying, Q. (2003). Frontal lobe executive function on patients with major depression and OCD. [Frontal lobe executive function on patients with major depression and OCD.].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(9), 617–619.</w:t>
      </w:r>
    </w:p>
    <w:p w14:paraId="3FE1454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Yurgelun-Todd, D. A., &amp; Kinney, D. K. (1993). Perinatal complications associated with Wisconsin Card Sort Performance in nonschizophrenics: Preliminary findings. </w:t>
      </w:r>
      <w:r w:rsidRPr="00DB4C76">
        <w:rPr>
          <w:rFonts w:ascii="Times New Roman" w:eastAsia="Times New Roman" w:hAnsi="Times New Roman" w:cs="Times New Roman"/>
          <w:i/>
          <w:iCs/>
          <w:sz w:val="24"/>
          <w:szCs w:val="24"/>
        </w:rPr>
        <w:t>Neuropsychiatry, Neuropsychology, &amp;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w:t>
      </w:r>
      <w:r w:rsidRPr="00DB4C76">
        <w:rPr>
          <w:rFonts w:ascii="Times New Roman" w:eastAsia="Times New Roman" w:hAnsi="Times New Roman" w:cs="Times New Roman"/>
          <w:sz w:val="24"/>
          <w:szCs w:val="24"/>
        </w:rPr>
        <w:t>(2), 77–82.</w:t>
      </w:r>
    </w:p>
    <w:p w14:paraId="402BDB2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Zabala, A., Eguiluz, J. I., Segarra, R., Enjuto, S., Ezcurra, J., Pinto, A. G., &amp; Gutiérrez, M. (2009). Cognitive performance and cigarette smoking in first-episode psychosis.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259</w:t>
      </w:r>
      <w:r w:rsidRPr="00DB4C76">
        <w:rPr>
          <w:rFonts w:ascii="Times New Roman" w:eastAsia="Times New Roman" w:hAnsi="Times New Roman" w:cs="Times New Roman"/>
          <w:sz w:val="24"/>
          <w:szCs w:val="24"/>
        </w:rPr>
        <w:t xml:space="preserve">(2), 65–71. </w:t>
      </w:r>
      <w:hyperlink r:id="rId6453" w:history="1">
        <w:r w:rsidRPr="00DB4C76">
          <w:rPr>
            <w:rFonts w:ascii="Times New Roman" w:eastAsia="Times New Roman" w:hAnsi="Times New Roman" w:cs="Times New Roman"/>
            <w:color w:val="0000FF"/>
            <w:sz w:val="24"/>
            <w:szCs w:val="24"/>
            <w:u w:val="single"/>
          </w:rPr>
          <w:t>https://doi.org/10.1007/s00406-008-0835-6</w:t>
        </w:r>
      </w:hyperlink>
    </w:p>
    <w:p w14:paraId="6D828A7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Zabel, T. A., Slomine, B., Brady, K., &amp; Christensen, J. (2005). Neuropsychological Profile Following Suicide Attempt by Hanging: Two Adolescent Case Reports. </w:t>
      </w:r>
      <w:r w:rsidRPr="00DB4C76">
        <w:rPr>
          <w:rFonts w:ascii="Times New Roman" w:eastAsia="Times New Roman" w:hAnsi="Times New Roman" w:cs="Times New Roman"/>
          <w:i/>
          <w:iCs/>
          <w:sz w:val="24"/>
          <w:szCs w:val="24"/>
        </w:rPr>
        <w:t>Child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(4), 373–388. </w:t>
      </w:r>
      <w:hyperlink r:id="rId6454" w:history="1">
        <w:r w:rsidRPr="00DB4C76">
          <w:rPr>
            <w:rFonts w:ascii="Times New Roman" w:eastAsia="Times New Roman" w:hAnsi="Times New Roman" w:cs="Times New Roman"/>
            <w:color w:val="0000FF"/>
            <w:sz w:val="24"/>
            <w:szCs w:val="24"/>
            <w:u w:val="single"/>
          </w:rPr>
          <w:t>https://doi.org/10.1080/09297040490916965</w:t>
        </w:r>
      </w:hyperlink>
    </w:p>
    <w:p w14:paraId="4407767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Zaccariello, M. J. (2008a). A hunt for the elusive neuropsychological impairment: Conversion disorder. In </w:t>
      </w:r>
      <w:r w:rsidRPr="00DB4C76">
        <w:rPr>
          <w:rFonts w:ascii="Times New Roman" w:eastAsia="Times New Roman" w:hAnsi="Times New Roman" w:cs="Times New Roman"/>
          <w:i/>
          <w:iCs/>
          <w:sz w:val="24"/>
          <w:szCs w:val="24"/>
        </w:rPr>
        <w:t>Pediatric neuropsychology case studies: From the exceptional to the commonplace.</w:t>
      </w:r>
      <w:r w:rsidRPr="00DB4C76">
        <w:rPr>
          <w:rFonts w:ascii="Times New Roman" w:eastAsia="Times New Roman" w:hAnsi="Times New Roman" w:cs="Times New Roman"/>
          <w:sz w:val="24"/>
          <w:szCs w:val="24"/>
        </w:rPr>
        <w:t xml:space="preserve"> (pp. 335–342). Springer Science + Business Media. </w:t>
      </w:r>
      <w:hyperlink r:id="rId6455" w:history="1">
        <w:r w:rsidRPr="00DB4C76">
          <w:rPr>
            <w:rFonts w:ascii="Times New Roman" w:eastAsia="Times New Roman" w:hAnsi="Times New Roman" w:cs="Times New Roman"/>
            <w:color w:val="0000FF"/>
            <w:sz w:val="24"/>
            <w:szCs w:val="24"/>
            <w:u w:val="single"/>
          </w:rPr>
          <w:t>https://doi.org/10.1007/978-0-387-78965-1_31</w:t>
        </w:r>
      </w:hyperlink>
    </w:p>
    <w:p w14:paraId="6D5773F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Zaccariello, M. J. (2008b). The Energizer Bunny meets Shirley Temple: Attention deficit hyperactivity disorder, combined type. In </w:t>
      </w:r>
      <w:r w:rsidRPr="00DB4C76">
        <w:rPr>
          <w:rFonts w:ascii="Times New Roman" w:eastAsia="Times New Roman" w:hAnsi="Times New Roman" w:cs="Times New Roman"/>
          <w:i/>
          <w:iCs/>
          <w:sz w:val="24"/>
          <w:szCs w:val="24"/>
        </w:rPr>
        <w:t>Pediatric neuropsychology case studies: From the exceptional to the commonplace.</w:t>
      </w:r>
      <w:r w:rsidRPr="00DB4C76">
        <w:rPr>
          <w:rFonts w:ascii="Times New Roman" w:eastAsia="Times New Roman" w:hAnsi="Times New Roman" w:cs="Times New Roman"/>
          <w:sz w:val="24"/>
          <w:szCs w:val="24"/>
        </w:rPr>
        <w:t xml:space="preserve"> (pp. 141–149). Springer Science + Business Media. </w:t>
      </w:r>
      <w:hyperlink r:id="rId6456" w:history="1">
        <w:r w:rsidRPr="00DB4C76">
          <w:rPr>
            <w:rFonts w:ascii="Times New Roman" w:eastAsia="Times New Roman" w:hAnsi="Times New Roman" w:cs="Times New Roman"/>
            <w:color w:val="0000FF"/>
            <w:sz w:val="24"/>
            <w:szCs w:val="24"/>
            <w:u w:val="single"/>
          </w:rPr>
          <w:t>https://doi.org/10.1007/978-0-387-78965-1_15</w:t>
        </w:r>
      </w:hyperlink>
    </w:p>
    <w:p w14:paraId="4F07A27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Zachariah, E., Kumari, V., Galea, A., Das, M., Mehrotra, R., Taylor, D., Ruprah, M., &amp; Sharma, T. (2002). Effects of oral procyclidine administration on cognitive functions in healthy subjects: Implications for schizophrenia. </w:t>
      </w:r>
      <w:r w:rsidRPr="00DB4C76">
        <w:rPr>
          <w:rFonts w:ascii="Times New Roman" w:eastAsia="Times New Roman" w:hAnsi="Times New Roman" w:cs="Times New Roman"/>
          <w:i/>
          <w:iCs/>
          <w:sz w:val="24"/>
          <w:szCs w:val="24"/>
        </w:rPr>
        <w:t>Journal of Clinical 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w:t>
      </w:r>
      <w:r w:rsidRPr="00DB4C76">
        <w:rPr>
          <w:rFonts w:ascii="Times New Roman" w:eastAsia="Times New Roman" w:hAnsi="Times New Roman" w:cs="Times New Roman"/>
          <w:sz w:val="24"/>
          <w:szCs w:val="24"/>
        </w:rPr>
        <w:t xml:space="preserve">(2), No Pagination Specified-No Pagination Specified. </w:t>
      </w:r>
      <w:hyperlink r:id="rId6457" w:history="1">
        <w:r w:rsidRPr="00DB4C76">
          <w:rPr>
            <w:rFonts w:ascii="Times New Roman" w:eastAsia="Times New Roman" w:hAnsi="Times New Roman" w:cs="Times New Roman"/>
            <w:color w:val="0000FF"/>
            <w:sz w:val="24"/>
            <w:szCs w:val="24"/>
            <w:u w:val="single"/>
          </w:rPr>
          <w:t>https://doi.org/10.1097/00004714-200204000-00020</w:t>
        </w:r>
      </w:hyperlink>
    </w:p>
    <w:p w14:paraId="72EFA4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Zachi, E. C., Taub, A., de Araújo Medrado Faria, M., &amp; Ventura, D. F. (2008). Neuropsychological alterations in mercury intoxication persist several years after exposure. </w:t>
      </w:r>
      <w:r w:rsidRPr="00DB4C76">
        <w:rPr>
          <w:rFonts w:ascii="Times New Roman" w:eastAsia="Times New Roman" w:hAnsi="Times New Roman" w:cs="Times New Roman"/>
          <w:i/>
          <w:iCs/>
          <w:sz w:val="24"/>
          <w:szCs w:val="24"/>
        </w:rPr>
        <w:t>Dementia &amp; 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w:t>
      </w:r>
      <w:r w:rsidRPr="00DB4C76">
        <w:rPr>
          <w:rFonts w:ascii="Times New Roman" w:eastAsia="Times New Roman" w:hAnsi="Times New Roman" w:cs="Times New Roman"/>
          <w:sz w:val="24"/>
          <w:szCs w:val="24"/>
        </w:rPr>
        <w:t xml:space="preserve">(2), 91–95. </w:t>
      </w:r>
      <w:hyperlink r:id="rId6458" w:history="1">
        <w:r w:rsidRPr="00DB4C76">
          <w:rPr>
            <w:rFonts w:ascii="Times New Roman" w:eastAsia="Times New Roman" w:hAnsi="Times New Roman" w:cs="Times New Roman"/>
            <w:color w:val="0000FF"/>
            <w:sz w:val="24"/>
            <w:szCs w:val="24"/>
            <w:u w:val="single"/>
          </w:rPr>
          <w:t>https://doi.org/10.1590/S1980-57642009DN20200003</w:t>
        </w:r>
      </w:hyperlink>
    </w:p>
    <w:p w14:paraId="6E8253E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Zachi, E. G., Ventura, D. F., Faria, M. A. M., &amp; Taub, A. (2007). Neuropsychological dysfunction related to earlier occupational exposure to mercury vapor. </w:t>
      </w:r>
      <w:r w:rsidRPr="00DB4C76">
        <w:rPr>
          <w:rFonts w:ascii="Times New Roman" w:eastAsia="Times New Roman" w:hAnsi="Times New Roman" w:cs="Times New Roman"/>
          <w:i/>
          <w:iCs/>
          <w:sz w:val="24"/>
          <w:szCs w:val="24"/>
        </w:rPr>
        <w:t>Brazilian Journal of Medical and Biological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(3), 425–433. </w:t>
      </w:r>
      <w:hyperlink r:id="rId6459" w:history="1">
        <w:r w:rsidRPr="00DB4C76">
          <w:rPr>
            <w:rFonts w:ascii="Times New Roman" w:eastAsia="Times New Roman" w:hAnsi="Times New Roman" w:cs="Times New Roman"/>
            <w:color w:val="0000FF"/>
            <w:sz w:val="24"/>
            <w:szCs w:val="24"/>
            <w:u w:val="single"/>
          </w:rPr>
          <w:t>https://doi.org/10.1590/S0100-879X2007000300019</w:t>
        </w:r>
      </w:hyperlink>
    </w:p>
    <w:p w14:paraId="18DA0BD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Zagar, R. J., Kovach, J. W., Busch, K. G., Zablocki, M. D., Osnowitz, W., Neuhengen, J., Liu, Y., &amp; Zagar, A. K. (2013). Ammons Quick Test validity among randomly selected referrals. </w:t>
      </w:r>
      <w:r w:rsidRPr="00DB4C76">
        <w:rPr>
          <w:rFonts w:ascii="Times New Roman" w:eastAsia="Times New Roman" w:hAnsi="Times New Roman" w:cs="Times New Roman"/>
          <w:i/>
          <w:iCs/>
          <w:sz w:val="24"/>
          <w:szCs w:val="24"/>
        </w:rPr>
        <w:t>Psychological Reports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(3), 823–854. </w:t>
      </w:r>
      <w:hyperlink r:id="rId6460" w:history="1">
        <w:r w:rsidRPr="00DB4C76">
          <w:rPr>
            <w:rFonts w:ascii="Times New Roman" w:eastAsia="Times New Roman" w:hAnsi="Times New Roman" w:cs="Times New Roman"/>
            <w:color w:val="0000FF"/>
            <w:sz w:val="24"/>
            <w:szCs w:val="24"/>
            <w:u w:val="single"/>
          </w:rPr>
          <w:t>https://doi.org/10.2466/03.04.PR0.113x29z0</w:t>
        </w:r>
      </w:hyperlink>
    </w:p>
    <w:p w14:paraId="00058DE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Zahn, R., de Oliveira-Souza, R., &amp; Moll, J. (2013). Moral emotions. In </w:t>
      </w:r>
      <w:r w:rsidRPr="00DB4C76">
        <w:rPr>
          <w:rFonts w:ascii="Times New Roman" w:eastAsia="Times New Roman" w:hAnsi="Times New Roman" w:cs="Times New Roman"/>
          <w:i/>
          <w:iCs/>
          <w:sz w:val="24"/>
          <w:szCs w:val="24"/>
        </w:rPr>
        <w:t>The Cambridge handbook of human affective neuroscience.</w:t>
      </w:r>
      <w:r w:rsidRPr="00DB4C76">
        <w:rPr>
          <w:rFonts w:ascii="Times New Roman" w:eastAsia="Times New Roman" w:hAnsi="Times New Roman" w:cs="Times New Roman"/>
          <w:sz w:val="24"/>
          <w:szCs w:val="24"/>
        </w:rPr>
        <w:t xml:space="preserve"> (pp. 491–508). Cambridge University Press. </w:t>
      </w:r>
      <w:hyperlink r:id="rId6461" w:history="1">
        <w:r w:rsidRPr="00DB4C76">
          <w:rPr>
            <w:rFonts w:ascii="Times New Roman" w:eastAsia="Times New Roman" w:hAnsi="Times New Roman" w:cs="Times New Roman"/>
            <w:color w:val="0000FF"/>
            <w:sz w:val="24"/>
            <w:szCs w:val="24"/>
            <w:u w:val="single"/>
          </w:rPr>
          <w:t>https://doi.org/10.1017/CBO9780511843716.027</w:t>
        </w:r>
      </w:hyperlink>
    </w:p>
    <w:p w14:paraId="70228D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Zainal, N. H., &amp; Newman, M. G. (2018). Worry amplifies theory-of-mind reasoning for negatively valenced social stimuli in generalized anxiety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227</w:t>
      </w:r>
      <w:r w:rsidRPr="00DB4C76">
        <w:rPr>
          <w:rFonts w:ascii="Times New Roman" w:eastAsia="Times New Roman" w:hAnsi="Times New Roman" w:cs="Times New Roman"/>
          <w:sz w:val="24"/>
          <w:szCs w:val="24"/>
        </w:rPr>
        <w:t xml:space="preserve">, 824–833. </w:t>
      </w:r>
      <w:hyperlink r:id="rId6462" w:history="1">
        <w:r w:rsidRPr="00DB4C76">
          <w:rPr>
            <w:rFonts w:ascii="Times New Roman" w:eastAsia="Times New Roman" w:hAnsi="Times New Roman" w:cs="Times New Roman"/>
            <w:color w:val="0000FF"/>
            <w:sz w:val="24"/>
            <w:szCs w:val="24"/>
            <w:u w:val="single"/>
          </w:rPr>
          <w:t>https://doi.org/10.1016/j.jad.2017.11.084</w:t>
        </w:r>
      </w:hyperlink>
    </w:p>
    <w:p w14:paraId="78A9768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Zakzanis, K. K., Campbell, Z., &amp; Polsinelli, A. (2010). Quantitative evidence for distinct cognitive impairment in anorexia nervosa and bulimia nervosa.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w:t>
      </w:r>
      <w:r w:rsidRPr="00DB4C76">
        <w:rPr>
          <w:rFonts w:ascii="Times New Roman" w:eastAsia="Times New Roman" w:hAnsi="Times New Roman" w:cs="Times New Roman"/>
          <w:sz w:val="24"/>
          <w:szCs w:val="24"/>
        </w:rPr>
        <w:t xml:space="preserve">(1), 89–106. </w:t>
      </w:r>
      <w:hyperlink r:id="rId6463" w:history="1">
        <w:r w:rsidRPr="00DB4C76">
          <w:rPr>
            <w:rFonts w:ascii="Times New Roman" w:eastAsia="Times New Roman" w:hAnsi="Times New Roman" w:cs="Times New Roman"/>
            <w:color w:val="0000FF"/>
            <w:sz w:val="24"/>
            <w:szCs w:val="24"/>
            <w:u w:val="single"/>
          </w:rPr>
          <w:t>https://doi.org/10.1348/174866409X459674</w:t>
        </w:r>
      </w:hyperlink>
    </w:p>
    <w:p w14:paraId="1834406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Zakzanis, K. K., Grimes, K. M., Uzzaman, S., &amp; Schmuckler, M. A. (2016). Prospection and its relationship to instrumental activities of daily living in patients with mild traumatic brain injury with cognitive impairment.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 xml:space="preserve">(8), 986–992. </w:t>
      </w:r>
      <w:hyperlink r:id="rId6464" w:history="1">
        <w:r w:rsidRPr="00DB4C76">
          <w:rPr>
            <w:rFonts w:ascii="Times New Roman" w:eastAsia="Times New Roman" w:hAnsi="Times New Roman" w:cs="Times New Roman"/>
            <w:color w:val="0000FF"/>
            <w:sz w:val="24"/>
            <w:szCs w:val="24"/>
            <w:u w:val="single"/>
          </w:rPr>
          <w:t>https://doi.org/10.3109/02699052.2016.1147077</w:t>
        </w:r>
      </w:hyperlink>
    </w:p>
    <w:p w14:paraId="27978D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Zakzanis, K. K., &amp; Jeffay, E. (2011). Neurocognitive variability in high-functioning individuals: Implications for the practice of clinical neuropsychology. </w:t>
      </w:r>
      <w:r w:rsidRPr="00DB4C76">
        <w:rPr>
          <w:rFonts w:ascii="Times New Roman" w:eastAsia="Times New Roman" w:hAnsi="Times New Roman" w:cs="Times New Roman"/>
          <w:i/>
          <w:iCs/>
          <w:sz w:val="24"/>
          <w:szCs w:val="24"/>
        </w:rPr>
        <w:t>Psychological Reports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108</w:t>
      </w:r>
      <w:r w:rsidRPr="00DB4C76">
        <w:rPr>
          <w:rFonts w:ascii="Times New Roman" w:eastAsia="Times New Roman" w:hAnsi="Times New Roman" w:cs="Times New Roman"/>
          <w:sz w:val="24"/>
          <w:szCs w:val="24"/>
        </w:rPr>
        <w:t xml:space="preserve">(1), 290–300. </w:t>
      </w:r>
      <w:hyperlink r:id="rId6465" w:history="1">
        <w:r w:rsidRPr="00DB4C76">
          <w:rPr>
            <w:rFonts w:ascii="Times New Roman" w:eastAsia="Times New Roman" w:hAnsi="Times New Roman" w:cs="Times New Roman"/>
            <w:color w:val="0000FF"/>
            <w:sz w:val="24"/>
            <w:szCs w:val="24"/>
            <w:u w:val="single"/>
          </w:rPr>
          <w:t>https://doi.org/10.2466/02.03.09.22.PR0.108.1.290-300</w:t>
        </w:r>
      </w:hyperlink>
    </w:p>
    <w:p w14:paraId="7C2BB2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Zalla, T., Joyce, C., Szöke, A., Schürhoff, F., Pillon, B., Komano, O., Perez-Diaz, F., Bellivier, F., Alter, C., Dubois, B., Rouillon, F., Houde, O., &amp; Leboyer, M. (2004). Executive dysfunctions as potential markers of familial vulnerability to bipolar disorder and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121</w:t>
      </w:r>
      <w:r w:rsidRPr="00DB4C76">
        <w:rPr>
          <w:rFonts w:ascii="Times New Roman" w:eastAsia="Times New Roman" w:hAnsi="Times New Roman" w:cs="Times New Roman"/>
          <w:sz w:val="24"/>
          <w:szCs w:val="24"/>
        </w:rPr>
        <w:t xml:space="preserve">(3), 207–217. </w:t>
      </w:r>
      <w:hyperlink r:id="rId6466" w:history="1">
        <w:r w:rsidRPr="00DB4C76">
          <w:rPr>
            <w:rFonts w:ascii="Times New Roman" w:eastAsia="Times New Roman" w:hAnsi="Times New Roman" w:cs="Times New Roman"/>
            <w:color w:val="0000FF"/>
            <w:sz w:val="24"/>
            <w:szCs w:val="24"/>
            <w:u w:val="single"/>
          </w:rPr>
          <w:t>https://doi.org/10.1016/S0165-1781(03)00252-X</w:t>
        </w:r>
      </w:hyperlink>
    </w:p>
    <w:p w14:paraId="3370B0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Zalla, T., Pradat-Diehl, P., &amp; Sirigu, A. (2003). Perception of action boundaries in patients with frontal lobe damage. </w:t>
      </w:r>
      <w:r w:rsidRPr="00DB4C76">
        <w:rPr>
          <w:rFonts w:ascii="Times New Roman" w:eastAsia="Times New Roman" w:hAnsi="Times New Roman" w:cs="Times New Roman"/>
          <w:i/>
          <w:iCs/>
          <w:sz w:val="24"/>
          <w:szCs w:val="24"/>
        </w:rPr>
        <w:t>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(12), 1619–1627. </w:t>
      </w:r>
      <w:hyperlink r:id="rId6467" w:history="1">
        <w:r w:rsidRPr="00DB4C76">
          <w:rPr>
            <w:rFonts w:ascii="Times New Roman" w:eastAsia="Times New Roman" w:hAnsi="Times New Roman" w:cs="Times New Roman"/>
            <w:color w:val="0000FF"/>
            <w:sz w:val="24"/>
            <w:szCs w:val="24"/>
            <w:u w:val="single"/>
          </w:rPr>
          <w:t>https://doi.org/10.1016/S0028-3932(03)00098-8</w:t>
        </w:r>
      </w:hyperlink>
    </w:p>
    <w:p w14:paraId="053FE6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Zalonis, I., Bonakis, A., Christidi, F., Vagiakis, E., Papageorgiou, S. G., Kalfakis, N., Manta, P., &amp; Vassilopoulos, D. (2010). Toward understanding cognitive impairment in patients with myotonic dystrophy type 1.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(4), 303–313. </w:t>
      </w:r>
      <w:hyperlink r:id="rId6468" w:history="1">
        <w:r w:rsidRPr="00DB4C76">
          <w:rPr>
            <w:rFonts w:ascii="Times New Roman" w:eastAsia="Times New Roman" w:hAnsi="Times New Roman" w:cs="Times New Roman"/>
            <w:color w:val="0000FF"/>
            <w:sz w:val="24"/>
            <w:szCs w:val="24"/>
            <w:u w:val="single"/>
          </w:rPr>
          <w:t>https://doi.org/10.1093/arclin/acq016</w:t>
        </w:r>
      </w:hyperlink>
    </w:p>
    <w:p w14:paraId="7F7BF45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Zalonis, I., Christidi, F., Kararizou, E., Triantafyllou, N. I., Spengos, K., &amp; Vassilopoulos, D. (2010). Cognitive deficits presenting as psychiatric symptoms in a patient with Moyamoya disease. </w:t>
      </w:r>
      <w:r w:rsidRPr="00DB4C76">
        <w:rPr>
          <w:rFonts w:ascii="Times New Roman" w:eastAsia="Times New Roman" w:hAnsi="Times New Roman" w:cs="Times New Roman"/>
          <w:i/>
          <w:iCs/>
          <w:sz w:val="24"/>
          <w:szCs w:val="24"/>
        </w:rPr>
        <w:t>Psychological Reports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107</w:t>
      </w:r>
      <w:r w:rsidRPr="00DB4C76">
        <w:rPr>
          <w:rFonts w:ascii="Times New Roman" w:eastAsia="Times New Roman" w:hAnsi="Times New Roman" w:cs="Times New Roman"/>
          <w:sz w:val="24"/>
          <w:szCs w:val="24"/>
        </w:rPr>
        <w:t xml:space="preserve">(3), 727–732. </w:t>
      </w:r>
      <w:hyperlink r:id="rId6469" w:history="1">
        <w:r w:rsidRPr="00DB4C76">
          <w:rPr>
            <w:rFonts w:ascii="Times New Roman" w:eastAsia="Times New Roman" w:hAnsi="Times New Roman" w:cs="Times New Roman"/>
            <w:color w:val="0000FF"/>
            <w:sz w:val="24"/>
            <w:szCs w:val="24"/>
            <w:u w:val="single"/>
          </w:rPr>
          <w:t>https://doi.org/10.2466/02.13.15.22.PR0.107.6.727-732</w:t>
        </w:r>
      </w:hyperlink>
    </w:p>
    <w:p w14:paraId="51591D3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Zalonis, I., Christidi, F., Paraskevas, G., Zabelis, T., Evdokimidis, I., &amp; Kararizou, E. (2012). Can executive cognitive measures differentiate between patients with spinal- and bulbar-onset amyotrophic lateral sclerosis?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 xml:space="preserve">(3), 348–354. </w:t>
      </w:r>
      <w:hyperlink r:id="rId6470" w:history="1">
        <w:r w:rsidRPr="00DB4C76">
          <w:rPr>
            <w:rFonts w:ascii="Times New Roman" w:eastAsia="Times New Roman" w:hAnsi="Times New Roman" w:cs="Times New Roman"/>
            <w:color w:val="0000FF"/>
            <w:sz w:val="24"/>
            <w:szCs w:val="24"/>
            <w:u w:val="single"/>
          </w:rPr>
          <w:t>https://doi.org/10.1093/arclin/acs031</w:t>
        </w:r>
      </w:hyperlink>
    </w:p>
    <w:p w14:paraId="62C1E98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Zanello, A., Perrig, L., &amp; Huguelet, P. (2006). Cognitive functions related to interpersonal problem-solving skills in schizophrenic patients compared with healthy subjects.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142</w:t>
      </w:r>
      <w:r w:rsidRPr="00DB4C76">
        <w:rPr>
          <w:rFonts w:ascii="Times New Roman" w:eastAsia="Times New Roman" w:hAnsi="Times New Roman" w:cs="Times New Roman"/>
          <w:sz w:val="24"/>
          <w:szCs w:val="24"/>
        </w:rPr>
        <w:t xml:space="preserve">(1), 67–78. </w:t>
      </w:r>
      <w:hyperlink r:id="rId6471" w:history="1">
        <w:r w:rsidRPr="00DB4C76">
          <w:rPr>
            <w:rFonts w:ascii="Times New Roman" w:eastAsia="Times New Roman" w:hAnsi="Times New Roman" w:cs="Times New Roman"/>
            <w:color w:val="0000FF"/>
            <w:sz w:val="24"/>
            <w:szCs w:val="24"/>
            <w:u w:val="single"/>
          </w:rPr>
          <w:t>https://doi.org/10.1016/j.psychres.2003.07.009</w:t>
        </w:r>
      </w:hyperlink>
    </w:p>
    <w:p w14:paraId="4429664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Angeli, V., &amp; Tavano, A. (2011). Primary progressive aphasia in a bilingual speaker: A single-case study. </w:t>
      </w:r>
      <w:r w:rsidRPr="00DB4C76">
        <w:rPr>
          <w:rFonts w:ascii="Times New Roman" w:eastAsia="Times New Roman" w:hAnsi="Times New Roman" w:cs="Times New Roman"/>
          <w:i/>
          <w:iCs/>
          <w:sz w:val="24"/>
          <w:szCs w:val="24"/>
        </w:rPr>
        <w:t>Clinical Linguistics &amp; Phonetics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(6–7), 553–564. </w:t>
      </w:r>
      <w:hyperlink r:id="rId6472" w:history="1">
        <w:r w:rsidRPr="00DB4C76">
          <w:rPr>
            <w:rFonts w:ascii="Times New Roman" w:eastAsia="Times New Roman" w:hAnsi="Times New Roman" w:cs="Times New Roman"/>
            <w:color w:val="0000FF"/>
            <w:sz w:val="24"/>
            <w:szCs w:val="24"/>
            <w:u w:val="single"/>
          </w:rPr>
          <w:t>https://doi.org/10.3109/02699206.2011.566464</w:t>
        </w:r>
      </w:hyperlink>
    </w:p>
    <w:p w14:paraId="03461B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Melatini, A., Capus, L., Gioulis, M., Vassallo, A., &amp; Bava, A. (2003). Language recovery following subthalamic nucleus stimulation in Parkinson’s disease. </w:t>
      </w:r>
      <w:r w:rsidRPr="00DB4C76">
        <w:rPr>
          <w:rFonts w:ascii="Times New Roman" w:eastAsia="Times New Roman" w:hAnsi="Times New Roman" w:cs="Times New Roman"/>
          <w:i/>
          <w:iCs/>
          <w:sz w:val="24"/>
          <w:szCs w:val="24"/>
        </w:rPr>
        <w:t>NeuroReport: For Rapid Communication of Neuroscience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(3), 511–516. </w:t>
      </w:r>
      <w:hyperlink r:id="rId6473" w:history="1">
        <w:r w:rsidRPr="00DB4C76">
          <w:rPr>
            <w:rFonts w:ascii="Times New Roman" w:eastAsia="Times New Roman" w:hAnsi="Times New Roman" w:cs="Times New Roman"/>
            <w:color w:val="0000FF"/>
            <w:sz w:val="24"/>
            <w:szCs w:val="24"/>
            <w:u w:val="single"/>
          </w:rPr>
          <w:t>https://doi.org/10.1097/00001756-200303030-00043</w:t>
        </w:r>
      </w:hyperlink>
    </w:p>
    <w:p w14:paraId="338E1FB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Tavano, A., &amp; Fabbro, F. (2010). Spontaneous language production in bilingual Parkinson’s disease patients: Evidence of greater phonological, morphological and syntactic impairments in native language. </w:t>
      </w:r>
      <w:r w:rsidRPr="00DB4C76">
        <w:rPr>
          <w:rFonts w:ascii="Times New Roman" w:eastAsia="Times New Roman" w:hAnsi="Times New Roman" w:cs="Times New Roman"/>
          <w:i/>
          <w:iCs/>
          <w:sz w:val="24"/>
          <w:szCs w:val="24"/>
        </w:rPr>
        <w:t>Brain and Language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113</w:t>
      </w:r>
      <w:r w:rsidRPr="00DB4C76">
        <w:rPr>
          <w:rFonts w:ascii="Times New Roman" w:eastAsia="Times New Roman" w:hAnsi="Times New Roman" w:cs="Times New Roman"/>
          <w:sz w:val="24"/>
          <w:szCs w:val="24"/>
        </w:rPr>
        <w:t xml:space="preserve">(2), 84–89. </w:t>
      </w:r>
      <w:hyperlink r:id="rId6474" w:history="1">
        <w:r w:rsidRPr="00DB4C76">
          <w:rPr>
            <w:rFonts w:ascii="Times New Roman" w:eastAsia="Times New Roman" w:hAnsi="Times New Roman" w:cs="Times New Roman"/>
            <w:color w:val="0000FF"/>
            <w:sz w:val="24"/>
            <w:szCs w:val="24"/>
            <w:u w:val="single"/>
          </w:rPr>
          <w:t>https://doi.org/10.1016/j.bandl.2010.01.005</w:t>
        </w:r>
      </w:hyperlink>
    </w:p>
    <w:p w14:paraId="6E644F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Zanini, S., Tavano, A., Vorano, L., Schiavo, F., Gigli, G. L., Aglioti, S. M., &amp; Fabbro, F. (2004). Greater syntactic impairments in native language in bilingual Parkinsonian patients. </w:t>
      </w:r>
      <w:r w:rsidRPr="00DB4C76">
        <w:rPr>
          <w:rFonts w:ascii="Times New Roman" w:eastAsia="Times New Roman" w:hAnsi="Times New Roman" w:cs="Times New Roman"/>
          <w:i/>
          <w:iCs/>
          <w:sz w:val="24"/>
          <w:szCs w:val="24"/>
        </w:rPr>
        <w:t>Journal of Neurology, Neurosurgery &amp;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75</w:t>
      </w:r>
      <w:r w:rsidRPr="00DB4C76">
        <w:rPr>
          <w:rFonts w:ascii="Times New Roman" w:eastAsia="Times New Roman" w:hAnsi="Times New Roman" w:cs="Times New Roman"/>
          <w:sz w:val="24"/>
          <w:szCs w:val="24"/>
        </w:rPr>
        <w:t xml:space="preserve">(12), 1678–1681. </w:t>
      </w:r>
      <w:hyperlink r:id="rId6475" w:history="1">
        <w:r w:rsidRPr="00DB4C76">
          <w:rPr>
            <w:rFonts w:ascii="Times New Roman" w:eastAsia="Times New Roman" w:hAnsi="Times New Roman" w:cs="Times New Roman"/>
            <w:color w:val="0000FF"/>
            <w:sz w:val="24"/>
            <w:szCs w:val="24"/>
            <w:u w:val="single"/>
          </w:rPr>
          <w:t>https://doi.org/10.1136/jnnp.2003.018507</w:t>
        </w:r>
      </w:hyperlink>
    </w:p>
    <w:p w14:paraId="194DE1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Zannino, G. D., Barban, F., Caltagirone, C., &amp; Carlesimo, G. A. (2017). Exploring classical conditioning for strengthening the links between semantic and lexical representations in pure anomia: Preliminary findings from a single case study. </w:t>
      </w:r>
      <w:r w:rsidRPr="00DB4C76">
        <w:rPr>
          <w:rFonts w:ascii="Times New Roman" w:eastAsia="Times New Roman" w:hAnsi="Times New Roman" w:cs="Times New Roman"/>
          <w:i/>
          <w:iCs/>
          <w:sz w:val="24"/>
          <w:szCs w:val="24"/>
        </w:rPr>
        <w:t>Journal of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(1), 91–107. </w:t>
      </w:r>
      <w:hyperlink r:id="rId6476" w:history="1">
        <w:r w:rsidRPr="00DB4C76">
          <w:rPr>
            <w:rFonts w:ascii="Times New Roman" w:eastAsia="Times New Roman" w:hAnsi="Times New Roman" w:cs="Times New Roman"/>
            <w:color w:val="0000FF"/>
            <w:sz w:val="24"/>
            <w:szCs w:val="24"/>
            <w:u w:val="single"/>
          </w:rPr>
          <w:t>https://doi.org/10.1111/jnp.12088</w:t>
        </w:r>
      </w:hyperlink>
    </w:p>
    <w:p w14:paraId="5BC7DB5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Zaroff, C. M., Neudorfer, O., Morrison, C., Pastores, G. M., Rubin, H., &amp; Kolodny, E. H. (2004). Neuropsychological assessment of patients with late onset GM2 gangliosidosis. </w:t>
      </w:r>
      <w:r w:rsidRPr="00DB4C76">
        <w:rPr>
          <w:rFonts w:ascii="Times New Roman" w:eastAsia="Times New Roman" w:hAnsi="Times New Roman" w:cs="Times New Roman"/>
          <w:i/>
          <w:iCs/>
          <w:sz w:val="24"/>
          <w:szCs w:val="24"/>
        </w:rPr>
        <w:t>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62</w:t>
      </w:r>
      <w:r w:rsidRPr="00DB4C76">
        <w:rPr>
          <w:rFonts w:ascii="Times New Roman" w:eastAsia="Times New Roman" w:hAnsi="Times New Roman" w:cs="Times New Roman"/>
          <w:sz w:val="24"/>
          <w:szCs w:val="24"/>
        </w:rPr>
        <w:t xml:space="preserve">(12), 2283–2286. </w:t>
      </w:r>
      <w:hyperlink r:id="rId6477" w:history="1">
        <w:r w:rsidRPr="00DB4C76">
          <w:rPr>
            <w:rFonts w:ascii="Times New Roman" w:eastAsia="Times New Roman" w:hAnsi="Times New Roman" w:cs="Times New Roman"/>
            <w:color w:val="0000FF"/>
            <w:sz w:val="24"/>
            <w:szCs w:val="24"/>
            <w:u w:val="single"/>
          </w:rPr>
          <w:t>https://doi.org/10.1212/01.WNL.0000130498.19019.02</w:t>
        </w:r>
      </w:hyperlink>
    </w:p>
    <w:p w14:paraId="1D35CF0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Zartman, A. L., Hilsabeck, R. C., Guarnaccia, C. A., &amp; Houtz, A. (2013). The Pillbox Test: An ecological measure of executive functioning and estimate of medication management abilities.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(4), 307–319. </w:t>
      </w:r>
      <w:hyperlink r:id="rId6478" w:history="1">
        <w:r w:rsidRPr="00DB4C76">
          <w:rPr>
            <w:rFonts w:ascii="Times New Roman" w:eastAsia="Times New Roman" w:hAnsi="Times New Roman" w:cs="Times New Roman"/>
            <w:color w:val="0000FF"/>
            <w:sz w:val="24"/>
            <w:szCs w:val="24"/>
            <w:u w:val="single"/>
          </w:rPr>
          <w:t>https://doi.org/10.1093/arclin/act014</w:t>
        </w:r>
      </w:hyperlink>
    </w:p>
    <w:p w14:paraId="34540B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Zavadenko, N. N., Kolobova, N. M., &amp; Suvorinova, N. Yu. (2011). Attention deficit hyperactivity disorder and enuresis in children and adolescents. </w:t>
      </w:r>
      <w:r w:rsidRPr="00DB4C76">
        <w:rPr>
          <w:rFonts w:ascii="Times New Roman" w:eastAsia="Times New Roman" w:hAnsi="Times New Roman" w:cs="Times New Roman"/>
          <w:i/>
          <w:iCs/>
          <w:sz w:val="24"/>
          <w:szCs w:val="24"/>
        </w:rPr>
        <w:t>Neuroscience and Behavioral 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41</w:t>
      </w:r>
      <w:r w:rsidRPr="00DB4C76">
        <w:rPr>
          <w:rFonts w:ascii="Times New Roman" w:eastAsia="Times New Roman" w:hAnsi="Times New Roman" w:cs="Times New Roman"/>
          <w:sz w:val="24"/>
          <w:szCs w:val="24"/>
        </w:rPr>
        <w:t xml:space="preserve">(5), 525–531. </w:t>
      </w:r>
      <w:hyperlink r:id="rId6479" w:history="1">
        <w:r w:rsidRPr="00DB4C76">
          <w:rPr>
            <w:rFonts w:ascii="Times New Roman" w:eastAsia="Times New Roman" w:hAnsi="Times New Roman" w:cs="Times New Roman"/>
            <w:color w:val="0000FF"/>
            <w:sz w:val="24"/>
            <w:szCs w:val="24"/>
            <w:u w:val="single"/>
          </w:rPr>
          <w:t>https://doi.org/10.1007/s11055-011-9449-y</w:t>
        </w:r>
      </w:hyperlink>
    </w:p>
    <w:p w14:paraId="173C6E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Zayat, E., Rempfer, M., Gajewski, B., &amp; Brown, C. E. (2011). Patterns of association between performance in a natural environment and measures of executive function in people with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187</w:t>
      </w:r>
      <w:r w:rsidRPr="00DB4C76">
        <w:rPr>
          <w:rFonts w:ascii="Times New Roman" w:eastAsia="Times New Roman" w:hAnsi="Times New Roman" w:cs="Times New Roman"/>
          <w:sz w:val="24"/>
          <w:szCs w:val="24"/>
        </w:rPr>
        <w:t xml:space="preserve">(1–2), 1–5. </w:t>
      </w:r>
      <w:hyperlink r:id="rId6480" w:history="1">
        <w:r w:rsidRPr="00DB4C76">
          <w:rPr>
            <w:rFonts w:ascii="Times New Roman" w:eastAsia="Times New Roman" w:hAnsi="Times New Roman" w:cs="Times New Roman"/>
            <w:color w:val="0000FF"/>
            <w:sz w:val="24"/>
            <w:szCs w:val="24"/>
            <w:u w:val="single"/>
          </w:rPr>
          <w:t>https://doi.org/10.1016/j.psychres.2010.11.011</w:t>
        </w:r>
      </w:hyperlink>
    </w:p>
    <w:p w14:paraId="04753D9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Zebrowitz, L. A., &amp; Franklin Jr., R. G. (2014). The attractiveness halo effect and the babyface stereotype in older and younger adults: Similarities, own-age accentuation, and older adult positivity effects. </w:t>
      </w:r>
      <w:r w:rsidRPr="00DB4C76">
        <w:rPr>
          <w:rFonts w:ascii="Times New Roman" w:eastAsia="Times New Roman" w:hAnsi="Times New Roman" w:cs="Times New Roman"/>
          <w:i/>
          <w:iCs/>
          <w:sz w:val="24"/>
          <w:szCs w:val="24"/>
        </w:rPr>
        <w:t>Experimental Aging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(3), 375–393. </w:t>
      </w:r>
      <w:hyperlink r:id="rId6481" w:history="1">
        <w:r w:rsidRPr="00DB4C76">
          <w:rPr>
            <w:rFonts w:ascii="Times New Roman" w:eastAsia="Times New Roman" w:hAnsi="Times New Roman" w:cs="Times New Roman"/>
            <w:color w:val="0000FF"/>
            <w:sz w:val="24"/>
            <w:szCs w:val="24"/>
            <w:u w:val="single"/>
          </w:rPr>
          <w:t>https://doi.org/10.1080/0361073X.2014.897151</w:t>
        </w:r>
      </w:hyperlink>
    </w:p>
    <w:p w14:paraId="20C8C3F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Zebrowitz, L., Ward, N., Boshyan, J., Gutchess, A., &amp; Hadjikhani, N. (2016). Dedifferentiated face processing in older adults is linked to lower resting state metabolic activity in fusiform face area. </w:t>
      </w:r>
      <w:r w:rsidRPr="00DB4C76">
        <w:rPr>
          <w:rFonts w:ascii="Times New Roman" w:eastAsia="Times New Roman" w:hAnsi="Times New Roman" w:cs="Times New Roman"/>
          <w:i/>
          <w:iCs/>
          <w:sz w:val="24"/>
          <w:szCs w:val="24"/>
        </w:rPr>
        <w:t>Brain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1644</w:t>
      </w:r>
      <w:r w:rsidRPr="00DB4C76">
        <w:rPr>
          <w:rFonts w:ascii="Times New Roman" w:eastAsia="Times New Roman" w:hAnsi="Times New Roman" w:cs="Times New Roman"/>
          <w:sz w:val="24"/>
          <w:szCs w:val="24"/>
        </w:rPr>
        <w:t xml:space="preserve">, 22–31. </w:t>
      </w:r>
      <w:hyperlink r:id="rId6482" w:history="1">
        <w:r w:rsidRPr="00DB4C76">
          <w:rPr>
            <w:rFonts w:ascii="Times New Roman" w:eastAsia="Times New Roman" w:hAnsi="Times New Roman" w:cs="Times New Roman"/>
            <w:color w:val="0000FF"/>
            <w:sz w:val="24"/>
            <w:szCs w:val="24"/>
            <w:u w:val="single"/>
          </w:rPr>
          <w:t>https://doi.org/10.1016/j.brainres.2016.05.007</w:t>
        </w:r>
      </w:hyperlink>
    </w:p>
    <w:p w14:paraId="51139D9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Zegarra-Valdivia, J. A., &amp; Chino Vilca, B. N. (2019). Social cognition and executive function in borderline personality disorder: Evidence of altered cognitive processes. </w:t>
      </w:r>
      <w:r w:rsidRPr="00DB4C76">
        <w:rPr>
          <w:rFonts w:ascii="Times New Roman" w:eastAsia="Times New Roman" w:hAnsi="Times New Roman" w:cs="Times New Roman"/>
          <w:i/>
          <w:iCs/>
          <w:sz w:val="24"/>
          <w:szCs w:val="24"/>
        </w:rPr>
        <w:t>Salud Mental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42</w:t>
      </w:r>
      <w:r w:rsidRPr="00DB4C76">
        <w:rPr>
          <w:rFonts w:ascii="Times New Roman" w:eastAsia="Times New Roman" w:hAnsi="Times New Roman" w:cs="Times New Roman"/>
          <w:sz w:val="24"/>
          <w:szCs w:val="24"/>
        </w:rPr>
        <w:t xml:space="preserve">(1), 33–42. </w:t>
      </w:r>
      <w:hyperlink r:id="rId6483" w:history="1">
        <w:r w:rsidRPr="00DB4C76">
          <w:rPr>
            <w:rFonts w:ascii="Times New Roman" w:eastAsia="Times New Roman" w:hAnsi="Times New Roman" w:cs="Times New Roman"/>
            <w:color w:val="0000FF"/>
            <w:sz w:val="24"/>
            <w:szCs w:val="24"/>
            <w:u w:val="single"/>
          </w:rPr>
          <w:t>https://doi.org/10.17711/SM.0185-3325.2019.005</w:t>
        </w:r>
      </w:hyperlink>
    </w:p>
    <w:p w14:paraId="7891C48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Zelazny, J., Melhem, N., Porta, G., Biernesser, C., Keilp, J. G., Mann, J. J., Oquendo, M. A., Stanley, B., &amp; Brent, D. A. (2019). Childhood maltreatment, neuropsychological function and suicidal behavior. </w:t>
      </w:r>
      <w:r w:rsidRPr="00DB4C76">
        <w:rPr>
          <w:rFonts w:ascii="Times New Roman" w:eastAsia="Times New Roman" w:hAnsi="Times New Roman" w:cs="Times New Roman"/>
          <w:i/>
          <w:iCs/>
          <w:sz w:val="24"/>
          <w:szCs w:val="24"/>
        </w:rPr>
        <w:t>Journal of Child Psychology and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60</w:t>
      </w:r>
      <w:r w:rsidRPr="00DB4C76">
        <w:rPr>
          <w:rFonts w:ascii="Times New Roman" w:eastAsia="Times New Roman" w:hAnsi="Times New Roman" w:cs="Times New Roman"/>
          <w:sz w:val="24"/>
          <w:szCs w:val="24"/>
        </w:rPr>
        <w:t xml:space="preserve">(10), 1085–1093. </w:t>
      </w:r>
      <w:hyperlink r:id="rId6484" w:history="1">
        <w:r w:rsidRPr="00DB4C76">
          <w:rPr>
            <w:rFonts w:ascii="Times New Roman" w:eastAsia="Times New Roman" w:hAnsi="Times New Roman" w:cs="Times New Roman"/>
            <w:color w:val="0000FF"/>
            <w:sz w:val="24"/>
            <w:szCs w:val="24"/>
            <w:u w:val="single"/>
          </w:rPr>
          <w:t>https://doi.org/10.1111/jcpp.13096</w:t>
        </w:r>
      </w:hyperlink>
    </w:p>
    <w:p w14:paraId="0B2C857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Zelazo, P. D., Anderson, J. E., Richler, J., Wallner-Allen, K., Beaumont, J. L., Conway, K. P., Gershon, R., &amp; Weintraub, S. (2014). NIH Toolbox Cognition Battery (CB): Validation of executive function measures in adults.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w:t>
      </w:r>
      <w:r w:rsidRPr="00DB4C76">
        <w:rPr>
          <w:rFonts w:ascii="Times New Roman" w:eastAsia="Times New Roman" w:hAnsi="Times New Roman" w:cs="Times New Roman"/>
          <w:sz w:val="24"/>
          <w:szCs w:val="24"/>
        </w:rPr>
        <w:t xml:space="preserve">(6), 620–629. </w:t>
      </w:r>
      <w:hyperlink r:id="rId6485" w:history="1">
        <w:r w:rsidRPr="00DB4C76">
          <w:rPr>
            <w:rFonts w:ascii="Times New Roman" w:eastAsia="Times New Roman" w:hAnsi="Times New Roman" w:cs="Times New Roman"/>
            <w:color w:val="0000FF"/>
            <w:sz w:val="24"/>
            <w:szCs w:val="24"/>
            <w:u w:val="single"/>
          </w:rPr>
          <w:t>https://doi.org/10.1017/S1355617714000472</w:t>
        </w:r>
      </w:hyperlink>
    </w:p>
    <w:p w14:paraId="460929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Zelazo, P. D., Anderson, J. E., Richler, J., Wallner‐Allen, K., Beaumont, J. L., &amp; Weintraub, S. (2013). National Institutes of Health Toolbox Cognition Battery (NIH Toolbox CB): Validation for children between 3 and 15 years: II. NIH Toolbox Cognition Battery (CB): Measuring executive function and attention. </w:t>
      </w:r>
      <w:r w:rsidRPr="00DB4C76">
        <w:rPr>
          <w:rFonts w:ascii="Times New Roman" w:eastAsia="Times New Roman" w:hAnsi="Times New Roman" w:cs="Times New Roman"/>
          <w:i/>
          <w:iCs/>
          <w:sz w:val="24"/>
          <w:szCs w:val="24"/>
        </w:rPr>
        <w:t>Monographs of the Society for Research in Child Development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78</w:t>
      </w:r>
      <w:r w:rsidRPr="00DB4C76">
        <w:rPr>
          <w:rFonts w:ascii="Times New Roman" w:eastAsia="Times New Roman" w:hAnsi="Times New Roman" w:cs="Times New Roman"/>
          <w:sz w:val="24"/>
          <w:szCs w:val="24"/>
        </w:rPr>
        <w:t xml:space="preserve">(4), 16–33. </w:t>
      </w:r>
      <w:hyperlink r:id="rId6486" w:history="1">
        <w:r w:rsidRPr="00DB4C76">
          <w:rPr>
            <w:rFonts w:ascii="Times New Roman" w:eastAsia="Times New Roman" w:hAnsi="Times New Roman" w:cs="Times New Roman"/>
            <w:color w:val="0000FF"/>
            <w:sz w:val="24"/>
            <w:szCs w:val="24"/>
            <w:u w:val="single"/>
          </w:rPr>
          <w:t>https://doi.org/10.1111/mono.12032</w:t>
        </w:r>
      </w:hyperlink>
    </w:p>
    <w:p w14:paraId="687BBD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Zelazo, P. D., &amp; Müller, U. (2011). Executive function in typical and atypical development. In </w:t>
      </w:r>
      <w:r w:rsidRPr="00DB4C76">
        <w:rPr>
          <w:rFonts w:ascii="Times New Roman" w:eastAsia="Times New Roman" w:hAnsi="Times New Roman" w:cs="Times New Roman"/>
          <w:i/>
          <w:iCs/>
          <w:sz w:val="24"/>
          <w:szCs w:val="24"/>
        </w:rPr>
        <w:t>The Wiley-Blackwell handbook of childhood cognitive development, 2nd ed.</w:t>
      </w:r>
      <w:r w:rsidRPr="00DB4C76">
        <w:rPr>
          <w:rFonts w:ascii="Times New Roman" w:eastAsia="Times New Roman" w:hAnsi="Times New Roman" w:cs="Times New Roman"/>
          <w:sz w:val="24"/>
          <w:szCs w:val="24"/>
        </w:rPr>
        <w:t xml:space="preserve"> (pp. 574–603). Wiley-Blackwell.</w:t>
      </w:r>
    </w:p>
    <w:p w14:paraId="6E1B911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Zelkowitz, P., Guzder, J., Paris, J., Feldman, R., Roy, C., &amp; Schiavetto, A. (2004). Borderline Pathology of Childhood: Implications of Early Axis II Diagnoses. </w:t>
      </w:r>
      <w:r w:rsidRPr="00DB4C76">
        <w:rPr>
          <w:rFonts w:ascii="Times New Roman" w:eastAsia="Times New Roman" w:hAnsi="Times New Roman" w:cs="Times New Roman"/>
          <w:i/>
          <w:iCs/>
          <w:sz w:val="24"/>
          <w:szCs w:val="24"/>
        </w:rPr>
        <w:t>Canadian Child and Adolescent Psychiatry Review</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(3), 58–67.</w:t>
      </w:r>
    </w:p>
    <w:p w14:paraId="3299FB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Zelkowitz, P., Paris, J., Guzder, J., &amp; Feldman, R. (2001). Diathesis and stressors in borderline pathology of childhood: The role of neuropsychological risk and trauma. </w:t>
      </w:r>
      <w:r w:rsidRPr="00DB4C76">
        <w:rPr>
          <w:rFonts w:ascii="Times New Roman" w:eastAsia="Times New Roman" w:hAnsi="Times New Roman" w:cs="Times New Roman"/>
          <w:i/>
          <w:iCs/>
          <w:sz w:val="24"/>
          <w:szCs w:val="24"/>
        </w:rPr>
        <w:t>Journal of the American Academy of Child &amp; Adolescent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40</w:t>
      </w:r>
      <w:r w:rsidRPr="00DB4C76">
        <w:rPr>
          <w:rFonts w:ascii="Times New Roman" w:eastAsia="Times New Roman" w:hAnsi="Times New Roman" w:cs="Times New Roman"/>
          <w:sz w:val="24"/>
          <w:szCs w:val="24"/>
        </w:rPr>
        <w:t xml:space="preserve">(1), 100–105. </w:t>
      </w:r>
      <w:hyperlink r:id="rId6487" w:history="1">
        <w:r w:rsidRPr="00DB4C76">
          <w:rPr>
            <w:rFonts w:ascii="Times New Roman" w:eastAsia="Times New Roman" w:hAnsi="Times New Roman" w:cs="Times New Roman"/>
            <w:color w:val="0000FF"/>
            <w:sz w:val="24"/>
            <w:szCs w:val="24"/>
            <w:u w:val="single"/>
          </w:rPr>
          <w:t>https://doi.org/10.1097/00004583-200101000-00022</w:t>
        </w:r>
      </w:hyperlink>
    </w:p>
    <w:p w14:paraId="5841A19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Zemlyanaya, A. A., Kalinin, V. V., Zheleznova, E. V., &amp; Sokolova, L. V. (2018). Dynamics of cognitive decline in patients with epilepsy during the course of disease (using executive functions as an example). </w:t>
      </w:r>
      <w:r w:rsidRPr="00DB4C76">
        <w:rPr>
          <w:rFonts w:ascii="Times New Roman" w:eastAsia="Times New Roman" w:hAnsi="Times New Roman" w:cs="Times New Roman"/>
          <w:i/>
          <w:iCs/>
          <w:sz w:val="24"/>
          <w:szCs w:val="24"/>
        </w:rPr>
        <w:t>Neuroscience and Behavioral 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(1), 83–89. </w:t>
      </w:r>
      <w:hyperlink r:id="rId6488" w:history="1">
        <w:r w:rsidRPr="00DB4C76">
          <w:rPr>
            <w:rFonts w:ascii="Times New Roman" w:eastAsia="Times New Roman" w:hAnsi="Times New Roman" w:cs="Times New Roman"/>
            <w:color w:val="0000FF"/>
            <w:sz w:val="24"/>
            <w:szCs w:val="24"/>
            <w:u w:val="single"/>
          </w:rPr>
          <w:t>https://doi.org/10.1007/s11055-017-0535-7</w:t>
        </w:r>
      </w:hyperlink>
    </w:p>
    <w:p w14:paraId="68E1766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Zeng, X.-H., Hirata, K., Tanaka, H., Hozumi, A., &amp; Yamazaki, K. (2002). Insufficient processing resources in Parkinson’s disease: Evaluation using multimodal event-related potentials paradigm. </w:t>
      </w:r>
      <w:r w:rsidRPr="00DB4C76">
        <w:rPr>
          <w:rFonts w:ascii="Times New Roman" w:eastAsia="Times New Roman" w:hAnsi="Times New Roman" w:cs="Times New Roman"/>
          <w:i/>
          <w:iCs/>
          <w:sz w:val="24"/>
          <w:szCs w:val="24"/>
        </w:rPr>
        <w:t>Brain Topography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(4), 299–311. </w:t>
      </w:r>
      <w:hyperlink r:id="rId6489" w:history="1">
        <w:r w:rsidRPr="00DB4C76">
          <w:rPr>
            <w:rFonts w:ascii="Times New Roman" w:eastAsia="Times New Roman" w:hAnsi="Times New Roman" w:cs="Times New Roman"/>
            <w:color w:val="0000FF"/>
            <w:sz w:val="24"/>
            <w:szCs w:val="24"/>
            <w:u w:val="single"/>
          </w:rPr>
          <w:t>https://doi.org/10.1023/A:1015704827984</w:t>
        </w:r>
      </w:hyperlink>
    </w:p>
    <w:p w14:paraId="2C87FEA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Zeni, C. P., Tramontina, S., Zeni, T. A., Coelho, R., Pheula, G., Bernardi, J., Maldaner, U., Silva, T. L., Salatino-Oliveira, A., Hutz, M., &amp; Rohde, L. A. (2013). The Val66Met polymorphism at the BDNF gene does not influence Wisconsin Card Sorting Test results in children and adolescents with bipolar disorder. </w:t>
      </w:r>
      <w:r w:rsidRPr="00DB4C76">
        <w:rPr>
          <w:rFonts w:ascii="Times New Roman" w:eastAsia="Times New Roman" w:hAnsi="Times New Roman" w:cs="Times New Roman"/>
          <w:i/>
          <w:iCs/>
          <w:sz w:val="24"/>
          <w:szCs w:val="24"/>
        </w:rPr>
        <w:t>Revista Brasileira de Psiquiatria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 44–50. </w:t>
      </w:r>
      <w:hyperlink r:id="rId6490" w:history="1">
        <w:r w:rsidRPr="00DB4C76">
          <w:rPr>
            <w:rFonts w:ascii="Times New Roman" w:eastAsia="Times New Roman" w:hAnsi="Times New Roman" w:cs="Times New Roman"/>
            <w:color w:val="0000FF"/>
            <w:sz w:val="24"/>
            <w:szCs w:val="24"/>
            <w:u w:val="single"/>
          </w:rPr>
          <w:t>https://doi.org/10.1016/j.rbp.2012.02.007</w:t>
        </w:r>
      </w:hyperlink>
    </w:p>
    <w:p w14:paraId="7840E6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Zgaljardic, D. J., Yancy, S., Levinson, J., Morales, G., &amp; Masel, B. E. (2011). Balint’s syndrome and post-acute brain injury rehabilitation: A case report.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(9), 909–917. </w:t>
      </w:r>
      <w:hyperlink r:id="rId6491" w:history="1">
        <w:r w:rsidRPr="00DB4C76">
          <w:rPr>
            <w:rFonts w:ascii="Times New Roman" w:eastAsia="Times New Roman" w:hAnsi="Times New Roman" w:cs="Times New Roman"/>
            <w:color w:val="0000FF"/>
            <w:sz w:val="24"/>
            <w:szCs w:val="24"/>
            <w:u w:val="single"/>
          </w:rPr>
          <w:t>https://doi.org/10.3109/02699052.2011.585506</w:t>
        </w:r>
      </w:hyperlink>
    </w:p>
    <w:p w14:paraId="6CE0E8F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B., Guan, F., Chen, G., Lin, H., Zhang, T., Feng, J., Li, L., &amp; Fu, D. (2015). Common variants in SLC1A2 and schizophrenia: Association and cognitive function in patients with schizophrenia and healthy individuals.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169</w:t>
      </w:r>
      <w:r w:rsidRPr="00DB4C76">
        <w:rPr>
          <w:rFonts w:ascii="Times New Roman" w:eastAsia="Times New Roman" w:hAnsi="Times New Roman" w:cs="Times New Roman"/>
          <w:sz w:val="24"/>
          <w:szCs w:val="24"/>
        </w:rPr>
        <w:t xml:space="preserve">(1–3), 128–134. </w:t>
      </w:r>
      <w:hyperlink r:id="rId6492" w:history="1">
        <w:r w:rsidRPr="00DB4C76">
          <w:rPr>
            <w:rFonts w:ascii="Times New Roman" w:eastAsia="Times New Roman" w:hAnsi="Times New Roman" w:cs="Times New Roman"/>
            <w:color w:val="0000FF"/>
            <w:sz w:val="24"/>
            <w:szCs w:val="24"/>
            <w:u w:val="single"/>
          </w:rPr>
          <w:t>https://doi.org/10.1016/j.schres.2015.10.012</w:t>
        </w:r>
      </w:hyperlink>
    </w:p>
    <w:p w14:paraId="0B55C21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C., Tang, W. K., Liang, H. J., Ungvari, G. S., &amp; Lin, S.-K. (2018). Other drug use does not impact cognitive impairments in chronic ketamine users. </w:t>
      </w:r>
      <w:r w:rsidRPr="00DB4C76">
        <w:rPr>
          <w:rFonts w:ascii="Times New Roman" w:eastAsia="Times New Roman" w:hAnsi="Times New Roman" w:cs="Times New Roman"/>
          <w:i/>
          <w:iCs/>
          <w:sz w:val="24"/>
          <w:szCs w:val="24"/>
        </w:rPr>
        <w:t>Drug and Alcohol Dependence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186</w:t>
      </w:r>
      <w:r w:rsidRPr="00DB4C76">
        <w:rPr>
          <w:rFonts w:ascii="Times New Roman" w:eastAsia="Times New Roman" w:hAnsi="Times New Roman" w:cs="Times New Roman"/>
          <w:sz w:val="24"/>
          <w:szCs w:val="24"/>
        </w:rPr>
        <w:t xml:space="preserve">, 1–8. </w:t>
      </w:r>
      <w:hyperlink r:id="rId6493" w:history="1">
        <w:r w:rsidRPr="00DB4C76">
          <w:rPr>
            <w:rFonts w:ascii="Times New Roman" w:eastAsia="Times New Roman" w:hAnsi="Times New Roman" w:cs="Times New Roman"/>
            <w:color w:val="0000FF"/>
            <w:sz w:val="24"/>
            <w:szCs w:val="24"/>
            <w:u w:val="single"/>
          </w:rPr>
          <w:t>https://doi.org/10.1016/j.drugalcdep.2018.01.007</w:t>
        </w:r>
      </w:hyperlink>
    </w:p>
    <w:p w14:paraId="7402CF8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C., Xu, Y., Zhang, B., Hao, W., &amp; Tang, W. K. (2020). Cognitive impairment in chronic ketamine abusers.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291</w:t>
      </w:r>
      <w:r w:rsidRPr="00DB4C76">
        <w:rPr>
          <w:rFonts w:ascii="Times New Roman" w:eastAsia="Times New Roman" w:hAnsi="Times New Roman" w:cs="Times New Roman"/>
          <w:sz w:val="24"/>
          <w:szCs w:val="24"/>
        </w:rPr>
        <w:t xml:space="preserve">. </w:t>
      </w:r>
      <w:hyperlink r:id="rId6494" w:history="1">
        <w:r w:rsidRPr="00DB4C76">
          <w:rPr>
            <w:rFonts w:ascii="Times New Roman" w:eastAsia="Times New Roman" w:hAnsi="Times New Roman" w:cs="Times New Roman"/>
            <w:color w:val="0000FF"/>
            <w:sz w:val="24"/>
            <w:szCs w:val="24"/>
            <w:u w:val="single"/>
          </w:rPr>
          <w:t>https://doi.org/10.1016/j.psychres.2020.113206</w:t>
        </w:r>
      </w:hyperlink>
    </w:p>
    <w:p w14:paraId="2AE0679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C., Yang, H., Qin, W., Liu, C., Qi, Z., Chen, N., &amp; Li, K. (2017). Characteristics of resting-state functional connectivity in intractable unilateral temporal lobe epilepsy patients with impaired executive control function. </w:t>
      </w:r>
      <w:r w:rsidRPr="00DB4C76">
        <w:rPr>
          <w:rFonts w:ascii="Times New Roman" w:eastAsia="Times New Roman" w:hAnsi="Times New Roman" w:cs="Times New Roman"/>
          <w:i/>
          <w:iCs/>
          <w:sz w:val="24"/>
          <w:szCs w:val="24"/>
        </w:rPr>
        <w:t>Frontiers in Human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 xml:space="preserve">. </w:t>
      </w:r>
      <w:hyperlink r:id="rId6495" w:history="1">
        <w:r w:rsidRPr="00DB4C76">
          <w:rPr>
            <w:rFonts w:ascii="Times New Roman" w:eastAsia="Times New Roman" w:hAnsi="Times New Roman" w:cs="Times New Roman"/>
            <w:color w:val="0000FF"/>
            <w:sz w:val="24"/>
            <w:szCs w:val="24"/>
            <w:u w:val="single"/>
          </w:rPr>
          <w:t>https://doi.org/10.3389/fnhum.2017.00609</w:t>
        </w:r>
      </w:hyperlink>
    </w:p>
    <w:p w14:paraId="7DF264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D.-K., Su, Q.-R., Zhang, H.-W., Ge, J.-R., Si, F.-J., &amp; Zhang, J. (2011). Deficients of theory of mind and executive functions in patients with local area brain traumatic injury patients. [Deficients of theory of mind and executive functions in patients with local area brain traumatic injury patients.].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(7), 549–555.</w:t>
      </w:r>
    </w:p>
    <w:p w14:paraId="56FB8EC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H., Kranzler, H. R., Poling, J., &amp; Gelernter, J. (2010). Variation in the nicotinic acetylcholine receptor gene cluster CHRNA5–CHRNA3–CHRNB4 and its interaction with recent tobacco use influence cognitive flexibility.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 xml:space="preserve">(11), 2211–2224. </w:t>
      </w:r>
      <w:hyperlink r:id="rId6496" w:history="1">
        <w:r w:rsidRPr="00DB4C76">
          <w:rPr>
            <w:rFonts w:ascii="Times New Roman" w:eastAsia="Times New Roman" w:hAnsi="Times New Roman" w:cs="Times New Roman"/>
            <w:color w:val="0000FF"/>
            <w:sz w:val="24"/>
            <w:szCs w:val="24"/>
            <w:u w:val="single"/>
          </w:rPr>
          <w:t>https://doi.org/10.1038/npp.2010.95</w:t>
        </w:r>
      </w:hyperlink>
    </w:p>
    <w:p w14:paraId="0BA28CB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H., Kranzler, H. R., Poling, J., Gruen, J. R., &amp; Gelernter, J. (2009). Cognitive flexibility is associated with KIBRA variant and modulated by recent tobacco use. </w:t>
      </w:r>
      <w:r w:rsidRPr="00DB4C76">
        <w:rPr>
          <w:rFonts w:ascii="Times New Roman" w:eastAsia="Times New Roman" w:hAnsi="Times New Roman" w:cs="Times New Roman"/>
          <w:i/>
          <w:iCs/>
          <w:sz w:val="24"/>
          <w:szCs w:val="24"/>
        </w:rPr>
        <w:t>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34</w:t>
      </w:r>
      <w:r w:rsidRPr="00DB4C76">
        <w:rPr>
          <w:rFonts w:ascii="Times New Roman" w:eastAsia="Times New Roman" w:hAnsi="Times New Roman" w:cs="Times New Roman"/>
          <w:sz w:val="24"/>
          <w:szCs w:val="24"/>
        </w:rPr>
        <w:t xml:space="preserve">(12), 2508–2516. </w:t>
      </w:r>
      <w:hyperlink r:id="rId6497" w:history="1">
        <w:r w:rsidRPr="00DB4C76">
          <w:rPr>
            <w:rFonts w:ascii="Times New Roman" w:eastAsia="Times New Roman" w:hAnsi="Times New Roman" w:cs="Times New Roman"/>
            <w:color w:val="0000FF"/>
            <w:sz w:val="24"/>
            <w:szCs w:val="24"/>
            <w:u w:val="single"/>
          </w:rPr>
          <w:t>https://doi.org/10.1038/npp.2009.80</w:t>
        </w:r>
      </w:hyperlink>
    </w:p>
    <w:p w14:paraId="75FD29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H., Zhou, H., Lencz, T., Farrer, L. A., Kranzler, H. R., &amp; Gelernter, J. (2018). Genome‐wide association study of cognitive flexibility assessed by the Wisconsin Card Sorting Test. </w:t>
      </w:r>
      <w:r w:rsidRPr="00DB4C76">
        <w:rPr>
          <w:rFonts w:ascii="Times New Roman" w:eastAsia="Times New Roman" w:hAnsi="Times New Roman" w:cs="Times New Roman"/>
          <w:i/>
          <w:iCs/>
          <w:sz w:val="24"/>
          <w:szCs w:val="24"/>
        </w:rPr>
        <w:t>American Journal of Medical Genetics Part B: Neuropsychiatric Genetics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177</w:t>
      </w:r>
      <w:r w:rsidRPr="00DB4C76">
        <w:rPr>
          <w:rFonts w:ascii="Times New Roman" w:eastAsia="Times New Roman" w:hAnsi="Times New Roman" w:cs="Times New Roman"/>
          <w:sz w:val="24"/>
          <w:szCs w:val="24"/>
        </w:rPr>
        <w:t xml:space="preserve">(5), 511–519. </w:t>
      </w:r>
      <w:hyperlink r:id="rId6498" w:history="1">
        <w:r w:rsidRPr="00DB4C76">
          <w:rPr>
            <w:rFonts w:ascii="Times New Roman" w:eastAsia="Times New Roman" w:hAnsi="Times New Roman" w:cs="Times New Roman"/>
            <w:color w:val="0000FF"/>
            <w:sz w:val="24"/>
            <w:szCs w:val="24"/>
            <w:u w:val="single"/>
          </w:rPr>
          <w:t>https://doi.org/10.1002/ajmg.b.32642</w:t>
        </w:r>
      </w:hyperlink>
    </w:p>
    <w:p w14:paraId="0C2B892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J., Su, L., &amp; Li, X. (2004). Cognitive Function in Children with Learning Disorder. [Cognitive Function in Children with Learning Disorder.].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(4), 239–241.</w:t>
      </w:r>
    </w:p>
    <w:p w14:paraId="7D3A54F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J., Yang, X., &amp; Yang, Q. (2015). Neuropsychological dysfunction in adults with early-onset obsessive-compulsive disorder: The search for a cognitive endophenotype. </w:t>
      </w:r>
      <w:r w:rsidRPr="00DB4C76">
        <w:rPr>
          <w:rFonts w:ascii="Times New Roman" w:eastAsia="Times New Roman" w:hAnsi="Times New Roman" w:cs="Times New Roman"/>
          <w:i/>
          <w:iCs/>
          <w:sz w:val="24"/>
          <w:szCs w:val="24"/>
        </w:rPr>
        <w:t>Revista Brasileira de Psiquiatria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37</w:t>
      </w:r>
      <w:r w:rsidRPr="00DB4C76">
        <w:rPr>
          <w:rFonts w:ascii="Times New Roman" w:eastAsia="Times New Roman" w:hAnsi="Times New Roman" w:cs="Times New Roman"/>
          <w:sz w:val="24"/>
          <w:szCs w:val="24"/>
        </w:rPr>
        <w:t xml:space="preserve">(2), 126–132. </w:t>
      </w:r>
      <w:hyperlink r:id="rId6499" w:history="1">
        <w:r w:rsidRPr="00DB4C76">
          <w:rPr>
            <w:rFonts w:ascii="Times New Roman" w:eastAsia="Times New Roman" w:hAnsi="Times New Roman" w:cs="Times New Roman"/>
            <w:color w:val="0000FF"/>
            <w:sz w:val="24"/>
            <w:szCs w:val="24"/>
            <w:u w:val="single"/>
          </w:rPr>
          <w:t>https://doi.org/10.1590/1516-4446-2014-1518</w:t>
        </w:r>
      </w:hyperlink>
    </w:p>
    <w:p w14:paraId="41D99A5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L., Dong, Y., Ji, Y., Zhu, C., Yu, F., Ma, H., Chen, X., &amp; Wang, K. (2015). Dissociation of decision making under ambiguity and decision making under risk: A neurocognitive endophenotype candidate for obsessive–compulsive disorder. </w:t>
      </w:r>
      <w:r w:rsidRPr="00DB4C76">
        <w:rPr>
          <w:rFonts w:ascii="Times New Roman" w:eastAsia="Times New Roman" w:hAnsi="Times New Roman" w:cs="Times New Roman"/>
          <w:i/>
          <w:iCs/>
          <w:sz w:val="24"/>
          <w:szCs w:val="24"/>
        </w:rPr>
        <w:t>Progress in Neuro-Psychopharmacology &amp; Biological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57</w:t>
      </w:r>
      <w:r w:rsidRPr="00DB4C76">
        <w:rPr>
          <w:rFonts w:ascii="Times New Roman" w:eastAsia="Times New Roman" w:hAnsi="Times New Roman" w:cs="Times New Roman"/>
          <w:sz w:val="24"/>
          <w:szCs w:val="24"/>
        </w:rPr>
        <w:t xml:space="preserve">, 60–68. </w:t>
      </w:r>
      <w:hyperlink r:id="rId6500" w:history="1">
        <w:r w:rsidRPr="00DB4C76">
          <w:rPr>
            <w:rFonts w:ascii="Times New Roman" w:eastAsia="Times New Roman" w:hAnsi="Times New Roman" w:cs="Times New Roman"/>
            <w:color w:val="0000FF"/>
            <w:sz w:val="24"/>
            <w:szCs w:val="24"/>
            <w:u w:val="single"/>
          </w:rPr>
          <w:t>https://doi.org/10.1016/j.pnpbp.2014.09.005</w:t>
        </w:r>
      </w:hyperlink>
    </w:p>
    <w:p w14:paraId="5402A7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L., Sun, W., Xing, M., Wang, Y., Zhang, Y., Sun, Q., Cheng, Y., Shi, C., &amp; Zhang, N. (2019). Medial temporal lobe atrophy is related to learning strategy changes in amnestic mild cognitive impairment. </w:t>
      </w:r>
      <w:r w:rsidRPr="00DB4C76">
        <w:rPr>
          <w:rFonts w:ascii="Times New Roman" w:eastAsia="Times New Roman" w:hAnsi="Times New Roman" w:cs="Times New Roman"/>
          <w:i/>
          <w:iCs/>
          <w:sz w:val="24"/>
          <w:szCs w:val="24"/>
        </w:rPr>
        <w:t>Journal of the International Neuropsychological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(7), 706–717. </w:t>
      </w:r>
      <w:hyperlink r:id="rId6501" w:history="1">
        <w:r w:rsidRPr="00DB4C76">
          <w:rPr>
            <w:rFonts w:ascii="Times New Roman" w:eastAsia="Times New Roman" w:hAnsi="Times New Roman" w:cs="Times New Roman"/>
            <w:color w:val="0000FF"/>
            <w:sz w:val="24"/>
            <w:szCs w:val="24"/>
            <w:u w:val="single"/>
          </w:rPr>
          <w:t>https://doi.org/10.1017/S1355617719000353</w:t>
        </w:r>
      </w:hyperlink>
    </w:p>
    <w:p w14:paraId="04E4173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L., Tang, J., Dong, Y., Ji, Y., Tao, R., Liang, Z., Chen, J., Wu, Y., &amp; Wang, K. (2015). Similarities and differences in decision-making impairments between autism spectrum disorder and schizophrenia. </w:t>
      </w:r>
      <w:r w:rsidRPr="00DB4C76">
        <w:rPr>
          <w:rFonts w:ascii="Times New Roman" w:eastAsia="Times New Roman" w:hAnsi="Times New Roman" w:cs="Times New Roman"/>
          <w:i/>
          <w:iCs/>
          <w:sz w:val="24"/>
          <w:szCs w:val="24"/>
        </w:rPr>
        <w:t>Frontiers in Behavioral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w:t>
      </w:r>
    </w:p>
    <w:p w14:paraId="3D5C284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N., Liu, H., Qin, W., Liu, B., Jiang, T., &amp; Yu, C. (2017). APOE and KIBRA interactions on brain functional connectivity in healthy young adults. </w:t>
      </w:r>
      <w:r w:rsidRPr="00DB4C76">
        <w:rPr>
          <w:rFonts w:ascii="Times New Roman" w:eastAsia="Times New Roman" w:hAnsi="Times New Roman" w:cs="Times New Roman"/>
          <w:i/>
          <w:iCs/>
          <w:sz w:val="24"/>
          <w:szCs w:val="24"/>
        </w:rPr>
        <w:t>Cerebral Cortex</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(10), 4797–4805.</w:t>
      </w:r>
    </w:p>
    <w:p w14:paraId="1382BAB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Q., Zhang, X., Song, S., Wang, S., Wang, X., Yu, H., Han, H., Zhou, X., Li, G., &amp; Wu, Y. (2020). The association of GABRB2 SNPs with cognitive function in schizophrenia. </w:t>
      </w:r>
      <w:r w:rsidRPr="00DB4C76">
        <w:rPr>
          <w:rFonts w:ascii="Times New Roman" w:eastAsia="Times New Roman" w:hAnsi="Times New Roman" w:cs="Times New Roman"/>
          <w:i/>
          <w:iCs/>
          <w:sz w:val="24"/>
          <w:szCs w:val="24"/>
        </w:rPr>
        <w:t>European Archives of Psychiatry and Clinical Neuroscience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270</w:t>
      </w:r>
      <w:r w:rsidRPr="00DB4C76">
        <w:rPr>
          <w:rFonts w:ascii="Times New Roman" w:eastAsia="Times New Roman" w:hAnsi="Times New Roman" w:cs="Times New Roman"/>
          <w:sz w:val="24"/>
          <w:szCs w:val="24"/>
        </w:rPr>
        <w:t xml:space="preserve">(4), 443–449. </w:t>
      </w:r>
      <w:hyperlink r:id="rId6502" w:history="1">
        <w:r w:rsidRPr="00DB4C76">
          <w:rPr>
            <w:rFonts w:ascii="Times New Roman" w:eastAsia="Times New Roman" w:hAnsi="Times New Roman" w:cs="Times New Roman"/>
            <w:color w:val="0000FF"/>
            <w:sz w:val="24"/>
            <w:szCs w:val="24"/>
            <w:u w:val="single"/>
          </w:rPr>
          <w:t>https://doi.org/10.1007/s00406-019-00985-3</w:t>
        </w:r>
      </w:hyperlink>
    </w:p>
    <w:p w14:paraId="194290F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W., Chen, J., &amp; Zhu, R. (2004). Discriminating schizophrenia with combination of multiple tests: A pilot study. [Discriminating schizophrenia with combination of multiple tests: A pilot study.].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(4), 257–261.</w:t>
      </w:r>
    </w:p>
    <w:p w14:paraId="29BF54C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X. Y., Chen, D. C., Xiu, M. H., Haile, C. N., He, S. C., Luo, X., Zuo, L., Rosenheck, R., Kosten, T. A., &amp; Kosten, T. R. (2013). Cigarette smoking, psychopathology and cognitive function in first-episode drug-naive patients with schizophrenia: A case-control study. </w:t>
      </w:r>
      <w:r w:rsidRPr="00DB4C76">
        <w:rPr>
          <w:rFonts w:ascii="Times New Roman" w:eastAsia="Times New Roman" w:hAnsi="Times New Roman" w:cs="Times New Roman"/>
          <w:i/>
          <w:iCs/>
          <w:sz w:val="24"/>
          <w:szCs w:val="24"/>
        </w:rPr>
        <w:t>Psychological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43</w:t>
      </w:r>
      <w:r w:rsidRPr="00DB4C76">
        <w:rPr>
          <w:rFonts w:ascii="Times New Roman" w:eastAsia="Times New Roman" w:hAnsi="Times New Roman" w:cs="Times New Roman"/>
          <w:sz w:val="24"/>
          <w:szCs w:val="24"/>
        </w:rPr>
        <w:t xml:space="preserve">(8), 1651–1660. </w:t>
      </w:r>
      <w:hyperlink r:id="rId6503" w:history="1">
        <w:r w:rsidRPr="00DB4C76">
          <w:rPr>
            <w:rFonts w:ascii="Times New Roman" w:eastAsia="Times New Roman" w:hAnsi="Times New Roman" w:cs="Times New Roman"/>
            <w:color w:val="0000FF"/>
            <w:sz w:val="24"/>
            <w:szCs w:val="24"/>
            <w:u w:val="single"/>
          </w:rPr>
          <w:t>https://doi.org/10.1017/S0033291712002590</w:t>
        </w:r>
      </w:hyperlink>
    </w:p>
    <w:p w14:paraId="2C2521D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X., Yao, J., Lv, Y., Zhao, X., Li, Y., Sui, Y., &amp; Dai, Z. (2018). An association study on the cognitive function and the cerebral grey matter volume of patients with first-episode schizophrenia. </w:t>
      </w:r>
      <w:r w:rsidRPr="00DB4C76">
        <w:rPr>
          <w:rFonts w:ascii="Times New Roman" w:eastAsia="Times New Roman" w:hAnsi="Times New Roman" w:cs="Times New Roman"/>
          <w:i/>
          <w:iCs/>
          <w:sz w:val="24"/>
          <w:szCs w:val="24"/>
        </w:rPr>
        <w:t>General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30</w:t>
      </w:r>
      <w:r w:rsidRPr="00DB4C76">
        <w:rPr>
          <w:rFonts w:ascii="Times New Roman" w:eastAsia="Times New Roman" w:hAnsi="Times New Roman" w:cs="Times New Roman"/>
          <w:sz w:val="24"/>
          <w:szCs w:val="24"/>
        </w:rPr>
        <w:t>(3), 154–167.</w:t>
      </w:r>
    </w:p>
    <w:p w14:paraId="279078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Liu, A., Zhang, X., &amp; Yu, Z. (2011). Characteristics of executive function in children with learning disorder of different subtypes. [Characteristics of executive function in children with learning disorder of different subtypes.].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(6), 769–772.</w:t>
      </w:r>
    </w:p>
    <w:p w14:paraId="6C77D4D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Luo, X., Liu, X., &amp; Zhong, Y. (2010). Characteristics of executive function in attention deficit hyperactivity disorder. [Characteristics of executive function in attention deficit hyperactivity disorder.].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(1), 47–49.</w:t>
      </w:r>
    </w:p>
    <w:p w14:paraId="4C2D6A6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Ouyang, R., Peng, Y., &amp; Cao, Y. (2017). Neurocognitive function and sleep structure in male patients with OSAHS. [Neurocognitive function and sleep structure in male patients with OSAHS.].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(2), 213–216.</w:t>
      </w:r>
    </w:p>
    <w:p w14:paraId="055744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Y., Zhong, S.-J., Hao, C.-D., Liu, C.-M., Cai, L., &amp; Han, X. (2013). Executive function in children with mathematics disorder of different subtypes and its effect on basic mathematical abilities. [Executive function in children with mathematics disorder of different subtypes and its effect on basic mathematical abilities.].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(6), 954–962.</w:t>
      </w:r>
    </w:p>
    <w:p w14:paraId="7FFE5C6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Zhang, Z., Zhang, R., Qin, P., &amp; Tan, L. (2018). Cognitive dysfunction and negative symptoms in patients with schizophrenia and their first-degree relatives from simplex and multiplex families.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 xml:space="preserve">. </w:t>
      </w:r>
      <w:hyperlink r:id="rId6504" w:history="1">
        <w:r w:rsidRPr="00DB4C76">
          <w:rPr>
            <w:rFonts w:ascii="Times New Roman" w:eastAsia="Times New Roman" w:hAnsi="Times New Roman" w:cs="Times New Roman"/>
            <w:color w:val="0000FF"/>
            <w:sz w:val="24"/>
            <w:szCs w:val="24"/>
            <w:u w:val="single"/>
          </w:rPr>
          <w:t>https://doi.org/10.2147/NDT.S179534</w:t>
        </w:r>
      </w:hyperlink>
    </w:p>
    <w:p w14:paraId="5C2BA1A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J., He, X., Liu, Z., &amp; Yang, D. (2006). The effects of clozapine on cognitive function and regional cerebral blood flow in the negative symptom profile schizophrenia. </w:t>
      </w:r>
      <w:r w:rsidRPr="00DB4C76">
        <w:rPr>
          <w:rFonts w:ascii="Times New Roman" w:eastAsia="Times New Roman" w:hAnsi="Times New Roman" w:cs="Times New Roman"/>
          <w:i/>
          <w:iCs/>
          <w:sz w:val="24"/>
          <w:szCs w:val="24"/>
        </w:rPr>
        <w:t>International Journal of Psychiatry in Medicine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36</w:t>
      </w:r>
      <w:r w:rsidRPr="00DB4C76">
        <w:rPr>
          <w:rFonts w:ascii="Times New Roman" w:eastAsia="Times New Roman" w:hAnsi="Times New Roman" w:cs="Times New Roman"/>
          <w:sz w:val="24"/>
          <w:szCs w:val="24"/>
        </w:rPr>
        <w:t xml:space="preserve">(2), 171–181. </w:t>
      </w:r>
      <w:hyperlink r:id="rId6505" w:history="1">
        <w:r w:rsidRPr="00DB4C76">
          <w:rPr>
            <w:rFonts w:ascii="Times New Roman" w:eastAsia="Times New Roman" w:hAnsi="Times New Roman" w:cs="Times New Roman"/>
            <w:color w:val="0000FF"/>
            <w:sz w:val="24"/>
            <w:szCs w:val="24"/>
            <w:u w:val="single"/>
          </w:rPr>
          <w:t>https://doi.org/10.2190/1AA0-UW9Q-1CNK-3E2N</w:t>
        </w:r>
      </w:hyperlink>
    </w:p>
    <w:p w14:paraId="10E4589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J., Su, Q., Liu, F., Zhang, Z., Li, R., Zhu, F., Wu, R., Zhao, J., &amp; Guo, W. (2018). Regional white matter volume abnormalities in first-episode somatization disorder. </w:t>
      </w:r>
      <w:r w:rsidRPr="00DB4C76">
        <w:rPr>
          <w:rFonts w:ascii="Times New Roman" w:eastAsia="Times New Roman" w:hAnsi="Times New Roman" w:cs="Times New Roman"/>
          <w:i/>
          <w:iCs/>
          <w:sz w:val="24"/>
          <w:szCs w:val="24"/>
        </w:rPr>
        <w:t>International Journal of Psychophysiology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133</w:t>
      </w:r>
      <w:r w:rsidRPr="00DB4C76">
        <w:rPr>
          <w:rFonts w:ascii="Times New Roman" w:eastAsia="Times New Roman" w:hAnsi="Times New Roman" w:cs="Times New Roman"/>
          <w:sz w:val="24"/>
          <w:szCs w:val="24"/>
        </w:rPr>
        <w:t xml:space="preserve">, 12–16. </w:t>
      </w:r>
      <w:hyperlink r:id="rId6506" w:history="1">
        <w:r w:rsidRPr="00DB4C76">
          <w:rPr>
            <w:rFonts w:ascii="Times New Roman" w:eastAsia="Times New Roman" w:hAnsi="Times New Roman" w:cs="Times New Roman"/>
            <w:color w:val="0000FF"/>
            <w:sz w:val="24"/>
            <w:szCs w:val="24"/>
            <w:u w:val="single"/>
          </w:rPr>
          <w:t>https://doi.org/10.1016/j.ijpsycho.2018.09.003</w:t>
        </w:r>
      </w:hyperlink>
    </w:p>
    <w:p w14:paraId="2328183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L., Lin, Y., Lao, G., Wang, Y., Guan, L., Wei, J., Yang, Z., Ni, P., Li, X., Jiang, Z., Li, T., Hao, X., Lin, D., Cao, L., &amp; Ma, X. (2015). Association study of dopamine receptor genes polymorphism with cognitive functions in bipolar I disorder patients.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170</w:t>
      </w:r>
      <w:r w:rsidRPr="00DB4C76">
        <w:rPr>
          <w:rFonts w:ascii="Times New Roman" w:eastAsia="Times New Roman" w:hAnsi="Times New Roman" w:cs="Times New Roman"/>
          <w:sz w:val="24"/>
          <w:szCs w:val="24"/>
        </w:rPr>
        <w:t xml:space="preserve">, 85–90. </w:t>
      </w:r>
      <w:hyperlink r:id="rId6507" w:history="1">
        <w:r w:rsidRPr="00DB4C76">
          <w:rPr>
            <w:rFonts w:ascii="Times New Roman" w:eastAsia="Times New Roman" w:hAnsi="Times New Roman" w:cs="Times New Roman"/>
            <w:color w:val="0000FF"/>
            <w:sz w:val="24"/>
            <w:szCs w:val="24"/>
            <w:u w:val="single"/>
          </w:rPr>
          <w:t>https://doi.org/10.1016/j.jad.2014.08.039</w:t>
        </w:r>
      </w:hyperlink>
    </w:p>
    <w:p w14:paraId="5435AAA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Zhao, T., Wei, B., Long, J., Tang, X., Zhou, M., &amp; Dang, C. (2015). Cognitive disorders in HIV-infected and AIDS patients in Guangxi, China. </w:t>
      </w:r>
      <w:r w:rsidRPr="00DB4C76">
        <w:rPr>
          <w:rFonts w:ascii="Times New Roman" w:eastAsia="Times New Roman" w:hAnsi="Times New Roman" w:cs="Times New Roman"/>
          <w:i/>
          <w:iCs/>
          <w:sz w:val="24"/>
          <w:szCs w:val="24"/>
        </w:rPr>
        <w:t>Journal of Neurovirology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21</w:t>
      </w:r>
      <w:r w:rsidRPr="00DB4C76">
        <w:rPr>
          <w:rFonts w:ascii="Times New Roman" w:eastAsia="Times New Roman" w:hAnsi="Times New Roman" w:cs="Times New Roman"/>
          <w:sz w:val="24"/>
          <w:szCs w:val="24"/>
        </w:rPr>
        <w:t xml:space="preserve">(1), 32–42. </w:t>
      </w:r>
      <w:hyperlink r:id="rId6508" w:history="1">
        <w:r w:rsidRPr="00DB4C76">
          <w:rPr>
            <w:rFonts w:ascii="Times New Roman" w:eastAsia="Times New Roman" w:hAnsi="Times New Roman" w:cs="Times New Roman"/>
            <w:color w:val="0000FF"/>
            <w:sz w:val="24"/>
            <w:szCs w:val="24"/>
            <w:u w:val="single"/>
          </w:rPr>
          <w:t>https://doi.org/10.1007/s13365-014-0295-x</w:t>
        </w:r>
      </w:hyperlink>
    </w:p>
    <w:p w14:paraId="29E0BD1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Zheng, H., Jia, F., Guo, G., Quan, D., Li, G., Wu, H., Zhang, B., Fan, C., He, X., &amp; Huang, H. (2015). Abnormal anterior cingulate N-acetylaspartate and executive functioning in treatment-resistant depression after rTMS therapy. </w:t>
      </w:r>
      <w:r w:rsidRPr="00DB4C76">
        <w:rPr>
          <w:rFonts w:ascii="Times New Roman" w:eastAsia="Times New Roman" w:hAnsi="Times New Roman" w:cs="Times New Roman"/>
          <w:i/>
          <w:iCs/>
          <w:sz w:val="24"/>
          <w:szCs w:val="24"/>
        </w:rPr>
        <w:t>International Journal of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18</w:t>
      </w:r>
      <w:r w:rsidRPr="00DB4C76">
        <w:rPr>
          <w:rFonts w:ascii="Times New Roman" w:eastAsia="Times New Roman" w:hAnsi="Times New Roman" w:cs="Times New Roman"/>
          <w:sz w:val="24"/>
          <w:szCs w:val="24"/>
        </w:rPr>
        <w:t xml:space="preserve">(11), 1–11. </w:t>
      </w:r>
      <w:hyperlink r:id="rId6509" w:history="1">
        <w:r w:rsidRPr="00DB4C76">
          <w:rPr>
            <w:rFonts w:ascii="Times New Roman" w:eastAsia="Times New Roman" w:hAnsi="Times New Roman" w:cs="Times New Roman"/>
            <w:color w:val="0000FF"/>
            <w:sz w:val="24"/>
            <w:szCs w:val="24"/>
            <w:u w:val="single"/>
          </w:rPr>
          <w:t>https://doi.org/10.1093/ijnp/pyv059</w:t>
        </w:r>
      </w:hyperlink>
    </w:p>
    <w:p w14:paraId="2DC398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Zheng, W., Xiang, Y.-Q., Ungvari, G. S., Chiu, H. F. K., Ng, C. H., Wang, Y., &amp; Xiang, Y.-T. (2016). Huperzine A for treatment of cognitive impairment in major depressive disorder: A systematic review of randomized controlled trials.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(2), 64–71.</w:t>
      </w:r>
    </w:p>
    <w:p w14:paraId="43D0F6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Zheng, W.-J., Zou, Y.-Z., Chen, N., Fan, H.-Z., Liu, L.-L., Gao, X.-X., Xie, M.-J., &amp; Zhang, Y. (2014). Cognitive stages of prospective memory impairment in the elderly with schizophrenia. [Cognitive stages of prospective memory impairment in the elderly with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(7), 499–505.</w:t>
      </w:r>
    </w:p>
    <w:p w14:paraId="427F301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Zhening, L., Junxiong, Z., &amp; Xiaozhang, C. (2003). Wisconsin Card Sorting Test and Continue Performance Test in Depression. [Wisconsin Card Sorting Test and Continue Performance Test in Depression.].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17</w:t>
      </w:r>
      <w:r w:rsidRPr="00DB4C76">
        <w:rPr>
          <w:rFonts w:ascii="Times New Roman" w:eastAsia="Times New Roman" w:hAnsi="Times New Roman" w:cs="Times New Roman"/>
          <w:sz w:val="24"/>
          <w:szCs w:val="24"/>
        </w:rPr>
        <w:t>(10), 690–692.</w:t>
      </w:r>
    </w:p>
    <w:p w14:paraId="2465F0D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Zhong, S., Wang, Y., Lai, S., Liu, T., Liao, X., Chen, G., &amp; Jia, Y. (2018). Associations between executive function impairment and biochemical abnormalities in bipolar disorder with suicidal ideation.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241</w:t>
      </w:r>
      <w:r w:rsidRPr="00DB4C76">
        <w:rPr>
          <w:rFonts w:ascii="Times New Roman" w:eastAsia="Times New Roman" w:hAnsi="Times New Roman" w:cs="Times New Roman"/>
          <w:sz w:val="24"/>
          <w:szCs w:val="24"/>
        </w:rPr>
        <w:t xml:space="preserve">, 282–290. </w:t>
      </w:r>
      <w:hyperlink r:id="rId6510" w:history="1">
        <w:r w:rsidRPr="00DB4C76">
          <w:rPr>
            <w:rFonts w:ascii="Times New Roman" w:eastAsia="Times New Roman" w:hAnsi="Times New Roman" w:cs="Times New Roman"/>
            <w:color w:val="0000FF"/>
            <w:sz w:val="24"/>
            <w:szCs w:val="24"/>
            <w:u w:val="single"/>
          </w:rPr>
          <w:t>https://doi.org/10.1016/j.jad.2018.08.031</w:t>
        </w:r>
      </w:hyperlink>
    </w:p>
    <w:p w14:paraId="75D4A72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Zhong, X., He, H., Zhang, C., Wang, Z., Jiang, M., Li, Q., Zhang, M., &amp; Huang, X. (2016). Mood and neuropsychological effects of different doses of ketamine in electroconvulsive therapy for treatment-resistant depression.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201</w:t>
      </w:r>
      <w:r w:rsidRPr="00DB4C76">
        <w:rPr>
          <w:rFonts w:ascii="Times New Roman" w:eastAsia="Times New Roman" w:hAnsi="Times New Roman" w:cs="Times New Roman"/>
          <w:sz w:val="24"/>
          <w:szCs w:val="24"/>
        </w:rPr>
        <w:t xml:space="preserve">, 124–130. </w:t>
      </w:r>
      <w:hyperlink r:id="rId6511" w:history="1">
        <w:r w:rsidRPr="00DB4C76">
          <w:rPr>
            <w:rFonts w:ascii="Times New Roman" w:eastAsia="Times New Roman" w:hAnsi="Times New Roman" w:cs="Times New Roman"/>
            <w:color w:val="0000FF"/>
            <w:sz w:val="24"/>
            <w:szCs w:val="24"/>
            <w:u w:val="single"/>
          </w:rPr>
          <w:t>https://doi.org/10.1016/j.jad.2016.05.011</w:t>
        </w:r>
      </w:hyperlink>
    </w:p>
    <w:p w14:paraId="7A1CFD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 Xiang, Y., Wang, C., Dickerson, F., Kreyenbuhl, J., Ungvari, G. S., Au, R. W. C., Zhou, J., Zhou, Y., Shum, D., Man, D., Lai, K. Y. C., Tang, W., Yu, X., &amp; Chiu, H. F. K. (2014). Predictive value of prospective memory for remission in first‐episode schizophrenia. </w:t>
      </w:r>
      <w:r w:rsidRPr="00DB4C76">
        <w:rPr>
          <w:rFonts w:ascii="Times New Roman" w:eastAsia="Times New Roman" w:hAnsi="Times New Roman" w:cs="Times New Roman"/>
          <w:i/>
          <w:iCs/>
          <w:sz w:val="24"/>
          <w:szCs w:val="24"/>
        </w:rPr>
        <w:t>Perspectives in Psychiatric Care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50</w:t>
      </w:r>
      <w:r w:rsidRPr="00DB4C76">
        <w:rPr>
          <w:rFonts w:ascii="Times New Roman" w:eastAsia="Times New Roman" w:hAnsi="Times New Roman" w:cs="Times New Roman"/>
          <w:sz w:val="24"/>
          <w:szCs w:val="24"/>
        </w:rPr>
        <w:t xml:space="preserve">(2), 102–110. </w:t>
      </w:r>
      <w:hyperlink r:id="rId6512" w:history="1">
        <w:r w:rsidRPr="00DB4C76">
          <w:rPr>
            <w:rFonts w:ascii="Times New Roman" w:eastAsia="Times New Roman" w:hAnsi="Times New Roman" w:cs="Times New Roman"/>
            <w:color w:val="0000FF"/>
            <w:sz w:val="24"/>
            <w:szCs w:val="24"/>
            <w:u w:val="single"/>
          </w:rPr>
          <w:t>https://doi.org/10.1111/ppc.12027</w:t>
        </w:r>
      </w:hyperlink>
    </w:p>
    <w:p w14:paraId="45406BC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F.-C., Hou, W.-M., Wang, C.-Y., Ungvari, G. S., Chiu, H. F. K., Correll, C. U., Shum, D. H. K., Man, D., Liu, D.-T., &amp; Xiang, Y.-T. (2014). Prospective memory performance in non-psychotic first- degree relatives of patients with schizophrenia: A controlled study.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(11).</w:t>
      </w:r>
    </w:p>
    <w:p w14:paraId="5373527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F.-C., Wang, C.-Y., Xiang, Y.-T., Jiang, T., Zhou, J.-J., &amp; Huang, J. (2013). Cognitive function and factors associated with remission in first episode schizophrenia. [Cognitive function and factors associated with remission in first episode schizophrenia.]. </w:t>
      </w:r>
      <w:r w:rsidRPr="00DB4C76">
        <w:rPr>
          <w:rFonts w:ascii="Times New Roman" w:eastAsia="Times New Roman" w:hAnsi="Times New Roman" w:cs="Times New Roman"/>
          <w:i/>
          <w:iCs/>
          <w:sz w:val="24"/>
          <w:szCs w:val="24"/>
        </w:rPr>
        <w:t>Chinese Mental Health Journal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w:t>
      </w:r>
      <w:r w:rsidRPr="00DB4C76">
        <w:rPr>
          <w:rFonts w:ascii="Times New Roman" w:eastAsia="Times New Roman" w:hAnsi="Times New Roman" w:cs="Times New Roman"/>
          <w:sz w:val="24"/>
          <w:szCs w:val="24"/>
        </w:rPr>
        <w:t>(8), 613–618.</w:t>
      </w:r>
    </w:p>
    <w:p w14:paraId="0A304ACC"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F.-C., Xiang, Y.-T., Wang, C.-Y., Dickerson, F., Au, R. W. C., Zhou, J.-J., Zhou, Y., Shum, D. H. K., Chiu, H. F. K., Man, D., Lee, E. H. M., Yu, X., Chan, R. C. K., &amp; Ungvari, G. S. (2012). Characteristics and clinical correlates of prospective memory performance in first-episode schizophrenia.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135</w:t>
      </w:r>
      <w:r w:rsidRPr="00DB4C76">
        <w:rPr>
          <w:rFonts w:ascii="Times New Roman" w:eastAsia="Times New Roman" w:hAnsi="Times New Roman" w:cs="Times New Roman"/>
          <w:sz w:val="24"/>
          <w:szCs w:val="24"/>
        </w:rPr>
        <w:t xml:space="preserve">(1–3), 34–39. </w:t>
      </w:r>
      <w:hyperlink r:id="rId6513" w:history="1">
        <w:r w:rsidRPr="00DB4C76">
          <w:rPr>
            <w:rFonts w:ascii="Times New Roman" w:eastAsia="Times New Roman" w:hAnsi="Times New Roman" w:cs="Times New Roman"/>
            <w:color w:val="0000FF"/>
            <w:sz w:val="24"/>
            <w:szCs w:val="24"/>
            <w:u w:val="single"/>
          </w:rPr>
          <w:t>https://doi.org/10.1016/j.schres.2011.12.001</w:t>
        </w:r>
      </w:hyperlink>
    </w:p>
    <w:p w14:paraId="79B22F3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W., Luo, X., &amp; Li, X. (2005). Cognitive Function in Children with Attention Deficit Hyperactivity Disorder Subtypes. [Cognitive Function in Children with Attention Deficit Hyperactivity Disorder Subtypes.].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(2), 187–189.</w:t>
      </w:r>
    </w:p>
    <w:p w14:paraId="43CAA9F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Y., Hu, J., &amp; Zhan, Y. (2007). A comparative study of cognitive dysfunction in refractory obsessive-compulsive disorder and non-refractory obsessive-compulsive disorder. [A comparative study of cognitive dysfunction in refractory obsessive-compulsive disorder and non-refractory obsessi.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(5), 550–551.</w:t>
      </w:r>
    </w:p>
    <w:p w14:paraId="50E7907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Y.-F. (2006). Relationship Between the Cognitive Function and Duration of Illness in OCD. [Relationship Between the Cognitive Function and Duration of Illness in OCD.].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w:t>
      </w:r>
      <w:r w:rsidRPr="00DB4C76">
        <w:rPr>
          <w:rFonts w:ascii="Times New Roman" w:eastAsia="Times New Roman" w:hAnsi="Times New Roman" w:cs="Times New Roman"/>
          <w:sz w:val="24"/>
          <w:szCs w:val="24"/>
        </w:rPr>
        <w:t>(4), 357-358,361.</w:t>
      </w:r>
    </w:p>
    <w:p w14:paraId="5E9F263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Z., &amp; Ni, D. (2017). Impairment of working memory, decision-making, and executive function in the first-degree relatives of people with panic disorder: A pilot study.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 </w:t>
      </w:r>
      <w:hyperlink r:id="rId6514" w:history="1">
        <w:r w:rsidRPr="00DB4C76">
          <w:rPr>
            <w:rFonts w:ascii="Times New Roman" w:eastAsia="Times New Roman" w:hAnsi="Times New Roman" w:cs="Times New Roman"/>
            <w:color w:val="0000FF"/>
            <w:sz w:val="24"/>
            <w:szCs w:val="24"/>
            <w:u w:val="single"/>
          </w:rPr>
          <w:t>https://doi.org/10.3389/fpsyt.2017.00219</w:t>
        </w:r>
      </w:hyperlink>
    </w:p>
    <w:p w14:paraId="1A89C9C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Z., Zhou, H., &amp; Zhu, H. (2016). Working memory, executive function and impulsivity in Internet-addictive disorders: A comparison with pathological gambling. </w:t>
      </w:r>
      <w:r w:rsidRPr="00DB4C76">
        <w:rPr>
          <w:rFonts w:ascii="Times New Roman" w:eastAsia="Times New Roman" w:hAnsi="Times New Roman" w:cs="Times New Roman"/>
          <w:i/>
          <w:iCs/>
          <w:sz w:val="24"/>
          <w:szCs w:val="24"/>
        </w:rPr>
        <w:t>Acta Neuropsychiatrica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28</w:t>
      </w:r>
      <w:r w:rsidRPr="00DB4C76">
        <w:rPr>
          <w:rFonts w:ascii="Times New Roman" w:eastAsia="Times New Roman" w:hAnsi="Times New Roman" w:cs="Times New Roman"/>
          <w:sz w:val="24"/>
          <w:szCs w:val="24"/>
        </w:rPr>
        <w:t xml:space="preserve">(2), 92–100. </w:t>
      </w:r>
      <w:hyperlink r:id="rId6515" w:history="1">
        <w:r w:rsidRPr="00DB4C76">
          <w:rPr>
            <w:rFonts w:ascii="Times New Roman" w:eastAsia="Times New Roman" w:hAnsi="Times New Roman" w:cs="Times New Roman"/>
            <w:color w:val="0000FF"/>
            <w:sz w:val="24"/>
            <w:szCs w:val="24"/>
            <w:u w:val="single"/>
          </w:rPr>
          <w:t>https://doi.org/10.1017/neu.2015.54</w:t>
        </w:r>
      </w:hyperlink>
    </w:p>
    <w:p w14:paraId="330F6B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Zhou, Z., Zhu, Y., Wang, J., &amp; Zhu, H. (2016). Risperidone improves interpersonal perception and executive function in patients with schizophrenia.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13</w:t>
      </w:r>
      <w:r w:rsidRPr="00DB4C76">
        <w:rPr>
          <w:rFonts w:ascii="Times New Roman" w:eastAsia="Times New Roman" w:hAnsi="Times New Roman" w:cs="Times New Roman"/>
          <w:sz w:val="24"/>
          <w:szCs w:val="24"/>
        </w:rPr>
        <w:t xml:space="preserve">. </w:t>
      </w:r>
      <w:hyperlink r:id="rId6516" w:history="1">
        <w:r w:rsidRPr="00DB4C76">
          <w:rPr>
            <w:rFonts w:ascii="Times New Roman" w:eastAsia="Times New Roman" w:hAnsi="Times New Roman" w:cs="Times New Roman"/>
            <w:color w:val="0000FF"/>
            <w:sz w:val="24"/>
            <w:szCs w:val="24"/>
            <w:u w:val="single"/>
          </w:rPr>
          <w:t>https://doi.org/10.2147/NDT.S120843</w:t>
        </w:r>
      </w:hyperlink>
    </w:p>
    <w:p w14:paraId="719555A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Zhu, S., Tang, G., &amp; Shi, J. (2012). Cross-sectional study of executive functioning in children with developmental coordination disorders. </w:t>
      </w:r>
      <w:r w:rsidRPr="00DB4C76">
        <w:rPr>
          <w:rFonts w:ascii="Times New Roman" w:eastAsia="Times New Roman" w:hAnsi="Times New Roman" w:cs="Times New Roman"/>
          <w:i/>
          <w:iCs/>
          <w:sz w:val="24"/>
          <w:szCs w:val="24"/>
        </w:rPr>
        <w:t>Shanghai Archives of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24</w:t>
      </w:r>
      <w:r w:rsidRPr="00DB4C76">
        <w:rPr>
          <w:rFonts w:ascii="Times New Roman" w:eastAsia="Times New Roman" w:hAnsi="Times New Roman" w:cs="Times New Roman"/>
          <w:sz w:val="24"/>
          <w:szCs w:val="24"/>
        </w:rPr>
        <w:t>(4), 217–221.</w:t>
      </w:r>
    </w:p>
    <w:p w14:paraId="09039CD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Zhu, W., Zhang, Z., Qi, J., Liu, F., Chen, J., Zhao, J., &amp; Guo, X. (2014). Adjunctive treatment for cognitive impairment in patients with chronic schizophrenia: A double-blind, placebo-controlled study. </w:t>
      </w:r>
      <w:r w:rsidRPr="00DB4C76">
        <w:rPr>
          <w:rFonts w:ascii="Times New Roman" w:eastAsia="Times New Roman" w:hAnsi="Times New Roman" w:cs="Times New Roman"/>
          <w:i/>
          <w:iCs/>
          <w:sz w:val="24"/>
          <w:szCs w:val="24"/>
        </w:rPr>
        <w:t>Neuropsychiatric Disease and Treatment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w:t>
      </w:r>
    </w:p>
    <w:p w14:paraId="6AA5C949"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Zhu, Y., Womer, F. Y., Leng, H., Chang, M., Yin, Z., Wei, Y., Zhou, Q., Fu, S., Deng, X., Lv, J., Song, Y., Ma, Y., Sun, X., Bao, J., Wei, S., Jiang, X., Tan, S., Tang, Y., &amp; Wang, F. (2019). The relationship between cognitive dysfunction and symptom dimensions across schizophrenia, bipolar disorder, and major depressive disorder. </w:t>
      </w:r>
      <w:r w:rsidRPr="00DB4C76">
        <w:rPr>
          <w:rFonts w:ascii="Times New Roman" w:eastAsia="Times New Roman" w:hAnsi="Times New Roman" w:cs="Times New Roman"/>
          <w:i/>
          <w:iCs/>
          <w:sz w:val="24"/>
          <w:szCs w:val="24"/>
        </w:rPr>
        <w:t>Frontiers in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 </w:t>
      </w:r>
      <w:hyperlink r:id="rId6517" w:history="1">
        <w:r w:rsidRPr="00DB4C76">
          <w:rPr>
            <w:rFonts w:ascii="Times New Roman" w:eastAsia="Times New Roman" w:hAnsi="Times New Roman" w:cs="Times New Roman"/>
            <w:color w:val="0000FF"/>
            <w:sz w:val="24"/>
            <w:szCs w:val="24"/>
            <w:u w:val="single"/>
          </w:rPr>
          <w:t>https://doi.org/10.3389/fpsyt.2019.00253</w:t>
        </w:r>
      </w:hyperlink>
    </w:p>
    <w:p w14:paraId="7527F12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Ziegelmayer, C., Hajak, G., Bauer, A., Held, M., Rupprecht, R., &amp; Trapp, W. (2017). Cognitive performance under electroconvulsive therapy (ECT) in ECT-naive treatment-resistant patients with major depressive disorder. </w:t>
      </w:r>
      <w:r w:rsidRPr="00DB4C76">
        <w:rPr>
          <w:rFonts w:ascii="Times New Roman" w:eastAsia="Times New Roman" w:hAnsi="Times New Roman" w:cs="Times New Roman"/>
          <w:i/>
          <w:iCs/>
          <w:sz w:val="24"/>
          <w:szCs w:val="24"/>
        </w:rPr>
        <w:t>The Journal of ECT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33</w:t>
      </w:r>
      <w:r w:rsidRPr="00DB4C76">
        <w:rPr>
          <w:rFonts w:ascii="Times New Roman" w:eastAsia="Times New Roman" w:hAnsi="Times New Roman" w:cs="Times New Roman"/>
          <w:sz w:val="24"/>
          <w:szCs w:val="24"/>
        </w:rPr>
        <w:t xml:space="preserve">(2), 104–110. </w:t>
      </w:r>
      <w:hyperlink r:id="rId6518" w:history="1">
        <w:r w:rsidRPr="00DB4C76">
          <w:rPr>
            <w:rFonts w:ascii="Times New Roman" w:eastAsia="Times New Roman" w:hAnsi="Times New Roman" w:cs="Times New Roman"/>
            <w:color w:val="0000FF"/>
            <w:sz w:val="24"/>
            <w:szCs w:val="24"/>
            <w:u w:val="single"/>
          </w:rPr>
          <w:t>https://doi.org/10.1097/YCT.0000000000000385</w:t>
        </w:r>
      </w:hyperlink>
    </w:p>
    <w:p w14:paraId="185B33C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Ziegler, E., Rouillard, M., André, E., Coolen, T., Stender, J., Balteau, E., Phillips, C., &amp; Garraux, G. (2014). Mapping track density changes in nigrostriatal and extranigral pathways in Parkinson’s disease. </w:t>
      </w:r>
      <w:r w:rsidRPr="00DB4C76">
        <w:rPr>
          <w:rFonts w:ascii="Times New Roman" w:eastAsia="Times New Roman" w:hAnsi="Times New Roman" w:cs="Times New Roman"/>
          <w:i/>
          <w:iCs/>
          <w:sz w:val="24"/>
          <w:szCs w:val="24"/>
        </w:rPr>
        <w:t>NeuroImage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99</w:t>
      </w:r>
      <w:r w:rsidRPr="00DB4C76">
        <w:rPr>
          <w:rFonts w:ascii="Times New Roman" w:eastAsia="Times New Roman" w:hAnsi="Times New Roman" w:cs="Times New Roman"/>
          <w:sz w:val="24"/>
          <w:szCs w:val="24"/>
        </w:rPr>
        <w:t xml:space="preserve">, 498–508. </w:t>
      </w:r>
      <w:hyperlink r:id="rId6519" w:history="1">
        <w:r w:rsidRPr="00DB4C76">
          <w:rPr>
            <w:rFonts w:ascii="Times New Roman" w:eastAsia="Times New Roman" w:hAnsi="Times New Roman" w:cs="Times New Roman"/>
            <w:color w:val="0000FF"/>
            <w:sz w:val="24"/>
            <w:szCs w:val="24"/>
            <w:u w:val="single"/>
          </w:rPr>
          <w:t>https://doi.org/10.1016/j.neuroimage.2014.06.033</w:t>
        </w:r>
      </w:hyperlink>
    </w:p>
    <w:p w14:paraId="7DDDD4D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Ziegler, G., Dahnke, R., Winkler, A. D., &amp; Gaser, C. (2013). Partial least squares correlation of multivariate cognitive abilities and local brain structure in children and adolescents. </w:t>
      </w:r>
      <w:r w:rsidRPr="00DB4C76">
        <w:rPr>
          <w:rFonts w:ascii="Times New Roman" w:eastAsia="Times New Roman" w:hAnsi="Times New Roman" w:cs="Times New Roman"/>
          <w:i/>
          <w:iCs/>
          <w:sz w:val="24"/>
          <w:szCs w:val="24"/>
        </w:rPr>
        <w:t>NeuroImage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82</w:t>
      </w:r>
      <w:r w:rsidRPr="00DB4C76">
        <w:rPr>
          <w:rFonts w:ascii="Times New Roman" w:eastAsia="Times New Roman" w:hAnsi="Times New Roman" w:cs="Times New Roman"/>
          <w:sz w:val="24"/>
          <w:szCs w:val="24"/>
        </w:rPr>
        <w:t xml:space="preserve">, 284–294. </w:t>
      </w:r>
      <w:hyperlink r:id="rId6520" w:history="1">
        <w:r w:rsidRPr="00DB4C76">
          <w:rPr>
            <w:rFonts w:ascii="Times New Roman" w:eastAsia="Times New Roman" w:hAnsi="Times New Roman" w:cs="Times New Roman"/>
            <w:color w:val="0000FF"/>
            <w:sz w:val="24"/>
            <w:szCs w:val="24"/>
            <w:u w:val="single"/>
          </w:rPr>
          <w:t>https://doi.org/10.1016/j.neuroimage.2013.05.088</w:t>
        </w:r>
      </w:hyperlink>
    </w:p>
    <w:p w14:paraId="423C53B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Ziermans, T., de Wit, S., Schothorst, P., Sprong, M., van Engeland, H., Kahn, R., &amp; Durston, S. (2014). Neurocognitive and clinical predictors of long-term outcome in adolescents at ultra-high risk for psychosis: A 6-year follow-up. </w:t>
      </w:r>
      <w:r w:rsidRPr="00DB4C76">
        <w:rPr>
          <w:rFonts w:ascii="Times New Roman" w:eastAsia="Times New Roman" w:hAnsi="Times New Roman" w:cs="Times New Roman"/>
          <w:i/>
          <w:iCs/>
          <w:sz w:val="24"/>
          <w:szCs w:val="24"/>
        </w:rPr>
        <w:t>PLoS ONE</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(4).</w:t>
      </w:r>
    </w:p>
    <w:p w14:paraId="1F64721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Zillmer, E. A., &amp; King, C. M. (2013). Forensic neuropsychological assessment. In </w:t>
      </w:r>
      <w:r w:rsidRPr="00DB4C76">
        <w:rPr>
          <w:rFonts w:ascii="Times New Roman" w:eastAsia="Times New Roman" w:hAnsi="Times New Roman" w:cs="Times New Roman"/>
          <w:i/>
          <w:iCs/>
          <w:sz w:val="24"/>
          <w:szCs w:val="24"/>
        </w:rPr>
        <w:t>Forensic uses of clinical assessment instruments, 2nd ed.</w:t>
      </w:r>
      <w:r w:rsidRPr="00DB4C76">
        <w:rPr>
          <w:rFonts w:ascii="Times New Roman" w:eastAsia="Times New Roman" w:hAnsi="Times New Roman" w:cs="Times New Roman"/>
          <w:sz w:val="24"/>
          <w:szCs w:val="24"/>
        </w:rPr>
        <w:t xml:space="preserve"> (pp. 291–310). Routledge/Taylor &amp; Francis Group.</w:t>
      </w:r>
    </w:p>
    <w:p w14:paraId="6B7AAC2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 A., Heyanka, D., &amp; Proctor-Weber, Z. (2018). Concordance validity of PVTs in a sample of veterans referred for mild TBI. </w:t>
      </w:r>
      <w:r w:rsidRPr="00DB4C76">
        <w:rPr>
          <w:rFonts w:ascii="Times New Roman" w:eastAsia="Times New Roman" w:hAnsi="Times New Roman" w:cs="Times New Roman"/>
          <w:i/>
          <w:iCs/>
          <w:sz w:val="24"/>
          <w:szCs w:val="24"/>
        </w:rPr>
        <w:t>Applied Neuropsychology: Adult</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 xml:space="preserve">(5), 385–394. </w:t>
      </w:r>
      <w:hyperlink r:id="rId6521" w:history="1">
        <w:r w:rsidRPr="00DB4C76">
          <w:rPr>
            <w:rFonts w:ascii="Times New Roman" w:eastAsia="Times New Roman" w:hAnsi="Times New Roman" w:cs="Times New Roman"/>
            <w:color w:val="0000FF"/>
            <w:sz w:val="24"/>
            <w:szCs w:val="24"/>
            <w:u w:val="single"/>
          </w:rPr>
          <w:t>https://doi.org/10.1080/23279095.2017.1319835</w:t>
        </w:r>
      </w:hyperlink>
    </w:p>
    <w:p w14:paraId="5C2C654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 M. E., DelBello, M. P., Getz, G. E., Shear, P. K., &amp; Strakowski, S. M. (2006). Anterior cingulate subregion volumes and executive function in bipolar disorder. </w:t>
      </w:r>
      <w:r w:rsidRPr="00DB4C76">
        <w:rPr>
          <w:rFonts w:ascii="Times New Roman" w:eastAsia="Times New Roman" w:hAnsi="Times New Roman" w:cs="Times New Roman"/>
          <w:i/>
          <w:iCs/>
          <w:sz w:val="24"/>
          <w:szCs w:val="24"/>
        </w:rPr>
        <w:t>Bipolar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 xml:space="preserve">(3), 281–288. </w:t>
      </w:r>
      <w:hyperlink r:id="rId6522" w:history="1">
        <w:r w:rsidRPr="00DB4C76">
          <w:rPr>
            <w:rFonts w:ascii="Times New Roman" w:eastAsia="Times New Roman" w:hAnsi="Times New Roman" w:cs="Times New Roman"/>
            <w:color w:val="0000FF"/>
            <w:sz w:val="24"/>
            <w:szCs w:val="24"/>
            <w:u w:val="single"/>
          </w:rPr>
          <w:t>https://doi.org/10.1111/j.1399-5618.2006.00298.x</w:t>
        </w:r>
      </w:hyperlink>
    </w:p>
    <w:p w14:paraId="2E357B4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de Oliveira Cardoso, C., Trentini, C. M., Grassi-Oliveira, R., &amp; Fonseca, R. P. (2015). Brazilian preliminary norms and investigation of age and education effects on the Modified Wisconsin Card Sorting Test, Stroop Color and Word test and Digit Span test in adults. </w:t>
      </w:r>
      <w:r w:rsidRPr="00DB4C76">
        <w:rPr>
          <w:rFonts w:ascii="Times New Roman" w:eastAsia="Times New Roman" w:hAnsi="Times New Roman" w:cs="Times New Roman"/>
          <w:i/>
          <w:iCs/>
          <w:sz w:val="24"/>
          <w:szCs w:val="24"/>
        </w:rPr>
        <w:t>Dementia &amp; 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(2), 120–127. </w:t>
      </w:r>
      <w:hyperlink r:id="rId6523" w:history="1">
        <w:r w:rsidRPr="00DB4C76">
          <w:rPr>
            <w:rFonts w:ascii="Times New Roman" w:eastAsia="Times New Roman" w:hAnsi="Times New Roman" w:cs="Times New Roman"/>
            <w:color w:val="0000FF"/>
            <w:sz w:val="24"/>
            <w:szCs w:val="24"/>
            <w:u w:val="single"/>
          </w:rPr>
          <w:t>https://doi.org/10.1590/1980-57642015DN92000006</w:t>
        </w:r>
      </w:hyperlink>
    </w:p>
    <w:p w14:paraId="54C6442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Gindri, G., de Oliveira, C. R., &amp; Fonseca, R. P. (2011). Pragmatic and executive functions in traumatic brain injury and right brain damage: An exploratory comparative study. </w:t>
      </w:r>
      <w:r w:rsidRPr="00DB4C76">
        <w:rPr>
          <w:rFonts w:ascii="Times New Roman" w:eastAsia="Times New Roman" w:hAnsi="Times New Roman" w:cs="Times New Roman"/>
          <w:i/>
          <w:iCs/>
          <w:sz w:val="24"/>
          <w:szCs w:val="24"/>
        </w:rPr>
        <w:t>Dementia &amp; Neuropsychologia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(4), 337–345. </w:t>
      </w:r>
      <w:hyperlink r:id="rId6524" w:history="1">
        <w:r w:rsidRPr="00DB4C76">
          <w:rPr>
            <w:rFonts w:ascii="Times New Roman" w:eastAsia="Times New Roman" w:hAnsi="Times New Roman" w:cs="Times New Roman"/>
            <w:color w:val="0000FF"/>
            <w:sz w:val="24"/>
            <w:szCs w:val="24"/>
            <w:u w:val="single"/>
          </w:rPr>
          <w:t>https://doi.org/10.1590/S1980-57642011DN05040013</w:t>
        </w:r>
      </w:hyperlink>
    </w:p>
    <w:p w14:paraId="553085D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Netto, T. M., Amodeo, M. T., Ska, B., &amp; Fonseca, R. P. (2014). Working memory training and poetry-based stimulation programs: Are there differences in cognitive outcome in healthy older adults? </w:t>
      </w:r>
      <w:r w:rsidRPr="00DB4C76">
        <w:rPr>
          <w:rFonts w:ascii="Times New Roman" w:eastAsia="Times New Roman" w:hAnsi="Times New Roman" w:cs="Times New Roman"/>
          <w:i/>
          <w:iCs/>
          <w:sz w:val="24"/>
          <w:szCs w:val="24"/>
        </w:rPr>
        <w:t>NeuroRehabilitation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35</w:t>
      </w:r>
      <w:r w:rsidRPr="00DB4C76">
        <w:rPr>
          <w:rFonts w:ascii="Times New Roman" w:eastAsia="Times New Roman" w:hAnsi="Times New Roman" w:cs="Times New Roman"/>
          <w:sz w:val="24"/>
          <w:szCs w:val="24"/>
        </w:rPr>
        <w:t>(1), 159–170.</w:t>
      </w:r>
    </w:p>
    <w:p w14:paraId="418AAF5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N., Pereira, N., Hermes-Pereira, A., Holz, M., Joanette, Y., &amp; Fonseca, R. P. (2015). Executive functions profiles in traumatic brain injury adults: Implications for rehabilitation studies. </w:t>
      </w:r>
      <w:r w:rsidRPr="00DB4C76">
        <w:rPr>
          <w:rFonts w:ascii="Times New Roman" w:eastAsia="Times New Roman" w:hAnsi="Times New Roman" w:cs="Times New Roman"/>
          <w:i/>
          <w:iCs/>
          <w:sz w:val="24"/>
          <w:szCs w:val="24"/>
        </w:rPr>
        <w:t>Brain Injury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 xml:space="preserve">(9), 1071–1081. </w:t>
      </w:r>
      <w:hyperlink r:id="rId6525" w:history="1">
        <w:r w:rsidRPr="00DB4C76">
          <w:rPr>
            <w:rFonts w:ascii="Times New Roman" w:eastAsia="Times New Roman" w:hAnsi="Times New Roman" w:cs="Times New Roman"/>
            <w:color w:val="0000FF"/>
            <w:sz w:val="24"/>
            <w:szCs w:val="24"/>
            <w:u w:val="single"/>
          </w:rPr>
          <w:t>https://doi.org/10.3109/02699052.2015.1015613</w:t>
        </w:r>
      </w:hyperlink>
    </w:p>
    <w:p w14:paraId="00758596"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Zimmermann, R., Gschwandtner, U., Hatz, F., Schindler, C., Bousleiman, H., Ahmed, S., Hardmeier, M., Meyer, A., Calabrese, P., &amp; Fuhr, P. (2015). Correlation of EEG slowing with cognitive domains in nondemented patients with Parkinson’s disease. </w:t>
      </w:r>
      <w:r w:rsidRPr="00DB4C76">
        <w:rPr>
          <w:rFonts w:ascii="Times New Roman" w:eastAsia="Times New Roman" w:hAnsi="Times New Roman" w:cs="Times New Roman"/>
          <w:i/>
          <w:iCs/>
          <w:sz w:val="24"/>
          <w:szCs w:val="24"/>
        </w:rPr>
        <w:t>Dementia and Geriatric Cognitive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39</w:t>
      </w:r>
      <w:r w:rsidRPr="00DB4C76">
        <w:rPr>
          <w:rFonts w:ascii="Times New Roman" w:eastAsia="Times New Roman" w:hAnsi="Times New Roman" w:cs="Times New Roman"/>
          <w:sz w:val="24"/>
          <w:szCs w:val="24"/>
        </w:rPr>
        <w:t xml:space="preserve">(3–4), 207–214. </w:t>
      </w:r>
      <w:hyperlink r:id="rId6526" w:history="1">
        <w:r w:rsidRPr="00DB4C76">
          <w:rPr>
            <w:rFonts w:ascii="Times New Roman" w:eastAsia="Times New Roman" w:hAnsi="Times New Roman" w:cs="Times New Roman"/>
            <w:color w:val="0000FF"/>
            <w:sz w:val="24"/>
            <w:szCs w:val="24"/>
            <w:u w:val="single"/>
          </w:rPr>
          <w:t>https://doi.org/10.1159/000370110</w:t>
        </w:r>
      </w:hyperlink>
    </w:p>
    <w:p w14:paraId="37926AF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Zinchenko, O., &amp; Enikolopova, E. (2017). The impact of executive functions and emotional intelligence on Iowa Gambling Task performance: Focus on right frontal lobe damage.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(8), 1026–1036. </w:t>
      </w:r>
      <w:hyperlink r:id="rId6527" w:history="1">
        <w:r w:rsidRPr="00DB4C76">
          <w:rPr>
            <w:rFonts w:ascii="Times New Roman" w:eastAsia="Times New Roman" w:hAnsi="Times New Roman" w:cs="Times New Roman"/>
            <w:color w:val="0000FF"/>
            <w:sz w:val="24"/>
            <w:szCs w:val="24"/>
            <w:u w:val="single"/>
          </w:rPr>
          <w:t>https://doi.org/10.1093/arclin/acx065</w:t>
        </w:r>
      </w:hyperlink>
    </w:p>
    <w:p w14:paraId="071E444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Zingerevich, C., &amp; LaVesser, P. D. (2009). The contribution of executive functions to participation in school activities of children with high functioning autism spectrum disorder. </w:t>
      </w:r>
      <w:r w:rsidRPr="00DB4C76">
        <w:rPr>
          <w:rFonts w:ascii="Times New Roman" w:eastAsia="Times New Roman" w:hAnsi="Times New Roman" w:cs="Times New Roman"/>
          <w:i/>
          <w:iCs/>
          <w:sz w:val="24"/>
          <w:szCs w:val="24"/>
        </w:rPr>
        <w:t>Research in Autism Spectrum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w:t>
      </w:r>
      <w:r w:rsidRPr="00DB4C76">
        <w:rPr>
          <w:rFonts w:ascii="Times New Roman" w:eastAsia="Times New Roman" w:hAnsi="Times New Roman" w:cs="Times New Roman"/>
          <w:sz w:val="24"/>
          <w:szCs w:val="24"/>
        </w:rPr>
        <w:t xml:space="preserve">(2), 429–437. </w:t>
      </w:r>
      <w:hyperlink r:id="rId6528" w:history="1">
        <w:r w:rsidRPr="00DB4C76">
          <w:rPr>
            <w:rFonts w:ascii="Times New Roman" w:eastAsia="Times New Roman" w:hAnsi="Times New Roman" w:cs="Times New Roman"/>
            <w:color w:val="0000FF"/>
            <w:sz w:val="24"/>
            <w:szCs w:val="24"/>
            <w:u w:val="single"/>
          </w:rPr>
          <w:t>https://doi.org/10.1016/j.rasd.2008.09.002</w:t>
        </w:r>
      </w:hyperlink>
    </w:p>
    <w:p w14:paraId="2F2EF040"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Zink, M., Sartorius, A., &amp; Lederbogen, F. (2004). Remission of polydipsia as antipsychotic effect of clozapine. </w:t>
      </w:r>
      <w:r w:rsidRPr="00DB4C76">
        <w:rPr>
          <w:rFonts w:ascii="Times New Roman" w:eastAsia="Times New Roman" w:hAnsi="Times New Roman" w:cs="Times New Roman"/>
          <w:i/>
          <w:iCs/>
          <w:sz w:val="24"/>
          <w:szCs w:val="24"/>
        </w:rPr>
        <w:t>European Psychiatry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w:t>
      </w:r>
      <w:r w:rsidRPr="00DB4C76">
        <w:rPr>
          <w:rFonts w:ascii="Times New Roman" w:eastAsia="Times New Roman" w:hAnsi="Times New Roman" w:cs="Times New Roman"/>
          <w:sz w:val="24"/>
          <w:szCs w:val="24"/>
        </w:rPr>
        <w:t xml:space="preserve">(5), 320–321. </w:t>
      </w:r>
      <w:hyperlink r:id="rId6529" w:history="1">
        <w:r w:rsidRPr="00DB4C76">
          <w:rPr>
            <w:rFonts w:ascii="Times New Roman" w:eastAsia="Times New Roman" w:hAnsi="Times New Roman" w:cs="Times New Roman"/>
            <w:color w:val="0000FF"/>
            <w:sz w:val="24"/>
            <w:szCs w:val="24"/>
            <w:u w:val="single"/>
          </w:rPr>
          <w:t>https://doi.org/10.1016/j.eurpsy.2004.04.005</w:t>
        </w:r>
      </w:hyperlink>
    </w:p>
    <w:p w14:paraId="36C39C8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Zirbes, C., Jones, A., Manzel, K., Denburg, N., &amp; Barrash, J. (2021). Assessing the effects of healthy and neuropathological aging on personality with the Iowa Scales of Personality Change. </w:t>
      </w:r>
      <w:r w:rsidRPr="00DB4C76">
        <w:rPr>
          <w:rFonts w:ascii="Times New Roman" w:eastAsia="Times New Roman" w:hAnsi="Times New Roman" w:cs="Times New Roman"/>
          <w:i/>
          <w:iCs/>
          <w:sz w:val="24"/>
          <w:szCs w:val="24"/>
        </w:rPr>
        <w:t>Developmental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46</w:t>
      </w:r>
      <w:r w:rsidRPr="00DB4C76">
        <w:rPr>
          <w:rFonts w:ascii="Times New Roman" w:eastAsia="Times New Roman" w:hAnsi="Times New Roman" w:cs="Times New Roman"/>
          <w:sz w:val="24"/>
          <w:szCs w:val="24"/>
        </w:rPr>
        <w:t xml:space="preserve">(5), 393–408. </w:t>
      </w:r>
      <w:hyperlink r:id="rId6530" w:history="1">
        <w:r w:rsidRPr="00DB4C76">
          <w:rPr>
            <w:rFonts w:ascii="Times New Roman" w:eastAsia="Times New Roman" w:hAnsi="Times New Roman" w:cs="Times New Roman"/>
            <w:color w:val="0000FF"/>
            <w:sz w:val="24"/>
            <w:szCs w:val="24"/>
            <w:u w:val="single"/>
          </w:rPr>
          <w:t>https://doi.org/10.1080/87565641.2021.1956500</w:t>
        </w:r>
      </w:hyperlink>
    </w:p>
    <w:p w14:paraId="095868E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Zito, W., Greig, T. C., Wexler, B. E., &amp; Bell, M. D. (2007). Predictors of on-site vocational support for people with schizophrenia in supported employment.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94</w:t>
      </w:r>
      <w:r w:rsidRPr="00DB4C76">
        <w:rPr>
          <w:rFonts w:ascii="Times New Roman" w:eastAsia="Times New Roman" w:hAnsi="Times New Roman" w:cs="Times New Roman"/>
          <w:sz w:val="24"/>
          <w:szCs w:val="24"/>
        </w:rPr>
        <w:t xml:space="preserve">(1–3), 81–88. </w:t>
      </w:r>
      <w:hyperlink r:id="rId6531" w:history="1">
        <w:r w:rsidRPr="00DB4C76">
          <w:rPr>
            <w:rFonts w:ascii="Times New Roman" w:eastAsia="Times New Roman" w:hAnsi="Times New Roman" w:cs="Times New Roman"/>
            <w:color w:val="0000FF"/>
            <w:sz w:val="24"/>
            <w:szCs w:val="24"/>
            <w:u w:val="single"/>
          </w:rPr>
          <w:t>https://doi.org/10.1016/j.schres.2007.03.026</w:t>
        </w:r>
      </w:hyperlink>
    </w:p>
    <w:p w14:paraId="1FBDC79B"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&amp; Robbins, T. W. (2018). Cognitive underpinnings of nationalistic ideology in the context of Brexit. </w:t>
      </w:r>
      <w:r w:rsidRPr="00DB4C76">
        <w:rPr>
          <w:rFonts w:ascii="Times New Roman" w:eastAsia="Times New Roman" w:hAnsi="Times New Roman" w:cs="Times New Roman"/>
          <w:i/>
          <w:iCs/>
          <w:sz w:val="24"/>
          <w:szCs w:val="24"/>
        </w:rPr>
        <w:t>PNAS Proceedings of the National Academy of Sciences of the United States of America</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115</w:t>
      </w:r>
      <w:r w:rsidRPr="00DB4C76">
        <w:rPr>
          <w:rFonts w:ascii="Times New Roman" w:eastAsia="Times New Roman" w:hAnsi="Times New Roman" w:cs="Times New Roman"/>
          <w:sz w:val="24"/>
          <w:szCs w:val="24"/>
        </w:rPr>
        <w:t xml:space="preserve">(19), E4532–E4540. </w:t>
      </w:r>
      <w:hyperlink r:id="rId6532" w:history="1">
        <w:r w:rsidRPr="00DB4C76">
          <w:rPr>
            <w:rFonts w:ascii="Times New Roman" w:eastAsia="Times New Roman" w:hAnsi="Times New Roman" w:cs="Times New Roman"/>
            <w:color w:val="0000FF"/>
            <w:sz w:val="24"/>
            <w:szCs w:val="24"/>
            <w:u w:val="single"/>
          </w:rPr>
          <w:t>https://doi.org/10.1073/pnas.1708960115</w:t>
        </w:r>
      </w:hyperlink>
    </w:p>
    <w:p w14:paraId="4E9F3CA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&amp; Robbins, T. W. (2019). Cognitive inflexibility predicts extremist attitudes. </w:t>
      </w:r>
      <w:r w:rsidRPr="00DB4C76">
        <w:rPr>
          <w:rFonts w:ascii="Times New Roman" w:eastAsia="Times New Roman" w:hAnsi="Times New Roman" w:cs="Times New Roman"/>
          <w:i/>
          <w:iCs/>
          <w:sz w:val="24"/>
          <w:szCs w:val="24"/>
        </w:rPr>
        <w:t>Frontiers in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10</w:t>
      </w:r>
      <w:r w:rsidRPr="00DB4C76">
        <w:rPr>
          <w:rFonts w:ascii="Times New Roman" w:eastAsia="Times New Roman" w:hAnsi="Times New Roman" w:cs="Times New Roman"/>
          <w:sz w:val="24"/>
          <w:szCs w:val="24"/>
        </w:rPr>
        <w:t xml:space="preserve">. </w:t>
      </w:r>
      <w:hyperlink r:id="rId6533" w:history="1">
        <w:r w:rsidRPr="00DB4C76">
          <w:rPr>
            <w:rFonts w:ascii="Times New Roman" w:eastAsia="Times New Roman" w:hAnsi="Times New Roman" w:cs="Times New Roman"/>
            <w:color w:val="0000FF"/>
            <w:sz w:val="24"/>
            <w:szCs w:val="24"/>
            <w:u w:val="single"/>
          </w:rPr>
          <w:t>https://doi.org/10.3389/fpsyg.2019.00989</w:t>
        </w:r>
      </w:hyperlink>
    </w:p>
    <w:p w14:paraId="4DE7C1F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&amp; Robbins, T. W. (2020). The partisan mind: Is extreme political partisanship related to cognitive inflexibility? </w:t>
      </w:r>
      <w:r w:rsidRPr="00DB4C76">
        <w:rPr>
          <w:rFonts w:ascii="Times New Roman" w:eastAsia="Times New Roman" w:hAnsi="Times New Roman" w:cs="Times New Roman"/>
          <w:i/>
          <w:iCs/>
          <w:sz w:val="24"/>
          <w:szCs w:val="24"/>
        </w:rPr>
        <w:t>Journal of Experimental Psychology: General</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149</w:t>
      </w:r>
      <w:r w:rsidRPr="00DB4C76">
        <w:rPr>
          <w:rFonts w:ascii="Times New Roman" w:eastAsia="Times New Roman" w:hAnsi="Times New Roman" w:cs="Times New Roman"/>
          <w:sz w:val="24"/>
          <w:szCs w:val="24"/>
        </w:rPr>
        <w:t xml:space="preserve">(3), 407–418. </w:t>
      </w:r>
      <w:hyperlink r:id="rId6534" w:history="1">
        <w:r w:rsidRPr="00DB4C76">
          <w:rPr>
            <w:rFonts w:ascii="Times New Roman" w:eastAsia="Times New Roman" w:hAnsi="Times New Roman" w:cs="Times New Roman"/>
            <w:color w:val="0000FF"/>
            <w:sz w:val="24"/>
            <w:szCs w:val="24"/>
            <w:u w:val="single"/>
          </w:rPr>
          <w:t>https://doi.org/10.1037/xge0000661</w:t>
        </w:r>
      </w:hyperlink>
    </w:p>
    <w:p w14:paraId="4F090A0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Zmigrod, L., Rentfrow, P. J., Zmigrod, S., &amp; Robbins, T. W. (2019). Cognitive flexibility and religious disbelief. </w:t>
      </w:r>
      <w:r w:rsidRPr="00DB4C76">
        <w:rPr>
          <w:rFonts w:ascii="Times New Roman" w:eastAsia="Times New Roman" w:hAnsi="Times New Roman" w:cs="Times New Roman"/>
          <w:i/>
          <w:iCs/>
          <w:sz w:val="24"/>
          <w:szCs w:val="24"/>
        </w:rPr>
        <w:t>Psychological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83</w:t>
      </w:r>
      <w:r w:rsidRPr="00DB4C76">
        <w:rPr>
          <w:rFonts w:ascii="Times New Roman" w:eastAsia="Times New Roman" w:hAnsi="Times New Roman" w:cs="Times New Roman"/>
          <w:sz w:val="24"/>
          <w:szCs w:val="24"/>
        </w:rPr>
        <w:t xml:space="preserve">(8), 1749–1759. </w:t>
      </w:r>
      <w:hyperlink r:id="rId6535" w:history="1">
        <w:r w:rsidRPr="00DB4C76">
          <w:rPr>
            <w:rFonts w:ascii="Times New Roman" w:eastAsia="Times New Roman" w:hAnsi="Times New Roman" w:cs="Times New Roman"/>
            <w:color w:val="0000FF"/>
            <w:sz w:val="24"/>
            <w:szCs w:val="24"/>
            <w:u w:val="single"/>
          </w:rPr>
          <w:t>https://doi.org/10.1007/s00426-018-1034-3</w:t>
        </w:r>
      </w:hyperlink>
    </w:p>
    <w:p w14:paraId="28D1AA12"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Zoccali, R., Muscatello, M. R., Bruno, A., Cambria, R., Micò, U., Spina, E., &amp; Meduri, M. (2007). The effect of lamotrigine augmentation of clozapine in a sample of treatment-resistant schizophrenic patients: A double-blind, placebo-controlled study. </w:t>
      </w:r>
      <w:r w:rsidRPr="00DB4C76">
        <w:rPr>
          <w:rFonts w:ascii="Times New Roman" w:eastAsia="Times New Roman" w:hAnsi="Times New Roman" w:cs="Times New Roman"/>
          <w:i/>
          <w:iCs/>
          <w:sz w:val="24"/>
          <w:szCs w:val="24"/>
        </w:rPr>
        <w:t>Schizophrenia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93</w:t>
      </w:r>
      <w:r w:rsidRPr="00DB4C76">
        <w:rPr>
          <w:rFonts w:ascii="Times New Roman" w:eastAsia="Times New Roman" w:hAnsi="Times New Roman" w:cs="Times New Roman"/>
          <w:sz w:val="24"/>
          <w:szCs w:val="24"/>
        </w:rPr>
        <w:t xml:space="preserve">(1–3), 109–116. </w:t>
      </w:r>
      <w:hyperlink r:id="rId6536" w:history="1">
        <w:r w:rsidRPr="00DB4C76">
          <w:rPr>
            <w:rFonts w:ascii="Times New Roman" w:eastAsia="Times New Roman" w:hAnsi="Times New Roman" w:cs="Times New Roman"/>
            <w:color w:val="0000FF"/>
            <w:sz w:val="24"/>
            <w:szCs w:val="24"/>
            <w:u w:val="single"/>
          </w:rPr>
          <w:t>https://doi.org/10.1016/j.schres.2007.02.009</w:t>
        </w:r>
      </w:hyperlink>
    </w:p>
    <w:p w14:paraId="0E7648F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Zoccolella, S., Savarese, M., Lamberti, P., Manni, R., Pacchetti, C., &amp; Logroscino, G. (2011). Sleep disorders and the natural history of Parkinson’s disease: The contribution of epidemiological studies. </w:t>
      </w:r>
      <w:r w:rsidRPr="00DB4C76">
        <w:rPr>
          <w:rFonts w:ascii="Times New Roman" w:eastAsia="Times New Roman" w:hAnsi="Times New Roman" w:cs="Times New Roman"/>
          <w:i/>
          <w:iCs/>
          <w:sz w:val="24"/>
          <w:szCs w:val="24"/>
        </w:rPr>
        <w:t>Sleep Medicine Reviews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15</w:t>
      </w:r>
      <w:r w:rsidRPr="00DB4C76">
        <w:rPr>
          <w:rFonts w:ascii="Times New Roman" w:eastAsia="Times New Roman" w:hAnsi="Times New Roman" w:cs="Times New Roman"/>
          <w:sz w:val="24"/>
          <w:szCs w:val="24"/>
        </w:rPr>
        <w:t xml:space="preserve">(1), 41–50. </w:t>
      </w:r>
      <w:hyperlink r:id="rId6537" w:history="1">
        <w:r w:rsidRPr="00DB4C76">
          <w:rPr>
            <w:rFonts w:ascii="Times New Roman" w:eastAsia="Times New Roman" w:hAnsi="Times New Roman" w:cs="Times New Roman"/>
            <w:color w:val="0000FF"/>
            <w:sz w:val="24"/>
            <w:szCs w:val="24"/>
            <w:u w:val="single"/>
          </w:rPr>
          <w:t>https://doi.org/10.1016/j.smrv.2010.02.004</w:t>
        </w:r>
      </w:hyperlink>
    </w:p>
    <w:p w14:paraId="6ADABA3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Zoccolillo, M. (1993). Gender and the development of conduct disorder. </w:t>
      </w:r>
      <w:r w:rsidRPr="00DB4C76">
        <w:rPr>
          <w:rFonts w:ascii="Times New Roman" w:eastAsia="Times New Roman" w:hAnsi="Times New Roman" w:cs="Times New Roman"/>
          <w:i/>
          <w:iCs/>
          <w:sz w:val="24"/>
          <w:szCs w:val="24"/>
        </w:rPr>
        <w:t>Development and Psychopathology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w:t>
      </w:r>
      <w:r w:rsidRPr="00DB4C76">
        <w:rPr>
          <w:rFonts w:ascii="Times New Roman" w:eastAsia="Times New Roman" w:hAnsi="Times New Roman" w:cs="Times New Roman"/>
          <w:sz w:val="24"/>
          <w:szCs w:val="24"/>
        </w:rPr>
        <w:t xml:space="preserve">(1–2), 65–78. </w:t>
      </w:r>
      <w:hyperlink r:id="rId6538" w:history="1">
        <w:r w:rsidRPr="00DB4C76">
          <w:rPr>
            <w:rFonts w:ascii="Times New Roman" w:eastAsia="Times New Roman" w:hAnsi="Times New Roman" w:cs="Times New Roman"/>
            <w:color w:val="0000FF"/>
            <w:sz w:val="24"/>
            <w:szCs w:val="24"/>
            <w:u w:val="single"/>
          </w:rPr>
          <w:t>https://doi.org/10.1017/S0954579400004260</w:t>
        </w:r>
      </w:hyperlink>
    </w:p>
    <w:p w14:paraId="6426EBE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Zohar, A. H., LaBuda, M., &amp; Moschel-Ravid, O. (1995). Obsessive-compulsive behaviors and cognitive functioning: A study of compulsivity, frame shifting and type A activity patterns in a normal population. </w:t>
      </w:r>
      <w:r w:rsidRPr="00DB4C76">
        <w:rPr>
          <w:rFonts w:ascii="Times New Roman" w:eastAsia="Times New Roman" w:hAnsi="Times New Roman" w:cs="Times New Roman"/>
          <w:i/>
          <w:iCs/>
          <w:sz w:val="24"/>
          <w:szCs w:val="24"/>
        </w:rPr>
        <w:t>Neuropsychiatry, Neuropsychology, &amp; Behavioral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8</w:t>
      </w:r>
      <w:r w:rsidRPr="00DB4C76">
        <w:rPr>
          <w:rFonts w:ascii="Times New Roman" w:eastAsia="Times New Roman" w:hAnsi="Times New Roman" w:cs="Times New Roman"/>
          <w:sz w:val="24"/>
          <w:szCs w:val="24"/>
        </w:rPr>
        <w:t>(3), 163–167.</w:t>
      </w:r>
    </w:p>
    <w:p w14:paraId="4434FCF8"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Zohar, J. (Ed.). (2012). </w:t>
      </w:r>
      <w:r w:rsidRPr="00DB4C76">
        <w:rPr>
          <w:rFonts w:ascii="Times New Roman" w:eastAsia="Times New Roman" w:hAnsi="Times New Roman" w:cs="Times New Roman"/>
          <w:i/>
          <w:iCs/>
          <w:sz w:val="24"/>
          <w:szCs w:val="24"/>
        </w:rPr>
        <w:t>Obsessive compulsive disorder: Current science and clinical practice.</w:t>
      </w:r>
      <w:r w:rsidRPr="00DB4C76">
        <w:rPr>
          <w:rFonts w:ascii="Times New Roman" w:eastAsia="Times New Roman" w:hAnsi="Times New Roman" w:cs="Times New Roman"/>
          <w:sz w:val="24"/>
          <w:szCs w:val="24"/>
        </w:rPr>
        <w:t xml:space="preserve"> (pp. xvii, 339). Wiley-Blackwell. </w:t>
      </w:r>
      <w:hyperlink r:id="rId6539" w:history="1">
        <w:r w:rsidRPr="00DB4C76">
          <w:rPr>
            <w:rFonts w:ascii="Times New Roman" w:eastAsia="Times New Roman" w:hAnsi="Times New Roman" w:cs="Times New Roman"/>
            <w:color w:val="0000FF"/>
            <w:sz w:val="24"/>
            <w:szCs w:val="24"/>
            <w:u w:val="single"/>
          </w:rPr>
          <w:t>https://doi.org/10.1002/9781119941125</w:t>
        </w:r>
      </w:hyperlink>
    </w:p>
    <w:p w14:paraId="3FD9A031"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Zohar, J., Hermesh, H., Weizman, A., Voet, H., &amp; Gross-Isseroff, R. (1999). Orbitofrontal cortex dysfunctionin obsessive-compulsive disorder? I. Alternation learning in obsessive-compulsive disorder: Male-female comparisons. </w:t>
      </w:r>
      <w:r w:rsidRPr="00DB4C76">
        <w:rPr>
          <w:rFonts w:ascii="Times New Roman" w:eastAsia="Times New Roman" w:hAnsi="Times New Roman" w:cs="Times New Roman"/>
          <w:i/>
          <w:iCs/>
          <w:sz w:val="24"/>
          <w:szCs w:val="24"/>
        </w:rPr>
        <w:t>European Neuropsychopharmacology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 xml:space="preserve">(5), 407–413. </w:t>
      </w:r>
      <w:hyperlink r:id="rId6540" w:history="1">
        <w:r w:rsidRPr="00DB4C76">
          <w:rPr>
            <w:rFonts w:ascii="Times New Roman" w:eastAsia="Times New Roman" w:hAnsi="Times New Roman" w:cs="Times New Roman"/>
            <w:color w:val="0000FF"/>
            <w:sz w:val="24"/>
            <w:szCs w:val="24"/>
            <w:u w:val="single"/>
          </w:rPr>
          <w:t>https://doi.org/10.1016/S0924-977X(99)00019-X</w:t>
        </w:r>
      </w:hyperlink>
    </w:p>
    <w:p w14:paraId="1AE3596F"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Zook, N. A., Bennett, T. L., &amp; Lane, M. (2009). Identifying at-risk older adult community-dwelling drivers through neuropsychological evaluation. </w:t>
      </w:r>
      <w:r w:rsidRPr="00DB4C76">
        <w:rPr>
          <w:rFonts w:ascii="Times New Roman" w:eastAsia="Times New Roman" w:hAnsi="Times New Roman" w:cs="Times New Roman"/>
          <w:i/>
          <w:iCs/>
          <w:sz w:val="24"/>
          <w:szCs w:val="24"/>
        </w:rPr>
        <w:t>Applied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16</w:t>
      </w:r>
      <w:r w:rsidRPr="00DB4C76">
        <w:rPr>
          <w:rFonts w:ascii="Times New Roman" w:eastAsia="Times New Roman" w:hAnsi="Times New Roman" w:cs="Times New Roman"/>
          <w:sz w:val="24"/>
          <w:szCs w:val="24"/>
        </w:rPr>
        <w:t xml:space="preserve">(4), 281–287. </w:t>
      </w:r>
      <w:hyperlink r:id="rId6541" w:history="1">
        <w:r w:rsidRPr="00DB4C76">
          <w:rPr>
            <w:rFonts w:ascii="Times New Roman" w:eastAsia="Times New Roman" w:hAnsi="Times New Roman" w:cs="Times New Roman"/>
            <w:color w:val="0000FF"/>
            <w:sz w:val="24"/>
            <w:szCs w:val="24"/>
            <w:u w:val="single"/>
          </w:rPr>
          <w:t>https://doi.org/10.1080/09084280903297826</w:t>
        </w:r>
      </w:hyperlink>
    </w:p>
    <w:p w14:paraId="1EEAC4C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Zook, N. A., Davalos, D. B., DeLosh, E. L., &amp; Davis, H. P. (2004). Working memory, inhibition, and fluid intelligence as predictors of performance on Tower of Hanoi and London tasks. </w:t>
      </w:r>
      <w:r w:rsidRPr="00DB4C76">
        <w:rPr>
          <w:rFonts w:ascii="Times New Roman" w:eastAsia="Times New Roman" w:hAnsi="Times New Roman" w:cs="Times New Roman"/>
          <w:i/>
          <w:iCs/>
          <w:sz w:val="24"/>
          <w:szCs w:val="24"/>
        </w:rPr>
        <w:t>Brain and Cognition</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56</w:t>
      </w:r>
      <w:r w:rsidRPr="00DB4C76">
        <w:rPr>
          <w:rFonts w:ascii="Times New Roman" w:eastAsia="Times New Roman" w:hAnsi="Times New Roman" w:cs="Times New Roman"/>
          <w:sz w:val="24"/>
          <w:szCs w:val="24"/>
        </w:rPr>
        <w:t xml:space="preserve">(3), 286–292. </w:t>
      </w:r>
      <w:hyperlink r:id="rId6542" w:history="1">
        <w:r w:rsidRPr="00DB4C76">
          <w:rPr>
            <w:rFonts w:ascii="Times New Roman" w:eastAsia="Times New Roman" w:hAnsi="Times New Roman" w:cs="Times New Roman"/>
            <w:color w:val="0000FF"/>
            <w:sz w:val="24"/>
            <w:szCs w:val="24"/>
            <w:u w:val="single"/>
          </w:rPr>
          <w:t>https://doi.org/10.1016/j.bandc.2004.07.003</w:t>
        </w:r>
      </w:hyperlink>
    </w:p>
    <w:p w14:paraId="2F8CBF45"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 D., Ni, M., &amp; Zhao, J. (2001). The efficacy of clozapine treatment on cognitive impairment of patients with type I and type II schizophrenia. [The efficacy of clozapine treatment on cognitive impairment of patients with type I and type II schizophrenia.]. </w:t>
      </w:r>
      <w:r w:rsidRPr="00DB4C76">
        <w:rPr>
          <w:rFonts w:ascii="Times New Roman" w:eastAsia="Times New Roman" w:hAnsi="Times New Roman" w:cs="Times New Roman"/>
          <w:i/>
          <w:iCs/>
          <w:sz w:val="24"/>
          <w:szCs w:val="24"/>
        </w:rPr>
        <w:t>Chinese Journal of Clinical 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9</w:t>
      </w:r>
      <w:r w:rsidRPr="00DB4C76">
        <w:rPr>
          <w:rFonts w:ascii="Times New Roman" w:eastAsia="Times New Roman" w:hAnsi="Times New Roman" w:cs="Times New Roman"/>
          <w:sz w:val="24"/>
          <w:szCs w:val="24"/>
        </w:rPr>
        <w:t>(3), 210–211.</w:t>
      </w:r>
    </w:p>
    <w:p w14:paraId="459288E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 Z., Meng, H., Ma, Z., Deng, W., Du, L., Wang, H., Chen, P., &amp; Hu, H. (2013). Executive functioning deficits and childhood trauma in juvenile violent offenders in China.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207</w:t>
      </w:r>
      <w:r w:rsidRPr="00DB4C76">
        <w:rPr>
          <w:rFonts w:ascii="Times New Roman" w:eastAsia="Times New Roman" w:hAnsi="Times New Roman" w:cs="Times New Roman"/>
          <w:sz w:val="24"/>
          <w:szCs w:val="24"/>
        </w:rPr>
        <w:t xml:space="preserve">(3), 218–224. </w:t>
      </w:r>
      <w:hyperlink r:id="rId6543" w:history="1">
        <w:r w:rsidRPr="00DB4C76">
          <w:rPr>
            <w:rFonts w:ascii="Times New Roman" w:eastAsia="Times New Roman" w:hAnsi="Times New Roman" w:cs="Times New Roman"/>
            <w:color w:val="0000FF"/>
            <w:sz w:val="24"/>
            <w:szCs w:val="24"/>
            <w:u w:val="single"/>
          </w:rPr>
          <w:t>https://doi.org/10.1016/j.psychres.2012.09.013</w:t>
        </w:r>
      </w:hyperlink>
    </w:p>
    <w:p w14:paraId="219A6FF7"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Zouraraki, C., Karagiannopoulou, L., Karamaouna, P., Pallis, E. G., &amp; Giakoumaki, S. G. (2019). Schizotypal traits, neurocognition, and paternal age in unaffected first degree relatives of patients with familial or sporadic schizophrenia. </w:t>
      </w:r>
      <w:r w:rsidRPr="00DB4C76">
        <w:rPr>
          <w:rFonts w:ascii="Times New Roman" w:eastAsia="Times New Roman" w:hAnsi="Times New Roman" w:cs="Times New Roman"/>
          <w:i/>
          <w:iCs/>
          <w:sz w:val="24"/>
          <w:szCs w:val="24"/>
        </w:rPr>
        <w:t>Psychiatry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273</w:t>
      </w:r>
      <w:r w:rsidRPr="00DB4C76">
        <w:rPr>
          <w:rFonts w:ascii="Times New Roman" w:eastAsia="Times New Roman" w:hAnsi="Times New Roman" w:cs="Times New Roman"/>
          <w:sz w:val="24"/>
          <w:szCs w:val="24"/>
        </w:rPr>
        <w:t xml:space="preserve">, 422–429. </w:t>
      </w:r>
      <w:hyperlink r:id="rId6544" w:history="1">
        <w:r w:rsidRPr="00DB4C76">
          <w:rPr>
            <w:rFonts w:ascii="Times New Roman" w:eastAsia="Times New Roman" w:hAnsi="Times New Roman" w:cs="Times New Roman"/>
            <w:color w:val="0000FF"/>
            <w:sz w:val="24"/>
            <w:szCs w:val="24"/>
            <w:u w:val="single"/>
          </w:rPr>
          <w:t>https://doi.org/10.1016/j.psychres.2018.12.142</w:t>
        </w:r>
      </w:hyperlink>
    </w:p>
    <w:p w14:paraId="3CC6281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Zouraraki, C., Karamaouna, P., Karagiannopoulou, L., &amp; Giakoumaki, S. G. (2017). Schizotypy-independent and schizotypy-modulated cognitive impairments in unaffected first-degree relatives of schizophrenia-spectrum patients. </w:t>
      </w:r>
      <w:r w:rsidRPr="00DB4C76">
        <w:rPr>
          <w:rFonts w:ascii="Times New Roman" w:eastAsia="Times New Roman" w:hAnsi="Times New Roman" w:cs="Times New Roman"/>
          <w:i/>
          <w:iCs/>
          <w:sz w:val="24"/>
          <w:szCs w:val="24"/>
        </w:rPr>
        <w:t>Archives of Clinical Neuropsychology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32</w:t>
      </w:r>
      <w:r w:rsidRPr="00DB4C76">
        <w:rPr>
          <w:rFonts w:ascii="Times New Roman" w:eastAsia="Times New Roman" w:hAnsi="Times New Roman" w:cs="Times New Roman"/>
          <w:sz w:val="24"/>
          <w:szCs w:val="24"/>
        </w:rPr>
        <w:t xml:space="preserve">(8), 1010–1025. </w:t>
      </w:r>
      <w:hyperlink r:id="rId6545" w:history="1">
        <w:r w:rsidRPr="00DB4C76">
          <w:rPr>
            <w:rFonts w:ascii="Times New Roman" w:eastAsia="Times New Roman" w:hAnsi="Times New Roman" w:cs="Times New Roman"/>
            <w:color w:val="0000FF"/>
            <w:sz w:val="24"/>
            <w:szCs w:val="24"/>
            <w:u w:val="single"/>
          </w:rPr>
          <w:t>https://doi.org/10.1093/arclin/acx029</w:t>
        </w:r>
      </w:hyperlink>
    </w:p>
    <w:p w14:paraId="18FD5154"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Zouraraki, C., Karamaouna, P., Karagiannopoulou, L., &amp; Giakoumaki, S. G. (2020). Associations of multidimensional temperament and character profiles with cognition and sensorimotor gating in individuals at risk for schizophrenia-spectrum disorders: Preliminary findings. </w:t>
      </w:r>
      <w:r w:rsidRPr="00DB4C76">
        <w:rPr>
          <w:rFonts w:ascii="Times New Roman" w:eastAsia="Times New Roman" w:hAnsi="Times New Roman" w:cs="Times New Roman"/>
          <w:i/>
          <w:iCs/>
          <w:sz w:val="24"/>
          <w:szCs w:val="24"/>
        </w:rPr>
        <w:t>Psychology: The Journal of the Hellenic Psychological Society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25</w:t>
      </w:r>
      <w:r w:rsidRPr="00DB4C76">
        <w:rPr>
          <w:rFonts w:ascii="Times New Roman" w:eastAsia="Times New Roman" w:hAnsi="Times New Roman" w:cs="Times New Roman"/>
          <w:sz w:val="24"/>
          <w:szCs w:val="24"/>
        </w:rPr>
        <w:t>(2), 34–50.</w:t>
      </w:r>
    </w:p>
    <w:p w14:paraId="4925BBDD"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Zucchella, C., Sinforiani, E., Tassorelli, C., Cavallini, E., Tost-Pardell, D., Grau, S., Pazzi, S., Puricelli, S., Bernini, S., Bottiroli, S., Vecchi, T., Sandrini, G., &amp; Nappi, G. (2014). Serious games for screening pre-dementia conditions: From virtuality to reality? A pilot project. </w:t>
      </w:r>
      <w:r w:rsidRPr="00DB4C76">
        <w:rPr>
          <w:rFonts w:ascii="Times New Roman" w:eastAsia="Times New Roman" w:hAnsi="Times New Roman" w:cs="Times New Roman"/>
          <w:i/>
          <w:iCs/>
          <w:sz w:val="24"/>
          <w:szCs w:val="24"/>
        </w:rPr>
        <w:t>Functional Neurology</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29</w:t>
      </w:r>
      <w:r w:rsidRPr="00DB4C76">
        <w:rPr>
          <w:rFonts w:ascii="Times New Roman" w:eastAsia="Times New Roman" w:hAnsi="Times New Roman" w:cs="Times New Roman"/>
          <w:sz w:val="24"/>
          <w:szCs w:val="24"/>
        </w:rPr>
        <w:t>(3), 153–158.</w:t>
      </w:r>
    </w:p>
    <w:p w14:paraId="47A4D78A"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Zucker, N., Wagner, H. R., Merwin, R., Bulik, C. M., Moskovich, A., Keeling, L., &amp; Hoyle, R. (2015). Self‐focused attention in anorexia nervosa. </w:t>
      </w:r>
      <w:r w:rsidRPr="00DB4C76">
        <w:rPr>
          <w:rFonts w:ascii="Times New Roman" w:eastAsia="Times New Roman" w:hAnsi="Times New Roman" w:cs="Times New Roman"/>
          <w:i/>
          <w:iCs/>
          <w:sz w:val="24"/>
          <w:szCs w:val="24"/>
        </w:rPr>
        <w:t>International Journal of Eating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48</w:t>
      </w:r>
      <w:r w:rsidRPr="00DB4C76">
        <w:rPr>
          <w:rFonts w:ascii="Times New Roman" w:eastAsia="Times New Roman" w:hAnsi="Times New Roman" w:cs="Times New Roman"/>
          <w:sz w:val="24"/>
          <w:szCs w:val="24"/>
        </w:rPr>
        <w:t xml:space="preserve">(1), 9–14. </w:t>
      </w:r>
      <w:hyperlink r:id="rId6546" w:history="1">
        <w:r w:rsidRPr="00DB4C76">
          <w:rPr>
            <w:rFonts w:ascii="Times New Roman" w:eastAsia="Times New Roman" w:hAnsi="Times New Roman" w:cs="Times New Roman"/>
            <w:color w:val="0000FF"/>
            <w:sz w:val="24"/>
            <w:szCs w:val="24"/>
            <w:u w:val="single"/>
          </w:rPr>
          <w:t>https://doi.org/10.1002/eat.22307</w:t>
        </w:r>
      </w:hyperlink>
    </w:p>
    <w:p w14:paraId="19EDA333"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Zuluaga-Castaño, Y., Montoya-Arenas, D. A., Velilla, L., Ospina, C., Arboleda-Velasquez, J. F., Quiroz, Y. T., &amp; Lopera, F. (2018). Cognitive performance in asymptomatic carriers of mutations R1031C and R141C in CADASIL. </w:t>
      </w:r>
      <w:r w:rsidRPr="00DB4C76">
        <w:rPr>
          <w:rFonts w:ascii="Times New Roman" w:eastAsia="Times New Roman" w:hAnsi="Times New Roman" w:cs="Times New Roman"/>
          <w:i/>
          <w:iCs/>
          <w:sz w:val="24"/>
          <w:szCs w:val="24"/>
        </w:rPr>
        <w:t>International Journal of Psychological Research</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11</w:t>
      </w:r>
      <w:r w:rsidRPr="00DB4C76">
        <w:rPr>
          <w:rFonts w:ascii="Times New Roman" w:eastAsia="Times New Roman" w:hAnsi="Times New Roman" w:cs="Times New Roman"/>
          <w:sz w:val="24"/>
          <w:szCs w:val="24"/>
        </w:rPr>
        <w:t>(2), 46–55.</w:t>
      </w:r>
    </w:p>
    <w:p w14:paraId="4C9A9BBE" w14:textId="77777777" w:rsidR="00DB4C76" w:rsidRPr="00DB4C76" w:rsidRDefault="00DB4C76" w:rsidP="003B57E5">
      <w:pPr>
        <w:spacing w:before="240" w:after="0" w:line="240" w:lineRule="auto"/>
        <w:ind w:left="450" w:hanging="450"/>
        <w:rPr>
          <w:rFonts w:ascii="Times New Roman" w:eastAsia="Times New Roman" w:hAnsi="Times New Roman" w:cs="Times New Roman"/>
          <w:sz w:val="24"/>
          <w:szCs w:val="24"/>
        </w:rPr>
      </w:pPr>
      <w:r w:rsidRPr="00DB4C76">
        <w:rPr>
          <w:rFonts w:ascii="Times New Roman" w:eastAsia="Times New Roman" w:hAnsi="Times New Roman" w:cs="Times New Roman"/>
          <w:sz w:val="24"/>
          <w:szCs w:val="24"/>
        </w:rPr>
        <w:t xml:space="preserve">Zyto, S., Jabben, N., Schulte, P. F. J., Regeer, B. J., &amp; Kupka, R. W. (2016). A pilot study of a combined group and individual functional remediation program for patients with bipolar I disorder. </w:t>
      </w:r>
      <w:r w:rsidRPr="00DB4C76">
        <w:rPr>
          <w:rFonts w:ascii="Times New Roman" w:eastAsia="Times New Roman" w:hAnsi="Times New Roman" w:cs="Times New Roman"/>
          <w:i/>
          <w:iCs/>
          <w:sz w:val="24"/>
          <w:szCs w:val="24"/>
        </w:rPr>
        <w:t>Journal of Affective Disorders</w:t>
      </w:r>
      <w:r w:rsidRPr="00DB4C76">
        <w:rPr>
          <w:rFonts w:ascii="Times New Roman" w:eastAsia="Times New Roman" w:hAnsi="Times New Roman" w:cs="Times New Roman"/>
          <w:sz w:val="24"/>
          <w:szCs w:val="24"/>
        </w:rPr>
        <w:t xml:space="preserve">, </w:t>
      </w:r>
      <w:r w:rsidRPr="00DB4C76">
        <w:rPr>
          <w:rFonts w:ascii="Times New Roman" w:eastAsia="Times New Roman" w:hAnsi="Times New Roman" w:cs="Times New Roman"/>
          <w:i/>
          <w:iCs/>
          <w:sz w:val="24"/>
          <w:szCs w:val="24"/>
        </w:rPr>
        <w:t>194</w:t>
      </w:r>
      <w:r w:rsidRPr="00DB4C76">
        <w:rPr>
          <w:rFonts w:ascii="Times New Roman" w:eastAsia="Times New Roman" w:hAnsi="Times New Roman" w:cs="Times New Roman"/>
          <w:sz w:val="24"/>
          <w:szCs w:val="24"/>
        </w:rPr>
        <w:t xml:space="preserve">, 9–15. </w:t>
      </w:r>
      <w:hyperlink r:id="rId6547" w:history="1">
        <w:r w:rsidRPr="00DB4C76">
          <w:rPr>
            <w:rFonts w:ascii="Times New Roman" w:eastAsia="Times New Roman" w:hAnsi="Times New Roman" w:cs="Times New Roman"/>
            <w:color w:val="0000FF"/>
            <w:sz w:val="24"/>
            <w:szCs w:val="24"/>
            <w:u w:val="single"/>
          </w:rPr>
          <w:t>https://doi.org/10.1016/j.jad.2016.01.029</w:t>
        </w:r>
      </w:hyperlink>
    </w:p>
    <w:p w14:paraId="43D1B67B" w14:textId="78A471E8" w:rsidR="00C40506" w:rsidRPr="00C40506" w:rsidRDefault="00C40506" w:rsidP="003B57E5">
      <w:pPr>
        <w:spacing w:before="240" w:line="240" w:lineRule="auto"/>
        <w:ind w:left="450" w:hanging="450"/>
        <w:rPr>
          <w:rFonts w:ascii="Times New Roman" w:hAnsi="Times New Roman" w:cs="Times New Roman"/>
          <w:sz w:val="24"/>
          <w:szCs w:val="24"/>
        </w:rPr>
      </w:pPr>
    </w:p>
    <w:sectPr w:rsidR="00C40506" w:rsidRPr="00C405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506"/>
    <w:rsid w:val="001768F9"/>
    <w:rsid w:val="00292868"/>
    <w:rsid w:val="00297308"/>
    <w:rsid w:val="003B57E5"/>
    <w:rsid w:val="003C721D"/>
    <w:rsid w:val="00493BCE"/>
    <w:rsid w:val="004C4852"/>
    <w:rsid w:val="005474A6"/>
    <w:rsid w:val="005B38F0"/>
    <w:rsid w:val="00600FC7"/>
    <w:rsid w:val="006A4208"/>
    <w:rsid w:val="0074138E"/>
    <w:rsid w:val="00896AA2"/>
    <w:rsid w:val="009352BE"/>
    <w:rsid w:val="00A86C05"/>
    <w:rsid w:val="00C40506"/>
    <w:rsid w:val="00DB4C76"/>
    <w:rsid w:val="00FC3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4BE7D"/>
  <w15:chartTrackingRefBased/>
  <w15:docId w15:val="{528BEB11-1D08-4153-B7BB-AFC28436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B38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B38F0"/>
    <w:rPr>
      <w:color w:val="0000FF"/>
      <w:u w:val="single"/>
    </w:rPr>
  </w:style>
  <w:style w:type="character" w:styleId="FollowedHyperlink">
    <w:name w:val="FollowedHyperlink"/>
    <w:basedOn w:val="DefaultParagraphFont"/>
    <w:uiPriority w:val="99"/>
    <w:semiHidden/>
    <w:unhideWhenUsed/>
    <w:rsid w:val="005B38F0"/>
    <w:rPr>
      <w:color w:val="800080"/>
      <w:u w:val="single"/>
    </w:rPr>
  </w:style>
  <w:style w:type="character" w:customStyle="1" w:styleId="z3988">
    <w:name w:val="z3988"/>
    <w:basedOn w:val="DefaultParagraphFont"/>
    <w:rsid w:val="005B3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90810">
      <w:bodyDiv w:val="1"/>
      <w:marLeft w:val="0"/>
      <w:marRight w:val="0"/>
      <w:marTop w:val="0"/>
      <w:marBottom w:val="0"/>
      <w:divBdr>
        <w:top w:val="none" w:sz="0" w:space="0" w:color="auto"/>
        <w:left w:val="none" w:sz="0" w:space="0" w:color="auto"/>
        <w:bottom w:val="none" w:sz="0" w:space="0" w:color="auto"/>
        <w:right w:val="none" w:sz="0" w:space="0" w:color="auto"/>
      </w:divBdr>
      <w:divsChild>
        <w:div w:id="272399095">
          <w:marLeft w:val="480"/>
          <w:marRight w:val="0"/>
          <w:marTop w:val="0"/>
          <w:marBottom w:val="0"/>
          <w:divBdr>
            <w:top w:val="none" w:sz="0" w:space="0" w:color="auto"/>
            <w:left w:val="none" w:sz="0" w:space="0" w:color="auto"/>
            <w:bottom w:val="none" w:sz="0" w:space="0" w:color="auto"/>
            <w:right w:val="none" w:sz="0" w:space="0" w:color="auto"/>
          </w:divBdr>
          <w:divsChild>
            <w:div w:id="1275135793">
              <w:marLeft w:val="0"/>
              <w:marRight w:val="0"/>
              <w:marTop w:val="0"/>
              <w:marBottom w:val="0"/>
              <w:divBdr>
                <w:top w:val="none" w:sz="0" w:space="0" w:color="auto"/>
                <w:left w:val="none" w:sz="0" w:space="0" w:color="auto"/>
                <w:bottom w:val="none" w:sz="0" w:space="0" w:color="auto"/>
                <w:right w:val="none" w:sz="0" w:space="0" w:color="auto"/>
              </w:divBdr>
            </w:div>
            <w:div w:id="2056347880">
              <w:marLeft w:val="0"/>
              <w:marRight w:val="0"/>
              <w:marTop w:val="0"/>
              <w:marBottom w:val="0"/>
              <w:divBdr>
                <w:top w:val="none" w:sz="0" w:space="0" w:color="auto"/>
                <w:left w:val="none" w:sz="0" w:space="0" w:color="auto"/>
                <w:bottom w:val="none" w:sz="0" w:space="0" w:color="auto"/>
                <w:right w:val="none" w:sz="0" w:space="0" w:color="auto"/>
              </w:divBdr>
            </w:div>
            <w:div w:id="1369716052">
              <w:marLeft w:val="0"/>
              <w:marRight w:val="0"/>
              <w:marTop w:val="0"/>
              <w:marBottom w:val="0"/>
              <w:divBdr>
                <w:top w:val="none" w:sz="0" w:space="0" w:color="auto"/>
                <w:left w:val="none" w:sz="0" w:space="0" w:color="auto"/>
                <w:bottom w:val="none" w:sz="0" w:space="0" w:color="auto"/>
                <w:right w:val="none" w:sz="0" w:space="0" w:color="auto"/>
              </w:divBdr>
            </w:div>
            <w:div w:id="2061467646">
              <w:marLeft w:val="0"/>
              <w:marRight w:val="0"/>
              <w:marTop w:val="0"/>
              <w:marBottom w:val="0"/>
              <w:divBdr>
                <w:top w:val="none" w:sz="0" w:space="0" w:color="auto"/>
                <w:left w:val="none" w:sz="0" w:space="0" w:color="auto"/>
                <w:bottom w:val="none" w:sz="0" w:space="0" w:color="auto"/>
                <w:right w:val="none" w:sz="0" w:space="0" w:color="auto"/>
              </w:divBdr>
            </w:div>
            <w:div w:id="1700353361">
              <w:marLeft w:val="0"/>
              <w:marRight w:val="0"/>
              <w:marTop w:val="0"/>
              <w:marBottom w:val="0"/>
              <w:divBdr>
                <w:top w:val="none" w:sz="0" w:space="0" w:color="auto"/>
                <w:left w:val="none" w:sz="0" w:space="0" w:color="auto"/>
                <w:bottom w:val="none" w:sz="0" w:space="0" w:color="auto"/>
                <w:right w:val="none" w:sz="0" w:space="0" w:color="auto"/>
              </w:divBdr>
            </w:div>
            <w:div w:id="724455912">
              <w:marLeft w:val="0"/>
              <w:marRight w:val="0"/>
              <w:marTop w:val="0"/>
              <w:marBottom w:val="0"/>
              <w:divBdr>
                <w:top w:val="none" w:sz="0" w:space="0" w:color="auto"/>
                <w:left w:val="none" w:sz="0" w:space="0" w:color="auto"/>
                <w:bottom w:val="none" w:sz="0" w:space="0" w:color="auto"/>
                <w:right w:val="none" w:sz="0" w:space="0" w:color="auto"/>
              </w:divBdr>
            </w:div>
            <w:div w:id="1508977678">
              <w:marLeft w:val="0"/>
              <w:marRight w:val="0"/>
              <w:marTop w:val="0"/>
              <w:marBottom w:val="0"/>
              <w:divBdr>
                <w:top w:val="none" w:sz="0" w:space="0" w:color="auto"/>
                <w:left w:val="none" w:sz="0" w:space="0" w:color="auto"/>
                <w:bottom w:val="none" w:sz="0" w:space="0" w:color="auto"/>
                <w:right w:val="none" w:sz="0" w:space="0" w:color="auto"/>
              </w:divBdr>
            </w:div>
            <w:div w:id="646713692">
              <w:marLeft w:val="0"/>
              <w:marRight w:val="0"/>
              <w:marTop w:val="0"/>
              <w:marBottom w:val="0"/>
              <w:divBdr>
                <w:top w:val="none" w:sz="0" w:space="0" w:color="auto"/>
                <w:left w:val="none" w:sz="0" w:space="0" w:color="auto"/>
                <w:bottom w:val="none" w:sz="0" w:space="0" w:color="auto"/>
                <w:right w:val="none" w:sz="0" w:space="0" w:color="auto"/>
              </w:divBdr>
            </w:div>
            <w:div w:id="2126265679">
              <w:marLeft w:val="0"/>
              <w:marRight w:val="0"/>
              <w:marTop w:val="0"/>
              <w:marBottom w:val="0"/>
              <w:divBdr>
                <w:top w:val="none" w:sz="0" w:space="0" w:color="auto"/>
                <w:left w:val="none" w:sz="0" w:space="0" w:color="auto"/>
                <w:bottom w:val="none" w:sz="0" w:space="0" w:color="auto"/>
                <w:right w:val="none" w:sz="0" w:space="0" w:color="auto"/>
              </w:divBdr>
            </w:div>
            <w:div w:id="725221937">
              <w:marLeft w:val="0"/>
              <w:marRight w:val="0"/>
              <w:marTop w:val="0"/>
              <w:marBottom w:val="0"/>
              <w:divBdr>
                <w:top w:val="none" w:sz="0" w:space="0" w:color="auto"/>
                <w:left w:val="none" w:sz="0" w:space="0" w:color="auto"/>
                <w:bottom w:val="none" w:sz="0" w:space="0" w:color="auto"/>
                <w:right w:val="none" w:sz="0" w:space="0" w:color="auto"/>
              </w:divBdr>
            </w:div>
            <w:div w:id="319160830">
              <w:marLeft w:val="0"/>
              <w:marRight w:val="0"/>
              <w:marTop w:val="0"/>
              <w:marBottom w:val="0"/>
              <w:divBdr>
                <w:top w:val="none" w:sz="0" w:space="0" w:color="auto"/>
                <w:left w:val="none" w:sz="0" w:space="0" w:color="auto"/>
                <w:bottom w:val="none" w:sz="0" w:space="0" w:color="auto"/>
                <w:right w:val="none" w:sz="0" w:space="0" w:color="auto"/>
              </w:divBdr>
            </w:div>
            <w:div w:id="1955625672">
              <w:marLeft w:val="0"/>
              <w:marRight w:val="0"/>
              <w:marTop w:val="0"/>
              <w:marBottom w:val="0"/>
              <w:divBdr>
                <w:top w:val="none" w:sz="0" w:space="0" w:color="auto"/>
                <w:left w:val="none" w:sz="0" w:space="0" w:color="auto"/>
                <w:bottom w:val="none" w:sz="0" w:space="0" w:color="auto"/>
                <w:right w:val="none" w:sz="0" w:space="0" w:color="auto"/>
              </w:divBdr>
            </w:div>
            <w:div w:id="57440304">
              <w:marLeft w:val="0"/>
              <w:marRight w:val="0"/>
              <w:marTop w:val="0"/>
              <w:marBottom w:val="0"/>
              <w:divBdr>
                <w:top w:val="none" w:sz="0" w:space="0" w:color="auto"/>
                <w:left w:val="none" w:sz="0" w:space="0" w:color="auto"/>
                <w:bottom w:val="none" w:sz="0" w:space="0" w:color="auto"/>
                <w:right w:val="none" w:sz="0" w:space="0" w:color="auto"/>
              </w:divBdr>
            </w:div>
            <w:div w:id="1966692997">
              <w:marLeft w:val="0"/>
              <w:marRight w:val="0"/>
              <w:marTop w:val="0"/>
              <w:marBottom w:val="0"/>
              <w:divBdr>
                <w:top w:val="none" w:sz="0" w:space="0" w:color="auto"/>
                <w:left w:val="none" w:sz="0" w:space="0" w:color="auto"/>
                <w:bottom w:val="none" w:sz="0" w:space="0" w:color="auto"/>
                <w:right w:val="none" w:sz="0" w:space="0" w:color="auto"/>
              </w:divBdr>
            </w:div>
            <w:div w:id="832404984">
              <w:marLeft w:val="0"/>
              <w:marRight w:val="0"/>
              <w:marTop w:val="0"/>
              <w:marBottom w:val="0"/>
              <w:divBdr>
                <w:top w:val="none" w:sz="0" w:space="0" w:color="auto"/>
                <w:left w:val="none" w:sz="0" w:space="0" w:color="auto"/>
                <w:bottom w:val="none" w:sz="0" w:space="0" w:color="auto"/>
                <w:right w:val="none" w:sz="0" w:space="0" w:color="auto"/>
              </w:divBdr>
            </w:div>
            <w:div w:id="1259096257">
              <w:marLeft w:val="0"/>
              <w:marRight w:val="0"/>
              <w:marTop w:val="0"/>
              <w:marBottom w:val="0"/>
              <w:divBdr>
                <w:top w:val="none" w:sz="0" w:space="0" w:color="auto"/>
                <w:left w:val="none" w:sz="0" w:space="0" w:color="auto"/>
                <w:bottom w:val="none" w:sz="0" w:space="0" w:color="auto"/>
                <w:right w:val="none" w:sz="0" w:space="0" w:color="auto"/>
              </w:divBdr>
            </w:div>
            <w:div w:id="906258858">
              <w:marLeft w:val="0"/>
              <w:marRight w:val="0"/>
              <w:marTop w:val="0"/>
              <w:marBottom w:val="0"/>
              <w:divBdr>
                <w:top w:val="none" w:sz="0" w:space="0" w:color="auto"/>
                <w:left w:val="none" w:sz="0" w:space="0" w:color="auto"/>
                <w:bottom w:val="none" w:sz="0" w:space="0" w:color="auto"/>
                <w:right w:val="none" w:sz="0" w:space="0" w:color="auto"/>
              </w:divBdr>
            </w:div>
            <w:div w:id="1002050516">
              <w:marLeft w:val="0"/>
              <w:marRight w:val="0"/>
              <w:marTop w:val="0"/>
              <w:marBottom w:val="0"/>
              <w:divBdr>
                <w:top w:val="none" w:sz="0" w:space="0" w:color="auto"/>
                <w:left w:val="none" w:sz="0" w:space="0" w:color="auto"/>
                <w:bottom w:val="none" w:sz="0" w:space="0" w:color="auto"/>
                <w:right w:val="none" w:sz="0" w:space="0" w:color="auto"/>
              </w:divBdr>
            </w:div>
            <w:div w:id="1111975637">
              <w:marLeft w:val="0"/>
              <w:marRight w:val="0"/>
              <w:marTop w:val="0"/>
              <w:marBottom w:val="0"/>
              <w:divBdr>
                <w:top w:val="none" w:sz="0" w:space="0" w:color="auto"/>
                <w:left w:val="none" w:sz="0" w:space="0" w:color="auto"/>
                <w:bottom w:val="none" w:sz="0" w:space="0" w:color="auto"/>
                <w:right w:val="none" w:sz="0" w:space="0" w:color="auto"/>
              </w:divBdr>
            </w:div>
            <w:div w:id="335696310">
              <w:marLeft w:val="0"/>
              <w:marRight w:val="0"/>
              <w:marTop w:val="0"/>
              <w:marBottom w:val="0"/>
              <w:divBdr>
                <w:top w:val="none" w:sz="0" w:space="0" w:color="auto"/>
                <w:left w:val="none" w:sz="0" w:space="0" w:color="auto"/>
                <w:bottom w:val="none" w:sz="0" w:space="0" w:color="auto"/>
                <w:right w:val="none" w:sz="0" w:space="0" w:color="auto"/>
              </w:divBdr>
            </w:div>
            <w:div w:id="1593734747">
              <w:marLeft w:val="0"/>
              <w:marRight w:val="0"/>
              <w:marTop w:val="0"/>
              <w:marBottom w:val="0"/>
              <w:divBdr>
                <w:top w:val="none" w:sz="0" w:space="0" w:color="auto"/>
                <w:left w:val="none" w:sz="0" w:space="0" w:color="auto"/>
                <w:bottom w:val="none" w:sz="0" w:space="0" w:color="auto"/>
                <w:right w:val="none" w:sz="0" w:space="0" w:color="auto"/>
              </w:divBdr>
            </w:div>
            <w:div w:id="445849063">
              <w:marLeft w:val="0"/>
              <w:marRight w:val="0"/>
              <w:marTop w:val="0"/>
              <w:marBottom w:val="0"/>
              <w:divBdr>
                <w:top w:val="none" w:sz="0" w:space="0" w:color="auto"/>
                <w:left w:val="none" w:sz="0" w:space="0" w:color="auto"/>
                <w:bottom w:val="none" w:sz="0" w:space="0" w:color="auto"/>
                <w:right w:val="none" w:sz="0" w:space="0" w:color="auto"/>
              </w:divBdr>
            </w:div>
            <w:div w:id="1190098172">
              <w:marLeft w:val="0"/>
              <w:marRight w:val="0"/>
              <w:marTop w:val="0"/>
              <w:marBottom w:val="0"/>
              <w:divBdr>
                <w:top w:val="none" w:sz="0" w:space="0" w:color="auto"/>
                <w:left w:val="none" w:sz="0" w:space="0" w:color="auto"/>
                <w:bottom w:val="none" w:sz="0" w:space="0" w:color="auto"/>
                <w:right w:val="none" w:sz="0" w:space="0" w:color="auto"/>
              </w:divBdr>
            </w:div>
            <w:div w:id="544298184">
              <w:marLeft w:val="0"/>
              <w:marRight w:val="0"/>
              <w:marTop w:val="0"/>
              <w:marBottom w:val="0"/>
              <w:divBdr>
                <w:top w:val="none" w:sz="0" w:space="0" w:color="auto"/>
                <w:left w:val="none" w:sz="0" w:space="0" w:color="auto"/>
                <w:bottom w:val="none" w:sz="0" w:space="0" w:color="auto"/>
                <w:right w:val="none" w:sz="0" w:space="0" w:color="auto"/>
              </w:divBdr>
            </w:div>
            <w:div w:id="374233777">
              <w:marLeft w:val="0"/>
              <w:marRight w:val="0"/>
              <w:marTop w:val="0"/>
              <w:marBottom w:val="0"/>
              <w:divBdr>
                <w:top w:val="none" w:sz="0" w:space="0" w:color="auto"/>
                <w:left w:val="none" w:sz="0" w:space="0" w:color="auto"/>
                <w:bottom w:val="none" w:sz="0" w:space="0" w:color="auto"/>
                <w:right w:val="none" w:sz="0" w:space="0" w:color="auto"/>
              </w:divBdr>
            </w:div>
            <w:div w:id="1457332082">
              <w:marLeft w:val="0"/>
              <w:marRight w:val="0"/>
              <w:marTop w:val="0"/>
              <w:marBottom w:val="0"/>
              <w:divBdr>
                <w:top w:val="none" w:sz="0" w:space="0" w:color="auto"/>
                <w:left w:val="none" w:sz="0" w:space="0" w:color="auto"/>
                <w:bottom w:val="none" w:sz="0" w:space="0" w:color="auto"/>
                <w:right w:val="none" w:sz="0" w:space="0" w:color="auto"/>
              </w:divBdr>
            </w:div>
            <w:div w:id="1624074874">
              <w:marLeft w:val="0"/>
              <w:marRight w:val="0"/>
              <w:marTop w:val="0"/>
              <w:marBottom w:val="0"/>
              <w:divBdr>
                <w:top w:val="none" w:sz="0" w:space="0" w:color="auto"/>
                <w:left w:val="none" w:sz="0" w:space="0" w:color="auto"/>
                <w:bottom w:val="none" w:sz="0" w:space="0" w:color="auto"/>
                <w:right w:val="none" w:sz="0" w:space="0" w:color="auto"/>
              </w:divBdr>
            </w:div>
            <w:div w:id="1746416368">
              <w:marLeft w:val="0"/>
              <w:marRight w:val="0"/>
              <w:marTop w:val="0"/>
              <w:marBottom w:val="0"/>
              <w:divBdr>
                <w:top w:val="none" w:sz="0" w:space="0" w:color="auto"/>
                <w:left w:val="none" w:sz="0" w:space="0" w:color="auto"/>
                <w:bottom w:val="none" w:sz="0" w:space="0" w:color="auto"/>
                <w:right w:val="none" w:sz="0" w:space="0" w:color="auto"/>
              </w:divBdr>
            </w:div>
            <w:div w:id="1002246796">
              <w:marLeft w:val="0"/>
              <w:marRight w:val="0"/>
              <w:marTop w:val="0"/>
              <w:marBottom w:val="0"/>
              <w:divBdr>
                <w:top w:val="none" w:sz="0" w:space="0" w:color="auto"/>
                <w:left w:val="none" w:sz="0" w:space="0" w:color="auto"/>
                <w:bottom w:val="none" w:sz="0" w:space="0" w:color="auto"/>
                <w:right w:val="none" w:sz="0" w:space="0" w:color="auto"/>
              </w:divBdr>
            </w:div>
            <w:div w:id="370040273">
              <w:marLeft w:val="0"/>
              <w:marRight w:val="0"/>
              <w:marTop w:val="0"/>
              <w:marBottom w:val="0"/>
              <w:divBdr>
                <w:top w:val="none" w:sz="0" w:space="0" w:color="auto"/>
                <w:left w:val="none" w:sz="0" w:space="0" w:color="auto"/>
                <w:bottom w:val="none" w:sz="0" w:space="0" w:color="auto"/>
                <w:right w:val="none" w:sz="0" w:space="0" w:color="auto"/>
              </w:divBdr>
            </w:div>
            <w:div w:id="1361736289">
              <w:marLeft w:val="0"/>
              <w:marRight w:val="0"/>
              <w:marTop w:val="0"/>
              <w:marBottom w:val="0"/>
              <w:divBdr>
                <w:top w:val="none" w:sz="0" w:space="0" w:color="auto"/>
                <w:left w:val="none" w:sz="0" w:space="0" w:color="auto"/>
                <w:bottom w:val="none" w:sz="0" w:space="0" w:color="auto"/>
                <w:right w:val="none" w:sz="0" w:space="0" w:color="auto"/>
              </w:divBdr>
            </w:div>
            <w:div w:id="505245694">
              <w:marLeft w:val="0"/>
              <w:marRight w:val="0"/>
              <w:marTop w:val="0"/>
              <w:marBottom w:val="0"/>
              <w:divBdr>
                <w:top w:val="none" w:sz="0" w:space="0" w:color="auto"/>
                <w:left w:val="none" w:sz="0" w:space="0" w:color="auto"/>
                <w:bottom w:val="none" w:sz="0" w:space="0" w:color="auto"/>
                <w:right w:val="none" w:sz="0" w:space="0" w:color="auto"/>
              </w:divBdr>
            </w:div>
            <w:div w:id="276104774">
              <w:marLeft w:val="0"/>
              <w:marRight w:val="0"/>
              <w:marTop w:val="0"/>
              <w:marBottom w:val="0"/>
              <w:divBdr>
                <w:top w:val="none" w:sz="0" w:space="0" w:color="auto"/>
                <w:left w:val="none" w:sz="0" w:space="0" w:color="auto"/>
                <w:bottom w:val="none" w:sz="0" w:space="0" w:color="auto"/>
                <w:right w:val="none" w:sz="0" w:space="0" w:color="auto"/>
              </w:divBdr>
            </w:div>
            <w:div w:id="748700491">
              <w:marLeft w:val="0"/>
              <w:marRight w:val="0"/>
              <w:marTop w:val="0"/>
              <w:marBottom w:val="0"/>
              <w:divBdr>
                <w:top w:val="none" w:sz="0" w:space="0" w:color="auto"/>
                <w:left w:val="none" w:sz="0" w:space="0" w:color="auto"/>
                <w:bottom w:val="none" w:sz="0" w:space="0" w:color="auto"/>
                <w:right w:val="none" w:sz="0" w:space="0" w:color="auto"/>
              </w:divBdr>
            </w:div>
            <w:div w:id="694424506">
              <w:marLeft w:val="0"/>
              <w:marRight w:val="0"/>
              <w:marTop w:val="0"/>
              <w:marBottom w:val="0"/>
              <w:divBdr>
                <w:top w:val="none" w:sz="0" w:space="0" w:color="auto"/>
                <w:left w:val="none" w:sz="0" w:space="0" w:color="auto"/>
                <w:bottom w:val="none" w:sz="0" w:space="0" w:color="auto"/>
                <w:right w:val="none" w:sz="0" w:space="0" w:color="auto"/>
              </w:divBdr>
            </w:div>
            <w:div w:id="1729376065">
              <w:marLeft w:val="0"/>
              <w:marRight w:val="0"/>
              <w:marTop w:val="0"/>
              <w:marBottom w:val="0"/>
              <w:divBdr>
                <w:top w:val="none" w:sz="0" w:space="0" w:color="auto"/>
                <w:left w:val="none" w:sz="0" w:space="0" w:color="auto"/>
                <w:bottom w:val="none" w:sz="0" w:space="0" w:color="auto"/>
                <w:right w:val="none" w:sz="0" w:space="0" w:color="auto"/>
              </w:divBdr>
            </w:div>
            <w:div w:id="1893468591">
              <w:marLeft w:val="0"/>
              <w:marRight w:val="0"/>
              <w:marTop w:val="0"/>
              <w:marBottom w:val="0"/>
              <w:divBdr>
                <w:top w:val="none" w:sz="0" w:space="0" w:color="auto"/>
                <w:left w:val="none" w:sz="0" w:space="0" w:color="auto"/>
                <w:bottom w:val="none" w:sz="0" w:space="0" w:color="auto"/>
                <w:right w:val="none" w:sz="0" w:space="0" w:color="auto"/>
              </w:divBdr>
            </w:div>
            <w:div w:id="2083600191">
              <w:marLeft w:val="0"/>
              <w:marRight w:val="0"/>
              <w:marTop w:val="0"/>
              <w:marBottom w:val="0"/>
              <w:divBdr>
                <w:top w:val="none" w:sz="0" w:space="0" w:color="auto"/>
                <w:left w:val="none" w:sz="0" w:space="0" w:color="auto"/>
                <w:bottom w:val="none" w:sz="0" w:space="0" w:color="auto"/>
                <w:right w:val="none" w:sz="0" w:space="0" w:color="auto"/>
              </w:divBdr>
            </w:div>
            <w:div w:id="1910143315">
              <w:marLeft w:val="0"/>
              <w:marRight w:val="0"/>
              <w:marTop w:val="0"/>
              <w:marBottom w:val="0"/>
              <w:divBdr>
                <w:top w:val="none" w:sz="0" w:space="0" w:color="auto"/>
                <w:left w:val="none" w:sz="0" w:space="0" w:color="auto"/>
                <w:bottom w:val="none" w:sz="0" w:space="0" w:color="auto"/>
                <w:right w:val="none" w:sz="0" w:space="0" w:color="auto"/>
              </w:divBdr>
            </w:div>
            <w:div w:id="210919164">
              <w:marLeft w:val="0"/>
              <w:marRight w:val="0"/>
              <w:marTop w:val="0"/>
              <w:marBottom w:val="0"/>
              <w:divBdr>
                <w:top w:val="none" w:sz="0" w:space="0" w:color="auto"/>
                <w:left w:val="none" w:sz="0" w:space="0" w:color="auto"/>
                <w:bottom w:val="none" w:sz="0" w:space="0" w:color="auto"/>
                <w:right w:val="none" w:sz="0" w:space="0" w:color="auto"/>
              </w:divBdr>
            </w:div>
            <w:div w:id="2097045630">
              <w:marLeft w:val="0"/>
              <w:marRight w:val="0"/>
              <w:marTop w:val="0"/>
              <w:marBottom w:val="0"/>
              <w:divBdr>
                <w:top w:val="none" w:sz="0" w:space="0" w:color="auto"/>
                <w:left w:val="none" w:sz="0" w:space="0" w:color="auto"/>
                <w:bottom w:val="none" w:sz="0" w:space="0" w:color="auto"/>
                <w:right w:val="none" w:sz="0" w:space="0" w:color="auto"/>
              </w:divBdr>
            </w:div>
            <w:div w:id="1813785641">
              <w:marLeft w:val="0"/>
              <w:marRight w:val="0"/>
              <w:marTop w:val="0"/>
              <w:marBottom w:val="0"/>
              <w:divBdr>
                <w:top w:val="none" w:sz="0" w:space="0" w:color="auto"/>
                <w:left w:val="none" w:sz="0" w:space="0" w:color="auto"/>
                <w:bottom w:val="none" w:sz="0" w:space="0" w:color="auto"/>
                <w:right w:val="none" w:sz="0" w:space="0" w:color="auto"/>
              </w:divBdr>
            </w:div>
            <w:div w:id="987244474">
              <w:marLeft w:val="0"/>
              <w:marRight w:val="0"/>
              <w:marTop w:val="0"/>
              <w:marBottom w:val="0"/>
              <w:divBdr>
                <w:top w:val="none" w:sz="0" w:space="0" w:color="auto"/>
                <w:left w:val="none" w:sz="0" w:space="0" w:color="auto"/>
                <w:bottom w:val="none" w:sz="0" w:space="0" w:color="auto"/>
                <w:right w:val="none" w:sz="0" w:space="0" w:color="auto"/>
              </w:divBdr>
            </w:div>
            <w:div w:id="357320787">
              <w:marLeft w:val="0"/>
              <w:marRight w:val="0"/>
              <w:marTop w:val="0"/>
              <w:marBottom w:val="0"/>
              <w:divBdr>
                <w:top w:val="none" w:sz="0" w:space="0" w:color="auto"/>
                <w:left w:val="none" w:sz="0" w:space="0" w:color="auto"/>
                <w:bottom w:val="none" w:sz="0" w:space="0" w:color="auto"/>
                <w:right w:val="none" w:sz="0" w:space="0" w:color="auto"/>
              </w:divBdr>
            </w:div>
            <w:div w:id="838274956">
              <w:marLeft w:val="0"/>
              <w:marRight w:val="0"/>
              <w:marTop w:val="0"/>
              <w:marBottom w:val="0"/>
              <w:divBdr>
                <w:top w:val="none" w:sz="0" w:space="0" w:color="auto"/>
                <w:left w:val="none" w:sz="0" w:space="0" w:color="auto"/>
                <w:bottom w:val="none" w:sz="0" w:space="0" w:color="auto"/>
                <w:right w:val="none" w:sz="0" w:space="0" w:color="auto"/>
              </w:divBdr>
            </w:div>
            <w:div w:id="1746223688">
              <w:marLeft w:val="0"/>
              <w:marRight w:val="0"/>
              <w:marTop w:val="0"/>
              <w:marBottom w:val="0"/>
              <w:divBdr>
                <w:top w:val="none" w:sz="0" w:space="0" w:color="auto"/>
                <w:left w:val="none" w:sz="0" w:space="0" w:color="auto"/>
                <w:bottom w:val="none" w:sz="0" w:space="0" w:color="auto"/>
                <w:right w:val="none" w:sz="0" w:space="0" w:color="auto"/>
              </w:divBdr>
            </w:div>
            <w:div w:id="1620378841">
              <w:marLeft w:val="0"/>
              <w:marRight w:val="0"/>
              <w:marTop w:val="0"/>
              <w:marBottom w:val="0"/>
              <w:divBdr>
                <w:top w:val="none" w:sz="0" w:space="0" w:color="auto"/>
                <w:left w:val="none" w:sz="0" w:space="0" w:color="auto"/>
                <w:bottom w:val="none" w:sz="0" w:space="0" w:color="auto"/>
                <w:right w:val="none" w:sz="0" w:space="0" w:color="auto"/>
              </w:divBdr>
            </w:div>
            <w:div w:id="1932665774">
              <w:marLeft w:val="0"/>
              <w:marRight w:val="0"/>
              <w:marTop w:val="0"/>
              <w:marBottom w:val="0"/>
              <w:divBdr>
                <w:top w:val="none" w:sz="0" w:space="0" w:color="auto"/>
                <w:left w:val="none" w:sz="0" w:space="0" w:color="auto"/>
                <w:bottom w:val="none" w:sz="0" w:space="0" w:color="auto"/>
                <w:right w:val="none" w:sz="0" w:space="0" w:color="auto"/>
              </w:divBdr>
            </w:div>
            <w:div w:id="1670786815">
              <w:marLeft w:val="0"/>
              <w:marRight w:val="0"/>
              <w:marTop w:val="0"/>
              <w:marBottom w:val="0"/>
              <w:divBdr>
                <w:top w:val="none" w:sz="0" w:space="0" w:color="auto"/>
                <w:left w:val="none" w:sz="0" w:space="0" w:color="auto"/>
                <w:bottom w:val="none" w:sz="0" w:space="0" w:color="auto"/>
                <w:right w:val="none" w:sz="0" w:space="0" w:color="auto"/>
              </w:divBdr>
            </w:div>
            <w:div w:id="1964118915">
              <w:marLeft w:val="0"/>
              <w:marRight w:val="0"/>
              <w:marTop w:val="0"/>
              <w:marBottom w:val="0"/>
              <w:divBdr>
                <w:top w:val="none" w:sz="0" w:space="0" w:color="auto"/>
                <w:left w:val="none" w:sz="0" w:space="0" w:color="auto"/>
                <w:bottom w:val="none" w:sz="0" w:space="0" w:color="auto"/>
                <w:right w:val="none" w:sz="0" w:space="0" w:color="auto"/>
              </w:divBdr>
            </w:div>
            <w:div w:id="183327139">
              <w:marLeft w:val="0"/>
              <w:marRight w:val="0"/>
              <w:marTop w:val="0"/>
              <w:marBottom w:val="0"/>
              <w:divBdr>
                <w:top w:val="none" w:sz="0" w:space="0" w:color="auto"/>
                <w:left w:val="none" w:sz="0" w:space="0" w:color="auto"/>
                <w:bottom w:val="none" w:sz="0" w:space="0" w:color="auto"/>
                <w:right w:val="none" w:sz="0" w:space="0" w:color="auto"/>
              </w:divBdr>
            </w:div>
            <w:div w:id="1811442083">
              <w:marLeft w:val="0"/>
              <w:marRight w:val="0"/>
              <w:marTop w:val="0"/>
              <w:marBottom w:val="0"/>
              <w:divBdr>
                <w:top w:val="none" w:sz="0" w:space="0" w:color="auto"/>
                <w:left w:val="none" w:sz="0" w:space="0" w:color="auto"/>
                <w:bottom w:val="none" w:sz="0" w:space="0" w:color="auto"/>
                <w:right w:val="none" w:sz="0" w:space="0" w:color="auto"/>
              </w:divBdr>
            </w:div>
            <w:div w:id="817305890">
              <w:marLeft w:val="0"/>
              <w:marRight w:val="0"/>
              <w:marTop w:val="0"/>
              <w:marBottom w:val="0"/>
              <w:divBdr>
                <w:top w:val="none" w:sz="0" w:space="0" w:color="auto"/>
                <w:left w:val="none" w:sz="0" w:space="0" w:color="auto"/>
                <w:bottom w:val="none" w:sz="0" w:space="0" w:color="auto"/>
                <w:right w:val="none" w:sz="0" w:space="0" w:color="auto"/>
              </w:divBdr>
            </w:div>
            <w:div w:id="1245069460">
              <w:marLeft w:val="0"/>
              <w:marRight w:val="0"/>
              <w:marTop w:val="0"/>
              <w:marBottom w:val="0"/>
              <w:divBdr>
                <w:top w:val="none" w:sz="0" w:space="0" w:color="auto"/>
                <w:left w:val="none" w:sz="0" w:space="0" w:color="auto"/>
                <w:bottom w:val="none" w:sz="0" w:space="0" w:color="auto"/>
                <w:right w:val="none" w:sz="0" w:space="0" w:color="auto"/>
              </w:divBdr>
            </w:div>
            <w:div w:id="309750909">
              <w:marLeft w:val="0"/>
              <w:marRight w:val="0"/>
              <w:marTop w:val="0"/>
              <w:marBottom w:val="0"/>
              <w:divBdr>
                <w:top w:val="none" w:sz="0" w:space="0" w:color="auto"/>
                <w:left w:val="none" w:sz="0" w:space="0" w:color="auto"/>
                <w:bottom w:val="none" w:sz="0" w:space="0" w:color="auto"/>
                <w:right w:val="none" w:sz="0" w:space="0" w:color="auto"/>
              </w:divBdr>
            </w:div>
            <w:div w:id="647586550">
              <w:marLeft w:val="0"/>
              <w:marRight w:val="0"/>
              <w:marTop w:val="0"/>
              <w:marBottom w:val="0"/>
              <w:divBdr>
                <w:top w:val="none" w:sz="0" w:space="0" w:color="auto"/>
                <w:left w:val="none" w:sz="0" w:space="0" w:color="auto"/>
                <w:bottom w:val="none" w:sz="0" w:space="0" w:color="auto"/>
                <w:right w:val="none" w:sz="0" w:space="0" w:color="auto"/>
              </w:divBdr>
            </w:div>
            <w:div w:id="182014877">
              <w:marLeft w:val="0"/>
              <w:marRight w:val="0"/>
              <w:marTop w:val="0"/>
              <w:marBottom w:val="0"/>
              <w:divBdr>
                <w:top w:val="none" w:sz="0" w:space="0" w:color="auto"/>
                <w:left w:val="none" w:sz="0" w:space="0" w:color="auto"/>
                <w:bottom w:val="none" w:sz="0" w:space="0" w:color="auto"/>
                <w:right w:val="none" w:sz="0" w:space="0" w:color="auto"/>
              </w:divBdr>
            </w:div>
            <w:div w:id="1334920028">
              <w:marLeft w:val="0"/>
              <w:marRight w:val="0"/>
              <w:marTop w:val="0"/>
              <w:marBottom w:val="0"/>
              <w:divBdr>
                <w:top w:val="none" w:sz="0" w:space="0" w:color="auto"/>
                <w:left w:val="none" w:sz="0" w:space="0" w:color="auto"/>
                <w:bottom w:val="none" w:sz="0" w:space="0" w:color="auto"/>
                <w:right w:val="none" w:sz="0" w:space="0" w:color="auto"/>
              </w:divBdr>
            </w:div>
            <w:div w:id="787747103">
              <w:marLeft w:val="0"/>
              <w:marRight w:val="0"/>
              <w:marTop w:val="0"/>
              <w:marBottom w:val="0"/>
              <w:divBdr>
                <w:top w:val="none" w:sz="0" w:space="0" w:color="auto"/>
                <w:left w:val="none" w:sz="0" w:space="0" w:color="auto"/>
                <w:bottom w:val="none" w:sz="0" w:space="0" w:color="auto"/>
                <w:right w:val="none" w:sz="0" w:space="0" w:color="auto"/>
              </w:divBdr>
            </w:div>
            <w:div w:id="1299143985">
              <w:marLeft w:val="0"/>
              <w:marRight w:val="0"/>
              <w:marTop w:val="0"/>
              <w:marBottom w:val="0"/>
              <w:divBdr>
                <w:top w:val="none" w:sz="0" w:space="0" w:color="auto"/>
                <w:left w:val="none" w:sz="0" w:space="0" w:color="auto"/>
                <w:bottom w:val="none" w:sz="0" w:space="0" w:color="auto"/>
                <w:right w:val="none" w:sz="0" w:space="0" w:color="auto"/>
              </w:divBdr>
            </w:div>
            <w:div w:id="1222407908">
              <w:marLeft w:val="0"/>
              <w:marRight w:val="0"/>
              <w:marTop w:val="0"/>
              <w:marBottom w:val="0"/>
              <w:divBdr>
                <w:top w:val="none" w:sz="0" w:space="0" w:color="auto"/>
                <w:left w:val="none" w:sz="0" w:space="0" w:color="auto"/>
                <w:bottom w:val="none" w:sz="0" w:space="0" w:color="auto"/>
                <w:right w:val="none" w:sz="0" w:space="0" w:color="auto"/>
              </w:divBdr>
            </w:div>
            <w:div w:id="1070228146">
              <w:marLeft w:val="0"/>
              <w:marRight w:val="0"/>
              <w:marTop w:val="0"/>
              <w:marBottom w:val="0"/>
              <w:divBdr>
                <w:top w:val="none" w:sz="0" w:space="0" w:color="auto"/>
                <w:left w:val="none" w:sz="0" w:space="0" w:color="auto"/>
                <w:bottom w:val="none" w:sz="0" w:space="0" w:color="auto"/>
                <w:right w:val="none" w:sz="0" w:space="0" w:color="auto"/>
              </w:divBdr>
            </w:div>
            <w:div w:id="1700739770">
              <w:marLeft w:val="0"/>
              <w:marRight w:val="0"/>
              <w:marTop w:val="0"/>
              <w:marBottom w:val="0"/>
              <w:divBdr>
                <w:top w:val="none" w:sz="0" w:space="0" w:color="auto"/>
                <w:left w:val="none" w:sz="0" w:space="0" w:color="auto"/>
                <w:bottom w:val="none" w:sz="0" w:space="0" w:color="auto"/>
                <w:right w:val="none" w:sz="0" w:space="0" w:color="auto"/>
              </w:divBdr>
            </w:div>
            <w:div w:id="500892481">
              <w:marLeft w:val="0"/>
              <w:marRight w:val="0"/>
              <w:marTop w:val="0"/>
              <w:marBottom w:val="0"/>
              <w:divBdr>
                <w:top w:val="none" w:sz="0" w:space="0" w:color="auto"/>
                <w:left w:val="none" w:sz="0" w:space="0" w:color="auto"/>
                <w:bottom w:val="none" w:sz="0" w:space="0" w:color="auto"/>
                <w:right w:val="none" w:sz="0" w:space="0" w:color="auto"/>
              </w:divBdr>
            </w:div>
            <w:div w:id="1411736086">
              <w:marLeft w:val="0"/>
              <w:marRight w:val="0"/>
              <w:marTop w:val="0"/>
              <w:marBottom w:val="0"/>
              <w:divBdr>
                <w:top w:val="none" w:sz="0" w:space="0" w:color="auto"/>
                <w:left w:val="none" w:sz="0" w:space="0" w:color="auto"/>
                <w:bottom w:val="none" w:sz="0" w:space="0" w:color="auto"/>
                <w:right w:val="none" w:sz="0" w:space="0" w:color="auto"/>
              </w:divBdr>
            </w:div>
            <w:div w:id="2083603485">
              <w:marLeft w:val="0"/>
              <w:marRight w:val="0"/>
              <w:marTop w:val="0"/>
              <w:marBottom w:val="0"/>
              <w:divBdr>
                <w:top w:val="none" w:sz="0" w:space="0" w:color="auto"/>
                <w:left w:val="none" w:sz="0" w:space="0" w:color="auto"/>
                <w:bottom w:val="none" w:sz="0" w:space="0" w:color="auto"/>
                <w:right w:val="none" w:sz="0" w:space="0" w:color="auto"/>
              </w:divBdr>
            </w:div>
            <w:div w:id="460075701">
              <w:marLeft w:val="0"/>
              <w:marRight w:val="0"/>
              <w:marTop w:val="0"/>
              <w:marBottom w:val="0"/>
              <w:divBdr>
                <w:top w:val="none" w:sz="0" w:space="0" w:color="auto"/>
                <w:left w:val="none" w:sz="0" w:space="0" w:color="auto"/>
                <w:bottom w:val="none" w:sz="0" w:space="0" w:color="auto"/>
                <w:right w:val="none" w:sz="0" w:space="0" w:color="auto"/>
              </w:divBdr>
            </w:div>
            <w:div w:id="1831823534">
              <w:marLeft w:val="0"/>
              <w:marRight w:val="0"/>
              <w:marTop w:val="0"/>
              <w:marBottom w:val="0"/>
              <w:divBdr>
                <w:top w:val="none" w:sz="0" w:space="0" w:color="auto"/>
                <w:left w:val="none" w:sz="0" w:space="0" w:color="auto"/>
                <w:bottom w:val="none" w:sz="0" w:space="0" w:color="auto"/>
                <w:right w:val="none" w:sz="0" w:space="0" w:color="auto"/>
              </w:divBdr>
            </w:div>
            <w:div w:id="2134206161">
              <w:marLeft w:val="0"/>
              <w:marRight w:val="0"/>
              <w:marTop w:val="0"/>
              <w:marBottom w:val="0"/>
              <w:divBdr>
                <w:top w:val="none" w:sz="0" w:space="0" w:color="auto"/>
                <w:left w:val="none" w:sz="0" w:space="0" w:color="auto"/>
                <w:bottom w:val="none" w:sz="0" w:space="0" w:color="auto"/>
                <w:right w:val="none" w:sz="0" w:space="0" w:color="auto"/>
              </w:divBdr>
            </w:div>
            <w:div w:id="2118522597">
              <w:marLeft w:val="0"/>
              <w:marRight w:val="0"/>
              <w:marTop w:val="0"/>
              <w:marBottom w:val="0"/>
              <w:divBdr>
                <w:top w:val="none" w:sz="0" w:space="0" w:color="auto"/>
                <w:left w:val="none" w:sz="0" w:space="0" w:color="auto"/>
                <w:bottom w:val="none" w:sz="0" w:space="0" w:color="auto"/>
                <w:right w:val="none" w:sz="0" w:space="0" w:color="auto"/>
              </w:divBdr>
            </w:div>
            <w:div w:id="1354267091">
              <w:marLeft w:val="0"/>
              <w:marRight w:val="0"/>
              <w:marTop w:val="0"/>
              <w:marBottom w:val="0"/>
              <w:divBdr>
                <w:top w:val="none" w:sz="0" w:space="0" w:color="auto"/>
                <w:left w:val="none" w:sz="0" w:space="0" w:color="auto"/>
                <w:bottom w:val="none" w:sz="0" w:space="0" w:color="auto"/>
                <w:right w:val="none" w:sz="0" w:space="0" w:color="auto"/>
              </w:divBdr>
            </w:div>
            <w:div w:id="828591422">
              <w:marLeft w:val="0"/>
              <w:marRight w:val="0"/>
              <w:marTop w:val="0"/>
              <w:marBottom w:val="0"/>
              <w:divBdr>
                <w:top w:val="none" w:sz="0" w:space="0" w:color="auto"/>
                <w:left w:val="none" w:sz="0" w:space="0" w:color="auto"/>
                <w:bottom w:val="none" w:sz="0" w:space="0" w:color="auto"/>
                <w:right w:val="none" w:sz="0" w:space="0" w:color="auto"/>
              </w:divBdr>
            </w:div>
            <w:div w:id="1856461133">
              <w:marLeft w:val="0"/>
              <w:marRight w:val="0"/>
              <w:marTop w:val="0"/>
              <w:marBottom w:val="0"/>
              <w:divBdr>
                <w:top w:val="none" w:sz="0" w:space="0" w:color="auto"/>
                <w:left w:val="none" w:sz="0" w:space="0" w:color="auto"/>
                <w:bottom w:val="none" w:sz="0" w:space="0" w:color="auto"/>
                <w:right w:val="none" w:sz="0" w:space="0" w:color="auto"/>
              </w:divBdr>
            </w:div>
            <w:div w:id="1944534881">
              <w:marLeft w:val="0"/>
              <w:marRight w:val="0"/>
              <w:marTop w:val="0"/>
              <w:marBottom w:val="0"/>
              <w:divBdr>
                <w:top w:val="none" w:sz="0" w:space="0" w:color="auto"/>
                <w:left w:val="none" w:sz="0" w:space="0" w:color="auto"/>
                <w:bottom w:val="none" w:sz="0" w:space="0" w:color="auto"/>
                <w:right w:val="none" w:sz="0" w:space="0" w:color="auto"/>
              </w:divBdr>
            </w:div>
            <w:div w:id="376242404">
              <w:marLeft w:val="0"/>
              <w:marRight w:val="0"/>
              <w:marTop w:val="0"/>
              <w:marBottom w:val="0"/>
              <w:divBdr>
                <w:top w:val="none" w:sz="0" w:space="0" w:color="auto"/>
                <w:left w:val="none" w:sz="0" w:space="0" w:color="auto"/>
                <w:bottom w:val="none" w:sz="0" w:space="0" w:color="auto"/>
                <w:right w:val="none" w:sz="0" w:space="0" w:color="auto"/>
              </w:divBdr>
            </w:div>
            <w:div w:id="567617616">
              <w:marLeft w:val="0"/>
              <w:marRight w:val="0"/>
              <w:marTop w:val="0"/>
              <w:marBottom w:val="0"/>
              <w:divBdr>
                <w:top w:val="none" w:sz="0" w:space="0" w:color="auto"/>
                <w:left w:val="none" w:sz="0" w:space="0" w:color="auto"/>
                <w:bottom w:val="none" w:sz="0" w:space="0" w:color="auto"/>
                <w:right w:val="none" w:sz="0" w:space="0" w:color="auto"/>
              </w:divBdr>
            </w:div>
            <w:div w:id="338191907">
              <w:marLeft w:val="0"/>
              <w:marRight w:val="0"/>
              <w:marTop w:val="0"/>
              <w:marBottom w:val="0"/>
              <w:divBdr>
                <w:top w:val="none" w:sz="0" w:space="0" w:color="auto"/>
                <w:left w:val="none" w:sz="0" w:space="0" w:color="auto"/>
                <w:bottom w:val="none" w:sz="0" w:space="0" w:color="auto"/>
                <w:right w:val="none" w:sz="0" w:space="0" w:color="auto"/>
              </w:divBdr>
            </w:div>
            <w:div w:id="1619919784">
              <w:marLeft w:val="0"/>
              <w:marRight w:val="0"/>
              <w:marTop w:val="0"/>
              <w:marBottom w:val="0"/>
              <w:divBdr>
                <w:top w:val="none" w:sz="0" w:space="0" w:color="auto"/>
                <w:left w:val="none" w:sz="0" w:space="0" w:color="auto"/>
                <w:bottom w:val="none" w:sz="0" w:space="0" w:color="auto"/>
                <w:right w:val="none" w:sz="0" w:space="0" w:color="auto"/>
              </w:divBdr>
            </w:div>
            <w:div w:id="1233270958">
              <w:marLeft w:val="0"/>
              <w:marRight w:val="0"/>
              <w:marTop w:val="0"/>
              <w:marBottom w:val="0"/>
              <w:divBdr>
                <w:top w:val="none" w:sz="0" w:space="0" w:color="auto"/>
                <w:left w:val="none" w:sz="0" w:space="0" w:color="auto"/>
                <w:bottom w:val="none" w:sz="0" w:space="0" w:color="auto"/>
                <w:right w:val="none" w:sz="0" w:space="0" w:color="auto"/>
              </w:divBdr>
            </w:div>
            <w:div w:id="1906406069">
              <w:marLeft w:val="0"/>
              <w:marRight w:val="0"/>
              <w:marTop w:val="0"/>
              <w:marBottom w:val="0"/>
              <w:divBdr>
                <w:top w:val="none" w:sz="0" w:space="0" w:color="auto"/>
                <w:left w:val="none" w:sz="0" w:space="0" w:color="auto"/>
                <w:bottom w:val="none" w:sz="0" w:space="0" w:color="auto"/>
                <w:right w:val="none" w:sz="0" w:space="0" w:color="auto"/>
              </w:divBdr>
            </w:div>
            <w:div w:id="1050498661">
              <w:marLeft w:val="0"/>
              <w:marRight w:val="0"/>
              <w:marTop w:val="0"/>
              <w:marBottom w:val="0"/>
              <w:divBdr>
                <w:top w:val="none" w:sz="0" w:space="0" w:color="auto"/>
                <w:left w:val="none" w:sz="0" w:space="0" w:color="auto"/>
                <w:bottom w:val="none" w:sz="0" w:space="0" w:color="auto"/>
                <w:right w:val="none" w:sz="0" w:space="0" w:color="auto"/>
              </w:divBdr>
            </w:div>
            <w:div w:id="1997880037">
              <w:marLeft w:val="0"/>
              <w:marRight w:val="0"/>
              <w:marTop w:val="0"/>
              <w:marBottom w:val="0"/>
              <w:divBdr>
                <w:top w:val="none" w:sz="0" w:space="0" w:color="auto"/>
                <w:left w:val="none" w:sz="0" w:space="0" w:color="auto"/>
                <w:bottom w:val="none" w:sz="0" w:space="0" w:color="auto"/>
                <w:right w:val="none" w:sz="0" w:space="0" w:color="auto"/>
              </w:divBdr>
            </w:div>
            <w:div w:id="2121945710">
              <w:marLeft w:val="0"/>
              <w:marRight w:val="0"/>
              <w:marTop w:val="0"/>
              <w:marBottom w:val="0"/>
              <w:divBdr>
                <w:top w:val="none" w:sz="0" w:space="0" w:color="auto"/>
                <w:left w:val="none" w:sz="0" w:space="0" w:color="auto"/>
                <w:bottom w:val="none" w:sz="0" w:space="0" w:color="auto"/>
                <w:right w:val="none" w:sz="0" w:space="0" w:color="auto"/>
              </w:divBdr>
            </w:div>
            <w:div w:id="1599171768">
              <w:marLeft w:val="0"/>
              <w:marRight w:val="0"/>
              <w:marTop w:val="0"/>
              <w:marBottom w:val="0"/>
              <w:divBdr>
                <w:top w:val="none" w:sz="0" w:space="0" w:color="auto"/>
                <w:left w:val="none" w:sz="0" w:space="0" w:color="auto"/>
                <w:bottom w:val="none" w:sz="0" w:space="0" w:color="auto"/>
                <w:right w:val="none" w:sz="0" w:space="0" w:color="auto"/>
              </w:divBdr>
            </w:div>
            <w:div w:id="1937014591">
              <w:marLeft w:val="0"/>
              <w:marRight w:val="0"/>
              <w:marTop w:val="0"/>
              <w:marBottom w:val="0"/>
              <w:divBdr>
                <w:top w:val="none" w:sz="0" w:space="0" w:color="auto"/>
                <w:left w:val="none" w:sz="0" w:space="0" w:color="auto"/>
                <w:bottom w:val="none" w:sz="0" w:space="0" w:color="auto"/>
                <w:right w:val="none" w:sz="0" w:space="0" w:color="auto"/>
              </w:divBdr>
            </w:div>
            <w:div w:id="1235093889">
              <w:marLeft w:val="0"/>
              <w:marRight w:val="0"/>
              <w:marTop w:val="0"/>
              <w:marBottom w:val="0"/>
              <w:divBdr>
                <w:top w:val="none" w:sz="0" w:space="0" w:color="auto"/>
                <w:left w:val="none" w:sz="0" w:space="0" w:color="auto"/>
                <w:bottom w:val="none" w:sz="0" w:space="0" w:color="auto"/>
                <w:right w:val="none" w:sz="0" w:space="0" w:color="auto"/>
              </w:divBdr>
            </w:div>
            <w:div w:id="638877312">
              <w:marLeft w:val="0"/>
              <w:marRight w:val="0"/>
              <w:marTop w:val="0"/>
              <w:marBottom w:val="0"/>
              <w:divBdr>
                <w:top w:val="none" w:sz="0" w:space="0" w:color="auto"/>
                <w:left w:val="none" w:sz="0" w:space="0" w:color="auto"/>
                <w:bottom w:val="none" w:sz="0" w:space="0" w:color="auto"/>
                <w:right w:val="none" w:sz="0" w:space="0" w:color="auto"/>
              </w:divBdr>
            </w:div>
            <w:div w:id="466821375">
              <w:marLeft w:val="0"/>
              <w:marRight w:val="0"/>
              <w:marTop w:val="0"/>
              <w:marBottom w:val="0"/>
              <w:divBdr>
                <w:top w:val="none" w:sz="0" w:space="0" w:color="auto"/>
                <w:left w:val="none" w:sz="0" w:space="0" w:color="auto"/>
                <w:bottom w:val="none" w:sz="0" w:space="0" w:color="auto"/>
                <w:right w:val="none" w:sz="0" w:space="0" w:color="auto"/>
              </w:divBdr>
            </w:div>
            <w:div w:id="1629434562">
              <w:marLeft w:val="0"/>
              <w:marRight w:val="0"/>
              <w:marTop w:val="0"/>
              <w:marBottom w:val="0"/>
              <w:divBdr>
                <w:top w:val="none" w:sz="0" w:space="0" w:color="auto"/>
                <w:left w:val="none" w:sz="0" w:space="0" w:color="auto"/>
                <w:bottom w:val="none" w:sz="0" w:space="0" w:color="auto"/>
                <w:right w:val="none" w:sz="0" w:space="0" w:color="auto"/>
              </w:divBdr>
            </w:div>
            <w:div w:id="1326543908">
              <w:marLeft w:val="0"/>
              <w:marRight w:val="0"/>
              <w:marTop w:val="0"/>
              <w:marBottom w:val="0"/>
              <w:divBdr>
                <w:top w:val="none" w:sz="0" w:space="0" w:color="auto"/>
                <w:left w:val="none" w:sz="0" w:space="0" w:color="auto"/>
                <w:bottom w:val="none" w:sz="0" w:space="0" w:color="auto"/>
                <w:right w:val="none" w:sz="0" w:space="0" w:color="auto"/>
              </w:divBdr>
            </w:div>
            <w:div w:id="817041339">
              <w:marLeft w:val="0"/>
              <w:marRight w:val="0"/>
              <w:marTop w:val="0"/>
              <w:marBottom w:val="0"/>
              <w:divBdr>
                <w:top w:val="none" w:sz="0" w:space="0" w:color="auto"/>
                <w:left w:val="none" w:sz="0" w:space="0" w:color="auto"/>
                <w:bottom w:val="none" w:sz="0" w:space="0" w:color="auto"/>
                <w:right w:val="none" w:sz="0" w:space="0" w:color="auto"/>
              </w:divBdr>
            </w:div>
            <w:div w:id="2001082288">
              <w:marLeft w:val="0"/>
              <w:marRight w:val="0"/>
              <w:marTop w:val="0"/>
              <w:marBottom w:val="0"/>
              <w:divBdr>
                <w:top w:val="none" w:sz="0" w:space="0" w:color="auto"/>
                <w:left w:val="none" w:sz="0" w:space="0" w:color="auto"/>
                <w:bottom w:val="none" w:sz="0" w:space="0" w:color="auto"/>
                <w:right w:val="none" w:sz="0" w:space="0" w:color="auto"/>
              </w:divBdr>
            </w:div>
            <w:div w:id="950166353">
              <w:marLeft w:val="0"/>
              <w:marRight w:val="0"/>
              <w:marTop w:val="0"/>
              <w:marBottom w:val="0"/>
              <w:divBdr>
                <w:top w:val="none" w:sz="0" w:space="0" w:color="auto"/>
                <w:left w:val="none" w:sz="0" w:space="0" w:color="auto"/>
                <w:bottom w:val="none" w:sz="0" w:space="0" w:color="auto"/>
                <w:right w:val="none" w:sz="0" w:space="0" w:color="auto"/>
              </w:divBdr>
            </w:div>
            <w:div w:id="803501348">
              <w:marLeft w:val="0"/>
              <w:marRight w:val="0"/>
              <w:marTop w:val="0"/>
              <w:marBottom w:val="0"/>
              <w:divBdr>
                <w:top w:val="none" w:sz="0" w:space="0" w:color="auto"/>
                <w:left w:val="none" w:sz="0" w:space="0" w:color="auto"/>
                <w:bottom w:val="none" w:sz="0" w:space="0" w:color="auto"/>
                <w:right w:val="none" w:sz="0" w:space="0" w:color="auto"/>
              </w:divBdr>
            </w:div>
            <w:div w:id="350110049">
              <w:marLeft w:val="0"/>
              <w:marRight w:val="0"/>
              <w:marTop w:val="0"/>
              <w:marBottom w:val="0"/>
              <w:divBdr>
                <w:top w:val="none" w:sz="0" w:space="0" w:color="auto"/>
                <w:left w:val="none" w:sz="0" w:space="0" w:color="auto"/>
                <w:bottom w:val="none" w:sz="0" w:space="0" w:color="auto"/>
                <w:right w:val="none" w:sz="0" w:space="0" w:color="auto"/>
              </w:divBdr>
            </w:div>
            <w:div w:id="820922412">
              <w:marLeft w:val="0"/>
              <w:marRight w:val="0"/>
              <w:marTop w:val="0"/>
              <w:marBottom w:val="0"/>
              <w:divBdr>
                <w:top w:val="none" w:sz="0" w:space="0" w:color="auto"/>
                <w:left w:val="none" w:sz="0" w:space="0" w:color="auto"/>
                <w:bottom w:val="none" w:sz="0" w:space="0" w:color="auto"/>
                <w:right w:val="none" w:sz="0" w:space="0" w:color="auto"/>
              </w:divBdr>
            </w:div>
            <w:div w:id="1602374751">
              <w:marLeft w:val="0"/>
              <w:marRight w:val="0"/>
              <w:marTop w:val="0"/>
              <w:marBottom w:val="0"/>
              <w:divBdr>
                <w:top w:val="none" w:sz="0" w:space="0" w:color="auto"/>
                <w:left w:val="none" w:sz="0" w:space="0" w:color="auto"/>
                <w:bottom w:val="none" w:sz="0" w:space="0" w:color="auto"/>
                <w:right w:val="none" w:sz="0" w:space="0" w:color="auto"/>
              </w:divBdr>
            </w:div>
            <w:div w:id="1729298869">
              <w:marLeft w:val="0"/>
              <w:marRight w:val="0"/>
              <w:marTop w:val="0"/>
              <w:marBottom w:val="0"/>
              <w:divBdr>
                <w:top w:val="none" w:sz="0" w:space="0" w:color="auto"/>
                <w:left w:val="none" w:sz="0" w:space="0" w:color="auto"/>
                <w:bottom w:val="none" w:sz="0" w:space="0" w:color="auto"/>
                <w:right w:val="none" w:sz="0" w:space="0" w:color="auto"/>
              </w:divBdr>
            </w:div>
            <w:div w:id="33359110">
              <w:marLeft w:val="0"/>
              <w:marRight w:val="0"/>
              <w:marTop w:val="0"/>
              <w:marBottom w:val="0"/>
              <w:divBdr>
                <w:top w:val="none" w:sz="0" w:space="0" w:color="auto"/>
                <w:left w:val="none" w:sz="0" w:space="0" w:color="auto"/>
                <w:bottom w:val="none" w:sz="0" w:space="0" w:color="auto"/>
                <w:right w:val="none" w:sz="0" w:space="0" w:color="auto"/>
              </w:divBdr>
            </w:div>
            <w:div w:id="1279332107">
              <w:marLeft w:val="0"/>
              <w:marRight w:val="0"/>
              <w:marTop w:val="0"/>
              <w:marBottom w:val="0"/>
              <w:divBdr>
                <w:top w:val="none" w:sz="0" w:space="0" w:color="auto"/>
                <w:left w:val="none" w:sz="0" w:space="0" w:color="auto"/>
                <w:bottom w:val="none" w:sz="0" w:space="0" w:color="auto"/>
                <w:right w:val="none" w:sz="0" w:space="0" w:color="auto"/>
              </w:divBdr>
            </w:div>
            <w:div w:id="563763819">
              <w:marLeft w:val="0"/>
              <w:marRight w:val="0"/>
              <w:marTop w:val="0"/>
              <w:marBottom w:val="0"/>
              <w:divBdr>
                <w:top w:val="none" w:sz="0" w:space="0" w:color="auto"/>
                <w:left w:val="none" w:sz="0" w:space="0" w:color="auto"/>
                <w:bottom w:val="none" w:sz="0" w:space="0" w:color="auto"/>
                <w:right w:val="none" w:sz="0" w:space="0" w:color="auto"/>
              </w:divBdr>
            </w:div>
            <w:div w:id="1794901130">
              <w:marLeft w:val="0"/>
              <w:marRight w:val="0"/>
              <w:marTop w:val="0"/>
              <w:marBottom w:val="0"/>
              <w:divBdr>
                <w:top w:val="none" w:sz="0" w:space="0" w:color="auto"/>
                <w:left w:val="none" w:sz="0" w:space="0" w:color="auto"/>
                <w:bottom w:val="none" w:sz="0" w:space="0" w:color="auto"/>
                <w:right w:val="none" w:sz="0" w:space="0" w:color="auto"/>
              </w:divBdr>
            </w:div>
            <w:div w:id="417756489">
              <w:marLeft w:val="0"/>
              <w:marRight w:val="0"/>
              <w:marTop w:val="0"/>
              <w:marBottom w:val="0"/>
              <w:divBdr>
                <w:top w:val="none" w:sz="0" w:space="0" w:color="auto"/>
                <w:left w:val="none" w:sz="0" w:space="0" w:color="auto"/>
                <w:bottom w:val="none" w:sz="0" w:space="0" w:color="auto"/>
                <w:right w:val="none" w:sz="0" w:space="0" w:color="auto"/>
              </w:divBdr>
            </w:div>
            <w:div w:id="669797219">
              <w:marLeft w:val="0"/>
              <w:marRight w:val="0"/>
              <w:marTop w:val="0"/>
              <w:marBottom w:val="0"/>
              <w:divBdr>
                <w:top w:val="none" w:sz="0" w:space="0" w:color="auto"/>
                <w:left w:val="none" w:sz="0" w:space="0" w:color="auto"/>
                <w:bottom w:val="none" w:sz="0" w:space="0" w:color="auto"/>
                <w:right w:val="none" w:sz="0" w:space="0" w:color="auto"/>
              </w:divBdr>
            </w:div>
            <w:div w:id="1070812435">
              <w:marLeft w:val="0"/>
              <w:marRight w:val="0"/>
              <w:marTop w:val="0"/>
              <w:marBottom w:val="0"/>
              <w:divBdr>
                <w:top w:val="none" w:sz="0" w:space="0" w:color="auto"/>
                <w:left w:val="none" w:sz="0" w:space="0" w:color="auto"/>
                <w:bottom w:val="none" w:sz="0" w:space="0" w:color="auto"/>
                <w:right w:val="none" w:sz="0" w:space="0" w:color="auto"/>
              </w:divBdr>
            </w:div>
            <w:div w:id="2122987594">
              <w:marLeft w:val="0"/>
              <w:marRight w:val="0"/>
              <w:marTop w:val="0"/>
              <w:marBottom w:val="0"/>
              <w:divBdr>
                <w:top w:val="none" w:sz="0" w:space="0" w:color="auto"/>
                <w:left w:val="none" w:sz="0" w:space="0" w:color="auto"/>
                <w:bottom w:val="none" w:sz="0" w:space="0" w:color="auto"/>
                <w:right w:val="none" w:sz="0" w:space="0" w:color="auto"/>
              </w:divBdr>
            </w:div>
            <w:div w:id="300232832">
              <w:marLeft w:val="0"/>
              <w:marRight w:val="0"/>
              <w:marTop w:val="0"/>
              <w:marBottom w:val="0"/>
              <w:divBdr>
                <w:top w:val="none" w:sz="0" w:space="0" w:color="auto"/>
                <w:left w:val="none" w:sz="0" w:space="0" w:color="auto"/>
                <w:bottom w:val="none" w:sz="0" w:space="0" w:color="auto"/>
                <w:right w:val="none" w:sz="0" w:space="0" w:color="auto"/>
              </w:divBdr>
            </w:div>
            <w:div w:id="636034764">
              <w:marLeft w:val="0"/>
              <w:marRight w:val="0"/>
              <w:marTop w:val="0"/>
              <w:marBottom w:val="0"/>
              <w:divBdr>
                <w:top w:val="none" w:sz="0" w:space="0" w:color="auto"/>
                <w:left w:val="none" w:sz="0" w:space="0" w:color="auto"/>
                <w:bottom w:val="none" w:sz="0" w:space="0" w:color="auto"/>
                <w:right w:val="none" w:sz="0" w:space="0" w:color="auto"/>
              </w:divBdr>
            </w:div>
            <w:div w:id="2059011814">
              <w:marLeft w:val="0"/>
              <w:marRight w:val="0"/>
              <w:marTop w:val="0"/>
              <w:marBottom w:val="0"/>
              <w:divBdr>
                <w:top w:val="none" w:sz="0" w:space="0" w:color="auto"/>
                <w:left w:val="none" w:sz="0" w:space="0" w:color="auto"/>
                <w:bottom w:val="none" w:sz="0" w:space="0" w:color="auto"/>
                <w:right w:val="none" w:sz="0" w:space="0" w:color="auto"/>
              </w:divBdr>
            </w:div>
            <w:div w:id="499349260">
              <w:marLeft w:val="0"/>
              <w:marRight w:val="0"/>
              <w:marTop w:val="0"/>
              <w:marBottom w:val="0"/>
              <w:divBdr>
                <w:top w:val="none" w:sz="0" w:space="0" w:color="auto"/>
                <w:left w:val="none" w:sz="0" w:space="0" w:color="auto"/>
                <w:bottom w:val="none" w:sz="0" w:space="0" w:color="auto"/>
                <w:right w:val="none" w:sz="0" w:space="0" w:color="auto"/>
              </w:divBdr>
            </w:div>
            <w:div w:id="1101296793">
              <w:marLeft w:val="0"/>
              <w:marRight w:val="0"/>
              <w:marTop w:val="0"/>
              <w:marBottom w:val="0"/>
              <w:divBdr>
                <w:top w:val="none" w:sz="0" w:space="0" w:color="auto"/>
                <w:left w:val="none" w:sz="0" w:space="0" w:color="auto"/>
                <w:bottom w:val="none" w:sz="0" w:space="0" w:color="auto"/>
                <w:right w:val="none" w:sz="0" w:space="0" w:color="auto"/>
              </w:divBdr>
            </w:div>
            <w:div w:id="1191142313">
              <w:marLeft w:val="0"/>
              <w:marRight w:val="0"/>
              <w:marTop w:val="0"/>
              <w:marBottom w:val="0"/>
              <w:divBdr>
                <w:top w:val="none" w:sz="0" w:space="0" w:color="auto"/>
                <w:left w:val="none" w:sz="0" w:space="0" w:color="auto"/>
                <w:bottom w:val="none" w:sz="0" w:space="0" w:color="auto"/>
                <w:right w:val="none" w:sz="0" w:space="0" w:color="auto"/>
              </w:divBdr>
            </w:div>
            <w:div w:id="2105415995">
              <w:marLeft w:val="0"/>
              <w:marRight w:val="0"/>
              <w:marTop w:val="0"/>
              <w:marBottom w:val="0"/>
              <w:divBdr>
                <w:top w:val="none" w:sz="0" w:space="0" w:color="auto"/>
                <w:left w:val="none" w:sz="0" w:space="0" w:color="auto"/>
                <w:bottom w:val="none" w:sz="0" w:space="0" w:color="auto"/>
                <w:right w:val="none" w:sz="0" w:space="0" w:color="auto"/>
              </w:divBdr>
            </w:div>
            <w:div w:id="1756855196">
              <w:marLeft w:val="0"/>
              <w:marRight w:val="0"/>
              <w:marTop w:val="0"/>
              <w:marBottom w:val="0"/>
              <w:divBdr>
                <w:top w:val="none" w:sz="0" w:space="0" w:color="auto"/>
                <w:left w:val="none" w:sz="0" w:space="0" w:color="auto"/>
                <w:bottom w:val="none" w:sz="0" w:space="0" w:color="auto"/>
                <w:right w:val="none" w:sz="0" w:space="0" w:color="auto"/>
              </w:divBdr>
            </w:div>
            <w:div w:id="745612288">
              <w:marLeft w:val="0"/>
              <w:marRight w:val="0"/>
              <w:marTop w:val="0"/>
              <w:marBottom w:val="0"/>
              <w:divBdr>
                <w:top w:val="none" w:sz="0" w:space="0" w:color="auto"/>
                <w:left w:val="none" w:sz="0" w:space="0" w:color="auto"/>
                <w:bottom w:val="none" w:sz="0" w:space="0" w:color="auto"/>
                <w:right w:val="none" w:sz="0" w:space="0" w:color="auto"/>
              </w:divBdr>
            </w:div>
            <w:div w:id="358244132">
              <w:marLeft w:val="0"/>
              <w:marRight w:val="0"/>
              <w:marTop w:val="0"/>
              <w:marBottom w:val="0"/>
              <w:divBdr>
                <w:top w:val="none" w:sz="0" w:space="0" w:color="auto"/>
                <w:left w:val="none" w:sz="0" w:space="0" w:color="auto"/>
                <w:bottom w:val="none" w:sz="0" w:space="0" w:color="auto"/>
                <w:right w:val="none" w:sz="0" w:space="0" w:color="auto"/>
              </w:divBdr>
            </w:div>
            <w:div w:id="2092852925">
              <w:marLeft w:val="0"/>
              <w:marRight w:val="0"/>
              <w:marTop w:val="0"/>
              <w:marBottom w:val="0"/>
              <w:divBdr>
                <w:top w:val="none" w:sz="0" w:space="0" w:color="auto"/>
                <w:left w:val="none" w:sz="0" w:space="0" w:color="auto"/>
                <w:bottom w:val="none" w:sz="0" w:space="0" w:color="auto"/>
                <w:right w:val="none" w:sz="0" w:space="0" w:color="auto"/>
              </w:divBdr>
            </w:div>
            <w:div w:id="1953854714">
              <w:marLeft w:val="0"/>
              <w:marRight w:val="0"/>
              <w:marTop w:val="0"/>
              <w:marBottom w:val="0"/>
              <w:divBdr>
                <w:top w:val="none" w:sz="0" w:space="0" w:color="auto"/>
                <w:left w:val="none" w:sz="0" w:space="0" w:color="auto"/>
                <w:bottom w:val="none" w:sz="0" w:space="0" w:color="auto"/>
                <w:right w:val="none" w:sz="0" w:space="0" w:color="auto"/>
              </w:divBdr>
            </w:div>
            <w:div w:id="1381632847">
              <w:marLeft w:val="0"/>
              <w:marRight w:val="0"/>
              <w:marTop w:val="0"/>
              <w:marBottom w:val="0"/>
              <w:divBdr>
                <w:top w:val="none" w:sz="0" w:space="0" w:color="auto"/>
                <w:left w:val="none" w:sz="0" w:space="0" w:color="auto"/>
                <w:bottom w:val="none" w:sz="0" w:space="0" w:color="auto"/>
                <w:right w:val="none" w:sz="0" w:space="0" w:color="auto"/>
              </w:divBdr>
            </w:div>
            <w:div w:id="1898928539">
              <w:marLeft w:val="0"/>
              <w:marRight w:val="0"/>
              <w:marTop w:val="0"/>
              <w:marBottom w:val="0"/>
              <w:divBdr>
                <w:top w:val="none" w:sz="0" w:space="0" w:color="auto"/>
                <w:left w:val="none" w:sz="0" w:space="0" w:color="auto"/>
                <w:bottom w:val="none" w:sz="0" w:space="0" w:color="auto"/>
                <w:right w:val="none" w:sz="0" w:space="0" w:color="auto"/>
              </w:divBdr>
            </w:div>
            <w:div w:id="659889800">
              <w:marLeft w:val="0"/>
              <w:marRight w:val="0"/>
              <w:marTop w:val="0"/>
              <w:marBottom w:val="0"/>
              <w:divBdr>
                <w:top w:val="none" w:sz="0" w:space="0" w:color="auto"/>
                <w:left w:val="none" w:sz="0" w:space="0" w:color="auto"/>
                <w:bottom w:val="none" w:sz="0" w:space="0" w:color="auto"/>
                <w:right w:val="none" w:sz="0" w:space="0" w:color="auto"/>
              </w:divBdr>
            </w:div>
            <w:div w:id="1180388724">
              <w:marLeft w:val="0"/>
              <w:marRight w:val="0"/>
              <w:marTop w:val="0"/>
              <w:marBottom w:val="0"/>
              <w:divBdr>
                <w:top w:val="none" w:sz="0" w:space="0" w:color="auto"/>
                <w:left w:val="none" w:sz="0" w:space="0" w:color="auto"/>
                <w:bottom w:val="none" w:sz="0" w:space="0" w:color="auto"/>
                <w:right w:val="none" w:sz="0" w:space="0" w:color="auto"/>
              </w:divBdr>
            </w:div>
            <w:div w:id="1933316288">
              <w:marLeft w:val="0"/>
              <w:marRight w:val="0"/>
              <w:marTop w:val="0"/>
              <w:marBottom w:val="0"/>
              <w:divBdr>
                <w:top w:val="none" w:sz="0" w:space="0" w:color="auto"/>
                <w:left w:val="none" w:sz="0" w:space="0" w:color="auto"/>
                <w:bottom w:val="none" w:sz="0" w:space="0" w:color="auto"/>
                <w:right w:val="none" w:sz="0" w:space="0" w:color="auto"/>
              </w:divBdr>
            </w:div>
            <w:div w:id="652177122">
              <w:marLeft w:val="0"/>
              <w:marRight w:val="0"/>
              <w:marTop w:val="0"/>
              <w:marBottom w:val="0"/>
              <w:divBdr>
                <w:top w:val="none" w:sz="0" w:space="0" w:color="auto"/>
                <w:left w:val="none" w:sz="0" w:space="0" w:color="auto"/>
                <w:bottom w:val="none" w:sz="0" w:space="0" w:color="auto"/>
                <w:right w:val="none" w:sz="0" w:space="0" w:color="auto"/>
              </w:divBdr>
            </w:div>
            <w:div w:id="2113355010">
              <w:marLeft w:val="0"/>
              <w:marRight w:val="0"/>
              <w:marTop w:val="0"/>
              <w:marBottom w:val="0"/>
              <w:divBdr>
                <w:top w:val="none" w:sz="0" w:space="0" w:color="auto"/>
                <w:left w:val="none" w:sz="0" w:space="0" w:color="auto"/>
                <w:bottom w:val="none" w:sz="0" w:space="0" w:color="auto"/>
                <w:right w:val="none" w:sz="0" w:space="0" w:color="auto"/>
              </w:divBdr>
            </w:div>
            <w:div w:id="2103379592">
              <w:marLeft w:val="0"/>
              <w:marRight w:val="0"/>
              <w:marTop w:val="0"/>
              <w:marBottom w:val="0"/>
              <w:divBdr>
                <w:top w:val="none" w:sz="0" w:space="0" w:color="auto"/>
                <w:left w:val="none" w:sz="0" w:space="0" w:color="auto"/>
                <w:bottom w:val="none" w:sz="0" w:space="0" w:color="auto"/>
                <w:right w:val="none" w:sz="0" w:space="0" w:color="auto"/>
              </w:divBdr>
            </w:div>
            <w:div w:id="364597512">
              <w:marLeft w:val="0"/>
              <w:marRight w:val="0"/>
              <w:marTop w:val="0"/>
              <w:marBottom w:val="0"/>
              <w:divBdr>
                <w:top w:val="none" w:sz="0" w:space="0" w:color="auto"/>
                <w:left w:val="none" w:sz="0" w:space="0" w:color="auto"/>
                <w:bottom w:val="none" w:sz="0" w:space="0" w:color="auto"/>
                <w:right w:val="none" w:sz="0" w:space="0" w:color="auto"/>
              </w:divBdr>
            </w:div>
            <w:div w:id="1032263081">
              <w:marLeft w:val="0"/>
              <w:marRight w:val="0"/>
              <w:marTop w:val="0"/>
              <w:marBottom w:val="0"/>
              <w:divBdr>
                <w:top w:val="none" w:sz="0" w:space="0" w:color="auto"/>
                <w:left w:val="none" w:sz="0" w:space="0" w:color="auto"/>
                <w:bottom w:val="none" w:sz="0" w:space="0" w:color="auto"/>
                <w:right w:val="none" w:sz="0" w:space="0" w:color="auto"/>
              </w:divBdr>
            </w:div>
            <w:div w:id="29187846">
              <w:marLeft w:val="0"/>
              <w:marRight w:val="0"/>
              <w:marTop w:val="0"/>
              <w:marBottom w:val="0"/>
              <w:divBdr>
                <w:top w:val="none" w:sz="0" w:space="0" w:color="auto"/>
                <w:left w:val="none" w:sz="0" w:space="0" w:color="auto"/>
                <w:bottom w:val="none" w:sz="0" w:space="0" w:color="auto"/>
                <w:right w:val="none" w:sz="0" w:space="0" w:color="auto"/>
              </w:divBdr>
            </w:div>
            <w:div w:id="532109062">
              <w:marLeft w:val="0"/>
              <w:marRight w:val="0"/>
              <w:marTop w:val="0"/>
              <w:marBottom w:val="0"/>
              <w:divBdr>
                <w:top w:val="none" w:sz="0" w:space="0" w:color="auto"/>
                <w:left w:val="none" w:sz="0" w:space="0" w:color="auto"/>
                <w:bottom w:val="none" w:sz="0" w:space="0" w:color="auto"/>
                <w:right w:val="none" w:sz="0" w:space="0" w:color="auto"/>
              </w:divBdr>
            </w:div>
            <w:div w:id="658731592">
              <w:marLeft w:val="0"/>
              <w:marRight w:val="0"/>
              <w:marTop w:val="0"/>
              <w:marBottom w:val="0"/>
              <w:divBdr>
                <w:top w:val="none" w:sz="0" w:space="0" w:color="auto"/>
                <w:left w:val="none" w:sz="0" w:space="0" w:color="auto"/>
                <w:bottom w:val="none" w:sz="0" w:space="0" w:color="auto"/>
                <w:right w:val="none" w:sz="0" w:space="0" w:color="auto"/>
              </w:divBdr>
            </w:div>
            <w:div w:id="1330329190">
              <w:marLeft w:val="0"/>
              <w:marRight w:val="0"/>
              <w:marTop w:val="0"/>
              <w:marBottom w:val="0"/>
              <w:divBdr>
                <w:top w:val="none" w:sz="0" w:space="0" w:color="auto"/>
                <w:left w:val="none" w:sz="0" w:space="0" w:color="auto"/>
                <w:bottom w:val="none" w:sz="0" w:space="0" w:color="auto"/>
                <w:right w:val="none" w:sz="0" w:space="0" w:color="auto"/>
              </w:divBdr>
            </w:div>
            <w:div w:id="1910386261">
              <w:marLeft w:val="0"/>
              <w:marRight w:val="0"/>
              <w:marTop w:val="0"/>
              <w:marBottom w:val="0"/>
              <w:divBdr>
                <w:top w:val="none" w:sz="0" w:space="0" w:color="auto"/>
                <w:left w:val="none" w:sz="0" w:space="0" w:color="auto"/>
                <w:bottom w:val="none" w:sz="0" w:space="0" w:color="auto"/>
                <w:right w:val="none" w:sz="0" w:space="0" w:color="auto"/>
              </w:divBdr>
            </w:div>
            <w:div w:id="392970891">
              <w:marLeft w:val="0"/>
              <w:marRight w:val="0"/>
              <w:marTop w:val="0"/>
              <w:marBottom w:val="0"/>
              <w:divBdr>
                <w:top w:val="none" w:sz="0" w:space="0" w:color="auto"/>
                <w:left w:val="none" w:sz="0" w:space="0" w:color="auto"/>
                <w:bottom w:val="none" w:sz="0" w:space="0" w:color="auto"/>
                <w:right w:val="none" w:sz="0" w:space="0" w:color="auto"/>
              </w:divBdr>
            </w:div>
            <w:div w:id="2013945360">
              <w:marLeft w:val="0"/>
              <w:marRight w:val="0"/>
              <w:marTop w:val="0"/>
              <w:marBottom w:val="0"/>
              <w:divBdr>
                <w:top w:val="none" w:sz="0" w:space="0" w:color="auto"/>
                <w:left w:val="none" w:sz="0" w:space="0" w:color="auto"/>
                <w:bottom w:val="none" w:sz="0" w:space="0" w:color="auto"/>
                <w:right w:val="none" w:sz="0" w:space="0" w:color="auto"/>
              </w:divBdr>
            </w:div>
            <w:div w:id="792672550">
              <w:marLeft w:val="0"/>
              <w:marRight w:val="0"/>
              <w:marTop w:val="0"/>
              <w:marBottom w:val="0"/>
              <w:divBdr>
                <w:top w:val="none" w:sz="0" w:space="0" w:color="auto"/>
                <w:left w:val="none" w:sz="0" w:space="0" w:color="auto"/>
                <w:bottom w:val="none" w:sz="0" w:space="0" w:color="auto"/>
                <w:right w:val="none" w:sz="0" w:space="0" w:color="auto"/>
              </w:divBdr>
            </w:div>
            <w:div w:id="2144883254">
              <w:marLeft w:val="0"/>
              <w:marRight w:val="0"/>
              <w:marTop w:val="0"/>
              <w:marBottom w:val="0"/>
              <w:divBdr>
                <w:top w:val="none" w:sz="0" w:space="0" w:color="auto"/>
                <w:left w:val="none" w:sz="0" w:space="0" w:color="auto"/>
                <w:bottom w:val="none" w:sz="0" w:space="0" w:color="auto"/>
                <w:right w:val="none" w:sz="0" w:space="0" w:color="auto"/>
              </w:divBdr>
            </w:div>
            <w:div w:id="159581606">
              <w:marLeft w:val="0"/>
              <w:marRight w:val="0"/>
              <w:marTop w:val="0"/>
              <w:marBottom w:val="0"/>
              <w:divBdr>
                <w:top w:val="none" w:sz="0" w:space="0" w:color="auto"/>
                <w:left w:val="none" w:sz="0" w:space="0" w:color="auto"/>
                <w:bottom w:val="none" w:sz="0" w:space="0" w:color="auto"/>
                <w:right w:val="none" w:sz="0" w:space="0" w:color="auto"/>
              </w:divBdr>
            </w:div>
            <w:div w:id="869143287">
              <w:marLeft w:val="0"/>
              <w:marRight w:val="0"/>
              <w:marTop w:val="0"/>
              <w:marBottom w:val="0"/>
              <w:divBdr>
                <w:top w:val="none" w:sz="0" w:space="0" w:color="auto"/>
                <w:left w:val="none" w:sz="0" w:space="0" w:color="auto"/>
                <w:bottom w:val="none" w:sz="0" w:space="0" w:color="auto"/>
                <w:right w:val="none" w:sz="0" w:space="0" w:color="auto"/>
              </w:divBdr>
            </w:div>
            <w:div w:id="317392200">
              <w:marLeft w:val="0"/>
              <w:marRight w:val="0"/>
              <w:marTop w:val="0"/>
              <w:marBottom w:val="0"/>
              <w:divBdr>
                <w:top w:val="none" w:sz="0" w:space="0" w:color="auto"/>
                <w:left w:val="none" w:sz="0" w:space="0" w:color="auto"/>
                <w:bottom w:val="none" w:sz="0" w:space="0" w:color="auto"/>
                <w:right w:val="none" w:sz="0" w:space="0" w:color="auto"/>
              </w:divBdr>
            </w:div>
            <w:div w:id="697312139">
              <w:marLeft w:val="0"/>
              <w:marRight w:val="0"/>
              <w:marTop w:val="0"/>
              <w:marBottom w:val="0"/>
              <w:divBdr>
                <w:top w:val="none" w:sz="0" w:space="0" w:color="auto"/>
                <w:left w:val="none" w:sz="0" w:space="0" w:color="auto"/>
                <w:bottom w:val="none" w:sz="0" w:space="0" w:color="auto"/>
                <w:right w:val="none" w:sz="0" w:space="0" w:color="auto"/>
              </w:divBdr>
            </w:div>
            <w:div w:id="792599113">
              <w:marLeft w:val="0"/>
              <w:marRight w:val="0"/>
              <w:marTop w:val="0"/>
              <w:marBottom w:val="0"/>
              <w:divBdr>
                <w:top w:val="none" w:sz="0" w:space="0" w:color="auto"/>
                <w:left w:val="none" w:sz="0" w:space="0" w:color="auto"/>
                <w:bottom w:val="none" w:sz="0" w:space="0" w:color="auto"/>
                <w:right w:val="none" w:sz="0" w:space="0" w:color="auto"/>
              </w:divBdr>
            </w:div>
            <w:div w:id="2126346882">
              <w:marLeft w:val="0"/>
              <w:marRight w:val="0"/>
              <w:marTop w:val="0"/>
              <w:marBottom w:val="0"/>
              <w:divBdr>
                <w:top w:val="none" w:sz="0" w:space="0" w:color="auto"/>
                <w:left w:val="none" w:sz="0" w:space="0" w:color="auto"/>
                <w:bottom w:val="none" w:sz="0" w:space="0" w:color="auto"/>
                <w:right w:val="none" w:sz="0" w:space="0" w:color="auto"/>
              </w:divBdr>
            </w:div>
            <w:div w:id="1817061546">
              <w:marLeft w:val="0"/>
              <w:marRight w:val="0"/>
              <w:marTop w:val="0"/>
              <w:marBottom w:val="0"/>
              <w:divBdr>
                <w:top w:val="none" w:sz="0" w:space="0" w:color="auto"/>
                <w:left w:val="none" w:sz="0" w:space="0" w:color="auto"/>
                <w:bottom w:val="none" w:sz="0" w:space="0" w:color="auto"/>
                <w:right w:val="none" w:sz="0" w:space="0" w:color="auto"/>
              </w:divBdr>
            </w:div>
            <w:div w:id="557205766">
              <w:marLeft w:val="0"/>
              <w:marRight w:val="0"/>
              <w:marTop w:val="0"/>
              <w:marBottom w:val="0"/>
              <w:divBdr>
                <w:top w:val="none" w:sz="0" w:space="0" w:color="auto"/>
                <w:left w:val="none" w:sz="0" w:space="0" w:color="auto"/>
                <w:bottom w:val="none" w:sz="0" w:space="0" w:color="auto"/>
                <w:right w:val="none" w:sz="0" w:space="0" w:color="auto"/>
              </w:divBdr>
            </w:div>
            <w:div w:id="2107385229">
              <w:marLeft w:val="0"/>
              <w:marRight w:val="0"/>
              <w:marTop w:val="0"/>
              <w:marBottom w:val="0"/>
              <w:divBdr>
                <w:top w:val="none" w:sz="0" w:space="0" w:color="auto"/>
                <w:left w:val="none" w:sz="0" w:space="0" w:color="auto"/>
                <w:bottom w:val="none" w:sz="0" w:space="0" w:color="auto"/>
                <w:right w:val="none" w:sz="0" w:space="0" w:color="auto"/>
              </w:divBdr>
            </w:div>
            <w:div w:id="899747706">
              <w:marLeft w:val="0"/>
              <w:marRight w:val="0"/>
              <w:marTop w:val="0"/>
              <w:marBottom w:val="0"/>
              <w:divBdr>
                <w:top w:val="none" w:sz="0" w:space="0" w:color="auto"/>
                <w:left w:val="none" w:sz="0" w:space="0" w:color="auto"/>
                <w:bottom w:val="none" w:sz="0" w:space="0" w:color="auto"/>
                <w:right w:val="none" w:sz="0" w:space="0" w:color="auto"/>
              </w:divBdr>
            </w:div>
            <w:div w:id="1356923844">
              <w:marLeft w:val="0"/>
              <w:marRight w:val="0"/>
              <w:marTop w:val="0"/>
              <w:marBottom w:val="0"/>
              <w:divBdr>
                <w:top w:val="none" w:sz="0" w:space="0" w:color="auto"/>
                <w:left w:val="none" w:sz="0" w:space="0" w:color="auto"/>
                <w:bottom w:val="none" w:sz="0" w:space="0" w:color="auto"/>
                <w:right w:val="none" w:sz="0" w:space="0" w:color="auto"/>
              </w:divBdr>
            </w:div>
            <w:div w:id="50470031">
              <w:marLeft w:val="0"/>
              <w:marRight w:val="0"/>
              <w:marTop w:val="0"/>
              <w:marBottom w:val="0"/>
              <w:divBdr>
                <w:top w:val="none" w:sz="0" w:space="0" w:color="auto"/>
                <w:left w:val="none" w:sz="0" w:space="0" w:color="auto"/>
                <w:bottom w:val="none" w:sz="0" w:space="0" w:color="auto"/>
                <w:right w:val="none" w:sz="0" w:space="0" w:color="auto"/>
              </w:divBdr>
            </w:div>
            <w:div w:id="553198711">
              <w:marLeft w:val="0"/>
              <w:marRight w:val="0"/>
              <w:marTop w:val="0"/>
              <w:marBottom w:val="0"/>
              <w:divBdr>
                <w:top w:val="none" w:sz="0" w:space="0" w:color="auto"/>
                <w:left w:val="none" w:sz="0" w:space="0" w:color="auto"/>
                <w:bottom w:val="none" w:sz="0" w:space="0" w:color="auto"/>
                <w:right w:val="none" w:sz="0" w:space="0" w:color="auto"/>
              </w:divBdr>
            </w:div>
            <w:div w:id="76906141">
              <w:marLeft w:val="0"/>
              <w:marRight w:val="0"/>
              <w:marTop w:val="0"/>
              <w:marBottom w:val="0"/>
              <w:divBdr>
                <w:top w:val="none" w:sz="0" w:space="0" w:color="auto"/>
                <w:left w:val="none" w:sz="0" w:space="0" w:color="auto"/>
                <w:bottom w:val="none" w:sz="0" w:space="0" w:color="auto"/>
                <w:right w:val="none" w:sz="0" w:space="0" w:color="auto"/>
              </w:divBdr>
            </w:div>
            <w:div w:id="2133590655">
              <w:marLeft w:val="0"/>
              <w:marRight w:val="0"/>
              <w:marTop w:val="0"/>
              <w:marBottom w:val="0"/>
              <w:divBdr>
                <w:top w:val="none" w:sz="0" w:space="0" w:color="auto"/>
                <w:left w:val="none" w:sz="0" w:space="0" w:color="auto"/>
                <w:bottom w:val="none" w:sz="0" w:space="0" w:color="auto"/>
                <w:right w:val="none" w:sz="0" w:space="0" w:color="auto"/>
              </w:divBdr>
            </w:div>
            <w:div w:id="1470174034">
              <w:marLeft w:val="0"/>
              <w:marRight w:val="0"/>
              <w:marTop w:val="0"/>
              <w:marBottom w:val="0"/>
              <w:divBdr>
                <w:top w:val="none" w:sz="0" w:space="0" w:color="auto"/>
                <w:left w:val="none" w:sz="0" w:space="0" w:color="auto"/>
                <w:bottom w:val="none" w:sz="0" w:space="0" w:color="auto"/>
                <w:right w:val="none" w:sz="0" w:space="0" w:color="auto"/>
              </w:divBdr>
            </w:div>
            <w:div w:id="931014657">
              <w:marLeft w:val="0"/>
              <w:marRight w:val="0"/>
              <w:marTop w:val="0"/>
              <w:marBottom w:val="0"/>
              <w:divBdr>
                <w:top w:val="none" w:sz="0" w:space="0" w:color="auto"/>
                <w:left w:val="none" w:sz="0" w:space="0" w:color="auto"/>
                <w:bottom w:val="none" w:sz="0" w:space="0" w:color="auto"/>
                <w:right w:val="none" w:sz="0" w:space="0" w:color="auto"/>
              </w:divBdr>
            </w:div>
            <w:div w:id="1250848815">
              <w:marLeft w:val="0"/>
              <w:marRight w:val="0"/>
              <w:marTop w:val="0"/>
              <w:marBottom w:val="0"/>
              <w:divBdr>
                <w:top w:val="none" w:sz="0" w:space="0" w:color="auto"/>
                <w:left w:val="none" w:sz="0" w:space="0" w:color="auto"/>
                <w:bottom w:val="none" w:sz="0" w:space="0" w:color="auto"/>
                <w:right w:val="none" w:sz="0" w:space="0" w:color="auto"/>
              </w:divBdr>
            </w:div>
            <w:div w:id="1630208530">
              <w:marLeft w:val="0"/>
              <w:marRight w:val="0"/>
              <w:marTop w:val="0"/>
              <w:marBottom w:val="0"/>
              <w:divBdr>
                <w:top w:val="none" w:sz="0" w:space="0" w:color="auto"/>
                <w:left w:val="none" w:sz="0" w:space="0" w:color="auto"/>
                <w:bottom w:val="none" w:sz="0" w:space="0" w:color="auto"/>
                <w:right w:val="none" w:sz="0" w:space="0" w:color="auto"/>
              </w:divBdr>
            </w:div>
            <w:div w:id="1670979270">
              <w:marLeft w:val="0"/>
              <w:marRight w:val="0"/>
              <w:marTop w:val="0"/>
              <w:marBottom w:val="0"/>
              <w:divBdr>
                <w:top w:val="none" w:sz="0" w:space="0" w:color="auto"/>
                <w:left w:val="none" w:sz="0" w:space="0" w:color="auto"/>
                <w:bottom w:val="none" w:sz="0" w:space="0" w:color="auto"/>
                <w:right w:val="none" w:sz="0" w:space="0" w:color="auto"/>
              </w:divBdr>
            </w:div>
            <w:div w:id="534316480">
              <w:marLeft w:val="0"/>
              <w:marRight w:val="0"/>
              <w:marTop w:val="0"/>
              <w:marBottom w:val="0"/>
              <w:divBdr>
                <w:top w:val="none" w:sz="0" w:space="0" w:color="auto"/>
                <w:left w:val="none" w:sz="0" w:space="0" w:color="auto"/>
                <w:bottom w:val="none" w:sz="0" w:space="0" w:color="auto"/>
                <w:right w:val="none" w:sz="0" w:space="0" w:color="auto"/>
              </w:divBdr>
            </w:div>
            <w:div w:id="411048493">
              <w:marLeft w:val="0"/>
              <w:marRight w:val="0"/>
              <w:marTop w:val="0"/>
              <w:marBottom w:val="0"/>
              <w:divBdr>
                <w:top w:val="none" w:sz="0" w:space="0" w:color="auto"/>
                <w:left w:val="none" w:sz="0" w:space="0" w:color="auto"/>
                <w:bottom w:val="none" w:sz="0" w:space="0" w:color="auto"/>
                <w:right w:val="none" w:sz="0" w:space="0" w:color="auto"/>
              </w:divBdr>
            </w:div>
            <w:div w:id="1282104669">
              <w:marLeft w:val="0"/>
              <w:marRight w:val="0"/>
              <w:marTop w:val="0"/>
              <w:marBottom w:val="0"/>
              <w:divBdr>
                <w:top w:val="none" w:sz="0" w:space="0" w:color="auto"/>
                <w:left w:val="none" w:sz="0" w:space="0" w:color="auto"/>
                <w:bottom w:val="none" w:sz="0" w:space="0" w:color="auto"/>
                <w:right w:val="none" w:sz="0" w:space="0" w:color="auto"/>
              </w:divBdr>
            </w:div>
            <w:div w:id="1280063345">
              <w:marLeft w:val="0"/>
              <w:marRight w:val="0"/>
              <w:marTop w:val="0"/>
              <w:marBottom w:val="0"/>
              <w:divBdr>
                <w:top w:val="none" w:sz="0" w:space="0" w:color="auto"/>
                <w:left w:val="none" w:sz="0" w:space="0" w:color="auto"/>
                <w:bottom w:val="none" w:sz="0" w:space="0" w:color="auto"/>
                <w:right w:val="none" w:sz="0" w:space="0" w:color="auto"/>
              </w:divBdr>
            </w:div>
            <w:div w:id="239366838">
              <w:marLeft w:val="0"/>
              <w:marRight w:val="0"/>
              <w:marTop w:val="0"/>
              <w:marBottom w:val="0"/>
              <w:divBdr>
                <w:top w:val="none" w:sz="0" w:space="0" w:color="auto"/>
                <w:left w:val="none" w:sz="0" w:space="0" w:color="auto"/>
                <w:bottom w:val="none" w:sz="0" w:space="0" w:color="auto"/>
                <w:right w:val="none" w:sz="0" w:space="0" w:color="auto"/>
              </w:divBdr>
            </w:div>
            <w:div w:id="1367215268">
              <w:marLeft w:val="0"/>
              <w:marRight w:val="0"/>
              <w:marTop w:val="0"/>
              <w:marBottom w:val="0"/>
              <w:divBdr>
                <w:top w:val="none" w:sz="0" w:space="0" w:color="auto"/>
                <w:left w:val="none" w:sz="0" w:space="0" w:color="auto"/>
                <w:bottom w:val="none" w:sz="0" w:space="0" w:color="auto"/>
                <w:right w:val="none" w:sz="0" w:space="0" w:color="auto"/>
              </w:divBdr>
            </w:div>
            <w:div w:id="120615721">
              <w:marLeft w:val="0"/>
              <w:marRight w:val="0"/>
              <w:marTop w:val="0"/>
              <w:marBottom w:val="0"/>
              <w:divBdr>
                <w:top w:val="none" w:sz="0" w:space="0" w:color="auto"/>
                <w:left w:val="none" w:sz="0" w:space="0" w:color="auto"/>
                <w:bottom w:val="none" w:sz="0" w:space="0" w:color="auto"/>
                <w:right w:val="none" w:sz="0" w:space="0" w:color="auto"/>
              </w:divBdr>
            </w:div>
            <w:div w:id="338388589">
              <w:marLeft w:val="0"/>
              <w:marRight w:val="0"/>
              <w:marTop w:val="0"/>
              <w:marBottom w:val="0"/>
              <w:divBdr>
                <w:top w:val="none" w:sz="0" w:space="0" w:color="auto"/>
                <w:left w:val="none" w:sz="0" w:space="0" w:color="auto"/>
                <w:bottom w:val="none" w:sz="0" w:space="0" w:color="auto"/>
                <w:right w:val="none" w:sz="0" w:space="0" w:color="auto"/>
              </w:divBdr>
            </w:div>
            <w:div w:id="148248606">
              <w:marLeft w:val="0"/>
              <w:marRight w:val="0"/>
              <w:marTop w:val="0"/>
              <w:marBottom w:val="0"/>
              <w:divBdr>
                <w:top w:val="none" w:sz="0" w:space="0" w:color="auto"/>
                <w:left w:val="none" w:sz="0" w:space="0" w:color="auto"/>
                <w:bottom w:val="none" w:sz="0" w:space="0" w:color="auto"/>
                <w:right w:val="none" w:sz="0" w:space="0" w:color="auto"/>
              </w:divBdr>
            </w:div>
            <w:div w:id="1176963667">
              <w:marLeft w:val="0"/>
              <w:marRight w:val="0"/>
              <w:marTop w:val="0"/>
              <w:marBottom w:val="0"/>
              <w:divBdr>
                <w:top w:val="none" w:sz="0" w:space="0" w:color="auto"/>
                <w:left w:val="none" w:sz="0" w:space="0" w:color="auto"/>
                <w:bottom w:val="none" w:sz="0" w:space="0" w:color="auto"/>
                <w:right w:val="none" w:sz="0" w:space="0" w:color="auto"/>
              </w:divBdr>
            </w:div>
            <w:div w:id="529495385">
              <w:marLeft w:val="0"/>
              <w:marRight w:val="0"/>
              <w:marTop w:val="0"/>
              <w:marBottom w:val="0"/>
              <w:divBdr>
                <w:top w:val="none" w:sz="0" w:space="0" w:color="auto"/>
                <w:left w:val="none" w:sz="0" w:space="0" w:color="auto"/>
                <w:bottom w:val="none" w:sz="0" w:space="0" w:color="auto"/>
                <w:right w:val="none" w:sz="0" w:space="0" w:color="auto"/>
              </w:divBdr>
            </w:div>
            <w:div w:id="272982789">
              <w:marLeft w:val="0"/>
              <w:marRight w:val="0"/>
              <w:marTop w:val="0"/>
              <w:marBottom w:val="0"/>
              <w:divBdr>
                <w:top w:val="none" w:sz="0" w:space="0" w:color="auto"/>
                <w:left w:val="none" w:sz="0" w:space="0" w:color="auto"/>
                <w:bottom w:val="none" w:sz="0" w:space="0" w:color="auto"/>
                <w:right w:val="none" w:sz="0" w:space="0" w:color="auto"/>
              </w:divBdr>
            </w:div>
            <w:div w:id="1642072428">
              <w:marLeft w:val="0"/>
              <w:marRight w:val="0"/>
              <w:marTop w:val="0"/>
              <w:marBottom w:val="0"/>
              <w:divBdr>
                <w:top w:val="none" w:sz="0" w:space="0" w:color="auto"/>
                <w:left w:val="none" w:sz="0" w:space="0" w:color="auto"/>
                <w:bottom w:val="none" w:sz="0" w:space="0" w:color="auto"/>
                <w:right w:val="none" w:sz="0" w:space="0" w:color="auto"/>
              </w:divBdr>
            </w:div>
            <w:div w:id="43794801">
              <w:marLeft w:val="0"/>
              <w:marRight w:val="0"/>
              <w:marTop w:val="0"/>
              <w:marBottom w:val="0"/>
              <w:divBdr>
                <w:top w:val="none" w:sz="0" w:space="0" w:color="auto"/>
                <w:left w:val="none" w:sz="0" w:space="0" w:color="auto"/>
                <w:bottom w:val="none" w:sz="0" w:space="0" w:color="auto"/>
                <w:right w:val="none" w:sz="0" w:space="0" w:color="auto"/>
              </w:divBdr>
            </w:div>
            <w:div w:id="859004141">
              <w:marLeft w:val="0"/>
              <w:marRight w:val="0"/>
              <w:marTop w:val="0"/>
              <w:marBottom w:val="0"/>
              <w:divBdr>
                <w:top w:val="none" w:sz="0" w:space="0" w:color="auto"/>
                <w:left w:val="none" w:sz="0" w:space="0" w:color="auto"/>
                <w:bottom w:val="none" w:sz="0" w:space="0" w:color="auto"/>
                <w:right w:val="none" w:sz="0" w:space="0" w:color="auto"/>
              </w:divBdr>
            </w:div>
            <w:div w:id="453981961">
              <w:marLeft w:val="0"/>
              <w:marRight w:val="0"/>
              <w:marTop w:val="0"/>
              <w:marBottom w:val="0"/>
              <w:divBdr>
                <w:top w:val="none" w:sz="0" w:space="0" w:color="auto"/>
                <w:left w:val="none" w:sz="0" w:space="0" w:color="auto"/>
                <w:bottom w:val="none" w:sz="0" w:space="0" w:color="auto"/>
                <w:right w:val="none" w:sz="0" w:space="0" w:color="auto"/>
              </w:divBdr>
            </w:div>
            <w:div w:id="1883637419">
              <w:marLeft w:val="0"/>
              <w:marRight w:val="0"/>
              <w:marTop w:val="0"/>
              <w:marBottom w:val="0"/>
              <w:divBdr>
                <w:top w:val="none" w:sz="0" w:space="0" w:color="auto"/>
                <w:left w:val="none" w:sz="0" w:space="0" w:color="auto"/>
                <w:bottom w:val="none" w:sz="0" w:space="0" w:color="auto"/>
                <w:right w:val="none" w:sz="0" w:space="0" w:color="auto"/>
              </w:divBdr>
            </w:div>
            <w:div w:id="1392579619">
              <w:marLeft w:val="0"/>
              <w:marRight w:val="0"/>
              <w:marTop w:val="0"/>
              <w:marBottom w:val="0"/>
              <w:divBdr>
                <w:top w:val="none" w:sz="0" w:space="0" w:color="auto"/>
                <w:left w:val="none" w:sz="0" w:space="0" w:color="auto"/>
                <w:bottom w:val="none" w:sz="0" w:space="0" w:color="auto"/>
                <w:right w:val="none" w:sz="0" w:space="0" w:color="auto"/>
              </w:divBdr>
            </w:div>
            <w:div w:id="2112192428">
              <w:marLeft w:val="0"/>
              <w:marRight w:val="0"/>
              <w:marTop w:val="0"/>
              <w:marBottom w:val="0"/>
              <w:divBdr>
                <w:top w:val="none" w:sz="0" w:space="0" w:color="auto"/>
                <w:left w:val="none" w:sz="0" w:space="0" w:color="auto"/>
                <w:bottom w:val="none" w:sz="0" w:space="0" w:color="auto"/>
                <w:right w:val="none" w:sz="0" w:space="0" w:color="auto"/>
              </w:divBdr>
            </w:div>
            <w:div w:id="301086478">
              <w:marLeft w:val="0"/>
              <w:marRight w:val="0"/>
              <w:marTop w:val="0"/>
              <w:marBottom w:val="0"/>
              <w:divBdr>
                <w:top w:val="none" w:sz="0" w:space="0" w:color="auto"/>
                <w:left w:val="none" w:sz="0" w:space="0" w:color="auto"/>
                <w:bottom w:val="none" w:sz="0" w:space="0" w:color="auto"/>
                <w:right w:val="none" w:sz="0" w:space="0" w:color="auto"/>
              </w:divBdr>
            </w:div>
            <w:div w:id="1004822140">
              <w:marLeft w:val="0"/>
              <w:marRight w:val="0"/>
              <w:marTop w:val="0"/>
              <w:marBottom w:val="0"/>
              <w:divBdr>
                <w:top w:val="none" w:sz="0" w:space="0" w:color="auto"/>
                <w:left w:val="none" w:sz="0" w:space="0" w:color="auto"/>
                <w:bottom w:val="none" w:sz="0" w:space="0" w:color="auto"/>
                <w:right w:val="none" w:sz="0" w:space="0" w:color="auto"/>
              </w:divBdr>
            </w:div>
            <w:div w:id="1760563569">
              <w:marLeft w:val="0"/>
              <w:marRight w:val="0"/>
              <w:marTop w:val="0"/>
              <w:marBottom w:val="0"/>
              <w:divBdr>
                <w:top w:val="none" w:sz="0" w:space="0" w:color="auto"/>
                <w:left w:val="none" w:sz="0" w:space="0" w:color="auto"/>
                <w:bottom w:val="none" w:sz="0" w:space="0" w:color="auto"/>
                <w:right w:val="none" w:sz="0" w:space="0" w:color="auto"/>
              </w:divBdr>
            </w:div>
            <w:div w:id="621228523">
              <w:marLeft w:val="0"/>
              <w:marRight w:val="0"/>
              <w:marTop w:val="0"/>
              <w:marBottom w:val="0"/>
              <w:divBdr>
                <w:top w:val="none" w:sz="0" w:space="0" w:color="auto"/>
                <w:left w:val="none" w:sz="0" w:space="0" w:color="auto"/>
                <w:bottom w:val="none" w:sz="0" w:space="0" w:color="auto"/>
                <w:right w:val="none" w:sz="0" w:space="0" w:color="auto"/>
              </w:divBdr>
            </w:div>
            <w:div w:id="706569649">
              <w:marLeft w:val="0"/>
              <w:marRight w:val="0"/>
              <w:marTop w:val="0"/>
              <w:marBottom w:val="0"/>
              <w:divBdr>
                <w:top w:val="none" w:sz="0" w:space="0" w:color="auto"/>
                <w:left w:val="none" w:sz="0" w:space="0" w:color="auto"/>
                <w:bottom w:val="none" w:sz="0" w:space="0" w:color="auto"/>
                <w:right w:val="none" w:sz="0" w:space="0" w:color="auto"/>
              </w:divBdr>
            </w:div>
            <w:div w:id="1879927211">
              <w:marLeft w:val="0"/>
              <w:marRight w:val="0"/>
              <w:marTop w:val="0"/>
              <w:marBottom w:val="0"/>
              <w:divBdr>
                <w:top w:val="none" w:sz="0" w:space="0" w:color="auto"/>
                <w:left w:val="none" w:sz="0" w:space="0" w:color="auto"/>
                <w:bottom w:val="none" w:sz="0" w:space="0" w:color="auto"/>
                <w:right w:val="none" w:sz="0" w:space="0" w:color="auto"/>
              </w:divBdr>
            </w:div>
            <w:div w:id="1626765262">
              <w:marLeft w:val="0"/>
              <w:marRight w:val="0"/>
              <w:marTop w:val="0"/>
              <w:marBottom w:val="0"/>
              <w:divBdr>
                <w:top w:val="none" w:sz="0" w:space="0" w:color="auto"/>
                <w:left w:val="none" w:sz="0" w:space="0" w:color="auto"/>
                <w:bottom w:val="none" w:sz="0" w:space="0" w:color="auto"/>
                <w:right w:val="none" w:sz="0" w:space="0" w:color="auto"/>
              </w:divBdr>
            </w:div>
            <w:div w:id="1080102509">
              <w:marLeft w:val="0"/>
              <w:marRight w:val="0"/>
              <w:marTop w:val="0"/>
              <w:marBottom w:val="0"/>
              <w:divBdr>
                <w:top w:val="none" w:sz="0" w:space="0" w:color="auto"/>
                <w:left w:val="none" w:sz="0" w:space="0" w:color="auto"/>
                <w:bottom w:val="none" w:sz="0" w:space="0" w:color="auto"/>
                <w:right w:val="none" w:sz="0" w:space="0" w:color="auto"/>
              </w:divBdr>
            </w:div>
            <w:div w:id="1833717496">
              <w:marLeft w:val="0"/>
              <w:marRight w:val="0"/>
              <w:marTop w:val="0"/>
              <w:marBottom w:val="0"/>
              <w:divBdr>
                <w:top w:val="none" w:sz="0" w:space="0" w:color="auto"/>
                <w:left w:val="none" w:sz="0" w:space="0" w:color="auto"/>
                <w:bottom w:val="none" w:sz="0" w:space="0" w:color="auto"/>
                <w:right w:val="none" w:sz="0" w:space="0" w:color="auto"/>
              </w:divBdr>
            </w:div>
            <w:div w:id="750783222">
              <w:marLeft w:val="0"/>
              <w:marRight w:val="0"/>
              <w:marTop w:val="0"/>
              <w:marBottom w:val="0"/>
              <w:divBdr>
                <w:top w:val="none" w:sz="0" w:space="0" w:color="auto"/>
                <w:left w:val="none" w:sz="0" w:space="0" w:color="auto"/>
                <w:bottom w:val="none" w:sz="0" w:space="0" w:color="auto"/>
                <w:right w:val="none" w:sz="0" w:space="0" w:color="auto"/>
              </w:divBdr>
            </w:div>
            <w:div w:id="266354947">
              <w:marLeft w:val="0"/>
              <w:marRight w:val="0"/>
              <w:marTop w:val="0"/>
              <w:marBottom w:val="0"/>
              <w:divBdr>
                <w:top w:val="none" w:sz="0" w:space="0" w:color="auto"/>
                <w:left w:val="none" w:sz="0" w:space="0" w:color="auto"/>
                <w:bottom w:val="none" w:sz="0" w:space="0" w:color="auto"/>
                <w:right w:val="none" w:sz="0" w:space="0" w:color="auto"/>
              </w:divBdr>
            </w:div>
            <w:div w:id="442654352">
              <w:marLeft w:val="0"/>
              <w:marRight w:val="0"/>
              <w:marTop w:val="0"/>
              <w:marBottom w:val="0"/>
              <w:divBdr>
                <w:top w:val="none" w:sz="0" w:space="0" w:color="auto"/>
                <w:left w:val="none" w:sz="0" w:space="0" w:color="auto"/>
                <w:bottom w:val="none" w:sz="0" w:space="0" w:color="auto"/>
                <w:right w:val="none" w:sz="0" w:space="0" w:color="auto"/>
              </w:divBdr>
            </w:div>
            <w:div w:id="1661958170">
              <w:marLeft w:val="0"/>
              <w:marRight w:val="0"/>
              <w:marTop w:val="0"/>
              <w:marBottom w:val="0"/>
              <w:divBdr>
                <w:top w:val="none" w:sz="0" w:space="0" w:color="auto"/>
                <w:left w:val="none" w:sz="0" w:space="0" w:color="auto"/>
                <w:bottom w:val="none" w:sz="0" w:space="0" w:color="auto"/>
                <w:right w:val="none" w:sz="0" w:space="0" w:color="auto"/>
              </w:divBdr>
            </w:div>
            <w:div w:id="434517640">
              <w:marLeft w:val="0"/>
              <w:marRight w:val="0"/>
              <w:marTop w:val="0"/>
              <w:marBottom w:val="0"/>
              <w:divBdr>
                <w:top w:val="none" w:sz="0" w:space="0" w:color="auto"/>
                <w:left w:val="none" w:sz="0" w:space="0" w:color="auto"/>
                <w:bottom w:val="none" w:sz="0" w:space="0" w:color="auto"/>
                <w:right w:val="none" w:sz="0" w:space="0" w:color="auto"/>
              </w:divBdr>
            </w:div>
            <w:div w:id="160312138">
              <w:marLeft w:val="0"/>
              <w:marRight w:val="0"/>
              <w:marTop w:val="0"/>
              <w:marBottom w:val="0"/>
              <w:divBdr>
                <w:top w:val="none" w:sz="0" w:space="0" w:color="auto"/>
                <w:left w:val="none" w:sz="0" w:space="0" w:color="auto"/>
                <w:bottom w:val="none" w:sz="0" w:space="0" w:color="auto"/>
                <w:right w:val="none" w:sz="0" w:space="0" w:color="auto"/>
              </w:divBdr>
            </w:div>
            <w:div w:id="1489901171">
              <w:marLeft w:val="0"/>
              <w:marRight w:val="0"/>
              <w:marTop w:val="0"/>
              <w:marBottom w:val="0"/>
              <w:divBdr>
                <w:top w:val="none" w:sz="0" w:space="0" w:color="auto"/>
                <w:left w:val="none" w:sz="0" w:space="0" w:color="auto"/>
                <w:bottom w:val="none" w:sz="0" w:space="0" w:color="auto"/>
                <w:right w:val="none" w:sz="0" w:space="0" w:color="auto"/>
              </w:divBdr>
            </w:div>
            <w:div w:id="916284119">
              <w:marLeft w:val="0"/>
              <w:marRight w:val="0"/>
              <w:marTop w:val="0"/>
              <w:marBottom w:val="0"/>
              <w:divBdr>
                <w:top w:val="none" w:sz="0" w:space="0" w:color="auto"/>
                <w:left w:val="none" w:sz="0" w:space="0" w:color="auto"/>
                <w:bottom w:val="none" w:sz="0" w:space="0" w:color="auto"/>
                <w:right w:val="none" w:sz="0" w:space="0" w:color="auto"/>
              </w:divBdr>
            </w:div>
            <w:div w:id="4330755">
              <w:marLeft w:val="0"/>
              <w:marRight w:val="0"/>
              <w:marTop w:val="0"/>
              <w:marBottom w:val="0"/>
              <w:divBdr>
                <w:top w:val="none" w:sz="0" w:space="0" w:color="auto"/>
                <w:left w:val="none" w:sz="0" w:space="0" w:color="auto"/>
                <w:bottom w:val="none" w:sz="0" w:space="0" w:color="auto"/>
                <w:right w:val="none" w:sz="0" w:space="0" w:color="auto"/>
              </w:divBdr>
            </w:div>
            <w:div w:id="875585492">
              <w:marLeft w:val="0"/>
              <w:marRight w:val="0"/>
              <w:marTop w:val="0"/>
              <w:marBottom w:val="0"/>
              <w:divBdr>
                <w:top w:val="none" w:sz="0" w:space="0" w:color="auto"/>
                <w:left w:val="none" w:sz="0" w:space="0" w:color="auto"/>
                <w:bottom w:val="none" w:sz="0" w:space="0" w:color="auto"/>
                <w:right w:val="none" w:sz="0" w:space="0" w:color="auto"/>
              </w:divBdr>
            </w:div>
            <w:div w:id="1615822605">
              <w:marLeft w:val="0"/>
              <w:marRight w:val="0"/>
              <w:marTop w:val="0"/>
              <w:marBottom w:val="0"/>
              <w:divBdr>
                <w:top w:val="none" w:sz="0" w:space="0" w:color="auto"/>
                <w:left w:val="none" w:sz="0" w:space="0" w:color="auto"/>
                <w:bottom w:val="none" w:sz="0" w:space="0" w:color="auto"/>
                <w:right w:val="none" w:sz="0" w:space="0" w:color="auto"/>
              </w:divBdr>
            </w:div>
            <w:div w:id="900286564">
              <w:marLeft w:val="0"/>
              <w:marRight w:val="0"/>
              <w:marTop w:val="0"/>
              <w:marBottom w:val="0"/>
              <w:divBdr>
                <w:top w:val="none" w:sz="0" w:space="0" w:color="auto"/>
                <w:left w:val="none" w:sz="0" w:space="0" w:color="auto"/>
                <w:bottom w:val="none" w:sz="0" w:space="0" w:color="auto"/>
                <w:right w:val="none" w:sz="0" w:space="0" w:color="auto"/>
              </w:divBdr>
            </w:div>
            <w:div w:id="1076628188">
              <w:marLeft w:val="0"/>
              <w:marRight w:val="0"/>
              <w:marTop w:val="0"/>
              <w:marBottom w:val="0"/>
              <w:divBdr>
                <w:top w:val="none" w:sz="0" w:space="0" w:color="auto"/>
                <w:left w:val="none" w:sz="0" w:space="0" w:color="auto"/>
                <w:bottom w:val="none" w:sz="0" w:space="0" w:color="auto"/>
                <w:right w:val="none" w:sz="0" w:space="0" w:color="auto"/>
              </w:divBdr>
            </w:div>
            <w:div w:id="913778981">
              <w:marLeft w:val="0"/>
              <w:marRight w:val="0"/>
              <w:marTop w:val="0"/>
              <w:marBottom w:val="0"/>
              <w:divBdr>
                <w:top w:val="none" w:sz="0" w:space="0" w:color="auto"/>
                <w:left w:val="none" w:sz="0" w:space="0" w:color="auto"/>
                <w:bottom w:val="none" w:sz="0" w:space="0" w:color="auto"/>
                <w:right w:val="none" w:sz="0" w:space="0" w:color="auto"/>
              </w:divBdr>
            </w:div>
            <w:div w:id="2146578554">
              <w:marLeft w:val="0"/>
              <w:marRight w:val="0"/>
              <w:marTop w:val="0"/>
              <w:marBottom w:val="0"/>
              <w:divBdr>
                <w:top w:val="none" w:sz="0" w:space="0" w:color="auto"/>
                <w:left w:val="none" w:sz="0" w:space="0" w:color="auto"/>
                <w:bottom w:val="none" w:sz="0" w:space="0" w:color="auto"/>
                <w:right w:val="none" w:sz="0" w:space="0" w:color="auto"/>
              </w:divBdr>
            </w:div>
            <w:div w:id="1358459811">
              <w:marLeft w:val="0"/>
              <w:marRight w:val="0"/>
              <w:marTop w:val="0"/>
              <w:marBottom w:val="0"/>
              <w:divBdr>
                <w:top w:val="none" w:sz="0" w:space="0" w:color="auto"/>
                <w:left w:val="none" w:sz="0" w:space="0" w:color="auto"/>
                <w:bottom w:val="none" w:sz="0" w:space="0" w:color="auto"/>
                <w:right w:val="none" w:sz="0" w:space="0" w:color="auto"/>
              </w:divBdr>
            </w:div>
            <w:div w:id="1798402794">
              <w:marLeft w:val="0"/>
              <w:marRight w:val="0"/>
              <w:marTop w:val="0"/>
              <w:marBottom w:val="0"/>
              <w:divBdr>
                <w:top w:val="none" w:sz="0" w:space="0" w:color="auto"/>
                <w:left w:val="none" w:sz="0" w:space="0" w:color="auto"/>
                <w:bottom w:val="none" w:sz="0" w:space="0" w:color="auto"/>
                <w:right w:val="none" w:sz="0" w:space="0" w:color="auto"/>
              </w:divBdr>
            </w:div>
            <w:div w:id="843128886">
              <w:marLeft w:val="0"/>
              <w:marRight w:val="0"/>
              <w:marTop w:val="0"/>
              <w:marBottom w:val="0"/>
              <w:divBdr>
                <w:top w:val="none" w:sz="0" w:space="0" w:color="auto"/>
                <w:left w:val="none" w:sz="0" w:space="0" w:color="auto"/>
                <w:bottom w:val="none" w:sz="0" w:space="0" w:color="auto"/>
                <w:right w:val="none" w:sz="0" w:space="0" w:color="auto"/>
              </w:divBdr>
            </w:div>
            <w:div w:id="1257977897">
              <w:marLeft w:val="0"/>
              <w:marRight w:val="0"/>
              <w:marTop w:val="0"/>
              <w:marBottom w:val="0"/>
              <w:divBdr>
                <w:top w:val="none" w:sz="0" w:space="0" w:color="auto"/>
                <w:left w:val="none" w:sz="0" w:space="0" w:color="auto"/>
                <w:bottom w:val="none" w:sz="0" w:space="0" w:color="auto"/>
                <w:right w:val="none" w:sz="0" w:space="0" w:color="auto"/>
              </w:divBdr>
            </w:div>
            <w:div w:id="337510865">
              <w:marLeft w:val="0"/>
              <w:marRight w:val="0"/>
              <w:marTop w:val="0"/>
              <w:marBottom w:val="0"/>
              <w:divBdr>
                <w:top w:val="none" w:sz="0" w:space="0" w:color="auto"/>
                <w:left w:val="none" w:sz="0" w:space="0" w:color="auto"/>
                <w:bottom w:val="none" w:sz="0" w:space="0" w:color="auto"/>
                <w:right w:val="none" w:sz="0" w:space="0" w:color="auto"/>
              </w:divBdr>
            </w:div>
            <w:div w:id="661663358">
              <w:marLeft w:val="0"/>
              <w:marRight w:val="0"/>
              <w:marTop w:val="0"/>
              <w:marBottom w:val="0"/>
              <w:divBdr>
                <w:top w:val="none" w:sz="0" w:space="0" w:color="auto"/>
                <w:left w:val="none" w:sz="0" w:space="0" w:color="auto"/>
                <w:bottom w:val="none" w:sz="0" w:space="0" w:color="auto"/>
                <w:right w:val="none" w:sz="0" w:space="0" w:color="auto"/>
              </w:divBdr>
            </w:div>
            <w:div w:id="730273842">
              <w:marLeft w:val="0"/>
              <w:marRight w:val="0"/>
              <w:marTop w:val="0"/>
              <w:marBottom w:val="0"/>
              <w:divBdr>
                <w:top w:val="none" w:sz="0" w:space="0" w:color="auto"/>
                <w:left w:val="none" w:sz="0" w:space="0" w:color="auto"/>
                <w:bottom w:val="none" w:sz="0" w:space="0" w:color="auto"/>
                <w:right w:val="none" w:sz="0" w:space="0" w:color="auto"/>
              </w:divBdr>
            </w:div>
            <w:div w:id="1325743988">
              <w:marLeft w:val="0"/>
              <w:marRight w:val="0"/>
              <w:marTop w:val="0"/>
              <w:marBottom w:val="0"/>
              <w:divBdr>
                <w:top w:val="none" w:sz="0" w:space="0" w:color="auto"/>
                <w:left w:val="none" w:sz="0" w:space="0" w:color="auto"/>
                <w:bottom w:val="none" w:sz="0" w:space="0" w:color="auto"/>
                <w:right w:val="none" w:sz="0" w:space="0" w:color="auto"/>
              </w:divBdr>
            </w:div>
            <w:div w:id="1543860898">
              <w:marLeft w:val="0"/>
              <w:marRight w:val="0"/>
              <w:marTop w:val="0"/>
              <w:marBottom w:val="0"/>
              <w:divBdr>
                <w:top w:val="none" w:sz="0" w:space="0" w:color="auto"/>
                <w:left w:val="none" w:sz="0" w:space="0" w:color="auto"/>
                <w:bottom w:val="none" w:sz="0" w:space="0" w:color="auto"/>
                <w:right w:val="none" w:sz="0" w:space="0" w:color="auto"/>
              </w:divBdr>
            </w:div>
            <w:div w:id="1438672870">
              <w:marLeft w:val="0"/>
              <w:marRight w:val="0"/>
              <w:marTop w:val="0"/>
              <w:marBottom w:val="0"/>
              <w:divBdr>
                <w:top w:val="none" w:sz="0" w:space="0" w:color="auto"/>
                <w:left w:val="none" w:sz="0" w:space="0" w:color="auto"/>
                <w:bottom w:val="none" w:sz="0" w:space="0" w:color="auto"/>
                <w:right w:val="none" w:sz="0" w:space="0" w:color="auto"/>
              </w:divBdr>
            </w:div>
            <w:div w:id="387724544">
              <w:marLeft w:val="0"/>
              <w:marRight w:val="0"/>
              <w:marTop w:val="0"/>
              <w:marBottom w:val="0"/>
              <w:divBdr>
                <w:top w:val="none" w:sz="0" w:space="0" w:color="auto"/>
                <w:left w:val="none" w:sz="0" w:space="0" w:color="auto"/>
                <w:bottom w:val="none" w:sz="0" w:space="0" w:color="auto"/>
                <w:right w:val="none" w:sz="0" w:space="0" w:color="auto"/>
              </w:divBdr>
            </w:div>
            <w:div w:id="1634167209">
              <w:marLeft w:val="0"/>
              <w:marRight w:val="0"/>
              <w:marTop w:val="0"/>
              <w:marBottom w:val="0"/>
              <w:divBdr>
                <w:top w:val="none" w:sz="0" w:space="0" w:color="auto"/>
                <w:left w:val="none" w:sz="0" w:space="0" w:color="auto"/>
                <w:bottom w:val="none" w:sz="0" w:space="0" w:color="auto"/>
                <w:right w:val="none" w:sz="0" w:space="0" w:color="auto"/>
              </w:divBdr>
            </w:div>
            <w:div w:id="542443296">
              <w:marLeft w:val="0"/>
              <w:marRight w:val="0"/>
              <w:marTop w:val="0"/>
              <w:marBottom w:val="0"/>
              <w:divBdr>
                <w:top w:val="none" w:sz="0" w:space="0" w:color="auto"/>
                <w:left w:val="none" w:sz="0" w:space="0" w:color="auto"/>
                <w:bottom w:val="none" w:sz="0" w:space="0" w:color="auto"/>
                <w:right w:val="none" w:sz="0" w:space="0" w:color="auto"/>
              </w:divBdr>
            </w:div>
            <w:div w:id="1582563892">
              <w:marLeft w:val="0"/>
              <w:marRight w:val="0"/>
              <w:marTop w:val="0"/>
              <w:marBottom w:val="0"/>
              <w:divBdr>
                <w:top w:val="none" w:sz="0" w:space="0" w:color="auto"/>
                <w:left w:val="none" w:sz="0" w:space="0" w:color="auto"/>
                <w:bottom w:val="none" w:sz="0" w:space="0" w:color="auto"/>
                <w:right w:val="none" w:sz="0" w:space="0" w:color="auto"/>
              </w:divBdr>
            </w:div>
            <w:div w:id="487213623">
              <w:marLeft w:val="0"/>
              <w:marRight w:val="0"/>
              <w:marTop w:val="0"/>
              <w:marBottom w:val="0"/>
              <w:divBdr>
                <w:top w:val="none" w:sz="0" w:space="0" w:color="auto"/>
                <w:left w:val="none" w:sz="0" w:space="0" w:color="auto"/>
                <w:bottom w:val="none" w:sz="0" w:space="0" w:color="auto"/>
                <w:right w:val="none" w:sz="0" w:space="0" w:color="auto"/>
              </w:divBdr>
            </w:div>
            <w:div w:id="1259870617">
              <w:marLeft w:val="0"/>
              <w:marRight w:val="0"/>
              <w:marTop w:val="0"/>
              <w:marBottom w:val="0"/>
              <w:divBdr>
                <w:top w:val="none" w:sz="0" w:space="0" w:color="auto"/>
                <w:left w:val="none" w:sz="0" w:space="0" w:color="auto"/>
                <w:bottom w:val="none" w:sz="0" w:space="0" w:color="auto"/>
                <w:right w:val="none" w:sz="0" w:space="0" w:color="auto"/>
              </w:divBdr>
            </w:div>
            <w:div w:id="544223864">
              <w:marLeft w:val="0"/>
              <w:marRight w:val="0"/>
              <w:marTop w:val="0"/>
              <w:marBottom w:val="0"/>
              <w:divBdr>
                <w:top w:val="none" w:sz="0" w:space="0" w:color="auto"/>
                <w:left w:val="none" w:sz="0" w:space="0" w:color="auto"/>
                <w:bottom w:val="none" w:sz="0" w:space="0" w:color="auto"/>
                <w:right w:val="none" w:sz="0" w:space="0" w:color="auto"/>
              </w:divBdr>
            </w:div>
            <w:div w:id="760033018">
              <w:marLeft w:val="0"/>
              <w:marRight w:val="0"/>
              <w:marTop w:val="0"/>
              <w:marBottom w:val="0"/>
              <w:divBdr>
                <w:top w:val="none" w:sz="0" w:space="0" w:color="auto"/>
                <w:left w:val="none" w:sz="0" w:space="0" w:color="auto"/>
                <w:bottom w:val="none" w:sz="0" w:space="0" w:color="auto"/>
                <w:right w:val="none" w:sz="0" w:space="0" w:color="auto"/>
              </w:divBdr>
            </w:div>
            <w:div w:id="909269042">
              <w:marLeft w:val="0"/>
              <w:marRight w:val="0"/>
              <w:marTop w:val="0"/>
              <w:marBottom w:val="0"/>
              <w:divBdr>
                <w:top w:val="none" w:sz="0" w:space="0" w:color="auto"/>
                <w:left w:val="none" w:sz="0" w:space="0" w:color="auto"/>
                <w:bottom w:val="none" w:sz="0" w:space="0" w:color="auto"/>
                <w:right w:val="none" w:sz="0" w:space="0" w:color="auto"/>
              </w:divBdr>
            </w:div>
            <w:div w:id="293871409">
              <w:marLeft w:val="0"/>
              <w:marRight w:val="0"/>
              <w:marTop w:val="0"/>
              <w:marBottom w:val="0"/>
              <w:divBdr>
                <w:top w:val="none" w:sz="0" w:space="0" w:color="auto"/>
                <w:left w:val="none" w:sz="0" w:space="0" w:color="auto"/>
                <w:bottom w:val="none" w:sz="0" w:space="0" w:color="auto"/>
                <w:right w:val="none" w:sz="0" w:space="0" w:color="auto"/>
              </w:divBdr>
            </w:div>
            <w:div w:id="599682288">
              <w:marLeft w:val="0"/>
              <w:marRight w:val="0"/>
              <w:marTop w:val="0"/>
              <w:marBottom w:val="0"/>
              <w:divBdr>
                <w:top w:val="none" w:sz="0" w:space="0" w:color="auto"/>
                <w:left w:val="none" w:sz="0" w:space="0" w:color="auto"/>
                <w:bottom w:val="none" w:sz="0" w:space="0" w:color="auto"/>
                <w:right w:val="none" w:sz="0" w:space="0" w:color="auto"/>
              </w:divBdr>
            </w:div>
            <w:div w:id="1347093699">
              <w:marLeft w:val="0"/>
              <w:marRight w:val="0"/>
              <w:marTop w:val="0"/>
              <w:marBottom w:val="0"/>
              <w:divBdr>
                <w:top w:val="none" w:sz="0" w:space="0" w:color="auto"/>
                <w:left w:val="none" w:sz="0" w:space="0" w:color="auto"/>
                <w:bottom w:val="none" w:sz="0" w:space="0" w:color="auto"/>
                <w:right w:val="none" w:sz="0" w:space="0" w:color="auto"/>
              </w:divBdr>
            </w:div>
            <w:div w:id="857963605">
              <w:marLeft w:val="0"/>
              <w:marRight w:val="0"/>
              <w:marTop w:val="0"/>
              <w:marBottom w:val="0"/>
              <w:divBdr>
                <w:top w:val="none" w:sz="0" w:space="0" w:color="auto"/>
                <w:left w:val="none" w:sz="0" w:space="0" w:color="auto"/>
                <w:bottom w:val="none" w:sz="0" w:space="0" w:color="auto"/>
                <w:right w:val="none" w:sz="0" w:space="0" w:color="auto"/>
              </w:divBdr>
            </w:div>
            <w:div w:id="2133860577">
              <w:marLeft w:val="0"/>
              <w:marRight w:val="0"/>
              <w:marTop w:val="0"/>
              <w:marBottom w:val="0"/>
              <w:divBdr>
                <w:top w:val="none" w:sz="0" w:space="0" w:color="auto"/>
                <w:left w:val="none" w:sz="0" w:space="0" w:color="auto"/>
                <w:bottom w:val="none" w:sz="0" w:space="0" w:color="auto"/>
                <w:right w:val="none" w:sz="0" w:space="0" w:color="auto"/>
              </w:divBdr>
            </w:div>
            <w:div w:id="1456293567">
              <w:marLeft w:val="0"/>
              <w:marRight w:val="0"/>
              <w:marTop w:val="0"/>
              <w:marBottom w:val="0"/>
              <w:divBdr>
                <w:top w:val="none" w:sz="0" w:space="0" w:color="auto"/>
                <w:left w:val="none" w:sz="0" w:space="0" w:color="auto"/>
                <w:bottom w:val="none" w:sz="0" w:space="0" w:color="auto"/>
                <w:right w:val="none" w:sz="0" w:space="0" w:color="auto"/>
              </w:divBdr>
            </w:div>
            <w:div w:id="983897669">
              <w:marLeft w:val="0"/>
              <w:marRight w:val="0"/>
              <w:marTop w:val="0"/>
              <w:marBottom w:val="0"/>
              <w:divBdr>
                <w:top w:val="none" w:sz="0" w:space="0" w:color="auto"/>
                <w:left w:val="none" w:sz="0" w:space="0" w:color="auto"/>
                <w:bottom w:val="none" w:sz="0" w:space="0" w:color="auto"/>
                <w:right w:val="none" w:sz="0" w:space="0" w:color="auto"/>
              </w:divBdr>
            </w:div>
            <w:div w:id="1798404033">
              <w:marLeft w:val="0"/>
              <w:marRight w:val="0"/>
              <w:marTop w:val="0"/>
              <w:marBottom w:val="0"/>
              <w:divBdr>
                <w:top w:val="none" w:sz="0" w:space="0" w:color="auto"/>
                <w:left w:val="none" w:sz="0" w:space="0" w:color="auto"/>
                <w:bottom w:val="none" w:sz="0" w:space="0" w:color="auto"/>
                <w:right w:val="none" w:sz="0" w:space="0" w:color="auto"/>
              </w:divBdr>
            </w:div>
            <w:div w:id="1359506024">
              <w:marLeft w:val="0"/>
              <w:marRight w:val="0"/>
              <w:marTop w:val="0"/>
              <w:marBottom w:val="0"/>
              <w:divBdr>
                <w:top w:val="none" w:sz="0" w:space="0" w:color="auto"/>
                <w:left w:val="none" w:sz="0" w:space="0" w:color="auto"/>
                <w:bottom w:val="none" w:sz="0" w:space="0" w:color="auto"/>
                <w:right w:val="none" w:sz="0" w:space="0" w:color="auto"/>
              </w:divBdr>
            </w:div>
            <w:div w:id="749934852">
              <w:marLeft w:val="0"/>
              <w:marRight w:val="0"/>
              <w:marTop w:val="0"/>
              <w:marBottom w:val="0"/>
              <w:divBdr>
                <w:top w:val="none" w:sz="0" w:space="0" w:color="auto"/>
                <w:left w:val="none" w:sz="0" w:space="0" w:color="auto"/>
                <w:bottom w:val="none" w:sz="0" w:space="0" w:color="auto"/>
                <w:right w:val="none" w:sz="0" w:space="0" w:color="auto"/>
              </w:divBdr>
            </w:div>
            <w:div w:id="1193763093">
              <w:marLeft w:val="0"/>
              <w:marRight w:val="0"/>
              <w:marTop w:val="0"/>
              <w:marBottom w:val="0"/>
              <w:divBdr>
                <w:top w:val="none" w:sz="0" w:space="0" w:color="auto"/>
                <w:left w:val="none" w:sz="0" w:space="0" w:color="auto"/>
                <w:bottom w:val="none" w:sz="0" w:space="0" w:color="auto"/>
                <w:right w:val="none" w:sz="0" w:space="0" w:color="auto"/>
              </w:divBdr>
            </w:div>
            <w:div w:id="262540518">
              <w:marLeft w:val="0"/>
              <w:marRight w:val="0"/>
              <w:marTop w:val="0"/>
              <w:marBottom w:val="0"/>
              <w:divBdr>
                <w:top w:val="none" w:sz="0" w:space="0" w:color="auto"/>
                <w:left w:val="none" w:sz="0" w:space="0" w:color="auto"/>
                <w:bottom w:val="none" w:sz="0" w:space="0" w:color="auto"/>
                <w:right w:val="none" w:sz="0" w:space="0" w:color="auto"/>
              </w:divBdr>
            </w:div>
            <w:div w:id="1717393698">
              <w:marLeft w:val="0"/>
              <w:marRight w:val="0"/>
              <w:marTop w:val="0"/>
              <w:marBottom w:val="0"/>
              <w:divBdr>
                <w:top w:val="none" w:sz="0" w:space="0" w:color="auto"/>
                <w:left w:val="none" w:sz="0" w:space="0" w:color="auto"/>
                <w:bottom w:val="none" w:sz="0" w:space="0" w:color="auto"/>
                <w:right w:val="none" w:sz="0" w:space="0" w:color="auto"/>
              </w:divBdr>
            </w:div>
            <w:div w:id="427433284">
              <w:marLeft w:val="0"/>
              <w:marRight w:val="0"/>
              <w:marTop w:val="0"/>
              <w:marBottom w:val="0"/>
              <w:divBdr>
                <w:top w:val="none" w:sz="0" w:space="0" w:color="auto"/>
                <w:left w:val="none" w:sz="0" w:space="0" w:color="auto"/>
                <w:bottom w:val="none" w:sz="0" w:space="0" w:color="auto"/>
                <w:right w:val="none" w:sz="0" w:space="0" w:color="auto"/>
              </w:divBdr>
            </w:div>
            <w:div w:id="940837473">
              <w:marLeft w:val="0"/>
              <w:marRight w:val="0"/>
              <w:marTop w:val="0"/>
              <w:marBottom w:val="0"/>
              <w:divBdr>
                <w:top w:val="none" w:sz="0" w:space="0" w:color="auto"/>
                <w:left w:val="none" w:sz="0" w:space="0" w:color="auto"/>
                <w:bottom w:val="none" w:sz="0" w:space="0" w:color="auto"/>
                <w:right w:val="none" w:sz="0" w:space="0" w:color="auto"/>
              </w:divBdr>
            </w:div>
            <w:div w:id="816844689">
              <w:marLeft w:val="0"/>
              <w:marRight w:val="0"/>
              <w:marTop w:val="0"/>
              <w:marBottom w:val="0"/>
              <w:divBdr>
                <w:top w:val="none" w:sz="0" w:space="0" w:color="auto"/>
                <w:left w:val="none" w:sz="0" w:space="0" w:color="auto"/>
                <w:bottom w:val="none" w:sz="0" w:space="0" w:color="auto"/>
                <w:right w:val="none" w:sz="0" w:space="0" w:color="auto"/>
              </w:divBdr>
            </w:div>
            <w:div w:id="1121221862">
              <w:marLeft w:val="0"/>
              <w:marRight w:val="0"/>
              <w:marTop w:val="0"/>
              <w:marBottom w:val="0"/>
              <w:divBdr>
                <w:top w:val="none" w:sz="0" w:space="0" w:color="auto"/>
                <w:left w:val="none" w:sz="0" w:space="0" w:color="auto"/>
                <w:bottom w:val="none" w:sz="0" w:space="0" w:color="auto"/>
                <w:right w:val="none" w:sz="0" w:space="0" w:color="auto"/>
              </w:divBdr>
            </w:div>
            <w:div w:id="625235012">
              <w:marLeft w:val="0"/>
              <w:marRight w:val="0"/>
              <w:marTop w:val="0"/>
              <w:marBottom w:val="0"/>
              <w:divBdr>
                <w:top w:val="none" w:sz="0" w:space="0" w:color="auto"/>
                <w:left w:val="none" w:sz="0" w:space="0" w:color="auto"/>
                <w:bottom w:val="none" w:sz="0" w:space="0" w:color="auto"/>
                <w:right w:val="none" w:sz="0" w:space="0" w:color="auto"/>
              </w:divBdr>
            </w:div>
            <w:div w:id="1568766774">
              <w:marLeft w:val="0"/>
              <w:marRight w:val="0"/>
              <w:marTop w:val="0"/>
              <w:marBottom w:val="0"/>
              <w:divBdr>
                <w:top w:val="none" w:sz="0" w:space="0" w:color="auto"/>
                <w:left w:val="none" w:sz="0" w:space="0" w:color="auto"/>
                <w:bottom w:val="none" w:sz="0" w:space="0" w:color="auto"/>
                <w:right w:val="none" w:sz="0" w:space="0" w:color="auto"/>
              </w:divBdr>
            </w:div>
            <w:div w:id="1800420750">
              <w:marLeft w:val="0"/>
              <w:marRight w:val="0"/>
              <w:marTop w:val="0"/>
              <w:marBottom w:val="0"/>
              <w:divBdr>
                <w:top w:val="none" w:sz="0" w:space="0" w:color="auto"/>
                <w:left w:val="none" w:sz="0" w:space="0" w:color="auto"/>
                <w:bottom w:val="none" w:sz="0" w:space="0" w:color="auto"/>
                <w:right w:val="none" w:sz="0" w:space="0" w:color="auto"/>
              </w:divBdr>
            </w:div>
            <w:div w:id="89788407">
              <w:marLeft w:val="0"/>
              <w:marRight w:val="0"/>
              <w:marTop w:val="0"/>
              <w:marBottom w:val="0"/>
              <w:divBdr>
                <w:top w:val="none" w:sz="0" w:space="0" w:color="auto"/>
                <w:left w:val="none" w:sz="0" w:space="0" w:color="auto"/>
                <w:bottom w:val="none" w:sz="0" w:space="0" w:color="auto"/>
                <w:right w:val="none" w:sz="0" w:space="0" w:color="auto"/>
              </w:divBdr>
            </w:div>
            <w:div w:id="2107771455">
              <w:marLeft w:val="0"/>
              <w:marRight w:val="0"/>
              <w:marTop w:val="0"/>
              <w:marBottom w:val="0"/>
              <w:divBdr>
                <w:top w:val="none" w:sz="0" w:space="0" w:color="auto"/>
                <w:left w:val="none" w:sz="0" w:space="0" w:color="auto"/>
                <w:bottom w:val="none" w:sz="0" w:space="0" w:color="auto"/>
                <w:right w:val="none" w:sz="0" w:space="0" w:color="auto"/>
              </w:divBdr>
            </w:div>
            <w:div w:id="575624741">
              <w:marLeft w:val="0"/>
              <w:marRight w:val="0"/>
              <w:marTop w:val="0"/>
              <w:marBottom w:val="0"/>
              <w:divBdr>
                <w:top w:val="none" w:sz="0" w:space="0" w:color="auto"/>
                <w:left w:val="none" w:sz="0" w:space="0" w:color="auto"/>
                <w:bottom w:val="none" w:sz="0" w:space="0" w:color="auto"/>
                <w:right w:val="none" w:sz="0" w:space="0" w:color="auto"/>
              </w:divBdr>
            </w:div>
            <w:div w:id="1964729825">
              <w:marLeft w:val="0"/>
              <w:marRight w:val="0"/>
              <w:marTop w:val="0"/>
              <w:marBottom w:val="0"/>
              <w:divBdr>
                <w:top w:val="none" w:sz="0" w:space="0" w:color="auto"/>
                <w:left w:val="none" w:sz="0" w:space="0" w:color="auto"/>
                <w:bottom w:val="none" w:sz="0" w:space="0" w:color="auto"/>
                <w:right w:val="none" w:sz="0" w:space="0" w:color="auto"/>
              </w:divBdr>
            </w:div>
            <w:div w:id="8530370">
              <w:marLeft w:val="0"/>
              <w:marRight w:val="0"/>
              <w:marTop w:val="0"/>
              <w:marBottom w:val="0"/>
              <w:divBdr>
                <w:top w:val="none" w:sz="0" w:space="0" w:color="auto"/>
                <w:left w:val="none" w:sz="0" w:space="0" w:color="auto"/>
                <w:bottom w:val="none" w:sz="0" w:space="0" w:color="auto"/>
                <w:right w:val="none" w:sz="0" w:space="0" w:color="auto"/>
              </w:divBdr>
            </w:div>
            <w:div w:id="357438872">
              <w:marLeft w:val="0"/>
              <w:marRight w:val="0"/>
              <w:marTop w:val="0"/>
              <w:marBottom w:val="0"/>
              <w:divBdr>
                <w:top w:val="none" w:sz="0" w:space="0" w:color="auto"/>
                <w:left w:val="none" w:sz="0" w:space="0" w:color="auto"/>
                <w:bottom w:val="none" w:sz="0" w:space="0" w:color="auto"/>
                <w:right w:val="none" w:sz="0" w:space="0" w:color="auto"/>
              </w:divBdr>
            </w:div>
            <w:div w:id="2119371437">
              <w:marLeft w:val="0"/>
              <w:marRight w:val="0"/>
              <w:marTop w:val="0"/>
              <w:marBottom w:val="0"/>
              <w:divBdr>
                <w:top w:val="none" w:sz="0" w:space="0" w:color="auto"/>
                <w:left w:val="none" w:sz="0" w:space="0" w:color="auto"/>
                <w:bottom w:val="none" w:sz="0" w:space="0" w:color="auto"/>
                <w:right w:val="none" w:sz="0" w:space="0" w:color="auto"/>
              </w:divBdr>
            </w:div>
            <w:div w:id="187916202">
              <w:marLeft w:val="0"/>
              <w:marRight w:val="0"/>
              <w:marTop w:val="0"/>
              <w:marBottom w:val="0"/>
              <w:divBdr>
                <w:top w:val="none" w:sz="0" w:space="0" w:color="auto"/>
                <w:left w:val="none" w:sz="0" w:space="0" w:color="auto"/>
                <w:bottom w:val="none" w:sz="0" w:space="0" w:color="auto"/>
                <w:right w:val="none" w:sz="0" w:space="0" w:color="auto"/>
              </w:divBdr>
            </w:div>
            <w:div w:id="702828802">
              <w:marLeft w:val="0"/>
              <w:marRight w:val="0"/>
              <w:marTop w:val="0"/>
              <w:marBottom w:val="0"/>
              <w:divBdr>
                <w:top w:val="none" w:sz="0" w:space="0" w:color="auto"/>
                <w:left w:val="none" w:sz="0" w:space="0" w:color="auto"/>
                <w:bottom w:val="none" w:sz="0" w:space="0" w:color="auto"/>
                <w:right w:val="none" w:sz="0" w:space="0" w:color="auto"/>
              </w:divBdr>
            </w:div>
            <w:div w:id="1271157816">
              <w:marLeft w:val="0"/>
              <w:marRight w:val="0"/>
              <w:marTop w:val="0"/>
              <w:marBottom w:val="0"/>
              <w:divBdr>
                <w:top w:val="none" w:sz="0" w:space="0" w:color="auto"/>
                <w:left w:val="none" w:sz="0" w:space="0" w:color="auto"/>
                <w:bottom w:val="none" w:sz="0" w:space="0" w:color="auto"/>
                <w:right w:val="none" w:sz="0" w:space="0" w:color="auto"/>
              </w:divBdr>
            </w:div>
            <w:div w:id="392125078">
              <w:marLeft w:val="0"/>
              <w:marRight w:val="0"/>
              <w:marTop w:val="0"/>
              <w:marBottom w:val="0"/>
              <w:divBdr>
                <w:top w:val="none" w:sz="0" w:space="0" w:color="auto"/>
                <w:left w:val="none" w:sz="0" w:space="0" w:color="auto"/>
                <w:bottom w:val="none" w:sz="0" w:space="0" w:color="auto"/>
                <w:right w:val="none" w:sz="0" w:space="0" w:color="auto"/>
              </w:divBdr>
            </w:div>
            <w:div w:id="1246652784">
              <w:marLeft w:val="0"/>
              <w:marRight w:val="0"/>
              <w:marTop w:val="0"/>
              <w:marBottom w:val="0"/>
              <w:divBdr>
                <w:top w:val="none" w:sz="0" w:space="0" w:color="auto"/>
                <w:left w:val="none" w:sz="0" w:space="0" w:color="auto"/>
                <w:bottom w:val="none" w:sz="0" w:space="0" w:color="auto"/>
                <w:right w:val="none" w:sz="0" w:space="0" w:color="auto"/>
              </w:divBdr>
            </w:div>
            <w:div w:id="392700652">
              <w:marLeft w:val="0"/>
              <w:marRight w:val="0"/>
              <w:marTop w:val="0"/>
              <w:marBottom w:val="0"/>
              <w:divBdr>
                <w:top w:val="none" w:sz="0" w:space="0" w:color="auto"/>
                <w:left w:val="none" w:sz="0" w:space="0" w:color="auto"/>
                <w:bottom w:val="none" w:sz="0" w:space="0" w:color="auto"/>
                <w:right w:val="none" w:sz="0" w:space="0" w:color="auto"/>
              </w:divBdr>
            </w:div>
            <w:div w:id="1364137527">
              <w:marLeft w:val="0"/>
              <w:marRight w:val="0"/>
              <w:marTop w:val="0"/>
              <w:marBottom w:val="0"/>
              <w:divBdr>
                <w:top w:val="none" w:sz="0" w:space="0" w:color="auto"/>
                <w:left w:val="none" w:sz="0" w:space="0" w:color="auto"/>
                <w:bottom w:val="none" w:sz="0" w:space="0" w:color="auto"/>
                <w:right w:val="none" w:sz="0" w:space="0" w:color="auto"/>
              </w:divBdr>
            </w:div>
            <w:div w:id="1327324592">
              <w:marLeft w:val="0"/>
              <w:marRight w:val="0"/>
              <w:marTop w:val="0"/>
              <w:marBottom w:val="0"/>
              <w:divBdr>
                <w:top w:val="none" w:sz="0" w:space="0" w:color="auto"/>
                <w:left w:val="none" w:sz="0" w:space="0" w:color="auto"/>
                <w:bottom w:val="none" w:sz="0" w:space="0" w:color="auto"/>
                <w:right w:val="none" w:sz="0" w:space="0" w:color="auto"/>
              </w:divBdr>
            </w:div>
            <w:div w:id="1608001155">
              <w:marLeft w:val="0"/>
              <w:marRight w:val="0"/>
              <w:marTop w:val="0"/>
              <w:marBottom w:val="0"/>
              <w:divBdr>
                <w:top w:val="none" w:sz="0" w:space="0" w:color="auto"/>
                <w:left w:val="none" w:sz="0" w:space="0" w:color="auto"/>
                <w:bottom w:val="none" w:sz="0" w:space="0" w:color="auto"/>
                <w:right w:val="none" w:sz="0" w:space="0" w:color="auto"/>
              </w:divBdr>
            </w:div>
            <w:div w:id="1940484543">
              <w:marLeft w:val="0"/>
              <w:marRight w:val="0"/>
              <w:marTop w:val="0"/>
              <w:marBottom w:val="0"/>
              <w:divBdr>
                <w:top w:val="none" w:sz="0" w:space="0" w:color="auto"/>
                <w:left w:val="none" w:sz="0" w:space="0" w:color="auto"/>
                <w:bottom w:val="none" w:sz="0" w:space="0" w:color="auto"/>
                <w:right w:val="none" w:sz="0" w:space="0" w:color="auto"/>
              </w:divBdr>
            </w:div>
            <w:div w:id="1475441286">
              <w:marLeft w:val="0"/>
              <w:marRight w:val="0"/>
              <w:marTop w:val="0"/>
              <w:marBottom w:val="0"/>
              <w:divBdr>
                <w:top w:val="none" w:sz="0" w:space="0" w:color="auto"/>
                <w:left w:val="none" w:sz="0" w:space="0" w:color="auto"/>
                <w:bottom w:val="none" w:sz="0" w:space="0" w:color="auto"/>
                <w:right w:val="none" w:sz="0" w:space="0" w:color="auto"/>
              </w:divBdr>
            </w:div>
            <w:div w:id="1005547956">
              <w:marLeft w:val="0"/>
              <w:marRight w:val="0"/>
              <w:marTop w:val="0"/>
              <w:marBottom w:val="0"/>
              <w:divBdr>
                <w:top w:val="none" w:sz="0" w:space="0" w:color="auto"/>
                <w:left w:val="none" w:sz="0" w:space="0" w:color="auto"/>
                <w:bottom w:val="none" w:sz="0" w:space="0" w:color="auto"/>
                <w:right w:val="none" w:sz="0" w:space="0" w:color="auto"/>
              </w:divBdr>
            </w:div>
            <w:div w:id="494346886">
              <w:marLeft w:val="0"/>
              <w:marRight w:val="0"/>
              <w:marTop w:val="0"/>
              <w:marBottom w:val="0"/>
              <w:divBdr>
                <w:top w:val="none" w:sz="0" w:space="0" w:color="auto"/>
                <w:left w:val="none" w:sz="0" w:space="0" w:color="auto"/>
                <w:bottom w:val="none" w:sz="0" w:space="0" w:color="auto"/>
                <w:right w:val="none" w:sz="0" w:space="0" w:color="auto"/>
              </w:divBdr>
            </w:div>
            <w:div w:id="1954314968">
              <w:marLeft w:val="0"/>
              <w:marRight w:val="0"/>
              <w:marTop w:val="0"/>
              <w:marBottom w:val="0"/>
              <w:divBdr>
                <w:top w:val="none" w:sz="0" w:space="0" w:color="auto"/>
                <w:left w:val="none" w:sz="0" w:space="0" w:color="auto"/>
                <w:bottom w:val="none" w:sz="0" w:space="0" w:color="auto"/>
                <w:right w:val="none" w:sz="0" w:space="0" w:color="auto"/>
              </w:divBdr>
            </w:div>
            <w:div w:id="1706564057">
              <w:marLeft w:val="0"/>
              <w:marRight w:val="0"/>
              <w:marTop w:val="0"/>
              <w:marBottom w:val="0"/>
              <w:divBdr>
                <w:top w:val="none" w:sz="0" w:space="0" w:color="auto"/>
                <w:left w:val="none" w:sz="0" w:space="0" w:color="auto"/>
                <w:bottom w:val="none" w:sz="0" w:space="0" w:color="auto"/>
                <w:right w:val="none" w:sz="0" w:space="0" w:color="auto"/>
              </w:divBdr>
            </w:div>
            <w:div w:id="539828880">
              <w:marLeft w:val="0"/>
              <w:marRight w:val="0"/>
              <w:marTop w:val="0"/>
              <w:marBottom w:val="0"/>
              <w:divBdr>
                <w:top w:val="none" w:sz="0" w:space="0" w:color="auto"/>
                <w:left w:val="none" w:sz="0" w:space="0" w:color="auto"/>
                <w:bottom w:val="none" w:sz="0" w:space="0" w:color="auto"/>
                <w:right w:val="none" w:sz="0" w:space="0" w:color="auto"/>
              </w:divBdr>
            </w:div>
            <w:div w:id="245268118">
              <w:marLeft w:val="0"/>
              <w:marRight w:val="0"/>
              <w:marTop w:val="0"/>
              <w:marBottom w:val="0"/>
              <w:divBdr>
                <w:top w:val="none" w:sz="0" w:space="0" w:color="auto"/>
                <w:left w:val="none" w:sz="0" w:space="0" w:color="auto"/>
                <w:bottom w:val="none" w:sz="0" w:space="0" w:color="auto"/>
                <w:right w:val="none" w:sz="0" w:space="0" w:color="auto"/>
              </w:divBdr>
            </w:div>
            <w:div w:id="1747067655">
              <w:marLeft w:val="0"/>
              <w:marRight w:val="0"/>
              <w:marTop w:val="0"/>
              <w:marBottom w:val="0"/>
              <w:divBdr>
                <w:top w:val="none" w:sz="0" w:space="0" w:color="auto"/>
                <w:left w:val="none" w:sz="0" w:space="0" w:color="auto"/>
                <w:bottom w:val="none" w:sz="0" w:space="0" w:color="auto"/>
                <w:right w:val="none" w:sz="0" w:space="0" w:color="auto"/>
              </w:divBdr>
            </w:div>
            <w:div w:id="1150825581">
              <w:marLeft w:val="0"/>
              <w:marRight w:val="0"/>
              <w:marTop w:val="0"/>
              <w:marBottom w:val="0"/>
              <w:divBdr>
                <w:top w:val="none" w:sz="0" w:space="0" w:color="auto"/>
                <w:left w:val="none" w:sz="0" w:space="0" w:color="auto"/>
                <w:bottom w:val="none" w:sz="0" w:space="0" w:color="auto"/>
                <w:right w:val="none" w:sz="0" w:space="0" w:color="auto"/>
              </w:divBdr>
            </w:div>
            <w:div w:id="1166552682">
              <w:marLeft w:val="0"/>
              <w:marRight w:val="0"/>
              <w:marTop w:val="0"/>
              <w:marBottom w:val="0"/>
              <w:divBdr>
                <w:top w:val="none" w:sz="0" w:space="0" w:color="auto"/>
                <w:left w:val="none" w:sz="0" w:space="0" w:color="auto"/>
                <w:bottom w:val="none" w:sz="0" w:space="0" w:color="auto"/>
                <w:right w:val="none" w:sz="0" w:space="0" w:color="auto"/>
              </w:divBdr>
            </w:div>
            <w:div w:id="612058811">
              <w:marLeft w:val="0"/>
              <w:marRight w:val="0"/>
              <w:marTop w:val="0"/>
              <w:marBottom w:val="0"/>
              <w:divBdr>
                <w:top w:val="none" w:sz="0" w:space="0" w:color="auto"/>
                <w:left w:val="none" w:sz="0" w:space="0" w:color="auto"/>
                <w:bottom w:val="none" w:sz="0" w:space="0" w:color="auto"/>
                <w:right w:val="none" w:sz="0" w:space="0" w:color="auto"/>
              </w:divBdr>
            </w:div>
            <w:div w:id="81071504">
              <w:marLeft w:val="0"/>
              <w:marRight w:val="0"/>
              <w:marTop w:val="0"/>
              <w:marBottom w:val="0"/>
              <w:divBdr>
                <w:top w:val="none" w:sz="0" w:space="0" w:color="auto"/>
                <w:left w:val="none" w:sz="0" w:space="0" w:color="auto"/>
                <w:bottom w:val="none" w:sz="0" w:space="0" w:color="auto"/>
                <w:right w:val="none" w:sz="0" w:space="0" w:color="auto"/>
              </w:divBdr>
            </w:div>
            <w:div w:id="1743717678">
              <w:marLeft w:val="0"/>
              <w:marRight w:val="0"/>
              <w:marTop w:val="0"/>
              <w:marBottom w:val="0"/>
              <w:divBdr>
                <w:top w:val="none" w:sz="0" w:space="0" w:color="auto"/>
                <w:left w:val="none" w:sz="0" w:space="0" w:color="auto"/>
                <w:bottom w:val="none" w:sz="0" w:space="0" w:color="auto"/>
                <w:right w:val="none" w:sz="0" w:space="0" w:color="auto"/>
              </w:divBdr>
            </w:div>
            <w:div w:id="1042244402">
              <w:marLeft w:val="0"/>
              <w:marRight w:val="0"/>
              <w:marTop w:val="0"/>
              <w:marBottom w:val="0"/>
              <w:divBdr>
                <w:top w:val="none" w:sz="0" w:space="0" w:color="auto"/>
                <w:left w:val="none" w:sz="0" w:space="0" w:color="auto"/>
                <w:bottom w:val="none" w:sz="0" w:space="0" w:color="auto"/>
                <w:right w:val="none" w:sz="0" w:space="0" w:color="auto"/>
              </w:divBdr>
            </w:div>
            <w:div w:id="682628675">
              <w:marLeft w:val="0"/>
              <w:marRight w:val="0"/>
              <w:marTop w:val="0"/>
              <w:marBottom w:val="0"/>
              <w:divBdr>
                <w:top w:val="none" w:sz="0" w:space="0" w:color="auto"/>
                <w:left w:val="none" w:sz="0" w:space="0" w:color="auto"/>
                <w:bottom w:val="none" w:sz="0" w:space="0" w:color="auto"/>
                <w:right w:val="none" w:sz="0" w:space="0" w:color="auto"/>
              </w:divBdr>
            </w:div>
            <w:div w:id="600256323">
              <w:marLeft w:val="0"/>
              <w:marRight w:val="0"/>
              <w:marTop w:val="0"/>
              <w:marBottom w:val="0"/>
              <w:divBdr>
                <w:top w:val="none" w:sz="0" w:space="0" w:color="auto"/>
                <w:left w:val="none" w:sz="0" w:space="0" w:color="auto"/>
                <w:bottom w:val="none" w:sz="0" w:space="0" w:color="auto"/>
                <w:right w:val="none" w:sz="0" w:space="0" w:color="auto"/>
              </w:divBdr>
            </w:div>
            <w:div w:id="703555618">
              <w:marLeft w:val="0"/>
              <w:marRight w:val="0"/>
              <w:marTop w:val="0"/>
              <w:marBottom w:val="0"/>
              <w:divBdr>
                <w:top w:val="none" w:sz="0" w:space="0" w:color="auto"/>
                <w:left w:val="none" w:sz="0" w:space="0" w:color="auto"/>
                <w:bottom w:val="none" w:sz="0" w:space="0" w:color="auto"/>
                <w:right w:val="none" w:sz="0" w:space="0" w:color="auto"/>
              </w:divBdr>
            </w:div>
            <w:div w:id="309091819">
              <w:marLeft w:val="0"/>
              <w:marRight w:val="0"/>
              <w:marTop w:val="0"/>
              <w:marBottom w:val="0"/>
              <w:divBdr>
                <w:top w:val="none" w:sz="0" w:space="0" w:color="auto"/>
                <w:left w:val="none" w:sz="0" w:space="0" w:color="auto"/>
                <w:bottom w:val="none" w:sz="0" w:space="0" w:color="auto"/>
                <w:right w:val="none" w:sz="0" w:space="0" w:color="auto"/>
              </w:divBdr>
            </w:div>
            <w:div w:id="308247811">
              <w:marLeft w:val="0"/>
              <w:marRight w:val="0"/>
              <w:marTop w:val="0"/>
              <w:marBottom w:val="0"/>
              <w:divBdr>
                <w:top w:val="none" w:sz="0" w:space="0" w:color="auto"/>
                <w:left w:val="none" w:sz="0" w:space="0" w:color="auto"/>
                <w:bottom w:val="none" w:sz="0" w:space="0" w:color="auto"/>
                <w:right w:val="none" w:sz="0" w:space="0" w:color="auto"/>
              </w:divBdr>
            </w:div>
            <w:div w:id="2085029577">
              <w:marLeft w:val="0"/>
              <w:marRight w:val="0"/>
              <w:marTop w:val="0"/>
              <w:marBottom w:val="0"/>
              <w:divBdr>
                <w:top w:val="none" w:sz="0" w:space="0" w:color="auto"/>
                <w:left w:val="none" w:sz="0" w:space="0" w:color="auto"/>
                <w:bottom w:val="none" w:sz="0" w:space="0" w:color="auto"/>
                <w:right w:val="none" w:sz="0" w:space="0" w:color="auto"/>
              </w:divBdr>
            </w:div>
            <w:div w:id="1493181820">
              <w:marLeft w:val="0"/>
              <w:marRight w:val="0"/>
              <w:marTop w:val="0"/>
              <w:marBottom w:val="0"/>
              <w:divBdr>
                <w:top w:val="none" w:sz="0" w:space="0" w:color="auto"/>
                <w:left w:val="none" w:sz="0" w:space="0" w:color="auto"/>
                <w:bottom w:val="none" w:sz="0" w:space="0" w:color="auto"/>
                <w:right w:val="none" w:sz="0" w:space="0" w:color="auto"/>
              </w:divBdr>
            </w:div>
            <w:div w:id="618805843">
              <w:marLeft w:val="0"/>
              <w:marRight w:val="0"/>
              <w:marTop w:val="0"/>
              <w:marBottom w:val="0"/>
              <w:divBdr>
                <w:top w:val="none" w:sz="0" w:space="0" w:color="auto"/>
                <w:left w:val="none" w:sz="0" w:space="0" w:color="auto"/>
                <w:bottom w:val="none" w:sz="0" w:space="0" w:color="auto"/>
                <w:right w:val="none" w:sz="0" w:space="0" w:color="auto"/>
              </w:divBdr>
            </w:div>
            <w:div w:id="387654286">
              <w:marLeft w:val="0"/>
              <w:marRight w:val="0"/>
              <w:marTop w:val="0"/>
              <w:marBottom w:val="0"/>
              <w:divBdr>
                <w:top w:val="none" w:sz="0" w:space="0" w:color="auto"/>
                <w:left w:val="none" w:sz="0" w:space="0" w:color="auto"/>
                <w:bottom w:val="none" w:sz="0" w:space="0" w:color="auto"/>
                <w:right w:val="none" w:sz="0" w:space="0" w:color="auto"/>
              </w:divBdr>
            </w:div>
            <w:div w:id="966163504">
              <w:marLeft w:val="0"/>
              <w:marRight w:val="0"/>
              <w:marTop w:val="0"/>
              <w:marBottom w:val="0"/>
              <w:divBdr>
                <w:top w:val="none" w:sz="0" w:space="0" w:color="auto"/>
                <w:left w:val="none" w:sz="0" w:space="0" w:color="auto"/>
                <w:bottom w:val="none" w:sz="0" w:space="0" w:color="auto"/>
                <w:right w:val="none" w:sz="0" w:space="0" w:color="auto"/>
              </w:divBdr>
            </w:div>
            <w:div w:id="1890997064">
              <w:marLeft w:val="0"/>
              <w:marRight w:val="0"/>
              <w:marTop w:val="0"/>
              <w:marBottom w:val="0"/>
              <w:divBdr>
                <w:top w:val="none" w:sz="0" w:space="0" w:color="auto"/>
                <w:left w:val="none" w:sz="0" w:space="0" w:color="auto"/>
                <w:bottom w:val="none" w:sz="0" w:space="0" w:color="auto"/>
                <w:right w:val="none" w:sz="0" w:space="0" w:color="auto"/>
              </w:divBdr>
            </w:div>
            <w:div w:id="38625895">
              <w:marLeft w:val="0"/>
              <w:marRight w:val="0"/>
              <w:marTop w:val="0"/>
              <w:marBottom w:val="0"/>
              <w:divBdr>
                <w:top w:val="none" w:sz="0" w:space="0" w:color="auto"/>
                <w:left w:val="none" w:sz="0" w:space="0" w:color="auto"/>
                <w:bottom w:val="none" w:sz="0" w:space="0" w:color="auto"/>
                <w:right w:val="none" w:sz="0" w:space="0" w:color="auto"/>
              </w:divBdr>
            </w:div>
            <w:div w:id="988248737">
              <w:marLeft w:val="0"/>
              <w:marRight w:val="0"/>
              <w:marTop w:val="0"/>
              <w:marBottom w:val="0"/>
              <w:divBdr>
                <w:top w:val="none" w:sz="0" w:space="0" w:color="auto"/>
                <w:left w:val="none" w:sz="0" w:space="0" w:color="auto"/>
                <w:bottom w:val="none" w:sz="0" w:space="0" w:color="auto"/>
                <w:right w:val="none" w:sz="0" w:space="0" w:color="auto"/>
              </w:divBdr>
            </w:div>
            <w:div w:id="817459403">
              <w:marLeft w:val="0"/>
              <w:marRight w:val="0"/>
              <w:marTop w:val="0"/>
              <w:marBottom w:val="0"/>
              <w:divBdr>
                <w:top w:val="none" w:sz="0" w:space="0" w:color="auto"/>
                <w:left w:val="none" w:sz="0" w:space="0" w:color="auto"/>
                <w:bottom w:val="none" w:sz="0" w:space="0" w:color="auto"/>
                <w:right w:val="none" w:sz="0" w:space="0" w:color="auto"/>
              </w:divBdr>
            </w:div>
            <w:div w:id="1044789627">
              <w:marLeft w:val="0"/>
              <w:marRight w:val="0"/>
              <w:marTop w:val="0"/>
              <w:marBottom w:val="0"/>
              <w:divBdr>
                <w:top w:val="none" w:sz="0" w:space="0" w:color="auto"/>
                <w:left w:val="none" w:sz="0" w:space="0" w:color="auto"/>
                <w:bottom w:val="none" w:sz="0" w:space="0" w:color="auto"/>
                <w:right w:val="none" w:sz="0" w:space="0" w:color="auto"/>
              </w:divBdr>
            </w:div>
            <w:div w:id="1032338429">
              <w:marLeft w:val="0"/>
              <w:marRight w:val="0"/>
              <w:marTop w:val="0"/>
              <w:marBottom w:val="0"/>
              <w:divBdr>
                <w:top w:val="none" w:sz="0" w:space="0" w:color="auto"/>
                <w:left w:val="none" w:sz="0" w:space="0" w:color="auto"/>
                <w:bottom w:val="none" w:sz="0" w:space="0" w:color="auto"/>
                <w:right w:val="none" w:sz="0" w:space="0" w:color="auto"/>
              </w:divBdr>
            </w:div>
            <w:div w:id="1836528644">
              <w:marLeft w:val="0"/>
              <w:marRight w:val="0"/>
              <w:marTop w:val="0"/>
              <w:marBottom w:val="0"/>
              <w:divBdr>
                <w:top w:val="none" w:sz="0" w:space="0" w:color="auto"/>
                <w:left w:val="none" w:sz="0" w:space="0" w:color="auto"/>
                <w:bottom w:val="none" w:sz="0" w:space="0" w:color="auto"/>
                <w:right w:val="none" w:sz="0" w:space="0" w:color="auto"/>
              </w:divBdr>
            </w:div>
            <w:div w:id="665521702">
              <w:marLeft w:val="0"/>
              <w:marRight w:val="0"/>
              <w:marTop w:val="0"/>
              <w:marBottom w:val="0"/>
              <w:divBdr>
                <w:top w:val="none" w:sz="0" w:space="0" w:color="auto"/>
                <w:left w:val="none" w:sz="0" w:space="0" w:color="auto"/>
                <w:bottom w:val="none" w:sz="0" w:space="0" w:color="auto"/>
                <w:right w:val="none" w:sz="0" w:space="0" w:color="auto"/>
              </w:divBdr>
            </w:div>
            <w:div w:id="1337001174">
              <w:marLeft w:val="0"/>
              <w:marRight w:val="0"/>
              <w:marTop w:val="0"/>
              <w:marBottom w:val="0"/>
              <w:divBdr>
                <w:top w:val="none" w:sz="0" w:space="0" w:color="auto"/>
                <w:left w:val="none" w:sz="0" w:space="0" w:color="auto"/>
                <w:bottom w:val="none" w:sz="0" w:space="0" w:color="auto"/>
                <w:right w:val="none" w:sz="0" w:space="0" w:color="auto"/>
              </w:divBdr>
            </w:div>
            <w:div w:id="495152929">
              <w:marLeft w:val="0"/>
              <w:marRight w:val="0"/>
              <w:marTop w:val="0"/>
              <w:marBottom w:val="0"/>
              <w:divBdr>
                <w:top w:val="none" w:sz="0" w:space="0" w:color="auto"/>
                <w:left w:val="none" w:sz="0" w:space="0" w:color="auto"/>
                <w:bottom w:val="none" w:sz="0" w:space="0" w:color="auto"/>
                <w:right w:val="none" w:sz="0" w:space="0" w:color="auto"/>
              </w:divBdr>
            </w:div>
            <w:div w:id="1664233187">
              <w:marLeft w:val="0"/>
              <w:marRight w:val="0"/>
              <w:marTop w:val="0"/>
              <w:marBottom w:val="0"/>
              <w:divBdr>
                <w:top w:val="none" w:sz="0" w:space="0" w:color="auto"/>
                <w:left w:val="none" w:sz="0" w:space="0" w:color="auto"/>
                <w:bottom w:val="none" w:sz="0" w:space="0" w:color="auto"/>
                <w:right w:val="none" w:sz="0" w:space="0" w:color="auto"/>
              </w:divBdr>
            </w:div>
            <w:div w:id="1356807831">
              <w:marLeft w:val="0"/>
              <w:marRight w:val="0"/>
              <w:marTop w:val="0"/>
              <w:marBottom w:val="0"/>
              <w:divBdr>
                <w:top w:val="none" w:sz="0" w:space="0" w:color="auto"/>
                <w:left w:val="none" w:sz="0" w:space="0" w:color="auto"/>
                <w:bottom w:val="none" w:sz="0" w:space="0" w:color="auto"/>
                <w:right w:val="none" w:sz="0" w:space="0" w:color="auto"/>
              </w:divBdr>
            </w:div>
            <w:div w:id="1345670386">
              <w:marLeft w:val="0"/>
              <w:marRight w:val="0"/>
              <w:marTop w:val="0"/>
              <w:marBottom w:val="0"/>
              <w:divBdr>
                <w:top w:val="none" w:sz="0" w:space="0" w:color="auto"/>
                <w:left w:val="none" w:sz="0" w:space="0" w:color="auto"/>
                <w:bottom w:val="none" w:sz="0" w:space="0" w:color="auto"/>
                <w:right w:val="none" w:sz="0" w:space="0" w:color="auto"/>
              </w:divBdr>
            </w:div>
            <w:div w:id="1857423826">
              <w:marLeft w:val="0"/>
              <w:marRight w:val="0"/>
              <w:marTop w:val="0"/>
              <w:marBottom w:val="0"/>
              <w:divBdr>
                <w:top w:val="none" w:sz="0" w:space="0" w:color="auto"/>
                <w:left w:val="none" w:sz="0" w:space="0" w:color="auto"/>
                <w:bottom w:val="none" w:sz="0" w:space="0" w:color="auto"/>
                <w:right w:val="none" w:sz="0" w:space="0" w:color="auto"/>
              </w:divBdr>
            </w:div>
            <w:div w:id="1260871991">
              <w:marLeft w:val="0"/>
              <w:marRight w:val="0"/>
              <w:marTop w:val="0"/>
              <w:marBottom w:val="0"/>
              <w:divBdr>
                <w:top w:val="none" w:sz="0" w:space="0" w:color="auto"/>
                <w:left w:val="none" w:sz="0" w:space="0" w:color="auto"/>
                <w:bottom w:val="none" w:sz="0" w:space="0" w:color="auto"/>
                <w:right w:val="none" w:sz="0" w:space="0" w:color="auto"/>
              </w:divBdr>
            </w:div>
            <w:div w:id="343016002">
              <w:marLeft w:val="0"/>
              <w:marRight w:val="0"/>
              <w:marTop w:val="0"/>
              <w:marBottom w:val="0"/>
              <w:divBdr>
                <w:top w:val="none" w:sz="0" w:space="0" w:color="auto"/>
                <w:left w:val="none" w:sz="0" w:space="0" w:color="auto"/>
                <w:bottom w:val="none" w:sz="0" w:space="0" w:color="auto"/>
                <w:right w:val="none" w:sz="0" w:space="0" w:color="auto"/>
              </w:divBdr>
            </w:div>
            <w:div w:id="954408462">
              <w:marLeft w:val="0"/>
              <w:marRight w:val="0"/>
              <w:marTop w:val="0"/>
              <w:marBottom w:val="0"/>
              <w:divBdr>
                <w:top w:val="none" w:sz="0" w:space="0" w:color="auto"/>
                <w:left w:val="none" w:sz="0" w:space="0" w:color="auto"/>
                <w:bottom w:val="none" w:sz="0" w:space="0" w:color="auto"/>
                <w:right w:val="none" w:sz="0" w:space="0" w:color="auto"/>
              </w:divBdr>
            </w:div>
            <w:div w:id="448011956">
              <w:marLeft w:val="0"/>
              <w:marRight w:val="0"/>
              <w:marTop w:val="0"/>
              <w:marBottom w:val="0"/>
              <w:divBdr>
                <w:top w:val="none" w:sz="0" w:space="0" w:color="auto"/>
                <w:left w:val="none" w:sz="0" w:space="0" w:color="auto"/>
                <w:bottom w:val="none" w:sz="0" w:space="0" w:color="auto"/>
                <w:right w:val="none" w:sz="0" w:space="0" w:color="auto"/>
              </w:divBdr>
            </w:div>
            <w:div w:id="1814103656">
              <w:marLeft w:val="0"/>
              <w:marRight w:val="0"/>
              <w:marTop w:val="0"/>
              <w:marBottom w:val="0"/>
              <w:divBdr>
                <w:top w:val="none" w:sz="0" w:space="0" w:color="auto"/>
                <w:left w:val="none" w:sz="0" w:space="0" w:color="auto"/>
                <w:bottom w:val="none" w:sz="0" w:space="0" w:color="auto"/>
                <w:right w:val="none" w:sz="0" w:space="0" w:color="auto"/>
              </w:divBdr>
            </w:div>
            <w:div w:id="1606232011">
              <w:marLeft w:val="0"/>
              <w:marRight w:val="0"/>
              <w:marTop w:val="0"/>
              <w:marBottom w:val="0"/>
              <w:divBdr>
                <w:top w:val="none" w:sz="0" w:space="0" w:color="auto"/>
                <w:left w:val="none" w:sz="0" w:space="0" w:color="auto"/>
                <w:bottom w:val="none" w:sz="0" w:space="0" w:color="auto"/>
                <w:right w:val="none" w:sz="0" w:space="0" w:color="auto"/>
              </w:divBdr>
            </w:div>
            <w:div w:id="483934014">
              <w:marLeft w:val="0"/>
              <w:marRight w:val="0"/>
              <w:marTop w:val="0"/>
              <w:marBottom w:val="0"/>
              <w:divBdr>
                <w:top w:val="none" w:sz="0" w:space="0" w:color="auto"/>
                <w:left w:val="none" w:sz="0" w:space="0" w:color="auto"/>
                <w:bottom w:val="none" w:sz="0" w:space="0" w:color="auto"/>
                <w:right w:val="none" w:sz="0" w:space="0" w:color="auto"/>
              </w:divBdr>
            </w:div>
            <w:div w:id="1342732722">
              <w:marLeft w:val="0"/>
              <w:marRight w:val="0"/>
              <w:marTop w:val="0"/>
              <w:marBottom w:val="0"/>
              <w:divBdr>
                <w:top w:val="none" w:sz="0" w:space="0" w:color="auto"/>
                <w:left w:val="none" w:sz="0" w:space="0" w:color="auto"/>
                <w:bottom w:val="none" w:sz="0" w:space="0" w:color="auto"/>
                <w:right w:val="none" w:sz="0" w:space="0" w:color="auto"/>
              </w:divBdr>
            </w:div>
            <w:div w:id="1462531219">
              <w:marLeft w:val="0"/>
              <w:marRight w:val="0"/>
              <w:marTop w:val="0"/>
              <w:marBottom w:val="0"/>
              <w:divBdr>
                <w:top w:val="none" w:sz="0" w:space="0" w:color="auto"/>
                <w:left w:val="none" w:sz="0" w:space="0" w:color="auto"/>
                <w:bottom w:val="none" w:sz="0" w:space="0" w:color="auto"/>
                <w:right w:val="none" w:sz="0" w:space="0" w:color="auto"/>
              </w:divBdr>
            </w:div>
            <w:div w:id="1640765615">
              <w:marLeft w:val="0"/>
              <w:marRight w:val="0"/>
              <w:marTop w:val="0"/>
              <w:marBottom w:val="0"/>
              <w:divBdr>
                <w:top w:val="none" w:sz="0" w:space="0" w:color="auto"/>
                <w:left w:val="none" w:sz="0" w:space="0" w:color="auto"/>
                <w:bottom w:val="none" w:sz="0" w:space="0" w:color="auto"/>
                <w:right w:val="none" w:sz="0" w:space="0" w:color="auto"/>
              </w:divBdr>
            </w:div>
            <w:div w:id="4674684">
              <w:marLeft w:val="0"/>
              <w:marRight w:val="0"/>
              <w:marTop w:val="0"/>
              <w:marBottom w:val="0"/>
              <w:divBdr>
                <w:top w:val="none" w:sz="0" w:space="0" w:color="auto"/>
                <w:left w:val="none" w:sz="0" w:space="0" w:color="auto"/>
                <w:bottom w:val="none" w:sz="0" w:space="0" w:color="auto"/>
                <w:right w:val="none" w:sz="0" w:space="0" w:color="auto"/>
              </w:divBdr>
            </w:div>
            <w:div w:id="961155511">
              <w:marLeft w:val="0"/>
              <w:marRight w:val="0"/>
              <w:marTop w:val="0"/>
              <w:marBottom w:val="0"/>
              <w:divBdr>
                <w:top w:val="none" w:sz="0" w:space="0" w:color="auto"/>
                <w:left w:val="none" w:sz="0" w:space="0" w:color="auto"/>
                <w:bottom w:val="none" w:sz="0" w:space="0" w:color="auto"/>
                <w:right w:val="none" w:sz="0" w:space="0" w:color="auto"/>
              </w:divBdr>
            </w:div>
            <w:div w:id="412581436">
              <w:marLeft w:val="0"/>
              <w:marRight w:val="0"/>
              <w:marTop w:val="0"/>
              <w:marBottom w:val="0"/>
              <w:divBdr>
                <w:top w:val="none" w:sz="0" w:space="0" w:color="auto"/>
                <w:left w:val="none" w:sz="0" w:space="0" w:color="auto"/>
                <w:bottom w:val="none" w:sz="0" w:space="0" w:color="auto"/>
                <w:right w:val="none" w:sz="0" w:space="0" w:color="auto"/>
              </w:divBdr>
            </w:div>
            <w:div w:id="1795640063">
              <w:marLeft w:val="0"/>
              <w:marRight w:val="0"/>
              <w:marTop w:val="0"/>
              <w:marBottom w:val="0"/>
              <w:divBdr>
                <w:top w:val="none" w:sz="0" w:space="0" w:color="auto"/>
                <w:left w:val="none" w:sz="0" w:space="0" w:color="auto"/>
                <w:bottom w:val="none" w:sz="0" w:space="0" w:color="auto"/>
                <w:right w:val="none" w:sz="0" w:space="0" w:color="auto"/>
              </w:divBdr>
            </w:div>
            <w:div w:id="710768673">
              <w:marLeft w:val="0"/>
              <w:marRight w:val="0"/>
              <w:marTop w:val="0"/>
              <w:marBottom w:val="0"/>
              <w:divBdr>
                <w:top w:val="none" w:sz="0" w:space="0" w:color="auto"/>
                <w:left w:val="none" w:sz="0" w:space="0" w:color="auto"/>
                <w:bottom w:val="none" w:sz="0" w:space="0" w:color="auto"/>
                <w:right w:val="none" w:sz="0" w:space="0" w:color="auto"/>
              </w:divBdr>
            </w:div>
            <w:div w:id="696000979">
              <w:marLeft w:val="0"/>
              <w:marRight w:val="0"/>
              <w:marTop w:val="0"/>
              <w:marBottom w:val="0"/>
              <w:divBdr>
                <w:top w:val="none" w:sz="0" w:space="0" w:color="auto"/>
                <w:left w:val="none" w:sz="0" w:space="0" w:color="auto"/>
                <w:bottom w:val="none" w:sz="0" w:space="0" w:color="auto"/>
                <w:right w:val="none" w:sz="0" w:space="0" w:color="auto"/>
              </w:divBdr>
            </w:div>
            <w:div w:id="987170577">
              <w:marLeft w:val="0"/>
              <w:marRight w:val="0"/>
              <w:marTop w:val="0"/>
              <w:marBottom w:val="0"/>
              <w:divBdr>
                <w:top w:val="none" w:sz="0" w:space="0" w:color="auto"/>
                <w:left w:val="none" w:sz="0" w:space="0" w:color="auto"/>
                <w:bottom w:val="none" w:sz="0" w:space="0" w:color="auto"/>
                <w:right w:val="none" w:sz="0" w:space="0" w:color="auto"/>
              </w:divBdr>
            </w:div>
            <w:div w:id="606616622">
              <w:marLeft w:val="0"/>
              <w:marRight w:val="0"/>
              <w:marTop w:val="0"/>
              <w:marBottom w:val="0"/>
              <w:divBdr>
                <w:top w:val="none" w:sz="0" w:space="0" w:color="auto"/>
                <w:left w:val="none" w:sz="0" w:space="0" w:color="auto"/>
                <w:bottom w:val="none" w:sz="0" w:space="0" w:color="auto"/>
                <w:right w:val="none" w:sz="0" w:space="0" w:color="auto"/>
              </w:divBdr>
            </w:div>
            <w:div w:id="1345791768">
              <w:marLeft w:val="0"/>
              <w:marRight w:val="0"/>
              <w:marTop w:val="0"/>
              <w:marBottom w:val="0"/>
              <w:divBdr>
                <w:top w:val="none" w:sz="0" w:space="0" w:color="auto"/>
                <w:left w:val="none" w:sz="0" w:space="0" w:color="auto"/>
                <w:bottom w:val="none" w:sz="0" w:space="0" w:color="auto"/>
                <w:right w:val="none" w:sz="0" w:space="0" w:color="auto"/>
              </w:divBdr>
            </w:div>
            <w:div w:id="1629161001">
              <w:marLeft w:val="0"/>
              <w:marRight w:val="0"/>
              <w:marTop w:val="0"/>
              <w:marBottom w:val="0"/>
              <w:divBdr>
                <w:top w:val="none" w:sz="0" w:space="0" w:color="auto"/>
                <w:left w:val="none" w:sz="0" w:space="0" w:color="auto"/>
                <w:bottom w:val="none" w:sz="0" w:space="0" w:color="auto"/>
                <w:right w:val="none" w:sz="0" w:space="0" w:color="auto"/>
              </w:divBdr>
            </w:div>
            <w:div w:id="1554581387">
              <w:marLeft w:val="0"/>
              <w:marRight w:val="0"/>
              <w:marTop w:val="0"/>
              <w:marBottom w:val="0"/>
              <w:divBdr>
                <w:top w:val="none" w:sz="0" w:space="0" w:color="auto"/>
                <w:left w:val="none" w:sz="0" w:space="0" w:color="auto"/>
                <w:bottom w:val="none" w:sz="0" w:space="0" w:color="auto"/>
                <w:right w:val="none" w:sz="0" w:space="0" w:color="auto"/>
              </w:divBdr>
            </w:div>
            <w:div w:id="1726564517">
              <w:marLeft w:val="0"/>
              <w:marRight w:val="0"/>
              <w:marTop w:val="0"/>
              <w:marBottom w:val="0"/>
              <w:divBdr>
                <w:top w:val="none" w:sz="0" w:space="0" w:color="auto"/>
                <w:left w:val="none" w:sz="0" w:space="0" w:color="auto"/>
                <w:bottom w:val="none" w:sz="0" w:space="0" w:color="auto"/>
                <w:right w:val="none" w:sz="0" w:space="0" w:color="auto"/>
              </w:divBdr>
            </w:div>
            <w:div w:id="2054571649">
              <w:marLeft w:val="0"/>
              <w:marRight w:val="0"/>
              <w:marTop w:val="0"/>
              <w:marBottom w:val="0"/>
              <w:divBdr>
                <w:top w:val="none" w:sz="0" w:space="0" w:color="auto"/>
                <w:left w:val="none" w:sz="0" w:space="0" w:color="auto"/>
                <w:bottom w:val="none" w:sz="0" w:space="0" w:color="auto"/>
                <w:right w:val="none" w:sz="0" w:space="0" w:color="auto"/>
              </w:divBdr>
            </w:div>
            <w:div w:id="1586449675">
              <w:marLeft w:val="0"/>
              <w:marRight w:val="0"/>
              <w:marTop w:val="0"/>
              <w:marBottom w:val="0"/>
              <w:divBdr>
                <w:top w:val="none" w:sz="0" w:space="0" w:color="auto"/>
                <w:left w:val="none" w:sz="0" w:space="0" w:color="auto"/>
                <w:bottom w:val="none" w:sz="0" w:space="0" w:color="auto"/>
                <w:right w:val="none" w:sz="0" w:space="0" w:color="auto"/>
              </w:divBdr>
            </w:div>
            <w:div w:id="955795840">
              <w:marLeft w:val="0"/>
              <w:marRight w:val="0"/>
              <w:marTop w:val="0"/>
              <w:marBottom w:val="0"/>
              <w:divBdr>
                <w:top w:val="none" w:sz="0" w:space="0" w:color="auto"/>
                <w:left w:val="none" w:sz="0" w:space="0" w:color="auto"/>
                <w:bottom w:val="none" w:sz="0" w:space="0" w:color="auto"/>
                <w:right w:val="none" w:sz="0" w:space="0" w:color="auto"/>
              </w:divBdr>
            </w:div>
            <w:div w:id="1473523846">
              <w:marLeft w:val="0"/>
              <w:marRight w:val="0"/>
              <w:marTop w:val="0"/>
              <w:marBottom w:val="0"/>
              <w:divBdr>
                <w:top w:val="none" w:sz="0" w:space="0" w:color="auto"/>
                <w:left w:val="none" w:sz="0" w:space="0" w:color="auto"/>
                <w:bottom w:val="none" w:sz="0" w:space="0" w:color="auto"/>
                <w:right w:val="none" w:sz="0" w:space="0" w:color="auto"/>
              </w:divBdr>
            </w:div>
            <w:div w:id="512307439">
              <w:marLeft w:val="0"/>
              <w:marRight w:val="0"/>
              <w:marTop w:val="0"/>
              <w:marBottom w:val="0"/>
              <w:divBdr>
                <w:top w:val="none" w:sz="0" w:space="0" w:color="auto"/>
                <w:left w:val="none" w:sz="0" w:space="0" w:color="auto"/>
                <w:bottom w:val="none" w:sz="0" w:space="0" w:color="auto"/>
                <w:right w:val="none" w:sz="0" w:space="0" w:color="auto"/>
              </w:divBdr>
            </w:div>
            <w:div w:id="1356465595">
              <w:marLeft w:val="0"/>
              <w:marRight w:val="0"/>
              <w:marTop w:val="0"/>
              <w:marBottom w:val="0"/>
              <w:divBdr>
                <w:top w:val="none" w:sz="0" w:space="0" w:color="auto"/>
                <w:left w:val="none" w:sz="0" w:space="0" w:color="auto"/>
                <w:bottom w:val="none" w:sz="0" w:space="0" w:color="auto"/>
                <w:right w:val="none" w:sz="0" w:space="0" w:color="auto"/>
              </w:divBdr>
            </w:div>
            <w:div w:id="1741975874">
              <w:marLeft w:val="0"/>
              <w:marRight w:val="0"/>
              <w:marTop w:val="0"/>
              <w:marBottom w:val="0"/>
              <w:divBdr>
                <w:top w:val="none" w:sz="0" w:space="0" w:color="auto"/>
                <w:left w:val="none" w:sz="0" w:space="0" w:color="auto"/>
                <w:bottom w:val="none" w:sz="0" w:space="0" w:color="auto"/>
                <w:right w:val="none" w:sz="0" w:space="0" w:color="auto"/>
              </w:divBdr>
            </w:div>
            <w:div w:id="673074879">
              <w:marLeft w:val="0"/>
              <w:marRight w:val="0"/>
              <w:marTop w:val="0"/>
              <w:marBottom w:val="0"/>
              <w:divBdr>
                <w:top w:val="none" w:sz="0" w:space="0" w:color="auto"/>
                <w:left w:val="none" w:sz="0" w:space="0" w:color="auto"/>
                <w:bottom w:val="none" w:sz="0" w:space="0" w:color="auto"/>
                <w:right w:val="none" w:sz="0" w:space="0" w:color="auto"/>
              </w:divBdr>
            </w:div>
            <w:div w:id="253514190">
              <w:marLeft w:val="0"/>
              <w:marRight w:val="0"/>
              <w:marTop w:val="0"/>
              <w:marBottom w:val="0"/>
              <w:divBdr>
                <w:top w:val="none" w:sz="0" w:space="0" w:color="auto"/>
                <w:left w:val="none" w:sz="0" w:space="0" w:color="auto"/>
                <w:bottom w:val="none" w:sz="0" w:space="0" w:color="auto"/>
                <w:right w:val="none" w:sz="0" w:space="0" w:color="auto"/>
              </w:divBdr>
            </w:div>
            <w:div w:id="1587885474">
              <w:marLeft w:val="0"/>
              <w:marRight w:val="0"/>
              <w:marTop w:val="0"/>
              <w:marBottom w:val="0"/>
              <w:divBdr>
                <w:top w:val="none" w:sz="0" w:space="0" w:color="auto"/>
                <w:left w:val="none" w:sz="0" w:space="0" w:color="auto"/>
                <w:bottom w:val="none" w:sz="0" w:space="0" w:color="auto"/>
                <w:right w:val="none" w:sz="0" w:space="0" w:color="auto"/>
              </w:divBdr>
            </w:div>
            <w:div w:id="392312941">
              <w:marLeft w:val="0"/>
              <w:marRight w:val="0"/>
              <w:marTop w:val="0"/>
              <w:marBottom w:val="0"/>
              <w:divBdr>
                <w:top w:val="none" w:sz="0" w:space="0" w:color="auto"/>
                <w:left w:val="none" w:sz="0" w:space="0" w:color="auto"/>
                <w:bottom w:val="none" w:sz="0" w:space="0" w:color="auto"/>
                <w:right w:val="none" w:sz="0" w:space="0" w:color="auto"/>
              </w:divBdr>
            </w:div>
            <w:div w:id="1446198197">
              <w:marLeft w:val="0"/>
              <w:marRight w:val="0"/>
              <w:marTop w:val="0"/>
              <w:marBottom w:val="0"/>
              <w:divBdr>
                <w:top w:val="none" w:sz="0" w:space="0" w:color="auto"/>
                <w:left w:val="none" w:sz="0" w:space="0" w:color="auto"/>
                <w:bottom w:val="none" w:sz="0" w:space="0" w:color="auto"/>
                <w:right w:val="none" w:sz="0" w:space="0" w:color="auto"/>
              </w:divBdr>
            </w:div>
            <w:div w:id="517889692">
              <w:marLeft w:val="0"/>
              <w:marRight w:val="0"/>
              <w:marTop w:val="0"/>
              <w:marBottom w:val="0"/>
              <w:divBdr>
                <w:top w:val="none" w:sz="0" w:space="0" w:color="auto"/>
                <w:left w:val="none" w:sz="0" w:space="0" w:color="auto"/>
                <w:bottom w:val="none" w:sz="0" w:space="0" w:color="auto"/>
                <w:right w:val="none" w:sz="0" w:space="0" w:color="auto"/>
              </w:divBdr>
            </w:div>
            <w:div w:id="825778003">
              <w:marLeft w:val="0"/>
              <w:marRight w:val="0"/>
              <w:marTop w:val="0"/>
              <w:marBottom w:val="0"/>
              <w:divBdr>
                <w:top w:val="none" w:sz="0" w:space="0" w:color="auto"/>
                <w:left w:val="none" w:sz="0" w:space="0" w:color="auto"/>
                <w:bottom w:val="none" w:sz="0" w:space="0" w:color="auto"/>
                <w:right w:val="none" w:sz="0" w:space="0" w:color="auto"/>
              </w:divBdr>
            </w:div>
            <w:div w:id="632633974">
              <w:marLeft w:val="0"/>
              <w:marRight w:val="0"/>
              <w:marTop w:val="0"/>
              <w:marBottom w:val="0"/>
              <w:divBdr>
                <w:top w:val="none" w:sz="0" w:space="0" w:color="auto"/>
                <w:left w:val="none" w:sz="0" w:space="0" w:color="auto"/>
                <w:bottom w:val="none" w:sz="0" w:space="0" w:color="auto"/>
                <w:right w:val="none" w:sz="0" w:space="0" w:color="auto"/>
              </w:divBdr>
            </w:div>
            <w:div w:id="1712413313">
              <w:marLeft w:val="0"/>
              <w:marRight w:val="0"/>
              <w:marTop w:val="0"/>
              <w:marBottom w:val="0"/>
              <w:divBdr>
                <w:top w:val="none" w:sz="0" w:space="0" w:color="auto"/>
                <w:left w:val="none" w:sz="0" w:space="0" w:color="auto"/>
                <w:bottom w:val="none" w:sz="0" w:space="0" w:color="auto"/>
                <w:right w:val="none" w:sz="0" w:space="0" w:color="auto"/>
              </w:divBdr>
            </w:div>
            <w:div w:id="681512775">
              <w:marLeft w:val="0"/>
              <w:marRight w:val="0"/>
              <w:marTop w:val="0"/>
              <w:marBottom w:val="0"/>
              <w:divBdr>
                <w:top w:val="none" w:sz="0" w:space="0" w:color="auto"/>
                <w:left w:val="none" w:sz="0" w:space="0" w:color="auto"/>
                <w:bottom w:val="none" w:sz="0" w:space="0" w:color="auto"/>
                <w:right w:val="none" w:sz="0" w:space="0" w:color="auto"/>
              </w:divBdr>
            </w:div>
            <w:div w:id="902640204">
              <w:marLeft w:val="0"/>
              <w:marRight w:val="0"/>
              <w:marTop w:val="0"/>
              <w:marBottom w:val="0"/>
              <w:divBdr>
                <w:top w:val="none" w:sz="0" w:space="0" w:color="auto"/>
                <w:left w:val="none" w:sz="0" w:space="0" w:color="auto"/>
                <w:bottom w:val="none" w:sz="0" w:space="0" w:color="auto"/>
                <w:right w:val="none" w:sz="0" w:space="0" w:color="auto"/>
              </w:divBdr>
            </w:div>
            <w:div w:id="498810825">
              <w:marLeft w:val="0"/>
              <w:marRight w:val="0"/>
              <w:marTop w:val="0"/>
              <w:marBottom w:val="0"/>
              <w:divBdr>
                <w:top w:val="none" w:sz="0" w:space="0" w:color="auto"/>
                <w:left w:val="none" w:sz="0" w:space="0" w:color="auto"/>
                <w:bottom w:val="none" w:sz="0" w:space="0" w:color="auto"/>
                <w:right w:val="none" w:sz="0" w:space="0" w:color="auto"/>
              </w:divBdr>
            </w:div>
            <w:div w:id="225142768">
              <w:marLeft w:val="0"/>
              <w:marRight w:val="0"/>
              <w:marTop w:val="0"/>
              <w:marBottom w:val="0"/>
              <w:divBdr>
                <w:top w:val="none" w:sz="0" w:space="0" w:color="auto"/>
                <w:left w:val="none" w:sz="0" w:space="0" w:color="auto"/>
                <w:bottom w:val="none" w:sz="0" w:space="0" w:color="auto"/>
                <w:right w:val="none" w:sz="0" w:space="0" w:color="auto"/>
              </w:divBdr>
            </w:div>
            <w:div w:id="311106063">
              <w:marLeft w:val="0"/>
              <w:marRight w:val="0"/>
              <w:marTop w:val="0"/>
              <w:marBottom w:val="0"/>
              <w:divBdr>
                <w:top w:val="none" w:sz="0" w:space="0" w:color="auto"/>
                <w:left w:val="none" w:sz="0" w:space="0" w:color="auto"/>
                <w:bottom w:val="none" w:sz="0" w:space="0" w:color="auto"/>
                <w:right w:val="none" w:sz="0" w:space="0" w:color="auto"/>
              </w:divBdr>
            </w:div>
            <w:div w:id="1088232681">
              <w:marLeft w:val="0"/>
              <w:marRight w:val="0"/>
              <w:marTop w:val="0"/>
              <w:marBottom w:val="0"/>
              <w:divBdr>
                <w:top w:val="none" w:sz="0" w:space="0" w:color="auto"/>
                <w:left w:val="none" w:sz="0" w:space="0" w:color="auto"/>
                <w:bottom w:val="none" w:sz="0" w:space="0" w:color="auto"/>
                <w:right w:val="none" w:sz="0" w:space="0" w:color="auto"/>
              </w:divBdr>
            </w:div>
            <w:div w:id="593975582">
              <w:marLeft w:val="0"/>
              <w:marRight w:val="0"/>
              <w:marTop w:val="0"/>
              <w:marBottom w:val="0"/>
              <w:divBdr>
                <w:top w:val="none" w:sz="0" w:space="0" w:color="auto"/>
                <w:left w:val="none" w:sz="0" w:space="0" w:color="auto"/>
                <w:bottom w:val="none" w:sz="0" w:space="0" w:color="auto"/>
                <w:right w:val="none" w:sz="0" w:space="0" w:color="auto"/>
              </w:divBdr>
            </w:div>
            <w:div w:id="94130984">
              <w:marLeft w:val="0"/>
              <w:marRight w:val="0"/>
              <w:marTop w:val="0"/>
              <w:marBottom w:val="0"/>
              <w:divBdr>
                <w:top w:val="none" w:sz="0" w:space="0" w:color="auto"/>
                <w:left w:val="none" w:sz="0" w:space="0" w:color="auto"/>
                <w:bottom w:val="none" w:sz="0" w:space="0" w:color="auto"/>
                <w:right w:val="none" w:sz="0" w:space="0" w:color="auto"/>
              </w:divBdr>
            </w:div>
            <w:div w:id="1211918665">
              <w:marLeft w:val="0"/>
              <w:marRight w:val="0"/>
              <w:marTop w:val="0"/>
              <w:marBottom w:val="0"/>
              <w:divBdr>
                <w:top w:val="none" w:sz="0" w:space="0" w:color="auto"/>
                <w:left w:val="none" w:sz="0" w:space="0" w:color="auto"/>
                <w:bottom w:val="none" w:sz="0" w:space="0" w:color="auto"/>
                <w:right w:val="none" w:sz="0" w:space="0" w:color="auto"/>
              </w:divBdr>
            </w:div>
            <w:div w:id="1261257980">
              <w:marLeft w:val="0"/>
              <w:marRight w:val="0"/>
              <w:marTop w:val="0"/>
              <w:marBottom w:val="0"/>
              <w:divBdr>
                <w:top w:val="none" w:sz="0" w:space="0" w:color="auto"/>
                <w:left w:val="none" w:sz="0" w:space="0" w:color="auto"/>
                <w:bottom w:val="none" w:sz="0" w:space="0" w:color="auto"/>
                <w:right w:val="none" w:sz="0" w:space="0" w:color="auto"/>
              </w:divBdr>
            </w:div>
            <w:div w:id="136845191">
              <w:marLeft w:val="0"/>
              <w:marRight w:val="0"/>
              <w:marTop w:val="0"/>
              <w:marBottom w:val="0"/>
              <w:divBdr>
                <w:top w:val="none" w:sz="0" w:space="0" w:color="auto"/>
                <w:left w:val="none" w:sz="0" w:space="0" w:color="auto"/>
                <w:bottom w:val="none" w:sz="0" w:space="0" w:color="auto"/>
                <w:right w:val="none" w:sz="0" w:space="0" w:color="auto"/>
              </w:divBdr>
            </w:div>
            <w:div w:id="718093324">
              <w:marLeft w:val="0"/>
              <w:marRight w:val="0"/>
              <w:marTop w:val="0"/>
              <w:marBottom w:val="0"/>
              <w:divBdr>
                <w:top w:val="none" w:sz="0" w:space="0" w:color="auto"/>
                <w:left w:val="none" w:sz="0" w:space="0" w:color="auto"/>
                <w:bottom w:val="none" w:sz="0" w:space="0" w:color="auto"/>
                <w:right w:val="none" w:sz="0" w:space="0" w:color="auto"/>
              </w:divBdr>
            </w:div>
            <w:div w:id="755128611">
              <w:marLeft w:val="0"/>
              <w:marRight w:val="0"/>
              <w:marTop w:val="0"/>
              <w:marBottom w:val="0"/>
              <w:divBdr>
                <w:top w:val="none" w:sz="0" w:space="0" w:color="auto"/>
                <w:left w:val="none" w:sz="0" w:space="0" w:color="auto"/>
                <w:bottom w:val="none" w:sz="0" w:space="0" w:color="auto"/>
                <w:right w:val="none" w:sz="0" w:space="0" w:color="auto"/>
              </w:divBdr>
            </w:div>
            <w:div w:id="1137407282">
              <w:marLeft w:val="0"/>
              <w:marRight w:val="0"/>
              <w:marTop w:val="0"/>
              <w:marBottom w:val="0"/>
              <w:divBdr>
                <w:top w:val="none" w:sz="0" w:space="0" w:color="auto"/>
                <w:left w:val="none" w:sz="0" w:space="0" w:color="auto"/>
                <w:bottom w:val="none" w:sz="0" w:space="0" w:color="auto"/>
                <w:right w:val="none" w:sz="0" w:space="0" w:color="auto"/>
              </w:divBdr>
            </w:div>
            <w:div w:id="698705991">
              <w:marLeft w:val="0"/>
              <w:marRight w:val="0"/>
              <w:marTop w:val="0"/>
              <w:marBottom w:val="0"/>
              <w:divBdr>
                <w:top w:val="none" w:sz="0" w:space="0" w:color="auto"/>
                <w:left w:val="none" w:sz="0" w:space="0" w:color="auto"/>
                <w:bottom w:val="none" w:sz="0" w:space="0" w:color="auto"/>
                <w:right w:val="none" w:sz="0" w:space="0" w:color="auto"/>
              </w:divBdr>
            </w:div>
            <w:div w:id="420182903">
              <w:marLeft w:val="0"/>
              <w:marRight w:val="0"/>
              <w:marTop w:val="0"/>
              <w:marBottom w:val="0"/>
              <w:divBdr>
                <w:top w:val="none" w:sz="0" w:space="0" w:color="auto"/>
                <w:left w:val="none" w:sz="0" w:space="0" w:color="auto"/>
                <w:bottom w:val="none" w:sz="0" w:space="0" w:color="auto"/>
                <w:right w:val="none" w:sz="0" w:space="0" w:color="auto"/>
              </w:divBdr>
            </w:div>
            <w:div w:id="938096678">
              <w:marLeft w:val="0"/>
              <w:marRight w:val="0"/>
              <w:marTop w:val="0"/>
              <w:marBottom w:val="0"/>
              <w:divBdr>
                <w:top w:val="none" w:sz="0" w:space="0" w:color="auto"/>
                <w:left w:val="none" w:sz="0" w:space="0" w:color="auto"/>
                <w:bottom w:val="none" w:sz="0" w:space="0" w:color="auto"/>
                <w:right w:val="none" w:sz="0" w:space="0" w:color="auto"/>
              </w:divBdr>
            </w:div>
            <w:div w:id="356085872">
              <w:marLeft w:val="0"/>
              <w:marRight w:val="0"/>
              <w:marTop w:val="0"/>
              <w:marBottom w:val="0"/>
              <w:divBdr>
                <w:top w:val="none" w:sz="0" w:space="0" w:color="auto"/>
                <w:left w:val="none" w:sz="0" w:space="0" w:color="auto"/>
                <w:bottom w:val="none" w:sz="0" w:space="0" w:color="auto"/>
                <w:right w:val="none" w:sz="0" w:space="0" w:color="auto"/>
              </w:divBdr>
            </w:div>
            <w:div w:id="843320708">
              <w:marLeft w:val="0"/>
              <w:marRight w:val="0"/>
              <w:marTop w:val="0"/>
              <w:marBottom w:val="0"/>
              <w:divBdr>
                <w:top w:val="none" w:sz="0" w:space="0" w:color="auto"/>
                <w:left w:val="none" w:sz="0" w:space="0" w:color="auto"/>
                <w:bottom w:val="none" w:sz="0" w:space="0" w:color="auto"/>
                <w:right w:val="none" w:sz="0" w:space="0" w:color="auto"/>
              </w:divBdr>
            </w:div>
            <w:div w:id="2144536797">
              <w:marLeft w:val="0"/>
              <w:marRight w:val="0"/>
              <w:marTop w:val="0"/>
              <w:marBottom w:val="0"/>
              <w:divBdr>
                <w:top w:val="none" w:sz="0" w:space="0" w:color="auto"/>
                <w:left w:val="none" w:sz="0" w:space="0" w:color="auto"/>
                <w:bottom w:val="none" w:sz="0" w:space="0" w:color="auto"/>
                <w:right w:val="none" w:sz="0" w:space="0" w:color="auto"/>
              </w:divBdr>
            </w:div>
            <w:div w:id="2115511009">
              <w:marLeft w:val="0"/>
              <w:marRight w:val="0"/>
              <w:marTop w:val="0"/>
              <w:marBottom w:val="0"/>
              <w:divBdr>
                <w:top w:val="none" w:sz="0" w:space="0" w:color="auto"/>
                <w:left w:val="none" w:sz="0" w:space="0" w:color="auto"/>
                <w:bottom w:val="none" w:sz="0" w:space="0" w:color="auto"/>
                <w:right w:val="none" w:sz="0" w:space="0" w:color="auto"/>
              </w:divBdr>
            </w:div>
            <w:div w:id="393044397">
              <w:marLeft w:val="0"/>
              <w:marRight w:val="0"/>
              <w:marTop w:val="0"/>
              <w:marBottom w:val="0"/>
              <w:divBdr>
                <w:top w:val="none" w:sz="0" w:space="0" w:color="auto"/>
                <w:left w:val="none" w:sz="0" w:space="0" w:color="auto"/>
                <w:bottom w:val="none" w:sz="0" w:space="0" w:color="auto"/>
                <w:right w:val="none" w:sz="0" w:space="0" w:color="auto"/>
              </w:divBdr>
            </w:div>
            <w:div w:id="1535726010">
              <w:marLeft w:val="0"/>
              <w:marRight w:val="0"/>
              <w:marTop w:val="0"/>
              <w:marBottom w:val="0"/>
              <w:divBdr>
                <w:top w:val="none" w:sz="0" w:space="0" w:color="auto"/>
                <w:left w:val="none" w:sz="0" w:space="0" w:color="auto"/>
                <w:bottom w:val="none" w:sz="0" w:space="0" w:color="auto"/>
                <w:right w:val="none" w:sz="0" w:space="0" w:color="auto"/>
              </w:divBdr>
            </w:div>
            <w:div w:id="1921519461">
              <w:marLeft w:val="0"/>
              <w:marRight w:val="0"/>
              <w:marTop w:val="0"/>
              <w:marBottom w:val="0"/>
              <w:divBdr>
                <w:top w:val="none" w:sz="0" w:space="0" w:color="auto"/>
                <w:left w:val="none" w:sz="0" w:space="0" w:color="auto"/>
                <w:bottom w:val="none" w:sz="0" w:space="0" w:color="auto"/>
                <w:right w:val="none" w:sz="0" w:space="0" w:color="auto"/>
              </w:divBdr>
            </w:div>
            <w:div w:id="860315761">
              <w:marLeft w:val="0"/>
              <w:marRight w:val="0"/>
              <w:marTop w:val="0"/>
              <w:marBottom w:val="0"/>
              <w:divBdr>
                <w:top w:val="none" w:sz="0" w:space="0" w:color="auto"/>
                <w:left w:val="none" w:sz="0" w:space="0" w:color="auto"/>
                <w:bottom w:val="none" w:sz="0" w:space="0" w:color="auto"/>
                <w:right w:val="none" w:sz="0" w:space="0" w:color="auto"/>
              </w:divBdr>
            </w:div>
            <w:div w:id="112209595">
              <w:marLeft w:val="0"/>
              <w:marRight w:val="0"/>
              <w:marTop w:val="0"/>
              <w:marBottom w:val="0"/>
              <w:divBdr>
                <w:top w:val="none" w:sz="0" w:space="0" w:color="auto"/>
                <w:left w:val="none" w:sz="0" w:space="0" w:color="auto"/>
                <w:bottom w:val="none" w:sz="0" w:space="0" w:color="auto"/>
                <w:right w:val="none" w:sz="0" w:space="0" w:color="auto"/>
              </w:divBdr>
            </w:div>
            <w:div w:id="1311859344">
              <w:marLeft w:val="0"/>
              <w:marRight w:val="0"/>
              <w:marTop w:val="0"/>
              <w:marBottom w:val="0"/>
              <w:divBdr>
                <w:top w:val="none" w:sz="0" w:space="0" w:color="auto"/>
                <w:left w:val="none" w:sz="0" w:space="0" w:color="auto"/>
                <w:bottom w:val="none" w:sz="0" w:space="0" w:color="auto"/>
                <w:right w:val="none" w:sz="0" w:space="0" w:color="auto"/>
              </w:divBdr>
            </w:div>
            <w:div w:id="1662930298">
              <w:marLeft w:val="0"/>
              <w:marRight w:val="0"/>
              <w:marTop w:val="0"/>
              <w:marBottom w:val="0"/>
              <w:divBdr>
                <w:top w:val="none" w:sz="0" w:space="0" w:color="auto"/>
                <w:left w:val="none" w:sz="0" w:space="0" w:color="auto"/>
                <w:bottom w:val="none" w:sz="0" w:space="0" w:color="auto"/>
                <w:right w:val="none" w:sz="0" w:space="0" w:color="auto"/>
              </w:divBdr>
            </w:div>
            <w:div w:id="1647857701">
              <w:marLeft w:val="0"/>
              <w:marRight w:val="0"/>
              <w:marTop w:val="0"/>
              <w:marBottom w:val="0"/>
              <w:divBdr>
                <w:top w:val="none" w:sz="0" w:space="0" w:color="auto"/>
                <w:left w:val="none" w:sz="0" w:space="0" w:color="auto"/>
                <w:bottom w:val="none" w:sz="0" w:space="0" w:color="auto"/>
                <w:right w:val="none" w:sz="0" w:space="0" w:color="auto"/>
              </w:divBdr>
            </w:div>
            <w:div w:id="807816959">
              <w:marLeft w:val="0"/>
              <w:marRight w:val="0"/>
              <w:marTop w:val="0"/>
              <w:marBottom w:val="0"/>
              <w:divBdr>
                <w:top w:val="none" w:sz="0" w:space="0" w:color="auto"/>
                <w:left w:val="none" w:sz="0" w:space="0" w:color="auto"/>
                <w:bottom w:val="none" w:sz="0" w:space="0" w:color="auto"/>
                <w:right w:val="none" w:sz="0" w:space="0" w:color="auto"/>
              </w:divBdr>
            </w:div>
            <w:div w:id="706415034">
              <w:marLeft w:val="0"/>
              <w:marRight w:val="0"/>
              <w:marTop w:val="0"/>
              <w:marBottom w:val="0"/>
              <w:divBdr>
                <w:top w:val="none" w:sz="0" w:space="0" w:color="auto"/>
                <w:left w:val="none" w:sz="0" w:space="0" w:color="auto"/>
                <w:bottom w:val="none" w:sz="0" w:space="0" w:color="auto"/>
                <w:right w:val="none" w:sz="0" w:space="0" w:color="auto"/>
              </w:divBdr>
            </w:div>
            <w:div w:id="901988676">
              <w:marLeft w:val="0"/>
              <w:marRight w:val="0"/>
              <w:marTop w:val="0"/>
              <w:marBottom w:val="0"/>
              <w:divBdr>
                <w:top w:val="none" w:sz="0" w:space="0" w:color="auto"/>
                <w:left w:val="none" w:sz="0" w:space="0" w:color="auto"/>
                <w:bottom w:val="none" w:sz="0" w:space="0" w:color="auto"/>
                <w:right w:val="none" w:sz="0" w:space="0" w:color="auto"/>
              </w:divBdr>
            </w:div>
            <w:div w:id="1614940113">
              <w:marLeft w:val="0"/>
              <w:marRight w:val="0"/>
              <w:marTop w:val="0"/>
              <w:marBottom w:val="0"/>
              <w:divBdr>
                <w:top w:val="none" w:sz="0" w:space="0" w:color="auto"/>
                <w:left w:val="none" w:sz="0" w:space="0" w:color="auto"/>
                <w:bottom w:val="none" w:sz="0" w:space="0" w:color="auto"/>
                <w:right w:val="none" w:sz="0" w:space="0" w:color="auto"/>
              </w:divBdr>
            </w:div>
            <w:div w:id="1573658446">
              <w:marLeft w:val="0"/>
              <w:marRight w:val="0"/>
              <w:marTop w:val="0"/>
              <w:marBottom w:val="0"/>
              <w:divBdr>
                <w:top w:val="none" w:sz="0" w:space="0" w:color="auto"/>
                <w:left w:val="none" w:sz="0" w:space="0" w:color="auto"/>
                <w:bottom w:val="none" w:sz="0" w:space="0" w:color="auto"/>
                <w:right w:val="none" w:sz="0" w:space="0" w:color="auto"/>
              </w:divBdr>
            </w:div>
            <w:div w:id="4789188">
              <w:marLeft w:val="0"/>
              <w:marRight w:val="0"/>
              <w:marTop w:val="0"/>
              <w:marBottom w:val="0"/>
              <w:divBdr>
                <w:top w:val="none" w:sz="0" w:space="0" w:color="auto"/>
                <w:left w:val="none" w:sz="0" w:space="0" w:color="auto"/>
                <w:bottom w:val="none" w:sz="0" w:space="0" w:color="auto"/>
                <w:right w:val="none" w:sz="0" w:space="0" w:color="auto"/>
              </w:divBdr>
            </w:div>
            <w:div w:id="1687748876">
              <w:marLeft w:val="0"/>
              <w:marRight w:val="0"/>
              <w:marTop w:val="0"/>
              <w:marBottom w:val="0"/>
              <w:divBdr>
                <w:top w:val="none" w:sz="0" w:space="0" w:color="auto"/>
                <w:left w:val="none" w:sz="0" w:space="0" w:color="auto"/>
                <w:bottom w:val="none" w:sz="0" w:space="0" w:color="auto"/>
                <w:right w:val="none" w:sz="0" w:space="0" w:color="auto"/>
              </w:divBdr>
            </w:div>
            <w:div w:id="715737925">
              <w:marLeft w:val="0"/>
              <w:marRight w:val="0"/>
              <w:marTop w:val="0"/>
              <w:marBottom w:val="0"/>
              <w:divBdr>
                <w:top w:val="none" w:sz="0" w:space="0" w:color="auto"/>
                <w:left w:val="none" w:sz="0" w:space="0" w:color="auto"/>
                <w:bottom w:val="none" w:sz="0" w:space="0" w:color="auto"/>
                <w:right w:val="none" w:sz="0" w:space="0" w:color="auto"/>
              </w:divBdr>
            </w:div>
            <w:div w:id="1172911580">
              <w:marLeft w:val="0"/>
              <w:marRight w:val="0"/>
              <w:marTop w:val="0"/>
              <w:marBottom w:val="0"/>
              <w:divBdr>
                <w:top w:val="none" w:sz="0" w:space="0" w:color="auto"/>
                <w:left w:val="none" w:sz="0" w:space="0" w:color="auto"/>
                <w:bottom w:val="none" w:sz="0" w:space="0" w:color="auto"/>
                <w:right w:val="none" w:sz="0" w:space="0" w:color="auto"/>
              </w:divBdr>
            </w:div>
            <w:div w:id="1521431673">
              <w:marLeft w:val="0"/>
              <w:marRight w:val="0"/>
              <w:marTop w:val="0"/>
              <w:marBottom w:val="0"/>
              <w:divBdr>
                <w:top w:val="none" w:sz="0" w:space="0" w:color="auto"/>
                <w:left w:val="none" w:sz="0" w:space="0" w:color="auto"/>
                <w:bottom w:val="none" w:sz="0" w:space="0" w:color="auto"/>
                <w:right w:val="none" w:sz="0" w:space="0" w:color="auto"/>
              </w:divBdr>
            </w:div>
            <w:div w:id="740520389">
              <w:marLeft w:val="0"/>
              <w:marRight w:val="0"/>
              <w:marTop w:val="0"/>
              <w:marBottom w:val="0"/>
              <w:divBdr>
                <w:top w:val="none" w:sz="0" w:space="0" w:color="auto"/>
                <w:left w:val="none" w:sz="0" w:space="0" w:color="auto"/>
                <w:bottom w:val="none" w:sz="0" w:space="0" w:color="auto"/>
                <w:right w:val="none" w:sz="0" w:space="0" w:color="auto"/>
              </w:divBdr>
            </w:div>
            <w:div w:id="1242984752">
              <w:marLeft w:val="0"/>
              <w:marRight w:val="0"/>
              <w:marTop w:val="0"/>
              <w:marBottom w:val="0"/>
              <w:divBdr>
                <w:top w:val="none" w:sz="0" w:space="0" w:color="auto"/>
                <w:left w:val="none" w:sz="0" w:space="0" w:color="auto"/>
                <w:bottom w:val="none" w:sz="0" w:space="0" w:color="auto"/>
                <w:right w:val="none" w:sz="0" w:space="0" w:color="auto"/>
              </w:divBdr>
            </w:div>
            <w:div w:id="1664236355">
              <w:marLeft w:val="0"/>
              <w:marRight w:val="0"/>
              <w:marTop w:val="0"/>
              <w:marBottom w:val="0"/>
              <w:divBdr>
                <w:top w:val="none" w:sz="0" w:space="0" w:color="auto"/>
                <w:left w:val="none" w:sz="0" w:space="0" w:color="auto"/>
                <w:bottom w:val="none" w:sz="0" w:space="0" w:color="auto"/>
                <w:right w:val="none" w:sz="0" w:space="0" w:color="auto"/>
              </w:divBdr>
            </w:div>
            <w:div w:id="472984093">
              <w:marLeft w:val="0"/>
              <w:marRight w:val="0"/>
              <w:marTop w:val="0"/>
              <w:marBottom w:val="0"/>
              <w:divBdr>
                <w:top w:val="none" w:sz="0" w:space="0" w:color="auto"/>
                <w:left w:val="none" w:sz="0" w:space="0" w:color="auto"/>
                <w:bottom w:val="none" w:sz="0" w:space="0" w:color="auto"/>
                <w:right w:val="none" w:sz="0" w:space="0" w:color="auto"/>
              </w:divBdr>
            </w:div>
            <w:div w:id="524830651">
              <w:marLeft w:val="0"/>
              <w:marRight w:val="0"/>
              <w:marTop w:val="0"/>
              <w:marBottom w:val="0"/>
              <w:divBdr>
                <w:top w:val="none" w:sz="0" w:space="0" w:color="auto"/>
                <w:left w:val="none" w:sz="0" w:space="0" w:color="auto"/>
                <w:bottom w:val="none" w:sz="0" w:space="0" w:color="auto"/>
                <w:right w:val="none" w:sz="0" w:space="0" w:color="auto"/>
              </w:divBdr>
            </w:div>
            <w:div w:id="2135177742">
              <w:marLeft w:val="0"/>
              <w:marRight w:val="0"/>
              <w:marTop w:val="0"/>
              <w:marBottom w:val="0"/>
              <w:divBdr>
                <w:top w:val="none" w:sz="0" w:space="0" w:color="auto"/>
                <w:left w:val="none" w:sz="0" w:space="0" w:color="auto"/>
                <w:bottom w:val="none" w:sz="0" w:space="0" w:color="auto"/>
                <w:right w:val="none" w:sz="0" w:space="0" w:color="auto"/>
              </w:divBdr>
            </w:div>
            <w:div w:id="1393650624">
              <w:marLeft w:val="0"/>
              <w:marRight w:val="0"/>
              <w:marTop w:val="0"/>
              <w:marBottom w:val="0"/>
              <w:divBdr>
                <w:top w:val="none" w:sz="0" w:space="0" w:color="auto"/>
                <w:left w:val="none" w:sz="0" w:space="0" w:color="auto"/>
                <w:bottom w:val="none" w:sz="0" w:space="0" w:color="auto"/>
                <w:right w:val="none" w:sz="0" w:space="0" w:color="auto"/>
              </w:divBdr>
            </w:div>
            <w:div w:id="1385719931">
              <w:marLeft w:val="0"/>
              <w:marRight w:val="0"/>
              <w:marTop w:val="0"/>
              <w:marBottom w:val="0"/>
              <w:divBdr>
                <w:top w:val="none" w:sz="0" w:space="0" w:color="auto"/>
                <w:left w:val="none" w:sz="0" w:space="0" w:color="auto"/>
                <w:bottom w:val="none" w:sz="0" w:space="0" w:color="auto"/>
                <w:right w:val="none" w:sz="0" w:space="0" w:color="auto"/>
              </w:divBdr>
            </w:div>
            <w:div w:id="1461804265">
              <w:marLeft w:val="0"/>
              <w:marRight w:val="0"/>
              <w:marTop w:val="0"/>
              <w:marBottom w:val="0"/>
              <w:divBdr>
                <w:top w:val="none" w:sz="0" w:space="0" w:color="auto"/>
                <w:left w:val="none" w:sz="0" w:space="0" w:color="auto"/>
                <w:bottom w:val="none" w:sz="0" w:space="0" w:color="auto"/>
                <w:right w:val="none" w:sz="0" w:space="0" w:color="auto"/>
              </w:divBdr>
            </w:div>
            <w:div w:id="1752770746">
              <w:marLeft w:val="0"/>
              <w:marRight w:val="0"/>
              <w:marTop w:val="0"/>
              <w:marBottom w:val="0"/>
              <w:divBdr>
                <w:top w:val="none" w:sz="0" w:space="0" w:color="auto"/>
                <w:left w:val="none" w:sz="0" w:space="0" w:color="auto"/>
                <w:bottom w:val="none" w:sz="0" w:space="0" w:color="auto"/>
                <w:right w:val="none" w:sz="0" w:space="0" w:color="auto"/>
              </w:divBdr>
            </w:div>
            <w:div w:id="15541852">
              <w:marLeft w:val="0"/>
              <w:marRight w:val="0"/>
              <w:marTop w:val="0"/>
              <w:marBottom w:val="0"/>
              <w:divBdr>
                <w:top w:val="none" w:sz="0" w:space="0" w:color="auto"/>
                <w:left w:val="none" w:sz="0" w:space="0" w:color="auto"/>
                <w:bottom w:val="none" w:sz="0" w:space="0" w:color="auto"/>
                <w:right w:val="none" w:sz="0" w:space="0" w:color="auto"/>
              </w:divBdr>
            </w:div>
            <w:div w:id="843788211">
              <w:marLeft w:val="0"/>
              <w:marRight w:val="0"/>
              <w:marTop w:val="0"/>
              <w:marBottom w:val="0"/>
              <w:divBdr>
                <w:top w:val="none" w:sz="0" w:space="0" w:color="auto"/>
                <w:left w:val="none" w:sz="0" w:space="0" w:color="auto"/>
                <w:bottom w:val="none" w:sz="0" w:space="0" w:color="auto"/>
                <w:right w:val="none" w:sz="0" w:space="0" w:color="auto"/>
              </w:divBdr>
            </w:div>
            <w:div w:id="1770348031">
              <w:marLeft w:val="0"/>
              <w:marRight w:val="0"/>
              <w:marTop w:val="0"/>
              <w:marBottom w:val="0"/>
              <w:divBdr>
                <w:top w:val="none" w:sz="0" w:space="0" w:color="auto"/>
                <w:left w:val="none" w:sz="0" w:space="0" w:color="auto"/>
                <w:bottom w:val="none" w:sz="0" w:space="0" w:color="auto"/>
                <w:right w:val="none" w:sz="0" w:space="0" w:color="auto"/>
              </w:divBdr>
            </w:div>
            <w:div w:id="534806028">
              <w:marLeft w:val="0"/>
              <w:marRight w:val="0"/>
              <w:marTop w:val="0"/>
              <w:marBottom w:val="0"/>
              <w:divBdr>
                <w:top w:val="none" w:sz="0" w:space="0" w:color="auto"/>
                <w:left w:val="none" w:sz="0" w:space="0" w:color="auto"/>
                <w:bottom w:val="none" w:sz="0" w:space="0" w:color="auto"/>
                <w:right w:val="none" w:sz="0" w:space="0" w:color="auto"/>
              </w:divBdr>
            </w:div>
            <w:div w:id="1217622128">
              <w:marLeft w:val="0"/>
              <w:marRight w:val="0"/>
              <w:marTop w:val="0"/>
              <w:marBottom w:val="0"/>
              <w:divBdr>
                <w:top w:val="none" w:sz="0" w:space="0" w:color="auto"/>
                <w:left w:val="none" w:sz="0" w:space="0" w:color="auto"/>
                <w:bottom w:val="none" w:sz="0" w:space="0" w:color="auto"/>
                <w:right w:val="none" w:sz="0" w:space="0" w:color="auto"/>
              </w:divBdr>
            </w:div>
            <w:div w:id="304164433">
              <w:marLeft w:val="0"/>
              <w:marRight w:val="0"/>
              <w:marTop w:val="0"/>
              <w:marBottom w:val="0"/>
              <w:divBdr>
                <w:top w:val="none" w:sz="0" w:space="0" w:color="auto"/>
                <w:left w:val="none" w:sz="0" w:space="0" w:color="auto"/>
                <w:bottom w:val="none" w:sz="0" w:space="0" w:color="auto"/>
                <w:right w:val="none" w:sz="0" w:space="0" w:color="auto"/>
              </w:divBdr>
            </w:div>
            <w:div w:id="1826168578">
              <w:marLeft w:val="0"/>
              <w:marRight w:val="0"/>
              <w:marTop w:val="0"/>
              <w:marBottom w:val="0"/>
              <w:divBdr>
                <w:top w:val="none" w:sz="0" w:space="0" w:color="auto"/>
                <w:left w:val="none" w:sz="0" w:space="0" w:color="auto"/>
                <w:bottom w:val="none" w:sz="0" w:space="0" w:color="auto"/>
                <w:right w:val="none" w:sz="0" w:space="0" w:color="auto"/>
              </w:divBdr>
            </w:div>
            <w:div w:id="773476796">
              <w:marLeft w:val="0"/>
              <w:marRight w:val="0"/>
              <w:marTop w:val="0"/>
              <w:marBottom w:val="0"/>
              <w:divBdr>
                <w:top w:val="none" w:sz="0" w:space="0" w:color="auto"/>
                <w:left w:val="none" w:sz="0" w:space="0" w:color="auto"/>
                <w:bottom w:val="none" w:sz="0" w:space="0" w:color="auto"/>
                <w:right w:val="none" w:sz="0" w:space="0" w:color="auto"/>
              </w:divBdr>
            </w:div>
            <w:div w:id="759444909">
              <w:marLeft w:val="0"/>
              <w:marRight w:val="0"/>
              <w:marTop w:val="0"/>
              <w:marBottom w:val="0"/>
              <w:divBdr>
                <w:top w:val="none" w:sz="0" w:space="0" w:color="auto"/>
                <w:left w:val="none" w:sz="0" w:space="0" w:color="auto"/>
                <w:bottom w:val="none" w:sz="0" w:space="0" w:color="auto"/>
                <w:right w:val="none" w:sz="0" w:space="0" w:color="auto"/>
              </w:divBdr>
            </w:div>
            <w:div w:id="1275135767">
              <w:marLeft w:val="0"/>
              <w:marRight w:val="0"/>
              <w:marTop w:val="0"/>
              <w:marBottom w:val="0"/>
              <w:divBdr>
                <w:top w:val="none" w:sz="0" w:space="0" w:color="auto"/>
                <w:left w:val="none" w:sz="0" w:space="0" w:color="auto"/>
                <w:bottom w:val="none" w:sz="0" w:space="0" w:color="auto"/>
                <w:right w:val="none" w:sz="0" w:space="0" w:color="auto"/>
              </w:divBdr>
            </w:div>
            <w:div w:id="2120295525">
              <w:marLeft w:val="0"/>
              <w:marRight w:val="0"/>
              <w:marTop w:val="0"/>
              <w:marBottom w:val="0"/>
              <w:divBdr>
                <w:top w:val="none" w:sz="0" w:space="0" w:color="auto"/>
                <w:left w:val="none" w:sz="0" w:space="0" w:color="auto"/>
                <w:bottom w:val="none" w:sz="0" w:space="0" w:color="auto"/>
                <w:right w:val="none" w:sz="0" w:space="0" w:color="auto"/>
              </w:divBdr>
            </w:div>
            <w:div w:id="1246184226">
              <w:marLeft w:val="0"/>
              <w:marRight w:val="0"/>
              <w:marTop w:val="0"/>
              <w:marBottom w:val="0"/>
              <w:divBdr>
                <w:top w:val="none" w:sz="0" w:space="0" w:color="auto"/>
                <w:left w:val="none" w:sz="0" w:space="0" w:color="auto"/>
                <w:bottom w:val="none" w:sz="0" w:space="0" w:color="auto"/>
                <w:right w:val="none" w:sz="0" w:space="0" w:color="auto"/>
              </w:divBdr>
            </w:div>
            <w:div w:id="462310321">
              <w:marLeft w:val="0"/>
              <w:marRight w:val="0"/>
              <w:marTop w:val="0"/>
              <w:marBottom w:val="0"/>
              <w:divBdr>
                <w:top w:val="none" w:sz="0" w:space="0" w:color="auto"/>
                <w:left w:val="none" w:sz="0" w:space="0" w:color="auto"/>
                <w:bottom w:val="none" w:sz="0" w:space="0" w:color="auto"/>
                <w:right w:val="none" w:sz="0" w:space="0" w:color="auto"/>
              </w:divBdr>
            </w:div>
            <w:div w:id="1838644070">
              <w:marLeft w:val="0"/>
              <w:marRight w:val="0"/>
              <w:marTop w:val="0"/>
              <w:marBottom w:val="0"/>
              <w:divBdr>
                <w:top w:val="none" w:sz="0" w:space="0" w:color="auto"/>
                <w:left w:val="none" w:sz="0" w:space="0" w:color="auto"/>
                <w:bottom w:val="none" w:sz="0" w:space="0" w:color="auto"/>
                <w:right w:val="none" w:sz="0" w:space="0" w:color="auto"/>
              </w:divBdr>
            </w:div>
            <w:div w:id="309559271">
              <w:marLeft w:val="0"/>
              <w:marRight w:val="0"/>
              <w:marTop w:val="0"/>
              <w:marBottom w:val="0"/>
              <w:divBdr>
                <w:top w:val="none" w:sz="0" w:space="0" w:color="auto"/>
                <w:left w:val="none" w:sz="0" w:space="0" w:color="auto"/>
                <w:bottom w:val="none" w:sz="0" w:space="0" w:color="auto"/>
                <w:right w:val="none" w:sz="0" w:space="0" w:color="auto"/>
              </w:divBdr>
            </w:div>
            <w:div w:id="1660233168">
              <w:marLeft w:val="0"/>
              <w:marRight w:val="0"/>
              <w:marTop w:val="0"/>
              <w:marBottom w:val="0"/>
              <w:divBdr>
                <w:top w:val="none" w:sz="0" w:space="0" w:color="auto"/>
                <w:left w:val="none" w:sz="0" w:space="0" w:color="auto"/>
                <w:bottom w:val="none" w:sz="0" w:space="0" w:color="auto"/>
                <w:right w:val="none" w:sz="0" w:space="0" w:color="auto"/>
              </w:divBdr>
            </w:div>
            <w:div w:id="504563660">
              <w:marLeft w:val="0"/>
              <w:marRight w:val="0"/>
              <w:marTop w:val="0"/>
              <w:marBottom w:val="0"/>
              <w:divBdr>
                <w:top w:val="none" w:sz="0" w:space="0" w:color="auto"/>
                <w:left w:val="none" w:sz="0" w:space="0" w:color="auto"/>
                <w:bottom w:val="none" w:sz="0" w:space="0" w:color="auto"/>
                <w:right w:val="none" w:sz="0" w:space="0" w:color="auto"/>
              </w:divBdr>
            </w:div>
            <w:div w:id="770198827">
              <w:marLeft w:val="0"/>
              <w:marRight w:val="0"/>
              <w:marTop w:val="0"/>
              <w:marBottom w:val="0"/>
              <w:divBdr>
                <w:top w:val="none" w:sz="0" w:space="0" w:color="auto"/>
                <w:left w:val="none" w:sz="0" w:space="0" w:color="auto"/>
                <w:bottom w:val="none" w:sz="0" w:space="0" w:color="auto"/>
                <w:right w:val="none" w:sz="0" w:space="0" w:color="auto"/>
              </w:divBdr>
            </w:div>
            <w:div w:id="2106294183">
              <w:marLeft w:val="0"/>
              <w:marRight w:val="0"/>
              <w:marTop w:val="0"/>
              <w:marBottom w:val="0"/>
              <w:divBdr>
                <w:top w:val="none" w:sz="0" w:space="0" w:color="auto"/>
                <w:left w:val="none" w:sz="0" w:space="0" w:color="auto"/>
                <w:bottom w:val="none" w:sz="0" w:space="0" w:color="auto"/>
                <w:right w:val="none" w:sz="0" w:space="0" w:color="auto"/>
              </w:divBdr>
            </w:div>
            <w:div w:id="1651404261">
              <w:marLeft w:val="0"/>
              <w:marRight w:val="0"/>
              <w:marTop w:val="0"/>
              <w:marBottom w:val="0"/>
              <w:divBdr>
                <w:top w:val="none" w:sz="0" w:space="0" w:color="auto"/>
                <w:left w:val="none" w:sz="0" w:space="0" w:color="auto"/>
                <w:bottom w:val="none" w:sz="0" w:space="0" w:color="auto"/>
                <w:right w:val="none" w:sz="0" w:space="0" w:color="auto"/>
              </w:divBdr>
            </w:div>
            <w:div w:id="540745073">
              <w:marLeft w:val="0"/>
              <w:marRight w:val="0"/>
              <w:marTop w:val="0"/>
              <w:marBottom w:val="0"/>
              <w:divBdr>
                <w:top w:val="none" w:sz="0" w:space="0" w:color="auto"/>
                <w:left w:val="none" w:sz="0" w:space="0" w:color="auto"/>
                <w:bottom w:val="none" w:sz="0" w:space="0" w:color="auto"/>
                <w:right w:val="none" w:sz="0" w:space="0" w:color="auto"/>
              </w:divBdr>
            </w:div>
            <w:div w:id="380448155">
              <w:marLeft w:val="0"/>
              <w:marRight w:val="0"/>
              <w:marTop w:val="0"/>
              <w:marBottom w:val="0"/>
              <w:divBdr>
                <w:top w:val="none" w:sz="0" w:space="0" w:color="auto"/>
                <w:left w:val="none" w:sz="0" w:space="0" w:color="auto"/>
                <w:bottom w:val="none" w:sz="0" w:space="0" w:color="auto"/>
                <w:right w:val="none" w:sz="0" w:space="0" w:color="auto"/>
              </w:divBdr>
            </w:div>
            <w:div w:id="884373597">
              <w:marLeft w:val="0"/>
              <w:marRight w:val="0"/>
              <w:marTop w:val="0"/>
              <w:marBottom w:val="0"/>
              <w:divBdr>
                <w:top w:val="none" w:sz="0" w:space="0" w:color="auto"/>
                <w:left w:val="none" w:sz="0" w:space="0" w:color="auto"/>
                <w:bottom w:val="none" w:sz="0" w:space="0" w:color="auto"/>
                <w:right w:val="none" w:sz="0" w:space="0" w:color="auto"/>
              </w:divBdr>
            </w:div>
            <w:div w:id="723527194">
              <w:marLeft w:val="0"/>
              <w:marRight w:val="0"/>
              <w:marTop w:val="0"/>
              <w:marBottom w:val="0"/>
              <w:divBdr>
                <w:top w:val="none" w:sz="0" w:space="0" w:color="auto"/>
                <w:left w:val="none" w:sz="0" w:space="0" w:color="auto"/>
                <w:bottom w:val="none" w:sz="0" w:space="0" w:color="auto"/>
                <w:right w:val="none" w:sz="0" w:space="0" w:color="auto"/>
              </w:divBdr>
            </w:div>
            <w:div w:id="1135172856">
              <w:marLeft w:val="0"/>
              <w:marRight w:val="0"/>
              <w:marTop w:val="0"/>
              <w:marBottom w:val="0"/>
              <w:divBdr>
                <w:top w:val="none" w:sz="0" w:space="0" w:color="auto"/>
                <w:left w:val="none" w:sz="0" w:space="0" w:color="auto"/>
                <w:bottom w:val="none" w:sz="0" w:space="0" w:color="auto"/>
                <w:right w:val="none" w:sz="0" w:space="0" w:color="auto"/>
              </w:divBdr>
            </w:div>
            <w:div w:id="882718344">
              <w:marLeft w:val="0"/>
              <w:marRight w:val="0"/>
              <w:marTop w:val="0"/>
              <w:marBottom w:val="0"/>
              <w:divBdr>
                <w:top w:val="none" w:sz="0" w:space="0" w:color="auto"/>
                <w:left w:val="none" w:sz="0" w:space="0" w:color="auto"/>
                <w:bottom w:val="none" w:sz="0" w:space="0" w:color="auto"/>
                <w:right w:val="none" w:sz="0" w:space="0" w:color="auto"/>
              </w:divBdr>
            </w:div>
            <w:div w:id="523909499">
              <w:marLeft w:val="0"/>
              <w:marRight w:val="0"/>
              <w:marTop w:val="0"/>
              <w:marBottom w:val="0"/>
              <w:divBdr>
                <w:top w:val="none" w:sz="0" w:space="0" w:color="auto"/>
                <w:left w:val="none" w:sz="0" w:space="0" w:color="auto"/>
                <w:bottom w:val="none" w:sz="0" w:space="0" w:color="auto"/>
                <w:right w:val="none" w:sz="0" w:space="0" w:color="auto"/>
              </w:divBdr>
            </w:div>
            <w:div w:id="1304584146">
              <w:marLeft w:val="0"/>
              <w:marRight w:val="0"/>
              <w:marTop w:val="0"/>
              <w:marBottom w:val="0"/>
              <w:divBdr>
                <w:top w:val="none" w:sz="0" w:space="0" w:color="auto"/>
                <w:left w:val="none" w:sz="0" w:space="0" w:color="auto"/>
                <w:bottom w:val="none" w:sz="0" w:space="0" w:color="auto"/>
                <w:right w:val="none" w:sz="0" w:space="0" w:color="auto"/>
              </w:divBdr>
            </w:div>
            <w:div w:id="845947238">
              <w:marLeft w:val="0"/>
              <w:marRight w:val="0"/>
              <w:marTop w:val="0"/>
              <w:marBottom w:val="0"/>
              <w:divBdr>
                <w:top w:val="none" w:sz="0" w:space="0" w:color="auto"/>
                <w:left w:val="none" w:sz="0" w:space="0" w:color="auto"/>
                <w:bottom w:val="none" w:sz="0" w:space="0" w:color="auto"/>
                <w:right w:val="none" w:sz="0" w:space="0" w:color="auto"/>
              </w:divBdr>
            </w:div>
            <w:div w:id="1647078279">
              <w:marLeft w:val="0"/>
              <w:marRight w:val="0"/>
              <w:marTop w:val="0"/>
              <w:marBottom w:val="0"/>
              <w:divBdr>
                <w:top w:val="none" w:sz="0" w:space="0" w:color="auto"/>
                <w:left w:val="none" w:sz="0" w:space="0" w:color="auto"/>
                <w:bottom w:val="none" w:sz="0" w:space="0" w:color="auto"/>
                <w:right w:val="none" w:sz="0" w:space="0" w:color="auto"/>
              </w:divBdr>
            </w:div>
            <w:div w:id="1160541376">
              <w:marLeft w:val="0"/>
              <w:marRight w:val="0"/>
              <w:marTop w:val="0"/>
              <w:marBottom w:val="0"/>
              <w:divBdr>
                <w:top w:val="none" w:sz="0" w:space="0" w:color="auto"/>
                <w:left w:val="none" w:sz="0" w:space="0" w:color="auto"/>
                <w:bottom w:val="none" w:sz="0" w:space="0" w:color="auto"/>
                <w:right w:val="none" w:sz="0" w:space="0" w:color="auto"/>
              </w:divBdr>
            </w:div>
            <w:div w:id="305748678">
              <w:marLeft w:val="0"/>
              <w:marRight w:val="0"/>
              <w:marTop w:val="0"/>
              <w:marBottom w:val="0"/>
              <w:divBdr>
                <w:top w:val="none" w:sz="0" w:space="0" w:color="auto"/>
                <w:left w:val="none" w:sz="0" w:space="0" w:color="auto"/>
                <w:bottom w:val="none" w:sz="0" w:space="0" w:color="auto"/>
                <w:right w:val="none" w:sz="0" w:space="0" w:color="auto"/>
              </w:divBdr>
            </w:div>
            <w:div w:id="1890149508">
              <w:marLeft w:val="0"/>
              <w:marRight w:val="0"/>
              <w:marTop w:val="0"/>
              <w:marBottom w:val="0"/>
              <w:divBdr>
                <w:top w:val="none" w:sz="0" w:space="0" w:color="auto"/>
                <w:left w:val="none" w:sz="0" w:space="0" w:color="auto"/>
                <w:bottom w:val="none" w:sz="0" w:space="0" w:color="auto"/>
                <w:right w:val="none" w:sz="0" w:space="0" w:color="auto"/>
              </w:divBdr>
            </w:div>
            <w:div w:id="894048944">
              <w:marLeft w:val="0"/>
              <w:marRight w:val="0"/>
              <w:marTop w:val="0"/>
              <w:marBottom w:val="0"/>
              <w:divBdr>
                <w:top w:val="none" w:sz="0" w:space="0" w:color="auto"/>
                <w:left w:val="none" w:sz="0" w:space="0" w:color="auto"/>
                <w:bottom w:val="none" w:sz="0" w:space="0" w:color="auto"/>
                <w:right w:val="none" w:sz="0" w:space="0" w:color="auto"/>
              </w:divBdr>
            </w:div>
            <w:div w:id="1369179669">
              <w:marLeft w:val="0"/>
              <w:marRight w:val="0"/>
              <w:marTop w:val="0"/>
              <w:marBottom w:val="0"/>
              <w:divBdr>
                <w:top w:val="none" w:sz="0" w:space="0" w:color="auto"/>
                <w:left w:val="none" w:sz="0" w:space="0" w:color="auto"/>
                <w:bottom w:val="none" w:sz="0" w:space="0" w:color="auto"/>
                <w:right w:val="none" w:sz="0" w:space="0" w:color="auto"/>
              </w:divBdr>
            </w:div>
            <w:div w:id="1401948976">
              <w:marLeft w:val="0"/>
              <w:marRight w:val="0"/>
              <w:marTop w:val="0"/>
              <w:marBottom w:val="0"/>
              <w:divBdr>
                <w:top w:val="none" w:sz="0" w:space="0" w:color="auto"/>
                <w:left w:val="none" w:sz="0" w:space="0" w:color="auto"/>
                <w:bottom w:val="none" w:sz="0" w:space="0" w:color="auto"/>
                <w:right w:val="none" w:sz="0" w:space="0" w:color="auto"/>
              </w:divBdr>
            </w:div>
            <w:div w:id="845440783">
              <w:marLeft w:val="0"/>
              <w:marRight w:val="0"/>
              <w:marTop w:val="0"/>
              <w:marBottom w:val="0"/>
              <w:divBdr>
                <w:top w:val="none" w:sz="0" w:space="0" w:color="auto"/>
                <w:left w:val="none" w:sz="0" w:space="0" w:color="auto"/>
                <w:bottom w:val="none" w:sz="0" w:space="0" w:color="auto"/>
                <w:right w:val="none" w:sz="0" w:space="0" w:color="auto"/>
              </w:divBdr>
            </w:div>
            <w:div w:id="1447507870">
              <w:marLeft w:val="0"/>
              <w:marRight w:val="0"/>
              <w:marTop w:val="0"/>
              <w:marBottom w:val="0"/>
              <w:divBdr>
                <w:top w:val="none" w:sz="0" w:space="0" w:color="auto"/>
                <w:left w:val="none" w:sz="0" w:space="0" w:color="auto"/>
                <w:bottom w:val="none" w:sz="0" w:space="0" w:color="auto"/>
                <w:right w:val="none" w:sz="0" w:space="0" w:color="auto"/>
              </w:divBdr>
            </w:div>
            <w:div w:id="854071534">
              <w:marLeft w:val="0"/>
              <w:marRight w:val="0"/>
              <w:marTop w:val="0"/>
              <w:marBottom w:val="0"/>
              <w:divBdr>
                <w:top w:val="none" w:sz="0" w:space="0" w:color="auto"/>
                <w:left w:val="none" w:sz="0" w:space="0" w:color="auto"/>
                <w:bottom w:val="none" w:sz="0" w:space="0" w:color="auto"/>
                <w:right w:val="none" w:sz="0" w:space="0" w:color="auto"/>
              </w:divBdr>
            </w:div>
            <w:div w:id="2106462742">
              <w:marLeft w:val="0"/>
              <w:marRight w:val="0"/>
              <w:marTop w:val="0"/>
              <w:marBottom w:val="0"/>
              <w:divBdr>
                <w:top w:val="none" w:sz="0" w:space="0" w:color="auto"/>
                <w:left w:val="none" w:sz="0" w:space="0" w:color="auto"/>
                <w:bottom w:val="none" w:sz="0" w:space="0" w:color="auto"/>
                <w:right w:val="none" w:sz="0" w:space="0" w:color="auto"/>
              </w:divBdr>
            </w:div>
            <w:div w:id="1708144532">
              <w:marLeft w:val="0"/>
              <w:marRight w:val="0"/>
              <w:marTop w:val="0"/>
              <w:marBottom w:val="0"/>
              <w:divBdr>
                <w:top w:val="none" w:sz="0" w:space="0" w:color="auto"/>
                <w:left w:val="none" w:sz="0" w:space="0" w:color="auto"/>
                <w:bottom w:val="none" w:sz="0" w:space="0" w:color="auto"/>
                <w:right w:val="none" w:sz="0" w:space="0" w:color="auto"/>
              </w:divBdr>
            </w:div>
            <w:div w:id="1119451386">
              <w:marLeft w:val="0"/>
              <w:marRight w:val="0"/>
              <w:marTop w:val="0"/>
              <w:marBottom w:val="0"/>
              <w:divBdr>
                <w:top w:val="none" w:sz="0" w:space="0" w:color="auto"/>
                <w:left w:val="none" w:sz="0" w:space="0" w:color="auto"/>
                <w:bottom w:val="none" w:sz="0" w:space="0" w:color="auto"/>
                <w:right w:val="none" w:sz="0" w:space="0" w:color="auto"/>
              </w:divBdr>
            </w:div>
            <w:div w:id="1165514760">
              <w:marLeft w:val="0"/>
              <w:marRight w:val="0"/>
              <w:marTop w:val="0"/>
              <w:marBottom w:val="0"/>
              <w:divBdr>
                <w:top w:val="none" w:sz="0" w:space="0" w:color="auto"/>
                <w:left w:val="none" w:sz="0" w:space="0" w:color="auto"/>
                <w:bottom w:val="none" w:sz="0" w:space="0" w:color="auto"/>
                <w:right w:val="none" w:sz="0" w:space="0" w:color="auto"/>
              </w:divBdr>
            </w:div>
            <w:div w:id="1031612740">
              <w:marLeft w:val="0"/>
              <w:marRight w:val="0"/>
              <w:marTop w:val="0"/>
              <w:marBottom w:val="0"/>
              <w:divBdr>
                <w:top w:val="none" w:sz="0" w:space="0" w:color="auto"/>
                <w:left w:val="none" w:sz="0" w:space="0" w:color="auto"/>
                <w:bottom w:val="none" w:sz="0" w:space="0" w:color="auto"/>
                <w:right w:val="none" w:sz="0" w:space="0" w:color="auto"/>
              </w:divBdr>
            </w:div>
            <w:div w:id="1020549831">
              <w:marLeft w:val="0"/>
              <w:marRight w:val="0"/>
              <w:marTop w:val="0"/>
              <w:marBottom w:val="0"/>
              <w:divBdr>
                <w:top w:val="none" w:sz="0" w:space="0" w:color="auto"/>
                <w:left w:val="none" w:sz="0" w:space="0" w:color="auto"/>
                <w:bottom w:val="none" w:sz="0" w:space="0" w:color="auto"/>
                <w:right w:val="none" w:sz="0" w:space="0" w:color="auto"/>
              </w:divBdr>
            </w:div>
            <w:div w:id="419527348">
              <w:marLeft w:val="0"/>
              <w:marRight w:val="0"/>
              <w:marTop w:val="0"/>
              <w:marBottom w:val="0"/>
              <w:divBdr>
                <w:top w:val="none" w:sz="0" w:space="0" w:color="auto"/>
                <w:left w:val="none" w:sz="0" w:space="0" w:color="auto"/>
                <w:bottom w:val="none" w:sz="0" w:space="0" w:color="auto"/>
                <w:right w:val="none" w:sz="0" w:space="0" w:color="auto"/>
              </w:divBdr>
            </w:div>
            <w:div w:id="1973173585">
              <w:marLeft w:val="0"/>
              <w:marRight w:val="0"/>
              <w:marTop w:val="0"/>
              <w:marBottom w:val="0"/>
              <w:divBdr>
                <w:top w:val="none" w:sz="0" w:space="0" w:color="auto"/>
                <w:left w:val="none" w:sz="0" w:space="0" w:color="auto"/>
                <w:bottom w:val="none" w:sz="0" w:space="0" w:color="auto"/>
                <w:right w:val="none" w:sz="0" w:space="0" w:color="auto"/>
              </w:divBdr>
            </w:div>
            <w:div w:id="1441222034">
              <w:marLeft w:val="0"/>
              <w:marRight w:val="0"/>
              <w:marTop w:val="0"/>
              <w:marBottom w:val="0"/>
              <w:divBdr>
                <w:top w:val="none" w:sz="0" w:space="0" w:color="auto"/>
                <w:left w:val="none" w:sz="0" w:space="0" w:color="auto"/>
                <w:bottom w:val="none" w:sz="0" w:space="0" w:color="auto"/>
                <w:right w:val="none" w:sz="0" w:space="0" w:color="auto"/>
              </w:divBdr>
            </w:div>
            <w:div w:id="1992827438">
              <w:marLeft w:val="0"/>
              <w:marRight w:val="0"/>
              <w:marTop w:val="0"/>
              <w:marBottom w:val="0"/>
              <w:divBdr>
                <w:top w:val="none" w:sz="0" w:space="0" w:color="auto"/>
                <w:left w:val="none" w:sz="0" w:space="0" w:color="auto"/>
                <w:bottom w:val="none" w:sz="0" w:space="0" w:color="auto"/>
                <w:right w:val="none" w:sz="0" w:space="0" w:color="auto"/>
              </w:divBdr>
            </w:div>
            <w:div w:id="1072236141">
              <w:marLeft w:val="0"/>
              <w:marRight w:val="0"/>
              <w:marTop w:val="0"/>
              <w:marBottom w:val="0"/>
              <w:divBdr>
                <w:top w:val="none" w:sz="0" w:space="0" w:color="auto"/>
                <w:left w:val="none" w:sz="0" w:space="0" w:color="auto"/>
                <w:bottom w:val="none" w:sz="0" w:space="0" w:color="auto"/>
                <w:right w:val="none" w:sz="0" w:space="0" w:color="auto"/>
              </w:divBdr>
            </w:div>
            <w:div w:id="457725028">
              <w:marLeft w:val="0"/>
              <w:marRight w:val="0"/>
              <w:marTop w:val="0"/>
              <w:marBottom w:val="0"/>
              <w:divBdr>
                <w:top w:val="none" w:sz="0" w:space="0" w:color="auto"/>
                <w:left w:val="none" w:sz="0" w:space="0" w:color="auto"/>
                <w:bottom w:val="none" w:sz="0" w:space="0" w:color="auto"/>
                <w:right w:val="none" w:sz="0" w:space="0" w:color="auto"/>
              </w:divBdr>
            </w:div>
            <w:div w:id="280965234">
              <w:marLeft w:val="0"/>
              <w:marRight w:val="0"/>
              <w:marTop w:val="0"/>
              <w:marBottom w:val="0"/>
              <w:divBdr>
                <w:top w:val="none" w:sz="0" w:space="0" w:color="auto"/>
                <w:left w:val="none" w:sz="0" w:space="0" w:color="auto"/>
                <w:bottom w:val="none" w:sz="0" w:space="0" w:color="auto"/>
                <w:right w:val="none" w:sz="0" w:space="0" w:color="auto"/>
              </w:divBdr>
            </w:div>
            <w:div w:id="262882207">
              <w:marLeft w:val="0"/>
              <w:marRight w:val="0"/>
              <w:marTop w:val="0"/>
              <w:marBottom w:val="0"/>
              <w:divBdr>
                <w:top w:val="none" w:sz="0" w:space="0" w:color="auto"/>
                <w:left w:val="none" w:sz="0" w:space="0" w:color="auto"/>
                <w:bottom w:val="none" w:sz="0" w:space="0" w:color="auto"/>
                <w:right w:val="none" w:sz="0" w:space="0" w:color="auto"/>
              </w:divBdr>
            </w:div>
            <w:div w:id="963846910">
              <w:marLeft w:val="0"/>
              <w:marRight w:val="0"/>
              <w:marTop w:val="0"/>
              <w:marBottom w:val="0"/>
              <w:divBdr>
                <w:top w:val="none" w:sz="0" w:space="0" w:color="auto"/>
                <w:left w:val="none" w:sz="0" w:space="0" w:color="auto"/>
                <w:bottom w:val="none" w:sz="0" w:space="0" w:color="auto"/>
                <w:right w:val="none" w:sz="0" w:space="0" w:color="auto"/>
              </w:divBdr>
            </w:div>
            <w:div w:id="1815829779">
              <w:marLeft w:val="0"/>
              <w:marRight w:val="0"/>
              <w:marTop w:val="0"/>
              <w:marBottom w:val="0"/>
              <w:divBdr>
                <w:top w:val="none" w:sz="0" w:space="0" w:color="auto"/>
                <w:left w:val="none" w:sz="0" w:space="0" w:color="auto"/>
                <w:bottom w:val="none" w:sz="0" w:space="0" w:color="auto"/>
                <w:right w:val="none" w:sz="0" w:space="0" w:color="auto"/>
              </w:divBdr>
            </w:div>
            <w:div w:id="1061635530">
              <w:marLeft w:val="0"/>
              <w:marRight w:val="0"/>
              <w:marTop w:val="0"/>
              <w:marBottom w:val="0"/>
              <w:divBdr>
                <w:top w:val="none" w:sz="0" w:space="0" w:color="auto"/>
                <w:left w:val="none" w:sz="0" w:space="0" w:color="auto"/>
                <w:bottom w:val="none" w:sz="0" w:space="0" w:color="auto"/>
                <w:right w:val="none" w:sz="0" w:space="0" w:color="auto"/>
              </w:divBdr>
            </w:div>
            <w:div w:id="95710660">
              <w:marLeft w:val="0"/>
              <w:marRight w:val="0"/>
              <w:marTop w:val="0"/>
              <w:marBottom w:val="0"/>
              <w:divBdr>
                <w:top w:val="none" w:sz="0" w:space="0" w:color="auto"/>
                <w:left w:val="none" w:sz="0" w:space="0" w:color="auto"/>
                <w:bottom w:val="none" w:sz="0" w:space="0" w:color="auto"/>
                <w:right w:val="none" w:sz="0" w:space="0" w:color="auto"/>
              </w:divBdr>
            </w:div>
            <w:div w:id="515195501">
              <w:marLeft w:val="0"/>
              <w:marRight w:val="0"/>
              <w:marTop w:val="0"/>
              <w:marBottom w:val="0"/>
              <w:divBdr>
                <w:top w:val="none" w:sz="0" w:space="0" w:color="auto"/>
                <w:left w:val="none" w:sz="0" w:space="0" w:color="auto"/>
                <w:bottom w:val="none" w:sz="0" w:space="0" w:color="auto"/>
                <w:right w:val="none" w:sz="0" w:space="0" w:color="auto"/>
              </w:divBdr>
            </w:div>
            <w:div w:id="2099521537">
              <w:marLeft w:val="0"/>
              <w:marRight w:val="0"/>
              <w:marTop w:val="0"/>
              <w:marBottom w:val="0"/>
              <w:divBdr>
                <w:top w:val="none" w:sz="0" w:space="0" w:color="auto"/>
                <w:left w:val="none" w:sz="0" w:space="0" w:color="auto"/>
                <w:bottom w:val="none" w:sz="0" w:space="0" w:color="auto"/>
                <w:right w:val="none" w:sz="0" w:space="0" w:color="auto"/>
              </w:divBdr>
            </w:div>
            <w:div w:id="1262031181">
              <w:marLeft w:val="0"/>
              <w:marRight w:val="0"/>
              <w:marTop w:val="0"/>
              <w:marBottom w:val="0"/>
              <w:divBdr>
                <w:top w:val="none" w:sz="0" w:space="0" w:color="auto"/>
                <w:left w:val="none" w:sz="0" w:space="0" w:color="auto"/>
                <w:bottom w:val="none" w:sz="0" w:space="0" w:color="auto"/>
                <w:right w:val="none" w:sz="0" w:space="0" w:color="auto"/>
              </w:divBdr>
            </w:div>
            <w:div w:id="876085823">
              <w:marLeft w:val="0"/>
              <w:marRight w:val="0"/>
              <w:marTop w:val="0"/>
              <w:marBottom w:val="0"/>
              <w:divBdr>
                <w:top w:val="none" w:sz="0" w:space="0" w:color="auto"/>
                <w:left w:val="none" w:sz="0" w:space="0" w:color="auto"/>
                <w:bottom w:val="none" w:sz="0" w:space="0" w:color="auto"/>
                <w:right w:val="none" w:sz="0" w:space="0" w:color="auto"/>
              </w:divBdr>
            </w:div>
            <w:div w:id="574315803">
              <w:marLeft w:val="0"/>
              <w:marRight w:val="0"/>
              <w:marTop w:val="0"/>
              <w:marBottom w:val="0"/>
              <w:divBdr>
                <w:top w:val="none" w:sz="0" w:space="0" w:color="auto"/>
                <w:left w:val="none" w:sz="0" w:space="0" w:color="auto"/>
                <w:bottom w:val="none" w:sz="0" w:space="0" w:color="auto"/>
                <w:right w:val="none" w:sz="0" w:space="0" w:color="auto"/>
              </w:divBdr>
            </w:div>
            <w:div w:id="11228790">
              <w:marLeft w:val="0"/>
              <w:marRight w:val="0"/>
              <w:marTop w:val="0"/>
              <w:marBottom w:val="0"/>
              <w:divBdr>
                <w:top w:val="none" w:sz="0" w:space="0" w:color="auto"/>
                <w:left w:val="none" w:sz="0" w:space="0" w:color="auto"/>
                <w:bottom w:val="none" w:sz="0" w:space="0" w:color="auto"/>
                <w:right w:val="none" w:sz="0" w:space="0" w:color="auto"/>
              </w:divBdr>
            </w:div>
            <w:div w:id="166481867">
              <w:marLeft w:val="0"/>
              <w:marRight w:val="0"/>
              <w:marTop w:val="0"/>
              <w:marBottom w:val="0"/>
              <w:divBdr>
                <w:top w:val="none" w:sz="0" w:space="0" w:color="auto"/>
                <w:left w:val="none" w:sz="0" w:space="0" w:color="auto"/>
                <w:bottom w:val="none" w:sz="0" w:space="0" w:color="auto"/>
                <w:right w:val="none" w:sz="0" w:space="0" w:color="auto"/>
              </w:divBdr>
            </w:div>
            <w:div w:id="832524200">
              <w:marLeft w:val="0"/>
              <w:marRight w:val="0"/>
              <w:marTop w:val="0"/>
              <w:marBottom w:val="0"/>
              <w:divBdr>
                <w:top w:val="none" w:sz="0" w:space="0" w:color="auto"/>
                <w:left w:val="none" w:sz="0" w:space="0" w:color="auto"/>
                <w:bottom w:val="none" w:sz="0" w:space="0" w:color="auto"/>
                <w:right w:val="none" w:sz="0" w:space="0" w:color="auto"/>
              </w:divBdr>
            </w:div>
            <w:div w:id="1890067513">
              <w:marLeft w:val="0"/>
              <w:marRight w:val="0"/>
              <w:marTop w:val="0"/>
              <w:marBottom w:val="0"/>
              <w:divBdr>
                <w:top w:val="none" w:sz="0" w:space="0" w:color="auto"/>
                <w:left w:val="none" w:sz="0" w:space="0" w:color="auto"/>
                <w:bottom w:val="none" w:sz="0" w:space="0" w:color="auto"/>
                <w:right w:val="none" w:sz="0" w:space="0" w:color="auto"/>
              </w:divBdr>
            </w:div>
            <w:div w:id="684863137">
              <w:marLeft w:val="0"/>
              <w:marRight w:val="0"/>
              <w:marTop w:val="0"/>
              <w:marBottom w:val="0"/>
              <w:divBdr>
                <w:top w:val="none" w:sz="0" w:space="0" w:color="auto"/>
                <w:left w:val="none" w:sz="0" w:space="0" w:color="auto"/>
                <w:bottom w:val="none" w:sz="0" w:space="0" w:color="auto"/>
                <w:right w:val="none" w:sz="0" w:space="0" w:color="auto"/>
              </w:divBdr>
            </w:div>
            <w:div w:id="1686512810">
              <w:marLeft w:val="0"/>
              <w:marRight w:val="0"/>
              <w:marTop w:val="0"/>
              <w:marBottom w:val="0"/>
              <w:divBdr>
                <w:top w:val="none" w:sz="0" w:space="0" w:color="auto"/>
                <w:left w:val="none" w:sz="0" w:space="0" w:color="auto"/>
                <w:bottom w:val="none" w:sz="0" w:space="0" w:color="auto"/>
                <w:right w:val="none" w:sz="0" w:space="0" w:color="auto"/>
              </w:divBdr>
            </w:div>
            <w:div w:id="618754618">
              <w:marLeft w:val="0"/>
              <w:marRight w:val="0"/>
              <w:marTop w:val="0"/>
              <w:marBottom w:val="0"/>
              <w:divBdr>
                <w:top w:val="none" w:sz="0" w:space="0" w:color="auto"/>
                <w:left w:val="none" w:sz="0" w:space="0" w:color="auto"/>
                <w:bottom w:val="none" w:sz="0" w:space="0" w:color="auto"/>
                <w:right w:val="none" w:sz="0" w:space="0" w:color="auto"/>
              </w:divBdr>
            </w:div>
            <w:div w:id="875508923">
              <w:marLeft w:val="0"/>
              <w:marRight w:val="0"/>
              <w:marTop w:val="0"/>
              <w:marBottom w:val="0"/>
              <w:divBdr>
                <w:top w:val="none" w:sz="0" w:space="0" w:color="auto"/>
                <w:left w:val="none" w:sz="0" w:space="0" w:color="auto"/>
                <w:bottom w:val="none" w:sz="0" w:space="0" w:color="auto"/>
                <w:right w:val="none" w:sz="0" w:space="0" w:color="auto"/>
              </w:divBdr>
            </w:div>
            <w:div w:id="109326876">
              <w:marLeft w:val="0"/>
              <w:marRight w:val="0"/>
              <w:marTop w:val="0"/>
              <w:marBottom w:val="0"/>
              <w:divBdr>
                <w:top w:val="none" w:sz="0" w:space="0" w:color="auto"/>
                <w:left w:val="none" w:sz="0" w:space="0" w:color="auto"/>
                <w:bottom w:val="none" w:sz="0" w:space="0" w:color="auto"/>
                <w:right w:val="none" w:sz="0" w:space="0" w:color="auto"/>
              </w:divBdr>
            </w:div>
            <w:div w:id="1941138719">
              <w:marLeft w:val="0"/>
              <w:marRight w:val="0"/>
              <w:marTop w:val="0"/>
              <w:marBottom w:val="0"/>
              <w:divBdr>
                <w:top w:val="none" w:sz="0" w:space="0" w:color="auto"/>
                <w:left w:val="none" w:sz="0" w:space="0" w:color="auto"/>
                <w:bottom w:val="none" w:sz="0" w:space="0" w:color="auto"/>
                <w:right w:val="none" w:sz="0" w:space="0" w:color="auto"/>
              </w:divBdr>
            </w:div>
            <w:div w:id="1539733609">
              <w:marLeft w:val="0"/>
              <w:marRight w:val="0"/>
              <w:marTop w:val="0"/>
              <w:marBottom w:val="0"/>
              <w:divBdr>
                <w:top w:val="none" w:sz="0" w:space="0" w:color="auto"/>
                <w:left w:val="none" w:sz="0" w:space="0" w:color="auto"/>
                <w:bottom w:val="none" w:sz="0" w:space="0" w:color="auto"/>
                <w:right w:val="none" w:sz="0" w:space="0" w:color="auto"/>
              </w:divBdr>
            </w:div>
            <w:div w:id="2146771596">
              <w:marLeft w:val="0"/>
              <w:marRight w:val="0"/>
              <w:marTop w:val="0"/>
              <w:marBottom w:val="0"/>
              <w:divBdr>
                <w:top w:val="none" w:sz="0" w:space="0" w:color="auto"/>
                <w:left w:val="none" w:sz="0" w:space="0" w:color="auto"/>
                <w:bottom w:val="none" w:sz="0" w:space="0" w:color="auto"/>
                <w:right w:val="none" w:sz="0" w:space="0" w:color="auto"/>
              </w:divBdr>
            </w:div>
            <w:div w:id="2003119091">
              <w:marLeft w:val="0"/>
              <w:marRight w:val="0"/>
              <w:marTop w:val="0"/>
              <w:marBottom w:val="0"/>
              <w:divBdr>
                <w:top w:val="none" w:sz="0" w:space="0" w:color="auto"/>
                <w:left w:val="none" w:sz="0" w:space="0" w:color="auto"/>
                <w:bottom w:val="none" w:sz="0" w:space="0" w:color="auto"/>
                <w:right w:val="none" w:sz="0" w:space="0" w:color="auto"/>
              </w:divBdr>
            </w:div>
            <w:div w:id="482046883">
              <w:marLeft w:val="0"/>
              <w:marRight w:val="0"/>
              <w:marTop w:val="0"/>
              <w:marBottom w:val="0"/>
              <w:divBdr>
                <w:top w:val="none" w:sz="0" w:space="0" w:color="auto"/>
                <w:left w:val="none" w:sz="0" w:space="0" w:color="auto"/>
                <w:bottom w:val="none" w:sz="0" w:space="0" w:color="auto"/>
                <w:right w:val="none" w:sz="0" w:space="0" w:color="auto"/>
              </w:divBdr>
            </w:div>
            <w:div w:id="1287849968">
              <w:marLeft w:val="0"/>
              <w:marRight w:val="0"/>
              <w:marTop w:val="0"/>
              <w:marBottom w:val="0"/>
              <w:divBdr>
                <w:top w:val="none" w:sz="0" w:space="0" w:color="auto"/>
                <w:left w:val="none" w:sz="0" w:space="0" w:color="auto"/>
                <w:bottom w:val="none" w:sz="0" w:space="0" w:color="auto"/>
                <w:right w:val="none" w:sz="0" w:space="0" w:color="auto"/>
              </w:divBdr>
            </w:div>
            <w:div w:id="261643992">
              <w:marLeft w:val="0"/>
              <w:marRight w:val="0"/>
              <w:marTop w:val="0"/>
              <w:marBottom w:val="0"/>
              <w:divBdr>
                <w:top w:val="none" w:sz="0" w:space="0" w:color="auto"/>
                <w:left w:val="none" w:sz="0" w:space="0" w:color="auto"/>
                <w:bottom w:val="none" w:sz="0" w:space="0" w:color="auto"/>
                <w:right w:val="none" w:sz="0" w:space="0" w:color="auto"/>
              </w:divBdr>
            </w:div>
            <w:div w:id="502277524">
              <w:marLeft w:val="0"/>
              <w:marRight w:val="0"/>
              <w:marTop w:val="0"/>
              <w:marBottom w:val="0"/>
              <w:divBdr>
                <w:top w:val="none" w:sz="0" w:space="0" w:color="auto"/>
                <w:left w:val="none" w:sz="0" w:space="0" w:color="auto"/>
                <w:bottom w:val="none" w:sz="0" w:space="0" w:color="auto"/>
                <w:right w:val="none" w:sz="0" w:space="0" w:color="auto"/>
              </w:divBdr>
            </w:div>
            <w:div w:id="841745226">
              <w:marLeft w:val="0"/>
              <w:marRight w:val="0"/>
              <w:marTop w:val="0"/>
              <w:marBottom w:val="0"/>
              <w:divBdr>
                <w:top w:val="none" w:sz="0" w:space="0" w:color="auto"/>
                <w:left w:val="none" w:sz="0" w:space="0" w:color="auto"/>
                <w:bottom w:val="none" w:sz="0" w:space="0" w:color="auto"/>
                <w:right w:val="none" w:sz="0" w:space="0" w:color="auto"/>
              </w:divBdr>
            </w:div>
            <w:div w:id="605581796">
              <w:marLeft w:val="0"/>
              <w:marRight w:val="0"/>
              <w:marTop w:val="0"/>
              <w:marBottom w:val="0"/>
              <w:divBdr>
                <w:top w:val="none" w:sz="0" w:space="0" w:color="auto"/>
                <w:left w:val="none" w:sz="0" w:space="0" w:color="auto"/>
                <w:bottom w:val="none" w:sz="0" w:space="0" w:color="auto"/>
                <w:right w:val="none" w:sz="0" w:space="0" w:color="auto"/>
              </w:divBdr>
            </w:div>
            <w:div w:id="1843856631">
              <w:marLeft w:val="0"/>
              <w:marRight w:val="0"/>
              <w:marTop w:val="0"/>
              <w:marBottom w:val="0"/>
              <w:divBdr>
                <w:top w:val="none" w:sz="0" w:space="0" w:color="auto"/>
                <w:left w:val="none" w:sz="0" w:space="0" w:color="auto"/>
                <w:bottom w:val="none" w:sz="0" w:space="0" w:color="auto"/>
                <w:right w:val="none" w:sz="0" w:space="0" w:color="auto"/>
              </w:divBdr>
            </w:div>
            <w:div w:id="2065567318">
              <w:marLeft w:val="0"/>
              <w:marRight w:val="0"/>
              <w:marTop w:val="0"/>
              <w:marBottom w:val="0"/>
              <w:divBdr>
                <w:top w:val="none" w:sz="0" w:space="0" w:color="auto"/>
                <w:left w:val="none" w:sz="0" w:space="0" w:color="auto"/>
                <w:bottom w:val="none" w:sz="0" w:space="0" w:color="auto"/>
                <w:right w:val="none" w:sz="0" w:space="0" w:color="auto"/>
              </w:divBdr>
            </w:div>
            <w:div w:id="385956258">
              <w:marLeft w:val="0"/>
              <w:marRight w:val="0"/>
              <w:marTop w:val="0"/>
              <w:marBottom w:val="0"/>
              <w:divBdr>
                <w:top w:val="none" w:sz="0" w:space="0" w:color="auto"/>
                <w:left w:val="none" w:sz="0" w:space="0" w:color="auto"/>
                <w:bottom w:val="none" w:sz="0" w:space="0" w:color="auto"/>
                <w:right w:val="none" w:sz="0" w:space="0" w:color="auto"/>
              </w:divBdr>
            </w:div>
            <w:div w:id="35129789">
              <w:marLeft w:val="0"/>
              <w:marRight w:val="0"/>
              <w:marTop w:val="0"/>
              <w:marBottom w:val="0"/>
              <w:divBdr>
                <w:top w:val="none" w:sz="0" w:space="0" w:color="auto"/>
                <w:left w:val="none" w:sz="0" w:space="0" w:color="auto"/>
                <w:bottom w:val="none" w:sz="0" w:space="0" w:color="auto"/>
                <w:right w:val="none" w:sz="0" w:space="0" w:color="auto"/>
              </w:divBdr>
            </w:div>
            <w:div w:id="517160117">
              <w:marLeft w:val="0"/>
              <w:marRight w:val="0"/>
              <w:marTop w:val="0"/>
              <w:marBottom w:val="0"/>
              <w:divBdr>
                <w:top w:val="none" w:sz="0" w:space="0" w:color="auto"/>
                <w:left w:val="none" w:sz="0" w:space="0" w:color="auto"/>
                <w:bottom w:val="none" w:sz="0" w:space="0" w:color="auto"/>
                <w:right w:val="none" w:sz="0" w:space="0" w:color="auto"/>
              </w:divBdr>
            </w:div>
            <w:div w:id="75519042">
              <w:marLeft w:val="0"/>
              <w:marRight w:val="0"/>
              <w:marTop w:val="0"/>
              <w:marBottom w:val="0"/>
              <w:divBdr>
                <w:top w:val="none" w:sz="0" w:space="0" w:color="auto"/>
                <w:left w:val="none" w:sz="0" w:space="0" w:color="auto"/>
                <w:bottom w:val="none" w:sz="0" w:space="0" w:color="auto"/>
                <w:right w:val="none" w:sz="0" w:space="0" w:color="auto"/>
              </w:divBdr>
            </w:div>
            <w:div w:id="205987610">
              <w:marLeft w:val="0"/>
              <w:marRight w:val="0"/>
              <w:marTop w:val="0"/>
              <w:marBottom w:val="0"/>
              <w:divBdr>
                <w:top w:val="none" w:sz="0" w:space="0" w:color="auto"/>
                <w:left w:val="none" w:sz="0" w:space="0" w:color="auto"/>
                <w:bottom w:val="none" w:sz="0" w:space="0" w:color="auto"/>
                <w:right w:val="none" w:sz="0" w:space="0" w:color="auto"/>
              </w:divBdr>
            </w:div>
            <w:div w:id="819885495">
              <w:marLeft w:val="0"/>
              <w:marRight w:val="0"/>
              <w:marTop w:val="0"/>
              <w:marBottom w:val="0"/>
              <w:divBdr>
                <w:top w:val="none" w:sz="0" w:space="0" w:color="auto"/>
                <w:left w:val="none" w:sz="0" w:space="0" w:color="auto"/>
                <w:bottom w:val="none" w:sz="0" w:space="0" w:color="auto"/>
                <w:right w:val="none" w:sz="0" w:space="0" w:color="auto"/>
              </w:divBdr>
            </w:div>
            <w:div w:id="255212237">
              <w:marLeft w:val="0"/>
              <w:marRight w:val="0"/>
              <w:marTop w:val="0"/>
              <w:marBottom w:val="0"/>
              <w:divBdr>
                <w:top w:val="none" w:sz="0" w:space="0" w:color="auto"/>
                <w:left w:val="none" w:sz="0" w:space="0" w:color="auto"/>
                <w:bottom w:val="none" w:sz="0" w:space="0" w:color="auto"/>
                <w:right w:val="none" w:sz="0" w:space="0" w:color="auto"/>
              </w:divBdr>
            </w:div>
            <w:div w:id="1677729995">
              <w:marLeft w:val="0"/>
              <w:marRight w:val="0"/>
              <w:marTop w:val="0"/>
              <w:marBottom w:val="0"/>
              <w:divBdr>
                <w:top w:val="none" w:sz="0" w:space="0" w:color="auto"/>
                <w:left w:val="none" w:sz="0" w:space="0" w:color="auto"/>
                <w:bottom w:val="none" w:sz="0" w:space="0" w:color="auto"/>
                <w:right w:val="none" w:sz="0" w:space="0" w:color="auto"/>
              </w:divBdr>
            </w:div>
            <w:div w:id="257105562">
              <w:marLeft w:val="0"/>
              <w:marRight w:val="0"/>
              <w:marTop w:val="0"/>
              <w:marBottom w:val="0"/>
              <w:divBdr>
                <w:top w:val="none" w:sz="0" w:space="0" w:color="auto"/>
                <w:left w:val="none" w:sz="0" w:space="0" w:color="auto"/>
                <w:bottom w:val="none" w:sz="0" w:space="0" w:color="auto"/>
                <w:right w:val="none" w:sz="0" w:space="0" w:color="auto"/>
              </w:divBdr>
            </w:div>
            <w:div w:id="2040274525">
              <w:marLeft w:val="0"/>
              <w:marRight w:val="0"/>
              <w:marTop w:val="0"/>
              <w:marBottom w:val="0"/>
              <w:divBdr>
                <w:top w:val="none" w:sz="0" w:space="0" w:color="auto"/>
                <w:left w:val="none" w:sz="0" w:space="0" w:color="auto"/>
                <w:bottom w:val="none" w:sz="0" w:space="0" w:color="auto"/>
                <w:right w:val="none" w:sz="0" w:space="0" w:color="auto"/>
              </w:divBdr>
            </w:div>
            <w:div w:id="1820658066">
              <w:marLeft w:val="0"/>
              <w:marRight w:val="0"/>
              <w:marTop w:val="0"/>
              <w:marBottom w:val="0"/>
              <w:divBdr>
                <w:top w:val="none" w:sz="0" w:space="0" w:color="auto"/>
                <w:left w:val="none" w:sz="0" w:space="0" w:color="auto"/>
                <w:bottom w:val="none" w:sz="0" w:space="0" w:color="auto"/>
                <w:right w:val="none" w:sz="0" w:space="0" w:color="auto"/>
              </w:divBdr>
            </w:div>
            <w:div w:id="943459827">
              <w:marLeft w:val="0"/>
              <w:marRight w:val="0"/>
              <w:marTop w:val="0"/>
              <w:marBottom w:val="0"/>
              <w:divBdr>
                <w:top w:val="none" w:sz="0" w:space="0" w:color="auto"/>
                <w:left w:val="none" w:sz="0" w:space="0" w:color="auto"/>
                <w:bottom w:val="none" w:sz="0" w:space="0" w:color="auto"/>
                <w:right w:val="none" w:sz="0" w:space="0" w:color="auto"/>
              </w:divBdr>
            </w:div>
            <w:div w:id="810751530">
              <w:marLeft w:val="0"/>
              <w:marRight w:val="0"/>
              <w:marTop w:val="0"/>
              <w:marBottom w:val="0"/>
              <w:divBdr>
                <w:top w:val="none" w:sz="0" w:space="0" w:color="auto"/>
                <w:left w:val="none" w:sz="0" w:space="0" w:color="auto"/>
                <w:bottom w:val="none" w:sz="0" w:space="0" w:color="auto"/>
                <w:right w:val="none" w:sz="0" w:space="0" w:color="auto"/>
              </w:divBdr>
            </w:div>
            <w:div w:id="1260137212">
              <w:marLeft w:val="0"/>
              <w:marRight w:val="0"/>
              <w:marTop w:val="0"/>
              <w:marBottom w:val="0"/>
              <w:divBdr>
                <w:top w:val="none" w:sz="0" w:space="0" w:color="auto"/>
                <w:left w:val="none" w:sz="0" w:space="0" w:color="auto"/>
                <w:bottom w:val="none" w:sz="0" w:space="0" w:color="auto"/>
                <w:right w:val="none" w:sz="0" w:space="0" w:color="auto"/>
              </w:divBdr>
            </w:div>
            <w:div w:id="305357664">
              <w:marLeft w:val="0"/>
              <w:marRight w:val="0"/>
              <w:marTop w:val="0"/>
              <w:marBottom w:val="0"/>
              <w:divBdr>
                <w:top w:val="none" w:sz="0" w:space="0" w:color="auto"/>
                <w:left w:val="none" w:sz="0" w:space="0" w:color="auto"/>
                <w:bottom w:val="none" w:sz="0" w:space="0" w:color="auto"/>
                <w:right w:val="none" w:sz="0" w:space="0" w:color="auto"/>
              </w:divBdr>
            </w:div>
            <w:div w:id="2103867542">
              <w:marLeft w:val="0"/>
              <w:marRight w:val="0"/>
              <w:marTop w:val="0"/>
              <w:marBottom w:val="0"/>
              <w:divBdr>
                <w:top w:val="none" w:sz="0" w:space="0" w:color="auto"/>
                <w:left w:val="none" w:sz="0" w:space="0" w:color="auto"/>
                <w:bottom w:val="none" w:sz="0" w:space="0" w:color="auto"/>
                <w:right w:val="none" w:sz="0" w:space="0" w:color="auto"/>
              </w:divBdr>
            </w:div>
            <w:div w:id="1068305465">
              <w:marLeft w:val="0"/>
              <w:marRight w:val="0"/>
              <w:marTop w:val="0"/>
              <w:marBottom w:val="0"/>
              <w:divBdr>
                <w:top w:val="none" w:sz="0" w:space="0" w:color="auto"/>
                <w:left w:val="none" w:sz="0" w:space="0" w:color="auto"/>
                <w:bottom w:val="none" w:sz="0" w:space="0" w:color="auto"/>
                <w:right w:val="none" w:sz="0" w:space="0" w:color="auto"/>
              </w:divBdr>
            </w:div>
            <w:div w:id="57558000">
              <w:marLeft w:val="0"/>
              <w:marRight w:val="0"/>
              <w:marTop w:val="0"/>
              <w:marBottom w:val="0"/>
              <w:divBdr>
                <w:top w:val="none" w:sz="0" w:space="0" w:color="auto"/>
                <w:left w:val="none" w:sz="0" w:space="0" w:color="auto"/>
                <w:bottom w:val="none" w:sz="0" w:space="0" w:color="auto"/>
                <w:right w:val="none" w:sz="0" w:space="0" w:color="auto"/>
              </w:divBdr>
            </w:div>
            <w:div w:id="1781879715">
              <w:marLeft w:val="0"/>
              <w:marRight w:val="0"/>
              <w:marTop w:val="0"/>
              <w:marBottom w:val="0"/>
              <w:divBdr>
                <w:top w:val="none" w:sz="0" w:space="0" w:color="auto"/>
                <w:left w:val="none" w:sz="0" w:space="0" w:color="auto"/>
                <w:bottom w:val="none" w:sz="0" w:space="0" w:color="auto"/>
                <w:right w:val="none" w:sz="0" w:space="0" w:color="auto"/>
              </w:divBdr>
            </w:div>
            <w:div w:id="999969390">
              <w:marLeft w:val="0"/>
              <w:marRight w:val="0"/>
              <w:marTop w:val="0"/>
              <w:marBottom w:val="0"/>
              <w:divBdr>
                <w:top w:val="none" w:sz="0" w:space="0" w:color="auto"/>
                <w:left w:val="none" w:sz="0" w:space="0" w:color="auto"/>
                <w:bottom w:val="none" w:sz="0" w:space="0" w:color="auto"/>
                <w:right w:val="none" w:sz="0" w:space="0" w:color="auto"/>
              </w:divBdr>
            </w:div>
            <w:div w:id="1747024815">
              <w:marLeft w:val="0"/>
              <w:marRight w:val="0"/>
              <w:marTop w:val="0"/>
              <w:marBottom w:val="0"/>
              <w:divBdr>
                <w:top w:val="none" w:sz="0" w:space="0" w:color="auto"/>
                <w:left w:val="none" w:sz="0" w:space="0" w:color="auto"/>
                <w:bottom w:val="none" w:sz="0" w:space="0" w:color="auto"/>
                <w:right w:val="none" w:sz="0" w:space="0" w:color="auto"/>
              </w:divBdr>
            </w:div>
            <w:div w:id="373390627">
              <w:marLeft w:val="0"/>
              <w:marRight w:val="0"/>
              <w:marTop w:val="0"/>
              <w:marBottom w:val="0"/>
              <w:divBdr>
                <w:top w:val="none" w:sz="0" w:space="0" w:color="auto"/>
                <w:left w:val="none" w:sz="0" w:space="0" w:color="auto"/>
                <w:bottom w:val="none" w:sz="0" w:space="0" w:color="auto"/>
                <w:right w:val="none" w:sz="0" w:space="0" w:color="auto"/>
              </w:divBdr>
            </w:div>
            <w:div w:id="1593659879">
              <w:marLeft w:val="0"/>
              <w:marRight w:val="0"/>
              <w:marTop w:val="0"/>
              <w:marBottom w:val="0"/>
              <w:divBdr>
                <w:top w:val="none" w:sz="0" w:space="0" w:color="auto"/>
                <w:left w:val="none" w:sz="0" w:space="0" w:color="auto"/>
                <w:bottom w:val="none" w:sz="0" w:space="0" w:color="auto"/>
                <w:right w:val="none" w:sz="0" w:space="0" w:color="auto"/>
              </w:divBdr>
            </w:div>
            <w:div w:id="746607567">
              <w:marLeft w:val="0"/>
              <w:marRight w:val="0"/>
              <w:marTop w:val="0"/>
              <w:marBottom w:val="0"/>
              <w:divBdr>
                <w:top w:val="none" w:sz="0" w:space="0" w:color="auto"/>
                <w:left w:val="none" w:sz="0" w:space="0" w:color="auto"/>
                <w:bottom w:val="none" w:sz="0" w:space="0" w:color="auto"/>
                <w:right w:val="none" w:sz="0" w:space="0" w:color="auto"/>
              </w:divBdr>
            </w:div>
            <w:div w:id="1344749517">
              <w:marLeft w:val="0"/>
              <w:marRight w:val="0"/>
              <w:marTop w:val="0"/>
              <w:marBottom w:val="0"/>
              <w:divBdr>
                <w:top w:val="none" w:sz="0" w:space="0" w:color="auto"/>
                <w:left w:val="none" w:sz="0" w:space="0" w:color="auto"/>
                <w:bottom w:val="none" w:sz="0" w:space="0" w:color="auto"/>
                <w:right w:val="none" w:sz="0" w:space="0" w:color="auto"/>
              </w:divBdr>
            </w:div>
            <w:div w:id="1055618586">
              <w:marLeft w:val="0"/>
              <w:marRight w:val="0"/>
              <w:marTop w:val="0"/>
              <w:marBottom w:val="0"/>
              <w:divBdr>
                <w:top w:val="none" w:sz="0" w:space="0" w:color="auto"/>
                <w:left w:val="none" w:sz="0" w:space="0" w:color="auto"/>
                <w:bottom w:val="none" w:sz="0" w:space="0" w:color="auto"/>
                <w:right w:val="none" w:sz="0" w:space="0" w:color="auto"/>
              </w:divBdr>
            </w:div>
            <w:div w:id="2060661028">
              <w:marLeft w:val="0"/>
              <w:marRight w:val="0"/>
              <w:marTop w:val="0"/>
              <w:marBottom w:val="0"/>
              <w:divBdr>
                <w:top w:val="none" w:sz="0" w:space="0" w:color="auto"/>
                <w:left w:val="none" w:sz="0" w:space="0" w:color="auto"/>
                <w:bottom w:val="none" w:sz="0" w:space="0" w:color="auto"/>
                <w:right w:val="none" w:sz="0" w:space="0" w:color="auto"/>
              </w:divBdr>
            </w:div>
            <w:div w:id="898519807">
              <w:marLeft w:val="0"/>
              <w:marRight w:val="0"/>
              <w:marTop w:val="0"/>
              <w:marBottom w:val="0"/>
              <w:divBdr>
                <w:top w:val="none" w:sz="0" w:space="0" w:color="auto"/>
                <w:left w:val="none" w:sz="0" w:space="0" w:color="auto"/>
                <w:bottom w:val="none" w:sz="0" w:space="0" w:color="auto"/>
                <w:right w:val="none" w:sz="0" w:space="0" w:color="auto"/>
              </w:divBdr>
            </w:div>
            <w:div w:id="376897966">
              <w:marLeft w:val="0"/>
              <w:marRight w:val="0"/>
              <w:marTop w:val="0"/>
              <w:marBottom w:val="0"/>
              <w:divBdr>
                <w:top w:val="none" w:sz="0" w:space="0" w:color="auto"/>
                <w:left w:val="none" w:sz="0" w:space="0" w:color="auto"/>
                <w:bottom w:val="none" w:sz="0" w:space="0" w:color="auto"/>
                <w:right w:val="none" w:sz="0" w:space="0" w:color="auto"/>
              </w:divBdr>
            </w:div>
            <w:div w:id="1786728970">
              <w:marLeft w:val="0"/>
              <w:marRight w:val="0"/>
              <w:marTop w:val="0"/>
              <w:marBottom w:val="0"/>
              <w:divBdr>
                <w:top w:val="none" w:sz="0" w:space="0" w:color="auto"/>
                <w:left w:val="none" w:sz="0" w:space="0" w:color="auto"/>
                <w:bottom w:val="none" w:sz="0" w:space="0" w:color="auto"/>
                <w:right w:val="none" w:sz="0" w:space="0" w:color="auto"/>
              </w:divBdr>
            </w:div>
            <w:div w:id="1524172616">
              <w:marLeft w:val="0"/>
              <w:marRight w:val="0"/>
              <w:marTop w:val="0"/>
              <w:marBottom w:val="0"/>
              <w:divBdr>
                <w:top w:val="none" w:sz="0" w:space="0" w:color="auto"/>
                <w:left w:val="none" w:sz="0" w:space="0" w:color="auto"/>
                <w:bottom w:val="none" w:sz="0" w:space="0" w:color="auto"/>
                <w:right w:val="none" w:sz="0" w:space="0" w:color="auto"/>
              </w:divBdr>
            </w:div>
            <w:div w:id="1330132102">
              <w:marLeft w:val="0"/>
              <w:marRight w:val="0"/>
              <w:marTop w:val="0"/>
              <w:marBottom w:val="0"/>
              <w:divBdr>
                <w:top w:val="none" w:sz="0" w:space="0" w:color="auto"/>
                <w:left w:val="none" w:sz="0" w:space="0" w:color="auto"/>
                <w:bottom w:val="none" w:sz="0" w:space="0" w:color="auto"/>
                <w:right w:val="none" w:sz="0" w:space="0" w:color="auto"/>
              </w:divBdr>
            </w:div>
            <w:div w:id="574514375">
              <w:marLeft w:val="0"/>
              <w:marRight w:val="0"/>
              <w:marTop w:val="0"/>
              <w:marBottom w:val="0"/>
              <w:divBdr>
                <w:top w:val="none" w:sz="0" w:space="0" w:color="auto"/>
                <w:left w:val="none" w:sz="0" w:space="0" w:color="auto"/>
                <w:bottom w:val="none" w:sz="0" w:space="0" w:color="auto"/>
                <w:right w:val="none" w:sz="0" w:space="0" w:color="auto"/>
              </w:divBdr>
            </w:div>
            <w:div w:id="1251623811">
              <w:marLeft w:val="0"/>
              <w:marRight w:val="0"/>
              <w:marTop w:val="0"/>
              <w:marBottom w:val="0"/>
              <w:divBdr>
                <w:top w:val="none" w:sz="0" w:space="0" w:color="auto"/>
                <w:left w:val="none" w:sz="0" w:space="0" w:color="auto"/>
                <w:bottom w:val="none" w:sz="0" w:space="0" w:color="auto"/>
                <w:right w:val="none" w:sz="0" w:space="0" w:color="auto"/>
              </w:divBdr>
            </w:div>
            <w:div w:id="236982624">
              <w:marLeft w:val="0"/>
              <w:marRight w:val="0"/>
              <w:marTop w:val="0"/>
              <w:marBottom w:val="0"/>
              <w:divBdr>
                <w:top w:val="none" w:sz="0" w:space="0" w:color="auto"/>
                <w:left w:val="none" w:sz="0" w:space="0" w:color="auto"/>
                <w:bottom w:val="none" w:sz="0" w:space="0" w:color="auto"/>
                <w:right w:val="none" w:sz="0" w:space="0" w:color="auto"/>
              </w:divBdr>
            </w:div>
            <w:div w:id="502597391">
              <w:marLeft w:val="0"/>
              <w:marRight w:val="0"/>
              <w:marTop w:val="0"/>
              <w:marBottom w:val="0"/>
              <w:divBdr>
                <w:top w:val="none" w:sz="0" w:space="0" w:color="auto"/>
                <w:left w:val="none" w:sz="0" w:space="0" w:color="auto"/>
                <w:bottom w:val="none" w:sz="0" w:space="0" w:color="auto"/>
                <w:right w:val="none" w:sz="0" w:space="0" w:color="auto"/>
              </w:divBdr>
            </w:div>
            <w:div w:id="1421365206">
              <w:marLeft w:val="0"/>
              <w:marRight w:val="0"/>
              <w:marTop w:val="0"/>
              <w:marBottom w:val="0"/>
              <w:divBdr>
                <w:top w:val="none" w:sz="0" w:space="0" w:color="auto"/>
                <w:left w:val="none" w:sz="0" w:space="0" w:color="auto"/>
                <w:bottom w:val="none" w:sz="0" w:space="0" w:color="auto"/>
                <w:right w:val="none" w:sz="0" w:space="0" w:color="auto"/>
              </w:divBdr>
            </w:div>
            <w:div w:id="1939559589">
              <w:marLeft w:val="0"/>
              <w:marRight w:val="0"/>
              <w:marTop w:val="0"/>
              <w:marBottom w:val="0"/>
              <w:divBdr>
                <w:top w:val="none" w:sz="0" w:space="0" w:color="auto"/>
                <w:left w:val="none" w:sz="0" w:space="0" w:color="auto"/>
                <w:bottom w:val="none" w:sz="0" w:space="0" w:color="auto"/>
                <w:right w:val="none" w:sz="0" w:space="0" w:color="auto"/>
              </w:divBdr>
            </w:div>
            <w:div w:id="1465539534">
              <w:marLeft w:val="0"/>
              <w:marRight w:val="0"/>
              <w:marTop w:val="0"/>
              <w:marBottom w:val="0"/>
              <w:divBdr>
                <w:top w:val="none" w:sz="0" w:space="0" w:color="auto"/>
                <w:left w:val="none" w:sz="0" w:space="0" w:color="auto"/>
                <w:bottom w:val="none" w:sz="0" w:space="0" w:color="auto"/>
                <w:right w:val="none" w:sz="0" w:space="0" w:color="auto"/>
              </w:divBdr>
            </w:div>
            <w:div w:id="428157435">
              <w:marLeft w:val="0"/>
              <w:marRight w:val="0"/>
              <w:marTop w:val="0"/>
              <w:marBottom w:val="0"/>
              <w:divBdr>
                <w:top w:val="none" w:sz="0" w:space="0" w:color="auto"/>
                <w:left w:val="none" w:sz="0" w:space="0" w:color="auto"/>
                <w:bottom w:val="none" w:sz="0" w:space="0" w:color="auto"/>
                <w:right w:val="none" w:sz="0" w:space="0" w:color="auto"/>
              </w:divBdr>
            </w:div>
            <w:div w:id="684984317">
              <w:marLeft w:val="0"/>
              <w:marRight w:val="0"/>
              <w:marTop w:val="0"/>
              <w:marBottom w:val="0"/>
              <w:divBdr>
                <w:top w:val="none" w:sz="0" w:space="0" w:color="auto"/>
                <w:left w:val="none" w:sz="0" w:space="0" w:color="auto"/>
                <w:bottom w:val="none" w:sz="0" w:space="0" w:color="auto"/>
                <w:right w:val="none" w:sz="0" w:space="0" w:color="auto"/>
              </w:divBdr>
            </w:div>
            <w:div w:id="57092576">
              <w:marLeft w:val="0"/>
              <w:marRight w:val="0"/>
              <w:marTop w:val="0"/>
              <w:marBottom w:val="0"/>
              <w:divBdr>
                <w:top w:val="none" w:sz="0" w:space="0" w:color="auto"/>
                <w:left w:val="none" w:sz="0" w:space="0" w:color="auto"/>
                <w:bottom w:val="none" w:sz="0" w:space="0" w:color="auto"/>
                <w:right w:val="none" w:sz="0" w:space="0" w:color="auto"/>
              </w:divBdr>
            </w:div>
            <w:div w:id="491600870">
              <w:marLeft w:val="0"/>
              <w:marRight w:val="0"/>
              <w:marTop w:val="0"/>
              <w:marBottom w:val="0"/>
              <w:divBdr>
                <w:top w:val="none" w:sz="0" w:space="0" w:color="auto"/>
                <w:left w:val="none" w:sz="0" w:space="0" w:color="auto"/>
                <w:bottom w:val="none" w:sz="0" w:space="0" w:color="auto"/>
                <w:right w:val="none" w:sz="0" w:space="0" w:color="auto"/>
              </w:divBdr>
            </w:div>
            <w:div w:id="1989555866">
              <w:marLeft w:val="0"/>
              <w:marRight w:val="0"/>
              <w:marTop w:val="0"/>
              <w:marBottom w:val="0"/>
              <w:divBdr>
                <w:top w:val="none" w:sz="0" w:space="0" w:color="auto"/>
                <w:left w:val="none" w:sz="0" w:space="0" w:color="auto"/>
                <w:bottom w:val="none" w:sz="0" w:space="0" w:color="auto"/>
                <w:right w:val="none" w:sz="0" w:space="0" w:color="auto"/>
              </w:divBdr>
            </w:div>
            <w:div w:id="1374502944">
              <w:marLeft w:val="0"/>
              <w:marRight w:val="0"/>
              <w:marTop w:val="0"/>
              <w:marBottom w:val="0"/>
              <w:divBdr>
                <w:top w:val="none" w:sz="0" w:space="0" w:color="auto"/>
                <w:left w:val="none" w:sz="0" w:space="0" w:color="auto"/>
                <w:bottom w:val="none" w:sz="0" w:space="0" w:color="auto"/>
                <w:right w:val="none" w:sz="0" w:space="0" w:color="auto"/>
              </w:divBdr>
            </w:div>
            <w:div w:id="692806827">
              <w:marLeft w:val="0"/>
              <w:marRight w:val="0"/>
              <w:marTop w:val="0"/>
              <w:marBottom w:val="0"/>
              <w:divBdr>
                <w:top w:val="none" w:sz="0" w:space="0" w:color="auto"/>
                <w:left w:val="none" w:sz="0" w:space="0" w:color="auto"/>
                <w:bottom w:val="none" w:sz="0" w:space="0" w:color="auto"/>
                <w:right w:val="none" w:sz="0" w:space="0" w:color="auto"/>
              </w:divBdr>
            </w:div>
            <w:div w:id="366949792">
              <w:marLeft w:val="0"/>
              <w:marRight w:val="0"/>
              <w:marTop w:val="0"/>
              <w:marBottom w:val="0"/>
              <w:divBdr>
                <w:top w:val="none" w:sz="0" w:space="0" w:color="auto"/>
                <w:left w:val="none" w:sz="0" w:space="0" w:color="auto"/>
                <w:bottom w:val="none" w:sz="0" w:space="0" w:color="auto"/>
                <w:right w:val="none" w:sz="0" w:space="0" w:color="auto"/>
              </w:divBdr>
            </w:div>
            <w:div w:id="1687519168">
              <w:marLeft w:val="0"/>
              <w:marRight w:val="0"/>
              <w:marTop w:val="0"/>
              <w:marBottom w:val="0"/>
              <w:divBdr>
                <w:top w:val="none" w:sz="0" w:space="0" w:color="auto"/>
                <w:left w:val="none" w:sz="0" w:space="0" w:color="auto"/>
                <w:bottom w:val="none" w:sz="0" w:space="0" w:color="auto"/>
                <w:right w:val="none" w:sz="0" w:space="0" w:color="auto"/>
              </w:divBdr>
            </w:div>
            <w:div w:id="492993552">
              <w:marLeft w:val="0"/>
              <w:marRight w:val="0"/>
              <w:marTop w:val="0"/>
              <w:marBottom w:val="0"/>
              <w:divBdr>
                <w:top w:val="none" w:sz="0" w:space="0" w:color="auto"/>
                <w:left w:val="none" w:sz="0" w:space="0" w:color="auto"/>
                <w:bottom w:val="none" w:sz="0" w:space="0" w:color="auto"/>
                <w:right w:val="none" w:sz="0" w:space="0" w:color="auto"/>
              </w:divBdr>
            </w:div>
            <w:div w:id="377819449">
              <w:marLeft w:val="0"/>
              <w:marRight w:val="0"/>
              <w:marTop w:val="0"/>
              <w:marBottom w:val="0"/>
              <w:divBdr>
                <w:top w:val="none" w:sz="0" w:space="0" w:color="auto"/>
                <w:left w:val="none" w:sz="0" w:space="0" w:color="auto"/>
                <w:bottom w:val="none" w:sz="0" w:space="0" w:color="auto"/>
                <w:right w:val="none" w:sz="0" w:space="0" w:color="auto"/>
              </w:divBdr>
            </w:div>
            <w:div w:id="1153326451">
              <w:marLeft w:val="0"/>
              <w:marRight w:val="0"/>
              <w:marTop w:val="0"/>
              <w:marBottom w:val="0"/>
              <w:divBdr>
                <w:top w:val="none" w:sz="0" w:space="0" w:color="auto"/>
                <w:left w:val="none" w:sz="0" w:space="0" w:color="auto"/>
                <w:bottom w:val="none" w:sz="0" w:space="0" w:color="auto"/>
                <w:right w:val="none" w:sz="0" w:space="0" w:color="auto"/>
              </w:divBdr>
            </w:div>
            <w:div w:id="628821111">
              <w:marLeft w:val="0"/>
              <w:marRight w:val="0"/>
              <w:marTop w:val="0"/>
              <w:marBottom w:val="0"/>
              <w:divBdr>
                <w:top w:val="none" w:sz="0" w:space="0" w:color="auto"/>
                <w:left w:val="none" w:sz="0" w:space="0" w:color="auto"/>
                <w:bottom w:val="none" w:sz="0" w:space="0" w:color="auto"/>
                <w:right w:val="none" w:sz="0" w:space="0" w:color="auto"/>
              </w:divBdr>
            </w:div>
            <w:div w:id="1070544956">
              <w:marLeft w:val="0"/>
              <w:marRight w:val="0"/>
              <w:marTop w:val="0"/>
              <w:marBottom w:val="0"/>
              <w:divBdr>
                <w:top w:val="none" w:sz="0" w:space="0" w:color="auto"/>
                <w:left w:val="none" w:sz="0" w:space="0" w:color="auto"/>
                <w:bottom w:val="none" w:sz="0" w:space="0" w:color="auto"/>
                <w:right w:val="none" w:sz="0" w:space="0" w:color="auto"/>
              </w:divBdr>
            </w:div>
            <w:div w:id="1543863436">
              <w:marLeft w:val="0"/>
              <w:marRight w:val="0"/>
              <w:marTop w:val="0"/>
              <w:marBottom w:val="0"/>
              <w:divBdr>
                <w:top w:val="none" w:sz="0" w:space="0" w:color="auto"/>
                <w:left w:val="none" w:sz="0" w:space="0" w:color="auto"/>
                <w:bottom w:val="none" w:sz="0" w:space="0" w:color="auto"/>
                <w:right w:val="none" w:sz="0" w:space="0" w:color="auto"/>
              </w:divBdr>
            </w:div>
            <w:div w:id="620263848">
              <w:marLeft w:val="0"/>
              <w:marRight w:val="0"/>
              <w:marTop w:val="0"/>
              <w:marBottom w:val="0"/>
              <w:divBdr>
                <w:top w:val="none" w:sz="0" w:space="0" w:color="auto"/>
                <w:left w:val="none" w:sz="0" w:space="0" w:color="auto"/>
                <w:bottom w:val="none" w:sz="0" w:space="0" w:color="auto"/>
                <w:right w:val="none" w:sz="0" w:space="0" w:color="auto"/>
              </w:divBdr>
            </w:div>
            <w:div w:id="1231577088">
              <w:marLeft w:val="0"/>
              <w:marRight w:val="0"/>
              <w:marTop w:val="0"/>
              <w:marBottom w:val="0"/>
              <w:divBdr>
                <w:top w:val="none" w:sz="0" w:space="0" w:color="auto"/>
                <w:left w:val="none" w:sz="0" w:space="0" w:color="auto"/>
                <w:bottom w:val="none" w:sz="0" w:space="0" w:color="auto"/>
                <w:right w:val="none" w:sz="0" w:space="0" w:color="auto"/>
              </w:divBdr>
            </w:div>
            <w:div w:id="126751064">
              <w:marLeft w:val="0"/>
              <w:marRight w:val="0"/>
              <w:marTop w:val="0"/>
              <w:marBottom w:val="0"/>
              <w:divBdr>
                <w:top w:val="none" w:sz="0" w:space="0" w:color="auto"/>
                <w:left w:val="none" w:sz="0" w:space="0" w:color="auto"/>
                <w:bottom w:val="none" w:sz="0" w:space="0" w:color="auto"/>
                <w:right w:val="none" w:sz="0" w:space="0" w:color="auto"/>
              </w:divBdr>
            </w:div>
            <w:div w:id="1833567573">
              <w:marLeft w:val="0"/>
              <w:marRight w:val="0"/>
              <w:marTop w:val="0"/>
              <w:marBottom w:val="0"/>
              <w:divBdr>
                <w:top w:val="none" w:sz="0" w:space="0" w:color="auto"/>
                <w:left w:val="none" w:sz="0" w:space="0" w:color="auto"/>
                <w:bottom w:val="none" w:sz="0" w:space="0" w:color="auto"/>
                <w:right w:val="none" w:sz="0" w:space="0" w:color="auto"/>
              </w:divBdr>
            </w:div>
            <w:div w:id="474033427">
              <w:marLeft w:val="0"/>
              <w:marRight w:val="0"/>
              <w:marTop w:val="0"/>
              <w:marBottom w:val="0"/>
              <w:divBdr>
                <w:top w:val="none" w:sz="0" w:space="0" w:color="auto"/>
                <w:left w:val="none" w:sz="0" w:space="0" w:color="auto"/>
                <w:bottom w:val="none" w:sz="0" w:space="0" w:color="auto"/>
                <w:right w:val="none" w:sz="0" w:space="0" w:color="auto"/>
              </w:divBdr>
            </w:div>
            <w:div w:id="1065496523">
              <w:marLeft w:val="0"/>
              <w:marRight w:val="0"/>
              <w:marTop w:val="0"/>
              <w:marBottom w:val="0"/>
              <w:divBdr>
                <w:top w:val="none" w:sz="0" w:space="0" w:color="auto"/>
                <w:left w:val="none" w:sz="0" w:space="0" w:color="auto"/>
                <w:bottom w:val="none" w:sz="0" w:space="0" w:color="auto"/>
                <w:right w:val="none" w:sz="0" w:space="0" w:color="auto"/>
              </w:divBdr>
            </w:div>
            <w:div w:id="295139062">
              <w:marLeft w:val="0"/>
              <w:marRight w:val="0"/>
              <w:marTop w:val="0"/>
              <w:marBottom w:val="0"/>
              <w:divBdr>
                <w:top w:val="none" w:sz="0" w:space="0" w:color="auto"/>
                <w:left w:val="none" w:sz="0" w:space="0" w:color="auto"/>
                <w:bottom w:val="none" w:sz="0" w:space="0" w:color="auto"/>
                <w:right w:val="none" w:sz="0" w:space="0" w:color="auto"/>
              </w:divBdr>
            </w:div>
            <w:div w:id="1962491588">
              <w:marLeft w:val="0"/>
              <w:marRight w:val="0"/>
              <w:marTop w:val="0"/>
              <w:marBottom w:val="0"/>
              <w:divBdr>
                <w:top w:val="none" w:sz="0" w:space="0" w:color="auto"/>
                <w:left w:val="none" w:sz="0" w:space="0" w:color="auto"/>
                <w:bottom w:val="none" w:sz="0" w:space="0" w:color="auto"/>
                <w:right w:val="none" w:sz="0" w:space="0" w:color="auto"/>
              </w:divBdr>
            </w:div>
            <w:div w:id="5327052">
              <w:marLeft w:val="0"/>
              <w:marRight w:val="0"/>
              <w:marTop w:val="0"/>
              <w:marBottom w:val="0"/>
              <w:divBdr>
                <w:top w:val="none" w:sz="0" w:space="0" w:color="auto"/>
                <w:left w:val="none" w:sz="0" w:space="0" w:color="auto"/>
                <w:bottom w:val="none" w:sz="0" w:space="0" w:color="auto"/>
                <w:right w:val="none" w:sz="0" w:space="0" w:color="auto"/>
              </w:divBdr>
            </w:div>
            <w:div w:id="1288850788">
              <w:marLeft w:val="0"/>
              <w:marRight w:val="0"/>
              <w:marTop w:val="0"/>
              <w:marBottom w:val="0"/>
              <w:divBdr>
                <w:top w:val="none" w:sz="0" w:space="0" w:color="auto"/>
                <w:left w:val="none" w:sz="0" w:space="0" w:color="auto"/>
                <w:bottom w:val="none" w:sz="0" w:space="0" w:color="auto"/>
                <w:right w:val="none" w:sz="0" w:space="0" w:color="auto"/>
              </w:divBdr>
            </w:div>
            <w:div w:id="478809226">
              <w:marLeft w:val="0"/>
              <w:marRight w:val="0"/>
              <w:marTop w:val="0"/>
              <w:marBottom w:val="0"/>
              <w:divBdr>
                <w:top w:val="none" w:sz="0" w:space="0" w:color="auto"/>
                <w:left w:val="none" w:sz="0" w:space="0" w:color="auto"/>
                <w:bottom w:val="none" w:sz="0" w:space="0" w:color="auto"/>
                <w:right w:val="none" w:sz="0" w:space="0" w:color="auto"/>
              </w:divBdr>
            </w:div>
            <w:div w:id="166095457">
              <w:marLeft w:val="0"/>
              <w:marRight w:val="0"/>
              <w:marTop w:val="0"/>
              <w:marBottom w:val="0"/>
              <w:divBdr>
                <w:top w:val="none" w:sz="0" w:space="0" w:color="auto"/>
                <w:left w:val="none" w:sz="0" w:space="0" w:color="auto"/>
                <w:bottom w:val="none" w:sz="0" w:space="0" w:color="auto"/>
                <w:right w:val="none" w:sz="0" w:space="0" w:color="auto"/>
              </w:divBdr>
            </w:div>
            <w:div w:id="864712411">
              <w:marLeft w:val="0"/>
              <w:marRight w:val="0"/>
              <w:marTop w:val="0"/>
              <w:marBottom w:val="0"/>
              <w:divBdr>
                <w:top w:val="none" w:sz="0" w:space="0" w:color="auto"/>
                <w:left w:val="none" w:sz="0" w:space="0" w:color="auto"/>
                <w:bottom w:val="none" w:sz="0" w:space="0" w:color="auto"/>
                <w:right w:val="none" w:sz="0" w:space="0" w:color="auto"/>
              </w:divBdr>
            </w:div>
            <w:div w:id="1603608538">
              <w:marLeft w:val="0"/>
              <w:marRight w:val="0"/>
              <w:marTop w:val="0"/>
              <w:marBottom w:val="0"/>
              <w:divBdr>
                <w:top w:val="none" w:sz="0" w:space="0" w:color="auto"/>
                <w:left w:val="none" w:sz="0" w:space="0" w:color="auto"/>
                <w:bottom w:val="none" w:sz="0" w:space="0" w:color="auto"/>
                <w:right w:val="none" w:sz="0" w:space="0" w:color="auto"/>
              </w:divBdr>
            </w:div>
            <w:div w:id="2102752061">
              <w:marLeft w:val="0"/>
              <w:marRight w:val="0"/>
              <w:marTop w:val="0"/>
              <w:marBottom w:val="0"/>
              <w:divBdr>
                <w:top w:val="none" w:sz="0" w:space="0" w:color="auto"/>
                <w:left w:val="none" w:sz="0" w:space="0" w:color="auto"/>
                <w:bottom w:val="none" w:sz="0" w:space="0" w:color="auto"/>
                <w:right w:val="none" w:sz="0" w:space="0" w:color="auto"/>
              </w:divBdr>
            </w:div>
            <w:div w:id="593394113">
              <w:marLeft w:val="0"/>
              <w:marRight w:val="0"/>
              <w:marTop w:val="0"/>
              <w:marBottom w:val="0"/>
              <w:divBdr>
                <w:top w:val="none" w:sz="0" w:space="0" w:color="auto"/>
                <w:left w:val="none" w:sz="0" w:space="0" w:color="auto"/>
                <w:bottom w:val="none" w:sz="0" w:space="0" w:color="auto"/>
                <w:right w:val="none" w:sz="0" w:space="0" w:color="auto"/>
              </w:divBdr>
            </w:div>
            <w:div w:id="414596562">
              <w:marLeft w:val="0"/>
              <w:marRight w:val="0"/>
              <w:marTop w:val="0"/>
              <w:marBottom w:val="0"/>
              <w:divBdr>
                <w:top w:val="none" w:sz="0" w:space="0" w:color="auto"/>
                <w:left w:val="none" w:sz="0" w:space="0" w:color="auto"/>
                <w:bottom w:val="none" w:sz="0" w:space="0" w:color="auto"/>
                <w:right w:val="none" w:sz="0" w:space="0" w:color="auto"/>
              </w:divBdr>
            </w:div>
            <w:div w:id="1182861748">
              <w:marLeft w:val="0"/>
              <w:marRight w:val="0"/>
              <w:marTop w:val="0"/>
              <w:marBottom w:val="0"/>
              <w:divBdr>
                <w:top w:val="none" w:sz="0" w:space="0" w:color="auto"/>
                <w:left w:val="none" w:sz="0" w:space="0" w:color="auto"/>
                <w:bottom w:val="none" w:sz="0" w:space="0" w:color="auto"/>
                <w:right w:val="none" w:sz="0" w:space="0" w:color="auto"/>
              </w:divBdr>
            </w:div>
            <w:div w:id="1003706906">
              <w:marLeft w:val="0"/>
              <w:marRight w:val="0"/>
              <w:marTop w:val="0"/>
              <w:marBottom w:val="0"/>
              <w:divBdr>
                <w:top w:val="none" w:sz="0" w:space="0" w:color="auto"/>
                <w:left w:val="none" w:sz="0" w:space="0" w:color="auto"/>
                <w:bottom w:val="none" w:sz="0" w:space="0" w:color="auto"/>
                <w:right w:val="none" w:sz="0" w:space="0" w:color="auto"/>
              </w:divBdr>
            </w:div>
            <w:div w:id="1015689463">
              <w:marLeft w:val="0"/>
              <w:marRight w:val="0"/>
              <w:marTop w:val="0"/>
              <w:marBottom w:val="0"/>
              <w:divBdr>
                <w:top w:val="none" w:sz="0" w:space="0" w:color="auto"/>
                <w:left w:val="none" w:sz="0" w:space="0" w:color="auto"/>
                <w:bottom w:val="none" w:sz="0" w:space="0" w:color="auto"/>
                <w:right w:val="none" w:sz="0" w:space="0" w:color="auto"/>
              </w:divBdr>
            </w:div>
            <w:div w:id="218367734">
              <w:marLeft w:val="0"/>
              <w:marRight w:val="0"/>
              <w:marTop w:val="0"/>
              <w:marBottom w:val="0"/>
              <w:divBdr>
                <w:top w:val="none" w:sz="0" w:space="0" w:color="auto"/>
                <w:left w:val="none" w:sz="0" w:space="0" w:color="auto"/>
                <w:bottom w:val="none" w:sz="0" w:space="0" w:color="auto"/>
                <w:right w:val="none" w:sz="0" w:space="0" w:color="auto"/>
              </w:divBdr>
            </w:div>
            <w:div w:id="317920802">
              <w:marLeft w:val="0"/>
              <w:marRight w:val="0"/>
              <w:marTop w:val="0"/>
              <w:marBottom w:val="0"/>
              <w:divBdr>
                <w:top w:val="none" w:sz="0" w:space="0" w:color="auto"/>
                <w:left w:val="none" w:sz="0" w:space="0" w:color="auto"/>
                <w:bottom w:val="none" w:sz="0" w:space="0" w:color="auto"/>
                <w:right w:val="none" w:sz="0" w:space="0" w:color="auto"/>
              </w:divBdr>
            </w:div>
            <w:div w:id="373432208">
              <w:marLeft w:val="0"/>
              <w:marRight w:val="0"/>
              <w:marTop w:val="0"/>
              <w:marBottom w:val="0"/>
              <w:divBdr>
                <w:top w:val="none" w:sz="0" w:space="0" w:color="auto"/>
                <w:left w:val="none" w:sz="0" w:space="0" w:color="auto"/>
                <w:bottom w:val="none" w:sz="0" w:space="0" w:color="auto"/>
                <w:right w:val="none" w:sz="0" w:space="0" w:color="auto"/>
              </w:divBdr>
            </w:div>
            <w:div w:id="1516774078">
              <w:marLeft w:val="0"/>
              <w:marRight w:val="0"/>
              <w:marTop w:val="0"/>
              <w:marBottom w:val="0"/>
              <w:divBdr>
                <w:top w:val="none" w:sz="0" w:space="0" w:color="auto"/>
                <w:left w:val="none" w:sz="0" w:space="0" w:color="auto"/>
                <w:bottom w:val="none" w:sz="0" w:space="0" w:color="auto"/>
                <w:right w:val="none" w:sz="0" w:space="0" w:color="auto"/>
              </w:divBdr>
            </w:div>
            <w:div w:id="1455322296">
              <w:marLeft w:val="0"/>
              <w:marRight w:val="0"/>
              <w:marTop w:val="0"/>
              <w:marBottom w:val="0"/>
              <w:divBdr>
                <w:top w:val="none" w:sz="0" w:space="0" w:color="auto"/>
                <w:left w:val="none" w:sz="0" w:space="0" w:color="auto"/>
                <w:bottom w:val="none" w:sz="0" w:space="0" w:color="auto"/>
                <w:right w:val="none" w:sz="0" w:space="0" w:color="auto"/>
              </w:divBdr>
            </w:div>
            <w:div w:id="1566452205">
              <w:marLeft w:val="0"/>
              <w:marRight w:val="0"/>
              <w:marTop w:val="0"/>
              <w:marBottom w:val="0"/>
              <w:divBdr>
                <w:top w:val="none" w:sz="0" w:space="0" w:color="auto"/>
                <w:left w:val="none" w:sz="0" w:space="0" w:color="auto"/>
                <w:bottom w:val="none" w:sz="0" w:space="0" w:color="auto"/>
                <w:right w:val="none" w:sz="0" w:space="0" w:color="auto"/>
              </w:divBdr>
            </w:div>
            <w:div w:id="2115973969">
              <w:marLeft w:val="0"/>
              <w:marRight w:val="0"/>
              <w:marTop w:val="0"/>
              <w:marBottom w:val="0"/>
              <w:divBdr>
                <w:top w:val="none" w:sz="0" w:space="0" w:color="auto"/>
                <w:left w:val="none" w:sz="0" w:space="0" w:color="auto"/>
                <w:bottom w:val="none" w:sz="0" w:space="0" w:color="auto"/>
                <w:right w:val="none" w:sz="0" w:space="0" w:color="auto"/>
              </w:divBdr>
            </w:div>
            <w:div w:id="1116633964">
              <w:marLeft w:val="0"/>
              <w:marRight w:val="0"/>
              <w:marTop w:val="0"/>
              <w:marBottom w:val="0"/>
              <w:divBdr>
                <w:top w:val="none" w:sz="0" w:space="0" w:color="auto"/>
                <w:left w:val="none" w:sz="0" w:space="0" w:color="auto"/>
                <w:bottom w:val="none" w:sz="0" w:space="0" w:color="auto"/>
                <w:right w:val="none" w:sz="0" w:space="0" w:color="auto"/>
              </w:divBdr>
            </w:div>
            <w:div w:id="2049138871">
              <w:marLeft w:val="0"/>
              <w:marRight w:val="0"/>
              <w:marTop w:val="0"/>
              <w:marBottom w:val="0"/>
              <w:divBdr>
                <w:top w:val="none" w:sz="0" w:space="0" w:color="auto"/>
                <w:left w:val="none" w:sz="0" w:space="0" w:color="auto"/>
                <w:bottom w:val="none" w:sz="0" w:space="0" w:color="auto"/>
                <w:right w:val="none" w:sz="0" w:space="0" w:color="auto"/>
              </w:divBdr>
            </w:div>
            <w:div w:id="2035426431">
              <w:marLeft w:val="0"/>
              <w:marRight w:val="0"/>
              <w:marTop w:val="0"/>
              <w:marBottom w:val="0"/>
              <w:divBdr>
                <w:top w:val="none" w:sz="0" w:space="0" w:color="auto"/>
                <w:left w:val="none" w:sz="0" w:space="0" w:color="auto"/>
                <w:bottom w:val="none" w:sz="0" w:space="0" w:color="auto"/>
                <w:right w:val="none" w:sz="0" w:space="0" w:color="auto"/>
              </w:divBdr>
            </w:div>
            <w:div w:id="649990719">
              <w:marLeft w:val="0"/>
              <w:marRight w:val="0"/>
              <w:marTop w:val="0"/>
              <w:marBottom w:val="0"/>
              <w:divBdr>
                <w:top w:val="none" w:sz="0" w:space="0" w:color="auto"/>
                <w:left w:val="none" w:sz="0" w:space="0" w:color="auto"/>
                <w:bottom w:val="none" w:sz="0" w:space="0" w:color="auto"/>
                <w:right w:val="none" w:sz="0" w:space="0" w:color="auto"/>
              </w:divBdr>
            </w:div>
            <w:div w:id="294602667">
              <w:marLeft w:val="0"/>
              <w:marRight w:val="0"/>
              <w:marTop w:val="0"/>
              <w:marBottom w:val="0"/>
              <w:divBdr>
                <w:top w:val="none" w:sz="0" w:space="0" w:color="auto"/>
                <w:left w:val="none" w:sz="0" w:space="0" w:color="auto"/>
                <w:bottom w:val="none" w:sz="0" w:space="0" w:color="auto"/>
                <w:right w:val="none" w:sz="0" w:space="0" w:color="auto"/>
              </w:divBdr>
            </w:div>
            <w:div w:id="366565406">
              <w:marLeft w:val="0"/>
              <w:marRight w:val="0"/>
              <w:marTop w:val="0"/>
              <w:marBottom w:val="0"/>
              <w:divBdr>
                <w:top w:val="none" w:sz="0" w:space="0" w:color="auto"/>
                <w:left w:val="none" w:sz="0" w:space="0" w:color="auto"/>
                <w:bottom w:val="none" w:sz="0" w:space="0" w:color="auto"/>
                <w:right w:val="none" w:sz="0" w:space="0" w:color="auto"/>
              </w:divBdr>
            </w:div>
            <w:div w:id="718356040">
              <w:marLeft w:val="0"/>
              <w:marRight w:val="0"/>
              <w:marTop w:val="0"/>
              <w:marBottom w:val="0"/>
              <w:divBdr>
                <w:top w:val="none" w:sz="0" w:space="0" w:color="auto"/>
                <w:left w:val="none" w:sz="0" w:space="0" w:color="auto"/>
                <w:bottom w:val="none" w:sz="0" w:space="0" w:color="auto"/>
                <w:right w:val="none" w:sz="0" w:space="0" w:color="auto"/>
              </w:divBdr>
            </w:div>
            <w:div w:id="1469201010">
              <w:marLeft w:val="0"/>
              <w:marRight w:val="0"/>
              <w:marTop w:val="0"/>
              <w:marBottom w:val="0"/>
              <w:divBdr>
                <w:top w:val="none" w:sz="0" w:space="0" w:color="auto"/>
                <w:left w:val="none" w:sz="0" w:space="0" w:color="auto"/>
                <w:bottom w:val="none" w:sz="0" w:space="0" w:color="auto"/>
                <w:right w:val="none" w:sz="0" w:space="0" w:color="auto"/>
              </w:divBdr>
            </w:div>
            <w:div w:id="858083759">
              <w:marLeft w:val="0"/>
              <w:marRight w:val="0"/>
              <w:marTop w:val="0"/>
              <w:marBottom w:val="0"/>
              <w:divBdr>
                <w:top w:val="none" w:sz="0" w:space="0" w:color="auto"/>
                <w:left w:val="none" w:sz="0" w:space="0" w:color="auto"/>
                <w:bottom w:val="none" w:sz="0" w:space="0" w:color="auto"/>
                <w:right w:val="none" w:sz="0" w:space="0" w:color="auto"/>
              </w:divBdr>
            </w:div>
            <w:div w:id="1157696394">
              <w:marLeft w:val="0"/>
              <w:marRight w:val="0"/>
              <w:marTop w:val="0"/>
              <w:marBottom w:val="0"/>
              <w:divBdr>
                <w:top w:val="none" w:sz="0" w:space="0" w:color="auto"/>
                <w:left w:val="none" w:sz="0" w:space="0" w:color="auto"/>
                <w:bottom w:val="none" w:sz="0" w:space="0" w:color="auto"/>
                <w:right w:val="none" w:sz="0" w:space="0" w:color="auto"/>
              </w:divBdr>
            </w:div>
            <w:div w:id="925840926">
              <w:marLeft w:val="0"/>
              <w:marRight w:val="0"/>
              <w:marTop w:val="0"/>
              <w:marBottom w:val="0"/>
              <w:divBdr>
                <w:top w:val="none" w:sz="0" w:space="0" w:color="auto"/>
                <w:left w:val="none" w:sz="0" w:space="0" w:color="auto"/>
                <w:bottom w:val="none" w:sz="0" w:space="0" w:color="auto"/>
                <w:right w:val="none" w:sz="0" w:space="0" w:color="auto"/>
              </w:divBdr>
            </w:div>
            <w:div w:id="584729660">
              <w:marLeft w:val="0"/>
              <w:marRight w:val="0"/>
              <w:marTop w:val="0"/>
              <w:marBottom w:val="0"/>
              <w:divBdr>
                <w:top w:val="none" w:sz="0" w:space="0" w:color="auto"/>
                <w:left w:val="none" w:sz="0" w:space="0" w:color="auto"/>
                <w:bottom w:val="none" w:sz="0" w:space="0" w:color="auto"/>
                <w:right w:val="none" w:sz="0" w:space="0" w:color="auto"/>
              </w:divBdr>
            </w:div>
            <w:div w:id="1349990672">
              <w:marLeft w:val="0"/>
              <w:marRight w:val="0"/>
              <w:marTop w:val="0"/>
              <w:marBottom w:val="0"/>
              <w:divBdr>
                <w:top w:val="none" w:sz="0" w:space="0" w:color="auto"/>
                <w:left w:val="none" w:sz="0" w:space="0" w:color="auto"/>
                <w:bottom w:val="none" w:sz="0" w:space="0" w:color="auto"/>
                <w:right w:val="none" w:sz="0" w:space="0" w:color="auto"/>
              </w:divBdr>
            </w:div>
            <w:div w:id="605427367">
              <w:marLeft w:val="0"/>
              <w:marRight w:val="0"/>
              <w:marTop w:val="0"/>
              <w:marBottom w:val="0"/>
              <w:divBdr>
                <w:top w:val="none" w:sz="0" w:space="0" w:color="auto"/>
                <w:left w:val="none" w:sz="0" w:space="0" w:color="auto"/>
                <w:bottom w:val="none" w:sz="0" w:space="0" w:color="auto"/>
                <w:right w:val="none" w:sz="0" w:space="0" w:color="auto"/>
              </w:divBdr>
            </w:div>
            <w:div w:id="451943411">
              <w:marLeft w:val="0"/>
              <w:marRight w:val="0"/>
              <w:marTop w:val="0"/>
              <w:marBottom w:val="0"/>
              <w:divBdr>
                <w:top w:val="none" w:sz="0" w:space="0" w:color="auto"/>
                <w:left w:val="none" w:sz="0" w:space="0" w:color="auto"/>
                <w:bottom w:val="none" w:sz="0" w:space="0" w:color="auto"/>
                <w:right w:val="none" w:sz="0" w:space="0" w:color="auto"/>
              </w:divBdr>
            </w:div>
            <w:div w:id="1037925748">
              <w:marLeft w:val="0"/>
              <w:marRight w:val="0"/>
              <w:marTop w:val="0"/>
              <w:marBottom w:val="0"/>
              <w:divBdr>
                <w:top w:val="none" w:sz="0" w:space="0" w:color="auto"/>
                <w:left w:val="none" w:sz="0" w:space="0" w:color="auto"/>
                <w:bottom w:val="none" w:sz="0" w:space="0" w:color="auto"/>
                <w:right w:val="none" w:sz="0" w:space="0" w:color="auto"/>
              </w:divBdr>
            </w:div>
            <w:div w:id="2095318512">
              <w:marLeft w:val="0"/>
              <w:marRight w:val="0"/>
              <w:marTop w:val="0"/>
              <w:marBottom w:val="0"/>
              <w:divBdr>
                <w:top w:val="none" w:sz="0" w:space="0" w:color="auto"/>
                <w:left w:val="none" w:sz="0" w:space="0" w:color="auto"/>
                <w:bottom w:val="none" w:sz="0" w:space="0" w:color="auto"/>
                <w:right w:val="none" w:sz="0" w:space="0" w:color="auto"/>
              </w:divBdr>
            </w:div>
            <w:div w:id="1190141646">
              <w:marLeft w:val="0"/>
              <w:marRight w:val="0"/>
              <w:marTop w:val="0"/>
              <w:marBottom w:val="0"/>
              <w:divBdr>
                <w:top w:val="none" w:sz="0" w:space="0" w:color="auto"/>
                <w:left w:val="none" w:sz="0" w:space="0" w:color="auto"/>
                <w:bottom w:val="none" w:sz="0" w:space="0" w:color="auto"/>
                <w:right w:val="none" w:sz="0" w:space="0" w:color="auto"/>
              </w:divBdr>
            </w:div>
            <w:div w:id="1495222836">
              <w:marLeft w:val="0"/>
              <w:marRight w:val="0"/>
              <w:marTop w:val="0"/>
              <w:marBottom w:val="0"/>
              <w:divBdr>
                <w:top w:val="none" w:sz="0" w:space="0" w:color="auto"/>
                <w:left w:val="none" w:sz="0" w:space="0" w:color="auto"/>
                <w:bottom w:val="none" w:sz="0" w:space="0" w:color="auto"/>
                <w:right w:val="none" w:sz="0" w:space="0" w:color="auto"/>
              </w:divBdr>
            </w:div>
            <w:div w:id="1308053746">
              <w:marLeft w:val="0"/>
              <w:marRight w:val="0"/>
              <w:marTop w:val="0"/>
              <w:marBottom w:val="0"/>
              <w:divBdr>
                <w:top w:val="none" w:sz="0" w:space="0" w:color="auto"/>
                <w:left w:val="none" w:sz="0" w:space="0" w:color="auto"/>
                <w:bottom w:val="none" w:sz="0" w:space="0" w:color="auto"/>
                <w:right w:val="none" w:sz="0" w:space="0" w:color="auto"/>
              </w:divBdr>
            </w:div>
            <w:div w:id="1736933052">
              <w:marLeft w:val="0"/>
              <w:marRight w:val="0"/>
              <w:marTop w:val="0"/>
              <w:marBottom w:val="0"/>
              <w:divBdr>
                <w:top w:val="none" w:sz="0" w:space="0" w:color="auto"/>
                <w:left w:val="none" w:sz="0" w:space="0" w:color="auto"/>
                <w:bottom w:val="none" w:sz="0" w:space="0" w:color="auto"/>
                <w:right w:val="none" w:sz="0" w:space="0" w:color="auto"/>
              </w:divBdr>
            </w:div>
            <w:div w:id="310601038">
              <w:marLeft w:val="0"/>
              <w:marRight w:val="0"/>
              <w:marTop w:val="0"/>
              <w:marBottom w:val="0"/>
              <w:divBdr>
                <w:top w:val="none" w:sz="0" w:space="0" w:color="auto"/>
                <w:left w:val="none" w:sz="0" w:space="0" w:color="auto"/>
                <w:bottom w:val="none" w:sz="0" w:space="0" w:color="auto"/>
                <w:right w:val="none" w:sz="0" w:space="0" w:color="auto"/>
              </w:divBdr>
            </w:div>
            <w:div w:id="79524344">
              <w:marLeft w:val="0"/>
              <w:marRight w:val="0"/>
              <w:marTop w:val="0"/>
              <w:marBottom w:val="0"/>
              <w:divBdr>
                <w:top w:val="none" w:sz="0" w:space="0" w:color="auto"/>
                <w:left w:val="none" w:sz="0" w:space="0" w:color="auto"/>
                <w:bottom w:val="none" w:sz="0" w:space="0" w:color="auto"/>
                <w:right w:val="none" w:sz="0" w:space="0" w:color="auto"/>
              </w:divBdr>
            </w:div>
            <w:div w:id="1750343880">
              <w:marLeft w:val="0"/>
              <w:marRight w:val="0"/>
              <w:marTop w:val="0"/>
              <w:marBottom w:val="0"/>
              <w:divBdr>
                <w:top w:val="none" w:sz="0" w:space="0" w:color="auto"/>
                <w:left w:val="none" w:sz="0" w:space="0" w:color="auto"/>
                <w:bottom w:val="none" w:sz="0" w:space="0" w:color="auto"/>
                <w:right w:val="none" w:sz="0" w:space="0" w:color="auto"/>
              </w:divBdr>
            </w:div>
            <w:div w:id="575821551">
              <w:marLeft w:val="0"/>
              <w:marRight w:val="0"/>
              <w:marTop w:val="0"/>
              <w:marBottom w:val="0"/>
              <w:divBdr>
                <w:top w:val="none" w:sz="0" w:space="0" w:color="auto"/>
                <w:left w:val="none" w:sz="0" w:space="0" w:color="auto"/>
                <w:bottom w:val="none" w:sz="0" w:space="0" w:color="auto"/>
                <w:right w:val="none" w:sz="0" w:space="0" w:color="auto"/>
              </w:divBdr>
            </w:div>
            <w:div w:id="740521291">
              <w:marLeft w:val="0"/>
              <w:marRight w:val="0"/>
              <w:marTop w:val="0"/>
              <w:marBottom w:val="0"/>
              <w:divBdr>
                <w:top w:val="none" w:sz="0" w:space="0" w:color="auto"/>
                <w:left w:val="none" w:sz="0" w:space="0" w:color="auto"/>
                <w:bottom w:val="none" w:sz="0" w:space="0" w:color="auto"/>
                <w:right w:val="none" w:sz="0" w:space="0" w:color="auto"/>
              </w:divBdr>
            </w:div>
            <w:div w:id="1960187995">
              <w:marLeft w:val="0"/>
              <w:marRight w:val="0"/>
              <w:marTop w:val="0"/>
              <w:marBottom w:val="0"/>
              <w:divBdr>
                <w:top w:val="none" w:sz="0" w:space="0" w:color="auto"/>
                <w:left w:val="none" w:sz="0" w:space="0" w:color="auto"/>
                <w:bottom w:val="none" w:sz="0" w:space="0" w:color="auto"/>
                <w:right w:val="none" w:sz="0" w:space="0" w:color="auto"/>
              </w:divBdr>
            </w:div>
            <w:div w:id="1821770674">
              <w:marLeft w:val="0"/>
              <w:marRight w:val="0"/>
              <w:marTop w:val="0"/>
              <w:marBottom w:val="0"/>
              <w:divBdr>
                <w:top w:val="none" w:sz="0" w:space="0" w:color="auto"/>
                <w:left w:val="none" w:sz="0" w:space="0" w:color="auto"/>
                <w:bottom w:val="none" w:sz="0" w:space="0" w:color="auto"/>
                <w:right w:val="none" w:sz="0" w:space="0" w:color="auto"/>
              </w:divBdr>
            </w:div>
            <w:div w:id="1159811398">
              <w:marLeft w:val="0"/>
              <w:marRight w:val="0"/>
              <w:marTop w:val="0"/>
              <w:marBottom w:val="0"/>
              <w:divBdr>
                <w:top w:val="none" w:sz="0" w:space="0" w:color="auto"/>
                <w:left w:val="none" w:sz="0" w:space="0" w:color="auto"/>
                <w:bottom w:val="none" w:sz="0" w:space="0" w:color="auto"/>
                <w:right w:val="none" w:sz="0" w:space="0" w:color="auto"/>
              </w:divBdr>
            </w:div>
            <w:div w:id="141581570">
              <w:marLeft w:val="0"/>
              <w:marRight w:val="0"/>
              <w:marTop w:val="0"/>
              <w:marBottom w:val="0"/>
              <w:divBdr>
                <w:top w:val="none" w:sz="0" w:space="0" w:color="auto"/>
                <w:left w:val="none" w:sz="0" w:space="0" w:color="auto"/>
                <w:bottom w:val="none" w:sz="0" w:space="0" w:color="auto"/>
                <w:right w:val="none" w:sz="0" w:space="0" w:color="auto"/>
              </w:divBdr>
            </w:div>
            <w:div w:id="1144854802">
              <w:marLeft w:val="0"/>
              <w:marRight w:val="0"/>
              <w:marTop w:val="0"/>
              <w:marBottom w:val="0"/>
              <w:divBdr>
                <w:top w:val="none" w:sz="0" w:space="0" w:color="auto"/>
                <w:left w:val="none" w:sz="0" w:space="0" w:color="auto"/>
                <w:bottom w:val="none" w:sz="0" w:space="0" w:color="auto"/>
                <w:right w:val="none" w:sz="0" w:space="0" w:color="auto"/>
              </w:divBdr>
            </w:div>
            <w:div w:id="1654598386">
              <w:marLeft w:val="0"/>
              <w:marRight w:val="0"/>
              <w:marTop w:val="0"/>
              <w:marBottom w:val="0"/>
              <w:divBdr>
                <w:top w:val="none" w:sz="0" w:space="0" w:color="auto"/>
                <w:left w:val="none" w:sz="0" w:space="0" w:color="auto"/>
                <w:bottom w:val="none" w:sz="0" w:space="0" w:color="auto"/>
                <w:right w:val="none" w:sz="0" w:space="0" w:color="auto"/>
              </w:divBdr>
            </w:div>
            <w:div w:id="565385576">
              <w:marLeft w:val="0"/>
              <w:marRight w:val="0"/>
              <w:marTop w:val="0"/>
              <w:marBottom w:val="0"/>
              <w:divBdr>
                <w:top w:val="none" w:sz="0" w:space="0" w:color="auto"/>
                <w:left w:val="none" w:sz="0" w:space="0" w:color="auto"/>
                <w:bottom w:val="none" w:sz="0" w:space="0" w:color="auto"/>
                <w:right w:val="none" w:sz="0" w:space="0" w:color="auto"/>
              </w:divBdr>
            </w:div>
            <w:div w:id="876433970">
              <w:marLeft w:val="0"/>
              <w:marRight w:val="0"/>
              <w:marTop w:val="0"/>
              <w:marBottom w:val="0"/>
              <w:divBdr>
                <w:top w:val="none" w:sz="0" w:space="0" w:color="auto"/>
                <w:left w:val="none" w:sz="0" w:space="0" w:color="auto"/>
                <w:bottom w:val="none" w:sz="0" w:space="0" w:color="auto"/>
                <w:right w:val="none" w:sz="0" w:space="0" w:color="auto"/>
              </w:divBdr>
            </w:div>
            <w:div w:id="2071146756">
              <w:marLeft w:val="0"/>
              <w:marRight w:val="0"/>
              <w:marTop w:val="0"/>
              <w:marBottom w:val="0"/>
              <w:divBdr>
                <w:top w:val="none" w:sz="0" w:space="0" w:color="auto"/>
                <w:left w:val="none" w:sz="0" w:space="0" w:color="auto"/>
                <w:bottom w:val="none" w:sz="0" w:space="0" w:color="auto"/>
                <w:right w:val="none" w:sz="0" w:space="0" w:color="auto"/>
              </w:divBdr>
            </w:div>
            <w:div w:id="1911961746">
              <w:marLeft w:val="0"/>
              <w:marRight w:val="0"/>
              <w:marTop w:val="0"/>
              <w:marBottom w:val="0"/>
              <w:divBdr>
                <w:top w:val="none" w:sz="0" w:space="0" w:color="auto"/>
                <w:left w:val="none" w:sz="0" w:space="0" w:color="auto"/>
                <w:bottom w:val="none" w:sz="0" w:space="0" w:color="auto"/>
                <w:right w:val="none" w:sz="0" w:space="0" w:color="auto"/>
              </w:divBdr>
            </w:div>
            <w:div w:id="1119177798">
              <w:marLeft w:val="0"/>
              <w:marRight w:val="0"/>
              <w:marTop w:val="0"/>
              <w:marBottom w:val="0"/>
              <w:divBdr>
                <w:top w:val="none" w:sz="0" w:space="0" w:color="auto"/>
                <w:left w:val="none" w:sz="0" w:space="0" w:color="auto"/>
                <w:bottom w:val="none" w:sz="0" w:space="0" w:color="auto"/>
                <w:right w:val="none" w:sz="0" w:space="0" w:color="auto"/>
              </w:divBdr>
            </w:div>
            <w:div w:id="1032418334">
              <w:marLeft w:val="0"/>
              <w:marRight w:val="0"/>
              <w:marTop w:val="0"/>
              <w:marBottom w:val="0"/>
              <w:divBdr>
                <w:top w:val="none" w:sz="0" w:space="0" w:color="auto"/>
                <w:left w:val="none" w:sz="0" w:space="0" w:color="auto"/>
                <w:bottom w:val="none" w:sz="0" w:space="0" w:color="auto"/>
                <w:right w:val="none" w:sz="0" w:space="0" w:color="auto"/>
              </w:divBdr>
            </w:div>
            <w:div w:id="1485050282">
              <w:marLeft w:val="0"/>
              <w:marRight w:val="0"/>
              <w:marTop w:val="0"/>
              <w:marBottom w:val="0"/>
              <w:divBdr>
                <w:top w:val="none" w:sz="0" w:space="0" w:color="auto"/>
                <w:left w:val="none" w:sz="0" w:space="0" w:color="auto"/>
                <w:bottom w:val="none" w:sz="0" w:space="0" w:color="auto"/>
                <w:right w:val="none" w:sz="0" w:space="0" w:color="auto"/>
              </w:divBdr>
            </w:div>
            <w:div w:id="563377215">
              <w:marLeft w:val="0"/>
              <w:marRight w:val="0"/>
              <w:marTop w:val="0"/>
              <w:marBottom w:val="0"/>
              <w:divBdr>
                <w:top w:val="none" w:sz="0" w:space="0" w:color="auto"/>
                <w:left w:val="none" w:sz="0" w:space="0" w:color="auto"/>
                <w:bottom w:val="none" w:sz="0" w:space="0" w:color="auto"/>
                <w:right w:val="none" w:sz="0" w:space="0" w:color="auto"/>
              </w:divBdr>
            </w:div>
            <w:div w:id="1020661733">
              <w:marLeft w:val="0"/>
              <w:marRight w:val="0"/>
              <w:marTop w:val="0"/>
              <w:marBottom w:val="0"/>
              <w:divBdr>
                <w:top w:val="none" w:sz="0" w:space="0" w:color="auto"/>
                <w:left w:val="none" w:sz="0" w:space="0" w:color="auto"/>
                <w:bottom w:val="none" w:sz="0" w:space="0" w:color="auto"/>
                <w:right w:val="none" w:sz="0" w:space="0" w:color="auto"/>
              </w:divBdr>
            </w:div>
            <w:div w:id="1412505610">
              <w:marLeft w:val="0"/>
              <w:marRight w:val="0"/>
              <w:marTop w:val="0"/>
              <w:marBottom w:val="0"/>
              <w:divBdr>
                <w:top w:val="none" w:sz="0" w:space="0" w:color="auto"/>
                <w:left w:val="none" w:sz="0" w:space="0" w:color="auto"/>
                <w:bottom w:val="none" w:sz="0" w:space="0" w:color="auto"/>
                <w:right w:val="none" w:sz="0" w:space="0" w:color="auto"/>
              </w:divBdr>
            </w:div>
            <w:div w:id="807934601">
              <w:marLeft w:val="0"/>
              <w:marRight w:val="0"/>
              <w:marTop w:val="0"/>
              <w:marBottom w:val="0"/>
              <w:divBdr>
                <w:top w:val="none" w:sz="0" w:space="0" w:color="auto"/>
                <w:left w:val="none" w:sz="0" w:space="0" w:color="auto"/>
                <w:bottom w:val="none" w:sz="0" w:space="0" w:color="auto"/>
                <w:right w:val="none" w:sz="0" w:space="0" w:color="auto"/>
              </w:divBdr>
            </w:div>
            <w:div w:id="2035030842">
              <w:marLeft w:val="0"/>
              <w:marRight w:val="0"/>
              <w:marTop w:val="0"/>
              <w:marBottom w:val="0"/>
              <w:divBdr>
                <w:top w:val="none" w:sz="0" w:space="0" w:color="auto"/>
                <w:left w:val="none" w:sz="0" w:space="0" w:color="auto"/>
                <w:bottom w:val="none" w:sz="0" w:space="0" w:color="auto"/>
                <w:right w:val="none" w:sz="0" w:space="0" w:color="auto"/>
              </w:divBdr>
            </w:div>
            <w:div w:id="339628663">
              <w:marLeft w:val="0"/>
              <w:marRight w:val="0"/>
              <w:marTop w:val="0"/>
              <w:marBottom w:val="0"/>
              <w:divBdr>
                <w:top w:val="none" w:sz="0" w:space="0" w:color="auto"/>
                <w:left w:val="none" w:sz="0" w:space="0" w:color="auto"/>
                <w:bottom w:val="none" w:sz="0" w:space="0" w:color="auto"/>
                <w:right w:val="none" w:sz="0" w:space="0" w:color="auto"/>
              </w:divBdr>
            </w:div>
            <w:div w:id="1300109446">
              <w:marLeft w:val="0"/>
              <w:marRight w:val="0"/>
              <w:marTop w:val="0"/>
              <w:marBottom w:val="0"/>
              <w:divBdr>
                <w:top w:val="none" w:sz="0" w:space="0" w:color="auto"/>
                <w:left w:val="none" w:sz="0" w:space="0" w:color="auto"/>
                <w:bottom w:val="none" w:sz="0" w:space="0" w:color="auto"/>
                <w:right w:val="none" w:sz="0" w:space="0" w:color="auto"/>
              </w:divBdr>
            </w:div>
            <w:div w:id="1487236997">
              <w:marLeft w:val="0"/>
              <w:marRight w:val="0"/>
              <w:marTop w:val="0"/>
              <w:marBottom w:val="0"/>
              <w:divBdr>
                <w:top w:val="none" w:sz="0" w:space="0" w:color="auto"/>
                <w:left w:val="none" w:sz="0" w:space="0" w:color="auto"/>
                <w:bottom w:val="none" w:sz="0" w:space="0" w:color="auto"/>
                <w:right w:val="none" w:sz="0" w:space="0" w:color="auto"/>
              </w:divBdr>
            </w:div>
            <w:div w:id="1937866446">
              <w:marLeft w:val="0"/>
              <w:marRight w:val="0"/>
              <w:marTop w:val="0"/>
              <w:marBottom w:val="0"/>
              <w:divBdr>
                <w:top w:val="none" w:sz="0" w:space="0" w:color="auto"/>
                <w:left w:val="none" w:sz="0" w:space="0" w:color="auto"/>
                <w:bottom w:val="none" w:sz="0" w:space="0" w:color="auto"/>
                <w:right w:val="none" w:sz="0" w:space="0" w:color="auto"/>
              </w:divBdr>
            </w:div>
            <w:div w:id="1592080540">
              <w:marLeft w:val="0"/>
              <w:marRight w:val="0"/>
              <w:marTop w:val="0"/>
              <w:marBottom w:val="0"/>
              <w:divBdr>
                <w:top w:val="none" w:sz="0" w:space="0" w:color="auto"/>
                <w:left w:val="none" w:sz="0" w:space="0" w:color="auto"/>
                <w:bottom w:val="none" w:sz="0" w:space="0" w:color="auto"/>
                <w:right w:val="none" w:sz="0" w:space="0" w:color="auto"/>
              </w:divBdr>
            </w:div>
            <w:div w:id="1685280342">
              <w:marLeft w:val="0"/>
              <w:marRight w:val="0"/>
              <w:marTop w:val="0"/>
              <w:marBottom w:val="0"/>
              <w:divBdr>
                <w:top w:val="none" w:sz="0" w:space="0" w:color="auto"/>
                <w:left w:val="none" w:sz="0" w:space="0" w:color="auto"/>
                <w:bottom w:val="none" w:sz="0" w:space="0" w:color="auto"/>
                <w:right w:val="none" w:sz="0" w:space="0" w:color="auto"/>
              </w:divBdr>
            </w:div>
            <w:div w:id="1377316242">
              <w:marLeft w:val="0"/>
              <w:marRight w:val="0"/>
              <w:marTop w:val="0"/>
              <w:marBottom w:val="0"/>
              <w:divBdr>
                <w:top w:val="none" w:sz="0" w:space="0" w:color="auto"/>
                <w:left w:val="none" w:sz="0" w:space="0" w:color="auto"/>
                <w:bottom w:val="none" w:sz="0" w:space="0" w:color="auto"/>
                <w:right w:val="none" w:sz="0" w:space="0" w:color="auto"/>
              </w:divBdr>
            </w:div>
            <w:div w:id="1464497061">
              <w:marLeft w:val="0"/>
              <w:marRight w:val="0"/>
              <w:marTop w:val="0"/>
              <w:marBottom w:val="0"/>
              <w:divBdr>
                <w:top w:val="none" w:sz="0" w:space="0" w:color="auto"/>
                <w:left w:val="none" w:sz="0" w:space="0" w:color="auto"/>
                <w:bottom w:val="none" w:sz="0" w:space="0" w:color="auto"/>
                <w:right w:val="none" w:sz="0" w:space="0" w:color="auto"/>
              </w:divBdr>
            </w:div>
            <w:div w:id="637493592">
              <w:marLeft w:val="0"/>
              <w:marRight w:val="0"/>
              <w:marTop w:val="0"/>
              <w:marBottom w:val="0"/>
              <w:divBdr>
                <w:top w:val="none" w:sz="0" w:space="0" w:color="auto"/>
                <w:left w:val="none" w:sz="0" w:space="0" w:color="auto"/>
                <w:bottom w:val="none" w:sz="0" w:space="0" w:color="auto"/>
                <w:right w:val="none" w:sz="0" w:space="0" w:color="auto"/>
              </w:divBdr>
            </w:div>
            <w:div w:id="28143592">
              <w:marLeft w:val="0"/>
              <w:marRight w:val="0"/>
              <w:marTop w:val="0"/>
              <w:marBottom w:val="0"/>
              <w:divBdr>
                <w:top w:val="none" w:sz="0" w:space="0" w:color="auto"/>
                <w:left w:val="none" w:sz="0" w:space="0" w:color="auto"/>
                <w:bottom w:val="none" w:sz="0" w:space="0" w:color="auto"/>
                <w:right w:val="none" w:sz="0" w:space="0" w:color="auto"/>
              </w:divBdr>
            </w:div>
            <w:div w:id="1332833042">
              <w:marLeft w:val="0"/>
              <w:marRight w:val="0"/>
              <w:marTop w:val="0"/>
              <w:marBottom w:val="0"/>
              <w:divBdr>
                <w:top w:val="none" w:sz="0" w:space="0" w:color="auto"/>
                <w:left w:val="none" w:sz="0" w:space="0" w:color="auto"/>
                <w:bottom w:val="none" w:sz="0" w:space="0" w:color="auto"/>
                <w:right w:val="none" w:sz="0" w:space="0" w:color="auto"/>
              </w:divBdr>
            </w:div>
            <w:div w:id="679048782">
              <w:marLeft w:val="0"/>
              <w:marRight w:val="0"/>
              <w:marTop w:val="0"/>
              <w:marBottom w:val="0"/>
              <w:divBdr>
                <w:top w:val="none" w:sz="0" w:space="0" w:color="auto"/>
                <w:left w:val="none" w:sz="0" w:space="0" w:color="auto"/>
                <w:bottom w:val="none" w:sz="0" w:space="0" w:color="auto"/>
                <w:right w:val="none" w:sz="0" w:space="0" w:color="auto"/>
              </w:divBdr>
            </w:div>
            <w:div w:id="835651346">
              <w:marLeft w:val="0"/>
              <w:marRight w:val="0"/>
              <w:marTop w:val="0"/>
              <w:marBottom w:val="0"/>
              <w:divBdr>
                <w:top w:val="none" w:sz="0" w:space="0" w:color="auto"/>
                <w:left w:val="none" w:sz="0" w:space="0" w:color="auto"/>
                <w:bottom w:val="none" w:sz="0" w:space="0" w:color="auto"/>
                <w:right w:val="none" w:sz="0" w:space="0" w:color="auto"/>
              </w:divBdr>
            </w:div>
            <w:div w:id="1055662794">
              <w:marLeft w:val="0"/>
              <w:marRight w:val="0"/>
              <w:marTop w:val="0"/>
              <w:marBottom w:val="0"/>
              <w:divBdr>
                <w:top w:val="none" w:sz="0" w:space="0" w:color="auto"/>
                <w:left w:val="none" w:sz="0" w:space="0" w:color="auto"/>
                <w:bottom w:val="none" w:sz="0" w:space="0" w:color="auto"/>
                <w:right w:val="none" w:sz="0" w:space="0" w:color="auto"/>
              </w:divBdr>
            </w:div>
            <w:div w:id="1066101471">
              <w:marLeft w:val="0"/>
              <w:marRight w:val="0"/>
              <w:marTop w:val="0"/>
              <w:marBottom w:val="0"/>
              <w:divBdr>
                <w:top w:val="none" w:sz="0" w:space="0" w:color="auto"/>
                <w:left w:val="none" w:sz="0" w:space="0" w:color="auto"/>
                <w:bottom w:val="none" w:sz="0" w:space="0" w:color="auto"/>
                <w:right w:val="none" w:sz="0" w:space="0" w:color="auto"/>
              </w:divBdr>
            </w:div>
            <w:div w:id="322900746">
              <w:marLeft w:val="0"/>
              <w:marRight w:val="0"/>
              <w:marTop w:val="0"/>
              <w:marBottom w:val="0"/>
              <w:divBdr>
                <w:top w:val="none" w:sz="0" w:space="0" w:color="auto"/>
                <w:left w:val="none" w:sz="0" w:space="0" w:color="auto"/>
                <w:bottom w:val="none" w:sz="0" w:space="0" w:color="auto"/>
                <w:right w:val="none" w:sz="0" w:space="0" w:color="auto"/>
              </w:divBdr>
            </w:div>
            <w:div w:id="2027368315">
              <w:marLeft w:val="0"/>
              <w:marRight w:val="0"/>
              <w:marTop w:val="0"/>
              <w:marBottom w:val="0"/>
              <w:divBdr>
                <w:top w:val="none" w:sz="0" w:space="0" w:color="auto"/>
                <w:left w:val="none" w:sz="0" w:space="0" w:color="auto"/>
                <w:bottom w:val="none" w:sz="0" w:space="0" w:color="auto"/>
                <w:right w:val="none" w:sz="0" w:space="0" w:color="auto"/>
              </w:divBdr>
            </w:div>
            <w:div w:id="364521194">
              <w:marLeft w:val="0"/>
              <w:marRight w:val="0"/>
              <w:marTop w:val="0"/>
              <w:marBottom w:val="0"/>
              <w:divBdr>
                <w:top w:val="none" w:sz="0" w:space="0" w:color="auto"/>
                <w:left w:val="none" w:sz="0" w:space="0" w:color="auto"/>
                <w:bottom w:val="none" w:sz="0" w:space="0" w:color="auto"/>
                <w:right w:val="none" w:sz="0" w:space="0" w:color="auto"/>
              </w:divBdr>
            </w:div>
            <w:div w:id="1912882370">
              <w:marLeft w:val="0"/>
              <w:marRight w:val="0"/>
              <w:marTop w:val="0"/>
              <w:marBottom w:val="0"/>
              <w:divBdr>
                <w:top w:val="none" w:sz="0" w:space="0" w:color="auto"/>
                <w:left w:val="none" w:sz="0" w:space="0" w:color="auto"/>
                <w:bottom w:val="none" w:sz="0" w:space="0" w:color="auto"/>
                <w:right w:val="none" w:sz="0" w:space="0" w:color="auto"/>
              </w:divBdr>
            </w:div>
            <w:div w:id="1453551304">
              <w:marLeft w:val="0"/>
              <w:marRight w:val="0"/>
              <w:marTop w:val="0"/>
              <w:marBottom w:val="0"/>
              <w:divBdr>
                <w:top w:val="none" w:sz="0" w:space="0" w:color="auto"/>
                <w:left w:val="none" w:sz="0" w:space="0" w:color="auto"/>
                <w:bottom w:val="none" w:sz="0" w:space="0" w:color="auto"/>
                <w:right w:val="none" w:sz="0" w:space="0" w:color="auto"/>
              </w:divBdr>
            </w:div>
            <w:div w:id="397678861">
              <w:marLeft w:val="0"/>
              <w:marRight w:val="0"/>
              <w:marTop w:val="0"/>
              <w:marBottom w:val="0"/>
              <w:divBdr>
                <w:top w:val="none" w:sz="0" w:space="0" w:color="auto"/>
                <w:left w:val="none" w:sz="0" w:space="0" w:color="auto"/>
                <w:bottom w:val="none" w:sz="0" w:space="0" w:color="auto"/>
                <w:right w:val="none" w:sz="0" w:space="0" w:color="auto"/>
              </w:divBdr>
            </w:div>
            <w:div w:id="422455206">
              <w:marLeft w:val="0"/>
              <w:marRight w:val="0"/>
              <w:marTop w:val="0"/>
              <w:marBottom w:val="0"/>
              <w:divBdr>
                <w:top w:val="none" w:sz="0" w:space="0" w:color="auto"/>
                <w:left w:val="none" w:sz="0" w:space="0" w:color="auto"/>
                <w:bottom w:val="none" w:sz="0" w:space="0" w:color="auto"/>
                <w:right w:val="none" w:sz="0" w:space="0" w:color="auto"/>
              </w:divBdr>
            </w:div>
            <w:div w:id="761025763">
              <w:marLeft w:val="0"/>
              <w:marRight w:val="0"/>
              <w:marTop w:val="0"/>
              <w:marBottom w:val="0"/>
              <w:divBdr>
                <w:top w:val="none" w:sz="0" w:space="0" w:color="auto"/>
                <w:left w:val="none" w:sz="0" w:space="0" w:color="auto"/>
                <w:bottom w:val="none" w:sz="0" w:space="0" w:color="auto"/>
                <w:right w:val="none" w:sz="0" w:space="0" w:color="auto"/>
              </w:divBdr>
            </w:div>
            <w:div w:id="579674474">
              <w:marLeft w:val="0"/>
              <w:marRight w:val="0"/>
              <w:marTop w:val="0"/>
              <w:marBottom w:val="0"/>
              <w:divBdr>
                <w:top w:val="none" w:sz="0" w:space="0" w:color="auto"/>
                <w:left w:val="none" w:sz="0" w:space="0" w:color="auto"/>
                <w:bottom w:val="none" w:sz="0" w:space="0" w:color="auto"/>
                <w:right w:val="none" w:sz="0" w:space="0" w:color="auto"/>
              </w:divBdr>
            </w:div>
            <w:div w:id="1610505988">
              <w:marLeft w:val="0"/>
              <w:marRight w:val="0"/>
              <w:marTop w:val="0"/>
              <w:marBottom w:val="0"/>
              <w:divBdr>
                <w:top w:val="none" w:sz="0" w:space="0" w:color="auto"/>
                <w:left w:val="none" w:sz="0" w:space="0" w:color="auto"/>
                <w:bottom w:val="none" w:sz="0" w:space="0" w:color="auto"/>
                <w:right w:val="none" w:sz="0" w:space="0" w:color="auto"/>
              </w:divBdr>
            </w:div>
            <w:div w:id="1279527467">
              <w:marLeft w:val="0"/>
              <w:marRight w:val="0"/>
              <w:marTop w:val="0"/>
              <w:marBottom w:val="0"/>
              <w:divBdr>
                <w:top w:val="none" w:sz="0" w:space="0" w:color="auto"/>
                <w:left w:val="none" w:sz="0" w:space="0" w:color="auto"/>
                <w:bottom w:val="none" w:sz="0" w:space="0" w:color="auto"/>
                <w:right w:val="none" w:sz="0" w:space="0" w:color="auto"/>
              </w:divBdr>
            </w:div>
            <w:div w:id="637877097">
              <w:marLeft w:val="0"/>
              <w:marRight w:val="0"/>
              <w:marTop w:val="0"/>
              <w:marBottom w:val="0"/>
              <w:divBdr>
                <w:top w:val="none" w:sz="0" w:space="0" w:color="auto"/>
                <w:left w:val="none" w:sz="0" w:space="0" w:color="auto"/>
                <w:bottom w:val="none" w:sz="0" w:space="0" w:color="auto"/>
                <w:right w:val="none" w:sz="0" w:space="0" w:color="auto"/>
              </w:divBdr>
            </w:div>
            <w:div w:id="1166894076">
              <w:marLeft w:val="0"/>
              <w:marRight w:val="0"/>
              <w:marTop w:val="0"/>
              <w:marBottom w:val="0"/>
              <w:divBdr>
                <w:top w:val="none" w:sz="0" w:space="0" w:color="auto"/>
                <w:left w:val="none" w:sz="0" w:space="0" w:color="auto"/>
                <w:bottom w:val="none" w:sz="0" w:space="0" w:color="auto"/>
                <w:right w:val="none" w:sz="0" w:space="0" w:color="auto"/>
              </w:divBdr>
            </w:div>
            <w:div w:id="1600332650">
              <w:marLeft w:val="0"/>
              <w:marRight w:val="0"/>
              <w:marTop w:val="0"/>
              <w:marBottom w:val="0"/>
              <w:divBdr>
                <w:top w:val="none" w:sz="0" w:space="0" w:color="auto"/>
                <w:left w:val="none" w:sz="0" w:space="0" w:color="auto"/>
                <w:bottom w:val="none" w:sz="0" w:space="0" w:color="auto"/>
                <w:right w:val="none" w:sz="0" w:space="0" w:color="auto"/>
              </w:divBdr>
            </w:div>
            <w:div w:id="728068547">
              <w:marLeft w:val="0"/>
              <w:marRight w:val="0"/>
              <w:marTop w:val="0"/>
              <w:marBottom w:val="0"/>
              <w:divBdr>
                <w:top w:val="none" w:sz="0" w:space="0" w:color="auto"/>
                <w:left w:val="none" w:sz="0" w:space="0" w:color="auto"/>
                <w:bottom w:val="none" w:sz="0" w:space="0" w:color="auto"/>
                <w:right w:val="none" w:sz="0" w:space="0" w:color="auto"/>
              </w:divBdr>
            </w:div>
            <w:div w:id="1771732922">
              <w:marLeft w:val="0"/>
              <w:marRight w:val="0"/>
              <w:marTop w:val="0"/>
              <w:marBottom w:val="0"/>
              <w:divBdr>
                <w:top w:val="none" w:sz="0" w:space="0" w:color="auto"/>
                <w:left w:val="none" w:sz="0" w:space="0" w:color="auto"/>
                <w:bottom w:val="none" w:sz="0" w:space="0" w:color="auto"/>
                <w:right w:val="none" w:sz="0" w:space="0" w:color="auto"/>
              </w:divBdr>
            </w:div>
            <w:div w:id="1012681676">
              <w:marLeft w:val="0"/>
              <w:marRight w:val="0"/>
              <w:marTop w:val="0"/>
              <w:marBottom w:val="0"/>
              <w:divBdr>
                <w:top w:val="none" w:sz="0" w:space="0" w:color="auto"/>
                <w:left w:val="none" w:sz="0" w:space="0" w:color="auto"/>
                <w:bottom w:val="none" w:sz="0" w:space="0" w:color="auto"/>
                <w:right w:val="none" w:sz="0" w:space="0" w:color="auto"/>
              </w:divBdr>
            </w:div>
            <w:div w:id="1912350120">
              <w:marLeft w:val="0"/>
              <w:marRight w:val="0"/>
              <w:marTop w:val="0"/>
              <w:marBottom w:val="0"/>
              <w:divBdr>
                <w:top w:val="none" w:sz="0" w:space="0" w:color="auto"/>
                <w:left w:val="none" w:sz="0" w:space="0" w:color="auto"/>
                <w:bottom w:val="none" w:sz="0" w:space="0" w:color="auto"/>
                <w:right w:val="none" w:sz="0" w:space="0" w:color="auto"/>
              </w:divBdr>
            </w:div>
            <w:div w:id="743186398">
              <w:marLeft w:val="0"/>
              <w:marRight w:val="0"/>
              <w:marTop w:val="0"/>
              <w:marBottom w:val="0"/>
              <w:divBdr>
                <w:top w:val="none" w:sz="0" w:space="0" w:color="auto"/>
                <w:left w:val="none" w:sz="0" w:space="0" w:color="auto"/>
                <w:bottom w:val="none" w:sz="0" w:space="0" w:color="auto"/>
                <w:right w:val="none" w:sz="0" w:space="0" w:color="auto"/>
              </w:divBdr>
            </w:div>
            <w:div w:id="499471353">
              <w:marLeft w:val="0"/>
              <w:marRight w:val="0"/>
              <w:marTop w:val="0"/>
              <w:marBottom w:val="0"/>
              <w:divBdr>
                <w:top w:val="none" w:sz="0" w:space="0" w:color="auto"/>
                <w:left w:val="none" w:sz="0" w:space="0" w:color="auto"/>
                <w:bottom w:val="none" w:sz="0" w:space="0" w:color="auto"/>
                <w:right w:val="none" w:sz="0" w:space="0" w:color="auto"/>
              </w:divBdr>
            </w:div>
            <w:div w:id="576481033">
              <w:marLeft w:val="0"/>
              <w:marRight w:val="0"/>
              <w:marTop w:val="0"/>
              <w:marBottom w:val="0"/>
              <w:divBdr>
                <w:top w:val="none" w:sz="0" w:space="0" w:color="auto"/>
                <w:left w:val="none" w:sz="0" w:space="0" w:color="auto"/>
                <w:bottom w:val="none" w:sz="0" w:space="0" w:color="auto"/>
                <w:right w:val="none" w:sz="0" w:space="0" w:color="auto"/>
              </w:divBdr>
            </w:div>
            <w:div w:id="1566330297">
              <w:marLeft w:val="0"/>
              <w:marRight w:val="0"/>
              <w:marTop w:val="0"/>
              <w:marBottom w:val="0"/>
              <w:divBdr>
                <w:top w:val="none" w:sz="0" w:space="0" w:color="auto"/>
                <w:left w:val="none" w:sz="0" w:space="0" w:color="auto"/>
                <w:bottom w:val="none" w:sz="0" w:space="0" w:color="auto"/>
                <w:right w:val="none" w:sz="0" w:space="0" w:color="auto"/>
              </w:divBdr>
            </w:div>
            <w:div w:id="1046179317">
              <w:marLeft w:val="0"/>
              <w:marRight w:val="0"/>
              <w:marTop w:val="0"/>
              <w:marBottom w:val="0"/>
              <w:divBdr>
                <w:top w:val="none" w:sz="0" w:space="0" w:color="auto"/>
                <w:left w:val="none" w:sz="0" w:space="0" w:color="auto"/>
                <w:bottom w:val="none" w:sz="0" w:space="0" w:color="auto"/>
                <w:right w:val="none" w:sz="0" w:space="0" w:color="auto"/>
              </w:divBdr>
            </w:div>
            <w:div w:id="1893998979">
              <w:marLeft w:val="0"/>
              <w:marRight w:val="0"/>
              <w:marTop w:val="0"/>
              <w:marBottom w:val="0"/>
              <w:divBdr>
                <w:top w:val="none" w:sz="0" w:space="0" w:color="auto"/>
                <w:left w:val="none" w:sz="0" w:space="0" w:color="auto"/>
                <w:bottom w:val="none" w:sz="0" w:space="0" w:color="auto"/>
                <w:right w:val="none" w:sz="0" w:space="0" w:color="auto"/>
              </w:divBdr>
            </w:div>
            <w:div w:id="653684754">
              <w:marLeft w:val="0"/>
              <w:marRight w:val="0"/>
              <w:marTop w:val="0"/>
              <w:marBottom w:val="0"/>
              <w:divBdr>
                <w:top w:val="none" w:sz="0" w:space="0" w:color="auto"/>
                <w:left w:val="none" w:sz="0" w:space="0" w:color="auto"/>
                <w:bottom w:val="none" w:sz="0" w:space="0" w:color="auto"/>
                <w:right w:val="none" w:sz="0" w:space="0" w:color="auto"/>
              </w:divBdr>
            </w:div>
            <w:div w:id="2073847232">
              <w:marLeft w:val="0"/>
              <w:marRight w:val="0"/>
              <w:marTop w:val="0"/>
              <w:marBottom w:val="0"/>
              <w:divBdr>
                <w:top w:val="none" w:sz="0" w:space="0" w:color="auto"/>
                <w:left w:val="none" w:sz="0" w:space="0" w:color="auto"/>
                <w:bottom w:val="none" w:sz="0" w:space="0" w:color="auto"/>
                <w:right w:val="none" w:sz="0" w:space="0" w:color="auto"/>
              </w:divBdr>
            </w:div>
            <w:div w:id="483393571">
              <w:marLeft w:val="0"/>
              <w:marRight w:val="0"/>
              <w:marTop w:val="0"/>
              <w:marBottom w:val="0"/>
              <w:divBdr>
                <w:top w:val="none" w:sz="0" w:space="0" w:color="auto"/>
                <w:left w:val="none" w:sz="0" w:space="0" w:color="auto"/>
                <w:bottom w:val="none" w:sz="0" w:space="0" w:color="auto"/>
                <w:right w:val="none" w:sz="0" w:space="0" w:color="auto"/>
              </w:divBdr>
            </w:div>
            <w:div w:id="1295982100">
              <w:marLeft w:val="0"/>
              <w:marRight w:val="0"/>
              <w:marTop w:val="0"/>
              <w:marBottom w:val="0"/>
              <w:divBdr>
                <w:top w:val="none" w:sz="0" w:space="0" w:color="auto"/>
                <w:left w:val="none" w:sz="0" w:space="0" w:color="auto"/>
                <w:bottom w:val="none" w:sz="0" w:space="0" w:color="auto"/>
                <w:right w:val="none" w:sz="0" w:space="0" w:color="auto"/>
              </w:divBdr>
            </w:div>
            <w:div w:id="1700232214">
              <w:marLeft w:val="0"/>
              <w:marRight w:val="0"/>
              <w:marTop w:val="0"/>
              <w:marBottom w:val="0"/>
              <w:divBdr>
                <w:top w:val="none" w:sz="0" w:space="0" w:color="auto"/>
                <w:left w:val="none" w:sz="0" w:space="0" w:color="auto"/>
                <w:bottom w:val="none" w:sz="0" w:space="0" w:color="auto"/>
                <w:right w:val="none" w:sz="0" w:space="0" w:color="auto"/>
              </w:divBdr>
            </w:div>
            <w:div w:id="12725923">
              <w:marLeft w:val="0"/>
              <w:marRight w:val="0"/>
              <w:marTop w:val="0"/>
              <w:marBottom w:val="0"/>
              <w:divBdr>
                <w:top w:val="none" w:sz="0" w:space="0" w:color="auto"/>
                <w:left w:val="none" w:sz="0" w:space="0" w:color="auto"/>
                <w:bottom w:val="none" w:sz="0" w:space="0" w:color="auto"/>
                <w:right w:val="none" w:sz="0" w:space="0" w:color="auto"/>
              </w:divBdr>
            </w:div>
            <w:div w:id="1104886342">
              <w:marLeft w:val="0"/>
              <w:marRight w:val="0"/>
              <w:marTop w:val="0"/>
              <w:marBottom w:val="0"/>
              <w:divBdr>
                <w:top w:val="none" w:sz="0" w:space="0" w:color="auto"/>
                <w:left w:val="none" w:sz="0" w:space="0" w:color="auto"/>
                <w:bottom w:val="none" w:sz="0" w:space="0" w:color="auto"/>
                <w:right w:val="none" w:sz="0" w:space="0" w:color="auto"/>
              </w:divBdr>
            </w:div>
            <w:div w:id="650712861">
              <w:marLeft w:val="0"/>
              <w:marRight w:val="0"/>
              <w:marTop w:val="0"/>
              <w:marBottom w:val="0"/>
              <w:divBdr>
                <w:top w:val="none" w:sz="0" w:space="0" w:color="auto"/>
                <w:left w:val="none" w:sz="0" w:space="0" w:color="auto"/>
                <w:bottom w:val="none" w:sz="0" w:space="0" w:color="auto"/>
                <w:right w:val="none" w:sz="0" w:space="0" w:color="auto"/>
              </w:divBdr>
            </w:div>
            <w:div w:id="1062682839">
              <w:marLeft w:val="0"/>
              <w:marRight w:val="0"/>
              <w:marTop w:val="0"/>
              <w:marBottom w:val="0"/>
              <w:divBdr>
                <w:top w:val="none" w:sz="0" w:space="0" w:color="auto"/>
                <w:left w:val="none" w:sz="0" w:space="0" w:color="auto"/>
                <w:bottom w:val="none" w:sz="0" w:space="0" w:color="auto"/>
                <w:right w:val="none" w:sz="0" w:space="0" w:color="auto"/>
              </w:divBdr>
            </w:div>
            <w:div w:id="466053035">
              <w:marLeft w:val="0"/>
              <w:marRight w:val="0"/>
              <w:marTop w:val="0"/>
              <w:marBottom w:val="0"/>
              <w:divBdr>
                <w:top w:val="none" w:sz="0" w:space="0" w:color="auto"/>
                <w:left w:val="none" w:sz="0" w:space="0" w:color="auto"/>
                <w:bottom w:val="none" w:sz="0" w:space="0" w:color="auto"/>
                <w:right w:val="none" w:sz="0" w:space="0" w:color="auto"/>
              </w:divBdr>
            </w:div>
            <w:div w:id="1133981861">
              <w:marLeft w:val="0"/>
              <w:marRight w:val="0"/>
              <w:marTop w:val="0"/>
              <w:marBottom w:val="0"/>
              <w:divBdr>
                <w:top w:val="none" w:sz="0" w:space="0" w:color="auto"/>
                <w:left w:val="none" w:sz="0" w:space="0" w:color="auto"/>
                <w:bottom w:val="none" w:sz="0" w:space="0" w:color="auto"/>
                <w:right w:val="none" w:sz="0" w:space="0" w:color="auto"/>
              </w:divBdr>
            </w:div>
            <w:div w:id="1111898158">
              <w:marLeft w:val="0"/>
              <w:marRight w:val="0"/>
              <w:marTop w:val="0"/>
              <w:marBottom w:val="0"/>
              <w:divBdr>
                <w:top w:val="none" w:sz="0" w:space="0" w:color="auto"/>
                <w:left w:val="none" w:sz="0" w:space="0" w:color="auto"/>
                <w:bottom w:val="none" w:sz="0" w:space="0" w:color="auto"/>
                <w:right w:val="none" w:sz="0" w:space="0" w:color="auto"/>
              </w:divBdr>
            </w:div>
            <w:div w:id="1526746125">
              <w:marLeft w:val="0"/>
              <w:marRight w:val="0"/>
              <w:marTop w:val="0"/>
              <w:marBottom w:val="0"/>
              <w:divBdr>
                <w:top w:val="none" w:sz="0" w:space="0" w:color="auto"/>
                <w:left w:val="none" w:sz="0" w:space="0" w:color="auto"/>
                <w:bottom w:val="none" w:sz="0" w:space="0" w:color="auto"/>
                <w:right w:val="none" w:sz="0" w:space="0" w:color="auto"/>
              </w:divBdr>
            </w:div>
            <w:div w:id="609507957">
              <w:marLeft w:val="0"/>
              <w:marRight w:val="0"/>
              <w:marTop w:val="0"/>
              <w:marBottom w:val="0"/>
              <w:divBdr>
                <w:top w:val="none" w:sz="0" w:space="0" w:color="auto"/>
                <w:left w:val="none" w:sz="0" w:space="0" w:color="auto"/>
                <w:bottom w:val="none" w:sz="0" w:space="0" w:color="auto"/>
                <w:right w:val="none" w:sz="0" w:space="0" w:color="auto"/>
              </w:divBdr>
            </w:div>
            <w:div w:id="1490291601">
              <w:marLeft w:val="0"/>
              <w:marRight w:val="0"/>
              <w:marTop w:val="0"/>
              <w:marBottom w:val="0"/>
              <w:divBdr>
                <w:top w:val="none" w:sz="0" w:space="0" w:color="auto"/>
                <w:left w:val="none" w:sz="0" w:space="0" w:color="auto"/>
                <w:bottom w:val="none" w:sz="0" w:space="0" w:color="auto"/>
                <w:right w:val="none" w:sz="0" w:space="0" w:color="auto"/>
              </w:divBdr>
            </w:div>
            <w:div w:id="1445077606">
              <w:marLeft w:val="0"/>
              <w:marRight w:val="0"/>
              <w:marTop w:val="0"/>
              <w:marBottom w:val="0"/>
              <w:divBdr>
                <w:top w:val="none" w:sz="0" w:space="0" w:color="auto"/>
                <w:left w:val="none" w:sz="0" w:space="0" w:color="auto"/>
                <w:bottom w:val="none" w:sz="0" w:space="0" w:color="auto"/>
                <w:right w:val="none" w:sz="0" w:space="0" w:color="auto"/>
              </w:divBdr>
            </w:div>
            <w:div w:id="993795636">
              <w:marLeft w:val="0"/>
              <w:marRight w:val="0"/>
              <w:marTop w:val="0"/>
              <w:marBottom w:val="0"/>
              <w:divBdr>
                <w:top w:val="none" w:sz="0" w:space="0" w:color="auto"/>
                <w:left w:val="none" w:sz="0" w:space="0" w:color="auto"/>
                <w:bottom w:val="none" w:sz="0" w:space="0" w:color="auto"/>
                <w:right w:val="none" w:sz="0" w:space="0" w:color="auto"/>
              </w:divBdr>
            </w:div>
            <w:div w:id="1170214745">
              <w:marLeft w:val="0"/>
              <w:marRight w:val="0"/>
              <w:marTop w:val="0"/>
              <w:marBottom w:val="0"/>
              <w:divBdr>
                <w:top w:val="none" w:sz="0" w:space="0" w:color="auto"/>
                <w:left w:val="none" w:sz="0" w:space="0" w:color="auto"/>
                <w:bottom w:val="none" w:sz="0" w:space="0" w:color="auto"/>
                <w:right w:val="none" w:sz="0" w:space="0" w:color="auto"/>
              </w:divBdr>
            </w:div>
            <w:div w:id="1272973725">
              <w:marLeft w:val="0"/>
              <w:marRight w:val="0"/>
              <w:marTop w:val="0"/>
              <w:marBottom w:val="0"/>
              <w:divBdr>
                <w:top w:val="none" w:sz="0" w:space="0" w:color="auto"/>
                <w:left w:val="none" w:sz="0" w:space="0" w:color="auto"/>
                <w:bottom w:val="none" w:sz="0" w:space="0" w:color="auto"/>
                <w:right w:val="none" w:sz="0" w:space="0" w:color="auto"/>
              </w:divBdr>
            </w:div>
            <w:div w:id="1262487863">
              <w:marLeft w:val="0"/>
              <w:marRight w:val="0"/>
              <w:marTop w:val="0"/>
              <w:marBottom w:val="0"/>
              <w:divBdr>
                <w:top w:val="none" w:sz="0" w:space="0" w:color="auto"/>
                <w:left w:val="none" w:sz="0" w:space="0" w:color="auto"/>
                <w:bottom w:val="none" w:sz="0" w:space="0" w:color="auto"/>
                <w:right w:val="none" w:sz="0" w:space="0" w:color="auto"/>
              </w:divBdr>
            </w:div>
            <w:div w:id="410272124">
              <w:marLeft w:val="0"/>
              <w:marRight w:val="0"/>
              <w:marTop w:val="0"/>
              <w:marBottom w:val="0"/>
              <w:divBdr>
                <w:top w:val="none" w:sz="0" w:space="0" w:color="auto"/>
                <w:left w:val="none" w:sz="0" w:space="0" w:color="auto"/>
                <w:bottom w:val="none" w:sz="0" w:space="0" w:color="auto"/>
                <w:right w:val="none" w:sz="0" w:space="0" w:color="auto"/>
              </w:divBdr>
            </w:div>
            <w:div w:id="1554805289">
              <w:marLeft w:val="0"/>
              <w:marRight w:val="0"/>
              <w:marTop w:val="0"/>
              <w:marBottom w:val="0"/>
              <w:divBdr>
                <w:top w:val="none" w:sz="0" w:space="0" w:color="auto"/>
                <w:left w:val="none" w:sz="0" w:space="0" w:color="auto"/>
                <w:bottom w:val="none" w:sz="0" w:space="0" w:color="auto"/>
                <w:right w:val="none" w:sz="0" w:space="0" w:color="auto"/>
              </w:divBdr>
            </w:div>
            <w:div w:id="1216427732">
              <w:marLeft w:val="0"/>
              <w:marRight w:val="0"/>
              <w:marTop w:val="0"/>
              <w:marBottom w:val="0"/>
              <w:divBdr>
                <w:top w:val="none" w:sz="0" w:space="0" w:color="auto"/>
                <w:left w:val="none" w:sz="0" w:space="0" w:color="auto"/>
                <w:bottom w:val="none" w:sz="0" w:space="0" w:color="auto"/>
                <w:right w:val="none" w:sz="0" w:space="0" w:color="auto"/>
              </w:divBdr>
            </w:div>
            <w:div w:id="2041779269">
              <w:marLeft w:val="0"/>
              <w:marRight w:val="0"/>
              <w:marTop w:val="0"/>
              <w:marBottom w:val="0"/>
              <w:divBdr>
                <w:top w:val="none" w:sz="0" w:space="0" w:color="auto"/>
                <w:left w:val="none" w:sz="0" w:space="0" w:color="auto"/>
                <w:bottom w:val="none" w:sz="0" w:space="0" w:color="auto"/>
                <w:right w:val="none" w:sz="0" w:space="0" w:color="auto"/>
              </w:divBdr>
            </w:div>
            <w:div w:id="706830349">
              <w:marLeft w:val="0"/>
              <w:marRight w:val="0"/>
              <w:marTop w:val="0"/>
              <w:marBottom w:val="0"/>
              <w:divBdr>
                <w:top w:val="none" w:sz="0" w:space="0" w:color="auto"/>
                <w:left w:val="none" w:sz="0" w:space="0" w:color="auto"/>
                <w:bottom w:val="none" w:sz="0" w:space="0" w:color="auto"/>
                <w:right w:val="none" w:sz="0" w:space="0" w:color="auto"/>
              </w:divBdr>
            </w:div>
            <w:div w:id="1955597276">
              <w:marLeft w:val="0"/>
              <w:marRight w:val="0"/>
              <w:marTop w:val="0"/>
              <w:marBottom w:val="0"/>
              <w:divBdr>
                <w:top w:val="none" w:sz="0" w:space="0" w:color="auto"/>
                <w:left w:val="none" w:sz="0" w:space="0" w:color="auto"/>
                <w:bottom w:val="none" w:sz="0" w:space="0" w:color="auto"/>
                <w:right w:val="none" w:sz="0" w:space="0" w:color="auto"/>
              </w:divBdr>
            </w:div>
            <w:div w:id="1992828694">
              <w:marLeft w:val="0"/>
              <w:marRight w:val="0"/>
              <w:marTop w:val="0"/>
              <w:marBottom w:val="0"/>
              <w:divBdr>
                <w:top w:val="none" w:sz="0" w:space="0" w:color="auto"/>
                <w:left w:val="none" w:sz="0" w:space="0" w:color="auto"/>
                <w:bottom w:val="none" w:sz="0" w:space="0" w:color="auto"/>
                <w:right w:val="none" w:sz="0" w:space="0" w:color="auto"/>
              </w:divBdr>
            </w:div>
            <w:div w:id="2041315603">
              <w:marLeft w:val="0"/>
              <w:marRight w:val="0"/>
              <w:marTop w:val="0"/>
              <w:marBottom w:val="0"/>
              <w:divBdr>
                <w:top w:val="none" w:sz="0" w:space="0" w:color="auto"/>
                <w:left w:val="none" w:sz="0" w:space="0" w:color="auto"/>
                <w:bottom w:val="none" w:sz="0" w:space="0" w:color="auto"/>
                <w:right w:val="none" w:sz="0" w:space="0" w:color="auto"/>
              </w:divBdr>
            </w:div>
            <w:div w:id="832911206">
              <w:marLeft w:val="0"/>
              <w:marRight w:val="0"/>
              <w:marTop w:val="0"/>
              <w:marBottom w:val="0"/>
              <w:divBdr>
                <w:top w:val="none" w:sz="0" w:space="0" w:color="auto"/>
                <w:left w:val="none" w:sz="0" w:space="0" w:color="auto"/>
                <w:bottom w:val="none" w:sz="0" w:space="0" w:color="auto"/>
                <w:right w:val="none" w:sz="0" w:space="0" w:color="auto"/>
              </w:divBdr>
            </w:div>
            <w:div w:id="1596981838">
              <w:marLeft w:val="0"/>
              <w:marRight w:val="0"/>
              <w:marTop w:val="0"/>
              <w:marBottom w:val="0"/>
              <w:divBdr>
                <w:top w:val="none" w:sz="0" w:space="0" w:color="auto"/>
                <w:left w:val="none" w:sz="0" w:space="0" w:color="auto"/>
                <w:bottom w:val="none" w:sz="0" w:space="0" w:color="auto"/>
                <w:right w:val="none" w:sz="0" w:space="0" w:color="auto"/>
              </w:divBdr>
            </w:div>
            <w:div w:id="2008316621">
              <w:marLeft w:val="0"/>
              <w:marRight w:val="0"/>
              <w:marTop w:val="0"/>
              <w:marBottom w:val="0"/>
              <w:divBdr>
                <w:top w:val="none" w:sz="0" w:space="0" w:color="auto"/>
                <w:left w:val="none" w:sz="0" w:space="0" w:color="auto"/>
                <w:bottom w:val="none" w:sz="0" w:space="0" w:color="auto"/>
                <w:right w:val="none" w:sz="0" w:space="0" w:color="auto"/>
              </w:divBdr>
            </w:div>
            <w:div w:id="837843689">
              <w:marLeft w:val="0"/>
              <w:marRight w:val="0"/>
              <w:marTop w:val="0"/>
              <w:marBottom w:val="0"/>
              <w:divBdr>
                <w:top w:val="none" w:sz="0" w:space="0" w:color="auto"/>
                <w:left w:val="none" w:sz="0" w:space="0" w:color="auto"/>
                <w:bottom w:val="none" w:sz="0" w:space="0" w:color="auto"/>
                <w:right w:val="none" w:sz="0" w:space="0" w:color="auto"/>
              </w:divBdr>
            </w:div>
            <w:div w:id="2053650081">
              <w:marLeft w:val="0"/>
              <w:marRight w:val="0"/>
              <w:marTop w:val="0"/>
              <w:marBottom w:val="0"/>
              <w:divBdr>
                <w:top w:val="none" w:sz="0" w:space="0" w:color="auto"/>
                <w:left w:val="none" w:sz="0" w:space="0" w:color="auto"/>
                <w:bottom w:val="none" w:sz="0" w:space="0" w:color="auto"/>
                <w:right w:val="none" w:sz="0" w:space="0" w:color="auto"/>
              </w:divBdr>
            </w:div>
            <w:div w:id="1478450654">
              <w:marLeft w:val="0"/>
              <w:marRight w:val="0"/>
              <w:marTop w:val="0"/>
              <w:marBottom w:val="0"/>
              <w:divBdr>
                <w:top w:val="none" w:sz="0" w:space="0" w:color="auto"/>
                <w:left w:val="none" w:sz="0" w:space="0" w:color="auto"/>
                <w:bottom w:val="none" w:sz="0" w:space="0" w:color="auto"/>
                <w:right w:val="none" w:sz="0" w:space="0" w:color="auto"/>
              </w:divBdr>
            </w:div>
            <w:div w:id="656767809">
              <w:marLeft w:val="0"/>
              <w:marRight w:val="0"/>
              <w:marTop w:val="0"/>
              <w:marBottom w:val="0"/>
              <w:divBdr>
                <w:top w:val="none" w:sz="0" w:space="0" w:color="auto"/>
                <w:left w:val="none" w:sz="0" w:space="0" w:color="auto"/>
                <w:bottom w:val="none" w:sz="0" w:space="0" w:color="auto"/>
                <w:right w:val="none" w:sz="0" w:space="0" w:color="auto"/>
              </w:divBdr>
            </w:div>
            <w:div w:id="727076325">
              <w:marLeft w:val="0"/>
              <w:marRight w:val="0"/>
              <w:marTop w:val="0"/>
              <w:marBottom w:val="0"/>
              <w:divBdr>
                <w:top w:val="none" w:sz="0" w:space="0" w:color="auto"/>
                <w:left w:val="none" w:sz="0" w:space="0" w:color="auto"/>
                <w:bottom w:val="none" w:sz="0" w:space="0" w:color="auto"/>
                <w:right w:val="none" w:sz="0" w:space="0" w:color="auto"/>
              </w:divBdr>
            </w:div>
            <w:div w:id="1465151305">
              <w:marLeft w:val="0"/>
              <w:marRight w:val="0"/>
              <w:marTop w:val="0"/>
              <w:marBottom w:val="0"/>
              <w:divBdr>
                <w:top w:val="none" w:sz="0" w:space="0" w:color="auto"/>
                <w:left w:val="none" w:sz="0" w:space="0" w:color="auto"/>
                <w:bottom w:val="none" w:sz="0" w:space="0" w:color="auto"/>
                <w:right w:val="none" w:sz="0" w:space="0" w:color="auto"/>
              </w:divBdr>
            </w:div>
            <w:div w:id="1696729022">
              <w:marLeft w:val="0"/>
              <w:marRight w:val="0"/>
              <w:marTop w:val="0"/>
              <w:marBottom w:val="0"/>
              <w:divBdr>
                <w:top w:val="none" w:sz="0" w:space="0" w:color="auto"/>
                <w:left w:val="none" w:sz="0" w:space="0" w:color="auto"/>
                <w:bottom w:val="none" w:sz="0" w:space="0" w:color="auto"/>
                <w:right w:val="none" w:sz="0" w:space="0" w:color="auto"/>
              </w:divBdr>
            </w:div>
            <w:div w:id="23100486">
              <w:marLeft w:val="0"/>
              <w:marRight w:val="0"/>
              <w:marTop w:val="0"/>
              <w:marBottom w:val="0"/>
              <w:divBdr>
                <w:top w:val="none" w:sz="0" w:space="0" w:color="auto"/>
                <w:left w:val="none" w:sz="0" w:space="0" w:color="auto"/>
                <w:bottom w:val="none" w:sz="0" w:space="0" w:color="auto"/>
                <w:right w:val="none" w:sz="0" w:space="0" w:color="auto"/>
              </w:divBdr>
            </w:div>
            <w:div w:id="920869083">
              <w:marLeft w:val="0"/>
              <w:marRight w:val="0"/>
              <w:marTop w:val="0"/>
              <w:marBottom w:val="0"/>
              <w:divBdr>
                <w:top w:val="none" w:sz="0" w:space="0" w:color="auto"/>
                <w:left w:val="none" w:sz="0" w:space="0" w:color="auto"/>
                <w:bottom w:val="none" w:sz="0" w:space="0" w:color="auto"/>
                <w:right w:val="none" w:sz="0" w:space="0" w:color="auto"/>
              </w:divBdr>
            </w:div>
            <w:div w:id="1631931578">
              <w:marLeft w:val="0"/>
              <w:marRight w:val="0"/>
              <w:marTop w:val="0"/>
              <w:marBottom w:val="0"/>
              <w:divBdr>
                <w:top w:val="none" w:sz="0" w:space="0" w:color="auto"/>
                <w:left w:val="none" w:sz="0" w:space="0" w:color="auto"/>
                <w:bottom w:val="none" w:sz="0" w:space="0" w:color="auto"/>
                <w:right w:val="none" w:sz="0" w:space="0" w:color="auto"/>
              </w:divBdr>
            </w:div>
            <w:div w:id="303392848">
              <w:marLeft w:val="0"/>
              <w:marRight w:val="0"/>
              <w:marTop w:val="0"/>
              <w:marBottom w:val="0"/>
              <w:divBdr>
                <w:top w:val="none" w:sz="0" w:space="0" w:color="auto"/>
                <w:left w:val="none" w:sz="0" w:space="0" w:color="auto"/>
                <w:bottom w:val="none" w:sz="0" w:space="0" w:color="auto"/>
                <w:right w:val="none" w:sz="0" w:space="0" w:color="auto"/>
              </w:divBdr>
            </w:div>
            <w:div w:id="1941446230">
              <w:marLeft w:val="0"/>
              <w:marRight w:val="0"/>
              <w:marTop w:val="0"/>
              <w:marBottom w:val="0"/>
              <w:divBdr>
                <w:top w:val="none" w:sz="0" w:space="0" w:color="auto"/>
                <w:left w:val="none" w:sz="0" w:space="0" w:color="auto"/>
                <w:bottom w:val="none" w:sz="0" w:space="0" w:color="auto"/>
                <w:right w:val="none" w:sz="0" w:space="0" w:color="auto"/>
              </w:divBdr>
            </w:div>
            <w:div w:id="1266155928">
              <w:marLeft w:val="0"/>
              <w:marRight w:val="0"/>
              <w:marTop w:val="0"/>
              <w:marBottom w:val="0"/>
              <w:divBdr>
                <w:top w:val="none" w:sz="0" w:space="0" w:color="auto"/>
                <w:left w:val="none" w:sz="0" w:space="0" w:color="auto"/>
                <w:bottom w:val="none" w:sz="0" w:space="0" w:color="auto"/>
                <w:right w:val="none" w:sz="0" w:space="0" w:color="auto"/>
              </w:divBdr>
            </w:div>
            <w:div w:id="634028001">
              <w:marLeft w:val="0"/>
              <w:marRight w:val="0"/>
              <w:marTop w:val="0"/>
              <w:marBottom w:val="0"/>
              <w:divBdr>
                <w:top w:val="none" w:sz="0" w:space="0" w:color="auto"/>
                <w:left w:val="none" w:sz="0" w:space="0" w:color="auto"/>
                <w:bottom w:val="none" w:sz="0" w:space="0" w:color="auto"/>
                <w:right w:val="none" w:sz="0" w:space="0" w:color="auto"/>
              </w:divBdr>
            </w:div>
            <w:div w:id="434055049">
              <w:marLeft w:val="0"/>
              <w:marRight w:val="0"/>
              <w:marTop w:val="0"/>
              <w:marBottom w:val="0"/>
              <w:divBdr>
                <w:top w:val="none" w:sz="0" w:space="0" w:color="auto"/>
                <w:left w:val="none" w:sz="0" w:space="0" w:color="auto"/>
                <w:bottom w:val="none" w:sz="0" w:space="0" w:color="auto"/>
                <w:right w:val="none" w:sz="0" w:space="0" w:color="auto"/>
              </w:divBdr>
            </w:div>
            <w:div w:id="1206410053">
              <w:marLeft w:val="0"/>
              <w:marRight w:val="0"/>
              <w:marTop w:val="0"/>
              <w:marBottom w:val="0"/>
              <w:divBdr>
                <w:top w:val="none" w:sz="0" w:space="0" w:color="auto"/>
                <w:left w:val="none" w:sz="0" w:space="0" w:color="auto"/>
                <w:bottom w:val="none" w:sz="0" w:space="0" w:color="auto"/>
                <w:right w:val="none" w:sz="0" w:space="0" w:color="auto"/>
              </w:divBdr>
            </w:div>
            <w:div w:id="464735316">
              <w:marLeft w:val="0"/>
              <w:marRight w:val="0"/>
              <w:marTop w:val="0"/>
              <w:marBottom w:val="0"/>
              <w:divBdr>
                <w:top w:val="none" w:sz="0" w:space="0" w:color="auto"/>
                <w:left w:val="none" w:sz="0" w:space="0" w:color="auto"/>
                <w:bottom w:val="none" w:sz="0" w:space="0" w:color="auto"/>
                <w:right w:val="none" w:sz="0" w:space="0" w:color="auto"/>
              </w:divBdr>
            </w:div>
            <w:div w:id="1561020570">
              <w:marLeft w:val="0"/>
              <w:marRight w:val="0"/>
              <w:marTop w:val="0"/>
              <w:marBottom w:val="0"/>
              <w:divBdr>
                <w:top w:val="none" w:sz="0" w:space="0" w:color="auto"/>
                <w:left w:val="none" w:sz="0" w:space="0" w:color="auto"/>
                <w:bottom w:val="none" w:sz="0" w:space="0" w:color="auto"/>
                <w:right w:val="none" w:sz="0" w:space="0" w:color="auto"/>
              </w:divBdr>
            </w:div>
            <w:div w:id="1478839647">
              <w:marLeft w:val="0"/>
              <w:marRight w:val="0"/>
              <w:marTop w:val="0"/>
              <w:marBottom w:val="0"/>
              <w:divBdr>
                <w:top w:val="none" w:sz="0" w:space="0" w:color="auto"/>
                <w:left w:val="none" w:sz="0" w:space="0" w:color="auto"/>
                <w:bottom w:val="none" w:sz="0" w:space="0" w:color="auto"/>
                <w:right w:val="none" w:sz="0" w:space="0" w:color="auto"/>
              </w:divBdr>
            </w:div>
            <w:div w:id="1632176492">
              <w:marLeft w:val="0"/>
              <w:marRight w:val="0"/>
              <w:marTop w:val="0"/>
              <w:marBottom w:val="0"/>
              <w:divBdr>
                <w:top w:val="none" w:sz="0" w:space="0" w:color="auto"/>
                <w:left w:val="none" w:sz="0" w:space="0" w:color="auto"/>
                <w:bottom w:val="none" w:sz="0" w:space="0" w:color="auto"/>
                <w:right w:val="none" w:sz="0" w:space="0" w:color="auto"/>
              </w:divBdr>
            </w:div>
            <w:div w:id="149753306">
              <w:marLeft w:val="0"/>
              <w:marRight w:val="0"/>
              <w:marTop w:val="0"/>
              <w:marBottom w:val="0"/>
              <w:divBdr>
                <w:top w:val="none" w:sz="0" w:space="0" w:color="auto"/>
                <w:left w:val="none" w:sz="0" w:space="0" w:color="auto"/>
                <w:bottom w:val="none" w:sz="0" w:space="0" w:color="auto"/>
                <w:right w:val="none" w:sz="0" w:space="0" w:color="auto"/>
              </w:divBdr>
            </w:div>
            <w:div w:id="55979292">
              <w:marLeft w:val="0"/>
              <w:marRight w:val="0"/>
              <w:marTop w:val="0"/>
              <w:marBottom w:val="0"/>
              <w:divBdr>
                <w:top w:val="none" w:sz="0" w:space="0" w:color="auto"/>
                <w:left w:val="none" w:sz="0" w:space="0" w:color="auto"/>
                <w:bottom w:val="none" w:sz="0" w:space="0" w:color="auto"/>
                <w:right w:val="none" w:sz="0" w:space="0" w:color="auto"/>
              </w:divBdr>
            </w:div>
            <w:div w:id="672954150">
              <w:marLeft w:val="0"/>
              <w:marRight w:val="0"/>
              <w:marTop w:val="0"/>
              <w:marBottom w:val="0"/>
              <w:divBdr>
                <w:top w:val="none" w:sz="0" w:space="0" w:color="auto"/>
                <w:left w:val="none" w:sz="0" w:space="0" w:color="auto"/>
                <w:bottom w:val="none" w:sz="0" w:space="0" w:color="auto"/>
                <w:right w:val="none" w:sz="0" w:space="0" w:color="auto"/>
              </w:divBdr>
            </w:div>
            <w:div w:id="650326853">
              <w:marLeft w:val="0"/>
              <w:marRight w:val="0"/>
              <w:marTop w:val="0"/>
              <w:marBottom w:val="0"/>
              <w:divBdr>
                <w:top w:val="none" w:sz="0" w:space="0" w:color="auto"/>
                <w:left w:val="none" w:sz="0" w:space="0" w:color="auto"/>
                <w:bottom w:val="none" w:sz="0" w:space="0" w:color="auto"/>
                <w:right w:val="none" w:sz="0" w:space="0" w:color="auto"/>
              </w:divBdr>
            </w:div>
            <w:div w:id="1955751833">
              <w:marLeft w:val="0"/>
              <w:marRight w:val="0"/>
              <w:marTop w:val="0"/>
              <w:marBottom w:val="0"/>
              <w:divBdr>
                <w:top w:val="none" w:sz="0" w:space="0" w:color="auto"/>
                <w:left w:val="none" w:sz="0" w:space="0" w:color="auto"/>
                <w:bottom w:val="none" w:sz="0" w:space="0" w:color="auto"/>
                <w:right w:val="none" w:sz="0" w:space="0" w:color="auto"/>
              </w:divBdr>
            </w:div>
            <w:div w:id="1990935943">
              <w:marLeft w:val="0"/>
              <w:marRight w:val="0"/>
              <w:marTop w:val="0"/>
              <w:marBottom w:val="0"/>
              <w:divBdr>
                <w:top w:val="none" w:sz="0" w:space="0" w:color="auto"/>
                <w:left w:val="none" w:sz="0" w:space="0" w:color="auto"/>
                <w:bottom w:val="none" w:sz="0" w:space="0" w:color="auto"/>
                <w:right w:val="none" w:sz="0" w:space="0" w:color="auto"/>
              </w:divBdr>
            </w:div>
            <w:div w:id="1580867721">
              <w:marLeft w:val="0"/>
              <w:marRight w:val="0"/>
              <w:marTop w:val="0"/>
              <w:marBottom w:val="0"/>
              <w:divBdr>
                <w:top w:val="none" w:sz="0" w:space="0" w:color="auto"/>
                <w:left w:val="none" w:sz="0" w:space="0" w:color="auto"/>
                <w:bottom w:val="none" w:sz="0" w:space="0" w:color="auto"/>
                <w:right w:val="none" w:sz="0" w:space="0" w:color="auto"/>
              </w:divBdr>
            </w:div>
            <w:div w:id="821193814">
              <w:marLeft w:val="0"/>
              <w:marRight w:val="0"/>
              <w:marTop w:val="0"/>
              <w:marBottom w:val="0"/>
              <w:divBdr>
                <w:top w:val="none" w:sz="0" w:space="0" w:color="auto"/>
                <w:left w:val="none" w:sz="0" w:space="0" w:color="auto"/>
                <w:bottom w:val="none" w:sz="0" w:space="0" w:color="auto"/>
                <w:right w:val="none" w:sz="0" w:space="0" w:color="auto"/>
              </w:divBdr>
            </w:div>
            <w:div w:id="1104109421">
              <w:marLeft w:val="0"/>
              <w:marRight w:val="0"/>
              <w:marTop w:val="0"/>
              <w:marBottom w:val="0"/>
              <w:divBdr>
                <w:top w:val="none" w:sz="0" w:space="0" w:color="auto"/>
                <w:left w:val="none" w:sz="0" w:space="0" w:color="auto"/>
                <w:bottom w:val="none" w:sz="0" w:space="0" w:color="auto"/>
                <w:right w:val="none" w:sz="0" w:space="0" w:color="auto"/>
              </w:divBdr>
            </w:div>
            <w:div w:id="1786150277">
              <w:marLeft w:val="0"/>
              <w:marRight w:val="0"/>
              <w:marTop w:val="0"/>
              <w:marBottom w:val="0"/>
              <w:divBdr>
                <w:top w:val="none" w:sz="0" w:space="0" w:color="auto"/>
                <w:left w:val="none" w:sz="0" w:space="0" w:color="auto"/>
                <w:bottom w:val="none" w:sz="0" w:space="0" w:color="auto"/>
                <w:right w:val="none" w:sz="0" w:space="0" w:color="auto"/>
              </w:divBdr>
            </w:div>
            <w:div w:id="123430173">
              <w:marLeft w:val="0"/>
              <w:marRight w:val="0"/>
              <w:marTop w:val="0"/>
              <w:marBottom w:val="0"/>
              <w:divBdr>
                <w:top w:val="none" w:sz="0" w:space="0" w:color="auto"/>
                <w:left w:val="none" w:sz="0" w:space="0" w:color="auto"/>
                <w:bottom w:val="none" w:sz="0" w:space="0" w:color="auto"/>
                <w:right w:val="none" w:sz="0" w:space="0" w:color="auto"/>
              </w:divBdr>
            </w:div>
            <w:div w:id="584918954">
              <w:marLeft w:val="0"/>
              <w:marRight w:val="0"/>
              <w:marTop w:val="0"/>
              <w:marBottom w:val="0"/>
              <w:divBdr>
                <w:top w:val="none" w:sz="0" w:space="0" w:color="auto"/>
                <w:left w:val="none" w:sz="0" w:space="0" w:color="auto"/>
                <w:bottom w:val="none" w:sz="0" w:space="0" w:color="auto"/>
                <w:right w:val="none" w:sz="0" w:space="0" w:color="auto"/>
              </w:divBdr>
            </w:div>
            <w:div w:id="1062289503">
              <w:marLeft w:val="0"/>
              <w:marRight w:val="0"/>
              <w:marTop w:val="0"/>
              <w:marBottom w:val="0"/>
              <w:divBdr>
                <w:top w:val="none" w:sz="0" w:space="0" w:color="auto"/>
                <w:left w:val="none" w:sz="0" w:space="0" w:color="auto"/>
                <w:bottom w:val="none" w:sz="0" w:space="0" w:color="auto"/>
                <w:right w:val="none" w:sz="0" w:space="0" w:color="auto"/>
              </w:divBdr>
            </w:div>
            <w:div w:id="120731024">
              <w:marLeft w:val="0"/>
              <w:marRight w:val="0"/>
              <w:marTop w:val="0"/>
              <w:marBottom w:val="0"/>
              <w:divBdr>
                <w:top w:val="none" w:sz="0" w:space="0" w:color="auto"/>
                <w:left w:val="none" w:sz="0" w:space="0" w:color="auto"/>
                <w:bottom w:val="none" w:sz="0" w:space="0" w:color="auto"/>
                <w:right w:val="none" w:sz="0" w:space="0" w:color="auto"/>
              </w:divBdr>
            </w:div>
            <w:div w:id="2128159220">
              <w:marLeft w:val="0"/>
              <w:marRight w:val="0"/>
              <w:marTop w:val="0"/>
              <w:marBottom w:val="0"/>
              <w:divBdr>
                <w:top w:val="none" w:sz="0" w:space="0" w:color="auto"/>
                <w:left w:val="none" w:sz="0" w:space="0" w:color="auto"/>
                <w:bottom w:val="none" w:sz="0" w:space="0" w:color="auto"/>
                <w:right w:val="none" w:sz="0" w:space="0" w:color="auto"/>
              </w:divBdr>
            </w:div>
            <w:div w:id="228737097">
              <w:marLeft w:val="0"/>
              <w:marRight w:val="0"/>
              <w:marTop w:val="0"/>
              <w:marBottom w:val="0"/>
              <w:divBdr>
                <w:top w:val="none" w:sz="0" w:space="0" w:color="auto"/>
                <w:left w:val="none" w:sz="0" w:space="0" w:color="auto"/>
                <w:bottom w:val="none" w:sz="0" w:space="0" w:color="auto"/>
                <w:right w:val="none" w:sz="0" w:space="0" w:color="auto"/>
              </w:divBdr>
            </w:div>
            <w:div w:id="1203858047">
              <w:marLeft w:val="0"/>
              <w:marRight w:val="0"/>
              <w:marTop w:val="0"/>
              <w:marBottom w:val="0"/>
              <w:divBdr>
                <w:top w:val="none" w:sz="0" w:space="0" w:color="auto"/>
                <w:left w:val="none" w:sz="0" w:space="0" w:color="auto"/>
                <w:bottom w:val="none" w:sz="0" w:space="0" w:color="auto"/>
                <w:right w:val="none" w:sz="0" w:space="0" w:color="auto"/>
              </w:divBdr>
            </w:div>
            <w:div w:id="987824892">
              <w:marLeft w:val="0"/>
              <w:marRight w:val="0"/>
              <w:marTop w:val="0"/>
              <w:marBottom w:val="0"/>
              <w:divBdr>
                <w:top w:val="none" w:sz="0" w:space="0" w:color="auto"/>
                <w:left w:val="none" w:sz="0" w:space="0" w:color="auto"/>
                <w:bottom w:val="none" w:sz="0" w:space="0" w:color="auto"/>
                <w:right w:val="none" w:sz="0" w:space="0" w:color="auto"/>
              </w:divBdr>
            </w:div>
            <w:div w:id="2111192084">
              <w:marLeft w:val="0"/>
              <w:marRight w:val="0"/>
              <w:marTop w:val="0"/>
              <w:marBottom w:val="0"/>
              <w:divBdr>
                <w:top w:val="none" w:sz="0" w:space="0" w:color="auto"/>
                <w:left w:val="none" w:sz="0" w:space="0" w:color="auto"/>
                <w:bottom w:val="none" w:sz="0" w:space="0" w:color="auto"/>
                <w:right w:val="none" w:sz="0" w:space="0" w:color="auto"/>
              </w:divBdr>
            </w:div>
            <w:div w:id="1674259524">
              <w:marLeft w:val="0"/>
              <w:marRight w:val="0"/>
              <w:marTop w:val="0"/>
              <w:marBottom w:val="0"/>
              <w:divBdr>
                <w:top w:val="none" w:sz="0" w:space="0" w:color="auto"/>
                <w:left w:val="none" w:sz="0" w:space="0" w:color="auto"/>
                <w:bottom w:val="none" w:sz="0" w:space="0" w:color="auto"/>
                <w:right w:val="none" w:sz="0" w:space="0" w:color="auto"/>
              </w:divBdr>
            </w:div>
            <w:div w:id="1213542580">
              <w:marLeft w:val="0"/>
              <w:marRight w:val="0"/>
              <w:marTop w:val="0"/>
              <w:marBottom w:val="0"/>
              <w:divBdr>
                <w:top w:val="none" w:sz="0" w:space="0" w:color="auto"/>
                <w:left w:val="none" w:sz="0" w:space="0" w:color="auto"/>
                <w:bottom w:val="none" w:sz="0" w:space="0" w:color="auto"/>
                <w:right w:val="none" w:sz="0" w:space="0" w:color="auto"/>
              </w:divBdr>
            </w:div>
            <w:div w:id="216860610">
              <w:marLeft w:val="0"/>
              <w:marRight w:val="0"/>
              <w:marTop w:val="0"/>
              <w:marBottom w:val="0"/>
              <w:divBdr>
                <w:top w:val="none" w:sz="0" w:space="0" w:color="auto"/>
                <w:left w:val="none" w:sz="0" w:space="0" w:color="auto"/>
                <w:bottom w:val="none" w:sz="0" w:space="0" w:color="auto"/>
                <w:right w:val="none" w:sz="0" w:space="0" w:color="auto"/>
              </w:divBdr>
            </w:div>
            <w:div w:id="423041413">
              <w:marLeft w:val="0"/>
              <w:marRight w:val="0"/>
              <w:marTop w:val="0"/>
              <w:marBottom w:val="0"/>
              <w:divBdr>
                <w:top w:val="none" w:sz="0" w:space="0" w:color="auto"/>
                <w:left w:val="none" w:sz="0" w:space="0" w:color="auto"/>
                <w:bottom w:val="none" w:sz="0" w:space="0" w:color="auto"/>
                <w:right w:val="none" w:sz="0" w:space="0" w:color="auto"/>
              </w:divBdr>
            </w:div>
            <w:div w:id="499658805">
              <w:marLeft w:val="0"/>
              <w:marRight w:val="0"/>
              <w:marTop w:val="0"/>
              <w:marBottom w:val="0"/>
              <w:divBdr>
                <w:top w:val="none" w:sz="0" w:space="0" w:color="auto"/>
                <w:left w:val="none" w:sz="0" w:space="0" w:color="auto"/>
                <w:bottom w:val="none" w:sz="0" w:space="0" w:color="auto"/>
                <w:right w:val="none" w:sz="0" w:space="0" w:color="auto"/>
              </w:divBdr>
            </w:div>
            <w:div w:id="24792392">
              <w:marLeft w:val="0"/>
              <w:marRight w:val="0"/>
              <w:marTop w:val="0"/>
              <w:marBottom w:val="0"/>
              <w:divBdr>
                <w:top w:val="none" w:sz="0" w:space="0" w:color="auto"/>
                <w:left w:val="none" w:sz="0" w:space="0" w:color="auto"/>
                <w:bottom w:val="none" w:sz="0" w:space="0" w:color="auto"/>
                <w:right w:val="none" w:sz="0" w:space="0" w:color="auto"/>
              </w:divBdr>
            </w:div>
            <w:div w:id="1621835801">
              <w:marLeft w:val="0"/>
              <w:marRight w:val="0"/>
              <w:marTop w:val="0"/>
              <w:marBottom w:val="0"/>
              <w:divBdr>
                <w:top w:val="none" w:sz="0" w:space="0" w:color="auto"/>
                <w:left w:val="none" w:sz="0" w:space="0" w:color="auto"/>
                <w:bottom w:val="none" w:sz="0" w:space="0" w:color="auto"/>
                <w:right w:val="none" w:sz="0" w:space="0" w:color="auto"/>
              </w:divBdr>
            </w:div>
            <w:div w:id="193427713">
              <w:marLeft w:val="0"/>
              <w:marRight w:val="0"/>
              <w:marTop w:val="0"/>
              <w:marBottom w:val="0"/>
              <w:divBdr>
                <w:top w:val="none" w:sz="0" w:space="0" w:color="auto"/>
                <w:left w:val="none" w:sz="0" w:space="0" w:color="auto"/>
                <w:bottom w:val="none" w:sz="0" w:space="0" w:color="auto"/>
                <w:right w:val="none" w:sz="0" w:space="0" w:color="auto"/>
              </w:divBdr>
            </w:div>
            <w:div w:id="1311053855">
              <w:marLeft w:val="0"/>
              <w:marRight w:val="0"/>
              <w:marTop w:val="0"/>
              <w:marBottom w:val="0"/>
              <w:divBdr>
                <w:top w:val="none" w:sz="0" w:space="0" w:color="auto"/>
                <w:left w:val="none" w:sz="0" w:space="0" w:color="auto"/>
                <w:bottom w:val="none" w:sz="0" w:space="0" w:color="auto"/>
                <w:right w:val="none" w:sz="0" w:space="0" w:color="auto"/>
              </w:divBdr>
            </w:div>
            <w:div w:id="1904750084">
              <w:marLeft w:val="0"/>
              <w:marRight w:val="0"/>
              <w:marTop w:val="0"/>
              <w:marBottom w:val="0"/>
              <w:divBdr>
                <w:top w:val="none" w:sz="0" w:space="0" w:color="auto"/>
                <w:left w:val="none" w:sz="0" w:space="0" w:color="auto"/>
                <w:bottom w:val="none" w:sz="0" w:space="0" w:color="auto"/>
                <w:right w:val="none" w:sz="0" w:space="0" w:color="auto"/>
              </w:divBdr>
            </w:div>
            <w:div w:id="1735926921">
              <w:marLeft w:val="0"/>
              <w:marRight w:val="0"/>
              <w:marTop w:val="0"/>
              <w:marBottom w:val="0"/>
              <w:divBdr>
                <w:top w:val="none" w:sz="0" w:space="0" w:color="auto"/>
                <w:left w:val="none" w:sz="0" w:space="0" w:color="auto"/>
                <w:bottom w:val="none" w:sz="0" w:space="0" w:color="auto"/>
                <w:right w:val="none" w:sz="0" w:space="0" w:color="auto"/>
              </w:divBdr>
            </w:div>
            <w:div w:id="528108219">
              <w:marLeft w:val="0"/>
              <w:marRight w:val="0"/>
              <w:marTop w:val="0"/>
              <w:marBottom w:val="0"/>
              <w:divBdr>
                <w:top w:val="none" w:sz="0" w:space="0" w:color="auto"/>
                <w:left w:val="none" w:sz="0" w:space="0" w:color="auto"/>
                <w:bottom w:val="none" w:sz="0" w:space="0" w:color="auto"/>
                <w:right w:val="none" w:sz="0" w:space="0" w:color="auto"/>
              </w:divBdr>
            </w:div>
            <w:div w:id="387922113">
              <w:marLeft w:val="0"/>
              <w:marRight w:val="0"/>
              <w:marTop w:val="0"/>
              <w:marBottom w:val="0"/>
              <w:divBdr>
                <w:top w:val="none" w:sz="0" w:space="0" w:color="auto"/>
                <w:left w:val="none" w:sz="0" w:space="0" w:color="auto"/>
                <w:bottom w:val="none" w:sz="0" w:space="0" w:color="auto"/>
                <w:right w:val="none" w:sz="0" w:space="0" w:color="auto"/>
              </w:divBdr>
            </w:div>
            <w:div w:id="1295673922">
              <w:marLeft w:val="0"/>
              <w:marRight w:val="0"/>
              <w:marTop w:val="0"/>
              <w:marBottom w:val="0"/>
              <w:divBdr>
                <w:top w:val="none" w:sz="0" w:space="0" w:color="auto"/>
                <w:left w:val="none" w:sz="0" w:space="0" w:color="auto"/>
                <w:bottom w:val="none" w:sz="0" w:space="0" w:color="auto"/>
                <w:right w:val="none" w:sz="0" w:space="0" w:color="auto"/>
              </w:divBdr>
            </w:div>
            <w:div w:id="154030479">
              <w:marLeft w:val="0"/>
              <w:marRight w:val="0"/>
              <w:marTop w:val="0"/>
              <w:marBottom w:val="0"/>
              <w:divBdr>
                <w:top w:val="none" w:sz="0" w:space="0" w:color="auto"/>
                <w:left w:val="none" w:sz="0" w:space="0" w:color="auto"/>
                <w:bottom w:val="none" w:sz="0" w:space="0" w:color="auto"/>
                <w:right w:val="none" w:sz="0" w:space="0" w:color="auto"/>
              </w:divBdr>
            </w:div>
            <w:div w:id="2066416729">
              <w:marLeft w:val="0"/>
              <w:marRight w:val="0"/>
              <w:marTop w:val="0"/>
              <w:marBottom w:val="0"/>
              <w:divBdr>
                <w:top w:val="none" w:sz="0" w:space="0" w:color="auto"/>
                <w:left w:val="none" w:sz="0" w:space="0" w:color="auto"/>
                <w:bottom w:val="none" w:sz="0" w:space="0" w:color="auto"/>
                <w:right w:val="none" w:sz="0" w:space="0" w:color="auto"/>
              </w:divBdr>
            </w:div>
            <w:div w:id="1605189317">
              <w:marLeft w:val="0"/>
              <w:marRight w:val="0"/>
              <w:marTop w:val="0"/>
              <w:marBottom w:val="0"/>
              <w:divBdr>
                <w:top w:val="none" w:sz="0" w:space="0" w:color="auto"/>
                <w:left w:val="none" w:sz="0" w:space="0" w:color="auto"/>
                <w:bottom w:val="none" w:sz="0" w:space="0" w:color="auto"/>
                <w:right w:val="none" w:sz="0" w:space="0" w:color="auto"/>
              </w:divBdr>
            </w:div>
            <w:div w:id="942801582">
              <w:marLeft w:val="0"/>
              <w:marRight w:val="0"/>
              <w:marTop w:val="0"/>
              <w:marBottom w:val="0"/>
              <w:divBdr>
                <w:top w:val="none" w:sz="0" w:space="0" w:color="auto"/>
                <w:left w:val="none" w:sz="0" w:space="0" w:color="auto"/>
                <w:bottom w:val="none" w:sz="0" w:space="0" w:color="auto"/>
                <w:right w:val="none" w:sz="0" w:space="0" w:color="auto"/>
              </w:divBdr>
            </w:div>
            <w:div w:id="1168865050">
              <w:marLeft w:val="0"/>
              <w:marRight w:val="0"/>
              <w:marTop w:val="0"/>
              <w:marBottom w:val="0"/>
              <w:divBdr>
                <w:top w:val="none" w:sz="0" w:space="0" w:color="auto"/>
                <w:left w:val="none" w:sz="0" w:space="0" w:color="auto"/>
                <w:bottom w:val="none" w:sz="0" w:space="0" w:color="auto"/>
                <w:right w:val="none" w:sz="0" w:space="0" w:color="auto"/>
              </w:divBdr>
            </w:div>
            <w:div w:id="1059868305">
              <w:marLeft w:val="0"/>
              <w:marRight w:val="0"/>
              <w:marTop w:val="0"/>
              <w:marBottom w:val="0"/>
              <w:divBdr>
                <w:top w:val="none" w:sz="0" w:space="0" w:color="auto"/>
                <w:left w:val="none" w:sz="0" w:space="0" w:color="auto"/>
                <w:bottom w:val="none" w:sz="0" w:space="0" w:color="auto"/>
                <w:right w:val="none" w:sz="0" w:space="0" w:color="auto"/>
              </w:divBdr>
            </w:div>
            <w:div w:id="915629978">
              <w:marLeft w:val="0"/>
              <w:marRight w:val="0"/>
              <w:marTop w:val="0"/>
              <w:marBottom w:val="0"/>
              <w:divBdr>
                <w:top w:val="none" w:sz="0" w:space="0" w:color="auto"/>
                <w:left w:val="none" w:sz="0" w:space="0" w:color="auto"/>
                <w:bottom w:val="none" w:sz="0" w:space="0" w:color="auto"/>
                <w:right w:val="none" w:sz="0" w:space="0" w:color="auto"/>
              </w:divBdr>
            </w:div>
            <w:div w:id="363756206">
              <w:marLeft w:val="0"/>
              <w:marRight w:val="0"/>
              <w:marTop w:val="0"/>
              <w:marBottom w:val="0"/>
              <w:divBdr>
                <w:top w:val="none" w:sz="0" w:space="0" w:color="auto"/>
                <w:left w:val="none" w:sz="0" w:space="0" w:color="auto"/>
                <w:bottom w:val="none" w:sz="0" w:space="0" w:color="auto"/>
                <w:right w:val="none" w:sz="0" w:space="0" w:color="auto"/>
              </w:divBdr>
            </w:div>
            <w:div w:id="492991698">
              <w:marLeft w:val="0"/>
              <w:marRight w:val="0"/>
              <w:marTop w:val="0"/>
              <w:marBottom w:val="0"/>
              <w:divBdr>
                <w:top w:val="none" w:sz="0" w:space="0" w:color="auto"/>
                <w:left w:val="none" w:sz="0" w:space="0" w:color="auto"/>
                <w:bottom w:val="none" w:sz="0" w:space="0" w:color="auto"/>
                <w:right w:val="none" w:sz="0" w:space="0" w:color="auto"/>
              </w:divBdr>
            </w:div>
            <w:div w:id="1218738551">
              <w:marLeft w:val="0"/>
              <w:marRight w:val="0"/>
              <w:marTop w:val="0"/>
              <w:marBottom w:val="0"/>
              <w:divBdr>
                <w:top w:val="none" w:sz="0" w:space="0" w:color="auto"/>
                <w:left w:val="none" w:sz="0" w:space="0" w:color="auto"/>
                <w:bottom w:val="none" w:sz="0" w:space="0" w:color="auto"/>
                <w:right w:val="none" w:sz="0" w:space="0" w:color="auto"/>
              </w:divBdr>
            </w:div>
            <w:div w:id="26570550">
              <w:marLeft w:val="0"/>
              <w:marRight w:val="0"/>
              <w:marTop w:val="0"/>
              <w:marBottom w:val="0"/>
              <w:divBdr>
                <w:top w:val="none" w:sz="0" w:space="0" w:color="auto"/>
                <w:left w:val="none" w:sz="0" w:space="0" w:color="auto"/>
                <w:bottom w:val="none" w:sz="0" w:space="0" w:color="auto"/>
                <w:right w:val="none" w:sz="0" w:space="0" w:color="auto"/>
              </w:divBdr>
            </w:div>
            <w:div w:id="626817622">
              <w:marLeft w:val="0"/>
              <w:marRight w:val="0"/>
              <w:marTop w:val="0"/>
              <w:marBottom w:val="0"/>
              <w:divBdr>
                <w:top w:val="none" w:sz="0" w:space="0" w:color="auto"/>
                <w:left w:val="none" w:sz="0" w:space="0" w:color="auto"/>
                <w:bottom w:val="none" w:sz="0" w:space="0" w:color="auto"/>
                <w:right w:val="none" w:sz="0" w:space="0" w:color="auto"/>
              </w:divBdr>
            </w:div>
            <w:div w:id="1427115813">
              <w:marLeft w:val="0"/>
              <w:marRight w:val="0"/>
              <w:marTop w:val="0"/>
              <w:marBottom w:val="0"/>
              <w:divBdr>
                <w:top w:val="none" w:sz="0" w:space="0" w:color="auto"/>
                <w:left w:val="none" w:sz="0" w:space="0" w:color="auto"/>
                <w:bottom w:val="none" w:sz="0" w:space="0" w:color="auto"/>
                <w:right w:val="none" w:sz="0" w:space="0" w:color="auto"/>
              </w:divBdr>
            </w:div>
            <w:div w:id="273830671">
              <w:marLeft w:val="0"/>
              <w:marRight w:val="0"/>
              <w:marTop w:val="0"/>
              <w:marBottom w:val="0"/>
              <w:divBdr>
                <w:top w:val="none" w:sz="0" w:space="0" w:color="auto"/>
                <w:left w:val="none" w:sz="0" w:space="0" w:color="auto"/>
                <w:bottom w:val="none" w:sz="0" w:space="0" w:color="auto"/>
                <w:right w:val="none" w:sz="0" w:space="0" w:color="auto"/>
              </w:divBdr>
            </w:div>
            <w:div w:id="35009954">
              <w:marLeft w:val="0"/>
              <w:marRight w:val="0"/>
              <w:marTop w:val="0"/>
              <w:marBottom w:val="0"/>
              <w:divBdr>
                <w:top w:val="none" w:sz="0" w:space="0" w:color="auto"/>
                <w:left w:val="none" w:sz="0" w:space="0" w:color="auto"/>
                <w:bottom w:val="none" w:sz="0" w:space="0" w:color="auto"/>
                <w:right w:val="none" w:sz="0" w:space="0" w:color="auto"/>
              </w:divBdr>
            </w:div>
            <w:div w:id="368185899">
              <w:marLeft w:val="0"/>
              <w:marRight w:val="0"/>
              <w:marTop w:val="0"/>
              <w:marBottom w:val="0"/>
              <w:divBdr>
                <w:top w:val="none" w:sz="0" w:space="0" w:color="auto"/>
                <w:left w:val="none" w:sz="0" w:space="0" w:color="auto"/>
                <w:bottom w:val="none" w:sz="0" w:space="0" w:color="auto"/>
                <w:right w:val="none" w:sz="0" w:space="0" w:color="auto"/>
              </w:divBdr>
            </w:div>
            <w:div w:id="145631397">
              <w:marLeft w:val="0"/>
              <w:marRight w:val="0"/>
              <w:marTop w:val="0"/>
              <w:marBottom w:val="0"/>
              <w:divBdr>
                <w:top w:val="none" w:sz="0" w:space="0" w:color="auto"/>
                <w:left w:val="none" w:sz="0" w:space="0" w:color="auto"/>
                <w:bottom w:val="none" w:sz="0" w:space="0" w:color="auto"/>
                <w:right w:val="none" w:sz="0" w:space="0" w:color="auto"/>
              </w:divBdr>
            </w:div>
            <w:div w:id="1432050295">
              <w:marLeft w:val="0"/>
              <w:marRight w:val="0"/>
              <w:marTop w:val="0"/>
              <w:marBottom w:val="0"/>
              <w:divBdr>
                <w:top w:val="none" w:sz="0" w:space="0" w:color="auto"/>
                <w:left w:val="none" w:sz="0" w:space="0" w:color="auto"/>
                <w:bottom w:val="none" w:sz="0" w:space="0" w:color="auto"/>
                <w:right w:val="none" w:sz="0" w:space="0" w:color="auto"/>
              </w:divBdr>
            </w:div>
            <w:div w:id="905382428">
              <w:marLeft w:val="0"/>
              <w:marRight w:val="0"/>
              <w:marTop w:val="0"/>
              <w:marBottom w:val="0"/>
              <w:divBdr>
                <w:top w:val="none" w:sz="0" w:space="0" w:color="auto"/>
                <w:left w:val="none" w:sz="0" w:space="0" w:color="auto"/>
                <w:bottom w:val="none" w:sz="0" w:space="0" w:color="auto"/>
                <w:right w:val="none" w:sz="0" w:space="0" w:color="auto"/>
              </w:divBdr>
            </w:div>
            <w:div w:id="1491484328">
              <w:marLeft w:val="0"/>
              <w:marRight w:val="0"/>
              <w:marTop w:val="0"/>
              <w:marBottom w:val="0"/>
              <w:divBdr>
                <w:top w:val="none" w:sz="0" w:space="0" w:color="auto"/>
                <w:left w:val="none" w:sz="0" w:space="0" w:color="auto"/>
                <w:bottom w:val="none" w:sz="0" w:space="0" w:color="auto"/>
                <w:right w:val="none" w:sz="0" w:space="0" w:color="auto"/>
              </w:divBdr>
            </w:div>
            <w:div w:id="1364208062">
              <w:marLeft w:val="0"/>
              <w:marRight w:val="0"/>
              <w:marTop w:val="0"/>
              <w:marBottom w:val="0"/>
              <w:divBdr>
                <w:top w:val="none" w:sz="0" w:space="0" w:color="auto"/>
                <w:left w:val="none" w:sz="0" w:space="0" w:color="auto"/>
                <w:bottom w:val="none" w:sz="0" w:space="0" w:color="auto"/>
                <w:right w:val="none" w:sz="0" w:space="0" w:color="auto"/>
              </w:divBdr>
            </w:div>
            <w:div w:id="2074162664">
              <w:marLeft w:val="0"/>
              <w:marRight w:val="0"/>
              <w:marTop w:val="0"/>
              <w:marBottom w:val="0"/>
              <w:divBdr>
                <w:top w:val="none" w:sz="0" w:space="0" w:color="auto"/>
                <w:left w:val="none" w:sz="0" w:space="0" w:color="auto"/>
                <w:bottom w:val="none" w:sz="0" w:space="0" w:color="auto"/>
                <w:right w:val="none" w:sz="0" w:space="0" w:color="auto"/>
              </w:divBdr>
            </w:div>
            <w:div w:id="330762613">
              <w:marLeft w:val="0"/>
              <w:marRight w:val="0"/>
              <w:marTop w:val="0"/>
              <w:marBottom w:val="0"/>
              <w:divBdr>
                <w:top w:val="none" w:sz="0" w:space="0" w:color="auto"/>
                <w:left w:val="none" w:sz="0" w:space="0" w:color="auto"/>
                <w:bottom w:val="none" w:sz="0" w:space="0" w:color="auto"/>
                <w:right w:val="none" w:sz="0" w:space="0" w:color="auto"/>
              </w:divBdr>
            </w:div>
            <w:div w:id="1346323469">
              <w:marLeft w:val="0"/>
              <w:marRight w:val="0"/>
              <w:marTop w:val="0"/>
              <w:marBottom w:val="0"/>
              <w:divBdr>
                <w:top w:val="none" w:sz="0" w:space="0" w:color="auto"/>
                <w:left w:val="none" w:sz="0" w:space="0" w:color="auto"/>
                <w:bottom w:val="none" w:sz="0" w:space="0" w:color="auto"/>
                <w:right w:val="none" w:sz="0" w:space="0" w:color="auto"/>
              </w:divBdr>
            </w:div>
            <w:div w:id="1378237802">
              <w:marLeft w:val="0"/>
              <w:marRight w:val="0"/>
              <w:marTop w:val="0"/>
              <w:marBottom w:val="0"/>
              <w:divBdr>
                <w:top w:val="none" w:sz="0" w:space="0" w:color="auto"/>
                <w:left w:val="none" w:sz="0" w:space="0" w:color="auto"/>
                <w:bottom w:val="none" w:sz="0" w:space="0" w:color="auto"/>
                <w:right w:val="none" w:sz="0" w:space="0" w:color="auto"/>
              </w:divBdr>
            </w:div>
            <w:div w:id="650595269">
              <w:marLeft w:val="0"/>
              <w:marRight w:val="0"/>
              <w:marTop w:val="0"/>
              <w:marBottom w:val="0"/>
              <w:divBdr>
                <w:top w:val="none" w:sz="0" w:space="0" w:color="auto"/>
                <w:left w:val="none" w:sz="0" w:space="0" w:color="auto"/>
                <w:bottom w:val="none" w:sz="0" w:space="0" w:color="auto"/>
                <w:right w:val="none" w:sz="0" w:space="0" w:color="auto"/>
              </w:divBdr>
            </w:div>
            <w:div w:id="1905338997">
              <w:marLeft w:val="0"/>
              <w:marRight w:val="0"/>
              <w:marTop w:val="0"/>
              <w:marBottom w:val="0"/>
              <w:divBdr>
                <w:top w:val="none" w:sz="0" w:space="0" w:color="auto"/>
                <w:left w:val="none" w:sz="0" w:space="0" w:color="auto"/>
                <w:bottom w:val="none" w:sz="0" w:space="0" w:color="auto"/>
                <w:right w:val="none" w:sz="0" w:space="0" w:color="auto"/>
              </w:divBdr>
            </w:div>
            <w:div w:id="1341615833">
              <w:marLeft w:val="0"/>
              <w:marRight w:val="0"/>
              <w:marTop w:val="0"/>
              <w:marBottom w:val="0"/>
              <w:divBdr>
                <w:top w:val="none" w:sz="0" w:space="0" w:color="auto"/>
                <w:left w:val="none" w:sz="0" w:space="0" w:color="auto"/>
                <w:bottom w:val="none" w:sz="0" w:space="0" w:color="auto"/>
                <w:right w:val="none" w:sz="0" w:space="0" w:color="auto"/>
              </w:divBdr>
            </w:div>
            <w:div w:id="612444240">
              <w:marLeft w:val="0"/>
              <w:marRight w:val="0"/>
              <w:marTop w:val="0"/>
              <w:marBottom w:val="0"/>
              <w:divBdr>
                <w:top w:val="none" w:sz="0" w:space="0" w:color="auto"/>
                <w:left w:val="none" w:sz="0" w:space="0" w:color="auto"/>
                <w:bottom w:val="none" w:sz="0" w:space="0" w:color="auto"/>
                <w:right w:val="none" w:sz="0" w:space="0" w:color="auto"/>
              </w:divBdr>
            </w:div>
            <w:div w:id="426196917">
              <w:marLeft w:val="0"/>
              <w:marRight w:val="0"/>
              <w:marTop w:val="0"/>
              <w:marBottom w:val="0"/>
              <w:divBdr>
                <w:top w:val="none" w:sz="0" w:space="0" w:color="auto"/>
                <w:left w:val="none" w:sz="0" w:space="0" w:color="auto"/>
                <w:bottom w:val="none" w:sz="0" w:space="0" w:color="auto"/>
                <w:right w:val="none" w:sz="0" w:space="0" w:color="auto"/>
              </w:divBdr>
            </w:div>
            <w:div w:id="369650569">
              <w:marLeft w:val="0"/>
              <w:marRight w:val="0"/>
              <w:marTop w:val="0"/>
              <w:marBottom w:val="0"/>
              <w:divBdr>
                <w:top w:val="none" w:sz="0" w:space="0" w:color="auto"/>
                <w:left w:val="none" w:sz="0" w:space="0" w:color="auto"/>
                <w:bottom w:val="none" w:sz="0" w:space="0" w:color="auto"/>
                <w:right w:val="none" w:sz="0" w:space="0" w:color="auto"/>
              </w:divBdr>
            </w:div>
            <w:div w:id="61298872">
              <w:marLeft w:val="0"/>
              <w:marRight w:val="0"/>
              <w:marTop w:val="0"/>
              <w:marBottom w:val="0"/>
              <w:divBdr>
                <w:top w:val="none" w:sz="0" w:space="0" w:color="auto"/>
                <w:left w:val="none" w:sz="0" w:space="0" w:color="auto"/>
                <w:bottom w:val="none" w:sz="0" w:space="0" w:color="auto"/>
                <w:right w:val="none" w:sz="0" w:space="0" w:color="auto"/>
              </w:divBdr>
            </w:div>
            <w:div w:id="993727315">
              <w:marLeft w:val="0"/>
              <w:marRight w:val="0"/>
              <w:marTop w:val="0"/>
              <w:marBottom w:val="0"/>
              <w:divBdr>
                <w:top w:val="none" w:sz="0" w:space="0" w:color="auto"/>
                <w:left w:val="none" w:sz="0" w:space="0" w:color="auto"/>
                <w:bottom w:val="none" w:sz="0" w:space="0" w:color="auto"/>
                <w:right w:val="none" w:sz="0" w:space="0" w:color="auto"/>
              </w:divBdr>
            </w:div>
            <w:div w:id="1664429079">
              <w:marLeft w:val="0"/>
              <w:marRight w:val="0"/>
              <w:marTop w:val="0"/>
              <w:marBottom w:val="0"/>
              <w:divBdr>
                <w:top w:val="none" w:sz="0" w:space="0" w:color="auto"/>
                <w:left w:val="none" w:sz="0" w:space="0" w:color="auto"/>
                <w:bottom w:val="none" w:sz="0" w:space="0" w:color="auto"/>
                <w:right w:val="none" w:sz="0" w:space="0" w:color="auto"/>
              </w:divBdr>
            </w:div>
            <w:div w:id="317999977">
              <w:marLeft w:val="0"/>
              <w:marRight w:val="0"/>
              <w:marTop w:val="0"/>
              <w:marBottom w:val="0"/>
              <w:divBdr>
                <w:top w:val="none" w:sz="0" w:space="0" w:color="auto"/>
                <w:left w:val="none" w:sz="0" w:space="0" w:color="auto"/>
                <w:bottom w:val="none" w:sz="0" w:space="0" w:color="auto"/>
                <w:right w:val="none" w:sz="0" w:space="0" w:color="auto"/>
              </w:divBdr>
            </w:div>
            <w:div w:id="647900438">
              <w:marLeft w:val="0"/>
              <w:marRight w:val="0"/>
              <w:marTop w:val="0"/>
              <w:marBottom w:val="0"/>
              <w:divBdr>
                <w:top w:val="none" w:sz="0" w:space="0" w:color="auto"/>
                <w:left w:val="none" w:sz="0" w:space="0" w:color="auto"/>
                <w:bottom w:val="none" w:sz="0" w:space="0" w:color="auto"/>
                <w:right w:val="none" w:sz="0" w:space="0" w:color="auto"/>
              </w:divBdr>
            </w:div>
            <w:div w:id="678772718">
              <w:marLeft w:val="0"/>
              <w:marRight w:val="0"/>
              <w:marTop w:val="0"/>
              <w:marBottom w:val="0"/>
              <w:divBdr>
                <w:top w:val="none" w:sz="0" w:space="0" w:color="auto"/>
                <w:left w:val="none" w:sz="0" w:space="0" w:color="auto"/>
                <w:bottom w:val="none" w:sz="0" w:space="0" w:color="auto"/>
                <w:right w:val="none" w:sz="0" w:space="0" w:color="auto"/>
              </w:divBdr>
            </w:div>
            <w:div w:id="603000167">
              <w:marLeft w:val="0"/>
              <w:marRight w:val="0"/>
              <w:marTop w:val="0"/>
              <w:marBottom w:val="0"/>
              <w:divBdr>
                <w:top w:val="none" w:sz="0" w:space="0" w:color="auto"/>
                <w:left w:val="none" w:sz="0" w:space="0" w:color="auto"/>
                <w:bottom w:val="none" w:sz="0" w:space="0" w:color="auto"/>
                <w:right w:val="none" w:sz="0" w:space="0" w:color="auto"/>
              </w:divBdr>
            </w:div>
            <w:div w:id="1171531347">
              <w:marLeft w:val="0"/>
              <w:marRight w:val="0"/>
              <w:marTop w:val="0"/>
              <w:marBottom w:val="0"/>
              <w:divBdr>
                <w:top w:val="none" w:sz="0" w:space="0" w:color="auto"/>
                <w:left w:val="none" w:sz="0" w:space="0" w:color="auto"/>
                <w:bottom w:val="none" w:sz="0" w:space="0" w:color="auto"/>
                <w:right w:val="none" w:sz="0" w:space="0" w:color="auto"/>
              </w:divBdr>
            </w:div>
            <w:div w:id="1393963329">
              <w:marLeft w:val="0"/>
              <w:marRight w:val="0"/>
              <w:marTop w:val="0"/>
              <w:marBottom w:val="0"/>
              <w:divBdr>
                <w:top w:val="none" w:sz="0" w:space="0" w:color="auto"/>
                <w:left w:val="none" w:sz="0" w:space="0" w:color="auto"/>
                <w:bottom w:val="none" w:sz="0" w:space="0" w:color="auto"/>
                <w:right w:val="none" w:sz="0" w:space="0" w:color="auto"/>
              </w:divBdr>
            </w:div>
            <w:div w:id="511145354">
              <w:marLeft w:val="0"/>
              <w:marRight w:val="0"/>
              <w:marTop w:val="0"/>
              <w:marBottom w:val="0"/>
              <w:divBdr>
                <w:top w:val="none" w:sz="0" w:space="0" w:color="auto"/>
                <w:left w:val="none" w:sz="0" w:space="0" w:color="auto"/>
                <w:bottom w:val="none" w:sz="0" w:space="0" w:color="auto"/>
                <w:right w:val="none" w:sz="0" w:space="0" w:color="auto"/>
              </w:divBdr>
            </w:div>
            <w:div w:id="1785690319">
              <w:marLeft w:val="0"/>
              <w:marRight w:val="0"/>
              <w:marTop w:val="0"/>
              <w:marBottom w:val="0"/>
              <w:divBdr>
                <w:top w:val="none" w:sz="0" w:space="0" w:color="auto"/>
                <w:left w:val="none" w:sz="0" w:space="0" w:color="auto"/>
                <w:bottom w:val="none" w:sz="0" w:space="0" w:color="auto"/>
                <w:right w:val="none" w:sz="0" w:space="0" w:color="auto"/>
              </w:divBdr>
            </w:div>
            <w:div w:id="1321152205">
              <w:marLeft w:val="0"/>
              <w:marRight w:val="0"/>
              <w:marTop w:val="0"/>
              <w:marBottom w:val="0"/>
              <w:divBdr>
                <w:top w:val="none" w:sz="0" w:space="0" w:color="auto"/>
                <w:left w:val="none" w:sz="0" w:space="0" w:color="auto"/>
                <w:bottom w:val="none" w:sz="0" w:space="0" w:color="auto"/>
                <w:right w:val="none" w:sz="0" w:space="0" w:color="auto"/>
              </w:divBdr>
            </w:div>
            <w:div w:id="394861903">
              <w:marLeft w:val="0"/>
              <w:marRight w:val="0"/>
              <w:marTop w:val="0"/>
              <w:marBottom w:val="0"/>
              <w:divBdr>
                <w:top w:val="none" w:sz="0" w:space="0" w:color="auto"/>
                <w:left w:val="none" w:sz="0" w:space="0" w:color="auto"/>
                <w:bottom w:val="none" w:sz="0" w:space="0" w:color="auto"/>
                <w:right w:val="none" w:sz="0" w:space="0" w:color="auto"/>
              </w:divBdr>
            </w:div>
            <w:div w:id="1850832048">
              <w:marLeft w:val="0"/>
              <w:marRight w:val="0"/>
              <w:marTop w:val="0"/>
              <w:marBottom w:val="0"/>
              <w:divBdr>
                <w:top w:val="none" w:sz="0" w:space="0" w:color="auto"/>
                <w:left w:val="none" w:sz="0" w:space="0" w:color="auto"/>
                <w:bottom w:val="none" w:sz="0" w:space="0" w:color="auto"/>
                <w:right w:val="none" w:sz="0" w:space="0" w:color="auto"/>
              </w:divBdr>
            </w:div>
            <w:div w:id="482619864">
              <w:marLeft w:val="0"/>
              <w:marRight w:val="0"/>
              <w:marTop w:val="0"/>
              <w:marBottom w:val="0"/>
              <w:divBdr>
                <w:top w:val="none" w:sz="0" w:space="0" w:color="auto"/>
                <w:left w:val="none" w:sz="0" w:space="0" w:color="auto"/>
                <w:bottom w:val="none" w:sz="0" w:space="0" w:color="auto"/>
                <w:right w:val="none" w:sz="0" w:space="0" w:color="auto"/>
              </w:divBdr>
            </w:div>
            <w:div w:id="1300914094">
              <w:marLeft w:val="0"/>
              <w:marRight w:val="0"/>
              <w:marTop w:val="0"/>
              <w:marBottom w:val="0"/>
              <w:divBdr>
                <w:top w:val="none" w:sz="0" w:space="0" w:color="auto"/>
                <w:left w:val="none" w:sz="0" w:space="0" w:color="auto"/>
                <w:bottom w:val="none" w:sz="0" w:space="0" w:color="auto"/>
                <w:right w:val="none" w:sz="0" w:space="0" w:color="auto"/>
              </w:divBdr>
            </w:div>
            <w:div w:id="695934367">
              <w:marLeft w:val="0"/>
              <w:marRight w:val="0"/>
              <w:marTop w:val="0"/>
              <w:marBottom w:val="0"/>
              <w:divBdr>
                <w:top w:val="none" w:sz="0" w:space="0" w:color="auto"/>
                <w:left w:val="none" w:sz="0" w:space="0" w:color="auto"/>
                <w:bottom w:val="none" w:sz="0" w:space="0" w:color="auto"/>
                <w:right w:val="none" w:sz="0" w:space="0" w:color="auto"/>
              </w:divBdr>
            </w:div>
            <w:div w:id="1727605096">
              <w:marLeft w:val="0"/>
              <w:marRight w:val="0"/>
              <w:marTop w:val="0"/>
              <w:marBottom w:val="0"/>
              <w:divBdr>
                <w:top w:val="none" w:sz="0" w:space="0" w:color="auto"/>
                <w:left w:val="none" w:sz="0" w:space="0" w:color="auto"/>
                <w:bottom w:val="none" w:sz="0" w:space="0" w:color="auto"/>
                <w:right w:val="none" w:sz="0" w:space="0" w:color="auto"/>
              </w:divBdr>
            </w:div>
            <w:div w:id="268896666">
              <w:marLeft w:val="0"/>
              <w:marRight w:val="0"/>
              <w:marTop w:val="0"/>
              <w:marBottom w:val="0"/>
              <w:divBdr>
                <w:top w:val="none" w:sz="0" w:space="0" w:color="auto"/>
                <w:left w:val="none" w:sz="0" w:space="0" w:color="auto"/>
                <w:bottom w:val="none" w:sz="0" w:space="0" w:color="auto"/>
                <w:right w:val="none" w:sz="0" w:space="0" w:color="auto"/>
              </w:divBdr>
            </w:div>
            <w:div w:id="1950353088">
              <w:marLeft w:val="0"/>
              <w:marRight w:val="0"/>
              <w:marTop w:val="0"/>
              <w:marBottom w:val="0"/>
              <w:divBdr>
                <w:top w:val="none" w:sz="0" w:space="0" w:color="auto"/>
                <w:left w:val="none" w:sz="0" w:space="0" w:color="auto"/>
                <w:bottom w:val="none" w:sz="0" w:space="0" w:color="auto"/>
                <w:right w:val="none" w:sz="0" w:space="0" w:color="auto"/>
              </w:divBdr>
            </w:div>
            <w:div w:id="1989284115">
              <w:marLeft w:val="0"/>
              <w:marRight w:val="0"/>
              <w:marTop w:val="0"/>
              <w:marBottom w:val="0"/>
              <w:divBdr>
                <w:top w:val="none" w:sz="0" w:space="0" w:color="auto"/>
                <w:left w:val="none" w:sz="0" w:space="0" w:color="auto"/>
                <w:bottom w:val="none" w:sz="0" w:space="0" w:color="auto"/>
                <w:right w:val="none" w:sz="0" w:space="0" w:color="auto"/>
              </w:divBdr>
            </w:div>
            <w:div w:id="62527748">
              <w:marLeft w:val="0"/>
              <w:marRight w:val="0"/>
              <w:marTop w:val="0"/>
              <w:marBottom w:val="0"/>
              <w:divBdr>
                <w:top w:val="none" w:sz="0" w:space="0" w:color="auto"/>
                <w:left w:val="none" w:sz="0" w:space="0" w:color="auto"/>
                <w:bottom w:val="none" w:sz="0" w:space="0" w:color="auto"/>
                <w:right w:val="none" w:sz="0" w:space="0" w:color="auto"/>
              </w:divBdr>
            </w:div>
            <w:div w:id="1025403077">
              <w:marLeft w:val="0"/>
              <w:marRight w:val="0"/>
              <w:marTop w:val="0"/>
              <w:marBottom w:val="0"/>
              <w:divBdr>
                <w:top w:val="none" w:sz="0" w:space="0" w:color="auto"/>
                <w:left w:val="none" w:sz="0" w:space="0" w:color="auto"/>
                <w:bottom w:val="none" w:sz="0" w:space="0" w:color="auto"/>
                <w:right w:val="none" w:sz="0" w:space="0" w:color="auto"/>
              </w:divBdr>
            </w:div>
            <w:div w:id="1943302098">
              <w:marLeft w:val="0"/>
              <w:marRight w:val="0"/>
              <w:marTop w:val="0"/>
              <w:marBottom w:val="0"/>
              <w:divBdr>
                <w:top w:val="none" w:sz="0" w:space="0" w:color="auto"/>
                <w:left w:val="none" w:sz="0" w:space="0" w:color="auto"/>
                <w:bottom w:val="none" w:sz="0" w:space="0" w:color="auto"/>
                <w:right w:val="none" w:sz="0" w:space="0" w:color="auto"/>
              </w:divBdr>
            </w:div>
            <w:div w:id="41249145">
              <w:marLeft w:val="0"/>
              <w:marRight w:val="0"/>
              <w:marTop w:val="0"/>
              <w:marBottom w:val="0"/>
              <w:divBdr>
                <w:top w:val="none" w:sz="0" w:space="0" w:color="auto"/>
                <w:left w:val="none" w:sz="0" w:space="0" w:color="auto"/>
                <w:bottom w:val="none" w:sz="0" w:space="0" w:color="auto"/>
                <w:right w:val="none" w:sz="0" w:space="0" w:color="auto"/>
              </w:divBdr>
            </w:div>
            <w:div w:id="1555921373">
              <w:marLeft w:val="0"/>
              <w:marRight w:val="0"/>
              <w:marTop w:val="0"/>
              <w:marBottom w:val="0"/>
              <w:divBdr>
                <w:top w:val="none" w:sz="0" w:space="0" w:color="auto"/>
                <w:left w:val="none" w:sz="0" w:space="0" w:color="auto"/>
                <w:bottom w:val="none" w:sz="0" w:space="0" w:color="auto"/>
                <w:right w:val="none" w:sz="0" w:space="0" w:color="auto"/>
              </w:divBdr>
            </w:div>
            <w:div w:id="937521144">
              <w:marLeft w:val="0"/>
              <w:marRight w:val="0"/>
              <w:marTop w:val="0"/>
              <w:marBottom w:val="0"/>
              <w:divBdr>
                <w:top w:val="none" w:sz="0" w:space="0" w:color="auto"/>
                <w:left w:val="none" w:sz="0" w:space="0" w:color="auto"/>
                <w:bottom w:val="none" w:sz="0" w:space="0" w:color="auto"/>
                <w:right w:val="none" w:sz="0" w:space="0" w:color="auto"/>
              </w:divBdr>
            </w:div>
            <w:div w:id="385026891">
              <w:marLeft w:val="0"/>
              <w:marRight w:val="0"/>
              <w:marTop w:val="0"/>
              <w:marBottom w:val="0"/>
              <w:divBdr>
                <w:top w:val="none" w:sz="0" w:space="0" w:color="auto"/>
                <w:left w:val="none" w:sz="0" w:space="0" w:color="auto"/>
                <w:bottom w:val="none" w:sz="0" w:space="0" w:color="auto"/>
                <w:right w:val="none" w:sz="0" w:space="0" w:color="auto"/>
              </w:divBdr>
            </w:div>
            <w:div w:id="1486891493">
              <w:marLeft w:val="0"/>
              <w:marRight w:val="0"/>
              <w:marTop w:val="0"/>
              <w:marBottom w:val="0"/>
              <w:divBdr>
                <w:top w:val="none" w:sz="0" w:space="0" w:color="auto"/>
                <w:left w:val="none" w:sz="0" w:space="0" w:color="auto"/>
                <w:bottom w:val="none" w:sz="0" w:space="0" w:color="auto"/>
                <w:right w:val="none" w:sz="0" w:space="0" w:color="auto"/>
              </w:divBdr>
            </w:div>
            <w:div w:id="1110319360">
              <w:marLeft w:val="0"/>
              <w:marRight w:val="0"/>
              <w:marTop w:val="0"/>
              <w:marBottom w:val="0"/>
              <w:divBdr>
                <w:top w:val="none" w:sz="0" w:space="0" w:color="auto"/>
                <w:left w:val="none" w:sz="0" w:space="0" w:color="auto"/>
                <w:bottom w:val="none" w:sz="0" w:space="0" w:color="auto"/>
                <w:right w:val="none" w:sz="0" w:space="0" w:color="auto"/>
              </w:divBdr>
            </w:div>
            <w:div w:id="506750795">
              <w:marLeft w:val="0"/>
              <w:marRight w:val="0"/>
              <w:marTop w:val="0"/>
              <w:marBottom w:val="0"/>
              <w:divBdr>
                <w:top w:val="none" w:sz="0" w:space="0" w:color="auto"/>
                <w:left w:val="none" w:sz="0" w:space="0" w:color="auto"/>
                <w:bottom w:val="none" w:sz="0" w:space="0" w:color="auto"/>
                <w:right w:val="none" w:sz="0" w:space="0" w:color="auto"/>
              </w:divBdr>
            </w:div>
            <w:div w:id="1492404447">
              <w:marLeft w:val="0"/>
              <w:marRight w:val="0"/>
              <w:marTop w:val="0"/>
              <w:marBottom w:val="0"/>
              <w:divBdr>
                <w:top w:val="none" w:sz="0" w:space="0" w:color="auto"/>
                <w:left w:val="none" w:sz="0" w:space="0" w:color="auto"/>
                <w:bottom w:val="none" w:sz="0" w:space="0" w:color="auto"/>
                <w:right w:val="none" w:sz="0" w:space="0" w:color="auto"/>
              </w:divBdr>
            </w:div>
            <w:div w:id="1028264142">
              <w:marLeft w:val="0"/>
              <w:marRight w:val="0"/>
              <w:marTop w:val="0"/>
              <w:marBottom w:val="0"/>
              <w:divBdr>
                <w:top w:val="none" w:sz="0" w:space="0" w:color="auto"/>
                <w:left w:val="none" w:sz="0" w:space="0" w:color="auto"/>
                <w:bottom w:val="none" w:sz="0" w:space="0" w:color="auto"/>
                <w:right w:val="none" w:sz="0" w:space="0" w:color="auto"/>
              </w:divBdr>
            </w:div>
            <w:div w:id="843472447">
              <w:marLeft w:val="0"/>
              <w:marRight w:val="0"/>
              <w:marTop w:val="0"/>
              <w:marBottom w:val="0"/>
              <w:divBdr>
                <w:top w:val="none" w:sz="0" w:space="0" w:color="auto"/>
                <w:left w:val="none" w:sz="0" w:space="0" w:color="auto"/>
                <w:bottom w:val="none" w:sz="0" w:space="0" w:color="auto"/>
                <w:right w:val="none" w:sz="0" w:space="0" w:color="auto"/>
              </w:divBdr>
            </w:div>
            <w:div w:id="760830832">
              <w:marLeft w:val="0"/>
              <w:marRight w:val="0"/>
              <w:marTop w:val="0"/>
              <w:marBottom w:val="0"/>
              <w:divBdr>
                <w:top w:val="none" w:sz="0" w:space="0" w:color="auto"/>
                <w:left w:val="none" w:sz="0" w:space="0" w:color="auto"/>
                <w:bottom w:val="none" w:sz="0" w:space="0" w:color="auto"/>
                <w:right w:val="none" w:sz="0" w:space="0" w:color="auto"/>
              </w:divBdr>
            </w:div>
            <w:div w:id="108939440">
              <w:marLeft w:val="0"/>
              <w:marRight w:val="0"/>
              <w:marTop w:val="0"/>
              <w:marBottom w:val="0"/>
              <w:divBdr>
                <w:top w:val="none" w:sz="0" w:space="0" w:color="auto"/>
                <w:left w:val="none" w:sz="0" w:space="0" w:color="auto"/>
                <w:bottom w:val="none" w:sz="0" w:space="0" w:color="auto"/>
                <w:right w:val="none" w:sz="0" w:space="0" w:color="auto"/>
              </w:divBdr>
            </w:div>
            <w:div w:id="771045845">
              <w:marLeft w:val="0"/>
              <w:marRight w:val="0"/>
              <w:marTop w:val="0"/>
              <w:marBottom w:val="0"/>
              <w:divBdr>
                <w:top w:val="none" w:sz="0" w:space="0" w:color="auto"/>
                <w:left w:val="none" w:sz="0" w:space="0" w:color="auto"/>
                <w:bottom w:val="none" w:sz="0" w:space="0" w:color="auto"/>
                <w:right w:val="none" w:sz="0" w:space="0" w:color="auto"/>
              </w:divBdr>
            </w:div>
            <w:div w:id="661271796">
              <w:marLeft w:val="0"/>
              <w:marRight w:val="0"/>
              <w:marTop w:val="0"/>
              <w:marBottom w:val="0"/>
              <w:divBdr>
                <w:top w:val="none" w:sz="0" w:space="0" w:color="auto"/>
                <w:left w:val="none" w:sz="0" w:space="0" w:color="auto"/>
                <w:bottom w:val="none" w:sz="0" w:space="0" w:color="auto"/>
                <w:right w:val="none" w:sz="0" w:space="0" w:color="auto"/>
              </w:divBdr>
            </w:div>
            <w:div w:id="218395459">
              <w:marLeft w:val="0"/>
              <w:marRight w:val="0"/>
              <w:marTop w:val="0"/>
              <w:marBottom w:val="0"/>
              <w:divBdr>
                <w:top w:val="none" w:sz="0" w:space="0" w:color="auto"/>
                <w:left w:val="none" w:sz="0" w:space="0" w:color="auto"/>
                <w:bottom w:val="none" w:sz="0" w:space="0" w:color="auto"/>
                <w:right w:val="none" w:sz="0" w:space="0" w:color="auto"/>
              </w:divBdr>
            </w:div>
            <w:div w:id="2002199271">
              <w:marLeft w:val="0"/>
              <w:marRight w:val="0"/>
              <w:marTop w:val="0"/>
              <w:marBottom w:val="0"/>
              <w:divBdr>
                <w:top w:val="none" w:sz="0" w:space="0" w:color="auto"/>
                <w:left w:val="none" w:sz="0" w:space="0" w:color="auto"/>
                <w:bottom w:val="none" w:sz="0" w:space="0" w:color="auto"/>
                <w:right w:val="none" w:sz="0" w:space="0" w:color="auto"/>
              </w:divBdr>
            </w:div>
            <w:div w:id="316619410">
              <w:marLeft w:val="0"/>
              <w:marRight w:val="0"/>
              <w:marTop w:val="0"/>
              <w:marBottom w:val="0"/>
              <w:divBdr>
                <w:top w:val="none" w:sz="0" w:space="0" w:color="auto"/>
                <w:left w:val="none" w:sz="0" w:space="0" w:color="auto"/>
                <w:bottom w:val="none" w:sz="0" w:space="0" w:color="auto"/>
                <w:right w:val="none" w:sz="0" w:space="0" w:color="auto"/>
              </w:divBdr>
            </w:div>
            <w:div w:id="140075427">
              <w:marLeft w:val="0"/>
              <w:marRight w:val="0"/>
              <w:marTop w:val="0"/>
              <w:marBottom w:val="0"/>
              <w:divBdr>
                <w:top w:val="none" w:sz="0" w:space="0" w:color="auto"/>
                <w:left w:val="none" w:sz="0" w:space="0" w:color="auto"/>
                <w:bottom w:val="none" w:sz="0" w:space="0" w:color="auto"/>
                <w:right w:val="none" w:sz="0" w:space="0" w:color="auto"/>
              </w:divBdr>
            </w:div>
            <w:div w:id="1293747164">
              <w:marLeft w:val="0"/>
              <w:marRight w:val="0"/>
              <w:marTop w:val="0"/>
              <w:marBottom w:val="0"/>
              <w:divBdr>
                <w:top w:val="none" w:sz="0" w:space="0" w:color="auto"/>
                <w:left w:val="none" w:sz="0" w:space="0" w:color="auto"/>
                <w:bottom w:val="none" w:sz="0" w:space="0" w:color="auto"/>
                <w:right w:val="none" w:sz="0" w:space="0" w:color="auto"/>
              </w:divBdr>
            </w:div>
            <w:div w:id="408893395">
              <w:marLeft w:val="0"/>
              <w:marRight w:val="0"/>
              <w:marTop w:val="0"/>
              <w:marBottom w:val="0"/>
              <w:divBdr>
                <w:top w:val="none" w:sz="0" w:space="0" w:color="auto"/>
                <w:left w:val="none" w:sz="0" w:space="0" w:color="auto"/>
                <w:bottom w:val="none" w:sz="0" w:space="0" w:color="auto"/>
                <w:right w:val="none" w:sz="0" w:space="0" w:color="auto"/>
              </w:divBdr>
            </w:div>
            <w:div w:id="1132791360">
              <w:marLeft w:val="0"/>
              <w:marRight w:val="0"/>
              <w:marTop w:val="0"/>
              <w:marBottom w:val="0"/>
              <w:divBdr>
                <w:top w:val="none" w:sz="0" w:space="0" w:color="auto"/>
                <w:left w:val="none" w:sz="0" w:space="0" w:color="auto"/>
                <w:bottom w:val="none" w:sz="0" w:space="0" w:color="auto"/>
                <w:right w:val="none" w:sz="0" w:space="0" w:color="auto"/>
              </w:divBdr>
            </w:div>
            <w:div w:id="1106117914">
              <w:marLeft w:val="0"/>
              <w:marRight w:val="0"/>
              <w:marTop w:val="0"/>
              <w:marBottom w:val="0"/>
              <w:divBdr>
                <w:top w:val="none" w:sz="0" w:space="0" w:color="auto"/>
                <w:left w:val="none" w:sz="0" w:space="0" w:color="auto"/>
                <w:bottom w:val="none" w:sz="0" w:space="0" w:color="auto"/>
                <w:right w:val="none" w:sz="0" w:space="0" w:color="auto"/>
              </w:divBdr>
            </w:div>
            <w:div w:id="994146695">
              <w:marLeft w:val="0"/>
              <w:marRight w:val="0"/>
              <w:marTop w:val="0"/>
              <w:marBottom w:val="0"/>
              <w:divBdr>
                <w:top w:val="none" w:sz="0" w:space="0" w:color="auto"/>
                <w:left w:val="none" w:sz="0" w:space="0" w:color="auto"/>
                <w:bottom w:val="none" w:sz="0" w:space="0" w:color="auto"/>
                <w:right w:val="none" w:sz="0" w:space="0" w:color="auto"/>
              </w:divBdr>
            </w:div>
            <w:div w:id="1701780806">
              <w:marLeft w:val="0"/>
              <w:marRight w:val="0"/>
              <w:marTop w:val="0"/>
              <w:marBottom w:val="0"/>
              <w:divBdr>
                <w:top w:val="none" w:sz="0" w:space="0" w:color="auto"/>
                <w:left w:val="none" w:sz="0" w:space="0" w:color="auto"/>
                <w:bottom w:val="none" w:sz="0" w:space="0" w:color="auto"/>
                <w:right w:val="none" w:sz="0" w:space="0" w:color="auto"/>
              </w:divBdr>
            </w:div>
            <w:div w:id="154222037">
              <w:marLeft w:val="0"/>
              <w:marRight w:val="0"/>
              <w:marTop w:val="0"/>
              <w:marBottom w:val="0"/>
              <w:divBdr>
                <w:top w:val="none" w:sz="0" w:space="0" w:color="auto"/>
                <w:left w:val="none" w:sz="0" w:space="0" w:color="auto"/>
                <w:bottom w:val="none" w:sz="0" w:space="0" w:color="auto"/>
                <w:right w:val="none" w:sz="0" w:space="0" w:color="auto"/>
              </w:divBdr>
            </w:div>
            <w:div w:id="768503102">
              <w:marLeft w:val="0"/>
              <w:marRight w:val="0"/>
              <w:marTop w:val="0"/>
              <w:marBottom w:val="0"/>
              <w:divBdr>
                <w:top w:val="none" w:sz="0" w:space="0" w:color="auto"/>
                <w:left w:val="none" w:sz="0" w:space="0" w:color="auto"/>
                <w:bottom w:val="none" w:sz="0" w:space="0" w:color="auto"/>
                <w:right w:val="none" w:sz="0" w:space="0" w:color="auto"/>
              </w:divBdr>
            </w:div>
            <w:div w:id="340397255">
              <w:marLeft w:val="0"/>
              <w:marRight w:val="0"/>
              <w:marTop w:val="0"/>
              <w:marBottom w:val="0"/>
              <w:divBdr>
                <w:top w:val="none" w:sz="0" w:space="0" w:color="auto"/>
                <w:left w:val="none" w:sz="0" w:space="0" w:color="auto"/>
                <w:bottom w:val="none" w:sz="0" w:space="0" w:color="auto"/>
                <w:right w:val="none" w:sz="0" w:space="0" w:color="auto"/>
              </w:divBdr>
            </w:div>
            <w:div w:id="1006665160">
              <w:marLeft w:val="0"/>
              <w:marRight w:val="0"/>
              <w:marTop w:val="0"/>
              <w:marBottom w:val="0"/>
              <w:divBdr>
                <w:top w:val="none" w:sz="0" w:space="0" w:color="auto"/>
                <w:left w:val="none" w:sz="0" w:space="0" w:color="auto"/>
                <w:bottom w:val="none" w:sz="0" w:space="0" w:color="auto"/>
                <w:right w:val="none" w:sz="0" w:space="0" w:color="auto"/>
              </w:divBdr>
            </w:div>
            <w:div w:id="83262646">
              <w:marLeft w:val="0"/>
              <w:marRight w:val="0"/>
              <w:marTop w:val="0"/>
              <w:marBottom w:val="0"/>
              <w:divBdr>
                <w:top w:val="none" w:sz="0" w:space="0" w:color="auto"/>
                <w:left w:val="none" w:sz="0" w:space="0" w:color="auto"/>
                <w:bottom w:val="none" w:sz="0" w:space="0" w:color="auto"/>
                <w:right w:val="none" w:sz="0" w:space="0" w:color="auto"/>
              </w:divBdr>
            </w:div>
            <w:div w:id="1977372971">
              <w:marLeft w:val="0"/>
              <w:marRight w:val="0"/>
              <w:marTop w:val="0"/>
              <w:marBottom w:val="0"/>
              <w:divBdr>
                <w:top w:val="none" w:sz="0" w:space="0" w:color="auto"/>
                <w:left w:val="none" w:sz="0" w:space="0" w:color="auto"/>
                <w:bottom w:val="none" w:sz="0" w:space="0" w:color="auto"/>
                <w:right w:val="none" w:sz="0" w:space="0" w:color="auto"/>
              </w:divBdr>
            </w:div>
            <w:div w:id="1813214289">
              <w:marLeft w:val="0"/>
              <w:marRight w:val="0"/>
              <w:marTop w:val="0"/>
              <w:marBottom w:val="0"/>
              <w:divBdr>
                <w:top w:val="none" w:sz="0" w:space="0" w:color="auto"/>
                <w:left w:val="none" w:sz="0" w:space="0" w:color="auto"/>
                <w:bottom w:val="none" w:sz="0" w:space="0" w:color="auto"/>
                <w:right w:val="none" w:sz="0" w:space="0" w:color="auto"/>
              </w:divBdr>
            </w:div>
            <w:div w:id="1798067037">
              <w:marLeft w:val="0"/>
              <w:marRight w:val="0"/>
              <w:marTop w:val="0"/>
              <w:marBottom w:val="0"/>
              <w:divBdr>
                <w:top w:val="none" w:sz="0" w:space="0" w:color="auto"/>
                <w:left w:val="none" w:sz="0" w:space="0" w:color="auto"/>
                <w:bottom w:val="none" w:sz="0" w:space="0" w:color="auto"/>
                <w:right w:val="none" w:sz="0" w:space="0" w:color="auto"/>
              </w:divBdr>
            </w:div>
            <w:div w:id="1227574244">
              <w:marLeft w:val="0"/>
              <w:marRight w:val="0"/>
              <w:marTop w:val="0"/>
              <w:marBottom w:val="0"/>
              <w:divBdr>
                <w:top w:val="none" w:sz="0" w:space="0" w:color="auto"/>
                <w:left w:val="none" w:sz="0" w:space="0" w:color="auto"/>
                <w:bottom w:val="none" w:sz="0" w:space="0" w:color="auto"/>
                <w:right w:val="none" w:sz="0" w:space="0" w:color="auto"/>
              </w:divBdr>
            </w:div>
            <w:div w:id="1987009229">
              <w:marLeft w:val="0"/>
              <w:marRight w:val="0"/>
              <w:marTop w:val="0"/>
              <w:marBottom w:val="0"/>
              <w:divBdr>
                <w:top w:val="none" w:sz="0" w:space="0" w:color="auto"/>
                <w:left w:val="none" w:sz="0" w:space="0" w:color="auto"/>
                <w:bottom w:val="none" w:sz="0" w:space="0" w:color="auto"/>
                <w:right w:val="none" w:sz="0" w:space="0" w:color="auto"/>
              </w:divBdr>
            </w:div>
            <w:div w:id="247080748">
              <w:marLeft w:val="0"/>
              <w:marRight w:val="0"/>
              <w:marTop w:val="0"/>
              <w:marBottom w:val="0"/>
              <w:divBdr>
                <w:top w:val="none" w:sz="0" w:space="0" w:color="auto"/>
                <w:left w:val="none" w:sz="0" w:space="0" w:color="auto"/>
                <w:bottom w:val="none" w:sz="0" w:space="0" w:color="auto"/>
                <w:right w:val="none" w:sz="0" w:space="0" w:color="auto"/>
              </w:divBdr>
            </w:div>
            <w:div w:id="1354499084">
              <w:marLeft w:val="0"/>
              <w:marRight w:val="0"/>
              <w:marTop w:val="0"/>
              <w:marBottom w:val="0"/>
              <w:divBdr>
                <w:top w:val="none" w:sz="0" w:space="0" w:color="auto"/>
                <w:left w:val="none" w:sz="0" w:space="0" w:color="auto"/>
                <w:bottom w:val="none" w:sz="0" w:space="0" w:color="auto"/>
                <w:right w:val="none" w:sz="0" w:space="0" w:color="auto"/>
              </w:divBdr>
            </w:div>
            <w:div w:id="1447235507">
              <w:marLeft w:val="0"/>
              <w:marRight w:val="0"/>
              <w:marTop w:val="0"/>
              <w:marBottom w:val="0"/>
              <w:divBdr>
                <w:top w:val="none" w:sz="0" w:space="0" w:color="auto"/>
                <w:left w:val="none" w:sz="0" w:space="0" w:color="auto"/>
                <w:bottom w:val="none" w:sz="0" w:space="0" w:color="auto"/>
                <w:right w:val="none" w:sz="0" w:space="0" w:color="auto"/>
              </w:divBdr>
            </w:div>
            <w:div w:id="1294827319">
              <w:marLeft w:val="0"/>
              <w:marRight w:val="0"/>
              <w:marTop w:val="0"/>
              <w:marBottom w:val="0"/>
              <w:divBdr>
                <w:top w:val="none" w:sz="0" w:space="0" w:color="auto"/>
                <w:left w:val="none" w:sz="0" w:space="0" w:color="auto"/>
                <w:bottom w:val="none" w:sz="0" w:space="0" w:color="auto"/>
                <w:right w:val="none" w:sz="0" w:space="0" w:color="auto"/>
              </w:divBdr>
            </w:div>
            <w:div w:id="121769816">
              <w:marLeft w:val="0"/>
              <w:marRight w:val="0"/>
              <w:marTop w:val="0"/>
              <w:marBottom w:val="0"/>
              <w:divBdr>
                <w:top w:val="none" w:sz="0" w:space="0" w:color="auto"/>
                <w:left w:val="none" w:sz="0" w:space="0" w:color="auto"/>
                <w:bottom w:val="none" w:sz="0" w:space="0" w:color="auto"/>
                <w:right w:val="none" w:sz="0" w:space="0" w:color="auto"/>
              </w:divBdr>
            </w:div>
            <w:div w:id="630863931">
              <w:marLeft w:val="0"/>
              <w:marRight w:val="0"/>
              <w:marTop w:val="0"/>
              <w:marBottom w:val="0"/>
              <w:divBdr>
                <w:top w:val="none" w:sz="0" w:space="0" w:color="auto"/>
                <w:left w:val="none" w:sz="0" w:space="0" w:color="auto"/>
                <w:bottom w:val="none" w:sz="0" w:space="0" w:color="auto"/>
                <w:right w:val="none" w:sz="0" w:space="0" w:color="auto"/>
              </w:divBdr>
            </w:div>
            <w:div w:id="1471164571">
              <w:marLeft w:val="0"/>
              <w:marRight w:val="0"/>
              <w:marTop w:val="0"/>
              <w:marBottom w:val="0"/>
              <w:divBdr>
                <w:top w:val="none" w:sz="0" w:space="0" w:color="auto"/>
                <w:left w:val="none" w:sz="0" w:space="0" w:color="auto"/>
                <w:bottom w:val="none" w:sz="0" w:space="0" w:color="auto"/>
                <w:right w:val="none" w:sz="0" w:space="0" w:color="auto"/>
              </w:divBdr>
            </w:div>
            <w:div w:id="1116101610">
              <w:marLeft w:val="0"/>
              <w:marRight w:val="0"/>
              <w:marTop w:val="0"/>
              <w:marBottom w:val="0"/>
              <w:divBdr>
                <w:top w:val="none" w:sz="0" w:space="0" w:color="auto"/>
                <w:left w:val="none" w:sz="0" w:space="0" w:color="auto"/>
                <w:bottom w:val="none" w:sz="0" w:space="0" w:color="auto"/>
                <w:right w:val="none" w:sz="0" w:space="0" w:color="auto"/>
              </w:divBdr>
            </w:div>
            <w:div w:id="1346441432">
              <w:marLeft w:val="0"/>
              <w:marRight w:val="0"/>
              <w:marTop w:val="0"/>
              <w:marBottom w:val="0"/>
              <w:divBdr>
                <w:top w:val="none" w:sz="0" w:space="0" w:color="auto"/>
                <w:left w:val="none" w:sz="0" w:space="0" w:color="auto"/>
                <w:bottom w:val="none" w:sz="0" w:space="0" w:color="auto"/>
                <w:right w:val="none" w:sz="0" w:space="0" w:color="auto"/>
              </w:divBdr>
            </w:div>
            <w:div w:id="866334206">
              <w:marLeft w:val="0"/>
              <w:marRight w:val="0"/>
              <w:marTop w:val="0"/>
              <w:marBottom w:val="0"/>
              <w:divBdr>
                <w:top w:val="none" w:sz="0" w:space="0" w:color="auto"/>
                <w:left w:val="none" w:sz="0" w:space="0" w:color="auto"/>
                <w:bottom w:val="none" w:sz="0" w:space="0" w:color="auto"/>
                <w:right w:val="none" w:sz="0" w:space="0" w:color="auto"/>
              </w:divBdr>
            </w:div>
            <w:div w:id="1509254956">
              <w:marLeft w:val="0"/>
              <w:marRight w:val="0"/>
              <w:marTop w:val="0"/>
              <w:marBottom w:val="0"/>
              <w:divBdr>
                <w:top w:val="none" w:sz="0" w:space="0" w:color="auto"/>
                <w:left w:val="none" w:sz="0" w:space="0" w:color="auto"/>
                <w:bottom w:val="none" w:sz="0" w:space="0" w:color="auto"/>
                <w:right w:val="none" w:sz="0" w:space="0" w:color="auto"/>
              </w:divBdr>
            </w:div>
            <w:div w:id="975649130">
              <w:marLeft w:val="0"/>
              <w:marRight w:val="0"/>
              <w:marTop w:val="0"/>
              <w:marBottom w:val="0"/>
              <w:divBdr>
                <w:top w:val="none" w:sz="0" w:space="0" w:color="auto"/>
                <w:left w:val="none" w:sz="0" w:space="0" w:color="auto"/>
                <w:bottom w:val="none" w:sz="0" w:space="0" w:color="auto"/>
                <w:right w:val="none" w:sz="0" w:space="0" w:color="auto"/>
              </w:divBdr>
            </w:div>
            <w:div w:id="639264856">
              <w:marLeft w:val="0"/>
              <w:marRight w:val="0"/>
              <w:marTop w:val="0"/>
              <w:marBottom w:val="0"/>
              <w:divBdr>
                <w:top w:val="none" w:sz="0" w:space="0" w:color="auto"/>
                <w:left w:val="none" w:sz="0" w:space="0" w:color="auto"/>
                <w:bottom w:val="none" w:sz="0" w:space="0" w:color="auto"/>
                <w:right w:val="none" w:sz="0" w:space="0" w:color="auto"/>
              </w:divBdr>
            </w:div>
            <w:div w:id="656302987">
              <w:marLeft w:val="0"/>
              <w:marRight w:val="0"/>
              <w:marTop w:val="0"/>
              <w:marBottom w:val="0"/>
              <w:divBdr>
                <w:top w:val="none" w:sz="0" w:space="0" w:color="auto"/>
                <w:left w:val="none" w:sz="0" w:space="0" w:color="auto"/>
                <w:bottom w:val="none" w:sz="0" w:space="0" w:color="auto"/>
                <w:right w:val="none" w:sz="0" w:space="0" w:color="auto"/>
              </w:divBdr>
            </w:div>
            <w:div w:id="2116512587">
              <w:marLeft w:val="0"/>
              <w:marRight w:val="0"/>
              <w:marTop w:val="0"/>
              <w:marBottom w:val="0"/>
              <w:divBdr>
                <w:top w:val="none" w:sz="0" w:space="0" w:color="auto"/>
                <w:left w:val="none" w:sz="0" w:space="0" w:color="auto"/>
                <w:bottom w:val="none" w:sz="0" w:space="0" w:color="auto"/>
                <w:right w:val="none" w:sz="0" w:space="0" w:color="auto"/>
              </w:divBdr>
            </w:div>
            <w:div w:id="1278633766">
              <w:marLeft w:val="0"/>
              <w:marRight w:val="0"/>
              <w:marTop w:val="0"/>
              <w:marBottom w:val="0"/>
              <w:divBdr>
                <w:top w:val="none" w:sz="0" w:space="0" w:color="auto"/>
                <w:left w:val="none" w:sz="0" w:space="0" w:color="auto"/>
                <w:bottom w:val="none" w:sz="0" w:space="0" w:color="auto"/>
                <w:right w:val="none" w:sz="0" w:space="0" w:color="auto"/>
              </w:divBdr>
            </w:div>
            <w:div w:id="1279918823">
              <w:marLeft w:val="0"/>
              <w:marRight w:val="0"/>
              <w:marTop w:val="0"/>
              <w:marBottom w:val="0"/>
              <w:divBdr>
                <w:top w:val="none" w:sz="0" w:space="0" w:color="auto"/>
                <w:left w:val="none" w:sz="0" w:space="0" w:color="auto"/>
                <w:bottom w:val="none" w:sz="0" w:space="0" w:color="auto"/>
                <w:right w:val="none" w:sz="0" w:space="0" w:color="auto"/>
              </w:divBdr>
            </w:div>
            <w:div w:id="1718578959">
              <w:marLeft w:val="0"/>
              <w:marRight w:val="0"/>
              <w:marTop w:val="0"/>
              <w:marBottom w:val="0"/>
              <w:divBdr>
                <w:top w:val="none" w:sz="0" w:space="0" w:color="auto"/>
                <w:left w:val="none" w:sz="0" w:space="0" w:color="auto"/>
                <w:bottom w:val="none" w:sz="0" w:space="0" w:color="auto"/>
                <w:right w:val="none" w:sz="0" w:space="0" w:color="auto"/>
              </w:divBdr>
            </w:div>
            <w:div w:id="1150362750">
              <w:marLeft w:val="0"/>
              <w:marRight w:val="0"/>
              <w:marTop w:val="0"/>
              <w:marBottom w:val="0"/>
              <w:divBdr>
                <w:top w:val="none" w:sz="0" w:space="0" w:color="auto"/>
                <w:left w:val="none" w:sz="0" w:space="0" w:color="auto"/>
                <w:bottom w:val="none" w:sz="0" w:space="0" w:color="auto"/>
                <w:right w:val="none" w:sz="0" w:space="0" w:color="auto"/>
              </w:divBdr>
            </w:div>
            <w:div w:id="61294957">
              <w:marLeft w:val="0"/>
              <w:marRight w:val="0"/>
              <w:marTop w:val="0"/>
              <w:marBottom w:val="0"/>
              <w:divBdr>
                <w:top w:val="none" w:sz="0" w:space="0" w:color="auto"/>
                <w:left w:val="none" w:sz="0" w:space="0" w:color="auto"/>
                <w:bottom w:val="none" w:sz="0" w:space="0" w:color="auto"/>
                <w:right w:val="none" w:sz="0" w:space="0" w:color="auto"/>
              </w:divBdr>
            </w:div>
            <w:div w:id="14503302">
              <w:marLeft w:val="0"/>
              <w:marRight w:val="0"/>
              <w:marTop w:val="0"/>
              <w:marBottom w:val="0"/>
              <w:divBdr>
                <w:top w:val="none" w:sz="0" w:space="0" w:color="auto"/>
                <w:left w:val="none" w:sz="0" w:space="0" w:color="auto"/>
                <w:bottom w:val="none" w:sz="0" w:space="0" w:color="auto"/>
                <w:right w:val="none" w:sz="0" w:space="0" w:color="auto"/>
              </w:divBdr>
            </w:div>
            <w:div w:id="1003167363">
              <w:marLeft w:val="0"/>
              <w:marRight w:val="0"/>
              <w:marTop w:val="0"/>
              <w:marBottom w:val="0"/>
              <w:divBdr>
                <w:top w:val="none" w:sz="0" w:space="0" w:color="auto"/>
                <w:left w:val="none" w:sz="0" w:space="0" w:color="auto"/>
                <w:bottom w:val="none" w:sz="0" w:space="0" w:color="auto"/>
                <w:right w:val="none" w:sz="0" w:space="0" w:color="auto"/>
              </w:divBdr>
            </w:div>
            <w:div w:id="480582699">
              <w:marLeft w:val="0"/>
              <w:marRight w:val="0"/>
              <w:marTop w:val="0"/>
              <w:marBottom w:val="0"/>
              <w:divBdr>
                <w:top w:val="none" w:sz="0" w:space="0" w:color="auto"/>
                <w:left w:val="none" w:sz="0" w:space="0" w:color="auto"/>
                <w:bottom w:val="none" w:sz="0" w:space="0" w:color="auto"/>
                <w:right w:val="none" w:sz="0" w:space="0" w:color="auto"/>
              </w:divBdr>
            </w:div>
            <w:div w:id="817574253">
              <w:marLeft w:val="0"/>
              <w:marRight w:val="0"/>
              <w:marTop w:val="0"/>
              <w:marBottom w:val="0"/>
              <w:divBdr>
                <w:top w:val="none" w:sz="0" w:space="0" w:color="auto"/>
                <w:left w:val="none" w:sz="0" w:space="0" w:color="auto"/>
                <w:bottom w:val="none" w:sz="0" w:space="0" w:color="auto"/>
                <w:right w:val="none" w:sz="0" w:space="0" w:color="auto"/>
              </w:divBdr>
            </w:div>
            <w:div w:id="938873888">
              <w:marLeft w:val="0"/>
              <w:marRight w:val="0"/>
              <w:marTop w:val="0"/>
              <w:marBottom w:val="0"/>
              <w:divBdr>
                <w:top w:val="none" w:sz="0" w:space="0" w:color="auto"/>
                <w:left w:val="none" w:sz="0" w:space="0" w:color="auto"/>
                <w:bottom w:val="none" w:sz="0" w:space="0" w:color="auto"/>
                <w:right w:val="none" w:sz="0" w:space="0" w:color="auto"/>
              </w:divBdr>
            </w:div>
            <w:div w:id="516846482">
              <w:marLeft w:val="0"/>
              <w:marRight w:val="0"/>
              <w:marTop w:val="0"/>
              <w:marBottom w:val="0"/>
              <w:divBdr>
                <w:top w:val="none" w:sz="0" w:space="0" w:color="auto"/>
                <w:left w:val="none" w:sz="0" w:space="0" w:color="auto"/>
                <w:bottom w:val="none" w:sz="0" w:space="0" w:color="auto"/>
                <w:right w:val="none" w:sz="0" w:space="0" w:color="auto"/>
              </w:divBdr>
            </w:div>
            <w:div w:id="1303845921">
              <w:marLeft w:val="0"/>
              <w:marRight w:val="0"/>
              <w:marTop w:val="0"/>
              <w:marBottom w:val="0"/>
              <w:divBdr>
                <w:top w:val="none" w:sz="0" w:space="0" w:color="auto"/>
                <w:left w:val="none" w:sz="0" w:space="0" w:color="auto"/>
                <w:bottom w:val="none" w:sz="0" w:space="0" w:color="auto"/>
                <w:right w:val="none" w:sz="0" w:space="0" w:color="auto"/>
              </w:divBdr>
            </w:div>
            <w:div w:id="740905083">
              <w:marLeft w:val="0"/>
              <w:marRight w:val="0"/>
              <w:marTop w:val="0"/>
              <w:marBottom w:val="0"/>
              <w:divBdr>
                <w:top w:val="none" w:sz="0" w:space="0" w:color="auto"/>
                <w:left w:val="none" w:sz="0" w:space="0" w:color="auto"/>
                <w:bottom w:val="none" w:sz="0" w:space="0" w:color="auto"/>
                <w:right w:val="none" w:sz="0" w:space="0" w:color="auto"/>
              </w:divBdr>
            </w:div>
            <w:div w:id="702362772">
              <w:marLeft w:val="0"/>
              <w:marRight w:val="0"/>
              <w:marTop w:val="0"/>
              <w:marBottom w:val="0"/>
              <w:divBdr>
                <w:top w:val="none" w:sz="0" w:space="0" w:color="auto"/>
                <w:left w:val="none" w:sz="0" w:space="0" w:color="auto"/>
                <w:bottom w:val="none" w:sz="0" w:space="0" w:color="auto"/>
                <w:right w:val="none" w:sz="0" w:space="0" w:color="auto"/>
              </w:divBdr>
            </w:div>
            <w:div w:id="656960733">
              <w:marLeft w:val="0"/>
              <w:marRight w:val="0"/>
              <w:marTop w:val="0"/>
              <w:marBottom w:val="0"/>
              <w:divBdr>
                <w:top w:val="none" w:sz="0" w:space="0" w:color="auto"/>
                <w:left w:val="none" w:sz="0" w:space="0" w:color="auto"/>
                <w:bottom w:val="none" w:sz="0" w:space="0" w:color="auto"/>
                <w:right w:val="none" w:sz="0" w:space="0" w:color="auto"/>
              </w:divBdr>
            </w:div>
            <w:div w:id="73860854">
              <w:marLeft w:val="0"/>
              <w:marRight w:val="0"/>
              <w:marTop w:val="0"/>
              <w:marBottom w:val="0"/>
              <w:divBdr>
                <w:top w:val="none" w:sz="0" w:space="0" w:color="auto"/>
                <w:left w:val="none" w:sz="0" w:space="0" w:color="auto"/>
                <w:bottom w:val="none" w:sz="0" w:space="0" w:color="auto"/>
                <w:right w:val="none" w:sz="0" w:space="0" w:color="auto"/>
              </w:divBdr>
            </w:div>
            <w:div w:id="285356549">
              <w:marLeft w:val="0"/>
              <w:marRight w:val="0"/>
              <w:marTop w:val="0"/>
              <w:marBottom w:val="0"/>
              <w:divBdr>
                <w:top w:val="none" w:sz="0" w:space="0" w:color="auto"/>
                <w:left w:val="none" w:sz="0" w:space="0" w:color="auto"/>
                <w:bottom w:val="none" w:sz="0" w:space="0" w:color="auto"/>
                <w:right w:val="none" w:sz="0" w:space="0" w:color="auto"/>
              </w:divBdr>
            </w:div>
            <w:div w:id="1973292160">
              <w:marLeft w:val="0"/>
              <w:marRight w:val="0"/>
              <w:marTop w:val="0"/>
              <w:marBottom w:val="0"/>
              <w:divBdr>
                <w:top w:val="none" w:sz="0" w:space="0" w:color="auto"/>
                <w:left w:val="none" w:sz="0" w:space="0" w:color="auto"/>
                <w:bottom w:val="none" w:sz="0" w:space="0" w:color="auto"/>
                <w:right w:val="none" w:sz="0" w:space="0" w:color="auto"/>
              </w:divBdr>
            </w:div>
            <w:div w:id="473564292">
              <w:marLeft w:val="0"/>
              <w:marRight w:val="0"/>
              <w:marTop w:val="0"/>
              <w:marBottom w:val="0"/>
              <w:divBdr>
                <w:top w:val="none" w:sz="0" w:space="0" w:color="auto"/>
                <w:left w:val="none" w:sz="0" w:space="0" w:color="auto"/>
                <w:bottom w:val="none" w:sz="0" w:space="0" w:color="auto"/>
                <w:right w:val="none" w:sz="0" w:space="0" w:color="auto"/>
              </w:divBdr>
            </w:div>
            <w:div w:id="1141771974">
              <w:marLeft w:val="0"/>
              <w:marRight w:val="0"/>
              <w:marTop w:val="0"/>
              <w:marBottom w:val="0"/>
              <w:divBdr>
                <w:top w:val="none" w:sz="0" w:space="0" w:color="auto"/>
                <w:left w:val="none" w:sz="0" w:space="0" w:color="auto"/>
                <w:bottom w:val="none" w:sz="0" w:space="0" w:color="auto"/>
                <w:right w:val="none" w:sz="0" w:space="0" w:color="auto"/>
              </w:divBdr>
            </w:div>
            <w:div w:id="1513489172">
              <w:marLeft w:val="0"/>
              <w:marRight w:val="0"/>
              <w:marTop w:val="0"/>
              <w:marBottom w:val="0"/>
              <w:divBdr>
                <w:top w:val="none" w:sz="0" w:space="0" w:color="auto"/>
                <w:left w:val="none" w:sz="0" w:space="0" w:color="auto"/>
                <w:bottom w:val="none" w:sz="0" w:space="0" w:color="auto"/>
                <w:right w:val="none" w:sz="0" w:space="0" w:color="auto"/>
              </w:divBdr>
            </w:div>
            <w:div w:id="811554603">
              <w:marLeft w:val="0"/>
              <w:marRight w:val="0"/>
              <w:marTop w:val="0"/>
              <w:marBottom w:val="0"/>
              <w:divBdr>
                <w:top w:val="none" w:sz="0" w:space="0" w:color="auto"/>
                <w:left w:val="none" w:sz="0" w:space="0" w:color="auto"/>
                <w:bottom w:val="none" w:sz="0" w:space="0" w:color="auto"/>
                <w:right w:val="none" w:sz="0" w:space="0" w:color="auto"/>
              </w:divBdr>
            </w:div>
            <w:div w:id="891815305">
              <w:marLeft w:val="0"/>
              <w:marRight w:val="0"/>
              <w:marTop w:val="0"/>
              <w:marBottom w:val="0"/>
              <w:divBdr>
                <w:top w:val="none" w:sz="0" w:space="0" w:color="auto"/>
                <w:left w:val="none" w:sz="0" w:space="0" w:color="auto"/>
                <w:bottom w:val="none" w:sz="0" w:space="0" w:color="auto"/>
                <w:right w:val="none" w:sz="0" w:space="0" w:color="auto"/>
              </w:divBdr>
            </w:div>
            <w:div w:id="1730420839">
              <w:marLeft w:val="0"/>
              <w:marRight w:val="0"/>
              <w:marTop w:val="0"/>
              <w:marBottom w:val="0"/>
              <w:divBdr>
                <w:top w:val="none" w:sz="0" w:space="0" w:color="auto"/>
                <w:left w:val="none" w:sz="0" w:space="0" w:color="auto"/>
                <w:bottom w:val="none" w:sz="0" w:space="0" w:color="auto"/>
                <w:right w:val="none" w:sz="0" w:space="0" w:color="auto"/>
              </w:divBdr>
            </w:div>
            <w:div w:id="501285956">
              <w:marLeft w:val="0"/>
              <w:marRight w:val="0"/>
              <w:marTop w:val="0"/>
              <w:marBottom w:val="0"/>
              <w:divBdr>
                <w:top w:val="none" w:sz="0" w:space="0" w:color="auto"/>
                <w:left w:val="none" w:sz="0" w:space="0" w:color="auto"/>
                <w:bottom w:val="none" w:sz="0" w:space="0" w:color="auto"/>
                <w:right w:val="none" w:sz="0" w:space="0" w:color="auto"/>
              </w:divBdr>
            </w:div>
            <w:div w:id="618952927">
              <w:marLeft w:val="0"/>
              <w:marRight w:val="0"/>
              <w:marTop w:val="0"/>
              <w:marBottom w:val="0"/>
              <w:divBdr>
                <w:top w:val="none" w:sz="0" w:space="0" w:color="auto"/>
                <w:left w:val="none" w:sz="0" w:space="0" w:color="auto"/>
                <w:bottom w:val="none" w:sz="0" w:space="0" w:color="auto"/>
                <w:right w:val="none" w:sz="0" w:space="0" w:color="auto"/>
              </w:divBdr>
            </w:div>
            <w:div w:id="673800041">
              <w:marLeft w:val="0"/>
              <w:marRight w:val="0"/>
              <w:marTop w:val="0"/>
              <w:marBottom w:val="0"/>
              <w:divBdr>
                <w:top w:val="none" w:sz="0" w:space="0" w:color="auto"/>
                <w:left w:val="none" w:sz="0" w:space="0" w:color="auto"/>
                <w:bottom w:val="none" w:sz="0" w:space="0" w:color="auto"/>
                <w:right w:val="none" w:sz="0" w:space="0" w:color="auto"/>
              </w:divBdr>
            </w:div>
            <w:div w:id="1503399305">
              <w:marLeft w:val="0"/>
              <w:marRight w:val="0"/>
              <w:marTop w:val="0"/>
              <w:marBottom w:val="0"/>
              <w:divBdr>
                <w:top w:val="none" w:sz="0" w:space="0" w:color="auto"/>
                <w:left w:val="none" w:sz="0" w:space="0" w:color="auto"/>
                <w:bottom w:val="none" w:sz="0" w:space="0" w:color="auto"/>
                <w:right w:val="none" w:sz="0" w:space="0" w:color="auto"/>
              </w:divBdr>
            </w:div>
            <w:div w:id="1155104288">
              <w:marLeft w:val="0"/>
              <w:marRight w:val="0"/>
              <w:marTop w:val="0"/>
              <w:marBottom w:val="0"/>
              <w:divBdr>
                <w:top w:val="none" w:sz="0" w:space="0" w:color="auto"/>
                <w:left w:val="none" w:sz="0" w:space="0" w:color="auto"/>
                <w:bottom w:val="none" w:sz="0" w:space="0" w:color="auto"/>
                <w:right w:val="none" w:sz="0" w:space="0" w:color="auto"/>
              </w:divBdr>
            </w:div>
            <w:div w:id="1177962744">
              <w:marLeft w:val="0"/>
              <w:marRight w:val="0"/>
              <w:marTop w:val="0"/>
              <w:marBottom w:val="0"/>
              <w:divBdr>
                <w:top w:val="none" w:sz="0" w:space="0" w:color="auto"/>
                <w:left w:val="none" w:sz="0" w:space="0" w:color="auto"/>
                <w:bottom w:val="none" w:sz="0" w:space="0" w:color="auto"/>
                <w:right w:val="none" w:sz="0" w:space="0" w:color="auto"/>
              </w:divBdr>
            </w:div>
            <w:div w:id="1891530787">
              <w:marLeft w:val="0"/>
              <w:marRight w:val="0"/>
              <w:marTop w:val="0"/>
              <w:marBottom w:val="0"/>
              <w:divBdr>
                <w:top w:val="none" w:sz="0" w:space="0" w:color="auto"/>
                <w:left w:val="none" w:sz="0" w:space="0" w:color="auto"/>
                <w:bottom w:val="none" w:sz="0" w:space="0" w:color="auto"/>
                <w:right w:val="none" w:sz="0" w:space="0" w:color="auto"/>
              </w:divBdr>
            </w:div>
            <w:div w:id="2071927174">
              <w:marLeft w:val="0"/>
              <w:marRight w:val="0"/>
              <w:marTop w:val="0"/>
              <w:marBottom w:val="0"/>
              <w:divBdr>
                <w:top w:val="none" w:sz="0" w:space="0" w:color="auto"/>
                <w:left w:val="none" w:sz="0" w:space="0" w:color="auto"/>
                <w:bottom w:val="none" w:sz="0" w:space="0" w:color="auto"/>
                <w:right w:val="none" w:sz="0" w:space="0" w:color="auto"/>
              </w:divBdr>
            </w:div>
            <w:div w:id="1281375276">
              <w:marLeft w:val="0"/>
              <w:marRight w:val="0"/>
              <w:marTop w:val="0"/>
              <w:marBottom w:val="0"/>
              <w:divBdr>
                <w:top w:val="none" w:sz="0" w:space="0" w:color="auto"/>
                <w:left w:val="none" w:sz="0" w:space="0" w:color="auto"/>
                <w:bottom w:val="none" w:sz="0" w:space="0" w:color="auto"/>
                <w:right w:val="none" w:sz="0" w:space="0" w:color="auto"/>
              </w:divBdr>
            </w:div>
            <w:div w:id="1841194308">
              <w:marLeft w:val="0"/>
              <w:marRight w:val="0"/>
              <w:marTop w:val="0"/>
              <w:marBottom w:val="0"/>
              <w:divBdr>
                <w:top w:val="none" w:sz="0" w:space="0" w:color="auto"/>
                <w:left w:val="none" w:sz="0" w:space="0" w:color="auto"/>
                <w:bottom w:val="none" w:sz="0" w:space="0" w:color="auto"/>
                <w:right w:val="none" w:sz="0" w:space="0" w:color="auto"/>
              </w:divBdr>
            </w:div>
            <w:div w:id="2135443642">
              <w:marLeft w:val="0"/>
              <w:marRight w:val="0"/>
              <w:marTop w:val="0"/>
              <w:marBottom w:val="0"/>
              <w:divBdr>
                <w:top w:val="none" w:sz="0" w:space="0" w:color="auto"/>
                <w:left w:val="none" w:sz="0" w:space="0" w:color="auto"/>
                <w:bottom w:val="none" w:sz="0" w:space="0" w:color="auto"/>
                <w:right w:val="none" w:sz="0" w:space="0" w:color="auto"/>
              </w:divBdr>
            </w:div>
            <w:div w:id="896892052">
              <w:marLeft w:val="0"/>
              <w:marRight w:val="0"/>
              <w:marTop w:val="0"/>
              <w:marBottom w:val="0"/>
              <w:divBdr>
                <w:top w:val="none" w:sz="0" w:space="0" w:color="auto"/>
                <w:left w:val="none" w:sz="0" w:space="0" w:color="auto"/>
                <w:bottom w:val="none" w:sz="0" w:space="0" w:color="auto"/>
                <w:right w:val="none" w:sz="0" w:space="0" w:color="auto"/>
              </w:divBdr>
            </w:div>
            <w:div w:id="1926567785">
              <w:marLeft w:val="0"/>
              <w:marRight w:val="0"/>
              <w:marTop w:val="0"/>
              <w:marBottom w:val="0"/>
              <w:divBdr>
                <w:top w:val="none" w:sz="0" w:space="0" w:color="auto"/>
                <w:left w:val="none" w:sz="0" w:space="0" w:color="auto"/>
                <w:bottom w:val="none" w:sz="0" w:space="0" w:color="auto"/>
                <w:right w:val="none" w:sz="0" w:space="0" w:color="auto"/>
              </w:divBdr>
            </w:div>
            <w:div w:id="881599025">
              <w:marLeft w:val="0"/>
              <w:marRight w:val="0"/>
              <w:marTop w:val="0"/>
              <w:marBottom w:val="0"/>
              <w:divBdr>
                <w:top w:val="none" w:sz="0" w:space="0" w:color="auto"/>
                <w:left w:val="none" w:sz="0" w:space="0" w:color="auto"/>
                <w:bottom w:val="none" w:sz="0" w:space="0" w:color="auto"/>
                <w:right w:val="none" w:sz="0" w:space="0" w:color="auto"/>
              </w:divBdr>
            </w:div>
            <w:div w:id="968441440">
              <w:marLeft w:val="0"/>
              <w:marRight w:val="0"/>
              <w:marTop w:val="0"/>
              <w:marBottom w:val="0"/>
              <w:divBdr>
                <w:top w:val="none" w:sz="0" w:space="0" w:color="auto"/>
                <w:left w:val="none" w:sz="0" w:space="0" w:color="auto"/>
                <w:bottom w:val="none" w:sz="0" w:space="0" w:color="auto"/>
                <w:right w:val="none" w:sz="0" w:space="0" w:color="auto"/>
              </w:divBdr>
            </w:div>
            <w:div w:id="15741047">
              <w:marLeft w:val="0"/>
              <w:marRight w:val="0"/>
              <w:marTop w:val="0"/>
              <w:marBottom w:val="0"/>
              <w:divBdr>
                <w:top w:val="none" w:sz="0" w:space="0" w:color="auto"/>
                <w:left w:val="none" w:sz="0" w:space="0" w:color="auto"/>
                <w:bottom w:val="none" w:sz="0" w:space="0" w:color="auto"/>
                <w:right w:val="none" w:sz="0" w:space="0" w:color="auto"/>
              </w:divBdr>
            </w:div>
            <w:div w:id="1544094691">
              <w:marLeft w:val="0"/>
              <w:marRight w:val="0"/>
              <w:marTop w:val="0"/>
              <w:marBottom w:val="0"/>
              <w:divBdr>
                <w:top w:val="none" w:sz="0" w:space="0" w:color="auto"/>
                <w:left w:val="none" w:sz="0" w:space="0" w:color="auto"/>
                <w:bottom w:val="none" w:sz="0" w:space="0" w:color="auto"/>
                <w:right w:val="none" w:sz="0" w:space="0" w:color="auto"/>
              </w:divBdr>
            </w:div>
            <w:div w:id="409158802">
              <w:marLeft w:val="0"/>
              <w:marRight w:val="0"/>
              <w:marTop w:val="0"/>
              <w:marBottom w:val="0"/>
              <w:divBdr>
                <w:top w:val="none" w:sz="0" w:space="0" w:color="auto"/>
                <w:left w:val="none" w:sz="0" w:space="0" w:color="auto"/>
                <w:bottom w:val="none" w:sz="0" w:space="0" w:color="auto"/>
                <w:right w:val="none" w:sz="0" w:space="0" w:color="auto"/>
              </w:divBdr>
            </w:div>
            <w:div w:id="1032001783">
              <w:marLeft w:val="0"/>
              <w:marRight w:val="0"/>
              <w:marTop w:val="0"/>
              <w:marBottom w:val="0"/>
              <w:divBdr>
                <w:top w:val="none" w:sz="0" w:space="0" w:color="auto"/>
                <w:left w:val="none" w:sz="0" w:space="0" w:color="auto"/>
                <w:bottom w:val="none" w:sz="0" w:space="0" w:color="auto"/>
                <w:right w:val="none" w:sz="0" w:space="0" w:color="auto"/>
              </w:divBdr>
            </w:div>
            <w:div w:id="1397242113">
              <w:marLeft w:val="0"/>
              <w:marRight w:val="0"/>
              <w:marTop w:val="0"/>
              <w:marBottom w:val="0"/>
              <w:divBdr>
                <w:top w:val="none" w:sz="0" w:space="0" w:color="auto"/>
                <w:left w:val="none" w:sz="0" w:space="0" w:color="auto"/>
                <w:bottom w:val="none" w:sz="0" w:space="0" w:color="auto"/>
                <w:right w:val="none" w:sz="0" w:space="0" w:color="auto"/>
              </w:divBdr>
            </w:div>
            <w:div w:id="1963606150">
              <w:marLeft w:val="0"/>
              <w:marRight w:val="0"/>
              <w:marTop w:val="0"/>
              <w:marBottom w:val="0"/>
              <w:divBdr>
                <w:top w:val="none" w:sz="0" w:space="0" w:color="auto"/>
                <w:left w:val="none" w:sz="0" w:space="0" w:color="auto"/>
                <w:bottom w:val="none" w:sz="0" w:space="0" w:color="auto"/>
                <w:right w:val="none" w:sz="0" w:space="0" w:color="auto"/>
              </w:divBdr>
            </w:div>
            <w:div w:id="1958635779">
              <w:marLeft w:val="0"/>
              <w:marRight w:val="0"/>
              <w:marTop w:val="0"/>
              <w:marBottom w:val="0"/>
              <w:divBdr>
                <w:top w:val="none" w:sz="0" w:space="0" w:color="auto"/>
                <w:left w:val="none" w:sz="0" w:space="0" w:color="auto"/>
                <w:bottom w:val="none" w:sz="0" w:space="0" w:color="auto"/>
                <w:right w:val="none" w:sz="0" w:space="0" w:color="auto"/>
              </w:divBdr>
            </w:div>
            <w:div w:id="992563161">
              <w:marLeft w:val="0"/>
              <w:marRight w:val="0"/>
              <w:marTop w:val="0"/>
              <w:marBottom w:val="0"/>
              <w:divBdr>
                <w:top w:val="none" w:sz="0" w:space="0" w:color="auto"/>
                <w:left w:val="none" w:sz="0" w:space="0" w:color="auto"/>
                <w:bottom w:val="none" w:sz="0" w:space="0" w:color="auto"/>
                <w:right w:val="none" w:sz="0" w:space="0" w:color="auto"/>
              </w:divBdr>
            </w:div>
            <w:div w:id="1174414890">
              <w:marLeft w:val="0"/>
              <w:marRight w:val="0"/>
              <w:marTop w:val="0"/>
              <w:marBottom w:val="0"/>
              <w:divBdr>
                <w:top w:val="none" w:sz="0" w:space="0" w:color="auto"/>
                <w:left w:val="none" w:sz="0" w:space="0" w:color="auto"/>
                <w:bottom w:val="none" w:sz="0" w:space="0" w:color="auto"/>
                <w:right w:val="none" w:sz="0" w:space="0" w:color="auto"/>
              </w:divBdr>
            </w:div>
            <w:div w:id="482166769">
              <w:marLeft w:val="0"/>
              <w:marRight w:val="0"/>
              <w:marTop w:val="0"/>
              <w:marBottom w:val="0"/>
              <w:divBdr>
                <w:top w:val="none" w:sz="0" w:space="0" w:color="auto"/>
                <w:left w:val="none" w:sz="0" w:space="0" w:color="auto"/>
                <w:bottom w:val="none" w:sz="0" w:space="0" w:color="auto"/>
                <w:right w:val="none" w:sz="0" w:space="0" w:color="auto"/>
              </w:divBdr>
            </w:div>
            <w:div w:id="2007510546">
              <w:marLeft w:val="0"/>
              <w:marRight w:val="0"/>
              <w:marTop w:val="0"/>
              <w:marBottom w:val="0"/>
              <w:divBdr>
                <w:top w:val="none" w:sz="0" w:space="0" w:color="auto"/>
                <w:left w:val="none" w:sz="0" w:space="0" w:color="auto"/>
                <w:bottom w:val="none" w:sz="0" w:space="0" w:color="auto"/>
                <w:right w:val="none" w:sz="0" w:space="0" w:color="auto"/>
              </w:divBdr>
            </w:div>
            <w:div w:id="74673210">
              <w:marLeft w:val="0"/>
              <w:marRight w:val="0"/>
              <w:marTop w:val="0"/>
              <w:marBottom w:val="0"/>
              <w:divBdr>
                <w:top w:val="none" w:sz="0" w:space="0" w:color="auto"/>
                <w:left w:val="none" w:sz="0" w:space="0" w:color="auto"/>
                <w:bottom w:val="none" w:sz="0" w:space="0" w:color="auto"/>
                <w:right w:val="none" w:sz="0" w:space="0" w:color="auto"/>
              </w:divBdr>
            </w:div>
            <w:div w:id="388068262">
              <w:marLeft w:val="0"/>
              <w:marRight w:val="0"/>
              <w:marTop w:val="0"/>
              <w:marBottom w:val="0"/>
              <w:divBdr>
                <w:top w:val="none" w:sz="0" w:space="0" w:color="auto"/>
                <w:left w:val="none" w:sz="0" w:space="0" w:color="auto"/>
                <w:bottom w:val="none" w:sz="0" w:space="0" w:color="auto"/>
                <w:right w:val="none" w:sz="0" w:space="0" w:color="auto"/>
              </w:divBdr>
            </w:div>
            <w:div w:id="1477991123">
              <w:marLeft w:val="0"/>
              <w:marRight w:val="0"/>
              <w:marTop w:val="0"/>
              <w:marBottom w:val="0"/>
              <w:divBdr>
                <w:top w:val="none" w:sz="0" w:space="0" w:color="auto"/>
                <w:left w:val="none" w:sz="0" w:space="0" w:color="auto"/>
                <w:bottom w:val="none" w:sz="0" w:space="0" w:color="auto"/>
                <w:right w:val="none" w:sz="0" w:space="0" w:color="auto"/>
              </w:divBdr>
            </w:div>
            <w:div w:id="1940091498">
              <w:marLeft w:val="0"/>
              <w:marRight w:val="0"/>
              <w:marTop w:val="0"/>
              <w:marBottom w:val="0"/>
              <w:divBdr>
                <w:top w:val="none" w:sz="0" w:space="0" w:color="auto"/>
                <w:left w:val="none" w:sz="0" w:space="0" w:color="auto"/>
                <w:bottom w:val="none" w:sz="0" w:space="0" w:color="auto"/>
                <w:right w:val="none" w:sz="0" w:space="0" w:color="auto"/>
              </w:divBdr>
            </w:div>
            <w:div w:id="1840346882">
              <w:marLeft w:val="0"/>
              <w:marRight w:val="0"/>
              <w:marTop w:val="0"/>
              <w:marBottom w:val="0"/>
              <w:divBdr>
                <w:top w:val="none" w:sz="0" w:space="0" w:color="auto"/>
                <w:left w:val="none" w:sz="0" w:space="0" w:color="auto"/>
                <w:bottom w:val="none" w:sz="0" w:space="0" w:color="auto"/>
                <w:right w:val="none" w:sz="0" w:space="0" w:color="auto"/>
              </w:divBdr>
            </w:div>
            <w:div w:id="790394224">
              <w:marLeft w:val="0"/>
              <w:marRight w:val="0"/>
              <w:marTop w:val="0"/>
              <w:marBottom w:val="0"/>
              <w:divBdr>
                <w:top w:val="none" w:sz="0" w:space="0" w:color="auto"/>
                <w:left w:val="none" w:sz="0" w:space="0" w:color="auto"/>
                <w:bottom w:val="none" w:sz="0" w:space="0" w:color="auto"/>
                <w:right w:val="none" w:sz="0" w:space="0" w:color="auto"/>
              </w:divBdr>
            </w:div>
            <w:div w:id="1652370740">
              <w:marLeft w:val="0"/>
              <w:marRight w:val="0"/>
              <w:marTop w:val="0"/>
              <w:marBottom w:val="0"/>
              <w:divBdr>
                <w:top w:val="none" w:sz="0" w:space="0" w:color="auto"/>
                <w:left w:val="none" w:sz="0" w:space="0" w:color="auto"/>
                <w:bottom w:val="none" w:sz="0" w:space="0" w:color="auto"/>
                <w:right w:val="none" w:sz="0" w:space="0" w:color="auto"/>
              </w:divBdr>
            </w:div>
            <w:div w:id="688067738">
              <w:marLeft w:val="0"/>
              <w:marRight w:val="0"/>
              <w:marTop w:val="0"/>
              <w:marBottom w:val="0"/>
              <w:divBdr>
                <w:top w:val="none" w:sz="0" w:space="0" w:color="auto"/>
                <w:left w:val="none" w:sz="0" w:space="0" w:color="auto"/>
                <w:bottom w:val="none" w:sz="0" w:space="0" w:color="auto"/>
                <w:right w:val="none" w:sz="0" w:space="0" w:color="auto"/>
              </w:divBdr>
            </w:div>
            <w:div w:id="1910068409">
              <w:marLeft w:val="0"/>
              <w:marRight w:val="0"/>
              <w:marTop w:val="0"/>
              <w:marBottom w:val="0"/>
              <w:divBdr>
                <w:top w:val="none" w:sz="0" w:space="0" w:color="auto"/>
                <w:left w:val="none" w:sz="0" w:space="0" w:color="auto"/>
                <w:bottom w:val="none" w:sz="0" w:space="0" w:color="auto"/>
                <w:right w:val="none" w:sz="0" w:space="0" w:color="auto"/>
              </w:divBdr>
            </w:div>
            <w:div w:id="1569532331">
              <w:marLeft w:val="0"/>
              <w:marRight w:val="0"/>
              <w:marTop w:val="0"/>
              <w:marBottom w:val="0"/>
              <w:divBdr>
                <w:top w:val="none" w:sz="0" w:space="0" w:color="auto"/>
                <w:left w:val="none" w:sz="0" w:space="0" w:color="auto"/>
                <w:bottom w:val="none" w:sz="0" w:space="0" w:color="auto"/>
                <w:right w:val="none" w:sz="0" w:space="0" w:color="auto"/>
              </w:divBdr>
            </w:div>
            <w:div w:id="379986514">
              <w:marLeft w:val="0"/>
              <w:marRight w:val="0"/>
              <w:marTop w:val="0"/>
              <w:marBottom w:val="0"/>
              <w:divBdr>
                <w:top w:val="none" w:sz="0" w:space="0" w:color="auto"/>
                <w:left w:val="none" w:sz="0" w:space="0" w:color="auto"/>
                <w:bottom w:val="none" w:sz="0" w:space="0" w:color="auto"/>
                <w:right w:val="none" w:sz="0" w:space="0" w:color="auto"/>
              </w:divBdr>
            </w:div>
            <w:div w:id="1051924920">
              <w:marLeft w:val="0"/>
              <w:marRight w:val="0"/>
              <w:marTop w:val="0"/>
              <w:marBottom w:val="0"/>
              <w:divBdr>
                <w:top w:val="none" w:sz="0" w:space="0" w:color="auto"/>
                <w:left w:val="none" w:sz="0" w:space="0" w:color="auto"/>
                <w:bottom w:val="none" w:sz="0" w:space="0" w:color="auto"/>
                <w:right w:val="none" w:sz="0" w:space="0" w:color="auto"/>
              </w:divBdr>
            </w:div>
            <w:div w:id="1157771384">
              <w:marLeft w:val="0"/>
              <w:marRight w:val="0"/>
              <w:marTop w:val="0"/>
              <w:marBottom w:val="0"/>
              <w:divBdr>
                <w:top w:val="none" w:sz="0" w:space="0" w:color="auto"/>
                <w:left w:val="none" w:sz="0" w:space="0" w:color="auto"/>
                <w:bottom w:val="none" w:sz="0" w:space="0" w:color="auto"/>
                <w:right w:val="none" w:sz="0" w:space="0" w:color="auto"/>
              </w:divBdr>
            </w:div>
            <w:div w:id="171840383">
              <w:marLeft w:val="0"/>
              <w:marRight w:val="0"/>
              <w:marTop w:val="0"/>
              <w:marBottom w:val="0"/>
              <w:divBdr>
                <w:top w:val="none" w:sz="0" w:space="0" w:color="auto"/>
                <w:left w:val="none" w:sz="0" w:space="0" w:color="auto"/>
                <w:bottom w:val="none" w:sz="0" w:space="0" w:color="auto"/>
                <w:right w:val="none" w:sz="0" w:space="0" w:color="auto"/>
              </w:divBdr>
            </w:div>
            <w:div w:id="128977488">
              <w:marLeft w:val="0"/>
              <w:marRight w:val="0"/>
              <w:marTop w:val="0"/>
              <w:marBottom w:val="0"/>
              <w:divBdr>
                <w:top w:val="none" w:sz="0" w:space="0" w:color="auto"/>
                <w:left w:val="none" w:sz="0" w:space="0" w:color="auto"/>
                <w:bottom w:val="none" w:sz="0" w:space="0" w:color="auto"/>
                <w:right w:val="none" w:sz="0" w:space="0" w:color="auto"/>
              </w:divBdr>
            </w:div>
            <w:div w:id="527915525">
              <w:marLeft w:val="0"/>
              <w:marRight w:val="0"/>
              <w:marTop w:val="0"/>
              <w:marBottom w:val="0"/>
              <w:divBdr>
                <w:top w:val="none" w:sz="0" w:space="0" w:color="auto"/>
                <w:left w:val="none" w:sz="0" w:space="0" w:color="auto"/>
                <w:bottom w:val="none" w:sz="0" w:space="0" w:color="auto"/>
                <w:right w:val="none" w:sz="0" w:space="0" w:color="auto"/>
              </w:divBdr>
            </w:div>
            <w:div w:id="608465544">
              <w:marLeft w:val="0"/>
              <w:marRight w:val="0"/>
              <w:marTop w:val="0"/>
              <w:marBottom w:val="0"/>
              <w:divBdr>
                <w:top w:val="none" w:sz="0" w:space="0" w:color="auto"/>
                <w:left w:val="none" w:sz="0" w:space="0" w:color="auto"/>
                <w:bottom w:val="none" w:sz="0" w:space="0" w:color="auto"/>
                <w:right w:val="none" w:sz="0" w:space="0" w:color="auto"/>
              </w:divBdr>
            </w:div>
            <w:div w:id="90204981">
              <w:marLeft w:val="0"/>
              <w:marRight w:val="0"/>
              <w:marTop w:val="0"/>
              <w:marBottom w:val="0"/>
              <w:divBdr>
                <w:top w:val="none" w:sz="0" w:space="0" w:color="auto"/>
                <w:left w:val="none" w:sz="0" w:space="0" w:color="auto"/>
                <w:bottom w:val="none" w:sz="0" w:space="0" w:color="auto"/>
                <w:right w:val="none" w:sz="0" w:space="0" w:color="auto"/>
              </w:divBdr>
            </w:div>
            <w:div w:id="31076940">
              <w:marLeft w:val="0"/>
              <w:marRight w:val="0"/>
              <w:marTop w:val="0"/>
              <w:marBottom w:val="0"/>
              <w:divBdr>
                <w:top w:val="none" w:sz="0" w:space="0" w:color="auto"/>
                <w:left w:val="none" w:sz="0" w:space="0" w:color="auto"/>
                <w:bottom w:val="none" w:sz="0" w:space="0" w:color="auto"/>
                <w:right w:val="none" w:sz="0" w:space="0" w:color="auto"/>
              </w:divBdr>
            </w:div>
            <w:div w:id="757019221">
              <w:marLeft w:val="0"/>
              <w:marRight w:val="0"/>
              <w:marTop w:val="0"/>
              <w:marBottom w:val="0"/>
              <w:divBdr>
                <w:top w:val="none" w:sz="0" w:space="0" w:color="auto"/>
                <w:left w:val="none" w:sz="0" w:space="0" w:color="auto"/>
                <w:bottom w:val="none" w:sz="0" w:space="0" w:color="auto"/>
                <w:right w:val="none" w:sz="0" w:space="0" w:color="auto"/>
              </w:divBdr>
            </w:div>
            <w:div w:id="1932348563">
              <w:marLeft w:val="0"/>
              <w:marRight w:val="0"/>
              <w:marTop w:val="0"/>
              <w:marBottom w:val="0"/>
              <w:divBdr>
                <w:top w:val="none" w:sz="0" w:space="0" w:color="auto"/>
                <w:left w:val="none" w:sz="0" w:space="0" w:color="auto"/>
                <w:bottom w:val="none" w:sz="0" w:space="0" w:color="auto"/>
                <w:right w:val="none" w:sz="0" w:space="0" w:color="auto"/>
              </w:divBdr>
            </w:div>
            <w:div w:id="860968720">
              <w:marLeft w:val="0"/>
              <w:marRight w:val="0"/>
              <w:marTop w:val="0"/>
              <w:marBottom w:val="0"/>
              <w:divBdr>
                <w:top w:val="none" w:sz="0" w:space="0" w:color="auto"/>
                <w:left w:val="none" w:sz="0" w:space="0" w:color="auto"/>
                <w:bottom w:val="none" w:sz="0" w:space="0" w:color="auto"/>
                <w:right w:val="none" w:sz="0" w:space="0" w:color="auto"/>
              </w:divBdr>
            </w:div>
            <w:div w:id="553858147">
              <w:marLeft w:val="0"/>
              <w:marRight w:val="0"/>
              <w:marTop w:val="0"/>
              <w:marBottom w:val="0"/>
              <w:divBdr>
                <w:top w:val="none" w:sz="0" w:space="0" w:color="auto"/>
                <w:left w:val="none" w:sz="0" w:space="0" w:color="auto"/>
                <w:bottom w:val="none" w:sz="0" w:space="0" w:color="auto"/>
                <w:right w:val="none" w:sz="0" w:space="0" w:color="auto"/>
              </w:divBdr>
            </w:div>
            <w:div w:id="1519812419">
              <w:marLeft w:val="0"/>
              <w:marRight w:val="0"/>
              <w:marTop w:val="0"/>
              <w:marBottom w:val="0"/>
              <w:divBdr>
                <w:top w:val="none" w:sz="0" w:space="0" w:color="auto"/>
                <w:left w:val="none" w:sz="0" w:space="0" w:color="auto"/>
                <w:bottom w:val="none" w:sz="0" w:space="0" w:color="auto"/>
                <w:right w:val="none" w:sz="0" w:space="0" w:color="auto"/>
              </w:divBdr>
            </w:div>
            <w:div w:id="1752924069">
              <w:marLeft w:val="0"/>
              <w:marRight w:val="0"/>
              <w:marTop w:val="0"/>
              <w:marBottom w:val="0"/>
              <w:divBdr>
                <w:top w:val="none" w:sz="0" w:space="0" w:color="auto"/>
                <w:left w:val="none" w:sz="0" w:space="0" w:color="auto"/>
                <w:bottom w:val="none" w:sz="0" w:space="0" w:color="auto"/>
                <w:right w:val="none" w:sz="0" w:space="0" w:color="auto"/>
              </w:divBdr>
            </w:div>
            <w:div w:id="23991113">
              <w:marLeft w:val="0"/>
              <w:marRight w:val="0"/>
              <w:marTop w:val="0"/>
              <w:marBottom w:val="0"/>
              <w:divBdr>
                <w:top w:val="none" w:sz="0" w:space="0" w:color="auto"/>
                <w:left w:val="none" w:sz="0" w:space="0" w:color="auto"/>
                <w:bottom w:val="none" w:sz="0" w:space="0" w:color="auto"/>
                <w:right w:val="none" w:sz="0" w:space="0" w:color="auto"/>
              </w:divBdr>
            </w:div>
            <w:div w:id="1971127315">
              <w:marLeft w:val="0"/>
              <w:marRight w:val="0"/>
              <w:marTop w:val="0"/>
              <w:marBottom w:val="0"/>
              <w:divBdr>
                <w:top w:val="none" w:sz="0" w:space="0" w:color="auto"/>
                <w:left w:val="none" w:sz="0" w:space="0" w:color="auto"/>
                <w:bottom w:val="none" w:sz="0" w:space="0" w:color="auto"/>
                <w:right w:val="none" w:sz="0" w:space="0" w:color="auto"/>
              </w:divBdr>
            </w:div>
            <w:div w:id="1716389321">
              <w:marLeft w:val="0"/>
              <w:marRight w:val="0"/>
              <w:marTop w:val="0"/>
              <w:marBottom w:val="0"/>
              <w:divBdr>
                <w:top w:val="none" w:sz="0" w:space="0" w:color="auto"/>
                <w:left w:val="none" w:sz="0" w:space="0" w:color="auto"/>
                <w:bottom w:val="none" w:sz="0" w:space="0" w:color="auto"/>
                <w:right w:val="none" w:sz="0" w:space="0" w:color="auto"/>
              </w:divBdr>
            </w:div>
            <w:div w:id="15429737">
              <w:marLeft w:val="0"/>
              <w:marRight w:val="0"/>
              <w:marTop w:val="0"/>
              <w:marBottom w:val="0"/>
              <w:divBdr>
                <w:top w:val="none" w:sz="0" w:space="0" w:color="auto"/>
                <w:left w:val="none" w:sz="0" w:space="0" w:color="auto"/>
                <w:bottom w:val="none" w:sz="0" w:space="0" w:color="auto"/>
                <w:right w:val="none" w:sz="0" w:space="0" w:color="auto"/>
              </w:divBdr>
            </w:div>
            <w:div w:id="523179743">
              <w:marLeft w:val="0"/>
              <w:marRight w:val="0"/>
              <w:marTop w:val="0"/>
              <w:marBottom w:val="0"/>
              <w:divBdr>
                <w:top w:val="none" w:sz="0" w:space="0" w:color="auto"/>
                <w:left w:val="none" w:sz="0" w:space="0" w:color="auto"/>
                <w:bottom w:val="none" w:sz="0" w:space="0" w:color="auto"/>
                <w:right w:val="none" w:sz="0" w:space="0" w:color="auto"/>
              </w:divBdr>
            </w:div>
            <w:div w:id="1902062202">
              <w:marLeft w:val="0"/>
              <w:marRight w:val="0"/>
              <w:marTop w:val="0"/>
              <w:marBottom w:val="0"/>
              <w:divBdr>
                <w:top w:val="none" w:sz="0" w:space="0" w:color="auto"/>
                <w:left w:val="none" w:sz="0" w:space="0" w:color="auto"/>
                <w:bottom w:val="none" w:sz="0" w:space="0" w:color="auto"/>
                <w:right w:val="none" w:sz="0" w:space="0" w:color="auto"/>
              </w:divBdr>
            </w:div>
            <w:div w:id="292297133">
              <w:marLeft w:val="0"/>
              <w:marRight w:val="0"/>
              <w:marTop w:val="0"/>
              <w:marBottom w:val="0"/>
              <w:divBdr>
                <w:top w:val="none" w:sz="0" w:space="0" w:color="auto"/>
                <w:left w:val="none" w:sz="0" w:space="0" w:color="auto"/>
                <w:bottom w:val="none" w:sz="0" w:space="0" w:color="auto"/>
                <w:right w:val="none" w:sz="0" w:space="0" w:color="auto"/>
              </w:divBdr>
            </w:div>
            <w:div w:id="146166303">
              <w:marLeft w:val="0"/>
              <w:marRight w:val="0"/>
              <w:marTop w:val="0"/>
              <w:marBottom w:val="0"/>
              <w:divBdr>
                <w:top w:val="none" w:sz="0" w:space="0" w:color="auto"/>
                <w:left w:val="none" w:sz="0" w:space="0" w:color="auto"/>
                <w:bottom w:val="none" w:sz="0" w:space="0" w:color="auto"/>
                <w:right w:val="none" w:sz="0" w:space="0" w:color="auto"/>
              </w:divBdr>
            </w:div>
            <w:div w:id="2097703654">
              <w:marLeft w:val="0"/>
              <w:marRight w:val="0"/>
              <w:marTop w:val="0"/>
              <w:marBottom w:val="0"/>
              <w:divBdr>
                <w:top w:val="none" w:sz="0" w:space="0" w:color="auto"/>
                <w:left w:val="none" w:sz="0" w:space="0" w:color="auto"/>
                <w:bottom w:val="none" w:sz="0" w:space="0" w:color="auto"/>
                <w:right w:val="none" w:sz="0" w:space="0" w:color="auto"/>
              </w:divBdr>
            </w:div>
            <w:div w:id="287787463">
              <w:marLeft w:val="0"/>
              <w:marRight w:val="0"/>
              <w:marTop w:val="0"/>
              <w:marBottom w:val="0"/>
              <w:divBdr>
                <w:top w:val="none" w:sz="0" w:space="0" w:color="auto"/>
                <w:left w:val="none" w:sz="0" w:space="0" w:color="auto"/>
                <w:bottom w:val="none" w:sz="0" w:space="0" w:color="auto"/>
                <w:right w:val="none" w:sz="0" w:space="0" w:color="auto"/>
              </w:divBdr>
            </w:div>
            <w:div w:id="107624658">
              <w:marLeft w:val="0"/>
              <w:marRight w:val="0"/>
              <w:marTop w:val="0"/>
              <w:marBottom w:val="0"/>
              <w:divBdr>
                <w:top w:val="none" w:sz="0" w:space="0" w:color="auto"/>
                <w:left w:val="none" w:sz="0" w:space="0" w:color="auto"/>
                <w:bottom w:val="none" w:sz="0" w:space="0" w:color="auto"/>
                <w:right w:val="none" w:sz="0" w:space="0" w:color="auto"/>
              </w:divBdr>
            </w:div>
            <w:div w:id="1786191442">
              <w:marLeft w:val="0"/>
              <w:marRight w:val="0"/>
              <w:marTop w:val="0"/>
              <w:marBottom w:val="0"/>
              <w:divBdr>
                <w:top w:val="none" w:sz="0" w:space="0" w:color="auto"/>
                <w:left w:val="none" w:sz="0" w:space="0" w:color="auto"/>
                <w:bottom w:val="none" w:sz="0" w:space="0" w:color="auto"/>
                <w:right w:val="none" w:sz="0" w:space="0" w:color="auto"/>
              </w:divBdr>
            </w:div>
            <w:div w:id="1338851525">
              <w:marLeft w:val="0"/>
              <w:marRight w:val="0"/>
              <w:marTop w:val="0"/>
              <w:marBottom w:val="0"/>
              <w:divBdr>
                <w:top w:val="none" w:sz="0" w:space="0" w:color="auto"/>
                <w:left w:val="none" w:sz="0" w:space="0" w:color="auto"/>
                <w:bottom w:val="none" w:sz="0" w:space="0" w:color="auto"/>
                <w:right w:val="none" w:sz="0" w:space="0" w:color="auto"/>
              </w:divBdr>
            </w:div>
            <w:div w:id="1365667113">
              <w:marLeft w:val="0"/>
              <w:marRight w:val="0"/>
              <w:marTop w:val="0"/>
              <w:marBottom w:val="0"/>
              <w:divBdr>
                <w:top w:val="none" w:sz="0" w:space="0" w:color="auto"/>
                <w:left w:val="none" w:sz="0" w:space="0" w:color="auto"/>
                <w:bottom w:val="none" w:sz="0" w:space="0" w:color="auto"/>
                <w:right w:val="none" w:sz="0" w:space="0" w:color="auto"/>
              </w:divBdr>
            </w:div>
            <w:div w:id="1623077860">
              <w:marLeft w:val="0"/>
              <w:marRight w:val="0"/>
              <w:marTop w:val="0"/>
              <w:marBottom w:val="0"/>
              <w:divBdr>
                <w:top w:val="none" w:sz="0" w:space="0" w:color="auto"/>
                <w:left w:val="none" w:sz="0" w:space="0" w:color="auto"/>
                <w:bottom w:val="none" w:sz="0" w:space="0" w:color="auto"/>
                <w:right w:val="none" w:sz="0" w:space="0" w:color="auto"/>
              </w:divBdr>
            </w:div>
            <w:div w:id="1148597210">
              <w:marLeft w:val="0"/>
              <w:marRight w:val="0"/>
              <w:marTop w:val="0"/>
              <w:marBottom w:val="0"/>
              <w:divBdr>
                <w:top w:val="none" w:sz="0" w:space="0" w:color="auto"/>
                <w:left w:val="none" w:sz="0" w:space="0" w:color="auto"/>
                <w:bottom w:val="none" w:sz="0" w:space="0" w:color="auto"/>
                <w:right w:val="none" w:sz="0" w:space="0" w:color="auto"/>
              </w:divBdr>
            </w:div>
            <w:div w:id="1509130160">
              <w:marLeft w:val="0"/>
              <w:marRight w:val="0"/>
              <w:marTop w:val="0"/>
              <w:marBottom w:val="0"/>
              <w:divBdr>
                <w:top w:val="none" w:sz="0" w:space="0" w:color="auto"/>
                <w:left w:val="none" w:sz="0" w:space="0" w:color="auto"/>
                <w:bottom w:val="none" w:sz="0" w:space="0" w:color="auto"/>
                <w:right w:val="none" w:sz="0" w:space="0" w:color="auto"/>
              </w:divBdr>
            </w:div>
            <w:div w:id="741372147">
              <w:marLeft w:val="0"/>
              <w:marRight w:val="0"/>
              <w:marTop w:val="0"/>
              <w:marBottom w:val="0"/>
              <w:divBdr>
                <w:top w:val="none" w:sz="0" w:space="0" w:color="auto"/>
                <w:left w:val="none" w:sz="0" w:space="0" w:color="auto"/>
                <w:bottom w:val="none" w:sz="0" w:space="0" w:color="auto"/>
                <w:right w:val="none" w:sz="0" w:space="0" w:color="auto"/>
              </w:divBdr>
            </w:div>
            <w:div w:id="846481677">
              <w:marLeft w:val="0"/>
              <w:marRight w:val="0"/>
              <w:marTop w:val="0"/>
              <w:marBottom w:val="0"/>
              <w:divBdr>
                <w:top w:val="none" w:sz="0" w:space="0" w:color="auto"/>
                <w:left w:val="none" w:sz="0" w:space="0" w:color="auto"/>
                <w:bottom w:val="none" w:sz="0" w:space="0" w:color="auto"/>
                <w:right w:val="none" w:sz="0" w:space="0" w:color="auto"/>
              </w:divBdr>
            </w:div>
            <w:div w:id="345601780">
              <w:marLeft w:val="0"/>
              <w:marRight w:val="0"/>
              <w:marTop w:val="0"/>
              <w:marBottom w:val="0"/>
              <w:divBdr>
                <w:top w:val="none" w:sz="0" w:space="0" w:color="auto"/>
                <w:left w:val="none" w:sz="0" w:space="0" w:color="auto"/>
                <w:bottom w:val="none" w:sz="0" w:space="0" w:color="auto"/>
                <w:right w:val="none" w:sz="0" w:space="0" w:color="auto"/>
              </w:divBdr>
            </w:div>
            <w:div w:id="673535778">
              <w:marLeft w:val="0"/>
              <w:marRight w:val="0"/>
              <w:marTop w:val="0"/>
              <w:marBottom w:val="0"/>
              <w:divBdr>
                <w:top w:val="none" w:sz="0" w:space="0" w:color="auto"/>
                <w:left w:val="none" w:sz="0" w:space="0" w:color="auto"/>
                <w:bottom w:val="none" w:sz="0" w:space="0" w:color="auto"/>
                <w:right w:val="none" w:sz="0" w:space="0" w:color="auto"/>
              </w:divBdr>
            </w:div>
            <w:div w:id="1186595734">
              <w:marLeft w:val="0"/>
              <w:marRight w:val="0"/>
              <w:marTop w:val="0"/>
              <w:marBottom w:val="0"/>
              <w:divBdr>
                <w:top w:val="none" w:sz="0" w:space="0" w:color="auto"/>
                <w:left w:val="none" w:sz="0" w:space="0" w:color="auto"/>
                <w:bottom w:val="none" w:sz="0" w:space="0" w:color="auto"/>
                <w:right w:val="none" w:sz="0" w:space="0" w:color="auto"/>
              </w:divBdr>
            </w:div>
            <w:div w:id="493450060">
              <w:marLeft w:val="0"/>
              <w:marRight w:val="0"/>
              <w:marTop w:val="0"/>
              <w:marBottom w:val="0"/>
              <w:divBdr>
                <w:top w:val="none" w:sz="0" w:space="0" w:color="auto"/>
                <w:left w:val="none" w:sz="0" w:space="0" w:color="auto"/>
                <w:bottom w:val="none" w:sz="0" w:space="0" w:color="auto"/>
                <w:right w:val="none" w:sz="0" w:space="0" w:color="auto"/>
              </w:divBdr>
            </w:div>
            <w:div w:id="1576890503">
              <w:marLeft w:val="0"/>
              <w:marRight w:val="0"/>
              <w:marTop w:val="0"/>
              <w:marBottom w:val="0"/>
              <w:divBdr>
                <w:top w:val="none" w:sz="0" w:space="0" w:color="auto"/>
                <w:left w:val="none" w:sz="0" w:space="0" w:color="auto"/>
                <w:bottom w:val="none" w:sz="0" w:space="0" w:color="auto"/>
                <w:right w:val="none" w:sz="0" w:space="0" w:color="auto"/>
              </w:divBdr>
            </w:div>
            <w:div w:id="542643504">
              <w:marLeft w:val="0"/>
              <w:marRight w:val="0"/>
              <w:marTop w:val="0"/>
              <w:marBottom w:val="0"/>
              <w:divBdr>
                <w:top w:val="none" w:sz="0" w:space="0" w:color="auto"/>
                <w:left w:val="none" w:sz="0" w:space="0" w:color="auto"/>
                <w:bottom w:val="none" w:sz="0" w:space="0" w:color="auto"/>
                <w:right w:val="none" w:sz="0" w:space="0" w:color="auto"/>
              </w:divBdr>
            </w:div>
            <w:div w:id="1613366121">
              <w:marLeft w:val="0"/>
              <w:marRight w:val="0"/>
              <w:marTop w:val="0"/>
              <w:marBottom w:val="0"/>
              <w:divBdr>
                <w:top w:val="none" w:sz="0" w:space="0" w:color="auto"/>
                <w:left w:val="none" w:sz="0" w:space="0" w:color="auto"/>
                <w:bottom w:val="none" w:sz="0" w:space="0" w:color="auto"/>
                <w:right w:val="none" w:sz="0" w:space="0" w:color="auto"/>
              </w:divBdr>
            </w:div>
            <w:div w:id="1436169334">
              <w:marLeft w:val="0"/>
              <w:marRight w:val="0"/>
              <w:marTop w:val="0"/>
              <w:marBottom w:val="0"/>
              <w:divBdr>
                <w:top w:val="none" w:sz="0" w:space="0" w:color="auto"/>
                <w:left w:val="none" w:sz="0" w:space="0" w:color="auto"/>
                <w:bottom w:val="none" w:sz="0" w:space="0" w:color="auto"/>
                <w:right w:val="none" w:sz="0" w:space="0" w:color="auto"/>
              </w:divBdr>
            </w:div>
            <w:div w:id="586158162">
              <w:marLeft w:val="0"/>
              <w:marRight w:val="0"/>
              <w:marTop w:val="0"/>
              <w:marBottom w:val="0"/>
              <w:divBdr>
                <w:top w:val="none" w:sz="0" w:space="0" w:color="auto"/>
                <w:left w:val="none" w:sz="0" w:space="0" w:color="auto"/>
                <w:bottom w:val="none" w:sz="0" w:space="0" w:color="auto"/>
                <w:right w:val="none" w:sz="0" w:space="0" w:color="auto"/>
              </w:divBdr>
            </w:div>
            <w:div w:id="492256526">
              <w:marLeft w:val="0"/>
              <w:marRight w:val="0"/>
              <w:marTop w:val="0"/>
              <w:marBottom w:val="0"/>
              <w:divBdr>
                <w:top w:val="none" w:sz="0" w:space="0" w:color="auto"/>
                <w:left w:val="none" w:sz="0" w:space="0" w:color="auto"/>
                <w:bottom w:val="none" w:sz="0" w:space="0" w:color="auto"/>
                <w:right w:val="none" w:sz="0" w:space="0" w:color="auto"/>
              </w:divBdr>
            </w:div>
            <w:div w:id="1487166957">
              <w:marLeft w:val="0"/>
              <w:marRight w:val="0"/>
              <w:marTop w:val="0"/>
              <w:marBottom w:val="0"/>
              <w:divBdr>
                <w:top w:val="none" w:sz="0" w:space="0" w:color="auto"/>
                <w:left w:val="none" w:sz="0" w:space="0" w:color="auto"/>
                <w:bottom w:val="none" w:sz="0" w:space="0" w:color="auto"/>
                <w:right w:val="none" w:sz="0" w:space="0" w:color="auto"/>
              </w:divBdr>
            </w:div>
            <w:div w:id="1664040836">
              <w:marLeft w:val="0"/>
              <w:marRight w:val="0"/>
              <w:marTop w:val="0"/>
              <w:marBottom w:val="0"/>
              <w:divBdr>
                <w:top w:val="none" w:sz="0" w:space="0" w:color="auto"/>
                <w:left w:val="none" w:sz="0" w:space="0" w:color="auto"/>
                <w:bottom w:val="none" w:sz="0" w:space="0" w:color="auto"/>
                <w:right w:val="none" w:sz="0" w:space="0" w:color="auto"/>
              </w:divBdr>
            </w:div>
            <w:div w:id="968970084">
              <w:marLeft w:val="0"/>
              <w:marRight w:val="0"/>
              <w:marTop w:val="0"/>
              <w:marBottom w:val="0"/>
              <w:divBdr>
                <w:top w:val="none" w:sz="0" w:space="0" w:color="auto"/>
                <w:left w:val="none" w:sz="0" w:space="0" w:color="auto"/>
                <w:bottom w:val="none" w:sz="0" w:space="0" w:color="auto"/>
                <w:right w:val="none" w:sz="0" w:space="0" w:color="auto"/>
              </w:divBdr>
            </w:div>
            <w:div w:id="1308434080">
              <w:marLeft w:val="0"/>
              <w:marRight w:val="0"/>
              <w:marTop w:val="0"/>
              <w:marBottom w:val="0"/>
              <w:divBdr>
                <w:top w:val="none" w:sz="0" w:space="0" w:color="auto"/>
                <w:left w:val="none" w:sz="0" w:space="0" w:color="auto"/>
                <w:bottom w:val="none" w:sz="0" w:space="0" w:color="auto"/>
                <w:right w:val="none" w:sz="0" w:space="0" w:color="auto"/>
              </w:divBdr>
            </w:div>
            <w:div w:id="1872500246">
              <w:marLeft w:val="0"/>
              <w:marRight w:val="0"/>
              <w:marTop w:val="0"/>
              <w:marBottom w:val="0"/>
              <w:divBdr>
                <w:top w:val="none" w:sz="0" w:space="0" w:color="auto"/>
                <w:left w:val="none" w:sz="0" w:space="0" w:color="auto"/>
                <w:bottom w:val="none" w:sz="0" w:space="0" w:color="auto"/>
                <w:right w:val="none" w:sz="0" w:space="0" w:color="auto"/>
              </w:divBdr>
            </w:div>
            <w:div w:id="1179928404">
              <w:marLeft w:val="0"/>
              <w:marRight w:val="0"/>
              <w:marTop w:val="0"/>
              <w:marBottom w:val="0"/>
              <w:divBdr>
                <w:top w:val="none" w:sz="0" w:space="0" w:color="auto"/>
                <w:left w:val="none" w:sz="0" w:space="0" w:color="auto"/>
                <w:bottom w:val="none" w:sz="0" w:space="0" w:color="auto"/>
                <w:right w:val="none" w:sz="0" w:space="0" w:color="auto"/>
              </w:divBdr>
            </w:div>
            <w:div w:id="2138142715">
              <w:marLeft w:val="0"/>
              <w:marRight w:val="0"/>
              <w:marTop w:val="0"/>
              <w:marBottom w:val="0"/>
              <w:divBdr>
                <w:top w:val="none" w:sz="0" w:space="0" w:color="auto"/>
                <w:left w:val="none" w:sz="0" w:space="0" w:color="auto"/>
                <w:bottom w:val="none" w:sz="0" w:space="0" w:color="auto"/>
                <w:right w:val="none" w:sz="0" w:space="0" w:color="auto"/>
              </w:divBdr>
            </w:div>
            <w:div w:id="50617287">
              <w:marLeft w:val="0"/>
              <w:marRight w:val="0"/>
              <w:marTop w:val="0"/>
              <w:marBottom w:val="0"/>
              <w:divBdr>
                <w:top w:val="none" w:sz="0" w:space="0" w:color="auto"/>
                <w:left w:val="none" w:sz="0" w:space="0" w:color="auto"/>
                <w:bottom w:val="none" w:sz="0" w:space="0" w:color="auto"/>
                <w:right w:val="none" w:sz="0" w:space="0" w:color="auto"/>
              </w:divBdr>
            </w:div>
            <w:div w:id="1995916304">
              <w:marLeft w:val="0"/>
              <w:marRight w:val="0"/>
              <w:marTop w:val="0"/>
              <w:marBottom w:val="0"/>
              <w:divBdr>
                <w:top w:val="none" w:sz="0" w:space="0" w:color="auto"/>
                <w:left w:val="none" w:sz="0" w:space="0" w:color="auto"/>
                <w:bottom w:val="none" w:sz="0" w:space="0" w:color="auto"/>
                <w:right w:val="none" w:sz="0" w:space="0" w:color="auto"/>
              </w:divBdr>
            </w:div>
            <w:div w:id="1090392295">
              <w:marLeft w:val="0"/>
              <w:marRight w:val="0"/>
              <w:marTop w:val="0"/>
              <w:marBottom w:val="0"/>
              <w:divBdr>
                <w:top w:val="none" w:sz="0" w:space="0" w:color="auto"/>
                <w:left w:val="none" w:sz="0" w:space="0" w:color="auto"/>
                <w:bottom w:val="none" w:sz="0" w:space="0" w:color="auto"/>
                <w:right w:val="none" w:sz="0" w:space="0" w:color="auto"/>
              </w:divBdr>
            </w:div>
            <w:div w:id="2109157519">
              <w:marLeft w:val="0"/>
              <w:marRight w:val="0"/>
              <w:marTop w:val="0"/>
              <w:marBottom w:val="0"/>
              <w:divBdr>
                <w:top w:val="none" w:sz="0" w:space="0" w:color="auto"/>
                <w:left w:val="none" w:sz="0" w:space="0" w:color="auto"/>
                <w:bottom w:val="none" w:sz="0" w:space="0" w:color="auto"/>
                <w:right w:val="none" w:sz="0" w:space="0" w:color="auto"/>
              </w:divBdr>
            </w:div>
            <w:div w:id="2078085471">
              <w:marLeft w:val="0"/>
              <w:marRight w:val="0"/>
              <w:marTop w:val="0"/>
              <w:marBottom w:val="0"/>
              <w:divBdr>
                <w:top w:val="none" w:sz="0" w:space="0" w:color="auto"/>
                <w:left w:val="none" w:sz="0" w:space="0" w:color="auto"/>
                <w:bottom w:val="none" w:sz="0" w:space="0" w:color="auto"/>
                <w:right w:val="none" w:sz="0" w:space="0" w:color="auto"/>
              </w:divBdr>
            </w:div>
            <w:div w:id="148643831">
              <w:marLeft w:val="0"/>
              <w:marRight w:val="0"/>
              <w:marTop w:val="0"/>
              <w:marBottom w:val="0"/>
              <w:divBdr>
                <w:top w:val="none" w:sz="0" w:space="0" w:color="auto"/>
                <w:left w:val="none" w:sz="0" w:space="0" w:color="auto"/>
                <w:bottom w:val="none" w:sz="0" w:space="0" w:color="auto"/>
                <w:right w:val="none" w:sz="0" w:space="0" w:color="auto"/>
              </w:divBdr>
            </w:div>
            <w:div w:id="1224563234">
              <w:marLeft w:val="0"/>
              <w:marRight w:val="0"/>
              <w:marTop w:val="0"/>
              <w:marBottom w:val="0"/>
              <w:divBdr>
                <w:top w:val="none" w:sz="0" w:space="0" w:color="auto"/>
                <w:left w:val="none" w:sz="0" w:space="0" w:color="auto"/>
                <w:bottom w:val="none" w:sz="0" w:space="0" w:color="auto"/>
                <w:right w:val="none" w:sz="0" w:space="0" w:color="auto"/>
              </w:divBdr>
            </w:div>
            <w:div w:id="1844585921">
              <w:marLeft w:val="0"/>
              <w:marRight w:val="0"/>
              <w:marTop w:val="0"/>
              <w:marBottom w:val="0"/>
              <w:divBdr>
                <w:top w:val="none" w:sz="0" w:space="0" w:color="auto"/>
                <w:left w:val="none" w:sz="0" w:space="0" w:color="auto"/>
                <w:bottom w:val="none" w:sz="0" w:space="0" w:color="auto"/>
                <w:right w:val="none" w:sz="0" w:space="0" w:color="auto"/>
              </w:divBdr>
            </w:div>
            <w:div w:id="1566179455">
              <w:marLeft w:val="0"/>
              <w:marRight w:val="0"/>
              <w:marTop w:val="0"/>
              <w:marBottom w:val="0"/>
              <w:divBdr>
                <w:top w:val="none" w:sz="0" w:space="0" w:color="auto"/>
                <w:left w:val="none" w:sz="0" w:space="0" w:color="auto"/>
                <w:bottom w:val="none" w:sz="0" w:space="0" w:color="auto"/>
                <w:right w:val="none" w:sz="0" w:space="0" w:color="auto"/>
              </w:divBdr>
            </w:div>
            <w:div w:id="214701770">
              <w:marLeft w:val="0"/>
              <w:marRight w:val="0"/>
              <w:marTop w:val="0"/>
              <w:marBottom w:val="0"/>
              <w:divBdr>
                <w:top w:val="none" w:sz="0" w:space="0" w:color="auto"/>
                <w:left w:val="none" w:sz="0" w:space="0" w:color="auto"/>
                <w:bottom w:val="none" w:sz="0" w:space="0" w:color="auto"/>
                <w:right w:val="none" w:sz="0" w:space="0" w:color="auto"/>
              </w:divBdr>
            </w:div>
            <w:div w:id="1683900678">
              <w:marLeft w:val="0"/>
              <w:marRight w:val="0"/>
              <w:marTop w:val="0"/>
              <w:marBottom w:val="0"/>
              <w:divBdr>
                <w:top w:val="none" w:sz="0" w:space="0" w:color="auto"/>
                <w:left w:val="none" w:sz="0" w:space="0" w:color="auto"/>
                <w:bottom w:val="none" w:sz="0" w:space="0" w:color="auto"/>
                <w:right w:val="none" w:sz="0" w:space="0" w:color="auto"/>
              </w:divBdr>
            </w:div>
            <w:div w:id="1986230153">
              <w:marLeft w:val="0"/>
              <w:marRight w:val="0"/>
              <w:marTop w:val="0"/>
              <w:marBottom w:val="0"/>
              <w:divBdr>
                <w:top w:val="none" w:sz="0" w:space="0" w:color="auto"/>
                <w:left w:val="none" w:sz="0" w:space="0" w:color="auto"/>
                <w:bottom w:val="none" w:sz="0" w:space="0" w:color="auto"/>
                <w:right w:val="none" w:sz="0" w:space="0" w:color="auto"/>
              </w:divBdr>
            </w:div>
            <w:div w:id="1607350108">
              <w:marLeft w:val="0"/>
              <w:marRight w:val="0"/>
              <w:marTop w:val="0"/>
              <w:marBottom w:val="0"/>
              <w:divBdr>
                <w:top w:val="none" w:sz="0" w:space="0" w:color="auto"/>
                <w:left w:val="none" w:sz="0" w:space="0" w:color="auto"/>
                <w:bottom w:val="none" w:sz="0" w:space="0" w:color="auto"/>
                <w:right w:val="none" w:sz="0" w:space="0" w:color="auto"/>
              </w:divBdr>
            </w:div>
            <w:div w:id="1876382793">
              <w:marLeft w:val="0"/>
              <w:marRight w:val="0"/>
              <w:marTop w:val="0"/>
              <w:marBottom w:val="0"/>
              <w:divBdr>
                <w:top w:val="none" w:sz="0" w:space="0" w:color="auto"/>
                <w:left w:val="none" w:sz="0" w:space="0" w:color="auto"/>
                <w:bottom w:val="none" w:sz="0" w:space="0" w:color="auto"/>
                <w:right w:val="none" w:sz="0" w:space="0" w:color="auto"/>
              </w:divBdr>
            </w:div>
            <w:div w:id="256139082">
              <w:marLeft w:val="0"/>
              <w:marRight w:val="0"/>
              <w:marTop w:val="0"/>
              <w:marBottom w:val="0"/>
              <w:divBdr>
                <w:top w:val="none" w:sz="0" w:space="0" w:color="auto"/>
                <w:left w:val="none" w:sz="0" w:space="0" w:color="auto"/>
                <w:bottom w:val="none" w:sz="0" w:space="0" w:color="auto"/>
                <w:right w:val="none" w:sz="0" w:space="0" w:color="auto"/>
              </w:divBdr>
            </w:div>
            <w:div w:id="744377396">
              <w:marLeft w:val="0"/>
              <w:marRight w:val="0"/>
              <w:marTop w:val="0"/>
              <w:marBottom w:val="0"/>
              <w:divBdr>
                <w:top w:val="none" w:sz="0" w:space="0" w:color="auto"/>
                <w:left w:val="none" w:sz="0" w:space="0" w:color="auto"/>
                <w:bottom w:val="none" w:sz="0" w:space="0" w:color="auto"/>
                <w:right w:val="none" w:sz="0" w:space="0" w:color="auto"/>
              </w:divBdr>
            </w:div>
            <w:div w:id="81266120">
              <w:marLeft w:val="0"/>
              <w:marRight w:val="0"/>
              <w:marTop w:val="0"/>
              <w:marBottom w:val="0"/>
              <w:divBdr>
                <w:top w:val="none" w:sz="0" w:space="0" w:color="auto"/>
                <w:left w:val="none" w:sz="0" w:space="0" w:color="auto"/>
                <w:bottom w:val="none" w:sz="0" w:space="0" w:color="auto"/>
                <w:right w:val="none" w:sz="0" w:space="0" w:color="auto"/>
              </w:divBdr>
            </w:div>
            <w:div w:id="1436483618">
              <w:marLeft w:val="0"/>
              <w:marRight w:val="0"/>
              <w:marTop w:val="0"/>
              <w:marBottom w:val="0"/>
              <w:divBdr>
                <w:top w:val="none" w:sz="0" w:space="0" w:color="auto"/>
                <w:left w:val="none" w:sz="0" w:space="0" w:color="auto"/>
                <w:bottom w:val="none" w:sz="0" w:space="0" w:color="auto"/>
                <w:right w:val="none" w:sz="0" w:space="0" w:color="auto"/>
              </w:divBdr>
            </w:div>
            <w:div w:id="529535426">
              <w:marLeft w:val="0"/>
              <w:marRight w:val="0"/>
              <w:marTop w:val="0"/>
              <w:marBottom w:val="0"/>
              <w:divBdr>
                <w:top w:val="none" w:sz="0" w:space="0" w:color="auto"/>
                <w:left w:val="none" w:sz="0" w:space="0" w:color="auto"/>
                <w:bottom w:val="none" w:sz="0" w:space="0" w:color="auto"/>
                <w:right w:val="none" w:sz="0" w:space="0" w:color="auto"/>
              </w:divBdr>
            </w:div>
            <w:div w:id="1216701046">
              <w:marLeft w:val="0"/>
              <w:marRight w:val="0"/>
              <w:marTop w:val="0"/>
              <w:marBottom w:val="0"/>
              <w:divBdr>
                <w:top w:val="none" w:sz="0" w:space="0" w:color="auto"/>
                <w:left w:val="none" w:sz="0" w:space="0" w:color="auto"/>
                <w:bottom w:val="none" w:sz="0" w:space="0" w:color="auto"/>
                <w:right w:val="none" w:sz="0" w:space="0" w:color="auto"/>
              </w:divBdr>
            </w:div>
            <w:div w:id="1671449875">
              <w:marLeft w:val="0"/>
              <w:marRight w:val="0"/>
              <w:marTop w:val="0"/>
              <w:marBottom w:val="0"/>
              <w:divBdr>
                <w:top w:val="none" w:sz="0" w:space="0" w:color="auto"/>
                <w:left w:val="none" w:sz="0" w:space="0" w:color="auto"/>
                <w:bottom w:val="none" w:sz="0" w:space="0" w:color="auto"/>
                <w:right w:val="none" w:sz="0" w:space="0" w:color="auto"/>
              </w:divBdr>
            </w:div>
            <w:div w:id="1597909139">
              <w:marLeft w:val="0"/>
              <w:marRight w:val="0"/>
              <w:marTop w:val="0"/>
              <w:marBottom w:val="0"/>
              <w:divBdr>
                <w:top w:val="none" w:sz="0" w:space="0" w:color="auto"/>
                <w:left w:val="none" w:sz="0" w:space="0" w:color="auto"/>
                <w:bottom w:val="none" w:sz="0" w:space="0" w:color="auto"/>
                <w:right w:val="none" w:sz="0" w:space="0" w:color="auto"/>
              </w:divBdr>
            </w:div>
            <w:div w:id="858281437">
              <w:marLeft w:val="0"/>
              <w:marRight w:val="0"/>
              <w:marTop w:val="0"/>
              <w:marBottom w:val="0"/>
              <w:divBdr>
                <w:top w:val="none" w:sz="0" w:space="0" w:color="auto"/>
                <w:left w:val="none" w:sz="0" w:space="0" w:color="auto"/>
                <w:bottom w:val="none" w:sz="0" w:space="0" w:color="auto"/>
                <w:right w:val="none" w:sz="0" w:space="0" w:color="auto"/>
              </w:divBdr>
            </w:div>
            <w:div w:id="247614089">
              <w:marLeft w:val="0"/>
              <w:marRight w:val="0"/>
              <w:marTop w:val="0"/>
              <w:marBottom w:val="0"/>
              <w:divBdr>
                <w:top w:val="none" w:sz="0" w:space="0" w:color="auto"/>
                <w:left w:val="none" w:sz="0" w:space="0" w:color="auto"/>
                <w:bottom w:val="none" w:sz="0" w:space="0" w:color="auto"/>
                <w:right w:val="none" w:sz="0" w:space="0" w:color="auto"/>
              </w:divBdr>
            </w:div>
            <w:div w:id="15009844">
              <w:marLeft w:val="0"/>
              <w:marRight w:val="0"/>
              <w:marTop w:val="0"/>
              <w:marBottom w:val="0"/>
              <w:divBdr>
                <w:top w:val="none" w:sz="0" w:space="0" w:color="auto"/>
                <w:left w:val="none" w:sz="0" w:space="0" w:color="auto"/>
                <w:bottom w:val="none" w:sz="0" w:space="0" w:color="auto"/>
                <w:right w:val="none" w:sz="0" w:space="0" w:color="auto"/>
              </w:divBdr>
            </w:div>
            <w:div w:id="973099493">
              <w:marLeft w:val="0"/>
              <w:marRight w:val="0"/>
              <w:marTop w:val="0"/>
              <w:marBottom w:val="0"/>
              <w:divBdr>
                <w:top w:val="none" w:sz="0" w:space="0" w:color="auto"/>
                <w:left w:val="none" w:sz="0" w:space="0" w:color="auto"/>
                <w:bottom w:val="none" w:sz="0" w:space="0" w:color="auto"/>
                <w:right w:val="none" w:sz="0" w:space="0" w:color="auto"/>
              </w:divBdr>
            </w:div>
            <w:div w:id="1790781025">
              <w:marLeft w:val="0"/>
              <w:marRight w:val="0"/>
              <w:marTop w:val="0"/>
              <w:marBottom w:val="0"/>
              <w:divBdr>
                <w:top w:val="none" w:sz="0" w:space="0" w:color="auto"/>
                <w:left w:val="none" w:sz="0" w:space="0" w:color="auto"/>
                <w:bottom w:val="none" w:sz="0" w:space="0" w:color="auto"/>
                <w:right w:val="none" w:sz="0" w:space="0" w:color="auto"/>
              </w:divBdr>
            </w:div>
            <w:div w:id="1946569430">
              <w:marLeft w:val="0"/>
              <w:marRight w:val="0"/>
              <w:marTop w:val="0"/>
              <w:marBottom w:val="0"/>
              <w:divBdr>
                <w:top w:val="none" w:sz="0" w:space="0" w:color="auto"/>
                <w:left w:val="none" w:sz="0" w:space="0" w:color="auto"/>
                <w:bottom w:val="none" w:sz="0" w:space="0" w:color="auto"/>
                <w:right w:val="none" w:sz="0" w:space="0" w:color="auto"/>
              </w:divBdr>
            </w:div>
            <w:div w:id="218564690">
              <w:marLeft w:val="0"/>
              <w:marRight w:val="0"/>
              <w:marTop w:val="0"/>
              <w:marBottom w:val="0"/>
              <w:divBdr>
                <w:top w:val="none" w:sz="0" w:space="0" w:color="auto"/>
                <w:left w:val="none" w:sz="0" w:space="0" w:color="auto"/>
                <w:bottom w:val="none" w:sz="0" w:space="0" w:color="auto"/>
                <w:right w:val="none" w:sz="0" w:space="0" w:color="auto"/>
              </w:divBdr>
            </w:div>
            <w:div w:id="1273318930">
              <w:marLeft w:val="0"/>
              <w:marRight w:val="0"/>
              <w:marTop w:val="0"/>
              <w:marBottom w:val="0"/>
              <w:divBdr>
                <w:top w:val="none" w:sz="0" w:space="0" w:color="auto"/>
                <w:left w:val="none" w:sz="0" w:space="0" w:color="auto"/>
                <w:bottom w:val="none" w:sz="0" w:space="0" w:color="auto"/>
                <w:right w:val="none" w:sz="0" w:space="0" w:color="auto"/>
              </w:divBdr>
            </w:div>
            <w:div w:id="910313996">
              <w:marLeft w:val="0"/>
              <w:marRight w:val="0"/>
              <w:marTop w:val="0"/>
              <w:marBottom w:val="0"/>
              <w:divBdr>
                <w:top w:val="none" w:sz="0" w:space="0" w:color="auto"/>
                <w:left w:val="none" w:sz="0" w:space="0" w:color="auto"/>
                <w:bottom w:val="none" w:sz="0" w:space="0" w:color="auto"/>
                <w:right w:val="none" w:sz="0" w:space="0" w:color="auto"/>
              </w:divBdr>
            </w:div>
            <w:div w:id="1589197520">
              <w:marLeft w:val="0"/>
              <w:marRight w:val="0"/>
              <w:marTop w:val="0"/>
              <w:marBottom w:val="0"/>
              <w:divBdr>
                <w:top w:val="none" w:sz="0" w:space="0" w:color="auto"/>
                <w:left w:val="none" w:sz="0" w:space="0" w:color="auto"/>
                <w:bottom w:val="none" w:sz="0" w:space="0" w:color="auto"/>
                <w:right w:val="none" w:sz="0" w:space="0" w:color="auto"/>
              </w:divBdr>
            </w:div>
            <w:div w:id="1440368243">
              <w:marLeft w:val="0"/>
              <w:marRight w:val="0"/>
              <w:marTop w:val="0"/>
              <w:marBottom w:val="0"/>
              <w:divBdr>
                <w:top w:val="none" w:sz="0" w:space="0" w:color="auto"/>
                <w:left w:val="none" w:sz="0" w:space="0" w:color="auto"/>
                <w:bottom w:val="none" w:sz="0" w:space="0" w:color="auto"/>
                <w:right w:val="none" w:sz="0" w:space="0" w:color="auto"/>
              </w:divBdr>
            </w:div>
            <w:div w:id="1468547944">
              <w:marLeft w:val="0"/>
              <w:marRight w:val="0"/>
              <w:marTop w:val="0"/>
              <w:marBottom w:val="0"/>
              <w:divBdr>
                <w:top w:val="none" w:sz="0" w:space="0" w:color="auto"/>
                <w:left w:val="none" w:sz="0" w:space="0" w:color="auto"/>
                <w:bottom w:val="none" w:sz="0" w:space="0" w:color="auto"/>
                <w:right w:val="none" w:sz="0" w:space="0" w:color="auto"/>
              </w:divBdr>
            </w:div>
            <w:div w:id="33734372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624508340">
              <w:marLeft w:val="0"/>
              <w:marRight w:val="0"/>
              <w:marTop w:val="0"/>
              <w:marBottom w:val="0"/>
              <w:divBdr>
                <w:top w:val="none" w:sz="0" w:space="0" w:color="auto"/>
                <w:left w:val="none" w:sz="0" w:space="0" w:color="auto"/>
                <w:bottom w:val="none" w:sz="0" w:space="0" w:color="auto"/>
                <w:right w:val="none" w:sz="0" w:space="0" w:color="auto"/>
              </w:divBdr>
            </w:div>
            <w:div w:id="982005637">
              <w:marLeft w:val="0"/>
              <w:marRight w:val="0"/>
              <w:marTop w:val="0"/>
              <w:marBottom w:val="0"/>
              <w:divBdr>
                <w:top w:val="none" w:sz="0" w:space="0" w:color="auto"/>
                <w:left w:val="none" w:sz="0" w:space="0" w:color="auto"/>
                <w:bottom w:val="none" w:sz="0" w:space="0" w:color="auto"/>
                <w:right w:val="none" w:sz="0" w:space="0" w:color="auto"/>
              </w:divBdr>
            </w:div>
            <w:div w:id="2064254929">
              <w:marLeft w:val="0"/>
              <w:marRight w:val="0"/>
              <w:marTop w:val="0"/>
              <w:marBottom w:val="0"/>
              <w:divBdr>
                <w:top w:val="none" w:sz="0" w:space="0" w:color="auto"/>
                <w:left w:val="none" w:sz="0" w:space="0" w:color="auto"/>
                <w:bottom w:val="none" w:sz="0" w:space="0" w:color="auto"/>
                <w:right w:val="none" w:sz="0" w:space="0" w:color="auto"/>
              </w:divBdr>
            </w:div>
            <w:div w:id="1606958551">
              <w:marLeft w:val="0"/>
              <w:marRight w:val="0"/>
              <w:marTop w:val="0"/>
              <w:marBottom w:val="0"/>
              <w:divBdr>
                <w:top w:val="none" w:sz="0" w:space="0" w:color="auto"/>
                <w:left w:val="none" w:sz="0" w:space="0" w:color="auto"/>
                <w:bottom w:val="none" w:sz="0" w:space="0" w:color="auto"/>
                <w:right w:val="none" w:sz="0" w:space="0" w:color="auto"/>
              </w:divBdr>
            </w:div>
            <w:div w:id="43140740">
              <w:marLeft w:val="0"/>
              <w:marRight w:val="0"/>
              <w:marTop w:val="0"/>
              <w:marBottom w:val="0"/>
              <w:divBdr>
                <w:top w:val="none" w:sz="0" w:space="0" w:color="auto"/>
                <w:left w:val="none" w:sz="0" w:space="0" w:color="auto"/>
                <w:bottom w:val="none" w:sz="0" w:space="0" w:color="auto"/>
                <w:right w:val="none" w:sz="0" w:space="0" w:color="auto"/>
              </w:divBdr>
            </w:div>
            <w:div w:id="1384409790">
              <w:marLeft w:val="0"/>
              <w:marRight w:val="0"/>
              <w:marTop w:val="0"/>
              <w:marBottom w:val="0"/>
              <w:divBdr>
                <w:top w:val="none" w:sz="0" w:space="0" w:color="auto"/>
                <w:left w:val="none" w:sz="0" w:space="0" w:color="auto"/>
                <w:bottom w:val="none" w:sz="0" w:space="0" w:color="auto"/>
                <w:right w:val="none" w:sz="0" w:space="0" w:color="auto"/>
              </w:divBdr>
            </w:div>
            <w:div w:id="347755620">
              <w:marLeft w:val="0"/>
              <w:marRight w:val="0"/>
              <w:marTop w:val="0"/>
              <w:marBottom w:val="0"/>
              <w:divBdr>
                <w:top w:val="none" w:sz="0" w:space="0" w:color="auto"/>
                <w:left w:val="none" w:sz="0" w:space="0" w:color="auto"/>
                <w:bottom w:val="none" w:sz="0" w:space="0" w:color="auto"/>
                <w:right w:val="none" w:sz="0" w:space="0" w:color="auto"/>
              </w:divBdr>
            </w:div>
            <w:div w:id="444424853">
              <w:marLeft w:val="0"/>
              <w:marRight w:val="0"/>
              <w:marTop w:val="0"/>
              <w:marBottom w:val="0"/>
              <w:divBdr>
                <w:top w:val="none" w:sz="0" w:space="0" w:color="auto"/>
                <w:left w:val="none" w:sz="0" w:space="0" w:color="auto"/>
                <w:bottom w:val="none" w:sz="0" w:space="0" w:color="auto"/>
                <w:right w:val="none" w:sz="0" w:space="0" w:color="auto"/>
              </w:divBdr>
            </w:div>
            <w:div w:id="533422433">
              <w:marLeft w:val="0"/>
              <w:marRight w:val="0"/>
              <w:marTop w:val="0"/>
              <w:marBottom w:val="0"/>
              <w:divBdr>
                <w:top w:val="none" w:sz="0" w:space="0" w:color="auto"/>
                <w:left w:val="none" w:sz="0" w:space="0" w:color="auto"/>
                <w:bottom w:val="none" w:sz="0" w:space="0" w:color="auto"/>
                <w:right w:val="none" w:sz="0" w:space="0" w:color="auto"/>
              </w:divBdr>
            </w:div>
            <w:div w:id="1722318306">
              <w:marLeft w:val="0"/>
              <w:marRight w:val="0"/>
              <w:marTop w:val="0"/>
              <w:marBottom w:val="0"/>
              <w:divBdr>
                <w:top w:val="none" w:sz="0" w:space="0" w:color="auto"/>
                <w:left w:val="none" w:sz="0" w:space="0" w:color="auto"/>
                <w:bottom w:val="none" w:sz="0" w:space="0" w:color="auto"/>
                <w:right w:val="none" w:sz="0" w:space="0" w:color="auto"/>
              </w:divBdr>
            </w:div>
            <w:div w:id="1923172911">
              <w:marLeft w:val="0"/>
              <w:marRight w:val="0"/>
              <w:marTop w:val="0"/>
              <w:marBottom w:val="0"/>
              <w:divBdr>
                <w:top w:val="none" w:sz="0" w:space="0" w:color="auto"/>
                <w:left w:val="none" w:sz="0" w:space="0" w:color="auto"/>
                <w:bottom w:val="none" w:sz="0" w:space="0" w:color="auto"/>
                <w:right w:val="none" w:sz="0" w:space="0" w:color="auto"/>
              </w:divBdr>
            </w:div>
            <w:div w:id="2020504170">
              <w:marLeft w:val="0"/>
              <w:marRight w:val="0"/>
              <w:marTop w:val="0"/>
              <w:marBottom w:val="0"/>
              <w:divBdr>
                <w:top w:val="none" w:sz="0" w:space="0" w:color="auto"/>
                <w:left w:val="none" w:sz="0" w:space="0" w:color="auto"/>
                <w:bottom w:val="none" w:sz="0" w:space="0" w:color="auto"/>
                <w:right w:val="none" w:sz="0" w:space="0" w:color="auto"/>
              </w:divBdr>
            </w:div>
            <w:div w:id="1820730358">
              <w:marLeft w:val="0"/>
              <w:marRight w:val="0"/>
              <w:marTop w:val="0"/>
              <w:marBottom w:val="0"/>
              <w:divBdr>
                <w:top w:val="none" w:sz="0" w:space="0" w:color="auto"/>
                <w:left w:val="none" w:sz="0" w:space="0" w:color="auto"/>
                <w:bottom w:val="none" w:sz="0" w:space="0" w:color="auto"/>
                <w:right w:val="none" w:sz="0" w:space="0" w:color="auto"/>
              </w:divBdr>
            </w:div>
            <w:div w:id="372924156">
              <w:marLeft w:val="0"/>
              <w:marRight w:val="0"/>
              <w:marTop w:val="0"/>
              <w:marBottom w:val="0"/>
              <w:divBdr>
                <w:top w:val="none" w:sz="0" w:space="0" w:color="auto"/>
                <w:left w:val="none" w:sz="0" w:space="0" w:color="auto"/>
                <w:bottom w:val="none" w:sz="0" w:space="0" w:color="auto"/>
                <w:right w:val="none" w:sz="0" w:space="0" w:color="auto"/>
              </w:divBdr>
            </w:div>
            <w:div w:id="474835253">
              <w:marLeft w:val="0"/>
              <w:marRight w:val="0"/>
              <w:marTop w:val="0"/>
              <w:marBottom w:val="0"/>
              <w:divBdr>
                <w:top w:val="none" w:sz="0" w:space="0" w:color="auto"/>
                <w:left w:val="none" w:sz="0" w:space="0" w:color="auto"/>
                <w:bottom w:val="none" w:sz="0" w:space="0" w:color="auto"/>
                <w:right w:val="none" w:sz="0" w:space="0" w:color="auto"/>
              </w:divBdr>
            </w:div>
            <w:div w:id="785537814">
              <w:marLeft w:val="0"/>
              <w:marRight w:val="0"/>
              <w:marTop w:val="0"/>
              <w:marBottom w:val="0"/>
              <w:divBdr>
                <w:top w:val="none" w:sz="0" w:space="0" w:color="auto"/>
                <w:left w:val="none" w:sz="0" w:space="0" w:color="auto"/>
                <w:bottom w:val="none" w:sz="0" w:space="0" w:color="auto"/>
                <w:right w:val="none" w:sz="0" w:space="0" w:color="auto"/>
              </w:divBdr>
            </w:div>
            <w:div w:id="2010908148">
              <w:marLeft w:val="0"/>
              <w:marRight w:val="0"/>
              <w:marTop w:val="0"/>
              <w:marBottom w:val="0"/>
              <w:divBdr>
                <w:top w:val="none" w:sz="0" w:space="0" w:color="auto"/>
                <w:left w:val="none" w:sz="0" w:space="0" w:color="auto"/>
                <w:bottom w:val="none" w:sz="0" w:space="0" w:color="auto"/>
                <w:right w:val="none" w:sz="0" w:space="0" w:color="auto"/>
              </w:divBdr>
            </w:div>
            <w:div w:id="1935168015">
              <w:marLeft w:val="0"/>
              <w:marRight w:val="0"/>
              <w:marTop w:val="0"/>
              <w:marBottom w:val="0"/>
              <w:divBdr>
                <w:top w:val="none" w:sz="0" w:space="0" w:color="auto"/>
                <w:left w:val="none" w:sz="0" w:space="0" w:color="auto"/>
                <w:bottom w:val="none" w:sz="0" w:space="0" w:color="auto"/>
                <w:right w:val="none" w:sz="0" w:space="0" w:color="auto"/>
              </w:divBdr>
            </w:div>
            <w:div w:id="637078203">
              <w:marLeft w:val="0"/>
              <w:marRight w:val="0"/>
              <w:marTop w:val="0"/>
              <w:marBottom w:val="0"/>
              <w:divBdr>
                <w:top w:val="none" w:sz="0" w:space="0" w:color="auto"/>
                <w:left w:val="none" w:sz="0" w:space="0" w:color="auto"/>
                <w:bottom w:val="none" w:sz="0" w:space="0" w:color="auto"/>
                <w:right w:val="none" w:sz="0" w:space="0" w:color="auto"/>
              </w:divBdr>
            </w:div>
            <w:div w:id="694580893">
              <w:marLeft w:val="0"/>
              <w:marRight w:val="0"/>
              <w:marTop w:val="0"/>
              <w:marBottom w:val="0"/>
              <w:divBdr>
                <w:top w:val="none" w:sz="0" w:space="0" w:color="auto"/>
                <w:left w:val="none" w:sz="0" w:space="0" w:color="auto"/>
                <w:bottom w:val="none" w:sz="0" w:space="0" w:color="auto"/>
                <w:right w:val="none" w:sz="0" w:space="0" w:color="auto"/>
              </w:divBdr>
            </w:div>
            <w:div w:id="55978068">
              <w:marLeft w:val="0"/>
              <w:marRight w:val="0"/>
              <w:marTop w:val="0"/>
              <w:marBottom w:val="0"/>
              <w:divBdr>
                <w:top w:val="none" w:sz="0" w:space="0" w:color="auto"/>
                <w:left w:val="none" w:sz="0" w:space="0" w:color="auto"/>
                <w:bottom w:val="none" w:sz="0" w:space="0" w:color="auto"/>
                <w:right w:val="none" w:sz="0" w:space="0" w:color="auto"/>
              </w:divBdr>
            </w:div>
            <w:div w:id="791169920">
              <w:marLeft w:val="0"/>
              <w:marRight w:val="0"/>
              <w:marTop w:val="0"/>
              <w:marBottom w:val="0"/>
              <w:divBdr>
                <w:top w:val="none" w:sz="0" w:space="0" w:color="auto"/>
                <w:left w:val="none" w:sz="0" w:space="0" w:color="auto"/>
                <w:bottom w:val="none" w:sz="0" w:space="0" w:color="auto"/>
                <w:right w:val="none" w:sz="0" w:space="0" w:color="auto"/>
              </w:divBdr>
            </w:div>
            <w:div w:id="223489282">
              <w:marLeft w:val="0"/>
              <w:marRight w:val="0"/>
              <w:marTop w:val="0"/>
              <w:marBottom w:val="0"/>
              <w:divBdr>
                <w:top w:val="none" w:sz="0" w:space="0" w:color="auto"/>
                <w:left w:val="none" w:sz="0" w:space="0" w:color="auto"/>
                <w:bottom w:val="none" w:sz="0" w:space="0" w:color="auto"/>
                <w:right w:val="none" w:sz="0" w:space="0" w:color="auto"/>
              </w:divBdr>
            </w:div>
            <w:div w:id="678236748">
              <w:marLeft w:val="0"/>
              <w:marRight w:val="0"/>
              <w:marTop w:val="0"/>
              <w:marBottom w:val="0"/>
              <w:divBdr>
                <w:top w:val="none" w:sz="0" w:space="0" w:color="auto"/>
                <w:left w:val="none" w:sz="0" w:space="0" w:color="auto"/>
                <w:bottom w:val="none" w:sz="0" w:space="0" w:color="auto"/>
                <w:right w:val="none" w:sz="0" w:space="0" w:color="auto"/>
              </w:divBdr>
            </w:div>
            <w:div w:id="105854497">
              <w:marLeft w:val="0"/>
              <w:marRight w:val="0"/>
              <w:marTop w:val="0"/>
              <w:marBottom w:val="0"/>
              <w:divBdr>
                <w:top w:val="none" w:sz="0" w:space="0" w:color="auto"/>
                <w:left w:val="none" w:sz="0" w:space="0" w:color="auto"/>
                <w:bottom w:val="none" w:sz="0" w:space="0" w:color="auto"/>
                <w:right w:val="none" w:sz="0" w:space="0" w:color="auto"/>
              </w:divBdr>
            </w:div>
            <w:div w:id="741487921">
              <w:marLeft w:val="0"/>
              <w:marRight w:val="0"/>
              <w:marTop w:val="0"/>
              <w:marBottom w:val="0"/>
              <w:divBdr>
                <w:top w:val="none" w:sz="0" w:space="0" w:color="auto"/>
                <w:left w:val="none" w:sz="0" w:space="0" w:color="auto"/>
                <w:bottom w:val="none" w:sz="0" w:space="0" w:color="auto"/>
                <w:right w:val="none" w:sz="0" w:space="0" w:color="auto"/>
              </w:divBdr>
            </w:div>
            <w:div w:id="1130247416">
              <w:marLeft w:val="0"/>
              <w:marRight w:val="0"/>
              <w:marTop w:val="0"/>
              <w:marBottom w:val="0"/>
              <w:divBdr>
                <w:top w:val="none" w:sz="0" w:space="0" w:color="auto"/>
                <w:left w:val="none" w:sz="0" w:space="0" w:color="auto"/>
                <w:bottom w:val="none" w:sz="0" w:space="0" w:color="auto"/>
                <w:right w:val="none" w:sz="0" w:space="0" w:color="auto"/>
              </w:divBdr>
            </w:div>
            <w:div w:id="574625652">
              <w:marLeft w:val="0"/>
              <w:marRight w:val="0"/>
              <w:marTop w:val="0"/>
              <w:marBottom w:val="0"/>
              <w:divBdr>
                <w:top w:val="none" w:sz="0" w:space="0" w:color="auto"/>
                <w:left w:val="none" w:sz="0" w:space="0" w:color="auto"/>
                <w:bottom w:val="none" w:sz="0" w:space="0" w:color="auto"/>
                <w:right w:val="none" w:sz="0" w:space="0" w:color="auto"/>
              </w:divBdr>
            </w:div>
            <w:div w:id="1555389992">
              <w:marLeft w:val="0"/>
              <w:marRight w:val="0"/>
              <w:marTop w:val="0"/>
              <w:marBottom w:val="0"/>
              <w:divBdr>
                <w:top w:val="none" w:sz="0" w:space="0" w:color="auto"/>
                <w:left w:val="none" w:sz="0" w:space="0" w:color="auto"/>
                <w:bottom w:val="none" w:sz="0" w:space="0" w:color="auto"/>
                <w:right w:val="none" w:sz="0" w:space="0" w:color="auto"/>
              </w:divBdr>
            </w:div>
            <w:div w:id="1225606634">
              <w:marLeft w:val="0"/>
              <w:marRight w:val="0"/>
              <w:marTop w:val="0"/>
              <w:marBottom w:val="0"/>
              <w:divBdr>
                <w:top w:val="none" w:sz="0" w:space="0" w:color="auto"/>
                <w:left w:val="none" w:sz="0" w:space="0" w:color="auto"/>
                <w:bottom w:val="none" w:sz="0" w:space="0" w:color="auto"/>
                <w:right w:val="none" w:sz="0" w:space="0" w:color="auto"/>
              </w:divBdr>
            </w:div>
            <w:div w:id="782651211">
              <w:marLeft w:val="0"/>
              <w:marRight w:val="0"/>
              <w:marTop w:val="0"/>
              <w:marBottom w:val="0"/>
              <w:divBdr>
                <w:top w:val="none" w:sz="0" w:space="0" w:color="auto"/>
                <w:left w:val="none" w:sz="0" w:space="0" w:color="auto"/>
                <w:bottom w:val="none" w:sz="0" w:space="0" w:color="auto"/>
                <w:right w:val="none" w:sz="0" w:space="0" w:color="auto"/>
              </w:divBdr>
            </w:div>
            <w:div w:id="406809185">
              <w:marLeft w:val="0"/>
              <w:marRight w:val="0"/>
              <w:marTop w:val="0"/>
              <w:marBottom w:val="0"/>
              <w:divBdr>
                <w:top w:val="none" w:sz="0" w:space="0" w:color="auto"/>
                <w:left w:val="none" w:sz="0" w:space="0" w:color="auto"/>
                <w:bottom w:val="none" w:sz="0" w:space="0" w:color="auto"/>
                <w:right w:val="none" w:sz="0" w:space="0" w:color="auto"/>
              </w:divBdr>
            </w:div>
            <w:div w:id="535435877">
              <w:marLeft w:val="0"/>
              <w:marRight w:val="0"/>
              <w:marTop w:val="0"/>
              <w:marBottom w:val="0"/>
              <w:divBdr>
                <w:top w:val="none" w:sz="0" w:space="0" w:color="auto"/>
                <w:left w:val="none" w:sz="0" w:space="0" w:color="auto"/>
                <w:bottom w:val="none" w:sz="0" w:space="0" w:color="auto"/>
                <w:right w:val="none" w:sz="0" w:space="0" w:color="auto"/>
              </w:divBdr>
            </w:div>
            <w:div w:id="712466101">
              <w:marLeft w:val="0"/>
              <w:marRight w:val="0"/>
              <w:marTop w:val="0"/>
              <w:marBottom w:val="0"/>
              <w:divBdr>
                <w:top w:val="none" w:sz="0" w:space="0" w:color="auto"/>
                <w:left w:val="none" w:sz="0" w:space="0" w:color="auto"/>
                <w:bottom w:val="none" w:sz="0" w:space="0" w:color="auto"/>
                <w:right w:val="none" w:sz="0" w:space="0" w:color="auto"/>
              </w:divBdr>
            </w:div>
            <w:div w:id="1983652637">
              <w:marLeft w:val="0"/>
              <w:marRight w:val="0"/>
              <w:marTop w:val="0"/>
              <w:marBottom w:val="0"/>
              <w:divBdr>
                <w:top w:val="none" w:sz="0" w:space="0" w:color="auto"/>
                <w:left w:val="none" w:sz="0" w:space="0" w:color="auto"/>
                <w:bottom w:val="none" w:sz="0" w:space="0" w:color="auto"/>
                <w:right w:val="none" w:sz="0" w:space="0" w:color="auto"/>
              </w:divBdr>
            </w:div>
            <w:div w:id="512384077">
              <w:marLeft w:val="0"/>
              <w:marRight w:val="0"/>
              <w:marTop w:val="0"/>
              <w:marBottom w:val="0"/>
              <w:divBdr>
                <w:top w:val="none" w:sz="0" w:space="0" w:color="auto"/>
                <w:left w:val="none" w:sz="0" w:space="0" w:color="auto"/>
                <w:bottom w:val="none" w:sz="0" w:space="0" w:color="auto"/>
                <w:right w:val="none" w:sz="0" w:space="0" w:color="auto"/>
              </w:divBdr>
            </w:div>
            <w:div w:id="319426836">
              <w:marLeft w:val="0"/>
              <w:marRight w:val="0"/>
              <w:marTop w:val="0"/>
              <w:marBottom w:val="0"/>
              <w:divBdr>
                <w:top w:val="none" w:sz="0" w:space="0" w:color="auto"/>
                <w:left w:val="none" w:sz="0" w:space="0" w:color="auto"/>
                <w:bottom w:val="none" w:sz="0" w:space="0" w:color="auto"/>
                <w:right w:val="none" w:sz="0" w:space="0" w:color="auto"/>
              </w:divBdr>
            </w:div>
            <w:div w:id="911161896">
              <w:marLeft w:val="0"/>
              <w:marRight w:val="0"/>
              <w:marTop w:val="0"/>
              <w:marBottom w:val="0"/>
              <w:divBdr>
                <w:top w:val="none" w:sz="0" w:space="0" w:color="auto"/>
                <w:left w:val="none" w:sz="0" w:space="0" w:color="auto"/>
                <w:bottom w:val="none" w:sz="0" w:space="0" w:color="auto"/>
                <w:right w:val="none" w:sz="0" w:space="0" w:color="auto"/>
              </w:divBdr>
            </w:div>
            <w:div w:id="530798967">
              <w:marLeft w:val="0"/>
              <w:marRight w:val="0"/>
              <w:marTop w:val="0"/>
              <w:marBottom w:val="0"/>
              <w:divBdr>
                <w:top w:val="none" w:sz="0" w:space="0" w:color="auto"/>
                <w:left w:val="none" w:sz="0" w:space="0" w:color="auto"/>
                <w:bottom w:val="none" w:sz="0" w:space="0" w:color="auto"/>
                <w:right w:val="none" w:sz="0" w:space="0" w:color="auto"/>
              </w:divBdr>
            </w:div>
            <w:div w:id="1044988878">
              <w:marLeft w:val="0"/>
              <w:marRight w:val="0"/>
              <w:marTop w:val="0"/>
              <w:marBottom w:val="0"/>
              <w:divBdr>
                <w:top w:val="none" w:sz="0" w:space="0" w:color="auto"/>
                <w:left w:val="none" w:sz="0" w:space="0" w:color="auto"/>
                <w:bottom w:val="none" w:sz="0" w:space="0" w:color="auto"/>
                <w:right w:val="none" w:sz="0" w:space="0" w:color="auto"/>
              </w:divBdr>
            </w:div>
            <w:div w:id="1428040400">
              <w:marLeft w:val="0"/>
              <w:marRight w:val="0"/>
              <w:marTop w:val="0"/>
              <w:marBottom w:val="0"/>
              <w:divBdr>
                <w:top w:val="none" w:sz="0" w:space="0" w:color="auto"/>
                <w:left w:val="none" w:sz="0" w:space="0" w:color="auto"/>
                <w:bottom w:val="none" w:sz="0" w:space="0" w:color="auto"/>
                <w:right w:val="none" w:sz="0" w:space="0" w:color="auto"/>
              </w:divBdr>
            </w:div>
            <w:div w:id="1942183972">
              <w:marLeft w:val="0"/>
              <w:marRight w:val="0"/>
              <w:marTop w:val="0"/>
              <w:marBottom w:val="0"/>
              <w:divBdr>
                <w:top w:val="none" w:sz="0" w:space="0" w:color="auto"/>
                <w:left w:val="none" w:sz="0" w:space="0" w:color="auto"/>
                <w:bottom w:val="none" w:sz="0" w:space="0" w:color="auto"/>
                <w:right w:val="none" w:sz="0" w:space="0" w:color="auto"/>
              </w:divBdr>
            </w:div>
            <w:div w:id="1522815986">
              <w:marLeft w:val="0"/>
              <w:marRight w:val="0"/>
              <w:marTop w:val="0"/>
              <w:marBottom w:val="0"/>
              <w:divBdr>
                <w:top w:val="none" w:sz="0" w:space="0" w:color="auto"/>
                <w:left w:val="none" w:sz="0" w:space="0" w:color="auto"/>
                <w:bottom w:val="none" w:sz="0" w:space="0" w:color="auto"/>
                <w:right w:val="none" w:sz="0" w:space="0" w:color="auto"/>
              </w:divBdr>
            </w:div>
            <w:div w:id="176431015">
              <w:marLeft w:val="0"/>
              <w:marRight w:val="0"/>
              <w:marTop w:val="0"/>
              <w:marBottom w:val="0"/>
              <w:divBdr>
                <w:top w:val="none" w:sz="0" w:space="0" w:color="auto"/>
                <w:left w:val="none" w:sz="0" w:space="0" w:color="auto"/>
                <w:bottom w:val="none" w:sz="0" w:space="0" w:color="auto"/>
                <w:right w:val="none" w:sz="0" w:space="0" w:color="auto"/>
              </w:divBdr>
            </w:div>
            <w:div w:id="1612124693">
              <w:marLeft w:val="0"/>
              <w:marRight w:val="0"/>
              <w:marTop w:val="0"/>
              <w:marBottom w:val="0"/>
              <w:divBdr>
                <w:top w:val="none" w:sz="0" w:space="0" w:color="auto"/>
                <w:left w:val="none" w:sz="0" w:space="0" w:color="auto"/>
                <w:bottom w:val="none" w:sz="0" w:space="0" w:color="auto"/>
                <w:right w:val="none" w:sz="0" w:space="0" w:color="auto"/>
              </w:divBdr>
            </w:div>
            <w:div w:id="781344135">
              <w:marLeft w:val="0"/>
              <w:marRight w:val="0"/>
              <w:marTop w:val="0"/>
              <w:marBottom w:val="0"/>
              <w:divBdr>
                <w:top w:val="none" w:sz="0" w:space="0" w:color="auto"/>
                <w:left w:val="none" w:sz="0" w:space="0" w:color="auto"/>
                <w:bottom w:val="none" w:sz="0" w:space="0" w:color="auto"/>
                <w:right w:val="none" w:sz="0" w:space="0" w:color="auto"/>
              </w:divBdr>
            </w:div>
            <w:div w:id="953364210">
              <w:marLeft w:val="0"/>
              <w:marRight w:val="0"/>
              <w:marTop w:val="0"/>
              <w:marBottom w:val="0"/>
              <w:divBdr>
                <w:top w:val="none" w:sz="0" w:space="0" w:color="auto"/>
                <w:left w:val="none" w:sz="0" w:space="0" w:color="auto"/>
                <w:bottom w:val="none" w:sz="0" w:space="0" w:color="auto"/>
                <w:right w:val="none" w:sz="0" w:space="0" w:color="auto"/>
              </w:divBdr>
            </w:div>
            <w:div w:id="136844613">
              <w:marLeft w:val="0"/>
              <w:marRight w:val="0"/>
              <w:marTop w:val="0"/>
              <w:marBottom w:val="0"/>
              <w:divBdr>
                <w:top w:val="none" w:sz="0" w:space="0" w:color="auto"/>
                <w:left w:val="none" w:sz="0" w:space="0" w:color="auto"/>
                <w:bottom w:val="none" w:sz="0" w:space="0" w:color="auto"/>
                <w:right w:val="none" w:sz="0" w:space="0" w:color="auto"/>
              </w:divBdr>
            </w:div>
            <w:div w:id="9141076">
              <w:marLeft w:val="0"/>
              <w:marRight w:val="0"/>
              <w:marTop w:val="0"/>
              <w:marBottom w:val="0"/>
              <w:divBdr>
                <w:top w:val="none" w:sz="0" w:space="0" w:color="auto"/>
                <w:left w:val="none" w:sz="0" w:space="0" w:color="auto"/>
                <w:bottom w:val="none" w:sz="0" w:space="0" w:color="auto"/>
                <w:right w:val="none" w:sz="0" w:space="0" w:color="auto"/>
              </w:divBdr>
            </w:div>
            <w:div w:id="1742676790">
              <w:marLeft w:val="0"/>
              <w:marRight w:val="0"/>
              <w:marTop w:val="0"/>
              <w:marBottom w:val="0"/>
              <w:divBdr>
                <w:top w:val="none" w:sz="0" w:space="0" w:color="auto"/>
                <w:left w:val="none" w:sz="0" w:space="0" w:color="auto"/>
                <w:bottom w:val="none" w:sz="0" w:space="0" w:color="auto"/>
                <w:right w:val="none" w:sz="0" w:space="0" w:color="auto"/>
              </w:divBdr>
            </w:div>
            <w:div w:id="1477259036">
              <w:marLeft w:val="0"/>
              <w:marRight w:val="0"/>
              <w:marTop w:val="0"/>
              <w:marBottom w:val="0"/>
              <w:divBdr>
                <w:top w:val="none" w:sz="0" w:space="0" w:color="auto"/>
                <w:left w:val="none" w:sz="0" w:space="0" w:color="auto"/>
                <w:bottom w:val="none" w:sz="0" w:space="0" w:color="auto"/>
                <w:right w:val="none" w:sz="0" w:space="0" w:color="auto"/>
              </w:divBdr>
            </w:div>
            <w:div w:id="1367834169">
              <w:marLeft w:val="0"/>
              <w:marRight w:val="0"/>
              <w:marTop w:val="0"/>
              <w:marBottom w:val="0"/>
              <w:divBdr>
                <w:top w:val="none" w:sz="0" w:space="0" w:color="auto"/>
                <w:left w:val="none" w:sz="0" w:space="0" w:color="auto"/>
                <w:bottom w:val="none" w:sz="0" w:space="0" w:color="auto"/>
                <w:right w:val="none" w:sz="0" w:space="0" w:color="auto"/>
              </w:divBdr>
            </w:div>
            <w:div w:id="2143694807">
              <w:marLeft w:val="0"/>
              <w:marRight w:val="0"/>
              <w:marTop w:val="0"/>
              <w:marBottom w:val="0"/>
              <w:divBdr>
                <w:top w:val="none" w:sz="0" w:space="0" w:color="auto"/>
                <w:left w:val="none" w:sz="0" w:space="0" w:color="auto"/>
                <w:bottom w:val="none" w:sz="0" w:space="0" w:color="auto"/>
                <w:right w:val="none" w:sz="0" w:space="0" w:color="auto"/>
              </w:divBdr>
            </w:div>
            <w:div w:id="1453481397">
              <w:marLeft w:val="0"/>
              <w:marRight w:val="0"/>
              <w:marTop w:val="0"/>
              <w:marBottom w:val="0"/>
              <w:divBdr>
                <w:top w:val="none" w:sz="0" w:space="0" w:color="auto"/>
                <w:left w:val="none" w:sz="0" w:space="0" w:color="auto"/>
                <w:bottom w:val="none" w:sz="0" w:space="0" w:color="auto"/>
                <w:right w:val="none" w:sz="0" w:space="0" w:color="auto"/>
              </w:divBdr>
            </w:div>
            <w:div w:id="345443029">
              <w:marLeft w:val="0"/>
              <w:marRight w:val="0"/>
              <w:marTop w:val="0"/>
              <w:marBottom w:val="0"/>
              <w:divBdr>
                <w:top w:val="none" w:sz="0" w:space="0" w:color="auto"/>
                <w:left w:val="none" w:sz="0" w:space="0" w:color="auto"/>
                <w:bottom w:val="none" w:sz="0" w:space="0" w:color="auto"/>
                <w:right w:val="none" w:sz="0" w:space="0" w:color="auto"/>
              </w:divBdr>
            </w:div>
            <w:div w:id="529949482">
              <w:marLeft w:val="0"/>
              <w:marRight w:val="0"/>
              <w:marTop w:val="0"/>
              <w:marBottom w:val="0"/>
              <w:divBdr>
                <w:top w:val="none" w:sz="0" w:space="0" w:color="auto"/>
                <w:left w:val="none" w:sz="0" w:space="0" w:color="auto"/>
                <w:bottom w:val="none" w:sz="0" w:space="0" w:color="auto"/>
                <w:right w:val="none" w:sz="0" w:space="0" w:color="auto"/>
              </w:divBdr>
            </w:div>
            <w:div w:id="1429236660">
              <w:marLeft w:val="0"/>
              <w:marRight w:val="0"/>
              <w:marTop w:val="0"/>
              <w:marBottom w:val="0"/>
              <w:divBdr>
                <w:top w:val="none" w:sz="0" w:space="0" w:color="auto"/>
                <w:left w:val="none" w:sz="0" w:space="0" w:color="auto"/>
                <w:bottom w:val="none" w:sz="0" w:space="0" w:color="auto"/>
                <w:right w:val="none" w:sz="0" w:space="0" w:color="auto"/>
              </w:divBdr>
            </w:div>
            <w:div w:id="1877542776">
              <w:marLeft w:val="0"/>
              <w:marRight w:val="0"/>
              <w:marTop w:val="0"/>
              <w:marBottom w:val="0"/>
              <w:divBdr>
                <w:top w:val="none" w:sz="0" w:space="0" w:color="auto"/>
                <w:left w:val="none" w:sz="0" w:space="0" w:color="auto"/>
                <w:bottom w:val="none" w:sz="0" w:space="0" w:color="auto"/>
                <w:right w:val="none" w:sz="0" w:space="0" w:color="auto"/>
              </w:divBdr>
            </w:div>
            <w:div w:id="119498660">
              <w:marLeft w:val="0"/>
              <w:marRight w:val="0"/>
              <w:marTop w:val="0"/>
              <w:marBottom w:val="0"/>
              <w:divBdr>
                <w:top w:val="none" w:sz="0" w:space="0" w:color="auto"/>
                <w:left w:val="none" w:sz="0" w:space="0" w:color="auto"/>
                <w:bottom w:val="none" w:sz="0" w:space="0" w:color="auto"/>
                <w:right w:val="none" w:sz="0" w:space="0" w:color="auto"/>
              </w:divBdr>
            </w:div>
            <w:div w:id="652955467">
              <w:marLeft w:val="0"/>
              <w:marRight w:val="0"/>
              <w:marTop w:val="0"/>
              <w:marBottom w:val="0"/>
              <w:divBdr>
                <w:top w:val="none" w:sz="0" w:space="0" w:color="auto"/>
                <w:left w:val="none" w:sz="0" w:space="0" w:color="auto"/>
                <w:bottom w:val="none" w:sz="0" w:space="0" w:color="auto"/>
                <w:right w:val="none" w:sz="0" w:space="0" w:color="auto"/>
              </w:divBdr>
            </w:div>
            <w:div w:id="136801025">
              <w:marLeft w:val="0"/>
              <w:marRight w:val="0"/>
              <w:marTop w:val="0"/>
              <w:marBottom w:val="0"/>
              <w:divBdr>
                <w:top w:val="none" w:sz="0" w:space="0" w:color="auto"/>
                <w:left w:val="none" w:sz="0" w:space="0" w:color="auto"/>
                <w:bottom w:val="none" w:sz="0" w:space="0" w:color="auto"/>
                <w:right w:val="none" w:sz="0" w:space="0" w:color="auto"/>
              </w:divBdr>
            </w:div>
            <w:div w:id="755442691">
              <w:marLeft w:val="0"/>
              <w:marRight w:val="0"/>
              <w:marTop w:val="0"/>
              <w:marBottom w:val="0"/>
              <w:divBdr>
                <w:top w:val="none" w:sz="0" w:space="0" w:color="auto"/>
                <w:left w:val="none" w:sz="0" w:space="0" w:color="auto"/>
                <w:bottom w:val="none" w:sz="0" w:space="0" w:color="auto"/>
                <w:right w:val="none" w:sz="0" w:space="0" w:color="auto"/>
              </w:divBdr>
            </w:div>
            <w:div w:id="270825803">
              <w:marLeft w:val="0"/>
              <w:marRight w:val="0"/>
              <w:marTop w:val="0"/>
              <w:marBottom w:val="0"/>
              <w:divBdr>
                <w:top w:val="none" w:sz="0" w:space="0" w:color="auto"/>
                <w:left w:val="none" w:sz="0" w:space="0" w:color="auto"/>
                <w:bottom w:val="none" w:sz="0" w:space="0" w:color="auto"/>
                <w:right w:val="none" w:sz="0" w:space="0" w:color="auto"/>
              </w:divBdr>
            </w:div>
            <w:div w:id="1311132311">
              <w:marLeft w:val="0"/>
              <w:marRight w:val="0"/>
              <w:marTop w:val="0"/>
              <w:marBottom w:val="0"/>
              <w:divBdr>
                <w:top w:val="none" w:sz="0" w:space="0" w:color="auto"/>
                <w:left w:val="none" w:sz="0" w:space="0" w:color="auto"/>
                <w:bottom w:val="none" w:sz="0" w:space="0" w:color="auto"/>
                <w:right w:val="none" w:sz="0" w:space="0" w:color="auto"/>
              </w:divBdr>
            </w:div>
            <w:div w:id="619996404">
              <w:marLeft w:val="0"/>
              <w:marRight w:val="0"/>
              <w:marTop w:val="0"/>
              <w:marBottom w:val="0"/>
              <w:divBdr>
                <w:top w:val="none" w:sz="0" w:space="0" w:color="auto"/>
                <w:left w:val="none" w:sz="0" w:space="0" w:color="auto"/>
                <w:bottom w:val="none" w:sz="0" w:space="0" w:color="auto"/>
                <w:right w:val="none" w:sz="0" w:space="0" w:color="auto"/>
              </w:divBdr>
            </w:div>
            <w:div w:id="230240811">
              <w:marLeft w:val="0"/>
              <w:marRight w:val="0"/>
              <w:marTop w:val="0"/>
              <w:marBottom w:val="0"/>
              <w:divBdr>
                <w:top w:val="none" w:sz="0" w:space="0" w:color="auto"/>
                <w:left w:val="none" w:sz="0" w:space="0" w:color="auto"/>
                <w:bottom w:val="none" w:sz="0" w:space="0" w:color="auto"/>
                <w:right w:val="none" w:sz="0" w:space="0" w:color="auto"/>
              </w:divBdr>
            </w:div>
            <w:div w:id="950741486">
              <w:marLeft w:val="0"/>
              <w:marRight w:val="0"/>
              <w:marTop w:val="0"/>
              <w:marBottom w:val="0"/>
              <w:divBdr>
                <w:top w:val="none" w:sz="0" w:space="0" w:color="auto"/>
                <w:left w:val="none" w:sz="0" w:space="0" w:color="auto"/>
                <w:bottom w:val="none" w:sz="0" w:space="0" w:color="auto"/>
                <w:right w:val="none" w:sz="0" w:space="0" w:color="auto"/>
              </w:divBdr>
            </w:div>
            <w:div w:id="861406344">
              <w:marLeft w:val="0"/>
              <w:marRight w:val="0"/>
              <w:marTop w:val="0"/>
              <w:marBottom w:val="0"/>
              <w:divBdr>
                <w:top w:val="none" w:sz="0" w:space="0" w:color="auto"/>
                <w:left w:val="none" w:sz="0" w:space="0" w:color="auto"/>
                <w:bottom w:val="none" w:sz="0" w:space="0" w:color="auto"/>
                <w:right w:val="none" w:sz="0" w:space="0" w:color="auto"/>
              </w:divBdr>
            </w:div>
            <w:div w:id="1397514813">
              <w:marLeft w:val="0"/>
              <w:marRight w:val="0"/>
              <w:marTop w:val="0"/>
              <w:marBottom w:val="0"/>
              <w:divBdr>
                <w:top w:val="none" w:sz="0" w:space="0" w:color="auto"/>
                <w:left w:val="none" w:sz="0" w:space="0" w:color="auto"/>
                <w:bottom w:val="none" w:sz="0" w:space="0" w:color="auto"/>
                <w:right w:val="none" w:sz="0" w:space="0" w:color="auto"/>
              </w:divBdr>
            </w:div>
            <w:div w:id="1861815695">
              <w:marLeft w:val="0"/>
              <w:marRight w:val="0"/>
              <w:marTop w:val="0"/>
              <w:marBottom w:val="0"/>
              <w:divBdr>
                <w:top w:val="none" w:sz="0" w:space="0" w:color="auto"/>
                <w:left w:val="none" w:sz="0" w:space="0" w:color="auto"/>
                <w:bottom w:val="none" w:sz="0" w:space="0" w:color="auto"/>
                <w:right w:val="none" w:sz="0" w:space="0" w:color="auto"/>
              </w:divBdr>
            </w:div>
            <w:div w:id="1098326999">
              <w:marLeft w:val="0"/>
              <w:marRight w:val="0"/>
              <w:marTop w:val="0"/>
              <w:marBottom w:val="0"/>
              <w:divBdr>
                <w:top w:val="none" w:sz="0" w:space="0" w:color="auto"/>
                <w:left w:val="none" w:sz="0" w:space="0" w:color="auto"/>
                <w:bottom w:val="none" w:sz="0" w:space="0" w:color="auto"/>
                <w:right w:val="none" w:sz="0" w:space="0" w:color="auto"/>
              </w:divBdr>
            </w:div>
            <w:div w:id="2034190562">
              <w:marLeft w:val="0"/>
              <w:marRight w:val="0"/>
              <w:marTop w:val="0"/>
              <w:marBottom w:val="0"/>
              <w:divBdr>
                <w:top w:val="none" w:sz="0" w:space="0" w:color="auto"/>
                <w:left w:val="none" w:sz="0" w:space="0" w:color="auto"/>
                <w:bottom w:val="none" w:sz="0" w:space="0" w:color="auto"/>
                <w:right w:val="none" w:sz="0" w:space="0" w:color="auto"/>
              </w:divBdr>
            </w:div>
            <w:div w:id="851996690">
              <w:marLeft w:val="0"/>
              <w:marRight w:val="0"/>
              <w:marTop w:val="0"/>
              <w:marBottom w:val="0"/>
              <w:divBdr>
                <w:top w:val="none" w:sz="0" w:space="0" w:color="auto"/>
                <w:left w:val="none" w:sz="0" w:space="0" w:color="auto"/>
                <w:bottom w:val="none" w:sz="0" w:space="0" w:color="auto"/>
                <w:right w:val="none" w:sz="0" w:space="0" w:color="auto"/>
              </w:divBdr>
            </w:div>
            <w:div w:id="2062048144">
              <w:marLeft w:val="0"/>
              <w:marRight w:val="0"/>
              <w:marTop w:val="0"/>
              <w:marBottom w:val="0"/>
              <w:divBdr>
                <w:top w:val="none" w:sz="0" w:space="0" w:color="auto"/>
                <w:left w:val="none" w:sz="0" w:space="0" w:color="auto"/>
                <w:bottom w:val="none" w:sz="0" w:space="0" w:color="auto"/>
                <w:right w:val="none" w:sz="0" w:space="0" w:color="auto"/>
              </w:divBdr>
            </w:div>
            <w:div w:id="1189099263">
              <w:marLeft w:val="0"/>
              <w:marRight w:val="0"/>
              <w:marTop w:val="0"/>
              <w:marBottom w:val="0"/>
              <w:divBdr>
                <w:top w:val="none" w:sz="0" w:space="0" w:color="auto"/>
                <w:left w:val="none" w:sz="0" w:space="0" w:color="auto"/>
                <w:bottom w:val="none" w:sz="0" w:space="0" w:color="auto"/>
                <w:right w:val="none" w:sz="0" w:space="0" w:color="auto"/>
              </w:divBdr>
            </w:div>
            <w:div w:id="1959725660">
              <w:marLeft w:val="0"/>
              <w:marRight w:val="0"/>
              <w:marTop w:val="0"/>
              <w:marBottom w:val="0"/>
              <w:divBdr>
                <w:top w:val="none" w:sz="0" w:space="0" w:color="auto"/>
                <w:left w:val="none" w:sz="0" w:space="0" w:color="auto"/>
                <w:bottom w:val="none" w:sz="0" w:space="0" w:color="auto"/>
                <w:right w:val="none" w:sz="0" w:space="0" w:color="auto"/>
              </w:divBdr>
            </w:div>
            <w:div w:id="1727559985">
              <w:marLeft w:val="0"/>
              <w:marRight w:val="0"/>
              <w:marTop w:val="0"/>
              <w:marBottom w:val="0"/>
              <w:divBdr>
                <w:top w:val="none" w:sz="0" w:space="0" w:color="auto"/>
                <w:left w:val="none" w:sz="0" w:space="0" w:color="auto"/>
                <w:bottom w:val="none" w:sz="0" w:space="0" w:color="auto"/>
                <w:right w:val="none" w:sz="0" w:space="0" w:color="auto"/>
              </w:divBdr>
            </w:div>
            <w:div w:id="1776629182">
              <w:marLeft w:val="0"/>
              <w:marRight w:val="0"/>
              <w:marTop w:val="0"/>
              <w:marBottom w:val="0"/>
              <w:divBdr>
                <w:top w:val="none" w:sz="0" w:space="0" w:color="auto"/>
                <w:left w:val="none" w:sz="0" w:space="0" w:color="auto"/>
                <w:bottom w:val="none" w:sz="0" w:space="0" w:color="auto"/>
                <w:right w:val="none" w:sz="0" w:space="0" w:color="auto"/>
              </w:divBdr>
            </w:div>
            <w:div w:id="1443647572">
              <w:marLeft w:val="0"/>
              <w:marRight w:val="0"/>
              <w:marTop w:val="0"/>
              <w:marBottom w:val="0"/>
              <w:divBdr>
                <w:top w:val="none" w:sz="0" w:space="0" w:color="auto"/>
                <w:left w:val="none" w:sz="0" w:space="0" w:color="auto"/>
                <w:bottom w:val="none" w:sz="0" w:space="0" w:color="auto"/>
                <w:right w:val="none" w:sz="0" w:space="0" w:color="auto"/>
              </w:divBdr>
            </w:div>
            <w:div w:id="961106633">
              <w:marLeft w:val="0"/>
              <w:marRight w:val="0"/>
              <w:marTop w:val="0"/>
              <w:marBottom w:val="0"/>
              <w:divBdr>
                <w:top w:val="none" w:sz="0" w:space="0" w:color="auto"/>
                <w:left w:val="none" w:sz="0" w:space="0" w:color="auto"/>
                <w:bottom w:val="none" w:sz="0" w:space="0" w:color="auto"/>
                <w:right w:val="none" w:sz="0" w:space="0" w:color="auto"/>
              </w:divBdr>
            </w:div>
            <w:div w:id="408314323">
              <w:marLeft w:val="0"/>
              <w:marRight w:val="0"/>
              <w:marTop w:val="0"/>
              <w:marBottom w:val="0"/>
              <w:divBdr>
                <w:top w:val="none" w:sz="0" w:space="0" w:color="auto"/>
                <w:left w:val="none" w:sz="0" w:space="0" w:color="auto"/>
                <w:bottom w:val="none" w:sz="0" w:space="0" w:color="auto"/>
                <w:right w:val="none" w:sz="0" w:space="0" w:color="auto"/>
              </w:divBdr>
            </w:div>
            <w:div w:id="208034008">
              <w:marLeft w:val="0"/>
              <w:marRight w:val="0"/>
              <w:marTop w:val="0"/>
              <w:marBottom w:val="0"/>
              <w:divBdr>
                <w:top w:val="none" w:sz="0" w:space="0" w:color="auto"/>
                <w:left w:val="none" w:sz="0" w:space="0" w:color="auto"/>
                <w:bottom w:val="none" w:sz="0" w:space="0" w:color="auto"/>
                <w:right w:val="none" w:sz="0" w:space="0" w:color="auto"/>
              </w:divBdr>
            </w:div>
            <w:div w:id="44643938">
              <w:marLeft w:val="0"/>
              <w:marRight w:val="0"/>
              <w:marTop w:val="0"/>
              <w:marBottom w:val="0"/>
              <w:divBdr>
                <w:top w:val="none" w:sz="0" w:space="0" w:color="auto"/>
                <w:left w:val="none" w:sz="0" w:space="0" w:color="auto"/>
                <w:bottom w:val="none" w:sz="0" w:space="0" w:color="auto"/>
                <w:right w:val="none" w:sz="0" w:space="0" w:color="auto"/>
              </w:divBdr>
            </w:div>
            <w:div w:id="1880193746">
              <w:marLeft w:val="0"/>
              <w:marRight w:val="0"/>
              <w:marTop w:val="0"/>
              <w:marBottom w:val="0"/>
              <w:divBdr>
                <w:top w:val="none" w:sz="0" w:space="0" w:color="auto"/>
                <w:left w:val="none" w:sz="0" w:space="0" w:color="auto"/>
                <w:bottom w:val="none" w:sz="0" w:space="0" w:color="auto"/>
                <w:right w:val="none" w:sz="0" w:space="0" w:color="auto"/>
              </w:divBdr>
            </w:div>
            <w:div w:id="59328417">
              <w:marLeft w:val="0"/>
              <w:marRight w:val="0"/>
              <w:marTop w:val="0"/>
              <w:marBottom w:val="0"/>
              <w:divBdr>
                <w:top w:val="none" w:sz="0" w:space="0" w:color="auto"/>
                <w:left w:val="none" w:sz="0" w:space="0" w:color="auto"/>
                <w:bottom w:val="none" w:sz="0" w:space="0" w:color="auto"/>
                <w:right w:val="none" w:sz="0" w:space="0" w:color="auto"/>
              </w:divBdr>
            </w:div>
            <w:div w:id="462424284">
              <w:marLeft w:val="0"/>
              <w:marRight w:val="0"/>
              <w:marTop w:val="0"/>
              <w:marBottom w:val="0"/>
              <w:divBdr>
                <w:top w:val="none" w:sz="0" w:space="0" w:color="auto"/>
                <w:left w:val="none" w:sz="0" w:space="0" w:color="auto"/>
                <w:bottom w:val="none" w:sz="0" w:space="0" w:color="auto"/>
                <w:right w:val="none" w:sz="0" w:space="0" w:color="auto"/>
              </w:divBdr>
            </w:div>
            <w:div w:id="1714846727">
              <w:marLeft w:val="0"/>
              <w:marRight w:val="0"/>
              <w:marTop w:val="0"/>
              <w:marBottom w:val="0"/>
              <w:divBdr>
                <w:top w:val="none" w:sz="0" w:space="0" w:color="auto"/>
                <w:left w:val="none" w:sz="0" w:space="0" w:color="auto"/>
                <w:bottom w:val="none" w:sz="0" w:space="0" w:color="auto"/>
                <w:right w:val="none" w:sz="0" w:space="0" w:color="auto"/>
              </w:divBdr>
            </w:div>
            <w:div w:id="854227275">
              <w:marLeft w:val="0"/>
              <w:marRight w:val="0"/>
              <w:marTop w:val="0"/>
              <w:marBottom w:val="0"/>
              <w:divBdr>
                <w:top w:val="none" w:sz="0" w:space="0" w:color="auto"/>
                <w:left w:val="none" w:sz="0" w:space="0" w:color="auto"/>
                <w:bottom w:val="none" w:sz="0" w:space="0" w:color="auto"/>
                <w:right w:val="none" w:sz="0" w:space="0" w:color="auto"/>
              </w:divBdr>
            </w:div>
            <w:div w:id="1603341081">
              <w:marLeft w:val="0"/>
              <w:marRight w:val="0"/>
              <w:marTop w:val="0"/>
              <w:marBottom w:val="0"/>
              <w:divBdr>
                <w:top w:val="none" w:sz="0" w:space="0" w:color="auto"/>
                <w:left w:val="none" w:sz="0" w:space="0" w:color="auto"/>
                <w:bottom w:val="none" w:sz="0" w:space="0" w:color="auto"/>
                <w:right w:val="none" w:sz="0" w:space="0" w:color="auto"/>
              </w:divBdr>
            </w:div>
            <w:div w:id="1168522611">
              <w:marLeft w:val="0"/>
              <w:marRight w:val="0"/>
              <w:marTop w:val="0"/>
              <w:marBottom w:val="0"/>
              <w:divBdr>
                <w:top w:val="none" w:sz="0" w:space="0" w:color="auto"/>
                <w:left w:val="none" w:sz="0" w:space="0" w:color="auto"/>
                <w:bottom w:val="none" w:sz="0" w:space="0" w:color="auto"/>
                <w:right w:val="none" w:sz="0" w:space="0" w:color="auto"/>
              </w:divBdr>
            </w:div>
            <w:div w:id="2011761141">
              <w:marLeft w:val="0"/>
              <w:marRight w:val="0"/>
              <w:marTop w:val="0"/>
              <w:marBottom w:val="0"/>
              <w:divBdr>
                <w:top w:val="none" w:sz="0" w:space="0" w:color="auto"/>
                <w:left w:val="none" w:sz="0" w:space="0" w:color="auto"/>
                <w:bottom w:val="none" w:sz="0" w:space="0" w:color="auto"/>
                <w:right w:val="none" w:sz="0" w:space="0" w:color="auto"/>
              </w:divBdr>
            </w:div>
            <w:div w:id="247932808">
              <w:marLeft w:val="0"/>
              <w:marRight w:val="0"/>
              <w:marTop w:val="0"/>
              <w:marBottom w:val="0"/>
              <w:divBdr>
                <w:top w:val="none" w:sz="0" w:space="0" w:color="auto"/>
                <w:left w:val="none" w:sz="0" w:space="0" w:color="auto"/>
                <w:bottom w:val="none" w:sz="0" w:space="0" w:color="auto"/>
                <w:right w:val="none" w:sz="0" w:space="0" w:color="auto"/>
              </w:divBdr>
            </w:div>
            <w:div w:id="577591252">
              <w:marLeft w:val="0"/>
              <w:marRight w:val="0"/>
              <w:marTop w:val="0"/>
              <w:marBottom w:val="0"/>
              <w:divBdr>
                <w:top w:val="none" w:sz="0" w:space="0" w:color="auto"/>
                <w:left w:val="none" w:sz="0" w:space="0" w:color="auto"/>
                <w:bottom w:val="none" w:sz="0" w:space="0" w:color="auto"/>
                <w:right w:val="none" w:sz="0" w:space="0" w:color="auto"/>
              </w:divBdr>
            </w:div>
            <w:div w:id="143664551">
              <w:marLeft w:val="0"/>
              <w:marRight w:val="0"/>
              <w:marTop w:val="0"/>
              <w:marBottom w:val="0"/>
              <w:divBdr>
                <w:top w:val="none" w:sz="0" w:space="0" w:color="auto"/>
                <w:left w:val="none" w:sz="0" w:space="0" w:color="auto"/>
                <w:bottom w:val="none" w:sz="0" w:space="0" w:color="auto"/>
                <w:right w:val="none" w:sz="0" w:space="0" w:color="auto"/>
              </w:divBdr>
            </w:div>
            <w:div w:id="92820183">
              <w:marLeft w:val="0"/>
              <w:marRight w:val="0"/>
              <w:marTop w:val="0"/>
              <w:marBottom w:val="0"/>
              <w:divBdr>
                <w:top w:val="none" w:sz="0" w:space="0" w:color="auto"/>
                <w:left w:val="none" w:sz="0" w:space="0" w:color="auto"/>
                <w:bottom w:val="none" w:sz="0" w:space="0" w:color="auto"/>
                <w:right w:val="none" w:sz="0" w:space="0" w:color="auto"/>
              </w:divBdr>
            </w:div>
            <w:div w:id="541208422">
              <w:marLeft w:val="0"/>
              <w:marRight w:val="0"/>
              <w:marTop w:val="0"/>
              <w:marBottom w:val="0"/>
              <w:divBdr>
                <w:top w:val="none" w:sz="0" w:space="0" w:color="auto"/>
                <w:left w:val="none" w:sz="0" w:space="0" w:color="auto"/>
                <w:bottom w:val="none" w:sz="0" w:space="0" w:color="auto"/>
                <w:right w:val="none" w:sz="0" w:space="0" w:color="auto"/>
              </w:divBdr>
            </w:div>
            <w:div w:id="1957055862">
              <w:marLeft w:val="0"/>
              <w:marRight w:val="0"/>
              <w:marTop w:val="0"/>
              <w:marBottom w:val="0"/>
              <w:divBdr>
                <w:top w:val="none" w:sz="0" w:space="0" w:color="auto"/>
                <w:left w:val="none" w:sz="0" w:space="0" w:color="auto"/>
                <w:bottom w:val="none" w:sz="0" w:space="0" w:color="auto"/>
                <w:right w:val="none" w:sz="0" w:space="0" w:color="auto"/>
              </w:divBdr>
            </w:div>
            <w:div w:id="1405563721">
              <w:marLeft w:val="0"/>
              <w:marRight w:val="0"/>
              <w:marTop w:val="0"/>
              <w:marBottom w:val="0"/>
              <w:divBdr>
                <w:top w:val="none" w:sz="0" w:space="0" w:color="auto"/>
                <w:left w:val="none" w:sz="0" w:space="0" w:color="auto"/>
                <w:bottom w:val="none" w:sz="0" w:space="0" w:color="auto"/>
                <w:right w:val="none" w:sz="0" w:space="0" w:color="auto"/>
              </w:divBdr>
            </w:div>
            <w:div w:id="198905683">
              <w:marLeft w:val="0"/>
              <w:marRight w:val="0"/>
              <w:marTop w:val="0"/>
              <w:marBottom w:val="0"/>
              <w:divBdr>
                <w:top w:val="none" w:sz="0" w:space="0" w:color="auto"/>
                <w:left w:val="none" w:sz="0" w:space="0" w:color="auto"/>
                <w:bottom w:val="none" w:sz="0" w:space="0" w:color="auto"/>
                <w:right w:val="none" w:sz="0" w:space="0" w:color="auto"/>
              </w:divBdr>
            </w:div>
            <w:div w:id="1951205537">
              <w:marLeft w:val="0"/>
              <w:marRight w:val="0"/>
              <w:marTop w:val="0"/>
              <w:marBottom w:val="0"/>
              <w:divBdr>
                <w:top w:val="none" w:sz="0" w:space="0" w:color="auto"/>
                <w:left w:val="none" w:sz="0" w:space="0" w:color="auto"/>
                <w:bottom w:val="none" w:sz="0" w:space="0" w:color="auto"/>
                <w:right w:val="none" w:sz="0" w:space="0" w:color="auto"/>
              </w:divBdr>
            </w:div>
            <w:div w:id="370543090">
              <w:marLeft w:val="0"/>
              <w:marRight w:val="0"/>
              <w:marTop w:val="0"/>
              <w:marBottom w:val="0"/>
              <w:divBdr>
                <w:top w:val="none" w:sz="0" w:space="0" w:color="auto"/>
                <w:left w:val="none" w:sz="0" w:space="0" w:color="auto"/>
                <w:bottom w:val="none" w:sz="0" w:space="0" w:color="auto"/>
                <w:right w:val="none" w:sz="0" w:space="0" w:color="auto"/>
              </w:divBdr>
            </w:div>
            <w:div w:id="140319045">
              <w:marLeft w:val="0"/>
              <w:marRight w:val="0"/>
              <w:marTop w:val="0"/>
              <w:marBottom w:val="0"/>
              <w:divBdr>
                <w:top w:val="none" w:sz="0" w:space="0" w:color="auto"/>
                <w:left w:val="none" w:sz="0" w:space="0" w:color="auto"/>
                <w:bottom w:val="none" w:sz="0" w:space="0" w:color="auto"/>
                <w:right w:val="none" w:sz="0" w:space="0" w:color="auto"/>
              </w:divBdr>
            </w:div>
            <w:div w:id="1955750754">
              <w:marLeft w:val="0"/>
              <w:marRight w:val="0"/>
              <w:marTop w:val="0"/>
              <w:marBottom w:val="0"/>
              <w:divBdr>
                <w:top w:val="none" w:sz="0" w:space="0" w:color="auto"/>
                <w:left w:val="none" w:sz="0" w:space="0" w:color="auto"/>
                <w:bottom w:val="none" w:sz="0" w:space="0" w:color="auto"/>
                <w:right w:val="none" w:sz="0" w:space="0" w:color="auto"/>
              </w:divBdr>
            </w:div>
            <w:div w:id="1172911709">
              <w:marLeft w:val="0"/>
              <w:marRight w:val="0"/>
              <w:marTop w:val="0"/>
              <w:marBottom w:val="0"/>
              <w:divBdr>
                <w:top w:val="none" w:sz="0" w:space="0" w:color="auto"/>
                <w:left w:val="none" w:sz="0" w:space="0" w:color="auto"/>
                <w:bottom w:val="none" w:sz="0" w:space="0" w:color="auto"/>
                <w:right w:val="none" w:sz="0" w:space="0" w:color="auto"/>
              </w:divBdr>
            </w:div>
            <w:div w:id="590626161">
              <w:marLeft w:val="0"/>
              <w:marRight w:val="0"/>
              <w:marTop w:val="0"/>
              <w:marBottom w:val="0"/>
              <w:divBdr>
                <w:top w:val="none" w:sz="0" w:space="0" w:color="auto"/>
                <w:left w:val="none" w:sz="0" w:space="0" w:color="auto"/>
                <w:bottom w:val="none" w:sz="0" w:space="0" w:color="auto"/>
                <w:right w:val="none" w:sz="0" w:space="0" w:color="auto"/>
              </w:divBdr>
            </w:div>
            <w:div w:id="719522510">
              <w:marLeft w:val="0"/>
              <w:marRight w:val="0"/>
              <w:marTop w:val="0"/>
              <w:marBottom w:val="0"/>
              <w:divBdr>
                <w:top w:val="none" w:sz="0" w:space="0" w:color="auto"/>
                <w:left w:val="none" w:sz="0" w:space="0" w:color="auto"/>
                <w:bottom w:val="none" w:sz="0" w:space="0" w:color="auto"/>
                <w:right w:val="none" w:sz="0" w:space="0" w:color="auto"/>
              </w:divBdr>
            </w:div>
            <w:div w:id="482894661">
              <w:marLeft w:val="0"/>
              <w:marRight w:val="0"/>
              <w:marTop w:val="0"/>
              <w:marBottom w:val="0"/>
              <w:divBdr>
                <w:top w:val="none" w:sz="0" w:space="0" w:color="auto"/>
                <w:left w:val="none" w:sz="0" w:space="0" w:color="auto"/>
                <w:bottom w:val="none" w:sz="0" w:space="0" w:color="auto"/>
                <w:right w:val="none" w:sz="0" w:space="0" w:color="auto"/>
              </w:divBdr>
            </w:div>
            <w:div w:id="1769959144">
              <w:marLeft w:val="0"/>
              <w:marRight w:val="0"/>
              <w:marTop w:val="0"/>
              <w:marBottom w:val="0"/>
              <w:divBdr>
                <w:top w:val="none" w:sz="0" w:space="0" w:color="auto"/>
                <w:left w:val="none" w:sz="0" w:space="0" w:color="auto"/>
                <w:bottom w:val="none" w:sz="0" w:space="0" w:color="auto"/>
                <w:right w:val="none" w:sz="0" w:space="0" w:color="auto"/>
              </w:divBdr>
            </w:div>
            <w:div w:id="1720742643">
              <w:marLeft w:val="0"/>
              <w:marRight w:val="0"/>
              <w:marTop w:val="0"/>
              <w:marBottom w:val="0"/>
              <w:divBdr>
                <w:top w:val="none" w:sz="0" w:space="0" w:color="auto"/>
                <w:left w:val="none" w:sz="0" w:space="0" w:color="auto"/>
                <w:bottom w:val="none" w:sz="0" w:space="0" w:color="auto"/>
                <w:right w:val="none" w:sz="0" w:space="0" w:color="auto"/>
              </w:divBdr>
            </w:div>
            <w:div w:id="97991922">
              <w:marLeft w:val="0"/>
              <w:marRight w:val="0"/>
              <w:marTop w:val="0"/>
              <w:marBottom w:val="0"/>
              <w:divBdr>
                <w:top w:val="none" w:sz="0" w:space="0" w:color="auto"/>
                <w:left w:val="none" w:sz="0" w:space="0" w:color="auto"/>
                <w:bottom w:val="none" w:sz="0" w:space="0" w:color="auto"/>
                <w:right w:val="none" w:sz="0" w:space="0" w:color="auto"/>
              </w:divBdr>
            </w:div>
            <w:div w:id="1017847836">
              <w:marLeft w:val="0"/>
              <w:marRight w:val="0"/>
              <w:marTop w:val="0"/>
              <w:marBottom w:val="0"/>
              <w:divBdr>
                <w:top w:val="none" w:sz="0" w:space="0" w:color="auto"/>
                <w:left w:val="none" w:sz="0" w:space="0" w:color="auto"/>
                <w:bottom w:val="none" w:sz="0" w:space="0" w:color="auto"/>
                <w:right w:val="none" w:sz="0" w:space="0" w:color="auto"/>
              </w:divBdr>
            </w:div>
            <w:div w:id="1771319760">
              <w:marLeft w:val="0"/>
              <w:marRight w:val="0"/>
              <w:marTop w:val="0"/>
              <w:marBottom w:val="0"/>
              <w:divBdr>
                <w:top w:val="none" w:sz="0" w:space="0" w:color="auto"/>
                <w:left w:val="none" w:sz="0" w:space="0" w:color="auto"/>
                <w:bottom w:val="none" w:sz="0" w:space="0" w:color="auto"/>
                <w:right w:val="none" w:sz="0" w:space="0" w:color="auto"/>
              </w:divBdr>
            </w:div>
            <w:div w:id="510687421">
              <w:marLeft w:val="0"/>
              <w:marRight w:val="0"/>
              <w:marTop w:val="0"/>
              <w:marBottom w:val="0"/>
              <w:divBdr>
                <w:top w:val="none" w:sz="0" w:space="0" w:color="auto"/>
                <w:left w:val="none" w:sz="0" w:space="0" w:color="auto"/>
                <w:bottom w:val="none" w:sz="0" w:space="0" w:color="auto"/>
                <w:right w:val="none" w:sz="0" w:space="0" w:color="auto"/>
              </w:divBdr>
            </w:div>
            <w:div w:id="668681155">
              <w:marLeft w:val="0"/>
              <w:marRight w:val="0"/>
              <w:marTop w:val="0"/>
              <w:marBottom w:val="0"/>
              <w:divBdr>
                <w:top w:val="none" w:sz="0" w:space="0" w:color="auto"/>
                <w:left w:val="none" w:sz="0" w:space="0" w:color="auto"/>
                <w:bottom w:val="none" w:sz="0" w:space="0" w:color="auto"/>
                <w:right w:val="none" w:sz="0" w:space="0" w:color="auto"/>
              </w:divBdr>
            </w:div>
            <w:div w:id="446967987">
              <w:marLeft w:val="0"/>
              <w:marRight w:val="0"/>
              <w:marTop w:val="0"/>
              <w:marBottom w:val="0"/>
              <w:divBdr>
                <w:top w:val="none" w:sz="0" w:space="0" w:color="auto"/>
                <w:left w:val="none" w:sz="0" w:space="0" w:color="auto"/>
                <w:bottom w:val="none" w:sz="0" w:space="0" w:color="auto"/>
                <w:right w:val="none" w:sz="0" w:space="0" w:color="auto"/>
              </w:divBdr>
            </w:div>
            <w:div w:id="1356540708">
              <w:marLeft w:val="0"/>
              <w:marRight w:val="0"/>
              <w:marTop w:val="0"/>
              <w:marBottom w:val="0"/>
              <w:divBdr>
                <w:top w:val="none" w:sz="0" w:space="0" w:color="auto"/>
                <w:left w:val="none" w:sz="0" w:space="0" w:color="auto"/>
                <w:bottom w:val="none" w:sz="0" w:space="0" w:color="auto"/>
                <w:right w:val="none" w:sz="0" w:space="0" w:color="auto"/>
              </w:divBdr>
            </w:div>
            <w:div w:id="128784177">
              <w:marLeft w:val="0"/>
              <w:marRight w:val="0"/>
              <w:marTop w:val="0"/>
              <w:marBottom w:val="0"/>
              <w:divBdr>
                <w:top w:val="none" w:sz="0" w:space="0" w:color="auto"/>
                <w:left w:val="none" w:sz="0" w:space="0" w:color="auto"/>
                <w:bottom w:val="none" w:sz="0" w:space="0" w:color="auto"/>
                <w:right w:val="none" w:sz="0" w:space="0" w:color="auto"/>
              </w:divBdr>
            </w:div>
            <w:div w:id="933246542">
              <w:marLeft w:val="0"/>
              <w:marRight w:val="0"/>
              <w:marTop w:val="0"/>
              <w:marBottom w:val="0"/>
              <w:divBdr>
                <w:top w:val="none" w:sz="0" w:space="0" w:color="auto"/>
                <w:left w:val="none" w:sz="0" w:space="0" w:color="auto"/>
                <w:bottom w:val="none" w:sz="0" w:space="0" w:color="auto"/>
                <w:right w:val="none" w:sz="0" w:space="0" w:color="auto"/>
              </w:divBdr>
            </w:div>
            <w:div w:id="1565801562">
              <w:marLeft w:val="0"/>
              <w:marRight w:val="0"/>
              <w:marTop w:val="0"/>
              <w:marBottom w:val="0"/>
              <w:divBdr>
                <w:top w:val="none" w:sz="0" w:space="0" w:color="auto"/>
                <w:left w:val="none" w:sz="0" w:space="0" w:color="auto"/>
                <w:bottom w:val="none" w:sz="0" w:space="0" w:color="auto"/>
                <w:right w:val="none" w:sz="0" w:space="0" w:color="auto"/>
              </w:divBdr>
            </w:div>
            <w:div w:id="1947344222">
              <w:marLeft w:val="0"/>
              <w:marRight w:val="0"/>
              <w:marTop w:val="0"/>
              <w:marBottom w:val="0"/>
              <w:divBdr>
                <w:top w:val="none" w:sz="0" w:space="0" w:color="auto"/>
                <w:left w:val="none" w:sz="0" w:space="0" w:color="auto"/>
                <w:bottom w:val="none" w:sz="0" w:space="0" w:color="auto"/>
                <w:right w:val="none" w:sz="0" w:space="0" w:color="auto"/>
              </w:divBdr>
            </w:div>
            <w:div w:id="1030374120">
              <w:marLeft w:val="0"/>
              <w:marRight w:val="0"/>
              <w:marTop w:val="0"/>
              <w:marBottom w:val="0"/>
              <w:divBdr>
                <w:top w:val="none" w:sz="0" w:space="0" w:color="auto"/>
                <w:left w:val="none" w:sz="0" w:space="0" w:color="auto"/>
                <w:bottom w:val="none" w:sz="0" w:space="0" w:color="auto"/>
                <w:right w:val="none" w:sz="0" w:space="0" w:color="auto"/>
              </w:divBdr>
            </w:div>
            <w:div w:id="1397895341">
              <w:marLeft w:val="0"/>
              <w:marRight w:val="0"/>
              <w:marTop w:val="0"/>
              <w:marBottom w:val="0"/>
              <w:divBdr>
                <w:top w:val="none" w:sz="0" w:space="0" w:color="auto"/>
                <w:left w:val="none" w:sz="0" w:space="0" w:color="auto"/>
                <w:bottom w:val="none" w:sz="0" w:space="0" w:color="auto"/>
                <w:right w:val="none" w:sz="0" w:space="0" w:color="auto"/>
              </w:divBdr>
            </w:div>
            <w:div w:id="2019430254">
              <w:marLeft w:val="0"/>
              <w:marRight w:val="0"/>
              <w:marTop w:val="0"/>
              <w:marBottom w:val="0"/>
              <w:divBdr>
                <w:top w:val="none" w:sz="0" w:space="0" w:color="auto"/>
                <w:left w:val="none" w:sz="0" w:space="0" w:color="auto"/>
                <w:bottom w:val="none" w:sz="0" w:space="0" w:color="auto"/>
                <w:right w:val="none" w:sz="0" w:space="0" w:color="auto"/>
              </w:divBdr>
            </w:div>
            <w:div w:id="60950156">
              <w:marLeft w:val="0"/>
              <w:marRight w:val="0"/>
              <w:marTop w:val="0"/>
              <w:marBottom w:val="0"/>
              <w:divBdr>
                <w:top w:val="none" w:sz="0" w:space="0" w:color="auto"/>
                <w:left w:val="none" w:sz="0" w:space="0" w:color="auto"/>
                <w:bottom w:val="none" w:sz="0" w:space="0" w:color="auto"/>
                <w:right w:val="none" w:sz="0" w:space="0" w:color="auto"/>
              </w:divBdr>
            </w:div>
            <w:div w:id="849298316">
              <w:marLeft w:val="0"/>
              <w:marRight w:val="0"/>
              <w:marTop w:val="0"/>
              <w:marBottom w:val="0"/>
              <w:divBdr>
                <w:top w:val="none" w:sz="0" w:space="0" w:color="auto"/>
                <w:left w:val="none" w:sz="0" w:space="0" w:color="auto"/>
                <w:bottom w:val="none" w:sz="0" w:space="0" w:color="auto"/>
                <w:right w:val="none" w:sz="0" w:space="0" w:color="auto"/>
              </w:divBdr>
            </w:div>
            <w:div w:id="1631204420">
              <w:marLeft w:val="0"/>
              <w:marRight w:val="0"/>
              <w:marTop w:val="0"/>
              <w:marBottom w:val="0"/>
              <w:divBdr>
                <w:top w:val="none" w:sz="0" w:space="0" w:color="auto"/>
                <w:left w:val="none" w:sz="0" w:space="0" w:color="auto"/>
                <w:bottom w:val="none" w:sz="0" w:space="0" w:color="auto"/>
                <w:right w:val="none" w:sz="0" w:space="0" w:color="auto"/>
              </w:divBdr>
            </w:div>
            <w:div w:id="559054678">
              <w:marLeft w:val="0"/>
              <w:marRight w:val="0"/>
              <w:marTop w:val="0"/>
              <w:marBottom w:val="0"/>
              <w:divBdr>
                <w:top w:val="none" w:sz="0" w:space="0" w:color="auto"/>
                <w:left w:val="none" w:sz="0" w:space="0" w:color="auto"/>
                <w:bottom w:val="none" w:sz="0" w:space="0" w:color="auto"/>
                <w:right w:val="none" w:sz="0" w:space="0" w:color="auto"/>
              </w:divBdr>
            </w:div>
            <w:div w:id="615521332">
              <w:marLeft w:val="0"/>
              <w:marRight w:val="0"/>
              <w:marTop w:val="0"/>
              <w:marBottom w:val="0"/>
              <w:divBdr>
                <w:top w:val="none" w:sz="0" w:space="0" w:color="auto"/>
                <w:left w:val="none" w:sz="0" w:space="0" w:color="auto"/>
                <w:bottom w:val="none" w:sz="0" w:space="0" w:color="auto"/>
                <w:right w:val="none" w:sz="0" w:space="0" w:color="auto"/>
              </w:divBdr>
            </w:div>
            <w:div w:id="383798011">
              <w:marLeft w:val="0"/>
              <w:marRight w:val="0"/>
              <w:marTop w:val="0"/>
              <w:marBottom w:val="0"/>
              <w:divBdr>
                <w:top w:val="none" w:sz="0" w:space="0" w:color="auto"/>
                <w:left w:val="none" w:sz="0" w:space="0" w:color="auto"/>
                <w:bottom w:val="none" w:sz="0" w:space="0" w:color="auto"/>
                <w:right w:val="none" w:sz="0" w:space="0" w:color="auto"/>
              </w:divBdr>
            </w:div>
            <w:div w:id="659622218">
              <w:marLeft w:val="0"/>
              <w:marRight w:val="0"/>
              <w:marTop w:val="0"/>
              <w:marBottom w:val="0"/>
              <w:divBdr>
                <w:top w:val="none" w:sz="0" w:space="0" w:color="auto"/>
                <w:left w:val="none" w:sz="0" w:space="0" w:color="auto"/>
                <w:bottom w:val="none" w:sz="0" w:space="0" w:color="auto"/>
                <w:right w:val="none" w:sz="0" w:space="0" w:color="auto"/>
              </w:divBdr>
            </w:div>
            <w:div w:id="1801149325">
              <w:marLeft w:val="0"/>
              <w:marRight w:val="0"/>
              <w:marTop w:val="0"/>
              <w:marBottom w:val="0"/>
              <w:divBdr>
                <w:top w:val="none" w:sz="0" w:space="0" w:color="auto"/>
                <w:left w:val="none" w:sz="0" w:space="0" w:color="auto"/>
                <w:bottom w:val="none" w:sz="0" w:space="0" w:color="auto"/>
                <w:right w:val="none" w:sz="0" w:space="0" w:color="auto"/>
              </w:divBdr>
            </w:div>
            <w:div w:id="1442216426">
              <w:marLeft w:val="0"/>
              <w:marRight w:val="0"/>
              <w:marTop w:val="0"/>
              <w:marBottom w:val="0"/>
              <w:divBdr>
                <w:top w:val="none" w:sz="0" w:space="0" w:color="auto"/>
                <w:left w:val="none" w:sz="0" w:space="0" w:color="auto"/>
                <w:bottom w:val="none" w:sz="0" w:space="0" w:color="auto"/>
                <w:right w:val="none" w:sz="0" w:space="0" w:color="auto"/>
              </w:divBdr>
            </w:div>
            <w:div w:id="604579575">
              <w:marLeft w:val="0"/>
              <w:marRight w:val="0"/>
              <w:marTop w:val="0"/>
              <w:marBottom w:val="0"/>
              <w:divBdr>
                <w:top w:val="none" w:sz="0" w:space="0" w:color="auto"/>
                <w:left w:val="none" w:sz="0" w:space="0" w:color="auto"/>
                <w:bottom w:val="none" w:sz="0" w:space="0" w:color="auto"/>
                <w:right w:val="none" w:sz="0" w:space="0" w:color="auto"/>
              </w:divBdr>
            </w:div>
            <w:div w:id="1841700530">
              <w:marLeft w:val="0"/>
              <w:marRight w:val="0"/>
              <w:marTop w:val="0"/>
              <w:marBottom w:val="0"/>
              <w:divBdr>
                <w:top w:val="none" w:sz="0" w:space="0" w:color="auto"/>
                <w:left w:val="none" w:sz="0" w:space="0" w:color="auto"/>
                <w:bottom w:val="none" w:sz="0" w:space="0" w:color="auto"/>
                <w:right w:val="none" w:sz="0" w:space="0" w:color="auto"/>
              </w:divBdr>
            </w:div>
            <w:div w:id="453868877">
              <w:marLeft w:val="0"/>
              <w:marRight w:val="0"/>
              <w:marTop w:val="0"/>
              <w:marBottom w:val="0"/>
              <w:divBdr>
                <w:top w:val="none" w:sz="0" w:space="0" w:color="auto"/>
                <w:left w:val="none" w:sz="0" w:space="0" w:color="auto"/>
                <w:bottom w:val="none" w:sz="0" w:space="0" w:color="auto"/>
                <w:right w:val="none" w:sz="0" w:space="0" w:color="auto"/>
              </w:divBdr>
            </w:div>
            <w:div w:id="688987107">
              <w:marLeft w:val="0"/>
              <w:marRight w:val="0"/>
              <w:marTop w:val="0"/>
              <w:marBottom w:val="0"/>
              <w:divBdr>
                <w:top w:val="none" w:sz="0" w:space="0" w:color="auto"/>
                <w:left w:val="none" w:sz="0" w:space="0" w:color="auto"/>
                <w:bottom w:val="none" w:sz="0" w:space="0" w:color="auto"/>
                <w:right w:val="none" w:sz="0" w:space="0" w:color="auto"/>
              </w:divBdr>
            </w:div>
            <w:div w:id="1431316570">
              <w:marLeft w:val="0"/>
              <w:marRight w:val="0"/>
              <w:marTop w:val="0"/>
              <w:marBottom w:val="0"/>
              <w:divBdr>
                <w:top w:val="none" w:sz="0" w:space="0" w:color="auto"/>
                <w:left w:val="none" w:sz="0" w:space="0" w:color="auto"/>
                <w:bottom w:val="none" w:sz="0" w:space="0" w:color="auto"/>
                <w:right w:val="none" w:sz="0" w:space="0" w:color="auto"/>
              </w:divBdr>
            </w:div>
            <w:div w:id="683434602">
              <w:marLeft w:val="0"/>
              <w:marRight w:val="0"/>
              <w:marTop w:val="0"/>
              <w:marBottom w:val="0"/>
              <w:divBdr>
                <w:top w:val="none" w:sz="0" w:space="0" w:color="auto"/>
                <w:left w:val="none" w:sz="0" w:space="0" w:color="auto"/>
                <w:bottom w:val="none" w:sz="0" w:space="0" w:color="auto"/>
                <w:right w:val="none" w:sz="0" w:space="0" w:color="auto"/>
              </w:divBdr>
            </w:div>
            <w:div w:id="790897948">
              <w:marLeft w:val="0"/>
              <w:marRight w:val="0"/>
              <w:marTop w:val="0"/>
              <w:marBottom w:val="0"/>
              <w:divBdr>
                <w:top w:val="none" w:sz="0" w:space="0" w:color="auto"/>
                <w:left w:val="none" w:sz="0" w:space="0" w:color="auto"/>
                <w:bottom w:val="none" w:sz="0" w:space="0" w:color="auto"/>
                <w:right w:val="none" w:sz="0" w:space="0" w:color="auto"/>
              </w:divBdr>
            </w:div>
            <w:div w:id="1105151797">
              <w:marLeft w:val="0"/>
              <w:marRight w:val="0"/>
              <w:marTop w:val="0"/>
              <w:marBottom w:val="0"/>
              <w:divBdr>
                <w:top w:val="none" w:sz="0" w:space="0" w:color="auto"/>
                <w:left w:val="none" w:sz="0" w:space="0" w:color="auto"/>
                <w:bottom w:val="none" w:sz="0" w:space="0" w:color="auto"/>
                <w:right w:val="none" w:sz="0" w:space="0" w:color="auto"/>
              </w:divBdr>
            </w:div>
            <w:div w:id="1324434062">
              <w:marLeft w:val="0"/>
              <w:marRight w:val="0"/>
              <w:marTop w:val="0"/>
              <w:marBottom w:val="0"/>
              <w:divBdr>
                <w:top w:val="none" w:sz="0" w:space="0" w:color="auto"/>
                <w:left w:val="none" w:sz="0" w:space="0" w:color="auto"/>
                <w:bottom w:val="none" w:sz="0" w:space="0" w:color="auto"/>
                <w:right w:val="none" w:sz="0" w:space="0" w:color="auto"/>
              </w:divBdr>
            </w:div>
            <w:div w:id="1719161347">
              <w:marLeft w:val="0"/>
              <w:marRight w:val="0"/>
              <w:marTop w:val="0"/>
              <w:marBottom w:val="0"/>
              <w:divBdr>
                <w:top w:val="none" w:sz="0" w:space="0" w:color="auto"/>
                <w:left w:val="none" w:sz="0" w:space="0" w:color="auto"/>
                <w:bottom w:val="none" w:sz="0" w:space="0" w:color="auto"/>
                <w:right w:val="none" w:sz="0" w:space="0" w:color="auto"/>
              </w:divBdr>
            </w:div>
            <w:div w:id="1875460211">
              <w:marLeft w:val="0"/>
              <w:marRight w:val="0"/>
              <w:marTop w:val="0"/>
              <w:marBottom w:val="0"/>
              <w:divBdr>
                <w:top w:val="none" w:sz="0" w:space="0" w:color="auto"/>
                <w:left w:val="none" w:sz="0" w:space="0" w:color="auto"/>
                <w:bottom w:val="none" w:sz="0" w:space="0" w:color="auto"/>
                <w:right w:val="none" w:sz="0" w:space="0" w:color="auto"/>
              </w:divBdr>
            </w:div>
            <w:div w:id="367921291">
              <w:marLeft w:val="0"/>
              <w:marRight w:val="0"/>
              <w:marTop w:val="0"/>
              <w:marBottom w:val="0"/>
              <w:divBdr>
                <w:top w:val="none" w:sz="0" w:space="0" w:color="auto"/>
                <w:left w:val="none" w:sz="0" w:space="0" w:color="auto"/>
                <w:bottom w:val="none" w:sz="0" w:space="0" w:color="auto"/>
                <w:right w:val="none" w:sz="0" w:space="0" w:color="auto"/>
              </w:divBdr>
            </w:div>
            <w:div w:id="1346907284">
              <w:marLeft w:val="0"/>
              <w:marRight w:val="0"/>
              <w:marTop w:val="0"/>
              <w:marBottom w:val="0"/>
              <w:divBdr>
                <w:top w:val="none" w:sz="0" w:space="0" w:color="auto"/>
                <w:left w:val="none" w:sz="0" w:space="0" w:color="auto"/>
                <w:bottom w:val="none" w:sz="0" w:space="0" w:color="auto"/>
                <w:right w:val="none" w:sz="0" w:space="0" w:color="auto"/>
              </w:divBdr>
            </w:div>
            <w:div w:id="1137140497">
              <w:marLeft w:val="0"/>
              <w:marRight w:val="0"/>
              <w:marTop w:val="0"/>
              <w:marBottom w:val="0"/>
              <w:divBdr>
                <w:top w:val="none" w:sz="0" w:space="0" w:color="auto"/>
                <w:left w:val="none" w:sz="0" w:space="0" w:color="auto"/>
                <w:bottom w:val="none" w:sz="0" w:space="0" w:color="auto"/>
                <w:right w:val="none" w:sz="0" w:space="0" w:color="auto"/>
              </w:divBdr>
            </w:div>
            <w:div w:id="890262866">
              <w:marLeft w:val="0"/>
              <w:marRight w:val="0"/>
              <w:marTop w:val="0"/>
              <w:marBottom w:val="0"/>
              <w:divBdr>
                <w:top w:val="none" w:sz="0" w:space="0" w:color="auto"/>
                <w:left w:val="none" w:sz="0" w:space="0" w:color="auto"/>
                <w:bottom w:val="none" w:sz="0" w:space="0" w:color="auto"/>
                <w:right w:val="none" w:sz="0" w:space="0" w:color="auto"/>
              </w:divBdr>
            </w:div>
            <w:div w:id="1537736772">
              <w:marLeft w:val="0"/>
              <w:marRight w:val="0"/>
              <w:marTop w:val="0"/>
              <w:marBottom w:val="0"/>
              <w:divBdr>
                <w:top w:val="none" w:sz="0" w:space="0" w:color="auto"/>
                <w:left w:val="none" w:sz="0" w:space="0" w:color="auto"/>
                <w:bottom w:val="none" w:sz="0" w:space="0" w:color="auto"/>
                <w:right w:val="none" w:sz="0" w:space="0" w:color="auto"/>
              </w:divBdr>
            </w:div>
            <w:div w:id="1159036062">
              <w:marLeft w:val="0"/>
              <w:marRight w:val="0"/>
              <w:marTop w:val="0"/>
              <w:marBottom w:val="0"/>
              <w:divBdr>
                <w:top w:val="none" w:sz="0" w:space="0" w:color="auto"/>
                <w:left w:val="none" w:sz="0" w:space="0" w:color="auto"/>
                <w:bottom w:val="none" w:sz="0" w:space="0" w:color="auto"/>
                <w:right w:val="none" w:sz="0" w:space="0" w:color="auto"/>
              </w:divBdr>
            </w:div>
            <w:div w:id="1533303251">
              <w:marLeft w:val="0"/>
              <w:marRight w:val="0"/>
              <w:marTop w:val="0"/>
              <w:marBottom w:val="0"/>
              <w:divBdr>
                <w:top w:val="none" w:sz="0" w:space="0" w:color="auto"/>
                <w:left w:val="none" w:sz="0" w:space="0" w:color="auto"/>
                <w:bottom w:val="none" w:sz="0" w:space="0" w:color="auto"/>
                <w:right w:val="none" w:sz="0" w:space="0" w:color="auto"/>
              </w:divBdr>
            </w:div>
            <w:div w:id="539368356">
              <w:marLeft w:val="0"/>
              <w:marRight w:val="0"/>
              <w:marTop w:val="0"/>
              <w:marBottom w:val="0"/>
              <w:divBdr>
                <w:top w:val="none" w:sz="0" w:space="0" w:color="auto"/>
                <w:left w:val="none" w:sz="0" w:space="0" w:color="auto"/>
                <w:bottom w:val="none" w:sz="0" w:space="0" w:color="auto"/>
                <w:right w:val="none" w:sz="0" w:space="0" w:color="auto"/>
              </w:divBdr>
            </w:div>
            <w:div w:id="1842430597">
              <w:marLeft w:val="0"/>
              <w:marRight w:val="0"/>
              <w:marTop w:val="0"/>
              <w:marBottom w:val="0"/>
              <w:divBdr>
                <w:top w:val="none" w:sz="0" w:space="0" w:color="auto"/>
                <w:left w:val="none" w:sz="0" w:space="0" w:color="auto"/>
                <w:bottom w:val="none" w:sz="0" w:space="0" w:color="auto"/>
                <w:right w:val="none" w:sz="0" w:space="0" w:color="auto"/>
              </w:divBdr>
            </w:div>
            <w:div w:id="2102876108">
              <w:marLeft w:val="0"/>
              <w:marRight w:val="0"/>
              <w:marTop w:val="0"/>
              <w:marBottom w:val="0"/>
              <w:divBdr>
                <w:top w:val="none" w:sz="0" w:space="0" w:color="auto"/>
                <w:left w:val="none" w:sz="0" w:space="0" w:color="auto"/>
                <w:bottom w:val="none" w:sz="0" w:space="0" w:color="auto"/>
                <w:right w:val="none" w:sz="0" w:space="0" w:color="auto"/>
              </w:divBdr>
            </w:div>
            <w:div w:id="1363748370">
              <w:marLeft w:val="0"/>
              <w:marRight w:val="0"/>
              <w:marTop w:val="0"/>
              <w:marBottom w:val="0"/>
              <w:divBdr>
                <w:top w:val="none" w:sz="0" w:space="0" w:color="auto"/>
                <w:left w:val="none" w:sz="0" w:space="0" w:color="auto"/>
                <w:bottom w:val="none" w:sz="0" w:space="0" w:color="auto"/>
                <w:right w:val="none" w:sz="0" w:space="0" w:color="auto"/>
              </w:divBdr>
            </w:div>
            <w:div w:id="553396444">
              <w:marLeft w:val="0"/>
              <w:marRight w:val="0"/>
              <w:marTop w:val="0"/>
              <w:marBottom w:val="0"/>
              <w:divBdr>
                <w:top w:val="none" w:sz="0" w:space="0" w:color="auto"/>
                <w:left w:val="none" w:sz="0" w:space="0" w:color="auto"/>
                <w:bottom w:val="none" w:sz="0" w:space="0" w:color="auto"/>
                <w:right w:val="none" w:sz="0" w:space="0" w:color="auto"/>
              </w:divBdr>
            </w:div>
            <w:div w:id="41944397">
              <w:marLeft w:val="0"/>
              <w:marRight w:val="0"/>
              <w:marTop w:val="0"/>
              <w:marBottom w:val="0"/>
              <w:divBdr>
                <w:top w:val="none" w:sz="0" w:space="0" w:color="auto"/>
                <w:left w:val="none" w:sz="0" w:space="0" w:color="auto"/>
                <w:bottom w:val="none" w:sz="0" w:space="0" w:color="auto"/>
                <w:right w:val="none" w:sz="0" w:space="0" w:color="auto"/>
              </w:divBdr>
            </w:div>
            <w:div w:id="1912346782">
              <w:marLeft w:val="0"/>
              <w:marRight w:val="0"/>
              <w:marTop w:val="0"/>
              <w:marBottom w:val="0"/>
              <w:divBdr>
                <w:top w:val="none" w:sz="0" w:space="0" w:color="auto"/>
                <w:left w:val="none" w:sz="0" w:space="0" w:color="auto"/>
                <w:bottom w:val="none" w:sz="0" w:space="0" w:color="auto"/>
                <w:right w:val="none" w:sz="0" w:space="0" w:color="auto"/>
              </w:divBdr>
            </w:div>
            <w:div w:id="75984758">
              <w:marLeft w:val="0"/>
              <w:marRight w:val="0"/>
              <w:marTop w:val="0"/>
              <w:marBottom w:val="0"/>
              <w:divBdr>
                <w:top w:val="none" w:sz="0" w:space="0" w:color="auto"/>
                <w:left w:val="none" w:sz="0" w:space="0" w:color="auto"/>
                <w:bottom w:val="none" w:sz="0" w:space="0" w:color="auto"/>
                <w:right w:val="none" w:sz="0" w:space="0" w:color="auto"/>
              </w:divBdr>
            </w:div>
            <w:div w:id="480386166">
              <w:marLeft w:val="0"/>
              <w:marRight w:val="0"/>
              <w:marTop w:val="0"/>
              <w:marBottom w:val="0"/>
              <w:divBdr>
                <w:top w:val="none" w:sz="0" w:space="0" w:color="auto"/>
                <w:left w:val="none" w:sz="0" w:space="0" w:color="auto"/>
                <w:bottom w:val="none" w:sz="0" w:space="0" w:color="auto"/>
                <w:right w:val="none" w:sz="0" w:space="0" w:color="auto"/>
              </w:divBdr>
            </w:div>
            <w:div w:id="1788967521">
              <w:marLeft w:val="0"/>
              <w:marRight w:val="0"/>
              <w:marTop w:val="0"/>
              <w:marBottom w:val="0"/>
              <w:divBdr>
                <w:top w:val="none" w:sz="0" w:space="0" w:color="auto"/>
                <w:left w:val="none" w:sz="0" w:space="0" w:color="auto"/>
                <w:bottom w:val="none" w:sz="0" w:space="0" w:color="auto"/>
                <w:right w:val="none" w:sz="0" w:space="0" w:color="auto"/>
              </w:divBdr>
            </w:div>
            <w:div w:id="401488952">
              <w:marLeft w:val="0"/>
              <w:marRight w:val="0"/>
              <w:marTop w:val="0"/>
              <w:marBottom w:val="0"/>
              <w:divBdr>
                <w:top w:val="none" w:sz="0" w:space="0" w:color="auto"/>
                <w:left w:val="none" w:sz="0" w:space="0" w:color="auto"/>
                <w:bottom w:val="none" w:sz="0" w:space="0" w:color="auto"/>
                <w:right w:val="none" w:sz="0" w:space="0" w:color="auto"/>
              </w:divBdr>
            </w:div>
            <w:div w:id="1084840208">
              <w:marLeft w:val="0"/>
              <w:marRight w:val="0"/>
              <w:marTop w:val="0"/>
              <w:marBottom w:val="0"/>
              <w:divBdr>
                <w:top w:val="none" w:sz="0" w:space="0" w:color="auto"/>
                <w:left w:val="none" w:sz="0" w:space="0" w:color="auto"/>
                <w:bottom w:val="none" w:sz="0" w:space="0" w:color="auto"/>
                <w:right w:val="none" w:sz="0" w:space="0" w:color="auto"/>
              </w:divBdr>
            </w:div>
            <w:div w:id="1347563137">
              <w:marLeft w:val="0"/>
              <w:marRight w:val="0"/>
              <w:marTop w:val="0"/>
              <w:marBottom w:val="0"/>
              <w:divBdr>
                <w:top w:val="none" w:sz="0" w:space="0" w:color="auto"/>
                <w:left w:val="none" w:sz="0" w:space="0" w:color="auto"/>
                <w:bottom w:val="none" w:sz="0" w:space="0" w:color="auto"/>
                <w:right w:val="none" w:sz="0" w:space="0" w:color="auto"/>
              </w:divBdr>
            </w:div>
            <w:div w:id="688137774">
              <w:marLeft w:val="0"/>
              <w:marRight w:val="0"/>
              <w:marTop w:val="0"/>
              <w:marBottom w:val="0"/>
              <w:divBdr>
                <w:top w:val="none" w:sz="0" w:space="0" w:color="auto"/>
                <w:left w:val="none" w:sz="0" w:space="0" w:color="auto"/>
                <w:bottom w:val="none" w:sz="0" w:space="0" w:color="auto"/>
                <w:right w:val="none" w:sz="0" w:space="0" w:color="auto"/>
              </w:divBdr>
            </w:div>
            <w:div w:id="1450855469">
              <w:marLeft w:val="0"/>
              <w:marRight w:val="0"/>
              <w:marTop w:val="0"/>
              <w:marBottom w:val="0"/>
              <w:divBdr>
                <w:top w:val="none" w:sz="0" w:space="0" w:color="auto"/>
                <w:left w:val="none" w:sz="0" w:space="0" w:color="auto"/>
                <w:bottom w:val="none" w:sz="0" w:space="0" w:color="auto"/>
                <w:right w:val="none" w:sz="0" w:space="0" w:color="auto"/>
              </w:divBdr>
            </w:div>
            <w:div w:id="57949047">
              <w:marLeft w:val="0"/>
              <w:marRight w:val="0"/>
              <w:marTop w:val="0"/>
              <w:marBottom w:val="0"/>
              <w:divBdr>
                <w:top w:val="none" w:sz="0" w:space="0" w:color="auto"/>
                <w:left w:val="none" w:sz="0" w:space="0" w:color="auto"/>
                <w:bottom w:val="none" w:sz="0" w:space="0" w:color="auto"/>
                <w:right w:val="none" w:sz="0" w:space="0" w:color="auto"/>
              </w:divBdr>
            </w:div>
            <w:div w:id="1495412248">
              <w:marLeft w:val="0"/>
              <w:marRight w:val="0"/>
              <w:marTop w:val="0"/>
              <w:marBottom w:val="0"/>
              <w:divBdr>
                <w:top w:val="none" w:sz="0" w:space="0" w:color="auto"/>
                <w:left w:val="none" w:sz="0" w:space="0" w:color="auto"/>
                <w:bottom w:val="none" w:sz="0" w:space="0" w:color="auto"/>
                <w:right w:val="none" w:sz="0" w:space="0" w:color="auto"/>
              </w:divBdr>
            </w:div>
            <w:div w:id="1458334177">
              <w:marLeft w:val="0"/>
              <w:marRight w:val="0"/>
              <w:marTop w:val="0"/>
              <w:marBottom w:val="0"/>
              <w:divBdr>
                <w:top w:val="none" w:sz="0" w:space="0" w:color="auto"/>
                <w:left w:val="none" w:sz="0" w:space="0" w:color="auto"/>
                <w:bottom w:val="none" w:sz="0" w:space="0" w:color="auto"/>
                <w:right w:val="none" w:sz="0" w:space="0" w:color="auto"/>
              </w:divBdr>
            </w:div>
            <w:div w:id="1923758902">
              <w:marLeft w:val="0"/>
              <w:marRight w:val="0"/>
              <w:marTop w:val="0"/>
              <w:marBottom w:val="0"/>
              <w:divBdr>
                <w:top w:val="none" w:sz="0" w:space="0" w:color="auto"/>
                <w:left w:val="none" w:sz="0" w:space="0" w:color="auto"/>
                <w:bottom w:val="none" w:sz="0" w:space="0" w:color="auto"/>
                <w:right w:val="none" w:sz="0" w:space="0" w:color="auto"/>
              </w:divBdr>
            </w:div>
            <w:div w:id="420832850">
              <w:marLeft w:val="0"/>
              <w:marRight w:val="0"/>
              <w:marTop w:val="0"/>
              <w:marBottom w:val="0"/>
              <w:divBdr>
                <w:top w:val="none" w:sz="0" w:space="0" w:color="auto"/>
                <w:left w:val="none" w:sz="0" w:space="0" w:color="auto"/>
                <w:bottom w:val="none" w:sz="0" w:space="0" w:color="auto"/>
                <w:right w:val="none" w:sz="0" w:space="0" w:color="auto"/>
              </w:divBdr>
            </w:div>
            <w:div w:id="166557123">
              <w:marLeft w:val="0"/>
              <w:marRight w:val="0"/>
              <w:marTop w:val="0"/>
              <w:marBottom w:val="0"/>
              <w:divBdr>
                <w:top w:val="none" w:sz="0" w:space="0" w:color="auto"/>
                <w:left w:val="none" w:sz="0" w:space="0" w:color="auto"/>
                <w:bottom w:val="none" w:sz="0" w:space="0" w:color="auto"/>
                <w:right w:val="none" w:sz="0" w:space="0" w:color="auto"/>
              </w:divBdr>
            </w:div>
            <w:div w:id="1384334162">
              <w:marLeft w:val="0"/>
              <w:marRight w:val="0"/>
              <w:marTop w:val="0"/>
              <w:marBottom w:val="0"/>
              <w:divBdr>
                <w:top w:val="none" w:sz="0" w:space="0" w:color="auto"/>
                <w:left w:val="none" w:sz="0" w:space="0" w:color="auto"/>
                <w:bottom w:val="none" w:sz="0" w:space="0" w:color="auto"/>
                <w:right w:val="none" w:sz="0" w:space="0" w:color="auto"/>
              </w:divBdr>
            </w:div>
            <w:div w:id="1334840603">
              <w:marLeft w:val="0"/>
              <w:marRight w:val="0"/>
              <w:marTop w:val="0"/>
              <w:marBottom w:val="0"/>
              <w:divBdr>
                <w:top w:val="none" w:sz="0" w:space="0" w:color="auto"/>
                <w:left w:val="none" w:sz="0" w:space="0" w:color="auto"/>
                <w:bottom w:val="none" w:sz="0" w:space="0" w:color="auto"/>
                <w:right w:val="none" w:sz="0" w:space="0" w:color="auto"/>
              </w:divBdr>
            </w:div>
            <w:div w:id="1456675667">
              <w:marLeft w:val="0"/>
              <w:marRight w:val="0"/>
              <w:marTop w:val="0"/>
              <w:marBottom w:val="0"/>
              <w:divBdr>
                <w:top w:val="none" w:sz="0" w:space="0" w:color="auto"/>
                <w:left w:val="none" w:sz="0" w:space="0" w:color="auto"/>
                <w:bottom w:val="none" w:sz="0" w:space="0" w:color="auto"/>
                <w:right w:val="none" w:sz="0" w:space="0" w:color="auto"/>
              </w:divBdr>
            </w:div>
            <w:div w:id="1263881678">
              <w:marLeft w:val="0"/>
              <w:marRight w:val="0"/>
              <w:marTop w:val="0"/>
              <w:marBottom w:val="0"/>
              <w:divBdr>
                <w:top w:val="none" w:sz="0" w:space="0" w:color="auto"/>
                <w:left w:val="none" w:sz="0" w:space="0" w:color="auto"/>
                <w:bottom w:val="none" w:sz="0" w:space="0" w:color="auto"/>
                <w:right w:val="none" w:sz="0" w:space="0" w:color="auto"/>
              </w:divBdr>
            </w:div>
            <w:div w:id="2013071096">
              <w:marLeft w:val="0"/>
              <w:marRight w:val="0"/>
              <w:marTop w:val="0"/>
              <w:marBottom w:val="0"/>
              <w:divBdr>
                <w:top w:val="none" w:sz="0" w:space="0" w:color="auto"/>
                <w:left w:val="none" w:sz="0" w:space="0" w:color="auto"/>
                <w:bottom w:val="none" w:sz="0" w:space="0" w:color="auto"/>
                <w:right w:val="none" w:sz="0" w:space="0" w:color="auto"/>
              </w:divBdr>
            </w:div>
            <w:div w:id="1380471706">
              <w:marLeft w:val="0"/>
              <w:marRight w:val="0"/>
              <w:marTop w:val="0"/>
              <w:marBottom w:val="0"/>
              <w:divBdr>
                <w:top w:val="none" w:sz="0" w:space="0" w:color="auto"/>
                <w:left w:val="none" w:sz="0" w:space="0" w:color="auto"/>
                <w:bottom w:val="none" w:sz="0" w:space="0" w:color="auto"/>
                <w:right w:val="none" w:sz="0" w:space="0" w:color="auto"/>
              </w:divBdr>
            </w:div>
            <w:div w:id="1619098794">
              <w:marLeft w:val="0"/>
              <w:marRight w:val="0"/>
              <w:marTop w:val="0"/>
              <w:marBottom w:val="0"/>
              <w:divBdr>
                <w:top w:val="none" w:sz="0" w:space="0" w:color="auto"/>
                <w:left w:val="none" w:sz="0" w:space="0" w:color="auto"/>
                <w:bottom w:val="none" w:sz="0" w:space="0" w:color="auto"/>
                <w:right w:val="none" w:sz="0" w:space="0" w:color="auto"/>
              </w:divBdr>
            </w:div>
            <w:div w:id="1143812020">
              <w:marLeft w:val="0"/>
              <w:marRight w:val="0"/>
              <w:marTop w:val="0"/>
              <w:marBottom w:val="0"/>
              <w:divBdr>
                <w:top w:val="none" w:sz="0" w:space="0" w:color="auto"/>
                <w:left w:val="none" w:sz="0" w:space="0" w:color="auto"/>
                <w:bottom w:val="none" w:sz="0" w:space="0" w:color="auto"/>
                <w:right w:val="none" w:sz="0" w:space="0" w:color="auto"/>
              </w:divBdr>
            </w:div>
            <w:div w:id="602611633">
              <w:marLeft w:val="0"/>
              <w:marRight w:val="0"/>
              <w:marTop w:val="0"/>
              <w:marBottom w:val="0"/>
              <w:divBdr>
                <w:top w:val="none" w:sz="0" w:space="0" w:color="auto"/>
                <w:left w:val="none" w:sz="0" w:space="0" w:color="auto"/>
                <w:bottom w:val="none" w:sz="0" w:space="0" w:color="auto"/>
                <w:right w:val="none" w:sz="0" w:space="0" w:color="auto"/>
              </w:divBdr>
            </w:div>
            <w:div w:id="1415735504">
              <w:marLeft w:val="0"/>
              <w:marRight w:val="0"/>
              <w:marTop w:val="0"/>
              <w:marBottom w:val="0"/>
              <w:divBdr>
                <w:top w:val="none" w:sz="0" w:space="0" w:color="auto"/>
                <w:left w:val="none" w:sz="0" w:space="0" w:color="auto"/>
                <w:bottom w:val="none" w:sz="0" w:space="0" w:color="auto"/>
                <w:right w:val="none" w:sz="0" w:space="0" w:color="auto"/>
              </w:divBdr>
            </w:div>
            <w:div w:id="360858431">
              <w:marLeft w:val="0"/>
              <w:marRight w:val="0"/>
              <w:marTop w:val="0"/>
              <w:marBottom w:val="0"/>
              <w:divBdr>
                <w:top w:val="none" w:sz="0" w:space="0" w:color="auto"/>
                <w:left w:val="none" w:sz="0" w:space="0" w:color="auto"/>
                <w:bottom w:val="none" w:sz="0" w:space="0" w:color="auto"/>
                <w:right w:val="none" w:sz="0" w:space="0" w:color="auto"/>
              </w:divBdr>
            </w:div>
            <w:div w:id="1864245585">
              <w:marLeft w:val="0"/>
              <w:marRight w:val="0"/>
              <w:marTop w:val="0"/>
              <w:marBottom w:val="0"/>
              <w:divBdr>
                <w:top w:val="none" w:sz="0" w:space="0" w:color="auto"/>
                <w:left w:val="none" w:sz="0" w:space="0" w:color="auto"/>
                <w:bottom w:val="none" w:sz="0" w:space="0" w:color="auto"/>
                <w:right w:val="none" w:sz="0" w:space="0" w:color="auto"/>
              </w:divBdr>
            </w:div>
            <w:div w:id="983899877">
              <w:marLeft w:val="0"/>
              <w:marRight w:val="0"/>
              <w:marTop w:val="0"/>
              <w:marBottom w:val="0"/>
              <w:divBdr>
                <w:top w:val="none" w:sz="0" w:space="0" w:color="auto"/>
                <w:left w:val="none" w:sz="0" w:space="0" w:color="auto"/>
                <w:bottom w:val="none" w:sz="0" w:space="0" w:color="auto"/>
                <w:right w:val="none" w:sz="0" w:space="0" w:color="auto"/>
              </w:divBdr>
            </w:div>
            <w:div w:id="1209103536">
              <w:marLeft w:val="0"/>
              <w:marRight w:val="0"/>
              <w:marTop w:val="0"/>
              <w:marBottom w:val="0"/>
              <w:divBdr>
                <w:top w:val="none" w:sz="0" w:space="0" w:color="auto"/>
                <w:left w:val="none" w:sz="0" w:space="0" w:color="auto"/>
                <w:bottom w:val="none" w:sz="0" w:space="0" w:color="auto"/>
                <w:right w:val="none" w:sz="0" w:space="0" w:color="auto"/>
              </w:divBdr>
            </w:div>
            <w:div w:id="1095980092">
              <w:marLeft w:val="0"/>
              <w:marRight w:val="0"/>
              <w:marTop w:val="0"/>
              <w:marBottom w:val="0"/>
              <w:divBdr>
                <w:top w:val="none" w:sz="0" w:space="0" w:color="auto"/>
                <w:left w:val="none" w:sz="0" w:space="0" w:color="auto"/>
                <w:bottom w:val="none" w:sz="0" w:space="0" w:color="auto"/>
                <w:right w:val="none" w:sz="0" w:space="0" w:color="auto"/>
              </w:divBdr>
            </w:div>
            <w:div w:id="891503870">
              <w:marLeft w:val="0"/>
              <w:marRight w:val="0"/>
              <w:marTop w:val="0"/>
              <w:marBottom w:val="0"/>
              <w:divBdr>
                <w:top w:val="none" w:sz="0" w:space="0" w:color="auto"/>
                <w:left w:val="none" w:sz="0" w:space="0" w:color="auto"/>
                <w:bottom w:val="none" w:sz="0" w:space="0" w:color="auto"/>
                <w:right w:val="none" w:sz="0" w:space="0" w:color="auto"/>
              </w:divBdr>
            </w:div>
            <w:div w:id="1663044361">
              <w:marLeft w:val="0"/>
              <w:marRight w:val="0"/>
              <w:marTop w:val="0"/>
              <w:marBottom w:val="0"/>
              <w:divBdr>
                <w:top w:val="none" w:sz="0" w:space="0" w:color="auto"/>
                <w:left w:val="none" w:sz="0" w:space="0" w:color="auto"/>
                <w:bottom w:val="none" w:sz="0" w:space="0" w:color="auto"/>
                <w:right w:val="none" w:sz="0" w:space="0" w:color="auto"/>
              </w:divBdr>
            </w:div>
            <w:div w:id="1647473042">
              <w:marLeft w:val="0"/>
              <w:marRight w:val="0"/>
              <w:marTop w:val="0"/>
              <w:marBottom w:val="0"/>
              <w:divBdr>
                <w:top w:val="none" w:sz="0" w:space="0" w:color="auto"/>
                <w:left w:val="none" w:sz="0" w:space="0" w:color="auto"/>
                <w:bottom w:val="none" w:sz="0" w:space="0" w:color="auto"/>
                <w:right w:val="none" w:sz="0" w:space="0" w:color="auto"/>
              </w:divBdr>
            </w:div>
            <w:div w:id="600334764">
              <w:marLeft w:val="0"/>
              <w:marRight w:val="0"/>
              <w:marTop w:val="0"/>
              <w:marBottom w:val="0"/>
              <w:divBdr>
                <w:top w:val="none" w:sz="0" w:space="0" w:color="auto"/>
                <w:left w:val="none" w:sz="0" w:space="0" w:color="auto"/>
                <w:bottom w:val="none" w:sz="0" w:space="0" w:color="auto"/>
                <w:right w:val="none" w:sz="0" w:space="0" w:color="auto"/>
              </w:divBdr>
            </w:div>
            <w:div w:id="981158625">
              <w:marLeft w:val="0"/>
              <w:marRight w:val="0"/>
              <w:marTop w:val="0"/>
              <w:marBottom w:val="0"/>
              <w:divBdr>
                <w:top w:val="none" w:sz="0" w:space="0" w:color="auto"/>
                <w:left w:val="none" w:sz="0" w:space="0" w:color="auto"/>
                <w:bottom w:val="none" w:sz="0" w:space="0" w:color="auto"/>
                <w:right w:val="none" w:sz="0" w:space="0" w:color="auto"/>
              </w:divBdr>
            </w:div>
            <w:div w:id="1108501378">
              <w:marLeft w:val="0"/>
              <w:marRight w:val="0"/>
              <w:marTop w:val="0"/>
              <w:marBottom w:val="0"/>
              <w:divBdr>
                <w:top w:val="none" w:sz="0" w:space="0" w:color="auto"/>
                <w:left w:val="none" w:sz="0" w:space="0" w:color="auto"/>
                <w:bottom w:val="none" w:sz="0" w:space="0" w:color="auto"/>
                <w:right w:val="none" w:sz="0" w:space="0" w:color="auto"/>
              </w:divBdr>
            </w:div>
            <w:div w:id="446510005">
              <w:marLeft w:val="0"/>
              <w:marRight w:val="0"/>
              <w:marTop w:val="0"/>
              <w:marBottom w:val="0"/>
              <w:divBdr>
                <w:top w:val="none" w:sz="0" w:space="0" w:color="auto"/>
                <w:left w:val="none" w:sz="0" w:space="0" w:color="auto"/>
                <w:bottom w:val="none" w:sz="0" w:space="0" w:color="auto"/>
                <w:right w:val="none" w:sz="0" w:space="0" w:color="auto"/>
              </w:divBdr>
            </w:div>
            <w:div w:id="954143023">
              <w:marLeft w:val="0"/>
              <w:marRight w:val="0"/>
              <w:marTop w:val="0"/>
              <w:marBottom w:val="0"/>
              <w:divBdr>
                <w:top w:val="none" w:sz="0" w:space="0" w:color="auto"/>
                <w:left w:val="none" w:sz="0" w:space="0" w:color="auto"/>
                <w:bottom w:val="none" w:sz="0" w:space="0" w:color="auto"/>
                <w:right w:val="none" w:sz="0" w:space="0" w:color="auto"/>
              </w:divBdr>
            </w:div>
            <w:div w:id="1098022814">
              <w:marLeft w:val="0"/>
              <w:marRight w:val="0"/>
              <w:marTop w:val="0"/>
              <w:marBottom w:val="0"/>
              <w:divBdr>
                <w:top w:val="none" w:sz="0" w:space="0" w:color="auto"/>
                <w:left w:val="none" w:sz="0" w:space="0" w:color="auto"/>
                <w:bottom w:val="none" w:sz="0" w:space="0" w:color="auto"/>
                <w:right w:val="none" w:sz="0" w:space="0" w:color="auto"/>
              </w:divBdr>
            </w:div>
            <w:div w:id="193351666">
              <w:marLeft w:val="0"/>
              <w:marRight w:val="0"/>
              <w:marTop w:val="0"/>
              <w:marBottom w:val="0"/>
              <w:divBdr>
                <w:top w:val="none" w:sz="0" w:space="0" w:color="auto"/>
                <w:left w:val="none" w:sz="0" w:space="0" w:color="auto"/>
                <w:bottom w:val="none" w:sz="0" w:space="0" w:color="auto"/>
                <w:right w:val="none" w:sz="0" w:space="0" w:color="auto"/>
              </w:divBdr>
            </w:div>
            <w:div w:id="524053078">
              <w:marLeft w:val="0"/>
              <w:marRight w:val="0"/>
              <w:marTop w:val="0"/>
              <w:marBottom w:val="0"/>
              <w:divBdr>
                <w:top w:val="none" w:sz="0" w:space="0" w:color="auto"/>
                <w:left w:val="none" w:sz="0" w:space="0" w:color="auto"/>
                <w:bottom w:val="none" w:sz="0" w:space="0" w:color="auto"/>
                <w:right w:val="none" w:sz="0" w:space="0" w:color="auto"/>
              </w:divBdr>
            </w:div>
            <w:div w:id="2075080588">
              <w:marLeft w:val="0"/>
              <w:marRight w:val="0"/>
              <w:marTop w:val="0"/>
              <w:marBottom w:val="0"/>
              <w:divBdr>
                <w:top w:val="none" w:sz="0" w:space="0" w:color="auto"/>
                <w:left w:val="none" w:sz="0" w:space="0" w:color="auto"/>
                <w:bottom w:val="none" w:sz="0" w:space="0" w:color="auto"/>
                <w:right w:val="none" w:sz="0" w:space="0" w:color="auto"/>
              </w:divBdr>
            </w:div>
            <w:div w:id="171922343">
              <w:marLeft w:val="0"/>
              <w:marRight w:val="0"/>
              <w:marTop w:val="0"/>
              <w:marBottom w:val="0"/>
              <w:divBdr>
                <w:top w:val="none" w:sz="0" w:space="0" w:color="auto"/>
                <w:left w:val="none" w:sz="0" w:space="0" w:color="auto"/>
                <w:bottom w:val="none" w:sz="0" w:space="0" w:color="auto"/>
                <w:right w:val="none" w:sz="0" w:space="0" w:color="auto"/>
              </w:divBdr>
            </w:div>
            <w:div w:id="1196850110">
              <w:marLeft w:val="0"/>
              <w:marRight w:val="0"/>
              <w:marTop w:val="0"/>
              <w:marBottom w:val="0"/>
              <w:divBdr>
                <w:top w:val="none" w:sz="0" w:space="0" w:color="auto"/>
                <w:left w:val="none" w:sz="0" w:space="0" w:color="auto"/>
                <w:bottom w:val="none" w:sz="0" w:space="0" w:color="auto"/>
                <w:right w:val="none" w:sz="0" w:space="0" w:color="auto"/>
              </w:divBdr>
            </w:div>
            <w:div w:id="1508444650">
              <w:marLeft w:val="0"/>
              <w:marRight w:val="0"/>
              <w:marTop w:val="0"/>
              <w:marBottom w:val="0"/>
              <w:divBdr>
                <w:top w:val="none" w:sz="0" w:space="0" w:color="auto"/>
                <w:left w:val="none" w:sz="0" w:space="0" w:color="auto"/>
                <w:bottom w:val="none" w:sz="0" w:space="0" w:color="auto"/>
                <w:right w:val="none" w:sz="0" w:space="0" w:color="auto"/>
              </w:divBdr>
            </w:div>
            <w:div w:id="1459226542">
              <w:marLeft w:val="0"/>
              <w:marRight w:val="0"/>
              <w:marTop w:val="0"/>
              <w:marBottom w:val="0"/>
              <w:divBdr>
                <w:top w:val="none" w:sz="0" w:space="0" w:color="auto"/>
                <w:left w:val="none" w:sz="0" w:space="0" w:color="auto"/>
                <w:bottom w:val="none" w:sz="0" w:space="0" w:color="auto"/>
                <w:right w:val="none" w:sz="0" w:space="0" w:color="auto"/>
              </w:divBdr>
            </w:div>
            <w:div w:id="766121882">
              <w:marLeft w:val="0"/>
              <w:marRight w:val="0"/>
              <w:marTop w:val="0"/>
              <w:marBottom w:val="0"/>
              <w:divBdr>
                <w:top w:val="none" w:sz="0" w:space="0" w:color="auto"/>
                <w:left w:val="none" w:sz="0" w:space="0" w:color="auto"/>
                <w:bottom w:val="none" w:sz="0" w:space="0" w:color="auto"/>
                <w:right w:val="none" w:sz="0" w:space="0" w:color="auto"/>
              </w:divBdr>
            </w:div>
            <w:div w:id="224075499">
              <w:marLeft w:val="0"/>
              <w:marRight w:val="0"/>
              <w:marTop w:val="0"/>
              <w:marBottom w:val="0"/>
              <w:divBdr>
                <w:top w:val="none" w:sz="0" w:space="0" w:color="auto"/>
                <w:left w:val="none" w:sz="0" w:space="0" w:color="auto"/>
                <w:bottom w:val="none" w:sz="0" w:space="0" w:color="auto"/>
                <w:right w:val="none" w:sz="0" w:space="0" w:color="auto"/>
              </w:divBdr>
            </w:div>
            <w:div w:id="1005085921">
              <w:marLeft w:val="0"/>
              <w:marRight w:val="0"/>
              <w:marTop w:val="0"/>
              <w:marBottom w:val="0"/>
              <w:divBdr>
                <w:top w:val="none" w:sz="0" w:space="0" w:color="auto"/>
                <w:left w:val="none" w:sz="0" w:space="0" w:color="auto"/>
                <w:bottom w:val="none" w:sz="0" w:space="0" w:color="auto"/>
                <w:right w:val="none" w:sz="0" w:space="0" w:color="auto"/>
              </w:divBdr>
            </w:div>
            <w:div w:id="898904134">
              <w:marLeft w:val="0"/>
              <w:marRight w:val="0"/>
              <w:marTop w:val="0"/>
              <w:marBottom w:val="0"/>
              <w:divBdr>
                <w:top w:val="none" w:sz="0" w:space="0" w:color="auto"/>
                <w:left w:val="none" w:sz="0" w:space="0" w:color="auto"/>
                <w:bottom w:val="none" w:sz="0" w:space="0" w:color="auto"/>
                <w:right w:val="none" w:sz="0" w:space="0" w:color="auto"/>
              </w:divBdr>
            </w:div>
            <w:div w:id="1896774246">
              <w:marLeft w:val="0"/>
              <w:marRight w:val="0"/>
              <w:marTop w:val="0"/>
              <w:marBottom w:val="0"/>
              <w:divBdr>
                <w:top w:val="none" w:sz="0" w:space="0" w:color="auto"/>
                <w:left w:val="none" w:sz="0" w:space="0" w:color="auto"/>
                <w:bottom w:val="none" w:sz="0" w:space="0" w:color="auto"/>
                <w:right w:val="none" w:sz="0" w:space="0" w:color="auto"/>
              </w:divBdr>
            </w:div>
            <w:div w:id="1361738453">
              <w:marLeft w:val="0"/>
              <w:marRight w:val="0"/>
              <w:marTop w:val="0"/>
              <w:marBottom w:val="0"/>
              <w:divBdr>
                <w:top w:val="none" w:sz="0" w:space="0" w:color="auto"/>
                <w:left w:val="none" w:sz="0" w:space="0" w:color="auto"/>
                <w:bottom w:val="none" w:sz="0" w:space="0" w:color="auto"/>
                <w:right w:val="none" w:sz="0" w:space="0" w:color="auto"/>
              </w:divBdr>
            </w:div>
            <w:div w:id="1718701143">
              <w:marLeft w:val="0"/>
              <w:marRight w:val="0"/>
              <w:marTop w:val="0"/>
              <w:marBottom w:val="0"/>
              <w:divBdr>
                <w:top w:val="none" w:sz="0" w:space="0" w:color="auto"/>
                <w:left w:val="none" w:sz="0" w:space="0" w:color="auto"/>
                <w:bottom w:val="none" w:sz="0" w:space="0" w:color="auto"/>
                <w:right w:val="none" w:sz="0" w:space="0" w:color="auto"/>
              </w:divBdr>
            </w:div>
            <w:div w:id="919366311">
              <w:marLeft w:val="0"/>
              <w:marRight w:val="0"/>
              <w:marTop w:val="0"/>
              <w:marBottom w:val="0"/>
              <w:divBdr>
                <w:top w:val="none" w:sz="0" w:space="0" w:color="auto"/>
                <w:left w:val="none" w:sz="0" w:space="0" w:color="auto"/>
                <w:bottom w:val="none" w:sz="0" w:space="0" w:color="auto"/>
                <w:right w:val="none" w:sz="0" w:space="0" w:color="auto"/>
              </w:divBdr>
            </w:div>
            <w:div w:id="1071074834">
              <w:marLeft w:val="0"/>
              <w:marRight w:val="0"/>
              <w:marTop w:val="0"/>
              <w:marBottom w:val="0"/>
              <w:divBdr>
                <w:top w:val="none" w:sz="0" w:space="0" w:color="auto"/>
                <w:left w:val="none" w:sz="0" w:space="0" w:color="auto"/>
                <w:bottom w:val="none" w:sz="0" w:space="0" w:color="auto"/>
                <w:right w:val="none" w:sz="0" w:space="0" w:color="auto"/>
              </w:divBdr>
            </w:div>
            <w:div w:id="578834037">
              <w:marLeft w:val="0"/>
              <w:marRight w:val="0"/>
              <w:marTop w:val="0"/>
              <w:marBottom w:val="0"/>
              <w:divBdr>
                <w:top w:val="none" w:sz="0" w:space="0" w:color="auto"/>
                <w:left w:val="none" w:sz="0" w:space="0" w:color="auto"/>
                <w:bottom w:val="none" w:sz="0" w:space="0" w:color="auto"/>
                <w:right w:val="none" w:sz="0" w:space="0" w:color="auto"/>
              </w:divBdr>
            </w:div>
            <w:div w:id="1949311302">
              <w:marLeft w:val="0"/>
              <w:marRight w:val="0"/>
              <w:marTop w:val="0"/>
              <w:marBottom w:val="0"/>
              <w:divBdr>
                <w:top w:val="none" w:sz="0" w:space="0" w:color="auto"/>
                <w:left w:val="none" w:sz="0" w:space="0" w:color="auto"/>
                <w:bottom w:val="none" w:sz="0" w:space="0" w:color="auto"/>
                <w:right w:val="none" w:sz="0" w:space="0" w:color="auto"/>
              </w:divBdr>
            </w:div>
            <w:div w:id="2064134310">
              <w:marLeft w:val="0"/>
              <w:marRight w:val="0"/>
              <w:marTop w:val="0"/>
              <w:marBottom w:val="0"/>
              <w:divBdr>
                <w:top w:val="none" w:sz="0" w:space="0" w:color="auto"/>
                <w:left w:val="none" w:sz="0" w:space="0" w:color="auto"/>
                <w:bottom w:val="none" w:sz="0" w:space="0" w:color="auto"/>
                <w:right w:val="none" w:sz="0" w:space="0" w:color="auto"/>
              </w:divBdr>
            </w:div>
            <w:div w:id="1802068460">
              <w:marLeft w:val="0"/>
              <w:marRight w:val="0"/>
              <w:marTop w:val="0"/>
              <w:marBottom w:val="0"/>
              <w:divBdr>
                <w:top w:val="none" w:sz="0" w:space="0" w:color="auto"/>
                <w:left w:val="none" w:sz="0" w:space="0" w:color="auto"/>
                <w:bottom w:val="none" w:sz="0" w:space="0" w:color="auto"/>
                <w:right w:val="none" w:sz="0" w:space="0" w:color="auto"/>
              </w:divBdr>
            </w:div>
            <w:div w:id="890503388">
              <w:marLeft w:val="0"/>
              <w:marRight w:val="0"/>
              <w:marTop w:val="0"/>
              <w:marBottom w:val="0"/>
              <w:divBdr>
                <w:top w:val="none" w:sz="0" w:space="0" w:color="auto"/>
                <w:left w:val="none" w:sz="0" w:space="0" w:color="auto"/>
                <w:bottom w:val="none" w:sz="0" w:space="0" w:color="auto"/>
                <w:right w:val="none" w:sz="0" w:space="0" w:color="auto"/>
              </w:divBdr>
            </w:div>
            <w:div w:id="2033846345">
              <w:marLeft w:val="0"/>
              <w:marRight w:val="0"/>
              <w:marTop w:val="0"/>
              <w:marBottom w:val="0"/>
              <w:divBdr>
                <w:top w:val="none" w:sz="0" w:space="0" w:color="auto"/>
                <w:left w:val="none" w:sz="0" w:space="0" w:color="auto"/>
                <w:bottom w:val="none" w:sz="0" w:space="0" w:color="auto"/>
                <w:right w:val="none" w:sz="0" w:space="0" w:color="auto"/>
              </w:divBdr>
            </w:div>
            <w:div w:id="1421680941">
              <w:marLeft w:val="0"/>
              <w:marRight w:val="0"/>
              <w:marTop w:val="0"/>
              <w:marBottom w:val="0"/>
              <w:divBdr>
                <w:top w:val="none" w:sz="0" w:space="0" w:color="auto"/>
                <w:left w:val="none" w:sz="0" w:space="0" w:color="auto"/>
                <w:bottom w:val="none" w:sz="0" w:space="0" w:color="auto"/>
                <w:right w:val="none" w:sz="0" w:space="0" w:color="auto"/>
              </w:divBdr>
            </w:div>
            <w:div w:id="1454902934">
              <w:marLeft w:val="0"/>
              <w:marRight w:val="0"/>
              <w:marTop w:val="0"/>
              <w:marBottom w:val="0"/>
              <w:divBdr>
                <w:top w:val="none" w:sz="0" w:space="0" w:color="auto"/>
                <w:left w:val="none" w:sz="0" w:space="0" w:color="auto"/>
                <w:bottom w:val="none" w:sz="0" w:space="0" w:color="auto"/>
                <w:right w:val="none" w:sz="0" w:space="0" w:color="auto"/>
              </w:divBdr>
            </w:div>
            <w:div w:id="421950739">
              <w:marLeft w:val="0"/>
              <w:marRight w:val="0"/>
              <w:marTop w:val="0"/>
              <w:marBottom w:val="0"/>
              <w:divBdr>
                <w:top w:val="none" w:sz="0" w:space="0" w:color="auto"/>
                <w:left w:val="none" w:sz="0" w:space="0" w:color="auto"/>
                <w:bottom w:val="none" w:sz="0" w:space="0" w:color="auto"/>
                <w:right w:val="none" w:sz="0" w:space="0" w:color="auto"/>
              </w:divBdr>
            </w:div>
            <w:div w:id="2097287956">
              <w:marLeft w:val="0"/>
              <w:marRight w:val="0"/>
              <w:marTop w:val="0"/>
              <w:marBottom w:val="0"/>
              <w:divBdr>
                <w:top w:val="none" w:sz="0" w:space="0" w:color="auto"/>
                <w:left w:val="none" w:sz="0" w:space="0" w:color="auto"/>
                <w:bottom w:val="none" w:sz="0" w:space="0" w:color="auto"/>
                <w:right w:val="none" w:sz="0" w:space="0" w:color="auto"/>
              </w:divBdr>
            </w:div>
            <w:div w:id="104421016">
              <w:marLeft w:val="0"/>
              <w:marRight w:val="0"/>
              <w:marTop w:val="0"/>
              <w:marBottom w:val="0"/>
              <w:divBdr>
                <w:top w:val="none" w:sz="0" w:space="0" w:color="auto"/>
                <w:left w:val="none" w:sz="0" w:space="0" w:color="auto"/>
                <w:bottom w:val="none" w:sz="0" w:space="0" w:color="auto"/>
                <w:right w:val="none" w:sz="0" w:space="0" w:color="auto"/>
              </w:divBdr>
            </w:div>
            <w:div w:id="628391619">
              <w:marLeft w:val="0"/>
              <w:marRight w:val="0"/>
              <w:marTop w:val="0"/>
              <w:marBottom w:val="0"/>
              <w:divBdr>
                <w:top w:val="none" w:sz="0" w:space="0" w:color="auto"/>
                <w:left w:val="none" w:sz="0" w:space="0" w:color="auto"/>
                <w:bottom w:val="none" w:sz="0" w:space="0" w:color="auto"/>
                <w:right w:val="none" w:sz="0" w:space="0" w:color="auto"/>
              </w:divBdr>
            </w:div>
            <w:div w:id="898706589">
              <w:marLeft w:val="0"/>
              <w:marRight w:val="0"/>
              <w:marTop w:val="0"/>
              <w:marBottom w:val="0"/>
              <w:divBdr>
                <w:top w:val="none" w:sz="0" w:space="0" w:color="auto"/>
                <w:left w:val="none" w:sz="0" w:space="0" w:color="auto"/>
                <w:bottom w:val="none" w:sz="0" w:space="0" w:color="auto"/>
                <w:right w:val="none" w:sz="0" w:space="0" w:color="auto"/>
              </w:divBdr>
            </w:div>
            <w:div w:id="473640842">
              <w:marLeft w:val="0"/>
              <w:marRight w:val="0"/>
              <w:marTop w:val="0"/>
              <w:marBottom w:val="0"/>
              <w:divBdr>
                <w:top w:val="none" w:sz="0" w:space="0" w:color="auto"/>
                <w:left w:val="none" w:sz="0" w:space="0" w:color="auto"/>
                <w:bottom w:val="none" w:sz="0" w:space="0" w:color="auto"/>
                <w:right w:val="none" w:sz="0" w:space="0" w:color="auto"/>
              </w:divBdr>
            </w:div>
            <w:div w:id="1429621882">
              <w:marLeft w:val="0"/>
              <w:marRight w:val="0"/>
              <w:marTop w:val="0"/>
              <w:marBottom w:val="0"/>
              <w:divBdr>
                <w:top w:val="none" w:sz="0" w:space="0" w:color="auto"/>
                <w:left w:val="none" w:sz="0" w:space="0" w:color="auto"/>
                <w:bottom w:val="none" w:sz="0" w:space="0" w:color="auto"/>
                <w:right w:val="none" w:sz="0" w:space="0" w:color="auto"/>
              </w:divBdr>
            </w:div>
            <w:div w:id="2029795772">
              <w:marLeft w:val="0"/>
              <w:marRight w:val="0"/>
              <w:marTop w:val="0"/>
              <w:marBottom w:val="0"/>
              <w:divBdr>
                <w:top w:val="none" w:sz="0" w:space="0" w:color="auto"/>
                <w:left w:val="none" w:sz="0" w:space="0" w:color="auto"/>
                <w:bottom w:val="none" w:sz="0" w:space="0" w:color="auto"/>
                <w:right w:val="none" w:sz="0" w:space="0" w:color="auto"/>
              </w:divBdr>
            </w:div>
            <w:div w:id="80103062">
              <w:marLeft w:val="0"/>
              <w:marRight w:val="0"/>
              <w:marTop w:val="0"/>
              <w:marBottom w:val="0"/>
              <w:divBdr>
                <w:top w:val="none" w:sz="0" w:space="0" w:color="auto"/>
                <w:left w:val="none" w:sz="0" w:space="0" w:color="auto"/>
                <w:bottom w:val="none" w:sz="0" w:space="0" w:color="auto"/>
                <w:right w:val="none" w:sz="0" w:space="0" w:color="auto"/>
              </w:divBdr>
            </w:div>
            <w:div w:id="296766273">
              <w:marLeft w:val="0"/>
              <w:marRight w:val="0"/>
              <w:marTop w:val="0"/>
              <w:marBottom w:val="0"/>
              <w:divBdr>
                <w:top w:val="none" w:sz="0" w:space="0" w:color="auto"/>
                <w:left w:val="none" w:sz="0" w:space="0" w:color="auto"/>
                <w:bottom w:val="none" w:sz="0" w:space="0" w:color="auto"/>
                <w:right w:val="none" w:sz="0" w:space="0" w:color="auto"/>
              </w:divBdr>
            </w:div>
            <w:div w:id="523904664">
              <w:marLeft w:val="0"/>
              <w:marRight w:val="0"/>
              <w:marTop w:val="0"/>
              <w:marBottom w:val="0"/>
              <w:divBdr>
                <w:top w:val="none" w:sz="0" w:space="0" w:color="auto"/>
                <w:left w:val="none" w:sz="0" w:space="0" w:color="auto"/>
                <w:bottom w:val="none" w:sz="0" w:space="0" w:color="auto"/>
                <w:right w:val="none" w:sz="0" w:space="0" w:color="auto"/>
              </w:divBdr>
            </w:div>
            <w:div w:id="668140997">
              <w:marLeft w:val="0"/>
              <w:marRight w:val="0"/>
              <w:marTop w:val="0"/>
              <w:marBottom w:val="0"/>
              <w:divBdr>
                <w:top w:val="none" w:sz="0" w:space="0" w:color="auto"/>
                <w:left w:val="none" w:sz="0" w:space="0" w:color="auto"/>
                <w:bottom w:val="none" w:sz="0" w:space="0" w:color="auto"/>
                <w:right w:val="none" w:sz="0" w:space="0" w:color="auto"/>
              </w:divBdr>
            </w:div>
            <w:div w:id="1408696358">
              <w:marLeft w:val="0"/>
              <w:marRight w:val="0"/>
              <w:marTop w:val="0"/>
              <w:marBottom w:val="0"/>
              <w:divBdr>
                <w:top w:val="none" w:sz="0" w:space="0" w:color="auto"/>
                <w:left w:val="none" w:sz="0" w:space="0" w:color="auto"/>
                <w:bottom w:val="none" w:sz="0" w:space="0" w:color="auto"/>
                <w:right w:val="none" w:sz="0" w:space="0" w:color="auto"/>
              </w:divBdr>
            </w:div>
            <w:div w:id="817919100">
              <w:marLeft w:val="0"/>
              <w:marRight w:val="0"/>
              <w:marTop w:val="0"/>
              <w:marBottom w:val="0"/>
              <w:divBdr>
                <w:top w:val="none" w:sz="0" w:space="0" w:color="auto"/>
                <w:left w:val="none" w:sz="0" w:space="0" w:color="auto"/>
                <w:bottom w:val="none" w:sz="0" w:space="0" w:color="auto"/>
                <w:right w:val="none" w:sz="0" w:space="0" w:color="auto"/>
              </w:divBdr>
            </w:div>
            <w:div w:id="1760756377">
              <w:marLeft w:val="0"/>
              <w:marRight w:val="0"/>
              <w:marTop w:val="0"/>
              <w:marBottom w:val="0"/>
              <w:divBdr>
                <w:top w:val="none" w:sz="0" w:space="0" w:color="auto"/>
                <w:left w:val="none" w:sz="0" w:space="0" w:color="auto"/>
                <w:bottom w:val="none" w:sz="0" w:space="0" w:color="auto"/>
                <w:right w:val="none" w:sz="0" w:space="0" w:color="auto"/>
              </w:divBdr>
            </w:div>
            <w:div w:id="862747996">
              <w:marLeft w:val="0"/>
              <w:marRight w:val="0"/>
              <w:marTop w:val="0"/>
              <w:marBottom w:val="0"/>
              <w:divBdr>
                <w:top w:val="none" w:sz="0" w:space="0" w:color="auto"/>
                <w:left w:val="none" w:sz="0" w:space="0" w:color="auto"/>
                <w:bottom w:val="none" w:sz="0" w:space="0" w:color="auto"/>
                <w:right w:val="none" w:sz="0" w:space="0" w:color="auto"/>
              </w:divBdr>
            </w:div>
            <w:div w:id="1641229238">
              <w:marLeft w:val="0"/>
              <w:marRight w:val="0"/>
              <w:marTop w:val="0"/>
              <w:marBottom w:val="0"/>
              <w:divBdr>
                <w:top w:val="none" w:sz="0" w:space="0" w:color="auto"/>
                <w:left w:val="none" w:sz="0" w:space="0" w:color="auto"/>
                <w:bottom w:val="none" w:sz="0" w:space="0" w:color="auto"/>
                <w:right w:val="none" w:sz="0" w:space="0" w:color="auto"/>
              </w:divBdr>
            </w:div>
            <w:div w:id="30305107">
              <w:marLeft w:val="0"/>
              <w:marRight w:val="0"/>
              <w:marTop w:val="0"/>
              <w:marBottom w:val="0"/>
              <w:divBdr>
                <w:top w:val="none" w:sz="0" w:space="0" w:color="auto"/>
                <w:left w:val="none" w:sz="0" w:space="0" w:color="auto"/>
                <w:bottom w:val="none" w:sz="0" w:space="0" w:color="auto"/>
                <w:right w:val="none" w:sz="0" w:space="0" w:color="auto"/>
              </w:divBdr>
            </w:div>
            <w:div w:id="1702197197">
              <w:marLeft w:val="0"/>
              <w:marRight w:val="0"/>
              <w:marTop w:val="0"/>
              <w:marBottom w:val="0"/>
              <w:divBdr>
                <w:top w:val="none" w:sz="0" w:space="0" w:color="auto"/>
                <w:left w:val="none" w:sz="0" w:space="0" w:color="auto"/>
                <w:bottom w:val="none" w:sz="0" w:space="0" w:color="auto"/>
                <w:right w:val="none" w:sz="0" w:space="0" w:color="auto"/>
              </w:divBdr>
            </w:div>
            <w:div w:id="453796423">
              <w:marLeft w:val="0"/>
              <w:marRight w:val="0"/>
              <w:marTop w:val="0"/>
              <w:marBottom w:val="0"/>
              <w:divBdr>
                <w:top w:val="none" w:sz="0" w:space="0" w:color="auto"/>
                <w:left w:val="none" w:sz="0" w:space="0" w:color="auto"/>
                <w:bottom w:val="none" w:sz="0" w:space="0" w:color="auto"/>
                <w:right w:val="none" w:sz="0" w:space="0" w:color="auto"/>
              </w:divBdr>
            </w:div>
            <w:div w:id="1795056085">
              <w:marLeft w:val="0"/>
              <w:marRight w:val="0"/>
              <w:marTop w:val="0"/>
              <w:marBottom w:val="0"/>
              <w:divBdr>
                <w:top w:val="none" w:sz="0" w:space="0" w:color="auto"/>
                <w:left w:val="none" w:sz="0" w:space="0" w:color="auto"/>
                <w:bottom w:val="none" w:sz="0" w:space="0" w:color="auto"/>
                <w:right w:val="none" w:sz="0" w:space="0" w:color="auto"/>
              </w:divBdr>
            </w:div>
            <w:div w:id="1389455986">
              <w:marLeft w:val="0"/>
              <w:marRight w:val="0"/>
              <w:marTop w:val="0"/>
              <w:marBottom w:val="0"/>
              <w:divBdr>
                <w:top w:val="none" w:sz="0" w:space="0" w:color="auto"/>
                <w:left w:val="none" w:sz="0" w:space="0" w:color="auto"/>
                <w:bottom w:val="none" w:sz="0" w:space="0" w:color="auto"/>
                <w:right w:val="none" w:sz="0" w:space="0" w:color="auto"/>
              </w:divBdr>
            </w:div>
            <w:div w:id="1072965700">
              <w:marLeft w:val="0"/>
              <w:marRight w:val="0"/>
              <w:marTop w:val="0"/>
              <w:marBottom w:val="0"/>
              <w:divBdr>
                <w:top w:val="none" w:sz="0" w:space="0" w:color="auto"/>
                <w:left w:val="none" w:sz="0" w:space="0" w:color="auto"/>
                <w:bottom w:val="none" w:sz="0" w:space="0" w:color="auto"/>
                <w:right w:val="none" w:sz="0" w:space="0" w:color="auto"/>
              </w:divBdr>
            </w:div>
            <w:div w:id="1469710980">
              <w:marLeft w:val="0"/>
              <w:marRight w:val="0"/>
              <w:marTop w:val="0"/>
              <w:marBottom w:val="0"/>
              <w:divBdr>
                <w:top w:val="none" w:sz="0" w:space="0" w:color="auto"/>
                <w:left w:val="none" w:sz="0" w:space="0" w:color="auto"/>
                <w:bottom w:val="none" w:sz="0" w:space="0" w:color="auto"/>
                <w:right w:val="none" w:sz="0" w:space="0" w:color="auto"/>
              </w:divBdr>
            </w:div>
            <w:div w:id="2128619721">
              <w:marLeft w:val="0"/>
              <w:marRight w:val="0"/>
              <w:marTop w:val="0"/>
              <w:marBottom w:val="0"/>
              <w:divBdr>
                <w:top w:val="none" w:sz="0" w:space="0" w:color="auto"/>
                <w:left w:val="none" w:sz="0" w:space="0" w:color="auto"/>
                <w:bottom w:val="none" w:sz="0" w:space="0" w:color="auto"/>
                <w:right w:val="none" w:sz="0" w:space="0" w:color="auto"/>
              </w:divBdr>
            </w:div>
            <w:div w:id="959841646">
              <w:marLeft w:val="0"/>
              <w:marRight w:val="0"/>
              <w:marTop w:val="0"/>
              <w:marBottom w:val="0"/>
              <w:divBdr>
                <w:top w:val="none" w:sz="0" w:space="0" w:color="auto"/>
                <w:left w:val="none" w:sz="0" w:space="0" w:color="auto"/>
                <w:bottom w:val="none" w:sz="0" w:space="0" w:color="auto"/>
                <w:right w:val="none" w:sz="0" w:space="0" w:color="auto"/>
              </w:divBdr>
            </w:div>
            <w:div w:id="1153789964">
              <w:marLeft w:val="0"/>
              <w:marRight w:val="0"/>
              <w:marTop w:val="0"/>
              <w:marBottom w:val="0"/>
              <w:divBdr>
                <w:top w:val="none" w:sz="0" w:space="0" w:color="auto"/>
                <w:left w:val="none" w:sz="0" w:space="0" w:color="auto"/>
                <w:bottom w:val="none" w:sz="0" w:space="0" w:color="auto"/>
                <w:right w:val="none" w:sz="0" w:space="0" w:color="auto"/>
              </w:divBdr>
            </w:div>
            <w:div w:id="591280633">
              <w:marLeft w:val="0"/>
              <w:marRight w:val="0"/>
              <w:marTop w:val="0"/>
              <w:marBottom w:val="0"/>
              <w:divBdr>
                <w:top w:val="none" w:sz="0" w:space="0" w:color="auto"/>
                <w:left w:val="none" w:sz="0" w:space="0" w:color="auto"/>
                <w:bottom w:val="none" w:sz="0" w:space="0" w:color="auto"/>
                <w:right w:val="none" w:sz="0" w:space="0" w:color="auto"/>
              </w:divBdr>
            </w:div>
            <w:div w:id="545801119">
              <w:marLeft w:val="0"/>
              <w:marRight w:val="0"/>
              <w:marTop w:val="0"/>
              <w:marBottom w:val="0"/>
              <w:divBdr>
                <w:top w:val="none" w:sz="0" w:space="0" w:color="auto"/>
                <w:left w:val="none" w:sz="0" w:space="0" w:color="auto"/>
                <w:bottom w:val="none" w:sz="0" w:space="0" w:color="auto"/>
                <w:right w:val="none" w:sz="0" w:space="0" w:color="auto"/>
              </w:divBdr>
            </w:div>
            <w:div w:id="1409229986">
              <w:marLeft w:val="0"/>
              <w:marRight w:val="0"/>
              <w:marTop w:val="0"/>
              <w:marBottom w:val="0"/>
              <w:divBdr>
                <w:top w:val="none" w:sz="0" w:space="0" w:color="auto"/>
                <w:left w:val="none" w:sz="0" w:space="0" w:color="auto"/>
                <w:bottom w:val="none" w:sz="0" w:space="0" w:color="auto"/>
                <w:right w:val="none" w:sz="0" w:space="0" w:color="auto"/>
              </w:divBdr>
            </w:div>
            <w:div w:id="2088532534">
              <w:marLeft w:val="0"/>
              <w:marRight w:val="0"/>
              <w:marTop w:val="0"/>
              <w:marBottom w:val="0"/>
              <w:divBdr>
                <w:top w:val="none" w:sz="0" w:space="0" w:color="auto"/>
                <w:left w:val="none" w:sz="0" w:space="0" w:color="auto"/>
                <w:bottom w:val="none" w:sz="0" w:space="0" w:color="auto"/>
                <w:right w:val="none" w:sz="0" w:space="0" w:color="auto"/>
              </w:divBdr>
            </w:div>
            <w:div w:id="651831382">
              <w:marLeft w:val="0"/>
              <w:marRight w:val="0"/>
              <w:marTop w:val="0"/>
              <w:marBottom w:val="0"/>
              <w:divBdr>
                <w:top w:val="none" w:sz="0" w:space="0" w:color="auto"/>
                <w:left w:val="none" w:sz="0" w:space="0" w:color="auto"/>
                <w:bottom w:val="none" w:sz="0" w:space="0" w:color="auto"/>
                <w:right w:val="none" w:sz="0" w:space="0" w:color="auto"/>
              </w:divBdr>
            </w:div>
            <w:div w:id="1946882247">
              <w:marLeft w:val="0"/>
              <w:marRight w:val="0"/>
              <w:marTop w:val="0"/>
              <w:marBottom w:val="0"/>
              <w:divBdr>
                <w:top w:val="none" w:sz="0" w:space="0" w:color="auto"/>
                <w:left w:val="none" w:sz="0" w:space="0" w:color="auto"/>
                <w:bottom w:val="none" w:sz="0" w:space="0" w:color="auto"/>
                <w:right w:val="none" w:sz="0" w:space="0" w:color="auto"/>
              </w:divBdr>
            </w:div>
            <w:div w:id="784930420">
              <w:marLeft w:val="0"/>
              <w:marRight w:val="0"/>
              <w:marTop w:val="0"/>
              <w:marBottom w:val="0"/>
              <w:divBdr>
                <w:top w:val="none" w:sz="0" w:space="0" w:color="auto"/>
                <w:left w:val="none" w:sz="0" w:space="0" w:color="auto"/>
                <w:bottom w:val="none" w:sz="0" w:space="0" w:color="auto"/>
                <w:right w:val="none" w:sz="0" w:space="0" w:color="auto"/>
              </w:divBdr>
            </w:div>
            <w:div w:id="1693843587">
              <w:marLeft w:val="0"/>
              <w:marRight w:val="0"/>
              <w:marTop w:val="0"/>
              <w:marBottom w:val="0"/>
              <w:divBdr>
                <w:top w:val="none" w:sz="0" w:space="0" w:color="auto"/>
                <w:left w:val="none" w:sz="0" w:space="0" w:color="auto"/>
                <w:bottom w:val="none" w:sz="0" w:space="0" w:color="auto"/>
                <w:right w:val="none" w:sz="0" w:space="0" w:color="auto"/>
              </w:divBdr>
            </w:div>
            <w:div w:id="636688457">
              <w:marLeft w:val="0"/>
              <w:marRight w:val="0"/>
              <w:marTop w:val="0"/>
              <w:marBottom w:val="0"/>
              <w:divBdr>
                <w:top w:val="none" w:sz="0" w:space="0" w:color="auto"/>
                <w:left w:val="none" w:sz="0" w:space="0" w:color="auto"/>
                <w:bottom w:val="none" w:sz="0" w:space="0" w:color="auto"/>
                <w:right w:val="none" w:sz="0" w:space="0" w:color="auto"/>
              </w:divBdr>
            </w:div>
            <w:div w:id="903180444">
              <w:marLeft w:val="0"/>
              <w:marRight w:val="0"/>
              <w:marTop w:val="0"/>
              <w:marBottom w:val="0"/>
              <w:divBdr>
                <w:top w:val="none" w:sz="0" w:space="0" w:color="auto"/>
                <w:left w:val="none" w:sz="0" w:space="0" w:color="auto"/>
                <w:bottom w:val="none" w:sz="0" w:space="0" w:color="auto"/>
                <w:right w:val="none" w:sz="0" w:space="0" w:color="auto"/>
              </w:divBdr>
            </w:div>
            <w:div w:id="989751865">
              <w:marLeft w:val="0"/>
              <w:marRight w:val="0"/>
              <w:marTop w:val="0"/>
              <w:marBottom w:val="0"/>
              <w:divBdr>
                <w:top w:val="none" w:sz="0" w:space="0" w:color="auto"/>
                <w:left w:val="none" w:sz="0" w:space="0" w:color="auto"/>
                <w:bottom w:val="none" w:sz="0" w:space="0" w:color="auto"/>
                <w:right w:val="none" w:sz="0" w:space="0" w:color="auto"/>
              </w:divBdr>
            </w:div>
            <w:div w:id="1183587421">
              <w:marLeft w:val="0"/>
              <w:marRight w:val="0"/>
              <w:marTop w:val="0"/>
              <w:marBottom w:val="0"/>
              <w:divBdr>
                <w:top w:val="none" w:sz="0" w:space="0" w:color="auto"/>
                <w:left w:val="none" w:sz="0" w:space="0" w:color="auto"/>
                <w:bottom w:val="none" w:sz="0" w:space="0" w:color="auto"/>
                <w:right w:val="none" w:sz="0" w:space="0" w:color="auto"/>
              </w:divBdr>
            </w:div>
            <w:div w:id="818692053">
              <w:marLeft w:val="0"/>
              <w:marRight w:val="0"/>
              <w:marTop w:val="0"/>
              <w:marBottom w:val="0"/>
              <w:divBdr>
                <w:top w:val="none" w:sz="0" w:space="0" w:color="auto"/>
                <w:left w:val="none" w:sz="0" w:space="0" w:color="auto"/>
                <w:bottom w:val="none" w:sz="0" w:space="0" w:color="auto"/>
                <w:right w:val="none" w:sz="0" w:space="0" w:color="auto"/>
              </w:divBdr>
            </w:div>
            <w:div w:id="1650790678">
              <w:marLeft w:val="0"/>
              <w:marRight w:val="0"/>
              <w:marTop w:val="0"/>
              <w:marBottom w:val="0"/>
              <w:divBdr>
                <w:top w:val="none" w:sz="0" w:space="0" w:color="auto"/>
                <w:left w:val="none" w:sz="0" w:space="0" w:color="auto"/>
                <w:bottom w:val="none" w:sz="0" w:space="0" w:color="auto"/>
                <w:right w:val="none" w:sz="0" w:space="0" w:color="auto"/>
              </w:divBdr>
            </w:div>
            <w:div w:id="127405160">
              <w:marLeft w:val="0"/>
              <w:marRight w:val="0"/>
              <w:marTop w:val="0"/>
              <w:marBottom w:val="0"/>
              <w:divBdr>
                <w:top w:val="none" w:sz="0" w:space="0" w:color="auto"/>
                <w:left w:val="none" w:sz="0" w:space="0" w:color="auto"/>
                <w:bottom w:val="none" w:sz="0" w:space="0" w:color="auto"/>
                <w:right w:val="none" w:sz="0" w:space="0" w:color="auto"/>
              </w:divBdr>
            </w:div>
            <w:div w:id="108479560">
              <w:marLeft w:val="0"/>
              <w:marRight w:val="0"/>
              <w:marTop w:val="0"/>
              <w:marBottom w:val="0"/>
              <w:divBdr>
                <w:top w:val="none" w:sz="0" w:space="0" w:color="auto"/>
                <w:left w:val="none" w:sz="0" w:space="0" w:color="auto"/>
                <w:bottom w:val="none" w:sz="0" w:space="0" w:color="auto"/>
                <w:right w:val="none" w:sz="0" w:space="0" w:color="auto"/>
              </w:divBdr>
            </w:div>
            <w:div w:id="358899900">
              <w:marLeft w:val="0"/>
              <w:marRight w:val="0"/>
              <w:marTop w:val="0"/>
              <w:marBottom w:val="0"/>
              <w:divBdr>
                <w:top w:val="none" w:sz="0" w:space="0" w:color="auto"/>
                <w:left w:val="none" w:sz="0" w:space="0" w:color="auto"/>
                <w:bottom w:val="none" w:sz="0" w:space="0" w:color="auto"/>
                <w:right w:val="none" w:sz="0" w:space="0" w:color="auto"/>
              </w:divBdr>
            </w:div>
            <w:div w:id="962347405">
              <w:marLeft w:val="0"/>
              <w:marRight w:val="0"/>
              <w:marTop w:val="0"/>
              <w:marBottom w:val="0"/>
              <w:divBdr>
                <w:top w:val="none" w:sz="0" w:space="0" w:color="auto"/>
                <w:left w:val="none" w:sz="0" w:space="0" w:color="auto"/>
                <w:bottom w:val="none" w:sz="0" w:space="0" w:color="auto"/>
                <w:right w:val="none" w:sz="0" w:space="0" w:color="auto"/>
              </w:divBdr>
            </w:div>
            <w:div w:id="1736008194">
              <w:marLeft w:val="0"/>
              <w:marRight w:val="0"/>
              <w:marTop w:val="0"/>
              <w:marBottom w:val="0"/>
              <w:divBdr>
                <w:top w:val="none" w:sz="0" w:space="0" w:color="auto"/>
                <w:left w:val="none" w:sz="0" w:space="0" w:color="auto"/>
                <w:bottom w:val="none" w:sz="0" w:space="0" w:color="auto"/>
                <w:right w:val="none" w:sz="0" w:space="0" w:color="auto"/>
              </w:divBdr>
            </w:div>
            <w:div w:id="2103524495">
              <w:marLeft w:val="0"/>
              <w:marRight w:val="0"/>
              <w:marTop w:val="0"/>
              <w:marBottom w:val="0"/>
              <w:divBdr>
                <w:top w:val="none" w:sz="0" w:space="0" w:color="auto"/>
                <w:left w:val="none" w:sz="0" w:space="0" w:color="auto"/>
                <w:bottom w:val="none" w:sz="0" w:space="0" w:color="auto"/>
                <w:right w:val="none" w:sz="0" w:space="0" w:color="auto"/>
              </w:divBdr>
            </w:div>
            <w:div w:id="1156991922">
              <w:marLeft w:val="0"/>
              <w:marRight w:val="0"/>
              <w:marTop w:val="0"/>
              <w:marBottom w:val="0"/>
              <w:divBdr>
                <w:top w:val="none" w:sz="0" w:space="0" w:color="auto"/>
                <w:left w:val="none" w:sz="0" w:space="0" w:color="auto"/>
                <w:bottom w:val="none" w:sz="0" w:space="0" w:color="auto"/>
                <w:right w:val="none" w:sz="0" w:space="0" w:color="auto"/>
              </w:divBdr>
            </w:div>
            <w:div w:id="365181093">
              <w:marLeft w:val="0"/>
              <w:marRight w:val="0"/>
              <w:marTop w:val="0"/>
              <w:marBottom w:val="0"/>
              <w:divBdr>
                <w:top w:val="none" w:sz="0" w:space="0" w:color="auto"/>
                <w:left w:val="none" w:sz="0" w:space="0" w:color="auto"/>
                <w:bottom w:val="none" w:sz="0" w:space="0" w:color="auto"/>
                <w:right w:val="none" w:sz="0" w:space="0" w:color="auto"/>
              </w:divBdr>
            </w:div>
            <w:div w:id="774519515">
              <w:marLeft w:val="0"/>
              <w:marRight w:val="0"/>
              <w:marTop w:val="0"/>
              <w:marBottom w:val="0"/>
              <w:divBdr>
                <w:top w:val="none" w:sz="0" w:space="0" w:color="auto"/>
                <w:left w:val="none" w:sz="0" w:space="0" w:color="auto"/>
                <w:bottom w:val="none" w:sz="0" w:space="0" w:color="auto"/>
                <w:right w:val="none" w:sz="0" w:space="0" w:color="auto"/>
              </w:divBdr>
            </w:div>
            <w:div w:id="98913201">
              <w:marLeft w:val="0"/>
              <w:marRight w:val="0"/>
              <w:marTop w:val="0"/>
              <w:marBottom w:val="0"/>
              <w:divBdr>
                <w:top w:val="none" w:sz="0" w:space="0" w:color="auto"/>
                <w:left w:val="none" w:sz="0" w:space="0" w:color="auto"/>
                <w:bottom w:val="none" w:sz="0" w:space="0" w:color="auto"/>
                <w:right w:val="none" w:sz="0" w:space="0" w:color="auto"/>
              </w:divBdr>
            </w:div>
            <w:div w:id="1926303389">
              <w:marLeft w:val="0"/>
              <w:marRight w:val="0"/>
              <w:marTop w:val="0"/>
              <w:marBottom w:val="0"/>
              <w:divBdr>
                <w:top w:val="none" w:sz="0" w:space="0" w:color="auto"/>
                <w:left w:val="none" w:sz="0" w:space="0" w:color="auto"/>
                <w:bottom w:val="none" w:sz="0" w:space="0" w:color="auto"/>
                <w:right w:val="none" w:sz="0" w:space="0" w:color="auto"/>
              </w:divBdr>
            </w:div>
            <w:div w:id="670568755">
              <w:marLeft w:val="0"/>
              <w:marRight w:val="0"/>
              <w:marTop w:val="0"/>
              <w:marBottom w:val="0"/>
              <w:divBdr>
                <w:top w:val="none" w:sz="0" w:space="0" w:color="auto"/>
                <w:left w:val="none" w:sz="0" w:space="0" w:color="auto"/>
                <w:bottom w:val="none" w:sz="0" w:space="0" w:color="auto"/>
                <w:right w:val="none" w:sz="0" w:space="0" w:color="auto"/>
              </w:divBdr>
            </w:div>
            <w:div w:id="1552812925">
              <w:marLeft w:val="0"/>
              <w:marRight w:val="0"/>
              <w:marTop w:val="0"/>
              <w:marBottom w:val="0"/>
              <w:divBdr>
                <w:top w:val="none" w:sz="0" w:space="0" w:color="auto"/>
                <w:left w:val="none" w:sz="0" w:space="0" w:color="auto"/>
                <w:bottom w:val="none" w:sz="0" w:space="0" w:color="auto"/>
                <w:right w:val="none" w:sz="0" w:space="0" w:color="auto"/>
              </w:divBdr>
            </w:div>
            <w:div w:id="1213615500">
              <w:marLeft w:val="0"/>
              <w:marRight w:val="0"/>
              <w:marTop w:val="0"/>
              <w:marBottom w:val="0"/>
              <w:divBdr>
                <w:top w:val="none" w:sz="0" w:space="0" w:color="auto"/>
                <w:left w:val="none" w:sz="0" w:space="0" w:color="auto"/>
                <w:bottom w:val="none" w:sz="0" w:space="0" w:color="auto"/>
                <w:right w:val="none" w:sz="0" w:space="0" w:color="auto"/>
              </w:divBdr>
            </w:div>
            <w:div w:id="51318284">
              <w:marLeft w:val="0"/>
              <w:marRight w:val="0"/>
              <w:marTop w:val="0"/>
              <w:marBottom w:val="0"/>
              <w:divBdr>
                <w:top w:val="none" w:sz="0" w:space="0" w:color="auto"/>
                <w:left w:val="none" w:sz="0" w:space="0" w:color="auto"/>
                <w:bottom w:val="none" w:sz="0" w:space="0" w:color="auto"/>
                <w:right w:val="none" w:sz="0" w:space="0" w:color="auto"/>
              </w:divBdr>
            </w:div>
            <w:div w:id="1620259052">
              <w:marLeft w:val="0"/>
              <w:marRight w:val="0"/>
              <w:marTop w:val="0"/>
              <w:marBottom w:val="0"/>
              <w:divBdr>
                <w:top w:val="none" w:sz="0" w:space="0" w:color="auto"/>
                <w:left w:val="none" w:sz="0" w:space="0" w:color="auto"/>
                <w:bottom w:val="none" w:sz="0" w:space="0" w:color="auto"/>
                <w:right w:val="none" w:sz="0" w:space="0" w:color="auto"/>
              </w:divBdr>
            </w:div>
            <w:div w:id="1699700561">
              <w:marLeft w:val="0"/>
              <w:marRight w:val="0"/>
              <w:marTop w:val="0"/>
              <w:marBottom w:val="0"/>
              <w:divBdr>
                <w:top w:val="none" w:sz="0" w:space="0" w:color="auto"/>
                <w:left w:val="none" w:sz="0" w:space="0" w:color="auto"/>
                <w:bottom w:val="none" w:sz="0" w:space="0" w:color="auto"/>
                <w:right w:val="none" w:sz="0" w:space="0" w:color="auto"/>
              </w:divBdr>
            </w:div>
            <w:div w:id="1033311258">
              <w:marLeft w:val="0"/>
              <w:marRight w:val="0"/>
              <w:marTop w:val="0"/>
              <w:marBottom w:val="0"/>
              <w:divBdr>
                <w:top w:val="none" w:sz="0" w:space="0" w:color="auto"/>
                <w:left w:val="none" w:sz="0" w:space="0" w:color="auto"/>
                <w:bottom w:val="none" w:sz="0" w:space="0" w:color="auto"/>
                <w:right w:val="none" w:sz="0" w:space="0" w:color="auto"/>
              </w:divBdr>
            </w:div>
            <w:div w:id="814448042">
              <w:marLeft w:val="0"/>
              <w:marRight w:val="0"/>
              <w:marTop w:val="0"/>
              <w:marBottom w:val="0"/>
              <w:divBdr>
                <w:top w:val="none" w:sz="0" w:space="0" w:color="auto"/>
                <w:left w:val="none" w:sz="0" w:space="0" w:color="auto"/>
                <w:bottom w:val="none" w:sz="0" w:space="0" w:color="auto"/>
                <w:right w:val="none" w:sz="0" w:space="0" w:color="auto"/>
              </w:divBdr>
            </w:div>
            <w:div w:id="2121532126">
              <w:marLeft w:val="0"/>
              <w:marRight w:val="0"/>
              <w:marTop w:val="0"/>
              <w:marBottom w:val="0"/>
              <w:divBdr>
                <w:top w:val="none" w:sz="0" w:space="0" w:color="auto"/>
                <w:left w:val="none" w:sz="0" w:space="0" w:color="auto"/>
                <w:bottom w:val="none" w:sz="0" w:space="0" w:color="auto"/>
                <w:right w:val="none" w:sz="0" w:space="0" w:color="auto"/>
              </w:divBdr>
            </w:div>
            <w:div w:id="1989362519">
              <w:marLeft w:val="0"/>
              <w:marRight w:val="0"/>
              <w:marTop w:val="0"/>
              <w:marBottom w:val="0"/>
              <w:divBdr>
                <w:top w:val="none" w:sz="0" w:space="0" w:color="auto"/>
                <w:left w:val="none" w:sz="0" w:space="0" w:color="auto"/>
                <w:bottom w:val="none" w:sz="0" w:space="0" w:color="auto"/>
                <w:right w:val="none" w:sz="0" w:space="0" w:color="auto"/>
              </w:divBdr>
            </w:div>
            <w:div w:id="90274795">
              <w:marLeft w:val="0"/>
              <w:marRight w:val="0"/>
              <w:marTop w:val="0"/>
              <w:marBottom w:val="0"/>
              <w:divBdr>
                <w:top w:val="none" w:sz="0" w:space="0" w:color="auto"/>
                <w:left w:val="none" w:sz="0" w:space="0" w:color="auto"/>
                <w:bottom w:val="none" w:sz="0" w:space="0" w:color="auto"/>
                <w:right w:val="none" w:sz="0" w:space="0" w:color="auto"/>
              </w:divBdr>
            </w:div>
            <w:div w:id="63920252">
              <w:marLeft w:val="0"/>
              <w:marRight w:val="0"/>
              <w:marTop w:val="0"/>
              <w:marBottom w:val="0"/>
              <w:divBdr>
                <w:top w:val="none" w:sz="0" w:space="0" w:color="auto"/>
                <w:left w:val="none" w:sz="0" w:space="0" w:color="auto"/>
                <w:bottom w:val="none" w:sz="0" w:space="0" w:color="auto"/>
                <w:right w:val="none" w:sz="0" w:space="0" w:color="auto"/>
              </w:divBdr>
            </w:div>
            <w:div w:id="695081502">
              <w:marLeft w:val="0"/>
              <w:marRight w:val="0"/>
              <w:marTop w:val="0"/>
              <w:marBottom w:val="0"/>
              <w:divBdr>
                <w:top w:val="none" w:sz="0" w:space="0" w:color="auto"/>
                <w:left w:val="none" w:sz="0" w:space="0" w:color="auto"/>
                <w:bottom w:val="none" w:sz="0" w:space="0" w:color="auto"/>
                <w:right w:val="none" w:sz="0" w:space="0" w:color="auto"/>
              </w:divBdr>
            </w:div>
            <w:div w:id="1909684294">
              <w:marLeft w:val="0"/>
              <w:marRight w:val="0"/>
              <w:marTop w:val="0"/>
              <w:marBottom w:val="0"/>
              <w:divBdr>
                <w:top w:val="none" w:sz="0" w:space="0" w:color="auto"/>
                <w:left w:val="none" w:sz="0" w:space="0" w:color="auto"/>
                <w:bottom w:val="none" w:sz="0" w:space="0" w:color="auto"/>
                <w:right w:val="none" w:sz="0" w:space="0" w:color="auto"/>
              </w:divBdr>
            </w:div>
            <w:div w:id="951281452">
              <w:marLeft w:val="0"/>
              <w:marRight w:val="0"/>
              <w:marTop w:val="0"/>
              <w:marBottom w:val="0"/>
              <w:divBdr>
                <w:top w:val="none" w:sz="0" w:space="0" w:color="auto"/>
                <w:left w:val="none" w:sz="0" w:space="0" w:color="auto"/>
                <w:bottom w:val="none" w:sz="0" w:space="0" w:color="auto"/>
                <w:right w:val="none" w:sz="0" w:space="0" w:color="auto"/>
              </w:divBdr>
            </w:div>
            <w:div w:id="909316871">
              <w:marLeft w:val="0"/>
              <w:marRight w:val="0"/>
              <w:marTop w:val="0"/>
              <w:marBottom w:val="0"/>
              <w:divBdr>
                <w:top w:val="none" w:sz="0" w:space="0" w:color="auto"/>
                <w:left w:val="none" w:sz="0" w:space="0" w:color="auto"/>
                <w:bottom w:val="none" w:sz="0" w:space="0" w:color="auto"/>
                <w:right w:val="none" w:sz="0" w:space="0" w:color="auto"/>
              </w:divBdr>
            </w:div>
            <w:div w:id="1958635349">
              <w:marLeft w:val="0"/>
              <w:marRight w:val="0"/>
              <w:marTop w:val="0"/>
              <w:marBottom w:val="0"/>
              <w:divBdr>
                <w:top w:val="none" w:sz="0" w:space="0" w:color="auto"/>
                <w:left w:val="none" w:sz="0" w:space="0" w:color="auto"/>
                <w:bottom w:val="none" w:sz="0" w:space="0" w:color="auto"/>
                <w:right w:val="none" w:sz="0" w:space="0" w:color="auto"/>
              </w:divBdr>
            </w:div>
            <w:div w:id="1122066660">
              <w:marLeft w:val="0"/>
              <w:marRight w:val="0"/>
              <w:marTop w:val="0"/>
              <w:marBottom w:val="0"/>
              <w:divBdr>
                <w:top w:val="none" w:sz="0" w:space="0" w:color="auto"/>
                <w:left w:val="none" w:sz="0" w:space="0" w:color="auto"/>
                <w:bottom w:val="none" w:sz="0" w:space="0" w:color="auto"/>
                <w:right w:val="none" w:sz="0" w:space="0" w:color="auto"/>
              </w:divBdr>
            </w:div>
            <w:div w:id="1051459709">
              <w:marLeft w:val="0"/>
              <w:marRight w:val="0"/>
              <w:marTop w:val="0"/>
              <w:marBottom w:val="0"/>
              <w:divBdr>
                <w:top w:val="none" w:sz="0" w:space="0" w:color="auto"/>
                <w:left w:val="none" w:sz="0" w:space="0" w:color="auto"/>
                <w:bottom w:val="none" w:sz="0" w:space="0" w:color="auto"/>
                <w:right w:val="none" w:sz="0" w:space="0" w:color="auto"/>
              </w:divBdr>
            </w:div>
            <w:div w:id="1352683283">
              <w:marLeft w:val="0"/>
              <w:marRight w:val="0"/>
              <w:marTop w:val="0"/>
              <w:marBottom w:val="0"/>
              <w:divBdr>
                <w:top w:val="none" w:sz="0" w:space="0" w:color="auto"/>
                <w:left w:val="none" w:sz="0" w:space="0" w:color="auto"/>
                <w:bottom w:val="none" w:sz="0" w:space="0" w:color="auto"/>
                <w:right w:val="none" w:sz="0" w:space="0" w:color="auto"/>
              </w:divBdr>
            </w:div>
            <w:div w:id="888298247">
              <w:marLeft w:val="0"/>
              <w:marRight w:val="0"/>
              <w:marTop w:val="0"/>
              <w:marBottom w:val="0"/>
              <w:divBdr>
                <w:top w:val="none" w:sz="0" w:space="0" w:color="auto"/>
                <w:left w:val="none" w:sz="0" w:space="0" w:color="auto"/>
                <w:bottom w:val="none" w:sz="0" w:space="0" w:color="auto"/>
                <w:right w:val="none" w:sz="0" w:space="0" w:color="auto"/>
              </w:divBdr>
            </w:div>
            <w:div w:id="1327783519">
              <w:marLeft w:val="0"/>
              <w:marRight w:val="0"/>
              <w:marTop w:val="0"/>
              <w:marBottom w:val="0"/>
              <w:divBdr>
                <w:top w:val="none" w:sz="0" w:space="0" w:color="auto"/>
                <w:left w:val="none" w:sz="0" w:space="0" w:color="auto"/>
                <w:bottom w:val="none" w:sz="0" w:space="0" w:color="auto"/>
                <w:right w:val="none" w:sz="0" w:space="0" w:color="auto"/>
              </w:divBdr>
            </w:div>
            <w:div w:id="2034305198">
              <w:marLeft w:val="0"/>
              <w:marRight w:val="0"/>
              <w:marTop w:val="0"/>
              <w:marBottom w:val="0"/>
              <w:divBdr>
                <w:top w:val="none" w:sz="0" w:space="0" w:color="auto"/>
                <w:left w:val="none" w:sz="0" w:space="0" w:color="auto"/>
                <w:bottom w:val="none" w:sz="0" w:space="0" w:color="auto"/>
                <w:right w:val="none" w:sz="0" w:space="0" w:color="auto"/>
              </w:divBdr>
            </w:div>
            <w:div w:id="280501154">
              <w:marLeft w:val="0"/>
              <w:marRight w:val="0"/>
              <w:marTop w:val="0"/>
              <w:marBottom w:val="0"/>
              <w:divBdr>
                <w:top w:val="none" w:sz="0" w:space="0" w:color="auto"/>
                <w:left w:val="none" w:sz="0" w:space="0" w:color="auto"/>
                <w:bottom w:val="none" w:sz="0" w:space="0" w:color="auto"/>
                <w:right w:val="none" w:sz="0" w:space="0" w:color="auto"/>
              </w:divBdr>
            </w:div>
            <w:div w:id="957025741">
              <w:marLeft w:val="0"/>
              <w:marRight w:val="0"/>
              <w:marTop w:val="0"/>
              <w:marBottom w:val="0"/>
              <w:divBdr>
                <w:top w:val="none" w:sz="0" w:space="0" w:color="auto"/>
                <w:left w:val="none" w:sz="0" w:space="0" w:color="auto"/>
                <w:bottom w:val="none" w:sz="0" w:space="0" w:color="auto"/>
                <w:right w:val="none" w:sz="0" w:space="0" w:color="auto"/>
              </w:divBdr>
            </w:div>
            <w:div w:id="255097127">
              <w:marLeft w:val="0"/>
              <w:marRight w:val="0"/>
              <w:marTop w:val="0"/>
              <w:marBottom w:val="0"/>
              <w:divBdr>
                <w:top w:val="none" w:sz="0" w:space="0" w:color="auto"/>
                <w:left w:val="none" w:sz="0" w:space="0" w:color="auto"/>
                <w:bottom w:val="none" w:sz="0" w:space="0" w:color="auto"/>
                <w:right w:val="none" w:sz="0" w:space="0" w:color="auto"/>
              </w:divBdr>
            </w:div>
            <w:div w:id="1993558156">
              <w:marLeft w:val="0"/>
              <w:marRight w:val="0"/>
              <w:marTop w:val="0"/>
              <w:marBottom w:val="0"/>
              <w:divBdr>
                <w:top w:val="none" w:sz="0" w:space="0" w:color="auto"/>
                <w:left w:val="none" w:sz="0" w:space="0" w:color="auto"/>
                <w:bottom w:val="none" w:sz="0" w:space="0" w:color="auto"/>
                <w:right w:val="none" w:sz="0" w:space="0" w:color="auto"/>
              </w:divBdr>
            </w:div>
            <w:div w:id="986595807">
              <w:marLeft w:val="0"/>
              <w:marRight w:val="0"/>
              <w:marTop w:val="0"/>
              <w:marBottom w:val="0"/>
              <w:divBdr>
                <w:top w:val="none" w:sz="0" w:space="0" w:color="auto"/>
                <w:left w:val="none" w:sz="0" w:space="0" w:color="auto"/>
                <w:bottom w:val="none" w:sz="0" w:space="0" w:color="auto"/>
                <w:right w:val="none" w:sz="0" w:space="0" w:color="auto"/>
              </w:divBdr>
            </w:div>
            <w:div w:id="813647885">
              <w:marLeft w:val="0"/>
              <w:marRight w:val="0"/>
              <w:marTop w:val="0"/>
              <w:marBottom w:val="0"/>
              <w:divBdr>
                <w:top w:val="none" w:sz="0" w:space="0" w:color="auto"/>
                <w:left w:val="none" w:sz="0" w:space="0" w:color="auto"/>
                <w:bottom w:val="none" w:sz="0" w:space="0" w:color="auto"/>
                <w:right w:val="none" w:sz="0" w:space="0" w:color="auto"/>
              </w:divBdr>
            </w:div>
            <w:div w:id="1086607672">
              <w:marLeft w:val="0"/>
              <w:marRight w:val="0"/>
              <w:marTop w:val="0"/>
              <w:marBottom w:val="0"/>
              <w:divBdr>
                <w:top w:val="none" w:sz="0" w:space="0" w:color="auto"/>
                <w:left w:val="none" w:sz="0" w:space="0" w:color="auto"/>
                <w:bottom w:val="none" w:sz="0" w:space="0" w:color="auto"/>
                <w:right w:val="none" w:sz="0" w:space="0" w:color="auto"/>
              </w:divBdr>
            </w:div>
            <w:div w:id="1901402680">
              <w:marLeft w:val="0"/>
              <w:marRight w:val="0"/>
              <w:marTop w:val="0"/>
              <w:marBottom w:val="0"/>
              <w:divBdr>
                <w:top w:val="none" w:sz="0" w:space="0" w:color="auto"/>
                <w:left w:val="none" w:sz="0" w:space="0" w:color="auto"/>
                <w:bottom w:val="none" w:sz="0" w:space="0" w:color="auto"/>
                <w:right w:val="none" w:sz="0" w:space="0" w:color="auto"/>
              </w:divBdr>
            </w:div>
            <w:div w:id="1778334579">
              <w:marLeft w:val="0"/>
              <w:marRight w:val="0"/>
              <w:marTop w:val="0"/>
              <w:marBottom w:val="0"/>
              <w:divBdr>
                <w:top w:val="none" w:sz="0" w:space="0" w:color="auto"/>
                <w:left w:val="none" w:sz="0" w:space="0" w:color="auto"/>
                <w:bottom w:val="none" w:sz="0" w:space="0" w:color="auto"/>
                <w:right w:val="none" w:sz="0" w:space="0" w:color="auto"/>
              </w:divBdr>
            </w:div>
            <w:div w:id="884684619">
              <w:marLeft w:val="0"/>
              <w:marRight w:val="0"/>
              <w:marTop w:val="0"/>
              <w:marBottom w:val="0"/>
              <w:divBdr>
                <w:top w:val="none" w:sz="0" w:space="0" w:color="auto"/>
                <w:left w:val="none" w:sz="0" w:space="0" w:color="auto"/>
                <w:bottom w:val="none" w:sz="0" w:space="0" w:color="auto"/>
                <w:right w:val="none" w:sz="0" w:space="0" w:color="auto"/>
              </w:divBdr>
            </w:div>
            <w:div w:id="1256478895">
              <w:marLeft w:val="0"/>
              <w:marRight w:val="0"/>
              <w:marTop w:val="0"/>
              <w:marBottom w:val="0"/>
              <w:divBdr>
                <w:top w:val="none" w:sz="0" w:space="0" w:color="auto"/>
                <w:left w:val="none" w:sz="0" w:space="0" w:color="auto"/>
                <w:bottom w:val="none" w:sz="0" w:space="0" w:color="auto"/>
                <w:right w:val="none" w:sz="0" w:space="0" w:color="auto"/>
              </w:divBdr>
            </w:div>
            <w:div w:id="1452237327">
              <w:marLeft w:val="0"/>
              <w:marRight w:val="0"/>
              <w:marTop w:val="0"/>
              <w:marBottom w:val="0"/>
              <w:divBdr>
                <w:top w:val="none" w:sz="0" w:space="0" w:color="auto"/>
                <w:left w:val="none" w:sz="0" w:space="0" w:color="auto"/>
                <w:bottom w:val="none" w:sz="0" w:space="0" w:color="auto"/>
                <w:right w:val="none" w:sz="0" w:space="0" w:color="auto"/>
              </w:divBdr>
            </w:div>
            <w:div w:id="89785832">
              <w:marLeft w:val="0"/>
              <w:marRight w:val="0"/>
              <w:marTop w:val="0"/>
              <w:marBottom w:val="0"/>
              <w:divBdr>
                <w:top w:val="none" w:sz="0" w:space="0" w:color="auto"/>
                <w:left w:val="none" w:sz="0" w:space="0" w:color="auto"/>
                <w:bottom w:val="none" w:sz="0" w:space="0" w:color="auto"/>
                <w:right w:val="none" w:sz="0" w:space="0" w:color="auto"/>
              </w:divBdr>
            </w:div>
            <w:div w:id="397171437">
              <w:marLeft w:val="0"/>
              <w:marRight w:val="0"/>
              <w:marTop w:val="0"/>
              <w:marBottom w:val="0"/>
              <w:divBdr>
                <w:top w:val="none" w:sz="0" w:space="0" w:color="auto"/>
                <w:left w:val="none" w:sz="0" w:space="0" w:color="auto"/>
                <w:bottom w:val="none" w:sz="0" w:space="0" w:color="auto"/>
                <w:right w:val="none" w:sz="0" w:space="0" w:color="auto"/>
              </w:divBdr>
            </w:div>
            <w:div w:id="1492677262">
              <w:marLeft w:val="0"/>
              <w:marRight w:val="0"/>
              <w:marTop w:val="0"/>
              <w:marBottom w:val="0"/>
              <w:divBdr>
                <w:top w:val="none" w:sz="0" w:space="0" w:color="auto"/>
                <w:left w:val="none" w:sz="0" w:space="0" w:color="auto"/>
                <w:bottom w:val="none" w:sz="0" w:space="0" w:color="auto"/>
                <w:right w:val="none" w:sz="0" w:space="0" w:color="auto"/>
              </w:divBdr>
            </w:div>
            <w:div w:id="1457748481">
              <w:marLeft w:val="0"/>
              <w:marRight w:val="0"/>
              <w:marTop w:val="0"/>
              <w:marBottom w:val="0"/>
              <w:divBdr>
                <w:top w:val="none" w:sz="0" w:space="0" w:color="auto"/>
                <w:left w:val="none" w:sz="0" w:space="0" w:color="auto"/>
                <w:bottom w:val="none" w:sz="0" w:space="0" w:color="auto"/>
                <w:right w:val="none" w:sz="0" w:space="0" w:color="auto"/>
              </w:divBdr>
            </w:div>
            <w:div w:id="692341618">
              <w:marLeft w:val="0"/>
              <w:marRight w:val="0"/>
              <w:marTop w:val="0"/>
              <w:marBottom w:val="0"/>
              <w:divBdr>
                <w:top w:val="none" w:sz="0" w:space="0" w:color="auto"/>
                <w:left w:val="none" w:sz="0" w:space="0" w:color="auto"/>
                <w:bottom w:val="none" w:sz="0" w:space="0" w:color="auto"/>
                <w:right w:val="none" w:sz="0" w:space="0" w:color="auto"/>
              </w:divBdr>
            </w:div>
            <w:div w:id="88891182">
              <w:marLeft w:val="0"/>
              <w:marRight w:val="0"/>
              <w:marTop w:val="0"/>
              <w:marBottom w:val="0"/>
              <w:divBdr>
                <w:top w:val="none" w:sz="0" w:space="0" w:color="auto"/>
                <w:left w:val="none" w:sz="0" w:space="0" w:color="auto"/>
                <w:bottom w:val="none" w:sz="0" w:space="0" w:color="auto"/>
                <w:right w:val="none" w:sz="0" w:space="0" w:color="auto"/>
              </w:divBdr>
            </w:div>
            <w:div w:id="337079399">
              <w:marLeft w:val="0"/>
              <w:marRight w:val="0"/>
              <w:marTop w:val="0"/>
              <w:marBottom w:val="0"/>
              <w:divBdr>
                <w:top w:val="none" w:sz="0" w:space="0" w:color="auto"/>
                <w:left w:val="none" w:sz="0" w:space="0" w:color="auto"/>
                <w:bottom w:val="none" w:sz="0" w:space="0" w:color="auto"/>
                <w:right w:val="none" w:sz="0" w:space="0" w:color="auto"/>
              </w:divBdr>
            </w:div>
            <w:div w:id="1670056712">
              <w:marLeft w:val="0"/>
              <w:marRight w:val="0"/>
              <w:marTop w:val="0"/>
              <w:marBottom w:val="0"/>
              <w:divBdr>
                <w:top w:val="none" w:sz="0" w:space="0" w:color="auto"/>
                <w:left w:val="none" w:sz="0" w:space="0" w:color="auto"/>
                <w:bottom w:val="none" w:sz="0" w:space="0" w:color="auto"/>
                <w:right w:val="none" w:sz="0" w:space="0" w:color="auto"/>
              </w:divBdr>
            </w:div>
            <w:div w:id="1299995312">
              <w:marLeft w:val="0"/>
              <w:marRight w:val="0"/>
              <w:marTop w:val="0"/>
              <w:marBottom w:val="0"/>
              <w:divBdr>
                <w:top w:val="none" w:sz="0" w:space="0" w:color="auto"/>
                <w:left w:val="none" w:sz="0" w:space="0" w:color="auto"/>
                <w:bottom w:val="none" w:sz="0" w:space="0" w:color="auto"/>
                <w:right w:val="none" w:sz="0" w:space="0" w:color="auto"/>
              </w:divBdr>
            </w:div>
            <w:div w:id="1074821676">
              <w:marLeft w:val="0"/>
              <w:marRight w:val="0"/>
              <w:marTop w:val="0"/>
              <w:marBottom w:val="0"/>
              <w:divBdr>
                <w:top w:val="none" w:sz="0" w:space="0" w:color="auto"/>
                <w:left w:val="none" w:sz="0" w:space="0" w:color="auto"/>
                <w:bottom w:val="none" w:sz="0" w:space="0" w:color="auto"/>
                <w:right w:val="none" w:sz="0" w:space="0" w:color="auto"/>
              </w:divBdr>
            </w:div>
            <w:div w:id="647131513">
              <w:marLeft w:val="0"/>
              <w:marRight w:val="0"/>
              <w:marTop w:val="0"/>
              <w:marBottom w:val="0"/>
              <w:divBdr>
                <w:top w:val="none" w:sz="0" w:space="0" w:color="auto"/>
                <w:left w:val="none" w:sz="0" w:space="0" w:color="auto"/>
                <w:bottom w:val="none" w:sz="0" w:space="0" w:color="auto"/>
                <w:right w:val="none" w:sz="0" w:space="0" w:color="auto"/>
              </w:divBdr>
            </w:div>
            <w:div w:id="1754353100">
              <w:marLeft w:val="0"/>
              <w:marRight w:val="0"/>
              <w:marTop w:val="0"/>
              <w:marBottom w:val="0"/>
              <w:divBdr>
                <w:top w:val="none" w:sz="0" w:space="0" w:color="auto"/>
                <w:left w:val="none" w:sz="0" w:space="0" w:color="auto"/>
                <w:bottom w:val="none" w:sz="0" w:space="0" w:color="auto"/>
                <w:right w:val="none" w:sz="0" w:space="0" w:color="auto"/>
              </w:divBdr>
            </w:div>
            <w:div w:id="713778195">
              <w:marLeft w:val="0"/>
              <w:marRight w:val="0"/>
              <w:marTop w:val="0"/>
              <w:marBottom w:val="0"/>
              <w:divBdr>
                <w:top w:val="none" w:sz="0" w:space="0" w:color="auto"/>
                <w:left w:val="none" w:sz="0" w:space="0" w:color="auto"/>
                <w:bottom w:val="none" w:sz="0" w:space="0" w:color="auto"/>
                <w:right w:val="none" w:sz="0" w:space="0" w:color="auto"/>
              </w:divBdr>
            </w:div>
            <w:div w:id="1463185721">
              <w:marLeft w:val="0"/>
              <w:marRight w:val="0"/>
              <w:marTop w:val="0"/>
              <w:marBottom w:val="0"/>
              <w:divBdr>
                <w:top w:val="none" w:sz="0" w:space="0" w:color="auto"/>
                <w:left w:val="none" w:sz="0" w:space="0" w:color="auto"/>
                <w:bottom w:val="none" w:sz="0" w:space="0" w:color="auto"/>
                <w:right w:val="none" w:sz="0" w:space="0" w:color="auto"/>
              </w:divBdr>
            </w:div>
            <w:div w:id="1270161263">
              <w:marLeft w:val="0"/>
              <w:marRight w:val="0"/>
              <w:marTop w:val="0"/>
              <w:marBottom w:val="0"/>
              <w:divBdr>
                <w:top w:val="none" w:sz="0" w:space="0" w:color="auto"/>
                <w:left w:val="none" w:sz="0" w:space="0" w:color="auto"/>
                <w:bottom w:val="none" w:sz="0" w:space="0" w:color="auto"/>
                <w:right w:val="none" w:sz="0" w:space="0" w:color="auto"/>
              </w:divBdr>
            </w:div>
            <w:div w:id="79260402">
              <w:marLeft w:val="0"/>
              <w:marRight w:val="0"/>
              <w:marTop w:val="0"/>
              <w:marBottom w:val="0"/>
              <w:divBdr>
                <w:top w:val="none" w:sz="0" w:space="0" w:color="auto"/>
                <w:left w:val="none" w:sz="0" w:space="0" w:color="auto"/>
                <w:bottom w:val="none" w:sz="0" w:space="0" w:color="auto"/>
                <w:right w:val="none" w:sz="0" w:space="0" w:color="auto"/>
              </w:divBdr>
            </w:div>
            <w:div w:id="2041469297">
              <w:marLeft w:val="0"/>
              <w:marRight w:val="0"/>
              <w:marTop w:val="0"/>
              <w:marBottom w:val="0"/>
              <w:divBdr>
                <w:top w:val="none" w:sz="0" w:space="0" w:color="auto"/>
                <w:left w:val="none" w:sz="0" w:space="0" w:color="auto"/>
                <w:bottom w:val="none" w:sz="0" w:space="0" w:color="auto"/>
                <w:right w:val="none" w:sz="0" w:space="0" w:color="auto"/>
              </w:divBdr>
            </w:div>
            <w:div w:id="1709988296">
              <w:marLeft w:val="0"/>
              <w:marRight w:val="0"/>
              <w:marTop w:val="0"/>
              <w:marBottom w:val="0"/>
              <w:divBdr>
                <w:top w:val="none" w:sz="0" w:space="0" w:color="auto"/>
                <w:left w:val="none" w:sz="0" w:space="0" w:color="auto"/>
                <w:bottom w:val="none" w:sz="0" w:space="0" w:color="auto"/>
                <w:right w:val="none" w:sz="0" w:space="0" w:color="auto"/>
              </w:divBdr>
            </w:div>
            <w:div w:id="1670209529">
              <w:marLeft w:val="0"/>
              <w:marRight w:val="0"/>
              <w:marTop w:val="0"/>
              <w:marBottom w:val="0"/>
              <w:divBdr>
                <w:top w:val="none" w:sz="0" w:space="0" w:color="auto"/>
                <w:left w:val="none" w:sz="0" w:space="0" w:color="auto"/>
                <w:bottom w:val="none" w:sz="0" w:space="0" w:color="auto"/>
                <w:right w:val="none" w:sz="0" w:space="0" w:color="auto"/>
              </w:divBdr>
            </w:div>
            <w:div w:id="134876474">
              <w:marLeft w:val="0"/>
              <w:marRight w:val="0"/>
              <w:marTop w:val="0"/>
              <w:marBottom w:val="0"/>
              <w:divBdr>
                <w:top w:val="none" w:sz="0" w:space="0" w:color="auto"/>
                <w:left w:val="none" w:sz="0" w:space="0" w:color="auto"/>
                <w:bottom w:val="none" w:sz="0" w:space="0" w:color="auto"/>
                <w:right w:val="none" w:sz="0" w:space="0" w:color="auto"/>
              </w:divBdr>
            </w:div>
            <w:div w:id="1932927791">
              <w:marLeft w:val="0"/>
              <w:marRight w:val="0"/>
              <w:marTop w:val="0"/>
              <w:marBottom w:val="0"/>
              <w:divBdr>
                <w:top w:val="none" w:sz="0" w:space="0" w:color="auto"/>
                <w:left w:val="none" w:sz="0" w:space="0" w:color="auto"/>
                <w:bottom w:val="none" w:sz="0" w:space="0" w:color="auto"/>
                <w:right w:val="none" w:sz="0" w:space="0" w:color="auto"/>
              </w:divBdr>
            </w:div>
            <w:div w:id="1358699247">
              <w:marLeft w:val="0"/>
              <w:marRight w:val="0"/>
              <w:marTop w:val="0"/>
              <w:marBottom w:val="0"/>
              <w:divBdr>
                <w:top w:val="none" w:sz="0" w:space="0" w:color="auto"/>
                <w:left w:val="none" w:sz="0" w:space="0" w:color="auto"/>
                <w:bottom w:val="none" w:sz="0" w:space="0" w:color="auto"/>
                <w:right w:val="none" w:sz="0" w:space="0" w:color="auto"/>
              </w:divBdr>
            </w:div>
            <w:div w:id="1582371175">
              <w:marLeft w:val="0"/>
              <w:marRight w:val="0"/>
              <w:marTop w:val="0"/>
              <w:marBottom w:val="0"/>
              <w:divBdr>
                <w:top w:val="none" w:sz="0" w:space="0" w:color="auto"/>
                <w:left w:val="none" w:sz="0" w:space="0" w:color="auto"/>
                <w:bottom w:val="none" w:sz="0" w:space="0" w:color="auto"/>
                <w:right w:val="none" w:sz="0" w:space="0" w:color="auto"/>
              </w:divBdr>
            </w:div>
            <w:div w:id="482815273">
              <w:marLeft w:val="0"/>
              <w:marRight w:val="0"/>
              <w:marTop w:val="0"/>
              <w:marBottom w:val="0"/>
              <w:divBdr>
                <w:top w:val="none" w:sz="0" w:space="0" w:color="auto"/>
                <w:left w:val="none" w:sz="0" w:space="0" w:color="auto"/>
                <w:bottom w:val="none" w:sz="0" w:space="0" w:color="auto"/>
                <w:right w:val="none" w:sz="0" w:space="0" w:color="auto"/>
              </w:divBdr>
            </w:div>
            <w:div w:id="384571282">
              <w:marLeft w:val="0"/>
              <w:marRight w:val="0"/>
              <w:marTop w:val="0"/>
              <w:marBottom w:val="0"/>
              <w:divBdr>
                <w:top w:val="none" w:sz="0" w:space="0" w:color="auto"/>
                <w:left w:val="none" w:sz="0" w:space="0" w:color="auto"/>
                <w:bottom w:val="none" w:sz="0" w:space="0" w:color="auto"/>
                <w:right w:val="none" w:sz="0" w:space="0" w:color="auto"/>
              </w:divBdr>
            </w:div>
            <w:div w:id="1109354117">
              <w:marLeft w:val="0"/>
              <w:marRight w:val="0"/>
              <w:marTop w:val="0"/>
              <w:marBottom w:val="0"/>
              <w:divBdr>
                <w:top w:val="none" w:sz="0" w:space="0" w:color="auto"/>
                <w:left w:val="none" w:sz="0" w:space="0" w:color="auto"/>
                <w:bottom w:val="none" w:sz="0" w:space="0" w:color="auto"/>
                <w:right w:val="none" w:sz="0" w:space="0" w:color="auto"/>
              </w:divBdr>
            </w:div>
            <w:div w:id="885485828">
              <w:marLeft w:val="0"/>
              <w:marRight w:val="0"/>
              <w:marTop w:val="0"/>
              <w:marBottom w:val="0"/>
              <w:divBdr>
                <w:top w:val="none" w:sz="0" w:space="0" w:color="auto"/>
                <w:left w:val="none" w:sz="0" w:space="0" w:color="auto"/>
                <w:bottom w:val="none" w:sz="0" w:space="0" w:color="auto"/>
                <w:right w:val="none" w:sz="0" w:space="0" w:color="auto"/>
              </w:divBdr>
            </w:div>
            <w:div w:id="1046949253">
              <w:marLeft w:val="0"/>
              <w:marRight w:val="0"/>
              <w:marTop w:val="0"/>
              <w:marBottom w:val="0"/>
              <w:divBdr>
                <w:top w:val="none" w:sz="0" w:space="0" w:color="auto"/>
                <w:left w:val="none" w:sz="0" w:space="0" w:color="auto"/>
                <w:bottom w:val="none" w:sz="0" w:space="0" w:color="auto"/>
                <w:right w:val="none" w:sz="0" w:space="0" w:color="auto"/>
              </w:divBdr>
            </w:div>
            <w:div w:id="1808888018">
              <w:marLeft w:val="0"/>
              <w:marRight w:val="0"/>
              <w:marTop w:val="0"/>
              <w:marBottom w:val="0"/>
              <w:divBdr>
                <w:top w:val="none" w:sz="0" w:space="0" w:color="auto"/>
                <w:left w:val="none" w:sz="0" w:space="0" w:color="auto"/>
                <w:bottom w:val="none" w:sz="0" w:space="0" w:color="auto"/>
                <w:right w:val="none" w:sz="0" w:space="0" w:color="auto"/>
              </w:divBdr>
            </w:div>
            <w:div w:id="1385564501">
              <w:marLeft w:val="0"/>
              <w:marRight w:val="0"/>
              <w:marTop w:val="0"/>
              <w:marBottom w:val="0"/>
              <w:divBdr>
                <w:top w:val="none" w:sz="0" w:space="0" w:color="auto"/>
                <w:left w:val="none" w:sz="0" w:space="0" w:color="auto"/>
                <w:bottom w:val="none" w:sz="0" w:space="0" w:color="auto"/>
                <w:right w:val="none" w:sz="0" w:space="0" w:color="auto"/>
              </w:divBdr>
            </w:div>
            <w:div w:id="114255763">
              <w:marLeft w:val="0"/>
              <w:marRight w:val="0"/>
              <w:marTop w:val="0"/>
              <w:marBottom w:val="0"/>
              <w:divBdr>
                <w:top w:val="none" w:sz="0" w:space="0" w:color="auto"/>
                <w:left w:val="none" w:sz="0" w:space="0" w:color="auto"/>
                <w:bottom w:val="none" w:sz="0" w:space="0" w:color="auto"/>
                <w:right w:val="none" w:sz="0" w:space="0" w:color="auto"/>
              </w:divBdr>
            </w:div>
            <w:div w:id="328674030">
              <w:marLeft w:val="0"/>
              <w:marRight w:val="0"/>
              <w:marTop w:val="0"/>
              <w:marBottom w:val="0"/>
              <w:divBdr>
                <w:top w:val="none" w:sz="0" w:space="0" w:color="auto"/>
                <w:left w:val="none" w:sz="0" w:space="0" w:color="auto"/>
                <w:bottom w:val="none" w:sz="0" w:space="0" w:color="auto"/>
                <w:right w:val="none" w:sz="0" w:space="0" w:color="auto"/>
              </w:divBdr>
            </w:div>
            <w:div w:id="21908669">
              <w:marLeft w:val="0"/>
              <w:marRight w:val="0"/>
              <w:marTop w:val="0"/>
              <w:marBottom w:val="0"/>
              <w:divBdr>
                <w:top w:val="none" w:sz="0" w:space="0" w:color="auto"/>
                <w:left w:val="none" w:sz="0" w:space="0" w:color="auto"/>
                <w:bottom w:val="none" w:sz="0" w:space="0" w:color="auto"/>
                <w:right w:val="none" w:sz="0" w:space="0" w:color="auto"/>
              </w:divBdr>
            </w:div>
            <w:div w:id="458228299">
              <w:marLeft w:val="0"/>
              <w:marRight w:val="0"/>
              <w:marTop w:val="0"/>
              <w:marBottom w:val="0"/>
              <w:divBdr>
                <w:top w:val="none" w:sz="0" w:space="0" w:color="auto"/>
                <w:left w:val="none" w:sz="0" w:space="0" w:color="auto"/>
                <w:bottom w:val="none" w:sz="0" w:space="0" w:color="auto"/>
                <w:right w:val="none" w:sz="0" w:space="0" w:color="auto"/>
              </w:divBdr>
            </w:div>
            <w:div w:id="129977993">
              <w:marLeft w:val="0"/>
              <w:marRight w:val="0"/>
              <w:marTop w:val="0"/>
              <w:marBottom w:val="0"/>
              <w:divBdr>
                <w:top w:val="none" w:sz="0" w:space="0" w:color="auto"/>
                <w:left w:val="none" w:sz="0" w:space="0" w:color="auto"/>
                <w:bottom w:val="none" w:sz="0" w:space="0" w:color="auto"/>
                <w:right w:val="none" w:sz="0" w:space="0" w:color="auto"/>
              </w:divBdr>
            </w:div>
            <w:div w:id="1941332055">
              <w:marLeft w:val="0"/>
              <w:marRight w:val="0"/>
              <w:marTop w:val="0"/>
              <w:marBottom w:val="0"/>
              <w:divBdr>
                <w:top w:val="none" w:sz="0" w:space="0" w:color="auto"/>
                <w:left w:val="none" w:sz="0" w:space="0" w:color="auto"/>
                <w:bottom w:val="none" w:sz="0" w:space="0" w:color="auto"/>
                <w:right w:val="none" w:sz="0" w:space="0" w:color="auto"/>
              </w:divBdr>
            </w:div>
            <w:div w:id="369650034">
              <w:marLeft w:val="0"/>
              <w:marRight w:val="0"/>
              <w:marTop w:val="0"/>
              <w:marBottom w:val="0"/>
              <w:divBdr>
                <w:top w:val="none" w:sz="0" w:space="0" w:color="auto"/>
                <w:left w:val="none" w:sz="0" w:space="0" w:color="auto"/>
                <w:bottom w:val="none" w:sz="0" w:space="0" w:color="auto"/>
                <w:right w:val="none" w:sz="0" w:space="0" w:color="auto"/>
              </w:divBdr>
            </w:div>
            <w:div w:id="1632635760">
              <w:marLeft w:val="0"/>
              <w:marRight w:val="0"/>
              <w:marTop w:val="0"/>
              <w:marBottom w:val="0"/>
              <w:divBdr>
                <w:top w:val="none" w:sz="0" w:space="0" w:color="auto"/>
                <w:left w:val="none" w:sz="0" w:space="0" w:color="auto"/>
                <w:bottom w:val="none" w:sz="0" w:space="0" w:color="auto"/>
                <w:right w:val="none" w:sz="0" w:space="0" w:color="auto"/>
              </w:divBdr>
            </w:div>
            <w:div w:id="1157768504">
              <w:marLeft w:val="0"/>
              <w:marRight w:val="0"/>
              <w:marTop w:val="0"/>
              <w:marBottom w:val="0"/>
              <w:divBdr>
                <w:top w:val="none" w:sz="0" w:space="0" w:color="auto"/>
                <w:left w:val="none" w:sz="0" w:space="0" w:color="auto"/>
                <w:bottom w:val="none" w:sz="0" w:space="0" w:color="auto"/>
                <w:right w:val="none" w:sz="0" w:space="0" w:color="auto"/>
              </w:divBdr>
            </w:div>
            <w:div w:id="1830097604">
              <w:marLeft w:val="0"/>
              <w:marRight w:val="0"/>
              <w:marTop w:val="0"/>
              <w:marBottom w:val="0"/>
              <w:divBdr>
                <w:top w:val="none" w:sz="0" w:space="0" w:color="auto"/>
                <w:left w:val="none" w:sz="0" w:space="0" w:color="auto"/>
                <w:bottom w:val="none" w:sz="0" w:space="0" w:color="auto"/>
                <w:right w:val="none" w:sz="0" w:space="0" w:color="auto"/>
              </w:divBdr>
            </w:div>
            <w:div w:id="1696616202">
              <w:marLeft w:val="0"/>
              <w:marRight w:val="0"/>
              <w:marTop w:val="0"/>
              <w:marBottom w:val="0"/>
              <w:divBdr>
                <w:top w:val="none" w:sz="0" w:space="0" w:color="auto"/>
                <w:left w:val="none" w:sz="0" w:space="0" w:color="auto"/>
                <w:bottom w:val="none" w:sz="0" w:space="0" w:color="auto"/>
                <w:right w:val="none" w:sz="0" w:space="0" w:color="auto"/>
              </w:divBdr>
            </w:div>
            <w:div w:id="1675650287">
              <w:marLeft w:val="0"/>
              <w:marRight w:val="0"/>
              <w:marTop w:val="0"/>
              <w:marBottom w:val="0"/>
              <w:divBdr>
                <w:top w:val="none" w:sz="0" w:space="0" w:color="auto"/>
                <w:left w:val="none" w:sz="0" w:space="0" w:color="auto"/>
                <w:bottom w:val="none" w:sz="0" w:space="0" w:color="auto"/>
                <w:right w:val="none" w:sz="0" w:space="0" w:color="auto"/>
              </w:divBdr>
            </w:div>
            <w:div w:id="1094936610">
              <w:marLeft w:val="0"/>
              <w:marRight w:val="0"/>
              <w:marTop w:val="0"/>
              <w:marBottom w:val="0"/>
              <w:divBdr>
                <w:top w:val="none" w:sz="0" w:space="0" w:color="auto"/>
                <w:left w:val="none" w:sz="0" w:space="0" w:color="auto"/>
                <w:bottom w:val="none" w:sz="0" w:space="0" w:color="auto"/>
                <w:right w:val="none" w:sz="0" w:space="0" w:color="auto"/>
              </w:divBdr>
            </w:div>
            <w:div w:id="364603348">
              <w:marLeft w:val="0"/>
              <w:marRight w:val="0"/>
              <w:marTop w:val="0"/>
              <w:marBottom w:val="0"/>
              <w:divBdr>
                <w:top w:val="none" w:sz="0" w:space="0" w:color="auto"/>
                <w:left w:val="none" w:sz="0" w:space="0" w:color="auto"/>
                <w:bottom w:val="none" w:sz="0" w:space="0" w:color="auto"/>
                <w:right w:val="none" w:sz="0" w:space="0" w:color="auto"/>
              </w:divBdr>
            </w:div>
            <w:div w:id="1228343634">
              <w:marLeft w:val="0"/>
              <w:marRight w:val="0"/>
              <w:marTop w:val="0"/>
              <w:marBottom w:val="0"/>
              <w:divBdr>
                <w:top w:val="none" w:sz="0" w:space="0" w:color="auto"/>
                <w:left w:val="none" w:sz="0" w:space="0" w:color="auto"/>
                <w:bottom w:val="none" w:sz="0" w:space="0" w:color="auto"/>
                <w:right w:val="none" w:sz="0" w:space="0" w:color="auto"/>
              </w:divBdr>
            </w:div>
            <w:div w:id="564880215">
              <w:marLeft w:val="0"/>
              <w:marRight w:val="0"/>
              <w:marTop w:val="0"/>
              <w:marBottom w:val="0"/>
              <w:divBdr>
                <w:top w:val="none" w:sz="0" w:space="0" w:color="auto"/>
                <w:left w:val="none" w:sz="0" w:space="0" w:color="auto"/>
                <w:bottom w:val="none" w:sz="0" w:space="0" w:color="auto"/>
                <w:right w:val="none" w:sz="0" w:space="0" w:color="auto"/>
              </w:divBdr>
            </w:div>
            <w:div w:id="594555953">
              <w:marLeft w:val="0"/>
              <w:marRight w:val="0"/>
              <w:marTop w:val="0"/>
              <w:marBottom w:val="0"/>
              <w:divBdr>
                <w:top w:val="none" w:sz="0" w:space="0" w:color="auto"/>
                <w:left w:val="none" w:sz="0" w:space="0" w:color="auto"/>
                <w:bottom w:val="none" w:sz="0" w:space="0" w:color="auto"/>
                <w:right w:val="none" w:sz="0" w:space="0" w:color="auto"/>
              </w:divBdr>
            </w:div>
            <w:div w:id="1318731632">
              <w:marLeft w:val="0"/>
              <w:marRight w:val="0"/>
              <w:marTop w:val="0"/>
              <w:marBottom w:val="0"/>
              <w:divBdr>
                <w:top w:val="none" w:sz="0" w:space="0" w:color="auto"/>
                <w:left w:val="none" w:sz="0" w:space="0" w:color="auto"/>
                <w:bottom w:val="none" w:sz="0" w:space="0" w:color="auto"/>
                <w:right w:val="none" w:sz="0" w:space="0" w:color="auto"/>
              </w:divBdr>
            </w:div>
            <w:div w:id="887954682">
              <w:marLeft w:val="0"/>
              <w:marRight w:val="0"/>
              <w:marTop w:val="0"/>
              <w:marBottom w:val="0"/>
              <w:divBdr>
                <w:top w:val="none" w:sz="0" w:space="0" w:color="auto"/>
                <w:left w:val="none" w:sz="0" w:space="0" w:color="auto"/>
                <w:bottom w:val="none" w:sz="0" w:space="0" w:color="auto"/>
                <w:right w:val="none" w:sz="0" w:space="0" w:color="auto"/>
              </w:divBdr>
            </w:div>
            <w:div w:id="1031225007">
              <w:marLeft w:val="0"/>
              <w:marRight w:val="0"/>
              <w:marTop w:val="0"/>
              <w:marBottom w:val="0"/>
              <w:divBdr>
                <w:top w:val="none" w:sz="0" w:space="0" w:color="auto"/>
                <w:left w:val="none" w:sz="0" w:space="0" w:color="auto"/>
                <w:bottom w:val="none" w:sz="0" w:space="0" w:color="auto"/>
                <w:right w:val="none" w:sz="0" w:space="0" w:color="auto"/>
              </w:divBdr>
            </w:div>
            <w:div w:id="1638531679">
              <w:marLeft w:val="0"/>
              <w:marRight w:val="0"/>
              <w:marTop w:val="0"/>
              <w:marBottom w:val="0"/>
              <w:divBdr>
                <w:top w:val="none" w:sz="0" w:space="0" w:color="auto"/>
                <w:left w:val="none" w:sz="0" w:space="0" w:color="auto"/>
                <w:bottom w:val="none" w:sz="0" w:space="0" w:color="auto"/>
                <w:right w:val="none" w:sz="0" w:space="0" w:color="auto"/>
              </w:divBdr>
            </w:div>
            <w:div w:id="91557822">
              <w:marLeft w:val="0"/>
              <w:marRight w:val="0"/>
              <w:marTop w:val="0"/>
              <w:marBottom w:val="0"/>
              <w:divBdr>
                <w:top w:val="none" w:sz="0" w:space="0" w:color="auto"/>
                <w:left w:val="none" w:sz="0" w:space="0" w:color="auto"/>
                <w:bottom w:val="none" w:sz="0" w:space="0" w:color="auto"/>
                <w:right w:val="none" w:sz="0" w:space="0" w:color="auto"/>
              </w:divBdr>
            </w:div>
            <w:div w:id="1943802900">
              <w:marLeft w:val="0"/>
              <w:marRight w:val="0"/>
              <w:marTop w:val="0"/>
              <w:marBottom w:val="0"/>
              <w:divBdr>
                <w:top w:val="none" w:sz="0" w:space="0" w:color="auto"/>
                <w:left w:val="none" w:sz="0" w:space="0" w:color="auto"/>
                <w:bottom w:val="none" w:sz="0" w:space="0" w:color="auto"/>
                <w:right w:val="none" w:sz="0" w:space="0" w:color="auto"/>
              </w:divBdr>
            </w:div>
            <w:div w:id="1218933687">
              <w:marLeft w:val="0"/>
              <w:marRight w:val="0"/>
              <w:marTop w:val="0"/>
              <w:marBottom w:val="0"/>
              <w:divBdr>
                <w:top w:val="none" w:sz="0" w:space="0" w:color="auto"/>
                <w:left w:val="none" w:sz="0" w:space="0" w:color="auto"/>
                <w:bottom w:val="none" w:sz="0" w:space="0" w:color="auto"/>
                <w:right w:val="none" w:sz="0" w:space="0" w:color="auto"/>
              </w:divBdr>
            </w:div>
            <w:div w:id="1377656870">
              <w:marLeft w:val="0"/>
              <w:marRight w:val="0"/>
              <w:marTop w:val="0"/>
              <w:marBottom w:val="0"/>
              <w:divBdr>
                <w:top w:val="none" w:sz="0" w:space="0" w:color="auto"/>
                <w:left w:val="none" w:sz="0" w:space="0" w:color="auto"/>
                <w:bottom w:val="none" w:sz="0" w:space="0" w:color="auto"/>
                <w:right w:val="none" w:sz="0" w:space="0" w:color="auto"/>
              </w:divBdr>
            </w:div>
            <w:div w:id="797843755">
              <w:marLeft w:val="0"/>
              <w:marRight w:val="0"/>
              <w:marTop w:val="0"/>
              <w:marBottom w:val="0"/>
              <w:divBdr>
                <w:top w:val="none" w:sz="0" w:space="0" w:color="auto"/>
                <w:left w:val="none" w:sz="0" w:space="0" w:color="auto"/>
                <w:bottom w:val="none" w:sz="0" w:space="0" w:color="auto"/>
                <w:right w:val="none" w:sz="0" w:space="0" w:color="auto"/>
              </w:divBdr>
            </w:div>
            <w:div w:id="76440604">
              <w:marLeft w:val="0"/>
              <w:marRight w:val="0"/>
              <w:marTop w:val="0"/>
              <w:marBottom w:val="0"/>
              <w:divBdr>
                <w:top w:val="none" w:sz="0" w:space="0" w:color="auto"/>
                <w:left w:val="none" w:sz="0" w:space="0" w:color="auto"/>
                <w:bottom w:val="none" w:sz="0" w:space="0" w:color="auto"/>
                <w:right w:val="none" w:sz="0" w:space="0" w:color="auto"/>
              </w:divBdr>
            </w:div>
            <w:div w:id="998506722">
              <w:marLeft w:val="0"/>
              <w:marRight w:val="0"/>
              <w:marTop w:val="0"/>
              <w:marBottom w:val="0"/>
              <w:divBdr>
                <w:top w:val="none" w:sz="0" w:space="0" w:color="auto"/>
                <w:left w:val="none" w:sz="0" w:space="0" w:color="auto"/>
                <w:bottom w:val="none" w:sz="0" w:space="0" w:color="auto"/>
                <w:right w:val="none" w:sz="0" w:space="0" w:color="auto"/>
              </w:divBdr>
            </w:div>
            <w:div w:id="1520504027">
              <w:marLeft w:val="0"/>
              <w:marRight w:val="0"/>
              <w:marTop w:val="0"/>
              <w:marBottom w:val="0"/>
              <w:divBdr>
                <w:top w:val="none" w:sz="0" w:space="0" w:color="auto"/>
                <w:left w:val="none" w:sz="0" w:space="0" w:color="auto"/>
                <w:bottom w:val="none" w:sz="0" w:space="0" w:color="auto"/>
                <w:right w:val="none" w:sz="0" w:space="0" w:color="auto"/>
              </w:divBdr>
            </w:div>
            <w:div w:id="739598001">
              <w:marLeft w:val="0"/>
              <w:marRight w:val="0"/>
              <w:marTop w:val="0"/>
              <w:marBottom w:val="0"/>
              <w:divBdr>
                <w:top w:val="none" w:sz="0" w:space="0" w:color="auto"/>
                <w:left w:val="none" w:sz="0" w:space="0" w:color="auto"/>
                <w:bottom w:val="none" w:sz="0" w:space="0" w:color="auto"/>
                <w:right w:val="none" w:sz="0" w:space="0" w:color="auto"/>
              </w:divBdr>
            </w:div>
            <w:div w:id="1053194348">
              <w:marLeft w:val="0"/>
              <w:marRight w:val="0"/>
              <w:marTop w:val="0"/>
              <w:marBottom w:val="0"/>
              <w:divBdr>
                <w:top w:val="none" w:sz="0" w:space="0" w:color="auto"/>
                <w:left w:val="none" w:sz="0" w:space="0" w:color="auto"/>
                <w:bottom w:val="none" w:sz="0" w:space="0" w:color="auto"/>
                <w:right w:val="none" w:sz="0" w:space="0" w:color="auto"/>
              </w:divBdr>
            </w:div>
            <w:div w:id="1934701223">
              <w:marLeft w:val="0"/>
              <w:marRight w:val="0"/>
              <w:marTop w:val="0"/>
              <w:marBottom w:val="0"/>
              <w:divBdr>
                <w:top w:val="none" w:sz="0" w:space="0" w:color="auto"/>
                <w:left w:val="none" w:sz="0" w:space="0" w:color="auto"/>
                <w:bottom w:val="none" w:sz="0" w:space="0" w:color="auto"/>
                <w:right w:val="none" w:sz="0" w:space="0" w:color="auto"/>
              </w:divBdr>
            </w:div>
            <w:div w:id="942807969">
              <w:marLeft w:val="0"/>
              <w:marRight w:val="0"/>
              <w:marTop w:val="0"/>
              <w:marBottom w:val="0"/>
              <w:divBdr>
                <w:top w:val="none" w:sz="0" w:space="0" w:color="auto"/>
                <w:left w:val="none" w:sz="0" w:space="0" w:color="auto"/>
                <w:bottom w:val="none" w:sz="0" w:space="0" w:color="auto"/>
                <w:right w:val="none" w:sz="0" w:space="0" w:color="auto"/>
              </w:divBdr>
            </w:div>
            <w:div w:id="1989091757">
              <w:marLeft w:val="0"/>
              <w:marRight w:val="0"/>
              <w:marTop w:val="0"/>
              <w:marBottom w:val="0"/>
              <w:divBdr>
                <w:top w:val="none" w:sz="0" w:space="0" w:color="auto"/>
                <w:left w:val="none" w:sz="0" w:space="0" w:color="auto"/>
                <w:bottom w:val="none" w:sz="0" w:space="0" w:color="auto"/>
                <w:right w:val="none" w:sz="0" w:space="0" w:color="auto"/>
              </w:divBdr>
            </w:div>
            <w:div w:id="1868635862">
              <w:marLeft w:val="0"/>
              <w:marRight w:val="0"/>
              <w:marTop w:val="0"/>
              <w:marBottom w:val="0"/>
              <w:divBdr>
                <w:top w:val="none" w:sz="0" w:space="0" w:color="auto"/>
                <w:left w:val="none" w:sz="0" w:space="0" w:color="auto"/>
                <w:bottom w:val="none" w:sz="0" w:space="0" w:color="auto"/>
                <w:right w:val="none" w:sz="0" w:space="0" w:color="auto"/>
              </w:divBdr>
            </w:div>
            <w:div w:id="213473269">
              <w:marLeft w:val="0"/>
              <w:marRight w:val="0"/>
              <w:marTop w:val="0"/>
              <w:marBottom w:val="0"/>
              <w:divBdr>
                <w:top w:val="none" w:sz="0" w:space="0" w:color="auto"/>
                <w:left w:val="none" w:sz="0" w:space="0" w:color="auto"/>
                <w:bottom w:val="none" w:sz="0" w:space="0" w:color="auto"/>
                <w:right w:val="none" w:sz="0" w:space="0" w:color="auto"/>
              </w:divBdr>
            </w:div>
            <w:div w:id="1844733820">
              <w:marLeft w:val="0"/>
              <w:marRight w:val="0"/>
              <w:marTop w:val="0"/>
              <w:marBottom w:val="0"/>
              <w:divBdr>
                <w:top w:val="none" w:sz="0" w:space="0" w:color="auto"/>
                <w:left w:val="none" w:sz="0" w:space="0" w:color="auto"/>
                <w:bottom w:val="none" w:sz="0" w:space="0" w:color="auto"/>
                <w:right w:val="none" w:sz="0" w:space="0" w:color="auto"/>
              </w:divBdr>
            </w:div>
            <w:div w:id="337854152">
              <w:marLeft w:val="0"/>
              <w:marRight w:val="0"/>
              <w:marTop w:val="0"/>
              <w:marBottom w:val="0"/>
              <w:divBdr>
                <w:top w:val="none" w:sz="0" w:space="0" w:color="auto"/>
                <w:left w:val="none" w:sz="0" w:space="0" w:color="auto"/>
                <w:bottom w:val="none" w:sz="0" w:space="0" w:color="auto"/>
                <w:right w:val="none" w:sz="0" w:space="0" w:color="auto"/>
              </w:divBdr>
            </w:div>
            <w:div w:id="657196326">
              <w:marLeft w:val="0"/>
              <w:marRight w:val="0"/>
              <w:marTop w:val="0"/>
              <w:marBottom w:val="0"/>
              <w:divBdr>
                <w:top w:val="none" w:sz="0" w:space="0" w:color="auto"/>
                <w:left w:val="none" w:sz="0" w:space="0" w:color="auto"/>
                <w:bottom w:val="none" w:sz="0" w:space="0" w:color="auto"/>
                <w:right w:val="none" w:sz="0" w:space="0" w:color="auto"/>
              </w:divBdr>
            </w:div>
            <w:div w:id="241722676">
              <w:marLeft w:val="0"/>
              <w:marRight w:val="0"/>
              <w:marTop w:val="0"/>
              <w:marBottom w:val="0"/>
              <w:divBdr>
                <w:top w:val="none" w:sz="0" w:space="0" w:color="auto"/>
                <w:left w:val="none" w:sz="0" w:space="0" w:color="auto"/>
                <w:bottom w:val="none" w:sz="0" w:space="0" w:color="auto"/>
                <w:right w:val="none" w:sz="0" w:space="0" w:color="auto"/>
              </w:divBdr>
            </w:div>
            <w:div w:id="743913992">
              <w:marLeft w:val="0"/>
              <w:marRight w:val="0"/>
              <w:marTop w:val="0"/>
              <w:marBottom w:val="0"/>
              <w:divBdr>
                <w:top w:val="none" w:sz="0" w:space="0" w:color="auto"/>
                <w:left w:val="none" w:sz="0" w:space="0" w:color="auto"/>
                <w:bottom w:val="none" w:sz="0" w:space="0" w:color="auto"/>
                <w:right w:val="none" w:sz="0" w:space="0" w:color="auto"/>
              </w:divBdr>
            </w:div>
            <w:div w:id="1750693027">
              <w:marLeft w:val="0"/>
              <w:marRight w:val="0"/>
              <w:marTop w:val="0"/>
              <w:marBottom w:val="0"/>
              <w:divBdr>
                <w:top w:val="none" w:sz="0" w:space="0" w:color="auto"/>
                <w:left w:val="none" w:sz="0" w:space="0" w:color="auto"/>
                <w:bottom w:val="none" w:sz="0" w:space="0" w:color="auto"/>
                <w:right w:val="none" w:sz="0" w:space="0" w:color="auto"/>
              </w:divBdr>
            </w:div>
            <w:div w:id="748429797">
              <w:marLeft w:val="0"/>
              <w:marRight w:val="0"/>
              <w:marTop w:val="0"/>
              <w:marBottom w:val="0"/>
              <w:divBdr>
                <w:top w:val="none" w:sz="0" w:space="0" w:color="auto"/>
                <w:left w:val="none" w:sz="0" w:space="0" w:color="auto"/>
                <w:bottom w:val="none" w:sz="0" w:space="0" w:color="auto"/>
                <w:right w:val="none" w:sz="0" w:space="0" w:color="auto"/>
              </w:divBdr>
            </w:div>
            <w:div w:id="1815949375">
              <w:marLeft w:val="0"/>
              <w:marRight w:val="0"/>
              <w:marTop w:val="0"/>
              <w:marBottom w:val="0"/>
              <w:divBdr>
                <w:top w:val="none" w:sz="0" w:space="0" w:color="auto"/>
                <w:left w:val="none" w:sz="0" w:space="0" w:color="auto"/>
                <w:bottom w:val="none" w:sz="0" w:space="0" w:color="auto"/>
                <w:right w:val="none" w:sz="0" w:space="0" w:color="auto"/>
              </w:divBdr>
            </w:div>
            <w:div w:id="1926960942">
              <w:marLeft w:val="0"/>
              <w:marRight w:val="0"/>
              <w:marTop w:val="0"/>
              <w:marBottom w:val="0"/>
              <w:divBdr>
                <w:top w:val="none" w:sz="0" w:space="0" w:color="auto"/>
                <w:left w:val="none" w:sz="0" w:space="0" w:color="auto"/>
                <w:bottom w:val="none" w:sz="0" w:space="0" w:color="auto"/>
                <w:right w:val="none" w:sz="0" w:space="0" w:color="auto"/>
              </w:divBdr>
            </w:div>
            <w:div w:id="1295482358">
              <w:marLeft w:val="0"/>
              <w:marRight w:val="0"/>
              <w:marTop w:val="0"/>
              <w:marBottom w:val="0"/>
              <w:divBdr>
                <w:top w:val="none" w:sz="0" w:space="0" w:color="auto"/>
                <w:left w:val="none" w:sz="0" w:space="0" w:color="auto"/>
                <w:bottom w:val="none" w:sz="0" w:space="0" w:color="auto"/>
                <w:right w:val="none" w:sz="0" w:space="0" w:color="auto"/>
              </w:divBdr>
            </w:div>
            <w:div w:id="58482812">
              <w:marLeft w:val="0"/>
              <w:marRight w:val="0"/>
              <w:marTop w:val="0"/>
              <w:marBottom w:val="0"/>
              <w:divBdr>
                <w:top w:val="none" w:sz="0" w:space="0" w:color="auto"/>
                <w:left w:val="none" w:sz="0" w:space="0" w:color="auto"/>
                <w:bottom w:val="none" w:sz="0" w:space="0" w:color="auto"/>
                <w:right w:val="none" w:sz="0" w:space="0" w:color="auto"/>
              </w:divBdr>
            </w:div>
            <w:div w:id="473330866">
              <w:marLeft w:val="0"/>
              <w:marRight w:val="0"/>
              <w:marTop w:val="0"/>
              <w:marBottom w:val="0"/>
              <w:divBdr>
                <w:top w:val="none" w:sz="0" w:space="0" w:color="auto"/>
                <w:left w:val="none" w:sz="0" w:space="0" w:color="auto"/>
                <w:bottom w:val="none" w:sz="0" w:space="0" w:color="auto"/>
                <w:right w:val="none" w:sz="0" w:space="0" w:color="auto"/>
              </w:divBdr>
            </w:div>
            <w:div w:id="100692235">
              <w:marLeft w:val="0"/>
              <w:marRight w:val="0"/>
              <w:marTop w:val="0"/>
              <w:marBottom w:val="0"/>
              <w:divBdr>
                <w:top w:val="none" w:sz="0" w:space="0" w:color="auto"/>
                <w:left w:val="none" w:sz="0" w:space="0" w:color="auto"/>
                <w:bottom w:val="none" w:sz="0" w:space="0" w:color="auto"/>
                <w:right w:val="none" w:sz="0" w:space="0" w:color="auto"/>
              </w:divBdr>
            </w:div>
            <w:div w:id="1770545208">
              <w:marLeft w:val="0"/>
              <w:marRight w:val="0"/>
              <w:marTop w:val="0"/>
              <w:marBottom w:val="0"/>
              <w:divBdr>
                <w:top w:val="none" w:sz="0" w:space="0" w:color="auto"/>
                <w:left w:val="none" w:sz="0" w:space="0" w:color="auto"/>
                <w:bottom w:val="none" w:sz="0" w:space="0" w:color="auto"/>
                <w:right w:val="none" w:sz="0" w:space="0" w:color="auto"/>
              </w:divBdr>
            </w:div>
            <w:div w:id="1801025295">
              <w:marLeft w:val="0"/>
              <w:marRight w:val="0"/>
              <w:marTop w:val="0"/>
              <w:marBottom w:val="0"/>
              <w:divBdr>
                <w:top w:val="none" w:sz="0" w:space="0" w:color="auto"/>
                <w:left w:val="none" w:sz="0" w:space="0" w:color="auto"/>
                <w:bottom w:val="none" w:sz="0" w:space="0" w:color="auto"/>
                <w:right w:val="none" w:sz="0" w:space="0" w:color="auto"/>
              </w:divBdr>
            </w:div>
            <w:div w:id="651642789">
              <w:marLeft w:val="0"/>
              <w:marRight w:val="0"/>
              <w:marTop w:val="0"/>
              <w:marBottom w:val="0"/>
              <w:divBdr>
                <w:top w:val="none" w:sz="0" w:space="0" w:color="auto"/>
                <w:left w:val="none" w:sz="0" w:space="0" w:color="auto"/>
                <w:bottom w:val="none" w:sz="0" w:space="0" w:color="auto"/>
                <w:right w:val="none" w:sz="0" w:space="0" w:color="auto"/>
              </w:divBdr>
            </w:div>
            <w:div w:id="497039991">
              <w:marLeft w:val="0"/>
              <w:marRight w:val="0"/>
              <w:marTop w:val="0"/>
              <w:marBottom w:val="0"/>
              <w:divBdr>
                <w:top w:val="none" w:sz="0" w:space="0" w:color="auto"/>
                <w:left w:val="none" w:sz="0" w:space="0" w:color="auto"/>
                <w:bottom w:val="none" w:sz="0" w:space="0" w:color="auto"/>
                <w:right w:val="none" w:sz="0" w:space="0" w:color="auto"/>
              </w:divBdr>
            </w:div>
            <w:div w:id="146557142">
              <w:marLeft w:val="0"/>
              <w:marRight w:val="0"/>
              <w:marTop w:val="0"/>
              <w:marBottom w:val="0"/>
              <w:divBdr>
                <w:top w:val="none" w:sz="0" w:space="0" w:color="auto"/>
                <w:left w:val="none" w:sz="0" w:space="0" w:color="auto"/>
                <w:bottom w:val="none" w:sz="0" w:space="0" w:color="auto"/>
                <w:right w:val="none" w:sz="0" w:space="0" w:color="auto"/>
              </w:divBdr>
            </w:div>
            <w:div w:id="1259674055">
              <w:marLeft w:val="0"/>
              <w:marRight w:val="0"/>
              <w:marTop w:val="0"/>
              <w:marBottom w:val="0"/>
              <w:divBdr>
                <w:top w:val="none" w:sz="0" w:space="0" w:color="auto"/>
                <w:left w:val="none" w:sz="0" w:space="0" w:color="auto"/>
                <w:bottom w:val="none" w:sz="0" w:space="0" w:color="auto"/>
                <w:right w:val="none" w:sz="0" w:space="0" w:color="auto"/>
              </w:divBdr>
            </w:div>
            <w:div w:id="1953856469">
              <w:marLeft w:val="0"/>
              <w:marRight w:val="0"/>
              <w:marTop w:val="0"/>
              <w:marBottom w:val="0"/>
              <w:divBdr>
                <w:top w:val="none" w:sz="0" w:space="0" w:color="auto"/>
                <w:left w:val="none" w:sz="0" w:space="0" w:color="auto"/>
                <w:bottom w:val="none" w:sz="0" w:space="0" w:color="auto"/>
                <w:right w:val="none" w:sz="0" w:space="0" w:color="auto"/>
              </w:divBdr>
            </w:div>
            <w:div w:id="1088892113">
              <w:marLeft w:val="0"/>
              <w:marRight w:val="0"/>
              <w:marTop w:val="0"/>
              <w:marBottom w:val="0"/>
              <w:divBdr>
                <w:top w:val="none" w:sz="0" w:space="0" w:color="auto"/>
                <w:left w:val="none" w:sz="0" w:space="0" w:color="auto"/>
                <w:bottom w:val="none" w:sz="0" w:space="0" w:color="auto"/>
                <w:right w:val="none" w:sz="0" w:space="0" w:color="auto"/>
              </w:divBdr>
            </w:div>
            <w:div w:id="1621063966">
              <w:marLeft w:val="0"/>
              <w:marRight w:val="0"/>
              <w:marTop w:val="0"/>
              <w:marBottom w:val="0"/>
              <w:divBdr>
                <w:top w:val="none" w:sz="0" w:space="0" w:color="auto"/>
                <w:left w:val="none" w:sz="0" w:space="0" w:color="auto"/>
                <w:bottom w:val="none" w:sz="0" w:space="0" w:color="auto"/>
                <w:right w:val="none" w:sz="0" w:space="0" w:color="auto"/>
              </w:divBdr>
            </w:div>
            <w:div w:id="565117240">
              <w:marLeft w:val="0"/>
              <w:marRight w:val="0"/>
              <w:marTop w:val="0"/>
              <w:marBottom w:val="0"/>
              <w:divBdr>
                <w:top w:val="none" w:sz="0" w:space="0" w:color="auto"/>
                <w:left w:val="none" w:sz="0" w:space="0" w:color="auto"/>
                <w:bottom w:val="none" w:sz="0" w:space="0" w:color="auto"/>
                <w:right w:val="none" w:sz="0" w:space="0" w:color="auto"/>
              </w:divBdr>
            </w:div>
            <w:div w:id="1050495897">
              <w:marLeft w:val="0"/>
              <w:marRight w:val="0"/>
              <w:marTop w:val="0"/>
              <w:marBottom w:val="0"/>
              <w:divBdr>
                <w:top w:val="none" w:sz="0" w:space="0" w:color="auto"/>
                <w:left w:val="none" w:sz="0" w:space="0" w:color="auto"/>
                <w:bottom w:val="none" w:sz="0" w:space="0" w:color="auto"/>
                <w:right w:val="none" w:sz="0" w:space="0" w:color="auto"/>
              </w:divBdr>
            </w:div>
            <w:div w:id="1284456043">
              <w:marLeft w:val="0"/>
              <w:marRight w:val="0"/>
              <w:marTop w:val="0"/>
              <w:marBottom w:val="0"/>
              <w:divBdr>
                <w:top w:val="none" w:sz="0" w:space="0" w:color="auto"/>
                <w:left w:val="none" w:sz="0" w:space="0" w:color="auto"/>
                <w:bottom w:val="none" w:sz="0" w:space="0" w:color="auto"/>
                <w:right w:val="none" w:sz="0" w:space="0" w:color="auto"/>
              </w:divBdr>
            </w:div>
            <w:div w:id="535503935">
              <w:marLeft w:val="0"/>
              <w:marRight w:val="0"/>
              <w:marTop w:val="0"/>
              <w:marBottom w:val="0"/>
              <w:divBdr>
                <w:top w:val="none" w:sz="0" w:space="0" w:color="auto"/>
                <w:left w:val="none" w:sz="0" w:space="0" w:color="auto"/>
                <w:bottom w:val="none" w:sz="0" w:space="0" w:color="auto"/>
                <w:right w:val="none" w:sz="0" w:space="0" w:color="auto"/>
              </w:divBdr>
            </w:div>
            <w:div w:id="355548380">
              <w:marLeft w:val="0"/>
              <w:marRight w:val="0"/>
              <w:marTop w:val="0"/>
              <w:marBottom w:val="0"/>
              <w:divBdr>
                <w:top w:val="none" w:sz="0" w:space="0" w:color="auto"/>
                <w:left w:val="none" w:sz="0" w:space="0" w:color="auto"/>
                <w:bottom w:val="none" w:sz="0" w:space="0" w:color="auto"/>
                <w:right w:val="none" w:sz="0" w:space="0" w:color="auto"/>
              </w:divBdr>
            </w:div>
            <w:div w:id="1741948948">
              <w:marLeft w:val="0"/>
              <w:marRight w:val="0"/>
              <w:marTop w:val="0"/>
              <w:marBottom w:val="0"/>
              <w:divBdr>
                <w:top w:val="none" w:sz="0" w:space="0" w:color="auto"/>
                <w:left w:val="none" w:sz="0" w:space="0" w:color="auto"/>
                <w:bottom w:val="none" w:sz="0" w:space="0" w:color="auto"/>
                <w:right w:val="none" w:sz="0" w:space="0" w:color="auto"/>
              </w:divBdr>
            </w:div>
            <w:div w:id="62340939">
              <w:marLeft w:val="0"/>
              <w:marRight w:val="0"/>
              <w:marTop w:val="0"/>
              <w:marBottom w:val="0"/>
              <w:divBdr>
                <w:top w:val="none" w:sz="0" w:space="0" w:color="auto"/>
                <w:left w:val="none" w:sz="0" w:space="0" w:color="auto"/>
                <w:bottom w:val="none" w:sz="0" w:space="0" w:color="auto"/>
                <w:right w:val="none" w:sz="0" w:space="0" w:color="auto"/>
              </w:divBdr>
            </w:div>
            <w:div w:id="983585073">
              <w:marLeft w:val="0"/>
              <w:marRight w:val="0"/>
              <w:marTop w:val="0"/>
              <w:marBottom w:val="0"/>
              <w:divBdr>
                <w:top w:val="none" w:sz="0" w:space="0" w:color="auto"/>
                <w:left w:val="none" w:sz="0" w:space="0" w:color="auto"/>
                <w:bottom w:val="none" w:sz="0" w:space="0" w:color="auto"/>
                <w:right w:val="none" w:sz="0" w:space="0" w:color="auto"/>
              </w:divBdr>
            </w:div>
            <w:div w:id="1668367622">
              <w:marLeft w:val="0"/>
              <w:marRight w:val="0"/>
              <w:marTop w:val="0"/>
              <w:marBottom w:val="0"/>
              <w:divBdr>
                <w:top w:val="none" w:sz="0" w:space="0" w:color="auto"/>
                <w:left w:val="none" w:sz="0" w:space="0" w:color="auto"/>
                <w:bottom w:val="none" w:sz="0" w:space="0" w:color="auto"/>
                <w:right w:val="none" w:sz="0" w:space="0" w:color="auto"/>
              </w:divBdr>
            </w:div>
            <w:div w:id="59598862">
              <w:marLeft w:val="0"/>
              <w:marRight w:val="0"/>
              <w:marTop w:val="0"/>
              <w:marBottom w:val="0"/>
              <w:divBdr>
                <w:top w:val="none" w:sz="0" w:space="0" w:color="auto"/>
                <w:left w:val="none" w:sz="0" w:space="0" w:color="auto"/>
                <w:bottom w:val="none" w:sz="0" w:space="0" w:color="auto"/>
                <w:right w:val="none" w:sz="0" w:space="0" w:color="auto"/>
              </w:divBdr>
            </w:div>
            <w:div w:id="2062240432">
              <w:marLeft w:val="0"/>
              <w:marRight w:val="0"/>
              <w:marTop w:val="0"/>
              <w:marBottom w:val="0"/>
              <w:divBdr>
                <w:top w:val="none" w:sz="0" w:space="0" w:color="auto"/>
                <w:left w:val="none" w:sz="0" w:space="0" w:color="auto"/>
                <w:bottom w:val="none" w:sz="0" w:space="0" w:color="auto"/>
                <w:right w:val="none" w:sz="0" w:space="0" w:color="auto"/>
              </w:divBdr>
            </w:div>
            <w:div w:id="1657756633">
              <w:marLeft w:val="0"/>
              <w:marRight w:val="0"/>
              <w:marTop w:val="0"/>
              <w:marBottom w:val="0"/>
              <w:divBdr>
                <w:top w:val="none" w:sz="0" w:space="0" w:color="auto"/>
                <w:left w:val="none" w:sz="0" w:space="0" w:color="auto"/>
                <w:bottom w:val="none" w:sz="0" w:space="0" w:color="auto"/>
                <w:right w:val="none" w:sz="0" w:space="0" w:color="auto"/>
              </w:divBdr>
            </w:div>
            <w:div w:id="701783842">
              <w:marLeft w:val="0"/>
              <w:marRight w:val="0"/>
              <w:marTop w:val="0"/>
              <w:marBottom w:val="0"/>
              <w:divBdr>
                <w:top w:val="none" w:sz="0" w:space="0" w:color="auto"/>
                <w:left w:val="none" w:sz="0" w:space="0" w:color="auto"/>
                <w:bottom w:val="none" w:sz="0" w:space="0" w:color="auto"/>
                <w:right w:val="none" w:sz="0" w:space="0" w:color="auto"/>
              </w:divBdr>
            </w:div>
            <w:div w:id="995107321">
              <w:marLeft w:val="0"/>
              <w:marRight w:val="0"/>
              <w:marTop w:val="0"/>
              <w:marBottom w:val="0"/>
              <w:divBdr>
                <w:top w:val="none" w:sz="0" w:space="0" w:color="auto"/>
                <w:left w:val="none" w:sz="0" w:space="0" w:color="auto"/>
                <w:bottom w:val="none" w:sz="0" w:space="0" w:color="auto"/>
                <w:right w:val="none" w:sz="0" w:space="0" w:color="auto"/>
              </w:divBdr>
            </w:div>
            <w:div w:id="1642810478">
              <w:marLeft w:val="0"/>
              <w:marRight w:val="0"/>
              <w:marTop w:val="0"/>
              <w:marBottom w:val="0"/>
              <w:divBdr>
                <w:top w:val="none" w:sz="0" w:space="0" w:color="auto"/>
                <w:left w:val="none" w:sz="0" w:space="0" w:color="auto"/>
                <w:bottom w:val="none" w:sz="0" w:space="0" w:color="auto"/>
                <w:right w:val="none" w:sz="0" w:space="0" w:color="auto"/>
              </w:divBdr>
            </w:div>
            <w:div w:id="1095320927">
              <w:marLeft w:val="0"/>
              <w:marRight w:val="0"/>
              <w:marTop w:val="0"/>
              <w:marBottom w:val="0"/>
              <w:divBdr>
                <w:top w:val="none" w:sz="0" w:space="0" w:color="auto"/>
                <w:left w:val="none" w:sz="0" w:space="0" w:color="auto"/>
                <w:bottom w:val="none" w:sz="0" w:space="0" w:color="auto"/>
                <w:right w:val="none" w:sz="0" w:space="0" w:color="auto"/>
              </w:divBdr>
            </w:div>
            <w:div w:id="1773696582">
              <w:marLeft w:val="0"/>
              <w:marRight w:val="0"/>
              <w:marTop w:val="0"/>
              <w:marBottom w:val="0"/>
              <w:divBdr>
                <w:top w:val="none" w:sz="0" w:space="0" w:color="auto"/>
                <w:left w:val="none" w:sz="0" w:space="0" w:color="auto"/>
                <w:bottom w:val="none" w:sz="0" w:space="0" w:color="auto"/>
                <w:right w:val="none" w:sz="0" w:space="0" w:color="auto"/>
              </w:divBdr>
            </w:div>
            <w:div w:id="82608104">
              <w:marLeft w:val="0"/>
              <w:marRight w:val="0"/>
              <w:marTop w:val="0"/>
              <w:marBottom w:val="0"/>
              <w:divBdr>
                <w:top w:val="none" w:sz="0" w:space="0" w:color="auto"/>
                <w:left w:val="none" w:sz="0" w:space="0" w:color="auto"/>
                <w:bottom w:val="none" w:sz="0" w:space="0" w:color="auto"/>
                <w:right w:val="none" w:sz="0" w:space="0" w:color="auto"/>
              </w:divBdr>
            </w:div>
            <w:div w:id="520557522">
              <w:marLeft w:val="0"/>
              <w:marRight w:val="0"/>
              <w:marTop w:val="0"/>
              <w:marBottom w:val="0"/>
              <w:divBdr>
                <w:top w:val="none" w:sz="0" w:space="0" w:color="auto"/>
                <w:left w:val="none" w:sz="0" w:space="0" w:color="auto"/>
                <w:bottom w:val="none" w:sz="0" w:space="0" w:color="auto"/>
                <w:right w:val="none" w:sz="0" w:space="0" w:color="auto"/>
              </w:divBdr>
            </w:div>
            <w:div w:id="1873641185">
              <w:marLeft w:val="0"/>
              <w:marRight w:val="0"/>
              <w:marTop w:val="0"/>
              <w:marBottom w:val="0"/>
              <w:divBdr>
                <w:top w:val="none" w:sz="0" w:space="0" w:color="auto"/>
                <w:left w:val="none" w:sz="0" w:space="0" w:color="auto"/>
                <w:bottom w:val="none" w:sz="0" w:space="0" w:color="auto"/>
                <w:right w:val="none" w:sz="0" w:space="0" w:color="auto"/>
              </w:divBdr>
            </w:div>
            <w:div w:id="793139672">
              <w:marLeft w:val="0"/>
              <w:marRight w:val="0"/>
              <w:marTop w:val="0"/>
              <w:marBottom w:val="0"/>
              <w:divBdr>
                <w:top w:val="none" w:sz="0" w:space="0" w:color="auto"/>
                <w:left w:val="none" w:sz="0" w:space="0" w:color="auto"/>
                <w:bottom w:val="none" w:sz="0" w:space="0" w:color="auto"/>
                <w:right w:val="none" w:sz="0" w:space="0" w:color="auto"/>
              </w:divBdr>
            </w:div>
            <w:div w:id="1283993602">
              <w:marLeft w:val="0"/>
              <w:marRight w:val="0"/>
              <w:marTop w:val="0"/>
              <w:marBottom w:val="0"/>
              <w:divBdr>
                <w:top w:val="none" w:sz="0" w:space="0" w:color="auto"/>
                <w:left w:val="none" w:sz="0" w:space="0" w:color="auto"/>
                <w:bottom w:val="none" w:sz="0" w:space="0" w:color="auto"/>
                <w:right w:val="none" w:sz="0" w:space="0" w:color="auto"/>
              </w:divBdr>
            </w:div>
            <w:div w:id="1125079192">
              <w:marLeft w:val="0"/>
              <w:marRight w:val="0"/>
              <w:marTop w:val="0"/>
              <w:marBottom w:val="0"/>
              <w:divBdr>
                <w:top w:val="none" w:sz="0" w:space="0" w:color="auto"/>
                <w:left w:val="none" w:sz="0" w:space="0" w:color="auto"/>
                <w:bottom w:val="none" w:sz="0" w:space="0" w:color="auto"/>
                <w:right w:val="none" w:sz="0" w:space="0" w:color="auto"/>
              </w:divBdr>
            </w:div>
            <w:div w:id="1937975475">
              <w:marLeft w:val="0"/>
              <w:marRight w:val="0"/>
              <w:marTop w:val="0"/>
              <w:marBottom w:val="0"/>
              <w:divBdr>
                <w:top w:val="none" w:sz="0" w:space="0" w:color="auto"/>
                <w:left w:val="none" w:sz="0" w:space="0" w:color="auto"/>
                <w:bottom w:val="none" w:sz="0" w:space="0" w:color="auto"/>
                <w:right w:val="none" w:sz="0" w:space="0" w:color="auto"/>
              </w:divBdr>
            </w:div>
            <w:div w:id="1619870999">
              <w:marLeft w:val="0"/>
              <w:marRight w:val="0"/>
              <w:marTop w:val="0"/>
              <w:marBottom w:val="0"/>
              <w:divBdr>
                <w:top w:val="none" w:sz="0" w:space="0" w:color="auto"/>
                <w:left w:val="none" w:sz="0" w:space="0" w:color="auto"/>
                <w:bottom w:val="none" w:sz="0" w:space="0" w:color="auto"/>
                <w:right w:val="none" w:sz="0" w:space="0" w:color="auto"/>
              </w:divBdr>
            </w:div>
            <w:div w:id="662465180">
              <w:marLeft w:val="0"/>
              <w:marRight w:val="0"/>
              <w:marTop w:val="0"/>
              <w:marBottom w:val="0"/>
              <w:divBdr>
                <w:top w:val="none" w:sz="0" w:space="0" w:color="auto"/>
                <w:left w:val="none" w:sz="0" w:space="0" w:color="auto"/>
                <w:bottom w:val="none" w:sz="0" w:space="0" w:color="auto"/>
                <w:right w:val="none" w:sz="0" w:space="0" w:color="auto"/>
              </w:divBdr>
            </w:div>
            <w:div w:id="2078241820">
              <w:marLeft w:val="0"/>
              <w:marRight w:val="0"/>
              <w:marTop w:val="0"/>
              <w:marBottom w:val="0"/>
              <w:divBdr>
                <w:top w:val="none" w:sz="0" w:space="0" w:color="auto"/>
                <w:left w:val="none" w:sz="0" w:space="0" w:color="auto"/>
                <w:bottom w:val="none" w:sz="0" w:space="0" w:color="auto"/>
                <w:right w:val="none" w:sz="0" w:space="0" w:color="auto"/>
              </w:divBdr>
            </w:div>
            <w:div w:id="329993548">
              <w:marLeft w:val="0"/>
              <w:marRight w:val="0"/>
              <w:marTop w:val="0"/>
              <w:marBottom w:val="0"/>
              <w:divBdr>
                <w:top w:val="none" w:sz="0" w:space="0" w:color="auto"/>
                <w:left w:val="none" w:sz="0" w:space="0" w:color="auto"/>
                <w:bottom w:val="none" w:sz="0" w:space="0" w:color="auto"/>
                <w:right w:val="none" w:sz="0" w:space="0" w:color="auto"/>
              </w:divBdr>
            </w:div>
            <w:div w:id="82849188">
              <w:marLeft w:val="0"/>
              <w:marRight w:val="0"/>
              <w:marTop w:val="0"/>
              <w:marBottom w:val="0"/>
              <w:divBdr>
                <w:top w:val="none" w:sz="0" w:space="0" w:color="auto"/>
                <w:left w:val="none" w:sz="0" w:space="0" w:color="auto"/>
                <w:bottom w:val="none" w:sz="0" w:space="0" w:color="auto"/>
                <w:right w:val="none" w:sz="0" w:space="0" w:color="auto"/>
              </w:divBdr>
            </w:div>
            <w:div w:id="3826281">
              <w:marLeft w:val="0"/>
              <w:marRight w:val="0"/>
              <w:marTop w:val="0"/>
              <w:marBottom w:val="0"/>
              <w:divBdr>
                <w:top w:val="none" w:sz="0" w:space="0" w:color="auto"/>
                <w:left w:val="none" w:sz="0" w:space="0" w:color="auto"/>
                <w:bottom w:val="none" w:sz="0" w:space="0" w:color="auto"/>
                <w:right w:val="none" w:sz="0" w:space="0" w:color="auto"/>
              </w:divBdr>
            </w:div>
            <w:div w:id="231813460">
              <w:marLeft w:val="0"/>
              <w:marRight w:val="0"/>
              <w:marTop w:val="0"/>
              <w:marBottom w:val="0"/>
              <w:divBdr>
                <w:top w:val="none" w:sz="0" w:space="0" w:color="auto"/>
                <w:left w:val="none" w:sz="0" w:space="0" w:color="auto"/>
                <w:bottom w:val="none" w:sz="0" w:space="0" w:color="auto"/>
                <w:right w:val="none" w:sz="0" w:space="0" w:color="auto"/>
              </w:divBdr>
            </w:div>
            <w:div w:id="2069106979">
              <w:marLeft w:val="0"/>
              <w:marRight w:val="0"/>
              <w:marTop w:val="0"/>
              <w:marBottom w:val="0"/>
              <w:divBdr>
                <w:top w:val="none" w:sz="0" w:space="0" w:color="auto"/>
                <w:left w:val="none" w:sz="0" w:space="0" w:color="auto"/>
                <w:bottom w:val="none" w:sz="0" w:space="0" w:color="auto"/>
                <w:right w:val="none" w:sz="0" w:space="0" w:color="auto"/>
              </w:divBdr>
            </w:div>
            <w:div w:id="1715732996">
              <w:marLeft w:val="0"/>
              <w:marRight w:val="0"/>
              <w:marTop w:val="0"/>
              <w:marBottom w:val="0"/>
              <w:divBdr>
                <w:top w:val="none" w:sz="0" w:space="0" w:color="auto"/>
                <w:left w:val="none" w:sz="0" w:space="0" w:color="auto"/>
                <w:bottom w:val="none" w:sz="0" w:space="0" w:color="auto"/>
                <w:right w:val="none" w:sz="0" w:space="0" w:color="auto"/>
              </w:divBdr>
            </w:div>
            <w:div w:id="1585189997">
              <w:marLeft w:val="0"/>
              <w:marRight w:val="0"/>
              <w:marTop w:val="0"/>
              <w:marBottom w:val="0"/>
              <w:divBdr>
                <w:top w:val="none" w:sz="0" w:space="0" w:color="auto"/>
                <w:left w:val="none" w:sz="0" w:space="0" w:color="auto"/>
                <w:bottom w:val="none" w:sz="0" w:space="0" w:color="auto"/>
                <w:right w:val="none" w:sz="0" w:space="0" w:color="auto"/>
              </w:divBdr>
            </w:div>
            <w:div w:id="474953799">
              <w:marLeft w:val="0"/>
              <w:marRight w:val="0"/>
              <w:marTop w:val="0"/>
              <w:marBottom w:val="0"/>
              <w:divBdr>
                <w:top w:val="none" w:sz="0" w:space="0" w:color="auto"/>
                <w:left w:val="none" w:sz="0" w:space="0" w:color="auto"/>
                <w:bottom w:val="none" w:sz="0" w:space="0" w:color="auto"/>
                <w:right w:val="none" w:sz="0" w:space="0" w:color="auto"/>
              </w:divBdr>
            </w:div>
            <w:div w:id="203833408">
              <w:marLeft w:val="0"/>
              <w:marRight w:val="0"/>
              <w:marTop w:val="0"/>
              <w:marBottom w:val="0"/>
              <w:divBdr>
                <w:top w:val="none" w:sz="0" w:space="0" w:color="auto"/>
                <w:left w:val="none" w:sz="0" w:space="0" w:color="auto"/>
                <w:bottom w:val="none" w:sz="0" w:space="0" w:color="auto"/>
                <w:right w:val="none" w:sz="0" w:space="0" w:color="auto"/>
              </w:divBdr>
            </w:div>
            <w:div w:id="1731271744">
              <w:marLeft w:val="0"/>
              <w:marRight w:val="0"/>
              <w:marTop w:val="0"/>
              <w:marBottom w:val="0"/>
              <w:divBdr>
                <w:top w:val="none" w:sz="0" w:space="0" w:color="auto"/>
                <w:left w:val="none" w:sz="0" w:space="0" w:color="auto"/>
                <w:bottom w:val="none" w:sz="0" w:space="0" w:color="auto"/>
                <w:right w:val="none" w:sz="0" w:space="0" w:color="auto"/>
              </w:divBdr>
            </w:div>
            <w:div w:id="1364019115">
              <w:marLeft w:val="0"/>
              <w:marRight w:val="0"/>
              <w:marTop w:val="0"/>
              <w:marBottom w:val="0"/>
              <w:divBdr>
                <w:top w:val="none" w:sz="0" w:space="0" w:color="auto"/>
                <w:left w:val="none" w:sz="0" w:space="0" w:color="auto"/>
                <w:bottom w:val="none" w:sz="0" w:space="0" w:color="auto"/>
                <w:right w:val="none" w:sz="0" w:space="0" w:color="auto"/>
              </w:divBdr>
            </w:div>
            <w:div w:id="223755992">
              <w:marLeft w:val="0"/>
              <w:marRight w:val="0"/>
              <w:marTop w:val="0"/>
              <w:marBottom w:val="0"/>
              <w:divBdr>
                <w:top w:val="none" w:sz="0" w:space="0" w:color="auto"/>
                <w:left w:val="none" w:sz="0" w:space="0" w:color="auto"/>
                <w:bottom w:val="none" w:sz="0" w:space="0" w:color="auto"/>
                <w:right w:val="none" w:sz="0" w:space="0" w:color="auto"/>
              </w:divBdr>
            </w:div>
            <w:div w:id="263996738">
              <w:marLeft w:val="0"/>
              <w:marRight w:val="0"/>
              <w:marTop w:val="0"/>
              <w:marBottom w:val="0"/>
              <w:divBdr>
                <w:top w:val="none" w:sz="0" w:space="0" w:color="auto"/>
                <w:left w:val="none" w:sz="0" w:space="0" w:color="auto"/>
                <w:bottom w:val="none" w:sz="0" w:space="0" w:color="auto"/>
                <w:right w:val="none" w:sz="0" w:space="0" w:color="auto"/>
              </w:divBdr>
            </w:div>
            <w:div w:id="198397851">
              <w:marLeft w:val="0"/>
              <w:marRight w:val="0"/>
              <w:marTop w:val="0"/>
              <w:marBottom w:val="0"/>
              <w:divBdr>
                <w:top w:val="none" w:sz="0" w:space="0" w:color="auto"/>
                <w:left w:val="none" w:sz="0" w:space="0" w:color="auto"/>
                <w:bottom w:val="none" w:sz="0" w:space="0" w:color="auto"/>
                <w:right w:val="none" w:sz="0" w:space="0" w:color="auto"/>
              </w:divBdr>
            </w:div>
            <w:div w:id="62026823">
              <w:marLeft w:val="0"/>
              <w:marRight w:val="0"/>
              <w:marTop w:val="0"/>
              <w:marBottom w:val="0"/>
              <w:divBdr>
                <w:top w:val="none" w:sz="0" w:space="0" w:color="auto"/>
                <w:left w:val="none" w:sz="0" w:space="0" w:color="auto"/>
                <w:bottom w:val="none" w:sz="0" w:space="0" w:color="auto"/>
                <w:right w:val="none" w:sz="0" w:space="0" w:color="auto"/>
              </w:divBdr>
            </w:div>
            <w:div w:id="1887449921">
              <w:marLeft w:val="0"/>
              <w:marRight w:val="0"/>
              <w:marTop w:val="0"/>
              <w:marBottom w:val="0"/>
              <w:divBdr>
                <w:top w:val="none" w:sz="0" w:space="0" w:color="auto"/>
                <w:left w:val="none" w:sz="0" w:space="0" w:color="auto"/>
                <w:bottom w:val="none" w:sz="0" w:space="0" w:color="auto"/>
                <w:right w:val="none" w:sz="0" w:space="0" w:color="auto"/>
              </w:divBdr>
            </w:div>
            <w:div w:id="1323511223">
              <w:marLeft w:val="0"/>
              <w:marRight w:val="0"/>
              <w:marTop w:val="0"/>
              <w:marBottom w:val="0"/>
              <w:divBdr>
                <w:top w:val="none" w:sz="0" w:space="0" w:color="auto"/>
                <w:left w:val="none" w:sz="0" w:space="0" w:color="auto"/>
                <w:bottom w:val="none" w:sz="0" w:space="0" w:color="auto"/>
                <w:right w:val="none" w:sz="0" w:space="0" w:color="auto"/>
              </w:divBdr>
            </w:div>
            <w:div w:id="1770269702">
              <w:marLeft w:val="0"/>
              <w:marRight w:val="0"/>
              <w:marTop w:val="0"/>
              <w:marBottom w:val="0"/>
              <w:divBdr>
                <w:top w:val="none" w:sz="0" w:space="0" w:color="auto"/>
                <w:left w:val="none" w:sz="0" w:space="0" w:color="auto"/>
                <w:bottom w:val="none" w:sz="0" w:space="0" w:color="auto"/>
                <w:right w:val="none" w:sz="0" w:space="0" w:color="auto"/>
              </w:divBdr>
            </w:div>
            <w:div w:id="2070765455">
              <w:marLeft w:val="0"/>
              <w:marRight w:val="0"/>
              <w:marTop w:val="0"/>
              <w:marBottom w:val="0"/>
              <w:divBdr>
                <w:top w:val="none" w:sz="0" w:space="0" w:color="auto"/>
                <w:left w:val="none" w:sz="0" w:space="0" w:color="auto"/>
                <w:bottom w:val="none" w:sz="0" w:space="0" w:color="auto"/>
                <w:right w:val="none" w:sz="0" w:space="0" w:color="auto"/>
              </w:divBdr>
            </w:div>
            <w:div w:id="617876364">
              <w:marLeft w:val="0"/>
              <w:marRight w:val="0"/>
              <w:marTop w:val="0"/>
              <w:marBottom w:val="0"/>
              <w:divBdr>
                <w:top w:val="none" w:sz="0" w:space="0" w:color="auto"/>
                <w:left w:val="none" w:sz="0" w:space="0" w:color="auto"/>
                <w:bottom w:val="none" w:sz="0" w:space="0" w:color="auto"/>
                <w:right w:val="none" w:sz="0" w:space="0" w:color="auto"/>
              </w:divBdr>
            </w:div>
            <w:div w:id="1938520798">
              <w:marLeft w:val="0"/>
              <w:marRight w:val="0"/>
              <w:marTop w:val="0"/>
              <w:marBottom w:val="0"/>
              <w:divBdr>
                <w:top w:val="none" w:sz="0" w:space="0" w:color="auto"/>
                <w:left w:val="none" w:sz="0" w:space="0" w:color="auto"/>
                <w:bottom w:val="none" w:sz="0" w:space="0" w:color="auto"/>
                <w:right w:val="none" w:sz="0" w:space="0" w:color="auto"/>
              </w:divBdr>
            </w:div>
            <w:div w:id="1310670497">
              <w:marLeft w:val="0"/>
              <w:marRight w:val="0"/>
              <w:marTop w:val="0"/>
              <w:marBottom w:val="0"/>
              <w:divBdr>
                <w:top w:val="none" w:sz="0" w:space="0" w:color="auto"/>
                <w:left w:val="none" w:sz="0" w:space="0" w:color="auto"/>
                <w:bottom w:val="none" w:sz="0" w:space="0" w:color="auto"/>
                <w:right w:val="none" w:sz="0" w:space="0" w:color="auto"/>
              </w:divBdr>
            </w:div>
            <w:div w:id="1072117348">
              <w:marLeft w:val="0"/>
              <w:marRight w:val="0"/>
              <w:marTop w:val="0"/>
              <w:marBottom w:val="0"/>
              <w:divBdr>
                <w:top w:val="none" w:sz="0" w:space="0" w:color="auto"/>
                <w:left w:val="none" w:sz="0" w:space="0" w:color="auto"/>
                <w:bottom w:val="none" w:sz="0" w:space="0" w:color="auto"/>
                <w:right w:val="none" w:sz="0" w:space="0" w:color="auto"/>
              </w:divBdr>
            </w:div>
            <w:div w:id="1050693017">
              <w:marLeft w:val="0"/>
              <w:marRight w:val="0"/>
              <w:marTop w:val="0"/>
              <w:marBottom w:val="0"/>
              <w:divBdr>
                <w:top w:val="none" w:sz="0" w:space="0" w:color="auto"/>
                <w:left w:val="none" w:sz="0" w:space="0" w:color="auto"/>
                <w:bottom w:val="none" w:sz="0" w:space="0" w:color="auto"/>
                <w:right w:val="none" w:sz="0" w:space="0" w:color="auto"/>
              </w:divBdr>
            </w:div>
            <w:div w:id="213005735">
              <w:marLeft w:val="0"/>
              <w:marRight w:val="0"/>
              <w:marTop w:val="0"/>
              <w:marBottom w:val="0"/>
              <w:divBdr>
                <w:top w:val="none" w:sz="0" w:space="0" w:color="auto"/>
                <w:left w:val="none" w:sz="0" w:space="0" w:color="auto"/>
                <w:bottom w:val="none" w:sz="0" w:space="0" w:color="auto"/>
                <w:right w:val="none" w:sz="0" w:space="0" w:color="auto"/>
              </w:divBdr>
            </w:div>
            <w:div w:id="1599634878">
              <w:marLeft w:val="0"/>
              <w:marRight w:val="0"/>
              <w:marTop w:val="0"/>
              <w:marBottom w:val="0"/>
              <w:divBdr>
                <w:top w:val="none" w:sz="0" w:space="0" w:color="auto"/>
                <w:left w:val="none" w:sz="0" w:space="0" w:color="auto"/>
                <w:bottom w:val="none" w:sz="0" w:space="0" w:color="auto"/>
                <w:right w:val="none" w:sz="0" w:space="0" w:color="auto"/>
              </w:divBdr>
            </w:div>
            <w:div w:id="337469812">
              <w:marLeft w:val="0"/>
              <w:marRight w:val="0"/>
              <w:marTop w:val="0"/>
              <w:marBottom w:val="0"/>
              <w:divBdr>
                <w:top w:val="none" w:sz="0" w:space="0" w:color="auto"/>
                <w:left w:val="none" w:sz="0" w:space="0" w:color="auto"/>
                <w:bottom w:val="none" w:sz="0" w:space="0" w:color="auto"/>
                <w:right w:val="none" w:sz="0" w:space="0" w:color="auto"/>
              </w:divBdr>
            </w:div>
            <w:div w:id="1255822383">
              <w:marLeft w:val="0"/>
              <w:marRight w:val="0"/>
              <w:marTop w:val="0"/>
              <w:marBottom w:val="0"/>
              <w:divBdr>
                <w:top w:val="none" w:sz="0" w:space="0" w:color="auto"/>
                <w:left w:val="none" w:sz="0" w:space="0" w:color="auto"/>
                <w:bottom w:val="none" w:sz="0" w:space="0" w:color="auto"/>
                <w:right w:val="none" w:sz="0" w:space="0" w:color="auto"/>
              </w:divBdr>
            </w:div>
            <w:div w:id="958341906">
              <w:marLeft w:val="0"/>
              <w:marRight w:val="0"/>
              <w:marTop w:val="0"/>
              <w:marBottom w:val="0"/>
              <w:divBdr>
                <w:top w:val="none" w:sz="0" w:space="0" w:color="auto"/>
                <w:left w:val="none" w:sz="0" w:space="0" w:color="auto"/>
                <w:bottom w:val="none" w:sz="0" w:space="0" w:color="auto"/>
                <w:right w:val="none" w:sz="0" w:space="0" w:color="auto"/>
              </w:divBdr>
            </w:div>
            <w:div w:id="1795325587">
              <w:marLeft w:val="0"/>
              <w:marRight w:val="0"/>
              <w:marTop w:val="0"/>
              <w:marBottom w:val="0"/>
              <w:divBdr>
                <w:top w:val="none" w:sz="0" w:space="0" w:color="auto"/>
                <w:left w:val="none" w:sz="0" w:space="0" w:color="auto"/>
                <w:bottom w:val="none" w:sz="0" w:space="0" w:color="auto"/>
                <w:right w:val="none" w:sz="0" w:space="0" w:color="auto"/>
              </w:divBdr>
            </w:div>
            <w:div w:id="1926650631">
              <w:marLeft w:val="0"/>
              <w:marRight w:val="0"/>
              <w:marTop w:val="0"/>
              <w:marBottom w:val="0"/>
              <w:divBdr>
                <w:top w:val="none" w:sz="0" w:space="0" w:color="auto"/>
                <w:left w:val="none" w:sz="0" w:space="0" w:color="auto"/>
                <w:bottom w:val="none" w:sz="0" w:space="0" w:color="auto"/>
                <w:right w:val="none" w:sz="0" w:space="0" w:color="auto"/>
              </w:divBdr>
            </w:div>
            <w:div w:id="978799145">
              <w:marLeft w:val="0"/>
              <w:marRight w:val="0"/>
              <w:marTop w:val="0"/>
              <w:marBottom w:val="0"/>
              <w:divBdr>
                <w:top w:val="none" w:sz="0" w:space="0" w:color="auto"/>
                <w:left w:val="none" w:sz="0" w:space="0" w:color="auto"/>
                <w:bottom w:val="none" w:sz="0" w:space="0" w:color="auto"/>
                <w:right w:val="none" w:sz="0" w:space="0" w:color="auto"/>
              </w:divBdr>
            </w:div>
            <w:div w:id="412362685">
              <w:marLeft w:val="0"/>
              <w:marRight w:val="0"/>
              <w:marTop w:val="0"/>
              <w:marBottom w:val="0"/>
              <w:divBdr>
                <w:top w:val="none" w:sz="0" w:space="0" w:color="auto"/>
                <w:left w:val="none" w:sz="0" w:space="0" w:color="auto"/>
                <w:bottom w:val="none" w:sz="0" w:space="0" w:color="auto"/>
                <w:right w:val="none" w:sz="0" w:space="0" w:color="auto"/>
              </w:divBdr>
            </w:div>
            <w:div w:id="284894645">
              <w:marLeft w:val="0"/>
              <w:marRight w:val="0"/>
              <w:marTop w:val="0"/>
              <w:marBottom w:val="0"/>
              <w:divBdr>
                <w:top w:val="none" w:sz="0" w:space="0" w:color="auto"/>
                <w:left w:val="none" w:sz="0" w:space="0" w:color="auto"/>
                <w:bottom w:val="none" w:sz="0" w:space="0" w:color="auto"/>
                <w:right w:val="none" w:sz="0" w:space="0" w:color="auto"/>
              </w:divBdr>
            </w:div>
            <w:div w:id="594363304">
              <w:marLeft w:val="0"/>
              <w:marRight w:val="0"/>
              <w:marTop w:val="0"/>
              <w:marBottom w:val="0"/>
              <w:divBdr>
                <w:top w:val="none" w:sz="0" w:space="0" w:color="auto"/>
                <w:left w:val="none" w:sz="0" w:space="0" w:color="auto"/>
                <w:bottom w:val="none" w:sz="0" w:space="0" w:color="auto"/>
                <w:right w:val="none" w:sz="0" w:space="0" w:color="auto"/>
              </w:divBdr>
            </w:div>
            <w:div w:id="593980890">
              <w:marLeft w:val="0"/>
              <w:marRight w:val="0"/>
              <w:marTop w:val="0"/>
              <w:marBottom w:val="0"/>
              <w:divBdr>
                <w:top w:val="none" w:sz="0" w:space="0" w:color="auto"/>
                <w:left w:val="none" w:sz="0" w:space="0" w:color="auto"/>
                <w:bottom w:val="none" w:sz="0" w:space="0" w:color="auto"/>
                <w:right w:val="none" w:sz="0" w:space="0" w:color="auto"/>
              </w:divBdr>
            </w:div>
            <w:div w:id="1543396328">
              <w:marLeft w:val="0"/>
              <w:marRight w:val="0"/>
              <w:marTop w:val="0"/>
              <w:marBottom w:val="0"/>
              <w:divBdr>
                <w:top w:val="none" w:sz="0" w:space="0" w:color="auto"/>
                <w:left w:val="none" w:sz="0" w:space="0" w:color="auto"/>
                <w:bottom w:val="none" w:sz="0" w:space="0" w:color="auto"/>
                <w:right w:val="none" w:sz="0" w:space="0" w:color="auto"/>
              </w:divBdr>
            </w:div>
            <w:div w:id="1758593254">
              <w:marLeft w:val="0"/>
              <w:marRight w:val="0"/>
              <w:marTop w:val="0"/>
              <w:marBottom w:val="0"/>
              <w:divBdr>
                <w:top w:val="none" w:sz="0" w:space="0" w:color="auto"/>
                <w:left w:val="none" w:sz="0" w:space="0" w:color="auto"/>
                <w:bottom w:val="none" w:sz="0" w:space="0" w:color="auto"/>
                <w:right w:val="none" w:sz="0" w:space="0" w:color="auto"/>
              </w:divBdr>
            </w:div>
            <w:div w:id="2091151504">
              <w:marLeft w:val="0"/>
              <w:marRight w:val="0"/>
              <w:marTop w:val="0"/>
              <w:marBottom w:val="0"/>
              <w:divBdr>
                <w:top w:val="none" w:sz="0" w:space="0" w:color="auto"/>
                <w:left w:val="none" w:sz="0" w:space="0" w:color="auto"/>
                <w:bottom w:val="none" w:sz="0" w:space="0" w:color="auto"/>
                <w:right w:val="none" w:sz="0" w:space="0" w:color="auto"/>
              </w:divBdr>
            </w:div>
            <w:div w:id="1814175739">
              <w:marLeft w:val="0"/>
              <w:marRight w:val="0"/>
              <w:marTop w:val="0"/>
              <w:marBottom w:val="0"/>
              <w:divBdr>
                <w:top w:val="none" w:sz="0" w:space="0" w:color="auto"/>
                <w:left w:val="none" w:sz="0" w:space="0" w:color="auto"/>
                <w:bottom w:val="none" w:sz="0" w:space="0" w:color="auto"/>
                <w:right w:val="none" w:sz="0" w:space="0" w:color="auto"/>
              </w:divBdr>
            </w:div>
            <w:div w:id="1680691404">
              <w:marLeft w:val="0"/>
              <w:marRight w:val="0"/>
              <w:marTop w:val="0"/>
              <w:marBottom w:val="0"/>
              <w:divBdr>
                <w:top w:val="none" w:sz="0" w:space="0" w:color="auto"/>
                <w:left w:val="none" w:sz="0" w:space="0" w:color="auto"/>
                <w:bottom w:val="none" w:sz="0" w:space="0" w:color="auto"/>
                <w:right w:val="none" w:sz="0" w:space="0" w:color="auto"/>
              </w:divBdr>
            </w:div>
            <w:div w:id="910654618">
              <w:marLeft w:val="0"/>
              <w:marRight w:val="0"/>
              <w:marTop w:val="0"/>
              <w:marBottom w:val="0"/>
              <w:divBdr>
                <w:top w:val="none" w:sz="0" w:space="0" w:color="auto"/>
                <w:left w:val="none" w:sz="0" w:space="0" w:color="auto"/>
                <w:bottom w:val="none" w:sz="0" w:space="0" w:color="auto"/>
                <w:right w:val="none" w:sz="0" w:space="0" w:color="auto"/>
              </w:divBdr>
            </w:div>
            <w:div w:id="1239290819">
              <w:marLeft w:val="0"/>
              <w:marRight w:val="0"/>
              <w:marTop w:val="0"/>
              <w:marBottom w:val="0"/>
              <w:divBdr>
                <w:top w:val="none" w:sz="0" w:space="0" w:color="auto"/>
                <w:left w:val="none" w:sz="0" w:space="0" w:color="auto"/>
                <w:bottom w:val="none" w:sz="0" w:space="0" w:color="auto"/>
                <w:right w:val="none" w:sz="0" w:space="0" w:color="auto"/>
              </w:divBdr>
            </w:div>
            <w:div w:id="590049112">
              <w:marLeft w:val="0"/>
              <w:marRight w:val="0"/>
              <w:marTop w:val="0"/>
              <w:marBottom w:val="0"/>
              <w:divBdr>
                <w:top w:val="none" w:sz="0" w:space="0" w:color="auto"/>
                <w:left w:val="none" w:sz="0" w:space="0" w:color="auto"/>
                <w:bottom w:val="none" w:sz="0" w:space="0" w:color="auto"/>
                <w:right w:val="none" w:sz="0" w:space="0" w:color="auto"/>
              </w:divBdr>
            </w:div>
            <w:div w:id="820584767">
              <w:marLeft w:val="0"/>
              <w:marRight w:val="0"/>
              <w:marTop w:val="0"/>
              <w:marBottom w:val="0"/>
              <w:divBdr>
                <w:top w:val="none" w:sz="0" w:space="0" w:color="auto"/>
                <w:left w:val="none" w:sz="0" w:space="0" w:color="auto"/>
                <w:bottom w:val="none" w:sz="0" w:space="0" w:color="auto"/>
                <w:right w:val="none" w:sz="0" w:space="0" w:color="auto"/>
              </w:divBdr>
            </w:div>
            <w:div w:id="1889218306">
              <w:marLeft w:val="0"/>
              <w:marRight w:val="0"/>
              <w:marTop w:val="0"/>
              <w:marBottom w:val="0"/>
              <w:divBdr>
                <w:top w:val="none" w:sz="0" w:space="0" w:color="auto"/>
                <w:left w:val="none" w:sz="0" w:space="0" w:color="auto"/>
                <w:bottom w:val="none" w:sz="0" w:space="0" w:color="auto"/>
                <w:right w:val="none" w:sz="0" w:space="0" w:color="auto"/>
              </w:divBdr>
            </w:div>
            <w:div w:id="2117015592">
              <w:marLeft w:val="0"/>
              <w:marRight w:val="0"/>
              <w:marTop w:val="0"/>
              <w:marBottom w:val="0"/>
              <w:divBdr>
                <w:top w:val="none" w:sz="0" w:space="0" w:color="auto"/>
                <w:left w:val="none" w:sz="0" w:space="0" w:color="auto"/>
                <w:bottom w:val="none" w:sz="0" w:space="0" w:color="auto"/>
                <w:right w:val="none" w:sz="0" w:space="0" w:color="auto"/>
              </w:divBdr>
            </w:div>
            <w:div w:id="927228832">
              <w:marLeft w:val="0"/>
              <w:marRight w:val="0"/>
              <w:marTop w:val="0"/>
              <w:marBottom w:val="0"/>
              <w:divBdr>
                <w:top w:val="none" w:sz="0" w:space="0" w:color="auto"/>
                <w:left w:val="none" w:sz="0" w:space="0" w:color="auto"/>
                <w:bottom w:val="none" w:sz="0" w:space="0" w:color="auto"/>
                <w:right w:val="none" w:sz="0" w:space="0" w:color="auto"/>
              </w:divBdr>
            </w:div>
            <w:div w:id="104153349">
              <w:marLeft w:val="0"/>
              <w:marRight w:val="0"/>
              <w:marTop w:val="0"/>
              <w:marBottom w:val="0"/>
              <w:divBdr>
                <w:top w:val="none" w:sz="0" w:space="0" w:color="auto"/>
                <w:left w:val="none" w:sz="0" w:space="0" w:color="auto"/>
                <w:bottom w:val="none" w:sz="0" w:space="0" w:color="auto"/>
                <w:right w:val="none" w:sz="0" w:space="0" w:color="auto"/>
              </w:divBdr>
            </w:div>
            <w:div w:id="1934781771">
              <w:marLeft w:val="0"/>
              <w:marRight w:val="0"/>
              <w:marTop w:val="0"/>
              <w:marBottom w:val="0"/>
              <w:divBdr>
                <w:top w:val="none" w:sz="0" w:space="0" w:color="auto"/>
                <w:left w:val="none" w:sz="0" w:space="0" w:color="auto"/>
                <w:bottom w:val="none" w:sz="0" w:space="0" w:color="auto"/>
                <w:right w:val="none" w:sz="0" w:space="0" w:color="auto"/>
              </w:divBdr>
            </w:div>
            <w:div w:id="220941725">
              <w:marLeft w:val="0"/>
              <w:marRight w:val="0"/>
              <w:marTop w:val="0"/>
              <w:marBottom w:val="0"/>
              <w:divBdr>
                <w:top w:val="none" w:sz="0" w:space="0" w:color="auto"/>
                <w:left w:val="none" w:sz="0" w:space="0" w:color="auto"/>
                <w:bottom w:val="none" w:sz="0" w:space="0" w:color="auto"/>
                <w:right w:val="none" w:sz="0" w:space="0" w:color="auto"/>
              </w:divBdr>
            </w:div>
            <w:div w:id="312375948">
              <w:marLeft w:val="0"/>
              <w:marRight w:val="0"/>
              <w:marTop w:val="0"/>
              <w:marBottom w:val="0"/>
              <w:divBdr>
                <w:top w:val="none" w:sz="0" w:space="0" w:color="auto"/>
                <w:left w:val="none" w:sz="0" w:space="0" w:color="auto"/>
                <w:bottom w:val="none" w:sz="0" w:space="0" w:color="auto"/>
                <w:right w:val="none" w:sz="0" w:space="0" w:color="auto"/>
              </w:divBdr>
            </w:div>
            <w:div w:id="1995331356">
              <w:marLeft w:val="0"/>
              <w:marRight w:val="0"/>
              <w:marTop w:val="0"/>
              <w:marBottom w:val="0"/>
              <w:divBdr>
                <w:top w:val="none" w:sz="0" w:space="0" w:color="auto"/>
                <w:left w:val="none" w:sz="0" w:space="0" w:color="auto"/>
                <w:bottom w:val="none" w:sz="0" w:space="0" w:color="auto"/>
                <w:right w:val="none" w:sz="0" w:space="0" w:color="auto"/>
              </w:divBdr>
            </w:div>
            <w:div w:id="1886521741">
              <w:marLeft w:val="0"/>
              <w:marRight w:val="0"/>
              <w:marTop w:val="0"/>
              <w:marBottom w:val="0"/>
              <w:divBdr>
                <w:top w:val="none" w:sz="0" w:space="0" w:color="auto"/>
                <w:left w:val="none" w:sz="0" w:space="0" w:color="auto"/>
                <w:bottom w:val="none" w:sz="0" w:space="0" w:color="auto"/>
                <w:right w:val="none" w:sz="0" w:space="0" w:color="auto"/>
              </w:divBdr>
            </w:div>
            <w:div w:id="1875532297">
              <w:marLeft w:val="0"/>
              <w:marRight w:val="0"/>
              <w:marTop w:val="0"/>
              <w:marBottom w:val="0"/>
              <w:divBdr>
                <w:top w:val="none" w:sz="0" w:space="0" w:color="auto"/>
                <w:left w:val="none" w:sz="0" w:space="0" w:color="auto"/>
                <w:bottom w:val="none" w:sz="0" w:space="0" w:color="auto"/>
                <w:right w:val="none" w:sz="0" w:space="0" w:color="auto"/>
              </w:divBdr>
            </w:div>
            <w:div w:id="598637359">
              <w:marLeft w:val="0"/>
              <w:marRight w:val="0"/>
              <w:marTop w:val="0"/>
              <w:marBottom w:val="0"/>
              <w:divBdr>
                <w:top w:val="none" w:sz="0" w:space="0" w:color="auto"/>
                <w:left w:val="none" w:sz="0" w:space="0" w:color="auto"/>
                <w:bottom w:val="none" w:sz="0" w:space="0" w:color="auto"/>
                <w:right w:val="none" w:sz="0" w:space="0" w:color="auto"/>
              </w:divBdr>
            </w:div>
            <w:div w:id="1685130893">
              <w:marLeft w:val="0"/>
              <w:marRight w:val="0"/>
              <w:marTop w:val="0"/>
              <w:marBottom w:val="0"/>
              <w:divBdr>
                <w:top w:val="none" w:sz="0" w:space="0" w:color="auto"/>
                <w:left w:val="none" w:sz="0" w:space="0" w:color="auto"/>
                <w:bottom w:val="none" w:sz="0" w:space="0" w:color="auto"/>
                <w:right w:val="none" w:sz="0" w:space="0" w:color="auto"/>
              </w:divBdr>
            </w:div>
            <w:div w:id="1094400525">
              <w:marLeft w:val="0"/>
              <w:marRight w:val="0"/>
              <w:marTop w:val="0"/>
              <w:marBottom w:val="0"/>
              <w:divBdr>
                <w:top w:val="none" w:sz="0" w:space="0" w:color="auto"/>
                <w:left w:val="none" w:sz="0" w:space="0" w:color="auto"/>
                <w:bottom w:val="none" w:sz="0" w:space="0" w:color="auto"/>
                <w:right w:val="none" w:sz="0" w:space="0" w:color="auto"/>
              </w:divBdr>
            </w:div>
            <w:div w:id="591200559">
              <w:marLeft w:val="0"/>
              <w:marRight w:val="0"/>
              <w:marTop w:val="0"/>
              <w:marBottom w:val="0"/>
              <w:divBdr>
                <w:top w:val="none" w:sz="0" w:space="0" w:color="auto"/>
                <w:left w:val="none" w:sz="0" w:space="0" w:color="auto"/>
                <w:bottom w:val="none" w:sz="0" w:space="0" w:color="auto"/>
                <w:right w:val="none" w:sz="0" w:space="0" w:color="auto"/>
              </w:divBdr>
            </w:div>
            <w:div w:id="2062362437">
              <w:marLeft w:val="0"/>
              <w:marRight w:val="0"/>
              <w:marTop w:val="0"/>
              <w:marBottom w:val="0"/>
              <w:divBdr>
                <w:top w:val="none" w:sz="0" w:space="0" w:color="auto"/>
                <w:left w:val="none" w:sz="0" w:space="0" w:color="auto"/>
                <w:bottom w:val="none" w:sz="0" w:space="0" w:color="auto"/>
                <w:right w:val="none" w:sz="0" w:space="0" w:color="auto"/>
              </w:divBdr>
            </w:div>
            <w:div w:id="113405612">
              <w:marLeft w:val="0"/>
              <w:marRight w:val="0"/>
              <w:marTop w:val="0"/>
              <w:marBottom w:val="0"/>
              <w:divBdr>
                <w:top w:val="none" w:sz="0" w:space="0" w:color="auto"/>
                <w:left w:val="none" w:sz="0" w:space="0" w:color="auto"/>
                <w:bottom w:val="none" w:sz="0" w:space="0" w:color="auto"/>
                <w:right w:val="none" w:sz="0" w:space="0" w:color="auto"/>
              </w:divBdr>
            </w:div>
            <w:div w:id="1532104512">
              <w:marLeft w:val="0"/>
              <w:marRight w:val="0"/>
              <w:marTop w:val="0"/>
              <w:marBottom w:val="0"/>
              <w:divBdr>
                <w:top w:val="none" w:sz="0" w:space="0" w:color="auto"/>
                <w:left w:val="none" w:sz="0" w:space="0" w:color="auto"/>
                <w:bottom w:val="none" w:sz="0" w:space="0" w:color="auto"/>
                <w:right w:val="none" w:sz="0" w:space="0" w:color="auto"/>
              </w:divBdr>
            </w:div>
            <w:div w:id="233586541">
              <w:marLeft w:val="0"/>
              <w:marRight w:val="0"/>
              <w:marTop w:val="0"/>
              <w:marBottom w:val="0"/>
              <w:divBdr>
                <w:top w:val="none" w:sz="0" w:space="0" w:color="auto"/>
                <w:left w:val="none" w:sz="0" w:space="0" w:color="auto"/>
                <w:bottom w:val="none" w:sz="0" w:space="0" w:color="auto"/>
                <w:right w:val="none" w:sz="0" w:space="0" w:color="auto"/>
              </w:divBdr>
            </w:div>
            <w:div w:id="1214267536">
              <w:marLeft w:val="0"/>
              <w:marRight w:val="0"/>
              <w:marTop w:val="0"/>
              <w:marBottom w:val="0"/>
              <w:divBdr>
                <w:top w:val="none" w:sz="0" w:space="0" w:color="auto"/>
                <w:left w:val="none" w:sz="0" w:space="0" w:color="auto"/>
                <w:bottom w:val="none" w:sz="0" w:space="0" w:color="auto"/>
                <w:right w:val="none" w:sz="0" w:space="0" w:color="auto"/>
              </w:divBdr>
            </w:div>
            <w:div w:id="1875999405">
              <w:marLeft w:val="0"/>
              <w:marRight w:val="0"/>
              <w:marTop w:val="0"/>
              <w:marBottom w:val="0"/>
              <w:divBdr>
                <w:top w:val="none" w:sz="0" w:space="0" w:color="auto"/>
                <w:left w:val="none" w:sz="0" w:space="0" w:color="auto"/>
                <w:bottom w:val="none" w:sz="0" w:space="0" w:color="auto"/>
                <w:right w:val="none" w:sz="0" w:space="0" w:color="auto"/>
              </w:divBdr>
            </w:div>
            <w:div w:id="2075396325">
              <w:marLeft w:val="0"/>
              <w:marRight w:val="0"/>
              <w:marTop w:val="0"/>
              <w:marBottom w:val="0"/>
              <w:divBdr>
                <w:top w:val="none" w:sz="0" w:space="0" w:color="auto"/>
                <w:left w:val="none" w:sz="0" w:space="0" w:color="auto"/>
                <w:bottom w:val="none" w:sz="0" w:space="0" w:color="auto"/>
                <w:right w:val="none" w:sz="0" w:space="0" w:color="auto"/>
              </w:divBdr>
            </w:div>
            <w:div w:id="1075467893">
              <w:marLeft w:val="0"/>
              <w:marRight w:val="0"/>
              <w:marTop w:val="0"/>
              <w:marBottom w:val="0"/>
              <w:divBdr>
                <w:top w:val="none" w:sz="0" w:space="0" w:color="auto"/>
                <w:left w:val="none" w:sz="0" w:space="0" w:color="auto"/>
                <w:bottom w:val="none" w:sz="0" w:space="0" w:color="auto"/>
                <w:right w:val="none" w:sz="0" w:space="0" w:color="auto"/>
              </w:divBdr>
            </w:div>
            <w:div w:id="2027053277">
              <w:marLeft w:val="0"/>
              <w:marRight w:val="0"/>
              <w:marTop w:val="0"/>
              <w:marBottom w:val="0"/>
              <w:divBdr>
                <w:top w:val="none" w:sz="0" w:space="0" w:color="auto"/>
                <w:left w:val="none" w:sz="0" w:space="0" w:color="auto"/>
                <w:bottom w:val="none" w:sz="0" w:space="0" w:color="auto"/>
                <w:right w:val="none" w:sz="0" w:space="0" w:color="auto"/>
              </w:divBdr>
            </w:div>
            <w:div w:id="860511907">
              <w:marLeft w:val="0"/>
              <w:marRight w:val="0"/>
              <w:marTop w:val="0"/>
              <w:marBottom w:val="0"/>
              <w:divBdr>
                <w:top w:val="none" w:sz="0" w:space="0" w:color="auto"/>
                <w:left w:val="none" w:sz="0" w:space="0" w:color="auto"/>
                <w:bottom w:val="none" w:sz="0" w:space="0" w:color="auto"/>
                <w:right w:val="none" w:sz="0" w:space="0" w:color="auto"/>
              </w:divBdr>
            </w:div>
            <w:div w:id="1035932363">
              <w:marLeft w:val="0"/>
              <w:marRight w:val="0"/>
              <w:marTop w:val="0"/>
              <w:marBottom w:val="0"/>
              <w:divBdr>
                <w:top w:val="none" w:sz="0" w:space="0" w:color="auto"/>
                <w:left w:val="none" w:sz="0" w:space="0" w:color="auto"/>
                <w:bottom w:val="none" w:sz="0" w:space="0" w:color="auto"/>
                <w:right w:val="none" w:sz="0" w:space="0" w:color="auto"/>
              </w:divBdr>
            </w:div>
            <w:div w:id="354426073">
              <w:marLeft w:val="0"/>
              <w:marRight w:val="0"/>
              <w:marTop w:val="0"/>
              <w:marBottom w:val="0"/>
              <w:divBdr>
                <w:top w:val="none" w:sz="0" w:space="0" w:color="auto"/>
                <w:left w:val="none" w:sz="0" w:space="0" w:color="auto"/>
                <w:bottom w:val="none" w:sz="0" w:space="0" w:color="auto"/>
                <w:right w:val="none" w:sz="0" w:space="0" w:color="auto"/>
              </w:divBdr>
            </w:div>
            <w:div w:id="1117025080">
              <w:marLeft w:val="0"/>
              <w:marRight w:val="0"/>
              <w:marTop w:val="0"/>
              <w:marBottom w:val="0"/>
              <w:divBdr>
                <w:top w:val="none" w:sz="0" w:space="0" w:color="auto"/>
                <w:left w:val="none" w:sz="0" w:space="0" w:color="auto"/>
                <w:bottom w:val="none" w:sz="0" w:space="0" w:color="auto"/>
                <w:right w:val="none" w:sz="0" w:space="0" w:color="auto"/>
              </w:divBdr>
            </w:div>
            <w:div w:id="1184898268">
              <w:marLeft w:val="0"/>
              <w:marRight w:val="0"/>
              <w:marTop w:val="0"/>
              <w:marBottom w:val="0"/>
              <w:divBdr>
                <w:top w:val="none" w:sz="0" w:space="0" w:color="auto"/>
                <w:left w:val="none" w:sz="0" w:space="0" w:color="auto"/>
                <w:bottom w:val="none" w:sz="0" w:space="0" w:color="auto"/>
                <w:right w:val="none" w:sz="0" w:space="0" w:color="auto"/>
              </w:divBdr>
            </w:div>
            <w:div w:id="814420751">
              <w:marLeft w:val="0"/>
              <w:marRight w:val="0"/>
              <w:marTop w:val="0"/>
              <w:marBottom w:val="0"/>
              <w:divBdr>
                <w:top w:val="none" w:sz="0" w:space="0" w:color="auto"/>
                <w:left w:val="none" w:sz="0" w:space="0" w:color="auto"/>
                <w:bottom w:val="none" w:sz="0" w:space="0" w:color="auto"/>
                <w:right w:val="none" w:sz="0" w:space="0" w:color="auto"/>
              </w:divBdr>
            </w:div>
            <w:div w:id="614362668">
              <w:marLeft w:val="0"/>
              <w:marRight w:val="0"/>
              <w:marTop w:val="0"/>
              <w:marBottom w:val="0"/>
              <w:divBdr>
                <w:top w:val="none" w:sz="0" w:space="0" w:color="auto"/>
                <w:left w:val="none" w:sz="0" w:space="0" w:color="auto"/>
                <w:bottom w:val="none" w:sz="0" w:space="0" w:color="auto"/>
                <w:right w:val="none" w:sz="0" w:space="0" w:color="auto"/>
              </w:divBdr>
            </w:div>
            <w:div w:id="1138835312">
              <w:marLeft w:val="0"/>
              <w:marRight w:val="0"/>
              <w:marTop w:val="0"/>
              <w:marBottom w:val="0"/>
              <w:divBdr>
                <w:top w:val="none" w:sz="0" w:space="0" w:color="auto"/>
                <w:left w:val="none" w:sz="0" w:space="0" w:color="auto"/>
                <w:bottom w:val="none" w:sz="0" w:space="0" w:color="auto"/>
                <w:right w:val="none" w:sz="0" w:space="0" w:color="auto"/>
              </w:divBdr>
            </w:div>
            <w:div w:id="1331329804">
              <w:marLeft w:val="0"/>
              <w:marRight w:val="0"/>
              <w:marTop w:val="0"/>
              <w:marBottom w:val="0"/>
              <w:divBdr>
                <w:top w:val="none" w:sz="0" w:space="0" w:color="auto"/>
                <w:left w:val="none" w:sz="0" w:space="0" w:color="auto"/>
                <w:bottom w:val="none" w:sz="0" w:space="0" w:color="auto"/>
                <w:right w:val="none" w:sz="0" w:space="0" w:color="auto"/>
              </w:divBdr>
            </w:div>
            <w:div w:id="855459764">
              <w:marLeft w:val="0"/>
              <w:marRight w:val="0"/>
              <w:marTop w:val="0"/>
              <w:marBottom w:val="0"/>
              <w:divBdr>
                <w:top w:val="none" w:sz="0" w:space="0" w:color="auto"/>
                <w:left w:val="none" w:sz="0" w:space="0" w:color="auto"/>
                <w:bottom w:val="none" w:sz="0" w:space="0" w:color="auto"/>
                <w:right w:val="none" w:sz="0" w:space="0" w:color="auto"/>
              </w:divBdr>
            </w:div>
            <w:div w:id="1596669077">
              <w:marLeft w:val="0"/>
              <w:marRight w:val="0"/>
              <w:marTop w:val="0"/>
              <w:marBottom w:val="0"/>
              <w:divBdr>
                <w:top w:val="none" w:sz="0" w:space="0" w:color="auto"/>
                <w:left w:val="none" w:sz="0" w:space="0" w:color="auto"/>
                <w:bottom w:val="none" w:sz="0" w:space="0" w:color="auto"/>
                <w:right w:val="none" w:sz="0" w:space="0" w:color="auto"/>
              </w:divBdr>
            </w:div>
            <w:div w:id="1016686847">
              <w:marLeft w:val="0"/>
              <w:marRight w:val="0"/>
              <w:marTop w:val="0"/>
              <w:marBottom w:val="0"/>
              <w:divBdr>
                <w:top w:val="none" w:sz="0" w:space="0" w:color="auto"/>
                <w:left w:val="none" w:sz="0" w:space="0" w:color="auto"/>
                <w:bottom w:val="none" w:sz="0" w:space="0" w:color="auto"/>
                <w:right w:val="none" w:sz="0" w:space="0" w:color="auto"/>
              </w:divBdr>
            </w:div>
            <w:div w:id="775516628">
              <w:marLeft w:val="0"/>
              <w:marRight w:val="0"/>
              <w:marTop w:val="0"/>
              <w:marBottom w:val="0"/>
              <w:divBdr>
                <w:top w:val="none" w:sz="0" w:space="0" w:color="auto"/>
                <w:left w:val="none" w:sz="0" w:space="0" w:color="auto"/>
                <w:bottom w:val="none" w:sz="0" w:space="0" w:color="auto"/>
                <w:right w:val="none" w:sz="0" w:space="0" w:color="auto"/>
              </w:divBdr>
            </w:div>
            <w:div w:id="1950432401">
              <w:marLeft w:val="0"/>
              <w:marRight w:val="0"/>
              <w:marTop w:val="0"/>
              <w:marBottom w:val="0"/>
              <w:divBdr>
                <w:top w:val="none" w:sz="0" w:space="0" w:color="auto"/>
                <w:left w:val="none" w:sz="0" w:space="0" w:color="auto"/>
                <w:bottom w:val="none" w:sz="0" w:space="0" w:color="auto"/>
                <w:right w:val="none" w:sz="0" w:space="0" w:color="auto"/>
              </w:divBdr>
            </w:div>
            <w:div w:id="425226400">
              <w:marLeft w:val="0"/>
              <w:marRight w:val="0"/>
              <w:marTop w:val="0"/>
              <w:marBottom w:val="0"/>
              <w:divBdr>
                <w:top w:val="none" w:sz="0" w:space="0" w:color="auto"/>
                <w:left w:val="none" w:sz="0" w:space="0" w:color="auto"/>
                <w:bottom w:val="none" w:sz="0" w:space="0" w:color="auto"/>
                <w:right w:val="none" w:sz="0" w:space="0" w:color="auto"/>
              </w:divBdr>
            </w:div>
            <w:div w:id="1386873418">
              <w:marLeft w:val="0"/>
              <w:marRight w:val="0"/>
              <w:marTop w:val="0"/>
              <w:marBottom w:val="0"/>
              <w:divBdr>
                <w:top w:val="none" w:sz="0" w:space="0" w:color="auto"/>
                <w:left w:val="none" w:sz="0" w:space="0" w:color="auto"/>
                <w:bottom w:val="none" w:sz="0" w:space="0" w:color="auto"/>
                <w:right w:val="none" w:sz="0" w:space="0" w:color="auto"/>
              </w:divBdr>
            </w:div>
            <w:div w:id="1427921732">
              <w:marLeft w:val="0"/>
              <w:marRight w:val="0"/>
              <w:marTop w:val="0"/>
              <w:marBottom w:val="0"/>
              <w:divBdr>
                <w:top w:val="none" w:sz="0" w:space="0" w:color="auto"/>
                <w:left w:val="none" w:sz="0" w:space="0" w:color="auto"/>
                <w:bottom w:val="none" w:sz="0" w:space="0" w:color="auto"/>
                <w:right w:val="none" w:sz="0" w:space="0" w:color="auto"/>
              </w:divBdr>
            </w:div>
            <w:div w:id="1491672493">
              <w:marLeft w:val="0"/>
              <w:marRight w:val="0"/>
              <w:marTop w:val="0"/>
              <w:marBottom w:val="0"/>
              <w:divBdr>
                <w:top w:val="none" w:sz="0" w:space="0" w:color="auto"/>
                <w:left w:val="none" w:sz="0" w:space="0" w:color="auto"/>
                <w:bottom w:val="none" w:sz="0" w:space="0" w:color="auto"/>
                <w:right w:val="none" w:sz="0" w:space="0" w:color="auto"/>
              </w:divBdr>
            </w:div>
            <w:div w:id="22102144">
              <w:marLeft w:val="0"/>
              <w:marRight w:val="0"/>
              <w:marTop w:val="0"/>
              <w:marBottom w:val="0"/>
              <w:divBdr>
                <w:top w:val="none" w:sz="0" w:space="0" w:color="auto"/>
                <w:left w:val="none" w:sz="0" w:space="0" w:color="auto"/>
                <w:bottom w:val="none" w:sz="0" w:space="0" w:color="auto"/>
                <w:right w:val="none" w:sz="0" w:space="0" w:color="auto"/>
              </w:divBdr>
            </w:div>
            <w:div w:id="444932448">
              <w:marLeft w:val="0"/>
              <w:marRight w:val="0"/>
              <w:marTop w:val="0"/>
              <w:marBottom w:val="0"/>
              <w:divBdr>
                <w:top w:val="none" w:sz="0" w:space="0" w:color="auto"/>
                <w:left w:val="none" w:sz="0" w:space="0" w:color="auto"/>
                <w:bottom w:val="none" w:sz="0" w:space="0" w:color="auto"/>
                <w:right w:val="none" w:sz="0" w:space="0" w:color="auto"/>
              </w:divBdr>
            </w:div>
            <w:div w:id="1723825074">
              <w:marLeft w:val="0"/>
              <w:marRight w:val="0"/>
              <w:marTop w:val="0"/>
              <w:marBottom w:val="0"/>
              <w:divBdr>
                <w:top w:val="none" w:sz="0" w:space="0" w:color="auto"/>
                <w:left w:val="none" w:sz="0" w:space="0" w:color="auto"/>
                <w:bottom w:val="none" w:sz="0" w:space="0" w:color="auto"/>
                <w:right w:val="none" w:sz="0" w:space="0" w:color="auto"/>
              </w:divBdr>
            </w:div>
            <w:div w:id="2103331886">
              <w:marLeft w:val="0"/>
              <w:marRight w:val="0"/>
              <w:marTop w:val="0"/>
              <w:marBottom w:val="0"/>
              <w:divBdr>
                <w:top w:val="none" w:sz="0" w:space="0" w:color="auto"/>
                <w:left w:val="none" w:sz="0" w:space="0" w:color="auto"/>
                <w:bottom w:val="none" w:sz="0" w:space="0" w:color="auto"/>
                <w:right w:val="none" w:sz="0" w:space="0" w:color="auto"/>
              </w:divBdr>
            </w:div>
            <w:div w:id="542861691">
              <w:marLeft w:val="0"/>
              <w:marRight w:val="0"/>
              <w:marTop w:val="0"/>
              <w:marBottom w:val="0"/>
              <w:divBdr>
                <w:top w:val="none" w:sz="0" w:space="0" w:color="auto"/>
                <w:left w:val="none" w:sz="0" w:space="0" w:color="auto"/>
                <w:bottom w:val="none" w:sz="0" w:space="0" w:color="auto"/>
                <w:right w:val="none" w:sz="0" w:space="0" w:color="auto"/>
              </w:divBdr>
            </w:div>
            <w:div w:id="675153613">
              <w:marLeft w:val="0"/>
              <w:marRight w:val="0"/>
              <w:marTop w:val="0"/>
              <w:marBottom w:val="0"/>
              <w:divBdr>
                <w:top w:val="none" w:sz="0" w:space="0" w:color="auto"/>
                <w:left w:val="none" w:sz="0" w:space="0" w:color="auto"/>
                <w:bottom w:val="none" w:sz="0" w:space="0" w:color="auto"/>
                <w:right w:val="none" w:sz="0" w:space="0" w:color="auto"/>
              </w:divBdr>
            </w:div>
            <w:div w:id="1743212690">
              <w:marLeft w:val="0"/>
              <w:marRight w:val="0"/>
              <w:marTop w:val="0"/>
              <w:marBottom w:val="0"/>
              <w:divBdr>
                <w:top w:val="none" w:sz="0" w:space="0" w:color="auto"/>
                <w:left w:val="none" w:sz="0" w:space="0" w:color="auto"/>
                <w:bottom w:val="none" w:sz="0" w:space="0" w:color="auto"/>
                <w:right w:val="none" w:sz="0" w:space="0" w:color="auto"/>
              </w:divBdr>
            </w:div>
            <w:div w:id="466288803">
              <w:marLeft w:val="0"/>
              <w:marRight w:val="0"/>
              <w:marTop w:val="0"/>
              <w:marBottom w:val="0"/>
              <w:divBdr>
                <w:top w:val="none" w:sz="0" w:space="0" w:color="auto"/>
                <w:left w:val="none" w:sz="0" w:space="0" w:color="auto"/>
                <w:bottom w:val="none" w:sz="0" w:space="0" w:color="auto"/>
                <w:right w:val="none" w:sz="0" w:space="0" w:color="auto"/>
              </w:divBdr>
            </w:div>
            <w:div w:id="96407471">
              <w:marLeft w:val="0"/>
              <w:marRight w:val="0"/>
              <w:marTop w:val="0"/>
              <w:marBottom w:val="0"/>
              <w:divBdr>
                <w:top w:val="none" w:sz="0" w:space="0" w:color="auto"/>
                <w:left w:val="none" w:sz="0" w:space="0" w:color="auto"/>
                <w:bottom w:val="none" w:sz="0" w:space="0" w:color="auto"/>
                <w:right w:val="none" w:sz="0" w:space="0" w:color="auto"/>
              </w:divBdr>
            </w:div>
            <w:div w:id="679626144">
              <w:marLeft w:val="0"/>
              <w:marRight w:val="0"/>
              <w:marTop w:val="0"/>
              <w:marBottom w:val="0"/>
              <w:divBdr>
                <w:top w:val="none" w:sz="0" w:space="0" w:color="auto"/>
                <w:left w:val="none" w:sz="0" w:space="0" w:color="auto"/>
                <w:bottom w:val="none" w:sz="0" w:space="0" w:color="auto"/>
                <w:right w:val="none" w:sz="0" w:space="0" w:color="auto"/>
              </w:divBdr>
            </w:div>
            <w:div w:id="964852032">
              <w:marLeft w:val="0"/>
              <w:marRight w:val="0"/>
              <w:marTop w:val="0"/>
              <w:marBottom w:val="0"/>
              <w:divBdr>
                <w:top w:val="none" w:sz="0" w:space="0" w:color="auto"/>
                <w:left w:val="none" w:sz="0" w:space="0" w:color="auto"/>
                <w:bottom w:val="none" w:sz="0" w:space="0" w:color="auto"/>
                <w:right w:val="none" w:sz="0" w:space="0" w:color="auto"/>
              </w:divBdr>
            </w:div>
            <w:div w:id="1121806443">
              <w:marLeft w:val="0"/>
              <w:marRight w:val="0"/>
              <w:marTop w:val="0"/>
              <w:marBottom w:val="0"/>
              <w:divBdr>
                <w:top w:val="none" w:sz="0" w:space="0" w:color="auto"/>
                <w:left w:val="none" w:sz="0" w:space="0" w:color="auto"/>
                <w:bottom w:val="none" w:sz="0" w:space="0" w:color="auto"/>
                <w:right w:val="none" w:sz="0" w:space="0" w:color="auto"/>
              </w:divBdr>
            </w:div>
            <w:div w:id="2117360513">
              <w:marLeft w:val="0"/>
              <w:marRight w:val="0"/>
              <w:marTop w:val="0"/>
              <w:marBottom w:val="0"/>
              <w:divBdr>
                <w:top w:val="none" w:sz="0" w:space="0" w:color="auto"/>
                <w:left w:val="none" w:sz="0" w:space="0" w:color="auto"/>
                <w:bottom w:val="none" w:sz="0" w:space="0" w:color="auto"/>
                <w:right w:val="none" w:sz="0" w:space="0" w:color="auto"/>
              </w:divBdr>
            </w:div>
            <w:div w:id="264851206">
              <w:marLeft w:val="0"/>
              <w:marRight w:val="0"/>
              <w:marTop w:val="0"/>
              <w:marBottom w:val="0"/>
              <w:divBdr>
                <w:top w:val="none" w:sz="0" w:space="0" w:color="auto"/>
                <w:left w:val="none" w:sz="0" w:space="0" w:color="auto"/>
                <w:bottom w:val="none" w:sz="0" w:space="0" w:color="auto"/>
                <w:right w:val="none" w:sz="0" w:space="0" w:color="auto"/>
              </w:divBdr>
            </w:div>
            <w:div w:id="722826421">
              <w:marLeft w:val="0"/>
              <w:marRight w:val="0"/>
              <w:marTop w:val="0"/>
              <w:marBottom w:val="0"/>
              <w:divBdr>
                <w:top w:val="none" w:sz="0" w:space="0" w:color="auto"/>
                <w:left w:val="none" w:sz="0" w:space="0" w:color="auto"/>
                <w:bottom w:val="none" w:sz="0" w:space="0" w:color="auto"/>
                <w:right w:val="none" w:sz="0" w:space="0" w:color="auto"/>
              </w:divBdr>
            </w:div>
            <w:div w:id="1556967732">
              <w:marLeft w:val="0"/>
              <w:marRight w:val="0"/>
              <w:marTop w:val="0"/>
              <w:marBottom w:val="0"/>
              <w:divBdr>
                <w:top w:val="none" w:sz="0" w:space="0" w:color="auto"/>
                <w:left w:val="none" w:sz="0" w:space="0" w:color="auto"/>
                <w:bottom w:val="none" w:sz="0" w:space="0" w:color="auto"/>
                <w:right w:val="none" w:sz="0" w:space="0" w:color="auto"/>
              </w:divBdr>
            </w:div>
            <w:div w:id="143592232">
              <w:marLeft w:val="0"/>
              <w:marRight w:val="0"/>
              <w:marTop w:val="0"/>
              <w:marBottom w:val="0"/>
              <w:divBdr>
                <w:top w:val="none" w:sz="0" w:space="0" w:color="auto"/>
                <w:left w:val="none" w:sz="0" w:space="0" w:color="auto"/>
                <w:bottom w:val="none" w:sz="0" w:space="0" w:color="auto"/>
                <w:right w:val="none" w:sz="0" w:space="0" w:color="auto"/>
              </w:divBdr>
            </w:div>
            <w:div w:id="189076851">
              <w:marLeft w:val="0"/>
              <w:marRight w:val="0"/>
              <w:marTop w:val="0"/>
              <w:marBottom w:val="0"/>
              <w:divBdr>
                <w:top w:val="none" w:sz="0" w:space="0" w:color="auto"/>
                <w:left w:val="none" w:sz="0" w:space="0" w:color="auto"/>
                <w:bottom w:val="none" w:sz="0" w:space="0" w:color="auto"/>
                <w:right w:val="none" w:sz="0" w:space="0" w:color="auto"/>
              </w:divBdr>
            </w:div>
            <w:div w:id="1878617557">
              <w:marLeft w:val="0"/>
              <w:marRight w:val="0"/>
              <w:marTop w:val="0"/>
              <w:marBottom w:val="0"/>
              <w:divBdr>
                <w:top w:val="none" w:sz="0" w:space="0" w:color="auto"/>
                <w:left w:val="none" w:sz="0" w:space="0" w:color="auto"/>
                <w:bottom w:val="none" w:sz="0" w:space="0" w:color="auto"/>
                <w:right w:val="none" w:sz="0" w:space="0" w:color="auto"/>
              </w:divBdr>
            </w:div>
            <w:div w:id="1064764107">
              <w:marLeft w:val="0"/>
              <w:marRight w:val="0"/>
              <w:marTop w:val="0"/>
              <w:marBottom w:val="0"/>
              <w:divBdr>
                <w:top w:val="none" w:sz="0" w:space="0" w:color="auto"/>
                <w:left w:val="none" w:sz="0" w:space="0" w:color="auto"/>
                <w:bottom w:val="none" w:sz="0" w:space="0" w:color="auto"/>
                <w:right w:val="none" w:sz="0" w:space="0" w:color="auto"/>
              </w:divBdr>
            </w:div>
            <w:div w:id="821964838">
              <w:marLeft w:val="0"/>
              <w:marRight w:val="0"/>
              <w:marTop w:val="0"/>
              <w:marBottom w:val="0"/>
              <w:divBdr>
                <w:top w:val="none" w:sz="0" w:space="0" w:color="auto"/>
                <w:left w:val="none" w:sz="0" w:space="0" w:color="auto"/>
                <w:bottom w:val="none" w:sz="0" w:space="0" w:color="auto"/>
                <w:right w:val="none" w:sz="0" w:space="0" w:color="auto"/>
              </w:divBdr>
            </w:div>
            <w:div w:id="1135491483">
              <w:marLeft w:val="0"/>
              <w:marRight w:val="0"/>
              <w:marTop w:val="0"/>
              <w:marBottom w:val="0"/>
              <w:divBdr>
                <w:top w:val="none" w:sz="0" w:space="0" w:color="auto"/>
                <w:left w:val="none" w:sz="0" w:space="0" w:color="auto"/>
                <w:bottom w:val="none" w:sz="0" w:space="0" w:color="auto"/>
                <w:right w:val="none" w:sz="0" w:space="0" w:color="auto"/>
              </w:divBdr>
            </w:div>
            <w:div w:id="459570870">
              <w:marLeft w:val="0"/>
              <w:marRight w:val="0"/>
              <w:marTop w:val="0"/>
              <w:marBottom w:val="0"/>
              <w:divBdr>
                <w:top w:val="none" w:sz="0" w:space="0" w:color="auto"/>
                <w:left w:val="none" w:sz="0" w:space="0" w:color="auto"/>
                <w:bottom w:val="none" w:sz="0" w:space="0" w:color="auto"/>
                <w:right w:val="none" w:sz="0" w:space="0" w:color="auto"/>
              </w:divBdr>
            </w:div>
            <w:div w:id="932930672">
              <w:marLeft w:val="0"/>
              <w:marRight w:val="0"/>
              <w:marTop w:val="0"/>
              <w:marBottom w:val="0"/>
              <w:divBdr>
                <w:top w:val="none" w:sz="0" w:space="0" w:color="auto"/>
                <w:left w:val="none" w:sz="0" w:space="0" w:color="auto"/>
                <w:bottom w:val="none" w:sz="0" w:space="0" w:color="auto"/>
                <w:right w:val="none" w:sz="0" w:space="0" w:color="auto"/>
              </w:divBdr>
            </w:div>
            <w:div w:id="1399402040">
              <w:marLeft w:val="0"/>
              <w:marRight w:val="0"/>
              <w:marTop w:val="0"/>
              <w:marBottom w:val="0"/>
              <w:divBdr>
                <w:top w:val="none" w:sz="0" w:space="0" w:color="auto"/>
                <w:left w:val="none" w:sz="0" w:space="0" w:color="auto"/>
                <w:bottom w:val="none" w:sz="0" w:space="0" w:color="auto"/>
                <w:right w:val="none" w:sz="0" w:space="0" w:color="auto"/>
              </w:divBdr>
            </w:div>
            <w:div w:id="655382239">
              <w:marLeft w:val="0"/>
              <w:marRight w:val="0"/>
              <w:marTop w:val="0"/>
              <w:marBottom w:val="0"/>
              <w:divBdr>
                <w:top w:val="none" w:sz="0" w:space="0" w:color="auto"/>
                <w:left w:val="none" w:sz="0" w:space="0" w:color="auto"/>
                <w:bottom w:val="none" w:sz="0" w:space="0" w:color="auto"/>
                <w:right w:val="none" w:sz="0" w:space="0" w:color="auto"/>
              </w:divBdr>
            </w:div>
            <w:div w:id="1289701563">
              <w:marLeft w:val="0"/>
              <w:marRight w:val="0"/>
              <w:marTop w:val="0"/>
              <w:marBottom w:val="0"/>
              <w:divBdr>
                <w:top w:val="none" w:sz="0" w:space="0" w:color="auto"/>
                <w:left w:val="none" w:sz="0" w:space="0" w:color="auto"/>
                <w:bottom w:val="none" w:sz="0" w:space="0" w:color="auto"/>
                <w:right w:val="none" w:sz="0" w:space="0" w:color="auto"/>
              </w:divBdr>
            </w:div>
            <w:div w:id="1468160710">
              <w:marLeft w:val="0"/>
              <w:marRight w:val="0"/>
              <w:marTop w:val="0"/>
              <w:marBottom w:val="0"/>
              <w:divBdr>
                <w:top w:val="none" w:sz="0" w:space="0" w:color="auto"/>
                <w:left w:val="none" w:sz="0" w:space="0" w:color="auto"/>
                <w:bottom w:val="none" w:sz="0" w:space="0" w:color="auto"/>
                <w:right w:val="none" w:sz="0" w:space="0" w:color="auto"/>
              </w:divBdr>
            </w:div>
            <w:div w:id="1946226475">
              <w:marLeft w:val="0"/>
              <w:marRight w:val="0"/>
              <w:marTop w:val="0"/>
              <w:marBottom w:val="0"/>
              <w:divBdr>
                <w:top w:val="none" w:sz="0" w:space="0" w:color="auto"/>
                <w:left w:val="none" w:sz="0" w:space="0" w:color="auto"/>
                <w:bottom w:val="none" w:sz="0" w:space="0" w:color="auto"/>
                <w:right w:val="none" w:sz="0" w:space="0" w:color="auto"/>
              </w:divBdr>
            </w:div>
            <w:div w:id="1998680474">
              <w:marLeft w:val="0"/>
              <w:marRight w:val="0"/>
              <w:marTop w:val="0"/>
              <w:marBottom w:val="0"/>
              <w:divBdr>
                <w:top w:val="none" w:sz="0" w:space="0" w:color="auto"/>
                <w:left w:val="none" w:sz="0" w:space="0" w:color="auto"/>
                <w:bottom w:val="none" w:sz="0" w:space="0" w:color="auto"/>
                <w:right w:val="none" w:sz="0" w:space="0" w:color="auto"/>
              </w:divBdr>
            </w:div>
            <w:div w:id="1164008117">
              <w:marLeft w:val="0"/>
              <w:marRight w:val="0"/>
              <w:marTop w:val="0"/>
              <w:marBottom w:val="0"/>
              <w:divBdr>
                <w:top w:val="none" w:sz="0" w:space="0" w:color="auto"/>
                <w:left w:val="none" w:sz="0" w:space="0" w:color="auto"/>
                <w:bottom w:val="none" w:sz="0" w:space="0" w:color="auto"/>
                <w:right w:val="none" w:sz="0" w:space="0" w:color="auto"/>
              </w:divBdr>
            </w:div>
            <w:div w:id="56975300">
              <w:marLeft w:val="0"/>
              <w:marRight w:val="0"/>
              <w:marTop w:val="0"/>
              <w:marBottom w:val="0"/>
              <w:divBdr>
                <w:top w:val="none" w:sz="0" w:space="0" w:color="auto"/>
                <w:left w:val="none" w:sz="0" w:space="0" w:color="auto"/>
                <w:bottom w:val="none" w:sz="0" w:space="0" w:color="auto"/>
                <w:right w:val="none" w:sz="0" w:space="0" w:color="auto"/>
              </w:divBdr>
            </w:div>
            <w:div w:id="154037685">
              <w:marLeft w:val="0"/>
              <w:marRight w:val="0"/>
              <w:marTop w:val="0"/>
              <w:marBottom w:val="0"/>
              <w:divBdr>
                <w:top w:val="none" w:sz="0" w:space="0" w:color="auto"/>
                <w:left w:val="none" w:sz="0" w:space="0" w:color="auto"/>
                <w:bottom w:val="none" w:sz="0" w:space="0" w:color="auto"/>
                <w:right w:val="none" w:sz="0" w:space="0" w:color="auto"/>
              </w:divBdr>
            </w:div>
            <w:div w:id="1844853201">
              <w:marLeft w:val="0"/>
              <w:marRight w:val="0"/>
              <w:marTop w:val="0"/>
              <w:marBottom w:val="0"/>
              <w:divBdr>
                <w:top w:val="none" w:sz="0" w:space="0" w:color="auto"/>
                <w:left w:val="none" w:sz="0" w:space="0" w:color="auto"/>
                <w:bottom w:val="none" w:sz="0" w:space="0" w:color="auto"/>
                <w:right w:val="none" w:sz="0" w:space="0" w:color="auto"/>
              </w:divBdr>
            </w:div>
            <w:div w:id="348801374">
              <w:marLeft w:val="0"/>
              <w:marRight w:val="0"/>
              <w:marTop w:val="0"/>
              <w:marBottom w:val="0"/>
              <w:divBdr>
                <w:top w:val="none" w:sz="0" w:space="0" w:color="auto"/>
                <w:left w:val="none" w:sz="0" w:space="0" w:color="auto"/>
                <w:bottom w:val="none" w:sz="0" w:space="0" w:color="auto"/>
                <w:right w:val="none" w:sz="0" w:space="0" w:color="auto"/>
              </w:divBdr>
            </w:div>
            <w:div w:id="1174028120">
              <w:marLeft w:val="0"/>
              <w:marRight w:val="0"/>
              <w:marTop w:val="0"/>
              <w:marBottom w:val="0"/>
              <w:divBdr>
                <w:top w:val="none" w:sz="0" w:space="0" w:color="auto"/>
                <w:left w:val="none" w:sz="0" w:space="0" w:color="auto"/>
                <w:bottom w:val="none" w:sz="0" w:space="0" w:color="auto"/>
                <w:right w:val="none" w:sz="0" w:space="0" w:color="auto"/>
              </w:divBdr>
            </w:div>
            <w:div w:id="956569611">
              <w:marLeft w:val="0"/>
              <w:marRight w:val="0"/>
              <w:marTop w:val="0"/>
              <w:marBottom w:val="0"/>
              <w:divBdr>
                <w:top w:val="none" w:sz="0" w:space="0" w:color="auto"/>
                <w:left w:val="none" w:sz="0" w:space="0" w:color="auto"/>
                <w:bottom w:val="none" w:sz="0" w:space="0" w:color="auto"/>
                <w:right w:val="none" w:sz="0" w:space="0" w:color="auto"/>
              </w:divBdr>
            </w:div>
            <w:div w:id="1929264067">
              <w:marLeft w:val="0"/>
              <w:marRight w:val="0"/>
              <w:marTop w:val="0"/>
              <w:marBottom w:val="0"/>
              <w:divBdr>
                <w:top w:val="none" w:sz="0" w:space="0" w:color="auto"/>
                <w:left w:val="none" w:sz="0" w:space="0" w:color="auto"/>
                <w:bottom w:val="none" w:sz="0" w:space="0" w:color="auto"/>
                <w:right w:val="none" w:sz="0" w:space="0" w:color="auto"/>
              </w:divBdr>
            </w:div>
            <w:div w:id="1074744623">
              <w:marLeft w:val="0"/>
              <w:marRight w:val="0"/>
              <w:marTop w:val="0"/>
              <w:marBottom w:val="0"/>
              <w:divBdr>
                <w:top w:val="none" w:sz="0" w:space="0" w:color="auto"/>
                <w:left w:val="none" w:sz="0" w:space="0" w:color="auto"/>
                <w:bottom w:val="none" w:sz="0" w:space="0" w:color="auto"/>
                <w:right w:val="none" w:sz="0" w:space="0" w:color="auto"/>
              </w:divBdr>
            </w:div>
            <w:div w:id="637492024">
              <w:marLeft w:val="0"/>
              <w:marRight w:val="0"/>
              <w:marTop w:val="0"/>
              <w:marBottom w:val="0"/>
              <w:divBdr>
                <w:top w:val="none" w:sz="0" w:space="0" w:color="auto"/>
                <w:left w:val="none" w:sz="0" w:space="0" w:color="auto"/>
                <w:bottom w:val="none" w:sz="0" w:space="0" w:color="auto"/>
                <w:right w:val="none" w:sz="0" w:space="0" w:color="auto"/>
              </w:divBdr>
            </w:div>
            <w:div w:id="69933932">
              <w:marLeft w:val="0"/>
              <w:marRight w:val="0"/>
              <w:marTop w:val="0"/>
              <w:marBottom w:val="0"/>
              <w:divBdr>
                <w:top w:val="none" w:sz="0" w:space="0" w:color="auto"/>
                <w:left w:val="none" w:sz="0" w:space="0" w:color="auto"/>
                <w:bottom w:val="none" w:sz="0" w:space="0" w:color="auto"/>
                <w:right w:val="none" w:sz="0" w:space="0" w:color="auto"/>
              </w:divBdr>
            </w:div>
            <w:div w:id="466122305">
              <w:marLeft w:val="0"/>
              <w:marRight w:val="0"/>
              <w:marTop w:val="0"/>
              <w:marBottom w:val="0"/>
              <w:divBdr>
                <w:top w:val="none" w:sz="0" w:space="0" w:color="auto"/>
                <w:left w:val="none" w:sz="0" w:space="0" w:color="auto"/>
                <w:bottom w:val="none" w:sz="0" w:space="0" w:color="auto"/>
                <w:right w:val="none" w:sz="0" w:space="0" w:color="auto"/>
              </w:divBdr>
            </w:div>
            <w:div w:id="1285427045">
              <w:marLeft w:val="0"/>
              <w:marRight w:val="0"/>
              <w:marTop w:val="0"/>
              <w:marBottom w:val="0"/>
              <w:divBdr>
                <w:top w:val="none" w:sz="0" w:space="0" w:color="auto"/>
                <w:left w:val="none" w:sz="0" w:space="0" w:color="auto"/>
                <w:bottom w:val="none" w:sz="0" w:space="0" w:color="auto"/>
                <w:right w:val="none" w:sz="0" w:space="0" w:color="auto"/>
              </w:divBdr>
            </w:div>
            <w:div w:id="873927365">
              <w:marLeft w:val="0"/>
              <w:marRight w:val="0"/>
              <w:marTop w:val="0"/>
              <w:marBottom w:val="0"/>
              <w:divBdr>
                <w:top w:val="none" w:sz="0" w:space="0" w:color="auto"/>
                <w:left w:val="none" w:sz="0" w:space="0" w:color="auto"/>
                <w:bottom w:val="none" w:sz="0" w:space="0" w:color="auto"/>
                <w:right w:val="none" w:sz="0" w:space="0" w:color="auto"/>
              </w:divBdr>
            </w:div>
            <w:div w:id="431123453">
              <w:marLeft w:val="0"/>
              <w:marRight w:val="0"/>
              <w:marTop w:val="0"/>
              <w:marBottom w:val="0"/>
              <w:divBdr>
                <w:top w:val="none" w:sz="0" w:space="0" w:color="auto"/>
                <w:left w:val="none" w:sz="0" w:space="0" w:color="auto"/>
                <w:bottom w:val="none" w:sz="0" w:space="0" w:color="auto"/>
                <w:right w:val="none" w:sz="0" w:space="0" w:color="auto"/>
              </w:divBdr>
            </w:div>
            <w:div w:id="1878077276">
              <w:marLeft w:val="0"/>
              <w:marRight w:val="0"/>
              <w:marTop w:val="0"/>
              <w:marBottom w:val="0"/>
              <w:divBdr>
                <w:top w:val="none" w:sz="0" w:space="0" w:color="auto"/>
                <w:left w:val="none" w:sz="0" w:space="0" w:color="auto"/>
                <w:bottom w:val="none" w:sz="0" w:space="0" w:color="auto"/>
                <w:right w:val="none" w:sz="0" w:space="0" w:color="auto"/>
              </w:divBdr>
            </w:div>
            <w:div w:id="1683900122">
              <w:marLeft w:val="0"/>
              <w:marRight w:val="0"/>
              <w:marTop w:val="0"/>
              <w:marBottom w:val="0"/>
              <w:divBdr>
                <w:top w:val="none" w:sz="0" w:space="0" w:color="auto"/>
                <w:left w:val="none" w:sz="0" w:space="0" w:color="auto"/>
                <w:bottom w:val="none" w:sz="0" w:space="0" w:color="auto"/>
                <w:right w:val="none" w:sz="0" w:space="0" w:color="auto"/>
              </w:divBdr>
            </w:div>
            <w:div w:id="877934918">
              <w:marLeft w:val="0"/>
              <w:marRight w:val="0"/>
              <w:marTop w:val="0"/>
              <w:marBottom w:val="0"/>
              <w:divBdr>
                <w:top w:val="none" w:sz="0" w:space="0" w:color="auto"/>
                <w:left w:val="none" w:sz="0" w:space="0" w:color="auto"/>
                <w:bottom w:val="none" w:sz="0" w:space="0" w:color="auto"/>
                <w:right w:val="none" w:sz="0" w:space="0" w:color="auto"/>
              </w:divBdr>
            </w:div>
            <w:div w:id="1306621894">
              <w:marLeft w:val="0"/>
              <w:marRight w:val="0"/>
              <w:marTop w:val="0"/>
              <w:marBottom w:val="0"/>
              <w:divBdr>
                <w:top w:val="none" w:sz="0" w:space="0" w:color="auto"/>
                <w:left w:val="none" w:sz="0" w:space="0" w:color="auto"/>
                <w:bottom w:val="none" w:sz="0" w:space="0" w:color="auto"/>
                <w:right w:val="none" w:sz="0" w:space="0" w:color="auto"/>
              </w:divBdr>
            </w:div>
            <w:div w:id="408039680">
              <w:marLeft w:val="0"/>
              <w:marRight w:val="0"/>
              <w:marTop w:val="0"/>
              <w:marBottom w:val="0"/>
              <w:divBdr>
                <w:top w:val="none" w:sz="0" w:space="0" w:color="auto"/>
                <w:left w:val="none" w:sz="0" w:space="0" w:color="auto"/>
                <w:bottom w:val="none" w:sz="0" w:space="0" w:color="auto"/>
                <w:right w:val="none" w:sz="0" w:space="0" w:color="auto"/>
              </w:divBdr>
            </w:div>
            <w:div w:id="1416779351">
              <w:marLeft w:val="0"/>
              <w:marRight w:val="0"/>
              <w:marTop w:val="0"/>
              <w:marBottom w:val="0"/>
              <w:divBdr>
                <w:top w:val="none" w:sz="0" w:space="0" w:color="auto"/>
                <w:left w:val="none" w:sz="0" w:space="0" w:color="auto"/>
                <w:bottom w:val="none" w:sz="0" w:space="0" w:color="auto"/>
                <w:right w:val="none" w:sz="0" w:space="0" w:color="auto"/>
              </w:divBdr>
            </w:div>
            <w:div w:id="1484157309">
              <w:marLeft w:val="0"/>
              <w:marRight w:val="0"/>
              <w:marTop w:val="0"/>
              <w:marBottom w:val="0"/>
              <w:divBdr>
                <w:top w:val="none" w:sz="0" w:space="0" w:color="auto"/>
                <w:left w:val="none" w:sz="0" w:space="0" w:color="auto"/>
                <w:bottom w:val="none" w:sz="0" w:space="0" w:color="auto"/>
                <w:right w:val="none" w:sz="0" w:space="0" w:color="auto"/>
              </w:divBdr>
            </w:div>
            <w:div w:id="1633515820">
              <w:marLeft w:val="0"/>
              <w:marRight w:val="0"/>
              <w:marTop w:val="0"/>
              <w:marBottom w:val="0"/>
              <w:divBdr>
                <w:top w:val="none" w:sz="0" w:space="0" w:color="auto"/>
                <w:left w:val="none" w:sz="0" w:space="0" w:color="auto"/>
                <w:bottom w:val="none" w:sz="0" w:space="0" w:color="auto"/>
                <w:right w:val="none" w:sz="0" w:space="0" w:color="auto"/>
              </w:divBdr>
            </w:div>
            <w:div w:id="1075587178">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1250700279">
              <w:marLeft w:val="0"/>
              <w:marRight w:val="0"/>
              <w:marTop w:val="0"/>
              <w:marBottom w:val="0"/>
              <w:divBdr>
                <w:top w:val="none" w:sz="0" w:space="0" w:color="auto"/>
                <w:left w:val="none" w:sz="0" w:space="0" w:color="auto"/>
                <w:bottom w:val="none" w:sz="0" w:space="0" w:color="auto"/>
                <w:right w:val="none" w:sz="0" w:space="0" w:color="auto"/>
              </w:divBdr>
            </w:div>
            <w:div w:id="873423470">
              <w:marLeft w:val="0"/>
              <w:marRight w:val="0"/>
              <w:marTop w:val="0"/>
              <w:marBottom w:val="0"/>
              <w:divBdr>
                <w:top w:val="none" w:sz="0" w:space="0" w:color="auto"/>
                <w:left w:val="none" w:sz="0" w:space="0" w:color="auto"/>
                <w:bottom w:val="none" w:sz="0" w:space="0" w:color="auto"/>
                <w:right w:val="none" w:sz="0" w:space="0" w:color="auto"/>
              </w:divBdr>
            </w:div>
            <w:div w:id="901868645">
              <w:marLeft w:val="0"/>
              <w:marRight w:val="0"/>
              <w:marTop w:val="0"/>
              <w:marBottom w:val="0"/>
              <w:divBdr>
                <w:top w:val="none" w:sz="0" w:space="0" w:color="auto"/>
                <w:left w:val="none" w:sz="0" w:space="0" w:color="auto"/>
                <w:bottom w:val="none" w:sz="0" w:space="0" w:color="auto"/>
                <w:right w:val="none" w:sz="0" w:space="0" w:color="auto"/>
              </w:divBdr>
            </w:div>
            <w:div w:id="216472193">
              <w:marLeft w:val="0"/>
              <w:marRight w:val="0"/>
              <w:marTop w:val="0"/>
              <w:marBottom w:val="0"/>
              <w:divBdr>
                <w:top w:val="none" w:sz="0" w:space="0" w:color="auto"/>
                <w:left w:val="none" w:sz="0" w:space="0" w:color="auto"/>
                <w:bottom w:val="none" w:sz="0" w:space="0" w:color="auto"/>
                <w:right w:val="none" w:sz="0" w:space="0" w:color="auto"/>
              </w:divBdr>
            </w:div>
            <w:div w:id="1631325148">
              <w:marLeft w:val="0"/>
              <w:marRight w:val="0"/>
              <w:marTop w:val="0"/>
              <w:marBottom w:val="0"/>
              <w:divBdr>
                <w:top w:val="none" w:sz="0" w:space="0" w:color="auto"/>
                <w:left w:val="none" w:sz="0" w:space="0" w:color="auto"/>
                <w:bottom w:val="none" w:sz="0" w:space="0" w:color="auto"/>
                <w:right w:val="none" w:sz="0" w:space="0" w:color="auto"/>
              </w:divBdr>
            </w:div>
            <w:div w:id="64106642">
              <w:marLeft w:val="0"/>
              <w:marRight w:val="0"/>
              <w:marTop w:val="0"/>
              <w:marBottom w:val="0"/>
              <w:divBdr>
                <w:top w:val="none" w:sz="0" w:space="0" w:color="auto"/>
                <w:left w:val="none" w:sz="0" w:space="0" w:color="auto"/>
                <w:bottom w:val="none" w:sz="0" w:space="0" w:color="auto"/>
                <w:right w:val="none" w:sz="0" w:space="0" w:color="auto"/>
              </w:divBdr>
            </w:div>
            <w:div w:id="1484278131">
              <w:marLeft w:val="0"/>
              <w:marRight w:val="0"/>
              <w:marTop w:val="0"/>
              <w:marBottom w:val="0"/>
              <w:divBdr>
                <w:top w:val="none" w:sz="0" w:space="0" w:color="auto"/>
                <w:left w:val="none" w:sz="0" w:space="0" w:color="auto"/>
                <w:bottom w:val="none" w:sz="0" w:space="0" w:color="auto"/>
                <w:right w:val="none" w:sz="0" w:space="0" w:color="auto"/>
              </w:divBdr>
            </w:div>
            <w:div w:id="1712152485">
              <w:marLeft w:val="0"/>
              <w:marRight w:val="0"/>
              <w:marTop w:val="0"/>
              <w:marBottom w:val="0"/>
              <w:divBdr>
                <w:top w:val="none" w:sz="0" w:space="0" w:color="auto"/>
                <w:left w:val="none" w:sz="0" w:space="0" w:color="auto"/>
                <w:bottom w:val="none" w:sz="0" w:space="0" w:color="auto"/>
                <w:right w:val="none" w:sz="0" w:space="0" w:color="auto"/>
              </w:divBdr>
            </w:div>
            <w:div w:id="1479148092">
              <w:marLeft w:val="0"/>
              <w:marRight w:val="0"/>
              <w:marTop w:val="0"/>
              <w:marBottom w:val="0"/>
              <w:divBdr>
                <w:top w:val="none" w:sz="0" w:space="0" w:color="auto"/>
                <w:left w:val="none" w:sz="0" w:space="0" w:color="auto"/>
                <w:bottom w:val="none" w:sz="0" w:space="0" w:color="auto"/>
                <w:right w:val="none" w:sz="0" w:space="0" w:color="auto"/>
              </w:divBdr>
            </w:div>
            <w:div w:id="860750943">
              <w:marLeft w:val="0"/>
              <w:marRight w:val="0"/>
              <w:marTop w:val="0"/>
              <w:marBottom w:val="0"/>
              <w:divBdr>
                <w:top w:val="none" w:sz="0" w:space="0" w:color="auto"/>
                <w:left w:val="none" w:sz="0" w:space="0" w:color="auto"/>
                <w:bottom w:val="none" w:sz="0" w:space="0" w:color="auto"/>
                <w:right w:val="none" w:sz="0" w:space="0" w:color="auto"/>
              </w:divBdr>
            </w:div>
            <w:div w:id="1043217946">
              <w:marLeft w:val="0"/>
              <w:marRight w:val="0"/>
              <w:marTop w:val="0"/>
              <w:marBottom w:val="0"/>
              <w:divBdr>
                <w:top w:val="none" w:sz="0" w:space="0" w:color="auto"/>
                <w:left w:val="none" w:sz="0" w:space="0" w:color="auto"/>
                <w:bottom w:val="none" w:sz="0" w:space="0" w:color="auto"/>
                <w:right w:val="none" w:sz="0" w:space="0" w:color="auto"/>
              </w:divBdr>
            </w:div>
            <w:div w:id="1991322668">
              <w:marLeft w:val="0"/>
              <w:marRight w:val="0"/>
              <w:marTop w:val="0"/>
              <w:marBottom w:val="0"/>
              <w:divBdr>
                <w:top w:val="none" w:sz="0" w:space="0" w:color="auto"/>
                <w:left w:val="none" w:sz="0" w:space="0" w:color="auto"/>
                <w:bottom w:val="none" w:sz="0" w:space="0" w:color="auto"/>
                <w:right w:val="none" w:sz="0" w:space="0" w:color="auto"/>
              </w:divBdr>
            </w:div>
            <w:div w:id="771977911">
              <w:marLeft w:val="0"/>
              <w:marRight w:val="0"/>
              <w:marTop w:val="0"/>
              <w:marBottom w:val="0"/>
              <w:divBdr>
                <w:top w:val="none" w:sz="0" w:space="0" w:color="auto"/>
                <w:left w:val="none" w:sz="0" w:space="0" w:color="auto"/>
                <w:bottom w:val="none" w:sz="0" w:space="0" w:color="auto"/>
                <w:right w:val="none" w:sz="0" w:space="0" w:color="auto"/>
              </w:divBdr>
            </w:div>
            <w:div w:id="2051565862">
              <w:marLeft w:val="0"/>
              <w:marRight w:val="0"/>
              <w:marTop w:val="0"/>
              <w:marBottom w:val="0"/>
              <w:divBdr>
                <w:top w:val="none" w:sz="0" w:space="0" w:color="auto"/>
                <w:left w:val="none" w:sz="0" w:space="0" w:color="auto"/>
                <w:bottom w:val="none" w:sz="0" w:space="0" w:color="auto"/>
                <w:right w:val="none" w:sz="0" w:space="0" w:color="auto"/>
              </w:divBdr>
            </w:div>
            <w:div w:id="11541358">
              <w:marLeft w:val="0"/>
              <w:marRight w:val="0"/>
              <w:marTop w:val="0"/>
              <w:marBottom w:val="0"/>
              <w:divBdr>
                <w:top w:val="none" w:sz="0" w:space="0" w:color="auto"/>
                <w:left w:val="none" w:sz="0" w:space="0" w:color="auto"/>
                <w:bottom w:val="none" w:sz="0" w:space="0" w:color="auto"/>
                <w:right w:val="none" w:sz="0" w:space="0" w:color="auto"/>
              </w:divBdr>
            </w:div>
            <w:div w:id="1582105191">
              <w:marLeft w:val="0"/>
              <w:marRight w:val="0"/>
              <w:marTop w:val="0"/>
              <w:marBottom w:val="0"/>
              <w:divBdr>
                <w:top w:val="none" w:sz="0" w:space="0" w:color="auto"/>
                <w:left w:val="none" w:sz="0" w:space="0" w:color="auto"/>
                <w:bottom w:val="none" w:sz="0" w:space="0" w:color="auto"/>
                <w:right w:val="none" w:sz="0" w:space="0" w:color="auto"/>
              </w:divBdr>
            </w:div>
            <w:div w:id="686054275">
              <w:marLeft w:val="0"/>
              <w:marRight w:val="0"/>
              <w:marTop w:val="0"/>
              <w:marBottom w:val="0"/>
              <w:divBdr>
                <w:top w:val="none" w:sz="0" w:space="0" w:color="auto"/>
                <w:left w:val="none" w:sz="0" w:space="0" w:color="auto"/>
                <w:bottom w:val="none" w:sz="0" w:space="0" w:color="auto"/>
                <w:right w:val="none" w:sz="0" w:space="0" w:color="auto"/>
              </w:divBdr>
            </w:div>
            <w:div w:id="1205630688">
              <w:marLeft w:val="0"/>
              <w:marRight w:val="0"/>
              <w:marTop w:val="0"/>
              <w:marBottom w:val="0"/>
              <w:divBdr>
                <w:top w:val="none" w:sz="0" w:space="0" w:color="auto"/>
                <w:left w:val="none" w:sz="0" w:space="0" w:color="auto"/>
                <w:bottom w:val="none" w:sz="0" w:space="0" w:color="auto"/>
                <w:right w:val="none" w:sz="0" w:space="0" w:color="auto"/>
              </w:divBdr>
            </w:div>
            <w:div w:id="178741446">
              <w:marLeft w:val="0"/>
              <w:marRight w:val="0"/>
              <w:marTop w:val="0"/>
              <w:marBottom w:val="0"/>
              <w:divBdr>
                <w:top w:val="none" w:sz="0" w:space="0" w:color="auto"/>
                <w:left w:val="none" w:sz="0" w:space="0" w:color="auto"/>
                <w:bottom w:val="none" w:sz="0" w:space="0" w:color="auto"/>
                <w:right w:val="none" w:sz="0" w:space="0" w:color="auto"/>
              </w:divBdr>
            </w:div>
            <w:div w:id="1103233623">
              <w:marLeft w:val="0"/>
              <w:marRight w:val="0"/>
              <w:marTop w:val="0"/>
              <w:marBottom w:val="0"/>
              <w:divBdr>
                <w:top w:val="none" w:sz="0" w:space="0" w:color="auto"/>
                <w:left w:val="none" w:sz="0" w:space="0" w:color="auto"/>
                <w:bottom w:val="none" w:sz="0" w:space="0" w:color="auto"/>
                <w:right w:val="none" w:sz="0" w:space="0" w:color="auto"/>
              </w:divBdr>
            </w:div>
            <w:div w:id="963120351">
              <w:marLeft w:val="0"/>
              <w:marRight w:val="0"/>
              <w:marTop w:val="0"/>
              <w:marBottom w:val="0"/>
              <w:divBdr>
                <w:top w:val="none" w:sz="0" w:space="0" w:color="auto"/>
                <w:left w:val="none" w:sz="0" w:space="0" w:color="auto"/>
                <w:bottom w:val="none" w:sz="0" w:space="0" w:color="auto"/>
                <w:right w:val="none" w:sz="0" w:space="0" w:color="auto"/>
              </w:divBdr>
            </w:div>
            <w:div w:id="1209412798">
              <w:marLeft w:val="0"/>
              <w:marRight w:val="0"/>
              <w:marTop w:val="0"/>
              <w:marBottom w:val="0"/>
              <w:divBdr>
                <w:top w:val="none" w:sz="0" w:space="0" w:color="auto"/>
                <w:left w:val="none" w:sz="0" w:space="0" w:color="auto"/>
                <w:bottom w:val="none" w:sz="0" w:space="0" w:color="auto"/>
                <w:right w:val="none" w:sz="0" w:space="0" w:color="auto"/>
              </w:divBdr>
            </w:div>
            <w:div w:id="202445712">
              <w:marLeft w:val="0"/>
              <w:marRight w:val="0"/>
              <w:marTop w:val="0"/>
              <w:marBottom w:val="0"/>
              <w:divBdr>
                <w:top w:val="none" w:sz="0" w:space="0" w:color="auto"/>
                <w:left w:val="none" w:sz="0" w:space="0" w:color="auto"/>
                <w:bottom w:val="none" w:sz="0" w:space="0" w:color="auto"/>
                <w:right w:val="none" w:sz="0" w:space="0" w:color="auto"/>
              </w:divBdr>
            </w:div>
            <w:div w:id="2039357784">
              <w:marLeft w:val="0"/>
              <w:marRight w:val="0"/>
              <w:marTop w:val="0"/>
              <w:marBottom w:val="0"/>
              <w:divBdr>
                <w:top w:val="none" w:sz="0" w:space="0" w:color="auto"/>
                <w:left w:val="none" w:sz="0" w:space="0" w:color="auto"/>
                <w:bottom w:val="none" w:sz="0" w:space="0" w:color="auto"/>
                <w:right w:val="none" w:sz="0" w:space="0" w:color="auto"/>
              </w:divBdr>
            </w:div>
            <w:div w:id="1055202345">
              <w:marLeft w:val="0"/>
              <w:marRight w:val="0"/>
              <w:marTop w:val="0"/>
              <w:marBottom w:val="0"/>
              <w:divBdr>
                <w:top w:val="none" w:sz="0" w:space="0" w:color="auto"/>
                <w:left w:val="none" w:sz="0" w:space="0" w:color="auto"/>
                <w:bottom w:val="none" w:sz="0" w:space="0" w:color="auto"/>
                <w:right w:val="none" w:sz="0" w:space="0" w:color="auto"/>
              </w:divBdr>
            </w:div>
            <w:div w:id="1587033508">
              <w:marLeft w:val="0"/>
              <w:marRight w:val="0"/>
              <w:marTop w:val="0"/>
              <w:marBottom w:val="0"/>
              <w:divBdr>
                <w:top w:val="none" w:sz="0" w:space="0" w:color="auto"/>
                <w:left w:val="none" w:sz="0" w:space="0" w:color="auto"/>
                <w:bottom w:val="none" w:sz="0" w:space="0" w:color="auto"/>
                <w:right w:val="none" w:sz="0" w:space="0" w:color="auto"/>
              </w:divBdr>
            </w:div>
            <w:div w:id="1727097543">
              <w:marLeft w:val="0"/>
              <w:marRight w:val="0"/>
              <w:marTop w:val="0"/>
              <w:marBottom w:val="0"/>
              <w:divBdr>
                <w:top w:val="none" w:sz="0" w:space="0" w:color="auto"/>
                <w:left w:val="none" w:sz="0" w:space="0" w:color="auto"/>
                <w:bottom w:val="none" w:sz="0" w:space="0" w:color="auto"/>
                <w:right w:val="none" w:sz="0" w:space="0" w:color="auto"/>
              </w:divBdr>
            </w:div>
            <w:div w:id="1931617676">
              <w:marLeft w:val="0"/>
              <w:marRight w:val="0"/>
              <w:marTop w:val="0"/>
              <w:marBottom w:val="0"/>
              <w:divBdr>
                <w:top w:val="none" w:sz="0" w:space="0" w:color="auto"/>
                <w:left w:val="none" w:sz="0" w:space="0" w:color="auto"/>
                <w:bottom w:val="none" w:sz="0" w:space="0" w:color="auto"/>
                <w:right w:val="none" w:sz="0" w:space="0" w:color="auto"/>
              </w:divBdr>
            </w:div>
            <w:div w:id="2074542265">
              <w:marLeft w:val="0"/>
              <w:marRight w:val="0"/>
              <w:marTop w:val="0"/>
              <w:marBottom w:val="0"/>
              <w:divBdr>
                <w:top w:val="none" w:sz="0" w:space="0" w:color="auto"/>
                <w:left w:val="none" w:sz="0" w:space="0" w:color="auto"/>
                <w:bottom w:val="none" w:sz="0" w:space="0" w:color="auto"/>
                <w:right w:val="none" w:sz="0" w:space="0" w:color="auto"/>
              </w:divBdr>
            </w:div>
            <w:div w:id="784033558">
              <w:marLeft w:val="0"/>
              <w:marRight w:val="0"/>
              <w:marTop w:val="0"/>
              <w:marBottom w:val="0"/>
              <w:divBdr>
                <w:top w:val="none" w:sz="0" w:space="0" w:color="auto"/>
                <w:left w:val="none" w:sz="0" w:space="0" w:color="auto"/>
                <w:bottom w:val="none" w:sz="0" w:space="0" w:color="auto"/>
                <w:right w:val="none" w:sz="0" w:space="0" w:color="auto"/>
              </w:divBdr>
            </w:div>
            <w:div w:id="1714570957">
              <w:marLeft w:val="0"/>
              <w:marRight w:val="0"/>
              <w:marTop w:val="0"/>
              <w:marBottom w:val="0"/>
              <w:divBdr>
                <w:top w:val="none" w:sz="0" w:space="0" w:color="auto"/>
                <w:left w:val="none" w:sz="0" w:space="0" w:color="auto"/>
                <w:bottom w:val="none" w:sz="0" w:space="0" w:color="auto"/>
                <w:right w:val="none" w:sz="0" w:space="0" w:color="auto"/>
              </w:divBdr>
            </w:div>
            <w:div w:id="999238680">
              <w:marLeft w:val="0"/>
              <w:marRight w:val="0"/>
              <w:marTop w:val="0"/>
              <w:marBottom w:val="0"/>
              <w:divBdr>
                <w:top w:val="none" w:sz="0" w:space="0" w:color="auto"/>
                <w:left w:val="none" w:sz="0" w:space="0" w:color="auto"/>
                <w:bottom w:val="none" w:sz="0" w:space="0" w:color="auto"/>
                <w:right w:val="none" w:sz="0" w:space="0" w:color="auto"/>
              </w:divBdr>
            </w:div>
            <w:div w:id="713889090">
              <w:marLeft w:val="0"/>
              <w:marRight w:val="0"/>
              <w:marTop w:val="0"/>
              <w:marBottom w:val="0"/>
              <w:divBdr>
                <w:top w:val="none" w:sz="0" w:space="0" w:color="auto"/>
                <w:left w:val="none" w:sz="0" w:space="0" w:color="auto"/>
                <w:bottom w:val="none" w:sz="0" w:space="0" w:color="auto"/>
                <w:right w:val="none" w:sz="0" w:space="0" w:color="auto"/>
              </w:divBdr>
            </w:div>
            <w:div w:id="60178469">
              <w:marLeft w:val="0"/>
              <w:marRight w:val="0"/>
              <w:marTop w:val="0"/>
              <w:marBottom w:val="0"/>
              <w:divBdr>
                <w:top w:val="none" w:sz="0" w:space="0" w:color="auto"/>
                <w:left w:val="none" w:sz="0" w:space="0" w:color="auto"/>
                <w:bottom w:val="none" w:sz="0" w:space="0" w:color="auto"/>
                <w:right w:val="none" w:sz="0" w:space="0" w:color="auto"/>
              </w:divBdr>
            </w:div>
            <w:div w:id="1850022822">
              <w:marLeft w:val="0"/>
              <w:marRight w:val="0"/>
              <w:marTop w:val="0"/>
              <w:marBottom w:val="0"/>
              <w:divBdr>
                <w:top w:val="none" w:sz="0" w:space="0" w:color="auto"/>
                <w:left w:val="none" w:sz="0" w:space="0" w:color="auto"/>
                <w:bottom w:val="none" w:sz="0" w:space="0" w:color="auto"/>
                <w:right w:val="none" w:sz="0" w:space="0" w:color="auto"/>
              </w:divBdr>
            </w:div>
            <w:div w:id="1303924095">
              <w:marLeft w:val="0"/>
              <w:marRight w:val="0"/>
              <w:marTop w:val="0"/>
              <w:marBottom w:val="0"/>
              <w:divBdr>
                <w:top w:val="none" w:sz="0" w:space="0" w:color="auto"/>
                <w:left w:val="none" w:sz="0" w:space="0" w:color="auto"/>
                <w:bottom w:val="none" w:sz="0" w:space="0" w:color="auto"/>
                <w:right w:val="none" w:sz="0" w:space="0" w:color="auto"/>
              </w:divBdr>
            </w:div>
            <w:div w:id="340469782">
              <w:marLeft w:val="0"/>
              <w:marRight w:val="0"/>
              <w:marTop w:val="0"/>
              <w:marBottom w:val="0"/>
              <w:divBdr>
                <w:top w:val="none" w:sz="0" w:space="0" w:color="auto"/>
                <w:left w:val="none" w:sz="0" w:space="0" w:color="auto"/>
                <w:bottom w:val="none" w:sz="0" w:space="0" w:color="auto"/>
                <w:right w:val="none" w:sz="0" w:space="0" w:color="auto"/>
              </w:divBdr>
            </w:div>
            <w:div w:id="1907304256">
              <w:marLeft w:val="0"/>
              <w:marRight w:val="0"/>
              <w:marTop w:val="0"/>
              <w:marBottom w:val="0"/>
              <w:divBdr>
                <w:top w:val="none" w:sz="0" w:space="0" w:color="auto"/>
                <w:left w:val="none" w:sz="0" w:space="0" w:color="auto"/>
                <w:bottom w:val="none" w:sz="0" w:space="0" w:color="auto"/>
                <w:right w:val="none" w:sz="0" w:space="0" w:color="auto"/>
              </w:divBdr>
            </w:div>
            <w:div w:id="1698848662">
              <w:marLeft w:val="0"/>
              <w:marRight w:val="0"/>
              <w:marTop w:val="0"/>
              <w:marBottom w:val="0"/>
              <w:divBdr>
                <w:top w:val="none" w:sz="0" w:space="0" w:color="auto"/>
                <w:left w:val="none" w:sz="0" w:space="0" w:color="auto"/>
                <w:bottom w:val="none" w:sz="0" w:space="0" w:color="auto"/>
                <w:right w:val="none" w:sz="0" w:space="0" w:color="auto"/>
              </w:divBdr>
            </w:div>
            <w:div w:id="811142762">
              <w:marLeft w:val="0"/>
              <w:marRight w:val="0"/>
              <w:marTop w:val="0"/>
              <w:marBottom w:val="0"/>
              <w:divBdr>
                <w:top w:val="none" w:sz="0" w:space="0" w:color="auto"/>
                <w:left w:val="none" w:sz="0" w:space="0" w:color="auto"/>
                <w:bottom w:val="none" w:sz="0" w:space="0" w:color="auto"/>
                <w:right w:val="none" w:sz="0" w:space="0" w:color="auto"/>
              </w:divBdr>
            </w:div>
            <w:div w:id="1910188236">
              <w:marLeft w:val="0"/>
              <w:marRight w:val="0"/>
              <w:marTop w:val="0"/>
              <w:marBottom w:val="0"/>
              <w:divBdr>
                <w:top w:val="none" w:sz="0" w:space="0" w:color="auto"/>
                <w:left w:val="none" w:sz="0" w:space="0" w:color="auto"/>
                <w:bottom w:val="none" w:sz="0" w:space="0" w:color="auto"/>
                <w:right w:val="none" w:sz="0" w:space="0" w:color="auto"/>
              </w:divBdr>
            </w:div>
            <w:div w:id="812988185">
              <w:marLeft w:val="0"/>
              <w:marRight w:val="0"/>
              <w:marTop w:val="0"/>
              <w:marBottom w:val="0"/>
              <w:divBdr>
                <w:top w:val="none" w:sz="0" w:space="0" w:color="auto"/>
                <w:left w:val="none" w:sz="0" w:space="0" w:color="auto"/>
                <w:bottom w:val="none" w:sz="0" w:space="0" w:color="auto"/>
                <w:right w:val="none" w:sz="0" w:space="0" w:color="auto"/>
              </w:divBdr>
            </w:div>
            <w:div w:id="1500387980">
              <w:marLeft w:val="0"/>
              <w:marRight w:val="0"/>
              <w:marTop w:val="0"/>
              <w:marBottom w:val="0"/>
              <w:divBdr>
                <w:top w:val="none" w:sz="0" w:space="0" w:color="auto"/>
                <w:left w:val="none" w:sz="0" w:space="0" w:color="auto"/>
                <w:bottom w:val="none" w:sz="0" w:space="0" w:color="auto"/>
                <w:right w:val="none" w:sz="0" w:space="0" w:color="auto"/>
              </w:divBdr>
            </w:div>
            <w:div w:id="2070573150">
              <w:marLeft w:val="0"/>
              <w:marRight w:val="0"/>
              <w:marTop w:val="0"/>
              <w:marBottom w:val="0"/>
              <w:divBdr>
                <w:top w:val="none" w:sz="0" w:space="0" w:color="auto"/>
                <w:left w:val="none" w:sz="0" w:space="0" w:color="auto"/>
                <w:bottom w:val="none" w:sz="0" w:space="0" w:color="auto"/>
                <w:right w:val="none" w:sz="0" w:space="0" w:color="auto"/>
              </w:divBdr>
            </w:div>
            <w:div w:id="1966037114">
              <w:marLeft w:val="0"/>
              <w:marRight w:val="0"/>
              <w:marTop w:val="0"/>
              <w:marBottom w:val="0"/>
              <w:divBdr>
                <w:top w:val="none" w:sz="0" w:space="0" w:color="auto"/>
                <w:left w:val="none" w:sz="0" w:space="0" w:color="auto"/>
                <w:bottom w:val="none" w:sz="0" w:space="0" w:color="auto"/>
                <w:right w:val="none" w:sz="0" w:space="0" w:color="auto"/>
              </w:divBdr>
            </w:div>
            <w:div w:id="1662081377">
              <w:marLeft w:val="0"/>
              <w:marRight w:val="0"/>
              <w:marTop w:val="0"/>
              <w:marBottom w:val="0"/>
              <w:divBdr>
                <w:top w:val="none" w:sz="0" w:space="0" w:color="auto"/>
                <w:left w:val="none" w:sz="0" w:space="0" w:color="auto"/>
                <w:bottom w:val="none" w:sz="0" w:space="0" w:color="auto"/>
                <w:right w:val="none" w:sz="0" w:space="0" w:color="auto"/>
              </w:divBdr>
            </w:div>
            <w:div w:id="1868055042">
              <w:marLeft w:val="0"/>
              <w:marRight w:val="0"/>
              <w:marTop w:val="0"/>
              <w:marBottom w:val="0"/>
              <w:divBdr>
                <w:top w:val="none" w:sz="0" w:space="0" w:color="auto"/>
                <w:left w:val="none" w:sz="0" w:space="0" w:color="auto"/>
                <w:bottom w:val="none" w:sz="0" w:space="0" w:color="auto"/>
                <w:right w:val="none" w:sz="0" w:space="0" w:color="auto"/>
              </w:divBdr>
            </w:div>
            <w:div w:id="1722630881">
              <w:marLeft w:val="0"/>
              <w:marRight w:val="0"/>
              <w:marTop w:val="0"/>
              <w:marBottom w:val="0"/>
              <w:divBdr>
                <w:top w:val="none" w:sz="0" w:space="0" w:color="auto"/>
                <w:left w:val="none" w:sz="0" w:space="0" w:color="auto"/>
                <w:bottom w:val="none" w:sz="0" w:space="0" w:color="auto"/>
                <w:right w:val="none" w:sz="0" w:space="0" w:color="auto"/>
              </w:divBdr>
            </w:div>
            <w:div w:id="1089430253">
              <w:marLeft w:val="0"/>
              <w:marRight w:val="0"/>
              <w:marTop w:val="0"/>
              <w:marBottom w:val="0"/>
              <w:divBdr>
                <w:top w:val="none" w:sz="0" w:space="0" w:color="auto"/>
                <w:left w:val="none" w:sz="0" w:space="0" w:color="auto"/>
                <w:bottom w:val="none" w:sz="0" w:space="0" w:color="auto"/>
                <w:right w:val="none" w:sz="0" w:space="0" w:color="auto"/>
              </w:divBdr>
            </w:div>
            <w:div w:id="818418566">
              <w:marLeft w:val="0"/>
              <w:marRight w:val="0"/>
              <w:marTop w:val="0"/>
              <w:marBottom w:val="0"/>
              <w:divBdr>
                <w:top w:val="none" w:sz="0" w:space="0" w:color="auto"/>
                <w:left w:val="none" w:sz="0" w:space="0" w:color="auto"/>
                <w:bottom w:val="none" w:sz="0" w:space="0" w:color="auto"/>
                <w:right w:val="none" w:sz="0" w:space="0" w:color="auto"/>
              </w:divBdr>
            </w:div>
            <w:div w:id="370540633">
              <w:marLeft w:val="0"/>
              <w:marRight w:val="0"/>
              <w:marTop w:val="0"/>
              <w:marBottom w:val="0"/>
              <w:divBdr>
                <w:top w:val="none" w:sz="0" w:space="0" w:color="auto"/>
                <w:left w:val="none" w:sz="0" w:space="0" w:color="auto"/>
                <w:bottom w:val="none" w:sz="0" w:space="0" w:color="auto"/>
                <w:right w:val="none" w:sz="0" w:space="0" w:color="auto"/>
              </w:divBdr>
            </w:div>
            <w:div w:id="1853031171">
              <w:marLeft w:val="0"/>
              <w:marRight w:val="0"/>
              <w:marTop w:val="0"/>
              <w:marBottom w:val="0"/>
              <w:divBdr>
                <w:top w:val="none" w:sz="0" w:space="0" w:color="auto"/>
                <w:left w:val="none" w:sz="0" w:space="0" w:color="auto"/>
                <w:bottom w:val="none" w:sz="0" w:space="0" w:color="auto"/>
                <w:right w:val="none" w:sz="0" w:space="0" w:color="auto"/>
              </w:divBdr>
            </w:div>
            <w:div w:id="557206049">
              <w:marLeft w:val="0"/>
              <w:marRight w:val="0"/>
              <w:marTop w:val="0"/>
              <w:marBottom w:val="0"/>
              <w:divBdr>
                <w:top w:val="none" w:sz="0" w:space="0" w:color="auto"/>
                <w:left w:val="none" w:sz="0" w:space="0" w:color="auto"/>
                <w:bottom w:val="none" w:sz="0" w:space="0" w:color="auto"/>
                <w:right w:val="none" w:sz="0" w:space="0" w:color="auto"/>
              </w:divBdr>
            </w:div>
            <w:div w:id="1878084274">
              <w:marLeft w:val="0"/>
              <w:marRight w:val="0"/>
              <w:marTop w:val="0"/>
              <w:marBottom w:val="0"/>
              <w:divBdr>
                <w:top w:val="none" w:sz="0" w:space="0" w:color="auto"/>
                <w:left w:val="none" w:sz="0" w:space="0" w:color="auto"/>
                <w:bottom w:val="none" w:sz="0" w:space="0" w:color="auto"/>
                <w:right w:val="none" w:sz="0" w:space="0" w:color="auto"/>
              </w:divBdr>
            </w:div>
            <w:div w:id="503129479">
              <w:marLeft w:val="0"/>
              <w:marRight w:val="0"/>
              <w:marTop w:val="0"/>
              <w:marBottom w:val="0"/>
              <w:divBdr>
                <w:top w:val="none" w:sz="0" w:space="0" w:color="auto"/>
                <w:left w:val="none" w:sz="0" w:space="0" w:color="auto"/>
                <w:bottom w:val="none" w:sz="0" w:space="0" w:color="auto"/>
                <w:right w:val="none" w:sz="0" w:space="0" w:color="auto"/>
              </w:divBdr>
            </w:div>
            <w:div w:id="1347517011">
              <w:marLeft w:val="0"/>
              <w:marRight w:val="0"/>
              <w:marTop w:val="0"/>
              <w:marBottom w:val="0"/>
              <w:divBdr>
                <w:top w:val="none" w:sz="0" w:space="0" w:color="auto"/>
                <w:left w:val="none" w:sz="0" w:space="0" w:color="auto"/>
                <w:bottom w:val="none" w:sz="0" w:space="0" w:color="auto"/>
                <w:right w:val="none" w:sz="0" w:space="0" w:color="auto"/>
              </w:divBdr>
            </w:div>
            <w:div w:id="1927373264">
              <w:marLeft w:val="0"/>
              <w:marRight w:val="0"/>
              <w:marTop w:val="0"/>
              <w:marBottom w:val="0"/>
              <w:divBdr>
                <w:top w:val="none" w:sz="0" w:space="0" w:color="auto"/>
                <w:left w:val="none" w:sz="0" w:space="0" w:color="auto"/>
                <w:bottom w:val="none" w:sz="0" w:space="0" w:color="auto"/>
                <w:right w:val="none" w:sz="0" w:space="0" w:color="auto"/>
              </w:divBdr>
            </w:div>
            <w:div w:id="156772318">
              <w:marLeft w:val="0"/>
              <w:marRight w:val="0"/>
              <w:marTop w:val="0"/>
              <w:marBottom w:val="0"/>
              <w:divBdr>
                <w:top w:val="none" w:sz="0" w:space="0" w:color="auto"/>
                <w:left w:val="none" w:sz="0" w:space="0" w:color="auto"/>
                <w:bottom w:val="none" w:sz="0" w:space="0" w:color="auto"/>
                <w:right w:val="none" w:sz="0" w:space="0" w:color="auto"/>
              </w:divBdr>
            </w:div>
            <w:div w:id="343477839">
              <w:marLeft w:val="0"/>
              <w:marRight w:val="0"/>
              <w:marTop w:val="0"/>
              <w:marBottom w:val="0"/>
              <w:divBdr>
                <w:top w:val="none" w:sz="0" w:space="0" w:color="auto"/>
                <w:left w:val="none" w:sz="0" w:space="0" w:color="auto"/>
                <w:bottom w:val="none" w:sz="0" w:space="0" w:color="auto"/>
                <w:right w:val="none" w:sz="0" w:space="0" w:color="auto"/>
              </w:divBdr>
            </w:div>
            <w:div w:id="177740577">
              <w:marLeft w:val="0"/>
              <w:marRight w:val="0"/>
              <w:marTop w:val="0"/>
              <w:marBottom w:val="0"/>
              <w:divBdr>
                <w:top w:val="none" w:sz="0" w:space="0" w:color="auto"/>
                <w:left w:val="none" w:sz="0" w:space="0" w:color="auto"/>
                <w:bottom w:val="none" w:sz="0" w:space="0" w:color="auto"/>
                <w:right w:val="none" w:sz="0" w:space="0" w:color="auto"/>
              </w:divBdr>
            </w:div>
            <w:div w:id="1099987109">
              <w:marLeft w:val="0"/>
              <w:marRight w:val="0"/>
              <w:marTop w:val="0"/>
              <w:marBottom w:val="0"/>
              <w:divBdr>
                <w:top w:val="none" w:sz="0" w:space="0" w:color="auto"/>
                <w:left w:val="none" w:sz="0" w:space="0" w:color="auto"/>
                <w:bottom w:val="none" w:sz="0" w:space="0" w:color="auto"/>
                <w:right w:val="none" w:sz="0" w:space="0" w:color="auto"/>
              </w:divBdr>
            </w:div>
            <w:div w:id="2096782494">
              <w:marLeft w:val="0"/>
              <w:marRight w:val="0"/>
              <w:marTop w:val="0"/>
              <w:marBottom w:val="0"/>
              <w:divBdr>
                <w:top w:val="none" w:sz="0" w:space="0" w:color="auto"/>
                <w:left w:val="none" w:sz="0" w:space="0" w:color="auto"/>
                <w:bottom w:val="none" w:sz="0" w:space="0" w:color="auto"/>
                <w:right w:val="none" w:sz="0" w:space="0" w:color="auto"/>
              </w:divBdr>
            </w:div>
            <w:div w:id="730228178">
              <w:marLeft w:val="0"/>
              <w:marRight w:val="0"/>
              <w:marTop w:val="0"/>
              <w:marBottom w:val="0"/>
              <w:divBdr>
                <w:top w:val="none" w:sz="0" w:space="0" w:color="auto"/>
                <w:left w:val="none" w:sz="0" w:space="0" w:color="auto"/>
                <w:bottom w:val="none" w:sz="0" w:space="0" w:color="auto"/>
                <w:right w:val="none" w:sz="0" w:space="0" w:color="auto"/>
              </w:divBdr>
            </w:div>
            <w:div w:id="1290208435">
              <w:marLeft w:val="0"/>
              <w:marRight w:val="0"/>
              <w:marTop w:val="0"/>
              <w:marBottom w:val="0"/>
              <w:divBdr>
                <w:top w:val="none" w:sz="0" w:space="0" w:color="auto"/>
                <w:left w:val="none" w:sz="0" w:space="0" w:color="auto"/>
                <w:bottom w:val="none" w:sz="0" w:space="0" w:color="auto"/>
                <w:right w:val="none" w:sz="0" w:space="0" w:color="auto"/>
              </w:divBdr>
            </w:div>
            <w:div w:id="1377512231">
              <w:marLeft w:val="0"/>
              <w:marRight w:val="0"/>
              <w:marTop w:val="0"/>
              <w:marBottom w:val="0"/>
              <w:divBdr>
                <w:top w:val="none" w:sz="0" w:space="0" w:color="auto"/>
                <w:left w:val="none" w:sz="0" w:space="0" w:color="auto"/>
                <w:bottom w:val="none" w:sz="0" w:space="0" w:color="auto"/>
                <w:right w:val="none" w:sz="0" w:space="0" w:color="auto"/>
              </w:divBdr>
            </w:div>
            <w:div w:id="199516527">
              <w:marLeft w:val="0"/>
              <w:marRight w:val="0"/>
              <w:marTop w:val="0"/>
              <w:marBottom w:val="0"/>
              <w:divBdr>
                <w:top w:val="none" w:sz="0" w:space="0" w:color="auto"/>
                <w:left w:val="none" w:sz="0" w:space="0" w:color="auto"/>
                <w:bottom w:val="none" w:sz="0" w:space="0" w:color="auto"/>
                <w:right w:val="none" w:sz="0" w:space="0" w:color="auto"/>
              </w:divBdr>
            </w:div>
            <w:div w:id="189147344">
              <w:marLeft w:val="0"/>
              <w:marRight w:val="0"/>
              <w:marTop w:val="0"/>
              <w:marBottom w:val="0"/>
              <w:divBdr>
                <w:top w:val="none" w:sz="0" w:space="0" w:color="auto"/>
                <w:left w:val="none" w:sz="0" w:space="0" w:color="auto"/>
                <w:bottom w:val="none" w:sz="0" w:space="0" w:color="auto"/>
                <w:right w:val="none" w:sz="0" w:space="0" w:color="auto"/>
              </w:divBdr>
            </w:div>
            <w:div w:id="1272125992">
              <w:marLeft w:val="0"/>
              <w:marRight w:val="0"/>
              <w:marTop w:val="0"/>
              <w:marBottom w:val="0"/>
              <w:divBdr>
                <w:top w:val="none" w:sz="0" w:space="0" w:color="auto"/>
                <w:left w:val="none" w:sz="0" w:space="0" w:color="auto"/>
                <w:bottom w:val="none" w:sz="0" w:space="0" w:color="auto"/>
                <w:right w:val="none" w:sz="0" w:space="0" w:color="auto"/>
              </w:divBdr>
            </w:div>
            <w:div w:id="174000051">
              <w:marLeft w:val="0"/>
              <w:marRight w:val="0"/>
              <w:marTop w:val="0"/>
              <w:marBottom w:val="0"/>
              <w:divBdr>
                <w:top w:val="none" w:sz="0" w:space="0" w:color="auto"/>
                <w:left w:val="none" w:sz="0" w:space="0" w:color="auto"/>
                <w:bottom w:val="none" w:sz="0" w:space="0" w:color="auto"/>
                <w:right w:val="none" w:sz="0" w:space="0" w:color="auto"/>
              </w:divBdr>
            </w:div>
            <w:div w:id="1571426655">
              <w:marLeft w:val="0"/>
              <w:marRight w:val="0"/>
              <w:marTop w:val="0"/>
              <w:marBottom w:val="0"/>
              <w:divBdr>
                <w:top w:val="none" w:sz="0" w:space="0" w:color="auto"/>
                <w:left w:val="none" w:sz="0" w:space="0" w:color="auto"/>
                <w:bottom w:val="none" w:sz="0" w:space="0" w:color="auto"/>
                <w:right w:val="none" w:sz="0" w:space="0" w:color="auto"/>
              </w:divBdr>
            </w:div>
            <w:div w:id="1791627965">
              <w:marLeft w:val="0"/>
              <w:marRight w:val="0"/>
              <w:marTop w:val="0"/>
              <w:marBottom w:val="0"/>
              <w:divBdr>
                <w:top w:val="none" w:sz="0" w:space="0" w:color="auto"/>
                <w:left w:val="none" w:sz="0" w:space="0" w:color="auto"/>
                <w:bottom w:val="none" w:sz="0" w:space="0" w:color="auto"/>
                <w:right w:val="none" w:sz="0" w:space="0" w:color="auto"/>
              </w:divBdr>
            </w:div>
            <w:div w:id="1562212130">
              <w:marLeft w:val="0"/>
              <w:marRight w:val="0"/>
              <w:marTop w:val="0"/>
              <w:marBottom w:val="0"/>
              <w:divBdr>
                <w:top w:val="none" w:sz="0" w:space="0" w:color="auto"/>
                <w:left w:val="none" w:sz="0" w:space="0" w:color="auto"/>
                <w:bottom w:val="none" w:sz="0" w:space="0" w:color="auto"/>
                <w:right w:val="none" w:sz="0" w:space="0" w:color="auto"/>
              </w:divBdr>
            </w:div>
            <w:div w:id="207298746">
              <w:marLeft w:val="0"/>
              <w:marRight w:val="0"/>
              <w:marTop w:val="0"/>
              <w:marBottom w:val="0"/>
              <w:divBdr>
                <w:top w:val="none" w:sz="0" w:space="0" w:color="auto"/>
                <w:left w:val="none" w:sz="0" w:space="0" w:color="auto"/>
                <w:bottom w:val="none" w:sz="0" w:space="0" w:color="auto"/>
                <w:right w:val="none" w:sz="0" w:space="0" w:color="auto"/>
              </w:divBdr>
            </w:div>
            <w:div w:id="210725662">
              <w:marLeft w:val="0"/>
              <w:marRight w:val="0"/>
              <w:marTop w:val="0"/>
              <w:marBottom w:val="0"/>
              <w:divBdr>
                <w:top w:val="none" w:sz="0" w:space="0" w:color="auto"/>
                <w:left w:val="none" w:sz="0" w:space="0" w:color="auto"/>
                <w:bottom w:val="none" w:sz="0" w:space="0" w:color="auto"/>
                <w:right w:val="none" w:sz="0" w:space="0" w:color="auto"/>
              </w:divBdr>
            </w:div>
            <w:div w:id="72050409">
              <w:marLeft w:val="0"/>
              <w:marRight w:val="0"/>
              <w:marTop w:val="0"/>
              <w:marBottom w:val="0"/>
              <w:divBdr>
                <w:top w:val="none" w:sz="0" w:space="0" w:color="auto"/>
                <w:left w:val="none" w:sz="0" w:space="0" w:color="auto"/>
                <w:bottom w:val="none" w:sz="0" w:space="0" w:color="auto"/>
                <w:right w:val="none" w:sz="0" w:space="0" w:color="auto"/>
              </w:divBdr>
            </w:div>
            <w:div w:id="491724831">
              <w:marLeft w:val="0"/>
              <w:marRight w:val="0"/>
              <w:marTop w:val="0"/>
              <w:marBottom w:val="0"/>
              <w:divBdr>
                <w:top w:val="none" w:sz="0" w:space="0" w:color="auto"/>
                <w:left w:val="none" w:sz="0" w:space="0" w:color="auto"/>
                <w:bottom w:val="none" w:sz="0" w:space="0" w:color="auto"/>
                <w:right w:val="none" w:sz="0" w:space="0" w:color="auto"/>
              </w:divBdr>
            </w:div>
            <w:div w:id="1539927616">
              <w:marLeft w:val="0"/>
              <w:marRight w:val="0"/>
              <w:marTop w:val="0"/>
              <w:marBottom w:val="0"/>
              <w:divBdr>
                <w:top w:val="none" w:sz="0" w:space="0" w:color="auto"/>
                <w:left w:val="none" w:sz="0" w:space="0" w:color="auto"/>
                <w:bottom w:val="none" w:sz="0" w:space="0" w:color="auto"/>
                <w:right w:val="none" w:sz="0" w:space="0" w:color="auto"/>
              </w:divBdr>
            </w:div>
            <w:div w:id="1154682017">
              <w:marLeft w:val="0"/>
              <w:marRight w:val="0"/>
              <w:marTop w:val="0"/>
              <w:marBottom w:val="0"/>
              <w:divBdr>
                <w:top w:val="none" w:sz="0" w:space="0" w:color="auto"/>
                <w:left w:val="none" w:sz="0" w:space="0" w:color="auto"/>
                <w:bottom w:val="none" w:sz="0" w:space="0" w:color="auto"/>
                <w:right w:val="none" w:sz="0" w:space="0" w:color="auto"/>
              </w:divBdr>
            </w:div>
            <w:div w:id="1982033376">
              <w:marLeft w:val="0"/>
              <w:marRight w:val="0"/>
              <w:marTop w:val="0"/>
              <w:marBottom w:val="0"/>
              <w:divBdr>
                <w:top w:val="none" w:sz="0" w:space="0" w:color="auto"/>
                <w:left w:val="none" w:sz="0" w:space="0" w:color="auto"/>
                <w:bottom w:val="none" w:sz="0" w:space="0" w:color="auto"/>
                <w:right w:val="none" w:sz="0" w:space="0" w:color="auto"/>
              </w:divBdr>
            </w:div>
            <w:div w:id="1672683303">
              <w:marLeft w:val="0"/>
              <w:marRight w:val="0"/>
              <w:marTop w:val="0"/>
              <w:marBottom w:val="0"/>
              <w:divBdr>
                <w:top w:val="none" w:sz="0" w:space="0" w:color="auto"/>
                <w:left w:val="none" w:sz="0" w:space="0" w:color="auto"/>
                <w:bottom w:val="none" w:sz="0" w:space="0" w:color="auto"/>
                <w:right w:val="none" w:sz="0" w:space="0" w:color="auto"/>
              </w:divBdr>
            </w:div>
            <w:div w:id="772290580">
              <w:marLeft w:val="0"/>
              <w:marRight w:val="0"/>
              <w:marTop w:val="0"/>
              <w:marBottom w:val="0"/>
              <w:divBdr>
                <w:top w:val="none" w:sz="0" w:space="0" w:color="auto"/>
                <w:left w:val="none" w:sz="0" w:space="0" w:color="auto"/>
                <w:bottom w:val="none" w:sz="0" w:space="0" w:color="auto"/>
                <w:right w:val="none" w:sz="0" w:space="0" w:color="auto"/>
              </w:divBdr>
            </w:div>
            <w:div w:id="2129620698">
              <w:marLeft w:val="0"/>
              <w:marRight w:val="0"/>
              <w:marTop w:val="0"/>
              <w:marBottom w:val="0"/>
              <w:divBdr>
                <w:top w:val="none" w:sz="0" w:space="0" w:color="auto"/>
                <w:left w:val="none" w:sz="0" w:space="0" w:color="auto"/>
                <w:bottom w:val="none" w:sz="0" w:space="0" w:color="auto"/>
                <w:right w:val="none" w:sz="0" w:space="0" w:color="auto"/>
              </w:divBdr>
            </w:div>
            <w:div w:id="1029797022">
              <w:marLeft w:val="0"/>
              <w:marRight w:val="0"/>
              <w:marTop w:val="0"/>
              <w:marBottom w:val="0"/>
              <w:divBdr>
                <w:top w:val="none" w:sz="0" w:space="0" w:color="auto"/>
                <w:left w:val="none" w:sz="0" w:space="0" w:color="auto"/>
                <w:bottom w:val="none" w:sz="0" w:space="0" w:color="auto"/>
                <w:right w:val="none" w:sz="0" w:space="0" w:color="auto"/>
              </w:divBdr>
            </w:div>
            <w:div w:id="1854879362">
              <w:marLeft w:val="0"/>
              <w:marRight w:val="0"/>
              <w:marTop w:val="0"/>
              <w:marBottom w:val="0"/>
              <w:divBdr>
                <w:top w:val="none" w:sz="0" w:space="0" w:color="auto"/>
                <w:left w:val="none" w:sz="0" w:space="0" w:color="auto"/>
                <w:bottom w:val="none" w:sz="0" w:space="0" w:color="auto"/>
                <w:right w:val="none" w:sz="0" w:space="0" w:color="auto"/>
              </w:divBdr>
            </w:div>
            <w:div w:id="846797033">
              <w:marLeft w:val="0"/>
              <w:marRight w:val="0"/>
              <w:marTop w:val="0"/>
              <w:marBottom w:val="0"/>
              <w:divBdr>
                <w:top w:val="none" w:sz="0" w:space="0" w:color="auto"/>
                <w:left w:val="none" w:sz="0" w:space="0" w:color="auto"/>
                <w:bottom w:val="none" w:sz="0" w:space="0" w:color="auto"/>
                <w:right w:val="none" w:sz="0" w:space="0" w:color="auto"/>
              </w:divBdr>
            </w:div>
            <w:div w:id="570190522">
              <w:marLeft w:val="0"/>
              <w:marRight w:val="0"/>
              <w:marTop w:val="0"/>
              <w:marBottom w:val="0"/>
              <w:divBdr>
                <w:top w:val="none" w:sz="0" w:space="0" w:color="auto"/>
                <w:left w:val="none" w:sz="0" w:space="0" w:color="auto"/>
                <w:bottom w:val="none" w:sz="0" w:space="0" w:color="auto"/>
                <w:right w:val="none" w:sz="0" w:space="0" w:color="auto"/>
              </w:divBdr>
            </w:div>
            <w:div w:id="196167644">
              <w:marLeft w:val="0"/>
              <w:marRight w:val="0"/>
              <w:marTop w:val="0"/>
              <w:marBottom w:val="0"/>
              <w:divBdr>
                <w:top w:val="none" w:sz="0" w:space="0" w:color="auto"/>
                <w:left w:val="none" w:sz="0" w:space="0" w:color="auto"/>
                <w:bottom w:val="none" w:sz="0" w:space="0" w:color="auto"/>
                <w:right w:val="none" w:sz="0" w:space="0" w:color="auto"/>
              </w:divBdr>
            </w:div>
            <w:div w:id="1541437797">
              <w:marLeft w:val="0"/>
              <w:marRight w:val="0"/>
              <w:marTop w:val="0"/>
              <w:marBottom w:val="0"/>
              <w:divBdr>
                <w:top w:val="none" w:sz="0" w:space="0" w:color="auto"/>
                <w:left w:val="none" w:sz="0" w:space="0" w:color="auto"/>
                <w:bottom w:val="none" w:sz="0" w:space="0" w:color="auto"/>
                <w:right w:val="none" w:sz="0" w:space="0" w:color="auto"/>
              </w:divBdr>
            </w:div>
            <w:div w:id="1130783573">
              <w:marLeft w:val="0"/>
              <w:marRight w:val="0"/>
              <w:marTop w:val="0"/>
              <w:marBottom w:val="0"/>
              <w:divBdr>
                <w:top w:val="none" w:sz="0" w:space="0" w:color="auto"/>
                <w:left w:val="none" w:sz="0" w:space="0" w:color="auto"/>
                <w:bottom w:val="none" w:sz="0" w:space="0" w:color="auto"/>
                <w:right w:val="none" w:sz="0" w:space="0" w:color="auto"/>
              </w:divBdr>
            </w:div>
            <w:div w:id="17484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6296">
      <w:bodyDiv w:val="1"/>
      <w:marLeft w:val="0"/>
      <w:marRight w:val="0"/>
      <w:marTop w:val="0"/>
      <w:marBottom w:val="0"/>
      <w:divBdr>
        <w:top w:val="none" w:sz="0" w:space="0" w:color="auto"/>
        <w:left w:val="none" w:sz="0" w:space="0" w:color="auto"/>
        <w:bottom w:val="none" w:sz="0" w:space="0" w:color="auto"/>
        <w:right w:val="none" w:sz="0" w:space="0" w:color="auto"/>
      </w:divBdr>
      <w:divsChild>
        <w:div w:id="848104958">
          <w:marLeft w:val="480"/>
          <w:marRight w:val="0"/>
          <w:marTop w:val="0"/>
          <w:marBottom w:val="0"/>
          <w:divBdr>
            <w:top w:val="none" w:sz="0" w:space="0" w:color="auto"/>
            <w:left w:val="none" w:sz="0" w:space="0" w:color="auto"/>
            <w:bottom w:val="none" w:sz="0" w:space="0" w:color="auto"/>
            <w:right w:val="none" w:sz="0" w:space="0" w:color="auto"/>
          </w:divBdr>
          <w:divsChild>
            <w:div w:id="1652100791">
              <w:marLeft w:val="0"/>
              <w:marRight w:val="0"/>
              <w:marTop w:val="0"/>
              <w:marBottom w:val="0"/>
              <w:divBdr>
                <w:top w:val="none" w:sz="0" w:space="0" w:color="auto"/>
                <w:left w:val="none" w:sz="0" w:space="0" w:color="auto"/>
                <w:bottom w:val="none" w:sz="0" w:space="0" w:color="auto"/>
                <w:right w:val="none" w:sz="0" w:space="0" w:color="auto"/>
              </w:divBdr>
            </w:div>
            <w:div w:id="450052453">
              <w:marLeft w:val="0"/>
              <w:marRight w:val="0"/>
              <w:marTop w:val="0"/>
              <w:marBottom w:val="0"/>
              <w:divBdr>
                <w:top w:val="none" w:sz="0" w:space="0" w:color="auto"/>
                <w:left w:val="none" w:sz="0" w:space="0" w:color="auto"/>
                <w:bottom w:val="none" w:sz="0" w:space="0" w:color="auto"/>
                <w:right w:val="none" w:sz="0" w:space="0" w:color="auto"/>
              </w:divBdr>
            </w:div>
            <w:div w:id="1282147628">
              <w:marLeft w:val="0"/>
              <w:marRight w:val="0"/>
              <w:marTop w:val="0"/>
              <w:marBottom w:val="0"/>
              <w:divBdr>
                <w:top w:val="none" w:sz="0" w:space="0" w:color="auto"/>
                <w:left w:val="none" w:sz="0" w:space="0" w:color="auto"/>
                <w:bottom w:val="none" w:sz="0" w:space="0" w:color="auto"/>
                <w:right w:val="none" w:sz="0" w:space="0" w:color="auto"/>
              </w:divBdr>
            </w:div>
            <w:div w:id="1794977545">
              <w:marLeft w:val="0"/>
              <w:marRight w:val="0"/>
              <w:marTop w:val="0"/>
              <w:marBottom w:val="0"/>
              <w:divBdr>
                <w:top w:val="none" w:sz="0" w:space="0" w:color="auto"/>
                <w:left w:val="none" w:sz="0" w:space="0" w:color="auto"/>
                <w:bottom w:val="none" w:sz="0" w:space="0" w:color="auto"/>
                <w:right w:val="none" w:sz="0" w:space="0" w:color="auto"/>
              </w:divBdr>
            </w:div>
            <w:div w:id="294529335">
              <w:marLeft w:val="0"/>
              <w:marRight w:val="0"/>
              <w:marTop w:val="0"/>
              <w:marBottom w:val="0"/>
              <w:divBdr>
                <w:top w:val="none" w:sz="0" w:space="0" w:color="auto"/>
                <w:left w:val="none" w:sz="0" w:space="0" w:color="auto"/>
                <w:bottom w:val="none" w:sz="0" w:space="0" w:color="auto"/>
                <w:right w:val="none" w:sz="0" w:space="0" w:color="auto"/>
              </w:divBdr>
            </w:div>
            <w:div w:id="625234244">
              <w:marLeft w:val="0"/>
              <w:marRight w:val="0"/>
              <w:marTop w:val="0"/>
              <w:marBottom w:val="0"/>
              <w:divBdr>
                <w:top w:val="none" w:sz="0" w:space="0" w:color="auto"/>
                <w:left w:val="none" w:sz="0" w:space="0" w:color="auto"/>
                <w:bottom w:val="none" w:sz="0" w:space="0" w:color="auto"/>
                <w:right w:val="none" w:sz="0" w:space="0" w:color="auto"/>
              </w:divBdr>
            </w:div>
            <w:div w:id="1113212341">
              <w:marLeft w:val="0"/>
              <w:marRight w:val="0"/>
              <w:marTop w:val="0"/>
              <w:marBottom w:val="0"/>
              <w:divBdr>
                <w:top w:val="none" w:sz="0" w:space="0" w:color="auto"/>
                <w:left w:val="none" w:sz="0" w:space="0" w:color="auto"/>
                <w:bottom w:val="none" w:sz="0" w:space="0" w:color="auto"/>
                <w:right w:val="none" w:sz="0" w:space="0" w:color="auto"/>
              </w:divBdr>
            </w:div>
            <w:div w:id="1274678262">
              <w:marLeft w:val="0"/>
              <w:marRight w:val="0"/>
              <w:marTop w:val="0"/>
              <w:marBottom w:val="0"/>
              <w:divBdr>
                <w:top w:val="none" w:sz="0" w:space="0" w:color="auto"/>
                <w:left w:val="none" w:sz="0" w:space="0" w:color="auto"/>
                <w:bottom w:val="none" w:sz="0" w:space="0" w:color="auto"/>
                <w:right w:val="none" w:sz="0" w:space="0" w:color="auto"/>
              </w:divBdr>
            </w:div>
            <w:div w:id="1527602025">
              <w:marLeft w:val="0"/>
              <w:marRight w:val="0"/>
              <w:marTop w:val="0"/>
              <w:marBottom w:val="0"/>
              <w:divBdr>
                <w:top w:val="none" w:sz="0" w:space="0" w:color="auto"/>
                <w:left w:val="none" w:sz="0" w:space="0" w:color="auto"/>
                <w:bottom w:val="none" w:sz="0" w:space="0" w:color="auto"/>
                <w:right w:val="none" w:sz="0" w:space="0" w:color="auto"/>
              </w:divBdr>
            </w:div>
            <w:div w:id="1696997965">
              <w:marLeft w:val="0"/>
              <w:marRight w:val="0"/>
              <w:marTop w:val="0"/>
              <w:marBottom w:val="0"/>
              <w:divBdr>
                <w:top w:val="none" w:sz="0" w:space="0" w:color="auto"/>
                <w:left w:val="none" w:sz="0" w:space="0" w:color="auto"/>
                <w:bottom w:val="none" w:sz="0" w:space="0" w:color="auto"/>
                <w:right w:val="none" w:sz="0" w:space="0" w:color="auto"/>
              </w:divBdr>
            </w:div>
            <w:div w:id="1674070794">
              <w:marLeft w:val="0"/>
              <w:marRight w:val="0"/>
              <w:marTop w:val="0"/>
              <w:marBottom w:val="0"/>
              <w:divBdr>
                <w:top w:val="none" w:sz="0" w:space="0" w:color="auto"/>
                <w:left w:val="none" w:sz="0" w:space="0" w:color="auto"/>
                <w:bottom w:val="none" w:sz="0" w:space="0" w:color="auto"/>
                <w:right w:val="none" w:sz="0" w:space="0" w:color="auto"/>
              </w:divBdr>
            </w:div>
            <w:div w:id="1703945444">
              <w:marLeft w:val="0"/>
              <w:marRight w:val="0"/>
              <w:marTop w:val="0"/>
              <w:marBottom w:val="0"/>
              <w:divBdr>
                <w:top w:val="none" w:sz="0" w:space="0" w:color="auto"/>
                <w:left w:val="none" w:sz="0" w:space="0" w:color="auto"/>
                <w:bottom w:val="none" w:sz="0" w:space="0" w:color="auto"/>
                <w:right w:val="none" w:sz="0" w:space="0" w:color="auto"/>
              </w:divBdr>
            </w:div>
            <w:div w:id="1525901655">
              <w:marLeft w:val="0"/>
              <w:marRight w:val="0"/>
              <w:marTop w:val="0"/>
              <w:marBottom w:val="0"/>
              <w:divBdr>
                <w:top w:val="none" w:sz="0" w:space="0" w:color="auto"/>
                <w:left w:val="none" w:sz="0" w:space="0" w:color="auto"/>
                <w:bottom w:val="none" w:sz="0" w:space="0" w:color="auto"/>
                <w:right w:val="none" w:sz="0" w:space="0" w:color="auto"/>
              </w:divBdr>
            </w:div>
            <w:div w:id="1518889553">
              <w:marLeft w:val="0"/>
              <w:marRight w:val="0"/>
              <w:marTop w:val="0"/>
              <w:marBottom w:val="0"/>
              <w:divBdr>
                <w:top w:val="none" w:sz="0" w:space="0" w:color="auto"/>
                <w:left w:val="none" w:sz="0" w:space="0" w:color="auto"/>
                <w:bottom w:val="none" w:sz="0" w:space="0" w:color="auto"/>
                <w:right w:val="none" w:sz="0" w:space="0" w:color="auto"/>
              </w:divBdr>
            </w:div>
            <w:div w:id="1319770301">
              <w:marLeft w:val="0"/>
              <w:marRight w:val="0"/>
              <w:marTop w:val="0"/>
              <w:marBottom w:val="0"/>
              <w:divBdr>
                <w:top w:val="none" w:sz="0" w:space="0" w:color="auto"/>
                <w:left w:val="none" w:sz="0" w:space="0" w:color="auto"/>
                <w:bottom w:val="none" w:sz="0" w:space="0" w:color="auto"/>
                <w:right w:val="none" w:sz="0" w:space="0" w:color="auto"/>
              </w:divBdr>
            </w:div>
            <w:div w:id="138115482">
              <w:marLeft w:val="0"/>
              <w:marRight w:val="0"/>
              <w:marTop w:val="0"/>
              <w:marBottom w:val="0"/>
              <w:divBdr>
                <w:top w:val="none" w:sz="0" w:space="0" w:color="auto"/>
                <w:left w:val="none" w:sz="0" w:space="0" w:color="auto"/>
                <w:bottom w:val="none" w:sz="0" w:space="0" w:color="auto"/>
                <w:right w:val="none" w:sz="0" w:space="0" w:color="auto"/>
              </w:divBdr>
            </w:div>
            <w:div w:id="957494006">
              <w:marLeft w:val="0"/>
              <w:marRight w:val="0"/>
              <w:marTop w:val="0"/>
              <w:marBottom w:val="0"/>
              <w:divBdr>
                <w:top w:val="none" w:sz="0" w:space="0" w:color="auto"/>
                <w:left w:val="none" w:sz="0" w:space="0" w:color="auto"/>
                <w:bottom w:val="none" w:sz="0" w:space="0" w:color="auto"/>
                <w:right w:val="none" w:sz="0" w:space="0" w:color="auto"/>
              </w:divBdr>
            </w:div>
            <w:div w:id="379327087">
              <w:marLeft w:val="0"/>
              <w:marRight w:val="0"/>
              <w:marTop w:val="0"/>
              <w:marBottom w:val="0"/>
              <w:divBdr>
                <w:top w:val="none" w:sz="0" w:space="0" w:color="auto"/>
                <w:left w:val="none" w:sz="0" w:space="0" w:color="auto"/>
                <w:bottom w:val="none" w:sz="0" w:space="0" w:color="auto"/>
                <w:right w:val="none" w:sz="0" w:space="0" w:color="auto"/>
              </w:divBdr>
            </w:div>
            <w:div w:id="753429237">
              <w:marLeft w:val="0"/>
              <w:marRight w:val="0"/>
              <w:marTop w:val="0"/>
              <w:marBottom w:val="0"/>
              <w:divBdr>
                <w:top w:val="none" w:sz="0" w:space="0" w:color="auto"/>
                <w:left w:val="none" w:sz="0" w:space="0" w:color="auto"/>
                <w:bottom w:val="none" w:sz="0" w:space="0" w:color="auto"/>
                <w:right w:val="none" w:sz="0" w:space="0" w:color="auto"/>
              </w:divBdr>
            </w:div>
            <w:div w:id="1493257333">
              <w:marLeft w:val="0"/>
              <w:marRight w:val="0"/>
              <w:marTop w:val="0"/>
              <w:marBottom w:val="0"/>
              <w:divBdr>
                <w:top w:val="none" w:sz="0" w:space="0" w:color="auto"/>
                <w:left w:val="none" w:sz="0" w:space="0" w:color="auto"/>
                <w:bottom w:val="none" w:sz="0" w:space="0" w:color="auto"/>
                <w:right w:val="none" w:sz="0" w:space="0" w:color="auto"/>
              </w:divBdr>
            </w:div>
            <w:div w:id="1047531721">
              <w:marLeft w:val="0"/>
              <w:marRight w:val="0"/>
              <w:marTop w:val="0"/>
              <w:marBottom w:val="0"/>
              <w:divBdr>
                <w:top w:val="none" w:sz="0" w:space="0" w:color="auto"/>
                <w:left w:val="none" w:sz="0" w:space="0" w:color="auto"/>
                <w:bottom w:val="none" w:sz="0" w:space="0" w:color="auto"/>
                <w:right w:val="none" w:sz="0" w:space="0" w:color="auto"/>
              </w:divBdr>
            </w:div>
            <w:div w:id="2069109048">
              <w:marLeft w:val="0"/>
              <w:marRight w:val="0"/>
              <w:marTop w:val="0"/>
              <w:marBottom w:val="0"/>
              <w:divBdr>
                <w:top w:val="none" w:sz="0" w:space="0" w:color="auto"/>
                <w:left w:val="none" w:sz="0" w:space="0" w:color="auto"/>
                <w:bottom w:val="none" w:sz="0" w:space="0" w:color="auto"/>
                <w:right w:val="none" w:sz="0" w:space="0" w:color="auto"/>
              </w:divBdr>
            </w:div>
            <w:div w:id="242646388">
              <w:marLeft w:val="0"/>
              <w:marRight w:val="0"/>
              <w:marTop w:val="0"/>
              <w:marBottom w:val="0"/>
              <w:divBdr>
                <w:top w:val="none" w:sz="0" w:space="0" w:color="auto"/>
                <w:left w:val="none" w:sz="0" w:space="0" w:color="auto"/>
                <w:bottom w:val="none" w:sz="0" w:space="0" w:color="auto"/>
                <w:right w:val="none" w:sz="0" w:space="0" w:color="auto"/>
              </w:divBdr>
            </w:div>
            <w:div w:id="2081828010">
              <w:marLeft w:val="0"/>
              <w:marRight w:val="0"/>
              <w:marTop w:val="0"/>
              <w:marBottom w:val="0"/>
              <w:divBdr>
                <w:top w:val="none" w:sz="0" w:space="0" w:color="auto"/>
                <w:left w:val="none" w:sz="0" w:space="0" w:color="auto"/>
                <w:bottom w:val="none" w:sz="0" w:space="0" w:color="auto"/>
                <w:right w:val="none" w:sz="0" w:space="0" w:color="auto"/>
              </w:divBdr>
            </w:div>
            <w:div w:id="325062340">
              <w:marLeft w:val="0"/>
              <w:marRight w:val="0"/>
              <w:marTop w:val="0"/>
              <w:marBottom w:val="0"/>
              <w:divBdr>
                <w:top w:val="none" w:sz="0" w:space="0" w:color="auto"/>
                <w:left w:val="none" w:sz="0" w:space="0" w:color="auto"/>
                <w:bottom w:val="none" w:sz="0" w:space="0" w:color="auto"/>
                <w:right w:val="none" w:sz="0" w:space="0" w:color="auto"/>
              </w:divBdr>
            </w:div>
            <w:div w:id="273708420">
              <w:marLeft w:val="0"/>
              <w:marRight w:val="0"/>
              <w:marTop w:val="0"/>
              <w:marBottom w:val="0"/>
              <w:divBdr>
                <w:top w:val="none" w:sz="0" w:space="0" w:color="auto"/>
                <w:left w:val="none" w:sz="0" w:space="0" w:color="auto"/>
                <w:bottom w:val="none" w:sz="0" w:space="0" w:color="auto"/>
                <w:right w:val="none" w:sz="0" w:space="0" w:color="auto"/>
              </w:divBdr>
            </w:div>
            <w:div w:id="1754931908">
              <w:marLeft w:val="0"/>
              <w:marRight w:val="0"/>
              <w:marTop w:val="0"/>
              <w:marBottom w:val="0"/>
              <w:divBdr>
                <w:top w:val="none" w:sz="0" w:space="0" w:color="auto"/>
                <w:left w:val="none" w:sz="0" w:space="0" w:color="auto"/>
                <w:bottom w:val="none" w:sz="0" w:space="0" w:color="auto"/>
                <w:right w:val="none" w:sz="0" w:space="0" w:color="auto"/>
              </w:divBdr>
            </w:div>
            <w:div w:id="1347518183">
              <w:marLeft w:val="0"/>
              <w:marRight w:val="0"/>
              <w:marTop w:val="0"/>
              <w:marBottom w:val="0"/>
              <w:divBdr>
                <w:top w:val="none" w:sz="0" w:space="0" w:color="auto"/>
                <w:left w:val="none" w:sz="0" w:space="0" w:color="auto"/>
                <w:bottom w:val="none" w:sz="0" w:space="0" w:color="auto"/>
                <w:right w:val="none" w:sz="0" w:space="0" w:color="auto"/>
              </w:divBdr>
            </w:div>
            <w:div w:id="55051773">
              <w:marLeft w:val="0"/>
              <w:marRight w:val="0"/>
              <w:marTop w:val="0"/>
              <w:marBottom w:val="0"/>
              <w:divBdr>
                <w:top w:val="none" w:sz="0" w:space="0" w:color="auto"/>
                <w:left w:val="none" w:sz="0" w:space="0" w:color="auto"/>
                <w:bottom w:val="none" w:sz="0" w:space="0" w:color="auto"/>
                <w:right w:val="none" w:sz="0" w:space="0" w:color="auto"/>
              </w:divBdr>
            </w:div>
            <w:div w:id="991376190">
              <w:marLeft w:val="0"/>
              <w:marRight w:val="0"/>
              <w:marTop w:val="0"/>
              <w:marBottom w:val="0"/>
              <w:divBdr>
                <w:top w:val="none" w:sz="0" w:space="0" w:color="auto"/>
                <w:left w:val="none" w:sz="0" w:space="0" w:color="auto"/>
                <w:bottom w:val="none" w:sz="0" w:space="0" w:color="auto"/>
                <w:right w:val="none" w:sz="0" w:space="0" w:color="auto"/>
              </w:divBdr>
            </w:div>
            <w:div w:id="1488402702">
              <w:marLeft w:val="0"/>
              <w:marRight w:val="0"/>
              <w:marTop w:val="0"/>
              <w:marBottom w:val="0"/>
              <w:divBdr>
                <w:top w:val="none" w:sz="0" w:space="0" w:color="auto"/>
                <w:left w:val="none" w:sz="0" w:space="0" w:color="auto"/>
                <w:bottom w:val="none" w:sz="0" w:space="0" w:color="auto"/>
                <w:right w:val="none" w:sz="0" w:space="0" w:color="auto"/>
              </w:divBdr>
            </w:div>
            <w:div w:id="1432437611">
              <w:marLeft w:val="0"/>
              <w:marRight w:val="0"/>
              <w:marTop w:val="0"/>
              <w:marBottom w:val="0"/>
              <w:divBdr>
                <w:top w:val="none" w:sz="0" w:space="0" w:color="auto"/>
                <w:left w:val="none" w:sz="0" w:space="0" w:color="auto"/>
                <w:bottom w:val="none" w:sz="0" w:space="0" w:color="auto"/>
                <w:right w:val="none" w:sz="0" w:space="0" w:color="auto"/>
              </w:divBdr>
            </w:div>
            <w:div w:id="12610346">
              <w:marLeft w:val="0"/>
              <w:marRight w:val="0"/>
              <w:marTop w:val="0"/>
              <w:marBottom w:val="0"/>
              <w:divBdr>
                <w:top w:val="none" w:sz="0" w:space="0" w:color="auto"/>
                <w:left w:val="none" w:sz="0" w:space="0" w:color="auto"/>
                <w:bottom w:val="none" w:sz="0" w:space="0" w:color="auto"/>
                <w:right w:val="none" w:sz="0" w:space="0" w:color="auto"/>
              </w:divBdr>
            </w:div>
            <w:div w:id="1138035954">
              <w:marLeft w:val="0"/>
              <w:marRight w:val="0"/>
              <w:marTop w:val="0"/>
              <w:marBottom w:val="0"/>
              <w:divBdr>
                <w:top w:val="none" w:sz="0" w:space="0" w:color="auto"/>
                <w:left w:val="none" w:sz="0" w:space="0" w:color="auto"/>
                <w:bottom w:val="none" w:sz="0" w:space="0" w:color="auto"/>
                <w:right w:val="none" w:sz="0" w:space="0" w:color="auto"/>
              </w:divBdr>
            </w:div>
            <w:div w:id="794062819">
              <w:marLeft w:val="0"/>
              <w:marRight w:val="0"/>
              <w:marTop w:val="0"/>
              <w:marBottom w:val="0"/>
              <w:divBdr>
                <w:top w:val="none" w:sz="0" w:space="0" w:color="auto"/>
                <w:left w:val="none" w:sz="0" w:space="0" w:color="auto"/>
                <w:bottom w:val="none" w:sz="0" w:space="0" w:color="auto"/>
                <w:right w:val="none" w:sz="0" w:space="0" w:color="auto"/>
              </w:divBdr>
            </w:div>
            <w:div w:id="1939823906">
              <w:marLeft w:val="0"/>
              <w:marRight w:val="0"/>
              <w:marTop w:val="0"/>
              <w:marBottom w:val="0"/>
              <w:divBdr>
                <w:top w:val="none" w:sz="0" w:space="0" w:color="auto"/>
                <w:left w:val="none" w:sz="0" w:space="0" w:color="auto"/>
                <w:bottom w:val="none" w:sz="0" w:space="0" w:color="auto"/>
                <w:right w:val="none" w:sz="0" w:space="0" w:color="auto"/>
              </w:divBdr>
            </w:div>
            <w:div w:id="1933975287">
              <w:marLeft w:val="0"/>
              <w:marRight w:val="0"/>
              <w:marTop w:val="0"/>
              <w:marBottom w:val="0"/>
              <w:divBdr>
                <w:top w:val="none" w:sz="0" w:space="0" w:color="auto"/>
                <w:left w:val="none" w:sz="0" w:space="0" w:color="auto"/>
                <w:bottom w:val="none" w:sz="0" w:space="0" w:color="auto"/>
                <w:right w:val="none" w:sz="0" w:space="0" w:color="auto"/>
              </w:divBdr>
            </w:div>
            <w:div w:id="1846478239">
              <w:marLeft w:val="0"/>
              <w:marRight w:val="0"/>
              <w:marTop w:val="0"/>
              <w:marBottom w:val="0"/>
              <w:divBdr>
                <w:top w:val="none" w:sz="0" w:space="0" w:color="auto"/>
                <w:left w:val="none" w:sz="0" w:space="0" w:color="auto"/>
                <w:bottom w:val="none" w:sz="0" w:space="0" w:color="auto"/>
                <w:right w:val="none" w:sz="0" w:space="0" w:color="auto"/>
              </w:divBdr>
            </w:div>
            <w:div w:id="966087304">
              <w:marLeft w:val="0"/>
              <w:marRight w:val="0"/>
              <w:marTop w:val="0"/>
              <w:marBottom w:val="0"/>
              <w:divBdr>
                <w:top w:val="none" w:sz="0" w:space="0" w:color="auto"/>
                <w:left w:val="none" w:sz="0" w:space="0" w:color="auto"/>
                <w:bottom w:val="none" w:sz="0" w:space="0" w:color="auto"/>
                <w:right w:val="none" w:sz="0" w:space="0" w:color="auto"/>
              </w:divBdr>
            </w:div>
            <w:div w:id="1497375585">
              <w:marLeft w:val="0"/>
              <w:marRight w:val="0"/>
              <w:marTop w:val="0"/>
              <w:marBottom w:val="0"/>
              <w:divBdr>
                <w:top w:val="none" w:sz="0" w:space="0" w:color="auto"/>
                <w:left w:val="none" w:sz="0" w:space="0" w:color="auto"/>
                <w:bottom w:val="none" w:sz="0" w:space="0" w:color="auto"/>
                <w:right w:val="none" w:sz="0" w:space="0" w:color="auto"/>
              </w:divBdr>
            </w:div>
            <w:div w:id="1104376001">
              <w:marLeft w:val="0"/>
              <w:marRight w:val="0"/>
              <w:marTop w:val="0"/>
              <w:marBottom w:val="0"/>
              <w:divBdr>
                <w:top w:val="none" w:sz="0" w:space="0" w:color="auto"/>
                <w:left w:val="none" w:sz="0" w:space="0" w:color="auto"/>
                <w:bottom w:val="none" w:sz="0" w:space="0" w:color="auto"/>
                <w:right w:val="none" w:sz="0" w:space="0" w:color="auto"/>
              </w:divBdr>
            </w:div>
            <w:div w:id="1378698337">
              <w:marLeft w:val="0"/>
              <w:marRight w:val="0"/>
              <w:marTop w:val="0"/>
              <w:marBottom w:val="0"/>
              <w:divBdr>
                <w:top w:val="none" w:sz="0" w:space="0" w:color="auto"/>
                <w:left w:val="none" w:sz="0" w:space="0" w:color="auto"/>
                <w:bottom w:val="none" w:sz="0" w:space="0" w:color="auto"/>
                <w:right w:val="none" w:sz="0" w:space="0" w:color="auto"/>
              </w:divBdr>
            </w:div>
            <w:div w:id="1559516182">
              <w:marLeft w:val="0"/>
              <w:marRight w:val="0"/>
              <w:marTop w:val="0"/>
              <w:marBottom w:val="0"/>
              <w:divBdr>
                <w:top w:val="none" w:sz="0" w:space="0" w:color="auto"/>
                <w:left w:val="none" w:sz="0" w:space="0" w:color="auto"/>
                <w:bottom w:val="none" w:sz="0" w:space="0" w:color="auto"/>
                <w:right w:val="none" w:sz="0" w:space="0" w:color="auto"/>
              </w:divBdr>
            </w:div>
            <w:div w:id="2073967286">
              <w:marLeft w:val="0"/>
              <w:marRight w:val="0"/>
              <w:marTop w:val="0"/>
              <w:marBottom w:val="0"/>
              <w:divBdr>
                <w:top w:val="none" w:sz="0" w:space="0" w:color="auto"/>
                <w:left w:val="none" w:sz="0" w:space="0" w:color="auto"/>
                <w:bottom w:val="none" w:sz="0" w:space="0" w:color="auto"/>
                <w:right w:val="none" w:sz="0" w:space="0" w:color="auto"/>
              </w:divBdr>
            </w:div>
            <w:div w:id="2133937124">
              <w:marLeft w:val="0"/>
              <w:marRight w:val="0"/>
              <w:marTop w:val="0"/>
              <w:marBottom w:val="0"/>
              <w:divBdr>
                <w:top w:val="none" w:sz="0" w:space="0" w:color="auto"/>
                <w:left w:val="none" w:sz="0" w:space="0" w:color="auto"/>
                <w:bottom w:val="none" w:sz="0" w:space="0" w:color="auto"/>
                <w:right w:val="none" w:sz="0" w:space="0" w:color="auto"/>
              </w:divBdr>
            </w:div>
            <w:div w:id="286476308">
              <w:marLeft w:val="0"/>
              <w:marRight w:val="0"/>
              <w:marTop w:val="0"/>
              <w:marBottom w:val="0"/>
              <w:divBdr>
                <w:top w:val="none" w:sz="0" w:space="0" w:color="auto"/>
                <w:left w:val="none" w:sz="0" w:space="0" w:color="auto"/>
                <w:bottom w:val="none" w:sz="0" w:space="0" w:color="auto"/>
                <w:right w:val="none" w:sz="0" w:space="0" w:color="auto"/>
              </w:divBdr>
            </w:div>
            <w:div w:id="980840435">
              <w:marLeft w:val="0"/>
              <w:marRight w:val="0"/>
              <w:marTop w:val="0"/>
              <w:marBottom w:val="0"/>
              <w:divBdr>
                <w:top w:val="none" w:sz="0" w:space="0" w:color="auto"/>
                <w:left w:val="none" w:sz="0" w:space="0" w:color="auto"/>
                <w:bottom w:val="none" w:sz="0" w:space="0" w:color="auto"/>
                <w:right w:val="none" w:sz="0" w:space="0" w:color="auto"/>
              </w:divBdr>
            </w:div>
            <w:div w:id="1442139531">
              <w:marLeft w:val="0"/>
              <w:marRight w:val="0"/>
              <w:marTop w:val="0"/>
              <w:marBottom w:val="0"/>
              <w:divBdr>
                <w:top w:val="none" w:sz="0" w:space="0" w:color="auto"/>
                <w:left w:val="none" w:sz="0" w:space="0" w:color="auto"/>
                <w:bottom w:val="none" w:sz="0" w:space="0" w:color="auto"/>
                <w:right w:val="none" w:sz="0" w:space="0" w:color="auto"/>
              </w:divBdr>
            </w:div>
            <w:div w:id="1818717053">
              <w:marLeft w:val="0"/>
              <w:marRight w:val="0"/>
              <w:marTop w:val="0"/>
              <w:marBottom w:val="0"/>
              <w:divBdr>
                <w:top w:val="none" w:sz="0" w:space="0" w:color="auto"/>
                <w:left w:val="none" w:sz="0" w:space="0" w:color="auto"/>
                <w:bottom w:val="none" w:sz="0" w:space="0" w:color="auto"/>
                <w:right w:val="none" w:sz="0" w:space="0" w:color="auto"/>
              </w:divBdr>
            </w:div>
            <w:div w:id="1228297003">
              <w:marLeft w:val="0"/>
              <w:marRight w:val="0"/>
              <w:marTop w:val="0"/>
              <w:marBottom w:val="0"/>
              <w:divBdr>
                <w:top w:val="none" w:sz="0" w:space="0" w:color="auto"/>
                <w:left w:val="none" w:sz="0" w:space="0" w:color="auto"/>
                <w:bottom w:val="none" w:sz="0" w:space="0" w:color="auto"/>
                <w:right w:val="none" w:sz="0" w:space="0" w:color="auto"/>
              </w:divBdr>
            </w:div>
            <w:div w:id="1184514948">
              <w:marLeft w:val="0"/>
              <w:marRight w:val="0"/>
              <w:marTop w:val="0"/>
              <w:marBottom w:val="0"/>
              <w:divBdr>
                <w:top w:val="none" w:sz="0" w:space="0" w:color="auto"/>
                <w:left w:val="none" w:sz="0" w:space="0" w:color="auto"/>
                <w:bottom w:val="none" w:sz="0" w:space="0" w:color="auto"/>
                <w:right w:val="none" w:sz="0" w:space="0" w:color="auto"/>
              </w:divBdr>
            </w:div>
            <w:div w:id="703798276">
              <w:marLeft w:val="0"/>
              <w:marRight w:val="0"/>
              <w:marTop w:val="0"/>
              <w:marBottom w:val="0"/>
              <w:divBdr>
                <w:top w:val="none" w:sz="0" w:space="0" w:color="auto"/>
                <w:left w:val="none" w:sz="0" w:space="0" w:color="auto"/>
                <w:bottom w:val="none" w:sz="0" w:space="0" w:color="auto"/>
                <w:right w:val="none" w:sz="0" w:space="0" w:color="auto"/>
              </w:divBdr>
            </w:div>
            <w:div w:id="1518077807">
              <w:marLeft w:val="0"/>
              <w:marRight w:val="0"/>
              <w:marTop w:val="0"/>
              <w:marBottom w:val="0"/>
              <w:divBdr>
                <w:top w:val="none" w:sz="0" w:space="0" w:color="auto"/>
                <w:left w:val="none" w:sz="0" w:space="0" w:color="auto"/>
                <w:bottom w:val="none" w:sz="0" w:space="0" w:color="auto"/>
                <w:right w:val="none" w:sz="0" w:space="0" w:color="auto"/>
              </w:divBdr>
            </w:div>
            <w:div w:id="613751935">
              <w:marLeft w:val="0"/>
              <w:marRight w:val="0"/>
              <w:marTop w:val="0"/>
              <w:marBottom w:val="0"/>
              <w:divBdr>
                <w:top w:val="none" w:sz="0" w:space="0" w:color="auto"/>
                <w:left w:val="none" w:sz="0" w:space="0" w:color="auto"/>
                <w:bottom w:val="none" w:sz="0" w:space="0" w:color="auto"/>
                <w:right w:val="none" w:sz="0" w:space="0" w:color="auto"/>
              </w:divBdr>
            </w:div>
            <w:div w:id="1260288597">
              <w:marLeft w:val="0"/>
              <w:marRight w:val="0"/>
              <w:marTop w:val="0"/>
              <w:marBottom w:val="0"/>
              <w:divBdr>
                <w:top w:val="none" w:sz="0" w:space="0" w:color="auto"/>
                <w:left w:val="none" w:sz="0" w:space="0" w:color="auto"/>
                <w:bottom w:val="none" w:sz="0" w:space="0" w:color="auto"/>
                <w:right w:val="none" w:sz="0" w:space="0" w:color="auto"/>
              </w:divBdr>
            </w:div>
            <w:div w:id="1007833306">
              <w:marLeft w:val="0"/>
              <w:marRight w:val="0"/>
              <w:marTop w:val="0"/>
              <w:marBottom w:val="0"/>
              <w:divBdr>
                <w:top w:val="none" w:sz="0" w:space="0" w:color="auto"/>
                <w:left w:val="none" w:sz="0" w:space="0" w:color="auto"/>
                <w:bottom w:val="none" w:sz="0" w:space="0" w:color="auto"/>
                <w:right w:val="none" w:sz="0" w:space="0" w:color="auto"/>
              </w:divBdr>
            </w:div>
            <w:div w:id="1594895498">
              <w:marLeft w:val="0"/>
              <w:marRight w:val="0"/>
              <w:marTop w:val="0"/>
              <w:marBottom w:val="0"/>
              <w:divBdr>
                <w:top w:val="none" w:sz="0" w:space="0" w:color="auto"/>
                <w:left w:val="none" w:sz="0" w:space="0" w:color="auto"/>
                <w:bottom w:val="none" w:sz="0" w:space="0" w:color="auto"/>
                <w:right w:val="none" w:sz="0" w:space="0" w:color="auto"/>
              </w:divBdr>
            </w:div>
            <w:div w:id="1377125366">
              <w:marLeft w:val="0"/>
              <w:marRight w:val="0"/>
              <w:marTop w:val="0"/>
              <w:marBottom w:val="0"/>
              <w:divBdr>
                <w:top w:val="none" w:sz="0" w:space="0" w:color="auto"/>
                <w:left w:val="none" w:sz="0" w:space="0" w:color="auto"/>
                <w:bottom w:val="none" w:sz="0" w:space="0" w:color="auto"/>
                <w:right w:val="none" w:sz="0" w:space="0" w:color="auto"/>
              </w:divBdr>
            </w:div>
            <w:div w:id="1122728366">
              <w:marLeft w:val="0"/>
              <w:marRight w:val="0"/>
              <w:marTop w:val="0"/>
              <w:marBottom w:val="0"/>
              <w:divBdr>
                <w:top w:val="none" w:sz="0" w:space="0" w:color="auto"/>
                <w:left w:val="none" w:sz="0" w:space="0" w:color="auto"/>
                <w:bottom w:val="none" w:sz="0" w:space="0" w:color="auto"/>
                <w:right w:val="none" w:sz="0" w:space="0" w:color="auto"/>
              </w:divBdr>
            </w:div>
            <w:div w:id="840395215">
              <w:marLeft w:val="0"/>
              <w:marRight w:val="0"/>
              <w:marTop w:val="0"/>
              <w:marBottom w:val="0"/>
              <w:divBdr>
                <w:top w:val="none" w:sz="0" w:space="0" w:color="auto"/>
                <w:left w:val="none" w:sz="0" w:space="0" w:color="auto"/>
                <w:bottom w:val="none" w:sz="0" w:space="0" w:color="auto"/>
                <w:right w:val="none" w:sz="0" w:space="0" w:color="auto"/>
              </w:divBdr>
            </w:div>
            <w:div w:id="1060131017">
              <w:marLeft w:val="0"/>
              <w:marRight w:val="0"/>
              <w:marTop w:val="0"/>
              <w:marBottom w:val="0"/>
              <w:divBdr>
                <w:top w:val="none" w:sz="0" w:space="0" w:color="auto"/>
                <w:left w:val="none" w:sz="0" w:space="0" w:color="auto"/>
                <w:bottom w:val="none" w:sz="0" w:space="0" w:color="auto"/>
                <w:right w:val="none" w:sz="0" w:space="0" w:color="auto"/>
              </w:divBdr>
            </w:div>
            <w:div w:id="1232698306">
              <w:marLeft w:val="0"/>
              <w:marRight w:val="0"/>
              <w:marTop w:val="0"/>
              <w:marBottom w:val="0"/>
              <w:divBdr>
                <w:top w:val="none" w:sz="0" w:space="0" w:color="auto"/>
                <w:left w:val="none" w:sz="0" w:space="0" w:color="auto"/>
                <w:bottom w:val="none" w:sz="0" w:space="0" w:color="auto"/>
                <w:right w:val="none" w:sz="0" w:space="0" w:color="auto"/>
              </w:divBdr>
            </w:div>
            <w:div w:id="27074280">
              <w:marLeft w:val="0"/>
              <w:marRight w:val="0"/>
              <w:marTop w:val="0"/>
              <w:marBottom w:val="0"/>
              <w:divBdr>
                <w:top w:val="none" w:sz="0" w:space="0" w:color="auto"/>
                <w:left w:val="none" w:sz="0" w:space="0" w:color="auto"/>
                <w:bottom w:val="none" w:sz="0" w:space="0" w:color="auto"/>
                <w:right w:val="none" w:sz="0" w:space="0" w:color="auto"/>
              </w:divBdr>
            </w:div>
            <w:div w:id="1296596171">
              <w:marLeft w:val="0"/>
              <w:marRight w:val="0"/>
              <w:marTop w:val="0"/>
              <w:marBottom w:val="0"/>
              <w:divBdr>
                <w:top w:val="none" w:sz="0" w:space="0" w:color="auto"/>
                <w:left w:val="none" w:sz="0" w:space="0" w:color="auto"/>
                <w:bottom w:val="none" w:sz="0" w:space="0" w:color="auto"/>
                <w:right w:val="none" w:sz="0" w:space="0" w:color="auto"/>
              </w:divBdr>
            </w:div>
            <w:div w:id="319386408">
              <w:marLeft w:val="0"/>
              <w:marRight w:val="0"/>
              <w:marTop w:val="0"/>
              <w:marBottom w:val="0"/>
              <w:divBdr>
                <w:top w:val="none" w:sz="0" w:space="0" w:color="auto"/>
                <w:left w:val="none" w:sz="0" w:space="0" w:color="auto"/>
                <w:bottom w:val="none" w:sz="0" w:space="0" w:color="auto"/>
                <w:right w:val="none" w:sz="0" w:space="0" w:color="auto"/>
              </w:divBdr>
            </w:div>
            <w:div w:id="2025588177">
              <w:marLeft w:val="0"/>
              <w:marRight w:val="0"/>
              <w:marTop w:val="0"/>
              <w:marBottom w:val="0"/>
              <w:divBdr>
                <w:top w:val="none" w:sz="0" w:space="0" w:color="auto"/>
                <w:left w:val="none" w:sz="0" w:space="0" w:color="auto"/>
                <w:bottom w:val="none" w:sz="0" w:space="0" w:color="auto"/>
                <w:right w:val="none" w:sz="0" w:space="0" w:color="auto"/>
              </w:divBdr>
            </w:div>
            <w:div w:id="511259508">
              <w:marLeft w:val="0"/>
              <w:marRight w:val="0"/>
              <w:marTop w:val="0"/>
              <w:marBottom w:val="0"/>
              <w:divBdr>
                <w:top w:val="none" w:sz="0" w:space="0" w:color="auto"/>
                <w:left w:val="none" w:sz="0" w:space="0" w:color="auto"/>
                <w:bottom w:val="none" w:sz="0" w:space="0" w:color="auto"/>
                <w:right w:val="none" w:sz="0" w:space="0" w:color="auto"/>
              </w:divBdr>
            </w:div>
            <w:div w:id="1912228280">
              <w:marLeft w:val="0"/>
              <w:marRight w:val="0"/>
              <w:marTop w:val="0"/>
              <w:marBottom w:val="0"/>
              <w:divBdr>
                <w:top w:val="none" w:sz="0" w:space="0" w:color="auto"/>
                <w:left w:val="none" w:sz="0" w:space="0" w:color="auto"/>
                <w:bottom w:val="none" w:sz="0" w:space="0" w:color="auto"/>
                <w:right w:val="none" w:sz="0" w:space="0" w:color="auto"/>
              </w:divBdr>
            </w:div>
            <w:div w:id="1015570411">
              <w:marLeft w:val="0"/>
              <w:marRight w:val="0"/>
              <w:marTop w:val="0"/>
              <w:marBottom w:val="0"/>
              <w:divBdr>
                <w:top w:val="none" w:sz="0" w:space="0" w:color="auto"/>
                <w:left w:val="none" w:sz="0" w:space="0" w:color="auto"/>
                <w:bottom w:val="none" w:sz="0" w:space="0" w:color="auto"/>
                <w:right w:val="none" w:sz="0" w:space="0" w:color="auto"/>
              </w:divBdr>
            </w:div>
            <w:div w:id="1772160751">
              <w:marLeft w:val="0"/>
              <w:marRight w:val="0"/>
              <w:marTop w:val="0"/>
              <w:marBottom w:val="0"/>
              <w:divBdr>
                <w:top w:val="none" w:sz="0" w:space="0" w:color="auto"/>
                <w:left w:val="none" w:sz="0" w:space="0" w:color="auto"/>
                <w:bottom w:val="none" w:sz="0" w:space="0" w:color="auto"/>
                <w:right w:val="none" w:sz="0" w:space="0" w:color="auto"/>
              </w:divBdr>
            </w:div>
            <w:div w:id="1977686223">
              <w:marLeft w:val="0"/>
              <w:marRight w:val="0"/>
              <w:marTop w:val="0"/>
              <w:marBottom w:val="0"/>
              <w:divBdr>
                <w:top w:val="none" w:sz="0" w:space="0" w:color="auto"/>
                <w:left w:val="none" w:sz="0" w:space="0" w:color="auto"/>
                <w:bottom w:val="none" w:sz="0" w:space="0" w:color="auto"/>
                <w:right w:val="none" w:sz="0" w:space="0" w:color="auto"/>
              </w:divBdr>
            </w:div>
            <w:div w:id="1515608046">
              <w:marLeft w:val="0"/>
              <w:marRight w:val="0"/>
              <w:marTop w:val="0"/>
              <w:marBottom w:val="0"/>
              <w:divBdr>
                <w:top w:val="none" w:sz="0" w:space="0" w:color="auto"/>
                <w:left w:val="none" w:sz="0" w:space="0" w:color="auto"/>
                <w:bottom w:val="none" w:sz="0" w:space="0" w:color="auto"/>
                <w:right w:val="none" w:sz="0" w:space="0" w:color="auto"/>
              </w:divBdr>
            </w:div>
            <w:div w:id="1714425002">
              <w:marLeft w:val="0"/>
              <w:marRight w:val="0"/>
              <w:marTop w:val="0"/>
              <w:marBottom w:val="0"/>
              <w:divBdr>
                <w:top w:val="none" w:sz="0" w:space="0" w:color="auto"/>
                <w:left w:val="none" w:sz="0" w:space="0" w:color="auto"/>
                <w:bottom w:val="none" w:sz="0" w:space="0" w:color="auto"/>
                <w:right w:val="none" w:sz="0" w:space="0" w:color="auto"/>
              </w:divBdr>
            </w:div>
            <w:div w:id="1399785186">
              <w:marLeft w:val="0"/>
              <w:marRight w:val="0"/>
              <w:marTop w:val="0"/>
              <w:marBottom w:val="0"/>
              <w:divBdr>
                <w:top w:val="none" w:sz="0" w:space="0" w:color="auto"/>
                <w:left w:val="none" w:sz="0" w:space="0" w:color="auto"/>
                <w:bottom w:val="none" w:sz="0" w:space="0" w:color="auto"/>
                <w:right w:val="none" w:sz="0" w:space="0" w:color="auto"/>
              </w:divBdr>
            </w:div>
            <w:div w:id="685836670">
              <w:marLeft w:val="0"/>
              <w:marRight w:val="0"/>
              <w:marTop w:val="0"/>
              <w:marBottom w:val="0"/>
              <w:divBdr>
                <w:top w:val="none" w:sz="0" w:space="0" w:color="auto"/>
                <w:left w:val="none" w:sz="0" w:space="0" w:color="auto"/>
                <w:bottom w:val="none" w:sz="0" w:space="0" w:color="auto"/>
                <w:right w:val="none" w:sz="0" w:space="0" w:color="auto"/>
              </w:divBdr>
            </w:div>
            <w:div w:id="1021780013">
              <w:marLeft w:val="0"/>
              <w:marRight w:val="0"/>
              <w:marTop w:val="0"/>
              <w:marBottom w:val="0"/>
              <w:divBdr>
                <w:top w:val="none" w:sz="0" w:space="0" w:color="auto"/>
                <w:left w:val="none" w:sz="0" w:space="0" w:color="auto"/>
                <w:bottom w:val="none" w:sz="0" w:space="0" w:color="auto"/>
                <w:right w:val="none" w:sz="0" w:space="0" w:color="auto"/>
              </w:divBdr>
            </w:div>
            <w:div w:id="2128619887">
              <w:marLeft w:val="0"/>
              <w:marRight w:val="0"/>
              <w:marTop w:val="0"/>
              <w:marBottom w:val="0"/>
              <w:divBdr>
                <w:top w:val="none" w:sz="0" w:space="0" w:color="auto"/>
                <w:left w:val="none" w:sz="0" w:space="0" w:color="auto"/>
                <w:bottom w:val="none" w:sz="0" w:space="0" w:color="auto"/>
                <w:right w:val="none" w:sz="0" w:space="0" w:color="auto"/>
              </w:divBdr>
            </w:div>
            <w:div w:id="604114170">
              <w:marLeft w:val="0"/>
              <w:marRight w:val="0"/>
              <w:marTop w:val="0"/>
              <w:marBottom w:val="0"/>
              <w:divBdr>
                <w:top w:val="none" w:sz="0" w:space="0" w:color="auto"/>
                <w:left w:val="none" w:sz="0" w:space="0" w:color="auto"/>
                <w:bottom w:val="none" w:sz="0" w:space="0" w:color="auto"/>
                <w:right w:val="none" w:sz="0" w:space="0" w:color="auto"/>
              </w:divBdr>
            </w:div>
            <w:div w:id="1761562465">
              <w:marLeft w:val="0"/>
              <w:marRight w:val="0"/>
              <w:marTop w:val="0"/>
              <w:marBottom w:val="0"/>
              <w:divBdr>
                <w:top w:val="none" w:sz="0" w:space="0" w:color="auto"/>
                <w:left w:val="none" w:sz="0" w:space="0" w:color="auto"/>
                <w:bottom w:val="none" w:sz="0" w:space="0" w:color="auto"/>
                <w:right w:val="none" w:sz="0" w:space="0" w:color="auto"/>
              </w:divBdr>
            </w:div>
            <w:div w:id="1779399842">
              <w:marLeft w:val="0"/>
              <w:marRight w:val="0"/>
              <w:marTop w:val="0"/>
              <w:marBottom w:val="0"/>
              <w:divBdr>
                <w:top w:val="none" w:sz="0" w:space="0" w:color="auto"/>
                <w:left w:val="none" w:sz="0" w:space="0" w:color="auto"/>
                <w:bottom w:val="none" w:sz="0" w:space="0" w:color="auto"/>
                <w:right w:val="none" w:sz="0" w:space="0" w:color="auto"/>
              </w:divBdr>
            </w:div>
            <w:div w:id="185220046">
              <w:marLeft w:val="0"/>
              <w:marRight w:val="0"/>
              <w:marTop w:val="0"/>
              <w:marBottom w:val="0"/>
              <w:divBdr>
                <w:top w:val="none" w:sz="0" w:space="0" w:color="auto"/>
                <w:left w:val="none" w:sz="0" w:space="0" w:color="auto"/>
                <w:bottom w:val="none" w:sz="0" w:space="0" w:color="auto"/>
                <w:right w:val="none" w:sz="0" w:space="0" w:color="auto"/>
              </w:divBdr>
            </w:div>
            <w:div w:id="1520924557">
              <w:marLeft w:val="0"/>
              <w:marRight w:val="0"/>
              <w:marTop w:val="0"/>
              <w:marBottom w:val="0"/>
              <w:divBdr>
                <w:top w:val="none" w:sz="0" w:space="0" w:color="auto"/>
                <w:left w:val="none" w:sz="0" w:space="0" w:color="auto"/>
                <w:bottom w:val="none" w:sz="0" w:space="0" w:color="auto"/>
                <w:right w:val="none" w:sz="0" w:space="0" w:color="auto"/>
              </w:divBdr>
            </w:div>
            <w:div w:id="112749009">
              <w:marLeft w:val="0"/>
              <w:marRight w:val="0"/>
              <w:marTop w:val="0"/>
              <w:marBottom w:val="0"/>
              <w:divBdr>
                <w:top w:val="none" w:sz="0" w:space="0" w:color="auto"/>
                <w:left w:val="none" w:sz="0" w:space="0" w:color="auto"/>
                <w:bottom w:val="none" w:sz="0" w:space="0" w:color="auto"/>
                <w:right w:val="none" w:sz="0" w:space="0" w:color="auto"/>
              </w:divBdr>
            </w:div>
            <w:div w:id="318731125">
              <w:marLeft w:val="0"/>
              <w:marRight w:val="0"/>
              <w:marTop w:val="0"/>
              <w:marBottom w:val="0"/>
              <w:divBdr>
                <w:top w:val="none" w:sz="0" w:space="0" w:color="auto"/>
                <w:left w:val="none" w:sz="0" w:space="0" w:color="auto"/>
                <w:bottom w:val="none" w:sz="0" w:space="0" w:color="auto"/>
                <w:right w:val="none" w:sz="0" w:space="0" w:color="auto"/>
              </w:divBdr>
            </w:div>
            <w:div w:id="1905800907">
              <w:marLeft w:val="0"/>
              <w:marRight w:val="0"/>
              <w:marTop w:val="0"/>
              <w:marBottom w:val="0"/>
              <w:divBdr>
                <w:top w:val="none" w:sz="0" w:space="0" w:color="auto"/>
                <w:left w:val="none" w:sz="0" w:space="0" w:color="auto"/>
                <w:bottom w:val="none" w:sz="0" w:space="0" w:color="auto"/>
                <w:right w:val="none" w:sz="0" w:space="0" w:color="auto"/>
              </w:divBdr>
            </w:div>
            <w:div w:id="634333187">
              <w:marLeft w:val="0"/>
              <w:marRight w:val="0"/>
              <w:marTop w:val="0"/>
              <w:marBottom w:val="0"/>
              <w:divBdr>
                <w:top w:val="none" w:sz="0" w:space="0" w:color="auto"/>
                <w:left w:val="none" w:sz="0" w:space="0" w:color="auto"/>
                <w:bottom w:val="none" w:sz="0" w:space="0" w:color="auto"/>
                <w:right w:val="none" w:sz="0" w:space="0" w:color="auto"/>
              </w:divBdr>
            </w:div>
            <w:div w:id="407532584">
              <w:marLeft w:val="0"/>
              <w:marRight w:val="0"/>
              <w:marTop w:val="0"/>
              <w:marBottom w:val="0"/>
              <w:divBdr>
                <w:top w:val="none" w:sz="0" w:space="0" w:color="auto"/>
                <w:left w:val="none" w:sz="0" w:space="0" w:color="auto"/>
                <w:bottom w:val="none" w:sz="0" w:space="0" w:color="auto"/>
                <w:right w:val="none" w:sz="0" w:space="0" w:color="auto"/>
              </w:divBdr>
            </w:div>
            <w:div w:id="1101031159">
              <w:marLeft w:val="0"/>
              <w:marRight w:val="0"/>
              <w:marTop w:val="0"/>
              <w:marBottom w:val="0"/>
              <w:divBdr>
                <w:top w:val="none" w:sz="0" w:space="0" w:color="auto"/>
                <w:left w:val="none" w:sz="0" w:space="0" w:color="auto"/>
                <w:bottom w:val="none" w:sz="0" w:space="0" w:color="auto"/>
                <w:right w:val="none" w:sz="0" w:space="0" w:color="auto"/>
              </w:divBdr>
            </w:div>
            <w:div w:id="643848051">
              <w:marLeft w:val="0"/>
              <w:marRight w:val="0"/>
              <w:marTop w:val="0"/>
              <w:marBottom w:val="0"/>
              <w:divBdr>
                <w:top w:val="none" w:sz="0" w:space="0" w:color="auto"/>
                <w:left w:val="none" w:sz="0" w:space="0" w:color="auto"/>
                <w:bottom w:val="none" w:sz="0" w:space="0" w:color="auto"/>
                <w:right w:val="none" w:sz="0" w:space="0" w:color="auto"/>
              </w:divBdr>
            </w:div>
            <w:div w:id="1814252729">
              <w:marLeft w:val="0"/>
              <w:marRight w:val="0"/>
              <w:marTop w:val="0"/>
              <w:marBottom w:val="0"/>
              <w:divBdr>
                <w:top w:val="none" w:sz="0" w:space="0" w:color="auto"/>
                <w:left w:val="none" w:sz="0" w:space="0" w:color="auto"/>
                <w:bottom w:val="none" w:sz="0" w:space="0" w:color="auto"/>
                <w:right w:val="none" w:sz="0" w:space="0" w:color="auto"/>
              </w:divBdr>
            </w:div>
            <w:div w:id="1748528053">
              <w:marLeft w:val="0"/>
              <w:marRight w:val="0"/>
              <w:marTop w:val="0"/>
              <w:marBottom w:val="0"/>
              <w:divBdr>
                <w:top w:val="none" w:sz="0" w:space="0" w:color="auto"/>
                <w:left w:val="none" w:sz="0" w:space="0" w:color="auto"/>
                <w:bottom w:val="none" w:sz="0" w:space="0" w:color="auto"/>
                <w:right w:val="none" w:sz="0" w:space="0" w:color="auto"/>
              </w:divBdr>
            </w:div>
            <w:div w:id="804544714">
              <w:marLeft w:val="0"/>
              <w:marRight w:val="0"/>
              <w:marTop w:val="0"/>
              <w:marBottom w:val="0"/>
              <w:divBdr>
                <w:top w:val="none" w:sz="0" w:space="0" w:color="auto"/>
                <w:left w:val="none" w:sz="0" w:space="0" w:color="auto"/>
                <w:bottom w:val="none" w:sz="0" w:space="0" w:color="auto"/>
                <w:right w:val="none" w:sz="0" w:space="0" w:color="auto"/>
              </w:divBdr>
            </w:div>
            <w:div w:id="1039552969">
              <w:marLeft w:val="0"/>
              <w:marRight w:val="0"/>
              <w:marTop w:val="0"/>
              <w:marBottom w:val="0"/>
              <w:divBdr>
                <w:top w:val="none" w:sz="0" w:space="0" w:color="auto"/>
                <w:left w:val="none" w:sz="0" w:space="0" w:color="auto"/>
                <w:bottom w:val="none" w:sz="0" w:space="0" w:color="auto"/>
                <w:right w:val="none" w:sz="0" w:space="0" w:color="auto"/>
              </w:divBdr>
            </w:div>
            <w:div w:id="891504902">
              <w:marLeft w:val="0"/>
              <w:marRight w:val="0"/>
              <w:marTop w:val="0"/>
              <w:marBottom w:val="0"/>
              <w:divBdr>
                <w:top w:val="none" w:sz="0" w:space="0" w:color="auto"/>
                <w:left w:val="none" w:sz="0" w:space="0" w:color="auto"/>
                <w:bottom w:val="none" w:sz="0" w:space="0" w:color="auto"/>
                <w:right w:val="none" w:sz="0" w:space="0" w:color="auto"/>
              </w:divBdr>
            </w:div>
            <w:div w:id="328144738">
              <w:marLeft w:val="0"/>
              <w:marRight w:val="0"/>
              <w:marTop w:val="0"/>
              <w:marBottom w:val="0"/>
              <w:divBdr>
                <w:top w:val="none" w:sz="0" w:space="0" w:color="auto"/>
                <w:left w:val="none" w:sz="0" w:space="0" w:color="auto"/>
                <w:bottom w:val="none" w:sz="0" w:space="0" w:color="auto"/>
                <w:right w:val="none" w:sz="0" w:space="0" w:color="auto"/>
              </w:divBdr>
            </w:div>
            <w:div w:id="387149062">
              <w:marLeft w:val="0"/>
              <w:marRight w:val="0"/>
              <w:marTop w:val="0"/>
              <w:marBottom w:val="0"/>
              <w:divBdr>
                <w:top w:val="none" w:sz="0" w:space="0" w:color="auto"/>
                <w:left w:val="none" w:sz="0" w:space="0" w:color="auto"/>
                <w:bottom w:val="none" w:sz="0" w:space="0" w:color="auto"/>
                <w:right w:val="none" w:sz="0" w:space="0" w:color="auto"/>
              </w:divBdr>
            </w:div>
            <w:div w:id="632759306">
              <w:marLeft w:val="0"/>
              <w:marRight w:val="0"/>
              <w:marTop w:val="0"/>
              <w:marBottom w:val="0"/>
              <w:divBdr>
                <w:top w:val="none" w:sz="0" w:space="0" w:color="auto"/>
                <w:left w:val="none" w:sz="0" w:space="0" w:color="auto"/>
                <w:bottom w:val="none" w:sz="0" w:space="0" w:color="auto"/>
                <w:right w:val="none" w:sz="0" w:space="0" w:color="auto"/>
              </w:divBdr>
            </w:div>
            <w:div w:id="528492000">
              <w:marLeft w:val="0"/>
              <w:marRight w:val="0"/>
              <w:marTop w:val="0"/>
              <w:marBottom w:val="0"/>
              <w:divBdr>
                <w:top w:val="none" w:sz="0" w:space="0" w:color="auto"/>
                <w:left w:val="none" w:sz="0" w:space="0" w:color="auto"/>
                <w:bottom w:val="none" w:sz="0" w:space="0" w:color="auto"/>
                <w:right w:val="none" w:sz="0" w:space="0" w:color="auto"/>
              </w:divBdr>
            </w:div>
            <w:div w:id="199099911">
              <w:marLeft w:val="0"/>
              <w:marRight w:val="0"/>
              <w:marTop w:val="0"/>
              <w:marBottom w:val="0"/>
              <w:divBdr>
                <w:top w:val="none" w:sz="0" w:space="0" w:color="auto"/>
                <w:left w:val="none" w:sz="0" w:space="0" w:color="auto"/>
                <w:bottom w:val="none" w:sz="0" w:space="0" w:color="auto"/>
                <w:right w:val="none" w:sz="0" w:space="0" w:color="auto"/>
              </w:divBdr>
            </w:div>
            <w:div w:id="835846892">
              <w:marLeft w:val="0"/>
              <w:marRight w:val="0"/>
              <w:marTop w:val="0"/>
              <w:marBottom w:val="0"/>
              <w:divBdr>
                <w:top w:val="none" w:sz="0" w:space="0" w:color="auto"/>
                <w:left w:val="none" w:sz="0" w:space="0" w:color="auto"/>
                <w:bottom w:val="none" w:sz="0" w:space="0" w:color="auto"/>
                <w:right w:val="none" w:sz="0" w:space="0" w:color="auto"/>
              </w:divBdr>
            </w:div>
            <w:div w:id="431895240">
              <w:marLeft w:val="0"/>
              <w:marRight w:val="0"/>
              <w:marTop w:val="0"/>
              <w:marBottom w:val="0"/>
              <w:divBdr>
                <w:top w:val="none" w:sz="0" w:space="0" w:color="auto"/>
                <w:left w:val="none" w:sz="0" w:space="0" w:color="auto"/>
                <w:bottom w:val="none" w:sz="0" w:space="0" w:color="auto"/>
                <w:right w:val="none" w:sz="0" w:space="0" w:color="auto"/>
              </w:divBdr>
            </w:div>
            <w:div w:id="975454885">
              <w:marLeft w:val="0"/>
              <w:marRight w:val="0"/>
              <w:marTop w:val="0"/>
              <w:marBottom w:val="0"/>
              <w:divBdr>
                <w:top w:val="none" w:sz="0" w:space="0" w:color="auto"/>
                <w:left w:val="none" w:sz="0" w:space="0" w:color="auto"/>
                <w:bottom w:val="none" w:sz="0" w:space="0" w:color="auto"/>
                <w:right w:val="none" w:sz="0" w:space="0" w:color="auto"/>
              </w:divBdr>
            </w:div>
            <w:div w:id="1334142630">
              <w:marLeft w:val="0"/>
              <w:marRight w:val="0"/>
              <w:marTop w:val="0"/>
              <w:marBottom w:val="0"/>
              <w:divBdr>
                <w:top w:val="none" w:sz="0" w:space="0" w:color="auto"/>
                <w:left w:val="none" w:sz="0" w:space="0" w:color="auto"/>
                <w:bottom w:val="none" w:sz="0" w:space="0" w:color="auto"/>
                <w:right w:val="none" w:sz="0" w:space="0" w:color="auto"/>
              </w:divBdr>
            </w:div>
            <w:div w:id="286468426">
              <w:marLeft w:val="0"/>
              <w:marRight w:val="0"/>
              <w:marTop w:val="0"/>
              <w:marBottom w:val="0"/>
              <w:divBdr>
                <w:top w:val="none" w:sz="0" w:space="0" w:color="auto"/>
                <w:left w:val="none" w:sz="0" w:space="0" w:color="auto"/>
                <w:bottom w:val="none" w:sz="0" w:space="0" w:color="auto"/>
                <w:right w:val="none" w:sz="0" w:space="0" w:color="auto"/>
              </w:divBdr>
            </w:div>
            <w:div w:id="333992899">
              <w:marLeft w:val="0"/>
              <w:marRight w:val="0"/>
              <w:marTop w:val="0"/>
              <w:marBottom w:val="0"/>
              <w:divBdr>
                <w:top w:val="none" w:sz="0" w:space="0" w:color="auto"/>
                <w:left w:val="none" w:sz="0" w:space="0" w:color="auto"/>
                <w:bottom w:val="none" w:sz="0" w:space="0" w:color="auto"/>
                <w:right w:val="none" w:sz="0" w:space="0" w:color="auto"/>
              </w:divBdr>
            </w:div>
            <w:div w:id="1839727136">
              <w:marLeft w:val="0"/>
              <w:marRight w:val="0"/>
              <w:marTop w:val="0"/>
              <w:marBottom w:val="0"/>
              <w:divBdr>
                <w:top w:val="none" w:sz="0" w:space="0" w:color="auto"/>
                <w:left w:val="none" w:sz="0" w:space="0" w:color="auto"/>
                <w:bottom w:val="none" w:sz="0" w:space="0" w:color="auto"/>
                <w:right w:val="none" w:sz="0" w:space="0" w:color="auto"/>
              </w:divBdr>
            </w:div>
            <w:div w:id="257564857">
              <w:marLeft w:val="0"/>
              <w:marRight w:val="0"/>
              <w:marTop w:val="0"/>
              <w:marBottom w:val="0"/>
              <w:divBdr>
                <w:top w:val="none" w:sz="0" w:space="0" w:color="auto"/>
                <w:left w:val="none" w:sz="0" w:space="0" w:color="auto"/>
                <w:bottom w:val="none" w:sz="0" w:space="0" w:color="auto"/>
                <w:right w:val="none" w:sz="0" w:space="0" w:color="auto"/>
              </w:divBdr>
            </w:div>
            <w:div w:id="1894658078">
              <w:marLeft w:val="0"/>
              <w:marRight w:val="0"/>
              <w:marTop w:val="0"/>
              <w:marBottom w:val="0"/>
              <w:divBdr>
                <w:top w:val="none" w:sz="0" w:space="0" w:color="auto"/>
                <w:left w:val="none" w:sz="0" w:space="0" w:color="auto"/>
                <w:bottom w:val="none" w:sz="0" w:space="0" w:color="auto"/>
                <w:right w:val="none" w:sz="0" w:space="0" w:color="auto"/>
              </w:divBdr>
            </w:div>
            <w:div w:id="1927690182">
              <w:marLeft w:val="0"/>
              <w:marRight w:val="0"/>
              <w:marTop w:val="0"/>
              <w:marBottom w:val="0"/>
              <w:divBdr>
                <w:top w:val="none" w:sz="0" w:space="0" w:color="auto"/>
                <w:left w:val="none" w:sz="0" w:space="0" w:color="auto"/>
                <w:bottom w:val="none" w:sz="0" w:space="0" w:color="auto"/>
                <w:right w:val="none" w:sz="0" w:space="0" w:color="auto"/>
              </w:divBdr>
            </w:div>
            <w:div w:id="816843824">
              <w:marLeft w:val="0"/>
              <w:marRight w:val="0"/>
              <w:marTop w:val="0"/>
              <w:marBottom w:val="0"/>
              <w:divBdr>
                <w:top w:val="none" w:sz="0" w:space="0" w:color="auto"/>
                <w:left w:val="none" w:sz="0" w:space="0" w:color="auto"/>
                <w:bottom w:val="none" w:sz="0" w:space="0" w:color="auto"/>
                <w:right w:val="none" w:sz="0" w:space="0" w:color="auto"/>
              </w:divBdr>
            </w:div>
            <w:div w:id="100418797">
              <w:marLeft w:val="0"/>
              <w:marRight w:val="0"/>
              <w:marTop w:val="0"/>
              <w:marBottom w:val="0"/>
              <w:divBdr>
                <w:top w:val="none" w:sz="0" w:space="0" w:color="auto"/>
                <w:left w:val="none" w:sz="0" w:space="0" w:color="auto"/>
                <w:bottom w:val="none" w:sz="0" w:space="0" w:color="auto"/>
                <w:right w:val="none" w:sz="0" w:space="0" w:color="auto"/>
              </w:divBdr>
            </w:div>
            <w:div w:id="1472165353">
              <w:marLeft w:val="0"/>
              <w:marRight w:val="0"/>
              <w:marTop w:val="0"/>
              <w:marBottom w:val="0"/>
              <w:divBdr>
                <w:top w:val="none" w:sz="0" w:space="0" w:color="auto"/>
                <w:left w:val="none" w:sz="0" w:space="0" w:color="auto"/>
                <w:bottom w:val="none" w:sz="0" w:space="0" w:color="auto"/>
                <w:right w:val="none" w:sz="0" w:space="0" w:color="auto"/>
              </w:divBdr>
            </w:div>
            <w:div w:id="212348535">
              <w:marLeft w:val="0"/>
              <w:marRight w:val="0"/>
              <w:marTop w:val="0"/>
              <w:marBottom w:val="0"/>
              <w:divBdr>
                <w:top w:val="none" w:sz="0" w:space="0" w:color="auto"/>
                <w:left w:val="none" w:sz="0" w:space="0" w:color="auto"/>
                <w:bottom w:val="none" w:sz="0" w:space="0" w:color="auto"/>
                <w:right w:val="none" w:sz="0" w:space="0" w:color="auto"/>
              </w:divBdr>
            </w:div>
            <w:div w:id="338001159">
              <w:marLeft w:val="0"/>
              <w:marRight w:val="0"/>
              <w:marTop w:val="0"/>
              <w:marBottom w:val="0"/>
              <w:divBdr>
                <w:top w:val="none" w:sz="0" w:space="0" w:color="auto"/>
                <w:left w:val="none" w:sz="0" w:space="0" w:color="auto"/>
                <w:bottom w:val="none" w:sz="0" w:space="0" w:color="auto"/>
                <w:right w:val="none" w:sz="0" w:space="0" w:color="auto"/>
              </w:divBdr>
            </w:div>
            <w:div w:id="889877420">
              <w:marLeft w:val="0"/>
              <w:marRight w:val="0"/>
              <w:marTop w:val="0"/>
              <w:marBottom w:val="0"/>
              <w:divBdr>
                <w:top w:val="none" w:sz="0" w:space="0" w:color="auto"/>
                <w:left w:val="none" w:sz="0" w:space="0" w:color="auto"/>
                <w:bottom w:val="none" w:sz="0" w:space="0" w:color="auto"/>
                <w:right w:val="none" w:sz="0" w:space="0" w:color="auto"/>
              </w:divBdr>
            </w:div>
            <w:div w:id="759107005">
              <w:marLeft w:val="0"/>
              <w:marRight w:val="0"/>
              <w:marTop w:val="0"/>
              <w:marBottom w:val="0"/>
              <w:divBdr>
                <w:top w:val="none" w:sz="0" w:space="0" w:color="auto"/>
                <w:left w:val="none" w:sz="0" w:space="0" w:color="auto"/>
                <w:bottom w:val="none" w:sz="0" w:space="0" w:color="auto"/>
                <w:right w:val="none" w:sz="0" w:space="0" w:color="auto"/>
              </w:divBdr>
            </w:div>
            <w:div w:id="554506256">
              <w:marLeft w:val="0"/>
              <w:marRight w:val="0"/>
              <w:marTop w:val="0"/>
              <w:marBottom w:val="0"/>
              <w:divBdr>
                <w:top w:val="none" w:sz="0" w:space="0" w:color="auto"/>
                <w:left w:val="none" w:sz="0" w:space="0" w:color="auto"/>
                <w:bottom w:val="none" w:sz="0" w:space="0" w:color="auto"/>
                <w:right w:val="none" w:sz="0" w:space="0" w:color="auto"/>
              </w:divBdr>
            </w:div>
            <w:div w:id="1022973901">
              <w:marLeft w:val="0"/>
              <w:marRight w:val="0"/>
              <w:marTop w:val="0"/>
              <w:marBottom w:val="0"/>
              <w:divBdr>
                <w:top w:val="none" w:sz="0" w:space="0" w:color="auto"/>
                <w:left w:val="none" w:sz="0" w:space="0" w:color="auto"/>
                <w:bottom w:val="none" w:sz="0" w:space="0" w:color="auto"/>
                <w:right w:val="none" w:sz="0" w:space="0" w:color="auto"/>
              </w:divBdr>
            </w:div>
            <w:div w:id="2039502521">
              <w:marLeft w:val="0"/>
              <w:marRight w:val="0"/>
              <w:marTop w:val="0"/>
              <w:marBottom w:val="0"/>
              <w:divBdr>
                <w:top w:val="none" w:sz="0" w:space="0" w:color="auto"/>
                <w:left w:val="none" w:sz="0" w:space="0" w:color="auto"/>
                <w:bottom w:val="none" w:sz="0" w:space="0" w:color="auto"/>
                <w:right w:val="none" w:sz="0" w:space="0" w:color="auto"/>
              </w:divBdr>
            </w:div>
            <w:div w:id="505436184">
              <w:marLeft w:val="0"/>
              <w:marRight w:val="0"/>
              <w:marTop w:val="0"/>
              <w:marBottom w:val="0"/>
              <w:divBdr>
                <w:top w:val="none" w:sz="0" w:space="0" w:color="auto"/>
                <w:left w:val="none" w:sz="0" w:space="0" w:color="auto"/>
                <w:bottom w:val="none" w:sz="0" w:space="0" w:color="auto"/>
                <w:right w:val="none" w:sz="0" w:space="0" w:color="auto"/>
              </w:divBdr>
            </w:div>
            <w:div w:id="589777042">
              <w:marLeft w:val="0"/>
              <w:marRight w:val="0"/>
              <w:marTop w:val="0"/>
              <w:marBottom w:val="0"/>
              <w:divBdr>
                <w:top w:val="none" w:sz="0" w:space="0" w:color="auto"/>
                <w:left w:val="none" w:sz="0" w:space="0" w:color="auto"/>
                <w:bottom w:val="none" w:sz="0" w:space="0" w:color="auto"/>
                <w:right w:val="none" w:sz="0" w:space="0" w:color="auto"/>
              </w:divBdr>
            </w:div>
            <w:div w:id="472256593">
              <w:marLeft w:val="0"/>
              <w:marRight w:val="0"/>
              <w:marTop w:val="0"/>
              <w:marBottom w:val="0"/>
              <w:divBdr>
                <w:top w:val="none" w:sz="0" w:space="0" w:color="auto"/>
                <w:left w:val="none" w:sz="0" w:space="0" w:color="auto"/>
                <w:bottom w:val="none" w:sz="0" w:space="0" w:color="auto"/>
                <w:right w:val="none" w:sz="0" w:space="0" w:color="auto"/>
              </w:divBdr>
            </w:div>
            <w:div w:id="1911453372">
              <w:marLeft w:val="0"/>
              <w:marRight w:val="0"/>
              <w:marTop w:val="0"/>
              <w:marBottom w:val="0"/>
              <w:divBdr>
                <w:top w:val="none" w:sz="0" w:space="0" w:color="auto"/>
                <w:left w:val="none" w:sz="0" w:space="0" w:color="auto"/>
                <w:bottom w:val="none" w:sz="0" w:space="0" w:color="auto"/>
                <w:right w:val="none" w:sz="0" w:space="0" w:color="auto"/>
              </w:divBdr>
            </w:div>
            <w:div w:id="663239190">
              <w:marLeft w:val="0"/>
              <w:marRight w:val="0"/>
              <w:marTop w:val="0"/>
              <w:marBottom w:val="0"/>
              <w:divBdr>
                <w:top w:val="none" w:sz="0" w:space="0" w:color="auto"/>
                <w:left w:val="none" w:sz="0" w:space="0" w:color="auto"/>
                <w:bottom w:val="none" w:sz="0" w:space="0" w:color="auto"/>
                <w:right w:val="none" w:sz="0" w:space="0" w:color="auto"/>
              </w:divBdr>
            </w:div>
            <w:div w:id="1994478794">
              <w:marLeft w:val="0"/>
              <w:marRight w:val="0"/>
              <w:marTop w:val="0"/>
              <w:marBottom w:val="0"/>
              <w:divBdr>
                <w:top w:val="none" w:sz="0" w:space="0" w:color="auto"/>
                <w:left w:val="none" w:sz="0" w:space="0" w:color="auto"/>
                <w:bottom w:val="none" w:sz="0" w:space="0" w:color="auto"/>
                <w:right w:val="none" w:sz="0" w:space="0" w:color="auto"/>
              </w:divBdr>
            </w:div>
            <w:div w:id="1890608645">
              <w:marLeft w:val="0"/>
              <w:marRight w:val="0"/>
              <w:marTop w:val="0"/>
              <w:marBottom w:val="0"/>
              <w:divBdr>
                <w:top w:val="none" w:sz="0" w:space="0" w:color="auto"/>
                <w:left w:val="none" w:sz="0" w:space="0" w:color="auto"/>
                <w:bottom w:val="none" w:sz="0" w:space="0" w:color="auto"/>
                <w:right w:val="none" w:sz="0" w:space="0" w:color="auto"/>
              </w:divBdr>
            </w:div>
            <w:div w:id="1926452612">
              <w:marLeft w:val="0"/>
              <w:marRight w:val="0"/>
              <w:marTop w:val="0"/>
              <w:marBottom w:val="0"/>
              <w:divBdr>
                <w:top w:val="none" w:sz="0" w:space="0" w:color="auto"/>
                <w:left w:val="none" w:sz="0" w:space="0" w:color="auto"/>
                <w:bottom w:val="none" w:sz="0" w:space="0" w:color="auto"/>
                <w:right w:val="none" w:sz="0" w:space="0" w:color="auto"/>
              </w:divBdr>
            </w:div>
            <w:div w:id="1340160028">
              <w:marLeft w:val="0"/>
              <w:marRight w:val="0"/>
              <w:marTop w:val="0"/>
              <w:marBottom w:val="0"/>
              <w:divBdr>
                <w:top w:val="none" w:sz="0" w:space="0" w:color="auto"/>
                <w:left w:val="none" w:sz="0" w:space="0" w:color="auto"/>
                <w:bottom w:val="none" w:sz="0" w:space="0" w:color="auto"/>
                <w:right w:val="none" w:sz="0" w:space="0" w:color="auto"/>
              </w:divBdr>
            </w:div>
            <w:div w:id="832447775">
              <w:marLeft w:val="0"/>
              <w:marRight w:val="0"/>
              <w:marTop w:val="0"/>
              <w:marBottom w:val="0"/>
              <w:divBdr>
                <w:top w:val="none" w:sz="0" w:space="0" w:color="auto"/>
                <w:left w:val="none" w:sz="0" w:space="0" w:color="auto"/>
                <w:bottom w:val="none" w:sz="0" w:space="0" w:color="auto"/>
                <w:right w:val="none" w:sz="0" w:space="0" w:color="auto"/>
              </w:divBdr>
            </w:div>
            <w:div w:id="875316163">
              <w:marLeft w:val="0"/>
              <w:marRight w:val="0"/>
              <w:marTop w:val="0"/>
              <w:marBottom w:val="0"/>
              <w:divBdr>
                <w:top w:val="none" w:sz="0" w:space="0" w:color="auto"/>
                <w:left w:val="none" w:sz="0" w:space="0" w:color="auto"/>
                <w:bottom w:val="none" w:sz="0" w:space="0" w:color="auto"/>
                <w:right w:val="none" w:sz="0" w:space="0" w:color="auto"/>
              </w:divBdr>
            </w:div>
            <w:div w:id="508522745">
              <w:marLeft w:val="0"/>
              <w:marRight w:val="0"/>
              <w:marTop w:val="0"/>
              <w:marBottom w:val="0"/>
              <w:divBdr>
                <w:top w:val="none" w:sz="0" w:space="0" w:color="auto"/>
                <w:left w:val="none" w:sz="0" w:space="0" w:color="auto"/>
                <w:bottom w:val="none" w:sz="0" w:space="0" w:color="auto"/>
                <w:right w:val="none" w:sz="0" w:space="0" w:color="auto"/>
              </w:divBdr>
            </w:div>
            <w:div w:id="563831826">
              <w:marLeft w:val="0"/>
              <w:marRight w:val="0"/>
              <w:marTop w:val="0"/>
              <w:marBottom w:val="0"/>
              <w:divBdr>
                <w:top w:val="none" w:sz="0" w:space="0" w:color="auto"/>
                <w:left w:val="none" w:sz="0" w:space="0" w:color="auto"/>
                <w:bottom w:val="none" w:sz="0" w:space="0" w:color="auto"/>
                <w:right w:val="none" w:sz="0" w:space="0" w:color="auto"/>
              </w:divBdr>
            </w:div>
            <w:div w:id="909534388">
              <w:marLeft w:val="0"/>
              <w:marRight w:val="0"/>
              <w:marTop w:val="0"/>
              <w:marBottom w:val="0"/>
              <w:divBdr>
                <w:top w:val="none" w:sz="0" w:space="0" w:color="auto"/>
                <w:left w:val="none" w:sz="0" w:space="0" w:color="auto"/>
                <w:bottom w:val="none" w:sz="0" w:space="0" w:color="auto"/>
                <w:right w:val="none" w:sz="0" w:space="0" w:color="auto"/>
              </w:divBdr>
            </w:div>
            <w:div w:id="1949852855">
              <w:marLeft w:val="0"/>
              <w:marRight w:val="0"/>
              <w:marTop w:val="0"/>
              <w:marBottom w:val="0"/>
              <w:divBdr>
                <w:top w:val="none" w:sz="0" w:space="0" w:color="auto"/>
                <w:left w:val="none" w:sz="0" w:space="0" w:color="auto"/>
                <w:bottom w:val="none" w:sz="0" w:space="0" w:color="auto"/>
                <w:right w:val="none" w:sz="0" w:space="0" w:color="auto"/>
              </w:divBdr>
            </w:div>
            <w:div w:id="1968776825">
              <w:marLeft w:val="0"/>
              <w:marRight w:val="0"/>
              <w:marTop w:val="0"/>
              <w:marBottom w:val="0"/>
              <w:divBdr>
                <w:top w:val="none" w:sz="0" w:space="0" w:color="auto"/>
                <w:left w:val="none" w:sz="0" w:space="0" w:color="auto"/>
                <w:bottom w:val="none" w:sz="0" w:space="0" w:color="auto"/>
                <w:right w:val="none" w:sz="0" w:space="0" w:color="auto"/>
              </w:divBdr>
            </w:div>
            <w:div w:id="2117359796">
              <w:marLeft w:val="0"/>
              <w:marRight w:val="0"/>
              <w:marTop w:val="0"/>
              <w:marBottom w:val="0"/>
              <w:divBdr>
                <w:top w:val="none" w:sz="0" w:space="0" w:color="auto"/>
                <w:left w:val="none" w:sz="0" w:space="0" w:color="auto"/>
                <w:bottom w:val="none" w:sz="0" w:space="0" w:color="auto"/>
                <w:right w:val="none" w:sz="0" w:space="0" w:color="auto"/>
              </w:divBdr>
            </w:div>
            <w:div w:id="473639891">
              <w:marLeft w:val="0"/>
              <w:marRight w:val="0"/>
              <w:marTop w:val="0"/>
              <w:marBottom w:val="0"/>
              <w:divBdr>
                <w:top w:val="none" w:sz="0" w:space="0" w:color="auto"/>
                <w:left w:val="none" w:sz="0" w:space="0" w:color="auto"/>
                <w:bottom w:val="none" w:sz="0" w:space="0" w:color="auto"/>
                <w:right w:val="none" w:sz="0" w:space="0" w:color="auto"/>
              </w:divBdr>
            </w:div>
            <w:div w:id="1513645805">
              <w:marLeft w:val="0"/>
              <w:marRight w:val="0"/>
              <w:marTop w:val="0"/>
              <w:marBottom w:val="0"/>
              <w:divBdr>
                <w:top w:val="none" w:sz="0" w:space="0" w:color="auto"/>
                <w:left w:val="none" w:sz="0" w:space="0" w:color="auto"/>
                <w:bottom w:val="none" w:sz="0" w:space="0" w:color="auto"/>
                <w:right w:val="none" w:sz="0" w:space="0" w:color="auto"/>
              </w:divBdr>
            </w:div>
            <w:div w:id="1251815204">
              <w:marLeft w:val="0"/>
              <w:marRight w:val="0"/>
              <w:marTop w:val="0"/>
              <w:marBottom w:val="0"/>
              <w:divBdr>
                <w:top w:val="none" w:sz="0" w:space="0" w:color="auto"/>
                <w:left w:val="none" w:sz="0" w:space="0" w:color="auto"/>
                <w:bottom w:val="none" w:sz="0" w:space="0" w:color="auto"/>
                <w:right w:val="none" w:sz="0" w:space="0" w:color="auto"/>
              </w:divBdr>
            </w:div>
            <w:div w:id="2142184797">
              <w:marLeft w:val="0"/>
              <w:marRight w:val="0"/>
              <w:marTop w:val="0"/>
              <w:marBottom w:val="0"/>
              <w:divBdr>
                <w:top w:val="none" w:sz="0" w:space="0" w:color="auto"/>
                <w:left w:val="none" w:sz="0" w:space="0" w:color="auto"/>
                <w:bottom w:val="none" w:sz="0" w:space="0" w:color="auto"/>
                <w:right w:val="none" w:sz="0" w:space="0" w:color="auto"/>
              </w:divBdr>
            </w:div>
            <w:div w:id="1633367206">
              <w:marLeft w:val="0"/>
              <w:marRight w:val="0"/>
              <w:marTop w:val="0"/>
              <w:marBottom w:val="0"/>
              <w:divBdr>
                <w:top w:val="none" w:sz="0" w:space="0" w:color="auto"/>
                <w:left w:val="none" w:sz="0" w:space="0" w:color="auto"/>
                <w:bottom w:val="none" w:sz="0" w:space="0" w:color="auto"/>
                <w:right w:val="none" w:sz="0" w:space="0" w:color="auto"/>
              </w:divBdr>
            </w:div>
            <w:div w:id="1629555982">
              <w:marLeft w:val="0"/>
              <w:marRight w:val="0"/>
              <w:marTop w:val="0"/>
              <w:marBottom w:val="0"/>
              <w:divBdr>
                <w:top w:val="none" w:sz="0" w:space="0" w:color="auto"/>
                <w:left w:val="none" w:sz="0" w:space="0" w:color="auto"/>
                <w:bottom w:val="none" w:sz="0" w:space="0" w:color="auto"/>
                <w:right w:val="none" w:sz="0" w:space="0" w:color="auto"/>
              </w:divBdr>
            </w:div>
            <w:div w:id="1345673780">
              <w:marLeft w:val="0"/>
              <w:marRight w:val="0"/>
              <w:marTop w:val="0"/>
              <w:marBottom w:val="0"/>
              <w:divBdr>
                <w:top w:val="none" w:sz="0" w:space="0" w:color="auto"/>
                <w:left w:val="none" w:sz="0" w:space="0" w:color="auto"/>
                <w:bottom w:val="none" w:sz="0" w:space="0" w:color="auto"/>
                <w:right w:val="none" w:sz="0" w:space="0" w:color="auto"/>
              </w:divBdr>
            </w:div>
            <w:div w:id="755133847">
              <w:marLeft w:val="0"/>
              <w:marRight w:val="0"/>
              <w:marTop w:val="0"/>
              <w:marBottom w:val="0"/>
              <w:divBdr>
                <w:top w:val="none" w:sz="0" w:space="0" w:color="auto"/>
                <w:left w:val="none" w:sz="0" w:space="0" w:color="auto"/>
                <w:bottom w:val="none" w:sz="0" w:space="0" w:color="auto"/>
                <w:right w:val="none" w:sz="0" w:space="0" w:color="auto"/>
              </w:divBdr>
            </w:div>
            <w:div w:id="1459182202">
              <w:marLeft w:val="0"/>
              <w:marRight w:val="0"/>
              <w:marTop w:val="0"/>
              <w:marBottom w:val="0"/>
              <w:divBdr>
                <w:top w:val="none" w:sz="0" w:space="0" w:color="auto"/>
                <w:left w:val="none" w:sz="0" w:space="0" w:color="auto"/>
                <w:bottom w:val="none" w:sz="0" w:space="0" w:color="auto"/>
                <w:right w:val="none" w:sz="0" w:space="0" w:color="auto"/>
              </w:divBdr>
            </w:div>
            <w:div w:id="267471236">
              <w:marLeft w:val="0"/>
              <w:marRight w:val="0"/>
              <w:marTop w:val="0"/>
              <w:marBottom w:val="0"/>
              <w:divBdr>
                <w:top w:val="none" w:sz="0" w:space="0" w:color="auto"/>
                <w:left w:val="none" w:sz="0" w:space="0" w:color="auto"/>
                <w:bottom w:val="none" w:sz="0" w:space="0" w:color="auto"/>
                <w:right w:val="none" w:sz="0" w:space="0" w:color="auto"/>
              </w:divBdr>
            </w:div>
            <w:div w:id="1761220876">
              <w:marLeft w:val="0"/>
              <w:marRight w:val="0"/>
              <w:marTop w:val="0"/>
              <w:marBottom w:val="0"/>
              <w:divBdr>
                <w:top w:val="none" w:sz="0" w:space="0" w:color="auto"/>
                <w:left w:val="none" w:sz="0" w:space="0" w:color="auto"/>
                <w:bottom w:val="none" w:sz="0" w:space="0" w:color="auto"/>
                <w:right w:val="none" w:sz="0" w:space="0" w:color="auto"/>
              </w:divBdr>
            </w:div>
            <w:div w:id="1683513140">
              <w:marLeft w:val="0"/>
              <w:marRight w:val="0"/>
              <w:marTop w:val="0"/>
              <w:marBottom w:val="0"/>
              <w:divBdr>
                <w:top w:val="none" w:sz="0" w:space="0" w:color="auto"/>
                <w:left w:val="none" w:sz="0" w:space="0" w:color="auto"/>
                <w:bottom w:val="none" w:sz="0" w:space="0" w:color="auto"/>
                <w:right w:val="none" w:sz="0" w:space="0" w:color="auto"/>
              </w:divBdr>
            </w:div>
            <w:div w:id="68313289">
              <w:marLeft w:val="0"/>
              <w:marRight w:val="0"/>
              <w:marTop w:val="0"/>
              <w:marBottom w:val="0"/>
              <w:divBdr>
                <w:top w:val="none" w:sz="0" w:space="0" w:color="auto"/>
                <w:left w:val="none" w:sz="0" w:space="0" w:color="auto"/>
                <w:bottom w:val="none" w:sz="0" w:space="0" w:color="auto"/>
                <w:right w:val="none" w:sz="0" w:space="0" w:color="auto"/>
              </w:divBdr>
            </w:div>
            <w:div w:id="467552981">
              <w:marLeft w:val="0"/>
              <w:marRight w:val="0"/>
              <w:marTop w:val="0"/>
              <w:marBottom w:val="0"/>
              <w:divBdr>
                <w:top w:val="none" w:sz="0" w:space="0" w:color="auto"/>
                <w:left w:val="none" w:sz="0" w:space="0" w:color="auto"/>
                <w:bottom w:val="none" w:sz="0" w:space="0" w:color="auto"/>
                <w:right w:val="none" w:sz="0" w:space="0" w:color="auto"/>
              </w:divBdr>
            </w:div>
            <w:div w:id="1761179005">
              <w:marLeft w:val="0"/>
              <w:marRight w:val="0"/>
              <w:marTop w:val="0"/>
              <w:marBottom w:val="0"/>
              <w:divBdr>
                <w:top w:val="none" w:sz="0" w:space="0" w:color="auto"/>
                <w:left w:val="none" w:sz="0" w:space="0" w:color="auto"/>
                <w:bottom w:val="none" w:sz="0" w:space="0" w:color="auto"/>
                <w:right w:val="none" w:sz="0" w:space="0" w:color="auto"/>
              </w:divBdr>
            </w:div>
            <w:div w:id="1535535764">
              <w:marLeft w:val="0"/>
              <w:marRight w:val="0"/>
              <w:marTop w:val="0"/>
              <w:marBottom w:val="0"/>
              <w:divBdr>
                <w:top w:val="none" w:sz="0" w:space="0" w:color="auto"/>
                <w:left w:val="none" w:sz="0" w:space="0" w:color="auto"/>
                <w:bottom w:val="none" w:sz="0" w:space="0" w:color="auto"/>
                <w:right w:val="none" w:sz="0" w:space="0" w:color="auto"/>
              </w:divBdr>
            </w:div>
            <w:div w:id="1725326145">
              <w:marLeft w:val="0"/>
              <w:marRight w:val="0"/>
              <w:marTop w:val="0"/>
              <w:marBottom w:val="0"/>
              <w:divBdr>
                <w:top w:val="none" w:sz="0" w:space="0" w:color="auto"/>
                <w:left w:val="none" w:sz="0" w:space="0" w:color="auto"/>
                <w:bottom w:val="none" w:sz="0" w:space="0" w:color="auto"/>
                <w:right w:val="none" w:sz="0" w:space="0" w:color="auto"/>
              </w:divBdr>
            </w:div>
            <w:div w:id="1241982625">
              <w:marLeft w:val="0"/>
              <w:marRight w:val="0"/>
              <w:marTop w:val="0"/>
              <w:marBottom w:val="0"/>
              <w:divBdr>
                <w:top w:val="none" w:sz="0" w:space="0" w:color="auto"/>
                <w:left w:val="none" w:sz="0" w:space="0" w:color="auto"/>
                <w:bottom w:val="none" w:sz="0" w:space="0" w:color="auto"/>
                <w:right w:val="none" w:sz="0" w:space="0" w:color="auto"/>
              </w:divBdr>
            </w:div>
            <w:div w:id="348483463">
              <w:marLeft w:val="0"/>
              <w:marRight w:val="0"/>
              <w:marTop w:val="0"/>
              <w:marBottom w:val="0"/>
              <w:divBdr>
                <w:top w:val="none" w:sz="0" w:space="0" w:color="auto"/>
                <w:left w:val="none" w:sz="0" w:space="0" w:color="auto"/>
                <w:bottom w:val="none" w:sz="0" w:space="0" w:color="auto"/>
                <w:right w:val="none" w:sz="0" w:space="0" w:color="auto"/>
              </w:divBdr>
            </w:div>
            <w:div w:id="696126862">
              <w:marLeft w:val="0"/>
              <w:marRight w:val="0"/>
              <w:marTop w:val="0"/>
              <w:marBottom w:val="0"/>
              <w:divBdr>
                <w:top w:val="none" w:sz="0" w:space="0" w:color="auto"/>
                <w:left w:val="none" w:sz="0" w:space="0" w:color="auto"/>
                <w:bottom w:val="none" w:sz="0" w:space="0" w:color="auto"/>
                <w:right w:val="none" w:sz="0" w:space="0" w:color="auto"/>
              </w:divBdr>
            </w:div>
            <w:div w:id="121853749">
              <w:marLeft w:val="0"/>
              <w:marRight w:val="0"/>
              <w:marTop w:val="0"/>
              <w:marBottom w:val="0"/>
              <w:divBdr>
                <w:top w:val="none" w:sz="0" w:space="0" w:color="auto"/>
                <w:left w:val="none" w:sz="0" w:space="0" w:color="auto"/>
                <w:bottom w:val="none" w:sz="0" w:space="0" w:color="auto"/>
                <w:right w:val="none" w:sz="0" w:space="0" w:color="auto"/>
              </w:divBdr>
            </w:div>
            <w:div w:id="841548602">
              <w:marLeft w:val="0"/>
              <w:marRight w:val="0"/>
              <w:marTop w:val="0"/>
              <w:marBottom w:val="0"/>
              <w:divBdr>
                <w:top w:val="none" w:sz="0" w:space="0" w:color="auto"/>
                <w:left w:val="none" w:sz="0" w:space="0" w:color="auto"/>
                <w:bottom w:val="none" w:sz="0" w:space="0" w:color="auto"/>
                <w:right w:val="none" w:sz="0" w:space="0" w:color="auto"/>
              </w:divBdr>
            </w:div>
            <w:div w:id="1218585429">
              <w:marLeft w:val="0"/>
              <w:marRight w:val="0"/>
              <w:marTop w:val="0"/>
              <w:marBottom w:val="0"/>
              <w:divBdr>
                <w:top w:val="none" w:sz="0" w:space="0" w:color="auto"/>
                <w:left w:val="none" w:sz="0" w:space="0" w:color="auto"/>
                <w:bottom w:val="none" w:sz="0" w:space="0" w:color="auto"/>
                <w:right w:val="none" w:sz="0" w:space="0" w:color="auto"/>
              </w:divBdr>
            </w:div>
            <w:div w:id="2119908468">
              <w:marLeft w:val="0"/>
              <w:marRight w:val="0"/>
              <w:marTop w:val="0"/>
              <w:marBottom w:val="0"/>
              <w:divBdr>
                <w:top w:val="none" w:sz="0" w:space="0" w:color="auto"/>
                <w:left w:val="none" w:sz="0" w:space="0" w:color="auto"/>
                <w:bottom w:val="none" w:sz="0" w:space="0" w:color="auto"/>
                <w:right w:val="none" w:sz="0" w:space="0" w:color="auto"/>
              </w:divBdr>
            </w:div>
            <w:div w:id="1212498272">
              <w:marLeft w:val="0"/>
              <w:marRight w:val="0"/>
              <w:marTop w:val="0"/>
              <w:marBottom w:val="0"/>
              <w:divBdr>
                <w:top w:val="none" w:sz="0" w:space="0" w:color="auto"/>
                <w:left w:val="none" w:sz="0" w:space="0" w:color="auto"/>
                <w:bottom w:val="none" w:sz="0" w:space="0" w:color="auto"/>
                <w:right w:val="none" w:sz="0" w:space="0" w:color="auto"/>
              </w:divBdr>
            </w:div>
            <w:div w:id="568538697">
              <w:marLeft w:val="0"/>
              <w:marRight w:val="0"/>
              <w:marTop w:val="0"/>
              <w:marBottom w:val="0"/>
              <w:divBdr>
                <w:top w:val="none" w:sz="0" w:space="0" w:color="auto"/>
                <w:left w:val="none" w:sz="0" w:space="0" w:color="auto"/>
                <w:bottom w:val="none" w:sz="0" w:space="0" w:color="auto"/>
                <w:right w:val="none" w:sz="0" w:space="0" w:color="auto"/>
              </w:divBdr>
            </w:div>
            <w:div w:id="362708074">
              <w:marLeft w:val="0"/>
              <w:marRight w:val="0"/>
              <w:marTop w:val="0"/>
              <w:marBottom w:val="0"/>
              <w:divBdr>
                <w:top w:val="none" w:sz="0" w:space="0" w:color="auto"/>
                <w:left w:val="none" w:sz="0" w:space="0" w:color="auto"/>
                <w:bottom w:val="none" w:sz="0" w:space="0" w:color="auto"/>
                <w:right w:val="none" w:sz="0" w:space="0" w:color="auto"/>
              </w:divBdr>
            </w:div>
            <w:div w:id="574556473">
              <w:marLeft w:val="0"/>
              <w:marRight w:val="0"/>
              <w:marTop w:val="0"/>
              <w:marBottom w:val="0"/>
              <w:divBdr>
                <w:top w:val="none" w:sz="0" w:space="0" w:color="auto"/>
                <w:left w:val="none" w:sz="0" w:space="0" w:color="auto"/>
                <w:bottom w:val="none" w:sz="0" w:space="0" w:color="auto"/>
                <w:right w:val="none" w:sz="0" w:space="0" w:color="auto"/>
              </w:divBdr>
            </w:div>
            <w:div w:id="1781532412">
              <w:marLeft w:val="0"/>
              <w:marRight w:val="0"/>
              <w:marTop w:val="0"/>
              <w:marBottom w:val="0"/>
              <w:divBdr>
                <w:top w:val="none" w:sz="0" w:space="0" w:color="auto"/>
                <w:left w:val="none" w:sz="0" w:space="0" w:color="auto"/>
                <w:bottom w:val="none" w:sz="0" w:space="0" w:color="auto"/>
                <w:right w:val="none" w:sz="0" w:space="0" w:color="auto"/>
              </w:divBdr>
            </w:div>
            <w:div w:id="1999334985">
              <w:marLeft w:val="0"/>
              <w:marRight w:val="0"/>
              <w:marTop w:val="0"/>
              <w:marBottom w:val="0"/>
              <w:divBdr>
                <w:top w:val="none" w:sz="0" w:space="0" w:color="auto"/>
                <w:left w:val="none" w:sz="0" w:space="0" w:color="auto"/>
                <w:bottom w:val="none" w:sz="0" w:space="0" w:color="auto"/>
                <w:right w:val="none" w:sz="0" w:space="0" w:color="auto"/>
              </w:divBdr>
            </w:div>
            <w:div w:id="548153318">
              <w:marLeft w:val="0"/>
              <w:marRight w:val="0"/>
              <w:marTop w:val="0"/>
              <w:marBottom w:val="0"/>
              <w:divBdr>
                <w:top w:val="none" w:sz="0" w:space="0" w:color="auto"/>
                <w:left w:val="none" w:sz="0" w:space="0" w:color="auto"/>
                <w:bottom w:val="none" w:sz="0" w:space="0" w:color="auto"/>
                <w:right w:val="none" w:sz="0" w:space="0" w:color="auto"/>
              </w:divBdr>
            </w:div>
            <w:div w:id="1202404419">
              <w:marLeft w:val="0"/>
              <w:marRight w:val="0"/>
              <w:marTop w:val="0"/>
              <w:marBottom w:val="0"/>
              <w:divBdr>
                <w:top w:val="none" w:sz="0" w:space="0" w:color="auto"/>
                <w:left w:val="none" w:sz="0" w:space="0" w:color="auto"/>
                <w:bottom w:val="none" w:sz="0" w:space="0" w:color="auto"/>
                <w:right w:val="none" w:sz="0" w:space="0" w:color="auto"/>
              </w:divBdr>
            </w:div>
            <w:div w:id="1831822175">
              <w:marLeft w:val="0"/>
              <w:marRight w:val="0"/>
              <w:marTop w:val="0"/>
              <w:marBottom w:val="0"/>
              <w:divBdr>
                <w:top w:val="none" w:sz="0" w:space="0" w:color="auto"/>
                <w:left w:val="none" w:sz="0" w:space="0" w:color="auto"/>
                <w:bottom w:val="none" w:sz="0" w:space="0" w:color="auto"/>
                <w:right w:val="none" w:sz="0" w:space="0" w:color="auto"/>
              </w:divBdr>
            </w:div>
            <w:div w:id="1642417905">
              <w:marLeft w:val="0"/>
              <w:marRight w:val="0"/>
              <w:marTop w:val="0"/>
              <w:marBottom w:val="0"/>
              <w:divBdr>
                <w:top w:val="none" w:sz="0" w:space="0" w:color="auto"/>
                <w:left w:val="none" w:sz="0" w:space="0" w:color="auto"/>
                <w:bottom w:val="none" w:sz="0" w:space="0" w:color="auto"/>
                <w:right w:val="none" w:sz="0" w:space="0" w:color="auto"/>
              </w:divBdr>
            </w:div>
            <w:div w:id="383912872">
              <w:marLeft w:val="0"/>
              <w:marRight w:val="0"/>
              <w:marTop w:val="0"/>
              <w:marBottom w:val="0"/>
              <w:divBdr>
                <w:top w:val="none" w:sz="0" w:space="0" w:color="auto"/>
                <w:left w:val="none" w:sz="0" w:space="0" w:color="auto"/>
                <w:bottom w:val="none" w:sz="0" w:space="0" w:color="auto"/>
                <w:right w:val="none" w:sz="0" w:space="0" w:color="auto"/>
              </w:divBdr>
            </w:div>
            <w:div w:id="922420418">
              <w:marLeft w:val="0"/>
              <w:marRight w:val="0"/>
              <w:marTop w:val="0"/>
              <w:marBottom w:val="0"/>
              <w:divBdr>
                <w:top w:val="none" w:sz="0" w:space="0" w:color="auto"/>
                <w:left w:val="none" w:sz="0" w:space="0" w:color="auto"/>
                <w:bottom w:val="none" w:sz="0" w:space="0" w:color="auto"/>
                <w:right w:val="none" w:sz="0" w:space="0" w:color="auto"/>
              </w:divBdr>
            </w:div>
            <w:div w:id="448205825">
              <w:marLeft w:val="0"/>
              <w:marRight w:val="0"/>
              <w:marTop w:val="0"/>
              <w:marBottom w:val="0"/>
              <w:divBdr>
                <w:top w:val="none" w:sz="0" w:space="0" w:color="auto"/>
                <w:left w:val="none" w:sz="0" w:space="0" w:color="auto"/>
                <w:bottom w:val="none" w:sz="0" w:space="0" w:color="auto"/>
                <w:right w:val="none" w:sz="0" w:space="0" w:color="auto"/>
              </w:divBdr>
            </w:div>
            <w:div w:id="127940088">
              <w:marLeft w:val="0"/>
              <w:marRight w:val="0"/>
              <w:marTop w:val="0"/>
              <w:marBottom w:val="0"/>
              <w:divBdr>
                <w:top w:val="none" w:sz="0" w:space="0" w:color="auto"/>
                <w:left w:val="none" w:sz="0" w:space="0" w:color="auto"/>
                <w:bottom w:val="none" w:sz="0" w:space="0" w:color="auto"/>
                <w:right w:val="none" w:sz="0" w:space="0" w:color="auto"/>
              </w:divBdr>
            </w:div>
            <w:div w:id="83185214">
              <w:marLeft w:val="0"/>
              <w:marRight w:val="0"/>
              <w:marTop w:val="0"/>
              <w:marBottom w:val="0"/>
              <w:divBdr>
                <w:top w:val="none" w:sz="0" w:space="0" w:color="auto"/>
                <w:left w:val="none" w:sz="0" w:space="0" w:color="auto"/>
                <w:bottom w:val="none" w:sz="0" w:space="0" w:color="auto"/>
                <w:right w:val="none" w:sz="0" w:space="0" w:color="auto"/>
              </w:divBdr>
            </w:div>
            <w:div w:id="965426487">
              <w:marLeft w:val="0"/>
              <w:marRight w:val="0"/>
              <w:marTop w:val="0"/>
              <w:marBottom w:val="0"/>
              <w:divBdr>
                <w:top w:val="none" w:sz="0" w:space="0" w:color="auto"/>
                <w:left w:val="none" w:sz="0" w:space="0" w:color="auto"/>
                <w:bottom w:val="none" w:sz="0" w:space="0" w:color="auto"/>
                <w:right w:val="none" w:sz="0" w:space="0" w:color="auto"/>
              </w:divBdr>
            </w:div>
            <w:div w:id="2033845052">
              <w:marLeft w:val="0"/>
              <w:marRight w:val="0"/>
              <w:marTop w:val="0"/>
              <w:marBottom w:val="0"/>
              <w:divBdr>
                <w:top w:val="none" w:sz="0" w:space="0" w:color="auto"/>
                <w:left w:val="none" w:sz="0" w:space="0" w:color="auto"/>
                <w:bottom w:val="none" w:sz="0" w:space="0" w:color="auto"/>
                <w:right w:val="none" w:sz="0" w:space="0" w:color="auto"/>
              </w:divBdr>
            </w:div>
            <w:div w:id="501436872">
              <w:marLeft w:val="0"/>
              <w:marRight w:val="0"/>
              <w:marTop w:val="0"/>
              <w:marBottom w:val="0"/>
              <w:divBdr>
                <w:top w:val="none" w:sz="0" w:space="0" w:color="auto"/>
                <w:left w:val="none" w:sz="0" w:space="0" w:color="auto"/>
                <w:bottom w:val="none" w:sz="0" w:space="0" w:color="auto"/>
                <w:right w:val="none" w:sz="0" w:space="0" w:color="auto"/>
              </w:divBdr>
            </w:div>
            <w:div w:id="2083865369">
              <w:marLeft w:val="0"/>
              <w:marRight w:val="0"/>
              <w:marTop w:val="0"/>
              <w:marBottom w:val="0"/>
              <w:divBdr>
                <w:top w:val="none" w:sz="0" w:space="0" w:color="auto"/>
                <w:left w:val="none" w:sz="0" w:space="0" w:color="auto"/>
                <w:bottom w:val="none" w:sz="0" w:space="0" w:color="auto"/>
                <w:right w:val="none" w:sz="0" w:space="0" w:color="auto"/>
              </w:divBdr>
            </w:div>
            <w:div w:id="1087579390">
              <w:marLeft w:val="0"/>
              <w:marRight w:val="0"/>
              <w:marTop w:val="0"/>
              <w:marBottom w:val="0"/>
              <w:divBdr>
                <w:top w:val="none" w:sz="0" w:space="0" w:color="auto"/>
                <w:left w:val="none" w:sz="0" w:space="0" w:color="auto"/>
                <w:bottom w:val="none" w:sz="0" w:space="0" w:color="auto"/>
                <w:right w:val="none" w:sz="0" w:space="0" w:color="auto"/>
              </w:divBdr>
            </w:div>
            <w:div w:id="638998350">
              <w:marLeft w:val="0"/>
              <w:marRight w:val="0"/>
              <w:marTop w:val="0"/>
              <w:marBottom w:val="0"/>
              <w:divBdr>
                <w:top w:val="none" w:sz="0" w:space="0" w:color="auto"/>
                <w:left w:val="none" w:sz="0" w:space="0" w:color="auto"/>
                <w:bottom w:val="none" w:sz="0" w:space="0" w:color="auto"/>
                <w:right w:val="none" w:sz="0" w:space="0" w:color="auto"/>
              </w:divBdr>
            </w:div>
            <w:div w:id="2024744094">
              <w:marLeft w:val="0"/>
              <w:marRight w:val="0"/>
              <w:marTop w:val="0"/>
              <w:marBottom w:val="0"/>
              <w:divBdr>
                <w:top w:val="none" w:sz="0" w:space="0" w:color="auto"/>
                <w:left w:val="none" w:sz="0" w:space="0" w:color="auto"/>
                <w:bottom w:val="none" w:sz="0" w:space="0" w:color="auto"/>
                <w:right w:val="none" w:sz="0" w:space="0" w:color="auto"/>
              </w:divBdr>
            </w:div>
            <w:div w:id="1571383308">
              <w:marLeft w:val="0"/>
              <w:marRight w:val="0"/>
              <w:marTop w:val="0"/>
              <w:marBottom w:val="0"/>
              <w:divBdr>
                <w:top w:val="none" w:sz="0" w:space="0" w:color="auto"/>
                <w:left w:val="none" w:sz="0" w:space="0" w:color="auto"/>
                <w:bottom w:val="none" w:sz="0" w:space="0" w:color="auto"/>
                <w:right w:val="none" w:sz="0" w:space="0" w:color="auto"/>
              </w:divBdr>
            </w:div>
            <w:div w:id="1031996203">
              <w:marLeft w:val="0"/>
              <w:marRight w:val="0"/>
              <w:marTop w:val="0"/>
              <w:marBottom w:val="0"/>
              <w:divBdr>
                <w:top w:val="none" w:sz="0" w:space="0" w:color="auto"/>
                <w:left w:val="none" w:sz="0" w:space="0" w:color="auto"/>
                <w:bottom w:val="none" w:sz="0" w:space="0" w:color="auto"/>
                <w:right w:val="none" w:sz="0" w:space="0" w:color="auto"/>
              </w:divBdr>
            </w:div>
            <w:div w:id="78064679">
              <w:marLeft w:val="0"/>
              <w:marRight w:val="0"/>
              <w:marTop w:val="0"/>
              <w:marBottom w:val="0"/>
              <w:divBdr>
                <w:top w:val="none" w:sz="0" w:space="0" w:color="auto"/>
                <w:left w:val="none" w:sz="0" w:space="0" w:color="auto"/>
                <w:bottom w:val="none" w:sz="0" w:space="0" w:color="auto"/>
                <w:right w:val="none" w:sz="0" w:space="0" w:color="auto"/>
              </w:divBdr>
            </w:div>
            <w:div w:id="2015448260">
              <w:marLeft w:val="0"/>
              <w:marRight w:val="0"/>
              <w:marTop w:val="0"/>
              <w:marBottom w:val="0"/>
              <w:divBdr>
                <w:top w:val="none" w:sz="0" w:space="0" w:color="auto"/>
                <w:left w:val="none" w:sz="0" w:space="0" w:color="auto"/>
                <w:bottom w:val="none" w:sz="0" w:space="0" w:color="auto"/>
                <w:right w:val="none" w:sz="0" w:space="0" w:color="auto"/>
              </w:divBdr>
            </w:div>
            <w:div w:id="595941034">
              <w:marLeft w:val="0"/>
              <w:marRight w:val="0"/>
              <w:marTop w:val="0"/>
              <w:marBottom w:val="0"/>
              <w:divBdr>
                <w:top w:val="none" w:sz="0" w:space="0" w:color="auto"/>
                <w:left w:val="none" w:sz="0" w:space="0" w:color="auto"/>
                <w:bottom w:val="none" w:sz="0" w:space="0" w:color="auto"/>
                <w:right w:val="none" w:sz="0" w:space="0" w:color="auto"/>
              </w:divBdr>
            </w:div>
            <w:div w:id="1633554142">
              <w:marLeft w:val="0"/>
              <w:marRight w:val="0"/>
              <w:marTop w:val="0"/>
              <w:marBottom w:val="0"/>
              <w:divBdr>
                <w:top w:val="none" w:sz="0" w:space="0" w:color="auto"/>
                <w:left w:val="none" w:sz="0" w:space="0" w:color="auto"/>
                <w:bottom w:val="none" w:sz="0" w:space="0" w:color="auto"/>
                <w:right w:val="none" w:sz="0" w:space="0" w:color="auto"/>
              </w:divBdr>
            </w:div>
            <w:div w:id="1561861433">
              <w:marLeft w:val="0"/>
              <w:marRight w:val="0"/>
              <w:marTop w:val="0"/>
              <w:marBottom w:val="0"/>
              <w:divBdr>
                <w:top w:val="none" w:sz="0" w:space="0" w:color="auto"/>
                <w:left w:val="none" w:sz="0" w:space="0" w:color="auto"/>
                <w:bottom w:val="none" w:sz="0" w:space="0" w:color="auto"/>
                <w:right w:val="none" w:sz="0" w:space="0" w:color="auto"/>
              </w:divBdr>
            </w:div>
            <w:div w:id="750540519">
              <w:marLeft w:val="0"/>
              <w:marRight w:val="0"/>
              <w:marTop w:val="0"/>
              <w:marBottom w:val="0"/>
              <w:divBdr>
                <w:top w:val="none" w:sz="0" w:space="0" w:color="auto"/>
                <w:left w:val="none" w:sz="0" w:space="0" w:color="auto"/>
                <w:bottom w:val="none" w:sz="0" w:space="0" w:color="auto"/>
                <w:right w:val="none" w:sz="0" w:space="0" w:color="auto"/>
              </w:divBdr>
            </w:div>
            <w:div w:id="40642157">
              <w:marLeft w:val="0"/>
              <w:marRight w:val="0"/>
              <w:marTop w:val="0"/>
              <w:marBottom w:val="0"/>
              <w:divBdr>
                <w:top w:val="none" w:sz="0" w:space="0" w:color="auto"/>
                <w:left w:val="none" w:sz="0" w:space="0" w:color="auto"/>
                <w:bottom w:val="none" w:sz="0" w:space="0" w:color="auto"/>
                <w:right w:val="none" w:sz="0" w:space="0" w:color="auto"/>
              </w:divBdr>
            </w:div>
            <w:div w:id="863517700">
              <w:marLeft w:val="0"/>
              <w:marRight w:val="0"/>
              <w:marTop w:val="0"/>
              <w:marBottom w:val="0"/>
              <w:divBdr>
                <w:top w:val="none" w:sz="0" w:space="0" w:color="auto"/>
                <w:left w:val="none" w:sz="0" w:space="0" w:color="auto"/>
                <w:bottom w:val="none" w:sz="0" w:space="0" w:color="auto"/>
                <w:right w:val="none" w:sz="0" w:space="0" w:color="auto"/>
              </w:divBdr>
            </w:div>
            <w:div w:id="95256548">
              <w:marLeft w:val="0"/>
              <w:marRight w:val="0"/>
              <w:marTop w:val="0"/>
              <w:marBottom w:val="0"/>
              <w:divBdr>
                <w:top w:val="none" w:sz="0" w:space="0" w:color="auto"/>
                <w:left w:val="none" w:sz="0" w:space="0" w:color="auto"/>
                <w:bottom w:val="none" w:sz="0" w:space="0" w:color="auto"/>
                <w:right w:val="none" w:sz="0" w:space="0" w:color="auto"/>
              </w:divBdr>
            </w:div>
            <w:div w:id="2091391636">
              <w:marLeft w:val="0"/>
              <w:marRight w:val="0"/>
              <w:marTop w:val="0"/>
              <w:marBottom w:val="0"/>
              <w:divBdr>
                <w:top w:val="none" w:sz="0" w:space="0" w:color="auto"/>
                <w:left w:val="none" w:sz="0" w:space="0" w:color="auto"/>
                <w:bottom w:val="none" w:sz="0" w:space="0" w:color="auto"/>
                <w:right w:val="none" w:sz="0" w:space="0" w:color="auto"/>
              </w:divBdr>
            </w:div>
            <w:div w:id="570047652">
              <w:marLeft w:val="0"/>
              <w:marRight w:val="0"/>
              <w:marTop w:val="0"/>
              <w:marBottom w:val="0"/>
              <w:divBdr>
                <w:top w:val="none" w:sz="0" w:space="0" w:color="auto"/>
                <w:left w:val="none" w:sz="0" w:space="0" w:color="auto"/>
                <w:bottom w:val="none" w:sz="0" w:space="0" w:color="auto"/>
                <w:right w:val="none" w:sz="0" w:space="0" w:color="auto"/>
              </w:divBdr>
            </w:div>
            <w:div w:id="11495161">
              <w:marLeft w:val="0"/>
              <w:marRight w:val="0"/>
              <w:marTop w:val="0"/>
              <w:marBottom w:val="0"/>
              <w:divBdr>
                <w:top w:val="none" w:sz="0" w:space="0" w:color="auto"/>
                <w:left w:val="none" w:sz="0" w:space="0" w:color="auto"/>
                <w:bottom w:val="none" w:sz="0" w:space="0" w:color="auto"/>
                <w:right w:val="none" w:sz="0" w:space="0" w:color="auto"/>
              </w:divBdr>
            </w:div>
            <w:div w:id="48502165">
              <w:marLeft w:val="0"/>
              <w:marRight w:val="0"/>
              <w:marTop w:val="0"/>
              <w:marBottom w:val="0"/>
              <w:divBdr>
                <w:top w:val="none" w:sz="0" w:space="0" w:color="auto"/>
                <w:left w:val="none" w:sz="0" w:space="0" w:color="auto"/>
                <w:bottom w:val="none" w:sz="0" w:space="0" w:color="auto"/>
                <w:right w:val="none" w:sz="0" w:space="0" w:color="auto"/>
              </w:divBdr>
            </w:div>
            <w:div w:id="1994480587">
              <w:marLeft w:val="0"/>
              <w:marRight w:val="0"/>
              <w:marTop w:val="0"/>
              <w:marBottom w:val="0"/>
              <w:divBdr>
                <w:top w:val="none" w:sz="0" w:space="0" w:color="auto"/>
                <w:left w:val="none" w:sz="0" w:space="0" w:color="auto"/>
                <w:bottom w:val="none" w:sz="0" w:space="0" w:color="auto"/>
                <w:right w:val="none" w:sz="0" w:space="0" w:color="auto"/>
              </w:divBdr>
            </w:div>
            <w:div w:id="793334448">
              <w:marLeft w:val="0"/>
              <w:marRight w:val="0"/>
              <w:marTop w:val="0"/>
              <w:marBottom w:val="0"/>
              <w:divBdr>
                <w:top w:val="none" w:sz="0" w:space="0" w:color="auto"/>
                <w:left w:val="none" w:sz="0" w:space="0" w:color="auto"/>
                <w:bottom w:val="none" w:sz="0" w:space="0" w:color="auto"/>
                <w:right w:val="none" w:sz="0" w:space="0" w:color="auto"/>
              </w:divBdr>
            </w:div>
            <w:div w:id="931281930">
              <w:marLeft w:val="0"/>
              <w:marRight w:val="0"/>
              <w:marTop w:val="0"/>
              <w:marBottom w:val="0"/>
              <w:divBdr>
                <w:top w:val="none" w:sz="0" w:space="0" w:color="auto"/>
                <w:left w:val="none" w:sz="0" w:space="0" w:color="auto"/>
                <w:bottom w:val="none" w:sz="0" w:space="0" w:color="auto"/>
                <w:right w:val="none" w:sz="0" w:space="0" w:color="auto"/>
              </w:divBdr>
            </w:div>
            <w:div w:id="1947153610">
              <w:marLeft w:val="0"/>
              <w:marRight w:val="0"/>
              <w:marTop w:val="0"/>
              <w:marBottom w:val="0"/>
              <w:divBdr>
                <w:top w:val="none" w:sz="0" w:space="0" w:color="auto"/>
                <w:left w:val="none" w:sz="0" w:space="0" w:color="auto"/>
                <w:bottom w:val="none" w:sz="0" w:space="0" w:color="auto"/>
                <w:right w:val="none" w:sz="0" w:space="0" w:color="auto"/>
              </w:divBdr>
            </w:div>
            <w:div w:id="1381318129">
              <w:marLeft w:val="0"/>
              <w:marRight w:val="0"/>
              <w:marTop w:val="0"/>
              <w:marBottom w:val="0"/>
              <w:divBdr>
                <w:top w:val="none" w:sz="0" w:space="0" w:color="auto"/>
                <w:left w:val="none" w:sz="0" w:space="0" w:color="auto"/>
                <w:bottom w:val="none" w:sz="0" w:space="0" w:color="auto"/>
                <w:right w:val="none" w:sz="0" w:space="0" w:color="auto"/>
              </w:divBdr>
            </w:div>
            <w:div w:id="1483811303">
              <w:marLeft w:val="0"/>
              <w:marRight w:val="0"/>
              <w:marTop w:val="0"/>
              <w:marBottom w:val="0"/>
              <w:divBdr>
                <w:top w:val="none" w:sz="0" w:space="0" w:color="auto"/>
                <w:left w:val="none" w:sz="0" w:space="0" w:color="auto"/>
                <w:bottom w:val="none" w:sz="0" w:space="0" w:color="auto"/>
                <w:right w:val="none" w:sz="0" w:space="0" w:color="auto"/>
              </w:divBdr>
            </w:div>
            <w:div w:id="201132281">
              <w:marLeft w:val="0"/>
              <w:marRight w:val="0"/>
              <w:marTop w:val="0"/>
              <w:marBottom w:val="0"/>
              <w:divBdr>
                <w:top w:val="none" w:sz="0" w:space="0" w:color="auto"/>
                <w:left w:val="none" w:sz="0" w:space="0" w:color="auto"/>
                <w:bottom w:val="none" w:sz="0" w:space="0" w:color="auto"/>
                <w:right w:val="none" w:sz="0" w:space="0" w:color="auto"/>
              </w:divBdr>
            </w:div>
            <w:div w:id="850030406">
              <w:marLeft w:val="0"/>
              <w:marRight w:val="0"/>
              <w:marTop w:val="0"/>
              <w:marBottom w:val="0"/>
              <w:divBdr>
                <w:top w:val="none" w:sz="0" w:space="0" w:color="auto"/>
                <w:left w:val="none" w:sz="0" w:space="0" w:color="auto"/>
                <w:bottom w:val="none" w:sz="0" w:space="0" w:color="auto"/>
                <w:right w:val="none" w:sz="0" w:space="0" w:color="auto"/>
              </w:divBdr>
            </w:div>
            <w:div w:id="2029090140">
              <w:marLeft w:val="0"/>
              <w:marRight w:val="0"/>
              <w:marTop w:val="0"/>
              <w:marBottom w:val="0"/>
              <w:divBdr>
                <w:top w:val="none" w:sz="0" w:space="0" w:color="auto"/>
                <w:left w:val="none" w:sz="0" w:space="0" w:color="auto"/>
                <w:bottom w:val="none" w:sz="0" w:space="0" w:color="auto"/>
                <w:right w:val="none" w:sz="0" w:space="0" w:color="auto"/>
              </w:divBdr>
            </w:div>
            <w:div w:id="2139645300">
              <w:marLeft w:val="0"/>
              <w:marRight w:val="0"/>
              <w:marTop w:val="0"/>
              <w:marBottom w:val="0"/>
              <w:divBdr>
                <w:top w:val="none" w:sz="0" w:space="0" w:color="auto"/>
                <w:left w:val="none" w:sz="0" w:space="0" w:color="auto"/>
                <w:bottom w:val="none" w:sz="0" w:space="0" w:color="auto"/>
                <w:right w:val="none" w:sz="0" w:space="0" w:color="auto"/>
              </w:divBdr>
            </w:div>
            <w:div w:id="677926429">
              <w:marLeft w:val="0"/>
              <w:marRight w:val="0"/>
              <w:marTop w:val="0"/>
              <w:marBottom w:val="0"/>
              <w:divBdr>
                <w:top w:val="none" w:sz="0" w:space="0" w:color="auto"/>
                <w:left w:val="none" w:sz="0" w:space="0" w:color="auto"/>
                <w:bottom w:val="none" w:sz="0" w:space="0" w:color="auto"/>
                <w:right w:val="none" w:sz="0" w:space="0" w:color="auto"/>
              </w:divBdr>
            </w:div>
            <w:div w:id="828400962">
              <w:marLeft w:val="0"/>
              <w:marRight w:val="0"/>
              <w:marTop w:val="0"/>
              <w:marBottom w:val="0"/>
              <w:divBdr>
                <w:top w:val="none" w:sz="0" w:space="0" w:color="auto"/>
                <w:left w:val="none" w:sz="0" w:space="0" w:color="auto"/>
                <w:bottom w:val="none" w:sz="0" w:space="0" w:color="auto"/>
                <w:right w:val="none" w:sz="0" w:space="0" w:color="auto"/>
              </w:divBdr>
            </w:div>
            <w:div w:id="729767740">
              <w:marLeft w:val="0"/>
              <w:marRight w:val="0"/>
              <w:marTop w:val="0"/>
              <w:marBottom w:val="0"/>
              <w:divBdr>
                <w:top w:val="none" w:sz="0" w:space="0" w:color="auto"/>
                <w:left w:val="none" w:sz="0" w:space="0" w:color="auto"/>
                <w:bottom w:val="none" w:sz="0" w:space="0" w:color="auto"/>
                <w:right w:val="none" w:sz="0" w:space="0" w:color="auto"/>
              </w:divBdr>
            </w:div>
            <w:div w:id="763574726">
              <w:marLeft w:val="0"/>
              <w:marRight w:val="0"/>
              <w:marTop w:val="0"/>
              <w:marBottom w:val="0"/>
              <w:divBdr>
                <w:top w:val="none" w:sz="0" w:space="0" w:color="auto"/>
                <w:left w:val="none" w:sz="0" w:space="0" w:color="auto"/>
                <w:bottom w:val="none" w:sz="0" w:space="0" w:color="auto"/>
                <w:right w:val="none" w:sz="0" w:space="0" w:color="auto"/>
              </w:divBdr>
            </w:div>
            <w:div w:id="1942496151">
              <w:marLeft w:val="0"/>
              <w:marRight w:val="0"/>
              <w:marTop w:val="0"/>
              <w:marBottom w:val="0"/>
              <w:divBdr>
                <w:top w:val="none" w:sz="0" w:space="0" w:color="auto"/>
                <w:left w:val="none" w:sz="0" w:space="0" w:color="auto"/>
                <w:bottom w:val="none" w:sz="0" w:space="0" w:color="auto"/>
                <w:right w:val="none" w:sz="0" w:space="0" w:color="auto"/>
              </w:divBdr>
            </w:div>
            <w:div w:id="1733388378">
              <w:marLeft w:val="0"/>
              <w:marRight w:val="0"/>
              <w:marTop w:val="0"/>
              <w:marBottom w:val="0"/>
              <w:divBdr>
                <w:top w:val="none" w:sz="0" w:space="0" w:color="auto"/>
                <w:left w:val="none" w:sz="0" w:space="0" w:color="auto"/>
                <w:bottom w:val="none" w:sz="0" w:space="0" w:color="auto"/>
                <w:right w:val="none" w:sz="0" w:space="0" w:color="auto"/>
              </w:divBdr>
            </w:div>
            <w:div w:id="2128961761">
              <w:marLeft w:val="0"/>
              <w:marRight w:val="0"/>
              <w:marTop w:val="0"/>
              <w:marBottom w:val="0"/>
              <w:divBdr>
                <w:top w:val="none" w:sz="0" w:space="0" w:color="auto"/>
                <w:left w:val="none" w:sz="0" w:space="0" w:color="auto"/>
                <w:bottom w:val="none" w:sz="0" w:space="0" w:color="auto"/>
                <w:right w:val="none" w:sz="0" w:space="0" w:color="auto"/>
              </w:divBdr>
            </w:div>
            <w:div w:id="966622801">
              <w:marLeft w:val="0"/>
              <w:marRight w:val="0"/>
              <w:marTop w:val="0"/>
              <w:marBottom w:val="0"/>
              <w:divBdr>
                <w:top w:val="none" w:sz="0" w:space="0" w:color="auto"/>
                <w:left w:val="none" w:sz="0" w:space="0" w:color="auto"/>
                <w:bottom w:val="none" w:sz="0" w:space="0" w:color="auto"/>
                <w:right w:val="none" w:sz="0" w:space="0" w:color="auto"/>
              </w:divBdr>
            </w:div>
            <w:div w:id="97024051">
              <w:marLeft w:val="0"/>
              <w:marRight w:val="0"/>
              <w:marTop w:val="0"/>
              <w:marBottom w:val="0"/>
              <w:divBdr>
                <w:top w:val="none" w:sz="0" w:space="0" w:color="auto"/>
                <w:left w:val="none" w:sz="0" w:space="0" w:color="auto"/>
                <w:bottom w:val="none" w:sz="0" w:space="0" w:color="auto"/>
                <w:right w:val="none" w:sz="0" w:space="0" w:color="auto"/>
              </w:divBdr>
            </w:div>
            <w:div w:id="1793405545">
              <w:marLeft w:val="0"/>
              <w:marRight w:val="0"/>
              <w:marTop w:val="0"/>
              <w:marBottom w:val="0"/>
              <w:divBdr>
                <w:top w:val="none" w:sz="0" w:space="0" w:color="auto"/>
                <w:left w:val="none" w:sz="0" w:space="0" w:color="auto"/>
                <w:bottom w:val="none" w:sz="0" w:space="0" w:color="auto"/>
                <w:right w:val="none" w:sz="0" w:space="0" w:color="auto"/>
              </w:divBdr>
            </w:div>
            <w:div w:id="2086485163">
              <w:marLeft w:val="0"/>
              <w:marRight w:val="0"/>
              <w:marTop w:val="0"/>
              <w:marBottom w:val="0"/>
              <w:divBdr>
                <w:top w:val="none" w:sz="0" w:space="0" w:color="auto"/>
                <w:left w:val="none" w:sz="0" w:space="0" w:color="auto"/>
                <w:bottom w:val="none" w:sz="0" w:space="0" w:color="auto"/>
                <w:right w:val="none" w:sz="0" w:space="0" w:color="auto"/>
              </w:divBdr>
            </w:div>
            <w:div w:id="99037571">
              <w:marLeft w:val="0"/>
              <w:marRight w:val="0"/>
              <w:marTop w:val="0"/>
              <w:marBottom w:val="0"/>
              <w:divBdr>
                <w:top w:val="none" w:sz="0" w:space="0" w:color="auto"/>
                <w:left w:val="none" w:sz="0" w:space="0" w:color="auto"/>
                <w:bottom w:val="none" w:sz="0" w:space="0" w:color="auto"/>
                <w:right w:val="none" w:sz="0" w:space="0" w:color="auto"/>
              </w:divBdr>
            </w:div>
            <w:div w:id="343366310">
              <w:marLeft w:val="0"/>
              <w:marRight w:val="0"/>
              <w:marTop w:val="0"/>
              <w:marBottom w:val="0"/>
              <w:divBdr>
                <w:top w:val="none" w:sz="0" w:space="0" w:color="auto"/>
                <w:left w:val="none" w:sz="0" w:space="0" w:color="auto"/>
                <w:bottom w:val="none" w:sz="0" w:space="0" w:color="auto"/>
                <w:right w:val="none" w:sz="0" w:space="0" w:color="auto"/>
              </w:divBdr>
            </w:div>
            <w:div w:id="1020666281">
              <w:marLeft w:val="0"/>
              <w:marRight w:val="0"/>
              <w:marTop w:val="0"/>
              <w:marBottom w:val="0"/>
              <w:divBdr>
                <w:top w:val="none" w:sz="0" w:space="0" w:color="auto"/>
                <w:left w:val="none" w:sz="0" w:space="0" w:color="auto"/>
                <w:bottom w:val="none" w:sz="0" w:space="0" w:color="auto"/>
                <w:right w:val="none" w:sz="0" w:space="0" w:color="auto"/>
              </w:divBdr>
            </w:div>
            <w:div w:id="1580408319">
              <w:marLeft w:val="0"/>
              <w:marRight w:val="0"/>
              <w:marTop w:val="0"/>
              <w:marBottom w:val="0"/>
              <w:divBdr>
                <w:top w:val="none" w:sz="0" w:space="0" w:color="auto"/>
                <w:left w:val="none" w:sz="0" w:space="0" w:color="auto"/>
                <w:bottom w:val="none" w:sz="0" w:space="0" w:color="auto"/>
                <w:right w:val="none" w:sz="0" w:space="0" w:color="auto"/>
              </w:divBdr>
            </w:div>
            <w:div w:id="1312098464">
              <w:marLeft w:val="0"/>
              <w:marRight w:val="0"/>
              <w:marTop w:val="0"/>
              <w:marBottom w:val="0"/>
              <w:divBdr>
                <w:top w:val="none" w:sz="0" w:space="0" w:color="auto"/>
                <w:left w:val="none" w:sz="0" w:space="0" w:color="auto"/>
                <w:bottom w:val="none" w:sz="0" w:space="0" w:color="auto"/>
                <w:right w:val="none" w:sz="0" w:space="0" w:color="auto"/>
              </w:divBdr>
            </w:div>
            <w:div w:id="2063870298">
              <w:marLeft w:val="0"/>
              <w:marRight w:val="0"/>
              <w:marTop w:val="0"/>
              <w:marBottom w:val="0"/>
              <w:divBdr>
                <w:top w:val="none" w:sz="0" w:space="0" w:color="auto"/>
                <w:left w:val="none" w:sz="0" w:space="0" w:color="auto"/>
                <w:bottom w:val="none" w:sz="0" w:space="0" w:color="auto"/>
                <w:right w:val="none" w:sz="0" w:space="0" w:color="auto"/>
              </w:divBdr>
            </w:div>
            <w:div w:id="71394495">
              <w:marLeft w:val="0"/>
              <w:marRight w:val="0"/>
              <w:marTop w:val="0"/>
              <w:marBottom w:val="0"/>
              <w:divBdr>
                <w:top w:val="none" w:sz="0" w:space="0" w:color="auto"/>
                <w:left w:val="none" w:sz="0" w:space="0" w:color="auto"/>
                <w:bottom w:val="none" w:sz="0" w:space="0" w:color="auto"/>
                <w:right w:val="none" w:sz="0" w:space="0" w:color="auto"/>
              </w:divBdr>
            </w:div>
            <w:div w:id="349331101">
              <w:marLeft w:val="0"/>
              <w:marRight w:val="0"/>
              <w:marTop w:val="0"/>
              <w:marBottom w:val="0"/>
              <w:divBdr>
                <w:top w:val="none" w:sz="0" w:space="0" w:color="auto"/>
                <w:left w:val="none" w:sz="0" w:space="0" w:color="auto"/>
                <w:bottom w:val="none" w:sz="0" w:space="0" w:color="auto"/>
                <w:right w:val="none" w:sz="0" w:space="0" w:color="auto"/>
              </w:divBdr>
            </w:div>
            <w:div w:id="1054499651">
              <w:marLeft w:val="0"/>
              <w:marRight w:val="0"/>
              <w:marTop w:val="0"/>
              <w:marBottom w:val="0"/>
              <w:divBdr>
                <w:top w:val="none" w:sz="0" w:space="0" w:color="auto"/>
                <w:left w:val="none" w:sz="0" w:space="0" w:color="auto"/>
                <w:bottom w:val="none" w:sz="0" w:space="0" w:color="auto"/>
                <w:right w:val="none" w:sz="0" w:space="0" w:color="auto"/>
              </w:divBdr>
            </w:div>
            <w:div w:id="688871078">
              <w:marLeft w:val="0"/>
              <w:marRight w:val="0"/>
              <w:marTop w:val="0"/>
              <w:marBottom w:val="0"/>
              <w:divBdr>
                <w:top w:val="none" w:sz="0" w:space="0" w:color="auto"/>
                <w:left w:val="none" w:sz="0" w:space="0" w:color="auto"/>
                <w:bottom w:val="none" w:sz="0" w:space="0" w:color="auto"/>
                <w:right w:val="none" w:sz="0" w:space="0" w:color="auto"/>
              </w:divBdr>
            </w:div>
            <w:div w:id="1231581194">
              <w:marLeft w:val="0"/>
              <w:marRight w:val="0"/>
              <w:marTop w:val="0"/>
              <w:marBottom w:val="0"/>
              <w:divBdr>
                <w:top w:val="none" w:sz="0" w:space="0" w:color="auto"/>
                <w:left w:val="none" w:sz="0" w:space="0" w:color="auto"/>
                <w:bottom w:val="none" w:sz="0" w:space="0" w:color="auto"/>
                <w:right w:val="none" w:sz="0" w:space="0" w:color="auto"/>
              </w:divBdr>
            </w:div>
            <w:div w:id="1175269656">
              <w:marLeft w:val="0"/>
              <w:marRight w:val="0"/>
              <w:marTop w:val="0"/>
              <w:marBottom w:val="0"/>
              <w:divBdr>
                <w:top w:val="none" w:sz="0" w:space="0" w:color="auto"/>
                <w:left w:val="none" w:sz="0" w:space="0" w:color="auto"/>
                <w:bottom w:val="none" w:sz="0" w:space="0" w:color="auto"/>
                <w:right w:val="none" w:sz="0" w:space="0" w:color="auto"/>
              </w:divBdr>
            </w:div>
            <w:div w:id="9525019">
              <w:marLeft w:val="0"/>
              <w:marRight w:val="0"/>
              <w:marTop w:val="0"/>
              <w:marBottom w:val="0"/>
              <w:divBdr>
                <w:top w:val="none" w:sz="0" w:space="0" w:color="auto"/>
                <w:left w:val="none" w:sz="0" w:space="0" w:color="auto"/>
                <w:bottom w:val="none" w:sz="0" w:space="0" w:color="auto"/>
                <w:right w:val="none" w:sz="0" w:space="0" w:color="auto"/>
              </w:divBdr>
            </w:div>
            <w:div w:id="1219168945">
              <w:marLeft w:val="0"/>
              <w:marRight w:val="0"/>
              <w:marTop w:val="0"/>
              <w:marBottom w:val="0"/>
              <w:divBdr>
                <w:top w:val="none" w:sz="0" w:space="0" w:color="auto"/>
                <w:left w:val="none" w:sz="0" w:space="0" w:color="auto"/>
                <w:bottom w:val="none" w:sz="0" w:space="0" w:color="auto"/>
                <w:right w:val="none" w:sz="0" w:space="0" w:color="auto"/>
              </w:divBdr>
            </w:div>
            <w:div w:id="547454533">
              <w:marLeft w:val="0"/>
              <w:marRight w:val="0"/>
              <w:marTop w:val="0"/>
              <w:marBottom w:val="0"/>
              <w:divBdr>
                <w:top w:val="none" w:sz="0" w:space="0" w:color="auto"/>
                <w:left w:val="none" w:sz="0" w:space="0" w:color="auto"/>
                <w:bottom w:val="none" w:sz="0" w:space="0" w:color="auto"/>
                <w:right w:val="none" w:sz="0" w:space="0" w:color="auto"/>
              </w:divBdr>
            </w:div>
            <w:div w:id="1052579050">
              <w:marLeft w:val="0"/>
              <w:marRight w:val="0"/>
              <w:marTop w:val="0"/>
              <w:marBottom w:val="0"/>
              <w:divBdr>
                <w:top w:val="none" w:sz="0" w:space="0" w:color="auto"/>
                <w:left w:val="none" w:sz="0" w:space="0" w:color="auto"/>
                <w:bottom w:val="none" w:sz="0" w:space="0" w:color="auto"/>
                <w:right w:val="none" w:sz="0" w:space="0" w:color="auto"/>
              </w:divBdr>
            </w:div>
            <w:div w:id="1916819433">
              <w:marLeft w:val="0"/>
              <w:marRight w:val="0"/>
              <w:marTop w:val="0"/>
              <w:marBottom w:val="0"/>
              <w:divBdr>
                <w:top w:val="none" w:sz="0" w:space="0" w:color="auto"/>
                <w:left w:val="none" w:sz="0" w:space="0" w:color="auto"/>
                <w:bottom w:val="none" w:sz="0" w:space="0" w:color="auto"/>
                <w:right w:val="none" w:sz="0" w:space="0" w:color="auto"/>
              </w:divBdr>
            </w:div>
            <w:div w:id="723917325">
              <w:marLeft w:val="0"/>
              <w:marRight w:val="0"/>
              <w:marTop w:val="0"/>
              <w:marBottom w:val="0"/>
              <w:divBdr>
                <w:top w:val="none" w:sz="0" w:space="0" w:color="auto"/>
                <w:left w:val="none" w:sz="0" w:space="0" w:color="auto"/>
                <w:bottom w:val="none" w:sz="0" w:space="0" w:color="auto"/>
                <w:right w:val="none" w:sz="0" w:space="0" w:color="auto"/>
              </w:divBdr>
            </w:div>
            <w:div w:id="9726129">
              <w:marLeft w:val="0"/>
              <w:marRight w:val="0"/>
              <w:marTop w:val="0"/>
              <w:marBottom w:val="0"/>
              <w:divBdr>
                <w:top w:val="none" w:sz="0" w:space="0" w:color="auto"/>
                <w:left w:val="none" w:sz="0" w:space="0" w:color="auto"/>
                <w:bottom w:val="none" w:sz="0" w:space="0" w:color="auto"/>
                <w:right w:val="none" w:sz="0" w:space="0" w:color="auto"/>
              </w:divBdr>
            </w:div>
            <w:div w:id="21437790">
              <w:marLeft w:val="0"/>
              <w:marRight w:val="0"/>
              <w:marTop w:val="0"/>
              <w:marBottom w:val="0"/>
              <w:divBdr>
                <w:top w:val="none" w:sz="0" w:space="0" w:color="auto"/>
                <w:left w:val="none" w:sz="0" w:space="0" w:color="auto"/>
                <w:bottom w:val="none" w:sz="0" w:space="0" w:color="auto"/>
                <w:right w:val="none" w:sz="0" w:space="0" w:color="auto"/>
              </w:divBdr>
            </w:div>
            <w:div w:id="730494700">
              <w:marLeft w:val="0"/>
              <w:marRight w:val="0"/>
              <w:marTop w:val="0"/>
              <w:marBottom w:val="0"/>
              <w:divBdr>
                <w:top w:val="none" w:sz="0" w:space="0" w:color="auto"/>
                <w:left w:val="none" w:sz="0" w:space="0" w:color="auto"/>
                <w:bottom w:val="none" w:sz="0" w:space="0" w:color="auto"/>
                <w:right w:val="none" w:sz="0" w:space="0" w:color="auto"/>
              </w:divBdr>
            </w:div>
            <w:div w:id="1797069004">
              <w:marLeft w:val="0"/>
              <w:marRight w:val="0"/>
              <w:marTop w:val="0"/>
              <w:marBottom w:val="0"/>
              <w:divBdr>
                <w:top w:val="none" w:sz="0" w:space="0" w:color="auto"/>
                <w:left w:val="none" w:sz="0" w:space="0" w:color="auto"/>
                <w:bottom w:val="none" w:sz="0" w:space="0" w:color="auto"/>
                <w:right w:val="none" w:sz="0" w:space="0" w:color="auto"/>
              </w:divBdr>
            </w:div>
            <w:div w:id="1737049618">
              <w:marLeft w:val="0"/>
              <w:marRight w:val="0"/>
              <w:marTop w:val="0"/>
              <w:marBottom w:val="0"/>
              <w:divBdr>
                <w:top w:val="none" w:sz="0" w:space="0" w:color="auto"/>
                <w:left w:val="none" w:sz="0" w:space="0" w:color="auto"/>
                <w:bottom w:val="none" w:sz="0" w:space="0" w:color="auto"/>
                <w:right w:val="none" w:sz="0" w:space="0" w:color="auto"/>
              </w:divBdr>
            </w:div>
            <w:div w:id="1113596447">
              <w:marLeft w:val="0"/>
              <w:marRight w:val="0"/>
              <w:marTop w:val="0"/>
              <w:marBottom w:val="0"/>
              <w:divBdr>
                <w:top w:val="none" w:sz="0" w:space="0" w:color="auto"/>
                <w:left w:val="none" w:sz="0" w:space="0" w:color="auto"/>
                <w:bottom w:val="none" w:sz="0" w:space="0" w:color="auto"/>
                <w:right w:val="none" w:sz="0" w:space="0" w:color="auto"/>
              </w:divBdr>
            </w:div>
            <w:div w:id="383911952">
              <w:marLeft w:val="0"/>
              <w:marRight w:val="0"/>
              <w:marTop w:val="0"/>
              <w:marBottom w:val="0"/>
              <w:divBdr>
                <w:top w:val="none" w:sz="0" w:space="0" w:color="auto"/>
                <w:left w:val="none" w:sz="0" w:space="0" w:color="auto"/>
                <w:bottom w:val="none" w:sz="0" w:space="0" w:color="auto"/>
                <w:right w:val="none" w:sz="0" w:space="0" w:color="auto"/>
              </w:divBdr>
            </w:div>
            <w:div w:id="1293361019">
              <w:marLeft w:val="0"/>
              <w:marRight w:val="0"/>
              <w:marTop w:val="0"/>
              <w:marBottom w:val="0"/>
              <w:divBdr>
                <w:top w:val="none" w:sz="0" w:space="0" w:color="auto"/>
                <w:left w:val="none" w:sz="0" w:space="0" w:color="auto"/>
                <w:bottom w:val="none" w:sz="0" w:space="0" w:color="auto"/>
                <w:right w:val="none" w:sz="0" w:space="0" w:color="auto"/>
              </w:divBdr>
            </w:div>
            <w:div w:id="1326930930">
              <w:marLeft w:val="0"/>
              <w:marRight w:val="0"/>
              <w:marTop w:val="0"/>
              <w:marBottom w:val="0"/>
              <w:divBdr>
                <w:top w:val="none" w:sz="0" w:space="0" w:color="auto"/>
                <w:left w:val="none" w:sz="0" w:space="0" w:color="auto"/>
                <w:bottom w:val="none" w:sz="0" w:space="0" w:color="auto"/>
                <w:right w:val="none" w:sz="0" w:space="0" w:color="auto"/>
              </w:divBdr>
            </w:div>
            <w:div w:id="1908373844">
              <w:marLeft w:val="0"/>
              <w:marRight w:val="0"/>
              <w:marTop w:val="0"/>
              <w:marBottom w:val="0"/>
              <w:divBdr>
                <w:top w:val="none" w:sz="0" w:space="0" w:color="auto"/>
                <w:left w:val="none" w:sz="0" w:space="0" w:color="auto"/>
                <w:bottom w:val="none" w:sz="0" w:space="0" w:color="auto"/>
                <w:right w:val="none" w:sz="0" w:space="0" w:color="auto"/>
              </w:divBdr>
            </w:div>
            <w:div w:id="1197111753">
              <w:marLeft w:val="0"/>
              <w:marRight w:val="0"/>
              <w:marTop w:val="0"/>
              <w:marBottom w:val="0"/>
              <w:divBdr>
                <w:top w:val="none" w:sz="0" w:space="0" w:color="auto"/>
                <w:left w:val="none" w:sz="0" w:space="0" w:color="auto"/>
                <w:bottom w:val="none" w:sz="0" w:space="0" w:color="auto"/>
                <w:right w:val="none" w:sz="0" w:space="0" w:color="auto"/>
              </w:divBdr>
            </w:div>
            <w:div w:id="981421878">
              <w:marLeft w:val="0"/>
              <w:marRight w:val="0"/>
              <w:marTop w:val="0"/>
              <w:marBottom w:val="0"/>
              <w:divBdr>
                <w:top w:val="none" w:sz="0" w:space="0" w:color="auto"/>
                <w:left w:val="none" w:sz="0" w:space="0" w:color="auto"/>
                <w:bottom w:val="none" w:sz="0" w:space="0" w:color="auto"/>
                <w:right w:val="none" w:sz="0" w:space="0" w:color="auto"/>
              </w:divBdr>
            </w:div>
            <w:div w:id="1725829944">
              <w:marLeft w:val="0"/>
              <w:marRight w:val="0"/>
              <w:marTop w:val="0"/>
              <w:marBottom w:val="0"/>
              <w:divBdr>
                <w:top w:val="none" w:sz="0" w:space="0" w:color="auto"/>
                <w:left w:val="none" w:sz="0" w:space="0" w:color="auto"/>
                <w:bottom w:val="none" w:sz="0" w:space="0" w:color="auto"/>
                <w:right w:val="none" w:sz="0" w:space="0" w:color="auto"/>
              </w:divBdr>
            </w:div>
            <w:div w:id="1505045638">
              <w:marLeft w:val="0"/>
              <w:marRight w:val="0"/>
              <w:marTop w:val="0"/>
              <w:marBottom w:val="0"/>
              <w:divBdr>
                <w:top w:val="none" w:sz="0" w:space="0" w:color="auto"/>
                <w:left w:val="none" w:sz="0" w:space="0" w:color="auto"/>
                <w:bottom w:val="none" w:sz="0" w:space="0" w:color="auto"/>
                <w:right w:val="none" w:sz="0" w:space="0" w:color="auto"/>
              </w:divBdr>
            </w:div>
            <w:div w:id="558982216">
              <w:marLeft w:val="0"/>
              <w:marRight w:val="0"/>
              <w:marTop w:val="0"/>
              <w:marBottom w:val="0"/>
              <w:divBdr>
                <w:top w:val="none" w:sz="0" w:space="0" w:color="auto"/>
                <w:left w:val="none" w:sz="0" w:space="0" w:color="auto"/>
                <w:bottom w:val="none" w:sz="0" w:space="0" w:color="auto"/>
                <w:right w:val="none" w:sz="0" w:space="0" w:color="auto"/>
              </w:divBdr>
            </w:div>
            <w:div w:id="1220676569">
              <w:marLeft w:val="0"/>
              <w:marRight w:val="0"/>
              <w:marTop w:val="0"/>
              <w:marBottom w:val="0"/>
              <w:divBdr>
                <w:top w:val="none" w:sz="0" w:space="0" w:color="auto"/>
                <w:left w:val="none" w:sz="0" w:space="0" w:color="auto"/>
                <w:bottom w:val="none" w:sz="0" w:space="0" w:color="auto"/>
                <w:right w:val="none" w:sz="0" w:space="0" w:color="auto"/>
              </w:divBdr>
            </w:div>
            <w:div w:id="425813543">
              <w:marLeft w:val="0"/>
              <w:marRight w:val="0"/>
              <w:marTop w:val="0"/>
              <w:marBottom w:val="0"/>
              <w:divBdr>
                <w:top w:val="none" w:sz="0" w:space="0" w:color="auto"/>
                <w:left w:val="none" w:sz="0" w:space="0" w:color="auto"/>
                <w:bottom w:val="none" w:sz="0" w:space="0" w:color="auto"/>
                <w:right w:val="none" w:sz="0" w:space="0" w:color="auto"/>
              </w:divBdr>
            </w:div>
            <w:div w:id="114914890">
              <w:marLeft w:val="0"/>
              <w:marRight w:val="0"/>
              <w:marTop w:val="0"/>
              <w:marBottom w:val="0"/>
              <w:divBdr>
                <w:top w:val="none" w:sz="0" w:space="0" w:color="auto"/>
                <w:left w:val="none" w:sz="0" w:space="0" w:color="auto"/>
                <w:bottom w:val="none" w:sz="0" w:space="0" w:color="auto"/>
                <w:right w:val="none" w:sz="0" w:space="0" w:color="auto"/>
              </w:divBdr>
            </w:div>
            <w:div w:id="274213458">
              <w:marLeft w:val="0"/>
              <w:marRight w:val="0"/>
              <w:marTop w:val="0"/>
              <w:marBottom w:val="0"/>
              <w:divBdr>
                <w:top w:val="none" w:sz="0" w:space="0" w:color="auto"/>
                <w:left w:val="none" w:sz="0" w:space="0" w:color="auto"/>
                <w:bottom w:val="none" w:sz="0" w:space="0" w:color="auto"/>
                <w:right w:val="none" w:sz="0" w:space="0" w:color="auto"/>
              </w:divBdr>
            </w:div>
            <w:div w:id="536091823">
              <w:marLeft w:val="0"/>
              <w:marRight w:val="0"/>
              <w:marTop w:val="0"/>
              <w:marBottom w:val="0"/>
              <w:divBdr>
                <w:top w:val="none" w:sz="0" w:space="0" w:color="auto"/>
                <w:left w:val="none" w:sz="0" w:space="0" w:color="auto"/>
                <w:bottom w:val="none" w:sz="0" w:space="0" w:color="auto"/>
                <w:right w:val="none" w:sz="0" w:space="0" w:color="auto"/>
              </w:divBdr>
            </w:div>
            <w:div w:id="73819275">
              <w:marLeft w:val="0"/>
              <w:marRight w:val="0"/>
              <w:marTop w:val="0"/>
              <w:marBottom w:val="0"/>
              <w:divBdr>
                <w:top w:val="none" w:sz="0" w:space="0" w:color="auto"/>
                <w:left w:val="none" w:sz="0" w:space="0" w:color="auto"/>
                <w:bottom w:val="none" w:sz="0" w:space="0" w:color="auto"/>
                <w:right w:val="none" w:sz="0" w:space="0" w:color="auto"/>
              </w:divBdr>
            </w:div>
            <w:div w:id="1208376504">
              <w:marLeft w:val="0"/>
              <w:marRight w:val="0"/>
              <w:marTop w:val="0"/>
              <w:marBottom w:val="0"/>
              <w:divBdr>
                <w:top w:val="none" w:sz="0" w:space="0" w:color="auto"/>
                <w:left w:val="none" w:sz="0" w:space="0" w:color="auto"/>
                <w:bottom w:val="none" w:sz="0" w:space="0" w:color="auto"/>
                <w:right w:val="none" w:sz="0" w:space="0" w:color="auto"/>
              </w:divBdr>
            </w:div>
            <w:div w:id="711613773">
              <w:marLeft w:val="0"/>
              <w:marRight w:val="0"/>
              <w:marTop w:val="0"/>
              <w:marBottom w:val="0"/>
              <w:divBdr>
                <w:top w:val="none" w:sz="0" w:space="0" w:color="auto"/>
                <w:left w:val="none" w:sz="0" w:space="0" w:color="auto"/>
                <w:bottom w:val="none" w:sz="0" w:space="0" w:color="auto"/>
                <w:right w:val="none" w:sz="0" w:space="0" w:color="auto"/>
              </w:divBdr>
            </w:div>
            <w:div w:id="1791507771">
              <w:marLeft w:val="0"/>
              <w:marRight w:val="0"/>
              <w:marTop w:val="0"/>
              <w:marBottom w:val="0"/>
              <w:divBdr>
                <w:top w:val="none" w:sz="0" w:space="0" w:color="auto"/>
                <w:left w:val="none" w:sz="0" w:space="0" w:color="auto"/>
                <w:bottom w:val="none" w:sz="0" w:space="0" w:color="auto"/>
                <w:right w:val="none" w:sz="0" w:space="0" w:color="auto"/>
              </w:divBdr>
            </w:div>
            <w:div w:id="484127418">
              <w:marLeft w:val="0"/>
              <w:marRight w:val="0"/>
              <w:marTop w:val="0"/>
              <w:marBottom w:val="0"/>
              <w:divBdr>
                <w:top w:val="none" w:sz="0" w:space="0" w:color="auto"/>
                <w:left w:val="none" w:sz="0" w:space="0" w:color="auto"/>
                <w:bottom w:val="none" w:sz="0" w:space="0" w:color="auto"/>
                <w:right w:val="none" w:sz="0" w:space="0" w:color="auto"/>
              </w:divBdr>
            </w:div>
            <w:div w:id="526526778">
              <w:marLeft w:val="0"/>
              <w:marRight w:val="0"/>
              <w:marTop w:val="0"/>
              <w:marBottom w:val="0"/>
              <w:divBdr>
                <w:top w:val="none" w:sz="0" w:space="0" w:color="auto"/>
                <w:left w:val="none" w:sz="0" w:space="0" w:color="auto"/>
                <w:bottom w:val="none" w:sz="0" w:space="0" w:color="auto"/>
                <w:right w:val="none" w:sz="0" w:space="0" w:color="auto"/>
              </w:divBdr>
            </w:div>
            <w:div w:id="780339176">
              <w:marLeft w:val="0"/>
              <w:marRight w:val="0"/>
              <w:marTop w:val="0"/>
              <w:marBottom w:val="0"/>
              <w:divBdr>
                <w:top w:val="none" w:sz="0" w:space="0" w:color="auto"/>
                <w:left w:val="none" w:sz="0" w:space="0" w:color="auto"/>
                <w:bottom w:val="none" w:sz="0" w:space="0" w:color="auto"/>
                <w:right w:val="none" w:sz="0" w:space="0" w:color="auto"/>
              </w:divBdr>
            </w:div>
            <w:div w:id="1379159270">
              <w:marLeft w:val="0"/>
              <w:marRight w:val="0"/>
              <w:marTop w:val="0"/>
              <w:marBottom w:val="0"/>
              <w:divBdr>
                <w:top w:val="none" w:sz="0" w:space="0" w:color="auto"/>
                <w:left w:val="none" w:sz="0" w:space="0" w:color="auto"/>
                <w:bottom w:val="none" w:sz="0" w:space="0" w:color="auto"/>
                <w:right w:val="none" w:sz="0" w:space="0" w:color="auto"/>
              </w:divBdr>
            </w:div>
            <w:div w:id="964048484">
              <w:marLeft w:val="0"/>
              <w:marRight w:val="0"/>
              <w:marTop w:val="0"/>
              <w:marBottom w:val="0"/>
              <w:divBdr>
                <w:top w:val="none" w:sz="0" w:space="0" w:color="auto"/>
                <w:left w:val="none" w:sz="0" w:space="0" w:color="auto"/>
                <w:bottom w:val="none" w:sz="0" w:space="0" w:color="auto"/>
                <w:right w:val="none" w:sz="0" w:space="0" w:color="auto"/>
              </w:divBdr>
            </w:div>
            <w:div w:id="783619180">
              <w:marLeft w:val="0"/>
              <w:marRight w:val="0"/>
              <w:marTop w:val="0"/>
              <w:marBottom w:val="0"/>
              <w:divBdr>
                <w:top w:val="none" w:sz="0" w:space="0" w:color="auto"/>
                <w:left w:val="none" w:sz="0" w:space="0" w:color="auto"/>
                <w:bottom w:val="none" w:sz="0" w:space="0" w:color="auto"/>
                <w:right w:val="none" w:sz="0" w:space="0" w:color="auto"/>
              </w:divBdr>
            </w:div>
            <w:div w:id="246350192">
              <w:marLeft w:val="0"/>
              <w:marRight w:val="0"/>
              <w:marTop w:val="0"/>
              <w:marBottom w:val="0"/>
              <w:divBdr>
                <w:top w:val="none" w:sz="0" w:space="0" w:color="auto"/>
                <w:left w:val="none" w:sz="0" w:space="0" w:color="auto"/>
                <w:bottom w:val="none" w:sz="0" w:space="0" w:color="auto"/>
                <w:right w:val="none" w:sz="0" w:space="0" w:color="auto"/>
              </w:divBdr>
            </w:div>
            <w:div w:id="626006223">
              <w:marLeft w:val="0"/>
              <w:marRight w:val="0"/>
              <w:marTop w:val="0"/>
              <w:marBottom w:val="0"/>
              <w:divBdr>
                <w:top w:val="none" w:sz="0" w:space="0" w:color="auto"/>
                <w:left w:val="none" w:sz="0" w:space="0" w:color="auto"/>
                <w:bottom w:val="none" w:sz="0" w:space="0" w:color="auto"/>
                <w:right w:val="none" w:sz="0" w:space="0" w:color="auto"/>
              </w:divBdr>
            </w:div>
            <w:div w:id="1235898143">
              <w:marLeft w:val="0"/>
              <w:marRight w:val="0"/>
              <w:marTop w:val="0"/>
              <w:marBottom w:val="0"/>
              <w:divBdr>
                <w:top w:val="none" w:sz="0" w:space="0" w:color="auto"/>
                <w:left w:val="none" w:sz="0" w:space="0" w:color="auto"/>
                <w:bottom w:val="none" w:sz="0" w:space="0" w:color="auto"/>
                <w:right w:val="none" w:sz="0" w:space="0" w:color="auto"/>
              </w:divBdr>
            </w:div>
            <w:div w:id="1704987271">
              <w:marLeft w:val="0"/>
              <w:marRight w:val="0"/>
              <w:marTop w:val="0"/>
              <w:marBottom w:val="0"/>
              <w:divBdr>
                <w:top w:val="none" w:sz="0" w:space="0" w:color="auto"/>
                <w:left w:val="none" w:sz="0" w:space="0" w:color="auto"/>
                <w:bottom w:val="none" w:sz="0" w:space="0" w:color="auto"/>
                <w:right w:val="none" w:sz="0" w:space="0" w:color="auto"/>
              </w:divBdr>
            </w:div>
            <w:div w:id="1886285068">
              <w:marLeft w:val="0"/>
              <w:marRight w:val="0"/>
              <w:marTop w:val="0"/>
              <w:marBottom w:val="0"/>
              <w:divBdr>
                <w:top w:val="none" w:sz="0" w:space="0" w:color="auto"/>
                <w:left w:val="none" w:sz="0" w:space="0" w:color="auto"/>
                <w:bottom w:val="none" w:sz="0" w:space="0" w:color="auto"/>
                <w:right w:val="none" w:sz="0" w:space="0" w:color="auto"/>
              </w:divBdr>
            </w:div>
            <w:div w:id="283200821">
              <w:marLeft w:val="0"/>
              <w:marRight w:val="0"/>
              <w:marTop w:val="0"/>
              <w:marBottom w:val="0"/>
              <w:divBdr>
                <w:top w:val="none" w:sz="0" w:space="0" w:color="auto"/>
                <w:left w:val="none" w:sz="0" w:space="0" w:color="auto"/>
                <w:bottom w:val="none" w:sz="0" w:space="0" w:color="auto"/>
                <w:right w:val="none" w:sz="0" w:space="0" w:color="auto"/>
              </w:divBdr>
            </w:div>
            <w:div w:id="2016616264">
              <w:marLeft w:val="0"/>
              <w:marRight w:val="0"/>
              <w:marTop w:val="0"/>
              <w:marBottom w:val="0"/>
              <w:divBdr>
                <w:top w:val="none" w:sz="0" w:space="0" w:color="auto"/>
                <w:left w:val="none" w:sz="0" w:space="0" w:color="auto"/>
                <w:bottom w:val="none" w:sz="0" w:space="0" w:color="auto"/>
                <w:right w:val="none" w:sz="0" w:space="0" w:color="auto"/>
              </w:divBdr>
            </w:div>
            <w:div w:id="659164724">
              <w:marLeft w:val="0"/>
              <w:marRight w:val="0"/>
              <w:marTop w:val="0"/>
              <w:marBottom w:val="0"/>
              <w:divBdr>
                <w:top w:val="none" w:sz="0" w:space="0" w:color="auto"/>
                <w:left w:val="none" w:sz="0" w:space="0" w:color="auto"/>
                <w:bottom w:val="none" w:sz="0" w:space="0" w:color="auto"/>
                <w:right w:val="none" w:sz="0" w:space="0" w:color="auto"/>
              </w:divBdr>
            </w:div>
            <w:div w:id="1760833938">
              <w:marLeft w:val="0"/>
              <w:marRight w:val="0"/>
              <w:marTop w:val="0"/>
              <w:marBottom w:val="0"/>
              <w:divBdr>
                <w:top w:val="none" w:sz="0" w:space="0" w:color="auto"/>
                <w:left w:val="none" w:sz="0" w:space="0" w:color="auto"/>
                <w:bottom w:val="none" w:sz="0" w:space="0" w:color="auto"/>
                <w:right w:val="none" w:sz="0" w:space="0" w:color="auto"/>
              </w:divBdr>
            </w:div>
            <w:div w:id="1317682173">
              <w:marLeft w:val="0"/>
              <w:marRight w:val="0"/>
              <w:marTop w:val="0"/>
              <w:marBottom w:val="0"/>
              <w:divBdr>
                <w:top w:val="none" w:sz="0" w:space="0" w:color="auto"/>
                <w:left w:val="none" w:sz="0" w:space="0" w:color="auto"/>
                <w:bottom w:val="none" w:sz="0" w:space="0" w:color="auto"/>
                <w:right w:val="none" w:sz="0" w:space="0" w:color="auto"/>
              </w:divBdr>
            </w:div>
            <w:div w:id="1658074199">
              <w:marLeft w:val="0"/>
              <w:marRight w:val="0"/>
              <w:marTop w:val="0"/>
              <w:marBottom w:val="0"/>
              <w:divBdr>
                <w:top w:val="none" w:sz="0" w:space="0" w:color="auto"/>
                <w:left w:val="none" w:sz="0" w:space="0" w:color="auto"/>
                <w:bottom w:val="none" w:sz="0" w:space="0" w:color="auto"/>
                <w:right w:val="none" w:sz="0" w:space="0" w:color="auto"/>
              </w:divBdr>
            </w:div>
            <w:div w:id="117263478">
              <w:marLeft w:val="0"/>
              <w:marRight w:val="0"/>
              <w:marTop w:val="0"/>
              <w:marBottom w:val="0"/>
              <w:divBdr>
                <w:top w:val="none" w:sz="0" w:space="0" w:color="auto"/>
                <w:left w:val="none" w:sz="0" w:space="0" w:color="auto"/>
                <w:bottom w:val="none" w:sz="0" w:space="0" w:color="auto"/>
                <w:right w:val="none" w:sz="0" w:space="0" w:color="auto"/>
              </w:divBdr>
            </w:div>
            <w:div w:id="1687711694">
              <w:marLeft w:val="0"/>
              <w:marRight w:val="0"/>
              <w:marTop w:val="0"/>
              <w:marBottom w:val="0"/>
              <w:divBdr>
                <w:top w:val="none" w:sz="0" w:space="0" w:color="auto"/>
                <w:left w:val="none" w:sz="0" w:space="0" w:color="auto"/>
                <w:bottom w:val="none" w:sz="0" w:space="0" w:color="auto"/>
                <w:right w:val="none" w:sz="0" w:space="0" w:color="auto"/>
              </w:divBdr>
            </w:div>
            <w:div w:id="1538741574">
              <w:marLeft w:val="0"/>
              <w:marRight w:val="0"/>
              <w:marTop w:val="0"/>
              <w:marBottom w:val="0"/>
              <w:divBdr>
                <w:top w:val="none" w:sz="0" w:space="0" w:color="auto"/>
                <w:left w:val="none" w:sz="0" w:space="0" w:color="auto"/>
                <w:bottom w:val="none" w:sz="0" w:space="0" w:color="auto"/>
                <w:right w:val="none" w:sz="0" w:space="0" w:color="auto"/>
              </w:divBdr>
            </w:div>
            <w:div w:id="1981495244">
              <w:marLeft w:val="0"/>
              <w:marRight w:val="0"/>
              <w:marTop w:val="0"/>
              <w:marBottom w:val="0"/>
              <w:divBdr>
                <w:top w:val="none" w:sz="0" w:space="0" w:color="auto"/>
                <w:left w:val="none" w:sz="0" w:space="0" w:color="auto"/>
                <w:bottom w:val="none" w:sz="0" w:space="0" w:color="auto"/>
                <w:right w:val="none" w:sz="0" w:space="0" w:color="auto"/>
              </w:divBdr>
            </w:div>
            <w:div w:id="484661896">
              <w:marLeft w:val="0"/>
              <w:marRight w:val="0"/>
              <w:marTop w:val="0"/>
              <w:marBottom w:val="0"/>
              <w:divBdr>
                <w:top w:val="none" w:sz="0" w:space="0" w:color="auto"/>
                <w:left w:val="none" w:sz="0" w:space="0" w:color="auto"/>
                <w:bottom w:val="none" w:sz="0" w:space="0" w:color="auto"/>
                <w:right w:val="none" w:sz="0" w:space="0" w:color="auto"/>
              </w:divBdr>
            </w:div>
            <w:div w:id="721363893">
              <w:marLeft w:val="0"/>
              <w:marRight w:val="0"/>
              <w:marTop w:val="0"/>
              <w:marBottom w:val="0"/>
              <w:divBdr>
                <w:top w:val="none" w:sz="0" w:space="0" w:color="auto"/>
                <w:left w:val="none" w:sz="0" w:space="0" w:color="auto"/>
                <w:bottom w:val="none" w:sz="0" w:space="0" w:color="auto"/>
                <w:right w:val="none" w:sz="0" w:space="0" w:color="auto"/>
              </w:divBdr>
            </w:div>
            <w:div w:id="1667318968">
              <w:marLeft w:val="0"/>
              <w:marRight w:val="0"/>
              <w:marTop w:val="0"/>
              <w:marBottom w:val="0"/>
              <w:divBdr>
                <w:top w:val="none" w:sz="0" w:space="0" w:color="auto"/>
                <w:left w:val="none" w:sz="0" w:space="0" w:color="auto"/>
                <w:bottom w:val="none" w:sz="0" w:space="0" w:color="auto"/>
                <w:right w:val="none" w:sz="0" w:space="0" w:color="auto"/>
              </w:divBdr>
            </w:div>
            <w:div w:id="1706444863">
              <w:marLeft w:val="0"/>
              <w:marRight w:val="0"/>
              <w:marTop w:val="0"/>
              <w:marBottom w:val="0"/>
              <w:divBdr>
                <w:top w:val="none" w:sz="0" w:space="0" w:color="auto"/>
                <w:left w:val="none" w:sz="0" w:space="0" w:color="auto"/>
                <w:bottom w:val="none" w:sz="0" w:space="0" w:color="auto"/>
                <w:right w:val="none" w:sz="0" w:space="0" w:color="auto"/>
              </w:divBdr>
            </w:div>
            <w:div w:id="795680990">
              <w:marLeft w:val="0"/>
              <w:marRight w:val="0"/>
              <w:marTop w:val="0"/>
              <w:marBottom w:val="0"/>
              <w:divBdr>
                <w:top w:val="none" w:sz="0" w:space="0" w:color="auto"/>
                <w:left w:val="none" w:sz="0" w:space="0" w:color="auto"/>
                <w:bottom w:val="none" w:sz="0" w:space="0" w:color="auto"/>
                <w:right w:val="none" w:sz="0" w:space="0" w:color="auto"/>
              </w:divBdr>
            </w:div>
            <w:div w:id="1867521080">
              <w:marLeft w:val="0"/>
              <w:marRight w:val="0"/>
              <w:marTop w:val="0"/>
              <w:marBottom w:val="0"/>
              <w:divBdr>
                <w:top w:val="none" w:sz="0" w:space="0" w:color="auto"/>
                <w:left w:val="none" w:sz="0" w:space="0" w:color="auto"/>
                <w:bottom w:val="none" w:sz="0" w:space="0" w:color="auto"/>
                <w:right w:val="none" w:sz="0" w:space="0" w:color="auto"/>
              </w:divBdr>
            </w:div>
            <w:div w:id="376659010">
              <w:marLeft w:val="0"/>
              <w:marRight w:val="0"/>
              <w:marTop w:val="0"/>
              <w:marBottom w:val="0"/>
              <w:divBdr>
                <w:top w:val="none" w:sz="0" w:space="0" w:color="auto"/>
                <w:left w:val="none" w:sz="0" w:space="0" w:color="auto"/>
                <w:bottom w:val="none" w:sz="0" w:space="0" w:color="auto"/>
                <w:right w:val="none" w:sz="0" w:space="0" w:color="auto"/>
              </w:divBdr>
            </w:div>
            <w:div w:id="1837722878">
              <w:marLeft w:val="0"/>
              <w:marRight w:val="0"/>
              <w:marTop w:val="0"/>
              <w:marBottom w:val="0"/>
              <w:divBdr>
                <w:top w:val="none" w:sz="0" w:space="0" w:color="auto"/>
                <w:left w:val="none" w:sz="0" w:space="0" w:color="auto"/>
                <w:bottom w:val="none" w:sz="0" w:space="0" w:color="auto"/>
                <w:right w:val="none" w:sz="0" w:space="0" w:color="auto"/>
              </w:divBdr>
            </w:div>
            <w:div w:id="1773085185">
              <w:marLeft w:val="0"/>
              <w:marRight w:val="0"/>
              <w:marTop w:val="0"/>
              <w:marBottom w:val="0"/>
              <w:divBdr>
                <w:top w:val="none" w:sz="0" w:space="0" w:color="auto"/>
                <w:left w:val="none" w:sz="0" w:space="0" w:color="auto"/>
                <w:bottom w:val="none" w:sz="0" w:space="0" w:color="auto"/>
                <w:right w:val="none" w:sz="0" w:space="0" w:color="auto"/>
              </w:divBdr>
            </w:div>
            <w:div w:id="328213475">
              <w:marLeft w:val="0"/>
              <w:marRight w:val="0"/>
              <w:marTop w:val="0"/>
              <w:marBottom w:val="0"/>
              <w:divBdr>
                <w:top w:val="none" w:sz="0" w:space="0" w:color="auto"/>
                <w:left w:val="none" w:sz="0" w:space="0" w:color="auto"/>
                <w:bottom w:val="none" w:sz="0" w:space="0" w:color="auto"/>
                <w:right w:val="none" w:sz="0" w:space="0" w:color="auto"/>
              </w:divBdr>
            </w:div>
            <w:div w:id="1374232509">
              <w:marLeft w:val="0"/>
              <w:marRight w:val="0"/>
              <w:marTop w:val="0"/>
              <w:marBottom w:val="0"/>
              <w:divBdr>
                <w:top w:val="none" w:sz="0" w:space="0" w:color="auto"/>
                <w:left w:val="none" w:sz="0" w:space="0" w:color="auto"/>
                <w:bottom w:val="none" w:sz="0" w:space="0" w:color="auto"/>
                <w:right w:val="none" w:sz="0" w:space="0" w:color="auto"/>
              </w:divBdr>
            </w:div>
            <w:div w:id="759179936">
              <w:marLeft w:val="0"/>
              <w:marRight w:val="0"/>
              <w:marTop w:val="0"/>
              <w:marBottom w:val="0"/>
              <w:divBdr>
                <w:top w:val="none" w:sz="0" w:space="0" w:color="auto"/>
                <w:left w:val="none" w:sz="0" w:space="0" w:color="auto"/>
                <w:bottom w:val="none" w:sz="0" w:space="0" w:color="auto"/>
                <w:right w:val="none" w:sz="0" w:space="0" w:color="auto"/>
              </w:divBdr>
            </w:div>
            <w:div w:id="1179658060">
              <w:marLeft w:val="0"/>
              <w:marRight w:val="0"/>
              <w:marTop w:val="0"/>
              <w:marBottom w:val="0"/>
              <w:divBdr>
                <w:top w:val="none" w:sz="0" w:space="0" w:color="auto"/>
                <w:left w:val="none" w:sz="0" w:space="0" w:color="auto"/>
                <w:bottom w:val="none" w:sz="0" w:space="0" w:color="auto"/>
                <w:right w:val="none" w:sz="0" w:space="0" w:color="auto"/>
              </w:divBdr>
            </w:div>
            <w:div w:id="773984994">
              <w:marLeft w:val="0"/>
              <w:marRight w:val="0"/>
              <w:marTop w:val="0"/>
              <w:marBottom w:val="0"/>
              <w:divBdr>
                <w:top w:val="none" w:sz="0" w:space="0" w:color="auto"/>
                <w:left w:val="none" w:sz="0" w:space="0" w:color="auto"/>
                <w:bottom w:val="none" w:sz="0" w:space="0" w:color="auto"/>
                <w:right w:val="none" w:sz="0" w:space="0" w:color="auto"/>
              </w:divBdr>
            </w:div>
            <w:div w:id="121701289">
              <w:marLeft w:val="0"/>
              <w:marRight w:val="0"/>
              <w:marTop w:val="0"/>
              <w:marBottom w:val="0"/>
              <w:divBdr>
                <w:top w:val="none" w:sz="0" w:space="0" w:color="auto"/>
                <w:left w:val="none" w:sz="0" w:space="0" w:color="auto"/>
                <w:bottom w:val="none" w:sz="0" w:space="0" w:color="auto"/>
                <w:right w:val="none" w:sz="0" w:space="0" w:color="auto"/>
              </w:divBdr>
            </w:div>
            <w:div w:id="1758214454">
              <w:marLeft w:val="0"/>
              <w:marRight w:val="0"/>
              <w:marTop w:val="0"/>
              <w:marBottom w:val="0"/>
              <w:divBdr>
                <w:top w:val="none" w:sz="0" w:space="0" w:color="auto"/>
                <w:left w:val="none" w:sz="0" w:space="0" w:color="auto"/>
                <w:bottom w:val="none" w:sz="0" w:space="0" w:color="auto"/>
                <w:right w:val="none" w:sz="0" w:space="0" w:color="auto"/>
              </w:divBdr>
            </w:div>
            <w:div w:id="1820222030">
              <w:marLeft w:val="0"/>
              <w:marRight w:val="0"/>
              <w:marTop w:val="0"/>
              <w:marBottom w:val="0"/>
              <w:divBdr>
                <w:top w:val="none" w:sz="0" w:space="0" w:color="auto"/>
                <w:left w:val="none" w:sz="0" w:space="0" w:color="auto"/>
                <w:bottom w:val="none" w:sz="0" w:space="0" w:color="auto"/>
                <w:right w:val="none" w:sz="0" w:space="0" w:color="auto"/>
              </w:divBdr>
            </w:div>
            <w:div w:id="1712147276">
              <w:marLeft w:val="0"/>
              <w:marRight w:val="0"/>
              <w:marTop w:val="0"/>
              <w:marBottom w:val="0"/>
              <w:divBdr>
                <w:top w:val="none" w:sz="0" w:space="0" w:color="auto"/>
                <w:left w:val="none" w:sz="0" w:space="0" w:color="auto"/>
                <w:bottom w:val="none" w:sz="0" w:space="0" w:color="auto"/>
                <w:right w:val="none" w:sz="0" w:space="0" w:color="auto"/>
              </w:divBdr>
            </w:div>
            <w:div w:id="1391926125">
              <w:marLeft w:val="0"/>
              <w:marRight w:val="0"/>
              <w:marTop w:val="0"/>
              <w:marBottom w:val="0"/>
              <w:divBdr>
                <w:top w:val="none" w:sz="0" w:space="0" w:color="auto"/>
                <w:left w:val="none" w:sz="0" w:space="0" w:color="auto"/>
                <w:bottom w:val="none" w:sz="0" w:space="0" w:color="auto"/>
                <w:right w:val="none" w:sz="0" w:space="0" w:color="auto"/>
              </w:divBdr>
            </w:div>
            <w:div w:id="1071582579">
              <w:marLeft w:val="0"/>
              <w:marRight w:val="0"/>
              <w:marTop w:val="0"/>
              <w:marBottom w:val="0"/>
              <w:divBdr>
                <w:top w:val="none" w:sz="0" w:space="0" w:color="auto"/>
                <w:left w:val="none" w:sz="0" w:space="0" w:color="auto"/>
                <w:bottom w:val="none" w:sz="0" w:space="0" w:color="auto"/>
                <w:right w:val="none" w:sz="0" w:space="0" w:color="auto"/>
              </w:divBdr>
            </w:div>
            <w:div w:id="4327995">
              <w:marLeft w:val="0"/>
              <w:marRight w:val="0"/>
              <w:marTop w:val="0"/>
              <w:marBottom w:val="0"/>
              <w:divBdr>
                <w:top w:val="none" w:sz="0" w:space="0" w:color="auto"/>
                <w:left w:val="none" w:sz="0" w:space="0" w:color="auto"/>
                <w:bottom w:val="none" w:sz="0" w:space="0" w:color="auto"/>
                <w:right w:val="none" w:sz="0" w:space="0" w:color="auto"/>
              </w:divBdr>
            </w:div>
            <w:div w:id="135297000">
              <w:marLeft w:val="0"/>
              <w:marRight w:val="0"/>
              <w:marTop w:val="0"/>
              <w:marBottom w:val="0"/>
              <w:divBdr>
                <w:top w:val="none" w:sz="0" w:space="0" w:color="auto"/>
                <w:left w:val="none" w:sz="0" w:space="0" w:color="auto"/>
                <w:bottom w:val="none" w:sz="0" w:space="0" w:color="auto"/>
                <w:right w:val="none" w:sz="0" w:space="0" w:color="auto"/>
              </w:divBdr>
            </w:div>
            <w:div w:id="543055019">
              <w:marLeft w:val="0"/>
              <w:marRight w:val="0"/>
              <w:marTop w:val="0"/>
              <w:marBottom w:val="0"/>
              <w:divBdr>
                <w:top w:val="none" w:sz="0" w:space="0" w:color="auto"/>
                <w:left w:val="none" w:sz="0" w:space="0" w:color="auto"/>
                <w:bottom w:val="none" w:sz="0" w:space="0" w:color="auto"/>
                <w:right w:val="none" w:sz="0" w:space="0" w:color="auto"/>
              </w:divBdr>
            </w:div>
            <w:div w:id="825972726">
              <w:marLeft w:val="0"/>
              <w:marRight w:val="0"/>
              <w:marTop w:val="0"/>
              <w:marBottom w:val="0"/>
              <w:divBdr>
                <w:top w:val="none" w:sz="0" w:space="0" w:color="auto"/>
                <w:left w:val="none" w:sz="0" w:space="0" w:color="auto"/>
                <w:bottom w:val="none" w:sz="0" w:space="0" w:color="auto"/>
                <w:right w:val="none" w:sz="0" w:space="0" w:color="auto"/>
              </w:divBdr>
            </w:div>
            <w:div w:id="131873924">
              <w:marLeft w:val="0"/>
              <w:marRight w:val="0"/>
              <w:marTop w:val="0"/>
              <w:marBottom w:val="0"/>
              <w:divBdr>
                <w:top w:val="none" w:sz="0" w:space="0" w:color="auto"/>
                <w:left w:val="none" w:sz="0" w:space="0" w:color="auto"/>
                <w:bottom w:val="none" w:sz="0" w:space="0" w:color="auto"/>
                <w:right w:val="none" w:sz="0" w:space="0" w:color="auto"/>
              </w:divBdr>
            </w:div>
            <w:div w:id="681665497">
              <w:marLeft w:val="0"/>
              <w:marRight w:val="0"/>
              <w:marTop w:val="0"/>
              <w:marBottom w:val="0"/>
              <w:divBdr>
                <w:top w:val="none" w:sz="0" w:space="0" w:color="auto"/>
                <w:left w:val="none" w:sz="0" w:space="0" w:color="auto"/>
                <w:bottom w:val="none" w:sz="0" w:space="0" w:color="auto"/>
                <w:right w:val="none" w:sz="0" w:space="0" w:color="auto"/>
              </w:divBdr>
            </w:div>
            <w:div w:id="453794701">
              <w:marLeft w:val="0"/>
              <w:marRight w:val="0"/>
              <w:marTop w:val="0"/>
              <w:marBottom w:val="0"/>
              <w:divBdr>
                <w:top w:val="none" w:sz="0" w:space="0" w:color="auto"/>
                <w:left w:val="none" w:sz="0" w:space="0" w:color="auto"/>
                <w:bottom w:val="none" w:sz="0" w:space="0" w:color="auto"/>
                <w:right w:val="none" w:sz="0" w:space="0" w:color="auto"/>
              </w:divBdr>
            </w:div>
            <w:div w:id="1202282563">
              <w:marLeft w:val="0"/>
              <w:marRight w:val="0"/>
              <w:marTop w:val="0"/>
              <w:marBottom w:val="0"/>
              <w:divBdr>
                <w:top w:val="none" w:sz="0" w:space="0" w:color="auto"/>
                <w:left w:val="none" w:sz="0" w:space="0" w:color="auto"/>
                <w:bottom w:val="none" w:sz="0" w:space="0" w:color="auto"/>
                <w:right w:val="none" w:sz="0" w:space="0" w:color="auto"/>
              </w:divBdr>
            </w:div>
            <w:div w:id="114368044">
              <w:marLeft w:val="0"/>
              <w:marRight w:val="0"/>
              <w:marTop w:val="0"/>
              <w:marBottom w:val="0"/>
              <w:divBdr>
                <w:top w:val="none" w:sz="0" w:space="0" w:color="auto"/>
                <w:left w:val="none" w:sz="0" w:space="0" w:color="auto"/>
                <w:bottom w:val="none" w:sz="0" w:space="0" w:color="auto"/>
                <w:right w:val="none" w:sz="0" w:space="0" w:color="auto"/>
              </w:divBdr>
            </w:div>
            <w:div w:id="327248384">
              <w:marLeft w:val="0"/>
              <w:marRight w:val="0"/>
              <w:marTop w:val="0"/>
              <w:marBottom w:val="0"/>
              <w:divBdr>
                <w:top w:val="none" w:sz="0" w:space="0" w:color="auto"/>
                <w:left w:val="none" w:sz="0" w:space="0" w:color="auto"/>
                <w:bottom w:val="none" w:sz="0" w:space="0" w:color="auto"/>
                <w:right w:val="none" w:sz="0" w:space="0" w:color="auto"/>
              </w:divBdr>
            </w:div>
            <w:div w:id="415637321">
              <w:marLeft w:val="0"/>
              <w:marRight w:val="0"/>
              <w:marTop w:val="0"/>
              <w:marBottom w:val="0"/>
              <w:divBdr>
                <w:top w:val="none" w:sz="0" w:space="0" w:color="auto"/>
                <w:left w:val="none" w:sz="0" w:space="0" w:color="auto"/>
                <w:bottom w:val="none" w:sz="0" w:space="0" w:color="auto"/>
                <w:right w:val="none" w:sz="0" w:space="0" w:color="auto"/>
              </w:divBdr>
            </w:div>
            <w:div w:id="1317756370">
              <w:marLeft w:val="0"/>
              <w:marRight w:val="0"/>
              <w:marTop w:val="0"/>
              <w:marBottom w:val="0"/>
              <w:divBdr>
                <w:top w:val="none" w:sz="0" w:space="0" w:color="auto"/>
                <w:left w:val="none" w:sz="0" w:space="0" w:color="auto"/>
                <w:bottom w:val="none" w:sz="0" w:space="0" w:color="auto"/>
                <w:right w:val="none" w:sz="0" w:space="0" w:color="auto"/>
              </w:divBdr>
            </w:div>
            <w:div w:id="1695694160">
              <w:marLeft w:val="0"/>
              <w:marRight w:val="0"/>
              <w:marTop w:val="0"/>
              <w:marBottom w:val="0"/>
              <w:divBdr>
                <w:top w:val="none" w:sz="0" w:space="0" w:color="auto"/>
                <w:left w:val="none" w:sz="0" w:space="0" w:color="auto"/>
                <w:bottom w:val="none" w:sz="0" w:space="0" w:color="auto"/>
                <w:right w:val="none" w:sz="0" w:space="0" w:color="auto"/>
              </w:divBdr>
            </w:div>
            <w:div w:id="813371136">
              <w:marLeft w:val="0"/>
              <w:marRight w:val="0"/>
              <w:marTop w:val="0"/>
              <w:marBottom w:val="0"/>
              <w:divBdr>
                <w:top w:val="none" w:sz="0" w:space="0" w:color="auto"/>
                <w:left w:val="none" w:sz="0" w:space="0" w:color="auto"/>
                <w:bottom w:val="none" w:sz="0" w:space="0" w:color="auto"/>
                <w:right w:val="none" w:sz="0" w:space="0" w:color="auto"/>
              </w:divBdr>
            </w:div>
            <w:div w:id="280261822">
              <w:marLeft w:val="0"/>
              <w:marRight w:val="0"/>
              <w:marTop w:val="0"/>
              <w:marBottom w:val="0"/>
              <w:divBdr>
                <w:top w:val="none" w:sz="0" w:space="0" w:color="auto"/>
                <w:left w:val="none" w:sz="0" w:space="0" w:color="auto"/>
                <w:bottom w:val="none" w:sz="0" w:space="0" w:color="auto"/>
                <w:right w:val="none" w:sz="0" w:space="0" w:color="auto"/>
              </w:divBdr>
            </w:div>
            <w:div w:id="1457875314">
              <w:marLeft w:val="0"/>
              <w:marRight w:val="0"/>
              <w:marTop w:val="0"/>
              <w:marBottom w:val="0"/>
              <w:divBdr>
                <w:top w:val="none" w:sz="0" w:space="0" w:color="auto"/>
                <w:left w:val="none" w:sz="0" w:space="0" w:color="auto"/>
                <w:bottom w:val="none" w:sz="0" w:space="0" w:color="auto"/>
                <w:right w:val="none" w:sz="0" w:space="0" w:color="auto"/>
              </w:divBdr>
            </w:div>
            <w:div w:id="1621642915">
              <w:marLeft w:val="0"/>
              <w:marRight w:val="0"/>
              <w:marTop w:val="0"/>
              <w:marBottom w:val="0"/>
              <w:divBdr>
                <w:top w:val="none" w:sz="0" w:space="0" w:color="auto"/>
                <w:left w:val="none" w:sz="0" w:space="0" w:color="auto"/>
                <w:bottom w:val="none" w:sz="0" w:space="0" w:color="auto"/>
                <w:right w:val="none" w:sz="0" w:space="0" w:color="auto"/>
              </w:divBdr>
            </w:div>
            <w:div w:id="1598635586">
              <w:marLeft w:val="0"/>
              <w:marRight w:val="0"/>
              <w:marTop w:val="0"/>
              <w:marBottom w:val="0"/>
              <w:divBdr>
                <w:top w:val="none" w:sz="0" w:space="0" w:color="auto"/>
                <w:left w:val="none" w:sz="0" w:space="0" w:color="auto"/>
                <w:bottom w:val="none" w:sz="0" w:space="0" w:color="auto"/>
                <w:right w:val="none" w:sz="0" w:space="0" w:color="auto"/>
              </w:divBdr>
            </w:div>
            <w:div w:id="2140108080">
              <w:marLeft w:val="0"/>
              <w:marRight w:val="0"/>
              <w:marTop w:val="0"/>
              <w:marBottom w:val="0"/>
              <w:divBdr>
                <w:top w:val="none" w:sz="0" w:space="0" w:color="auto"/>
                <w:left w:val="none" w:sz="0" w:space="0" w:color="auto"/>
                <w:bottom w:val="none" w:sz="0" w:space="0" w:color="auto"/>
                <w:right w:val="none" w:sz="0" w:space="0" w:color="auto"/>
              </w:divBdr>
            </w:div>
            <w:div w:id="1517814622">
              <w:marLeft w:val="0"/>
              <w:marRight w:val="0"/>
              <w:marTop w:val="0"/>
              <w:marBottom w:val="0"/>
              <w:divBdr>
                <w:top w:val="none" w:sz="0" w:space="0" w:color="auto"/>
                <w:left w:val="none" w:sz="0" w:space="0" w:color="auto"/>
                <w:bottom w:val="none" w:sz="0" w:space="0" w:color="auto"/>
                <w:right w:val="none" w:sz="0" w:space="0" w:color="auto"/>
              </w:divBdr>
            </w:div>
            <w:div w:id="1043137262">
              <w:marLeft w:val="0"/>
              <w:marRight w:val="0"/>
              <w:marTop w:val="0"/>
              <w:marBottom w:val="0"/>
              <w:divBdr>
                <w:top w:val="none" w:sz="0" w:space="0" w:color="auto"/>
                <w:left w:val="none" w:sz="0" w:space="0" w:color="auto"/>
                <w:bottom w:val="none" w:sz="0" w:space="0" w:color="auto"/>
                <w:right w:val="none" w:sz="0" w:space="0" w:color="auto"/>
              </w:divBdr>
            </w:div>
            <w:div w:id="1684437125">
              <w:marLeft w:val="0"/>
              <w:marRight w:val="0"/>
              <w:marTop w:val="0"/>
              <w:marBottom w:val="0"/>
              <w:divBdr>
                <w:top w:val="none" w:sz="0" w:space="0" w:color="auto"/>
                <w:left w:val="none" w:sz="0" w:space="0" w:color="auto"/>
                <w:bottom w:val="none" w:sz="0" w:space="0" w:color="auto"/>
                <w:right w:val="none" w:sz="0" w:space="0" w:color="auto"/>
              </w:divBdr>
            </w:div>
            <w:div w:id="542668776">
              <w:marLeft w:val="0"/>
              <w:marRight w:val="0"/>
              <w:marTop w:val="0"/>
              <w:marBottom w:val="0"/>
              <w:divBdr>
                <w:top w:val="none" w:sz="0" w:space="0" w:color="auto"/>
                <w:left w:val="none" w:sz="0" w:space="0" w:color="auto"/>
                <w:bottom w:val="none" w:sz="0" w:space="0" w:color="auto"/>
                <w:right w:val="none" w:sz="0" w:space="0" w:color="auto"/>
              </w:divBdr>
            </w:div>
            <w:div w:id="920605898">
              <w:marLeft w:val="0"/>
              <w:marRight w:val="0"/>
              <w:marTop w:val="0"/>
              <w:marBottom w:val="0"/>
              <w:divBdr>
                <w:top w:val="none" w:sz="0" w:space="0" w:color="auto"/>
                <w:left w:val="none" w:sz="0" w:space="0" w:color="auto"/>
                <w:bottom w:val="none" w:sz="0" w:space="0" w:color="auto"/>
                <w:right w:val="none" w:sz="0" w:space="0" w:color="auto"/>
              </w:divBdr>
            </w:div>
            <w:div w:id="1636329123">
              <w:marLeft w:val="0"/>
              <w:marRight w:val="0"/>
              <w:marTop w:val="0"/>
              <w:marBottom w:val="0"/>
              <w:divBdr>
                <w:top w:val="none" w:sz="0" w:space="0" w:color="auto"/>
                <w:left w:val="none" w:sz="0" w:space="0" w:color="auto"/>
                <w:bottom w:val="none" w:sz="0" w:space="0" w:color="auto"/>
                <w:right w:val="none" w:sz="0" w:space="0" w:color="auto"/>
              </w:divBdr>
            </w:div>
            <w:div w:id="450592022">
              <w:marLeft w:val="0"/>
              <w:marRight w:val="0"/>
              <w:marTop w:val="0"/>
              <w:marBottom w:val="0"/>
              <w:divBdr>
                <w:top w:val="none" w:sz="0" w:space="0" w:color="auto"/>
                <w:left w:val="none" w:sz="0" w:space="0" w:color="auto"/>
                <w:bottom w:val="none" w:sz="0" w:space="0" w:color="auto"/>
                <w:right w:val="none" w:sz="0" w:space="0" w:color="auto"/>
              </w:divBdr>
            </w:div>
            <w:div w:id="1389304596">
              <w:marLeft w:val="0"/>
              <w:marRight w:val="0"/>
              <w:marTop w:val="0"/>
              <w:marBottom w:val="0"/>
              <w:divBdr>
                <w:top w:val="none" w:sz="0" w:space="0" w:color="auto"/>
                <w:left w:val="none" w:sz="0" w:space="0" w:color="auto"/>
                <w:bottom w:val="none" w:sz="0" w:space="0" w:color="auto"/>
                <w:right w:val="none" w:sz="0" w:space="0" w:color="auto"/>
              </w:divBdr>
            </w:div>
            <w:div w:id="1790659962">
              <w:marLeft w:val="0"/>
              <w:marRight w:val="0"/>
              <w:marTop w:val="0"/>
              <w:marBottom w:val="0"/>
              <w:divBdr>
                <w:top w:val="none" w:sz="0" w:space="0" w:color="auto"/>
                <w:left w:val="none" w:sz="0" w:space="0" w:color="auto"/>
                <w:bottom w:val="none" w:sz="0" w:space="0" w:color="auto"/>
                <w:right w:val="none" w:sz="0" w:space="0" w:color="auto"/>
              </w:divBdr>
            </w:div>
            <w:div w:id="1559826295">
              <w:marLeft w:val="0"/>
              <w:marRight w:val="0"/>
              <w:marTop w:val="0"/>
              <w:marBottom w:val="0"/>
              <w:divBdr>
                <w:top w:val="none" w:sz="0" w:space="0" w:color="auto"/>
                <w:left w:val="none" w:sz="0" w:space="0" w:color="auto"/>
                <w:bottom w:val="none" w:sz="0" w:space="0" w:color="auto"/>
                <w:right w:val="none" w:sz="0" w:space="0" w:color="auto"/>
              </w:divBdr>
            </w:div>
            <w:div w:id="1129592154">
              <w:marLeft w:val="0"/>
              <w:marRight w:val="0"/>
              <w:marTop w:val="0"/>
              <w:marBottom w:val="0"/>
              <w:divBdr>
                <w:top w:val="none" w:sz="0" w:space="0" w:color="auto"/>
                <w:left w:val="none" w:sz="0" w:space="0" w:color="auto"/>
                <w:bottom w:val="none" w:sz="0" w:space="0" w:color="auto"/>
                <w:right w:val="none" w:sz="0" w:space="0" w:color="auto"/>
              </w:divBdr>
            </w:div>
            <w:div w:id="1401752562">
              <w:marLeft w:val="0"/>
              <w:marRight w:val="0"/>
              <w:marTop w:val="0"/>
              <w:marBottom w:val="0"/>
              <w:divBdr>
                <w:top w:val="none" w:sz="0" w:space="0" w:color="auto"/>
                <w:left w:val="none" w:sz="0" w:space="0" w:color="auto"/>
                <w:bottom w:val="none" w:sz="0" w:space="0" w:color="auto"/>
                <w:right w:val="none" w:sz="0" w:space="0" w:color="auto"/>
              </w:divBdr>
            </w:div>
            <w:div w:id="1403798159">
              <w:marLeft w:val="0"/>
              <w:marRight w:val="0"/>
              <w:marTop w:val="0"/>
              <w:marBottom w:val="0"/>
              <w:divBdr>
                <w:top w:val="none" w:sz="0" w:space="0" w:color="auto"/>
                <w:left w:val="none" w:sz="0" w:space="0" w:color="auto"/>
                <w:bottom w:val="none" w:sz="0" w:space="0" w:color="auto"/>
                <w:right w:val="none" w:sz="0" w:space="0" w:color="auto"/>
              </w:divBdr>
            </w:div>
            <w:div w:id="130755876">
              <w:marLeft w:val="0"/>
              <w:marRight w:val="0"/>
              <w:marTop w:val="0"/>
              <w:marBottom w:val="0"/>
              <w:divBdr>
                <w:top w:val="none" w:sz="0" w:space="0" w:color="auto"/>
                <w:left w:val="none" w:sz="0" w:space="0" w:color="auto"/>
                <w:bottom w:val="none" w:sz="0" w:space="0" w:color="auto"/>
                <w:right w:val="none" w:sz="0" w:space="0" w:color="auto"/>
              </w:divBdr>
            </w:div>
            <w:div w:id="1148739765">
              <w:marLeft w:val="0"/>
              <w:marRight w:val="0"/>
              <w:marTop w:val="0"/>
              <w:marBottom w:val="0"/>
              <w:divBdr>
                <w:top w:val="none" w:sz="0" w:space="0" w:color="auto"/>
                <w:left w:val="none" w:sz="0" w:space="0" w:color="auto"/>
                <w:bottom w:val="none" w:sz="0" w:space="0" w:color="auto"/>
                <w:right w:val="none" w:sz="0" w:space="0" w:color="auto"/>
              </w:divBdr>
            </w:div>
            <w:div w:id="471872641">
              <w:marLeft w:val="0"/>
              <w:marRight w:val="0"/>
              <w:marTop w:val="0"/>
              <w:marBottom w:val="0"/>
              <w:divBdr>
                <w:top w:val="none" w:sz="0" w:space="0" w:color="auto"/>
                <w:left w:val="none" w:sz="0" w:space="0" w:color="auto"/>
                <w:bottom w:val="none" w:sz="0" w:space="0" w:color="auto"/>
                <w:right w:val="none" w:sz="0" w:space="0" w:color="auto"/>
              </w:divBdr>
            </w:div>
            <w:div w:id="1458984772">
              <w:marLeft w:val="0"/>
              <w:marRight w:val="0"/>
              <w:marTop w:val="0"/>
              <w:marBottom w:val="0"/>
              <w:divBdr>
                <w:top w:val="none" w:sz="0" w:space="0" w:color="auto"/>
                <w:left w:val="none" w:sz="0" w:space="0" w:color="auto"/>
                <w:bottom w:val="none" w:sz="0" w:space="0" w:color="auto"/>
                <w:right w:val="none" w:sz="0" w:space="0" w:color="auto"/>
              </w:divBdr>
            </w:div>
            <w:div w:id="1713380071">
              <w:marLeft w:val="0"/>
              <w:marRight w:val="0"/>
              <w:marTop w:val="0"/>
              <w:marBottom w:val="0"/>
              <w:divBdr>
                <w:top w:val="none" w:sz="0" w:space="0" w:color="auto"/>
                <w:left w:val="none" w:sz="0" w:space="0" w:color="auto"/>
                <w:bottom w:val="none" w:sz="0" w:space="0" w:color="auto"/>
                <w:right w:val="none" w:sz="0" w:space="0" w:color="auto"/>
              </w:divBdr>
            </w:div>
            <w:div w:id="497769471">
              <w:marLeft w:val="0"/>
              <w:marRight w:val="0"/>
              <w:marTop w:val="0"/>
              <w:marBottom w:val="0"/>
              <w:divBdr>
                <w:top w:val="none" w:sz="0" w:space="0" w:color="auto"/>
                <w:left w:val="none" w:sz="0" w:space="0" w:color="auto"/>
                <w:bottom w:val="none" w:sz="0" w:space="0" w:color="auto"/>
                <w:right w:val="none" w:sz="0" w:space="0" w:color="auto"/>
              </w:divBdr>
            </w:div>
            <w:div w:id="1737970995">
              <w:marLeft w:val="0"/>
              <w:marRight w:val="0"/>
              <w:marTop w:val="0"/>
              <w:marBottom w:val="0"/>
              <w:divBdr>
                <w:top w:val="none" w:sz="0" w:space="0" w:color="auto"/>
                <w:left w:val="none" w:sz="0" w:space="0" w:color="auto"/>
                <w:bottom w:val="none" w:sz="0" w:space="0" w:color="auto"/>
                <w:right w:val="none" w:sz="0" w:space="0" w:color="auto"/>
              </w:divBdr>
            </w:div>
            <w:div w:id="592477666">
              <w:marLeft w:val="0"/>
              <w:marRight w:val="0"/>
              <w:marTop w:val="0"/>
              <w:marBottom w:val="0"/>
              <w:divBdr>
                <w:top w:val="none" w:sz="0" w:space="0" w:color="auto"/>
                <w:left w:val="none" w:sz="0" w:space="0" w:color="auto"/>
                <w:bottom w:val="none" w:sz="0" w:space="0" w:color="auto"/>
                <w:right w:val="none" w:sz="0" w:space="0" w:color="auto"/>
              </w:divBdr>
            </w:div>
            <w:div w:id="1927810334">
              <w:marLeft w:val="0"/>
              <w:marRight w:val="0"/>
              <w:marTop w:val="0"/>
              <w:marBottom w:val="0"/>
              <w:divBdr>
                <w:top w:val="none" w:sz="0" w:space="0" w:color="auto"/>
                <w:left w:val="none" w:sz="0" w:space="0" w:color="auto"/>
                <w:bottom w:val="none" w:sz="0" w:space="0" w:color="auto"/>
                <w:right w:val="none" w:sz="0" w:space="0" w:color="auto"/>
              </w:divBdr>
            </w:div>
            <w:div w:id="1162698125">
              <w:marLeft w:val="0"/>
              <w:marRight w:val="0"/>
              <w:marTop w:val="0"/>
              <w:marBottom w:val="0"/>
              <w:divBdr>
                <w:top w:val="none" w:sz="0" w:space="0" w:color="auto"/>
                <w:left w:val="none" w:sz="0" w:space="0" w:color="auto"/>
                <w:bottom w:val="none" w:sz="0" w:space="0" w:color="auto"/>
                <w:right w:val="none" w:sz="0" w:space="0" w:color="auto"/>
              </w:divBdr>
            </w:div>
            <w:div w:id="64109531">
              <w:marLeft w:val="0"/>
              <w:marRight w:val="0"/>
              <w:marTop w:val="0"/>
              <w:marBottom w:val="0"/>
              <w:divBdr>
                <w:top w:val="none" w:sz="0" w:space="0" w:color="auto"/>
                <w:left w:val="none" w:sz="0" w:space="0" w:color="auto"/>
                <w:bottom w:val="none" w:sz="0" w:space="0" w:color="auto"/>
                <w:right w:val="none" w:sz="0" w:space="0" w:color="auto"/>
              </w:divBdr>
            </w:div>
            <w:div w:id="1630278038">
              <w:marLeft w:val="0"/>
              <w:marRight w:val="0"/>
              <w:marTop w:val="0"/>
              <w:marBottom w:val="0"/>
              <w:divBdr>
                <w:top w:val="none" w:sz="0" w:space="0" w:color="auto"/>
                <w:left w:val="none" w:sz="0" w:space="0" w:color="auto"/>
                <w:bottom w:val="none" w:sz="0" w:space="0" w:color="auto"/>
                <w:right w:val="none" w:sz="0" w:space="0" w:color="auto"/>
              </w:divBdr>
            </w:div>
            <w:div w:id="656959221">
              <w:marLeft w:val="0"/>
              <w:marRight w:val="0"/>
              <w:marTop w:val="0"/>
              <w:marBottom w:val="0"/>
              <w:divBdr>
                <w:top w:val="none" w:sz="0" w:space="0" w:color="auto"/>
                <w:left w:val="none" w:sz="0" w:space="0" w:color="auto"/>
                <w:bottom w:val="none" w:sz="0" w:space="0" w:color="auto"/>
                <w:right w:val="none" w:sz="0" w:space="0" w:color="auto"/>
              </w:divBdr>
            </w:div>
            <w:div w:id="2106614092">
              <w:marLeft w:val="0"/>
              <w:marRight w:val="0"/>
              <w:marTop w:val="0"/>
              <w:marBottom w:val="0"/>
              <w:divBdr>
                <w:top w:val="none" w:sz="0" w:space="0" w:color="auto"/>
                <w:left w:val="none" w:sz="0" w:space="0" w:color="auto"/>
                <w:bottom w:val="none" w:sz="0" w:space="0" w:color="auto"/>
                <w:right w:val="none" w:sz="0" w:space="0" w:color="auto"/>
              </w:divBdr>
            </w:div>
            <w:div w:id="1427463322">
              <w:marLeft w:val="0"/>
              <w:marRight w:val="0"/>
              <w:marTop w:val="0"/>
              <w:marBottom w:val="0"/>
              <w:divBdr>
                <w:top w:val="none" w:sz="0" w:space="0" w:color="auto"/>
                <w:left w:val="none" w:sz="0" w:space="0" w:color="auto"/>
                <w:bottom w:val="none" w:sz="0" w:space="0" w:color="auto"/>
                <w:right w:val="none" w:sz="0" w:space="0" w:color="auto"/>
              </w:divBdr>
            </w:div>
            <w:div w:id="571549653">
              <w:marLeft w:val="0"/>
              <w:marRight w:val="0"/>
              <w:marTop w:val="0"/>
              <w:marBottom w:val="0"/>
              <w:divBdr>
                <w:top w:val="none" w:sz="0" w:space="0" w:color="auto"/>
                <w:left w:val="none" w:sz="0" w:space="0" w:color="auto"/>
                <w:bottom w:val="none" w:sz="0" w:space="0" w:color="auto"/>
                <w:right w:val="none" w:sz="0" w:space="0" w:color="auto"/>
              </w:divBdr>
            </w:div>
            <w:div w:id="555433758">
              <w:marLeft w:val="0"/>
              <w:marRight w:val="0"/>
              <w:marTop w:val="0"/>
              <w:marBottom w:val="0"/>
              <w:divBdr>
                <w:top w:val="none" w:sz="0" w:space="0" w:color="auto"/>
                <w:left w:val="none" w:sz="0" w:space="0" w:color="auto"/>
                <w:bottom w:val="none" w:sz="0" w:space="0" w:color="auto"/>
                <w:right w:val="none" w:sz="0" w:space="0" w:color="auto"/>
              </w:divBdr>
            </w:div>
            <w:div w:id="1981030568">
              <w:marLeft w:val="0"/>
              <w:marRight w:val="0"/>
              <w:marTop w:val="0"/>
              <w:marBottom w:val="0"/>
              <w:divBdr>
                <w:top w:val="none" w:sz="0" w:space="0" w:color="auto"/>
                <w:left w:val="none" w:sz="0" w:space="0" w:color="auto"/>
                <w:bottom w:val="none" w:sz="0" w:space="0" w:color="auto"/>
                <w:right w:val="none" w:sz="0" w:space="0" w:color="auto"/>
              </w:divBdr>
            </w:div>
            <w:div w:id="1793591287">
              <w:marLeft w:val="0"/>
              <w:marRight w:val="0"/>
              <w:marTop w:val="0"/>
              <w:marBottom w:val="0"/>
              <w:divBdr>
                <w:top w:val="none" w:sz="0" w:space="0" w:color="auto"/>
                <w:left w:val="none" w:sz="0" w:space="0" w:color="auto"/>
                <w:bottom w:val="none" w:sz="0" w:space="0" w:color="auto"/>
                <w:right w:val="none" w:sz="0" w:space="0" w:color="auto"/>
              </w:divBdr>
            </w:div>
            <w:div w:id="688146108">
              <w:marLeft w:val="0"/>
              <w:marRight w:val="0"/>
              <w:marTop w:val="0"/>
              <w:marBottom w:val="0"/>
              <w:divBdr>
                <w:top w:val="none" w:sz="0" w:space="0" w:color="auto"/>
                <w:left w:val="none" w:sz="0" w:space="0" w:color="auto"/>
                <w:bottom w:val="none" w:sz="0" w:space="0" w:color="auto"/>
                <w:right w:val="none" w:sz="0" w:space="0" w:color="auto"/>
              </w:divBdr>
            </w:div>
            <w:div w:id="1135023922">
              <w:marLeft w:val="0"/>
              <w:marRight w:val="0"/>
              <w:marTop w:val="0"/>
              <w:marBottom w:val="0"/>
              <w:divBdr>
                <w:top w:val="none" w:sz="0" w:space="0" w:color="auto"/>
                <w:left w:val="none" w:sz="0" w:space="0" w:color="auto"/>
                <w:bottom w:val="none" w:sz="0" w:space="0" w:color="auto"/>
                <w:right w:val="none" w:sz="0" w:space="0" w:color="auto"/>
              </w:divBdr>
            </w:div>
            <w:div w:id="1883324494">
              <w:marLeft w:val="0"/>
              <w:marRight w:val="0"/>
              <w:marTop w:val="0"/>
              <w:marBottom w:val="0"/>
              <w:divBdr>
                <w:top w:val="none" w:sz="0" w:space="0" w:color="auto"/>
                <w:left w:val="none" w:sz="0" w:space="0" w:color="auto"/>
                <w:bottom w:val="none" w:sz="0" w:space="0" w:color="auto"/>
                <w:right w:val="none" w:sz="0" w:space="0" w:color="auto"/>
              </w:divBdr>
            </w:div>
            <w:div w:id="363987831">
              <w:marLeft w:val="0"/>
              <w:marRight w:val="0"/>
              <w:marTop w:val="0"/>
              <w:marBottom w:val="0"/>
              <w:divBdr>
                <w:top w:val="none" w:sz="0" w:space="0" w:color="auto"/>
                <w:left w:val="none" w:sz="0" w:space="0" w:color="auto"/>
                <w:bottom w:val="none" w:sz="0" w:space="0" w:color="auto"/>
                <w:right w:val="none" w:sz="0" w:space="0" w:color="auto"/>
              </w:divBdr>
            </w:div>
            <w:div w:id="127162363">
              <w:marLeft w:val="0"/>
              <w:marRight w:val="0"/>
              <w:marTop w:val="0"/>
              <w:marBottom w:val="0"/>
              <w:divBdr>
                <w:top w:val="none" w:sz="0" w:space="0" w:color="auto"/>
                <w:left w:val="none" w:sz="0" w:space="0" w:color="auto"/>
                <w:bottom w:val="none" w:sz="0" w:space="0" w:color="auto"/>
                <w:right w:val="none" w:sz="0" w:space="0" w:color="auto"/>
              </w:divBdr>
            </w:div>
            <w:div w:id="1718049339">
              <w:marLeft w:val="0"/>
              <w:marRight w:val="0"/>
              <w:marTop w:val="0"/>
              <w:marBottom w:val="0"/>
              <w:divBdr>
                <w:top w:val="none" w:sz="0" w:space="0" w:color="auto"/>
                <w:left w:val="none" w:sz="0" w:space="0" w:color="auto"/>
                <w:bottom w:val="none" w:sz="0" w:space="0" w:color="auto"/>
                <w:right w:val="none" w:sz="0" w:space="0" w:color="auto"/>
              </w:divBdr>
            </w:div>
            <w:div w:id="737673647">
              <w:marLeft w:val="0"/>
              <w:marRight w:val="0"/>
              <w:marTop w:val="0"/>
              <w:marBottom w:val="0"/>
              <w:divBdr>
                <w:top w:val="none" w:sz="0" w:space="0" w:color="auto"/>
                <w:left w:val="none" w:sz="0" w:space="0" w:color="auto"/>
                <w:bottom w:val="none" w:sz="0" w:space="0" w:color="auto"/>
                <w:right w:val="none" w:sz="0" w:space="0" w:color="auto"/>
              </w:divBdr>
            </w:div>
            <w:div w:id="206337319">
              <w:marLeft w:val="0"/>
              <w:marRight w:val="0"/>
              <w:marTop w:val="0"/>
              <w:marBottom w:val="0"/>
              <w:divBdr>
                <w:top w:val="none" w:sz="0" w:space="0" w:color="auto"/>
                <w:left w:val="none" w:sz="0" w:space="0" w:color="auto"/>
                <w:bottom w:val="none" w:sz="0" w:space="0" w:color="auto"/>
                <w:right w:val="none" w:sz="0" w:space="0" w:color="auto"/>
              </w:divBdr>
            </w:div>
            <w:div w:id="144855532">
              <w:marLeft w:val="0"/>
              <w:marRight w:val="0"/>
              <w:marTop w:val="0"/>
              <w:marBottom w:val="0"/>
              <w:divBdr>
                <w:top w:val="none" w:sz="0" w:space="0" w:color="auto"/>
                <w:left w:val="none" w:sz="0" w:space="0" w:color="auto"/>
                <w:bottom w:val="none" w:sz="0" w:space="0" w:color="auto"/>
                <w:right w:val="none" w:sz="0" w:space="0" w:color="auto"/>
              </w:divBdr>
            </w:div>
            <w:div w:id="1525317619">
              <w:marLeft w:val="0"/>
              <w:marRight w:val="0"/>
              <w:marTop w:val="0"/>
              <w:marBottom w:val="0"/>
              <w:divBdr>
                <w:top w:val="none" w:sz="0" w:space="0" w:color="auto"/>
                <w:left w:val="none" w:sz="0" w:space="0" w:color="auto"/>
                <w:bottom w:val="none" w:sz="0" w:space="0" w:color="auto"/>
                <w:right w:val="none" w:sz="0" w:space="0" w:color="auto"/>
              </w:divBdr>
            </w:div>
            <w:div w:id="939145698">
              <w:marLeft w:val="0"/>
              <w:marRight w:val="0"/>
              <w:marTop w:val="0"/>
              <w:marBottom w:val="0"/>
              <w:divBdr>
                <w:top w:val="none" w:sz="0" w:space="0" w:color="auto"/>
                <w:left w:val="none" w:sz="0" w:space="0" w:color="auto"/>
                <w:bottom w:val="none" w:sz="0" w:space="0" w:color="auto"/>
                <w:right w:val="none" w:sz="0" w:space="0" w:color="auto"/>
              </w:divBdr>
            </w:div>
            <w:div w:id="694575947">
              <w:marLeft w:val="0"/>
              <w:marRight w:val="0"/>
              <w:marTop w:val="0"/>
              <w:marBottom w:val="0"/>
              <w:divBdr>
                <w:top w:val="none" w:sz="0" w:space="0" w:color="auto"/>
                <w:left w:val="none" w:sz="0" w:space="0" w:color="auto"/>
                <w:bottom w:val="none" w:sz="0" w:space="0" w:color="auto"/>
                <w:right w:val="none" w:sz="0" w:space="0" w:color="auto"/>
              </w:divBdr>
            </w:div>
            <w:div w:id="1392079829">
              <w:marLeft w:val="0"/>
              <w:marRight w:val="0"/>
              <w:marTop w:val="0"/>
              <w:marBottom w:val="0"/>
              <w:divBdr>
                <w:top w:val="none" w:sz="0" w:space="0" w:color="auto"/>
                <w:left w:val="none" w:sz="0" w:space="0" w:color="auto"/>
                <w:bottom w:val="none" w:sz="0" w:space="0" w:color="auto"/>
                <w:right w:val="none" w:sz="0" w:space="0" w:color="auto"/>
              </w:divBdr>
            </w:div>
            <w:div w:id="1635063917">
              <w:marLeft w:val="0"/>
              <w:marRight w:val="0"/>
              <w:marTop w:val="0"/>
              <w:marBottom w:val="0"/>
              <w:divBdr>
                <w:top w:val="none" w:sz="0" w:space="0" w:color="auto"/>
                <w:left w:val="none" w:sz="0" w:space="0" w:color="auto"/>
                <w:bottom w:val="none" w:sz="0" w:space="0" w:color="auto"/>
                <w:right w:val="none" w:sz="0" w:space="0" w:color="auto"/>
              </w:divBdr>
            </w:div>
            <w:div w:id="390276644">
              <w:marLeft w:val="0"/>
              <w:marRight w:val="0"/>
              <w:marTop w:val="0"/>
              <w:marBottom w:val="0"/>
              <w:divBdr>
                <w:top w:val="none" w:sz="0" w:space="0" w:color="auto"/>
                <w:left w:val="none" w:sz="0" w:space="0" w:color="auto"/>
                <w:bottom w:val="none" w:sz="0" w:space="0" w:color="auto"/>
                <w:right w:val="none" w:sz="0" w:space="0" w:color="auto"/>
              </w:divBdr>
            </w:div>
            <w:div w:id="953364606">
              <w:marLeft w:val="0"/>
              <w:marRight w:val="0"/>
              <w:marTop w:val="0"/>
              <w:marBottom w:val="0"/>
              <w:divBdr>
                <w:top w:val="none" w:sz="0" w:space="0" w:color="auto"/>
                <w:left w:val="none" w:sz="0" w:space="0" w:color="auto"/>
                <w:bottom w:val="none" w:sz="0" w:space="0" w:color="auto"/>
                <w:right w:val="none" w:sz="0" w:space="0" w:color="auto"/>
              </w:divBdr>
            </w:div>
            <w:div w:id="1620524342">
              <w:marLeft w:val="0"/>
              <w:marRight w:val="0"/>
              <w:marTop w:val="0"/>
              <w:marBottom w:val="0"/>
              <w:divBdr>
                <w:top w:val="none" w:sz="0" w:space="0" w:color="auto"/>
                <w:left w:val="none" w:sz="0" w:space="0" w:color="auto"/>
                <w:bottom w:val="none" w:sz="0" w:space="0" w:color="auto"/>
                <w:right w:val="none" w:sz="0" w:space="0" w:color="auto"/>
              </w:divBdr>
            </w:div>
            <w:div w:id="1252665436">
              <w:marLeft w:val="0"/>
              <w:marRight w:val="0"/>
              <w:marTop w:val="0"/>
              <w:marBottom w:val="0"/>
              <w:divBdr>
                <w:top w:val="none" w:sz="0" w:space="0" w:color="auto"/>
                <w:left w:val="none" w:sz="0" w:space="0" w:color="auto"/>
                <w:bottom w:val="none" w:sz="0" w:space="0" w:color="auto"/>
                <w:right w:val="none" w:sz="0" w:space="0" w:color="auto"/>
              </w:divBdr>
            </w:div>
            <w:div w:id="1830176363">
              <w:marLeft w:val="0"/>
              <w:marRight w:val="0"/>
              <w:marTop w:val="0"/>
              <w:marBottom w:val="0"/>
              <w:divBdr>
                <w:top w:val="none" w:sz="0" w:space="0" w:color="auto"/>
                <w:left w:val="none" w:sz="0" w:space="0" w:color="auto"/>
                <w:bottom w:val="none" w:sz="0" w:space="0" w:color="auto"/>
                <w:right w:val="none" w:sz="0" w:space="0" w:color="auto"/>
              </w:divBdr>
            </w:div>
            <w:div w:id="37121572">
              <w:marLeft w:val="0"/>
              <w:marRight w:val="0"/>
              <w:marTop w:val="0"/>
              <w:marBottom w:val="0"/>
              <w:divBdr>
                <w:top w:val="none" w:sz="0" w:space="0" w:color="auto"/>
                <w:left w:val="none" w:sz="0" w:space="0" w:color="auto"/>
                <w:bottom w:val="none" w:sz="0" w:space="0" w:color="auto"/>
                <w:right w:val="none" w:sz="0" w:space="0" w:color="auto"/>
              </w:divBdr>
            </w:div>
            <w:div w:id="2142535338">
              <w:marLeft w:val="0"/>
              <w:marRight w:val="0"/>
              <w:marTop w:val="0"/>
              <w:marBottom w:val="0"/>
              <w:divBdr>
                <w:top w:val="none" w:sz="0" w:space="0" w:color="auto"/>
                <w:left w:val="none" w:sz="0" w:space="0" w:color="auto"/>
                <w:bottom w:val="none" w:sz="0" w:space="0" w:color="auto"/>
                <w:right w:val="none" w:sz="0" w:space="0" w:color="auto"/>
              </w:divBdr>
            </w:div>
            <w:div w:id="1899199948">
              <w:marLeft w:val="0"/>
              <w:marRight w:val="0"/>
              <w:marTop w:val="0"/>
              <w:marBottom w:val="0"/>
              <w:divBdr>
                <w:top w:val="none" w:sz="0" w:space="0" w:color="auto"/>
                <w:left w:val="none" w:sz="0" w:space="0" w:color="auto"/>
                <w:bottom w:val="none" w:sz="0" w:space="0" w:color="auto"/>
                <w:right w:val="none" w:sz="0" w:space="0" w:color="auto"/>
              </w:divBdr>
            </w:div>
            <w:div w:id="528564820">
              <w:marLeft w:val="0"/>
              <w:marRight w:val="0"/>
              <w:marTop w:val="0"/>
              <w:marBottom w:val="0"/>
              <w:divBdr>
                <w:top w:val="none" w:sz="0" w:space="0" w:color="auto"/>
                <w:left w:val="none" w:sz="0" w:space="0" w:color="auto"/>
                <w:bottom w:val="none" w:sz="0" w:space="0" w:color="auto"/>
                <w:right w:val="none" w:sz="0" w:space="0" w:color="auto"/>
              </w:divBdr>
            </w:div>
            <w:div w:id="466356089">
              <w:marLeft w:val="0"/>
              <w:marRight w:val="0"/>
              <w:marTop w:val="0"/>
              <w:marBottom w:val="0"/>
              <w:divBdr>
                <w:top w:val="none" w:sz="0" w:space="0" w:color="auto"/>
                <w:left w:val="none" w:sz="0" w:space="0" w:color="auto"/>
                <w:bottom w:val="none" w:sz="0" w:space="0" w:color="auto"/>
                <w:right w:val="none" w:sz="0" w:space="0" w:color="auto"/>
              </w:divBdr>
            </w:div>
            <w:div w:id="771780546">
              <w:marLeft w:val="0"/>
              <w:marRight w:val="0"/>
              <w:marTop w:val="0"/>
              <w:marBottom w:val="0"/>
              <w:divBdr>
                <w:top w:val="none" w:sz="0" w:space="0" w:color="auto"/>
                <w:left w:val="none" w:sz="0" w:space="0" w:color="auto"/>
                <w:bottom w:val="none" w:sz="0" w:space="0" w:color="auto"/>
                <w:right w:val="none" w:sz="0" w:space="0" w:color="auto"/>
              </w:divBdr>
            </w:div>
            <w:div w:id="30156590">
              <w:marLeft w:val="0"/>
              <w:marRight w:val="0"/>
              <w:marTop w:val="0"/>
              <w:marBottom w:val="0"/>
              <w:divBdr>
                <w:top w:val="none" w:sz="0" w:space="0" w:color="auto"/>
                <w:left w:val="none" w:sz="0" w:space="0" w:color="auto"/>
                <w:bottom w:val="none" w:sz="0" w:space="0" w:color="auto"/>
                <w:right w:val="none" w:sz="0" w:space="0" w:color="auto"/>
              </w:divBdr>
            </w:div>
            <w:div w:id="867835888">
              <w:marLeft w:val="0"/>
              <w:marRight w:val="0"/>
              <w:marTop w:val="0"/>
              <w:marBottom w:val="0"/>
              <w:divBdr>
                <w:top w:val="none" w:sz="0" w:space="0" w:color="auto"/>
                <w:left w:val="none" w:sz="0" w:space="0" w:color="auto"/>
                <w:bottom w:val="none" w:sz="0" w:space="0" w:color="auto"/>
                <w:right w:val="none" w:sz="0" w:space="0" w:color="auto"/>
              </w:divBdr>
            </w:div>
            <w:div w:id="1304234061">
              <w:marLeft w:val="0"/>
              <w:marRight w:val="0"/>
              <w:marTop w:val="0"/>
              <w:marBottom w:val="0"/>
              <w:divBdr>
                <w:top w:val="none" w:sz="0" w:space="0" w:color="auto"/>
                <w:left w:val="none" w:sz="0" w:space="0" w:color="auto"/>
                <w:bottom w:val="none" w:sz="0" w:space="0" w:color="auto"/>
                <w:right w:val="none" w:sz="0" w:space="0" w:color="auto"/>
              </w:divBdr>
            </w:div>
            <w:div w:id="2052268071">
              <w:marLeft w:val="0"/>
              <w:marRight w:val="0"/>
              <w:marTop w:val="0"/>
              <w:marBottom w:val="0"/>
              <w:divBdr>
                <w:top w:val="none" w:sz="0" w:space="0" w:color="auto"/>
                <w:left w:val="none" w:sz="0" w:space="0" w:color="auto"/>
                <w:bottom w:val="none" w:sz="0" w:space="0" w:color="auto"/>
                <w:right w:val="none" w:sz="0" w:space="0" w:color="auto"/>
              </w:divBdr>
            </w:div>
            <w:div w:id="444925917">
              <w:marLeft w:val="0"/>
              <w:marRight w:val="0"/>
              <w:marTop w:val="0"/>
              <w:marBottom w:val="0"/>
              <w:divBdr>
                <w:top w:val="none" w:sz="0" w:space="0" w:color="auto"/>
                <w:left w:val="none" w:sz="0" w:space="0" w:color="auto"/>
                <w:bottom w:val="none" w:sz="0" w:space="0" w:color="auto"/>
                <w:right w:val="none" w:sz="0" w:space="0" w:color="auto"/>
              </w:divBdr>
            </w:div>
            <w:div w:id="609363868">
              <w:marLeft w:val="0"/>
              <w:marRight w:val="0"/>
              <w:marTop w:val="0"/>
              <w:marBottom w:val="0"/>
              <w:divBdr>
                <w:top w:val="none" w:sz="0" w:space="0" w:color="auto"/>
                <w:left w:val="none" w:sz="0" w:space="0" w:color="auto"/>
                <w:bottom w:val="none" w:sz="0" w:space="0" w:color="auto"/>
                <w:right w:val="none" w:sz="0" w:space="0" w:color="auto"/>
              </w:divBdr>
            </w:div>
            <w:div w:id="338387740">
              <w:marLeft w:val="0"/>
              <w:marRight w:val="0"/>
              <w:marTop w:val="0"/>
              <w:marBottom w:val="0"/>
              <w:divBdr>
                <w:top w:val="none" w:sz="0" w:space="0" w:color="auto"/>
                <w:left w:val="none" w:sz="0" w:space="0" w:color="auto"/>
                <w:bottom w:val="none" w:sz="0" w:space="0" w:color="auto"/>
                <w:right w:val="none" w:sz="0" w:space="0" w:color="auto"/>
              </w:divBdr>
            </w:div>
            <w:div w:id="1634293358">
              <w:marLeft w:val="0"/>
              <w:marRight w:val="0"/>
              <w:marTop w:val="0"/>
              <w:marBottom w:val="0"/>
              <w:divBdr>
                <w:top w:val="none" w:sz="0" w:space="0" w:color="auto"/>
                <w:left w:val="none" w:sz="0" w:space="0" w:color="auto"/>
                <w:bottom w:val="none" w:sz="0" w:space="0" w:color="auto"/>
                <w:right w:val="none" w:sz="0" w:space="0" w:color="auto"/>
              </w:divBdr>
            </w:div>
            <w:div w:id="1584486860">
              <w:marLeft w:val="0"/>
              <w:marRight w:val="0"/>
              <w:marTop w:val="0"/>
              <w:marBottom w:val="0"/>
              <w:divBdr>
                <w:top w:val="none" w:sz="0" w:space="0" w:color="auto"/>
                <w:left w:val="none" w:sz="0" w:space="0" w:color="auto"/>
                <w:bottom w:val="none" w:sz="0" w:space="0" w:color="auto"/>
                <w:right w:val="none" w:sz="0" w:space="0" w:color="auto"/>
              </w:divBdr>
            </w:div>
            <w:div w:id="154806758">
              <w:marLeft w:val="0"/>
              <w:marRight w:val="0"/>
              <w:marTop w:val="0"/>
              <w:marBottom w:val="0"/>
              <w:divBdr>
                <w:top w:val="none" w:sz="0" w:space="0" w:color="auto"/>
                <w:left w:val="none" w:sz="0" w:space="0" w:color="auto"/>
                <w:bottom w:val="none" w:sz="0" w:space="0" w:color="auto"/>
                <w:right w:val="none" w:sz="0" w:space="0" w:color="auto"/>
              </w:divBdr>
            </w:div>
            <w:div w:id="1956786528">
              <w:marLeft w:val="0"/>
              <w:marRight w:val="0"/>
              <w:marTop w:val="0"/>
              <w:marBottom w:val="0"/>
              <w:divBdr>
                <w:top w:val="none" w:sz="0" w:space="0" w:color="auto"/>
                <w:left w:val="none" w:sz="0" w:space="0" w:color="auto"/>
                <w:bottom w:val="none" w:sz="0" w:space="0" w:color="auto"/>
                <w:right w:val="none" w:sz="0" w:space="0" w:color="auto"/>
              </w:divBdr>
            </w:div>
            <w:div w:id="1025014241">
              <w:marLeft w:val="0"/>
              <w:marRight w:val="0"/>
              <w:marTop w:val="0"/>
              <w:marBottom w:val="0"/>
              <w:divBdr>
                <w:top w:val="none" w:sz="0" w:space="0" w:color="auto"/>
                <w:left w:val="none" w:sz="0" w:space="0" w:color="auto"/>
                <w:bottom w:val="none" w:sz="0" w:space="0" w:color="auto"/>
                <w:right w:val="none" w:sz="0" w:space="0" w:color="auto"/>
              </w:divBdr>
            </w:div>
            <w:div w:id="1238247014">
              <w:marLeft w:val="0"/>
              <w:marRight w:val="0"/>
              <w:marTop w:val="0"/>
              <w:marBottom w:val="0"/>
              <w:divBdr>
                <w:top w:val="none" w:sz="0" w:space="0" w:color="auto"/>
                <w:left w:val="none" w:sz="0" w:space="0" w:color="auto"/>
                <w:bottom w:val="none" w:sz="0" w:space="0" w:color="auto"/>
                <w:right w:val="none" w:sz="0" w:space="0" w:color="auto"/>
              </w:divBdr>
            </w:div>
            <w:div w:id="822544020">
              <w:marLeft w:val="0"/>
              <w:marRight w:val="0"/>
              <w:marTop w:val="0"/>
              <w:marBottom w:val="0"/>
              <w:divBdr>
                <w:top w:val="none" w:sz="0" w:space="0" w:color="auto"/>
                <w:left w:val="none" w:sz="0" w:space="0" w:color="auto"/>
                <w:bottom w:val="none" w:sz="0" w:space="0" w:color="auto"/>
                <w:right w:val="none" w:sz="0" w:space="0" w:color="auto"/>
              </w:divBdr>
            </w:div>
            <w:div w:id="1384283541">
              <w:marLeft w:val="0"/>
              <w:marRight w:val="0"/>
              <w:marTop w:val="0"/>
              <w:marBottom w:val="0"/>
              <w:divBdr>
                <w:top w:val="none" w:sz="0" w:space="0" w:color="auto"/>
                <w:left w:val="none" w:sz="0" w:space="0" w:color="auto"/>
                <w:bottom w:val="none" w:sz="0" w:space="0" w:color="auto"/>
                <w:right w:val="none" w:sz="0" w:space="0" w:color="auto"/>
              </w:divBdr>
            </w:div>
            <w:div w:id="1508903038">
              <w:marLeft w:val="0"/>
              <w:marRight w:val="0"/>
              <w:marTop w:val="0"/>
              <w:marBottom w:val="0"/>
              <w:divBdr>
                <w:top w:val="none" w:sz="0" w:space="0" w:color="auto"/>
                <w:left w:val="none" w:sz="0" w:space="0" w:color="auto"/>
                <w:bottom w:val="none" w:sz="0" w:space="0" w:color="auto"/>
                <w:right w:val="none" w:sz="0" w:space="0" w:color="auto"/>
              </w:divBdr>
            </w:div>
            <w:div w:id="1558855968">
              <w:marLeft w:val="0"/>
              <w:marRight w:val="0"/>
              <w:marTop w:val="0"/>
              <w:marBottom w:val="0"/>
              <w:divBdr>
                <w:top w:val="none" w:sz="0" w:space="0" w:color="auto"/>
                <w:left w:val="none" w:sz="0" w:space="0" w:color="auto"/>
                <w:bottom w:val="none" w:sz="0" w:space="0" w:color="auto"/>
                <w:right w:val="none" w:sz="0" w:space="0" w:color="auto"/>
              </w:divBdr>
            </w:div>
            <w:div w:id="81490114">
              <w:marLeft w:val="0"/>
              <w:marRight w:val="0"/>
              <w:marTop w:val="0"/>
              <w:marBottom w:val="0"/>
              <w:divBdr>
                <w:top w:val="none" w:sz="0" w:space="0" w:color="auto"/>
                <w:left w:val="none" w:sz="0" w:space="0" w:color="auto"/>
                <w:bottom w:val="none" w:sz="0" w:space="0" w:color="auto"/>
                <w:right w:val="none" w:sz="0" w:space="0" w:color="auto"/>
              </w:divBdr>
            </w:div>
            <w:div w:id="1897740508">
              <w:marLeft w:val="0"/>
              <w:marRight w:val="0"/>
              <w:marTop w:val="0"/>
              <w:marBottom w:val="0"/>
              <w:divBdr>
                <w:top w:val="none" w:sz="0" w:space="0" w:color="auto"/>
                <w:left w:val="none" w:sz="0" w:space="0" w:color="auto"/>
                <w:bottom w:val="none" w:sz="0" w:space="0" w:color="auto"/>
                <w:right w:val="none" w:sz="0" w:space="0" w:color="auto"/>
              </w:divBdr>
            </w:div>
            <w:div w:id="1515458708">
              <w:marLeft w:val="0"/>
              <w:marRight w:val="0"/>
              <w:marTop w:val="0"/>
              <w:marBottom w:val="0"/>
              <w:divBdr>
                <w:top w:val="none" w:sz="0" w:space="0" w:color="auto"/>
                <w:left w:val="none" w:sz="0" w:space="0" w:color="auto"/>
                <w:bottom w:val="none" w:sz="0" w:space="0" w:color="auto"/>
                <w:right w:val="none" w:sz="0" w:space="0" w:color="auto"/>
              </w:divBdr>
            </w:div>
            <w:div w:id="450975746">
              <w:marLeft w:val="0"/>
              <w:marRight w:val="0"/>
              <w:marTop w:val="0"/>
              <w:marBottom w:val="0"/>
              <w:divBdr>
                <w:top w:val="none" w:sz="0" w:space="0" w:color="auto"/>
                <w:left w:val="none" w:sz="0" w:space="0" w:color="auto"/>
                <w:bottom w:val="none" w:sz="0" w:space="0" w:color="auto"/>
                <w:right w:val="none" w:sz="0" w:space="0" w:color="auto"/>
              </w:divBdr>
            </w:div>
            <w:div w:id="1717899399">
              <w:marLeft w:val="0"/>
              <w:marRight w:val="0"/>
              <w:marTop w:val="0"/>
              <w:marBottom w:val="0"/>
              <w:divBdr>
                <w:top w:val="none" w:sz="0" w:space="0" w:color="auto"/>
                <w:left w:val="none" w:sz="0" w:space="0" w:color="auto"/>
                <w:bottom w:val="none" w:sz="0" w:space="0" w:color="auto"/>
                <w:right w:val="none" w:sz="0" w:space="0" w:color="auto"/>
              </w:divBdr>
            </w:div>
            <w:div w:id="112788995">
              <w:marLeft w:val="0"/>
              <w:marRight w:val="0"/>
              <w:marTop w:val="0"/>
              <w:marBottom w:val="0"/>
              <w:divBdr>
                <w:top w:val="none" w:sz="0" w:space="0" w:color="auto"/>
                <w:left w:val="none" w:sz="0" w:space="0" w:color="auto"/>
                <w:bottom w:val="none" w:sz="0" w:space="0" w:color="auto"/>
                <w:right w:val="none" w:sz="0" w:space="0" w:color="auto"/>
              </w:divBdr>
            </w:div>
            <w:div w:id="469976013">
              <w:marLeft w:val="0"/>
              <w:marRight w:val="0"/>
              <w:marTop w:val="0"/>
              <w:marBottom w:val="0"/>
              <w:divBdr>
                <w:top w:val="none" w:sz="0" w:space="0" w:color="auto"/>
                <w:left w:val="none" w:sz="0" w:space="0" w:color="auto"/>
                <w:bottom w:val="none" w:sz="0" w:space="0" w:color="auto"/>
                <w:right w:val="none" w:sz="0" w:space="0" w:color="auto"/>
              </w:divBdr>
            </w:div>
            <w:div w:id="1028528894">
              <w:marLeft w:val="0"/>
              <w:marRight w:val="0"/>
              <w:marTop w:val="0"/>
              <w:marBottom w:val="0"/>
              <w:divBdr>
                <w:top w:val="none" w:sz="0" w:space="0" w:color="auto"/>
                <w:left w:val="none" w:sz="0" w:space="0" w:color="auto"/>
                <w:bottom w:val="none" w:sz="0" w:space="0" w:color="auto"/>
                <w:right w:val="none" w:sz="0" w:space="0" w:color="auto"/>
              </w:divBdr>
            </w:div>
            <w:div w:id="518010161">
              <w:marLeft w:val="0"/>
              <w:marRight w:val="0"/>
              <w:marTop w:val="0"/>
              <w:marBottom w:val="0"/>
              <w:divBdr>
                <w:top w:val="none" w:sz="0" w:space="0" w:color="auto"/>
                <w:left w:val="none" w:sz="0" w:space="0" w:color="auto"/>
                <w:bottom w:val="none" w:sz="0" w:space="0" w:color="auto"/>
                <w:right w:val="none" w:sz="0" w:space="0" w:color="auto"/>
              </w:divBdr>
            </w:div>
            <w:div w:id="1081367644">
              <w:marLeft w:val="0"/>
              <w:marRight w:val="0"/>
              <w:marTop w:val="0"/>
              <w:marBottom w:val="0"/>
              <w:divBdr>
                <w:top w:val="none" w:sz="0" w:space="0" w:color="auto"/>
                <w:left w:val="none" w:sz="0" w:space="0" w:color="auto"/>
                <w:bottom w:val="none" w:sz="0" w:space="0" w:color="auto"/>
                <w:right w:val="none" w:sz="0" w:space="0" w:color="auto"/>
              </w:divBdr>
            </w:div>
            <w:div w:id="1607270403">
              <w:marLeft w:val="0"/>
              <w:marRight w:val="0"/>
              <w:marTop w:val="0"/>
              <w:marBottom w:val="0"/>
              <w:divBdr>
                <w:top w:val="none" w:sz="0" w:space="0" w:color="auto"/>
                <w:left w:val="none" w:sz="0" w:space="0" w:color="auto"/>
                <w:bottom w:val="none" w:sz="0" w:space="0" w:color="auto"/>
                <w:right w:val="none" w:sz="0" w:space="0" w:color="auto"/>
              </w:divBdr>
            </w:div>
            <w:div w:id="199052597">
              <w:marLeft w:val="0"/>
              <w:marRight w:val="0"/>
              <w:marTop w:val="0"/>
              <w:marBottom w:val="0"/>
              <w:divBdr>
                <w:top w:val="none" w:sz="0" w:space="0" w:color="auto"/>
                <w:left w:val="none" w:sz="0" w:space="0" w:color="auto"/>
                <w:bottom w:val="none" w:sz="0" w:space="0" w:color="auto"/>
                <w:right w:val="none" w:sz="0" w:space="0" w:color="auto"/>
              </w:divBdr>
            </w:div>
            <w:div w:id="2029912271">
              <w:marLeft w:val="0"/>
              <w:marRight w:val="0"/>
              <w:marTop w:val="0"/>
              <w:marBottom w:val="0"/>
              <w:divBdr>
                <w:top w:val="none" w:sz="0" w:space="0" w:color="auto"/>
                <w:left w:val="none" w:sz="0" w:space="0" w:color="auto"/>
                <w:bottom w:val="none" w:sz="0" w:space="0" w:color="auto"/>
                <w:right w:val="none" w:sz="0" w:space="0" w:color="auto"/>
              </w:divBdr>
            </w:div>
            <w:div w:id="206912584">
              <w:marLeft w:val="0"/>
              <w:marRight w:val="0"/>
              <w:marTop w:val="0"/>
              <w:marBottom w:val="0"/>
              <w:divBdr>
                <w:top w:val="none" w:sz="0" w:space="0" w:color="auto"/>
                <w:left w:val="none" w:sz="0" w:space="0" w:color="auto"/>
                <w:bottom w:val="none" w:sz="0" w:space="0" w:color="auto"/>
                <w:right w:val="none" w:sz="0" w:space="0" w:color="auto"/>
              </w:divBdr>
            </w:div>
            <w:div w:id="881673442">
              <w:marLeft w:val="0"/>
              <w:marRight w:val="0"/>
              <w:marTop w:val="0"/>
              <w:marBottom w:val="0"/>
              <w:divBdr>
                <w:top w:val="none" w:sz="0" w:space="0" w:color="auto"/>
                <w:left w:val="none" w:sz="0" w:space="0" w:color="auto"/>
                <w:bottom w:val="none" w:sz="0" w:space="0" w:color="auto"/>
                <w:right w:val="none" w:sz="0" w:space="0" w:color="auto"/>
              </w:divBdr>
            </w:div>
            <w:div w:id="484905638">
              <w:marLeft w:val="0"/>
              <w:marRight w:val="0"/>
              <w:marTop w:val="0"/>
              <w:marBottom w:val="0"/>
              <w:divBdr>
                <w:top w:val="none" w:sz="0" w:space="0" w:color="auto"/>
                <w:left w:val="none" w:sz="0" w:space="0" w:color="auto"/>
                <w:bottom w:val="none" w:sz="0" w:space="0" w:color="auto"/>
                <w:right w:val="none" w:sz="0" w:space="0" w:color="auto"/>
              </w:divBdr>
            </w:div>
            <w:div w:id="2043086729">
              <w:marLeft w:val="0"/>
              <w:marRight w:val="0"/>
              <w:marTop w:val="0"/>
              <w:marBottom w:val="0"/>
              <w:divBdr>
                <w:top w:val="none" w:sz="0" w:space="0" w:color="auto"/>
                <w:left w:val="none" w:sz="0" w:space="0" w:color="auto"/>
                <w:bottom w:val="none" w:sz="0" w:space="0" w:color="auto"/>
                <w:right w:val="none" w:sz="0" w:space="0" w:color="auto"/>
              </w:divBdr>
            </w:div>
            <w:div w:id="472524951">
              <w:marLeft w:val="0"/>
              <w:marRight w:val="0"/>
              <w:marTop w:val="0"/>
              <w:marBottom w:val="0"/>
              <w:divBdr>
                <w:top w:val="none" w:sz="0" w:space="0" w:color="auto"/>
                <w:left w:val="none" w:sz="0" w:space="0" w:color="auto"/>
                <w:bottom w:val="none" w:sz="0" w:space="0" w:color="auto"/>
                <w:right w:val="none" w:sz="0" w:space="0" w:color="auto"/>
              </w:divBdr>
            </w:div>
            <w:div w:id="887767877">
              <w:marLeft w:val="0"/>
              <w:marRight w:val="0"/>
              <w:marTop w:val="0"/>
              <w:marBottom w:val="0"/>
              <w:divBdr>
                <w:top w:val="none" w:sz="0" w:space="0" w:color="auto"/>
                <w:left w:val="none" w:sz="0" w:space="0" w:color="auto"/>
                <w:bottom w:val="none" w:sz="0" w:space="0" w:color="auto"/>
                <w:right w:val="none" w:sz="0" w:space="0" w:color="auto"/>
              </w:divBdr>
            </w:div>
            <w:div w:id="1180925482">
              <w:marLeft w:val="0"/>
              <w:marRight w:val="0"/>
              <w:marTop w:val="0"/>
              <w:marBottom w:val="0"/>
              <w:divBdr>
                <w:top w:val="none" w:sz="0" w:space="0" w:color="auto"/>
                <w:left w:val="none" w:sz="0" w:space="0" w:color="auto"/>
                <w:bottom w:val="none" w:sz="0" w:space="0" w:color="auto"/>
                <w:right w:val="none" w:sz="0" w:space="0" w:color="auto"/>
              </w:divBdr>
            </w:div>
            <w:div w:id="1182355551">
              <w:marLeft w:val="0"/>
              <w:marRight w:val="0"/>
              <w:marTop w:val="0"/>
              <w:marBottom w:val="0"/>
              <w:divBdr>
                <w:top w:val="none" w:sz="0" w:space="0" w:color="auto"/>
                <w:left w:val="none" w:sz="0" w:space="0" w:color="auto"/>
                <w:bottom w:val="none" w:sz="0" w:space="0" w:color="auto"/>
                <w:right w:val="none" w:sz="0" w:space="0" w:color="auto"/>
              </w:divBdr>
            </w:div>
            <w:div w:id="1715235590">
              <w:marLeft w:val="0"/>
              <w:marRight w:val="0"/>
              <w:marTop w:val="0"/>
              <w:marBottom w:val="0"/>
              <w:divBdr>
                <w:top w:val="none" w:sz="0" w:space="0" w:color="auto"/>
                <w:left w:val="none" w:sz="0" w:space="0" w:color="auto"/>
                <w:bottom w:val="none" w:sz="0" w:space="0" w:color="auto"/>
                <w:right w:val="none" w:sz="0" w:space="0" w:color="auto"/>
              </w:divBdr>
            </w:div>
            <w:div w:id="1781102205">
              <w:marLeft w:val="0"/>
              <w:marRight w:val="0"/>
              <w:marTop w:val="0"/>
              <w:marBottom w:val="0"/>
              <w:divBdr>
                <w:top w:val="none" w:sz="0" w:space="0" w:color="auto"/>
                <w:left w:val="none" w:sz="0" w:space="0" w:color="auto"/>
                <w:bottom w:val="none" w:sz="0" w:space="0" w:color="auto"/>
                <w:right w:val="none" w:sz="0" w:space="0" w:color="auto"/>
              </w:divBdr>
            </w:div>
            <w:div w:id="1133909392">
              <w:marLeft w:val="0"/>
              <w:marRight w:val="0"/>
              <w:marTop w:val="0"/>
              <w:marBottom w:val="0"/>
              <w:divBdr>
                <w:top w:val="none" w:sz="0" w:space="0" w:color="auto"/>
                <w:left w:val="none" w:sz="0" w:space="0" w:color="auto"/>
                <w:bottom w:val="none" w:sz="0" w:space="0" w:color="auto"/>
                <w:right w:val="none" w:sz="0" w:space="0" w:color="auto"/>
              </w:divBdr>
            </w:div>
            <w:div w:id="1244683533">
              <w:marLeft w:val="0"/>
              <w:marRight w:val="0"/>
              <w:marTop w:val="0"/>
              <w:marBottom w:val="0"/>
              <w:divBdr>
                <w:top w:val="none" w:sz="0" w:space="0" w:color="auto"/>
                <w:left w:val="none" w:sz="0" w:space="0" w:color="auto"/>
                <w:bottom w:val="none" w:sz="0" w:space="0" w:color="auto"/>
                <w:right w:val="none" w:sz="0" w:space="0" w:color="auto"/>
              </w:divBdr>
            </w:div>
            <w:div w:id="1418139509">
              <w:marLeft w:val="0"/>
              <w:marRight w:val="0"/>
              <w:marTop w:val="0"/>
              <w:marBottom w:val="0"/>
              <w:divBdr>
                <w:top w:val="none" w:sz="0" w:space="0" w:color="auto"/>
                <w:left w:val="none" w:sz="0" w:space="0" w:color="auto"/>
                <w:bottom w:val="none" w:sz="0" w:space="0" w:color="auto"/>
                <w:right w:val="none" w:sz="0" w:space="0" w:color="auto"/>
              </w:divBdr>
            </w:div>
            <w:div w:id="1913655751">
              <w:marLeft w:val="0"/>
              <w:marRight w:val="0"/>
              <w:marTop w:val="0"/>
              <w:marBottom w:val="0"/>
              <w:divBdr>
                <w:top w:val="none" w:sz="0" w:space="0" w:color="auto"/>
                <w:left w:val="none" w:sz="0" w:space="0" w:color="auto"/>
                <w:bottom w:val="none" w:sz="0" w:space="0" w:color="auto"/>
                <w:right w:val="none" w:sz="0" w:space="0" w:color="auto"/>
              </w:divBdr>
            </w:div>
            <w:div w:id="261844476">
              <w:marLeft w:val="0"/>
              <w:marRight w:val="0"/>
              <w:marTop w:val="0"/>
              <w:marBottom w:val="0"/>
              <w:divBdr>
                <w:top w:val="none" w:sz="0" w:space="0" w:color="auto"/>
                <w:left w:val="none" w:sz="0" w:space="0" w:color="auto"/>
                <w:bottom w:val="none" w:sz="0" w:space="0" w:color="auto"/>
                <w:right w:val="none" w:sz="0" w:space="0" w:color="auto"/>
              </w:divBdr>
            </w:div>
            <w:div w:id="136532810">
              <w:marLeft w:val="0"/>
              <w:marRight w:val="0"/>
              <w:marTop w:val="0"/>
              <w:marBottom w:val="0"/>
              <w:divBdr>
                <w:top w:val="none" w:sz="0" w:space="0" w:color="auto"/>
                <w:left w:val="none" w:sz="0" w:space="0" w:color="auto"/>
                <w:bottom w:val="none" w:sz="0" w:space="0" w:color="auto"/>
                <w:right w:val="none" w:sz="0" w:space="0" w:color="auto"/>
              </w:divBdr>
            </w:div>
            <w:div w:id="1788424477">
              <w:marLeft w:val="0"/>
              <w:marRight w:val="0"/>
              <w:marTop w:val="0"/>
              <w:marBottom w:val="0"/>
              <w:divBdr>
                <w:top w:val="none" w:sz="0" w:space="0" w:color="auto"/>
                <w:left w:val="none" w:sz="0" w:space="0" w:color="auto"/>
                <w:bottom w:val="none" w:sz="0" w:space="0" w:color="auto"/>
                <w:right w:val="none" w:sz="0" w:space="0" w:color="auto"/>
              </w:divBdr>
            </w:div>
            <w:div w:id="797652562">
              <w:marLeft w:val="0"/>
              <w:marRight w:val="0"/>
              <w:marTop w:val="0"/>
              <w:marBottom w:val="0"/>
              <w:divBdr>
                <w:top w:val="none" w:sz="0" w:space="0" w:color="auto"/>
                <w:left w:val="none" w:sz="0" w:space="0" w:color="auto"/>
                <w:bottom w:val="none" w:sz="0" w:space="0" w:color="auto"/>
                <w:right w:val="none" w:sz="0" w:space="0" w:color="auto"/>
              </w:divBdr>
            </w:div>
            <w:div w:id="160971056">
              <w:marLeft w:val="0"/>
              <w:marRight w:val="0"/>
              <w:marTop w:val="0"/>
              <w:marBottom w:val="0"/>
              <w:divBdr>
                <w:top w:val="none" w:sz="0" w:space="0" w:color="auto"/>
                <w:left w:val="none" w:sz="0" w:space="0" w:color="auto"/>
                <w:bottom w:val="none" w:sz="0" w:space="0" w:color="auto"/>
                <w:right w:val="none" w:sz="0" w:space="0" w:color="auto"/>
              </w:divBdr>
            </w:div>
            <w:div w:id="1970237154">
              <w:marLeft w:val="0"/>
              <w:marRight w:val="0"/>
              <w:marTop w:val="0"/>
              <w:marBottom w:val="0"/>
              <w:divBdr>
                <w:top w:val="none" w:sz="0" w:space="0" w:color="auto"/>
                <w:left w:val="none" w:sz="0" w:space="0" w:color="auto"/>
                <w:bottom w:val="none" w:sz="0" w:space="0" w:color="auto"/>
                <w:right w:val="none" w:sz="0" w:space="0" w:color="auto"/>
              </w:divBdr>
            </w:div>
            <w:div w:id="185145272">
              <w:marLeft w:val="0"/>
              <w:marRight w:val="0"/>
              <w:marTop w:val="0"/>
              <w:marBottom w:val="0"/>
              <w:divBdr>
                <w:top w:val="none" w:sz="0" w:space="0" w:color="auto"/>
                <w:left w:val="none" w:sz="0" w:space="0" w:color="auto"/>
                <w:bottom w:val="none" w:sz="0" w:space="0" w:color="auto"/>
                <w:right w:val="none" w:sz="0" w:space="0" w:color="auto"/>
              </w:divBdr>
            </w:div>
            <w:div w:id="1859730105">
              <w:marLeft w:val="0"/>
              <w:marRight w:val="0"/>
              <w:marTop w:val="0"/>
              <w:marBottom w:val="0"/>
              <w:divBdr>
                <w:top w:val="none" w:sz="0" w:space="0" w:color="auto"/>
                <w:left w:val="none" w:sz="0" w:space="0" w:color="auto"/>
                <w:bottom w:val="none" w:sz="0" w:space="0" w:color="auto"/>
                <w:right w:val="none" w:sz="0" w:space="0" w:color="auto"/>
              </w:divBdr>
            </w:div>
            <w:div w:id="1404838283">
              <w:marLeft w:val="0"/>
              <w:marRight w:val="0"/>
              <w:marTop w:val="0"/>
              <w:marBottom w:val="0"/>
              <w:divBdr>
                <w:top w:val="none" w:sz="0" w:space="0" w:color="auto"/>
                <w:left w:val="none" w:sz="0" w:space="0" w:color="auto"/>
                <w:bottom w:val="none" w:sz="0" w:space="0" w:color="auto"/>
                <w:right w:val="none" w:sz="0" w:space="0" w:color="auto"/>
              </w:divBdr>
            </w:div>
            <w:div w:id="1968657304">
              <w:marLeft w:val="0"/>
              <w:marRight w:val="0"/>
              <w:marTop w:val="0"/>
              <w:marBottom w:val="0"/>
              <w:divBdr>
                <w:top w:val="none" w:sz="0" w:space="0" w:color="auto"/>
                <w:left w:val="none" w:sz="0" w:space="0" w:color="auto"/>
                <w:bottom w:val="none" w:sz="0" w:space="0" w:color="auto"/>
                <w:right w:val="none" w:sz="0" w:space="0" w:color="auto"/>
              </w:divBdr>
            </w:div>
            <w:div w:id="368266053">
              <w:marLeft w:val="0"/>
              <w:marRight w:val="0"/>
              <w:marTop w:val="0"/>
              <w:marBottom w:val="0"/>
              <w:divBdr>
                <w:top w:val="none" w:sz="0" w:space="0" w:color="auto"/>
                <w:left w:val="none" w:sz="0" w:space="0" w:color="auto"/>
                <w:bottom w:val="none" w:sz="0" w:space="0" w:color="auto"/>
                <w:right w:val="none" w:sz="0" w:space="0" w:color="auto"/>
              </w:divBdr>
            </w:div>
            <w:div w:id="740374531">
              <w:marLeft w:val="0"/>
              <w:marRight w:val="0"/>
              <w:marTop w:val="0"/>
              <w:marBottom w:val="0"/>
              <w:divBdr>
                <w:top w:val="none" w:sz="0" w:space="0" w:color="auto"/>
                <w:left w:val="none" w:sz="0" w:space="0" w:color="auto"/>
                <w:bottom w:val="none" w:sz="0" w:space="0" w:color="auto"/>
                <w:right w:val="none" w:sz="0" w:space="0" w:color="auto"/>
              </w:divBdr>
            </w:div>
            <w:div w:id="1614172769">
              <w:marLeft w:val="0"/>
              <w:marRight w:val="0"/>
              <w:marTop w:val="0"/>
              <w:marBottom w:val="0"/>
              <w:divBdr>
                <w:top w:val="none" w:sz="0" w:space="0" w:color="auto"/>
                <w:left w:val="none" w:sz="0" w:space="0" w:color="auto"/>
                <w:bottom w:val="none" w:sz="0" w:space="0" w:color="auto"/>
                <w:right w:val="none" w:sz="0" w:space="0" w:color="auto"/>
              </w:divBdr>
            </w:div>
            <w:div w:id="1726297885">
              <w:marLeft w:val="0"/>
              <w:marRight w:val="0"/>
              <w:marTop w:val="0"/>
              <w:marBottom w:val="0"/>
              <w:divBdr>
                <w:top w:val="none" w:sz="0" w:space="0" w:color="auto"/>
                <w:left w:val="none" w:sz="0" w:space="0" w:color="auto"/>
                <w:bottom w:val="none" w:sz="0" w:space="0" w:color="auto"/>
                <w:right w:val="none" w:sz="0" w:space="0" w:color="auto"/>
              </w:divBdr>
            </w:div>
            <w:div w:id="1812399823">
              <w:marLeft w:val="0"/>
              <w:marRight w:val="0"/>
              <w:marTop w:val="0"/>
              <w:marBottom w:val="0"/>
              <w:divBdr>
                <w:top w:val="none" w:sz="0" w:space="0" w:color="auto"/>
                <w:left w:val="none" w:sz="0" w:space="0" w:color="auto"/>
                <w:bottom w:val="none" w:sz="0" w:space="0" w:color="auto"/>
                <w:right w:val="none" w:sz="0" w:space="0" w:color="auto"/>
              </w:divBdr>
            </w:div>
            <w:div w:id="704983255">
              <w:marLeft w:val="0"/>
              <w:marRight w:val="0"/>
              <w:marTop w:val="0"/>
              <w:marBottom w:val="0"/>
              <w:divBdr>
                <w:top w:val="none" w:sz="0" w:space="0" w:color="auto"/>
                <w:left w:val="none" w:sz="0" w:space="0" w:color="auto"/>
                <w:bottom w:val="none" w:sz="0" w:space="0" w:color="auto"/>
                <w:right w:val="none" w:sz="0" w:space="0" w:color="auto"/>
              </w:divBdr>
            </w:div>
            <w:div w:id="1333139105">
              <w:marLeft w:val="0"/>
              <w:marRight w:val="0"/>
              <w:marTop w:val="0"/>
              <w:marBottom w:val="0"/>
              <w:divBdr>
                <w:top w:val="none" w:sz="0" w:space="0" w:color="auto"/>
                <w:left w:val="none" w:sz="0" w:space="0" w:color="auto"/>
                <w:bottom w:val="none" w:sz="0" w:space="0" w:color="auto"/>
                <w:right w:val="none" w:sz="0" w:space="0" w:color="auto"/>
              </w:divBdr>
            </w:div>
            <w:div w:id="528298683">
              <w:marLeft w:val="0"/>
              <w:marRight w:val="0"/>
              <w:marTop w:val="0"/>
              <w:marBottom w:val="0"/>
              <w:divBdr>
                <w:top w:val="none" w:sz="0" w:space="0" w:color="auto"/>
                <w:left w:val="none" w:sz="0" w:space="0" w:color="auto"/>
                <w:bottom w:val="none" w:sz="0" w:space="0" w:color="auto"/>
                <w:right w:val="none" w:sz="0" w:space="0" w:color="auto"/>
              </w:divBdr>
            </w:div>
            <w:div w:id="1025520156">
              <w:marLeft w:val="0"/>
              <w:marRight w:val="0"/>
              <w:marTop w:val="0"/>
              <w:marBottom w:val="0"/>
              <w:divBdr>
                <w:top w:val="none" w:sz="0" w:space="0" w:color="auto"/>
                <w:left w:val="none" w:sz="0" w:space="0" w:color="auto"/>
                <w:bottom w:val="none" w:sz="0" w:space="0" w:color="auto"/>
                <w:right w:val="none" w:sz="0" w:space="0" w:color="auto"/>
              </w:divBdr>
            </w:div>
            <w:div w:id="2093505705">
              <w:marLeft w:val="0"/>
              <w:marRight w:val="0"/>
              <w:marTop w:val="0"/>
              <w:marBottom w:val="0"/>
              <w:divBdr>
                <w:top w:val="none" w:sz="0" w:space="0" w:color="auto"/>
                <w:left w:val="none" w:sz="0" w:space="0" w:color="auto"/>
                <w:bottom w:val="none" w:sz="0" w:space="0" w:color="auto"/>
                <w:right w:val="none" w:sz="0" w:space="0" w:color="auto"/>
              </w:divBdr>
            </w:div>
            <w:div w:id="1375274523">
              <w:marLeft w:val="0"/>
              <w:marRight w:val="0"/>
              <w:marTop w:val="0"/>
              <w:marBottom w:val="0"/>
              <w:divBdr>
                <w:top w:val="none" w:sz="0" w:space="0" w:color="auto"/>
                <w:left w:val="none" w:sz="0" w:space="0" w:color="auto"/>
                <w:bottom w:val="none" w:sz="0" w:space="0" w:color="auto"/>
                <w:right w:val="none" w:sz="0" w:space="0" w:color="auto"/>
              </w:divBdr>
            </w:div>
            <w:div w:id="1259748959">
              <w:marLeft w:val="0"/>
              <w:marRight w:val="0"/>
              <w:marTop w:val="0"/>
              <w:marBottom w:val="0"/>
              <w:divBdr>
                <w:top w:val="none" w:sz="0" w:space="0" w:color="auto"/>
                <w:left w:val="none" w:sz="0" w:space="0" w:color="auto"/>
                <w:bottom w:val="none" w:sz="0" w:space="0" w:color="auto"/>
                <w:right w:val="none" w:sz="0" w:space="0" w:color="auto"/>
              </w:divBdr>
            </w:div>
            <w:div w:id="1703901310">
              <w:marLeft w:val="0"/>
              <w:marRight w:val="0"/>
              <w:marTop w:val="0"/>
              <w:marBottom w:val="0"/>
              <w:divBdr>
                <w:top w:val="none" w:sz="0" w:space="0" w:color="auto"/>
                <w:left w:val="none" w:sz="0" w:space="0" w:color="auto"/>
                <w:bottom w:val="none" w:sz="0" w:space="0" w:color="auto"/>
                <w:right w:val="none" w:sz="0" w:space="0" w:color="auto"/>
              </w:divBdr>
            </w:div>
            <w:div w:id="792671497">
              <w:marLeft w:val="0"/>
              <w:marRight w:val="0"/>
              <w:marTop w:val="0"/>
              <w:marBottom w:val="0"/>
              <w:divBdr>
                <w:top w:val="none" w:sz="0" w:space="0" w:color="auto"/>
                <w:left w:val="none" w:sz="0" w:space="0" w:color="auto"/>
                <w:bottom w:val="none" w:sz="0" w:space="0" w:color="auto"/>
                <w:right w:val="none" w:sz="0" w:space="0" w:color="auto"/>
              </w:divBdr>
            </w:div>
            <w:div w:id="725101638">
              <w:marLeft w:val="0"/>
              <w:marRight w:val="0"/>
              <w:marTop w:val="0"/>
              <w:marBottom w:val="0"/>
              <w:divBdr>
                <w:top w:val="none" w:sz="0" w:space="0" w:color="auto"/>
                <w:left w:val="none" w:sz="0" w:space="0" w:color="auto"/>
                <w:bottom w:val="none" w:sz="0" w:space="0" w:color="auto"/>
                <w:right w:val="none" w:sz="0" w:space="0" w:color="auto"/>
              </w:divBdr>
            </w:div>
            <w:div w:id="528491956">
              <w:marLeft w:val="0"/>
              <w:marRight w:val="0"/>
              <w:marTop w:val="0"/>
              <w:marBottom w:val="0"/>
              <w:divBdr>
                <w:top w:val="none" w:sz="0" w:space="0" w:color="auto"/>
                <w:left w:val="none" w:sz="0" w:space="0" w:color="auto"/>
                <w:bottom w:val="none" w:sz="0" w:space="0" w:color="auto"/>
                <w:right w:val="none" w:sz="0" w:space="0" w:color="auto"/>
              </w:divBdr>
            </w:div>
            <w:div w:id="138574902">
              <w:marLeft w:val="0"/>
              <w:marRight w:val="0"/>
              <w:marTop w:val="0"/>
              <w:marBottom w:val="0"/>
              <w:divBdr>
                <w:top w:val="none" w:sz="0" w:space="0" w:color="auto"/>
                <w:left w:val="none" w:sz="0" w:space="0" w:color="auto"/>
                <w:bottom w:val="none" w:sz="0" w:space="0" w:color="auto"/>
                <w:right w:val="none" w:sz="0" w:space="0" w:color="auto"/>
              </w:divBdr>
            </w:div>
            <w:div w:id="1432431707">
              <w:marLeft w:val="0"/>
              <w:marRight w:val="0"/>
              <w:marTop w:val="0"/>
              <w:marBottom w:val="0"/>
              <w:divBdr>
                <w:top w:val="none" w:sz="0" w:space="0" w:color="auto"/>
                <w:left w:val="none" w:sz="0" w:space="0" w:color="auto"/>
                <w:bottom w:val="none" w:sz="0" w:space="0" w:color="auto"/>
                <w:right w:val="none" w:sz="0" w:space="0" w:color="auto"/>
              </w:divBdr>
            </w:div>
            <w:div w:id="1003240720">
              <w:marLeft w:val="0"/>
              <w:marRight w:val="0"/>
              <w:marTop w:val="0"/>
              <w:marBottom w:val="0"/>
              <w:divBdr>
                <w:top w:val="none" w:sz="0" w:space="0" w:color="auto"/>
                <w:left w:val="none" w:sz="0" w:space="0" w:color="auto"/>
                <w:bottom w:val="none" w:sz="0" w:space="0" w:color="auto"/>
                <w:right w:val="none" w:sz="0" w:space="0" w:color="auto"/>
              </w:divBdr>
            </w:div>
            <w:div w:id="784426689">
              <w:marLeft w:val="0"/>
              <w:marRight w:val="0"/>
              <w:marTop w:val="0"/>
              <w:marBottom w:val="0"/>
              <w:divBdr>
                <w:top w:val="none" w:sz="0" w:space="0" w:color="auto"/>
                <w:left w:val="none" w:sz="0" w:space="0" w:color="auto"/>
                <w:bottom w:val="none" w:sz="0" w:space="0" w:color="auto"/>
                <w:right w:val="none" w:sz="0" w:space="0" w:color="auto"/>
              </w:divBdr>
            </w:div>
            <w:div w:id="464785260">
              <w:marLeft w:val="0"/>
              <w:marRight w:val="0"/>
              <w:marTop w:val="0"/>
              <w:marBottom w:val="0"/>
              <w:divBdr>
                <w:top w:val="none" w:sz="0" w:space="0" w:color="auto"/>
                <w:left w:val="none" w:sz="0" w:space="0" w:color="auto"/>
                <w:bottom w:val="none" w:sz="0" w:space="0" w:color="auto"/>
                <w:right w:val="none" w:sz="0" w:space="0" w:color="auto"/>
              </w:divBdr>
            </w:div>
            <w:div w:id="669720001">
              <w:marLeft w:val="0"/>
              <w:marRight w:val="0"/>
              <w:marTop w:val="0"/>
              <w:marBottom w:val="0"/>
              <w:divBdr>
                <w:top w:val="none" w:sz="0" w:space="0" w:color="auto"/>
                <w:left w:val="none" w:sz="0" w:space="0" w:color="auto"/>
                <w:bottom w:val="none" w:sz="0" w:space="0" w:color="auto"/>
                <w:right w:val="none" w:sz="0" w:space="0" w:color="auto"/>
              </w:divBdr>
            </w:div>
            <w:div w:id="417606211">
              <w:marLeft w:val="0"/>
              <w:marRight w:val="0"/>
              <w:marTop w:val="0"/>
              <w:marBottom w:val="0"/>
              <w:divBdr>
                <w:top w:val="none" w:sz="0" w:space="0" w:color="auto"/>
                <w:left w:val="none" w:sz="0" w:space="0" w:color="auto"/>
                <w:bottom w:val="none" w:sz="0" w:space="0" w:color="auto"/>
                <w:right w:val="none" w:sz="0" w:space="0" w:color="auto"/>
              </w:divBdr>
            </w:div>
            <w:div w:id="1327585977">
              <w:marLeft w:val="0"/>
              <w:marRight w:val="0"/>
              <w:marTop w:val="0"/>
              <w:marBottom w:val="0"/>
              <w:divBdr>
                <w:top w:val="none" w:sz="0" w:space="0" w:color="auto"/>
                <w:left w:val="none" w:sz="0" w:space="0" w:color="auto"/>
                <w:bottom w:val="none" w:sz="0" w:space="0" w:color="auto"/>
                <w:right w:val="none" w:sz="0" w:space="0" w:color="auto"/>
              </w:divBdr>
            </w:div>
            <w:div w:id="69087698">
              <w:marLeft w:val="0"/>
              <w:marRight w:val="0"/>
              <w:marTop w:val="0"/>
              <w:marBottom w:val="0"/>
              <w:divBdr>
                <w:top w:val="none" w:sz="0" w:space="0" w:color="auto"/>
                <w:left w:val="none" w:sz="0" w:space="0" w:color="auto"/>
                <w:bottom w:val="none" w:sz="0" w:space="0" w:color="auto"/>
                <w:right w:val="none" w:sz="0" w:space="0" w:color="auto"/>
              </w:divBdr>
            </w:div>
            <w:div w:id="1596593032">
              <w:marLeft w:val="0"/>
              <w:marRight w:val="0"/>
              <w:marTop w:val="0"/>
              <w:marBottom w:val="0"/>
              <w:divBdr>
                <w:top w:val="none" w:sz="0" w:space="0" w:color="auto"/>
                <w:left w:val="none" w:sz="0" w:space="0" w:color="auto"/>
                <w:bottom w:val="none" w:sz="0" w:space="0" w:color="auto"/>
                <w:right w:val="none" w:sz="0" w:space="0" w:color="auto"/>
              </w:divBdr>
            </w:div>
            <w:div w:id="1741171262">
              <w:marLeft w:val="0"/>
              <w:marRight w:val="0"/>
              <w:marTop w:val="0"/>
              <w:marBottom w:val="0"/>
              <w:divBdr>
                <w:top w:val="none" w:sz="0" w:space="0" w:color="auto"/>
                <w:left w:val="none" w:sz="0" w:space="0" w:color="auto"/>
                <w:bottom w:val="none" w:sz="0" w:space="0" w:color="auto"/>
                <w:right w:val="none" w:sz="0" w:space="0" w:color="auto"/>
              </w:divBdr>
            </w:div>
            <w:div w:id="408042683">
              <w:marLeft w:val="0"/>
              <w:marRight w:val="0"/>
              <w:marTop w:val="0"/>
              <w:marBottom w:val="0"/>
              <w:divBdr>
                <w:top w:val="none" w:sz="0" w:space="0" w:color="auto"/>
                <w:left w:val="none" w:sz="0" w:space="0" w:color="auto"/>
                <w:bottom w:val="none" w:sz="0" w:space="0" w:color="auto"/>
                <w:right w:val="none" w:sz="0" w:space="0" w:color="auto"/>
              </w:divBdr>
            </w:div>
            <w:div w:id="1548369430">
              <w:marLeft w:val="0"/>
              <w:marRight w:val="0"/>
              <w:marTop w:val="0"/>
              <w:marBottom w:val="0"/>
              <w:divBdr>
                <w:top w:val="none" w:sz="0" w:space="0" w:color="auto"/>
                <w:left w:val="none" w:sz="0" w:space="0" w:color="auto"/>
                <w:bottom w:val="none" w:sz="0" w:space="0" w:color="auto"/>
                <w:right w:val="none" w:sz="0" w:space="0" w:color="auto"/>
              </w:divBdr>
            </w:div>
            <w:div w:id="1955021155">
              <w:marLeft w:val="0"/>
              <w:marRight w:val="0"/>
              <w:marTop w:val="0"/>
              <w:marBottom w:val="0"/>
              <w:divBdr>
                <w:top w:val="none" w:sz="0" w:space="0" w:color="auto"/>
                <w:left w:val="none" w:sz="0" w:space="0" w:color="auto"/>
                <w:bottom w:val="none" w:sz="0" w:space="0" w:color="auto"/>
                <w:right w:val="none" w:sz="0" w:space="0" w:color="auto"/>
              </w:divBdr>
            </w:div>
            <w:div w:id="410976663">
              <w:marLeft w:val="0"/>
              <w:marRight w:val="0"/>
              <w:marTop w:val="0"/>
              <w:marBottom w:val="0"/>
              <w:divBdr>
                <w:top w:val="none" w:sz="0" w:space="0" w:color="auto"/>
                <w:left w:val="none" w:sz="0" w:space="0" w:color="auto"/>
                <w:bottom w:val="none" w:sz="0" w:space="0" w:color="auto"/>
                <w:right w:val="none" w:sz="0" w:space="0" w:color="auto"/>
              </w:divBdr>
            </w:div>
            <w:div w:id="121653183">
              <w:marLeft w:val="0"/>
              <w:marRight w:val="0"/>
              <w:marTop w:val="0"/>
              <w:marBottom w:val="0"/>
              <w:divBdr>
                <w:top w:val="none" w:sz="0" w:space="0" w:color="auto"/>
                <w:left w:val="none" w:sz="0" w:space="0" w:color="auto"/>
                <w:bottom w:val="none" w:sz="0" w:space="0" w:color="auto"/>
                <w:right w:val="none" w:sz="0" w:space="0" w:color="auto"/>
              </w:divBdr>
            </w:div>
            <w:div w:id="21592122">
              <w:marLeft w:val="0"/>
              <w:marRight w:val="0"/>
              <w:marTop w:val="0"/>
              <w:marBottom w:val="0"/>
              <w:divBdr>
                <w:top w:val="none" w:sz="0" w:space="0" w:color="auto"/>
                <w:left w:val="none" w:sz="0" w:space="0" w:color="auto"/>
                <w:bottom w:val="none" w:sz="0" w:space="0" w:color="auto"/>
                <w:right w:val="none" w:sz="0" w:space="0" w:color="auto"/>
              </w:divBdr>
            </w:div>
            <w:div w:id="1650206183">
              <w:marLeft w:val="0"/>
              <w:marRight w:val="0"/>
              <w:marTop w:val="0"/>
              <w:marBottom w:val="0"/>
              <w:divBdr>
                <w:top w:val="none" w:sz="0" w:space="0" w:color="auto"/>
                <w:left w:val="none" w:sz="0" w:space="0" w:color="auto"/>
                <w:bottom w:val="none" w:sz="0" w:space="0" w:color="auto"/>
                <w:right w:val="none" w:sz="0" w:space="0" w:color="auto"/>
              </w:divBdr>
            </w:div>
            <w:div w:id="419760615">
              <w:marLeft w:val="0"/>
              <w:marRight w:val="0"/>
              <w:marTop w:val="0"/>
              <w:marBottom w:val="0"/>
              <w:divBdr>
                <w:top w:val="none" w:sz="0" w:space="0" w:color="auto"/>
                <w:left w:val="none" w:sz="0" w:space="0" w:color="auto"/>
                <w:bottom w:val="none" w:sz="0" w:space="0" w:color="auto"/>
                <w:right w:val="none" w:sz="0" w:space="0" w:color="auto"/>
              </w:divBdr>
            </w:div>
            <w:div w:id="1894659677">
              <w:marLeft w:val="0"/>
              <w:marRight w:val="0"/>
              <w:marTop w:val="0"/>
              <w:marBottom w:val="0"/>
              <w:divBdr>
                <w:top w:val="none" w:sz="0" w:space="0" w:color="auto"/>
                <w:left w:val="none" w:sz="0" w:space="0" w:color="auto"/>
                <w:bottom w:val="none" w:sz="0" w:space="0" w:color="auto"/>
                <w:right w:val="none" w:sz="0" w:space="0" w:color="auto"/>
              </w:divBdr>
            </w:div>
            <w:div w:id="648095195">
              <w:marLeft w:val="0"/>
              <w:marRight w:val="0"/>
              <w:marTop w:val="0"/>
              <w:marBottom w:val="0"/>
              <w:divBdr>
                <w:top w:val="none" w:sz="0" w:space="0" w:color="auto"/>
                <w:left w:val="none" w:sz="0" w:space="0" w:color="auto"/>
                <w:bottom w:val="none" w:sz="0" w:space="0" w:color="auto"/>
                <w:right w:val="none" w:sz="0" w:space="0" w:color="auto"/>
              </w:divBdr>
            </w:div>
            <w:div w:id="1587375264">
              <w:marLeft w:val="0"/>
              <w:marRight w:val="0"/>
              <w:marTop w:val="0"/>
              <w:marBottom w:val="0"/>
              <w:divBdr>
                <w:top w:val="none" w:sz="0" w:space="0" w:color="auto"/>
                <w:left w:val="none" w:sz="0" w:space="0" w:color="auto"/>
                <w:bottom w:val="none" w:sz="0" w:space="0" w:color="auto"/>
                <w:right w:val="none" w:sz="0" w:space="0" w:color="auto"/>
              </w:divBdr>
            </w:div>
            <w:div w:id="1772508948">
              <w:marLeft w:val="0"/>
              <w:marRight w:val="0"/>
              <w:marTop w:val="0"/>
              <w:marBottom w:val="0"/>
              <w:divBdr>
                <w:top w:val="none" w:sz="0" w:space="0" w:color="auto"/>
                <w:left w:val="none" w:sz="0" w:space="0" w:color="auto"/>
                <w:bottom w:val="none" w:sz="0" w:space="0" w:color="auto"/>
                <w:right w:val="none" w:sz="0" w:space="0" w:color="auto"/>
              </w:divBdr>
            </w:div>
            <w:div w:id="759643760">
              <w:marLeft w:val="0"/>
              <w:marRight w:val="0"/>
              <w:marTop w:val="0"/>
              <w:marBottom w:val="0"/>
              <w:divBdr>
                <w:top w:val="none" w:sz="0" w:space="0" w:color="auto"/>
                <w:left w:val="none" w:sz="0" w:space="0" w:color="auto"/>
                <w:bottom w:val="none" w:sz="0" w:space="0" w:color="auto"/>
                <w:right w:val="none" w:sz="0" w:space="0" w:color="auto"/>
              </w:divBdr>
            </w:div>
            <w:div w:id="1838223257">
              <w:marLeft w:val="0"/>
              <w:marRight w:val="0"/>
              <w:marTop w:val="0"/>
              <w:marBottom w:val="0"/>
              <w:divBdr>
                <w:top w:val="none" w:sz="0" w:space="0" w:color="auto"/>
                <w:left w:val="none" w:sz="0" w:space="0" w:color="auto"/>
                <w:bottom w:val="none" w:sz="0" w:space="0" w:color="auto"/>
                <w:right w:val="none" w:sz="0" w:space="0" w:color="auto"/>
              </w:divBdr>
            </w:div>
            <w:div w:id="1774010240">
              <w:marLeft w:val="0"/>
              <w:marRight w:val="0"/>
              <w:marTop w:val="0"/>
              <w:marBottom w:val="0"/>
              <w:divBdr>
                <w:top w:val="none" w:sz="0" w:space="0" w:color="auto"/>
                <w:left w:val="none" w:sz="0" w:space="0" w:color="auto"/>
                <w:bottom w:val="none" w:sz="0" w:space="0" w:color="auto"/>
                <w:right w:val="none" w:sz="0" w:space="0" w:color="auto"/>
              </w:divBdr>
            </w:div>
            <w:div w:id="671684187">
              <w:marLeft w:val="0"/>
              <w:marRight w:val="0"/>
              <w:marTop w:val="0"/>
              <w:marBottom w:val="0"/>
              <w:divBdr>
                <w:top w:val="none" w:sz="0" w:space="0" w:color="auto"/>
                <w:left w:val="none" w:sz="0" w:space="0" w:color="auto"/>
                <w:bottom w:val="none" w:sz="0" w:space="0" w:color="auto"/>
                <w:right w:val="none" w:sz="0" w:space="0" w:color="auto"/>
              </w:divBdr>
            </w:div>
            <w:div w:id="971207761">
              <w:marLeft w:val="0"/>
              <w:marRight w:val="0"/>
              <w:marTop w:val="0"/>
              <w:marBottom w:val="0"/>
              <w:divBdr>
                <w:top w:val="none" w:sz="0" w:space="0" w:color="auto"/>
                <w:left w:val="none" w:sz="0" w:space="0" w:color="auto"/>
                <w:bottom w:val="none" w:sz="0" w:space="0" w:color="auto"/>
                <w:right w:val="none" w:sz="0" w:space="0" w:color="auto"/>
              </w:divBdr>
            </w:div>
            <w:div w:id="1828088726">
              <w:marLeft w:val="0"/>
              <w:marRight w:val="0"/>
              <w:marTop w:val="0"/>
              <w:marBottom w:val="0"/>
              <w:divBdr>
                <w:top w:val="none" w:sz="0" w:space="0" w:color="auto"/>
                <w:left w:val="none" w:sz="0" w:space="0" w:color="auto"/>
                <w:bottom w:val="none" w:sz="0" w:space="0" w:color="auto"/>
                <w:right w:val="none" w:sz="0" w:space="0" w:color="auto"/>
              </w:divBdr>
            </w:div>
            <w:div w:id="7097856">
              <w:marLeft w:val="0"/>
              <w:marRight w:val="0"/>
              <w:marTop w:val="0"/>
              <w:marBottom w:val="0"/>
              <w:divBdr>
                <w:top w:val="none" w:sz="0" w:space="0" w:color="auto"/>
                <w:left w:val="none" w:sz="0" w:space="0" w:color="auto"/>
                <w:bottom w:val="none" w:sz="0" w:space="0" w:color="auto"/>
                <w:right w:val="none" w:sz="0" w:space="0" w:color="auto"/>
              </w:divBdr>
            </w:div>
            <w:div w:id="35086665">
              <w:marLeft w:val="0"/>
              <w:marRight w:val="0"/>
              <w:marTop w:val="0"/>
              <w:marBottom w:val="0"/>
              <w:divBdr>
                <w:top w:val="none" w:sz="0" w:space="0" w:color="auto"/>
                <w:left w:val="none" w:sz="0" w:space="0" w:color="auto"/>
                <w:bottom w:val="none" w:sz="0" w:space="0" w:color="auto"/>
                <w:right w:val="none" w:sz="0" w:space="0" w:color="auto"/>
              </w:divBdr>
            </w:div>
            <w:div w:id="1588684039">
              <w:marLeft w:val="0"/>
              <w:marRight w:val="0"/>
              <w:marTop w:val="0"/>
              <w:marBottom w:val="0"/>
              <w:divBdr>
                <w:top w:val="none" w:sz="0" w:space="0" w:color="auto"/>
                <w:left w:val="none" w:sz="0" w:space="0" w:color="auto"/>
                <w:bottom w:val="none" w:sz="0" w:space="0" w:color="auto"/>
                <w:right w:val="none" w:sz="0" w:space="0" w:color="auto"/>
              </w:divBdr>
            </w:div>
            <w:div w:id="1522432767">
              <w:marLeft w:val="0"/>
              <w:marRight w:val="0"/>
              <w:marTop w:val="0"/>
              <w:marBottom w:val="0"/>
              <w:divBdr>
                <w:top w:val="none" w:sz="0" w:space="0" w:color="auto"/>
                <w:left w:val="none" w:sz="0" w:space="0" w:color="auto"/>
                <w:bottom w:val="none" w:sz="0" w:space="0" w:color="auto"/>
                <w:right w:val="none" w:sz="0" w:space="0" w:color="auto"/>
              </w:divBdr>
            </w:div>
            <w:div w:id="1119572454">
              <w:marLeft w:val="0"/>
              <w:marRight w:val="0"/>
              <w:marTop w:val="0"/>
              <w:marBottom w:val="0"/>
              <w:divBdr>
                <w:top w:val="none" w:sz="0" w:space="0" w:color="auto"/>
                <w:left w:val="none" w:sz="0" w:space="0" w:color="auto"/>
                <w:bottom w:val="none" w:sz="0" w:space="0" w:color="auto"/>
                <w:right w:val="none" w:sz="0" w:space="0" w:color="auto"/>
              </w:divBdr>
            </w:div>
            <w:div w:id="175505986">
              <w:marLeft w:val="0"/>
              <w:marRight w:val="0"/>
              <w:marTop w:val="0"/>
              <w:marBottom w:val="0"/>
              <w:divBdr>
                <w:top w:val="none" w:sz="0" w:space="0" w:color="auto"/>
                <w:left w:val="none" w:sz="0" w:space="0" w:color="auto"/>
                <w:bottom w:val="none" w:sz="0" w:space="0" w:color="auto"/>
                <w:right w:val="none" w:sz="0" w:space="0" w:color="auto"/>
              </w:divBdr>
            </w:div>
            <w:div w:id="436675772">
              <w:marLeft w:val="0"/>
              <w:marRight w:val="0"/>
              <w:marTop w:val="0"/>
              <w:marBottom w:val="0"/>
              <w:divBdr>
                <w:top w:val="none" w:sz="0" w:space="0" w:color="auto"/>
                <w:left w:val="none" w:sz="0" w:space="0" w:color="auto"/>
                <w:bottom w:val="none" w:sz="0" w:space="0" w:color="auto"/>
                <w:right w:val="none" w:sz="0" w:space="0" w:color="auto"/>
              </w:divBdr>
            </w:div>
            <w:div w:id="1201434388">
              <w:marLeft w:val="0"/>
              <w:marRight w:val="0"/>
              <w:marTop w:val="0"/>
              <w:marBottom w:val="0"/>
              <w:divBdr>
                <w:top w:val="none" w:sz="0" w:space="0" w:color="auto"/>
                <w:left w:val="none" w:sz="0" w:space="0" w:color="auto"/>
                <w:bottom w:val="none" w:sz="0" w:space="0" w:color="auto"/>
                <w:right w:val="none" w:sz="0" w:space="0" w:color="auto"/>
              </w:divBdr>
            </w:div>
            <w:div w:id="9334944">
              <w:marLeft w:val="0"/>
              <w:marRight w:val="0"/>
              <w:marTop w:val="0"/>
              <w:marBottom w:val="0"/>
              <w:divBdr>
                <w:top w:val="none" w:sz="0" w:space="0" w:color="auto"/>
                <w:left w:val="none" w:sz="0" w:space="0" w:color="auto"/>
                <w:bottom w:val="none" w:sz="0" w:space="0" w:color="auto"/>
                <w:right w:val="none" w:sz="0" w:space="0" w:color="auto"/>
              </w:divBdr>
            </w:div>
            <w:div w:id="1454522524">
              <w:marLeft w:val="0"/>
              <w:marRight w:val="0"/>
              <w:marTop w:val="0"/>
              <w:marBottom w:val="0"/>
              <w:divBdr>
                <w:top w:val="none" w:sz="0" w:space="0" w:color="auto"/>
                <w:left w:val="none" w:sz="0" w:space="0" w:color="auto"/>
                <w:bottom w:val="none" w:sz="0" w:space="0" w:color="auto"/>
                <w:right w:val="none" w:sz="0" w:space="0" w:color="auto"/>
              </w:divBdr>
            </w:div>
            <w:div w:id="1030449145">
              <w:marLeft w:val="0"/>
              <w:marRight w:val="0"/>
              <w:marTop w:val="0"/>
              <w:marBottom w:val="0"/>
              <w:divBdr>
                <w:top w:val="none" w:sz="0" w:space="0" w:color="auto"/>
                <w:left w:val="none" w:sz="0" w:space="0" w:color="auto"/>
                <w:bottom w:val="none" w:sz="0" w:space="0" w:color="auto"/>
                <w:right w:val="none" w:sz="0" w:space="0" w:color="auto"/>
              </w:divBdr>
            </w:div>
            <w:div w:id="1411999851">
              <w:marLeft w:val="0"/>
              <w:marRight w:val="0"/>
              <w:marTop w:val="0"/>
              <w:marBottom w:val="0"/>
              <w:divBdr>
                <w:top w:val="none" w:sz="0" w:space="0" w:color="auto"/>
                <w:left w:val="none" w:sz="0" w:space="0" w:color="auto"/>
                <w:bottom w:val="none" w:sz="0" w:space="0" w:color="auto"/>
                <w:right w:val="none" w:sz="0" w:space="0" w:color="auto"/>
              </w:divBdr>
            </w:div>
            <w:div w:id="94401318">
              <w:marLeft w:val="0"/>
              <w:marRight w:val="0"/>
              <w:marTop w:val="0"/>
              <w:marBottom w:val="0"/>
              <w:divBdr>
                <w:top w:val="none" w:sz="0" w:space="0" w:color="auto"/>
                <w:left w:val="none" w:sz="0" w:space="0" w:color="auto"/>
                <w:bottom w:val="none" w:sz="0" w:space="0" w:color="auto"/>
                <w:right w:val="none" w:sz="0" w:space="0" w:color="auto"/>
              </w:divBdr>
            </w:div>
            <w:div w:id="400715042">
              <w:marLeft w:val="0"/>
              <w:marRight w:val="0"/>
              <w:marTop w:val="0"/>
              <w:marBottom w:val="0"/>
              <w:divBdr>
                <w:top w:val="none" w:sz="0" w:space="0" w:color="auto"/>
                <w:left w:val="none" w:sz="0" w:space="0" w:color="auto"/>
                <w:bottom w:val="none" w:sz="0" w:space="0" w:color="auto"/>
                <w:right w:val="none" w:sz="0" w:space="0" w:color="auto"/>
              </w:divBdr>
            </w:div>
            <w:div w:id="1193496405">
              <w:marLeft w:val="0"/>
              <w:marRight w:val="0"/>
              <w:marTop w:val="0"/>
              <w:marBottom w:val="0"/>
              <w:divBdr>
                <w:top w:val="none" w:sz="0" w:space="0" w:color="auto"/>
                <w:left w:val="none" w:sz="0" w:space="0" w:color="auto"/>
                <w:bottom w:val="none" w:sz="0" w:space="0" w:color="auto"/>
                <w:right w:val="none" w:sz="0" w:space="0" w:color="auto"/>
              </w:divBdr>
            </w:div>
            <w:div w:id="160825598">
              <w:marLeft w:val="0"/>
              <w:marRight w:val="0"/>
              <w:marTop w:val="0"/>
              <w:marBottom w:val="0"/>
              <w:divBdr>
                <w:top w:val="none" w:sz="0" w:space="0" w:color="auto"/>
                <w:left w:val="none" w:sz="0" w:space="0" w:color="auto"/>
                <w:bottom w:val="none" w:sz="0" w:space="0" w:color="auto"/>
                <w:right w:val="none" w:sz="0" w:space="0" w:color="auto"/>
              </w:divBdr>
            </w:div>
            <w:div w:id="566258212">
              <w:marLeft w:val="0"/>
              <w:marRight w:val="0"/>
              <w:marTop w:val="0"/>
              <w:marBottom w:val="0"/>
              <w:divBdr>
                <w:top w:val="none" w:sz="0" w:space="0" w:color="auto"/>
                <w:left w:val="none" w:sz="0" w:space="0" w:color="auto"/>
                <w:bottom w:val="none" w:sz="0" w:space="0" w:color="auto"/>
                <w:right w:val="none" w:sz="0" w:space="0" w:color="auto"/>
              </w:divBdr>
            </w:div>
            <w:div w:id="259144703">
              <w:marLeft w:val="0"/>
              <w:marRight w:val="0"/>
              <w:marTop w:val="0"/>
              <w:marBottom w:val="0"/>
              <w:divBdr>
                <w:top w:val="none" w:sz="0" w:space="0" w:color="auto"/>
                <w:left w:val="none" w:sz="0" w:space="0" w:color="auto"/>
                <w:bottom w:val="none" w:sz="0" w:space="0" w:color="auto"/>
                <w:right w:val="none" w:sz="0" w:space="0" w:color="auto"/>
              </w:divBdr>
            </w:div>
            <w:div w:id="781875745">
              <w:marLeft w:val="0"/>
              <w:marRight w:val="0"/>
              <w:marTop w:val="0"/>
              <w:marBottom w:val="0"/>
              <w:divBdr>
                <w:top w:val="none" w:sz="0" w:space="0" w:color="auto"/>
                <w:left w:val="none" w:sz="0" w:space="0" w:color="auto"/>
                <w:bottom w:val="none" w:sz="0" w:space="0" w:color="auto"/>
                <w:right w:val="none" w:sz="0" w:space="0" w:color="auto"/>
              </w:divBdr>
            </w:div>
            <w:div w:id="1929341419">
              <w:marLeft w:val="0"/>
              <w:marRight w:val="0"/>
              <w:marTop w:val="0"/>
              <w:marBottom w:val="0"/>
              <w:divBdr>
                <w:top w:val="none" w:sz="0" w:space="0" w:color="auto"/>
                <w:left w:val="none" w:sz="0" w:space="0" w:color="auto"/>
                <w:bottom w:val="none" w:sz="0" w:space="0" w:color="auto"/>
                <w:right w:val="none" w:sz="0" w:space="0" w:color="auto"/>
              </w:divBdr>
            </w:div>
            <w:div w:id="289215584">
              <w:marLeft w:val="0"/>
              <w:marRight w:val="0"/>
              <w:marTop w:val="0"/>
              <w:marBottom w:val="0"/>
              <w:divBdr>
                <w:top w:val="none" w:sz="0" w:space="0" w:color="auto"/>
                <w:left w:val="none" w:sz="0" w:space="0" w:color="auto"/>
                <w:bottom w:val="none" w:sz="0" w:space="0" w:color="auto"/>
                <w:right w:val="none" w:sz="0" w:space="0" w:color="auto"/>
              </w:divBdr>
            </w:div>
            <w:div w:id="1075664270">
              <w:marLeft w:val="0"/>
              <w:marRight w:val="0"/>
              <w:marTop w:val="0"/>
              <w:marBottom w:val="0"/>
              <w:divBdr>
                <w:top w:val="none" w:sz="0" w:space="0" w:color="auto"/>
                <w:left w:val="none" w:sz="0" w:space="0" w:color="auto"/>
                <w:bottom w:val="none" w:sz="0" w:space="0" w:color="auto"/>
                <w:right w:val="none" w:sz="0" w:space="0" w:color="auto"/>
              </w:divBdr>
            </w:div>
            <w:div w:id="1100222223">
              <w:marLeft w:val="0"/>
              <w:marRight w:val="0"/>
              <w:marTop w:val="0"/>
              <w:marBottom w:val="0"/>
              <w:divBdr>
                <w:top w:val="none" w:sz="0" w:space="0" w:color="auto"/>
                <w:left w:val="none" w:sz="0" w:space="0" w:color="auto"/>
                <w:bottom w:val="none" w:sz="0" w:space="0" w:color="auto"/>
                <w:right w:val="none" w:sz="0" w:space="0" w:color="auto"/>
              </w:divBdr>
            </w:div>
            <w:div w:id="1368986166">
              <w:marLeft w:val="0"/>
              <w:marRight w:val="0"/>
              <w:marTop w:val="0"/>
              <w:marBottom w:val="0"/>
              <w:divBdr>
                <w:top w:val="none" w:sz="0" w:space="0" w:color="auto"/>
                <w:left w:val="none" w:sz="0" w:space="0" w:color="auto"/>
                <w:bottom w:val="none" w:sz="0" w:space="0" w:color="auto"/>
                <w:right w:val="none" w:sz="0" w:space="0" w:color="auto"/>
              </w:divBdr>
            </w:div>
            <w:div w:id="540361913">
              <w:marLeft w:val="0"/>
              <w:marRight w:val="0"/>
              <w:marTop w:val="0"/>
              <w:marBottom w:val="0"/>
              <w:divBdr>
                <w:top w:val="none" w:sz="0" w:space="0" w:color="auto"/>
                <w:left w:val="none" w:sz="0" w:space="0" w:color="auto"/>
                <w:bottom w:val="none" w:sz="0" w:space="0" w:color="auto"/>
                <w:right w:val="none" w:sz="0" w:space="0" w:color="auto"/>
              </w:divBdr>
            </w:div>
            <w:div w:id="374160465">
              <w:marLeft w:val="0"/>
              <w:marRight w:val="0"/>
              <w:marTop w:val="0"/>
              <w:marBottom w:val="0"/>
              <w:divBdr>
                <w:top w:val="none" w:sz="0" w:space="0" w:color="auto"/>
                <w:left w:val="none" w:sz="0" w:space="0" w:color="auto"/>
                <w:bottom w:val="none" w:sz="0" w:space="0" w:color="auto"/>
                <w:right w:val="none" w:sz="0" w:space="0" w:color="auto"/>
              </w:divBdr>
            </w:div>
            <w:div w:id="2015450302">
              <w:marLeft w:val="0"/>
              <w:marRight w:val="0"/>
              <w:marTop w:val="0"/>
              <w:marBottom w:val="0"/>
              <w:divBdr>
                <w:top w:val="none" w:sz="0" w:space="0" w:color="auto"/>
                <w:left w:val="none" w:sz="0" w:space="0" w:color="auto"/>
                <w:bottom w:val="none" w:sz="0" w:space="0" w:color="auto"/>
                <w:right w:val="none" w:sz="0" w:space="0" w:color="auto"/>
              </w:divBdr>
            </w:div>
            <w:div w:id="543295431">
              <w:marLeft w:val="0"/>
              <w:marRight w:val="0"/>
              <w:marTop w:val="0"/>
              <w:marBottom w:val="0"/>
              <w:divBdr>
                <w:top w:val="none" w:sz="0" w:space="0" w:color="auto"/>
                <w:left w:val="none" w:sz="0" w:space="0" w:color="auto"/>
                <w:bottom w:val="none" w:sz="0" w:space="0" w:color="auto"/>
                <w:right w:val="none" w:sz="0" w:space="0" w:color="auto"/>
              </w:divBdr>
            </w:div>
            <w:div w:id="1768308324">
              <w:marLeft w:val="0"/>
              <w:marRight w:val="0"/>
              <w:marTop w:val="0"/>
              <w:marBottom w:val="0"/>
              <w:divBdr>
                <w:top w:val="none" w:sz="0" w:space="0" w:color="auto"/>
                <w:left w:val="none" w:sz="0" w:space="0" w:color="auto"/>
                <w:bottom w:val="none" w:sz="0" w:space="0" w:color="auto"/>
                <w:right w:val="none" w:sz="0" w:space="0" w:color="auto"/>
              </w:divBdr>
            </w:div>
            <w:div w:id="572397890">
              <w:marLeft w:val="0"/>
              <w:marRight w:val="0"/>
              <w:marTop w:val="0"/>
              <w:marBottom w:val="0"/>
              <w:divBdr>
                <w:top w:val="none" w:sz="0" w:space="0" w:color="auto"/>
                <w:left w:val="none" w:sz="0" w:space="0" w:color="auto"/>
                <w:bottom w:val="none" w:sz="0" w:space="0" w:color="auto"/>
                <w:right w:val="none" w:sz="0" w:space="0" w:color="auto"/>
              </w:divBdr>
            </w:div>
            <w:div w:id="2034261850">
              <w:marLeft w:val="0"/>
              <w:marRight w:val="0"/>
              <w:marTop w:val="0"/>
              <w:marBottom w:val="0"/>
              <w:divBdr>
                <w:top w:val="none" w:sz="0" w:space="0" w:color="auto"/>
                <w:left w:val="none" w:sz="0" w:space="0" w:color="auto"/>
                <w:bottom w:val="none" w:sz="0" w:space="0" w:color="auto"/>
                <w:right w:val="none" w:sz="0" w:space="0" w:color="auto"/>
              </w:divBdr>
            </w:div>
            <w:div w:id="795562939">
              <w:marLeft w:val="0"/>
              <w:marRight w:val="0"/>
              <w:marTop w:val="0"/>
              <w:marBottom w:val="0"/>
              <w:divBdr>
                <w:top w:val="none" w:sz="0" w:space="0" w:color="auto"/>
                <w:left w:val="none" w:sz="0" w:space="0" w:color="auto"/>
                <w:bottom w:val="none" w:sz="0" w:space="0" w:color="auto"/>
                <w:right w:val="none" w:sz="0" w:space="0" w:color="auto"/>
              </w:divBdr>
            </w:div>
            <w:div w:id="1110854315">
              <w:marLeft w:val="0"/>
              <w:marRight w:val="0"/>
              <w:marTop w:val="0"/>
              <w:marBottom w:val="0"/>
              <w:divBdr>
                <w:top w:val="none" w:sz="0" w:space="0" w:color="auto"/>
                <w:left w:val="none" w:sz="0" w:space="0" w:color="auto"/>
                <w:bottom w:val="none" w:sz="0" w:space="0" w:color="auto"/>
                <w:right w:val="none" w:sz="0" w:space="0" w:color="auto"/>
              </w:divBdr>
            </w:div>
            <w:div w:id="833183440">
              <w:marLeft w:val="0"/>
              <w:marRight w:val="0"/>
              <w:marTop w:val="0"/>
              <w:marBottom w:val="0"/>
              <w:divBdr>
                <w:top w:val="none" w:sz="0" w:space="0" w:color="auto"/>
                <w:left w:val="none" w:sz="0" w:space="0" w:color="auto"/>
                <w:bottom w:val="none" w:sz="0" w:space="0" w:color="auto"/>
                <w:right w:val="none" w:sz="0" w:space="0" w:color="auto"/>
              </w:divBdr>
            </w:div>
            <w:div w:id="1935555631">
              <w:marLeft w:val="0"/>
              <w:marRight w:val="0"/>
              <w:marTop w:val="0"/>
              <w:marBottom w:val="0"/>
              <w:divBdr>
                <w:top w:val="none" w:sz="0" w:space="0" w:color="auto"/>
                <w:left w:val="none" w:sz="0" w:space="0" w:color="auto"/>
                <w:bottom w:val="none" w:sz="0" w:space="0" w:color="auto"/>
                <w:right w:val="none" w:sz="0" w:space="0" w:color="auto"/>
              </w:divBdr>
            </w:div>
            <w:div w:id="1952129530">
              <w:marLeft w:val="0"/>
              <w:marRight w:val="0"/>
              <w:marTop w:val="0"/>
              <w:marBottom w:val="0"/>
              <w:divBdr>
                <w:top w:val="none" w:sz="0" w:space="0" w:color="auto"/>
                <w:left w:val="none" w:sz="0" w:space="0" w:color="auto"/>
                <w:bottom w:val="none" w:sz="0" w:space="0" w:color="auto"/>
                <w:right w:val="none" w:sz="0" w:space="0" w:color="auto"/>
              </w:divBdr>
            </w:div>
            <w:div w:id="53967159">
              <w:marLeft w:val="0"/>
              <w:marRight w:val="0"/>
              <w:marTop w:val="0"/>
              <w:marBottom w:val="0"/>
              <w:divBdr>
                <w:top w:val="none" w:sz="0" w:space="0" w:color="auto"/>
                <w:left w:val="none" w:sz="0" w:space="0" w:color="auto"/>
                <w:bottom w:val="none" w:sz="0" w:space="0" w:color="auto"/>
                <w:right w:val="none" w:sz="0" w:space="0" w:color="auto"/>
              </w:divBdr>
            </w:div>
            <w:div w:id="1675690246">
              <w:marLeft w:val="0"/>
              <w:marRight w:val="0"/>
              <w:marTop w:val="0"/>
              <w:marBottom w:val="0"/>
              <w:divBdr>
                <w:top w:val="none" w:sz="0" w:space="0" w:color="auto"/>
                <w:left w:val="none" w:sz="0" w:space="0" w:color="auto"/>
                <w:bottom w:val="none" w:sz="0" w:space="0" w:color="auto"/>
                <w:right w:val="none" w:sz="0" w:space="0" w:color="auto"/>
              </w:divBdr>
            </w:div>
            <w:div w:id="1243639007">
              <w:marLeft w:val="0"/>
              <w:marRight w:val="0"/>
              <w:marTop w:val="0"/>
              <w:marBottom w:val="0"/>
              <w:divBdr>
                <w:top w:val="none" w:sz="0" w:space="0" w:color="auto"/>
                <w:left w:val="none" w:sz="0" w:space="0" w:color="auto"/>
                <w:bottom w:val="none" w:sz="0" w:space="0" w:color="auto"/>
                <w:right w:val="none" w:sz="0" w:space="0" w:color="auto"/>
              </w:divBdr>
            </w:div>
            <w:div w:id="1306081217">
              <w:marLeft w:val="0"/>
              <w:marRight w:val="0"/>
              <w:marTop w:val="0"/>
              <w:marBottom w:val="0"/>
              <w:divBdr>
                <w:top w:val="none" w:sz="0" w:space="0" w:color="auto"/>
                <w:left w:val="none" w:sz="0" w:space="0" w:color="auto"/>
                <w:bottom w:val="none" w:sz="0" w:space="0" w:color="auto"/>
                <w:right w:val="none" w:sz="0" w:space="0" w:color="auto"/>
              </w:divBdr>
            </w:div>
            <w:div w:id="130485807">
              <w:marLeft w:val="0"/>
              <w:marRight w:val="0"/>
              <w:marTop w:val="0"/>
              <w:marBottom w:val="0"/>
              <w:divBdr>
                <w:top w:val="none" w:sz="0" w:space="0" w:color="auto"/>
                <w:left w:val="none" w:sz="0" w:space="0" w:color="auto"/>
                <w:bottom w:val="none" w:sz="0" w:space="0" w:color="auto"/>
                <w:right w:val="none" w:sz="0" w:space="0" w:color="auto"/>
              </w:divBdr>
            </w:div>
            <w:div w:id="847863852">
              <w:marLeft w:val="0"/>
              <w:marRight w:val="0"/>
              <w:marTop w:val="0"/>
              <w:marBottom w:val="0"/>
              <w:divBdr>
                <w:top w:val="none" w:sz="0" w:space="0" w:color="auto"/>
                <w:left w:val="none" w:sz="0" w:space="0" w:color="auto"/>
                <w:bottom w:val="none" w:sz="0" w:space="0" w:color="auto"/>
                <w:right w:val="none" w:sz="0" w:space="0" w:color="auto"/>
              </w:divBdr>
            </w:div>
            <w:div w:id="438841464">
              <w:marLeft w:val="0"/>
              <w:marRight w:val="0"/>
              <w:marTop w:val="0"/>
              <w:marBottom w:val="0"/>
              <w:divBdr>
                <w:top w:val="none" w:sz="0" w:space="0" w:color="auto"/>
                <w:left w:val="none" w:sz="0" w:space="0" w:color="auto"/>
                <w:bottom w:val="none" w:sz="0" w:space="0" w:color="auto"/>
                <w:right w:val="none" w:sz="0" w:space="0" w:color="auto"/>
              </w:divBdr>
            </w:div>
            <w:div w:id="329525007">
              <w:marLeft w:val="0"/>
              <w:marRight w:val="0"/>
              <w:marTop w:val="0"/>
              <w:marBottom w:val="0"/>
              <w:divBdr>
                <w:top w:val="none" w:sz="0" w:space="0" w:color="auto"/>
                <w:left w:val="none" w:sz="0" w:space="0" w:color="auto"/>
                <w:bottom w:val="none" w:sz="0" w:space="0" w:color="auto"/>
                <w:right w:val="none" w:sz="0" w:space="0" w:color="auto"/>
              </w:divBdr>
            </w:div>
            <w:div w:id="135537445">
              <w:marLeft w:val="0"/>
              <w:marRight w:val="0"/>
              <w:marTop w:val="0"/>
              <w:marBottom w:val="0"/>
              <w:divBdr>
                <w:top w:val="none" w:sz="0" w:space="0" w:color="auto"/>
                <w:left w:val="none" w:sz="0" w:space="0" w:color="auto"/>
                <w:bottom w:val="none" w:sz="0" w:space="0" w:color="auto"/>
                <w:right w:val="none" w:sz="0" w:space="0" w:color="auto"/>
              </w:divBdr>
            </w:div>
            <w:div w:id="1152793117">
              <w:marLeft w:val="0"/>
              <w:marRight w:val="0"/>
              <w:marTop w:val="0"/>
              <w:marBottom w:val="0"/>
              <w:divBdr>
                <w:top w:val="none" w:sz="0" w:space="0" w:color="auto"/>
                <w:left w:val="none" w:sz="0" w:space="0" w:color="auto"/>
                <w:bottom w:val="none" w:sz="0" w:space="0" w:color="auto"/>
                <w:right w:val="none" w:sz="0" w:space="0" w:color="auto"/>
              </w:divBdr>
            </w:div>
            <w:div w:id="2105957456">
              <w:marLeft w:val="0"/>
              <w:marRight w:val="0"/>
              <w:marTop w:val="0"/>
              <w:marBottom w:val="0"/>
              <w:divBdr>
                <w:top w:val="none" w:sz="0" w:space="0" w:color="auto"/>
                <w:left w:val="none" w:sz="0" w:space="0" w:color="auto"/>
                <w:bottom w:val="none" w:sz="0" w:space="0" w:color="auto"/>
                <w:right w:val="none" w:sz="0" w:space="0" w:color="auto"/>
              </w:divBdr>
            </w:div>
            <w:div w:id="5714335">
              <w:marLeft w:val="0"/>
              <w:marRight w:val="0"/>
              <w:marTop w:val="0"/>
              <w:marBottom w:val="0"/>
              <w:divBdr>
                <w:top w:val="none" w:sz="0" w:space="0" w:color="auto"/>
                <w:left w:val="none" w:sz="0" w:space="0" w:color="auto"/>
                <w:bottom w:val="none" w:sz="0" w:space="0" w:color="auto"/>
                <w:right w:val="none" w:sz="0" w:space="0" w:color="auto"/>
              </w:divBdr>
            </w:div>
            <w:div w:id="901208363">
              <w:marLeft w:val="0"/>
              <w:marRight w:val="0"/>
              <w:marTop w:val="0"/>
              <w:marBottom w:val="0"/>
              <w:divBdr>
                <w:top w:val="none" w:sz="0" w:space="0" w:color="auto"/>
                <w:left w:val="none" w:sz="0" w:space="0" w:color="auto"/>
                <w:bottom w:val="none" w:sz="0" w:space="0" w:color="auto"/>
                <w:right w:val="none" w:sz="0" w:space="0" w:color="auto"/>
              </w:divBdr>
            </w:div>
            <w:div w:id="1927691716">
              <w:marLeft w:val="0"/>
              <w:marRight w:val="0"/>
              <w:marTop w:val="0"/>
              <w:marBottom w:val="0"/>
              <w:divBdr>
                <w:top w:val="none" w:sz="0" w:space="0" w:color="auto"/>
                <w:left w:val="none" w:sz="0" w:space="0" w:color="auto"/>
                <w:bottom w:val="none" w:sz="0" w:space="0" w:color="auto"/>
                <w:right w:val="none" w:sz="0" w:space="0" w:color="auto"/>
              </w:divBdr>
            </w:div>
            <w:div w:id="618415905">
              <w:marLeft w:val="0"/>
              <w:marRight w:val="0"/>
              <w:marTop w:val="0"/>
              <w:marBottom w:val="0"/>
              <w:divBdr>
                <w:top w:val="none" w:sz="0" w:space="0" w:color="auto"/>
                <w:left w:val="none" w:sz="0" w:space="0" w:color="auto"/>
                <w:bottom w:val="none" w:sz="0" w:space="0" w:color="auto"/>
                <w:right w:val="none" w:sz="0" w:space="0" w:color="auto"/>
              </w:divBdr>
            </w:div>
            <w:div w:id="1658529667">
              <w:marLeft w:val="0"/>
              <w:marRight w:val="0"/>
              <w:marTop w:val="0"/>
              <w:marBottom w:val="0"/>
              <w:divBdr>
                <w:top w:val="none" w:sz="0" w:space="0" w:color="auto"/>
                <w:left w:val="none" w:sz="0" w:space="0" w:color="auto"/>
                <w:bottom w:val="none" w:sz="0" w:space="0" w:color="auto"/>
                <w:right w:val="none" w:sz="0" w:space="0" w:color="auto"/>
              </w:divBdr>
            </w:div>
            <w:div w:id="1804077970">
              <w:marLeft w:val="0"/>
              <w:marRight w:val="0"/>
              <w:marTop w:val="0"/>
              <w:marBottom w:val="0"/>
              <w:divBdr>
                <w:top w:val="none" w:sz="0" w:space="0" w:color="auto"/>
                <w:left w:val="none" w:sz="0" w:space="0" w:color="auto"/>
                <w:bottom w:val="none" w:sz="0" w:space="0" w:color="auto"/>
                <w:right w:val="none" w:sz="0" w:space="0" w:color="auto"/>
              </w:divBdr>
            </w:div>
            <w:div w:id="1651207785">
              <w:marLeft w:val="0"/>
              <w:marRight w:val="0"/>
              <w:marTop w:val="0"/>
              <w:marBottom w:val="0"/>
              <w:divBdr>
                <w:top w:val="none" w:sz="0" w:space="0" w:color="auto"/>
                <w:left w:val="none" w:sz="0" w:space="0" w:color="auto"/>
                <w:bottom w:val="none" w:sz="0" w:space="0" w:color="auto"/>
                <w:right w:val="none" w:sz="0" w:space="0" w:color="auto"/>
              </w:divBdr>
            </w:div>
            <w:div w:id="1499541342">
              <w:marLeft w:val="0"/>
              <w:marRight w:val="0"/>
              <w:marTop w:val="0"/>
              <w:marBottom w:val="0"/>
              <w:divBdr>
                <w:top w:val="none" w:sz="0" w:space="0" w:color="auto"/>
                <w:left w:val="none" w:sz="0" w:space="0" w:color="auto"/>
                <w:bottom w:val="none" w:sz="0" w:space="0" w:color="auto"/>
                <w:right w:val="none" w:sz="0" w:space="0" w:color="auto"/>
              </w:divBdr>
            </w:div>
            <w:div w:id="1176841053">
              <w:marLeft w:val="0"/>
              <w:marRight w:val="0"/>
              <w:marTop w:val="0"/>
              <w:marBottom w:val="0"/>
              <w:divBdr>
                <w:top w:val="none" w:sz="0" w:space="0" w:color="auto"/>
                <w:left w:val="none" w:sz="0" w:space="0" w:color="auto"/>
                <w:bottom w:val="none" w:sz="0" w:space="0" w:color="auto"/>
                <w:right w:val="none" w:sz="0" w:space="0" w:color="auto"/>
              </w:divBdr>
            </w:div>
            <w:div w:id="324282570">
              <w:marLeft w:val="0"/>
              <w:marRight w:val="0"/>
              <w:marTop w:val="0"/>
              <w:marBottom w:val="0"/>
              <w:divBdr>
                <w:top w:val="none" w:sz="0" w:space="0" w:color="auto"/>
                <w:left w:val="none" w:sz="0" w:space="0" w:color="auto"/>
                <w:bottom w:val="none" w:sz="0" w:space="0" w:color="auto"/>
                <w:right w:val="none" w:sz="0" w:space="0" w:color="auto"/>
              </w:divBdr>
            </w:div>
            <w:div w:id="1876234719">
              <w:marLeft w:val="0"/>
              <w:marRight w:val="0"/>
              <w:marTop w:val="0"/>
              <w:marBottom w:val="0"/>
              <w:divBdr>
                <w:top w:val="none" w:sz="0" w:space="0" w:color="auto"/>
                <w:left w:val="none" w:sz="0" w:space="0" w:color="auto"/>
                <w:bottom w:val="none" w:sz="0" w:space="0" w:color="auto"/>
                <w:right w:val="none" w:sz="0" w:space="0" w:color="auto"/>
              </w:divBdr>
            </w:div>
            <w:div w:id="800924048">
              <w:marLeft w:val="0"/>
              <w:marRight w:val="0"/>
              <w:marTop w:val="0"/>
              <w:marBottom w:val="0"/>
              <w:divBdr>
                <w:top w:val="none" w:sz="0" w:space="0" w:color="auto"/>
                <w:left w:val="none" w:sz="0" w:space="0" w:color="auto"/>
                <w:bottom w:val="none" w:sz="0" w:space="0" w:color="auto"/>
                <w:right w:val="none" w:sz="0" w:space="0" w:color="auto"/>
              </w:divBdr>
            </w:div>
            <w:div w:id="394746252">
              <w:marLeft w:val="0"/>
              <w:marRight w:val="0"/>
              <w:marTop w:val="0"/>
              <w:marBottom w:val="0"/>
              <w:divBdr>
                <w:top w:val="none" w:sz="0" w:space="0" w:color="auto"/>
                <w:left w:val="none" w:sz="0" w:space="0" w:color="auto"/>
                <w:bottom w:val="none" w:sz="0" w:space="0" w:color="auto"/>
                <w:right w:val="none" w:sz="0" w:space="0" w:color="auto"/>
              </w:divBdr>
            </w:div>
            <w:div w:id="2116554283">
              <w:marLeft w:val="0"/>
              <w:marRight w:val="0"/>
              <w:marTop w:val="0"/>
              <w:marBottom w:val="0"/>
              <w:divBdr>
                <w:top w:val="none" w:sz="0" w:space="0" w:color="auto"/>
                <w:left w:val="none" w:sz="0" w:space="0" w:color="auto"/>
                <w:bottom w:val="none" w:sz="0" w:space="0" w:color="auto"/>
                <w:right w:val="none" w:sz="0" w:space="0" w:color="auto"/>
              </w:divBdr>
            </w:div>
            <w:div w:id="284390557">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1310937417">
              <w:marLeft w:val="0"/>
              <w:marRight w:val="0"/>
              <w:marTop w:val="0"/>
              <w:marBottom w:val="0"/>
              <w:divBdr>
                <w:top w:val="none" w:sz="0" w:space="0" w:color="auto"/>
                <w:left w:val="none" w:sz="0" w:space="0" w:color="auto"/>
                <w:bottom w:val="none" w:sz="0" w:space="0" w:color="auto"/>
                <w:right w:val="none" w:sz="0" w:space="0" w:color="auto"/>
              </w:divBdr>
            </w:div>
            <w:div w:id="1880899454">
              <w:marLeft w:val="0"/>
              <w:marRight w:val="0"/>
              <w:marTop w:val="0"/>
              <w:marBottom w:val="0"/>
              <w:divBdr>
                <w:top w:val="none" w:sz="0" w:space="0" w:color="auto"/>
                <w:left w:val="none" w:sz="0" w:space="0" w:color="auto"/>
                <w:bottom w:val="none" w:sz="0" w:space="0" w:color="auto"/>
                <w:right w:val="none" w:sz="0" w:space="0" w:color="auto"/>
              </w:divBdr>
            </w:div>
            <w:div w:id="1776360018">
              <w:marLeft w:val="0"/>
              <w:marRight w:val="0"/>
              <w:marTop w:val="0"/>
              <w:marBottom w:val="0"/>
              <w:divBdr>
                <w:top w:val="none" w:sz="0" w:space="0" w:color="auto"/>
                <w:left w:val="none" w:sz="0" w:space="0" w:color="auto"/>
                <w:bottom w:val="none" w:sz="0" w:space="0" w:color="auto"/>
                <w:right w:val="none" w:sz="0" w:space="0" w:color="auto"/>
              </w:divBdr>
            </w:div>
            <w:div w:id="1519539525">
              <w:marLeft w:val="0"/>
              <w:marRight w:val="0"/>
              <w:marTop w:val="0"/>
              <w:marBottom w:val="0"/>
              <w:divBdr>
                <w:top w:val="none" w:sz="0" w:space="0" w:color="auto"/>
                <w:left w:val="none" w:sz="0" w:space="0" w:color="auto"/>
                <w:bottom w:val="none" w:sz="0" w:space="0" w:color="auto"/>
                <w:right w:val="none" w:sz="0" w:space="0" w:color="auto"/>
              </w:divBdr>
            </w:div>
            <w:div w:id="1410270060">
              <w:marLeft w:val="0"/>
              <w:marRight w:val="0"/>
              <w:marTop w:val="0"/>
              <w:marBottom w:val="0"/>
              <w:divBdr>
                <w:top w:val="none" w:sz="0" w:space="0" w:color="auto"/>
                <w:left w:val="none" w:sz="0" w:space="0" w:color="auto"/>
                <w:bottom w:val="none" w:sz="0" w:space="0" w:color="auto"/>
                <w:right w:val="none" w:sz="0" w:space="0" w:color="auto"/>
              </w:divBdr>
            </w:div>
            <w:div w:id="1141071074">
              <w:marLeft w:val="0"/>
              <w:marRight w:val="0"/>
              <w:marTop w:val="0"/>
              <w:marBottom w:val="0"/>
              <w:divBdr>
                <w:top w:val="none" w:sz="0" w:space="0" w:color="auto"/>
                <w:left w:val="none" w:sz="0" w:space="0" w:color="auto"/>
                <w:bottom w:val="none" w:sz="0" w:space="0" w:color="auto"/>
                <w:right w:val="none" w:sz="0" w:space="0" w:color="auto"/>
              </w:divBdr>
            </w:div>
            <w:div w:id="1708986958">
              <w:marLeft w:val="0"/>
              <w:marRight w:val="0"/>
              <w:marTop w:val="0"/>
              <w:marBottom w:val="0"/>
              <w:divBdr>
                <w:top w:val="none" w:sz="0" w:space="0" w:color="auto"/>
                <w:left w:val="none" w:sz="0" w:space="0" w:color="auto"/>
                <w:bottom w:val="none" w:sz="0" w:space="0" w:color="auto"/>
                <w:right w:val="none" w:sz="0" w:space="0" w:color="auto"/>
              </w:divBdr>
            </w:div>
            <w:div w:id="1067991395">
              <w:marLeft w:val="0"/>
              <w:marRight w:val="0"/>
              <w:marTop w:val="0"/>
              <w:marBottom w:val="0"/>
              <w:divBdr>
                <w:top w:val="none" w:sz="0" w:space="0" w:color="auto"/>
                <w:left w:val="none" w:sz="0" w:space="0" w:color="auto"/>
                <w:bottom w:val="none" w:sz="0" w:space="0" w:color="auto"/>
                <w:right w:val="none" w:sz="0" w:space="0" w:color="auto"/>
              </w:divBdr>
            </w:div>
            <w:div w:id="120152694">
              <w:marLeft w:val="0"/>
              <w:marRight w:val="0"/>
              <w:marTop w:val="0"/>
              <w:marBottom w:val="0"/>
              <w:divBdr>
                <w:top w:val="none" w:sz="0" w:space="0" w:color="auto"/>
                <w:left w:val="none" w:sz="0" w:space="0" w:color="auto"/>
                <w:bottom w:val="none" w:sz="0" w:space="0" w:color="auto"/>
                <w:right w:val="none" w:sz="0" w:space="0" w:color="auto"/>
              </w:divBdr>
            </w:div>
            <w:div w:id="1629120656">
              <w:marLeft w:val="0"/>
              <w:marRight w:val="0"/>
              <w:marTop w:val="0"/>
              <w:marBottom w:val="0"/>
              <w:divBdr>
                <w:top w:val="none" w:sz="0" w:space="0" w:color="auto"/>
                <w:left w:val="none" w:sz="0" w:space="0" w:color="auto"/>
                <w:bottom w:val="none" w:sz="0" w:space="0" w:color="auto"/>
                <w:right w:val="none" w:sz="0" w:space="0" w:color="auto"/>
              </w:divBdr>
            </w:div>
            <w:div w:id="2078362640">
              <w:marLeft w:val="0"/>
              <w:marRight w:val="0"/>
              <w:marTop w:val="0"/>
              <w:marBottom w:val="0"/>
              <w:divBdr>
                <w:top w:val="none" w:sz="0" w:space="0" w:color="auto"/>
                <w:left w:val="none" w:sz="0" w:space="0" w:color="auto"/>
                <w:bottom w:val="none" w:sz="0" w:space="0" w:color="auto"/>
                <w:right w:val="none" w:sz="0" w:space="0" w:color="auto"/>
              </w:divBdr>
            </w:div>
            <w:div w:id="336688913">
              <w:marLeft w:val="0"/>
              <w:marRight w:val="0"/>
              <w:marTop w:val="0"/>
              <w:marBottom w:val="0"/>
              <w:divBdr>
                <w:top w:val="none" w:sz="0" w:space="0" w:color="auto"/>
                <w:left w:val="none" w:sz="0" w:space="0" w:color="auto"/>
                <w:bottom w:val="none" w:sz="0" w:space="0" w:color="auto"/>
                <w:right w:val="none" w:sz="0" w:space="0" w:color="auto"/>
              </w:divBdr>
            </w:div>
            <w:div w:id="1983579166">
              <w:marLeft w:val="0"/>
              <w:marRight w:val="0"/>
              <w:marTop w:val="0"/>
              <w:marBottom w:val="0"/>
              <w:divBdr>
                <w:top w:val="none" w:sz="0" w:space="0" w:color="auto"/>
                <w:left w:val="none" w:sz="0" w:space="0" w:color="auto"/>
                <w:bottom w:val="none" w:sz="0" w:space="0" w:color="auto"/>
                <w:right w:val="none" w:sz="0" w:space="0" w:color="auto"/>
              </w:divBdr>
            </w:div>
            <w:div w:id="52627828">
              <w:marLeft w:val="0"/>
              <w:marRight w:val="0"/>
              <w:marTop w:val="0"/>
              <w:marBottom w:val="0"/>
              <w:divBdr>
                <w:top w:val="none" w:sz="0" w:space="0" w:color="auto"/>
                <w:left w:val="none" w:sz="0" w:space="0" w:color="auto"/>
                <w:bottom w:val="none" w:sz="0" w:space="0" w:color="auto"/>
                <w:right w:val="none" w:sz="0" w:space="0" w:color="auto"/>
              </w:divBdr>
            </w:div>
            <w:div w:id="664666759">
              <w:marLeft w:val="0"/>
              <w:marRight w:val="0"/>
              <w:marTop w:val="0"/>
              <w:marBottom w:val="0"/>
              <w:divBdr>
                <w:top w:val="none" w:sz="0" w:space="0" w:color="auto"/>
                <w:left w:val="none" w:sz="0" w:space="0" w:color="auto"/>
                <w:bottom w:val="none" w:sz="0" w:space="0" w:color="auto"/>
                <w:right w:val="none" w:sz="0" w:space="0" w:color="auto"/>
              </w:divBdr>
            </w:div>
            <w:div w:id="251008659">
              <w:marLeft w:val="0"/>
              <w:marRight w:val="0"/>
              <w:marTop w:val="0"/>
              <w:marBottom w:val="0"/>
              <w:divBdr>
                <w:top w:val="none" w:sz="0" w:space="0" w:color="auto"/>
                <w:left w:val="none" w:sz="0" w:space="0" w:color="auto"/>
                <w:bottom w:val="none" w:sz="0" w:space="0" w:color="auto"/>
                <w:right w:val="none" w:sz="0" w:space="0" w:color="auto"/>
              </w:divBdr>
            </w:div>
            <w:div w:id="285162707">
              <w:marLeft w:val="0"/>
              <w:marRight w:val="0"/>
              <w:marTop w:val="0"/>
              <w:marBottom w:val="0"/>
              <w:divBdr>
                <w:top w:val="none" w:sz="0" w:space="0" w:color="auto"/>
                <w:left w:val="none" w:sz="0" w:space="0" w:color="auto"/>
                <w:bottom w:val="none" w:sz="0" w:space="0" w:color="auto"/>
                <w:right w:val="none" w:sz="0" w:space="0" w:color="auto"/>
              </w:divBdr>
            </w:div>
            <w:div w:id="2141999004">
              <w:marLeft w:val="0"/>
              <w:marRight w:val="0"/>
              <w:marTop w:val="0"/>
              <w:marBottom w:val="0"/>
              <w:divBdr>
                <w:top w:val="none" w:sz="0" w:space="0" w:color="auto"/>
                <w:left w:val="none" w:sz="0" w:space="0" w:color="auto"/>
                <w:bottom w:val="none" w:sz="0" w:space="0" w:color="auto"/>
                <w:right w:val="none" w:sz="0" w:space="0" w:color="auto"/>
              </w:divBdr>
            </w:div>
            <w:div w:id="854227046">
              <w:marLeft w:val="0"/>
              <w:marRight w:val="0"/>
              <w:marTop w:val="0"/>
              <w:marBottom w:val="0"/>
              <w:divBdr>
                <w:top w:val="none" w:sz="0" w:space="0" w:color="auto"/>
                <w:left w:val="none" w:sz="0" w:space="0" w:color="auto"/>
                <w:bottom w:val="none" w:sz="0" w:space="0" w:color="auto"/>
                <w:right w:val="none" w:sz="0" w:space="0" w:color="auto"/>
              </w:divBdr>
            </w:div>
            <w:div w:id="304625553">
              <w:marLeft w:val="0"/>
              <w:marRight w:val="0"/>
              <w:marTop w:val="0"/>
              <w:marBottom w:val="0"/>
              <w:divBdr>
                <w:top w:val="none" w:sz="0" w:space="0" w:color="auto"/>
                <w:left w:val="none" w:sz="0" w:space="0" w:color="auto"/>
                <w:bottom w:val="none" w:sz="0" w:space="0" w:color="auto"/>
                <w:right w:val="none" w:sz="0" w:space="0" w:color="auto"/>
              </w:divBdr>
            </w:div>
            <w:div w:id="1174489209">
              <w:marLeft w:val="0"/>
              <w:marRight w:val="0"/>
              <w:marTop w:val="0"/>
              <w:marBottom w:val="0"/>
              <w:divBdr>
                <w:top w:val="none" w:sz="0" w:space="0" w:color="auto"/>
                <w:left w:val="none" w:sz="0" w:space="0" w:color="auto"/>
                <w:bottom w:val="none" w:sz="0" w:space="0" w:color="auto"/>
                <w:right w:val="none" w:sz="0" w:space="0" w:color="auto"/>
              </w:divBdr>
            </w:div>
            <w:div w:id="1512839284">
              <w:marLeft w:val="0"/>
              <w:marRight w:val="0"/>
              <w:marTop w:val="0"/>
              <w:marBottom w:val="0"/>
              <w:divBdr>
                <w:top w:val="none" w:sz="0" w:space="0" w:color="auto"/>
                <w:left w:val="none" w:sz="0" w:space="0" w:color="auto"/>
                <w:bottom w:val="none" w:sz="0" w:space="0" w:color="auto"/>
                <w:right w:val="none" w:sz="0" w:space="0" w:color="auto"/>
              </w:divBdr>
            </w:div>
            <w:div w:id="464813969">
              <w:marLeft w:val="0"/>
              <w:marRight w:val="0"/>
              <w:marTop w:val="0"/>
              <w:marBottom w:val="0"/>
              <w:divBdr>
                <w:top w:val="none" w:sz="0" w:space="0" w:color="auto"/>
                <w:left w:val="none" w:sz="0" w:space="0" w:color="auto"/>
                <w:bottom w:val="none" w:sz="0" w:space="0" w:color="auto"/>
                <w:right w:val="none" w:sz="0" w:space="0" w:color="auto"/>
              </w:divBdr>
            </w:div>
            <w:div w:id="97993988">
              <w:marLeft w:val="0"/>
              <w:marRight w:val="0"/>
              <w:marTop w:val="0"/>
              <w:marBottom w:val="0"/>
              <w:divBdr>
                <w:top w:val="none" w:sz="0" w:space="0" w:color="auto"/>
                <w:left w:val="none" w:sz="0" w:space="0" w:color="auto"/>
                <w:bottom w:val="none" w:sz="0" w:space="0" w:color="auto"/>
                <w:right w:val="none" w:sz="0" w:space="0" w:color="auto"/>
              </w:divBdr>
            </w:div>
            <w:div w:id="904681016">
              <w:marLeft w:val="0"/>
              <w:marRight w:val="0"/>
              <w:marTop w:val="0"/>
              <w:marBottom w:val="0"/>
              <w:divBdr>
                <w:top w:val="none" w:sz="0" w:space="0" w:color="auto"/>
                <w:left w:val="none" w:sz="0" w:space="0" w:color="auto"/>
                <w:bottom w:val="none" w:sz="0" w:space="0" w:color="auto"/>
                <w:right w:val="none" w:sz="0" w:space="0" w:color="auto"/>
              </w:divBdr>
            </w:div>
            <w:div w:id="1322083674">
              <w:marLeft w:val="0"/>
              <w:marRight w:val="0"/>
              <w:marTop w:val="0"/>
              <w:marBottom w:val="0"/>
              <w:divBdr>
                <w:top w:val="none" w:sz="0" w:space="0" w:color="auto"/>
                <w:left w:val="none" w:sz="0" w:space="0" w:color="auto"/>
                <w:bottom w:val="none" w:sz="0" w:space="0" w:color="auto"/>
                <w:right w:val="none" w:sz="0" w:space="0" w:color="auto"/>
              </w:divBdr>
            </w:div>
            <w:div w:id="1710178694">
              <w:marLeft w:val="0"/>
              <w:marRight w:val="0"/>
              <w:marTop w:val="0"/>
              <w:marBottom w:val="0"/>
              <w:divBdr>
                <w:top w:val="none" w:sz="0" w:space="0" w:color="auto"/>
                <w:left w:val="none" w:sz="0" w:space="0" w:color="auto"/>
                <w:bottom w:val="none" w:sz="0" w:space="0" w:color="auto"/>
                <w:right w:val="none" w:sz="0" w:space="0" w:color="auto"/>
              </w:divBdr>
            </w:div>
            <w:div w:id="1256402413">
              <w:marLeft w:val="0"/>
              <w:marRight w:val="0"/>
              <w:marTop w:val="0"/>
              <w:marBottom w:val="0"/>
              <w:divBdr>
                <w:top w:val="none" w:sz="0" w:space="0" w:color="auto"/>
                <w:left w:val="none" w:sz="0" w:space="0" w:color="auto"/>
                <w:bottom w:val="none" w:sz="0" w:space="0" w:color="auto"/>
                <w:right w:val="none" w:sz="0" w:space="0" w:color="auto"/>
              </w:divBdr>
            </w:div>
            <w:div w:id="1796672866">
              <w:marLeft w:val="0"/>
              <w:marRight w:val="0"/>
              <w:marTop w:val="0"/>
              <w:marBottom w:val="0"/>
              <w:divBdr>
                <w:top w:val="none" w:sz="0" w:space="0" w:color="auto"/>
                <w:left w:val="none" w:sz="0" w:space="0" w:color="auto"/>
                <w:bottom w:val="none" w:sz="0" w:space="0" w:color="auto"/>
                <w:right w:val="none" w:sz="0" w:space="0" w:color="auto"/>
              </w:divBdr>
            </w:div>
            <w:div w:id="1730301959">
              <w:marLeft w:val="0"/>
              <w:marRight w:val="0"/>
              <w:marTop w:val="0"/>
              <w:marBottom w:val="0"/>
              <w:divBdr>
                <w:top w:val="none" w:sz="0" w:space="0" w:color="auto"/>
                <w:left w:val="none" w:sz="0" w:space="0" w:color="auto"/>
                <w:bottom w:val="none" w:sz="0" w:space="0" w:color="auto"/>
                <w:right w:val="none" w:sz="0" w:space="0" w:color="auto"/>
              </w:divBdr>
            </w:div>
            <w:div w:id="1332947764">
              <w:marLeft w:val="0"/>
              <w:marRight w:val="0"/>
              <w:marTop w:val="0"/>
              <w:marBottom w:val="0"/>
              <w:divBdr>
                <w:top w:val="none" w:sz="0" w:space="0" w:color="auto"/>
                <w:left w:val="none" w:sz="0" w:space="0" w:color="auto"/>
                <w:bottom w:val="none" w:sz="0" w:space="0" w:color="auto"/>
                <w:right w:val="none" w:sz="0" w:space="0" w:color="auto"/>
              </w:divBdr>
            </w:div>
            <w:div w:id="55788795">
              <w:marLeft w:val="0"/>
              <w:marRight w:val="0"/>
              <w:marTop w:val="0"/>
              <w:marBottom w:val="0"/>
              <w:divBdr>
                <w:top w:val="none" w:sz="0" w:space="0" w:color="auto"/>
                <w:left w:val="none" w:sz="0" w:space="0" w:color="auto"/>
                <w:bottom w:val="none" w:sz="0" w:space="0" w:color="auto"/>
                <w:right w:val="none" w:sz="0" w:space="0" w:color="auto"/>
              </w:divBdr>
            </w:div>
            <w:div w:id="1725907409">
              <w:marLeft w:val="0"/>
              <w:marRight w:val="0"/>
              <w:marTop w:val="0"/>
              <w:marBottom w:val="0"/>
              <w:divBdr>
                <w:top w:val="none" w:sz="0" w:space="0" w:color="auto"/>
                <w:left w:val="none" w:sz="0" w:space="0" w:color="auto"/>
                <w:bottom w:val="none" w:sz="0" w:space="0" w:color="auto"/>
                <w:right w:val="none" w:sz="0" w:space="0" w:color="auto"/>
              </w:divBdr>
            </w:div>
            <w:div w:id="447817624">
              <w:marLeft w:val="0"/>
              <w:marRight w:val="0"/>
              <w:marTop w:val="0"/>
              <w:marBottom w:val="0"/>
              <w:divBdr>
                <w:top w:val="none" w:sz="0" w:space="0" w:color="auto"/>
                <w:left w:val="none" w:sz="0" w:space="0" w:color="auto"/>
                <w:bottom w:val="none" w:sz="0" w:space="0" w:color="auto"/>
                <w:right w:val="none" w:sz="0" w:space="0" w:color="auto"/>
              </w:divBdr>
            </w:div>
            <w:div w:id="250430891">
              <w:marLeft w:val="0"/>
              <w:marRight w:val="0"/>
              <w:marTop w:val="0"/>
              <w:marBottom w:val="0"/>
              <w:divBdr>
                <w:top w:val="none" w:sz="0" w:space="0" w:color="auto"/>
                <w:left w:val="none" w:sz="0" w:space="0" w:color="auto"/>
                <w:bottom w:val="none" w:sz="0" w:space="0" w:color="auto"/>
                <w:right w:val="none" w:sz="0" w:space="0" w:color="auto"/>
              </w:divBdr>
            </w:div>
            <w:div w:id="1067261874">
              <w:marLeft w:val="0"/>
              <w:marRight w:val="0"/>
              <w:marTop w:val="0"/>
              <w:marBottom w:val="0"/>
              <w:divBdr>
                <w:top w:val="none" w:sz="0" w:space="0" w:color="auto"/>
                <w:left w:val="none" w:sz="0" w:space="0" w:color="auto"/>
                <w:bottom w:val="none" w:sz="0" w:space="0" w:color="auto"/>
                <w:right w:val="none" w:sz="0" w:space="0" w:color="auto"/>
              </w:divBdr>
            </w:div>
            <w:div w:id="93289259">
              <w:marLeft w:val="0"/>
              <w:marRight w:val="0"/>
              <w:marTop w:val="0"/>
              <w:marBottom w:val="0"/>
              <w:divBdr>
                <w:top w:val="none" w:sz="0" w:space="0" w:color="auto"/>
                <w:left w:val="none" w:sz="0" w:space="0" w:color="auto"/>
                <w:bottom w:val="none" w:sz="0" w:space="0" w:color="auto"/>
                <w:right w:val="none" w:sz="0" w:space="0" w:color="auto"/>
              </w:divBdr>
            </w:div>
            <w:div w:id="1361054750">
              <w:marLeft w:val="0"/>
              <w:marRight w:val="0"/>
              <w:marTop w:val="0"/>
              <w:marBottom w:val="0"/>
              <w:divBdr>
                <w:top w:val="none" w:sz="0" w:space="0" w:color="auto"/>
                <w:left w:val="none" w:sz="0" w:space="0" w:color="auto"/>
                <w:bottom w:val="none" w:sz="0" w:space="0" w:color="auto"/>
                <w:right w:val="none" w:sz="0" w:space="0" w:color="auto"/>
              </w:divBdr>
            </w:div>
            <w:div w:id="1838687434">
              <w:marLeft w:val="0"/>
              <w:marRight w:val="0"/>
              <w:marTop w:val="0"/>
              <w:marBottom w:val="0"/>
              <w:divBdr>
                <w:top w:val="none" w:sz="0" w:space="0" w:color="auto"/>
                <w:left w:val="none" w:sz="0" w:space="0" w:color="auto"/>
                <w:bottom w:val="none" w:sz="0" w:space="0" w:color="auto"/>
                <w:right w:val="none" w:sz="0" w:space="0" w:color="auto"/>
              </w:divBdr>
            </w:div>
            <w:div w:id="2129617721">
              <w:marLeft w:val="0"/>
              <w:marRight w:val="0"/>
              <w:marTop w:val="0"/>
              <w:marBottom w:val="0"/>
              <w:divBdr>
                <w:top w:val="none" w:sz="0" w:space="0" w:color="auto"/>
                <w:left w:val="none" w:sz="0" w:space="0" w:color="auto"/>
                <w:bottom w:val="none" w:sz="0" w:space="0" w:color="auto"/>
                <w:right w:val="none" w:sz="0" w:space="0" w:color="auto"/>
              </w:divBdr>
            </w:div>
            <w:div w:id="590087400">
              <w:marLeft w:val="0"/>
              <w:marRight w:val="0"/>
              <w:marTop w:val="0"/>
              <w:marBottom w:val="0"/>
              <w:divBdr>
                <w:top w:val="none" w:sz="0" w:space="0" w:color="auto"/>
                <w:left w:val="none" w:sz="0" w:space="0" w:color="auto"/>
                <w:bottom w:val="none" w:sz="0" w:space="0" w:color="auto"/>
                <w:right w:val="none" w:sz="0" w:space="0" w:color="auto"/>
              </w:divBdr>
            </w:div>
            <w:div w:id="960190715">
              <w:marLeft w:val="0"/>
              <w:marRight w:val="0"/>
              <w:marTop w:val="0"/>
              <w:marBottom w:val="0"/>
              <w:divBdr>
                <w:top w:val="none" w:sz="0" w:space="0" w:color="auto"/>
                <w:left w:val="none" w:sz="0" w:space="0" w:color="auto"/>
                <w:bottom w:val="none" w:sz="0" w:space="0" w:color="auto"/>
                <w:right w:val="none" w:sz="0" w:space="0" w:color="auto"/>
              </w:divBdr>
            </w:div>
            <w:div w:id="961568772">
              <w:marLeft w:val="0"/>
              <w:marRight w:val="0"/>
              <w:marTop w:val="0"/>
              <w:marBottom w:val="0"/>
              <w:divBdr>
                <w:top w:val="none" w:sz="0" w:space="0" w:color="auto"/>
                <w:left w:val="none" w:sz="0" w:space="0" w:color="auto"/>
                <w:bottom w:val="none" w:sz="0" w:space="0" w:color="auto"/>
                <w:right w:val="none" w:sz="0" w:space="0" w:color="auto"/>
              </w:divBdr>
            </w:div>
            <w:div w:id="375738695">
              <w:marLeft w:val="0"/>
              <w:marRight w:val="0"/>
              <w:marTop w:val="0"/>
              <w:marBottom w:val="0"/>
              <w:divBdr>
                <w:top w:val="none" w:sz="0" w:space="0" w:color="auto"/>
                <w:left w:val="none" w:sz="0" w:space="0" w:color="auto"/>
                <w:bottom w:val="none" w:sz="0" w:space="0" w:color="auto"/>
                <w:right w:val="none" w:sz="0" w:space="0" w:color="auto"/>
              </w:divBdr>
            </w:div>
            <w:div w:id="1065183021">
              <w:marLeft w:val="0"/>
              <w:marRight w:val="0"/>
              <w:marTop w:val="0"/>
              <w:marBottom w:val="0"/>
              <w:divBdr>
                <w:top w:val="none" w:sz="0" w:space="0" w:color="auto"/>
                <w:left w:val="none" w:sz="0" w:space="0" w:color="auto"/>
                <w:bottom w:val="none" w:sz="0" w:space="0" w:color="auto"/>
                <w:right w:val="none" w:sz="0" w:space="0" w:color="auto"/>
              </w:divBdr>
            </w:div>
            <w:div w:id="1485776807">
              <w:marLeft w:val="0"/>
              <w:marRight w:val="0"/>
              <w:marTop w:val="0"/>
              <w:marBottom w:val="0"/>
              <w:divBdr>
                <w:top w:val="none" w:sz="0" w:space="0" w:color="auto"/>
                <w:left w:val="none" w:sz="0" w:space="0" w:color="auto"/>
                <w:bottom w:val="none" w:sz="0" w:space="0" w:color="auto"/>
                <w:right w:val="none" w:sz="0" w:space="0" w:color="auto"/>
              </w:divBdr>
            </w:div>
            <w:div w:id="1133980876">
              <w:marLeft w:val="0"/>
              <w:marRight w:val="0"/>
              <w:marTop w:val="0"/>
              <w:marBottom w:val="0"/>
              <w:divBdr>
                <w:top w:val="none" w:sz="0" w:space="0" w:color="auto"/>
                <w:left w:val="none" w:sz="0" w:space="0" w:color="auto"/>
                <w:bottom w:val="none" w:sz="0" w:space="0" w:color="auto"/>
                <w:right w:val="none" w:sz="0" w:space="0" w:color="auto"/>
              </w:divBdr>
            </w:div>
            <w:div w:id="432553253">
              <w:marLeft w:val="0"/>
              <w:marRight w:val="0"/>
              <w:marTop w:val="0"/>
              <w:marBottom w:val="0"/>
              <w:divBdr>
                <w:top w:val="none" w:sz="0" w:space="0" w:color="auto"/>
                <w:left w:val="none" w:sz="0" w:space="0" w:color="auto"/>
                <w:bottom w:val="none" w:sz="0" w:space="0" w:color="auto"/>
                <w:right w:val="none" w:sz="0" w:space="0" w:color="auto"/>
              </w:divBdr>
            </w:div>
            <w:div w:id="1453934980">
              <w:marLeft w:val="0"/>
              <w:marRight w:val="0"/>
              <w:marTop w:val="0"/>
              <w:marBottom w:val="0"/>
              <w:divBdr>
                <w:top w:val="none" w:sz="0" w:space="0" w:color="auto"/>
                <w:left w:val="none" w:sz="0" w:space="0" w:color="auto"/>
                <w:bottom w:val="none" w:sz="0" w:space="0" w:color="auto"/>
                <w:right w:val="none" w:sz="0" w:space="0" w:color="auto"/>
              </w:divBdr>
            </w:div>
            <w:div w:id="1811511454">
              <w:marLeft w:val="0"/>
              <w:marRight w:val="0"/>
              <w:marTop w:val="0"/>
              <w:marBottom w:val="0"/>
              <w:divBdr>
                <w:top w:val="none" w:sz="0" w:space="0" w:color="auto"/>
                <w:left w:val="none" w:sz="0" w:space="0" w:color="auto"/>
                <w:bottom w:val="none" w:sz="0" w:space="0" w:color="auto"/>
                <w:right w:val="none" w:sz="0" w:space="0" w:color="auto"/>
              </w:divBdr>
            </w:div>
            <w:div w:id="2053841621">
              <w:marLeft w:val="0"/>
              <w:marRight w:val="0"/>
              <w:marTop w:val="0"/>
              <w:marBottom w:val="0"/>
              <w:divBdr>
                <w:top w:val="none" w:sz="0" w:space="0" w:color="auto"/>
                <w:left w:val="none" w:sz="0" w:space="0" w:color="auto"/>
                <w:bottom w:val="none" w:sz="0" w:space="0" w:color="auto"/>
                <w:right w:val="none" w:sz="0" w:space="0" w:color="auto"/>
              </w:divBdr>
            </w:div>
            <w:div w:id="1409114584">
              <w:marLeft w:val="0"/>
              <w:marRight w:val="0"/>
              <w:marTop w:val="0"/>
              <w:marBottom w:val="0"/>
              <w:divBdr>
                <w:top w:val="none" w:sz="0" w:space="0" w:color="auto"/>
                <w:left w:val="none" w:sz="0" w:space="0" w:color="auto"/>
                <w:bottom w:val="none" w:sz="0" w:space="0" w:color="auto"/>
                <w:right w:val="none" w:sz="0" w:space="0" w:color="auto"/>
              </w:divBdr>
            </w:div>
            <w:div w:id="904150034">
              <w:marLeft w:val="0"/>
              <w:marRight w:val="0"/>
              <w:marTop w:val="0"/>
              <w:marBottom w:val="0"/>
              <w:divBdr>
                <w:top w:val="none" w:sz="0" w:space="0" w:color="auto"/>
                <w:left w:val="none" w:sz="0" w:space="0" w:color="auto"/>
                <w:bottom w:val="none" w:sz="0" w:space="0" w:color="auto"/>
                <w:right w:val="none" w:sz="0" w:space="0" w:color="auto"/>
              </w:divBdr>
            </w:div>
            <w:div w:id="657733425">
              <w:marLeft w:val="0"/>
              <w:marRight w:val="0"/>
              <w:marTop w:val="0"/>
              <w:marBottom w:val="0"/>
              <w:divBdr>
                <w:top w:val="none" w:sz="0" w:space="0" w:color="auto"/>
                <w:left w:val="none" w:sz="0" w:space="0" w:color="auto"/>
                <w:bottom w:val="none" w:sz="0" w:space="0" w:color="auto"/>
                <w:right w:val="none" w:sz="0" w:space="0" w:color="auto"/>
              </w:divBdr>
            </w:div>
            <w:div w:id="1713117730">
              <w:marLeft w:val="0"/>
              <w:marRight w:val="0"/>
              <w:marTop w:val="0"/>
              <w:marBottom w:val="0"/>
              <w:divBdr>
                <w:top w:val="none" w:sz="0" w:space="0" w:color="auto"/>
                <w:left w:val="none" w:sz="0" w:space="0" w:color="auto"/>
                <w:bottom w:val="none" w:sz="0" w:space="0" w:color="auto"/>
                <w:right w:val="none" w:sz="0" w:space="0" w:color="auto"/>
              </w:divBdr>
            </w:div>
            <w:div w:id="276913558">
              <w:marLeft w:val="0"/>
              <w:marRight w:val="0"/>
              <w:marTop w:val="0"/>
              <w:marBottom w:val="0"/>
              <w:divBdr>
                <w:top w:val="none" w:sz="0" w:space="0" w:color="auto"/>
                <w:left w:val="none" w:sz="0" w:space="0" w:color="auto"/>
                <w:bottom w:val="none" w:sz="0" w:space="0" w:color="auto"/>
                <w:right w:val="none" w:sz="0" w:space="0" w:color="auto"/>
              </w:divBdr>
            </w:div>
            <w:div w:id="1491408722">
              <w:marLeft w:val="0"/>
              <w:marRight w:val="0"/>
              <w:marTop w:val="0"/>
              <w:marBottom w:val="0"/>
              <w:divBdr>
                <w:top w:val="none" w:sz="0" w:space="0" w:color="auto"/>
                <w:left w:val="none" w:sz="0" w:space="0" w:color="auto"/>
                <w:bottom w:val="none" w:sz="0" w:space="0" w:color="auto"/>
                <w:right w:val="none" w:sz="0" w:space="0" w:color="auto"/>
              </w:divBdr>
            </w:div>
            <w:div w:id="655376020">
              <w:marLeft w:val="0"/>
              <w:marRight w:val="0"/>
              <w:marTop w:val="0"/>
              <w:marBottom w:val="0"/>
              <w:divBdr>
                <w:top w:val="none" w:sz="0" w:space="0" w:color="auto"/>
                <w:left w:val="none" w:sz="0" w:space="0" w:color="auto"/>
                <w:bottom w:val="none" w:sz="0" w:space="0" w:color="auto"/>
                <w:right w:val="none" w:sz="0" w:space="0" w:color="auto"/>
              </w:divBdr>
            </w:div>
            <w:div w:id="1167288714">
              <w:marLeft w:val="0"/>
              <w:marRight w:val="0"/>
              <w:marTop w:val="0"/>
              <w:marBottom w:val="0"/>
              <w:divBdr>
                <w:top w:val="none" w:sz="0" w:space="0" w:color="auto"/>
                <w:left w:val="none" w:sz="0" w:space="0" w:color="auto"/>
                <w:bottom w:val="none" w:sz="0" w:space="0" w:color="auto"/>
                <w:right w:val="none" w:sz="0" w:space="0" w:color="auto"/>
              </w:divBdr>
            </w:div>
            <w:div w:id="109325884">
              <w:marLeft w:val="0"/>
              <w:marRight w:val="0"/>
              <w:marTop w:val="0"/>
              <w:marBottom w:val="0"/>
              <w:divBdr>
                <w:top w:val="none" w:sz="0" w:space="0" w:color="auto"/>
                <w:left w:val="none" w:sz="0" w:space="0" w:color="auto"/>
                <w:bottom w:val="none" w:sz="0" w:space="0" w:color="auto"/>
                <w:right w:val="none" w:sz="0" w:space="0" w:color="auto"/>
              </w:divBdr>
            </w:div>
            <w:div w:id="1047992055">
              <w:marLeft w:val="0"/>
              <w:marRight w:val="0"/>
              <w:marTop w:val="0"/>
              <w:marBottom w:val="0"/>
              <w:divBdr>
                <w:top w:val="none" w:sz="0" w:space="0" w:color="auto"/>
                <w:left w:val="none" w:sz="0" w:space="0" w:color="auto"/>
                <w:bottom w:val="none" w:sz="0" w:space="0" w:color="auto"/>
                <w:right w:val="none" w:sz="0" w:space="0" w:color="auto"/>
              </w:divBdr>
            </w:div>
            <w:div w:id="2126267510">
              <w:marLeft w:val="0"/>
              <w:marRight w:val="0"/>
              <w:marTop w:val="0"/>
              <w:marBottom w:val="0"/>
              <w:divBdr>
                <w:top w:val="none" w:sz="0" w:space="0" w:color="auto"/>
                <w:left w:val="none" w:sz="0" w:space="0" w:color="auto"/>
                <w:bottom w:val="none" w:sz="0" w:space="0" w:color="auto"/>
                <w:right w:val="none" w:sz="0" w:space="0" w:color="auto"/>
              </w:divBdr>
            </w:div>
            <w:div w:id="279916836">
              <w:marLeft w:val="0"/>
              <w:marRight w:val="0"/>
              <w:marTop w:val="0"/>
              <w:marBottom w:val="0"/>
              <w:divBdr>
                <w:top w:val="none" w:sz="0" w:space="0" w:color="auto"/>
                <w:left w:val="none" w:sz="0" w:space="0" w:color="auto"/>
                <w:bottom w:val="none" w:sz="0" w:space="0" w:color="auto"/>
                <w:right w:val="none" w:sz="0" w:space="0" w:color="auto"/>
              </w:divBdr>
            </w:div>
            <w:div w:id="1209220497">
              <w:marLeft w:val="0"/>
              <w:marRight w:val="0"/>
              <w:marTop w:val="0"/>
              <w:marBottom w:val="0"/>
              <w:divBdr>
                <w:top w:val="none" w:sz="0" w:space="0" w:color="auto"/>
                <w:left w:val="none" w:sz="0" w:space="0" w:color="auto"/>
                <w:bottom w:val="none" w:sz="0" w:space="0" w:color="auto"/>
                <w:right w:val="none" w:sz="0" w:space="0" w:color="auto"/>
              </w:divBdr>
            </w:div>
            <w:div w:id="1989941639">
              <w:marLeft w:val="0"/>
              <w:marRight w:val="0"/>
              <w:marTop w:val="0"/>
              <w:marBottom w:val="0"/>
              <w:divBdr>
                <w:top w:val="none" w:sz="0" w:space="0" w:color="auto"/>
                <w:left w:val="none" w:sz="0" w:space="0" w:color="auto"/>
                <w:bottom w:val="none" w:sz="0" w:space="0" w:color="auto"/>
                <w:right w:val="none" w:sz="0" w:space="0" w:color="auto"/>
              </w:divBdr>
            </w:div>
            <w:div w:id="1385176375">
              <w:marLeft w:val="0"/>
              <w:marRight w:val="0"/>
              <w:marTop w:val="0"/>
              <w:marBottom w:val="0"/>
              <w:divBdr>
                <w:top w:val="none" w:sz="0" w:space="0" w:color="auto"/>
                <w:left w:val="none" w:sz="0" w:space="0" w:color="auto"/>
                <w:bottom w:val="none" w:sz="0" w:space="0" w:color="auto"/>
                <w:right w:val="none" w:sz="0" w:space="0" w:color="auto"/>
              </w:divBdr>
            </w:div>
            <w:div w:id="1484079433">
              <w:marLeft w:val="0"/>
              <w:marRight w:val="0"/>
              <w:marTop w:val="0"/>
              <w:marBottom w:val="0"/>
              <w:divBdr>
                <w:top w:val="none" w:sz="0" w:space="0" w:color="auto"/>
                <w:left w:val="none" w:sz="0" w:space="0" w:color="auto"/>
                <w:bottom w:val="none" w:sz="0" w:space="0" w:color="auto"/>
                <w:right w:val="none" w:sz="0" w:space="0" w:color="auto"/>
              </w:divBdr>
            </w:div>
            <w:div w:id="410277070">
              <w:marLeft w:val="0"/>
              <w:marRight w:val="0"/>
              <w:marTop w:val="0"/>
              <w:marBottom w:val="0"/>
              <w:divBdr>
                <w:top w:val="none" w:sz="0" w:space="0" w:color="auto"/>
                <w:left w:val="none" w:sz="0" w:space="0" w:color="auto"/>
                <w:bottom w:val="none" w:sz="0" w:space="0" w:color="auto"/>
                <w:right w:val="none" w:sz="0" w:space="0" w:color="auto"/>
              </w:divBdr>
            </w:div>
            <w:div w:id="381056960">
              <w:marLeft w:val="0"/>
              <w:marRight w:val="0"/>
              <w:marTop w:val="0"/>
              <w:marBottom w:val="0"/>
              <w:divBdr>
                <w:top w:val="none" w:sz="0" w:space="0" w:color="auto"/>
                <w:left w:val="none" w:sz="0" w:space="0" w:color="auto"/>
                <w:bottom w:val="none" w:sz="0" w:space="0" w:color="auto"/>
                <w:right w:val="none" w:sz="0" w:space="0" w:color="auto"/>
              </w:divBdr>
            </w:div>
            <w:div w:id="824593718">
              <w:marLeft w:val="0"/>
              <w:marRight w:val="0"/>
              <w:marTop w:val="0"/>
              <w:marBottom w:val="0"/>
              <w:divBdr>
                <w:top w:val="none" w:sz="0" w:space="0" w:color="auto"/>
                <w:left w:val="none" w:sz="0" w:space="0" w:color="auto"/>
                <w:bottom w:val="none" w:sz="0" w:space="0" w:color="auto"/>
                <w:right w:val="none" w:sz="0" w:space="0" w:color="auto"/>
              </w:divBdr>
            </w:div>
            <w:div w:id="885944999">
              <w:marLeft w:val="0"/>
              <w:marRight w:val="0"/>
              <w:marTop w:val="0"/>
              <w:marBottom w:val="0"/>
              <w:divBdr>
                <w:top w:val="none" w:sz="0" w:space="0" w:color="auto"/>
                <w:left w:val="none" w:sz="0" w:space="0" w:color="auto"/>
                <w:bottom w:val="none" w:sz="0" w:space="0" w:color="auto"/>
                <w:right w:val="none" w:sz="0" w:space="0" w:color="auto"/>
              </w:divBdr>
            </w:div>
            <w:div w:id="325670450">
              <w:marLeft w:val="0"/>
              <w:marRight w:val="0"/>
              <w:marTop w:val="0"/>
              <w:marBottom w:val="0"/>
              <w:divBdr>
                <w:top w:val="none" w:sz="0" w:space="0" w:color="auto"/>
                <w:left w:val="none" w:sz="0" w:space="0" w:color="auto"/>
                <w:bottom w:val="none" w:sz="0" w:space="0" w:color="auto"/>
                <w:right w:val="none" w:sz="0" w:space="0" w:color="auto"/>
              </w:divBdr>
            </w:div>
            <w:div w:id="1735615256">
              <w:marLeft w:val="0"/>
              <w:marRight w:val="0"/>
              <w:marTop w:val="0"/>
              <w:marBottom w:val="0"/>
              <w:divBdr>
                <w:top w:val="none" w:sz="0" w:space="0" w:color="auto"/>
                <w:left w:val="none" w:sz="0" w:space="0" w:color="auto"/>
                <w:bottom w:val="none" w:sz="0" w:space="0" w:color="auto"/>
                <w:right w:val="none" w:sz="0" w:space="0" w:color="auto"/>
              </w:divBdr>
            </w:div>
            <w:div w:id="720523780">
              <w:marLeft w:val="0"/>
              <w:marRight w:val="0"/>
              <w:marTop w:val="0"/>
              <w:marBottom w:val="0"/>
              <w:divBdr>
                <w:top w:val="none" w:sz="0" w:space="0" w:color="auto"/>
                <w:left w:val="none" w:sz="0" w:space="0" w:color="auto"/>
                <w:bottom w:val="none" w:sz="0" w:space="0" w:color="auto"/>
                <w:right w:val="none" w:sz="0" w:space="0" w:color="auto"/>
              </w:divBdr>
            </w:div>
            <w:div w:id="368258903">
              <w:marLeft w:val="0"/>
              <w:marRight w:val="0"/>
              <w:marTop w:val="0"/>
              <w:marBottom w:val="0"/>
              <w:divBdr>
                <w:top w:val="none" w:sz="0" w:space="0" w:color="auto"/>
                <w:left w:val="none" w:sz="0" w:space="0" w:color="auto"/>
                <w:bottom w:val="none" w:sz="0" w:space="0" w:color="auto"/>
                <w:right w:val="none" w:sz="0" w:space="0" w:color="auto"/>
              </w:divBdr>
            </w:div>
            <w:div w:id="553154764">
              <w:marLeft w:val="0"/>
              <w:marRight w:val="0"/>
              <w:marTop w:val="0"/>
              <w:marBottom w:val="0"/>
              <w:divBdr>
                <w:top w:val="none" w:sz="0" w:space="0" w:color="auto"/>
                <w:left w:val="none" w:sz="0" w:space="0" w:color="auto"/>
                <w:bottom w:val="none" w:sz="0" w:space="0" w:color="auto"/>
                <w:right w:val="none" w:sz="0" w:space="0" w:color="auto"/>
              </w:divBdr>
            </w:div>
            <w:div w:id="1600721355">
              <w:marLeft w:val="0"/>
              <w:marRight w:val="0"/>
              <w:marTop w:val="0"/>
              <w:marBottom w:val="0"/>
              <w:divBdr>
                <w:top w:val="none" w:sz="0" w:space="0" w:color="auto"/>
                <w:left w:val="none" w:sz="0" w:space="0" w:color="auto"/>
                <w:bottom w:val="none" w:sz="0" w:space="0" w:color="auto"/>
                <w:right w:val="none" w:sz="0" w:space="0" w:color="auto"/>
              </w:divBdr>
            </w:div>
            <w:div w:id="578514756">
              <w:marLeft w:val="0"/>
              <w:marRight w:val="0"/>
              <w:marTop w:val="0"/>
              <w:marBottom w:val="0"/>
              <w:divBdr>
                <w:top w:val="none" w:sz="0" w:space="0" w:color="auto"/>
                <w:left w:val="none" w:sz="0" w:space="0" w:color="auto"/>
                <w:bottom w:val="none" w:sz="0" w:space="0" w:color="auto"/>
                <w:right w:val="none" w:sz="0" w:space="0" w:color="auto"/>
              </w:divBdr>
            </w:div>
            <w:div w:id="552161523">
              <w:marLeft w:val="0"/>
              <w:marRight w:val="0"/>
              <w:marTop w:val="0"/>
              <w:marBottom w:val="0"/>
              <w:divBdr>
                <w:top w:val="none" w:sz="0" w:space="0" w:color="auto"/>
                <w:left w:val="none" w:sz="0" w:space="0" w:color="auto"/>
                <w:bottom w:val="none" w:sz="0" w:space="0" w:color="auto"/>
                <w:right w:val="none" w:sz="0" w:space="0" w:color="auto"/>
              </w:divBdr>
            </w:div>
            <w:div w:id="545990898">
              <w:marLeft w:val="0"/>
              <w:marRight w:val="0"/>
              <w:marTop w:val="0"/>
              <w:marBottom w:val="0"/>
              <w:divBdr>
                <w:top w:val="none" w:sz="0" w:space="0" w:color="auto"/>
                <w:left w:val="none" w:sz="0" w:space="0" w:color="auto"/>
                <w:bottom w:val="none" w:sz="0" w:space="0" w:color="auto"/>
                <w:right w:val="none" w:sz="0" w:space="0" w:color="auto"/>
              </w:divBdr>
            </w:div>
            <w:div w:id="1896425274">
              <w:marLeft w:val="0"/>
              <w:marRight w:val="0"/>
              <w:marTop w:val="0"/>
              <w:marBottom w:val="0"/>
              <w:divBdr>
                <w:top w:val="none" w:sz="0" w:space="0" w:color="auto"/>
                <w:left w:val="none" w:sz="0" w:space="0" w:color="auto"/>
                <w:bottom w:val="none" w:sz="0" w:space="0" w:color="auto"/>
                <w:right w:val="none" w:sz="0" w:space="0" w:color="auto"/>
              </w:divBdr>
            </w:div>
            <w:div w:id="2105608584">
              <w:marLeft w:val="0"/>
              <w:marRight w:val="0"/>
              <w:marTop w:val="0"/>
              <w:marBottom w:val="0"/>
              <w:divBdr>
                <w:top w:val="none" w:sz="0" w:space="0" w:color="auto"/>
                <w:left w:val="none" w:sz="0" w:space="0" w:color="auto"/>
                <w:bottom w:val="none" w:sz="0" w:space="0" w:color="auto"/>
                <w:right w:val="none" w:sz="0" w:space="0" w:color="auto"/>
              </w:divBdr>
            </w:div>
            <w:div w:id="872420942">
              <w:marLeft w:val="0"/>
              <w:marRight w:val="0"/>
              <w:marTop w:val="0"/>
              <w:marBottom w:val="0"/>
              <w:divBdr>
                <w:top w:val="none" w:sz="0" w:space="0" w:color="auto"/>
                <w:left w:val="none" w:sz="0" w:space="0" w:color="auto"/>
                <w:bottom w:val="none" w:sz="0" w:space="0" w:color="auto"/>
                <w:right w:val="none" w:sz="0" w:space="0" w:color="auto"/>
              </w:divBdr>
            </w:div>
            <w:div w:id="986978833">
              <w:marLeft w:val="0"/>
              <w:marRight w:val="0"/>
              <w:marTop w:val="0"/>
              <w:marBottom w:val="0"/>
              <w:divBdr>
                <w:top w:val="none" w:sz="0" w:space="0" w:color="auto"/>
                <w:left w:val="none" w:sz="0" w:space="0" w:color="auto"/>
                <w:bottom w:val="none" w:sz="0" w:space="0" w:color="auto"/>
                <w:right w:val="none" w:sz="0" w:space="0" w:color="auto"/>
              </w:divBdr>
            </w:div>
            <w:div w:id="3485607">
              <w:marLeft w:val="0"/>
              <w:marRight w:val="0"/>
              <w:marTop w:val="0"/>
              <w:marBottom w:val="0"/>
              <w:divBdr>
                <w:top w:val="none" w:sz="0" w:space="0" w:color="auto"/>
                <w:left w:val="none" w:sz="0" w:space="0" w:color="auto"/>
                <w:bottom w:val="none" w:sz="0" w:space="0" w:color="auto"/>
                <w:right w:val="none" w:sz="0" w:space="0" w:color="auto"/>
              </w:divBdr>
            </w:div>
            <w:div w:id="577178622">
              <w:marLeft w:val="0"/>
              <w:marRight w:val="0"/>
              <w:marTop w:val="0"/>
              <w:marBottom w:val="0"/>
              <w:divBdr>
                <w:top w:val="none" w:sz="0" w:space="0" w:color="auto"/>
                <w:left w:val="none" w:sz="0" w:space="0" w:color="auto"/>
                <w:bottom w:val="none" w:sz="0" w:space="0" w:color="auto"/>
                <w:right w:val="none" w:sz="0" w:space="0" w:color="auto"/>
              </w:divBdr>
            </w:div>
            <w:div w:id="280772203">
              <w:marLeft w:val="0"/>
              <w:marRight w:val="0"/>
              <w:marTop w:val="0"/>
              <w:marBottom w:val="0"/>
              <w:divBdr>
                <w:top w:val="none" w:sz="0" w:space="0" w:color="auto"/>
                <w:left w:val="none" w:sz="0" w:space="0" w:color="auto"/>
                <w:bottom w:val="none" w:sz="0" w:space="0" w:color="auto"/>
                <w:right w:val="none" w:sz="0" w:space="0" w:color="auto"/>
              </w:divBdr>
            </w:div>
            <w:div w:id="607010205">
              <w:marLeft w:val="0"/>
              <w:marRight w:val="0"/>
              <w:marTop w:val="0"/>
              <w:marBottom w:val="0"/>
              <w:divBdr>
                <w:top w:val="none" w:sz="0" w:space="0" w:color="auto"/>
                <w:left w:val="none" w:sz="0" w:space="0" w:color="auto"/>
                <w:bottom w:val="none" w:sz="0" w:space="0" w:color="auto"/>
                <w:right w:val="none" w:sz="0" w:space="0" w:color="auto"/>
              </w:divBdr>
            </w:div>
            <w:div w:id="1062142702">
              <w:marLeft w:val="0"/>
              <w:marRight w:val="0"/>
              <w:marTop w:val="0"/>
              <w:marBottom w:val="0"/>
              <w:divBdr>
                <w:top w:val="none" w:sz="0" w:space="0" w:color="auto"/>
                <w:left w:val="none" w:sz="0" w:space="0" w:color="auto"/>
                <w:bottom w:val="none" w:sz="0" w:space="0" w:color="auto"/>
                <w:right w:val="none" w:sz="0" w:space="0" w:color="auto"/>
              </w:divBdr>
            </w:div>
            <w:div w:id="2082018099">
              <w:marLeft w:val="0"/>
              <w:marRight w:val="0"/>
              <w:marTop w:val="0"/>
              <w:marBottom w:val="0"/>
              <w:divBdr>
                <w:top w:val="none" w:sz="0" w:space="0" w:color="auto"/>
                <w:left w:val="none" w:sz="0" w:space="0" w:color="auto"/>
                <w:bottom w:val="none" w:sz="0" w:space="0" w:color="auto"/>
                <w:right w:val="none" w:sz="0" w:space="0" w:color="auto"/>
              </w:divBdr>
            </w:div>
            <w:div w:id="232281186">
              <w:marLeft w:val="0"/>
              <w:marRight w:val="0"/>
              <w:marTop w:val="0"/>
              <w:marBottom w:val="0"/>
              <w:divBdr>
                <w:top w:val="none" w:sz="0" w:space="0" w:color="auto"/>
                <w:left w:val="none" w:sz="0" w:space="0" w:color="auto"/>
                <w:bottom w:val="none" w:sz="0" w:space="0" w:color="auto"/>
                <w:right w:val="none" w:sz="0" w:space="0" w:color="auto"/>
              </w:divBdr>
            </w:div>
            <w:div w:id="1700275409">
              <w:marLeft w:val="0"/>
              <w:marRight w:val="0"/>
              <w:marTop w:val="0"/>
              <w:marBottom w:val="0"/>
              <w:divBdr>
                <w:top w:val="none" w:sz="0" w:space="0" w:color="auto"/>
                <w:left w:val="none" w:sz="0" w:space="0" w:color="auto"/>
                <w:bottom w:val="none" w:sz="0" w:space="0" w:color="auto"/>
                <w:right w:val="none" w:sz="0" w:space="0" w:color="auto"/>
              </w:divBdr>
            </w:div>
            <w:div w:id="1984001771">
              <w:marLeft w:val="0"/>
              <w:marRight w:val="0"/>
              <w:marTop w:val="0"/>
              <w:marBottom w:val="0"/>
              <w:divBdr>
                <w:top w:val="none" w:sz="0" w:space="0" w:color="auto"/>
                <w:left w:val="none" w:sz="0" w:space="0" w:color="auto"/>
                <w:bottom w:val="none" w:sz="0" w:space="0" w:color="auto"/>
                <w:right w:val="none" w:sz="0" w:space="0" w:color="auto"/>
              </w:divBdr>
            </w:div>
            <w:div w:id="1185022819">
              <w:marLeft w:val="0"/>
              <w:marRight w:val="0"/>
              <w:marTop w:val="0"/>
              <w:marBottom w:val="0"/>
              <w:divBdr>
                <w:top w:val="none" w:sz="0" w:space="0" w:color="auto"/>
                <w:left w:val="none" w:sz="0" w:space="0" w:color="auto"/>
                <w:bottom w:val="none" w:sz="0" w:space="0" w:color="auto"/>
                <w:right w:val="none" w:sz="0" w:space="0" w:color="auto"/>
              </w:divBdr>
            </w:div>
            <w:div w:id="2145151538">
              <w:marLeft w:val="0"/>
              <w:marRight w:val="0"/>
              <w:marTop w:val="0"/>
              <w:marBottom w:val="0"/>
              <w:divBdr>
                <w:top w:val="none" w:sz="0" w:space="0" w:color="auto"/>
                <w:left w:val="none" w:sz="0" w:space="0" w:color="auto"/>
                <w:bottom w:val="none" w:sz="0" w:space="0" w:color="auto"/>
                <w:right w:val="none" w:sz="0" w:space="0" w:color="auto"/>
              </w:divBdr>
            </w:div>
            <w:div w:id="949823607">
              <w:marLeft w:val="0"/>
              <w:marRight w:val="0"/>
              <w:marTop w:val="0"/>
              <w:marBottom w:val="0"/>
              <w:divBdr>
                <w:top w:val="none" w:sz="0" w:space="0" w:color="auto"/>
                <w:left w:val="none" w:sz="0" w:space="0" w:color="auto"/>
                <w:bottom w:val="none" w:sz="0" w:space="0" w:color="auto"/>
                <w:right w:val="none" w:sz="0" w:space="0" w:color="auto"/>
              </w:divBdr>
            </w:div>
            <w:div w:id="1976376258">
              <w:marLeft w:val="0"/>
              <w:marRight w:val="0"/>
              <w:marTop w:val="0"/>
              <w:marBottom w:val="0"/>
              <w:divBdr>
                <w:top w:val="none" w:sz="0" w:space="0" w:color="auto"/>
                <w:left w:val="none" w:sz="0" w:space="0" w:color="auto"/>
                <w:bottom w:val="none" w:sz="0" w:space="0" w:color="auto"/>
                <w:right w:val="none" w:sz="0" w:space="0" w:color="auto"/>
              </w:divBdr>
            </w:div>
            <w:div w:id="1712724815">
              <w:marLeft w:val="0"/>
              <w:marRight w:val="0"/>
              <w:marTop w:val="0"/>
              <w:marBottom w:val="0"/>
              <w:divBdr>
                <w:top w:val="none" w:sz="0" w:space="0" w:color="auto"/>
                <w:left w:val="none" w:sz="0" w:space="0" w:color="auto"/>
                <w:bottom w:val="none" w:sz="0" w:space="0" w:color="auto"/>
                <w:right w:val="none" w:sz="0" w:space="0" w:color="auto"/>
              </w:divBdr>
            </w:div>
            <w:div w:id="593562028">
              <w:marLeft w:val="0"/>
              <w:marRight w:val="0"/>
              <w:marTop w:val="0"/>
              <w:marBottom w:val="0"/>
              <w:divBdr>
                <w:top w:val="none" w:sz="0" w:space="0" w:color="auto"/>
                <w:left w:val="none" w:sz="0" w:space="0" w:color="auto"/>
                <w:bottom w:val="none" w:sz="0" w:space="0" w:color="auto"/>
                <w:right w:val="none" w:sz="0" w:space="0" w:color="auto"/>
              </w:divBdr>
            </w:div>
            <w:div w:id="347145445">
              <w:marLeft w:val="0"/>
              <w:marRight w:val="0"/>
              <w:marTop w:val="0"/>
              <w:marBottom w:val="0"/>
              <w:divBdr>
                <w:top w:val="none" w:sz="0" w:space="0" w:color="auto"/>
                <w:left w:val="none" w:sz="0" w:space="0" w:color="auto"/>
                <w:bottom w:val="none" w:sz="0" w:space="0" w:color="auto"/>
                <w:right w:val="none" w:sz="0" w:space="0" w:color="auto"/>
              </w:divBdr>
            </w:div>
            <w:div w:id="1318873463">
              <w:marLeft w:val="0"/>
              <w:marRight w:val="0"/>
              <w:marTop w:val="0"/>
              <w:marBottom w:val="0"/>
              <w:divBdr>
                <w:top w:val="none" w:sz="0" w:space="0" w:color="auto"/>
                <w:left w:val="none" w:sz="0" w:space="0" w:color="auto"/>
                <w:bottom w:val="none" w:sz="0" w:space="0" w:color="auto"/>
                <w:right w:val="none" w:sz="0" w:space="0" w:color="auto"/>
              </w:divBdr>
            </w:div>
            <w:div w:id="638609192">
              <w:marLeft w:val="0"/>
              <w:marRight w:val="0"/>
              <w:marTop w:val="0"/>
              <w:marBottom w:val="0"/>
              <w:divBdr>
                <w:top w:val="none" w:sz="0" w:space="0" w:color="auto"/>
                <w:left w:val="none" w:sz="0" w:space="0" w:color="auto"/>
                <w:bottom w:val="none" w:sz="0" w:space="0" w:color="auto"/>
                <w:right w:val="none" w:sz="0" w:space="0" w:color="auto"/>
              </w:divBdr>
            </w:div>
            <w:div w:id="169565434">
              <w:marLeft w:val="0"/>
              <w:marRight w:val="0"/>
              <w:marTop w:val="0"/>
              <w:marBottom w:val="0"/>
              <w:divBdr>
                <w:top w:val="none" w:sz="0" w:space="0" w:color="auto"/>
                <w:left w:val="none" w:sz="0" w:space="0" w:color="auto"/>
                <w:bottom w:val="none" w:sz="0" w:space="0" w:color="auto"/>
                <w:right w:val="none" w:sz="0" w:space="0" w:color="auto"/>
              </w:divBdr>
            </w:div>
            <w:div w:id="221915252">
              <w:marLeft w:val="0"/>
              <w:marRight w:val="0"/>
              <w:marTop w:val="0"/>
              <w:marBottom w:val="0"/>
              <w:divBdr>
                <w:top w:val="none" w:sz="0" w:space="0" w:color="auto"/>
                <w:left w:val="none" w:sz="0" w:space="0" w:color="auto"/>
                <w:bottom w:val="none" w:sz="0" w:space="0" w:color="auto"/>
                <w:right w:val="none" w:sz="0" w:space="0" w:color="auto"/>
              </w:divBdr>
            </w:div>
            <w:div w:id="174419499">
              <w:marLeft w:val="0"/>
              <w:marRight w:val="0"/>
              <w:marTop w:val="0"/>
              <w:marBottom w:val="0"/>
              <w:divBdr>
                <w:top w:val="none" w:sz="0" w:space="0" w:color="auto"/>
                <w:left w:val="none" w:sz="0" w:space="0" w:color="auto"/>
                <w:bottom w:val="none" w:sz="0" w:space="0" w:color="auto"/>
                <w:right w:val="none" w:sz="0" w:space="0" w:color="auto"/>
              </w:divBdr>
            </w:div>
            <w:div w:id="487597237">
              <w:marLeft w:val="0"/>
              <w:marRight w:val="0"/>
              <w:marTop w:val="0"/>
              <w:marBottom w:val="0"/>
              <w:divBdr>
                <w:top w:val="none" w:sz="0" w:space="0" w:color="auto"/>
                <w:left w:val="none" w:sz="0" w:space="0" w:color="auto"/>
                <w:bottom w:val="none" w:sz="0" w:space="0" w:color="auto"/>
                <w:right w:val="none" w:sz="0" w:space="0" w:color="auto"/>
              </w:divBdr>
            </w:div>
            <w:div w:id="1374235053">
              <w:marLeft w:val="0"/>
              <w:marRight w:val="0"/>
              <w:marTop w:val="0"/>
              <w:marBottom w:val="0"/>
              <w:divBdr>
                <w:top w:val="none" w:sz="0" w:space="0" w:color="auto"/>
                <w:left w:val="none" w:sz="0" w:space="0" w:color="auto"/>
                <w:bottom w:val="none" w:sz="0" w:space="0" w:color="auto"/>
                <w:right w:val="none" w:sz="0" w:space="0" w:color="auto"/>
              </w:divBdr>
            </w:div>
            <w:div w:id="1568228908">
              <w:marLeft w:val="0"/>
              <w:marRight w:val="0"/>
              <w:marTop w:val="0"/>
              <w:marBottom w:val="0"/>
              <w:divBdr>
                <w:top w:val="none" w:sz="0" w:space="0" w:color="auto"/>
                <w:left w:val="none" w:sz="0" w:space="0" w:color="auto"/>
                <w:bottom w:val="none" w:sz="0" w:space="0" w:color="auto"/>
                <w:right w:val="none" w:sz="0" w:space="0" w:color="auto"/>
              </w:divBdr>
            </w:div>
            <w:div w:id="590625856">
              <w:marLeft w:val="0"/>
              <w:marRight w:val="0"/>
              <w:marTop w:val="0"/>
              <w:marBottom w:val="0"/>
              <w:divBdr>
                <w:top w:val="none" w:sz="0" w:space="0" w:color="auto"/>
                <w:left w:val="none" w:sz="0" w:space="0" w:color="auto"/>
                <w:bottom w:val="none" w:sz="0" w:space="0" w:color="auto"/>
                <w:right w:val="none" w:sz="0" w:space="0" w:color="auto"/>
              </w:divBdr>
            </w:div>
            <w:div w:id="230116528">
              <w:marLeft w:val="0"/>
              <w:marRight w:val="0"/>
              <w:marTop w:val="0"/>
              <w:marBottom w:val="0"/>
              <w:divBdr>
                <w:top w:val="none" w:sz="0" w:space="0" w:color="auto"/>
                <w:left w:val="none" w:sz="0" w:space="0" w:color="auto"/>
                <w:bottom w:val="none" w:sz="0" w:space="0" w:color="auto"/>
                <w:right w:val="none" w:sz="0" w:space="0" w:color="auto"/>
              </w:divBdr>
            </w:div>
            <w:div w:id="490801487">
              <w:marLeft w:val="0"/>
              <w:marRight w:val="0"/>
              <w:marTop w:val="0"/>
              <w:marBottom w:val="0"/>
              <w:divBdr>
                <w:top w:val="none" w:sz="0" w:space="0" w:color="auto"/>
                <w:left w:val="none" w:sz="0" w:space="0" w:color="auto"/>
                <w:bottom w:val="none" w:sz="0" w:space="0" w:color="auto"/>
                <w:right w:val="none" w:sz="0" w:space="0" w:color="auto"/>
              </w:divBdr>
            </w:div>
            <w:div w:id="891312616">
              <w:marLeft w:val="0"/>
              <w:marRight w:val="0"/>
              <w:marTop w:val="0"/>
              <w:marBottom w:val="0"/>
              <w:divBdr>
                <w:top w:val="none" w:sz="0" w:space="0" w:color="auto"/>
                <w:left w:val="none" w:sz="0" w:space="0" w:color="auto"/>
                <w:bottom w:val="none" w:sz="0" w:space="0" w:color="auto"/>
                <w:right w:val="none" w:sz="0" w:space="0" w:color="auto"/>
              </w:divBdr>
            </w:div>
            <w:div w:id="711927075">
              <w:marLeft w:val="0"/>
              <w:marRight w:val="0"/>
              <w:marTop w:val="0"/>
              <w:marBottom w:val="0"/>
              <w:divBdr>
                <w:top w:val="none" w:sz="0" w:space="0" w:color="auto"/>
                <w:left w:val="none" w:sz="0" w:space="0" w:color="auto"/>
                <w:bottom w:val="none" w:sz="0" w:space="0" w:color="auto"/>
                <w:right w:val="none" w:sz="0" w:space="0" w:color="auto"/>
              </w:divBdr>
            </w:div>
            <w:div w:id="1068383730">
              <w:marLeft w:val="0"/>
              <w:marRight w:val="0"/>
              <w:marTop w:val="0"/>
              <w:marBottom w:val="0"/>
              <w:divBdr>
                <w:top w:val="none" w:sz="0" w:space="0" w:color="auto"/>
                <w:left w:val="none" w:sz="0" w:space="0" w:color="auto"/>
                <w:bottom w:val="none" w:sz="0" w:space="0" w:color="auto"/>
                <w:right w:val="none" w:sz="0" w:space="0" w:color="auto"/>
              </w:divBdr>
            </w:div>
            <w:div w:id="38551710">
              <w:marLeft w:val="0"/>
              <w:marRight w:val="0"/>
              <w:marTop w:val="0"/>
              <w:marBottom w:val="0"/>
              <w:divBdr>
                <w:top w:val="none" w:sz="0" w:space="0" w:color="auto"/>
                <w:left w:val="none" w:sz="0" w:space="0" w:color="auto"/>
                <w:bottom w:val="none" w:sz="0" w:space="0" w:color="auto"/>
                <w:right w:val="none" w:sz="0" w:space="0" w:color="auto"/>
              </w:divBdr>
            </w:div>
            <w:div w:id="334192529">
              <w:marLeft w:val="0"/>
              <w:marRight w:val="0"/>
              <w:marTop w:val="0"/>
              <w:marBottom w:val="0"/>
              <w:divBdr>
                <w:top w:val="none" w:sz="0" w:space="0" w:color="auto"/>
                <w:left w:val="none" w:sz="0" w:space="0" w:color="auto"/>
                <w:bottom w:val="none" w:sz="0" w:space="0" w:color="auto"/>
                <w:right w:val="none" w:sz="0" w:space="0" w:color="auto"/>
              </w:divBdr>
            </w:div>
            <w:div w:id="1385173786">
              <w:marLeft w:val="0"/>
              <w:marRight w:val="0"/>
              <w:marTop w:val="0"/>
              <w:marBottom w:val="0"/>
              <w:divBdr>
                <w:top w:val="none" w:sz="0" w:space="0" w:color="auto"/>
                <w:left w:val="none" w:sz="0" w:space="0" w:color="auto"/>
                <w:bottom w:val="none" w:sz="0" w:space="0" w:color="auto"/>
                <w:right w:val="none" w:sz="0" w:space="0" w:color="auto"/>
              </w:divBdr>
            </w:div>
            <w:div w:id="1302270160">
              <w:marLeft w:val="0"/>
              <w:marRight w:val="0"/>
              <w:marTop w:val="0"/>
              <w:marBottom w:val="0"/>
              <w:divBdr>
                <w:top w:val="none" w:sz="0" w:space="0" w:color="auto"/>
                <w:left w:val="none" w:sz="0" w:space="0" w:color="auto"/>
                <w:bottom w:val="none" w:sz="0" w:space="0" w:color="auto"/>
                <w:right w:val="none" w:sz="0" w:space="0" w:color="auto"/>
              </w:divBdr>
            </w:div>
            <w:div w:id="225725780">
              <w:marLeft w:val="0"/>
              <w:marRight w:val="0"/>
              <w:marTop w:val="0"/>
              <w:marBottom w:val="0"/>
              <w:divBdr>
                <w:top w:val="none" w:sz="0" w:space="0" w:color="auto"/>
                <w:left w:val="none" w:sz="0" w:space="0" w:color="auto"/>
                <w:bottom w:val="none" w:sz="0" w:space="0" w:color="auto"/>
                <w:right w:val="none" w:sz="0" w:space="0" w:color="auto"/>
              </w:divBdr>
            </w:div>
            <w:div w:id="573197222">
              <w:marLeft w:val="0"/>
              <w:marRight w:val="0"/>
              <w:marTop w:val="0"/>
              <w:marBottom w:val="0"/>
              <w:divBdr>
                <w:top w:val="none" w:sz="0" w:space="0" w:color="auto"/>
                <w:left w:val="none" w:sz="0" w:space="0" w:color="auto"/>
                <w:bottom w:val="none" w:sz="0" w:space="0" w:color="auto"/>
                <w:right w:val="none" w:sz="0" w:space="0" w:color="auto"/>
              </w:divBdr>
            </w:div>
            <w:div w:id="1119684162">
              <w:marLeft w:val="0"/>
              <w:marRight w:val="0"/>
              <w:marTop w:val="0"/>
              <w:marBottom w:val="0"/>
              <w:divBdr>
                <w:top w:val="none" w:sz="0" w:space="0" w:color="auto"/>
                <w:left w:val="none" w:sz="0" w:space="0" w:color="auto"/>
                <w:bottom w:val="none" w:sz="0" w:space="0" w:color="auto"/>
                <w:right w:val="none" w:sz="0" w:space="0" w:color="auto"/>
              </w:divBdr>
            </w:div>
            <w:div w:id="435297470">
              <w:marLeft w:val="0"/>
              <w:marRight w:val="0"/>
              <w:marTop w:val="0"/>
              <w:marBottom w:val="0"/>
              <w:divBdr>
                <w:top w:val="none" w:sz="0" w:space="0" w:color="auto"/>
                <w:left w:val="none" w:sz="0" w:space="0" w:color="auto"/>
                <w:bottom w:val="none" w:sz="0" w:space="0" w:color="auto"/>
                <w:right w:val="none" w:sz="0" w:space="0" w:color="auto"/>
              </w:divBdr>
            </w:div>
            <w:div w:id="602227580">
              <w:marLeft w:val="0"/>
              <w:marRight w:val="0"/>
              <w:marTop w:val="0"/>
              <w:marBottom w:val="0"/>
              <w:divBdr>
                <w:top w:val="none" w:sz="0" w:space="0" w:color="auto"/>
                <w:left w:val="none" w:sz="0" w:space="0" w:color="auto"/>
                <w:bottom w:val="none" w:sz="0" w:space="0" w:color="auto"/>
                <w:right w:val="none" w:sz="0" w:space="0" w:color="auto"/>
              </w:divBdr>
            </w:div>
            <w:div w:id="275135471">
              <w:marLeft w:val="0"/>
              <w:marRight w:val="0"/>
              <w:marTop w:val="0"/>
              <w:marBottom w:val="0"/>
              <w:divBdr>
                <w:top w:val="none" w:sz="0" w:space="0" w:color="auto"/>
                <w:left w:val="none" w:sz="0" w:space="0" w:color="auto"/>
                <w:bottom w:val="none" w:sz="0" w:space="0" w:color="auto"/>
                <w:right w:val="none" w:sz="0" w:space="0" w:color="auto"/>
              </w:divBdr>
            </w:div>
            <w:div w:id="1631284024">
              <w:marLeft w:val="0"/>
              <w:marRight w:val="0"/>
              <w:marTop w:val="0"/>
              <w:marBottom w:val="0"/>
              <w:divBdr>
                <w:top w:val="none" w:sz="0" w:space="0" w:color="auto"/>
                <w:left w:val="none" w:sz="0" w:space="0" w:color="auto"/>
                <w:bottom w:val="none" w:sz="0" w:space="0" w:color="auto"/>
                <w:right w:val="none" w:sz="0" w:space="0" w:color="auto"/>
              </w:divBdr>
            </w:div>
            <w:div w:id="1571386582">
              <w:marLeft w:val="0"/>
              <w:marRight w:val="0"/>
              <w:marTop w:val="0"/>
              <w:marBottom w:val="0"/>
              <w:divBdr>
                <w:top w:val="none" w:sz="0" w:space="0" w:color="auto"/>
                <w:left w:val="none" w:sz="0" w:space="0" w:color="auto"/>
                <w:bottom w:val="none" w:sz="0" w:space="0" w:color="auto"/>
                <w:right w:val="none" w:sz="0" w:space="0" w:color="auto"/>
              </w:divBdr>
            </w:div>
            <w:div w:id="1573151087">
              <w:marLeft w:val="0"/>
              <w:marRight w:val="0"/>
              <w:marTop w:val="0"/>
              <w:marBottom w:val="0"/>
              <w:divBdr>
                <w:top w:val="none" w:sz="0" w:space="0" w:color="auto"/>
                <w:left w:val="none" w:sz="0" w:space="0" w:color="auto"/>
                <w:bottom w:val="none" w:sz="0" w:space="0" w:color="auto"/>
                <w:right w:val="none" w:sz="0" w:space="0" w:color="auto"/>
              </w:divBdr>
            </w:div>
            <w:div w:id="130951693">
              <w:marLeft w:val="0"/>
              <w:marRight w:val="0"/>
              <w:marTop w:val="0"/>
              <w:marBottom w:val="0"/>
              <w:divBdr>
                <w:top w:val="none" w:sz="0" w:space="0" w:color="auto"/>
                <w:left w:val="none" w:sz="0" w:space="0" w:color="auto"/>
                <w:bottom w:val="none" w:sz="0" w:space="0" w:color="auto"/>
                <w:right w:val="none" w:sz="0" w:space="0" w:color="auto"/>
              </w:divBdr>
            </w:div>
            <w:div w:id="1077050735">
              <w:marLeft w:val="0"/>
              <w:marRight w:val="0"/>
              <w:marTop w:val="0"/>
              <w:marBottom w:val="0"/>
              <w:divBdr>
                <w:top w:val="none" w:sz="0" w:space="0" w:color="auto"/>
                <w:left w:val="none" w:sz="0" w:space="0" w:color="auto"/>
                <w:bottom w:val="none" w:sz="0" w:space="0" w:color="auto"/>
                <w:right w:val="none" w:sz="0" w:space="0" w:color="auto"/>
              </w:divBdr>
            </w:div>
            <w:div w:id="1047753699">
              <w:marLeft w:val="0"/>
              <w:marRight w:val="0"/>
              <w:marTop w:val="0"/>
              <w:marBottom w:val="0"/>
              <w:divBdr>
                <w:top w:val="none" w:sz="0" w:space="0" w:color="auto"/>
                <w:left w:val="none" w:sz="0" w:space="0" w:color="auto"/>
                <w:bottom w:val="none" w:sz="0" w:space="0" w:color="auto"/>
                <w:right w:val="none" w:sz="0" w:space="0" w:color="auto"/>
              </w:divBdr>
            </w:div>
            <w:div w:id="1972053434">
              <w:marLeft w:val="0"/>
              <w:marRight w:val="0"/>
              <w:marTop w:val="0"/>
              <w:marBottom w:val="0"/>
              <w:divBdr>
                <w:top w:val="none" w:sz="0" w:space="0" w:color="auto"/>
                <w:left w:val="none" w:sz="0" w:space="0" w:color="auto"/>
                <w:bottom w:val="none" w:sz="0" w:space="0" w:color="auto"/>
                <w:right w:val="none" w:sz="0" w:space="0" w:color="auto"/>
              </w:divBdr>
            </w:div>
            <w:div w:id="1768116241">
              <w:marLeft w:val="0"/>
              <w:marRight w:val="0"/>
              <w:marTop w:val="0"/>
              <w:marBottom w:val="0"/>
              <w:divBdr>
                <w:top w:val="none" w:sz="0" w:space="0" w:color="auto"/>
                <w:left w:val="none" w:sz="0" w:space="0" w:color="auto"/>
                <w:bottom w:val="none" w:sz="0" w:space="0" w:color="auto"/>
                <w:right w:val="none" w:sz="0" w:space="0" w:color="auto"/>
              </w:divBdr>
            </w:div>
            <w:div w:id="1100563095">
              <w:marLeft w:val="0"/>
              <w:marRight w:val="0"/>
              <w:marTop w:val="0"/>
              <w:marBottom w:val="0"/>
              <w:divBdr>
                <w:top w:val="none" w:sz="0" w:space="0" w:color="auto"/>
                <w:left w:val="none" w:sz="0" w:space="0" w:color="auto"/>
                <w:bottom w:val="none" w:sz="0" w:space="0" w:color="auto"/>
                <w:right w:val="none" w:sz="0" w:space="0" w:color="auto"/>
              </w:divBdr>
            </w:div>
            <w:div w:id="609974138">
              <w:marLeft w:val="0"/>
              <w:marRight w:val="0"/>
              <w:marTop w:val="0"/>
              <w:marBottom w:val="0"/>
              <w:divBdr>
                <w:top w:val="none" w:sz="0" w:space="0" w:color="auto"/>
                <w:left w:val="none" w:sz="0" w:space="0" w:color="auto"/>
                <w:bottom w:val="none" w:sz="0" w:space="0" w:color="auto"/>
                <w:right w:val="none" w:sz="0" w:space="0" w:color="auto"/>
              </w:divBdr>
            </w:div>
            <w:div w:id="720985948">
              <w:marLeft w:val="0"/>
              <w:marRight w:val="0"/>
              <w:marTop w:val="0"/>
              <w:marBottom w:val="0"/>
              <w:divBdr>
                <w:top w:val="none" w:sz="0" w:space="0" w:color="auto"/>
                <w:left w:val="none" w:sz="0" w:space="0" w:color="auto"/>
                <w:bottom w:val="none" w:sz="0" w:space="0" w:color="auto"/>
                <w:right w:val="none" w:sz="0" w:space="0" w:color="auto"/>
              </w:divBdr>
            </w:div>
            <w:div w:id="2095930091">
              <w:marLeft w:val="0"/>
              <w:marRight w:val="0"/>
              <w:marTop w:val="0"/>
              <w:marBottom w:val="0"/>
              <w:divBdr>
                <w:top w:val="none" w:sz="0" w:space="0" w:color="auto"/>
                <w:left w:val="none" w:sz="0" w:space="0" w:color="auto"/>
                <w:bottom w:val="none" w:sz="0" w:space="0" w:color="auto"/>
                <w:right w:val="none" w:sz="0" w:space="0" w:color="auto"/>
              </w:divBdr>
            </w:div>
            <w:div w:id="506869164">
              <w:marLeft w:val="0"/>
              <w:marRight w:val="0"/>
              <w:marTop w:val="0"/>
              <w:marBottom w:val="0"/>
              <w:divBdr>
                <w:top w:val="none" w:sz="0" w:space="0" w:color="auto"/>
                <w:left w:val="none" w:sz="0" w:space="0" w:color="auto"/>
                <w:bottom w:val="none" w:sz="0" w:space="0" w:color="auto"/>
                <w:right w:val="none" w:sz="0" w:space="0" w:color="auto"/>
              </w:divBdr>
            </w:div>
            <w:div w:id="763964138">
              <w:marLeft w:val="0"/>
              <w:marRight w:val="0"/>
              <w:marTop w:val="0"/>
              <w:marBottom w:val="0"/>
              <w:divBdr>
                <w:top w:val="none" w:sz="0" w:space="0" w:color="auto"/>
                <w:left w:val="none" w:sz="0" w:space="0" w:color="auto"/>
                <w:bottom w:val="none" w:sz="0" w:space="0" w:color="auto"/>
                <w:right w:val="none" w:sz="0" w:space="0" w:color="auto"/>
              </w:divBdr>
            </w:div>
            <w:div w:id="1744259469">
              <w:marLeft w:val="0"/>
              <w:marRight w:val="0"/>
              <w:marTop w:val="0"/>
              <w:marBottom w:val="0"/>
              <w:divBdr>
                <w:top w:val="none" w:sz="0" w:space="0" w:color="auto"/>
                <w:left w:val="none" w:sz="0" w:space="0" w:color="auto"/>
                <w:bottom w:val="none" w:sz="0" w:space="0" w:color="auto"/>
                <w:right w:val="none" w:sz="0" w:space="0" w:color="auto"/>
              </w:divBdr>
            </w:div>
            <w:div w:id="964121577">
              <w:marLeft w:val="0"/>
              <w:marRight w:val="0"/>
              <w:marTop w:val="0"/>
              <w:marBottom w:val="0"/>
              <w:divBdr>
                <w:top w:val="none" w:sz="0" w:space="0" w:color="auto"/>
                <w:left w:val="none" w:sz="0" w:space="0" w:color="auto"/>
                <w:bottom w:val="none" w:sz="0" w:space="0" w:color="auto"/>
                <w:right w:val="none" w:sz="0" w:space="0" w:color="auto"/>
              </w:divBdr>
            </w:div>
            <w:div w:id="768895047">
              <w:marLeft w:val="0"/>
              <w:marRight w:val="0"/>
              <w:marTop w:val="0"/>
              <w:marBottom w:val="0"/>
              <w:divBdr>
                <w:top w:val="none" w:sz="0" w:space="0" w:color="auto"/>
                <w:left w:val="none" w:sz="0" w:space="0" w:color="auto"/>
                <w:bottom w:val="none" w:sz="0" w:space="0" w:color="auto"/>
                <w:right w:val="none" w:sz="0" w:space="0" w:color="auto"/>
              </w:divBdr>
            </w:div>
            <w:div w:id="82730430">
              <w:marLeft w:val="0"/>
              <w:marRight w:val="0"/>
              <w:marTop w:val="0"/>
              <w:marBottom w:val="0"/>
              <w:divBdr>
                <w:top w:val="none" w:sz="0" w:space="0" w:color="auto"/>
                <w:left w:val="none" w:sz="0" w:space="0" w:color="auto"/>
                <w:bottom w:val="none" w:sz="0" w:space="0" w:color="auto"/>
                <w:right w:val="none" w:sz="0" w:space="0" w:color="auto"/>
              </w:divBdr>
            </w:div>
            <w:div w:id="1864247591">
              <w:marLeft w:val="0"/>
              <w:marRight w:val="0"/>
              <w:marTop w:val="0"/>
              <w:marBottom w:val="0"/>
              <w:divBdr>
                <w:top w:val="none" w:sz="0" w:space="0" w:color="auto"/>
                <w:left w:val="none" w:sz="0" w:space="0" w:color="auto"/>
                <w:bottom w:val="none" w:sz="0" w:space="0" w:color="auto"/>
                <w:right w:val="none" w:sz="0" w:space="0" w:color="auto"/>
              </w:divBdr>
            </w:div>
            <w:div w:id="1500542922">
              <w:marLeft w:val="0"/>
              <w:marRight w:val="0"/>
              <w:marTop w:val="0"/>
              <w:marBottom w:val="0"/>
              <w:divBdr>
                <w:top w:val="none" w:sz="0" w:space="0" w:color="auto"/>
                <w:left w:val="none" w:sz="0" w:space="0" w:color="auto"/>
                <w:bottom w:val="none" w:sz="0" w:space="0" w:color="auto"/>
                <w:right w:val="none" w:sz="0" w:space="0" w:color="auto"/>
              </w:divBdr>
            </w:div>
            <w:div w:id="631206547">
              <w:marLeft w:val="0"/>
              <w:marRight w:val="0"/>
              <w:marTop w:val="0"/>
              <w:marBottom w:val="0"/>
              <w:divBdr>
                <w:top w:val="none" w:sz="0" w:space="0" w:color="auto"/>
                <w:left w:val="none" w:sz="0" w:space="0" w:color="auto"/>
                <w:bottom w:val="none" w:sz="0" w:space="0" w:color="auto"/>
                <w:right w:val="none" w:sz="0" w:space="0" w:color="auto"/>
              </w:divBdr>
            </w:div>
            <w:div w:id="288245609">
              <w:marLeft w:val="0"/>
              <w:marRight w:val="0"/>
              <w:marTop w:val="0"/>
              <w:marBottom w:val="0"/>
              <w:divBdr>
                <w:top w:val="none" w:sz="0" w:space="0" w:color="auto"/>
                <w:left w:val="none" w:sz="0" w:space="0" w:color="auto"/>
                <w:bottom w:val="none" w:sz="0" w:space="0" w:color="auto"/>
                <w:right w:val="none" w:sz="0" w:space="0" w:color="auto"/>
              </w:divBdr>
            </w:div>
            <w:div w:id="467213137">
              <w:marLeft w:val="0"/>
              <w:marRight w:val="0"/>
              <w:marTop w:val="0"/>
              <w:marBottom w:val="0"/>
              <w:divBdr>
                <w:top w:val="none" w:sz="0" w:space="0" w:color="auto"/>
                <w:left w:val="none" w:sz="0" w:space="0" w:color="auto"/>
                <w:bottom w:val="none" w:sz="0" w:space="0" w:color="auto"/>
                <w:right w:val="none" w:sz="0" w:space="0" w:color="auto"/>
              </w:divBdr>
            </w:div>
            <w:div w:id="214002377">
              <w:marLeft w:val="0"/>
              <w:marRight w:val="0"/>
              <w:marTop w:val="0"/>
              <w:marBottom w:val="0"/>
              <w:divBdr>
                <w:top w:val="none" w:sz="0" w:space="0" w:color="auto"/>
                <w:left w:val="none" w:sz="0" w:space="0" w:color="auto"/>
                <w:bottom w:val="none" w:sz="0" w:space="0" w:color="auto"/>
                <w:right w:val="none" w:sz="0" w:space="0" w:color="auto"/>
              </w:divBdr>
            </w:div>
            <w:div w:id="978264445">
              <w:marLeft w:val="0"/>
              <w:marRight w:val="0"/>
              <w:marTop w:val="0"/>
              <w:marBottom w:val="0"/>
              <w:divBdr>
                <w:top w:val="none" w:sz="0" w:space="0" w:color="auto"/>
                <w:left w:val="none" w:sz="0" w:space="0" w:color="auto"/>
                <w:bottom w:val="none" w:sz="0" w:space="0" w:color="auto"/>
                <w:right w:val="none" w:sz="0" w:space="0" w:color="auto"/>
              </w:divBdr>
            </w:div>
            <w:div w:id="1287197518">
              <w:marLeft w:val="0"/>
              <w:marRight w:val="0"/>
              <w:marTop w:val="0"/>
              <w:marBottom w:val="0"/>
              <w:divBdr>
                <w:top w:val="none" w:sz="0" w:space="0" w:color="auto"/>
                <w:left w:val="none" w:sz="0" w:space="0" w:color="auto"/>
                <w:bottom w:val="none" w:sz="0" w:space="0" w:color="auto"/>
                <w:right w:val="none" w:sz="0" w:space="0" w:color="auto"/>
              </w:divBdr>
            </w:div>
            <w:div w:id="847253368">
              <w:marLeft w:val="0"/>
              <w:marRight w:val="0"/>
              <w:marTop w:val="0"/>
              <w:marBottom w:val="0"/>
              <w:divBdr>
                <w:top w:val="none" w:sz="0" w:space="0" w:color="auto"/>
                <w:left w:val="none" w:sz="0" w:space="0" w:color="auto"/>
                <w:bottom w:val="none" w:sz="0" w:space="0" w:color="auto"/>
                <w:right w:val="none" w:sz="0" w:space="0" w:color="auto"/>
              </w:divBdr>
            </w:div>
            <w:div w:id="2102018184">
              <w:marLeft w:val="0"/>
              <w:marRight w:val="0"/>
              <w:marTop w:val="0"/>
              <w:marBottom w:val="0"/>
              <w:divBdr>
                <w:top w:val="none" w:sz="0" w:space="0" w:color="auto"/>
                <w:left w:val="none" w:sz="0" w:space="0" w:color="auto"/>
                <w:bottom w:val="none" w:sz="0" w:space="0" w:color="auto"/>
                <w:right w:val="none" w:sz="0" w:space="0" w:color="auto"/>
              </w:divBdr>
            </w:div>
            <w:div w:id="1252012419">
              <w:marLeft w:val="0"/>
              <w:marRight w:val="0"/>
              <w:marTop w:val="0"/>
              <w:marBottom w:val="0"/>
              <w:divBdr>
                <w:top w:val="none" w:sz="0" w:space="0" w:color="auto"/>
                <w:left w:val="none" w:sz="0" w:space="0" w:color="auto"/>
                <w:bottom w:val="none" w:sz="0" w:space="0" w:color="auto"/>
                <w:right w:val="none" w:sz="0" w:space="0" w:color="auto"/>
              </w:divBdr>
            </w:div>
            <w:div w:id="2021663868">
              <w:marLeft w:val="0"/>
              <w:marRight w:val="0"/>
              <w:marTop w:val="0"/>
              <w:marBottom w:val="0"/>
              <w:divBdr>
                <w:top w:val="none" w:sz="0" w:space="0" w:color="auto"/>
                <w:left w:val="none" w:sz="0" w:space="0" w:color="auto"/>
                <w:bottom w:val="none" w:sz="0" w:space="0" w:color="auto"/>
                <w:right w:val="none" w:sz="0" w:space="0" w:color="auto"/>
              </w:divBdr>
            </w:div>
            <w:div w:id="993726415">
              <w:marLeft w:val="0"/>
              <w:marRight w:val="0"/>
              <w:marTop w:val="0"/>
              <w:marBottom w:val="0"/>
              <w:divBdr>
                <w:top w:val="none" w:sz="0" w:space="0" w:color="auto"/>
                <w:left w:val="none" w:sz="0" w:space="0" w:color="auto"/>
                <w:bottom w:val="none" w:sz="0" w:space="0" w:color="auto"/>
                <w:right w:val="none" w:sz="0" w:space="0" w:color="auto"/>
              </w:divBdr>
            </w:div>
            <w:div w:id="25717496">
              <w:marLeft w:val="0"/>
              <w:marRight w:val="0"/>
              <w:marTop w:val="0"/>
              <w:marBottom w:val="0"/>
              <w:divBdr>
                <w:top w:val="none" w:sz="0" w:space="0" w:color="auto"/>
                <w:left w:val="none" w:sz="0" w:space="0" w:color="auto"/>
                <w:bottom w:val="none" w:sz="0" w:space="0" w:color="auto"/>
                <w:right w:val="none" w:sz="0" w:space="0" w:color="auto"/>
              </w:divBdr>
            </w:div>
            <w:div w:id="1637446183">
              <w:marLeft w:val="0"/>
              <w:marRight w:val="0"/>
              <w:marTop w:val="0"/>
              <w:marBottom w:val="0"/>
              <w:divBdr>
                <w:top w:val="none" w:sz="0" w:space="0" w:color="auto"/>
                <w:left w:val="none" w:sz="0" w:space="0" w:color="auto"/>
                <w:bottom w:val="none" w:sz="0" w:space="0" w:color="auto"/>
                <w:right w:val="none" w:sz="0" w:space="0" w:color="auto"/>
              </w:divBdr>
            </w:div>
            <w:div w:id="2024041337">
              <w:marLeft w:val="0"/>
              <w:marRight w:val="0"/>
              <w:marTop w:val="0"/>
              <w:marBottom w:val="0"/>
              <w:divBdr>
                <w:top w:val="none" w:sz="0" w:space="0" w:color="auto"/>
                <w:left w:val="none" w:sz="0" w:space="0" w:color="auto"/>
                <w:bottom w:val="none" w:sz="0" w:space="0" w:color="auto"/>
                <w:right w:val="none" w:sz="0" w:space="0" w:color="auto"/>
              </w:divBdr>
            </w:div>
            <w:div w:id="368919680">
              <w:marLeft w:val="0"/>
              <w:marRight w:val="0"/>
              <w:marTop w:val="0"/>
              <w:marBottom w:val="0"/>
              <w:divBdr>
                <w:top w:val="none" w:sz="0" w:space="0" w:color="auto"/>
                <w:left w:val="none" w:sz="0" w:space="0" w:color="auto"/>
                <w:bottom w:val="none" w:sz="0" w:space="0" w:color="auto"/>
                <w:right w:val="none" w:sz="0" w:space="0" w:color="auto"/>
              </w:divBdr>
            </w:div>
            <w:div w:id="2105028849">
              <w:marLeft w:val="0"/>
              <w:marRight w:val="0"/>
              <w:marTop w:val="0"/>
              <w:marBottom w:val="0"/>
              <w:divBdr>
                <w:top w:val="none" w:sz="0" w:space="0" w:color="auto"/>
                <w:left w:val="none" w:sz="0" w:space="0" w:color="auto"/>
                <w:bottom w:val="none" w:sz="0" w:space="0" w:color="auto"/>
                <w:right w:val="none" w:sz="0" w:space="0" w:color="auto"/>
              </w:divBdr>
            </w:div>
            <w:div w:id="530463162">
              <w:marLeft w:val="0"/>
              <w:marRight w:val="0"/>
              <w:marTop w:val="0"/>
              <w:marBottom w:val="0"/>
              <w:divBdr>
                <w:top w:val="none" w:sz="0" w:space="0" w:color="auto"/>
                <w:left w:val="none" w:sz="0" w:space="0" w:color="auto"/>
                <w:bottom w:val="none" w:sz="0" w:space="0" w:color="auto"/>
                <w:right w:val="none" w:sz="0" w:space="0" w:color="auto"/>
              </w:divBdr>
            </w:div>
            <w:div w:id="843979717">
              <w:marLeft w:val="0"/>
              <w:marRight w:val="0"/>
              <w:marTop w:val="0"/>
              <w:marBottom w:val="0"/>
              <w:divBdr>
                <w:top w:val="none" w:sz="0" w:space="0" w:color="auto"/>
                <w:left w:val="none" w:sz="0" w:space="0" w:color="auto"/>
                <w:bottom w:val="none" w:sz="0" w:space="0" w:color="auto"/>
                <w:right w:val="none" w:sz="0" w:space="0" w:color="auto"/>
              </w:divBdr>
            </w:div>
            <w:div w:id="1632639052">
              <w:marLeft w:val="0"/>
              <w:marRight w:val="0"/>
              <w:marTop w:val="0"/>
              <w:marBottom w:val="0"/>
              <w:divBdr>
                <w:top w:val="none" w:sz="0" w:space="0" w:color="auto"/>
                <w:left w:val="none" w:sz="0" w:space="0" w:color="auto"/>
                <w:bottom w:val="none" w:sz="0" w:space="0" w:color="auto"/>
                <w:right w:val="none" w:sz="0" w:space="0" w:color="auto"/>
              </w:divBdr>
            </w:div>
            <w:div w:id="553471483">
              <w:marLeft w:val="0"/>
              <w:marRight w:val="0"/>
              <w:marTop w:val="0"/>
              <w:marBottom w:val="0"/>
              <w:divBdr>
                <w:top w:val="none" w:sz="0" w:space="0" w:color="auto"/>
                <w:left w:val="none" w:sz="0" w:space="0" w:color="auto"/>
                <w:bottom w:val="none" w:sz="0" w:space="0" w:color="auto"/>
                <w:right w:val="none" w:sz="0" w:space="0" w:color="auto"/>
              </w:divBdr>
            </w:div>
            <w:div w:id="1205220102">
              <w:marLeft w:val="0"/>
              <w:marRight w:val="0"/>
              <w:marTop w:val="0"/>
              <w:marBottom w:val="0"/>
              <w:divBdr>
                <w:top w:val="none" w:sz="0" w:space="0" w:color="auto"/>
                <w:left w:val="none" w:sz="0" w:space="0" w:color="auto"/>
                <w:bottom w:val="none" w:sz="0" w:space="0" w:color="auto"/>
                <w:right w:val="none" w:sz="0" w:space="0" w:color="auto"/>
              </w:divBdr>
            </w:div>
            <w:div w:id="195432476">
              <w:marLeft w:val="0"/>
              <w:marRight w:val="0"/>
              <w:marTop w:val="0"/>
              <w:marBottom w:val="0"/>
              <w:divBdr>
                <w:top w:val="none" w:sz="0" w:space="0" w:color="auto"/>
                <w:left w:val="none" w:sz="0" w:space="0" w:color="auto"/>
                <w:bottom w:val="none" w:sz="0" w:space="0" w:color="auto"/>
                <w:right w:val="none" w:sz="0" w:space="0" w:color="auto"/>
              </w:divBdr>
            </w:div>
            <w:div w:id="418333945">
              <w:marLeft w:val="0"/>
              <w:marRight w:val="0"/>
              <w:marTop w:val="0"/>
              <w:marBottom w:val="0"/>
              <w:divBdr>
                <w:top w:val="none" w:sz="0" w:space="0" w:color="auto"/>
                <w:left w:val="none" w:sz="0" w:space="0" w:color="auto"/>
                <w:bottom w:val="none" w:sz="0" w:space="0" w:color="auto"/>
                <w:right w:val="none" w:sz="0" w:space="0" w:color="auto"/>
              </w:divBdr>
            </w:div>
            <w:div w:id="861018966">
              <w:marLeft w:val="0"/>
              <w:marRight w:val="0"/>
              <w:marTop w:val="0"/>
              <w:marBottom w:val="0"/>
              <w:divBdr>
                <w:top w:val="none" w:sz="0" w:space="0" w:color="auto"/>
                <w:left w:val="none" w:sz="0" w:space="0" w:color="auto"/>
                <w:bottom w:val="none" w:sz="0" w:space="0" w:color="auto"/>
                <w:right w:val="none" w:sz="0" w:space="0" w:color="auto"/>
              </w:divBdr>
            </w:div>
            <w:div w:id="799767541">
              <w:marLeft w:val="0"/>
              <w:marRight w:val="0"/>
              <w:marTop w:val="0"/>
              <w:marBottom w:val="0"/>
              <w:divBdr>
                <w:top w:val="none" w:sz="0" w:space="0" w:color="auto"/>
                <w:left w:val="none" w:sz="0" w:space="0" w:color="auto"/>
                <w:bottom w:val="none" w:sz="0" w:space="0" w:color="auto"/>
                <w:right w:val="none" w:sz="0" w:space="0" w:color="auto"/>
              </w:divBdr>
            </w:div>
            <w:div w:id="179508820">
              <w:marLeft w:val="0"/>
              <w:marRight w:val="0"/>
              <w:marTop w:val="0"/>
              <w:marBottom w:val="0"/>
              <w:divBdr>
                <w:top w:val="none" w:sz="0" w:space="0" w:color="auto"/>
                <w:left w:val="none" w:sz="0" w:space="0" w:color="auto"/>
                <w:bottom w:val="none" w:sz="0" w:space="0" w:color="auto"/>
                <w:right w:val="none" w:sz="0" w:space="0" w:color="auto"/>
              </w:divBdr>
            </w:div>
            <w:div w:id="379407342">
              <w:marLeft w:val="0"/>
              <w:marRight w:val="0"/>
              <w:marTop w:val="0"/>
              <w:marBottom w:val="0"/>
              <w:divBdr>
                <w:top w:val="none" w:sz="0" w:space="0" w:color="auto"/>
                <w:left w:val="none" w:sz="0" w:space="0" w:color="auto"/>
                <w:bottom w:val="none" w:sz="0" w:space="0" w:color="auto"/>
                <w:right w:val="none" w:sz="0" w:space="0" w:color="auto"/>
              </w:divBdr>
            </w:div>
            <w:div w:id="26377350">
              <w:marLeft w:val="0"/>
              <w:marRight w:val="0"/>
              <w:marTop w:val="0"/>
              <w:marBottom w:val="0"/>
              <w:divBdr>
                <w:top w:val="none" w:sz="0" w:space="0" w:color="auto"/>
                <w:left w:val="none" w:sz="0" w:space="0" w:color="auto"/>
                <w:bottom w:val="none" w:sz="0" w:space="0" w:color="auto"/>
                <w:right w:val="none" w:sz="0" w:space="0" w:color="auto"/>
              </w:divBdr>
            </w:div>
            <w:div w:id="1045980130">
              <w:marLeft w:val="0"/>
              <w:marRight w:val="0"/>
              <w:marTop w:val="0"/>
              <w:marBottom w:val="0"/>
              <w:divBdr>
                <w:top w:val="none" w:sz="0" w:space="0" w:color="auto"/>
                <w:left w:val="none" w:sz="0" w:space="0" w:color="auto"/>
                <w:bottom w:val="none" w:sz="0" w:space="0" w:color="auto"/>
                <w:right w:val="none" w:sz="0" w:space="0" w:color="auto"/>
              </w:divBdr>
            </w:div>
            <w:div w:id="2038192467">
              <w:marLeft w:val="0"/>
              <w:marRight w:val="0"/>
              <w:marTop w:val="0"/>
              <w:marBottom w:val="0"/>
              <w:divBdr>
                <w:top w:val="none" w:sz="0" w:space="0" w:color="auto"/>
                <w:left w:val="none" w:sz="0" w:space="0" w:color="auto"/>
                <w:bottom w:val="none" w:sz="0" w:space="0" w:color="auto"/>
                <w:right w:val="none" w:sz="0" w:space="0" w:color="auto"/>
              </w:divBdr>
            </w:div>
            <w:div w:id="1926331422">
              <w:marLeft w:val="0"/>
              <w:marRight w:val="0"/>
              <w:marTop w:val="0"/>
              <w:marBottom w:val="0"/>
              <w:divBdr>
                <w:top w:val="none" w:sz="0" w:space="0" w:color="auto"/>
                <w:left w:val="none" w:sz="0" w:space="0" w:color="auto"/>
                <w:bottom w:val="none" w:sz="0" w:space="0" w:color="auto"/>
                <w:right w:val="none" w:sz="0" w:space="0" w:color="auto"/>
              </w:divBdr>
            </w:div>
            <w:div w:id="1167018996">
              <w:marLeft w:val="0"/>
              <w:marRight w:val="0"/>
              <w:marTop w:val="0"/>
              <w:marBottom w:val="0"/>
              <w:divBdr>
                <w:top w:val="none" w:sz="0" w:space="0" w:color="auto"/>
                <w:left w:val="none" w:sz="0" w:space="0" w:color="auto"/>
                <w:bottom w:val="none" w:sz="0" w:space="0" w:color="auto"/>
                <w:right w:val="none" w:sz="0" w:space="0" w:color="auto"/>
              </w:divBdr>
            </w:div>
            <w:div w:id="1540043458">
              <w:marLeft w:val="0"/>
              <w:marRight w:val="0"/>
              <w:marTop w:val="0"/>
              <w:marBottom w:val="0"/>
              <w:divBdr>
                <w:top w:val="none" w:sz="0" w:space="0" w:color="auto"/>
                <w:left w:val="none" w:sz="0" w:space="0" w:color="auto"/>
                <w:bottom w:val="none" w:sz="0" w:space="0" w:color="auto"/>
                <w:right w:val="none" w:sz="0" w:space="0" w:color="auto"/>
              </w:divBdr>
            </w:div>
            <w:div w:id="1713580049">
              <w:marLeft w:val="0"/>
              <w:marRight w:val="0"/>
              <w:marTop w:val="0"/>
              <w:marBottom w:val="0"/>
              <w:divBdr>
                <w:top w:val="none" w:sz="0" w:space="0" w:color="auto"/>
                <w:left w:val="none" w:sz="0" w:space="0" w:color="auto"/>
                <w:bottom w:val="none" w:sz="0" w:space="0" w:color="auto"/>
                <w:right w:val="none" w:sz="0" w:space="0" w:color="auto"/>
              </w:divBdr>
            </w:div>
            <w:div w:id="388462570">
              <w:marLeft w:val="0"/>
              <w:marRight w:val="0"/>
              <w:marTop w:val="0"/>
              <w:marBottom w:val="0"/>
              <w:divBdr>
                <w:top w:val="none" w:sz="0" w:space="0" w:color="auto"/>
                <w:left w:val="none" w:sz="0" w:space="0" w:color="auto"/>
                <w:bottom w:val="none" w:sz="0" w:space="0" w:color="auto"/>
                <w:right w:val="none" w:sz="0" w:space="0" w:color="auto"/>
              </w:divBdr>
            </w:div>
            <w:div w:id="13390046">
              <w:marLeft w:val="0"/>
              <w:marRight w:val="0"/>
              <w:marTop w:val="0"/>
              <w:marBottom w:val="0"/>
              <w:divBdr>
                <w:top w:val="none" w:sz="0" w:space="0" w:color="auto"/>
                <w:left w:val="none" w:sz="0" w:space="0" w:color="auto"/>
                <w:bottom w:val="none" w:sz="0" w:space="0" w:color="auto"/>
                <w:right w:val="none" w:sz="0" w:space="0" w:color="auto"/>
              </w:divBdr>
            </w:div>
            <w:div w:id="1744136372">
              <w:marLeft w:val="0"/>
              <w:marRight w:val="0"/>
              <w:marTop w:val="0"/>
              <w:marBottom w:val="0"/>
              <w:divBdr>
                <w:top w:val="none" w:sz="0" w:space="0" w:color="auto"/>
                <w:left w:val="none" w:sz="0" w:space="0" w:color="auto"/>
                <w:bottom w:val="none" w:sz="0" w:space="0" w:color="auto"/>
                <w:right w:val="none" w:sz="0" w:space="0" w:color="auto"/>
              </w:divBdr>
            </w:div>
            <w:div w:id="2028093099">
              <w:marLeft w:val="0"/>
              <w:marRight w:val="0"/>
              <w:marTop w:val="0"/>
              <w:marBottom w:val="0"/>
              <w:divBdr>
                <w:top w:val="none" w:sz="0" w:space="0" w:color="auto"/>
                <w:left w:val="none" w:sz="0" w:space="0" w:color="auto"/>
                <w:bottom w:val="none" w:sz="0" w:space="0" w:color="auto"/>
                <w:right w:val="none" w:sz="0" w:space="0" w:color="auto"/>
              </w:divBdr>
            </w:div>
            <w:div w:id="992418373">
              <w:marLeft w:val="0"/>
              <w:marRight w:val="0"/>
              <w:marTop w:val="0"/>
              <w:marBottom w:val="0"/>
              <w:divBdr>
                <w:top w:val="none" w:sz="0" w:space="0" w:color="auto"/>
                <w:left w:val="none" w:sz="0" w:space="0" w:color="auto"/>
                <w:bottom w:val="none" w:sz="0" w:space="0" w:color="auto"/>
                <w:right w:val="none" w:sz="0" w:space="0" w:color="auto"/>
              </w:divBdr>
            </w:div>
            <w:div w:id="1583026629">
              <w:marLeft w:val="0"/>
              <w:marRight w:val="0"/>
              <w:marTop w:val="0"/>
              <w:marBottom w:val="0"/>
              <w:divBdr>
                <w:top w:val="none" w:sz="0" w:space="0" w:color="auto"/>
                <w:left w:val="none" w:sz="0" w:space="0" w:color="auto"/>
                <w:bottom w:val="none" w:sz="0" w:space="0" w:color="auto"/>
                <w:right w:val="none" w:sz="0" w:space="0" w:color="auto"/>
              </w:divBdr>
            </w:div>
            <w:div w:id="756252298">
              <w:marLeft w:val="0"/>
              <w:marRight w:val="0"/>
              <w:marTop w:val="0"/>
              <w:marBottom w:val="0"/>
              <w:divBdr>
                <w:top w:val="none" w:sz="0" w:space="0" w:color="auto"/>
                <w:left w:val="none" w:sz="0" w:space="0" w:color="auto"/>
                <w:bottom w:val="none" w:sz="0" w:space="0" w:color="auto"/>
                <w:right w:val="none" w:sz="0" w:space="0" w:color="auto"/>
              </w:divBdr>
            </w:div>
            <w:div w:id="350571252">
              <w:marLeft w:val="0"/>
              <w:marRight w:val="0"/>
              <w:marTop w:val="0"/>
              <w:marBottom w:val="0"/>
              <w:divBdr>
                <w:top w:val="none" w:sz="0" w:space="0" w:color="auto"/>
                <w:left w:val="none" w:sz="0" w:space="0" w:color="auto"/>
                <w:bottom w:val="none" w:sz="0" w:space="0" w:color="auto"/>
                <w:right w:val="none" w:sz="0" w:space="0" w:color="auto"/>
              </w:divBdr>
            </w:div>
            <w:div w:id="394623495">
              <w:marLeft w:val="0"/>
              <w:marRight w:val="0"/>
              <w:marTop w:val="0"/>
              <w:marBottom w:val="0"/>
              <w:divBdr>
                <w:top w:val="none" w:sz="0" w:space="0" w:color="auto"/>
                <w:left w:val="none" w:sz="0" w:space="0" w:color="auto"/>
                <w:bottom w:val="none" w:sz="0" w:space="0" w:color="auto"/>
                <w:right w:val="none" w:sz="0" w:space="0" w:color="auto"/>
              </w:divBdr>
            </w:div>
            <w:div w:id="155807189">
              <w:marLeft w:val="0"/>
              <w:marRight w:val="0"/>
              <w:marTop w:val="0"/>
              <w:marBottom w:val="0"/>
              <w:divBdr>
                <w:top w:val="none" w:sz="0" w:space="0" w:color="auto"/>
                <w:left w:val="none" w:sz="0" w:space="0" w:color="auto"/>
                <w:bottom w:val="none" w:sz="0" w:space="0" w:color="auto"/>
                <w:right w:val="none" w:sz="0" w:space="0" w:color="auto"/>
              </w:divBdr>
            </w:div>
            <w:div w:id="590821078">
              <w:marLeft w:val="0"/>
              <w:marRight w:val="0"/>
              <w:marTop w:val="0"/>
              <w:marBottom w:val="0"/>
              <w:divBdr>
                <w:top w:val="none" w:sz="0" w:space="0" w:color="auto"/>
                <w:left w:val="none" w:sz="0" w:space="0" w:color="auto"/>
                <w:bottom w:val="none" w:sz="0" w:space="0" w:color="auto"/>
                <w:right w:val="none" w:sz="0" w:space="0" w:color="auto"/>
              </w:divBdr>
            </w:div>
            <w:div w:id="1256788158">
              <w:marLeft w:val="0"/>
              <w:marRight w:val="0"/>
              <w:marTop w:val="0"/>
              <w:marBottom w:val="0"/>
              <w:divBdr>
                <w:top w:val="none" w:sz="0" w:space="0" w:color="auto"/>
                <w:left w:val="none" w:sz="0" w:space="0" w:color="auto"/>
                <w:bottom w:val="none" w:sz="0" w:space="0" w:color="auto"/>
                <w:right w:val="none" w:sz="0" w:space="0" w:color="auto"/>
              </w:divBdr>
            </w:div>
            <w:div w:id="1750536102">
              <w:marLeft w:val="0"/>
              <w:marRight w:val="0"/>
              <w:marTop w:val="0"/>
              <w:marBottom w:val="0"/>
              <w:divBdr>
                <w:top w:val="none" w:sz="0" w:space="0" w:color="auto"/>
                <w:left w:val="none" w:sz="0" w:space="0" w:color="auto"/>
                <w:bottom w:val="none" w:sz="0" w:space="0" w:color="auto"/>
                <w:right w:val="none" w:sz="0" w:space="0" w:color="auto"/>
              </w:divBdr>
            </w:div>
            <w:div w:id="1289429426">
              <w:marLeft w:val="0"/>
              <w:marRight w:val="0"/>
              <w:marTop w:val="0"/>
              <w:marBottom w:val="0"/>
              <w:divBdr>
                <w:top w:val="none" w:sz="0" w:space="0" w:color="auto"/>
                <w:left w:val="none" w:sz="0" w:space="0" w:color="auto"/>
                <w:bottom w:val="none" w:sz="0" w:space="0" w:color="auto"/>
                <w:right w:val="none" w:sz="0" w:space="0" w:color="auto"/>
              </w:divBdr>
            </w:div>
            <w:div w:id="1310482567">
              <w:marLeft w:val="0"/>
              <w:marRight w:val="0"/>
              <w:marTop w:val="0"/>
              <w:marBottom w:val="0"/>
              <w:divBdr>
                <w:top w:val="none" w:sz="0" w:space="0" w:color="auto"/>
                <w:left w:val="none" w:sz="0" w:space="0" w:color="auto"/>
                <w:bottom w:val="none" w:sz="0" w:space="0" w:color="auto"/>
                <w:right w:val="none" w:sz="0" w:space="0" w:color="auto"/>
              </w:divBdr>
            </w:div>
            <w:div w:id="1043288487">
              <w:marLeft w:val="0"/>
              <w:marRight w:val="0"/>
              <w:marTop w:val="0"/>
              <w:marBottom w:val="0"/>
              <w:divBdr>
                <w:top w:val="none" w:sz="0" w:space="0" w:color="auto"/>
                <w:left w:val="none" w:sz="0" w:space="0" w:color="auto"/>
                <w:bottom w:val="none" w:sz="0" w:space="0" w:color="auto"/>
                <w:right w:val="none" w:sz="0" w:space="0" w:color="auto"/>
              </w:divBdr>
            </w:div>
            <w:div w:id="577204613">
              <w:marLeft w:val="0"/>
              <w:marRight w:val="0"/>
              <w:marTop w:val="0"/>
              <w:marBottom w:val="0"/>
              <w:divBdr>
                <w:top w:val="none" w:sz="0" w:space="0" w:color="auto"/>
                <w:left w:val="none" w:sz="0" w:space="0" w:color="auto"/>
                <w:bottom w:val="none" w:sz="0" w:space="0" w:color="auto"/>
                <w:right w:val="none" w:sz="0" w:space="0" w:color="auto"/>
              </w:divBdr>
            </w:div>
            <w:div w:id="767968947">
              <w:marLeft w:val="0"/>
              <w:marRight w:val="0"/>
              <w:marTop w:val="0"/>
              <w:marBottom w:val="0"/>
              <w:divBdr>
                <w:top w:val="none" w:sz="0" w:space="0" w:color="auto"/>
                <w:left w:val="none" w:sz="0" w:space="0" w:color="auto"/>
                <w:bottom w:val="none" w:sz="0" w:space="0" w:color="auto"/>
                <w:right w:val="none" w:sz="0" w:space="0" w:color="auto"/>
              </w:divBdr>
            </w:div>
            <w:div w:id="1758748823">
              <w:marLeft w:val="0"/>
              <w:marRight w:val="0"/>
              <w:marTop w:val="0"/>
              <w:marBottom w:val="0"/>
              <w:divBdr>
                <w:top w:val="none" w:sz="0" w:space="0" w:color="auto"/>
                <w:left w:val="none" w:sz="0" w:space="0" w:color="auto"/>
                <w:bottom w:val="none" w:sz="0" w:space="0" w:color="auto"/>
                <w:right w:val="none" w:sz="0" w:space="0" w:color="auto"/>
              </w:divBdr>
            </w:div>
            <w:div w:id="819614647">
              <w:marLeft w:val="0"/>
              <w:marRight w:val="0"/>
              <w:marTop w:val="0"/>
              <w:marBottom w:val="0"/>
              <w:divBdr>
                <w:top w:val="none" w:sz="0" w:space="0" w:color="auto"/>
                <w:left w:val="none" w:sz="0" w:space="0" w:color="auto"/>
                <w:bottom w:val="none" w:sz="0" w:space="0" w:color="auto"/>
                <w:right w:val="none" w:sz="0" w:space="0" w:color="auto"/>
              </w:divBdr>
            </w:div>
            <w:div w:id="1022052087">
              <w:marLeft w:val="0"/>
              <w:marRight w:val="0"/>
              <w:marTop w:val="0"/>
              <w:marBottom w:val="0"/>
              <w:divBdr>
                <w:top w:val="none" w:sz="0" w:space="0" w:color="auto"/>
                <w:left w:val="none" w:sz="0" w:space="0" w:color="auto"/>
                <w:bottom w:val="none" w:sz="0" w:space="0" w:color="auto"/>
                <w:right w:val="none" w:sz="0" w:space="0" w:color="auto"/>
              </w:divBdr>
            </w:div>
            <w:div w:id="2087140508">
              <w:marLeft w:val="0"/>
              <w:marRight w:val="0"/>
              <w:marTop w:val="0"/>
              <w:marBottom w:val="0"/>
              <w:divBdr>
                <w:top w:val="none" w:sz="0" w:space="0" w:color="auto"/>
                <w:left w:val="none" w:sz="0" w:space="0" w:color="auto"/>
                <w:bottom w:val="none" w:sz="0" w:space="0" w:color="auto"/>
                <w:right w:val="none" w:sz="0" w:space="0" w:color="auto"/>
              </w:divBdr>
            </w:div>
            <w:div w:id="1441561247">
              <w:marLeft w:val="0"/>
              <w:marRight w:val="0"/>
              <w:marTop w:val="0"/>
              <w:marBottom w:val="0"/>
              <w:divBdr>
                <w:top w:val="none" w:sz="0" w:space="0" w:color="auto"/>
                <w:left w:val="none" w:sz="0" w:space="0" w:color="auto"/>
                <w:bottom w:val="none" w:sz="0" w:space="0" w:color="auto"/>
                <w:right w:val="none" w:sz="0" w:space="0" w:color="auto"/>
              </w:divBdr>
            </w:div>
            <w:div w:id="1179082179">
              <w:marLeft w:val="0"/>
              <w:marRight w:val="0"/>
              <w:marTop w:val="0"/>
              <w:marBottom w:val="0"/>
              <w:divBdr>
                <w:top w:val="none" w:sz="0" w:space="0" w:color="auto"/>
                <w:left w:val="none" w:sz="0" w:space="0" w:color="auto"/>
                <w:bottom w:val="none" w:sz="0" w:space="0" w:color="auto"/>
                <w:right w:val="none" w:sz="0" w:space="0" w:color="auto"/>
              </w:divBdr>
            </w:div>
            <w:div w:id="803088189">
              <w:marLeft w:val="0"/>
              <w:marRight w:val="0"/>
              <w:marTop w:val="0"/>
              <w:marBottom w:val="0"/>
              <w:divBdr>
                <w:top w:val="none" w:sz="0" w:space="0" w:color="auto"/>
                <w:left w:val="none" w:sz="0" w:space="0" w:color="auto"/>
                <w:bottom w:val="none" w:sz="0" w:space="0" w:color="auto"/>
                <w:right w:val="none" w:sz="0" w:space="0" w:color="auto"/>
              </w:divBdr>
            </w:div>
            <w:div w:id="1935553584">
              <w:marLeft w:val="0"/>
              <w:marRight w:val="0"/>
              <w:marTop w:val="0"/>
              <w:marBottom w:val="0"/>
              <w:divBdr>
                <w:top w:val="none" w:sz="0" w:space="0" w:color="auto"/>
                <w:left w:val="none" w:sz="0" w:space="0" w:color="auto"/>
                <w:bottom w:val="none" w:sz="0" w:space="0" w:color="auto"/>
                <w:right w:val="none" w:sz="0" w:space="0" w:color="auto"/>
              </w:divBdr>
            </w:div>
            <w:div w:id="688602267">
              <w:marLeft w:val="0"/>
              <w:marRight w:val="0"/>
              <w:marTop w:val="0"/>
              <w:marBottom w:val="0"/>
              <w:divBdr>
                <w:top w:val="none" w:sz="0" w:space="0" w:color="auto"/>
                <w:left w:val="none" w:sz="0" w:space="0" w:color="auto"/>
                <w:bottom w:val="none" w:sz="0" w:space="0" w:color="auto"/>
                <w:right w:val="none" w:sz="0" w:space="0" w:color="auto"/>
              </w:divBdr>
            </w:div>
            <w:div w:id="299072596">
              <w:marLeft w:val="0"/>
              <w:marRight w:val="0"/>
              <w:marTop w:val="0"/>
              <w:marBottom w:val="0"/>
              <w:divBdr>
                <w:top w:val="none" w:sz="0" w:space="0" w:color="auto"/>
                <w:left w:val="none" w:sz="0" w:space="0" w:color="auto"/>
                <w:bottom w:val="none" w:sz="0" w:space="0" w:color="auto"/>
                <w:right w:val="none" w:sz="0" w:space="0" w:color="auto"/>
              </w:divBdr>
            </w:div>
            <w:div w:id="1627008189">
              <w:marLeft w:val="0"/>
              <w:marRight w:val="0"/>
              <w:marTop w:val="0"/>
              <w:marBottom w:val="0"/>
              <w:divBdr>
                <w:top w:val="none" w:sz="0" w:space="0" w:color="auto"/>
                <w:left w:val="none" w:sz="0" w:space="0" w:color="auto"/>
                <w:bottom w:val="none" w:sz="0" w:space="0" w:color="auto"/>
                <w:right w:val="none" w:sz="0" w:space="0" w:color="auto"/>
              </w:divBdr>
            </w:div>
            <w:div w:id="1494949086">
              <w:marLeft w:val="0"/>
              <w:marRight w:val="0"/>
              <w:marTop w:val="0"/>
              <w:marBottom w:val="0"/>
              <w:divBdr>
                <w:top w:val="none" w:sz="0" w:space="0" w:color="auto"/>
                <w:left w:val="none" w:sz="0" w:space="0" w:color="auto"/>
                <w:bottom w:val="none" w:sz="0" w:space="0" w:color="auto"/>
                <w:right w:val="none" w:sz="0" w:space="0" w:color="auto"/>
              </w:divBdr>
            </w:div>
            <w:div w:id="330718944">
              <w:marLeft w:val="0"/>
              <w:marRight w:val="0"/>
              <w:marTop w:val="0"/>
              <w:marBottom w:val="0"/>
              <w:divBdr>
                <w:top w:val="none" w:sz="0" w:space="0" w:color="auto"/>
                <w:left w:val="none" w:sz="0" w:space="0" w:color="auto"/>
                <w:bottom w:val="none" w:sz="0" w:space="0" w:color="auto"/>
                <w:right w:val="none" w:sz="0" w:space="0" w:color="auto"/>
              </w:divBdr>
            </w:div>
            <w:div w:id="1511480927">
              <w:marLeft w:val="0"/>
              <w:marRight w:val="0"/>
              <w:marTop w:val="0"/>
              <w:marBottom w:val="0"/>
              <w:divBdr>
                <w:top w:val="none" w:sz="0" w:space="0" w:color="auto"/>
                <w:left w:val="none" w:sz="0" w:space="0" w:color="auto"/>
                <w:bottom w:val="none" w:sz="0" w:space="0" w:color="auto"/>
                <w:right w:val="none" w:sz="0" w:space="0" w:color="auto"/>
              </w:divBdr>
            </w:div>
            <w:div w:id="82578463">
              <w:marLeft w:val="0"/>
              <w:marRight w:val="0"/>
              <w:marTop w:val="0"/>
              <w:marBottom w:val="0"/>
              <w:divBdr>
                <w:top w:val="none" w:sz="0" w:space="0" w:color="auto"/>
                <w:left w:val="none" w:sz="0" w:space="0" w:color="auto"/>
                <w:bottom w:val="none" w:sz="0" w:space="0" w:color="auto"/>
                <w:right w:val="none" w:sz="0" w:space="0" w:color="auto"/>
              </w:divBdr>
            </w:div>
            <w:div w:id="187259341">
              <w:marLeft w:val="0"/>
              <w:marRight w:val="0"/>
              <w:marTop w:val="0"/>
              <w:marBottom w:val="0"/>
              <w:divBdr>
                <w:top w:val="none" w:sz="0" w:space="0" w:color="auto"/>
                <w:left w:val="none" w:sz="0" w:space="0" w:color="auto"/>
                <w:bottom w:val="none" w:sz="0" w:space="0" w:color="auto"/>
                <w:right w:val="none" w:sz="0" w:space="0" w:color="auto"/>
              </w:divBdr>
            </w:div>
            <w:div w:id="760300727">
              <w:marLeft w:val="0"/>
              <w:marRight w:val="0"/>
              <w:marTop w:val="0"/>
              <w:marBottom w:val="0"/>
              <w:divBdr>
                <w:top w:val="none" w:sz="0" w:space="0" w:color="auto"/>
                <w:left w:val="none" w:sz="0" w:space="0" w:color="auto"/>
                <w:bottom w:val="none" w:sz="0" w:space="0" w:color="auto"/>
                <w:right w:val="none" w:sz="0" w:space="0" w:color="auto"/>
              </w:divBdr>
            </w:div>
            <w:div w:id="1260213630">
              <w:marLeft w:val="0"/>
              <w:marRight w:val="0"/>
              <w:marTop w:val="0"/>
              <w:marBottom w:val="0"/>
              <w:divBdr>
                <w:top w:val="none" w:sz="0" w:space="0" w:color="auto"/>
                <w:left w:val="none" w:sz="0" w:space="0" w:color="auto"/>
                <w:bottom w:val="none" w:sz="0" w:space="0" w:color="auto"/>
                <w:right w:val="none" w:sz="0" w:space="0" w:color="auto"/>
              </w:divBdr>
            </w:div>
            <w:div w:id="1845700172">
              <w:marLeft w:val="0"/>
              <w:marRight w:val="0"/>
              <w:marTop w:val="0"/>
              <w:marBottom w:val="0"/>
              <w:divBdr>
                <w:top w:val="none" w:sz="0" w:space="0" w:color="auto"/>
                <w:left w:val="none" w:sz="0" w:space="0" w:color="auto"/>
                <w:bottom w:val="none" w:sz="0" w:space="0" w:color="auto"/>
                <w:right w:val="none" w:sz="0" w:space="0" w:color="auto"/>
              </w:divBdr>
            </w:div>
            <w:div w:id="1077945568">
              <w:marLeft w:val="0"/>
              <w:marRight w:val="0"/>
              <w:marTop w:val="0"/>
              <w:marBottom w:val="0"/>
              <w:divBdr>
                <w:top w:val="none" w:sz="0" w:space="0" w:color="auto"/>
                <w:left w:val="none" w:sz="0" w:space="0" w:color="auto"/>
                <w:bottom w:val="none" w:sz="0" w:space="0" w:color="auto"/>
                <w:right w:val="none" w:sz="0" w:space="0" w:color="auto"/>
              </w:divBdr>
            </w:div>
            <w:div w:id="807094072">
              <w:marLeft w:val="0"/>
              <w:marRight w:val="0"/>
              <w:marTop w:val="0"/>
              <w:marBottom w:val="0"/>
              <w:divBdr>
                <w:top w:val="none" w:sz="0" w:space="0" w:color="auto"/>
                <w:left w:val="none" w:sz="0" w:space="0" w:color="auto"/>
                <w:bottom w:val="none" w:sz="0" w:space="0" w:color="auto"/>
                <w:right w:val="none" w:sz="0" w:space="0" w:color="auto"/>
              </w:divBdr>
            </w:div>
            <w:div w:id="1341808222">
              <w:marLeft w:val="0"/>
              <w:marRight w:val="0"/>
              <w:marTop w:val="0"/>
              <w:marBottom w:val="0"/>
              <w:divBdr>
                <w:top w:val="none" w:sz="0" w:space="0" w:color="auto"/>
                <w:left w:val="none" w:sz="0" w:space="0" w:color="auto"/>
                <w:bottom w:val="none" w:sz="0" w:space="0" w:color="auto"/>
                <w:right w:val="none" w:sz="0" w:space="0" w:color="auto"/>
              </w:divBdr>
            </w:div>
            <w:div w:id="1635676562">
              <w:marLeft w:val="0"/>
              <w:marRight w:val="0"/>
              <w:marTop w:val="0"/>
              <w:marBottom w:val="0"/>
              <w:divBdr>
                <w:top w:val="none" w:sz="0" w:space="0" w:color="auto"/>
                <w:left w:val="none" w:sz="0" w:space="0" w:color="auto"/>
                <w:bottom w:val="none" w:sz="0" w:space="0" w:color="auto"/>
                <w:right w:val="none" w:sz="0" w:space="0" w:color="auto"/>
              </w:divBdr>
            </w:div>
            <w:div w:id="221447915">
              <w:marLeft w:val="0"/>
              <w:marRight w:val="0"/>
              <w:marTop w:val="0"/>
              <w:marBottom w:val="0"/>
              <w:divBdr>
                <w:top w:val="none" w:sz="0" w:space="0" w:color="auto"/>
                <w:left w:val="none" w:sz="0" w:space="0" w:color="auto"/>
                <w:bottom w:val="none" w:sz="0" w:space="0" w:color="auto"/>
                <w:right w:val="none" w:sz="0" w:space="0" w:color="auto"/>
              </w:divBdr>
            </w:div>
            <w:div w:id="2135755897">
              <w:marLeft w:val="0"/>
              <w:marRight w:val="0"/>
              <w:marTop w:val="0"/>
              <w:marBottom w:val="0"/>
              <w:divBdr>
                <w:top w:val="none" w:sz="0" w:space="0" w:color="auto"/>
                <w:left w:val="none" w:sz="0" w:space="0" w:color="auto"/>
                <w:bottom w:val="none" w:sz="0" w:space="0" w:color="auto"/>
                <w:right w:val="none" w:sz="0" w:space="0" w:color="auto"/>
              </w:divBdr>
            </w:div>
            <w:div w:id="270861743">
              <w:marLeft w:val="0"/>
              <w:marRight w:val="0"/>
              <w:marTop w:val="0"/>
              <w:marBottom w:val="0"/>
              <w:divBdr>
                <w:top w:val="none" w:sz="0" w:space="0" w:color="auto"/>
                <w:left w:val="none" w:sz="0" w:space="0" w:color="auto"/>
                <w:bottom w:val="none" w:sz="0" w:space="0" w:color="auto"/>
                <w:right w:val="none" w:sz="0" w:space="0" w:color="auto"/>
              </w:divBdr>
            </w:div>
            <w:div w:id="446392191">
              <w:marLeft w:val="0"/>
              <w:marRight w:val="0"/>
              <w:marTop w:val="0"/>
              <w:marBottom w:val="0"/>
              <w:divBdr>
                <w:top w:val="none" w:sz="0" w:space="0" w:color="auto"/>
                <w:left w:val="none" w:sz="0" w:space="0" w:color="auto"/>
                <w:bottom w:val="none" w:sz="0" w:space="0" w:color="auto"/>
                <w:right w:val="none" w:sz="0" w:space="0" w:color="auto"/>
              </w:divBdr>
            </w:div>
            <w:div w:id="527452957">
              <w:marLeft w:val="0"/>
              <w:marRight w:val="0"/>
              <w:marTop w:val="0"/>
              <w:marBottom w:val="0"/>
              <w:divBdr>
                <w:top w:val="none" w:sz="0" w:space="0" w:color="auto"/>
                <w:left w:val="none" w:sz="0" w:space="0" w:color="auto"/>
                <w:bottom w:val="none" w:sz="0" w:space="0" w:color="auto"/>
                <w:right w:val="none" w:sz="0" w:space="0" w:color="auto"/>
              </w:divBdr>
            </w:div>
            <w:div w:id="836458595">
              <w:marLeft w:val="0"/>
              <w:marRight w:val="0"/>
              <w:marTop w:val="0"/>
              <w:marBottom w:val="0"/>
              <w:divBdr>
                <w:top w:val="none" w:sz="0" w:space="0" w:color="auto"/>
                <w:left w:val="none" w:sz="0" w:space="0" w:color="auto"/>
                <w:bottom w:val="none" w:sz="0" w:space="0" w:color="auto"/>
                <w:right w:val="none" w:sz="0" w:space="0" w:color="auto"/>
              </w:divBdr>
            </w:div>
            <w:div w:id="1594049486">
              <w:marLeft w:val="0"/>
              <w:marRight w:val="0"/>
              <w:marTop w:val="0"/>
              <w:marBottom w:val="0"/>
              <w:divBdr>
                <w:top w:val="none" w:sz="0" w:space="0" w:color="auto"/>
                <w:left w:val="none" w:sz="0" w:space="0" w:color="auto"/>
                <w:bottom w:val="none" w:sz="0" w:space="0" w:color="auto"/>
                <w:right w:val="none" w:sz="0" w:space="0" w:color="auto"/>
              </w:divBdr>
            </w:div>
            <w:div w:id="1426151388">
              <w:marLeft w:val="0"/>
              <w:marRight w:val="0"/>
              <w:marTop w:val="0"/>
              <w:marBottom w:val="0"/>
              <w:divBdr>
                <w:top w:val="none" w:sz="0" w:space="0" w:color="auto"/>
                <w:left w:val="none" w:sz="0" w:space="0" w:color="auto"/>
                <w:bottom w:val="none" w:sz="0" w:space="0" w:color="auto"/>
                <w:right w:val="none" w:sz="0" w:space="0" w:color="auto"/>
              </w:divBdr>
            </w:div>
            <w:div w:id="938101854">
              <w:marLeft w:val="0"/>
              <w:marRight w:val="0"/>
              <w:marTop w:val="0"/>
              <w:marBottom w:val="0"/>
              <w:divBdr>
                <w:top w:val="none" w:sz="0" w:space="0" w:color="auto"/>
                <w:left w:val="none" w:sz="0" w:space="0" w:color="auto"/>
                <w:bottom w:val="none" w:sz="0" w:space="0" w:color="auto"/>
                <w:right w:val="none" w:sz="0" w:space="0" w:color="auto"/>
              </w:divBdr>
            </w:div>
            <w:div w:id="1472937911">
              <w:marLeft w:val="0"/>
              <w:marRight w:val="0"/>
              <w:marTop w:val="0"/>
              <w:marBottom w:val="0"/>
              <w:divBdr>
                <w:top w:val="none" w:sz="0" w:space="0" w:color="auto"/>
                <w:left w:val="none" w:sz="0" w:space="0" w:color="auto"/>
                <w:bottom w:val="none" w:sz="0" w:space="0" w:color="auto"/>
                <w:right w:val="none" w:sz="0" w:space="0" w:color="auto"/>
              </w:divBdr>
            </w:div>
            <w:div w:id="1862892678">
              <w:marLeft w:val="0"/>
              <w:marRight w:val="0"/>
              <w:marTop w:val="0"/>
              <w:marBottom w:val="0"/>
              <w:divBdr>
                <w:top w:val="none" w:sz="0" w:space="0" w:color="auto"/>
                <w:left w:val="none" w:sz="0" w:space="0" w:color="auto"/>
                <w:bottom w:val="none" w:sz="0" w:space="0" w:color="auto"/>
                <w:right w:val="none" w:sz="0" w:space="0" w:color="auto"/>
              </w:divBdr>
            </w:div>
            <w:div w:id="1418139184">
              <w:marLeft w:val="0"/>
              <w:marRight w:val="0"/>
              <w:marTop w:val="0"/>
              <w:marBottom w:val="0"/>
              <w:divBdr>
                <w:top w:val="none" w:sz="0" w:space="0" w:color="auto"/>
                <w:left w:val="none" w:sz="0" w:space="0" w:color="auto"/>
                <w:bottom w:val="none" w:sz="0" w:space="0" w:color="auto"/>
                <w:right w:val="none" w:sz="0" w:space="0" w:color="auto"/>
              </w:divBdr>
            </w:div>
            <w:div w:id="793595894">
              <w:marLeft w:val="0"/>
              <w:marRight w:val="0"/>
              <w:marTop w:val="0"/>
              <w:marBottom w:val="0"/>
              <w:divBdr>
                <w:top w:val="none" w:sz="0" w:space="0" w:color="auto"/>
                <w:left w:val="none" w:sz="0" w:space="0" w:color="auto"/>
                <w:bottom w:val="none" w:sz="0" w:space="0" w:color="auto"/>
                <w:right w:val="none" w:sz="0" w:space="0" w:color="auto"/>
              </w:divBdr>
            </w:div>
            <w:div w:id="1106999709">
              <w:marLeft w:val="0"/>
              <w:marRight w:val="0"/>
              <w:marTop w:val="0"/>
              <w:marBottom w:val="0"/>
              <w:divBdr>
                <w:top w:val="none" w:sz="0" w:space="0" w:color="auto"/>
                <w:left w:val="none" w:sz="0" w:space="0" w:color="auto"/>
                <w:bottom w:val="none" w:sz="0" w:space="0" w:color="auto"/>
                <w:right w:val="none" w:sz="0" w:space="0" w:color="auto"/>
              </w:divBdr>
            </w:div>
            <w:div w:id="710494349">
              <w:marLeft w:val="0"/>
              <w:marRight w:val="0"/>
              <w:marTop w:val="0"/>
              <w:marBottom w:val="0"/>
              <w:divBdr>
                <w:top w:val="none" w:sz="0" w:space="0" w:color="auto"/>
                <w:left w:val="none" w:sz="0" w:space="0" w:color="auto"/>
                <w:bottom w:val="none" w:sz="0" w:space="0" w:color="auto"/>
                <w:right w:val="none" w:sz="0" w:space="0" w:color="auto"/>
              </w:divBdr>
            </w:div>
            <w:div w:id="1941716542">
              <w:marLeft w:val="0"/>
              <w:marRight w:val="0"/>
              <w:marTop w:val="0"/>
              <w:marBottom w:val="0"/>
              <w:divBdr>
                <w:top w:val="none" w:sz="0" w:space="0" w:color="auto"/>
                <w:left w:val="none" w:sz="0" w:space="0" w:color="auto"/>
                <w:bottom w:val="none" w:sz="0" w:space="0" w:color="auto"/>
                <w:right w:val="none" w:sz="0" w:space="0" w:color="auto"/>
              </w:divBdr>
            </w:div>
            <w:div w:id="1864975305">
              <w:marLeft w:val="0"/>
              <w:marRight w:val="0"/>
              <w:marTop w:val="0"/>
              <w:marBottom w:val="0"/>
              <w:divBdr>
                <w:top w:val="none" w:sz="0" w:space="0" w:color="auto"/>
                <w:left w:val="none" w:sz="0" w:space="0" w:color="auto"/>
                <w:bottom w:val="none" w:sz="0" w:space="0" w:color="auto"/>
                <w:right w:val="none" w:sz="0" w:space="0" w:color="auto"/>
              </w:divBdr>
            </w:div>
            <w:div w:id="94519704">
              <w:marLeft w:val="0"/>
              <w:marRight w:val="0"/>
              <w:marTop w:val="0"/>
              <w:marBottom w:val="0"/>
              <w:divBdr>
                <w:top w:val="none" w:sz="0" w:space="0" w:color="auto"/>
                <w:left w:val="none" w:sz="0" w:space="0" w:color="auto"/>
                <w:bottom w:val="none" w:sz="0" w:space="0" w:color="auto"/>
                <w:right w:val="none" w:sz="0" w:space="0" w:color="auto"/>
              </w:divBdr>
            </w:div>
            <w:div w:id="94643540">
              <w:marLeft w:val="0"/>
              <w:marRight w:val="0"/>
              <w:marTop w:val="0"/>
              <w:marBottom w:val="0"/>
              <w:divBdr>
                <w:top w:val="none" w:sz="0" w:space="0" w:color="auto"/>
                <w:left w:val="none" w:sz="0" w:space="0" w:color="auto"/>
                <w:bottom w:val="none" w:sz="0" w:space="0" w:color="auto"/>
                <w:right w:val="none" w:sz="0" w:space="0" w:color="auto"/>
              </w:divBdr>
            </w:div>
            <w:div w:id="623926210">
              <w:marLeft w:val="0"/>
              <w:marRight w:val="0"/>
              <w:marTop w:val="0"/>
              <w:marBottom w:val="0"/>
              <w:divBdr>
                <w:top w:val="none" w:sz="0" w:space="0" w:color="auto"/>
                <w:left w:val="none" w:sz="0" w:space="0" w:color="auto"/>
                <w:bottom w:val="none" w:sz="0" w:space="0" w:color="auto"/>
                <w:right w:val="none" w:sz="0" w:space="0" w:color="auto"/>
              </w:divBdr>
            </w:div>
            <w:div w:id="1085035501">
              <w:marLeft w:val="0"/>
              <w:marRight w:val="0"/>
              <w:marTop w:val="0"/>
              <w:marBottom w:val="0"/>
              <w:divBdr>
                <w:top w:val="none" w:sz="0" w:space="0" w:color="auto"/>
                <w:left w:val="none" w:sz="0" w:space="0" w:color="auto"/>
                <w:bottom w:val="none" w:sz="0" w:space="0" w:color="auto"/>
                <w:right w:val="none" w:sz="0" w:space="0" w:color="auto"/>
              </w:divBdr>
            </w:div>
            <w:div w:id="1057628882">
              <w:marLeft w:val="0"/>
              <w:marRight w:val="0"/>
              <w:marTop w:val="0"/>
              <w:marBottom w:val="0"/>
              <w:divBdr>
                <w:top w:val="none" w:sz="0" w:space="0" w:color="auto"/>
                <w:left w:val="none" w:sz="0" w:space="0" w:color="auto"/>
                <w:bottom w:val="none" w:sz="0" w:space="0" w:color="auto"/>
                <w:right w:val="none" w:sz="0" w:space="0" w:color="auto"/>
              </w:divBdr>
            </w:div>
            <w:div w:id="1675762519">
              <w:marLeft w:val="0"/>
              <w:marRight w:val="0"/>
              <w:marTop w:val="0"/>
              <w:marBottom w:val="0"/>
              <w:divBdr>
                <w:top w:val="none" w:sz="0" w:space="0" w:color="auto"/>
                <w:left w:val="none" w:sz="0" w:space="0" w:color="auto"/>
                <w:bottom w:val="none" w:sz="0" w:space="0" w:color="auto"/>
                <w:right w:val="none" w:sz="0" w:space="0" w:color="auto"/>
              </w:divBdr>
            </w:div>
            <w:div w:id="1653606594">
              <w:marLeft w:val="0"/>
              <w:marRight w:val="0"/>
              <w:marTop w:val="0"/>
              <w:marBottom w:val="0"/>
              <w:divBdr>
                <w:top w:val="none" w:sz="0" w:space="0" w:color="auto"/>
                <w:left w:val="none" w:sz="0" w:space="0" w:color="auto"/>
                <w:bottom w:val="none" w:sz="0" w:space="0" w:color="auto"/>
                <w:right w:val="none" w:sz="0" w:space="0" w:color="auto"/>
              </w:divBdr>
            </w:div>
            <w:div w:id="178546102">
              <w:marLeft w:val="0"/>
              <w:marRight w:val="0"/>
              <w:marTop w:val="0"/>
              <w:marBottom w:val="0"/>
              <w:divBdr>
                <w:top w:val="none" w:sz="0" w:space="0" w:color="auto"/>
                <w:left w:val="none" w:sz="0" w:space="0" w:color="auto"/>
                <w:bottom w:val="none" w:sz="0" w:space="0" w:color="auto"/>
                <w:right w:val="none" w:sz="0" w:space="0" w:color="auto"/>
              </w:divBdr>
            </w:div>
            <w:div w:id="796022181">
              <w:marLeft w:val="0"/>
              <w:marRight w:val="0"/>
              <w:marTop w:val="0"/>
              <w:marBottom w:val="0"/>
              <w:divBdr>
                <w:top w:val="none" w:sz="0" w:space="0" w:color="auto"/>
                <w:left w:val="none" w:sz="0" w:space="0" w:color="auto"/>
                <w:bottom w:val="none" w:sz="0" w:space="0" w:color="auto"/>
                <w:right w:val="none" w:sz="0" w:space="0" w:color="auto"/>
              </w:divBdr>
            </w:div>
            <w:div w:id="880094941">
              <w:marLeft w:val="0"/>
              <w:marRight w:val="0"/>
              <w:marTop w:val="0"/>
              <w:marBottom w:val="0"/>
              <w:divBdr>
                <w:top w:val="none" w:sz="0" w:space="0" w:color="auto"/>
                <w:left w:val="none" w:sz="0" w:space="0" w:color="auto"/>
                <w:bottom w:val="none" w:sz="0" w:space="0" w:color="auto"/>
                <w:right w:val="none" w:sz="0" w:space="0" w:color="auto"/>
              </w:divBdr>
            </w:div>
            <w:div w:id="1488546687">
              <w:marLeft w:val="0"/>
              <w:marRight w:val="0"/>
              <w:marTop w:val="0"/>
              <w:marBottom w:val="0"/>
              <w:divBdr>
                <w:top w:val="none" w:sz="0" w:space="0" w:color="auto"/>
                <w:left w:val="none" w:sz="0" w:space="0" w:color="auto"/>
                <w:bottom w:val="none" w:sz="0" w:space="0" w:color="auto"/>
                <w:right w:val="none" w:sz="0" w:space="0" w:color="auto"/>
              </w:divBdr>
            </w:div>
            <w:div w:id="33043433">
              <w:marLeft w:val="0"/>
              <w:marRight w:val="0"/>
              <w:marTop w:val="0"/>
              <w:marBottom w:val="0"/>
              <w:divBdr>
                <w:top w:val="none" w:sz="0" w:space="0" w:color="auto"/>
                <w:left w:val="none" w:sz="0" w:space="0" w:color="auto"/>
                <w:bottom w:val="none" w:sz="0" w:space="0" w:color="auto"/>
                <w:right w:val="none" w:sz="0" w:space="0" w:color="auto"/>
              </w:divBdr>
            </w:div>
            <w:div w:id="354309161">
              <w:marLeft w:val="0"/>
              <w:marRight w:val="0"/>
              <w:marTop w:val="0"/>
              <w:marBottom w:val="0"/>
              <w:divBdr>
                <w:top w:val="none" w:sz="0" w:space="0" w:color="auto"/>
                <w:left w:val="none" w:sz="0" w:space="0" w:color="auto"/>
                <w:bottom w:val="none" w:sz="0" w:space="0" w:color="auto"/>
                <w:right w:val="none" w:sz="0" w:space="0" w:color="auto"/>
              </w:divBdr>
            </w:div>
            <w:div w:id="1267039008">
              <w:marLeft w:val="0"/>
              <w:marRight w:val="0"/>
              <w:marTop w:val="0"/>
              <w:marBottom w:val="0"/>
              <w:divBdr>
                <w:top w:val="none" w:sz="0" w:space="0" w:color="auto"/>
                <w:left w:val="none" w:sz="0" w:space="0" w:color="auto"/>
                <w:bottom w:val="none" w:sz="0" w:space="0" w:color="auto"/>
                <w:right w:val="none" w:sz="0" w:space="0" w:color="auto"/>
              </w:divBdr>
            </w:div>
            <w:div w:id="604536592">
              <w:marLeft w:val="0"/>
              <w:marRight w:val="0"/>
              <w:marTop w:val="0"/>
              <w:marBottom w:val="0"/>
              <w:divBdr>
                <w:top w:val="none" w:sz="0" w:space="0" w:color="auto"/>
                <w:left w:val="none" w:sz="0" w:space="0" w:color="auto"/>
                <w:bottom w:val="none" w:sz="0" w:space="0" w:color="auto"/>
                <w:right w:val="none" w:sz="0" w:space="0" w:color="auto"/>
              </w:divBdr>
            </w:div>
            <w:div w:id="1097750069">
              <w:marLeft w:val="0"/>
              <w:marRight w:val="0"/>
              <w:marTop w:val="0"/>
              <w:marBottom w:val="0"/>
              <w:divBdr>
                <w:top w:val="none" w:sz="0" w:space="0" w:color="auto"/>
                <w:left w:val="none" w:sz="0" w:space="0" w:color="auto"/>
                <w:bottom w:val="none" w:sz="0" w:space="0" w:color="auto"/>
                <w:right w:val="none" w:sz="0" w:space="0" w:color="auto"/>
              </w:divBdr>
            </w:div>
            <w:div w:id="1659310592">
              <w:marLeft w:val="0"/>
              <w:marRight w:val="0"/>
              <w:marTop w:val="0"/>
              <w:marBottom w:val="0"/>
              <w:divBdr>
                <w:top w:val="none" w:sz="0" w:space="0" w:color="auto"/>
                <w:left w:val="none" w:sz="0" w:space="0" w:color="auto"/>
                <w:bottom w:val="none" w:sz="0" w:space="0" w:color="auto"/>
                <w:right w:val="none" w:sz="0" w:space="0" w:color="auto"/>
              </w:divBdr>
            </w:div>
            <w:div w:id="177276632">
              <w:marLeft w:val="0"/>
              <w:marRight w:val="0"/>
              <w:marTop w:val="0"/>
              <w:marBottom w:val="0"/>
              <w:divBdr>
                <w:top w:val="none" w:sz="0" w:space="0" w:color="auto"/>
                <w:left w:val="none" w:sz="0" w:space="0" w:color="auto"/>
                <w:bottom w:val="none" w:sz="0" w:space="0" w:color="auto"/>
                <w:right w:val="none" w:sz="0" w:space="0" w:color="auto"/>
              </w:divBdr>
            </w:div>
            <w:div w:id="55517518">
              <w:marLeft w:val="0"/>
              <w:marRight w:val="0"/>
              <w:marTop w:val="0"/>
              <w:marBottom w:val="0"/>
              <w:divBdr>
                <w:top w:val="none" w:sz="0" w:space="0" w:color="auto"/>
                <w:left w:val="none" w:sz="0" w:space="0" w:color="auto"/>
                <w:bottom w:val="none" w:sz="0" w:space="0" w:color="auto"/>
                <w:right w:val="none" w:sz="0" w:space="0" w:color="auto"/>
              </w:divBdr>
            </w:div>
            <w:div w:id="1284969478">
              <w:marLeft w:val="0"/>
              <w:marRight w:val="0"/>
              <w:marTop w:val="0"/>
              <w:marBottom w:val="0"/>
              <w:divBdr>
                <w:top w:val="none" w:sz="0" w:space="0" w:color="auto"/>
                <w:left w:val="none" w:sz="0" w:space="0" w:color="auto"/>
                <w:bottom w:val="none" w:sz="0" w:space="0" w:color="auto"/>
                <w:right w:val="none" w:sz="0" w:space="0" w:color="auto"/>
              </w:divBdr>
            </w:div>
            <w:div w:id="647980282">
              <w:marLeft w:val="0"/>
              <w:marRight w:val="0"/>
              <w:marTop w:val="0"/>
              <w:marBottom w:val="0"/>
              <w:divBdr>
                <w:top w:val="none" w:sz="0" w:space="0" w:color="auto"/>
                <w:left w:val="none" w:sz="0" w:space="0" w:color="auto"/>
                <w:bottom w:val="none" w:sz="0" w:space="0" w:color="auto"/>
                <w:right w:val="none" w:sz="0" w:space="0" w:color="auto"/>
              </w:divBdr>
            </w:div>
            <w:div w:id="1680229035">
              <w:marLeft w:val="0"/>
              <w:marRight w:val="0"/>
              <w:marTop w:val="0"/>
              <w:marBottom w:val="0"/>
              <w:divBdr>
                <w:top w:val="none" w:sz="0" w:space="0" w:color="auto"/>
                <w:left w:val="none" w:sz="0" w:space="0" w:color="auto"/>
                <w:bottom w:val="none" w:sz="0" w:space="0" w:color="auto"/>
                <w:right w:val="none" w:sz="0" w:space="0" w:color="auto"/>
              </w:divBdr>
            </w:div>
            <w:div w:id="1056507856">
              <w:marLeft w:val="0"/>
              <w:marRight w:val="0"/>
              <w:marTop w:val="0"/>
              <w:marBottom w:val="0"/>
              <w:divBdr>
                <w:top w:val="none" w:sz="0" w:space="0" w:color="auto"/>
                <w:left w:val="none" w:sz="0" w:space="0" w:color="auto"/>
                <w:bottom w:val="none" w:sz="0" w:space="0" w:color="auto"/>
                <w:right w:val="none" w:sz="0" w:space="0" w:color="auto"/>
              </w:divBdr>
            </w:div>
            <w:div w:id="1264413157">
              <w:marLeft w:val="0"/>
              <w:marRight w:val="0"/>
              <w:marTop w:val="0"/>
              <w:marBottom w:val="0"/>
              <w:divBdr>
                <w:top w:val="none" w:sz="0" w:space="0" w:color="auto"/>
                <w:left w:val="none" w:sz="0" w:space="0" w:color="auto"/>
                <w:bottom w:val="none" w:sz="0" w:space="0" w:color="auto"/>
                <w:right w:val="none" w:sz="0" w:space="0" w:color="auto"/>
              </w:divBdr>
            </w:div>
            <w:div w:id="458500219">
              <w:marLeft w:val="0"/>
              <w:marRight w:val="0"/>
              <w:marTop w:val="0"/>
              <w:marBottom w:val="0"/>
              <w:divBdr>
                <w:top w:val="none" w:sz="0" w:space="0" w:color="auto"/>
                <w:left w:val="none" w:sz="0" w:space="0" w:color="auto"/>
                <w:bottom w:val="none" w:sz="0" w:space="0" w:color="auto"/>
                <w:right w:val="none" w:sz="0" w:space="0" w:color="auto"/>
              </w:divBdr>
            </w:div>
            <w:div w:id="6173461">
              <w:marLeft w:val="0"/>
              <w:marRight w:val="0"/>
              <w:marTop w:val="0"/>
              <w:marBottom w:val="0"/>
              <w:divBdr>
                <w:top w:val="none" w:sz="0" w:space="0" w:color="auto"/>
                <w:left w:val="none" w:sz="0" w:space="0" w:color="auto"/>
                <w:bottom w:val="none" w:sz="0" w:space="0" w:color="auto"/>
                <w:right w:val="none" w:sz="0" w:space="0" w:color="auto"/>
              </w:divBdr>
            </w:div>
            <w:div w:id="1397775671">
              <w:marLeft w:val="0"/>
              <w:marRight w:val="0"/>
              <w:marTop w:val="0"/>
              <w:marBottom w:val="0"/>
              <w:divBdr>
                <w:top w:val="none" w:sz="0" w:space="0" w:color="auto"/>
                <w:left w:val="none" w:sz="0" w:space="0" w:color="auto"/>
                <w:bottom w:val="none" w:sz="0" w:space="0" w:color="auto"/>
                <w:right w:val="none" w:sz="0" w:space="0" w:color="auto"/>
              </w:divBdr>
            </w:div>
            <w:div w:id="603608951">
              <w:marLeft w:val="0"/>
              <w:marRight w:val="0"/>
              <w:marTop w:val="0"/>
              <w:marBottom w:val="0"/>
              <w:divBdr>
                <w:top w:val="none" w:sz="0" w:space="0" w:color="auto"/>
                <w:left w:val="none" w:sz="0" w:space="0" w:color="auto"/>
                <w:bottom w:val="none" w:sz="0" w:space="0" w:color="auto"/>
                <w:right w:val="none" w:sz="0" w:space="0" w:color="auto"/>
              </w:divBdr>
            </w:div>
            <w:div w:id="131753792">
              <w:marLeft w:val="0"/>
              <w:marRight w:val="0"/>
              <w:marTop w:val="0"/>
              <w:marBottom w:val="0"/>
              <w:divBdr>
                <w:top w:val="none" w:sz="0" w:space="0" w:color="auto"/>
                <w:left w:val="none" w:sz="0" w:space="0" w:color="auto"/>
                <w:bottom w:val="none" w:sz="0" w:space="0" w:color="auto"/>
                <w:right w:val="none" w:sz="0" w:space="0" w:color="auto"/>
              </w:divBdr>
            </w:div>
            <w:div w:id="682585513">
              <w:marLeft w:val="0"/>
              <w:marRight w:val="0"/>
              <w:marTop w:val="0"/>
              <w:marBottom w:val="0"/>
              <w:divBdr>
                <w:top w:val="none" w:sz="0" w:space="0" w:color="auto"/>
                <w:left w:val="none" w:sz="0" w:space="0" w:color="auto"/>
                <w:bottom w:val="none" w:sz="0" w:space="0" w:color="auto"/>
                <w:right w:val="none" w:sz="0" w:space="0" w:color="auto"/>
              </w:divBdr>
            </w:div>
            <w:div w:id="315455204">
              <w:marLeft w:val="0"/>
              <w:marRight w:val="0"/>
              <w:marTop w:val="0"/>
              <w:marBottom w:val="0"/>
              <w:divBdr>
                <w:top w:val="none" w:sz="0" w:space="0" w:color="auto"/>
                <w:left w:val="none" w:sz="0" w:space="0" w:color="auto"/>
                <w:bottom w:val="none" w:sz="0" w:space="0" w:color="auto"/>
                <w:right w:val="none" w:sz="0" w:space="0" w:color="auto"/>
              </w:divBdr>
            </w:div>
            <w:div w:id="1086804416">
              <w:marLeft w:val="0"/>
              <w:marRight w:val="0"/>
              <w:marTop w:val="0"/>
              <w:marBottom w:val="0"/>
              <w:divBdr>
                <w:top w:val="none" w:sz="0" w:space="0" w:color="auto"/>
                <w:left w:val="none" w:sz="0" w:space="0" w:color="auto"/>
                <w:bottom w:val="none" w:sz="0" w:space="0" w:color="auto"/>
                <w:right w:val="none" w:sz="0" w:space="0" w:color="auto"/>
              </w:divBdr>
            </w:div>
            <w:div w:id="1264386383">
              <w:marLeft w:val="0"/>
              <w:marRight w:val="0"/>
              <w:marTop w:val="0"/>
              <w:marBottom w:val="0"/>
              <w:divBdr>
                <w:top w:val="none" w:sz="0" w:space="0" w:color="auto"/>
                <w:left w:val="none" w:sz="0" w:space="0" w:color="auto"/>
                <w:bottom w:val="none" w:sz="0" w:space="0" w:color="auto"/>
                <w:right w:val="none" w:sz="0" w:space="0" w:color="auto"/>
              </w:divBdr>
            </w:div>
            <w:div w:id="1168787660">
              <w:marLeft w:val="0"/>
              <w:marRight w:val="0"/>
              <w:marTop w:val="0"/>
              <w:marBottom w:val="0"/>
              <w:divBdr>
                <w:top w:val="none" w:sz="0" w:space="0" w:color="auto"/>
                <w:left w:val="none" w:sz="0" w:space="0" w:color="auto"/>
                <w:bottom w:val="none" w:sz="0" w:space="0" w:color="auto"/>
                <w:right w:val="none" w:sz="0" w:space="0" w:color="auto"/>
              </w:divBdr>
            </w:div>
            <w:div w:id="1479420141">
              <w:marLeft w:val="0"/>
              <w:marRight w:val="0"/>
              <w:marTop w:val="0"/>
              <w:marBottom w:val="0"/>
              <w:divBdr>
                <w:top w:val="none" w:sz="0" w:space="0" w:color="auto"/>
                <w:left w:val="none" w:sz="0" w:space="0" w:color="auto"/>
                <w:bottom w:val="none" w:sz="0" w:space="0" w:color="auto"/>
                <w:right w:val="none" w:sz="0" w:space="0" w:color="auto"/>
              </w:divBdr>
            </w:div>
            <w:div w:id="789738480">
              <w:marLeft w:val="0"/>
              <w:marRight w:val="0"/>
              <w:marTop w:val="0"/>
              <w:marBottom w:val="0"/>
              <w:divBdr>
                <w:top w:val="none" w:sz="0" w:space="0" w:color="auto"/>
                <w:left w:val="none" w:sz="0" w:space="0" w:color="auto"/>
                <w:bottom w:val="none" w:sz="0" w:space="0" w:color="auto"/>
                <w:right w:val="none" w:sz="0" w:space="0" w:color="auto"/>
              </w:divBdr>
            </w:div>
            <w:div w:id="1609040458">
              <w:marLeft w:val="0"/>
              <w:marRight w:val="0"/>
              <w:marTop w:val="0"/>
              <w:marBottom w:val="0"/>
              <w:divBdr>
                <w:top w:val="none" w:sz="0" w:space="0" w:color="auto"/>
                <w:left w:val="none" w:sz="0" w:space="0" w:color="auto"/>
                <w:bottom w:val="none" w:sz="0" w:space="0" w:color="auto"/>
                <w:right w:val="none" w:sz="0" w:space="0" w:color="auto"/>
              </w:divBdr>
            </w:div>
            <w:div w:id="1425570350">
              <w:marLeft w:val="0"/>
              <w:marRight w:val="0"/>
              <w:marTop w:val="0"/>
              <w:marBottom w:val="0"/>
              <w:divBdr>
                <w:top w:val="none" w:sz="0" w:space="0" w:color="auto"/>
                <w:left w:val="none" w:sz="0" w:space="0" w:color="auto"/>
                <w:bottom w:val="none" w:sz="0" w:space="0" w:color="auto"/>
                <w:right w:val="none" w:sz="0" w:space="0" w:color="auto"/>
              </w:divBdr>
            </w:div>
            <w:div w:id="1473517630">
              <w:marLeft w:val="0"/>
              <w:marRight w:val="0"/>
              <w:marTop w:val="0"/>
              <w:marBottom w:val="0"/>
              <w:divBdr>
                <w:top w:val="none" w:sz="0" w:space="0" w:color="auto"/>
                <w:left w:val="none" w:sz="0" w:space="0" w:color="auto"/>
                <w:bottom w:val="none" w:sz="0" w:space="0" w:color="auto"/>
                <w:right w:val="none" w:sz="0" w:space="0" w:color="auto"/>
              </w:divBdr>
            </w:div>
            <w:div w:id="386613350">
              <w:marLeft w:val="0"/>
              <w:marRight w:val="0"/>
              <w:marTop w:val="0"/>
              <w:marBottom w:val="0"/>
              <w:divBdr>
                <w:top w:val="none" w:sz="0" w:space="0" w:color="auto"/>
                <w:left w:val="none" w:sz="0" w:space="0" w:color="auto"/>
                <w:bottom w:val="none" w:sz="0" w:space="0" w:color="auto"/>
                <w:right w:val="none" w:sz="0" w:space="0" w:color="auto"/>
              </w:divBdr>
            </w:div>
            <w:div w:id="584191064">
              <w:marLeft w:val="0"/>
              <w:marRight w:val="0"/>
              <w:marTop w:val="0"/>
              <w:marBottom w:val="0"/>
              <w:divBdr>
                <w:top w:val="none" w:sz="0" w:space="0" w:color="auto"/>
                <w:left w:val="none" w:sz="0" w:space="0" w:color="auto"/>
                <w:bottom w:val="none" w:sz="0" w:space="0" w:color="auto"/>
                <w:right w:val="none" w:sz="0" w:space="0" w:color="auto"/>
              </w:divBdr>
            </w:div>
            <w:div w:id="619529637">
              <w:marLeft w:val="0"/>
              <w:marRight w:val="0"/>
              <w:marTop w:val="0"/>
              <w:marBottom w:val="0"/>
              <w:divBdr>
                <w:top w:val="none" w:sz="0" w:space="0" w:color="auto"/>
                <w:left w:val="none" w:sz="0" w:space="0" w:color="auto"/>
                <w:bottom w:val="none" w:sz="0" w:space="0" w:color="auto"/>
                <w:right w:val="none" w:sz="0" w:space="0" w:color="auto"/>
              </w:divBdr>
            </w:div>
            <w:div w:id="2058048495">
              <w:marLeft w:val="0"/>
              <w:marRight w:val="0"/>
              <w:marTop w:val="0"/>
              <w:marBottom w:val="0"/>
              <w:divBdr>
                <w:top w:val="none" w:sz="0" w:space="0" w:color="auto"/>
                <w:left w:val="none" w:sz="0" w:space="0" w:color="auto"/>
                <w:bottom w:val="none" w:sz="0" w:space="0" w:color="auto"/>
                <w:right w:val="none" w:sz="0" w:space="0" w:color="auto"/>
              </w:divBdr>
            </w:div>
            <w:div w:id="388112951">
              <w:marLeft w:val="0"/>
              <w:marRight w:val="0"/>
              <w:marTop w:val="0"/>
              <w:marBottom w:val="0"/>
              <w:divBdr>
                <w:top w:val="none" w:sz="0" w:space="0" w:color="auto"/>
                <w:left w:val="none" w:sz="0" w:space="0" w:color="auto"/>
                <w:bottom w:val="none" w:sz="0" w:space="0" w:color="auto"/>
                <w:right w:val="none" w:sz="0" w:space="0" w:color="auto"/>
              </w:divBdr>
            </w:div>
            <w:div w:id="461390019">
              <w:marLeft w:val="0"/>
              <w:marRight w:val="0"/>
              <w:marTop w:val="0"/>
              <w:marBottom w:val="0"/>
              <w:divBdr>
                <w:top w:val="none" w:sz="0" w:space="0" w:color="auto"/>
                <w:left w:val="none" w:sz="0" w:space="0" w:color="auto"/>
                <w:bottom w:val="none" w:sz="0" w:space="0" w:color="auto"/>
                <w:right w:val="none" w:sz="0" w:space="0" w:color="auto"/>
              </w:divBdr>
            </w:div>
            <w:div w:id="301232831">
              <w:marLeft w:val="0"/>
              <w:marRight w:val="0"/>
              <w:marTop w:val="0"/>
              <w:marBottom w:val="0"/>
              <w:divBdr>
                <w:top w:val="none" w:sz="0" w:space="0" w:color="auto"/>
                <w:left w:val="none" w:sz="0" w:space="0" w:color="auto"/>
                <w:bottom w:val="none" w:sz="0" w:space="0" w:color="auto"/>
                <w:right w:val="none" w:sz="0" w:space="0" w:color="auto"/>
              </w:divBdr>
            </w:div>
            <w:div w:id="633340745">
              <w:marLeft w:val="0"/>
              <w:marRight w:val="0"/>
              <w:marTop w:val="0"/>
              <w:marBottom w:val="0"/>
              <w:divBdr>
                <w:top w:val="none" w:sz="0" w:space="0" w:color="auto"/>
                <w:left w:val="none" w:sz="0" w:space="0" w:color="auto"/>
                <w:bottom w:val="none" w:sz="0" w:space="0" w:color="auto"/>
                <w:right w:val="none" w:sz="0" w:space="0" w:color="auto"/>
              </w:divBdr>
            </w:div>
            <w:div w:id="388461400">
              <w:marLeft w:val="0"/>
              <w:marRight w:val="0"/>
              <w:marTop w:val="0"/>
              <w:marBottom w:val="0"/>
              <w:divBdr>
                <w:top w:val="none" w:sz="0" w:space="0" w:color="auto"/>
                <w:left w:val="none" w:sz="0" w:space="0" w:color="auto"/>
                <w:bottom w:val="none" w:sz="0" w:space="0" w:color="auto"/>
                <w:right w:val="none" w:sz="0" w:space="0" w:color="auto"/>
              </w:divBdr>
            </w:div>
            <w:div w:id="560943948">
              <w:marLeft w:val="0"/>
              <w:marRight w:val="0"/>
              <w:marTop w:val="0"/>
              <w:marBottom w:val="0"/>
              <w:divBdr>
                <w:top w:val="none" w:sz="0" w:space="0" w:color="auto"/>
                <w:left w:val="none" w:sz="0" w:space="0" w:color="auto"/>
                <w:bottom w:val="none" w:sz="0" w:space="0" w:color="auto"/>
                <w:right w:val="none" w:sz="0" w:space="0" w:color="auto"/>
              </w:divBdr>
            </w:div>
            <w:div w:id="930627614">
              <w:marLeft w:val="0"/>
              <w:marRight w:val="0"/>
              <w:marTop w:val="0"/>
              <w:marBottom w:val="0"/>
              <w:divBdr>
                <w:top w:val="none" w:sz="0" w:space="0" w:color="auto"/>
                <w:left w:val="none" w:sz="0" w:space="0" w:color="auto"/>
                <w:bottom w:val="none" w:sz="0" w:space="0" w:color="auto"/>
                <w:right w:val="none" w:sz="0" w:space="0" w:color="auto"/>
              </w:divBdr>
            </w:div>
            <w:div w:id="1241600016">
              <w:marLeft w:val="0"/>
              <w:marRight w:val="0"/>
              <w:marTop w:val="0"/>
              <w:marBottom w:val="0"/>
              <w:divBdr>
                <w:top w:val="none" w:sz="0" w:space="0" w:color="auto"/>
                <w:left w:val="none" w:sz="0" w:space="0" w:color="auto"/>
                <w:bottom w:val="none" w:sz="0" w:space="0" w:color="auto"/>
                <w:right w:val="none" w:sz="0" w:space="0" w:color="auto"/>
              </w:divBdr>
            </w:div>
            <w:div w:id="116877038">
              <w:marLeft w:val="0"/>
              <w:marRight w:val="0"/>
              <w:marTop w:val="0"/>
              <w:marBottom w:val="0"/>
              <w:divBdr>
                <w:top w:val="none" w:sz="0" w:space="0" w:color="auto"/>
                <w:left w:val="none" w:sz="0" w:space="0" w:color="auto"/>
                <w:bottom w:val="none" w:sz="0" w:space="0" w:color="auto"/>
                <w:right w:val="none" w:sz="0" w:space="0" w:color="auto"/>
              </w:divBdr>
            </w:div>
            <w:div w:id="1712224861">
              <w:marLeft w:val="0"/>
              <w:marRight w:val="0"/>
              <w:marTop w:val="0"/>
              <w:marBottom w:val="0"/>
              <w:divBdr>
                <w:top w:val="none" w:sz="0" w:space="0" w:color="auto"/>
                <w:left w:val="none" w:sz="0" w:space="0" w:color="auto"/>
                <w:bottom w:val="none" w:sz="0" w:space="0" w:color="auto"/>
                <w:right w:val="none" w:sz="0" w:space="0" w:color="auto"/>
              </w:divBdr>
            </w:div>
            <w:div w:id="2142068092">
              <w:marLeft w:val="0"/>
              <w:marRight w:val="0"/>
              <w:marTop w:val="0"/>
              <w:marBottom w:val="0"/>
              <w:divBdr>
                <w:top w:val="none" w:sz="0" w:space="0" w:color="auto"/>
                <w:left w:val="none" w:sz="0" w:space="0" w:color="auto"/>
                <w:bottom w:val="none" w:sz="0" w:space="0" w:color="auto"/>
                <w:right w:val="none" w:sz="0" w:space="0" w:color="auto"/>
              </w:divBdr>
            </w:div>
            <w:div w:id="2070036843">
              <w:marLeft w:val="0"/>
              <w:marRight w:val="0"/>
              <w:marTop w:val="0"/>
              <w:marBottom w:val="0"/>
              <w:divBdr>
                <w:top w:val="none" w:sz="0" w:space="0" w:color="auto"/>
                <w:left w:val="none" w:sz="0" w:space="0" w:color="auto"/>
                <w:bottom w:val="none" w:sz="0" w:space="0" w:color="auto"/>
                <w:right w:val="none" w:sz="0" w:space="0" w:color="auto"/>
              </w:divBdr>
            </w:div>
            <w:div w:id="1202942106">
              <w:marLeft w:val="0"/>
              <w:marRight w:val="0"/>
              <w:marTop w:val="0"/>
              <w:marBottom w:val="0"/>
              <w:divBdr>
                <w:top w:val="none" w:sz="0" w:space="0" w:color="auto"/>
                <w:left w:val="none" w:sz="0" w:space="0" w:color="auto"/>
                <w:bottom w:val="none" w:sz="0" w:space="0" w:color="auto"/>
                <w:right w:val="none" w:sz="0" w:space="0" w:color="auto"/>
              </w:divBdr>
            </w:div>
            <w:div w:id="1923829159">
              <w:marLeft w:val="0"/>
              <w:marRight w:val="0"/>
              <w:marTop w:val="0"/>
              <w:marBottom w:val="0"/>
              <w:divBdr>
                <w:top w:val="none" w:sz="0" w:space="0" w:color="auto"/>
                <w:left w:val="none" w:sz="0" w:space="0" w:color="auto"/>
                <w:bottom w:val="none" w:sz="0" w:space="0" w:color="auto"/>
                <w:right w:val="none" w:sz="0" w:space="0" w:color="auto"/>
              </w:divBdr>
            </w:div>
            <w:div w:id="724642334">
              <w:marLeft w:val="0"/>
              <w:marRight w:val="0"/>
              <w:marTop w:val="0"/>
              <w:marBottom w:val="0"/>
              <w:divBdr>
                <w:top w:val="none" w:sz="0" w:space="0" w:color="auto"/>
                <w:left w:val="none" w:sz="0" w:space="0" w:color="auto"/>
                <w:bottom w:val="none" w:sz="0" w:space="0" w:color="auto"/>
                <w:right w:val="none" w:sz="0" w:space="0" w:color="auto"/>
              </w:divBdr>
            </w:div>
            <w:div w:id="1380982049">
              <w:marLeft w:val="0"/>
              <w:marRight w:val="0"/>
              <w:marTop w:val="0"/>
              <w:marBottom w:val="0"/>
              <w:divBdr>
                <w:top w:val="none" w:sz="0" w:space="0" w:color="auto"/>
                <w:left w:val="none" w:sz="0" w:space="0" w:color="auto"/>
                <w:bottom w:val="none" w:sz="0" w:space="0" w:color="auto"/>
                <w:right w:val="none" w:sz="0" w:space="0" w:color="auto"/>
              </w:divBdr>
            </w:div>
            <w:div w:id="40400313">
              <w:marLeft w:val="0"/>
              <w:marRight w:val="0"/>
              <w:marTop w:val="0"/>
              <w:marBottom w:val="0"/>
              <w:divBdr>
                <w:top w:val="none" w:sz="0" w:space="0" w:color="auto"/>
                <w:left w:val="none" w:sz="0" w:space="0" w:color="auto"/>
                <w:bottom w:val="none" w:sz="0" w:space="0" w:color="auto"/>
                <w:right w:val="none" w:sz="0" w:space="0" w:color="auto"/>
              </w:divBdr>
            </w:div>
            <w:div w:id="1575355109">
              <w:marLeft w:val="0"/>
              <w:marRight w:val="0"/>
              <w:marTop w:val="0"/>
              <w:marBottom w:val="0"/>
              <w:divBdr>
                <w:top w:val="none" w:sz="0" w:space="0" w:color="auto"/>
                <w:left w:val="none" w:sz="0" w:space="0" w:color="auto"/>
                <w:bottom w:val="none" w:sz="0" w:space="0" w:color="auto"/>
                <w:right w:val="none" w:sz="0" w:space="0" w:color="auto"/>
              </w:divBdr>
            </w:div>
            <w:div w:id="19626931">
              <w:marLeft w:val="0"/>
              <w:marRight w:val="0"/>
              <w:marTop w:val="0"/>
              <w:marBottom w:val="0"/>
              <w:divBdr>
                <w:top w:val="none" w:sz="0" w:space="0" w:color="auto"/>
                <w:left w:val="none" w:sz="0" w:space="0" w:color="auto"/>
                <w:bottom w:val="none" w:sz="0" w:space="0" w:color="auto"/>
                <w:right w:val="none" w:sz="0" w:space="0" w:color="auto"/>
              </w:divBdr>
            </w:div>
            <w:div w:id="551119033">
              <w:marLeft w:val="0"/>
              <w:marRight w:val="0"/>
              <w:marTop w:val="0"/>
              <w:marBottom w:val="0"/>
              <w:divBdr>
                <w:top w:val="none" w:sz="0" w:space="0" w:color="auto"/>
                <w:left w:val="none" w:sz="0" w:space="0" w:color="auto"/>
                <w:bottom w:val="none" w:sz="0" w:space="0" w:color="auto"/>
                <w:right w:val="none" w:sz="0" w:space="0" w:color="auto"/>
              </w:divBdr>
            </w:div>
            <w:div w:id="612710555">
              <w:marLeft w:val="0"/>
              <w:marRight w:val="0"/>
              <w:marTop w:val="0"/>
              <w:marBottom w:val="0"/>
              <w:divBdr>
                <w:top w:val="none" w:sz="0" w:space="0" w:color="auto"/>
                <w:left w:val="none" w:sz="0" w:space="0" w:color="auto"/>
                <w:bottom w:val="none" w:sz="0" w:space="0" w:color="auto"/>
                <w:right w:val="none" w:sz="0" w:space="0" w:color="auto"/>
              </w:divBdr>
            </w:div>
            <w:div w:id="942616186">
              <w:marLeft w:val="0"/>
              <w:marRight w:val="0"/>
              <w:marTop w:val="0"/>
              <w:marBottom w:val="0"/>
              <w:divBdr>
                <w:top w:val="none" w:sz="0" w:space="0" w:color="auto"/>
                <w:left w:val="none" w:sz="0" w:space="0" w:color="auto"/>
                <w:bottom w:val="none" w:sz="0" w:space="0" w:color="auto"/>
                <w:right w:val="none" w:sz="0" w:space="0" w:color="auto"/>
              </w:divBdr>
            </w:div>
            <w:div w:id="315885636">
              <w:marLeft w:val="0"/>
              <w:marRight w:val="0"/>
              <w:marTop w:val="0"/>
              <w:marBottom w:val="0"/>
              <w:divBdr>
                <w:top w:val="none" w:sz="0" w:space="0" w:color="auto"/>
                <w:left w:val="none" w:sz="0" w:space="0" w:color="auto"/>
                <w:bottom w:val="none" w:sz="0" w:space="0" w:color="auto"/>
                <w:right w:val="none" w:sz="0" w:space="0" w:color="auto"/>
              </w:divBdr>
            </w:div>
            <w:div w:id="335034997">
              <w:marLeft w:val="0"/>
              <w:marRight w:val="0"/>
              <w:marTop w:val="0"/>
              <w:marBottom w:val="0"/>
              <w:divBdr>
                <w:top w:val="none" w:sz="0" w:space="0" w:color="auto"/>
                <w:left w:val="none" w:sz="0" w:space="0" w:color="auto"/>
                <w:bottom w:val="none" w:sz="0" w:space="0" w:color="auto"/>
                <w:right w:val="none" w:sz="0" w:space="0" w:color="auto"/>
              </w:divBdr>
            </w:div>
            <w:div w:id="909928487">
              <w:marLeft w:val="0"/>
              <w:marRight w:val="0"/>
              <w:marTop w:val="0"/>
              <w:marBottom w:val="0"/>
              <w:divBdr>
                <w:top w:val="none" w:sz="0" w:space="0" w:color="auto"/>
                <w:left w:val="none" w:sz="0" w:space="0" w:color="auto"/>
                <w:bottom w:val="none" w:sz="0" w:space="0" w:color="auto"/>
                <w:right w:val="none" w:sz="0" w:space="0" w:color="auto"/>
              </w:divBdr>
            </w:div>
            <w:div w:id="1280794747">
              <w:marLeft w:val="0"/>
              <w:marRight w:val="0"/>
              <w:marTop w:val="0"/>
              <w:marBottom w:val="0"/>
              <w:divBdr>
                <w:top w:val="none" w:sz="0" w:space="0" w:color="auto"/>
                <w:left w:val="none" w:sz="0" w:space="0" w:color="auto"/>
                <w:bottom w:val="none" w:sz="0" w:space="0" w:color="auto"/>
                <w:right w:val="none" w:sz="0" w:space="0" w:color="auto"/>
              </w:divBdr>
            </w:div>
            <w:div w:id="1946694597">
              <w:marLeft w:val="0"/>
              <w:marRight w:val="0"/>
              <w:marTop w:val="0"/>
              <w:marBottom w:val="0"/>
              <w:divBdr>
                <w:top w:val="none" w:sz="0" w:space="0" w:color="auto"/>
                <w:left w:val="none" w:sz="0" w:space="0" w:color="auto"/>
                <w:bottom w:val="none" w:sz="0" w:space="0" w:color="auto"/>
                <w:right w:val="none" w:sz="0" w:space="0" w:color="auto"/>
              </w:divBdr>
            </w:div>
            <w:div w:id="538082382">
              <w:marLeft w:val="0"/>
              <w:marRight w:val="0"/>
              <w:marTop w:val="0"/>
              <w:marBottom w:val="0"/>
              <w:divBdr>
                <w:top w:val="none" w:sz="0" w:space="0" w:color="auto"/>
                <w:left w:val="none" w:sz="0" w:space="0" w:color="auto"/>
                <w:bottom w:val="none" w:sz="0" w:space="0" w:color="auto"/>
                <w:right w:val="none" w:sz="0" w:space="0" w:color="auto"/>
              </w:divBdr>
            </w:div>
            <w:div w:id="1513564465">
              <w:marLeft w:val="0"/>
              <w:marRight w:val="0"/>
              <w:marTop w:val="0"/>
              <w:marBottom w:val="0"/>
              <w:divBdr>
                <w:top w:val="none" w:sz="0" w:space="0" w:color="auto"/>
                <w:left w:val="none" w:sz="0" w:space="0" w:color="auto"/>
                <w:bottom w:val="none" w:sz="0" w:space="0" w:color="auto"/>
                <w:right w:val="none" w:sz="0" w:space="0" w:color="auto"/>
              </w:divBdr>
            </w:div>
            <w:div w:id="1400249613">
              <w:marLeft w:val="0"/>
              <w:marRight w:val="0"/>
              <w:marTop w:val="0"/>
              <w:marBottom w:val="0"/>
              <w:divBdr>
                <w:top w:val="none" w:sz="0" w:space="0" w:color="auto"/>
                <w:left w:val="none" w:sz="0" w:space="0" w:color="auto"/>
                <w:bottom w:val="none" w:sz="0" w:space="0" w:color="auto"/>
                <w:right w:val="none" w:sz="0" w:space="0" w:color="auto"/>
              </w:divBdr>
            </w:div>
            <w:div w:id="395592140">
              <w:marLeft w:val="0"/>
              <w:marRight w:val="0"/>
              <w:marTop w:val="0"/>
              <w:marBottom w:val="0"/>
              <w:divBdr>
                <w:top w:val="none" w:sz="0" w:space="0" w:color="auto"/>
                <w:left w:val="none" w:sz="0" w:space="0" w:color="auto"/>
                <w:bottom w:val="none" w:sz="0" w:space="0" w:color="auto"/>
                <w:right w:val="none" w:sz="0" w:space="0" w:color="auto"/>
              </w:divBdr>
            </w:div>
            <w:div w:id="1137337084">
              <w:marLeft w:val="0"/>
              <w:marRight w:val="0"/>
              <w:marTop w:val="0"/>
              <w:marBottom w:val="0"/>
              <w:divBdr>
                <w:top w:val="none" w:sz="0" w:space="0" w:color="auto"/>
                <w:left w:val="none" w:sz="0" w:space="0" w:color="auto"/>
                <w:bottom w:val="none" w:sz="0" w:space="0" w:color="auto"/>
                <w:right w:val="none" w:sz="0" w:space="0" w:color="auto"/>
              </w:divBdr>
            </w:div>
            <w:div w:id="279187029">
              <w:marLeft w:val="0"/>
              <w:marRight w:val="0"/>
              <w:marTop w:val="0"/>
              <w:marBottom w:val="0"/>
              <w:divBdr>
                <w:top w:val="none" w:sz="0" w:space="0" w:color="auto"/>
                <w:left w:val="none" w:sz="0" w:space="0" w:color="auto"/>
                <w:bottom w:val="none" w:sz="0" w:space="0" w:color="auto"/>
                <w:right w:val="none" w:sz="0" w:space="0" w:color="auto"/>
              </w:divBdr>
            </w:div>
            <w:div w:id="1863670041">
              <w:marLeft w:val="0"/>
              <w:marRight w:val="0"/>
              <w:marTop w:val="0"/>
              <w:marBottom w:val="0"/>
              <w:divBdr>
                <w:top w:val="none" w:sz="0" w:space="0" w:color="auto"/>
                <w:left w:val="none" w:sz="0" w:space="0" w:color="auto"/>
                <w:bottom w:val="none" w:sz="0" w:space="0" w:color="auto"/>
                <w:right w:val="none" w:sz="0" w:space="0" w:color="auto"/>
              </w:divBdr>
            </w:div>
            <w:div w:id="1238635773">
              <w:marLeft w:val="0"/>
              <w:marRight w:val="0"/>
              <w:marTop w:val="0"/>
              <w:marBottom w:val="0"/>
              <w:divBdr>
                <w:top w:val="none" w:sz="0" w:space="0" w:color="auto"/>
                <w:left w:val="none" w:sz="0" w:space="0" w:color="auto"/>
                <w:bottom w:val="none" w:sz="0" w:space="0" w:color="auto"/>
                <w:right w:val="none" w:sz="0" w:space="0" w:color="auto"/>
              </w:divBdr>
            </w:div>
            <w:div w:id="1227179795">
              <w:marLeft w:val="0"/>
              <w:marRight w:val="0"/>
              <w:marTop w:val="0"/>
              <w:marBottom w:val="0"/>
              <w:divBdr>
                <w:top w:val="none" w:sz="0" w:space="0" w:color="auto"/>
                <w:left w:val="none" w:sz="0" w:space="0" w:color="auto"/>
                <w:bottom w:val="none" w:sz="0" w:space="0" w:color="auto"/>
                <w:right w:val="none" w:sz="0" w:space="0" w:color="auto"/>
              </w:divBdr>
            </w:div>
            <w:div w:id="1056273469">
              <w:marLeft w:val="0"/>
              <w:marRight w:val="0"/>
              <w:marTop w:val="0"/>
              <w:marBottom w:val="0"/>
              <w:divBdr>
                <w:top w:val="none" w:sz="0" w:space="0" w:color="auto"/>
                <w:left w:val="none" w:sz="0" w:space="0" w:color="auto"/>
                <w:bottom w:val="none" w:sz="0" w:space="0" w:color="auto"/>
                <w:right w:val="none" w:sz="0" w:space="0" w:color="auto"/>
              </w:divBdr>
            </w:div>
            <w:div w:id="1740905958">
              <w:marLeft w:val="0"/>
              <w:marRight w:val="0"/>
              <w:marTop w:val="0"/>
              <w:marBottom w:val="0"/>
              <w:divBdr>
                <w:top w:val="none" w:sz="0" w:space="0" w:color="auto"/>
                <w:left w:val="none" w:sz="0" w:space="0" w:color="auto"/>
                <w:bottom w:val="none" w:sz="0" w:space="0" w:color="auto"/>
                <w:right w:val="none" w:sz="0" w:space="0" w:color="auto"/>
              </w:divBdr>
            </w:div>
            <w:div w:id="337082729">
              <w:marLeft w:val="0"/>
              <w:marRight w:val="0"/>
              <w:marTop w:val="0"/>
              <w:marBottom w:val="0"/>
              <w:divBdr>
                <w:top w:val="none" w:sz="0" w:space="0" w:color="auto"/>
                <w:left w:val="none" w:sz="0" w:space="0" w:color="auto"/>
                <w:bottom w:val="none" w:sz="0" w:space="0" w:color="auto"/>
                <w:right w:val="none" w:sz="0" w:space="0" w:color="auto"/>
              </w:divBdr>
            </w:div>
            <w:div w:id="1280260963">
              <w:marLeft w:val="0"/>
              <w:marRight w:val="0"/>
              <w:marTop w:val="0"/>
              <w:marBottom w:val="0"/>
              <w:divBdr>
                <w:top w:val="none" w:sz="0" w:space="0" w:color="auto"/>
                <w:left w:val="none" w:sz="0" w:space="0" w:color="auto"/>
                <w:bottom w:val="none" w:sz="0" w:space="0" w:color="auto"/>
                <w:right w:val="none" w:sz="0" w:space="0" w:color="auto"/>
              </w:divBdr>
            </w:div>
            <w:div w:id="1373579911">
              <w:marLeft w:val="0"/>
              <w:marRight w:val="0"/>
              <w:marTop w:val="0"/>
              <w:marBottom w:val="0"/>
              <w:divBdr>
                <w:top w:val="none" w:sz="0" w:space="0" w:color="auto"/>
                <w:left w:val="none" w:sz="0" w:space="0" w:color="auto"/>
                <w:bottom w:val="none" w:sz="0" w:space="0" w:color="auto"/>
                <w:right w:val="none" w:sz="0" w:space="0" w:color="auto"/>
              </w:divBdr>
            </w:div>
            <w:div w:id="128478652">
              <w:marLeft w:val="0"/>
              <w:marRight w:val="0"/>
              <w:marTop w:val="0"/>
              <w:marBottom w:val="0"/>
              <w:divBdr>
                <w:top w:val="none" w:sz="0" w:space="0" w:color="auto"/>
                <w:left w:val="none" w:sz="0" w:space="0" w:color="auto"/>
                <w:bottom w:val="none" w:sz="0" w:space="0" w:color="auto"/>
                <w:right w:val="none" w:sz="0" w:space="0" w:color="auto"/>
              </w:divBdr>
            </w:div>
            <w:div w:id="2116437236">
              <w:marLeft w:val="0"/>
              <w:marRight w:val="0"/>
              <w:marTop w:val="0"/>
              <w:marBottom w:val="0"/>
              <w:divBdr>
                <w:top w:val="none" w:sz="0" w:space="0" w:color="auto"/>
                <w:left w:val="none" w:sz="0" w:space="0" w:color="auto"/>
                <w:bottom w:val="none" w:sz="0" w:space="0" w:color="auto"/>
                <w:right w:val="none" w:sz="0" w:space="0" w:color="auto"/>
              </w:divBdr>
            </w:div>
            <w:div w:id="1519345561">
              <w:marLeft w:val="0"/>
              <w:marRight w:val="0"/>
              <w:marTop w:val="0"/>
              <w:marBottom w:val="0"/>
              <w:divBdr>
                <w:top w:val="none" w:sz="0" w:space="0" w:color="auto"/>
                <w:left w:val="none" w:sz="0" w:space="0" w:color="auto"/>
                <w:bottom w:val="none" w:sz="0" w:space="0" w:color="auto"/>
                <w:right w:val="none" w:sz="0" w:space="0" w:color="auto"/>
              </w:divBdr>
            </w:div>
            <w:div w:id="468061682">
              <w:marLeft w:val="0"/>
              <w:marRight w:val="0"/>
              <w:marTop w:val="0"/>
              <w:marBottom w:val="0"/>
              <w:divBdr>
                <w:top w:val="none" w:sz="0" w:space="0" w:color="auto"/>
                <w:left w:val="none" w:sz="0" w:space="0" w:color="auto"/>
                <w:bottom w:val="none" w:sz="0" w:space="0" w:color="auto"/>
                <w:right w:val="none" w:sz="0" w:space="0" w:color="auto"/>
              </w:divBdr>
            </w:div>
            <w:div w:id="288442104">
              <w:marLeft w:val="0"/>
              <w:marRight w:val="0"/>
              <w:marTop w:val="0"/>
              <w:marBottom w:val="0"/>
              <w:divBdr>
                <w:top w:val="none" w:sz="0" w:space="0" w:color="auto"/>
                <w:left w:val="none" w:sz="0" w:space="0" w:color="auto"/>
                <w:bottom w:val="none" w:sz="0" w:space="0" w:color="auto"/>
                <w:right w:val="none" w:sz="0" w:space="0" w:color="auto"/>
              </w:divBdr>
            </w:div>
            <w:div w:id="683553449">
              <w:marLeft w:val="0"/>
              <w:marRight w:val="0"/>
              <w:marTop w:val="0"/>
              <w:marBottom w:val="0"/>
              <w:divBdr>
                <w:top w:val="none" w:sz="0" w:space="0" w:color="auto"/>
                <w:left w:val="none" w:sz="0" w:space="0" w:color="auto"/>
                <w:bottom w:val="none" w:sz="0" w:space="0" w:color="auto"/>
                <w:right w:val="none" w:sz="0" w:space="0" w:color="auto"/>
              </w:divBdr>
            </w:div>
            <w:div w:id="199173534">
              <w:marLeft w:val="0"/>
              <w:marRight w:val="0"/>
              <w:marTop w:val="0"/>
              <w:marBottom w:val="0"/>
              <w:divBdr>
                <w:top w:val="none" w:sz="0" w:space="0" w:color="auto"/>
                <w:left w:val="none" w:sz="0" w:space="0" w:color="auto"/>
                <w:bottom w:val="none" w:sz="0" w:space="0" w:color="auto"/>
                <w:right w:val="none" w:sz="0" w:space="0" w:color="auto"/>
              </w:divBdr>
            </w:div>
            <w:div w:id="723872106">
              <w:marLeft w:val="0"/>
              <w:marRight w:val="0"/>
              <w:marTop w:val="0"/>
              <w:marBottom w:val="0"/>
              <w:divBdr>
                <w:top w:val="none" w:sz="0" w:space="0" w:color="auto"/>
                <w:left w:val="none" w:sz="0" w:space="0" w:color="auto"/>
                <w:bottom w:val="none" w:sz="0" w:space="0" w:color="auto"/>
                <w:right w:val="none" w:sz="0" w:space="0" w:color="auto"/>
              </w:divBdr>
            </w:div>
            <w:div w:id="477841724">
              <w:marLeft w:val="0"/>
              <w:marRight w:val="0"/>
              <w:marTop w:val="0"/>
              <w:marBottom w:val="0"/>
              <w:divBdr>
                <w:top w:val="none" w:sz="0" w:space="0" w:color="auto"/>
                <w:left w:val="none" w:sz="0" w:space="0" w:color="auto"/>
                <w:bottom w:val="none" w:sz="0" w:space="0" w:color="auto"/>
                <w:right w:val="none" w:sz="0" w:space="0" w:color="auto"/>
              </w:divBdr>
            </w:div>
            <w:div w:id="748036384">
              <w:marLeft w:val="0"/>
              <w:marRight w:val="0"/>
              <w:marTop w:val="0"/>
              <w:marBottom w:val="0"/>
              <w:divBdr>
                <w:top w:val="none" w:sz="0" w:space="0" w:color="auto"/>
                <w:left w:val="none" w:sz="0" w:space="0" w:color="auto"/>
                <w:bottom w:val="none" w:sz="0" w:space="0" w:color="auto"/>
                <w:right w:val="none" w:sz="0" w:space="0" w:color="auto"/>
              </w:divBdr>
            </w:div>
            <w:div w:id="1338576669">
              <w:marLeft w:val="0"/>
              <w:marRight w:val="0"/>
              <w:marTop w:val="0"/>
              <w:marBottom w:val="0"/>
              <w:divBdr>
                <w:top w:val="none" w:sz="0" w:space="0" w:color="auto"/>
                <w:left w:val="none" w:sz="0" w:space="0" w:color="auto"/>
                <w:bottom w:val="none" w:sz="0" w:space="0" w:color="auto"/>
                <w:right w:val="none" w:sz="0" w:space="0" w:color="auto"/>
              </w:divBdr>
            </w:div>
            <w:div w:id="1302418347">
              <w:marLeft w:val="0"/>
              <w:marRight w:val="0"/>
              <w:marTop w:val="0"/>
              <w:marBottom w:val="0"/>
              <w:divBdr>
                <w:top w:val="none" w:sz="0" w:space="0" w:color="auto"/>
                <w:left w:val="none" w:sz="0" w:space="0" w:color="auto"/>
                <w:bottom w:val="none" w:sz="0" w:space="0" w:color="auto"/>
                <w:right w:val="none" w:sz="0" w:space="0" w:color="auto"/>
              </w:divBdr>
            </w:div>
            <w:div w:id="1548180626">
              <w:marLeft w:val="0"/>
              <w:marRight w:val="0"/>
              <w:marTop w:val="0"/>
              <w:marBottom w:val="0"/>
              <w:divBdr>
                <w:top w:val="none" w:sz="0" w:space="0" w:color="auto"/>
                <w:left w:val="none" w:sz="0" w:space="0" w:color="auto"/>
                <w:bottom w:val="none" w:sz="0" w:space="0" w:color="auto"/>
                <w:right w:val="none" w:sz="0" w:space="0" w:color="auto"/>
              </w:divBdr>
            </w:div>
            <w:div w:id="1683586656">
              <w:marLeft w:val="0"/>
              <w:marRight w:val="0"/>
              <w:marTop w:val="0"/>
              <w:marBottom w:val="0"/>
              <w:divBdr>
                <w:top w:val="none" w:sz="0" w:space="0" w:color="auto"/>
                <w:left w:val="none" w:sz="0" w:space="0" w:color="auto"/>
                <w:bottom w:val="none" w:sz="0" w:space="0" w:color="auto"/>
                <w:right w:val="none" w:sz="0" w:space="0" w:color="auto"/>
              </w:divBdr>
            </w:div>
            <w:div w:id="1334068181">
              <w:marLeft w:val="0"/>
              <w:marRight w:val="0"/>
              <w:marTop w:val="0"/>
              <w:marBottom w:val="0"/>
              <w:divBdr>
                <w:top w:val="none" w:sz="0" w:space="0" w:color="auto"/>
                <w:left w:val="none" w:sz="0" w:space="0" w:color="auto"/>
                <w:bottom w:val="none" w:sz="0" w:space="0" w:color="auto"/>
                <w:right w:val="none" w:sz="0" w:space="0" w:color="auto"/>
              </w:divBdr>
            </w:div>
            <w:div w:id="1582371418">
              <w:marLeft w:val="0"/>
              <w:marRight w:val="0"/>
              <w:marTop w:val="0"/>
              <w:marBottom w:val="0"/>
              <w:divBdr>
                <w:top w:val="none" w:sz="0" w:space="0" w:color="auto"/>
                <w:left w:val="none" w:sz="0" w:space="0" w:color="auto"/>
                <w:bottom w:val="none" w:sz="0" w:space="0" w:color="auto"/>
                <w:right w:val="none" w:sz="0" w:space="0" w:color="auto"/>
              </w:divBdr>
            </w:div>
            <w:div w:id="162667103">
              <w:marLeft w:val="0"/>
              <w:marRight w:val="0"/>
              <w:marTop w:val="0"/>
              <w:marBottom w:val="0"/>
              <w:divBdr>
                <w:top w:val="none" w:sz="0" w:space="0" w:color="auto"/>
                <w:left w:val="none" w:sz="0" w:space="0" w:color="auto"/>
                <w:bottom w:val="none" w:sz="0" w:space="0" w:color="auto"/>
                <w:right w:val="none" w:sz="0" w:space="0" w:color="auto"/>
              </w:divBdr>
            </w:div>
            <w:div w:id="800809430">
              <w:marLeft w:val="0"/>
              <w:marRight w:val="0"/>
              <w:marTop w:val="0"/>
              <w:marBottom w:val="0"/>
              <w:divBdr>
                <w:top w:val="none" w:sz="0" w:space="0" w:color="auto"/>
                <w:left w:val="none" w:sz="0" w:space="0" w:color="auto"/>
                <w:bottom w:val="none" w:sz="0" w:space="0" w:color="auto"/>
                <w:right w:val="none" w:sz="0" w:space="0" w:color="auto"/>
              </w:divBdr>
            </w:div>
            <w:div w:id="66273507">
              <w:marLeft w:val="0"/>
              <w:marRight w:val="0"/>
              <w:marTop w:val="0"/>
              <w:marBottom w:val="0"/>
              <w:divBdr>
                <w:top w:val="none" w:sz="0" w:space="0" w:color="auto"/>
                <w:left w:val="none" w:sz="0" w:space="0" w:color="auto"/>
                <w:bottom w:val="none" w:sz="0" w:space="0" w:color="auto"/>
                <w:right w:val="none" w:sz="0" w:space="0" w:color="auto"/>
              </w:divBdr>
            </w:div>
            <w:div w:id="1331174093">
              <w:marLeft w:val="0"/>
              <w:marRight w:val="0"/>
              <w:marTop w:val="0"/>
              <w:marBottom w:val="0"/>
              <w:divBdr>
                <w:top w:val="none" w:sz="0" w:space="0" w:color="auto"/>
                <w:left w:val="none" w:sz="0" w:space="0" w:color="auto"/>
                <w:bottom w:val="none" w:sz="0" w:space="0" w:color="auto"/>
                <w:right w:val="none" w:sz="0" w:space="0" w:color="auto"/>
              </w:divBdr>
            </w:div>
            <w:div w:id="885529958">
              <w:marLeft w:val="0"/>
              <w:marRight w:val="0"/>
              <w:marTop w:val="0"/>
              <w:marBottom w:val="0"/>
              <w:divBdr>
                <w:top w:val="none" w:sz="0" w:space="0" w:color="auto"/>
                <w:left w:val="none" w:sz="0" w:space="0" w:color="auto"/>
                <w:bottom w:val="none" w:sz="0" w:space="0" w:color="auto"/>
                <w:right w:val="none" w:sz="0" w:space="0" w:color="auto"/>
              </w:divBdr>
            </w:div>
            <w:div w:id="1771270987">
              <w:marLeft w:val="0"/>
              <w:marRight w:val="0"/>
              <w:marTop w:val="0"/>
              <w:marBottom w:val="0"/>
              <w:divBdr>
                <w:top w:val="none" w:sz="0" w:space="0" w:color="auto"/>
                <w:left w:val="none" w:sz="0" w:space="0" w:color="auto"/>
                <w:bottom w:val="none" w:sz="0" w:space="0" w:color="auto"/>
                <w:right w:val="none" w:sz="0" w:space="0" w:color="auto"/>
              </w:divBdr>
            </w:div>
            <w:div w:id="567037151">
              <w:marLeft w:val="0"/>
              <w:marRight w:val="0"/>
              <w:marTop w:val="0"/>
              <w:marBottom w:val="0"/>
              <w:divBdr>
                <w:top w:val="none" w:sz="0" w:space="0" w:color="auto"/>
                <w:left w:val="none" w:sz="0" w:space="0" w:color="auto"/>
                <w:bottom w:val="none" w:sz="0" w:space="0" w:color="auto"/>
                <w:right w:val="none" w:sz="0" w:space="0" w:color="auto"/>
              </w:divBdr>
            </w:div>
            <w:div w:id="757559165">
              <w:marLeft w:val="0"/>
              <w:marRight w:val="0"/>
              <w:marTop w:val="0"/>
              <w:marBottom w:val="0"/>
              <w:divBdr>
                <w:top w:val="none" w:sz="0" w:space="0" w:color="auto"/>
                <w:left w:val="none" w:sz="0" w:space="0" w:color="auto"/>
                <w:bottom w:val="none" w:sz="0" w:space="0" w:color="auto"/>
                <w:right w:val="none" w:sz="0" w:space="0" w:color="auto"/>
              </w:divBdr>
            </w:div>
            <w:div w:id="1049694589">
              <w:marLeft w:val="0"/>
              <w:marRight w:val="0"/>
              <w:marTop w:val="0"/>
              <w:marBottom w:val="0"/>
              <w:divBdr>
                <w:top w:val="none" w:sz="0" w:space="0" w:color="auto"/>
                <w:left w:val="none" w:sz="0" w:space="0" w:color="auto"/>
                <w:bottom w:val="none" w:sz="0" w:space="0" w:color="auto"/>
                <w:right w:val="none" w:sz="0" w:space="0" w:color="auto"/>
              </w:divBdr>
            </w:div>
            <w:div w:id="68618625">
              <w:marLeft w:val="0"/>
              <w:marRight w:val="0"/>
              <w:marTop w:val="0"/>
              <w:marBottom w:val="0"/>
              <w:divBdr>
                <w:top w:val="none" w:sz="0" w:space="0" w:color="auto"/>
                <w:left w:val="none" w:sz="0" w:space="0" w:color="auto"/>
                <w:bottom w:val="none" w:sz="0" w:space="0" w:color="auto"/>
                <w:right w:val="none" w:sz="0" w:space="0" w:color="auto"/>
              </w:divBdr>
            </w:div>
            <w:div w:id="558441891">
              <w:marLeft w:val="0"/>
              <w:marRight w:val="0"/>
              <w:marTop w:val="0"/>
              <w:marBottom w:val="0"/>
              <w:divBdr>
                <w:top w:val="none" w:sz="0" w:space="0" w:color="auto"/>
                <w:left w:val="none" w:sz="0" w:space="0" w:color="auto"/>
                <w:bottom w:val="none" w:sz="0" w:space="0" w:color="auto"/>
                <w:right w:val="none" w:sz="0" w:space="0" w:color="auto"/>
              </w:divBdr>
            </w:div>
            <w:div w:id="1588230961">
              <w:marLeft w:val="0"/>
              <w:marRight w:val="0"/>
              <w:marTop w:val="0"/>
              <w:marBottom w:val="0"/>
              <w:divBdr>
                <w:top w:val="none" w:sz="0" w:space="0" w:color="auto"/>
                <w:left w:val="none" w:sz="0" w:space="0" w:color="auto"/>
                <w:bottom w:val="none" w:sz="0" w:space="0" w:color="auto"/>
                <w:right w:val="none" w:sz="0" w:space="0" w:color="auto"/>
              </w:divBdr>
            </w:div>
            <w:div w:id="805586408">
              <w:marLeft w:val="0"/>
              <w:marRight w:val="0"/>
              <w:marTop w:val="0"/>
              <w:marBottom w:val="0"/>
              <w:divBdr>
                <w:top w:val="none" w:sz="0" w:space="0" w:color="auto"/>
                <w:left w:val="none" w:sz="0" w:space="0" w:color="auto"/>
                <w:bottom w:val="none" w:sz="0" w:space="0" w:color="auto"/>
                <w:right w:val="none" w:sz="0" w:space="0" w:color="auto"/>
              </w:divBdr>
            </w:div>
            <w:div w:id="1901357074">
              <w:marLeft w:val="0"/>
              <w:marRight w:val="0"/>
              <w:marTop w:val="0"/>
              <w:marBottom w:val="0"/>
              <w:divBdr>
                <w:top w:val="none" w:sz="0" w:space="0" w:color="auto"/>
                <w:left w:val="none" w:sz="0" w:space="0" w:color="auto"/>
                <w:bottom w:val="none" w:sz="0" w:space="0" w:color="auto"/>
                <w:right w:val="none" w:sz="0" w:space="0" w:color="auto"/>
              </w:divBdr>
            </w:div>
            <w:div w:id="839542413">
              <w:marLeft w:val="0"/>
              <w:marRight w:val="0"/>
              <w:marTop w:val="0"/>
              <w:marBottom w:val="0"/>
              <w:divBdr>
                <w:top w:val="none" w:sz="0" w:space="0" w:color="auto"/>
                <w:left w:val="none" w:sz="0" w:space="0" w:color="auto"/>
                <w:bottom w:val="none" w:sz="0" w:space="0" w:color="auto"/>
                <w:right w:val="none" w:sz="0" w:space="0" w:color="auto"/>
              </w:divBdr>
            </w:div>
            <w:div w:id="1513296843">
              <w:marLeft w:val="0"/>
              <w:marRight w:val="0"/>
              <w:marTop w:val="0"/>
              <w:marBottom w:val="0"/>
              <w:divBdr>
                <w:top w:val="none" w:sz="0" w:space="0" w:color="auto"/>
                <w:left w:val="none" w:sz="0" w:space="0" w:color="auto"/>
                <w:bottom w:val="none" w:sz="0" w:space="0" w:color="auto"/>
                <w:right w:val="none" w:sz="0" w:space="0" w:color="auto"/>
              </w:divBdr>
            </w:div>
            <w:div w:id="1642925365">
              <w:marLeft w:val="0"/>
              <w:marRight w:val="0"/>
              <w:marTop w:val="0"/>
              <w:marBottom w:val="0"/>
              <w:divBdr>
                <w:top w:val="none" w:sz="0" w:space="0" w:color="auto"/>
                <w:left w:val="none" w:sz="0" w:space="0" w:color="auto"/>
                <w:bottom w:val="none" w:sz="0" w:space="0" w:color="auto"/>
                <w:right w:val="none" w:sz="0" w:space="0" w:color="auto"/>
              </w:divBdr>
            </w:div>
            <w:div w:id="1134057359">
              <w:marLeft w:val="0"/>
              <w:marRight w:val="0"/>
              <w:marTop w:val="0"/>
              <w:marBottom w:val="0"/>
              <w:divBdr>
                <w:top w:val="none" w:sz="0" w:space="0" w:color="auto"/>
                <w:left w:val="none" w:sz="0" w:space="0" w:color="auto"/>
                <w:bottom w:val="none" w:sz="0" w:space="0" w:color="auto"/>
                <w:right w:val="none" w:sz="0" w:space="0" w:color="auto"/>
              </w:divBdr>
            </w:div>
            <w:div w:id="755900132">
              <w:marLeft w:val="0"/>
              <w:marRight w:val="0"/>
              <w:marTop w:val="0"/>
              <w:marBottom w:val="0"/>
              <w:divBdr>
                <w:top w:val="none" w:sz="0" w:space="0" w:color="auto"/>
                <w:left w:val="none" w:sz="0" w:space="0" w:color="auto"/>
                <w:bottom w:val="none" w:sz="0" w:space="0" w:color="auto"/>
                <w:right w:val="none" w:sz="0" w:space="0" w:color="auto"/>
              </w:divBdr>
            </w:div>
            <w:div w:id="5475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42826">
      <w:bodyDiv w:val="1"/>
      <w:marLeft w:val="0"/>
      <w:marRight w:val="0"/>
      <w:marTop w:val="0"/>
      <w:marBottom w:val="0"/>
      <w:divBdr>
        <w:top w:val="none" w:sz="0" w:space="0" w:color="auto"/>
        <w:left w:val="none" w:sz="0" w:space="0" w:color="auto"/>
        <w:bottom w:val="none" w:sz="0" w:space="0" w:color="auto"/>
        <w:right w:val="none" w:sz="0" w:space="0" w:color="auto"/>
      </w:divBdr>
      <w:divsChild>
        <w:div w:id="751049045">
          <w:marLeft w:val="480"/>
          <w:marRight w:val="0"/>
          <w:marTop w:val="0"/>
          <w:marBottom w:val="0"/>
          <w:divBdr>
            <w:top w:val="none" w:sz="0" w:space="0" w:color="auto"/>
            <w:left w:val="none" w:sz="0" w:space="0" w:color="auto"/>
            <w:bottom w:val="none" w:sz="0" w:space="0" w:color="auto"/>
            <w:right w:val="none" w:sz="0" w:space="0" w:color="auto"/>
          </w:divBdr>
          <w:divsChild>
            <w:div w:id="333531499">
              <w:marLeft w:val="0"/>
              <w:marRight w:val="0"/>
              <w:marTop w:val="0"/>
              <w:marBottom w:val="0"/>
              <w:divBdr>
                <w:top w:val="none" w:sz="0" w:space="0" w:color="auto"/>
                <w:left w:val="none" w:sz="0" w:space="0" w:color="auto"/>
                <w:bottom w:val="none" w:sz="0" w:space="0" w:color="auto"/>
                <w:right w:val="none" w:sz="0" w:space="0" w:color="auto"/>
              </w:divBdr>
            </w:div>
            <w:div w:id="968054991">
              <w:marLeft w:val="0"/>
              <w:marRight w:val="0"/>
              <w:marTop w:val="0"/>
              <w:marBottom w:val="0"/>
              <w:divBdr>
                <w:top w:val="none" w:sz="0" w:space="0" w:color="auto"/>
                <w:left w:val="none" w:sz="0" w:space="0" w:color="auto"/>
                <w:bottom w:val="none" w:sz="0" w:space="0" w:color="auto"/>
                <w:right w:val="none" w:sz="0" w:space="0" w:color="auto"/>
              </w:divBdr>
            </w:div>
            <w:div w:id="355737906">
              <w:marLeft w:val="0"/>
              <w:marRight w:val="0"/>
              <w:marTop w:val="0"/>
              <w:marBottom w:val="0"/>
              <w:divBdr>
                <w:top w:val="none" w:sz="0" w:space="0" w:color="auto"/>
                <w:left w:val="none" w:sz="0" w:space="0" w:color="auto"/>
                <w:bottom w:val="none" w:sz="0" w:space="0" w:color="auto"/>
                <w:right w:val="none" w:sz="0" w:space="0" w:color="auto"/>
              </w:divBdr>
            </w:div>
            <w:div w:id="2090955190">
              <w:marLeft w:val="0"/>
              <w:marRight w:val="0"/>
              <w:marTop w:val="0"/>
              <w:marBottom w:val="0"/>
              <w:divBdr>
                <w:top w:val="none" w:sz="0" w:space="0" w:color="auto"/>
                <w:left w:val="none" w:sz="0" w:space="0" w:color="auto"/>
                <w:bottom w:val="none" w:sz="0" w:space="0" w:color="auto"/>
                <w:right w:val="none" w:sz="0" w:space="0" w:color="auto"/>
              </w:divBdr>
            </w:div>
            <w:div w:id="2079788277">
              <w:marLeft w:val="0"/>
              <w:marRight w:val="0"/>
              <w:marTop w:val="0"/>
              <w:marBottom w:val="0"/>
              <w:divBdr>
                <w:top w:val="none" w:sz="0" w:space="0" w:color="auto"/>
                <w:left w:val="none" w:sz="0" w:space="0" w:color="auto"/>
                <w:bottom w:val="none" w:sz="0" w:space="0" w:color="auto"/>
                <w:right w:val="none" w:sz="0" w:space="0" w:color="auto"/>
              </w:divBdr>
            </w:div>
            <w:div w:id="486552011">
              <w:marLeft w:val="0"/>
              <w:marRight w:val="0"/>
              <w:marTop w:val="0"/>
              <w:marBottom w:val="0"/>
              <w:divBdr>
                <w:top w:val="none" w:sz="0" w:space="0" w:color="auto"/>
                <w:left w:val="none" w:sz="0" w:space="0" w:color="auto"/>
                <w:bottom w:val="none" w:sz="0" w:space="0" w:color="auto"/>
                <w:right w:val="none" w:sz="0" w:space="0" w:color="auto"/>
              </w:divBdr>
            </w:div>
            <w:div w:id="1206479963">
              <w:marLeft w:val="0"/>
              <w:marRight w:val="0"/>
              <w:marTop w:val="0"/>
              <w:marBottom w:val="0"/>
              <w:divBdr>
                <w:top w:val="none" w:sz="0" w:space="0" w:color="auto"/>
                <w:left w:val="none" w:sz="0" w:space="0" w:color="auto"/>
                <w:bottom w:val="none" w:sz="0" w:space="0" w:color="auto"/>
                <w:right w:val="none" w:sz="0" w:space="0" w:color="auto"/>
              </w:divBdr>
            </w:div>
            <w:div w:id="108476305">
              <w:marLeft w:val="0"/>
              <w:marRight w:val="0"/>
              <w:marTop w:val="0"/>
              <w:marBottom w:val="0"/>
              <w:divBdr>
                <w:top w:val="none" w:sz="0" w:space="0" w:color="auto"/>
                <w:left w:val="none" w:sz="0" w:space="0" w:color="auto"/>
                <w:bottom w:val="none" w:sz="0" w:space="0" w:color="auto"/>
                <w:right w:val="none" w:sz="0" w:space="0" w:color="auto"/>
              </w:divBdr>
            </w:div>
            <w:div w:id="1130630861">
              <w:marLeft w:val="0"/>
              <w:marRight w:val="0"/>
              <w:marTop w:val="0"/>
              <w:marBottom w:val="0"/>
              <w:divBdr>
                <w:top w:val="none" w:sz="0" w:space="0" w:color="auto"/>
                <w:left w:val="none" w:sz="0" w:space="0" w:color="auto"/>
                <w:bottom w:val="none" w:sz="0" w:space="0" w:color="auto"/>
                <w:right w:val="none" w:sz="0" w:space="0" w:color="auto"/>
              </w:divBdr>
            </w:div>
            <w:div w:id="1337415627">
              <w:marLeft w:val="0"/>
              <w:marRight w:val="0"/>
              <w:marTop w:val="0"/>
              <w:marBottom w:val="0"/>
              <w:divBdr>
                <w:top w:val="none" w:sz="0" w:space="0" w:color="auto"/>
                <w:left w:val="none" w:sz="0" w:space="0" w:color="auto"/>
                <w:bottom w:val="none" w:sz="0" w:space="0" w:color="auto"/>
                <w:right w:val="none" w:sz="0" w:space="0" w:color="auto"/>
              </w:divBdr>
            </w:div>
            <w:div w:id="774447392">
              <w:marLeft w:val="0"/>
              <w:marRight w:val="0"/>
              <w:marTop w:val="0"/>
              <w:marBottom w:val="0"/>
              <w:divBdr>
                <w:top w:val="none" w:sz="0" w:space="0" w:color="auto"/>
                <w:left w:val="none" w:sz="0" w:space="0" w:color="auto"/>
                <w:bottom w:val="none" w:sz="0" w:space="0" w:color="auto"/>
                <w:right w:val="none" w:sz="0" w:space="0" w:color="auto"/>
              </w:divBdr>
            </w:div>
            <w:div w:id="1685092362">
              <w:marLeft w:val="0"/>
              <w:marRight w:val="0"/>
              <w:marTop w:val="0"/>
              <w:marBottom w:val="0"/>
              <w:divBdr>
                <w:top w:val="none" w:sz="0" w:space="0" w:color="auto"/>
                <w:left w:val="none" w:sz="0" w:space="0" w:color="auto"/>
                <w:bottom w:val="none" w:sz="0" w:space="0" w:color="auto"/>
                <w:right w:val="none" w:sz="0" w:space="0" w:color="auto"/>
              </w:divBdr>
            </w:div>
            <w:div w:id="866913623">
              <w:marLeft w:val="0"/>
              <w:marRight w:val="0"/>
              <w:marTop w:val="0"/>
              <w:marBottom w:val="0"/>
              <w:divBdr>
                <w:top w:val="none" w:sz="0" w:space="0" w:color="auto"/>
                <w:left w:val="none" w:sz="0" w:space="0" w:color="auto"/>
                <w:bottom w:val="none" w:sz="0" w:space="0" w:color="auto"/>
                <w:right w:val="none" w:sz="0" w:space="0" w:color="auto"/>
              </w:divBdr>
            </w:div>
            <w:div w:id="1510633737">
              <w:marLeft w:val="0"/>
              <w:marRight w:val="0"/>
              <w:marTop w:val="0"/>
              <w:marBottom w:val="0"/>
              <w:divBdr>
                <w:top w:val="none" w:sz="0" w:space="0" w:color="auto"/>
                <w:left w:val="none" w:sz="0" w:space="0" w:color="auto"/>
                <w:bottom w:val="none" w:sz="0" w:space="0" w:color="auto"/>
                <w:right w:val="none" w:sz="0" w:space="0" w:color="auto"/>
              </w:divBdr>
            </w:div>
            <w:div w:id="262812211">
              <w:marLeft w:val="0"/>
              <w:marRight w:val="0"/>
              <w:marTop w:val="0"/>
              <w:marBottom w:val="0"/>
              <w:divBdr>
                <w:top w:val="none" w:sz="0" w:space="0" w:color="auto"/>
                <w:left w:val="none" w:sz="0" w:space="0" w:color="auto"/>
                <w:bottom w:val="none" w:sz="0" w:space="0" w:color="auto"/>
                <w:right w:val="none" w:sz="0" w:space="0" w:color="auto"/>
              </w:divBdr>
            </w:div>
            <w:div w:id="1594825292">
              <w:marLeft w:val="0"/>
              <w:marRight w:val="0"/>
              <w:marTop w:val="0"/>
              <w:marBottom w:val="0"/>
              <w:divBdr>
                <w:top w:val="none" w:sz="0" w:space="0" w:color="auto"/>
                <w:left w:val="none" w:sz="0" w:space="0" w:color="auto"/>
                <w:bottom w:val="none" w:sz="0" w:space="0" w:color="auto"/>
                <w:right w:val="none" w:sz="0" w:space="0" w:color="auto"/>
              </w:divBdr>
            </w:div>
            <w:div w:id="1637762223">
              <w:marLeft w:val="0"/>
              <w:marRight w:val="0"/>
              <w:marTop w:val="0"/>
              <w:marBottom w:val="0"/>
              <w:divBdr>
                <w:top w:val="none" w:sz="0" w:space="0" w:color="auto"/>
                <w:left w:val="none" w:sz="0" w:space="0" w:color="auto"/>
                <w:bottom w:val="none" w:sz="0" w:space="0" w:color="auto"/>
                <w:right w:val="none" w:sz="0" w:space="0" w:color="auto"/>
              </w:divBdr>
            </w:div>
            <w:div w:id="113064408">
              <w:marLeft w:val="0"/>
              <w:marRight w:val="0"/>
              <w:marTop w:val="0"/>
              <w:marBottom w:val="0"/>
              <w:divBdr>
                <w:top w:val="none" w:sz="0" w:space="0" w:color="auto"/>
                <w:left w:val="none" w:sz="0" w:space="0" w:color="auto"/>
                <w:bottom w:val="none" w:sz="0" w:space="0" w:color="auto"/>
                <w:right w:val="none" w:sz="0" w:space="0" w:color="auto"/>
              </w:divBdr>
            </w:div>
            <w:div w:id="804851846">
              <w:marLeft w:val="0"/>
              <w:marRight w:val="0"/>
              <w:marTop w:val="0"/>
              <w:marBottom w:val="0"/>
              <w:divBdr>
                <w:top w:val="none" w:sz="0" w:space="0" w:color="auto"/>
                <w:left w:val="none" w:sz="0" w:space="0" w:color="auto"/>
                <w:bottom w:val="none" w:sz="0" w:space="0" w:color="auto"/>
                <w:right w:val="none" w:sz="0" w:space="0" w:color="auto"/>
              </w:divBdr>
            </w:div>
            <w:div w:id="1890066039">
              <w:marLeft w:val="0"/>
              <w:marRight w:val="0"/>
              <w:marTop w:val="0"/>
              <w:marBottom w:val="0"/>
              <w:divBdr>
                <w:top w:val="none" w:sz="0" w:space="0" w:color="auto"/>
                <w:left w:val="none" w:sz="0" w:space="0" w:color="auto"/>
                <w:bottom w:val="none" w:sz="0" w:space="0" w:color="auto"/>
                <w:right w:val="none" w:sz="0" w:space="0" w:color="auto"/>
              </w:divBdr>
            </w:div>
            <w:div w:id="1529180052">
              <w:marLeft w:val="0"/>
              <w:marRight w:val="0"/>
              <w:marTop w:val="0"/>
              <w:marBottom w:val="0"/>
              <w:divBdr>
                <w:top w:val="none" w:sz="0" w:space="0" w:color="auto"/>
                <w:left w:val="none" w:sz="0" w:space="0" w:color="auto"/>
                <w:bottom w:val="none" w:sz="0" w:space="0" w:color="auto"/>
                <w:right w:val="none" w:sz="0" w:space="0" w:color="auto"/>
              </w:divBdr>
            </w:div>
            <w:div w:id="714626326">
              <w:marLeft w:val="0"/>
              <w:marRight w:val="0"/>
              <w:marTop w:val="0"/>
              <w:marBottom w:val="0"/>
              <w:divBdr>
                <w:top w:val="none" w:sz="0" w:space="0" w:color="auto"/>
                <w:left w:val="none" w:sz="0" w:space="0" w:color="auto"/>
                <w:bottom w:val="none" w:sz="0" w:space="0" w:color="auto"/>
                <w:right w:val="none" w:sz="0" w:space="0" w:color="auto"/>
              </w:divBdr>
            </w:div>
            <w:div w:id="1193541747">
              <w:marLeft w:val="0"/>
              <w:marRight w:val="0"/>
              <w:marTop w:val="0"/>
              <w:marBottom w:val="0"/>
              <w:divBdr>
                <w:top w:val="none" w:sz="0" w:space="0" w:color="auto"/>
                <w:left w:val="none" w:sz="0" w:space="0" w:color="auto"/>
                <w:bottom w:val="none" w:sz="0" w:space="0" w:color="auto"/>
                <w:right w:val="none" w:sz="0" w:space="0" w:color="auto"/>
              </w:divBdr>
            </w:div>
            <w:div w:id="841430831">
              <w:marLeft w:val="0"/>
              <w:marRight w:val="0"/>
              <w:marTop w:val="0"/>
              <w:marBottom w:val="0"/>
              <w:divBdr>
                <w:top w:val="none" w:sz="0" w:space="0" w:color="auto"/>
                <w:left w:val="none" w:sz="0" w:space="0" w:color="auto"/>
                <w:bottom w:val="none" w:sz="0" w:space="0" w:color="auto"/>
                <w:right w:val="none" w:sz="0" w:space="0" w:color="auto"/>
              </w:divBdr>
            </w:div>
            <w:div w:id="356080136">
              <w:marLeft w:val="0"/>
              <w:marRight w:val="0"/>
              <w:marTop w:val="0"/>
              <w:marBottom w:val="0"/>
              <w:divBdr>
                <w:top w:val="none" w:sz="0" w:space="0" w:color="auto"/>
                <w:left w:val="none" w:sz="0" w:space="0" w:color="auto"/>
                <w:bottom w:val="none" w:sz="0" w:space="0" w:color="auto"/>
                <w:right w:val="none" w:sz="0" w:space="0" w:color="auto"/>
              </w:divBdr>
            </w:div>
            <w:div w:id="2012099052">
              <w:marLeft w:val="0"/>
              <w:marRight w:val="0"/>
              <w:marTop w:val="0"/>
              <w:marBottom w:val="0"/>
              <w:divBdr>
                <w:top w:val="none" w:sz="0" w:space="0" w:color="auto"/>
                <w:left w:val="none" w:sz="0" w:space="0" w:color="auto"/>
                <w:bottom w:val="none" w:sz="0" w:space="0" w:color="auto"/>
                <w:right w:val="none" w:sz="0" w:space="0" w:color="auto"/>
              </w:divBdr>
            </w:div>
            <w:div w:id="1048648296">
              <w:marLeft w:val="0"/>
              <w:marRight w:val="0"/>
              <w:marTop w:val="0"/>
              <w:marBottom w:val="0"/>
              <w:divBdr>
                <w:top w:val="none" w:sz="0" w:space="0" w:color="auto"/>
                <w:left w:val="none" w:sz="0" w:space="0" w:color="auto"/>
                <w:bottom w:val="none" w:sz="0" w:space="0" w:color="auto"/>
                <w:right w:val="none" w:sz="0" w:space="0" w:color="auto"/>
              </w:divBdr>
            </w:div>
            <w:div w:id="86537994">
              <w:marLeft w:val="0"/>
              <w:marRight w:val="0"/>
              <w:marTop w:val="0"/>
              <w:marBottom w:val="0"/>
              <w:divBdr>
                <w:top w:val="none" w:sz="0" w:space="0" w:color="auto"/>
                <w:left w:val="none" w:sz="0" w:space="0" w:color="auto"/>
                <w:bottom w:val="none" w:sz="0" w:space="0" w:color="auto"/>
                <w:right w:val="none" w:sz="0" w:space="0" w:color="auto"/>
              </w:divBdr>
            </w:div>
            <w:div w:id="1558977769">
              <w:marLeft w:val="0"/>
              <w:marRight w:val="0"/>
              <w:marTop w:val="0"/>
              <w:marBottom w:val="0"/>
              <w:divBdr>
                <w:top w:val="none" w:sz="0" w:space="0" w:color="auto"/>
                <w:left w:val="none" w:sz="0" w:space="0" w:color="auto"/>
                <w:bottom w:val="none" w:sz="0" w:space="0" w:color="auto"/>
                <w:right w:val="none" w:sz="0" w:space="0" w:color="auto"/>
              </w:divBdr>
            </w:div>
            <w:div w:id="395322560">
              <w:marLeft w:val="0"/>
              <w:marRight w:val="0"/>
              <w:marTop w:val="0"/>
              <w:marBottom w:val="0"/>
              <w:divBdr>
                <w:top w:val="none" w:sz="0" w:space="0" w:color="auto"/>
                <w:left w:val="none" w:sz="0" w:space="0" w:color="auto"/>
                <w:bottom w:val="none" w:sz="0" w:space="0" w:color="auto"/>
                <w:right w:val="none" w:sz="0" w:space="0" w:color="auto"/>
              </w:divBdr>
            </w:div>
            <w:div w:id="1933392233">
              <w:marLeft w:val="0"/>
              <w:marRight w:val="0"/>
              <w:marTop w:val="0"/>
              <w:marBottom w:val="0"/>
              <w:divBdr>
                <w:top w:val="none" w:sz="0" w:space="0" w:color="auto"/>
                <w:left w:val="none" w:sz="0" w:space="0" w:color="auto"/>
                <w:bottom w:val="none" w:sz="0" w:space="0" w:color="auto"/>
                <w:right w:val="none" w:sz="0" w:space="0" w:color="auto"/>
              </w:divBdr>
            </w:div>
            <w:div w:id="257713384">
              <w:marLeft w:val="0"/>
              <w:marRight w:val="0"/>
              <w:marTop w:val="0"/>
              <w:marBottom w:val="0"/>
              <w:divBdr>
                <w:top w:val="none" w:sz="0" w:space="0" w:color="auto"/>
                <w:left w:val="none" w:sz="0" w:space="0" w:color="auto"/>
                <w:bottom w:val="none" w:sz="0" w:space="0" w:color="auto"/>
                <w:right w:val="none" w:sz="0" w:space="0" w:color="auto"/>
              </w:divBdr>
            </w:div>
            <w:div w:id="830484077">
              <w:marLeft w:val="0"/>
              <w:marRight w:val="0"/>
              <w:marTop w:val="0"/>
              <w:marBottom w:val="0"/>
              <w:divBdr>
                <w:top w:val="none" w:sz="0" w:space="0" w:color="auto"/>
                <w:left w:val="none" w:sz="0" w:space="0" w:color="auto"/>
                <w:bottom w:val="none" w:sz="0" w:space="0" w:color="auto"/>
                <w:right w:val="none" w:sz="0" w:space="0" w:color="auto"/>
              </w:divBdr>
            </w:div>
            <w:div w:id="507141037">
              <w:marLeft w:val="0"/>
              <w:marRight w:val="0"/>
              <w:marTop w:val="0"/>
              <w:marBottom w:val="0"/>
              <w:divBdr>
                <w:top w:val="none" w:sz="0" w:space="0" w:color="auto"/>
                <w:left w:val="none" w:sz="0" w:space="0" w:color="auto"/>
                <w:bottom w:val="none" w:sz="0" w:space="0" w:color="auto"/>
                <w:right w:val="none" w:sz="0" w:space="0" w:color="auto"/>
              </w:divBdr>
            </w:div>
            <w:div w:id="698970221">
              <w:marLeft w:val="0"/>
              <w:marRight w:val="0"/>
              <w:marTop w:val="0"/>
              <w:marBottom w:val="0"/>
              <w:divBdr>
                <w:top w:val="none" w:sz="0" w:space="0" w:color="auto"/>
                <w:left w:val="none" w:sz="0" w:space="0" w:color="auto"/>
                <w:bottom w:val="none" w:sz="0" w:space="0" w:color="auto"/>
                <w:right w:val="none" w:sz="0" w:space="0" w:color="auto"/>
              </w:divBdr>
            </w:div>
            <w:div w:id="936063789">
              <w:marLeft w:val="0"/>
              <w:marRight w:val="0"/>
              <w:marTop w:val="0"/>
              <w:marBottom w:val="0"/>
              <w:divBdr>
                <w:top w:val="none" w:sz="0" w:space="0" w:color="auto"/>
                <w:left w:val="none" w:sz="0" w:space="0" w:color="auto"/>
                <w:bottom w:val="none" w:sz="0" w:space="0" w:color="auto"/>
                <w:right w:val="none" w:sz="0" w:space="0" w:color="auto"/>
              </w:divBdr>
            </w:div>
            <w:div w:id="1533149499">
              <w:marLeft w:val="0"/>
              <w:marRight w:val="0"/>
              <w:marTop w:val="0"/>
              <w:marBottom w:val="0"/>
              <w:divBdr>
                <w:top w:val="none" w:sz="0" w:space="0" w:color="auto"/>
                <w:left w:val="none" w:sz="0" w:space="0" w:color="auto"/>
                <w:bottom w:val="none" w:sz="0" w:space="0" w:color="auto"/>
                <w:right w:val="none" w:sz="0" w:space="0" w:color="auto"/>
              </w:divBdr>
            </w:div>
            <w:div w:id="777020417">
              <w:marLeft w:val="0"/>
              <w:marRight w:val="0"/>
              <w:marTop w:val="0"/>
              <w:marBottom w:val="0"/>
              <w:divBdr>
                <w:top w:val="none" w:sz="0" w:space="0" w:color="auto"/>
                <w:left w:val="none" w:sz="0" w:space="0" w:color="auto"/>
                <w:bottom w:val="none" w:sz="0" w:space="0" w:color="auto"/>
                <w:right w:val="none" w:sz="0" w:space="0" w:color="auto"/>
              </w:divBdr>
            </w:div>
            <w:div w:id="780881357">
              <w:marLeft w:val="0"/>
              <w:marRight w:val="0"/>
              <w:marTop w:val="0"/>
              <w:marBottom w:val="0"/>
              <w:divBdr>
                <w:top w:val="none" w:sz="0" w:space="0" w:color="auto"/>
                <w:left w:val="none" w:sz="0" w:space="0" w:color="auto"/>
                <w:bottom w:val="none" w:sz="0" w:space="0" w:color="auto"/>
                <w:right w:val="none" w:sz="0" w:space="0" w:color="auto"/>
              </w:divBdr>
            </w:div>
            <w:div w:id="1548487948">
              <w:marLeft w:val="0"/>
              <w:marRight w:val="0"/>
              <w:marTop w:val="0"/>
              <w:marBottom w:val="0"/>
              <w:divBdr>
                <w:top w:val="none" w:sz="0" w:space="0" w:color="auto"/>
                <w:left w:val="none" w:sz="0" w:space="0" w:color="auto"/>
                <w:bottom w:val="none" w:sz="0" w:space="0" w:color="auto"/>
                <w:right w:val="none" w:sz="0" w:space="0" w:color="auto"/>
              </w:divBdr>
            </w:div>
            <w:div w:id="541598761">
              <w:marLeft w:val="0"/>
              <w:marRight w:val="0"/>
              <w:marTop w:val="0"/>
              <w:marBottom w:val="0"/>
              <w:divBdr>
                <w:top w:val="none" w:sz="0" w:space="0" w:color="auto"/>
                <w:left w:val="none" w:sz="0" w:space="0" w:color="auto"/>
                <w:bottom w:val="none" w:sz="0" w:space="0" w:color="auto"/>
                <w:right w:val="none" w:sz="0" w:space="0" w:color="auto"/>
              </w:divBdr>
            </w:div>
            <w:div w:id="1040320555">
              <w:marLeft w:val="0"/>
              <w:marRight w:val="0"/>
              <w:marTop w:val="0"/>
              <w:marBottom w:val="0"/>
              <w:divBdr>
                <w:top w:val="none" w:sz="0" w:space="0" w:color="auto"/>
                <w:left w:val="none" w:sz="0" w:space="0" w:color="auto"/>
                <w:bottom w:val="none" w:sz="0" w:space="0" w:color="auto"/>
                <w:right w:val="none" w:sz="0" w:space="0" w:color="auto"/>
              </w:divBdr>
            </w:div>
            <w:div w:id="1709793288">
              <w:marLeft w:val="0"/>
              <w:marRight w:val="0"/>
              <w:marTop w:val="0"/>
              <w:marBottom w:val="0"/>
              <w:divBdr>
                <w:top w:val="none" w:sz="0" w:space="0" w:color="auto"/>
                <w:left w:val="none" w:sz="0" w:space="0" w:color="auto"/>
                <w:bottom w:val="none" w:sz="0" w:space="0" w:color="auto"/>
                <w:right w:val="none" w:sz="0" w:space="0" w:color="auto"/>
              </w:divBdr>
            </w:div>
            <w:div w:id="796408428">
              <w:marLeft w:val="0"/>
              <w:marRight w:val="0"/>
              <w:marTop w:val="0"/>
              <w:marBottom w:val="0"/>
              <w:divBdr>
                <w:top w:val="none" w:sz="0" w:space="0" w:color="auto"/>
                <w:left w:val="none" w:sz="0" w:space="0" w:color="auto"/>
                <w:bottom w:val="none" w:sz="0" w:space="0" w:color="auto"/>
                <w:right w:val="none" w:sz="0" w:space="0" w:color="auto"/>
              </w:divBdr>
            </w:div>
            <w:div w:id="1804300576">
              <w:marLeft w:val="0"/>
              <w:marRight w:val="0"/>
              <w:marTop w:val="0"/>
              <w:marBottom w:val="0"/>
              <w:divBdr>
                <w:top w:val="none" w:sz="0" w:space="0" w:color="auto"/>
                <w:left w:val="none" w:sz="0" w:space="0" w:color="auto"/>
                <w:bottom w:val="none" w:sz="0" w:space="0" w:color="auto"/>
                <w:right w:val="none" w:sz="0" w:space="0" w:color="auto"/>
              </w:divBdr>
            </w:div>
            <w:div w:id="159665705">
              <w:marLeft w:val="0"/>
              <w:marRight w:val="0"/>
              <w:marTop w:val="0"/>
              <w:marBottom w:val="0"/>
              <w:divBdr>
                <w:top w:val="none" w:sz="0" w:space="0" w:color="auto"/>
                <w:left w:val="none" w:sz="0" w:space="0" w:color="auto"/>
                <w:bottom w:val="none" w:sz="0" w:space="0" w:color="auto"/>
                <w:right w:val="none" w:sz="0" w:space="0" w:color="auto"/>
              </w:divBdr>
            </w:div>
            <w:div w:id="275914909">
              <w:marLeft w:val="0"/>
              <w:marRight w:val="0"/>
              <w:marTop w:val="0"/>
              <w:marBottom w:val="0"/>
              <w:divBdr>
                <w:top w:val="none" w:sz="0" w:space="0" w:color="auto"/>
                <w:left w:val="none" w:sz="0" w:space="0" w:color="auto"/>
                <w:bottom w:val="none" w:sz="0" w:space="0" w:color="auto"/>
                <w:right w:val="none" w:sz="0" w:space="0" w:color="auto"/>
              </w:divBdr>
            </w:div>
            <w:div w:id="782382710">
              <w:marLeft w:val="0"/>
              <w:marRight w:val="0"/>
              <w:marTop w:val="0"/>
              <w:marBottom w:val="0"/>
              <w:divBdr>
                <w:top w:val="none" w:sz="0" w:space="0" w:color="auto"/>
                <w:left w:val="none" w:sz="0" w:space="0" w:color="auto"/>
                <w:bottom w:val="none" w:sz="0" w:space="0" w:color="auto"/>
                <w:right w:val="none" w:sz="0" w:space="0" w:color="auto"/>
              </w:divBdr>
            </w:div>
            <w:div w:id="1466504319">
              <w:marLeft w:val="0"/>
              <w:marRight w:val="0"/>
              <w:marTop w:val="0"/>
              <w:marBottom w:val="0"/>
              <w:divBdr>
                <w:top w:val="none" w:sz="0" w:space="0" w:color="auto"/>
                <w:left w:val="none" w:sz="0" w:space="0" w:color="auto"/>
                <w:bottom w:val="none" w:sz="0" w:space="0" w:color="auto"/>
                <w:right w:val="none" w:sz="0" w:space="0" w:color="auto"/>
              </w:divBdr>
            </w:div>
            <w:div w:id="1570841677">
              <w:marLeft w:val="0"/>
              <w:marRight w:val="0"/>
              <w:marTop w:val="0"/>
              <w:marBottom w:val="0"/>
              <w:divBdr>
                <w:top w:val="none" w:sz="0" w:space="0" w:color="auto"/>
                <w:left w:val="none" w:sz="0" w:space="0" w:color="auto"/>
                <w:bottom w:val="none" w:sz="0" w:space="0" w:color="auto"/>
                <w:right w:val="none" w:sz="0" w:space="0" w:color="auto"/>
              </w:divBdr>
            </w:div>
            <w:div w:id="1001350941">
              <w:marLeft w:val="0"/>
              <w:marRight w:val="0"/>
              <w:marTop w:val="0"/>
              <w:marBottom w:val="0"/>
              <w:divBdr>
                <w:top w:val="none" w:sz="0" w:space="0" w:color="auto"/>
                <w:left w:val="none" w:sz="0" w:space="0" w:color="auto"/>
                <w:bottom w:val="none" w:sz="0" w:space="0" w:color="auto"/>
                <w:right w:val="none" w:sz="0" w:space="0" w:color="auto"/>
              </w:divBdr>
            </w:div>
            <w:div w:id="2061980843">
              <w:marLeft w:val="0"/>
              <w:marRight w:val="0"/>
              <w:marTop w:val="0"/>
              <w:marBottom w:val="0"/>
              <w:divBdr>
                <w:top w:val="none" w:sz="0" w:space="0" w:color="auto"/>
                <w:left w:val="none" w:sz="0" w:space="0" w:color="auto"/>
                <w:bottom w:val="none" w:sz="0" w:space="0" w:color="auto"/>
                <w:right w:val="none" w:sz="0" w:space="0" w:color="auto"/>
              </w:divBdr>
            </w:div>
            <w:div w:id="1337809610">
              <w:marLeft w:val="0"/>
              <w:marRight w:val="0"/>
              <w:marTop w:val="0"/>
              <w:marBottom w:val="0"/>
              <w:divBdr>
                <w:top w:val="none" w:sz="0" w:space="0" w:color="auto"/>
                <w:left w:val="none" w:sz="0" w:space="0" w:color="auto"/>
                <w:bottom w:val="none" w:sz="0" w:space="0" w:color="auto"/>
                <w:right w:val="none" w:sz="0" w:space="0" w:color="auto"/>
              </w:divBdr>
            </w:div>
            <w:div w:id="665593542">
              <w:marLeft w:val="0"/>
              <w:marRight w:val="0"/>
              <w:marTop w:val="0"/>
              <w:marBottom w:val="0"/>
              <w:divBdr>
                <w:top w:val="none" w:sz="0" w:space="0" w:color="auto"/>
                <w:left w:val="none" w:sz="0" w:space="0" w:color="auto"/>
                <w:bottom w:val="none" w:sz="0" w:space="0" w:color="auto"/>
                <w:right w:val="none" w:sz="0" w:space="0" w:color="auto"/>
              </w:divBdr>
            </w:div>
            <w:div w:id="2142771987">
              <w:marLeft w:val="0"/>
              <w:marRight w:val="0"/>
              <w:marTop w:val="0"/>
              <w:marBottom w:val="0"/>
              <w:divBdr>
                <w:top w:val="none" w:sz="0" w:space="0" w:color="auto"/>
                <w:left w:val="none" w:sz="0" w:space="0" w:color="auto"/>
                <w:bottom w:val="none" w:sz="0" w:space="0" w:color="auto"/>
                <w:right w:val="none" w:sz="0" w:space="0" w:color="auto"/>
              </w:divBdr>
            </w:div>
            <w:div w:id="1038313418">
              <w:marLeft w:val="0"/>
              <w:marRight w:val="0"/>
              <w:marTop w:val="0"/>
              <w:marBottom w:val="0"/>
              <w:divBdr>
                <w:top w:val="none" w:sz="0" w:space="0" w:color="auto"/>
                <w:left w:val="none" w:sz="0" w:space="0" w:color="auto"/>
                <w:bottom w:val="none" w:sz="0" w:space="0" w:color="auto"/>
                <w:right w:val="none" w:sz="0" w:space="0" w:color="auto"/>
              </w:divBdr>
            </w:div>
            <w:div w:id="1472594721">
              <w:marLeft w:val="0"/>
              <w:marRight w:val="0"/>
              <w:marTop w:val="0"/>
              <w:marBottom w:val="0"/>
              <w:divBdr>
                <w:top w:val="none" w:sz="0" w:space="0" w:color="auto"/>
                <w:left w:val="none" w:sz="0" w:space="0" w:color="auto"/>
                <w:bottom w:val="none" w:sz="0" w:space="0" w:color="auto"/>
                <w:right w:val="none" w:sz="0" w:space="0" w:color="auto"/>
              </w:divBdr>
            </w:div>
            <w:div w:id="573899775">
              <w:marLeft w:val="0"/>
              <w:marRight w:val="0"/>
              <w:marTop w:val="0"/>
              <w:marBottom w:val="0"/>
              <w:divBdr>
                <w:top w:val="none" w:sz="0" w:space="0" w:color="auto"/>
                <w:left w:val="none" w:sz="0" w:space="0" w:color="auto"/>
                <w:bottom w:val="none" w:sz="0" w:space="0" w:color="auto"/>
                <w:right w:val="none" w:sz="0" w:space="0" w:color="auto"/>
              </w:divBdr>
            </w:div>
            <w:div w:id="1607542547">
              <w:marLeft w:val="0"/>
              <w:marRight w:val="0"/>
              <w:marTop w:val="0"/>
              <w:marBottom w:val="0"/>
              <w:divBdr>
                <w:top w:val="none" w:sz="0" w:space="0" w:color="auto"/>
                <w:left w:val="none" w:sz="0" w:space="0" w:color="auto"/>
                <w:bottom w:val="none" w:sz="0" w:space="0" w:color="auto"/>
                <w:right w:val="none" w:sz="0" w:space="0" w:color="auto"/>
              </w:divBdr>
            </w:div>
            <w:div w:id="676538222">
              <w:marLeft w:val="0"/>
              <w:marRight w:val="0"/>
              <w:marTop w:val="0"/>
              <w:marBottom w:val="0"/>
              <w:divBdr>
                <w:top w:val="none" w:sz="0" w:space="0" w:color="auto"/>
                <w:left w:val="none" w:sz="0" w:space="0" w:color="auto"/>
                <w:bottom w:val="none" w:sz="0" w:space="0" w:color="auto"/>
                <w:right w:val="none" w:sz="0" w:space="0" w:color="auto"/>
              </w:divBdr>
            </w:div>
            <w:div w:id="1213661536">
              <w:marLeft w:val="0"/>
              <w:marRight w:val="0"/>
              <w:marTop w:val="0"/>
              <w:marBottom w:val="0"/>
              <w:divBdr>
                <w:top w:val="none" w:sz="0" w:space="0" w:color="auto"/>
                <w:left w:val="none" w:sz="0" w:space="0" w:color="auto"/>
                <w:bottom w:val="none" w:sz="0" w:space="0" w:color="auto"/>
                <w:right w:val="none" w:sz="0" w:space="0" w:color="auto"/>
              </w:divBdr>
            </w:div>
            <w:div w:id="1527719393">
              <w:marLeft w:val="0"/>
              <w:marRight w:val="0"/>
              <w:marTop w:val="0"/>
              <w:marBottom w:val="0"/>
              <w:divBdr>
                <w:top w:val="none" w:sz="0" w:space="0" w:color="auto"/>
                <w:left w:val="none" w:sz="0" w:space="0" w:color="auto"/>
                <w:bottom w:val="none" w:sz="0" w:space="0" w:color="auto"/>
                <w:right w:val="none" w:sz="0" w:space="0" w:color="auto"/>
              </w:divBdr>
            </w:div>
            <w:div w:id="1032728876">
              <w:marLeft w:val="0"/>
              <w:marRight w:val="0"/>
              <w:marTop w:val="0"/>
              <w:marBottom w:val="0"/>
              <w:divBdr>
                <w:top w:val="none" w:sz="0" w:space="0" w:color="auto"/>
                <w:left w:val="none" w:sz="0" w:space="0" w:color="auto"/>
                <w:bottom w:val="none" w:sz="0" w:space="0" w:color="auto"/>
                <w:right w:val="none" w:sz="0" w:space="0" w:color="auto"/>
              </w:divBdr>
            </w:div>
            <w:div w:id="2059625638">
              <w:marLeft w:val="0"/>
              <w:marRight w:val="0"/>
              <w:marTop w:val="0"/>
              <w:marBottom w:val="0"/>
              <w:divBdr>
                <w:top w:val="none" w:sz="0" w:space="0" w:color="auto"/>
                <w:left w:val="none" w:sz="0" w:space="0" w:color="auto"/>
                <w:bottom w:val="none" w:sz="0" w:space="0" w:color="auto"/>
                <w:right w:val="none" w:sz="0" w:space="0" w:color="auto"/>
              </w:divBdr>
            </w:div>
            <w:div w:id="1256085683">
              <w:marLeft w:val="0"/>
              <w:marRight w:val="0"/>
              <w:marTop w:val="0"/>
              <w:marBottom w:val="0"/>
              <w:divBdr>
                <w:top w:val="none" w:sz="0" w:space="0" w:color="auto"/>
                <w:left w:val="none" w:sz="0" w:space="0" w:color="auto"/>
                <w:bottom w:val="none" w:sz="0" w:space="0" w:color="auto"/>
                <w:right w:val="none" w:sz="0" w:space="0" w:color="auto"/>
              </w:divBdr>
            </w:div>
            <w:div w:id="1871263023">
              <w:marLeft w:val="0"/>
              <w:marRight w:val="0"/>
              <w:marTop w:val="0"/>
              <w:marBottom w:val="0"/>
              <w:divBdr>
                <w:top w:val="none" w:sz="0" w:space="0" w:color="auto"/>
                <w:left w:val="none" w:sz="0" w:space="0" w:color="auto"/>
                <w:bottom w:val="none" w:sz="0" w:space="0" w:color="auto"/>
                <w:right w:val="none" w:sz="0" w:space="0" w:color="auto"/>
              </w:divBdr>
            </w:div>
            <w:div w:id="1972978148">
              <w:marLeft w:val="0"/>
              <w:marRight w:val="0"/>
              <w:marTop w:val="0"/>
              <w:marBottom w:val="0"/>
              <w:divBdr>
                <w:top w:val="none" w:sz="0" w:space="0" w:color="auto"/>
                <w:left w:val="none" w:sz="0" w:space="0" w:color="auto"/>
                <w:bottom w:val="none" w:sz="0" w:space="0" w:color="auto"/>
                <w:right w:val="none" w:sz="0" w:space="0" w:color="auto"/>
              </w:divBdr>
            </w:div>
            <w:div w:id="1832091273">
              <w:marLeft w:val="0"/>
              <w:marRight w:val="0"/>
              <w:marTop w:val="0"/>
              <w:marBottom w:val="0"/>
              <w:divBdr>
                <w:top w:val="none" w:sz="0" w:space="0" w:color="auto"/>
                <w:left w:val="none" w:sz="0" w:space="0" w:color="auto"/>
                <w:bottom w:val="none" w:sz="0" w:space="0" w:color="auto"/>
                <w:right w:val="none" w:sz="0" w:space="0" w:color="auto"/>
              </w:divBdr>
            </w:div>
            <w:div w:id="1968006779">
              <w:marLeft w:val="0"/>
              <w:marRight w:val="0"/>
              <w:marTop w:val="0"/>
              <w:marBottom w:val="0"/>
              <w:divBdr>
                <w:top w:val="none" w:sz="0" w:space="0" w:color="auto"/>
                <w:left w:val="none" w:sz="0" w:space="0" w:color="auto"/>
                <w:bottom w:val="none" w:sz="0" w:space="0" w:color="auto"/>
                <w:right w:val="none" w:sz="0" w:space="0" w:color="auto"/>
              </w:divBdr>
            </w:div>
            <w:div w:id="499934175">
              <w:marLeft w:val="0"/>
              <w:marRight w:val="0"/>
              <w:marTop w:val="0"/>
              <w:marBottom w:val="0"/>
              <w:divBdr>
                <w:top w:val="none" w:sz="0" w:space="0" w:color="auto"/>
                <w:left w:val="none" w:sz="0" w:space="0" w:color="auto"/>
                <w:bottom w:val="none" w:sz="0" w:space="0" w:color="auto"/>
                <w:right w:val="none" w:sz="0" w:space="0" w:color="auto"/>
              </w:divBdr>
            </w:div>
            <w:div w:id="1976904828">
              <w:marLeft w:val="0"/>
              <w:marRight w:val="0"/>
              <w:marTop w:val="0"/>
              <w:marBottom w:val="0"/>
              <w:divBdr>
                <w:top w:val="none" w:sz="0" w:space="0" w:color="auto"/>
                <w:left w:val="none" w:sz="0" w:space="0" w:color="auto"/>
                <w:bottom w:val="none" w:sz="0" w:space="0" w:color="auto"/>
                <w:right w:val="none" w:sz="0" w:space="0" w:color="auto"/>
              </w:divBdr>
            </w:div>
            <w:div w:id="426467504">
              <w:marLeft w:val="0"/>
              <w:marRight w:val="0"/>
              <w:marTop w:val="0"/>
              <w:marBottom w:val="0"/>
              <w:divBdr>
                <w:top w:val="none" w:sz="0" w:space="0" w:color="auto"/>
                <w:left w:val="none" w:sz="0" w:space="0" w:color="auto"/>
                <w:bottom w:val="none" w:sz="0" w:space="0" w:color="auto"/>
                <w:right w:val="none" w:sz="0" w:space="0" w:color="auto"/>
              </w:divBdr>
            </w:div>
            <w:div w:id="1547984884">
              <w:marLeft w:val="0"/>
              <w:marRight w:val="0"/>
              <w:marTop w:val="0"/>
              <w:marBottom w:val="0"/>
              <w:divBdr>
                <w:top w:val="none" w:sz="0" w:space="0" w:color="auto"/>
                <w:left w:val="none" w:sz="0" w:space="0" w:color="auto"/>
                <w:bottom w:val="none" w:sz="0" w:space="0" w:color="auto"/>
                <w:right w:val="none" w:sz="0" w:space="0" w:color="auto"/>
              </w:divBdr>
            </w:div>
            <w:div w:id="1204056334">
              <w:marLeft w:val="0"/>
              <w:marRight w:val="0"/>
              <w:marTop w:val="0"/>
              <w:marBottom w:val="0"/>
              <w:divBdr>
                <w:top w:val="none" w:sz="0" w:space="0" w:color="auto"/>
                <w:left w:val="none" w:sz="0" w:space="0" w:color="auto"/>
                <w:bottom w:val="none" w:sz="0" w:space="0" w:color="auto"/>
                <w:right w:val="none" w:sz="0" w:space="0" w:color="auto"/>
              </w:divBdr>
            </w:div>
            <w:div w:id="1400590454">
              <w:marLeft w:val="0"/>
              <w:marRight w:val="0"/>
              <w:marTop w:val="0"/>
              <w:marBottom w:val="0"/>
              <w:divBdr>
                <w:top w:val="none" w:sz="0" w:space="0" w:color="auto"/>
                <w:left w:val="none" w:sz="0" w:space="0" w:color="auto"/>
                <w:bottom w:val="none" w:sz="0" w:space="0" w:color="auto"/>
                <w:right w:val="none" w:sz="0" w:space="0" w:color="auto"/>
              </w:divBdr>
            </w:div>
            <w:div w:id="1290893212">
              <w:marLeft w:val="0"/>
              <w:marRight w:val="0"/>
              <w:marTop w:val="0"/>
              <w:marBottom w:val="0"/>
              <w:divBdr>
                <w:top w:val="none" w:sz="0" w:space="0" w:color="auto"/>
                <w:left w:val="none" w:sz="0" w:space="0" w:color="auto"/>
                <w:bottom w:val="none" w:sz="0" w:space="0" w:color="auto"/>
                <w:right w:val="none" w:sz="0" w:space="0" w:color="auto"/>
              </w:divBdr>
            </w:div>
            <w:div w:id="1348751645">
              <w:marLeft w:val="0"/>
              <w:marRight w:val="0"/>
              <w:marTop w:val="0"/>
              <w:marBottom w:val="0"/>
              <w:divBdr>
                <w:top w:val="none" w:sz="0" w:space="0" w:color="auto"/>
                <w:left w:val="none" w:sz="0" w:space="0" w:color="auto"/>
                <w:bottom w:val="none" w:sz="0" w:space="0" w:color="auto"/>
                <w:right w:val="none" w:sz="0" w:space="0" w:color="auto"/>
              </w:divBdr>
            </w:div>
            <w:div w:id="1521041633">
              <w:marLeft w:val="0"/>
              <w:marRight w:val="0"/>
              <w:marTop w:val="0"/>
              <w:marBottom w:val="0"/>
              <w:divBdr>
                <w:top w:val="none" w:sz="0" w:space="0" w:color="auto"/>
                <w:left w:val="none" w:sz="0" w:space="0" w:color="auto"/>
                <w:bottom w:val="none" w:sz="0" w:space="0" w:color="auto"/>
                <w:right w:val="none" w:sz="0" w:space="0" w:color="auto"/>
              </w:divBdr>
            </w:div>
            <w:div w:id="66538609">
              <w:marLeft w:val="0"/>
              <w:marRight w:val="0"/>
              <w:marTop w:val="0"/>
              <w:marBottom w:val="0"/>
              <w:divBdr>
                <w:top w:val="none" w:sz="0" w:space="0" w:color="auto"/>
                <w:left w:val="none" w:sz="0" w:space="0" w:color="auto"/>
                <w:bottom w:val="none" w:sz="0" w:space="0" w:color="auto"/>
                <w:right w:val="none" w:sz="0" w:space="0" w:color="auto"/>
              </w:divBdr>
            </w:div>
            <w:div w:id="395054695">
              <w:marLeft w:val="0"/>
              <w:marRight w:val="0"/>
              <w:marTop w:val="0"/>
              <w:marBottom w:val="0"/>
              <w:divBdr>
                <w:top w:val="none" w:sz="0" w:space="0" w:color="auto"/>
                <w:left w:val="none" w:sz="0" w:space="0" w:color="auto"/>
                <w:bottom w:val="none" w:sz="0" w:space="0" w:color="auto"/>
                <w:right w:val="none" w:sz="0" w:space="0" w:color="auto"/>
              </w:divBdr>
            </w:div>
            <w:div w:id="525102542">
              <w:marLeft w:val="0"/>
              <w:marRight w:val="0"/>
              <w:marTop w:val="0"/>
              <w:marBottom w:val="0"/>
              <w:divBdr>
                <w:top w:val="none" w:sz="0" w:space="0" w:color="auto"/>
                <w:left w:val="none" w:sz="0" w:space="0" w:color="auto"/>
                <w:bottom w:val="none" w:sz="0" w:space="0" w:color="auto"/>
                <w:right w:val="none" w:sz="0" w:space="0" w:color="auto"/>
              </w:divBdr>
            </w:div>
            <w:div w:id="831876214">
              <w:marLeft w:val="0"/>
              <w:marRight w:val="0"/>
              <w:marTop w:val="0"/>
              <w:marBottom w:val="0"/>
              <w:divBdr>
                <w:top w:val="none" w:sz="0" w:space="0" w:color="auto"/>
                <w:left w:val="none" w:sz="0" w:space="0" w:color="auto"/>
                <w:bottom w:val="none" w:sz="0" w:space="0" w:color="auto"/>
                <w:right w:val="none" w:sz="0" w:space="0" w:color="auto"/>
              </w:divBdr>
            </w:div>
            <w:div w:id="546532630">
              <w:marLeft w:val="0"/>
              <w:marRight w:val="0"/>
              <w:marTop w:val="0"/>
              <w:marBottom w:val="0"/>
              <w:divBdr>
                <w:top w:val="none" w:sz="0" w:space="0" w:color="auto"/>
                <w:left w:val="none" w:sz="0" w:space="0" w:color="auto"/>
                <w:bottom w:val="none" w:sz="0" w:space="0" w:color="auto"/>
                <w:right w:val="none" w:sz="0" w:space="0" w:color="auto"/>
              </w:divBdr>
            </w:div>
            <w:div w:id="83304782">
              <w:marLeft w:val="0"/>
              <w:marRight w:val="0"/>
              <w:marTop w:val="0"/>
              <w:marBottom w:val="0"/>
              <w:divBdr>
                <w:top w:val="none" w:sz="0" w:space="0" w:color="auto"/>
                <w:left w:val="none" w:sz="0" w:space="0" w:color="auto"/>
                <w:bottom w:val="none" w:sz="0" w:space="0" w:color="auto"/>
                <w:right w:val="none" w:sz="0" w:space="0" w:color="auto"/>
              </w:divBdr>
            </w:div>
            <w:div w:id="783883798">
              <w:marLeft w:val="0"/>
              <w:marRight w:val="0"/>
              <w:marTop w:val="0"/>
              <w:marBottom w:val="0"/>
              <w:divBdr>
                <w:top w:val="none" w:sz="0" w:space="0" w:color="auto"/>
                <w:left w:val="none" w:sz="0" w:space="0" w:color="auto"/>
                <w:bottom w:val="none" w:sz="0" w:space="0" w:color="auto"/>
                <w:right w:val="none" w:sz="0" w:space="0" w:color="auto"/>
              </w:divBdr>
            </w:div>
            <w:div w:id="1379430118">
              <w:marLeft w:val="0"/>
              <w:marRight w:val="0"/>
              <w:marTop w:val="0"/>
              <w:marBottom w:val="0"/>
              <w:divBdr>
                <w:top w:val="none" w:sz="0" w:space="0" w:color="auto"/>
                <w:left w:val="none" w:sz="0" w:space="0" w:color="auto"/>
                <w:bottom w:val="none" w:sz="0" w:space="0" w:color="auto"/>
                <w:right w:val="none" w:sz="0" w:space="0" w:color="auto"/>
              </w:divBdr>
            </w:div>
            <w:div w:id="373962810">
              <w:marLeft w:val="0"/>
              <w:marRight w:val="0"/>
              <w:marTop w:val="0"/>
              <w:marBottom w:val="0"/>
              <w:divBdr>
                <w:top w:val="none" w:sz="0" w:space="0" w:color="auto"/>
                <w:left w:val="none" w:sz="0" w:space="0" w:color="auto"/>
                <w:bottom w:val="none" w:sz="0" w:space="0" w:color="auto"/>
                <w:right w:val="none" w:sz="0" w:space="0" w:color="auto"/>
              </w:divBdr>
            </w:div>
            <w:div w:id="737095734">
              <w:marLeft w:val="0"/>
              <w:marRight w:val="0"/>
              <w:marTop w:val="0"/>
              <w:marBottom w:val="0"/>
              <w:divBdr>
                <w:top w:val="none" w:sz="0" w:space="0" w:color="auto"/>
                <w:left w:val="none" w:sz="0" w:space="0" w:color="auto"/>
                <w:bottom w:val="none" w:sz="0" w:space="0" w:color="auto"/>
                <w:right w:val="none" w:sz="0" w:space="0" w:color="auto"/>
              </w:divBdr>
            </w:div>
            <w:div w:id="303244821">
              <w:marLeft w:val="0"/>
              <w:marRight w:val="0"/>
              <w:marTop w:val="0"/>
              <w:marBottom w:val="0"/>
              <w:divBdr>
                <w:top w:val="none" w:sz="0" w:space="0" w:color="auto"/>
                <w:left w:val="none" w:sz="0" w:space="0" w:color="auto"/>
                <w:bottom w:val="none" w:sz="0" w:space="0" w:color="auto"/>
                <w:right w:val="none" w:sz="0" w:space="0" w:color="auto"/>
              </w:divBdr>
            </w:div>
            <w:div w:id="381754411">
              <w:marLeft w:val="0"/>
              <w:marRight w:val="0"/>
              <w:marTop w:val="0"/>
              <w:marBottom w:val="0"/>
              <w:divBdr>
                <w:top w:val="none" w:sz="0" w:space="0" w:color="auto"/>
                <w:left w:val="none" w:sz="0" w:space="0" w:color="auto"/>
                <w:bottom w:val="none" w:sz="0" w:space="0" w:color="auto"/>
                <w:right w:val="none" w:sz="0" w:space="0" w:color="auto"/>
              </w:divBdr>
            </w:div>
            <w:div w:id="996155621">
              <w:marLeft w:val="0"/>
              <w:marRight w:val="0"/>
              <w:marTop w:val="0"/>
              <w:marBottom w:val="0"/>
              <w:divBdr>
                <w:top w:val="none" w:sz="0" w:space="0" w:color="auto"/>
                <w:left w:val="none" w:sz="0" w:space="0" w:color="auto"/>
                <w:bottom w:val="none" w:sz="0" w:space="0" w:color="auto"/>
                <w:right w:val="none" w:sz="0" w:space="0" w:color="auto"/>
              </w:divBdr>
            </w:div>
            <w:div w:id="51583404">
              <w:marLeft w:val="0"/>
              <w:marRight w:val="0"/>
              <w:marTop w:val="0"/>
              <w:marBottom w:val="0"/>
              <w:divBdr>
                <w:top w:val="none" w:sz="0" w:space="0" w:color="auto"/>
                <w:left w:val="none" w:sz="0" w:space="0" w:color="auto"/>
                <w:bottom w:val="none" w:sz="0" w:space="0" w:color="auto"/>
                <w:right w:val="none" w:sz="0" w:space="0" w:color="auto"/>
              </w:divBdr>
            </w:div>
            <w:div w:id="1658269264">
              <w:marLeft w:val="0"/>
              <w:marRight w:val="0"/>
              <w:marTop w:val="0"/>
              <w:marBottom w:val="0"/>
              <w:divBdr>
                <w:top w:val="none" w:sz="0" w:space="0" w:color="auto"/>
                <w:left w:val="none" w:sz="0" w:space="0" w:color="auto"/>
                <w:bottom w:val="none" w:sz="0" w:space="0" w:color="auto"/>
                <w:right w:val="none" w:sz="0" w:space="0" w:color="auto"/>
              </w:divBdr>
            </w:div>
            <w:div w:id="1062558119">
              <w:marLeft w:val="0"/>
              <w:marRight w:val="0"/>
              <w:marTop w:val="0"/>
              <w:marBottom w:val="0"/>
              <w:divBdr>
                <w:top w:val="none" w:sz="0" w:space="0" w:color="auto"/>
                <w:left w:val="none" w:sz="0" w:space="0" w:color="auto"/>
                <w:bottom w:val="none" w:sz="0" w:space="0" w:color="auto"/>
                <w:right w:val="none" w:sz="0" w:space="0" w:color="auto"/>
              </w:divBdr>
            </w:div>
            <w:div w:id="260603777">
              <w:marLeft w:val="0"/>
              <w:marRight w:val="0"/>
              <w:marTop w:val="0"/>
              <w:marBottom w:val="0"/>
              <w:divBdr>
                <w:top w:val="none" w:sz="0" w:space="0" w:color="auto"/>
                <w:left w:val="none" w:sz="0" w:space="0" w:color="auto"/>
                <w:bottom w:val="none" w:sz="0" w:space="0" w:color="auto"/>
                <w:right w:val="none" w:sz="0" w:space="0" w:color="auto"/>
              </w:divBdr>
            </w:div>
            <w:div w:id="554514766">
              <w:marLeft w:val="0"/>
              <w:marRight w:val="0"/>
              <w:marTop w:val="0"/>
              <w:marBottom w:val="0"/>
              <w:divBdr>
                <w:top w:val="none" w:sz="0" w:space="0" w:color="auto"/>
                <w:left w:val="none" w:sz="0" w:space="0" w:color="auto"/>
                <w:bottom w:val="none" w:sz="0" w:space="0" w:color="auto"/>
                <w:right w:val="none" w:sz="0" w:space="0" w:color="auto"/>
              </w:divBdr>
            </w:div>
            <w:div w:id="2084863438">
              <w:marLeft w:val="0"/>
              <w:marRight w:val="0"/>
              <w:marTop w:val="0"/>
              <w:marBottom w:val="0"/>
              <w:divBdr>
                <w:top w:val="none" w:sz="0" w:space="0" w:color="auto"/>
                <w:left w:val="none" w:sz="0" w:space="0" w:color="auto"/>
                <w:bottom w:val="none" w:sz="0" w:space="0" w:color="auto"/>
                <w:right w:val="none" w:sz="0" w:space="0" w:color="auto"/>
              </w:divBdr>
            </w:div>
            <w:div w:id="2110079619">
              <w:marLeft w:val="0"/>
              <w:marRight w:val="0"/>
              <w:marTop w:val="0"/>
              <w:marBottom w:val="0"/>
              <w:divBdr>
                <w:top w:val="none" w:sz="0" w:space="0" w:color="auto"/>
                <w:left w:val="none" w:sz="0" w:space="0" w:color="auto"/>
                <w:bottom w:val="none" w:sz="0" w:space="0" w:color="auto"/>
                <w:right w:val="none" w:sz="0" w:space="0" w:color="auto"/>
              </w:divBdr>
            </w:div>
            <w:div w:id="1079908767">
              <w:marLeft w:val="0"/>
              <w:marRight w:val="0"/>
              <w:marTop w:val="0"/>
              <w:marBottom w:val="0"/>
              <w:divBdr>
                <w:top w:val="none" w:sz="0" w:space="0" w:color="auto"/>
                <w:left w:val="none" w:sz="0" w:space="0" w:color="auto"/>
                <w:bottom w:val="none" w:sz="0" w:space="0" w:color="auto"/>
                <w:right w:val="none" w:sz="0" w:space="0" w:color="auto"/>
              </w:divBdr>
            </w:div>
            <w:div w:id="1932011773">
              <w:marLeft w:val="0"/>
              <w:marRight w:val="0"/>
              <w:marTop w:val="0"/>
              <w:marBottom w:val="0"/>
              <w:divBdr>
                <w:top w:val="none" w:sz="0" w:space="0" w:color="auto"/>
                <w:left w:val="none" w:sz="0" w:space="0" w:color="auto"/>
                <w:bottom w:val="none" w:sz="0" w:space="0" w:color="auto"/>
                <w:right w:val="none" w:sz="0" w:space="0" w:color="auto"/>
              </w:divBdr>
            </w:div>
            <w:div w:id="377826831">
              <w:marLeft w:val="0"/>
              <w:marRight w:val="0"/>
              <w:marTop w:val="0"/>
              <w:marBottom w:val="0"/>
              <w:divBdr>
                <w:top w:val="none" w:sz="0" w:space="0" w:color="auto"/>
                <w:left w:val="none" w:sz="0" w:space="0" w:color="auto"/>
                <w:bottom w:val="none" w:sz="0" w:space="0" w:color="auto"/>
                <w:right w:val="none" w:sz="0" w:space="0" w:color="auto"/>
              </w:divBdr>
            </w:div>
            <w:div w:id="2013410252">
              <w:marLeft w:val="0"/>
              <w:marRight w:val="0"/>
              <w:marTop w:val="0"/>
              <w:marBottom w:val="0"/>
              <w:divBdr>
                <w:top w:val="none" w:sz="0" w:space="0" w:color="auto"/>
                <w:left w:val="none" w:sz="0" w:space="0" w:color="auto"/>
                <w:bottom w:val="none" w:sz="0" w:space="0" w:color="auto"/>
                <w:right w:val="none" w:sz="0" w:space="0" w:color="auto"/>
              </w:divBdr>
            </w:div>
            <w:div w:id="883520619">
              <w:marLeft w:val="0"/>
              <w:marRight w:val="0"/>
              <w:marTop w:val="0"/>
              <w:marBottom w:val="0"/>
              <w:divBdr>
                <w:top w:val="none" w:sz="0" w:space="0" w:color="auto"/>
                <w:left w:val="none" w:sz="0" w:space="0" w:color="auto"/>
                <w:bottom w:val="none" w:sz="0" w:space="0" w:color="auto"/>
                <w:right w:val="none" w:sz="0" w:space="0" w:color="auto"/>
              </w:divBdr>
            </w:div>
            <w:div w:id="1629361461">
              <w:marLeft w:val="0"/>
              <w:marRight w:val="0"/>
              <w:marTop w:val="0"/>
              <w:marBottom w:val="0"/>
              <w:divBdr>
                <w:top w:val="none" w:sz="0" w:space="0" w:color="auto"/>
                <w:left w:val="none" w:sz="0" w:space="0" w:color="auto"/>
                <w:bottom w:val="none" w:sz="0" w:space="0" w:color="auto"/>
                <w:right w:val="none" w:sz="0" w:space="0" w:color="auto"/>
              </w:divBdr>
            </w:div>
            <w:div w:id="369034701">
              <w:marLeft w:val="0"/>
              <w:marRight w:val="0"/>
              <w:marTop w:val="0"/>
              <w:marBottom w:val="0"/>
              <w:divBdr>
                <w:top w:val="none" w:sz="0" w:space="0" w:color="auto"/>
                <w:left w:val="none" w:sz="0" w:space="0" w:color="auto"/>
                <w:bottom w:val="none" w:sz="0" w:space="0" w:color="auto"/>
                <w:right w:val="none" w:sz="0" w:space="0" w:color="auto"/>
              </w:divBdr>
            </w:div>
            <w:div w:id="60638345">
              <w:marLeft w:val="0"/>
              <w:marRight w:val="0"/>
              <w:marTop w:val="0"/>
              <w:marBottom w:val="0"/>
              <w:divBdr>
                <w:top w:val="none" w:sz="0" w:space="0" w:color="auto"/>
                <w:left w:val="none" w:sz="0" w:space="0" w:color="auto"/>
                <w:bottom w:val="none" w:sz="0" w:space="0" w:color="auto"/>
                <w:right w:val="none" w:sz="0" w:space="0" w:color="auto"/>
              </w:divBdr>
            </w:div>
            <w:div w:id="1284925551">
              <w:marLeft w:val="0"/>
              <w:marRight w:val="0"/>
              <w:marTop w:val="0"/>
              <w:marBottom w:val="0"/>
              <w:divBdr>
                <w:top w:val="none" w:sz="0" w:space="0" w:color="auto"/>
                <w:left w:val="none" w:sz="0" w:space="0" w:color="auto"/>
                <w:bottom w:val="none" w:sz="0" w:space="0" w:color="auto"/>
                <w:right w:val="none" w:sz="0" w:space="0" w:color="auto"/>
              </w:divBdr>
            </w:div>
            <w:div w:id="171264387">
              <w:marLeft w:val="0"/>
              <w:marRight w:val="0"/>
              <w:marTop w:val="0"/>
              <w:marBottom w:val="0"/>
              <w:divBdr>
                <w:top w:val="none" w:sz="0" w:space="0" w:color="auto"/>
                <w:left w:val="none" w:sz="0" w:space="0" w:color="auto"/>
                <w:bottom w:val="none" w:sz="0" w:space="0" w:color="auto"/>
                <w:right w:val="none" w:sz="0" w:space="0" w:color="auto"/>
              </w:divBdr>
            </w:div>
            <w:div w:id="1073967065">
              <w:marLeft w:val="0"/>
              <w:marRight w:val="0"/>
              <w:marTop w:val="0"/>
              <w:marBottom w:val="0"/>
              <w:divBdr>
                <w:top w:val="none" w:sz="0" w:space="0" w:color="auto"/>
                <w:left w:val="none" w:sz="0" w:space="0" w:color="auto"/>
                <w:bottom w:val="none" w:sz="0" w:space="0" w:color="auto"/>
                <w:right w:val="none" w:sz="0" w:space="0" w:color="auto"/>
              </w:divBdr>
            </w:div>
            <w:div w:id="2063401596">
              <w:marLeft w:val="0"/>
              <w:marRight w:val="0"/>
              <w:marTop w:val="0"/>
              <w:marBottom w:val="0"/>
              <w:divBdr>
                <w:top w:val="none" w:sz="0" w:space="0" w:color="auto"/>
                <w:left w:val="none" w:sz="0" w:space="0" w:color="auto"/>
                <w:bottom w:val="none" w:sz="0" w:space="0" w:color="auto"/>
                <w:right w:val="none" w:sz="0" w:space="0" w:color="auto"/>
              </w:divBdr>
            </w:div>
            <w:div w:id="1355300616">
              <w:marLeft w:val="0"/>
              <w:marRight w:val="0"/>
              <w:marTop w:val="0"/>
              <w:marBottom w:val="0"/>
              <w:divBdr>
                <w:top w:val="none" w:sz="0" w:space="0" w:color="auto"/>
                <w:left w:val="none" w:sz="0" w:space="0" w:color="auto"/>
                <w:bottom w:val="none" w:sz="0" w:space="0" w:color="auto"/>
                <w:right w:val="none" w:sz="0" w:space="0" w:color="auto"/>
              </w:divBdr>
            </w:div>
            <w:div w:id="859398661">
              <w:marLeft w:val="0"/>
              <w:marRight w:val="0"/>
              <w:marTop w:val="0"/>
              <w:marBottom w:val="0"/>
              <w:divBdr>
                <w:top w:val="none" w:sz="0" w:space="0" w:color="auto"/>
                <w:left w:val="none" w:sz="0" w:space="0" w:color="auto"/>
                <w:bottom w:val="none" w:sz="0" w:space="0" w:color="auto"/>
                <w:right w:val="none" w:sz="0" w:space="0" w:color="auto"/>
              </w:divBdr>
            </w:div>
            <w:div w:id="1969821489">
              <w:marLeft w:val="0"/>
              <w:marRight w:val="0"/>
              <w:marTop w:val="0"/>
              <w:marBottom w:val="0"/>
              <w:divBdr>
                <w:top w:val="none" w:sz="0" w:space="0" w:color="auto"/>
                <w:left w:val="none" w:sz="0" w:space="0" w:color="auto"/>
                <w:bottom w:val="none" w:sz="0" w:space="0" w:color="auto"/>
                <w:right w:val="none" w:sz="0" w:space="0" w:color="auto"/>
              </w:divBdr>
            </w:div>
            <w:div w:id="978074492">
              <w:marLeft w:val="0"/>
              <w:marRight w:val="0"/>
              <w:marTop w:val="0"/>
              <w:marBottom w:val="0"/>
              <w:divBdr>
                <w:top w:val="none" w:sz="0" w:space="0" w:color="auto"/>
                <w:left w:val="none" w:sz="0" w:space="0" w:color="auto"/>
                <w:bottom w:val="none" w:sz="0" w:space="0" w:color="auto"/>
                <w:right w:val="none" w:sz="0" w:space="0" w:color="auto"/>
              </w:divBdr>
            </w:div>
            <w:div w:id="694621039">
              <w:marLeft w:val="0"/>
              <w:marRight w:val="0"/>
              <w:marTop w:val="0"/>
              <w:marBottom w:val="0"/>
              <w:divBdr>
                <w:top w:val="none" w:sz="0" w:space="0" w:color="auto"/>
                <w:left w:val="none" w:sz="0" w:space="0" w:color="auto"/>
                <w:bottom w:val="none" w:sz="0" w:space="0" w:color="auto"/>
                <w:right w:val="none" w:sz="0" w:space="0" w:color="auto"/>
              </w:divBdr>
            </w:div>
            <w:div w:id="493910188">
              <w:marLeft w:val="0"/>
              <w:marRight w:val="0"/>
              <w:marTop w:val="0"/>
              <w:marBottom w:val="0"/>
              <w:divBdr>
                <w:top w:val="none" w:sz="0" w:space="0" w:color="auto"/>
                <w:left w:val="none" w:sz="0" w:space="0" w:color="auto"/>
                <w:bottom w:val="none" w:sz="0" w:space="0" w:color="auto"/>
                <w:right w:val="none" w:sz="0" w:space="0" w:color="auto"/>
              </w:divBdr>
            </w:div>
            <w:div w:id="16127163">
              <w:marLeft w:val="0"/>
              <w:marRight w:val="0"/>
              <w:marTop w:val="0"/>
              <w:marBottom w:val="0"/>
              <w:divBdr>
                <w:top w:val="none" w:sz="0" w:space="0" w:color="auto"/>
                <w:left w:val="none" w:sz="0" w:space="0" w:color="auto"/>
                <w:bottom w:val="none" w:sz="0" w:space="0" w:color="auto"/>
                <w:right w:val="none" w:sz="0" w:space="0" w:color="auto"/>
              </w:divBdr>
            </w:div>
            <w:div w:id="1515457773">
              <w:marLeft w:val="0"/>
              <w:marRight w:val="0"/>
              <w:marTop w:val="0"/>
              <w:marBottom w:val="0"/>
              <w:divBdr>
                <w:top w:val="none" w:sz="0" w:space="0" w:color="auto"/>
                <w:left w:val="none" w:sz="0" w:space="0" w:color="auto"/>
                <w:bottom w:val="none" w:sz="0" w:space="0" w:color="auto"/>
                <w:right w:val="none" w:sz="0" w:space="0" w:color="auto"/>
              </w:divBdr>
            </w:div>
            <w:div w:id="2025662971">
              <w:marLeft w:val="0"/>
              <w:marRight w:val="0"/>
              <w:marTop w:val="0"/>
              <w:marBottom w:val="0"/>
              <w:divBdr>
                <w:top w:val="none" w:sz="0" w:space="0" w:color="auto"/>
                <w:left w:val="none" w:sz="0" w:space="0" w:color="auto"/>
                <w:bottom w:val="none" w:sz="0" w:space="0" w:color="auto"/>
                <w:right w:val="none" w:sz="0" w:space="0" w:color="auto"/>
              </w:divBdr>
            </w:div>
            <w:div w:id="358631713">
              <w:marLeft w:val="0"/>
              <w:marRight w:val="0"/>
              <w:marTop w:val="0"/>
              <w:marBottom w:val="0"/>
              <w:divBdr>
                <w:top w:val="none" w:sz="0" w:space="0" w:color="auto"/>
                <w:left w:val="none" w:sz="0" w:space="0" w:color="auto"/>
                <w:bottom w:val="none" w:sz="0" w:space="0" w:color="auto"/>
                <w:right w:val="none" w:sz="0" w:space="0" w:color="auto"/>
              </w:divBdr>
            </w:div>
            <w:div w:id="249043015">
              <w:marLeft w:val="0"/>
              <w:marRight w:val="0"/>
              <w:marTop w:val="0"/>
              <w:marBottom w:val="0"/>
              <w:divBdr>
                <w:top w:val="none" w:sz="0" w:space="0" w:color="auto"/>
                <w:left w:val="none" w:sz="0" w:space="0" w:color="auto"/>
                <w:bottom w:val="none" w:sz="0" w:space="0" w:color="auto"/>
                <w:right w:val="none" w:sz="0" w:space="0" w:color="auto"/>
              </w:divBdr>
            </w:div>
            <w:div w:id="1564634305">
              <w:marLeft w:val="0"/>
              <w:marRight w:val="0"/>
              <w:marTop w:val="0"/>
              <w:marBottom w:val="0"/>
              <w:divBdr>
                <w:top w:val="none" w:sz="0" w:space="0" w:color="auto"/>
                <w:left w:val="none" w:sz="0" w:space="0" w:color="auto"/>
                <w:bottom w:val="none" w:sz="0" w:space="0" w:color="auto"/>
                <w:right w:val="none" w:sz="0" w:space="0" w:color="auto"/>
              </w:divBdr>
            </w:div>
            <w:div w:id="1274706050">
              <w:marLeft w:val="0"/>
              <w:marRight w:val="0"/>
              <w:marTop w:val="0"/>
              <w:marBottom w:val="0"/>
              <w:divBdr>
                <w:top w:val="none" w:sz="0" w:space="0" w:color="auto"/>
                <w:left w:val="none" w:sz="0" w:space="0" w:color="auto"/>
                <w:bottom w:val="none" w:sz="0" w:space="0" w:color="auto"/>
                <w:right w:val="none" w:sz="0" w:space="0" w:color="auto"/>
              </w:divBdr>
            </w:div>
            <w:div w:id="1248998860">
              <w:marLeft w:val="0"/>
              <w:marRight w:val="0"/>
              <w:marTop w:val="0"/>
              <w:marBottom w:val="0"/>
              <w:divBdr>
                <w:top w:val="none" w:sz="0" w:space="0" w:color="auto"/>
                <w:left w:val="none" w:sz="0" w:space="0" w:color="auto"/>
                <w:bottom w:val="none" w:sz="0" w:space="0" w:color="auto"/>
                <w:right w:val="none" w:sz="0" w:space="0" w:color="auto"/>
              </w:divBdr>
            </w:div>
            <w:div w:id="1684670508">
              <w:marLeft w:val="0"/>
              <w:marRight w:val="0"/>
              <w:marTop w:val="0"/>
              <w:marBottom w:val="0"/>
              <w:divBdr>
                <w:top w:val="none" w:sz="0" w:space="0" w:color="auto"/>
                <w:left w:val="none" w:sz="0" w:space="0" w:color="auto"/>
                <w:bottom w:val="none" w:sz="0" w:space="0" w:color="auto"/>
                <w:right w:val="none" w:sz="0" w:space="0" w:color="auto"/>
              </w:divBdr>
            </w:div>
            <w:div w:id="2046982989">
              <w:marLeft w:val="0"/>
              <w:marRight w:val="0"/>
              <w:marTop w:val="0"/>
              <w:marBottom w:val="0"/>
              <w:divBdr>
                <w:top w:val="none" w:sz="0" w:space="0" w:color="auto"/>
                <w:left w:val="none" w:sz="0" w:space="0" w:color="auto"/>
                <w:bottom w:val="none" w:sz="0" w:space="0" w:color="auto"/>
                <w:right w:val="none" w:sz="0" w:space="0" w:color="auto"/>
              </w:divBdr>
            </w:div>
            <w:div w:id="1622154270">
              <w:marLeft w:val="0"/>
              <w:marRight w:val="0"/>
              <w:marTop w:val="0"/>
              <w:marBottom w:val="0"/>
              <w:divBdr>
                <w:top w:val="none" w:sz="0" w:space="0" w:color="auto"/>
                <w:left w:val="none" w:sz="0" w:space="0" w:color="auto"/>
                <w:bottom w:val="none" w:sz="0" w:space="0" w:color="auto"/>
                <w:right w:val="none" w:sz="0" w:space="0" w:color="auto"/>
              </w:divBdr>
            </w:div>
            <w:div w:id="1177496183">
              <w:marLeft w:val="0"/>
              <w:marRight w:val="0"/>
              <w:marTop w:val="0"/>
              <w:marBottom w:val="0"/>
              <w:divBdr>
                <w:top w:val="none" w:sz="0" w:space="0" w:color="auto"/>
                <w:left w:val="none" w:sz="0" w:space="0" w:color="auto"/>
                <w:bottom w:val="none" w:sz="0" w:space="0" w:color="auto"/>
                <w:right w:val="none" w:sz="0" w:space="0" w:color="auto"/>
              </w:divBdr>
            </w:div>
            <w:div w:id="954941779">
              <w:marLeft w:val="0"/>
              <w:marRight w:val="0"/>
              <w:marTop w:val="0"/>
              <w:marBottom w:val="0"/>
              <w:divBdr>
                <w:top w:val="none" w:sz="0" w:space="0" w:color="auto"/>
                <w:left w:val="none" w:sz="0" w:space="0" w:color="auto"/>
                <w:bottom w:val="none" w:sz="0" w:space="0" w:color="auto"/>
                <w:right w:val="none" w:sz="0" w:space="0" w:color="auto"/>
              </w:divBdr>
            </w:div>
            <w:div w:id="668949483">
              <w:marLeft w:val="0"/>
              <w:marRight w:val="0"/>
              <w:marTop w:val="0"/>
              <w:marBottom w:val="0"/>
              <w:divBdr>
                <w:top w:val="none" w:sz="0" w:space="0" w:color="auto"/>
                <w:left w:val="none" w:sz="0" w:space="0" w:color="auto"/>
                <w:bottom w:val="none" w:sz="0" w:space="0" w:color="auto"/>
                <w:right w:val="none" w:sz="0" w:space="0" w:color="auto"/>
              </w:divBdr>
            </w:div>
            <w:div w:id="1646858494">
              <w:marLeft w:val="0"/>
              <w:marRight w:val="0"/>
              <w:marTop w:val="0"/>
              <w:marBottom w:val="0"/>
              <w:divBdr>
                <w:top w:val="none" w:sz="0" w:space="0" w:color="auto"/>
                <w:left w:val="none" w:sz="0" w:space="0" w:color="auto"/>
                <w:bottom w:val="none" w:sz="0" w:space="0" w:color="auto"/>
                <w:right w:val="none" w:sz="0" w:space="0" w:color="auto"/>
              </w:divBdr>
            </w:div>
            <w:div w:id="1617297770">
              <w:marLeft w:val="0"/>
              <w:marRight w:val="0"/>
              <w:marTop w:val="0"/>
              <w:marBottom w:val="0"/>
              <w:divBdr>
                <w:top w:val="none" w:sz="0" w:space="0" w:color="auto"/>
                <w:left w:val="none" w:sz="0" w:space="0" w:color="auto"/>
                <w:bottom w:val="none" w:sz="0" w:space="0" w:color="auto"/>
                <w:right w:val="none" w:sz="0" w:space="0" w:color="auto"/>
              </w:divBdr>
            </w:div>
            <w:div w:id="1046486083">
              <w:marLeft w:val="0"/>
              <w:marRight w:val="0"/>
              <w:marTop w:val="0"/>
              <w:marBottom w:val="0"/>
              <w:divBdr>
                <w:top w:val="none" w:sz="0" w:space="0" w:color="auto"/>
                <w:left w:val="none" w:sz="0" w:space="0" w:color="auto"/>
                <w:bottom w:val="none" w:sz="0" w:space="0" w:color="auto"/>
                <w:right w:val="none" w:sz="0" w:space="0" w:color="auto"/>
              </w:divBdr>
            </w:div>
            <w:div w:id="1011026588">
              <w:marLeft w:val="0"/>
              <w:marRight w:val="0"/>
              <w:marTop w:val="0"/>
              <w:marBottom w:val="0"/>
              <w:divBdr>
                <w:top w:val="none" w:sz="0" w:space="0" w:color="auto"/>
                <w:left w:val="none" w:sz="0" w:space="0" w:color="auto"/>
                <w:bottom w:val="none" w:sz="0" w:space="0" w:color="auto"/>
                <w:right w:val="none" w:sz="0" w:space="0" w:color="auto"/>
              </w:divBdr>
            </w:div>
            <w:div w:id="425853557">
              <w:marLeft w:val="0"/>
              <w:marRight w:val="0"/>
              <w:marTop w:val="0"/>
              <w:marBottom w:val="0"/>
              <w:divBdr>
                <w:top w:val="none" w:sz="0" w:space="0" w:color="auto"/>
                <w:left w:val="none" w:sz="0" w:space="0" w:color="auto"/>
                <w:bottom w:val="none" w:sz="0" w:space="0" w:color="auto"/>
                <w:right w:val="none" w:sz="0" w:space="0" w:color="auto"/>
              </w:divBdr>
            </w:div>
            <w:div w:id="1490901705">
              <w:marLeft w:val="0"/>
              <w:marRight w:val="0"/>
              <w:marTop w:val="0"/>
              <w:marBottom w:val="0"/>
              <w:divBdr>
                <w:top w:val="none" w:sz="0" w:space="0" w:color="auto"/>
                <w:left w:val="none" w:sz="0" w:space="0" w:color="auto"/>
                <w:bottom w:val="none" w:sz="0" w:space="0" w:color="auto"/>
                <w:right w:val="none" w:sz="0" w:space="0" w:color="auto"/>
              </w:divBdr>
            </w:div>
            <w:div w:id="95757383">
              <w:marLeft w:val="0"/>
              <w:marRight w:val="0"/>
              <w:marTop w:val="0"/>
              <w:marBottom w:val="0"/>
              <w:divBdr>
                <w:top w:val="none" w:sz="0" w:space="0" w:color="auto"/>
                <w:left w:val="none" w:sz="0" w:space="0" w:color="auto"/>
                <w:bottom w:val="none" w:sz="0" w:space="0" w:color="auto"/>
                <w:right w:val="none" w:sz="0" w:space="0" w:color="auto"/>
              </w:divBdr>
            </w:div>
            <w:div w:id="1505363700">
              <w:marLeft w:val="0"/>
              <w:marRight w:val="0"/>
              <w:marTop w:val="0"/>
              <w:marBottom w:val="0"/>
              <w:divBdr>
                <w:top w:val="none" w:sz="0" w:space="0" w:color="auto"/>
                <w:left w:val="none" w:sz="0" w:space="0" w:color="auto"/>
                <w:bottom w:val="none" w:sz="0" w:space="0" w:color="auto"/>
                <w:right w:val="none" w:sz="0" w:space="0" w:color="auto"/>
              </w:divBdr>
            </w:div>
            <w:div w:id="1533493815">
              <w:marLeft w:val="0"/>
              <w:marRight w:val="0"/>
              <w:marTop w:val="0"/>
              <w:marBottom w:val="0"/>
              <w:divBdr>
                <w:top w:val="none" w:sz="0" w:space="0" w:color="auto"/>
                <w:left w:val="none" w:sz="0" w:space="0" w:color="auto"/>
                <w:bottom w:val="none" w:sz="0" w:space="0" w:color="auto"/>
                <w:right w:val="none" w:sz="0" w:space="0" w:color="auto"/>
              </w:divBdr>
            </w:div>
            <w:div w:id="1179780548">
              <w:marLeft w:val="0"/>
              <w:marRight w:val="0"/>
              <w:marTop w:val="0"/>
              <w:marBottom w:val="0"/>
              <w:divBdr>
                <w:top w:val="none" w:sz="0" w:space="0" w:color="auto"/>
                <w:left w:val="none" w:sz="0" w:space="0" w:color="auto"/>
                <w:bottom w:val="none" w:sz="0" w:space="0" w:color="auto"/>
                <w:right w:val="none" w:sz="0" w:space="0" w:color="auto"/>
              </w:divBdr>
            </w:div>
            <w:div w:id="834878485">
              <w:marLeft w:val="0"/>
              <w:marRight w:val="0"/>
              <w:marTop w:val="0"/>
              <w:marBottom w:val="0"/>
              <w:divBdr>
                <w:top w:val="none" w:sz="0" w:space="0" w:color="auto"/>
                <w:left w:val="none" w:sz="0" w:space="0" w:color="auto"/>
                <w:bottom w:val="none" w:sz="0" w:space="0" w:color="auto"/>
                <w:right w:val="none" w:sz="0" w:space="0" w:color="auto"/>
              </w:divBdr>
            </w:div>
            <w:div w:id="2109152251">
              <w:marLeft w:val="0"/>
              <w:marRight w:val="0"/>
              <w:marTop w:val="0"/>
              <w:marBottom w:val="0"/>
              <w:divBdr>
                <w:top w:val="none" w:sz="0" w:space="0" w:color="auto"/>
                <w:left w:val="none" w:sz="0" w:space="0" w:color="auto"/>
                <w:bottom w:val="none" w:sz="0" w:space="0" w:color="auto"/>
                <w:right w:val="none" w:sz="0" w:space="0" w:color="auto"/>
              </w:divBdr>
            </w:div>
            <w:div w:id="167137380">
              <w:marLeft w:val="0"/>
              <w:marRight w:val="0"/>
              <w:marTop w:val="0"/>
              <w:marBottom w:val="0"/>
              <w:divBdr>
                <w:top w:val="none" w:sz="0" w:space="0" w:color="auto"/>
                <w:left w:val="none" w:sz="0" w:space="0" w:color="auto"/>
                <w:bottom w:val="none" w:sz="0" w:space="0" w:color="auto"/>
                <w:right w:val="none" w:sz="0" w:space="0" w:color="auto"/>
              </w:divBdr>
            </w:div>
            <w:div w:id="509108325">
              <w:marLeft w:val="0"/>
              <w:marRight w:val="0"/>
              <w:marTop w:val="0"/>
              <w:marBottom w:val="0"/>
              <w:divBdr>
                <w:top w:val="none" w:sz="0" w:space="0" w:color="auto"/>
                <w:left w:val="none" w:sz="0" w:space="0" w:color="auto"/>
                <w:bottom w:val="none" w:sz="0" w:space="0" w:color="auto"/>
                <w:right w:val="none" w:sz="0" w:space="0" w:color="auto"/>
              </w:divBdr>
            </w:div>
            <w:div w:id="633215107">
              <w:marLeft w:val="0"/>
              <w:marRight w:val="0"/>
              <w:marTop w:val="0"/>
              <w:marBottom w:val="0"/>
              <w:divBdr>
                <w:top w:val="none" w:sz="0" w:space="0" w:color="auto"/>
                <w:left w:val="none" w:sz="0" w:space="0" w:color="auto"/>
                <w:bottom w:val="none" w:sz="0" w:space="0" w:color="auto"/>
                <w:right w:val="none" w:sz="0" w:space="0" w:color="auto"/>
              </w:divBdr>
            </w:div>
            <w:div w:id="2053309268">
              <w:marLeft w:val="0"/>
              <w:marRight w:val="0"/>
              <w:marTop w:val="0"/>
              <w:marBottom w:val="0"/>
              <w:divBdr>
                <w:top w:val="none" w:sz="0" w:space="0" w:color="auto"/>
                <w:left w:val="none" w:sz="0" w:space="0" w:color="auto"/>
                <w:bottom w:val="none" w:sz="0" w:space="0" w:color="auto"/>
                <w:right w:val="none" w:sz="0" w:space="0" w:color="auto"/>
              </w:divBdr>
            </w:div>
            <w:div w:id="1076050338">
              <w:marLeft w:val="0"/>
              <w:marRight w:val="0"/>
              <w:marTop w:val="0"/>
              <w:marBottom w:val="0"/>
              <w:divBdr>
                <w:top w:val="none" w:sz="0" w:space="0" w:color="auto"/>
                <w:left w:val="none" w:sz="0" w:space="0" w:color="auto"/>
                <w:bottom w:val="none" w:sz="0" w:space="0" w:color="auto"/>
                <w:right w:val="none" w:sz="0" w:space="0" w:color="auto"/>
              </w:divBdr>
            </w:div>
            <w:div w:id="626855756">
              <w:marLeft w:val="0"/>
              <w:marRight w:val="0"/>
              <w:marTop w:val="0"/>
              <w:marBottom w:val="0"/>
              <w:divBdr>
                <w:top w:val="none" w:sz="0" w:space="0" w:color="auto"/>
                <w:left w:val="none" w:sz="0" w:space="0" w:color="auto"/>
                <w:bottom w:val="none" w:sz="0" w:space="0" w:color="auto"/>
                <w:right w:val="none" w:sz="0" w:space="0" w:color="auto"/>
              </w:divBdr>
            </w:div>
            <w:div w:id="1892425733">
              <w:marLeft w:val="0"/>
              <w:marRight w:val="0"/>
              <w:marTop w:val="0"/>
              <w:marBottom w:val="0"/>
              <w:divBdr>
                <w:top w:val="none" w:sz="0" w:space="0" w:color="auto"/>
                <w:left w:val="none" w:sz="0" w:space="0" w:color="auto"/>
                <w:bottom w:val="none" w:sz="0" w:space="0" w:color="auto"/>
                <w:right w:val="none" w:sz="0" w:space="0" w:color="auto"/>
              </w:divBdr>
            </w:div>
            <w:div w:id="1851992993">
              <w:marLeft w:val="0"/>
              <w:marRight w:val="0"/>
              <w:marTop w:val="0"/>
              <w:marBottom w:val="0"/>
              <w:divBdr>
                <w:top w:val="none" w:sz="0" w:space="0" w:color="auto"/>
                <w:left w:val="none" w:sz="0" w:space="0" w:color="auto"/>
                <w:bottom w:val="none" w:sz="0" w:space="0" w:color="auto"/>
                <w:right w:val="none" w:sz="0" w:space="0" w:color="auto"/>
              </w:divBdr>
            </w:div>
            <w:div w:id="1731951749">
              <w:marLeft w:val="0"/>
              <w:marRight w:val="0"/>
              <w:marTop w:val="0"/>
              <w:marBottom w:val="0"/>
              <w:divBdr>
                <w:top w:val="none" w:sz="0" w:space="0" w:color="auto"/>
                <w:left w:val="none" w:sz="0" w:space="0" w:color="auto"/>
                <w:bottom w:val="none" w:sz="0" w:space="0" w:color="auto"/>
                <w:right w:val="none" w:sz="0" w:space="0" w:color="auto"/>
              </w:divBdr>
            </w:div>
            <w:div w:id="653098258">
              <w:marLeft w:val="0"/>
              <w:marRight w:val="0"/>
              <w:marTop w:val="0"/>
              <w:marBottom w:val="0"/>
              <w:divBdr>
                <w:top w:val="none" w:sz="0" w:space="0" w:color="auto"/>
                <w:left w:val="none" w:sz="0" w:space="0" w:color="auto"/>
                <w:bottom w:val="none" w:sz="0" w:space="0" w:color="auto"/>
                <w:right w:val="none" w:sz="0" w:space="0" w:color="auto"/>
              </w:divBdr>
            </w:div>
            <w:div w:id="1107506654">
              <w:marLeft w:val="0"/>
              <w:marRight w:val="0"/>
              <w:marTop w:val="0"/>
              <w:marBottom w:val="0"/>
              <w:divBdr>
                <w:top w:val="none" w:sz="0" w:space="0" w:color="auto"/>
                <w:left w:val="none" w:sz="0" w:space="0" w:color="auto"/>
                <w:bottom w:val="none" w:sz="0" w:space="0" w:color="auto"/>
                <w:right w:val="none" w:sz="0" w:space="0" w:color="auto"/>
              </w:divBdr>
            </w:div>
            <w:div w:id="304241363">
              <w:marLeft w:val="0"/>
              <w:marRight w:val="0"/>
              <w:marTop w:val="0"/>
              <w:marBottom w:val="0"/>
              <w:divBdr>
                <w:top w:val="none" w:sz="0" w:space="0" w:color="auto"/>
                <w:left w:val="none" w:sz="0" w:space="0" w:color="auto"/>
                <w:bottom w:val="none" w:sz="0" w:space="0" w:color="auto"/>
                <w:right w:val="none" w:sz="0" w:space="0" w:color="auto"/>
              </w:divBdr>
            </w:div>
            <w:div w:id="1903901055">
              <w:marLeft w:val="0"/>
              <w:marRight w:val="0"/>
              <w:marTop w:val="0"/>
              <w:marBottom w:val="0"/>
              <w:divBdr>
                <w:top w:val="none" w:sz="0" w:space="0" w:color="auto"/>
                <w:left w:val="none" w:sz="0" w:space="0" w:color="auto"/>
                <w:bottom w:val="none" w:sz="0" w:space="0" w:color="auto"/>
                <w:right w:val="none" w:sz="0" w:space="0" w:color="auto"/>
              </w:divBdr>
            </w:div>
            <w:div w:id="1271547718">
              <w:marLeft w:val="0"/>
              <w:marRight w:val="0"/>
              <w:marTop w:val="0"/>
              <w:marBottom w:val="0"/>
              <w:divBdr>
                <w:top w:val="none" w:sz="0" w:space="0" w:color="auto"/>
                <w:left w:val="none" w:sz="0" w:space="0" w:color="auto"/>
                <w:bottom w:val="none" w:sz="0" w:space="0" w:color="auto"/>
                <w:right w:val="none" w:sz="0" w:space="0" w:color="auto"/>
              </w:divBdr>
            </w:div>
            <w:div w:id="1752315235">
              <w:marLeft w:val="0"/>
              <w:marRight w:val="0"/>
              <w:marTop w:val="0"/>
              <w:marBottom w:val="0"/>
              <w:divBdr>
                <w:top w:val="none" w:sz="0" w:space="0" w:color="auto"/>
                <w:left w:val="none" w:sz="0" w:space="0" w:color="auto"/>
                <w:bottom w:val="none" w:sz="0" w:space="0" w:color="auto"/>
                <w:right w:val="none" w:sz="0" w:space="0" w:color="auto"/>
              </w:divBdr>
            </w:div>
            <w:div w:id="763109099">
              <w:marLeft w:val="0"/>
              <w:marRight w:val="0"/>
              <w:marTop w:val="0"/>
              <w:marBottom w:val="0"/>
              <w:divBdr>
                <w:top w:val="none" w:sz="0" w:space="0" w:color="auto"/>
                <w:left w:val="none" w:sz="0" w:space="0" w:color="auto"/>
                <w:bottom w:val="none" w:sz="0" w:space="0" w:color="auto"/>
                <w:right w:val="none" w:sz="0" w:space="0" w:color="auto"/>
              </w:divBdr>
            </w:div>
            <w:div w:id="486940605">
              <w:marLeft w:val="0"/>
              <w:marRight w:val="0"/>
              <w:marTop w:val="0"/>
              <w:marBottom w:val="0"/>
              <w:divBdr>
                <w:top w:val="none" w:sz="0" w:space="0" w:color="auto"/>
                <w:left w:val="none" w:sz="0" w:space="0" w:color="auto"/>
                <w:bottom w:val="none" w:sz="0" w:space="0" w:color="auto"/>
                <w:right w:val="none" w:sz="0" w:space="0" w:color="auto"/>
              </w:divBdr>
            </w:div>
            <w:div w:id="834151824">
              <w:marLeft w:val="0"/>
              <w:marRight w:val="0"/>
              <w:marTop w:val="0"/>
              <w:marBottom w:val="0"/>
              <w:divBdr>
                <w:top w:val="none" w:sz="0" w:space="0" w:color="auto"/>
                <w:left w:val="none" w:sz="0" w:space="0" w:color="auto"/>
                <w:bottom w:val="none" w:sz="0" w:space="0" w:color="auto"/>
                <w:right w:val="none" w:sz="0" w:space="0" w:color="auto"/>
              </w:divBdr>
            </w:div>
            <w:div w:id="148132263">
              <w:marLeft w:val="0"/>
              <w:marRight w:val="0"/>
              <w:marTop w:val="0"/>
              <w:marBottom w:val="0"/>
              <w:divBdr>
                <w:top w:val="none" w:sz="0" w:space="0" w:color="auto"/>
                <w:left w:val="none" w:sz="0" w:space="0" w:color="auto"/>
                <w:bottom w:val="none" w:sz="0" w:space="0" w:color="auto"/>
                <w:right w:val="none" w:sz="0" w:space="0" w:color="auto"/>
              </w:divBdr>
            </w:div>
            <w:div w:id="281302499">
              <w:marLeft w:val="0"/>
              <w:marRight w:val="0"/>
              <w:marTop w:val="0"/>
              <w:marBottom w:val="0"/>
              <w:divBdr>
                <w:top w:val="none" w:sz="0" w:space="0" w:color="auto"/>
                <w:left w:val="none" w:sz="0" w:space="0" w:color="auto"/>
                <w:bottom w:val="none" w:sz="0" w:space="0" w:color="auto"/>
                <w:right w:val="none" w:sz="0" w:space="0" w:color="auto"/>
              </w:divBdr>
            </w:div>
            <w:div w:id="116723892">
              <w:marLeft w:val="0"/>
              <w:marRight w:val="0"/>
              <w:marTop w:val="0"/>
              <w:marBottom w:val="0"/>
              <w:divBdr>
                <w:top w:val="none" w:sz="0" w:space="0" w:color="auto"/>
                <w:left w:val="none" w:sz="0" w:space="0" w:color="auto"/>
                <w:bottom w:val="none" w:sz="0" w:space="0" w:color="auto"/>
                <w:right w:val="none" w:sz="0" w:space="0" w:color="auto"/>
              </w:divBdr>
            </w:div>
            <w:div w:id="1651326933">
              <w:marLeft w:val="0"/>
              <w:marRight w:val="0"/>
              <w:marTop w:val="0"/>
              <w:marBottom w:val="0"/>
              <w:divBdr>
                <w:top w:val="none" w:sz="0" w:space="0" w:color="auto"/>
                <w:left w:val="none" w:sz="0" w:space="0" w:color="auto"/>
                <w:bottom w:val="none" w:sz="0" w:space="0" w:color="auto"/>
                <w:right w:val="none" w:sz="0" w:space="0" w:color="auto"/>
              </w:divBdr>
            </w:div>
            <w:div w:id="1661733007">
              <w:marLeft w:val="0"/>
              <w:marRight w:val="0"/>
              <w:marTop w:val="0"/>
              <w:marBottom w:val="0"/>
              <w:divBdr>
                <w:top w:val="none" w:sz="0" w:space="0" w:color="auto"/>
                <w:left w:val="none" w:sz="0" w:space="0" w:color="auto"/>
                <w:bottom w:val="none" w:sz="0" w:space="0" w:color="auto"/>
                <w:right w:val="none" w:sz="0" w:space="0" w:color="auto"/>
              </w:divBdr>
            </w:div>
            <w:div w:id="1730373863">
              <w:marLeft w:val="0"/>
              <w:marRight w:val="0"/>
              <w:marTop w:val="0"/>
              <w:marBottom w:val="0"/>
              <w:divBdr>
                <w:top w:val="none" w:sz="0" w:space="0" w:color="auto"/>
                <w:left w:val="none" w:sz="0" w:space="0" w:color="auto"/>
                <w:bottom w:val="none" w:sz="0" w:space="0" w:color="auto"/>
                <w:right w:val="none" w:sz="0" w:space="0" w:color="auto"/>
              </w:divBdr>
            </w:div>
            <w:div w:id="418598809">
              <w:marLeft w:val="0"/>
              <w:marRight w:val="0"/>
              <w:marTop w:val="0"/>
              <w:marBottom w:val="0"/>
              <w:divBdr>
                <w:top w:val="none" w:sz="0" w:space="0" w:color="auto"/>
                <w:left w:val="none" w:sz="0" w:space="0" w:color="auto"/>
                <w:bottom w:val="none" w:sz="0" w:space="0" w:color="auto"/>
                <w:right w:val="none" w:sz="0" w:space="0" w:color="auto"/>
              </w:divBdr>
            </w:div>
            <w:div w:id="1100638298">
              <w:marLeft w:val="0"/>
              <w:marRight w:val="0"/>
              <w:marTop w:val="0"/>
              <w:marBottom w:val="0"/>
              <w:divBdr>
                <w:top w:val="none" w:sz="0" w:space="0" w:color="auto"/>
                <w:left w:val="none" w:sz="0" w:space="0" w:color="auto"/>
                <w:bottom w:val="none" w:sz="0" w:space="0" w:color="auto"/>
                <w:right w:val="none" w:sz="0" w:space="0" w:color="auto"/>
              </w:divBdr>
            </w:div>
            <w:div w:id="1616789404">
              <w:marLeft w:val="0"/>
              <w:marRight w:val="0"/>
              <w:marTop w:val="0"/>
              <w:marBottom w:val="0"/>
              <w:divBdr>
                <w:top w:val="none" w:sz="0" w:space="0" w:color="auto"/>
                <w:left w:val="none" w:sz="0" w:space="0" w:color="auto"/>
                <w:bottom w:val="none" w:sz="0" w:space="0" w:color="auto"/>
                <w:right w:val="none" w:sz="0" w:space="0" w:color="auto"/>
              </w:divBdr>
            </w:div>
            <w:div w:id="1487235139">
              <w:marLeft w:val="0"/>
              <w:marRight w:val="0"/>
              <w:marTop w:val="0"/>
              <w:marBottom w:val="0"/>
              <w:divBdr>
                <w:top w:val="none" w:sz="0" w:space="0" w:color="auto"/>
                <w:left w:val="none" w:sz="0" w:space="0" w:color="auto"/>
                <w:bottom w:val="none" w:sz="0" w:space="0" w:color="auto"/>
                <w:right w:val="none" w:sz="0" w:space="0" w:color="auto"/>
              </w:divBdr>
            </w:div>
            <w:div w:id="31852603">
              <w:marLeft w:val="0"/>
              <w:marRight w:val="0"/>
              <w:marTop w:val="0"/>
              <w:marBottom w:val="0"/>
              <w:divBdr>
                <w:top w:val="none" w:sz="0" w:space="0" w:color="auto"/>
                <w:left w:val="none" w:sz="0" w:space="0" w:color="auto"/>
                <w:bottom w:val="none" w:sz="0" w:space="0" w:color="auto"/>
                <w:right w:val="none" w:sz="0" w:space="0" w:color="auto"/>
              </w:divBdr>
            </w:div>
            <w:div w:id="1054428779">
              <w:marLeft w:val="0"/>
              <w:marRight w:val="0"/>
              <w:marTop w:val="0"/>
              <w:marBottom w:val="0"/>
              <w:divBdr>
                <w:top w:val="none" w:sz="0" w:space="0" w:color="auto"/>
                <w:left w:val="none" w:sz="0" w:space="0" w:color="auto"/>
                <w:bottom w:val="none" w:sz="0" w:space="0" w:color="auto"/>
                <w:right w:val="none" w:sz="0" w:space="0" w:color="auto"/>
              </w:divBdr>
            </w:div>
            <w:div w:id="88428579">
              <w:marLeft w:val="0"/>
              <w:marRight w:val="0"/>
              <w:marTop w:val="0"/>
              <w:marBottom w:val="0"/>
              <w:divBdr>
                <w:top w:val="none" w:sz="0" w:space="0" w:color="auto"/>
                <w:left w:val="none" w:sz="0" w:space="0" w:color="auto"/>
                <w:bottom w:val="none" w:sz="0" w:space="0" w:color="auto"/>
                <w:right w:val="none" w:sz="0" w:space="0" w:color="auto"/>
              </w:divBdr>
            </w:div>
            <w:div w:id="2022587402">
              <w:marLeft w:val="0"/>
              <w:marRight w:val="0"/>
              <w:marTop w:val="0"/>
              <w:marBottom w:val="0"/>
              <w:divBdr>
                <w:top w:val="none" w:sz="0" w:space="0" w:color="auto"/>
                <w:left w:val="none" w:sz="0" w:space="0" w:color="auto"/>
                <w:bottom w:val="none" w:sz="0" w:space="0" w:color="auto"/>
                <w:right w:val="none" w:sz="0" w:space="0" w:color="auto"/>
              </w:divBdr>
            </w:div>
            <w:div w:id="1836647612">
              <w:marLeft w:val="0"/>
              <w:marRight w:val="0"/>
              <w:marTop w:val="0"/>
              <w:marBottom w:val="0"/>
              <w:divBdr>
                <w:top w:val="none" w:sz="0" w:space="0" w:color="auto"/>
                <w:left w:val="none" w:sz="0" w:space="0" w:color="auto"/>
                <w:bottom w:val="none" w:sz="0" w:space="0" w:color="auto"/>
                <w:right w:val="none" w:sz="0" w:space="0" w:color="auto"/>
              </w:divBdr>
            </w:div>
            <w:div w:id="661542468">
              <w:marLeft w:val="0"/>
              <w:marRight w:val="0"/>
              <w:marTop w:val="0"/>
              <w:marBottom w:val="0"/>
              <w:divBdr>
                <w:top w:val="none" w:sz="0" w:space="0" w:color="auto"/>
                <w:left w:val="none" w:sz="0" w:space="0" w:color="auto"/>
                <w:bottom w:val="none" w:sz="0" w:space="0" w:color="auto"/>
                <w:right w:val="none" w:sz="0" w:space="0" w:color="auto"/>
              </w:divBdr>
            </w:div>
            <w:div w:id="196967073">
              <w:marLeft w:val="0"/>
              <w:marRight w:val="0"/>
              <w:marTop w:val="0"/>
              <w:marBottom w:val="0"/>
              <w:divBdr>
                <w:top w:val="none" w:sz="0" w:space="0" w:color="auto"/>
                <w:left w:val="none" w:sz="0" w:space="0" w:color="auto"/>
                <w:bottom w:val="none" w:sz="0" w:space="0" w:color="auto"/>
                <w:right w:val="none" w:sz="0" w:space="0" w:color="auto"/>
              </w:divBdr>
            </w:div>
            <w:div w:id="504519378">
              <w:marLeft w:val="0"/>
              <w:marRight w:val="0"/>
              <w:marTop w:val="0"/>
              <w:marBottom w:val="0"/>
              <w:divBdr>
                <w:top w:val="none" w:sz="0" w:space="0" w:color="auto"/>
                <w:left w:val="none" w:sz="0" w:space="0" w:color="auto"/>
                <w:bottom w:val="none" w:sz="0" w:space="0" w:color="auto"/>
                <w:right w:val="none" w:sz="0" w:space="0" w:color="auto"/>
              </w:divBdr>
            </w:div>
            <w:div w:id="1443841570">
              <w:marLeft w:val="0"/>
              <w:marRight w:val="0"/>
              <w:marTop w:val="0"/>
              <w:marBottom w:val="0"/>
              <w:divBdr>
                <w:top w:val="none" w:sz="0" w:space="0" w:color="auto"/>
                <w:left w:val="none" w:sz="0" w:space="0" w:color="auto"/>
                <w:bottom w:val="none" w:sz="0" w:space="0" w:color="auto"/>
                <w:right w:val="none" w:sz="0" w:space="0" w:color="auto"/>
              </w:divBdr>
            </w:div>
            <w:div w:id="833764631">
              <w:marLeft w:val="0"/>
              <w:marRight w:val="0"/>
              <w:marTop w:val="0"/>
              <w:marBottom w:val="0"/>
              <w:divBdr>
                <w:top w:val="none" w:sz="0" w:space="0" w:color="auto"/>
                <w:left w:val="none" w:sz="0" w:space="0" w:color="auto"/>
                <w:bottom w:val="none" w:sz="0" w:space="0" w:color="auto"/>
                <w:right w:val="none" w:sz="0" w:space="0" w:color="auto"/>
              </w:divBdr>
            </w:div>
            <w:div w:id="619916523">
              <w:marLeft w:val="0"/>
              <w:marRight w:val="0"/>
              <w:marTop w:val="0"/>
              <w:marBottom w:val="0"/>
              <w:divBdr>
                <w:top w:val="none" w:sz="0" w:space="0" w:color="auto"/>
                <w:left w:val="none" w:sz="0" w:space="0" w:color="auto"/>
                <w:bottom w:val="none" w:sz="0" w:space="0" w:color="auto"/>
                <w:right w:val="none" w:sz="0" w:space="0" w:color="auto"/>
              </w:divBdr>
            </w:div>
            <w:div w:id="1206018682">
              <w:marLeft w:val="0"/>
              <w:marRight w:val="0"/>
              <w:marTop w:val="0"/>
              <w:marBottom w:val="0"/>
              <w:divBdr>
                <w:top w:val="none" w:sz="0" w:space="0" w:color="auto"/>
                <w:left w:val="none" w:sz="0" w:space="0" w:color="auto"/>
                <w:bottom w:val="none" w:sz="0" w:space="0" w:color="auto"/>
                <w:right w:val="none" w:sz="0" w:space="0" w:color="auto"/>
              </w:divBdr>
            </w:div>
            <w:div w:id="2064520600">
              <w:marLeft w:val="0"/>
              <w:marRight w:val="0"/>
              <w:marTop w:val="0"/>
              <w:marBottom w:val="0"/>
              <w:divBdr>
                <w:top w:val="none" w:sz="0" w:space="0" w:color="auto"/>
                <w:left w:val="none" w:sz="0" w:space="0" w:color="auto"/>
                <w:bottom w:val="none" w:sz="0" w:space="0" w:color="auto"/>
                <w:right w:val="none" w:sz="0" w:space="0" w:color="auto"/>
              </w:divBdr>
            </w:div>
            <w:div w:id="43911820">
              <w:marLeft w:val="0"/>
              <w:marRight w:val="0"/>
              <w:marTop w:val="0"/>
              <w:marBottom w:val="0"/>
              <w:divBdr>
                <w:top w:val="none" w:sz="0" w:space="0" w:color="auto"/>
                <w:left w:val="none" w:sz="0" w:space="0" w:color="auto"/>
                <w:bottom w:val="none" w:sz="0" w:space="0" w:color="auto"/>
                <w:right w:val="none" w:sz="0" w:space="0" w:color="auto"/>
              </w:divBdr>
            </w:div>
            <w:div w:id="448814784">
              <w:marLeft w:val="0"/>
              <w:marRight w:val="0"/>
              <w:marTop w:val="0"/>
              <w:marBottom w:val="0"/>
              <w:divBdr>
                <w:top w:val="none" w:sz="0" w:space="0" w:color="auto"/>
                <w:left w:val="none" w:sz="0" w:space="0" w:color="auto"/>
                <w:bottom w:val="none" w:sz="0" w:space="0" w:color="auto"/>
                <w:right w:val="none" w:sz="0" w:space="0" w:color="auto"/>
              </w:divBdr>
            </w:div>
            <w:div w:id="255752042">
              <w:marLeft w:val="0"/>
              <w:marRight w:val="0"/>
              <w:marTop w:val="0"/>
              <w:marBottom w:val="0"/>
              <w:divBdr>
                <w:top w:val="none" w:sz="0" w:space="0" w:color="auto"/>
                <w:left w:val="none" w:sz="0" w:space="0" w:color="auto"/>
                <w:bottom w:val="none" w:sz="0" w:space="0" w:color="auto"/>
                <w:right w:val="none" w:sz="0" w:space="0" w:color="auto"/>
              </w:divBdr>
            </w:div>
            <w:div w:id="1374960069">
              <w:marLeft w:val="0"/>
              <w:marRight w:val="0"/>
              <w:marTop w:val="0"/>
              <w:marBottom w:val="0"/>
              <w:divBdr>
                <w:top w:val="none" w:sz="0" w:space="0" w:color="auto"/>
                <w:left w:val="none" w:sz="0" w:space="0" w:color="auto"/>
                <w:bottom w:val="none" w:sz="0" w:space="0" w:color="auto"/>
                <w:right w:val="none" w:sz="0" w:space="0" w:color="auto"/>
              </w:divBdr>
            </w:div>
            <w:div w:id="1230074123">
              <w:marLeft w:val="0"/>
              <w:marRight w:val="0"/>
              <w:marTop w:val="0"/>
              <w:marBottom w:val="0"/>
              <w:divBdr>
                <w:top w:val="none" w:sz="0" w:space="0" w:color="auto"/>
                <w:left w:val="none" w:sz="0" w:space="0" w:color="auto"/>
                <w:bottom w:val="none" w:sz="0" w:space="0" w:color="auto"/>
                <w:right w:val="none" w:sz="0" w:space="0" w:color="auto"/>
              </w:divBdr>
            </w:div>
            <w:div w:id="1371805101">
              <w:marLeft w:val="0"/>
              <w:marRight w:val="0"/>
              <w:marTop w:val="0"/>
              <w:marBottom w:val="0"/>
              <w:divBdr>
                <w:top w:val="none" w:sz="0" w:space="0" w:color="auto"/>
                <w:left w:val="none" w:sz="0" w:space="0" w:color="auto"/>
                <w:bottom w:val="none" w:sz="0" w:space="0" w:color="auto"/>
                <w:right w:val="none" w:sz="0" w:space="0" w:color="auto"/>
              </w:divBdr>
            </w:div>
            <w:div w:id="365911492">
              <w:marLeft w:val="0"/>
              <w:marRight w:val="0"/>
              <w:marTop w:val="0"/>
              <w:marBottom w:val="0"/>
              <w:divBdr>
                <w:top w:val="none" w:sz="0" w:space="0" w:color="auto"/>
                <w:left w:val="none" w:sz="0" w:space="0" w:color="auto"/>
                <w:bottom w:val="none" w:sz="0" w:space="0" w:color="auto"/>
                <w:right w:val="none" w:sz="0" w:space="0" w:color="auto"/>
              </w:divBdr>
            </w:div>
            <w:div w:id="1060130152">
              <w:marLeft w:val="0"/>
              <w:marRight w:val="0"/>
              <w:marTop w:val="0"/>
              <w:marBottom w:val="0"/>
              <w:divBdr>
                <w:top w:val="none" w:sz="0" w:space="0" w:color="auto"/>
                <w:left w:val="none" w:sz="0" w:space="0" w:color="auto"/>
                <w:bottom w:val="none" w:sz="0" w:space="0" w:color="auto"/>
                <w:right w:val="none" w:sz="0" w:space="0" w:color="auto"/>
              </w:divBdr>
            </w:div>
            <w:div w:id="961111981">
              <w:marLeft w:val="0"/>
              <w:marRight w:val="0"/>
              <w:marTop w:val="0"/>
              <w:marBottom w:val="0"/>
              <w:divBdr>
                <w:top w:val="none" w:sz="0" w:space="0" w:color="auto"/>
                <w:left w:val="none" w:sz="0" w:space="0" w:color="auto"/>
                <w:bottom w:val="none" w:sz="0" w:space="0" w:color="auto"/>
                <w:right w:val="none" w:sz="0" w:space="0" w:color="auto"/>
              </w:divBdr>
            </w:div>
            <w:div w:id="1889679679">
              <w:marLeft w:val="0"/>
              <w:marRight w:val="0"/>
              <w:marTop w:val="0"/>
              <w:marBottom w:val="0"/>
              <w:divBdr>
                <w:top w:val="none" w:sz="0" w:space="0" w:color="auto"/>
                <w:left w:val="none" w:sz="0" w:space="0" w:color="auto"/>
                <w:bottom w:val="none" w:sz="0" w:space="0" w:color="auto"/>
                <w:right w:val="none" w:sz="0" w:space="0" w:color="auto"/>
              </w:divBdr>
            </w:div>
            <w:div w:id="957564267">
              <w:marLeft w:val="0"/>
              <w:marRight w:val="0"/>
              <w:marTop w:val="0"/>
              <w:marBottom w:val="0"/>
              <w:divBdr>
                <w:top w:val="none" w:sz="0" w:space="0" w:color="auto"/>
                <w:left w:val="none" w:sz="0" w:space="0" w:color="auto"/>
                <w:bottom w:val="none" w:sz="0" w:space="0" w:color="auto"/>
                <w:right w:val="none" w:sz="0" w:space="0" w:color="auto"/>
              </w:divBdr>
            </w:div>
            <w:div w:id="1055663005">
              <w:marLeft w:val="0"/>
              <w:marRight w:val="0"/>
              <w:marTop w:val="0"/>
              <w:marBottom w:val="0"/>
              <w:divBdr>
                <w:top w:val="none" w:sz="0" w:space="0" w:color="auto"/>
                <w:left w:val="none" w:sz="0" w:space="0" w:color="auto"/>
                <w:bottom w:val="none" w:sz="0" w:space="0" w:color="auto"/>
                <w:right w:val="none" w:sz="0" w:space="0" w:color="auto"/>
              </w:divBdr>
            </w:div>
            <w:div w:id="1274440936">
              <w:marLeft w:val="0"/>
              <w:marRight w:val="0"/>
              <w:marTop w:val="0"/>
              <w:marBottom w:val="0"/>
              <w:divBdr>
                <w:top w:val="none" w:sz="0" w:space="0" w:color="auto"/>
                <w:left w:val="none" w:sz="0" w:space="0" w:color="auto"/>
                <w:bottom w:val="none" w:sz="0" w:space="0" w:color="auto"/>
                <w:right w:val="none" w:sz="0" w:space="0" w:color="auto"/>
              </w:divBdr>
            </w:div>
            <w:div w:id="812873256">
              <w:marLeft w:val="0"/>
              <w:marRight w:val="0"/>
              <w:marTop w:val="0"/>
              <w:marBottom w:val="0"/>
              <w:divBdr>
                <w:top w:val="none" w:sz="0" w:space="0" w:color="auto"/>
                <w:left w:val="none" w:sz="0" w:space="0" w:color="auto"/>
                <w:bottom w:val="none" w:sz="0" w:space="0" w:color="auto"/>
                <w:right w:val="none" w:sz="0" w:space="0" w:color="auto"/>
              </w:divBdr>
            </w:div>
            <w:div w:id="182523094">
              <w:marLeft w:val="0"/>
              <w:marRight w:val="0"/>
              <w:marTop w:val="0"/>
              <w:marBottom w:val="0"/>
              <w:divBdr>
                <w:top w:val="none" w:sz="0" w:space="0" w:color="auto"/>
                <w:left w:val="none" w:sz="0" w:space="0" w:color="auto"/>
                <w:bottom w:val="none" w:sz="0" w:space="0" w:color="auto"/>
                <w:right w:val="none" w:sz="0" w:space="0" w:color="auto"/>
              </w:divBdr>
            </w:div>
            <w:div w:id="1653677382">
              <w:marLeft w:val="0"/>
              <w:marRight w:val="0"/>
              <w:marTop w:val="0"/>
              <w:marBottom w:val="0"/>
              <w:divBdr>
                <w:top w:val="none" w:sz="0" w:space="0" w:color="auto"/>
                <w:left w:val="none" w:sz="0" w:space="0" w:color="auto"/>
                <w:bottom w:val="none" w:sz="0" w:space="0" w:color="auto"/>
                <w:right w:val="none" w:sz="0" w:space="0" w:color="auto"/>
              </w:divBdr>
            </w:div>
            <w:div w:id="87850524">
              <w:marLeft w:val="0"/>
              <w:marRight w:val="0"/>
              <w:marTop w:val="0"/>
              <w:marBottom w:val="0"/>
              <w:divBdr>
                <w:top w:val="none" w:sz="0" w:space="0" w:color="auto"/>
                <w:left w:val="none" w:sz="0" w:space="0" w:color="auto"/>
                <w:bottom w:val="none" w:sz="0" w:space="0" w:color="auto"/>
                <w:right w:val="none" w:sz="0" w:space="0" w:color="auto"/>
              </w:divBdr>
            </w:div>
            <w:div w:id="804084664">
              <w:marLeft w:val="0"/>
              <w:marRight w:val="0"/>
              <w:marTop w:val="0"/>
              <w:marBottom w:val="0"/>
              <w:divBdr>
                <w:top w:val="none" w:sz="0" w:space="0" w:color="auto"/>
                <w:left w:val="none" w:sz="0" w:space="0" w:color="auto"/>
                <w:bottom w:val="none" w:sz="0" w:space="0" w:color="auto"/>
                <w:right w:val="none" w:sz="0" w:space="0" w:color="auto"/>
              </w:divBdr>
            </w:div>
            <w:div w:id="1185440124">
              <w:marLeft w:val="0"/>
              <w:marRight w:val="0"/>
              <w:marTop w:val="0"/>
              <w:marBottom w:val="0"/>
              <w:divBdr>
                <w:top w:val="none" w:sz="0" w:space="0" w:color="auto"/>
                <w:left w:val="none" w:sz="0" w:space="0" w:color="auto"/>
                <w:bottom w:val="none" w:sz="0" w:space="0" w:color="auto"/>
                <w:right w:val="none" w:sz="0" w:space="0" w:color="auto"/>
              </w:divBdr>
            </w:div>
            <w:div w:id="1844978379">
              <w:marLeft w:val="0"/>
              <w:marRight w:val="0"/>
              <w:marTop w:val="0"/>
              <w:marBottom w:val="0"/>
              <w:divBdr>
                <w:top w:val="none" w:sz="0" w:space="0" w:color="auto"/>
                <w:left w:val="none" w:sz="0" w:space="0" w:color="auto"/>
                <w:bottom w:val="none" w:sz="0" w:space="0" w:color="auto"/>
                <w:right w:val="none" w:sz="0" w:space="0" w:color="auto"/>
              </w:divBdr>
            </w:div>
            <w:div w:id="1625428338">
              <w:marLeft w:val="0"/>
              <w:marRight w:val="0"/>
              <w:marTop w:val="0"/>
              <w:marBottom w:val="0"/>
              <w:divBdr>
                <w:top w:val="none" w:sz="0" w:space="0" w:color="auto"/>
                <w:left w:val="none" w:sz="0" w:space="0" w:color="auto"/>
                <w:bottom w:val="none" w:sz="0" w:space="0" w:color="auto"/>
                <w:right w:val="none" w:sz="0" w:space="0" w:color="auto"/>
              </w:divBdr>
            </w:div>
            <w:div w:id="1637687693">
              <w:marLeft w:val="0"/>
              <w:marRight w:val="0"/>
              <w:marTop w:val="0"/>
              <w:marBottom w:val="0"/>
              <w:divBdr>
                <w:top w:val="none" w:sz="0" w:space="0" w:color="auto"/>
                <w:left w:val="none" w:sz="0" w:space="0" w:color="auto"/>
                <w:bottom w:val="none" w:sz="0" w:space="0" w:color="auto"/>
                <w:right w:val="none" w:sz="0" w:space="0" w:color="auto"/>
              </w:divBdr>
            </w:div>
            <w:div w:id="552615089">
              <w:marLeft w:val="0"/>
              <w:marRight w:val="0"/>
              <w:marTop w:val="0"/>
              <w:marBottom w:val="0"/>
              <w:divBdr>
                <w:top w:val="none" w:sz="0" w:space="0" w:color="auto"/>
                <w:left w:val="none" w:sz="0" w:space="0" w:color="auto"/>
                <w:bottom w:val="none" w:sz="0" w:space="0" w:color="auto"/>
                <w:right w:val="none" w:sz="0" w:space="0" w:color="auto"/>
              </w:divBdr>
            </w:div>
            <w:div w:id="1572891161">
              <w:marLeft w:val="0"/>
              <w:marRight w:val="0"/>
              <w:marTop w:val="0"/>
              <w:marBottom w:val="0"/>
              <w:divBdr>
                <w:top w:val="none" w:sz="0" w:space="0" w:color="auto"/>
                <w:left w:val="none" w:sz="0" w:space="0" w:color="auto"/>
                <w:bottom w:val="none" w:sz="0" w:space="0" w:color="auto"/>
                <w:right w:val="none" w:sz="0" w:space="0" w:color="auto"/>
              </w:divBdr>
            </w:div>
            <w:div w:id="1928807756">
              <w:marLeft w:val="0"/>
              <w:marRight w:val="0"/>
              <w:marTop w:val="0"/>
              <w:marBottom w:val="0"/>
              <w:divBdr>
                <w:top w:val="none" w:sz="0" w:space="0" w:color="auto"/>
                <w:left w:val="none" w:sz="0" w:space="0" w:color="auto"/>
                <w:bottom w:val="none" w:sz="0" w:space="0" w:color="auto"/>
                <w:right w:val="none" w:sz="0" w:space="0" w:color="auto"/>
              </w:divBdr>
            </w:div>
            <w:div w:id="550767965">
              <w:marLeft w:val="0"/>
              <w:marRight w:val="0"/>
              <w:marTop w:val="0"/>
              <w:marBottom w:val="0"/>
              <w:divBdr>
                <w:top w:val="none" w:sz="0" w:space="0" w:color="auto"/>
                <w:left w:val="none" w:sz="0" w:space="0" w:color="auto"/>
                <w:bottom w:val="none" w:sz="0" w:space="0" w:color="auto"/>
                <w:right w:val="none" w:sz="0" w:space="0" w:color="auto"/>
              </w:divBdr>
            </w:div>
            <w:div w:id="986976990">
              <w:marLeft w:val="0"/>
              <w:marRight w:val="0"/>
              <w:marTop w:val="0"/>
              <w:marBottom w:val="0"/>
              <w:divBdr>
                <w:top w:val="none" w:sz="0" w:space="0" w:color="auto"/>
                <w:left w:val="none" w:sz="0" w:space="0" w:color="auto"/>
                <w:bottom w:val="none" w:sz="0" w:space="0" w:color="auto"/>
                <w:right w:val="none" w:sz="0" w:space="0" w:color="auto"/>
              </w:divBdr>
            </w:div>
            <w:div w:id="1472361266">
              <w:marLeft w:val="0"/>
              <w:marRight w:val="0"/>
              <w:marTop w:val="0"/>
              <w:marBottom w:val="0"/>
              <w:divBdr>
                <w:top w:val="none" w:sz="0" w:space="0" w:color="auto"/>
                <w:left w:val="none" w:sz="0" w:space="0" w:color="auto"/>
                <w:bottom w:val="none" w:sz="0" w:space="0" w:color="auto"/>
                <w:right w:val="none" w:sz="0" w:space="0" w:color="auto"/>
              </w:divBdr>
            </w:div>
            <w:div w:id="1736270488">
              <w:marLeft w:val="0"/>
              <w:marRight w:val="0"/>
              <w:marTop w:val="0"/>
              <w:marBottom w:val="0"/>
              <w:divBdr>
                <w:top w:val="none" w:sz="0" w:space="0" w:color="auto"/>
                <w:left w:val="none" w:sz="0" w:space="0" w:color="auto"/>
                <w:bottom w:val="none" w:sz="0" w:space="0" w:color="auto"/>
                <w:right w:val="none" w:sz="0" w:space="0" w:color="auto"/>
              </w:divBdr>
            </w:div>
            <w:div w:id="2129354608">
              <w:marLeft w:val="0"/>
              <w:marRight w:val="0"/>
              <w:marTop w:val="0"/>
              <w:marBottom w:val="0"/>
              <w:divBdr>
                <w:top w:val="none" w:sz="0" w:space="0" w:color="auto"/>
                <w:left w:val="none" w:sz="0" w:space="0" w:color="auto"/>
                <w:bottom w:val="none" w:sz="0" w:space="0" w:color="auto"/>
                <w:right w:val="none" w:sz="0" w:space="0" w:color="auto"/>
              </w:divBdr>
            </w:div>
            <w:div w:id="1767379606">
              <w:marLeft w:val="0"/>
              <w:marRight w:val="0"/>
              <w:marTop w:val="0"/>
              <w:marBottom w:val="0"/>
              <w:divBdr>
                <w:top w:val="none" w:sz="0" w:space="0" w:color="auto"/>
                <w:left w:val="none" w:sz="0" w:space="0" w:color="auto"/>
                <w:bottom w:val="none" w:sz="0" w:space="0" w:color="auto"/>
                <w:right w:val="none" w:sz="0" w:space="0" w:color="auto"/>
              </w:divBdr>
            </w:div>
            <w:div w:id="90858711">
              <w:marLeft w:val="0"/>
              <w:marRight w:val="0"/>
              <w:marTop w:val="0"/>
              <w:marBottom w:val="0"/>
              <w:divBdr>
                <w:top w:val="none" w:sz="0" w:space="0" w:color="auto"/>
                <w:left w:val="none" w:sz="0" w:space="0" w:color="auto"/>
                <w:bottom w:val="none" w:sz="0" w:space="0" w:color="auto"/>
                <w:right w:val="none" w:sz="0" w:space="0" w:color="auto"/>
              </w:divBdr>
            </w:div>
            <w:div w:id="684668198">
              <w:marLeft w:val="0"/>
              <w:marRight w:val="0"/>
              <w:marTop w:val="0"/>
              <w:marBottom w:val="0"/>
              <w:divBdr>
                <w:top w:val="none" w:sz="0" w:space="0" w:color="auto"/>
                <w:left w:val="none" w:sz="0" w:space="0" w:color="auto"/>
                <w:bottom w:val="none" w:sz="0" w:space="0" w:color="auto"/>
                <w:right w:val="none" w:sz="0" w:space="0" w:color="auto"/>
              </w:divBdr>
            </w:div>
            <w:div w:id="191647113">
              <w:marLeft w:val="0"/>
              <w:marRight w:val="0"/>
              <w:marTop w:val="0"/>
              <w:marBottom w:val="0"/>
              <w:divBdr>
                <w:top w:val="none" w:sz="0" w:space="0" w:color="auto"/>
                <w:left w:val="none" w:sz="0" w:space="0" w:color="auto"/>
                <w:bottom w:val="none" w:sz="0" w:space="0" w:color="auto"/>
                <w:right w:val="none" w:sz="0" w:space="0" w:color="auto"/>
              </w:divBdr>
            </w:div>
            <w:div w:id="767047871">
              <w:marLeft w:val="0"/>
              <w:marRight w:val="0"/>
              <w:marTop w:val="0"/>
              <w:marBottom w:val="0"/>
              <w:divBdr>
                <w:top w:val="none" w:sz="0" w:space="0" w:color="auto"/>
                <w:left w:val="none" w:sz="0" w:space="0" w:color="auto"/>
                <w:bottom w:val="none" w:sz="0" w:space="0" w:color="auto"/>
                <w:right w:val="none" w:sz="0" w:space="0" w:color="auto"/>
              </w:divBdr>
            </w:div>
            <w:div w:id="540633802">
              <w:marLeft w:val="0"/>
              <w:marRight w:val="0"/>
              <w:marTop w:val="0"/>
              <w:marBottom w:val="0"/>
              <w:divBdr>
                <w:top w:val="none" w:sz="0" w:space="0" w:color="auto"/>
                <w:left w:val="none" w:sz="0" w:space="0" w:color="auto"/>
                <w:bottom w:val="none" w:sz="0" w:space="0" w:color="auto"/>
                <w:right w:val="none" w:sz="0" w:space="0" w:color="auto"/>
              </w:divBdr>
            </w:div>
            <w:div w:id="1753896286">
              <w:marLeft w:val="0"/>
              <w:marRight w:val="0"/>
              <w:marTop w:val="0"/>
              <w:marBottom w:val="0"/>
              <w:divBdr>
                <w:top w:val="none" w:sz="0" w:space="0" w:color="auto"/>
                <w:left w:val="none" w:sz="0" w:space="0" w:color="auto"/>
                <w:bottom w:val="none" w:sz="0" w:space="0" w:color="auto"/>
                <w:right w:val="none" w:sz="0" w:space="0" w:color="auto"/>
              </w:divBdr>
            </w:div>
            <w:div w:id="186212402">
              <w:marLeft w:val="0"/>
              <w:marRight w:val="0"/>
              <w:marTop w:val="0"/>
              <w:marBottom w:val="0"/>
              <w:divBdr>
                <w:top w:val="none" w:sz="0" w:space="0" w:color="auto"/>
                <w:left w:val="none" w:sz="0" w:space="0" w:color="auto"/>
                <w:bottom w:val="none" w:sz="0" w:space="0" w:color="auto"/>
                <w:right w:val="none" w:sz="0" w:space="0" w:color="auto"/>
              </w:divBdr>
            </w:div>
            <w:div w:id="66078513">
              <w:marLeft w:val="0"/>
              <w:marRight w:val="0"/>
              <w:marTop w:val="0"/>
              <w:marBottom w:val="0"/>
              <w:divBdr>
                <w:top w:val="none" w:sz="0" w:space="0" w:color="auto"/>
                <w:left w:val="none" w:sz="0" w:space="0" w:color="auto"/>
                <w:bottom w:val="none" w:sz="0" w:space="0" w:color="auto"/>
                <w:right w:val="none" w:sz="0" w:space="0" w:color="auto"/>
              </w:divBdr>
            </w:div>
            <w:div w:id="1219825803">
              <w:marLeft w:val="0"/>
              <w:marRight w:val="0"/>
              <w:marTop w:val="0"/>
              <w:marBottom w:val="0"/>
              <w:divBdr>
                <w:top w:val="none" w:sz="0" w:space="0" w:color="auto"/>
                <w:left w:val="none" w:sz="0" w:space="0" w:color="auto"/>
                <w:bottom w:val="none" w:sz="0" w:space="0" w:color="auto"/>
                <w:right w:val="none" w:sz="0" w:space="0" w:color="auto"/>
              </w:divBdr>
            </w:div>
            <w:div w:id="833842483">
              <w:marLeft w:val="0"/>
              <w:marRight w:val="0"/>
              <w:marTop w:val="0"/>
              <w:marBottom w:val="0"/>
              <w:divBdr>
                <w:top w:val="none" w:sz="0" w:space="0" w:color="auto"/>
                <w:left w:val="none" w:sz="0" w:space="0" w:color="auto"/>
                <w:bottom w:val="none" w:sz="0" w:space="0" w:color="auto"/>
                <w:right w:val="none" w:sz="0" w:space="0" w:color="auto"/>
              </w:divBdr>
            </w:div>
            <w:div w:id="1734619246">
              <w:marLeft w:val="0"/>
              <w:marRight w:val="0"/>
              <w:marTop w:val="0"/>
              <w:marBottom w:val="0"/>
              <w:divBdr>
                <w:top w:val="none" w:sz="0" w:space="0" w:color="auto"/>
                <w:left w:val="none" w:sz="0" w:space="0" w:color="auto"/>
                <w:bottom w:val="none" w:sz="0" w:space="0" w:color="auto"/>
                <w:right w:val="none" w:sz="0" w:space="0" w:color="auto"/>
              </w:divBdr>
            </w:div>
            <w:div w:id="2067099759">
              <w:marLeft w:val="0"/>
              <w:marRight w:val="0"/>
              <w:marTop w:val="0"/>
              <w:marBottom w:val="0"/>
              <w:divBdr>
                <w:top w:val="none" w:sz="0" w:space="0" w:color="auto"/>
                <w:left w:val="none" w:sz="0" w:space="0" w:color="auto"/>
                <w:bottom w:val="none" w:sz="0" w:space="0" w:color="auto"/>
                <w:right w:val="none" w:sz="0" w:space="0" w:color="auto"/>
              </w:divBdr>
            </w:div>
            <w:div w:id="205800199">
              <w:marLeft w:val="0"/>
              <w:marRight w:val="0"/>
              <w:marTop w:val="0"/>
              <w:marBottom w:val="0"/>
              <w:divBdr>
                <w:top w:val="none" w:sz="0" w:space="0" w:color="auto"/>
                <w:left w:val="none" w:sz="0" w:space="0" w:color="auto"/>
                <w:bottom w:val="none" w:sz="0" w:space="0" w:color="auto"/>
                <w:right w:val="none" w:sz="0" w:space="0" w:color="auto"/>
              </w:divBdr>
            </w:div>
            <w:div w:id="275719866">
              <w:marLeft w:val="0"/>
              <w:marRight w:val="0"/>
              <w:marTop w:val="0"/>
              <w:marBottom w:val="0"/>
              <w:divBdr>
                <w:top w:val="none" w:sz="0" w:space="0" w:color="auto"/>
                <w:left w:val="none" w:sz="0" w:space="0" w:color="auto"/>
                <w:bottom w:val="none" w:sz="0" w:space="0" w:color="auto"/>
                <w:right w:val="none" w:sz="0" w:space="0" w:color="auto"/>
              </w:divBdr>
            </w:div>
            <w:div w:id="1364208625">
              <w:marLeft w:val="0"/>
              <w:marRight w:val="0"/>
              <w:marTop w:val="0"/>
              <w:marBottom w:val="0"/>
              <w:divBdr>
                <w:top w:val="none" w:sz="0" w:space="0" w:color="auto"/>
                <w:left w:val="none" w:sz="0" w:space="0" w:color="auto"/>
                <w:bottom w:val="none" w:sz="0" w:space="0" w:color="auto"/>
                <w:right w:val="none" w:sz="0" w:space="0" w:color="auto"/>
              </w:divBdr>
            </w:div>
            <w:div w:id="1245337397">
              <w:marLeft w:val="0"/>
              <w:marRight w:val="0"/>
              <w:marTop w:val="0"/>
              <w:marBottom w:val="0"/>
              <w:divBdr>
                <w:top w:val="none" w:sz="0" w:space="0" w:color="auto"/>
                <w:left w:val="none" w:sz="0" w:space="0" w:color="auto"/>
                <w:bottom w:val="none" w:sz="0" w:space="0" w:color="auto"/>
                <w:right w:val="none" w:sz="0" w:space="0" w:color="auto"/>
              </w:divBdr>
            </w:div>
            <w:div w:id="947274101">
              <w:marLeft w:val="0"/>
              <w:marRight w:val="0"/>
              <w:marTop w:val="0"/>
              <w:marBottom w:val="0"/>
              <w:divBdr>
                <w:top w:val="none" w:sz="0" w:space="0" w:color="auto"/>
                <w:left w:val="none" w:sz="0" w:space="0" w:color="auto"/>
                <w:bottom w:val="none" w:sz="0" w:space="0" w:color="auto"/>
                <w:right w:val="none" w:sz="0" w:space="0" w:color="auto"/>
              </w:divBdr>
            </w:div>
            <w:div w:id="1242256124">
              <w:marLeft w:val="0"/>
              <w:marRight w:val="0"/>
              <w:marTop w:val="0"/>
              <w:marBottom w:val="0"/>
              <w:divBdr>
                <w:top w:val="none" w:sz="0" w:space="0" w:color="auto"/>
                <w:left w:val="none" w:sz="0" w:space="0" w:color="auto"/>
                <w:bottom w:val="none" w:sz="0" w:space="0" w:color="auto"/>
                <w:right w:val="none" w:sz="0" w:space="0" w:color="auto"/>
              </w:divBdr>
            </w:div>
            <w:div w:id="931087775">
              <w:marLeft w:val="0"/>
              <w:marRight w:val="0"/>
              <w:marTop w:val="0"/>
              <w:marBottom w:val="0"/>
              <w:divBdr>
                <w:top w:val="none" w:sz="0" w:space="0" w:color="auto"/>
                <w:left w:val="none" w:sz="0" w:space="0" w:color="auto"/>
                <w:bottom w:val="none" w:sz="0" w:space="0" w:color="auto"/>
                <w:right w:val="none" w:sz="0" w:space="0" w:color="auto"/>
              </w:divBdr>
            </w:div>
            <w:div w:id="8147712">
              <w:marLeft w:val="0"/>
              <w:marRight w:val="0"/>
              <w:marTop w:val="0"/>
              <w:marBottom w:val="0"/>
              <w:divBdr>
                <w:top w:val="none" w:sz="0" w:space="0" w:color="auto"/>
                <w:left w:val="none" w:sz="0" w:space="0" w:color="auto"/>
                <w:bottom w:val="none" w:sz="0" w:space="0" w:color="auto"/>
                <w:right w:val="none" w:sz="0" w:space="0" w:color="auto"/>
              </w:divBdr>
            </w:div>
            <w:div w:id="1137988710">
              <w:marLeft w:val="0"/>
              <w:marRight w:val="0"/>
              <w:marTop w:val="0"/>
              <w:marBottom w:val="0"/>
              <w:divBdr>
                <w:top w:val="none" w:sz="0" w:space="0" w:color="auto"/>
                <w:left w:val="none" w:sz="0" w:space="0" w:color="auto"/>
                <w:bottom w:val="none" w:sz="0" w:space="0" w:color="auto"/>
                <w:right w:val="none" w:sz="0" w:space="0" w:color="auto"/>
              </w:divBdr>
            </w:div>
            <w:div w:id="7801075">
              <w:marLeft w:val="0"/>
              <w:marRight w:val="0"/>
              <w:marTop w:val="0"/>
              <w:marBottom w:val="0"/>
              <w:divBdr>
                <w:top w:val="none" w:sz="0" w:space="0" w:color="auto"/>
                <w:left w:val="none" w:sz="0" w:space="0" w:color="auto"/>
                <w:bottom w:val="none" w:sz="0" w:space="0" w:color="auto"/>
                <w:right w:val="none" w:sz="0" w:space="0" w:color="auto"/>
              </w:divBdr>
            </w:div>
            <w:div w:id="1799568096">
              <w:marLeft w:val="0"/>
              <w:marRight w:val="0"/>
              <w:marTop w:val="0"/>
              <w:marBottom w:val="0"/>
              <w:divBdr>
                <w:top w:val="none" w:sz="0" w:space="0" w:color="auto"/>
                <w:left w:val="none" w:sz="0" w:space="0" w:color="auto"/>
                <w:bottom w:val="none" w:sz="0" w:space="0" w:color="auto"/>
                <w:right w:val="none" w:sz="0" w:space="0" w:color="auto"/>
              </w:divBdr>
            </w:div>
            <w:div w:id="891581040">
              <w:marLeft w:val="0"/>
              <w:marRight w:val="0"/>
              <w:marTop w:val="0"/>
              <w:marBottom w:val="0"/>
              <w:divBdr>
                <w:top w:val="none" w:sz="0" w:space="0" w:color="auto"/>
                <w:left w:val="none" w:sz="0" w:space="0" w:color="auto"/>
                <w:bottom w:val="none" w:sz="0" w:space="0" w:color="auto"/>
                <w:right w:val="none" w:sz="0" w:space="0" w:color="auto"/>
              </w:divBdr>
            </w:div>
            <w:div w:id="1841697316">
              <w:marLeft w:val="0"/>
              <w:marRight w:val="0"/>
              <w:marTop w:val="0"/>
              <w:marBottom w:val="0"/>
              <w:divBdr>
                <w:top w:val="none" w:sz="0" w:space="0" w:color="auto"/>
                <w:left w:val="none" w:sz="0" w:space="0" w:color="auto"/>
                <w:bottom w:val="none" w:sz="0" w:space="0" w:color="auto"/>
                <w:right w:val="none" w:sz="0" w:space="0" w:color="auto"/>
              </w:divBdr>
            </w:div>
            <w:div w:id="149903886">
              <w:marLeft w:val="0"/>
              <w:marRight w:val="0"/>
              <w:marTop w:val="0"/>
              <w:marBottom w:val="0"/>
              <w:divBdr>
                <w:top w:val="none" w:sz="0" w:space="0" w:color="auto"/>
                <w:left w:val="none" w:sz="0" w:space="0" w:color="auto"/>
                <w:bottom w:val="none" w:sz="0" w:space="0" w:color="auto"/>
                <w:right w:val="none" w:sz="0" w:space="0" w:color="auto"/>
              </w:divBdr>
            </w:div>
            <w:div w:id="1706711774">
              <w:marLeft w:val="0"/>
              <w:marRight w:val="0"/>
              <w:marTop w:val="0"/>
              <w:marBottom w:val="0"/>
              <w:divBdr>
                <w:top w:val="none" w:sz="0" w:space="0" w:color="auto"/>
                <w:left w:val="none" w:sz="0" w:space="0" w:color="auto"/>
                <w:bottom w:val="none" w:sz="0" w:space="0" w:color="auto"/>
                <w:right w:val="none" w:sz="0" w:space="0" w:color="auto"/>
              </w:divBdr>
            </w:div>
            <w:div w:id="275526279">
              <w:marLeft w:val="0"/>
              <w:marRight w:val="0"/>
              <w:marTop w:val="0"/>
              <w:marBottom w:val="0"/>
              <w:divBdr>
                <w:top w:val="none" w:sz="0" w:space="0" w:color="auto"/>
                <w:left w:val="none" w:sz="0" w:space="0" w:color="auto"/>
                <w:bottom w:val="none" w:sz="0" w:space="0" w:color="auto"/>
                <w:right w:val="none" w:sz="0" w:space="0" w:color="auto"/>
              </w:divBdr>
            </w:div>
            <w:div w:id="2099212305">
              <w:marLeft w:val="0"/>
              <w:marRight w:val="0"/>
              <w:marTop w:val="0"/>
              <w:marBottom w:val="0"/>
              <w:divBdr>
                <w:top w:val="none" w:sz="0" w:space="0" w:color="auto"/>
                <w:left w:val="none" w:sz="0" w:space="0" w:color="auto"/>
                <w:bottom w:val="none" w:sz="0" w:space="0" w:color="auto"/>
                <w:right w:val="none" w:sz="0" w:space="0" w:color="auto"/>
              </w:divBdr>
            </w:div>
            <w:div w:id="1889409710">
              <w:marLeft w:val="0"/>
              <w:marRight w:val="0"/>
              <w:marTop w:val="0"/>
              <w:marBottom w:val="0"/>
              <w:divBdr>
                <w:top w:val="none" w:sz="0" w:space="0" w:color="auto"/>
                <w:left w:val="none" w:sz="0" w:space="0" w:color="auto"/>
                <w:bottom w:val="none" w:sz="0" w:space="0" w:color="auto"/>
                <w:right w:val="none" w:sz="0" w:space="0" w:color="auto"/>
              </w:divBdr>
            </w:div>
            <w:div w:id="286158974">
              <w:marLeft w:val="0"/>
              <w:marRight w:val="0"/>
              <w:marTop w:val="0"/>
              <w:marBottom w:val="0"/>
              <w:divBdr>
                <w:top w:val="none" w:sz="0" w:space="0" w:color="auto"/>
                <w:left w:val="none" w:sz="0" w:space="0" w:color="auto"/>
                <w:bottom w:val="none" w:sz="0" w:space="0" w:color="auto"/>
                <w:right w:val="none" w:sz="0" w:space="0" w:color="auto"/>
              </w:divBdr>
            </w:div>
            <w:div w:id="1216501114">
              <w:marLeft w:val="0"/>
              <w:marRight w:val="0"/>
              <w:marTop w:val="0"/>
              <w:marBottom w:val="0"/>
              <w:divBdr>
                <w:top w:val="none" w:sz="0" w:space="0" w:color="auto"/>
                <w:left w:val="none" w:sz="0" w:space="0" w:color="auto"/>
                <w:bottom w:val="none" w:sz="0" w:space="0" w:color="auto"/>
                <w:right w:val="none" w:sz="0" w:space="0" w:color="auto"/>
              </w:divBdr>
            </w:div>
            <w:div w:id="947933182">
              <w:marLeft w:val="0"/>
              <w:marRight w:val="0"/>
              <w:marTop w:val="0"/>
              <w:marBottom w:val="0"/>
              <w:divBdr>
                <w:top w:val="none" w:sz="0" w:space="0" w:color="auto"/>
                <w:left w:val="none" w:sz="0" w:space="0" w:color="auto"/>
                <w:bottom w:val="none" w:sz="0" w:space="0" w:color="auto"/>
                <w:right w:val="none" w:sz="0" w:space="0" w:color="auto"/>
              </w:divBdr>
            </w:div>
            <w:div w:id="1709989881">
              <w:marLeft w:val="0"/>
              <w:marRight w:val="0"/>
              <w:marTop w:val="0"/>
              <w:marBottom w:val="0"/>
              <w:divBdr>
                <w:top w:val="none" w:sz="0" w:space="0" w:color="auto"/>
                <w:left w:val="none" w:sz="0" w:space="0" w:color="auto"/>
                <w:bottom w:val="none" w:sz="0" w:space="0" w:color="auto"/>
                <w:right w:val="none" w:sz="0" w:space="0" w:color="auto"/>
              </w:divBdr>
            </w:div>
            <w:div w:id="2007782376">
              <w:marLeft w:val="0"/>
              <w:marRight w:val="0"/>
              <w:marTop w:val="0"/>
              <w:marBottom w:val="0"/>
              <w:divBdr>
                <w:top w:val="none" w:sz="0" w:space="0" w:color="auto"/>
                <w:left w:val="none" w:sz="0" w:space="0" w:color="auto"/>
                <w:bottom w:val="none" w:sz="0" w:space="0" w:color="auto"/>
                <w:right w:val="none" w:sz="0" w:space="0" w:color="auto"/>
              </w:divBdr>
            </w:div>
            <w:div w:id="2132438650">
              <w:marLeft w:val="0"/>
              <w:marRight w:val="0"/>
              <w:marTop w:val="0"/>
              <w:marBottom w:val="0"/>
              <w:divBdr>
                <w:top w:val="none" w:sz="0" w:space="0" w:color="auto"/>
                <w:left w:val="none" w:sz="0" w:space="0" w:color="auto"/>
                <w:bottom w:val="none" w:sz="0" w:space="0" w:color="auto"/>
                <w:right w:val="none" w:sz="0" w:space="0" w:color="auto"/>
              </w:divBdr>
            </w:div>
            <w:div w:id="1857649673">
              <w:marLeft w:val="0"/>
              <w:marRight w:val="0"/>
              <w:marTop w:val="0"/>
              <w:marBottom w:val="0"/>
              <w:divBdr>
                <w:top w:val="none" w:sz="0" w:space="0" w:color="auto"/>
                <w:left w:val="none" w:sz="0" w:space="0" w:color="auto"/>
                <w:bottom w:val="none" w:sz="0" w:space="0" w:color="auto"/>
                <w:right w:val="none" w:sz="0" w:space="0" w:color="auto"/>
              </w:divBdr>
            </w:div>
            <w:div w:id="58944278">
              <w:marLeft w:val="0"/>
              <w:marRight w:val="0"/>
              <w:marTop w:val="0"/>
              <w:marBottom w:val="0"/>
              <w:divBdr>
                <w:top w:val="none" w:sz="0" w:space="0" w:color="auto"/>
                <w:left w:val="none" w:sz="0" w:space="0" w:color="auto"/>
                <w:bottom w:val="none" w:sz="0" w:space="0" w:color="auto"/>
                <w:right w:val="none" w:sz="0" w:space="0" w:color="auto"/>
              </w:divBdr>
            </w:div>
            <w:div w:id="1445493903">
              <w:marLeft w:val="0"/>
              <w:marRight w:val="0"/>
              <w:marTop w:val="0"/>
              <w:marBottom w:val="0"/>
              <w:divBdr>
                <w:top w:val="none" w:sz="0" w:space="0" w:color="auto"/>
                <w:left w:val="none" w:sz="0" w:space="0" w:color="auto"/>
                <w:bottom w:val="none" w:sz="0" w:space="0" w:color="auto"/>
                <w:right w:val="none" w:sz="0" w:space="0" w:color="auto"/>
              </w:divBdr>
            </w:div>
            <w:div w:id="573781567">
              <w:marLeft w:val="0"/>
              <w:marRight w:val="0"/>
              <w:marTop w:val="0"/>
              <w:marBottom w:val="0"/>
              <w:divBdr>
                <w:top w:val="none" w:sz="0" w:space="0" w:color="auto"/>
                <w:left w:val="none" w:sz="0" w:space="0" w:color="auto"/>
                <w:bottom w:val="none" w:sz="0" w:space="0" w:color="auto"/>
                <w:right w:val="none" w:sz="0" w:space="0" w:color="auto"/>
              </w:divBdr>
            </w:div>
            <w:div w:id="581640958">
              <w:marLeft w:val="0"/>
              <w:marRight w:val="0"/>
              <w:marTop w:val="0"/>
              <w:marBottom w:val="0"/>
              <w:divBdr>
                <w:top w:val="none" w:sz="0" w:space="0" w:color="auto"/>
                <w:left w:val="none" w:sz="0" w:space="0" w:color="auto"/>
                <w:bottom w:val="none" w:sz="0" w:space="0" w:color="auto"/>
                <w:right w:val="none" w:sz="0" w:space="0" w:color="auto"/>
              </w:divBdr>
            </w:div>
            <w:div w:id="213741172">
              <w:marLeft w:val="0"/>
              <w:marRight w:val="0"/>
              <w:marTop w:val="0"/>
              <w:marBottom w:val="0"/>
              <w:divBdr>
                <w:top w:val="none" w:sz="0" w:space="0" w:color="auto"/>
                <w:left w:val="none" w:sz="0" w:space="0" w:color="auto"/>
                <w:bottom w:val="none" w:sz="0" w:space="0" w:color="auto"/>
                <w:right w:val="none" w:sz="0" w:space="0" w:color="auto"/>
              </w:divBdr>
            </w:div>
            <w:div w:id="1865435380">
              <w:marLeft w:val="0"/>
              <w:marRight w:val="0"/>
              <w:marTop w:val="0"/>
              <w:marBottom w:val="0"/>
              <w:divBdr>
                <w:top w:val="none" w:sz="0" w:space="0" w:color="auto"/>
                <w:left w:val="none" w:sz="0" w:space="0" w:color="auto"/>
                <w:bottom w:val="none" w:sz="0" w:space="0" w:color="auto"/>
                <w:right w:val="none" w:sz="0" w:space="0" w:color="auto"/>
              </w:divBdr>
            </w:div>
            <w:div w:id="1737439293">
              <w:marLeft w:val="0"/>
              <w:marRight w:val="0"/>
              <w:marTop w:val="0"/>
              <w:marBottom w:val="0"/>
              <w:divBdr>
                <w:top w:val="none" w:sz="0" w:space="0" w:color="auto"/>
                <w:left w:val="none" w:sz="0" w:space="0" w:color="auto"/>
                <w:bottom w:val="none" w:sz="0" w:space="0" w:color="auto"/>
                <w:right w:val="none" w:sz="0" w:space="0" w:color="auto"/>
              </w:divBdr>
            </w:div>
            <w:div w:id="473449069">
              <w:marLeft w:val="0"/>
              <w:marRight w:val="0"/>
              <w:marTop w:val="0"/>
              <w:marBottom w:val="0"/>
              <w:divBdr>
                <w:top w:val="none" w:sz="0" w:space="0" w:color="auto"/>
                <w:left w:val="none" w:sz="0" w:space="0" w:color="auto"/>
                <w:bottom w:val="none" w:sz="0" w:space="0" w:color="auto"/>
                <w:right w:val="none" w:sz="0" w:space="0" w:color="auto"/>
              </w:divBdr>
            </w:div>
            <w:div w:id="1532260078">
              <w:marLeft w:val="0"/>
              <w:marRight w:val="0"/>
              <w:marTop w:val="0"/>
              <w:marBottom w:val="0"/>
              <w:divBdr>
                <w:top w:val="none" w:sz="0" w:space="0" w:color="auto"/>
                <w:left w:val="none" w:sz="0" w:space="0" w:color="auto"/>
                <w:bottom w:val="none" w:sz="0" w:space="0" w:color="auto"/>
                <w:right w:val="none" w:sz="0" w:space="0" w:color="auto"/>
              </w:divBdr>
            </w:div>
            <w:div w:id="1243297928">
              <w:marLeft w:val="0"/>
              <w:marRight w:val="0"/>
              <w:marTop w:val="0"/>
              <w:marBottom w:val="0"/>
              <w:divBdr>
                <w:top w:val="none" w:sz="0" w:space="0" w:color="auto"/>
                <w:left w:val="none" w:sz="0" w:space="0" w:color="auto"/>
                <w:bottom w:val="none" w:sz="0" w:space="0" w:color="auto"/>
                <w:right w:val="none" w:sz="0" w:space="0" w:color="auto"/>
              </w:divBdr>
            </w:div>
            <w:div w:id="1674188240">
              <w:marLeft w:val="0"/>
              <w:marRight w:val="0"/>
              <w:marTop w:val="0"/>
              <w:marBottom w:val="0"/>
              <w:divBdr>
                <w:top w:val="none" w:sz="0" w:space="0" w:color="auto"/>
                <w:left w:val="none" w:sz="0" w:space="0" w:color="auto"/>
                <w:bottom w:val="none" w:sz="0" w:space="0" w:color="auto"/>
                <w:right w:val="none" w:sz="0" w:space="0" w:color="auto"/>
              </w:divBdr>
            </w:div>
            <w:div w:id="1512914226">
              <w:marLeft w:val="0"/>
              <w:marRight w:val="0"/>
              <w:marTop w:val="0"/>
              <w:marBottom w:val="0"/>
              <w:divBdr>
                <w:top w:val="none" w:sz="0" w:space="0" w:color="auto"/>
                <w:left w:val="none" w:sz="0" w:space="0" w:color="auto"/>
                <w:bottom w:val="none" w:sz="0" w:space="0" w:color="auto"/>
                <w:right w:val="none" w:sz="0" w:space="0" w:color="auto"/>
              </w:divBdr>
            </w:div>
            <w:div w:id="1060250361">
              <w:marLeft w:val="0"/>
              <w:marRight w:val="0"/>
              <w:marTop w:val="0"/>
              <w:marBottom w:val="0"/>
              <w:divBdr>
                <w:top w:val="none" w:sz="0" w:space="0" w:color="auto"/>
                <w:left w:val="none" w:sz="0" w:space="0" w:color="auto"/>
                <w:bottom w:val="none" w:sz="0" w:space="0" w:color="auto"/>
                <w:right w:val="none" w:sz="0" w:space="0" w:color="auto"/>
              </w:divBdr>
            </w:div>
            <w:div w:id="1126511347">
              <w:marLeft w:val="0"/>
              <w:marRight w:val="0"/>
              <w:marTop w:val="0"/>
              <w:marBottom w:val="0"/>
              <w:divBdr>
                <w:top w:val="none" w:sz="0" w:space="0" w:color="auto"/>
                <w:left w:val="none" w:sz="0" w:space="0" w:color="auto"/>
                <w:bottom w:val="none" w:sz="0" w:space="0" w:color="auto"/>
                <w:right w:val="none" w:sz="0" w:space="0" w:color="auto"/>
              </w:divBdr>
            </w:div>
            <w:div w:id="832571663">
              <w:marLeft w:val="0"/>
              <w:marRight w:val="0"/>
              <w:marTop w:val="0"/>
              <w:marBottom w:val="0"/>
              <w:divBdr>
                <w:top w:val="none" w:sz="0" w:space="0" w:color="auto"/>
                <w:left w:val="none" w:sz="0" w:space="0" w:color="auto"/>
                <w:bottom w:val="none" w:sz="0" w:space="0" w:color="auto"/>
                <w:right w:val="none" w:sz="0" w:space="0" w:color="auto"/>
              </w:divBdr>
            </w:div>
            <w:div w:id="112290077">
              <w:marLeft w:val="0"/>
              <w:marRight w:val="0"/>
              <w:marTop w:val="0"/>
              <w:marBottom w:val="0"/>
              <w:divBdr>
                <w:top w:val="none" w:sz="0" w:space="0" w:color="auto"/>
                <w:left w:val="none" w:sz="0" w:space="0" w:color="auto"/>
                <w:bottom w:val="none" w:sz="0" w:space="0" w:color="auto"/>
                <w:right w:val="none" w:sz="0" w:space="0" w:color="auto"/>
              </w:divBdr>
            </w:div>
            <w:div w:id="653804573">
              <w:marLeft w:val="0"/>
              <w:marRight w:val="0"/>
              <w:marTop w:val="0"/>
              <w:marBottom w:val="0"/>
              <w:divBdr>
                <w:top w:val="none" w:sz="0" w:space="0" w:color="auto"/>
                <w:left w:val="none" w:sz="0" w:space="0" w:color="auto"/>
                <w:bottom w:val="none" w:sz="0" w:space="0" w:color="auto"/>
                <w:right w:val="none" w:sz="0" w:space="0" w:color="auto"/>
              </w:divBdr>
            </w:div>
            <w:div w:id="773482023">
              <w:marLeft w:val="0"/>
              <w:marRight w:val="0"/>
              <w:marTop w:val="0"/>
              <w:marBottom w:val="0"/>
              <w:divBdr>
                <w:top w:val="none" w:sz="0" w:space="0" w:color="auto"/>
                <w:left w:val="none" w:sz="0" w:space="0" w:color="auto"/>
                <w:bottom w:val="none" w:sz="0" w:space="0" w:color="auto"/>
                <w:right w:val="none" w:sz="0" w:space="0" w:color="auto"/>
              </w:divBdr>
            </w:div>
            <w:div w:id="106395805">
              <w:marLeft w:val="0"/>
              <w:marRight w:val="0"/>
              <w:marTop w:val="0"/>
              <w:marBottom w:val="0"/>
              <w:divBdr>
                <w:top w:val="none" w:sz="0" w:space="0" w:color="auto"/>
                <w:left w:val="none" w:sz="0" w:space="0" w:color="auto"/>
                <w:bottom w:val="none" w:sz="0" w:space="0" w:color="auto"/>
                <w:right w:val="none" w:sz="0" w:space="0" w:color="auto"/>
              </w:divBdr>
            </w:div>
            <w:div w:id="1296445022">
              <w:marLeft w:val="0"/>
              <w:marRight w:val="0"/>
              <w:marTop w:val="0"/>
              <w:marBottom w:val="0"/>
              <w:divBdr>
                <w:top w:val="none" w:sz="0" w:space="0" w:color="auto"/>
                <w:left w:val="none" w:sz="0" w:space="0" w:color="auto"/>
                <w:bottom w:val="none" w:sz="0" w:space="0" w:color="auto"/>
                <w:right w:val="none" w:sz="0" w:space="0" w:color="auto"/>
              </w:divBdr>
            </w:div>
            <w:div w:id="1956476660">
              <w:marLeft w:val="0"/>
              <w:marRight w:val="0"/>
              <w:marTop w:val="0"/>
              <w:marBottom w:val="0"/>
              <w:divBdr>
                <w:top w:val="none" w:sz="0" w:space="0" w:color="auto"/>
                <w:left w:val="none" w:sz="0" w:space="0" w:color="auto"/>
                <w:bottom w:val="none" w:sz="0" w:space="0" w:color="auto"/>
                <w:right w:val="none" w:sz="0" w:space="0" w:color="auto"/>
              </w:divBdr>
            </w:div>
            <w:div w:id="144200286">
              <w:marLeft w:val="0"/>
              <w:marRight w:val="0"/>
              <w:marTop w:val="0"/>
              <w:marBottom w:val="0"/>
              <w:divBdr>
                <w:top w:val="none" w:sz="0" w:space="0" w:color="auto"/>
                <w:left w:val="none" w:sz="0" w:space="0" w:color="auto"/>
                <w:bottom w:val="none" w:sz="0" w:space="0" w:color="auto"/>
                <w:right w:val="none" w:sz="0" w:space="0" w:color="auto"/>
              </w:divBdr>
            </w:div>
            <w:div w:id="243492361">
              <w:marLeft w:val="0"/>
              <w:marRight w:val="0"/>
              <w:marTop w:val="0"/>
              <w:marBottom w:val="0"/>
              <w:divBdr>
                <w:top w:val="none" w:sz="0" w:space="0" w:color="auto"/>
                <w:left w:val="none" w:sz="0" w:space="0" w:color="auto"/>
                <w:bottom w:val="none" w:sz="0" w:space="0" w:color="auto"/>
                <w:right w:val="none" w:sz="0" w:space="0" w:color="auto"/>
              </w:divBdr>
            </w:div>
            <w:div w:id="550120836">
              <w:marLeft w:val="0"/>
              <w:marRight w:val="0"/>
              <w:marTop w:val="0"/>
              <w:marBottom w:val="0"/>
              <w:divBdr>
                <w:top w:val="none" w:sz="0" w:space="0" w:color="auto"/>
                <w:left w:val="none" w:sz="0" w:space="0" w:color="auto"/>
                <w:bottom w:val="none" w:sz="0" w:space="0" w:color="auto"/>
                <w:right w:val="none" w:sz="0" w:space="0" w:color="auto"/>
              </w:divBdr>
            </w:div>
            <w:div w:id="971985048">
              <w:marLeft w:val="0"/>
              <w:marRight w:val="0"/>
              <w:marTop w:val="0"/>
              <w:marBottom w:val="0"/>
              <w:divBdr>
                <w:top w:val="none" w:sz="0" w:space="0" w:color="auto"/>
                <w:left w:val="none" w:sz="0" w:space="0" w:color="auto"/>
                <w:bottom w:val="none" w:sz="0" w:space="0" w:color="auto"/>
                <w:right w:val="none" w:sz="0" w:space="0" w:color="auto"/>
              </w:divBdr>
            </w:div>
            <w:div w:id="1993293193">
              <w:marLeft w:val="0"/>
              <w:marRight w:val="0"/>
              <w:marTop w:val="0"/>
              <w:marBottom w:val="0"/>
              <w:divBdr>
                <w:top w:val="none" w:sz="0" w:space="0" w:color="auto"/>
                <w:left w:val="none" w:sz="0" w:space="0" w:color="auto"/>
                <w:bottom w:val="none" w:sz="0" w:space="0" w:color="auto"/>
                <w:right w:val="none" w:sz="0" w:space="0" w:color="auto"/>
              </w:divBdr>
            </w:div>
            <w:div w:id="1133059020">
              <w:marLeft w:val="0"/>
              <w:marRight w:val="0"/>
              <w:marTop w:val="0"/>
              <w:marBottom w:val="0"/>
              <w:divBdr>
                <w:top w:val="none" w:sz="0" w:space="0" w:color="auto"/>
                <w:left w:val="none" w:sz="0" w:space="0" w:color="auto"/>
                <w:bottom w:val="none" w:sz="0" w:space="0" w:color="auto"/>
                <w:right w:val="none" w:sz="0" w:space="0" w:color="auto"/>
              </w:divBdr>
            </w:div>
            <w:div w:id="45182470">
              <w:marLeft w:val="0"/>
              <w:marRight w:val="0"/>
              <w:marTop w:val="0"/>
              <w:marBottom w:val="0"/>
              <w:divBdr>
                <w:top w:val="none" w:sz="0" w:space="0" w:color="auto"/>
                <w:left w:val="none" w:sz="0" w:space="0" w:color="auto"/>
                <w:bottom w:val="none" w:sz="0" w:space="0" w:color="auto"/>
                <w:right w:val="none" w:sz="0" w:space="0" w:color="auto"/>
              </w:divBdr>
            </w:div>
            <w:div w:id="1941522153">
              <w:marLeft w:val="0"/>
              <w:marRight w:val="0"/>
              <w:marTop w:val="0"/>
              <w:marBottom w:val="0"/>
              <w:divBdr>
                <w:top w:val="none" w:sz="0" w:space="0" w:color="auto"/>
                <w:left w:val="none" w:sz="0" w:space="0" w:color="auto"/>
                <w:bottom w:val="none" w:sz="0" w:space="0" w:color="auto"/>
                <w:right w:val="none" w:sz="0" w:space="0" w:color="auto"/>
              </w:divBdr>
            </w:div>
            <w:div w:id="71901417">
              <w:marLeft w:val="0"/>
              <w:marRight w:val="0"/>
              <w:marTop w:val="0"/>
              <w:marBottom w:val="0"/>
              <w:divBdr>
                <w:top w:val="none" w:sz="0" w:space="0" w:color="auto"/>
                <w:left w:val="none" w:sz="0" w:space="0" w:color="auto"/>
                <w:bottom w:val="none" w:sz="0" w:space="0" w:color="auto"/>
                <w:right w:val="none" w:sz="0" w:space="0" w:color="auto"/>
              </w:divBdr>
            </w:div>
            <w:div w:id="188879720">
              <w:marLeft w:val="0"/>
              <w:marRight w:val="0"/>
              <w:marTop w:val="0"/>
              <w:marBottom w:val="0"/>
              <w:divBdr>
                <w:top w:val="none" w:sz="0" w:space="0" w:color="auto"/>
                <w:left w:val="none" w:sz="0" w:space="0" w:color="auto"/>
                <w:bottom w:val="none" w:sz="0" w:space="0" w:color="auto"/>
                <w:right w:val="none" w:sz="0" w:space="0" w:color="auto"/>
              </w:divBdr>
            </w:div>
            <w:div w:id="37777310">
              <w:marLeft w:val="0"/>
              <w:marRight w:val="0"/>
              <w:marTop w:val="0"/>
              <w:marBottom w:val="0"/>
              <w:divBdr>
                <w:top w:val="none" w:sz="0" w:space="0" w:color="auto"/>
                <w:left w:val="none" w:sz="0" w:space="0" w:color="auto"/>
                <w:bottom w:val="none" w:sz="0" w:space="0" w:color="auto"/>
                <w:right w:val="none" w:sz="0" w:space="0" w:color="auto"/>
              </w:divBdr>
            </w:div>
            <w:div w:id="838736146">
              <w:marLeft w:val="0"/>
              <w:marRight w:val="0"/>
              <w:marTop w:val="0"/>
              <w:marBottom w:val="0"/>
              <w:divBdr>
                <w:top w:val="none" w:sz="0" w:space="0" w:color="auto"/>
                <w:left w:val="none" w:sz="0" w:space="0" w:color="auto"/>
                <w:bottom w:val="none" w:sz="0" w:space="0" w:color="auto"/>
                <w:right w:val="none" w:sz="0" w:space="0" w:color="auto"/>
              </w:divBdr>
            </w:div>
            <w:div w:id="1178154277">
              <w:marLeft w:val="0"/>
              <w:marRight w:val="0"/>
              <w:marTop w:val="0"/>
              <w:marBottom w:val="0"/>
              <w:divBdr>
                <w:top w:val="none" w:sz="0" w:space="0" w:color="auto"/>
                <w:left w:val="none" w:sz="0" w:space="0" w:color="auto"/>
                <w:bottom w:val="none" w:sz="0" w:space="0" w:color="auto"/>
                <w:right w:val="none" w:sz="0" w:space="0" w:color="auto"/>
              </w:divBdr>
            </w:div>
            <w:div w:id="1680738973">
              <w:marLeft w:val="0"/>
              <w:marRight w:val="0"/>
              <w:marTop w:val="0"/>
              <w:marBottom w:val="0"/>
              <w:divBdr>
                <w:top w:val="none" w:sz="0" w:space="0" w:color="auto"/>
                <w:left w:val="none" w:sz="0" w:space="0" w:color="auto"/>
                <w:bottom w:val="none" w:sz="0" w:space="0" w:color="auto"/>
                <w:right w:val="none" w:sz="0" w:space="0" w:color="auto"/>
              </w:divBdr>
            </w:div>
            <w:div w:id="604314160">
              <w:marLeft w:val="0"/>
              <w:marRight w:val="0"/>
              <w:marTop w:val="0"/>
              <w:marBottom w:val="0"/>
              <w:divBdr>
                <w:top w:val="none" w:sz="0" w:space="0" w:color="auto"/>
                <w:left w:val="none" w:sz="0" w:space="0" w:color="auto"/>
                <w:bottom w:val="none" w:sz="0" w:space="0" w:color="auto"/>
                <w:right w:val="none" w:sz="0" w:space="0" w:color="auto"/>
              </w:divBdr>
            </w:div>
            <w:div w:id="716584189">
              <w:marLeft w:val="0"/>
              <w:marRight w:val="0"/>
              <w:marTop w:val="0"/>
              <w:marBottom w:val="0"/>
              <w:divBdr>
                <w:top w:val="none" w:sz="0" w:space="0" w:color="auto"/>
                <w:left w:val="none" w:sz="0" w:space="0" w:color="auto"/>
                <w:bottom w:val="none" w:sz="0" w:space="0" w:color="auto"/>
                <w:right w:val="none" w:sz="0" w:space="0" w:color="auto"/>
              </w:divBdr>
            </w:div>
            <w:div w:id="2018540083">
              <w:marLeft w:val="0"/>
              <w:marRight w:val="0"/>
              <w:marTop w:val="0"/>
              <w:marBottom w:val="0"/>
              <w:divBdr>
                <w:top w:val="none" w:sz="0" w:space="0" w:color="auto"/>
                <w:left w:val="none" w:sz="0" w:space="0" w:color="auto"/>
                <w:bottom w:val="none" w:sz="0" w:space="0" w:color="auto"/>
                <w:right w:val="none" w:sz="0" w:space="0" w:color="auto"/>
              </w:divBdr>
            </w:div>
            <w:div w:id="773091600">
              <w:marLeft w:val="0"/>
              <w:marRight w:val="0"/>
              <w:marTop w:val="0"/>
              <w:marBottom w:val="0"/>
              <w:divBdr>
                <w:top w:val="none" w:sz="0" w:space="0" w:color="auto"/>
                <w:left w:val="none" w:sz="0" w:space="0" w:color="auto"/>
                <w:bottom w:val="none" w:sz="0" w:space="0" w:color="auto"/>
                <w:right w:val="none" w:sz="0" w:space="0" w:color="auto"/>
              </w:divBdr>
            </w:div>
            <w:div w:id="572392590">
              <w:marLeft w:val="0"/>
              <w:marRight w:val="0"/>
              <w:marTop w:val="0"/>
              <w:marBottom w:val="0"/>
              <w:divBdr>
                <w:top w:val="none" w:sz="0" w:space="0" w:color="auto"/>
                <w:left w:val="none" w:sz="0" w:space="0" w:color="auto"/>
                <w:bottom w:val="none" w:sz="0" w:space="0" w:color="auto"/>
                <w:right w:val="none" w:sz="0" w:space="0" w:color="auto"/>
              </w:divBdr>
            </w:div>
            <w:div w:id="1424568181">
              <w:marLeft w:val="0"/>
              <w:marRight w:val="0"/>
              <w:marTop w:val="0"/>
              <w:marBottom w:val="0"/>
              <w:divBdr>
                <w:top w:val="none" w:sz="0" w:space="0" w:color="auto"/>
                <w:left w:val="none" w:sz="0" w:space="0" w:color="auto"/>
                <w:bottom w:val="none" w:sz="0" w:space="0" w:color="auto"/>
                <w:right w:val="none" w:sz="0" w:space="0" w:color="auto"/>
              </w:divBdr>
            </w:div>
            <w:div w:id="869490423">
              <w:marLeft w:val="0"/>
              <w:marRight w:val="0"/>
              <w:marTop w:val="0"/>
              <w:marBottom w:val="0"/>
              <w:divBdr>
                <w:top w:val="none" w:sz="0" w:space="0" w:color="auto"/>
                <w:left w:val="none" w:sz="0" w:space="0" w:color="auto"/>
                <w:bottom w:val="none" w:sz="0" w:space="0" w:color="auto"/>
                <w:right w:val="none" w:sz="0" w:space="0" w:color="auto"/>
              </w:divBdr>
            </w:div>
            <w:div w:id="1538158338">
              <w:marLeft w:val="0"/>
              <w:marRight w:val="0"/>
              <w:marTop w:val="0"/>
              <w:marBottom w:val="0"/>
              <w:divBdr>
                <w:top w:val="none" w:sz="0" w:space="0" w:color="auto"/>
                <w:left w:val="none" w:sz="0" w:space="0" w:color="auto"/>
                <w:bottom w:val="none" w:sz="0" w:space="0" w:color="auto"/>
                <w:right w:val="none" w:sz="0" w:space="0" w:color="auto"/>
              </w:divBdr>
            </w:div>
            <w:div w:id="1124546017">
              <w:marLeft w:val="0"/>
              <w:marRight w:val="0"/>
              <w:marTop w:val="0"/>
              <w:marBottom w:val="0"/>
              <w:divBdr>
                <w:top w:val="none" w:sz="0" w:space="0" w:color="auto"/>
                <w:left w:val="none" w:sz="0" w:space="0" w:color="auto"/>
                <w:bottom w:val="none" w:sz="0" w:space="0" w:color="auto"/>
                <w:right w:val="none" w:sz="0" w:space="0" w:color="auto"/>
              </w:divBdr>
            </w:div>
            <w:div w:id="459690038">
              <w:marLeft w:val="0"/>
              <w:marRight w:val="0"/>
              <w:marTop w:val="0"/>
              <w:marBottom w:val="0"/>
              <w:divBdr>
                <w:top w:val="none" w:sz="0" w:space="0" w:color="auto"/>
                <w:left w:val="none" w:sz="0" w:space="0" w:color="auto"/>
                <w:bottom w:val="none" w:sz="0" w:space="0" w:color="auto"/>
                <w:right w:val="none" w:sz="0" w:space="0" w:color="auto"/>
              </w:divBdr>
            </w:div>
            <w:div w:id="1240407242">
              <w:marLeft w:val="0"/>
              <w:marRight w:val="0"/>
              <w:marTop w:val="0"/>
              <w:marBottom w:val="0"/>
              <w:divBdr>
                <w:top w:val="none" w:sz="0" w:space="0" w:color="auto"/>
                <w:left w:val="none" w:sz="0" w:space="0" w:color="auto"/>
                <w:bottom w:val="none" w:sz="0" w:space="0" w:color="auto"/>
                <w:right w:val="none" w:sz="0" w:space="0" w:color="auto"/>
              </w:divBdr>
            </w:div>
            <w:div w:id="312103858">
              <w:marLeft w:val="0"/>
              <w:marRight w:val="0"/>
              <w:marTop w:val="0"/>
              <w:marBottom w:val="0"/>
              <w:divBdr>
                <w:top w:val="none" w:sz="0" w:space="0" w:color="auto"/>
                <w:left w:val="none" w:sz="0" w:space="0" w:color="auto"/>
                <w:bottom w:val="none" w:sz="0" w:space="0" w:color="auto"/>
                <w:right w:val="none" w:sz="0" w:space="0" w:color="auto"/>
              </w:divBdr>
            </w:div>
            <w:div w:id="1657958224">
              <w:marLeft w:val="0"/>
              <w:marRight w:val="0"/>
              <w:marTop w:val="0"/>
              <w:marBottom w:val="0"/>
              <w:divBdr>
                <w:top w:val="none" w:sz="0" w:space="0" w:color="auto"/>
                <w:left w:val="none" w:sz="0" w:space="0" w:color="auto"/>
                <w:bottom w:val="none" w:sz="0" w:space="0" w:color="auto"/>
                <w:right w:val="none" w:sz="0" w:space="0" w:color="auto"/>
              </w:divBdr>
            </w:div>
            <w:div w:id="84231004">
              <w:marLeft w:val="0"/>
              <w:marRight w:val="0"/>
              <w:marTop w:val="0"/>
              <w:marBottom w:val="0"/>
              <w:divBdr>
                <w:top w:val="none" w:sz="0" w:space="0" w:color="auto"/>
                <w:left w:val="none" w:sz="0" w:space="0" w:color="auto"/>
                <w:bottom w:val="none" w:sz="0" w:space="0" w:color="auto"/>
                <w:right w:val="none" w:sz="0" w:space="0" w:color="auto"/>
              </w:divBdr>
            </w:div>
            <w:div w:id="920944149">
              <w:marLeft w:val="0"/>
              <w:marRight w:val="0"/>
              <w:marTop w:val="0"/>
              <w:marBottom w:val="0"/>
              <w:divBdr>
                <w:top w:val="none" w:sz="0" w:space="0" w:color="auto"/>
                <w:left w:val="none" w:sz="0" w:space="0" w:color="auto"/>
                <w:bottom w:val="none" w:sz="0" w:space="0" w:color="auto"/>
                <w:right w:val="none" w:sz="0" w:space="0" w:color="auto"/>
              </w:divBdr>
            </w:div>
            <w:div w:id="531302458">
              <w:marLeft w:val="0"/>
              <w:marRight w:val="0"/>
              <w:marTop w:val="0"/>
              <w:marBottom w:val="0"/>
              <w:divBdr>
                <w:top w:val="none" w:sz="0" w:space="0" w:color="auto"/>
                <w:left w:val="none" w:sz="0" w:space="0" w:color="auto"/>
                <w:bottom w:val="none" w:sz="0" w:space="0" w:color="auto"/>
                <w:right w:val="none" w:sz="0" w:space="0" w:color="auto"/>
              </w:divBdr>
            </w:div>
            <w:div w:id="451942585">
              <w:marLeft w:val="0"/>
              <w:marRight w:val="0"/>
              <w:marTop w:val="0"/>
              <w:marBottom w:val="0"/>
              <w:divBdr>
                <w:top w:val="none" w:sz="0" w:space="0" w:color="auto"/>
                <w:left w:val="none" w:sz="0" w:space="0" w:color="auto"/>
                <w:bottom w:val="none" w:sz="0" w:space="0" w:color="auto"/>
                <w:right w:val="none" w:sz="0" w:space="0" w:color="auto"/>
              </w:divBdr>
            </w:div>
            <w:div w:id="1907832959">
              <w:marLeft w:val="0"/>
              <w:marRight w:val="0"/>
              <w:marTop w:val="0"/>
              <w:marBottom w:val="0"/>
              <w:divBdr>
                <w:top w:val="none" w:sz="0" w:space="0" w:color="auto"/>
                <w:left w:val="none" w:sz="0" w:space="0" w:color="auto"/>
                <w:bottom w:val="none" w:sz="0" w:space="0" w:color="auto"/>
                <w:right w:val="none" w:sz="0" w:space="0" w:color="auto"/>
              </w:divBdr>
            </w:div>
            <w:div w:id="2071804328">
              <w:marLeft w:val="0"/>
              <w:marRight w:val="0"/>
              <w:marTop w:val="0"/>
              <w:marBottom w:val="0"/>
              <w:divBdr>
                <w:top w:val="none" w:sz="0" w:space="0" w:color="auto"/>
                <w:left w:val="none" w:sz="0" w:space="0" w:color="auto"/>
                <w:bottom w:val="none" w:sz="0" w:space="0" w:color="auto"/>
                <w:right w:val="none" w:sz="0" w:space="0" w:color="auto"/>
              </w:divBdr>
            </w:div>
            <w:div w:id="2010283355">
              <w:marLeft w:val="0"/>
              <w:marRight w:val="0"/>
              <w:marTop w:val="0"/>
              <w:marBottom w:val="0"/>
              <w:divBdr>
                <w:top w:val="none" w:sz="0" w:space="0" w:color="auto"/>
                <w:left w:val="none" w:sz="0" w:space="0" w:color="auto"/>
                <w:bottom w:val="none" w:sz="0" w:space="0" w:color="auto"/>
                <w:right w:val="none" w:sz="0" w:space="0" w:color="auto"/>
              </w:divBdr>
            </w:div>
            <w:div w:id="922101635">
              <w:marLeft w:val="0"/>
              <w:marRight w:val="0"/>
              <w:marTop w:val="0"/>
              <w:marBottom w:val="0"/>
              <w:divBdr>
                <w:top w:val="none" w:sz="0" w:space="0" w:color="auto"/>
                <w:left w:val="none" w:sz="0" w:space="0" w:color="auto"/>
                <w:bottom w:val="none" w:sz="0" w:space="0" w:color="auto"/>
                <w:right w:val="none" w:sz="0" w:space="0" w:color="auto"/>
              </w:divBdr>
            </w:div>
            <w:div w:id="1902904827">
              <w:marLeft w:val="0"/>
              <w:marRight w:val="0"/>
              <w:marTop w:val="0"/>
              <w:marBottom w:val="0"/>
              <w:divBdr>
                <w:top w:val="none" w:sz="0" w:space="0" w:color="auto"/>
                <w:left w:val="none" w:sz="0" w:space="0" w:color="auto"/>
                <w:bottom w:val="none" w:sz="0" w:space="0" w:color="auto"/>
                <w:right w:val="none" w:sz="0" w:space="0" w:color="auto"/>
              </w:divBdr>
            </w:div>
            <w:div w:id="1816333389">
              <w:marLeft w:val="0"/>
              <w:marRight w:val="0"/>
              <w:marTop w:val="0"/>
              <w:marBottom w:val="0"/>
              <w:divBdr>
                <w:top w:val="none" w:sz="0" w:space="0" w:color="auto"/>
                <w:left w:val="none" w:sz="0" w:space="0" w:color="auto"/>
                <w:bottom w:val="none" w:sz="0" w:space="0" w:color="auto"/>
                <w:right w:val="none" w:sz="0" w:space="0" w:color="auto"/>
              </w:divBdr>
            </w:div>
            <w:div w:id="1932658828">
              <w:marLeft w:val="0"/>
              <w:marRight w:val="0"/>
              <w:marTop w:val="0"/>
              <w:marBottom w:val="0"/>
              <w:divBdr>
                <w:top w:val="none" w:sz="0" w:space="0" w:color="auto"/>
                <w:left w:val="none" w:sz="0" w:space="0" w:color="auto"/>
                <w:bottom w:val="none" w:sz="0" w:space="0" w:color="auto"/>
                <w:right w:val="none" w:sz="0" w:space="0" w:color="auto"/>
              </w:divBdr>
            </w:div>
            <w:div w:id="1997611344">
              <w:marLeft w:val="0"/>
              <w:marRight w:val="0"/>
              <w:marTop w:val="0"/>
              <w:marBottom w:val="0"/>
              <w:divBdr>
                <w:top w:val="none" w:sz="0" w:space="0" w:color="auto"/>
                <w:left w:val="none" w:sz="0" w:space="0" w:color="auto"/>
                <w:bottom w:val="none" w:sz="0" w:space="0" w:color="auto"/>
                <w:right w:val="none" w:sz="0" w:space="0" w:color="auto"/>
              </w:divBdr>
            </w:div>
            <w:div w:id="494760978">
              <w:marLeft w:val="0"/>
              <w:marRight w:val="0"/>
              <w:marTop w:val="0"/>
              <w:marBottom w:val="0"/>
              <w:divBdr>
                <w:top w:val="none" w:sz="0" w:space="0" w:color="auto"/>
                <w:left w:val="none" w:sz="0" w:space="0" w:color="auto"/>
                <w:bottom w:val="none" w:sz="0" w:space="0" w:color="auto"/>
                <w:right w:val="none" w:sz="0" w:space="0" w:color="auto"/>
              </w:divBdr>
            </w:div>
            <w:div w:id="2003239886">
              <w:marLeft w:val="0"/>
              <w:marRight w:val="0"/>
              <w:marTop w:val="0"/>
              <w:marBottom w:val="0"/>
              <w:divBdr>
                <w:top w:val="none" w:sz="0" w:space="0" w:color="auto"/>
                <w:left w:val="none" w:sz="0" w:space="0" w:color="auto"/>
                <w:bottom w:val="none" w:sz="0" w:space="0" w:color="auto"/>
                <w:right w:val="none" w:sz="0" w:space="0" w:color="auto"/>
              </w:divBdr>
            </w:div>
            <w:div w:id="1965847642">
              <w:marLeft w:val="0"/>
              <w:marRight w:val="0"/>
              <w:marTop w:val="0"/>
              <w:marBottom w:val="0"/>
              <w:divBdr>
                <w:top w:val="none" w:sz="0" w:space="0" w:color="auto"/>
                <w:left w:val="none" w:sz="0" w:space="0" w:color="auto"/>
                <w:bottom w:val="none" w:sz="0" w:space="0" w:color="auto"/>
                <w:right w:val="none" w:sz="0" w:space="0" w:color="auto"/>
              </w:divBdr>
            </w:div>
            <w:div w:id="1263606575">
              <w:marLeft w:val="0"/>
              <w:marRight w:val="0"/>
              <w:marTop w:val="0"/>
              <w:marBottom w:val="0"/>
              <w:divBdr>
                <w:top w:val="none" w:sz="0" w:space="0" w:color="auto"/>
                <w:left w:val="none" w:sz="0" w:space="0" w:color="auto"/>
                <w:bottom w:val="none" w:sz="0" w:space="0" w:color="auto"/>
                <w:right w:val="none" w:sz="0" w:space="0" w:color="auto"/>
              </w:divBdr>
            </w:div>
            <w:div w:id="1938753821">
              <w:marLeft w:val="0"/>
              <w:marRight w:val="0"/>
              <w:marTop w:val="0"/>
              <w:marBottom w:val="0"/>
              <w:divBdr>
                <w:top w:val="none" w:sz="0" w:space="0" w:color="auto"/>
                <w:left w:val="none" w:sz="0" w:space="0" w:color="auto"/>
                <w:bottom w:val="none" w:sz="0" w:space="0" w:color="auto"/>
                <w:right w:val="none" w:sz="0" w:space="0" w:color="auto"/>
              </w:divBdr>
            </w:div>
            <w:div w:id="815727366">
              <w:marLeft w:val="0"/>
              <w:marRight w:val="0"/>
              <w:marTop w:val="0"/>
              <w:marBottom w:val="0"/>
              <w:divBdr>
                <w:top w:val="none" w:sz="0" w:space="0" w:color="auto"/>
                <w:left w:val="none" w:sz="0" w:space="0" w:color="auto"/>
                <w:bottom w:val="none" w:sz="0" w:space="0" w:color="auto"/>
                <w:right w:val="none" w:sz="0" w:space="0" w:color="auto"/>
              </w:divBdr>
            </w:div>
            <w:div w:id="109321429">
              <w:marLeft w:val="0"/>
              <w:marRight w:val="0"/>
              <w:marTop w:val="0"/>
              <w:marBottom w:val="0"/>
              <w:divBdr>
                <w:top w:val="none" w:sz="0" w:space="0" w:color="auto"/>
                <w:left w:val="none" w:sz="0" w:space="0" w:color="auto"/>
                <w:bottom w:val="none" w:sz="0" w:space="0" w:color="auto"/>
                <w:right w:val="none" w:sz="0" w:space="0" w:color="auto"/>
              </w:divBdr>
            </w:div>
            <w:div w:id="504636409">
              <w:marLeft w:val="0"/>
              <w:marRight w:val="0"/>
              <w:marTop w:val="0"/>
              <w:marBottom w:val="0"/>
              <w:divBdr>
                <w:top w:val="none" w:sz="0" w:space="0" w:color="auto"/>
                <w:left w:val="none" w:sz="0" w:space="0" w:color="auto"/>
                <w:bottom w:val="none" w:sz="0" w:space="0" w:color="auto"/>
                <w:right w:val="none" w:sz="0" w:space="0" w:color="auto"/>
              </w:divBdr>
            </w:div>
            <w:div w:id="231359366">
              <w:marLeft w:val="0"/>
              <w:marRight w:val="0"/>
              <w:marTop w:val="0"/>
              <w:marBottom w:val="0"/>
              <w:divBdr>
                <w:top w:val="none" w:sz="0" w:space="0" w:color="auto"/>
                <w:left w:val="none" w:sz="0" w:space="0" w:color="auto"/>
                <w:bottom w:val="none" w:sz="0" w:space="0" w:color="auto"/>
                <w:right w:val="none" w:sz="0" w:space="0" w:color="auto"/>
              </w:divBdr>
            </w:div>
            <w:div w:id="2074305867">
              <w:marLeft w:val="0"/>
              <w:marRight w:val="0"/>
              <w:marTop w:val="0"/>
              <w:marBottom w:val="0"/>
              <w:divBdr>
                <w:top w:val="none" w:sz="0" w:space="0" w:color="auto"/>
                <w:left w:val="none" w:sz="0" w:space="0" w:color="auto"/>
                <w:bottom w:val="none" w:sz="0" w:space="0" w:color="auto"/>
                <w:right w:val="none" w:sz="0" w:space="0" w:color="auto"/>
              </w:divBdr>
            </w:div>
            <w:div w:id="111828427">
              <w:marLeft w:val="0"/>
              <w:marRight w:val="0"/>
              <w:marTop w:val="0"/>
              <w:marBottom w:val="0"/>
              <w:divBdr>
                <w:top w:val="none" w:sz="0" w:space="0" w:color="auto"/>
                <w:left w:val="none" w:sz="0" w:space="0" w:color="auto"/>
                <w:bottom w:val="none" w:sz="0" w:space="0" w:color="auto"/>
                <w:right w:val="none" w:sz="0" w:space="0" w:color="auto"/>
              </w:divBdr>
            </w:div>
            <w:div w:id="1480074441">
              <w:marLeft w:val="0"/>
              <w:marRight w:val="0"/>
              <w:marTop w:val="0"/>
              <w:marBottom w:val="0"/>
              <w:divBdr>
                <w:top w:val="none" w:sz="0" w:space="0" w:color="auto"/>
                <w:left w:val="none" w:sz="0" w:space="0" w:color="auto"/>
                <w:bottom w:val="none" w:sz="0" w:space="0" w:color="auto"/>
                <w:right w:val="none" w:sz="0" w:space="0" w:color="auto"/>
              </w:divBdr>
            </w:div>
            <w:div w:id="1036124897">
              <w:marLeft w:val="0"/>
              <w:marRight w:val="0"/>
              <w:marTop w:val="0"/>
              <w:marBottom w:val="0"/>
              <w:divBdr>
                <w:top w:val="none" w:sz="0" w:space="0" w:color="auto"/>
                <w:left w:val="none" w:sz="0" w:space="0" w:color="auto"/>
                <w:bottom w:val="none" w:sz="0" w:space="0" w:color="auto"/>
                <w:right w:val="none" w:sz="0" w:space="0" w:color="auto"/>
              </w:divBdr>
            </w:div>
            <w:div w:id="1959098644">
              <w:marLeft w:val="0"/>
              <w:marRight w:val="0"/>
              <w:marTop w:val="0"/>
              <w:marBottom w:val="0"/>
              <w:divBdr>
                <w:top w:val="none" w:sz="0" w:space="0" w:color="auto"/>
                <w:left w:val="none" w:sz="0" w:space="0" w:color="auto"/>
                <w:bottom w:val="none" w:sz="0" w:space="0" w:color="auto"/>
                <w:right w:val="none" w:sz="0" w:space="0" w:color="auto"/>
              </w:divBdr>
            </w:div>
            <w:div w:id="352075181">
              <w:marLeft w:val="0"/>
              <w:marRight w:val="0"/>
              <w:marTop w:val="0"/>
              <w:marBottom w:val="0"/>
              <w:divBdr>
                <w:top w:val="none" w:sz="0" w:space="0" w:color="auto"/>
                <w:left w:val="none" w:sz="0" w:space="0" w:color="auto"/>
                <w:bottom w:val="none" w:sz="0" w:space="0" w:color="auto"/>
                <w:right w:val="none" w:sz="0" w:space="0" w:color="auto"/>
              </w:divBdr>
            </w:div>
            <w:div w:id="804734741">
              <w:marLeft w:val="0"/>
              <w:marRight w:val="0"/>
              <w:marTop w:val="0"/>
              <w:marBottom w:val="0"/>
              <w:divBdr>
                <w:top w:val="none" w:sz="0" w:space="0" w:color="auto"/>
                <w:left w:val="none" w:sz="0" w:space="0" w:color="auto"/>
                <w:bottom w:val="none" w:sz="0" w:space="0" w:color="auto"/>
                <w:right w:val="none" w:sz="0" w:space="0" w:color="auto"/>
              </w:divBdr>
            </w:div>
            <w:div w:id="384138661">
              <w:marLeft w:val="0"/>
              <w:marRight w:val="0"/>
              <w:marTop w:val="0"/>
              <w:marBottom w:val="0"/>
              <w:divBdr>
                <w:top w:val="none" w:sz="0" w:space="0" w:color="auto"/>
                <w:left w:val="none" w:sz="0" w:space="0" w:color="auto"/>
                <w:bottom w:val="none" w:sz="0" w:space="0" w:color="auto"/>
                <w:right w:val="none" w:sz="0" w:space="0" w:color="auto"/>
              </w:divBdr>
            </w:div>
            <w:div w:id="1221748173">
              <w:marLeft w:val="0"/>
              <w:marRight w:val="0"/>
              <w:marTop w:val="0"/>
              <w:marBottom w:val="0"/>
              <w:divBdr>
                <w:top w:val="none" w:sz="0" w:space="0" w:color="auto"/>
                <w:left w:val="none" w:sz="0" w:space="0" w:color="auto"/>
                <w:bottom w:val="none" w:sz="0" w:space="0" w:color="auto"/>
                <w:right w:val="none" w:sz="0" w:space="0" w:color="auto"/>
              </w:divBdr>
            </w:div>
            <w:div w:id="2139032084">
              <w:marLeft w:val="0"/>
              <w:marRight w:val="0"/>
              <w:marTop w:val="0"/>
              <w:marBottom w:val="0"/>
              <w:divBdr>
                <w:top w:val="none" w:sz="0" w:space="0" w:color="auto"/>
                <w:left w:val="none" w:sz="0" w:space="0" w:color="auto"/>
                <w:bottom w:val="none" w:sz="0" w:space="0" w:color="auto"/>
                <w:right w:val="none" w:sz="0" w:space="0" w:color="auto"/>
              </w:divBdr>
            </w:div>
            <w:div w:id="1037240560">
              <w:marLeft w:val="0"/>
              <w:marRight w:val="0"/>
              <w:marTop w:val="0"/>
              <w:marBottom w:val="0"/>
              <w:divBdr>
                <w:top w:val="none" w:sz="0" w:space="0" w:color="auto"/>
                <w:left w:val="none" w:sz="0" w:space="0" w:color="auto"/>
                <w:bottom w:val="none" w:sz="0" w:space="0" w:color="auto"/>
                <w:right w:val="none" w:sz="0" w:space="0" w:color="auto"/>
              </w:divBdr>
            </w:div>
            <w:div w:id="1670132221">
              <w:marLeft w:val="0"/>
              <w:marRight w:val="0"/>
              <w:marTop w:val="0"/>
              <w:marBottom w:val="0"/>
              <w:divBdr>
                <w:top w:val="none" w:sz="0" w:space="0" w:color="auto"/>
                <w:left w:val="none" w:sz="0" w:space="0" w:color="auto"/>
                <w:bottom w:val="none" w:sz="0" w:space="0" w:color="auto"/>
                <w:right w:val="none" w:sz="0" w:space="0" w:color="auto"/>
              </w:divBdr>
            </w:div>
            <w:div w:id="1215119295">
              <w:marLeft w:val="0"/>
              <w:marRight w:val="0"/>
              <w:marTop w:val="0"/>
              <w:marBottom w:val="0"/>
              <w:divBdr>
                <w:top w:val="none" w:sz="0" w:space="0" w:color="auto"/>
                <w:left w:val="none" w:sz="0" w:space="0" w:color="auto"/>
                <w:bottom w:val="none" w:sz="0" w:space="0" w:color="auto"/>
                <w:right w:val="none" w:sz="0" w:space="0" w:color="auto"/>
              </w:divBdr>
            </w:div>
            <w:div w:id="660156843">
              <w:marLeft w:val="0"/>
              <w:marRight w:val="0"/>
              <w:marTop w:val="0"/>
              <w:marBottom w:val="0"/>
              <w:divBdr>
                <w:top w:val="none" w:sz="0" w:space="0" w:color="auto"/>
                <w:left w:val="none" w:sz="0" w:space="0" w:color="auto"/>
                <w:bottom w:val="none" w:sz="0" w:space="0" w:color="auto"/>
                <w:right w:val="none" w:sz="0" w:space="0" w:color="auto"/>
              </w:divBdr>
            </w:div>
            <w:div w:id="11689912">
              <w:marLeft w:val="0"/>
              <w:marRight w:val="0"/>
              <w:marTop w:val="0"/>
              <w:marBottom w:val="0"/>
              <w:divBdr>
                <w:top w:val="none" w:sz="0" w:space="0" w:color="auto"/>
                <w:left w:val="none" w:sz="0" w:space="0" w:color="auto"/>
                <w:bottom w:val="none" w:sz="0" w:space="0" w:color="auto"/>
                <w:right w:val="none" w:sz="0" w:space="0" w:color="auto"/>
              </w:divBdr>
            </w:div>
            <w:div w:id="716009797">
              <w:marLeft w:val="0"/>
              <w:marRight w:val="0"/>
              <w:marTop w:val="0"/>
              <w:marBottom w:val="0"/>
              <w:divBdr>
                <w:top w:val="none" w:sz="0" w:space="0" w:color="auto"/>
                <w:left w:val="none" w:sz="0" w:space="0" w:color="auto"/>
                <w:bottom w:val="none" w:sz="0" w:space="0" w:color="auto"/>
                <w:right w:val="none" w:sz="0" w:space="0" w:color="auto"/>
              </w:divBdr>
            </w:div>
            <w:div w:id="95105783">
              <w:marLeft w:val="0"/>
              <w:marRight w:val="0"/>
              <w:marTop w:val="0"/>
              <w:marBottom w:val="0"/>
              <w:divBdr>
                <w:top w:val="none" w:sz="0" w:space="0" w:color="auto"/>
                <w:left w:val="none" w:sz="0" w:space="0" w:color="auto"/>
                <w:bottom w:val="none" w:sz="0" w:space="0" w:color="auto"/>
                <w:right w:val="none" w:sz="0" w:space="0" w:color="auto"/>
              </w:divBdr>
            </w:div>
            <w:div w:id="1220363741">
              <w:marLeft w:val="0"/>
              <w:marRight w:val="0"/>
              <w:marTop w:val="0"/>
              <w:marBottom w:val="0"/>
              <w:divBdr>
                <w:top w:val="none" w:sz="0" w:space="0" w:color="auto"/>
                <w:left w:val="none" w:sz="0" w:space="0" w:color="auto"/>
                <w:bottom w:val="none" w:sz="0" w:space="0" w:color="auto"/>
                <w:right w:val="none" w:sz="0" w:space="0" w:color="auto"/>
              </w:divBdr>
            </w:div>
            <w:div w:id="962274382">
              <w:marLeft w:val="0"/>
              <w:marRight w:val="0"/>
              <w:marTop w:val="0"/>
              <w:marBottom w:val="0"/>
              <w:divBdr>
                <w:top w:val="none" w:sz="0" w:space="0" w:color="auto"/>
                <w:left w:val="none" w:sz="0" w:space="0" w:color="auto"/>
                <w:bottom w:val="none" w:sz="0" w:space="0" w:color="auto"/>
                <w:right w:val="none" w:sz="0" w:space="0" w:color="auto"/>
              </w:divBdr>
            </w:div>
            <w:div w:id="1713649982">
              <w:marLeft w:val="0"/>
              <w:marRight w:val="0"/>
              <w:marTop w:val="0"/>
              <w:marBottom w:val="0"/>
              <w:divBdr>
                <w:top w:val="none" w:sz="0" w:space="0" w:color="auto"/>
                <w:left w:val="none" w:sz="0" w:space="0" w:color="auto"/>
                <w:bottom w:val="none" w:sz="0" w:space="0" w:color="auto"/>
                <w:right w:val="none" w:sz="0" w:space="0" w:color="auto"/>
              </w:divBdr>
            </w:div>
            <w:div w:id="479463054">
              <w:marLeft w:val="0"/>
              <w:marRight w:val="0"/>
              <w:marTop w:val="0"/>
              <w:marBottom w:val="0"/>
              <w:divBdr>
                <w:top w:val="none" w:sz="0" w:space="0" w:color="auto"/>
                <w:left w:val="none" w:sz="0" w:space="0" w:color="auto"/>
                <w:bottom w:val="none" w:sz="0" w:space="0" w:color="auto"/>
                <w:right w:val="none" w:sz="0" w:space="0" w:color="auto"/>
              </w:divBdr>
            </w:div>
            <w:div w:id="120927667">
              <w:marLeft w:val="0"/>
              <w:marRight w:val="0"/>
              <w:marTop w:val="0"/>
              <w:marBottom w:val="0"/>
              <w:divBdr>
                <w:top w:val="none" w:sz="0" w:space="0" w:color="auto"/>
                <w:left w:val="none" w:sz="0" w:space="0" w:color="auto"/>
                <w:bottom w:val="none" w:sz="0" w:space="0" w:color="auto"/>
                <w:right w:val="none" w:sz="0" w:space="0" w:color="auto"/>
              </w:divBdr>
            </w:div>
            <w:div w:id="740297226">
              <w:marLeft w:val="0"/>
              <w:marRight w:val="0"/>
              <w:marTop w:val="0"/>
              <w:marBottom w:val="0"/>
              <w:divBdr>
                <w:top w:val="none" w:sz="0" w:space="0" w:color="auto"/>
                <w:left w:val="none" w:sz="0" w:space="0" w:color="auto"/>
                <w:bottom w:val="none" w:sz="0" w:space="0" w:color="auto"/>
                <w:right w:val="none" w:sz="0" w:space="0" w:color="auto"/>
              </w:divBdr>
            </w:div>
            <w:div w:id="740980105">
              <w:marLeft w:val="0"/>
              <w:marRight w:val="0"/>
              <w:marTop w:val="0"/>
              <w:marBottom w:val="0"/>
              <w:divBdr>
                <w:top w:val="none" w:sz="0" w:space="0" w:color="auto"/>
                <w:left w:val="none" w:sz="0" w:space="0" w:color="auto"/>
                <w:bottom w:val="none" w:sz="0" w:space="0" w:color="auto"/>
                <w:right w:val="none" w:sz="0" w:space="0" w:color="auto"/>
              </w:divBdr>
            </w:div>
            <w:div w:id="991564946">
              <w:marLeft w:val="0"/>
              <w:marRight w:val="0"/>
              <w:marTop w:val="0"/>
              <w:marBottom w:val="0"/>
              <w:divBdr>
                <w:top w:val="none" w:sz="0" w:space="0" w:color="auto"/>
                <w:left w:val="none" w:sz="0" w:space="0" w:color="auto"/>
                <w:bottom w:val="none" w:sz="0" w:space="0" w:color="auto"/>
                <w:right w:val="none" w:sz="0" w:space="0" w:color="auto"/>
              </w:divBdr>
            </w:div>
            <w:div w:id="681277964">
              <w:marLeft w:val="0"/>
              <w:marRight w:val="0"/>
              <w:marTop w:val="0"/>
              <w:marBottom w:val="0"/>
              <w:divBdr>
                <w:top w:val="none" w:sz="0" w:space="0" w:color="auto"/>
                <w:left w:val="none" w:sz="0" w:space="0" w:color="auto"/>
                <w:bottom w:val="none" w:sz="0" w:space="0" w:color="auto"/>
                <w:right w:val="none" w:sz="0" w:space="0" w:color="auto"/>
              </w:divBdr>
            </w:div>
            <w:div w:id="1047488241">
              <w:marLeft w:val="0"/>
              <w:marRight w:val="0"/>
              <w:marTop w:val="0"/>
              <w:marBottom w:val="0"/>
              <w:divBdr>
                <w:top w:val="none" w:sz="0" w:space="0" w:color="auto"/>
                <w:left w:val="none" w:sz="0" w:space="0" w:color="auto"/>
                <w:bottom w:val="none" w:sz="0" w:space="0" w:color="auto"/>
                <w:right w:val="none" w:sz="0" w:space="0" w:color="auto"/>
              </w:divBdr>
            </w:div>
            <w:div w:id="1350329784">
              <w:marLeft w:val="0"/>
              <w:marRight w:val="0"/>
              <w:marTop w:val="0"/>
              <w:marBottom w:val="0"/>
              <w:divBdr>
                <w:top w:val="none" w:sz="0" w:space="0" w:color="auto"/>
                <w:left w:val="none" w:sz="0" w:space="0" w:color="auto"/>
                <w:bottom w:val="none" w:sz="0" w:space="0" w:color="auto"/>
                <w:right w:val="none" w:sz="0" w:space="0" w:color="auto"/>
              </w:divBdr>
            </w:div>
            <w:div w:id="2092048113">
              <w:marLeft w:val="0"/>
              <w:marRight w:val="0"/>
              <w:marTop w:val="0"/>
              <w:marBottom w:val="0"/>
              <w:divBdr>
                <w:top w:val="none" w:sz="0" w:space="0" w:color="auto"/>
                <w:left w:val="none" w:sz="0" w:space="0" w:color="auto"/>
                <w:bottom w:val="none" w:sz="0" w:space="0" w:color="auto"/>
                <w:right w:val="none" w:sz="0" w:space="0" w:color="auto"/>
              </w:divBdr>
            </w:div>
            <w:div w:id="503787758">
              <w:marLeft w:val="0"/>
              <w:marRight w:val="0"/>
              <w:marTop w:val="0"/>
              <w:marBottom w:val="0"/>
              <w:divBdr>
                <w:top w:val="none" w:sz="0" w:space="0" w:color="auto"/>
                <w:left w:val="none" w:sz="0" w:space="0" w:color="auto"/>
                <w:bottom w:val="none" w:sz="0" w:space="0" w:color="auto"/>
                <w:right w:val="none" w:sz="0" w:space="0" w:color="auto"/>
              </w:divBdr>
            </w:div>
            <w:div w:id="733242953">
              <w:marLeft w:val="0"/>
              <w:marRight w:val="0"/>
              <w:marTop w:val="0"/>
              <w:marBottom w:val="0"/>
              <w:divBdr>
                <w:top w:val="none" w:sz="0" w:space="0" w:color="auto"/>
                <w:left w:val="none" w:sz="0" w:space="0" w:color="auto"/>
                <w:bottom w:val="none" w:sz="0" w:space="0" w:color="auto"/>
                <w:right w:val="none" w:sz="0" w:space="0" w:color="auto"/>
              </w:divBdr>
            </w:div>
            <w:div w:id="460921172">
              <w:marLeft w:val="0"/>
              <w:marRight w:val="0"/>
              <w:marTop w:val="0"/>
              <w:marBottom w:val="0"/>
              <w:divBdr>
                <w:top w:val="none" w:sz="0" w:space="0" w:color="auto"/>
                <w:left w:val="none" w:sz="0" w:space="0" w:color="auto"/>
                <w:bottom w:val="none" w:sz="0" w:space="0" w:color="auto"/>
                <w:right w:val="none" w:sz="0" w:space="0" w:color="auto"/>
              </w:divBdr>
            </w:div>
            <w:div w:id="1154181072">
              <w:marLeft w:val="0"/>
              <w:marRight w:val="0"/>
              <w:marTop w:val="0"/>
              <w:marBottom w:val="0"/>
              <w:divBdr>
                <w:top w:val="none" w:sz="0" w:space="0" w:color="auto"/>
                <w:left w:val="none" w:sz="0" w:space="0" w:color="auto"/>
                <w:bottom w:val="none" w:sz="0" w:space="0" w:color="auto"/>
                <w:right w:val="none" w:sz="0" w:space="0" w:color="auto"/>
              </w:divBdr>
            </w:div>
            <w:div w:id="1115102832">
              <w:marLeft w:val="0"/>
              <w:marRight w:val="0"/>
              <w:marTop w:val="0"/>
              <w:marBottom w:val="0"/>
              <w:divBdr>
                <w:top w:val="none" w:sz="0" w:space="0" w:color="auto"/>
                <w:left w:val="none" w:sz="0" w:space="0" w:color="auto"/>
                <w:bottom w:val="none" w:sz="0" w:space="0" w:color="auto"/>
                <w:right w:val="none" w:sz="0" w:space="0" w:color="auto"/>
              </w:divBdr>
            </w:div>
            <w:div w:id="801117952">
              <w:marLeft w:val="0"/>
              <w:marRight w:val="0"/>
              <w:marTop w:val="0"/>
              <w:marBottom w:val="0"/>
              <w:divBdr>
                <w:top w:val="none" w:sz="0" w:space="0" w:color="auto"/>
                <w:left w:val="none" w:sz="0" w:space="0" w:color="auto"/>
                <w:bottom w:val="none" w:sz="0" w:space="0" w:color="auto"/>
                <w:right w:val="none" w:sz="0" w:space="0" w:color="auto"/>
              </w:divBdr>
            </w:div>
            <w:div w:id="1868563583">
              <w:marLeft w:val="0"/>
              <w:marRight w:val="0"/>
              <w:marTop w:val="0"/>
              <w:marBottom w:val="0"/>
              <w:divBdr>
                <w:top w:val="none" w:sz="0" w:space="0" w:color="auto"/>
                <w:left w:val="none" w:sz="0" w:space="0" w:color="auto"/>
                <w:bottom w:val="none" w:sz="0" w:space="0" w:color="auto"/>
                <w:right w:val="none" w:sz="0" w:space="0" w:color="auto"/>
              </w:divBdr>
            </w:div>
            <w:div w:id="79261135">
              <w:marLeft w:val="0"/>
              <w:marRight w:val="0"/>
              <w:marTop w:val="0"/>
              <w:marBottom w:val="0"/>
              <w:divBdr>
                <w:top w:val="none" w:sz="0" w:space="0" w:color="auto"/>
                <w:left w:val="none" w:sz="0" w:space="0" w:color="auto"/>
                <w:bottom w:val="none" w:sz="0" w:space="0" w:color="auto"/>
                <w:right w:val="none" w:sz="0" w:space="0" w:color="auto"/>
              </w:divBdr>
            </w:div>
            <w:div w:id="1413042513">
              <w:marLeft w:val="0"/>
              <w:marRight w:val="0"/>
              <w:marTop w:val="0"/>
              <w:marBottom w:val="0"/>
              <w:divBdr>
                <w:top w:val="none" w:sz="0" w:space="0" w:color="auto"/>
                <w:left w:val="none" w:sz="0" w:space="0" w:color="auto"/>
                <w:bottom w:val="none" w:sz="0" w:space="0" w:color="auto"/>
                <w:right w:val="none" w:sz="0" w:space="0" w:color="auto"/>
              </w:divBdr>
            </w:div>
            <w:div w:id="1106341980">
              <w:marLeft w:val="0"/>
              <w:marRight w:val="0"/>
              <w:marTop w:val="0"/>
              <w:marBottom w:val="0"/>
              <w:divBdr>
                <w:top w:val="none" w:sz="0" w:space="0" w:color="auto"/>
                <w:left w:val="none" w:sz="0" w:space="0" w:color="auto"/>
                <w:bottom w:val="none" w:sz="0" w:space="0" w:color="auto"/>
                <w:right w:val="none" w:sz="0" w:space="0" w:color="auto"/>
              </w:divBdr>
            </w:div>
            <w:div w:id="398134084">
              <w:marLeft w:val="0"/>
              <w:marRight w:val="0"/>
              <w:marTop w:val="0"/>
              <w:marBottom w:val="0"/>
              <w:divBdr>
                <w:top w:val="none" w:sz="0" w:space="0" w:color="auto"/>
                <w:left w:val="none" w:sz="0" w:space="0" w:color="auto"/>
                <w:bottom w:val="none" w:sz="0" w:space="0" w:color="auto"/>
                <w:right w:val="none" w:sz="0" w:space="0" w:color="auto"/>
              </w:divBdr>
            </w:div>
            <w:div w:id="1299722766">
              <w:marLeft w:val="0"/>
              <w:marRight w:val="0"/>
              <w:marTop w:val="0"/>
              <w:marBottom w:val="0"/>
              <w:divBdr>
                <w:top w:val="none" w:sz="0" w:space="0" w:color="auto"/>
                <w:left w:val="none" w:sz="0" w:space="0" w:color="auto"/>
                <w:bottom w:val="none" w:sz="0" w:space="0" w:color="auto"/>
                <w:right w:val="none" w:sz="0" w:space="0" w:color="auto"/>
              </w:divBdr>
            </w:div>
            <w:div w:id="1336689502">
              <w:marLeft w:val="0"/>
              <w:marRight w:val="0"/>
              <w:marTop w:val="0"/>
              <w:marBottom w:val="0"/>
              <w:divBdr>
                <w:top w:val="none" w:sz="0" w:space="0" w:color="auto"/>
                <w:left w:val="none" w:sz="0" w:space="0" w:color="auto"/>
                <w:bottom w:val="none" w:sz="0" w:space="0" w:color="auto"/>
                <w:right w:val="none" w:sz="0" w:space="0" w:color="auto"/>
              </w:divBdr>
            </w:div>
            <w:div w:id="2118669682">
              <w:marLeft w:val="0"/>
              <w:marRight w:val="0"/>
              <w:marTop w:val="0"/>
              <w:marBottom w:val="0"/>
              <w:divBdr>
                <w:top w:val="none" w:sz="0" w:space="0" w:color="auto"/>
                <w:left w:val="none" w:sz="0" w:space="0" w:color="auto"/>
                <w:bottom w:val="none" w:sz="0" w:space="0" w:color="auto"/>
                <w:right w:val="none" w:sz="0" w:space="0" w:color="auto"/>
              </w:divBdr>
            </w:div>
            <w:div w:id="704602064">
              <w:marLeft w:val="0"/>
              <w:marRight w:val="0"/>
              <w:marTop w:val="0"/>
              <w:marBottom w:val="0"/>
              <w:divBdr>
                <w:top w:val="none" w:sz="0" w:space="0" w:color="auto"/>
                <w:left w:val="none" w:sz="0" w:space="0" w:color="auto"/>
                <w:bottom w:val="none" w:sz="0" w:space="0" w:color="auto"/>
                <w:right w:val="none" w:sz="0" w:space="0" w:color="auto"/>
              </w:divBdr>
            </w:div>
            <w:div w:id="1081870305">
              <w:marLeft w:val="0"/>
              <w:marRight w:val="0"/>
              <w:marTop w:val="0"/>
              <w:marBottom w:val="0"/>
              <w:divBdr>
                <w:top w:val="none" w:sz="0" w:space="0" w:color="auto"/>
                <w:left w:val="none" w:sz="0" w:space="0" w:color="auto"/>
                <w:bottom w:val="none" w:sz="0" w:space="0" w:color="auto"/>
                <w:right w:val="none" w:sz="0" w:space="0" w:color="auto"/>
              </w:divBdr>
            </w:div>
            <w:div w:id="1054812563">
              <w:marLeft w:val="0"/>
              <w:marRight w:val="0"/>
              <w:marTop w:val="0"/>
              <w:marBottom w:val="0"/>
              <w:divBdr>
                <w:top w:val="none" w:sz="0" w:space="0" w:color="auto"/>
                <w:left w:val="none" w:sz="0" w:space="0" w:color="auto"/>
                <w:bottom w:val="none" w:sz="0" w:space="0" w:color="auto"/>
                <w:right w:val="none" w:sz="0" w:space="0" w:color="auto"/>
              </w:divBdr>
            </w:div>
            <w:div w:id="310405740">
              <w:marLeft w:val="0"/>
              <w:marRight w:val="0"/>
              <w:marTop w:val="0"/>
              <w:marBottom w:val="0"/>
              <w:divBdr>
                <w:top w:val="none" w:sz="0" w:space="0" w:color="auto"/>
                <w:left w:val="none" w:sz="0" w:space="0" w:color="auto"/>
                <w:bottom w:val="none" w:sz="0" w:space="0" w:color="auto"/>
                <w:right w:val="none" w:sz="0" w:space="0" w:color="auto"/>
              </w:divBdr>
            </w:div>
            <w:div w:id="1259946725">
              <w:marLeft w:val="0"/>
              <w:marRight w:val="0"/>
              <w:marTop w:val="0"/>
              <w:marBottom w:val="0"/>
              <w:divBdr>
                <w:top w:val="none" w:sz="0" w:space="0" w:color="auto"/>
                <w:left w:val="none" w:sz="0" w:space="0" w:color="auto"/>
                <w:bottom w:val="none" w:sz="0" w:space="0" w:color="auto"/>
                <w:right w:val="none" w:sz="0" w:space="0" w:color="auto"/>
              </w:divBdr>
            </w:div>
            <w:div w:id="1513570620">
              <w:marLeft w:val="0"/>
              <w:marRight w:val="0"/>
              <w:marTop w:val="0"/>
              <w:marBottom w:val="0"/>
              <w:divBdr>
                <w:top w:val="none" w:sz="0" w:space="0" w:color="auto"/>
                <w:left w:val="none" w:sz="0" w:space="0" w:color="auto"/>
                <w:bottom w:val="none" w:sz="0" w:space="0" w:color="auto"/>
                <w:right w:val="none" w:sz="0" w:space="0" w:color="auto"/>
              </w:divBdr>
            </w:div>
            <w:div w:id="590511345">
              <w:marLeft w:val="0"/>
              <w:marRight w:val="0"/>
              <w:marTop w:val="0"/>
              <w:marBottom w:val="0"/>
              <w:divBdr>
                <w:top w:val="none" w:sz="0" w:space="0" w:color="auto"/>
                <w:left w:val="none" w:sz="0" w:space="0" w:color="auto"/>
                <w:bottom w:val="none" w:sz="0" w:space="0" w:color="auto"/>
                <w:right w:val="none" w:sz="0" w:space="0" w:color="auto"/>
              </w:divBdr>
            </w:div>
            <w:div w:id="1136877516">
              <w:marLeft w:val="0"/>
              <w:marRight w:val="0"/>
              <w:marTop w:val="0"/>
              <w:marBottom w:val="0"/>
              <w:divBdr>
                <w:top w:val="none" w:sz="0" w:space="0" w:color="auto"/>
                <w:left w:val="none" w:sz="0" w:space="0" w:color="auto"/>
                <w:bottom w:val="none" w:sz="0" w:space="0" w:color="auto"/>
                <w:right w:val="none" w:sz="0" w:space="0" w:color="auto"/>
              </w:divBdr>
            </w:div>
            <w:div w:id="693311511">
              <w:marLeft w:val="0"/>
              <w:marRight w:val="0"/>
              <w:marTop w:val="0"/>
              <w:marBottom w:val="0"/>
              <w:divBdr>
                <w:top w:val="none" w:sz="0" w:space="0" w:color="auto"/>
                <w:left w:val="none" w:sz="0" w:space="0" w:color="auto"/>
                <w:bottom w:val="none" w:sz="0" w:space="0" w:color="auto"/>
                <w:right w:val="none" w:sz="0" w:space="0" w:color="auto"/>
              </w:divBdr>
            </w:div>
            <w:div w:id="1122654550">
              <w:marLeft w:val="0"/>
              <w:marRight w:val="0"/>
              <w:marTop w:val="0"/>
              <w:marBottom w:val="0"/>
              <w:divBdr>
                <w:top w:val="none" w:sz="0" w:space="0" w:color="auto"/>
                <w:left w:val="none" w:sz="0" w:space="0" w:color="auto"/>
                <w:bottom w:val="none" w:sz="0" w:space="0" w:color="auto"/>
                <w:right w:val="none" w:sz="0" w:space="0" w:color="auto"/>
              </w:divBdr>
            </w:div>
            <w:div w:id="1311058605">
              <w:marLeft w:val="0"/>
              <w:marRight w:val="0"/>
              <w:marTop w:val="0"/>
              <w:marBottom w:val="0"/>
              <w:divBdr>
                <w:top w:val="none" w:sz="0" w:space="0" w:color="auto"/>
                <w:left w:val="none" w:sz="0" w:space="0" w:color="auto"/>
                <w:bottom w:val="none" w:sz="0" w:space="0" w:color="auto"/>
                <w:right w:val="none" w:sz="0" w:space="0" w:color="auto"/>
              </w:divBdr>
            </w:div>
            <w:div w:id="932056426">
              <w:marLeft w:val="0"/>
              <w:marRight w:val="0"/>
              <w:marTop w:val="0"/>
              <w:marBottom w:val="0"/>
              <w:divBdr>
                <w:top w:val="none" w:sz="0" w:space="0" w:color="auto"/>
                <w:left w:val="none" w:sz="0" w:space="0" w:color="auto"/>
                <w:bottom w:val="none" w:sz="0" w:space="0" w:color="auto"/>
                <w:right w:val="none" w:sz="0" w:space="0" w:color="auto"/>
              </w:divBdr>
            </w:div>
            <w:div w:id="665861703">
              <w:marLeft w:val="0"/>
              <w:marRight w:val="0"/>
              <w:marTop w:val="0"/>
              <w:marBottom w:val="0"/>
              <w:divBdr>
                <w:top w:val="none" w:sz="0" w:space="0" w:color="auto"/>
                <w:left w:val="none" w:sz="0" w:space="0" w:color="auto"/>
                <w:bottom w:val="none" w:sz="0" w:space="0" w:color="auto"/>
                <w:right w:val="none" w:sz="0" w:space="0" w:color="auto"/>
              </w:divBdr>
            </w:div>
            <w:div w:id="1160926393">
              <w:marLeft w:val="0"/>
              <w:marRight w:val="0"/>
              <w:marTop w:val="0"/>
              <w:marBottom w:val="0"/>
              <w:divBdr>
                <w:top w:val="none" w:sz="0" w:space="0" w:color="auto"/>
                <w:left w:val="none" w:sz="0" w:space="0" w:color="auto"/>
                <w:bottom w:val="none" w:sz="0" w:space="0" w:color="auto"/>
                <w:right w:val="none" w:sz="0" w:space="0" w:color="auto"/>
              </w:divBdr>
            </w:div>
            <w:div w:id="1310672822">
              <w:marLeft w:val="0"/>
              <w:marRight w:val="0"/>
              <w:marTop w:val="0"/>
              <w:marBottom w:val="0"/>
              <w:divBdr>
                <w:top w:val="none" w:sz="0" w:space="0" w:color="auto"/>
                <w:left w:val="none" w:sz="0" w:space="0" w:color="auto"/>
                <w:bottom w:val="none" w:sz="0" w:space="0" w:color="auto"/>
                <w:right w:val="none" w:sz="0" w:space="0" w:color="auto"/>
              </w:divBdr>
            </w:div>
            <w:div w:id="1045524233">
              <w:marLeft w:val="0"/>
              <w:marRight w:val="0"/>
              <w:marTop w:val="0"/>
              <w:marBottom w:val="0"/>
              <w:divBdr>
                <w:top w:val="none" w:sz="0" w:space="0" w:color="auto"/>
                <w:left w:val="none" w:sz="0" w:space="0" w:color="auto"/>
                <w:bottom w:val="none" w:sz="0" w:space="0" w:color="auto"/>
                <w:right w:val="none" w:sz="0" w:space="0" w:color="auto"/>
              </w:divBdr>
            </w:div>
            <w:div w:id="1581938928">
              <w:marLeft w:val="0"/>
              <w:marRight w:val="0"/>
              <w:marTop w:val="0"/>
              <w:marBottom w:val="0"/>
              <w:divBdr>
                <w:top w:val="none" w:sz="0" w:space="0" w:color="auto"/>
                <w:left w:val="none" w:sz="0" w:space="0" w:color="auto"/>
                <w:bottom w:val="none" w:sz="0" w:space="0" w:color="auto"/>
                <w:right w:val="none" w:sz="0" w:space="0" w:color="auto"/>
              </w:divBdr>
            </w:div>
            <w:div w:id="1288505200">
              <w:marLeft w:val="0"/>
              <w:marRight w:val="0"/>
              <w:marTop w:val="0"/>
              <w:marBottom w:val="0"/>
              <w:divBdr>
                <w:top w:val="none" w:sz="0" w:space="0" w:color="auto"/>
                <w:left w:val="none" w:sz="0" w:space="0" w:color="auto"/>
                <w:bottom w:val="none" w:sz="0" w:space="0" w:color="auto"/>
                <w:right w:val="none" w:sz="0" w:space="0" w:color="auto"/>
              </w:divBdr>
            </w:div>
            <w:div w:id="1893879418">
              <w:marLeft w:val="0"/>
              <w:marRight w:val="0"/>
              <w:marTop w:val="0"/>
              <w:marBottom w:val="0"/>
              <w:divBdr>
                <w:top w:val="none" w:sz="0" w:space="0" w:color="auto"/>
                <w:left w:val="none" w:sz="0" w:space="0" w:color="auto"/>
                <w:bottom w:val="none" w:sz="0" w:space="0" w:color="auto"/>
                <w:right w:val="none" w:sz="0" w:space="0" w:color="auto"/>
              </w:divBdr>
            </w:div>
            <w:div w:id="954285560">
              <w:marLeft w:val="0"/>
              <w:marRight w:val="0"/>
              <w:marTop w:val="0"/>
              <w:marBottom w:val="0"/>
              <w:divBdr>
                <w:top w:val="none" w:sz="0" w:space="0" w:color="auto"/>
                <w:left w:val="none" w:sz="0" w:space="0" w:color="auto"/>
                <w:bottom w:val="none" w:sz="0" w:space="0" w:color="auto"/>
                <w:right w:val="none" w:sz="0" w:space="0" w:color="auto"/>
              </w:divBdr>
            </w:div>
            <w:div w:id="6366582">
              <w:marLeft w:val="0"/>
              <w:marRight w:val="0"/>
              <w:marTop w:val="0"/>
              <w:marBottom w:val="0"/>
              <w:divBdr>
                <w:top w:val="none" w:sz="0" w:space="0" w:color="auto"/>
                <w:left w:val="none" w:sz="0" w:space="0" w:color="auto"/>
                <w:bottom w:val="none" w:sz="0" w:space="0" w:color="auto"/>
                <w:right w:val="none" w:sz="0" w:space="0" w:color="auto"/>
              </w:divBdr>
            </w:div>
            <w:div w:id="740062112">
              <w:marLeft w:val="0"/>
              <w:marRight w:val="0"/>
              <w:marTop w:val="0"/>
              <w:marBottom w:val="0"/>
              <w:divBdr>
                <w:top w:val="none" w:sz="0" w:space="0" w:color="auto"/>
                <w:left w:val="none" w:sz="0" w:space="0" w:color="auto"/>
                <w:bottom w:val="none" w:sz="0" w:space="0" w:color="auto"/>
                <w:right w:val="none" w:sz="0" w:space="0" w:color="auto"/>
              </w:divBdr>
            </w:div>
            <w:div w:id="2035223816">
              <w:marLeft w:val="0"/>
              <w:marRight w:val="0"/>
              <w:marTop w:val="0"/>
              <w:marBottom w:val="0"/>
              <w:divBdr>
                <w:top w:val="none" w:sz="0" w:space="0" w:color="auto"/>
                <w:left w:val="none" w:sz="0" w:space="0" w:color="auto"/>
                <w:bottom w:val="none" w:sz="0" w:space="0" w:color="auto"/>
                <w:right w:val="none" w:sz="0" w:space="0" w:color="auto"/>
              </w:divBdr>
            </w:div>
            <w:div w:id="63770860">
              <w:marLeft w:val="0"/>
              <w:marRight w:val="0"/>
              <w:marTop w:val="0"/>
              <w:marBottom w:val="0"/>
              <w:divBdr>
                <w:top w:val="none" w:sz="0" w:space="0" w:color="auto"/>
                <w:left w:val="none" w:sz="0" w:space="0" w:color="auto"/>
                <w:bottom w:val="none" w:sz="0" w:space="0" w:color="auto"/>
                <w:right w:val="none" w:sz="0" w:space="0" w:color="auto"/>
              </w:divBdr>
            </w:div>
            <w:div w:id="1214348075">
              <w:marLeft w:val="0"/>
              <w:marRight w:val="0"/>
              <w:marTop w:val="0"/>
              <w:marBottom w:val="0"/>
              <w:divBdr>
                <w:top w:val="none" w:sz="0" w:space="0" w:color="auto"/>
                <w:left w:val="none" w:sz="0" w:space="0" w:color="auto"/>
                <w:bottom w:val="none" w:sz="0" w:space="0" w:color="auto"/>
                <w:right w:val="none" w:sz="0" w:space="0" w:color="auto"/>
              </w:divBdr>
            </w:div>
            <w:div w:id="1166633097">
              <w:marLeft w:val="0"/>
              <w:marRight w:val="0"/>
              <w:marTop w:val="0"/>
              <w:marBottom w:val="0"/>
              <w:divBdr>
                <w:top w:val="none" w:sz="0" w:space="0" w:color="auto"/>
                <w:left w:val="none" w:sz="0" w:space="0" w:color="auto"/>
                <w:bottom w:val="none" w:sz="0" w:space="0" w:color="auto"/>
                <w:right w:val="none" w:sz="0" w:space="0" w:color="auto"/>
              </w:divBdr>
            </w:div>
            <w:div w:id="1858544075">
              <w:marLeft w:val="0"/>
              <w:marRight w:val="0"/>
              <w:marTop w:val="0"/>
              <w:marBottom w:val="0"/>
              <w:divBdr>
                <w:top w:val="none" w:sz="0" w:space="0" w:color="auto"/>
                <w:left w:val="none" w:sz="0" w:space="0" w:color="auto"/>
                <w:bottom w:val="none" w:sz="0" w:space="0" w:color="auto"/>
                <w:right w:val="none" w:sz="0" w:space="0" w:color="auto"/>
              </w:divBdr>
            </w:div>
            <w:div w:id="1886136869">
              <w:marLeft w:val="0"/>
              <w:marRight w:val="0"/>
              <w:marTop w:val="0"/>
              <w:marBottom w:val="0"/>
              <w:divBdr>
                <w:top w:val="none" w:sz="0" w:space="0" w:color="auto"/>
                <w:left w:val="none" w:sz="0" w:space="0" w:color="auto"/>
                <w:bottom w:val="none" w:sz="0" w:space="0" w:color="auto"/>
                <w:right w:val="none" w:sz="0" w:space="0" w:color="auto"/>
              </w:divBdr>
            </w:div>
            <w:div w:id="1847213339">
              <w:marLeft w:val="0"/>
              <w:marRight w:val="0"/>
              <w:marTop w:val="0"/>
              <w:marBottom w:val="0"/>
              <w:divBdr>
                <w:top w:val="none" w:sz="0" w:space="0" w:color="auto"/>
                <w:left w:val="none" w:sz="0" w:space="0" w:color="auto"/>
                <w:bottom w:val="none" w:sz="0" w:space="0" w:color="auto"/>
                <w:right w:val="none" w:sz="0" w:space="0" w:color="auto"/>
              </w:divBdr>
            </w:div>
            <w:div w:id="1601597740">
              <w:marLeft w:val="0"/>
              <w:marRight w:val="0"/>
              <w:marTop w:val="0"/>
              <w:marBottom w:val="0"/>
              <w:divBdr>
                <w:top w:val="none" w:sz="0" w:space="0" w:color="auto"/>
                <w:left w:val="none" w:sz="0" w:space="0" w:color="auto"/>
                <w:bottom w:val="none" w:sz="0" w:space="0" w:color="auto"/>
                <w:right w:val="none" w:sz="0" w:space="0" w:color="auto"/>
              </w:divBdr>
            </w:div>
            <w:div w:id="1303727393">
              <w:marLeft w:val="0"/>
              <w:marRight w:val="0"/>
              <w:marTop w:val="0"/>
              <w:marBottom w:val="0"/>
              <w:divBdr>
                <w:top w:val="none" w:sz="0" w:space="0" w:color="auto"/>
                <w:left w:val="none" w:sz="0" w:space="0" w:color="auto"/>
                <w:bottom w:val="none" w:sz="0" w:space="0" w:color="auto"/>
                <w:right w:val="none" w:sz="0" w:space="0" w:color="auto"/>
              </w:divBdr>
            </w:div>
            <w:div w:id="255870153">
              <w:marLeft w:val="0"/>
              <w:marRight w:val="0"/>
              <w:marTop w:val="0"/>
              <w:marBottom w:val="0"/>
              <w:divBdr>
                <w:top w:val="none" w:sz="0" w:space="0" w:color="auto"/>
                <w:left w:val="none" w:sz="0" w:space="0" w:color="auto"/>
                <w:bottom w:val="none" w:sz="0" w:space="0" w:color="auto"/>
                <w:right w:val="none" w:sz="0" w:space="0" w:color="auto"/>
              </w:divBdr>
            </w:div>
            <w:div w:id="1958834130">
              <w:marLeft w:val="0"/>
              <w:marRight w:val="0"/>
              <w:marTop w:val="0"/>
              <w:marBottom w:val="0"/>
              <w:divBdr>
                <w:top w:val="none" w:sz="0" w:space="0" w:color="auto"/>
                <w:left w:val="none" w:sz="0" w:space="0" w:color="auto"/>
                <w:bottom w:val="none" w:sz="0" w:space="0" w:color="auto"/>
                <w:right w:val="none" w:sz="0" w:space="0" w:color="auto"/>
              </w:divBdr>
            </w:div>
            <w:div w:id="1698236770">
              <w:marLeft w:val="0"/>
              <w:marRight w:val="0"/>
              <w:marTop w:val="0"/>
              <w:marBottom w:val="0"/>
              <w:divBdr>
                <w:top w:val="none" w:sz="0" w:space="0" w:color="auto"/>
                <w:left w:val="none" w:sz="0" w:space="0" w:color="auto"/>
                <w:bottom w:val="none" w:sz="0" w:space="0" w:color="auto"/>
                <w:right w:val="none" w:sz="0" w:space="0" w:color="auto"/>
              </w:divBdr>
            </w:div>
            <w:div w:id="1908152771">
              <w:marLeft w:val="0"/>
              <w:marRight w:val="0"/>
              <w:marTop w:val="0"/>
              <w:marBottom w:val="0"/>
              <w:divBdr>
                <w:top w:val="none" w:sz="0" w:space="0" w:color="auto"/>
                <w:left w:val="none" w:sz="0" w:space="0" w:color="auto"/>
                <w:bottom w:val="none" w:sz="0" w:space="0" w:color="auto"/>
                <w:right w:val="none" w:sz="0" w:space="0" w:color="auto"/>
              </w:divBdr>
            </w:div>
            <w:div w:id="1285430274">
              <w:marLeft w:val="0"/>
              <w:marRight w:val="0"/>
              <w:marTop w:val="0"/>
              <w:marBottom w:val="0"/>
              <w:divBdr>
                <w:top w:val="none" w:sz="0" w:space="0" w:color="auto"/>
                <w:left w:val="none" w:sz="0" w:space="0" w:color="auto"/>
                <w:bottom w:val="none" w:sz="0" w:space="0" w:color="auto"/>
                <w:right w:val="none" w:sz="0" w:space="0" w:color="auto"/>
              </w:divBdr>
            </w:div>
            <w:div w:id="246425949">
              <w:marLeft w:val="0"/>
              <w:marRight w:val="0"/>
              <w:marTop w:val="0"/>
              <w:marBottom w:val="0"/>
              <w:divBdr>
                <w:top w:val="none" w:sz="0" w:space="0" w:color="auto"/>
                <w:left w:val="none" w:sz="0" w:space="0" w:color="auto"/>
                <w:bottom w:val="none" w:sz="0" w:space="0" w:color="auto"/>
                <w:right w:val="none" w:sz="0" w:space="0" w:color="auto"/>
              </w:divBdr>
            </w:div>
            <w:div w:id="2029480753">
              <w:marLeft w:val="0"/>
              <w:marRight w:val="0"/>
              <w:marTop w:val="0"/>
              <w:marBottom w:val="0"/>
              <w:divBdr>
                <w:top w:val="none" w:sz="0" w:space="0" w:color="auto"/>
                <w:left w:val="none" w:sz="0" w:space="0" w:color="auto"/>
                <w:bottom w:val="none" w:sz="0" w:space="0" w:color="auto"/>
                <w:right w:val="none" w:sz="0" w:space="0" w:color="auto"/>
              </w:divBdr>
            </w:div>
            <w:div w:id="1440024882">
              <w:marLeft w:val="0"/>
              <w:marRight w:val="0"/>
              <w:marTop w:val="0"/>
              <w:marBottom w:val="0"/>
              <w:divBdr>
                <w:top w:val="none" w:sz="0" w:space="0" w:color="auto"/>
                <w:left w:val="none" w:sz="0" w:space="0" w:color="auto"/>
                <w:bottom w:val="none" w:sz="0" w:space="0" w:color="auto"/>
                <w:right w:val="none" w:sz="0" w:space="0" w:color="auto"/>
              </w:divBdr>
            </w:div>
            <w:div w:id="1133251571">
              <w:marLeft w:val="0"/>
              <w:marRight w:val="0"/>
              <w:marTop w:val="0"/>
              <w:marBottom w:val="0"/>
              <w:divBdr>
                <w:top w:val="none" w:sz="0" w:space="0" w:color="auto"/>
                <w:left w:val="none" w:sz="0" w:space="0" w:color="auto"/>
                <w:bottom w:val="none" w:sz="0" w:space="0" w:color="auto"/>
                <w:right w:val="none" w:sz="0" w:space="0" w:color="auto"/>
              </w:divBdr>
            </w:div>
            <w:div w:id="2034305824">
              <w:marLeft w:val="0"/>
              <w:marRight w:val="0"/>
              <w:marTop w:val="0"/>
              <w:marBottom w:val="0"/>
              <w:divBdr>
                <w:top w:val="none" w:sz="0" w:space="0" w:color="auto"/>
                <w:left w:val="none" w:sz="0" w:space="0" w:color="auto"/>
                <w:bottom w:val="none" w:sz="0" w:space="0" w:color="auto"/>
                <w:right w:val="none" w:sz="0" w:space="0" w:color="auto"/>
              </w:divBdr>
            </w:div>
            <w:div w:id="1653943633">
              <w:marLeft w:val="0"/>
              <w:marRight w:val="0"/>
              <w:marTop w:val="0"/>
              <w:marBottom w:val="0"/>
              <w:divBdr>
                <w:top w:val="none" w:sz="0" w:space="0" w:color="auto"/>
                <w:left w:val="none" w:sz="0" w:space="0" w:color="auto"/>
                <w:bottom w:val="none" w:sz="0" w:space="0" w:color="auto"/>
                <w:right w:val="none" w:sz="0" w:space="0" w:color="auto"/>
              </w:divBdr>
            </w:div>
            <w:div w:id="56246378">
              <w:marLeft w:val="0"/>
              <w:marRight w:val="0"/>
              <w:marTop w:val="0"/>
              <w:marBottom w:val="0"/>
              <w:divBdr>
                <w:top w:val="none" w:sz="0" w:space="0" w:color="auto"/>
                <w:left w:val="none" w:sz="0" w:space="0" w:color="auto"/>
                <w:bottom w:val="none" w:sz="0" w:space="0" w:color="auto"/>
                <w:right w:val="none" w:sz="0" w:space="0" w:color="auto"/>
              </w:divBdr>
            </w:div>
            <w:div w:id="1287468284">
              <w:marLeft w:val="0"/>
              <w:marRight w:val="0"/>
              <w:marTop w:val="0"/>
              <w:marBottom w:val="0"/>
              <w:divBdr>
                <w:top w:val="none" w:sz="0" w:space="0" w:color="auto"/>
                <w:left w:val="none" w:sz="0" w:space="0" w:color="auto"/>
                <w:bottom w:val="none" w:sz="0" w:space="0" w:color="auto"/>
                <w:right w:val="none" w:sz="0" w:space="0" w:color="auto"/>
              </w:divBdr>
            </w:div>
            <w:div w:id="762185618">
              <w:marLeft w:val="0"/>
              <w:marRight w:val="0"/>
              <w:marTop w:val="0"/>
              <w:marBottom w:val="0"/>
              <w:divBdr>
                <w:top w:val="none" w:sz="0" w:space="0" w:color="auto"/>
                <w:left w:val="none" w:sz="0" w:space="0" w:color="auto"/>
                <w:bottom w:val="none" w:sz="0" w:space="0" w:color="auto"/>
                <w:right w:val="none" w:sz="0" w:space="0" w:color="auto"/>
              </w:divBdr>
            </w:div>
            <w:div w:id="1926303112">
              <w:marLeft w:val="0"/>
              <w:marRight w:val="0"/>
              <w:marTop w:val="0"/>
              <w:marBottom w:val="0"/>
              <w:divBdr>
                <w:top w:val="none" w:sz="0" w:space="0" w:color="auto"/>
                <w:left w:val="none" w:sz="0" w:space="0" w:color="auto"/>
                <w:bottom w:val="none" w:sz="0" w:space="0" w:color="auto"/>
                <w:right w:val="none" w:sz="0" w:space="0" w:color="auto"/>
              </w:divBdr>
            </w:div>
            <w:div w:id="622737884">
              <w:marLeft w:val="0"/>
              <w:marRight w:val="0"/>
              <w:marTop w:val="0"/>
              <w:marBottom w:val="0"/>
              <w:divBdr>
                <w:top w:val="none" w:sz="0" w:space="0" w:color="auto"/>
                <w:left w:val="none" w:sz="0" w:space="0" w:color="auto"/>
                <w:bottom w:val="none" w:sz="0" w:space="0" w:color="auto"/>
                <w:right w:val="none" w:sz="0" w:space="0" w:color="auto"/>
              </w:divBdr>
            </w:div>
            <w:div w:id="1426729126">
              <w:marLeft w:val="0"/>
              <w:marRight w:val="0"/>
              <w:marTop w:val="0"/>
              <w:marBottom w:val="0"/>
              <w:divBdr>
                <w:top w:val="none" w:sz="0" w:space="0" w:color="auto"/>
                <w:left w:val="none" w:sz="0" w:space="0" w:color="auto"/>
                <w:bottom w:val="none" w:sz="0" w:space="0" w:color="auto"/>
                <w:right w:val="none" w:sz="0" w:space="0" w:color="auto"/>
              </w:divBdr>
            </w:div>
            <w:div w:id="2130079359">
              <w:marLeft w:val="0"/>
              <w:marRight w:val="0"/>
              <w:marTop w:val="0"/>
              <w:marBottom w:val="0"/>
              <w:divBdr>
                <w:top w:val="none" w:sz="0" w:space="0" w:color="auto"/>
                <w:left w:val="none" w:sz="0" w:space="0" w:color="auto"/>
                <w:bottom w:val="none" w:sz="0" w:space="0" w:color="auto"/>
                <w:right w:val="none" w:sz="0" w:space="0" w:color="auto"/>
              </w:divBdr>
            </w:div>
            <w:div w:id="869492394">
              <w:marLeft w:val="0"/>
              <w:marRight w:val="0"/>
              <w:marTop w:val="0"/>
              <w:marBottom w:val="0"/>
              <w:divBdr>
                <w:top w:val="none" w:sz="0" w:space="0" w:color="auto"/>
                <w:left w:val="none" w:sz="0" w:space="0" w:color="auto"/>
                <w:bottom w:val="none" w:sz="0" w:space="0" w:color="auto"/>
                <w:right w:val="none" w:sz="0" w:space="0" w:color="auto"/>
              </w:divBdr>
            </w:div>
            <w:div w:id="804784626">
              <w:marLeft w:val="0"/>
              <w:marRight w:val="0"/>
              <w:marTop w:val="0"/>
              <w:marBottom w:val="0"/>
              <w:divBdr>
                <w:top w:val="none" w:sz="0" w:space="0" w:color="auto"/>
                <w:left w:val="none" w:sz="0" w:space="0" w:color="auto"/>
                <w:bottom w:val="none" w:sz="0" w:space="0" w:color="auto"/>
                <w:right w:val="none" w:sz="0" w:space="0" w:color="auto"/>
              </w:divBdr>
            </w:div>
            <w:div w:id="358242218">
              <w:marLeft w:val="0"/>
              <w:marRight w:val="0"/>
              <w:marTop w:val="0"/>
              <w:marBottom w:val="0"/>
              <w:divBdr>
                <w:top w:val="none" w:sz="0" w:space="0" w:color="auto"/>
                <w:left w:val="none" w:sz="0" w:space="0" w:color="auto"/>
                <w:bottom w:val="none" w:sz="0" w:space="0" w:color="auto"/>
                <w:right w:val="none" w:sz="0" w:space="0" w:color="auto"/>
              </w:divBdr>
            </w:div>
            <w:div w:id="831221175">
              <w:marLeft w:val="0"/>
              <w:marRight w:val="0"/>
              <w:marTop w:val="0"/>
              <w:marBottom w:val="0"/>
              <w:divBdr>
                <w:top w:val="none" w:sz="0" w:space="0" w:color="auto"/>
                <w:left w:val="none" w:sz="0" w:space="0" w:color="auto"/>
                <w:bottom w:val="none" w:sz="0" w:space="0" w:color="auto"/>
                <w:right w:val="none" w:sz="0" w:space="0" w:color="auto"/>
              </w:divBdr>
            </w:div>
            <w:div w:id="985819378">
              <w:marLeft w:val="0"/>
              <w:marRight w:val="0"/>
              <w:marTop w:val="0"/>
              <w:marBottom w:val="0"/>
              <w:divBdr>
                <w:top w:val="none" w:sz="0" w:space="0" w:color="auto"/>
                <w:left w:val="none" w:sz="0" w:space="0" w:color="auto"/>
                <w:bottom w:val="none" w:sz="0" w:space="0" w:color="auto"/>
                <w:right w:val="none" w:sz="0" w:space="0" w:color="auto"/>
              </w:divBdr>
            </w:div>
            <w:div w:id="1163277912">
              <w:marLeft w:val="0"/>
              <w:marRight w:val="0"/>
              <w:marTop w:val="0"/>
              <w:marBottom w:val="0"/>
              <w:divBdr>
                <w:top w:val="none" w:sz="0" w:space="0" w:color="auto"/>
                <w:left w:val="none" w:sz="0" w:space="0" w:color="auto"/>
                <w:bottom w:val="none" w:sz="0" w:space="0" w:color="auto"/>
                <w:right w:val="none" w:sz="0" w:space="0" w:color="auto"/>
              </w:divBdr>
            </w:div>
            <w:div w:id="1998264737">
              <w:marLeft w:val="0"/>
              <w:marRight w:val="0"/>
              <w:marTop w:val="0"/>
              <w:marBottom w:val="0"/>
              <w:divBdr>
                <w:top w:val="none" w:sz="0" w:space="0" w:color="auto"/>
                <w:left w:val="none" w:sz="0" w:space="0" w:color="auto"/>
                <w:bottom w:val="none" w:sz="0" w:space="0" w:color="auto"/>
                <w:right w:val="none" w:sz="0" w:space="0" w:color="auto"/>
              </w:divBdr>
            </w:div>
            <w:div w:id="1376663565">
              <w:marLeft w:val="0"/>
              <w:marRight w:val="0"/>
              <w:marTop w:val="0"/>
              <w:marBottom w:val="0"/>
              <w:divBdr>
                <w:top w:val="none" w:sz="0" w:space="0" w:color="auto"/>
                <w:left w:val="none" w:sz="0" w:space="0" w:color="auto"/>
                <w:bottom w:val="none" w:sz="0" w:space="0" w:color="auto"/>
                <w:right w:val="none" w:sz="0" w:space="0" w:color="auto"/>
              </w:divBdr>
            </w:div>
            <w:div w:id="1592278164">
              <w:marLeft w:val="0"/>
              <w:marRight w:val="0"/>
              <w:marTop w:val="0"/>
              <w:marBottom w:val="0"/>
              <w:divBdr>
                <w:top w:val="none" w:sz="0" w:space="0" w:color="auto"/>
                <w:left w:val="none" w:sz="0" w:space="0" w:color="auto"/>
                <w:bottom w:val="none" w:sz="0" w:space="0" w:color="auto"/>
                <w:right w:val="none" w:sz="0" w:space="0" w:color="auto"/>
              </w:divBdr>
            </w:div>
            <w:div w:id="141429317">
              <w:marLeft w:val="0"/>
              <w:marRight w:val="0"/>
              <w:marTop w:val="0"/>
              <w:marBottom w:val="0"/>
              <w:divBdr>
                <w:top w:val="none" w:sz="0" w:space="0" w:color="auto"/>
                <w:left w:val="none" w:sz="0" w:space="0" w:color="auto"/>
                <w:bottom w:val="none" w:sz="0" w:space="0" w:color="auto"/>
                <w:right w:val="none" w:sz="0" w:space="0" w:color="auto"/>
              </w:divBdr>
            </w:div>
            <w:div w:id="1994288405">
              <w:marLeft w:val="0"/>
              <w:marRight w:val="0"/>
              <w:marTop w:val="0"/>
              <w:marBottom w:val="0"/>
              <w:divBdr>
                <w:top w:val="none" w:sz="0" w:space="0" w:color="auto"/>
                <w:left w:val="none" w:sz="0" w:space="0" w:color="auto"/>
                <w:bottom w:val="none" w:sz="0" w:space="0" w:color="auto"/>
                <w:right w:val="none" w:sz="0" w:space="0" w:color="auto"/>
              </w:divBdr>
            </w:div>
            <w:div w:id="1815953765">
              <w:marLeft w:val="0"/>
              <w:marRight w:val="0"/>
              <w:marTop w:val="0"/>
              <w:marBottom w:val="0"/>
              <w:divBdr>
                <w:top w:val="none" w:sz="0" w:space="0" w:color="auto"/>
                <w:left w:val="none" w:sz="0" w:space="0" w:color="auto"/>
                <w:bottom w:val="none" w:sz="0" w:space="0" w:color="auto"/>
                <w:right w:val="none" w:sz="0" w:space="0" w:color="auto"/>
              </w:divBdr>
            </w:div>
            <w:div w:id="1362630136">
              <w:marLeft w:val="0"/>
              <w:marRight w:val="0"/>
              <w:marTop w:val="0"/>
              <w:marBottom w:val="0"/>
              <w:divBdr>
                <w:top w:val="none" w:sz="0" w:space="0" w:color="auto"/>
                <w:left w:val="none" w:sz="0" w:space="0" w:color="auto"/>
                <w:bottom w:val="none" w:sz="0" w:space="0" w:color="auto"/>
                <w:right w:val="none" w:sz="0" w:space="0" w:color="auto"/>
              </w:divBdr>
            </w:div>
            <w:div w:id="1211039915">
              <w:marLeft w:val="0"/>
              <w:marRight w:val="0"/>
              <w:marTop w:val="0"/>
              <w:marBottom w:val="0"/>
              <w:divBdr>
                <w:top w:val="none" w:sz="0" w:space="0" w:color="auto"/>
                <w:left w:val="none" w:sz="0" w:space="0" w:color="auto"/>
                <w:bottom w:val="none" w:sz="0" w:space="0" w:color="auto"/>
                <w:right w:val="none" w:sz="0" w:space="0" w:color="auto"/>
              </w:divBdr>
            </w:div>
            <w:div w:id="975333172">
              <w:marLeft w:val="0"/>
              <w:marRight w:val="0"/>
              <w:marTop w:val="0"/>
              <w:marBottom w:val="0"/>
              <w:divBdr>
                <w:top w:val="none" w:sz="0" w:space="0" w:color="auto"/>
                <w:left w:val="none" w:sz="0" w:space="0" w:color="auto"/>
                <w:bottom w:val="none" w:sz="0" w:space="0" w:color="auto"/>
                <w:right w:val="none" w:sz="0" w:space="0" w:color="auto"/>
              </w:divBdr>
            </w:div>
            <w:div w:id="1491093119">
              <w:marLeft w:val="0"/>
              <w:marRight w:val="0"/>
              <w:marTop w:val="0"/>
              <w:marBottom w:val="0"/>
              <w:divBdr>
                <w:top w:val="none" w:sz="0" w:space="0" w:color="auto"/>
                <w:left w:val="none" w:sz="0" w:space="0" w:color="auto"/>
                <w:bottom w:val="none" w:sz="0" w:space="0" w:color="auto"/>
                <w:right w:val="none" w:sz="0" w:space="0" w:color="auto"/>
              </w:divBdr>
            </w:div>
            <w:div w:id="422534290">
              <w:marLeft w:val="0"/>
              <w:marRight w:val="0"/>
              <w:marTop w:val="0"/>
              <w:marBottom w:val="0"/>
              <w:divBdr>
                <w:top w:val="none" w:sz="0" w:space="0" w:color="auto"/>
                <w:left w:val="none" w:sz="0" w:space="0" w:color="auto"/>
                <w:bottom w:val="none" w:sz="0" w:space="0" w:color="auto"/>
                <w:right w:val="none" w:sz="0" w:space="0" w:color="auto"/>
              </w:divBdr>
            </w:div>
            <w:div w:id="1984848634">
              <w:marLeft w:val="0"/>
              <w:marRight w:val="0"/>
              <w:marTop w:val="0"/>
              <w:marBottom w:val="0"/>
              <w:divBdr>
                <w:top w:val="none" w:sz="0" w:space="0" w:color="auto"/>
                <w:left w:val="none" w:sz="0" w:space="0" w:color="auto"/>
                <w:bottom w:val="none" w:sz="0" w:space="0" w:color="auto"/>
                <w:right w:val="none" w:sz="0" w:space="0" w:color="auto"/>
              </w:divBdr>
            </w:div>
            <w:div w:id="896821180">
              <w:marLeft w:val="0"/>
              <w:marRight w:val="0"/>
              <w:marTop w:val="0"/>
              <w:marBottom w:val="0"/>
              <w:divBdr>
                <w:top w:val="none" w:sz="0" w:space="0" w:color="auto"/>
                <w:left w:val="none" w:sz="0" w:space="0" w:color="auto"/>
                <w:bottom w:val="none" w:sz="0" w:space="0" w:color="auto"/>
                <w:right w:val="none" w:sz="0" w:space="0" w:color="auto"/>
              </w:divBdr>
            </w:div>
            <w:div w:id="1248343831">
              <w:marLeft w:val="0"/>
              <w:marRight w:val="0"/>
              <w:marTop w:val="0"/>
              <w:marBottom w:val="0"/>
              <w:divBdr>
                <w:top w:val="none" w:sz="0" w:space="0" w:color="auto"/>
                <w:left w:val="none" w:sz="0" w:space="0" w:color="auto"/>
                <w:bottom w:val="none" w:sz="0" w:space="0" w:color="auto"/>
                <w:right w:val="none" w:sz="0" w:space="0" w:color="auto"/>
              </w:divBdr>
            </w:div>
            <w:div w:id="190193789">
              <w:marLeft w:val="0"/>
              <w:marRight w:val="0"/>
              <w:marTop w:val="0"/>
              <w:marBottom w:val="0"/>
              <w:divBdr>
                <w:top w:val="none" w:sz="0" w:space="0" w:color="auto"/>
                <w:left w:val="none" w:sz="0" w:space="0" w:color="auto"/>
                <w:bottom w:val="none" w:sz="0" w:space="0" w:color="auto"/>
                <w:right w:val="none" w:sz="0" w:space="0" w:color="auto"/>
              </w:divBdr>
            </w:div>
            <w:div w:id="1847673378">
              <w:marLeft w:val="0"/>
              <w:marRight w:val="0"/>
              <w:marTop w:val="0"/>
              <w:marBottom w:val="0"/>
              <w:divBdr>
                <w:top w:val="none" w:sz="0" w:space="0" w:color="auto"/>
                <w:left w:val="none" w:sz="0" w:space="0" w:color="auto"/>
                <w:bottom w:val="none" w:sz="0" w:space="0" w:color="auto"/>
                <w:right w:val="none" w:sz="0" w:space="0" w:color="auto"/>
              </w:divBdr>
            </w:div>
            <w:div w:id="969021560">
              <w:marLeft w:val="0"/>
              <w:marRight w:val="0"/>
              <w:marTop w:val="0"/>
              <w:marBottom w:val="0"/>
              <w:divBdr>
                <w:top w:val="none" w:sz="0" w:space="0" w:color="auto"/>
                <w:left w:val="none" w:sz="0" w:space="0" w:color="auto"/>
                <w:bottom w:val="none" w:sz="0" w:space="0" w:color="auto"/>
                <w:right w:val="none" w:sz="0" w:space="0" w:color="auto"/>
              </w:divBdr>
            </w:div>
            <w:div w:id="909384125">
              <w:marLeft w:val="0"/>
              <w:marRight w:val="0"/>
              <w:marTop w:val="0"/>
              <w:marBottom w:val="0"/>
              <w:divBdr>
                <w:top w:val="none" w:sz="0" w:space="0" w:color="auto"/>
                <w:left w:val="none" w:sz="0" w:space="0" w:color="auto"/>
                <w:bottom w:val="none" w:sz="0" w:space="0" w:color="auto"/>
                <w:right w:val="none" w:sz="0" w:space="0" w:color="auto"/>
              </w:divBdr>
            </w:div>
            <w:div w:id="1829248261">
              <w:marLeft w:val="0"/>
              <w:marRight w:val="0"/>
              <w:marTop w:val="0"/>
              <w:marBottom w:val="0"/>
              <w:divBdr>
                <w:top w:val="none" w:sz="0" w:space="0" w:color="auto"/>
                <w:left w:val="none" w:sz="0" w:space="0" w:color="auto"/>
                <w:bottom w:val="none" w:sz="0" w:space="0" w:color="auto"/>
                <w:right w:val="none" w:sz="0" w:space="0" w:color="auto"/>
              </w:divBdr>
            </w:div>
            <w:div w:id="1324434556">
              <w:marLeft w:val="0"/>
              <w:marRight w:val="0"/>
              <w:marTop w:val="0"/>
              <w:marBottom w:val="0"/>
              <w:divBdr>
                <w:top w:val="none" w:sz="0" w:space="0" w:color="auto"/>
                <w:left w:val="none" w:sz="0" w:space="0" w:color="auto"/>
                <w:bottom w:val="none" w:sz="0" w:space="0" w:color="auto"/>
                <w:right w:val="none" w:sz="0" w:space="0" w:color="auto"/>
              </w:divBdr>
            </w:div>
            <w:div w:id="1579905283">
              <w:marLeft w:val="0"/>
              <w:marRight w:val="0"/>
              <w:marTop w:val="0"/>
              <w:marBottom w:val="0"/>
              <w:divBdr>
                <w:top w:val="none" w:sz="0" w:space="0" w:color="auto"/>
                <w:left w:val="none" w:sz="0" w:space="0" w:color="auto"/>
                <w:bottom w:val="none" w:sz="0" w:space="0" w:color="auto"/>
                <w:right w:val="none" w:sz="0" w:space="0" w:color="auto"/>
              </w:divBdr>
            </w:div>
            <w:div w:id="531890824">
              <w:marLeft w:val="0"/>
              <w:marRight w:val="0"/>
              <w:marTop w:val="0"/>
              <w:marBottom w:val="0"/>
              <w:divBdr>
                <w:top w:val="none" w:sz="0" w:space="0" w:color="auto"/>
                <w:left w:val="none" w:sz="0" w:space="0" w:color="auto"/>
                <w:bottom w:val="none" w:sz="0" w:space="0" w:color="auto"/>
                <w:right w:val="none" w:sz="0" w:space="0" w:color="auto"/>
              </w:divBdr>
            </w:div>
            <w:div w:id="728267817">
              <w:marLeft w:val="0"/>
              <w:marRight w:val="0"/>
              <w:marTop w:val="0"/>
              <w:marBottom w:val="0"/>
              <w:divBdr>
                <w:top w:val="none" w:sz="0" w:space="0" w:color="auto"/>
                <w:left w:val="none" w:sz="0" w:space="0" w:color="auto"/>
                <w:bottom w:val="none" w:sz="0" w:space="0" w:color="auto"/>
                <w:right w:val="none" w:sz="0" w:space="0" w:color="auto"/>
              </w:divBdr>
            </w:div>
            <w:div w:id="1650091397">
              <w:marLeft w:val="0"/>
              <w:marRight w:val="0"/>
              <w:marTop w:val="0"/>
              <w:marBottom w:val="0"/>
              <w:divBdr>
                <w:top w:val="none" w:sz="0" w:space="0" w:color="auto"/>
                <w:left w:val="none" w:sz="0" w:space="0" w:color="auto"/>
                <w:bottom w:val="none" w:sz="0" w:space="0" w:color="auto"/>
                <w:right w:val="none" w:sz="0" w:space="0" w:color="auto"/>
              </w:divBdr>
            </w:div>
            <w:div w:id="1284657096">
              <w:marLeft w:val="0"/>
              <w:marRight w:val="0"/>
              <w:marTop w:val="0"/>
              <w:marBottom w:val="0"/>
              <w:divBdr>
                <w:top w:val="none" w:sz="0" w:space="0" w:color="auto"/>
                <w:left w:val="none" w:sz="0" w:space="0" w:color="auto"/>
                <w:bottom w:val="none" w:sz="0" w:space="0" w:color="auto"/>
                <w:right w:val="none" w:sz="0" w:space="0" w:color="auto"/>
              </w:divBdr>
            </w:div>
            <w:div w:id="1568564576">
              <w:marLeft w:val="0"/>
              <w:marRight w:val="0"/>
              <w:marTop w:val="0"/>
              <w:marBottom w:val="0"/>
              <w:divBdr>
                <w:top w:val="none" w:sz="0" w:space="0" w:color="auto"/>
                <w:left w:val="none" w:sz="0" w:space="0" w:color="auto"/>
                <w:bottom w:val="none" w:sz="0" w:space="0" w:color="auto"/>
                <w:right w:val="none" w:sz="0" w:space="0" w:color="auto"/>
              </w:divBdr>
            </w:div>
            <w:div w:id="682822237">
              <w:marLeft w:val="0"/>
              <w:marRight w:val="0"/>
              <w:marTop w:val="0"/>
              <w:marBottom w:val="0"/>
              <w:divBdr>
                <w:top w:val="none" w:sz="0" w:space="0" w:color="auto"/>
                <w:left w:val="none" w:sz="0" w:space="0" w:color="auto"/>
                <w:bottom w:val="none" w:sz="0" w:space="0" w:color="auto"/>
                <w:right w:val="none" w:sz="0" w:space="0" w:color="auto"/>
              </w:divBdr>
            </w:div>
            <w:div w:id="791941725">
              <w:marLeft w:val="0"/>
              <w:marRight w:val="0"/>
              <w:marTop w:val="0"/>
              <w:marBottom w:val="0"/>
              <w:divBdr>
                <w:top w:val="none" w:sz="0" w:space="0" w:color="auto"/>
                <w:left w:val="none" w:sz="0" w:space="0" w:color="auto"/>
                <w:bottom w:val="none" w:sz="0" w:space="0" w:color="auto"/>
                <w:right w:val="none" w:sz="0" w:space="0" w:color="auto"/>
              </w:divBdr>
            </w:div>
            <w:div w:id="2105034755">
              <w:marLeft w:val="0"/>
              <w:marRight w:val="0"/>
              <w:marTop w:val="0"/>
              <w:marBottom w:val="0"/>
              <w:divBdr>
                <w:top w:val="none" w:sz="0" w:space="0" w:color="auto"/>
                <w:left w:val="none" w:sz="0" w:space="0" w:color="auto"/>
                <w:bottom w:val="none" w:sz="0" w:space="0" w:color="auto"/>
                <w:right w:val="none" w:sz="0" w:space="0" w:color="auto"/>
              </w:divBdr>
            </w:div>
            <w:div w:id="834954449">
              <w:marLeft w:val="0"/>
              <w:marRight w:val="0"/>
              <w:marTop w:val="0"/>
              <w:marBottom w:val="0"/>
              <w:divBdr>
                <w:top w:val="none" w:sz="0" w:space="0" w:color="auto"/>
                <w:left w:val="none" w:sz="0" w:space="0" w:color="auto"/>
                <w:bottom w:val="none" w:sz="0" w:space="0" w:color="auto"/>
                <w:right w:val="none" w:sz="0" w:space="0" w:color="auto"/>
              </w:divBdr>
            </w:div>
            <w:div w:id="1506820973">
              <w:marLeft w:val="0"/>
              <w:marRight w:val="0"/>
              <w:marTop w:val="0"/>
              <w:marBottom w:val="0"/>
              <w:divBdr>
                <w:top w:val="none" w:sz="0" w:space="0" w:color="auto"/>
                <w:left w:val="none" w:sz="0" w:space="0" w:color="auto"/>
                <w:bottom w:val="none" w:sz="0" w:space="0" w:color="auto"/>
                <w:right w:val="none" w:sz="0" w:space="0" w:color="auto"/>
              </w:divBdr>
            </w:div>
            <w:div w:id="1165630054">
              <w:marLeft w:val="0"/>
              <w:marRight w:val="0"/>
              <w:marTop w:val="0"/>
              <w:marBottom w:val="0"/>
              <w:divBdr>
                <w:top w:val="none" w:sz="0" w:space="0" w:color="auto"/>
                <w:left w:val="none" w:sz="0" w:space="0" w:color="auto"/>
                <w:bottom w:val="none" w:sz="0" w:space="0" w:color="auto"/>
                <w:right w:val="none" w:sz="0" w:space="0" w:color="auto"/>
              </w:divBdr>
            </w:div>
            <w:div w:id="997609673">
              <w:marLeft w:val="0"/>
              <w:marRight w:val="0"/>
              <w:marTop w:val="0"/>
              <w:marBottom w:val="0"/>
              <w:divBdr>
                <w:top w:val="none" w:sz="0" w:space="0" w:color="auto"/>
                <w:left w:val="none" w:sz="0" w:space="0" w:color="auto"/>
                <w:bottom w:val="none" w:sz="0" w:space="0" w:color="auto"/>
                <w:right w:val="none" w:sz="0" w:space="0" w:color="auto"/>
              </w:divBdr>
            </w:div>
            <w:div w:id="1276863006">
              <w:marLeft w:val="0"/>
              <w:marRight w:val="0"/>
              <w:marTop w:val="0"/>
              <w:marBottom w:val="0"/>
              <w:divBdr>
                <w:top w:val="none" w:sz="0" w:space="0" w:color="auto"/>
                <w:left w:val="none" w:sz="0" w:space="0" w:color="auto"/>
                <w:bottom w:val="none" w:sz="0" w:space="0" w:color="auto"/>
                <w:right w:val="none" w:sz="0" w:space="0" w:color="auto"/>
              </w:divBdr>
            </w:div>
            <w:div w:id="1008599303">
              <w:marLeft w:val="0"/>
              <w:marRight w:val="0"/>
              <w:marTop w:val="0"/>
              <w:marBottom w:val="0"/>
              <w:divBdr>
                <w:top w:val="none" w:sz="0" w:space="0" w:color="auto"/>
                <w:left w:val="none" w:sz="0" w:space="0" w:color="auto"/>
                <w:bottom w:val="none" w:sz="0" w:space="0" w:color="auto"/>
                <w:right w:val="none" w:sz="0" w:space="0" w:color="auto"/>
              </w:divBdr>
            </w:div>
            <w:div w:id="1798723061">
              <w:marLeft w:val="0"/>
              <w:marRight w:val="0"/>
              <w:marTop w:val="0"/>
              <w:marBottom w:val="0"/>
              <w:divBdr>
                <w:top w:val="none" w:sz="0" w:space="0" w:color="auto"/>
                <w:left w:val="none" w:sz="0" w:space="0" w:color="auto"/>
                <w:bottom w:val="none" w:sz="0" w:space="0" w:color="auto"/>
                <w:right w:val="none" w:sz="0" w:space="0" w:color="auto"/>
              </w:divBdr>
            </w:div>
            <w:div w:id="733041682">
              <w:marLeft w:val="0"/>
              <w:marRight w:val="0"/>
              <w:marTop w:val="0"/>
              <w:marBottom w:val="0"/>
              <w:divBdr>
                <w:top w:val="none" w:sz="0" w:space="0" w:color="auto"/>
                <w:left w:val="none" w:sz="0" w:space="0" w:color="auto"/>
                <w:bottom w:val="none" w:sz="0" w:space="0" w:color="auto"/>
                <w:right w:val="none" w:sz="0" w:space="0" w:color="auto"/>
              </w:divBdr>
            </w:div>
            <w:div w:id="1675717129">
              <w:marLeft w:val="0"/>
              <w:marRight w:val="0"/>
              <w:marTop w:val="0"/>
              <w:marBottom w:val="0"/>
              <w:divBdr>
                <w:top w:val="none" w:sz="0" w:space="0" w:color="auto"/>
                <w:left w:val="none" w:sz="0" w:space="0" w:color="auto"/>
                <w:bottom w:val="none" w:sz="0" w:space="0" w:color="auto"/>
                <w:right w:val="none" w:sz="0" w:space="0" w:color="auto"/>
              </w:divBdr>
            </w:div>
            <w:div w:id="2018531495">
              <w:marLeft w:val="0"/>
              <w:marRight w:val="0"/>
              <w:marTop w:val="0"/>
              <w:marBottom w:val="0"/>
              <w:divBdr>
                <w:top w:val="none" w:sz="0" w:space="0" w:color="auto"/>
                <w:left w:val="none" w:sz="0" w:space="0" w:color="auto"/>
                <w:bottom w:val="none" w:sz="0" w:space="0" w:color="auto"/>
                <w:right w:val="none" w:sz="0" w:space="0" w:color="auto"/>
              </w:divBdr>
            </w:div>
            <w:div w:id="612521307">
              <w:marLeft w:val="0"/>
              <w:marRight w:val="0"/>
              <w:marTop w:val="0"/>
              <w:marBottom w:val="0"/>
              <w:divBdr>
                <w:top w:val="none" w:sz="0" w:space="0" w:color="auto"/>
                <w:left w:val="none" w:sz="0" w:space="0" w:color="auto"/>
                <w:bottom w:val="none" w:sz="0" w:space="0" w:color="auto"/>
                <w:right w:val="none" w:sz="0" w:space="0" w:color="auto"/>
              </w:divBdr>
            </w:div>
            <w:div w:id="506286774">
              <w:marLeft w:val="0"/>
              <w:marRight w:val="0"/>
              <w:marTop w:val="0"/>
              <w:marBottom w:val="0"/>
              <w:divBdr>
                <w:top w:val="none" w:sz="0" w:space="0" w:color="auto"/>
                <w:left w:val="none" w:sz="0" w:space="0" w:color="auto"/>
                <w:bottom w:val="none" w:sz="0" w:space="0" w:color="auto"/>
                <w:right w:val="none" w:sz="0" w:space="0" w:color="auto"/>
              </w:divBdr>
            </w:div>
            <w:div w:id="1050348784">
              <w:marLeft w:val="0"/>
              <w:marRight w:val="0"/>
              <w:marTop w:val="0"/>
              <w:marBottom w:val="0"/>
              <w:divBdr>
                <w:top w:val="none" w:sz="0" w:space="0" w:color="auto"/>
                <w:left w:val="none" w:sz="0" w:space="0" w:color="auto"/>
                <w:bottom w:val="none" w:sz="0" w:space="0" w:color="auto"/>
                <w:right w:val="none" w:sz="0" w:space="0" w:color="auto"/>
              </w:divBdr>
            </w:div>
            <w:div w:id="1739786007">
              <w:marLeft w:val="0"/>
              <w:marRight w:val="0"/>
              <w:marTop w:val="0"/>
              <w:marBottom w:val="0"/>
              <w:divBdr>
                <w:top w:val="none" w:sz="0" w:space="0" w:color="auto"/>
                <w:left w:val="none" w:sz="0" w:space="0" w:color="auto"/>
                <w:bottom w:val="none" w:sz="0" w:space="0" w:color="auto"/>
                <w:right w:val="none" w:sz="0" w:space="0" w:color="auto"/>
              </w:divBdr>
            </w:div>
            <w:div w:id="157842462">
              <w:marLeft w:val="0"/>
              <w:marRight w:val="0"/>
              <w:marTop w:val="0"/>
              <w:marBottom w:val="0"/>
              <w:divBdr>
                <w:top w:val="none" w:sz="0" w:space="0" w:color="auto"/>
                <w:left w:val="none" w:sz="0" w:space="0" w:color="auto"/>
                <w:bottom w:val="none" w:sz="0" w:space="0" w:color="auto"/>
                <w:right w:val="none" w:sz="0" w:space="0" w:color="auto"/>
              </w:divBdr>
            </w:div>
            <w:div w:id="1056248081">
              <w:marLeft w:val="0"/>
              <w:marRight w:val="0"/>
              <w:marTop w:val="0"/>
              <w:marBottom w:val="0"/>
              <w:divBdr>
                <w:top w:val="none" w:sz="0" w:space="0" w:color="auto"/>
                <w:left w:val="none" w:sz="0" w:space="0" w:color="auto"/>
                <w:bottom w:val="none" w:sz="0" w:space="0" w:color="auto"/>
                <w:right w:val="none" w:sz="0" w:space="0" w:color="auto"/>
              </w:divBdr>
            </w:div>
            <w:div w:id="1075904874">
              <w:marLeft w:val="0"/>
              <w:marRight w:val="0"/>
              <w:marTop w:val="0"/>
              <w:marBottom w:val="0"/>
              <w:divBdr>
                <w:top w:val="none" w:sz="0" w:space="0" w:color="auto"/>
                <w:left w:val="none" w:sz="0" w:space="0" w:color="auto"/>
                <w:bottom w:val="none" w:sz="0" w:space="0" w:color="auto"/>
                <w:right w:val="none" w:sz="0" w:space="0" w:color="auto"/>
              </w:divBdr>
            </w:div>
            <w:div w:id="1440371836">
              <w:marLeft w:val="0"/>
              <w:marRight w:val="0"/>
              <w:marTop w:val="0"/>
              <w:marBottom w:val="0"/>
              <w:divBdr>
                <w:top w:val="none" w:sz="0" w:space="0" w:color="auto"/>
                <w:left w:val="none" w:sz="0" w:space="0" w:color="auto"/>
                <w:bottom w:val="none" w:sz="0" w:space="0" w:color="auto"/>
                <w:right w:val="none" w:sz="0" w:space="0" w:color="auto"/>
              </w:divBdr>
            </w:div>
            <w:div w:id="1213080374">
              <w:marLeft w:val="0"/>
              <w:marRight w:val="0"/>
              <w:marTop w:val="0"/>
              <w:marBottom w:val="0"/>
              <w:divBdr>
                <w:top w:val="none" w:sz="0" w:space="0" w:color="auto"/>
                <w:left w:val="none" w:sz="0" w:space="0" w:color="auto"/>
                <w:bottom w:val="none" w:sz="0" w:space="0" w:color="auto"/>
                <w:right w:val="none" w:sz="0" w:space="0" w:color="auto"/>
              </w:divBdr>
            </w:div>
            <w:div w:id="1539468439">
              <w:marLeft w:val="0"/>
              <w:marRight w:val="0"/>
              <w:marTop w:val="0"/>
              <w:marBottom w:val="0"/>
              <w:divBdr>
                <w:top w:val="none" w:sz="0" w:space="0" w:color="auto"/>
                <w:left w:val="none" w:sz="0" w:space="0" w:color="auto"/>
                <w:bottom w:val="none" w:sz="0" w:space="0" w:color="auto"/>
                <w:right w:val="none" w:sz="0" w:space="0" w:color="auto"/>
              </w:divBdr>
            </w:div>
            <w:div w:id="5642653">
              <w:marLeft w:val="0"/>
              <w:marRight w:val="0"/>
              <w:marTop w:val="0"/>
              <w:marBottom w:val="0"/>
              <w:divBdr>
                <w:top w:val="none" w:sz="0" w:space="0" w:color="auto"/>
                <w:left w:val="none" w:sz="0" w:space="0" w:color="auto"/>
                <w:bottom w:val="none" w:sz="0" w:space="0" w:color="auto"/>
                <w:right w:val="none" w:sz="0" w:space="0" w:color="auto"/>
              </w:divBdr>
            </w:div>
            <w:div w:id="883058423">
              <w:marLeft w:val="0"/>
              <w:marRight w:val="0"/>
              <w:marTop w:val="0"/>
              <w:marBottom w:val="0"/>
              <w:divBdr>
                <w:top w:val="none" w:sz="0" w:space="0" w:color="auto"/>
                <w:left w:val="none" w:sz="0" w:space="0" w:color="auto"/>
                <w:bottom w:val="none" w:sz="0" w:space="0" w:color="auto"/>
                <w:right w:val="none" w:sz="0" w:space="0" w:color="auto"/>
              </w:divBdr>
            </w:div>
            <w:div w:id="1061171621">
              <w:marLeft w:val="0"/>
              <w:marRight w:val="0"/>
              <w:marTop w:val="0"/>
              <w:marBottom w:val="0"/>
              <w:divBdr>
                <w:top w:val="none" w:sz="0" w:space="0" w:color="auto"/>
                <w:left w:val="none" w:sz="0" w:space="0" w:color="auto"/>
                <w:bottom w:val="none" w:sz="0" w:space="0" w:color="auto"/>
                <w:right w:val="none" w:sz="0" w:space="0" w:color="auto"/>
              </w:divBdr>
            </w:div>
            <w:div w:id="462041926">
              <w:marLeft w:val="0"/>
              <w:marRight w:val="0"/>
              <w:marTop w:val="0"/>
              <w:marBottom w:val="0"/>
              <w:divBdr>
                <w:top w:val="none" w:sz="0" w:space="0" w:color="auto"/>
                <w:left w:val="none" w:sz="0" w:space="0" w:color="auto"/>
                <w:bottom w:val="none" w:sz="0" w:space="0" w:color="auto"/>
                <w:right w:val="none" w:sz="0" w:space="0" w:color="auto"/>
              </w:divBdr>
            </w:div>
            <w:div w:id="198930224">
              <w:marLeft w:val="0"/>
              <w:marRight w:val="0"/>
              <w:marTop w:val="0"/>
              <w:marBottom w:val="0"/>
              <w:divBdr>
                <w:top w:val="none" w:sz="0" w:space="0" w:color="auto"/>
                <w:left w:val="none" w:sz="0" w:space="0" w:color="auto"/>
                <w:bottom w:val="none" w:sz="0" w:space="0" w:color="auto"/>
                <w:right w:val="none" w:sz="0" w:space="0" w:color="auto"/>
              </w:divBdr>
            </w:div>
            <w:div w:id="754982642">
              <w:marLeft w:val="0"/>
              <w:marRight w:val="0"/>
              <w:marTop w:val="0"/>
              <w:marBottom w:val="0"/>
              <w:divBdr>
                <w:top w:val="none" w:sz="0" w:space="0" w:color="auto"/>
                <w:left w:val="none" w:sz="0" w:space="0" w:color="auto"/>
                <w:bottom w:val="none" w:sz="0" w:space="0" w:color="auto"/>
                <w:right w:val="none" w:sz="0" w:space="0" w:color="auto"/>
              </w:divBdr>
            </w:div>
            <w:div w:id="973945497">
              <w:marLeft w:val="0"/>
              <w:marRight w:val="0"/>
              <w:marTop w:val="0"/>
              <w:marBottom w:val="0"/>
              <w:divBdr>
                <w:top w:val="none" w:sz="0" w:space="0" w:color="auto"/>
                <w:left w:val="none" w:sz="0" w:space="0" w:color="auto"/>
                <w:bottom w:val="none" w:sz="0" w:space="0" w:color="auto"/>
                <w:right w:val="none" w:sz="0" w:space="0" w:color="auto"/>
              </w:divBdr>
            </w:div>
            <w:div w:id="583219924">
              <w:marLeft w:val="0"/>
              <w:marRight w:val="0"/>
              <w:marTop w:val="0"/>
              <w:marBottom w:val="0"/>
              <w:divBdr>
                <w:top w:val="none" w:sz="0" w:space="0" w:color="auto"/>
                <w:left w:val="none" w:sz="0" w:space="0" w:color="auto"/>
                <w:bottom w:val="none" w:sz="0" w:space="0" w:color="auto"/>
                <w:right w:val="none" w:sz="0" w:space="0" w:color="auto"/>
              </w:divBdr>
            </w:div>
            <w:div w:id="2145004602">
              <w:marLeft w:val="0"/>
              <w:marRight w:val="0"/>
              <w:marTop w:val="0"/>
              <w:marBottom w:val="0"/>
              <w:divBdr>
                <w:top w:val="none" w:sz="0" w:space="0" w:color="auto"/>
                <w:left w:val="none" w:sz="0" w:space="0" w:color="auto"/>
                <w:bottom w:val="none" w:sz="0" w:space="0" w:color="auto"/>
                <w:right w:val="none" w:sz="0" w:space="0" w:color="auto"/>
              </w:divBdr>
            </w:div>
            <w:div w:id="847599501">
              <w:marLeft w:val="0"/>
              <w:marRight w:val="0"/>
              <w:marTop w:val="0"/>
              <w:marBottom w:val="0"/>
              <w:divBdr>
                <w:top w:val="none" w:sz="0" w:space="0" w:color="auto"/>
                <w:left w:val="none" w:sz="0" w:space="0" w:color="auto"/>
                <w:bottom w:val="none" w:sz="0" w:space="0" w:color="auto"/>
                <w:right w:val="none" w:sz="0" w:space="0" w:color="auto"/>
              </w:divBdr>
            </w:div>
            <w:div w:id="1617984160">
              <w:marLeft w:val="0"/>
              <w:marRight w:val="0"/>
              <w:marTop w:val="0"/>
              <w:marBottom w:val="0"/>
              <w:divBdr>
                <w:top w:val="none" w:sz="0" w:space="0" w:color="auto"/>
                <w:left w:val="none" w:sz="0" w:space="0" w:color="auto"/>
                <w:bottom w:val="none" w:sz="0" w:space="0" w:color="auto"/>
                <w:right w:val="none" w:sz="0" w:space="0" w:color="auto"/>
              </w:divBdr>
            </w:div>
            <w:div w:id="1865092219">
              <w:marLeft w:val="0"/>
              <w:marRight w:val="0"/>
              <w:marTop w:val="0"/>
              <w:marBottom w:val="0"/>
              <w:divBdr>
                <w:top w:val="none" w:sz="0" w:space="0" w:color="auto"/>
                <w:left w:val="none" w:sz="0" w:space="0" w:color="auto"/>
                <w:bottom w:val="none" w:sz="0" w:space="0" w:color="auto"/>
                <w:right w:val="none" w:sz="0" w:space="0" w:color="auto"/>
              </w:divBdr>
            </w:div>
            <w:div w:id="1198926663">
              <w:marLeft w:val="0"/>
              <w:marRight w:val="0"/>
              <w:marTop w:val="0"/>
              <w:marBottom w:val="0"/>
              <w:divBdr>
                <w:top w:val="none" w:sz="0" w:space="0" w:color="auto"/>
                <w:left w:val="none" w:sz="0" w:space="0" w:color="auto"/>
                <w:bottom w:val="none" w:sz="0" w:space="0" w:color="auto"/>
                <w:right w:val="none" w:sz="0" w:space="0" w:color="auto"/>
              </w:divBdr>
            </w:div>
            <w:div w:id="1619800109">
              <w:marLeft w:val="0"/>
              <w:marRight w:val="0"/>
              <w:marTop w:val="0"/>
              <w:marBottom w:val="0"/>
              <w:divBdr>
                <w:top w:val="none" w:sz="0" w:space="0" w:color="auto"/>
                <w:left w:val="none" w:sz="0" w:space="0" w:color="auto"/>
                <w:bottom w:val="none" w:sz="0" w:space="0" w:color="auto"/>
                <w:right w:val="none" w:sz="0" w:space="0" w:color="auto"/>
              </w:divBdr>
            </w:div>
            <w:div w:id="1458335171">
              <w:marLeft w:val="0"/>
              <w:marRight w:val="0"/>
              <w:marTop w:val="0"/>
              <w:marBottom w:val="0"/>
              <w:divBdr>
                <w:top w:val="none" w:sz="0" w:space="0" w:color="auto"/>
                <w:left w:val="none" w:sz="0" w:space="0" w:color="auto"/>
                <w:bottom w:val="none" w:sz="0" w:space="0" w:color="auto"/>
                <w:right w:val="none" w:sz="0" w:space="0" w:color="auto"/>
              </w:divBdr>
            </w:div>
            <w:div w:id="1983582245">
              <w:marLeft w:val="0"/>
              <w:marRight w:val="0"/>
              <w:marTop w:val="0"/>
              <w:marBottom w:val="0"/>
              <w:divBdr>
                <w:top w:val="none" w:sz="0" w:space="0" w:color="auto"/>
                <w:left w:val="none" w:sz="0" w:space="0" w:color="auto"/>
                <w:bottom w:val="none" w:sz="0" w:space="0" w:color="auto"/>
                <w:right w:val="none" w:sz="0" w:space="0" w:color="auto"/>
              </w:divBdr>
            </w:div>
            <w:div w:id="1437214582">
              <w:marLeft w:val="0"/>
              <w:marRight w:val="0"/>
              <w:marTop w:val="0"/>
              <w:marBottom w:val="0"/>
              <w:divBdr>
                <w:top w:val="none" w:sz="0" w:space="0" w:color="auto"/>
                <w:left w:val="none" w:sz="0" w:space="0" w:color="auto"/>
                <w:bottom w:val="none" w:sz="0" w:space="0" w:color="auto"/>
                <w:right w:val="none" w:sz="0" w:space="0" w:color="auto"/>
              </w:divBdr>
            </w:div>
            <w:div w:id="1893036467">
              <w:marLeft w:val="0"/>
              <w:marRight w:val="0"/>
              <w:marTop w:val="0"/>
              <w:marBottom w:val="0"/>
              <w:divBdr>
                <w:top w:val="none" w:sz="0" w:space="0" w:color="auto"/>
                <w:left w:val="none" w:sz="0" w:space="0" w:color="auto"/>
                <w:bottom w:val="none" w:sz="0" w:space="0" w:color="auto"/>
                <w:right w:val="none" w:sz="0" w:space="0" w:color="auto"/>
              </w:divBdr>
            </w:div>
            <w:div w:id="134563796">
              <w:marLeft w:val="0"/>
              <w:marRight w:val="0"/>
              <w:marTop w:val="0"/>
              <w:marBottom w:val="0"/>
              <w:divBdr>
                <w:top w:val="none" w:sz="0" w:space="0" w:color="auto"/>
                <w:left w:val="none" w:sz="0" w:space="0" w:color="auto"/>
                <w:bottom w:val="none" w:sz="0" w:space="0" w:color="auto"/>
                <w:right w:val="none" w:sz="0" w:space="0" w:color="auto"/>
              </w:divBdr>
            </w:div>
            <w:div w:id="508495037">
              <w:marLeft w:val="0"/>
              <w:marRight w:val="0"/>
              <w:marTop w:val="0"/>
              <w:marBottom w:val="0"/>
              <w:divBdr>
                <w:top w:val="none" w:sz="0" w:space="0" w:color="auto"/>
                <w:left w:val="none" w:sz="0" w:space="0" w:color="auto"/>
                <w:bottom w:val="none" w:sz="0" w:space="0" w:color="auto"/>
                <w:right w:val="none" w:sz="0" w:space="0" w:color="auto"/>
              </w:divBdr>
            </w:div>
            <w:div w:id="1198160079">
              <w:marLeft w:val="0"/>
              <w:marRight w:val="0"/>
              <w:marTop w:val="0"/>
              <w:marBottom w:val="0"/>
              <w:divBdr>
                <w:top w:val="none" w:sz="0" w:space="0" w:color="auto"/>
                <w:left w:val="none" w:sz="0" w:space="0" w:color="auto"/>
                <w:bottom w:val="none" w:sz="0" w:space="0" w:color="auto"/>
                <w:right w:val="none" w:sz="0" w:space="0" w:color="auto"/>
              </w:divBdr>
            </w:div>
            <w:div w:id="1083648923">
              <w:marLeft w:val="0"/>
              <w:marRight w:val="0"/>
              <w:marTop w:val="0"/>
              <w:marBottom w:val="0"/>
              <w:divBdr>
                <w:top w:val="none" w:sz="0" w:space="0" w:color="auto"/>
                <w:left w:val="none" w:sz="0" w:space="0" w:color="auto"/>
                <w:bottom w:val="none" w:sz="0" w:space="0" w:color="auto"/>
                <w:right w:val="none" w:sz="0" w:space="0" w:color="auto"/>
              </w:divBdr>
            </w:div>
            <w:div w:id="1689867727">
              <w:marLeft w:val="0"/>
              <w:marRight w:val="0"/>
              <w:marTop w:val="0"/>
              <w:marBottom w:val="0"/>
              <w:divBdr>
                <w:top w:val="none" w:sz="0" w:space="0" w:color="auto"/>
                <w:left w:val="none" w:sz="0" w:space="0" w:color="auto"/>
                <w:bottom w:val="none" w:sz="0" w:space="0" w:color="auto"/>
                <w:right w:val="none" w:sz="0" w:space="0" w:color="auto"/>
              </w:divBdr>
            </w:div>
            <w:div w:id="244731718">
              <w:marLeft w:val="0"/>
              <w:marRight w:val="0"/>
              <w:marTop w:val="0"/>
              <w:marBottom w:val="0"/>
              <w:divBdr>
                <w:top w:val="none" w:sz="0" w:space="0" w:color="auto"/>
                <w:left w:val="none" w:sz="0" w:space="0" w:color="auto"/>
                <w:bottom w:val="none" w:sz="0" w:space="0" w:color="auto"/>
                <w:right w:val="none" w:sz="0" w:space="0" w:color="auto"/>
              </w:divBdr>
            </w:div>
            <w:div w:id="1158419495">
              <w:marLeft w:val="0"/>
              <w:marRight w:val="0"/>
              <w:marTop w:val="0"/>
              <w:marBottom w:val="0"/>
              <w:divBdr>
                <w:top w:val="none" w:sz="0" w:space="0" w:color="auto"/>
                <w:left w:val="none" w:sz="0" w:space="0" w:color="auto"/>
                <w:bottom w:val="none" w:sz="0" w:space="0" w:color="auto"/>
                <w:right w:val="none" w:sz="0" w:space="0" w:color="auto"/>
              </w:divBdr>
            </w:div>
            <w:div w:id="414202712">
              <w:marLeft w:val="0"/>
              <w:marRight w:val="0"/>
              <w:marTop w:val="0"/>
              <w:marBottom w:val="0"/>
              <w:divBdr>
                <w:top w:val="none" w:sz="0" w:space="0" w:color="auto"/>
                <w:left w:val="none" w:sz="0" w:space="0" w:color="auto"/>
                <w:bottom w:val="none" w:sz="0" w:space="0" w:color="auto"/>
                <w:right w:val="none" w:sz="0" w:space="0" w:color="auto"/>
              </w:divBdr>
            </w:div>
            <w:div w:id="646085320">
              <w:marLeft w:val="0"/>
              <w:marRight w:val="0"/>
              <w:marTop w:val="0"/>
              <w:marBottom w:val="0"/>
              <w:divBdr>
                <w:top w:val="none" w:sz="0" w:space="0" w:color="auto"/>
                <w:left w:val="none" w:sz="0" w:space="0" w:color="auto"/>
                <w:bottom w:val="none" w:sz="0" w:space="0" w:color="auto"/>
                <w:right w:val="none" w:sz="0" w:space="0" w:color="auto"/>
              </w:divBdr>
            </w:div>
            <w:div w:id="2074355497">
              <w:marLeft w:val="0"/>
              <w:marRight w:val="0"/>
              <w:marTop w:val="0"/>
              <w:marBottom w:val="0"/>
              <w:divBdr>
                <w:top w:val="none" w:sz="0" w:space="0" w:color="auto"/>
                <w:left w:val="none" w:sz="0" w:space="0" w:color="auto"/>
                <w:bottom w:val="none" w:sz="0" w:space="0" w:color="auto"/>
                <w:right w:val="none" w:sz="0" w:space="0" w:color="auto"/>
              </w:divBdr>
            </w:div>
            <w:div w:id="1933126226">
              <w:marLeft w:val="0"/>
              <w:marRight w:val="0"/>
              <w:marTop w:val="0"/>
              <w:marBottom w:val="0"/>
              <w:divBdr>
                <w:top w:val="none" w:sz="0" w:space="0" w:color="auto"/>
                <w:left w:val="none" w:sz="0" w:space="0" w:color="auto"/>
                <w:bottom w:val="none" w:sz="0" w:space="0" w:color="auto"/>
                <w:right w:val="none" w:sz="0" w:space="0" w:color="auto"/>
              </w:divBdr>
            </w:div>
            <w:div w:id="303507979">
              <w:marLeft w:val="0"/>
              <w:marRight w:val="0"/>
              <w:marTop w:val="0"/>
              <w:marBottom w:val="0"/>
              <w:divBdr>
                <w:top w:val="none" w:sz="0" w:space="0" w:color="auto"/>
                <w:left w:val="none" w:sz="0" w:space="0" w:color="auto"/>
                <w:bottom w:val="none" w:sz="0" w:space="0" w:color="auto"/>
                <w:right w:val="none" w:sz="0" w:space="0" w:color="auto"/>
              </w:divBdr>
            </w:div>
            <w:div w:id="2045057009">
              <w:marLeft w:val="0"/>
              <w:marRight w:val="0"/>
              <w:marTop w:val="0"/>
              <w:marBottom w:val="0"/>
              <w:divBdr>
                <w:top w:val="none" w:sz="0" w:space="0" w:color="auto"/>
                <w:left w:val="none" w:sz="0" w:space="0" w:color="auto"/>
                <w:bottom w:val="none" w:sz="0" w:space="0" w:color="auto"/>
                <w:right w:val="none" w:sz="0" w:space="0" w:color="auto"/>
              </w:divBdr>
            </w:div>
            <w:div w:id="2095931566">
              <w:marLeft w:val="0"/>
              <w:marRight w:val="0"/>
              <w:marTop w:val="0"/>
              <w:marBottom w:val="0"/>
              <w:divBdr>
                <w:top w:val="none" w:sz="0" w:space="0" w:color="auto"/>
                <w:left w:val="none" w:sz="0" w:space="0" w:color="auto"/>
                <w:bottom w:val="none" w:sz="0" w:space="0" w:color="auto"/>
                <w:right w:val="none" w:sz="0" w:space="0" w:color="auto"/>
              </w:divBdr>
            </w:div>
            <w:div w:id="630020459">
              <w:marLeft w:val="0"/>
              <w:marRight w:val="0"/>
              <w:marTop w:val="0"/>
              <w:marBottom w:val="0"/>
              <w:divBdr>
                <w:top w:val="none" w:sz="0" w:space="0" w:color="auto"/>
                <w:left w:val="none" w:sz="0" w:space="0" w:color="auto"/>
                <w:bottom w:val="none" w:sz="0" w:space="0" w:color="auto"/>
                <w:right w:val="none" w:sz="0" w:space="0" w:color="auto"/>
              </w:divBdr>
            </w:div>
            <w:div w:id="1863089143">
              <w:marLeft w:val="0"/>
              <w:marRight w:val="0"/>
              <w:marTop w:val="0"/>
              <w:marBottom w:val="0"/>
              <w:divBdr>
                <w:top w:val="none" w:sz="0" w:space="0" w:color="auto"/>
                <w:left w:val="none" w:sz="0" w:space="0" w:color="auto"/>
                <w:bottom w:val="none" w:sz="0" w:space="0" w:color="auto"/>
                <w:right w:val="none" w:sz="0" w:space="0" w:color="auto"/>
              </w:divBdr>
            </w:div>
            <w:div w:id="1452673719">
              <w:marLeft w:val="0"/>
              <w:marRight w:val="0"/>
              <w:marTop w:val="0"/>
              <w:marBottom w:val="0"/>
              <w:divBdr>
                <w:top w:val="none" w:sz="0" w:space="0" w:color="auto"/>
                <w:left w:val="none" w:sz="0" w:space="0" w:color="auto"/>
                <w:bottom w:val="none" w:sz="0" w:space="0" w:color="auto"/>
                <w:right w:val="none" w:sz="0" w:space="0" w:color="auto"/>
              </w:divBdr>
            </w:div>
            <w:div w:id="527836223">
              <w:marLeft w:val="0"/>
              <w:marRight w:val="0"/>
              <w:marTop w:val="0"/>
              <w:marBottom w:val="0"/>
              <w:divBdr>
                <w:top w:val="none" w:sz="0" w:space="0" w:color="auto"/>
                <w:left w:val="none" w:sz="0" w:space="0" w:color="auto"/>
                <w:bottom w:val="none" w:sz="0" w:space="0" w:color="auto"/>
                <w:right w:val="none" w:sz="0" w:space="0" w:color="auto"/>
              </w:divBdr>
            </w:div>
            <w:div w:id="88085349">
              <w:marLeft w:val="0"/>
              <w:marRight w:val="0"/>
              <w:marTop w:val="0"/>
              <w:marBottom w:val="0"/>
              <w:divBdr>
                <w:top w:val="none" w:sz="0" w:space="0" w:color="auto"/>
                <w:left w:val="none" w:sz="0" w:space="0" w:color="auto"/>
                <w:bottom w:val="none" w:sz="0" w:space="0" w:color="auto"/>
                <w:right w:val="none" w:sz="0" w:space="0" w:color="auto"/>
              </w:divBdr>
            </w:div>
            <w:div w:id="464396428">
              <w:marLeft w:val="0"/>
              <w:marRight w:val="0"/>
              <w:marTop w:val="0"/>
              <w:marBottom w:val="0"/>
              <w:divBdr>
                <w:top w:val="none" w:sz="0" w:space="0" w:color="auto"/>
                <w:left w:val="none" w:sz="0" w:space="0" w:color="auto"/>
                <w:bottom w:val="none" w:sz="0" w:space="0" w:color="auto"/>
                <w:right w:val="none" w:sz="0" w:space="0" w:color="auto"/>
              </w:divBdr>
            </w:div>
            <w:div w:id="878392818">
              <w:marLeft w:val="0"/>
              <w:marRight w:val="0"/>
              <w:marTop w:val="0"/>
              <w:marBottom w:val="0"/>
              <w:divBdr>
                <w:top w:val="none" w:sz="0" w:space="0" w:color="auto"/>
                <w:left w:val="none" w:sz="0" w:space="0" w:color="auto"/>
                <w:bottom w:val="none" w:sz="0" w:space="0" w:color="auto"/>
                <w:right w:val="none" w:sz="0" w:space="0" w:color="auto"/>
              </w:divBdr>
            </w:div>
            <w:div w:id="563025603">
              <w:marLeft w:val="0"/>
              <w:marRight w:val="0"/>
              <w:marTop w:val="0"/>
              <w:marBottom w:val="0"/>
              <w:divBdr>
                <w:top w:val="none" w:sz="0" w:space="0" w:color="auto"/>
                <w:left w:val="none" w:sz="0" w:space="0" w:color="auto"/>
                <w:bottom w:val="none" w:sz="0" w:space="0" w:color="auto"/>
                <w:right w:val="none" w:sz="0" w:space="0" w:color="auto"/>
              </w:divBdr>
            </w:div>
            <w:div w:id="1230770141">
              <w:marLeft w:val="0"/>
              <w:marRight w:val="0"/>
              <w:marTop w:val="0"/>
              <w:marBottom w:val="0"/>
              <w:divBdr>
                <w:top w:val="none" w:sz="0" w:space="0" w:color="auto"/>
                <w:left w:val="none" w:sz="0" w:space="0" w:color="auto"/>
                <w:bottom w:val="none" w:sz="0" w:space="0" w:color="auto"/>
                <w:right w:val="none" w:sz="0" w:space="0" w:color="auto"/>
              </w:divBdr>
            </w:div>
            <w:div w:id="315497972">
              <w:marLeft w:val="0"/>
              <w:marRight w:val="0"/>
              <w:marTop w:val="0"/>
              <w:marBottom w:val="0"/>
              <w:divBdr>
                <w:top w:val="none" w:sz="0" w:space="0" w:color="auto"/>
                <w:left w:val="none" w:sz="0" w:space="0" w:color="auto"/>
                <w:bottom w:val="none" w:sz="0" w:space="0" w:color="auto"/>
                <w:right w:val="none" w:sz="0" w:space="0" w:color="auto"/>
              </w:divBdr>
            </w:div>
            <w:div w:id="993752252">
              <w:marLeft w:val="0"/>
              <w:marRight w:val="0"/>
              <w:marTop w:val="0"/>
              <w:marBottom w:val="0"/>
              <w:divBdr>
                <w:top w:val="none" w:sz="0" w:space="0" w:color="auto"/>
                <w:left w:val="none" w:sz="0" w:space="0" w:color="auto"/>
                <w:bottom w:val="none" w:sz="0" w:space="0" w:color="auto"/>
                <w:right w:val="none" w:sz="0" w:space="0" w:color="auto"/>
              </w:divBdr>
            </w:div>
            <w:div w:id="171922682">
              <w:marLeft w:val="0"/>
              <w:marRight w:val="0"/>
              <w:marTop w:val="0"/>
              <w:marBottom w:val="0"/>
              <w:divBdr>
                <w:top w:val="none" w:sz="0" w:space="0" w:color="auto"/>
                <w:left w:val="none" w:sz="0" w:space="0" w:color="auto"/>
                <w:bottom w:val="none" w:sz="0" w:space="0" w:color="auto"/>
                <w:right w:val="none" w:sz="0" w:space="0" w:color="auto"/>
              </w:divBdr>
            </w:div>
            <w:div w:id="598022959">
              <w:marLeft w:val="0"/>
              <w:marRight w:val="0"/>
              <w:marTop w:val="0"/>
              <w:marBottom w:val="0"/>
              <w:divBdr>
                <w:top w:val="none" w:sz="0" w:space="0" w:color="auto"/>
                <w:left w:val="none" w:sz="0" w:space="0" w:color="auto"/>
                <w:bottom w:val="none" w:sz="0" w:space="0" w:color="auto"/>
                <w:right w:val="none" w:sz="0" w:space="0" w:color="auto"/>
              </w:divBdr>
            </w:div>
            <w:div w:id="1768620601">
              <w:marLeft w:val="0"/>
              <w:marRight w:val="0"/>
              <w:marTop w:val="0"/>
              <w:marBottom w:val="0"/>
              <w:divBdr>
                <w:top w:val="none" w:sz="0" w:space="0" w:color="auto"/>
                <w:left w:val="none" w:sz="0" w:space="0" w:color="auto"/>
                <w:bottom w:val="none" w:sz="0" w:space="0" w:color="auto"/>
                <w:right w:val="none" w:sz="0" w:space="0" w:color="auto"/>
              </w:divBdr>
            </w:div>
            <w:div w:id="1103184970">
              <w:marLeft w:val="0"/>
              <w:marRight w:val="0"/>
              <w:marTop w:val="0"/>
              <w:marBottom w:val="0"/>
              <w:divBdr>
                <w:top w:val="none" w:sz="0" w:space="0" w:color="auto"/>
                <w:left w:val="none" w:sz="0" w:space="0" w:color="auto"/>
                <w:bottom w:val="none" w:sz="0" w:space="0" w:color="auto"/>
                <w:right w:val="none" w:sz="0" w:space="0" w:color="auto"/>
              </w:divBdr>
            </w:div>
            <w:div w:id="1492984164">
              <w:marLeft w:val="0"/>
              <w:marRight w:val="0"/>
              <w:marTop w:val="0"/>
              <w:marBottom w:val="0"/>
              <w:divBdr>
                <w:top w:val="none" w:sz="0" w:space="0" w:color="auto"/>
                <w:left w:val="none" w:sz="0" w:space="0" w:color="auto"/>
                <w:bottom w:val="none" w:sz="0" w:space="0" w:color="auto"/>
                <w:right w:val="none" w:sz="0" w:space="0" w:color="auto"/>
              </w:divBdr>
            </w:div>
            <w:div w:id="2117627823">
              <w:marLeft w:val="0"/>
              <w:marRight w:val="0"/>
              <w:marTop w:val="0"/>
              <w:marBottom w:val="0"/>
              <w:divBdr>
                <w:top w:val="none" w:sz="0" w:space="0" w:color="auto"/>
                <w:left w:val="none" w:sz="0" w:space="0" w:color="auto"/>
                <w:bottom w:val="none" w:sz="0" w:space="0" w:color="auto"/>
                <w:right w:val="none" w:sz="0" w:space="0" w:color="auto"/>
              </w:divBdr>
            </w:div>
            <w:div w:id="1006904514">
              <w:marLeft w:val="0"/>
              <w:marRight w:val="0"/>
              <w:marTop w:val="0"/>
              <w:marBottom w:val="0"/>
              <w:divBdr>
                <w:top w:val="none" w:sz="0" w:space="0" w:color="auto"/>
                <w:left w:val="none" w:sz="0" w:space="0" w:color="auto"/>
                <w:bottom w:val="none" w:sz="0" w:space="0" w:color="auto"/>
                <w:right w:val="none" w:sz="0" w:space="0" w:color="auto"/>
              </w:divBdr>
            </w:div>
            <w:div w:id="1283725355">
              <w:marLeft w:val="0"/>
              <w:marRight w:val="0"/>
              <w:marTop w:val="0"/>
              <w:marBottom w:val="0"/>
              <w:divBdr>
                <w:top w:val="none" w:sz="0" w:space="0" w:color="auto"/>
                <w:left w:val="none" w:sz="0" w:space="0" w:color="auto"/>
                <w:bottom w:val="none" w:sz="0" w:space="0" w:color="auto"/>
                <w:right w:val="none" w:sz="0" w:space="0" w:color="auto"/>
              </w:divBdr>
            </w:div>
            <w:div w:id="753671632">
              <w:marLeft w:val="0"/>
              <w:marRight w:val="0"/>
              <w:marTop w:val="0"/>
              <w:marBottom w:val="0"/>
              <w:divBdr>
                <w:top w:val="none" w:sz="0" w:space="0" w:color="auto"/>
                <w:left w:val="none" w:sz="0" w:space="0" w:color="auto"/>
                <w:bottom w:val="none" w:sz="0" w:space="0" w:color="auto"/>
                <w:right w:val="none" w:sz="0" w:space="0" w:color="auto"/>
              </w:divBdr>
            </w:div>
            <w:div w:id="1138453111">
              <w:marLeft w:val="0"/>
              <w:marRight w:val="0"/>
              <w:marTop w:val="0"/>
              <w:marBottom w:val="0"/>
              <w:divBdr>
                <w:top w:val="none" w:sz="0" w:space="0" w:color="auto"/>
                <w:left w:val="none" w:sz="0" w:space="0" w:color="auto"/>
                <w:bottom w:val="none" w:sz="0" w:space="0" w:color="auto"/>
                <w:right w:val="none" w:sz="0" w:space="0" w:color="auto"/>
              </w:divBdr>
            </w:div>
            <w:div w:id="243224805">
              <w:marLeft w:val="0"/>
              <w:marRight w:val="0"/>
              <w:marTop w:val="0"/>
              <w:marBottom w:val="0"/>
              <w:divBdr>
                <w:top w:val="none" w:sz="0" w:space="0" w:color="auto"/>
                <w:left w:val="none" w:sz="0" w:space="0" w:color="auto"/>
                <w:bottom w:val="none" w:sz="0" w:space="0" w:color="auto"/>
                <w:right w:val="none" w:sz="0" w:space="0" w:color="auto"/>
              </w:divBdr>
            </w:div>
            <w:div w:id="2121073001">
              <w:marLeft w:val="0"/>
              <w:marRight w:val="0"/>
              <w:marTop w:val="0"/>
              <w:marBottom w:val="0"/>
              <w:divBdr>
                <w:top w:val="none" w:sz="0" w:space="0" w:color="auto"/>
                <w:left w:val="none" w:sz="0" w:space="0" w:color="auto"/>
                <w:bottom w:val="none" w:sz="0" w:space="0" w:color="auto"/>
                <w:right w:val="none" w:sz="0" w:space="0" w:color="auto"/>
              </w:divBdr>
            </w:div>
            <w:div w:id="581527602">
              <w:marLeft w:val="0"/>
              <w:marRight w:val="0"/>
              <w:marTop w:val="0"/>
              <w:marBottom w:val="0"/>
              <w:divBdr>
                <w:top w:val="none" w:sz="0" w:space="0" w:color="auto"/>
                <w:left w:val="none" w:sz="0" w:space="0" w:color="auto"/>
                <w:bottom w:val="none" w:sz="0" w:space="0" w:color="auto"/>
                <w:right w:val="none" w:sz="0" w:space="0" w:color="auto"/>
              </w:divBdr>
            </w:div>
            <w:div w:id="1584219981">
              <w:marLeft w:val="0"/>
              <w:marRight w:val="0"/>
              <w:marTop w:val="0"/>
              <w:marBottom w:val="0"/>
              <w:divBdr>
                <w:top w:val="none" w:sz="0" w:space="0" w:color="auto"/>
                <w:left w:val="none" w:sz="0" w:space="0" w:color="auto"/>
                <w:bottom w:val="none" w:sz="0" w:space="0" w:color="auto"/>
                <w:right w:val="none" w:sz="0" w:space="0" w:color="auto"/>
              </w:divBdr>
            </w:div>
            <w:div w:id="1620188114">
              <w:marLeft w:val="0"/>
              <w:marRight w:val="0"/>
              <w:marTop w:val="0"/>
              <w:marBottom w:val="0"/>
              <w:divBdr>
                <w:top w:val="none" w:sz="0" w:space="0" w:color="auto"/>
                <w:left w:val="none" w:sz="0" w:space="0" w:color="auto"/>
                <w:bottom w:val="none" w:sz="0" w:space="0" w:color="auto"/>
                <w:right w:val="none" w:sz="0" w:space="0" w:color="auto"/>
              </w:divBdr>
            </w:div>
            <w:div w:id="1349332460">
              <w:marLeft w:val="0"/>
              <w:marRight w:val="0"/>
              <w:marTop w:val="0"/>
              <w:marBottom w:val="0"/>
              <w:divBdr>
                <w:top w:val="none" w:sz="0" w:space="0" w:color="auto"/>
                <w:left w:val="none" w:sz="0" w:space="0" w:color="auto"/>
                <w:bottom w:val="none" w:sz="0" w:space="0" w:color="auto"/>
                <w:right w:val="none" w:sz="0" w:space="0" w:color="auto"/>
              </w:divBdr>
            </w:div>
            <w:div w:id="1044215881">
              <w:marLeft w:val="0"/>
              <w:marRight w:val="0"/>
              <w:marTop w:val="0"/>
              <w:marBottom w:val="0"/>
              <w:divBdr>
                <w:top w:val="none" w:sz="0" w:space="0" w:color="auto"/>
                <w:left w:val="none" w:sz="0" w:space="0" w:color="auto"/>
                <w:bottom w:val="none" w:sz="0" w:space="0" w:color="auto"/>
                <w:right w:val="none" w:sz="0" w:space="0" w:color="auto"/>
              </w:divBdr>
            </w:div>
            <w:div w:id="883449629">
              <w:marLeft w:val="0"/>
              <w:marRight w:val="0"/>
              <w:marTop w:val="0"/>
              <w:marBottom w:val="0"/>
              <w:divBdr>
                <w:top w:val="none" w:sz="0" w:space="0" w:color="auto"/>
                <w:left w:val="none" w:sz="0" w:space="0" w:color="auto"/>
                <w:bottom w:val="none" w:sz="0" w:space="0" w:color="auto"/>
                <w:right w:val="none" w:sz="0" w:space="0" w:color="auto"/>
              </w:divBdr>
            </w:div>
            <w:div w:id="1869635151">
              <w:marLeft w:val="0"/>
              <w:marRight w:val="0"/>
              <w:marTop w:val="0"/>
              <w:marBottom w:val="0"/>
              <w:divBdr>
                <w:top w:val="none" w:sz="0" w:space="0" w:color="auto"/>
                <w:left w:val="none" w:sz="0" w:space="0" w:color="auto"/>
                <w:bottom w:val="none" w:sz="0" w:space="0" w:color="auto"/>
                <w:right w:val="none" w:sz="0" w:space="0" w:color="auto"/>
              </w:divBdr>
            </w:div>
            <w:div w:id="738864738">
              <w:marLeft w:val="0"/>
              <w:marRight w:val="0"/>
              <w:marTop w:val="0"/>
              <w:marBottom w:val="0"/>
              <w:divBdr>
                <w:top w:val="none" w:sz="0" w:space="0" w:color="auto"/>
                <w:left w:val="none" w:sz="0" w:space="0" w:color="auto"/>
                <w:bottom w:val="none" w:sz="0" w:space="0" w:color="auto"/>
                <w:right w:val="none" w:sz="0" w:space="0" w:color="auto"/>
              </w:divBdr>
            </w:div>
            <w:div w:id="1821770376">
              <w:marLeft w:val="0"/>
              <w:marRight w:val="0"/>
              <w:marTop w:val="0"/>
              <w:marBottom w:val="0"/>
              <w:divBdr>
                <w:top w:val="none" w:sz="0" w:space="0" w:color="auto"/>
                <w:left w:val="none" w:sz="0" w:space="0" w:color="auto"/>
                <w:bottom w:val="none" w:sz="0" w:space="0" w:color="auto"/>
                <w:right w:val="none" w:sz="0" w:space="0" w:color="auto"/>
              </w:divBdr>
            </w:div>
            <w:div w:id="493230476">
              <w:marLeft w:val="0"/>
              <w:marRight w:val="0"/>
              <w:marTop w:val="0"/>
              <w:marBottom w:val="0"/>
              <w:divBdr>
                <w:top w:val="none" w:sz="0" w:space="0" w:color="auto"/>
                <w:left w:val="none" w:sz="0" w:space="0" w:color="auto"/>
                <w:bottom w:val="none" w:sz="0" w:space="0" w:color="auto"/>
                <w:right w:val="none" w:sz="0" w:space="0" w:color="auto"/>
              </w:divBdr>
            </w:div>
            <w:div w:id="638418484">
              <w:marLeft w:val="0"/>
              <w:marRight w:val="0"/>
              <w:marTop w:val="0"/>
              <w:marBottom w:val="0"/>
              <w:divBdr>
                <w:top w:val="none" w:sz="0" w:space="0" w:color="auto"/>
                <w:left w:val="none" w:sz="0" w:space="0" w:color="auto"/>
                <w:bottom w:val="none" w:sz="0" w:space="0" w:color="auto"/>
                <w:right w:val="none" w:sz="0" w:space="0" w:color="auto"/>
              </w:divBdr>
            </w:div>
            <w:div w:id="1108505960">
              <w:marLeft w:val="0"/>
              <w:marRight w:val="0"/>
              <w:marTop w:val="0"/>
              <w:marBottom w:val="0"/>
              <w:divBdr>
                <w:top w:val="none" w:sz="0" w:space="0" w:color="auto"/>
                <w:left w:val="none" w:sz="0" w:space="0" w:color="auto"/>
                <w:bottom w:val="none" w:sz="0" w:space="0" w:color="auto"/>
                <w:right w:val="none" w:sz="0" w:space="0" w:color="auto"/>
              </w:divBdr>
            </w:div>
            <w:div w:id="1423986826">
              <w:marLeft w:val="0"/>
              <w:marRight w:val="0"/>
              <w:marTop w:val="0"/>
              <w:marBottom w:val="0"/>
              <w:divBdr>
                <w:top w:val="none" w:sz="0" w:space="0" w:color="auto"/>
                <w:left w:val="none" w:sz="0" w:space="0" w:color="auto"/>
                <w:bottom w:val="none" w:sz="0" w:space="0" w:color="auto"/>
                <w:right w:val="none" w:sz="0" w:space="0" w:color="auto"/>
              </w:divBdr>
            </w:div>
            <w:div w:id="1425222577">
              <w:marLeft w:val="0"/>
              <w:marRight w:val="0"/>
              <w:marTop w:val="0"/>
              <w:marBottom w:val="0"/>
              <w:divBdr>
                <w:top w:val="none" w:sz="0" w:space="0" w:color="auto"/>
                <w:left w:val="none" w:sz="0" w:space="0" w:color="auto"/>
                <w:bottom w:val="none" w:sz="0" w:space="0" w:color="auto"/>
                <w:right w:val="none" w:sz="0" w:space="0" w:color="auto"/>
              </w:divBdr>
            </w:div>
            <w:div w:id="1189488252">
              <w:marLeft w:val="0"/>
              <w:marRight w:val="0"/>
              <w:marTop w:val="0"/>
              <w:marBottom w:val="0"/>
              <w:divBdr>
                <w:top w:val="none" w:sz="0" w:space="0" w:color="auto"/>
                <w:left w:val="none" w:sz="0" w:space="0" w:color="auto"/>
                <w:bottom w:val="none" w:sz="0" w:space="0" w:color="auto"/>
                <w:right w:val="none" w:sz="0" w:space="0" w:color="auto"/>
              </w:divBdr>
            </w:div>
            <w:div w:id="2125495995">
              <w:marLeft w:val="0"/>
              <w:marRight w:val="0"/>
              <w:marTop w:val="0"/>
              <w:marBottom w:val="0"/>
              <w:divBdr>
                <w:top w:val="none" w:sz="0" w:space="0" w:color="auto"/>
                <w:left w:val="none" w:sz="0" w:space="0" w:color="auto"/>
                <w:bottom w:val="none" w:sz="0" w:space="0" w:color="auto"/>
                <w:right w:val="none" w:sz="0" w:space="0" w:color="auto"/>
              </w:divBdr>
            </w:div>
            <w:div w:id="117458509">
              <w:marLeft w:val="0"/>
              <w:marRight w:val="0"/>
              <w:marTop w:val="0"/>
              <w:marBottom w:val="0"/>
              <w:divBdr>
                <w:top w:val="none" w:sz="0" w:space="0" w:color="auto"/>
                <w:left w:val="none" w:sz="0" w:space="0" w:color="auto"/>
                <w:bottom w:val="none" w:sz="0" w:space="0" w:color="auto"/>
                <w:right w:val="none" w:sz="0" w:space="0" w:color="auto"/>
              </w:divBdr>
            </w:div>
            <w:div w:id="418672226">
              <w:marLeft w:val="0"/>
              <w:marRight w:val="0"/>
              <w:marTop w:val="0"/>
              <w:marBottom w:val="0"/>
              <w:divBdr>
                <w:top w:val="none" w:sz="0" w:space="0" w:color="auto"/>
                <w:left w:val="none" w:sz="0" w:space="0" w:color="auto"/>
                <w:bottom w:val="none" w:sz="0" w:space="0" w:color="auto"/>
                <w:right w:val="none" w:sz="0" w:space="0" w:color="auto"/>
              </w:divBdr>
            </w:div>
            <w:div w:id="1371612623">
              <w:marLeft w:val="0"/>
              <w:marRight w:val="0"/>
              <w:marTop w:val="0"/>
              <w:marBottom w:val="0"/>
              <w:divBdr>
                <w:top w:val="none" w:sz="0" w:space="0" w:color="auto"/>
                <w:left w:val="none" w:sz="0" w:space="0" w:color="auto"/>
                <w:bottom w:val="none" w:sz="0" w:space="0" w:color="auto"/>
                <w:right w:val="none" w:sz="0" w:space="0" w:color="auto"/>
              </w:divBdr>
            </w:div>
            <w:div w:id="352075814">
              <w:marLeft w:val="0"/>
              <w:marRight w:val="0"/>
              <w:marTop w:val="0"/>
              <w:marBottom w:val="0"/>
              <w:divBdr>
                <w:top w:val="none" w:sz="0" w:space="0" w:color="auto"/>
                <w:left w:val="none" w:sz="0" w:space="0" w:color="auto"/>
                <w:bottom w:val="none" w:sz="0" w:space="0" w:color="auto"/>
                <w:right w:val="none" w:sz="0" w:space="0" w:color="auto"/>
              </w:divBdr>
            </w:div>
            <w:div w:id="123545422">
              <w:marLeft w:val="0"/>
              <w:marRight w:val="0"/>
              <w:marTop w:val="0"/>
              <w:marBottom w:val="0"/>
              <w:divBdr>
                <w:top w:val="none" w:sz="0" w:space="0" w:color="auto"/>
                <w:left w:val="none" w:sz="0" w:space="0" w:color="auto"/>
                <w:bottom w:val="none" w:sz="0" w:space="0" w:color="auto"/>
                <w:right w:val="none" w:sz="0" w:space="0" w:color="auto"/>
              </w:divBdr>
            </w:div>
            <w:div w:id="1954824782">
              <w:marLeft w:val="0"/>
              <w:marRight w:val="0"/>
              <w:marTop w:val="0"/>
              <w:marBottom w:val="0"/>
              <w:divBdr>
                <w:top w:val="none" w:sz="0" w:space="0" w:color="auto"/>
                <w:left w:val="none" w:sz="0" w:space="0" w:color="auto"/>
                <w:bottom w:val="none" w:sz="0" w:space="0" w:color="auto"/>
                <w:right w:val="none" w:sz="0" w:space="0" w:color="auto"/>
              </w:divBdr>
            </w:div>
            <w:div w:id="1049302431">
              <w:marLeft w:val="0"/>
              <w:marRight w:val="0"/>
              <w:marTop w:val="0"/>
              <w:marBottom w:val="0"/>
              <w:divBdr>
                <w:top w:val="none" w:sz="0" w:space="0" w:color="auto"/>
                <w:left w:val="none" w:sz="0" w:space="0" w:color="auto"/>
                <w:bottom w:val="none" w:sz="0" w:space="0" w:color="auto"/>
                <w:right w:val="none" w:sz="0" w:space="0" w:color="auto"/>
              </w:divBdr>
            </w:div>
            <w:div w:id="177476629">
              <w:marLeft w:val="0"/>
              <w:marRight w:val="0"/>
              <w:marTop w:val="0"/>
              <w:marBottom w:val="0"/>
              <w:divBdr>
                <w:top w:val="none" w:sz="0" w:space="0" w:color="auto"/>
                <w:left w:val="none" w:sz="0" w:space="0" w:color="auto"/>
                <w:bottom w:val="none" w:sz="0" w:space="0" w:color="auto"/>
                <w:right w:val="none" w:sz="0" w:space="0" w:color="auto"/>
              </w:divBdr>
            </w:div>
            <w:div w:id="136454617">
              <w:marLeft w:val="0"/>
              <w:marRight w:val="0"/>
              <w:marTop w:val="0"/>
              <w:marBottom w:val="0"/>
              <w:divBdr>
                <w:top w:val="none" w:sz="0" w:space="0" w:color="auto"/>
                <w:left w:val="none" w:sz="0" w:space="0" w:color="auto"/>
                <w:bottom w:val="none" w:sz="0" w:space="0" w:color="auto"/>
                <w:right w:val="none" w:sz="0" w:space="0" w:color="auto"/>
              </w:divBdr>
            </w:div>
            <w:div w:id="351346983">
              <w:marLeft w:val="0"/>
              <w:marRight w:val="0"/>
              <w:marTop w:val="0"/>
              <w:marBottom w:val="0"/>
              <w:divBdr>
                <w:top w:val="none" w:sz="0" w:space="0" w:color="auto"/>
                <w:left w:val="none" w:sz="0" w:space="0" w:color="auto"/>
                <w:bottom w:val="none" w:sz="0" w:space="0" w:color="auto"/>
                <w:right w:val="none" w:sz="0" w:space="0" w:color="auto"/>
              </w:divBdr>
            </w:div>
            <w:div w:id="1829204040">
              <w:marLeft w:val="0"/>
              <w:marRight w:val="0"/>
              <w:marTop w:val="0"/>
              <w:marBottom w:val="0"/>
              <w:divBdr>
                <w:top w:val="none" w:sz="0" w:space="0" w:color="auto"/>
                <w:left w:val="none" w:sz="0" w:space="0" w:color="auto"/>
                <w:bottom w:val="none" w:sz="0" w:space="0" w:color="auto"/>
                <w:right w:val="none" w:sz="0" w:space="0" w:color="auto"/>
              </w:divBdr>
            </w:div>
            <w:div w:id="584606660">
              <w:marLeft w:val="0"/>
              <w:marRight w:val="0"/>
              <w:marTop w:val="0"/>
              <w:marBottom w:val="0"/>
              <w:divBdr>
                <w:top w:val="none" w:sz="0" w:space="0" w:color="auto"/>
                <w:left w:val="none" w:sz="0" w:space="0" w:color="auto"/>
                <w:bottom w:val="none" w:sz="0" w:space="0" w:color="auto"/>
                <w:right w:val="none" w:sz="0" w:space="0" w:color="auto"/>
              </w:divBdr>
            </w:div>
            <w:div w:id="1856650558">
              <w:marLeft w:val="0"/>
              <w:marRight w:val="0"/>
              <w:marTop w:val="0"/>
              <w:marBottom w:val="0"/>
              <w:divBdr>
                <w:top w:val="none" w:sz="0" w:space="0" w:color="auto"/>
                <w:left w:val="none" w:sz="0" w:space="0" w:color="auto"/>
                <w:bottom w:val="none" w:sz="0" w:space="0" w:color="auto"/>
                <w:right w:val="none" w:sz="0" w:space="0" w:color="auto"/>
              </w:divBdr>
            </w:div>
            <w:div w:id="439954293">
              <w:marLeft w:val="0"/>
              <w:marRight w:val="0"/>
              <w:marTop w:val="0"/>
              <w:marBottom w:val="0"/>
              <w:divBdr>
                <w:top w:val="none" w:sz="0" w:space="0" w:color="auto"/>
                <w:left w:val="none" w:sz="0" w:space="0" w:color="auto"/>
                <w:bottom w:val="none" w:sz="0" w:space="0" w:color="auto"/>
                <w:right w:val="none" w:sz="0" w:space="0" w:color="auto"/>
              </w:divBdr>
            </w:div>
            <w:div w:id="1154223848">
              <w:marLeft w:val="0"/>
              <w:marRight w:val="0"/>
              <w:marTop w:val="0"/>
              <w:marBottom w:val="0"/>
              <w:divBdr>
                <w:top w:val="none" w:sz="0" w:space="0" w:color="auto"/>
                <w:left w:val="none" w:sz="0" w:space="0" w:color="auto"/>
                <w:bottom w:val="none" w:sz="0" w:space="0" w:color="auto"/>
                <w:right w:val="none" w:sz="0" w:space="0" w:color="auto"/>
              </w:divBdr>
            </w:div>
            <w:div w:id="1861238201">
              <w:marLeft w:val="0"/>
              <w:marRight w:val="0"/>
              <w:marTop w:val="0"/>
              <w:marBottom w:val="0"/>
              <w:divBdr>
                <w:top w:val="none" w:sz="0" w:space="0" w:color="auto"/>
                <w:left w:val="none" w:sz="0" w:space="0" w:color="auto"/>
                <w:bottom w:val="none" w:sz="0" w:space="0" w:color="auto"/>
                <w:right w:val="none" w:sz="0" w:space="0" w:color="auto"/>
              </w:divBdr>
            </w:div>
            <w:div w:id="218370556">
              <w:marLeft w:val="0"/>
              <w:marRight w:val="0"/>
              <w:marTop w:val="0"/>
              <w:marBottom w:val="0"/>
              <w:divBdr>
                <w:top w:val="none" w:sz="0" w:space="0" w:color="auto"/>
                <w:left w:val="none" w:sz="0" w:space="0" w:color="auto"/>
                <w:bottom w:val="none" w:sz="0" w:space="0" w:color="auto"/>
                <w:right w:val="none" w:sz="0" w:space="0" w:color="auto"/>
              </w:divBdr>
            </w:div>
            <w:div w:id="70012277">
              <w:marLeft w:val="0"/>
              <w:marRight w:val="0"/>
              <w:marTop w:val="0"/>
              <w:marBottom w:val="0"/>
              <w:divBdr>
                <w:top w:val="none" w:sz="0" w:space="0" w:color="auto"/>
                <w:left w:val="none" w:sz="0" w:space="0" w:color="auto"/>
                <w:bottom w:val="none" w:sz="0" w:space="0" w:color="auto"/>
                <w:right w:val="none" w:sz="0" w:space="0" w:color="auto"/>
              </w:divBdr>
            </w:div>
            <w:div w:id="640773507">
              <w:marLeft w:val="0"/>
              <w:marRight w:val="0"/>
              <w:marTop w:val="0"/>
              <w:marBottom w:val="0"/>
              <w:divBdr>
                <w:top w:val="none" w:sz="0" w:space="0" w:color="auto"/>
                <w:left w:val="none" w:sz="0" w:space="0" w:color="auto"/>
                <w:bottom w:val="none" w:sz="0" w:space="0" w:color="auto"/>
                <w:right w:val="none" w:sz="0" w:space="0" w:color="auto"/>
              </w:divBdr>
            </w:div>
            <w:div w:id="1805611530">
              <w:marLeft w:val="0"/>
              <w:marRight w:val="0"/>
              <w:marTop w:val="0"/>
              <w:marBottom w:val="0"/>
              <w:divBdr>
                <w:top w:val="none" w:sz="0" w:space="0" w:color="auto"/>
                <w:left w:val="none" w:sz="0" w:space="0" w:color="auto"/>
                <w:bottom w:val="none" w:sz="0" w:space="0" w:color="auto"/>
                <w:right w:val="none" w:sz="0" w:space="0" w:color="auto"/>
              </w:divBdr>
            </w:div>
            <w:div w:id="437413562">
              <w:marLeft w:val="0"/>
              <w:marRight w:val="0"/>
              <w:marTop w:val="0"/>
              <w:marBottom w:val="0"/>
              <w:divBdr>
                <w:top w:val="none" w:sz="0" w:space="0" w:color="auto"/>
                <w:left w:val="none" w:sz="0" w:space="0" w:color="auto"/>
                <w:bottom w:val="none" w:sz="0" w:space="0" w:color="auto"/>
                <w:right w:val="none" w:sz="0" w:space="0" w:color="auto"/>
              </w:divBdr>
            </w:div>
            <w:div w:id="645281172">
              <w:marLeft w:val="0"/>
              <w:marRight w:val="0"/>
              <w:marTop w:val="0"/>
              <w:marBottom w:val="0"/>
              <w:divBdr>
                <w:top w:val="none" w:sz="0" w:space="0" w:color="auto"/>
                <w:left w:val="none" w:sz="0" w:space="0" w:color="auto"/>
                <w:bottom w:val="none" w:sz="0" w:space="0" w:color="auto"/>
                <w:right w:val="none" w:sz="0" w:space="0" w:color="auto"/>
              </w:divBdr>
            </w:div>
            <w:div w:id="341783734">
              <w:marLeft w:val="0"/>
              <w:marRight w:val="0"/>
              <w:marTop w:val="0"/>
              <w:marBottom w:val="0"/>
              <w:divBdr>
                <w:top w:val="none" w:sz="0" w:space="0" w:color="auto"/>
                <w:left w:val="none" w:sz="0" w:space="0" w:color="auto"/>
                <w:bottom w:val="none" w:sz="0" w:space="0" w:color="auto"/>
                <w:right w:val="none" w:sz="0" w:space="0" w:color="auto"/>
              </w:divBdr>
            </w:div>
            <w:div w:id="817461011">
              <w:marLeft w:val="0"/>
              <w:marRight w:val="0"/>
              <w:marTop w:val="0"/>
              <w:marBottom w:val="0"/>
              <w:divBdr>
                <w:top w:val="none" w:sz="0" w:space="0" w:color="auto"/>
                <w:left w:val="none" w:sz="0" w:space="0" w:color="auto"/>
                <w:bottom w:val="none" w:sz="0" w:space="0" w:color="auto"/>
                <w:right w:val="none" w:sz="0" w:space="0" w:color="auto"/>
              </w:divBdr>
            </w:div>
            <w:div w:id="1148783301">
              <w:marLeft w:val="0"/>
              <w:marRight w:val="0"/>
              <w:marTop w:val="0"/>
              <w:marBottom w:val="0"/>
              <w:divBdr>
                <w:top w:val="none" w:sz="0" w:space="0" w:color="auto"/>
                <w:left w:val="none" w:sz="0" w:space="0" w:color="auto"/>
                <w:bottom w:val="none" w:sz="0" w:space="0" w:color="auto"/>
                <w:right w:val="none" w:sz="0" w:space="0" w:color="auto"/>
              </w:divBdr>
            </w:div>
            <w:div w:id="1163466628">
              <w:marLeft w:val="0"/>
              <w:marRight w:val="0"/>
              <w:marTop w:val="0"/>
              <w:marBottom w:val="0"/>
              <w:divBdr>
                <w:top w:val="none" w:sz="0" w:space="0" w:color="auto"/>
                <w:left w:val="none" w:sz="0" w:space="0" w:color="auto"/>
                <w:bottom w:val="none" w:sz="0" w:space="0" w:color="auto"/>
                <w:right w:val="none" w:sz="0" w:space="0" w:color="auto"/>
              </w:divBdr>
            </w:div>
            <w:div w:id="922032166">
              <w:marLeft w:val="0"/>
              <w:marRight w:val="0"/>
              <w:marTop w:val="0"/>
              <w:marBottom w:val="0"/>
              <w:divBdr>
                <w:top w:val="none" w:sz="0" w:space="0" w:color="auto"/>
                <w:left w:val="none" w:sz="0" w:space="0" w:color="auto"/>
                <w:bottom w:val="none" w:sz="0" w:space="0" w:color="auto"/>
                <w:right w:val="none" w:sz="0" w:space="0" w:color="auto"/>
              </w:divBdr>
            </w:div>
            <w:div w:id="3945442">
              <w:marLeft w:val="0"/>
              <w:marRight w:val="0"/>
              <w:marTop w:val="0"/>
              <w:marBottom w:val="0"/>
              <w:divBdr>
                <w:top w:val="none" w:sz="0" w:space="0" w:color="auto"/>
                <w:left w:val="none" w:sz="0" w:space="0" w:color="auto"/>
                <w:bottom w:val="none" w:sz="0" w:space="0" w:color="auto"/>
                <w:right w:val="none" w:sz="0" w:space="0" w:color="auto"/>
              </w:divBdr>
            </w:div>
            <w:div w:id="243224667">
              <w:marLeft w:val="0"/>
              <w:marRight w:val="0"/>
              <w:marTop w:val="0"/>
              <w:marBottom w:val="0"/>
              <w:divBdr>
                <w:top w:val="none" w:sz="0" w:space="0" w:color="auto"/>
                <w:left w:val="none" w:sz="0" w:space="0" w:color="auto"/>
                <w:bottom w:val="none" w:sz="0" w:space="0" w:color="auto"/>
                <w:right w:val="none" w:sz="0" w:space="0" w:color="auto"/>
              </w:divBdr>
            </w:div>
            <w:div w:id="1083187948">
              <w:marLeft w:val="0"/>
              <w:marRight w:val="0"/>
              <w:marTop w:val="0"/>
              <w:marBottom w:val="0"/>
              <w:divBdr>
                <w:top w:val="none" w:sz="0" w:space="0" w:color="auto"/>
                <w:left w:val="none" w:sz="0" w:space="0" w:color="auto"/>
                <w:bottom w:val="none" w:sz="0" w:space="0" w:color="auto"/>
                <w:right w:val="none" w:sz="0" w:space="0" w:color="auto"/>
              </w:divBdr>
            </w:div>
            <w:div w:id="1176463522">
              <w:marLeft w:val="0"/>
              <w:marRight w:val="0"/>
              <w:marTop w:val="0"/>
              <w:marBottom w:val="0"/>
              <w:divBdr>
                <w:top w:val="none" w:sz="0" w:space="0" w:color="auto"/>
                <w:left w:val="none" w:sz="0" w:space="0" w:color="auto"/>
                <w:bottom w:val="none" w:sz="0" w:space="0" w:color="auto"/>
                <w:right w:val="none" w:sz="0" w:space="0" w:color="auto"/>
              </w:divBdr>
            </w:div>
            <w:div w:id="729232141">
              <w:marLeft w:val="0"/>
              <w:marRight w:val="0"/>
              <w:marTop w:val="0"/>
              <w:marBottom w:val="0"/>
              <w:divBdr>
                <w:top w:val="none" w:sz="0" w:space="0" w:color="auto"/>
                <w:left w:val="none" w:sz="0" w:space="0" w:color="auto"/>
                <w:bottom w:val="none" w:sz="0" w:space="0" w:color="auto"/>
                <w:right w:val="none" w:sz="0" w:space="0" w:color="auto"/>
              </w:divBdr>
            </w:div>
            <w:div w:id="175074891">
              <w:marLeft w:val="0"/>
              <w:marRight w:val="0"/>
              <w:marTop w:val="0"/>
              <w:marBottom w:val="0"/>
              <w:divBdr>
                <w:top w:val="none" w:sz="0" w:space="0" w:color="auto"/>
                <w:left w:val="none" w:sz="0" w:space="0" w:color="auto"/>
                <w:bottom w:val="none" w:sz="0" w:space="0" w:color="auto"/>
                <w:right w:val="none" w:sz="0" w:space="0" w:color="auto"/>
              </w:divBdr>
            </w:div>
            <w:div w:id="1652248327">
              <w:marLeft w:val="0"/>
              <w:marRight w:val="0"/>
              <w:marTop w:val="0"/>
              <w:marBottom w:val="0"/>
              <w:divBdr>
                <w:top w:val="none" w:sz="0" w:space="0" w:color="auto"/>
                <w:left w:val="none" w:sz="0" w:space="0" w:color="auto"/>
                <w:bottom w:val="none" w:sz="0" w:space="0" w:color="auto"/>
                <w:right w:val="none" w:sz="0" w:space="0" w:color="auto"/>
              </w:divBdr>
            </w:div>
            <w:div w:id="1566791674">
              <w:marLeft w:val="0"/>
              <w:marRight w:val="0"/>
              <w:marTop w:val="0"/>
              <w:marBottom w:val="0"/>
              <w:divBdr>
                <w:top w:val="none" w:sz="0" w:space="0" w:color="auto"/>
                <w:left w:val="none" w:sz="0" w:space="0" w:color="auto"/>
                <w:bottom w:val="none" w:sz="0" w:space="0" w:color="auto"/>
                <w:right w:val="none" w:sz="0" w:space="0" w:color="auto"/>
              </w:divBdr>
            </w:div>
            <w:div w:id="947930677">
              <w:marLeft w:val="0"/>
              <w:marRight w:val="0"/>
              <w:marTop w:val="0"/>
              <w:marBottom w:val="0"/>
              <w:divBdr>
                <w:top w:val="none" w:sz="0" w:space="0" w:color="auto"/>
                <w:left w:val="none" w:sz="0" w:space="0" w:color="auto"/>
                <w:bottom w:val="none" w:sz="0" w:space="0" w:color="auto"/>
                <w:right w:val="none" w:sz="0" w:space="0" w:color="auto"/>
              </w:divBdr>
            </w:div>
            <w:div w:id="1762682137">
              <w:marLeft w:val="0"/>
              <w:marRight w:val="0"/>
              <w:marTop w:val="0"/>
              <w:marBottom w:val="0"/>
              <w:divBdr>
                <w:top w:val="none" w:sz="0" w:space="0" w:color="auto"/>
                <w:left w:val="none" w:sz="0" w:space="0" w:color="auto"/>
                <w:bottom w:val="none" w:sz="0" w:space="0" w:color="auto"/>
                <w:right w:val="none" w:sz="0" w:space="0" w:color="auto"/>
              </w:divBdr>
            </w:div>
            <w:div w:id="145712465">
              <w:marLeft w:val="0"/>
              <w:marRight w:val="0"/>
              <w:marTop w:val="0"/>
              <w:marBottom w:val="0"/>
              <w:divBdr>
                <w:top w:val="none" w:sz="0" w:space="0" w:color="auto"/>
                <w:left w:val="none" w:sz="0" w:space="0" w:color="auto"/>
                <w:bottom w:val="none" w:sz="0" w:space="0" w:color="auto"/>
                <w:right w:val="none" w:sz="0" w:space="0" w:color="auto"/>
              </w:divBdr>
            </w:div>
            <w:div w:id="2099405221">
              <w:marLeft w:val="0"/>
              <w:marRight w:val="0"/>
              <w:marTop w:val="0"/>
              <w:marBottom w:val="0"/>
              <w:divBdr>
                <w:top w:val="none" w:sz="0" w:space="0" w:color="auto"/>
                <w:left w:val="none" w:sz="0" w:space="0" w:color="auto"/>
                <w:bottom w:val="none" w:sz="0" w:space="0" w:color="auto"/>
                <w:right w:val="none" w:sz="0" w:space="0" w:color="auto"/>
              </w:divBdr>
            </w:div>
            <w:div w:id="651255494">
              <w:marLeft w:val="0"/>
              <w:marRight w:val="0"/>
              <w:marTop w:val="0"/>
              <w:marBottom w:val="0"/>
              <w:divBdr>
                <w:top w:val="none" w:sz="0" w:space="0" w:color="auto"/>
                <w:left w:val="none" w:sz="0" w:space="0" w:color="auto"/>
                <w:bottom w:val="none" w:sz="0" w:space="0" w:color="auto"/>
                <w:right w:val="none" w:sz="0" w:space="0" w:color="auto"/>
              </w:divBdr>
            </w:div>
            <w:div w:id="2131624803">
              <w:marLeft w:val="0"/>
              <w:marRight w:val="0"/>
              <w:marTop w:val="0"/>
              <w:marBottom w:val="0"/>
              <w:divBdr>
                <w:top w:val="none" w:sz="0" w:space="0" w:color="auto"/>
                <w:left w:val="none" w:sz="0" w:space="0" w:color="auto"/>
                <w:bottom w:val="none" w:sz="0" w:space="0" w:color="auto"/>
                <w:right w:val="none" w:sz="0" w:space="0" w:color="auto"/>
              </w:divBdr>
            </w:div>
            <w:div w:id="96951208">
              <w:marLeft w:val="0"/>
              <w:marRight w:val="0"/>
              <w:marTop w:val="0"/>
              <w:marBottom w:val="0"/>
              <w:divBdr>
                <w:top w:val="none" w:sz="0" w:space="0" w:color="auto"/>
                <w:left w:val="none" w:sz="0" w:space="0" w:color="auto"/>
                <w:bottom w:val="none" w:sz="0" w:space="0" w:color="auto"/>
                <w:right w:val="none" w:sz="0" w:space="0" w:color="auto"/>
              </w:divBdr>
            </w:div>
            <w:div w:id="1647196959">
              <w:marLeft w:val="0"/>
              <w:marRight w:val="0"/>
              <w:marTop w:val="0"/>
              <w:marBottom w:val="0"/>
              <w:divBdr>
                <w:top w:val="none" w:sz="0" w:space="0" w:color="auto"/>
                <w:left w:val="none" w:sz="0" w:space="0" w:color="auto"/>
                <w:bottom w:val="none" w:sz="0" w:space="0" w:color="auto"/>
                <w:right w:val="none" w:sz="0" w:space="0" w:color="auto"/>
              </w:divBdr>
            </w:div>
            <w:div w:id="992762321">
              <w:marLeft w:val="0"/>
              <w:marRight w:val="0"/>
              <w:marTop w:val="0"/>
              <w:marBottom w:val="0"/>
              <w:divBdr>
                <w:top w:val="none" w:sz="0" w:space="0" w:color="auto"/>
                <w:left w:val="none" w:sz="0" w:space="0" w:color="auto"/>
                <w:bottom w:val="none" w:sz="0" w:space="0" w:color="auto"/>
                <w:right w:val="none" w:sz="0" w:space="0" w:color="auto"/>
              </w:divBdr>
            </w:div>
            <w:div w:id="1416702137">
              <w:marLeft w:val="0"/>
              <w:marRight w:val="0"/>
              <w:marTop w:val="0"/>
              <w:marBottom w:val="0"/>
              <w:divBdr>
                <w:top w:val="none" w:sz="0" w:space="0" w:color="auto"/>
                <w:left w:val="none" w:sz="0" w:space="0" w:color="auto"/>
                <w:bottom w:val="none" w:sz="0" w:space="0" w:color="auto"/>
                <w:right w:val="none" w:sz="0" w:space="0" w:color="auto"/>
              </w:divBdr>
            </w:div>
            <w:div w:id="1473982217">
              <w:marLeft w:val="0"/>
              <w:marRight w:val="0"/>
              <w:marTop w:val="0"/>
              <w:marBottom w:val="0"/>
              <w:divBdr>
                <w:top w:val="none" w:sz="0" w:space="0" w:color="auto"/>
                <w:left w:val="none" w:sz="0" w:space="0" w:color="auto"/>
                <w:bottom w:val="none" w:sz="0" w:space="0" w:color="auto"/>
                <w:right w:val="none" w:sz="0" w:space="0" w:color="auto"/>
              </w:divBdr>
            </w:div>
            <w:div w:id="145826922">
              <w:marLeft w:val="0"/>
              <w:marRight w:val="0"/>
              <w:marTop w:val="0"/>
              <w:marBottom w:val="0"/>
              <w:divBdr>
                <w:top w:val="none" w:sz="0" w:space="0" w:color="auto"/>
                <w:left w:val="none" w:sz="0" w:space="0" w:color="auto"/>
                <w:bottom w:val="none" w:sz="0" w:space="0" w:color="auto"/>
                <w:right w:val="none" w:sz="0" w:space="0" w:color="auto"/>
              </w:divBdr>
            </w:div>
            <w:div w:id="2005010803">
              <w:marLeft w:val="0"/>
              <w:marRight w:val="0"/>
              <w:marTop w:val="0"/>
              <w:marBottom w:val="0"/>
              <w:divBdr>
                <w:top w:val="none" w:sz="0" w:space="0" w:color="auto"/>
                <w:left w:val="none" w:sz="0" w:space="0" w:color="auto"/>
                <w:bottom w:val="none" w:sz="0" w:space="0" w:color="auto"/>
                <w:right w:val="none" w:sz="0" w:space="0" w:color="auto"/>
              </w:divBdr>
            </w:div>
            <w:div w:id="2130658969">
              <w:marLeft w:val="0"/>
              <w:marRight w:val="0"/>
              <w:marTop w:val="0"/>
              <w:marBottom w:val="0"/>
              <w:divBdr>
                <w:top w:val="none" w:sz="0" w:space="0" w:color="auto"/>
                <w:left w:val="none" w:sz="0" w:space="0" w:color="auto"/>
                <w:bottom w:val="none" w:sz="0" w:space="0" w:color="auto"/>
                <w:right w:val="none" w:sz="0" w:space="0" w:color="auto"/>
              </w:divBdr>
            </w:div>
            <w:div w:id="2037733175">
              <w:marLeft w:val="0"/>
              <w:marRight w:val="0"/>
              <w:marTop w:val="0"/>
              <w:marBottom w:val="0"/>
              <w:divBdr>
                <w:top w:val="none" w:sz="0" w:space="0" w:color="auto"/>
                <w:left w:val="none" w:sz="0" w:space="0" w:color="auto"/>
                <w:bottom w:val="none" w:sz="0" w:space="0" w:color="auto"/>
                <w:right w:val="none" w:sz="0" w:space="0" w:color="auto"/>
              </w:divBdr>
            </w:div>
            <w:div w:id="56052076">
              <w:marLeft w:val="0"/>
              <w:marRight w:val="0"/>
              <w:marTop w:val="0"/>
              <w:marBottom w:val="0"/>
              <w:divBdr>
                <w:top w:val="none" w:sz="0" w:space="0" w:color="auto"/>
                <w:left w:val="none" w:sz="0" w:space="0" w:color="auto"/>
                <w:bottom w:val="none" w:sz="0" w:space="0" w:color="auto"/>
                <w:right w:val="none" w:sz="0" w:space="0" w:color="auto"/>
              </w:divBdr>
            </w:div>
            <w:div w:id="1212961426">
              <w:marLeft w:val="0"/>
              <w:marRight w:val="0"/>
              <w:marTop w:val="0"/>
              <w:marBottom w:val="0"/>
              <w:divBdr>
                <w:top w:val="none" w:sz="0" w:space="0" w:color="auto"/>
                <w:left w:val="none" w:sz="0" w:space="0" w:color="auto"/>
                <w:bottom w:val="none" w:sz="0" w:space="0" w:color="auto"/>
                <w:right w:val="none" w:sz="0" w:space="0" w:color="auto"/>
              </w:divBdr>
            </w:div>
            <w:div w:id="1300065256">
              <w:marLeft w:val="0"/>
              <w:marRight w:val="0"/>
              <w:marTop w:val="0"/>
              <w:marBottom w:val="0"/>
              <w:divBdr>
                <w:top w:val="none" w:sz="0" w:space="0" w:color="auto"/>
                <w:left w:val="none" w:sz="0" w:space="0" w:color="auto"/>
                <w:bottom w:val="none" w:sz="0" w:space="0" w:color="auto"/>
                <w:right w:val="none" w:sz="0" w:space="0" w:color="auto"/>
              </w:divBdr>
            </w:div>
            <w:div w:id="1559173036">
              <w:marLeft w:val="0"/>
              <w:marRight w:val="0"/>
              <w:marTop w:val="0"/>
              <w:marBottom w:val="0"/>
              <w:divBdr>
                <w:top w:val="none" w:sz="0" w:space="0" w:color="auto"/>
                <w:left w:val="none" w:sz="0" w:space="0" w:color="auto"/>
                <w:bottom w:val="none" w:sz="0" w:space="0" w:color="auto"/>
                <w:right w:val="none" w:sz="0" w:space="0" w:color="auto"/>
              </w:divBdr>
            </w:div>
            <w:div w:id="723143989">
              <w:marLeft w:val="0"/>
              <w:marRight w:val="0"/>
              <w:marTop w:val="0"/>
              <w:marBottom w:val="0"/>
              <w:divBdr>
                <w:top w:val="none" w:sz="0" w:space="0" w:color="auto"/>
                <w:left w:val="none" w:sz="0" w:space="0" w:color="auto"/>
                <w:bottom w:val="none" w:sz="0" w:space="0" w:color="auto"/>
                <w:right w:val="none" w:sz="0" w:space="0" w:color="auto"/>
              </w:divBdr>
            </w:div>
            <w:div w:id="120150918">
              <w:marLeft w:val="0"/>
              <w:marRight w:val="0"/>
              <w:marTop w:val="0"/>
              <w:marBottom w:val="0"/>
              <w:divBdr>
                <w:top w:val="none" w:sz="0" w:space="0" w:color="auto"/>
                <w:left w:val="none" w:sz="0" w:space="0" w:color="auto"/>
                <w:bottom w:val="none" w:sz="0" w:space="0" w:color="auto"/>
                <w:right w:val="none" w:sz="0" w:space="0" w:color="auto"/>
              </w:divBdr>
            </w:div>
            <w:div w:id="1145203758">
              <w:marLeft w:val="0"/>
              <w:marRight w:val="0"/>
              <w:marTop w:val="0"/>
              <w:marBottom w:val="0"/>
              <w:divBdr>
                <w:top w:val="none" w:sz="0" w:space="0" w:color="auto"/>
                <w:left w:val="none" w:sz="0" w:space="0" w:color="auto"/>
                <w:bottom w:val="none" w:sz="0" w:space="0" w:color="auto"/>
                <w:right w:val="none" w:sz="0" w:space="0" w:color="auto"/>
              </w:divBdr>
            </w:div>
            <w:div w:id="1410039277">
              <w:marLeft w:val="0"/>
              <w:marRight w:val="0"/>
              <w:marTop w:val="0"/>
              <w:marBottom w:val="0"/>
              <w:divBdr>
                <w:top w:val="none" w:sz="0" w:space="0" w:color="auto"/>
                <w:left w:val="none" w:sz="0" w:space="0" w:color="auto"/>
                <w:bottom w:val="none" w:sz="0" w:space="0" w:color="auto"/>
                <w:right w:val="none" w:sz="0" w:space="0" w:color="auto"/>
              </w:divBdr>
            </w:div>
            <w:div w:id="711072324">
              <w:marLeft w:val="0"/>
              <w:marRight w:val="0"/>
              <w:marTop w:val="0"/>
              <w:marBottom w:val="0"/>
              <w:divBdr>
                <w:top w:val="none" w:sz="0" w:space="0" w:color="auto"/>
                <w:left w:val="none" w:sz="0" w:space="0" w:color="auto"/>
                <w:bottom w:val="none" w:sz="0" w:space="0" w:color="auto"/>
                <w:right w:val="none" w:sz="0" w:space="0" w:color="auto"/>
              </w:divBdr>
            </w:div>
            <w:div w:id="716272078">
              <w:marLeft w:val="0"/>
              <w:marRight w:val="0"/>
              <w:marTop w:val="0"/>
              <w:marBottom w:val="0"/>
              <w:divBdr>
                <w:top w:val="none" w:sz="0" w:space="0" w:color="auto"/>
                <w:left w:val="none" w:sz="0" w:space="0" w:color="auto"/>
                <w:bottom w:val="none" w:sz="0" w:space="0" w:color="auto"/>
                <w:right w:val="none" w:sz="0" w:space="0" w:color="auto"/>
              </w:divBdr>
            </w:div>
            <w:div w:id="401754572">
              <w:marLeft w:val="0"/>
              <w:marRight w:val="0"/>
              <w:marTop w:val="0"/>
              <w:marBottom w:val="0"/>
              <w:divBdr>
                <w:top w:val="none" w:sz="0" w:space="0" w:color="auto"/>
                <w:left w:val="none" w:sz="0" w:space="0" w:color="auto"/>
                <w:bottom w:val="none" w:sz="0" w:space="0" w:color="auto"/>
                <w:right w:val="none" w:sz="0" w:space="0" w:color="auto"/>
              </w:divBdr>
            </w:div>
            <w:div w:id="747579327">
              <w:marLeft w:val="0"/>
              <w:marRight w:val="0"/>
              <w:marTop w:val="0"/>
              <w:marBottom w:val="0"/>
              <w:divBdr>
                <w:top w:val="none" w:sz="0" w:space="0" w:color="auto"/>
                <w:left w:val="none" w:sz="0" w:space="0" w:color="auto"/>
                <w:bottom w:val="none" w:sz="0" w:space="0" w:color="auto"/>
                <w:right w:val="none" w:sz="0" w:space="0" w:color="auto"/>
              </w:divBdr>
            </w:div>
            <w:div w:id="1863862267">
              <w:marLeft w:val="0"/>
              <w:marRight w:val="0"/>
              <w:marTop w:val="0"/>
              <w:marBottom w:val="0"/>
              <w:divBdr>
                <w:top w:val="none" w:sz="0" w:space="0" w:color="auto"/>
                <w:left w:val="none" w:sz="0" w:space="0" w:color="auto"/>
                <w:bottom w:val="none" w:sz="0" w:space="0" w:color="auto"/>
                <w:right w:val="none" w:sz="0" w:space="0" w:color="auto"/>
              </w:divBdr>
            </w:div>
            <w:div w:id="2133202793">
              <w:marLeft w:val="0"/>
              <w:marRight w:val="0"/>
              <w:marTop w:val="0"/>
              <w:marBottom w:val="0"/>
              <w:divBdr>
                <w:top w:val="none" w:sz="0" w:space="0" w:color="auto"/>
                <w:left w:val="none" w:sz="0" w:space="0" w:color="auto"/>
                <w:bottom w:val="none" w:sz="0" w:space="0" w:color="auto"/>
                <w:right w:val="none" w:sz="0" w:space="0" w:color="auto"/>
              </w:divBdr>
            </w:div>
            <w:div w:id="664745971">
              <w:marLeft w:val="0"/>
              <w:marRight w:val="0"/>
              <w:marTop w:val="0"/>
              <w:marBottom w:val="0"/>
              <w:divBdr>
                <w:top w:val="none" w:sz="0" w:space="0" w:color="auto"/>
                <w:left w:val="none" w:sz="0" w:space="0" w:color="auto"/>
                <w:bottom w:val="none" w:sz="0" w:space="0" w:color="auto"/>
                <w:right w:val="none" w:sz="0" w:space="0" w:color="auto"/>
              </w:divBdr>
            </w:div>
            <w:div w:id="1848129024">
              <w:marLeft w:val="0"/>
              <w:marRight w:val="0"/>
              <w:marTop w:val="0"/>
              <w:marBottom w:val="0"/>
              <w:divBdr>
                <w:top w:val="none" w:sz="0" w:space="0" w:color="auto"/>
                <w:left w:val="none" w:sz="0" w:space="0" w:color="auto"/>
                <w:bottom w:val="none" w:sz="0" w:space="0" w:color="auto"/>
                <w:right w:val="none" w:sz="0" w:space="0" w:color="auto"/>
              </w:divBdr>
            </w:div>
            <w:div w:id="934362701">
              <w:marLeft w:val="0"/>
              <w:marRight w:val="0"/>
              <w:marTop w:val="0"/>
              <w:marBottom w:val="0"/>
              <w:divBdr>
                <w:top w:val="none" w:sz="0" w:space="0" w:color="auto"/>
                <w:left w:val="none" w:sz="0" w:space="0" w:color="auto"/>
                <w:bottom w:val="none" w:sz="0" w:space="0" w:color="auto"/>
                <w:right w:val="none" w:sz="0" w:space="0" w:color="auto"/>
              </w:divBdr>
            </w:div>
            <w:div w:id="870993508">
              <w:marLeft w:val="0"/>
              <w:marRight w:val="0"/>
              <w:marTop w:val="0"/>
              <w:marBottom w:val="0"/>
              <w:divBdr>
                <w:top w:val="none" w:sz="0" w:space="0" w:color="auto"/>
                <w:left w:val="none" w:sz="0" w:space="0" w:color="auto"/>
                <w:bottom w:val="none" w:sz="0" w:space="0" w:color="auto"/>
                <w:right w:val="none" w:sz="0" w:space="0" w:color="auto"/>
              </w:divBdr>
            </w:div>
            <w:div w:id="2007393738">
              <w:marLeft w:val="0"/>
              <w:marRight w:val="0"/>
              <w:marTop w:val="0"/>
              <w:marBottom w:val="0"/>
              <w:divBdr>
                <w:top w:val="none" w:sz="0" w:space="0" w:color="auto"/>
                <w:left w:val="none" w:sz="0" w:space="0" w:color="auto"/>
                <w:bottom w:val="none" w:sz="0" w:space="0" w:color="auto"/>
                <w:right w:val="none" w:sz="0" w:space="0" w:color="auto"/>
              </w:divBdr>
            </w:div>
            <w:div w:id="187646520">
              <w:marLeft w:val="0"/>
              <w:marRight w:val="0"/>
              <w:marTop w:val="0"/>
              <w:marBottom w:val="0"/>
              <w:divBdr>
                <w:top w:val="none" w:sz="0" w:space="0" w:color="auto"/>
                <w:left w:val="none" w:sz="0" w:space="0" w:color="auto"/>
                <w:bottom w:val="none" w:sz="0" w:space="0" w:color="auto"/>
                <w:right w:val="none" w:sz="0" w:space="0" w:color="auto"/>
              </w:divBdr>
            </w:div>
            <w:div w:id="144249058">
              <w:marLeft w:val="0"/>
              <w:marRight w:val="0"/>
              <w:marTop w:val="0"/>
              <w:marBottom w:val="0"/>
              <w:divBdr>
                <w:top w:val="none" w:sz="0" w:space="0" w:color="auto"/>
                <w:left w:val="none" w:sz="0" w:space="0" w:color="auto"/>
                <w:bottom w:val="none" w:sz="0" w:space="0" w:color="auto"/>
                <w:right w:val="none" w:sz="0" w:space="0" w:color="auto"/>
              </w:divBdr>
            </w:div>
            <w:div w:id="1123112714">
              <w:marLeft w:val="0"/>
              <w:marRight w:val="0"/>
              <w:marTop w:val="0"/>
              <w:marBottom w:val="0"/>
              <w:divBdr>
                <w:top w:val="none" w:sz="0" w:space="0" w:color="auto"/>
                <w:left w:val="none" w:sz="0" w:space="0" w:color="auto"/>
                <w:bottom w:val="none" w:sz="0" w:space="0" w:color="auto"/>
                <w:right w:val="none" w:sz="0" w:space="0" w:color="auto"/>
              </w:divBdr>
            </w:div>
            <w:div w:id="109762951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 w:id="617564097">
              <w:marLeft w:val="0"/>
              <w:marRight w:val="0"/>
              <w:marTop w:val="0"/>
              <w:marBottom w:val="0"/>
              <w:divBdr>
                <w:top w:val="none" w:sz="0" w:space="0" w:color="auto"/>
                <w:left w:val="none" w:sz="0" w:space="0" w:color="auto"/>
                <w:bottom w:val="none" w:sz="0" w:space="0" w:color="auto"/>
                <w:right w:val="none" w:sz="0" w:space="0" w:color="auto"/>
              </w:divBdr>
            </w:div>
            <w:div w:id="1587761864">
              <w:marLeft w:val="0"/>
              <w:marRight w:val="0"/>
              <w:marTop w:val="0"/>
              <w:marBottom w:val="0"/>
              <w:divBdr>
                <w:top w:val="none" w:sz="0" w:space="0" w:color="auto"/>
                <w:left w:val="none" w:sz="0" w:space="0" w:color="auto"/>
                <w:bottom w:val="none" w:sz="0" w:space="0" w:color="auto"/>
                <w:right w:val="none" w:sz="0" w:space="0" w:color="auto"/>
              </w:divBdr>
            </w:div>
            <w:div w:id="1928803824">
              <w:marLeft w:val="0"/>
              <w:marRight w:val="0"/>
              <w:marTop w:val="0"/>
              <w:marBottom w:val="0"/>
              <w:divBdr>
                <w:top w:val="none" w:sz="0" w:space="0" w:color="auto"/>
                <w:left w:val="none" w:sz="0" w:space="0" w:color="auto"/>
                <w:bottom w:val="none" w:sz="0" w:space="0" w:color="auto"/>
                <w:right w:val="none" w:sz="0" w:space="0" w:color="auto"/>
              </w:divBdr>
            </w:div>
            <w:div w:id="1373769257">
              <w:marLeft w:val="0"/>
              <w:marRight w:val="0"/>
              <w:marTop w:val="0"/>
              <w:marBottom w:val="0"/>
              <w:divBdr>
                <w:top w:val="none" w:sz="0" w:space="0" w:color="auto"/>
                <w:left w:val="none" w:sz="0" w:space="0" w:color="auto"/>
                <w:bottom w:val="none" w:sz="0" w:space="0" w:color="auto"/>
                <w:right w:val="none" w:sz="0" w:space="0" w:color="auto"/>
              </w:divBdr>
            </w:div>
            <w:div w:id="1270237340">
              <w:marLeft w:val="0"/>
              <w:marRight w:val="0"/>
              <w:marTop w:val="0"/>
              <w:marBottom w:val="0"/>
              <w:divBdr>
                <w:top w:val="none" w:sz="0" w:space="0" w:color="auto"/>
                <w:left w:val="none" w:sz="0" w:space="0" w:color="auto"/>
                <w:bottom w:val="none" w:sz="0" w:space="0" w:color="auto"/>
                <w:right w:val="none" w:sz="0" w:space="0" w:color="auto"/>
              </w:divBdr>
            </w:div>
            <w:div w:id="374812796">
              <w:marLeft w:val="0"/>
              <w:marRight w:val="0"/>
              <w:marTop w:val="0"/>
              <w:marBottom w:val="0"/>
              <w:divBdr>
                <w:top w:val="none" w:sz="0" w:space="0" w:color="auto"/>
                <w:left w:val="none" w:sz="0" w:space="0" w:color="auto"/>
                <w:bottom w:val="none" w:sz="0" w:space="0" w:color="auto"/>
                <w:right w:val="none" w:sz="0" w:space="0" w:color="auto"/>
              </w:divBdr>
            </w:div>
            <w:div w:id="378021471">
              <w:marLeft w:val="0"/>
              <w:marRight w:val="0"/>
              <w:marTop w:val="0"/>
              <w:marBottom w:val="0"/>
              <w:divBdr>
                <w:top w:val="none" w:sz="0" w:space="0" w:color="auto"/>
                <w:left w:val="none" w:sz="0" w:space="0" w:color="auto"/>
                <w:bottom w:val="none" w:sz="0" w:space="0" w:color="auto"/>
                <w:right w:val="none" w:sz="0" w:space="0" w:color="auto"/>
              </w:divBdr>
            </w:div>
            <w:div w:id="533427277">
              <w:marLeft w:val="0"/>
              <w:marRight w:val="0"/>
              <w:marTop w:val="0"/>
              <w:marBottom w:val="0"/>
              <w:divBdr>
                <w:top w:val="none" w:sz="0" w:space="0" w:color="auto"/>
                <w:left w:val="none" w:sz="0" w:space="0" w:color="auto"/>
                <w:bottom w:val="none" w:sz="0" w:space="0" w:color="auto"/>
                <w:right w:val="none" w:sz="0" w:space="0" w:color="auto"/>
              </w:divBdr>
            </w:div>
            <w:div w:id="1222323992">
              <w:marLeft w:val="0"/>
              <w:marRight w:val="0"/>
              <w:marTop w:val="0"/>
              <w:marBottom w:val="0"/>
              <w:divBdr>
                <w:top w:val="none" w:sz="0" w:space="0" w:color="auto"/>
                <w:left w:val="none" w:sz="0" w:space="0" w:color="auto"/>
                <w:bottom w:val="none" w:sz="0" w:space="0" w:color="auto"/>
                <w:right w:val="none" w:sz="0" w:space="0" w:color="auto"/>
              </w:divBdr>
            </w:div>
            <w:div w:id="794369542">
              <w:marLeft w:val="0"/>
              <w:marRight w:val="0"/>
              <w:marTop w:val="0"/>
              <w:marBottom w:val="0"/>
              <w:divBdr>
                <w:top w:val="none" w:sz="0" w:space="0" w:color="auto"/>
                <w:left w:val="none" w:sz="0" w:space="0" w:color="auto"/>
                <w:bottom w:val="none" w:sz="0" w:space="0" w:color="auto"/>
                <w:right w:val="none" w:sz="0" w:space="0" w:color="auto"/>
              </w:divBdr>
            </w:div>
            <w:div w:id="1347173664">
              <w:marLeft w:val="0"/>
              <w:marRight w:val="0"/>
              <w:marTop w:val="0"/>
              <w:marBottom w:val="0"/>
              <w:divBdr>
                <w:top w:val="none" w:sz="0" w:space="0" w:color="auto"/>
                <w:left w:val="none" w:sz="0" w:space="0" w:color="auto"/>
                <w:bottom w:val="none" w:sz="0" w:space="0" w:color="auto"/>
                <w:right w:val="none" w:sz="0" w:space="0" w:color="auto"/>
              </w:divBdr>
            </w:div>
            <w:div w:id="562760947">
              <w:marLeft w:val="0"/>
              <w:marRight w:val="0"/>
              <w:marTop w:val="0"/>
              <w:marBottom w:val="0"/>
              <w:divBdr>
                <w:top w:val="none" w:sz="0" w:space="0" w:color="auto"/>
                <w:left w:val="none" w:sz="0" w:space="0" w:color="auto"/>
                <w:bottom w:val="none" w:sz="0" w:space="0" w:color="auto"/>
                <w:right w:val="none" w:sz="0" w:space="0" w:color="auto"/>
              </w:divBdr>
            </w:div>
            <w:div w:id="1521819107">
              <w:marLeft w:val="0"/>
              <w:marRight w:val="0"/>
              <w:marTop w:val="0"/>
              <w:marBottom w:val="0"/>
              <w:divBdr>
                <w:top w:val="none" w:sz="0" w:space="0" w:color="auto"/>
                <w:left w:val="none" w:sz="0" w:space="0" w:color="auto"/>
                <w:bottom w:val="none" w:sz="0" w:space="0" w:color="auto"/>
                <w:right w:val="none" w:sz="0" w:space="0" w:color="auto"/>
              </w:divBdr>
            </w:div>
            <w:div w:id="738746357">
              <w:marLeft w:val="0"/>
              <w:marRight w:val="0"/>
              <w:marTop w:val="0"/>
              <w:marBottom w:val="0"/>
              <w:divBdr>
                <w:top w:val="none" w:sz="0" w:space="0" w:color="auto"/>
                <w:left w:val="none" w:sz="0" w:space="0" w:color="auto"/>
                <w:bottom w:val="none" w:sz="0" w:space="0" w:color="auto"/>
                <w:right w:val="none" w:sz="0" w:space="0" w:color="auto"/>
              </w:divBdr>
            </w:div>
            <w:div w:id="1492722193">
              <w:marLeft w:val="0"/>
              <w:marRight w:val="0"/>
              <w:marTop w:val="0"/>
              <w:marBottom w:val="0"/>
              <w:divBdr>
                <w:top w:val="none" w:sz="0" w:space="0" w:color="auto"/>
                <w:left w:val="none" w:sz="0" w:space="0" w:color="auto"/>
                <w:bottom w:val="none" w:sz="0" w:space="0" w:color="auto"/>
                <w:right w:val="none" w:sz="0" w:space="0" w:color="auto"/>
              </w:divBdr>
            </w:div>
            <w:div w:id="181474162">
              <w:marLeft w:val="0"/>
              <w:marRight w:val="0"/>
              <w:marTop w:val="0"/>
              <w:marBottom w:val="0"/>
              <w:divBdr>
                <w:top w:val="none" w:sz="0" w:space="0" w:color="auto"/>
                <w:left w:val="none" w:sz="0" w:space="0" w:color="auto"/>
                <w:bottom w:val="none" w:sz="0" w:space="0" w:color="auto"/>
                <w:right w:val="none" w:sz="0" w:space="0" w:color="auto"/>
              </w:divBdr>
            </w:div>
            <w:div w:id="51541876">
              <w:marLeft w:val="0"/>
              <w:marRight w:val="0"/>
              <w:marTop w:val="0"/>
              <w:marBottom w:val="0"/>
              <w:divBdr>
                <w:top w:val="none" w:sz="0" w:space="0" w:color="auto"/>
                <w:left w:val="none" w:sz="0" w:space="0" w:color="auto"/>
                <w:bottom w:val="none" w:sz="0" w:space="0" w:color="auto"/>
                <w:right w:val="none" w:sz="0" w:space="0" w:color="auto"/>
              </w:divBdr>
            </w:div>
            <w:div w:id="1142625337">
              <w:marLeft w:val="0"/>
              <w:marRight w:val="0"/>
              <w:marTop w:val="0"/>
              <w:marBottom w:val="0"/>
              <w:divBdr>
                <w:top w:val="none" w:sz="0" w:space="0" w:color="auto"/>
                <w:left w:val="none" w:sz="0" w:space="0" w:color="auto"/>
                <w:bottom w:val="none" w:sz="0" w:space="0" w:color="auto"/>
                <w:right w:val="none" w:sz="0" w:space="0" w:color="auto"/>
              </w:divBdr>
            </w:div>
            <w:div w:id="1588614535">
              <w:marLeft w:val="0"/>
              <w:marRight w:val="0"/>
              <w:marTop w:val="0"/>
              <w:marBottom w:val="0"/>
              <w:divBdr>
                <w:top w:val="none" w:sz="0" w:space="0" w:color="auto"/>
                <w:left w:val="none" w:sz="0" w:space="0" w:color="auto"/>
                <w:bottom w:val="none" w:sz="0" w:space="0" w:color="auto"/>
                <w:right w:val="none" w:sz="0" w:space="0" w:color="auto"/>
              </w:divBdr>
            </w:div>
            <w:div w:id="824467473">
              <w:marLeft w:val="0"/>
              <w:marRight w:val="0"/>
              <w:marTop w:val="0"/>
              <w:marBottom w:val="0"/>
              <w:divBdr>
                <w:top w:val="none" w:sz="0" w:space="0" w:color="auto"/>
                <w:left w:val="none" w:sz="0" w:space="0" w:color="auto"/>
                <w:bottom w:val="none" w:sz="0" w:space="0" w:color="auto"/>
                <w:right w:val="none" w:sz="0" w:space="0" w:color="auto"/>
              </w:divBdr>
            </w:div>
            <w:div w:id="155153237">
              <w:marLeft w:val="0"/>
              <w:marRight w:val="0"/>
              <w:marTop w:val="0"/>
              <w:marBottom w:val="0"/>
              <w:divBdr>
                <w:top w:val="none" w:sz="0" w:space="0" w:color="auto"/>
                <w:left w:val="none" w:sz="0" w:space="0" w:color="auto"/>
                <w:bottom w:val="none" w:sz="0" w:space="0" w:color="auto"/>
                <w:right w:val="none" w:sz="0" w:space="0" w:color="auto"/>
              </w:divBdr>
            </w:div>
            <w:div w:id="744717096">
              <w:marLeft w:val="0"/>
              <w:marRight w:val="0"/>
              <w:marTop w:val="0"/>
              <w:marBottom w:val="0"/>
              <w:divBdr>
                <w:top w:val="none" w:sz="0" w:space="0" w:color="auto"/>
                <w:left w:val="none" w:sz="0" w:space="0" w:color="auto"/>
                <w:bottom w:val="none" w:sz="0" w:space="0" w:color="auto"/>
                <w:right w:val="none" w:sz="0" w:space="0" w:color="auto"/>
              </w:divBdr>
            </w:div>
            <w:div w:id="1409308784">
              <w:marLeft w:val="0"/>
              <w:marRight w:val="0"/>
              <w:marTop w:val="0"/>
              <w:marBottom w:val="0"/>
              <w:divBdr>
                <w:top w:val="none" w:sz="0" w:space="0" w:color="auto"/>
                <w:left w:val="none" w:sz="0" w:space="0" w:color="auto"/>
                <w:bottom w:val="none" w:sz="0" w:space="0" w:color="auto"/>
                <w:right w:val="none" w:sz="0" w:space="0" w:color="auto"/>
              </w:divBdr>
            </w:div>
            <w:div w:id="1585602165">
              <w:marLeft w:val="0"/>
              <w:marRight w:val="0"/>
              <w:marTop w:val="0"/>
              <w:marBottom w:val="0"/>
              <w:divBdr>
                <w:top w:val="none" w:sz="0" w:space="0" w:color="auto"/>
                <w:left w:val="none" w:sz="0" w:space="0" w:color="auto"/>
                <w:bottom w:val="none" w:sz="0" w:space="0" w:color="auto"/>
                <w:right w:val="none" w:sz="0" w:space="0" w:color="auto"/>
              </w:divBdr>
            </w:div>
            <w:div w:id="1214345468">
              <w:marLeft w:val="0"/>
              <w:marRight w:val="0"/>
              <w:marTop w:val="0"/>
              <w:marBottom w:val="0"/>
              <w:divBdr>
                <w:top w:val="none" w:sz="0" w:space="0" w:color="auto"/>
                <w:left w:val="none" w:sz="0" w:space="0" w:color="auto"/>
                <w:bottom w:val="none" w:sz="0" w:space="0" w:color="auto"/>
                <w:right w:val="none" w:sz="0" w:space="0" w:color="auto"/>
              </w:divBdr>
            </w:div>
            <w:div w:id="799300006">
              <w:marLeft w:val="0"/>
              <w:marRight w:val="0"/>
              <w:marTop w:val="0"/>
              <w:marBottom w:val="0"/>
              <w:divBdr>
                <w:top w:val="none" w:sz="0" w:space="0" w:color="auto"/>
                <w:left w:val="none" w:sz="0" w:space="0" w:color="auto"/>
                <w:bottom w:val="none" w:sz="0" w:space="0" w:color="auto"/>
                <w:right w:val="none" w:sz="0" w:space="0" w:color="auto"/>
              </w:divBdr>
            </w:div>
            <w:div w:id="1646280874">
              <w:marLeft w:val="0"/>
              <w:marRight w:val="0"/>
              <w:marTop w:val="0"/>
              <w:marBottom w:val="0"/>
              <w:divBdr>
                <w:top w:val="none" w:sz="0" w:space="0" w:color="auto"/>
                <w:left w:val="none" w:sz="0" w:space="0" w:color="auto"/>
                <w:bottom w:val="none" w:sz="0" w:space="0" w:color="auto"/>
                <w:right w:val="none" w:sz="0" w:space="0" w:color="auto"/>
              </w:divBdr>
            </w:div>
            <w:div w:id="1298146235">
              <w:marLeft w:val="0"/>
              <w:marRight w:val="0"/>
              <w:marTop w:val="0"/>
              <w:marBottom w:val="0"/>
              <w:divBdr>
                <w:top w:val="none" w:sz="0" w:space="0" w:color="auto"/>
                <w:left w:val="none" w:sz="0" w:space="0" w:color="auto"/>
                <w:bottom w:val="none" w:sz="0" w:space="0" w:color="auto"/>
                <w:right w:val="none" w:sz="0" w:space="0" w:color="auto"/>
              </w:divBdr>
            </w:div>
            <w:div w:id="1180849403">
              <w:marLeft w:val="0"/>
              <w:marRight w:val="0"/>
              <w:marTop w:val="0"/>
              <w:marBottom w:val="0"/>
              <w:divBdr>
                <w:top w:val="none" w:sz="0" w:space="0" w:color="auto"/>
                <w:left w:val="none" w:sz="0" w:space="0" w:color="auto"/>
                <w:bottom w:val="none" w:sz="0" w:space="0" w:color="auto"/>
                <w:right w:val="none" w:sz="0" w:space="0" w:color="auto"/>
              </w:divBdr>
            </w:div>
            <w:div w:id="880677486">
              <w:marLeft w:val="0"/>
              <w:marRight w:val="0"/>
              <w:marTop w:val="0"/>
              <w:marBottom w:val="0"/>
              <w:divBdr>
                <w:top w:val="none" w:sz="0" w:space="0" w:color="auto"/>
                <w:left w:val="none" w:sz="0" w:space="0" w:color="auto"/>
                <w:bottom w:val="none" w:sz="0" w:space="0" w:color="auto"/>
                <w:right w:val="none" w:sz="0" w:space="0" w:color="auto"/>
              </w:divBdr>
            </w:div>
            <w:div w:id="25375041">
              <w:marLeft w:val="0"/>
              <w:marRight w:val="0"/>
              <w:marTop w:val="0"/>
              <w:marBottom w:val="0"/>
              <w:divBdr>
                <w:top w:val="none" w:sz="0" w:space="0" w:color="auto"/>
                <w:left w:val="none" w:sz="0" w:space="0" w:color="auto"/>
                <w:bottom w:val="none" w:sz="0" w:space="0" w:color="auto"/>
                <w:right w:val="none" w:sz="0" w:space="0" w:color="auto"/>
              </w:divBdr>
            </w:div>
            <w:div w:id="375619247">
              <w:marLeft w:val="0"/>
              <w:marRight w:val="0"/>
              <w:marTop w:val="0"/>
              <w:marBottom w:val="0"/>
              <w:divBdr>
                <w:top w:val="none" w:sz="0" w:space="0" w:color="auto"/>
                <w:left w:val="none" w:sz="0" w:space="0" w:color="auto"/>
                <w:bottom w:val="none" w:sz="0" w:space="0" w:color="auto"/>
                <w:right w:val="none" w:sz="0" w:space="0" w:color="auto"/>
              </w:divBdr>
            </w:div>
            <w:div w:id="894244423">
              <w:marLeft w:val="0"/>
              <w:marRight w:val="0"/>
              <w:marTop w:val="0"/>
              <w:marBottom w:val="0"/>
              <w:divBdr>
                <w:top w:val="none" w:sz="0" w:space="0" w:color="auto"/>
                <w:left w:val="none" w:sz="0" w:space="0" w:color="auto"/>
                <w:bottom w:val="none" w:sz="0" w:space="0" w:color="auto"/>
                <w:right w:val="none" w:sz="0" w:space="0" w:color="auto"/>
              </w:divBdr>
            </w:div>
            <w:div w:id="896865164">
              <w:marLeft w:val="0"/>
              <w:marRight w:val="0"/>
              <w:marTop w:val="0"/>
              <w:marBottom w:val="0"/>
              <w:divBdr>
                <w:top w:val="none" w:sz="0" w:space="0" w:color="auto"/>
                <w:left w:val="none" w:sz="0" w:space="0" w:color="auto"/>
                <w:bottom w:val="none" w:sz="0" w:space="0" w:color="auto"/>
                <w:right w:val="none" w:sz="0" w:space="0" w:color="auto"/>
              </w:divBdr>
            </w:div>
            <w:div w:id="1761483530">
              <w:marLeft w:val="0"/>
              <w:marRight w:val="0"/>
              <w:marTop w:val="0"/>
              <w:marBottom w:val="0"/>
              <w:divBdr>
                <w:top w:val="none" w:sz="0" w:space="0" w:color="auto"/>
                <w:left w:val="none" w:sz="0" w:space="0" w:color="auto"/>
                <w:bottom w:val="none" w:sz="0" w:space="0" w:color="auto"/>
                <w:right w:val="none" w:sz="0" w:space="0" w:color="auto"/>
              </w:divBdr>
            </w:div>
            <w:div w:id="1484199437">
              <w:marLeft w:val="0"/>
              <w:marRight w:val="0"/>
              <w:marTop w:val="0"/>
              <w:marBottom w:val="0"/>
              <w:divBdr>
                <w:top w:val="none" w:sz="0" w:space="0" w:color="auto"/>
                <w:left w:val="none" w:sz="0" w:space="0" w:color="auto"/>
                <w:bottom w:val="none" w:sz="0" w:space="0" w:color="auto"/>
                <w:right w:val="none" w:sz="0" w:space="0" w:color="auto"/>
              </w:divBdr>
            </w:div>
            <w:div w:id="1937008997">
              <w:marLeft w:val="0"/>
              <w:marRight w:val="0"/>
              <w:marTop w:val="0"/>
              <w:marBottom w:val="0"/>
              <w:divBdr>
                <w:top w:val="none" w:sz="0" w:space="0" w:color="auto"/>
                <w:left w:val="none" w:sz="0" w:space="0" w:color="auto"/>
                <w:bottom w:val="none" w:sz="0" w:space="0" w:color="auto"/>
                <w:right w:val="none" w:sz="0" w:space="0" w:color="auto"/>
              </w:divBdr>
            </w:div>
            <w:div w:id="1888831948">
              <w:marLeft w:val="0"/>
              <w:marRight w:val="0"/>
              <w:marTop w:val="0"/>
              <w:marBottom w:val="0"/>
              <w:divBdr>
                <w:top w:val="none" w:sz="0" w:space="0" w:color="auto"/>
                <w:left w:val="none" w:sz="0" w:space="0" w:color="auto"/>
                <w:bottom w:val="none" w:sz="0" w:space="0" w:color="auto"/>
                <w:right w:val="none" w:sz="0" w:space="0" w:color="auto"/>
              </w:divBdr>
            </w:div>
            <w:div w:id="1159494662">
              <w:marLeft w:val="0"/>
              <w:marRight w:val="0"/>
              <w:marTop w:val="0"/>
              <w:marBottom w:val="0"/>
              <w:divBdr>
                <w:top w:val="none" w:sz="0" w:space="0" w:color="auto"/>
                <w:left w:val="none" w:sz="0" w:space="0" w:color="auto"/>
                <w:bottom w:val="none" w:sz="0" w:space="0" w:color="auto"/>
                <w:right w:val="none" w:sz="0" w:space="0" w:color="auto"/>
              </w:divBdr>
            </w:div>
            <w:div w:id="845435534">
              <w:marLeft w:val="0"/>
              <w:marRight w:val="0"/>
              <w:marTop w:val="0"/>
              <w:marBottom w:val="0"/>
              <w:divBdr>
                <w:top w:val="none" w:sz="0" w:space="0" w:color="auto"/>
                <w:left w:val="none" w:sz="0" w:space="0" w:color="auto"/>
                <w:bottom w:val="none" w:sz="0" w:space="0" w:color="auto"/>
                <w:right w:val="none" w:sz="0" w:space="0" w:color="auto"/>
              </w:divBdr>
            </w:div>
            <w:div w:id="553854310">
              <w:marLeft w:val="0"/>
              <w:marRight w:val="0"/>
              <w:marTop w:val="0"/>
              <w:marBottom w:val="0"/>
              <w:divBdr>
                <w:top w:val="none" w:sz="0" w:space="0" w:color="auto"/>
                <w:left w:val="none" w:sz="0" w:space="0" w:color="auto"/>
                <w:bottom w:val="none" w:sz="0" w:space="0" w:color="auto"/>
                <w:right w:val="none" w:sz="0" w:space="0" w:color="auto"/>
              </w:divBdr>
            </w:div>
            <w:div w:id="1021472228">
              <w:marLeft w:val="0"/>
              <w:marRight w:val="0"/>
              <w:marTop w:val="0"/>
              <w:marBottom w:val="0"/>
              <w:divBdr>
                <w:top w:val="none" w:sz="0" w:space="0" w:color="auto"/>
                <w:left w:val="none" w:sz="0" w:space="0" w:color="auto"/>
                <w:bottom w:val="none" w:sz="0" w:space="0" w:color="auto"/>
                <w:right w:val="none" w:sz="0" w:space="0" w:color="auto"/>
              </w:divBdr>
            </w:div>
            <w:div w:id="2107841141">
              <w:marLeft w:val="0"/>
              <w:marRight w:val="0"/>
              <w:marTop w:val="0"/>
              <w:marBottom w:val="0"/>
              <w:divBdr>
                <w:top w:val="none" w:sz="0" w:space="0" w:color="auto"/>
                <w:left w:val="none" w:sz="0" w:space="0" w:color="auto"/>
                <w:bottom w:val="none" w:sz="0" w:space="0" w:color="auto"/>
                <w:right w:val="none" w:sz="0" w:space="0" w:color="auto"/>
              </w:divBdr>
            </w:div>
            <w:div w:id="456531451">
              <w:marLeft w:val="0"/>
              <w:marRight w:val="0"/>
              <w:marTop w:val="0"/>
              <w:marBottom w:val="0"/>
              <w:divBdr>
                <w:top w:val="none" w:sz="0" w:space="0" w:color="auto"/>
                <w:left w:val="none" w:sz="0" w:space="0" w:color="auto"/>
                <w:bottom w:val="none" w:sz="0" w:space="0" w:color="auto"/>
                <w:right w:val="none" w:sz="0" w:space="0" w:color="auto"/>
              </w:divBdr>
            </w:div>
            <w:div w:id="835681607">
              <w:marLeft w:val="0"/>
              <w:marRight w:val="0"/>
              <w:marTop w:val="0"/>
              <w:marBottom w:val="0"/>
              <w:divBdr>
                <w:top w:val="none" w:sz="0" w:space="0" w:color="auto"/>
                <w:left w:val="none" w:sz="0" w:space="0" w:color="auto"/>
                <w:bottom w:val="none" w:sz="0" w:space="0" w:color="auto"/>
                <w:right w:val="none" w:sz="0" w:space="0" w:color="auto"/>
              </w:divBdr>
            </w:div>
            <w:div w:id="731076347">
              <w:marLeft w:val="0"/>
              <w:marRight w:val="0"/>
              <w:marTop w:val="0"/>
              <w:marBottom w:val="0"/>
              <w:divBdr>
                <w:top w:val="none" w:sz="0" w:space="0" w:color="auto"/>
                <w:left w:val="none" w:sz="0" w:space="0" w:color="auto"/>
                <w:bottom w:val="none" w:sz="0" w:space="0" w:color="auto"/>
                <w:right w:val="none" w:sz="0" w:space="0" w:color="auto"/>
              </w:divBdr>
            </w:div>
            <w:div w:id="41487899">
              <w:marLeft w:val="0"/>
              <w:marRight w:val="0"/>
              <w:marTop w:val="0"/>
              <w:marBottom w:val="0"/>
              <w:divBdr>
                <w:top w:val="none" w:sz="0" w:space="0" w:color="auto"/>
                <w:left w:val="none" w:sz="0" w:space="0" w:color="auto"/>
                <w:bottom w:val="none" w:sz="0" w:space="0" w:color="auto"/>
                <w:right w:val="none" w:sz="0" w:space="0" w:color="auto"/>
              </w:divBdr>
            </w:div>
            <w:div w:id="477497726">
              <w:marLeft w:val="0"/>
              <w:marRight w:val="0"/>
              <w:marTop w:val="0"/>
              <w:marBottom w:val="0"/>
              <w:divBdr>
                <w:top w:val="none" w:sz="0" w:space="0" w:color="auto"/>
                <w:left w:val="none" w:sz="0" w:space="0" w:color="auto"/>
                <w:bottom w:val="none" w:sz="0" w:space="0" w:color="auto"/>
                <w:right w:val="none" w:sz="0" w:space="0" w:color="auto"/>
              </w:divBdr>
            </w:div>
            <w:div w:id="526603174">
              <w:marLeft w:val="0"/>
              <w:marRight w:val="0"/>
              <w:marTop w:val="0"/>
              <w:marBottom w:val="0"/>
              <w:divBdr>
                <w:top w:val="none" w:sz="0" w:space="0" w:color="auto"/>
                <w:left w:val="none" w:sz="0" w:space="0" w:color="auto"/>
                <w:bottom w:val="none" w:sz="0" w:space="0" w:color="auto"/>
                <w:right w:val="none" w:sz="0" w:space="0" w:color="auto"/>
              </w:divBdr>
            </w:div>
            <w:div w:id="778649707">
              <w:marLeft w:val="0"/>
              <w:marRight w:val="0"/>
              <w:marTop w:val="0"/>
              <w:marBottom w:val="0"/>
              <w:divBdr>
                <w:top w:val="none" w:sz="0" w:space="0" w:color="auto"/>
                <w:left w:val="none" w:sz="0" w:space="0" w:color="auto"/>
                <w:bottom w:val="none" w:sz="0" w:space="0" w:color="auto"/>
                <w:right w:val="none" w:sz="0" w:space="0" w:color="auto"/>
              </w:divBdr>
            </w:div>
            <w:div w:id="1925258017">
              <w:marLeft w:val="0"/>
              <w:marRight w:val="0"/>
              <w:marTop w:val="0"/>
              <w:marBottom w:val="0"/>
              <w:divBdr>
                <w:top w:val="none" w:sz="0" w:space="0" w:color="auto"/>
                <w:left w:val="none" w:sz="0" w:space="0" w:color="auto"/>
                <w:bottom w:val="none" w:sz="0" w:space="0" w:color="auto"/>
                <w:right w:val="none" w:sz="0" w:space="0" w:color="auto"/>
              </w:divBdr>
            </w:div>
            <w:div w:id="1139110277">
              <w:marLeft w:val="0"/>
              <w:marRight w:val="0"/>
              <w:marTop w:val="0"/>
              <w:marBottom w:val="0"/>
              <w:divBdr>
                <w:top w:val="none" w:sz="0" w:space="0" w:color="auto"/>
                <w:left w:val="none" w:sz="0" w:space="0" w:color="auto"/>
                <w:bottom w:val="none" w:sz="0" w:space="0" w:color="auto"/>
                <w:right w:val="none" w:sz="0" w:space="0" w:color="auto"/>
              </w:divBdr>
            </w:div>
            <w:div w:id="315958471">
              <w:marLeft w:val="0"/>
              <w:marRight w:val="0"/>
              <w:marTop w:val="0"/>
              <w:marBottom w:val="0"/>
              <w:divBdr>
                <w:top w:val="none" w:sz="0" w:space="0" w:color="auto"/>
                <w:left w:val="none" w:sz="0" w:space="0" w:color="auto"/>
                <w:bottom w:val="none" w:sz="0" w:space="0" w:color="auto"/>
                <w:right w:val="none" w:sz="0" w:space="0" w:color="auto"/>
              </w:divBdr>
            </w:div>
            <w:div w:id="1831168058">
              <w:marLeft w:val="0"/>
              <w:marRight w:val="0"/>
              <w:marTop w:val="0"/>
              <w:marBottom w:val="0"/>
              <w:divBdr>
                <w:top w:val="none" w:sz="0" w:space="0" w:color="auto"/>
                <w:left w:val="none" w:sz="0" w:space="0" w:color="auto"/>
                <w:bottom w:val="none" w:sz="0" w:space="0" w:color="auto"/>
                <w:right w:val="none" w:sz="0" w:space="0" w:color="auto"/>
              </w:divBdr>
            </w:div>
            <w:div w:id="837573770">
              <w:marLeft w:val="0"/>
              <w:marRight w:val="0"/>
              <w:marTop w:val="0"/>
              <w:marBottom w:val="0"/>
              <w:divBdr>
                <w:top w:val="none" w:sz="0" w:space="0" w:color="auto"/>
                <w:left w:val="none" w:sz="0" w:space="0" w:color="auto"/>
                <w:bottom w:val="none" w:sz="0" w:space="0" w:color="auto"/>
                <w:right w:val="none" w:sz="0" w:space="0" w:color="auto"/>
              </w:divBdr>
            </w:div>
            <w:div w:id="1195267849">
              <w:marLeft w:val="0"/>
              <w:marRight w:val="0"/>
              <w:marTop w:val="0"/>
              <w:marBottom w:val="0"/>
              <w:divBdr>
                <w:top w:val="none" w:sz="0" w:space="0" w:color="auto"/>
                <w:left w:val="none" w:sz="0" w:space="0" w:color="auto"/>
                <w:bottom w:val="none" w:sz="0" w:space="0" w:color="auto"/>
                <w:right w:val="none" w:sz="0" w:space="0" w:color="auto"/>
              </w:divBdr>
            </w:div>
            <w:div w:id="164441860">
              <w:marLeft w:val="0"/>
              <w:marRight w:val="0"/>
              <w:marTop w:val="0"/>
              <w:marBottom w:val="0"/>
              <w:divBdr>
                <w:top w:val="none" w:sz="0" w:space="0" w:color="auto"/>
                <w:left w:val="none" w:sz="0" w:space="0" w:color="auto"/>
                <w:bottom w:val="none" w:sz="0" w:space="0" w:color="auto"/>
                <w:right w:val="none" w:sz="0" w:space="0" w:color="auto"/>
              </w:divBdr>
            </w:div>
            <w:div w:id="834300812">
              <w:marLeft w:val="0"/>
              <w:marRight w:val="0"/>
              <w:marTop w:val="0"/>
              <w:marBottom w:val="0"/>
              <w:divBdr>
                <w:top w:val="none" w:sz="0" w:space="0" w:color="auto"/>
                <w:left w:val="none" w:sz="0" w:space="0" w:color="auto"/>
                <w:bottom w:val="none" w:sz="0" w:space="0" w:color="auto"/>
                <w:right w:val="none" w:sz="0" w:space="0" w:color="auto"/>
              </w:divBdr>
            </w:div>
            <w:div w:id="2071034595">
              <w:marLeft w:val="0"/>
              <w:marRight w:val="0"/>
              <w:marTop w:val="0"/>
              <w:marBottom w:val="0"/>
              <w:divBdr>
                <w:top w:val="none" w:sz="0" w:space="0" w:color="auto"/>
                <w:left w:val="none" w:sz="0" w:space="0" w:color="auto"/>
                <w:bottom w:val="none" w:sz="0" w:space="0" w:color="auto"/>
                <w:right w:val="none" w:sz="0" w:space="0" w:color="auto"/>
              </w:divBdr>
            </w:div>
            <w:div w:id="2090540997">
              <w:marLeft w:val="0"/>
              <w:marRight w:val="0"/>
              <w:marTop w:val="0"/>
              <w:marBottom w:val="0"/>
              <w:divBdr>
                <w:top w:val="none" w:sz="0" w:space="0" w:color="auto"/>
                <w:left w:val="none" w:sz="0" w:space="0" w:color="auto"/>
                <w:bottom w:val="none" w:sz="0" w:space="0" w:color="auto"/>
                <w:right w:val="none" w:sz="0" w:space="0" w:color="auto"/>
              </w:divBdr>
            </w:div>
            <w:div w:id="1802915979">
              <w:marLeft w:val="0"/>
              <w:marRight w:val="0"/>
              <w:marTop w:val="0"/>
              <w:marBottom w:val="0"/>
              <w:divBdr>
                <w:top w:val="none" w:sz="0" w:space="0" w:color="auto"/>
                <w:left w:val="none" w:sz="0" w:space="0" w:color="auto"/>
                <w:bottom w:val="none" w:sz="0" w:space="0" w:color="auto"/>
                <w:right w:val="none" w:sz="0" w:space="0" w:color="auto"/>
              </w:divBdr>
            </w:div>
            <w:div w:id="334454613">
              <w:marLeft w:val="0"/>
              <w:marRight w:val="0"/>
              <w:marTop w:val="0"/>
              <w:marBottom w:val="0"/>
              <w:divBdr>
                <w:top w:val="none" w:sz="0" w:space="0" w:color="auto"/>
                <w:left w:val="none" w:sz="0" w:space="0" w:color="auto"/>
                <w:bottom w:val="none" w:sz="0" w:space="0" w:color="auto"/>
                <w:right w:val="none" w:sz="0" w:space="0" w:color="auto"/>
              </w:divBdr>
            </w:div>
            <w:div w:id="1578856249">
              <w:marLeft w:val="0"/>
              <w:marRight w:val="0"/>
              <w:marTop w:val="0"/>
              <w:marBottom w:val="0"/>
              <w:divBdr>
                <w:top w:val="none" w:sz="0" w:space="0" w:color="auto"/>
                <w:left w:val="none" w:sz="0" w:space="0" w:color="auto"/>
                <w:bottom w:val="none" w:sz="0" w:space="0" w:color="auto"/>
                <w:right w:val="none" w:sz="0" w:space="0" w:color="auto"/>
              </w:divBdr>
            </w:div>
            <w:div w:id="253438276">
              <w:marLeft w:val="0"/>
              <w:marRight w:val="0"/>
              <w:marTop w:val="0"/>
              <w:marBottom w:val="0"/>
              <w:divBdr>
                <w:top w:val="none" w:sz="0" w:space="0" w:color="auto"/>
                <w:left w:val="none" w:sz="0" w:space="0" w:color="auto"/>
                <w:bottom w:val="none" w:sz="0" w:space="0" w:color="auto"/>
                <w:right w:val="none" w:sz="0" w:space="0" w:color="auto"/>
              </w:divBdr>
            </w:div>
            <w:div w:id="818427146">
              <w:marLeft w:val="0"/>
              <w:marRight w:val="0"/>
              <w:marTop w:val="0"/>
              <w:marBottom w:val="0"/>
              <w:divBdr>
                <w:top w:val="none" w:sz="0" w:space="0" w:color="auto"/>
                <w:left w:val="none" w:sz="0" w:space="0" w:color="auto"/>
                <w:bottom w:val="none" w:sz="0" w:space="0" w:color="auto"/>
                <w:right w:val="none" w:sz="0" w:space="0" w:color="auto"/>
              </w:divBdr>
            </w:div>
            <w:div w:id="1497259071">
              <w:marLeft w:val="0"/>
              <w:marRight w:val="0"/>
              <w:marTop w:val="0"/>
              <w:marBottom w:val="0"/>
              <w:divBdr>
                <w:top w:val="none" w:sz="0" w:space="0" w:color="auto"/>
                <w:left w:val="none" w:sz="0" w:space="0" w:color="auto"/>
                <w:bottom w:val="none" w:sz="0" w:space="0" w:color="auto"/>
                <w:right w:val="none" w:sz="0" w:space="0" w:color="auto"/>
              </w:divBdr>
            </w:div>
            <w:div w:id="6297344">
              <w:marLeft w:val="0"/>
              <w:marRight w:val="0"/>
              <w:marTop w:val="0"/>
              <w:marBottom w:val="0"/>
              <w:divBdr>
                <w:top w:val="none" w:sz="0" w:space="0" w:color="auto"/>
                <w:left w:val="none" w:sz="0" w:space="0" w:color="auto"/>
                <w:bottom w:val="none" w:sz="0" w:space="0" w:color="auto"/>
                <w:right w:val="none" w:sz="0" w:space="0" w:color="auto"/>
              </w:divBdr>
            </w:div>
            <w:div w:id="1632906531">
              <w:marLeft w:val="0"/>
              <w:marRight w:val="0"/>
              <w:marTop w:val="0"/>
              <w:marBottom w:val="0"/>
              <w:divBdr>
                <w:top w:val="none" w:sz="0" w:space="0" w:color="auto"/>
                <w:left w:val="none" w:sz="0" w:space="0" w:color="auto"/>
                <w:bottom w:val="none" w:sz="0" w:space="0" w:color="auto"/>
                <w:right w:val="none" w:sz="0" w:space="0" w:color="auto"/>
              </w:divBdr>
            </w:div>
            <w:div w:id="937980935">
              <w:marLeft w:val="0"/>
              <w:marRight w:val="0"/>
              <w:marTop w:val="0"/>
              <w:marBottom w:val="0"/>
              <w:divBdr>
                <w:top w:val="none" w:sz="0" w:space="0" w:color="auto"/>
                <w:left w:val="none" w:sz="0" w:space="0" w:color="auto"/>
                <w:bottom w:val="none" w:sz="0" w:space="0" w:color="auto"/>
                <w:right w:val="none" w:sz="0" w:space="0" w:color="auto"/>
              </w:divBdr>
            </w:div>
            <w:div w:id="1620183553">
              <w:marLeft w:val="0"/>
              <w:marRight w:val="0"/>
              <w:marTop w:val="0"/>
              <w:marBottom w:val="0"/>
              <w:divBdr>
                <w:top w:val="none" w:sz="0" w:space="0" w:color="auto"/>
                <w:left w:val="none" w:sz="0" w:space="0" w:color="auto"/>
                <w:bottom w:val="none" w:sz="0" w:space="0" w:color="auto"/>
                <w:right w:val="none" w:sz="0" w:space="0" w:color="auto"/>
              </w:divBdr>
            </w:div>
            <w:div w:id="1154687751">
              <w:marLeft w:val="0"/>
              <w:marRight w:val="0"/>
              <w:marTop w:val="0"/>
              <w:marBottom w:val="0"/>
              <w:divBdr>
                <w:top w:val="none" w:sz="0" w:space="0" w:color="auto"/>
                <w:left w:val="none" w:sz="0" w:space="0" w:color="auto"/>
                <w:bottom w:val="none" w:sz="0" w:space="0" w:color="auto"/>
                <w:right w:val="none" w:sz="0" w:space="0" w:color="auto"/>
              </w:divBdr>
            </w:div>
            <w:div w:id="1495679073">
              <w:marLeft w:val="0"/>
              <w:marRight w:val="0"/>
              <w:marTop w:val="0"/>
              <w:marBottom w:val="0"/>
              <w:divBdr>
                <w:top w:val="none" w:sz="0" w:space="0" w:color="auto"/>
                <w:left w:val="none" w:sz="0" w:space="0" w:color="auto"/>
                <w:bottom w:val="none" w:sz="0" w:space="0" w:color="auto"/>
                <w:right w:val="none" w:sz="0" w:space="0" w:color="auto"/>
              </w:divBdr>
            </w:div>
            <w:div w:id="1941254512">
              <w:marLeft w:val="0"/>
              <w:marRight w:val="0"/>
              <w:marTop w:val="0"/>
              <w:marBottom w:val="0"/>
              <w:divBdr>
                <w:top w:val="none" w:sz="0" w:space="0" w:color="auto"/>
                <w:left w:val="none" w:sz="0" w:space="0" w:color="auto"/>
                <w:bottom w:val="none" w:sz="0" w:space="0" w:color="auto"/>
                <w:right w:val="none" w:sz="0" w:space="0" w:color="auto"/>
              </w:divBdr>
            </w:div>
            <w:div w:id="715548559">
              <w:marLeft w:val="0"/>
              <w:marRight w:val="0"/>
              <w:marTop w:val="0"/>
              <w:marBottom w:val="0"/>
              <w:divBdr>
                <w:top w:val="none" w:sz="0" w:space="0" w:color="auto"/>
                <w:left w:val="none" w:sz="0" w:space="0" w:color="auto"/>
                <w:bottom w:val="none" w:sz="0" w:space="0" w:color="auto"/>
                <w:right w:val="none" w:sz="0" w:space="0" w:color="auto"/>
              </w:divBdr>
            </w:div>
            <w:div w:id="1972393796">
              <w:marLeft w:val="0"/>
              <w:marRight w:val="0"/>
              <w:marTop w:val="0"/>
              <w:marBottom w:val="0"/>
              <w:divBdr>
                <w:top w:val="none" w:sz="0" w:space="0" w:color="auto"/>
                <w:left w:val="none" w:sz="0" w:space="0" w:color="auto"/>
                <w:bottom w:val="none" w:sz="0" w:space="0" w:color="auto"/>
                <w:right w:val="none" w:sz="0" w:space="0" w:color="auto"/>
              </w:divBdr>
            </w:div>
            <w:div w:id="1540161780">
              <w:marLeft w:val="0"/>
              <w:marRight w:val="0"/>
              <w:marTop w:val="0"/>
              <w:marBottom w:val="0"/>
              <w:divBdr>
                <w:top w:val="none" w:sz="0" w:space="0" w:color="auto"/>
                <w:left w:val="none" w:sz="0" w:space="0" w:color="auto"/>
                <w:bottom w:val="none" w:sz="0" w:space="0" w:color="auto"/>
                <w:right w:val="none" w:sz="0" w:space="0" w:color="auto"/>
              </w:divBdr>
            </w:div>
            <w:div w:id="690957215">
              <w:marLeft w:val="0"/>
              <w:marRight w:val="0"/>
              <w:marTop w:val="0"/>
              <w:marBottom w:val="0"/>
              <w:divBdr>
                <w:top w:val="none" w:sz="0" w:space="0" w:color="auto"/>
                <w:left w:val="none" w:sz="0" w:space="0" w:color="auto"/>
                <w:bottom w:val="none" w:sz="0" w:space="0" w:color="auto"/>
                <w:right w:val="none" w:sz="0" w:space="0" w:color="auto"/>
              </w:divBdr>
            </w:div>
            <w:div w:id="225187401">
              <w:marLeft w:val="0"/>
              <w:marRight w:val="0"/>
              <w:marTop w:val="0"/>
              <w:marBottom w:val="0"/>
              <w:divBdr>
                <w:top w:val="none" w:sz="0" w:space="0" w:color="auto"/>
                <w:left w:val="none" w:sz="0" w:space="0" w:color="auto"/>
                <w:bottom w:val="none" w:sz="0" w:space="0" w:color="auto"/>
                <w:right w:val="none" w:sz="0" w:space="0" w:color="auto"/>
              </w:divBdr>
            </w:div>
            <w:div w:id="270011894">
              <w:marLeft w:val="0"/>
              <w:marRight w:val="0"/>
              <w:marTop w:val="0"/>
              <w:marBottom w:val="0"/>
              <w:divBdr>
                <w:top w:val="none" w:sz="0" w:space="0" w:color="auto"/>
                <w:left w:val="none" w:sz="0" w:space="0" w:color="auto"/>
                <w:bottom w:val="none" w:sz="0" w:space="0" w:color="auto"/>
                <w:right w:val="none" w:sz="0" w:space="0" w:color="auto"/>
              </w:divBdr>
            </w:div>
            <w:div w:id="703336023">
              <w:marLeft w:val="0"/>
              <w:marRight w:val="0"/>
              <w:marTop w:val="0"/>
              <w:marBottom w:val="0"/>
              <w:divBdr>
                <w:top w:val="none" w:sz="0" w:space="0" w:color="auto"/>
                <w:left w:val="none" w:sz="0" w:space="0" w:color="auto"/>
                <w:bottom w:val="none" w:sz="0" w:space="0" w:color="auto"/>
                <w:right w:val="none" w:sz="0" w:space="0" w:color="auto"/>
              </w:divBdr>
            </w:div>
            <w:div w:id="936332639">
              <w:marLeft w:val="0"/>
              <w:marRight w:val="0"/>
              <w:marTop w:val="0"/>
              <w:marBottom w:val="0"/>
              <w:divBdr>
                <w:top w:val="none" w:sz="0" w:space="0" w:color="auto"/>
                <w:left w:val="none" w:sz="0" w:space="0" w:color="auto"/>
                <w:bottom w:val="none" w:sz="0" w:space="0" w:color="auto"/>
                <w:right w:val="none" w:sz="0" w:space="0" w:color="auto"/>
              </w:divBdr>
            </w:div>
            <w:div w:id="1461607339">
              <w:marLeft w:val="0"/>
              <w:marRight w:val="0"/>
              <w:marTop w:val="0"/>
              <w:marBottom w:val="0"/>
              <w:divBdr>
                <w:top w:val="none" w:sz="0" w:space="0" w:color="auto"/>
                <w:left w:val="none" w:sz="0" w:space="0" w:color="auto"/>
                <w:bottom w:val="none" w:sz="0" w:space="0" w:color="auto"/>
                <w:right w:val="none" w:sz="0" w:space="0" w:color="auto"/>
              </w:divBdr>
            </w:div>
            <w:div w:id="1260945166">
              <w:marLeft w:val="0"/>
              <w:marRight w:val="0"/>
              <w:marTop w:val="0"/>
              <w:marBottom w:val="0"/>
              <w:divBdr>
                <w:top w:val="none" w:sz="0" w:space="0" w:color="auto"/>
                <w:left w:val="none" w:sz="0" w:space="0" w:color="auto"/>
                <w:bottom w:val="none" w:sz="0" w:space="0" w:color="auto"/>
                <w:right w:val="none" w:sz="0" w:space="0" w:color="auto"/>
              </w:divBdr>
            </w:div>
            <w:div w:id="1497962430">
              <w:marLeft w:val="0"/>
              <w:marRight w:val="0"/>
              <w:marTop w:val="0"/>
              <w:marBottom w:val="0"/>
              <w:divBdr>
                <w:top w:val="none" w:sz="0" w:space="0" w:color="auto"/>
                <w:left w:val="none" w:sz="0" w:space="0" w:color="auto"/>
                <w:bottom w:val="none" w:sz="0" w:space="0" w:color="auto"/>
                <w:right w:val="none" w:sz="0" w:space="0" w:color="auto"/>
              </w:divBdr>
            </w:div>
            <w:div w:id="1675720252">
              <w:marLeft w:val="0"/>
              <w:marRight w:val="0"/>
              <w:marTop w:val="0"/>
              <w:marBottom w:val="0"/>
              <w:divBdr>
                <w:top w:val="none" w:sz="0" w:space="0" w:color="auto"/>
                <w:left w:val="none" w:sz="0" w:space="0" w:color="auto"/>
                <w:bottom w:val="none" w:sz="0" w:space="0" w:color="auto"/>
                <w:right w:val="none" w:sz="0" w:space="0" w:color="auto"/>
              </w:divBdr>
            </w:div>
            <w:div w:id="1955819591">
              <w:marLeft w:val="0"/>
              <w:marRight w:val="0"/>
              <w:marTop w:val="0"/>
              <w:marBottom w:val="0"/>
              <w:divBdr>
                <w:top w:val="none" w:sz="0" w:space="0" w:color="auto"/>
                <w:left w:val="none" w:sz="0" w:space="0" w:color="auto"/>
                <w:bottom w:val="none" w:sz="0" w:space="0" w:color="auto"/>
                <w:right w:val="none" w:sz="0" w:space="0" w:color="auto"/>
              </w:divBdr>
            </w:div>
            <w:div w:id="121045539">
              <w:marLeft w:val="0"/>
              <w:marRight w:val="0"/>
              <w:marTop w:val="0"/>
              <w:marBottom w:val="0"/>
              <w:divBdr>
                <w:top w:val="none" w:sz="0" w:space="0" w:color="auto"/>
                <w:left w:val="none" w:sz="0" w:space="0" w:color="auto"/>
                <w:bottom w:val="none" w:sz="0" w:space="0" w:color="auto"/>
                <w:right w:val="none" w:sz="0" w:space="0" w:color="auto"/>
              </w:divBdr>
            </w:div>
            <w:div w:id="186137762">
              <w:marLeft w:val="0"/>
              <w:marRight w:val="0"/>
              <w:marTop w:val="0"/>
              <w:marBottom w:val="0"/>
              <w:divBdr>
                <w:top w:val="none" w:sz="0" w:space="0" w:color="auto"/>
                <w:left w:val="none" w:sz="0" w:space="0" w:color="auto"/>
                <w:bottom w:val="none" w:sz="0" w:space="0" w:color="auto"/>
                <w:right w:val="none" w:sz="0" w:space="0" w:color="auto"/>
              </w:divBdr>
            </w:div>
            <w:div w:id="772478477">
              <w:marLeft w:val="0"/>
              <w:marRight w:val="0"/>
              <w:marTop w:val="0"/>
              <w:marBottom w:val="0"/>
              <w:divBdr>
                <w:top w:val="none" w:sz="0" w:space="0" w:color="auto"/>
                <w:left w:val="none" w:sz="0" w:space="0" w:color="auto"/>
                <w:bottom w:val="none" w:sz="0" w:space="0" w:color="auto"/>
                <w:right w:val="none" w:sz="0" w:space="0" w:color="auto"/>
              </w:divBdr>
            </w:div>
            <w:div w:id="1844738215">
              <w:marLeft w:val="0"/>
              <w:marRight w:val="0"/>
              <w:marTop w:val="0"/>
              <w:marBottom w:val="0"/>
              <w:divBdr>
                <w:top w:val="none" w:sz="0" w:space="0" w:color="auto"/>
                <w:left w:val="none" w:sz="0" w:space="0" w:color="auto"/>
                <w:bottom w:val="none" w:sz="0" w:space="0" w:color="auto"/>
                <w:right w:val="none" w:sz="0" w:space="0" w:color="auto"/>
              </w:divBdr>
            </w:div>
            <w:div w:id="1144202871">
              <w:marLeft w:val="0"/>
              <w:marRight w:val="0"/>
              <w:marTop w:val="0"/>
              <w:marBottom w:val="0"/>
              <w:divBdr>
                <w:top w:val="none" w:sz="0" w:space="0" w:color="auto"/>
                <w:left w:val="none" w:sz="0" w:space="0" w:color="auto"/>
                <w:bottom w:val="none" w:sz="0" w:space="0" w:color="auto"/>
                <w:right w:val="none" w:sz="0" w:space="0" w:color="auto"/>
              </w:divBdr>
            </w:div>
            <w:div w:id="1030882310">
              <w:marLeft w:val="0"/>
              <w:marRight w:val="0"/>
              <w:marTop w:val="0"/>
              <w:marBottom w:val="0"/>
              <w:divBdr>
                <w:top w:val="none" w:sz="0" w:space="0" w:color="auto"/>
                <w:left w:val="none" w:sz="0" w:space="0" w:color="auto"/>
                <w:bottom w:val="none" w:sz="0" w:space="0" w:color="auto"/>
                <w:right w:val="none" w:sz="0" w:space="0" w:color="auto"/>
              </w:divBdr>
            </w:div>
            <w:div w:id="1764761336">
              <w:marLeft w:val="0"/>
              <w:marRight w:val="0"/>
              <w:marTop w:val="0"/>
              <w:marBottom w:val="0"/>
              <w:divBdr>
                <w:top w:val="none" w:sz="0" w:space="0" w:color="auto"/>
                <w:left w:val="none" w:sz="0" w:space="0" w:color="auto"/>
                <w:bottom w:val="none" w:sz="0" w:space="0" w:color="auto"/>
                <w:right w:val="none" w:sz="0" w:space="0" w:color="auto"/>
              </w:divBdr>
            </w:div>
            <w:div w:id="843013489">
              <w:marLeft w:val="0"/>
              <w:marRight w:val="0"/>
              <w:marTop w:val="0"/>
              <w:marBottom w:val="0"/>
              <w:divBdr>
                <w:top w:val="none" w:sz="0" w:space="0" w:color="auto"/>
                <w:left w:val="none" w:sz="0" w:space="0" w:color="auto"/>
                <w:bottom w:val="none" w:sz="0" w:space="0" w:color="auto"/>
                <w:right w:val="none" w:sz="0" w:space="0" w:color="auto"/>
              </w:divBdr>
            </w:div>
            <w:div w:id="1459251876">
              <w:marLeft w:val="0"/>
              <w:marRight w:val="0"/>
              <w:marTop w:val="0"/>
              <w:marBottom w:val="0"/>
              <w:divBdr>
                <w:top w:val="none" w:sz="0" w:space="0" w:color="auto"/>
                <w:left w:val="none" w:sz="0" w:space="0" w:color="auto"/>
                <w:bottom w:val="none" w:sz="0" w:space="0" w:color="auto"/>
                <w:right w:val="none" w:sz="0" w:space="0" w:color="auto"/>
              </w:divBdr>
            </w:div>
            <w:div w:id="877668913">
              <w:marLeft w:val="0"/>
              <w:marRight w:val="0"/>
              <w:marTop w:val="0"/>
              <w:marBottom w:val="0"/>
              <w:divBdr>
                <w:top w:val="none" w:sz="0" w:space="0" w:color="auto"/>
                <w:left w:val="none" w:sz="0" w:space="0" w:color="auto"/>
                <w:bottom w:val="none" w:sz="0" w:space="0" w:color="auto"/>
                <w:right w:val="none" w:sz="0" w:space="0" w:color="auto"/>
              </w:divBdr>
            </w:div>
            <w:div w:id="597904037">
              <w:marLeft w:val="0"/>
              <w:marRight w:val="0"/>
              <w:marTop w:val="0"/>
              <w:marBottom w:val="0"/>
              <w:divBdr>
                <w:top w:val="none" w:sz="0" w:space="0" w:color="auto"/>
                <w:left w:val="none" w:sz="0" w:space="0" w:color="auto"/>
                <w:bottom w:val="none" w:sz="0" w:space="0" w:color="auto"/>
                <w:right w:val="none" w:sz="0" w:space="0" w:color="auto"/>
              </w:divBdr>
            </w:div>
            <w:div w:id="882182340">
              <w:marLeft w:val="0"/>
              <w:marRight w:val="0"/>
              <w:marTop w:val="0"/>
              <w:marBottom w:val="0"/>
              <w:divBdr>
                <w:top w:val="none" w:sz="0" w:space="0" w:color="auto"/>
                <w:left w:val="none" w:sz="0" w:space="0" w:color="auto"/>
                <w:bottom w:val="none" w:sz="0" w:space="0" w:color="auto"/>
                <w:right w:val="none" w:sz="0" w:space="0" w:color="auto"/>
              </w:divBdr>
            </w:div>
            <w:div w:id="1176113665">
              <w:marLeft w:val="0"/>
              <w:marRight w:val="0"/>
              <w:marTop w:val="0"/>
              <w:marBottom w:val="0"/>
              <w:divBdr>
                <w:top w:val="none" w:sz="0" w:space="0" w:color="auto"/>
                <w:left w:val="none" w:sz="0" w:space="0" w:color="auto"/>
                <w:bottom w:val="none" w:sz="0" w:space="0" w:color="auto"/>
                <w:right w:val="none" w:sz="0" w:space="0" w:color="auto"/>
              </w:divBdr>
            </w:div>
            <w:div w:id="1354380265">
              <w:marLeft w:val="0"/>
              <w:marRight w:val="0"/>
              <w:marTop w:val="0"/>
              <w:marBottom w:val="0"/>
              <w:divBdr>
                <w:top w:val="none" w:sz="0" w:space="0" w:color="auto"/>
                <w:left w:val="none" w:sz="0" w:space="0" w:color="auto"/>
                <w:bottom w:val="none" w:sz="0" w:space="0" w:color="auto"/>
                <w:right w:val="none" w:sz="0" w:space="0" w:color="auto"/>
              </w:divBdr>
            </w:div>
            <w:div w:id="230118782">
              <w:marLeft w:val="0"/>
              <w:marRight w:val="0"/>
              <w:marTop w:val="0"/>
              <w:marBottom w:val="0"/>
              <w:divBdr>
                <w:top w:val="none" w:sz="0" w:space="0" w:color="auto"/>
                <w:left w:val="none" w:sz="0" w:space="0" w:color="auto"/>
                <w:bottom w:val="none" w:sz="0" w:space="0" w:color="auto"/>
                <w:right w:val="none" w:sz="0" w:space="0" w:color="auto"/>
              </w:divBdr>
            </w:div>
            <w:div w:id="1934435293">
              <w:marLeft w:val="0"/>
              <w:marRight w:val="0"/>
              <w:marTop w:val="0"/>
              <w:marBottom w:val="0"/>
              <w:divBdr>
                <w:top w:val="none" w:sz="0" w:space="0" w:color="auto"/>
                <w:left w:val="none" w:sz="0" w:space="0" w:color="auto"/>
                <w:bottom w:val="none" w:sz="0" w:space="0" w:color="auto"/>
                <w:right w:val="none" w:sz="0" w:space="0" w:color="auto"/>
              </w:divBdr>
            </w:div>
            <w:div w:id="1693724798">
              <w:marLeft w:val="0"/>
              <w:marRight w:val="0"/>
              <w:marTop w:val="0"/>
              <w:marBottom w:val="0"/>
              <w:divBdr>
                <w:top w:val="none" w:sz="0" w:space="0" w:color="auto"/>
                <w:left w:val="none" w:sz="0" w:space="0" w:color="auto"/>
                <w:bottom w:val="none" w:sz="0" w:space="0" w:color="auto"/>
                <w:right w:val="none" w:sz="0" w:space="0" w:color="auto"/>
              </w:divBdr>
            </w:div>
            <w:div w:id="1644003313">
              <w:marLeft w:val="0"/>
              <w:marRight w:val="0"/>
              <w:marTop w:val="0"/>
              <w:marBottom w:val="0"/>
              <w:divBdr>
                <w:top w:val="none" w:sz="0" w:space="0" w:color="auto"/>
                <w:left w:val="none" w:sz="0" w:space="0" w:color="auto"/>
                <w:bottom w:val="none" w:sz="0" w:space="0" w:color="auto"/>
                <w:right w:val="none" w:sz="0" w:space="0" w:color="auto"/>
              </w:divBdr>
            </w:div>
            <w:div w:id="1688210986">
              <w:marLeft w:val="0"/>
              <w:marRight w:val="0"/>
              <w:marTop w:val="0"/>
              <w:marBottom w:val="0"/>
              <w:divBdr>
                <w:top w:val="none" w:sz="0" w:space="0" w:color="auto"/>
                <w:left w:val="none" w:sz="0" w:space="0" w:color="auto"/>
                <w:bottom w:val="none" w:sz="0" w:space="0" w:color="auto"/>
                <w:right w:val="none" w:sz="0" w:space="0" w:color="auto"/>
              </w:divBdr>
            </w:div>
            <w:div w:id="1538395051">
              <w:marLeft w:val="0"/>
              <w:marRight w:val="0"/>
              <w:marTop w:val="0"/>
              <w:marBottom w:val="0"/>
              <w:divBdr>
                <w:top w:val="none" w:sz="0" w:space="0" w:color="auto"/>
                <w:left w:val="none" w:sz="0" w:space="0" w:color="auto"/>
                <w:bottom w:val="none" w:sz="0" w:space="0" w:color="auto"/>
                <w:right w:val="none" w:sz="0" w:space="0" w:color="auto"/>
              </w:divBdr>
            </w:div>
            <w:div w:id="937561105">
              <w:marLeft w:val="0"/>
              <w:marRight w:val="0"/>
              <w:marTop w:val="0"/>
              <w:marBottom w:val="0"/>
              <w:divBdr>
                <w:top w:val="none" w:sz="0" w:space="0" w:color="auto"/>
                <w:left w:val="none" w:sz="0" w:space="0" w:color="auto"/>
                <w:bottom w:val="none" w:sz="0" w:space="0" w:color="auto"/>
                <w:right w:val="none" w:sz="0" w:space="0" w:color="auto"/>
              </w:divBdr>
            </w:div>
            <w:div w:id="1619331882">
              <w:marLeft w:val="0"/>
              <w:marRight w:val="0"/>
              <w:marTop w:val="0"/>
              <w:marBottom w:val="0"/>
              <w:divBdr>
                <w:top w:val="none" w:sz="0" w:space="0" w:color="auto"/>
                <w:left w:val="none" w:sz="0" w:space="0" w:color="auto"/>
                <w:bottom w:val="none" w:sz="0" w:space="0" w:color="auto"/>
                <w:right w:val="none" w:sz="0" w:space="0" w:color="auto"/>
              </w:divBdr>
            </w:div>
            <w:div w:id="1336496733">
              <w:marLeft w:val="0"/>
              <w:marRight w:val="0"/>
              <w:marTop w:val="0"/>
              <w:marBottom w:val="0"/>
              <w:divBdr>
                <w:top w:val="none" w:sz="0" w:space="0" w:color="auto"/>
                <w:left w:val="none" w:sz="0" w:space="0" w:color="auto"/>
                <w:bottom w:val="none" w:sz="0" w:space="0" w:color="auto"/>
                <w:right w:val="none" w:sz="0" w:space="0" w:color="auto"/>
              </w:divBdr>
            </w:div>
            <w:div w:id="1747023322">
              <w:marLeft w:val="0"/>
              <w:marRight w:val="0"/>
              <w:marTop w:val="0"/>
              <w:marBottom w:val="0"/>
              <w:divBdr>
                <w:top w:val="none" w:sz="0" w:space="0" w:color="auto"/>
                <w:left w:val="none" w:sz="0" w:space="0" w:color="auto"/>
                <w:bottom w:val="none" w:sz="0" w:space="0" w:color="auto"/>
                <w:right w:val="none" w:sz="0" w:space="0" w:color="auto"/>
              </w:divBdr>
            </w:div>
            <w:div w:id="1723405698">
              <w:marLeft w:val="0"/>
              <w:marRight w:val="0"/>
              <w:marTop w:val="0"/>
              <w:marBottom w:val="0"/>
              <w:divBdr>
                <w:top w:val="none" w:sz="0" w:space="0" w:color="auto"/>
                <w:left w:val="none" w:sz="0" w:space="0" w:color="auto"/>
                <w:bottom w:val="none" w:sz="0" w:space="0" w:color="auto"/>
                <w:right w:val="none" w:sz="0" w:space="0" w:color="auto"/>
              </w:divBdr>
            </w:div>
            <w:div w:id="517083764">
              <w:marLeft w:val="0"/>
              <w:marRight w:val="0"/>
              <w:marTop w:val="0"/>
              <w:marBottom w:val="0"/>
              <w:divBdr>
                <w:top w:val="none" w:sz="0" w:space="0" w:color="auto"/>
                <w:left w:val="none" w:sz="0" w:space="0" w:color="auto"/>
                <w:bottom w:val="none" w:sz="0" w:space="0" w:color="auto"/>
                <w:right w:val="none" w:sz="0" w:space="0" w:color="auto"/>
              </w:divBdr>
            </w:div>
            <w:div w:id="1987933517">
              <w:marLeft w:val="0"/>
              <w:marRight w:val="0"/>
              <w:marTop w:val="0"/>
              <w:marBottom w:val="0"/>
              <w:divBdr>
                <w:top w:val="none" w:sz="0" w:space="0" w:color="auto"/>
                <w:left w:val="none" w:sz="0" w:space="0" w:color="auto"/>
                <w:bottom w:val="none" w:sz="0" w:space="0" w:color="auto"/>
                <w:right w:val="none" w:sz="0" w:space="0" w:color="auto"/>
              </w:divBdr>
            </w:div>
            <w:div w:id="912467275">
              <w:marLeft w:val="0"/>
              <w:marRight w:val="0"/>
              <w:marTop w:val="0"/>
              <w:marBottom w:val="0"/>
              <w:divBdr>
                <w:top w:val="none" w:sz="0" w:space="0" w:color="auto"/>
                <w:left w:val="none" w:sz="0" w:space="0" w:color="auto"/>
                <w:bottom w:val="none" w:sz="0" w:space="0" w:color="auto"/>
                <w:right w:val="none" w:sz="0" w:space="0" w:color="auto"/>
              </w:divBdr>
            </w:div>
            <w:div w:id="854225802">
              <w:marLeft w:val="0"/>
              <w:marRight w:val="0"/>
              <w:marTop w:val="0"/>
              <w:marBottom w:val="0"/>
              <w:divBdr>
                <w:top w:val="none" w:sz="0" w:space="0" w:color="auto"/>
                <w:left w:val="none" w:sz="0" w:space="0" w:color="auto"/>
                <w:bottom w:val="none" w:sz="0" w:space="0" w:color="auto"/>
                <w:right w:val="none" w:sz="0" w:space="0" w:color="auto"/>
              </w:divBdr>
            </w:div>
            <w:div w:id="506142380">
              <w:marLeft w:val="0"/>
              <w:marRight w:val="0"/>
              <w:marTop w:val="0"/>
              <w:marBottom w:val="0"/>
              <w:divBdr>
                <w:top w:val="none" w:sz="0" w:space="0" w:color="auto"/>
                <w:left w:val="none" w:sz="0" w:space="0" w:color="auto"/>
                <w:bottom w:val="none" w:sz="0" w:space="0" w:color="auto"/>
                <w:right w:val="none" w:sz="0" w:space="0" w:color="auto"/>
              </w:divBdr>
            </w:div>
            <w:div w:id="843012797">
              <w:marLeft w:val="0"/>
              <w:marRight w:val="0"/>
              <w:marTop w:val="0"/>
              <w:marBottom w:val="0"/>
              <w:divBdr>
                <w:top w:val="none" w:sz="0" w:space="0" w:color="auto"/>
                <w:left w:val="none" w:sz="0" w:space="0" w:color="auto"/>
                <w:bottom w:val="none" w:sz="0" w:space="0" w:color="auto"/>
                <w:right w:val="none" w:sz="0" w:space="0" w:color="auto"/>
              </w:divBdr>
            </w:div>
            <w:div w:id="697127895">
              <w:marLeft w:val="0"/>
              <w:marRight w:val="0"/>
              <w:marTop w:val="0"/>
              <w:marBottom w:val="0"/>
              <w:divBdr>
                <w:top w:val="none" w:sz="0" w:space="0" w:color="auto"/>
                <w:left w:val="none" w:sz="0" w:space="0" w:color="auto"/>
                <w:bottom w:val="none" w:sz="0" w:space="0" w:color="auto"/>
                <w:right w:val="none" w:sz="0" w:space="0" w:color="auto"/>
              </w:divBdr>
            </w:div>
            <w:div w:id="2004772543">
              <w:marLeft w:val="0"/>
              <w:marRight w:val="0"/>
              <w:marTop w:val="0"/>
              <w:marBottom w:val="0"/>
              <w:divBdr>
                <w:top w:val="none" w:sz="0" w:space="0" w:color="auto"/>
                <w:left w:val="none" w:sz="0" w:space="0" w:color="auto"/>
                <w:bottom w:val="none" w:sz="0" w:space="0" w:color="auto"/>
                <w:right w:val="none" w:sz="0" w:space="0" w:color="auto"/>
              </w:divBdr>
            </w:div>
            <w:div w:id="1701541780">
              <w:marLeft w:val="0"/>
              <w:marRight w:val="0"/>
              <w:marTop w:val="0"/>
              <w:marBottom w:val="0"/>
              <w:divBdr>
                <w:top w:val="none" w:sz="0" w:space="0" w:color="auto"/>
                <w:left w:val="none" w:sz="0" w:space="0" w:color="auto"/>
                <w:bottom w:val="none" w:sz="0" w:space="0" w:color="auto"/>
                <w:right w:val="none" w:sz="0" w:space="0" w:color="auto"/>
              </w:divBdr>
            </w:div>
            <w:div w:id="478693603">
              <w:marLeft w:val="0"/>
              <w:marRight w:val="0"/>
              <w:marTop w:val="0"/>
              <w:marBottom w:val="0"/>
              <w:divBdr>
                <w:top w:val="none" w:sz="0" w:space="0" w:color="auto"/>
                <w:left w:val="none" w:sz="0" w:space="0" w:color="auto"/>
                <w:bottom w:val="none" w:sz="0" w:space="0" w:color="auto"/>
                <w:right w:val="none" w:sz="0" w:space="0" w:color="auto"/>
              </w:divBdr>
            </w:div>
            <w:div w:id="1381126626">
              <w:marLeft w:val="0"/>
              <w:marRight w:val="0"/>
              <w:marTop w:val="0"/>
              <w:marBottom w:val="0"/>
              <w:divBdr>
                <w:top w:val="none" w:sz="0" w:space="0" w:color="auto"/>
                <w:left w:val="none" w:sz="0" w:space="0" w:color="auto"/>
                <w:bottom w:val="none" w:sz="0" w:space="0" w:color="auto"/>
                <w:right w:val="none" w:sz="0" w:space="0" w:color="auto"/>
              </w:divBdr>
            </w:div>
            <w:div w:id="2072998240">
              <w:marLeft w:val="0"/>
              <w:marRight w:val="0"/>
              <w:marTop w:val="0"/>
              <w:marBottom w:val="0"/>
              <w:divBdr>
                <w:top w:val="none" w:sz="0" w:space="0" w:color="auto"/>
                <w:left w:val="none" w:sz="0" w:space="0" w:color="auto"/>
                <w:bottom w:val="none" w:sz="0" w:space="0" w:color="auto"/>
                <w:right w:val="none" w:sz="0" w:space="0" w:color="auto"/>
              </w:divBdr>
            </w:div>
            <w:div w:id="152530993">
              <w:marLeft w:val="0"/>
              <w:marRight w:val="0"/>
              <w:marTop w:val="0"/>
              <w:marBottom w:val="0"/>
              <w:divBdr>
                <w:top w:val="none" w:sz="0" w:space="0" w:color="auto"/>
                <w:left w:val="none" w:sz="0" w:space="0" w:color="auto"/>
                <w:bottom w:val="none" w:sz="0" w:space="0" w:color="auto"/>
                <w:right w:val="none" w:sz="0" w:space="0" w:color="auto"/>
              </w:divBdr>
            </w:div>
            <w:div w:id="900596843">
              <w:marLeft w:val="0"/>
              <w:marRight w:val="0"/>
              <w:marTop w:val="0"/>
              <w:marBottom w:val="0"/>
              <w:divBdr>
                <w:top w:val="none" w:sz="0" w:space="0" w:color="auto"/>
                <w:left w:val="none" w:sz="0" w:space="0" w:color="auto"/>
                <w:bottom w:val="none" w:sz="0" w:space="0" w:color="auto"/>
                <w:right w:val="none" w:sz="0" w:space="0" w:color="auto"/>
              </w:divBdr>
            </w:div>
            <w:div w:id="72628452">
              <w:marLeft w:val="0"/>
              <w:marRight w:val="0"/>
              <w:marTop w:val="0"/>
              <w:marBottom w:val="0"/>
              <w:divBdr>
                <w:top w:val="none" w:sz="0" w:space="0" w:color="auto"/>
                <w:left w:val="none" w:sz="0" w:space="0" w:color="auto"/>
                <w:bottom w:val="none" w:sz="0" w:space="0" w:color="auto"/>
                <w:right w:val="none" w:sz="0" w:space="0" w:color="auto"/>
              </w:divBdr>
            </w:div>
            <w:div w:id="476148741">
              <w:marLeft w:val="0"/>
              <w:marRight w:val="0"/>
              <w:marTop w:val="0"/>
              <w:marBottom w:val="0"/>
              <w:divBdr>
                <w:top w:val="none" w:sz="0" w:space="0" w:color="auto"/>
                <w:left w:val="none" w:sz="0" w:space="0" w:color="auto"/>
                <w:bottom w:val="none" w:sz="0" w:space="0" w:color="auto"/>
                <w:right w:val="none" w:sz="0" w:space="0" w:color="auto"/>
              </w:divBdr>
            </w:div>
            <w:div w:id="85612384">
              <w:marLeft w:val="0"/>
              <w:marRight w:val="0"/>
              <w:marTop w:val="0"/>
              <w:marBottom w:val="0"/>
              <w:divBdr>
                <w:top w:val="none" w:sz="0" w:space="0" w:color="auto"/>
                <w:left w:val="none" w:sz="0" w:space="0" w:color="auto"/>
                <w:bottom w:val="none" w:sz="0" w:space="0" w:color="auto"/>
                <w:right w:val="none" w:sz="0" w:space="0" w:color="auto"/>
              </w:divBdr>
            </w:div>
            <w:div w:id="280110472">
              <w:marLeft w:val="0"/>
              <w:marRight w:val="0"/>
              <w:marTop w:val="0"/>
              <w:marBottom w:val="0"/>
              <w:divBdr>
                <w:top w:val="none" w:sz="0" w:space="0" w:color="auto"/>
                <w:left w:val="none" w:sz="0" w:space="0" w:color="auto"/>
                <w:bottom w:val="none" w:sz="0" w:space="0" w:color="auto"/>
                <w:right w:val="none" w:sz="0" w:space="0" w:color="auto"/>
              </w:divBdr>
            </w:div>
            <w:div w:id="2021925408">
              <w:marLeft w:val="0"/>
              <w:marRight w:val="0"/>
              <w:marTop w:val="0"/>
              <w:marBottom w:val="0"/>
              <w:divBdr>
                <w:top w:val="none" w:sz="0" w:space="0" w:color="auto"/>
                <w:left w:val="none" w:sz="0" w:space="0" w:color="auto"/>
                <w:bottom w:val="none" w:sz="0" w:space="0" w:color="auto"/>
                <w:right w:val="none" w:sz="0" w:space="0" w:color="auto"/>
              </w:divBdr>
            </w:div>
            <w:div w:id="1043217097">
              <w:marLeft w:val="0"/>
              <w:marRight w:val="0"/>
              <w:marTop w:val="0"/>
              <w:marBottom w:val="0"/>
              <w:divBdr>
                <w:top w:val="none" w:sz="0" w:space="0" w:color="auto"/>
                <w:left w:val="none" w:sz="0" w:space="0" w:color="auto"/>
                <w:bottom w:val="none" w:sz="0" w:space="0" w:color="auto"/>
                <w:right w:val="none" w:sz="0" w:space="0" w:color="auto"/>
              </w:divBdr>
            </w:div>
            <w:div w:id="1365211115">
              <w:marLeft w:val="0"/>
              <w:marRight w:val="0"/>
              <w:marTop w:val="0"/>
              <w:marBottom w:val="0"/>
              <w:divBdr>
                <w:top w:val="none" w:sz="0" w:space="0" w:color="auto"/>
                <w:left w:val="none" w:sz="0" w:space="0" w:color="auto"/>
                <w:bottom w:val="none" w:sz="0" w:space="0" w:color="auto"/>
                <w:right w:val="none" w:sz="0" w:space="0" w:color="auto"/>
              </w:divBdr>
            </w:div>
            <w:div w:id="789322153">
              <w:marLeft w:val="0"/>
              <w:marRight w:val="0"/>
              <w:marTop w:val="0"/>
              <w:marBottom w:val="0"/>
              <w:divBdr>
                <w:top w:val="none" w:sz="0" w:space="0" w:color="auto"/>
                <w:left w:val="none" w:sz="0" w:space="0" w:color="auto"/>
                <w:bottom w:val="none" w:sz="0" w:space="0" w:color="auto"/>
                <w:right w:val="none" w:sz="0" w:space="0" w:color="auto"/>
              </w:divBdr>
            </w:div>
            <w:div w:id="1780182408">
              <w:marLeft w:val="0"/>
              <w:marRight w:val="0"/>
              <w:marTop w:val="0"/>
              <w:marBottom w:val="0"/>
              <w:divBdr>
                <w:top w:val="none" w:sz="0" w:space="0" w:color="auto"/>
                <w:left w:val="none" w:sz="0" w:space="0" w:color="auto"/>
                <w:bottom w:val="none" w:sz="0" w:space="0" w:color="auto"/>
                <w:right w:val="none" w:sz="0" w:space="0" w:color="auto"/>
              </w:divBdr>
            </w:div>
            <w:div w:id="797457711">
              <w:marLeft w:val="0"/>
              <w:marRight w:val="0"/>
              <w:marTop w:val="0"/>
              <w:marBottom w:val="0"/>
              <w:divBdr>
                <w:top w:val="none" w:sz="0" w:space="0" w:color="auto"/>
                <w:left w:val="none" w:sz="0" w:space="0" w:color="auto"/>
                <w:bottom w:val="none" w:sz="0" w:space="0" w:color="auto"/>
                <w:right w:val="none" w:sz="0" w:space="0" w:color="auto"/>
              </w:divBdr>
            </w:div>
            <w:div w:id="1270771808">
              <w:marLeft w:val="0"/>
              <w:marRight w:val="0"/>
              <w:marTop w:val="0"/>
              <w:marBottom w:val="0"/>
              <w:divBdr>
                <w:top w:val="none" w:sz="0" w:space="0" w:color="auto"/>
                <w:left w:val="none" w:sz="0" w:space="0" w:color="auto"/>
                <w:bottom w:val="none" w:sz="0" w:space="0" w:color="auto"/>
                <w:right w:val="none" w:sz="0" w:space="0" w:color="auto"/>
              </w:divBdr>
            </w:div>
            <w:div w:id="855118694">
              <w:marLeft w:val="0"/>
              <w:marRight w:val="0"/>
              <w:marTop w:val="0"/>
              <w:marBottom w:val="0"/>
              <w:divBdr>
                <w:top w:val="none" w:sz="0" w:space="0" w:color="auto"/>
                <w:left w:val="none" w:sz="0" w:space="0" w:color="auto"/>
                <w:bottom w:val="none" w:sz="0" w:space="0" w:color="auto"/>
                <w:right w:val="none" w:sz="0" w:space="0" w:color="auto"/>
              </w:divBdr>
            </w:div>
            <w:div w:id="1000549096">
              <w:marLeft w:val="0"/>
              <w:marRight w:val="0"/>
              <w:marTop w:val="0"/>
              <w:marBottom w:val="0"/>
              <w:divBdr>
                <w:top w:val="none" w:sz="0" w:space="0" w:color="auto"/>
                <w:left w:val="none" w:sz="0" w:space="0" w:color="auto"/>
                <w:bottom w:val="none" w:sz="0" w:space="0" w:color="auto"/>
                <w:right w:val="none" w:sz="0" w:space="0" w:color="auto"/>
              </w:divBdr>
            </w:div>
            <w:div w:id="466513269">
              <w:marLeft w:val="0"/>
              <w:marRight w:val="0"/>
              <w:marTop w:val="0"/>
              <w:marBottom w:val="0"/>
              <w:divBdr>
                <w:top w:val="none" w:sz="0" w:space="0" w:color="auto"/>
                <w:left w:val="none" w:sz="0" w:space="0" w:color="auto"/>
                <w:bottom w:val="none" w:sz="0" w:space="0" w:color="auto"/>
                <w:right w:val="none" w:sz="0" w:space="0" w:color="auto"/>
              </w:divBdr>
            </w:div>
            <w:div w:id="1418673539">
              <w:marLeft w:val="0"/>
              <w:marRight w:val="0"/>
              <w:marTop w:val="0"/>
              <w:marBottom w:val="0"/>
              <w:divBdr>
                <w:top w:val="none" w:sz="0" w:space="0" w:color="auto"/>
                <w:left w:val="none" w:sz="0" w:space="0" w:color="auto"/>
                <w:bottom w:val="none" w:sz="0" w:space="0" w:color="auto"/>
                <w:right w:val="none" w:sz="0" w:space="0" w:color="auto"/>
              </w:divBdr>
            </w:div>
            <w:div w:id="1907714979">
              <w:marLeft w:val="0"/>
              <w:marRight w:val="0"/>
              <w:marTop w:val="0"/>
              <w:marBottom w:val="0"/>
              <w:divBdr>
                <w:top w:val="none" w:sz="0" w:space="0" w:color="auto"/>
                <w:left w:val="none" w:sz="0" w:space="0" w:color="auto"/>
                <w:bottom w:val="none" w:sz="0" w:space="0" w:color="auto"/>
                <w:right w:val="none" w:sz="0" w:space="0" w:color="auto"/>
              </w:divBdr>
            </w:div>
            <w:div w:id="1749309282">
              <w:marLeft w:val="0"/>
              <w:marRight w:val="0"/>
              <w:marTop w:val="0"/>
              <w:marBottom w:val="0"/>
              <w:divBdr>
                <w:top w:val="none" w:sz="0" w:space="0" w:color="auto"/>
                <w:left w:val="none" w:sz="0" w:space="0" w:color="auto"/>
                <w:bottom w:val="none" w:sz="0" w:space="0" w:color="auto"/>
                <w:right w:val="none" w:sz="0" w:space="0" w:color="auto"/>
              </w:divBdr>
            </w:div>
            <w:div w:id="1683315831">
              <w:marLeft w:val="0"/>
              <w:marRight w:val="0"/>
              <w:marTop w:val="0"/>
              <w:marBottom w:val="0"/>
              <w:divBdr>
                <w:top w:val="none" w:sz="0" w:space="0" w:color="auto"/>
                <w:left w:val="none" w:sz="0" w:space="0" w:color="auto"/>
                <w:bottom w:val="none" w:sz="0" w:space="0" w:color="auto"/>
                <w:right w:val="none" w:sz="0" w:space="0" w:color="auto"/>
              </w:divBdr>
            </w:div>
            <w:div w:id="1670866041">
              <w:marLeft w:val="0"/>
              <w:marRight w:val="0"/>
              <w:marTop w:val="0"/>
              <w:marBottom w:val="0"/>
              <w:divBdr>
                <w:top w:val="none" w:sz="0" w:space="0" w:color="auto"/>
                <w:left w:val="none" w:sz="0" w:space="0" w:color="auto"/>
                <w:bottom w:val="none" w:sz="0" w:space="0" w:color="auto"/>
                <w:right w:val="none" w:sz="0" w:space="0" w:color="auto"/>
              </w:divBdr>
            </w:div>
            <w:div w:id="395126567">
              <w:marLeft w:val="0"/>
              <w:marRight w:val="0"/>
              <w:marTop w:val="0"/>
              <w:marBottom w:val="0"/>
              <w:divBdr>
                <w:top w:val="none" w:sz="0" w:space="0" w:color="auto"/>
                <w:left w:val="none" w:sz="0" w:space="0" w:color="auto"/>
                <w:bottom w:val="none" w:sz="0" w:space="0" w:color="auto"/>
                <w:right w:val="none" w:sz="0" w:space="0" w:color="auto"/>
              </w:divBdr>
            </w:div>
            <w:div w:id="334040944">
              <w:marLeft w:val="0"/>
              <w:marRight w:val="0"/>
              <w:marTop w:val="0"/>
              <w:marBottom w:val="0"/>
              <w:divBdr>
                <w:top w:val="none" w:sz="0" w:space="0" w:color="auto"/>
                <w:left w:val="none" w:sz="0" w:space="0" w:color="auto"/>
                <w:bottom w:val="none" w:sz="0" w:space="0" w:color="auto"/>
                <w:right w:val="none" w:sz="0" w:space="0" w:color="auto"/>
              </w:divBdr>
            </w:div>
            <w:div w:id="1182625365">
              <w:marLeft w:val="0"/>
              <w:marRight w:val="0"/>
              <w:marTop w:val="0"/>
              <w:marBottom w:val="0"/>
              <w:divBdr>
                <w:top w:val="none" w:sz="0" w:space="0" w:color="auto"/>
                <w:left w:val="none" w:sz="0" w:space="0" w:color="auto"/>
                <w:bottom w:val="none" w:sz="0" w:space="0" w:color="auto"/>
                <w:right w:val="none" w:sz="0" w:space="0" w:color="auto"/>
              </w:divBdr>
            </w:div>
            <w:div w:id="1464805737">
              <w:marLeft w:val="0"/>
              <w:marRight w:val="0"/>
              <w:marTop w:val="0"/>
              <w:marBottom w:val="0"/>
              <w:divBdr>
                <w:top w:val="none" w:sz="0" w:space="0" w:color="auto"/>
                <w:left w:val="none" w:sz="0" w:space="0" w:color="auto"/>
                <w:bottom w:val="none" w:sz="0" w:space="0" w:color="auto"/>
                <w:right w:val="none" w:sz="0" w:space="0" w:color="auto"/>
              </w:divBdr>
            </w:div>
            <w:div w:id="581455255">
              <w:marLeft w:val="0"/>
              <w:marRight w:val="0"/>
              <w:marTop w:val="0"/>
              <w:marBottom w:val="0"/>
              <w:divBdr>
                <w:top w:val="none" w:sz="0" w:space="0" w:color="auto"/>
                <w:left w:val="none" w:sz="0" w:space="0" w:color="auto"/>
                <w:bottom w:val="none" w:sz="0" w:space="0" w:color="auto"/>
                <w:right w:val="none" w:sz="0" w:space="0" w:color="auto"/>
              </w:divBdr>
            </w:div>
            <w:div w:id="783228435">
              <w:marLeft w:val="0"/>
              <w:marRight w:val="0"/>
              <w:marTop w:val="0"/>
              <w:marBottom w:val="0"/>
              <w:divBdr>
                <w:top w:val="none" w:sz="0" w:space="0" w:color="auto"/>
                <w:left w:val="none" w:sz="0" w:space="0" w:color="auto"/>
                <w:bottom w:val="none" w:sz="0" w:space="0" w:color="auto"/>
                <w:right w:val="none" w:sz="0" w:space="0" w:color="auto"/>
              </w:divBdr>
            </w:div>
            <w:div w:id="1266767490">
              <w:marLeft w:val="0"/>
              <w:marRight w:val="0"/>
              <w:marTop w:val="0"/>
              <w:marBottom w:val="0"/>
              <w:divBdr>
                <w:top w:val="none" w:sz="0" w:space="0" w:color="auto"/>
                <w:left w:val="none" w:sz="0" w:space="0" w:color="auto"/>
                <w:bottom w:val="none" w:sz="0" w:space="0" w:color="auto"/>
                <w:right w:val="none" w:sz="0" w:space="0" w:color="auto"/>
              </w:divBdr>
            </w:div>
            <w:div w:id="1679772767">
              <w:marLeft w:val="0"/>
              <w:marRight w:val="0"/>
              <w:marTop w:val="0"/>
              <w:marBottom w:val="0"/>
              <w:divBdr>
                <w:top w:val="none" w:sz="0" w:space="0" w:color="auto"/>
                <w:left w:val="none" w:sz="0" w:space="0" w:color="auto"/>
                <w:bottom w:val="none" w:sz="0" w:space="0" w:color="auto"/>
                <w:right w:val="none" w:sz="0" w:space="0" w:color="auto"/>
              </w:divBdr>
            </w:div>
            <w:div w:id="2899465">
              <w:marLeft w:val="0"/>
              <w:marRight w:val="0"/>
              <w:marTop w:val="0"/>
              <w:marBottom w:val="0"/>
              <w:divBdr>
                <w:top w:val="none" w:sz="0" w:space="0" w:color="auto"/>
                <w:left w:val="none" w:sz="0" w:space="0" w:color="auto"/>
                <w:bottom w:val="none" w:sz="0" w:space="0" w:color="auto"/>
                <w:right w:val="none" w:sz="0" w:space="0" w:color="auto"/>
              </w:divBdr>
            </w:div>
            <w:div w:id="52777751">
              <w:marLeft w:val="0"/>
              <w:marRight w:val="0"/>
              <w:marTop w:val="0"/>
              <w:marBottom w:val="0"/>
              <w:divBdr>
                <w:top w:val="none" w:sz="0" w:space="0" w:color="auto"/>
                <w:left w:val="none" w:sz="0" w:space="0" w:color="auto"/>
                <w:bottom w:val="none" w:sz="0" w:space="0" w:color="auto"/>
                <w:right w:val="none" w:sz="0" w:space="0" w:color="auto"/>
              </w:divBdr>
            </w:div>
            <w:div w:id="910698901">
              <w:marLeft w:val="0"/>
              <w:marRight w:val="0"/>
              <w:marTop w:val="0"/>
              <w:marBottom w:val="0"/>
              <w:divBdr>
                <w:top w:val="none" w:sz="0" w:space="0" w:color="auto"/>
                <w:left w:val="none" w:sz="0" w:space="0" w:color="auto"/>
                <w:bottom w:val="none" w:sz="0" w:space="0" w:color="auto"/>
                <w:right w:val="none" w:sz="0" w:space="0" w:color="auto"/>
              </w:divBdr>
            </w:div>
            <w:div w:id="1169980713">
              <w:marLeft w:val="0"/>
              <w:marRight w:val="0"/>
              <w:marTop w:val="0"/>
              <w:marBottom w:val="0"/>
              <w:divBdr>
                <w:top w:val="none" w:sz="0" w:space="0" w:color="auto"/>
                <w:left w:val="none" w:sz="0" w:space="0" w:color="auto"/>
                <w:bottom w:val="none" w:sz="0" w:space="0" w:color="auto"/>
                <w:right w:val="none" w:sz="0" w:space="0" w:color="auto"/>
              </w:divBdr>
            </w:div>
            <w:div w:id="1129206574">
              <w:marLeft w:val="0"/>
              <w:marRight w:val="0"/>
              <w:marTop w:val="0"/>
              <w:marBottom w:val="0"/>
              <w:divBdr>
                <w:top w:val="none" w:sz="0" w:space="0" w:color="auto"/>
                <w:left w:val="none" w:sz="0" w:space="0" w:color="auto"/>
                <w:bottom w:val="none" w:sz="0" w:space="0" w:color="auto"/>
                <w:right w:val="none" w:sz="0" w:space="0" w:color="auto"/>
              </w:divBdr>
            </w:div>
            <w:div w:id="747775460">
              <w:marLeft w:val="0"/>
              <w:marRight w:val="0"/>
              <w:marTop w:val="0"/>
              <w:marBottom w:val="0"/>
              <w:divBdr>
                <w:top w:val="none" w:sz="0" w:space="0" w:color="auto"/>
                <w:left w:val="none" w:sz="0" w:space="0" w:color="auto"/>
                <w:bottom w:val="none" w:sz="0" w:space="0" w:color="auto"/>
                <w:right w:val="none" w:sz="0" w:space="0" w:color="auto"/>
              </w:divBdr>
            </w:div>
            <w:div w:id="838497157">
              <w:marLeft w:val="0"/>
              <w:marRight w:val="0"/>
              <w:marTop w:val="0"/>
              <w:marBottom w:val="0"/>
              <w:divBdr>
                <w:top w:val="none" w:sz="0" w:space="0" w:color="auto"/>
                <w:left w:val="none" w:sz="0" w:space="0" w:color="auto"/>
                <w:bottom w:val="none" w:sz="0" w:space="0" w:color="auto"/>
                <w:right w:val="none" w:sz="0" w:space="0" w:color="auto"/>
              </w:divBdr>
            </w:div>
            <w:div w:id="1626960394">
              <w:marLeft w:val="0"/>
              <w:marRight w:val="0"/>
              <w:marTop w:val="0"/>
              <w:marBottom w:val="0"/>
              <w:divBdr>
                <w:top w:val="none" w:sz="0" w:space="0" w:color="auto"/>
                <w:left w:val="none" w:sz="0" w:space="0" w:color="auto"/>
                <w:bottom w:val="none" w:sz="0" w:space="0" w:color="auto"/>
                <w:right w:val="none" w:sz="0" w:space="0" w:color="auto"/>
              </w:divBdr>
            </w:div>
            <w:div w:id="109595034">
              <w:marLeft w:val="0"/>
              <w:marRight w:val="0"/>
              <w:marTop w:val="0"/>
              <w:marBottom w:val="0"/>
              <w:divBdr>
                <w:top w:val="none" w:sz="0" w:space="0" w:color="auto"/>
                <w:left w:val="none" w:sz="0" w:space="0" w:color="auto"/>
                <w:bottom w:val="none" w:sz="0" w:space="0" w:color="auto"/>
                <w:right w:val="none" w:sz="0" w:space="0" w:color="auto"/>
              </w:divBdr>
            </w:div>
            <w:div w:id="834616154">
              <w:marLeft w:val="0"/>
              <w:marRight w:val="0"/>
              <w:marTop w:val="0"/>
              <w:marBottom w:val="0"/>
              <w:divBdr>
                <w:top w:val="none" w:sz="0" w:space="0" w:color="auto"/>
                <w:left w:val="none" w:sz="0" w:space="0" w:color="auto"/>
                <w:bottom w:val="none" w:sz="0" w:space="0" w:color="auto"/>
                <w:right w:val="none" w:sz="0" w:space="0" w:color="auto"/>
              </w:divBdr>
            </w:div>
            <w:div w:id="161747094">
              <w:marLeft w:val="0"/>
              <w:marRight w:val="0"/>
              <w:marTop w:val="0"/>
              <w:marBottom w:val="0"/>
              <w:divBdr>
                <w:top w:val="none" w:sz="0" w:space="0" w:color="auto"/>
                <w:left w:val="none" w:sz="0" w:space="0" w:color="auto"/>
                <w:bottom w:val="none" w:sz="0" w:space="0" w:color="auto"/>
                <w:right w:val="none" w:sz="0" w:space="0" w:color="auto"/>
              </w:divBdr>
            </w:div>
            <w:div w:id="1525048025">
              <w:marLeft w:val="0"/>
              <w:marRight w:val="0"/>
              <w:marTop w:val="0"/>
              <w:marBottom w:val="0"/>
              <w:divBdr>
                <w:top w:val="none" w:sz="0" w:space="0" w:color="auto"/>
                <w:left w:val="none" w:sz="0" w:space="0" w:color="auto"/>
                <w:bottom w:val="none" w:sz="0" w:space="0" w:color="auto"/>
                <w:right w:val="none" w:sz="0" w:space="0" w:color="auto"/>
              </w:divBdr>
            </w:div>
            <w:div w:id="1430852081">
              <w:marLeft w:val="0"/>
              <w:marRight w:val="0"/>
              <w:marTop w:val="0"/>
              <w:marBottom w:val="0"/>
              <w:divBdr>
                <w:top w:val="none" w:sz="0" w:space="0" w:color="auto"/>
                <w:left w:val="none" w:sz="0" w:space="0" w:color="auto"/>
                <w:bottom w:val="none" w:sz="0" w:space="0" w:color="auto"/>
                <w:right w:val="none" w:sz="0" w:space="0" w:color="auto"/>
              </w:divBdr>
            </w:div>
            <w:div w:id="1671981414">
              <w:marLeft w:val="0"/>
              <w:marRight w:val="0"/>
              <w:marTop w:val="0"/>
              <w:marBottom w:val="0"/>
              <w:divBdr>
                <w:top w:val="none" w:sz="0" w:space="0" w:color="auto"/>
                <w:left w:val="none" w:sz="0" w:space="0" w:color="auto"/>
                <w:bottom w:val="none" w:sz="0" w:space="0" w:color="auto"/>
                <w:right w:val="none" w:sz="0" w:space="0" w:color="auto"/>
              </w:divBdr>
            </w:div>
            <w:div w:id="75328403">
              <w:marLeft w:val="0"/>
              <w:marRight w:val="0"/>
              <w:marTop w:val="0"/>
              <w:marBottom w:val="0"/>
              <w:divBdr>
                <w:top w:val="none" w:sz="0" w:space="0" w:color="auto"/>
                <w:left w:val="none" w:sz="0" w:space="0" w:color="auto"/>
                <w:bottom w:val="none" w:sz="0" w:space="0" w:color="auto"/>
                <w:right w:val="none" w:sz="0" w:space="0" w:color="auto"/>
              </w:divBdr>
            </w:div>
            <w:div w:id="426271610">
              <w:marLeft w:val="0"/>
              <w:marRight w:val="0"/>
              <w:marTop w:val="0"/>
              <w:marBottom w:val="0"/>
              <w:divBdr>
                <w:top w:val="none" w:sz="0" w:space="0" w:color="auto"/>
                <w:left w:val="none" w:sz="0" w:space="0" w:color="auto"/>
                <w:bottom w:val="none" w:sz="0" w:space="0" w:color="auto"/>
                <w:right w:val="none" w:sz="0" w:space="0" w:color="auto"/>
              </w:divBdr>
            </w:div>
            <w:div w:id="1903171320">
              <w:marLeft w:val="0"/>
              <w:marRight w:val="0"/>
              <w:marTop w:val="0"/>
              <w:marBottom w:val="0"/>
              <w:divBdr>
                <w:top w:val="none" w:sz="0" w:space="0" w:color="auto"/>
                <w:left w:val="none" w:sz="0" w:space="0" w:color="auto"/>
                <w:bottom w:val="none" w:sz="0" w:space="0" w:color="auto"/>
                <w:right w:val="none" w:sz="0" w:space="0" w:color="auto"/>
              </w:divBdr>
            </w:div>
            <w:div w:id="814684897">
              <w:marLeft w:val="0"/>
              <w:marRight w:val="0"/>
              <w:marTop w:val="0"/>
              <w:marBottom w:val="0"/>
              <w:divBdr>
                <w:top w:val="none" w:sz="0" w:space="0" w:color="auto"/>
                <w:left w:val="none" w:sz="0" w:space="0" w:color="auto"/>
                <w:bottom w:val="none" w:sz="0" w:space="0" w:color="auto"/>
                <w:right w:val="none" w:sz="0" w:space="0" w:color="auto"/>
              </w:divBdr>
            </w:div>
            <w:div w:id="912349310">
              <w:marLeft w:val="0"/>
              <w:marRight w:val="0"/>
              <w:marTop w:val="0"/>
              <w:marBottom w:val="0"/>
              <w:divBdr>
                <w:top w:val="none" w:sz="0" w:space="0" w:color="auto"/>
                <w:left w:val="none" w:sz="0" w:space="0" w:color="auto"/>
                <w:bottom w:val="none" w:sz="0" w:space="0" w:color="auto"/>
                <w:right w:val="none" w:sz="0" w:space="0" w:color="auto"/>
              </w:divBdr>
            </w:div>
            <w:div w:id="1838106788">
              <w:marLeft w:val="0"/>
              <w:marRight w:val="0"/>
              <w:marTop w:val="0"/>
              <w:marBottom w:val="0"/>
              <w:divBdr>
                <w:top w:val="none" w:sz="0" w:space="0" w:color="auto"/>
                <w:left w:val="none" w:sz="0" w:space="0" w:color="auto"/>
                <w:bottom w:val="none" w:sz="0" w:space="0" w:color="auto"/>
                <w:right w:val="none" w:sz="0" w:space="0" w:color="auto"/>
              </w:divBdr>
            </w:div>
            <w:div w:id="1437678410">
              <w:marLeft w:val="0"/>
              <w:marRight w:val="0"/>
              <w:marTop w:val="0"/>
              <w:marBottom w:val="0"/>
              <w:divBdr>
                <w:top w:val="none" w:sz="0" w:space="0" w:color="auto"/>
                <w:left w:val="none" w:sz="0" w:space="0" w:color="auto"/>
                <w:bottom w:val="none" w:sz="0" w:space="0" w:color="auto"/>
                <w:right w:val="none" w:sz="0" w:space="0" w:color="auto"/>
              </w:divBdr>
            </w:div>
            <w:div w:id="417411292">
              <w:marLeft w:val="0"/>
              <w:marRight w:val="0"/>
              <w:marTop w:val="0"/>
              <w:marBottom w:val="0"/>
              <w:divBdr>
                <w:top w:val="none" w:sz="0" w:space="0" w:color="auto"/>
                <w:left w:val="none" w:sz="0" w:space="0" w:color="auto"/>
                <w:bottom w:val="none" w:sz="0" w:space="0" w:color="auto"/>
                <w:right w:val="none" w:sz="0" w:space="0" w:color="auto"/>
              </w:divBdr>
            </w:div>
            <w:div w:id="147943130">
              <w:marLeft w:val="0"/>
              <w:marRight w:val="0"/>
              <w:marTop w:val="0"/>
              <w:marBottom w:val="0"/>
              <w:divBdr>
                <w:top w:val="none" w:sz="0" w:space="0" w:color="auto"/>
                <w:left w:val="none" w:sz="0" w:space="0" w:color="auto"/>
                <w:bottom w:val="none" w:sz="0" w:space="0" w:color="auto"/>
                <w:right w:val="none" w:sz="0" w:space="0" w:color="auto"/>
              </w:divBdr>
            </w:div>
            <w:div w:id="1242249981">
              <w:marLeft w:val="0"/>
              <w:marRight w:val="0"/>
              <w:marTop w:val="0"/>
              <w:marBottom w:val="0"/>
              <w:divBdr>
                <w:top w:val="none" w:sz="0" w:space="0" w:color="auto"/>
                <w:left w:val="none" w:sz="0" w:space="0" w:color="auto"/>
                <w:bottom w:val="none" w:sz="0" w:space="0" w:color="auto"/>
                <w:right w:val="none" w:sz="0" w:space="0" w:color="auto"/>
              </w:divBdr>
            </w:div>
            <w:div w:id="430593181">
              <w:marLeft w:val="0"/>
              <w:marRight w:val="0"/>
              <w:marTop w:val="0"/>
              <w:marBottom w:val="0"/>
              <w:divBdr>
                <w:top w:val="none" w:sz="0" w:space="0" w:color="auto"/>
                <w:left w:val="none" w:sz="0" w:space="0" w:color="auto"/>
                <w:bottom w:val="none" w:sz="0" w:space="0" w:color="auto"/>
                <w:right w:val="none" w:sz="0" w:space="0" w:color="auto"/>
              </w:divBdr>
            </w:div>
            <w:div w:id="750468574">
              <w:marLeft w:val="0"/>
              <w:marRight w:val="0"/>
              <w:marTop w:val="0"/>
              <w:marBottom w:val="0"/>
              <w:divBdr>
                <w:top w:val="none" w:sz="0" w:space="0" w:color="auto"/>
                <w:left w:val="none" w:sz="0" w:space="0" w:color="auto"/>
                <w:bottom w:val="none" w:sz="0" w:space="0" w:color="auto"/>
                <w:right w:val="none" w:sz="0" w:space="0" w:color="auto"/>
              </w:divBdr>
            </w:div>
            <w:div w:id="43256541">
              <w:marLeft w:val="0"/>
              <w:marRight w:val="0"/>
              <w:marTop w:val="0"/>
              <w:marBottom w:val="0"/>
              <w:divBdr>
                <w:top w:val="none" w:sz="0" w:space="0" w:color="auto"/>
                <w:left w:val="none" w:sz="0" w:space="0" w:color="auto"/>
                <w:bottom w:val="none" w:sz="0" w:space="0" w:color="auto"/>
                <w:right w:val="none" w:sz="0" w:space="0" w:color="auto"/>
              </w:divBdr>
            </w:div>
            <w:div w:id="1056467793">
              <w:marLeft w:val="0"/>
              <w:marRight w:val="0"/>
              <w:marTop w:val="0"/>
              <w:marBottom w:val="0"/>
              <w:divBdr>
                <w:top w:val="none" w:sz="0" w:space="0" w:color="auto"/>
                <w:left w:val="none" w:sz="0" w:space="0" w:color="auto"/>
                <w:bottom w:val="none" w:sz="0" w:space="0" w:color="auto"/>
                <w:right w:val="none" w:sz="0" w:space="0" w:color="auto"/>
              </w:divBdr>
            </w:div>
            <w:div w:id="853764812">
              <w:marLeft w:val="0"/>
              <w:marRight w:val="0"/>
              <w:marTop w:val="0"/>
              <w:marBottom w:val="0"/>
              <w:divBdr>
                <w:top w:val="none" w:sz="0" w:space="0" w:color="auto"/>
                <w:left w:val="none" w:sz="0" w:space="0" w:color="auto"/>
                <w:bottom w:val="none" w:sz="0" w:space="0" w:color="auto"/>
                <w:right w:val="none" w:sz="0" w:space="0" w:color="auto"/>
              </w:divBdr>
            </w:div>
            <w:div w:id="1071393526">
              <w:marLeft w:val="0"/>
              <w:marRight w:val="0"/>
              <w:marTop w:val="0"/>
              <w:marBottom w:val="0"/>
              <w:divBdr>
                <w:top w:val="none" w:sz="0" w:space="0" w:color="auto"/>
                <w:left w:val="none" w:sz="0" w:space="0" w:color="auto"/>
                <w:bottom w:val="none" w:sz="0" w:space="0" w:color="auto"/>
                <w:right w:val="none" w:sz="0" w:space="0" w:color="auto"/>
              </w:divBdr>
            </w:div>
            <w:div w:id="1124537747">
              <w:marLeft w:val="0"/>
              <w:marRight w:val="0"/>
              <w:marTop w:val="0"/>
              <w:marBottom w:val="0"/>
              <w:divBdr>
                <w:top w:val="none" w:sz="0" w:space="0" w:color="auto"/>
                <w:left w:val="none" w:sz="0" w:space="0" w:color="auto"/>
                <w:bottom w:val="none" w:sz="0" w:space="0" w:color="auto"/>
                <w:right w:val="none" w:sz="0" w:space="0" w:color="auto"/>
              </w:divBdr>
            </w:div>
            <w:div w:id="880895817">
              <w:marLeft w:val="0"/>
              <w:marRight w:val="0"/>
              <w:marTop w:val="0"/>
              <w:marBottom w:val="0"/>
              <w:divBdr>
                <w:top w:val="none" w:sz="0" w:space="0" w:color="auto"/>
                <w:left w:val="none" w:sz="0" w:space="0" w:color="auto"/>
                <w:bottom w:val="none" w:sz="0" w:space="0" w:color="auto"/>
                <w:right w:val="none" w:sz="0" w:space="0" w:color="auto"/>
              </w:divBdr>
            </w:div>
            <w:div w:id="1989477105">
              <w:marLeft w:val="0"/>
              <w:marRight w:val="0"/>
              <w:marTop w:val="0"/>
              <w:marBottom w:val="0"/>
              <w:divBdr>
                <w:top w:val="none" w:sz="0" w:space="0" w:color="auto"/>
                <w:left w:val="none" w:sz="0" w:space="0" w:color="auto"/>
                <w:bottom w:val="none" w:sz="0" w:space="0" w:color="auto"/>
                <w:right w:val="none" w:sz="0" w:space="0" w:color="auto"/>
              </w:divBdr>
            </w:div>
            <w:div w:id="1691682042">
              <w:marLeft w:val="0"/>
              <w:marRight w:val="0"/>
              <w:marTop w:val="0"/>
              <w:marBottom w:val="0"/>
              <w:divBdr>
                <w:top w:val="none" w:sz="0" w:space="0" w:color="auto"/>
                <w:left w:val="none" w:sz="0" w:space="0" w:color="auto"/>
                <w:bottom w:val="none" w:sz="0" w:space="0" w:color="auto"/>
                <w:right w:val="none" w:sz="0" w:space="0" w:color="auto"/>
              </w:divBdr>
            </w:div>
            <w:div w:id="1655260831">
              <w:marLeft w:val="0"/>
              <w:marRight w:val="0"/>
              <w:marTop w:val="0"/>
              <w:marBottom w:val="0"/>
              <w:divBdr>
                <w:top w:val="none" w:sz="0" w:space="0" w:color="auto"/>
                <w:left w:val="none" w:sz="0" w:space="0" w:color="auto"/>
                <w:bottom w:val="none" w:sz="0" w:space="0" w:color="auto"/>
                <w:right w:val="none" w:sz="0" w:space="0" w:color="auto"/>
              </w:divBdr>
            </w:div>
            <w:div w:id="1275408006">
              <w:marLeft w:val="0"/>
              <w:marRight w:val="0"/>
              <w:marTop w:val="0"/>
              <w:marBottom w:val="0"/>
              <w:divBdr>
                <w:top w:val="none" w:sz="0" w:space="0" w:color="auto"/>
                <w:left w:val="none" w:sz="0" w:space="0" w:color="auto"/>
                <w:bottom w:val="none" w:sz="0" w:space="0" w:color="auto"/>
                <w:right w:val="none" w:sz="0" w:space="0" w:color="auto"/>
              </w:divBdr>
            </w:div>
            <w:div w:id="1409227863">
              <w:marLeft w:val="0"/>
              <w:marRight w:val="0"/>
              <w:marTop w:val="0"/>
              <w:marBottom w:val="0"/>
              <w:divBdr>
                <w:top w:val="none" w:sz="0" w:space="0" w:color="auto"/>
                <w:left w:val="none" w:sz="0" w:space="0" w:color="auto"/>
                <w:bottom w:val="none" w:sz="0" w:space="0" w:color="auto"/>
                <w:right w:val="none" w:sz="0" w:space="0" w:color="auto"/>
              </w:divBdr>
            </w:div>
            <w:div w:id="1451320619">
              <w:marLeft w:val="0"/>
              <w:marRight w:val="0"/>
              <w:marTop w:val="0"/>
              <w:marBottom w:val="0"/>
              <w:divBdr>
                <w:top w:val="none" w:sz="0" w:space="0" w:color="auto"/>
                <w:left w:val="none" w:sz="0" w:space="0" w:color="auto"/>
                <w:bottom w:val="none" w:sz="0" w:space="0" w:color="auto"/>
                <w:right w:val="none" w:sz="0" w:space="0" w:color="auto"/>
              </w:divBdr>
            </w:div>
            <w:div w:id="1154953430">
              <w:marLeft w:val="0"/>
              <w:marRight w:val="0"/>
              <w:marTop w:val="0"/>
              <w:marBottom w:val="0"/>
              <w:divBdr>
                <w:top w:val="none" w:sz="0" w:space="0" w:color="auto"/>
                <w:left w:val="none" w:sz="0" w:space="0" w:color="auto"/>
                <w:bottom w:val="none" w:sz="0" w:space="0" w:color="auto"/>
                <w:right w:val="none" w:sz="0" w:space="0" w:color="auto"/>
              </w:divBdr>
            </w:div>
            <w:div w:id="586811209">
              <w:marLeft w:val="0"/>
              <w:marRight w:val="0"/>
              <w:marTop w:val="0"/>
              <w:marBottom w:val="0"/>
              <w:divBdr>
                <w:top w:val="none" w:sz="0" w:space="0" w:color="auto"/>
                <w:left w:val="none" w:sz="0" w:space="0" w:color="auto"/>
                <w:bottom w:val="none" w:sz="0" w:space="0" w:color="auto"/>
                <w:right w:val="none" w:sz="0" w:space="0" w:color="auto"/>
              </w:divBdr>
            </w:div>
            <w:div w:id="59376643">
              <w:marLeft w:val="0"/>
              <w:marRight w:val="0"/>
              <w:marTop w:val="0"/>
              <w:marBottom w:val="0"/>
              <w:divBdr>
                <w:top w:val="none" w:sz="0" w:space="0" w:color="auto"/>
                <w:left w:val="none" w:sz="0" w:space="0" w:color="auto"/>
                <w:bottom w:val="none" w:sz="0" w:space="0" w:color="auto"/>
                <w:right w:val="none" w:sz="0" w:space="0" w:color="auto"/>
              </w:divBdr>
            </w:div>
            <w:div w:id="1652520216">
              <w:marLeft w:val="0"/>
              <w:marRight w:val="0"/>
              <w:marTop w:val="0"/>
              <w:marBottom w:val="0"/>
              <w:divBdr>
                <w:top w:val="none" w:sz="0" w:space="0" w:color="auto"/>
                <w:left w:val="none" w:sz="0" w:space="0" w:color="auto"/>
                <w:bottom w:val="none" w:sz="0" w:space="0" w:color="auto"/>
                <w:right w:val="none" w:sz="0" w:space="0" w:color="auto"/>
              </w:divBdr>
            </w:div>
            <w:div w:id="1053039565">
              <w:marLeft w:val="0"/>
              <w:marRight w:val="0"/>
              <w:marTop w:val="0"/>
              <w:marBottom w:val="0"/>
              <w:divBdr>
                <w:top w:val="none" w:sz="0" w:space="0" w:color="auto"/>
                <w:left w:val="none" w:sz="0" w:space="0" w:color="auto"/>
                <w:bottom w:val="none" w:sz="0" w:space="0" w:color="auto"/>
                <w:right w:val="none" w:sz="0" w:space="0" w:color="auto"/>
              </w:divBdr>
            </w:div>
            <w:div w:id="693118685">
              <w:marLeft w:val="0"/>
              <w:marRight w:val="0"/>
              <w:marTop w:val="0"/>
              <w:marBottom w:val="0"/>
              <w:divBdr>
                <w:top w:val="none" w:sz="0" w:space="0" w:color="auto"/>
                <w:left w:val="none" w:sz="0" w:space="0" w:color="auto"/>
                <w:bottom w:val="none" w:sz="0" w:space="0" w:color="auto"/>
                <w:right w:val="none" w:sz="0" w:space="0" w:color="auto"/>
              </w:divBdr>
            </w:div>
            <w:div w:id="174343272">
              <w:marLeft w:val="0"/>
              <w:marRight w:val="0"/>
              <w:marTop w:val="0"/>
              <w:marBottom w:val="0"/>
              <w:divBdr>
                <w:top w:val="none" w:sz="0" w:space="0" w:color="auto"/>
                <w:left w:val="none" w:sz="0" w:space="0" w:color="auto"/>
                <w:bottom w:val="none" w:sz="0" w:space="0" w:color="auto"/>
                <w:right w:val="none" w:sz="0" w:space="0" w:color="auto"/>
              </w:divBdr>
            </w:div>
            <w:div w:id="1861122998">
              <w:marLeft w:val="0"/>
              <w:marRight w:val="0"/>
              <w:marTop w:val="0"/>
              <w:marBottom w:val="0"/>
              <w:divBdr>
                <w:top w:val="none" w:sz="0" w:space="0" w:color="auto"/>
                <w:left w:val="none" w:sz="0" w:space="0" w:color="auto"/>
                <w:bottom w:val="none" w:sz="0" w:space="0" w:color="auto"/>
                <w:right w:val="none" w:sz="0" w:space="0" w:color="auto"/>
              </w:divBdr>
            </w:div>
            <w:div w:id="690567256">
              <w:marLeft w:val="0"/>
              <w:marRight w:val="0"/>
              <w:marTop w:val="0"/>
              <w:marBottom w:val="0"/>
              <w:divBdr>
                <w:top w:val="none" w:sz="0" w:space="0" w:color="auto"/>
                <w:left w:val="none" w:sz="0" w:space="0" w:color="auto"/>
                <w:bottom w:val="none" w:sz="0" w:space="0" w:color="auto"/>
                <w:right w:val="none" w:sz="0" w:space="0" w:color="auto"/>
              </w:divBdr>
            </w:div>
            <w:div w:id="634067983">
              <w:marLeft w:val="0"/>
              <w:marRight w:val="0"/>
              <w:marTop w:val="0"/>
              <w:marBottom w:val="0"/>
              <w:divBdr>
                <w:top w:val="none" w:sz="0" w:space="0" w:color="auto"/>
                <w:left w:val="none" w:sz="0" w:space="0" w:color="auto"/>
                <w:bottom w:val="none" w:sz="0" w:space="0" w:color="auto"/>
                <w:right w:val="none" w:sz="0" w:space="0" w:color="auto"/>
              </w:divBdr>
            </w:div>
            <w:div w:id="44530981">
              <w:marLeft w:val="0"/>
              <w:marRight w:val="0"/>
              <w:marTop w:val="0"/>
              <w:marBottom w:val="0"/>
              <w:divBdr>
                <w:top w:val="none" w:sz="0" w:space="0" w:color="auto"/>
                <w:left w:val="none" w:sz="0" w:space="0" w:color="auto"/>
                <w:bottom w:val="none" w:sz="0" w:space="0" w:color="auto"/>
                <w:right w:val="none" w:sz="0" w:space="0" w:color="auto"/>
              </w:divBdr>
            </w:div>
            <w:div w:id="478307880">
              <w:marLeft w:val="0"/>
              <w:marRight w:val="0"/>
              <w:marTop w:val="0"/>
              <w:marBottom w:val="0"/>
              <w:divBdr>
                <w:top w:val="none" w:sz="0" w:space="0" w:color="auto"/>
                <w:left w:val="none" w:sz="0" w:space="0" w:color="auto"/>
                <w:bottom w:val="none" w:sz="0" w:space="0" w:color="auto"/>
                <w:right w:val="none" w:sz="0" w:space="0" w:color="auto"/>
              </w:divBdr>
            </w:div>
            <w:div w:id="630211659">
              <w:marLeft w:val="0"/>
              <w:marRight w:val="0"/>
              <w:marTop w:val="0"/>
              <w:marBottom w:val="0"/>
              <w:divBdr>
                <w:top w:val="none" w:sz="0" w:space="0" w:color="auto"/>
                <w:left w:val="none" w:sz="0" w:space="0" w:color="auto"/>
                <w:bottom w:val="none" w:sz="0" w:space="0" w:color="auto"/>
                <w:right w:val="none" w:sz="0" w:space="0" w:color="auto"/>
              </w:divBdr>
            </w:div>
            <w:div w:id="502933703">
              <w:marLeft w:val="0"/>
              <w:marRight w:val="0"/>
              <w:marTop w:val="0"/>
              <w:marBottom w:val="0"/>
              <w:divBdr>
                <w:top w:val="none" w:sz="0" w:space="0" w:color="auto"/>
                <w:left w:val="none" w:sz="0" w:space="0" w:color="auto"/>
                <w:bottom w:val="none" w:sz="0" w:space="0" w:color="auto"/>
                <w:right w:val="none" w:sz="0" w:space="0" w:color="auto"/>
              </w:divBdr>
            </w:div>
            <w:div w:id="1973436087">
              <w:marLeft w:val="0"/>
              <w:marRight w:val="0"/>
              <w:marTop w:val="0"/>
              <w:marBottom w:val="0"/>
              <w:divBdr>
                <w:top w:val="none" w:sz="0" w:space="0" w:color="auto"/>
                <w:left w:val="none" w:sz="0" w:space="0" w:color="auto"/>
                <w:bottom w:val="none" w:sz="0" w:space="0" w:color="auto"/>
                <w:right w:val="none" w:sz="0" w:space="0" w:color="auto"/>
              </w:divBdr>
            </w:div>
            <w:div w:id="318581576">
              <w:marLeft w:val="0"/>
              <w:marRight w:val="0"/>
              <w:marTop w:val="0"/>
              <w:marBottom w:val="0"/>
              <w:divBdr>
                <w:top w:val="none" w:sz="0" w:space="0" w:color="auto"/>
                <w:left w:val="none" w:sz="0" w:space="0" w:color="auto"/>
                <w:bottom w:val="none" w:sz="0" w:space="0" w:color="auto"/>
                <w:right w:val="none" w:sz="0" w:space="0" w:color="auto"/>
              </w:divBdr>
            </w:div>
            <w:div w:id="1814711459">
              <w:marLeft w:val="0"/>
              <w:marRight w:val="0"/>
              <w:marTop w:val="0"/>
              <w:marBottom w:val="0"/>
              <w:divBdr>
                <w:top w:val="none" w:sz="0" w:space="0" w:color="auto"/>
                <w:left w:val="none" w:sz="0" w:space="0" w:color="auto"/>
                <w:bottom w:val="none" w:sz="0" w:space="0" w:color="auto"/>
                <w:right w:val="none" w:sz="0" w:space="0" w:color="auto"/>
              </w:divBdr>
            </w:div>
            <w:div w:id="743337323">
              <w:marLeft w:val="0"/>
              <w:marRight w:val="0"/>
              <w:marTop w:val="0"/>
              <w:marBottom w:val="0"/>
              <w:divBdr>
                <w:top w:val="none" w:sz="0" w:space="0" w:color="auto"/>
                <w:left w:val="none" w:sz="0" w:space="0" w:color="auto"/>
                <w:bottom w:val="none" w:sz="0" w:space="0" w:color="auto"/>
                <w:right w:val="none" w:sz="0" w:space="0" w:color="auto"/>
              </w:divBdr>
            </w:div>
            <w:div w:id="1217352816">
              <w:marLeft w:val="0"/>
              <w:marRight w:val="0"/>
              <w:marTop w:val="0"/>
              <w:marBottom w:val="0"/>
              <w:divBdr>
                <w:top w:val="none" w:sz="0" w:space="0" w:color="auto"/>
                <w:left w:val="none" w:sz="0" w:space="0" w:color="auto"/>
                <w:bottom w:val="none" w:sz="0" w:space="0" w:color="auto"/>
                <w:right w:val="none" w:sz="0" w:space="0" w:color="auto"/>
              </w:divBdr>
            </w:div>
            <w:div w:id="2080665431">
              <w:marLeft w:val="0"/>
              <w:marRight w:val="0"/>
              <w:marTop w:val="0"/>
              <w:marBottom w:val="0"/>
              <w:divBdr>
                <w:top w:val="none" w:sz="0" w:space="0" w:color="auto"/>
                <w:left w:val="none" w:sz="0" w:space="0" w:color="auto"/>
                <w:bottom w:val="none" w:sz="0" w:space="0" w:color="auto"/>
                <w:right w:val="none" w:sz="0" w:space="0" w:color="auto"/>
              </w:divBdr>
            </w:div>
            <w:div w:id="13843034">
              <w:marLeft w:val="0"/>
              <w:marRight w:val="0"/>
              <w:marTop w:val="0"/>
              <w:marBottom w:val="0"/>
              <w:divBdr>
                <w:top w:val="none" w:sz="0" w:space="0" w:color="auto"/>
                <w:left w:val="none" w:sz="0" w:space="0" w:color="auto"/>
                <w:bottom w:val="none" w:sz="0" w:space="0" w:color="auto"/>
                <w:right w:val="none" w:sz="0" w:space="0" w:color="auto"/>
              </w:divBdr>
            </w:div>
            <w:div w:id="489911591">
              <w:marLeft w:val="0"/>
              <w:marRight w:val="0"/>
              <w:marTop w:val="0"/>
              <w:marBottom w:val="0"/>
              <w:divBdr>
                <w:top w:val="none" w:sz="0" w:space="0" w:color="auto"/>
                <w:left w:val="none" w:sz="0" w:space="0" w:color="auto"/>
                <w:bottom w:val="none" w:sz="0" w:space="0" w:color="auto"/>
                <w:right w:val="none" w:sz="0" w:space="0" w:color="auto"/>
              </w:divBdr>
            </w:div>
            <w:div w:id="236206488">
              <w:marLeft w:val="0"/>
              <w:marRight w:val="0"/>
              <w:marTop w:val="0"/>
              <w:marBottom w:val="0"/>
              <w:divBdr>
                <w:top w:val="none" w:sz="0" w:space="0" w:color="auto"/>
                <w:left w:val="none" w:sz="0" w:space="0" w:color="auto"/>
                <w:bottom w:val="none" w:sz="0" w:space="0" w:color="auto"/>
                <w:right w:val="none" w:sz="0" w:space="0" w:color="auto"/>
              </w:divBdr>
            </w:div>
            <w:div w:id="619991857">
              <w:marLeft w:val="0"/>
              <w:marRight w:val="0"/>
              <w:marTop w:val="0"/>
              <w:marBottom w:val="0"/>
              <w:divBdr>
                <w:top w:val="none" w:sz="0" w:space="0" w:color="auto"/>
                <w:left w:val="none" w:sz="0" w:space="0" w:color="auto"/>
                <w:bottom w:val="none" w:sz="0" w:space="0" w:color="auto"/>
                <w:right w:val="none" w:sz="0" w:space="0" w:color="auto"/>
              </w:divBdr>
            </w:div>
            <w:div w:id="400836731">
              <w:marLeft w:val="0"/>
              <w:marRight w:val="0"/>
              <w:marTop w:val="0"/>
              <w:marBottom w:val="0"/>
              <w:divBdr>
                <w:top w:val="none" w:sz="0" w:space="0" w:color="auto"/>
                <w:left w:val="none" w:sz="0" w:space="0" w:color="auto"/>
                <w:bottom w:val="none" w:sz="0" w:space="0" w:color="auto"/>
                <w:right w:val="none" w:sz="0" w:space="0" w:color="auto"/>
              </w:divBdr>
            </w:div>
            <w:div w:id="1095516894">
              <w:marLeft w:val="0"/>
              <w:marRight w:val="0"/>
              <w:marTop w:val="0"/>
              <w:marBottom w:val="0"/>
              <w:divBdr>
                <w:top w:val="none" w:sz="0" w:space="0" w:color="auto"/>
                <w:left w:val="none" w:sz="0" w:space="0" w:color="auto"/>
                <w:bottom w:val="none" w:sz="0" w:space="0" w:color="auto"/>
                <w:right w:val="none" w:sz="0" w:space="0" w:color="auto"/>
              </w:divBdr>
            </w:div>
            <w:div w:id="1735618319">
              <w:marLeft w:val="0"/>
              <w:marRight w:val="0"/>
              <w:marTop w:val="0"/>
              <w:marBottom w:val="0"/>
              <w:divBdr>
                <w:top w:val="none" w:sz="0" w:space="0" w:color="auto"/>
                <w:left w:val="none" w:sz="0" w:space="0" w:color="auto"/>
                <w:bottom w:val="none" w:sz="0" w:space="0" w:color="auto"/>
                <w:right w:val="none" w:sz="0" w:space="0" w:color="auto"/>
              </w:divBdr>
            </w:div>
            <w:div w:id="1213420556">
              <w:marLeft w:val="0"/>
              <w:marRight w:val="0"/>
              <w:marTop w:val="0"/>
              <w:marBottom w:val="0"/>
              <w:divBdr>
                <w:top w:val="none" w:sz="0" w:space="0" w:color="auto"/>
                <w:left w:val="none" w:sz="0" w:space="0" w:color="auto"/>
                <w:bottom w:val="none" w:sz="0" w:space="0" w:color="auto"/>
                <w:right w:val="none" w:sz="0" w:space="0" w:color="auto"/>
              </w:divBdr>
            </w:div>
            <w:div w:id="1866559387">
              <w:marLeft w:val="0"/>
              <w:marRight w:val="0"/>
              <w:marTop w:val="0"/>
              <w:marBottom w:val="0"/>
              <w:divBdr>
                <w:top w:val="none" w:sz="0" w:space="0" w:color="auto"/>
                <w:left w:val="none" w:sz="0" w:space="0" w:color="auto"/>
                <w:bottom w:val="none" w:sz="0" w:space="0" w:color="auto"/>
                <w:right w:val="none" w:sz="0" w:space="0" w:color="auto"/>
              </w:divBdr>
            </w:div>
            <w:div w:id="871266032">
              <w:marLeft w:val="0"/>
              <w:marRight w:val="0"/>
              <w:marTop w:val="0"/>
              <w:marBottom w:val="0"/>
              <w:divBdr>
                <w:top w:val="none" w:sz="0" w:space="0" w:color="auto"/>
                <w:left w:val="none" w:sz="0" w:space="0" w:color="auto"/>
                <w:bottom w:val="none" w:sz="0" w:space="0" w:color="auto"/>
                <w:right w:val="none" w:sz="0" w:space="0" w:color="auto"/>
              </w:divBdr>
            </w:div>
            <w:div w:id="1919173573">
              <w:marLeft w:val="0"/>
              <w:marRight w:val="0"/>
              <w:marTop w:val="0"/>
              <w:marBottom w:val="0"/>
              <w:divBdr>
                <w:top w:val="none" w:sz="0" w:space="0" w:color="auto"/>
                <w:left w:val="none" w:sz="0" w:space="0" w:color="auto"/>
                <w:bottom w:val="none" w:sz="0" w:space="0" w:color="auto"/>
                <w:right w:val="none" w:sz="0" w:space="0" w:color="auto"/>
              </w:divBdr>
            </w:div>
            <w:div w:id="166602792">
              <w:marLeft w:val="0"/>
              <w:marRight w:val="0"/>
              <w:marTop w:val="0"/>
              <w:marBottom w:val="0"/>
              <w:divBdr>
                <w:top w:val="none" w:sz="0" w:space="0" w:color="auto"/>
                <w:left w:val="none" w:sz="0" w:space="0" w:color="auto"/>
                <w:bottom w:val="none" w:sz="0" w:space="0" w:color="auto"/>
                <w:right w:val="none" w:sz="0" w:space="0" w:color="auto"/>
              </w:divBdr>
            </w:div>
            <w:div w:id="764882088">
              <w:marLeft w:val="0"/>
              <w:marRight w:val="0"/>
              <w:marTop w:val="0"/>
              <w:marBottom w:val="0"/>
              <w:divBdr>
                <w:top w:val="none" w:sz="0" w:space="0" w:color="auto"/>
                <w:left w:val="none" w:sz="0" w:space="0" w:color="auto"/>
                <w:bottom w:val="none" w:sz="0" w:space="0" w:color="auto"/>
                <w:right w:val="none" w:sz="0" w:space="0" w:color="auto"/>
              </w:divBdr>
            </w:div>
            <w:div w:id="1196699151">
              <w:marLeft w:val="0"/>
              <w:marRight w:val="0"/>
              <w:marTop w:val="0"/>
              <w:marBottom w:val="0"/>
              <w:divBdr>
                <w:top w:val="none" w:sz="0" w:space="0" w:color="auto"/>
                <w:left w:val="none" w:sz="0" w:space="0" w:color="auto"/>
                <w:bottom w:val="none" w:sz="0" w:space="0" w:color="auto"/>
                <w:right w:val="none" w:sz="0" w:space="0" w:color="auto"/>
              </w:divBdr>
            </w:div>
            <w:div w:id="330913624">
              <w:marLeft w:val="0"/>
              <w:marRight w:val="0"/>
              <w:marTop w:val="0"/>
              <w:marBottom w:val="0"/>
              <w:divBdr>
                <w:top w:val="none" w:sz="0" w:space="0" w:color="auto"/>
                <w:left w:val="none" w:sz="0" w:space="0" w:color="auto"/>
                <w:bottom w:val="none" w:sz="0" w:space="0" w:color="auto"/>
                <w:right w:val="none" w:sz="0" w:space="0" w:color="auto"/>
              </w:divBdr>
            </w:div>
            <w:div w:id="1810056251">
              <w:marLeft w:val="0"/>
              <w:marRight w:val="0"/>
              <w:marTop w:val="0"/>
              <w:marBottom w:val="0"/>
              <w:divBdr>
                <w:top w:val="none" w:sz="0" w:space="0" w:color="auto"/>
                <w:left w:val="none" w:sz="0" w:space="0" w:color="auto"/>
                <w:bottom w:val="none" w:sz="0" w:space="0" w:color="auto"/>
                <w:right w:val="none" w:sz="0" w:space="0" w:color="auto"/>
              </w:divBdr>
            </w:div>
            <w:div w:id="987590924">
              <w:marLeft w:val="0"/>
              <w:marRight w:val="0"/>
              <w:marTop w:val="0"/>
              <w:marBottom w:val="0"/>
              <w:divBdr>
                <w:top w:val="none" w:sz="0" w:space="0" w:color="auto"/>
                <w:left w:val="none" w:sz="0" w:space="0" w:color="auto"/>
                <w:bottom w:val="none" w:sz="0" w:space="0" w:color="auto"/>
                <w:right w:val="none" w:sz="0" w:space="0" w:color="auto"/>
              </w:divBdr>
            </w:div>
            <w:div w:id="62071662">
              <w:marLeft w:val="0"/>
              <w:marRight w:val="0"/>
              <w:marTop w:val="0"/>
              <w:marBottom w:val="0"/>
              <w:divBdr>
                <w:top w:val="none" w:sz="0" w:space="0" w:color="auto"/>
                <w:left w:val="none" w:sz="0" w:space="0" w:color="auto"/>
                <w:bottom w:val="none" w:sz="0" w:space="0" w:color="auto"/>
                <w:right w:val="none" w:sz="0" w:space="0" w:color="auto"/>
              </w:divBdr>
            </w:div>
            <w:div w:id="956136604">
              <w:marLeft w:val="0"/>
              <w:marRight w:val="0"/>
              <w:marTop w:val="0"/>
              <w:marBottom w:val="0"/>
              <w:divBdr>
                <w:top w:val="none" w:sz="0" w:space="0" w:color="auto"/>
                <w:left w:val="none" w:sz="0" w:space="0" w:color="auto"/>
                <w:bottom w:val="none" w:sz="0" w:space="0" w:color="auto"/>
                <w:right w:val="none" w:sz="0" w:space="0" w:color="auto"/>
              </w:divBdr>
            </w:div>
            <w:div w:id="368148067">
              <w:marLeft w:val="0"/>
              <w:marRight w:val="0"/>
              <w:marTop w:val="0"/>
              <w:marBottom w:val="0"/>
              <w:divBdr>
                <w:top w:val="none" w:sz="0" w:space="0" w:color="auto"/>
                <w:left w:val="none" w:sz="0" w:space="0" w:color="auto"/>
                <w:bottom w:val="none" w:sz="0" w:space="0" w:color="auto"/>
                <w:right w:val="none" w:sz="0" w:space="0" w:color="auto"/>
              </w:divBdr>
            </w:div>
            <w:div w:id="1541085355">
              <w:marLeft w:val="0"/>
              <w:marRight w:val="0"/>
              <w:marTop w:val="0"/>
              <w:marBottom w:val="0"/>
              <w:divBdr>
                <w:top w:val="none" w:sz="0" w:space="0" w:color="auto"/>
                <w:left w:val="none" w:sz="0" w:space="0" w:color="auto"/>
                <w:bottom w:val="none" w:sz="0" w:space="0" w:color="auto"/>
                <w:right w:val="none" w:sz="0" w:space="0" w:color="auto"/>
              </w:divBdr>
            </w:div>
            <w:div w:id="1654992724">
              <w:marLeft w:val="0"/>
              <w:marRight w:val="0"/>
              <w:marTop w:val="0"/>
              <w:marBottom w:val="0"/>
              <w:divBdr>
                <w:top w:val="none" w:sz="0" w:space="0" w:color="auto"/>
                <w:left w:val="none" w:sz="0" w:space="0" w:color="auto"/>
                <w:bottom w:val="none" w:sz="0" w:space="0" w:color="auto"/>
                <w:right w:val="none" w:sz="0" w:space="0" w:color="auto"/>
              </w:divBdr>
            </w:div>
            <w:div w:id="1169294737">
              <w:marLeft w:val="0"/>
              <w:marRight w:val="0"/>
              <w:marTop w:val="0"/>
              <w:marBottom w:val="0"/>
              <w:divBdr>
                <w:top w:val="none" w:sz="0" w:space="0" w:color="auto"/>
                <w:left w:val="none" w:sz="0" w:space="0" w:color="auto"/>
                <w:bottom w:val="none" w:sz="0" w:space="0" w:color="auto"/>
                <w:right w:val="none" w:sz="0" w:space="0" w:color="auto"/>
              </w:divBdr>
            </w:div>
            <w:div w:id="107434725">
              <w:marLeft w:val="0"/>
              <w:marRight w:val="0"/>
              <w:marTop w:val="0"/>
              <w:marBottom w:val="0"/>
              <w:divBdr>
                <w:top w:val="none" w:sz="0" w:space="0" w:color="auto"/>
                <w:left w:val="none" w:sz="0" w:space="0" w:color="auto"/>
                <w:bottom w:val="none" w:sz="0" w:space="0" w:color="auto"/>
                <w:right w:val="none" w:sz="0" w:space="0" w:color="auto"/>
              </w:divBdr>
            </w:div>
            <w:div w:id="1013073348">
              <w:marLeft w:val="0"/>
              <w:marRight w:val="0"/>
              <w:marTop w:val="0"/>
              <w:marBottom w:val="0"/>
              <w:divBdr>
                <w:top w:val="none" w:sz="0" w:space="0" w:color="auto"/>
                <w:left w:val="none" w:sz="0" w:space="0" w:color="auto"/>
                <w:bottom w:val="none" w:sz="0" w:space="0" w:color="auto"/>
                <w:right w:val="none" w:sz="0" w:space="0" w:color="auto"/>
              </w:divBdr>
            </w:div>
            <w:div w:id="255477496">
              <w:marLeft w:val="0"/>
              <w:marRight w:val="0"/>
              <w:marTop w:val="0"/>
              <w:marBottom w:val="0"/>
              <w:divBdr>
                <w:top w:val="none" w:sz="0" w:space="0" w:color="auto"/>
                <w:left w:val="none" w:sz="0" w:space="0" w:color="auto"/>
                <w:bottom w:val="none" w:sz="0" w:space="0" w:color="auto"/>
                <w:right w:val="none" w:sz="0" w:space="0" w:color="auto"/>
              </w:divBdr>
            </w:div>
            <w:div w:id="1210413251">
              <w:marLeft w:val="0"/>
              <w:marRight w:val="0"/>
              <w:marTop w:val="0"/>
              <w:marBottom w:val="0"/>
              <w:divBdr>
                <w:top w:val="none" w:sz="0" w:space="0" w:color="auto"/>
                <w:left w:val="none" w:sz="0" w:space="0" w:color="auto"/>
                <w:bottom w:val="none" w:sz="0" w:space="0" w:color="auto"/>
                <w:right w:val="none" w:sz="0" w:space="0" w:color="auto"/>
              </w:divBdr>
            </w:div>
            <w:div w:id="383918439">
              <w:marLeft w:val="0"/>
              <w:marRight w:val="0"/>
              <w:marTop w:val="0"/>
              <w:marBottom w:val="0"/>
              <w:divBdr>
                <w:top w:val="none" w:sz="0" w:space="0" w:color="auto"/>
                <w:left w:val="none" w:sz="0" w:space="0" w:color="auto"/>
                <w:bottom w:val="none" w:sz="0" w:space="0" w:color="auto"/>
                <w:right w:val="none" w:sz="0" w:space="0" w:color="auto"/>
              </w:divBdr>
            </w:div>
            <w:div w:id="156456575">
              <w:marLeft w:val="0"/>
              <w:marRight w:val="0"/>
              <w:marTop w:val="0"/>
              <w:marBottom w:val="0"/>
              <w:divBdr>
                <w:top w:val="none" w:sz="0" w:space="0" w:color="auto"/>
                <w:left w:val="none" w:sz="0" w:space="0" w:color="auto"/>
                <w:bottom w:val="none" w:sz="0" w:space="0" w:color="auto"/>
                <w:right w:val="none" w:sz="0" w:space="0" w:color="auto"/>
              </w:divBdr>
            </w:div>
            <w:div w:id="1699314161">
              <w:marLeft w:val="0"/>
              <w:marRight w:val="0"/>
              <w:marTop w:val="0"/>
              <w:marBottom w:val="0"/>
              <w:divBdr>
                <w:top w:val="none" w:sz="0" w:space="0" w:color="auto"/>
                <w:left w:val="none" w:sz="0" w:space="0" w:color="auto"/>
                <w:bottom w:val="none" w:sz="0" w:space="0" w:color="auto"/>
                <w:right w:val="none" w:sz="0" w:space="0" w:color="auto"/>
              </w:divBdr>
            </w:div>
            <w:div w:id="1188251880">
              <w:marLeft w:val="0"/>
              <w:marRight w:val="0"/>
              <w:marTop w:val="0"/>
              <w:marBottom w:val="0"/>
              <w:divBdr>
                <w:top w:val="none" w:sz="0" w:space="0" w:color="auto"/>
                <w:left w:val="none" w:sz="0" w:space="0" w:color="auto"/>
                <w:bottom w:val="none" w:sz="0" w:space="0" w:color="auto"/>
                <w:right w:val="none" w:sz="0" w:space="0" w:color="auto"/>
              </w:divBdr>
            </w:div>
            <w:div w:id="440150431">
              <w:marLeft w:val="0"/>
              <w:marRight w:val="0"/>
              <w:marTop w:val="0"/>
              <w:marBottom w:val="0"/>
              <w:divBdr>
                <w:top w:val="none" w:sz="0" w:space="0" w:color="auto"/>
                <w:left w:val="none" w:sz="0" w:space="0" w:color="auto"/>
                <w:bottom w:val="none" w:sz="0" w:space="0" w:color="auto"/>
                <w:right w:val="none" w:sz="0" w:space="0" w:color="auto"/>
              </w:divBdr>
            </w:div>
            <w:div w:id="1252934988">
              <w:marLeft w:val="0"/>
              <w:marRight w:val="0"/>
              <w:marTop w:val="0"/>
              <w:marBottom w:val="0"/>
              <w:divBdr>
                <w:top w:val="none" w:sz="0" w:space="0" w:color="auto"/>
                <w:left w:val="none" w:sz="0" w:space="0" w:color="auto"/>
                <w:bottom w:val="none" w:sz="0" w:space="0" w:color="auto"/>
                <w:right w:val="none" w:sz="0" w:space="0" w:color="auto"/>
              </w:divBdr>
            </w:div>
            <w:div w:id="249119184">
              <w:marLeft w:val="0"/>
              <w:marRight w:val="0"/>
              <w:marTop w:val="0"/>
              <w:marBottom w:val="0"/>
              <w:divBdr>
                <w:top w:val="none" w:sz="0" w:space="0" w:color="auto"/>
                <w:left w:val="none" w:sz="0" w:space="0" w:color="auto"/>
                <w:bottom w:val="none" w:sz="0" w:space="0" w:color="auto"/>
                <w:right w:val="none" w:sz="0" w:space="0" w:color="auto"/>
              </w:divBdr>
            </w:div>
            <w:div w:id="1805153197">
              <w:marLeft w:val="0"/>
              <w:marRight w:val="0"/>
              <w:marTop w:val="0"/>
              <w:marBottom w:val="0"/>
              <w:divBdr>
                <w:top w:val="none" w:sz="0" w:space="0" w:color="auto"/>
                <w:left w:val="none" w:sz="0" w:space="0" w:color="auto"/>
                <w:bottom w:val="none" w:sz="0" w:space="0" w:color="auto"/>
                <w:right w:val="none" w:sz="0" w:space="0" w:color="auto"/>
              </w:divBdr>
            </w:div>
            <w:div w:id="1331104622">
              <w:marLeft w:val="0"/>
              <w:marRight w:val="0"/>
              <w:marTop w:val="0"/>
              <w:marBottom w:val="0"/>
              <w:divBdr>
                <w:top w:val="none" w:sz="0" w:space="0" w:color="auto"/>
                <w:left w:val="none" w:sz="0" w:space="0" w:color="auto"/>
                <w:bottom w:val="none" w:sz="0" w:space="0" w:color="auto"/>
                <w:right w:val="none" w:sz="0" w:space="0" w:color="auto"/>
              </w:divBdr>
            </w:div>
            <w:div w:id="206068836">
              <w:marLeft w:val="0"/>
              <w:marRight w:val="0"/>
              <w:marTop w:val="0"/>
              <w:marBottom w:val="0"/>
              <w:divBdr>
                <w:top w:val="none" w:sz="0" w:space="0" w:color="auto"/>
                <w:left w:val="none" w:sz="0" w:space="0" w:color="auto"/>
                <w:bottom w:val="none" w:sz="0" w:space="0" w:color="auto"/>
                <w:right w:val="none" w:sz="0" w:space="0" w:color="auto"/>
              </w:divBdr>
            </w:div>
            <w:div w:id="358624364">
              <w:marLeft w:val="0"/>
              <w:marRight w:val="0"/>
              <w:marTop w:val="0"/>
              <w:marBottom w:val="0"/>
              <w:divBdr>
                <w:top w:val="none" w:sz="0" w:space="0" w:color="auto"/>
                <w:left w:val="none" w:sz="0" w:space="0" w:color="auto"/>
                <w:bottom w:val="none" w:sz="0" w:space="0" w:color="auto"/>
                <w:right w:val="none" w:sz="0" w:space="0" w:color="auto"/>
              </w:divBdr>
            </w:div>
            <w:div w:id="999119986">
              <w:marLeft w:val="0"/>
              <w:marRight w:val="0"/>
              <w:marTop w:val="0"/>
              <w:marBottom w:val="0"/>
              <w:divBdr>
                <w:top w:val="none" w:sz="0" w:space="0" w:color="auto"/>
                <w:left w:val="none" w:sz="0" w:space="0" w:color="auto"/>
                <w:bottom w:val="none" w:sz="0" w:space="0" w:color="auto"/>
                <w:right w:val="none" w:sz="0" w:space="0" w:color="auto"/>
              </w:divBdr>
            </w:div>
            <w:div w:id="838351628">
              <w:marLeft w:val="0"/>
              <w:marRight w:val="0"/>
              <w:marTop w:val="0"/>
              <w:marBottom w:val="0"/>
              <w:divBdr>
                <w:top w:val="none" w:sz="0" w:space="0" w:color="auto"/>
                <w:left w:val="none" w:sz="0" w:space="0" w:color="auto"/>
                <w:bottom w:val="none" w:sz="0" w:space="0" w:color="auto"/>
                <w:right w:val="none" w:sz="0" w:space="0" w:color="auto"/>
              </w:divBdr>
            </w:div>
            <w:div w:id="1477575819">
              <w:marLeft w:val="0"/>
              <w:marRight w:val="0"/>
              <w:marTop w:val="0"/>
              <w:marBottom w:val="0"/>
              <w:divBdr>
                <w:top w:val="none" w:sz="0" w:space="0" w:color="auto"/>
                <w:left w:val="none" w:sz="0" w:space="0" w:color="auto"/>
                <w:bottom w:val="none" w:sz="0" w:space="0" w:color="auto"/>
                <w:right w:val="none" w:sz="0" w:space="0" w:color="auto"/>
              </w:divBdr>
            </w:div>
            <w:div w:id="1578399907">
              <w:marLeft w:val="0"/>
              <w:marRight w:val="0"/>
              <w:marTop w:val="0"/>
              <w:marBottom w:val="0"/>
              <w:divBdr>
                <w:top w:val="none" w:sz="0" w:space="0" w:color="auto"/>
                <w:left w:val="none" w:sz="0" w:space="0" w:color="auto"/>
                <w:bottom w:val="none" w:sz="0" w:space="0" w:color="auto"/>
                <w:right w:val="none" w:sz="0" w:space="0" w:color="auto"/>
              </w:divBdr>
            </w:div>
            <w:div w:id="1086614069">
              <w:marLeft w:val="0"/>
              <w:marRight w:val="0"/>
              <w:marTop w:val="0"/>
              <w:marBottom w:val="0"/>
              <w:divBdr>
                <w:top w:val="none" w:sz="0" w:space="0" w:color="auto"/>
                <w:left w:val="none" w:sz="0" w:space="0" w:color="auto"/>
                <w:bottom w:val="none" w:sz="0" w:space="0" w:color="auto"/>
                <w:right w:val="none" w:sz="0" w:space="0" w:color="auto"/>
              </w:divBdr>
            </w:div>
            <w:div w:id="433017612">
              <w:marLeft w:val="0"/>
              <w:marRight w:val="0"/>
              <w:marTop w:val="0"/>
              <w:marBottom w:val="0"/>
              <w:divBdr>
                <w:top w:val="none" w:sz="0" w:space="0" w:color="auto"/>
                <w:left w:val="none" w:sz="0" w:space="0" w:color="auto"/>
                <w:bottom w:val="none" w:sz="0" w:space="0" w:color="auto"/>
                <w:right w:val="none" w:sz="0" w:space="0" w:color="auto"/>
              </w:divBdr>
            </w:div>
            <w:div w:id="139467952">
              <w:marLeft w:val="0"/>
              <w:marRight w:val="0"/>
              <w:marTop w:val="0"/>
              <w:marBottom w:val="0"/>
              <w:divBdr>
                <w:top w:val="none" w:sz="0" w:space="0" w:color="auto"/>
                <w:left w:val="none" w:sz="0" w:space="0" w:color="auto"/>
                <w:bottom w:val="none" w:sz="0" w:space="0" w:color="auto"/>
                <w:right w:val="none" w:sz="0" w:space="0" w:color="auto"/>
              </w:divBdr>
            </w:div>
            <w:div w:id="641884114">
              <w:marLeft w:val="0"/>
              <w:marRight w:val="0"/>
              <w:marTop w:val="0"/>
              <w:marBottom w:val="0"/>
              <w:divBdr>
                <w:top w:val="none" w:sz="0" w:space="0" w:color="auto"/>
                <w:left w:val="none" w:sz="0" w:space="0" w:color="auto"/>
                <w:bottom w:val="none" w:sz="0" w:space="0" w:color="auto"/>
                <w:right w:val="none" w:sz="0" w:space="0" w:color="auto"/>
              </w:divBdr>
            </w:div>
            <w:div w:id="795296447">
              <w:marLeft w:val="0"/>
              <w:marRight w:val="0"/>
              <w:marTop w:val="0"/>
              <w:marBottom w:val="0"/>
              <w:divBdr>
                <w:top w:val="none" w:sz="0" w:space="0" w:color="auto"/>
                <w:left w:val="none" w:sz="0" w:space="0" w:color="auto"/>
                <w:bottom w:val="none" w:sz="0" w:space="0" w:color="auto"/>
                <w:right w:val="none" w:sz="0" w:space="0" w:color="auto"/>
              </w:divBdr>
            </w:div>
            <w:div w:id="766999806">
              <w:marLeft w:val="0"/>
              <w:marRight w:val="0"/>
              <w:marTop w:val="0"/>
              <w:marBottom w:val="0"/>
              <w:divBdr>
                <w:top w:val="none" w:sz="0" w:space="0" w:color="auto"/>
                <w:left w:val="none" w:sz="0" w:space="0" w:color="auto"/>
                <w:bottom w:val="none" w:sz="0" w:space="0" w:color="auto"/>
                <w:right w:val="none" w:sz="0" w:space="0" w:color="auto"/>
              </w:divBdr>
            </w:div>
            <w:div w:id="1182549883">
              <w:marLeft w:val="0"/>
              <w:marRight w:val="0"/>
              <w:marTop w:val="0"/>
              <w:marBottom w:val="0"/>
              <w:divBdr>
                <w:top w:val="none" w:sz="0" w:space="0" w:color="auto"/>
                <w:left w:val="none" w:sz="0" w:space="0" w:color="auto"/>
                <w:bottom w:val="none" w:sz="0" w:space="0" w:color="auto"/>
                <w:right w:val="none" w:sz="0" w:space="0" w:color="auto"/>
              </w:divBdr>
            </w:div>
            <w:div w:id="1767917797">
              <w:marLeft w:val="0"/>
              <w:marRight w:val="0"/>
              <w:marTop w:val="0"/>
              <w:marBottom w:val="0"/>
              <w:divBdr>
                <w:top w:val="none" w:sz="0" w:space="0" w:color="auto"/>
                <w:left w:val="none" w:sz="0" w:space="0" w:color="auto"/>
                <w:bottom w:val="none" w:sz="0" w:space="0" w:color="auto"/>
                <w:right w:val="none" w:sz="0" w:space="0" w:color="auto"/>
              </w:divBdr>
            </w:div>
            <w:div w:id="256210157">
              <w:marLeft w:val="0"/>
              <w:marRight w:val="0"/>
              <w:marTop w:val="0"/>
              <w:marBottom w:val="0"/>
              <w:divBdr>
                <w:top w:val="none" w:sz="0" w:space="0" w:color="auto"/>
                <w:left w:val="none" w:sz="0" w:space="0" w:color="auto"/>
                <w:bottom w:val="none" w:sz="0" w:space="0" w:color="auto"/>
                <w:right w:val="none" w:sz="0" w:space="0" w:color="auto"/>
              </w:divBdr>
            </w:div>
            <w:div w:id="1106383257">
              <w:marLeft w:val="0"/>
              <w:marRight w:val="0"/>
              <w:marTop w:val="0"/>
              <w:marBottom w:val="0"/>
              <w:divBdr>
                <w:top w:val="none" w:sz="0" w:space="0" w:color="auto"/>
                <w:left w:val="none" w:sz="0" w:space="0" w:color="auto"/>
                <w:bottom w:val="none" w:sz="0" w:space="0" w:color="auto"/>
                <w:right w:val="none" w:sz="0" w:space="0" w:color="auto"/>
              </w:divBdr>
            </w:div>
            <w:div w:id="817262282">
              <w:marLeft w:val="0"/>
              <w:marRight w:val="0"/>
              <w:marTop w:val="0"/>
              <w:marBottom w:val="0"/>
              <w:divBdr>
                <w:top w:val="none" w:sz="0" w:space="0" w:color="auto"/>
                <w:left w:val="none" w:sz="0" w:space="0" w:color="auto"/>
                <w:bottom w:val="none" w:sz="0" w:space="0" w:color="auto"/>
                <w:right w:val="none" w:sz="0" w:space="0" w:color="auto"/>
              </w:divBdr>
            </w:div>
            <w:div w:id="1552574865">
              <w:marLeft w:val="0"/>
              <w:marRight w:val="0"/>
              <w:marTop w:val="0"/>
              <w:marBottom w:val="0"/>
              <w:divBdr>
                <w:top w:val="none" w:sz="0" w:space="0" w:color="auto"/>
                <w:left w:val="none" w:sz="0" w:space="0" w:color="auto"/>
                <w:bottom w:val="none" w:sz="0" w:space="0" w:color="auto"/>
                <w:right w:val="none" w:sz="0" w:space="0" w:color="auto"/>
              </w:divBdr>
            </w:div>
            <w:div w:id="169219455">
              <w:marLeft w:val="0"/>
              <w:marRight w:val="0"/>
              <w:marTop w:val="0"/>
              <w:marBottom w:val="0"/>
              <w:divBdr>
                <w:top w:val="none" w:sz="0" w:space="0" w:color="auto"/>
                <w:left w:val="none" w:sz="0" w:space="0" w:color="auto"/>
                <w:bottom w:val="none" w:sz="0" w:space="0" w:color="auto"/>
                <w:right w:val="none" w:sz="0" w:space="0" w:color="auto"/>
              </w:divBdr>
            </w:div>
            <w:div w:id="1185168007">
              <w:marLeft w:val="0"/>
              <w:marRight w:val="0"/>
              <w:marTop w:val="0"/>
              <w:marBottom w:val="0"/>
              <w:divBdr>
                <w:top w:val="none" w:sz="0" w:space="0" w:color="auto"/>
                <w:left w:val="none" w:sz="0" w:space="0" w:color="auto"/>
                <w:bottom w:val="none" w:sz="0" w:space="0" w:color="auto"/>
                <w:right w:val="none" w:sz="0" w:space="0" w:color="auto"/>
              </w:divBdr>
            </w:div>
            <w:div w:id="1564675663">
              <w:marLeft w:val="0"/>
              <w:marRight w:val="0"/>
              <w:marTop w:val="0"/>
              <w:marBottom w:val="0"/>
              <w:divBdr>
                <w:top w:val="none" w:sz="0" w:space="0" w:color="auto"/>
                <w:left w:val="none" w:sz="0" w:space="0" w:color="auto"/>
                <w:bottom w:val="none" w:sz="0" w:space="0" w:color="auto"/>
                <w:right w:val="none" w:sz="0" w:space="0" w:color="auto"/>
              </w:divBdr>
            </w:div>
            <w:div w:id="1947231181">
              <w:marLeft w:val="0"/>
              <w:marRight w:val="0"/>
              <w:marTop w:val="0"/>
              <w:marBottom w:val="0"/>
              <w:divBdr>
                <w:top w:val="none" w:sz="0" w:space="0" w:color="auto"/>
                <w:left w:val="none" w:sz="0" w:space="0" w:color="auto"/>
                <w:bottom w:val="none" w:sz="0" w:space="0" w:color="auto"/>
                <w:right w:val="none" w:sz="0" w:space="0" w:color="auto"/>
              </w:divBdr>
            </w:div>
            <w:div w:id="1683122043">
              <w:marLeft w:val="0"/>
              <w:marRight w:val="0"/>
              <w:marTop w:val="0"/>
              <w:marBottom w:val="0"/>
              <w:divBdr>
                <w:top w:val="none" w:sz="0" w:space="0" w:color="auto"/>
                <w:left w:val="none" w:sz="0" w:space="0" w:color="auto"/>
                <w:bottom w:val="none" w:sz="0" w:space="0" w:color="auto"/>
                <w:right w:val="none" w:sz="0" w:space="0" w:color="auto"/>
              </w:divBdr>
            </w:div>
            <w:div w:id="159391397">
              <w:marLeft w:val="0"/>
              <w:marRight w:val="0"/>
              <w:marTop w:val="0"/>
              <w:marBottom w:val="0"/>
              <w:divBdr>
                <w:top w:val="none" w:sz="0" w:space="0" w:color="auto"/>
                <w:left w:val="none" w:sz="0" w:space="0" w:color="auto"/>
                <w:bottom w:val="none" w:sz="0" w:space="0" w:color="auto"/>
                <w:right w:val="none" w:sz="0" w:space="0" w:color="auto"/>
              </w:divBdr>
            </w:div>
            <w:div w:id="827327660">
              <w:marLeft w:val="0"/>
              <w:marRight w:val="0"/>
              <w:marTop w:val="0"/>
              <w:marBottom w:val="0"/>
              <w:divBdr>
                <w:top w:val="none" w:sz="0" w:space="0" w:color="auto"/>
                <w:left w:val="none" w:sz="0" w:space="0" w:color="auto"/>
                <w:bottom w:val="none" w:sz="0" w:space="0" w:color="auto"/>
                <w:right w:val="none" w:sz="0" w:space="0" w:color="auto"/>
              </w:divBdr>
            </w:div>
            <w:div w:id="926234788">
              <w:marLeft w:val="0"/>
              <w:marRight w:val="0"/>
              <w:marTop w:val="0"/>
              <w:marBottom w:val="0"/>
              <w:divBdr>
                <w:top w:val="none" w:sz="0" w:space="0" w:color="auto"/>
                <w:left w:val="none" w:sz="0" w:space="0" w:color="auto"/>
                <w:bottom w:val="none" w:sz="0" w:space="0" w:color="auto"/>
                <w:right w:val="none" w:sz="0" w:space="0" w:color="auto"/>
              </w:divBdr>
            </w:div>
            <w:div w:id="2111192718">
              <w:marLeft w:val="0"/>
              <w:marRight w:val="0"/>
              <w:marTop w:val="0"/>
              <w:marBottom w:val="0"/>
              <w:divBdr>
                <w:top w:val="none" w:sz="0" w:space="0" w:color="auto"/>
                <w:left w:val="none" w:sz="0" w:space="0" w:color="auto"/>
                <w:bottom w:val="none" w:sz="0" w:space="0" w:color="auto"/>
                <w:right w:val="none" w:sz="0" w:space="0" w:color="auto"/>
              </w:divBdr>
            </w:div>
            <w:div w:id="1430153004">
              <w:marLeft w:val="0"/>
              <w:marRight w:val="0"/>
              <w:marTop w:val="0"/>
              <w:marBottom w:val="0"/>
              <w:divBdr>
                <w:top w:val="none" w:sz="0" w:space="0" w:color="auto"/>
                <w:left w:val="none" w:sz="0" w:space="0" w:color="auto"/>
                <w:bottom w:val="none" w:sz="0" w:space="0" w:color="auto"/>
                <w:right w:val="none" w:sz="0" w:space="0" w:color="auto"/>
              </w:divBdr>
            </w:div>
            <w:div w:id="962729413">
              <w:marLeft w:val="0"/>
              <w:marRight w:val="0"/>
              <w:marTop w:val="0"/>
              <w:marBottom w:val="0"/>
              <w:divBdr>
                <w:top w:val="none" w:sz="0" w:space="0" w:color="auto"/>
                <w:left w:val="none" w:sz="0" w:space="0" w:color="auto"/>
                <w:bottom w:val="none" w:sz="0" w:space="0" w:color="auto"/>
                <w:right w:val="none" w:sz="0" w:space="0" w:color="auto"/>
              </w:divBdr>
            </w:div>
            <w:div w:id="891427170">
              <w:marLeft w:val="0"/>
              <w:marRight w:val="0"/>
              <w:marTop w:val="0"/>
              <w:marBottom w:val="0"/>
              <w:divBdr>
                <w:top w:val="none" w:sz="0" w:space="0" w:color="auto"/>
                <w:left w:val="none" w:sz="0" w:space="0" w:color="auto"/>
                <w:bottom w:val="none" w:sz="0" w:space="0" w:color="auto"/>
                <w:right w:val="none" w:sz="0" w:space="0" w:color="auto"/>
              </w:divBdr>
            </w:div>
            <w:div w:id="1431047661">
              <w:marLeft w:val="0"/>
              <w:marRight w:val="0"/>
              <w:marTop w:val="0"/>
              <w:marBottom w:val="0"/>
              <w:divBdr>
                <w:top w:val="none" w:sz="0" w:space="0" w:color="auto"/>
                <w:left w:val="none" w:sz="0" w:space="0" w:color="auto"/>
                <w:bottom w:val="none" w:sz="0" w:space="0" w:color="auto"/>
                <w:right w:val="none" w:sz="0" w:space="0" w:color="auto"/>
              </w:divBdr>
            </w:div>
            <w:div w:id="1089499801">
              <w:marLeft w:val="0"/>
              <w:marRight w:val="0"/>
              <w:marTop w:val="0"/>
              <w:marBottom w:val="0"/>
              <w:divBdr>
                <w:top w:val="none" w:sz="0" w:space="0" w:color="auto"/>
                <w:left w:val="none" w:sz="0" w:space="0" w:color="auto"/>
                <w:bottom w:val="none" w:sz="0" w:space="0" w:color="auto"/>
                <w:right w:val="none" w:sz="0" w:space="0" w:color="auto"/>
              </w:divBdr>
            </w:div>
            <w:div w:id="1936816542">
              <w:marLeft w:val="0"/>
              <w:marRight w:val="0"/>
              <w:marTop w:val="0"/>
              <w:marBottom w:val="0"/>
              <w:divBdr>
                <w:top w:val="none" w:sz="0" w:space="0" w:color="auto"/>
                <w:left w:val="none" w:sz="0" w:space="0" w:color="auto"/>
                <w:bottom w:val="none" w:sz="0" w:space="0" w:color="auto"/>
                <w:right w:val="none" w:sz="0" w:space="0" w:color="auto"/>
              </w:divBdr>
            </w:div>
            <w:div w:id="1197742027">
              <w:marLeft w:val="0"/>
              <w:marRight w:val="0"/>
              <w:marTop w:val="0"/>
              <w:marBottom w:val="0"/>
              <w:divBdr>
                <w:top w:val="none" w:sz="0" w:space="0" w:color="auto"/>
                <w:left w:val="none" w:sz="0" w:space="0" w:color="auto"/>
                <w:bottom w:val="none" w:sz="0" w:space="0" w:color="auto"/>
                <w:right w:val="none" w:sz="0" w:space="0" w:color="auto"/>
              </w:divBdr>
            </w:div>
            <w:div w:id="1191527641">
              <w:marLeft w:val="0"/>
              <w:marRight w:val="0"/>
              <w:marTop w:val="0"/>
              <w:marBottom w:val="0"/>
              <w:divBdr>
                <w:top w:val="none" w:sz="0" w:space="0" w:color="auto"/>
                <w:left w:val="none" w:sz="0" w:space="0" w:color="auto"/>
                <w:bottom w:val="none" w:sz="0" w:space="0" w:color="auto"/>
                <w:right w:val="none" w:sz="0" w:space="0" w:color="auto"/>
              </w:divBdr>
            </w:div>
            <w:div w:id="1273396204">
              <w:marLeft w:val="0"/>
              <w:marRight w:val="0"/>
              <w:marTop w:val="0"/>
              <w:marBottom w:val="0"/>
              <w:divBdr>
                <w:top w:val="none" w:sz="0" w:space="0" w:color="auto"/>
                <w:left w:val="none" w:sz="0" w:space="0" w:color="auto"/>
                <w:bottom w:val="none" w:sz="0" w:space="0" w:color="auto"/>
                <w:right w:val="none" w:sz="0" w:space="0" w:color="auto"/>
              </w:divBdr>
            </w:div>
            <w:div w:id="840200719">
              <w:marLeft w:val="0"/>
              <w:marRight w:val="0"/>
              <w:marTop w:val="0"/>
              <w:marBottom w:val="0"/>
              <w:divBdr>
                <w:top w:val="none" w:sz="0" w:space="0" w:color="auto"/>
                <w:left w:val="none" w:sz="0" w:space="0" w:color="auto"/>
                <w:bottom w:val="none" w:sz="0" w:space="0" w:color="auto"/>
                <w:right w:val="none" w:sz="0" w:space="0" w:color="auto"/>
              </w:divBdr>
            </w:div>
            <w:div w:id="1105612606">
              <w:marLeft w:val="0"/>
              <w:marRight w:val="0"/>
              <w:marTop w:val="0"/>
              <w:marBottom w:val="0"/>
              <w:divBdr>
                <w:top w:val="none" w:sz="0" w:space="0" w:color="auto"/>
                <w:left w:val="none" w:sz="0" w:space="0" w:color="auto"/>
                <w:bottom w:val="none" w:sz="0" w:space="0" w:color="auto"/>
                <w:right w:val="none" w:sz="0" w:space="0" w:color="auto"/>
              </w:divBdr>
            </w:div>
            <w:div w:id="301547954">
              <w:marLeft w:val="0"/>
              <w:marRight w:val="0"/>
              <w:marTop w:val="0"/>
              <w:marBottom w:val="0"/>
              <w:divBdr>
                <w:top w:val="none" w:sz="0" w:space="0" w:color="auto"/>
                <w:left w:val="none" w:sz="0" w:space="0" w:color="auto"/>
                <w:bottom w:val="none" w:sz="0" w:space="0" w:color="auto"/>
                <w:right w:val="none" w:sz="0" w:space="0" w:color="auto"/>
              </w:divBdr>
            </w:div>
            <w:div w:id="1893610252">
              <w:marLeft w:val="0"/>
              <w:marRight w:val="0"/>
              <w:marTop w:val="0"/>
              <w:marBottom w:val="0"/>
              <w:divBdr>
                <w:top w:val="none" w:sz="0" w:space="0" w:color="auto"/>
                <w:left w:val="none" w:sz="0" w:space="0" w:color="auto"/>
                <w:bottom w:val="none" w:sz="0" w:space="0" w:color="auto"/>
                <w:right w:val="none" w:sz="0" w:space="0" w:color="auto"/>
              </w:divBdr>
            </w:div>
            <w:div w:id="1740470920">
              <w:marLeft w:val="0"/>
              <w:marRight w:val="0"/>
              <w:marTop w:val="0"/>
              <w:marBottom w:val="0"/>
              <w:divBdr>
                <w:top w:val="none" w:sz="0" w:space="0" w:color="auto"/>
                <w:left w:val="none" w:sz="0" w:space="0" w:color="auto"/>
                <w:bottom w:val="none" w:sz="0" w:space="0" w:color="auto"/>
                <w:right w:val="none" w:sz="0" w:space="0" w:color="auto"/>
              </w:divBdr>
            </w:div>
            <w:div w:id="1374965477">
              <w:marLeft w:val="0"/>
              <w:marRight w:val="0"/>
              <w:marTop w:val="0"/>
              <w:marBottom w:val="0"/>
              <w:divBdr>
                <w:top w:val="none" w:sz="0" w:space="0" w:color="auto"/>
                <w:left w:val="none" w:sz="0" w:space="0" w:color="auto"/>
                <w:bottom w:val="none" w:sz="0" w:space="0" w:color="auto"/>
                <w:right w:val="none" w:sz="0" w:space="0" w:color="auto"/>
              </w:divBdr>
            </w:div>
            <w:div w:id="1213494163">
              <w:marLeft w:val="0"/>
              <w:marRight w:val="0"/>
              <w:marTop w:val="0"/>
              <w:marBottom w:val="0"/>
              <w:divBdr>
                <w:top w:val="none" w:sz="0" w:space="0" w:color="auto"/>
                <w:left w:val="none" w:sz="0" w:space="0" w:color="auto"/>
                <w:bottom w:val="none" w:sz="0" w:space="0" w:color="auto"/>
                <w:right w:val="none" w:sz="0" w:space="0" w:color="auto"/>
              </w:divBdr>
            </w:div>
            <w:div w:id="1908805603">
              <w:marLeft w:val="0"/>
              <w:marRight w:val="0"/>
              <w:marTop w:val="0"/>
              <w:marBottom w:val="0"/>
              <w:divBdr>
                <w:top w:val="none" w:sz="0" w:space="0" w:color="auto"/>
                <w:left w:val="none" w:sz="0" w:space="0" w:color="auto"/>
                <w:bottom w:val="none" w:sz="0" w:space="0" w:color="auto"/>
                <w:right w:val="none" w:sz="0" w:space="0" w:color="auto"/>
              </w:divBdr>
            </w:div>
            <w:div w:id="1925994355">
              <w:marLeft w:val="0"/>
              <w:marRight w:val="0"/>
              <w:marTop w:val="0"/>
              <w:marBottom w:val="0"/>
              <w:divBdr>
                <w:top w:val="none" w:sz="0" w:space="0" w:color="auto"/>
                <w:left w:val="none" w:sz="0" w:space="0" w:color="auto"/>
                <w:bottom w:val="none" w:sz="0" w:space="0" w:color="auto"/>
                <w:right w:val="none" w:sz="0" w:space="0" w:color="auto"/>
              </w:divBdr>
            </w:div>
            <w:div w:id="1782528511">
              <w:marLeft w:val="0"/>
              <w:marRight w:val="0"/>
              <w:marTop w:val="0"/>
              <w:marBottom w:val="0"/>
              <w:divBdr>
                <w:top w:val="none" w:sz="0" w:space="0" w:color="auto"/>
                <w:left w:val="none" w:sz="0" w:space="0" w:color="auto"/>
                <w:bottom w:val="none" w:sz="0" w:space="0" w:color="auto"/>
                <w:right w:val="none" w:sz="0" w:space="0" w:color="auto"/>
              </w:divBdr>
            </w:div>
            <w:div w:id="297226480">
              <w:marLeft w:val="0"/>
              <w:marRight w:val="0"/>
              <w:marTop w:val="0"/>
              <w:marBottom w:val="0"/>
              <w:divBdr>
                <w:top w:val="none" w:sz="0" w:space="0" w:color="auto"/>
                <w:left w:val="none" w:sz="0" w:space="0" w:color="auto"/>
                <w:bottom w:val="none" w:sz="0" w:space="0" w:color="auto"/>
                <w:right w:val="none" w:sz="0" w:space="0" w:color="auto"/>
              </w:divBdr>
            </w:div>
            <w:div w:id="638804891">
              <w:marLeft w:val="0"/>
              <w:marRight w:val="0"/>
              <w:marTop w:val="0"/>
              <w:marBottom w:val="0"/>
              <w:divBdr>
                <w:top w:val="none" w:sz="0" w:space="0" w:color="auto"/>
                <w:left w:val="none" w:sz="0" w:space="0" w:color="auto"/>
                <w:bottom w:val="none" w:sz="0" w:space="0" w:color="auto"/>
                <w:right w:val="none" w:sz="0" w:space="0" w:color="auto"/>
              </w:divBdr>
            </w:div>
            <w:div w:id="1391347908">
              <w:marLeft w:val="0"/>
              <w:marRight w:val="0"/>
              <w:marTop w:val="0"/>
              <w:marBottom w:val="0"/>
              <w:divBdr>
                <w:top w:val="none" w:sz="0" w:space="0" w:color="auto"/>
                <w:left w:val="none" w:sz="0" w:space="0" w:color="auto"/>
                <w:bottom w:val="none" w:sz="0" w:space="0" w:color="auto"/>
                <w:right w:val="none" w:sz="0" w:space="0" w:color="auto"/>
              </w:divBdr>
            </w:div>
            <w:div w:id="357703429">
              <w:marLeft w:val="0"/>
              <w:marRight w:val="0"/>
              <w:marTop w:val="0"/>
              <w:marBottom w:val="0"/>
              <w:divBdr>
                <w:top w:val="none" w:sz="0" w:space="0" w:color="auto"/>
                <w:left w:val="none" w:sz="0" w:space="0" w:color="auto"/>
                <w:bottom w:val="none" w:sz="0" w:space="0" w:color="auto"/>
                <w:right w:val="none" w:sz="0" w:space="0" w:color="auto"/>
              </w:divBdr>
            </w:div>
            <w:div w:id="340546075">
              <w:marLeft w:val="0"/>
              <w:marRight w:val="0"/>
              <w:marTop w:val="0"/>
              <w:marBottom w:val="0"/>
              <w:divBdr>
                <w:top w:val="none" w:sz="0" w:space="0" w:color="auto"/>
                <w:left w:val="none" w:sz="0" w:space="0" w:color="auto"/>
                <w:bottom w:val="none" w:sz="0" w:space="0" w:color="auto"/>
                <w:right w:val="none" w:sz="0" w:space="0" w:color="auto"/>
              </w:divBdr>
            </w:div>
            <w:div w:id="1801069278">
              <w:marLeft w:val="0"/>
              <w:marRight w:val="0"/>
              <w:marTop w:val="0"/>
              <w:marBottom w:val="0"/>
              <w:divBdr>
                <w:top w:val="none" w:sz="0" w:space="0" w:color="auto"/>
                <w:left w:val="none" w:sz="0" w:space="0" w:color="auto"/>
                <w:bottom w:val="none" w:sz="0" w:space="0" w:color="auto"/>
                <w:right w:val="none" w:sz="0" w:space="0" w:color="auto"/>
              </w:divBdr>
            </w:div>
            <w:div w:id="505479403">
              <w:marLeft w:val="0"/>
              <w:marRight w:val="0"/>
              <w:marTop w:val="0"/>
              <w:marBottom w:val="0"/>
              <w:divBdr>
                <w:top w:val="none" w:sz="0" w:space="0" w:color="auto"/>
                <w:left w:val="none" w:sz="0" w:space="0" w:color="auto"/>
                <w:bottom w:val="none" w:sz="0" w:space="0" w:color="auto"/>
                <w:right w:val="none" w:sz="0" w:space="0" w:color="auto"/>
              </w:divBdr>
            </w:div>
            <w:div w:id="1101800972">
              <w:marLeft w:val="0"/>
              <w:marRight w:val="0"/>
              <w:marTop w:val="0"/>
              <w:marBottom w:val="0"/>
              <w:divBdr>
                <w:top w:val="none" w:sz="0" w:space="0" w:color="auto"/>
                <w:left w:val="none" w:sz="0" w:space="0" w:color="auto"/>
                <w:bottom w:val="none" w:sz="0" w:space="0" w:color="auto"/>
                <w:right w:val="none" w:sz="0" w:space="0" w:color="auto"/>
              </w:divBdr>
            </w:div>
            <w:div w:id="994604002">
              <w:marLeft w:val="0"/>
              <w:marRight w:val="0"/>
              <w:marTop w:val="0"/>
              <w:marBottom w:val="0"/>
              <w:divBdr>
                <w:top w:val="none" w:sz="0" w:space="0" w:color="auto"/>
                <w:left w:val="none" w:sz="0" w:space="0" w:color="auto"/>
                <w:bottom w:val="none" w:sz="0" w:space="0" w:color="auto"/>
                <w:right w:val="none" w:sz="0" w:space="0" w:color="auto"/>
              </w:divBdr>
            </w:div>
            <w:div w:id="1650163103">
              <w:marLeft w:val="0"/>
              <w:marRight w:val="0"/>
              <w:marTop w:val="0"/>
              <w:marBottom w:val="0"/>
              <w:divBdr>
                <w:top w:val="none" w:sz="0" w:space="0" w:color="auto"/>
                <w:left w:val="none" w:sz="0" w:space="0" w:color="auto"/>
                <w:bottom w:val="none" w:sz="0" w:space="0" w:color="auto"/>
                <w:right w:val="none" w:sz="0" w:space="0" w:color="auto"/>
              </w:divBdr>
            </w:div>
            <w:div w:id="1946688652">
              <w:marLeft w:val="0"/>
              <w:marRight w:val="0"/>
              <w:marTop w:val="0"/>
              <w:marBottom w:val="0"/>
              <w:divBdr>
                <w:top w:val="none" w:sz="0" w:space="0" w:color="auto"/>
                <w:left w:val="none" w:sz="0" w:space="0" w:color="auto"/>
                <w:bottom w:val="none" w:sz="0" w:space="0" w:color="auto"/>
                <w:right w:val="none" w:sz="0" w:space="0" w:color="auto"/>
              </w:divBdr>
            </w:div>
            <w:div w:id="611665749">
              <w:marLeft w:val="0"/>
              <w:marRight w:val="0"/>
              <w:marTop w:val="0"/>
              <w:marBottom w:val="0"/>
              <w:divBdr>
                <w:top w:val="none" w:sz="0" w:space="0" w:color="auto"/>
                <w:left w:val="none" w:sz="0" w:space="0" w:color="auto"/>
                <w:bottom w:val="none" w:sz="0" w:space="0" w:color="auto"/>
                <w:right w:val="none" w:sz="0" w:space="0" w:color="auto"/>
              </w:divBdr>
            </w:div>
            <w:div w:id="848370710">
              <w:marLeft w:val="0"/>
              <w:marRight w:val="0"/>
              <w:marTop w:val="0"/>
              <w:marBottom w:val="0"/>
              <w:divBdr>
                <w:top w:val="none" w:sz="0" w:space="0" w:color="auto"/>
                <w:left w:val="none" w:sz="0" w:space="0" w:color="auto"/>
                <w:bottom w:val="none" w:sz="0" w:space="0" w:color="auto"/>
                <w:right w:val="none" w:sz="0" w:space="0" w:color="auto"/>
              </w:divBdr>
            </w:div>
            <w:div w:id="2098598697">
              <w:marLeft w:val="0"/>
              <w:marRight w:val="0"/>
              <w:marTop w:val="0"/>
              <w:marBottom w:val="0"/>
              <w:divBdr>
                <w:top w:val="none" w:sz="0" w:space="0" w:color="auto"/>
                <w:left w:val="none" w:sz="0" w:space="0" w:color="auto"/>
                <w:bottom w:val="none" w:sz="0" w:space="0" w:color="auto"/>
                <w:right w:val="none" w:sz="0" w:space="0" w:color="auto"/>
              </w:divBdr>
            </w:div>
            <w:div w:id="275597395">
              <w:marLeft w:val="0"/>
              <w:marRight w:val="0"/>
              <w:marTop w:val="0"/>
              <w:marBottom w:val="0"/>
              <w:divBdr>
                <w:top w:val="none" w:sz="0" w:space="0" w:color="auto"/>
                <w:left w:val="none" w:sz="0" w:space="0" w:color="auto"/>
                <w:bottom w:val="none" w:sz="0" w:space="0" w:color="auto"/>
                <w:right w:val="none" w:sz="0" w:space="0" w:color="auto"/>
              </w:divBdr>
            </w:div>
            <w:div w:id="942999566">
              <w:marLeft w:val="0"/>
              <w:marRight w:val="0"/>
              <w:marTop w:val="0"/>
              <w:marBottom w:val="0"/>
              <w:divBdr>
                <w:top w:val="none" w:sz="0" w:space="0" w:color="auto"/>
                <w:left w:val="none" w:sz="0" w:space="0" w:color="auto"/>
                <w:bottom w:val="none" w:sz="0" w:space="0" w:color="auto"/>
                <w:right w:val="none" w:sz="0" w:space="0" w:color="auto"/>
              </w:divBdr>
            </w:div>
            <w:div w:id="2139717128">
              <w:marLeft w:val="0"/>
              <w:marRight w:val="0"/>
              <w:marTop w:val="0"/>
              <w:marBottom w:val="0"/>
              <w:divBdr>
                <w:top w:val="none" w:sz="0" w:space="0" w:color="auto"/>
                <w:left w:val="none" w:sz="0" w:space="0" w:color="auto"/>
                <w:bottom w:val="none" w:sz="0" w:space="0" w:color="auto"/>
                <w:right w:val="none" w:sz="0" w:space="0" w:color="auto"/>
              </w:divBdr>
            </w:div>
            <w:div w:id="863517271">
              <w:marLeft w:val="0"/>
              <w:marRight w:val="0"/>
              <w:marTop w:val="0"/>
              <w:marBottom w:val="0"/>
              <w:divBdr>
                <w:top w:val="none" w:sz="0" w:space="0" w:color="auto"/>
                <w:left w:val="none" w:sz="0" w:space="0" w:color="auto"/>
                <w:bottom w:val="none" w:sz="0" w:space="0" w:color="auto"/>
                <w:right w:val="none" w:sz="0" w:space="0" w:color="auto"/>
              </w:divBdr>
            </w:div>
            <w:div w:id="1057167972">
              <w:marLeft w:val="0"/>
              <w:marRight w:val="0"/>
              <w:marTop w:val="0"/>
              <w:marBottom w:val="0"/>
              <w:divBdr>
                <w:top w:val="none" w:sz="0" w:space="0" w:color="auto"/>
                <w:left w:val="none" w:sz="0" w:space="0" w:color="auto"/>
                <w:bottom w:val="none" w:sz="0" w:space="0" w:color="auto"/>
                <w:right w:val="none" w:sz="0" w:space="0" w:color="auto"/>
              </w:divBdr>
            </w:div>
            <w:div w:id="1968856064">
              <w:marLeft w:val="0"/>
              <w:marRight w:val="0"/>
              <w:marTop w:val="0"/>
              <w:marBottom w:val="0"/>
              <w:divBdr>
                <w:top w:val="none" w:sz="0" w:space="0" w:color="auto"/>
                <w:left w:val="none" w:sz="0" w:space="0" w:color="auto"/>
                <w:bottom w:val="none" w:sz="0" w:space="0" w:color="auto"/>
                <w:right w:val="none" w:sz="0" w:space="0" w:color="auto"/>
              </w:divBdr>
            </w:div>
            <w:div w:id="208418309">
              <w:marLeft w:val="0"/>
              <w:marRight w:val="0"/>
              <w:marTop w:val="0"/>
              <w:marBottom w:val="0"/>
              <w:divBdr>
                <w:top w:val="none" w:sz="0" w:space="0" w:color="auto"/>
                <w:left w:val="none" w:sz="0" w:space="0" w:color="auto"/>
                <w:bottom w:val="none" w:sz="0" w:space="0" w:color="auto"/>
                <w:right w:val="none" w:sz="0" w:space="0" w:color="auto"/>
              </w:divBdr>
            </w:div>
            <w:div w:id="1809859960">
              <w:marLeft w:val="0"/>
              <w:marRight w:val="0"/>
              <w:marTop w:val="0"/>
              <w:marBottom w:val="0"/>
              <w:divBdr>
                <w:top w:val="none" w:sz="0" w:space="0" w:color="auto"/>
                <w:left w:val="none" w:sz="0" w:space="0" w:color="auto"/>
                <w:bottom w:val="none" w:sz="0" w:space="0" w:color="auto"/>
                <w:right w:val="none" w:sz="0" w:space="0" w:color="auto"/>
              </w:divBdr>
            </w:div>
            <w:div w:id="930160753">
              <w:marLeft w:val="0"/>
              <w:marRight w:val="0"/>
              <w:marTop w:val="0"/>
              <w:marBottom w:val="0"/>
              <w:divBdr>
                <w:top w:val="none" w:sz="0" w:space="0" w:color="auto"/>
                <w:left w:val="none" w:sz="0" w:space="0" w:color="auto"/>
                <w:bottom w:val="none" w:sz="0" w:space="0" w:color="auto"/>
                <w:right w:val="none" w:sz="0" w:space="0" w:color="auto"/>
              </w:divBdr>
            </w:div>
            <w:div w:id="679159701">
              <w:marLeft w:val="0"/>
              <w:marRight w:val="0"/>
              <w:marTop w:val="0"/>
              <w:marBottom w:val="0"/>
              <w:divBdr>
                <w:top w:val="none" w:sz="0" w:space="0" w:color="auto"/>
                <w:left w:val="none" w:sz="0" w:space="0" w:color="auto"/>
                <w:bottom w:val="none" w:sz="0" w:space="0" w:color="auto"/>
                <w:right w:val="none" w:sz="0" w:space="0" w:color="auto"/>
              </w:divBdr>
            </w:div>
            <w:div w:id="547301863">
              <w:marLeft w:val="0"/>
              <w:marRight w:val="0"/>
              <w:marTop w:val="0"/>
              <w:marBottom w:val="0"/>
              <w:divBdr>
                <w:top w:val="none" w:sz="0" w:space="0" w:color="auto"/>
                <w:left w:val="none" w:sz="0" w:space="0" w:color="auto"/>
                <w:bottom w:val="none" w:sz="0" w:space="0" w:color="auto"/>
                <w:right w:val="none" w:sz="0" w:space="0" w:color="auto"/>
              </w:divBdr>
            </w:div>
            <w:div w:id="649333603">
              <w:marLeft w:val="0"/>
              <w:marRight w:val="0"/>
              <w:marTop w:val="0"/>
              <w:marBottom w:val="0"/>
              <w:divBdr>
                <w:top w:val="none" w:sz="0" w:space="0" w:color="auto"/>
                <w:left w:val="none" w:sz="0" w:space="0" w:color="auto"/>
                <w:bottom w:val="none" w:sz="0" w:space="0" w:color="auto"/>
                <w:right w:val="none" w:sz="0" w:space="0" w:color="auto"/>
              </w:divBdr>
            </w:div>
            <w:div w:id="1361323632">
              <w:marLeft w:val="0"/>
              <w:marRight w:val="0"/>
              <w:marTop w:val="0"/>
              <w:marBottom w:val="0"/>
              <w:divBdr>
                <w:top w:val="none" w:sz="0" w:space="0" w:color="auto"/>
                <w:left w:val="none" w:sz="0" w:space="0" w:color="auto"/>
                <w:bottom w:val="none" w:sz="0" w:space="0" w:color="auto"/>
                <w:right w:val="none" w:sz="0" w:space="0" w:color="auto"/>
              </w:divBdr>
            </w:div>
            <w:div w:id="706685132">
              <w:marLeft w:val="0"/>
              <w:marRight w:val="0"/>
              <w:marTop w:val="0"/>
              <w:marBottom w:val="0"/>
              <w:divBdr>
                <w:top w:val="none" w:sz="0" w:space="0" w:color="auto"/>
                <w:left w:val="none" w:sz="0" w:space="0" w:color="auto"/>
                <w:bottom w:val="none" w:sz="0" w:space="0" w:color="auto"/>
                <w:right w:val="none" w:sz="0" w:space="0" w:color="auto"/>
              </w:divBdr>
            </w:div>
            <w:div w:id="777456664">
              <w:marLeft w:val="0"/>
              <w:marRight w:val="0"/>
              <w:marTop w:val="0"/>
              <w:marBottom w:val="0"/>
              <w:divBdr>
                <w:top w:val="none" w:sz="0" w:space="0" w:color="auto"/>
                <w:left w:val="none" w:sz="0" w:space="0" w:color="auto"/>
                <w:bottom w:val="none" w:sz="0" w:space="0" w:color="auto"/>
                <w:right w:val="none" w:sz="0" w:space="0" w:color="auto"/>
              </w:divBdr>
            </w:div>
            <w:div w:id="249395413">
              <w:marLeft w:val="0"/>
              <w:marRight w:val="0"/>
              <w:marTop w:val="0"/>
              <w:marBottom w:val="0"/>
              <w:divBdr>
                <w:top w:val="none" w:sz="0" w:space="0" w:color="auto"/>
                <w:left w:val="none" w:sz="0" w:space="0" w:color="auto"/>
                <w:bottom w:val="none" w:sz="0" w:space="0" w:color="auto"/>
                <w:right w:val="none" w:sz="0" w:space="0" w:color="auto"/>
              </w:divBdr>
            </w:div>
            <w:div w:id="1106926236">
              <w:marLeft w:val="0"/>
              <w:marRight w:val="0"/>
              <w:marTop w:val="0"/>
              <w:marBottom w:val="0"/>
              <w:divBdr>
                <w:top w:val="none" w:sz="0" w:space="0" w:color="auto"/>
                <w:left w:val="none" w:sz="0" w:space="0" w:color="auto"/>
                <w:bottom w:val="none" w:sz="0" w:space="0" w:color="auto"/>
                <w:right w:val="none" w:sz="0" w:space="0" w:color="auto"/>
              </w:divBdr>
            </w:div>
            <w:div w:id="1145463961">
              <w:marLeft w:val="0"/>
              <w:marRight w:val="0"/>
              <w:marTop w:val="0"/>
              <w:marBottom w:val="0"/>
              <w:divBdr>
                <w:top w:val="none" w:sz="0" w:space="0" w:color="auto"/>
                <w:left w:val="none" w:sz="0" w:space="0" w:color="auto"/>
                <w:bottom w:val="none" w:sz="0" w:space="0" w:color="auto"/>
                <w:right w:val="none" w:sz="0" w:space="0" w:color="auto"/>
              </w:divBdr>
            </w:div>
            <w:div w:id="1542399242">
              <w:marLeft w:val="0"/>
              <w:marRight w:val="0"/>
              <w:marTop w:val="0"/>
              <w:marBottom w:val="0"/>
              <w:divBdr>
                <w:top w:val="none" w:sz="0" w:space="0" w:color="auto"/>
                <w:left w:val="none" w:sz="0" w:space="0" w:color="auto"/>
                <w:bottom w:val="none" w:sz="0" w:space="0" w:color="auto"/>
                <w:right w:val="none" w:sz="0" w:space="0" w:color="auto"/>
              </w:divBdr>
            </w:div>
            <w:div w:id="224340287">
              <w:marLeft w:val="0"/>
              <w:marRight w:val="0"/>
              <w:marTop w:val="0"/>
              <w:marBottom w:val="0"/>
              <w:divBdr>
                <w:top w:val="none" w:sz="0" w:space="0" w:color="auto"/>
                <w:left w:val="none" w:sz="0" w:space="0" w:color="auto"/>
                <w:bottom w:val="none" w:sz="0" w:space="0" w:color="auto"/>
                <w:right w:val="none" w:sz="0" w:space="0" w:color="auto"/>
              </w:divBdr>
            </w:div>
            <w:div w:id="1893034091">
              <w:marLeft w:val="0"/>
              <w:marRight w:val="0"/>
              <w:marTop w:val="0"/>
              <w:marBottom w:val="0"/>
              <w:divBdr>
                <w:top w:val="none" w:sz="0" w:space="0" w:color="auto"/>
                <w:left w:val="none" w:sz="0" w:space="0" w:color="auto"/>
                <w:bottom w:val="none" w:sz="0" w:space="0" w:color="auto"/>
                <w:right w:val="none" w:sz="0" w:space="0" w:color="auto"/>
              </w:divBdr>
            </w:div>
            <w:div w:id="1708065822">
              <w:marLeft w:val="0"/>
              <w:marRight w:val="0"/>
              <w:marTop w:val="0"/>
              <w:marBottom w:val="0"/>
              <w:divBdr>
                <w:top w:val="none" w:sz="0" w:space="0" w:color="auto"/>
                <w:left w:val="none" w:sz="0" w:space="0" w:color="auto"/>
                <w:bottom w:val="none" w:sz="0" w:space="0" w:color="auto"/>
                <w:right w:val="none" w:sz="0" w:space="0" w:color="auto"/>
              </w:divBdr>
            </w:div>
            <w:div w:id="238489162">
              <w:marLeft w:val="0"/>
              <w:marRight w:val="0"/>
              <w:marTop w:val="0"/>
              <w:marBottom w:val="0"/>
              <w:divBdr>
                <w:top w:val="none" w:sz="0" w:space="0" w:color="auto"/>
                <w:left w:val="none" w:sz="0" w:space="0" w:color="auto"/>
                <w:bottom w:val="none" w:sz="0" w:space="0" w:color="auto"/>
                <w:right w:val="none" w:sz="0" w:space="0" w:color="auto"/>
              </w:divBdr>
            </w:div>
            <w:div w:id="1263994611">
              <w:marLeft w:val="0"/>
              <w:marRight w:val="0"/>
              <w:marTop w:val="0"/>
              <w:marBottom w:val="0"/>
              <w:divBdr>
                <w:top w:val="none" w:sz="0" w:space="0" w:color="auto"/>
                <w:left w:val="none" w:sz="0" w:space="0" w:color="auto"/>
                <w:bottom w:val="none" w:sz="0" w:space="0" w:color="auto"/>
                <w:right w:val="none" w:sz="0" w:space="0" w:color="auto"/>
              </w:divBdr>
            </w:div>
            <w:div w:id="833494908">
              <w:marLeft w:val="0"/>
              <w:marRight w:val="0"/>
              <w:marTop w:val="0"/>
              <w:marBottom w:val="0"/>
              <w:divBdr>
                <w:top w:val="none" w:sz="0" w:space="0" w:color="auto"/>
                <w:left w:val="none" w:sz="0" w:space="0" w:color="auto"/>
                <w:bottom w:val="none" w:sz="0" w:space="0" w:color="auto"/>
                <w:right w:val="none" w:sz="0" w:space="0" w:color="auto"/>
              </w:divBdr>
            </w:div>
            <w:div w:id="1997342790">
              <w:marLeft w:val="0"/>
              <w:marRight w:val="0"/>
              <w:marTop w:val="0"/>
              <w:marBottom w:val="0"/>
              <w:divBdr>
                <w:top w:val="none" w:sz="0" w:space="0" w:color="auto"/>
                <w:left w:val="none" w:sz="0" w:space="0" w:color="auto"/>
                <w:bottom w:val="none" w:sz="0" w:space="0" w:color="auto"/>
                <w:right w:val="none" w:sz="0" w:space="0" w:color="auto"/>
              </w:divBdr>
            </w:div>
            <w:div w:id="1865055221">
              <w:marLeft w:val="0"/>
              <w:marRight w:val="0"/>
              <w:marTop w:val="0"/>
              <w:marBottom w:val="0"/>
              <w:divBdr>
                <w:top w:val="none" w:sz="0" w:space="0" w:color="auto"/>
                <w:left w:val="none" w:sz="0" w:space="0" w:color="auto"/>
                <w:bottom w:val="none" w:sz="0" w:space="0" w:color="auto"/>
                <w:right w:val="none" w:sz="0" w:space="0" w:color="auto"/>
              </w:divBdr>
            </w:div>
            <w:div w:id="630015682">
              <w:marLeft w:val="0"/>
              <w:marRight w:val="0"/>
              <w:marTop w:val="0"/>
              <w:marBottom w:val="0"/>
              <w:divBdr>
                <w:top w:val="none" w:sz="0" w:space="0" w:color="auto"/>
                <w:left w:val="none" w:sz="0" w:space="0" w:color="auto"/>
                <w:bottom w:val="none" w:sz="0" w:space="0" w:color="auto"/>
                <w:right w:val="none" w:sz="0" w:space="0" w:color="auto"/>
              </w:divBdr>
            </w:div>
            <w:div w:id="456945861">
              <w:marLeft w:val="0"/>
              <w:marRight w:val="0"/>
              <w:marTop w:val="0"/>
              <w:marBottom w:val="0"/>
              <w:divBdr>
                <w:top w:val="none" w:sz="0" w:space="0" w:color="auto"/>
                <w:left w:val="none" w:sz="0" w:space="0" w:color="auto"/>
                <w:bottom w:val="none" w:sz="0" w:space="0" w:color="auto"/>
                <w:right w:val="none" w:sz="0" w:space="0" w:color="auto"/>
              </w:divBdr>
            </w:div>
            <w:div w:id="1536583065">
              <w:marLeft w:val="0"/>
              <w:marRight w:val="0"/>
              <w:marTop w:val="0"/>
              <w:marBottom w:val="0"/>
              <w:divBdr>
                <w:top w:val="none" w:sz="0" w:space="0" w:color="auto"/>
                <w:left w:val="none" w:sz="0" w:space="0" w:color="auto"/>
                <w:bottom w:val="none" w:sz="0" w:space="0" w:color="auto"/>
                <w:right w:val="none" w:sz="0" w:space="0" w:color="auto"/>
              </w:divBdr>
            </w:div>
            <w:div w:id="1266815484">
              <w:marLeft w:val="0"/>
              <w:marRight w:val="0"/>
              <w:marTop w:val="0"/>
              <w:marBottom w:val="0"/>
              <w:divBdr>
                <w:top w:val="none" w:sz="0" w:space="0" w:color="auto"/>
                <w:left w:val="none" w:sz="0" w:space="0" w:color="auto"/>
                <w:bottom w:val="none" w:sz="0" w:space="0" w:color="auto"/>
                <w:right w:val="none" w:sz="0" w:space="0" w:color="auto"/>
              </w:divBdr>
            </w:div>
            <w:div w:id="99375638">
              <w:marLeft w:val="0"/>
              <w:marRight w:val="0"/>
              <w:marTop w:val="0"/>
              <w:marBottom w:val="0"/>
              <w:divBdr>
                <w:top w:val="none" w:sz="0" w:space="0" w:color="auto"/>
                <w:left w:val="none" w:sz="0" w:space="0" w:color="auto"/>
                <w:bottom w:val="none" w:sz="0" w:space="0" w:color="auto"/>
                <w:right w:val="none" w:sz="0" w:space="0" w:color="auto"/>
              </w:divBdr>
            </w:div>
            <w:div w:id="822742095">
              <w:marLeft w:val="0"/>
              <w:marRight w:val="0"/>
              <w:marTop w:val="0"/>
              <w:marBottom w:val="0"/>
              <w:divBdr>
                <w:top w:val="none" w:sz="0" w:space="0" w:color="auto"/>
                <w:left w:val="none" w:sz="0" w:space="0" w:color="auto"/>
                <w:bottom w:val="none" w:sz="0" w:space="0" w:color="auto"/>
                <w:right w:val="none" w:sz="0" w:space="0" w:color="auto"/>
              </w:divBdr>
            </w:div>
            <w:div w:id="1176262895">
              <w:marLeft w:val="0"/>
              <w:marRight w:val="0"/>
              <w:marTop w:val="0"/>
              <w:marBottom w:val="0"/>
              <w:divBdr>
                <w:top w:val="none" w:sz="0" w:space="0" w:color="auto"/>
                <w:left w:val="none" w:sz="0" w:space="0" w:color="auto"/>
                <w:bottom w:val="none" w:sz="0" w:space="0" w:color="auto"/>
                <w:right w:val="none" w:sz="0" w:space="0" w:color="auto"/>
              </w:divBdr>
            </w:div>
            <w:div w:id="1481262416">
              <w:marLeft w:val="0"/>
              <w:marRight w:val="0"/>
              <w:marTop w:val="0"/>
              <w:marBottom w:val="0"/>
              <w:divBdr>
                <w:top w:val="none" w:sz="0" w:space="0" w:color="auto"/>
                <w:left w:val="none" w:sz="0" w:space="0" w:color="auto"/>
                <w:bottom w:val="none" w:sz="0" w:space="0" w:color="auto"/>
                <w:right w:val="none" w:sz="0" w:space="0" w:color="auto"/>
              </w:divBdr>
            </w:div>
            <w:div w:id="566304445">
              <w:marLeft w:val="0"/>
              <w:marRight w:val="0"/>
              <w:marTop w:val="0"/>
              <w:marBottom w:val="0"/>
              <w:divBdr>
                <w:top w:val="none" w:sz="0" w:space="0" w:color="auto"/>
                <w:left w:val="none" w:sz="0" w:space="0" w:color="auto"/>
                <w:bottom w:val="none" w:sz="0" w:space="0" w:color="auto"/>
                <w:right w:val="none" w:sz="0" w:space="0" w:color="auto"/>
              </w:divBdr>
            </w:div>
            <w:div w:id="1447776710">
              <w:marLeft w:val="0"/>
              <w:marRight w:val="0"/>
              <w:marTop w:val="0"/>
              <w:marBottom w:val="0"/>
              <w:divBdr>
                <w:top w:val="none" w:sz="0" w:space="0" w:color="auto"/>
                <w:left w:val="none" w:sz="0" w:space="0" w:color="auto"/>
                <w:bottom w:val="none" w:sz="0" w:space="0" w:color="auto"/>
                <w:right w:val="none" w:sz="0" w:space="0" w:color="auto"/>
              </w:divBdr>
            </w:div>
            <w:div w:id="665520425">
              <w:marLeft w:val="0"/>
              <w:marRight w:val="0"/>
              <w:marTop w:val="0"/>
              <w:marBottom w:val="0"/>
              <w:divBdr>
                <w:top w:val="none" w:sz="0" w:space="0" w:color="auto"/>
                <w:left w:val="none" w:sz="0" w:space="0" w:color="auto"/>
                <w:bottom w:val="none" w:sz="0" w:space="0" w:color="auto"/>
                <w:right w:val="none" w:sz="0" w:space="0" w:color="auto"/>
              </w:divBdr>
            </w:div>
            <w:div w:id="2070111531">
              <w:marLeft w:val="0"/>
              <w:marRight w:val="0"/>
              <w:marTop w:val="0"/>
              <w:marBottom w:val="0"/>
              <w:divBdr>
                <w:top w:val="none" w:sz="0" w:space="0" w:color="auto"/>
                <w:left w:val="none" w:sz="0" w:space="0" w:color="auto"/>
                <w:bottom w:val="none" w:sz="0" w:space="0" w:color="auto"/>
                <w:right w:val="none" w:sz="0" w:space="0" w:color="auto"/>
              </w:divBdr>
            </w:div>
            <w:div w:id="1122923157">
              <w:marLeft w:val="0"/>
              <w:marRight w:val="0"/>
              <w:marTop w:val="0"/>
              <w:marBottom w:val="0"/>
              <w:divBdr>
                <w:top w:val="none" w:sz="0" w:space="0" w:color="auto"/>
                <w:left w:val="none" w:sz="0" w:space="0" w:color="auto"/>
                <w:bottom w:val="none" w:sz="0" w:space="0" w:color="auto"/>
                <w:right w:val="none" w:sz="0" w:space="0" w:color="auto"/>
              </w:divBdr>
            </w:div>
            <w:div w:id="2059476676">
              <w:marLeft w:val="0"/>
              <w:marRight w:val="0"/>
              <w:marTop w:val="0"/>
              <w:marBottom w:val="0"/>
              <w:divBdr>
                <w:top w:val="none" w:sz="0" w:space="0" w:color="auto"/>
                <w:left w:val="none" w:sz="0" w:space="0" w:color="auto"/>
                <w:bottom w:val="none" w:sz="0" w:space="0" w:color="auto"/>
                <w:right w:val="none" w:sz="0" w:space="0" w:color="auto"/>
              </w:divBdr>
            </w:div>
            <w:div w:id="1648247369">
              <w:marLeft w:val="0"/>
              <w:marRight w:val="0"/>
              <w:marTop w:val="0"/>
              <w:marBottom w:val="0"/>
              <w:divBdr>
                <w:top w:val="none" w:sz="0" w:space="0" w:color="auto"/>
                <w:left w:val="none" w:sz="0" w:space="0" w:color="auto"/>
                <w:bottom w:val="none" w:sz="0" w:space="0" w:color="auto"/>
                <w:right w:val="none" w:sz="0" w:space="0" w:color="auto"/>
              </w:divBdr>
            </w:div>
            <w:div w:id="1970479434">
              <w:marLeft w:val="0"/>
              <w:marRight w:val="0"/>
              <w:marTop w:val="0"/>
              <w:marBottom w:val="0"/>
              <w:divBdr>
                <w:top w:val="none" w:sz="0" w:space="0" w:color="auto"/>
                <w:left w:val="none" w:sz="0" w:space="0" w:color="auto"/>
                <w:bottom w:val="none" w:sz="0" w:space="0" w:color="auto"/>
                <w:right w:val="none" w:sz="0" w:space="0" w:color="auto"/>
              </w:divBdr>
            </w:div>
            <w:div w:id="620381994">
              <w:marLeft w:val="0"/>
              <w:marRight w:val="0"/>
              <w:marTop w:val="0"/>
              <w:marBottom w:val="0"/>
              <w:divBdr>
                <w:top w:val="none" w:sz="0" w:space="0" w:color="auto"/>
                <w:left w:val="none" w:sz="0" w:space="0" w:color="auto"/>
                <w:bottom w:val="none" w:sz="0" w:space="0" w:color="auto"/>
                <w:right w:val="none" w:sz="0" w:space="0" w:color="auto"/>
              </w:divBdr>
            </w:div>
            <w:div w:id="619385356">
              <w:marLeft w:val="0"/>
              <w:marRight w:val="0"/>
              <w:marTop w:val="0"/>
              <w:marBottom w:val="0"/>
              <w:divBdr>
                <w:top w:val="none" w:sz="0" w:space="0" w:color="auto"/>
                <w:left w:val="none" w:sz="0" w:space="0" w:color="auto"/>
                <w:bottom w:val="none" w:sz="0" w:space="0" w:color="auto"/>
                <w:right w:val="none" w:sz="0" w:space="0" w:color="auto"/>
              </w:divBdr>
            </w:div>
            <w:div w:id="1424689757">
              <w:marLeft w:val="0"/>
              <w:marRight w:val="0"/>
              <w:marTop w:val="0"/>
              <w:marBottom w:val="0"/>
              <w:divBdr>
                <w:top w:val="none" w:sz="0" w:space="0" w:color="auto"/>
                <w:left w:val="none" w:sz="0" w:space="0" w:color="auto"/>
                <w:bottom w:val="none" w:sz="0" w:space="0" w:color="auto"/>
                <w:right w:val="none" w:sz="0" w:space="0" w:color="auto"/>
              </w:divBdr>
            </w:div>
            <w:div w:id="228271291">
              <w:marLeft w:val="0"/>
              <w:marRight w:val="0"/>
              <w:marTop w:val="0"/>
              <w:marBottom w:val="0"/>
              <w:divBdr>
                <w:top w:val="none" w:sz="0" w:space="0" w:color="auto"/>
                <w:left w:val="none" w:sz="0" w:space="0" w:color="auto"/>
                <w:bottom w:val="none" w:sz="0" w:space="0" w:color="auto"/>
                <w:right w:val="none" w:sz="0" w:space="0" w:color="auto"/>
              </w:divBdr>
            </w:div>
            <w:div w:id="1010453841">
              <w:marLeft w:val="0"/>
              <w:marRight w:val="0"/>
              <w:marTop w:val="0"/>
              <w:marBottom w:val="0"/>
              <w:divBdr>
                <w:top w:val="none" w:sz="0" w:space="0" w:color="auto"/>
                <w:left w:val="none" w:sz="0" w:space="0" w:color="auto"/>
                <w:bottom w:val="none" w:sz="0" w:space="0" w:color="auto"/>
                <w:right w:val="none" w:sz="0" w:space="0" w:color="auto"/>
              </w:divBdr>
            </w:div>
            <w:div w:id="1075012551">
              <w:marLeft w:val="0"/>
              <w:marRight w:val="0"/>
              <w:marTop w:val="0"/>
              <w:marBottom w:val="0"/>
              <w:divBdr>
                <w:top w:val="none" w:sz="0" w:space="0" w:color="auto"/>
                <w:left w:val="none" w:sz="0" w:space="0" w:color="auto"/>
                <w:bottom w:val="none" w:sz="0" w:space="0" w:color="auto"/>
                <w:right w:val="none" w:sz="0" w:space="0" w:color="auto"/>
              </w:divBdr>
            </w:div>
            <w:div w:id="1873610179">
              <w:marLeft w:val="0"/>
              <w:marRight w:val="0"/>
              <w:marTop w:val="0"/>
              <w:marBottom w:val="0"/>
              <w:divBdr>
                <w:top w:val="none" w:sz="0" w:space="0" w:color="auto"/>
                <w:left w:val="none" w:sz="0" w:space="0" w:color="auto"/>
                <w:bottom w:val="none" w:sz="0" w:space="0" w:color="auto"/>
                <w:right w:val="none" w:sz="0" w:space="0" w:color="auto"/>
              </w:divBdr>
            </w:div>
            <w:div w:id="21715815">
              <w:marLeft w:val="0"/>
              <w:marRight w:val="0"/>
              <w:marTop w:val="0"/>
              <w:marBottom w:val="0"/>
              <w:divBdr>
                <w:top w:val="none" w:sz="0" w:space="0" w:color="auto"/>
                <w:left w:val="none" w:sz="0" w:space="0" w:color="auto"/>
                <w:bottom w:val="none" w:sz="0" w:space="0" w:color="auto"/>
                <w:right w:val="none" w:sz="0" w:space="0" w:color="auto"/>
              </w:divBdr>
            </w:div>
            <w:div w:id="358968234">
              <w:marLeft w:val="0"/>
              <w:marRight w:val="0"/>
              <w:marTop w:val="0"/>
              <w:marBottom w:val="0"/>
              <w:divBdr>
                <w:top w:val="none" w:sz="0" w:space="0" w:color="auto"/>
                <w:left w:val="none" w:sz="0" w:space="0" w:color="auto"/>
                <w:bottom w:val="none" w:sz="0" w:space="0" w:color="auto"/>
                <w:right w:val="none" w:sz="0" w:space="0" w:color="auto"/>
              </w:divBdr>
            </w:div>
            <w:div w:id="1968270746">
              <w:marLeft w:val="0"/>
              <w:marRight w:val="0"/>
              <w:marTop w:val="0"/>
              <w:marBottom w:val="0"/>
              <w:divBdr>
                <w:top w:val="none" w:sz="0" w:space="0" w:color="auto"/>
                <w:left w:val="none" w:sz="0" w:space="0" w:color="auto"/>
                <w:bottom w:val="none" w:sz="0" w:space="0" w:color="auto"/>
                <w:right w:val="none" w:sz="0" w:space="0" w:color="auto"/>
              </w:divBdr>
            </w:div>
            <w:div w:id="1322731014">
              <w:marLeft w:val="0"/>
              <w:marRight w:val="0"/>
              <w:marTop w:val="0"/>
              <w:marBottom w:val="0"/>
              <w:divBdr>
                <w:top w:val="none" w:sz="0" w:space="0" w:color="auto"/>
                <w:left w:val="none" w:sz="0" w:space="0" w:color="auto"/>
                <w:bottom w:val="none" w:sz="0" w:space="0" w:color="auto"/>
                <w:right w:val="none" w:sz="0" w:space="0" w:color="auto"/>
              </w:divBdr>
            </w:div>
            <w:div w:id="1782802889">
              <w:marLeft w:val="0"/>
              <w:marRight w:val="0"/>
              <w:marTop w:val="0"/>
              <w:marBottom w:val="0"/>
              <w:divBdr>
                <w:top w:val="none" w:sz="0" w:space="0" w:color="auto"/>
                <w:left w:val="none" w:sz="0" w:space="0" w:color="auto"/>
                <w:bottom w:val="none" w:sz="0" w:space="0" w:color="auto"/>
                <w:right w:val="none" w:sz="0" w:space="0" w:color="auto"/>
              </w:divBdr>
            </w:div>
            <w:div w:id="2056196116">
              <w:marLeft w:val="0"/>
              <w:marRight w:val="0"/>
              <w:marTop w:val="0"/>
              <w:marBottom w:val="0"/>
              <w:divBdr>
                <w:top w:val="none" w:sz="0" w:space="0" w:color="auto"/>
                <w:left w:val="none" w:sz="0" w:space="0" w:color="auto"/>
                <w:bottom w:val="none" w:sz="0" w:space="0" w:color="auto"/>
                <w:right w:val="none" w:sz="0" w:space="0" w:color="auto"/>
              </w:divBdr>
            </w:div>
            <w:div w:id="1636108028">
              <w:marLeft w:val="0"/>
              <w:marRight w:val="0"/>
              <w:marTop w:val="0"/>
              <w:marBottom w:val="0"/>
              <w:divBdr>
                <w:top w:val="none" w:sz="0" w:space="0" w:color="auto"/>
                <w:left w:val="none" w:sz="0" w:space="0" w:color="auto"/>
                <w:bottom w:val="none" w:sz="0" w:space="0" w:color="auto"/>
                <w:right w:val="none" w:sz="0" w:space="0" w:color="auto"/>
              </w:divBdr>
            </w:div>
            <w:div w:id="2131702898">
              <w:marLeft w:val="0"/>
              <w:marRight w:val="0"/>
              <w:marTop w:val="0"/>
              <w:marBottom w:val="0"/>
              <w:divBdr>
                <w:top w:val="none" w:sz="0" w:space="0" w:color="auto"/>
                <w:left w:val="none" w:sz="0" w:space="0" w:color="auto"/>
                <w:bottom w:val="none" w:sz="0" w:space="0" w:color="auto"/>
                <w:right w:val="none" w:sz="0" w:space="0" w:color="auto"/>
              </w:divBdr>
            </w:div>
            <w:div w:id="465974530">
              <w:marLeft w:val="0"/>
              <w:marRight w:val="0"/>
              <w:marTop w:val="0"/>
              <w:marBottom w:val="0"/>
              <w:divBdr>
                <w:top w:val="none" w:sz="0" w:space="0" w:color="auto"/>
                <w:left w:val="none" w:sz="0" w:space="0" w:color="auto"/>
                <w:bottom w:val="none" w:sz="0" w:space="0" w:color="auto"/>
                <w:right w:val="none" w:sz="0" w:space="0" w:color="auto"/>
              </w:divBdr>
            </w:div>
            <w:div w:id="928461545">
              <w:marLeft w:val="0"/>
              <w:marRight w:val="0"/>
              <w:marTop w:val="0"/>
              <w:marBottom w:val="0"/>
              <w:divBdr>
                <w:top w:val="none" w:sz="0" w:space="0" w:color="auto"/>
                <w:left w:val="none" w:sz="0" w:space="0" w:color="auto"/>
                <w:bottom w:val="none" w:sz="0" w:space="0" w:color="auto"/>
                <w:right w:val="none" w:sz="0" w:space="0" w:color="auto"/>
              </w:divBdr>
            </w:div>
            <w:div w:id="469445489">
              <w:marLeft w:val="0"/>
              <w:marRight w:val="0"/>
              <w:marTop w:val="0"/>
              <w:marBottom w:val="0"/>
              <w:divBdr>
                <w:top w:val="none" w:sz="0" w:space="0" w:color="auto"/>
                <w:left w:val="none" w:sz="0" w:space="0" w:color="auto"/>
                <w:bottom w:val="none" w:sz="0" w:space="0" w:color="auto"/>
                <w:right w:val="none" w:sz="0" w:space="0" w:color="auto"/>
              </w:divBdr>
            </w:div>
            <w:div w:id="742487320">
              <w:marLeft w:val="0"/>
              <w:marRight w:val="0"/>
              <w:marTop w:val="0"/>
              <w:marBottom w:val="0"/>
              <w:divBdr>
                <w:top w:val="none" w:sz="0" w:space="0" w:color="auto"/>
                <w:left w:val="none" w:sz="0" w:space="0" w:color="auto"/>
                <w:bottom w:val="none" w:sz="0" w:space="0" w:color="auto"/>
                <w:right w:val="none" w:sz="0" w:space="0" w:color="auto"/>
              </w:divBdr>
            </w:div>
            <w:div w:id="901791188">
              <w:marLeft w:val="0"/>
              <w:marRight w:val="0"/>
              <w:marTop w:val="0"/>
              <w:marBottom w:val="0"/>
              <w:divBdr>
                <w:top w:val="none" w:sz="0" w:space="0" w:color="auto"/>
                <w:left w:val="none" w:sz="0" w:space="0" w:color="auto"/>
                <w:bottom w:val="none" w:sz="0" w:space="0" w:color="auto"/>
                <w:right w:val="none" w:sz="0" w:space="0" w:color="auto"/>
              </w:divBdr>
            </w:div>
            <w:div w:id="2059739691">
              <w:marLeft w:val="0"/>
              <w:marRight w:val="0"/>
              <w:marTop w:val="0"/>
              <w:marBottom w:val="0"/>
              <w:divBdr>
                <w:top w:val="none" w:sz="0" w:space="0" w:color="auto"/>
                <w:left w:val="none" w:sz="0" w:space="0" w:color="auto"/>
                <w:bottom w:val="none" w:sz="0" w:space="0" w:color="auto"/>
                <w:right w:val="none" w:sz="0" w:space="0" w:color="auto"/>
              </w:divBdr>
            </w:div>
            <w:div w:id="1877813267">
              <w:marLeft w:val="0"/>
              <w:marRight w:val="0"/>
              <w:marTop w:val="0"/>
              <w:marBottom w:val="0"/>
              <w:divBdr>
                <w:top w:val="none" w:sz="0" w:space="0" w:color="auto"/>
                <w:left w:val="none" w:sz="0" w:space="0" w:color="auto"/>
                <w:bottom w:val="none" w:sz="0" w:space="0" w:color="auto"/>
                <w:right w:val="none" w:sz="0" w:space="0" w:color="auto"/>
              </w:divBdr>
            </w:div>
            <w:div w:id="1792430344">
              <w:marLeft w:val="0"/>
              <w:marRight w:val="0"/>
              <w:marTop w:val="0"/>
              <w:marBottom w:val="0"/>
              <w:divBdr>
                <w:top w:val="none" w:sz="0" w:space="0" w:color="auto"/>
                <w:left w:val="none" w:sz="0" w:space="0" w:color="auto"/>
                <w:bottom w:val="none" w:sz="0" w:space="0" w:color="auto"/>
                <w:right w:val="none" w:sz="0" w:space="0" w:color="auto"/>
              </w:divBdr>
            </w:div>
            <w:div w:id="1236165204">
              <w:marLeft w:val="0"/>
              <w:marRight w:val="0"/>
              <w:marTop w:val="0"/>
              <w:marBottom w:val="0"/>
              <w:divBdr>
                <w:top w:val="none" w:sz="0" w:space="0" w:color="auto"/>
                <w:left w:val="none" w:sz="0" w:space="0" w:color="auto"/>
                <w:bottom w:val="none" w:sz="0" w:space="0" w:color="auto"/>
                <w:right w:val="none" w:sz="0" w:space="0" w:color="auto"/>
              </w:divBdr>
            </w:div>
            <w:div w:id="1730416822">
              <w:marLeft w:val="0"/>
              <w:marRight w:val="0"/>
              <w:marTop w:val="0"/>
              <w:marBottom w:val="0"/>
              <w:divBdr>
                <w:top w:val="none" w:sz="0" w:space="0" w:color="auto"/>
                <w:left w:val="none" w:sz="0" w:space="0" w:color="auto"/>
                <w:bottom w:val="none" w:sz="0" w:space="0" w:color="auto"/>
                <w:right w:val="none" w:sz="0" w:space="0" w:color="auto"/>
              </w:divBdr>
            </w:div>
            <w:div w:id="420180908">
              <w:marLeft w:val="0"/>
              <w:marRight w:val="0"/>
              <w:marTop w:val="0"/>
              <w:marBottom w:val="0"/>
              <w:divBdr>
                <w:top w:val="none" w:sz="0" w:space="0" w:color="auto"/>
                <w:left w:val="none" w:sz="0" w:space="0" w:color="auto"/>
                <w:bottom w:val="none" w:sz="0" w:space="0" w:color="auto"/>
                <w:right w:val="none" w:sz="0" w:space="0" w:color="auto"/>
              </w:divBdr>
            </w:div>
            <w:div w:id="697438403">
              <w:marLeft w:val="0"/>
              <w:marRight w:val="0"/>
              <w:marTop w:val="0"/>
              <w:marBottom w:val="0"/>
              <w:divBdr>
                <w:top w:val="none" w:sz="0" w:space="0" w:color="auto"/>
                <w:left w:val="none" w:sz="0" w:space="0" w:color="auto"/>
                <w:bottom w:val="none" w:sz="0" w:space="0" w:color="auto"/>
                <w:right w:val="none" w:sz="0" w:space="0" w:color="auto"/>
              </w:divBdr>
            </w:div>
            <w:div w:id="492456789">
              <w:marLeft w:val="0"/>
              <w:marRight w:val="0"/>
              <w:marTop w:val="0"/>
              <w:marBottom w:val="0"/>
              <w:divBdr>
                <w:top w:val="none" w:sz="0" w:space="0" w:color="auto"/>
                <w:left w:val="none" w:sz="0" w:space="0" w:color="auto"/>
                <w:bottom w:val="none" w:sz="0" w:space="0" w:color="auto"/>
                <w:right w:val="none" w:sz="0" w:space="0" w:color="auto"/>
              </w:divBdr>
            </w:div>
            <w:div w:id="312611446">
              <w:marLeft w:val="0"/>
              <w:marRight w:val="0"/>
              <w:marTop w:val="0"/>
              <w:marBottom w:val="0"/>
              <w:divBdr>
                <w:top w:val="none" w:sz="0" w:space="0" w:color="auto"/>
                <w:left w:val="none" w:sz="0" w:space="0" w:color="auto"/>
                <w:bottom w:val="none" w:sz="0" w:space="0" w:color="auto"/>
                <w:right w:val="none" w:sz="0" w:space="0" w:color="auto"/>
              </w:divBdr>
            </w:div>
            <w:div w:id="1470897878">
              <w:marLeft w:val="0"/>
              <w:marRight w:val="0"/>
              <w:marTop w:val="0"/>
              <w:marBottom w:val="0"/>
              <w:divBdr>
                <w:top w:val="none" w:sz="0" w:space="0" w:color="auto"/>
                <w:left w:val="none" w:sz="0" w:space="0" w:color="auto"/>
                <w:bottom w:val="none" w:sz="0" w:space="0" w:color="auto"/>
                <w:right w:val="none" w:sz="0" w:space="0" w:color="auto"/>
              </w:divBdr>
            </w:div>
            <w:div w:id="162862378">
              <w:marLeft w:val="0"/>
              <w:marRight w:val="0"/>
              <w:marTop w:val="0"/>
              <w:marBottom w:val="0"/>
              <w:divBdr>
                <w:top w:val="none" w:sz="0" w:space="0" w:color="auto"/>
                <w:left w:val="none" w:sz="0" w:space="0" w:color="auto"/>
                <w:bottom w:val="none" w:sz="0" w:space="0" w:color="auto"/>
                <w:right w:val="none" w:sz="0" w:space="0" w:color="auto"/>
              </w:divBdr>
            </w:div>
            <w:div w:id="1910992776">
              <w:marLeft w:val="0"/>
              <w:marRight w:val="0"/>
              <w:marTop w:val="0"/>
              <w:marBottom w:val="0"/>
              <w:divBdr>
                <w:top w:val="none" w:sz="0" w:space="0" w:color="auto"/>
                <w:left w:val="none" w:sz="0" w:space="0" w:color="auto"/>
                <w:bottom w:val="none" w:sz="0" w:space="0" w:color="auto"/>
                <w:right w:val="none" w:sz="0" w:space="0" w:color="auto"/>
              </w:divBdr>
            </w:div>
            <w:div w:id="1379547285">
              <w:marLeft w:val="0"/>
              <w:marRight w:val="0"/>
              <w:marTop w:val="0"/>
              <w:marBottom w:val="0"/>
              <w:divBdr>
                <w:top w:val="none" w:sz="0" w:space="0" w:color="auto"/>
                <w:left w:val="none" w:sz="0" w:space="0" w:color="auto"/>
                <w:bottom w:val="none" w:sz="0" w:space="0" w:color="auto"/>
                <w:right w:val="none" w:sz="0" w:space="0" w:color="auto"/>
              </w:divBdr>
            </w:div>
            <w:div w:id="1086075983">
              <w:marLeft w:val="0"/>
              <w:marRight w:val="0"/>
              <w:marTop w:val="0"/>
              <w:marBottom w:val="0"/>
              <w:divBdr>
                <w:top w:val="none" w:sz="0" w:space="0" w:color="auto"/>
                <w:left w:val="none" w:sz="0" w:space="0" w:color="auto"/>
                <w:bottom w:val="none" w:sz="0" w:space="0" w:color="auto"/>
                <w:right w:val="none" w:sz="0" w:space="0" w:color="auto"/>
              </w:divBdr>
            </w:div>
            <w:div w:id="1507668892">
              <w:marLeft w:val="0"/>
              <w:marRight w:val="0"/>
              <w:marTop w:val="0"/>
              <w:marBottom w:val="0"/>
              <w:divBdr>
                <w:top w:val="none" w:sz="0" w:space="0" w:color="auto"/>
                <w:left w:val="none" w:sz="0" w:space="0" w:color="auto"/>
                <w:bottom w:val="none" w:sz="0" w:space="0" w:color="auto"/>
                <w:right w:val="none" w:sz="0" w:space="0" w:color="auto"/>
              </w:divBdr>
            </w:div>
            <w:div w:id="2088729041">
              <w:marLeft w:val="0"/>
              <w:marRight w:val="0"/>
              <w:marTop w:val="0"/>
              <w:marBottom w:val="0"/>
              <w:divBdr>
                <w:top w:val="none" w:sz="0" w:space="0" w:color="auto"/>
                <w:left w:val="none" w:sz="0" w:space="0" w:color="auto"/>
                <w:bottom w:val="none" w:sz="0" w:space="0" w:color="auto"/>
                <w:right w:val="none" w:sz="0" w:space="0" w:color="auto"/>
              </w:divBdr>
            </w:div>
            <w:div w:id="2040623143">
              <w:marLeft w:val="0"/>
              <w:marRight w:val="0"/>
              <w:marTop w:val="0"/>
              <w:marBottom w:val="0"/>
              <w:divBdr>
                <w:top w:val="none" w:sz="0" w:space="0" w:color="auto"/>
                <w:left w:val="none" w:sz="0" w:space="0" w:color="auto"/>
                <w:bottom w:val="none" w:sz="0" w:space="0" w:color="auto"/>
                <w:right w:val="none" w:sz="0" w:space="0" w:color="auto"/>
              </w:divBdr>
            </w:div>
            <w:div w:id="976644821">
              <w:marLeft w:val="0"/>
              <w:marRight w:val="0"/>
              <w:marTop w:val="0"/>
              <w:marBottom w:val="0"/>
              <w:divBdr>
                <w:top w:val="none" w:sz="0" w:space="0" w:color="auto"/>
                <w:left w:val="none" w:sz="0" w:space="0" w:color="auto"/>
                <w:bottom w:val="none" w:sz="0" w:space="0" w:color="auto"/>
                <w:right w:val="none" w:sz="0" w:space="0" w:color="auto"/>
              </w:divBdr>
            </w:div>
            <w:div w:id="423041410">
              <w:marLeft w:val="0"/>
              <w:marRight w:val="0"/>
              <w:marTop w:val="0"/>
              <w:marBottom w:val="0"/>
              <w:divBdr>
                <w:top w:val="none" w:sz="0" w:space="0" w:color="auto"/>
                <w:left w:val="none" w:sz="0" w:space="0" w:color="auto"/>
                <w:bottom w:val="none" w:sz="0" w:space="0" w:color="auto"/>
                <w:right w:val="none" w:sz="0" w:space="0" w:color="auto"/>
              </w:divBdr>
            </w:div>
            <w:div w:id="681005946">
              <w:marLeft w:val="0"/>
              <w:marRight w:val="0"/>
              <w:marTop w:val="0"/>
              <w:marBottom w:val="0"/>
              <w:divBdr>
                <w:top w:val="none" w:sz="0" w:space="0" w:color="auto"/>
                <w:left w:val="none" w:sz="0" w:space="0" w:color="auto"/>
                <w:bottom w:val="none" w:sz="0" w:space="0" w:color="auto"/>
                <w:right w:val="none" w:sz="0" w:space="0" w:color="auto"/>
              </w:divBdr>
            </w:div>
            <w:div w:id="188223964">
              <w:marLeft w:val="0"/>
              <w:marRight w:val="0"/>
              <w:marTop w:val="0"/>
              <w:marBottom w:val="0"/>
              <w:divBdr>
                <w:top w:val="none" w:sz="0" w:space="0" w:color="auto"/>
                <w:left w:val="none" w:sz="0" w:space="0" w:color="auto"/>
                <w:bottom w:val="none" w:sz="0" w:space="0" w:color="auto"/>
                <w:right w:val="none" w:sz="0" w:space="0" w:color="auto"/>
              </w:divBdr>
            </w:div>
            <w:div w:id="797264666">
              <w:marLeft w:val="0"/>
              <w:marRight w:val="0"/>
              <w:marTop w:val="0"/>
              <w:marBottom w:val="0"/>
              <w:divBdr>
                <w:top w:val="none" w:sz="0" w:space="0" w:color="auto"/>
                <w:left w:val="none" w:sz="0" w:space="0" w:color="auto"/>
                <w:bottom w:val="none" w:sz="0" w:space="0" w:color="auto"/>
                <w:right w:val="none" w:sz="0" w:space="0" w:color="auto"/>
              </w:divBdr>
            </w:div>
            <w:div w:id="1404718471">
              <w:marLeft w:val="0"/>
              <w:marRight w:val="0"/>
              <w:marTop w:val="0"/>
              <w:marBottom w:val="0"/>
              <w:divBdr>
                <w:top w:val="none" w:sz="0" w:space="0" w:color="auto"/>
                <w:left w:val="none" w:sz="0" w:space="0" w:color="auto"/>
                <w:bottom w:val="none" w:sz="0" w:space="0" w:color="auto"/>
                <w:right w:val="none" w:sz="0" w:space="0" w:color="auto"/>
              </w:divBdr>
            </w:div>
            <w:div w:id="1701933458">
              <w:marLeft w:val="0"/>
              <w:marRight w:val="0"/>
              <w:marTop w:val="0"/>
              <w:marBottom w:val="0"/>
              <w:divBdr>
                <w:top w:val="none" w:sz="0" w:space="0" w:color="auto"/>
                <w:left w:val="none" w:sz="0" w:space="0" w:color="auto"/>
                <w:bottom w:val="none" w:sz="0" w:space="0" w:color="auto"/>
                <w:right w:val="none" w:sz="0" w:space="0" w:color="auto"/>
              </w:divBdr>
            </w:div>
            <w:div w:id="389380231">
              <w:marLeft w:val="0"/>
              <w:marRight w:val="0"/>
              <w:marTop w:val="0"/>
              <w:marBottom w:val="0"/>
              <w:divBdr>
                <w:top w:val="none" w:sz="0" w:space="0" w:color="auto"/>
                <w:left w:val="none" w:sz="0" w:space="0" w:color="auto"/>
                <w:bottom w:val="none" w:sz="0" w:space="0" w:color="auto"/>
                <w:right w:val="none" w:sz="0" w:space="0" w:color="auto"/>
              </w:divBdr>
            </w:div>
            <w:div w:id="2146849011">
              <w:marLeft w:val="0"/>
              <w:marRight w:val="0"/>
              <w:marTop w:val="0"/>
              <w:marBottom w:val="0"/>
              <w:divBdr>
                <w:top w:val="none" w:sz="0" w:space="0" w:color="auto"/>
                <w:left w:val="none" w:sz="0" w:space="0" w:color="auto"/>
                <w:bottom w:val="none" w:sz="0" w:space="0" w:color="auto"/>
                <w:right w:val="none" w:sz="0" w:space="0" w:color="auto"/>
              </w:divBdr>
            </w:div>
            <w:div w:id="761604496">
              <w:marLeft w:val="0"/>
              <w:marRight w:val="0"/>
              <w:marTop w:val="0"/>
              <w:marBottom w:val="0"/>
              <w:divBdr>
                <w:top w:val="none" w:sz="0" w:space="0" w:color="auto"/>
                <w:left w:val="none" w:sz="0" w:space="0" w:color="auto"/>
                <w:bottom w:val="none" w:sz="0" w:space="0" w:color="auto"/>
                <w:right w:val="none" w:sz="0" w:space="0" w:color="auto"/>
              </w:divBdr>
            </w:div>
            <w:div w:id="2108697946">
              <w:marLeft w:val="0"/>
              <w:marRight w:val="0"/>
              <w:marTop w:val="0"/>
              <w:marBottom w:val="0"/>
              <w:divBdr>
                <w:top w:val="none" w:sz="0" w:space="0" w:color="auto"/>
                <w:left w:val="none" w:sz="0" w:space="0" w:color="auto"/>
                <w:bottom w:val="none" w:sz="0" w:space="0" w:color="auto"/>
                <w:right w:val="none" w:sz="0" w:space="0" w:color="auto"/>
              </w:divBdr>
            </w:div>
            <w:div w:id="1868985765">
              <w:marLeft w:val="0"/>
              <w:marRight w:val="0"/>
              <w:marTop w:val="0"/>
              <w:marBottom w:val="0"/>
              <w:divBdr>
                <w:top w:val="none" w:sz="0" w:space="0" w:color="auto"/>
                <w:left w:val="none" w:sz="0" w:space="0" w:color="auto"/>
                <w:bottom w:val="none" w:sz="0" w:space="0" w:color="auto"/>
                <w:right w:val="none" w:sz="0" w:space="0" w:color="auto"/>
              </w:divBdr>
            </w:div>
            <w:div w:id="1614827357">
              <w:marLeft w:val="0"/>
              <w:marRight w:val="0"/>
              <w:marTop w:val="0"/>
              <w:marBottom w:val="0"/>
              <w:divBdr>
                <w:top w:val="none" w:sz="0" w:space="0" w:color="auto"/>
                <w:left w:val="none" w:sz="0" w:space="0" w:color="auto"/>
                <w:bottom w:val="none" w:sz="0" w:space="0" w:color="auto"/>
                <w:right w:val="none" w:sz="0" w:space="0" w:color="auto"/>
              </w:divBdr>
            </w:div>
            <w:div w:id="974485995">
              <w:marLeft w:val="0"/>
              <w:marRight w:val="0"/>
              <w:marTop w:val="0"/>
              <w:marBottom w:val="0"/>
              <w:divBdr>
                <w:top w:val="none" w:sz="0" w:space="0" w:color="auto"/>
                <w:left w:val="none" w:sz="0" w:space="0" w:color="auto"/>
                <w:bottom w:val="none" w:sz="0" w:space="0" w:color="auto"/>
                <w:right w:val="none" w:sz="0" w:space="0" w:color="auto"/>
              </w:divBdr>
            </w:div>
            <w:div w:id="1297300673">
              <w:marLeft w:val="0"/>
              <w:marRight w:val="0"/>
              <w:marTop w:val="0"/>
              <w:marBottom w:val="0"/>
              <w:divBdr>
                <w:top w:val="none" w:sz="0" w:space="0" w:color="auto"/>
                <w:left w:val="none" w:sz="0" w:space="0" w:color="auto"/>
                <w:bottom w:val="none" w:sz="0" w:space="0" w:color="auto"/>
                <w:right w:val="none" w:sz="0" w:space="0" w:color="auto"/>
              </w:divBdr>
            </w:div>
            <w:div w:id="1694260200">
              <w:marLeft w:val="0"/>
              <w:marRight w:val="0"/>
              <w:marTop w:val="0"/>
              <w:marBottom w:val="0"/>
              <w:divBdr>
                <w:top w:val="none" w:sz="0" w:space="0" w:color="auto"/>
                <w:left w:val="none" w:sz="0" w:space="0" w:color="auto"/>
                <w:bottom w:val="none" w:sz="0" w:space="0" w:color="auto"/>
                <w:right w:val="none" w:sz="0" w:space="0" w:color="auto"/>
              </w:divBdr>
            </w:div>
            <w:div w:id="1779375096">
              <w:marLeft w:val="0"/>
              <w:marRight w:val="0"/>
              <w:marTop w:val="0"/>
              <w:marBottom w:val="0"/>
              <w:divBdr>
                <w:top w:val="none" w:sz="0" w:space="0" w:color="auto"/>
                <w:left w:val="none" w:sz="0" w:space="0" w:color="auto"/>
                <w:bottom w:val="none" w:sz="0" w:space="0" w:color="auto"/>
                <w:right w:val="none" w:sz="0" w:space="0" w:color="auto"/>
              </w:divBdr>
            </w:div>
            <w:div w:id="255097358">
              <w:marLeft w:val="0"/>
              <w:marRight w:val="0"/>
              <w:marTop w:val="0"/>
              <w:marBottom w:val="0"/>
              <w:divBdr>
                <w:top w:val="none" w:sz="0" w:space="0" w:color="auto"/>
                <w:left w:val="none" w:sz="0" w:space="0" w:color="auto"/>
                <w:bottom w:val="none" w:sz="0" w:space="0" w:color="auto"/>
                <w:right w:val="none" w:sz="0" w:space="0" w:color="auto"/>
              </w:divBdr>
            </w:div>
            <w:div w:id="187958890">
              <w:marLeft w:val="0"/>
              <w:marRight w:val="0"/>
              <w:marTop w:val="0"/>
              <w:marBottom w:val="0"/>
              <w:divBdr>
                <w:top w:val="none" w:sz="0" w:space="0" w:color="auto"/>
                <w:left w:val="none" w:sz="0" w:space="0" w:color="auto"/>
                <w:bottom w:val="none" w:sz="0" w:space="0" w:color="auto"/>
                <w:right w:val="none" w:sz="0" w:space="0" w:color="auto"/>
              </w:divBdr>
            </w:div>
            <w:div w:id="644513038">
              <w:marLeft w:val="0"/>
              <w:marRight w:val="0"/>
              <w:marTop w:val="0"/>
              <w:marBottom w:val="0"/>
              <w:divBdr>
                <w:top w:val="none" w:sz="0" w:space="0" w:color="auto"/>
                <w:left w:val="none" w:sz="0" w:space="0" w:color="auto"/>
                <w:bottom w:val="none" w:sz="0" w:space="0" w:color="auto"/>
                <w:right w:val="none" w:sz="0" w:space="0" w:color="auto"/>
              </w:divBdr>
            </w:div>
            <w:div w:id="905066825">
              <w:marLeft w:val="0"/>
              <w:marRight w:val="0"/>
              <w:marTop w:val="0"/>
              <w:marBottom w:val="0"/>
              <w:divBdr>
                <w:top w:val="none" w:sz="0" w:space="0" w:color="auto"/>
                <w:left w:val="none" w:sz="0" w:space="0" w:color="auto"/>
                <w:bottom w:val="none" w:sz="0" w:space="0" w:color="auto"/>
                <w:right w:val="none" w:sz="0" w:space="0" w:color="auto"/>
              </w:divBdr>
            </w:div>
            <w:div w:id="795291653">
              <w:marLeft w:val="0"/>
              <w:marRight w:val="0"/>
              <w:marTop w:val="0"/>
              <w:marBottom w:val="0"/>
              <w:divBdr>
                <w:top w:val="none" w:sz="0" w:space="0" w:color="auto"/>
                <w:left w:val="none" w:sz="0" w:space="0" w:color="auto"/>
                <w:bottom w:val="none" w:sz="0" w:space="0" w:color="auto"/>
                <w:right w:val="none" w:sz="0" w:space="0" w:color="auto"/>
              </w:divBdr>
            </w:div>
            <w:div w:id="1354264984">
              <w:marLeft w:val="0"/>
              <w:marRight w:val="0"/>
              <w:marTop w:val="0"/>
              <w:marBottom w:val="0"/>
              <w:divBdr>
                <w:top w:val="none" w:sz="0" w:space="0" w:color="auto"/>
                <w:left w:val="none" w:sz="0" w:space="0" w:color="auto"/>
                <w:bottom w:val="none" w:sz="0" w:space="0" w:color="auto"/>
                <w:right w:val="none" w:sz="0" w:space="0" w:color="auto"/>
              </w:divBdr>
            </w:div>
            <w:div w:id="1944531967">
              <w:marLeft w:val="0"/>
              <w:marRight w:val="0"/>
              <w:marTop w:val="0"/>
              <w:marBottom w:val="0"/>
              <w:divBdr>
                <w:top w:val="none" w:sz="0" w:space="0" w:color="auto"/>
                <w:left w:val="none" w:sz="0" w:space="0" w:color="auto"/>
                <w:bottom w:val="none" w:sz="0" w:space="0" w:color="auto"/>
                <w:right w:val="none" w:sz="0" w:space="0" w:color="auto"/>
              </w:divBdr>
            </w:div>
            <w:div w:id="1724212776">
              <w:marLeft w:val="0"/>
              <w:marRight w:val="0"/>
              <w:marTop w:val="0"/>
              <w:marBottom w:val="0"/>
              <w:divBdr>
                <w:top w:val="none" w:sz="0" w:space="0" w:color="auto"/>
                <w:left w:val="none" w:sz="0" w:space="0" w:color="auto"/>
                <w:bottom w:val="none" w:sz="0" w:space="0" w:color="auto"/>
                <w:right w:val="none" w:sz="0" w:space="0" w:color="auto"/>
              </w:divBdr>
            </w:div>
            <w:div w:id="922105552">
              <w:marLeft w:val="0"/>
              <w:marRight w:val="0"/>
              <w:marTop w:val="0"/>
              <w:marBottom w:val="0"/>
              <w:divBdr>
                <w:top w:val="none" w:sz="0" w:space="0" w:color="auto"/>
                <w:left w:val="none" w:sz="0" w:space="0" w:color="auto"/>
                <w:bottom w:val="none" w:sz="0" w:space="0" w:color="auto"/>
                <w:right w:val="none" w:sz="0" w:space="0" w:color="auto"/>
              </w:divBdr>
            </w:div>
            <w:div w:id="1792092582">
              <w:marLeft w:val="0"/>
              <w:marRight w:val="0"/>
              <w:marTop w:val="0"/>
              <w:marBottom w:val="0"/>
              <w:divBdr>
                <w:top w:val="none" w:sz="0" w:space="0" w:color="auto"/>
                <w:left w:val="none" w:sz="0" w:space="0" w:color="auto"/>
                <w:bottom w:val="none" w:sz="0" w:space="0" w:color="auto"/>
                <w:right w:val="none" w:sz="0" w:space="0" w:color="auto"/>
              </w:divBdr>
            </w:div>
            <w:div w:id="1676111478">
              <w:marLeft w:val="0"/>
              <w:marRight w:val="0"/>
              <w:marTop w:val="0"/>
              <w:marBottom w:val="0"/>
              <w:divBdr>
                <w:top w:val="none" w:sz="0" w:space="0" w:color="auto"/>
                <w:left w:val="none" w:sz="0" w:space="0" w:color="auto"/>
                <w:bottom w:val="none" w:sz="0" w:space="0" w:color="auto"/>
                <w:right w:val="none" w:sz="0" w:space="0" w:color="auto"/>
              </w:divBdr>
            </w:div>
            <w:div w:id="1135102245">
              <w:marLeft w:val="0"/>
              <w:marRight w:val="0"/>
              <w:marTop w:val="0"/>
              <w:marBottom w:val="0"/>
              <w:divBdr>
                <w:top w:val="none" w:sz="0" w:space="0" w:color="auto"/>
                <w:left w:val="none" w:sz="0" w:space="0" w:color="auto"/>
                <w:bottom w:val="none" w:sz="0" w:space="0" w:color="auto"/>
                <w:right w:val="none" w:sz="0" w:space="0" w:color="auto"/>
              </w:divBdr>
            </w:div>
            <w:div w:id="854029978">
              <w:marLeft w:val="0"/>
              <w:marRight w:val="0"/>
              <w:marTop w:val="0"/>
              <w:marBottom w:val="0"/>
              <w:divBdr>
                <w:top w:val="none" w:sz="0" w:space="0" w:color="auto"/>
                <w:left w:val="none" w:sz="0" w:space="0" w:color="auto"/>
                <w:bottom w:val="none" w:sz="0" w:space="0" w:color="auto"/>
                <w:right w:val="none" w:sz="0" w:space="0" w:color="auto"/>
              </w:divBdr>
            </w:div>
            <w:div w:id="791706415">
              <w:marLeft w:val="0"/>
              <w:marRight w:val="0"/>
              <w:marTop w:val="0"/>
              <w:marBottom w:val="0"/>
              <w:divBdr>
                <w:top w:val="none" w:sz="0" w:space="0" w:color="auto"/>
                <w:left w:val="none" w:sz="0" w:space="0" w:color="auto"/>
                <w:bottom w:val="none" w:sz="0" w:space="0" w:color="auto"/>
                <w:right w:val="none" w:sz="0" w:space="0" w:color="auto"/>
              </w:divBdr>
            </w:div>
            <w:div w:id="1978535095">
              <w:marLeft w:val="0"/>
              <w:marRight w:val="0"/>
              <w:marTop w:val="0"/>
              <w:marBottom w:val="0"/>
              <w:divBdr>
                <w:top w:val="none" w:sz="0" w:space="0" w:color="auto"/>
                <w:left w:val="none" w:sz="0" w:space="0" w:color="auto"/>
                <w:bottom w:val="none" w:sz="0" w:space="0" w:color="auto"/>
                <w:right w:val="none" w:sz="0" w:space="0" w:color="auto"/>
              </w:divBdr>
            </w:div>
            <w:div w:id="1136529338">
              <w:marLeft w:val="0"/>
              <w:marRight w:val="0"/>
              <w:marTop w:val="0"/>
              <w:marBottom w:val="0"/>
              <w:divBdr>
                <w:top w:val="none" w:sz="0" w:space="0" w:color="auto"/>
                <w:left w:val="none" w:sz="0" w:space="0" w:color="auto"/>
                <w:bottom w:val="none" w:sz="0" w:space="0" w:color="auto"/>
                <w:right w:val="none" w:sz="0" w:space="0" w:color="auto"/>
              </w:divBdr>
            </w:div>
            <w:div w:id="1912302759">
              <w:marLeft w:val="0"/>
              <w:marRight w:val="0"/>
              <w:marTop w:val="0"/>
              <w:marBottom w:val="0"/>
              <w:divBdr>
                <w:top w:val="none" w:sz="0" w:space="0" w:color="auto"/>
                <w:left w:val="none" w:sz="0" w:space="0" w:color="auto"/>
                <w:bottom w:val="none" w:sz="0" w:space="0" w:color="auto"/>
                <w:right w:val="none" w:sz="0" w:space="0" w:color="auto"/>
              </w:divBdr>
            </w:div>
            <w:div w:id="1815948719">
              <w:marLeft w:val="0"/>
              <w:marRight w:val="0"/>
              <w:marTop w:val="0"/>
              <w:marBottom w:val="0"/>
              <w:divBdr>
                <w:top w:val="none" w:sz="0" w:space="0" w:color="auto"/>
                <w:left w:val="none" w:sz="0" w:space="0" w:color="auto"/>
                <w:bottom w:val="none" w:sz="0" w:space="0" w:color="auto"/>
                <w:right w:val="none" w:sz="0" w:space="0" w:color="auto"/>
              </w:divBdr>
            </w:div>
            <w:div w:id="969936385">
              <w:marLeft w:val="0"/>
              <w:marRight w:val="0"/>
              <w:marTop w:val="0"/>
              <w:marBottom w:val="0"/>
              <w:divBdr>
                <w:top w:val="none" w:sz="0" w:space="0" w:color="auto"/>
                <w:left w:val="none" w:sz="0" w:space="0" w:color="auto"/>
                <w:bottom w:val="none" w:sz="0" w:space="0" w:color="auto"/>
                <w:right w:val="none" w:sz="0" w:space="0" w:color="auto"/>
              </w:divBdr>
            </w:div>
            <w:div w:id="938876975">
              <w:marLeft w:val="0"/>
              <w:marRight w:val="0"/>
              <w:marTop w:val="0"/>
              <w:marBottom w:val="0"/>
              <w:divBdr>
                <w:top w:val="none" w:sz="0" w:space="0" w:color="auto"/>
                <w:left w:val="none" w:sz="0" w:space="0" w:color="auto"/>
                <w:bottom w:val="none" w:sz="0" w:space="0" w:color="auto"/>
                <w:right w:val="none" w:sz="0" w:space="0" w:color="auto"/>
              </w:divBdr>
            </w:div>
            <w:div w:id="895319825">
              <w:marLeft w:val="0"/>
              <w:marRight w:val="0"/>
              <w:marTop w:val="0"/>
              <w:marBottom w:val="0"/>
              <w:divBdr>
                <w:top w:val="none" w:sz="0" w:space="0" w:color="auto"/>
                <w:left w:val="none" w:sz="0" w:space="0" w:color="auto"/>
                <w:bottom w:val="none" w:sz="0" w:space="0" w:color="auto"/>
                <w:right w:val="none" w:sz="0" w:space="0" w:color="auto"/>
              </w:divBdr>
            </w:div>
            <w:div w:id="1601714787">
              <w:marLeft w:val="0"/>
              <w:marRight w:val="0"/>
              <w:marTop w:val="0"/>
              <w:marBottom w:val="0"/>
              <w:divBdr>
                <w:top w:val="none" w:sz="0" w:space="0" w:color="auto"/>
                <w:left w:val="none" w:sz="0" w:space="0" w:color="auto"/>
                <w:bottom w:val="none" w:sz="0" w:space="0" w:color="auto"/>
                <w:right w:val="none" w:sz="0" w:space="0" w:color="auto"/>
              </w:divBdr>
            </w:div>
            <w:div w:id="3945348">
              <w:marLeft w:val="0"/>
              <w:marRight w:val="0"/>
              <w:marTop w:val="0"/>
              <w:marBottom w:val="0"/>
              <w:divBdr>
                <w:top w:val="none" w:sz="0" w:space="0" w:color="auto"/>
                <w:left w:val="none" w:sz="0" w:space="0" w:color="auto"/>
                <w:bottom w:val="none" w:sz="0" w:space="0" w:color="auto"/>
                <w:right w:val="none" w:sz="0" w:space="0" w:color="auto"/>
              </w:divBdr>
            </w:div>
            <w:div w:id="1905018257">
              <w:marLeft w:val="0"/>
              <w:marRight w:val="0"/>
              <w:marTop w:val="0"/>
              <w:marBottom w:val="0"/>
              <w:divBdr>
                <w:top w:val="none" w:sz="0" w:space="0" w:color="auto"/>
                <w:left w:val="none" w:sz="0" w:space="0" w:color="auto"/>
                <w:bottom w:val="none" w:sz="0" w:space="0" w:color="auto"/>
                <w:right w:val="none" w:sz="0" w:space="0" w:color="auto"/>
              </w:divBdr>
            </w:div>
            <w:div w:id="1619070406">
              <w:marLeft w:val="0"/>
              <w:marRight w:val="0"/>
              <w:marTop w:val="0"/>
              <w:marBottom w:val="0"/>
              <w:divBdr>
                <w:top w:val="none" w:sz="0" w:space="0" w:color="auto"/>
                <w:left w:val="none" w:sz="0" w:space="0" w:color="auto"/>
                <w:bottom w:val="none" w:sz="0" w:space="0" w:color="auto"/>
                <w:right w:val="none" w:sz="0" w:space="0" w:color="auto"/>
              </w:divBdr>
            </w:div>
            <w:div w:id="1883441288">
              <w:marLeft w:val="0"/>
              <w:marRight w:val="0"/>
              <w:marTop w:val="0"/>
              <w:marBottom w:val="0"/>
              <w:divBdr>
                <w:top w:val="none" w:sz="0" w:space="0" w:color="auto"/>
                <w:left w:val="none" w:sz="0" w:space="0" w:color="auto"/>
                <w:bottom w:val="none" w:sz="0" w:space="0" w:color="auto"/>
                <w:right w:val="none" w:sz="0" w:space="0" w:color="auto"/>
              </w:divBdr>
            </w:div>
            <w:div w:id="1503350928">
              <w:marLeft w:val="0"/>
              <w:marRight w:val="0"/>
              <w:marTop w:val="0"/>
              <w:marBottom w:val="0"/>
              <w:divBdr>
                <w:top w:val="none" w:sz="0" w:space="0" w:color="auto"/>
                <w:left w:val="none" w:sz="0" w:space="0" w:color="auto"/>
                <w:bottom w:val="none" w:sz="0" w:space="0" w:color="auto"/>
                <w:right w:val="none" w:sz="0" w:space="0" w:color="auto"/>
              </w:divBdr>
            </w:div>
            <w:div w:id="1197546274">
              <w:marLeft w:val="0"/>
              <w:marRight w:val="0"/>
              <w:marTop w:val="0"/>
              <w:marBottom w:val="0"/>
              <w:divBdr>
                <w:top w:val="none" w:sz="0" w:space="0" w:color="auto"/>
                <w:left w:val="none" w:sz="0" w:space="0" w:color="auto"/>
                <w:bottom w:val="none" w:sz="0" w:space="0" w:color="auto"/>
                <w:right w:val="none" w:sz="0" w:space="0" w:color="auto"/>
              </w:divBdr>
            </w:div>
            <w:div w:id="135492945">
              <w:marLeft w:val="0"/>
              <w:marRight w:val="0"/>
              <w:marTop w:val="0"/>
              <w:marBottom w:val="0"/>
              <w:divBdr>
                <w:top w:val="none" w:sz="0" w:space="0" w:color="auto"/>
                <w:left w:val="none" w:sz="0" w:space="0" w:color="auto"/>
                <w:bottom w:val="none" w:sz="0" w:space="0" w:color="auto"/>
                <w:right w:val="none" w:sz="0" w:space="0" w:color="auto"/>
              </w:divBdr>
            </w:div>
            <w:div w:id="1275090235">
              <w:marLeft w:val="0"/>
              <w:marRight w:val="0"/>
              <w:marTop w:val="0"/>
              <w:marBottom w:val="0"/>
              <w:divBdr>
                <w:top w:val="none" w:sz="0" w:space="0" w:color="auto"/>
                <w:left w:val="none" w:sz="0" w:space="0" w:color="auto"/>
                <w:bottom w:val="none" w:sz="0" w:space="0" w:color="auto"/>
                <w:right w:val="none" w:sz="0" w:space="0" w:color="auto"/>
              </w:divBdr>
            </w:div>
            <w:div w:id="1699426430">
              <w:marLeft w:val="0"/>
              <w:marRight w:val="0"/>
              <w:marTop w:val="0"/>
              <w:marBottom w:val="0"/>
              <w:divBdr>
                <w:top w:val="none" w:sz="0" w:space="0" w:color="auto"/>
                <w:left w:val="none" w:sz="0" w:space="0" w:color="auto"/>
                <w:bottom w:val="none" w:sz="0" w:space="0" w:color="auto"/>
                <w:right w:val="none" w:sz="0" w:space="0" w:color="auto"/>
              </w:divBdr>
            </w:div>
            <w:div w:id="1768961028">
              <w:marLeft w:val="0"/>
              <w:marRight w:val="0"/>
              <w:marTop w:val="0"/>
              <w:marBottom w:val="0"/>
              <w:divBdr>
                <w:top w:val="none" w:sz="0" w:space="0" w:color="auto"/>
                <w:left w:val="none" w:sz="0" w:space="0" w:color="auto"/>
                <w:bottom w:val="none" w:sz="0" w:space="0" w:color="auto"/>
                <w:right w:val="none" w:sz="0" w:space="0" w:color="auto"/>
              </w:divBdr>
            </w:div>
            <w:div w:id="236520557">
              <w:marLeft w:val="0"/>
              <w:marRight w:val="0"/>
              <w:marTop w:val="0"/>
              <w:marBottom w:val="0"/>
              <w:divBdr>
                <w:top w:val="none" w:sz="0" w:space="0" w:color="auto"/>
                <w:left w:val="none" w:sz="0" w:space="0" w:color="auto"/>
                <w:bottom w:val="none" w:sz="0" w:space="0" w:color="auto"/>
                <w:right w:val="none" w:sz="0" w:space="0" w:color="auto"/>
              </w:divBdr>
            </w:div>
            <w:div w:id="1126390271">
              <w:marLeft w:val="0"/>
              <w:marRight w:val="0"/>
              <w:marTop w:val="0"/>
              <w:marBottom w:val="0"/>
              <w:divBdr>
                <w:top w:val="none" w:sz="0" w:space="0" w:color="auto"/>
                <w:left w:val="none" w:sz="0" w:space="0" w:color="auto"/>
                <w:bottom w:val="none" w:sz="0" w:space="0" w:color="auto"/>
                <w:right w:val="none" w:sz="0" w:space="0" w:color="auto"/>
              </w:divBdr>
            </w:div>
            <w:div w:id="775635237">
              <w:marLeft w:val="0"/>
              <w:marRight w:val="0"/>
              <w:marTop w:val="0"/>
              <w:marBottom w:val="0"/>
              <w:divBdr>
                <w:top w:val="none" w:sz="0" w:space="0" w:color="auto"/>
                <w:left w:val="none" w:sz="0" w:space="0" w:color="auto"/>
                <w:bottom w:val="none" w:sz="0" w:space="0" w:color="auto"/>
                <w:right w:val="none" w:sz="0" w:space="0" w:color="auto"/>
              </w:divBdr>
            </w:div>
            <w:div w:id="1442072847">
              <w:marLeft w:val="0"/>
              <w:marRight w:val="0"/>
              <w:marTop w:val="0"/>
              <w:marBottom w:val="0"/>
              <w:divBdr>
                <w:top w:val="none" w:sz="0" w:space="0" w:color="auto"/>
                <w:left w:val="none" w:sz="0" w:space="0" w:color="auto"/>
                <w:bottom w:val="none" w:sz="0" w:space="0" w:color="auto"/>
                <w:right w:val="none" w:sz="0" w:space="0" w:color="auto"/>
              </w:divBdr>
            </w:div>
            <w:div w:id="1903364889">
              <w:marLeft w:val="0"/>
              <w:marRight w:val="0"/>
              <w:marTop w:val="0"/>
              <w:marBottom w:val="0"/>
              <w:divBdr>
                <w:top w:val="none" w:sz="0" w:space="0" w:color="auto"/>
                <w:left w:val="none" w:sz="0" w:space="0" w:color="auto"/>
                <w:bottom w:val="none" w:sz="0" w:space="0" w:color="auto"/>
                <w:right w:val="none" w:sz="0" w:space="0" w:color="auto"/>
              </w:divBdr>
            </w:div>
            <w:div w:id="1027293043">
              <w:marLeft w:val="0"/>
              <w:marRight w:val="0"/>
              <w:marTop w:val="0"/>
              <w:marBottom w:val="0"/>
              <w:divBdr>
                <w:top w:val="none" w:sz="0" w:space="0" w:color="auto"/>
                <w:left w:val="none" w:sz="0" w:space="0" w:color="auto"/>
                <w:bottom w:val="none" w:sz="0" w:space="0" w:color="auto"/>
                <w:right w:val="none" w:sz="0" w:space="0" w:color="auto"/>
              </w:divBdr>
            </w:div>
            <w:div w:id="828139112">
              <w:marLeft w:val="0"/>
              <w:marRight w:val="0"/>
              <w:marTop w:val="0"/>
              <w:marBottom w:val="0"/>
              <w:divBdr>
                <w:top w:val="none" w:sz="0" w:space="0" w:color="auto"/>
                <w:left w:val="none" w:sz="0" w:space="0" w:color="auto"/>
                <w:bottom w:val="none" w:sz="0" w:space="0" w:color="auto"/>
                <w:right w:val="none" w:sz="0" w:space="0" w:color="auto"/>
              </w:divBdr>
            </w:div>
            <w:div w:id="1014962829">
              <w:marLeft w:val="0"/>
              <w:marRight w:val="0"/>
              <w:marTop w:val="0"/>
              <w:marBottom w:val="0"/>
              <w:divBdr>
                <w:top w:val="none" w:sz="0" w:space="0" w:color="auto"/>
                <w:left w:val="none" w:sz="0" w:space="0" w:color="auto"/>
                <w:bottom w:val="none" w:sz="0" w:space="0" w:color="auto"/>
                <w:right w:val="none" w:sz="0" w:space="0" w:color="auto"/>
              </w:divBdr>
            </w:div>
            <w:div w:id="330450948">
              <w:marLeft w:val="0"/>
              <w:marRight w:val="0"/>
              <w:marTop w:val="0"/>
              <w:marBottom w:val="0"/>
              <w:divBdr>
                <w:top w:val="none" w:sz="0" w:space="0" w:color="auto"/>
                <w:left w:val="none" w:sz="0" w:space="0" w:color="auto"/>
                <w:bottom w:val="none" w:sz="0" w:space="0" w:color="auto"/>
                <w:right w:val="none" w:sz="0" w:space="0" w:color="auto"/>
              </w:divBdr>
            </w:div>
            <w:div w:id="18071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988">
      <w:bodyDiv w:val="1"/>
      <w:marLeft w:val="0"/>
      <w:marRight w:val="0"/>
      <w:marTop w:val="0"/>
      <w:marBottom w:val="0"/>
      <w:divBdr>
        <w:top w:val="none" w:sz="0" w:space="0" w:color="auto"/>
        <w:left w:val="none" w:sz="0" w:space="0" w:color="auto"/>
        <w:bottom w:val="none" w:sz="0" w:space="0" w:color="auto"/>
        <w:right w:val="none" w:sz="0" w:space="0" w:color="auto"/>
      </w:divBdr>
      <w:divsChild>
        <w:div w:id="733238798">
          <w:marLeft w:val="480"/>
          <w:marRight w:val="0"/>
          <w:marTop w:val="0"/>
          <w:marBottom w:val="0"/>
          <w:divBdr>
            <w:top w:val="none" w:sz="0" w:space="0" w:color="auto"/>
            <w:left w:val="none" w:sz="0" w:space="0" w:color="auto"/>
            <w:bottom w:val="none" w:sz="0" w:space="0" w:color="auto"/>
            <w:right w:val="none" w:sz="0" w:space="0" w:color="auto"/>
          </w:divBdr>
          <w:divsChild>
            <w:div w:id="64037004">
              <w:marLeft w:val="0"/>
              <w:marRight w:val="0"/>
              <w:marTop w:val="0"/>
              <w:marBottom w:val="0"/>
              <w:divBdr>
                <w:top w:val="none" w:sz="0" w:space="0" w:color="auto"/>
                <w:left w:val="none" w:sz="0" w:space="0" w:color="auto"/>
                <w:bottom w:val="none" w:sz="0" w:space="0" w:color="auto"/>
                <w:right w:val="none" w:sz="0" w:space="0" w:color="auto"/>
              </w:divBdr>
            </w:div>
            <w:div w:id="780032468">
              <w:marLeft w:val="0"/>
              <w:marRight w:val="0"/>
              <w:marTop w:val="0"/>
              <w:marBottom w:val="0"/>
              <w:divBdr>
                <w:top w:val="none" w:sz="0" w:space="0" w:color="auto"/>
                <w:left w:val="none" w:sz="0" w:space="0" w:color="auto"/>
                <w:bottom w:val="none" w:sz="0" w:space="0" w:color="auto"/>
                <w:right w:val="none" w:sz="0" w:space="0" w:color="auto"/>
              </w:divBdr>
            </w:div>
            <w:div w:id="985625724">
              <w:marLeft w:val="0"/>
              <w:marRight w:val="0"/>
              <w:marTop w:val="0"/>
              <w:marBottom w:val="0"/>
              <w:divBdr>
                <w:top w:val="none" w:sz="0" w:space="0" w:color="auto"/>
                <w:left w:val="none" w:sz="0" w:space="0" w:color="auto"/>
                <w:bottom w:val="none" w:sz="0" w:space="0" w:color="auto"/>
                <w:right w:val="none" w:sz="0" w:space="0" w:color="auto"/>
              </w:divBdr>
            </w:div>
            <w:div w:id="1789854816">
              <w:marLeft w:val="0"/>
              <w:marRight w:val="0"/>
              <w:marTop w:val="0"/>
              <w:marBottom w:val="0"/>
              <w:divBdr>
                <w:top w:val="none" w:sz="0" w:space="0" w:color="auto"/>
                <w:left w:val="none" w:sz="0" w:space="0" w:color="auto"/>
                <w:bottom w:val="none" w:sz="0" w:space="0" w:color="auto"/>
                <w:right w:val="none" w:sz="0" w:space="0" w:color="auto"/>
              </w:divBdr>
            </w:div>
            <w:div w:id="1895316004">
              <w:marLeft w:val="0"/>
              <w:marRight w:val="0"/>
              <w:marTop w:val="0"/>
              <w:marBottom w:val="0"/>
              <w:divBdr>
                <w:top w:val="none" w:sz="0" w:space="0" w:color="auto"/>
                <w:left w:val="none" w:sz="0" w:space="0" w:color="auto"/>
                <w:bottom w:val="none" w:sz="0" w:space="0" w:color="auto"/>
                <w:right w:val="none" w:sz="0" w:space="0" w:color="auto"/>
              </w:divBdr>
            </w:div>
            <w:div w:id="305748503">
              <w:marLeft w:val="0"/>
              <w:marRight w:val="0"/>
              <w:marTop w:val="0"/>
              <w:marBottom w:val="0"/>
              <w:divBdr>
                <w:top w:val="none" w:sz="0" w:space="0" w:color="auto"/>
                <w:left w:val="none" w:sz="0" w:space="0" w:color="auto"/>
                <w:bottom w:val="none" w:sz="0" w:space="0" w:color="auto"/>
                <w:right w:val="none" w:sz="0" w:space="0" w:color="auto"/>
              </w:divBdr>
            </w:div>
            <w:div w:id="1407648917">
              <w:marLeft w:val="0"/>
              <w:marRight w:val="0"/>
              <w:marTop w:val="0"/>
              <w:marBottom w:val="0"/>
              <w:divBdr>
                <w:top w:val="none" w:sz="0" w:space="0" w:color="auto"/>
                <w:left w:val="none" w:sz="0" w:space="0" w:color="auto"/>
                <w:bottom w:val="none" w:sz="0" w:space="0" w:color="auto"/>
                <w:right w:val="none" w:sz="0" w:space="0" w:color="auto"/>
              </w:divBdr>
            </w:div>
            <w:div w:id="1450392923">
              <w:marLeft w:val="0"/>
              <w:marRight w:val="0"/>
              <w:marTop w:val="0"/>
              <w:marBottom w:val="0"/>
              <w:divBdr>
                <w:top w:val="none" w:sz="0" w:space="0" w:color="auto"/>
                <w:left w:val="none" w:sz="0" w:space="0" w:color="auto"/>
                <w:bottom w:val="none" w:sz="0" w:space="0" w:color="auto"/>
                <w:right w:val="none" w:sz="0" w:space="0" w:color="auto"/>
              </w:divBdr>
            </w:div>
            <w:div w:id="1445542237">
              <w:marLeft w:val="0"/>
              <w:marRight w:val="0"/>
              <w:marTop w:val="0"/>
              <w:marBottom w:val="0"/>
              <w:divBdr>
                <w:top w:val="none" w:sz="0" w:space="0" w:color="auto"/>
                <w:left w:val="none" w:sz="0" w:space="0" w:color="auto"/>
                <w:bottom w:val="none" w:sz="0" w:space="0" w:color="auto"/>
                <w:right w:val="none" w:sz="0" w:space="0" w:color="auto"/>
              </w:divBdr>
            </w:div>
            <w:div w:id="770659664">
              <w:marLeft w:val="0"/>
              <w:marRight w:val="0"/>
              <w:marTop w:val="0"/>
              <w:marBottom w:val="0"/>
              <w:divBdr>
                <w:top w:val="none" w:sz="0" w:space="0" w:color="auto"/>
                <w:left w:val="none" w:sz="0" w:space="0" w:color="auto"/>
                <w:bottom w:val="none" w:sz="0" w:space="0" w:color="auto"/>
                <w:right w:val="none" w:sz="0" w:space="0" w:color="auto"/>
              </w:divBdr>
            </w:div>
            <w:div w:id="116030403">
              <w:marLeft w:val="0"/>
              <w:marRight w:val="0"/>
              <w:marTop w:val="0"/>
              <w:marBottom w:val="0"/>
              <w:divBdr>
                <w:top w:val="none" w:sz="0" w:space="0" w:color="auto"/>
                <w:left w:val="none" w:sz="0" w:space="0" w:color="auto"/>
                <w:bottom w:val="none" w:sz="0" w:space="0" w:color="auto"/>
                <w:right w:val="none" w:sz="0" w:space="0" w:color="auto"/>
              </w:divBdr>
            </w:div>
            <w:div w:id="148323924">
              <w:marLeft w:val="0"/>
              <w:marRight w:val="0"/>
              <w:marTop w:val="0"/>
              <w:marBottom w:val="0"/>
              <w:divBdr>
                <w:top w:val="none" w:sz="0" w:space="0" w:color="auto"/>
                <w:left w:val="none" w:sz="0" w:space="0" w:color="auto"/>
                <w:bottom w:val="none" w:sz="0" w:space="0" w:color="auto"/>
                <w:right w:val="none" w:sz="0" w:space="0" w:color="auto"/>
              </w:divBdr>
            </w:div>
            <w:div w:id="629483294">
              <w:marLeft w:val="0"/>
              <w:marRight w:val="0"/>
              <w:marTop w:val="0"/>
              <w:marBottom w:val="0"/>
              <w:divBdr>
                <w:top w:val="none" w:sz="0" w:space="0" w:color="auto"/>
                <w:left w:val="none" w:sz="0" w:space="0" w:color="auto"/>
                <w:bottom w:val="none" w:sz="0" w:space="0" w:color="auto"/>
                <w:right w:val="none" w:sz="0" w:space="0" w:color="auto"/>
              </w:divBdr>
            </w:div>
            <w:div w:id="881870607">
              <w:marLeft w:val="0"/>
              <w:marRight w:val="0"/>
              <w:marTop w:val="0"/>
              <w:marBottom w:val="0"/>
              <w:divBdr>
                <w:top w:val="none" w:sz="0" w:space="0" w:color="auto"/>
                <w:left w:val="none" w:sz="0" w:space="0" w:color="auto"/>
                <w:bottom w:val="none" w:sz="0" w:space="0" w:color="auto"/>
                <w:right w:val="none" w:sz="0" w:space="0" w:color="auto"/>
              </w:divBdr>
            </w:div>
            <w:div w:id="926691417">
              <w:marLeft w:val="0"/>
              <w:marRight w:val="0"/>
              <w:marTop w:val="0"/>
              <w:marBottom w:val="0"/>
              <w:divBdr>
                <w:top w:val="none" w:sz="0" w:space="0" w:color="auto"/>
                <w:left w:val="none" w:sz="0" w:space="0" w:color="auto"/>
                <w:bottom w:val="none" w:sz="0" w:space="0" w:color="auto"/>
                <w:right w:val="none" w:sz="0" w:space="0" w:color="auto"/>
              </w:divBdr>
            </w:div>
            <w:div w:id="1432311532">
              <w:marLeft w:val="0"/>
              <w:marRight w:val="0"/>
              <w:marTop w:val="0"/>
              <w:marBottom w:val="0"/>
              <w:divBdr>
                <w:top w:val="none" w:sz="0" w:space="0" w:color="auto"/>
                <w:left w:val="none" w:sz="0" w:space="0" w:color="auto"/>
                <w:bottom w:val="none" w:sz="0" w:space="0" w:color="auto"/>
                <w:right w:val="none" w:sz="0" w:space="0" w:color="auto"/>
              </w:divBdr>
            </w:div>
            <w:div w:id="795294361">
              <w:marLeft w:val="0"/>
              <w:marRight w:val="0"/>
              <w:marTop w:val="0"/>
              <w:marBottom w:val="0"/>
              <w:divBdr>
                <w:top w:val="none" w:sz="0" w:space="0" w:color="auto"/>
                <w:left w:val="none" w:sz="0" w:space="0" w:color="auto"/>
                <w:bottom w:val="none" w:sz="0" w:space="0" w:color="auto"/>
                <w:right w:val="none" w:sz="0" w:space="0" w:color="auto"/>
              </w:divBdr>
            </w:div>
            <w:div w:id="645352211">
              <w:marLeft w:val="0"/>
              <w:marRight w:val="0"/>
              <w:marTop w:val="0"/>
              <w:marBottom w:val="0"/>
              <w:divBdr>
                <w:top w:val="none" w:sz="0" w:space="0" w:color="auto"/>
                <w:left w:val="none" w:sz="0" w:space="0" w:color="auto"/>
                <w:bottom w:val="none" w:sz="0" w:space="0" w:color="auto"/>
                <w:right w:val="none" w:sz="0" w:space="0" w:color="auto"/>
              </w:divBdr>
            </w:div>
            <w:div w:id="611934098">
              <w:marLeft w:val="0"/>
              <w:marRight w:val="0"/>
              <w:marTop w:val="0"/>
              <w:marBottom w:val="0"/>
              <w:divBdr>
                <w:top w:val="none" w:sz="0" w:space="0" w:color="auto"/>
                <w:left w:val="none" w:sz="0" w:space="0" w:color="auto"/>
                <w:bottom w:val="none" w:sz="0" w:space="0" w:color="auto"/>
                <w:right w:val="none" w:sz="0" w:space="0" w:color="auto"/>
              </w:divBdr>
            </w:div>
            <w:div w:id="369110778">
              <w:marLeft w:val="0"/>
              <w:marRight w:val="0"/>
              <w:marTop w:val="0"/>
              <w:marBottom w:val="0"/>
              <w:divBdr>
                <w:top w:val="none" w:sz="0" w:space="0" w:color="auto"/>
                <w:left w:val="none" w:sz="0" w:space="0" w:color="auto"/>
                <w:bottom w:val="none" w:sz="0" w:space="0" w:color="auto"/>
                <w:right w:val="none" w:sz="0" w:space="0" w:color="auto"/>
              </w:divBdr>
            </w:div>
            <w:div w:id="1069888063">
              <w:marLeft w:val="0"/>
              <w:marRight w:val="0"/>
              <w:marTop w:val="0"/>
              <w:marBottom w:val="0"/>
              <w:divBdr>
                <w:top w:val="none" w:sz="0" w:space="0" w:color="auto"/>
                <w:left w:val="none" w:sz="0" w:space="0" w:color="auto"/>
                <w:bottom w:val="none" w:sz="0" w:space="0" w:color="auto"/>
                <w:right w:val="none" w:sz="0" w:space="0" w:color="auto"/>
              </w:divBdr>
            </w:div>
            <w:div w:id="971984880">
              <w:marLeft w:val="0"/>
              <w:marRight w:val="0"/>
              <w:marTop w:val="0"/>
              <w:marBottom w:val="0"/>
              <w:divBdr>
                <w:top w:val="none" w:sz="0" w:space="0" w:color="auto"/>
                <w:left w:val="none" w:sz="0" w:space="0" w:color="auto"/>
                <w:bottom w:val="none" w:sz="0" w:space="0" w:color="auto"/>
                <w:right w:val="none" w:sz="0" w:space="0" w:color="auto"/>
              </w:divBdr>
            </w:div>
            <w:div w:id="1436554795">
              <w:marLeft w:val="0"/>
              <w:marRight w:val="0"/>
              <w:marTop w:val="0"/>
              <w:marBottom w:val="0"/>
              <w:divBdr>
                <w:top w:val="none" w:sz="0" w:space="0" w:color="auto"/>
                <w:left w:val="none" w:sz="0" w:space="0" w:color="auto"/>
                <w:bottom w:val="none" w:sz="0" w:space="0" w:color="auto"/>
                <w:right w:val="none" w:sz="0" w:space="0" w:color="auto"/>
              </w:divBdr>
            </w:div>
            <w:div w:id="177887544">
              <w:marLeft w:val="0"/>
              <w:marRight w:val="0"/>
              <w:marTop w:val="0"/>
              <w:marBottom w:val="0"/>
              <w:divBdr>
                <w:top w:val="none" w:sz="0" w:space="0" w:color="auto"/>
                <w:left w:val="none" w:sz="0" w:space="0" w:color="auto"/>
                <w:bottom w:val="none" w:sz="0" w:space="0" w:color="auto"/>
                <w:right w:val="none" w:sz="0" w:space="0" w:color="auto"/>
              </w:divBdr>
            </w:div>
            <w:div w:id="1696342116">
              <w:marLeft w:val="0"/>
              <w:marRight w:val="0"/>
              <w:marTop w:val="0"/>
              <w:marBottom w:val="0"/>
              <w:divBdr>
                <w:top w:val="none" w:sz="0" w:space="0" w:color="auto"/>
                <w:left w:val="none" w:sz="0" w:space="0" w:color="auto"/>
                <w:bottom w:val="none" w:sz="0" w:space="0" w:color="auto"/>
                <w:right w:val="none" w:sz="0" w:space="0" w:color="auto"/>
              </w:divBdr>
            </w:div>
            <w:div w:id="553732966">
              <w:marLeft w:val="0"/>
              <w:marRight w:val="0"/>
              <w:marTop w:val="0"/>
              <w:marBottom w:val="0"/>
              <w:divBdr>
                <w:top w:val="none" w:sz="0" w:space="0" w:color="auto"/>
                <w:left w:val="none" w:sz="0" w:space="0" w:color="auto"/>
                <w:bottom w:val="none" w:sz="0" w:space="0" w:color="auto"/>
                <w:right w:val="none" w:sz="0" w:space="0" w:color="auto"/>
              </w:divBdr>
            </w:div>
            <w:div w:id="688605205">
              <w:marLeft w:val="0"/>
              <w:marRight w:val="0"/>
              <w:marTop w:val="0"/>
              <w:marBottom w:val="0"/>
              <w:divBdr>
                <w:top w:val="none" w:sz="0" w:space="0" w:color="auto"/>
                <w:left w:val="none" w:sz="0" w:space="0" w:color="auto"/>
                <w:bottom w:val="none" w:sz="0" w:space="0" w:color="auto"/>
                <w:right w:val="none" w:sz="0" w:space="0" w:color="auto"/>
              </w:divBdr>
            </w:div>
            <w:div w:id="1719938784">
              <w:marLeft w:val="0"/>
              <w:marRight w:val="0"/>
              <w:marTop w:val="0"/>
              <w:marBottom w:val="0"/>
              <w:divBdr>
                <w:top w:val="none" w:sz="0" w:space="0" w:color="auto"/>
                <w:left w:val="none" w:sz="0" w:space="0" w:color="auto"/>
                <w:bottom w:val="none" w:sz="0" w:space="0" w:color="auto"/>
                <w:right w:val="none" w:sz="0" w:space="0" w:color="auto"/>
              </w:divBdr>
            </w:div>
            <w:div w:id="1751390979">
              <w:marLeft w:val="0"/>
              <w:marRight w:val="0"/>
              <w:marTop w:val="0"/>
              <w:marBottom w:val="0"/>
              <w:divBdr>
                <w:top w:val="none" w:sz="0" w:space="0" w:color="auto"/>
                <w:left w:val="none" w:sz="0" w:space="0" w:color="auto"/>
                <w:bottom w:val="none" w:sz="0" w:space="0" w:color="auto"/>
                <w:right w:val="none" w:sz="0" w:space="0" w:color="auto"/>
              </w:divBdr>
            </w:div>
            <w:div w:id="1697806457">
              <w:marLeft w:val="0"/>
              <w:marRight w:val="0"/>
              <w:marTop w:val="0"/>
              <w:marBottom w:val="0"/>
              <w:divBdr>
                <w:top w:val="none" w:sz="0" w:space="0" w:color="auto"/>
                <w:left w:val="none" w:sz="0" w:space="0" w:color="auto"/>
                <w:bottom w:val="none" w:sz="0" w:space="0" w:color="auto"/>
                <w:right w:val="none" w:sz="0" w:space="0" w:color="auto"/>
              </w:divBdr>
            </w:div>
            <w:div w:id="1525510691">
              <w:marLeft w:val="0"/>
              <w:marRight w:val="0"/>
              <w:marTop w:val="0"/>
              <w:marBottom w:val="0"/>
              <w:divBdr>
                <w:top w:val="none" w:sz="0" w:space="0" w:color="auto"/>
                <w:left w:val="none" w:sz="0" w:space="0" w:color="auto"/>
                <w:bottom w:val="none" w:sz="0" w:space="0" w:color="auto"/>
                <w:right w:val="none" w:sz="0" w:space="0" w:color="auto"/>
              </w:divBdr>
            </w:div>
            <w:div w:id="1536383038">
              <w:marLeft w:val="0"/>
              <w:marRight w:val="0"/>
              <w:marTop w:val="0"/>
              <w:marBottom w:val="0"/>
              <w:divBdr>
                <w:top w:val="none" w:sz="0" w:space="0" w:color="auto"/>
                <w:left w:val="none" w:sz="0" w:space="0" w:color="auto"/>
                <w:bottom w:val="none" w:sz="0" w:space="0" w:color="auto"/>
                <w:right w:val="none" w:sz="0" w:space="0" w:color="auto"/>
              </w:divBdr>
            </w:div>
            <w:div w:id="1603223890">
              <w:marLeft w:val="0"/>
              <w:marRight w:val="0"/>
              <w:marTop w:val="0"/>
              <w:marBottom w:val="0"/>
              <w:divBdr>
                <w:top w:val="none" w:sz="0" w:space="0" w:color="auto"/>
                <w:left w:val="none" w:sz="0" w:space="0" w:color="auto"/>
                <w:bottom w:val="none" w:sz="0" w:space="0" w:color="auto"/>
                <w:right w:val="none" w:sz="0" w:space="0" w:color="auto"/>
              </w:divBdr>
            </w:div>
            <w:div w:id="52314868">
              <w:marLeft w:val="0"/>
              <w:marRight w:val="0"/>
              <w:marTop w:val="0"/>
              <w:marBottom w:val="0"/>
              <w:divBdr>
                <w:top w:val="none" w:sz="0" w:space="0" w:color="auto"/>
                <w:left w:val="none" w:sz="0" w:space="0" w:color="auto"/>
                <w:bottom w:val="none" w:sz="0" w:space="0" w:color="auto"/>
                <w:right w:val="none" w:sz="0" w:space="0" w:color="auto"/>
              </w:divBdr>
            </w:div>
            <w:div w:id="489097978">
              <w:marLeft w:val="0"/>
              <w:marRight w:val="0"/>
              <w:marTop w:val="0"/>
              <w:marBottom w:val="0"/>
              <w:divBdr>
                <w:top w:val="none" w:sz="0" w:space="0" w:color="auto"/>
                <w:left w:val="none" w:sz="0" w:space="0" w:color="auto"/>
                <w:bottom w:val="none" w:sz="0" w:space="0" w:color="auto"/>
                <w:right w:val="none" w:sz="0" w:space="0" w:color="auto"/>
              </w:divBdr>
            </w:div>
            <w:div w:id="348651774">
              <w:marLeft w:val="0"/>
              <w:marRight w:val="0"/>
              <w:marTop w:val="0"/>
              <w:marBottom w:val="0"/>
              <w:divBdr>
                <w:top w:val="none" w:sz="0" w:space="0" w:color="auto"/>
                <w:left w:val="none" w:sz="0" w:space="0" w:color="auto"/>
                <w:bottom w:val="none" w:sz="0" w:space="0" w:color="auto"/>
                <w:right w:val="none" w:sz="0" w:space="0" w:color="auto"/>
              </w:divBdr>
            </w:div>
            <w:div w:id="696010252">
              <w:marLeft w:val="0"/>
              <w:marRight w:val="0"/>
              <w:marTop w:val="0"/>
              <w:marBottom w:val="0"/>
              <w:divBdr>
                <w:top w:val="none" w:sz="0" w:space="0" w:color="auto"/>
                <w:left w:val="none" w:sz="0" w:space="0" w:color="auto"/>
                <w:bottom w:val="none" w:sz="0" w:space="0" w:color="auto"/>
                <w:right w:val="none" w:sz="0" w:space="0" w:color="auto"/>
              </w:divBdr>
            </w:div>
            <w:div w:id="1500078619">
              <w:marLeft w:val="0"/>
              <w:marRight w:val="0"/>
              <w:marTop w:val="0"/>
              <w:marBottom w:val="0"/>
              <w:divBdr>
                <w:top w:val="none" w:sz="0" w:space="0" w:color="auto"/>
                <w:left w:val="none" w:sz="0" w:space="0" w:color="auto"/>
                <w:bottom w:val="none" w:sz="0" w:space="0" w:color="auto"/>
                <w:right w:val="none" w:sz="0" w:space="0" w:color="auto"/>
              </w:divBdr>
            </w:div>
            <w:div w:id="1461916279">
              <w:marLeft w:val="0"/>
              <w:marRight w:val="0"/>
              <w:marTop w:val="0"/>
              <w:marBottom w:val="0"/>
              <w:divBdr>
                <w:top w:val="none" w:sz="0" w:space="0" w:color="auto"/>
                <w:left w:val="none" w:sz="0" w:space="0" w:color="auto"/>
                <w:bottom w:val="none" w:sz="0" w:space="0" w:color="auto"/>
                <w:right w:val="none" w:sz="0" w:space="0" w:color="auto"/>
              </w:divBdr>
            </w:div>
            <w:div w:id="1842550778">
              <w:marLeft w:val="0"/>
              <w:marRight w:val="0"/>
              <w:marTop w:val="0"/>
              <w:marBottom w:val="0"/>
              <w:divBdr>
                <w:top w:val="none" w:sz="0" w:space="0" w:color="auto"/>
                <w:left w:val="none" w:sz="0" w:space="0" w:color="auto"/>
                <w:bottom w:val="none" w:sz="0" w:space="0" w:color="auto"/>
                <w:right w:val="none" w:sz="0" w:space="0" w:color="auto"/>
              </w:divBdr>
            </w:div>
            <w:div w:id="1308632046">
              <w:marLeft w:val="0"/>
              <w:marRight w:val="0"/>
              <w:marTop w:val="0"/>
              <w:marBottom w:val="0"/>
              <w:divBdr>
                <w:top w:val="none" w:sz="0" w:space="0" w:color="auto"/>
                <w:left w:val="none" w:sz="0" w:space="0" w:color="auto"/>
                <w:bottom w:val="none" w:sz="0" w:space="0" w:color="auto"/>
                <w:right w:val="none" w:sz="0" w:space="0" w:color="auto"/>
              </w:divBdr>
            </w:div>
            <w:div w:id="2001884382">
              <w:marLeft w:val="0"/>
              <w:marRight w:val="0"/>
              <w:marTop w:val="0"/>
              <w:marBottom w:val="0"/>
              <w:divBdr>
                <w:top w:val="none" w:sz="0" w:space="0" w:color="auto"/>
                <w:left w:val="none" w:sz="0" w:space="0" w:color="auto"/>
                <w:bottom w:val="none" w:sz="0" w:space="0" w:color="auto"/>
                <w:right w:val="none" w:sz="0" w:space="0" w:color="auto"/>
              </w:divBdr>
            </w:div>
            <w:div w:id="1559971558">
              <w:marLeft w:val="0"/>
              <w:marRight w:val="0"/>
              <w:marTop w:val="0"/>
              <w:marBottom w:val="0"/>
              <w:divBdr>
                <w:top w:val="none" w:sz="0" w:space="0" w:color="auto"/>
                <w:left w:val="none" w:sz="0" w:space="0" w:color="auto"/>
                <w:bottom w:val="none" w:sz="0" w:space="0" w:color="auto"/>
                <w:right w:val="none" w:sz="0" w:space="0" w:color="auto"/>
              </w:divBdr>
            </w:div>
            <w:div w:id="180825586">
              <w:marLeft w:val="0"/>
              <w:marRight w:val="0"/>
              <w:marTop w:val="0"/>
              <w:marBottom w:val="0"/>
              <w:divBdr>
                <w:top w:val="none" w:sz="0" w:space="0" w:color="auto"/>
                <w:left w:val="none" w:sz="0" w:space="0" w:color="auto"/>
                <w:bottom w:val="none" w:sz="0" w:space="0" w:color="auto"/>
                <w:right w:val="none" w:sz="0" w:space="0" w:color="auto"/>
              </w:divBdr>
            </w:div>
            <w:div w:id="935212895">
              <w:marLeft w:val="0"/>
              <w:marRight w:val="0"/>
              <w:marTop w:val="0"/>
              <w:marBottom w:val="0"/>
              <w:divBdr>
                <w:top w:val="none" w:sz="0" w:space="0" w:color="auto"/>
                <w:left w:val="none" w:sz="0" w:space="0" w:color="auto"/>
                <w:bottom w:val="none" w:sz="0" w:space="0" w:color="auto"/>
                <w:right w:val="none" w:sz="0" w:space="0" w:color="auto"/>
              </w:divBdr>
            </w:div>
            <w:div w:id="1501970548">
              <w:marLeft w:val="0"/>
              <w:marRight w:val="0"/>
              <w:marTop w:val="0"/>
              <w:marBottom w:val="0"/>
              <w:divBdr>
                <w:top w:val="none" w:sz="0" w:space="0" w:color="auto"/>
                <w:left w:val="none" w:sz="0" w:space="0" w:color="auto"/>
                <w:bottom w:val="none" w:sz="0" w:space="0" w:color="auto"/>
                <w:right w:val="none" w:sz="0" w:space="0" w:color="auto"/>
              </w:divBdr>
            </w:div>
            <w:div w:id="995844109">
              <w:marLeft w:val="0"/>
              <w:marRight w:val="0"/>
              <w:marTop w:val="0"/>
              <w:marBottom w:val="0"/>
              <w:divBdr>
                <w:top w:val="none" w:sz="0" w:space="0" w:color="auto"/>
                <w:left w:val="none" w:sz="0" w:space="0" w:color="auto"/>
                <w:bottom w:val="none" w:sz="0" w:space="0" w:color="auto"/>
                <w:right w:val="none" w:sz="0" w:space="0" w:color="auto"/>
              </w:divBdr>
            </w:div>
            <w:div w:id="1866626838">
              <w:marLeft w:val="0"/>
              <w:marRight w:val="0"/>
              <w:marTop w:val="0"/>
              <w:marBottom w:val="0"/>
              <w:divBdr>
                <w:top w:val="none" w:sz="0" w:space="0" w:color="auto"/>
                <w:left w:val="none" w:sz="0" w:space="0" w:color="auto"/>
                <w:bottom w:val="none" w:sz="0" w:space="0" w:color="auto"/>
                <w:right w:val="none" w:sz="0" w:space="0" w:color="auto"/>
              </w:divBdr>
            </w:div>
            <w:div w:id="775364415">
              <w:marLeft w:val="0"/>
              <w:marRight w:val="0"/>
              <w:marTop w:val="0"/>
              <w:marBottom w:val="0"/>
              <w:divBdr>
                <w:top w:val="none" w:sz="0" w:space="0" w:color="auto"/>
                <w:left w:val="none" w:sz="0" w:space="0" w:color="auto"/>
                <w:bottom w:val="none" w:sz="0" w:space="0" w:color="auto"/>
                <w:right w:val="none" w:sz="0" w:space="0" w:color="auto"/>
              </w:divBdr>
            </w:div>
            <w:div w:id="1119837414">
              <w:marLeft w:val="0"/>
              <w:marRight w:val="0"/>
              <w:marTop w:val="0"/>
              <w:marBottom w:val="0"/>
              <w:divBdr>
                <w:top w:val="none" w:sz="0" w:space="0" w:color="auto"/>
                <w:left w:val="none" w:sz="0" w:space="0" w:color="auto"/>
                <w:bottom w:val="none" w:sz="0" w:space="0" w:color="auto"/>
                <w:right w:val="none" w:sz="0" w:space="0" w:color="auto"/>
              </w:divBdr>
            </w:div>
            <w:div w:id="1962418243">
              <w:marLeft w:val="0"/>
              <w:marRight w:val="0"/>
              <w:marTop w:val="0"/>
              <w:marBottom w:val="0"/>
              <w:divBdr>
                <w:top w:val="none" w:sz="0" w:space="0" w:color="auto"/>
                <w:left w:val="none" w:sz="0" w:space="0" w:color="auto"/>
                <w:bottom w:val="none" w:sz="0" w:space="0" w:color="auto"/>
                <w:right w:val="none" w:sz="0" w:space="0" w:color="auto"/>
              </w:divBdr>
            </w:div>
            <w:div w:id="1188981395">
              <w:marLeft w:val="0"/>
              <w:marRight w:val="0"/>
              <w:marTop w:val="0"/>
              <w:marBottom w:val="0"/>
              <w:divBdr>
                <w:top w:val="none" w:sz="0" w:space="0" w:color="auto"/>
                <w:left w:val="none" w:sz="0" w:space="0" w:color="auto"/>
                <w:bottom w:val="none" w:sz="0" w:space="0" w:color="auto"/>
                <w:right w:val="none" w:sz="0" w:space="0" w:color="auto"/>
              </w:divBdr>
            </w:div>
            <w:div w:id="860969243">
              <w:marLeft w:val="0"/>
              <w:marRight w:val="0"/>
              <w:marTop w:val="0"/>
              <w:marBottom w:val="0"/>
              <w:divBdr>
                <w:top w:val="none" w:sz="0" w:space="0" w:color="auto"/>
                <w:left w:val="none" w:sz="0" w:space="0" w:color="auto"/>
                <w:bottom w:val="none" w:sz="0" w:space="0" w:color="auto"/>
                <w:right w:val="none" w:sz="0" w:space="0" w:color="auto"/>
              </w:divBdr>
            </w:div>
            <w:div w:id="295794481">
              <w:marLeft w:val="0"/>
              <w:marRight w:val="0"/>
              <w:marTop w:val="0"/>
              <w:marBottom w:val="0"/>
              <w:divBdr>
                <w:top w:val="none" w:sz="0" w:space="0" w:color="auto"/>
                <w:left w:val="none" w:sz="0" w:space="0" w:color="auto"/>
                <w:bottom w:val="none" w:sz="0" w:space="0" w:color="auto"/>
                <w:right w:val="none" w:sz="0" w:space="0" w:color="auto"/>
              </w:divBdr>
            </w:div>
            <w:div w:id="757485198">
              <w:marLeft w:val="0"/>
              <w:marRight w:val="0"/>
              <w:marTop w:val="0"/>
              <w:marBottom w:val="0"/>
              <w:divBdr>
                <w:top w:val="none" w:sz="0" w:space="0" w:color="auto"/>
                <w:left w:val="none" w:sz="0" w:space="0" w:color="auto"/>
                <w:bottom w:val="none" w:sz="0" w:space="0" w:color="auto"/>
                <w:right w:val="none" w:sz="0" w:space="0" w:color="auto"/>
              </w:divBdr>
            </w:div>
            <w:div w:id="1086077762">
              <w:marLeft w:val="0"/>
              <w:marRight w:val="0"/>
              <w:marTop w:val="0"/>
              <w:marBottom w:val="0"/>
              <w:divBdr>
                <w:top w:val="none" w:sz="0" w:space="0" w:color="auto"/>
                <w:left w:val="none" w:sz="0" w:space="0" w:color="auto"/>
                <w:bottom w:val="none" w:sz="0" w:space="0" w:color="auto"/>
                <w:right w:val="none" w:sz="0" w:space="0" w:color="auto"/>
              </w:divBdr>
            </w:div>
            <w:div w:id="1951473411">
              <w:marLeft w:val="0"/>
              <w:marRight w:val="0"/>
              <w:marTop w:val="0"/>
              <w:marBottom w:val="0"/>
              <w:divBdr>
                <w:top w:val="none" w:sz="0" w:space="0" w:color="auto"/>
                <w:left w:val="none" w:sz="0" w:space="0" w:color="auto"/>
                <w:bottom w:val="none" w:sz="0" w:space="0" w:color="auto"/>
                <w:right w:val="none" w:sz="0" w:space="0" w:color="auto"/>
              </w:divBdr>
            </w:div>
            <w:div w:id="1143697049">
              <w:marLeft w:val="0"/>
              <w:marRight w:val="0"/>
              <w:marTop w:val="0"/>
              <w:marBottom w:val="0"/>
              <w:divBdr>
                <w:top w:val="none" w:sz="0" w:space="0" w:color="auto"/>
                <w:left w:val="none" w:sz="0" w:space="0" w:color="auto"/>
                <w:bottom w:val="none" w:sz="0" w:space="0" w:color="auto"/>
                <w:right w:val="none" w:sz="0" w:space="0" w:color="auto"/>
              </w:divBdr>
            </w:div>
            <w:div w:id="509294741">
              <w:marLeft w:val="0"/>
              <w:marRight w:val="0"/>
              <w:marTop w:val="0"/>
              <w:marBottom w:val="0"/>
              <w:divBdr>
                <w:top w:val="none" w:sz="0" w:space="0" w:color="auto"/>
                <w:left w:val="none" w:sz="0" w:space="0" w:color="auto"/>
                <w:bottom w:val="none" w:sz="0" w:space="0" w:color="auto"/>
                <w:right w:val="none" w:sz="0" w:space="0" w:color="auto"/>
              </w:divBdr>
            </w:div>
            <w:div w:id="1119571864">
              <w:marLeft w:val="0"/>
              <w:marRight w:val="0"/>
              <w:marTop w:val="0"/>
              <w:marBottom w:val="0"/>
              <w:divBdr>
                <w:top w:val="none" w:sz="0" w:space="0" w:color="auto"/>
                <w:left w:val="none" w:sz="0" w:space="0" w:color="auto"/>
                <w:bottom w:val="none" w:sz="0" w:space="0" w:color="auto"/>
                <w:right w:val="none" w:sz="0" w:space="0" w:color="auto"/>
              </w:divBdr>
            </w:div>
            <w:div w:id="536741949">
              <w:marLeft w:val="0"/>
              <w:marRight w:val="0"/>
              <w:marTop w:val="0"/>
              <w:marBottom w:val="0"/>
              <w:divBdr>
                <w:top w:val="none" w:sz="0" w:space="0" w:color="auto"/>
                <w:left w:val="none" w:sz="0" w:space="0" w:color="auto"/>
                <w:bottom w:val="none" w:sz="0" w:space="0" w:color="auto"/>
                <w:right w:val="none" w:sz="0" w:space="0" w:color="auto"/>
              </w:divBdr>
            </w:div>
            <w:div w:id="313485696">
              <w:marLeft w:val="0"/>
              <w:marRight w:val="0"/>
              <w:marTop w:val="0"/>
              <w:marBottom w:val="0"/>
              <w:divBdr>
                <w:top w:val="none" w:sz="0" w:space="0" w:color="auto"/>
                <w:left w:val="none" w:sz="0" w:space="0" w:color="auto"/>
                <w:bottom w:val="none" w:sz="0" w:space="0" w:color="auto"/>
                <w:right w:val="none" w:sz="0" w:space="0" w:color="auto"/>
              </w:divBdr>
            </w:div>
            <w:div w:id="1760714331">
              <w:marLeft w:val="0"/>
              <w:marRight w:val="0"/>
              <w:marTop w:val="0"/>
              <w:marBottom w:val="0"/>
              <w:divBdr>
                <w:top w:val="none" w:sz="0" w:space="0" w:color="auto"/>
                <w:left w:val="none" w:sz="0" w:space="0" w:color="auto"/>
                <w:bottom w:val="none" w:sz="0" w:space="0" w:color="auto"/>
                <w:right w:val="none" w:sz="0" w:space="0" w:color="auto"/>
              </w:divBdr>
            </w:div>
            <w:div w:id="1871987081">
              <w:marLeft w:val="0"/>
              <w:marRight w:val="0"/>
              <w:marTop w:val="0"/>
              <w:marBottom w:val="0"/>
              <w:divBdr>
                <w:top w:val="none" w:sz="0" w:space="0" w:color="auto"/>
                <w:left w:val="none" w:sz="0" w:space="0" w:color="auto"/>
                <w:bottom w:val="none" w:sz="0" w:space="0" w:color="auto"/>
                <w:right w:val="none" w:sz="0" w:space="0" w:color="auto"/>
              </w:divBdr>
            </w:div>
            <w:div w:id="760949156">
              <w:marLeft w:val="0"/>
              <w:marRight w:val="0"/>
              <w:marTop w:val="0"/>
              <w:marBottom w:val="0"/>
              <w:divBdr>
                <w:top w:val="none" w:sz="0" w:space="0" w:color="auto"/>
                <w:left w:val="none" w:sz="0" w:space="0" w:color="auto"/>
                <w:bottom w:val="none" w:sz="0" w:space="0" w:color="auto"/>
                <w:right w:val="none" w:sz="0" w:space="0" w:color="auto"/>
              </w:divBdr>
            </w:div>
            <w:div w:id="528177537">
              <w:marLeft w:val="0"/>
              <w:marRight w:val="0"/>
              <w:marTop w:val="0"/>
              <w:marBottom w:val="0"/>
              <w:divBdr>
                <w:top w:val="none" w:sz="0" w:space="0" w:color="auto"/>
                <w:left w:val="none" w:sz="0" w:space="0" w:color="auto"/>
                <w:bottom w:val="none" w:sz="0" w:space="0" w:color="auto"/>
                <w:right w:val="none" w:sz="0" w:space="0" w:color="auto"/>
              </w:divBdr>
            </w:div>
            <w:div w:id="1071580001">
              <w:marLeft w:val="0"/>
              <w:marRight w:val="0"/>
              <w:marTop w:val="0"/>
              <w:marBottom w:val="0"/>
              <w:divBdr>
                <w:top w:val="none" w:sz="0" w:space="0" w:color="auto"/>
                <w:left w:val="none" w:sz="0" w:space="0" w:color="auto"/>
                <w:bottom w:val="none" w:sz="0" w:space="0" w:color="auto"/>
                <w:right w:val="none" w:sz="0" w:space="0" w:color="auto"/>
              </w:divBdr>
            </w:div>
            <w:div w:id="955328051">
              <w:marLeft w:val="0"/>
              <w:marRight w:val="0"/>
              <w:marTop w:val="0"/>
              <w:marBottom w:val="0"/>
              <w:divBdr>
                <w:top w:val="none" w:sz="0" w:space="0" w:color="auto"/>
                <w:left w:val="none" w:sz="0" w:space="0" w:color="auto"/>
                <w:bottom w:val="none" w:sz="0" w:space="0" w:color="auto"/>
                <w:right w:val="none" w:sz="0" w:space="0" w:color="auto"/>
              </w:divBdr>
            </w:div>
            <w:div w:id="204871955">
              <w:marLeft w:val="0"/>
              <w:marRight w:val="0"/>
              <w:marTop w:val="0"/>
              <w:marBottom w:val="0"/>
              <w:divBdr>
                <w:top w:val="none" w:sz="0" w:space="0" w:color="auto"/>
                <w:left w:val="none" w:sz="0" w:space="0" w:color="auto"/>
                <w:bottom w:val="none" w:sz="0" w:space="0" w:color="auto"/>
                <w:right w:val="none" w:sz="0" w:space="0" w:color="auto"/>
              </w:divBdr>
            </w:div>
            <w:div w:id="145711361">
              <w:marLeft w:val="0"/>
              <w:marRight w:val="0"/>
              <w:marTop w:val="0"/>
              <w:marBottom w:val="0"/>
              <w:divBdr>
                <w:top w:val="none" w:sz="0" w:space="0" w:color="auto"/>
                <w:left w:val="none" w:sz="0" w:space="0" w:color="auto"/>
                <w:bottom w:val="none" w:sz="0" w:space="0" w:color="auto"/>
                <w:right w:val="none" w:sz="0" w:space="0" w:color="auto"/>
              </w:divBdr>
            </w:div>
            <w:div w:id="340085659">
              <w:marLeft w:val="0"/>
              <w:marRight w:val="0"/>
              <w:marTop w:val="0"/>
              <w:marBottom w:val="0"/>
              <w:divBdr>
                <w:top w:val="none" w:sz="0" w:space="0" w:color="auto"/>
                <w:left w:val="none" w:sz="0" w:space="0" w:color="auto"/>
                <w:bottom w:val="none" w:sz="0" w:space="0" w:color="auto"/>
                <w:right w:val="none" w:sz="0" w:space="0" w:color="auto"/>
              </w:divBdr>
            </w:div>
            <w:div w:id="310837624">
              <w:marLeft w:val="0"/>
              <w:marRight w:val="0"/>
              <w:marTop w:val="0"/>
              <w:marBottom w:val="0"/>
              <w:divBdr>
                <w:top w:val="none" w:sz="0" w:space="0" w:color="auto"/>
                <w:left w:val="none" w:sz="0" w:space="0" w:color="auto"/>
                <w:bottom w:val="none" w:sz="0" w:space="0" w:color="auto"/>
                <w:right w:val="none" w:sz="0" w:space="0" w:color="auto"/>
              </w:divBdr>
            </w:div>
            <w:div w:id="1684741890">
              <w:marLeft w:val="0"/>
              <w:marRight w:val="0"/>
              <w:marTop w:val="0"/>
              <w:marBottom w:val="0"/>
              <w:divBdr>
                <w:top w:val="none" w:sz="0" w:space="0" w:color="auto"/>
                <w:left w:val="none" w:sz="0" w:space="0" w:color="auto"/>
                <w:bottom w:val="none" w:sz="0" w:space="0" w:color="auto"/>
                <w:right w:val="none" w:sz="0" w:space="0" w:color="auto"/>
              </w:divBdr>
            </w:div>
            <w:div w:id="417868690">
              <w:marLeft w:val="0"/>
              <w:marRight w:val="0"/>
              <w:marTop w:val="0"/>
              <w:marBottom w:val="0"/>
              <w:divBdr>
                <w:top w:val="none" w:sz="0" w:space="0" w:color="auto"/>
                <w:left w:val="none" w:sz="0" w:space="0" w:color="auto"/>
                <w:bottom w:val="none" w:sz="0" w:space="0" w:color="auto"/>
                <w:right w:val="none" w:sz="0" w:space="0" w:color="auto"/>
              </w:divBdr>
            </w:div>
            <w:div w:id="136534057">
              <w:marLeft w:val="0"/>
              <w:marRight w:val="0"/>
              <w:marTop w:val="0"/>
              <w:marBottom w:val="0"/>
              <w:divBdr>
                <w:top w:val="none" w:sz="0" w:space="0" w:color="auto"/>
                <w:left w:val="none" w:sz="0" w:space="0" w:color="auto"/>
                <w:bottom w:val="none" w:sz="0" w:space="0" w:color="auto"/>
                <w:right w:val="none" w:sz="0" w:space="0" w:color="auto"/>
              </w:divBdr>
            </w:div>
            <w:div w:id="1105617114">
              <w:marLeft w:val="0"/>
              <w:marRight w:val="0"/>
              <w:marTop w:val="0"/>
              <w:marBottom w:val="0"/>
              <w:divBdr>
                <w:top w:val="none" w:sz="0" w:space="0" w:color="auto"/>
                <w:left w:val="none" w:sz="0" w:space="0" w:color="auto"/>
                <w:bottom w:val="none" w:sz="0" w:space="0" w:color="auto"/>
                <w:right w:val="none" w:sz="0" w:space="0" w:color="auto"/>
              </w:divBdr>
            </w:div>
            <w:div w:id="922302712">
              <w:marLeft w:val="0"/>
              <w:marRight w:val="0"/>
              <w:marTop w:val="0"/>
              <w:marBottom w:val="0"/>
              <w:divBdr>
                <w:top w:val="none" w:sz="0" w:space="0" w:color="auto"/>
                <w:left w:val="none" w:sz="0" w:space="0" w:color="auto"/>
                <w:bottom w:val="none" w:sz="0" w:space="0" w:color="auto"/>
                <w:right w:val="none" w:sz="0" w:space="0" w:color="auto"/>
              </w:divBdr>
            </w:div>
            <w:div w:id="740295455">
              <w:marLeft w:val="0"/>
              <w:marRight w:val="0"/>
              <w:marTop w:val="0"/>
              <w:marBottom w:val="0"/>
              <w:divBdr>
                <w:top w:val="none" w:sz="0" w:space="0" w:color="auto"/>
                <w:left w:val="none" w:sz="0" w:space="0" w:color="auto"/>
                <w:bottom w:val="none" w:sz="0" w:space="0" w:color="auto"/>
                <w:right w:val="none" w:sz="0" w:space="0" w:color="auto"/>
              </w:divBdr>
            </w:div>
            <w:div w:id="1037585999">
              <w:marLeft w:val="0"/>
              <w:marRight w:val="0"/>
              <w:marTop w:val="0"/>
              <w:marBottom w:val="0"/>
              <w:divBdr>
                <w:top w:val="none" w:sz="0" w:space="0" w:color="auto"/>
                <w:left w:val="none" w:sz="0" w:space="0" w:color="auto"/>
                <w:bottom w:val="none" w:sz="0" w:space="0" w:color="auto"/>
                <w:right w:val="none" w:sz="0" w:space="0" w:color="auto"/>
              </w:divBdr>
            </w:div>
            <w:div w:id="1369258326">
              <w:marLeft w:val="0"/>
              <w:marRight w:val="0"/>
              <w:marTop w:val="0"/>
              <w:marBottom w:val="0"/>
              <w:divBdr>
                <w:top w:val="none" w:sz="0" w:space="0" w:color="auto"/>
                <w:left w:val="none" w:sz="0" w:space="0" w:color="auto"/>
                <w:bottom w:val="none" w:sz="0" w:space="0" w:color="auto"/>
                <w:right w:val="none" w:sz="0" w:space="0" w:color="auto"/>
              </w:divBdr>
            </w:div>
            <w:div w:id="908004884">
              <w:marLeft w:val="0"/>
              <w:marRight w:val="0"/>
              <w:marTop w:val="0"/>
              <w:marBottom w:val="0"/>
              <w:divBdr>
                <w:top w:val="none" w:sz="0" w:space="0" w:color="auto"/>
                <w:left w:val="none" w:sz="0" w:space="0" w:color="auto"/>
                <w:bottom w:val="none" w:sz="0" w:space="0" w:color="auto"/>
                <w:right w:val="none" w:sz="0" w:space="0" w:color="auto"/>
              </w:divBdr>
            </w:div>
            <w:div w:id="870608313">
              <w:marLeft w:val="0"/>
              <w:marRight w:val="0"/>
              <w:marTop w:val="0"/>
              <w:marBottom w:val="0"/>
              <w:divBdr>
                <w:top w:val="none" w:sz="0" w:space="0" w:color="auto"/>
                <w:left w:val="none" w:sz="0" w:space="0" w:color="auto"/>
                <w:bottom w:val="none" w:sz="0" w:space="0" w:color="auto"/>
                <w:right w:val="none" w:sz="0" w:space="0" w:color="auto"/>
              </w:divBdr>
            </w:div>
            <w:div w:id="232203085">
              <w:marLeft w:val="0"/>
              <w:marRight w:val="0"/>
              <w:marTop w:val="0"/>
              <w:marBottom w:val="0"/>
              <w:divBdr>
                <w:top w:val="none" w:sz="0" w:space="0" w:color="auto"/>
                <w:left w:val="none" w:sz="0" w:space="0" w:color="auto"/>
                <w:bottom w:val="none" w:sz="0" w:space="0" w:color="auto"/>
                <w:right w:val="none" w:sz="0" w:space="0" w:color="auto"/>
              </w:divBdr>
            </w:div>
            <w:div w:id="1411921978">
              <w:marLeft w:val="0"/>
              <w:marRight w:val="0"/>
              <w:marTop w:val="0"/>
              <w:marBottom w:val="0"/>
              <w:divBdr>
                <w:top w:val="none" w:sz="0" w:space="0" w:color="auto"/>
                <w:left w:val="none" w:sz="0" w:space="0" w:color="auto"/>
                <w:bottom w:val="none" w:sz="0" w:space="0" w:color="auto"/>
                <w:right w:val="none" w:sz="0" w:space="0" w:color="auto"/>
              </w:divBdr>
            </w:div>
            <w:div w:id="248004389">
              <w:marLeft w:val="0"/>
              <w:marRight w:val="0"/>
              <w:marTop w:val="0"/>
              <w:marBottom w:val="0"/>
              <w:divBdr>
                <w:top w:val="none" w:sz="0" w:space="0" w:color="auto"/>
                <w:left w:val="none" w:sz="0" w:space="0" w:color="auto"/>
                <w:bottom w:val="none" w:sz="0" w:space="0" w:color="auto"/>
                <w:right w:val="none" w:sz="0" w:space="0" w:color="auto"/>
              </w:divBdr>
            </w:div>
            <w:div w:id="407534237">
              <w:marLeft w:val="0"/>
              <w:marRight w:val="0"/>
              <w:marTop w:val="0"/>
              <w:marBottom w:val="0"/>
              <w:divBdr>
                <w:top w:val="none" w:sz="0" w:space="0" w:color="auto"/>
                <w:left w:val="none" w:sz="0" w:space="0" w:color="auto"/>
                <w:bottom w:val="none" w:sz="0" w:space="0" w:color="auto"/>
                <w:right w:val="none" w:sz="0" w:space="0" w:color="auto"/>
              </w:divBdr>
            </w:div>
            <w:div w:id="2055083216">
              <w:marLeft w:val="0"/>
              <w:marRight w:val="0"/>
              <w:marTop w:val="0"/>
              <w:marBottom w:val="0"/>
              <w:divBdr>
                <w:top w:val="none" w:sz="0" w:space="0" w:color="auto"/>
                <w:left w:val="none" w:sz="0" w:space="0" w:color="auto"/>
                <w:bottom w:val="none" w:sz="0" w:space="0" w:color="auto"/>
                <w:right w:val="none" w:sz="0" w:space="0" w:color="auto"/>
              </w:divBdr>
            </w:div>
            <w:div w:id="150567673">
              <w:marLeft w:val="0"/>
              <w:marRight w:val="0"/>
              <w:marTop w:val="0"/>
              <w:marBottom w:val="0"/>
              <w:divBdr>
                <w:top w:val="none" w:sz="0" w:space="0" w:color="auto"/>
                <w:left w:val="none" w:sz="0" w:space="0" w:color="auto"/>
                <w:bottom w:val="none" w:sz="0" w:space="0" w:color="auto"/>
                <w:right w:val="none" w:sz="0" w:space="0" w:color="auto"/>
              </w:divBdr>
            </w:div>
            <w:div w:id="1196230082">
              <w:marLeft w:val="0"/>
              <w:marRight w:val="0"/>
              <w:marTop w:val="0"/>
              <w:marBottom w:val="0"/>
              <w:divBdr>
                <w:top w:val="none" w:sz="0" w:space="0" w:color="auto"/>
                <w:left w:val="none" w:sz="0" w:space="0" w:color="auto"/>
                <w:bottom w:val="none" w:sz="0" w:space="0" w:color="auto"/>
                <w:right w:val="none" w:sz="0" w:space="0" w:color="auto"/>
              </w:divBdr>
            </w:div>
            <w:div w:id="2003698109">
              <w:marLeft w:val="0"/>
              <w:marRight w:val="0"/>
              <w:marTop w:val="0"/>
              <w:marBottom w:val="0"/>
              <w:divBdr>
                <w:top w:val="none" w:sz="0" w:space="0" w:color="auto"/>
                <w:left w:val="none" w:sz="0" w:space="0" w:color="auto"/>
                <w:bottom w:val="none" w:sz="0" w:space="0" w:color="auto"/>
                <w:right w:val="none" w:sz="0" w:space="0" w:color="auto"/>
              </w:divBdr>
            </w:div>
            <w:div w:id="1236742365">
              <w:marLeft w:val="0"/>
              <w:marRight w:val="0"/>
              <w:marTop w:val="0"/>
              <w:marBottom w:val="0"/>
              <w:divBdr>
                <w:top w:val="none" w:sz="0" w:space="0" w:color="auto"/>
                <w:left w:val="none" w:sz="0" w:space="0" w:color="auto"/>
                <w:bottom w:val="none" w:sz="0" w:space="0" w:color="auto"/>
                <w:right w:val="none" w:sz="0" w:space="0" w:color="auto"/>
              </w:divBdr>
            </w:div>
            <w:div w:id="762412144">
              <w:marLeft w:val="0"/>
              <w:marRight w:val="0"/>
              <w:marTop w:val="0"/>
              <w:marBottom w:val="0"/>
              <w:divBdr>
                <w:top w:val="none" w:sz="0" w:space="0" w:color="auto"/>
                <w:left w:val="none" w:sz="0" w:space="0" w:color="auto"/>
                <w:bottom w:val="none" w:sz="0" w:space="0" w:color="auto"/>
                <w:right w:val="none" w:sz="0" w:space="0" w:color="auto"/>
              </w:divBdr>
            </w:div>
            <w:div w:id="259265014">
              <w:marLeft w:val="0"/>
              <w:marRight w:val="0"/>
              <w:marTop w:val="0"/>
              <w:marBottom w:val="0"/>
              <w:divBdr>
                <w:top w:val="none" w:sz="0" w:space="0" w:color="auto"/>
                <w:left w:val="none" w:sz="0" w:space="0" w:color="auto"/>
                <w:bottom w:val="none" w:sz="0" w:space="0" w:color="auto"/>
                <w:right w:val="none" w:sz="0" w:space="0" w:color="auto"/>
              </w:divBdr>
            </w:div>
            <w:div w:id="539706480">
              <w:marLeft w:val="0"/>
              <w:marRight w:val="0"/>
              <w:marTop w:val="0"/>
              <w:marBottom w:val="0"/>
              <w:divBdr>
                <w:top w:val="none" w:sz="0" w:space="0" w:color="auto"/>
                <w:left w:val="none" w:sz="0" w:space="0" w:color="auto"/>
                <w:bottom w:val="none" w:sz="0" w:space="0" w:color="auto"/>
                <w:right w:val="none" w:sz="0" w:space="0" w:color="auto"/>
              </w:divBdr>
            </w:div>
            <w:div w:id="337969234">
              <w:marLeft w:val="0"/>
              <w:marRight w:val="0"/>
              <w:marTop w:val="0"/>
              <w:marBottom w:val="0"/>
              <w:divBdr>
                <w:top w:val="none" w:sz="0" w:space="0" w:color="auto"/>
                <w:left w:val="none" w:sz="0" w:space="0" w:color="auto"/>
                <w:bottom w:val="none" w:sz="0" w:space="0" w:color="auto"/>
                <w:right w:val="none" w:sz="0" w:space="0" w:color="auto"/>
              </w:divBdr>
            </w:div>
            <w:div w:id="1641229285">
              <w:marLeft w:val="0"/>
              <w:marRight w:val="0"/>
              <w:marTop w:val="0"/>
              <w:marBottom w:val="0"/>
              <w:divBdr>
                <w:top w:val="none" w:sz="0" w:space="0" w:color="auto"/>
                <w:left w:val="none" w:sz="0" w:space="0" w:color="auto"/>
                <w:bottom w:val="none" w:sz="0" w:space="0" w:color="auto"/>
                <w:right w:val="none" w:sz="0" w:space="0" w:color="auto"/>
              </w:divBdr>
            </w:div>
            <w:div w:id="68384228">
              <w:marLeft w:val="0"/>
              <w:marRight w:val="0"/>
              <w:marTop w:val="0"/>
              <w:marBottom w:val="0"/>
              <w:divBdr>
                <w:top w:val="none" w:sz="0" w:space="0" w:color="auto"/>
                <w:left w:val="none" w:sz="0" w:space="0" w:color="auto"/>
                <w:bottom w:val="none" w:sz="0" w:space="0" w:color="auto"/>
                <w:right w:val="none" w:sz="0" w:space="0" w:color="auto"/>
              </w:divBdr>
            </w:div>
            <w:div w:id="1229149867">
              <w:marLeft w:val="0"/>
              <w:marRight w:val="0"/>
              <w:marTop w:val="0"/>
              <w:marBottom w:val="0"/>
              <w:divBdr>
                <w:top w:val="none" w:sz="0" w:space="0" w:color="auto"/>
                <w:left w:val="none" w:sz="0" w:space="0" w:color="auto"/>
                <w:bottom w:val="none" w:sz="0" w:space="0" w:color="auto"/>
                <w:right w:val="none" w:sz="0" w:space="0" w:color="auto"/>
              </w:divBdr>
            </w:div>
            <w:div w:id="135951206">
              <w:marLeft w:val="0"/>
              <w:marRight w:val="0"/>
              <w:marTop w:val="0"/>
              <w:marBottom w:val="0"/>
              <w:divBdr>
                <w:top w:val="none" w:sz="0" w:space="0" w:color="auto"/>
                <w:left w:val="none" w:sz="0" w:space="0" w:color="auto"/>
                <w:bottom w:val="none" w:sz="0" w:space="0" w:color="auto"/>
                <w:right w:val="none" w:sz="0" w:space="0" w:color="auto"/>
              </w:divBdr>
            </w:div>
            <w:div w:id="1040589910">
              <w:marLeft w:val="0"/>
              <w:marRight w:val="0"/>
              <w:marTop w:val="0"/>
              <w:marBottom w:val="0"/>
              <w:divBdr>
                <w:top w:val="none" w:sz="0" w:space="0" w:color="auto"/>
                <w:left w:val="none" w:sz="0" w:space="0" w:color="auto"/>
                <w:bottom w:val="none" w:sz="0" w:space="0" w:color="auto"/>
                <w:right w:val="none" w:sz="0" w:space="0" w:color="auto"/>
              </w:divBdr>
            </w:div>
            <w:div w:id="424693725">
              <w:marLeft w:val="0"/>
              <w:marRight w:val="0"/>
              <w:marTop w:val="0"/>
              <w:marBottom w:val="0"/>
              <w:divBdr>
                <w:top w:val="none" w:sz="0" w:space="0" w:color="auto"/>
                <w:left w:val="none" w:sz="0" w:space="0" w:color="auto"/>
                <w:bottom w:val="none" w:sz="0" w:space="0" w:color="auto"/>
                <w:right w:val="none" w:sz="0" w:space="0" w:color="auto"/>
              </w:divBdr>
            </w:div>
            <w:div w:id="1856655359">
              <w:marLeft w:val="0"/>
              <w:marRight w:val="0"/>
              <w:marTop w:val="0"/>
              <w:marBottom w:val="0"/>
              <w:divBdr>
                <w:top w:val="none" w:sz="0" w:space="0" w:color="auto"/>
                <w:left w:val="none" w:sz="0" w:space="0" w:color="auto"/>
                <w:bottom w:val="none" w:sz="0" w:space="0" w:color="auto"/>
                <w:right w:val="none" w:sz="0" w:space="0" w:color="auto"/>
              </w:divBdr>
            </w:div>
            <w:div w:id="195629739">
              <w:marLeft w:val="0"/>
              <w:marRight w:val="0"/>
              <w:marTop w:val="0"/>
              <w:marBottom w:val="0"/>
              <w:divBdr>
                <w:top w:val="none" w:sz="0" w:space="0" w:color="auto"/>
                <w:left w:val="none" w:sz="0" w:space="0" w:color="auto"/>
                <w:bottom w:val="none" w:sz="0" w:space="0" w:color="auto"/>
                <w:right w:val="none" w:sz="0" w:space="0" w:color="auto"/>
              </w:divBdr>
            </w:div>
            <w:div w:id="1183979213">
              <w:marLeft w:val="0"/>
              <w:marRight w:val="0"/>
              <w:marTop w:val="0"/>
              <w:marBottom w:val="0"/>
              <w:divBdr>
                <w:top w:val="none" w:sz="0" w:space="0" w:color="auto"/>
                <w:left w:val="none" w:sz="0" w:space="0" w:color="auto"/>
                <w:bottom w:val="none" w:sz="0" w:space="0" w:color="auto"/>
                <w:right w:val="none" w:sz="0" w:space="0" w:color="auto"/>
              </w:divBdr>
            </w:div>
            <w:div w:id="1010527397">
              <w:marLeft w:val="0"/>
              <w:marRight w:val="0"/>
              <w:marTop w:val="0"/>
              <w:marBottom w:val="0"/>
              <w:divBdr>
                <w:top w:val="none" w:sz="0" w:space="0" w:color="auto"/>
                <w:left w:val="none" w:sz="0" w:space="0" w:color="auto"/>
                <w:bottom w:val="none" w:sz="0" w:space="0" w:color="auto"/>
                <w:right w:val="none" w:sz="0" w:space="0" w:color="auto"/>
              </w:divBdr>
            </w:div>
            <w:div w:id="565995210">
              <w:marLeft w:val="0"/>
              <w:marRight w:val="0"/>
              <w:marTop w:val="0"/>
              <w:marBottom w:val="0"/>
              <w:divBdr>
                <w:top w:val="none" w:sz="0" w:space="0" w:color="auto"/>
                <w:left w:val="none" w:sz="0" w:space="0" w:color="auto"/>
                <w:bottom w:val="none" w:sz="0" w:space="0" w:color="auto"/>
                <w:right w:val="none" w:sz="0" w:space="0" w:color="auto"/>
              </w:divBdr>
            </w:div>
            <w:div w:id="154230898">
              <w:marLeft w:val="0"/>
              <w:marRight w:val="0"/>
              <w:marTop w:val="0"/>
              <w:marBottom w:val="0"/>
              <w:divBdr>
                <w:top w:val="none" w:sz="0" w:space="0" w:color="auto"/>
                <w:left w:val="none" w:sz="0" w:space="0" w:color="auto"/>
                <w:bottom w:val="none" w:sz="0" w:space="0" w:color="auto"/>
                <w:right w:val="none" w:sz="0" w:space="0" w:color="auto"/>
              </w:divBdr>
            </w:div>
            <w:div w:id="336463818">
              <w:marLeft w:val="0"/>
              <w:marRight w:val="0"/>
              <w:marTop w:val="0"/>
              <w:marBottom w:val="0"/>
              <w:divBdr>
                <w:top w:val="none" w:sz="0" w:space="0" w:color="auto"/>
                <w:left w:val="none" w:sz="0" w:space="0" w:color="auto"/>
                <w:bottom w:val="none" w:sz="0" w:space="0" w:color="auto"/>
                <w:right w:val="none" w:sz="0" w:space="0" w:color="auto"/>
              </w:divBdr>
            </w:div>
            <w:div w:id="1701972601">
              <w:marLeft w:val="0"/>
              <w:marRight w:val="0"/>
              <w:marTop w:val="0"/>
              <w:marBottom w:val="0"/>
              <w:divBdr>
                <w:top w:val="none" w:sz="0" w:space="0" w:color="auto"/>
                <w:left w:val="none" w:sz="0" w:space="0" w:color="auto"/>
                <w:bottom w:val="none" w:sz="0" w:space="0" w:color="auto"/>
                <w:right w:val="none" w:sz="0" w:space="0" w:color="auto"/>
              </w:divBdr>
            </w:div>
            <w:div w:id="1332485263">
              <w:marLeft w:val="0"/>
              <w:marRight w:val="0"/>
              <w:marTop w:val="0"/>
              <w:marBottom w:val="0"/>
              <w:divBdr>
                <w:top w:val="none" w:sz="0" w:space="0" w:color="auto"/>
                <w:left w:val="none" w:sz="0" w:space="0" w:color="auto"/>
                <w:bottom w:val="none" w:sz="0" w:space="0" w:color="auto"/>
                <w:right w:val="none" w:sz="0" w:space="0" w:color="auto"/>
              </w:divBdr>
            </w:div>
            <w:div w:id="600992176">
              <w:marLeft w:val="0"/>
              <w:marRight w:val="0"/>
              <w:marTop w:val="0"/>
              <w:marBottom w:val="0"/>
              <w:divBdr>
                <w:top w:val="none" w:sz="0" w:space="0" w:color="auto"/>
                <w:left w:val="none" w:sz="0" w:space="0" w:color="auto"/>
                <w:bottom w:val="none" w:sz="0" w:space="0" w:color="auto"/>
                <w:right w:val="none" w:sz="0" w:space="0" w:color="auto"/>
              </w:divBdr>
            </w:div>
            <w:div w:id="861555216">
              <w:marLeft w:val="0"/>
              <w:marRight w:val="0"/>
              <w:marTop w:val="0"/>
              <w:marBottom w:val="0"/>
              <w:divBdr>
                <w:top w:val="none" w:sz="0" w:space="0" w:color="auto"/>
                <w:left w:val="none" w:sz="0" w:space="0" w:color="auto"/>
                <w:bottom w:val="none" w:sz="0" w:space="0" w:color="auto"/>
                <w:right w:val="none" w:sz="0" w:space="0" w:color="auto"/>
              </w:divBdr>
            </w:div>
            <w:div w:id="1678073540">
              <w:marLeft w:val="0"/>
              <w:marRight w:val="0"/>
              <w:marTop w:val="0"/>
              <w:marBottom w:val="0"/>
              <w:divBdr>
                <w:top w:val="none" w:sz="0" w:space="0" w:color="auto"/>
                <w:left w:val="none" w:sz="0" w:space="0" w:color="auto"/>
                <w:bottom w:val="none" w:sz="0" w:space="0" w:color="auto"/>
                <w:right w:val="none" w:sz="0" w:space="0" w:color="auto"/>
              </w:divBdr>
            </w:div>
            <w:div w:id="823158987">
              <w:marLeft w:val="0"/>
              <w:marRight w:val="0"/>
              <w:marTop w:val="0"/>
              <w:marBottom w:val="0"/>
              <w:divBdr>
                <w:top w:val="none" w:sz="0" w:space="0" w:color="auto"/>
                <w:left w:val="none" w:sz="0" w:space="0" w:color="auto"/>
                <w:bottom w:val="none" w:sz="0" w:space="0" w:color="auto"/>
                <w:right w:val="none" w:sz="0" w:space="0" w:color="auto"/>
              </w:divBdr>
            </w:div>
            <w:div w:id="1365983290">
              <w:marLeft w:val="0"/>
              <w:marRight w:val="0"/>
              <w:marTop w:val="0"/>
              <w:marBottom w:val="0"/>
              <w:divBdr>
                <w:top w:val="none" w:sz="0" w:space="0" w:color="auto"/>
                <w:left w:val="none" w:sz="0" w:space="0" w:color="auto"/>
                <w:bottom w:val="none" w:sz="0" w:space="0" w:color="auto"/>
                <w:right w:val="none" w:sz="0" w:space="0" w:color="auto"/>
              </w:divBdr>
            </w:div>
            <w:div w:id="21058635">
              <w:marLeft w:val="0"/>
              <w:marRight w:val="0"/>
              <w:marTop w:val="0"/>
              <w:marBottom w:val="0"/>
              <w:divBdr>
                <w:top w:val="none" w:sz="0" w:space="0" w:color="auto"/>
                <w:left w:val="none" w:sz="0" w:space="0" w:color="auto"/>
                <w:bottom w:val="none" w:sz="0" w:space="0" w:color="auto"/>
                <w:right w:val="none" w:sz="0" w:space="0" w:color="auto"/>
              </w:divBdr>
            </w:div>
            <w:div w:id="1599172459">
              <w:marLeft w:val="0"/>
              <w:marRight w:val="0"/>
              <w:marTop w:val="0"/>
              <w:marBottom w:val="0"/>
              <w:divBdr>
                <w:top w:val="none" w:sz="0" w:space="0" w:color="auto"/>
                <w:left w:val="none" w:sz="0" w:space="0" w:color="auto"/>
                <w:bottom w:val="none" w:sz="0" w:space="0" w:color="auto"/>
                <w:right w:val="none" w:sz="0" w:space="0" w:color="auto"/>
              </w:divBdr>
            </w:div>
            <w:div w:id="22291751">
              <w:marLeft w:val="0"/>
              <w:marRight w:val="0"/>
              <w:marTop w:val="0"/>
              <w:marBottom w:val="0"/>
              <w:divBdr>
                <w:top w:val="none" w:sz="0" w:space="0" w:color="auto"/>
                <w:left w:val="none" w:sz="0" w:space="0" w:color="auto"/>
                <w:bottom w:val="none" w:sz="0" w:space="0" w:color="auto"/>
                <w:right w:val="none" w:sz="0" w:space="0" w:color="auto"/>
              </w:divBdr>
            </w:div>
            <w:div w:id="1388841843">
              <w:marLeft w:val="0"/>
              <w:marRight w:val="0"/>
              <w:marTop w:val="0"/>
              <w:marBottom w:val="0"/>
              <w:divBdr>
                <w:top w:val="none" w:sz="0" w:space="0" w:color="auto"/>
                <w:left w:val="none" w:sz="0" w:space="0" w:color="auto"/>
                <w:bottom w:val="none" w:sz="0" w:space="0" w:color="auto"/>
                <w:right w:val="none" w:sz="0" w:space="0" w:color="auto"/>
              </w:divBdr>
            </w:div>
            <w:div w:id="1161854325">
              <w:marLeft w:val="0"/>
              <w:marRight w:val="0"/>
              <w:marTop w:val="0"/>
              <w:marBottom w:val="0"/>
              <w:divBdr>
                <w:top w:val="none" w:sz="0" w:space="0" w:color="auto"/>
                <w:left w:val="none" w:sz="0" w:space="0" w:color="auto"/>
                <w:bottom w:val="none" w:sz="0" w:space="0" w:color="auto"/>
                <w:right w:val="none" w:sz="0" w:space="0" w:color="auto"/>
              </w:divBdr>
            </w:div>
            <w:div w:id="529491080">
              <w:marLeft w:val="0"/>
              <w:marRight w:val="0"/>
              <w:marTop w:val="0"/>
              <w:marBottom w:val="0"/>
              <w:divBdr>
                <w:top w:val="none" w:sz="0" w:space="0" w:color="auto"/>
                <w:left w:val="none" w:sz="0" w:space="0" w:color="auto"/>
                <w:bottom w:val="none" w:sz="0" w:space="0" w:color="auto"/>
                <w:right w:val="none" w:sz="0" w:space="0" w:color="auto"/>
              </w:divBdr>
            </w:div>
            <w:div w:id="1779370734">
              <w:marLeft w:val="0"/>
              <w:marRight w:val="0"/>
              <w:marTop w:val="0"/>
              <w:marBottom w:val="0"/>
              <w:divBdr>
                <w:top w:val="none" w:sz="0" w:space="0" w:color="auto"/>
                <w:left w:val="none" w:sz="0" w:space="0" w:color="auto"/>
                <w:bottom w:val="none" w:sz="0" w:space="0" w:color="auto"/>
                <w:right w:val="none" w:sz="0" w:space="0" w:color="auto"/>
              </w:divBdr>
            </w:div>
            <w:div w:id="1720934254">
              <w:marLeft w:val="0"/>
              <w:marRight w:val="0"/>
              <w:marTop w:val="0"/>
              <w:marBottom w:val="0"/>
              <w:divBdr>
                <w:top w:val="none" w:sz="0" w:space="0" w:color="auto"/>
                <w:left w:val="none" w:sz="0" w:space="0" w:color="auto"/>
                <w:bottom w:val="none" w:sz="0" w:space="0" w:color="auto"/>
                <w:right w:val="none" w:sz="0" w:space="0" w:color="auto"/>
              </w:divBdr>
            </w:div>
            <w:div w:id="509224924">
              <w:marLeft w:val="0"/>
              <w:marRight w:val="0"/>
              <w:marTop w:val="0"/>
              <w:marBottom w:val="0"/>
              <w:divBdr>
                <w:top w:val="none" w:sz="0" w:space="0" w:color="auto"/>
                <w:left w:val="none" w:sz="0" w:space="0" w:color="auto"/>
                <w:bottom w:val="none" w:sz="0" w:space="0" w:color="auto"/>
                <w:right w:val="none" w:sz="0" w:space="0" w:color="auto"/>
              </w:divBdr>
            </w:div>
            <w:div w:id="1208495555">
              <w:marLeft w:val="0"/>
              <w:marRight w:val="0"/>
              <w:marTop w:val="0"/>
              <w:marBottom w:val="0"/>
              <w:divBdr>
                <w:top w:val="none" w:sz="0" w:space="0" w:color="auto"/>
                <w:left w:val="none" w:sz="0" w:space="0" w:color="auto"/>
                <w:bottom w:val="none" w:sz="0" w:space="0" w:color="auto"/>
                <w:right w:val="none" w:sz="0" w:space="0" w:color="auto"/>
              </w:divBdr>
            </w:div>
            <w:div w:id="456607799">
              <w:marLeft w:val="0"/>
              <w:marRight w:val="0"/>
              <w:marTop w:val="0"/>
              <w:marBottom w:val="0"/>
              <w:divBdr>
                <w:top w:val="none" w:sz="0" w:space="0" w:color="auto"/>
                <w:left w:val="none" w:sz="0" w:space="0" w:color="auto"/>
                <w:bottom w:val="none" w:sz="0" w:space="0" w:color="auto"/>
                <w:right w:val="none" w:sz="0" w:space="0" w:color="auto"/>
              </w:divBdr>
            </w:div>
            <w:div w:id="2112427552">
              <w:marLeft w:val="0"/>
              <w:marRight w:val="0"/>
              <w:marTop w:val="0"/>
              <w:marBottom w:val="0"/>
              <w:divBdr>
                <w:top w:val="none" w:sz="0" w:space="0" w:color="auto"/>
                <w:left w:val="none" w:sz="0" w:space="0" w:color="auto"/>
                <w:bottom w:val="none" w:sz="0" w:space="0" w:color="auto"/>
                <w:right w:val="none" w:sz="0" w:space="0" w:color="auto"/>
              </w:divBdr>
            </w:div>
            <w:div w:id="1228343864">
              <w:marLeft w:val="0"/>
              <w:marRight w:val="0"/>
              <w:marTop w:val="0"/>
              <w:marBottom w:val="0"/>
              <w:divBdr>
                <w:top w:val="none" w:sz="0" w:space="0" w:color="auto"/>
                <w:left w:val="none" w:sz="0" w:space="0" w:color="auto"/>
                <w:bottom w:val="none" w:sz="0" w:space="0" w:color="auto"/>
                <w:right w:val="none" w:sz="0" w:space="0" w:color="auto"/>
              </w:divBdr>
            </w:div>
            <w:div w:id="156044063">
              <w:marLeft w:val="0"/>
              <w:marRight w:val="0"/>
              <w:marTop w:val="0"/>
              <w:marBottom w:val="0"/>
              <w:divBdr>
                <w:top w:val="none" w:sz="0" w:space="0" w:color="auto"/>
                <w:left w:val="none" w:sz="0" w:space="0" w:color="auto"/>
                <w:bottom w:val="none" w:sz="0" w:space="0" w:color="auto"/>
                <w:right w:val="none" w:sz="0" w:space="0" w:color="auto"/>
              </w:divBdr>
            </w:div>
            <w:div w:id="941764593">
              <w:marLeft w:val="0"/>
              <w:marRight w:val="0"/>
              <w:marTop w:val="0"/>
              <w:marBottom w:val="0"/>
              <w:divBdr>
                <w:top w:val="none" w:sz="0" w:space="0" w:color="auto"/>
                <w:left w:val="none" w:sz="0" w:space="0" w:color="auto"/>
                <w:bottom w:val="none" w:sz="0" w:space="0" w:color="auto"/>
                <w:right w:val="none" w:sz="0" w:space="0" w:color="auto"/>
              </w:divBdr>
            </w:div>
            <w:div w:id="1170754709">
              <w:marLeft w:val="0"/>
              <w:marRight w:val="0"/>
              <w:marTop w:val="0"/>
              <w:marBottom w:val="0"/>
              <w:divBdr>
                <w:top w:val="none" w:sz="0" w:space="0" w:color="auto"/>
                <w:left w:val="none" w:sz="0" w:space="0" w:color="auto"/>
                <w:bottom w:val="none" w:sz="0" w:space="0" w:color="auto"/>
                <w:right w:val="none" w:sz="0" w:space="0" w:color="auto"/>
              </w:divBdr>
            </w:div>
            <w:div w:id="60031277">
              <w:marLeft w:val="0"/>
              <w:marRight w:val="0"/>
              <w:marTop w:val="0"/>
              <w:marBottom w:val="0"/>
              <w:divBdr>
                <w:top w:val="none" w:sz="0" w:space="0" w:color="auto"/>
                <w:left w:val="none" w:sz="0" w:space="0" w:color="auto"/>
                <w:bottom w:val="none" w:sz="0" w:space="0" w:color="auto"/>
                <w:right w:val="none" w:sz="0" w:space="0" w:color="auto"/>
              </w:divBdr>
            </w:div>
            <w:div w:id="847594288">
              <w:marLeft w:val="0"/>
              <w:marRight w:val="0"/>
              <w:marTop w:val="0"/>
              <w:marBottom w:val="0"/>
              <w:divBdr>
                <w:top w:val="none" w:sz="0" w:space="0" w:color="auto"/>
                <w:left w:val="none" w:sz="0" w:space="0" w:color="auto"/>
                <w:bottom w:val="none" w:sz="0" w:space="0" w:color="auto"/>
                <w:right w:val="none" w:sz="0" w:space="0" w:color="auto"/>
              </w:divBdr>
            </w:div>
            <w:div w:id="315109637">
              <w:marLeft w:val="0"/>
              <w:marRight w:val="0"/>
              <w:marTop w:val="0"/>
              <w:marBottom w:val="0"/>
              <w:divBdr>
                <w:top w:val="none" w:sz="0" w:space="0" w:color="auto"/>
                <w:left w:val="none" w:sz="0" w:space="0" w:color="auto"/>
                <w:bottom w:val="none" w:sz="0" w:space="0" w:color="auto"/>
                <w:right w:val="none" w:sz="0" w:space="0" w:color="auto"/>
              </w:divBdr>
            </w:div>
            <w:div w:id="436291624">
              <w:marLeft w:val="0"/>
              <w:marRight w:val="0"/>
              <w:marTop w:val="0"/>
              <w:marBottom w:val="0"/>
              <w:divBdr>
                <w:top w:val="none" w:sz="0" w:space="0" w:color="auto"/>
                <w:left w:val="none" w:sz="0" w:space="0" w:color="auto"/>
                <w:bottom w:val="none" w:sz="0" w:space="0" w:color="auto"/>
                <w:right w:val="none" w:sz="0" w:space="0" w:color="auto"/>
              </w:divBdr>
            </w:div>
            <w:div w:id="1091896087">
              <w:marLeft w:val="0"/>
              <w:marRight w:val="0"/>
              <w:marTop w:val="0"/>
              <w:marBottom w:val="0"/>
              <w:divBdr>
                <w:top w:val="none" w:sz="0" w:space="0" w:color="auto"/>
                <w:left w:val="none" w:sz="0" w:space="0" w:color="auto"/>
                <w:bottom w:val="none" w:sz="0" w:space="0" w:color="auto"/>
                <w:right w:val="none" w:sz="0" w:space="0" w:color="auto"/>
              </w:divBdr>
            </w:div>
            <w:div w:id="197091179">
              <w:marLeft w:val="0"/>
              <w:marRight w:val="0"/>
              <w:marTop w:val="0"/>
              <w:marBottom w:val="0"/>
              <w:divBdr>
                <w:top w:val="none" w:sz="0" w:space="0" w:color="auto"/>
                <w:left w:val="none" w:sz="0" w:space="0" w:color="auto"/>
                <w:bottom w:val="none" w:sz="0" w:space="0" w:color="auto"/>
                <w:right w:val="none" w:sz="0" w:space="0" w:color="auto"/>
              </w:divBdr>
            </w:div>
            <w:div w:id="886261731">
              <w:marLeft w:val="0"/>
              <w:marRight w:val="0"/>
              <w:marTop w:val="0"/>
              <w:marBottom w:val="0"/>
              <w:divBdr>
                <w:top w:val="none" w:sz="0" w:space="0" w:color="auto"/>
                <w:left w:val="none" w:sz="0" w:space="0" w:color="auto"/>
                <w:bottom w:val="none" w:sz="0" w:space="0" w:color="auto"/>
                <w:right w:val="none" w:sz="0" w:space="0" w:color="auto"/>
              </w:divBdr>
            </w:div>
            <w:div w:id="1891961954">
              <w:marLeft w:val="0"/>
              <w:marRight w:val="0"/>
              <w:marTop w:val="0"/>
              <w:marBottom w:val="0"/>
              <w:divBdr>
                <w:top w:val="none" w:sz="0" w:space="0" w:color="auto"/>
                <w:left w:val="none" w:sz="0" w:space="0" w:color="auto"/>
                <w:bottom w:val="none" w:sz="0" w:space="0" w:color="auto"/>
                <w:right w:val="none" w:sz="0" w:space="0" w:color="auto"/>
              </w:divBdr>
            </w:div>
            <w:div w:id="314145851">
              <w:marLeft w:val="0"/>
              <w:marRight w:val="0"/>
              <w:marTop w:val="0"/>
              <w:marBottom w:val="0"/>
              <w:divBdr>
                <w:top w:val="none" w:sz="0" w:space="0" w:color="auto"/>
                <w:left w:val="none" w:sz="0" w:space="0" w:color="auto"/>
                <w:bottom w:val="none" w:sz="0" w:space="0" w:color="auto"/>
                <w:right w:val="none" w:sz="0" w:space="0" w:color="auto"/>
              </w:divBdr>
            </w:div>
            <w:div w:id="484515276">
              <w:marLeft w:val="0"/>
              <w:marRight w:val="0"/>
              <w:marTop w:val="0"/>
              <w:marBottom w:val="0"/>
              <w:divBdr>
                <w:top w:val="none" w:sz="0" w:space="0" w:color="auto"/>
                <w:left w:val="none" w:sz="0" w:space="0" w:color="auto"/>
                <w:bottom w:val="none" w:sz="0" w:space="0" w:color="auto"/>
                <w:right w:val="none" w:sz="0" w:space="0" w:color="auto"/>
              </w:divBdr>
            </w:div>
            <w:div w:id="585958347">
              <w:marLeft w:val="0"/>
              <w:marRight w:val="0"/>
              <w:marTop w:val="0"/>
              <w:marBottom w:val="0"/>
              <w:divBdr>
                <w:top w:val="none" w:sz="0" w:space="0" w:color="auto"/>
                <w:left w:val="none" w:sz="0" w:space="0" w:color="auto"/>
                <w:bottom w:val="none" w:sz="0" w:space="0" w:color="auto"/>
                <w:right w:val="none" w:sz="0" w:space="0" w:color="auto"/>
              </w:divBdr>
            </w:div>
            <w:div w:id="55789384">
              <w:marLeft w:val="0"/>
              <w:marRight w:val="0"/>
              <w:marTop w:val="0"/>
              <w:marBottom w:val="0"/>
              <w:divBdr>
                <w:top w:val="none" w:sz="0" w:space="0" w:color="auto"/>
                <w:left w:val="none" w:sz="0" w:space="0" w:color="auto"/>
                <w:bottom w:val="none" w:sz="0" w:space="0" w:color="auto"/>
                <w:right w:val="none" w:sz="0" w:space="0" w:color="auto"/>
              </w:divBdr>
            </w:div>
            <w:div w:id="898856353">
              <w:marLeft w:val="0"/>
              <w:marRight w:val="0"/>
              <w:marTop w:val="0"/>
              <w:marBottom w:val="0"/>
              <w:divBdr>
                <w:top w:val="none" w:sz="0" w:space="0" w:color="auto"/>
                <w:left w:val="none" w:sz="0" w:space="0" w:color="auto"/>
                <w:bottom w:val="none" w:sz="0" w:space="0" w:color="auto"/>
                <w:right w:val="none" w:sz="0" w:space="0" w:color="auto"/>
              </w:divBdr>
            </w:div>
            <w:div w:id="1171675923">
              <w:marLeft w:val="0"/>
              <w:marRight w:val="0"/>
              <w:marTop w:val="0"/>
              <w:marBottom w:val="0"/>
              <w:divBdr>
                <w:top w:val="none" w:sz="0" w:space="0" w:color="auto"/>
                <w:left w:val="none" w:sz="0" w:space="0" w:color="auto"/>
                <w:bottom w:val="none" w:sz="0" w:space="0" w:color="auto"/>
                <w:right w:val="none" w:sz="0" w:space="0" w:color="auto"/>
              </w:divBdr>
            </w:div>
            <w:div w:id="163399108">
              <w:marLeft w:val="0"/>
              <w:marRight w:val="0"/>
              <w:marTop w:val="0"/>
              <w:marBottom w:val="0"/>
              <w:divBdr>
                <w:top w:val="none" w:sz="0" w:space="0" w:color="auto"/>
                <w:left w:val="none" w:sz="0" w:space="0" w:color="auto"/>
                <w:bottom w:val="none" w:sz="0" w:space="0" w:color="auto"/>
                <w:right w:val="none" w:sz="0" w:space="0" w:color="auto"/>
              </w:divBdr>
            </w:div>
            <w:div w:id="2063796095">
              <w:marLeft w:val="0"/>
              <w:marRight w:val="0"/>
              <w:marTop w:val="0"/>
              <w:marBottom w:val="0"/>
              <w:divBdr>
                <w:top w:val="none" w:sz="0" w:space="0" w:color="auto"/>
                <w:left w:val="none" w:sz="0" w:space="0" w:color="auto"/>
                <w:bottom w:val="none" w:sz="0" w:space="0" w:color="auto"/>
                <w:right w:val="none" w:sz="0" w:space="0" w:color="auto"/>
              </w:divBdr>
            </w:div>
            <w:div w:id="505290063">
              <w:marLeft w:val="0"/>
              <w:marRight w:val="0"/>
              <w:marTop w:val="0"/>
              <w:marBottom w:val="0"/>
              <w:divBdr>
                <w:top w:val="none" w:sz="0" w:space="0" w:color="auto"/>
                <w:left w:val="none" w:sz="0" w:space="0" w:color="auto"/>
                <w:bottom w:val="none" w:sz="0" w:space="0" w:color="auto"/>
                <w:right w:val="none" w:sz="0" w:space="0" w:color="auto"/>
              </w:divBdr>
            </w:div>
            <w:div w:id="1600331692">
              <w:marLeft w:val="0"/>
              <w:marRight w:val="0"/>
              <w:marTop w:val="0"/>
              <w:marBottom w:val="0"/>
              <w:divBdr>
                <w:top w:val="none" w:sz="0" w:space="0" w:color="auto"/>
                <w:left w:val="none" w:sz="0" w:space="0" w:color="auto"/>
                <w:bottom w:val="none" w:sz="0" w:space="0" w:color="auto"/>
                <w:right w:val="none" w:sz="0" w:space="0" w:color="auto"/>
              </w:divBdr>
            </w:div>
            <w:div w:id="771170711">
              <w:marLeft w:val="0"/>
              <w:marRight w:val="0"/>
              <w:marTop w:val="0"/>
              <w:marBottom w:val="0"/>
              <w:divBdr>
                <w:top w:val="none" w:sz="0" w:space="0" w:color="auto"/>
                <w:left w:val="none" w:sz="0" w:space="0" w:color="auto"/>
                <w:bottom w:val="none" w:sz="0" w:space="0" w:color="auto"/>
                <w:right w:val="none" w:sz="0" w:space="0" w:color="auto"/>
              </w:divBdr>
            </w:div>
            <w:div w:id="909117567">
              <w:marLeft w:val="0"/>
              <w:marRight w:val="0"/>
              <w:marTop w:val="0"/>
              <w:marBottom w:val="0"/>
              <w:divBdr>
                <w:top w:val="none" w:sz="0" w:space="0" w:color="auto"/>
                <w:left w:val="none" w:sz="0" w:space="0" w:color="auto"/>
                <w:bottom w:val="none" w:sz="0" w:space="0" w:color="auto"/>
                <w:right w:val="none" w:sz="0" w:space="0" w:color="auto"/>
              </w:divBdr>
            </w:div>
            <w:div w:id="223415405">
              <w:marLeft w:val="0"/>
              <w:marRight w:val="0"/>
              <w:marTop w:val="0"/>
              <w:marBottom w:val="0"/>
              <w:divBdr>
                <w:top w:val="none" w:sz="0" w:space="0" w:color="auto"/>
                <w:left w:val="none" w:sz="0" w:space="0" w:color="auto"/>
                <w:bottom w:val="none" w:sz="0" w:space="0" w:color="auto"/>
                <w:right w:val="none" w:sz="0" w:space="0" w:color="auto"/>
              </w:divBdr>
            </w:div>
            <w:div w:id="805128310">
              <w:marLeft w:val="0"/>
              <w:marRight w:val="0"/>
              <w:marTop w:val="0"/>
              <w:marBottom w:val="0"/>
              <w:divBdr>
                <w:top w:val="none" w:sz="0" w:space="0" w:color="auto"/>
                <w:left w:val="none" w:sz="0" w:space="0" w:color="auto"/>
                <w:bottom w:val="none" w:sz="0" w:space="0" w:color="auto"/>
                <w:right w:val="none" w:sz="0" w:space="0" w:color="auto"/>
              </w:divBdr>
            </w:div>
            <w:div w:id="1948805841">
              <w:marLeft w:val="0"/>
              <w:marRight w:val="0"/>
              <w:marTop w:val="0"/>
              <w:marBottom w:val="0"/>
              <w:divBdr>
                <w:top w:val="none" w:sz="0" w:space="0" w:color="auto"/>
                <w:left w:val="none" w:sz="0" w:space="0" w:color="auto"/>
                <w:bottom w:val="none" w:sz="0" w:space="0" w:color="auto"/>
                <w:right w:val="none" w:sz="0" w:space="0" w:color="auto"/>
              </w:divBdr>
            </w:div>
            <w:div w:id="2075736198">
              <w:marLeft w:val="0"/>
              <w:marRight w:val="0"/>
              <w:marTop w:val="0"/>
              <w:marBottom w:val="0"/>
              <w:divBdr>
                <w:top w:val="none" w:sz="0" w:space="0" w:color="auto"/>
                <w:left w:val="none" w:sz="0" w:space="0" w:color="auto"/>
                <w:bottom w:val="none" w:sz="0" w:space="0" w:color="auto"/>
                <w:right w:val="none" w:sz="0" w:space="0" w:color="auto"/>
              </w:divBdr>
            </w:div>
            <w:div w:id="2144538226">
              <w:marLeft w:val="0"/>
              <w:marRight w:val="0"/>
              <w:marTop w:val="0"/>
              <w:marBottom w:val="0"/>
              <w:divBdr>
                <w:top w:val="none" w:sz="0" w:space="0" w:color="auto"/>
                <w:left w:val="none" w:sz="0" w:space="0" w:color="auto"/>
                <w:bottom w:val="none" w:sz="0" w:space="0" w:color="auto"/>
                <w:right w:val="none" w:sz="0" w:space="0" w:color="auto"/>
              </w:divBdr>
            </w:div>
            <w:div w:id="724915980">
              <w:marLeft w:val="0"/>
              <w:marRight w:val="0"/>
              <w:marTop w:val="0"/>
              <w:marBottom w:val="0"/>
              <w:divBdr>
                <w:top w:val="none" w:sz="0" w:space="0" w:color="auto"/>
                <w:left w:val="none" w:sz="0" w:space="0" w:color="auto"/>
                <w:bottom w:val="none" w:sz="0" w:space="0" w:color="auto"/>
                <w:right w:val="none" w:sz="0" w:space="0" w:color="auto"/>
              </w:divBdr>
            </w:div>
            <w:div w:id="452403601">
              <w:marLeft w:val="0"/>
              <w:marRight w:val="0"/>
              <w:marTop w:val="0"/>
              <w:marBottom w:val="0"/>
              <w:divBdr>
                <w:top w:val="none" w:sz="0" w:space="0" w:color="auto"/>
                <w:left w:val="none" w:sz="0" w:space="0" w:color="auto"/>
                <w:bottom w:val="none" w:sz="0" w:space="0" w:color="auto"/>
                <w:right w:val="none" w:sz="0" w:space="0" w:color="auto"/>
              </w:divBdr>
            </w:div>
            <w:div w:id="1388607833">
              <w:marLeft w:val="0"/>
              <w:marRight w:val="0"/>
              <w:marTop w:val="0"/>
              <w:marBottom w:val="0"/>
              <w:divBdr>
                <w:top w:val="none" w:sz="0" w:space="0" w:color="auto"/>
                <w:left w:val="none" w:sz="0" w:space="0" w:color="auto"/>
                <w:bottom w:val="none" w:sz="0" w:space="0" w:color="auto"/>
                <w:right w:val="none" w:sz="0" w:space="0" w:color="auto"/>
              </w:divBdr>
            </w:div>
            <w:div w:id="2016373884">
              <w:marLeft w:val="0"/>
              <w:marRight w:val="0"/>
              <w:marTop w:val="0"/>
              <w:marBottom w:val="0"/>
              <w:divBdr>
                <w:top w:val="none" w:sz="0" w:space="0" w:color="auto"/>
                <w:left w:val="none" w:sz="0" w:space="0" w:color="auto"/>
                <w:bottom w:val="none" w:sz="0" w:space="0" w:color="auto"/>
                <w:right w:val="none" w:sz="0" w:space="0" w:color="auto"/>
              </w:divBdr>
            </w:div>
            <w:div w:id="2081710354">
              <w:marLeft w:val="0"/>
              <w:marRight w:val="0"/>
              <w:marTop w:val="0"/>
              <w:marBottom w:val="0"/>
              <w:divBdr>
                <w:top w:val="none" w:sz="0" w:space="0" w:color="auto"/>
                <w:left w:val="none" w:sz="0" w:space="0" w:color="auto"/>
                <w:bottom w:val="none" w:sz="0" w:space="0" w:color="auto"/>
                <w:right w:val="none" w:sz="0" w:space="0" w:color="auto"/>
              </w:divBdr>
            </w:div>
            <w:div w:id="288973035">
              <w:marLeft w:val="0"/>
              <w:marRight w:val="0"/>
              <w:marTop w:val="0"/>
              <w:marBottom w:val="0"/>
              <w:divBdr>
                <w:top w:val="none" w:sz="0" w:space="0" w:color="auto"/>
                <w:left w:val="none" w:sz="0" w:space="0" w:color="auto"/>
                <w:bottom w:val="none" w:sz="0" w:space="0" w:color="auto"/>
                <w:right w:val="none" w:sz="0" w:space="0" w:color="auto"/>
              </w:divBdr>
            </w:div>
            <w:div w:id="1158496752">
              <w:marLeft w:val="0"/>
              <w:marRight w:val="0"/>
              <w:marTop w:val="0"/>
              <w:marBottom w:val="0"/>
              <w:divBdr>
                <w:top w:val="none" w:sz="0" w:space="0" w:color="auto"/>
                <w:left w:val="none" w:sz="0" w:space="0" w:color="auto"/>
                <w:bottom w:val="none" w:sz="0" w:space="0" w:color="auto"/>
                <w:right w:val="none" w:sz="0" w:space="0" w:color="auto"/>
              </w:divBdr>
            </w:div>
            <w:div w:id="637497958">
              <w:marLeft w:val="0"/>
              <w:marRight w:val="0"/>
              <w:marTop w:val="0"/>
              <w:marBottom w:val="0"/>
              <w:divBdr>
                <w:top w:val="none" w:sz="0" w:space="0" w:color="auto"/>
                <w:left w:val="none" w:sz="0" w:space="0" w:color="auto"/>
                <w:bottom w:val="none" w:sz="0" w:space="0" w:color="auto"/>
                <w:right w:val="none" w:sz="0" w:space="0" w:color="auto"/>
              </w:divBdr>
            </w:div>
            <w:div w:id="1259675398">
              <w:marLeft w:val="0"/>
              <w:marRight w:val="0"/>
              <w:marTop w:val="0"/>
              <w:marBottom w:val="0"/>
              <w:divBdr>
                <w:top w:val="none" w:sz="0" w:space="0" w:color="auto"/>
                <w:left w:val="none" w:sz="0" w:space="0" w:color="auto"/>
                <w:bottom w:val="none" w:sz="0" w:space="0" w:color="auto"/>
                <w:right w:val="none" w:sz="0" w:space="0" w:color="auto"/>
              </w:divBdr>
            </w:div>
            <w:div w:id="902329940">
              <w:marLeft w:val="0"/>
              <w:marRight w:val="0"/>
              <w:marTop w:val="0"/>
              <w:marBottom w:val="0"/>
              <w:divBdr>
                <w:top w:val="none" w:sz="0" w:space="0" w:color="auto"/>
                <w:left w:val="none" w:sz="0" w:space="0" w:color="auto"/>
                <w:bottom w:val="none" w:sz="0" w:space="0" w:color="auto"/>
                <w:right w:val="none" w:sz="0" w:space="0" w:color="auto"/>
              </w:divBdr>
            </w:div>
            <w:div w:id="378240299">
              <w:marLeft w:val="0"/>
              <w:marRight w:val="0"/>
              <w:marTop w:val="0"/>
              <w:marBottom w:val="0"/>
              <w:divBdr>
                <w:top w:val="none" w:sz="0" w:space="0" w:color="auto"/>
                <w:left w:val="none" w:sz="0" w:space="0" w:color="auto"/>
                <w:bottom w:val="none" w:sz="0" w:space="0" w:color="auto"/>
                <w:right w:val="none" w:sz="0" w:space="0" w:color="auto"/>
              </w:divBdr>
            </w:div>
            <w:div w:id="249778497">
              <w:marLeft w:val="0"/>
              <w:marRight w:val="0"/>
              <w:marTop w:val="0"/>
              <w:marBottom w:val="0"/>
              <w:divBdr>
                <w:top w:val="none" w:sz="0" w:space="0" w:color="auto"/>
                <w:left w:val="none" w:sz="0" w:space="0" w:color="auto"/>
                <w:bottom w:val="none" w:sz="0" w:space="0" w:color="auto"/>
                <w:right w:val="none" w:sz="0" w:space="0" w:color="auto"/>
              </w:divBdr>
            </w:div>
            <w:div w:id="1291473891">
              <w:marLeft w:val="0"/>
              <w:marRight w:val="0"/>
              <w:marTop w:val="0"/>
              <w:marBottom w:val="0"/>
              <w:divBdr>
                <w:top w:val="none" w:sz="0" w:space="0" w:color="auto"/>
                <w:left w:val="none" w:sz="0" w:space="0" w:color="auto"/>
                <w:bottom w:val="none" w:sz="0" w:space="0" w:color="auto"/>
                <w:right w:val="none" w:sz="0" w:space="0" w:color="auto"/>
              </w:divBdr>
            </w:div>
            <w:div w:id="1481771501">
              <w:marLeft w:val="0"/>
              <w:marRight w:val="0"/>
              <w:marTop w:val="0"/>
              <w:marBottom w:val="0"/>
              <w:divBdr>
                <w:top w:val="none" w:sz="0" w:space="0" w:color="auto"/>
                <w:left w:val="none" w:sz="0" w:space="0" w:color="auto"/>
                <w:bottom w:val="none" w:sz="0" w:space="0" w:color="auto"/>
                <w:right w:val="none" w:sz="0" w:space="0" w:color="auto"/>
              </w:divBdr>
            </w:div>
            <w:div w:id="1598320913">
              <w:marLeft w:val="0"/>
              <w:marRight w:val="0"/>
              <w:marTop w:val="0"/>
              <w:marBottom w:val="0"/>
              <w:divBdr>
                <w:top w:val="none" w:sz="0" w:space="0" w:color="auto"/>
                <w:left w:val="none" w:sz="0" w:space="0" w:color="auto"/>
                <w:bottom w:val="none" w:sz="0" w:space="0" w:color="auto"/>
                <w:right w:val="none" w:sz="0" w:space="0" w:color="auto"/>
              </w:divBdr>
            </w:div>
            <w:div w:id="1319075736">
              <w:marLeft w:val="0"/>
              <w:marRight w:val="0"/>
              <w:marTop w:val="0"/>
              <w:marBottom w:val="0"/>
              <w:divBdr>
                <w:top w:val="none" w:sz="0" w:space="0" w:color="auto"/>
                <w:left w:val="none" w:sz="0" w:space="0" w:color="auto"/>
                <w:bottom w:val="none" w:sz="0" w:space="0" w:color="auto"/>
                <w:right w:val="none" w:sz="0" w:space="0" w:color="auto"/>
              </w:divBdr>
            </w:div>
            <w:div w:id="276909202">
              <w:marLeft w:val="0"/>
              <w:marRight w:val="0"/>
              <w:marTop w:val="0"/>
              <w:marBottom w:val="0"/>
              <w:divBdr>
                <w:top w:val="none" w:sz="0" w:space="0" w:color="auto"/>
                <w:left w:val="none" w:sz="0" w:space="0" w:color="auto"/>
                <w:bottom w:val="none" w:sz="0" w:space="0" w:color="auto"/>
                <w:right w:val="none" w:sz="0" w:space="0" w:color="auto"/>
              </w:divBdr>
            </w:div>
            <w:div w:id="215314832">
              <w:marLeft w:val="0"/>
              <w:marRight w:val="0"/>
              <w:marTop w:val="0"/>
              <w:marBottom w:val="0"/>
              <w:divBdr>
                <w:top w:val="none" w:sz="0" w:space="0" w:color="auto"/>
                <w:left w:val="none" w:sz="0" w:space="0" w:color="auto"/>
                <w:bottom w:val="none" w:sz="0" w:space="0" w:color="auto"/>
                <w:right w:val="none" w:sz="0" w:space="0" w:color="auto"/>
              </w:divBdr>
            </w:div>
            <w:div w:id="1254389619">
              <w:marLeft w:val="0"/>
              <w:marRight w:val="0"/>
              <w:marTop w:val="0"/>
              <w:marBottom w:val="0"/>
              <w:divBdr>
                <w:top w:val="none" w:sz="0" w:space="0" w:color="auto"/>
                <w:left w:val="none" w:sz="0" w:space="0" w:color="auto"/>
                <w:bottom w:val="none" w:sz="0" w:space="0" w:color="auto"/>
                <w:right w:val="none" w:sz="0" w:space="0" w:color="auto"/>
              </w:divBdr>
            </w:div>
            <w:div w:id="633482099">
              <w:marLeft w:val="0"/>
              <w:marRight w:val="0"/>
              <w:marTop w:val="0"/>
              <w:marBottom w:val="0"/>
              <w:divBdr>
                <w:top w:val="none" w:sz="0" w:space="0" w:color="auto"/>
                <w:left w:val="none" w:sz="0" w:space="0" w:color="auto"/>
                <w:bottom w:val="none" w:sz="0" w:space="0" w:color="auto"/>
                <w:right w:val="none" w:sz="0" w:space="0" w:color="auto"/>
              </w:divBdr>
            </w:div>
            <w:div w:id="1738045899">
              <w:marLeft w:val="0"/>
              <w:marRight w:val="0"/>
              <w:marTop w:val="0"/>
              <w:marBottom w:val="0"/>
              <w:divBdr>
                <w:top w:val="none" w:sz="0" w:space="0" w:color="auto"/>
                <w:left w:val="none" w:sz="0" w:space="0" w:color="auto"/>
                <w:bottom w:val="none" w:sz="0" w:space="0" w:color="auto"/>
                <w:right w:val="none" w:sz="0" w:space="0" w:color="auto"/>
              </w:divBdr>
            </w:div>
            <w:div w:id="97872704">
              <w:marLeft w:val="0"/>
              <w:marRight w:val="0"/>
              <w:marTop w:val="0"/>
              <w:marBottom w:val="0"/>
              <w:divBdr>
                <w:top w:val="none" w:sz="0" w:space="0" w:color="auto"/>
                <w:left w:val="none" w:sz="0" w:space="0" w:color="auto"/>
                <w:bottom w:val="none" w:sz="0" w:space="0" w:color="auto"/>
                <w:right w:val="none" w:sz="0" w:space="0" w:color="auto"/>
              </w:divBdr>
            </w:div>
            <w:div w:id="621114163">
              <w:marLeft w:val="0"/>
              <w:marRight w:val="0"/>
              <w:marTop w:val="0"/>
              <w:marBottom w:val="0"/>
              <w:divBdr>
                <w:top w:val="none" w:sz="0" w:space="0" w:color="auto"/>
                <w:left w:val="none" w:sz="0" w:space="0" w:color="auto"/>
                <w:bottom w:val="none" w:sz="0" w:space="0" w:color="auto"/>
                <w:right w:val="none" w:sz="0" w:space="0" w:color="auto"/>
              </w:divBdr>
            </w:div>
            <w:div w:id="525100608">
              <w:marLeft w:val="0"/>
              <w:marRight w:val="0"/>
              <w:marTop w:val="0"/>
              <w:marBottom w:val="0"/>
              <w:divBdr>
                <w:top w:val="none" w:sz="0" w:space="0" w:color="auto"/>
                <w:left w:val="none" w:sz="0" w:space="0" w:color="auto"/>
                <w:bottom w:val="none" w:sz="0" w:space="0" w:color="auto"/>
                <w:right w:val="none" w:sz="0" w:space="0" w:color="auto"/>
              </w:divBdr>
            </w:div>
            <w:div w:id="1074819038">
              <w:marLeft w:val="0"/>
              <w:marRight w:val="0"/>
              <w:marTop w:val="0"/>
              <w:marBottom w:val="0"/>
              <w:divBdr>
                <w:top w:val="none" w:sz="0" w:space="0" w:color="auto"/>
                <w:left w:val="none" w:sz="0" w:space="0" w:color="auto"/>
                <w:bottom w:val="none" w:sz="0" w:space="0" w:color="auto"/>
                <w:right w:val="none" w:sz="0" w:space="0" w:color="auto"/>
              </w:divBdr>
            </w:div>
            <w:div w:id="1113668424">
              <w:marLeft w:val="0"/>
              <w:marRight w:val="0"/>
              <w:marTop w:val="0"/>
              <w:marBottom w:val="0"/>
              <w:divBdr>
                <w:top w:val="none" w:sz="0" w:space="0" w:color="auto"/>
                <w:left w:val="none" w:sz="0" w:space="0" w:color="auto"/>
                <w:bottom w:val="none" w:sz="0" w:space="0" w:color="auto"/>
                <w:right w:val="none" w:sz="0" w:space="0" w:color="auto"/>
              </w:divBdr>
            </w:div>
            <w:div w:id="1115632422">
              <w:marLeft w:val="0"/>
              <w:marRight w:val="0"/>
              <w:marTop w:val="0"/>
              <w:marBottom w:val="0"/>
              <w:divBdr>
                <w:top w:val="none" w:sz="0" w:space="0" w:color="auto"/>
                <w:left w:val="none" w:sz="0" w:space="0" w:color="auto"/>
                <w:bottom w:val="none" w:sz="0" w:space="0" w:color="auto"/>
                <w:right w:val="none" w:sz="0" w:space="0" w:color="auto"/>
              </w:divBdr>
            </w:div>
            <w:div w:id="1028800741">
              <w:marLeft w:val="0"/>
              <w:marRight w:val="0"/>
              <w:marTop w:val="0"/>
              <w:marBottom w:val="0"/>
              <w:divBdr>
                <w:top w:val="none" w:sz="0" w:space="0" w:color="auto"/>
                <w:left w:val="none" w:sz="0" w:space="0" w:color="auto"/>
                <w:bottom w:val="none" w:sz="0" w:space="0" w:color="auto"/>
                <w:right w:val="none" w:sz="0" w:space="0" w:color="auto"/>
              </w:divBdr>
            </w:div>
            <w:div w:id="1036854615">
              <w:marLeft w:val="0"/>
              <w:marRight w:val="0"/>
              <w:marTop w:val="0"/>
              <w:marBottom w:val="0"/>
              <w:divBdr>
                <w:top w:val="none" w:sz="0" w:space="0" w:color="auto"/>
                <w:left w:val="none" w:sz="0" w:space="0" w:color="auto"/>
                <w:bottom w:val="none" w:sz="0" w:space="0" w:color="auto"/>
                <w:right w:val="none" w:sz="0" w:space="0" w:color="auto"/>
              </w:divBdr>
            </w:div>
            <w:div w:id="397167066">
              <w:marLeft w:val="0"/>
              <w:marRight w:val="0"/>
              <w:marTop w:val="0"/>
              <w:marBottom w:val="0"/>
              <w:divBdr>
                <w:top w:val="none" w:sz="0" w:space="0" w:color="auto"/>
                <w:left w:val="none" w:sz="0" w:space="0" w:color="auto"/>
                <w:bottom w:val="none" w:sz="0" w:space="0" w:color="auto"/>
                <w:right w:val="none" w:sz="0" w:space="0" w:color="auto"/>
              </w:divBdr>
            </w:div>
            <w:div w:id="1117749035">
              <w:marLeft w:val="0"/>
              <w:marRight w:val="0"/>
              <w:marTop w:val="0"/>
              <w:marBottom w:val="0"/>
              <w:divBdr>
                <w:top w:val="none" w:sz="0" w:space="0" w:color="auto"/>
                <w:left w:val="none" w:sz="0" w:space="0" w:color="auto"/>
                <w:bottom w:val="none" w:sz="0" w:space="0" w:color="auto"/>
                <w:right w:val="none" w:sz="0" w:space="0" w:color="auto"/>
              </w:divBdr>
            </w:div>
            <w:div w:id="1269385610">
              <w:marLeft w:val="0"/>
              <w:marRight w:val="0"/>
              <w:marTop w:val="0"/>
              <w:marBottom w:val="0"/>
              <w:divBdr>
                <w:top w:val="none" w:sz="0" w:space="0" w:color="auto"/>
                <w:left w:val="none" w:sz="0" w:space="0" w:color="auto"/>
                <w:bottom w:val="none" w:sz="0" w:space="0" w:color="auto"/>
                <w:right w:val="none" w:sz="0" w:space="0" w:color="auto"/>
              </w:divBdr>
            </w:div>
            <w:div w:id="1612473540">
              <w:marLeft w:val="0"/>
              <w:marRight w:val="0"/>
              <w:marTop w:val="0"/>
              <w:marBottom w:val="0"/>
              <w:divBdr>
                <w:top w:val="none" w:sz="0" w:space="0" w:color="auto"/>
                <w:left w:val="none" w:sz="0" w:space="0" w:color="auto"/>
                <w:bottom w:val="none" w:sz="0" w:space="0" w:color="auto"/>
                <w:right w:val="none" w:sz="0" w:space="0" w:color="auto"/>
              </w:divBdr>
            </w:div>
            <w:div w:id="1407071251">
              <w:marLeft w:val="0"/>
              <w:marRight w:val="0"/>
              <w:marTop w:val="0"/>
              <w:marBottom w:val="0"/>
              <w:divBdr>
                <w:top w:val="none" w:sz="0" w:space="0" w:color="auto"/>
                <w:left w:val="none" w:sz="0" w:space="0" w:color="auto"/>
                <w:bottom w:val="none" w:sz="0" w:space="0" w:color="auto"/>
                <w:right w:val="none" w:sz="0" w:space="0" w:color="auto"/>
              </w:divBdr>
            </w:div>
            <w:div w:id="1276794224">
              <w:marLeft w:val="0"/>
              <w:marRight w:val="0"/>
              <w:marTop w:val="0"/>
              <w:marBottom w:val="0"/>
              <w:divBdr>
                <w:top w:val="none" w:sz="0" w:space="0" w:color="auto"/>
                <w:left w:val="none" w:sz="0" w:space="0" w:color="auto"/>
                <w:bottom w:val="none" w:sz="0" w:space="0" w:color="auto"/>
                <w:right w:val="none" w:sz="0" w:space="0" w:color="auto"/>
              </w:divBdr>
            </w:div>
            <w:div w:id="1053969159">
              <w:marLeft w:val="0"/>
              <w:marRight w:val="0"/>
              <w:marTop w:val="0"/>
              <w:marBottom w:val="0"/>
              <w:divBdr>
                <w:top w:val="none" w:sz="0" w:space="0" w:color="auto"/>
                <w:left w:val="none" w:sz="0" w:space="0" w:color="auto"/>
                <w:bottom w:val="none" w:sz="0" w:space="0" w:color="auto"/>
                <w:right w:val="none" w:sz="0" w:space="0" w:color="auto"/>
              </w:divBdr>
            </w:div>
            <w:div w:id="1808207434">
              <w:marLeft w:val="0"/>
              <w:marRight w:val="0"/>
              <w:marTop w:val="0"/>
              <w:marBottom w:val="0"/>
              <w:divBdr>
                <w:top w:val="none" w:sz="0" w:space="0" w:color="auto"/>
                <w:left w:val="none" w:sz="0" w:space="0" w:color="auto"/>
                <w:bottom w:val="none" w:sz="0" w:space="0" w:color="auto"/>
                <w:right w:val="none" w:sz="0" w:space="0" w:color="auto"/>
              </w:divBdr>
            </w:div>
            <w:div w:id="1126435325">
              <w:marLeft w:val="0"/>
              <w:marRight w:val="0"/>
              <w:marTop w:val="0"/>
              <w:marBottom w:val="0"/>
              <w:divBdr>
                <w:top w:val="none" w:sz="0" w:space="0" w:color="auto"/>
                <w:left w:val="none" w:sz="0" w:space="0" w:color="auto"/>
                <w:bottom w:val="none" w:sz="0" w:space="0" w:color="auto"/>
                <w:right w:val="none" w:sz="0" w:space="0" w:color="auto"/>
              </w:divBdr>
            </w:div>
            <w:div w:id="835999698">
              <w:marLeft w:val="0"/>
              <w:marRight w:val="0"/>
              <w:marTop w:val="0"/>
              <w:marBottom w:val="0"/>
              <w:divBdr>
                <w:top w:val="none" w:sz="0" w:space="0" w:color="auto"/>
                <w:left w:val="none" w:sz="0" w:space="0" w:color="auto"/>
                <w:bottom w:val="none" w:sz="0" w:space="0" w:color="auto"/>
                <w:right w:val="none" w:sz="0" w:space="0" w:color="auto"/>
              </w:divBdr>
            </w:div>
            <w:div w:id="705637451">
              <w:marLeft w:val="0"/>
              <w:marRight w:val="0"/>
              <w:marTop w:val="0"/>
              <w:marBottom w:val="0"/>
              <w:divBdr>
                <w:top w:val="none" w:sz="0" w:space="0" w:color="auto"/>
                <w:left w:val="none" w:sz="0" w:space="0" w:color="auto"/>
                <w:bottom w:val="none" w:sz="0" w:space="0" w:color="auto"/>
                <w:right w:val="none" w:sz="0" w:space="0" w:color="auto"/>
              </w:divBdr>
            </w:div>
            <w:div w:id="1635061366">
              <w:marLeft w:val="0"/>
              <w:marRight w:val="0"/>
              <w:marTop w:val="0"/>
              <w:marBottom w:val="0"/>
              <w:divBdr>
                <w:top w:val="none" w:sz="0" w:space="0" w:color="auto"/>
                <w:left w:val="none" w:sz="0" w:space="0" w:color="auto"/>
                <w:bottom w:val="none" w:sz="0" w:space="0" w:color="auto"/>
                <w:right w:val="none" w:sz="0" w:space="0" w:color="auto"/>
              </w:divBdr>
            </w:div>
            <w:div w:id="1074626218">
              <w:marLeft w:val="0"/>
              <w:marRight w:val="0"/>
              <w:marTop w:val="0"/>
              <w:marBottom w:val="0"/>
              <w:divBdr>
                <w:top w:val="none" w:sz="0" w:space="0" w:color="auto"/>
                <w:left w:val="none" w:sz="0" w:space="0" w:color="auto"/>
                <w:bottom w:val="none" w:sz="0" w:space="0" w:color="auto"/>
                <w:right w:val="none" w:sz="0" w:space="0" w:color="auto"/>
              </w:divBdr>
            </w:div>
            <w:div w:id="1737779156">
              <w:marLeft w:val="0"/>
              <w:marRight w:val="0"/>
              <w:marTop w:val="0"/>
              <w:marBottom w:val="0"/>
              <w:divBdr>
                <w:top w:val="none" w:sz="0" w:space="0" w:color="auto"/>
                <w:left w:val="none" w:sz="0" w:space="0" w:color="auto"/>
                <w:bottom w:val="none" w:sz="0" w:space="0" w:color="auto"/>
                <w:right w:val="none" w:sz="0" w:space="0" w:color="auto"/>
              </w:divBdr>
            </w:div>
            <w:div w:id="1255750459">
              <w:marLeft w:val="0"/>
              <w:marRight w:val="0"/>
              <w:marTop w:val="0"/>
              <w:marBottom w:val="0"/>
              <w:divBdr>
                <w:top w:val="none" w:sz="0" w:space="0" w:color="auto"/>
                <w:left w:val="none" w:sz="0" w:space="0" w:color="auto"/>
                <w:bottom w:val="none" w:sz="0" w:space="0" w:color="auto"/>
                <w:right w:val="none" w:sz="0" w:space="0" w:color="auto"/>
              </w:divBdr>
            </w:div>
            <w:div w:id="1515455509">
              <w:marLeft w:val="0"/>
              <w:marRight w:val="0"/>
              <w:marTop w:val="0"/>
              <w:marBottom w:val="0"/>
              <w:divBdr>
                <w:top w:val="none" w:sz="0" w:space="0" w:color="auto"/>
                <w:left w:val="none" w:sz="0" w:space="0" w:color="auto"/>
                <w:bottom w:val="none" w:sz="0" w:space="0" w:color="auto"/>
                <w:right w:val="none" w:sz="0" w:space="0" w:color="auto"/>
              </w:divBdr>
            </w:div>
            <w:div w:id="271405683">
              <w:marLeft w:val="0"/>
              <w:marRight w:val="0"/>
              <w:marTop w:val="0"/>
              <w:marBottom w:val="0"/>
              <w:divBdr>
                <w:top w:val="none" w:sz="0" w:space="0" w:color="auto"/>
                <w:left w:val="none" w:sz="0" w:space="0" w:color="auto"/>
                <w:bottom w:val="none" w:sz="0" w:space="0" w:color="auto"/>
                <w:right w:val="none" w:sz="0" w:space="0" w:color="auto"/>
              </w:divBdr>
            </w:div>
            <w:div w:id="433064295">
              <w:marLeft w:val="0"/>
              <w:marRight w:val="0"/>
              <w:marTop w:val="0"/>
              <w:marBottom w:val="0"/>
              <w:divBdr>
                <w:top w:val="none" w:sz="0" w:space="0" w:color="auto"/>
                <w:left w:val="none" w:sz="0" w:space="0" w:color="auto"/>
                <w:bottom w:val="none" w:sz="0" w:space="0" w:color="auto"/>
                <w:right w:val="none" w:sz="0" w:space="0" w:color="auto"/>
              </w:divBdr>
            </w:div>
            <w:div w:id="1214391572">
              <w:marLeft w:val="0"/>
              <w:marRight w:val="0"/>
              <w:marTop w:val="0"/>
              <w:marBottom w:val="0"/>
              <w:divBdr>
                <w:top w:val="none" w:sz="0" w:space="0" w:color="auto"/>
                <w:left w:val="none" w:sz="0" w:space="0" w:color="auto"/>
                <w:bottom w:val="none" w:sz="0" w:space="0" w:color="auto"/>
                <w:right w:val="none" w:sz="0" w:space="0" w:color="auto"/>
              </w:divBdr>
            </w:div>
            <w:div w:id="1967075998">
              <w:marLeft w:val="0"/>
              <w:marRight w:val="0"/>
              <w:marTop w:val="0"/>
              <w:marBottom w:val="0"/>
              <w:divBdr>
                <w:top w:val="none" w:sz="0" w:space="0" w:color="auto"/>
                <w:left w:val="none" w:sz="0" w:space="0" w:color="auto"/>
                <w:bottom w:val="none" w:sz="0" w:space="0" w:color="auto"/>
                <w:right w:val="none" w:sz="0" w:space="0" w:color="auto"/>
              </w:divBdr>
            </w:div>
            <w:div w:id="1705250596">
              <w:marLeft w:val="0"/>
              <w:marRight w:val="0"/>
              <w:marTop w:val="0"/>
              <w:marBottom w:val="0"/>
              <w:divBdr>
                <w:top w:val="none" w:sz="0" w:space="0" w:color="auto"/>
                <w:left w:val="none" w:sz="0" w:space="0" w:color="auto"/>
                <w:bottom w:val="none" w:sz="0" w:space="0" w:color="auto"/>
                <w:right w:val="none" w:sz="0" w:space="0" w:color="auto"/>
              </w:divBdr>
            </w:div>
            <w:div w:id="1618680689">
              <w:marLeft w:val="0"/>
              <w:marRight w:val="0"/>
              <w:marTop w:val="0"/>
              <w:marBottom w:val="0"/>
              <w:divBdr>
                <w:top w:val="none" w:sz="0" w:space="0" w:color="auto"/>
                <w:left w:val="none" w:sz="0" w:space="0" w:color="auto"/>
                <w:bottom w:val="none" w:sz="0" w:space="0" w:color="auto"/>
                <w:right w:val="none" w:sz="0" w:space="0" w:color="auto"/>
              </w:divBdr>
            </w:div>
            <w:div w:id="1191185630">
              <w:marLeft w:val="0"/>
              <w:marRight w:val="0"/>
              <w:marTop w:val="0"/>
              <w:marBottom w:val="0"/>
              <w:divBdr>
                <w:top w:val="none" w:sz="0" w:space="0" w:color="auto"/>
                <w:left w:val="none" w:sz="0" w:space="0" w:color="auto"/>
                <w:bottom w:val="none" w:sz="0" w:space="0" w:color="auto"/>
                <w:right w:val="none" w:sz="0" w:space="0" w:color="auto"/>
              </w:divBdr>
            </w:div>
            <w:div w:id="440953697">
              <w:marLeft w:val="0"/>
              <w:marRight w:val="0"/>
              <w:marTop w:val="0"/>
              <w:marBottom w:val="0"/>
              <w:divBdr>
                <w:top w:val="none" w:sz="0" w:space="0" w:color="auto"/>
                <w:left w:val="none" w:sz="0" w:space="0" w:color="auto"/>
                <w:bottom w:val="none" w:sz="0" w:space="0" w:color="auto"/>
                <w:right w:val="none" w:sz="0" w:space="0" w:color="auto"/>
              </w:divBdr>
            </w:div>
            <w:div w:id="277371384">
              <w:marLeft w:val="0"/>
              <w:marRight w:val="0"/>
              <w:marTop w:val="0"/>
              <w:marBottom w:val="0"/>
              <w:divBdr>
                <w:top w:val="none" w:sz="0" w:space="0" w:color="auto"/>
                <w:left w:val="none" w:sz="0" w:space="0" w:color="auto"/>
                <w:bottom w:val="none" w:sz="0" w:space="0" w:color="auto"/>
                <w:right w:val="none" w:sz="0" w:space="0" w:color="auto"/>
              </w:divBdr>
            </w:div>
            <w:div w:id="683898925">
              <w:marLeft w:val="0"/>
              <w:marRight w:val="0"/>
              <w:marTop w:val="0"/>
              <w:marBottom w:val="0"/>
              <w:divBdr>
                <w:top w:val="none" w:sz="0" w:space="0" w:color="auto"/>
                <w:left w:val="none" w:sz="0" w:space="0" w:color="auto"/>
                <w:bottom w:val="none" w:sz="0" w:space="0" w:color="auto"/>
                <w:right w:val="none" w:sz="0" w:space="0" w:color="auto"/>
              </w:divBdr>
            </w:div>
            <w:div w:id="2089577448">
              <w:marLeft w:val="0"/>
              <w:marRight w:val="0"/>
              <w:marTop w:val="0"/>
              <w:marBottom w:val="0"/>
              <w:divBdr>
                <w:top w:val="none" w:sz="0" w:space="0" w:color="auto"/>
                <w:left w:val="none" w:sz="0" w:space="0" w:color="auto"/>
                <w:bottom w:val="none" w:sz="0" w:space="0" w:color="auto"/>
                <w:right w:val="none" w:sz="0" w:space="0" w:color="auto"/>
              </w:divBdr>
            </w:div>
            <w:div w:id="1475640726">
              <w:marLeft w:val="0"/>
              <w:marRight w:val="0"/>
              <w:marTop w:val="0"/>
              <w:marBottom w:val="0"/>
              <w:divBdr>
                <w:top w:val="none" w:sz="0" w:space="0" w:color="auto"/>
                <w:left w:val="none" w:sz="0" w:space="0" w:color="auto"/>
                <w:bottom w:val="none" w:sz="0" w:space="0" w:color="auto"/>
                <w:right w:val="none" w:sz="0" w:space="0" w:color="auto"/>
              </w:divBdr>
            </w:div>
            <w:div w:id="194461509">
              <w:marLeft w:val="0"/>
              <w:marRight w:val="0"/>
              <w:marTop w:val="0"/>
              <w:marBottom w:val="0"/>
              <w:divBdr>
                <w:top w:val="none" w:sz="0" w:space="0" w:color="auto"/>
                <w:left w:val="none" w:sz="0" w:space="0" w:color="auto"/>
                <w:bottom w:val="none" w:sz="0" w:space="0" w:color="auto"/>
                <w:right w:val="none" w:sz="0" w:space="0" w:color="auto"/>
              </w:divBdr>
            </w:div>
            <w:div w:id="1246380174">
              <w:marLeft w:val="0"/>
              <w:marRight w:val="0"/>
              <w:marTop w:val="0"/>
              <w:marBottom w:val="0"/>
              <w:divBdr>
                <w:top w:val="none" w:sz="0" w:space="0" w:color="auto"/>
                <w:left w:val="none" w:sz="0" w:space="0" w:color="auto"/>
                <w:bottom w:val="none" w:sz="0" w:space="0" w:color="auto"/>
                <w:right w:val="none" w:sz="0" w:space="0" w:color="auto"/>
              </w:divBdr>
            </w:div>
            <w:div w:id="381177004">
              <w:marLeft w:val="0"/>
              <w:marRight w:val="0"/>
              <w:marTop w:val="0"/>
              <w:marBottom w:val="0"/>
              <w:divBdr>
                <w:top w:val="none" w:sz="0" w:space="0" w:color="auto"/>
                <w:left w:val="none" w:sz="0" w:space="0" w:color="auto"/>
                <w:bottom w:val="none" w:sz="0" w:space="0" w:color="auto"/>
                <w:right w:val="none" w:sz="0" w:space="0" w:color="auto"/>
              </w:divBdr>
            </w:div>
            <w:div w:id="296449731">
              <w:marLeft w:val="0"/>
              <w:marRight w:val="0"/>
              <w:marTop w:val="0"/>
              <w:marBottom w:val="0"/>
              <w:divBdr>
                <w:top w:val="none" w:sz="0" w:space="0" w:color="auto"/>
                <w:left w:val="none" w:sz="0" w:space="0" w:color="auto"/>
                <w:bottom w:val="none" w:sz="0" w:space="0" w:color="auto"/>
                <w:right w:val="none" w:sz="0" w:space="0" w:color="auto"/>
              </w:divBdr>
            </w:div>
            <w:div w:id="1031104850">
              <w:marLeft w:val="0"/>
              <w:marRight w:val="0"/>
              <w:marTop w:val="0"/>
              <w:marBottom w:val="0"/>
              <w:divBdr>
                <w:top w:val="none" w:sz="0" w:space="0" w:color="auto"/>
                <w:left w:val="none" w:sz="0" w:space="0" w:color="auto"/>
                <w:bottom w:val="none" w:sz="0" w:space="0" w:color="auto"/>
                <w:right w:val="none" w:sz="0" w:space="0" w:color="auto"/>
              </w:divBdr>
            </w:div>
            <w:div w:id="500700432">
              <w:marLeft w:val="0"/>
              <w:marRight w:val="0"/>
              <w:marTop w:val="0"/>
              <w:marBottom w:val="0"/>
              <w:divBdr>
                <w:top w:val="none" w:sz="0" w:space="0" w:color="auto"/>
                <w:left w:val="none" w:sz="0" w:space="0" w:color="auto"/>
                <w:bottom w:val="none" w:sz="0" w:space="0" w:color="auto"/>
                <w:right w:val="none" w:sz="0" w:space="0" w:color="auto"/>
              </w:divBdr>
            </w:div>
            <w:div w:id="298848700">
              <w:marLeft w:val="0"/>
              <w:marRight w:val="0"/>
              <w:marTop w:val="0"/>
              <w:marBottom w:val="0"/>
              <w:divBdr>
                <w:top w:val="none" w:sz="0" w:space="0" w:color="auto"/>
                <w:left w:val="none" w:sz="0" w:space="0" w:color="auto"/>
                <w:bottom w:val="none" w:sz="0" w:space="0" w:color="auto"/>
                <w:right w:val="none" w:sz="0" w:space="0" w:color="auto"/>
              </w:divBdr>
            </w:div>
            <w:div w:id="1789427646">
              <w:marLeft w:val="0"/>
              <w:marRight w:val="0"/>
              <w:marTop w:val="0"/>
              <w:marBottom w:val="0"/>
              <w:divBdr>
                <w:top w:val="none" w:sz="0" w:space="0" w:color="auto"/>
                <w:left w:val="none" w:sz="0" w:space="0" w:color="auto"/>
                <w:bottom w:val="none" w:sz="0" w:space="0" w:color="auto"/>
                <w:right w:val="none" w:sz="0" w:space="0" w:color="auto"/>
              </w:divBdr>
            </w:div>
            <w:div w:id="1257324508">
              <w:marLeft w:val="0"/>
              <w:marRight w:val="0"/>
              <w:marTop w:val="0"/>
              <w:marBottom w:val="0"/>
              <w:divBdr>
                <w:top w:val="none" w:sz="0" w:space="0" w:color="auto"/>
                <w:left w:val="none" w:sz="0" w:space="0" w:color="auto"/>
                <w:bottom w:val="none" w:sz="0" w:space="0" w:color="auto"/>
                <w:right w:val="none" w:sz="0" w:space="0" w:color="auto"/>
              </w:divBdr>
            </w:div>
            <w:div w:id="88815586">
              <w:marLeft w:val="0"/>
              <w:marRight w:val="0"/>
              <w:marTop w:val="0"/>
              <w:marBottom w:val="0"/>
              <w:divBdr>
                <w:top w:val="none" w:sz="0" w:space="0" w:color="auto"/>
                <w:left w:val="none" w:sz="0" w:space="0" w:color="auto"/>
                <w:bottom w:val="none" w:sz="0" w:space="0" w:color="auto"/>
                <w:right w:val="none" w:sz="0" w:space="0" w:color="auto"/>
              </w:divBdr>
            </w:div>
            <w:div w:id="2095391374">
              <w:marLeft w:val="0"/>
              <w:marRight w:val="0"/>
              <w:marTop w:val="0"/>
              <w:marBottom w:val="0"/>
              <w:divBdr>
                <w:top w:val="none" w:sz="0" w:space="0" w:color="auto"/>
                <w:left w:val="none" w:sz="0" w:space="0" w:color="auto"/>
                <w:bottom w:val="none" w:sz="0" w:space="0" w:color="auto"/>
                <w:right w:val="none" w:sz="0" w:space="0" w:color="auto"/>
              </w:divBdr>
            </w:div>
            <w:div w:id="571156389">
              <w:marLeft w:val="0"/>
              <w:marRight w:val="0"/>
              <w:marTop w:val="0"/>
              <w:marBottom w:val="0"/>
              <w:divBdr>
                <w:top w:val="none" w:sz="0" w:space="0" w:color="auto"/>
                <w:left w:val="none" w:sz="0" w:space="0" w:color="auto"/>
                <w:bottom w:val="none" w:sz="0" w:space="0" w:color="auto"/>
                <w:right w:val="none" w:sz="0" w:space="0" w:color="auto"/>
              </w:divBdr>
            </w:div>
            <w:div w:id="1904176087">
              <w:marLeft w:val="0"/>
              <w:marRight w:val="0"/>
              <w:marTop w:val="0"/>
              <w:marBottom w:val="0"/>
              <w:divBdr>
                <w:top w:val="none" w:sz="0" w:space="0" w:color="auto"/>
                <w:left w:val="none" w:sz="0" w:space="0" w:color="auto"/>
                <w:bottom w:val="none" w:sz="0" w:space="0" w:color="auto"/>
                <w:right w:val="none" w:sz="0" w:space="0" w:color="auto"/>
              </w:divBdr>
            </w:div>
            <w:div w:id="743451192">
              <w:marLeft w:val="0"/>
              <w:marRight w:val="0"/>
              <w:marTop w:val="0"/>
              <w:marBottom w:val="0"/>
              <w:divBdr>
                <w:top w:val="none" w:sz="0" w:space="0" w:color="auto"/>
                <w:left w:val="none" w:sz="0" w:space="0" w:color="auto"/>
                <w:bottom w:val="none" w:sz="0" w:space="0" w:color="auto"/>
                <w:right w:val="none" w:sz="0" w:space="0" w:color="auto"/>
              </w:divBdr>
            </w:div>
            <w:div w:id="1230726043">
              <w:marLeft w:val="0"/>
              <w:marRight w:val="0"/>
              <w:marTop w:val="0"/>
              <w:marBottom w:val="0"/>
              <w:divBdr>
                <w:top w:val="none" w:sz="0" w:space="0" w:color="auto"/>
                <w:left w:val="none" w:sz="0" w:space="0" w:color="auto"/>
                <w:bottom w:val="none" w:sz="0" w:space="0" w:color="auto"/>
                <w:right w:val="none" w:sz="0" w:space="0" w:color="auto"/>
              </w:divBdr>
            </w:div>
            <w:div w:id="1408073327">
              <w:marLeft w:val="0"/>
              <w:marRight w:val="0"/>
              <w:marTop w:val="0"/>
              <w:marBottom w:val="0"/>
              <w:divBdr>
                <w:top w:val="none" w:sz="0" w:space="0" w:color="auto"/>
                <w:left w:val="none" w:sz="0" w:space="0" w:color="auto"/>
                <w:bottom w:val="none" w:sz="0" w:space="0" w:color="auto"/>
                <w:right w:val="none" w:sz="0" w:space="0" w:color="auto"/>
              </w:divBdr>
            </w:div>
            <w:div w:id="186992612">
              <w:marLeft w:val="0"/>
              <w:marRight w:val="0"/>
              <w:marTop w:val="0"/>
              <w:marBottom w:val="0"/>
              <w:divBdr>
                <w:top w:val="none" w:sz="0" w:space="0" w:color="auto"/>
                <w:left w:val="none" w:sz="0" w:space="0" w:color="auto"/>
                <w:bottom w:val="none" w:sz="0" w:space="0" w:color="auto"/>
                <w:right w:val="none" w:sz="0" w:space="0" w:color="auto"/>
              </w:divBdr>
            </w:div>
            <w:div w:id="402921895">
              <w:marLeft w:val="0"/>
              <w:marRight w:val="0"/>
              <w:marTop w:val="0"/>
              <w:marBottom w:val="0"/>
              <w:divBdr>
                <w:top w:val="none" w:sz="0" w:space="0" w:color="auto"/>
                <w:left w:val="none" w:sz="0" w:space="0" w:color="auto"/>
                <w:bottom w:val="none" w:sz="0" w:space="0" w:color="auto"/>
                <w:right w:val="none" w:sz="0" w:space="0" w:color="auto"/>
              </w:divBdr>
            </w:div>
            <w:div w:id="797796223">
              <w:marLeft w:val="0"/>
              <w:marRight w:val="0"/>
              <w:marTop w:val="0"/>
              <w:marBottom w:val="0"/>
              <w:divBdr>
                <w:top w:val="none" w:sz="0" w:space="0" w:color="auto"/>
                <w:left w:val="none" w:sz="0" w:space="0" w:color="auto"/>
                <w:bottom w:val="none" w:sz="0" w:space="0" w:color="auto"/>
                <w:right w:val="none" w:sz="0" w:space="0" w:color="auto"/>
              </w:divBdr>
            </w:div>
            <w:div w:id="302009628">
              <w:marLeft w:val="0"/>
              <w:marRight w:val="0"/>
              <w:marTop w:val="0"/>
              <w:marBottom w:val="0"/>
              <w:divBdr>
                <w:top w:val="none" w:sz="0" w:space="0" w:color="auto"/>
                <w:left w:val="none" w:sz="0" w:space="0" w:color="auto"/>
                <w:bottom w:val="none" w:sz="0" w:space="0" w:color="auto"/>
                <w:right w:val="none" w:sz="0" w:space="0" w:color="auto"/>
              </w:divBdr>
            </w:div>
            <w:div w:id="1412463795">
              <w:marLeft w:val="0"/>
              <w:marRight w:val="0"/>
              <w:marTop w:val="0"/>
              <w:marBottom w:val="0"/>
              <w:divBdr>
                <w:top w:val="none" w:sz="0" w:space="0" w:color="auto"/>
                <w:left w:val="none" w:sz="0" w:space="0" w:color="auto"/>
                <w:bottom w:val="none" w:sz="0" w:space="0" w:color="auto"/>
                <w:right w:val="none" w:sz="0" w:space="0" w:color="auto"/>
              </w:divBdr>
            </w:div>
            <w:div w:id="2090230317">
              <w:marLeft w:val="0"/>
              <w:marRight w:val="0"/>
              <w:marTop w:val="0"/>
              <w:marBottom w:val="0"/>
              <w:divBdr>
                <w:top w:val="none" w:sz="0" w:space="0" w:color="auto"/>
                <w:left w:val="none" w:sz="0" w:space="0" w:color="auto"/>
                <w:bottom w:val="none" w:sz="0" w:space="0" w:color="auto"/>
                <w:right w:val="none" w:sz="0" w:space="0" w:color="auto"/>
              </w:divBdr>
            </w:div>
            <w:div w:id="2091462477">
              <w:marLeft w:val="0"/>
              <w:marRight w:val="0"/>
              <w:marTop w:val="0"/>
              <w:marBottom w:val="0"/>
              <w:divBdr>
                <w:top w:val="none" w:sz="0" w:space="0" w:color="auto"/>
                <w:left w:val="none" w:sz="0" w:space="0" w:color="auto"/>
                <w:bottom w:val="none" w:sz="0" w:space="0" w:color="auto"/>
                <w:right w:val="none" w:sz="0" w:space="0" w:color="auto"/>
              </w:divBdr>
            </w:div>
            <w:div w:id="875507527">
              <w:marLeft w:val="0"/>
              <w:marRight w:val="0"/>
              <w:marTop w:val="0"/>
              <w:marBottom w:val="0"/>
              <w:divBdr>
                <w:top w:val="none" w:sz="0" w:space="0" w:color="auto"/>
                <w:left w:val="none" w:sz="0" w:space="0" w:color="auto"/>
                <w:bottom w:val="none" w:sz="0" w:space="0" w:color="auto"/>
                <w:right w:val="none" w:sz="0" w:space="0" w:color="auto"/>
              </w:divBdr>
            </w:div>
            <w:div w:id="1434016934">
              <w:marLeft w:val="0"/>
              <w:marRight w:val="0"/>
              <w:marTop w:val="0"/>
              <w:marBottom w:val="0"/>
              <w:divBdr>
                <w:top w:val="none" w:sz="0" w:space="0" w:color="auto"/>
                <w:left w:val="none" w:sz="0" w:space="0" w:color="auto"/>
                <w:bottom w:val="none" w:sz="0" w:space="0" w:color="auto"/>
                <w:right w:val="none" w:sz="0" w:space="0" w:color="auto"/>
              </w:divBdr>
            </w:div>
            <w:div w:id="2116824769">
              <w:marLeft w:val="0"/>
              <w:marRight w:val="0"/>
              <w:marTop w:val="0"/>
              <w:marBottom w:val="0"/>
              <w:divBdr>
                <w:top w:val="none" w:sz="0" w:space="0" w:color="auto"/>
                <w:left w:val="none" w:sz="0" w:space="0" w:color="auto"/>
                <w:bottom w:val="none" w:sz="0" w:space="0" w:color="auto"/>
                <w:right w:val="none" w:sz="0" w:space="0" w:color="auto"/>
              </w:divBdr>
            </w:div>
            <w:div w:id="805662466">
              <w:marLeft w:val="0"/>
              <w:marRight w:val="0"/>
              <w:marTop w:val="0"/>
              <w:marBottom w:val="0"/>
              <w:divBdr>
                <w:top w:val="none" w:sz="0" w:space="0" w:color="auto"/>
                <w:left w:val="none" w:sz="0" w:space="0" w:color="auto"/>
                <w:bottom w:val="none" w:sz="0" w:space="0" w:color="auto"/>
                <w:right w:val="none" w:sz="0" w:space="0" w:color="auto"/>
              </w:divBdr>
            </w:div>
            <w:div w:id="1282805137">
              <w:marLeft w:val="0"/>
              <w:marRight w:val="0"/>
              <w:marTop w:val="0"/>
              <w:marBottom w:val="0"/>
              <w:divBdr>
                <w:top w:val="none" w:sz="0" w:space="0" w:color="auto"/>
                <w:left w:val="none" w:sz="0" w:space="0" w:color="auto"/>
                <w:bottom w:val="none" w:sz="0" w:space="0" w:color="auto"/>
                <w:right w:val="none" w:sz="0" w:space="0" w:color="auto"/>
              </w:divBdr>
            </w:div>
            <w:div w:id="2071804477">
              <w:marLeft w:val="0"/>
              <w:marRight w:val="0"/>
              <w:marTop w:val="0"/>
              <w:marBottom w:val="0"/>
              <w:divBdr>
                <w:top w:val="none" w:sz="0" w:space="0" w:color="auto"/>
                <w:left w:val="none" w:sz="0" w:space="0" w:color="auto"/>
                <w:bottom w:val="none" w:sz="0" w:space="0" w:color="auto"/>
                <w:right w:val="none" w:sz="0" w:space="0" w:color="auto"/>
              </w:divBdr>
            </w:div>
            <w:div w:id="1452744266">
              <w:marLeft w:val="0"/>
              <w:marRight w:val="0"/>
              <w:marTop w:val="0"/>
              <w:marBottom w:val="0"/>
              <w:divBdr>
                <w:top w:val="none" w:sz="0" w:space="0" w:color="auto"/>
                <w:left w:val="none" w:sz="0" w:space="0" w:color="auto"/>
                <w:bottom w:val="none" w:sz="0" w:space="0" w:color="auto"/>
                <w:right w:val="none" w:sz="0" w:space="0" w:color="auto"/>
              </w:divBdr>
            </w:div>
            <w:div w:id="2085910882">
              <w:marLeft w:val="0"/>
              <w:marRight w:val="0"/>
              <w:marTop w:val="0"/>
              <w:marBottom w:val="0"/>
              <w:divBdr>
                <w:top w:val="none" w:sz="0" w:space="0" w:color="auto"/>
                <w:left w:val="none" w:sz="0" w:space="0" w:color="auto"/>
                <w:bottom w:val="none" w:sz="0" w:space="0" w:color="auto"/>
                <w:right w:val="none" w:sz="0" w:space="0" w:color="auto"/>
              </w:divBdr>
            </w:div>
            <w:div w:id="1248423040">
              <w:marLeft w:val="0"/>
              <w:marRight w:val="0"/>
              <w:marTop w:val="0"/>
              <w:marBottom w:val="0"/>
              <w:divBdr>
                <w:top w:val="none" w:sz="0" w:space="0" w:color="auto"/>
                <w:left w:val="none" w:sz="0" w:space="0" w:color="auto"/>
                <w:bottom w:val="none" w:sz="0" w:space="0" w:color="auto"/>
                <w:right w:val="none" w:sz="0" w:space="0" w:color="auto"/>
              </w:divBdr>
            </w:div>
            <w:div w:id="359400763">
              <w:marLeft w:val="0"/>
              <w:marRight w:val="0"/>
              <w:marTop w:val="0"/>
              <w:marBottom w:val="0"/>
              <w:divBdr>
                <w:top w:val="none" w:sz="0" w:space="0" w:color="auto"/>
                <w:left w:val="none" w:sz="0" w:space="0" w:color="auto"/>
                <w:bottom w:val="none" w:sz="0" w:space="0" w:color="auto"/>
                <w:right w:val="none" w:sz="0" w:space="0" w:color="auto"/>
              </w:divBdr>
            </w:div>
            <w:div w:id="715280584">
              <w:marLeft w:val="0"/>
              <w:marRight w:val="0"/>
              <w:marTop w:val="0"/>
              <w:marBottom w:val="0"/>
              <w:divBdr>
                <w:top w:val="none" w:sz="0" w:space="0" w:color="auto"/>
                <w:left w:val="none" w:sz="0" w:space="0" w:color="auto"/>
                <w:bottom w:val="none" w:sz="0" w:space="0" w:color="auto"/>
                <w:right w:val="none" w:sz="0" w:space="0" w:color="auto"/>
              </w:divBdr>
            </w:div>
            <w:div w:id="921376833">
              <w:marLeft w:val="0"/>
              <w:marRight w:val="0"/>
              <w:marTop w:val="0"/>
              <w:marBottom w:val="0"/>
              <w:divBdr>
                <w:top w:val="none" w:sz="0" w:space="0" w:color="auto"/>
                <w:left w:val="none" w:sz="0" w:space="0" w:color="auto"/>
                <w:bottom w:val="none" w:sz="0" w:space="0" w:color="auto"/>
                <w:right w:val="none" w:sz="0" w:space="0" w:color="auto"/>
              </w:divBdr>
            </w:div>
            <w:div w:id="1944914402">
              <w:marLeft w:val="0"/>
              <w:marRight w:val="0"/>
              <w:marTop w:val="0"/>
              <w:marBottom w:val="0"/>
              <w:divBdr>
                <w:top w:val="none" w:sz="0" w:space="0" w:color="auto"/>
                <w:left w:val="none" w:sz="0" w:space="0" w:color="auto"/>
                <w:bottom w:val="none" w:sz="0" w:space="0" w:color="auto"/>
                <w:right w:val="none" w:sz="0" w:space="0" w:color="auto"/>
              </w:divBdr>
            </w:div>
            <w:div w:id="899638088">
              <w:marLeft w:val="0"/>
              <w:marRight w:val="0"/>
              <w:marTop w:val="0"/>
              <w:marBottom w:val="0"/>
              <w:divBdr>
                <w:top w:val="none" w:sz="0" w:space="0" w:color="auto"/>
                <w:left w:val="none" w:sz="0" w:space="0" w:color="auto"/>
                <w:bottom w:val="none" w:sz="0" w:space="0" w:color="auto"/>
                <w:right w:val="none" w:sz="0" w:space="0" w:color="auto"/>
              </w:divBdr>
            </w:div>
            <w:div w:id="1624774028">
              <w:marLeft w:val="0"/>
              <w:marRight w:val="0"/>
              <w:marTop w:val="0"/>
              <w:marBottom w:val="0"/>
              <w:divBdr>
                <w:top w:val="none" w:sz="0" w:space="0" w:color="auto"/>
                <w:left w:val="none" w:sz="0" w:space="0" w:color="auto"/>
                <w:bottom w:val="none" w:sz="0" w:space="0" w:color="auto"/>
                <w:right w:val="none" w:sz="0" w:space="0" w:color="auto"/>
              </w:divBdr>
            </w:div>
            <w:div w:id="1021467682">
              <w:marLeft w:val="0"/>
              <w:marRight w:val="0"/>
              <w:marTop w:val="0"/>
              <w:marBottom w:val="0"/>
              <w:divBdr>
                <w:top w:val="none" w:sz="0" w:space="0" w:color="auto"/>
                <w:left w:val="none" w:sz="0" w:space="0" w:color="auto"/>
                <w:bottom w:val="none" w:sz="0" w:space="0" w:color="auto"/>
                <w:right w:val="none" w:sz="0" w:space="0" w:color="auto"/>
              </w:divBdr>
            </w:div>
            <w:div w:id="708409807">
              <w:marLeft w:val="0"/>
              <w:marRight w:val="0"/>
              <w:marTop w:val="0"/>
              <w:marBottom w:val="0"/>
              <w:divBdr>
                <w:top w:val="none" w:sz="0" w:space="0" w:color="auto"/>
                <w:left w:val="none" w:sz="0" w:space="0" w:color="auto"/>
                <w:bottom w:val="none" w:sz="0" w:space="0" w:color="auto"/>
                <w:right w:val="none" w:sz="0" w:space="0" w:color="auto"/>
              </w:divBdr>
            </w:div>
            <w:div w:id="545526427">
              <w:marLeft w:val="0"/>
              <w:marRight w:val="0"/>
              <w:marTop w:val="0"/>
              <w:marBottom w:val="0"/>
              <w:divBdr>
                <w:top w:val="none" w:sz="0" w:space="0" w:color="auto"/>
                <w:left w:val="none" w:sz="0" w:space="0" w:color="auto"/>
                <w:bottom w:val="none" w:sz="0" w:space="0" w:color="auto"/>
                <w:right w:val="none" w:sz="0" w:space="0" w:color="auto"/>
              </w:divBdr>
            </w:div>
            <w:div w:id="1207791162">
              <w:marLeft w:val="0"/>
              <w:marRight w:val="0"/>
              <w:marTop w:val="0"/>
              <w:marBottom w:val="0"/>
              <w:divBdr>
                <w:top w:val="none" w:sz="0" w:space="0" w:color="auto"/>
                <w:left w:val="none" w:sz="0" w:space="0" w:color="auto"/>
                <w:bottom w:val="none" w:sz="0" w:space="0" w:color="auto"/>
                <w:right w:val="none" w:sz="0" w:space="0" w:color="auto"/>
              </w:divBdr>
            </w:div>
            <w:div w:id="1274165056">
              <w:marLeft w:val="0"/>
              <w:marRight w:val="0"/>
              <w:marTop w:val="0"/>
              <w:marBottom w:val="0"/>
              <w:divBdr>
                <w:top w:val="none" w:sz="0" w:space="0" w:color="auto"/>
                <w:left w:val="none" w:sz="0" w:space="0" w:color="auto"/>
                <w:bottom w:val="none" w:sz="0" w:space="0" w:color="auto"/>
                <w:right w:val="none" w:sz="0" w:space="0" w:color="auto"/>
              </w:divBdr>
            </w:div>
            <w:div w:id="581526582">
              <w:marLeft w:val="0"/>
              <w:marRight w:val="0"/>
              <w:marTop w:val="0"/>
              <w:marBottom w:val="0"/>
              <w:divBdr>
                <w:top w:val="none" w:sz="0" w:space="0" w:color="auto"/>
                <w:left w:val="none" w:sz="0" w:space="0" w:color="auto"/>
                <w:bottom w:val="none" w:sz="0" w:space="0" w:color="auto"/>
                <w:right w:val="none" w:sz="0" w:space="0" w:color="auto"/>
              </w:divBdr>
            </w:div>
            <w:div w:id="497890676">
              <w:marLeft w:val="0"/>
              <w:marRight w:val="0"/>
              <w:marTop w:val="0"/>
              <w:marBottom w:val="0"/>
              <w:divBdr>
                <w:top w:val="none" w:sz="0" w:space="0" w:color="auto"/>
                <w:left w:val="none" w:sz="0" w:space="0" w:color="auto"/>
                <w:bottom w:val="none" w:sz="0" w:space="0" w:color="auto"/>
                <w:right w:val="none" w:sz="0" w:space="0" w:color="auto"/>
              </w:divBdr>
            </w:div>
            <w:div w:id="1191914667">
              <w:marLeft w:val="0"/>
              <w:marRight w:val="0"/>
              <w:marTop w:val="0"/>
              <w:marBottom w:val="0"/>
              <w:divBdr>
                <w:top w:val="none" w:sz="0" w:space="0" w:color="auto"/>
                <w:left w:val="none" w:sz="0" w:space="0" w:color="auto"/>
                <w:bottom w:val="none" w:sz="0" w:space="0" w:color="auto"/>
                <w:right w:val="none" w:sz="0" w:space="0" w:color="auto"/>
              </w:divBdr>
            </w:div>
            <w:div w:id="1031685168">
              <w:marLeft w:val="0"/>
              <w:marRight w:val="0"/>
              <w:marTop w:val="0"/>
              <w:marBottom w:val="0"/>
              <w:divBdr>
                <w:top w:val="none" w:sz="0" w:space="0" w:color="auto"/>
                <w:left w:val="none" w:sz="0" w:space="0" w:color="auto"/>
                <w:bottom w:val="none" w:sz="0" w:space="0" w:color="auto"/>
                <w:right w:val="none" w:sz="0" w:space="0" w:color="auto"/>
              </w:divBdr>
            </w:div>
            <w:div w:id="305088833">
              <w:marLeft w:val="0"/>
              <w:marRight w:val="0"/>
              <w:marTop w:val="0"/>
              <w:marBottom w:val="0"/>
              <w:divBdr>
                <w:top w:val="none" w:sz="0" w:space="0" w:color="auto"/>
                <w:left w:val="none" w:sz="0" w:space="0" w:color="auto"/>
                <w:bottom w:val="none" w:sz="0" w:space="0" w:color="auto"/>
                <w:right w:val="none" w:sz="0" w:space="0" w:color="auto"/>
              </w:divBdr>
            </w:div>
            <w:div w:id="1795636631">
              <w:marLeft w:val="0"/>
              <w:marRight w:val="0"/>
              <w:marTop w:val="0"/>
              <w:marBottom w:val="0"/>
              <w:divBdr>
                <w:top w:val="none" w:sz="0" w:space="0" w:color="auto"/>
                <w:left w:val="none" w:sz="0" w:space="0" w:color="auto"/>
                <w:bottom w:val="none" w:sz="0" w:space="0" w:color="auto"/>
                <w:right w:val="none" w:sz="0" w:space="0" w:color="auto"/>
              </w:divBdr>
            </w:div>
            <w:div w:id="1617980185">
              <w:marLeft w:val="0"/>
              <w:marRight w:val="0"/>
              <w:marTop w:val="0"/>
              <w:marBottom w:val="0"/>
              <w:divBdr>
                <w:top w:val="none" w:sz="0" w:space="0" w:color="auto"/>
                <w:left w:val="none" w:sz="0" w:space="0" w:color="auto"/>
                <w:bottom w:val="none" w:sz="0" w:space="0" w:color="auto"/>
                <w:right w:val="none" w:sz="0" w:space="0" w:color="auto"/>
              </w:divBdr>
            </w:div>
            <w:div w:id="1203446705">
              <w:marLeft w:val="0"/>
              <w:marRight w:val="0"/>
              <w:marTop w:val="0"/>
              <w:marBottom w:val="0"/>
              <w:divBdr>
                <w:top w:val="none" w:sz="0" w:space="0" w:color="auto"/>
                <w:left w:val="none" w:sz="0" w:space="0" w:color="auto"/>
                <w:bottom w:val="none" w:sz="0" w:space="0" w:color="auto"/>
                <w:right w:val="none" w:sz="0" w:space="0" w:color="auto"/>
              </w:divBdr>
            </w:div>
            <w:div w:id="1361542569">
              <w:marLeft w:val="0"/>
              <w:marRight w:val="0"/>
              <w:marTop w:val="0"/>
              <w:marBottom w:val="0"/>
              <w:divBdr>
                <w:top w:val="none" w:sz="0" w:space="0" w:color="auto"/>
                <w:left w:val="none" w:sz="0" w:space="0" w:color="auto"/>
                <w:bottom w:val="none" w:sz="0" w:space="0" w:color="auto"/>
                <w:right w:val="none" w:sz="0" w:space="0" w:color="auto"/>
              </w:divBdr>
            </w:div>
            <w:div w:id="1578131445">
              <w:marLeft w:val="0"/>
              <w:marRight w:val="0"/>
              <w:marTop w:val="0"/>
              <w:marBottom w:val="0"/>
              <w:divBdr>
                <w:top w:val="none" w:sz="0" w:space="0" w:color="auto"/>
                <w:left w:val="none" w:sz="0" w:space="0" w:color="auto"/>
                <w:bottom w:val="none" w:sz="0" w:space="0" w:color="auto"/>
                <w:right w:val="none" w:sz="0" w:space="0" w:color="auto"/>
              </w:divBdr>
            </w:div>
            <w:div w:id="1319921556">
              <w:marLeft w:val="0"/>
              <w:marRight w:val="0"/>
              <w:marTop w:val="0"/>
              <w:marBottom w:val="0"/>
              <w:divBdr>
                <w:top w:val="none" w:sz="0" w:space="0" w:color="auto"/>
                <w:left w:val="none" w:sz="0" w:space="0" w:color="auto"/>
                <w:bottom w:val="none" w:sz="0" w:space="0" w:color="auto"/>
                <w:right w:val="none" w:sz="0" w:space="0" w:color="auto"/>
              </w:divBdr>
            </w:div>
            <w:div w:id="774522504">
              <w:marLeft w:val="0"/>
              <w:marRight w:val="0"/>
              <w:marTop w:val="0"/>
              <w:marBottom w:val="0"/>
              <w:divBdr>
                <w:top w:val="none" w:sz="0" w:space="0" w:color="auto"/>
                <w:left w:val="none" w:sz="0" w:space="0" w:color="auto"/>
                <w:bottom w:val="none" w:sz="0" w:space="0" w:color="auto"/>
                <w:right w:val="none" w:sz="0" w:space="0" w:color="auto"/>
              </w:divBdr>
            </w:div>
            <w:div w:id="1852599408">
              <w:marLeft w:val="0"/>
              <w:marRight w:val="0"/>
              <w:marTop w:val="0"/>
              <w:marBottom w:val="0"/>
              <w:divBdr>
                <w:top w:val="none" w:sz="0" w:space="0" w:color="auto"/>
                <w:left w:val="none" w:sz="0" w:space="0" w:color="auto"/>
                <w:bottom w:val="none" w:sz="0" w:space="0" w:color="auto"/>
                <w:right w:val="none" w:sz="0" w:space="0" w:color="auto"/>
              </w:divBdr>
            </w:div>
            <w:div w:id="768084899">
              <w:marLeft w:val="0"/>
              <w:marRight w:val="0"/>
              <w:marTop w:val="0"/>
              <w:marBottom w:val="0"/>
              <w:divBdr>
                <w:top w:val="none" w:sz="0" w:space="0" w:color="auto"/>
                <w:left w:val="none" w:sz="0" w:space="0" w:color="auto"/>
                <w:bottom w:val="none" w:sz="0" w:space="0" w:color="auto"/>
                <w:right w:val="none" w:sz="0" w:space="0" w:color="auto"/>
              </w:divBdr>
            </w:div>
            <w:div w:id="1959413777">
              <w:marLeft w:val="0"/>
              <w:marRight w:val="0"/>
              <w:marTop w:val="0"/>
              <w:marBottom w:val="0"/>
              <w:divBdr>
                <w:top w:val="none" w:sz="0" w:space="0" w:color="auto"/>
                <w:left w:val="none" w:sz="0" w:space="0" w:color="auto"/>
                <w:bottom w:val="none" w:sz="0" w:space="0" w:color="auto"/>
                <w:right w:val="none" w:sz="0" w:space="0" w:color="auto"/>
              </w:divBdr>
            </w:div>
            <w:div w:id="1266620369">
              <w:marLeft w:val="0"/>
              <w:marRight w:val="0"/>
              <w:marTop w:val="0"/>
              <w:marBottom w:val="0"/>
              <w:divBdr>
                <w:top w:val="none" w:sz="0" w:space="0" w:color="auto"/>
                <w:left w:val="none" w:sz="0" w:space="0" w:color="auto"/>
                <w:bottom w:val="none" w:sz="0" w:space="0" w:color="auto"/>
                <w:right w:val="none" w:sz="0" w:space="0" w:color="auto"/>
              </w:divBdr>
            </w:div>
            <w:div w:id="902254489">
              <w:marLeft w:val="0"/>
              <w:marRight w:val="0"/>
              <w:marTop w:val="0"/>
              <w:marBottom w:val="0"/>
              <w:divBdr>
                <w:top w:val="none" w:sz="0" w:space="0" w:color="auto"/>
                <w:left w:val="none" w:sz="0" w:space="0" w:color="auto"/>
                <w:bottom w:val="none" w:sz="0" w:space="0" w:color="auto"/>
                <w:right w:val="none" w:sz="0" w:space="0" w:color="auto"/>
              </w:divBdr>
            </w:div>
            <w:div w:id="1179929110">
              <w:marLeft w:val="0"/>
              <w:marRight w:val="0"/>
              <w:marTop w:val="0"/>
              <w:marBottom w:val="0"/>
              <w:divBdr>
                <w:top w:val="none" w:sz="0" w:space="0" w:color="auto"/>
                <w:left w:val="none" w:sz="0" w:space="0" w:color="auto"/>
                <w:bottom w:val="none" w:sz="0" w:space="0" w:color="auto"/>
                <w:right w:val="none" w:sz="0" w:space="0" w:color="auto"/>
              </w:divBdr>
            </w:div>
            <w:div w:id="1498694112">
              <w:marLeft w:val="0"/>
              <w:marRight w:val="0"/>
              <w:marTop w:val="0"/>
              <w:marBottom w:val="0"/>
              <w:divBdr>
                <w:top w:val="none" w:sz="0" w:space="0" w:color="auto"/>
                <w:left w:val="none" w:sz="0" w:space="0" w:color="auto"/>
                <w:bottom w:val="none" w:sz="0" w:space="0" w:color="auto"/>
                <w:right w:val="none" w:sz="0" w:space="0" w:color="auto"/>
              </w:divBdr>
            </w:div>
            <w:div w:id="923026382">
              <w:marLeft w:val="0"/>
              <w:marRight w:val="0"/>
              <w:marTop w:val="0"/>
              <w:marBottom w:val="0"/>
              <w:divBdr>
                <w:top w:val="none" w:sz="0" w:space="0" w:color="auto"/>
                <w:left w:val="none" w:sz="0" w:space="0" w:color="auto"/>
                <w:bottom w:val="none" w:sz="0" w:space="0" w:color="auto"/>
                <w:right w:val="none" w:sz="0" w:space="0" w:color="auto"/>
              </w:divBdr>
            </w:div>
            <w:div w:id="1559979338">
              <w:marLeft w:val="0"/>
              <w:marRight w:val="0"/>
              <w:marTop w:val="0"/>
              <w:marBottom w:val="0"/>
              <w:divBdr>
                <w:top w:val="none" w:sz="0" w:space="0" w:color="auto"/>
                <w:left w:val="none" w:sz="0" w:space="0" w:color="auto"/>
                <w:bottom w:val="none" w:sz="0" w:space="0" w:color="auto"/>
                <w:right w:val="none" w:sz="0" w:space="0" w:color="auto"/>
              </w:divBdr>
            </w:div>
            <w:div w:id="2145275362">
              <w:marLeft w:val="0"/>
              <w:marRight w:val="0"/>
              <w:marTop w:val="0"/>
              <w:marBottom w:val="0"/>
              <w:divBdr>
                <w:top w:val="none" w:sz="0" w:space="0" w:color="auto"/>
                <w:left w:val="none" w:sz="0" w:space="0" w:color="auto"/>
                <w:bottom w:val="none" w:sz="0" w:space="0" w:color="auto"/>
                <w:right w:val="none" w:sz="0" w:space="0" w:color="auto"/>
              </w:divBdr>
            </w:div>
            <w:div w:id="2097238394">
              <w:marLeft w:val="0"/>
              <w:marRight w:val="0"/>
              <w:marTop w:val="0"/>
              <w:marBottom w:val="0"/>
              <w:divBdr>
                <w:top w:val="none" w:sz="0" w:space="0" w:color="auto"/>
                <w:left w:val="none" w:sz="0" w:space="0" w:color="auto"/>
                <w:bottom w:val="none" w:sz="0" w:space="0" w:color="auto"/>
                <w:right w:val="none" w:sz="0" w:space="0" w:color="auto"/>
              </w:divBdr>
            </w:div>
            <w:div w:id="1374383629">
              <w:marLeft w:val="0"/>
              <w:marRight w:val="0"/>
              <w:marTop w:val="0"/>
              <w:marBottom w:val="0"/>
              <w:divBdr>
                <w:top w:val="none" w:sz="0" w:space="0" w:color="auto"/>
                <w:left w:val="none" w:sz="0" w:space="0" w:color="auto"/>
                <w:bottom w:val="none" w:sz="0" w:space="0" w:color="auto"/>
                <w:right w:val="none" w:sz="0" w:space="0" w:color="auto"/>
              </w:divBdr>
            </w:div>
            <w:div w:id="398480405">
              <w:marLeft w:val="0"/>
              <w:marRight w:val="0"/>
              <w:marTop w:val="0"/>
              <w:marBottom w:val="0"/>
              <w:divBdr>
                <w:top w:val="none" w:sz="0" w:space="0" w:color="auto"/>
                <w:left w:val="none" w:sz="0" w:space="0" w:color="auto"/>
                <w:bottom w:val="none" w:sz="0" w:space="0" w:color="auto"/>
                <w:right w:val="none" w:sz="0" w:space="0" w:color="auto"/>
              </w:divBdr>
            </w:div>
            <w:div w:id="1171919277">
              <w:marLeft w:val="0"/>
              <w:marRight w:val="0"/>
              <w:marTop w:val="0"/>
              <w:marBottom w:val="0"/>
              <w:divBdr>
                <w:top w:val="none" w:sz="0" w:space="0" w:color="auto"/>
                <w:left w:val="none" w:sz="0" w:space="0" w:color="auto"/>
                <w:bottom w:val="none" w:sz="0" w:space="0" w:color="auto"/>
                <w:right w:val="none" w:sz="0" w:space="0" w:color="auto"/>
              </w:divBdr>
            </w:div>
            <w:div w:id="604651343">
              <w:marLeft w:val="0"/>
              <w:marRight w:val="0"/>
              <w:marTop w:val="0"/>
              <w:marBottom w:val="0"/>
              <w:divBdr>
                <w:top w:val="none" w:sz="0" w:space="0" w:color="auto"/>
                <w:left w:val="none" w:sz="0" w:space="0" w:color="auto"/>
                <w:bottom w:val="none" w:sz="0" w:space="0" w:color="auto"/>
                <w:right w:val="none" w:sz="0" w:space="0" w:color="auto"/>
              </w:divBdr>
            </w:div>
            <w:div w:id="1670018151">
              <w:marLeft w:val="0"/>
              <w:marRight w:val="0"/>
              <w:marTop w:val="0"/>
              <w:marBottom w:val="0"/>
              <w:divBdr>
                <w:top w:val="none" w:sz="0" w:space="0" w:color="auto"/>
                <w:left w:val="none" w:sz="0" w:space="0" w:color="auto"/>
                <w:bottom w:val="none" w:sz="0" w:space="0" w:color="auto"/>
                <w:right w:val="none" w:sz="0" w:space="0" w:color="auto"/>
              </w:divBdr>
            </w:div>
            <w:div w:id="1114397613">
              <w:marLeft w:val="0"/>
              <w:marRight w:val="0"/>
              <w:marTop w:val="0"/>
              <w:marBottom w:val="0"/>
              <w:divBdr>
                <w:top w:val="none" w:sz="0" w:space="0" w:color="auto"/>
                <w:left w:val="none" w:sz="0" w:space="0" w:color="auto"/>
                <w:bottom w:val="none" w:sz="0" w:space="0" w:color="auto"/>
                <w:right w:val="none" w:sz="0" w:space="0" w:color="auto"/>
              </w:divBdr>
            </w:div>
            <w:div w:id="256787930">
              <w:marLeft w:val="0"/>
              <w:marRight w:val="0"/>
              <w:marTop w:val="0"/>
              <w:marBottom w:val="0"/>
              <w:divBdr>
                <w:top w:val="none" w:sz="0" w:space="0" w:color="auto"/>
                <w:left w:val="none" w:sz="0" w:space="0" w:color="auto"/>
                <w:bottom w:val="none" w:sz="0" w:space="0" w:color="auto"/>
                <w:right w:val="none" w:sz="0" w:space="0" w:color="auto"/>
              </w:divBdr>
            </w:div>
            <w:div w:id="1294405702">
              <w:marLeft w:val="0"/>
              <w:marRight w:val="0"/>
              <w:marTop w:val="0"/>
              <w:marBottom w:val="0"/>
              <w:divBdr>
                <w:top w:val="none" w:sz="0" w:space="0" w:color="auto"/>
                <w:left w:val="none" w:sz="0" w:space="0" w:color="auto"/>
                <w:bottom w:val="none" w:sz="0" w:space="0" w:color="auto"/>
                <w:right w:val="none" w:sz="0" w:space="0" w:color="auto"/>
              </w:divBdr>
            </w:div>
            <w:div w:id="1648390396">
              <w:marLeft w:val="0"/>
              <w:marRight w:val="0"/>
              <w:marTop w:val="0"/>
              <w:marBottom w:val="0"/>
              <w:divBdr>
                <w:top w:val="none" w:sz="0" w:space="0" w:color="auto"/>
                <w:left w:val="none" w:sz="0" w:space="0" w:color="auto"/>
                <w:bottom w:val="none" w:sz="0" w:space="0" w:color="auto"/>
                <w:right w:val="none" w:sz="0" w:space="0" w:color="auto"/>
              </w:divBdr>
            </w:div>
            <w:div w:id="598830861">
              <w:marLeft w:val="0"/>
              <w:marRight w:val="0"/>
              <w:marTop w:val="0"/>
              <w:marBottom w:val="0"/>
              <w:divBdr>
                <w:top w:val="none" w:sz="0" w:space="0" w:color="auto"/>
                <w:left w:val="none" w:sz="0" w:space="0" w:color="auto"/>
                <w:bottom w:val="none" w:sz="0" w:space="0" w:color="auto"/>
                <w:right w:val="none" w:sz="0" w:space="0" w:color="auto"/>
              </w:divBdr>
            </w:div>
            <w:div w:id="2004429602">
              <w:marLeft w:val="0"/>
              <w:marRight w:val="0"/>
              <w:marTop w:val="0"/>
              <w:marBottom w:val="0"/>
              <w:divBdr>
                <w:top w:val="none" w:sz="0" w:space="0" w:color="auto"/>
                <w:left w:val="none" w:sz="0" w:space="0" w:color="auto"/>
                <w:bottom w:val="none" w:sz="0" w:space="0" w:color="auto"/>
                <w:right w:val="none" w:sz="0" w:space="0" w:color="auto"/>
              </w:divBdr>
            </w:div>
            <w:div w:id="1176193087">
              <w:marLeft w:val="0"/>
              <w:marRight w:val="0"/>
              <w:marTop w:val="0"/>
              <w:marBottom w:val="0"/>
              <w:divBdr>
                <w:top w:val="none" w:sz="0" w:space="0" w:color="auto"/>
                <w:left w:val="none" w:sz="0" w:space="0" w:color="auto"/>
                <w:bottom w:val="none" w:sz="0" w:space="0" w:color="auto"/>
                <w:right w:val="none" w:sz="0" w:space="0" w:color="auto"/>
              </w:divBdr>
            </w:div>
            <w:div w:id="1022050206">
              <w:marLeft w:val="0"/>
              <w:marRight w:val="0"/>
              <w:marTop w:val="0"/>
              <w:marBottom w:val="0"/>
              <w:divBdr>
                <w:top w:val="none" w:sz="0" w:space="0" w:color="auto"/>
                <w:left w:val="none" w:sz="0" w:space="0" w:color="auto"/>
                <w:bottom w:val="none" w:sz="0" w:space="0" w:color="auto"/>
                <w:right w:val="none" w:sz="0" w:space="0" w:color="auto"/>
              </w:divBdr>
            </w:div>
            <w:div w:id="925990698">
              <w:marLeft w:val="0"/>
              <w:marRight w:val="0"/>
              <w:marTop w:val="0"/>
              <w:marBottom w:val="0"/>
              <w:divBdr>
                <w:top w:val="none" w:sz="0" w:space="0" w:color="auto"/>
                <w:left w:val="none" w:sz="0" w:space="0" w:color="auto"/>
                <w:bottom w:val="none" w:sz="0" w:space="0" w:color="auto"/>
                <w:right w:val="none" w:sz="0" w:space="0" w:color="auto"/>
              </w:divBdr>
            </w:div>
            <w:div w:id="472795543">
              <w:marLeft w:val="0"/>
              <w:marRight w:val="0"/>
              <w:marTop w:val="0"/>
              <w:marBottom w:val="0"/>
              <w:divBdr>
                <w:top w:val="none" w:sz="0" w:space="0" w:color="auto"/>
                <w:left w:val="none" w:sz="0" w:space="0" w:color="auto"/>
                <w:bottom w:val="none" w:sz="0" w:space="0" w:color="auto"/>
                <w:right w:val="none" w:sz="0" w:space="0" w:color="auto"/>
              </w:divBdr>
            </w:div>
            <w:div w:id="920212859">
              <w:marLeft w:val="0"/>
              <w:marRight w:val="0"/>
              <w:marTop w:val="0"/>
              <w:marBottom w:val="0"/>
              <w:divBdr>
                <w:top w:val="none" w:sz="0" w:space="0" w:color="auto"/>
                <w:left w:val="none" w:sz="0" w:space="0" w:color="auto"/>
                <w:bottom w:val="none" w:sz="0" w:space="0" w:color="auto"/>
                <w:right w:val="none" w:sz="0" w:space="0" w:color="auto"/>
              </w:divBdr>
            </w:div>
            <w:div w:id="1703240943">
              <w:marLeft w:val="0"/>
              <w:marRight w:val="0"/>
              <w:marTop w:val="0"/>
              <w:marBottom w:val="0"/>
              <w:divBdr>
                <w:top w:val="none" w:sz="0" w:space="0" w:color="auto"/>
                <w:left w:val="none" w:sz="0" w:space="0" w:color="auto"/>
                <w:bottom w:val="none" w:sz="0" w:space="0" w:color="auto"/>
                <w:right w:val="none" w:sz="0" w:space="0" w:color="auto"/>
              </w:divBdr>
            </w:div>
            <w:div w:id="1410423925">
              <w:marLeft w:val="0"/>
              <w:marRight w:val="0"/>
              <w:marTop w:val="0"/>
              <w:marBottom w:val="0"/>
              <w:divBdr>
                <w:top w:val="none" w:sz="0" w:space="0" w:color="auto"/>
                <w:left w:val="none" w:sz="0" w:space="0" w:color="auto"/>
                <w:bottom w:val="none" w:sz="0" w:space="0" w:color="auto"/>
                <w:right w:val="none" w:sz="0" w:space="0" w:color="auto"/>
              </w:divBdr>
            </w:div>
            <w:div w:id="327363564">
              <w:marLeft w:val="0"/>
              <w:marRight w:val="0"/>
              <w:marTop w:val="0"/>
              <w:marBottom w:val="0"/>
              <w:divBdr>
                <w:top w:val="none" w:sz="0" w:space="0" w:color="auto"/>
                <w:left w:val="none" w:sz="0" w:space="0" w:color="auto"/>
                <w:bottom w:val="none" w:sz="0" w:space="0" w:color="auto"/>
                <w:right w:val="none" w:sz="0" w:space="0" w:color="auto"/>
              </w:divBdr>
            </w:div>
            <w:div w:id="355277767">
              <w:marLeft w:val="0"/>
              <w:marRight w:val="0"/>
              <w:marTop w:val="0"/>
              <w:marBottom w:val="0"/>
              <w:divBdr>
                <w:top w:val="none" w:sz="0" w:space="0" w:color="auto"/>
                <w:left w:val="none" w:sz="0" w:space="0" w:color="auto"/>
                <w:bottom w:val="none" w:sz="0" w:space="0" w:color="auto"/>
                <w:right w:val="none" w:sz="0" w:space="0" w:color="auto"/>
              </w:divBdr>
            </w:div>
            <w:div w:id="980813023">
              <w:marLeft w:val="0"/>
              <w:marRight w:val="0"/>
              <w:marTop w:val="0"/>
              <w:marBottom w:val="0"/>
              <w:divBdr>
                <w:top w:val="none" w:sz="0" w:space="0" w:color="auto"/>
                <w:left w:val="none" w:sz="0" w:space="0" w:color="auto"/>
                <w:bottom w:val="none" w:sz="0" w:space="0" w:color="auto"/>
                <w:right w:val="none" w:sz="0" w:space="0" w:color="auto"/>
              </w:divBdr>
            </w:div>
            <w:div w:id="1613512906">
              <w:marLeft w:val="0"/>
              <w:marRight w:val="0"/>
              <w:marTop w:val="0"/>
              <w:marBottom w:val="0"/>
              <w:divBdr>
                <w:top w:val="none" w:sz="0" w:space="0" w:color="auto"/>
                <w:left w:val="none" w:sz="0" w:space="0" w:color="auto"/>
                <w:bottom w:val="none" w:sz="0" w:space="0" w:color="auto"/>
                <w:right w:val="none" w:sz="0" w:space="0" w:color="auto"/>
              </w:divBdr>
            </w:div>
            <w:div w:id="432362864">
              <w:marLeft w:val="0"/>
              <w:marRight w:val="0"/>
              <w:marTop w:val="0"/>
              <w:marBottom w:val="0"/>
              <w:divBdr>
                <w:top w:val="none" w:sz="0" w:space="0" w:color="auto"/>
                <w:left w:val="none" w:sz="0" w:space="0" w:color="auto"/>
                <w:bottom w:val="none" w:sz="0" w:space="0" w:color="auto"/>
                <w:right w:val="none" w:sz="0" w:space="0" w:color="auto"/>
              </w:divBdr>
            </w:div>
            <w:div w:id="1059403228">
              <w:marLeft w:val="0"/>
              <w:marRight w:val="0"/>
              <w:marTop w:val="0"/>
              <w:marBottom w:val="0"/>
              <w:divBdr>
                <w:top w:val="none" w:sz="0" w:space="0" w:color="auto"/>
                <w:left w:val="none" w:sz="0" w:space="0" w:color="auto"/>
                <w:bottom w:val="none" w:sz="0" w:space="0" w:color="auto"/>
                <w:right w:val="none" w:sz="0" w:space="0" w:color="auto"/>
              </w:divBdr>
            </w:div>
            <w:div w:id="1484085056">
              <w:marLeft w:val="0"/>
              <w:marRight w:val="0"/>
              <w:marTop w:val="0"/>
              <w:marBottom w:val="0"/>
              <w:divBdr>
                <w:top w:val="none" w:sz="0" w:space="0" w:color="auto"/>
                <w:left w:val="none" w:sz="0" w:space="0" w:color="auto"/>
                <w:bottom w:val="none" w:sz="0" w:space="0" w:color="auto"/>
                <w:right w:val="none" w:sz="0" w:space="0" w:color="auto"/>
              </w:divBdr>
            </w:div>
            <w:div w:id="1367296576">
              <w:marLeft w:val="0"/>
              <w:marRight w:val="0"/>
              <w:marTop w:val="0"/>
              <w:marBottom w:val="0"/>
              <w:divBdr>
                <w:top w:val="none" w:sz="0" w:space="0" w:color="auto"/>
                <w:left w:val="none" w:sz="0" w:space="0" w:color="auto"/>
                <w:bottom w:val="none" w:sz="0" w:space="0" w:color="auto"/>
                <w:right w:val="none" w:sz="0" w:space="0" w:color="auto"/>
              </w:divBdr>
            </w:div>
            <w:div w:id="119614373">
              <w:marLeft w:val="0"/>
              <w:marRight w:val="0"/>
              <w:marTop w:val="0"/>
              <w:marBottom w:val="0"/>
              <w:divBdr>
                <w:top w:val="none" w:sz="0" w:space="0" w:color="auto"/>
                <w:left w:val="none" w:sz="0" w:space="0" w:color="auto"/>
                <w:bottom w:val="none" w:sz="0" w:space="0" w:color="auto"/>
                <w:right w:val="none" w:sz="0" w:space="0" w:color="auto"/>
              </w:divBdr>
            </w:div>
            <w:div w:id="1889337810">
              <w:marLeft w:val="0"/>
              <w:marRight w:val="0"/>
              <w:marTop w:val="0"/>
              <w:marBottom w:val="0"/>
              <w:divBdr>
                <w:top w:val="none" w:sz="0" w:space="0" w:color="auto"/>
                <w:left w:val="none" w:sz="0" w:space="0" w:color="auto"/>
                <w:bottom w:val="none" w:sz="0" w:space="0" w:color="auto"/>
                <w:right w:val="none" w:sz="0" w:space="0" w:color="auto"/>
              </w:divBdr>
            </w:div>
            <w:div w:id="1451124103">
              <w:marLeft w:val="0"/>
              <w:marRight w:val="0"/>
              <w:marTop w:val="0"/>
              <w:marBottom w:val="0"/>
              <w:divBdr>
                <w:top w:val="none" w:sz="0" w:space="0" w:color="auto"/>
                <w:left w:val="none" w:sz="0" w:space="0" w:color="auto"/>
                <w:bottom w:val="none" w:sz="0" w:space="0" w:color="auto"/>
                <w:right w:val="none" w:sz="0" w:space="0" w:color="auto"/>
              </w:divBdr>
            </w:div>
            <w:div w:id="185028514">
              <w:marLeft w:val="0"/>
              <w:marRight w:val="0"/>
              <w:marTop w:val="0"/>
              <w:marBottom w:val="0"/>
              <w:divBdr>
                <w:top w:val="none" w:sz="0" w:space="0" w:color="auto"/>
                <w:left w:val="none" w:sz="0" w:space="0" w:color="auto"/>
                <w:bottom w:val="none" w:sz="0" w:space="0" w:color="auto"/>
                <w:right w:val="none" w:sz="0" w:space="0" w:color="auto"/>
              </w:divBdr>
            </w:div>
            <w:div w:id="713768525">
              <w:marLeft w:val="0"/>
              <w:marRight w:val="0"/>
              <w:marTop w:val="0"/>
              <w:marBottom w:val="0"/>
              <w:divBdr>
                <w:top w:val="none" w:sz="0" w:space="0" w:color="auto"/>
                <w:left w:val="none" w:sz="0" w:space="0" w:color="auto"/>
                <w:bottom w:val="none" w:sz="0" w:space="0" w:color="auto"/>
                <w:right w:val="none" w:sz="0" w:space="0" w:color="auto"/>
              </w:divBdr>
            </w:div>
            <w:div w:id="496576601">
              <w:marLeft w:val="0"/>
              <w:marRight w:val="0"/>
              <w:marTop w:val="0"/>
              <w:marBottom w:val="0"/>
              <w:divBdr>
                <w:top w:val="none" w:sz="0" w:space="0" w:color="auto"/>
                <w:left w:val="none" w:sz="0" w:space="0" w:color="auto"/>
                <w:bottom w:val="none" w:sz="0" w:space="0" w:color="auto"/>
                <w:right w:val="none" w:sz="0" w:space="0" w:color="auto"/>
              </w:divBdr>
            </w:div>
            <w:div w:id="25327237">
              <w:marLeft w:val="0"/>
              <w:marRight w:val="0"/>
              <w:marTop w:val="0"/>
              <w:marBottom w:val="0"/>
              <w:divBdr>
                <w:top w:val="none" w:sz="0" w:space="0" w:color="auto"/>
                <w:left w:val="none" w:sz="0" w:space="0" w:color="auto"/>
                <w:bottom w:val="none" w:sz="0" w:space="0" w:color="auto"/>
                <w:right w:val="none" w:sz="0" w:space="0" w:color="auto"/>
              </w:divBdr>
            </w:div>
            <w:div w:id="2069914140">
              <w:marLeft w:val="0"/>
              <w:marRight w:val="0"/>
              <w:marTop w:val="0"/>
              <w:marBottom w:val="0"/>
              <w:divBdr>
                <w:top w:val="none" w:sz="0" w:space="0" w:color="auto"/>
                <w:left w:val="none" w:sz="0" w:space="0" w:color="auto"/>
                <w:bottom w:val="none" w:sz="0" w:space="0" w:color="auto"/>
                <w:right w:val="none" w:sz="0" w:space="0" w:color="auto"/>
              </w:divBdr>
            </w:div>
            <w:div w:id="2112780282">
              <w:marLeft w:val="0"/>
              <w:marRight w:val="0"/>
              <w:marTop w:val="0"/>
              <w:marBottom w:val="0"/>
              <w:divBdr>
                <w:top w:val="none" w:sz="0" w:space="0" w:color="auto"/>
                <w:left w:val="none" w:sz="0" w:space="0" w:color="auto"/>
                <w:bottom w:val="none" w:sz="0" w:space="0" w:color="auto"/>
                <w:right w:val="none" w:sz="0" w:space="0" w:color="auto"/>
              </w:divBdr>
            </w:div>
            <w:div w:id="1512836879">
              <w:marLeft w:val="0"/>
              <w:marRight w:val="0"/>
              <w:marTop w:val="0"/>
              <w:marBottom w:val="0"/>
              <w:divBdr>
                <w:top w:val="none" w:sz="0" w:space="0" w:color="auto"/>
                <w:left w:val="none" w:sz="0" w:space="0" w:color="auto"/>
                <w:bottom w:val="none" w:sz="0" w:space="0" w:color="auto"/>
                <w:right w:val="none" w:sz="0" w:space="0" w:color="auto"/>
              </w:divBdr>
            </w:div>
            <w:div w:id="1112557114">
              <w:marLeft w:val="0"/>
              <w:marRight w:val="0"/>
              <w:marTop w:val="0"/>
              <w:marBottom w:val="0"/>
              <w:divBdr>
                <w:top w:val="none" w:sz="0" w:space="0" w:color="auto"/>
                <w:left w:val="none" w:sz="0" w:space="0" w:color="auto"/>
                <w:bottom w:val="none" w:sz="0" w:space="0" w:color="auto"/>
                <w:right w:val="none" w:sz="0" w:space="0" w:color="auto"/>
              </w:divBdr>
            </w:div>
            <w:div w:id="745882859">
              <w:marLeft w:val="0"/>
              <w:marRight w:val="0"/>
              <w:marTop w:val="0"/>
              <w:marBottom w:val="0"/>
              <w:divBdr>
                <w:top w:val="none" w:sz="0" w:space="0" w:color="auto"/>
                <w:left w:val="none" w:sz="0" w:space="0" w:color="auto"/>
                <w:bottom w:val="none" w:sz="0" w:space="0" w:color="auto"/>
                <w:right w:val="none" w:sz="0" w:space="0" w:color="auto"/>
              </w:divBdr>
            </w:div>
            <w:div w:id="325522270">
              <w:marLeft w:val="0"/>
              <w:marRight w:val="0"/>
              <w:marTop w:val="0"/>
              <w:marBottom w:val="0"/>
              <w:divBdr>
                <w:top w:val="none" w:sz="0" w:space="0" w:color="auto"/>
                <w:left w:val="none" w:sz="0" w:space="0" w:color="auto"/>
                <w:bottom w:val="none" w:sz="0" w:space="0" w:color="auto"/>
                <w:right w:val="none" w:sz="0" w:space="0" w:color="auto"/>
              </w:divBdr>
            </w:div>
            <w:div w:id="2058120505">
              <w:marLeft w:val="0"/>
              <w:marRight w:val="0"/>
              <w:marTop w:val="0"/>
              <w:marBottom w:val="0"/>
              <w:divBdr>
                <w:top w:val="none" w:sz="0" w:space="0" w:color="auto"/>
                <w:left w:val="none" w:sz="0" w:space="0" w:color="auto"/>
                <w:bottom w:val="none" w:sz="0" w:space="0" w:color="auto"/>
                <w:right w:val="none" w:sz="0" w:space="0" w:color="auto"/>
              </w:divBdr>
            </w:div>
            <w:div w:id="1175805942">
              <w:marLeft w:val="0"/>
              <w:marRight w:val="0"/>
              <w:marTop w:val="0"/>
              <w:marBottom w:val="0"/>
              <w:divBdr>
                <w:top w:val="none" w:sz="0" w:space="0" w:color="auto"/>
                <w:left w:val="none" w:sz="0" w:space="0" w:color="auto"/>
                <w:bottom w:val="none" w:sz="0" w:space="0" w:color="auto"/>
                <w:right w:val="none" w:sz="0" w:space="0" w:color="auto"/>
              </w:divBdr>
            </w:div>
            <w:div w:id="22679341">
              <w:marLeft w:val="0"/>
              <w:marRight w:val="0"/>
              <w:marTop w:val="0"/>
              <w:marBottom w:val="0"/>
              <w:divBdr>
                <w:top w:val="none" w:sz="0" w:space="0" w:color="auto"/>
                <w:left w:val="none" w:sz="0" w:space="0" w:color="auto"/>
                <w:bottom w:val="none" w:sz="0" w:space="0" w:color="auto"/>
                <w:right w:val="none" w:sz="0" w:space="0" w:color="auto"/>
              </w:divBdr>
            </w:div>
            <w:div w:id="1128475142">
              <w:marLeft w:val="0"/>
              <w:marRight w:val="0"/>
              <w:marTop w:val="0"/>
              <w:marBottom w:val="0"/>
              <w:divBdr>
                <w:top w:val="none" w:sz="0" w:space="0" w:color="auto"/>
                <w:left w:val="none" w:sz="0" w:space="0" w:color="auto"/>
                <w:bottom w:val="none" w:sz="0" w:space="0" w:color="auto"/>
                <w:right w:val="none" w:sz="0" w:space="0" w:color="auto"/>
              </w:divBdr>
            </w:div>
            <w:div w:id="859465963">
              <w:marLeft w:val="0"/>
              <w:marRight w:val="0"/>
              <w:marTop w:val="0"/>
              <w:marBottom w:val="0"/>
              <w:divBdr>
                <w:top w:val="none" w:sz="0" w:space="0" w:color="auto"/>
                <w:left w:val="none" w:sz="0" w:space="0" w:color="auto"/>
                <w:bottom w:val="none" w:sz="0" w:space="0" w:color="auto"/>
                <w:right w:val="none" w:sz="0" w:space="0" w:color="auto"/>
              </w:divBdr>
            </w:div>
            <w:div w:id="546258289">
              <w:marLeft w:val="0"/>
              <w:marRight w:val="0"/>
              <w:marTop w:val="0"/>
              <w:marBottom w:val="0"/>
              <w:divBdr>
                <w:top w:val="none" w:sz="0" w:space="0" w:color="auto"/>
                <w:left w:val="none" w:sz="0" w:space="0" w:color="auto"/>
                <w:bottom w:val="none" w:sz="0" w:space="0" w:color="auto"/>
                <w:right w:val="none" w:sz="0" w:space="0" w:color="auto"/>
              </w:divBdr>
            </w:div>
            <w:div w:id="876350792">
              <w:marLeft w:val="0"/>
              <w:marRight w:val="0"/>
              <w:marTop w:val="0"/>
              <w:marBottom w:val="0"/>
              <w:divBdr>
                <w:top w:val="none" w:sz="0" w:space="0" w:color="auto"/>
                <w:left w:val="none" w:sz="0" w:space="0" w:color="auto"/>
                <w:bottom w:val="none" w:sz="0" w:space="0" w:color="auto"/>
                <w:right w:val="none" w:sz="0" w:space="0" w:color="auto"/>
              </w:divBdr>
            </w:div>
            <w:div w:id="480931247">
              <w:marLeft w:val="0"/>
              <w:marRight w:val="0"/>
              <w:marTop w:val="0"/>
              <w:marBottom w:val="0"/>
              <w:divBdr>
                <w:top w:val="none" w:sz="0" w:space="0" w:color="auto"/>
                <w:left w:val="none" w:sz="0" w:space="0" w:color="auto"/>
                <w:bottom w:val="none" w:sz="0" w:space="0" w:color="auto"/>
                <w:right w:val="none" w:sz="0" w:space="0" w:color="auto"/>
              </w:divBdr>
            </w:div>
            <w:div w:id="166021253">
              <w:marLeft w:val="0"/>
              <w:marRight w:val="0"/>
              <w:marTop w:val="0"/>
              <w:marBottom w:val="0"/>
              <w:divBdr>
                <w:top w:val="none" w:sz="0" w:space="0" w:color="auto"/>
                <w:left w:val="none" w:sz="0" w:space="0" w:color="auto"/>
                <w:bottom w:val="none" w:sz="0" w:space="0" w:color="auto"/>
                <w:right w:val="none" w:sz="0" w:space="0" w:color="auto"/>
              </w:divBdr>
            </w:div>
            <w:div w:id="611402755">
              <w:marLeft w:val="0"/>
              <w:marRight w:val="0"/>
              <w:marTop w:val="0"/>
              <w:marBottom w:val="0"/>
              <w:divBdr>
                <w:top w:val="none" w:sz="0" w:space="0" w:color="auto"/>
                <w:left w:val="none" w:sz="0" w:space="0" w:color="auto"/>
                <w:bottom w:val="none" w:sz="0" w:space="0" w:color="auto"/>
                <w:right w:val="none" w:sz="0" w:space="0" w:color="auto"/>
              </w:divBdr>
            </w:div>
            <w:div w:id="1013606816">
              <w:marLeft w:val="0"/>
              <w:marRight w:val="0"/>
              <w:marTop w:val="0"/>
              <w:marBottom w:val="0"/>
              <w:divBdr>
                <w:top w:val="none" w:sz="0" w:space="0" w:color="auto"/>
                <w:left w:val="none" w:sz="0" w:space="0" w:color="auto"/>
                <w:bottom w:val="none" w:sz="0" w:space="0" w:color="auto"/>
                <w:right w:val="none" w:sz="0" w:space="0" w:color="auto"/>
              </w:divBdr>
            </w:div>
            <w:div w:id="882250547">
              <w:marLeft w:val="0"/>
              <w:marRight w:val="0"/>
              <w:marTop w:val="0"/>
              <w:marBottom w:val="0"/>
              <w:divBdr>
                <w:top w:val="none" w:sz="0" w:space="0" w:color="auto"/>
                <w:left w:val="none" w:sz="0" w:space="0" w:color="auto"/>
                <w:bottom w:val="none" w:sz="0" w:space="0" w:color="auto"/>
                <w:right w:val="none" w:sz="0" w:space="0" w:color="auto"/>
              </w:divBdr>
            </w:div>
            <w:div w:id="314453533">
              <w:marLeft w:val="0"/>
              <w:marRight w:val="0"/>
              <w:marTop w:val="0"/>
              <w:marBottom w:val="0"/>
              <w:divBdr>
                <w:top w:val="none" w:sz="0" w:space="0" w:color="auto"/>
                <w:left w:val="none" w:sz="0" w:space="0" w:color="auto"/>
                <w:bottom w:val="none" w:sz="0" w:space="0" w:color="auto"/>
                <w:right w:val="none" w:sz="0" w:space="0" w:color="auto"/>
              </w:divBdr>
            </w:div>
            <w:div w:id="292564477">
              <w:marLeft w:val="0"/>
              <w:marRight w:val="0"/>
              <w:marTop w:val="0"/>
              <w:marBottom w:val="0"/>
              <w:divBdr>
                <w:top w:val="none" w:sz="0" w:space="0" w:color="auto"/>
                <w:left w:val="none" w:sz="0" w:space="0" w:color="auto"/>
                <w:bottom w:val="none" w:sz="0" w:space="0" w:color="auto"/>
                <w:right w:val="none" w:sz="0" w:space="0" w:color="auto"/>
              </w:divBdr>
            </w:div>
            <w:div w:id="1592425213">
              <w:marLeft w:val="0"/>
              <w:marRight w:val="0"/>
              <w:marTop w:val="0"/>
              <w:marBottom w:val="0"/>
              <w:divBdr>
                <w:top w:val="none" w:sz="0" w:space="0" w:color="auto"/>
                <w:left w:val="none" w:sz="0" w:space="0" w:color="auto"/>
                <w:bottom w:val="none" w:sz="0" w:space="0" w:color="auto"/>
                <w:right w:val="none" w:sz="0" w:space="0" w:color="auto"/>
              </w:divBdr>
            </w:div>
            <w:div w:id="1461221897">
              <w:marLeft w:val="0"/>
              <w:marRight w:val="0"/>
              <w:marTop w:val="0"/>
              <w:marBottom w:val="0"/>
              <w:divBdr>
                <w:top w:val="none" w:sz="0" w:space="0" w:color="auto"/>
                <w:left w:val="none" w:sz="0" w:space="0" w:color="auto"/>
                <w:bottom w:val="none" w:sz="0" w:space="0" w:color="auto"/>
                <w:right w:val="none" w:sz="0" w:space="0" w:color="auto"/>
              </w:divBdr>
            </w:div>
            <w:div w:id="1249271264">
              <w:marLeft w:val="0"/>
              <w:marRight w:val="0"/>
              <w:marTop w:val="0"/>
              <w:marBottom w:val="0"/>
              <w:divBdr>
                <w:top w:val="none" w:sz="0" w:space="0" w:color="auto"/>
                <w:left w:val="none" w:sz="0" w:space="0" w:color="auto"/>
                <w:bottom w:val="none" w:sz="0" w:space="0" w:color="auto"/>
                <w:right w:val="none" w:sz="0" w:space="0" w:color="auto"/>
              </w:divBdr>
            </w:div>
            <w:div w:id="103040359">
              <w:marLeft w:val="0"/>
              <w:marRight w:val="0"/>
              <w:marTop w:val="0"/>
              <w:marBottom w:val="0"/>
              <w:divBdr>
                <w:top w:val="none" w:sz="0" w:space="0" w:color="auto"/>
                <w:left w:val="none" w:sz="0" w:space="0" w:color="auto"/>
                <w:bottom w:val="none" w:sz="0" w:space="0" w:color="auto"/>
                <w:right w:val="none" w:sz="0" w:space="0" w:color="auto"/>
              </w:divBdr>
            </w:div>
            <w:div w:id="561721702">
              <w:marLeft w:val="0"/>
              <w:marRight w:val="0"/>
              <w:marTop w:val="0"/>
              <w:marBottom w:val="0"/>
              <w:divBdr>
                <w:top w:val="none" w:sz="0" w:space="0" w:color="auto"/>
                <w:left w:val="none" w:sz="0" w:space="0" w:color="auto"/>
                <w:bottom w:val="none" w:sz="0" w:space="0" w:color="auto"/>
                <w:right w:val="none" w:sz="0" w:space="0" w:color="auto"/>
              </w:divBdr>
            </w:div>
            <w:div w:id="992176387">
              <w:marLeft w:val="0"/>
              <w:marRight w:val="0"/>
              <w:marTop w:val="0"/>
              <w:marBottom w:val="0"/>
              <w:divBdr>
                <w:top w:val="none" w:sz="0" w:space="0" w:color="auto"/>
                <w:left w:val="none" w:sz="0" w:space="0" w:color="auto"/>
                <w:bottom w:val="none" w:sz="0" w:space="0" w:color="auto"/>
                <w:right w:val="none" w:sz="0" w:space="0" w:color="auto"/>
              </w:divBdr>
            </w:div>
            <w:div w:id="1135375139">
              <w:marLeft w:val="0"/>
              <w:marRight w:val="0"/>
              <w:marTop w:val="0"/>
              <w:marBottom w:val="0"/>
              <w:divBdr>
                <w:top w:val="none" w:sz="0" w:space="0" w:color="auto"/>
                <w:left w:val="none" w:sz="0" w:space="0" w:color="auto"/>
                <w:bottom w:val="none" w:sz="0" w:space="0" w:color="auto"/>
                <w:right w:val="none" w:sz="0" w:space="0" w:color="auto"/>
              </w:divBdr>
            </w:div>
            <w:div w:id="510532887">
              <w:marLeft w:val="0"/>
              <w:marRight w:val="0"/>
              <w:marTop w:val="0"/>
              <w:marBottom w:val="0"/>
              <w:divBdr>
                <w:top w:val="none" w:sz="0" w:space="0" w:color="auto"/>
                <w:left w:val="none" w:sz="0" w:space="0" w:color="auto"/>
                <w:bottom w:val="none" w:sz="0" w:space="0" w:color="auto"/>
                <w:right w:val="none" w:sz="0" w:space="0" w:color="auto"/>
              </w:divBdr>
            </w:div>
            <w:div w:id="15815589">
              <w:marLeft w:val="0"/>
              <w:marRight w:val="0"/>
              <w:marTop w:val="0"/>
              <w:marBottom w:val="0"/>
              <w:divBdr>
                <w:top w:val="none" w:sz="0" w:space="0" w:color="auto"/>
                <w:left w:val="none" w:sz="0" w:space="0" w:color="auto"/>
                <w:bottom w:val="none" w:sz="0" w:space="0" w:color="auto"/>
                <w:right w:val="none" w:sz="0" w:space="0" w:color="auto"/>
              </w:divBdr>
            </w:div>
            <w:div w:id="167912282">
              <w:marLeft w:val="0"/>
              <w:marRight w:val="0"/>
              <w:marTop w:val="0"/>
              <w:marBottom w:val="0"/>
              <w:divBdr>
                <w:top w:val="none" w:sz="0" w:space="0" w:color="auto"/>
                <w:left w:val="none" w:sz="0" w:space="0" w:color="auto"/>
                <w:bottom w:val="none" w:sz="0" w:space="0" w:color="auto"/>
                <w:right w:val="none" w:sz="0" w:space="0" w:color="auto"/>
              </w:divBdr>
            </w:div>
            <w:div w:id="1328092319">
              <w:marLeft w:val="0"/>
              <w:marRight w:val="0"/>
              <w:marTop w:val="0"/>
              <w:marBottom w:val="0"/>
              <w:divBdr>
                <w:top w:val="none" w:sz="0" w:space="0" w:color="auto"/>
                <w:left w:val="none" w:sz="0" w:space="0" w:color="auto"/>
                <w:bottom w:val="none" w:sz="0" w:space="0" w:color="auto"/>
                <w:right w:val="none" w:sz="0" w:space="0" w:color="auto"/>
              </w:divBdr>
            </w:div>
            <w:div w:id="622269310">
              <w:marLeft w:val="0"/>
              <w:marRight w:val="0"/>
              <w:marTop w:val="0"/>
              <w:marBottom w:val="0"/>
              <w:divBdr>
                <w:top w:val="none" w:sz="0" w:space="0" w:color="auto"/>
                <w:left w:val="none" w:sz="0" w:space="0" w:color="auto"/>
                <w:bottom w:val="none" w:sz="0" w:space="0" w:color="auto"/>
                <w:right w:val="none" w:sz="0" w:space="0" w:color="auto"/>
              </w:divBdr>
            </w:div>
            <w:div w:id="1247299664">
              <w:marLeft w:val="0"/>
              <w:marRight w:val="0"/>
              <w:marTop w:val="0"/>
              <w:marBottom w:val="0"/>
              <w:divBdr>
                <w:top w:val="none" w:sz="0" w:space="0" w:color="auto"/>
                <w:left w:val="none" w:sz="0" w:space="0" w:color="auto"/>
                <w:bottom w:val="none" w:sz="0" w:space="0" w:color="auto"/>
                <w:right w:val="none" w:sz="0" w:space="0" w:color="auto"/>
              </w:divBdr>
            </w:div>
            <w:div w:id="1109348871">
              <w:marLeft w:val="0"/>
              <w:marRight w:val="0"/>
              <w:marTop w:val="0"/>
              <w:marBottom w:val="0"/>
              <w:divBdr>
                <w:top w:val="none" w:sz="0" w:space="0" w:color="auto"/>
                <w:left w:val="none" w:sz="0" w:space="0" w:color="auto"/>
                <w:bottom w:val="none" w:sz="0" w:space="0" w:color="auto"/>
                <w:right w:val="none" w:sz="0" w:space="0" w:color="auto"/>
              </w:divBdr>
            </w:div>
            <w:div w:id="1992171926">
              <w:marLeft w:val="0"/>
              <w:marRight w:val="0"/>
              <w:marTop w:val="0"/>
              <w:marBottom w:val="0"/>
              <w:divBdr>
                <w:top w:val="none" w:sz="0" w:space="0" w:color="auto"/>
                <w:left w:val="none" w:sz="0" w:space="0" w:color="auto"/>
                <w:bottom w:val="none" w:sz="0" w:space="0" w:color="auto"/>
                <w:right w:val="none" w:sz="0" w:space="0" w:color="auto"/>
              </w:divBdr>
            </w:div>
            <w:div w:id="384136263">
              <w:marLeft w:val="0"/>
              <w:marRight w:val="0"/>
              <w:marTop w:val="0"/>
              <w:marBottom w:val="0"/>
              <w:divBdr>
                <w:top w:val="none" w:sz="0" w:space="0" w:color="auto"/>
                <w:left w:val="none" w:sz="0" w:space="0" w:color="auto"/>
                <w:bottom w:val="none" w:sz="0" w:space="0" w:color="auto"/>
                <w:right w:val="none" w:sz="0" w:space="0" w:color="auto"/>
              </w:divBdr>
            </w:div>
            <w:div w:id="1917323075">
              <w:marLeft w:val="0"/>
              <w:marRight w:val="0"/>
              <w:marTop w:val="0"/>
              <w:marBottom w:val="0"/>
              <w:divBdr>
                <w:top w:val="none" w:sz="0" w:space="0" w:color="auto"/>
                <w:left w:val="none" w:sz="0" w:space="0" w:color="auto"/>
                <w:bottom w:val="none" w:sz="0" w:space="0" w:color="auto"/>
                <w:right w:val="none" w:sz="0" w:space="0" w:color="auto"/>
              </w:divBdr>
            </w:div>
            <w:div w:id="623803802">
              <w:marLeft w:val="0"/>
              <w:marRight w:val="0"/>
              <w:marTop w:val="0"/>
              <w:marBottom w:val="0"/>
              <w:divBdr>
                <w:top w:val="none" w:sz="0" w:space="0" w:color="auto"/>
                <w:left w:val="none" w:sz="0" w:space="0" w:color="auto"/>
                <w:bottom w:val="none" w:sz="0" w:space="0" w:color="auto"/>
                <w:right w:val="none" w:sz="0" w:space="0" w:color="auto"/>
              </w:divBdr>
            </w:div>
            <w:div w:id="654650085">
              <w:marLeft w:val="0"/>
              <w:marRight w:val="0"/>
              <w:marTop w:val="0"/>
              <w:marBottom w:val="0"/>
              <w:divBdr>
                <w:top w:val="none" w:sz="0" w:space="0" w:color="auto"/>
                <w:left w:val="none" w:sz="0" w:space="0" w:color="auto"/>
                <w:bottom w:val="none" w:sz="0" w:space="0" w:color="auto"/>
                <w:right w:val="none" w:sz="0" w:space="0" w:color="auto"/>
              </w:divBdr>
            </w:div>
            <w:div w:id="949052650">
              <w:marLeft w:val="0"/>
              <w:marRight w:val="0"/>
              <w:marTop w:val="0"/>
              <w:marBottom w:val="0"/>
              <w:divBdr>
                <w:top w:val="none" w:sz="0" w:space="0" w:color="auto"/>
                <w:left w:val="none" w:sz="0" w:space="0" w:color="auto"/>
                <w:bottom w:val="none" w:sz="0" w:space="0" w:color="auto"/>
                <w:right w:val="none" w:sz="0" w:space="0" w:color="auto"/>
              </w:divBdr>
            </w:div>
            <w:div w:id="2115784745">
              <w:marLeft w:val="0"/>
              <w:marRight w:val="0"/>
              <w:marTop w:val="0"/>
              <w:marBottom w:val="0"/>
              <w:divBdr>
                <w:top w:val="none" w:sz="0" w:space="0" w:color="auto"/>
                <w:left w:val="none" w:sz="0" w:space="0" w:color="auto"/>
                <w:bottom w:val="none" w:sz="0" w:space="0" w:color="auto"/>
                <w:right w:val="none" w:sz="0" w:space="0" w:color="auto"/>
              </w:divBdr>
            </w:div>
            <w:div w:id="1674457553">
              <w:marLeft w:val="0"/>
              <w:marRight w:val="0"/>
              <w:marTop w:val="0"/>
              <w:marBottom w:val="0"/>
              <w:divBdr>
                <w:top w:val="none" w:sz="0" w:space="0" w:color="auto"/>
                <w:left w:val="none" w:sz="0" w:space="0" w:color="auto"/>
                <w:bottom w:val="none" w:sz="0" w:space="0" w:color="auto"/>
                <w:right w:val="none" w:sz="0" w:space="0" w:color="auto"/>
              </w:divBdr>
            </w:div>
            <w:div w:id="799810265">
              <w:marLeft w:val="0"/>
              <w:marRight w:val="0"/>
              <w:marTop w:val="0"/>
              <w:marBottom w:val="0"/>
              <w:divBdr>
                <w:top w:val="none" w:sz="0" w:space="0" w:color="auto"/>
                <w:left w:val="none" w:sz="0" w:space="0" w:color="auto"/>
                <w:bottom w:val="none" w:sz="0" w:space="0" w:color="auto"/>
                <w:right w:val="none" w:sz="0" w:space="0" w:color="auto"/>
              </w:divBdr>
            </w:div>
            <w:div w:id="1693995972">
              <w:marLeft w:val="0"/>
              <w:marRight w:val="0"/>
              <w:marTop w:val="0"/>
              <w:marBottom w:val="0"/>
              <w:divBdr>
                <w:top w:val="none" w:sz="0" w:space="0" w:color="auto"/>
                <w:left w:val="none" w:sz="0" w:space="0" w:color="auto"/>
                <w:bottom w:val="none" w:sz="0" w:space="0" w:color="auto"/>
                <w:right w:val="none" w:sz="0" w:space="0" w:color="auto"/>
              </w:divBdr>
            </w:div>
            <w:div w:id="850295910">
              <w:marLeft w:val="0"/>
              <w:marRight w:val="0"/>
              <w:marTop w:val="0"/>
              <w:marBottom w:val="0"/>
              <w:divBdr>
                <w:top w:val="none" w:sz="0" w:space="0" w:color="auto"/>
                <w:left w:val="none" w:sz="0" w:space="0" w:color="auto"/>
                <w:bottom w:val="none" w:sz="0" w:space="0" w:color="auto"/>
                <w:right w:val="none" w:sz="0" w:space="0" w:color="auto"/>
              </w:divBdr>
            </w:div>
            <w:div w:id="101415744">
              <w:marLeft w:val="0"/>
              <w:marRight w:val="0"/>
              <w:marTop w:val="0"/>
              <w:marBottom w:val="0"/>
              <w:divBdr>
                <w:top w:val="none" w:sz="0" w:space="0" w:color="auto"/>
                <w:left w:val="none" w:sz="0" w:space="0" w:color="auto"/>
                <w:bottom w:val="none" w:sz="0" w:space="0" w:color="auto"/>
                <w:right w:val="none" w:sz="0" w:space="0" w:color="auto"/>
              </w:divBdr>
            </w:div>
            <w:div w:id="47653879">
              <w:marLeft w:val="0"/>
              <w:marRight w:val="0"/>
              <w:marTop w:val="0"/>
              <w:marBottom w:val="0"/>
              <w:divBdr>
                <w:top w:val="none" w:sz="0" w:space="0" w:color="auto"/>
                <w:left w:val="none" w:sz="0" w:space="0" w:color="auto"/>
                <w:bottom w:val="none" w:sz="0" w:space="0" w:color="auto"/>
                <w:right w:val="none" w:sz="0" w:space="0" w:color="auto"/>
              </w:divBdr>
            </w:div>
            <w:div w:id="999307632">
              <w:marLeft w:val="0"/>
              <w:marRight w:val="0"/>
              <w:marTop w:val="0"/>
              <w:marBottom w:val="0"/>
              <w:divBdr>
                <w:top w:val="none" w:sz="0" w:space="0" w:color="auto"/>
                <w:left w:val="none" w:sz="0" w:space="0" w:color="auto"/>
                <w:bottom w:val="none" w:sz="0" w:space="0" w:color="auto"/>
                <w:right w:val="none" w:sz="0" w:space="0" w:color="auto"/>
              </w:divBdr>
            </w:div>
            <w:div w:id="408700895">
              <w:marLeft w:val="0"/>
              <w:marRight w:val="0"/>
              <w:marTop w:val="0"/>
              <w:marBottom w:val="0"/>
              <w:divBdr>
                <w:top w:val="none" w:sz="0" w:space="0" w:color="auto"/>
                <w:left w:val="none" w:sz="0" w:space="0" w:color="auto"/>
                <w:bottom w:val="none" w:sz="0" w:space="0" w:color="auto"/>
                <w:right w:val="none" w:sz="0" w:space="0" w:color="auto"/>
              </w:divBdr>
            </w:div>
            <w:div w:id="1090926393">
              <w:marLeft w:val="0"/>
              <w:marRight w:val="0"/>
              <w:marTop w:val="0"/>
              <w:marBottom w:val="0"/>
              <w:divBdr>
                <w:top w:val="none" w:sz="0" w:space="0" w:color="auto"/>
                <w:left w:val="none" w:sz="0" w:space="0" w:color="auto"/>
                <w:bottom w:val="none" w:sz="0" w:space="0" w:color="auto"/>
                <w:right w:val="none" w:sz="0" w:space="0" w:color="auto"/>
              </w:divBdr>
            </w:div>
            <w:div w:id="340553221">
              <w:marLeft w:val="0"/>
              <w:marRight w:val="0"/>
              <w:marTop w:val="0"/>
              <w:marBottom w:val="0"/>
              <w:divBdr>
                <w:top w:val="none" w:sz="0" w:space="0" w:color="auto"/>
                <w:left w:val="none" w:sz="0" w:space="0" w:color="auto"/>
                <w:bottom w:val="none" w:sz="0" w:space="0" w:color="auto"/>
                <w:right w:val="none" w:sz="0" w:space="0" w:color="auto"/>
              </w:divBdr>
            </w:div>
            <w:div w:id="1734505976">
              <w:marLeft w:val="0"/>
              <w:marRight w:val="0"/>
              <w:marTop w:val="0"/>
              <w:marBottom w:val="0"/>
              <w:divBdr>
                <w:top w:val="none" w:sz="0" w:space="0" w:color="auto"/>
                <w:left w:val="none" w:sz="0" w:space="0" w:color="auto"/>
                <w:bottom w:val="none" w:sz="0" w:space="0" w:color="auto"/>
                <w:right w:val="none" w:sz="0" w:space="0" w:color="auto"/>
              </w:divBdr>
            </w:div>
            <w:div w:id="1712530686">
              <w:marLeft w:val="0"/>
              <w:marRight w:val="0"/>
              <w:marTop w:val="0"/>
              <w:marBottom w:val="0"/>
              <w:divBdr>
                <w:top w:val="none" w:sz="0" w:space="0" w:color="auto"/>
                <w:left w:val="none" w:sz="0" w:space="0" w:color="auto"/>
                <w:bottom w:val="none" w:sz="0" w:space="0" w:color="auto"/>
                <w:right w:val="none" w:sz="0" w:space="0" w:color="auto"/>
              </w:divBdr>
            </w:div>
            <w:div w:id="821508158">
              <w:marLeft w:val="0"/>
              <w:marRight w:val="0"/>
              <w:marTop w:val="0"/>
              <w:marBottom w:val="0"/>
              <w:divBdr>
                <w:top w:val="none" w:sz="0" w:space="0" w:color="auto"/>
                <w:left w:val="none" w:sz="0" w:space="0" w:color="auto"/>
                <w:bottom w:val="none" w:sz="0" w:space="0" w:color="auto"/>
                <w:right w:val="none" w:sz="0" w:space="0" w:color="auto"/>
              </w:divBdr>
            </w:div>
            <w:div w:id="1117455850">
              <w:marLeft w:val="0"/>
              <w:marRight w:val="0"/>
              <w:marTop w:val="0"/>
              <w:marBottom w:val="0"/>
              <w:divBdr>
                <w:top w:val="none" w:sz="0" w:space="0" w:color="auto"/>
                <w:left w:val="none" w:sz="0" w:space="0" w:color="auto"/>
                <w:bottom w:val="none" w:sz="0" w:space="0" w:color="auto"/>
                <w:right w:val="none" w:sz="0" w:space="0" w:color="auto"/>
              </w:divBdr>
            </w:div>
            <w:div w:id="1745034122">
              <w:marLeft w:val="0"/>
              <w:marRight w:val="0"/>
              <w:marTop w:val="0"/>
              <w:marBottom w:val="0"/>
              <w:divBdr>
                <w:top w:val="none" w:sz="0" w:space="0" w:color="auto"/>
                <w:left w:val="none" w:sz="0" w:space="0" w:color="auto"/>
                <w:bottom w:val="none" w:sz="0" w:space="0" w:color="auto"/>
                <w:right w:val="none" w:sz="0" w:space="0" w:color="auto"/>
              </w:divBdr>
            </w:div>
            <w:div w:id="2088795854">
              <w:marLeft w:val="0"/>
              <w:marRight w:val="0"/>
              <w:marTop w:val="0"/>
              <w:marBottom w:val="0"/>
              <w:divBdr>
                <w:top w:val="none" w:sz="0" w:space="0" w:color="auto"/>
                <w:left w:val="none" w:sz="0" w:space="0" w:color="auto"/>
                <w:bottom w:val="none" w:sz="0" w:space="0" w:color="auto"/>
                <w:right w:val="none" w:sz="0" w:space="0" w:color="auto"/>
              </w:divBdr>
            </w:div>
            <w:div w:id="1561283665">
              <w:marLeft w:val="0"/>
              <w:marRight w:val="0"/>
              <w:marTop w:val="0"/>
              <w:marBottom w:val="0"/>
              <w:divBdr>
                <w:top w:val="none" w:sz="0" w:space="0" w:color="auto"/>
                <w:left w:val="none" w:sz="0" w:space="0" w:color="auto"/>
                <w:bottom w:val="none" w:sz="0" w:space="0" w:color="auto"/>
                <w:right w:val="none" w:sz="0" w:space="0" w:color="auto"/>
              </w:divBdr>
            </w:div>
            <w:div w:id="1867794350">
              <w:marLeft w:val="0"/>
              <w:marRight w:val="0"/>
              <w:marTop w:val="0"/>
              <w:marBottom w:val="0"/>
              <w:divBdr>
                <w:top w:val="none" w:sz="0" w:space="0" w:color="auto"/>
                <w:left w:val="none" w:sz="0" w:space="0" w:color="auto"/>
                <w:bottom w:val="none" w:sz="0" w:space="0" w:color="auto"/>
                <w:right w:val="none" w:sz="0" w:space="0" w:color="auto"/>
              </w:divBdr>
            </w:div>
            <w:div w:id="1941330316">
              <w:marLeft w:val="0"/>
              <w:marRight w:val="0"/>
              <w:marTop w:val="0"/>
              <w:marBottom w:val="0"/>
              <w:divBdr>
                <w:top w:val="none" w:sz="0" w:space="0" w:color="auto"/>
                <w:left w:val="none" w:sz="0" w:space="0" w:color="auto"/>
                <w:bottom w:val="none" w:sz="0" w:space="0" w:color="auto"/>
                <w:right w:val="none" w:sz="0" w:space="0" w:color="auto"/>
              </w:divBdr>
            </w:div>
            <w:div w:id="1974172996">
              <w:marLeft w:val="0"/>
              <w:marRight w:val="0"/>
              <w:marTop w:val="0"/>
              <w:marBottom w:val="0"/>
              <w:divBdr>
                <w:top w:val="none" w:sz="0" w:space="0" w:color="auto"/>
                <w:left w:val="none" w:sz="0" w:space="0" w:color="auto"/>
                <w:bottom w:val="none" w:sz="0" w:space="0" w:color="auto"/>
                <w:right w:val="none" w:sz="0" w:space="0" w:color="auto"/>
              </w:divBdr>
            </w:div>
            <w:div w:id="1073697108">
              <w:marLeft w:val="0"/>
              <w:marRight w:val="0"/>
              <w:marTop w:val="0"/>
              <w:marBottom w:val="0"/>
              <w:divBdr>
                <w:top w:val="none" w:sz="0" w:space="0" w:color="auto"/>
                <w:left w:val="none" w:sz="0" w:space="0" w:color="auto"/>
                <w:bottom w:val="none" w:sz="0" w:space="0" w:color="auto"/>
                <w:right w:val="none" w:sz="0" w:space="0" w:color="auto"/>
              </w:divBdr>
            </w:div>
            <w:div w:id="776679709">
              <w:marLeft w:val="0"/>
              <w:marRight w:val="0"/>
              <w:marTop w:val="0"/>
              <w:marBottom w:val="0"/>
              <w:divBdr>
                <w:top w:val="none" w:sz="0" w:space="0" w:color="auto"/>
                <w:left w:val="none" w:sz="0" w:space="0" w:color="auto"/>
                <w:bottom w:val="none" w:sz="0" w:space="0" w:color="auto"/>
                <w:right w:val="none" w:sz="0" w:space="0" w:color="auto"/>
              </w:divBdr>
            </w:div>
            <w:div w:id="964042995">
              <w:marLeft w:val="0"/>
              <w:marRight w:val="0"/>
              <w:marTop w:val="0"/>
              <w:marBottom w:val="0"/>
              <w:divBdr>
                <w:top w:val="none" w:sz="0" w:space="0" w:color="auto"/>
                <w:left w:val="none" w:sz="0" w:space="0" w:color="auto"/>
                <w:bottom w:val="none" w:sz="0" w:space="0" w:color="auto"/>
                <w:right w:val="none" w:sz="0" w:space="0" w:color="auto"/>
              </w:divBdr>
            </w:div>
            <w:div w:id="415325730">
              <w:marLeft w:val="0"/>
              <w:marRight w:val="0"/>
              <w:marTop w:val="0"/>
              <w:marBottom w:val="0"/>
              <w:divBdr>
                <w:top w:val="none" w:sz="0" w:space="0" w:color="auto"/>
                <w:left w:val="none" w:sz="0" w:space="0" w:color="auto"/>
                <w:bottom w:val="none" w:sz="0" w:space="0" w:color="auto"/>
                <w:right w:val="none" w:sz="0" w:space="0" w:color="auto"/>
              </w:divBdr>
            </w:div>
            <w:div w:id="1708026059">
              <w:marLeft w:val="0"/>
              <w:marRight w:val="0"/>
              <w:marTop w:val="0"/>
              <w:marBottom w:val="0"/>
              <w:divBdr>
                <w:top w:val="none" w:sz="0" w:space="0" w:color="auto"/>
                <w:left w:val="none" w:sz="0" w:space="0" w:color="auto"/>
                <w:bottom w:val="none" w:sz="0" w:space="0" w:color="auto"/>
                <w:right w:val="none" w:sz="0" w:space="0" w:color="auto"/>
              </w:divBdr>
            </w:div>
            <w:div w:id="1751535139">
              <w:marLeft w:val="0"/>
              <w:marRight w:val="0"/>
              <w:marTop w:val="0"/>
              <w:marBottom w:val="0"/>
              <w:divBdr>
                <w:top w:val="none" w:sz="0" w:space="0" w:color="auto"/>
                <w:left w:val="none" w:sz="0" w:space="0" w:color="auto"/>
                <w:bottom w:val="none" w:sz="0" w:space="0" w:color="auto"/>
                <w:right w:val="none" w:sz="0" w:space="0" w:color="auto"/>
              </w:divBdr>
            </w:div>
            <w:div w:id="1144657416">
              <w:marLeft w:val="0"/>
              <w:marRight w:val="0"/>
              <w:marTop w:val="0"/>
              <w:marBottom w:val="0"/>
              <w:divBdr>
                <w:top w:val="none" w:sz="0" w:space="0" w:color="auto"/>
                <w:left w:val="none" w:sz="0" w:space="0" w:color="auto"/>
                <w:bottom w:val="none" w:sz="0" w:space="0" w:color="auto"/>
                <w:right w:val="none" w:sz="0" w:space="0" w:color="auto"/>
              </w:divBdr>
            </w:div>
            <w:div w:id="784353639">
              <w:marLeft w:val="0"/>
              <w:marRight w:val="0"/>
              <w:marTop w:val="0"/>
              <w:marBottom w:val="0"/>
              <w:divBdr>
                <w:top w:val="none" w:sz="0" w:space="0" w:color="auto"/>
                <w:left w:val="none" w:sz="0" w:space="0" w:color="auto"/>
                <w:bottom w:val="none" w:sz="0" w:space="0" w:color="auto"/>
                <w:right w:val="none" w:sz="0" w:space="0" w:color="auto"/>
              </w:divBdr>
            </w:div>
            <w:div w:id="84619340">
              <w:marLeft w:val="0"/>
              <w:marRight w:val="0"/>
              <w:marTop w:val="0"/>
              <w:marBottom w:val="0"/>
              <w:divBdr>
                <w:top w:val="none" w:sz="0" w:space="0" w:color="auto"/>
                <w:left w:val="none" w:sz="0" w:space="0" w:color="auto"/>
                <w:bottom w:val="none" w:sz="0" w:space="0" w:color="auto"/>
                <w:right w:val="none" w:sz="0" w:space="0" w:color="auto"/>
              </w:divBdr>
            </w:div>
            <w:div w:id="1733262544">
              <w:marLeft w:val="0"/>
              <w:marRight w:val="0"/>
              <w:marTop w:val="0"/>
              <w:marBottom w:val="0"/>
              <w:divBdr>
                <w:top w:val="none" w:sz="0" w:space="0" w:color="auto"/>
                <w:left w:val="none" w:sz="0" w:space="0" w:color="auto"/>
                <w:bottom w:val="none" w:sz="0" w:space="0" w:color="auto"/>
                <w:right w:val="none" w:sz="0" w:space="0" w:color="auto"/>
              </w:divBdr>
            </w:div>
            <w:div w:id="1462264367">
              <w:marLeft w:val="0"/>
              <w:marRight w:val="0"/>
              <w:marTop w:val="0"/>
              <w:marBottom w:val="0"/>
              <w:divBdr>
                <w:top w:val="none" w:sz="0" w:space="0" w:color="auto"/>
                <w:left w:val="none" w:sz="0" w:space="0" w:color="auto"/>
                <w:bottom w:val="none" w:sz="0" w:space="0" w:color="auto"/>
                <w:right w:val="none" w:sz="0" w:space="0" w:color="auto"/>
              </w:divBdr>
            </w:div>
            <w:div w:id="1464301722">
              <w:marLeft w:val="0"/>
              <w:marRight w:val="0"/>
              <w:marTop w:val="0"/>
              <w:marBottom w:val="0"/>
              <w:divBdr>
                <w:top w:val="none" w:sz="0" w:space="0" w:color="auto"/>
                <w:left w:val="none" w:sz="0" w:space="0" w:color="auto"/>
                <w:bottom w:val="none" w:sz="0" w:space="0" w:color="auto"/>
                <w:right w:val="none" w:sz="0" w:space="0" w:color="auto"/>
              </w:divBdr>
            </w:div>
            <w:div w:id="1435511807">
              <w:marLeft w:val="0"/>
              <w:marRight w:val="0"/>
              <w:marTop w:val="0"/>
              <w:marBottom w:val="0"/>
              <w:divBdr>
                <w:top w:val="none" w:sz="0" w:space="0" w:color="auto"/>
                <w:left w:val="none" w:sz="0" w:space="0" w:color="auto"/>
                <w:bottom w:val="none" w:sz="0" w:space="0" w:color="auto"/>
                <w:right w:val="none" w:sz="0" w:space="0" w:color="auto"/>
              </w:divBdr>
            </w:div>
            <w:div w:id="1895769222">
              <w:marLeft w:val="0"/>
              <w:marRight w:val="0"/>
              <w:marTop w:val="0"/>
              <w:marBottom w:val="0"/>
              <w:divBdr>
                <w:top w:val="none" w:sz="0" w:space="0" w:color="auto"/>
                <w:left w:val="none" w:sz="0" w:space="0" w:color="auto"/>
                <w:bottom w:val="none" w:sz="0" w:space="0" w:color="auto"/>
                <w:right w:val="none" w:sz="0" w:space="0" w:color="auto"/>
              </w:divBdr>
            </w:div>
            <w:div w:id="696739301">
              <w:marLeft w:val="0"/>
              <w:marRight w:val="0"/>
              <w:marTop w:val="0"/>
              <w:marBottom w:val="0"/>
              <w:divBdr>
                <w:top w:val="none" w:sz="0" w:space="0" w:color="auto"/>
                <w:left w:val="none" w:sz="0" w:space="0" w:color="auto"/>
                <w:bottom w:val="none" w:sz="0" w:space="0" w:color="auto"/>
                <w:right w:val="none" w:sz="0" w:space="0" w:color="auto"/>
              </w:divBdr>
            </w:div>
            <w:div w:id="435102625">
              <w:marLeft w:val="0"/>
              <w:marRight w:val="0"/>
              <w:marTop w:val="0"/>
              <w:marBottom w:val="0"/>
              <w:divBdr>
                <w:top w:val="none" w:sz="0" w:space="0" w:color="auto"/>
                <w:left w:val="none" w:sz="0" w:space="0" w:color="auto"/>
                <w:bottom w:val="none" w:sz="0" w:space="0" w:color="auto"/>
                <w:right w:val="none" w:sz="0" w:space="0" w:color="auto"/>
              </w:divBdr>
            </w:div>
            <w:div w:id="1900551409">
              <w:marLeft w:val="0"/>
              <w:marRight w:val="0"/>
              <w:marTop w:val="0"/>
              <w:marBottom w:val="0"/>
              <w:divBdr>
                <w:top w:val="none" w:sz="0" w:space="0" w:color="auto"/>
                <w:left w:val="none" w:sz="0" w:space="0" w:color="auto"/>
                <w:bottom w:val="none" w:sz="0" w:space="0" w:color="auto"/>
                <w:right w:val="none" w:sz="0" w:space="0" w:color="auto"/>
              </w:divBdr>
            </w:div>
            <w:div w:id="1823349161">
              <w:marLeft w:val="0"/>
              <w:marRight w:val="0"/>
              <w:marTop w:val="0"/>
              <w:marBottom w:val="0"/>
              <w:divBdr>
                <w:top w:val="none" w:sz="0" w:space="0" w:color="auto"/>
                <w:left w:val="none" w:sz="0" w:space="0" w:color="auto"/>
                <w:bottom w:val="none" w:sz="0" w:space="0" w:color="auto"/>
                <w:right w:val="none" w:sz="0" w:space="0" w:color="auto"/>
              </w:divBdr>
            </w:div>
            <w:div w:id="1962028954">
              <w:marLeft w:val="0"/>
              <w:marRight w:val="0"/>
              <w:marTop w:val="0"/>
              <w:marBottom w:val="0"/>
              <w:divBdr>
                <w:top w:val="none" w:sz="0" w:space="0" w:color="auto"/>
                <w:left w:val="none" w:sz="0" w:space="0" w:color="auto"/>
                <w:bottom w:val="none" w:sz="0" w:space="0" w:color="auto"/>
                <w:right w:val="none" w:sz="0" w:space="0" w:color="auto"/>
              </w:divBdr>
            </w:div>
            <w:div w:id="784931929">
              <w:marLeft w:val="0"/>
              <w:marRight w:val="0"/>
              <w:marTop w:val="0"/>
              <w:marBottom w:val="0"/>
              <w:divBdr>
                <w:top w:val="none" w:sz="0" w:space="0" w:color="auto"/>
                <w:left w:val="none" w:sz="0" w:space="0" w:color="auto"/>
                <w:bottom w:val="none" w:sz="0" w:space="0" w:color="auto"/>
                <w:right w:val="none" w:sz="0" w:space="0" w:color="auto"/>
              </w:divBdr>
            </w:div>
            <w:div w:id="213541707">
              <w:marLeft w:val="0"/>
              <w:marRight w:val="0"/>
              <w:marTop w:val="0"/>
              <w:marBottom w:val="0"/>
              <w:divBdr>
                <w:top w:val="none" w:sz="0" w:space="0" w:color="auto"/>
                <w:left w:val="none" w:sz="0" w:space="0" w:color="auto"/>
                <w:bottom w:val="none" w:sz="0" w:space="0" w:color="auto"/>
                <w:right w:val="none" w:sz="0" w:space="0" w:color="auto"/>
              </w:divBdr>
            </w:div>
            <w:div w:id="1289630726">
              <w:marLeft w:val="0"/>
              <w:marRight w:val="0"/>
              <w:marTop w:val="0"/>
              <w:marBottom w:val="0"/>
              <w:divBdr>
                <w:top w:val="none" w:sz="0" w:space="0" w:color="auto"/>
                <w:left w:val="none" w:sz="0" w:space="0" w:color="auto"/>
                <w:bottom w:val="none" w:sz="0" w:space="0" w:color="auto"/>
                <w:right w:val="none" w:sz="0" w:space="0" w:color="auto"/>
              </w:divBdr>
            </w:div>
            <w:div w:id="1471744728">
              <w:marLeft w:val="0"/>
              <w:marRight w:val="0"/>
              <w:marTop w:val="0"/>
              <w:marBottom w:val="0"/>
              <w:divBdr>
                <w:top w:val="none" w:sz="0" w:space="0" w:color="auto"/>
                <w:left w:val="none" w:sz="0" w:space="0" w:color="auto"/>
                <w:bottom w:val="none" w:sz="0" w:space="0" w:color="auto"/>
                <w:right w:val="none" w:sz="0" w:space="0" w:color="auto"/>
              </w:divBdr>
            </w:div>
            <w:div w:id="213007780">
              <w:marLeft w:val="0"/>
              <w:marRight w:val="0"/>
              <w:marTop w:val="0"/>
              <w:marBottom w:val="0"/>
              <w:divBdr>
                <w:top w:val="none" w:sz="0" w:space="0" w:color="auto"/>
                <w:left w:val="none" w:sz="0" w:space="0" w:color="auto"/>
                <w:bottom w:val="none" w:sz="0" w:space="0" w:color="auto"/>
                <w:right w:val="none" w:sz="0" w:space="0" w:color="auto"/>
              </w:divBdr>
            </w:div>
            <w:div w:id="1533612493">
              <w:marLeft w:val="0"/>
              <w:marRight w:val="0"/>
              <w:marTop w:val="0"/>
              <w:marBottom w:val="0"/>
              <w:divBdr>
                <w:top w:val="none" w:sz="0" w:space="0" w:color="auto"/>
                <w:left w:val="none" w:sz="0" w:space="0" w:color="auto"/>
                <w:bottom w:val="none" w:sz="0" w:space="0" w:color="auto"/>
                <w:right w:val="none" w:sz="0" w:space="0" w:color="auto"/>
              </w:divBdr>
            </w:div>
            <w:div w:id="97264428">
              <w:marLeft w:val="0"/>
              <w:marRight w:val="0"/>
              <w:marTop w:val="0"/>
              <w:marBottom w:val="0"/>
              <w:divBdr>
                <w:top w:val="none" w:sz="0" w:space="0" w:color="auto"/>
                <w:left w:val="none" w:sz="0" w:space="0" w:color="auto"/>
                <w:bottom w:val="none" w:sz="0" w:space="0" w:color="auto"/>
                <w:right w:val="none" w:sz="0" w:space="0" w:color="auto"/>
              </w:divBdr>
            </w:div>
            <w:div w:id="1684941727">
              <w:marLeft w:val="0"/>
              <w:marRight w:val="0"/>
              <w:marTop w:val="0"/>
              <w:marBottom w:val="0"/>
              <w:divBdr>
                <w:top w:val="none" w:sz="0" w:space="0" w:color="auto"/>
                <w:left w:val="none" w:sz="0" w:space="0" w:color="auto"/>
                <w:bottom w:val="none" w:sz="0" w:space="0" w:color="auto"/>
                <w:right w:val="none" w:sz="0" w:space="0" w:color="auto"/>
              </w:divBdr>
            </w:div>
            <w:div w:id="398597810">
              <w:marLeft w:val="0"/>
              <w:marRight w:val="0"/>
              <w:marTop w:val="0"/>
              <w:marBottom w:val="0"/>
              <w:divBdr>
                <w:top w:val="none" w:sz="0" w:space="0" w:color="auto"/>
                <w:left w:val="none" w:sz="0" w:space="0" w:color="auto"/>
                <w:bottom w:val="none" w:sz="0" w:space="0" w:color="auto"/>
                <w:right w:val="none" w:sz="0" w:space="0" w:color="auto"/>
              </w:divBdr>
            </w:div>
            <w:div w:id="594099042">
              <w:marLeft w:val="0"/>
              <w:marRight w:val="0"/>
              <w:marTop w:val="0"/>
              <w:marBottom w:val="0"/>
              <w:divBdr>
                <w:top w:val="none" w:sz="0" w:space="0" w:color="auto"/>
                <w:left w:val="none" w:sz="0" w:space="0" w:color="auto"/>
                <w:bottom w:val="none" w:sz="0" w:space="0" w:color="auto"/>
                <w:right w:val="none" w:sz="0" w:space="0" w:color="auto"/>
              </w:divBdr>
            </w:div>
            <w:div w:id="970749094">
              <w:marLeft w:val="0"/>
              <w:marRight w:val="0"/>
              <w:marTop w:val="0"/>
              <w:marBottom w:val="0"/>
              <w:divBdr>
                <w:top w:val="none" w:sz="0" w:space="0" w:color="auto"/>
                <w:left w:val="none" w:sz="0" w:space="0" w:color="auto"/>
                <w:bottom w:val="none" w:sz="0" w:space="0" w:color="auto"/>
                <w:right w:val="none" w:sz="0" w:space="0" w:color="auto"/>
              </w:divBdr>
            </w:div>
            <w:div w:id="606545518">
              <w:marLeft w:val="0"/>
              <w:marRight w:val="0"/>
              <w:marTop w:val="0"/>
              <w:marBottom w:val="0"/>
              <w:divBdr>
                <w:top w:val="none" w:sz="0" w:space="0" w:color="auto"/>
                <w:left w:val="none" w:sz="0" w:space="0" w:color="auto"/>
                <w:bottom w:val="none" w:sz="0" w:space="0" w:color="auto"/>
                <w:right w:val="none" w:sz="0" w:space="0" w:color="auto"/>
              </w:divBdr>
            </w:div>
            <w:div w:id="1332177128">
              <w:marLeft w:val="0"/>
              <w:marRight w:val="0"/>
              <w:marTop w:val="0"/>
              <w:marBottom w:val="0"/>
              <w:divBdr>
                <w:top w:val="none" w:sz="0" w:space="0" w:color="auto"/>
                <w:left w:val="none" w:sz="0" w:space="0" w:color="auto"/>
                <w:bottom w:val="none" w:sz="0" w:space="0" w:color="auto"/>
                <w:right w:val="none" w:sz="0" w:space="0" w:color="auto"/>
              </w:divBdr>
            </w:div>
            <w:div w:id="1135834557">
              <w:marLeft w:val="0"/>
              <w:marRight w:val="0"/>
              <w:marTop w:val="0"/>
              <w:marBottom w:val="0"/>
              <w:divBdr>
                <w:top w:val="none" w:sz="0" w:space="0" w:color="auto"/>
                <w:left w:val="none" w:sz="0" w:space="0" w:color="auto"/>
                <w:bottom w:val="none" w:sz="0" w:space="0" w:color="auto"/>
                <w:right w:val="none" w:sz="0" w:space="0" w:color="auto"/>
              </w:divBdr>
            </w:div>
            <w:div w:id="270236699">
              <w:marLeft w:val="0"/>
              <w:marRight w:val="0"/>
              <w:marTop w:val="0"/>
              <w:marBottom w:val="0"/>
              <w:divBdr>
                <w:top w:val="none" w:sz="0" w:space="0" w:color="auto"/>
                <w:left w:val="none" w:sz="0" w:space="0" w:color="auto"/>
                <w:bottom w:val="none" w:sz="0" w:space="0" w:color="auto"/>
                <w:right w:val="none" w:sz="0" w:space="0" w:color="auto"/>
              </w:divBdr>
            </w:div>
            <w:div w:id="993485785">
              <w:marLeft w:val="0"/>
              <w:marRight w:val="0"/>
              <w:marTop w:val="0"/>
              <w:marBottom w:val="0"/>
              <w:divBdr>
                <w:top w:val="none" w:sz="0" w:space="0" w:color="auto"/>
                <w:left w:val="none" w:sz="0" w:space="0" w:color="auto"/>
                <w:bottom w:val="none" w:sz="0" w:space="0" w:color="auto"/>
                <w:right w:val="none" w:sz="0" w:space="0" w:color="auto"/>
              </w:divBdr>
            </w:div>
            <w:div w:id="759061770">
              <w:marLeft w:val="0"/>
              <w:marRight w:val="0"/>
              <w:marTop w:val="0"/>
              <w:marBottom w:val="0"/>
              <w:divBdr>
                <w:top w:val="none" w:sz="0" w:space="0" w:color="auto"/>
                <w:left w:val="none" w:sz="0" w:space="0" w:color="auto"/>
                <w:bottom w:val="none" w:sz="0" w:space="0" w:color="auto"/>
                <w:right w:val="none" w:sz="0" w:space="0" w:color="auto"/>
              </w:divBdr>
            </w:div>
            <w:div w:id="1846096295">
              <w:marLeft w:val="0"/>
              <w:marRight w:val="0"/>
              <w:marTop w:val="0"/>
              <w:marBottom w:val="0"/>
              <w:divBdr>
                <w:top w:val="none" w:sz="0" w:space="0" w:color="auto"/>
                <w:left w:val="none" w:sz="0" w:space="0" w:color="auto"/>
                <w:bottom w:val="none" w:sz="0" w:space="0" w:color="auto"/>
                <w:right w:val="none" w:sz="0" w:space="0" w:color="auto"/>
              </w:divBdr>
            </w:div>
            <w:div w:id="1787381601">
              <w:marLeft w:val="0"/>
              <w:marRight w:val="0"/>
              <w:marTop w:val="0"/>
              <w:marBottom w:val="0"/>
              <w:divBdr>
                <w:top w:val="none" w:sz="0" w:space="0" w:color="auto"/>
                <w:left w:val="none" w:sz="0" w:space="0" w:color="auto"/>
                <w:bottom w:val="none" w:sz="0" w:space="0" w:color="auto"/>
                <w:right w:val="none" w:sz="0" w:space="0" w:color="auto"/>
              </w:divBdr>
            </w:div>
            <w:div w:id="1609042582">
              <w:marLeft w:val="0"/>
              <w:marRight w:val="0"/>
              <w:marTop w:val="0"/>
              <w:marBottom w:val="0"/>
              <w:divBdr>
                <w:top w:val="none" w:sz="0" w:space="0" w:color="auto"/>
                <w:left w:val="none" w:sz="0" w:space="0" w:color="auto"/>
                <w:bottom w:val="none" w:sz="0" w:space="0" w:color="auto"/>
                <w:right w:val="none" w:sz="0" w:space="0" w:color="auto"/>
              </w:divBdr>
            </w:div>
            <w:div w:id="623847348">
              <w:marLeft w:val="0"/>
              <w:marRight w:val="0"/>
              <w:marTop w:val="0"/>
              <w:marBottom w:val="0"/>
              <w:divBdr>
                <w:top w:val="none" w:sz="0" w:space="0" w:color="auto"/>
                <w:left w:val="none" w:sz="0" w:space="0" w:color="auto"/>
                <w:bottom w:val="none" w:sz="0" w:space="0" w:color="auto"/>
                <w:right w:val="none" w:sz="0" w:space="0" w:color="auto"/>
              </w:divBdr>
            </w:div>
            <w:div w:id="771583300">
              <w:marLeft w:val="0"/>
              <w:marRight w:val="0"/>
              <w:marTop w:val="0"/>
              <w:marBottom w:val="0"/>
              <w:divBdr>
                <w:top w:val="none" w:sz="0" w:space="0" w:color="auto"/>
                <w:left w:val="none" w:sz="0" w:space="0" w:color="auto"/>
                <w:bottom w:val="none" w:sz="0" w:space="0" w:color="auto"/>
                <w:right w:val="none" w:sz="0" w:space="0" w:color="auto"/>
              </w:divBdr>
            </w:div>
            <w:div w:id="1639723362">
              <w:marLeft w:val="0"/>
              <w:marRight w:val="0"/>
              <w:marTop w:val="0"/>
              <w:marBottom w:val="0"/>
              <w:divBdr>
                <w:top w:val="none" w:sz="0" w:space="0" w:color="auto"/>
                <w:left w:val="none" w:sz="0" w:space="0" w:color="auto"/>
                <w:bottom w:val="none" w:sz="0" w:space="0" w:color="auto"/>
                <w:right w:val="none" w:sz="0" w:space="0" w:color="auto"/>
              </w:divBdr>
            </w:div>
            <w:div w:id="256135566">
              <w:marLeft w:val="0"/>
              <w:marRight w:val="0"/>
              <w:marTop w:val="0"/>
              <w:marBottom w:val="0"/>
              <w:divBdr>
                <w:top w:val="none" w:sz="0" w:space="0" w:color="auto"/>
                <w:left w:val="none" w:sz="0" w:space="0" w:color="auto"/>
                <w:bottom w:val="none" w:sz="0" w:space="0" w:color="auto"/>
                <w:right w:val="none" w:sz="0" w:space="0" w:color="auto"/>
              </w:divBdr>
            </w:div>
            <w:div w:id="1724676285">
              <w:marLeft w:val="0"/>
              <w:marRight w:val="0"/>
              <w:marTop w:val="0"/>
              <w:marBottom w:val="0"/>
              <w:divBdr>
                <w:top w:val="none" w:sz="0" w:space="0" w:color="auto"/>
                <w:left w:val="none" w:sz="0" w:space="0" w:color="auto"/>
                <w:bottom w:val="none" w:sz="0" w:space="0" w:color="auto"/>
                <w:right w:val="none" w:sz="0" w:space="0" w:color="auto"/>
              </w:divBdr>
            </w:div>
            <w:div w:id="283195071">
              <w:marLeft w:val="0"/>
              <w:marRight w:val="0"/>
              <w:marTop w:val="0"/>
              <w:marBottom w:val="0"/>
              <w:divBdr>
                <w:top w:val="none" w:sz="0" w:space="0" w:color="auto"/>
                <w:left w:val="none" w:sz="0" w:space="0" w:color="auto"/>
                <w:bottom w:val="none" w:sz="0" w:space="0" w:color="auto"/>
                <w:right w:val="none" w:sz="0" w:space="0" w:color="auto"/>
              </w:divBdr>
            </w:div>
            <w:div w:id="1303466844">
              <w:marLeft w:val="0"/>
              <w:marRight w:val="0"/>
              <w:marTop w:val="0"/>
              <w:marBottom w:val="0"/>
              <w:divBdr>
                <w:top w:val="none" w:sz="0" w:space="0" w:color="auto"/>
                <w:left w:val="none" w:sz="0" w:space="0" w:color="auto"/>
                <w:bottom w:val="none" w:sz="0" w:space="0" w:color="auto"/>
                <w:right w:val="none" w:sz="0" w:space="0" w:color="auto"/>
              </w:divBdr>
            </w:div>
            <w:div w:id="440958558">
              <w:marLeft w:val="0"/>
              <w:marRight w:val="0"/>
              <w:marTop w:val="0"/>
              <w:marBottom w:val="0"/>
              <w:divBdr>
                <w:top w:val="none" w:sz="0" w:space="0" w:color="auto"/>
                <w:left w:val="none" w:sz="0" w:space="0" w:color="auto"/>
                <w:bottom w:val="none" w:sz="0" w:space="0" w:color="auto"/>
                <w:right w:val="none" w:sz="0" w:space="0" w:color="auto"/>
              </w:divBdr>
            </w:div>
            <w:div w:id="159780614">
              <w:marLeft w:val="0"/>
              <w:marRight w:val="0"/>
              <w:marTop w:val="0"/>
              <w:marBottom w:val="0"/>
              <w:divBdr>
                <w:top w:val="none" w:sz="0" w:space="0" w:color="auto"/>
                <w:left w:val="none" w:sz="0" w:space="0" w:color="auto"/>
                <w:bottom w:val="none" w:sz="0" w:space="0" w:color="auto"/>
                <w:right w:val="none" w:sz="0" w:space="0" w:color="auto"/>
              </w:divBdr>
            </w:div>
            <w:div w:id="1571234432">
              <w:marLeft w:val="0"/>
              <w:marRight w:val="0"/>
              <w:marTop w:val="0"/>
              <w:marBottom w:val="0"/>
              <w:divBdr>
                <w:top w:val="none" w:sz="0" w:space="0" w:color="auto"/>
                <w:left w:val="none" w:sz="0" w:space="0" w:color="auto"/>
                <w:bottom w:val="none" w:sz="0" w:space="0" w:color="auto"/>
                <w:right w:val="none" w:sz="0" w:space="0" w:color="auto"/>
              </w:divBdr>
            </w:div>
            <w:div w:id="262538053">
              <w:marLeft w:val="0"/>
              <w:marRight w:val="0"/>
              <w:marTop w:val="0"/>
              <w:marBottom w:val="0"/>
              <w:divBdr>
                <w:top w:val="none" w:sz="0" w:space="0" w:color="auto"/>
                <w:left w:val="none" w:sz="0" w:space="0" w:color="auto"/>
                <w:bottom w:val="none" w:sz="0" w:space="0" w:color="auto"/>
                <w:right w:val="none" w:sz="0" w:space="0" w:color="auto"/>
              </w:divBdr>
            </w:div>
            <w:div w:id="1974171149">
              <w:marLeft w:val="0"/>
              <w:marRight w:val="0"/>
              <w:marTop w:val="0"/>
              <w:marBottom w:val="0"/>
              <w:divBdr>
                <w:top w:val="none" w:sz="0" w:space="0" w:color="auto"/>
                <w:left w:val="none" w:sz="0" w:space="0" w:color="auto"/>
                <w:bottom w:val="none" w:sz="0" w:space="0" w:color="auto"/>
                <w:right w:val="none" w:sz="0" w:space="0" w:color="auto"/>
              </w:divBdr>
            </w:div>
            <w:div w:id="2042632442">
              <w:marLeft w:val="0"/>
              <w:marRight w:val="0"/>
              <w:marTop w:val="0"/>
              <w:marBottom w:val="0"/>
              <w:divBdr>
                <w:top w:val="none" w:sz="0" w:space="0" w:color="auto"/>
                <w:left w:val="none" w:sz="0" w:space="0" w:color="auto"/>
                <w:bottom w:val="none" w:sz="0" w:space="0" w:color="auto"/>
                <w:right w:val="none" w:sz="0" w:space="0" w:color="auto"/>
              </w:divBdr>
            </w:div>
            <w:div w:id="1226185304">
              <w:marLeft w:val="0"/>
              <w:marRight w:val="0"/>
              <w:marTop w:val="0"/>
              <w:marBottom w:val="0"/>
              <w:divBdr>
                <w:top w:val="none" w:sz="0" w:space="0" w:color="auto"/>
                <w:left w:val="none" w:sz="0" w:space="0" w:color="auto"/>
                <w:bottom w:val="none" w:sz="0" w:space="0" w:color="auto"/>
                <w:right w:val="none" w:sz="0" w:space="0" w:color="auto"/>
              </w:divBdr>
            </w:div>
            <w:div w:id="672879499">
              <w:marLeft w:val="0"/>
              <w:marRight w:val="0"/>
              <w:marTop w:val="0"/>
              <w:marBottom w:val="0"/>
              <w:divBdr>
                <w:top w:val="none" w:sz="0" w:space="0" w:color="auto"/>
                <w:left w:val="none" w:sz="0" w:space="0" w:color="auto"/>
                <w:bottom w:val="none" w:sz="0" w:space="0" w:color="auto"/>
                <w:right w:val="none" w:sz="0" w:space="0" w:color="auto"/>
              </w:divBdr>
            </w:div>
            <w:div w:id="179664793">
              <w:marLeft w:val="0"/>
              <w:marRight w:val="0"/>
              <w:marTop w:val="0"/>
              <w:marBottom w:val="0"/>
              <w:divBdr>
                <w:top w:val="none" w:sz="0" w:space="0" w:color="auto"/>
                <w:left w:val="none" w:sz="0" w:space="0" w:color="auto"/>
                <w:bottom w:val="none" w:sz="0" w:space="0" w:color="auto"/>
                <w:right w:val="none" w:sz="0" w:space="0" w:color="auto"/>
              </w:divBdr>
            </w:div>
            <w:div w:id="1391540765">
              <w:marLeft w:val="0"/>
              <w:marRight w:val="0"/>
              <w:marTop w:val="0"/>
              <w:marBottom w:val="0"/>
              <w:divBdr>
                <w:top w:val="none" w:sz="0" w:space="0" w:color="auto"/>
                <w:left w:val="none" w:sz="0" w:space="0" w:color="auto"/>
                <w:bottom w:val="none" w:sz="0" w:space="0" w:color="auto"/>
                <w:right w:val="none" w:sz="0" w:space="0" w:color="auto"/>
              </w:divBdr>
            </w:div>
            <w:div w:id="215942448">
              <w:marLeft w:val="0"/>
              <w:marRight w:val="0"/>
              <w:marTop w:val="0"/>
              <w:marBottom w:val="0"/>
              <w:divBdr>
                <w:top w:val="none" w:sz="0" w:space="0" w:color="auto"/>
                <w:left w:val="none" w:sz="0" w:space="0" w:color="auto"/>
                <w:bottom w:val="none" w:sz="0" w:space="0" w:color="auto"/>
                <w:right w:val="none" w:sz="0" w:space="0" w:color="auto"/>
              </w:divBdr>
            </w:div>
            <w:div w:id="125516107">
              <w:marLeft w:val="0"/>
              <w:marRight w:val="0"/>
              <w:marTop w:val="0"/>
              <w:marBottom w:val="0"/>
              <w:divBdr>
                <w:top w:val="none" w:sz="0" w:space="0" w:color="auto"/>
                <w:left w:val="none" w:sz="0" w:space="0" w:color="auto"/>
                <w:bottom w:val="none" w:sz="0" w:space="0" w:color="auto"/>
                <w:right w:val="none" w:sz="0" w:space="0" w:color="auto"/>
              </w:divBdr>
            </w:div>
            <w:div w:id="448742924">
              <w:marLeft w:val="0"/>
              <w:marRight w:val="0"/>
              <w:marTop w:val="0"/>
              <w:marBottom w:val="0"/>
              <w:divBdr>
                <w:top w:val="none" w:sz="0" w:space="0" w:color="auto"/>
                <w:left w:val="none" w:sz="0" w:space="0" w:color="auto"/>
                <w:bottom w:val="none" w:sz="0" w:space="0" w:color="auto"/>
                <w:right w:val="none" w:sz="0" w:space="0" w:color="auto"/>
              </w:divBdr>
            </w:div>
            <w:div w:id="1261572026">
              <w:marLeft w:val="0"/>
              <w:marRight w:val="0"/>
              <w:marTop w:val="0"/>
              <w:marBottom w:val="0"/>
              <w:divBdr>
                <w:top w:val="none" w:sz="0" w:space="0" w:color="auto"/>
                <w:left w:val="none" w:sz="0" w:space="0" w:color="auto"/>
                <w:bottom w:val="none" w:sz="0" w:space="0" w:color="auto"/>
                <w:right w:val="none" w:sz="0" w:space="0" w:color="auto"/>
              </w:divBdr>
            </w:div>
            <w:div w:id="1335887176">
              <w:marLeft w:val="0"/>
              <w:marRight w:val="0"/>
              <w:marTop w:val="0"/>
              <w:marBottom w:val="0"/>
              <w:divBdr>
                <w:top w:val="none" w:sz="0" w:space="0" w:color="auto"/>
                <w:left w:val="none" w:sz="0" w:space="0" w:color="auto"/>
                <w:bottom w:val="none" w:sz="0" w:space="0" w:color="auto"/>
                <w:right w:val="none" w:sz="0" w:space="0" w:color="auto"/>
              </w:divBdr>
            </w:div>
            <w:div w:id="366760847">
              <w:marLeft w:val="0"/>
              <w:marRight w:val="0"/>
              <w:marTop w:val="0"/>
              <w:marBottom w:val="0"/>
              <w:divBdr>
                <w:top w:val="none" w:sz="0" w:space="0" w:color="auto"/>
                <w:left w:val="none" w:sz="0" w:space="0" w:color="auto"/>
                <w:bottom w:val="none" w:sz="0" w:space="0" w:color="auto"/>
                <w:right w:val="none" w:sz="0" w:space="0" w:color="auto"/>
              </w:divBdr>
            </w:div>
            <w:div w:id="988052804">
              <w:marLeft w:val="0"/>
              <w:marRight w:val="0"/>
              <w:marTop w:val="0"/>
              <w:marBottom w:val="0"/>
              <w:divBdr>
                <w:top w:val="none" w:sz="0" w:space="0" w:color="auto"/>
                <w:left w:val="none" w:sz="0" w:space="0" w:color="auto"/>
                <w:bottom w:val="none" w:sz="0" w:space="0" w:color="auto"/>
                <w:right w:val="none" w:sz="0" w:space="0" w:color="auto"/>
              </w:divBdr>
            </w:div>
            <w:div w:id="1355377330">
              <w:marLeft w:val="0"/>
              <w:marRight w:val="0"/>
              <w:marTop w:val="0"/>
              <w:marBottom w:val="0"/>
              <w:divBdr>
                <w:top w:val="none" w:sz="0" w:space="0" w:color="auto"/>
                <w:left w:val="none" w:sz="0" w:space="0" w:color="auto"/>
                <w:bottom w:val="none" w:sz="0" w:space="0" w:color="auto"/>
                <w:right w:val="none" w:sz="0" w:space="0" w:color="auto"/>
              </w:divBdr>
            </w:div>
            <w:div w:id="1254827087">
              <w:marLeft w:val="0"/>
              <w:marRight w:val="0"/>
              <w:marTop w:val="0"/>
              <w:marBottom w:val="0"/>
              <w:divBdr>
                <w:top w:val="none" w:sz="0" w:space="0" w:color="auto"/>
                <w:left w:val="none" w:sz="0" w:space="0" w:color="auto"/>
                <w:bottom w:val="none" w:sz="0" w:space="0" w:color="auto"/>
                <w:right w:val="none" w:sz="0" w:space="0" w:color="auto"/>
              </w:divBdr>
            </w:div>
            <w:div w:id="2041591705">
              <w:marLeft w:val="0"/>
              <w:marRight w:val="0"/>
              <w:marTop w:val="0"/>
              <w:marBottom w:val="0"/>
              <w:divBdr>
                <w:top w:val="none" w:sz="0" w:space="0" w:color="auto"/>
                <w:left w:val="none" w:sz="0" w:space="0" w:color="auto"/>
                <w:bottom w:val="none" w:sz="0" w:space="0" w:color="auto"/>
                <w:right w:val="none" w:sz="0" w:space="0" w:color="auto"/>
              </w:divBdr>
            </w:div>
            <w:div w:id="150830414">
              <w:marLeft w:val="0"/>
              <w:marRight w:val="0"/>
              <w:marTop w:val="0"/>
              <w:marBottom w:val="0"/>
              <w:divBdr>
                <w:top w:val="none" w:sz="0" w:space="0" w:color="auto"/>
                <w:left w:val="none" w:sz="0" w:space="0" w:color="auto"/>
                <w:bottom w:val="none" w:sz="0" w:space="0" w:color="auto"/>
                <w:right w:val="none" w:sz="0" w:space="0" w:color="auto"/>
              </w:divBdr>
            </w:div>
            <w:div w:id="903298729">
              <w:marLeft w:val="0"/>
              <w:marRight w:val="0"/>
              <w:marTop w:val="0"/>
              <w:marBottom w:val="0"/>
              <w:divBdr>
                <w:top w:val="none" w:sz="0" w:space="0" w:color="auto"/>
                <w:left w:val="none" w:sz="0" w:space="0" w:color="auto"/>
                <w:bottom w:val="none" w:sz="0" w:space="0" w:color="auto"/>
                <w:right w:val="none" w:sz="0" w:space="0" w:color="auto"/>
              </w:divBdr>
            </w:div>
            <w:div w:id="1876767547">
              <w:marLeft w:val="0"/>
              <w:marRight w:val="0"/>
              <w:marTop w:val="0"/>
              <w:marBottom w:val="0"/>
              <w:divBdr>
                <w:top w:val="none" w:sz="0" w:space="0" w:color="auto"/>
                <w:left w:val="none" w:sz="0" w:space="0" w:color="auto"/>
                <w:bottom w:val="none" w:sz="0" w:space="0" w:color="auto"/>
                <w:right w:val="none" w:sz="0" w:space="0" w:color="auto"/>
              </w:divBdr>
            </w:div>
            <w:div w:id="1929001971">
              <w:marLeft w:val="0"/>
              <w:marRight w:val="0"/>
              <w:marTop w:val="0"/>
              <w:marBottom w:val="0"/>
              <w:divBdr>
                <w:top w:val="none" w:sz="0" w:space="0" w:color="auto"/>
                <w:left w:val="none" w:sz="0" w:space="0" w:color="auto"/>
                <w:bottom w:val="none" w:sz="0" w:space="0" w:color="auto"/>
                <w:right w:val="none" w:sz="0" w:space="0" w:color="auto"/>
              </w:divBdr>
            </w:div>
            <w:div w:id="2104838643">
              <w:marLeft w:val="0"/>
              <w:marRight w:val="0"/>
              <w:marTop w:val="0"/>
              <w:marBottom w:val="0"/>
              <w:divBdr>
                <w:top w:val="none" w:sz="0" w:space="0" w:color="auto"/>
                <w:left w:val="none" w:sz="0" w:space="0" w:color="auto"/>
                <w:bottom w:val="none" w:sz="0" w:space="0" w:color="auto"/>
                <w:right w:val="none" w:sz="0" w:space="0" w:color="auto"/>
              </w:divBdr>
            </w:div>
            <w:div w:id="2127388194">
              <w:marLeft w:val="0"/>
              <w:marRight w:val="0"/>
              <w:marTop w:val="0"/>
              <w:marBottom w:val="0"/>
              <w:divBdr>
                <w:top w:val="none" w:sz="0" w:space="0" w:color="auto"/>
                <w:left w:val="none" w:sz="0" w:space="0" w:color="auto"/>
                <w:bottom w:val="none" w:sz="0" w:space="0" w:color="auto"/>
                <w:right w:val="none" w:sz="0" w:space="0" w:color="auto"/>
              </w:divBdr>
            </w:div>
            <w:div w:id="1460145642">
              <w:marLeft w:val="0"/>
              <w:marRight w:val="0"/>
              <w:marTop w:val="0"/>
              <w:marBottom w:val="0"/>
              <w:divBdr>
                <w:top w:val="none" w:sz="0" w:space="0" w:color="auto"/>
                <w:left w:val="none" w:sz="0" w:space="0" w:color="auto"/>
                <w:bottom w:val="none" w:sz="0" w:space="0" w:color="auto"/>
                <w:right w:val="none" w:sz="0" w:space="0" w:color="auto"/>
              </w:divBdr>
            </w:div>
            <w:div w:id="1135172714">
              <w:marLeft w:val="0"/>
              <w:marRight w:val="0"/>
              <w:marTop w:val="0"/>
              <w:marBottom w:val="0"/>
              <w:divBdr>
                <w:top w:val="none" w:sz="0" w:space="0" w:color="auto"/>
                <w:left w:val="none" w:sz="0" w:space="0" w:color="auto"/>
                <w:bottom w:val="none" w:sz="0" w:space="0" w:color="auto"/>
                <w:right w:val="none" w:sz="0" w:space="0" w:color="auto"/>
              </w:divBdr>
            </w:div>
            <w:div w:id="1828475754">
              <w:marLeft w:val="0"/>
              <w:marRight w:val="0"/>
              <w:marTop w:val="0"/>
              <w:marBottom w:val="0"/>
              <w:divBdr>
                <w:top w:val="none" w:sz="0" w:space="0" w:color="auto"/>
                <w:left w:val="none" w:sz="0" w:space="0" w:color="auto"/>
                <w:bottom w:val="none" w:sz="0" w:space="0" w:color="auto"/>
                <w:right w:val="none" w:sz="0" w:space="0" w:color="auto"/>
              </w:divBdr>
            </w:div>
            <w:div w:id="844173187">
              <w:marLeft w:val="0"/>
              <w:marRight w:val="0"/>
              <w:marTop w:val="0"/>
              <w:marBottom w:val="0"/>
              <w:divBdr>
                <w:top w:val="none" w:sz="0" w:space="0" w:color="auto"/>
                <w:left w:val="none" w:sz="0" w:space="0" w:color="auto"/>
                <w:bottom w:val="none" w:sz="0" w:space="0" w:color="auto"/>
                <w:right w:val="none" w:sz="0" w:space="0" w:color="auto"/>
              </w:divBdr>
            </w:div>
            <w:div w:id="413865396">
              <w:marLeft w:val="0"/>
              <w:marRight w:val="0"/>
              <w:marTop w:val="0"/>
              <w:marBottom w:val="0"/>
              <w:divBdr>
                <w:top w:val="none" w:sz="0" w:space="0" w:color="auto"/>
                <w:left w:val="none" w:sz="0" w:space="0" w:color="auto"/>
                <w:bottom w:val="none" w:sz="0" w:space="0" w:color="auto"/>
                <w:right w:val="none" w:sz="0" w:space="0" w:color="auto"/>
              </w:divBdr>
            </w:div>
            <w:div w:id="824320583">
              <w:marLeft w:val="0"/>
              <w:marRight w:val="0"/>
              <w:marTop w:val="0"/>
              <w:marBottom w:val="0"/>
              <w:divBdr>
                <w:top w:val="none" w:sz="0" w:space="0" w:color="auto"/>
                <w:left w:val="none" w:sz="0" w:space="0" w:color="auto"/>
                <w:bottom w:val="none" w:sz="0" w:space="0" w:color="auto"/>
                <w:right w:val="none" w:sz="0" w:space="0" w:color="auto"/>
              </w:divBdr>
            </w:div>
            <w:div w:id="327754387">
              <w:marLeft w:val="0"/>
              <w:marRight w:val="0"/>
              <w:marTop w:val="0"/>
              <w:marBottom w:val="0"/>
              <w:divBdr>
                <w:top w:val="none" w:sz="0" w:space="0" w:color="auto"/>
                <w:left w:val="none" w:sz="0" w:space="0" w:color="auto"/>
                <w:bottom w:val="none" w:sz="0" w:space="0" w:color="auto"/>
                <w:right w:val="none" w:sz="0" w:space="0" w:color="auto"/>
              </w:divBdr>
            </w:div>
            <w:div w:id="2008632170">
              <w:marLeft w:val="0"/>
              <w:marRight w:val="0"/>
              <w:marTop w:val="0"/>
              <w:marBottom w:val="0"/>
              <w:divBdr>
                <w:top w:val="none" w:sz="0" w:space="0" w:color="auto"/>
                <w:left w:val="none" w:sz="0" w:space="0" w:color="auto"/>
                <w:bottom w:val="none" w:sz="0" w:space="0" w:color="auto"/>
                <w:right w:val="none" w:sz="0" w:space="0" w:color="auto"/>
              </w:divBdr>
            </w:div>
            <w:div w:id="1393506083">
              <w:marLeft w:val="0"/>
              <w:marRight w:val="0"/>
              <w:marTop w:val="0"/>
              <w:marBottom w:val="0"/>
              <w:divBdr>
                <w:top w:val="none" w:sz="0" w:space="0" w:color="auto"/>
                <w:left w:val="none" w:sz="0" w:space="0" w:color="auto"/>
                <w:bottom w:val="none" w:sz="0" w:space="0" w:color="auto"/>
                <w:right w:val="none" w:sz="0" w:space="0" w:color="auto"/>
              </w:divBdr>
            </w:div>
            <w:div w:id="1078936976">
              <w:marLeft w:val="0"/>
              <w:marRight w:val="0"/>
              <w:marTop w:val="0"/>
              <w:marBottom w:val="0"/>
              <w:divBdr>
                <w:top w:val="none" w:sz="0" w:space="0" w:color="auto"/>
                <w:left w:val="none" w:sz="0" w:space="0" w:color="auto"/>
                <w:bottom w:val="none" w:sz="0" w:space="0" w:color="auto"/>
                <w:right w:val="none" w:sz="0" w:space="0" w:color="auto"/>
              </w:divBdr>
            </w:div>
            <w:div w:id="1407336754">
              <w:marLeft w:val="0"/>
              <w:marRight w:val="0"/>
              <w:marTop w:val="0"/>
              <w:marBottom w:val="0"/>
              <w:divBdr>
                <w:top w:val="none" w:sz="0" w:space="0" w:color="auto"/>
                <w:left w:val="none" w:sz="0" w:space="0" w:color="auto"/>
                <w:bottom w:val="none" w:sz="0" w:space="0" w:color="auto"/>
                <w:right w:val="none" w:sz="0" w:space="0" w:color="auto"/>
              </w:divBdr>
            </w:div>
            <w:div w:id="798646849">
              <w:marLeft w:val="0"/>
              <w:marRight w:val="0"/>
              <w:marTop w:val="0"/>
              <w:marBottom w:val="0"/>
              <w:divBdr>
                <w:top w:val="none" w:sz="0" w:space="0" w:color="auto"/>
                <w:left w:val="none" w:sz="0" w:space="0" w:color="auto"/>
                <w:bottom w:val="none" w:sz="0" w:space="0" w:color="auto"/>
                <w:right w:val="none" w:sz="0" w:space="0" w:color="auto"/>
              </w:divBdr>
            </w:div>
            <w:div w:id="111942592">
              <w:marLeft w:val="0"/>
              <w:marRight w:val="0"/>
              <w:marTop w:val="0"/>
              <w:marBottom w:val="0"/>
              <w:divBdr>
                <w:top w:val="none" w:sz="0" w:space="0" w:color="auto"/>
                <w:left w:val="none" w:sz="0" w:space="0" w:color="auto"/>
                <w:bottom w:val="none" w:sz="0" w:space="0" w:color="auto"/>
                <w:right w:val="none" w:sz="0" w:space="0" w:color="auto"/>
              </w:divBdr>
            </w:div>
            <w:div w:id="490026837">
              <w:marLeft w:val="0"/>
              <w:marRight w:val="0"/>
              <w:marTop w:val="0"/>
              <w:marBottom w:val="0"/>
              <w:divBdr>
                <w:top w:val="none" w:sz="0" w:space="0" w:color="auto"/>
                <w:left w:val="none" w:sz="0" w:space="0" w:color="auto"/>
                <w:bottom w:val="none" w:sz="0" w:space="0" w:color="auto"/>
                <w:right w:val="none" w:sz="0" w:space="0" w:color="auto"/>
              </w:divBdr>
            </w:div>
            <w:div w:id="1114397373">
              <w:marLeft w:val="0"/>
              <w:marRight w:val="0"/>
              <w:marTop w:val="0"/>
              <w:marBottom w:val="0"/>
              <w:divBdr>
                <w:top w:val="none" w:sz="0" w:space="0" w:color="auto"/>
                <w:left w:val="none" w:sz="0" w:space="0" w:color="auto"/>
                <w:bottom w:val="none" w:sz="0" w:space="0" w:color="auto"/>
                <w:right w:val="none" w:sz="0" w:space="0" w:color="auto"/>
              </w:divBdr>
            </w:div>
            <w:div w:id="634289117">
              <w:marLeft w:val="0"/>
              <w:marRight w:val="0"/>
              <w:marTop w:val="0"/>
              <w:marBottom w:val="0"/>
              <w:divBdr>
                <w:top w:val="none" w:sz="0" w:space="0" w:color="auto"/>
                <w:left w:val="none" w:sz="0" w:space="0" w:color="auto"/>
                <w:bottom w:val="none" w:sz="0" w:space="0" w:color="auto"/>
                <w:right w:val="none" w:sz="0" w:space="0" w:color="auto"/>
              </w:divBdr>
            </w:div>
            <w:div w:id="2102022007">
              <w:marLeft w:val="0"/>
              <w:marRight w:val="0"/>
              <w:marTop w:val="0"/>
              <w:marBottom w:val="0"/>
              <w:divBdr>
                <w:top w:val="none" w:sz="0" w:space="0" w:color="auto"/>
                <w:left w:val="none" w:sz="0" w:space="0" w:color="auto"/>
                <w:bottom w:val="none" w:sz="0" w:space="0" w:color="auto"/>
                <w:right w:val="none" w:sz="0" w:space="0" w:color="auto"/>
              </w:divBdr>
            </w:div>
            <w:div w:id="598876570">
              <w:marLeft w:val="0"/>
              <w:marRight w:val="0"/>
              <w:marTop w:val="0"/>
              <w:marBottom w:val="0"/>
              <w:divBdr>
                <w:top w:val="none" w:sz="0" w:space="0" w:color="auto"/>
                <w:left w:val="none" w:sz="0" w:space="0" w:color="auto"/>
                <w:bottom w:val="none" w:sz="0" w:space="0" w:color="auto"/>
                <w:right w:val="none" w:sz="0" w:space="0" w:color="auto"/>
              </w:divBdr>
            </w:div>
            <w:div w:id="794568284">
              <w:marLeft w:val="0"/>
              <w:marRight w:val="0"/>
              <w:marTop w:val="0"/>
              <w:marBottom w:val="0"/>
              <w:divBdr>
                <w:top w:val="none" w:sz="0" w:space="0" w:color="auto"/>
                <w:left w:val="none" w:sz="0" w:space="0" w:color="auto"/>
                <w:bottom w:val="none" w:sz="0" w:space="0" w:color="auto"/>
                <w:right w:val="none" w:sz="0" w:space="0" w:color="auto"/>
              </w:divBdr>
            </w:div>
            <w:div w:id="957100617">
              <w:marLeft w:val="0"/>
              <w:marRight w:val="0"/>
              <w:marTop w:val="0"/>
              <w:marBottom w:val="0"/>
              <w:divBdr>
                <w:top w:val="none" w:sz="0" w:space="0" w:color="auto"/>
                <w:left w:val="none" w:sz="0" w:space="0" w:color="auto"/>
                <w:bottom w:val="none" w:sz="0" w:space="0" w:color="auto"/>
                <w:right w:val="none" w:sz="0" w:space="0" w:color="auto"/>
              </w:divBdr>
            </w:div>
            <w:div w:id="1078014689">
              <w:marLeft w:val="0"/>
              <w:marRight w:val="0"/>
              <w:marTop w:val="0"/>
              <w:marBottom w:val="0"/>
              <w:divBdr>
                <w:top w:val="none" w:sz="0" w:space="0" w:color="auto"/>
                <w:left w:val="none" w:sz="0" w:space="0" w:color="auto"/>
                <w:bottom w:val="none" w:sz="0" w:space="0" w:color="auto"/>
                <w:right w:val="none" w:sz="0" w:space="0" w:color="auto"/>
              </w:divBdr>
            </w:div>
            <w:div w:id="1663285">
              <w:marLeft w:val="0"/>
              <w:marRight w:val="0"/>
              <w:marTop w:val="0"/>
              <w:marBottom w:val="0"/>
              <w:divBdr>
                <w:top w:val="none" w:sz="0" w:space="0" w:color="auto"/>
                <w:left w:val="none" w:sz="0" w:space="0" w:color="auto"/>
                <w:bottom w:val="none" w:sz="0" w:space="0" w:color="auto"/>
                <w:right w:val="none" w:sz="0" w:space="0" w:color="auto"/>
              </w:divBdr>
            </w:div>
            <w:div w:id="1472165000">
              <w:marLeft w:val="0"/>
              <w:marRight w:val="0"/>
              <w:marTop w:val="0"/>
              <w:marBottom w:val="0"/>
              <w:divBdr>
                <w:top w:val="none" w:sz="0" w:space="0" w:color="auto"/>
                <w:left w:val="none" w:sz="0" w:space="0" w:color="auto"/>
                <w:bottom w:val="none" w:sz="0" w:space="0" w:color="auto"/>
                <w:right w:val="none" w:sz="0" w:space="0" w:color="auto"/>
              </w:divBdr>
            </w:div>
            <w:div w:id="552615296">
              <w:marLeft w:val="0"/>
              <w:marRight w:val="0"/>
              <w:marTop w:val="0"/>
              <w:marBottom w:val="0"/>
              <w:divBdr>
                <w:top w:val="none" w:sz="0" w:space="0" w:color="auto"/>
                <w:left w:val="none" w:sz="0" w:space="0" w:color="auto"/>
                <w:bottom w:val="none" w:sz="0" w:space="0" w:color="auto"/>
                <w:right w:val="none" w:sz="0" w:space="0" w:color="auto"/>
              </w:divBdr>
            </w:div>
            <w:div w:id="1638030205">
              <w:marLeft w:val="0"/>
              <w:marRight w:val="0"/>
              <w:marTop w:val="0"/>
              <w:marBottom w:val="0"/>
              <w:divBdr>
                <w:top w:val="none" w:sz="0" w:space="0" w:color="auto"/>
                <w:left w:val="none" w:sz="0" w:space="0" w:color="auto"/>
                <w:bottom w:val="none" w:sz="0" w:space="0" w:color="auto"/>
                <w:right w:val="none" w:sz="0" w:space="0" w:color="auto"/>
              </w:divBdr>
            </w:div>
            <w:div w:id="1732923509">
              <w:marLeft w:val="0"/>
              <w:marRight w:val="0"/>
              <w:marTop w:val="0"/>
              <w:marBottom w:val="0"/>
              <w:divBdr>
                <w:top w:val="none" w:sz="0" w:space="0" w:color="auto"/>
                <w:left w:val="none" w:sz="0" w:space="0" w:color="auto"/>
                <w:bottom w:val="none" w:sz="0" w:space="0" w:color="auto"/>
                <w:right w:val="none" w:sz="0" w:space="0" w:color="auto"/>
              </w:divBdr>
            </w:div>
            <w:div w:id="963970897">
              <w:marLeft w:val="0"/>
              <w:marRight w:val="0"/>
              <w:marTop w:val="0"/>
              <w:marBottom w:val="0"/>
              <w:divBdr>
                <w:top w:val="none" w:sz="0" w:space="0" w:color="auto"/>
                <w:left w:val="none" w:sz="0" w:space="0" w:color="auto"/>
                <w:bottom w:val="none" w:sz="0" w:space="0" w:color="auto"/>
                <w:right w:val="none" w:sz="0" w:space="0" w:color="auto"/>
              </w:divBdr>
            </w:div>
            <w:div w:id="1171606689">
              <w:marLeft w:val="0"/>
              <w:marRight w:val="0"/>
              <w:marTop w:val="0"/>
              <w:marBottom w:val="0"/>
              <w:divBdr>
                <w:top w:val="none" w:sz="0" w:space="0" w:color="auto"/>
                <w:left w:val="none" w:sz="0" w:space="0" w:color="auto"/>
                <w:bottom w:val="none" w:sz="0" w:space="0" w:color="auto"/>
                <w:right w:val="none" w:sz="0" w:space="0" w:color="auto"/>
              </w:divBdr>
            </w:div>
            <w:div w:id="1274286878">
              <w:marLeft w:val="0"/>
              <w:marRight w:val="0"/>
              <w:marTop w:val="0"/>
              <w:marBottom w:val="0"/>
              <w:divBdr>
                <w:top w:val="none" w:sz="0" w:space="0" w:color="auto"/>
                <w:left w:val="none" w:sz="0" w:space="0" w:color="auto"/>
                <w:bottom w:val="none" w:sz="0" w:space="0" w:color="auto"/>
                <w:right w:val="none" w:sz="0" w:space="0" w:color="auto"/>
              </w:divBdr>
            </w:div>
            <w:div w:id="2144807283">
              <w:marLeft w:val="0"/>
              <w:marRight w:val="0"/>
              <w:marTop w:val="0"/>
              <w:marBottom w:val="0"/>
              <w:divBdr>
                <w:top w:val="none" w:sz="0" w:space="0" w:color="auto"/>
                <w:left w:val="none" w:sz="0" w:space="0" w:color="auto"/>
                <w:bottom w:val="none" w:sz="0" w:space="0" w:color="auto"/>
                <w:right w:val="none" w:sz="0" w:space="0" w:color="auto"/>
              </w:divBdr>
            </w:div>
            <w:div w:id="1076321878">
              <w:marLeft w:val="0"/>
              <w:marRight w:val="0"/>
              <w:marTop w:val="0"/>
              <w:marBottom w:val="0"/>
              <w:divBdr>
                <w:top w:val="none" w:sz="0" w:space="0" w:color="auto"/>
                <w:left w:val="none" w:sz="0" w:space="0" w:color="auto"/>
                <w:bottom w:val="none" w:sz="0" w:space="0" w:color="auto"/>
                <w:right w:val="none" w:sz="0" w:space="0" w:color="auto"/>
              </w:divBdr>
            </w:div>
            <w:div w:id="767308942">
              <w:marLeft w:val="0"/>
              <w:marRight w:val="0"/>
              <w:marTop w:val="0"/>
              <w:marBottom w:val="0"/>
              <w:divBdr>
                <w:top w:val="none" w:sz="0" w:space="0" w:color="auto"/>
                <w:left w:val="none" w:sz="0" w:space="0" w:color="auto"/>
                <w:bottom w:val="none" w:sz="0" w:space="0" w:color="auto"/>
                <w:right w:val="none" w:sz="0" w:space="0" w:color="auto"/>
              </w:divBdr>
            </w:div>
            <w:div w:id="1167743809">
              <w:marLeft w:val="0"/>
              <w:marRight w:val="0"/>
              <w:marTop w:val="0"/>
              <w:marBottom w:val="0"/>
              <w:divBdr>
                <w:top w:val="none" w:sz="0" w:space="0" w:color="auto"/>
                <w:left w:val="none" w:sz="0" w:space="0" w:color="auto"/>
                <w:bottom w:val="none" w:sz="0" w:space="0" w:color="auto"/>
                <w:right w:val="none" w:sz="0" w:space="0" w:color="auto"/>
              </w:divBdr>
            </w:div>
            <w:div w:id="2077194474">
              <w:marLeft w:val="0"/>
              <w:marRight w:val="0"/>
              <w:marTop w:val="0"/>
              <w:marBottom w:val="0"/>
              <w:divBdr>
                <w:top w:val="none" w:sz="0" w:space="0" w:color="auto"/>
                <w:left w:val="none" w:sz="0" w:space="0" w:color="auto"/>
                <w:bottom w:val="none" w:sz="0" w:space="0" w:color="auto"/>
                <w:right w:val="none" w:sz="0" w:space="0" w:color="auto"/>
              </w:divBdr>
            </w:div>
            <w:div w:id="1322344760">
              <w:marLeft w:val="0"/>
              <w:marRight w:val="0"/>
              <w:marTop w:val="0"/>
              <w:marBottom w:val="0"/>
              <w:divBdr>
                <w:top w:val="none" w:sz="0" w:space="0" w:color="auto"/>
                <w:left w:val="none" w:sz="0" w:space="0" w:color="auto"/>
                <w:bottom w:val="none" w:sz="0" w:space="0" w:color="auto"/>
                <w:right w:val="none" w:sz="0" w:space="0" w:color="auto"/>
              </w:divBdr>
            </w:div>
            <w:div w:id="924069895">
              <w:marLeft w:val="0"/>
              <w:marRight w:val="0"/>
              <w:marTop w:val="0"/>
              <w:marBottom w:val="0"/>
              <w:divBdr>
                <w:top w:val="none" w:sz="0" w:space="0" w:color="auto"/>
                <w:left w:val="none" w:sz="0" w:space="0" w:color="auto"/>
                <w:bottom w:val="none" w:sz="0" w:space="0" w:color="auto"/>
                <w:right w:val="none" w:sz="0" w:space="0" w:color="auto"/>
              </w:divBdr>
            </w:div>
            <w:div w:id="148593441">
              <w:marLeft w:val="0"/>
              <w:marRight w:val="0"/>
              <w:marTop w:val="0"/>
              <w:marBottom w:val="0"/>
              <w:divBdr>
                <w:top w:val="none" w:sz="0" w:space="0" w:color="auto"/>
                <w:left w:val="none" w:sz="0" w:space="0" w:color="auto"/>
                <w:bottom w:val="none" w:sz="0" w:space="0" w:color="auto"/>
                <w:right w:val="none" w:sz="0" w:space="0" w:color="auto"/>
              </w:divBdr>
            </w:div>
            <w:div w:id="711618727">
              <w:marLeft w:val="0"/>
              <w:marRight w:val="0"/>
              <w:marTop w:val="0"/>
              <w:marBottom w:val="0"/>
              <w:divBdr>
                <w:top w:val="none" w:sz="0" w:space="0" w:color="auto"/>
                <w:left w:val="none" w:sz="0" w:space="0" w:color="auto"/>
                <w:bottom w:val="none" w:sz="0" w:space="0" w:color="auto"/>
                <w:right w:val="none" w:sz="0" w:space="0" w:color="auto"/>
              </w:divBdr>
            </w:div>
            <w:div w:id="1606693834">
              <w:marLeft w:val="0"/>
              <w:marRight w:val="0"/>
              <w:marTop w:val="0"/>
              <w:marBottom w:val="0"/>
              <w:divBdr>
                <w:top w:val="none" w:sz="0" w:space="0" w:color="auto"/>
                <w:left w:val="none" w:sz="0" w:space="0" w:color="auto"/>
                <w:bottom w:val="none" w:sz="0" w:space="0" w:color="auto"/>
                <w:right w:val="none" w:sz="0" w:space="0" w:color="auto"/>
              </w:divBdr>
            </w:div>
            <w:div w:id="1642005991">
              <w:marLeft w:val="0"/>
              <w:marRight w:val="0"/>
              <w:marTop w:val="0"/>
              <w:marBottom w:val="0"/>
              <w:divBdr>
                <w:top w:val="none" w:sz="0" w:space="0" w:color="auto"/>
                <w:left w:val="none" w:sz="0" w:space="0" w:color="auto"/>
                <w:bottom w:val="none" w:sz="0" w:space="0" w:color="auto"/>
                <w:right w:val="none" w:sz="0" w:space="0" w:color="auto"/>
              </w:divBdr>
            </w:div>
            <w:div w:id="2023849768">
              <w:marLeft w:val="0"/>
              <w:marRight w:val="0"/>
              <w:marTop w:val="0"/>
              <w:marBottom w:val="0"/>
              <w:divBdr>
                <w:top w:val="none" w:sz="0" w:space="0" w:color="auto"/>
                <w:left w:val="none" w:sz="0" w:space="0" w:color="auto"/>
                <w:bottom w:val="none" w:sz="0" w:space="0" w:color="auto"/>
                <w:right w:val="none" w:sz="0" w:space="0" w:color="auto"/>
              </w:divBdr>
            </w:div>
            <w:div w:id="1157109443">
              <w:marLeft w:val="0"/>
              <w:marRight w:val="0"/>
              <w:marTop w:val="0"/>
              <w:marBottom w:val="0"/>
              <w:divBdr>
                <w:top w:val="none" w:sz="0" w:space="0" w:color="auto"/>
                <w:left w:val="none" w:sz="0" w:space="0" w:color="auto"/>
                <w:bottom w:val="none" w:sz="0" w:space="0" w:color="auto"/>
                <w:right w:val="none" w:sz="0" w:space="0" w:color="auto"/>
              </w:divBdr>
            </w:div>
            <w:div w:id="1418091010">
              <w:marLeft w:val="0"/>
              <w:marRight w:val="0"/>
              <w:marTop w:val="0"/>
              <w:marBottom w:val="0"/>
              <w:divBdr>
                <w:top w:val="none" w:sz="0" w:space="0" w:color="auto"/>
                <w:left w:val="none" w:sz="0" w:space="0" w:color="auto"/>
                <w:bottom w:val="none" w:sz="0" w:space="0" w:color="auto"/>
                <w:right w:val="none" w:sz="0" w:space="0" w:color="auto"/>
              </w:divBdr>
            </w:div>
            <w:div w:id="557864346">
              <w:marLeft w:val="0"/>
              <w:marRight w:val="0"/>
              <w:marTop w:val="0"/>
              <w:marBottom w:val="0"/>
              <w:divBdr>
                <w:top w:val="none" w:sz="0" w:space="0" w:color="auto"/>
                <w:left w:val="none" w:sz="0" w:space="0" w:color="auto"/>
                <w:bottom w:val="none" w:sz="0" w:space="0" w:color="auto"/>
                <w:right w:val="none" w:sz="0" w:space="0" w:color="auto"/>
              </w:divBdr>
            </w:div>
            <w:div w:id="548690412">
              <w:marLeft w:val="0"/>
              <w:marRight w:val="0"/>
              <w:marTop w:val="0"/>
              <w:marBottom w:val="0"/>
              <w:divBdr>
                <w:top w:val="none" w:sz="0" w:space="0" w:color="auto"/>
                <w:left w:val="none" w:sz="0" w:space="0" w:color="auto"/>
                <w:bottom w:val="none" w:sz="0" w:space="0" w:color="auto"/>
                <w:right w:val="none" w:sz="0" w:space="0" w:color="auto"/>
              </w:divBdr>
            </w:div>
            <w:div w:id="1285425776">
              <w:marLeft w:val="0"/>
              <w:marRight w:val="0"/>
              <w:marTop w:val="0"/>
              <w:marBottom w:val="0"/>
              <w:divBdr>
                <w:top w:val="none" w:sz="0" w:space="0" w:color="auto"/>
                <w:left w:val="none" w:sz="0" w:space="0" w:color="auto"/>
                <w:bottom w:val="none" w:sz="0" w:space="0" w:color="auto"/>
                <w:right w:val="none" w:sz="0" w:space="0" w:color="auto"/>
              </w:divBdr>
            </w:div>
            <w:div w:id="592383">
              <w:marLeft w:val="0"/>
              <w:marRight w:val="0"/>
              <w:marTop w:val="0"/>
              <w:marBottom w:val="0"/>
              <w:divBdr>
                <w:top w:val="none" w:sz="0" w:space="0" w:color="auto"/>
                <w:left w:val="none" w:sz="0" w:space="0" w:color="auto"/>
                <w:bottom w:val="none" w:sz="0" w:space="0" w:color="auto"/>
                <w:right w:val="none" w:sz="0" w:space="0" w:color="auto"/>
              </w:divBdr>
            </w:div>
            <w:div w:id="2023430700">
              <w:marLeft w:val="0"/>
              <w:marRight w:val="0"/>
              <w:marTop w:val="0"/>
              <w:marBottom w:val="0"/>
              <w:divBdr>
                <w:top w:val="none" w:sz="0" w:space="0" w:color="auto"/>
                <w:left w:val="none" w:sz="0" w:space="0" w:color="auto"/>
                <w:bottom w:val="none" w:sz="0" w:space="0" w:color="auto"/>
                <w:right w:val="none" w:sz="0" w:space="0" w:color="auto"/>
              </w:divBdr>
            </w:div>
            <w:div w:id="566647655">
              <w:marLeft w:val="0"/>
              <w:marRight w:val="0"/>
              <w:marTop w:val="0"/>
              <w:marBottom w:val="0"/>
              <w:divBdr>
                <w:top w:val="none" w:sz="0" w:space="0" w:color="auto"/>
                <w:left w:val="none" w:sz="0" w:space="0" w:color="auto"/>
                <w:bottom w:val="none" w:sz="0" w:space="0" w:color="auto"/>
                <w:right w:val="none" w:sz="0" w:space="0" w:color="auto"/>
              </w:divBdr>
            </w:div>
            <w:div w:id="437063393">
              <w:marLeft w:val="0"/>
              <w:marRight w:val="0"/>
              <w:marTop w:val="0"/>
              <w:marBottom w:val="0"/>
              <w:divBdr>
                <w:top w:val="none" w:sz="0" w:space="0" w:color="auto"/>
                <w:left w:val="none" w:sz="0" w:space="0" w:color="auto"/>
                <w:bottom w:val="none" w:sz="0" w:space="0" w:color="auto"/>
                <w:right w:val="none" w:sz="0" w:space="0" w:color="auto"/>
              </w:divBdr>
            </w:div>
            <w:div w:id="1603566319">
              <w:marLeft w:val="0"/>
              <w:marRight w:val="0"/>
              <w:marTop w:val="0"/>
              <w:marBottom w:val="0"/>
              <w:divBdr>
                <w:top w:val="none" w:sz="0" w:space="0" w:color="auto"/>
                <w:left w:val="none" w:sz="0" w:space="0" w:color="auto"/>
                <w:bottom w:val="none" w:sz="0" w:space="0" w:color="auto"/>
                <w:right w:val="none" w:sz="0" w:space="0" w:color="auto"/>
              </w:divBdr>
            </w:div>
            <w:div w:id="1128159977">
              <w:marLeft w:val="0"/>
              <w:marRight w:val="0"/>
              <w:marTop w:val="0"/>
              <w:marBottom w:val="0"/>
              <w:divBdr>
                <w:top w:val="none" w:sz="0" w:space="0" w:color="auto"/>
                <w:left w:val="none" w:sz="0" w:space="0" w:color="auto"/>
                <w:bottom w:val="none" w:sz="0" w:space="0" w:color="auto"/>
                <w:right w:val="none" w:sz="0" w:space="0" w:color="auto"/>
              </w:divBdr>
            </w:div>
            <w:div w:id="1082874647">
              <w:marLeft w:val="0"/>
              <w:marRight w:val="0"/>
              <w:marTop w:val="0"/>
              <w:marBottom w:val="0"/>
              <w:divBdr>
                <w:top w:val="none" w:sz="0" w:space="0" w:color="auto"/>
                <w:left w:val="none" w:sz="0" w:space="0" w:color="auto"/>
                <w:bottom w:val="none" w:sz="0" w:space="0" w:color="auto"/>
                <w:right w:val="none" w:sz="0" w:space="0" w:color="auto"/>
              </w:divBdr>
            </w:div>
            <w:div w:id="411856679">
              <w:marLeft w:val="0"/>
              <w:marRight w:val="0"/>
              <w:marTop w:val="0"/>
              <w:marBottom w:val="0"/>
              <w:divBdr>
                <w:top w:val="none" w:sz="0" w:space="0" w:color="auto"/>
                <w:left w:val="none" w:sz="0" w:space="0" w:color="auto"/>
                <w:bottom w:val="none" w:sz="0" w:space="0" w:color="auto"/>
                <w:right w:val="none" w:sz="0" w:space="0" w:color="auto"/>
              </w:divBdr>
            </w:div>
            <w:div w:id="1677152615">
              <w:marLeft w:val="0"/>
              <w:marRight w:val="0"/>
              <w:marTop w:val="0"/>
              <w:marBottom w:val="0"/>
              <w:divBdr>
                <w:top w:val="none" w:sz="0" w:space="0" w:color="auto"/>
                <w:left w:val="none" w:sz="0" w:space="0" w:color="auto"/>
                <w:bottom w:val="none" w:sz="0" w:space="0" w:color="auto"/>
                <w:right w:val="none" w:sz="0" w:space="0" w:color="auto"/>
              </w:divBdr>
            </w:div>
            <w:div w:id="244074258">
              <w:marLeft w:val="0"/>
              <w:marRight w:val="0"/>
              <w:marTop w:val="0"/>
              <w:marBottom w:val="0"/>
              <w:divBdr>
                <w:top w:val="none" w:sz="0" w:space="0" w:color="auto"/>
                <w:left w:val="none" w:sz="0" w:space="0" w:color="auto"/>
                <w:bottom w:val="none" w:sz="0" w:space="0" w:color="auto"/>
                <w:right w:val="none" w:sz="0" w:space="0" w:color="auto"/>
              </w:divBdr>
            </w:div>
            <w:div w:id="306712049">
              <w:marLeft w:val="0"/>
              <w:marRight w:val="0"/>
              <w:marTop w:val="0"/>
              <w:marBottom w:val="0"/>
              <w:divBdr>
                <w:top w:val="none" w:sz="0" w:space="0" w:color="auto"/>
                <w:left w:val="none" w:sz="0" w:space="0" w:color="auto"/>
                <w:bottom w:val="none" w:sz="0" w:space="0" w:color="auto"/>
                <w:right w:val="none" w:sz="0" w:space="0" w:color="auto"/>
              </w:divBdr>
            </w:div>
            <w:div w:id="1962153452">
              <w:marLeft w:val="0"/>
              <w:marRight w:val="0"/>
              <w:marTop w:val="0"/>
              <w:marBottom w:val="0"/>
              <w:divBdr>
                <w:top w:val="none" w:sz="0" w:space="0" w:color="auto"/>
                <w:left w:val="none" w:sz="0" w:space="0" w:color="auto"/>
                <w:bottom w:val="none" w:sz="0" w:space="0" w:color="auto"/>
                <w:right w:val="none" w:sz="0" w:space="0" w:color="auto"/>
              </w:divBdr>
            </w:div>
            <w:div w:id="222912911">
              <w:marLeft w:val="0"/>
              <w:marRight w:val="0"/>
              <w:marTop w:val="0"/>
              <w:marBottom w:val="0"/>
              <w:divBdr>
                <w:top w:val="none" w:sz="0" w:space="0" w:color="auto"/>
                <w:left w:val="none" w:sz="0" w:space="0" w:color="auto"/>
                <w:bottom w:val="none" w:sz="0" w:space="0" w:color="auto"/>
                <w:right w:val="none" w:sz="0" w:space="0" w:color="auto"/>
              </w:divBdr>
            </w:div>
            <w:div w:id="1331176115">
              <w:marLeft w:val="0"/>
              <w:marRight w:val="0"/>
              <w:marTop w:val="0"/>
              <w:marBottom w:val="0"/>
              <w:divBdr>
                <w:top w:val="none" w:sz="0" w:space="0" w:color="auto"/>
                <w:left w:val="none" w:sz="0" w:space="0" w:color="auto"/>
                <w:bottom w:val="none" w:sz="0" w:space="0" w:color="auto"/>
                <w:right w:val="none" w:sz="0" w:space="0" w:color="auto"/>
              </w:divBdr>
            </w:div>
            <w:div w:id="1133209342">
              <w:marLeft w:val="0"/>
              <w:marRight w:val="0"/>
              <w:marTop w:val="0"/>
              <w:marBottom w:val="0"/>
              <w:divBdr>
                <w:top w:val="none" w:sz="0" w:space="0" w:color="auto"/>
                <w:left w:val="none" w:sz="0" w:space="0" w:color="auto"/>
                <w:bottom w:val="none" w:sz="0" w:space="0" w:color="auto"/>
                <w:right w:val="none" w:sz="0" w:space="0" w:color="auto"/>
              </w:divBdr>
            </w:div>
            <w:div w:id="1144273855">
              <w:marLeft w:val="0"/>
              <w:marRight w:val="0"/>
              <w:marTop w:val="0"/>
              <w:marBottom w:val="0"/>
              <w:divBdr>
                <w:top w:val="none" w:sz="0" w:space="0" w:color="auto"/>
                <w:left w:val="none" w:sz="0" w:space="0" w:color="auto"/>
                <w:bottom w:val="none" w:sz="0" w:space="0" w:color="auto"/>
                <w:right w:val="none" w:sz="0" w:space="0" w:color="auto"/>
              </w:divBdr>
            </w:div>
            <w:div w:id="820660150">
              <w:marLeft w:val="0"/>
              <w:marRight w:val="0"/>
              <w:marTop w:val="0"/>
              <w:marBottom w:val="0"/>
              <w:divBdr>
                <w:top w:val="none" w:sz="0" w:space="0" w:color="auto"/>
                <w:left w:val="none" w:sz="0" w:space="0" w:color="auto"/>
                <w:bottom w:val="none" w:sz="0" w:space="0" w:color="auto"/>
                <w:right w:val="none" w:sz="0" w:space="0" w:color="auto"/>
              </w:divBdr>
            </w:div>
            <w:div w:id="640505784">
              <w:marLeft w:val="0"/>
              <w:marRight w:val="0"/>
              <w:marTop w:val="0"/>
              <w:marBottom w:val="0"/>
              <w:divBdr>
                <w:top w:val="none" w:sz="0" w:space="0" w:color="auto"/>
                <w:left w:val="none" w:sz="0" w:space="0" w:color="auto"/>
                <w:bottom w:val="none" w:sz="0" w:space="0" w:color="auto"/>
                <w:right w:val="none" w:sz="0" w:space="0" w:color="auto"/>
              </w:divBdr>
            </w:div>
            <w:div w:id="1619140861">
              <w:marLeft w:val="0"/>
              <w:marRight w:val="0"/>
              <w:marTop w:val="0"/>
              <w:marBottom w:val="0"/>
              <w:divBdr>
                <w:top w:val="none" w:sz="0" w:space="0" w:color="auto"/>
                <w:left w:val="none" w:sz="0" w:space="0" w:color="auto"/>
                <w:bottom w:val="none" w:sz="0" w:space="0" w:color="auto"/>
                <w:right w:val="none" w:sz="0" w:space="0" w:color="auto"/>
              </w:divBdr>
            </w:div>
            <w:div w:id="169373499">
              <w:marLeft w:val="0"/>
              <w:marRight w:val="0"/>
              <w:marTop w:val="0"/>
              <w:marBottom w:val="0"/>
              <w:divBdr>
                <w:top w:val="none" w:sz="0" w:space="0" w:color="auto"/>
                <w:left w:val="none" w:sz="0" w:space="0" w:color="auto"/>
                <w:bottom w:val="none" w:sz="0" w:space="0" w:color="auto"/>
                <w:right w:val="none" w:sz="0" w:space="0" w:color="auto"/>
              </w:divBdr>
            </w:div>
            <w:div w:id="1721132333">
              <w:marLeft w:val="0"/>
              <w:marRight w:val="0"/>
              <w:marTop w:val="0"/>
              <w:marBottom w:val="0"/>
              <w:divBdr>
                <w:top w:val="none" w:sz="0" w:space="0" w:color="auto"/>
                <w:left w:val="none" w:sz="0" w:space="0" w:color="auto"/>
                <w:bottom w:val="none" w:sz="0" w:space="0" w:color="auto"/>
                <w:right w:val="none" w:sz="0" w:space="0" w:color="auto"/>
              </w:divBdr>
            </w:div>
            <w:div w:id="384187351">
              <w:marLeft w:val="0"/>
              <w:marRight w:val="0"/>
              <w:marTop w:val="0"/>
              <w:marBottom w:val="0"/>
              <w:divBdr>
                <w:top w:val="none" w:sz="0" w:space="0" w:color="auto"/>
                <w:left w:val="none" w:sz="0" w:space="0" w:color="auto"/>
                <w:bottom w:val="none" w:sz="0" w:space="0" w:color="auto"/>
                <w:right w:val="none" w:sz="0" w:space="0" w:color="auto"/>
              </w:divBdr>
            </w:div>
            <w:div w:id="1340111229">
              <w:marLeft w:val="0"/>
              <w:marRight w:val="0"/>
              <w:marTop w:val="0"/>
              <w:marBottom w:val="0"/>
              <w:divBdr>
                <w:top w:val="none" w:sz="0" w:space="0" w:color="auto"/>
                <w:left w:val="none" w:sz="0" w:space="0" w:color="auto"/>
                <w:bottom w:val="none" w:sz="0" w:space="0" w:color="auto"/>
                <w:right w:val="none" w:sz="0" w:space="0" w:color="auto"/>
              </w:divBdr>
            </w:div>
            <w:div w:id="1503929739">
              <w:marLeft w:val="0"/>
              <w:marRight w:val="0"/>
              <w:marTop w:val="0"/>
              <w:marBottom w:val="0"/>
              <w:divBdr>
                <w:top w:val="none" w:sz="0" w:space="0" w:color="auto"/>
                <w:left w:val="none" w:sz="0" w:space="0" w:color="auto"/>
                <w:bottom w:val="none" w:sz="0" w:space="0" w:color="auto"/>
                <w:right w:val="none" w:sz="0" w:space="0" w:color="auto"/>
              </w:divBdr>
            </w:div>
            <w:div w:id="1683505063">
              <w:marLeft w:val="0"/>
              <w:marRight w:val="0"/>
              <w:marTop w:val="0"/>
              <w:marBottom w:val="0"/>
              <w:divBdr>
                <w:top w:val="none" w:sz="0" w:space="0" w:color="auto"/>
                <w:left w:val="none" w:sz="0" w:space="0" w:color="auto"/>
                <w:bottom w:val="none" w:sz="0" w:space="0" w:color="auto"/>
                <w:right w:val="none" w:sz="0" w:space="0" w:color="auto"/>
              </w:divBdr>
            </w:div>
            <w:div w:id="1970626902">
              <w:marLeft w:val="0"/>
              <w:marRight w:val="0"/>
              <w:marTop w:val="0"/>
              <w:marBottom w:val="0"/>
              <w:divBdr>
                <w:top w:val="none" w:sz="0" w:space="0" w:color="auto"/>
                <w:left w:val="none" w:sz="0" w:space="0" w:color="auto"/>
                <w:bottom w:val="none" w:sz="0" w:space="0" w:color="auto"/>
                <w:right w:val="none" w:sz="0" w:space="0" w:color="auto"/>
              </w:divBdr>
            </w:div>
            <w:div w:id="1134368236">
              <w:marLeft w:val="0"/>
              <w:marRight w:val="0"/>
              <w:marTop w:val="0"/>
              <w:marBottom w:val="0"/>
              <w:divBdr>
                <w:top w:val="none" w:sz="0" w:space="0" w:color="auto"/>
                <w:left w:val="none" w:sz="0" w:space="0" w:color="auto"/>
                <w:bottom w:val="none" w:sz="0" w:space="0" w:color="auto"/>
                <w:right w:val="none" w:sz="0" w:space="0" w:color="auto"/>
              </w:divBdr>
            </w:div>
            <w:div w:id="75785791">
              <w:marLeft w:val="0"/>
              <w:marRight w:val="0"/>
              <w:marTop w:val="0"/>
              <w:marBottom w:val="0"/>
              <w:divBdr>
                <w:top w:val="none" w:sz="0" w:space="0" w:color="auto"/>
                <w:left w:val="none" w:sz="0" w:space="0" w:color="auto"/>
                <w:bottom w:val="none" w:sz="0" w:space="0" w:color="auto"/>
                <w:right w:val="none" w:sz="0" w:space="0" w:color="auto"/>
              </w:divBdr>
            </w:div>
            <w:div w:id="577783849">
              <w:marLeft w:val="0"/>
              <w:marRight w:val="0"/>
              <w:marTop w:val="0"/>
              <w:marBottom w:val="0"/>
              <w:divBdr>
                <w:top w:val="none" w:sz="0" w:space="0" w:color="auto"/>
                <w:left w:val="none" w:sz="0" w:space="0" w:color="auto"/>
                <w:bottom w:val="none" w:sz="0" w:space="0" w:color="auto"/>
                <w:right w:val="none" w:sz="0" w:space="0" w:color="auto"/>
              </w:divBdr>
            </w:div>
            <w:div w:id="1987202301">
              <w:marLeft w:val="0"/>
              <w:marRight w:val="0"/>
              <w:marTop w:val="0"/>
              <w:marBottom w:val="0"/>
              <w:divBdr>
                <w:top w:val="none" w:sz="0" w:space="0" w:color="auto"/>
                <w:left w:val="none" w:sz="0" w:space="0" w:color="auto"/>
                <w:bottom w:val="none" w:sz="0" w:space="0" w:color="auto"/>
                <w:right w:val="none" w:sz="0" w:space="0" w:color="auto"/>
              </w:divBdr>
            </w:div>
            <w:div w:id="331178057">
              <w:marLeft w:val="0"/>
              <w:marRight w:val="0"/>
              <w:marTop w:val="0"/>
              <w:marBottom w:val="0"/>
              <w:divBdr>
                <w:top w:val="none" w:sz="0" w:space="0" w:color="auto"/>
                <w:left w:val="none" w:sz="0" w:space="0" w:color="auto"/>
                <w:bottom w:val="none" w:sz="0" w:space="0" w:color="auto"/>
                <w:right w:val="none" w:sz="0" w:space="0" w:color="auto"/>
              </w:divBdr>
            </w:div>
            <w:div w:id="1860197023">
              <w:marLeft w:val="0"/>
              <w:marRight w:val="0"/>
              <w:marTop w:val="0"/>
              <w:marBottom w:val="0"/>
              <w:divBdr>
                <w:top w:val="none" w:sz="0" w:space="0" w:color="auto"/>
                <w:left w:val="none" w:sz="0" w:space="0" w:color="auto"/>
                <w:bottom w:val="none" w:sz="0" w:space="0" w:color="auto"/>
                <w:right w:val="none" w:sz="0" w:space="0" w:color="auto"/>
              </w:divBdr>
            </w:div>
            <w:div w:id="642201092">
              <w:marLeft w:val="0"/>
              <w:marRight w:val="0"/>
              <w:marTop w:val="0"/>
              <w:marBottom w:val="0"/>
              <w:divBdr>
                <w:top w:val="none" w:sz="0" w:space="0" w:color="auto"/>
                <w:left w:val="none" w:sz="0" w:space="0" w:color="auto"/>
                <w:bottom w:val="none" w:sz="0" w:space="0" w:color="auto"/>
                <w:right w:val="none" w:sz="0" w:space="0" w:color="auto"/>
              </w:divBdr>
            </w:div>
            <w:div w:id="1444033863">
              <w:marLeft w:val="0"/>
              <w:marRight w:val="0"/>
              <w:marTop w:val="0"/>
              <w:marBottom w:val="0"/>
              <w:divBdr>
                <w:top w:val="none" w:sz="0" w:space="0" w:color="auto"/>
                <w:left w:val="none" w:sz="0" w:space="0" w:color="auto"/>
                <w:bottom w:val="none" w:sz="0" w:space="0" w:color="auto"/>
                <w:right w:val="none" w:sz="0" w:space="0" w:color="auto"/>
              </w:divBdr>
            </w:div>
            <w:div w:id="1921870318">
              <w:marLeft w:val="0"/>
              <w:marRight w:val="0"/>
              <w:marTop w:val="0"/>
              <w:marBottom w:val="0"/>
              <w:divBdr>
                <w:top w:val="none" w:sz="0" w:space="0" w:color="auto"/>
                <w:left w:val="none" w:sz="0" w:space="0" w:color="auto"/>
                <w:bottom w:val="none" w:sz="0" w:space="0" w:color="auto"/>
                <w:right w:val="none" w:sz="0" w:space="0" w:color="auto"/>
              </w:divBdr>
            </w:div>
            <w:div w:id="45568329">
              <w:marLeft w:val="0"/>
              <w:marRight w:val="0"/>
              <w:marTop w:val="0"/>
              <w:marBottom w:val="0"/>
              <w:divBdr>
                <w:top w:val="none" w:sz="0" w:space="0" w:color="auto"/>
                <w:left w:val="none" w:sz="0" w:space="0" w:color="auto"/>
                <w:bottom w:val="none" w:sz="0" w:space="0" w:color="auto"/>
                <w:right w:val="none" w:sz="0" w:space="0" w:color="auto"/>
              </w:divBdr>
            </w:div>
            <w:div w:id="1789272280">
              <w:marLeft w:val="0"/>
              <w:marRight w:val="0"/>
              <w:marTop w:val="0"/>
              <w:marBottom w:val="0"/>
              <w:divBdr>
                <w:top w:val="none" w:sz="0" w:space="0" w:color="auto"/>
                <w:left w:val="none" w:sz="0" w:space="0" w:color="auto"/>
                <w:bottom w:val="none" w:sz="0" w:space="0" w:color="auto"/>
                <w:right w:val="none" w:sz="0" w:space="0" w:color="auto"/>
              </w:divBdr>
            </w:div>
            <w:div w:id="2127306543">
              <w:marLeft w:val="0"/>
              <w:marRight w:val="0"/>
              <w:marTop w:val="0"/>
              <w:marBottom w:val="0"/>
              <w:divBdr>
                <w:top w:val="none" w:sz="0" w:space="0" w:color="auto"/>
                <w:left w:val="none" w:sz="0" w:space="0" w:color="auto"/>
                <w:bottom w:val="none" w:sz="0" w:space="0" w:color="auto"/>
                <w:right w:val="none" w:sz="0" w:space="0" w:color="auto"/>
              </w:divBdr>
            </w:div>
            <w:div w:id="1629244825">
              <w:marLeft w:val="0"/>
              <w:marRight w:val="0"/>
              <w:marTop w:val="0"/>
              <w:marBottom w:val="0"/>
              <w:divBdr>
                <w:top w:val="none" w:sz="0" w:space="0" w:color="auto"/>
                <w:left w:val="none" w:sz="0" w:space="0" w:color="auto"/>
                <w:bottom w:val="none" w:sz="0" w:space="0" w:color="auto"/>
                <w:right w:val="none" w:sz="0" w:space="0" w:color="auto"/>
              </w:divBdr>
            </w:div>
            <w:div w:id="396782257">
              <w:marLeft w:val="0"/>
              <w:marRight w:val="0"/>
              <w:marTop w:val="0"/>
              <w:marBottom w:val="0"/>
              <w:divBdr>
                <w:top w:val="none" w:sz="0" w:space="0" w:color="auto"/>
                <w:left w:val="none" w:sz="0" w:space="0" w:color="auto"/>
                <w:bottom w:val="none" w:sz="0" w:space="0" w:color="auto"/>
                <w:right w:val="none" w:sz="0" w:space="0" w:color="auto"/>
              </w:divBdr>
            </w:div>
            <w:div w:id="585576150">
              <w:marLeft w:val="0"/>
              <w:marRight w:val="0"/>
              <w:marTop w:val="0"/>
              <w:marBottom w:val="0"/>
              <w:divBdr>
                <w:top w:val="none" w:sz="0" w:space="0" w:color="auto"/>
                <w:left w:val="none" w:sz="0" w:space="0" w:color="auto"/>
                <w:bottom w:val="none" w:sz="0" w:space="0" w:color="auto"/>
                <w:right w:val="none" w:sz="0" w:space="0" w:color="auto"/>
              </w:divBdr>
            </w:div>
            <w:div w:id="1399092541">
              <w:marLeft w:val="0"/>
              <w:marRight w:val="0"/>
              <w:marTop w:val="0"/>
              <w:marBottom w:val="0"/>
              <w:divBdr>
                <w:top w:val="none" w:sz="0" w:space="0" w:color="auto"/>
                <w:left w:val="none" w:sz="0" w:space="0" w:color="auto"/>
                <w:bottom w:val="none" w:sz="0" w:space="0" w:color="auto"/>
                <w:right w:val="none" w:sz="0" w:space="0" w:color="auto"/>
              </w:divBdr>
            </w:div>
            <w:div w:id="1234394784">
              <w:marLeft w:val="0"/>
              <w:marRight w:val="0"/>
              <w:marTop w:val="0"/>
              <w:marBottom w:val="0"/>
              <w:divBdr>
                <w:top w:val="none" w:sz="0" w:space="0" w:color="auto"/>
                <w:left w:val="none" w:sz="0" w:space="0" w:color="auto"/>
                <w:bottom w:val="none" w:sz="0" w:space="0" w:color="auto"/>
                <w:right w:val="none" w:sz="0" w:space="0" w:color="auto"/>
              </w:divBdr>
            </w:div>
            <w:div w:id="1102263735">
              <w:marLeft w:val="0"/>
              <w:marRight w:val="0"/>
              <w:marTop w:val="0"/>
              <w:marBottom w:val="0"/>
              <w:divBdr>
                <w:top w:val="none" w:sz="0" w:space="0" w:color="auto"/>
                <w:left w:val="none" w:sz="0" w:space="0" w:color="auto"/>
                <w:bottom w:val="none" w:sz="0" w:space="0" w:color="auto"/>
                <w:right w:val="none" w:sz="0" w:space="0" w:color="auto"/>
              </w:divBdr>
            </w:div>
            <w:div w:id="996415545">
              <w:marLeft w:val="0"/>
              <w:marRight w:val="0"/>
              <w:marTop w:val="0"/>
              <w:marBottom w:val="0"/>
              <w:divBdr>
                <w:top w:val="none" w:sz="0" w:space="0" w:color="auto"/>
                <w:left w:val="none" w:sz="0" w:space="0" w:color="auto"/>
                <w:bottom w:val="none" w:sz="0" w:space="0" w:color="auto"/>
                <w:right w:val="none" w:sz="0" w:space="0" w:color="auto"/>
              </w:divBdr>
            </w:div>
            <w:div w:id="1690909722">
              <w:marLeft w:val="0"/>
              <w:marRight w:val="0"/>
              <w:marTop w:val="0"/>
              <w:marBottom w:val="0"/>
              <w:divBdr>
                <w:top w:val="none" w:sz="0" w:space="0" w:color="auto"/>
                <w:left w:val="none" w:sz="0" w:space="0" w:color="auto"/>
                <w:bottom w:val="none" w:sz="0" w:space="0" w:color="auto"/>
                <w:right w:val="none" w:sz="0" w:space="0" w:color="auto"/>
              </w:divBdr>
            </w:div>
            <w:div w:id="1509440466">
              <w:marLeft w:val="0"/>
              <w:marRight w:val="0"/>
              <w:marTop w:val="0"/>
              <w:marBottom w:val="0"/>
              <w:divBdr>
                <w:top w:val="none" w:sz="0" w:space="0" w:color="auto"/>
                <w:left w:val="none" w:sz="0" w:space="0" w:color="auto"/>
                <w:bottom w:val="none" w:sz="0" w:space="0" w:color="auto"/>
                <w:right w:val="none" w:sz="0" w:space="0" w:color="auto"/>
              </w:divBdr>
            </w:div>
            <w:div w:id="2035449543">
              <w:marLeft w:val="0"/>
              <w:marRight w:val="0"/>
              <w:marTop w:val="0"/>
              <w:marBottom w:val="0"/>
              <w:divBdr>
                <w:top w:val="none" w:sz="0" w:space="0" w:color="auto"/>
                <w:left w:val="none" w:sz="0" w:space="0" w:color="auto"/>
                <w:bottom w:val="none" w:sz="0" w:space="0" w:color="auto"/>
                <w:right w:val="none" w:sz="0" w:space="0" w:color="auto"/>
              </w:divBdr>
            </w:div>
            <w:div w:id="1279141687">
              <w:marLeft w:val="0"/>
              <w:marRight w:val="0"/>
              <w:marTop w:val="0"/>
              <w:marBottom w:val="0"/>
              <w:divBdr>
                <w:top w:val="none" w:sz="0" w:space="0" w:color="auto"/>
                <w:left w:val="none" w:sz="0" w:space="0" w:color="auto"/>
                <w:bottom w:val="none" w:sz="0" w:space="0" w:color="auto"/>
                <w:right w:val="none" w:sz="0" w:space="0" w:color="auto"/>
              </w:divBdr>
            </w:div>
            <w:div w:id="1845394059">
              <w:marLeft w:val="0"/>
              <w:marRight w:val="0"/>
              <w:marTop w:val="0"/>
              <w:marBottom w:val="0"/>
              <w:divBdr>
                <w:top w:val="none" w:sz="0" w:space="0" w:color="auto"/>
                <w:left w:val="none" w:sz="0" w:space="0" w:color="auto"/>
                <w:bottom w:val="none" w:sz="0" w:space="0" w:color="auto"/>
                <w:right w:val="none" w:sz="0" w:space="0" w:color="auto"/>
              </w:divBdr>
            </w:div>
            <w:div w:id="1333952447">
              <w:marLeft w:val="0"/>
              <w:marRight w:val="0"/>
              <w:marTop w:val="0"/>
              <w:marBottom w:val="0"/>
              <w:divBdr>
                <w:top w:val="none" w:sz="0" w:space="0" w:color="auto"/>
                <w:left w:val="none" w:sz="0" w:space="0" w:color="auto"/>
                <w:bottom w:val="none" w:sz="0" w:space="0" w:color="auto"/>
                <w:right w:val="none" w:sz="0" w:space="0" w:color="auto"/>
              </w:divBdr>
            </w:div>
            <w:div w:id="1699697134">
              <w:marLeft w:val="0"/>
              <w:marRight w:val="0"/>
              <w:marTop w:val="0"/>
              <w:marBottom w:val="0"/>
              <w:divBdr>
                <w:top w:val="none" w:sz="0" w:space="0" w:color="auto"/>
                <w:left w:val="none" w:sz="0" w:space="0" w:color="auto"/>
                <w:bottom w:val="none" w:sz="0" w:space="0" w:color="auto"/>
                <w:right w:val="none" w:sz="0" w:space="0" w:color="auto"/>
              </w:divBdr>
            </w:div>
            <w:div w:id="1159272797">
              <w:marLeft w:val="0"/>
              <w:marRight w:val="0"/>
              <w:marTop w:val="0"/>
              <w:marBottom w:val="0"/>
              <w:divBdr>
                <w:top w:val="none" w:sz="0" w:space="0" w:color="auto"/>
                <w:left w:val="none" w:sz="0" w:space="0" w:color="auto"/>
                <w:bottom w:val="none" w:sz="0" w:space="0" w:color="auto"/>
                <w:right w:val="none" w:sz="0" w:space="0" w:color="auto"/>
              </w:divBdr>
            </w:div>
            <w:div w:id="451898963">
              <w:marLeft w:val="0"/>
              <w:marRight w:val="0"/>
              <w:marTop w:val="0"/>
              <w:marBottom w:val="0"/>
              <w:divBdr>
                <w:top w:val="none" w:sz="0" w:space="0" w:color="auto"/>
                <w:left w:val="none" w:sz="0" w:space="0" w:color="auto"/>
                <w:bottom w:val="none" w:sz="0" w:space="0" w:color="auto"/>
                <w:right w:val="none" w:sz="0" w:space="0" w:color="auto"/>
              </w:divBdr>
            </w:div>
            <w:div w:id="259528022">
              <w:marLeft w:val="0"/>
              <w:marRight w:val="0"/>
              <w:marTop w:val="0"/>
              <w:marBottom w:val="0"/>
              <w:divBdr>
                <w:top w:val="none" w:sz="0" w:space="0" w:color="auto"/>
                <w:left w:val="none" w:sz="0" w:space="0" w:color="auto"/>
                <w:bottom w:val="none" w:sz="0" w:space="0" w:color="auto"/>
                <w:right w:val="none" w:sz="0" w:space="0" w:color="auto"/>
              </w:divBdr>
            </w:div>
            <w:div w:id="446199698">
              <w:marLeft w:val="0"/>
              <w:marRight w:val="0"/>
              <w:marTop w:val="0"/>
              <w:marBottom w:val="0"/>
              <w:divBdr>
                <w:top w:val="none" w:sz="0" w:space="0" w:color="auto"/>
                <w:left w:val="none" w:sz="0" w:space="0" w:color="auto"/>
                <w:bottom w:val="none" w:sz="0" w:space="0" w:color="auto"/>
                <w:right w:val="none" w:sz="0" w:space="0" w:color="auto"/>
              </w:divBdr>
            </w:div>
            <w:div w:id="938441281">
              <w:marLeft w:val="0"/>
              <w:marRight w:val="0"/>
              <w:marTop w:val="0"/>
              <w:marBottom w:val="0"/>
              <w:divBdr>
                <w:top w:val="none" w:sz="0" w:space="0" w:color="auto"/>
                <w:left w:val="none" w:sz="0" w:space="0" w:color="auto"/>
                <w:bottom w:val="none" w:sz="0" w:space="0" w:color="auto"/>
                <w:right w:val="none" w:sz="0" w:space="0" w:color="auto"/>
              </w:divBdr>
            </w:div>
            <w:div w:id="909463042">
              <w:marLeft w:val="0"/>
              <w:marRight w:val="0"/>
              <w:marTop w:val="0"/>
              <w:marBottom w:val="0"/>
              <w:divBdr>
                <w:top w:val="none" w:sz="0" w:space="0" w:color="auto"/>
                <w:left w:val="none" w:sz="0" w:space="0" w:color="auto"/>
                <w:bottom w:val="none" w:sz="0" w:space="0" w:color="auto"/>
                <w:right w:val="none" w:sz="0" w:space="0" w:color="auto"/>
              </w:divBdr>
            </w:div>
            <w:div w:id="917985453">
              <w:marLeft w:val="0"/>
              <w:marRight w:val="0"/>
              <w:marTop w:val="0"/>
              <w:marBottom w:val="0"/>
              <w:divBdr>
                <w:top w:val="none" w:sz="0" w:space="0" w:color="auto"/>
                <w:left w:val="none" w:sz="0" w:space="0" w:color="auto"/>
                <w:bottom w:val="none" w:sz="0" w:space="0" w:color="auto"/>
                <w:right w:val="none" w:sz="0" w:space="0" w:color="auto"/>
              </w:divBdr>
            </w:div>
            <w:div w:id="343408708">
              <w:marLeft w:val="0"/>
              <w:marRight w:val="0"/>
              <w:marTop w:val="0"/>
              <w:marBottom w:val="0"/>
              <w:divBdr>
                <w:top w:val="none" w:sz="0" w:space="0" w:color="auto"/>
                <w:left w:val="none" w:sz="0" w:space="0" w:color="auto"/>
                <w:bottom w:val="none" w:sz="0" w:space="0" w:color="auto"/>
                <w:right w:val="none" w:sz="0" w:space="0" w:color="auto"/>
              </w:divBdr>
            </w:div>
            <w:div w:id="758671546">
              <w:marLeft w:val="0"/>
              <w:marRight w:val="0"/>
              <w:marTop w:val="0"/>
              <w:marBottom w:val="0"/>
              <w:divBdr>
                <w:top w:val="none" w:sz="0" w:space="0" w:color="auto"/>
                <w:left w:val="none" w:sz="0" w:space="0" w:color="auto"/>
                <w:bottom w:val="none" w:sz="0" w:space="0" w:color="auto"/>
                <w:right w:val="none" w:sz="0" w:space="0" w:color="auto"/>
              </w:divBdr>
            </w:div>
            <w:div w:id="1187450614">
              <w:marLeft w:val="0"/>
              <w:marRight w:val="0"/>
              <w:marTop w:val="0"/>
              <w:marBottom w:val="0"/>
              <w:divBdr>
                <w:top w:val="none" w:sz="0" w:space="0" w:color="auto"/>
                <w:left w:val="none" w:sz="0" w:space="0" w:color="auto"/>
                <w:bottom w:val="none" w:sz="0" w:space="0" w:color="auto"/>
                <w:right w:val="none" w:sz="0" w:space="0" w:color="auto"/>
              </w:divBdr>
            </w:div>
            <w:div w:id="53048907">
              <w:marLeft w:val="0"/>
              <w:marRight w:val="0"/>
              <w:marTop w:val="0"/>
              <w:marBottom w:val="0"/>
              <w:divBdr>
                <w:top w:val="none" w:sz="0" w:space="0" w:color="auto"/>
                <w:left w:val="none" w:sz="0" w:space="0" w:color="auto"/>
                <w:bottom w:val="none" w:sz="0" w:space="0" w:color="auto"/>
                <w:right w:val="none" w:sz="0" w:space="0" w:color="auto"/>
              </w:divBdr>
            </w:div>
            <w:div w:id="1004863884">
              <w:marLeft w:val="0"/>
              <w:marRight w:val="0"/>
              <w:marTop w:val="0"/>
              <w:marBottom w:val="0"/>
              <w:divBdr>
                <w:top w:val="none" w:sz="0" w:space="0" w:color="auto"/>
                <w:left w:val="none" w:sz="0" w:space="0" w:color="auto"/>
                <w:bottom w:val="none" w:sz="0" w:space="0" w:color="auto"/>
                <w:right w:val="none" w:sz="0" w:space="0" w:color="auto"/>
              </w:divBdr>
            </w:div>
            <w:div w:id="1929999551">
              <w:marLeft w:val="0"/>
              <w:marRight w:val="0"/>
              <w:marTop w:val="0"/>
              <w:marBottom w:val="0"/>
              <w:divBdr>
                <w:top w:val="none" w:sz="0" w:space="0" w:color="auto"/>
                <w:left w:val="none" w:sz="0" w:space="0" w:color="auto"/>
                <w:bottom w:val="none" w:sz="0" w:space="0" w:color="auto"/>
                <w:right w:val="none" w:sz="0" w:space="0" w:color="auto"/>
              </w:divBdr>
            </w:div>
            <w:div w:id="1856118223">
              <w:marLeft w:val="0"/>
              <w:marRight w:val="0"/>
              <w:marTop w:val="0"/>
              <w:marBottom w:val="0"/>
              <w:divBdr>
                <w:top w:val="none" w:sz="0" w:space="0" w:color="auto"/>
                <w:left w:val="none" w:sz="0" w:space="0" w:color="auto"/>
                <w:bottom w:val="none" w:sz="0" w:space="0" w:color="auto"/>
                <w:right w:val="none" w:sz="0" w:space="0" w:color="auto"/>
              </w:divBdr>
            </w:div>
            <w:div w:id="364792645">
              <w:marLeft w:val="0"/>
              <w:marRight w:val="0"/>
              <w:marTop w:val="0"/>
              <w:marBottom w:val="0"/>
              <w:divBdr>
                <w:top w:val="none" w:sz="0" w:space="0" w:color="auto"/>
                <w:left w:val="none" w:sz="0" w:space="0" w:color="auto"/>
                <w:bottom w:val="none" w:sz="0" w:space="0" w:color="auto"/>
                <w:right w:val="none" w:sz="0" w:space="0" w:color="auto"/>
              </w:divBdr>
            </w:div>
            <w:div w:id="975180946">
              <w:marLeft w:val="0"/>
              <w:marRight w:val="0"/>
              <w:marTop w:val="0"/>
              <w:marBottom w:val="0"/>
              <w:divBdr>
                <w:top w:val="none" w:sz="0" w:space="0" w:color="auto"/>
                <w:left w:val="none" w:sz="0" w:space="0" w:color="auto"/>
                <w:bottom w:val="none" w:sz="0" w:space="0" w:color="auto"/>
                <w:right w:val="none" w:sz="0" w:space="0" w:color="auto"/>
              </w:divBdr>
            </w:div>
            <w:div w:id="1051224497">
              <w:marLeft w:val="0"/>
              <w:marRight w:val="0"/>
              <w:marTop w:val="0"/>
              <w:marBottom w:val="0"/>
              <w:divBdr>
                <w:top w:val="none" w:sz="0" w:space="0" w:color="auto"/>
                <w:left w:val="none" w:sz="0" w:space="0" w:color="auto"/>
                <w:bottom w:val="none" w:sz="0" w:space="0" w:color="auto"/>
                <w:right w:val="none" w:sz="0" w:space="0" w:color="auto"/>
              </w:divBdr>
            </w:div>
            <w:div w:id="1380395540">
              <w:marLeft w:val="0"/>
              <w:marRight w:val="0"/>
              <w:marTop w:val="0"/>
              <w:marBottom w:val="0"/>
              <w:divBdr>
                <w:top w:val="none" w:sz="0" w:space="0" w:color="auto"/>
                <w:left w:val="none" w:sz="0" w:space="0" w:color="auto"/>
                <w:bottom w:val="none" w:sz="0" w:space="0" w:color="auto"/>
                <w:right w:val="none" w:sz="0" w:space="0" w:color="auto"/>
              </w:divBdr>
            </w:div>
            <w:div w:id="1486968194">
              <w:marLeft w:val="0"/>
              <w:marRight w:val="0"/>
              <w:marTop w:val="0"/>
              <w:marBottom w:val="0"/>
              <w:divBdr>
                <w:top w:val="none" w:sz="0" w:space="0" w:color="auto"/>
                <w:left w:val="none" w:sz="0" w:space="0" w:color="auto"/>
                <w:bottom w:val="none" w:sz="0" w:space="0" w:color="auto"/>
                <w:right w:val="none" w:sz="0" w:space="0" w:color="auto"/>
              </w:divBdr>
            </w:div>
            <w:div w:id="126626438">
              <w:marLeft w:val="0"/>
              <w:marRight w:val="0"/>
              <w:marTop w:val="0"/>
              <w:marBottom w:val="0"/>
              <w:divBdr>
                <w:top w:val="none" w:sz="0" w:space="0" w:color="auto"/>
                <w:left w:val="none" w:sz="0" w:space="0" w:color="auto"/>
                <w:bottom w:val="none" w:sz="0" w:space="0" w:color="auto"/>
                <w:right w:val="none" w:sz="0" w:space="0" w:color="auto"/>
              </w:divBdr>
            </w:div>
            <w:div w:id="2010936774">
              <w:marLeft w:val="0"/>
              <w:marRight w:val="0"/>
              <w:marTop w:val="0"/>
              <w:marBottom w:val="0"/>
              <w:divBdr>
                <w:top w:val="none" w:sz="0" w:space="0" w:color="auto"/>
                <w:left w:val="none" w:sz="0" w:space="0" w:color="auto"/>
                <w:bottom w:val="none" w:sz="0" w:space="0" w:color="auto"/>
                <w:right w:val="none" w:sz="0" w:space="0" w:color="auto"/>
              </w:divBdr>
            </w:div>
            <w:div w:id="1359161308">
              <w:marLeft w:val="0"/>
              <w:marRight w:val="0"/>
              <w:marTop w:val="0"/>
              <w:marBottom w:val="0"/>
              <w:divBdr>
                <w:top w:val="none" w:sz="0" w:space="0" w:color="auto"/>
                <w:left w:val="none" w:sz="0" w:space="0" w:color="auto"/>
                <w:bottom w:val="none" w:sz="0" w:space="0" w:color="auto"/>
                <w:right w:val="none" w:sz="0" w:space="0" w:color="auto"/>
              </w:divBdr>
            </w:div>
            <w:div w:id="1104107996">
              <w:marLeft w:val="0"/>
              <w:marRight w:val="0"/>
              <w:marTop w:val="0"/>
              <w:marBottom w:val="0"/>
              <w:divBdr>
                <w:top w:val="none" w:sz="0" w:space="0" w:color="auto"/>
                <w:left w:val="none" w:sz="0" w:space="0" w:color="auto"/>
                <w:bottom w:val="none" w:sz="0" w:space="0" w:color="auto"/>
                <w:right w:val="none" w:sz="0" w:space="0" w:color="auto"/>
              </w:divBdr>
            </w:div>
            <w:div w:id="2081057431">
              <w:marLeft w:val="0"/>
              <w:marRight w:val="0"/>
              <w:marTop w:val="0"/>
              <w:marBottom w:val="0"/>
              <w:divBdr>
                <w:top w:val="none" w:sz="0" w:space="0" w:color="auto"/>
                <w:left w:val="none" w:sz="0" w:space="0" w:color="auto"/>
                <w:bottom w:val="none" w:sz="0" w:space="0" w:color="auto"/>
                <w:right w:val="none" w:sz="0" w:space="0" w:color="auto"/>
              </w:divBdr>
            </w:div>
            <w:div w:id="1035231416">
              <w:marLeft w:val="0"/>
              <w:marRight w:val="0"/>
              <w:marTop w:val="0"/>
              <w:marBottom w:val="0"/>
              <w:divBdr>
                <w:top w:val="none" w:sz="0" w:space="0" w:color="auto"/>
                <w:left w:val="none" w:sz="0" w:space="0" w:color="auto"/>
                <w:bottom w:val="none" w:sz="0" w:space="0" w:color="auto"/>
                <w:right w:val="none" w:sz="0" w:space="0" w:color="auto"/>
              </w:divBdr>
            </w:div>
            <w:div w:id="411662676">
              <w:marLeft w:val="0"/>
              <w:marRight w:val="0"/>
              <w:marTop w:val="0"/>
              <w:marBottom w:val="0"/>
              <w:divBdr>
                <w:top w:val="none" w:sz="0" w:space="0" w:color="auto"/>
                <w:left w:val="none" w:sz="0" w:space="0" w:color="auto"/>
                <w:bottom w:val="none" w:sz="0" w:space="0" w:color="auto"/>
                <w:right w:val="none" w:sz="0" w:space="0" w:color="auto"/>
              </w:divBdr>
            </w:div>
            <w:div w:id="1212690830">
              <w:marLeft w:val="0"/>
              <w:marRight w:val="0"/>
              <w:marTop w:val="0"/>
              <w:marBottom w:val="0"/>
              <w:divBdr>
                <w:top w:val="none" w:sz="0" w:space="0" w:color="auto"/>
                <w:left w:val="none" w:sz="0" w:space="0" w:color="auto"/>
                <w:bottom w:val="none" w:sz="0" w:space="0" w:color="auto"/>
                <w:right w:val="none" w:sz="0" w:space="0" w:color="auto"/>
              </w:divBdr>
            </w:div>
            <w:div w:id="742723531">
              <w:marLeft w:val="0"/>
              <w:marRight w:val="0"/>
              <w:marTop w:val="0"/>
              <w:marBottom w:val="0"/>
              <w:divBdr>
                <w:top w:val="none" w:sz="0" w:space="0" w:color="auto"/>
                <w:left w:val="none" w:sz="0" w:space="0" w:color="auto"/>
                <w:bottom w:val="none" w:sz="0" w:space="0" w:color="auto"/>
                <w:right w:val="none" w:sz="0" w:space="0" w:color="auto"/>
              </w:divBdr>
            </w:div>
            <w:div w:id="2063164424">
              <w:marLeft w:val="0"/>
              <w:marRight w:val="0"/>
              <w:marTop w:val="0"/>
              <w:marBottom w:val="0"/>
              <w:divBdr>
                <w:top w:val="none" w:sz="0" w:space="0" w:color="auto"/>
                <w:left w:val="none" w:sz="0" w:space="0" w:color="auto"/>
                <w:bottom w:val="none" w:sz="0" w:space="0" w:color="auto"/>
                <w:right w:val="none" w:sz="0" w:space="0" w:color="auto"/>
              </w:divBdr>
            </w:div>
            <w:div w:id="717776635">
              <w:marLeft w:val="0"/>
              <w:marRight w:val="0"/>
              <w:marTop w:val="0"/>
              <w:marBottom w:val="0"/>
              <w:divBdr>
                <w:top w:val="none" w:sz="0" w:space="0" w:color="auto"/>
                <w:left w:val="none" w:sz="0" w:space="0" w:color="auto"/>
                <w:bottom w:val="none" w:sz="0" w:space="0" w:color="auto"/>
                <w:right w:val="none" w:sz="0" w:space="0" w:color="auto"/>
              </w:divBdr>
            </w:div>
            <w:div w:id="1379278128">
              <w:marLeft w:val="0"/>
              <w:marRight w:val="0"/>
              <w:marTop w:val="0"/>
              <w:marBottom w:val="0"/>
              <w:divBdr>
                <w:top w:val="none" w:sz="0" w:space="0" w:color="auto"/>
                <w:left w:val="none" w:sz="0" w:space="0" w:color="auto"/>
                <w:bottom w:val="none" w:sz="0" w:space="0" w:color="auto"/>
                <w:right w:val="none" w:sz="0" w:space="0" w:color="auto"/>
              </w:divBdr>
            </w:div>
            <w:div w:id="1111247411">
              <w:marLeft w:val="0"/>
              <w:marRight w:val="0"/>
              <w:marTop w:val="0"/>
              <w:marBottom w:val="0"/>
              <w:divBdr>
                <w:top w:val="none" w:sz="0" w:space="0" w:color="auto"/>
                <w:left w:val="none" w:sz="0" w:space="0" w:color="auto"/>
                <w:bottom w:val="none" w:sz="0" w:space="0" w:color="auto"/>
                <w:right w:val="none" w:sz="0" w:space="0" w:color="auto"/>
              </w:divBdr>
            </w:div>
            <w:div w:id="919485320">
              <w:marLeft w:val="0"/>
              <w:marRight w:val="0"/>
              <w:marTop w:val="0"/>
              <w:marBottom w:val="0"/>
              <w:divBdr>
                <w:top w:val="none" w:sz="0" w:space="0" w:color="auto"/>
                <w:left w:val="none" w:sz="0" w:space="0" w:color="auto"/>
                <w:bottom w:val="none" w:sz="0" w:space="0" w:color="auto"/>
                <w:right w:val="none" w:sz="0" w:space="0" w:color="auto"/>
              </w:divBdr>
            </w:div>
            <w:div w:id="1610157336">
              <w:marLeft w:val="0"/>
              <w:marRight w:val="0"/>
              <w:marTop w:val="0"/>
              <w:marBottom w:val="0"/>
              <w:divBdr>
                <w:top w:val="none" w:sz="0" w:space="0" w:color="auto"/>
                <w:left w:val="none" w:sz="0" w:space="0" w:color="auto"/>
                <w:bottom w:val="none" w:sz="0" w:space="0" w:color="auto"/>
                <w:right w:val="none" w:sz="0" w:space="0" w:color="auto"/>
              </w:divBdr>
            </w:div>
            <w:div w:id="1286228306">
              <w:marLeft w:val="0"/>
              <w:marRight w:val="0"/>
              <w:marTop w:val="0"/>
              <w:marBottom w:val="0"/>
              <w:divBdr>
                <w:top w:val="none" w:sz="0" w:space="0" w:color="auto"/>
                <w:left w:val="none" w:sz="0" w:space="0" w:color="auto"/>
                <w:bottom w:val="none" w:sz="0" w:space="0" w:color="auto"/>
                <w:right w:val="none" w:sz="0" w:space="0" w:color="auto"/>
              </w:divBdr>
            </w:div>
            <w:div w:id="1592621375">
              <w:marLeft w:val="0"/>
              <w:marRight w:val="0"/>
              <w:marTop w:val="0"/>
              <w:marBottom w:val="0"/>
              <w:divBdr>
                <w:top w:val="none" w:sz="0" w:space="0" w:color="auto"/>
                <w:left w:val="none" w:sz="0" w:space="0" w:color="auto"/>
                <w:bottom w:val="none" w:sz="0" w:space="0" w:color="auto"/>
                <w:right w:val="none" w:sz="0" w:space="0" w:color="auto"/>
              </w:divBdr>
            </w:div>
            <w:div w:id="466121529">
              <w:marLeft w:val="0"/>
              <w:marRight w:val="0"/>
              <w:marTop w:val="0"/>
              <w:marBottom w:val="0"/>
              <w:divBdr>
                <w:top w:val="none" w:sz="0" w:space="0" w:color="auto"/>
                <w:left w:val="none" w:sz="0" w:space="0" w:color="auto"/>
                <w:bottom w:val="none" w:sz="0" w:space="0" w:color="auto"/>
                <w:right w:val="none" w:sz="0" w:space="0" w:color="auto"/>
              </w:divBdr>
            </w:div>
            <w:div w:id="50616590">
              <w:marLeft w:val="0"/>
              <w:marRight w:val="0"/>
              <w:marTop w:val="0"/>
              <w:marBottom w:val="0"/>
              <w:divBdr>
                <w:top w:val="none" w:sz="0" w:space="0" w:color="auto"/>
                <w:left w:val="none" w:sz="0" w:space="0" w:color="auto"/>
                <w:bottom w:val="none" w:sz="0" w:space="0" w:color="auto"/>
                <w:right w:val="none" w:sz="0" w:space="0" w:color="auto"/>
              </w:divBdr>
            </w:div>
            <w:div w:id="254216033">
              <w:marLeft w:val="0"/>
              <w:marRight w:val="0"/>
              <w:marTop w:val="0"/>
              <w:marBottom w:val="0"/>
              <w:divBdr>
                <w:top w:val="none" w:sz="0" w:space="0" w:color="auto"/>
                <w:left w:val="none" w:sz="0" w:space="0" w:color="auto"/>
                <w:bottom w:val="none" w:sz="0" w:space="0" w:color="auto"/>
                <w:right w:val="none" w:sz="0" w:space="0" w:color="auto"/>
              </w:divBdr>
            </w:div>
            <w:div w:id="666664936">
              <w:marLeft w:val="0"/>
              <w:marRight w:val="0"/>
              <w:marTop w:val="0"/>
              <w:marBottom w:val="0"/>
              <w:divBdr>
                <w:top w:val="none" w:sz="0" w:space="0" w:color="auto"/>
                <w:left w:val="none" w:sz="0" w:space="0" w:color="auto"/>
                <w:bottom w:val="none" w:sz="0" w:space="0" w:color="auto"/>
                <w:right w:val="none" w:sz="0" w:space="0" w:color="auto"/>
              </w:divBdr>
            </w:div>
            <w:div w:id="410932208">
              <w:marLeft w:val="0"/>
              <w:marRight w:val="0"/>
              <w:marTop w:val="0"/>
              <w:marBottom w:val="0"/>
              <w:divBdr>
                <w:top w:val="none" w:sz="0" w:space="0" w:color="auto"/>
                <w:left w:val="none" w:sz="0" w:space="0" w:color="auto"/>
                <w:bottom w:val="none" w:sz="0" w:space="0" w:color="auto"/>
                <w:right w:val="none" w:sz="0" w:space="0" w:color="auto"/>
              </w:divBdr>
            </w:div>
            <w:div w:id="890729636">
              <w:marLeft w:val="0"/>
              <w:marRight w:val="0"/>
              <w:marTop w:val="0"/>
              <w:marBottom w:val="0"/>
              <w:divBdr>
                <w:top w:val="none" w:sz="0" w:space="0" w:color="auto"/>
                <w:left w:val="none" w:sz="0" w:space="0" w:color="auto"/>
                <w:bottom w:val="none" w:sz="0" w:space="0" w:color="auto"/>
                <w:right w:val="none" w:sz="0" w:space="0" w:color="auto"/>
              </w:divBdr>
            </w:div>
            <w:div w:id="1562986035">
              <w:marLeft w:val="0"/>
              <w:marRight w:val="0"/>
              <w:marTop w:val="0"/>
              <w:marBottom w:val="0"/>
              <w:divBdr>
                <w:top w:val="none" w:sz="0" w:space="0" w:color="auto"/>
                <w:left w:val="none" w:sz="0" w:space="0" w:color="auto"/>
                <w:bottom w:val="none" w:sz="0" w:space="0" w:color="auto"/>
                <w:right w:val="none" w:sz="0" w:space="0" w:color="auto"/>
              </w:divBdr>
            </w:div>
            <w:div w:id="571085658">
              <w:marLeft w:val="0"/>
              <w:marRight w:val="0"/>
              <w:marTop w:val="0"/>
              <w:marBottom w:val="0"/>
              <w:divBdr>
                <w:top w:val="none" w:sz="0" w:space="0" w:color="auto"/>
                <w:left w:val="none" w:sz="0" w:space="0" w:color="auto"/>
                <w:bottom w:val="none" w:sz="0" w:space="0" w:color="auto"/>
                <w:right w:val="none" w:sz="0" w:space="0" w:color="auto"/>
              </w:divBdr>
            </w:div>
            <w:div w:id="1771317338">
              <w:marLeft w:val="0"/>
              <w:marRight w:val="0"/>
              <w:marTop w:val="0"/>
              <w:marBottom w:val="0"/>
              <w:divBdr>
                <w:top w:val="none" w:sz="0" w:space="0" w:color="auto"/>
                <w:left w:val="none" w:sz="0" w:space="0" w:color="auto"/>
                <w:bottom w:val="none" w:sz="0" w:space="0" w:color="auto"/>
                <w:right w:val="none" w:sz="0" w:space="0" w:color="auto"/>
              </w:divBdr>
            </w:div>
            <w:div w:id="225577946">
              <w:marLeft w:val="0"/>
              <w:marRight w:val="0"/>
              <w:marTop w:val="0"/>
              <w:marBottom w:val="0"/>
              <w:divBdr>
                <w:top w:val="none" w:sz="0" w:space="0" w:color="auto"/>
                <w:left w:val="none" w:sz="0" w:space="0" w:color="auto"/>
                <w:bottom w:val="none" w:sz="0" w:space="0" w:color="auto"/>
                <w:right w:val="none" w:sz="0" w:space="0" w:color="auto"/>
              </w:divBdr>
            </w:div>
            <w:div w:id="826361173">
              <w:marLeft w:val="0"/>
              <w:marRight w:val="0"/>
              <w:marTop w:val="0"/>
              <w:marBottom w:val="0"/>
              <w:divBdr>
                <w:top w:val="none" w:sz="0" w:space="0" w:color="auto"/>
                <w:left w:val="none" w:sz="0" w:space="0" w:color="auto"/>
                <w:bottom w:val="none" w:sz="0" w:space="0" w:color="auto"/>
                <w:right w:val="none" w:sz="0" w:space="0" w:color="auto"/>
              </w:divBdr>
            </w:div>
            <w:div w:id="1571889897">
              <w:marLeft w:val="0"/>
              <w:marRight w:val="0"/>
              <w:marTop w:val="0"/>
              <w:marBottom w:val="0"/>
              <w:divBdr>
                <w:top w:val="none" w:sz="0" w:space="0" w:color="auto"/>
                <w:left w:val="none" w:sz="0" w:space="0" w:color="auto"/>
                <w:bottom w:val="none" w:sz="0" w:space="0" w:color="auto"/>
                <w:right w:val="none" w:sz="0" w:space="0" w:color="auto"/>
              </w:divBdr>
            </w:div>
            <w:div w:id="1207640002">
              <w:marLeft w:val="0"/>
              <w:marRight w:val="0"/>
              <w:marTop w:val="0"/>
              <w:marBottom w:val="0"/>
              <w:divBdr>
                <w:top w:val="none" w:sz="0" w:space="0" w:color="auto"/>
                <w:left w:val="none" w:sz="0" w:space="0" w:color="auto"/>
                <w:bottom w:val="none" w:sz="0" w:space="0" w:color="auto"/>
                <w:right w:val="none" w:sz="0" w:space="0" w:color="auto"/>
              </w:divBdr>
            </w:div>
            <w:div w:id="2030792714">
              <w:marLeft w:val="0"/>
              <w:marRight w:val="0"/>
              <w:marTop w:val="0"/>
              <w:marBottom w:val="0"/>
              <w:divBdr>
                <w:top w:val="none" w:sz="0" w:space="0" w:color="auto"/>
                <w:left w:val="none" w:sz="0" w:space="0" w:color="auto"/>
                <w:bottom w:val="none" w:sz="0" w:space="0" w:color="auto"/>
                <w:right w:val="none" w:sz="0" w:space="0" w:color="auto"/>
              </w:divBdr>
            </w:div>
            <w:div w:id="1548295120">
              <w:marLeft w:val="0"/>
              <w:marRight w:val="0"/>
              <w:marTop w:val="0"/>
              <w:marBottom w:val="0"/>
              <w:divBdr>
                <w:top w:val="none" w:sz="0" w:space="0" w:color="auto"/>
                <w:left w:val="none" w:sz="0" w:space="0" w:color="auto"/>
                <w:bottom w:val="none" w:sz="0" w:space="0" w:color="auto"/>
                <w:right w:val="none" w:sz="0" w:space="0" w:color="auto"/>
              </w:divBdr>
            </w:div>
            <w:div w:id="2122450728">
              <w:marLeft w:val="0"/>
              <w:marRight w:val="0"/>
              <w:marTop w:val="0"/>
              <w:marBottom w:val="0"/>
              <w:divBdr>
                <w:top w:val="none" w:sz="0" w:space="0" w:color="auto"/>
                <w:left w:val="none" w:sz="0" w:space="0" w:color="auto"/>
                <w:bottom w:val="none" w:sz="0" w:space="0" w:color="auto"/>
                <w:right w:val="none" w:sz="0" w:space="0" w:color="auto"/>
              </w:divBdr>
            </w:div>
            <w:div w:id="498543178">
              <w:marLeft w:val="0"/>
              <w:marRight w:val="0"/>
              <w:marTop w:val="0"/>
              <w:marBottom w:val="0"/>
              <w:divBdr>
                <w:top w:val="none" w:sz="0" w:space="0" w:color="auto"/>
                <w:left w:val="none" w:sz="0" w:space="0" w:color="auto"/>
                <w:bottom w:val="none" w:sz="0" w:space="0" w:color="auto"/>
                <w:right w:val="none" w:sz="0" w:space="0" w:color="auto"/>
              </w:divBdr>
            </w:div>
            <w:div w:id="2108303233">
              <w:marLeft w:val="0"/>
              <w:marRight w:val="0"/>
              <w:marTop w:val="0"/>
              <w:marBottom w:val="0"/>
              <w:divBdr>
                <w:top w:val="none" w:sz="0" w:space="0" w:color="auto"/>
                <w:left w:val="none" w:sz="0" w:space="0" w:color="auto"/>
                <w:bottom w:val="none" w:sz="0" w:space="0" w:color="auto"/>
                <w:right w:val="none" w:sz="0" w:space="0" w:color="auto"/>
              </w:divBdr>
            </w:div>
            <w:div w:id="150760894">
              <w:marLeft w:val="0"/>
              <w:marRight w:val="0"/>
              <w:marTop w:val="0"/>
              <w:marBottom w:val="0"/>
              <w:divBdr>
                <w:top w:val="none" w:sz="0" w:space="0" w:color="auto"/>
                <w:left w:val="none" w:sz="0" w:space="0" w:color="auto"/>
                <w:bottom w:val="none" w:sz="0" w:space="0" w:color="auto"/>
                <w:right w:val="none" w:sz="0" w:space="0" w:color="auto"/>
              </w:divBdr>
            </w:div>
            <w:div w:id="865751700">
              <w:marLeft w:val="0"/>
              <w:marRight w:val="0"/>
              <w:marTop w:val="0"/>
              <w:marBottom w:val="0"/>
              <w:divBdr>
                <w:top w:val="none" w:sz="0" w:space="0" w:color="auto"/>
                <w:left w:val="none" w:sz="0" w:space="0" w:color="auto"/>
                <w:bottom w:val="none" w:sz="0" w:space="0" w:color="auto"/>
                <w:right w:val="none" w:sz="0" w:space="0" w:color="auto"/>
              </w:divBdr>
            </w:div>
            <w:div w:id="276452448">
              <w:marLeft w:val="0"/>
              <w:marRight w:val="0"/>
              <w:marTop w:val="0"/>
              <w:marBottom w:val="0"/>
              <w:divBdr>
                <w:top w:val="none" w:sz="0" w:space="0" w:color="auto"/>
                <w:left w:val="none" w:sz="0" w:space="0" w:color="auto"/>
                <w:bottom w:val="none" w:sz="0" w:space="0" w:color="auto"/>
                <w:right w:val="none" w:sz="0" w:space="0" w:color="auto"/>
              </w:divBdr>
            </w:div>
            <w:div w:id="2098750845">
              <w:marLeft w:val="0"/>
              <w:marRight w:val="0"/>
              <w:marTop w:val="0"/>
              <w:marBottom w:val="0"/>
              <w:divBdr>
                <w:top w:val="none" w:sz="0" w:space="0" w:color="auto"/>
                <w:left w:val="none" w:sz="0" w:space="0" w:color="auto"/>
                <w:bottom w:val="none" w:sz="0" w:space="0" w:color="auto"/>
                <w:right w:val="none" w:sz="0" w:space="0" w:color="auto"/>
              </w:divBdr>
            </w:div>
            <w:div w:id="139613273">
              <w:marLeft w:val="0"/>
              <w:marRight w:val="0"/>
              <w:marTop w:val="0"/>
              <w:marBottom w:val="0"/>
              <w:divBdr>
                <w:top w:val="none" w:sz="0" w:space="0" w:color="auto"/>
                <w:left w:val="none" w:sz="0" w:space="0" w:color="auto"/>
                <w:bottom w:val="none" w:sz="0" w:space="0" w:color="auto"/>
                <w:right w:val="none" w:sz="0" w:space="0" w:color="auto"/>
              </w:divBdr>
            </w:div>
            <w:div w:id="1844513176">
              <w:marLeft w:val="0"/>
              <w:marRight w:val="0"/>
              <w:marTop w:val="0"/>
              <w:marBottom w:val="0"/>
              <w:divBdr>
                <w:top w:val="none" w:sz="0" w:space="0" w:color="auto"/>
                <w:left w:val="none" w:sz="0" w:space="0" w:color="auto"/>
                <w:bottom w:val="none" w:sz="0" w:space="0" w:color="auto"/>
                <w:right w:val="none" w:sz="0" w:space="0" w:color="auto"/>
              </w:divBdr>
            </w:div>
            <w:div w:id="89201887">
              <w:marLeft w:val="0"/>
              <w:marRight w:val="0"/>
              <w:marTop w:val="0"/>
              <w:marBottom w:val="0"/>
              <w:divBdr>
                <w:top w:val="none" w:sz="0" w:space="0" w:color="auto"/>
                <w:left w:val="none" w:sz="0" w:space="0" w:color="auto"/>
                <w:bottom w:val="none" w:sz="0" w:space="0" w:color="auto"/>
                <w:right w:val="none" w:sz="0" w:space="0" w:color="auto"/>
              </w:divBdr>
            </w:div>
            <w:div w:id="750809465">
              <w:marLeft w:val="0"/>
              <w:marRight w:val="0"/>
              <w:marTop w:val="0"/>
              <w:marBottom w:val="0"/>
              <w:divBdr>
                <w:top w:val="none" w:sz="0" w:space="0" w:color="auto"/>
                <w:left w:val="none" w:sz="0" w:space="0" w:color="auto"/>
                <w:bottom w:val="none" w:sz="0" w:space="0" w:color="auto"/>
                <w:right w:val="none" w:sz="0" w:space="0" w:color="auto"/>
              </w:divBdr>
            </w:div>
            <w:div w:id="1425954482">
              <w:marLeft w:val="0"/>
              <w:marRight w:val="0"/>
              <w:marTop w:val="0"/>
              <w:marBottom w:val="0"/>
              <w:divBdr>
                <w:top w:val="none" w:sz="0" w:space="0" w:color="auto"/>
                <w:left w:val="none" w:sz="0" w:space="0" w:color="auto"/>
                <w:bottom w:val="none" w:sz="0" w:space="0" w:color="auto"/>
                <w:right w:val="none" w:sz="0" w:space="0" w:color="auto"/>
              </w:divBdr>
            </w:div>
            <w:div w:id="316610632">
              <w:marLeft w:val="0"/>
              <w:marRight w:val="0"/>
              <w:marTop w:val="0"/>
              <w:marBottom w:val="0"/>
              <w:divBdr>
                <w:top w:val="none" w:sz="0" w:space="0" w:color="auto"/>
                <w:left w:val="none" w:sz="0" w:space="0" w:color="auto"/>
                <w:bottom w:val="none" w:sz="0" w:space="0" w:color="auto"/>
                <w:right w:val="none" w:sz="0" w:space="0" w:color="auto"/>
              </w:divBdr>
            </w:div>
            <w:div w:id="2132822971">
              <w:marLeft w:val="0"/>
              <w:marRight w:val="0"/>
              <w:marTop w:val="0"/>
              <w:marBottom w:val="0"/>
              <w:divBdr>
                <w:top w:val="none" w:sz="0" w:space="0" w:color="auto"/>
                <w:left w:val="none" w:sz="0" w:space="0" w:color="auto"/>
                <w:bottom w:val="none" w:sz="0" w:space="0" w:color="auto"/>
                <w:right w:val="none" w:sz="0" w:space="0" w:color="auto"/>
              </w:divBdr>
            </w:div>
            <w:div w:id="1871528542">
              <w:marLeft w:val="0"/>
              <w:marRight w:val="0"/>
              <w:marTop w:val="0"/>
              <w:marBottom w:val="0"/>
              <w:divBdr>
                <w:top w:val="none" w:sz="0" w:space="0" w:color="auto"/>
                <w:left w:val="none" w:sz="0" w:space="0" w:color="auto"/>
                <w:bottom w:val="none" w:sz="0" w:space="0" w:color="auto"/>
                <w:right w:val="none" w:sz="0" w:space="0" w:color="auto"/>
              </w:divBdr>
            </w:div>
            <w:div w:id="546340179">
              <w:marLeft w:val="0"/>
              <w:marRight w:val="0"/>
              <w:marTop w:val="0"/>
              <w:marBottom w:val="0"/>
              <w:divBdr>
                <w:top w:val="none" w:sz="0" w:space="0" w:color="auto"/>
                <w:left w:val="none" w:sz="0" w:space="0" w:color="auto"/>
                <w:bottom w:val="none" w:sz="0" w:space="0" w:color="auto"/>
                <w:right w:val="none" w:sz="0" w:space="0" w:color="auto"/>
              </w:divBdr>
            </w:div>
            <w:div w:id="78987128">
              <w:marLeft w:val="0"/>
              <w:marRight w:val="0"/>
              <w:marTop w:val="0"/>
              <w:marBottom w:val="0"/>
              <w:divBdr>
                <w:top w:val="none" w:sz="0" w:space="0" w:color="auto"/>
                <w:left w:val="none" w:sz="0" w:space="0" w:color="auto"/>
                <w:bottom w:val="none" w:sz="0" w:space="0" w:color="auto"/>
                <w:right w:val="none" w:sz="0" w:space="0" w:color="auto"/>
              </w:divBdr>
            </w:div>
            <w:div w:id="75633906">
              <w:marLeft w:val="0"/>
              <w:marRight w:val="0"/>
              <w:marTop w:val="0"/>
              <w:marBottom w:val="0"/>
              <w:divBdr>
                <w:top w:val="none" w:sz="0" w:space="0" w:color="auto"/>
                <w:left w:val="none" w:sz="0" w:space="0" w:color="auto"/>
                <w:bottom w:val="none" w:sz="0" w:space="0" w:color="auto"/>
                <w:right w:val="none" w:sz="0" w:space="0" w:color="auto"/>
              </w:divBdr>
            </w:div>
            <w:div w:id="596212764">
              <w:marLeft w:val="0"/>
              <w:marRight w:val="0"/>
              <w:marTop w:val="0"/>
              <w:marBottom w:val="0"/>
              <w:divBdr>
                <w:top w:val="none" w:sz="0" w:space="0" w:color="auto"/>
                <w:left w:val="none" w:sz="0" w:space="0" w:color="auto"/>
                <w:bottom w:val="none" w:sz="0" w:space="0" w:color="auto"/>
                <w:right w:val="none" w:sz="0" w:space="0" w:color="auto"/>
              </w:divBdr>
            </w:div>
            <w:div w:id="1947228506">
              <w:marLeft w:val="0"/>
              <w:marRight w:val="0"/>
              <w:marTop w:val="0"/>
              <w:marBottom w:val="0"/>
              <w:divBdr>
                <w:top w:val="none" w:sz="0" w:space="0" w:color="auto"/>
                <w:left w:val="none" w:sz="0" w:space="0" w:color="auto"/>
                <w:bottom w:val="none" w:sz="0" w:space="0" w:color="auto"/>
                <w:right w:val="none" w:sz="0" w:space="0" w:color="auto"/>
              </w:divBdr>
            </w:div>
            <w:div w:id="2025549241">
              <w:marLeft w:val="0"/>
              <w:marRight w:val="0"/>
              <w:marTop w:val="0"/>
              <w:marBottom w:val="0"/>
              <w:divBdr>
                <w:top w:val="none" w:sz="0" w:space="0" w:color="auto"/>
                <w:left w:val="none" w:sz="0" w:space="0" w:color="auto"/>
                <w:bottom w:val="none" w:sz="0" w:space="0" w:color="auto"/>
                <w:right w:val="none" w:sz="0" w:space="0" w:color="auto"/>
              </w:divBdr>
            </w:div>
            <w:div w:id="1759911570">
              <w:marLeft w:val="0"/>
              <w:marRight w:val="0"/>
              <w:marTop w:val="0"/>
              <w:marBottom w:val="0"/>
              <w:divBdr>
                <w:top w:val="none" w:sz="0" w:space="0" w:color="auto"/>
                <w:left w:val="none" w:sz="0" w:space="0" w:color="auto"/>
                <w:bottom w:val="none" w:sz="0" w:space="0" w:color="auto"/>
                <w:right w:val="none" w:sz="0" w:space="0" w:color="auto"/>
              </w:divBdr>
            </w:div>
            <w:div w:id="1173378202">
              <w:marLeft w:val="0"/>
              <w:marRight w:val="0"/>
              <w:marTop w:val="0"/>
              <w:marBottom w:val="0"/>
              <w:divBdr>
                <w:top w:val="none" w:sz="0" w:space="0" w:color="auto"/>
                <w:left w:val="none" w:sz="0" w:space="0" w:color="auto"/>
                <w:bottom w:val="none" w:sz="0" w:space="0" w:color="auto"/>
                <w:right w:val="none" w:sz="0" w:space="0" w:color="auto"/>
              </w:divBdr>
            </w:div>
            <w:div w:id="1026246898">
              <w:marLeft w:val="0"/>
              <w:marRight w:val="0"/>
              <w:marTop w:val="0"/>
              <w:marBottom w:val="0"/>
              <w:divBdr>
                <w:top w:val="none" w:sz="0" w:space="0" w:color="auto"/>
                <w:left w:val="none" w:sz="0" w:space="0" w:color="auto"/>
                <w:bottom w:val="none" w:sz="0" w:space="0" w:color="auto"/>
                <w:right w:val="none" w:sz="0" w:space="0" w:color="auto"/>
              </w:divBdr>
            </w:div>
            <w:div w:id="2025477003">
              <w:marLeft w:val="0"/>
              <w:marRight w:val="0"/>
              <w:marTop w:val="0"/>
              <w:marBottom w:val="0"/>
              <w:divBdr>
                <w:top w:val="none" w:sz="0" w:space="0" w:color="auto"/>
                <w:left w:val="none" w:sz="0" w:space="0" w:color="auto"/>
                <w:bottom w:val="none" w:sz="0" w:space="0" w:color="auto"/>
                <w:right w:val="none" w:sz="0" w:space="0" w:color="auto"/>
              </w:divBdr>
            </w:div>
            <w:div w:id="423263229">
              <w:marLeft w:val="0"/>
              <w:marRight w:val="0"/>
              <w:marTop w:val="0"/>
              <w:marBottom w:val="0"/>
              <w:divBdr>
                <w:top w:val="none" w:sz="0" w:space="0" w:color="auto"/>
                <w:left w:val="none" w:sz="0" w:space="0" w:color="auto"/>
                <w:bottom w:val="none" w:sz="0" w:space="0" w:color="auto"/>
                <w:right w:val="none" w:sz="0" w:space="0" w:color="auto"/>
              </w:divBdr>
            </w:div>
            <w:div w:id="949749957">
              <w:marLeft w:val="0"/>
              <w:marRight w:val="0"/>
              <w:marTop w:val="0"/>
              <w:marBottom w:val="0"/>
              <w:divBdr>
                <w:top w:val="none" w:sz="0" w:space="0" w:color="auto"/>
                <w:left w:val="none" w:sz="0" w:space="0" w:color="auto"/>
                <w:bottom w:val="none" w:sz="0" w:space="0" w:color="auto"/>
                <w:right w:val="none" w:sz="0" w:space="0" w:color="auto"/>
              </w:divBdr>
            </w:div>
            <w:div w:id="10769222">
              <w:marLeft w:val="0"/>
              <w:marRight w:val="0"/>
              <w:marTop w:val="0"/>
              <w:marBottom w:val="0"/>
              <w:divBdr>
                <w:top w:val="none" w:sz="0" w:space="0" w:color="auto"/>
                <w:left w:val="none" w:sz="0" w:space="0" w:color="auto"/>
                <w:bottom w:val="none" w:sz="0" w:space="0" w:color="auto"/>
                <w:right w:val="none" w:sz="0" w:space="0" w:color="auto"/>
              </w:divBdr>
            </w:div>
            <w:div w:id="1111121945">
              <w:marLeft w:val="0"/>
              <w:marRight w:val="0"/>
              <w:marTop w:val="0"/>
              <w:marBottom w:val="0"/>
              <w:divBdr>
                <w:top w:val="none" w:sz="0" w:space="0" w:color="auto"/>
                <w:left w:val="none" w:sz="0" w:space="0" w:color="auto"/>
                <w:bottom w:val="none" w:sz="0" w:space="0" w:color="auto"/>
                <w:right w:val="none" w:sz="0" w:space="0" w:color="auto"/>
              </w:divBdr>
            </w:div>
            <w:div w:id="1290090789">
              <w:marLeft w:val="0"/>
              <w:marRight w:val="0"/>
              <w:marTop w:val="0"/>
              <w:marBottom w:val="0"/>
              <w:divBdr>
                <w:top w:val="none" w:sz="0" w:space="0" w:color="auto"/>
                <w:left w:val="none" w:sz="0" w:space="0" w:color="auto"/>
                <w:bottom w:val="none" w:sz="0" w:space="0" w:color="auto"/>
                <w:right w:val="none" w:sz="0" w:space="0" w:color="auto"/>
              </w:divBdr>
            </w:div>
            <w:div w:id="1507401261">
              <w:marLeft w:val="0"/>
              <w:marRight w:val="0"/>
              <w:marTop w:val="0"/>
              <w:marBottom w:val="0"/>
              <w:divBdr>
                <w:top w:val="none" w:sz="0" w:space="0" w:color="auto"/>
                <w:left w:val="none" w:sz="0" w:space="0" w:color="auto"/>
                <w:bottom w:val="none" w:sz="0" w:space="0" w:color="auto"/>
                <w:right w:val="none" w:sz="0" w:space="0" w:color="auto"/>
              </w:divBdr>
            </w:div>
            <w:div w:id="837842467">
              <w:marLeft w:val="0"/>
              <w:marRight w:val="0"/>
              <w:marTop w:val="0"/>
              <w:marBottom w:val="0"/>
              <w:divBdr>
                <w:top w:val="none" w:sz="0" w:space="0" w:color="auto"/>
                <w:left w:val="none" w:sz="0" w:space="0" w:color="auto"/>
                <w:bottom w:val="none" w:sz="0" w:space="0" w:color="auto"/>
                <w:right w:val="none" w:sz="0" w:space="0" w:color="auto"/>
              </w:divBdr>
            </w:div>
            <w:div w:id="1168862189">
              <w:marLeft w:val="0"/>
              <w:marRight w:val="0"/>
              <w:marTop w:val="0"/>
              <w:marBottom w:val="0"/>
              <w:divBdr>
                <w:top w:val="none" w:sz="0" w:space="0" w:color="auto"/>
                <w:left w:val="none" w:sz="0" w:space="0" w:color="auto"/>
                <w:bottom w:val="none" w:sz="0" w:space="0" w:color="auto"/>
                <w:right w:val="none" w:sz="0" w:space="0" w:color="auto"/>
              </w:divBdr>
            </w:div>
            <w:div w:id="44372149">
              <w:marLeft w:val="0"/>
              <w:marRight w:val="0"/>
              <w:marTop w:val="0"/>
              <w:marBottom w:val="0"/>
              <w:divBdr>
                <w:top w:val="none" w:sz="0" w:space="0" w:color="auto"/>
                <w:left w:val="none" w:sz="0" w:space="0" w:color="auto"/>
                <w:bottom w:val="none" w:sz="0" w:space="0" w:color="auto"/>
                <w:right w:val="none" w:sz="0" w:space="0" w:color="auto"/>
              </w:divBdr>
            </w:div>
            <w:div w:id="46222146">
              <w:marLeft w:val="0"/>
              <w:marRight w:val="0"/>
              <w:marTop w:val="0"/>
              <w:marBottom w:val="0"/>
              <w:divBdr>
                <w:top w:val="none" w:sz="0" w:space="0" w:color="auto"/>
                <w:left w:val="none" w:sz="0" w:space="0" w:color="auto"/>
                <w:bottom w:val="none" w:sz="0" w:space="0" w:color="auto"/>
                <w:right w:val="none" w:sz="0" w:space="0" w:color="auto"/>
              </w:divBdr>
            </w:div>
            <w:div w:id="1137140068">
              <w:marLeft w:val="0"/>
              <w:marRight w:val="0"/>
              <w:marTop w:val="0"/>
              <w:marBottom w:val="0"/>
              <w:divBdr>
                <w:top w:val="none" w:sz="0" w:space="0" w:color="auto"/>
                <w:left w:val="none" w:sz="0" w:space="0" w:color="auto"/>
                <w:bottom w:val="none" w:sz="0" w:space="0" w:color="auto"/>
                <w:right w:val="none" w:sz="0" w:space="0" w:color="auto"/>
              </w:divBdr>
            </w:div>
            <w:div w:id="1564101955">
              <w:marLeft w:val="0"/>
              <w:marRight w:val="0"/>
              <w:marTop w:val="0"/>
              <w:marBottom w:val="0"/>
              <w:divBdr>
                <w:top w:val="none" w:sz="0" w:space="0" w:color="auto"/>
                <w:left w:val="none" w:sz="0" w:space="0" w:color="auto"/>
                <w:bottom w:val="none" w:sz="0" w:space="0" w:color="auto"/>
                <w:right w:val="none" w:sz="0" w:space="0" w:color="auto"/>
              </w:divBdr>
            </w:div>
            <w:div w:id="563030794">
              <w:marLeft w:val="0"/>
              <w:marRight w:val="0"/>
              <w:marTop w:val="0"/>
              <w:marBottom w:val="0"/>
              <w:divBdr>
                <w:top w:val="none" w:sz="0" w:space="0" w:color="auto"/>
                <w:left w:val="none" w:sz="0" w:space="0" w:color="auto"/>
                <w:bottom w:val="none" w:sz="0" w:space="0" w:color="auto"/>
                <w:right w:val="none" w:sz="0" w:space="0" w:color="auto"/>
              </w:divBdr>
            </w:div>
            <w:div w:id="1153840028">
              <w:marLeft w:val="0"/>
              <w:marRight w:val="0"/>
              <w:marTop w:val="0"/>
              <w:marBottom w:val="0"/>
              <w:divBdr>
                <w:top w:val="none" w:sz="0" w:space="0" w:color="auto"/>
                <w:left w:val="none" w:sz="0" w:space="0" w:color="auto"/>
                <w:bottom w:val="none" w:sz="0" w:space="0" w:color="auto"/>
                <w:right w:val="none" w:sz="0" w:space="0" w:color="auto"/>
              </w:divBdr>
            </w:div>
            <w:div w:id="2089762964">
              <w:marLeft w:val="0"/>
              <w:marRight w:val="0"/>
              <w:marTop w:val="0"/>
              <w:marBottom w:val="0"/>
              <w:divBdr>
                <w:top w:val="none" w:sz="0" w:space="0" w:color="auto"/>
                <w:left w:val="none" w:sz="0" w:space="0" w:color="auto"/>
                <w:bottom w:val="none" w:sz="0" w:space="0" w:color="auto"/>
                <w:right w:val="none" w:sz="0" w:space="0" w:color="auto"/>
              </w:divBdr>
            </w:div>
            <w:div w:id="82187132">
              <w:marLeft w:val="0"/>
              <w:marRight w:val="0"/>
              <w:marTop w:val="0"/>
              <w:marBottom w:val="0"/>
              <w:divBdr>
                <w:top w:val="none" w:sz="0" w:space="0" w:color="auto"/>
                <w:left w:val="none" w:sz="0" w:space="0" w:color="auto"/>
                <w:bottom w:val="none" w:sz="0" w:space="0" w:color="auto"/>
                <w:right w:val="none" w:sz="0" w:space="0" w:color="auto"/>
              </w:divBdr>
            </w:div>
            <w:div w:id="37902448">
              <w:marLeft w:val="0"/>
              <w:marRight w:val="0"/>
              <w:marTop w:val="0"/>
              <w:marBottom w:val="0"/>
              <w:divBdr>
                <w:top w:val="none" w:sz="0" w:space="0" w:color="auto"/>
                <w:left w:val="none" w:sz="0" w:space="0" w:color="auto"/>
                <w:bottom w:val="none" w:sz="0" w:space="0" w:color="auto"/>
                <w:right w:val="none" w:sz="0" w:space="0" w:color="auto"/>
              </w:divBdr>
            </w:div>
            <w:div w:id="1786650436">
              <w:marLeft w:val="0"/>
              <w:marRight w:val="0"/>
              <w:marTop w:val="0"/>
              <w:marBottom w:val="0"/>
              <w:divBdr>
                <w:top w:val="none" w:sz="0" w:space="0" w:color="auto"/>
                <w:left w:val="none" w:sz="0" w:space="0" w:color="auto"/>
                <w:bottom w:val="none" w:sz="0" w:space="0" w:color="auto"/>
                <w:right w:val="none" w:sz="0" w:space="0" w:color="auto"/>
              </w:divBdr>
            </w:div>
            <w:div w:id="188877970">
              <w:marLeft w:val="0"/>
              <w:marRight w:val="0"/>
              <w:marTop w:val="0"/>
              <w:marBottom w:val="0"/>
              <w:divBdr>
                <w:top w:val="none" w:sz="0" w:space="0" w:color="auto"/>
                <w:left w:val="none" w:sz="0" w:space="0" w:color="auto"/>
                <w:bottom w:val="none" w:sz="0" w:space="0" w:color="auto"/>
                <w:right w:val="none" w:sz="0" w:space="0" w:color="auto"/>
              </w:divBdr>
            </w:div>
            <w:div w:id="1059204509">
              <w:marLeft w:val="0"/>
              <w:marRight w:val="0"/>
              <w:marTop w:val="0"/>
              <w:marBottom w:val="0"/>
              <w:divBdr>
                <w:top w:val="none" w:sz="0" w:space="0" w:color="auto"/>
                <w:left w:val="none" w:sz="0" w:space="0" w:color="auto"/>
                <w:bottom w:val="none" w:sz="0" w:space="0" w:color="auto"/>
                <w:right w:val="none" w:sz="0" w:space="0" w:color="auto"/>
              </w:divBdr>
            </w:div>
            <w:div w:id="128403182">
              <w:marLeft w:val="0"/>
              <w:marRight w:val="0"/>
              <w:marTop w:val="0"/>
              <w:marBottom w:val="0"/>
              <w:divBdr>
                <w:top w:val="none" w:sz="0" w:space="0" w:color="auto"/>
                <w:left w:val="none" w:sz="0" w:space="0" w:color="auto"/>
                <w:bottom w:val="none" w:sz="0" w:space="0" w:color="auto"/>
                <w:right w:val="none" w:sz="0" w:space="0" w:color="auto"/>
              </w:divBdr>
            </w:div>
            <w:div w:id="884567343">
              <w:marLeft w:val="0"/>
              <w:marRight w:val="0"/>
              <w:marTop w:val="0"/>
              <w:marBottom w:val="0"/>
              <w:divBdr>
                <w:top w:val="none" w:sz="0" w:space="0" w:color="auto"/>
                <w:left w:val="none" w:sz="0" w:space="0" w:color="auto"/>
                <w:bottom w:val="none" w:sz="0" w:space="0" w:color="auto"/>
                <w:right w:val="none" w:sz="0" w:space="0" w:color="auto"/>
              </w:divBdr>
            </w:div>
            <w:div w:id="1090006079">
              <w:marLeft w:val="0"/>
              <w:marRight w:val="0"/>
              <w:marTop w:val="0"/>
              <w:marBottom w:val="0"/>
              <w:divBdr>
                <w:top w:val="none" w:sz="0" w:space="0" w:color="auto"/>
                <w:left w:val="none" w:sz="0" w:space="0" w:color="auto"/>
                <w:bottom w:val="none" w:sz="0" w:space="0" w:color="auto"/>
                <w:right w:val="none" w:sz="0" w:space="0" w:color="auto"/>
              </w:divBdr>
            </w:div>
            <w:div w:id="10568783">
              <w:marLeft w:val="0"/>
              <w:marRight w:val="0"/>
              <w:marTop w:val="0"/>
              <w:marBottom w:val="0"/>
              <w:divBdr>
                <w:top w:val="none" w:sz="0" w:space="0" w:color="auto"/>
                <w:left w:val="none" w:sz="0" w:space="0" w:color="auto"/>
                <w:bottom w:val="none" w:sz="0" w:space="0" w:color="auto"/>
                <w:right w:val="none" w:sz="0" w:space="0" w:color="auto"/>
              </w:divBdr>
            </w:div>
            <w:div w:id="427773303">
              <w:marLeft w:val="0"/>
              <w:marRight w:val="0"/>
              <w:marTop w:val="0"/>
              <w:marBottom w:val="0"/>
              <w:divBdr>
                <w:top w:val="none" w:sz="0" w:space="0" w:color="auto"/>
                <w:left w:val="none" w:sz="0" w:space="0" w:color="auto"/>
                <w:bottom w:val="none" w:sz="0" w:space="0" w:color="auto"/>
                <w:right w:val="none" w:sz="0" w:space="0" w:color="auto"/>
              </w:divBdr>
            </w:div>
            <w:div w:id="1780904802">
              <w:marLeft w:val="0"/>
              <w:marRight w:val="0"/>
              <w:marTop w:val="0"/>
              <w:marBottom w:val="0"/>
              <w:divBdr>
                <w:top w:val="none" w:sz="0" w:space="0" w:color="auto"/>
                <w:left w:val="none" w:sz="0" w:space="0" w:color="auto"/>
                <w:bottom w:val="none" w:sz="0" w:space="0" w:color="auto"/>
                <w:right w:val="none" w:sz="0" w:space="0" w:color="auto"/>
              </w:divBdr>
            </w:div>
            <w:div w:id="809982000">
              <w:marLeft w:val="0"/>
              <w:marRight w:val="0"/>
              <w:marTop w:val="0"/>
              <w:marBottom w:val="0"/>
              <w:divBdr>
                <w:top w:val="none" w:sz="0" w:space="0" w:color="auto"/>
                <w:left w:val="none" w:sz="0" w:space="0" w:color="auto"/>
                <w:bottom w:val="none" w:sz="0" w:space="0" w:color="auto"/>
                <w:right w:val="none" w:sz="0" w:space="0" w:color="auto"/>
              </w:divBdr>
            </w:div>
            <w:div w:id="955864227">
              <w:marLeft w:val="0"/>
              <w:marRight w:val="0"/>
              <w:marTop w:val="0"/>
              <w:marBottom w:val="0"/>
              <w:divBdr>
                <w:top w:val="none" w:sz="0" w:space="0" w:color="auto"/>
                <w:left w:val="none" w:sz="0" w:space="0" w:color="auto"/>
                <w:bottom w:val="none" w:sz="0" w:space="0" w:color="auto"/>
                <w:right w:val="none" w:sz="0" w:space="0" w:color="auto"/>
              </w:divBdr>
            </w:div>
            <w:div w:id="174535787">
              <w:marLeft w:val="0"/>
              <w:marRight w:val="0"/>
              <w:marTop w:val="0"/>
              <w:marBottom w:val="0"/>
              <w:divBdr>
                <w:top w:val="none" w:sz="0" w:space="0" w:color="auto"/>
                <w:left w:val="none" w:sz="0" w:space="0" w:color="auto"/>
                <w:bottom w:val="none" w:sz="0" w:space="0" w:color="auto"/>
                <w:right w:val="none" w:sz="0" w:space="0" w:color="auto"/>
              </w:divBdr>
            </w:div>
            <w:div w:id="248735925">
              <w:marLeft w:val="0"/>
              <w:marRight w:val="0"/>
              <w:marTop w:val="0"/>
              <w:marBottom w:val="0"/>
              <w:divBdr>
                <w:top w:val="none" w:sz="0" w:space="0" w:color="auto"/>
                <w:left w:val="none" w:sz="0" w:space="0" w:color="auto"/>
                <w:bottom w:val="none" w:sz="0" w:space="0" w:color="auto"/>
                <w:right w:val="none" w:sz="0" w:space="0" w:color="auto"/>
              </w:divBdr>
            </w:div>
            <w:div w:id="65811677">
              <w:marLeft w:val="0"/>
              <w:marRight w:val="0"/>
              <w:marTop w:val="0"/>
              <w:marBottom w:val="0"/>
              <w:divBdr>
                <w:top w:val="none" w:sz="0" w:space="0" w:color="auto"/>
                <w:left w:val="none" w:sz="0" w:space="0" w:color="auto"/>
                <w:bottom w:val="none" w:sz="0" w:space="0" w:color="auto"/>
                <w:right w:val="none" w:sz="0" w:space="0" w:color="auto"/>
              </w:divBdr>
            </w:div>
            <w:div w:id="128596554">
              <w:marLeft w:val="0"/>
              <w:marRight w:val="0"/>
              <w:marTop w:val="0"/>
              <w:marBottom w:val="0"/>
              <w:divBdr>
                <w:top w:val="none" w:sz="0" w:space="0" w:color="auto"/>
                <w:left w:val="none" w:sz="0" w:space="0" w:color="auto"/>
                <w:bottom w:val="none" w:sz="0" w:space="0" w:color="auto"/>
                <w:right w:val="none" w:sz="0" w:space="0" w:color="auto"/>
              </w:divBdr>
            </w:div>
            <w:div w:id="1215966558">
              <w:marLeft w:val="0"/>
              <w:marRight w:val="0"/>
              <w:marTop w:val="0"/>
              <w:marBottom w:val="0"/>
              <w:divBdr>
                <w:top w:val="none" w:sz="0" w:space="0" w:color="auto"/>
                <w:left w:val="none" w:sz="0" w:space="0" w:color="auto"/>
                <w:bottom w:val="none" w:sz="0" w:space="0" w:color="auto"/>
                <w:right w:val="none" w:sz="0" w:space="0" w:color="auto"/>
              </w:divBdr>
            </w:div>
            <w:div w:id="1916890360">
              <w:marLeft w:val="0"/>
              <w:marRight w:val="0"/>
              <w:marTop w:val="0"/>
              <w:marBottom w:val="0"/>
              <w:divBdr>
                <w:top w:val="none" w:sz="0" w:space="0" w:color="auto"/>
                <w:left w:val="none" w:sz="0" w:space="0" w:color="auto"/>
                <w:bottom w:val="none" w:sz="0" w:space="0" w:color="auto"/>
                <w:right w:val="none" w:sz="0" w:space="0" w:color="auto"/>
              </w:divBdr>
            </w:div>
            <w:div w:id="299655137">
              <w:marLeft w:val="0"/>
              <w:marRight w:val="0"/>
              <w:marTop w:val="0"/>
              <w:marBottom w:val="0"/>
              <w:divBdr>
                <w:top w:val="none" w:sz="0" w:space="0" w:color="auto"/>
                <w:left w:val="none" w:sz="0" w:space="0" w:color="auto"/>
                <w:bottom w:val="none" w:sz="0" w:space="0" w:color="auto"/>
                <w:right w:val="none" w:sz="0" w:space="0" w:color="auto"/>
              </w:divBdr>
            </w:div>
            <w:div w:id="1853489794">
              <w:marLeft w:val="0"/>
              <w:marRight w:val="0"/>
              <w:marTop w:val="0"/>
              <w:marBottom w:val="0"/>
              <w:divBdr>
                <w:top w:val="none" w:sz="0" w:space="0" w:color="auto"/>
                <w:left w:val="none" w:sz="0" w:space="0" w:color="auto"/>
                <w:bottom w:val="none" w:sz="0" w:space="0" w:color="auto"/>
                <w:right w:val="none" w:sz="0" w:space="0" w:color="auto"/>
              </w:divBdr>
            </w:div>
            <w:div w:id="1087267886">
              <w:marLeft w:val="0"/>
              <w:marRight w:val="0"/>
              <w:marTop w:val="0"/>
              <w:marBottom w:val="0"/>
              <w:divBdr>
                <w:top w:val="none" w:sz="0" w:space="0" w:color="auto"/>
                <w:left w:val="none" w:sz="0" w:space="0" w:color="auto"/>
                <w:bottom w:val="none" w:sz="0" w:space="0" w:color="auto"/>
                <w:right w:val="none" w:sz="0" w:space="0" w:color="auto"/>
              </w:divBdr>
            </w:div>
            <w:div w:id="1487285541">
              <w:marLeft w:val="0"/>
              <w:marRight w:val="0"/>
              <w:marTop w:val="0"/>
              <w:marBottom w:val="0"/>
              <w:divBdr>
                <w:top w:val="none" w:sz="0" w:space="0" w:color="auto"/>
                <w:left w:val="none" w:sz="0" w:space="0" w:color="auto"/>
                <w:bottom w:val="none" w:sz="0" w:space="0" w:color="auto"/>
                <w:right w:val="none" w:sz="0" w:space="0" w:color="auto"/>
              </w:divBdr>
            </w:div>
            <w:div w:id="2085954167">
              <w:marLeft w:val="0"/>
              <w:marRight w:val="0"/>
              <w:marTop w:val="0"/>
              <w:marBottom w:val="0"/>
              <w:divBdr>
                <w:top w:val="none" w:sz="0" w:space="0" w:color="auto"/>
                <w:left w:val="none" w:sz="0" w:space="0" w:color="auto"/>
                <w:bottom w:val="none" w:sz="0" w:space="0" w:color="auto"/>
                <w:right w:val="none" w:sz="0" w:space="0" w:color="auto"/>
              </w:divBdr>
            </w:div>
            <w:div w:id="1249119019">
              <w:marLeft w:val="0"/>
              <w:marRight w:val="0"/>
              <w:marTop w:val="0"/>
              <w:marBottom w:val="0"/>
              <w:divBdr>
                <w:top w:val="none" w:sz="0" w:space="0" w:color="auto"/>
                <w:left w:val="none" w:sz="0" w:space="0" w:color="auto"/>
                <w:bottom w:val="none" w:sz="0" w:space="0" w:color="auto"/>
                <w:right w:val="none" w:sz="0" w:space="0" w:color="auto"/>
              </w:divBdr>
            </w:div>
            <w:div w:id="1822379149">
              <w:marLeft w:val="0"/>
              <w:marRight w:val="0"/>
              <w:marTop w:val="0"/>
              <w:marBottom w:val="0"/>
              <w:divBdr>
                <w:top w:val="none" w:sz="0" w:space="0" w:color="auto"/>
                <w:left w:val="none" w:sz="0" w:space="0" w:color="auto"/>
                <w:bottom w:val="none" w:sz="0" w:space="0" w:color="auto"/>
                <w:right w:val="none" w:sz="0" w:space="0" w:color="auto"/>
              </w:divBdr>
            </w:div>
            <w:div w:id="1662199699">
              <w:marLeft w:val="0"/>
              <w:marRight w:val="0"/>
              <w:marTop w:val="0"/>
              <w:marBottom w:val="0"/>
              <w:divBdr>
                <w:top w:val="none" w:sz="0" w:space="0" w:color="auto"/>
                <w:left w:val="none" w:sz="0" w:space="0" w:color="auto"/>
                <w:bottom w:val="none" w:sz="0" w:space="0" w:color="auto"/>
                <w:right w:val="none" w:sz="0" w:space="0" w:color="auto"/>
              </w:divBdr>
            </w:div>
            <w:div w:id="983050401">
              <w:marLeft w:val="0"/>
              <w:marRight w:val="0"/>
              <w:marTop w:val="0"/>
              <w:marBottom w:val="0"/>
              <w:divBdr>
                <w:top w:val="none" w:sz="0" w:space="0" w:color="auto"/>
                <w:left w:val="none" w:sz="0" w:space="0" w:color="auto"/>
                <w:bottom w:val="none" w:sz="0" w:space="0" w:color="auto"/>
                <w:right w:val="none" w:sz="0" w:space="0" w:color="auto"/>
              </w:divBdr>
            </w:div>
            <w:div w:id="1205488845">
              <w:marLeft w:val="0"/>
              <w:marRight w:val="0"/>
              <w:marTop w:val="0"/>
              <w:marBottom w:val="0"/>
              <w:divBdr>
                <w:top w:val="none" w:sz="0" w:space="0" w:color="auto"/>
                <w:left w:val="none" w:sz="0" w:space="0" w:color="auto"/>
                <w:bottom w:val="none" w:sz="0" w:space="0" w:color="auto"/>
                <w:right w:val="none" w:sz="0" w:space="0" w:color="auto"/>
              </w:divBdr>
            </w:div>
            <w:div w:id="1828936195">
              <w:marLeft w:val="0"/>
              <w:marRight w:val="0"/>
              <w:marTop w:val="0"/>
              <w:marBottom w:val="0"/>
              <w:divBdr>
                <w:top w:val="none" w:sz="0" w:space="0" w:color="auto"/>
                <w:left w:val="none" w:sz="0" w:space="0" w:color="auto"/>
                <w:bottom w:val="none" w:sz="0" w:space="0" w:color="auto"/>
                <w:right w:val="none" w:sz="0" w:space="0" w:color="auto"/>
              </w:divBdr>
            </w:div>
            <w:div w:id="1326473499">
              <w:marLeft w:val="0"/>
              <w:marRight w:val="0"/>
              <w:marTop w:val="0"/>
              <w:marBottom w:val="0"/>
              <w:divBdr>
                <w:top w:val="none" w:sz="0" w:space="0" w:color="auto"/>
                <w:left w:val="none" w:sz="0" w:space="0" w:color="auto"/>
                <w:bottom w:val="none" w:sz="0" w:space="0" w:color="auto"/>
                <w:right w:val="none" w:sz="0" w:space="0" w:color="auto"/>
              </w:divBdr>
            </w:div>
            <w:div w:id="1852450012">
              <w:marLeft w:val="0"/>
              <w:marRight w:val="0"/>
              <w:marTop w:val="0"/>
              <w:marBottom w:val="0"/>
              <w:divBdr>
                <w:top w:val="none" w:sz="0" w:space="0" w:color="auto"/>
                <w:left w:val="none" w:sz="0" w:space="0" w:color="auto"/>
                <w:bottom w:val="none" w:sz="0" w:space="0" w:color="auto"/>
                <w:right w:val="none" w:sz="0" w:space="0" w:color="auto"/>
              </w:divBdr>
            </w:div>
            <w:div w:id="335546241">
              <w:marLeft w:val="0"/>
              <w:marRight w:val="0"/>
              <w:marTop w:val="0"/>
              <w:marBottom w:val="0"/>
              <w:divBdr>
                <w:top w:val="none" w:sz="0" w:space="0" w:color="auto"/>
                <w:left w:val="none" w:sz="0" w:space="0" w:color="auto"/>
                <w:bottom w:val="none" w:sz="0" w:space="0" w:color="auto"/>
                <w:right w:val="none" w:sz="0" w:space="0" w:color="auto"/>
              </w:divBdr>
            </w:div>
            <w:div w:id="1709526576">
              <w:marLeft w:val="0"/>
              <w:marRight w:val="0"/>
              <w:marTop w:val="0"/>
              <w:marBottom w:val="0"/>
              <w:divBdr>
                <w:top w:val="none" w:sz="0" w:space="0" w:color="auto"/>
                <w:left w:val="none" w:sz="0" w:space="0" w:color="auto"/>
                <w:bottom w:val="none" w:sz="0" w:space="0" w:color="auto"/>
                <w:right w:val="none" w:sz="0" w:space="0" w:color="auto"/>
              </w:divBdr>
            </w:div>
            <w:div w:id="734081940">
              <w:marLeft w:val="0"/>
              <w:marRight w:val="0"/>
              <w:marTop w:val="0"/>
              <w:marBottom w:val="0"/>
              <w:divBdr>
                <w:top w:val="none" w:sz="0" w:space="0" w:color="auto"/>
                <w:left w:val="none" w:sz="0" w:space="0" w:color="auto"/>
                <w:bottom w:val="none" w:sz="0" w:space="0" w:color="auto"/>
                <w:right w:val="none" w:sz="0" w:space="0" w:color="auto"/>
              </w:divBdr>
            </w:div>
            <w:div w:id="1305892374">
              <w:marLeft w:val="0"/>
              <w:marRight w:val="0"/>
              <w:marTop w:val="0"/>
              <w:marBottom w:val="0"/>
              <w:divBdr>
                <w:top w:val="none" w:sz="0" w:space="0" w:color="auto"/>
                <w:left w:val="none" w:sz="0" w:space="0" w:color="auto"/>
                <w:bottom w:val="none" w:sz="0" w:space="0" w:color="auto"/>
                <w:right w:val="none" w:sz="0" w:space="0" w:color="auto"/>
              </w:divBdr>
            </w:div>
            <w:div w:id="795028480">
              <w:marLeft w:val="0"/>
              <w:marRight w:val="0"/>
              <w:marTop w:val="0"/>
              <w:marBottom w:val="0"/>
              <w:divBdr>
                <w:top w:val="none" w:sz="0" w:space="0" w:color="auto"/>
                <w:left w:val="none" w:sz="0" w:space="0" w:color="auto"/>
                <w:bottom w:val="none" w:sz="0" w:space="0" w:color="auto"/>
                <w:right w:val="none" w:sz="0" w:space="0" w:color="auto"/>
              </w:divBdr>
            </w:div>
            <w:div w:id="308440566">
              <w:marLeft w:val="0"/>
              <w:marRight w:val="0"/>
              <w:marTop w:val="0"/>
              <w:marBottom w:val="0"/>
              <w:divBdr>
                <w:top w:val="none" w:sz="0" w:space="0" w:color="auto"/>
                <w:left w:val="none" w:sz="0" w:space="0" w:color="auto"/>
                <w:bottom w:val="none" w:sz="0" w:space="0" w:color="auto"/>
                <w:right w:val="none" w:sz="0" w:space="0" w:color="auto"/>
              </w:divBdr>
            </w:div>
            <w:div w:id="477957292">
              <w:marLeft w:val="0"/>
              <w:marRight w:val="0"/>
              <w:marTop w:val="0"/>
              <w:marBottom w:val="0"/>
              <w:divBdr>
                <w:top w:val="none" w:sz="0" w:space="0" w:color="auto"/>
                <w:left w:val="none" w:sz="0" w:space="0" w:color="auto"/>
                <w:bottom w:val="none" w:sz="0" w:space="0" w:color="auto"/>
                <w:right w:val="none" w:sz="0" w:space="0" w:color="auto"/>
              </w:divBdr>
            </w:div>
            <w:div w:id="828403139">
              <w:marLeft w:val="0"/>
              <w:marRight w:val="0"/>
              <w:marTop w:val="0"/>
              <w:marBottom w:val="0"/>
              <w:divBdr>
                <w:top w:val="none" w:sz="0" w:space="0" w:color="auto"/>
                <w:left w:val="none" w:sz="0" w:space="0" w:color="auto"/>
                <w:bottom w:val="none" w:sz="0" w:space="0" w:color="auto"/>
                <w:right w:val="none" w:sz="0" w:space="0" w:color="auto"/>
              </w:divBdr>
            </w:div>
            <w:div w:id="1951694806">
              <w:marLeft w:val="0"/>
              <w:marRight w:val="0"/>
              <w:marTop w:val="0"/>
              <w:marBottom w:val="0"/>
              <w:divBdr>
                <w:top w:val="none" w:sz="0" w:space="0" w:color="auto"/>
                <w:left w:val="none" w:sz="0" w:space="0" w:color="auto"/>
                <w:bottom w:val="none" w:sz="0" w:space="0" w:color="auto"/>
                <w:right w:val="none" w:sz="0" w:space="0" w:color="auto"/>
              </w:divBdr>
            </w:div>
            <w:div w:id="1525942397">
              <w:marLeft w:val="0"/>
              <w:marRight w:val="0"/>
              <w:marTop w:val="0"/>
              <w:marBottom w:val="0"/>
              <w:divBdr>
                <w:top w:val="none" w:sz="0" w:space="0" w:color="auto"/>
                <w:left w:val="none" w:sz="0" w:space="0" w:color="auto"/>
                <w:bottom w:val="none" w:sz="0" w:space="0" w:color="auto"/>
                <w:right w:val="none" w:sz="0" w:space="0" w:color="auto"/>
              </w:divBdr>
            </w:div>
            <w:div w:id="1060203499">
              <w:marLeft w:val="0"/>
              <w:marRight w:val="0"/>
              <w:marTop w:val="0"/>
              <w:marBottom w:val="0"/>
              <w:divBdr>
                <w:top w:val="none" w:sz="0" w:space="0" w:color="auto"/>
                <w:left w:val="none" w:sz="0" w:space="0" w:color="auto"/>
                <w:bottom w:val="none" w:sz="0" w:space="0" w:color="auto"/>
                <w:right w:val="none" w:sz="0" w:space="0" w:color="auto"/>
              </w:divBdr>
            </w:div>
            <w:div w:id="1140540462">
              <w:marLeft w:val="0"/>
              <w:marRight w:val="0"/>
              <w:marTop w:val="0"/>
              <w:marBottom w:val="0"/>
              <w:divBdr>
                <w:top w:val="none" w:sz="0" w:space="0" w:color="auto"/>
                <w:left w:val="none" w:sz="0" w:space="0" w:color="auto"/>
                <w:bottom w:val="none" w:sz="0" w:space="0" w:color="auto"/>
                <w:right w:val="none" w:sz="0" w:space="0" w:color="auto"/>
              </w:divBdr>
            </w:div>
            <w:div w:id="1127090127">
              <w:marLeft w:val="0"/>
              <w:marRight w:val="0"/>
              <w:marTop w:val="0"/>
              <w:marBottom w:val="0"/>
              <w:divBdr>
                <w:top w:val="none" w:sz="0" w:space="0" w:color="auto"/>
                <w:left w:val="none" w:sz="0" w:space="0" w:color="auto"/>
                <w:bottom w:val="none" w:sz="0" w:space="0" w:color="auto"/>
                <w:right w:val="none" w:sz="0" w:space="0" w:color="auto"/>
              </w:divBdr>
            </w:div>
            <w:div w:id="743382137">
              <w:marLeft w:val="0"/>
              <w:marRight w:val="0"/>
              <w:marTop w:val="0"/>
              <w:marBottom w:val="0"/>
              <w:divBdr>
                <w:top w:val="none" w:sz="0" w:space="0" w:color="auto"/>
                <w:left w:val="none" w:sz="0" w:space="0" w:color="auto"/>
                <w:bottom w:val="none" w:sz="0" w:space="0" w:color="auto"/>
                <w:right w:val="none" w:sz="0" w:space="0" w:color="auto"/>
              </w:divBdr>
            </w:div>
            <w:div w:id="1530684753">
              <w:marLeft w:val="0"/>
              <w:marRight w:val="0"/>
              <w:marTop w:val="0"/>
              <w:marBottom w:val="0"/>
              <w:divBdr>
                <w:top w:val="none" w:sz="0" w:space="0" w:color="auto"/>
                <w:left w:val="none" w:sz="0" w:space="0" w:color="auto"/>
                <w:bottom w:val="none" w:sz="0" w:space="0" w:color="auto"/>
                <w:right w:val="none" w:sz="0" w:space="0" w:color="auto"/>
              </w:divBdr>
            </w:div>
            <w:div w:id="2083718706">
              <w:marLeft w:val="0"/>
              <w:marRight w:val="0"/>
              <w:marTop w:val="0"/>
              <w:marBottom w:val="0"/>
              <w:divBdr>
                <w:top w:val="none" w:sz="0" w:space="0" w:color="auto"/>
                <w:left w:val="none" w:sz="0" w:space="0" w:color="auto"/>
                <w:bottom w:val="none" w:sz="0" w:space="0" w:color="auto"/>
                <w:right w:val="none" w:sz="0" w:space="0" w:color="auto"/>
              </w:divBdr>
            </w:div>
            <w:div w:id="1055665366">
              <w:marLeft w:val="0"/>
              <w:marRight w:val="0"/>
              <w:marTop w:val="0"/>
              <w:marBottom w:val="0"/>
              <w:divBdr>
                <w:top w:val="none" w:sz="0" w:space="0" w:color="auto"/>
                <w:left w:val="none" w:sz="0" w:space="0" w:color="auto"/>
                <w:bottom w:val="none" w:sz="0" w:space="0" w:color="auto"/>
                <w:right w:val="none" w:sz="0" w:space="0" w:color="auto"/>
              </w:divBdr>
            </w:div>
            <w:div w:id="574361739">
              <w:marLeft w:val="0"/>
              <w:marRight w:val="0"/>
              <w:marTop w:val="0"/>
              <w:marBottom w:val="0"/>
              <w:divBdr>
                <w:top w:val="none" w:sz="0" w:space="0" w:color="auto"/>
                <w:left w:val="none" w:sz="0" w:space="0" w:color="auto"/>
                <w:bottom w:val="none" w:sz="0" w:space="0" w:color="auto"/>
                <w:right w:val="none" w:sz="0" w:space="0" w:color="auto"/>
              </w:divBdr>
            </w:div>
            <w:div w:id="1048724309">
              <w:marLeft w:val="0"/>
              <w:marRight w:val="0"/>
              <w:marTop w:val="0"/>
              <w:marBottom w:val="0"/>
              <w:divBdr>
                <w:top w:val="none" w:sz="0" w:space="0" w:color="auto"/>
                <w:left w:val="none" w:sz="0" w:space="0" w:color="auto"/>
                <w:bottom w:val="none" w:sz="0" w:space="0" w:color="auto"/>
                <w:right w:val="none" w:sz="0" w:space="0" w:color="auto"/>
              </w:divBdr>
            </w:div>
            <w:div w:id="1090085418">
              <w:marLeft w:val="0"/>
              <w:marRight w:val="0"/>
              <w:marTop w:val="0"/>
              <w:marBottom w:val="0"/>
              <w:divBdr>
                <w:top w:val="none" w:sz="0" w:space="0" w:color="auto"/>
                <w:left w:val="none" w:sz="0" w:space="0" w:color="auto"/>
                <w:bottom w:val="none" w:sz="0" w:space="0" w:color="auto"/>
                <w:right w:val="none" w:sz="0" w:space="0" w:color="auto"/>
              </w:divBdr>
            </w:div>
            <w:div w:id="25447369">
              <w:marLeft w:val="0"/>
              <w:marRight w:val="0"/>
              <w:marTop w:val="0"/>
              <w:marBottom w:val="0"/>
              <w:divBdr>
                <w:top w:val="none" w:sz="0" w:space="0" w:color="auto"/>
                <w:left w:val="none" w:sz="0" w:space="0" w:color="auto"/>
                <w:bottom w:val="none" w:sz="0" w:space="0" w:color="auto"/>
                <w:right w:val="none" w:sz="0" w:space="0" w:color="auto"/>
              </w:divBdr>
            </w:div>
            <w:div w:id="1870484068">
              <w:marLeft w:val="0"/>
              <w:marRight w:val="0"/>
              <w:marTop w:val="0"/>
              <w:marBottom w:val="0"/>
              <w:divBdr>
                <w:top w:val="none" w:sz="0" w:space="0" w:color="auto"/>
                <w:left w:val="none" w:sz="0" w:space="0" w:color="auto"/>
                <w:bottom w:val="none" w:sz="0" w:space="0" w:color="auto"/>
                <w:right w:val="none" w:sz="0" w:space="0" w:color="auto"/>
              </w:divBdr>
            </w:div>
            <w:div w:id="1912153126">
              <w:marLeft w:val="0"/>
              <w:marRight w:val="0"/>
              <w:marTop w:val="0"/>
              <w:marBottom w:val="0"/>
              <w:divBdr>
                <w:top w:val="none" w:sz="0" w:space="0" w:color="auto"/>
                <w:left w:val="none" w:sz="0" w:space="0" w:color="auto"/>
                <w:bottom w:val="none" w:sz="0" w:space="0" w:color="auto"/>
                <w:right w:val="none" w:sz="0" w:space="0" w:color="auto"/>
              </w:divBdr>
            </w:div>
            <w:div w:id="1220363720">
              <w:marLeft w:val="0"/>
              <w:marRight w:val="0"/>
              <w:marTop w:val="0"/>
              <w:marBottom w:val="0"/>
              <w:divBdr>
                <w:top w:val="none" w:sz="0" w:space="0" w:color="auto"/>
                <w:left w:val="none" w:sz="0" w:space="0" w:color="auto"/>
                <w:bottom w:val="none" w:sz="0" w:space="0" w:color="auto"/>
                <w:right w:val="none" w:sz="0" w:space="0" w:color="auto"/>
              </w:divBdr>
            </w:div>
            <w:div w:id="773599714">
              <w:marLeft w:val="0"/>
              <w:marRight w:val="0"/>
              <w:marTop w:val="0"/>
              <w:marBottom w:val="0"/>
              <w:divBdr>
                <w:top w:val="none" w:sz="0" w:space="0" w:color="auto"/>
                <w:left w:val="none" w:sz="0" w:space="0" w:color="auto"/>
                <w:bottom w:val="none" w:sz="0" w:space="0" w:color="auto"/>
                <w:right w:val="none" w:sz="0" w:space="0" w:color="auto"/>
              </w:divBdr>
            </w:div>
            <w:div w:id="1365400781">
              <w:marLeft w:val="0"/>
              <w:marRight w:val="0"/>
              <w:marTop w:val="0"/>
              <w:marBottom w:val="0"/>
              <w:divBdr>
                <w:top w:val="none" w:sz="0" w:space="0" w:color="auto"/>
                <w:left w:val="none" w:sz="0" w:space="0" w:color="auto"/>
                <w:bottom w:val="none" w:sz="0" w:space="0" w:color="auto"/>
                <w:right w:val="none" w:sz="0" w:space="0" w:color="auto"/>
              </w:divBdr>
            </w:div>
            <w:div w:id="1519386695">
              <w:marLeft w:val="0"/>
              <w:marRight w:val="0"/>
              <w:marTop w:val="0"/>
              <w:marBottom w:val="0"/>
              <w:divBdr>
                <w:top w:val="none" w:sz="0" w:space="0" w:color="auto"/>
                <w:left w:val="none" w:sz="0" w:space="0" w:color="auto"/>
                <w:bottom w:val="none" w:sz="0" w:space="0" w:color="auto"/>
                <w:right w:val="none" w:sz="0" w:space="0" w:color="auto"/>
              </w:divBdr>
            </w:div>
            <w:div w:id="817770007">
              <w:marLeft w:val="0"/>
              <w:marRight w:val="0"/>
              <w:marTop w:val="0"/>
              <w:marBottom w:val="0"/>
              <w:divBdr>
                <w:top w:val="none" w:sz="0" w:space="0" w:color="auto"/>
                <w:left w:val="none" w:sz="0" w:space="0" w:color="auto"/>
                <w:bottom w:val="none" w:sz="0" w:space="0" w:color="auto"/>
                <w:right w:val="none" w:sz="0" w:space="0" w:color="auto"/>
              </w:divBdr>
            </w:div>
            <w:div w:id="1173105500">
              <w:marLeft w:val="0"/>
              <w:marRight w:val="0"/>
              <w:marTop w:val="0"/>
              <w:marBottom w:val="0"/>
              <w:divBdr>
                <w:top w:val="none" w:sz="0" w:space="0" w:color="auto"/>
                <w:left w:val="none" w:sz="0" w:space="0" w:color="auto"/>
                <w:bottom w:val="none" w:sz="0" w:space="0" w:color="auto"/>
                <w:right w:val="none" w:sz="0" w:space="0" w:color="auto"/>
              </w:divBdr>
            </w:div>
            <w:div w:id="2084259519">
              <w:marLeft w:val="0"/>
              <w:marRight w:val="0"/>
              <w:marTop w:val="0"/>
              <w:marBottom w:val="0"/>
              <w:divBdr>
                <w:top w:val="none" w:sz="0" w:space="0" w:color="auto"/>
                <w:left w:val="none" w:sz="0" w:space="0" w:color="auto"/>
                <w:bottom w:val="none" w:sz="0" w:space="0" w:color="auto"/>
                <w:right w:val="none" w:sz="0" w:space="0" w:color="auto"/>
              </w:divBdr>
            </w:div>
            <w:div w:id="908222998">
              <w:marLeft w:val="0"/>
              <w:marRight w:val="0"/>
              <w:marTop w:val="0"/>
              <w:marBottom w:val="0"/>
              <w:divBdr>
                <w:top w:val="none" w:sz="0" w:space="0" w:color="auto"/>
                <w:left w:val="none" w:sz="0" w:space="0" w:color="auto"/>
                <w:bottom w:val="none" w:sz="0" w:space="0" w:color="auto"/>
                <w:right w:val="none" w:sz="0" w:space="0" w:color="auto"/>
              </w:divBdr>
            </w:div>
            <w:div w:id="32049155">
              <w:marLeft w:val="0"/>
              <w:marRight w:val="0"/>
              <w:marTop w:val="0"/>
              <w:marBottom w:val="0"/>
              <w:divBdr>
                <w:top w:val="none" w:sz="0" w:space="0" w:color="auto"/>
                <w:left w:val="none" w:sz="0" w:space="0" w:color="auto"/>
                <w:bottom w:val="none" w:sz="0" w:space="0" w:color="auto"/>
                <w:right w:val="none" w:sz="0" w:space="0" w:color="auto"/>
              </w:divBdr>
            </w:div>
            <w:div w:id="1990397405">
              <w:marLeft w:val="0"/>
              <w:marRight w:val="0"/>
              <w:marTop w:val="0"/>
              <w:marBottom w:val="0"/>
              <w:divBdr>
                <w:top w:val="none" w:sz="0" w:space="0" w:color="auto"/>
                <w:left w:val="none" w:sz="0" w:space="0" w:color="auto"/>
                <w:bottom w:val="none" w:sz="0" w:space="0" w:color="auto"/>
                <w:right w:val="none" w:sz="0" w:space="0" w:color="auto"/>
              </w:divBdr>
            </w:div>
            <w:div w:id="1737823876">
              <w:marLeft w:val="0"/>
              <w:marRight w:val="0"/>
              <w:marTop w:val="0"/>
              <w:marBottom w:val="0"/>
              <w:divBdr>
                <w:top w:val="none" w:sz="0" w:space="0" w:color="auto"/>
                <w:left w:val="none" w:sz="0" w:space="0" w:color="auto"/>
                <w:bottom w:val="none" w:sz="0" w:space="0" w:color="auto"/>
                <w:right w:val="none" w:sz="0" w:space="0" w:color="auto"/>
              </w:divBdr>
            </w:div>
            <w:div w:id="1507358768">
              <w:marLeft w:val="0"/>
              <w:marRight w:val="0"/>
              <w:marTop w:val="0"/>
              <w:marBottom w:val="0"/>
              <w:divBdr>
                <w:top w:val="none" w:sz="0" w:space="0" w:color="auto"/>
                <w:left w:val="none" w:sz="0" w:space="0" w:color="auto"/>
                <w:bottom w:val="none" w:sz="0" w:space="0" w:color="auto"/>
                <w:right w:val="none" w:sz="0" w:space="0" w:color="auto"/>
              </w:divBdr>
            </w:div>
            <w:div w:id="1999648177">
              <w:marLeft w:val="0"/>
              <w:marRight w:val="0"/>
              <w:marTop w:val="0"/>
              <w:marBottom w:val="0"/>
              <w:divBdr>
                <w:top w:val="none" w:sz="0" w:space="0" w:color="auto"/>
                <w:left w:val="none" w:sz="0" w:space="0" w:color="auto"/>
                <w:bottom w:val="none" w:sz="0" w:space="0" w:color="auto"/>
                <w:right w:val="none" w:sz="0" w:space="0" w:color="auto"/>
              </w:divBdr>
            </w:div>
            <w:div w:id="1614551764">
              <w:marLeft w:val="0"/>
              <w:marRight w:val="0"/>
              <w:marTop w:val="0"/>
              <w:marBottom w:val="0"/>
              <w:divBdr>
                <w:top w:val="none" w:sz="0" w:space="0" w:color="auto"/>
                <w:left w:val="none" w:sz="0" w:space="0" w:color="auto"/>
                <w:bottom w:val="none" w:sz="0" w:space="0" w:color="auto"/>
                <w:right w:val="none" w:sz="0" w:space="0" w:color="auto"/>
              </w:divBdr>
            </w:div>
            <w:div w:id="941493670">
              <w:marLeft w:val="0"/>
              <w:marRight w:val="0"/>
              <w:marTop w:val="0"/>
              <w:marBottom w:val="0"/>
              <w:divBdr>
                <w:top w:val="none" w:sz="0" w:space="0" w:color="auto"/>
                <w:left w:val="none" w:sz="0" w:space="0" w:color="auto"/>
                <w:bottom w:val="none" w:sz="0" w:space="0" w:color="auto"/>
                <w:right w:val="none" w:sz="0" w:space="0" w:color="auto"/>
              </w:divBdr>
            </w:div>
            <w:div w:id="655384025">
              <w:marLeft w:val="0"/>
              <w:marRight w:val="0"/>
              <w:marTop w:val="0"/>
              <w:marBottom w:val="0"/>
              <w:divBdr>
                <w:top w:val="none" w:sz="0" w:space="0" w:color="auto"/>
                <w:left w:val="none" w:sz="0" w:space="0" w:color="auto"/>
                <w:bottom w:val="none" w:sz="0" w:space="0" w:color="auto"/>
                <w:right w:val="none" w:sz="0" w:space="0" w:color="auto"/>
              </w:divBdr>
            </w:div>
            <w:div w:id="1872914588">
              <w:marLeft w:val="0"/>
              <w:marRight w:val="0"/>
              <w:marTop w:val="0"/>
              <w:marBottom w:val="0"/>
              <w:divBdr>
                <w:top w:val="none" w:sz="0" w:space="0" w:color="auto"/>
                <w:left w:val="none" w:sz="0" w:space="0" w:color="auto"/>
                <w:bottom w:val="none" w:sz="0" w:space="0" w:color="auto"/>
                <w:right w:val="none" w:sz="0" w:space="0" w:color="auto"/>
              </w:divBdr>
            </w:div>
            <w:div w:id="1629505228">
              <w:marLeft w:val="0"/>
              <w:marRight w:val="0"/>
              <w:marTop w:val="0"/>
              <w:marBottom w:val="0"/>
              <w:divBdr>
                <w:top w:val="none" w:sz="0" w:space="0" w:color="auto"/>
                <w:left w:val="none" w:sz="0" w:space="0" w:color="auto"/>
                <w:bottom w:val="none" w:sz="0" w:space="0" w:color="auto"/>
                <w:right w:val="none" w:sz="0" w:space="0" w:color="auto"/>
              </w:divBdr>
            </w:div>
            <w:div w:id="433786856">
              <w:marLeft w:val="0"/>
              <w:marRight w:val="0"/>
              <w:marTop w:val="0"/>
              <w:marBottom w:val="0"/>
              <w:divBdr>
                <w:top w:val="none" w:sz="0" w:space="0" w:color="auto"/>
                <w:left w:val="none" w:sz="0" w:space="0" w:color="auto"/>
                <w:bottom w:val="none" w:sz="0" w:space="0" w:color="auto"/>
                <w:right w:val="none" w:sz="0" w:space="0" w:color="auto"/>
              </w:divBdr>
            </w:div>
            <w:div w:id="1189562349">
              <w:marLeft w:val="0"/>
              <w:marRight w:val="0"/>
              <w:marTop w:val="0"/>
              <w:marBottom w:val="0"/>
              <w:divBdr>
                <w:top w:val="none" w:sz="0" w:space="0" w:color="auto"/>
                <w:left w:val="none" w:sz="0" w:space="0" w:color="auto"/>
                <w:bottom w:val="none" w:sz="0" w:space="0" w:color="auto"/>
                <w:right w:val="none" w:sz="0" w:space="0" w:color="auto"/>
              </w:divBdr>
            </w:div>
            <w:div w:id="2033336718">
              <w:marLeft w:val="0"/>
              <w:marRight w:val="0"/>
              <w:marTop w:val="0"/>
              <w:marBottom w:val="0"/>
              <w:divBdr>
                <w:top w:val="none" w:sz="0" w:space="0" w:color="auto"/>
                <w:left w:val="none" w:sz="0" w:space="0" w:color="auto"/>
                <w:bottom w:val="none" w:sz="0" w:space="0" w:color="auto"/>
                <w:right w:val="none" w:sz="0" w:space="0" w:color="auto"/>
              </w:divBdr>
            </w:div>
            <w:div w:id="1831865909">
              <w:marLeft w:val="0"/>
              <w:marRight w:val="0"/>
              <w:marTop w:val="0"/>
              <w:marBottom w:val="0"/>
              <w:divBdr>
                <w:top w:val="none" w:sz="0" w:space="0" w:color="auto"/>
                <w:left w:val="none" w:sz="0" w:space="0" w:color="auto"/>
                <w:bottom w:val="none" w:sz="0" w:space="0" w:color="auto"/>
                <w:right w:val="none" w:sz="0" w:space="0" w:color="auto"/>
              </w:divBdr>
            </w:div>
            <w:div w:id="32925048">
              <w:marLeft w:val="0"/>
              <w:marRight w:val="0"/>
              <w:marTop w:val="0"/>
              <w:marBottom w:val="0"/>
              <w:divBdr>
                <w:top w:val="none" w:sz="0" w:space="0" w:color="auto"/>
                <w:left w:val="none" w:sz="0" w:space="0" w:color="auto"/>
                <w:bottom w:val="none" w:sz="0" w:space="0" w:color="auto"/>
                <w:right w:val="none" w:sz="0" w:space="0" w:color="auto"/>
              </w:divBdr>
            </w:div>
            <w:div w:id="1286886091">
              <w:marLeft w:val="0"/>
              <w:marRight w:val="0"/>
              <w:marTop w:val="0"/>
              <w:marBottom w:val="0"/>
              <w:divBdr>
                <w:top w:val="none" w:sz="0" w:space="0" w:color="auto"/>
                <w:left w:val="none" w:sz="0" w:space="0" w:color="auto"/>
                <w:bottom w:val="none" w:sz="0" w:space="0" w:color="auto"/>
                <w:right w:val="none" w:sz="0" w:space="0" w:color="auto"/>
              </w:divBdr>
            </w:div>
            <w:div w:id="1190333538">
              <w:marLeft w:val="0"/>
              <w:marRight w:val="0"/>
              <w:marTop w:val="0"/>
              <w:marBottom w:val="0"/>
              <w:divBdr>
                <w:top w:val="none" w:sz="0" w:space="0" w:color="auto"/>
                <w:left w:val="none" w:sz="0" w:space="0" w:color="auto"/>
                <w:bottom w:val="none" w:sz="0" w:space="0" w:color="auto"/>
                <w:right w:val="none" w:sz="0" w:space="0" w:color="auto"/>
              </w:divBdr>
            </w:div>
            <w:div w:id="226846509">
              <w:marLeft w:val="0"/>
              <w:marRight w:val="0"/>
              <w:marTop w:val="0"/>
              <w:marBottom w:val="0"/>
              <w:divBdr>
                <w:top w:val="none" w:sz="0" w:space="0" w:color="auto"/>
                <w:left w:val="none" w:sz="0" w:space="0" w:color="auto"/>
                <w:bottom w:val="none" w:sz="0" w:space="0" w:color="auto"/>
                <w:right w:val="none" w:sz="0" w:space="0" w:color="auto"/>
              </w:divBdr>
            </w:div>
            <w:div w:id="1395665138">
              <w:marLeft w:val="0"/>
              <w:marRight w:val="0"/>
              <w:marTop w:val="0"/>
              <w:marBottom w:val="0"/>
              <w:divBdr>
                <w:top w:val="none" w:sz="0" w:space="0" w:color="auto"/>
                <w:left w:val="none" w:sz="0" w:space="0" w:color="auto"/>
                <w:bottom w:val="none" w:sz="0" w:space="0" w:color="auto"/>
                <w:right w:val="none" w:sz="0" w:space="0" w:color="auto"/>
              </w:divBdr>
            </w:div>
            <w:div w:id="1543709877">
              <w:marLeft w:val="0"/>
              <w:marRight w:val="0"/>
              <w:marTop w:val="0"/>
              <w:marBottom w:val="0"/>
              <w:divBdr>
                <w:top w:val="none" w:sz="0" w:space="0" w:color="auto"/>
                <w:left w:val="none" w:sz="0" w:space="0" w:color="auto"/>
                <w:bottom w:val="none" w:sz="0" w:space="0" w:color="auto"/>
                <w:right w:val="none" w:sz="0" w:space="0" w:color="auto"/>
              </w:divBdr>
            </w:div>
            <w:div w:id="1491749356">
              <w:marLeft w:val="0"/>
              <w:marRight w:val="0"/>
              <w:marTop w:val="0"/>
              <w:marBottom w:val="0"/>
              <w:divBdr>
                <w:top w:val="none" w:sz="0" w:space="0" w:color="auto"/>
                <w:left w:val="none" w:sz="0" w:space="0" w:color="auto"/>
                <w:bottom w:val="none" w:sz="0" w:space="0" w:color="auto"/>
                <w:right w:val="none" w:sz="0" w:space="0" w:color="auto"/>
              </w:divBdr>
            </w:div>
            <w:div w:id="1890461279">
              <w:marLeft w:val="0"/>
              <w:marRight w:val="0"/>
              <w:marTop w:val="0"/>
              <w:marBottom w:val="0"/>
              <w:divBdr>
                <w:top w:val="none" w:sz="0" w:space="0" w:color="auto"/>
                <w:left w:val="none" w:sz="0" w:space="0" w:color="auto"/>
                <w:bottom w:val="none" w:sz="0" w:space="0" w:color="auto"/>
                <w:right w:val="none" w:sz="0" w:space="0" w:color="auto"/>
              </w:divBdr>
            </w:div>
            <w:div w:id="281376597">
              <w:marLeft w:val="0"/>
              <w:marRight w:val="0"/>
              <w:marTop w:val="0"/>
              <w:marBottom w:val="0"/>
              <w:divBdr>
                <w:top w:val="none" w:sz="0" w:space="0" w:color="auto"/>
                <w:left w:val="none" w:sz="0" w:space="0" w:color="auto"/>
                <w:bottom w:val="none" w:sz="0" w:space="0" w:color="auto"/>
                <w:right w:val="none" w:sz="0" w:space="0" w:color="auto"/>
              </w:divBdr>
            </w:div>
            <w:div w:id="821968339">
              <w:marLeft w:val="0"/>
              <w:marRight w:val="0"/>
              <w:marTop w:val="0"/>
              <w:marBottom w:val="0"/>
              <w:divBdr>
                <w:top w:val="none" w:sz="0" w:space="0" w:color="auto"/>
                <w:left w:val="none" w:sz="0" w:space="0" w:color="auto"/>
                <w:bottom w:val="none" w:sz="0" w:space="0" w:color="auto"/>
                <w:right w:val="none" w:sz="0" w:space="0" w:color="auto"/>
              </w:divBdr>
            </w:div>
            <w:div w:id="1367019407">
              <w:marLeft w:val="0"/>
              <w:marRight w:val="0"/>
              <w:marTop w:val="0"/>
              <w:marBottom w:val="0"/>
              <w:divBdr>
                <w:top w:val="none" w:sz="0" w:space="0" w:color="auto"/>
                <w:left w:val="none" w:sz="0" w:space="0" w:color="auto"/>
                <w:bottom w:val="none" w:sz="0" w:space="0" w:color="auto"/>
                <w:right w:val="none" w:sz="0" w:space="0" w:color="auto"/>
              </w:divBdr>
            </w:div>
            <w:div w:id="1619796464">
              <w:marLeft w:val="0"/>
              <w:marRight w:val="0"/>
              <w:marTop w:val="0"/>
              <w:marBottom w:val="0"/>
              <w:divBdr>
                <w:top w:val="none" w:sz="0" w:space="0" w:color="auto"/>
                <w:left w:val="none" w:sz="0" w:space="0" w:color="auto"/>
                <w:bottom w:val="none" w:sz="0" w:space="0" w:color="auto"/>
                <w:right w:val="none" w:sz="0" w:space="0" w:color="auto"/>
              </w:divBdr>
            </w:div>
            <w:div w:id="2114859386">
              <w:marLeft w:val="0"/>
              <w:marRight w:val="0"/>
              <w:marTop w:val="0"/>
              <w:marBottom w:val="0"/>
              <w:divBdr>
                <w:top w:val="none" w:sz="0" w:space="0" w:color="auto"/>
                <w:left w:val="none" w:sz="0" w:space="0" w:color="auto"/>
                <w:bottom w:val="none" w:sz="0" w:space="0" w:color="auto"/>
                <w:right w:val="none" w:sz="0" w:space="0" w:color="auto"/>
              </w:divBdr>
            </w:div>
            <w:div w:id="908998579">
              <w:marLeft w:val="0"/>
              <w:marRight w:val="0"/>
              <w:marTop w:val="0"/>
              <w:marBottom w:val="0"/>
              <w:divBdr>
                <w:top w:val="none" w:sz="0" w:space="0" w:color="auto"/>
                <w:left w:val="none" w:sz="0" w:space="0" w:color="auto"/>
                <w:bottom w:val="none" w:sz="0" w:space="0" w:color="auto"/>
                <w:right w:val="none" w:sz="0" w:space="0" w:color="auto"/>
              </w:divBdr>
            </w:div>
            <w:div w:id="1692678459">
              <w:marLeft w:val="0"/>
              <w:marRight w:val="0"/>
              <w:marTop w:val="0"/>
              <w:marBottom w:val="0"/>
              <w:divBdr>
                <w:top w:val="none" w:sz="0" w:space="0" w:color="auto"/>
                <w:left w:val="none" w:sz="0" w:space="0" w:color="auto"/>
                <w:bottom w:val="none" w:sz="0" w:space="0" w:color="auto"/>
                <w:right w:val="none" w:sz="0" w:space="0" w:color="auto"/>
              </w:divBdr>
            </w:div>
            <w:div w:id="803544274">
              <w:marLeft w:val="0"/>
              <w:marRight w:val="0"/>
              <w:marTop w:val="0"/>
              <w:marBottom w:val="0"/>
              <w:divBdr>
                <w:top w:val="none" w:sz="0" w:space="0" w:color="auto"/>
                <w:left w:val="none" w:sz="0" w:space="0" w:color="auto"/>
                <w:bottom w:val="none" w:sz="0" w:space="0" w:color="auto"/>
                <w:right w:val="none" w:sz="0" w:space="0" w:color="auto"/>
              </w:divBdr>
            </w:div>
            <w:div w:id="878708756">
              <w:marLeft w:val="0"/>
              <w:marRight w:val="0"/>
              <w:marTop w:val="0"/>
              <w:marBottom w:val="0"/>
              <w:divBdr>
                <w:top w:val="none" w:sz="0" w:space="0" w:color="auto"/>
                <w:left w:val="none" w:sz="0" w:space="0" w:color="auto"/>
                <w:bottom w:val="none" w:sz="0" w:space="0" w:color="auto"/>
                <w:right w:val="none" w:sz="0" w:space="0" w:color="auto"/>
              </w:divBdr>
            </w:div>
            <w:div w:id="48653857">
              <w:marLeft w:val="0"/>
              <w:marRight w:val="0"/>
              <w:marTop w:val="0"/>
              <w:marBottom w:val="0"/>
              <w:divBdr>
                <w:top w:val="none" w:sz="0" w:space="0" w:color="auto"/>
                <w:left w:val="none" w:sz="0" w:space="0" w:color="auto"/>
                <w:bottom w:val="none" w:sz="0" w:space="0" w:color="auto"/>
                <w:right w:val="none" w:sz="0" w:space="0" w:color="auto"/>
              </w:divBdr>
            </w:div>
            <w:div w:id="641008591">
              <w:marLeft w:val="0"/>
              <w:marRight w:val="0"/>
              <w:marTop w:val="0"/>
              <w:marBottom w:val="0"/>
              <w:divBdr>
                <w:top w:val="none" w:sz="0" w:space="0" w:color="auto"/>
                <w:left w:val="none" w:sz="0" w:space="0" w:color="auto"/>
                <w:bottom w:val="none" w:sz="0" w:space="0" w:color="auto"/>
                <w:right w:val="none" w:sz="0" w:space="0" w:color="auto"/>
              </w:divBdr>
            </w:div>
            <w:div w:id="904296689">
              <w:marLeft w:val="0"/>
              <w:marRight w:val="0"/>
              <w:marTop w:val="0"/>
              <w:marBottom w:val="0"/>
              <w:divBdr>
                <w:top w:val="none" w:sz="0" w:space="0" w:color="auto"/>
                <w:left w:val="none" w:sz="0" w:space="0" w:color="auto"/>
                <w:bottom w:val="none" w:sz="0" w:space="0" w:color="auto"/>
                <w:right w:val="none" w:sz="0" w:space="0" w:color="auto"/>
              </w:divBdr>
            </w:div>
            <w:div w:id="1836452179">
              <w:marLeft w:val="0"/>
              <w:marRight w:val="0"/>
              <w:marTop w:val="0"/>
              <w:marBottom w:val="0"/>
              <w:divBdr>
                <w:top w:val="none" w:sz="0" w:space="0" w:color="auto"/>
                <w:left w:val="none" w:sz="0" w:space="0" w:color="auto"/>
                <w:bottom w:val="none" w:sz="0" w:space="0" w:color="auto"/>
                <w:right w:val="none" w:sz="0" w:space="0" w:color="auto"/>
              </w:divBdr>
            </w:div>
            <w:div w:id="1092356391">
              <w:marLeft w:val="0"/>
              <w:marRight w:val="0"/>
              <w:marTop w:val="0"/>
              <w:marBottom w:val="0"/>
              <w:divBdr>
                <w:top w:val="none" w:sz="0" w:space="0" w:color="auto"/>
                <w:left w:val="none" w:sz="0" w:space="0" w:color="auto"/>
                <w:bottom w:val="none" w:sz="0" w:space="0" w:color="auto"/>
                <w:right w:val="none" w:sz="0" w:space="0" w:color="auto"/>
              </w:divBdr>
            </w:div>
            <w:div w:id="600336018">
              <w:marLeft w:val="0"/>
              <w:marRight w:val="0"/>
              <w:marTop w:val="0"/>
              <w:marBottom w:val="0"/>
              <w:divBdr>
                <w:top w:val="none" w:sz="0" w:space="0" w:color="auto"/>
                <w:left w:val="none" w:sz="0" w:space="0" w:color="auto"/>
                <w:bottom w:val="none" w:sz="0" w:space="0" w:color="auto"/>
                <w:right w:val="none" w:sz="0" w:space="0" w:color="auto"/>
              </w:divBdr>
            </w:div>
            <w:div w:id="501818527">
              <w:marLeft w:val="0"/>
              <w:marRight w:val="0"/>
              <w:marTop w:val="0"/>
              <w:marBottom w:val="0"/>
              <w:divBdr>
                <w:top w:val="none" w:sz="0" w:space="0" w:color="auto"/>
                <w:left w:val="none" w:sz="0" w:space="0" w:color="auto"/>
                <w:bottom w:val="none" w:sz="0" w:space="0" w:color="auto"/>
                <w:right w:val="none" w:sz="0" w:space="0" w:color="auto"/>
              </w:divBdr>
            </w:div>
            <w:div w:id="1825319682">
              <w:marLeft w:val="0"/>
              <w:marRight w:val="0"/>
              <w:marTop w:val="0"/>
              <w:marBottom w:val="0"/>
              <w:divBdr>
                <w:top w:val="none" w:sz="0" w:space="0" w:color="auto"/>
                <w:left w:val="none" w:sz="0" w:space="0" w:color="auto"/>
                <w:bottom w:val="none" w:sz="0" w:space="0" w:color="auto"/>
                <w:right w:val="none" w:sz="0" w:space="0" w:color="auto"/>
              </w:divBdr>
            </w:div>
            <w:div w:id="2010130995">
              <w:marLeft w:val="0"/>
              <w:marRight w:val="0"/>
              <w:marTop w:val="0"/>
              <w:marBottom w:val="0"/>
              <w:divBdr>
                <w:top w:val="none" w:sz="0" w:space="0" w:color="auto"/>
                <w:left w:val="none" w:sz="0" w:space="0" w:color="auto"/>
                <w:bottom w:val="none" w:sz="0" w:space="0" w:color="auto"/>
                <w:right w:val="none" w:sz="0" w:space="0" w:color="auto"/>
              </w:divBdr>
            </w:div>
            <w:div w:id="74674655">
              <w:marLeft w:val="0"/>
              <w:marRight w:val="0"/>
              <w:marTop w:val="0"/>
              <w:marBottom w:val="0"/>
              <w:divBdr>
                <w:top w:val="none" w:sz="0" w:space="0" w:color="auto"/>
                <w:left w:val="none" w:sz="0" w:space="0" w:color="auto"/>
                <w:bottom w:val="none" w:sz="0" w:space="0" w:color="auto"/>
                <w:right w:val="none" w:sz="0" w:space="0" w:color="auto"/>
              </w:divBdr>
            </w:div>
            <w:div w:id="802237178">
              <w:marLeft w:val="0"/>
              <w:marRight w:val="0"/>
              <w:marTop w:val="0"/>
              <w:marBottom w:val="0"/>
              <w:divBdr>
                <w:top w:val="none" w:sz="0" w:space="0" w:color="auto"/>
                <w:left w:val="none" w:sz="0" w:space="0" w:color="auto"/>
                <w:bottom w:val="none" w:sz="0" w:space="0" w:color="auto"/>
                <w:right w:val="none" w:sz="0" w:space="0" w:color="auto"/>
              </w:divBdr>
            </w:div>
            <w:div w:id="1327973792">
              <w:marLeft w:val="0"/>
              <w:marRight w:val="0"/>
              <w:marTop w:val="0"/>
              <w:marBottom w:val="0"/>
              <w:divBdr>
                <w:top w:val="none" w:sz="0" w:space="0" w:color="auto"/>
                <w:left w:val="none" w:sz="0" w:space="0" w:color="auto"/>
                <w:bottom w:val="none" w:sz="0" w:space="0" w:color="auto"/>
                <w:right w:val="none" w:sz="0" w:space="0" w:color="auto"/>
              </w:divBdr>
            </w:div>
            <w:div w:id="368382793">
              <w:marLeft w:val="0"/>
              <w:marRight w:val="0"/>
              <w:marTop w:val="0"/>
              <w:marBottom w:val="0"/>
              <w:divBdr>
                <w:top w:val="none" w:sz="0" w:space="0" w:color="auto"/>
                <w:left w:val="none" w:sz="0" w:space="0" w:color="auto"/>
                <w:bottom w:val="none" w:sz="0" w:space="0" w:color="auto"/>
                <w:right w:val="none" w:sz="0" w:space="0" w:color="auto"/>
              </w:divBdr>
            </w:div>
            <w:div w:id="1677805686">
              <w:marLeft w:val="0"/>
              <w:marRight w:val="0"/>
              <w:marTop w:val="0"/>
              <w:marBottom w:val="0"/>
              <w:divBdr>
                <w:top w:val="none" w:sz="0" w:space="0" w:color="auto"/>
                <w:left w:val="none" w:sz="0" w:space="0" w:color="auto"/>
                <w:bottom w:val="none" w:sz="0" w:space="0" w:color="auto"/>
                <w:right w:val="none" w:sz="0" w:space="0" w:color="auto"/>
              </w:divBdr>
            </w:div>
            <w:div w:id="39017213">
              <w:marLeft w:val="0"/>
              <w:marRight w:val="0"/>
              <w:marTop w:val="0"/>
              <w:marBottom w:val="0"/>
              <w:divBdr>
                <w:top w:val="none" w:sz="0" w:space="0" w:color="auto"/>
                <w:left w:val="none" w:sz="0" w:space="0" w:color="auto"/>
                <w:bottom w:val="none" w:sz="0" w:space="0" w:color="auto"/>
                <w:right w:val="none" w:sz="0" w:space="0" w:color="auto"/>
              </w:divBdr>
            </w:div>
            <w:div w:id="971835410">
              <w:marLeft w:val="0"/>
              <w:marRight w:val="0"/>
              <w:marTop w:val="0"/>
              <w:marBottom w:val="0"/>
              <w:divBdr>
                <w:top w:val="none" w:sz="0" w:space="0" w:color="auto"/>
                <w:left w:val="none" w:sz="0" w:space="0" w:color="auto"/>
                <w:bottom w:val="none" w:sz="0" w:space="0" w:color="auto"/>
                <w:right w:val="none" w:sz="0" w:space="0" w:color="auto"/>
              </w:divBdr>
            </w:div>
            <w:div w:id="713240770">
              <w:marLeft w:val="0"/>
              <w:marRight w:val="0"/>
              <w:marTop w:val="0"/>
              <w:marBottom w:val="0"/>
              <w:divBdr>
                <w:top w:val="none" w:sz="0" w:space="0" w:color="auto"/>
                <w:left w:val="none" w:sz="0" w:space="0" w:color="auto"/>
                <w:bottom w:val="none" w:sz="0" w:space="0" w:color="auto"/>
                <w:right w:val="none" w:sz="0" w:space="0" w:color="auto"/>
              </w:divBdr>
            </w:div>
            <w:div w:id="193426157">
              <w:marLeft w:val="0"/>
              <w:marRight w:val="0"/>
              <w:marTop w:val="0"/>
              <w:marBottom w:val="0"/>
              <w:divBdr>
                <w:top w:val="none" w:sz="0" w:space="0" w:color="auto"/>
                <w:left w:val="none" w:sz="0" w:space="0" w:color="auto"/>
                <w:bottom w:val="none" w:sz="0" w:space="0" w:color="auto"/>
                <w:right w:val="none" w:sz="0" w:space="0" w:color="auto"/>
              </w:divBdr>
            </w:div>
            <w:div w:id="576326590">
              <w:marLeft w:val="0"/>
              <w:marRight w:val="0"/>
              <w:marTop w:val="0"/>
              <w:marBottom w:val="0"/>
              <w:divBdr>
                <w:top w:val="none" w:sz="0" w:space="0" w:color="auto"/>
                <w:left w:val="none" w:sz="0" w:space="0" w:color="auto"/>
                <w:bottom w:val="none" w:sz="0" w:space="0" w:color="auto"/>
                <w:right w:val="none" w:sz="0" w:space="0" w:color="auto"/>
              </w:divBdr>
            </w:div>
            <w:div w:id="366217800">
              <w:marLeft w:val="0"/>
              <w:marRight w:val="0"/>
              <w:marTop w:val="0"/>
              <w:marBottom w:val="0"/>
              <w:divBdr>
                <w:top w:val="none" w:sz="0" w:space="0" w:color="auto"/>
                <w:left w:val="none" w:sz="0" w:space="0" w:color="auto"/>
                <w:bottom w:val="none" w:sz="0" w:space="0" w:color="auto"/>
                <w:right w:val="none" w:sz="0" w:space="0" w:color="auto"/>
              </w:divBdr>
            </w:div>
            <w:div w:id="1783529184">
              <w:marLeft w:val="0"/>
              <w:marRight w:val="0"/>
              <w:marTop w:val="0"/>
              <w:marBottom w:val="0"/>
              <w:divBdr>
                <w:top w:val="none" w:sz="0" w:space="0" w:color="auto"/>
                <w:left w:val="none" w:sz="0" w:space="0" w:color="auto"/>
                <w:bottom w:val="none" w:sz="0" w:space="0" w:color="auto"/>
                <w:right w:val="none" w:sz="0" w:space="0" w:color="auto"/>
              </w:divBdr>
            </w:div>
            <w:div w:id="190996703">
              <w:marLeft w:val="0"/>
              <w:marRight w:val="0"/>
              <w:marTop w:val="0"/>
              <w:marBottom w:val="0"/>
              <w:divBdr>
                <w:top w:val="none" w:sz="0" w:space="0" w:color="auto"/>
                <w:left w:val="none" w:sz="0" w:space="0" w:color="auto"/>
                <w:bottom w:val="none" w:sz="0" w:space="0" w:color="auto"/>
                <w:right w:val="none" w:sz="0" w:space="0" w:color="auto"/>
              </w:divBdr>
            </w:div>
            <w:div w:id="2072077615">
              <w:marLeft w:val="0"/>
              <w:marRight w:val="0"/>
              <w:marTop w:val="0"/>
              <w:marBottom w:val="0"/>
              <w:divBdr>
                <w:top w:val="none" w:sz="0" w:space="0" w:color="auto"/>
                <w:left w:val="none" w:sz="0" w:space="0" w:color="auto"/>
                <w:bottom w:val="none" w:sz="0" w:space="0" w:color="auto"/>
                <w:right w:val="none" w:sz="0" w:space="0" w:color="auto"/>
              </w:divBdr>
            </w:div>
            <w:div w:id="1840147072">
              <w:marLeft w:val="0"/>
              <w:marRight w:val="0"/>
              <w:marTop w:val="0"/>
              <w:marBottom w:val="0"/>
              <w:divBdr>
                <w:top w:val="none" w:sz="0" w:space="0" w:color="auto"/>
                <w:left w:val="none" w:sz="0" w:space="0" w:color="auto"/>
                <w:bottom w:val="none" w:sz="0" w:space="0" w:color="auto"/>
                <w:right w:val="none" w:sz="0" w:space="0" w:color="auto"/>
              </w:divBdr>
            </w:div>
            <w:div w:id="1190605510">
              <w:marLeft w:val="0"/>
              <w:marRight w:val="0"/>
              <w:marTop w:val="0"/>
              <w:marBottom w:val="0"/>
              <w:divBdr>
                <w:top w:val="none" w:sz="0" w:space="0" w:color="auto"/>
                <w:left w:val="none" w:sz="0" w:space="0" w:color="auto"/>
                <w:bottom w:val="none" w:sz="0" w:space="0" w:color="auto"/>
                <w:right w:val="none" w:sz="0" w:space="0" w:color="auto"/>
              </w:divBdr>
            </w:div>
            <w:div w:id="1716615683">
              <w:marLeft w:val="0"/>
              <w:marRight w:val="0"/>
              <w:marTop w:val="0"/>
              <w:marBottom w:val="0"/>
              <w:divBdr>
                <w:top w:val="none" w:sz="0" w:space="0" w:color="auto"/>
                <w:left w:val="none" w:sz="0" w:space="0" w:color="auto"/>
                <w:bottom w:val="none" w:sz="0" w:space="0" w:color="auto"/>
                <w:right w:val="none" w:sz="0" w:space="0" w:color="auto"/>
              </w:divBdr>
            </w:div>
            <w:div w:id="2115781048">
              <w:marLeft w:val="0"/>
              <w:marRight w:val="0"/>
              <w:marTop w:val="0"/>
              <w:marBottom w:val="0"/>
              <w:divBdr>
                <w:top w:val="none" w:sz="0" w:space="0" w:color="auto"/>
                <w:left w:val="none" w:sz="0" w:space="0" w:color="auto"/>
                <w:bottom w:val="none" w:sz="0" w:space="0" w:color="auto"/>
                <w:right w:val="none" w:sz="0" w:space="0" w:color="auto"/>
              </w:divBdr>
            </w:div>
            <w:div w:id="1053892221">
              <w:marLeft w:val="0"/>
              <w:marRight w:val="0"/>
              <w:marTop w:val="0"/>
              <w:marBottom w:val="0"/>
              <w:divBdr>
                <w:top w:val="none" w:sz="0" w:space="0" w:color="auto"/>
                <w:left w:val="none" w:sz="0" w:space="0" w:color="auto"/>
                <w:bottom w:val="none" w:sz="0" w:space="0" w:color="auto"/>
                <w:right w:val="none" w:sz="0" w:space="0" w:color="auto"/>
              </w:divBdr>
            </w:div>
            <w:div w:id="649359374">
              <w:marLeft w:val="0"/>
              <w:marRight w:val="0"/>
              <w:marTop w:val="0"/>
              <w:marBottom w:val="0"/>
              <w:divBdr>
                <w:top w:val="none" w:sz="0" w:space="0" w:color="auto"/>
                <w:left w:val="none" w:sz="0" w:space="0" w:color="auto"/>
                <w:bottom w:val="none" w:sz="0" w:space="0" w:color="auto"/>
                <w:right w:val="none" w:sz="0" w:space="0" w:color="auto"/>
              </w:divBdr>
            </w:div>
            <w:div w:id="2030249926">
              <w:marLeft w:val="0"/>
              <w:marRight w:val="0"/>
              <w:marTop w:val="0"/>
              <w:marBottom w:val="0"/>
              <w:divBdr>
                <w:top w:val="none" w:sz="0" w:space="0" w:color="auto"/>
                <w:left w:val="none" w:sz="0" w:space="0" w:color="auto"/>
                <w:bottom w:val="none" w:sz="0" w:space="0" w:color="auto"/>
                <w:right w:val="none" w:sz="0" w:space="0" w:color="auto"/>
              </w:divBdr>
            </w:div>
            <w:div w:id="1748771024">
              <w:marLeft w:val="0"/>
              <w:marRight w:val="0"/>
              <w:marTop w:val="0"/>
              <w:marBottom w:val="0"/>
              <w:divBdr>
                <w:top w:val="none" w:sz="0" w:space="0" w:color="auto"/>
                <w:left w:val="none" w:sz="0" w:space="0" w:color="auto"/>
                <w:bottom w:val="none" w:sz="0" w:space="0" w:color="auto"/>
                <w:right w:val="none" w:sz="0" w:space="0" w:color="auto"/>
              </w:divBdr>
            </w:div>
            <w:div w:id="1459837368">
              <w:marLeft w:val="0"/>
              <w:marRight w:val="0"/>
              <w:marTop w:val="0"/>
              <w:marBottom w:val="0"/>
              <w:divBdr>
                <w:top w:val="none" w:sz="0" w:space="0" w:color="auto"/>
                <w:left w:val="none" w:sz="0" w:space="0" w:color="auto"/>
                <w:bottom w:val="none" w:sz="0" w:space="0" w:color="auto"/>
                <w:right w:val="none" w:sz="0" w:space="0" w:color="auto"/>
              </w:divBdr>
            </w:div>
            <w:div w:id="243298884">
              <w:marLeft w:val="0"/>
              <w:marRight w:val="0"/>
              <w:marTop w:val="0"/>
              <w:marBottom w:val="0"/>
              <w:divBdr>
                <w:top w:val="none" w:sz="0" w:space="0" w:color="auto"/>
                <w:left w:val="none" w:sz="0" w:space="0" w:color="auto"/>
                <w:bottom w:val="none" w:sz="0" w:space="0" w:color="auto"/>
                <w:right w:val="none" w:sz="0" w:space="0" w:color="auto"/>
              </w:divBdr>
            </w:div>
            <w:div w:id="1441535264">
              <w:marLeft w:val="0"/>
              <w:marRight w:val="0"/>
              <w:marTop w:val="0"/>
              <w:marBottom w:val="0"/>
              <w:divBdr>
                <w:top w:val="none" w:sz="0" w:space="0" w:color="auto"/>
                <w:left w:val="none" w:sz="0" w:space="0" w:color="auto"/>
                <w:bottom w:val="none" w:sz="0" w:space="0" w:color="auto"/>
                <w:right w:val="none" w:sz="0" w:space="0" w:color="auto"/>
              </w:divBdr>
            </w:div>
            <w:div w:id="207232081">
              <w:marLeft w:val="0"/>
              <w:marRight w:val="0"/>
              <w:marTop w:val="0"/>
              <w:marBottom w:val="0"/>
              <w:divBdr>
                <w:top w:val="none" w:sz="0" w:space="0" w:color="auto"/>
                <w:left w:val="none" w:sz="0" w:space="0" w:color="auto"/>
                <w:bottom w:val="none" w:sz="0" w:space="0" w:color="auto"/>
                <w:right w:val="none" w:sz="0" w:space="0" w:color="auto"/>
              </w:divBdr>
            </w:div>
            <w:div w:id="1558662327">
              <w:marLeft w:val="0"/>
              <w:marRight w:val="0"/>
              <w:marTop w:val="0"/>
              <w:marBottom w:val="0"/>
              <w:divBdr>
                <w:top w:val="none" w:sz="0" w:space="0" w:color="auto"/>
                <w:left w:val="none" w:sz="0" w:space="0" w:color="auto"/>
                <w:bottom w:val="none" w:sz="0" w:space="0" w:color="auto"/>
                <w:right w:val="none" w:sz="0" w:space="0" w:color="auto"/>
              </w:divBdr>
            </w:div>
            <w:div w:id="778451850">
              <w:marLeft w:val="0"/>
              <w:marRight w:val="0"/>
              <w:marTop w:val="0"/>
              <w:marBottom w:val="0"/>
              <w:divBdr>
                <w:top w:val="none" w:sz="0" w:space="0" w:color="auto"/>
                <w:left w:val="none" w:sz="0" w:space="0" w:color="auto"/>
                <w:bottom w:val="none" w:sz="0" w:space="0" w:color="auto"/>
                <w:right w:val="none" w:sz="0" w:space="0" w:color="auto"/>
              </w:divBdr>
            </w:div>
            <w:div w:id="791169125">
              <w:marLeft w:val="0"/>
              <w:marRight w:val="0"/>
              <w:marTop w:val="0"/>
              <w:marBottom w:val="0"/>
              <w:divBdr>
                <w:top w:val="none" w:sz="0" w:space="0" w:color="auto"/>
                <w:left w:val="none" w:sz="0" w:space="0" w:color="auto"/>
                <w:bottom w:val="none" w:sz="0" w:space="0" w:color="auto"/>
                <w:right w:val="none" w:sz="0" w:space="0" w:color="auto"/>
              </w:divBdr>
            </w:div>
            <w:div w:id="1875342120">
              <w:marLeft w:val="0"/>
              <w:marRight w:val="0"/>
              <w:marTop w:val="0"/>
              <w:marBottom w:val="0"/>
              <w:divBdr>
                <w:top w:val="none" w:sz="0" w:space="0" w:color="auto"/>
                <w:left w:val="none" w:sz="0" w:space="0" w:color="auto"/>
                <w:bottom w:val="none" w:sz="0" w:space="0" w:color="auto"/>
                <w:right w:val="none" w:sz="0" w:space="0" w:color="auto"/>
              </w:divBdr>
            </w:div>
            <w:div w:id="1697391537">
              <w:marLeft w:val="0"/>
              <w:marRight w:val="0"/>
              <w:marTop w:val="0"/>
              <w:marBottom w:val="0"/>
              <w:divBdr>
                <w:top w:val="none" w:sz="0" w:space="0" w:color="auto"/>
                <w:left w:val="none" w:sz="0" w:space="0" w:color="auto"/>
                <w:bottom w:val="none" w:sz="0" w:space="0" w:color="auto"/>
                <w:right w:val="none" w:sz="0" w:space="0" w:color="auto"/>
              </w:divBdr>
            </w:div>
            <w:div w:id="1613977297">
              <w:marLeft w:val="0"/>
              <w:marRight w:val="0"/>
              <w:marTop w:val="0"/>
              <w:marBottom w:val="0"/>
              <w:divBdr>
                <w:top w:val="none" w:sz="0" w:space="0" w:color="auto"/>
                <w:left w:val="none" w:sz="0" w:space="0" w:color="auto"/>
                <w:bottom w:val="none" w:sz="0" w:space="0" w:color="auto"/>
                <w:right w:val="none" w:sz="0" w:space="0" w:color="auto"/>
              </w:divBdr>
            </w:div>
            <w:div w:id="867792113">
              <w:marLeft w:val="0"/>
              <w:marRight w:val="0"/>
              <w:marTop w:val="0"/>
              <w:marBottom w:val="0"/>
              <w:divBdr>
                <w:top w:val="none" w:sz="0" w:space="0" w:color="auto"/>
                <w:left w:val="none" w:sz="0" w:space="0" w:color="auto"/>
                <w:bottom w:val="none" w:sz="0" w:space="0" w:color="auto"/>
                <w:right w:val="none" w:sz="0" w:space="0" w:color="auto"/>
              </w:divBdr>
            </w:div>
            <w:div w:id="1765147360">
              <w:marLeft w:val="0"/>
              <w:marRight w:val="0"/>
              <w:marTop w:val="0"/>
              <w:marBottom w:val="0"/>
              <w:divBdr>
                <w:top w:val="none" w:sz="0" w:space="0" w:color="auto"/>
                <w:left w:val="none" w:sz="0" w:space="0" w:color="auto"/>
                <w:bottom w:val="none" w:sz="0" w:space="0" w:color="auto"/>
                <w:right w:val="none" w:sz="0" w:space="0" w:color="auto"/>
              </w:divBdr>
            </w:div>
            <w:div w:id="1256161224">
              <w:marLeft w:val="0"/>
              <w:marRight w:val="0"/>
              <w:marTop w:val="0"/>
              <w:marBottom w:val="0"/>
              <w:divBdr>
                <w:top w:val="none" w:sz="0" w:space="0" w:color="auto"/>
                <w:left w:val="none" w:sz="0" w:space="0" w:color="auto"/>
                <w:bottom w:val="none" w:sz="0" w:space="0" w:color="auto"/>
                <w:right w:val="none" w:sz="0" w:space="0" w:color="auto"/>
              </w:divBdr>
            </w:div>
            <w:div w:id="1137718625">
              <w:marLeft w:val="0"/>
              <w:marRight w:val="0"/>
              <w:marTop w:val="0"/>
              <w:marBottom w:val="0"/>
              <w:divBdr>
                <w:top w:val="none" w:sz="0" w:space="0" w:color="auto"/>
                <w:left w:val="none" w:sz="0" w:space="0" w:color="auto"/>
                <w:bottom w:val="none" w:sz="0" w:space="0" w:color="auto"/>
                <w:right w:val="none" w:sz="0" w:space="0" w:color="auto"/>
              </w:divBdr>
            </w:div>
            <w:div w:id="1589657211">
              <w:marLeft w:val="0"/>
              <w:marRight w:val="0"/>
              <w:marTop w:val="0"/>
              <w:marBottom w:val="0"/>
              <w:divBdr>
                <w:top w:val="none" w:sz="0" w:space="0" w:color="auto"/>
                <w:left w:val="none" w:sz="0" w:space="0" w:color="auto"/>
                <w:bottom w:val="none" w:sz="0" w:space="0" w:color="auto"/>
                <w:right w:val="none" w:sz="0" w:space="0" w:color="auto"/>
              </w:divBdr>
            </w:div>
            <w:div w:id="2121142026">
              <w:marLeft w:val="0"/>
              <w:marRight w:val="0"/>
              <w:marTop w:val="0"/>
              <w:marBottom w:val="0"/>
              <w:divBdr>
                <w:top w:val="none" w:sz="0" w:space="0" w:color="auto"/>
                <w:left w:val="none" w:sz="0" w:space="0" w:color="auto"/>
                <w:bottom w:val="none" w:sz="0" w:space="0" w:color="auto"/>
                <w:right w:val="none" w:sz="0" w:space="0" w:color="auto"/>
              </w:divBdr>
            </w:div>
            <w:div w:id="1988514827">
              <w:marLeft w:val="0"/>
              <w:marRight w:val="0"/>
              <w:marTop w:val="0"/>
              <w:marBottom w:val="0"/>
              <w:divBdr>
                <w:top w:val="none" w:sz="0" w:space="0" w:color="auto"/>
                <w:left w:val="none" w:sz="0" w:space="0" w:color="auto"/>
                <w:bottom w:val="none" w:sz="0" w:space="0" w:color="auto"/>
                <w:right w:val="none" w:sz="0" w:space="0" w:color="auto"/>
              </w:divBdr>
            </w:div>
            <w:div w:id="1400131903">
              <w:marLeft w:val="0"/>
              <w:marRight w:val="0"/>
              <w:marTop w:val="0"/>
              <w:marBottom w:val="0"/>
              <w:divBdr>
                <w:top w:val="none" w:sz="0" w:space="0" w:color="auto"/>
                <w:left w:val="none" w:sz="0" w:space="0" w:color="auto"/>
                <w:bottom w:val="none" w:sz="0" w:space="0" w:color="auto"/>
                <w:right w:val="none" w:sz="0" w:space="0" w:color="auto"/>
              </w:divBdr>
            </w:div>
            <w:div w:id="2102988915">
              <w:marLeft w:val="0"/>
              <w:marRight w:val="0"/>
              <w:marTop w:val="0"/>
              <w:marBottom w:val="0"/>
              <w:divBdr>
                <w:top w:val="none" w:sz="0" w:space="0" w:color="auto"/>
                <w:left w:val="none" w:sz="0" w:space="0" w:color="auto"/>
                <w:bottom w:val="none" w:sz="0" w:space="0" w:color="auto"/>
                <w:right w:val="none" w:sz="0" w:space="0" w:color="auto"/>
              </w:divBdr>
            </w:div>
            <w:div w:id="189150040">
              <w:marLeft w:val="0"/>
              <w:marRight w:val="0"/>
              <w:marTop w:val="0"/>
              <w:marBottom w:val="0"/>
              <w:divBdr>
                <w:top w:val="none" w:sz="0" w:space="0" w:color="auto"/>
                <w:left w:val="none" w:sz="0" w:space="0" w:color="auto"/>
                <w:bottom w:val="none" w:sz="0" w:space="0" w:color="auto"/>
                <w:right w:val="none" w:sz="0" w:space="0" w:color="auto"/>
              </w:divBdr>
            </w:div>
            <w:div w:id="1395469553">
              <w:marLeft w:val="0"/>
              <w:marRight w:val="0"/>
              <w:marTop w:val="0"/>
              <w:marBottom w:val="0"/>
              <w:divBdr>
                <w:top w:val="none" w:sz="0" w:space="0" w:color="auto"/>
                <w:left w:val="none" w:sz="0" w:space="0" w:color="auto"/>
                <w:bottom w:val="none" w:sz="0" w:space="0" w:color="auto"/>
                <w:right w:val="none" w:sz="0" w:space="0" w:color="auto"/>
              </w:divBdr>
            </w:div>
            <w:div w:id="859470449">
              <w:marLeft w:val="0"/>
              <w:marRight w:val="0"/>
              <w:marTop w:val="0"/>
              <w:marBottom w:val="0"/>
              <w:divBdr>
                <w:top w:val="none" w:sz="0" w:space="0" w:color="auto"/>
                <w:left w:val="none" w:sz="0" w:space="0" w:color="auto"/>
                <w:bottom w:val="none" w:sz="0" w:space="0" w:color="auto"/>
                <w:right w:val="none" w:sz="0" w:space="0" w:color="auto"/>
              </w:divBdr>
            </w:div>
            <w:div w:id="1798797521">
              <w:marLeft w:val="0"/>
              <w:marRight w:val="0"/>
              <w:marTop w:val="0"/>
              <w:marBottom w:val="0"/>
              <w:divBdr>
                <w:top w:val="none" w:sz="0" w:space="0" w:color="auto"/>
                <w:left w:val="none" w:sz="0" w:space="0" w:color="auto"/>
                <w:bottom w:val="none" w:sz="0" w:space="0" w:color="auto"/>
                <w:right w:val="none" w:sz="0" w:space="0" w:color="auto"/>
              </w:divBdr>
            </w:div>
            <w:div w:id="451939726">
              <w:marLeft w:val="0"/>
              <w:marRight w:val="0"/>
              <w:marTop w:val="0"/>
              <w:marBottom w:val="0"/>
              <w:divBdr>
                <w:top w:val="none" w:sz="0" w:space="0" w:color="auto"/>
                <w:left w:val="none" w:sz="0" w:space="0" w:color="auto"/>
                <w:bottom w:val="none" w:sz="0" w:space="0" w:color="auto"/>
                <w:right w:val="none" w:sz="0" w:space="0" w:color="auto"/>
              </w:divBdr>
            </w:div>
            <w:div w:id="76483695">
              <w:marLeft w:val="0"/>
              <w:marRight w:val="0"/>
              <w:marTop w:val="0"/>
              <w:marBottom w:val="0"/>
              <w:divBdr>
                <w:top w:val="none" w:sz="0" w:space="0" w:color="auto"/>
                <w:left w:val="none" w:sz="0" w:space="0" w:color="auto"/>
                <w:bottom w:val="none" w:sz="0" w:space="0" w:color="auto"/>
                <w:right w:val="none" w:sz="0" w:space="0" w:color="auto"/>
              </w:divBdr>
            </w:div>
            <w:div w:id="408885549">
              <w:marLeft w:val="0"/>
              <w:marRight w:val="0"/>
              <w:marTop w:val="0"/>
              <w:marBottom w:val="0"/>
              <w:divBdr>
                <w:top w:val="none" w:sz="0" w:space="0" w:color="auto"/>
                <w:left w:val="none" w:sz="0" w:space="0" w:color="auto"/>
                <w:bottom w:val="none" w:sz="0" w:space="0" w:color="auto"/>
                <w:right w:val="none" w:sz="0" w:space="0" w:color="auto"/>
              </w:divBdr>
            </w:div>
            <w:div w:id="1457135854">
              <w:marLeft w:val="0"/>
              <w:marRight w:val="0"/>
              <w:marTop w:val="0"/>
              <w:marBottom w:val="0"/>
              <w:divBdr>
                <w:top w:val="none" w:sz="0" w:space="0" w:color="auto"/>
                <w:left w:val="none" w:sz="0" w:space="0" w:color="auto"/>
                <w:bottom w:val="none" w:sz="0" w:space="0" w:color="auto"/>
                <w:right w:val="none" w:sz="0" w:space="0" w:color="auto"/>
              </w:divBdr>
            </w:div>
            <w:div w:id="1701200030">
              <w:marLeft w:val="0"/>
              <w:marRight w:val="0"/>
              <w:marTop w:val="0"/>
              <w:marBottom w:val="0"/>
              <w:divBdr>
                <w:top w:val="none" w:sz="0" w:space="0" w:color="auto"/>
                <w:left w:val="none" w:sz="0" w:space="0" w:color="auto"/>
                <w:bottom w:val="none" w:sz="0" w:space="0" w:color="auto"/>
                <w:right w:val="none" w:sz="0" w:space="0" w:color="auto"/>
              </w:divBdr>
            </w:div>
            <w:div w:id="35007505">
              <w:marLeft w:val="0"/>
              <w:marRight w:val="0"/>
              <w:marTop w:val="0"/>
              <w:marBottom w:val="0"/>
              <w:divBdr>
                <w:top w:val="none" w:sz="0" w:space="0" w:color="auto"/>
                <w:left w:val="none" w:sz="0" w:space="0" w:color="auto"/>
                <w:bottom w:val="none" w:sz="0" w:space="0" w:color="auto"/>
                <w:right w:val="none" w:sz="0" w:space="0" w:color="auto"/>
              </w:divBdr>
            </w:div>
            <w:div w:id="358239000">
              <w:marLeft w:val="0"/>
              <w:marRight w:val="0"/>
              <w:marTop w:val="0"/>
              <w:marBottom w:val="0"/>
              <w:divBdr>
                <w:top w:val="none" w:sz="0" w:space="0" w:color="auto"/>
                <w:left w:val="none" w:sz="0" w:space="0" w:color="auto"/>
                <w:bottom w:val="none" w:sz="0" w:space="0" w:color="auto"/>
                <w:right w:val="none" w:sz="0" w:space="0" w:color="auto"/>
              </w:divBdr>
            </w:div>
            <w:div w:id="2078359121">
              <w:marLeft w:val="0"/>
              <w:marRight w:val="0"/>
              <w:marTop w:val="0"/>
              <w:marBottom w:val="0"/>
              <w:divBdr>
                <w:top w:val="none" w:sz="0" w:space="0" w:color="auto"/>
                <w:left w:val="none" w:sz="0" w:space="0" w:color="auto"/>
                <w:bottom w:val="none" w:sz="0" w:space="0" w:color="auto"/>
                <w:right w:val="none" w:sz="0" w:space="0" w:color="auto"/>
              </w:divBdr>
            </w:div>
            <w:div w:id="1386023671">
              <w:marLeft w:val="0"/>
              <w:marRight w:val="0"/>
              <w:marTop w:val="0"/>
              <w:marBottom w:val="0"/>
              <w:divBdr>
                <w:top w:val="none" w:sz="0" w:space="0" w:color="auto"/>
                <w:left w:val="none" w:sz="0" w:space="0" w:color="auto"/>
                <w:bottom w:val="none" w:sz="0" w:space="0" w:color="auto"/>
                <w:right w:val="none" w:sz="0" w:space="0" w:color="auto"/>
              </w:divBdr>
            </w:div>
            <w:div w:id="988090828">
              <w:marLeft w:val="0"/>
              <w:marRight w:val="0"/>
              <w:marTop w:val="0"/>
              <w:marBottom w:val="0"/>
              <w:divBdr>
                <w:top w:val="none" w:sz="0" w:space="0" w:color="auto"/>
                <w:left w:val="none" w:sz="0" w:space="0" w:color="auto"/>
                <w:bottom w:val="none" w:sz="0" w:space="0" w:color="auto"/>
                <w:right w:val="none" w:sz="0" w:space="0" w:color="auto"/>
              </w:divBdr>
            </w:div>
            <w:div w:id="1228153175">
              <w:marLeft w:val="0"/>
              <w:marRight w:val="0"/>
              <w:marTop w:val="0"/>
              <w:marBottom w:val="0"/>
              <w:divBdr>
                <w:top w:val="none" w:sz="0" w:space="0" w:color="auto"/>
                <w:left w:val="none" w:sz="0" w:space="0" w:color="auto"/>
                <w:bottom w:val="none" w:sz="0" w:space="0" w:color="auto"/>
                <w:right w:val="none" w:sz="0" w:space="0" w:color="auto"/>
              </w:divBdr>
            </w:div>
            <w:div w:id="700478056">
              <w:marLeft w:val="0"/>
              <w:marRight w:val="0"/>
              <w:marTop w:val="0"/>
              <w:marBottom w:val="0"/>
              <w:divBdr>
                <w:top w:val="none" w:sz="0" w:space="0" w:color="auto"/>
                <w:left w:val="none" w:sz="0" w:space="0" w:color="auto"/>
                <w:bottom w:val="none" w:sz="0" w:space="0" w:color="auto"/>
                <w:right w:val="none" w:sz="0" w:space="0" w:color="auto"/>
              </w:divBdr>
            </w:div>
            <w:div w:id="832188094">
              <w:marLeft w:val="0"/>
              <w:marRight w:val="0"/>
              <w:marTop w:val="0"/>
              <w:marBottom w:val="0"/>
              <w:divBdr>
                <w:top w:val="none" w:sz="0" w:space="0" w:color="auto"/>
                <w:left w:val="none" w:sz="0" w:space="0" w:color="auto"/>
                <w:bottom w:val="none" w:sz="0" w:space="0" w:color="auto"/>
                <w:right w:val="none" w:sz="0" w:space="0" w:color="auto"/>
              </w:divBdr>
            </w:div>
            <w:div w:id="923144678">
              <w:marLeft w:val="0"/>
              <w:marRight w:val="0"/>
              <w:marTop w:val="0"/>
              <w:marBottom w:val="0"/>
              <w:divBdr>
                <w:top w:val="none" w:sz="0" w:space="0" w:color="auto"/>
                <w:left w:val="none" w:sz="0" w:space="0" w:color="auto"/>
                <w:bottom w:val="none" w:sz="0" w:space="0" w:color="auto"/>
                <w:right w:val="none" w:sz="0" w:space="0" w:color="auto"/>
              </w:divBdr>
            </w:div>
            <w:div w:id="708143690">
              <w:marLeft w:val="0"/>
              <w:marRight w:val="0"/>
              <w:marTop w:val="0"/>
              <w:marBottom w:val="0"/>
              <w:divBdr>
                <w:top w:val="none" w:sz="0" w:space="0" w:color="auto"/>
                <w:left w:val="none" w:sz="0" w:space="0" w:color="auto"/>
                <w:bottom w:val="none" w:sz="0" w:space="0" w:color="auto"/>
                <w:right w:val="none" w:sz="0" w:space="0" w:color="auto"/>
              </w:divBdr>
            </w:div>
            <w:div w:id="1020012176">
              <w:marLeft w:val="0"/>
              <w:marRight w:val="0"/>
              <w:marTop w:val="0"/>
              <w:marBottom w:val="0"/>
              <w:divBdr>
                <w:top w:val="none" w:sz="0" w:space="0" w:color="auto"/>
                <w:left w:val="none" w:sz="0" w:space="0" w:color="auto"/>
                <w:bottom w:val="none" w:sz="0" w:space="0" w:color="auto"/>
                <w:right w:val="none" w:sz="0" w:space="0" w:color="auto"/>
              </w:divBdr>
            </w:div>
            <w:div w:id="2046441382">
              <w:marLeft w:val="0"/>
              <w:marRight w:val="0"/>
              <w:marTop w:val="0"/>
              <w:marBottom w:val="0"/>
              <w:divBdr>
                <w:top w:val="none" w:sz="0" w:space="0" w:color="auto"/>
                <w:left w:val="none" w:sz="0" w:space="0" w:color="auto"/>
                <w:bottom w:val="none" w:sz="0" w:space="0" w:color="auto"/>
                <w:right w:val="none" w:sz="0" w:space="0" w:color="auto"/>
              </w:divBdr>
            </w:div>
            <w:div w:id="2134472498">
              <w:marLeft w:val="0"/>
              <w:marRight w:val="0"/>
              <w:marTop w:val="0"/>
              <w:marBottom w:val="0"/>
              <w:divBdr>
                <w:top w:val="none" w:sz="0" w:space="0" w:color="auto"/>
                <w:left w:val="none" w:sz="0" w:space="0" w:color="auto"/>
                <w:bottom w:val="none" w:sz="0" w:space="0" w:color="auto"/>
                <w:right w:val="none" w:sz="0" w:space="0" w:color="auto"/>
              </w:divBdr>
            </w:div>
            <w:div w:id="1743722704">
              <w:marLeft w:val="0"/>
              <w:marRight w:val="0"/>
              <w:marTop w:val="0"/>
              <w:marBottom w:val="0"/>
              <w:divBdr>
                <w:top w:val="none" w:sz="0" w:space="0" w:color="auto"/>
                <w:left w:val="none" w:sz="0" w:space="0" w:color="auto"/>
                <w:bottom w:val="none" w:sz="0" w:space="0" w:color="auto"/>
                <w:right w:val="none" w:sz="0" w:space="0" w:color="auto"/>
              </w:divBdr>
            </w:div>
            <w:div w:id="1688017854">
              <w:marLeft w:val="0"/>
              <w:marRight w:val="0"/>
              <w:marTop w:val="0"/>
              <w:marBottom w:val="0"/>
              <w:divBdr>
                <w:top w:val="none" w:sz="0" w:space="0" w:color="auto"/>
                <w:left w:val="none" w:sz="0" w:space="0" w:color="auto"/>
                <w:bottom w:val="none" w:sz="0" w:space="0" w:color="auto"/>
                <w:right w:val="none" w:sz="0" w:space="0" w:color="auto"/>
              </w:divBdr>
            </w:div>
            <w:div w:id="1513181604">
              <w:marLeft w:val="0"/>
              <w:marRight w:val="0"/>
              <w:marTop w:val="0"/>
              <w:marBottom w:val="0"/>
              <w:divBdr>
                <w:top w:val="none" w:sz="0" w:space="0" w:color="auto"/>
                <w:left w:val="none" w:sz="0" w:space="0" w:color="auto"/>
                <w:bottom w:val="none" w:sz="0" w:space="0" w:color="auto"/>
                <w:right w:val="none" w:sz="0" w:space="0" w:color="auto"/>
              </w:divBdr>
            </w:div>
            <w:div w:id="390201907">
              <w:marLeft w:val="0"/>
              <w:marRight w:val="0"/>
              <w:marTop w:val="0"/>
              <w:marBottom w:val="0"/>
              <w:divBdr>
                <w:top w:val="none" w:sz="0" w:space="0" w:color="auto"/>
                <w:left w:val="none" w:sz="0" w:space="0" w:color="auto"/>
                <w:bottom w:val="none" w:sz="0" w:space="0" w:color="auto"/>
                <w:right w:val="none" w:sz="0" w:space="0" w:color="auto"/>
              </w:divBdr>
            </w:div>
            <w:div w:id="1601639905">
              <w:marLeft w:val="0"/>
              <w:marRight w:val="0"/>
              <w:marTop w:val="0"/>
              <w:marBottom w:val="0"/>
              <w:divBdr>
                <w:top w:val="none" w:sz="0" w:space="0" w:color="auto"/>
                <w:left w:val="none" w:sz="0" w:space="0" w:color="auto"/>
                <w:bottom w:val="none" w:sz="0" w:space="0" w:color="auto"/>
                <w:right w:val="none" w:sz="0" w:space="0" w:color="auto"/>
              </w:divBdr>
            </w:div>
            <w:div w:id="1434203291">
              <w:marLeft w:val="0"/>
              <w:marRight w:val="0"/>
              <w:marTop w:val="0"/>
              <w:marBottom w:val="0"/>
              <w:divBdr>
                <w:top w:val="none" w:sz="0" w:space="0" w:color="auto"/>
                <w:left w:val="none" w:sz="0" w:space="0" w:color="auto"/>
                <w:bottom w:val="none" w:sz="0" w:space="0" w:color="auto"/>
                <w:right w:val="none" w:sz="0" w:space="0" w:color="auto"/>
              </w:divBdr>
            </w:div>
            <w:div w:id="664361367">
              <w:marLeft w:val="0"/>
              <w:marRight w:val="0"/>
              <w:marTop w:val="0"/>
              <w:marBottom w:val="0"/>
              <w:divBdr>
                <w:top w:val="none" w:sz="0" w:space="0" w:color="auto"/>
                <w:left w:val="none" w:sz="0" w:space="0" w:color="auto"/>
                <w:bottom w:val="none" w:sz="0" w:space="0" w:color="auto"/>
                <w:right w:val="none" w:sz="0" w:space="0" w:color="auto"/>
              </w:divBdr>
            </w:div>
            <w:div w:id="287397400">
              <w:marLeft w:val="0"/>
              <w:marRight w:val="0"/>
              <w:marTop w:val="0"/>
              <w:marBottom w:val="0"/>
              <w:divBdr>
                <w:top w:val="none" w:sz="0" w:space="0" w:color="auto"/>
                <w:left w:val="none" w:sz="0" w:space="0" w:color="auto"/>
                <w:bottom w:val="none" w:sz="0" w:space="0" w:color="auto"/>
                <w:right w:val="none" w:sz="0" w:space="0" w:color="auto"/>
              </w:divBdr>
            </w:div>
            <w:div w:id="1727799636">
              <w:marLeft w:val="0"/>
              <w:marRight w:val="0"/>
              <w:marTop w:val="0"/>
              <w:marBottom w:val="0"/>
              <w:divBdr>
                <w:top w:val="none" w:sz="0" w:space="0" w:color="auto"/>
                <w:left w:val="none" w:sz="0" w:space="0" w:color="auto"/>
                <w:bottom w:val="none" w:sz="0" w:space="0" w:color="auto"/>
                <w:right w:val="none" w:sz="0" w:space="0" w:color="auto"/>
              </w:divBdr>
            </w:div>
            <w:div w:id="918639004">
              <w:marLeft w:val="0"/>
              <w:marRight w:val="0"/>
              <w:marTop w:val="0"/>
              <w:marBottom w:val="0"/>
              <w:divBdr>
                <w:top w:val="none" w:sz="0" w:space="0" w:color="auto"/>
                <w:left w:val="none" w:sz="0" w:space="0" w:color="auto"/>
                <w:bottom w:val="none" w:sz="0" w:space="0" w:color="auto"/>
                <w:right w:val="none" w:sz="0" w:space="0" w:color="auto"/>
              </w:divBdr>
            </w:div>
            <w:div w:id="1870802592">
              <w:marLeft w:val="0"/>
              <w:marRight w:val="0"/>
              <w:marTop w:val="0"/>
              <w:marBottom w:val="0"/>
              <w:divBdr>
                <w:top w:val="none" w:sz="0" w:space="0" w:color="auto"/>
                <w:left w:val="none" w:sz="0" w:space="0" w:color="auto"/>
                <w:bottom w:val="none" w:sz="0" w:space="0" w:color="auto"/>
                <w:right w:val="none" w:sz="0" w:space="0" w:color="auto"/>
              </w:divBdr>
            </w:div>
            <w:div w:id="900210829">
              <w:marLeft w:val="0"/>
              <w:marRight w:val="0"/>
              <w:marTop w:val="0"/>
              <w:marBottom w:val="0"/>
              <w:divBdr>
                <w:top w:val="none" w:sz="0" w:space="0" w:color="auto"/>
                <w:left w:val="none" w:sz="0" w:space="0" w:color="auto"/>
                <w:bottom w:val="none" w:sz="0" w:space="0" w:color="auto"/>
                <w:right w:val="none" w:sz="0" w:space="0" w:color="auto"/>
              </w:divBdr>
            </w:div>
            <w:div w:id="1268268146">
              <w:marLeft w:val="0"/>
              <w:marRight w:val="0"/>
              <w:marTop w:val="0"/>
              <w:marBottom w:val="0"/>
              <w:divBdr>
                <w:top w:val="none" w:sz="0" w:space="0" w:color="auto"/>
                <w:left w:val="none" w:sz="0" w:space="0" w:color="auto"/>
                <w:bottom w:val="none" w:sz="0" w:space="0" w:color="auto"/>
                <w:right w:val="none" w:sz="0" w:space="0" w:color="auto"/>
              </w:divBdr>
            </w:div>
            <w:div w:id="1856575640">
              <w:marLeft w:val="0"/>
              <w:marRight w:val="0"/>
              <w:marTop w:val="0"/>
              <w:marBottom w:val="0"/>
              <w:divBdr>
                <w:top w:val="none" w:sz="0" w:space="0" w:color="auto"/>
                <w:left w:val="none" w:sz="0" w:space="0" w:color="auto"/>
                <w:bottom w:val="none" w:sz="0" w:space="0" w:color="auto"/>
                <w:right w:val="none" w:sz="0" w:space="0" w:color="auto"/>
              </w:divBdr>
            </w:div>
            <w:div w:id="398359333">
              <w:marLeft w:val="0"/>
              <w:marRight w:val="0"/>
              <w:marTop w:val="0"/>
              <w:marBottom w:val="0"/>
              <w:divBdr>
                <w:top w:val="none" w:sz="0" w:space="0" w:color="auto"/>
                <w:left w:val="none" w:sz="0" w:space="0" w:color="auto"/>
                <w:bottom w:val="none" w:sz="0" w:space="0" w:color="auto"/>
                <w:right w:val="none" w:sz="0" w:space="0" w:color="auto"/>
              </w:divBdr>
            </w:div>
            <w:div w:id="1620138186">
              <w:marLeft w:val="0"/>
              <w:marRight w:val="0"/>
              <w:marTop w:val="0"/>
              <w:marBottom w:val="0"/>
              <w:divBdr>
                <w:top w:val="none" w:sz="0" w:space="0" w:color="auto"/>
                <w:left w:val="none" w:sz="0" w:space="0" w:color="auto"/>
                <w:bottom w:val="none" w:sz="0" w:space="0" w:color="auto"/>
                <w:right w:val="none" w:sz="0" w:space="0" w:color="auto"/>
              </w:divBdr>
            </w:div>
            <w:div w:id="1540825710">
              <w:marLeft w:val="0"/>
              <w:marRight w:val="0"/>
              <w:marTop w:val="0"/>
              <w:marBottom w:val="0"/>
              <w:divBdr>
                <w:top w:val="none" w:sz="0" w:space="0" w:color="auto"/>
                <w:left w:val="none" w:sz="0" w:space="0" w:color="auto"/>
                <w:bottom w:val="none" w:sz="0" w:space="0" w:color="auto"/>
                <w:right w:val="none" w:sz="0" w:space="0" w:color="auto"/>
              </w:divBdr>
            </w:div>
            <w:div w:id="1914122849">
              <w:marLeft w:val="0"/>
              <w:marRight w:val="0"/>
              <w:marTop w:val="0"/>
              <w:marBottom w:val="0"/>
              <w:divBdr>
                <w:top w:val="none" w:sz="0" w:space="0" w:color="auto"/>
                <w:left w:val="none" w:sz="0" w:space="0" w:color="auto"/>
                <w:bottom w:val="none" w:sz="0" w:space="0" w:color="auto"/>
                <w:right w:val="none" w:sz="0" w:space="0" w:color="auto"/>
              </w:divBdr>
            </w:div>
            <w:div w:id="1126776265">
              <w:marLeft w:val="0"/>
              <w:marRight w:val="0"/>
              <w:marTop w:val="0"/>
              <w:marBottom w:val="0"/>
              <w:divBdr>
                <w:top w:val="none" w:sz="0" w:space="0" w:color="auto"/>
                <w:left w:val="none" w:sz="0" w:space="0" w:color="auto"/>
                <w:bottom w:val="none" w:sz="0" w:space="0" w:color="auto"/>
                <w:right w:val="none" w:sz="0" w:space="0" w:color="auto"/>
              </w:divBdr>
            </w:div>
            <w:div w:id="1646665415">
              <w:marLeft w:val="0"/>
              <w:marRight w:val="0"/>
              <w:marTop w:val="0"/>
              <w:marBottom w:val="0"/>
              <w:divBdr>
                <w:top w:val="none" w:sz="0" w:space="0" w:color="auto"/>
                <w:left w:val="none" w:sz="0" w:space="0" w:color="auto"/>
                <w:bottom w:val="none" w:sz="0" w:space="0" w:color="auto"/>
                <w:right w:val="none" w:sz="0" w:space="0" w:color="auto"/>
              </w:divBdr>
            </w:div>
            <w:div w:id="1354309135">
              <w:marLeft w:val="0"/>
              <w:marRight w:val="0"/>
              <w:marTop w:val="0"/>
              <w:marBottom w:val="0"/>
              <w:divBdr>
                <w:top w:val="none" w:sz="0" w:space="0" w:color="auto"/>
                <w:left w:val="none" w:sz="0" w:space="0" w:color="auto"/>
                <w:bottom w:val="none" w:sz="0" w:space="0" w:color="auto"/>
                <w:right w:val="none" w:sz="0" w:space="0" w:color="auto"/>
              </w:divBdr>
            </w:div>
            <w:div w:id="699358851">
              <w:marLeft w:val="0"/>
              <w:marRight w:val="0"/>
              <w:marTop w:val="0"/>
              <w:marBottom w:val="0"/>
              <w:divBdr>
                <w:top w:val="none" w:sz="0" w:space="0" w:color="auto"/>
                <w:left w:val="none" w:sz="0" w:space="0" w:color="auto"/>
                <w:bottom w:val="none" w:sz="0" w:space="0" w:color="auto"/>
                <w:right w:val="none" w:sz="0" w:space="0" w:color="auto"/>
              </w:divBdr>
            </w:div>
            <w:div w:id="1971402380">
              <w:marLeft w:val="0"/>
              <w:marRight w:val="0"/>
              <w:marTop w:val="0"/>
              <w:marBottom w:val="0"/>
              <w:divBdr>
                <w:top w:val="none" w:sz="0" w:space="0" w:color="auto"/>
                <w:left w:val="none" w:sz="0" w:space="0" w:color="auto"/>
                <w:bottom w:val="none" w:sz="0" w:space="0" w:color="auto"/>
                <w:right w:val="none" w:sz="0" w:space="0" w:color="auto"/>
              </w:divBdr>
            </w:div>
            <w:div w:id="1127428535">
              <w:marLeft w:val="0"/>
              <w:marRight w:val="0"/>
              <w:marTop w:val="0"/>
              <w:marBottom w:val="0"/>
              <w:divBdr>
                <w:top w:val="none" w:sz="0" w:space="0" w:color="auto"/>
                <w:left w:val="none" w:sz="0" w:space="0" w:color="auto"/>
                <w:bottom w:val="none" w:sz="0" w:space="0" w:color="auto"/>
                <w:right w:val="none" w:sz="0" w:space="0" w:color="auto"/>
              </w:divBdr>
            </w:div>
            <w:div w:id="1640963221">
              <w:marLeft w:val="0"/>
              <w:marRight w:val="0"/>
              <w:marTop w:val="0"/>
              <w:marBottom w:val="0"/>
              <w:divBdr>
                <w:top w:val="none" w:sz="0" w:space="0" w:color="auto"/>
                <w:left w:val="none" w:sz="0" w:space="0" w:color="auto"/>
                <w:bottom w:val="none" w:sz="0" w:space="0" w:color="auto"/>
                <w:right w:val="none" w:sz="0" w:space="0" w:color="auto"/>
              </w:divBdr>
            </w:div>
            <w:div w:id="41246468">
              <w:marLeft w:val="0"/>
              <w:marRight w:val="0"/>
              <w:marTop w:val="0"/>
              <w:marBottom w:val="0"/>
              <w:divBdr>
                <w:top w:val="none" w:sz="0" w:space="0" w:color="auto"/>
                <w:left w:val="none" w:sz="0" w:space="0" w:color="auto"/>
                <w:bottom w:val="none" w:sz="0" w:space="0" w:color="auto"/>
                <w:right w:val="none" w:sz="0" w:space="0" w:color="auto"/>
              </w:divBdr>
            </w:div>
            <w:div w:id="1170217734">
              <w:marLeft w:val="0"/>
              <w:marRight w:val="0"/>
              <w:marTop w:val="0"/>
              <w:marBottom w:val="0"/>
              <w:divBdr>
                <w:top w:val="none" w:sz="0" w:space="0" w:color="auto"/>
                <w:left w:val="none" w:sz="0" w:space="0" w:color="auto"/>
                <w:bottom w:val="none" w:sz="0" w:space="0" w:color="auto"/>
                <w:right w:val="none" w:sz="0" w:space="0" w:color="auto"/>
              </w:divBdr>
            </w:div>
            <w:div w:id="1277255051">
              <w:marLeft w:val="0"/>
              <w:marRight w:val="0"/>
              <w:marTop w:val="0"/>
              <w:marBottom w:val="0"/>
              <w:divBdr>
                <w:top w:val="none" w:sz="0" w:space="0" w:color="auto"/>
                <w:left w:val="none" w:sz="0" w:space="0" w:color="auto"/>
                <w:bottom w:val="none" w:sz="0" w:space="0" w:color="auto"/>
                <w:right w:val="none" w:sz="0" w:space="0" w:color="auto"/>
              </w:divBdr>
            </w:div>
            <w:div w:id="1058552780">
              <w:marLeft w:val="0"/>
              <w:marRight w:val="0"/>
              <w:marTop w:val="0"/>
              <w:marBottom w:val="0"/>
              <w:divBdr>
                <w:top w:val="none" w:sz="0" w:space="0" w:color="auto"/>
                <w:left w:val="none" w:sz="0" w:space="0" w:color="auto"/>
                <w:bottom w:val="none" w:sz="0" w:space="0" w:color="auto"/>
                <w:right w:val="none" w:sz="0" w:space="0" w:color="auto"/>
              </w:divBdr>
            </w:div>
            <w:div w:id="185363726">
              <w:marLeft w:val="0"/>
              <w:marRight w:val="0"/>
              <w:marTop w:val="0"/>
              <w:marBottom w:val="0"/>
              <w:divBdr>
                <w:top w:val="none" w:sz="0" w:space="0" w:color="auto"/>
                <w:left w:val="none" w:sz="0" w:space="0" w:color="auto"/>
                <w:bottom w:val="none" w:sz="0" w:space="0" w:color="auto"/>
                <w:right w:val="none" w:sz="0" w:space="0" w:color="auto"/>
              </w:divBdr>
            </w:div>
            <w:div w:id="1309820472">
              <w:marLeft w:val="0"/>
              <w:marRight w:val="0"/>
              <w:marTop w:val="0"/>
              <w:marBottom w:val="0"/>
              <w:divBdr>
                <w:top w:val="none" w:sz="0" w:space="0" w:color="auto"/>
                <w:left w:val="none" w:sz="0" w:space="0" w:color="auto"/>
                <w:bottom w:val="none" w:sz="0" w:space="0" w:color="auto"/>
                <w:right w:val="none" w:sz="0" w:space="0" w:color="auto"/>
              </w:divBdr>
            </w:div>
            <w:div w:id="2103606850">
              <w:marLeft w:val="0"/>
              <w:marRight w:val="0"/>
              <w:marTop w:val="0"/>
              <w:marBottom w:val="0"/>
              <w:divBdr>
                <w:top w:val="none" w:sz="0" w:space="0" w:color="auto"/>
                <w:left w:val="none" w:sz="0" w:space="0" w:color="auto"/>
                <w:bottom w:val="none" w:sz="0" w:space="0" w:color="auto"/>
                <w:right w:val="none" w:sz="0" w:space="0" w:color="auto"/>
              </w:divBdr>
            </w:div>
            <w:div w:id="1404178933">
              <w:marLeft w:val="0"/>
              <w:marRight w:val="0"/>
              <w:marTop w:val="0"/>
              <w:marBottom w:val="0"/>
              <w:divBdr>
                <w:top w:val="none" w:sz="0" w:space="0" w:color="auto"/>
                <w:left w:val="none" w:sz="0" w:space="0" w:color="auto"/>
                <w:bottom w:val="none" w:sz="0" w:space="0" w:color="auto"/>
                <w:right w:val="none" w:sz="0" w:space="0" w:color="auto"/>
              </w:divBdr>
            </w:div>
            <w:div w:id="1594389114">
              <w:marLeft w:val="0"/>
              <w:marRight w:val="0"/>
              <w:marTop w:val="0"/>
              <w:marBottom w:val="0"/>
              <w:divBdr>
                <w:top w:val="none" w:sz="0" w:space="0" w:color="auto"/>
                <w:left w:val="none" w:sz="0" w:space="0" w:color="auto"/>
                <w:bottom w:val="none" w:sz="0" w:space="0" w:color="auto"/>
                <w:right w:val="none" w:sz="0" w:space="0" w:color="auto"/>
              </w:divBdr>
            </w:div>
            <w:div w:id="1419906315">
              <w:marLeft w:val="0"/>
              <w:marRight w:val="0"/>
              <w:marTop w:val="0"/>
              <w:marBottom w:val="0"/>
              <w:divBdr>
                <w:top w:val="none" w:sz="0" w:space="0" w:color="auto"/>
                <w:left w:val="none" w:sz="0" w:space="0" w:color="auto"/>
                <w:bottom w:val="none" w:sz="0" w:space="0" w:color="auto"/>
                <w:right w:val="none" w:sz="0" w:space="0" w:color="auto"/>
              </w:divBdr>
            </w:div>
            <w:div w:id="1630668407">
              <w:marLeft w:val="0"/>
              <w:marRight w:val="0"/>
              <w:marTop w:val="0"/>
              <w:marBottom w:val="0"/>
              <w:divBdr>
                <w:top w:val="none" w:sz="0" w:space="0" w:color="auto"/>
                <w:left w:val="none" w:sz="0" w:space="0" w:color="auto"/>
                <w:bottom w:val="none" w:sz="0" w:space="0" w:color="auto"/>
                <w:right w:val="none" w:sz="0" w:space="0" w:color="auto"/>
              </w:divBdr>
            </w:div>
            <w:div w:id="410977919">
              <w:marLeft w:val="0"/>
              <w:marRight w:val="0"/>
              <w:marTop w:val="0"/>
              <w:marBottom w:val="0"/>
              <w:divBdr>
                <w:top w:val="none" w:sz="0" w:space="0" w:color="auto"/>
                <w:left w:val="none" w:sz="0" w:space="0" w:color="auto"/>
                <w:bottom w:val="none" w:sz="0" w:space="0" w:color="auto"/>
                <w:right w:val="none" w:sz="0" w:space="0" w:color="auto"/>
              </w:divBdr>
            </w:div>
            <w:div w:id="871965960">
              <w:marLeft w:val="0"/>
              <w:marRight w:val="0"/>
              <w:marTop w:val="0"/>
              <w:marBottom w:val="0"/>
              <w:divBdr>
                <w:top w:val="none" w:sz="0" w:space="0" w:color="auto"/>
                <w:left w:val="none" w:sz="0" w:space="0" w:color="auto"/>
                <w:bottom w:val="none" w:sz="0" w:space="0" w:color="auto"/>
                <w:right w:val="none" w:sz="0" w:space="0" w:color="auto"/>
              </w:divBdr>
            </w:div>
            <w:div w:id="1174422388">
              <w:marLeft w:val="0"/>
              <w:marRight w:val="0"/>
              <w:marTop w:val="0"/>
              <w:marBottom w:val="0"/>
              <w:divBdr>
                <w:top w:val="none" w:sz="0" w:space="0" w:color="auto"/>
                <w:left w:val="none" w:sz="0" w:space="0" w:color="auto"/>
                <w:bottom w:val="none" w:sz="0" w:space="0" w:color="auto"/>
                <w:right w:val="none" w:sz="0" w:space="0" w:color="auto"/>
              </w:divBdr>
            </w:div>
            <w:div w:id="1342127139">
              <w:marLeft w:val="0"/>
              <w:marRight w:val="0"/>
              <w:marTop w:val="0"/>
              <w:marBottom w:val="0"/>
              <w:divBdr>
                <w:top w:val="none" w:sz="0" w:space="0" w:color="auto"/>
                <w:left w:val="none" w:sz="0" w:space="0" w:color="auto"/>
                <w:bottom w:val="none" w:sz="0" w:space="0" w:color="auto"/>
                <w:right w:val="none" w:sz="0" w:space="0" w:color="auto"/>
              </w:divBdr>
            </w:div>
            <w:div w:id="930970162">
              <w:marLeft w:val="0"/>
              <w:marRight w:val="0"/>
              <w:marTop w:val="0"/>
              <w:marBottom w:val="0"/>
              <w:divBdr>
                <w:top w:val="none" w:sz="0" w:space="0" w:color="auto"/>
                <w:left w:val="none" w:sz="0" w:space="0" w:color="auto"/>
                <w:bottom w:val="none" w:sz="0" w:space="0" w:color="auto"/>
                <w:right w:val="none" w:sz="0" w:space="0" w:color="auto"/>
              </w:divBdr>
            </w:div>
            <w:div w:id="2001040810">
              <w:marLeft w:val="0"/>
              <w:marRight w:val="0"/>
              <w:marTop w:val="0"/>
              <w:marBottom w:val="0"/>
              <w:divBdr>
                <w:top w:val="none" w:sz="0" w:space="0" w:color="auto"/>
                <w:left w:val="none" w:sz="0" w:space="0" w:color="auto"/>
                <w:bottom w:val="none" w:sz="0" w:space="0" w:color="auto"/>
                <w:right w:val="none" w:sz="0" w:space="0" w:color="auto"/>
              </w:divBdr>
            </w:div>
            <w:div w:id="399981331">
              <w:marLeft w:val="0"/>
              <w:marRight w:val="0"/>
              <w:marTop w:val="0"/>
              <w:marBottom w:val="0"/>
              <w:divBdr>
                <w:top w:val="none" w:sz="0" w:space="0" w:color="auto"/>
                <w:left w:val="none" w:sz="0" w:space="0" w:color="auto"/>
                <w:bottom w:val="none" w:sz="0" w:space="0" w:color="auto"/>
                <w:right w:val="none" w:sz="0" w:space="0" w:color="auto"/>
              </w:divBdr>
            </w:div>
            <w:div w:id="1669333656">
              <w:marLeft w:val="0"/>
              <w:marRight w:val="0"/>
              <w:marTop w:val="0"/>
              <w:marBottom w:val="0"/>
              <w:divBdr>
                <w:top w:val="none" w:sz="0" w:space="0" w:color="auto"/>
                <w:left w:val="none" w:sz="0" w:space="0" w:color="auto"/>
                <w:bottom w:val="none" w:sz="0" w:space="0" w:color="auto"/>
                <w:right w:val="none" w:sz="0" w:space="0" w:color="auto"/>
              </w:divBdr>
            </w:div>
            <w:div w:id="234362187">
              <w:marLeft w:val="0"/>
              <w:marRight w:val="0"/>
              <w:marTop w:val="0"/>
              <w:marBottom w:val="0"/>
              <w:divBdr>
                <w:top w:val="none" w:sz="0" w:space="0" w:color="auto"/>
                <w:left w:val="none" w:sz="0" w:space="0" w:color="auto"/>
                <w:bottom w:val="none" w:sz="0" w:space="0" w:color="auto"/>
                <w:right w:val="none" w:sz="0" w:space="0" w:color="auto"/>
              </w:divBdr>
            </w:div>
            <w:div w:id="1916086055">
              <w:marLeft w:val="0"/>
              <w:marRight w:val="0"/>
              <w:marTop w:val="0"/>
              <w:marBottom w:val="0"/>
              <w:divBdr>
                <w:top w:val="none" w:sz="0" w:space="0" w:color="auto"/>
                <w:left w:val="none" w:sz="0" w:space="0" w:color="auto"/>
                <w:bottom w:val="none" w:sz="0" w:space="0" w:color="auto"/>
                <w:right w:val="none" w:sz="0" w:space="0" w:color="auto"/>
              </w:divBdr>
            </w:div>
            <w:div w:id="408309867">
              <w:marLeft w:val="0"/>
              <w:marRight w:val="0"/>
              <w:marTop w:val="0"/>
              <w:marBottom w:val="0"/>
              <w:divBdr>
                <w:top w:val="none" w:sz="0" w:space="0" w:color="auto"/>
                <w:left w:val="none" w:sz="0" w:space="0" w:color="auto"/>
                <w:bottom w:val="none" w:sz="0" w:space="0" w:color="auto"/>
                <w:right w:val="none" w:sz="0" w:space="0" w:color="auto"/>
              </w:divBdr>
            </w:div>
            <w:div w:id="1055392645">
              <w:marLeft w:val="0"/>
              <w:marRight w:val="0"/>
              <w:marTop w:val="0"/>
              <w:marBottom w:val="0"/>
              <w:divBdr>
                <w:top w:val="none" w:sz="0" w:space="0" w:color="auto"/>
                <w:left w:val="none" w:sz="0" w:space="0" w:color="auto"/>
                <w:bottom w:val="none" w:sz="0" w:space="0" w:color="auto"/>
                <w:right w:val="none" w:sz="0" w:space="0" w:color="auto"/>
              </w:divBdr>
            </w:div>
            <w:div w:id="546767291">
              <w:marLeft w:val="0"/>
              <w:marRight w:val="0"/>
              <w:marTop w:val="0"/>
              <w:marBottom w:val="0"/>
              <w:divBdr>
                <w:top w:val="none" w:sz="0" w:space="0" w:color="auto"/>
                <w:left w:val="none" w:sz="0" w:space="0" w:color="auto"/>
                <w:bottom w:val="none" w:sz="0" w:space="0" w:color="auto"/>
                <w:right w:val="none" w:sz="0" w:space="0" w:color="auto"/>
              </w:divBdr>
            </w:div>
            <w:div w:id="1810781179">
              <w:marLeft w:val="0"/>
              <w:marRight w:val="0"/>
              <w:marTop w:val="0"/>
              <w:marBottom w:val="0"/>
              <w:divBdr>
                <w:top w:val="none" w:sz="0" w:space="0" w:color="auto"/>
                <w:left w:val="none" w:sz="0" w:space="0" w:color="auto"/>
                <w:bottom w:val="none" w:sz="0" w:space="0" w:color="auto"/>
                <w:right w:val="none" w:sz="0" w:space="0" w:color="auto"/>
              </w:divBdr>
            </w:div>
            <w:div w:id="1454594263">
              <w:marLeft w:val="0"/>
              <w:marRight w:val="0"/>
              <w:marTop w:val="0"/>
              <w:marBottom w:val="0"/>
              <w:divBdr>
                <w:top w:val="none" w:sz="0" w:space="0" w:color="auto"/>
                <w:left w:val="none" w:sz="0" w:space="0" w:color="auto"/>
                <w:bottom w:val="none" w:sz="0" w:space="0" w:color="auto"/>
                <w:right w:val="none" w:sz="0" w:space="0" w:color="auto"/>
              </w:divBdr>
            </w:div>
            <w:div w:id="1195732067">
              <w:marLeft w:val="0"/>
              <w:marRight w:val="0"/>
              <w:marTop w:val="0"/>
              <w:marBottom w:val="0"/>
              <w:divBdr>
                <w:top w:val="none" w:sz="0" w:space="0" w:color="auto"/>
                <w:left w:val="none" w:sz="0" w:space="0" w:color="auto"/>
                <w:bottom w:val="none" w:sz="0" w:space="0" w:color="auto"/>
                <w:right w:val="none" w:sz="0" w:space="0" w:color="auto"/>
              </w:divBdr>
            </w:div>
            <w:div w:id="1142306086">
              <w:marLeft w:val="0"/>
              <w:marRight w:val="0"/>
              <w:marTop w:val="0"/>
              <w:marBottom w:val="0"/>
              <w:divBdr>
                <w:top w:val="none" w:sz="0" w:space="0" w:color="auto"/>
                <w:left w:val="none" w:sz="0" w:space="0" w:color="auto"/>
                <w:bottom w:val="none" w:sz="0" w:space="0" w:color="auto"/>
                <w:right w:val="none" w:sz="0" w:space="0" w:color="auto"/>
              </w:divBdr>
            </w:div>
            <w:div w:id="367798789">
              <w:marLeft w:val="0"/>
              <w:marRight w:val="0"/>
              <w:marTop w:val="0"/>
              <w:marBottom w:val="0"/>
              <w:divBdr>
                <w:top w:val="none" w:sz="0" w:space="0" w:color="auto"/>
                <w:left w:val="none" w:sz="0" w:space="0" w:color="auto"/>
                <w:bottom w:val="none" w:sz="0" w:space="0" w:color="auto"/>
                <w:right w:val="none" w:sz="0" w:space="0" w:color="auto"/>
              </w:divBdr>
            </w:div>
            <w:div w:id="694843420">
              <w:marLeft w:val="0"/>
              <w:marRight w:val="0"/>
              <w:marTop w:val="0"/>
              <w:marBottom w:val="0"/>
              <w:divBdr>
                <w:top w:val="none" w:sz="0" w:space="0" w:color="auto"/>
                <w:left w:val="none" w:sz="0" w:space="0" w:color="auto"/>
                <w:bottom w:val="none" w:sz="0" w:space="0" w:color="auto"/>
                <w:right w:val="none" w:sz="0" w:space="0" w:color="auto"/>
              </w:divBdr>
            </w:div>
            <w:div w:id="1776248821">
              <w:marLeft w:val="0"/>
              <w:marRight w:val="0"/>
              <w:marTop w:val="0"/>
              <w:marBottom w:val="0"/>
              <w:divBdr>
                <w:top w:val="none" w:sz="0" w:space="0" w:color="auto"/>
                <w:left w:val="none" w:sz="0" w:space="0" w:color="auto"/>
                <w:bottom w:val="none" w:sz="0" w:space="0" w:color="auto"/>
                <w:right w:val="none" w:sz="0" w:space="0" w:color="auto"/>
              </w:divBdr>
            </w:div>
            <w:div w:id="1065685307">
              <w:marLeft w:val="0"/>
              <w:marRight w:val="0"/>
              <w:marTop w:val="0"/>
              <w:marBottom w:val="0"/>
              <w:divBdr>
                <w:top w:val="none" w:sz="0" w:space="0" w:color="auto"/>
                <w:left w:val="none" w:sz="0" w:space="0" w:color="auto"/>
                <w:bottom w:val="none" w:sz="0" w:space="0" w:color="auto"/>
                <w:right w:val="none" w:sz="0" w:space="0" w:color="auto"/>
              </w:divBdr>
            </w:div>
            <w:div w:id="191194362">
              <w:marLeft w:val="0"/>
              <w:marRight w:val="0"/>
              <w:marTop w:val="0"/>
              <w:marBottom w:val="0"/>
              <w:divBdr>
                <w:top w:val="none" w:sz="0" w:space="0" w:color="auto"/>
                <w:left w:val="none" w:sz="0" w:space="0" w:color="auto"/>
                <w:bottom w:val="none" w:sz="0" w:space="0" w:color="auto"/>
                <w:right w:val="none" w:sz="0" w:space="0" w:color="auto"/>
              </w:divBdr>
            </w:div>
            <w:div w:id="1690793840">
              <w:marLeft w:val="0"/>
              <w:marRight w:val="0"/>
              <w:marTop w:val="0"/>
              <w:marBottom w:val="0"/>
              <w:divBdr>
                <w:top w:val="none" w:sz="0" w:space="0" w:color="auto"/>
                <w:left w:val="none" w:sz="0" w:space="0" w:color="auto"/>
                <w:bottom w:val="none" w:sz="0" w:space="0" w:color="auto"/>
                <w:right w:val="none" w:sz="0" w:space="0" w:color="auto"/>
              </w:divBdr>
            </w:div>
            <w:div w:id="890732359">
              <w:marLeft w:val="0"/>
              <w:marRight w:val="0"/>
              <w:marTop w:val="0"/>
              <w:marBottom w:val="0"/>
              <w:divBdr>
                <w:top w:val="none" w:sz="0" w:space="0" w:color="auto"/>
                <w:left w:val="none" w:sz="0" w:space="0" w:color="auto"/>
                <w:bottom w:val="none" w:sz="0" w:space="0" w:color="auto"/>
                <w:right w:val="none" w:sz="0" w:space="0" w:color="auto"/>
              </w:divBdr>
            </w:div>
            <w:div w:id="1734084251">
              <w:marLeft w:val="0"/>
              <w:marRight w:val="0"/>
              <w:marTop w:val="0"/>
              <w:marBottom w:val="0"/>
              <w:divBdr>
                <w:top w:val="none" w:sz="0" w:space="0" w:color="auto"/>
                <w:left w:val="none" w:sz="0" w:space="0" w:color="auto"/>
                <w:bottom w:val="none" w:sz="0" w:space="0" w:color="auto"/>
                <w:right w:val="none" w:sz="0" w:space="0" w:color="auto"/>
              </w:divBdr>
            </w:div>
            <w:div w:id="1980256992">
              <w:marLeft w:val="0"/>
              <w:marRight w:val="0"/>
              <w:marTop w:val="0"/>
              <w:marBottom w:val="0"/>
              <w:divBdr>
                <w:top w:val="none" w:sz="0" w:space="0" w:color="auto"/>
                <w:left w:val="none" w:sz="0" w:space="0" w:color="auto"/>
                <w:bottom w:val="none" w:sz="0" w:space="0" w:color="auto"/>
                <w:right w:val="none" w:sz="0" w:space="0" w:color="auto"/>
              </w:divBdr>
            </w:div>
            <w:div w:id="2040160890">
              <w:marLeft w:val="0"/>
              <w:marRight w:val="0"/>
              <w:marTop w:val="0"/>
              <w:marBottom w:val="0"/>
              <w:divBdr>
                <w:top w:val="none" w:sz="0" w:space="0" w:color="auto"/>
                <w:left w:val="none" w:sz="0" w:space="0" w:color="auto"/>
                <w:bottom w:val="none" w:sz="0" w:space="0" w:color="auto"/>
                <w:right w:val="none" w:sz="0" w:space="0" w:color="auto"/>
              </w:divBdr>
            </w:div>
            <w:div w:id="160312624">
              <w:marLeft w:val="0"/>
              <w:marRight w:val="0"/>
              <w:marTop w:val="0"/>
              <w:marBottom w:val="0"/>
              <w:divBdr>
                <w:top w:val="none" w:sz="0" w:space="0" w:color="auto"/>
                <w:left w:val="none" w:sz="0" w:space="0" w:color="auto"/>
                <w:bottom w:val="none" w:sz="0" w:space="0" w:color="auto"/>
                <w:right w:val="none" w:sz="0" w:space="0" w:color="auto"/>
              </w:divBdr>
            </w:div>
            <w:div w:id="296691605">
              <w:marLeft w:val="0"/>
              <w:marRight w:val="0"/>
              <w:marTop w:val="0"/>
              <w:marBottom w:val="0"/>
              <w:divBdr>
                <w:top w:val="none" w:sz="0" w:space="0" w:color="auto"/>
                <w:left w:val="none" w:sz="0" w:space="0" w:color="auto"/>
                <w:bottom w:val="none" w:sz="0" w:space="0" w:color="auto"/>
                <w:right w:val="none" w:sz="0" w:space="0" w:color="auto"/>
              </w:divBdr>
            </w:div>
            <w:div w:id="407927132">
              <w:marLeft w:val="0"/>
              <w:marRight w:val="0"/>
              <w:marTop w:val="0"/>
              <w:marBottom w:val="0"/>
              <w:divBdr>
                <w:top w:val="none" w:sz="0" w:space="0" w:color="auto"/>
                <w:left w:val="none" w:sz="0" w:space="0" w:color="auto"/>
                <w:bottom w:val="none" w:sz="0" w:space="0" w:color="auto"/>
                <w:right w:val="none" w:sz="0" w:space="0" w:color="auto"/>
              </w:divBdr>
            </w:div>
            <w:div w:id="2004889302">
              <w:marLeft w:val="0"/>
              <w:marRight w:val="0"/>
              <w:marTop w:val="0"/>
              <w:marBottom w:val="0"/>
              <w:divBdr>
                <w:top w:val="none" w:sz="0" w:space="0" w:color="auto"/>
                <w:left w:val="none" w:sz="0" w:space="0" w:color="auto"/>
                <w:bottom w:val="none" w:sz="0" w:space="0" w:color="auto"/>
                <w:right w:val="none" w:sz="0" w:space="0" w:color="auto"/>
              </w:divBdr>
            </w:div>
            <w:div w:id="1486704800">
              <w:marLeft w:val="0"/>
              <w:marRight w:val="0"/>
              <w:marTop w:val="0"/>
              <w:marBottom w:val="0"/>
              <w:divBdr>
                <w:top w:val="none" w:sz="0" w:space="0" w:color="auto"/>
                <w:left w:val="none" w:sz="0" w:space="0" w:color="auto"/>
                <w:bottom w:val="none" w:sz="0" w:space="0" w:color="auto"/>
                <w:right w:val="none" w:sz="0" w:space="0" w:color="auto"/>
              </w:divBdr>
            </w:div>
            <w:div w:id="529031627">
              <w:marLeft w:val="0"/>
              <w:marRight w:val="0"/>
              <w:marTop w:val="0"/>
              <w:marBottom w:val="0"/>
              <w:divBdr>
                <w:top w:val="none" w:sz="0" w:space="0" w:color="auto"/>
                <w:left w:val="none" w:sz="0" w:space="0" w:color="auto"/>
                <w:bottom w:val="none" w:sz="0" w:space="0" w:color="auto"/>
                <w:right w:val="none" w:sz="0" w:space="0" w:color="auto"/>
              </w:divBdr>
            </w:div>
            <w:div w:id="1543667681">
              <w:marLeft w:val="0"/>
              <w:marRight w:val="0"/>
              <w:marTop w:val="0"/>
              <w:marBottom w:val="0"/>
              <w:divBdr>
                <w:top w:val="none" w:sz="0" w:space="0" w:color="auto"/>
                <w:left w:val="none" w:sz="0" w:space="0" w:color="auto"/>
                <w:bottom w:val="none" w:sz="0" w:space="0" w:color="auto"/>
                <w:right w:val="none" w:sz="0" w:space="0" w:color="auto"/>
              </w:divBdr>
            </w:div>
            <w:div w:id="2078897888">
              <w:marLeft w:val="0"/>
              <w:marRight w:val="0"/>
              <w:marTop w:val="0"/>
              <w:marBottom w:val="0"/>
              <w:divBdr>
                <w:top w:val="none" w:sz="0" w:space="0" w:color="auto"/>
                <w:left w:val="none" w:sz="0" w:space="0" w:color="auto"/>
                <w:bottom w:val="none" w:sz="0" w:space="0" w:color="auto"/>
                <w:right w:val="none" w:sz="0" w:space="0" w:color="auto"/>
              </w:divBdr>
            </w:div>
            <w:div w:id="175578558">
              <w:marLeft w:val="0"/>
              <w:marRight w:val="0"/>
              <w:marTop w:val="0"/>
              <w:marBottom w:val="0"/>
              <w:divBdr>
                <w:top w:val="none" w:sz="0" w:space="0" w:color="auto"/>
                <w:left w:val="none" w:sz="0" w:space="0" w:color="auto"/>
                <w:bottom w:val="none" w:sz="0" w:space="0" w:color="auto"/>
                <w:right w:val="none" w:sz="0" w:space="0" w:color="auto"/>
              </w:divBdr>
            </w:div>
            <w:div w:id="383255529">
              <w:marLeft w:val="0"/>
              <w:marRight w:val="0"/>
              <w:marTop w:val="0"/>
              <w:marBottom w:val="0"/>
              <w:divBdr>
                <w:top w:val="none" w:sz="0" w:space="0" w:color="auto"/>
                <w:left w:val="none" w:sz="0" w:space="0" w:color="auto"/>
                <w:bottom w:val="none" w:sz="0" w:space="0" w:color="auto"/>
                <w:right w:val="none" w:sz="0" w:space="0" w:color="auto"/>
              </w:divBdr>
            </w:div>
            <w:div w:id="2077316335">
              <w:marLeft w:val="0"/>
              <w:marRight w:val="0"/>
              <w:marTop w:val="0"/>
              <w:marBottom w:val="0"/>
              <w:divBdr>
                <w:top w:val="none" w:sz="0" w:space="0" w:color="auto"/>
                <w:left w:val="none" w:sz="0" w:space="0" w:color="auto"/>
                <w:bottom w:val="none" w:sz="0" w:space="0" w:color="auto"/>
                <w:right w:val="none" w:sz="0" w:space="0" w:color="auto"/>
              </w:divBdr>
            </w:div>
            <w:div w:id="133528431">
              <w:marLeft w:val="0"/>
              <w:marRight w:val="0"/>
              <w:marTop w:val="0"/>
              <w:marBottom w:val="0"/>
              <w:divBdr>
                <w:top w:val="none" w:sz="0" w:space="0" w:color="auto"/>
                <w:left w:val="none" w:sz="0" w:space="0" w:color="auto"/>
                <w:bottom w:val="none" w:sz="0" w:space="0" w:color="auto"/>
                <w:right w:val="none" w:sz="0" w:space="0" w:color="auto"/>
              </w:divBdr>
            </w:div>
            <w:div w:id="1808475890">
              <w:marLeft w:val="0"/>
              <w:marRight w:val="0"/>
              <w:marTop w:val="0"/>
              <w:marBottom w:val="0"/>
              <w:divBdr>
                <w:top w:val="none" w:sz="0" w:space="0" w:color="auto"/>
                <w:left w:val="none" w:sz="0" w:space="0" w:color="auto"/>
                <w:bottom w:val="none" w:sz="0" w:space="0" w:color="auto"/>
                <w:right w:val="none" w:sz="0" w:space="0" w:color="auto"/>
              </w:divBdr>
            </w:div>
            <w:div w:id="822162939">
              <w:marLeft w:val="0"/>
              <w:marRight w:val="0"/>
              <w:marTop w:val="0"/>
              <w:marBottom w:val="0"/>
              <w:divBdr>
                <w:top w:val="none" w:sz="0" w:space="0" w:color="auto"/>
                <w:left w:val="none" w:sz="0" w:space="0" w:color="auto"/>
                <w:bottom w:val="none" w:sz="0" w:space="0" w:color="auto"/>
                <w:right w:val="none" w:sz="0" w:space="0" w:color="auto"/>
              </w:divBdr>
            </w:div>
            <w:div w:id="146241183">
              <w:marLeft w:val="0"/>
              <w:marRight w:val="0"/>
              <w:marTop w:val="0"/>
              <w:marBottom w:val="0"/>
              <w:divBdr>
                <w:top w:val="none" w:sz="0" w:space="0" w:color="auto"/>
                <w:left w:val="none" w:sz="0" w:space="0" w:color="auto"/>
                <w:bottom w:val="none" w:sz="0" w:space="0" w:color="auto"/>
                <w:right w:val="none" w:sz="0" w:space="0" w:color="auto"/>
              </w:divBdr>
            </w:div>
            <w:div w:id="1400905910">
              <w:marLeft w:val="0"/>
              <w:marRight w:val="0"/>
              <w:marTop w:val="0"/>
              <w:marBottom w:val="0"/>
              <w:divBdr>
                <w:top w:val="none" w:sz="0" w:space="0" w:color="auto"/>
                <w:left w:val="none" w:sz="0" w:space="0" w:color="auto"/>
                <w:bottom w:val="none" w:sz="0" w:space="0" w:color="auto"/>
                <w:right w:val="none" w:sz="0" w:space="0" w:color="auto"/>
              </w:divBdr>
            </w:div>
            <w:div w:id="1711685793">
              <w:marLeft w:val="0"/>
              <w:marRight w:val="0"/>
              <w:marTop w:val="0"/>
              <w:marBottom w:val="0"/>
              <w:divBdr>
                <w:top w:val="none" w:sz="0" w:space="0" w:color="auto"/>
                <w:left w:val="none" w:sz="0" w:space="0" w:color="auto"/>
                <w:bottom w:val="none" w:sz="0" w:space="0" w:color="auto"/>
                <w:right w:val="none" w:sz="0" w:space="0" w:color="auto"/>
              </w:divBdr>
            </w:div>
            <w:div w:id="58286144">
              <w:marLeft w:val="0"/>
              <w:marRight w:val="0"/>
              <w:marTop w:val="0"/>
              <w:marBottom w:val="0"/>
              <w:divBdr>
                <w:top w:val="none" w:sz="0" w:space="0" w:color="auto"/>
                <w:left w:val="none" w:sz="0" w:space="0" w:color="auto"/>
                <w:bottom w:val="none" w:sz="0" w:space="0" w:color="auto"/>
                <w:right w:val="none" w:sz="0" w:space="0" w:color="auto"/>
              </w:divBdr>
            </w:div>
            <w:div w:id="429665806">
              <w:marLeft w:val="0"/>
              <w:marRight w:val="0"/>
              <w:marTop w:val="0"/>
              <w:marBottom w:val="0"/>
              <w:divBdr>
                <w:top w:val="none" w:sz="0" w:space="0" w:color="auto"/>
                <w:left w:val="none" w:sz="0" w:space="0" w:color="auto"/>
                <w:bottom w:val="none" w:sz="0" w:space="0" w:color="auto"/>
                <w:right w:val="none" w:sz="0" w:space="0" w:color="auto"/>
              </w:divBdr>
            </w:div>
            <w:div w:id="1993631251">
              <w:marLeft w:val="0"/>
              <w:marRight w:val="0"/>
              <w:marTop w:val="0"/>
              <w:marBottom w:val="0"/>
              <w:divBdr>
                <w:top w:val="none" w:sz="0" w:space="0" w:color="auto"/>
                <w:left w:val="none" w:sz="0" w:space="0" w:color="auto"/>
                <w:bottom w:val="none" w:sz="0" w:space="0" w:color="auto"/>
                <w:right w:val="none" w:sz="0" w:space="0" w:color="auto"/>
              </w:divBdr>
            </w:div>
            <w:div w:id="147988033">
              <w:marLeft w:val="0"/>
              <w:marRight w:val="0"/>
              <w:marTop w:val="0"/>
              <w:marBottom w:val="0"/>
              <w:divBdr>
                <w:top w:val="none" w:sz="0" w:space="0" w:color="auto"/>
                <w:left w:val="none" w:sz="0" w:space="0" w:color="auto"/>
                <w:bottom w:val="none" w:sz="0" w:space="0" w:color="auto"/>
                <w:right w:val="none" w:sz="0" w:space="0" w:color="auto"/>
              </w:divBdr>
            </w:div>
            <w:div w:id="724569780">
              <w:marLeft w:val="0"/>
              <w:marRight w:val="0"/>
              <w:marTop w:val="0"/>
              <w:marBottom w:val="0"/>
              <w:divBdr>
                <w:top w:val="none" w:sz="0" w:space="0" w:color="auto"/>
                <w:left w:val="none" w:sz="0" w:space="0" w:color="auto"/>
                <w:bottom w:val="none" w:sz="0" w:space="0" w:color="auto"/>
                <w:right w:val="none" w:sz="0" w:space="0" w:color="auto"/>
              </w:divBdr>
            </w:div>
            <w:div w:id="288055570">
              <w:marLeft w:val="0"/>
              <w:marRight w:val="0"/>
              <w:marTop w:val="0"/>
              <w:marBottom w:val="0"/>
              <w:divBdr>
                <w:top w:val="none" w:sz="0" w:space="0" w:color="auto"/>
                <w:left w:val="none" w:sz="0" w:space="0" w:color="auto"/>
                <w:bottom w:val="none" w:sz="0" w:space="0" w:color="auto"/>
                <w:right w:val="none" w:sz="0" w:space="0" w:color="auto"/>
              </w:divBdr>
            </w:div>
            <w:div w:id="357853745">
              <w:marLeft w:val="0"/>
              <w:marRight w:val="0"/>
              <w:marTop w:val="0"/>
              <w:marBottom w:val="0"/>
              <w:divBdr>
                <w:top w:val="none" w:sz="0" w:space="0" w:color="auto"/>
                <w:left w:val="none" w:sz="0" w:space="0" w:color="auto"/>
                <w:bottom w:val="none" w:sz="0" w:space="0" w:color="auto"/>
                <w:right w:val="none" w:sz="0" w:space="0" w:color="auto"/>
              </w:divBdr>
            </w:div>
            <w:div w:id="320550504">
              <w:marLeft w:val="0"/>
              <w:marRight w:val="0"/>
              <w:marTop w:val="0"/>
              <w:marBottom w:val="0"/>
              <w:divBdr>
                <w:top w:val="none" w:sz="0" w:space="0" w:color="auto"/>
                <w:left w:val="none" w:sz="0" w:space="0" w:color="auto"/>
                <w:bottom w:val="none" w:sz="0" w:space="0" w:color="auto"/>
                <w:right w:val="none" w:sz="0" w:space="0" w:color="auto"/>
              </w:divBdr>
            </w:div>
            <w:div w:id="1132670254">
              <w:marLeft w:val="0"/>
              <w:marRight w:val="0"/>
              <w:marTop w:val="0"/>
              <w:marBottom w:val="0"/>
              <w:divBdr>
                <w:top w:val="none" w:sz="0" w:space="0" w:color="auto"/>
                <w:left w:val="none" w:sz="0" w:space="0" w:color="auto"/>
                <w:bottom w:val="none" w:sz="0" w:space="0" w:color="auto"/>
                <w:right w:val="none" w:sz="0" w:space="0" w:color="auto"/>
              </w:divBdr>
            </w:div>
            <w:div w:id="1423647906">
              <w:marLeft w:val="0"/>
              <w:marRight w:val="0"/>
              <w:marTop w:val="0"/>
              <w:marBottom w:val="0"/>
              <w:divBdr>
                <w:top w:val="none" w:sz="0" w:space="0" w:color="auto"/>
                <w:left w:val="none" w:sz="0" w:space="0" w:color="auto"/>
                <w:bottom w:val="none" w:sz="0" w:space="0" w:color="auto"/>
                <w:right w:val="none" w:sz="0" w:space="0" w:color="auto"/>
              </w:divBdr>
            </w:div>
            <w:div w:id="1667591897">
              <w:marLeft w:val="0"/>
              <w:marRight w:val="0"/>
              <w:marTop w:val="0"/>
              <w:marBottom w:val="0"/>
              <w:divBdr>
                <w:top w:val="none" w:sz="0" w:space="0" w:color="auto"/>
                <w:left w:val="none" w:sz="0" w:space="0" w:color="auto"/>
                <w:bottom w:val="none" w:sz="0" w:space="0" w:color="auto"/>
                <w:right w:val="none" w:sz="0" w:space="0" w:color="auto"/>
              </w:divBdr>
            </w:div>
            <w:div w:id="859048260">
              <w:marLeft w:val="0"/>
              <w:marRight w:val="0"/>
              <w:marTop w:val="0"/>
              <w:marBottom w:val="0"/>
              <w:divBdr>
                <w:top w:val="none" w:sz="0" w:space="0" w:color="auto"/>
                <w:left w:val="none" w:sz="0" w:space="0" w:color="auto"/>
                <w:bottom w:val="none" w:sz="0" w:space="0" w:color="auto"/>
                <w:right w:val="none" w:sz="0" w:space="0" w:color="auto"/>
              </w:divBdr>
            </w:div>
            <w:div w:id="131824215">
              <w:marLeft w:val="0"/>
              <w:marRight w:val="0"/>
              <w:marTop w:val="0"/>
              <w:marBottom w:val="0"/>
              <w:divBdr>
                <w:top w:val="none" w:sz="0" w:space="0" w:color="auto"/>
                <w:left w:val="none" w:sz="0" w:space="0" w:color="auto"/>
                <w:bottom w:val="none" w:sz="0" w:space="0" w:color="auto"/>
                <w:right w:val="none" w:sz="0" w:space="0" w:color="auto"/>
              </w:divBdr>
            </w:div>
            <w:div w:id="2107966490">
              <w:marLeft w:val="0"/>
              <w:marRight w:val="0"/>
              <w:marTop w:val="0"/>
              <w:marBottom w:val="0"/>
              <w:divBdr>
                <w:top w:val="none" w:sz="0" w:space="0" w:color="auto"/>
                <w:left w:val="none" w:sz="0" w:space="0" w:color="auto"/>
                <w:bottom w:val="none" w:sz="0" w:space="0" w:color="auto"/>
                <w:right w:val="none" w:sz="0" w:space="0" w:color="auto"/>
              </w:divBdr>
            </w:div>
            <w:div w:id="1490172199">
              <w:marLeft w:val="0"/>
              <w:marRight w:val="0"/>
              <w:marTop w:val="0"/>
              <w:marBottom w:val="0"/>
              <w:divBdr>
                <w:top w:val="none" w:sz="0" w:space="0" w:color="auto"/>
                <w:left w:val="none" w:sz="0" w:space="0" w:color="auto"/>
                <w:bottom w:val="none" w:sz="0" w:space="0" w:color="auto"/>
                <w:right w:val="none" w:sz="0" w:space="0" w:color="auto"/>
              </w:divBdr>
            </w:div>
            <w:div w:id="821779662">
              <w:marLeft w:val="0"/>
              <w:marRight w:val="0"/>
              <w:marTop w:val="0"/>
              <w:marBottom w:val="0"/>
              <w:divBdr>
                <w:top w:val="none" w:sz="0" w:space="0" w:color="auto"/>
                <w:left w:val="none" w:sz="0" w:space="0" w:color="auto"/>
                <w:bottom w:val="none" w:sz="0" w:space="0" w:color="auto"/>
                <w:right w:val="none" w:sz="0" w:space="0" w:color="auto"/>
              </w:divBdr>
            </w:div>
            <w:div w:id="2089111513">
              <w:marLeft w:val="0"/>
              <w:marRight w:val="0"/>
              <w:marTop w:val="0"/>
              <w:marBottom w:val="0"/>
              <w:divBdr>
                <w:top w:val="none" w:sz="0" w:space="0" w:color="auto"/>
                <w:left w:val="none" w:sz="0" w:space="0" w:color="auto"/>
                <w:bottom w:val="none" w:sz="0" w:space="0" w:color="auto"/>
                <w:right w:val="none" w:sz="0" w:space="0" w:color="auto"/>
              </w:divBdr>
            </w:div>
            <w:div w:id="1432311131">
              <w:marLeft w:val="0"/>
              <w:marRight w:val="0"/>
              <w:marTop w:val="0"/>
              <w:marBottom w:val="0"/>
              <w:divBdr>
                <w:top w:val="none" w:sz="0" w:space="0" w:color="auto"/>
                <w:left w:val="none" w:sz="0" w:space="0" w:color="auto"/>
                <w:bottom w:val="none" w:sz="0" w:space="0" w:color="auto"/>
                <w:right w:val="none" w:sz="0" w:space="0" w:color="auto"/>
              </w:divBdr>
            </w:div>
            <w:div w:id="430787023">
              <w:marLeft w:val="0"/>
              <w:marRight w:val="0"/>
              <w:marTop w:val="0"/>
              <w:marBottom w:val="0"/>
              <w:divBdr>
                <w:top w:val="none" w:sz="0" w:space="0" w:color="auto"/>
                <w:left w:val="none" w:sz="0" w:space="0" w:color="auto"/>
                <w:bottom w:val="none" w:sz="0" w:space="0" w:color="auto"/>
                <w:right w:val="none" w:sz="0" w:space="0" w:color="auto"/>
              </w:divBdr>
            </w:div>
            <w:div w:id="754786917">
              <w:marLeft w:val="0"/>
              <w:marRight w:val="0"/>
              <w:marTop w:val="0"/>
              <w:marBottom w:val="0"/>
              <w:divBdr>
                <w:top w:val="none" w:sz="0" w:space="0" w:color="auto"/>
                <w:left w:val="none" w:sz="0" w:space="0" w:color="auto"/>
                <w:bottom w:val="none" w:sz="0" w:space="0" w:color="auto"/>
                <w:right w:val="none" w:sz="0" w:space="0" w:color="auto"/>
              </w:divBdr>
            </w:div>
            <w:div w:id="19867624">
              <w:marLeft w:val="0"/>
              <w:marRight w:val="0"/>
              <w:marTop w:val="0"/>
              <w:marBottom w:val="0"/>
              <w:divBdr>
                <w:top w:val="none" w:sz="0" w:space="0" w:color="auto"/>
                <w:left w:val="none" w:sz="0" w:space="0" w:color="auto"/>
                <w:bottom w:val="none" w:sz="0" w:space="0" w:color="auto"/>
                <w:right w:val="none" w:sz="0" w:space="0" w:color="auto"/>
              </w:divBdr>
            </w:div>
            <w:div w:id="64574941">
              <w:marLeft w:val="0"/>
              <w:marRight w:val="0"/>
              <w:marTop w:val="0"/>
              <w:marBottom w:val="0"/>
              <w:divBdr>
                <w:top w:val="none" w:sz="0" w:space="0" w:color="auto"/>
                <w:left w:val="none" w:sz="0" w:space="0" w:color="auto"/>
                <w:bottom w:val="none" w:sz="0" w:space="0" w:color="auto"/>
                <w:right w:val="none" w:sz="0" w:space="0" w:color="auto"/>
              </w:divBdr>
            </w:div>
            <w:div w:id="709649821">
              <w:marLeft w:val="0"/>
              <w:marRight w:val="0"/>
              <w:marTop w:val="0"/>
              <w:marBottom w:val="0"/>
              <w:divBdr>
                <w:top w:val="none" w:sz="0" w:space="0" w:color="auto"/>
                <w:left w:val="none" w:sz="0" w:space="0" w:color="auto"/>
                <w:bottom w:val="none" w:sz="0" w:space="0" w:color="auto"/>
                <w:right w:val="none" w:sz="0" w:space="0" w:color="auto"/>
              </w:divBdr>
            </w:div>
            <w:div w:id="1616601160">
              <w:marLeft w:val="0"/>
              <w:marRight w:val="0"/>
              <w:marTop w:val="0"/>
              <w:marBottom w:val="0"/>
              <w:divBdr>
                <w:top w:val="none" w:sz="0" w:space="0" w:color="auto"/>
                <w:left w:val="none" w:sz="0" w:space="0" w:color="auto"/>
                <w:bottom w:val="none" w:sz="0" w:space="0" w:color="auto"/>
                <w:right w:val="none" w:sz="0" w:space="0" w:color="auto"/>
              </w:divBdr>
            </w:div>
            <w:div w:id="1276641869">
              <w:marLeft w:val="0"/>
              <w:marRight w:val="0"/>
              <w:marTop w:val="0"/>
              <w:marBottom w:val="0"/>
              <w:divBdr>
                <w:top w:val="none" w:sz="0" w:space="0" w:color="auto"/>
                <w:left w:val="none" w:sz="0" w:space="0" w:color="auto"/>
                <w:bottom w:val="none" w:sz="0" w:space="0" w:color="auto"/>
                <w:right w:val="none" w:sz="0" w:space="0" w:color="auto"/>
              </w:divBdr>
            </w:div>
            <w:div w:id="1536043020">
              <w:marLeft w:val="0"/>
              <w:marRight w:val="0"/>
              <w:marTop w:val="0"/>
              <w:marBottom w:val="0"/>
              <w:divBdr>
                <w:top w:val="none" w:sz="0" w:space="0" w:color="auto"/>
                <w:left w:val="none" w:sz="0" w:space="0" w:color="auto"/>
                <w:bottom w:val="none" w:sz="0" w:space="0" w:color="auto"/>
                <w:right w:val="none" w:sz="0" w:space="0" w:color="auto"/>
              </w:divBdr>
            </w:div>
            <w:div w:id="1932658506">
              <w:marLeft w:val="0"/>
              <w:marRight w:val="0"/>
              <w:marTop w:val="0"/>
              <w:marBottom w:val="0"/>
              <w:divBdr>
                <w:top w:val="none" w:sz="0" w:space="0" w:color="auto"/>
                <w:left w:val="none" w:sz="0" w:space="0" w:color="auto"/>
                <w:bottom w:val="none" w:sz="0" w:space="0" w:color="auto"/>
                <w:right w:val="none" w:sz="0" w:space="0" w:color="auto"/>
              </w:divBdr>
            </w:div>
            <w:div w:id="1016081219">
              <w:marLeft w:val="0"/>
              <w:marRight w:val="0"/>
              <w:marTop w:val="0"/>
              <w:marBottom w:val="0"/>
              <w:divBdr>
                <w:top w:val="none" w:sz="0" w:space="0" w:color="auto"/>
                <w:left w:val="none" w:sz="0" w:space="0" w:color="auto"/>
                <w:bottom w:val="none" w:sz="0" w:space="0" w:color="auto"/>
                <w:right w:val="none" w:sz="0" w:space="0" w:color="auto"/>
              </w:divBdr>
            </w:div>
            <w:div w:id="939798181">
              <w:marLeft w:val="0"/>
              <w:marRight w:val="0"/>
              <w:marTop w:val="0"/>
              <w:marBottom w:val="0"/>
              <w:divBdr>
                <w:top w:val="none" w:sz="0" w:space="0" w:color="auto"/>
                <w:left w:val="none" w:sz="0" w:space="0" w:color="auto"/>
                <w:bottom w:val="none" w:sz="0" w:space="0" w:color="auto"/>
                <w:right w:val="none" w:sz="0" w:space="0" w:color="auto"/>
              </w:divBdr>
            </w:div>
            <w:div w:id="203686399">
              <w:marLeft w:val="0"/>
              <w:marRight w:val="0"/>
              <w:marTop w:val="0"/>
              <w:marBottom w:val="0"/>
              <w:divBdr>
                <w:top w:val="none" w:sz="0" w:space="0" w:color="auto"/>
                <w:left w:val="none" w:sz="0" w:space="0" w:color="auto"/>
                <w:bottom w:val="none" w:sz="0" w:space="0" w:color="auto"/>
                <w:right w:val="none" w:sz="0" w:space="0" w:color="auto"/>
              </w:divBdr>
            </w:div>
            <w:div w:id="279145735">
              <w:marLeft w:val="0"/>
              <w:marRight w:val="0"/>
              <w:marTop w:val="0"/>
              <w:marBottom w:val="0"/>
              <w:divBdr>
                <w:top w:val="none" w:sz="0" w:space="0" w:color="auto"/>
                <w:left w:val="none" w:sz="0" w:space="0" w:color="auto"/>
                <w:bottom w:val="none" w:sz="0" w:space="0" w:color="auto"/>
                <w:right w:val="none" w:sz="0" w:space="0" w:color="auto"/>
              </w:divBdr>
            </w:div>
            <w:div w:id="1251499931">
              <w:marLeft w:val="0"/>
              <w:marRight w:val="0"/>
              <w:marTop w:val="0"/>
              <w:marBottom w:val="0"/>
              <w:divBdr>
                <w:top w:val="none" w:sz="0" w:space="0" w:color="auto"/>
                <w:left w:val="none" w:sz="0" w:space="0" w:color="auto"/>
                <w:bottom w:val="none" w:sz="0" w:space="0" w:color="auto"/>
                <w:right w:val="none" w:sz="0" w:space="0" w:color="auto"/>
              </w:divBdr>
            </w:div>
            <w:div w:id="1939219552">
              <w:marLeft w:val="0"/>
              <w:marRight w:val="0"/>
              <w:marTop w:val="0"/>
              <w:marBottom w:val="0"/>
              <w:divBdr>
                <w:top w:val="none" w:sz="0" w:space="0" w:color="auto"/>
                <w:left w:val="none" w:sz="0" w:space="0" w:color="auto"/>
                <w:bottom w:val="none" w:sz="0" w:space="0" w:color="auto"/>
                <w:right w:val="none" w:sz="0" w:space="0" w:color="auto"/>
              </w:divBdr>
            </w:div>
            <w:div w:id="184097501">
              <w:marLeft w:val="0"/>
              <w:marRight w:val="0"/>
              <w:marTop w:val="0"/>
              <w:marBottom w:val="0"/>
              <w:divBdr>
                <w:top w:val="none" w:sz="0" w:space="0" w:color="auto"/>
                <w:left w:val="none" w:sz="0" w:space="0" w:color="auto"/>
                <w:bottom w:val="none" w:sz="0" w:space="0" w:color="auto"/>
                <w:right w:val="none" w:sz="0" w:space="0" w:color="auto"/>
              </w:divBdr>
            </w:div>
            <w:div w:id="426930233">
              <w:marLeft w:val="0"/>
              <w:marRight w:val="0"/>
              <w:marTop w:val="0"/>
              <w:marBottom w:val="0"/>
              <w:divBdr>
                <w:top w:val="none" w:sz="0" w:space="0" w:color="auto"/>
                <w:left w:val="none" w:sz="0" w:space="0" w:color="auto"/>
                <w:bottom w:val="none" w:sz="0" w:space="0" w:color="auto"/>
                <w:right w:val="none" w:sz="0" w:space="0" w:color="auto"/>
              </w:divBdr>
            </w:div>
            <w:div w:id="1919899013">
              <w:marLeft w:val="0"/>
              <w:marRight w:val="0"/>
              <w:marTop w:val="0"/>
              <w:marBottom w:val="0"/>
              <w:divBdr>
                <w:top w:val="none" w:sz="0" w:space="0" w:color="auto"/>
                <w:left w:val="none" w:sz="0" w:space="0" w:color="auto"/>
                <w:bottom w:val="none" w:sz="0" w:space="0" w:color="auto"/>
                <w:right w:val="none" w:sz="0" w:space="0" w:color="auto"/>
              </w:divBdr>
            </w:div>
            <w:div w:id="1627154660">
              <w:marLeft w:val="0"/>
              <w:marRight w:val="0"/>
              <w:marTop w:val="0"/>
              <w:marBottom w:val="0"/>
              <w:divBdr>
                <w:top w:val="none" w:sz="0" w:space="0" w:color="auto"/>
                <w:left w:val="none" w:sz="0" w:space="0" w:color="auto"/>
                <w:bottom w:val="none" w:sz="0" w:space="0" w:color="auto"/>
                <w:right w:val="none" w:sz="0" w:space="0" w:color="auto"/>
              </w:divBdr>
            </w:div>
            <w:div w:id="426392941">
              <w:marLeft w:val="0"/>
              <w:marRight w:val="0"/>
              <w:marTop w:val="0"/>
              <w:marBottom w:val="0"/>
              <w:divBdr>
                <w:top w:val="none" w:sz="0" w:space="0" w:color="auto"/>
                <w:left w:val="none" w:sz="0" w:space="0" w:color="auto"/>
                <w:bottom w:val="none" w:sz="0" w:space="0" w:color="auto"/>
                <w:right w:val="none" w:sz="0" w:space="0" w:color="auto"/>
              </w:divBdr>
            </w:div>
            <w:div w:id="636228731">
              <w:marLeft w:val="0"/>
              <w:marRight w:val="0"/>
              <w:marTop w:val="0"/>
              <w:marBottom w:val="0"/>
              <w:divBdr>
                <w:top w:val="none" w:sz="0" w:space="0" w:color="auto"/>
                <w:left w:val="none" w:sz="0" w:space="0" w:color="auto"/>
                <w:bottom w:val="none" w:sz="0" w:space="0" w:color="auto"/>
                <w:right w:val="none" w:sz="0" w:space="0" w:color="auto"/>
              </w:divBdr>
            </w:div>
            <w:div w:id="1217080904">
              <w:marLeft w:val="0"/>
              <w:marRight w:val="0"/>
              <w:marTop w:val="0"/>
              <w:marBottom w:val="0"/>
              <w:divBdr>
                <w:top w:val="none" w:sz="0" w:space="0" w:color="auto"/>
                <w:left w:val="none" w:sz="0" w:space="0" w:color="auto"/>
                <w:bottom w:val="none" w:sz="0" w:space="0" w:color="auto"/>
                <w:right w:val="none" w:sz="0" w:space="0" w:color="auto"/>
              </w:divBdr>
            </w:div>
            <w:div w:id="94642878">
              <w:marLeft w:val="0"/>
              <w:marRight w:val="0"/>
              <w:marTop w:val="0"/>
              <w:marBottom w:val="0"/>
              <w:divBdr>
                <w:top w:val="none" w:sz="0" w:space="0" w:color="auto"/>
                <w:left w:val="none" w:sz="0" w:space="0" w:color="auto"/>
                <w:bottom w:val="none" w:sz="0" w:space="0" w:color="auto"/>
                <w:right w:val="none" w:sz="0" w:space="0" w:color="auto"/>
              </w:divBdr>
            </w:div>
            <w:div w:id="1848784378">
              <w:marLeft w:val="0"/>
              <w:marRight w:val="0"/>
              <w:marTop w:val="0"/>
              <w:marBottom w:val="0"/>
              <w:divBdr>
                <w:top w:val="none" w:sz="0" w:space="0" w:color="auto"/>
                <w:left w:val="none" w:sz="0" w:space="0" w:color="auto"/>
                <w:bottom w:val="none" w:sz="0" w:space="0" w:color="auto"/>
                <w:right w:val="none" w:sz="0" w:space="0" w:color="auto"/>
              </w:divBdr>
            </w:div>
            <w:div w:id="1302226141">
              <w:marLeft w:val="0"/>
              <w:marRight w:val="0"/>
              <w:marTop w:val="0"/>
              <w:marBottom w:val="0"/>
              <w:divBdr>
                <w:top w:val="none" w:sz="0" w:space="0" w:color="auto"/>
                <w:left w:val="none" w:sz="0" w:space="0" w:color="auto"/>
                <w:bottom w:val="none" w:sz="0" w:space="0" w:color="auto"/>
                <w:right w:val="none" w:sz="0" w:space="0" w:color="auto"/>
              </w:divBdr>
            </w:div>
            <w:div w:id="534732136">
              <w:marLeft w:val="0"/>
              <w:marRight w:val="0"/>
              <w:marTop w:val="0"/>
              <w:marBottom w:val="0"/>
              <w:divBdr>
                <w:top w:val="none" w:sz="0" w:space="0" w:color="auto"/>
                <w:left w:val="none" w:sz="0" w:space="0" w:color="auto"/>
                <w:bottom w:val="none" w:sz="0" w:space="0" w:color="auto"/>
                <w:right w:val="none" w:sz="0" w:space="0" w:color="auto"/>
              </w:divBdr>
            </w:div>
            <w:div w:id="282468857">
              <w:marLeft w:val="0"/>
              <w:marRight w:val="0"/>
              <w:marTop w:val="0"/>
              <w:marBottom w:val="0"/>
              <w:divBdr>
                <w:top w:val="none" w:sz="0" w:space="0" w:color="auto"/>
                <w:left w:val="none" w:sz="0" w:space="0" w:color="auto"/>
                <w:bottom w:val="none" w:sz="0" w:space="0" w:color="auto"/>
                <w:right w:val="none" w:sz="0" w:space="0" w:color="auto"/>
              </w:divBdr>
            </w:div>
            <w:div w:id="1787850644">
              <w:marLeft w:val="0"/>
              <w:marRight w:val="0"/>
              <w:marTop w:val="0"/>
              <w:marBottom w:val="0"/>
              <w:divBdr>
                <w:top w:val="none" w:sz="0" w:space="0" w:color="auto"/>
                <w:left w:val="none" w:sz="0" w:space="0" w:color="auto"/>
                <w:bottom w:val="none" w:sz="0" w:space="0" w:color="auto"/>
                <w:right w:val="none" w:sz="0" w:space="0" w:color="auto"/>
              </w:divBdr>
            </w:div>
            <w:div w:id="589050750">
              <w:marLeft w:val="0"/>
              <w:marRight w:val="0"/>
              <w:marTop w:val="0"/>
              <w:marBottom w:val="0"/>
              <w:divBdr>
                <w:top w:val="none" w:sz="0" w:space="0" w:color="auto"/>
                <w:left w:val="none" w:sz="0" w:space="0" w:color="auto"/>
                <w:bottom w:val="none" w:sz="0" w:space="0" w:color="auto"/>
                <w:right w:val="none" w:sz="0" w:space="0" w:color="auto"/>
              </w:divBdr>
            </w:div>
            <w:div w:id="98379565">
              <w:marLeft w:val="0"/>
              <w:marRight w:val="0"/>
              <w:marTop w:val="0"/>
              <w:marBottom w:val="0"/>
              <w:divBdr>
                <w:top w:val="none" w:sz="0" w:space="0" w:color="auto"/>
                <w:left w:val="none" w:sz="0" w:space="0" w:color="auto"/>
                <w:bottom w:val="none" w:sz="0" w:space="0" w:color="auto"/>
                <w:right w:val="none" w:sz="0" w:space="0" w:color="auto"/>
              </w:divBdr>
            </w:div>
            <w:div w:id="1880631042">
              <w:marLeft w:val="0"/>
              <w:marRight w:val="0"/>
              <w:marTop w:val="0"/>
              <w:marBottom w:val="0"/>
              <w:divBdr>
                <w:top w:val="none" w:sz="0" w:space="0" w:color="auto"/>
                <w:left w:val="none" w:sz="0" w:space="0" w:color="auto"/>
                <w:bottom w:val="none" w:sz="0" w:space="0" w:color="auto"/>
                <w:right w:val="none" w:sz="0" w:space="0" w:color="auto"/>
              </w:divBdr>
            </w:div>
            <w:div w:id="434982991">
              <w:marLeft w:val="0"/>
              <w:marRight w:val="0"/>
              <w:marTop w:val="0"/>
              <w:marBottom w:val="0"/>
              <w:divBdr>
                <w:top w:val="none" w:sz="0" w:space="0" w:color="auto"/>
                <w:left w:val="none" w:sz="0" w:space="0" w:color="auto"/>
                <w:bottom w:val="none" w:sz="0" w:space="0" w:color="auto"/>
                <w:right w:val="none" w:sz="0" w:space="0" w:color="auto"/>
              </w:divBdr>
            </w:div>
            <w:div w:id="205992058">
              <w:marLeft w:val="0"/>
              <w:marRight w:val="0"/>
              <w:marTop w:val="0"/>
              <w:marBottom w:val="0"/>
              <w:divBdr>
                <w:top w:val="none" w:sz="0" w:space="0" w:color="auto"/>
                <w:left w:val="none" w:sz="0" w:space="0" w:color="auto"/>
                <w:bottom w:val="none" w:sz="0" w:space="0" w:color="auto"/>
                <w:right w:val="none" w:sz="0" w:space="0" w:color="auto"/>
              </w:divBdr>
            </w:div>
            <w:div w:id="1612472604">
              <w:marLeft w:val="0"/>
              <w:marRight w:val="0"/>
              <w:marTop w:val="0"/>
              <w:marBottom w:val="0"/>
              <w:divBdr>
                <w:top w:val="none" w:sz="0" w:space="0" w:color="auto"/>
                <w:left w:val="none" w:sz="0" w:space="0" w:color="auto"/>
                <w:bottom w:val="none" w:sz="0" w:space="0" w:color="auto"/>
                <w:right w:val="none" w:sz="0" w:space="0" w:color="auto"/>
              </w:divBdr>
            </w:div>
            <w:div w:id="47800461">
              <w:marLeft w:val="0"/>
              <w:marRight w:val="0"/>
              <w:marTop w:val="0"/>
              <w:marBottom w:val="0"/>
              <w:divBdr>
                <w:top w:val="none" w:sz="0" w:space="0" w:color="auto"/>
                <w:left w:val="none" w:sz="0" w:space="0" w:color="auto"/>
                <w:bottom w:val="none" w:sz="0" w:space="0" w:color="auto"/>
                <w:right w:val="none" w:sz="0" w:space="0" w:color="auto"/>
              </w:divBdr>
            </w:div>
            <w:div w:id="951791609">
              <w:marLeft w:val="0"/>
              <w:marRight w:val="0"/>
              <w:marTop w:val="0"/>
              <w:marBottom w:val="0"/>
              <w:divBdr>
                <w:top w:val="none" w:sz="0" w:space="0" w:color="auto"/>
                <w:left w:val="none" w:sz="0" w:space="0" w:color="auto"/>
                <w:bottom w:val="none" w:sz="0" w:space="0" w:color="auto"/>
                <w:right w:val="none" w:sz="0" w:space="0" w:color="auto"/>
              </w:divBdr>
            </w:div>
            <w:div w:id="2027712328">
              <w:marLeft w:val="0"/>
              <w:marRight w:val="0"/>
              <w:marTop w:val="0"/>
              <w:marBottom w:val="0"/>
              <w:divBdr>
                <w:top w:val="none" w:sz="0" w:space="0" w:color="auto"/>
                <w:left w:val="none" w:sz="0" w:space="0" w:color="auto"/>
                <w:bottom w:val="none" w:sz="0" w:space="0" w:color="auto"/>
                <w:right w:val="none" w:sz="0" w:space="0" w:color="auto"/>
              </w:divBdr>
            </w:div>
            <w:div w:id="1395858687">
              <w:marLeft w:val="0"/>
              <w:marRight w:val="0"/>
              <w:marTop w:val="0"/>
              <w:marBottom w:val="0"/>
              <w:divBdr>
                <w:top w:val="none" w:sz="0" w:space="0" w:color="auto"/>
                <w:left w:val="none" w:sz="0" w:space="0" w:color="auto"/>
                <w:bottom w:val="none" w:sz="0" w:space="0" w:color="auto"/>
                <w:right w:val="none" w:sz="0" w:space="0" w:color="auto"/>
              </w:divBdr>
            </w:div>
            <w:div w:id="1810854899">
              <w:marLeft w:val="0"/>
              <w:marRight w:val="0"/>
              <w:marTop w:val="0"/>
              <w:marBottom w:val="0"/>
              <w:divBdr>
                <w:top w:val="none" w:sz="0" w:space="0" w:color="auto"/>
                <w:left w:val="none" w:sz="0" w:space="0" w:color="auto"/>
                <w:bottom w:val="none" w:sz="0" w:space="0" w:color="auto"/>
                <w:right w:val="none" w:sz="0" w:space="0" w:color="auto"/>
              </w:divBdr>
            </w:div>
            <w:div w:id="1627154566">
              <w:marLeft w:val="0"/>
              <w:marRight w:val="0"/>
              <w:marTop w:val="0"/>
              <w:marBottom w:val="0"/>
              <w:divBdr>
                <w:top w:val="none" w:sz="0" w:space="0" w:color="auto"/>
                <w:left w:val="none" w:sz="0" w:space="0" w:color="auto"/>
                <w:bottom w:val="none" w:sz="0" w:space="0" w:color="auto"/>
                <w:right w:val="none" w:sz="0" w:space="0" w:color="auto"/>
              </w:divBdr>
            </w:div>
            <w:div w:id="127407416">
              <w:marLeft w:val="0"/>
              <w:marRight w:val="0"/>
              <w:marTop w:val="0"/>
              <w:marBottom w:val="0"/>
              <w:divBdr>
                <w:top w:val="none" w:sz="0" w:space="0" w:color="auto"/>
                <w:left w:val="none" w:sz="0" w:space="0" w:color="auto"/>
                <w:bottom w:val="none" w:sz="0" w:space="0" w:color="auto"/>
                <w:right w:val="none" w:sz="0" w:space="0" w:color="auto"/>
              </w:divBdr>
            </w:div>
            <w:div w:id="172500980">
              <w:marLeft w:val="0"/>
              <w:marRight w:val="0"/>
              <w:marTop w:val="0"/>
              <w:marBottom w:val="0"/>
              <w:divBdr>
                <w:top w:val="none" w:sz="0" w:space="0" w:color="auto"/>
                <w:left w:val="none" w:sz="0" w:space="0" w:color="auto"/>
                <w:bottom w:val="none" w:sz="0" w:space="0" w:color="auto"/>
                <w:right w:val="none" w:sz="0" w:space="0" w:color="auto"/>
              </w:divBdr>
            </w:div>
            <w:div w:id="1212497973">
              <w:marLeft w:val="0"/>
              <w:marRight w:val="0"/>
              <w:marTop w:val="0"/>
              <w:marBottom w:val="0"/>
              <w:divBdr>
                <w:top w:val="none" w:sz="0" w:space="0" w:color="auto"/>
                <w:left w:val="none" w:sz="0" w:space="0" w:color="auto"/>
                <w:bottom w:val="none" w:sz="0" w:space="0" w:color="auto"/>
                <w:right w:val="none" w:sz="0" w:space="0" w:color="auto"/>
              </w:divBdr>
            </w:div>
            <w:div w:id="1054230387">
              <w:marLeft w:val="0"/>
              <w:marRight w:val="0"/>
              <w:marTop w:val="0"/>
              <w:marBottom w:val="0"/>
              <w:divBdr>
                <w:top w:val="none" w:sz="0" w:space="0" w:color="auto"/>
                <w:left w:val="none" w:sz="0" w:space="0" w:color="auto"/>
                <w:bottom w:val="none" w:sz="0" w:space="0" w:color="auto"/>
                <w:right w:val="none" w:sz="0" w:space="0" w:color="auto"/>
              </w:divBdr>
            </w:div>
            <w:div w:id="593514734">
              <w:marLeft w:val="0"/>
              <w:marRight w:val="0"/>
              <w:marTop w:val="0"/>
              <w:marBottom w:val="0"/>
              <w:divBdr>
                <w:top w:val="none" w:sz="0" w:space="0" w:color="auto"/>
                <w:left w:val="none" w:sz="0" w:space="0" w:color="auto"/>
                <w:bottom w:val="none" w:sz="0" w:space="0" w:color="auto"/>
                <w:right w:val="none" w:sz="0" w:space="0" w:color="auto"/>
              </w:divBdr>
            </w:div>
            <w:div w:id="1263301586">
              <w:marLeft w:val="0"/>
              <w:marRight w:val="0"/>
              <w:marTop w:val="0"/>
              <w:marBottom w:val="0"/>
              <w:divBdr>
                <w:top w:val="none" w:sz="0" w:space="0" w:color="auto"/>
                <w:left w:val="none" w:sz="0" w:space="0" w:color="auto"/>
                <w:bottom w:val="none" w:sz="0" w:space="0" w:color="auto"/>
                <w:right w:val="none" w:sz="0" w:space="0" w:color="auto"/>
              </w:divBdr>
            </w:div>
            <w:div w:id="1695107587">
              <w:marLeft w:val="0"/>
              <w:marRight w:val="0"/>
              <w:marTop w:val="0"/>
              <w:marBottom w:val="0"/>
              <w:divBdr>
                <w:top w:val="none" w:sz="0" w:space="0" w:color="auto"/>
                <w:left w:val="none" w:sz="0" w:space="0" w:color="auto"/>
                <w:bottom w:val="none" w:sz="0" w:space="0" w:color="auto"/>
                <w:right w:val="none" w:sz="0" w:space="0" w:color="auto"/>
              </w:divBdr>
            </w:div>
            <w:div w:id="954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8181">
      <w:bodyDiv w:val="1"/>
      <w:marLeft w:val="0"/>
      <w:marRight w:val="0"/>
      <w:marTop w:val="0"/>
      <w:marBottom w:val="0"/>
      <w:divBdr>
        <w:top w:val="none" w:sz="0" w:space="0" w:color="auto"/>
        <w:left w:val="none" w:sz="0" w:space="0" w:color="auto"/>
        <w:bottom w:val="none" w:sz="0" w:space="0" w:color="auto"/>
        <w:right w:val="none" w:sz="0" w:space="0" w:color="auto"/>
      </w:divBdr>
      <w:divsChild>
        <w:div w:id="994265309">
          <w:marLeft w:val="480"/>
          <w:marRight w:val="0"/>
          <w:marTop w:val="0"/>
          <w:marBottom w:val="0"/>
          <w:divBdr>
            <w:top w:val="none" w:sz="0" w:space="0" w:color="auto"/>
            <w:left w:val="none" w:sz="0" w:space="0" w:color="auto"/>
            <w:bottom w:val="none" w:sz="0" w:space="0" w:color="auto"/>
            <w:right w:val="none" w:sz="0" w:space="0" w:color="auto"/>
          </w:divBdr>
          <w:divsChild>
            <w:div w:id="229192121">
              <w:marLeft w:val="0"/>
              <w:marRight w:val="0"/>
              <w:marTop w:val="0"/>
              <w:marBottom w:val="0"/>
              <w:divBdr>
                <w:top w:val="none" w:sz="0" w:space="0" w:color="auto"/>
                <w:left w:val="none" w:sz="0" w:space="0" w:color="auto"/>
                <w:bottom w:val="none" w:sz="0" w:space="0" w:color="auto"/>
                <w:right w:val="none" w:sz="0" w:space="0" w:color="auto"/>
              </w:divBdr>
            </w:div>
            <w:div w:id="448672670">
              <w:marLeft w:val="0"/>
              <w:marRight w:val="0"/>
              <w:marTop w:val="0"/>
              <w:marBottom w:val="0"/>
              <w:divBdr>
                <w:top w:val="none" w:sz="0" w:space="0" w:color="auto"/>
                <w:left w:val="none" w:sz="0" w:space="0" w:color="auto"/>
                <w:bottom w:val="none" w:sz="0" w:space="0" w:color="auto"/>
                <w:right w:val="none" w:sz="0" w:space="0" w:color="auto"/>
              </w:divBdr>
            </w:div>
            <w:div w:id="1348367289">
              <w:marLeft w:val="0"/>
              <w:marRight w:val="0"/>
              <w:marTop w:val="0"/>
              <w:marBottom w:val="0"/>
              <w:divBdr>
                <w:top w:val="none" w:sz="0" w:space="0" w:color="auto"/>
                <w:left w:val="none" w:sz="0" w:space="0" w:color="auto"/>
                <w:bottom w:val="none" w:sz="0" w:space="0" w:color="auto"/>
                <w:right w:val="none" w:sz="0" w:space="0" w:color="auto"/>
              </w:divBdr>
            </w:div>
            <w:div w:id="445002960">
              <w:marLeft w:val="0"/>
              <w:marRight w:val="0"/>
              <w:marTop w:val="0"/>
              <w:marBottom w:val="0"/>
              <w:divBdr>
                <w:top w:val="none" w:sz="0" w:space="0" w:color="auto"/>
                <w:left w:val="none" w:sz="0" w:space="0" w:color="auto"/>
                <w:bottom w:val="none" w:sz="0" w:space="0" w:color="auto"/>
                <w:right w:val="none" w:sz="0" w:space="0" w:color="auto"/>
              </w:divBdr>
            </w:div>
            <w:div w:id="870461060">
              <w:marLeft w:val="0"/>
              <w:marRight w:val="0"/>
              <w:marTop w:val="0"/>
              <w:marBottom w:val="0"/>
              <w:divBdr>
                <w:top w:val="none" w:sz="0" w:space="0" w:color="auto"/>
                <w:left w:val="none" w:sz="0" w:space="0" w:color="auto"/>
                <w:bottom w:val="none" w:sz="0" w:space="0" w:color="auto"/>
                <w:right w:val="none" w:sz="0" w:space="0" w:color="auto"/>
              </w:divBdr>
            </w:div>
            <w:div w:id="332681456">
              <w:marLeft w:val="0"/>
              <w:marRight w:val="0"/>
              <w:marTop w:val="0"/>
              <w:marBottom w:val="0"/>
              <w:divBdr>
                <w:top w:val="none" w:sz="0" w:space="0" w:color="auto"/>
                <w:left w:val="none" w:sz="0" w:space="0" w:color="auto"/>
                <w:bottom w:val="none" w:sz="0" w:space="0" w:color="auto"/>
                <w:right w:val="none" w:sz="0" w:space="0" w:color="auto"/>
              </w:divBdr>
            </w:div>
            <w:div w:id="566383254">
              <w:marLeft w:val="0"/>
              <w:marRight w:val="0"/>
              <w:marTop w:val="0"/>
              <w:marBottom w:val="0"/>
              <w:divBdr>
                <w:top w:val="none" w:sz="0" w:space="0" w:color="auto"/>
                <w:left w:val="none" w:sz="0" w:space="0" w:color="auto"/>
                <w:bottom w:val="none" w:sz="0" w:space="0" w:color="auto"/>
                <w:right w:val="none" w:sz="0" w:space="0" w:color="auto"/>
              </w:divBdr>
            </w:div>
            <w:div w:id="1431118457">
              <w:marLeft w:val="0"/>
              <w:marRight w:val="0"/>
              <w:marTop w:val="0"/>
              <w:marBottom w:val="0"/>
              <w:divBdr>
                <w:top w:val="none" w:sz="0" w:space="0" w:color="auto"/>
                <w:left w:val="none" w:sz="0" w:space="0" w:color="auto"/>
                <w:bottom w:val="none" w:sz="0" w:space="0" w:color="auto"/>
                <w:right w:val="none" w:sz="0" w:space="0" w:color="auto"/>
              </w:divBdr>
            </w:div>
            <w:div w:id="558177842">
              <w:marLeft w:val="0"/>
              <w:marRight w:val="0"/>
              <w:marTop w:val="0"/>
              <w:marBottom w:val="0"/>
              <w:divBdr>
                <w:top w:val="none" w:sz="0" w:space="0" w:color="auto"/>
                <w:left w:val="none" w:sz="0" w:space="0" w:color="auto"/>
                <w:bottom w:val="none" w:sz="0" w:space="0" w:color="auto"/>
                <w:right w:val="none" w:sz="0" w:space="0" w:color="auto"/>
              </w:divBdr>
            </w:div>
            <w:div w:id="1767532773">
              <w:marLeft w:val="0"/>
              <w:marRight w:val="0"/>
              <w:marTop w:val="0"/>
              <w:marBottom w:val="0"/>
              <w:divBdr>
                <w:top w:val="none" w:sz="0" w:space="0" w:color="auto"/>
                <w:left w:val="none" w:sz="0" w:space="0" w:color="auto"/>
                <w:bottom w:val="none" w:sz="0" w:space="0" w:color="auto"/>
                <w:right w:val="none" w:sz="0" w:space="0" w:color="auto"/>
              </w:divBdr>
            </w:div>
            <w:div w:id="810439182">
              <w:marLeft w:val="0"/>
              <w:marRight w:val="0"/>
              <w:marTop w:val="0"/>
              <w:marBottom w:val="0"/>
              <w:divBdr>
                <w:top w:val="none" w:sz="0" w:space="0" w:color="auto"/>
                <w:left w:val="none" w:sz="0" w:space="0" w:color="auto"/>
                <w:bottom w:val="none" w:sz="0" w:space="0" w:color="auto"/>
                <w:right w:val="none" w:sz="0" w:space="0" w:color="auto"/>
              </w:divBdr>
            </w:div>
            <w:div w:id="2129854487">
              <w:marLeft w:val="0"/>
              <w:marRight w:val="0"/>
              <w:marTop w:val="0"/>
              <w:marBottom w:val="0"/>
              <w:divBdr>
                <w:top w:val="none" w:sz="0" w:space="0" w:color="auto"/>
                <w:left w:val="none" w:sz="0" w:space="0" w:color="auto"/>
                <w:bottom w:val="none" w:sz="0" w:space="0" w:color="auto"/>
                <w:right w:val="none" w:sz="0" w:space="0" w:color="auto"/>
              </w:divBdr>
            </w:div>
            <w:div w:id="2119449489">
              <w:marLeft w:val="0"/>
              <w:marRight w:val="0"/>
              <w:marTop w:val="0"/>
              <w:marBottom w:val="0"/>
              <w:divBdr>
                <w:top w:val="none" w:sz="0" w:space="0" w:color="auto"/>
                <w:left w:val="none" w:sz="0" w:space="0" w:color="auto"/>
                <w:bottom w:val="none" w:sz="0" w:space="0" w:color="auto"/>
                <w:right w:val="none" w:sz="0" w:space="0" w:color="auto"/>
              </w:divBdr>
            </w:div>
            <w:div w:id="1085691083">
              <w:marLeft w:val="0"/>
              <w:marRight w:val="0"/>
              <w:marTop w:val="0"/>
              <w:marBottom w:val="0"/>
              <w:divBdr>
                <w:top w:val="none" w:sz="0" w:space="0" w:color="auto"/>
                <w:left w:val="none" w:sz="0" w:space="0" w:color="auto"/>
                <w:bottom w:val="none" w:sz="0" w:space="0" w:color="auto"/>
                <w:right w:val="none" w:sz="0" w:space="0" w:color="auto"/>
              </w:divBdr>
            </w:div>
            <w:div w:id="414979743">
              <w:marLeft w:val="0"/>
              <w:marRight w:val="0"/>
              <w:marTop w:val="0"/>
              <w:marBottom w:val="0"/>
              <w:divBdr>
                <w:top w:val="none" w:sz="0" w:space="0" w:color="auto"/>
                <w:left w:val="none" w:sz="0" w:space="0" w:color="auto"/>
                <w:bottom w:val="none" w:sz="0" w:space="0" w:color="auto"/>
                <w:right w:val="none" w:sz="0" w:space="0" w:color="auto"/>
              </w:divBdr>
            </w:div>
            <w:div w:id="1641770179">
              <w:marLeft w:val="0"/>
              <w:marRight w:val="0"/>
              <w:marTop w:val="0"/>
              <w:marBottom w:val="0"/>
              <w:divBdr>
                <w:top w:val="none" w:sz="0" w:space="0" w:color="auto"/>
                <w:left w:val="none" w:sz="0" w:space="0" w:color="auto"/>
                <w:bottom w:val="none" w:sz="0" w:space="0" w:color="auto"/>
                <w:right w:val="none" w:sz="0" w:space="0" w:color="auto"/>
              </w:divBdr>
            </w:div>
            <w:div w:id="432939108">
              <w:marLeft w:val="0"/>
              <w:marRight w:val="0"/>
              <w:marTop w:val="0"/>
              <w:marBottom w:val="0"/>
              <w:divBdr>
                <w:top w:val="none" w:sz="0" w:space="0" w:color="auto"/>
                <w:left w:val="none" w:sz="0" w:space="0" w:color="auto"/>
                <w:bottom w:val="none" w:sz="0" w:space="0" w:color="auto"/>
                <w:right w:val="none" w:sz="0" w:space="0" w:color="auto"/>
              </w:divBdr>
            </w:div>
            <w:div w:id="1089624167">
              <w:marLeft w:val="0"/>
              <w:marRight w:val="0"/>
              <w:marTop w:val="0"/>
              <w:marBottom w:val="0"/>
              <w:divBdr>
                <w:top w:val="none" w:sz="0" w:space="0" w:color="auto"/>
                <w:left w:val="none" w:sz="0" w:space="0" w:color="auto"/>
                <w:bottom w:val="none" w:sz="0" w:space="0" w:color="auto"/>
                <w:right w:val="none" w:sz="0" w:space="0" w:color="auto"/>
              </w:divBdr>
            </w:div>
            <w:div w:id="164440991">
              <w:marLeft w:val="0"/>
              <w:marRight w:val="0"/>
              <w:marTop w:val="0"/>
              <w:marBottom w:val="0"/>
              <w:divBdr>
                <w:top w:val="none" w:sz="0" w:space="0" w:color="auto"/>
                <w:left w:val="none" w:sz="0" w:space="0" w:color="auto"/>
                <w:bottom w:val="none" w:sz="0" w:space="0" w:color="auto"/>
                <w:right w:val="none" w:sz="0" w:space="0" w:color="auto"/>
              </w:divBdr>
            </w:div>
            <w:div w:id="190188051">
              <w:marLeft w:val="0"/>
              <w:marRight w:val="0"/>
              <w:marTop w:val="0"/>
              <w:marBottom w:val="0"/>
              <w:divBdr>
                <w:top w:val="none" w:sz="0" w:space="0" w:color="auto"/>
                <w:left w:val="none" w:sz="0" w:space="0" w:color="auto"/>
                <w:bottom w:val="none" w:sz="0" w:space="0" w:color="auto"/>
                <w:right w:val="none" w:sz="0" w:space="0" w:color="auto"/>
              </w:divBdr>
            </w:div>
            <w:div w:id="332151460">
              <w:marLeft w:val="0"/>
              <w:marRight w:val="0"/>
              <w:marTop w:val="0"/>
              <w:marBottom w:val="0"/>
              <w:divBdr>
                <w:top w:val="none" w:sz="0" w:space="0" w:color="auto"/>
                <w:left w:val="none" w:sz="0" w:space="0" w:color="auto"/>
                <w:bottom w:val="none" w:sz="0" w:space="0" w:color="auto"/>
                <w:right w:val="none" w:sz="0" w:space="0" w:color="auto"/>
              </w:divBdr>
            </w:div>
            <w:div w:id="1088118617">
              <w:marLeft w:val="0"/>
              <w:marRight w:val="0"/>
              <w:marTop w:val="0"/>
              <w:marBottom w:val="0"/>
              <w:divBdr>
                <w:top w:val="none" w:sz="0" w:space="0" w:color="auto"/>
                <w:left w:val="none" w:sz="0" w:space="0" w:color="auto"/>
                <w:bottom w:val="none" w:sz="0" w:space="0" w:color="auto"/>
                <w:right w:val="none" w:sz="0" w:space="0" w:color="auto"/>
              </w:divBdr>
            </w:div>
            <w:div w:id="28648373">
              <w:marLeft w:val="0"/>
              <w:marRight w:val="0"/>
              <w:marTop w:val="0"/>
              <w:marBottom w:val="0"/>
              <w:divBdr>
                <w:top w:val="none" w:sz="0" w:space="0" w:color="auto"/>
                <w:left w:val="none" w:sz="0" w:space="0" w:color="auto"/>
                <w:bottom w:val="none" w:sz="0" w:space="0" w:color="auto"/>
                <w:right w:val="none" w:sz="0" w:space="0" w:color="auto"/>
              </w:divBdr>
            </w:div>
            <w:div w:id="1640529852">
              <w:marLeft w:val="0"/>
              <w:marRight w:val="0"/>
              <w:marTop w:val="0"/>
              <w:marBottom w:val="0"/>
              <w:divBdr>
                <w:top w:val="none" w:sz="0" w:space="0" w:color="auto"/>
                <w:left w:val="none" w:sz="0" w:space="0" w:color="auto"/>
                <w:bottom w:val="none" w:sz="0" w:space="0" w:color="auto"/>
                <w:right w:val="none" w:sz="0" w:space="0" w:color="auto"/>
              </w:divBdr>
            </w:div>
            <w:div w:id="1941641769">
              <w:marLeft w:val="0"/>
              <w:marRight w:val="0"/>
              <w:marTop w:val="0"/>
              <w:marBottom w:val="0"/>
              <w:divBdr>
                <w:top w:val="none" w:sz="0" w:space="0" w:color="auto"/>
                <w:left w:val="none" w:sz="0" w:space="0" w:color="auto"/>
                <w:bottom w:val="none" w:sz="0" w:space="0" w:color="auto"/>
                <w:right w:val="none" w:sz="0" w:space="0" w:color="auto"/>
              </w:divBdr>
            </w:div>
            <w:div w:id="847526445">
              <w:marLeft w:val="0"/>
              <w:marRight w:val="0"/>
              <w:marTop w:val="0"/>
              <w:marBottom w:val="0"/>
              <w:divBdr>
                <w:top w:val="none" w:sz="0" w:space="0" w:color="auto"/>
                <w:left w:val="none" w:sz="0" w:space="0" w:color="auto"/>
                <w:bottom w:val="none" w:sz="0" w:space="0" w:color="auto"/>
                <w:right w:val="none" w:sz="0" w:space="0" w:color="auto"/>
              </w:divBdr>
            </w:div>
            <w:div w:id="1856649245">
              <w:marLeft w:val="0"/>
              <w:marRight w:val="0"/>
              <w:marTop w:val="0"/>
              <w:marBottom w:val="0"/>
              <w:divBdr>
                <w:top w:val="none" w:sz="0" w:space="0" w:color="auto"/>
                <w:left w:val="none" w:sz="0" w:space="0" w:color="auto"/>
                <w:bottom w:val="none" w:sz="0" w:space="0" w:color="auto"/>
                <w:right w:val="none" w:sz="0" w:space="0" w:color="auto"/>
              </w:divBdr>
            </w:div>
            <w:div w:id="1198926632">
              <w:marLeft w:val="0"/>
              <w:marRight w:val="0"/>
              <w:marTop w:val="0"/>
              <w:marBottom w:val="0"/>
              <w:divBdr>
                <w:top w:val="none" w:sz="0" w:space="0" w:color="auto"/>
                <w:left w:val="none" w:sz="0" w:space="0" w:color="auto"/>
                <w:bottom w:val="none" w:sz="0" w:space="0" w:color="auto"/>
                <w:right w:val="none" w:sz="0" w:space="0" w:color="auto"/>
              </w:divBdr>
            </w:div>
            <w:div w:id="1118791979">
              <w:marLeft w:val="0"/>
              <w:marRight w:val="0"/>
              <w:marTop w:val="0"/>
              <w:marBottom w:val="0"/>
              <w:divBdr>
                <w:top w:val="none" w:sz="0" w:space="0" w:color="auto"/>
                <w:left w:val="none" w:sz="0" w:space="0" w:color="auto"/>
                <w:bottom w:val="none" w:sz="0" w:space="0" w:color="auto"/>
                <w:right w:val="none" w:sz="0" w:space="0" w:color="auto"/>
              </w:divBdr>
            </w:div>
            <w:div w:id="1312565981">
              <w:marLeft w:val="0"/>
              <w:marRight w:val="0"/>
              <w:marTop w:val="0"/>
              <w:marBottom w:val="0"/>
              <w:divBdr>
                <w:top w:val="none" w:sz="0" w:space="0" w:color="auto"/>
                <w:left w:val="none" w:sz="0" w:space="0" w:color="auto"/>
                <w:bottom w:val="none" w:sz="0" w:space="0" w:color="auto"/>
                <w:right w:val="none" w:sz="0" w:space="0" w:color="auto"/>
              </w:divBdr>
            </w:div>
            <w:div w:id="2027291751">
              <w:marLeft w:val="0"/>
              <w:marRight w:val="0"/>
              <w:marTop w:val="0"/>
              <w:marBottom w:val="0"/>
              <w:divBdr>
                <w:top w:val="none" w:sz="0" w:space="0" w:color="auto"/>
                <w:left w:val="none" w:sz="0" w:space="0" w:color="auto"/>
                <w:bottom w:val="none" w:sz="0" w:space="0" w:color="auto"/>
                <w:right w:val="none" w:sz="0" w:space="0" w:color="auto"/>
              </w:divBdr>
            </w:div>
            <w:div w:id="1888830906">
              <w:marLeft w:val="0"/>
              <w:marRight w:val="0"/>
              <w:marTop w:val="0"/>
              <w:marBottom w:val="0"/>
              <w:divBdr>
                <w:top w:val="none" w:sz="0" w:space="0" w:color="auto"/>
                <w:left w:val="none" w:sz="0" w:space="0" w:color="auto"/>
                <w:bottom w:val="none" w:sz="0" w:space="0" w:color="auto"/>
                <w:right w:val="none" w:sz="0" w:space="0" w:color="auto"/>
              </w:divBdr>
            </w:div>
            <w:div w:id="61102048">
              <w:marLeft w:val="0"/>
              <w:marRight w:val="0"/>
              <w:marTop w:val="0"/>
              <w:marBottom w:val="0"/>
              <w:divBdr>
                <w:top w:val="none" w:sz="0" w:space="0" w:color="auto"/>
                <w:left w:val="none" w:sz="0" w:space="0" w:color="auto"/>
                <w:bottom w:val="none" w:sz="0" w:space="0" w:color="auto"/>
                <w:right w:val="none" w:sz="0" w:space="0" w:color="auto"/>
              </w:divBdr>
            </w:div>
            <w:div w:id="1520310075">
              <w:marLeft w:val="0"/>
              <w:marRight w:val="0"/>
              <w:marTop w:val="0"/>
              <w:marBottom w:val="0"/>
              <w:divBdr>
                <w:top w:val="none" w:sz="0" w:space="0" w:color="auto"/>
                <w:left w:val="none" w:sz="0" w:space="0" w:color="auto"/>
                <w:bottom w:val="none" w:sz="0" w:space="0" w:color="auto"/>
                <w:right w:val="none" w:sz="0" w:space="0" w:color="auto"/>
              </w:divBdr>
            </w:div>
            <w:div w:id="1140996538">
              <w:marLeft w:val="0"/>
              <w:marRight w:val="0"/>
              <w:marTop w:val="0"/>
              <w:marBottom w:val="0"/>
              <w:divBdr>
                <w:top w:val="none" w:sz="0" w:space="0" w:color="auto"/>
                <w:left w:val="none" w:sz="0" w:space="0" w:color="auto"/>
                <w:bottom w:val="none" w:sz="0" w:space="0" w:color="auto"/>
                <w:right w:val="none" w:sz="0" w:space="0" w:color="auto"/>
              </w:divBdr>
            </w:div>
            <w:div w:id="496503706">
              <w:marLeft w:val="0"/>
              <w:marRight w:val="0"/>
              <w:marTop w:val="0"/>
              <w:marBottom w:val="0"/>
              <w:divBdr>
                <w:top w:val="none" w:sz="0" w:space="0" w:color="auto"/>
                <w:left w:val="none" w:sz="0" w:space="0" w:color="auto"/>
                <w:bottom w:val="none" w:sz="0" w:space="0" w:color="auto"/>
                <w:right w:val="none" w:sz="0" w:space="0" w:color="auto"/>
              </w:divBdr>
            </w:div>
            <w:div w:id="370500879">
              <w:marLeft w:val="0"/>
              <w:marRight w:val="0"/>
              <w:marTop w:val="0"/>
              <w:marBottom w:val="0"/>
              <w:divBdr>
                <w:top w:val="none" w:sz="0" w:space="0" w:color="auto"/>
                <w:left w:val="none" w:sz="0" w:space="0" w:color="auto"/>
                <w:bottom w:val="none" w:sz="0" w:space="0" w:color="auto"/>
                <w:right w:val="none" w:sz="0" w:space="0" w:color="auto"/>
              </w:divBdr>
            </w:div>
            <w:div w:id="147526517">
              <w:marLeft w:val="0"/>
              <w:marRight w:val="0"/>
              <w:marTop w:val="0"/>
              <w:marBottom w:val="0"/>
              <w:divBdr>
                <w:top w:val="none" w:sz="0" w:space="0" w:color="auto"/>
                <w:left w:val="none" w:sz="0" w:space="0" w:color="auto"/>
                <w:bottom w:val="none" w:sz="0" w:space="0" w:color="auto"/>
                <w:right w:val="none" w:sz="0" w:space="0" w:color="auto"/>
              </w:divBdr>
            </w:div>
            <w:div w:id="1892226913">
              <w:marLeft w:val="0"/>
              <w:marRight w:val="0"/>
              <w:marTop w:val="0"/>
              <w:marBottom w:val="0"/>
              <w:divBdr>
                <w:top w:val="none" w:sz="0" w:space="0" w:color="auto"/>
                <w:left w:val="none" w:sz="0" w:space="0" w:color="auto"/>
                <w:bottom w:val="none" w:sz="0" w:space="0" w:color="auto"/>
                <w:right w:val="none" w:sz="0" w:space="0" w:color="auto"/>
              </w:divBdr>
            </w:div>
            <w:div w:id="2113280546">
              <w:marLeft w:val="0"/>
              <w:marRight w:val="0"/>
              <w:marTop w:val="0"/>
              <w:marBottom w:val="0"/>
              <w:divBdr>
                <w:top w:val="none" w:sz="0" w:space="0" w:color="auto"/>
                <w:left w:val="none" w:sz="0" w:space="0" w:color="auto"/>
                <w:bottom w:val="none" w:sz="0" w:space="0" w:color="auto"/>
                <w:right w:val="none" w:sz="0" w:space="0" w:color="auto"/>
              </w:divBdr>
            </w:div>
            <w:div w:id="241112522">
              <w:marLeft w:val="0"/>
              <w:marRight w:val="0"/>
              <w:marTop w:val="0"/>
              <w:marBottom w:val="0"/>
              <w:divBdr>
                <w:top w:val="none" w:sz="0" w:space="0" w:color="auto"/>
                <w:left w:val="none" w:sz="0" w:space="0" w:color="auto"/>
                <w:bottom w:val="none" w:sz="0" w:space="0" w:color="auto"/>
                <w:right w:val="none" w:sz="0" w:space="0" w:color="auto"/>
              </w:divBdr>
            </w:div>
            <w:div w:id="1702629109">
              <w:marLeft w:val="0"/>
              <w:marRight w:val="0"/>
              <w:marTop w:val="0"/>
              <w:marBottom w:val="0"/>
              <w:divBdr>
                <w:top w:val="none" w:sz="0" w:space="0" w:color="auto"/>
                <w:left w:val="none" w:sz="0" w:space="0" w:color="auto"/>
                <w:bottom w:val="none" w:sz="0" w:space="0" w:color="auto"/>
                <w:right w:val="none" w:sz="0" w:space="0" w:color="auto"/>
              </w:divBdr>
            </w:div>
            <w:div w:id="1614511816">
              <w:marLeft w:val="0"/>
              <w:marRight w:val="0"/>
              <w:marTop w:val="0"/>
              <w:marBottom w:val="0"/>
              <w:divBdr>
                <w:top w:val="none" w:sz="0" w:space="0" w:color="auto"/>
                <w:left w:val="none" w:sz="0" w:space="0" w:color="auto"/>
                <w:bottom w:val="none" w:sz="0" w:space="0" w:color="auto"/>
                <w:right w:val="none" w:sz="0" w:space="0" w:color="auto"/>
              </w:divBdr>
            </w:div>
            <w:div w:id="1690643548">
              <w:marLeft w:val="0"/>
              <w:marRight w:val="0"/>
              <w:marTop w:val="0"/>
              <w:marBottom w:val="0"/>
              <w:divBdr>
                <w:top w:val="none" w:sz="0" w:space="0" w:color="auto"/>
                <w:left w:val="none" w:sz="0" w:space="0" w:color="auto"/>
                <w:bottom w:val="none" w:sz="0" w:space="0" w:color="auto"/>
                <w:right w:val="none" w:sz="0" w:space="0" w:color="auto"/>
              </w:divBdr>
            </w:div>
            <w:div w:id="1835031831">
              <w:marLeft w:val="0"/>
              <w:marRight w:val="0"/>
              <w:marTop w:val="0"/>
              <w:marBottom w:val="0"/>
              <w:divBdr>
                <w:top w:val="none" w:sz="0" w:space="0" w:color="auto"/>
                <w:left w:val="none" w:sz="0" w:space="0" w:color="auto"/>
                <w:bottom w:val="none" w:sz="0" w:space="0" w:color="auto"/>
                <w:right w:val="none" w:sz="0" w:space="0" w:color="auto"/>
              </w:divBdr>
            </w:div>
            <w:div w:id="1365057193">
              <w:marLeft w:val="0"/>
              <w:marRight w:val="0"/>
              <w:marTop w:val="0"/>
              <w:marBottom w:val="0"/>
              <w:divBdr>
                <w:top w:val="none" w:sz="0" w:space="0" w:color="auto"/>
                <w:left w:val="none" w:sz="0" w:space="0" w:color="auto"/>
                <w:bottom w:val="none" w:sz="0" w:space="0" w:color="auto"/>
                <w:right w:val="none" w:sz="0" w:space="0" w:color="auto"/>
              </w:divBdr>
            </w:div>
            <w:div w:id="1497843646">
              <w:marLeft w:val="0"/>
              <w:marRight w:val="0"/>
              <w:marTop w:val="0"/>
              <w:marBottom w:val="0"/>
              <w:divBdr>
                <w:top w:val="none" w:sz="0" w:space="0" w:color="auto"/>
                <w:left w:val="none" w:sz="0" w:space="0" w:color="auto"/>
                <w:bottom w:val="none" w:sz="0" w:space="0" w:color="auto"/>
                <w:right w:val="none" w:sz="0" w:space="0" w:color="auto"/>
              </w:divBdr>
            </w:div>
            <w:div w:id="1576820664">
              <w:marLeft w:val="0"/>
              <w:marRight w:val="0"/>
              <w:marTop w:val="0"/>
              <w:marBottom w:val="0"/>
              <w:divBdr>
                <w:top w:val="none" w:sz="0" w:space="0" w:color="auto"/>
                <w:left w:val="none" w:sz="0" w:space="0" w:color="auto"/>
                <w:bottom w:val="none" w:sz="0" w:space="0" w:color="auto"/>
                <w:right w:val="none" w:sz="0" w:space="0" w:color="auto"/>
              </w:divBdr>
            </w:div>
            <w:div w:id="910775438">
              <w:marLeft w:val="0"/>
              <w:marRight w:val="0"/>
              <w:marTop w:val="0"/>
              <w:marBottom w:val="0"/>
              <w:divBdr>
                <w:top w:val="none" w:sz="0" w:space="0" w:color="auto"/>
                <w:left w:val="none" w:sz="0" w:space="0" w:color="auto"/>
                <w:bottom w:val="none" w:sz="0" w:space="0" w:color="auto"/>
                <w:right w:val="none" w:sz="0" w:space="0" w:color="auto"/>
              </w:divBdr>
            </w:div>
            <w:div w:id="1757556889">
              <w:marLeft w:val="0"/>
              <w:marRight w:val="0"/>
              <w:marTop w:val="0"/>
              <w:marBottom w:val="0"/>
              <w:divBdr>
                <w:top w:val="none" w:sz="0" w:space="0" w:color="auto"/>
                <w:left w:val="none" w:sz="0" w:space="0" w:color="auto"/>
                <w:bottom w:val="none" w:sz="0" w:space="0" w:color="auto"/>
                <w:right w:val="none" w:sz="0" w:space="0" w:color="auto"/>
              </w:divBdr>
            </w:div>
            <w:div w:id="1856380632">
              <w:marLeft w:val="0"/>
              <w:marRight w:val="0"/>
              <w:marTop w:val="0"/>
              <w:marBottom w:val="0"/>
              <w:divBdr>
                <w:top w:val="none" w:sz="0" w:space="0" w:color="auto"/>
                <w:left w:val="none" w:sz="0" w:space="0" w:color="auto"/>
                <w:bottom w:val="none" w:sz="0" w:space="0" w:color="auto"/>
                <w:right w:val="none" w:sz="0" w:space="0" w:color="auto"/>
              </w:divBdr>
            </w:div>
            <w:div w:id="1577007858">
              <w:marLeft w:val="0"/>
              <w:marRight w:val="0"/>
              <w:marTop w:val="0"/>
              <w:marBottom w:val="0"/>
              <w:divBdr>
                <w:top w:val="none" w:sz="0" w:space="0" w:color="auto"/>
                <w:left w:val="none" w:sz="0" w:space="0" w:color="auto"/>
                <w:bottom w:val="none" w:sz="0" w:space="0" w:color="auto"/>
                <w:right w:val="none" w:sz="0" w:space="0" w:color="auto"/>
              </w:divBdr>
            </w:div>
            <w:div w:id="1766271345">
              <w:marLeft w:val="0"/>
              <w:marRight w:val="0"/>
              <w:marTop w:val="0"/>
              <w:marBottom w:val="0"/>
              <w:divBdr>
                <w:top w:val="none" w:sz="0" w:space="0" w:color="auto"/>
                <w:left w:val="none" w:sz="0" w:space="0" w:color="auto"/>
                <w:bottom w:val="none" w:sz="0" w:space="0" w:color="auto"/>
                <w:right w:val="none" w:sz="0" w:space="0" w:color="auto"/>
              </w:divBdr>
            </w:div>
            <w:div w:id="1535999354">
              <w:marLeft w:val="0"/>
              <w:marRight w:val="0"/>
              <w:marTop w:val="0"/>
              <w:marBottom w:val="0"/>
              <w:divBdr>
                <w:top w:val="none" w:sz="0" w:space="0" w:color="auto"/>
                <w:left w:val="none" w:sz="0" w:space="0" w:color="auto"/>
                <w:bottom w:val="none" w:sz="0" w:space="0" w:color="auto"/>
                <w:right w:val="none" w:sz="0" w:space="0" w:color="auto"/>
              </w:divBdr>
            </w:div>
            <w:div w:id="1899509283">
              <w:marLeft w:val="0"/>
              <w:marRight w:val="0"/>
              <w:marTop w:val="0"/>
              <w:marBottom w:val="0"/>
              <w:divBdr>
                <w:top w:val="none" w:sz="0" w:space="0" w:color="auto"/>
                <w:left w:val="none" w:sz="0" w:space="0" w:color="auto"/>
                <w:bottom w:val="none" w:sz="0" w:space="0" w:color="auto"/>
                <w:right w:val="none" w:sz="0" w:space="0" w:color="auto"/>
              </w:divBdr>
            </w:div>
            <w:div w:id="2119522970">
              <w:marLeft w:val="0"/>
              <w:marRight w:val="0"/>
              <w:marTop w:val="0"/>
              <w:marBottom w:val="0"/>
              <w:divBdr>
                <w:top w:val="none" w:sz="0" w:space="0" w:color="auto"/>
                <w:left w:val="none" w:sz="0" w:space="0" w:color="auto"/>
                <w:bottom w:val="none" w:sz="0" w:space="0" w:color="auto"/>
                <w:right w:val="none" w:sz="0" w:space="0" w:color="auto"/>
              </w:divBdr>
            </w:div>
            <w:div w:id="1778524254">
              <w:marLeft w:val="0"/>
              <w:marRight w:val="0"/>
              <w:marTop w:val="0"/>
              <w:marBottom w:val="0"/>
              <w:divBdr>
                <w:top w:val="none" w:sz="0" w:space="0" w:color="auto"/>
                <w:left w:val="none" w:sz="0" w:space="0" w:color="auto"/>
                <w:bottom w:val="none" w:sz="0" w:space="0" w:color="auto"/>
                <w:right w:val="none" w:sz="0" w:space="0" w:color="auto"/>
              </w:divBdr>
            </w:div>
            <w:div w:id="1224296005">
              <w:marLeft w:val="0"/>
              <w:marRight w:val="0"/>
              <w:marTop w:val="0"/>
              <w:marBottom w:val="0"/>
              <w:divBdr>
                <w:top w:val="none" w:sz="0" w:space="0" w:color="auto"/>
                <w:left w:val="none" w:sz="0" w:space="0" w:color="auto"/>
                <w:bottom w:val="none" w:sz="0" w:space="0" w:color="auto"/>
                <w:right w:val="none" w:sz="0" w:space="0" w:color="auto"/>
              </w:divBdr>
            </w:div>
            <w:div w:id="1950503895">
              <w:marLeft w:val="0"/>
              <w:marRight w:val="0"/>
              <w:marTop w:val="0"/>
              <w:marBottom w:val="0"/>
              <w:divBdr>
                <w:top w:val="none" w:sz="0" w:space="0" w:color="auto"/>
                <w:left w:val="none" w:sz="0" w:space="0" w:color="auto"/>
                <w:bottom w:val="none" w:sz="0" w:space="0" w:color="auto"/>
                <w:right w:val="none" w:sz="0" w:space="0" w:color="auto"/>
              </w:divBdr>
            </w:div>
            <w:div w:id="20908741">
              <w:marLeft w:val="0"/>
              <w:marRight w:val="0"/>
              <w:marTop w:val="0"/>
              <w:marBottom w:val="0"/>
              <w:divBdr>
                <w:top w:val="none" w:sz="0" w:space="0" w:color="auto"/>
                <w:left w:val="none" w:sz="0" w:space="0" w:color="auto"/>
                <w:bottom w:val="none" w:sz="0" w:space="0" w:color="auto"/>
                <w:right w:val="none" w:sz="0" w:space="0" w:color="auto"/>
              </w:divBdr>
            </w:div>
            <w:div w:id="1059208870">
              <w:marLeft w:val="0"/>
              <w:marRight w:val="0"/>
              <w:marTop w:val="0"/>
              <w:marBottom w:val="0"/>
              <w:divBdr>
                <w:top w:val="none" w:sz="0" w:space="0" w:color="auto"/>
                <w:left w:val="none" w:sz="0" w:space="0" w:color="auto"/>
                <w:bottom w:val="none" w:sz="0" w:space="0" w:color="auto"/>
                <w:right w:val="none" w:sz="0" w:space="0" w:color="auto"/>
              </w:divBdr>
            </w:div>
            <w:div w:id="1967391490">
              <w:marLeft w:val="0"/>
              <w:marRight w:val="0"/>
              <w:marTop w:val="0"/>
              <w:marBottom w:val="0"/>
              <w:divBdr>
                <w:top w:val="none" w:sz="0" w:space="0" w:color="auto"/>
                <w:left w:val="none" w:sz="0" w:space="0" w:color="auto"/>
                <w:bottom w:val="none" w:sz="0" w:space="0" w:color="auto"/>
                <w:right w:val="none" w:sz="0" w:space="0" w:color="auto"/>
              </w:divBdr>
            </w:div>
            <w:div w:id="1967617828">
              <w:marLeft w:val="0"/>
              <w:marRight w:val="0"/>
              <w:marTop w:val="0"/>
              <w:marBottom w:val="0"/>
              <w:divBdr>
                <w:top w:val="none" w:sz="0" w:space="0" w:color="auto"/>
                <w:left w:val="none" w:sz="0" w:space="0" w:color="auto"/>
                <w:bottom w:val="none" w:sz="0" w:space="0" w:color="auto"/>
                <w:right w:val="none" w:sz="0" w:space="0" w:color="auto"/>
              </w:divBdr>
            </w:div>
            <w:div w:id="989141403">
              <w:marLeft w:val="0"/>
              <w:marRight w:val="0"/>
              <w:marTop w:val="0"/>
              <w:marBottom w:val="0"/>
              <w:divBdr>
                <w:top w:val="none" w:sz="0" w:space="0" w:color="auto"/>
                <w:left w:val="none" w:sz="0" w:space="0" w:color="auto"/>
                <w:bottom w:val="none" w:sz="0" w:space="0" w:color="auto"/>
                <w:right w:val="none" w:sz="0" w:space="0" w:color="auto"/>
              </w:divBdr>
            </w:div>
            <w:div w:id="1557625513">
              <w:marLeft w:val="0"/>
              <w:marRight w:val="0"/>
              <w:marTop w:val="0"/>
              <w:marBottom w:val="0"/>
              <w:divBdr>
                <w:top w:val="none" w:sz="0" w:space="0" w:color="auto"/>
                <w:left w:val="none" w:sz="0" w:space="0" w:color="auto"/>
                <w:bottom w:val="none" w:sz="0" w:space="0" w:color="auto"/>
                <w:right w:val="none" w:sz="0" w:space="0" w:color="auto"/>
              </w:divBdr>
            </w:div>
            <w:div w:id="1229533765">
              <w:marLeft w:val="0"/>
              <w:marRight w:val="0"/>
              <w:marTop w:val="0"/>
              <w:marBottom w:val="0"/>
              <w:divBdr>
                <w:top w:val="none" w:sz="0" w:space="0" w:color="auto"/>
                <w:left w:val="none" w:sz="0" w:space="0" w:color="auto"/>
                <w:bottom w:val="none" w:sz="0" w:space="0" w:color="auto"/>
                <w:right w:val="none" w:sz="0" w:space="0" w:color="auto"/>
              </w:divBdr>
            </w:div>
            <w:div w:id="178472592">
              <w:marLeft w:val="0"/>
              <w:marRight w:val="0"/>
              <w:marTop w:val="0"/>
              <w:marBottom w:val="0"/>
              <w:divBdr>
                <w:top w:val="none" w:sz="0" w:space="0" w:color="auto"/>
                <w:left w:val="none" w:sz="0" w:space="0" w:color="auto"/>
                <w:bottom w:val="none" w:sz="0" w:space="0" w:color="auto"/>
                <w:right w:val="none" w:sz="0" w:space="0" w:color="auto"/>
              </w:divBdr>
            </w:div>
            <w:div w:id="681669460">
              <w:marLeft w:val="0"/>
              <w:marRight w:val="0"/>
              <w:marTop w:val="0"/>
              <w:marBottom w:val="0"/>
              <w:divBdr>
                <w:top w:val="none" w:sz="0" w:space="0" w:color="auto"/>
                <w:left w:val="none" w:sz="0" w:space="0" w:color="auto"/>
                <w:bottom w:val="none" w:sz="0" w:space="0" w:color="auto"/>
                <w:right w:val="none" w:sz="0" w:space="0" w:color="auto"/>
              </w:divBdr>
            </w:div>
            <w:div w:id="240336939">
              <w:marLeft w:val="0"/>
              <w:marRight w:val="0"/>
              <w:marTop w:val="0"/>
              <w:marBottom w:val="0"/>
              <w:divBdr>
                <w:top w:val="none" w:sz="0" w:space="0" w:color="auto"/>
                <w:left w:val="none" w:sz="0" w:space="0" w:color="auto"/>
                <w:bottom w:val="none" w:sz="0" w:space="0" w:color="auto"/>
                <w:right w:val="none" w:sz="0" w:space="0" w:color="auto"/>
              </w:divBdr>
            </w:div>
            <w:div w:id="1319382340">
              <w:marLeft w:val="0"/>
              <w:marRight w:val="0"/>
              <w:marTop w:val="0"/>
              <w:marBottom w:val="0"/>
              <w:divBdr>
                <w:top w:val="none" w:sz="0" w:space="0" w:color="auto"/>
                <w:left w:val="none" w:sz="0" w:space="0" w:color="auto"/>
                <w:bottom w:val="none" w:sz="0" w:space="0" w:color="auto"/>
                <w:right w:val="none" w:sz="0" w:space="0" w:color="auto"/>
              </w:divBdr>
            </w:div>
            <w:div w:id="621762501">
              <w:marLeft w:val="0"/>
              <w:marRight w:val="0"/>
              <w:marTop w:val="0"/>
              <w:marBottom w:val="0"/>
              <w:divBdr>
                <w:top w:val="none" w:sz="0" w:space="0" w:color="auto"/>
                <w:left w:val="none" w:sz="0" w:space="0" w:color="auto"/>
                <w:bottom w:val="none" w:sz="0" w:space="0" w:color="auto"/>
                <w:right w:val="none" w:sz="0" w:space="0" w:color="auto"/>
              </w:divBdr>
            </w:div>
            <w:div w:id="1198541499">
              <w:marLeft w:val="0"/>
              <w:marRight w:val="0"/>
              <w:marTop w:val="0"/>
              <w:marBottom w:val="0"/>
              <w:divBdr>
                <w:top w:val="none" w:sz="0" w:space="0" w:color="auto"/>
                <w:left w:val="none" w:sz="0" w:space="0" w:color="auto"/>
                <w:bottom w:val="none" w:sz="0" w:space="0" w:color="auto"/>
                <w:right w:val="none" w:sz="0" w:space="0" w:color="auto"/>
              </w:divBdr>
            </w:div>
            <w:div w:id="125126811">
              <w:marLeft w:val="0"/>
              <w:marRight w:val="0"/>
              <w:marTop w:val="0"/>
              <w:marBottom w:val="0"/>
              <w:divBdr>
                <w:top w:val="none" w:sz="0" w:space="0" w:color="auto"/>
                <w:left w:val="none" w:sz="0" w:space="0" w:color="auto"/>
                <w:bottom w:val="none" w:sz="0" w:space="0" w:color="auto"/>
                <w:right w:val="none" w:sz="0" w:space="0" w:color="auto"/>
              </w:divBdr>
            </w:div>
            <w:div w:id="310404784">
              <w:marLeft w:val="0"/>
              <w:marRight w:val="0"/>
              <w:marTop w:val="0"/>
              <w:marBottom w:val="0"/>
              <w:divBdr>
                <w:top w:val="none" w:sz="0" w:space="0" w:color="auto"/>
                <w:left w:val="none" w:sz="0" w:space="0" w:color="auto"/>
                <w:bottom w:val="none" w:sz="0" w:space="0" w:color="auto"/>
                <w:right w:val="none" w:sz="0" w:space="0" w:color="auto"/>
              </w:divBdr>
            </w:div>
            <w:div w:id="659311154">
              <w:marLeft w:val="0"/>
              <w:marRight w:val="0"/>
              <w:marTop w:val="0"/>
              <w:marBottom w:val="0"/>
              <w:divBdr>
                <w:top w:val="none" w:sz="0" w:space="0" w:color="auto"/>
                <w:left w:val="none" w:sz="0" w:space="0" w:color="auto"/>
                <w:bottom w:val="none" w:sz="0" w:space="0" w:color="auto"/>
                <w:right w:val="none" w:sz="0" w:space="0" w:color="auto"/>
              </w:divBdr>
            </w:div>
            <w:div w:id="2084140282">
              <w:marLeft w:val="0"/>
              <w:marRight w:val="0"/>
              <w:marTop w:val="0"/>
              <w:marBottom w:val="0"/>
              <w:divBdr>
                <w:top w:val="none" w:sz="0" w:space="0" w:color="auto"/>
                <w:left w:val="none" w:sz="0" w:space="0" w:color="auto"/>
                <w:bottom w:val="none" w:sz="0" w:space="0" w:color="auto"/>
                <w:right w:val="none" w:sz="0" w:space="0" w:color="auto"/>
              </w:divBdr>
            </w:div>
            <w:div w:id="1487354656">
              <w:marLeft w:val="0"/>
              <w:marRight w:val="0"/>
              <w:marTop w:val="0"/>
              <w:marBottom w:val="0"/>
              <w:divBdr>
                <w:top w:val="none" w:sz="0" w:space="0" w:color="auto"/>
                <w:left w:val="none" w:sz="0" w:space="0" w:color="auto"/>
                <w:bottom w:val="none" w:sz="0" w:space="0" w:color="auto"/>
                <w:right w:val="none" w:sz="0" w:space="0" w:color="auto"/>
              </w:divBdr>
            </w:div>
            <w:div w:id="1500348032">
              <w:marLeft w:val="0"/>
              <w:marRight w:val="0"/>
              <w:marTop w:val="0"/>
              <w:marBottom w:val="0"/>
              <w:divBdr>
                <w:top w:val="none" w:sz="0" w:space="0" w:color="auto"/>
                <w:left w:val="none" w:sz="0" w:space="0" w:color="auto"/>
                <w:bottom w:val="none" w:sz="0" w:space="0" w:color="auto"/>
                <w:right w:val="none" w:sz="0" w:space="0" w:color="auto"/>
              </w:divBdr>
            </w:div>
            <w:div w:id="566233659">
              <w:marLeft w:val="0"/>
              <w:marRight w:val="0"/>
              <w:marTop w:val="0"/>
              <w:marBottom w:val="0"/>
              <w:divBdr>
                <w:top w:val="none" w:sz="0" w:space="0" w:color="auto"/>
                <w:left w:val="none" w:sz="0" w:space="0" w:color="auto"/>
                <w:bottom w:val="none" w:sz="0" w:space="0" w:color="auto"/>
                <w:right w:val="none" w:sz="0" w:space="0" w:color="auto"/>
              </w:divBdr>
            </w:div>
            <w:div w:id="2058236479">
              <w:marLeft w:val="0"/>
              <w:marRight w:val="0"/>
              <w:marTop w:val="0"/>
              <w:marBottom w:val="0"/>
              <w:divBdr>
                <w:top w:val="none" w:sz="0" w:space="0" w:color="auto"/>
                <w:left w:val="none" w:sz="0" w:space="0" w:color="auto"/>
                <w:bottom w:val="none" w:sz="0" w:space="0" w:color="auto"/>
                <w:right w:val="none" w:sz="0" w:space="0" w:color="auto"/>
              </w:divBdr>
            </w:div>
            <w:div w:id="849638025">
              <w:marLeft w:val="0"/>
              <w:marRight w:val="0"/>
              <w:marTop w:val="0"/>
              <w:marBottom w:val="0"/>
              <w:divBdr>
                <w:top w:val="none" w:sz="0" w:space="0" w:color="auto"/>
                <w:left w:val="none" w:sz="0" w:space="0" w:color="auto"/>
                <w:bottom w:val="none" w:sz="0" w:space="0" w:color="auto"/>
                <w:right w:val="none" w:sz="0" w:space="0" w:color="auto"/>
              </w:divBdr>
            </w:div>
            <w:div w:id="496504584">
              <w:marLeft w:val="0"/>
              <w:marRight w:val="0"/>
              <w:marTop w:val="0"/>
              <w:marBottom w:val="0"/>
              <w:divBdr>
                <w:top w:val="none" w:sz="0" w:space="0" w:color="auto"/>
                <w:left w:val="none" w:sz="0" w:space="0" w:color="auto"/>
                <w:bottom w:val="none" w:sz="0" w:space="0" w:color="auto"/>
                <w:right w:val="none" w:sz="0" w:space="0" w:color="auto"/>
              </w:divBdr>
            </w:div>
            <w:div w:id="819662950">
              <w:marLeft w:val="0"/>
              <w:marRight w:val="0"/>
              <w:marTop w:val="0"/>
              <w:marBottom w:val="0"/>
              <w:divBdr>
                <w:top w:val="none" w:sz="0" w:space="0" w:color="auto"/>
                <w:left w:val="none" w:sz="0" w:space="0" w:color="auto"/>
                <w:bottom w:val="none" w:sz="0" w:space="0" w:color="auto"/>
                <w:right w:val="none" w:sz="0" w:space="0" w:color="auto"/>
              </w:divBdr>
            </w:div>
            <w:div w:id="848756784">
              <w:marLeft w:val="0"/>
              <w:marRight w:val="0"/>
              <w:marTop w:val="0"/>
              <w:marBottom w:val="0"/>
              <w:divBdr>
                <w:top w:val="none" w:sz="0" w:space="0" w:color="auto"/>
                <w:left w:val="none" w:sz="0" w:space="0" w:color="auto"/>
                <w:bottom w:val="none" w:sz="0" w:space="0" w:color="auto"/>
                <w:right w:val="none" w:sz="0" w:space="0" w:color="auto"/>
              </w:divBdr>
            </w:div>
            <w:div w:id="1277832625">
              <w:marLeft w:val="0"/>
              <w:marRight w:val="0"/>
              <w:marTop w:val="0"/>
              <w:marBottom w:val="0"/>
              <w:divBdr>
                <w:top w:val="none" w:sz="0" w:space="0" w:color="auto"/>
                <w:left w:val="none" w:sz="0" w:space="0" w:color="auto"/>
                <w:bottom w:val="none" w:sz="0" w:space="0" w:color="auto"/>
                <w:right w:val="none" w:sz="0" w:space="0" w:color="auto"/>
              </w:divBdr>
            </w:div>
            <w:div w:id="1759015805">
              <w:marLeft w:val="0"/>
              <w:marRight w:val="0"/>
              <w:marTop w:val="0"/>
              <w:marBottom w:val="0"/>
              <w:divBdr>
                <w:top w:val="none" w:sz="0" w:space="0" w:color="auto"/>
                <w:left w:val="none" w:sz="0" w:space="0" w:color="auto"/>
                <w:bottom w:val="none" w:sz="0" w:space="0" w:color="auto"/>
                <w:right w:val="none" w:sz="0" w:space="0" w:color="auto"/>
              </w:divBdr>
            </w:div>
            <w:div w:id="913009280">
              <w:marLeft w:val="0"/>
              <w:marRight w:val="0"/>
              <w:marTop w:val="0"/>
              <w:marBottom w:val="0"/>
              <w:divBdr>
                <w:top w:val="none" w:sz="0" w:space="0" w:color="auto"/>
                <w:left w:val="none" w:sz="0" w:space="0" w:color="auto"/>
                <w:bottom w:val="none" w:sz="0" w:space="0" w:color="auto"/>
                <w:right w:val="none" w:sz="0" w:space="0" w:color="auto"/>
              </w:divBdr>
            </w:div>
            <w:div w:id="1607732166">
              <w:marLeft w:val="0"/>
              <w:marRight w:val="0"/>
              <w:marTop w:val="0"/>
              <w:marBottom w:val="0"/>
              <w:divBdr>
                <w:top w:val="none" w:sz="0" w:space="0" w:color="auto"/>
                <w:left w:val="none" w:sz="0" w:space="0" w:color="auto"/>
                <w:bottom w:val="none" w:sz="0" w:space="0" w:color="auto"/>
                <w:right w:val="none" w:sz="0" w:space="0" w:color="auto"/>
              </w:divBdr>
            </w:div>
            <w:div w:id="1022633124">
              <w:marLeft w:val="0"/>
              <w:marRight w:val="0"/>
              <w:marTop w:val="0"/>
              <w:marBottom w:val="0"/>
              <w:divBdr>
                <w:top w:val="none" w:sz="0" w:space="0" w:color="auto"/>
                <w:left w:val="none" w:sz="0" w:space="0" w:color="auto"/>
                <w:bottom w:val="none" w:sz="0" w:space="0" w:color="auto"/>
                <w:right w:val="none" w:sz="0" w:space="0" w:color="auto"/>
              </w:divBdr>
            </w:div>
            <w:div w:id="951009546">
              <w:marLeft w:val="0"/>
              <w:marRight w:val="0"/>
              <w:marTop w:val="0"/>
              <w:marBottom w:val="0"/>
              <w:divBdr>
                <w:top w:val="none" w:sz="0" w:space="0" w:color="auto"/>
                <w:left w:val="none" w:sz="0" w:space="0" w:color="auto"/>
                <w:bottom w:val="none" w:sz="0" w:space="0" w:color="auto"/>
                <w:right w:val="none" w:sz="0" w:space="0" w:color="auto"/>
              </w:divBdr>
            </w:div>
            <w:div w:id="1065110301">
              <w:marLeft w:val="0"/>
              <w:marRight w:val="0"/>
              <w:marTop w:val="0"/>
              <w:marBottom w:val="0"/>
              <w:divBdr>
                <w:top w:val="none" w:sz="0" w:space="0" w:color="auto"/>
                <w:left w:val="none" w:sz="0" w:space="0" w:color="auto"/>
                <w:bottom w:val="none" w:sz="0" w:space="0" w:color="auto"/>
                <w:right w:val="none" w:sz="0" w:space="0" w:color="auto"/>
              </w:divBdr>
            </w:div>
            <w:div w:id="948464235">
              <w:marLeft w:val="0"/>
              <w:marRight w:val="0"/>
              <w:marTop w:val="0"/>
              <w:marBottom w:val="0"/>
              <w:divBdr>
                <w:top w:val="none" w:sz="0" w:space="0" w:color="auto"/>
                <w:left w:val="none" w:sz="0" w:space="0" w:color="auto"/>
                <w:bottom w:val="none" w:sz="0" w:space="0" w:color="auto"/>
                <w:right w:val="none" w:sz="0" w:space="0" w:color="auto"/>
              </w:divBdr>
            </w:div>
            <w:div w:id="819544763">
              <w:marLeft w:val="0"/>
              <w:marRight w:val="0"/>
              <w:marTop w:val="0"/>
              <w:marBottom w:val="0"/>
              <w:divBdr>
                <w:top w:val="none" w:sz="0" w:space="0" w:color="auto"/>
                <w:left w:val="none" w:sz="0" w:space="0" w:color="auto"/>
                <w:bottom w:val="none" w:sz="0" w:space="0" w:color="auto"/>
                <w:right w:val="none" w:sz="0" w:space="0" w:color="auto"/>
              </w:divBdr>
            </w:div>
            <w:div w:id="511455223">
              <w:marLeft w:val="0"/>
              <w:marRight w:val="0"/>
              <w:marTop w:val="0"/>
              <w:marBottom w:val="0"/>
              <w:divBdr>
                <w:top w:val="none" w:sz="0" w:space="0" w:color="auto"/>
                <w:left w:val="none" w:sz="0" w:space="0" w:color="auto"/>
                <w:bottom w:val="none" w:sz="0" w:space="0" w:color="auto"/>
                <w:right w:val="none" w:sz="0" w:space="0" w:color="auto"/>
              </w:divBdr>
            </w:div>
            <w:div w:id="888110371">
              <w:marLeft w:val="0"/>
              <w:marRight w:val="0"/>
              <w:marTop w:val="0"/>
              <w:marBottom w:val="0"/>
              <w:divBdr>
                <w:top w:val="none" w:sz="0" w:space="0" w:color="auto"/>
                <w:left w:val="none" w:sz="0" w:space="0" w:color="auto"/>
                <w:bottom w:val="none" w:sz="0" w:space="0" w:color="auto"/>
                <w:right w:val="none" w:sz="0" w:space="0" w:color="auto"/>
              </w:divBdr>
            </w:div>
            <w:div w:id="1488982772">
              <w:marLeft w:val="0"/>
              <w:marRight w:val="0"/>
              <w:marTop w:val="0"/>
              <w:marBottom w:val="0"/>
              <w:divBdr>
                <w:top w:val="none" w:sz="0" w:space="0" w:color="auto"/>
                <w:left w:val="none" w:sz="0" w:space="0" w:color="auto"/>
                <w:bottom w:val="none" w:sz="0" w:space="0" w:color="auto"/>
                <w:right w:val="none" w:sz="0" w:space="0" w:color="auto"/>
              </w:divBdr>
            </w:div>
            <w:div w:id="720904733">
              <w:marLeft w:val="0"/>
              <w:marRight w:val="0"/>
              <w:marTop w:val="0"/>
              <w:marBottom w:val="0"/>
              <w:divBdr>
                <w:top w:val="none" w:sz="0" w:space="0" w:color="auto"/>
                <w:left w:val="none" w:sz="0" w:space="0" w:color="auto"/>
                <w:bottom w:val="none" w:sz="0" w:space="0" w:color="auto"/>
                <w:right w:val="none" w:sz="0" w:space="0" w:color="auto"/>
              </w:divBdr>
            </w:div>
            <w:div w:id="903756276">
              <w:marLeft w:val="0"/>
              <w:marRight w:val="0"/>
              <w:marTop w:val="0"/>
              <w:marBottom w:val="0"/>
              <w:divBdr>
                <w:top w:val="none" w:sz="0" w:space="0" w:color="auto"/>
                <w:left w:val="none" w:sz="0" w:space="0" w:color="auto"/>
                <w:bottom w:val="none" w:sz="0" w:space="0" w:color="auto"/>
                <w:right w:val="none" w:sz="0" w:space="0" w:color="auto"/>
              </w:divBdr>
            </w:div>
            <w:div w:id="1361735716">
              <w:marLeft w:val="0"/>
              <w:marRight w:val="0"/>
              <w:marTop w:val="0"/>
              <w:marBottom w:val="0"/>
              <w:divBdr>
                <w:top w:val="none" w:sz="0" w:space="0" w:color="auto"/>
                <w:left w:val="none" w:sz="0" w:space="0" w:color="auto"/>
                <w:bottom w:val="none" w:sz="0" w:space="0" w:color="auto"/>
                <w:right w:val="none" w:sz="0" w:space="0" w:color="auto"/>
              </w:divBdr>
            </w:div>
            <w:div w:id="1304239792">
              <w:marLeft w:val="0"/>
              <w:marRight w:val="0"/>
              <w:marTop w:val="0"/>
              <w:marBottom w:val="0"/>
              <w:divBdr>
                <w:top w:val="none" w:sz="0" w:space="0" w:color="auto"/>
                <w:left w:val="none" w:sz="0" w:space="0" w:color="auto"/>
                <w:bottom w:val="none" w:sz="0" w:space="0" w:color="auto"/>
                <w:right w:val="none" w:sz="0" w:space="0" w:color="auto"/>
              </w:divBdr>
            </w:div>
            <w:div w:id="1257127484">
              <w:marLeft w:val="0"/>
              <w:marRight w:val="0"/>
              <w:marTop w:val="0"/>
              <w:marBottom w:val="0"/>
              <w:divBdr>
                <w:top w:val="none" w:sz="0" w:space="0" w:color="auto"/>
                <w:left w:val="none" w:sz="0" w:space="0" w:color="auto"/>
                <w:bottom w:val="none" w:sz="0" w:space="0" w:color="auto"/>
                <w:right w:val="none" w:sz="0" w:space="0" w:color="auto"/>
              </w:divBdr>
            </w:div>
            <w:div w:id="782073838">
              <w:marLeft w:val="0"/>
              <w:marRight w:val="0"/>
              <w:marTop w:val="0"/>
              <w:marBottom w:val="0"/>
              <w:divBdr>
                <w:top w:val="none" w:sz="0" w:space="0" w:color="auto"/>
                <w:left w:val="none" w:sz="0" w:space="0" w:color="auto"/>
                <w:bottom w:val="none" w:sz="0" w:space="0" w:color="auto"/>
                <w:right w:val="none" w:sz="0" w:space="0" w:color="auto"/>
              </w:divBdr>
            </w:div>
            <w:div w:id="2125419199">
              <w:marLeft w:val="0"/>
              <w:marRight w:val="0"/>
              <w:marTop w:val="0"/>
              <w:marBottom w:val="0"/>
              <w:divBdr>
                <w:top w:val="none" w:sz="0" w:space="0" w:color="auto"/>
                <w:left w:val="none" w:sz="0" w:space="0" w:color="auto"/>
                <w:bottom w:val="none" w:sz="0" w:space="0" w:color="auto"/>
                <w:right w:val="none" w:sz="0" w:space="0" w:color="auto"/>
              </w:divBdr>
            </w:div>
            <w:div w:id="51318837">
              <w:marLeft w:val="0"/>
              <w:marRight w:val="0"/>
              <w:marTop w:val="0"/>
              <w:marBottom w:val="0"/>
              <w:divBdr>
                <w:top w:val="none" w:sz="0" w:space="0" w:color="auto"/>
                <w:left w:val="none" w:sz="0" w:space="0" w:color="auto"/>
                <w:bottom w:val="none" w:sz="0" w:space="0" w:color="auto"/>
                <w:right w:val="none" w:sz="0" w:space="0" w:color="auto"/>
              </w:divBdr>
            </w:div>
            <w:div w:id="1231769793">
              <w:marLeft w:val="0"/>
              <w:marRight w:val="0"/>
              <w:marTop w:val="0"/>
              <w:marBottom w:val="0"/>
              <w:divBdr>
                <w:top w:val="none" w:sz="0" w:space="0" w:color="auto"/>
                <w:left w:val="none" w:sz="0" w:space="0" w:color="auto"/>
                <w:bottom w:val="none" w:sz="0" w:space="0" w:color="auto"/>
                <w:right w:val="none" w:sz="0" w:space="0" w:color="auto"/>
              </w:divBdr>
            </w:div>
            <w:div w:id="290793342">
              <w:marLeft w:val="0"/>
              <w:marRight w:val="0"/>
              <w:marTop w:val="0"/>
              <w:marBottom w:val="0"/>
              <w:divBdr>
                <w:top w:val="none" w:sz="0" w:space="0" w:color="auto"/>
                <w:left w:val="none" w:sz="0" w:space="0" w:color="auto"/>
                <w:bottom w:val="none" w:sz="0" w:space="0" w:color="auto"/>
                <w:right w:val="none" w:sz="0" w:space="0" w:color="auto"/>
              </w:divBdr>
            </w:div>
            <w:div w:id="406803833">
              <w:marLeft w:val="0"/>
              <w:marRight w:val="0"/>
              <w:marTop w:val="0"/>
              <w:marBottom w:val="0"/>
              <w:divBdr>
                <w:top w:val="none" w:sz="0" w:space="0" w:color="auto"/>
                <w:left w:val="none" w:sz="0" w:space="0" w:color="auto"/>
                <w:bottom w:val="none" w:sz="0" w:space="0" w:color="auto"/>
                <w:right w:val="none" w:sz="0" w:space="0" w:color="auto"/>
              </w:divBdr>
            </w:div>
            <w:div w:id="804742171">
              <w:marLeft w:val="0"/>
              <w:marRight w:val="0"/>
              <w:marTop w:val="0"/>
              <w:marBottom w:val="0"/>
              <w:divBdr>
                <w:top w:val="none" w:sz="0" w:space="0" w:color="auto"/>
                <w:left w:val="none" w:sz="0" w:space="0" w:color="auto"/>
                <w:bottom w:val="none" w:sz="0" w:space="0" w:color="auto"/>
                <w:right w:val="none" w:sz="0" w:space="0" w:color="auto"/>
              </w:divBdr>
            </w:div>
            <w:div w:id="2108309635">
              <w:marLeft w:val="0"/>
              <w:marRight w:val="0"/>
              <w:marTop w:val="0"/>
              <w:marBottom w:val="0"/>
              <w:divBdr>
                <w:top w:val="none" w:sz="0" w:space="0" w:color="auto"/>
                <w:left w:val="none" w:sz="0" w:space="0" w:color="auto"/>
                <w:bottom w:val="none" w:sz="0" w:space="0" w:color="auto"/>
                <w:right w:val="none" w:sz="0" w:space="0" w:color="auto"/>
              </w:divBdr>
            </w:div>
            <w:div w:id="86654064">
              <w:marLeft w:val="0"/>
              <w:marRight w:val="0"/>
              <w:marTop w:val="0"/>
              <w:marBottom w:val="0"/>
              <w:divBdr>
                <w:top w:val="none" w:sz="0" w:space="0" w:color="auto"/>
                <w:left w:val="none" w:sz="0" w:space="0" w:color="auto"/>
                <w:bottom w:val="none" w:sz="0" w:space="0" w:color="auto"/>
                <w:right w:val="none" w:sz="0" w:space="0" w:color="auto"/>
              </w:divBdr>
            </w:div>
            <w:div w:id="646668499">
              <w:marLeft w:val="0"/>
              <w:marRight w:val="0"/>
              <w:marTop w:val="0"/>
              <w:marBottom w:val="0"/>
              <w:divBdr>
                <w:top w:val="none" w:sz="0" w:space="0" w:color="auto"/>
                <w:left w:val="none" w:sz="0" w:space="0" w:color="auto"/>
                <w:bottom w:val="none" w:sz="0" w:space="0" w:color="auto"/>
                <w:right w:val="none" w:sz="0" w:space="0" w:color="auto"/>
              </w:divBdr>
            </w:div>
            <w:div w:id="604115272">
              <w:marLeft w:val="0"/>
              <w:marRight w:val="0"/>
              <w:marTop w:val="0"/>
              <w:marBottom w:val="0"/>
              <w:divBdr>
                <w:top w:val="none" w:sz="0" w:space="0" w:color="auto"/>
                <w:left w:val="none" w:sz="0" w:space="0" w:color="auto"/>
                <w:bottom w:val="none" w:sz="0" w:space="0" w:color="auto"/>
                <w:right w:val="none" w:sz="0" w:space="0" w:color="auto"/>
              </w:divBdr>
            </w:div>
            <w:div w:id="2111659455">
              <w:marLeft w:val="0"/>
              <w:marRight w:val="0"/>
              <w:marTop w:val="0"/>
              <w:marBottom w:val="0"/>
              <w:divBdr>
                <w:top w:val="none" w:sz="0" w:space="0" w:color="auto"/>
                <w:left w:val="none" w:sz="0" w:space="0" w:color="auto"/>
                <w:bottom w:val="none" w:sz="0" w:space="0" w:color="auto"/>
                <w:right w:val="none" w:sz="0" w:space="0" w:color="auto"/>
              </w:divBdr>
            </w:div>
            <w:div w:id="491071417">
              <w:marLeft w:val="0"/>
              <w:marRight w:val="0"/>
              <w:marTop w:val="0"/>
              <w:marBottom w:val="0"/>
              <w:divBdr>
                <w:top w:val="none" w:sz="0" w:space="0" w:color="auto"/>
                <w:left w:val="none" w:sz="0" w:space="0" w:color="auto"/>
                <w:bottom w:val="none" w:sz="0" w:space="0" w:color="auto"/>
                <w:right w:val="none" w:sz="0" w:space="0" w:color="auto"/>
              </w:divBdr>
            </w:div>
            <w:div w:id="51272575">
              <w:marLeft w:val="0"/>
              <w:marRight w:val="0"/>
              <w:marTop w:val="0"/>
              <w:marBottom w:val="0"/>
              <w:divBdr>
                <w:top w:val="none" w:sz="0" w:space="0" w:color="auto"/>
                <w:left w:val="none" w:sz="0" w:space="0" w:color="auto"/>
                <w:bottom w:val="none" w:sz="0" w:space="0" w:color="auto"/>
                <w:right w:val="none" w:sz="0" w:space="0" w:color="auto"/>
              </w:divBdr>
            </w:div>
            <w:div w:id="1137606642">
              <w:marLeft w:val="0"/>
              <w:marRight w:val="0"/>
              <w:marTop w:val="0"/>
              <w:marBottom w:val="0"/>
              <w:divBdr>
                <w:top w:val="none" w:sz="0" w:space="0" w:color="auto"/>
                <w:left w:val="none" w:sz="0" w:space="0" w:color="auto"/>
                <w:bottom w:val="none" w:sz="0" w:space="0" w:color="auto"/>
                <w:right w:val="none" w:sz="0" w:space="0" w:color="auto"/>
              </w:divBdr>
            </w:div>
            <w:div w:id="256057351">
              <w:marLeft w:val="0"/>
              <w:marRight w:val="0"/>
              <w:marTop w:val="0"/>
              <w:marBottom w:val="0"/>
              <w:divBdr>
                <w:top w:val="none" w:sz="0" w:space="0" w:color="auto"/>
                <w:left w:val="none" w:sz="0" w:space="0" w:color="auto"/>
                <w:bottom w:val="none" w:sz="0" w:space="0" w:color="auto"/>
                <w:right w:val="none" w:sz="0" w:space="0" w:color="auto"/>
              </w:divBdr>
            </w:div>
            <w:div w:id="1108617482">
              <w:marLeft w:val="0"/>
              <w:marRight w:val="0"/>
              <w:marTop w:val="0"/>
              <w:marBottom w:val="0"/>
              <w:divBdr>
                <w:top w:val="none" w:sz="0" w:space="0" w:color="auto"/>
                <w:left w:val="none" w:sz="0" w:space="0" w:color="auto"/>
                <w:bottom w:val="none" w:sz="0" w:space="0" w:color="auto"/>
                <w:right w:val="none" w:sz="0" w:space="0" w:color="auto"/>
              </w:divBdr>
            </w:div>
            <w:div w:id="1763062123">
              <w:marLeft w:val="0"/>
              <w:marRight w:val="0"/>
              <w:marTop w:val="0"/>
              <w:marBottom w:val="0"/>
              <w:divBdr>
                <w:top w:val="none" w:sz="0" w:space="0" w:color="auto"/>
                <w:left w:val="none" w:sz="0" w:space="0" w:color="auto"/>
                <w:bottom w:val="none" w:sz="0" w:space="0" w:color="auto"/>
                <w:right w:val="none" w:sz="0" w:space="0" w:color="auto"/>
              </w:divBdr>
            </w:div>
            <w:div w:id="2016225671">
              <w:marLeft w:val="0"/>
              <w:marRight w:val="0"/>
              <w:marTop w:val="0"/>
              <w:marBottom w:val="0"/>
              <w:divBdr>
                <w:top w:val="none" w:sz="0" w:space="0" w:color="auto"/>
                <w:left w:val="none" w:sz="0" w:space="0" w:color="auto"/>
                <w:bottom w:val="none" w:sz="0" w:space="0" w:color="auto"/>
                <w:right w:val="none" w:sz="0" w:space="0" w:color="auto"/>
              </w:divBdr>
            </w:div>
            <w:div w:id="1016691147">
              <w:marLeft w:val="0"/>
              <w:marRight w:val="0"/>
              <w:marTop w:val="0"/>
              <w:marBottom w:val="0"/>
              <w:divBdr>
                <w:top w:val="none" w:sz="0" w:space="0" w:color="auto"/>
                <w:left w:val="none" w:sz="0" w:space="0" w:color="auto"/>
                <w:bottom w:val="none" w:sz="0" w:space="0" w:color="auto"/>
                <w:right w:val="none" w:sz="0" w:space="0" w:color="auto"/>
              </w:divBdr>
            </w:div>
            <w:div w:id="47146227">
              <w:marLeft w:val="0"/>
              <w:marRight w:val="0"/>
              <w:marTop w:val="0"/>
              <w:marBottom w:val="0"/>
              <w:divBdr>
                <w:top w:val="none" w:sz="0" w:space="0" w:color="auto"/>
                <w:left w:val="none" w:sz="0" w:space="0" w:color="auto"/>
                <w:bottom w:val="none" w:sz="0" w:space="0" w:color="auto"/>
                <w:right w:val="none" w:sz="0" w:space="0" w:color="auto"/>
              </w:divBdr>
            </w:div>
            <w:div w:id="1801221466">
              <w:marLeft w:val="0"/>
              <w:marRight w:val="0"/>
              <w:marTop w:val="0"/>
              <w:marBottom w:val="0"/>
              <w:divBdr>
                <w:top w:val="none" w:sz="0" w:space="0" w:color="auto"/>
                <w:left w:val="none" w:sz="0" w:space="0" w:color="auto"/>
                <w:bottom w:val="none" w:sz="0" w:space="0" w:color="auto"/>
                <w:right w:val="none" w:sz="0" w:space="0" w:color="auto"/>
              </w:divBdr>
            </w:div>
            <w:div w:id="987367172">
              <w:marLeft w:val="0"/>
              <w:marRight w:val="0"/>
              <w:marTop w:val="0"/>
              <w:marBottom w:val="0"/>
              <w:divBdr>
                <w:top w:val="none" w:sz="0" w:space="0" w:color="auto"/>
                <w:left w:val="none" w:sz="0" w:space="0" w:color="auto"/>
                <w:bottom w:val="none" w:sz="0" w:space="0" w:color="auto"/>
                <w:right w:val="none" w:sz="0" w:space="0" w:color="auto"/>
              </w:divBdr>
            </w:div>
            <w:div w:id="643193795">
              <w:marLeft w:val="0"/>
              <w:marRight w:val="0"/>
              <w:marTop w:val="0"/>
              <w:marBottom w:val="0"/>
              <w:divBdr>
                <w:top w:val="none" w:sz="0" w:space="0" w:color="auto"/>
                <w:left w:val="none" w:sz="0" w:space="0" w:color="auto"/>
                <w:bottom w:val="none" w:sz="0" w:space="0" w:color="auto"/>
                <w:right w:val="none" w:sz="0" w:space="0" w:color="auto"/>
              </w:divBdr>
            </w:div>
            <w:div w:id="1742557767">
              <w:marLeft w:val="0"/>
              <w:marRight w:val="0"/>
              <w:marTop w:val="0"/>
              <w:marBottom w:val="0"/>
              <w:divBdr>
                <w:top w:val="none" w:sz="0" w:space="0" w:color="auto"/>
                <w:left w:val="none" w:sz="0" w:space="0" w:color="auto"/>
                <w:bottom w:val="none" w:sz="0" w:space="0" w:color="auto"/>
                <w:right w:val="none" w:sz="0" w:space="0" w:color="auto"/>
              </w:divBdr>
            </w:div>
            <w:div w:id="2121366582">
              <w:marLeft w:val="0"/>
              <w:marRight w:val="0"/>
              <w:marTop w:val="0"/>
              <w:marBottom w:val="0"/>
              <w:divBdr>
                <w:top w:val="none" w:sz="0" w:space="0" w:color="auto"/>
                <w:left w:val="none" w:sz="0" w:space="0" w:color="auto"/>
                <w:bottom w:val="none" w:sz="0" w:space="0" w:color="auto"/>
                <w:right w:val="none" w:sz="0" w:space="0" w:color="auto"/>
              </w:divBdr>
            </w:div>
            <w:div w:id="1102142612">
              <w:marLeft w:val="0"/>
              <w:marRight w:val="0"/>
              <w:marTop w:val="0"/>
              <w:marBottom w:val="0"/>
              <w:divBdr>
                <w:top w:val="none" w:sz="0" w:space="0" w:color="auto"/>
                <w:left w:val="none" w:sz="0" w:space="0" w:color="auto"/>
                <w:bottom w:val="none" w:sz="0" w:space="0" w:color="auto"/>
                <w:right w:val="none" w:sz="0" w:space="0" w:color="auto"/>
              </w:divBdr>
            </w:div>
            <w:div w:id="939412342">
              <w:marLeft w:val="0"/>
              <w:marRight w:val="0"/>
              <w:marTop w:val="0"/>
              <w:marBottom w:val="0"/>
              <w:divBdr>
                <w:top w:val="none" w:sz="0" w:space="0" w:color="auto"/>
                <w:left w:val="none" w:sz="0" w:space="0" w:color="auto"/>
                <w:bottom w:val="none" w:sz="0" w:space="0" w:color="auto"/>
                <w:right w:val="none" w:sz="0" w:space="0" w:color="auto"/>
              </w:divBdr>
            </w:div>
            <w:div w:id="524710228">
              <w:marLeft w:val="0"/>
              <w:marRight w:val="0"/>
              <w:marTop w:val="0"/>
              <w:marBottom w:val="0"/>
              <w:divBdr>
                <w:top w:val="none" w:sz="0" w:space="0" w:color="auto"/>
                <w:left w:val="none" w:sz="0" w:space="0" w:color="auto"/>
                <w:bottom w:val="none" w:sz="0" w:space="0" w:color="auto"/>
                <w:right w:val="none" w:sz="0" w:space="0" w:color="auto"/>
              </w:divBdr>
            </w:div>
            <w:div w:id="1296567445">
              <w:marLeft w:val="0"/>
              <w:marRight w:val="0"/>
              <w:marTop w:val="0"/>
              <w:marBottom w:val="0"/>
              <w:divBdr>
                <w:top w:val="none" w:sz="0" w:space="0" w:color="auto"/>
                <w:left w:val="none" w:sz="0" w:space="0" w:color="auto"/>
                <w:bottom w:val="none" w:sz="0" w:space="0" w:color="auto"/>
                <w:right w:val="none" w:sz="0" w:space="0" w:color="auto"/>
              </w:divBdr>
            </w:div>
            <w:div w:id="1310862941">
              <w:marLeft w:val="0"/>
              <w:marRight w:val="0"/>
              <w:marTop w:val="0"/>
              <w:marBottom w:val="0"/>
              <w:divBdr>
                <w:top w:val="none" w:sz="0" w:space="0" w:color="auto"/>
                <w:left w:val="none" w:sz="0" w:space="0" w:color="auto"/>
                <w:bottom w:val="none" w:sz="0" w:space="0" w:color="auto"/>
                <w:right w:val="none" w:sz="0" w:space="0" w:color="auto"/>
              </w:divBdr>
            </w:div>
            <w:div w:id="1230921940">
              <w:marLeft w:val="0"/>
              <w:marRight w:val="0"/>
              <w:marTop w:val="0"/>
              <w:marBottom w:val="0"/>
              <w:divBdr>
                <w:top w:val="none" w:sz="0" w:space="0" w:color="auto"/>
                <w:left w:val="none" w:sz="0" w:space="0" w:color="auto"/>
                <w:bottom w:val="none" w:sz="0" w:space="0" w:color="auto"/>
                <w:right w:val="none" w:sz="0" w:space="0" w:color="auto"/>
              </w:divBdr>
            </w:div>
            <w:div w:id="1072387420">
              <w:marLeft w:val="0"/>
              <w:marRight w:val="0"/>
              <w:marTop w:val="0"/>
              <w:marBottom w:val="0"/>
              <w:divBdr>
                <w:top w:val="none" w:sz="0" w:space="0" w:color="auto"/>
                <w:left w:val="none" w:sz="0" w:space="0" w:color="auto"/>
                <w:bottom w:val="none" w:sz="0" w:space="0" w:color="auto"/>
                <w:right w:val="none" w:sz="0" w:space="0" w:color="auto"/>
              </w:divBdr>
            </w:div>
            <w:div w:id="1415738178">
              <w:marLeft w:val="0"/>
              <w:marRight w:val="0"/>
              <w:marTop w:val="0"/>
              <w:marBottom w:val="0"/>
              <w:divBdr>
                <w:top w:val="none" w:sz="0" w:space="0" w:color="auto"/>
                <w:left w:val="none" w:sz="0" w:space="0" w:color="auto"/>
                <w:bottom w:val="none" w:sz="0" w:space="0" w:color="auto"/>
                <w:right w:val="none" w:sz="0" w:space="0" w:color="auto"/>
              </w:divBdr>
            </w:div>
            <w:div w:id="1314337220">
              <w:marLeft w:val="0"/>
              <w:marRight w:val="0"/>
              <w:marTop w:val="0"/>
              <w:marBottom w:val="0"/>
              <w:divBdr>
                <w:top w:val="none" w:sz="0" w:space="0" w:color="auto"/>
                <w:left w:val="none" w:sz="0" w:space="0" w:color="auto"/>
                <w:bottom w:val="none" w:sz="0" w:space="0" w:color="auto"/>
                <w:right w:val="none" w:sz="0" w:space="0" w:color="auto"/>
              </w:divBdr>
            </w:div>
            <w:div w:id="1414886940">
              <w:marLeft w:val="0"/>
              <w:marRight w:val="0"/>
              <w:marTop w:val="0"/>
              <w:marBottom w:val="0"/>
              <w:divBdr>
                <w:top w:val="none" w:sz="0" w:space="0" w:color="auto"/>
                <w:left w:val="none" w:sz="0" w:space="0" w:color="auto"/>
                <w:bottom w:val="none" w:sz="0" w:space="0" w:color="auto"/>
                <w:right w:val="none" w:sz="0" w:space="0" w:color="auto"/>
              </w:divBdr>
            </w:div>
            <w:div w:id="1000352435">
              <w:marLeft w:val="0"/>
              <w:marRight w:val="0"/>
              <w:marTop w:val="0"/>
              <w:marBottom w:val="0"/>
              <w:divBdr>
                <w:top w:val="none" w:sz="0" w:space="0" w:color="auto"/>
                <w:left w:val="none" w:sz="0" w:space="0" w:color="auto"/>
                <w:bottom w:val="none" w:sz="0" w:space="0" w:color="auto"/>
                <w:right w:val="none" w:sz="0" w:space="0" w:color="auto"/>
              </w:divBdr>
            </w:div>
            <w:div w:id="678119028">
              <w:marLeft w:val="0"/>
              <w:marRight w:val="0"/>
              <w:marTop w:val="0"/>
              <w:marBottom w:val="0"/>
              <w:divBdr>
                <w:top w:val="none" w:sz="0" w:space="0" w:color="auto"/>
                <w:left w:val="none" w:sz="0" w:space="0" w:color="auto"/>
                <w:bottom w:val="none" w:sz="0" w:space="0" w:color="auto"/>
                <w:right w:val="none" w:sz="0" w:space="0" w:color="auto"/>
              </w:divBdr>
            </w:div>
            <w:div w:id="1940526636">
              <w:marLeft w:val="0"/>
              <w:marRight w:val="0"/>
              <w:marTop w:val="0"/>
              <w:marBottom w:val="0"/>
              <w:divBdr>
                <w:top w:val="none" w:sz="0" w:space="0" w:color="auto"/>
                <w:left w:val="none" w:sz="0" w:space="0" w:color="auto"/>
                <w:bottom w:val="none" w:sz="0" w:space="0" w:color="auto"/>
                <w:right w:val="none" w:sz="0" w:space="0" w:color="auto"/>
              </w:divBdr>
            </w:div>
            <w:div w:id="293801350">
              <w:marLeft w:val="0"/>
              <w:marRight w:val="0"/>
              <w:marTop w:val="0"/>
              <w:marBottom w:val="0"/>
              <w:divBdr>
                <w:top w:val="none" w:sz="0" w:space="0" w:color="auto"/>
                <w:left w:val="none" w:sz="0" w:space="0" w:color="auto"/>
                <w:bottom w:val="none" w:sz="0" w:space="0" w:color="auto"/>
                <w:right w:val="none" w:sz="0" w:space="0" w:color="auto"/>
              </w:divBdr>
            </w:div>
            <w:div w:id="1294170265">
              <w:marLeft w:val="0"/>
              <w:marRight w:val="0"/>
              <w:marTop w:val="0"/>
              <w:marBottom w:val="0"/>
              <w:divBdr>
                <w:top w:val="none" w:sz="0" w:space="0" w:color="auto"/>
                <w:left w:val="none" w:sz="0" w:space="0" w:color="auto"/>
                <w:bottom w:val="none" w:sz="0" w:space="0" w:color="auto"/>
                <w:right w:val="none" w:sz="0" w:space="0" w:color="auto"/>
              </w:divBdr>
            </w:div>
            <w:div w:id="928199762">
              <w:marLeft w:val="0"/>
              <w:marRight w:val="0"/>
              <w:marTop w:val="0"/>
              <w:marBottom w:val="0"/>
              <w:divBdr>
                <w:top w:val="none" w:sz="0" w:space="0" w:color="auto"/>
                <w:left w:val="none" w:sz="0" w:space="0" w:color="auto"/>
                <w:bottom w:val="none" w:sz="0" w:space="0" w:color="auto"/>
                <w:right w:val="none" w:sz="0" w:space="0" w:color="auto"/>
              </w:divBdr>
            </w:div>
            <w:div w:id="1370960486">
              <w:marLeft w:val="0"/>
              <w:marRight w:val="0"/>
              <w:marTop w:val="0"/>
              <w:marBottom w:val="0"/>
              <w:divBdr>
                <w:top w:val="none" w:sz="0" w:space="0" w:color="auto"/>
                <w:left w:val="none" w:sz="0" w:space="0" w:color="auto"/>
                <w:bottom w:val="none" w:sz="0" w:space="0" w:color="auto"/>
                <w:right w:val="none" w:sz="0" w:space="0" w:color="auto"/>
              </w:divBdr>
            </w:div>
            <w:div w:id="2057851061">
              <w:marLeft w:val="0"/>
              <w:marRight w:val="0"/>
              <w:marTop w:val="0"/>
              <w:marBottom w:val="0"/>
              <w:divBdr>
                <w:top w:val="none" w:sz="0" w:space="0" w:color="auto"/>
                <w:left w:val="none" w:sz="0" w:space="0" w:color="auto"/>
                <w:bottom w:val="none" w:sz="0" w:space="0" w:color="auto"/>
                <w:right w:val="none" w:sz="0" w:space="0" w:color="auto"/>
              </w:divBdr>
            </w:div>
            <w:div w:id="1101142537">
              <w:marLeft w:val="0"/>
              <w:marRight w:val="0"/>
              <w:marTop w:val="0"/>
              <w:marBottom w:val="0"/>
              <w:divBdr>
                <w:top w:val="none" w:sz="0" w:space="0" w:color="auto"/>
                <w:left w:val="none" w:sz="0" w:space="0" w:color="auto"/>
                <w:bottom w:val="none" w:sz="0" w:space="0" w:color="auto"/>
                <w:right w:val="none" w:sz="0" w:space="0" w:color="auto"/>
              </w:divBdr>
            </w:div>
            <w:div w:id="1413620024">
              <w:marLeft w:val="0"/>
              <w:marRight w:val="0"/>
              <w:marTop w:val="0"/>
              <w:marBottom w:val="0"/>
              <w:divBdr>
                <w:top w:val="none" w:sz="0" w:space="0" w:color="auto"/>
                <w:left w:val="none" w:sz="0" w:space="0" w:color="auto"/>
                <w:bottom w:val="none" w:sz="0" w:space="0" w:color="auto"/>
                <w:right w:val="none" w:sz="0" w:space="0" w:color="auto"/>
              </w:divBdr>
            </w:div>
            <w:div w:id="1769616225">
              <w:marLeft w:val="0"/>
              <w:marRight w:val="0"/>
              <w:marTop w:val="0"/>
              <w:marBottom w:val="0"/>
              <w:divBdr>
                <w:top w:val="none" w:sz="0" w:space="0" w:color="auto"/>
                <w:left w:val="none" w:sz="0" w:space="0" w:color="auto"/>
                <w:bottom w:val="none" w:sz="0" w:space="0" w:color="auto"/>
                <w:right w:val="none" w:sz="0" w:space="0" w:color="auto"/>
              </w:divBdr>
            </w:div>
            <w:div w:id="515965934">
              <w:marLeft w:val="0"/>
              <w:marRight w:val="0"/>
              <w:marTop w:val="0"/>
              <w:marBottom w:val="0"/>
              <w:divBdr>
                <w:top w:val="none" w:sz="0" w:space="0" w:color="auto"/>
                <w:left w:val="none" w:sz="0" w:space="0" w:color="auto"/>
                <w:bottom w:val="none" w:sz="0" w:space="0" w:color="auto"/>
                <w:right w:val="none" w:sz="0" w:space="0" w:color="auto"/>
              </w:divBdr>
            </w:div>
            <w:div w:id="945649288">
              <w:marLeft w:val="0"/>
              <w:marRight w:val="0"/>
              <w:marTop w:val="0"/>
              <w:marBottom w:val="0"/>
              <w:divBdr>
                <w:top w:val="none" w:sz="0" w:space="0" w:color="auto"/>
                <w:left w:val="none" w:sz="0" w:space="0" w:color="auto"/>
                <w:bottom w:val="none" w:sz="0" w:space="0" w:color="auto"/>
                <w:right w:val="none" w:sz="0" w:space="0" w:color="auto"/>
              </w:divBdr>
            </w:div>
            <w:div w:id="1895579334">
              <w:marLeft w:val="0"/>
              <w:marRight w:val="0"/>
              <w:marTop w:val="0"/>
              <w:marBottom w:val="0"/>
              <w:divBdr>
                <w:top w:val="none" w:sz="0" w:space="0" w:color="auto"/>
                <w:left w:val="none" w:sz="0" w:space="0" w:color="auto"/>
                <w:bottom w:val="none" w:sz="0" w:space="0" w:color="auto"/>
                <w:right w:val="none" w:sz="0" w:space="0" w:color="auto"/>
              </w:divBdr>
            </w:div>
            <w:div w:id="1214731212">
              <w:marLeft w:val="0"/>
              <w:marRight w:val="0"/>
              <w:marTop w:val="0"/>
              <w:marBottom w:val="0"/>
              <w:divBdr>
                <w:top w:val="none" w:sz="0" w:space="0" w:color="auto"/>
                <w:left w:val="none" w:sz="0" w:space="0" w:color="auto"/>
                <w:bottom w:val="none" w:sz="0" w:space="0" w:color="auto"/>
                <w:right w:val="none" w:sz="0" w:space="0" w:color="auto"/>
              </w:divBdr>
            </w:div>
            <w:div w:id="1559896157">
              <w:marLeft w:val="0"/>
              <w:marRight w:val="0"/>
              <w:marTop w:val="0"/>
              <w:marBottom w:val="0"/>
              <w:divBdr>
                <w:top w:val="none" w:sz="0" w:space="0" w:color="auto"/>
                <w:left w:val="none" w:sz="0" w:space="0" w:color="auto"/>
                <w:bottom w:val="none" w:sz="0" w:space="0" w:color="auto"/>
                <w:right w:val="none" w:sz="0" w:space="0" w:color="auto"/>
              </w:divBdr>
            </w:div>
            <w:div w:id="390230087">
              <w:marLeft w:val="0"/>
              <w:marRight w:val="0"/>
              <w:marTop w:val="0"/>
              <w:marBottom w:val="0"/>
              <w:divBdr>
                <w:top w:val="none" w:sz="0" w:space="0" w:color="auto"/>
                <w:left w:val="none" w:sz="0" w:space="0" w:color="auto"/>
                <w:bottom w:val="none" w:sz="0" w:space="0" w:color="auto"/>
                <w:right w:val="none" w:sz="0" w:space="0" w:color="auto"/>
              </w:divBdr>
            </w:div>
            <w:div w:id="1891962679">
              <w:marLeft w:val="0"/>
              <w:marRight w:val="0"/>
              <w:marTop w:val="0"/>
              <w:marBottom w:val="0"/>
              <w:divBdr>
                <w:top w:val="none" w:sz="0" w:space="0" w:color="auto"/>
                <w:left w:val="none" w:sz="0" w:space="0" w:color="auto"/>
                <w:bottom w:val="none" w:sz="0" w:space="0" w:color="auto"/>
                <w:right w:val="none" w:sz="0" w:space="0" w:color="auto"/>
              </w:divBdr>
            </w:div>
            <w:div w:id="877351821">
              <w:marLeft w:val="0"/>
              <w:marRight w:val="0"/>
              <w:marTop w:val="0"/>
              <w:marBottom w:val="0"/>
              <w:divBdr>
                <w:top w:val="none" w:sz="0" w:space="0" w:color="auto"/>
                <w:left w:val="none" w:sz="0" w:space="0" w:color="auto"/>
                <w:bottom w:val="none" w:sz="0" w:space="0" w:color="auto"/>
                <w:right w:val="none" w:sz="0" w:space="0" w:color="auto"/>
              </w:divBdr>
            </w:div>
            <w:div w:id="1627002851">
              <w:marLeft w:val="0"/>
              <w:marRight w:val="0"/>
              <w:marTop w:val="0"/>
              <w:marBottom w:val="0"/>
              <w:divBdr>
                <w:top w:val="none" w:sz="0" w:space="0" w:color="auto"/>
                <w:left w:val="none" w:sz="0" w:space="0" w:color="auto"/>
                <w:bottom w:val="none" w:sz="0" w:space="0" w:color="auto"/>
                <w:right w:val="none" w:sz="0" w:space="0" w:color="auto"/>
              </w:divBdr>
            </w:div>
            <w:div w:id="2079739692">
              <w:marLeft w:val="0"/>
              <w:marRight w:val="0"/>
              <w:marTop w:val="0"/>
              <w:marBottom w:val="0"/>
              <w:divBdr>
                <w:top w:val="none" w:sz="0" w:space="0" w:color="auto"/>
                <w:left w:val="none" w:sz="0" w:space="0" w:color="auto"/>
                <w:bottom w:val="none" w:sz="0" w:space="0" w:color="auto"/>
                <w:right w:val="none" w:sz="0" w:space="0" w:color="auto"/>
              </w:divBdr>
            </w:div>
            <w:div w:id="1844394926">
              <w:marLeft w:val="0"/>
              <w:marRight w:val="0"/>
              <w:marTop w:val="0"/>
              <w:marBottom w:val="0"/>
              <w:divBdr>
                <w:top w:val="none" w:sz="0" w:space="0" w:color="auto"/>
                <w:left w:val="none" w:sz="0" w:space="0" w:color="auto"/>
                <w:bottom w:val="none" w:sz="0" w:space="0" w:color="auto"/>
                <w:right w:val="none" w:sz="0" w:space="0" w:color="auto"/>
              </w:divBdr>
            </w:div>
            <w:div w:id="287975709">
              <w:marLeft w:val="0"/>
              <w:marRight w:val="0"/>
              <w:marTop w:val="0"/>
              <w:marBottom w:val="0"/>
              <w:divBdr>
                <w:top w:val="none" w:sz="0" w:space="0" w:color="auto"/>
                <w:left w:val="none" w:sz="0" w:space="0" w:color="auto"/>
                <w:bottom w:val="none" w:sz="0" w:space="0" w:color="auto"/>
                <w:right w:val="none" w:sz="0" w:space="0" w:color="auto"/>
              </w:divBdr>
            </w:div>
            <w:div w:id="1511489342">
              <w:marLeft w:val="0"/>
              <w:marRight w:val="0"/>
              <w:marTop w:val="0"/>
              <w:marBottom w:val="0"/>
              <w:divBdr>
                <w:top w:val="none" w:sz="0" w:space="0" w:color="auto"/>
                <w:left w:val="none" w:sz="0" w:space="0" w:color="auto"/>
                <w:bottom w:val="none" w:sz="0" w:space="0" w:color="auto"/>
                <w:right w:val="none" w:sz="0" w:space="0" w:color="auto"/>
              </w:divBdr>
            </w:div>
            <w:div w:id="776144050">
              <w:marLeft w:val="0"/>
              <w:marRight w:val="0"/>
              <w:marTop w:val="0"/>
              <w:marBottom w:val="0"/>
              <w:divBdr>
                <w:top w:val="none" w:sz="0" w:space="0" w:color="auto"/>
                <w:left w:val="none" w:sz="0" w:space="0" w:color="auto"/>
                <w:bottom w:val="none" w:sz="0" w:space="0" w:color="auto"/>
                <w:right w:val="none" w:sz="0" w:space="0" w:color="auto"/>
              </w:divBdr>
            </w:div>
            <w:div w:id="906575902">
              <w:marLeft w:val="0"/>
              <w:marRight w:val="0"/>
              <w:marTop w:val="0"/>
              <w:marBottom w:val="0"/>
              <w:divBdr>
                <w:top w:val="none" w:sz="0" w:space="0" w:color="auto"/>
                <w:left w:val="none" w:sz="0" w:space="0" w:color="auto"/>
                <w:bottom w:val="none" w:sz="0" w:space="0" w:color="auto"/>
                <w:right w:val="none" w:sz="0" w:space="0" w:color="auto"/>
              </w:divBdr>
            </w:div>
            <w:div w:id="1364016997">
              <w:marLeft w:val="0"/>
              <w:marRight w:val="0"/>
              <w:marTop w:val="0"/>
              <w:marBottom w:val="0"/>
              <w:divBdr>
                <w:top w:val="none" w:sz="0" w:space="0" w:color="auto"/>
                <w:left w:val="none" w:sz="0" w:space="0" w:color="auto"/>
                <w:bottom w:val="none" w:sz="0" w:space="0" w:color="auto"/>
                <w:right w:val="none" w:sz="0" w:space="0" w:color="auto"/>
              </w:divBdr>
            </w:div>
            <w:div w:id="742457635">
              <w:marLeft w:val="0"/>
              <w:marRight w:val="0"/>
              <w:marTop w:val="0"/>
              <w:marBottom w:val="0"/>
              <w:divBdr>
                <w:top w:val="none" w:sz="0" w:space="0" w:color="auto"/>
                <w:left w:val="none" w:sz="0" w:space="0" w:color="auto"/>
                <w:bottom w:val="none" w:sz="0" w:space="0" w:color="auto"/>
                <w:right w:val="none" w:sz="0" w:space="0" w:color="auto"/>
              </w:divBdr>
            </w:div>
            <w:div w:id="422532966">
              <w:marLeft w:val="0"/>
              <w:marRight w:val="0"/>
              <w:marTop w:val="0"/>
              <w:marBottom w:val="0"/>
              <w:divBdr>
                <w:top w:val="none" w:sz="0" w:space="0" w:color="auto"/>
                <w:left w:val="none" w:sz="0" w:space="0" w:color="auto"/>
                <w:bottom w:val="none" w:sz="0" w:space="0" w:color="auto"/>
                <w:right w:val="none" w:sz="0" w:space="0" w:color="auto"/>
              </w:divBdr>
            </w:div>
            <w:div w:id="99763923">
              <w:marLeft w:val="0"/>
              <w:marRight w:val="0"/>
              <w:marTop w:val="0"/>
              <w:marBottom w:val="0"/>
              <w:divBdr>
                <w:top w:val="none" w:sz="0" w:space="0" w:color="auto"/>
                <w:left w:val="none" w:sz="0" w:space="0" w:color="auto"/>
                <w:bottom w:val="none" w:sz="0" w:space="0" w:color="auto"/>
                <w:right w:val="none" w:sz="0" w:space="0" w:color="auto"/>
              </w:divBdr>
            </w:div>
            <w:div w:id="861671293">
              <w:marLeft w:val="0"/>
              <w:marRight w:val="0"/>
              <w:marTop w:val="0"/>
              <w:marBottom w:val="0"/>
              <w:divBdr>
                <w:top w:val="none" w:sz="0" w:space="0" w:color="auto"/>
                <w:left w:val="none" w:sz="0" w:space="0" w:color="auto"/>
                <w:bottom w:val="none" w:sz="0" w:space="0" w:color="auto"/>
                <w:right w:val="none" w:sz="0" w:space="0" w:color="auto"/>
              </w:divBdr>
            </w:div>
            <w:div w:id="667751577">
              <w:marLeft w:val="0"/>
              <w:marRight w:val="0"/>
              <w:marTop w:val="0"/>
              <w:marBottom w:val="0"/>
              <w:divBdr>
                <w:top w:val="none" w:sz="0" w:space="0" w:color="auto"/>
                <w:left w:val="none" w:sz="0" w:space="0" w:color="auto"/>
                <w:bottom w:val="none" w:sz="0" w:space="0" w:color="auto"/>
                <w:right w:val="none" w:sz="0" w:space="0" w:color="auto"/>
              </w:divBdr>
            </w:div>
            <w:div w:id="1138498352">
              <w:marLeft w:val="0"/>
              <w:marRight w:val="0"/>
              <w:marTop w:val="0"/>
              <w:marBottom w:val="0"/>
              <w:divBdr>
                <w:top w:val="none" w:sz="0" w:space="0" w:color="auto"/>
                <w:left w:val="none" w:sz="0" w:space="0" w:color="auto"/>
                <w:bottom w:val="none" w:sz="0" w:space="0" w:color="auto"/>
                <w:right w:val="none" w:sz="0" w:space="0" w:color="auto"/>
              </w:divBdr>
            </w:div>
            <w:div w:id="450975248">
              <w:marLeft w:val="0"/>
              <w:marRight w:val="0"/>
              <w:marTop w:val="0"/>
              <w:marBottom w:val="0"/>
              <w:divBdr>
                <w:top w:val="none" w:sz="0" w:space="0" w:color="auto"/>
                <w:left w:val="none" w:sz="0" w:space="0" w:color="auto"/>
                <w:bottom w:val="none" w:sz="0" w:space="0" w:color="auto"/>
                <w:right w:val="none" w:sz="0" w:space="0" w:color="auto"/>
              </w:divBdr>
            </w:div>
            <w:div w:id="952323798">
              <w:marLeft w:val="0"/>
              <w:marRight w:val="0"/>
              <w:marTop w:val="0"/>
              <w:marBottom w:val="0"/>
              <w:divBdr>
                <w:top w:val="none" w:sz="0" w:space="0" w:color="auto"/>
                <w:left w:val="none" w:sz="0" w:space="0" w:color="auto"/>
                <w:bottom w:val="none" w:sz="0" w:space="0" w:color="auto"/>
                <w:right w:val="none" w:sz="0" w:space="0" w:color="auto"/>
              </w:divBdr>
            </w:div>
            <w:div w:id="397753806">
              <w:marLeft w:val="0"/>
              <w:marRight w:val="0"/>
              <w:marTop w:val="0"/>
              <w:marBottom w:val="0"/>
              <w:divBdr>
                <w:top w:val="none" w:sz="0" w:space="0" w:color="auto"/>
                <w:left w:val="none" w:sz="0" w:space="0" w:color="auto"/>
                <w:bottom w:val="none" w:sz="0" w:space="0" w:color="auto"/>
                <w:right w:val="none" w:sz="0" w:space="0" w:color="auto"/>
              </w:divBdr>
            </w:div>
            <w:div w:id="639505429">
              <w:marLeft w:val="0"/>
              <w:marRight w:val="0"/>
              <w:marTop w:val="0"/>
              <w:marBottom w:val="0"/>
              <w:divBdr>
                <w:top w:val="none" w:sz="0" w:space="0" w:color="auto"/>
                <w:left w:val="none" w:sz="0" w:space="0" w:color="auto"/>
                <w:bottom w:val="none" w:sz="0" w:space="0" w:color="auto"/>
                <w:right w:val="none" w:sz="0" w:space="0" w:color="auto"/>
              </w:divBdr>
            </w:div>
            <w:div w:id="1729915151">
              <w:marLeft w:val="0"/>
              <w:marRight w:val="0"/>
              <w:marTop w:val="0"/>
              <w:marBottom w:val="0"/>
              <w:divBdr>
                <w:top w:val="none" w:sz="0" w:space="0" w:color="auto"/>
                <w:left w:val="none" w:sz="0" w:space="0" w:color="auto"/>
                <w:bottom w:val="none" w:sz="0" w:space="0" w:color="auto"/>
                <w:right w:val="none" w:sz="0" w:space="0" w:color="auto"/>
              </w:divBdr>
            </w:div>
            <w:div w:id="2106998529">
              <w:marLeft w:val="0"/>
              <w:marRight w:val="0"/>
              <w:marTop w:val="0"/>
              <w:marBottom w:val="0"/>
              <w:divBdr>
                <w:top w:val="none" w:sz="0" w:space="0" w:color="auto"/>
                <w:left w:val="none" w:sz="0" w:space="0" w:color="auto"/>
                <w:bottom w:val="none" w:sz="0" w:space="0" w:color="auto"/>
                <w:right w:val="none" w:sz="0" w:space="0" w:color="auto"/>
              </w:divBdr>
            </w:div>
            <w:div w:id="579020769">
              <w:marLeft w:val="0"/>
              <w:marRight w:val="0"/>
              <w:marTop w:val="0"/>
              <w:marBottom w:val="0"/>
              <w:divBdr>
                <w:top w:val="none" w:sz="0" w:space="0" w:color="auto"/>
                <w:left w:val="none" w:sz="0" w:space="0" w:color="auto"/>
                <w:bottom w:val="none" w:sz="0" w:space="0" w:color="auto"/>
                <w:right w:val="none" w:sz="0" w:space="0" w:color="auto"/>
              </w:divBdr>
            </w:div>
            <w:div w:id="1722289699">
              <w:marLeft w:val="0"/>
              <w:marRight w:val="0"/>
              <w:marTop w:val="0"/>
              <w:marBottom w:val="0"/>
              <w:divBdr>
                <w:top w:val="none" w:sz="0" w:space="0" w:color="auto"/>
                <w:left w:val="none" w:sz="0" w:space="0" w:color="auto"/>
                <w:bottom w:val="none" w:sz="0" w:space="0" w:color="auto"/>
                <w:right w:val="none" w:sz="0" w:space="0" w:color="auto"/>
              </w:divBdr>
            </w:div>
            <w:div w:id="1350720127">
              <w:marLeft w:val="0"/>
              <w:marRight w:val="0"/>
              <w:marTop w:val="0"/>
              <w:marBottom w:val="0"/>
              <w:divBdr>
                <w:top w:val="none" w:sz="0" w:space="0" w:color="auto"/>
                <w:left w:val="none" w:sz="0" w:space="0" w:color="auto"/>
                <w:bottom w:val="none" w:sz="0" w:space="0" w:color="auto"/>
                <w:right w:val="none" w:sz="0" w:space="0" w:color="auto"/>
              </w:divBdr>
            </w:div>
            <w:div w:id="1543711995">
              <w:marLeft w:val="0"/>
              <w:marRight w:val="0"/>
              <w:marTop w:val="0"/>
              <w:marBottom w:val="0"/>
              <w:divBdr>
                <w:top w:val="none" w:sz="0" w:space="0" w:color="auto"/>
                <w:left w:val="none" w:sz="0" w:space="0" w:color="auto"/>
                <w:bottom w:val="none" w:sz="0" w:space="0" w:color="auto"/>
                <w:right w:val="none" w:sz="0" w:space="0" w:color="auto"/>
              </w:divBdr>
            </w:div>
            <w:div w:id="1044719214">
              <w:marLeft w:val="0"/>
              <w:marRight w:val="0"/>
              <w:marTop w:val="0"/>
              <w:marBottom w:val="0"/>
              <w:divBdr>
                <w:top w:val="none" w:sz="0" w:space="0" w:color="auto"/>
                <w:left w:val="none" w:sz="0" w:space="0" w:color="auto"/>
                <w:bottom w:val="none" w:sz="0" w:space="0" w:color="auto"/>
                <w:right w:val="none" w:sz="0" w:space="0" w:color="auto"/>
              </w:divBdr>
            </w:div>
            <w:div w:id="1338995098">
              <w:marLeft w:val="0"/>
              <w:marRight w:val="0"/>
              <w:marTop w:val="0"/>
              <w:marBottom w:val="0"/>
              <w:divBdr>
                <w:top w:val="none" w:sz="0" w:space="0" w:color="auto"/>
                <w:left w:val="none" w:sz="0" w:space="0" w:color="auto"/>
                <w:bottom w:val="none" w:sz="0" w:space="0" w:color="auto"/>
                <w:right w:val="none" w:sz="0" w:space="0" w:color="auto"/>
              </w:divBdr>
            </w:div>
            <w:div w:id="1456943030">
              <w:marLeft w:val="0"/>
              <w:marRight w:val="0"/>
              <w:marTop w:val="0"/>
              <w:marBottom w:val="0"/>
              <w:divBdr>
                <w:top w:val="none" w:sz="0" w:space="0" w:color="auto"/>
                <w:left w:val="none" w:sz="0" w:space="0" w:color="auto"/>
                <w:bottom w:val="none" w:sz="0" w:space="0" w:color="auto"/>
                <w:right w:val="none" w:sz="0" w:space="0" w:color="auto"/>
              </w:divBdr>
            </w:div>
            <w:div w:id="1755009785">
              <w:marLeft w:val="0"/>
              <w:marRight w:val="0"/>
              <w:marTop w:val="0"/>
              <w:marBottom w:val="0"/>
              <w:divBdr>
                <w:top w:val="none" w:sz="0" w:space="0" w:color="auto"/>
                <w:left w:val="none" w:sz="0" w:space="0" w:color="auto"/>
                <w:bottom w:val="none" w:sz="0" w:space="0" w:color="auto"/>
                <w:right w:val="none" w:sz="0" w:space="0" w:color="auto"/>
              </w:divBdr>
            </w:div>
            <w:div w:id="750926742">
              <w:marLeft w:val="0"/>
              <w:marRight w:val="0"/>
              <w:marTop w:val="0"/>
              <w:marBottom w:val="0"/>
              <w:divBdr>
                <w:top w:val="none" w:sz="0" w:space="0" w:color="auto"/>
                <w:left w:val="none" w:sz="0" w:space="0" w:color="auto"/>
                <w:bottom w:val="none" w:sz="0" w:space="0" w:color="auto"/>
                <w:right w:val="none" w:sz="0" w:space="0" w:color="auto"/>
              </w:divBdr>
            </w:div>
            <w:div w:id="336739645">
              <w:marLeft w:val="0"/>
              <w:marRight w:val="0"/>
              <w:marTop w:val="0"/>
              <w:marBottom w:val="0"/>
              <w:divBdr>
                <w:top w:val="none" w:sz="0" w:space="0" w:color="auto"/>
                <w:left w:val="none" w:sz="0" w:space="0" w:color="auto"/>
                <w:bottom w:val="none" w:sz="0" w:space="0" w:color="auto"/>
                <w:right w:val="none" w:sz="0" w:space="0" w:color="auto"/>
              </w:divBdr>
            </w:div>
            <w:div w:id="1711421085">
              <w:marLeft w:val="0"/>
              <w:marRight w:val="0"/>
              <w:marTop w:val="0"/>
              <w:marBottom w:val="0"/>
              <w:divBdr>
                <w:top w:val="none" w:sz="0" w:space="0" w:color="auto"/>
                <w:left w:val="none" w:sz="0" w:space="0" w:color="auto"/>
                <w:bottom w:val="none" w:sz="0" w:space="0" w:color="auto"/>
                <w:right w:val="none" w:sz="0" w:space="0" w:color="auto"/>
              </w:divBdr>
            </w:div>
            <w:div w:id="1095832710">
              <w:marLeft w:val="0"/>
              <w:marRight w:val="0"/>
              <w:marTop w:val="0"/>
              <w:marBottom w:val="0"/>
              <w:divBdr>
                <w:top w:val="none" w:sz="0" w:space="0" w:color="auto"/>
                <w:left w:val="none" w:sz="0" w:space="0" w:color="auto"/>
                <w:bottom w:val="none" w:sz="0" w:space="0" w:color="auto"/>
                <w:right w:val="none" w:sz="0" w:space="0" w:color="auto"/>
              </w:divBdr>
            </w:div>
            <w:div w:id="1930498801">
              <w:marLeft w:val="0"/>
              <w:marRight w:val="0"/>
              <w:marTop w:val="0"/>
              <w:marBottom w:val="0"/>
              <w:divBdr>
                <w:top w:val="none" w:sz="0" w:space="0" w:color="auto"/>
                <w:left w:val="none" w:sz="0" w:space="0" w:color="auto"/>
                <w:bottom w:val="none" w:sz="0" w:space="0" w:color="auto"/>
                <w:right w:val="none" w:sz="0" w:space="0" w:color="auto"/>
              </w:divBdr>
            </w:div>
            <w:div w:id="959842921">
              <w:marLeft w:val="0"/>
              <w:marRight w:val="0"/>
              <w:marTop w:val="0"/>
              <w:marBottom w:val="0"/>
              <w:divBdr>
                <w:top w:val="none" w:sz="0" w:space="0" w:color="auto"/>
                <w:left w:val="none" w:sz="0" w:space="0" w:color="auto"/>
                <w:bottom w:val="none" w:sz="0" w:space="0" w:color="auto"/>
                <w:right w:val="none" w:sz="0" w:space="0" w:color="auto"/>
              </w:divBdr>
            </w:div>
            <w:div w:id="1610162962">
              <w:marLeft w:val="0"/>
              <w:marRight w:val="0"/>
              <w:marTop w:val="0"/>
              <w:marBottom w:val="0"/>
              <w:divBdr>
                <w:top w:val="none" w:sz="0" w:space="0" w:color="auto"/>
                <w:left w:val="none" w:sz="0" w:space="0" w:color="auto"/>
                <w:bottom w:val="none" w:sz="0" w:space="0" w:color="auto"/>
                <w:right w:val="none" w:sz="0" w:space="0" w:color="auto"/>
              </w:divBdr>
            </w:div>
            <w:div w:id="2063404466">
              <w:marLeft w:val="0"/>
              <w:marRight w:val="0"/>
              <w:marTop w:val="0"/>
              <w:marBottom w:val="0"/>
              <w:divBdr>
                <w:top w:val="none" w:sz="0" w:space="0" w:color="auto"/>
                <w:left w:val="none" w:sz="0" w:space="0" w:color="auto"/>
                <w:bottom w:val="none" w:sz="0" w:space="0" w:color="auto"/>
                <w:right w:val="none" w:sz="0" w:space="0" w:color="auto"/>
              </w:divBdr>
            </w:div>
            <w:div w:id="1610358173">
              <w:marLeft w:val="0"/>
              <w:marRight w:val="0"/>
              <w:marTop w:val="0"/>
              <w:marBottom w:val="0"/>
              <w:divBdr>
                <w:top w:val="none" w:sz="0" w:space="0" w:color="auto"/>
                <w:left w:val="none" w:sz="0" w:space="0" w:color="auto"/>
                <w:bottom w:val="none" w:sz="0" w:space="0" w:color="auto"/>
                <w:right w:val="none" w:sz="0" w:space="0" w:color="auto"/>
              </w:divBdr>
            </w:div>
            <w:div w:id="740523025">
              <w:marLeft w:val="0"/>
              <w:marRight w:val="0"/>
              <w:marTop w:val="0"/>
              <w:marBottom w:val="0"/>
              <w:divBdr>
                <w:top w:val="none" w:sz="0" w:space="0" w:color="auto"/>
                <w:left w:val="none" w:sz="0" w:space="0" w:color="auto"/>
                <w:bottom w:val="none" w:sz="0" w:space="0" w:color="auto"/>
                <w:right w:val="none" w:sz="0" w:space="0" w:color="auto"/>
              </w:divBdr>
            </w:div>
            <w:div w:id="1082680067">
              <w:marLeft w:val="0"/>
              <w:marRight w:val="0"/>
              <w:marTop w:val="0"/>
              <w:marBottom w:val="0"/>
              <w:divBdr>
                <w:top w:val="none" w:sz="0" w:space="0" w:color="auto"/>
                <w:left w:val="none" w:sz="0" w:space="0" w:color="auto"/>
                <w:bottom w:val="none" w:sz="0" w:space="0" w:color="auto"/>
                <w:right w:val="none" w:sz="0" w:space="0" w:color="auto"/>
              </w:divBdr>
            </w:div>
            <w:div w:id="497117310">
              <w:marLeft w:val="0"/>
              <w:marRight w:val="0"/>
              <w:marTop w:val="0"/>
              <w:marBottom w:val="0"/>
              <w:divBdr>
                <w:top w:val="none" w:sz="0" w:space="0" w:color="auto"/>
                <w:left w:val="none" w:sz="0" w:space="0" w:color="auto"/>
                <w:bottom w:val="none" w:sz="0" w:space="0" w:color="auto"/>
                <w:right w:val="none" w:sz="0" w:space="0" w:color="auto"/>
              </w:divBdr>
            </w:div>
            <w:div w:id="1383552174">
              <w:marLeft w:val="0"/>
              <w:marRight w:val="0"/>
              <w:marTop w:val="0"/>
              <w:marBottom w:val="0"/>
              <w:divBdr>
                <w:top w:val="none" w:sz="0" w:space="0" w:color="auto"/>
                <w:left w:val="none" w:sz="0" w:space="0" w:color="auto"/>
                <w:bottom w:val="none" w:sz="0" w:space="0" w:color="auto"/>
                <w:right w:val="none" w:sz="0" w:space="0" w:color="auto"/>
              </w:divBdr>
            </w:div>
            <w:div w:id="1245141027">
              <w:marLeft w:val="0"/>
              <w:marRight w:val="0"/>
              <w:marTop w:val="0"/>
              <w:marBottom w:val="0"/>
              <w:divBdr>
                <w:top w:val="none" w:sz="0" w:space="0" w:color="auto"/>
                <w:left w:val="none" w:sz="0" w:space="0" w:color="auto"/>
                <w:bottom w:val="none" w:sz="0" w:space="0" w:color="auto"/>
                <w:right w:val="none" w:sz="0" w:space="0" w:color="auto"/>
              </w:divBdr>
            </w:div>
            <w:div w:id="1774012455">
              <w:marLeft w:val="0"/>
              <w:marRight w:val="0"/>
              <w:marTop w:val="0"/>
              <w:marBottom w:val="0"/>
              <w:divBdr>
                <w:top w:val="none" w:sz="0" w:space="0" w:color="auto"/>
                <w:left w:val="none" w:sz="0" w:space="0" w:color="auto"/>
                <w:bottom w:val="none" w:sz="0" w:space="0" w:color="auto"/>
                <w:right w:val="none" w:sz="0" w:space="0" w:color="auto"/>
              </w:divBdr>
            </w:div>
            <w:div w:id="231550483">
              <w:marLeft w:val="0"/>
              <w:marRight w:val="0"/>
              <w:marTop w:val="0"/>
              <w:marBottom w:val="0"/>
              <w:divBdr>
                <w:top w:val="none" w:sz="0" w:space="0" w:color="auto"/>
                <w:left w:val="none" w:sz="0" w:space="0" w:color="auto"/>
                <w:bottom w:val="none" w:sz="0" w:space="0" w:color="auto"/>
                <w:right w:val="none" w:sz="0" w:space="0" w:color="auto"/>
              </w:divBdr>
            </w:div>
            <w:div w:id="396439059">
              <w:marLeft w:val="0"/>
              <w:marRight w:val="0"/>
              <w:marTop w:val="0"/>
              <w:marBottom w:val="0"/>
              <w:divBdr>
                <w:top w:val="none" w:sz="0" w:space="0" w:color="auto"/>
                <w:left w:val="none" w:sz="0" w:space="0" w:color="auto"/>
                <w:bottom w:val="none" w:sz="0" w:space="0" w:color="auto"/>
                <w:right w:val="none" w:sz="0" w:space="0" w:color="auto"/>
              </w:divBdr>
            </w:div>
            <w:div w:id="429085536">
              <w:marLeft w:val="0"/>
              <w:marRight w:val="0"/>
              <w:marTop w:val="0"/>
              <w:marBottom w:val="0"/>
              <w:divBdr>
                <w:top w:val="none" w:sz="0" w:space="0" w:color="auto"/>
                <w:left w:val="none" w:sz="0" w:space="0" w:color="auto"/>
                <w:bottom w:val="none" w:sz="0" w:space="0" w:color="auto"/>
                <w:right w:val="none" w:sz="0" w:space="0" w:color="auto"/>
              </w:divBdr>
            </w:div>
            <w:div w:id="992686899">
              <w:marLeft w:val="0"/>
              <w:marRight w:val="0"/>
              <w:marTop w:val="0"/>
              <w:marBottom w:val="0"/>
              <w:divBdr>
                <w:top w:val="none" w:sz="0" w:space="0" w:color="auto"/>
                <w:left w:val="none" w:sz="0" w:space="0" w:color="auto"/>
                <w:bottom w:val="none" w:sz="0" w:space="0" w:color="auto"/>
                <w:right w:val="none" w:sz="0" w:space="0" w:color="auto"/>
              </w:divBdr>
            </w:div>
            <w:div w:id="1294946481">
              <w:marLeft w:val="0"/>
              <w:marRight w:val="0"/>
              <w:marTop w:val="0"/>
              <w:marBottom w:val="0"/>
              <w:divBdr>
                <w:top w:val="none" w:sz="0" w:space="0" w:color="auto"/>
                <w:left w:val="none" w:sz="0" w:space="0" w:color="auto"/>
                <w:bottom w:val="none" w:sz="0" w:space="0" w:color="auto"/>
                <w:right w:val="none" w:sz="0" w:space="0" w:color="auto"/>
              </w:divBdr>
            </w:div>
            <w:div w:id="1053038452">
              <w:marLeft w:val="0"/>
              <w:marRight w:val="0"/>
              <w:marTop w:val="0"/>
              <w:marBottom w:val="0"/>
              <w:divBdr>
                <w:top w:val="none" w:sz="0" w:space="0" w:color="auto"/>
                <w:left w:val="none" w:sz="0" w:space="0" w:color="auto"/>
                <w:bottom w:val="none" w:sz="0" w:space="0" w:color="auto"/>
                <w:right w:val="none" w:sz="0" w:space="0" w:color="auto"/>
              </w:divBdr>
            </w:div>
            <w:div w:id="1399867818">
              <w:marLeft w:val="0"/>
              <w:marRight w:val="0"/>
              <w:marTop w:val="0"/>
              <w:marBottom w:val="0"/>
              <w:divBdr>
                <w:top w:val="none" w:sz="0" w:space="0" w:color="auto"/>
                <w:left w:val="none" w:sz="0" w:space="0" w:color="auto"/>
                <w:bottom w:val="none" w:sz="0" w:space="0" w:color="auto"/>
                <w:right w:val="none" w:sz="0" w:space="0" w:color="auto"/>
              </w:divBdr>
            </w:div>
            <w:div w:id="718093673">
              <w:marLeft w:val="0"/>
              <w:marRight w:val="0"/>
              <w:marTop w:val="0"/>
              <w:marBottom w:val="0"/>
              <w:divBdr>
                <w:top w:val="none" w:sz="0" w:space="0" w:color="auto"/>
                <w:left w:val="none" w:sz="0" w:space="0" w:color="auto"/>
                <w:bottom w:val="none" w:sz="0" w:space="0" w:color="auto"/>
                <w:right w:val="none" w:sz="0" w:space="0" w:color="auto"/>
              </w:divBdr>
            </w:div>
            <w:div w:id="1902130870">
              <w:marLeft w:val="0"/>
              <w:marRight w:val="0"/>
              <w:marTop w:val="0"/>
              <w:marBottom w:val="0"/>
              <w:divBdr>
                <w:top w:val="none" w:sz="0" w:space="0" w:color="auto"/>
                <w:left w:val="none" w:sz="0" w:space="0" w:color="auto"/>
                <w:bottom w:val="none" w:sz="0" w:space="0" w:color="auto"/>
                <w:right w:val="none" w:sz="0" w:space="0" w:color="auto"/>
              </w:divBdr>
            </w:div>
            <w:div w:id="1936667334">
              <w:marLeft w:val="0"/>
              <w:marRight w:val="0"/>
              <w:marTop w:val="0"/>
              <w:marBottom w:val="0"/>
              <w:divBdr>
                <w:top w:val="none" w:sz="0" w:space="0" w:color="auto"/>
                <w:left w:val="none" w:sz="0" w:space="0" w:color="auto"/>
                <w:bottom w:val="none" w:sz="0" w:space="0" w:color="auto"/>
                <w:right w:val="none" w:sz="0" w:space="0" w:color="auto"/>
              </w:divBdr>
            </w:div>
            <w:div w:id="1680043703">
              <w:marLeft w:val="0"/>
              <w:marRight w:val="0"/>
              <w:marTop w:val="0"/>
              <w:marBottom w:val="0"/>
              <w:divBdr>
                <w:top w:val="none" w:sz="0" w:space="0" w:color="auto"/>
                <w:left w:val="none" w:sz="0" w:space="0" w:color="auto"/>
                <w:bottom w:val="none" w:sz="0" w:space="0" w:color="auto"/>
                <w:right w:val="none" w:sz="0" w:space="0" w:color="auto"/>
              </w:divBdr>
            </w:div>
            <w:div w:id="449786062">
              <w:marLeft w:val="0"/>
              <w:marRight w:val="0"/>
              <w:marTop w:val="0"/>
              <w:marBottom w:val="0"/>
              <w:divBdr>
                <w:top w:val="none" w:sz="0" w:space="0" w:color="auto"/>
                <w:left w:val="none" w:sz="0" w:space="0" w:color="auto"/>
                <w:bottom w:val="none" w:sz="0" w:space="0" w:color="auto"/>
                <w:right w:val="none" w:sz="0" w:space="0" w:color="auto"/>
              </w:divBdr>
            </w:div>
            <w:div w:id="1553535093">
              <w:marLeft w:val="0"/>
              <w:marRight w:val="0"/>
              <w:marTop w:val="0"/>
              <w:marBottom w:val="0"/>
              <w:divBdr>
                <w:top w:val="none" w:sz="0" w:space="0" w:color="auto"/>
                <w:left w:val="none" w:sz="0" w:space="0" w:color="auto"/>
                <w:bottom w:val="none" w:sz="0" w:space="0" w:color="auto"/>
                <w:right w:val="none" w:sz="0" w:space="0" w:color="auto"/>
              </w:divBdr>
            </w:div>
            <w:div w:id="1985039213">
              <w:marLeft w:val="0"/>
              <w:marRight w:val="0"/>
              <w:marTop w:val="0"/>
              <w:marBottom w:val="0"/>
              <w:divBdr>
                <w:top w:val="none" w:sz="0" w:space="0" w:color="auto"/>
                <w:left w:val="none" w:sz="0" w:space="0" w:color="auto"/>
                <w:bottom w:val="none" w:sz="0" w:space="0" w:color="auto"/>
                <w:right w:val="none" w:sz="0" w:space="0" w:color="auto"/>
              </w:divBdr>
            </w:div>
            <w:div w:id="700861980">
              <w:marLeft w:val="0"/>
              <w:marRight w:val="0"/>
              <w:marTop w:val="0"/>
              <w:marBottom w:val="0"/>
              <w:divBdr>
                <w:top w:val="none" w:sz="0" w:space="0" w:color="auto"/>
                <w:left w:val="none" w:sz="0" w:space="0" w:color="auto"/>
                <w:bottom w:val="none" w:sz="0" w:space="0" w:color="auto"/>
                <w:right w:val="none" w:sz="0" w:space="0" w:color="auto"/>
              </w:divBdr>
            </w:div>
            <w:div w:id="735248928">
              <w:marLeft w:val="0"/>
              <w:marRight w:val="0"/>
              <w:marTop w:val="0"/>
              <w:marBottom w:val="0"/>
              <w:divBdr>
                <w:top w:val="none" w:sz="0" w:space="0" w:color="auto"/>
                <w:left w:val="none" w:sz="0" w:space="0" w:color="auto"/>
                <w:bottom w:val="none" w:sz="0" w:space="0" w:color="auto"/>
                <w:right w:val="none" w:sz="0" w:space="0" w:color="auto"/>
              </w:divBdr>
            </w:div>
            <w:div w:id="2121335521">
              <w:marLeft w:val="0"/>
              <w:marRight w:val="0"/>
              <w:marTop w:val="0"/>
              <w:marBottom w:val="0"/>
              <w:divBdr>
                <w:top w:val="none" w:sz="0" w:space="0" w:color="auto"/>
                <w:left w:val="none" w:sz="0" w:space="0" w:color="auto"/>
                <w:bottom w:val="none" w:sz="0" w:space="0" w:color="auto"/>
                <w:right w:val="none" w:sz="0" w:space="0" w:color="auto"/>
              </w:divBdr>
            </w:div>
            <w:div w:id="22365061">
              <w:marLeft w:val="0"/>
              <w:marRight w:val="0"/>
              <w:marTop w:val="0"/>
              <w:marBottom w:val="0"/>
              <w:divBdr>
                <w:top w:val="none" w:sz="0" w:space="0" w:color="auto"/>
                <w:left w:val="none" w:sz="0" w:space="0" w:color="auto"/>
                <w:bottom w:val="none" w:sz="0" w:space="0" w:color="auto"/>
                <w:right w:val="none" w:sz="0" w:space="0" w:color="auto"/>
              </w:divBdr>
            </w:div>
            <w:div w:id="1810243652">
              <w:marLeft w:val="0"/>
              <w:marRight w:val="0"/>
              <w:marTop w:val="0"/>
              <w:marBottom w:val="0"/>
              <w:divBdr>
                <w:top w:val="none" w:sz="0" w:space="0" w:color="auto"/>
                <w:left w:val="none" w:sz="0" w:space="0" w:color="auto"/>
                <w:bottom w:val="none" w:sz="0" w:space="0" w:color="auto"/>
                <w:right w:val="none" w:sz="0" w:space="0" w:color="auto"/>
              </w:divBdr>
            </w:div>
            <w:div w:id="1502693660">
              <w:marLeft w:val="0"/>
              <w:marRight w:val="0"/>
              <w:marTop w:val="0"/>
              <w:marBottom w:val="0"/>
              <w:divBdr>
                <w:top w:val="none" w:sz="0" w:space="0" w:color="auto"/>
                <w:left w:val="none" w:sz="0" w:space="0" w:color="auto"/>
                <w:bottom w:val="none" w:sz="0" w:space="0" w:color="auto"/>
                <w:right w:val="none" w:sz="0" w:space="0" w:color="auto"/>
              </w:divBdr>
            </w:div>
            <w:div w:id="1366636077">
              <w:marLeft w:val="0"/>
              <w:marRight w:val="0"/>
              <w:marTop w:val="0"/>
              <w:marBottom w:val="0"/>
              <w:divBdr>
                <w:top w:val="none" w:sz="0" w:space="0" w:color="auto"/>
                <w:left w:val="none" w:sz="0" w:space="0" w:color="auto"/>
                <w:bottom w:val="none" w:sz="0" w:space="0" w:color="auto"/>
                <w:right w:val="none" w:sz="0" w:space="0" w:color="auto"/>
              </w:divBdr>
            </w:div>
            <w:div w:id="1659071818">
              <w:marLeft w:val="0"/>
              <w:marRight w:val="0"/>
              <w:marTop w:val="0"/>
              <w:marBottom w:val="0"/>
              <w:divBdr>
                <w:top w:val="none" w:sz="0" w:space="0" w:color="auto"/>
                <w:left w:val="none" w:sz="0" w:space="0" w:color="auto"/>
                <w:bottom w:val="none" w:sz="0" w:space="0" w:color="auto"/>
                <w:right w:val="none" w:sz="0" w:space="0" w:color="auto"/>
              </w:divBdr>
            </w:div>
            <w:div w:id="1569222166">
              <w:marLeft w:val="0"/>
              <w:marRight w:val="0"/>
              <w:marTop w:val="0"/>
              <w:marBottom w:val="0"/>
              <w:divBdr>
                <w:top w:val="none" w:sz="0" w:space="0" w:color="auto"/>
                <w:left w:val="none" w:sz="0" w:space="0" w:color="auto"/>
                <w:bottom w:val="none" w:sz="0" w:space="0" w:color="auto"/>
                <w:right w:val="none" w:sz="0" w:space="0" w:color="auto"/>
              </w:divBdr>
            </w:div>
            <w:div w:id="1606964857">
              <w:marLeft w:val="0"/>
              <w:marRight w:val="0"/>
              <w:marTop w:val="0"/>
              <w:marBottom w:val="0"/>
              <w:divBdr>
                <w:top w:val="none" w:sz="0" w:space="0" w:color="auto"/>
                <w:left w:val="none" w:sz="0" w:space="0" w:color="auto"/>
                <w:bottom w:val="none" w:sz="0" w:space="0" w:color="auto"/>
                <w:right w:val="none" w:sz="0" w:space="0" w:color="auto"/>
              </w:divBdr>
            </w:div>
            <w:div w:id="1868248849">
              <w:marLeft w:val="0"/>
              <w:marRight w:val="0"/>
              <w:marTop w:val="0"/>
              <w:marBottom w:val="0"/>
              <w:divBdr>
                <w:top w:val="none" w:sz="0" w:space="0" w:color="auto"/>
                <w:left w:val="none" w:sz="0" w:space="0" w:color="auto"/>
                <w:bottom w:val="none" w:sz="0" w:space="0" w:color="auto"/>
                <w:right w:val="none" w:sz="0" w:space="0" w:color="auto"/>
              </w:divBdr>
            </w:div>
            <w:div w:id="686325004">
              <w:marLeft w:val="0"/>
              <w:marRight w:val="0"/>
              <w:marTop w:val="0"/>
              <w:marBottom w:val="0"/>
              <w:divBdr>
                <w:top w:val="none" w:sz="0" w:space="0" w:color="auto"/>
                <w:left w:val="none" w:sz="0" w:space="0" w:color="auto"/>
                <w:bottom w:val="none" w:sz="0" w:space="0" w:color="auto"/>
                <w:right w:val="none" w:sz="0" w:space="0" w:color="auto"/>
              </w:divBdr>
            </w:div>
            <w:div w:id="1628270206">
              <w:marLeft w:val="0"/>
              <w:marRight w:val="0"/>
              <w:marTop w:val="0"/>
              <w:marBottom w:val="0"/>
              <w:divBdr>
                <w:top w:val="none" w:sz="0" w:space="0" w:color="auto"/>
                <w:left w:val="none" w:sz="0" w:space="0" w:color="auto"/>
                <w:bottom w:val="none" w:sz="0" w:space="0" w:color="auto"/>
                <w:right w:val="none" w:sz="0" w:space="0" w:color="auto"/>
              </w:divBdr>
            </w:div>
            <w:div w:id="2097626318">
              <w:marLeft w:val="0"/>
              <w:marRight w:val="0"/>
              <w:marTop w:val="0"/>
              <w:marBottom w:val="0"/>
              <w:divBdr>
                <w:top w:val="none" w:sz="0" w:space="0" w:color="auto"/>
                <w:left w:val="none" w:sz="0" w:space="0" w:color="auto"/>
                <w:bottom w:val="none" w:sz="0" w:space="0" w:color="auto"/>
                <w:right w:val="none" w:sz="0" w:space="0" w:color="auto"/>
              </w:divBdr>
            </w:div>
            <w:div w:id="1461800770">
              <w:marLeft w:val="0"/>
              <w:marRight w:val="0"/>
              <w:marTop w:val="0"/>
              <w:marBottom w:val="0"/>
              <w:divBdr>
                <w:top w:val="none" w:sz="0" w:space="0" w:color="auto"/>
                <w:left w:val="none" w:sz="0" w:space="0" w:color="auto"/>
                <w:bottom w:val="none" w:sz="0" w:space="0" w:color="auto"/>
                <w:right w:val="none" w:sz="0" w:space="0" w:color="auto"/>
              </w:divBdr>
            </w:div>
            <w:div w:id="713818469">
              <w:marLeft w:val="0"/>
              <w:marRight w:val="0"/>
              <w:marTop w:val="0"/>
              <w:marBottom w:val="0"/>
              <w:divBdr>
                <w:top w:val="none" w:sz="0" w:space="0" w:color="auto"/>
                <w:left w:val="none" w:sz="0" w:space="0" w:color="auto"/>
                <w:bottom w:val="none" w:sz="0" w:space="0" w:color="auto"/>
                <w:right w:val="none" w:sz="0" w:space="0" w:color="auto"/>
              </w:divBdr>
            </w:div>
            <w:div w:id="2131125269">
              <w:marLeft w:val="0"/>
              <w:marRight w:val="0"/>
              <w:marTop w:val="0"/>
              <w:marBottom w:val="0"/>
              <w:divBdr>
                <w:top w:val="none" w:sz="0" w:space="0" w:color="auto"/>
                <w:left w:val="none" w:sz="0" w:space="0" w:color="auto"/>
                <w:bottom w:val="none" w:sz="0" w:space="0" w:color="auto"/>
                <w:right w:val="none" w:sz="0" w:space="0" w:color="auto"/>
              </w:divBdr>
            </w:div>
            <w:div w:id="606230877">
              <w:marLeft w:val="0"/>
              <w:marRight w:val="0"/>
              <w:marTop w:val="0"/>
              <w:marBottom w:val="0"/>
              <w:divBdr>
                <w:top w:val="none" w:sz="0" w:space="0" w:color="auto"/>
                <w:left w:val="none" w:sz="0" w:space="0" w:color="auto"/>
                <w:bottom w:val="none" w:sz="0" w:space="0" w:color="auto"/>
                <w:right w:val="none" w:sz="0" w:space="0" w:color="auto"/>
              </w:divBdr>
            </w:div>
            <w:div w:id="1779832106">
              <w:marLeft w:val="0"/>
              <w:marRight w:val="0"/>
              <w:marTop w:val="0"/>
              <w:marBottom w:val="0"/>
              <w:divBdr>
                <w:top w:val="none" w:sz="0" w:space="0" w:color="auto"/>
                <w:left w:val="none" w:sz="0" w:space="0" w:color="auto"/>
                <w:bottom w:val="none" w:sz="0" w:space="0" w:color="auto"/>
                <w:right w:val="none" w:sz="0" w:space="0" w:color="auto"/>
              </w:divBdr>
            </w:div>
            <w:div w:id="36439072">
              <w:marLeft w:val="0"/>
              <w:marRight w:val="0"/>
              <w:marTop w:val="0"/>
              <w:marBottom w:val="0"/>
              <w:divBdr>
                <w:top w:val="none" w:sz="0" w:space="0" w:color="auto"/>
                <w:left w:val="none" w:sz="0" w:space="0" w:color="auto"/>
                <w:bottom w:val="none" w:sz="0" w:space="0" w:color="auto"/>
                <w:right w:val="none" w:sz="0" w:space="0" w:color="auto"/>
              </w:divBdr>
            </w:div>
            <w:div w:id="1043676881">
              <w:marLeft w:val="0"/>
              <w:marRight w:val="0"/>
              <w:marTop w:val="0"/>
              <w:marBottom w:val="0"/>
              <w:divBdr>
                <w:top w:val="none" w:sz="0" w:space="0" w:color="auto"/>
                <w:left w:val="none" w:sz="0" w:space="0" w:color="auto"/>
                <w:bottom w:val="none" w:sz="0" w:space="0" w:color="auto"/>
                <w:right w:val="none" w:sz="0" w:space="0" w:color="auto"/>
              </w:divBdr>
            </w:div>
            <w:div w:id="1609701222">
              <w:marLeft w:val="0"/>
              <w:marRight w:val="0"/>
              <w:marTop w:val="0"/>
              <w:marBottom w:val="0"/>
              <w:divBdr>
                <w:top w:val="none" w:sz="0" w:space="0" w:color="auto"/>
                <w:left w:val="none" w:sz="0" w:space="0" w:color="auto"/>
                <w:bottom w:val="none" w:sz="0" w:space="0" w:color="auto"/>
                <w:right w:val="none" w:sz="0" w:space="0" w:color="auto"/>
              </w:divBdr>
            </w:div>
            <w:div w:id="661665420">
              <w:marLeft w:val="0"/>
              <w:marRight w:val="0"/>
              <w:marTop w:val="0"/>
              <w:marBottom w:val="0"/>
              <w:divBdr>
                <w:top w:val="none" w:sz="0" w:space="0" w:color="auto"/>
                <w:left w:val="none" w:sz="0" w:space="0" w:color="auto"/>
                <w:bottom w:val="none" w:sz="0" w:space="0" w:color="auto"/>
                <w:right w:val="none" w:sz="0" w:space="0" w:color="auto"/>
              </w:divBdr>
            </w:div>
            <w:div w:id="550730351">
              <w:marLeft w:val="0"/>
              <w:marRight w:val="0"/>
              <w:marTop w:val="0"/>
              <w:marBottom w:val="0"/>
              <w:divBdr>
                <w:top w:val="none" w:sz="0" w:space="0" w:color="auto"/>
                <w:left w:val="none" w:sz="0" w:space="0" w:color="auto"/>
                <w:bottom w:val="none" w:sz="0" w:space="0" w:color="auto"/>
                <w:right w:val="none" w:sz="0" w:space="0" w:color="auto"/>
              </w:divBdr>
            </w:div>
            <w:div w:id="244070107">
              <w:marLeft w:val="0"/>
              <w:marRight w:val="0"/>
              <w:marTop w:val="0"/>
              <w:marBottom w:val="0"/>
              <w:divBdr>
                <w:top w:val="none" w:sz="0" w:space="0" w:color="auto"/>
                <w:left w:val="none" w:sz="0" w:space="0" w:color="auto"/>
                <w:bottom w:val="none" w:sz="0" w:space="0" w:color="auto"/>
                <w:right w:val="none" w:sz="0" w:space="0" w:color="auto"/>
              </w:divBdr>
            </w:div>
            <w:div w:id="439498803">
              <w:marLeft w:val="0"/>
              <w:marRight w:val="0"/>
              <w:marTop w:val="0"/>
              <w:marBottom w:val="0"/>
              <w:divBdr>
                <w:top w:val="none" w:sz="0" w:space="0" w:color="auto"/>
                <w:left w:val="none" w:sz="0" w:space="0" w:color="auto"/>
                <w:bottom w:val="none" w:sz="0" w:space="0" w:color="auto"/>
                <w:right w:val="none" w:sz="0" w:space="0" w:color="auto"/>
              </w:divBdr>
            </w:div>
            <w:div w:id="390882735">
              <w:marLeft w:val="0"/>
              <w:marRight w:val="0"/>
              <w:marTop w:val="0"/>
              <w:marBottom w:val="0"/>
              <w:divBdr>
                <w:top w:val="none" w:sz="0" w:space="0" w:color="auto"/>
                <w:left w:val="none" w:sz="0" w:space="0" w:color="auto"/>
                <w:bottom w:val="none" w:sz="0" w:space="0" w:color="auto"/>
                <w:right w:val="none" w:sz="0" w:space="0" w:color="auto"/>
              </w:divBdr>
            </w:div>
            <w:div w:id="235017637">
              <w:marLeft w:val="0"/>
              <w:marRight w:val="0"/>
              <w:marTop w:val="0"/>
              <w:marBottom w:val="0"/>
              <w:divBdr>
                <w:top w:val="none" w:sz="0" w:space="0" w:color="auto"/>
                <w:left w:val="none" w:sz="0" w:space="0" w:color="auto"/>
                <w:bottom w:val="none" w:sz="0" w:space="0" w:color="auto"/>
                <w:right w:val="none" w:sz="0" w:space="0" w:color="auto"/>
              </w:divBdr>
            </w:div>
            <w:div w:id="1450660536">
              <w:marLeft w:val="0"/>
              <w:marRight w:val="0"/>
              <w:marTop w:val="0"/>
              <w:marBottom w:val="0"/>
              <w:divBdr>
                <w:top w:val="none" w:sz="0" w:space="0" w:color="auto"/>
                <w:left w:val="none" w:sz="0" w:space="0" w:color="auto"/>
                <w:bottom w:val="none" w:sz="0" w:space="0" w:color="auto"/>
                <w:right w:val="none" w:sz="0" w:space="0" w:color="auto"/>
              </w:divBdr>
            </w:div>
            <w:div w:id="1919244464">
              <w:marLeft w:val="0"/>
              <w:marRight w:val="0"/>
              <w:marTop w:val="0"/>
              <w:marBottom w:val="0"/>
              <w:divBdr>
                <w:top w:val="none" w:sz="0" w:space="0" w:color="auto"/>
                <w:left w:val="none" w:sz="0" w:space="0" w:color="auto"/>
                <w:bottom w:val="none" w:sz="0" w:space="0" w:color="auto"/>
                <w:right w:val="none" w:sz="0" w:space="0" w:color="auto"/>
              </w:divBdr>
            </w:div>
            <w:div w:id="1759985196">
              <w:marLeft w:val="0"/>
              <w:marRight w:val="0"/>
              <w:marTop w:val="0"/>
              <w:marBottom w:val="0"/>
              <w:divBdr>
                <w:top w:val="none" w:sz="0" w:space="0" w:color="auto"/>
                <w:left w:val="none" w:sz="0" w:space="0" w:color="auto"/>
                <w:bottom w:val="none" w:sz="0" w:space="0" w:color="auto"/>
                <w:right w:val="none" w:sz="0" w:space="0" w:color="auto"/>
              </w:divBdr>
            </w:div>
            <w:div w:id="1040011097">
              <w:marLeft w:val="0"/>
              <w:marRight w:val="0"/>
              <w:marTop w:val="0"/>
              <w:marBottom w:val="0"/>
              <w:divBdr>
                <w:top w:val="none" w:sz="0" w:space="0" w:color="auto"/>
                <w:left w:val="none" w:sz="0" w:space="0" w:color="auto"/>
                <w:bottom w:val="none" w:sz="0" w:space="0" w:color="auto"/>
                <w:right w:val="none" w:sz="0" w:space="0" w:color="auto"/>
              </w:divBdr>
            </w:div>
            <w:div w:id="641734205">
              <w:marLeft w:val="0"/>
              <w:marRight w:val="0"/>
              <w:marTop w:val="0"/>
              <w:marBottom w:val="0"/>
              <w:divBdr>
                <w:top w:val="none" w:sz="0" w:space="0" w:color="auto"/>
                <w:left w:val="none" w:sz="0" w:space="0" w:color="auto"/>
                <w:bottom w:val="none" w:sz="0" w:space="0" w:color="auto"/>
                <w:right w:val="none" w:sz="0" w:space="0" w:color="auto"/>
              </w:divBdr>
            </w:div>
            <w:div w:id="930503239">
              <w:marLeft w:val="0"/>
              <w:marRight w:val="0"/>
              <w:marTop w:val="0"/>
              <w:marBottom w:val="0"/>
              <w:divBdr>
                <w:top w:val="none" w:sz="0" w:space="0" w:color="auto"/>
                <w:left w:val="none" w:sz="0" w:space="0" w:color="auto"/>
                <w:bottom w:val="none" w:sz="0" w:space="0" w:color="auto"/>
                <w:right w:val="none" w:sz="0" w:space="0" w:color="auto"/>
              </w:divBdr>
            </w:div>
            <w:div w:id="2097096816">
              <w:marLeft w:val="0"/>
              <w:marRight w:val="0"/>
              <w:marTop w:val="0"/>
              <w:marBottom w:val="0"/>
              <w:divBdr>
                <w:top w:val="none" w:sz="0" w:space="0" w:color="auto"/>
                <w:left w:val="none" w:sz="0" w:space="0" w:color="auto"/>
                <w:bottom w:val="none" w:sz="0" w:space="0" w:color="auto"/>
                <w:right w:val="none" w:sz="0" w:space="0" w:color="auto"/>
              </w:divBdr>
            </w:div>
            <w:div w:id="1439642674">
              <w:marLeft w:val="0"/>
              <w:marRight w:val="0"/>
              <w:marTop w:val="0"/>
              <w:marBottom w:val="0"/>
              <w:divBdr>
                <w:top w:val="none" w:sz="0" w:space="0" w:color="auto"/>
                <w:left w:val="none" w:sz="0" w:space="0" w:color="auto"/>
                <w:bottom w:val="none" w:sz="0" w:space="0" w:color="auto"/>
                <w:right w:val="none" w:sz="0" w:space="0" w:color="auto"/>
              </w:divBdr>
            </w:div>
            <w:div w:id="1816601561">
              <w:marLeft w:val="0"/>
              <w:marRight w:val="0"/>
              <w:marTop w:val="0"/>
              <w:marBottom w:val="0"/>
              <w:divBdr>
                <w:top w:val="none" w:sz="0" w:space="0" w:color="auto"/>
                <w:left w:val="none" w:sz="0" w:space="0" w:color="auto"/>
                <w:bottom w:val="none" w:sz="0" w:space="0" w:color="auto"/>
                <w:right w:val="none" w:sz="0" w:space="0" w:color="auto"/>
              </w:divBdr>
            </w:div>
            <w:div w:id="1415006329">
              <w:marLeft w:val="0"/>
              <w:marRight w:val="0"/>
              <w:marTop w:val="0"/>
              <w:marBottom w:val="0"/>
              <w:divBdr>
                <w:top w:val="none" w:sz="0" w:space="0" w:color="auto"/>
                <w:left w:val="none" w:sz="0" w:space="0" w:color="auto"/>
                <w:bottom w:val="none" w:sz="0" w:space="0" w:color="auto"/>
                <w:right w:val="none" w:sz="0" w:space="0" w:color="auto"/>
              </w:divBdr>
            </w:div>
            <w:div w:id="1568687640">
              <w:marLeft w:val="0"/>
              <w:marRight w:val="0"/>
              <w:marTop w:val="0"/>
              <w:marBottom w:val="0"/>
              <w:divBdr>
                <w:top w:val="none" w:sz="0" w:space="0" w:color="auto"/>
                <w:left w:val="none" w:sz="0" w:space="0" w:color="auto"/>
                <w:bottom w:val="none" w:sz="0" w:space="0" w:color="auto"/>
                <w:right w:val="none" w:sz="0" w:space="0" w:color="auto"/>
              </w:divBdr>
            </w:div>
            <w:div w:id="828401856">
              <w:marLeft w:val="0"/>
              <w:marRight w:val="0"/>
              <w:marTop w:val="0"/>
              <w:marBottom w:val="0"/>
              <w:divBdr>
                <w:top w:val="none" w:sz="0" w:space="0" w:color="auto"/>
                <w:left w:val="none" w:sz="0" w:space="0" w:color="auto"/>
                <w:bottom w:val="none" w:sz="0" w:space="0" w:color="auto"/>
                <w:right w:val="none" w:sz="0" w:space="0" w:color="auto"/>
              </w:divBdr>
            </w:div>
            <w:div w:id="954602106">
              <w:marLeft w:val="0"/>
              <w:marRight w:val="0"/>
              <w:marTop w:val="0"/>
              <w:marBottom w:val="0"/>
              <w:divBdr>
                <w:top w:val="none" w:sz="0" w:space="0" w:color="auto"/>
                <w:left w:val="none" w:sz="0" w:space="0" w:color="auto"/>
                <w:bottom w:val="none" w:sz="0" w:space="0" w:color="auto"/>
                <w:right w:val="none" w:sz="0" w:space="0" w:color="auto"/>
              </w:divBdr>
            </w:div>
            <w:div w:id="1347295047">
              <w:marLeft w:val="0"/>
              <w:marRight w:val="0"/>
              <w:marTop w:val="0"/>
              <w:marBottom w:val="0"/>
              <w:divBdr>
                <w:top w:val="none" w:sz="0" w:space="0" w:color="auto"/>
                <w:left w:val="none" w:sz="0" w:space="0" w:color="auto"/>
                <w:bottom w:val="none" w:sz="0" w:space="0" w:color="auto"/>
                <w:right w:val="none" w:sz="0" w:space="0" w:color="auto"/>
              </w:divBdr>
            </w:div>
            <w:div w:id="465398387">
              <w:marLeft w:val="0"/>
              <w:marRight w:val="0"/>
              <w:marTop w:val="0"/>
              <w:marBottom w:val="0"/>
              <w:divBdr>
                <w:top w:val="none" w:sz="0" w:space="0" w:color="auto"/>
                <w:left w:val="none" w:sz="0" w:space="0" w:color="auto"/>
                <w:bottom w:val="none" w:sz="0" w:space="0" w:color="auto"/>
                <w:right w:val="none" w:sz="0" w:space="0" w:color="auto"/>
              </w:divBdr>
            </w:div>
            <w:div w:id="1617248994">
              <w:marLeft w:val="0"/>
              <w:marRight w:val="0"/>
              <w:marTop w:val="0"/>
              <w:marBottom w:val="0"/>
              <w:divBdr>
                <w:top w:val="none" w:sz="0" w:space="0" w:color="auto"/>
                <w:left w:val="none" w:sz="0" w:space="0" w:color="auto"/>
                <w:bottom w:val="none" w:sz="0" w:space="0" w:color="auto"/>
                <w:right w:val="none" w:sz="0" w:space="0" w:color="auto"/>
              </w:divBdr>
            </w:div>
            <w:div w:id="2053459706">
              <w:marLeft w:val="0"/>
              <w:marRight w:val="0"/>
              <w:marTop w:val="0"/>
              <w:marBottom w:val="0"/>
              <w:divBdr>
                <w:top w:val="none" w:sz="0" w:space="0" w:color="auto"/>
                <w:left w:val="none" w:sz="0" w:space="0" w:color="auto"/>
                <w:bottom w:val="none" w:sz="0" w:space="0" w:color="auto"/>
                <w:right w:val="none" w:sz="0" w:space="0" w:color="auto"/>
              </w:divBdr>
            </w:div>
            <w:div w:id="1757165342">
              <w:marLeft w:val="0"/>
              <w:marRight w:val="0"/>
              <w:marTop w:val="0"/>
              <w:marBottom w:val="0"/>
              <w:divBdr>
                <w:top w:val="none" w:sz="0" w:space="0" w:color="auto"/>
                <w:left w:val="none" w:sz="0" w:space="0" w:color="auto"/>
                <w:bottom w:val="none" w:sz="0" w:space="0" w:color="auto"/>
                <w:right w:val="none" w:sz="0" w:space="0" w:color="auto"/>
              </w:divBdr>
            </w:div>
            <w:div w:id="595098798">
              <w:marLeft w:val="0"/>
              <w:marRight w:val="0"/>
              <w:marTop w:val="0"/>
              <w:marBottom w:val="0"/>
              <w:divBdr>
                <w:top w:val="none" w:sz="0" w:space="0" w:color="auto"/>
                <w:left w:val="none" w:sz="0" w:space="0" w:color="auto"/>
                <w:bottom w:val="none" w:sz="0" w:space="0" w:color="auto"/>
                <w:right w:val="none" w:sz="0" w:space="0" w:color="auto"/>
              </w:divBdr>
            </w:div>
            <w:div w:id="1442142886">
              <w:marLeft w:val="0"/>
              <w:marRight w:val="0"/>
              <w:marTop w:val="0"/>
              <w:marBottom w:val="0"/>
              <w:divBdr>
                <w:top w:val="none" w:sz="0" w:space="0" w:color="auto"/>
                <w:left w:val="none" w:sz="0" w:space="0" w:color="auto"/>
                <w:bottom w:val="none" w:sz="0" w:space="0" w:color="auto"/>
                <w:right w:val="none" w:sz="0" w:space="0" w:color="auto"/>
              </w:divBdr>
            </w:div>
            <w:div w:id="777023466">
              <w:marLeft w:val="0"/>
              <w:marRight w:val="0"/>
              <w:marTop w:val="0"/>
              <w:marBottom w:val="0"/>
              <w:divBdr>
                <w:top w:val="none" w:sz="0" w:space="0" w:color="auto"/>
                <w:left w:val="none" w:sz="0" w:space="0" w:color="auto"/>
                <w:bottom w:val="none" w:sz="0" w:space="0" w:color="auto"/>
                <w:right w:val="none" w:sz="0" w:space="0" w:color="auto"/>
              </w:divBdr>
            </w:div>
            <w:div w:id="530073170">
              <w:marLeft w:val="0"/>
              <w:marRight w:val="0"/>
              <w:marTop w:val="0"/>
              <w:marBottom w:val="0"/>
              <w:divBdr>
                <w:top w:val="none" w:sz="0" w:space="0" w:color="auto"/>
                <w:left w:val="none" w:sz="0" w:space="0" w:color="auto"/>
                <w:bottom w:val="none" w:sz="0" w:space="0" w:color="auto"/>
                <w:right w:val="none" w:sz="0" w:space="0" w:color="auto"/>
              </w:divBdr>
            </w:div>
            <w:div w:id="1187673375">
              <w:marLeft w:val="0"/>
              <w:marRight w:val="0"/>
              <w:marTop w:val="0"/>
              <w:marBottom w:val="0"/>
              <w:divBdr>
                <w:top w:val="none" w:sz="0" w:space="0" w:color="auto"/>
                <w:left w:val="none" w:sz="0" w:space="0" w:color="auto"/>
                <w:bottom w:val="none" w:sz="0" w:space="0" w:color="auto"/>
                <w:right w:val="none" w:sz="0" w:space="0" w:color="auto"/>
              </w:divBdr>
            </w:div>
            <w:div w:id="1541553723">
              <w:marLeft w:val="0"/>
              <w:marRight w:val="0"/>
              <w:marTop w:val="0"/>
              <w:marBottom w:val="0"/>
              <w:divBdr>
                <w:top w:val="none" w:sz="0" w:space="0" w:color="auto"/>
                <w:left w:val="none" w:sz="0" w:space="0" w:color="auto"/>
                <w:bottom w:val="none" w:sz="0" w:space="0" w:color="auto"/>
                <w:right w:val="none" w:sz="0" w:space="0" w:color="auto"/>
              </w:divBdr>
            </w:div>
            <w:div w:id="1914968292">
              <w:marLeft w:val="0"/>
              <w:marRight w:val="0"/>
              <w:marTop w:val="0"/>
              <w:marBottom w:val="0"/>
              <w:divBdr>
                <w:top w:val="none" w:sz="0" w:space="0" w:color="auto"/>
                <w:left w:val="none" w:sz="0" w:space="0" w:color="auto"/>
                <w:bottom w:val="none" w:sz="0" w:space="0" w:color="auto"/>
                <w:right w:val="none" w:sz="0" w:space="0" w:color="auto"/>
              </w:divBdr>
            </w:div>
            <w:div w:id="61217421">
              <w:marLeft w:val="0"/>
              <w:marRight w:val="0"/>
              <w:marTop w:val="0"/>
              <w:marBottom w:val="0"/>
              <w:divBdr>
                <w:top w:val="none" w:sz="0" w:space="0" w:color="auto"/>
                <w:left w:val="none" w:sz="0" w:space="0" w:color="auto"/>
                <w:bottom w:val="none" w:sz="0" w:space="0" w:color="auto"/>
                <w:right w:val="none" w:sz="0" w:space="0" w:color="auto"/>
              </w:divBdr>
            </w:div>
            <w:div w:id="904414958">
              <w:marLeft w:val="0"/>
              <w:marRight w:val="0"/>
              <w:marTop w:val="0"/>
              <w:marBottom w:val="0"/>
              <w:divBdr>
                <w:top w:val="none" w:sz="0" w:space="0" w:color="auto"/>
                <w:left w:val="none" w:sz="0" w:space="0" w:color="auto"/>
                <w:bottom w:val="none" w:sz="0" w:space="0" w:color="auto"/>
                <w:right w:val="none" w:sz="0" w:space="0" w:color="auto"/>
              </w:divBdr>
            </w:div>
            <w:div w:id="1045331745">
              <w:marLeft w:val="0"/>
              <w:marRight w:val="0"/>
              <w:marTop w:val="0"/>
              <w:marBottom w:val="0"/>
              <w:divBdr>
                <w:top w:val="none" w:sz="0" w:space="0" w:color="auto"/>
                <w:left w:val="none" w:sz="0" w:space="0" w:color="auto"/>
                <w:bottom w:val="none" w:sz="0" w:space="0" w:color="auto"/>
                <w:right w:val="none" w:sz="0" w:space="0" w:color="auto"/>
              </w:divBdr>
            </w:div>
            <w:div w:id="1050377966">
              <w:marLeft w:val="0"/>
              <w:marRight w:val="0"/>
              <w:marTop w:val="0"/>
              <w:marBottom w:val="0"/>
              <w:divBdr>
                <w:top w:val="none" w:sz="0" w:space="0" w:color="auto"/>
                <w:left w:val="none" w:sz="0" w:space="0" w:color="auto"/>
                <w:bottom w:val="none" w:sz="0" w:space="0" w:color="auto"/>
                <w:right w:val="none" w:sz="0" w:space="0" w:color="auto"/>
              </w:divBdr>
            </w:div>
            <w:div w:id="370955204">
              <w:marLeft w:val="0"/>
              <w:marRight w:val="0"/>
              <w:marTop w:val="0"/>
              <w:marBottom w:val="0"/>
              <w:divBdr>
                <w:top w:val="none" w:sz="0" w:space="0" w:color="auto"/>
                <w:left w:val="none" w:sz="0" w:space="0" w:color="auto"/>
                <w:bottom w:val="none" w:sz="0" w:space="0" w:color="auto"/>
                <w:right w:val="none" w:sz="0" w:space="0" w:color="auto"/>
              </w:divBdr>
            </w:div>
            <w:div w:id="705105578">
              <w:marLeft w:val="0"/>
              <w:marRight w:val="0"/>
              <w:marTop w:val="0"/>
              <w:marBottom w:val="0"/>
              <w:divBdr>
                <w:top w:val="none" w:sz="0" w:space="0" w:color="auto"/>
                <w:left w:val="none" w:sz="0" w:space="0" w:color="auto"/>
                <w:bottom w:val="none" w:sz="0" w:space="0" w:color="auto"/>
                <w:right w:val="none" w:sz="0" w:space="0" w:color="auto"/>
              </w:divBdr>
            </w:div>
            <w:div w:id="386496476">
              <w:marLeft w:val="0"/>
              <w:marRight w:val="0"/>
              <w:marTop w:val="0"/>
              <w:marBottom w:val="0"/>
              <w:divBdr>
                <w:top w:val="none" w:sz="0" w:space="0" w:color="auto"/>
                <w:left w:val="none" w:sz="0" w:space="0" w:color="auto"/>
                <w:bottom w:val="none" w:sz="0" w:space="0" w:color="auto"/>
                <w:right w:val="none" w:sz="0" w:space="0" w:color="auto"/>
              </w:divBdr>
            </w:div>
            <w:div w:id="1727872374">
              <w:marLeft w:val="0"/>
              <w:marRight w:val="0"/>
              <w:marTop w:val="0"/>
              <w:marBottom w:val="0"/>
              <w:divBdr>
                <w:top w:val="none" w:sz="0" w:space="0" w:color="auto"/>
                <w:left w:val="none" w:sz="0" w:space="0" w:color="auto"/>
                <w:bottom w:val="none" w:sz="0" w:space="0" w:color="auto"/>
                <w:right w:val="none" w:sz="0" w:space="0" w:color="auto"/>
              </w:divBdr>
            </w:div>
            <w:div w:id="1961642642">
              <w:marLeft w:val="0"/>
              <w:marRight w:val="0"/>
              <w:marTop w:val="0"/>
              <w:marBottom w:val="0"/>
              <w:divBdr>
                <w:top w:val="none" w:sz="0" w:space="0" w:color="auto"/>
                <w:left w:val="none" w:sz="0" w:space="0" w:color="auto"/>
                <w:bottom w:val="none" w:sz="0" w:space="0" w:color="auto"/>
                <w:right w:val="none" w:sz="0" w:space="0" w:color="auto"/>
              </w:divBdr>
            </w:div>
            <w:div w:id="1734499860">
              <w:marLeft w:val="0"/>
              <w:marRight w:val="0"/>
              <w:marTop w:val="0"/>
              <w:marBottom w:val="0"/>
              <w:divBdr>
                <w:top w:val="none" w:sz="0" w:space="0" w:color="auto"/>
                <w:left w:val="none" w:sz="0" w:space="0" w:color="auto"/>
                <w:bottom w:val="none" w:sz="0" w:space="0" w:color="auto"/>
                <w:right w:val="none" w:sz="0" w:space="0" w:color="auto"/>
              </w:divBdr>
            </w:div>
            <w:div w:id="1337224358">
              <w:marLeft w:val="0"/>
              <w:marRight w:val="0"/>
              <w:marTop w:val="0"/>
              <w:marBottom w:val="0"/>
              <w:divBdr>
                <w:top w:val="none" w:sz="0" w:space="0" w:color="auto"/>
                <w:left w:val="none" w:sz="0" w:space="0" w:color="auto"/>
                <w:bottom w:val="none" w:sz="0" w:space="0" w:color="auto"/>
                <w:right w:val="none" w:sz="0" w:space="0" w:color="auto"/>
              </w:divBdr>
            </w:div>
            <w:div w:id="1406997534">
              <w:marLeft w:val="0"/>
              <w:marRight w:val="0"/>
              <w:marTop w:val="0"/>
              <w:marBottom w:val="0"/>
              <w:divBdr>
                <w:top w:val="none" w:sz="0" w:space="0" w:color="auto"/>
                <w:left w:val="none" w:sz="0" w:space="0" w:color="auto"/>
                <w:bottom w:val="none" w:sz="0" w:space="0" w:color="auto"/>
                <w:right w:val="none" w:sz="0" w:space="0" w:color="auto"/>
              </w:divBdr>
            </w:div>
            <w:div w:id="1074010017">
              <w:marLeft w:val="0"/>
              <w:marRight w:val="0"/>
              <w:marTop w:val="0"/>
              <w:marBottom w:val="0"/>
              <w:divBdr>
                <w:top w:val="none" w:sz="0" w:space="0" w:color="auto"/>
                <w:left w:val="none" w:sz="0" w:space="0" w:color="auto"/>
                <w:bottom w:val="none" w:sz="0" w:space="0" w:color="auto"/>
                <w:right w:val="none" w:sz="0" w:space="0" w:color="auto"/>
              </w:divBdr>
            </w:div>
            <w:div w:id="191306565">
              <w:marLeft w:val="0"/>
              <w:marRight w:val="0"/>
              <w:marTop w:val="0"/>
              <w:marBottom w:val="0"/>
              <w:divBdr>
                <w:top w:val="none" w:sz="0" w:space="0" w:color="auto"/>
                <w:left w:val="none" w:sz="0" w:space="0" w:color="auto"/>
                <w:bottom w:val="none" w:sz="0" w:space="0" w:color="auto"/>
                <w:right w:val="none" w:sz="0" w:space="0" w:color="auto"/>
              </w:divBdr>
            </w:div>
            <w:div w:id="931355515">
              <w:marLeft w:val="0"/>
              <w:marRight w:val="0"/>
              <w:marTop w:val="0"/>
              <w:marBottom w:val="0"/>
              <w:divBdr>
                <w:top w:val="none" w:sz="0" w:space="0" w:color="auto"/>
                <w:left w:val="none" w:sz="0" w:space="0" w:color="auto"/>
                <w:bottom w:val="none" w:sz="0" w:space="0" w:color="auto"/>
                <w:right w:val="none" w:sz="0" w:space="0" w:color="auto"/>
              </w:divBdr>
            </w:div>
            <w:div w:id="477958969">
              <w:marLeft w:val="0"/>
              <w:marRight w:val="0"/>
              <w:marTop w:val="0"/>
              <w:marBottom w:val="0"/>
              <w:divBdr>
                <w:top w:val="none" w:sz="0" w:space="0" w:color="auto"/>
                <w:left w:val="none" w:sz="0" w:space="0" w:color="auto"/>
                <w:bottom w:val="none" w:sz="0" w:space="0" w:color="auto"/>
                <w:right w:val="none" w:sz="0" w:space="0" w:color="auto"/>
              </w:divBdr>
            </w:div>
            <w:div w:id="86775197">
              <w:marLeft w:val="0"/>
              <w:marRight w:val="0"/>
              <w:marTop w:val="0"/>
              <w:marBottom w:val="0"/>
              <w:divBdr>
                <w:top w:val="none" w:sz="0" w:space="0" w:color="auto"/>
                <w:left w:val="none" w:sz="0" w:space="0" w:color="auto"/>
                <w:bottom w:val="none" w:sz="0" w:space="0" w:color="auto"/>
                <w:right w:val="none" w:sz="0" w:space="0" w:color="auto"/>
              </w:divBdr>
            </w:div>
            <w:div w:id="1176920337">
              <w:marLeft w:val="0"/>
              <w:marRight w:val="0"/>
              <w:marTop w:val="0"/>
              <w:marBottom w:val="0"/>
              <w:divBdr>
                <w:top w:val="none" w:sz="0" w:space="0" w:color="auto"/>
                <w:left w:val="none" w:sz="0" w:space="0" w:color="auto"/>
                <w:bottom w:val="none" w:sz="0" w:space="0" w:color="auto"/>
                <w:right w:val="none" w:sz="0" w:space="0" w:color="auto"/>
              </w:divBdr>
            </w:div>
            <w:div w:id="1577475858">
              <w:marLeft w:val="0"/>
              <w:marRight w:val="0"/>
              <w:marTop w:val="0"/>
              <w:marBottom w:val="0"/>
              <w:divBdr>
                <w:top w:val="none" w:sz="0" w:space="0" w:color="auto"/>
                <w:left w:val="none" w:sz="0" w:space="0" w:color="auto"/>
                <w:bottom w:val="none" w:sz="0" w:space="0" w:color="auto"/>
                <w:right w:val="none" w:sz="0" w:space="0" w:color="auto"/>
              </w:divBdr>
            </w:div>
            <w:div w:id="1259481516">
              <w:marLeft w:val="0"/>
              <w:marRight w:val="0"/>
              <w:marTop w:val="0"/>
              <w:marBottom w:val="0"/>
              <w:divBdr>
                <w:top w:val="none" w:sz="0" w:space="0" w:color="auto"/>
                <w:left w:val="none" w:sz="0" w:space="0" w:color="auto"/>
                <w:bottom w:val="none" w:sz="0" w:space="0" w:color="auto"/>
                <w:right w:val="none" w:sz="0" w:space="0" w:color="auto"/>
              </w:divBdr>
            </w:div>
            <w:div w:id="1029450209">
              <w:marLeft w:val="0"/>
              <w:marRight w:val="0"/>
              <w:marTop w:val="0"/>
              <w:marBottom w:val="0"/>
              <w:divBdr>
                <w:top w:val="none" w:sz="0" w:space="0" w:color="auto"/>
                <w:left w:val="none" w:sz="0" w:space="0" w:color="auto"/>
                <w:bottom w:val="none" w:sz="0" w:space="0" w:color="auto"/>
                <w:right w:val="none" w:sz="0" w:space="0" w:color="auto"/>
              </w:divBdr>
            </w:div>
            <w:div w:id="982849088">
              <w:marLeft w:val="0"/>
              <w:marRight w:val="0"/>
              <w:marTop w:val="0"/>
              <w:marBottom w:val="0"/>
              <w:divBdr>
                <w:top w:val="none" w:sz="0" w:space="0" w:color="auto"/>
                <w:left w:val="none" w:sz="0" w:space="0" w:color="auto"/>
                <w:bottom w:val="none" w:sz="0" w:space="0" w:color="auto"/>
                <w:right w:val="none" w:sz="0" w:space="0" w:color="auto"/>
              </w:divBdr>
            </w:div>
            <w:div w:id="619410454">
              <w:marLeft w:val="0"/>
              <w:marRight w:val="0"/>
              <w:marTop w:val="0"/>
              <w:marBottom w:val="0"/>
              <w:divBdr>
                <w:top w:val="none" w:sz="0" w:space="0" w:color="auto"/>
                <w:left w:val="none" w:sz="0" w:space="0" w:color="auto"/>
                <w:bottom w:val="none" w:sz="0" w:space="0" w:color="auto"/>
                <w:right w:val="none" w:sz="0" w:space="0" w:color="auto"/>
              </w:divBdr>
            </w:div>
            <w:div w:id="457795588">
              <w:marLeft w:val="0"/>
              <w:marRight w:val="0"/>
              <w:marTop w:val="0"/>
              <w:marBottom w:val="0"/>
              <w:divBdr>
                <w:top w:val="none" w:sz="0" w:space="0" w:color="auto"/>
                <w:left w:val="none" w:sz="0" w:space="0" w:color="auto"/>
                <w:bottom w:val="none" w:sz="0" w:space="0" w:color="auto"/>
                <w:right w:val="none" w:sz="0" w:space="0" w:color="auto"/>
              </w:divBdr>
            </w:div>
            <w:div w:id="2053381241">
              <w:marLeft w:val="0"/>
              <w:marRight w:val="0"/>
              <w:marTop w:val="0"/>
              <w:marBottom w:val="0"/>
              <w:divBdr>
                <w:top w:val="none" w:sz="0" w:space="0" w:color="auto"/>
                <w:left w:val="none" w:sz="0" w:space="0" w:color="auto"/>
                <w:bottom w:val="none" w:sz="0" w:space="0" w:color="auto"/>
                <w:right w:val="none" w:sz="0" w:space="0" w:color="auto"/>
              </w:divBdr>
            </w:div>
            <w:div w:id="1892036692">
              <w:marLeft w:val="0"/>
              <w:marRight w:val="0"/>
              <w:marTop w:val="0"/>
              <w:marBottom w:val="0"/>
              <w:divBdr>
                <w:top w:val="none" w:sz="0" w:space="0" w:color="auto"/>
                <w:left w:val="none" w:sz="0" w:space="0" w:color="auto"/>
                <w:bottom w:val="none" w:sz="0" w:space="0" w:color="auto"/>
                <w:right w:val="none" w:sz="0" w:space="0" w:color="auto"/>
              </w:divBdr>
            </w:div>
            <w:div w:id="243996922">
              <w:marLeft w:val="0"/>
              <w:marRight w:val="0"/>
              <w:marTop w:val="0"/>
              <w:marBottom w:val="0"/>
              <w:divBdr>
                <w:top w:val="none" w:sz="0" w:space="0" w:color="auto"/>
                <w:left w:val="none" w:sz="0" w:space="0" w:color="auto"/>
                <w:bottom w:val="none" w:sz="0" w:space="0" w:color="auto"/>
                <w:right w:val="none" w:sz="0" w:space="0" w:color="auto"/>
              </w:divBdr>
            </w:div>
            <w:div w:id="1133714627">
              <w:marLeft w:val="0"/>
              <w:marRight w:val="0"/>
              <w:marTop w:val="0"/>
              <w:marBottom w:val="0"/>
              <w:divBdr>
                <w:top w:val="none" w:sz="0" w:space="0" w:color="auto"/>
                <w:left w:val="none" w:sz="0" w:space="0" w:color="auto"/>
                <w:bottom w:val="none" w:sz="0" w:space="0" w:color="auto"/>
                <w:right w:val="none" w:sz="0" w:space="0" w:color="auto"/>
              </w:divBdr>
            </w:div>
            <w:div w:id="1874532395">
              <w:marLeft w:val="0"/>
              <w:marRight w:val="0"/>
              <w:marTop w:val="0"/>
              <w:marBottom w:val="0"/>
              <w:divBdr>
                <w:top w:val="none" w:sz="0" w:space="0" w:color="auto"/>
                <w:left w:val="none" w:sz="0" w:space="0" w:color="auto"/>
                <w:bottom w:val="none" w:sz="0" w:space="0" w:color="auto"/>
                <w:right w:val="none" w:sz="0" w:space="0" w:color="auto"/>
              </w:divBdr>
            </w:div>
            <w:div w:id="783698497">
              <w:marLeft w:val="0"/>
              <w:marRight w:val="0"/>
              <w:marTop w:val="0"/>
              <w:marBottom w:val="0"/>
              <w:divBdr>
                <w:top w:val="none" w:sz="0" w:space="0" w:color="auto"/>
                <w:left w:val="none" w:sz="0" w:space="0" w:color="auto"/>
                <w:bottom w:val="none" w:sz="0" w:space="0" w:color="auto"/>
                <w:right w:val="none" w:sz="0" w:space="0" w:color="auto"/>
              </w:divBdr>
            </w:div>
            <w:div w:id="1215897717">
              <w:marLeft w:val="0"/>
              <w:marRight w:val="0"/>
              <w:marTop w:val="0"/>
              <w:marBottom w:val="0"/>
              <w:divBdr>
                <w:top w:val="none" w:sz="0" w:space="0" w:color="auto"/>
                <w:left w:val="none" w:sz="0" w:space="0" w:color="auto"/>
                <w:bottom w:val="none" w:sz="0" w:space="0" w:color="auto"/>
                <w:right w:val="none" w:sz="0" w:space="0" w:color="auto"/>
              </w:divBdr>
            </w:div>
            <w:div w:id="1001275528">
              <w:marLeft w:val="0"/>
              <w:marRight w:val="0"/>
              <w:marTop w:val="0"/>
              <w:marBottom w:val="0"/>
              <w:divBdr>
                <w:top w:val="none" w:sz="0" w:space="0" w:color="auto"/>
                <w:left w:val="none" w:sz="0" w:space="0" w:color="auto"/>
                <w:bottom w:val="none" w:sz="0" w:space="0" w:color="auto"/>
                <w:right w:val="none" w:sz="0" w:space="0" w:color="auto"/>
              </w:divBdr>
            </w:div>
            <w:div w:id="777871829">
              <w:marLeft w:val="0"/>
              <w:marRight w:val="0"/>
              <w:marTop w:val="0"/>
              <w:marBottom w:val="0"/>
              <w:divBdr>
                <w:top w:val="none" w:sz="0" w:space="0" w:color="auto"/>
                <w:left w:val="none" w:sz="0" w:space="0" w:color="auto"/>
                <w:bottom w:val="none" w:sz="0" w:space="0" w:color="auto"/>
                <w:right w:val="none" w:sz="0" w:space="0" w:color="auto"/>
              </w:divBdr>
            </w:div>
            <w:div w:id="1304655054">
              <w:marLeft w:val="0"/>
              <w:marRight w:val="0"/>
              <w:marTop w:val="0"/>
              <w:marBottom w:val="0"/>
              <w:divBdr>
                <w:top w:val="none" w:sz="0" w:space="0" w:color="auto"/>
                <w:left w:val="none" w:sz="0" w:space="0" w:color="auto"/>
                <w:bottom w:val="none" w:sz="0" w:space="0" w:color="auto"/>
                <w:right w:val="none" w:sz="0" w:space="0" w:color="auto"/>
              </w:divBdr>
            </w:div>
            <w:div w:id="539704472">
              <w:marLeft w:val="0"/>
              <w:marRight w:val="0"/>
              <w:marTop w:val="0"/>
              <w:marBottom w:val="0"/>
              <w:divBdr>
                <w:top w:val="none" w:sz="0" w:space="0" w:color="auto"/>
                <w:left w:val="none" w:sz="0" w:space="0" w:color="auto"/>
                <w:bottom w:val="none" w:sz="0" w:space="0" w:color="auto"/>
                <w:right w:val="none" w:sz="0" w:space="0" w:color="auto"/>
              </w:divBdr>
            </w:div>
            <w:div w:id="882790337">
              <w:marLeft w:val="0"/>
              <w:marRight w:val="0"/>
              <w:marTop w:val="0"/>
              <w:marBottom w:val="0"/>
              <w:divBdr>
                <w:top w:val="none" w:sz="0" w:space="0" w:color="auto"/>
                <w:left w:val="none" w:sz="0" w:space="0" w:color="auto"/>
                <w:bottom w:val="none" w:sz="0" w:space="0" w:color="auto"/>
                <w:right w:val="none" w:sz="0" w:space="0" w:color="auto"/>
              </w:divBdr>
            </w:div>
            <w:div w:id="755133757">
              <w:marLeft w:val="0"/>
              <w:marRight w:val="0"/>
              <w:marTop w:val="0"/>
              <w:marBottom w:val="0"/>
              <w:divBdr>
                <w:top w:val="none" w:sz="0" w:space="0" w:color="auto"/>
                <w:left w:val="none" w:sz="0" w:space="0" w:color="auto"/>
                <w:bottom w:val="none" w:sz="0" w:space="0" w:color="auto"/>
                <w:right w:val="none" w:sz="0" w:space="0" w:color="auto"/>
              </w:divBdr>
            </w:div>
            <w:div w:id="1408990449">
              <w:marLeft w:val="0"/>
              <w:marRight w:val="0"/>
              <w:marTop w:val="0"/>
              <w:marBottom w:val="0"/>
              <w:divBdr>
                <w:top w:val="none" w:sz="0" w:space="0" w:color="auto"/>
                <w:left w:val="none" w:sz="0" w:space="0" w:color="auto"/>
                <w:bottom w:val="none" w:sz="0" w:space="0" w:color="auto"/>
                <w:right w:val="none" w:sz="0" w:space="0" w:color="auto"/>
              </w:divBdr>
            </w:div>
            <w:div w:id="1411073667">
              <w:marLeft w:val="0"/>
              <w:marRight w:val="0"/>
              <w:marTop w:val="0"/>
              <w:marBottom w:val="0"/>
              <w:divBdr>
                <w:top w:val="none" w:sz="0" w:space="0" w:color="auto"/>
                <w:left w:val="none" w:sz="0" w:space="0" w:color="auto"/>
                <w:bottom w:val="none" w:sz="0" w:space="0" w:color="auto"/>
                <w:right w:val="none" w:sz="0" w:space="0" w:color="auto"/>
              </w:divBdr>
            </w:div>
            <w:div w:id="1049303025">
              <w:marLeft w:val="0"/>
              <w:marRight w:val="0"/>
              <w:marTop w:val="0"/>
              <w:marBottom w:val="0"/>
              <w:divBdr>
                <w:top w:val="none" w:sz="0" w:space="0" w:color="auto"/>
                <w:left w:val="none" w:sz="0" w:space="0" w:color="auto"/>
                <w:bottom w:val="none" w:sz="0" w:space="0" w:color="auto"/>
                <w:right w:val="none" w:sz="0" w:space="0" w:color="auto"/>
              </w:divBdr>
            </w:div>
            <w:div w:id="1989942769">
              <w:marLeft w:val="0"/>
              <w:marRight w:val="0"/>
              <w:marTop w:val="0"/>
              <w:marBottom w:val="0"/>
              <w:divBdr>
                <w:top w:val="none" w:sz="0" w:space="0" w:color="auto"/>
                <w:left w:val="none" w:sz="0" w:space="0" w:color="auto"/>
                <w:bottom w:val="none" w:sz="0" w:space="0" w:color="auto"/>
                <w:right w:val="none" w:sz="0" w:space="0" w:color="auto"/>
              </w:divBdr>
            </w:div>
            <w:div w:id="943464675">
              <w:marLeft w:val="0"/>
              <w:marRight w:val="0"/>
              <w:marTop w:val="0"/>
              <w:marBottom w:val="0"/>
              <w:divBdr>
                <w:top w:val="none" w:sz="0" w:space="0" w:color="auto"/>
                <w:left w:val="none" w:sz="0" w:space="0" w:color="auto"/>
                <w:bottom w:val="none" w:sz="0" w:space="0" w:color="auto"/>
                <w:right w:val="none" w:sz="0" w:space="0" w:color="auto"/>
              </w:divBdr>
            </w:div>
            <w:div w:id="993753611">
              <w:marLeft w:val="0"/>
              <w:marRight w:val="0"/>
              <w:marTop w:val="0"/>
              <w:marBottom w:val="0"/>
              <w:divBdr>
                <w:top w:val="none" w:sz="0" w:space="0" w:color="auto"/>
                <w:left w:val="none" w:sz="0" w:space="0" w:color="auto"/>
                <w:bottom w:val="none" w:sz="0" w:space="0" w:color="auto"/>
                <w:right w:val="none" w:sz="0" w:space="0" w:color="auto"/>
              </w:divBdr>
            </w:div>
            <w:div w:id="432019085">
              <w:marLeft w:val="0"/>
              <w:marRight w:val="0"/>
              <w:marTop w:val="0"/>
              <w:marBottom w:val="0"/>
              <w:divBdr>
                <w:top w:val="none" w:sz="0" w:space="0" w:color="auto"/>
                <w:left w:val="none" w:sz="0" w:space="0" w:color="auto"/>
                <w:bottom w:val="none" w:sz="0" w:space="0" w:color="auto"/>
                <w:right w:val="none" w:sz="0" w:space="0" w:color="auto"/>
              </w:divBdr>
            </w:div>
            <w:div w:id="547644065">
              <w:marLeft w:val="0"/>
              <w:marRight w:val="0"/>
              <w:marTop w:val="0"/>
              <w:marBottom w:val="0"/>
              <w:divBdr>
                <w:top w:val="none" w:sz="0" w:space="0" w:color="auto"/>
                <w:left w:val="none" w:sz="0" w:space="0" w:color="auto"/>
                <w:bottom w:val="none" w:sz="0" w:space="0" w:color="auto"/>
                <w:right w:val="none" w:sz="0" w:space="0" w:color="auto"/>
              </w:divBdr>
            </w:div>
            <w:div w:id="1318802621">
              <w:marLeft w:val="0"/>
              <w:marRight w:val="0"/>
              <w:marTop w:val="0"/>
              <w:marBottom w:val="0"/>
              <w:divBdr>
                <w:top w:val="none" w:sz="0" w:space="0" w:color="auto"/>
                <w:left w:val="none" w:sz="0" w:space="0" w:color="auto"/>
                <w:bottom w:val="none" w:sz="0" w:space="0" w:color="auto"/>
                <w:right w:val="none" w:sz="0" w:space="0" w:color="auto"/>
              </w:divBdr>
            </w:div>
            <w:div w:id="2080057285">
              <w:marLeft w:val="0"/>
              <w:marRight w:val="0"/>
              <w:marTop w:val="0"/>
              <w:marBottom w:val="0"/>
              <w:divBdr>
                <w:top w:val="none" w:sz="0" w:space="0" w:color="auto"/>
                <w:left w:val="none" w:sz="0" w:space="0" w:color="auto"/>
                <w:bottom w:val="none" w:sz="0" w:space="0" w:color="auto"/>
                <w:right w:val="none" w:sz="0" w:space="0" w:color="auto"/>
              </w:divBdr>
            </w:div>
            <w:div w:id="1070882527">
              <w:marLeft w:val="0"/>
              <w:marRight w:val="0"/>
              <w:marTop w:val="0"/>
              <w:marBottom w:val="0"/>
              <w:divBdr>
                <w:top w:val="none" w:sz="0" w:space="0" w:color="auto"/>
                <w:left w:val="none" w:sz="0" w:space="0" w:color="auto"/>
                <w:bottom w:val="none" w:sz="0" w:space="0" w:color="auto"/>
                <w:right w:val="none" w:sz="0" w:space="0" w:color="auto"/>
              </w:divBdr>
            </w:div>
            <w:div w:id="1167668391">
              <w:marLeft w:val="0"/>
              <w:marRight w:val="0"/>
              <w:marTop w:val="0"/>
              <w:marBottom w:val="0"/>
              <w:divBdr>
                <w:top w:val="none" w:sz="0" w:space="0" w:color="auto"/>
                <w:left w:val="none" w:sz="0" w:space="0" w:color="auto"/>
                <w:bottom w:val="none" w:sz="0" w:space="0" w:color="auto"/>
                <w:right w:val="none" w:sz="0" w:space="0" w:color="auto"/>
              </w:divBdr>
            </w:div>
            <w:div w:id="1963995871">
              <w:marLeft w:val="0"/>
              <w:marRight w:val="0"/>
              <w:marTop w:val="0"/>
              <w:marBottom w:val="0"/>
              <w:divBdr>
                <w:top w:val="none" w:sz="0" w:space="0" w:color="auto"/>
                <w:left w:val="none" w:sz="0" w:space="0" w:color="auto"/>
                <w:bottom w:val="none" w:sz="0" w:space="0" w:color="auto"/>
                <w:right w:val="none" w:sz="0" w:space="0" w:color="auto"/>
              </w:divBdr>
            </w:div>
            <w:div w:id="678895194">
              <w:marLeft w:val="0"/>
              <w:marRight w:val="0"/>
              <w:marTop w:val="0"/>
              <w:marBottom w:val="0"/>
              <w:divBdr>
                <w:top w:val="none" w:sz="0" w:space="0" w:color="auto"/>
                <w:left w:val="none" w:sz="0" w:space="0" w:color="auto"/>
                <w:bottom w:val="none" w:sz="0" w:space="0" w:color="auto"/>
                <w:right w:val="none" w:sz="0" w:space="0" w:color="auto"/>
              </w:divBdr>
            </w:div>
            <w:div w:id="1762752283">
              <w:marLeft w:val="0"/>
              <w:marRight w:val="0"/>
              <w:marTop w:val="0"/>
              <w:marBottom w:val="0"/>
              <w:divBdr>
                <w:top w:val="none" w:sz="0" w:space="0" w:color="auto"/>
                <w:left w:val="none" w:sz="0" w:space="0" w:color="auto"/>
                <w:bottom w:val="none" w:sz="0" w:space="0" w:color="auto"/>
                <w:right w:val="none" w:sz="0" w:space="0" w:color="auto"/>
              </w:divBdr>
            </w:div>
            <w:div w:id="1868835032">
              <w:marLeft w:val="0"/>
              <w:marRight w:val="0"/>
              <w:marTop w:val="0"/>
              <w:marBottom w:val="0"/>
              <w:divBdr>
                <w:top w:val="none" w:sz="0" w:space="0" w:color="auto"/>
                <w:left w:val="none" w:sz="0" w:space="0" w:color="auto"/>
                <w:bottom w:val="none" w:sz="0" w:space="0" w:color="auto"/>
                <w:right w:val="none" w:sz="0" w:space="0" w:color="auto"/>
              </w:divBdr>
            </w:div>
            <w:div w:id="2143963257">
              <w:marLeft w:val="0"/>
              <w:marRight w:val="0"/>
              <w:marTop w:val="0"/>
              <w:marBottom w:val="0"/>
              <w:divBdr>
                <w:top w:val="none" w:sz="0" w:space="0" w:color="auto"/>
                <w:left w:val="none" w:sz="0" w:space="0" w:color="auto"/>
                <w:bottom w:val="none" w:sz="0" w:space="0" w:color="auto"/>
                <w:right w:val="none" w:sz="0" w:space="0" w:color="auto"/>
              </w:divBdr>
            </w:div>
            <w:div w:id="1773478990">
              <w:marLeft w:val="0"/>
              <w:marRight w:val="0"/>
              <w:marTop w:val="0"/>
              <w:marBottom w:val="0"/>
              <w:divBdr>
                <w:top w:val="none" w:sz="0" w:space="0" w:color="auto"/>
                <w:left w:val="none" w:sz="0" w:space="0" w:color="auto"/>
                <w:bottom w:val="none" w:sz="0" w:space="0" w:color="auto"/>
                <w:right w:val="none" w:sz="0" w:space="0" w:color="auto"/>
              </w:divBdr>
            </w:div>
            <w:div w:id="1380592838">
              <w:marLeft w:val="0"/>
              <w:marRight w:val="0"/>
              <w:marTop w:val="0"/>
              <w:marBottom w:val="0"/>
              <w:divBdr>
                <w:top w:val="none" w:sz="0" w:space="0" w:color="auto"/>
                <w:left w:val="none" w:sz="0" w:space="0" w:color="auto"/>
                <w:bottom w:val="none" w:sz="0" w:space="0" w:color="auto"/>
                <w:right w:val="none" w:sz="0" w:space="0" w:color="auto"/>
              </w:divBdr>
            </w:div>
            <w:div w:id="1077216661">
              <w:marLeft w:val="0"/>
              <w:marRight w:val="0"/>
              <w:marTop w:val="0"/>
              <w:marBottom w:val="0"/>
              <w:divBdr>
                <w:top w:val="none" w:sz="0" w:space="0" w:color="auto"/>
                <w:left w:val="none" w:sz="0" w:space="0" w:color="auto"/>
                <w:bottom w:val="none" w:sz="0" w:space="0" w:color="auto"/>
                <w:right w:val="none" w:sz="0" w:space="0" w:color="auto"/>
              </w:divBdr>
            </w:div>
            <w:div w:id="750199787">
              <w:marLeft w:val="0"/>
              <w:marRight w:val="0"/>
              <w:marTop w:val="0"/>
              <w:marBottom w:val="0"/>
              <w:divBdr>
                <w:top w:val="none" w:sz="0" w:space="0" w:color="auto"/>
                <w:left w:val="none" w:sz="0" w:space="0" w:color="auto"/>
                <w:bottom w:val="none" w:sz="0" w:space="0" w:color="auto"/>
                <w:right w:val="none" w:sz="0" w:space="0" w:color="auto"/>
              </w:divBdr>
            </w:div>
            <w:div w:id="2009749258">
              <w:marLeft w:val="0"/>
              <w:marRight w:val="0"/>
              <w:marTop w:val="0"/>
              <w:marBottom w:val="0"/>
              <w:divBdr>
                <w:top w:val="none" w:sz="0" w:space="0" w:color="auto"/>
                <w:left w:val="none" w:sz="0" w:space="0" w:color="auto"/>
                <w:bottom w:val="none" w:sz="0" w:space="0" w:color="auto"/>
                <w:right w:val="none" w:sz="0" w:space="0" w:color="auto"/>
              </w:divBdr>
            </w:div>
            <w:div w:id="1270041396">
              <w:marLeft w:val="0"/>
              <w:marRight w:val="0"/>
              <w:marTop w:val="0"/>
              <w:marBottom w:val="0"/>
              <w:divBdr>
                <w:top w:val="none" w:sz="0" w:space="0" w:color="auto"/>
                <w:left w:val="none" w:sz="0" w:space="0" w:color="auto"/>
                <w:bottom w:val="none" w:sz="0" w:space="0" w:color="auto"/>
                <w:right w:val="none" w:sz="0" w:space="0" w:color="auto"/>
              </w:divBdr>
            </w:div>
            <w:div w:id="972297992">
              <w:marLeft w:val="0"/>
              <w:marRight w:val="0"/>
              <w:marTop w:val="0"/>
              <w:marBottom w:val="0"/>
              <w:divBdr>
                <w:top w:val="none" w:sz="0" w:space="0" w:color="auto"/>
                <w:left w:val="none" w:sz="0" w:space="0" w:color="auto"/>
                <w:bottom w:val="none" w:sz="0" w:space="0" w:color="auto"/>
                <w:right w:val="none" w:sz="0" w:space="0" w:color="auto"/>
              </w:divBdr>
            </w:div>
            <w:div w:id="551505306">
              <w:marLeft w:val="0"/>
              <w:marRight w:val="0"/>
              <w:marTop w:val="0"/>
              <w:marBottom w:val="0"/>
              <w:divBdr>
                <w:top w:val="none" w:sz="0" w:space="0" w:color="auto"/>
                <w:left w:val="none" w:sz="0" w:space="0" w:color="auto"/>
                <w:bottom w:val="none" w:sz="0" w:space="0" w:color="auto"/>
                <w:right w:val="none" w:sz="0" w:space="0" w:color="auto"/>
              </w:divBdr>
            </w:div>
            <w:div w:id="763843606">
              <w:marLeft w:val="0"/>
              <w:marRight w:val="0"/>
              <w:marTop w:val="0"/>
              <w:marBottom w:val="0"/>
              <w:divBdr>
                <w:top w:val="none" w:sz="0" w:space="0" w:color="auto"/>
                <w:left w:val="none" w:sz="0" w:space="0" w:color="auto"/>
                <w:bottom w:val="none" w:sz="0" w:space="0" w:color="auto"/>
                <w:right w:val="none" w:sz="0" w:space="0" w:color="auto"/>
              </w:divBdr>
            </w:div>
            <w:div w:id="1917587066">
              <w:marLeft w:val="0"/>
              <w:marRight w:val="0"/>
              <w:marTop w:val="0"/>
              <w:marBottom w:val="0"/>
              <w:divBdr>
                <w:top w:val="none" w:sz="0" w:space="0" w:color="auto"/>
                <w:left w:val="none" w:sz="0" w:space="0" w:color="auto"/>
                <w:bottom w:val="none" w:sz="0" w:space="0" w:color="auto"/>
                <w:right w:val="none" w:sz="0" w:space="0" w:color="auto"/>
              </w:divBdr>
            </w:div>
            <w:div w:id="1867714870">
              <w:marLeft w:val="0"/>
              <w:marRight w:val="0"/>
              <w:marTop w:val="0"/>
              <w:marBottom w:val="0"/>
              <w:divBdr>
                <w:top w:val="none" w:sz="0" w:space="0" w:color="auto"/>
                <w:left w:val="none" w:sz="0" w:space="0" w:color="auto"/>
                <w:bottom w:val="none" w:sz="0" w:space="0" w:color="auto"/>
                <w:right w:val="none" w:sz="0" w:space="0" w:color="auto"/>
              </w:divBdr>
            </w:div>
            <w:div w:id="1655142260">
              <w:marLeft w:val="0"/>
              <w:marRight w:val="0"/>
              <w:marTop w:val="0"/>
              <w:marBottom w:val="0"/>
              <w:divBdr>
                <w:top w:val="none" w:sz="0" w:space="0" w:color="auto"/>
                <w:left w:val="none" w:sz="0" w:space="0" w:color="auto"/>
                <w:bottom w:val="none" w:sz="0" w:space="0" w:color="auto"/>
                <w:right w:val="none" w:sz="0" w:space="0" w:color="auto"/>
              </w:divBdr>
            </w:div>
            <w:div w:id="1113207488">
              <w:marLeft w:val="0"/>
              <w:marRight w:val="0"/>
              <w:marTop w:val="0"/>
              <w:marBottom w:val="0"/>
              <w:divBdr>
                <w:top w:val="none" w:sz="0" w:space="0" w:color="auto"/>
                <w:left w:val="none" w:sz="0" w:space="0" w:color="auto"/>
                <w:bottom w:val="none" w:sz="0" w:space="0" w:color="auto"/>
                <w:right w:val="none" w:sz="0" w:space="0" w:color="auto"/>
              </w:divBdr>
            </w:div>
            <w:div w:id="2048335836">
              <w:marLeft w:val="0"/>
              <w:marRight w:val="0"/>
              <w:marTop w:val="0"/>
              <w:marBottom w:val="0"/>
              <w:divBdr>
                <w:top w:val="none" w:sz="0" w:space="0" w:color="auto"/>
                <w:left w:val="none" w:sz="0" w:space="0" w:color="auto"/>
                <w:bottom w:val="none" w:sz="0" w:space="0" w:color="auto"/>
                <w:right w:val="none" w:sz="0" w:space="0" w:color="auto"/>
              </w:divBdr>
            </w:div>
            <w:div w:id="1053694975">
              <w:marLeft w:val="0"/>
              <w:marRight w:val="0"/>
              <w:marTop w:val="0"/>
              <w:marBottom w:val="0"/>
              <w:divBdr>
                <w:top w:val="none" w:sz="0" w:space="0" w:color="auto"/>
                <w:left w:val="none" w:sz="0" w:space="0" w:color="auto"/>
                <w:bottom w:val="none" w:sz="0" w:space="0" w:color="auto"/>
                <w:right w:val="none" w:sz="0" w:space="0" w:color="auto"/>
              </w:divBdr>
            </w:div>
            <w:div w:id="372315445">
              <w:marLeft w:val="0"/>
              <w:marRight w:val="0"/>
              <w:marTop w:val="0"/>
              <w:marBottom w:val="0"/>
              <w:divBdr>
                <w:top w:val="none" w:sz="0" w:space="0" w:color="auto"/>
                <w:left w:val="none" w:sz="0" w:space="0" w:color="auto"/>
                <w:bottom w:val="none" w:sz="0" w:space="0" w:color="auto"/>
                <w:right w:val="none" w:sz="0" w:space="0" w:color="auto"/>
              </w:divBdr>
            </w:div>
            <w:div w:id="745031499">
              <w:marLeft w:val="0"/>
              <w:marRight w:val="0"/>
              <w:marTop w:val="0"/>
              <w:marBottom w:val="0"/>
              <w:divBdr>
                <w:top w:val="none" w:sz="0" w:space="0" w:color="auto"/>
                <w:left w:val="none" w:sz="0" w:space="0" w:color="auto"/>
                <w:bottom w:val="none" w:sz="0" w:space="0" w:color="auto"/>
                <w:right w:val="none" w:sz="0" w:space="0" w:color="auto"/>
              </w:divBdr>
            </w:div>
            <w:div w:id="850411019">
              <w:marLeft w:val="0"/>
              <w:marRight w:val="0"/>
              <w:marTop w:val="0"/>
              <w:marBottom w:val="0"/>
              <w:divBdr>
                <w:top w:val="none" w:sz="0" w:space="0" w:color="auto"/>
                <w:left w:val="none" w:sz="0" w:space="0" w:color="auto"/>
                <w:bottom w:val="none" w:sz="0" w:space="0" w:color="auto"/>
                <w:right w:val="none" w:sz="0" w:space="0" w:color="auto"/>
              </w:divBdr>
            </w:div>
            <w:div w:id="1072311496">
              <w:marLeft w:val="0"/>
              <w:marRight w:val="0"/>
              <w:marTop w:val="0"/>
              <w:marBottom w:val="0"/>
              <w:divBdr>
                <w:top w:val="none" w:sz="0" w:space="0" w:color="auto"/>
                <w:left w:val="none" w:sz="0" w:space="0" w:color="auto"/>
                <w:bottom w:val="none" w:sz="0" w:space="0" w:color="auto"/>
                <w:right w:val="none" w:sz="0" w:space="0" w:color="auto"/>
              </w:divBdr>
            </w:div>
            <w:div w:id="2052535311">
              <w:marLeft w:val="0"/>
              <w:marRight w:val="0"/>
              <w:marTop w:val="0"/>
              <w:marBottom w:val="0"/>
              <w:divBdr>
                <w:top w:val="none" w:sz="0" w:space="0" w:color="auto"/>
                <w:left w:val="none" w:sz="0" w:space="0" w:color="auto"/>
                <w:bottom w:val="none" w:sz="0" w:space="0" w:color="auto"/>
                <w:right w:val="none" w:sz="0" w:space="0" w:color="auto"/>
              </w:divBdr>
            </w:div>
            <w:div w:id="1238171942">
              <w:marLeft w:val="0"/>
              <w:marRight w:val="0"/>
              <w:marTop w:val="0"/>
              <w:marBottom w:val="0"/>
              <w:divBdr>
                <w:top w:val="none" w:sz="0" w:space="0" w:color="auto"/>
                <w:left w:val="none" w:sz="0" w:space="0" w:color="auto"/>
                <w:bottom w:val="none" w:sz="0" w:space="0" w:color="auto"/>
                <w:right w:val="none" w:sz="0" w:space="0" w:color="auto"/>
              </w:divBdr>
            </w:div>
            <w:div w:id="367995624">
              <w:marLeft w:val="0"/>
              <w:marRight w:val="0"/>
              <w:marTop w:val="0"/>
              <w:marBottom w:val="0"/>
              <w:divBdr>
                <w:top w:val="none" w:sz="0" w:space="0" w:color="auto"/>
                <w:left w:val="none" w:sz="0" w:space="0" w:color="auto"/>
                <w:bottom w:val="none" w:sz="0" w:space="0" w:color="auto"/>
                <w:right w:val="none" w:sz="0" w:space="0" w:color="auto"/>
              </w:divBdr>
            </w:div>
            <w:div w:id="294021103">
              <w:marLeft w:val="0"/>
              <w:marRight w:val="0"/>
              <w:marTop w:val="0"/>
              <w:marBottom w:val="0"/>
              <w:divBdr>
                <w:top w:val="none" w:sz="0" w:space="0" w:color="auto"/>
                <w:left w:val="none" w:sz="0" w:space="0" w:color="auto"/>
                <w:bottom w:val="none" w:sz="0" w:space="0" w:color="auto"/>
                <w:right w:val="none" w:sz="0" w:space="0" w:color="auto"/>
              </w:divBdr>
            </w:div>
            <w:div w:id="1473139305">
              <w:marLeft w:val="0"/>
              <w:marRight w:val="0"/>
              <w:marTop w:val="0"/>
              <w:marBottom w:val="0"/>
              <w:divBdr>
                <w:top w:val="none" w:sz="0" w:space="0" w:color="auto"/>
                <w:left w:val="none" w:sz="0" w:space="0" w:color="auto"/>
                <w:bottom w:val="none" w:sz="0" w:space="0" w:color="auto"/>
                <w:right w:val="none" w:sz="0" w:space="0" w:color="auto"/>
              </w:divBdr>
            </w:div>
            <w:div w:id="634529045">
              <w:marLeft w:val="0"/>
              <w:marRight w:val="0"/>
              <w:marTop w:val="0"/>
              <w:marBottom w:val="0"/>
              <w:divBdr>
                <w:top w:val="none" w:sz="0" w:space="0" w:color="auto"/>
                <w:left w:val="none" w:sz="0" w:space="0" w:color="auto"/>
                <w:bottom w:val="none" w:sz="0" w:space="0" w:color="auto"/>
                <w:right w:val="none" w:sz="0" w:space="0" w:color="auto"/>
              </w:divBdr>
            </w:div>
            <w:div w:id="551158063">
              <w:marLeft w:val="0"/>
              <w:marRight w:val="0"/>
              <w:marTop w:val="0"/>
              <w:marBottom w:val="0"/>
              <w:divBdr>
                <w:top w:val="none" w:sz="0" w:space="0" w:color="auto"/>
                <w:left w:val="none" w:sz="0" w:space="0" w:color="auto"/>
                <w:bottom w:val="none" w:sz="0" w:space="0" w:color="auto"/>
                <w:right w:val="none" w:sz="0" w:space="0" w:color="auto"/>
              </w:divBdr>
            </w:div>
            <w:div w:id="2031753959">
              <w:marLeft w:val="0"/>
              <w:marRight w:val="0"/>
              <w:marTop w:val="0"/>
              <w:marBottom w:val="0"/>
              <w:divBdr>
                <w:top w:val="none" w:sz="0" w:space="0" w:color="auto"/>
                <w:left w:val="none" w:sz="0" w:space="0" w:color="auto"/>
                <w:bottom w:val="none" w:sz="0" w:space="0" w:color="auto"/>
                <w:right w:val="none" w:sz="0" w:space="0" w:color="auto"/>
              </w:divBdr>
            </w:div>
            <w:div w:id="292253609">
              <w:marLeft w:val="0"/>
              <w:marRight w:val="0"/>
              <w:marTop w:val="0"/>
              <w:marBottom w:val="0"/>
              <w:divBdr>
                <w:top w:val="none" w:sz="0" w:space="0" w:color="auto"/>
                <w:left w:val="none" w:sz="0" w:space="0" w:color="auto"/>
                <w:bottom w:val="none" w:sz="0" w:space="0" w:color="auto"/>
                <w:right w:val="none" w:sz="0" w:space="0" w:color="auto"/>
              </w:divBdr>
            </w:div>
            <w:div w:id="1075594365">
              <w:marLeft w:val="0"/>
              <w:marRight w:val="0"/>
              <w:marTop w:val="0"/>
              <w:marBottom w:val="0"/>
              <w:divBdr>
                <w:top w:val="none" w:sz="0" w:space="0" w:color="auto"/>
                <w:left w:val="none" w:sz="0" w:space="0" w:color="auto"/>
                <w:bottom w:val="none" w:sz="0" w:space="0" w:color="auto"/>
                <w:right w:val="none" w:sz="0" w:space="0" w:color="auto"/>
              </w:divBdr>
            </w:div>
            <w:div w:id="283073909">
              <w:marLeft w:val="0"/>
              <w:marRight w:val="0"/>
              <w:marTop w:val="0"/>
              <w:marBottom w:val="0"/>
              <w:divBdr>
                <w:top w:val="none" w:sz="0" w:space="0" w:color="auto"/>
                <w:left w:val="none" w:sz="0" w:space="0" w:color="auto"/>
                <w:bottom w:val="none" w:sz="0" w:space="0" w:color="auto"/>
                <w:right w:val="none" w:sz="0" w:space="0" w:color="auto"/>
              </w:divBdr>
            </w:div>
            <w:div w:id="1690452221">
              <w:marLeft w:val="0"/>
              <w:marRight w:val="0"/>
              <w:marTop w:val="0"/>
              <w:marBottom w:val="0"/>
              <w:divBdr>
                <w:top w:val="none" w:sz="0" w:space="0" w:color="auto"/>
                <w:left w:val="none" w:sz="0" w:space="0" w:color="auto"/>
                <w:bottom w:val="none" w:sz="0" w:space="0" w:color="auto"/>
                <w:right w:val="none" w:sz="0" w:space="0" w:color="auto"/>
              </w:divBdr>
            </w:div>
            <w:div w:id="1458986508">
              <w:marLeft w:val="0"/>
              <w:marRight w:val="0"/>
              <w:marTop w:val="0"/>
              <w:marBottom w:val="0"/>
              <w:divBdr>
                <w:top w:val="none" w:sz="0" w:space="0" w:color="auto"/>
                <w:left w:val="none" w:sz="0" w:space="0" w:color="auto"/>
                <w:bottom w:val="none" w:sz="0" w:space="0" w:color="auto"/>
                <w:right w:val="none" w:sz="0" w:space="0" w:color="auto"/>
              </w:divBdr>
            </w:div>
            <w:div w:id="108203172">
              <w:marLeft w:val="0"/>
              <w:marRight w:val="0"/>
              <w:marTop w:val="0"/>
              <w:marBottom w:val="0"/>
              <w:divBdr>
                <w:top w:val="none" w:sz="0" w:space="0" w:color="auto"/>
                <w:left w:val="none" w:sz="0" w:space="0" w:color="auto"/>
                <w:bottom w:val="none" w:sz="0" w:space="0" w:color="auto"/>
                <w:right w:val="none" w:sz="0" w:space="0" w:color="auto"/>
              </w:divBdr>
            </w:div>
            <w:div w:id="1753044090">
              <w:marLeft w:val="0"/>
              <w:marRight w:val="0"/>
              <w:marTop w:val="0"/>
              <w:marBottom w:val="0"/>
              <w:divBdr>
                <w:top w:val="none" w:sz="0" w:space="0" w:color="auto"/>
                <w:left w:val="none" w:sz="0" w:space="0" w:color="auto"/>
                <w:bottom w:val="none" w:sz="0" w:space="0" w:color="auto"/>
                <w:right w:val="none" w:sz="0" w:space="0" w:color="auto"/>
              </w:divBdr>
            </w:div>
            <w:div w:id="1899434108">
              <w:marLeft w:val="0"/>
              <w:marRight w:val="0"/>
              <w:marTop w:val="0"/>
              <w:marBottom w:val="0"/>
              <w:divBdr>
                <w:top w:val="none" w:sz="0" w:space="0" w:color="auto"/>
                <w:left w:val="none" w:sz="0" w:space="0" w:color="auto"/>
                <w:bottom w:val="none" w:sz="0" w:space="0" w:color="auto"/>
                <w:right w:val="none" w:sz="0" w:space="0" w:color="auto"/>
              </w:divBdr>
            </w:div>
            <w:div w:id="2032994852">
              <w:marLeft w:val="0"/>
              <w:marRight w:val="0"/>
              <w:marTop w:val="0"/>
              <w:marBottom w:val="0"/>
              <w:divBdr>
                <w:top w:val="none" w:sz="0" w:space="0" w:color="auto"/>
                <w:left w:val="none" w:sz="0" w:space="0" w:color="auto"/>
                <w:bottom w:val="none" w:sz="0" w:space="0" w:color="auto"/>
                <w:right w:val="none" w:sz="0" w:space="0" w:color="auto"/>
              </w:divBdr>
            </w:div>
            <w:div w:id="340087415">
              <w:marLeft w:val="0"/>
              <w:marRight w:val="0"/>
              <w:marTop w:val="0"/>
              <w:marBottom w:val="0"/>
              <w:divBdr>
                <w:top w:val="none" w:sz="0" w:space="0" w:color="auto"/>
                <w:left w:val="none" w:sz="0" w:space="0" w:color="auto"/>
                <w:bottom w:val="none" w:sz="0" w:space="0" w:color="auto"/>
                <w:right w:val="none" w:sz="0" w:space="0" w:color="auto"/>
              </w:divBdr>
            </w:div>
            <w:div w:id="1086422223">
              <w:marLeft w:val="0"/>
              <w:marRight w:val="0"/>
              <w:marTop w:val="0"/>
              <w:marBottom w:val="0"/>
              <w:divBdr>
                <w:top w:val="none" w:sz="0" w:space="0" w:color="auto"/>
                <w:left w:val="none" w:sz="0" w:space="0" w:color="auto"/>
                <w:bottom w:val="none" w:sz="0" w:space="0" w:color="auto"/>
                <w:right w:val="none" w:sz="0" w:space="0" w:color="auto"/>
              </w:divBdr>
            </w:div>
            <w:div w:id="1369839317">
              <w:marLeft w:val="0"/>
              <w:marRight w:val="0"/>
              <w:marTop w:val="0"/>
              <w:marBottom w:val="0"/>
              <w:divBdr>
                <w:top w:val="none" w:sz="0" w:space="0" w:color="auto"/>
                <w:left w:val="none" w:sz="0" w:space="0" w:color="auto"/>
                <w:bottom w:val="none" w:sz="0" w:space="0" w:color="auto"/>
                <w:right w:val="none" w:sz="0" w:space="0" w:color="auto"/>
              </w:divBdr>
            </w:div>
            <w:div w:id="1798982630">
              <w:marLeft w:val="0"/>
              <w:marRight w:val="0"/>
              <w:marTop w:val="0"/>
              <w:marBottom w:val="0"/>
              <w:divBdr>
                <w:top w:val="none" w:sz="0" w:space="0" w:color="auto"/>
                <w:left w:val="none" w:sz="0" w:space="0" w:color="auto"/>
                <w:bottom w:val="none" w:sz="0" w:space="0" w:color="auto"/>
                <w:right w:val="none" w:sz="0" w:space="0" w:color="auto"/>
              </w:divBdr>
            </w:div>
            <w:div w:id="1295058956">
              <w:marLeft w:val="0"/>
              <w:marRight w:val="0"/>
              <w:marTop w:val="0"/>
              <w:marBottom w:val="0"/>
              <w:divBdr>
                <w:top w:val="none" w:sz="0" w:space="0" w:color="auto"/>
                <w:left w:val="none" w:sz="0" w:space="0" w:color="auto"/>
                <w:bottom w:val="none" w:sz="0" w:space="0" w:color="auto"/>
                <w:right w:val="none" w:sz="0" w:space="0" w:color="auto"/>
              </w:divBdr>
            </w:div>
            <w:div w:id="1312294794">
              <w:marLeft w:val="0"/>
              <w:marRight w:val="0"/>
              <w:marTop w:val="0"/>
              <w:marBottom w:val="0"/>
              <w:divBdr>
                <w:top w:val="none" w:sz="0" w:space="0" w:color="auto"/>
                <w:left w:val="none" w:sz="0" w:space="0" w:color="auto"/>
                <w:bottom w:val="none" w:sz="0" w:space="0" w:color="auto"/>
                <w:right w:val="none" w:sz="0" w:space="0" w:color="auto"/>
              </w:divBdr>
            </w:div>
            <w:div w:id="1274243823">
              <w:marLeft w:val="0"/>
              <w:marRight w:val="0"/>
              <w:marTop w:val="0"/>
              <w:marBottom w:val="0"/>
              <w:divBdr>
                <w:top w:val="none" w:sz="0" w:space="0" w:color="auto"/>
                <w:left w:val="none" w:sz="0" w:space="0" w:color="auto"/>
                <w:bottom w:val="none" w:sz="0" w:space="0" w:color="auto"/>
                <w:right w:val="none" w:sz="0" w:space="0" w:color="auto"/>
              </w:divBdr>
            </w:div>
            <w:div w:id="1858881283">
              <w:marLeft w:val="0"/>
              <w:marRight w:val="0"/>
              <w:marTop w:val="0"/>
              <w:marBottom w:val="0"/>
              <w:divBdr>
                <w:top w:val="none" w:sz="0" w:space="0" w:color="auto"/>
                <w:left w:val="none" w:sz="0" w:space="0" w:color="auto"/>
                <w:bottom w:val="none" w:sz="0" w:space="0" w:color="auto"/>
                <w:right w:val="none" w:sz="0" w:space="0" w:color="auto"/>
              </w:divBdr>
            </w:div>
            <w:div w:id="1601835576">
              <w:marLeft w:val="0"/>
              <w:marRight w:val="0"/>
              <w:marTop w:val="0"/>
              <w:marBottom w:val="0"/>
              <w:divBdr>
                <w:top w:val="none" w:sz="0" w:space="0" w:color="auto"/>
                <w:left w:val="none" w:sz="0" w:space="0" w:color="auto"/>
                <w:bottom w:val="none" w:sz="0" w:space="0" w:color="auto"/>
                <w:right w:val="none" w:sz="0" w:space="0" w:color="auto"/>
              </w:divBdr>
            </w:div>
            <w:div w:id="2032024559">
              <w:marLeft w:val="0"/>
              <w:marRight w:val="0"/>
              <w:marTop w:val="0"/>
              <w:marBottom w:val="0"/>
              <w:divBdr>
                <w:top w:val="none" w:sz="0" w:space="0" w:color="auto"/>
                <w:left w:val="none" w:sz="0" w:space="0" w:color="auto"/>
                <w:bottom w:val="none" w:sz="0" w:space="0" w:color="auto"/>
                <w:right w:val="none" w:sz="0" w:space="0" w:color="auto"/>
              </w:divBdr>
            </w:div>
            <w:div w:id="1564170990">
              <w:marLeft w:val="0"/>
              <w:marRight w:val="0"/>
              <w:marTop w:val="0"/>
              <w:marBottom w:val="0"/>
              <w:divBdr>
                <w:top w:val="none" w:sz="0" w:space="0" w:color="auto"/>
                <w:left w:val="none" w:sz="0" w:space="0" w:color="auto"/>
                <w:bottom w:val="none" w:sz="0" w:space="0" w:color="auto"/>
                <w:right w:val="none" w:sz="0" w:space="0" w:color="auto"/>
              </w:divBdr>
            </w:div>
            <w:div w:id="129784774">
              <w:marLeft w:val="0"/>
              <w:marRight w:val="0"/>
              <w:marTop w:val="0"/>
              <w:marBottom w:val="0"/>
              <w:divBdr>
                <w:top w:val="none" w:sz="0" w:space="0" w:color="auto"/>
                <w:left w:val="none" w:sz="0" w:space="0" w:color="auto"/>
                <w:bottom w:val="none" w:sz="0" w:space="0" w:color="auto"/>
                <w:right w:val="none" w:sz="0" w:space="0" w:color="auto"/>
              </w:divBdr>
            </w:div>
            <w:div w:id="1365404704">
              <w:marLeft w:val="0"/>
              <w:marRight w:val="0"/>
              <w:marTop w:val="0"/>
              <w:marBottom w:val="0"/>
              <w:divBdr>
                <w:top w:val="none" w:sz="0" w:space="0" w:color="auto"/>
                <w:left w:val="none" w:sz="0" w:space="0" w:color="auto"/>
                <w:bottom w:val="none" w:sz="0" w:space="0" w:color="auto"/>
                <w:right w:val="none" w:sz="0" w:space="0" w:color="auto"/>
              </w:divBdr>
            </w:div>
            <w:div w:id="741682995">
              <w:marLeft w:val="0"/>
              <w:marRight w:val="0"/>
              <w:marTop w:val="0"/>
              <w:marBottom w:val="0"/>
              <w:divBdr>
                <w:top w:val="none" w:sz="0" w:space="0" w:color="auto"/>
                <w:left w:val="none" w:sz="0" w:space="0" w:color="auto"/>
                <w:bottom w:val="none" w:sz="0" w:space="0" w:color="auto"/>
                <w:right w:val="none" w:sz="0" w:space="0" w:color="auto"/>
              </w:divBdr>
            </w:div>
            <w:div w:id="1182475439">
              <w:marLeft w:val="0"/>
              <w:marRight w:val="0"/>
              <w:marTop w:val="0"/>
              <w:marBottom w:val="0"/>
              <w:divBdr>
                <w:top w:val="none" w:sz="0" w:space="0" w:color="auto"/>
                <w:left w:val="none" w:sz="0" w:space="0" w:color="auto"/>
                <w:bottom w:val="none" w:sz="0" w:space="0" w:color="auto"/>
                <w:right w:val="none" w:sz="0" w:space="0" w:color="auto"/>
              </w:divBdr>
            </w:div>
            <w:div w:id="1351835445">
              <w:marLeft w:val="0"/>
              <w:marRight w:val="0"/>
              <w:marTop w:val="0"/>
              <w:marBottom w:val="0"/>
              <w:divBdr>
                <w:top w:val="none" w:sz="0" w:space="0" w:color="auto"/>
                <w:left w:val="none" w:sz="0" w:space="0" w:color="auto"/>
                <w:bottom w:val="none" w:sz="0" w:space="0" w:color="auto"/>
                <w:right w:val="none" w:sz="0" w:space="0" w:color="auto"/>
              </w:divBdr>
            </w:div>
            <w:div w:id="692730872">
              <w:marLeft w:val="0"/>
              <w:marRight w:val="0"/>
              <w:marTop w:val="0"/>
              <w:marBottom w:val="0"/>
              <w:divBdr>
                <w:top w:val="none" w:sz="0" w:space="0" w:color="auto"/>
                <w:left w:val="none" w:sz="0" w:space="0" w:color="auto"/>
                <w:bottom w:val="none" w:sz="0" w:space="0" w:color="auto"/>
                <w:right w:val="none" w:sz="0" w:space="0" w:color="auto"/>
              </w:divBdr>
            </w:div>
            <w:div w:id="553614767">
              <w:marLeft w:val="0"/>
              <w:marRight w:val="0"/>
              <w:marTop w:val="0"/>
              <w:marBottom w:val="0"/>
              <w:divBdr>
                <w:top w:val="none" w:sz="0" w:space="0" w:color="auto"/>
                <w:left w:val="none" w:sz="0" w:space="0" w:color="auto"/>
                <w:bottom w:val="none" w:sz="0" w:space="0" w:color="auto"/>
                <w:right w:val="none" w:sz="0" w:space="0" w:color="auto"/>
              </w:divBdr>
            </w:div>
            <w:div w:id="1373112799">
              <w:marLeft w:val="0"/>
              <w:marRight w:val="0"/>
              <w:marTop w:val="0"/>
              <w:marBottom w:val="0"/>
              <w:divBdr>
                <w:top w:val="none" w:sz="0" w:space="0" w:color="auto"/>
                <w:left w:val="none" w:sz="0" w:space="0" w:color="auto"/>
                <w:bottom w:val="none" w:sz="0" w:space="0" w:color="auto"/>
                <w:right w:val="none" w:sz="0" w:space="0" w:color="auto"/>
              </w:divBdr>
            </w:div>
            <w:div w:id="1031229837">
              <w:marLeft w:val="0"/>
              <w:marRight w:val="0"/>
              <w:marTop w:val="0"/>
              <w:marBottom w:val="0"/>
              <w:divBdr>
                <w:top w:val="none" w:sz="0" w:space="0" w:color="auto"/>
                <w:left w:val="none" w:sz="0" w:space="0" w:color="auto"/>
                <w:bottom w:val="none" w:sz="0" w:space="0" w:color="auto"/>
                <w:right w:val="none" w:sz="0" w:space="0" w:color="auto"/>
              </w:divBdr>
            </w:div>
            <w:div w:id="947202623">
              <w:marLeft w:val="0"/>
              <w:marRight w:val="0"/>
              <w:marTop w:val="0"/>
              <w:marBottom w:val="0"/>
              <w:divBdr>
                <w:top w:val="none" w:sz="0" w:space="0" w:color="auto"/>
                <w:left w:val="none" w:sz="0" w:space="0" w:color="auto"/>
                <w:bottom w:val="none" w:sz="0" w:space="0" w:color="auto"/>
                <w:right w:val="none" w:sz="0" w:space="0" w:color="auto"/>
              </w:divBdr>
            </w:div>
            <w:div w:id="949357151">
              <w:marLeft w:val="0"/>
              <w:marRight w:val="0"/>
              <w:marTop w:val="0"/>
              <w:marBottom w:val="0"/>
              <w:divBdr>
                <w:top w:val="none" w:sz="0" w:space="0" w:color="auto"/>
                <w:left w:val="none" w:sz="0" w:space="0" w:color="auto"/>
                <w:bottom w:val="none" w:sz="0" w:space="0" w:color="auto"/>
                <w:right w:val="none" w:sz="0" w:space="0" w:color="auto"/>
              </w:divBdr>
            </w:div>
            <w:div w:id="1544749142">
              <w:marLeft w:val="0"/>
              <w:marRight w:val="0"/>
              <w:marTop w:val="0"/>
              <w:marBottom w:val="0"/>
              <w:divBdr>
                <w:top w:val="none" w:sz="0" w:space="0" w:color="auto"/>
                <w:left w:val="none" w:sz="0" w:space="0" w:color="auto"/>
                <w:bottom w:val="none" w:sz="0" w:space="0" w:color="auto"/>
                <w:right w:val="none" w:sz="0" w:space="0" w:color="auto"/>
              </w:divBdr>
            </w:div>
            <w:div w:id="1520046002">
              <w:marLeft w:val="0"/>
              <w:marRight w:val="0"/>
              <w:marTop w:val="0"/>
              <w:marBottom w:val="0"/>
              <w:divBdr>
                <w:top w:val="none" w:sz="0" w:space="0" w:color="auto"/>
                <w:left w:val="none" w:sz="0" w:space="0" w:color="auto"/>
                <w:bottom w:val="none" w:sz="0" w:space="0" w:color="auto"/>
                <w:right w:val="none" w:sz="0" w:space="0" w:color="auto"/>
              </w:divBdr>
            </w:div>
            <w:div w:id="1021123168">
              <w:marLeft w:val="0"/>
              <w:marRight w:val="0"/>
              <w:marTop w:val="0"/>
              <w:marBottom w:val="0"/>
              <w:divBdr>
                <w:top w:val="none" w:sz="0" w:space="0" w:color="auto"/>
                <w:left w:val="none" w:sz="0" w:space="0" w:color="auto"/>
                <w:bottom w:val="none" w:sz="0" w:space="0" w:color="auto"/>
                <w:right w:val="none" w:sz="0" w:space="0" w:color="auto"/>
              </w:divBdr>
            </w:div>
            <w:div w:id="1391222247">
              <w:marLeft w:val="0"/>
              <w:marRight w:val="0"/>
              <w:marTop w:val="0"/>
              <w:marBottom w:val="0"/>
              <w:divBdr>
                <w:top w:val="none" w:sz="0" w:space="0" w:color="auto"/>
                <w:left w:val="none" w:sz="0" w:space="0" w:color="auto"/>
                <w:bottom w:val="none" w:sz="0" w:space="0" w:color="auto"/>
                <w:right w:val="none" w:sz="0" w:space="0" w:color="auto"/>
              </w:divBdr>
            </w:div>
            <w:div w:id="376050161">
              <w:marLeft w:val="0"/>
              <w:marRight w:val="0"/>
              <w:marTop w:val="0"/>
              <w:marBottom w:val="0"/>
              <w:divBdr>
                <w:top w:val="none" w:sz="0" w:space="0" w:color="auto"/>
                <w:left w:val="none" w:sz="0" w:space="0" w:color="auto"/>
                <w:bottom w:val="none" w:sz="0" w:space="0" w:color="auto"/>
                <w:right w:val="none" w:sz="0" w:space="0" w:color="auto"/>
              </w:divBdr>
            </w:div>
            <w:div w:id="1782677278">
              <w:marLeft w:val="0"/>
              <w:marRight w:val="0"/>
              <w:marTop w:val="0"/>
              <w:marBottom w:val="0"/>
              <w:divBdr>
                <w:top w:val="none" w:sz="0" w:space="0" w:color="auto"/>
                <w:left w:val="none" w:sz="0" w:space="0" w:color="auto"/>
                <w:bottom w:val="none" w:sz="0" w:space="0" w:color="auto"/>
                <w:right w:val="none" w:sz="0" w:space="0" w:color="auto"/>
              </w:divBdr>
            </w:div>
            <w:div w:id="1304000567">
              <w:marLeft w:val="0"/>
              <w:marRight w:val="0"/>
              <w:marTop w:val="0"/>
              <w:marBottom w:val="0"/>
              <w:divBdr>
                <w:top w:val="none" w:sz="0" w:space="0" w:color="auto"/>
                <w:left w:val="none" w:sz="0" w:space="0" w:color="auto"/>
                <w:bottom w:val="none" w:sz="0" w:space="0" w:color="auto"/>
                <w:right w:val="none" w:sz="0" w:space="0" w:color="auto"/>
              </w:divBdr>
            </w:div>
            <w:div w:id="1980767450">
              <w:marLeft w:val="0"/>
              <w:marRight w:val="0"/>
              <w:marTop w:val="0"/>
              <w:marBottom w:val="0"/>
              <w:divBdr>
                <w:top w:val="none" w:sz="0" w:space="0" w:color="auto"/>
                <w:left w:val="none" w:sz="0" w:space="0" w:color="auto"/>
                <w:bottom w:val="none" w:sz="0" w:space="0" w:color="auto"/>
                <w:right w:val="none" w:sz="0" w:space="0" w:color="auto"/>
              </w:divBdr>
            </w:div>
            <w:div w:id="1509714105">
              <w:marLeft w:val="0"/>
              <w:marRight w:val="0"/>
              <w:marTop w:val="0"/>
              <w:marBottom w:val="0"/>
              <w:divBdr>
                <w:top w:val="none" w:sz="0" w:space="0" w:color="auto"/>
                <w:left w:val="none" w:sz="0" w:space="0" w:color="auto"/>
                <w:bottom w:val="none" w:sz="0" w:space="0" w:color="auto"/>
                <w:right w:val="none" w:sz="0" w:space="0" w:color="auto"/>
              </w:divBdr>
            </w:div>
            <w:div w:id="718362399">
              <w:marLeft w:val="0"/>
              <w:marRight w:val="0"/>
              <w:marTop w:val="0"/>
              <w:marBottom w:val="0"/>
              <w:divBdr>
                <w:top w:val="none" w:sz="0" w:space="0" w:color="auto"/>
                <w:left w:val="none" w:sz="0" w:space="0" w:color="auto"/>
                <w:bottom w:val="none" w:sz="0" w:space="0" w:color="auto"/>
                <w:right w:val="none" w:sz="0" w:space="0" w:color="auto"/>
              </w:divBdr>
            </w:div>
            <w:div w:id="1385330944">
              <w:marLeft w:val="0"/>
              <w:marRight w:val="0"/>
              <w:marTop w:val="0"/>
              <w:marBottom w:val="0"/>
              <w:divBdr>
                <w:top w:val="none" w:sz="0" w:space="0" w:color="auto"/>
                <w:left w:val="none" w:sz="0" w:space="0" w:color="auto"/>
                <w:bottom w:val="none" w:sz="0" w:space="0" w:color="auto"/>
                <w:right w:val="none" w:sz="0" w:space="0" w:color="auto"/>
              </w:divBdr>
            </w:div>
            <w:div w:id="655303785">
              <w:marLeft w:val="0"/>
              <w:marRight w:val="0"/>
              <w:marTop w:val="0"/>
              <w:marBottom w:val="0"/>
              <w:divBdr>
                <w:top w:val="none" w:sz="0" w:space="0" w:color="auto"/>
                <w:left w:val="none" w:sz="0" w:space="0" w:color="auto"/>
                <w:bottom w:val="none" w:sz="0" w:space="0" w:color="auto"/>
                <w:right w:val="none" w:sz="0" w:space="0" w:color="auto"/>
              </w:divBdr>
            </w:div>
            <w:div w:id="1386634986">
              <w:marLeft w:val="0"/>
              <w:marRight w:val="0"/>
              <w:marTop w:val="0"/>
              <w:marBottom w:val="0"/>
              <w:divBdr>
                <w:top w:val="none" w:sz="0" w:space="0" w:color="auto"/>
                <w:left w:val="none" w:sz="0" w:space="0" w:color="auto"/>
                <w:bottom w:val="none" w:sz="0" w:space="0" w:color="auto"/>
                <w:right w:val="none" w:sz="0" w:space="0" w:color="auto"/>
              </w:divBdr>
            </w:div>
            <w:div w:id="1371877790">
              <w:marLeft w:val="0"/>
              <w:marRight w:val="0"/>
              <w:marTop w:val="0"/>
              <w:marBottom w:val="0"/>
              <w:divBdr>
                <w:top w:val="none" w:sz="0" w:space="0" w:color="auto"/>
                <w:left w:val="none" w:sz="0" w:space="0" w:color="auto"/>
                <w:bottom w:val="none" w:sz="0" w:space="0" w:color="auto"/>
                <w:right w:val="none" w:sz="0" w:space="0" w:color="auto"/>
              </w:divBdr>
            </w:div>
            <w:div w:id="258100115">
              <w:marLeft w:val="0"/>
              <w:marRight w:val="0"/>
              <w:marTop w:val="0"/>
              <w:marBottom w:val="0"/>
              <w:divBdr>
                <w:top w:val="none" w:sz="0" w:space="0" w:color="auto"/>
                <w:left w:val="none" w:sz="0" w:space="0" w:color="auto"/>
                <w:bottom w:val="none" w:sz="0" w:space="0" w:color="auto"/>
                <w:right w:val="none" w:sz="0" w:space="0" w:color="auto"/>
              </w:divBdr>
            </w:div>
            <w:div w:id="1848714735">
              <w:marLeft w:val="0"/>
              <w:marRight w:val="0"/>
              <w:marTop w:val="0"/>
              <w:marBottom w:val="0"/>
              <w:divBdr>
                <w:top w:val="none" w:sz="0" w:space="0" w:color="auto"/>
                <w:left w:val="none" w:sz="0" w:space="0" w:color="auto"/>
                <w:bottom w:val="none" w:sz="0" w:space="0" w:color="auto"/>
                <w:right w:val="none" w:sz="0" w:space="0" w:color="auto"/>
              </w:divBdr>
            </w:div>
            <w:div w:id="1570380830">
              <w:marLeft w:val="0"/>
              <w:marRight w:val="0"/>
              <w:marTop w:val="0"/>
              <w:marBottom w:val="0"/>
              <w:divBdr>
                <w:top w:val="none" w:sz="0" w:space="0" w:color="auto"/>
                <w:left w:val="none" w:sz="0" w:space="0" w:color="auto"/>
                <w:bottom w:val="none" w:sz="0" w:space="0" w:color="auto"/>
                <w:right w:val="none" w:sz="0" w:space="0" w:color="auto"/>
              </w:divBdr>
            </w:div>
            <w:div w:id="1303922654">
              <w:marLeft w:val="0"/>
              <w:marRight w:val="0"/>
              <w:marTop w:val="0"/>
              <w:marBottom w:val="0"/>
              <w:divBdr>
                <w:top w:val="none" w:sz="0" w:space="0" w:color="auto"/>
                <w:left w:val="none" w:sz="0" w:space="0" w:color="auto"/>
                <w:bottom w:val="none" w:sz="0" w:space="0" w:color="auto"/>
                <w:right w:val="none" w:sz="0" w:space="0" w:color="auto"/>
              </w:divBdr>
            </w:div>
            <w:div w:id="796606237">
              <w:marLeft w:val="0"/>
              <w:marRight w:val="0"/>
              <w:marTop w:val="0"/>
              <w:marBottom w:val="0"/>
              <w:divBdr>
                <w:top w:val="none" w:sz="0" w:space="0" w:color="auto"/>
                <w:left w:val="none" w:sz="0" w:space="0" w:color="auto"/>
                <w:bottom w:val="none" w:sz="0" w:space="0" w:color="auto"/>
                <w:right w:val="none" w:sz="0" w:space="0" w:color="auto"/>
              </w:divBdr>
            </w:div>
            <w:div w:id="1579943322">
              <w:marLeft w:val="0"/>
              <w:marRight w:val="0"/>
              <w:marTop w:val="0"/>
              <w:marBottom w:val="0"/>
              <w:divBdr>
                <w:top w:val="none" w:sz="0" w:space="0" w:color="auto"/>
                <w:left w:val="none" w:sz="0" w:space="0" w:color="auto"/>
                <w:bottom w:val="none" w:sz="0" w:space="0" w:color="auto"/>
                <w:right w:val="none" w:sz="0" w:space="0" w:color="auto"/>
              </w:divBdr>
            </w:div>
            <w:div w:id="1648586043">
              <w:marLeft w:val="0"/>
              <w:marRight w:val="0"/>
              <w:marTop w:val="0"/>
              <w:marBottom w:val="0"/>
              <w:divBdr>
                <w:top w:val="none" w:sz="0" w:space="0" w:color="auto"/>
                <w:left w:val="none" w:sz="0" w:space="0" w:color="auto"/>
                <w:bottom w:val="none" w:sz="0" w:space="0" w:color="auto"/>
                <w:right w:val="none" w:sz="0" w:space="0" w:color="auto"/>
              </w:divBdr>
            </w:div>
            <w:div w:id="242109366">
              <w:marLeft w:val="0"/>
              <w:marRight w:val="0"/>
              <w:marTop w:val="0"/>
              <w:marBottom w:val="0"/>
              <w:divBdr>
                <w:top w:val="none" w:sz="0" w:space="0" w:color="auto"/>
                <w:left w:val="none" w:sz="0" w:space="0" w:color="auto"/>
                <w:bottom w:val="none" w:sz="0" w:space="0" w:color="auto"/>
                <w:right w:val="none" w:sz="0" w:space="0" w:color="auto"/>
              </w:divBdr>
            </w:div>
            <w:div w:id="431245409">
              <w:marLeft w:val="0"/>
              <w:marRight w:val="0"/>
              <w:marTop w:val="0"/>
              <w:marBottom w:val="0"/>
              <w:divBdr>
                <w:top w:val="none" w:sz="0" w:space="0" w:color="auto"/>
                <w:left w:val="none" w:sz="0" w:space="0" w:color="auto"/>
                <w:bottom w:val="none" w:sz="0" w:space="0" w:color="auto"/>
                <w:right w:val="none" w:sz="0" w:space="0" w:color="auto"/>
              </w:divBdr>
            </w:div>
            <w:div w:id="1195076557">
              <w:marLeft w:val="0"/>
              <w:marRight w:val="0"/>
              <w:marTop w:val="0"/>
              <w:marBottom w:val="0"/>
              <w:divBdr>
                <w:top w:val="none" w:sz="0" w:space="0" w:color="auto"/>
                <w:left w:val="none" w:sz="0" w:space="0" w:color="auto"/>
                <w:bottom w:val="none" w:sz="0" w:space="0" w:color="auto"/>
                <w:right w:val="none" w:sz="0" w:space="0" w:color="auto"/>
              </w:divBdr>
            </w:div>
            <w:div w:id="1213082924">
              <w:marLeft w:val="0"/>
              <w:marRight w:val="0"/>
              <w:marTop w:val="0"/>
              <w:marBottom w:val="0"/>
              <w:divBdr>
                <w:top w:val="none" w:sz="0" w:space="0" w:color="auto"/>
                <w:left w:val="none" w:sz="0" w:space="0" w:color="auto"/>
                <w:bottom w:val="none" w:sz="0" w:space="0" w:color="auto"/>
                <w:right w:val="none" w:sz="0" w:space="0" w:color="auto"/>
              </w:divBdr>
            </w:div>
            <w:div w:id="2020349424">
              <w:marLeft w:val="0"/>
              <w:marRight w:val="0"/>
              <w:marTop w:val="0"/>
              <w:marBottom w:val="0"/>
              <w:divBdr>
                <w:top w:val="none" w:sz="0" w:space="0" w:color="auto"/>
                <w:left w:val="none" w:sz="0" w:space="0" w:color="auto"/>
                <w:bottom w:val="none" w:sz="0" w:space="0" w:color="auto"/>
                <w:right w:val="none" w:sz="0" w:space="0" w:color="auto"/>
              </w:divBdr>
            </w:div>
            <w:div w:id="625697383">
              <w:marLeft w:val="0"/>
              <w:marRight w:val="0"/>
              <w:marTop w:val="0"/>
              <w:marBottom w:val="0"/>
              <w:divBdr>
                <w:top w:val="none" w:sz="0" w:space="0" w:color="auto"/>
                <w:left w:val="none" w:sz="0" w:space="0" w:color="auto"/>
                <w:bottom w:val="none" w:sz="0" w:space="0" w:color="auto"/>
                <w:right w:val="none" w:sz="0" w:space="0" w:color="auto"/>
              </w:divBdr>
            </w:div>
            <w:div w:id="635378589">
              <w:marLeft w:val="0"/>
              <w:marRight w:val="0"/>
              <w:marTop w:val="0"/>
              <w:marBottom w:val="0"/>
              <w:divBdr>
                <w:top w:val="none" w:sz="0" w:space="0" w:color="auto"/>
                <w:left w:val="none" w:sz="0" w:space="0" w:color="auto"/>
                <w:bottom w:val="none" w:sz="0" w:space="0" w:color="auto"/>
                <w:right w:val="none" w:sz="0" w:space="0" w:color="auto"/>
              </w:divBdr>
            </w:div>
            <w:div w:id="1791774980">
              <w:marLeft w:val="0"/>
              <w:marRight w:val="0"/>
              <w:marTop w:val="0"/>
              <w:marBottom w:val="0"/>
              <w:divBdr>
                <w:top w:val="none" w:sz="0" w:space="0" w:color="auto"/>
                <w:left w:val="none" w:sz="0" w:space="0" w:color="auto"/>
                <w:bottom w:val="none" w:sz="0" w:space="0" w:color="auto"/>
                <w:right w:val="none" w:sz="0" w:space="0" w:color="auto"/>
              </w:divBdr>
            </w:div>
            <w:div w:id="685716146">
              <w:marLeft w:val="0"/>
              <w:marRight w:val="0"/>
              <w:marTop w:val="0"/>
              <w:marBottom w:val="0"/>
              <w:divBdr>
                <w:top w:val="none" w:sz="0" w:space="0" w:color="auto"/>
                <w:left w:val="none" w:sz="0" w:space="0" w:color="auto"/>
                <w:bottom w:val="none" w:sz="0" w:space="0" w:color="auto"/>
                <w:right w:val="none" w:sz="0" w:space="0" w:color="auto"/>
              </w:divBdr>
            </w:div>
            <w:div w:id="1738895902">
              <w:marLeft w:val="0"/>
              <w:marRight w:val="0"/>
              <w:marTop w:val="0"/>
              <w:marBottom w:val="0"/>
              <w:divBdr>
                <w:top w:val="none" w:sz="0" w:space="0" w:color="auto"/>
                <w:left w:val="none" w:sz="0" w:space="0" w:color="auto"/>
                <w:bottom w:val="none" w:sz="0" w:space="0" w:color="auto"/>
                <w:right w:val="none" w:sz="0" w:space="0" w:color="auto"/>
              </w:divBdr>
            </w:div>
            <w:div w:id="531920095">
              <w:marLeft w:val="0"/>
              <w:marRight w:val="0"/>
              <w:marTop w:val="0"/>
              <w:marBottom w:val="0"/>
              <w:divBdr>
                <w:top w:val="none" w:sz="0" w:space="0" w:color="auto"/>
                <w:left w:val="none" w:sz="0" w:space="0" w:color="auto"/>
                <w:bottom w:val="none" w:sz="0" w:space="0" w:color="auto"/>
                <w:right w:val="none" w:sz="0" w:space="0" w:color="auto"/>
              </w:divBdr>
            </w:div>
            <w:div w:id="1086879703">
              <w:marLeft w:val="0"/>
              <w:marRight w:val="0"/>
              <w:marTop w:val="0"/>
              <w:marBottom w:val="0"/>
              <w:divBdr>
                <w:top w:val="none" w:sz="0" w:space="0" w:color="auto"/>
                <w:left w:val="none" w:sz="0" w:space="0" w:color="auto"/>
                <w:bottom w:val="none" w:sz="0" w:space="0" w:color="auto"/>
                <w:right w:val="none" w:sz="0" w:space="0" w:color="auto"/>
              </w:divBdr>
            </w:div>
            <w:div w:id="381708580">
              <w:marLeft w:val="0"/>
              <w:marRight w:val="0"/>
              <w:marTop w:val="0"/>
              <w:marBottom w:val="0"/>
              <w:divBdr>
                <w:top w:val="none" w:sz="0" w:space="0" w:color="auto"/>
                <w:left w:val="none" w:sz="0" w:space="0" w:color="auto"/>
                <w:bottom w:val="none" w:sz="0" w:space="0" w:color="auto"/>
                <w:right w:val="none" w:sz="0" w:space="0" w:color="auto"/>
              </w:divBdr>
            </w:div>
            <w:div w:id="676691212">
              <w:marLeft w:val="0"/>
              <w:marRight w:val="0"/>
              <w:marTop w:val="0"/>
              <w:marBottom w:val="0"/>
              <w:divBdr>
                <w:top w:val="none" w:sz="0" w:space="0" w:color="auto"/>
                <w:left w:val="none" w:sz="0" w:space="0" w:color="auto"/>
                <w:bottom w:val="none" w:sz="0" w:space="0" w:color="auto"/>
                <w:right w:val="none" w:sz="0" w:space="0" w:color="auto"/>
              </w:divBdr>
            </w:div>
            <w:div w:id="1742605666">
              <w:marLeft w:val="0"/>
              <w:marRight w:val="0"/>
              <w:marTop w:val="0"/>
              <w:marBottom w:val="0"/>
              <w:divBdr>
                <w:top w:val="none" w:sz="0" w:space="0" w:color="auto"/>
                <w:left w:val="none" w:sz="0" w:space="0" w:color="auto"/>
                <w:bottom w:val="none" w:sz="0" w:space="0" w:color="auto"/>
                <w:right w:val="none" w:sz="0" w:space="0" w:color="auto"/>
              </w:divBdr>
            </w:div>
            <w:div w:id="1813449441">
              <w:marLeft w:val="0"/>
              <w:marRight w:val="0"/>
              <w:marTop w:val="0"/>
              <w:marBottom w:val="0"/>
              <w:divBdr>
                <w:top w:val="none" w:sz="0" w:space="0" w:color="auto"/>
                <w:left w:val="none" w:sz="0" w:space="0" w:color="auto"/>
                <w:bottom w:val="none" w:sz="0" w:space="0" w:color="auto"/>
                <w:right w:val="none" w:sz="0" w:space="0" w:color="auto"/>
              </w:divBdr>
            </w:div>
            <w:div w:id="1956714407">
              <w:marLeft w:val="0"/>
              <w:marRight w:val="0"/>
              <w:marTop w:val="0"/>
              <w:marBottom w:val="0"/>
              <w:divBdr>
                <w:top w:val="none" w:sz="0" w:space="0" w:color="auto"/>
                <w:left w:val="none" w:sz="0" w:space="0" w:color="auto"/>
                <w:bottom w:val="none" w:sz="0" w:space="0" w:color="auto"/>
                <w:right w:val="none" w:sz="0" w:space="0" w:color="auto"/>
              </w:divBdr>
            </w:div>
            <w:div w:id="1837576747">
              <w:marLeft w:val="0"/>
              <w:marRight w:val="0"/>
              <w:marTop w:val="0"/>
              <w:marBottom w:val="0"/>
              <w:divBdr>
                <w:top w:val="none" w:sz="0" w:space="0" w:color="auto"/>
                <w:left w:val="none" w:sz="0" w:space="0" w:color="auto"/>
                <w:bottom w:val="none" w:sz="0" w:space="0" w:color="auto"/>
                <w:right w:val="none" w:sz="0" w:space="0" w:color="auto"/>
              </w:divBdr>
            </w:div>
            <w:div w:id="589656741">
              <w:marLeft w:val="0"/>
              <w:marRight w:val="0"/>
              <w:marTop w:val="0"/>
              <w:marBottom w:val="0"/>
              <w:divBdr>
                <w:top w:val="none" w:sz="0" w:space="0" w:color="auto"/>
                <w:left w:val="none" w:sz="0" w:space="0" w:color="auto"/>
                <w:bottom w:val="none" w:sz="0" w:space="0" w:color="auto"/>
                <w:right w:val="none" w:sz="0" w:space="0" w:color="auto"/>
              </w:divBdr>
            </w:div>
            <w:div w:id="1000042376">
              <w:marLeft w:val="0"/>
              <w:marRight w:val="0"/>
              <w:marTop w:val="0"/>
              <w:marBottom w:val="0"/>
              <w:divBdr>
                <w:top w:val="none" w:sz="0" w:space="0" w:color="auto"/>
                <w:left w:val="none" w:sz="0" w:space="0" w:color="auto"/>
                <w:bottom w:val="none" w:sz="0" w:space="0" w:color="auto"/>
                <w:right w:val="none" w:sz="0" w:space="0" w:color="auto"/>
              </w:divBdr>
            </w:div>
            <w:div w:id="1885603803">
              <w:marLeft w:val="0"/>
              <w:marRight w:val="0"/>
              <w:marTop w:val="0"/>
              <w:marBottom w:val="0"/>
              <w:divBdr>
                <w:top w:val="none" w:sz="0" w:space="0" w:color="auto"/>
                <w:left w:val="none" w:sz="0" w:space="0" w:color="auto"/>
                <w:bottom w:val="none" w:sz="0" w:space="0" w:color="auto"/>
                <w:right w:val="none" w:sz="0" w:space="0" w:color="auto"/>
              </w:divBdr>
            </w:div>
            <w:div w:id="1826781913">
              <w:marLeft w:val="0"/>
              <w:marRight w:val="0"/>
              <w:marTop w:val="0"/>
              <w:marBottom w:val="0"/>
              <w:divBdr>
                <w:top w:val="none" w:sz="0" w:space="0" w:color="auto"/>
                <w:left w:val="none" w:sz="0" w:space="0" w:color="auto"/>
                <w:bottom w:val="none" w:sz="0" w:space="0" w:color="auto"/>
                <w:right w:val="none" w:sz="0" w:space="0" w:color="auto"/>
              </w:divBdr>
            </w:div>
            <w:div w:id="123739782">
              <w:marLeft w:val="0"/>
              <w:marRight w:val="0"/>
              <w:marTop w:val="0"/>
              <w:marBottom w:val="0"/>
              <w:divBdr>
                <w:top w:val="none" w:sz="0" w:space="0" w:color="auto"/>
                <w:left w:val="none" w:sz="0" w:space="0" w:color="auto"/>
                <w:bottom w:val="none" w:sz="0" w:space="0" w:color="auto"/>
                <w:right w:val="none" w:sz="0" w:space="0" w:color="auto"/>
              </w:divBdr>
            </w:div>
            <w:div w:id="503055095">
              <w:marLeft w:val="0"/>
              <w:marRight w:val="0"/>
              <w:marTop w:val="0"/>
              <w:marBottom w:val="0"/>
              <w:divBdr>
                <w:top w:val="none" w:sz="0" w:space="0" w:color="auto"/>
                <w:left w:val="none" w:sz="0" w:space="0" w:color="auto"/>
                <w:bottom w:val="none" w:sz="0" w:space="0" w:color="auto"/>
                <w:right w:val="none" w:sz="0" w:space="0" w:color="auto"/>
              </w:divBdr>
            </w:div>
            <w:div w:id="1153839670">
              <w:marLeft w:val="0"/>
              <w:marRight w:val="0"/>
              <w:marTop w:val="0"/>
              <w:marBottom w:val="0"/>
              <w:divBdr>
                <w:top w:val="none" w:sz="0" w:space="0" w:color="auto"/>
                <w:left w:val="none" w:sz="0" w:space="0" w:color="auto"/>
                <w:bottom w:val="none" w:sz="0" w:space="0" w:color="auto"/>
                <w:right w:val="none" w:sz="0" w:space="0" w:color="auto"/>
              </w:divBdr>
            </w:div>
            <w:div w:id="1265764256">
              <w:marLeft w:val="0"/>
              <w:marRight w:val="0"/>
              <w:marTop w:val="0"/>
              <w:marBottom w:val="0"/>
              <w:divBdr>
                <w:top w:val="none" w:sz="0" w:space="0" w:color="auto"/>
                <w:left w:val="none" w:sz="0" w:space="0" w:color="auto"/>
                <w:bottom w:val="none" w:sz="0" w:space="0" w:color="auto"/>
                <w:right w:val="none" w:sz="0" w:space="0" w:color="auto"/>
              </w:divBdr>
            </w:div>
            <w:div w:id="339818796">
              <w:marLeft w:val="0"/>
              <w:marRight w:val="0"/>
              <w:marTop w:val="0"/>
              <w:marBottom w:val="0"/>
              <w:divBdr>
                <w:top w:val="none" w:sz="0" w:space="0" w:color="auto"/>
                <w:left w:val="none" w:sz="0" w:space="0" w:color="auto"/>
                <w:bottom w:val="none" w:sz="0" w:space="0" w:color="auto"/>
                <w:right w:val="none" w:sz="0" w:space="0" w:color="auto"/>
              </w:divBdr>
            </w:div>
            <w:div w:id="1789087636">
              <w:marLeft w:val="0"/>
              <w:marRight w:val="0"/>
              <w:marTop w:val="0"/>
              <w:marBottom w:val="0"/>
              <w:divBdr>
                <w:top w:val="none" w:sz="0" w:space="0" w:color="auto"/>
                <w:left w:val="none" w:sz="0" w:space="0" w:color="auto"/>
                <w:bottom w:val="none" w:sz="0" w:space="0" w:color="auto"/>
                <w:right w:val="none" w:sz="0" w:space="0" w:color="auto"/>
              </w:divBdr>
            </w:div>
            <w:div w:id="1904485718">
              <w:marLeft w:val="0"/>
              <w:marRight w:val="0"/>
              <w:marTop w:val="0"/>
              <w:marBottom w:val="0"/>
              <w:divBdr>
                <w:top w:val="none" w:sz="0" w:space="0" w:color="auto"/>
                <w:left w:val="none" w:sz="0" w:space="0" w:color="auto"/>
                <w:bottom w:val="none" w:sz="0" w:space="0" w:color="auto"/>
                <w:right w:val="none" w:sz="0" w:space="0" w:color="auto"/>
              </w:divBdr>
            </w:div>
            <w:div w:id="1972053992">
              <w:marLeft w:val="0"/>
              <w:marRight w:val="0"/>
              <w:marTop w:val="0"/>
              <w:marBottom w:val="0"/>
              <w:divBdr>
                <w:top w:val="none" w:sz="0" w:space="0" w:color="auto"/>
                <w:left w:val="none" w:sz="0" w:space="0" w:color="auto"/>
                <w:bottom w:val="none" w:sz="0" w:space="0" w:color="auto"/>
                <w:right w:val="none" w:sz="0" w:space="0" w:color="auto"/>
              </w:divBdr>
            </w:div>
            <w:div w:id="2018146732">
              <w:marLeft w:val="0"/>
              <w:marRight w:val="0"/>
              <w:marTop w:val="0"/>
              <w:marBottom w:val="0"/>
              <w:divBdr>
                <w:top w:val="none" w:sz="0" w:space="0" w:color="auto"/>
                <w:left w:val="none" w:sz="0" w:space="0" w:color="auto"/>
                <w:bottom w:val="none" w:sz="0" w:space="0" w:color="auto"/>
                <w:right w:val="none" w:sz="0" w:space="0" w:color="auto"/>
              </w:divBdr>
            </w:div>
            <w:div w:id="1668904911">
              <w:marLeft w:val="0"/>
              <w:marRight w:val="0"/>
              <w:marTop w:val="0"/>
              <w:marBottom w:val="0"/>
              <w:divBdr>
                <w:top w:val="none" w:sz="0" w:space="0" w:color="auto"/>
                <w:left w:val="none" w:sz="0" w:space="0" w:color="auto"/>
                <w:bottom w:val="none" w:sz="0" w:space="0" w:color="auto"/>
                <w:right w:val="none" w:sz="0" w:space="0" w:color="auto"/>
              </w:divBdr>
            </w:div>
            <w:div w:id="1573538784">
              <w:marLeft w:val="0"/>
              <w:marRight w:val="0"/>
              <w:marTop w:val="0"/>
              <w:marBottom w:val="0"/>
              <w:divBdr>
                <w:top w:val="none" w:sz="0" w:space="0" w:color="auto"/>
                <w:left w:val="none" w:sz="0" w:space="0" w:color="auto"/>
                <w:bottom w:val="none" w:sz="0" w:space="0" w:color="auto"/>
                <w:right w:val="none" w:sz="0" w:space="0" w:color="auto"/>
              </w:divBdr>
            </w:div>
            <w:div w:id="1990161278">
              <w:marLeft w:val="0"/>
              <w:marRight w:val="0"/>
              <w:marTop w:val="0"/>
              <w:marBottom w:val="0"/>
              <w:divBdr>
                <w:top w:val="none" w:sz="0" w:space="0" w:color="auto"/>
                <w:left w:val="none" w:sz="0" w:space="0" w:color="auto"/>
                <w:bottom w:val="none" w:sz="0" w:space="0" w:color="auto"/>
                <w:right w:val="none" w:sz="0" w:space="0" w:color="auto"/>
              </w:divBdr>
            </w:div>
            <w:div w:id="1649477109">
              <w:marLeft w:val="0"/>
              <w:marRight w:val="0"/>
              <w:marTop w:val="0"/>
              <w:marBottom w:val="0"/>
              <w:divBdr>
                <w:top w:val="none" w:sz="0" w:space="0" w:color="auto"/>
                <w:left w:val="none" w:sz="0" w:space="0" w:color="auto"/>
                <w:bottom w:val="none" w:sz="0" w:space="0" w:color="auto"/>
                <w:right w:val="none" w:sz="0" w:space="0" w:color="auto"/>
              </w:divBdr>
            </w:div>
            <w:div w:id="393436377">
              <w:marLeft w:val="0"/>
              <w:marRight w:val="0"/>
              <w:marTop w:val="0"/>
              <w:marBottom w:val="0"/>
              <w:divBdr>
                <w:top w:val="none" w:sz="0" w:space="0" w:color="auto"/>
                <w:left w:val="none" w:sz="0" w:space="0" w:color="auto"/>
                <w:bottom w:val="none" w:sz="0" w:space="0" w:color="auto"/>
                <w:right w:val="none" w:sz="0" w:space="0" w:color="auto"/>
              </w:divBdr>
            </w:div>
            <w:div w:id="189343608">
              <w:marLeft w:val="0"/>
              <w:marRight w:val="0"/>
              <w:marTop w:val="0"/>
              <w:marBottom w:val="0"/>
              <w:divBdr>
                <w:top w:val="none" w:sz="0" w:space="0" w:color="auto"/>
                <w:left w:val="none" w:sz="0" w:space="0" w:color="auto"/>
                <w:bottom w:val="none" w:sz="0" w:space="0" w:color="auto"/>
                <w:right w:val="none" w:sz="0" w:space="0" w:color="auto"/>
              </w:divBdr>
            </w:div>
            <w:div w:id="789203931">
              <w:marLeft w:val="0"/>
              <w:marRight w:val="0"/>
              <w:marTop w:val="0"/>
              <w:marBottom w:val="0"/>
              <w:divBdr>
                <w:top w:val="none" w:sz="0" w:space="0" w:color="auto"/>
                <w:left w:val="none" w:sz="0" w:space="0" w:color="auto"/>
                <w:bottom w:val="none" w:sz="0" w:space="0" w:color="auto"/>
                <w:right w:val="none" w:sz="0" w:space="0" w:color="auto"/>
              </w:divBdr>
            </w:div>
            <w:div w:id="761297714">
              <w:marLeft w:val="0"/>
              <w:marRight w:val="0"/>
              <w:marTop w:val="0"/>
              <w:marBottom w:val="0"/>
              <w:divBdr>
                <w:top w:val="none" w:sz="0" w:space="0" w:color="auto"/>
                <w:left w:val="none" w:sz="0" w:space="0" w:color="auto"/>
                <w:bottom w:val="none" w:sz="0" w:space="0" w:color="auto"/>
                <w:right w:val="none" w:sz="0" w:space="0" w:color="auto"/>
              </w:divBdr>
            </w:div>
            <w:div w:id="1505120607">
              <w:marLeft w:val="0"/>
              <w:marRight w:val="0"/>
              <w:marTop w:val="0"/>
              <w:marBottom w:val="0"/>
              <w:divBdr>
                <w:top w:val="none" w:sz="0" w:space="0" w:color="auto"/>
                <w:left w:val="none" w:sz="0" w:space="0" w:color="auto"/>
                <w:bottom w:val="none" w:sz="0" w:space="0" w:color="auto"/>
                <w:right w:val="none" w:sz="0" w:space="0" w:color="auto"/>
              </w:divBdr>
            </w:div>
            <w:div w:id="1170176652">
              <w:marLeft w:val="0"/>
              <w:marRight w:val="0"/>
              <w:marTop w:val="0"/>
              <w:marBottom w:val="0"/>
              <w:divBdr>
                <w:top w:val="none" w:sz="0" w:space="0" w:color="auto"/>
                <w:left w:val="none" w:sz="0" w:space="0" w:color="auto"/>
                <w:bottom w:val="none" w:sz="0" w:space="0" w:color="auto"/>
                <w:right w:val="none" w:sz="0" w:space="0" w:color="auto"/>
              </w:divBdr>
            </w:div>
            <w:div w:id="8871873">
              <w:marLeft w:val="0"/>
              <w:marRight w:val="0"/>
              <w:marTop w:val="0"/>
              <w:marBottom w:val="0"/>
              <w:divBdr>
                <w:top w:val="none" w:sz="0" w:space="0" w:color="auto"/>
                <w:left w:val="none" w:sz="0" w:space="0" w:color="auto"/>
                <w:bottom w:val="none" w:sz="0" w:space="0" w:color="auto"/>
                <w:right w:val="none" w:sz="0" w:space="0" w:color="auto"/>
              </w:divBdr>
            </w:div>
            <w:div w:id="61607021">
              <w:marLeft w:val="0"/>
              <w:marRight w:val="0"/>
              <w:marTop w:val="0"/>
              <w:marBottom w:val="0"/>
              <w:divBdr>
                <w:top w:val="none" w:sz="0" w:space="0" w:color="auto"/>
                <w:left w:val="none" w:sz="0" w:space="0" w:color="auto"/>
                <w:bottom w:val="none" w:sz="0" w:space="0" w:color="auto"/>
                <w:right w:val="none" w:sz="0" w:space="0" w:color="auto"/>
              </w:divBdr>
            </w:div>
            <w:div w:id="1280725813">
              <w:marLeft w:val="0"/>
              <w:marRight w:val="0"/>
              <w:marTop w:val="0"/>
              <w:marBottom w:val="0"/>
              <w:divBdr>
                <w:top w:val="none" w:sz="0" w:space="0" w:color="auto"/>
                <w:left w:val="none" w:sz="0" w:space="0" w:color="auto"/>
                <w:bottom w:val="none" w:sz="0" w:space="0" w:color="auto"/>
                <w:right w:val="none" w:sz="0" w:space="0" w:color="auto"/>
              </w:divBdr>
            </w:div>
            <w:div w:id="784731612">
              <w:marLeft w:val="0"/>
              <w:marRight w:val="0"/>
              <w:marTop w:val="0"/>
              <w:marBottom w:val="0"/>
              <w:divBdr>
                <w:top w:val="none" w:sz="0" w:space="0" w:color="auto"/>
                <w:left w:val="none" w:sz="0" w:space="0" w:color="auto"/>
                <w:bottom w:val="none" w:sz="0" w:space="0" w:color="auto"/>
                <w:right w:val="none" w:sz="0" w:space="0" w:color="auto"/>
              </w:divBdr>
            </w:div>
            <w:div w:id="958024453">
              <w:marLeft w:val="0"/>
              <w:marRight w:val="0"/>
              <w:marTop w:val="0"/>
              <w:marBottom w:val="0"/>
              <w:divBdr>
                <w:top w:val="none" w:sz="0" w:space="0" w:color="auto"/>
                <w:left w:val="none" w:sz="0" w:space="0" w:color="auto"/>
                <w:bottom w:val="none" w:sz="0" w:space="0" w:color="auto"/>
                <w:right w:val="none" w:sz="0" w:space="0" w:color="auto"/>
              </w:divBdr>
            </w:div>
            <w:div w:id="548421454">
              <w:marLeft w:val="0"/>
              <w:marRight w:val="0"/>
              <w:marTop w:val="0"/>
              <w:marBottom w:val="0"/>
              <w:divBdr>
                <w:top w:val="none" w:sz="0" w:space="0" w:color="auto"/>
                <w:left w:val="none" w:sz="0" w:space="0" w:color="auto"/>
                <w:bottom w:val="none" w:sz="0" w:space="0" w:color="auto"/>
                <w:right w:val="none" w:sz="0" w:space="0" w:color="auto"/>
              </w:divBdr>
            </w:div>
            <w:div w:id="1029914568">
              <w:marLeft w:val="0"/>
              <w:marRight w:val="0"/>
              <w:marTop w:val="0"/>
              <w:marBottom w:val="0"/>
              <w:divBdr>
                <w:top w:val="none" w:sz="0" w:space="0" w:color="auto"/>
                <w:left w:val="none" w:sz="0" w:space="0" w:color="auto"/>
                <w:bottom w:val="none" w:sz="0" w:space="0" w:color="auto"/>
                <w:right w:val="none" w:sz="0" w:space="0" w:color="auto"/>
              </w:divBdr>
            </w:div>
            <w:div w:id="1889682750">
              <w:marLeft w:val="0"/>
              <w:marRight w:val="0"/>
              <w:marTop w:val="0"/>
              <w:marBottom w:val="0"/>
              <w:divBdr>
                <w:top w:val="none" w:sz="0" w:space="0" w:color="auto"/>
                <w:left w:val="none" w:sz="0" w:space="0" w:color="auto"/>
                <w:bottom w:val="none" w:sz="0" w:space="0" w:color="auto"/>
                <w:right w:val="none" w:sz="0" w:space="0" w:color="auto"/>
              </w:divBdr>
            </w:div>
            <w:div w:id="1812791706">
              <w:marLeft w:val="0"/>
              <w:marRight w:val="0"/>
              <w:marTop w:val="0"/>
              <w:marBottom w:val="0"/>
              <w:divBdr>
                <w:top w:val="none" w:sz="0" w:space="0" w:color="auto"/>
                <w:left w:val="none" w:sz="0" w:space="0" w:color="auto"/>
                <w:bottom w:val="none" w:sz="0" w:space="0" w:color="auto"/>
                <w:right w:val="none" w:sz="0" w:space="0" w:color="auto"/>
              </w:divBdr>
            </w:div>
            <w:div w:id="157812307">
              <w:marLeft w:val="0"/>
              <w:marRight w:val="0"/>
              <w:marTop w:val="0"/>
              <w:marBottom w:val="0"/>
              <w:divBdr>
                <w:top w:val="none" w:sz="0" w:space="0" w:color="auto"/>
                <w:left w:val="none" w:sz="0" w:space="0" w:color="auto"/>
                <w:bottom w:val="none" w:sz="0" w:space="0" w:color="auto"/>
                <w:right w:val="none" w:sz="0" w:space="0" w:color="auto"/>
              </w:divBdr>
            </w:div>
            <w:div w:id="770322618">
              <w:marLeft w:val="0"/>
              <w:marRight w:val="0"/>
              <w:marTop w:val="0"/>
              <w:marBottom w:val="0"/>
              <w:divBdr>
                <w:top w:val="none" w:sz="0" w:space="0" w:color="auto"/>
                <w:left w:val="none" w:sz="0" w:space="0" w:color="auto"/>
                <w:bottom w:val="none" w:sz="0" w:space="0" w:color="auto"/>
                <w:right w:val="none" w:sz="0" w:space="0" w:color="auto"/>
              </w:divBdr>
            </w:div>
            <w:div w:id="2005737524">
              <w:marLeft w:val="0"/>
              <w:marRight w:val="0"/>
              <w:marTop w:val="0"/>
              <w:marBottom w:val="0"/>
              <w:divBdr>
                <w:top w:val="none" w:sz="0" w:space="0" w:color="auto"/>
                <w:left w:val="none" w:sz="0" w:space="0" w:color="auto"/>
                <w:bottom w:val="none" w:sz="0" w:space="0" w:color="auto"/>
                <w:right w:val="none" w:sz="0" w:space="0" w:color="auto"/>
              </w:divBdr>
            </w:div>
            <w:div w:id="1950700577">
              <w:marLeft w:val="0"/>
              <w:marRight w:val="0"/>
              <w:marTop w:val="0"/>
              <w:marBottom w:val="0"/>
              <w:divBdr>
                <w:top w:val="none" w:sz="0" w:space="0" w:color="auto"/>
                <w:left w:val="none" w:sz="0" w:space="0" w:color="auto"/>
                <w:bottom w:val="none" w:sz="0" w:space="0" w:color="auto"/>
                <w:right w:val="none" w:sz="0" w:space="0" w:color="auto"/>
              </w:divBdr>
            </w:div>
            <w:div w:id="109328577">
              <w:marLeft w:val="0"/>
              <w:marRight w:val="0"/>
              <w:marTop w:val="0"/>
              <w:marBottom w:val="0"/>
              <w:divBdr>
                <w:top w:val="none" w:sz="0" w:space="0" w:color="auto"/>
                <w:left w:val="none" w:sz="0" w:space="0" w:color="auto"/>
                <w:bottom w:val="none" w:sz="0" w:space="0" w:color="auto"/>
                <w:right w:val="none" w:sz="0" w:space="0" w:color="auto"/>
              </w:divBdr>
            </w:div>
            <w:div w:id="1375080384">
              <w:marLeft w:val="0"/>
              <w:marRight w:val="0"/>
              <w:marTop w:val="0"/>
              <w:marBottom w:val="0"/>
              <w:divBdr>
                <w:top w:val="none" w:sz="0" w:space="0" w:color="auto"/>
                <w:left w:val="none" w:sz="0" w:space="0" w:color="auto"/>
                <w:bottom w:val="none" w:sz="0" w:space="0" w:color="auto"/>
                <w:right w:val="none" w:sz="0" w:space="0" w:color="auto"/>
              </w:divBdr>
            </w:div>
            <w:div w:id="969937038">
              <w:marLeft w:val="0"/>
              <w:marRight w:val="0"/>
              <w:marTop w:val="0"/>
              <w:marBottom w:val="0"/>
              <w:divBdr>
                <w:top w:val="none" w:sz="0" w:space="0" w:color="auto"/>
                <w:left w:val="none" w:sz="0" w:space="0" w:color="auto"/>
                <w:bottom w:val="none" w:sz="0" w:space="0" w:color="auto"/>
                <w:right w:val="none" w:sz="0" w:space="0" w:color="auto"/>
              </w:divBdr>
            </w:div>
            <w:div w:id="345987640">
              <w:marLeft w:val="0"/>
              <w:marRight w:val="0"/>
              <w:marTop w:val="0"/>
              <w:marBottom w:val="0"/>
              <w:divBdr>
                <w:top w:val="none" w:sz="0" w:space="0" w:color="auto"/>
                <w:left w:val="none" w:sz="0" w:space="0" w:color="auto"/>
                <w:bottom w:val="none" w:sz="0" w:space="0" w:color="auto"/>
                <w:right w:val="none" w:sz="0" w:space="0" w:color="auto"/>
              </w:divBdr>
            </w:div>
            <w:div w:id="1239176010">
              <w:marLeft w:val="0"/>
              <w:marRight w:val="0"/>
              <w:marTop w:val="0"/>
              <w:marBottom w:val="0"/>
              <w:divBdr>
                <w:top w:val="none" w:sz="0" w:space="0" w:color="auto"/>
                <w:left w:val="none" w:sz="0" w:space="0" w:color="auto"/>
                <w:bottom w:val="none" w:sz="0" w:space="0" w:color="auto"/>
                <w:right w:val="none" w:sz="0" w:space="0" w:color="auto"/>
              </w:divBdr>
            </w:div>
            <w:div w:id="1514876485">
              <w:marLeft w:val="0"/>
              <w:marRight w:val="0"/>
              <w:marTop w:val="0"/>
              <w:marBottom w:val="0"/>
              <w:divBdr>
                <w:top w:val="none" w:sz="0" w:space="0" w:color="auto"/>
                <w:left w:val="none" w:sz="0" w:space="0" w:color="auto"/>
                <w:bottom w:val="none" w:sz="0" w:space="0" w:color="auto"/>
                <w:right w:val="none" w:sz="0" w:space="0" w:color="auto"/>
              </w:divBdr>
            </w:div>
            <w:div w:id="736130736">
              <w:marLeft w:val="0"/>
              <w:marRight w:val="0"/>
              <w:marTop w:val="0"/>
              <w:marBottom w:val="0"/>
              <w:divBdr>
                <w:top w:val="none" w:sz="0" w:space="0" w:color="auto"/>
                <w:left w:val="none" w:sz="0" w:space="0" w:color="auto"/>
                <w:bottom w:val="none" w:sz="0" w:space="0" w:color="auto"/>
                <w:right w:val="none" w:sz="0" w:space="0" w:color="auto"/>
              </w:divBdr>
            </w:div>
            <w:div w:id="1981374373">
              <w:marLeft w:val="0"/>
              <w:marRight w:val="0"/>
              <w:marTop w:val="0"/>
              <w:marBottom w:val="0"/>
              <w:divBdr>
                <w:top w:val="none" w:sz="0" w:space="0" w:color="auto"/>
                <w:left w:val="none" w:sz="0" w:space="0" w:color="auto"/>
                <w:bottom w:val="none" w:sz="0" w:space="0" w:color="auto"/>
                <w:right w:val="none" w:sz="0" w:space="0" w:color="auto"/>
              </w:divBdr>
            </w:div>
            <w:div w:id="1455902912">
              <w:marLeft w:val="0"/>
              <w:marRight w:val="0"/>
              <w:marTop w:val="0"/>
              <w:marBottom w:val="0"/>
              <w:divBdr>
                <w:top w:val="none" w:sz="0" w:space="0" w:color="auto"/>
                <w:left w:val="none" w:sz="0" w:space="0" w:color="auto"/>
                <w:bottom w:val="none" w:sz="0" w:space="0" w:color="auto"/>
                <w:right w:val="none" w:sz="0" w:space="0" w:color="auto"/>
              </w:divBdr>
            </w:div>
            <w:div w:id="1869563590">
              <w:marLeft w:val="0"/>
              <w:marRight w:val="0"/>
              <w:marTop w:val="0"/>
              <w:marBottom w:val="0"/>
              <w:divBdr>
                <w:top w:val="none" w:sz="0" w:space="0" w:color="auto"/>
                <w:left w:val="none" w:sz="0" w:space="0" w:color="auto"/>
                <w:bottom w:val="none" w:sz="0" w:space="0" w:color="auto"/>
                <w:right w:val="none" w:sz="0" w:space="0" w:color="auto"/>
              </w:divBdr>
            </w:div>
            <w:div w:id="1058624280">
              <w:marLeft w:val="0"/>
              <w:marRight w:val="0"/>
              <w:marTop w:val="0"/>
              <w:marBottom w:val="0"/>
              <w:divBdr>
                <w:top w:val="none" w:sz="0" w:space="0" w:color="auto"/>
                <w:left w:val="none" w:sz="0" w:space="0" w:color="auto"/>
                <w:bottom w:val="none" w:sz="0" w:space="0" w:color="auto"/>
                <w:right w:val="none" w:sz="0" w:space="0" w:color="auto"/>
              </w:divBdr>
            </w:div>
            <w:div w:id="1392121613">
              <w:marLeft w:val="0"/>
              <w:marRight w:val="0"/>
              <w:marTop w:val="0"/>
              <w:marBottom w:val="0"/>
              <w:divBdr>
                <w:top w:val="none" w:sz="0" w:space="0" w:color="auto"/>
                <w:left w:val="none" w:sz="0" w:space="0" w:color="auto"/>
                <w:bottom w:val="none" w:sz="0" w:space="0" w:color="auto"/>
                <w:right w:val="none" w:sz="0" w:space="0" w:color="auto"/>
              </w:divBdr>
            </w:div>
            <w:div w:id="1475221210">
              <w:marLeft w:val="0"/>
              <w:marRight w:val="0"/>
              <w:marTop w:val="0"/>
              <w:marBottom w:val="0"/>
              <w:divBdr>
                <w:top w:val="none" w:sz="0" w:space="0" w:color="auto"/>
                <w:left w:val="none" w:sz="0" w:space="0" w:color="auto"/>
                <w:bottom w:val="none" w:sz="0" w:space="0" w:color="auto"/>
                <w:right w:val="none" w:sz="0" w:space="0" w:color="auto"/>
              </w:divBdr>
            </w:div>
            <w:div w:id="926109161">
              <w:marLeft w:val="0"/>
              <w:marRight w:val="0"/>
              <w:marTop w:val="0"/>
              <w:marBottom w:val="0"/>
              <w:divBdr>
                <w:top w:val="none" w:sz="0" w:space="0" w:color="auto"/>
                <w:left w:val="none" w:sz="0" w:space="0" w:color="auto"/>
                <w:bottom w:val="none" w:sz="0" w:space="0" w:color="auto"/>
                <w:right w:val="none" w:sz="0" w:space="0" w:color="auto"/>
              </w:divBdr>
            </w:div>
            <w:div w:id="182401748">
              <w:marLeft w:val="0"/>
              <w:marRight w:val="0"/>
              <w:marTop w:val="0"/>
              <w:marBottom w:val="0"/>
              <w:divBdr>
                <w:top w:val="none" w:sz="0" w:space="0" w:color="auto"/>
                <w:left w:val="none" w:sz="0" w:space="0" w:color="auto"/>
                <w:bottom w:val="none" w:sz="0" w:space="0" w:color="auto"/>
                <w:right w:val="none" w:sz="0" w:space="0" w:color="auto"/>
              </w:divBdr>
            </w:div>
            <w:div w:id="2133207080">
              <w:marLeft w:val="0"/>
              <w:marRight w:val="0"/>
              <w:marTop w:val="0"/>
              <w:marBottom w:val="0"/>
              <w:divBdr>
                <w:top w:val="none" w:sz="0" w:space="0" w:color="auto"/>
                <w:left w:val="none" w:sz="0" w:space="0" w:color="auto"/>
                <w:bottom w:val="none" w:sz="0" w:space="0" w:color="auto"/>
                <w:right w:val="none" w:sz="0" w:space="0" w:color="auto"/>
              </w:divBdr>
            </w:div>
            <w:div w:id="545067998">
              <w:marLeft w:val="0"/>
              <w:marRight w:val="0"/>
              <w:marTop w:val="0"/>
              <w:marBottom w:val="0"/>
              <w:divBdr>
                <w:top w:val="none" w:sz="0" w:space="0" w:color="auto"/>
                <w:left w:val="none" w:sz="0" w:space="0" w:color="auto"/>
                <w:bottom w:val="none" w:sz="0" w:space="0" w:color="auto"/>
                <w:right w:val="none" w:sz="0" w:space="0" w:color="auto"/>
              </w:divBdr>
            </w:div>
            <w:div w:id="908461393">
              <w:marLeft w:val="0"/>
              <w:marRight w:val="0"/>
              <w:marTop w:val="0"/>
              <w:marBottom w:val="0"/>
              <w:divBdr>
                <w:top w:val="none" w:sz="0" w:space="0" w:color="auto"/>
                <w:left w:val="none" w:sz="0" w:space="0" w:color="auto"/>
                <w:bottom w:val="none" w:sz="0" w:space="0" w:color="auto"/>
                <w:right w:val="none" w:sz="0" w:space="0" w:color="auto"/>
              </w:divBdr>
            </w:div>
            <w:div w:id="1901596592">
              <w:marLeft w:val="0"/>
              <w:marRight w:val="0"/>
              <w:marTop w:val="0"/>
              <w:marBottom w:val="0"/>
              <w:divBdr>
                <w:top w:val="none" w:sz="0" w:space="0" w:color="auto"/>
                <w:left w:val="none" w:sz="0" w:space="0" w:color="auto"/>
                <w:bottom w:val="none" w:sz="0" w:space="0" w:color="auto"/>
                <w:right w:val="none" w:sz="0" w:space="0" w:color="auto"/>
              </w:divBdr>
            </w:div>
            <w:div w:id="1804157601">
              <w:marLeft w:val="0"/>
              <w:marRight w:val="0"/>
              <w:marTop w:val="0"/>
              <w:marBottom w:val="0"/>
              <w:divBdr>
                <w:top w:val="none" w:sz="0" w:space="0" w:color="auto"/>
                <w:left w:val="none" w:sz="0" w:space="0" w:color="auto"/>
                <w:bottom w:val="none" w:sz="0" w:space="0" w:color="auto"/>
                <w:right w:val="none" w:sz="0" w:space="0" w:color="auto"/>
              </w:divBdr>
            </w:div>
            <w:div w:id="655036073">
              <w:marLeft w:val="0"/>
              <w:marRight w:val="0"/>
              <w:marTop w:val="0"/>
              <w:marBottom w:val="0"/>
              <w:divBdr>
                <w:top w:val="none" w:sz="0" w:space="0" w:color="auto"/>
                <w:left w:val="none" w:sz="0" w:space="0" w:color="auto"/>
                <w:bottom w:val="none" w:sz="0" w:space="0" w:color="auto"/>
                <w:right w:val="none" w:sz="0" w:space="0" w:color="auto"/>
              </w:divBdr>
            </w:div>
            <w:div w:id="2044549937">
              <w:marLeft w:val="0"/>
              <w:marRight w:val="0"/>
              <w:marTop w:val="0"/>
              <w:marBottom w:val="0"/>
              <w:divBdr>
                <w:top w:val="none" w:sz="0" w:space="0" w:color="auto"/>
                <w:left w:val="none" w:sz="0" w:space="0" w:color="auto"/>
                <w:bottom w:val="none" w:sz="0" w:space="0" w:color="auto"/>
                <w:right w:val="none" w:sz="0" w:space="0" w:color="auto"/>
              </w:divBdr>
            </w:div>
            <w:div w:id="395324710">
              <w:marLeft w:val="0"/>
              <w:marRight w:val="0"/>
              <w:marTop w:val="0"/>
              <w:marBottom w:val="0"/>
              <w:divBdr>
                <w:top w:val="none" w:sz="0" w:space="0" w:color="auto"/>
                <w:left w:val="none" w:sz="0" w:space="0" w:color="auto"/>
                <w:bottom w:val="none" w:sz="0" w:space="0" w:color="auto"/>
                <w:right w:val="none" w:sz="0" w:space="0" w:color="auto"/>
              </w:divBdr>
            </w:div>
            <w:div w:id="613168574">
              <w:marLeft w:val="0"/>
              <w:marRight w:val="0"/>
              <w:marTop w:val="0"/>
              <w:marBottom w:val="0"/>
              <w:divBdr>
                <w:top w:val="none" w:sz="0" w:space="0" w:color="auto"/>
                <w:left w:val="none" w:sz="0" w:space="0" w:color="auto"/>
                <w:bottom w:val="none" w:sz="0" w:space="0" w:color="auto"/>
                <w:right w:val="none" w:sz="0" w:space="0" w:color="auto"/>
              </w:divBdr>
            </w:div>
            <w:div w:id="1452356996">
              <w:marLeft w:val="0"/>
              <w:marRight w:val="0"/>
              <w:marTop w:val="0"/>
              <w:marBottom w:val="0"/>
              <w:divBdr>
                <w:top w:val="none" w:sz="0" w:space="0" w:color="auto"/>
                <w:left w:val="none" w:sz="0" w:space="0" w:color="auto"/>
                <w:bottom w:val="none" w:sz="0" w:space="0" w:color="auto"/>
                <w:right w:val="none" w:sz="0" w:space="0" w:color="auto"/>
              </w:divBdr>
            </w:div>
            <w:div w:id="772936682">
              <w:marLeft w:val="0"/>
              <w:marRight w:val="0"/>
              <w:marTop w:val="0"/>
              <w:marBottom w:val="0"/>
              <w:divBdr>
                <w:top w:val="none" w:sz="0" w:space="0" w:color="auto"/>
                <w:left w:val="none" w:sz="0" w:space="0" w:color="auto"/>
                <w:bottom w:val="none" w:sz="0" w:space="0" w:color="auto"/>
                <w:right w:val="none" w:sz="0" w:space="0" w:color="auto"/>
              </w:divBdr>
            </w:div>
            <w:div w:id="1977106986">
              <w:marLeft w:val="0"/>
              <w:marRight w:val="0"/>
              <w:marTop w:val="0"/>
              <w:marBottom w:val="0"/>
              <w:divBdr>
                <w:top w:val="none" w:sz="0" w:space="0" w:color="auto"/>
                <w:left w:val="none" w:sz="0" w:space="0" w:color="auto"/>
                <w:bottom w:val="none" w:sz="0" w:space="0" w:color="auto"/>
                <w:right w:val="none" w:sz="0" w:space="0" w:color="auto"/>
              </w:divBdr>
            </w:div>
            <w:div w:id="1685520526">
              <w:marLeft w:val="0"/>
              <w:marRight w:val="0"/>
              <w:marTop w:val="0"/>
              <w:marBottom w:val="0"/>
              <w:divBdr>
                <w:top w:val="none" w:sz="0" w:space="0" w:color="auto"/>
                <w:left w:val="none" w:sz="0" w:space="0" w:color="auto"/>
                <w:bottom w:val="none" w:sz="0" w:space="0" w:color="auto"/>
                <w:right w:val="none" w:sz="0" w:space="0" w:color="auto"/>
              </w:divBdr>
            </w:div>
            <w:div w:id="1617525136">
              <w:marLeft w:val="0"/>
              <w:marRight w:val="0"/>
              <w:marTop w:val="0"/>
              <w:marBottom w:val="0"/>
              <w:divBdr>
                <w:top w:val="none" w:sz="0" w:space="0" w:color="auto"/>
                <w:left w:val="none" w:sz="0" w:space="0" w:color="auto"/>
                <w:bottom w:val="none" w:sz="0" w:space="0" w:color="auto"/>
                <w:right w:val="none" w:sz="0" w:space="0" w:color="auto"/>
              </w:divBdr>
            </w:div>
            <w:div w:id="1056852783">
              <w:marLeft w:val="0"/>
              <w:marRight w:val="0"/>
              <w:marTop w:val="0"/>
              <w:marBottom w:val="0"/>
              <w:divBdr>
                <w:top w:val="none" w:sz="0" w:space="0" w:color="auto"/>
                <w:left w:val="none" w:sz="0" w:space="0" w:color="auto"/>
                <w:bottom w:val="none" w:sz="0" w:space="0" w:color="auto"/>
                <w:right w:val="none" w:sz="0" w:space="0" w:color="auto"/>
              </w:divBdr>
            </w:div>
            <w:div w:id="1834487882">
              <w:marLeft w:val="0"/>
              <w:marRight w:val="0"/>
              <w:marTop w:val="0"/>
              <w:marBottom w:val="0"/>
              <w:divBdr>
                <w:top w:val="none" w:sz="0" w:space="0" w:color="auto"/>
                <w:left w:val="none" w:sz="0" w:space="0" w:color="auto"/>
                <w:bottom w:val="none" w:sz="0" w:space="0" w:color="auto"/>
                <w:right w:val="none" w:sz="0" w:space="0" w:color="auto"/>
              </w:divBdr>
            </w:div>
            <w:div w:id="2020304279">
              <w:marLeft w:val="0"/>
              <w:marRight w:val="0"/>
              <w:marTop w:val="0"/>
              <w:marBottom w:val="0"/>
              <w:divBdr>
                <w:top w:val="none" w:sz="0" w:space="0" w:color="auto"/>
                <w:left w:val="none" w:sz="0" w:space="0" w:color="auto"/>
                <w:bottom w:val="none" w:sz="0" w:space="0" w:color="auto"/>
                <w:right w:val="none" w:sz="0" w:space="0" w:color="auto"/>
              </w:divBdr>
            </w:div>
            <w:div w:id="9646648">
              <w:marLeft w:val="0"/>
              <w:marRight w:val="0"/>
              <w:marTop w:val="0"/>
              <w:marBottom w:val="0"/>
              <w:divBdr>
                <w:top w:val="none" w:sz="0" w:space="0" w:color="auto"/>
                <w:left w:val="none" w:sz="0" w:space="0" w:color="auto"/>
                <w:bottom w:val="none" w:sz="0" w:space="0" w:color="auto"/>
                <w:right w:val="none" w:sz="0" w:space="0" w:color="auto"/>
              </w:divBdr>
            </w:div>
            <w:div w:id="383723690">
              <w:marLeft w:val="0"/>
              <w:marRight w:val="0"/>
              <w:marTop w:val="0"/>
              <w:marBottom w:val="0"/>
              <w:divBdr>
                <w:top w:val="none" w:sz="0" w:space="0" w:color="auto"/>
                <w:left w:val="none" w:sz="0" w:space="0" w:color="auto"/>
                <w:bottom w:val="none" w:sz="0" w:space="0" w:color="auto"/>
                <w:right w:val="none" w:sz="0" w:space="0" w:color="auto"/>
              </w:divBdr>
            </w:div>
            <w:div w:id="117070584">
              <w:marLeft w:val="0"/>
              <w:marRight w:val="0"/>
              <w:marTop w:val="0"/>
              <w:marBottom w:val="0"/>
              <w:divBdr>
                <w:top w:val="none" w:sz="0" w:space="0" w:color="auto"/>
                <w:left w:val="none" w:sz="0" w:space="0" w:color="auto"/>
                <w:bottom w:val="none" w:sz="0" w:space="0" w:color="auto"/>
                <w:right w:val="none" w:sz="0" w:space="0" w:color="auto"/>
              </w:divBdr>
            </w:div>
            <w:div w:id="201554123">
              <w:marLeft w:val="0"/>
              <w:marRight w:val="0"/>
              <w:marTop w:val="0"/>
              <w:marBottom w:val="0"/>
              <w:divBdr>
                <w:top w:val="none" w:sz="0" w:space="0" w:color="auto"/>
                <w:left w:val="none" w:sz="0" w:space="0" w:color="auto"/>
                <w:bottom w:val="none" w:sz="0" w:space="0" w:color="auto"/>
                <w:right w:val="none" w:sz="0" w:space="0" w:color="auto"/>
              </w:divBdr>
            </w:div>
            <w:div w:id="837966019">
              <w:marLeft w:val="0"/>
              <w:marRight w:val="0"/>
              <w:marTop w:val="0"/>
              <w:marBottom w:val="0"/>
              <w:divBdr>
                <w:top w:val="none" w:sz="0" w:space="0" w:color="auto"/>
                <w:left w:val="none" w:sz="0" w:space="0" w:color="auto"/>
                <w:bottom w:val="none" w:sz="0" w:space="0" w:color="auto"/>
                <w:right w:val="none" w:sz="0" w:space="0" w:color="auto"/>
              </w:divBdr>
            </w:div>
            <w:div w:id="1606960844">
              <w:marLeft w:val="0"/>
              <w:marRight w:val="0"/>
              <w:marTop w:val="0"/>
              <w:marBottom w:val="0"/>
              <w:divBdr>
                <w:top w:val="none" w:sz="0" w:space="0" w:color="auto"/>
                <w:left w:val="none" w:sz="0" w:space="0" w:color="auto"/>
                <w:bottom w:val="none" w:sz="0" w:space="0" w:color="auto"/>
                <w:right w:val="none" w:sz="0" w:space="0" w:color="auto"/>
              </w:divBdr>
            </w:div>
            <w:div w:id="170028635">
              <w:marLeft w:val="0"/>
              <w:marRight w:val="0"/>
              <w:marTop w:val="0"/>
              <w:marBottom w:val="0"/>
              <w:divBdr>
                <w:top w:val="none" w:sz="0" w:space="0" w:color="auto"/>
                <w:left w:val="none" w:sz="0" w:space="0" w:color="auto"/>
                <w:bottom w:val="none" w:sz="0" w:space="0" w:color="auto"/>
                <w:right w:val="none" w:sz="0" w:space="0" w:color="auto"/>
              </w:divBdr>
            </w:div>
            <w:div w:id="1343169028">
              <w:marLeft w:val="0"/>
              <w:marRight w:val="0"/>
              <w:marTop w:val="0"/>
              <w:marBottom w:val="0"/>
              <w:divBdr>
                <w:top w:val="none" w:sz="0" w:space="0" w:color="auto"/>
                <w:left w:val="none" w:sz="0" w:space="0" w:color="auto"/>
                <w:bottom w:val="none" w:sz="0" w:space="0" w:color="auto"/>
                <w:right w:val="none" w:sz="0" w:space="0" w:color="auto"/>
              </w:divBdr>
            </w:div>
            <w:div w:id="239289873">
              <w:marLeft w:val="0"/>
              <w:marRight w:val="0"/>
              <w:marTop w:val="0"/>
              <w:marBottom w:val="0"/>
              <w:divBdr>
                <w:top w:val="none" w:sz="0" w:space="0" w:color="auto"/>
                <w:left w:val="none" w:sz="0" w:space="0" w:color="auto"/>
                <w:bottom w:val="none" w:sz="0" w:space="0" w:color="auto"/>
                <w:right w:val="none" w:sz="0" w:space="0" w:color="auto"/>
              </w:divBdr>
            </w:div>
            <w:div w:id="529411928">
              <w:marLeft w:val="0"/>
              <w:marRight w:val="0"/>
              <w:marTop w:val="0"/>
              <w:marBottom w:val="0"/>
              <w:divBdr>
                <w:top w:val="none" w:sz="0" w:space="0" w:color="auto"/>
                <w:left w:val="none" w:sz="0" w:space="0" w:color="auto"/>
                <w:bottom w:val="none" w:sz="0" w:space="0" w:color="auto"/>
                <w:right w:val="none" w:sz="0" w:space="0" w:color="auto"/>
              </w:divBdr>
            </w:div>
            <w:div w:id="1268123671">
              <w:marLeft w:val="0"/>
              <w:marRight w:val="0"/>
              <w:marTop w:val="0"/>
              <w:marBottom w:val="0"/>
              <w:divBdr>
                <w:top w:val="none" w:sz="0" w:space="0" w:color="auto"/>
                <w:left w:val="none" w:sz="0" w:space="0" w:color="auto"/>
                <w:bottom w:val="none" w:sz="0" w:space="0" w:color="auto"/>
                <w:right w:val="none" w:sz="0" w:space="0" w:color="auto"/>
              </w:divBdr>
            </w:div>
            <w:div w:id="1899318232">
              <w:marLeft w:val="0"/>
              <w:marRight w:val="0"/>
              <w:marTop w:val="0"/>
              <w:marBottom w:val="0"/>
              <w:divBdr>
                <w:top w:val="none" w:sz="0" w:space="0" w:color="auto"/>
                <w:left w:val="none" w:sz="0" w:space="0" w:color="auto"/>
                <w:bottom w:val="none" w:sz="0" w:space="0" w:color="auto"/>
                <w:right w:val="none" w:sz="0" w:space="0" w:color="auto"/>
              </w:divBdr>
            </w:div>
            <w:div w:id="1050571112">
              <w:marLeft w:val="0"/>
              <w:marRight w:val="0"/>
              <w:marTop w:val="0"/>
              <w:marBottom w:val="0"/>
              <w:divBdr>
                <w:top w:val="none" w:sz="0" w:space="0" w:color="auto"/>
                <w:left w:val="none" w:sz="0" w:space="0" w:color="auto"/>
                <w:bottom w:val="none" w:sz="0" w:space="0" w:color="auto"/>
                <w:right w:val="none" w:sz="0" w:space="0" w:color="auto"/>
              </w:divBdr>
            </w:div>
            <w:div w:id="1527327070">
              <w:marLeft w:val="0"/>
              <w:marRight w:val="0"/>
              <w:marTop w:val="0"/>
              <w:marBottom w:val="0"/>
              <w:divBdr>
                <w:top w:val="none" w:sz="0" w:space="0" w:color="auto"/>
                <w:left w:val="none" w:sz="0" w:space="0" w:color="auto"/>
                <w:bottom w:val="none" w:sz="0" w:space="0" w:color="auto"/>
                <w:right w:val="none" w:sz="0" w:space="0" w:color="auto"/>
              </w:divBdr>
            </w:div>
            <w:div w:id="443498934">
              <w:marLeft w:val="0"/>
              <w:marRight w:val="0"/>
              <w:marTop w:val="0"/>
              <w:marBottom w:val="0"/>
              <w:divBdr>
                <w:top w:val="none" w:sz="0" w:space="0" w:color="auto"/>
                <w:left w:val="none" w:sz="0" w:space="0" w:color="auto"/>
                <w:bottom w:val="none" w:sz="0" w:space="0" w:color="auto"/>
                <w:right w:val="none" w:sz="0" w:space="0" w:color="auto"/>
              </w:divBdr>
            </w:div>
            <w:div w:id="1913347662">
              <w:marLeft w:val="0"/>
              <w:marRight w:val="0"/>
              <w:marTop w:val="0"/>
              <w:marBottom w:val="0"/>
              <w:divBdr>
                <w:top w:val="none" w:sz="0" w:space="0" w:color="auto"/>
                <w:left w:val="none" w:sz="0" w:space="0" w:color="auto"/>
                <w:bottom w:val="none" w:sz="0" w:space="0" w:color="auto"/>
                <w:right w:val="none" w:sz="0" w:space="0" w:color="auto"/>
              </w:divBdr>
            </w:div>
            <w:div w:id="25907551">
              <w:marLeft w:val="0"/>
              <w:marRight w:val="0"/>
              <w:marTop w:val="0"/>
              <w:marBottom w:val="0"/>
              <w:divBdr>
                <w:top w:val="none" w:sz="0" w:space="0" w:color="auto"/>
                <w:left w:val="none" w:sz="0" w:space="0" w:color="auto"/>
                <w:bottom w:val="none" w:sz="0" w:space="0" w:color="auto"/>
                <w:right w:val="none" w:sz="0" w:space="0" w:color="auto"/>
              </w:divBdr>
            </w:div>
            <w:div w:id="1104690459">
              <w:marLeft w:val="0"/>
              <w:marRight w:val="0"/>
              <w:marTop w:val="0"/>
              <w:marBottom w:val="0"/>
              <w:divBdr>
                <w:top w:val="none" w:sz="0" w:space="0" w:color="auto"/>
                <w:left w:val="none" w:sz="0" w:space="0" w:color="auto"/>
                <w:bottom w:val="none" w:sz="0" w:space="0" w:color="auto"/>
                <w:right w:val="none" w:sz="0" w:space="0" w:color="auto"/>
              </w:divBdr>
            </w:div>
            <w:div w:id="1477723785">
              <w:marLeft w:val="0"/>
              <w:marRight w:val="0"/>
              <w:marTop w:val="0"/>
              <w:marBottom w:val="0"/>
              <w:divBdr>
                <w:top w:val="none" w:sz="0" w:space="0" w:color="auto"/>
                <w:left w:val="none" w:sz="0" w:space="0" w:color="auto"/>
                <w:bottom w:val="none" w:sz="0" w:space="0" w:color="auto"/>
                <w:right w:val="none" w:sz="0" w:space="0" w:color="auto"/>
              </w:divBdr>
            </w:div>
            <w:div w:id="214202958">
              <w:marLeft w:val="0"/>
              <w:marRight w:val="0"/>
              <w:marTop w:val="0"/>
              <w:marBottom w:val="0"/>
              <w:divBdr>
                <w:top w:val="none" w:sz="0" w:space="0" w:color="auto"/>
                <w:left w:val="none" w:sz="0" w:space="0" w:color="auto"/>
                <w:bottom w:val="none" w:sz="0" w:space="0" w:color="auto"/>
                <w:right w:val="none" w:sz="0" w:space="0" w:color="auto"/>
              </w:divBdr>
            </w:div>
            <w:div w:id="781994440">
              <w:marLeft w:val="0"/>
              <w:marRight w:val="0"/>
              <w:marTop w:val="0"/>
              <w:marBottom w:val="0"/>
              <w:divBdr>
                <w:top w:val="none" w:sz="0" w:space="0" w:color="auto"/>
                <w:left w:val="none" w:sz="0" w:space="0" w:color="auto"/>
                <w:bottom w:val="none" w:sz="0" w:space="0" w:color="auto"/>
                <w:right w:val="none" w:sz="0" w:space="0" w:color="auto"/>
              </w:divBdr>
            </w:div>
            <w:div w:id="570694038">
              <w:marLeft w:val="0"/>
              <w:marRight w:val="0"/>
              <w:marTop w:val="0"/>
              <w:marBottom w:val="0"/>
              <w:divBdr>
                <w:top w:val="none" w:sz="0" w:space="0" w:color="auto"/>
                <w:left w:val="none" w:sz="0" w:space="0" w:color="auto"/>
                <w:bottom w:val="none" w:sz="0" w:space="0" w:color="auto"/>
                <w:right w:val="none" w:sz="0" w:space="0" w:color="auto"/>
              </w:divBdr>
            </w:div>
            <w:div w:id="837576607">
              <w:marLeft w:val="0"/>
              <w:marRight w:val="0"/>
              <w:marTop w:val="0"/>
              <w:marBottom w:val="0"/>
              <w:divBdr>
                <w:top w:val="none" w:sz="0" w:space="0" w:color="auto"/>
                <w:left w:val="none" w:sz="0" w:space="0" w:color="auto"/>
                <w:bottom w:val="none" w:sz="0" w:space="0" w:color="auto"/>
                <w:right w:val="none" w:sz="0" w:space="0" w:color="auto"/>
              </w:divBdr>
            </w:div>
            <w:div w:id="1867401114">
              <w:marLeft w:val="0"/>
              <w:marRight w:val="0"/>
              <w:marTop w:val="0"/>
              <w:marBottom w:val="0"/>
              <w:divBdr>
                <w:top w:val="none" w:sz="0" w:space="0" w:color="auto"/>
                <w:left w:val="none" w:sz="0" w:space="0" w:color="auto"/>
                <w:bottom w:val="none" w:sz="0" w:space="0" w:color="auto"/>
                <w:right w:val="none" w:sz="0" w:space="0" w:color="auto"/>
              </w:divBdr>
            </w:div>
            <w:div w:id="2019233313">
              <w:marLeft w:val="0"/>
              <w:marRight w:val="0"/>
              <w:marTop w:val="0"/>
              <w:marBottom w:val="0"/>
              <w:divBdr>
                <w:top w:val="none" w:sz="0" w:space="0" w:color="auto"/>
                <w:left w:val="none" w:sz="0" w:space="0" w:color="auto"/>
                <w:bottom w:val="none" w:sz="0" w:space="0" w:color="auto"/>
                <w:right w:val="none" w:sz="0" w:space="0" w:color="auto"/>
              </w:divBdr>
            </w:div>
            <w:div w:id="112017426">
              <w:marLeft w:val="0"/>
              <w:marRight w:val="0"/>
              <w:marTop w:val="0"/>
              <w:marBottom w:val="0"/>
              <w:divBdr>
                <w:top w:val="none" w:sz="0" w:space="0" w:color="auto"/>
                <w:left w:val="none" w:sz="0" w:space="0" w:color="auto"/>
                <w:bottom w:val="none" w:sz="0" w:space="0" w:color="auto"/>
                <w:right w:val="none" w:sz="0" w:space="0" w:color="auto"/>
              </w:divBdr>
            </w:div>
            <w:div w:id="2122647038">
              <w:marLeft w:val="0"/>
              <w:marRight w:val="0"/>
              <w:marTop w:val="0"/>
              <w:marBottom w:val="0"/>
              <w:divBdr>
                <w:top w:val="none" w:sz="0" w:space="0" w:color="auto"/>
                <w:left w:val="none" w:sz="0" w:space="0" w:color="auto"/>
                <w:bottom w:val="none" w:sz="0" w:space="0" w:color="auto"/>
                <w:right w:val="none" w:sz="0" w:space="0" w:color="auto"/>
              </w:divBdr>
            </w:div>
            <w:div w:id="1953971077">
              <w:marLeft w:val="0"/>
              <w:marRight w:val="0"/>
              <w:marTop w:val="0"/>
              <w:marBottom w:val="0"/>
              <w:divBdr>
                <w:top w:val="none" w:sz="0" w:space="0" w:color="auto"/>
                <w:left w:val="none" w:sz="0" w:space="0" w:color="auto"/>
                <w:bottom w:val="none" w:sz="0" w:space="0" w:color="auto"/>
                <w:right w:val="none" w:sz="0" w:space="0" w:color="auto"/>
              </w:divBdr>
            </w:div>
            <w:div w:id="2051605773">
              <w:marLeft w:val="0"/>
              <w:marRight w:val="0"/>
              <w:marTop w:val="0"/>
              <w:marBottom w:val="0"/>
              <w:divBdr>
                <w:top w:val="none" w:sz="0" w:space="0" w:color="auto"/>
                <w:left w:val="none" w:sz="0" w:space="0" w:color="auto"/>
                <w:bottom w:val="none" w:sz="0" w:space="0" w:color="auto"/>
                <w:right w:val="none" w:sz="0" w:space="0" w:color="auto"/>
              </w:divBdr>
            </w:div>
            <w:div w:id="1186477622">
              <w:marLeft w:val="0"/>
              <w:marRight w:val="0"/>
              <w:marTop w:val="0"/>
              <w:marBottom w:val="0"/>
              <w:divBdr>
                <w:top w:val="none" w:sz="0" w:space="0" w:color="auto"/>
                <w:left w:val="none" w:sz="0" w:space="0" w:color="auto"/>
                <w:bottom w:val="none" w:sz="0" w:space="0" w:color="auto"/>
                <w:right w:val="none" w:sz="0" w:space="0" w:color="auto"/>
              </w:divBdr>
            </w:div>
            <w:div w:id="1101073825">
              <w:marLeft w:val="0"/>
              <w:marRight w:val="0"/>
              <w:marTop w:val="0"/>
              <w:marBottom w:val="0"/>
              <w:divBdr>
                <w:top w:val="none" w:sz="0" w:space="0" w:color="auto"/>
                <w:left w:val="none" w:sz="0" w:space="0" w:color="auto"/>
                <w:bottom w:val="none" w:sz="0" w:space="0" w:color="auto"/>
                <w:right w:val="none" w:sz="0" w:space="0" w:color="auto"/>
              </w:divBdr>
            </w:div>
            <w:div w:id="1669597698">
              <w:marLeft w:val="0"/>
              <w:marRight w:val="0"/>
              <w:marTop w:val="0"/>
              <w:marBottom w:val="0"/>
              <w:divBdr>
                <w:top w:val="none" w:sz="0" w:space="0" w:color="auto"/>
                <w:left w:val="none" w:sz="0" w:space="0" w:color="auto"/>
                <w:bottom w:val="none" w:sz="0" w:space="0" w:color="auto"/>
                <w:right w:val="none" w:sz="0" w:space="0" w:color="auto"/>
              </w:divBdr>
            </w:div>
            <w:div w:id="1887182391">
              <w:marLeft w:val="0"/>
              <w:marRight w:val="0"/>
              <w:marTop w:val="0"/>
              <w:marBottom w:val="0"/>
              <w:divBdr>
                <w:top w:val="none" w:sz="0" w:space="0" w:color="auto"/>
                <w:left w:val="none" w:sz="0" w:space="0" w:color="auto"/>
                <w:bottom w:val="none" w:sz="0" w:space="0" w:color="auto"/>
                <w:right w:val="none" w:sz="0" w:space="0" w:color="auto"/>
              </w:divBdr>
            </w:div>
            <w:div w:id="663515521">
              <w:marLeft w:val="0"/>
              <w:marRight w:val="0"/>
              <w:marTop w:val="0"/>
              <w:marBottom w:val="0"/>
              <w:divBdr>
                <w:top w:val="none" w:sz="0" w:space="0" w:color="auto"/>
                <w:left w:val="none" w:sz="0" w:space="0" w:color="auto"/>
                <w:bottom w:val="none" w:sz="0" w:space="0" w:color="auto"/>
                <w:right w:val="none" w:sz="0" w:space="0" w:color="auto"/>
              </w:divBdr>
            </w:div>
            <w:div w:id="341049646">
              <w:marLeft w:val="0"/>
              <w:marRight w:val="0"/>
              <w:marTop w:val="0"/>
              <w:marBottom w:val="0"/>
              <w:divBdr>
                <w:top w:val="none" w:sz="0" w:space="0" w:color="auto"/>
                <w:left w:val="none" w:sz="0" w:space="0" w:color="auto"/>
                <w:bottom w:val="none" w:sz="0" w:space="0" w:color="auto"/>
                <w:right w:val="none" w:sz="0" w:space="0" w:color="auto"/>
              </w:divBdr>
            </w:div>
            <w:div w:id="1379090778">
              <w:marLeft w:val="0"/>
              <w:marRight w:val="0"/>
              <w:marTop w:val="0"/>
              <w:marBottom w:val="0"/>
              <w:divBdr>
                <w:top w:val="none" w:sz="0" w:space="0" w:color="auto"/>
                <w:left w:val="none" w:sz="0" w:space="0" w:color="auto"/>
                <w:bottom w:val="none" w:sz="0" w:space="0" w:color="auto"/>
                <w:right w:val="none" w:sz="0" w:space="0" w:color="auto"/>
              </w:divBdr>
            </w:div>
            <w:div w:id="608127903">
              <w:marLeft w:val="0"/>
              <w:marRight w:val="0"/>
              <w:marTop w:val="0"/>
              <w:marBottom w:val="0"/>
              <w:divBdr>
                <w:top w:val="none" w:sz="0" w:space="0" w:color="auto"/>
                <w:left w:val="none" w:sz="0" w:space="0" w:color="auto"/>
                <w:bottom w:val="none" w:sz="0" w:space="0" w:color="auto"/>
                <w:right w:val="none" w:sz="0" w:space="0" w:color="auto"/>
              </w:divBdr>
            </w:div>
            <w:div w:id="930550160">
              <w:marLeft w:val="0"/>
              <w:marRight w:val="0"/>
              <w:marTop w:val="0"/>
              <w:marBottom w:val="0"/>
              <w:divBdr>
                <w:top w:val="none" w:sz="0" w:space="0" w:color="auto"/>
                <w:left w:val="none" w:sz="0" w:space="0" w:color="auto"/>
                <w:bottom w:val="none" w:sz="0" w:space="0" w:color="auto"/>
                <w:right w:val="none" w:sz="0" w:space="0" w:color="auto"/>
              </w:divBdr>
            </w:div>
            <w:div w:id="1360467668">
              <w:marLeft w:val="0"/>
              <w:marRight w:val="0"/>
              <w:marTop w:val="0"/>
              <w:marBottom w:val="0"/>
              <w:divBdr>
                <w:top w:val="none" w:sz="0" w:space="0" w:color="auto"/>
                <w:left w:val="none" w:sz="0" w:space="0" w:color="auto"/>
                <w:bottom w:val="none" w:sz="0" w:space="0" w:color="auto"/>
                <w:right w:val="none" w:sz="0" w:space="0" w:color="auto"/>
              </w:divBdr>
            </w:div>
            <w:div w:id="1614555815">
              <w:marLeft w:val="0"/>
              <w:marRight w:val="0"/>
              <w:marTop w:val="0"/>
              <w:marBottom w:val="0"/>
              <w:divBdr>
                <w:top w:val="none" w:sz="0" w:space="0" w:color="auto"/>
                <w:left w:val="none" w:sz="0" w:space="0" w:color="auto"/>
                <w:bottom w:val="none" w:sz="0" w:space="0" w:color="auto"/>
                <w:right w:val="none" w:sz="0" w:space="0" w:color="auto"/>
              </w:divBdr>
            </w:div>
            <w:div w:id="1476490704">
              <w:marLeft w:val="0"/>
              <w:marRight w:val="0"/>
              <w:marTop w:val="0"/>
              <w:marBottom w:val="0"/>
              <w:divBdr>
                <w:top w:val="none" w:sz="0" w:space="0" w:color="auto"/>
                <w:left w:val="none" w:sz="0" w:space="0" w:color="auto"/>
                <w:bottom w:val="none" w:sz="0" w:space="0" w:color="auto"/>
                <w:right w:val="none" w:sz="0" w:space="0" w:color="auto"/>
              </w:divBdr>
            </w:div>
            <w:div w:id="1301492640">
              <w:marLeft w:val="0"/>
              <w:marRight w:val="0"/>
              <w:marTop w:val="0"/>
              <w:marBottom w:val="0"/>
              <w:divBdr>
                <w:top w:val="none" w:sz="0" w:space="0" w:color="auto"/>
                <w:left w:val="none" w:sz="0" w:space="0" w:color="auto"/>
                <w:bottom w:val="none" w:sz="0" w:space="0" w:color="auto"/>
                <w:right w:val="none" w:sz="0" w:space="0" w:color="auto"/>
              </w:divBdr>
            </w:div>
            <w:div w:id="90975152">
              <w:marLeft w:val="0"/>
              <w:marRight w:val="0"/>
              <w:marTop w:val="0"/>
              <w:marBottom w:val="0"/>
              <w:divBdr>
                <w:top w:val="none" w:sz="0" w:space="0" w:color="auto"/>
                <w:left w:val="none" w:sz="0" w:space="0" w:color="auto"/>
                <w:bottom w:val="none" w:sz="0" w:space="0" w:color="auto"/>
                <w:right w:val="none" w:sz="0" w:space="0" w:color="auto"/>
              </w:divBdr>
            </w:div>
            <w:div w:id="225340356">
              <w:marLeft w:val="0"/>
              <w:marRight w:val="0"/>
              <w:marTop w:val="0"/>
              <w:marBottom w:val="0"/>
              <w:divBdr>
                <w:top w:val="none" w:sz="0" w:space="0" w:color="auto"/>
                <w:left w:val="none" w:sz="0" w:space="0" w:color="auto"/>
                <w:bottom w:val="none" w:sz="0" w:space="0" w:color="auto"/>
                <w:right w:val="none" w:sz="0" w:space="0" w:color="auto"/>
              </w:divBdr>
            </w:div>
            <w:div w:id="1538660521">
              <w:marLeft w:val="0"/>
              <w:marRight w:val="0"/>
              <w:marTop w:val="0"/>
              <w:marBottom w:val="0"/>
              <w:divBdr>
                <w:top w:val="none" w:sz="0" w:space="0" w:color="auto"/>
                <w:left w:val="none" w:sz="0" w:space="0" w:color="auto"/>
                <w:bottom w:val="none" w:sz="0" w:space="0" w:color="auto"/>
                <w:right w:val="none" w:sz="0" w:space="0" w:color="auto"/>
              </w:divBdr>
            </w:div>
            <w:div w:id="332950361">
              <w:marLeft w:val="0"/>
              <w:marRight w:val="0"/>
              <w:marTop w:val="0"/>
              <w:marBottom w:val="0"/>
              <w:divBdr>
                <w:top w:val="none" w:sz="0" w:space="0" w:color="auto"/>
                <w:left w:val="none" w:sz="0" w:space="0" w:color="auto"/>
                <w:bottom w:val="none" w:sz="0" w:space="0" w:color="auto"/>
                <w:right w:val="none" w:sz="0" w:space="0" w:color="auto"/>
              </w:divBdr>
            </w:div>
            <w:div w:id="1631940142">
              <w:marLeft w:val="0"/>
              <w:marRight w:val="0"/>
              <w:marTop w:val="0"/>
              <w:marBottom w:val="0"/>
              <w:divBdr>
                <w:top w:val="none" w:sz="0" w:space="0" w:color="auto"/>
                <w:left w:val="none" w:sz="0" w:space="0" w:color="auto"/>
                <w:bottom w:val="none" w:sz="0" w:space="0" w:color="auto"/>
                <w:right w:val="none" w:sz="0" w:space="0" w:color="auto"/>
              </w:divBdr>
            </w:div>
            <w:div w:id="2086880215">
              <w:marLeft w:val="0"/>
              <w:marRight w:val="0"/>
              <w:marTop w:val="0"/>
              <w:marBottom w:val="0"/>
              <w:divBdr>
                <w:top w:val="none" w:sz="0" w:space="0" w:color="auto"/>
                <w:left w:val="none" w:sz="0" w:space="0" w:color="auto"/>
                <w:bottom w:val="none" w:sz="0" w:space="0" w:color="auto"/>
                <w:right w:val="none" w:sz="0" w:space="0" w:color="auto"/>
              </w:divBdr>
            </w:div>
            <w:div w:id="555356328">
              <w:marLeft w:val="0"/>
              <w:marRight w:val="0"/>
              <w:marTop w:val="0"/>
              <w:marBottom w:val="0"/>
              <w:divBdr>
                <w:top w:val="none" w:sz="0" w:space="0" w:color="auto"/>
                <w:left w:val="none" w:sz="0" w:space="0" w:color="auto"/>
                <w:bottom w:val="none" w:sz="0" w:space="0" w:color="auto"/>
                <w:right w:val="none" w:sz="0" w:space="0" w:color="auto"/>
              </w:divBdr>
            </w:div>
            <w:div w:id="151726299">
              <w:marLeft w:val="0"/>
              <w:marRight w:val="0"/>
              <w:marTop w:val="0"/>
              <w:marBottom w:val="0"/>
              <w:divBdr>
                <w:top w:val="none" w:sz="0" w:space="0" w:color="auto"/>
                <w:left w:val="none" w:sz="0" w:space="0" w:color="auto"/>
                <w:bottom w:val="none" w:sz="0" w:space="0" w:color="auto"/>
                <w:right w:val="none" w:sz="0" w:space="0" w:color="auto"/>
              </w:divBdr>
            </w:div>
            <w:div w:id="1878279621">
              <w:marLeft w:val="0"/>
              <w:marRight w:val="0"/>
              <w:marTop w:val="0"/>
              <w:marBottom w:val="0"/>
              <w:divBdr>
                <w:top w:val="none" w:sz="0" w:space="0" w:color="auto"/>
                <w:left w:val="none" w:sz="0" w:space="0" w:color="auto"/>
                <w:bottom w:val="none" w:sz="0" w:space="0" w:color="auto"/>
                <w:right w:val="none" w:sz="0" w:space="0" w:color="auto"/>
              </w:divBdr>
            </w:div>
            <w:div w:id="1026369805">
              <w:marLeft w:val="0"/>
              <w:marRight w:val="0"/>
              <w:marTop w:val="0"/>
              <w:marBottom w:val="0"/>
              <w:divBdr>
                <w:top w:val="none" w:sz="0" w:space="0" w:color="auto"/>
                <w:left w:val="none" w:sz="0" w:space="0" w:color="auto"/>
                <w:bottom w:val="none" w:sz="0" w:space="0" w:color="auto"/>
                <w:right w:val="none" w:sz="0" w:space="0" w:color="auto"/>
              </w:divBdr>
            </w:div>
            <w:div w:id="1702703645">
              <w:marLeft w:val="0"/>
              <w:marRight w:val="0"/>
              <w:marTop w:val="0"/>
              <w:marBottom w:val="0"/>
              <w:divBdr>
                <w:top w:val="none" w:sz="0" w:space="0" w:color="auto"/>
                <w:left w:val="none" w:sz="0" w:space="0" w:color="auto"/>
                <w:bottom w:val="none" w:sz="0" w:space="0" w:color="auto"/>
                <w:right w:val="none" w:sz="0" w:space="0" w:color="auto"/>
              </w:divBdr>
            </w:div>
            <w:div w:id="209344244">
              <w:marLeft w:val="0"/>
              <w:marRight w:val="0"/>
              <w:marTop w:val="0"/>
              <w:marBottom w:val="0"/>
              <w:divBdr>
                <w:top w:val="none" w:sz="0" w:space="0" w:color="auto"/>
                <w:left w:val="none" w:sz="0" w:space="0" w:color="auto"/>
                <w:bottom w:val="none" w:sz="0" w:space="0" w:color="auto"/>
                <w:right w:val="none" w:sz="0" w:space="0" w:color="auto"/>
              </w:divBdr>
            </w:div>
            <w:div w:id="1716152444">
              <w:marLeft w:val="0"/>
              <w:marRight w:val="0"/>
              <w:marTop w:val="0"/>
              <w:marBottom w:val="0"/>
              <w:divBdr>
                <w:top w:val="none" w:sz="0" w:space="0" w:color="auto"/>
                <w:left w:val="none" w:sz="0" w:space="0" w:color="auto"/>
                <w:bottom w:val="none" w:sz="0" w:space="0" w:color="auto"/>
                <w:right w:val="none" w:sz="0" w:space="0" w:color="auto"/>
              </w:divBdr>
            </w:div>
            <w:div w:id="112210817">
              <w:marLeft w:val="0"/>
              <w:marRight w:val="0"/>
              <w:marTop w:val="0"/>
              <w:marBottom w:val="0"/>
              <w:divBdr>
                <w:top w:val="none" w:sz="0" w:space="0" w:color="auto"/>
                <w:left w:val="none" w:sz="0" w:space="0" w:color="auto"/>
                <w:bottom w:val="none" w:sz="0" w:space="0" w:color="auto"/>
                <w:right w:val="none" w:sz="0" w:space="0" w:color="auto"/>
              </w:divBdr>
            </w:div>
            <w:div w:id="1703632756">
              <w:marLeft w:val="0"/>
              <w:marRight w:val="0"/>
              <w:marTop w:val="0"/>
              <w:marBottom w:val="0"/>
              <w:divBdr>
                <w:top w:val="none" w:sz="0" w:space="0" w:color="auto"/>
                <w:left w:val="none" w:sz="0" w:space="0" w:color="auto"/>
                <w:bottom w:val="none" w:sz="0" w:space="0" w:color="auto"/>
                <w:right w:val="none" w:sz="0" w:space="0" w:color="auto"/>
              </w:divBdr>
            </w:div>
            <w:div w:id="24987309">
              <w:marLeft w:val="0"/>
              <w:marRight w:val="0"/>
              <w:marTop w:val="0"/>
              <w:marBottom w:val="0"/>
              <w:divBdr>
                <w:top w:val="none" w:sz="0" w:space="0" w:color="auto"/>
                <w:left w:val="none" w:sz="0" w:space="0" w:color="auto"/>
                <w:bottom w:val="none" w:sz="0" w:space="0" w:color="auto"/>
                <w:right w:val="none" w:sz="0" w:space="0" w:color="auto"/>
              </w:divBdr>
            </w:div>
            <w:div w:id="2118208601">
              <w:marLeft w:val="0"/>
              <w:marRight w:val="0"/>
              <w:marTop w:val="0"/>
              <w:marBottom w:val="0"/>
              <w:divBdr>
                <w:top w:val="none" w:sz="0" w:space="0" w:color="auto"/>
                <w:left w:val="none" w:sz="0" w:space="0" w:color="auto"/>
                <w:bottom w:val="none" w:sz="0" w:space="0" w:color="auto"/>
                <w:right w:val="none" w:sz="0" w:space="0" w:color="auto"/>
              </w:divBdr>
            </w:div>
            <w:div w:id="191235854">
              <w:marLeft w:val="0"/>
              <w:marRight w:val="0"/>
              <w:marTop w:val="0"/>
              <w:marBottom w:val="0"/>
              <w:divBdr>
                <w:top w:val="none" w:sz="0" w:space="0" w:color="auto"/>
                <w:left w:val="none" w:sz="0" w:space="0" w:color="auto"/>
                <w:bottom w:val="none" w:sz="0" w:space="0" w:color="auto"/>
                <w:right w:val="none" w:sz="0" w:space="0" w:color="auto"/>
              </w:divBdr>
            </w:div>
            <w:div w:id="1092123038">
              <w:marLeft w:val="0"/>
              <w:marRight w:val="0"/>
              <w:marTop w:val="0"/>
              <w:marBottom w:val="0"/>
              <w:divBdr>
                <w:top w:val="none" w:sz="0" w:space="0" w:color="auto"/>
                <w:left w:val="none" w:sz="0" w:space="0" w:color="auto"/>
                <w:bottom w:val="none" w:sz="0" w:space="0" w:color="auto"/>
                <w:right w:val="none" w:sz="0" w:space="0" w:color="auto"/>
              </w:divBdr>
            </w:div>
            <w:div w:id="1063992639">
              <w:marLeft w:val="0"/>
              <w:marRight w:val="0"/>
              <w:marTop w:val="0"/>
              <w:marBottom w:val="0"/>
              <w:divBdr>
                <w:top w:val="none" w:sz="0" w:space="0" w:color="auto"/>
                <w:left w:val="none" w:sz="0" w:space="0" w:color="auto"/>
                <w:bottom w:val="none" w:sz="0" w:space="0" w:color="auto"/>
                <w:right w:val="none" w:sz="0" w:space="0" w:color="auto"/>
              </w:divBdr>
            </w:div>
            <w:div w:id="899294801">
              <w:marLeft w:val="0"/>
              <w:marRight w:val="0"/>
              <w:marTop w:val="0"/>
              <w:marBottom w:val="0"/>
              <w:divBdr>
                <w:top w:val="none" w:sz="0" w:space="0" w:color="auto"/>
                <w:left w:val="none" w:sz="0" w:space="0" w:color="auto"/>
                <w:bottom w:val="none" w:sz="0" w:space="0" w:color="auto"/>
                <w:right w:val="none" w:sz="0" w:space="0" w:color="auto"/>
              </w:divBdr>
            </w:div>
            <w:div w:id="2115247240">
              <w:marLeft w:val="0"/>
              <w:marRight w:val="0"/>
              <w:marTop w:val="0"/>
              <w:marBottom w:val="0"/>
              <w:divBdr>
                <w:top w:val="none" w:sz="0" w:space="0" w:color="auto"/>
                <w:left w:val="none" w:sz="0" w:space="0" w:color="auto"/>
                <w:bottom w:val="none" w:sz="0" w:space="0" w:color="auto"/>
                <w:right w:val="none" w:sz="0" w:space="0" w:color="auto"/>
              </w:divBdr>
            </w:div>
            <w:div w:id="387537066">
              <w:marLeft w:val="0"/>
              <w:marRight w:val="0"/>
              <w:marTop w:val="0"/>
              <w:marBottom w:val="0"/>
              <w:divBdr>
                <w:top w:val="none" w:sz="0" w:space="0" w:color="auto"/>
                <w:left w:val="none" w:sz="0" w:space="0" w:color="auto"/>
                <w:bottom w:val="none" w:sz="0" w:space="0" w:color="auto"/>
                <w:right w:val="none" w:sz="0" w:space="0" w:color="auto"/>
              </w:divBdr>
            </w:div>
            <w:div w:id="592935715">
              <w:marLeft w:val="0"/>
              <w:marRight w:val="0"/>
              <w:marTop w:val="0"/>
              <w:marBottom w:val="0"/>
              <w:divBdr>
                <w:top w:val="none" w:sz="0" w:space="0" w:color="auto"/>
                <w:left w:val="none" w:sz="0" w:space="0" w:color="auto"/>
                <w:bottom w:val="none" w:sz="0" w:space="0" w:color="auto"/>
                <w:right w:val="none" w:sz="0" w:space="0" w:color="auto"/>
              </w:divBdr>
            </w:div>
            <w:div w:id="568921754">
              <w:marLeft w:val="0"/>
              <w:marRight w:val="0"/>
              <w:marTop w:val="0"/>
              <w:marBottom w:val="0"/>
              <w:divBdr>
                <w:top w:val="none" w:sz="0" w:space="0" w:color="auto"/>
                <w:left w:val="none" w:sz="0" w:space="0" w:color="auto"/>
                <w:bottom w:val="none" w:sz="0" w:space="0" w:color="auto"/>
                <w:right w:val="none" w:sz="0" w:space="0" w:color="auto"/>
              </w:divBdr>
            </w:div>
            <w:div w:id="897322237">
              <w:marLeft w:val="0"/>
              <w:marRight w:val="0"/>
              <w:marTop w:val="0"/>
              <w:marBottom w:val="0"/>
              <w:divBdr>
                <w:top w:val="none" w:sz="0" w:space="0" w:color="auto"/>
                <w:left w:val="none" w:sz="0" w:space="0" w:color="auto"/>
                <w:bottom w:val="none" w:sz="0" w:space="0" w:color="auto"/>
                <w:right w:val="none" w:sz="0" w:space="0" w:color="auto"/>
              </w:divBdr>
            </w:div>
            <w:div w:id="1086422780">
              <w:marLeft w:val="0"/>
              <w:marRight w:val="0"/>
              <w:marTop w:val="0"/>
              <w:marBottom w:val="0"/>
              <w:divBdr>
                <w:top w:val="none" w:sz="0" w:space="0" w:color="auto"/>
                <w:left w:val="none" w:sz="0" w:space="0" w:color="auto"/>
                <w:bottom w:val="none" w:sz="0" w:space="0" w:color="auto"/>
                <w:right w:val="none" w:sz="0" w:space="0" w:color="auto"/>
              </w:divBdr>
            </w:div>
            <w:div w:id="972948453">
              <w:marLeft w:val="0"/>
              <w:marRight w:val="0"/>
              <w:marTop w:val="0"/>
              <w:marBottom w:val="0"/>
              <w:divBdr>
                <w:top w:val="none" w:sz="0" w:space="0" w:color="auto"/>
                <w:left w:val="none" w:sz="0" w:space="0" w:color="auto"/>
                <w:bottom w:val="none" w:sz="0" w:space="0" w:color="auto"/>
                <w:right w:val="none" w:sz="0" w:space="0" w:color="auto"/>
              </w:divBdr>
            </w:div>
            <w:div w:id="1629824509">
              <w:marLeft w:val="0"/>
              <w:marRight w:val="0"/>
              <w:marTop w:val="0"/>
              <w:marBottom w:val="0"/>
              <w:divBdr>
                <w:top w:val="none" w:sz="0" w:space="0" w:color="auto"/>
                <w:left w:val="none" w:sz="0" w:space="0" w:color="auto"/>
                <w:bottom w:val="none" w:sz="0" w:space="0" w:color="auto"/>
                <w:right w:val="none" w:sz="0" w:space="0" w:color="auto"/>
              </w:divBdr>
            </w:div>
            <w:div w:id="1952781360">
              <w:marLeft w:val="0"/>
              <w:marRight w:val="0"/>
              <w:marTop w:val="0"/>
              <w:marBottom w:val="0"/>
              <w:divBdr>
                <w:top w:val="none" w:sz="0" w:space="0" w:color="auto"/>
                <w:left w:val="none" w:sz="0" w:space="0" w:color="auto"/>
                <w:bottom w:val="none" w:sz="0" w:space="0" w:color="auto"/>
                <w:right w:val="none" w:sz="0" w:space="0" w:color="auto"/>
              </w:divBdr>
            </w:div>
            <w:div w:id="2000883746">
              <w:marLeft w:val="0"/>
              <w:marRight w:val="0"/>
              <w:marTop w:val="0"/>
              <w:marBottom w:val="0"/>
              <w:divBdr>
                <w:top w:val="none" w:sz="0" w:space="0" w:color="auto"/>
                <w:left w:val="none" w:sz="0" w:space="0" w:color="auto"/>
                <w:bottom w:val="none" w:sz="0" w:space="0" w:color="auto"/>
                <w:right w:val="none" w:sz="0" w:space="0" w:color="auto"/>
              </w:divBdr>
            </w:div>
            <w:div w:id="1845824945">
              <w:marLeft w:val="0"/>
              <w:marRight w:val="0"/>
              <w:marTop w:val="0"/>
              <w:marBottom w:val="0"/>
              <w:divBdr>
                <w:top w:val="none" w:sz="0" w:space="0" w:color="auto"/>
                <w:left w:val="none" w:sz="0" w:space="0" w:color="auto"/>
                <w:bottom w:val="none" w:sz="0" w:space="0" w:color="auto"/>
                <w:right w:val="none" w:sz="0" w:space="0" w:color="auto"/>
              </w:divBdr>
            </w:div>
            <w:div w:id="1499535444">
              <w:marLeft w:val="0"/>
              <w:marRight w:val="0"/>
              <w:marTop w:val="0"/>
              <w:marBottom w:val="0"/>
              <w:divBdr>
                <w:top w:val="none" w:sz="0" w:space="0" w:color="auto"/>
                <w:left w:val="none" w:sz="0" w:space="0" w:color="auto"/>
                <w:bottom w:val="none" w:sz="0" w:space="0" w:color="auto"/>
                <w:right w:val="none" w:sz="0" w:space="0" w:color="auto"/>
              </w:divBdr>
            </w:div>
            <w:div w:id="1442409861">
              <w:marLeft w:val="0"/>
              <w:marRight w:val="0"/>
              <w:marTop w:val="0"/>
              <w:marBottom w:val="0"/>
              <w:divBdr>
                <w:top w:val="none" w:sz="0" w:space="0" w:color="auto"/>
                <w:left w:val="none" w:sz="0" w:space="0" w:color="auto"/>
                <w:bottom w:val="none" w:sz="0" w:space="0" w:color="auto"/>
                <w:right w:val="none" w:sz="0" w:space="0" w:color="auto"/>
              </w:divBdr>
            </w:div>
            <w:div w:id="557328544">
              <w:marLeft w:val="0"/>
              <w:marRight w:val="0"/>
              <w:marTop w:val="0"/>
              <w:marBottom w:val="0"/>
              <w:divBdr>
                <w:top w:val="none" w:sz="0" w:space="0" w:color="auto"/>
                <w:left w:val="none" w:sz="0" w:space="0" w:color="auto"/>
                <w:bottom w:val="none" w:sz="0" w:space="0" w:color="auto"/>
                <w:right w:val="none" w:sz="0" w:space="0" w:color="auto"/>
              </w:divBdr>
            </w:div>
            <w:div w:id="531842648">
              <w:marLeft w:val="0"/>
              <w:marRight w:val="0"/>
              <w:marTop w:val="0"/>
              <w:marBottom w:val="0"/>
              <w:divBdr>
                <w:top w:val="none" w:sz="0" w:space="0" w:color="auto"/>
                <w:left w:val="none" w:sz="0" w:space="0" w:color="auto"/>
                <w:bottom w:val="none" w:sz="0" w:space="0" w:color="auto"/>
                <w:right w:val="none" w:sz="0" w:space="0" w:color="auto"/>
              </w:divBdr>
            </w:div>
            <w:div w:id="820271306">
              <w:marLeft w:val="0"/>
              <w:marRight w:val="0"/>
              <w:marTop w:val="0"/>
              <w:marBottom w:val="0"/>
              <w:divBdr>
                <w:top w:val="none" w:sz="0" w:space="0" w:color="auto"/>
                <w:left w:val="none" w:sz="0" w:space="0" w:color="auto"/>
                <w:bottom w:val="none" w:sz="0" w:space="0" w:color="auto"/>
                <w:right w:val="none" w:sz="0" w:space="0" w:color="auto"/>
              </w:divBdr>
            </w:div>
            <w:div w:id="1299260707">
              <w:marLeft w:val="0"/>
              <w:marRight w:val="0"/>
              <w:marTop w:val="0"/>
              <w:marBottom w:val="0"/>
              <w:divBdr>
                <w:top w:val="none" w:sz="0" w:space="0" w:color="auto"/>
                <w:left w:val="none" w:sz="0" w:space="0" w:color="auto"/>
                <w:bottom w:val="none" w:sz="0" w:space="0" w:color="auto"/>
                <w:right w:val="none" w:sz="0" w:space="0" w:color="auto"/>
              </w:divBdr>
            </w:div>
            <w:div w:id="1033849822">
              <w:marLeft w:val="0"/>
              <w:marRight w:val="0"/>
              <w:marTop w:val="0"/>
              <w:marBottom w:val="0"/>
              <w:divBdr>
                <w:top w:val="none" w:sz="0" w:space="0" w:color="auto"/>
                <w:left w:val="none" w:sz="0" w:space="0" w:color="auto"/>
                <w:bottom w:val="none" w:sz="0" w:space="0" w:color="auto"/>
                <w:right w:val="none" w:sz="0" w:space="0" w:color="auto"/>
              </w:divBdr>
            </w:div>
            <w:div w:id="270623482">
              <w:marLeft w:val="0"/>
              <w:marRight w:val="0"/>
              <w:marTop w:val="0"/>
              <w:marBottom w:val="0"/>
              <w:divBdr>
                <w:top w:val="none" w:sz="0" w:space="0" w:color="auto"/>
                <w:left w:val="none" w:sz="0" w:space="0" w:color="auto"/>
                <w:bottom w:val="none" w:sz="0" w:space="0" w:color="auto"/>
                <w:right w:val="none" w:sz="0" w:space="0" w:color="auto"/>
              </w:divBdr>
            </w:div>
            <w:div w:id="1014839697">
              <w:marLeft w:val="0"/>
              <w:marRight w:val="0"/>
              <w:marTop w:val="0"/>
              <w:marBottom w:val="0"/>
              <w:divBdr>
                <w:top w:val="none" w:sz="0" w:space="0" w:color="auto"/>
                <w:left w:val="none" w:sz="0" w:space="0" w:color="auto"/>
                <w:bottom w:val="none" w:sz="0" w:space="0" w:color="auto"/>
                <w:right w:val="none" w:sz="0" w:space="0" w:color="auto"/>
              </w:divBdr>
            </w:div>
            <w:div w:id="221328652">
              <w:marLeft w:val="0"/>
              <w:marRight w:val="0"/>
              <w:marTop w:val="0"/>
              <w:marBottom w:val="0"/>
              <w:divBdr>
                <w:top w:val="none" w:sz="0" w:space="0" w:color="auto"/>
                <w:left w:val="none" w:sz="0" w:space="0" w:color="auto"/>
                <w:bottom w:val="none" w:sz="0" w:space="0" w:color="auto"/>
                <w:right w:val="none" w:sz="0" w:space="0" w:color="auto"/>
              </w:divBdr>
            </w:div>
            <w:div w:id="498469586">
              <w:marLeft w:val="0"/>
              <w:marRight w:val="0"/>
              <w:marTop w:val="0"/>
              <w:marBottom w:val="0"/>
              <w:divBdr>
                <w:top w:val="none" w:sz="0" w:space="0" w:color="auto"/>
                <w:left w:val="none" w:sz="0" w:space="0" w:color="auto"/>
                <w:bottom w:val="none" w:sz="0" w:space="0" w:color="auto"/>
                <w:right w:val="none" w:sz="0" w:space="0" w:color="auto"/>
              </w:divBdr>
            </w:div>
            <w:div w:id="907761512">
              <w:marLeft w:val="0"/>
              <w:marRight w:val="0"/>
              <w:marTop w:val="0"/>
              <w:marBottom w:val="0"/>
              <w:divBdr>
                <w:top w:val="none" w:sz="0" w:space="0" w:color="auto"/>
                <w:left w:val="none" w:sz="0" w:space="0" w:color="auto"/>
                <w:bottom w:val="none" w:sz="0" w:space="0" w:color="auto"/>
                <w:right w:val="none" w:sz="0" w:space="0" w:color="auto"/>
              </w:divBdr>
            </w:div>
            <w:div w:id="1663728514">
              <w:marLeft w:val="0"/>
              <w:marRight w:val="0"/>
              <w:marTop w:val="0"/>
              <w:marBottom w:val="0"/>
              <w:divBdr>
                <w:top w:val="none" w:sz="0" w:space="0" w:color="auto"/>
                <w:left w:val="none" w:sz="0" w:space="0" w:color="auto"/>
                <w:bottom w:val="none" w:sz="0" w:space="0" w:color="auto"/>
                <w:right w:val="none" w:sz="0" w:space="0" w:color="auto"/>
              </w:divBdr>
            </w:div>
            <w:div w:id="1650749446">
              <w:marLeft w:val="0"/>
              <w:marRight w:val="0"/>
              <w:marTop w:val="0"/>
              <w:marBottom w:val="0"/>
              <w:divBdr>
                <w:top w:val="none" w:sz="0" w:space="0" w:color="auto"/>
                <w:left w:val="none" w:sz="0" w:space="0" w:color="auto"/>
                <w:bottom w:val="none" w:sz="0" w:space="0" w:color="auto"/>
                <w:right w:val="none" w:sz="0" w:space="0" w:color="auto"/>
              </w:divBdr>
            </w:div>
            <w:div w:id="1197161509">
              <w:marLeft w:val="0"/>
              <w:marRight w:val="0"/>
              <w:marTop w:val="0"/>
              <w:marBottom w:val="0"/>
              <w:divBdr>
                <w:top w:val="none" w:sz="0" w:space="0" w:color="auto"/>
                <w:left w:val="none" w:sz="0" w:space="0" w:color="auto"/>
                <w:bottom w:val="none" w:sz="0" w:space="0" w:color="auto"/>
                <w:right w:val="none" w:sz="0" w:space="0" w:color="auto"/>
              </w:divBdr>
            </w:div>
            <w:div w:id="33895167">
              <w:marLeft w:val="0"/>
              <w:marRight w:val="0"/>
              <w:marTop w:val="0"/>
              <w:marBottom w:val="0"/>
              <w:divBdr>
                <w:top w:val="none" w:sz="0" w:space="0" w:color="auto"/>
                <w:left w:val="none" w:sz="0" w:space="0" w:color="auto"/>
                <w:bottom w:val="none" w:sz="0" w:space="0" w:color="auto"/>
                <w:right w:val="none" w:sz="0" w:space="0" w:color="auto"/>
              </w:divBdr>
            </w:div>
            <w:div w:id="2107847027">
              <w:marLeft w:val="0"/>
              <w:marRight w:val="0"/>
              <w:marTop w:val="0"/>
              <w:marBottom w:val="0"/>
              <w:divBdr>
                <w:top w:val="none" w:sz="0" w:space="0" w:color="auto"/>
                <w:left w:val="none" w:sz="0" w:space="0" w:color="auto"/>
                <w:bottom w:val="none" w:sz="0" w:space="0" w:color="auto"/>
                <w:right w:val="none" w:sz="0" w:space="0" w:color="auto"/>
              </w:divBdr>
            </w:div>
            <w:div w:id="548540417">
              <w:marLeft w:val="0"/>
              <w:marRight w:val="0"/>
              <w:marTop w:val="0"/>
              <w:marBottom w:val="0"/>
              <w:divBdr>
                <w:top w:val="none" w:sz="0" w:space="0" w:color="auto"/>
                <w:left w:val="none" w:sz="0" w:space="0" w:color="auto"/>
                <w:bottom w:val="none" w:sz="0" w:space="0" w:color="auto"/>
                <w:right w:val="none" w:sz="0" w:space="0" w:color="auto"/>
              </w:divBdr>
            </w:div>
            <w:div w:id="323356834">
              <w:marLeft w:val="0"/>
              <w:marRight w:val="0"/>
              <w:marTop w:val="0"/>
              <w:marBottom w:val="0"/>
              <w:divBdr>
                <w:top w:val="none" w:sz="0" w:space="0" w:color="auto"/>
                <w:left w:val="none" w:sz="0" w:space="0" w:color="auto"/>
                <w:bottom w:val="none" w:sz="0" w:space="0" w:color="auto"/>
                <w:right w:val="none" w:sz="0" w:space="0" w:color="auto"/>
              </w:divBdr>
            </w:div>
            <w:div w:id="839124734">
              <w:marLeft w:val="0"/>
              <w:marRight w:val="0"/>
              <w:marTop w:val="0"/>
              <w:marBottom w:val="0"/>
              <w:divBdr>
                <w:top w:val="none" w:sz="0" w:space="0" w:color="auto"/>
                <w:left w:val="none" w:sz="0" w:space="0" w:color="auto"/>
                <w:bottom w:val="none" w:sz="0" w:space="0" w:color="auto"/>
                <w:right w:val="none" w:sz="0" w:space="0" w:color="auto"/>
              </w:divBdr>
            </w:div>
            <w:div w:id="1339385948">
              <w:marLeft w:val="0"/>
              <w:marRight w:val="0"/>
              <w:marTop w:val="0"/>
              <w:marBottom w:val="0"/>
              <w:divBdr>
                <w:top w:val="none" w:sz="0" w:space="0" w:color="auto"/>
                <w:left w:val="none" w:sz="0" w:space="0" w:color="auto"/>
                <w:bottom w:val="none" w:sz="0" w:space="0" w:color="auto"/>
                <w:right w:val="none" w:sz="0" w:space="0" w:color="auto"/>
              </w:divBdr>
            </w:div>
            <w:div w:id="694692277">
              <w:marLeft w:val="0"/>
              <w:marRight w:val="0"/>
              <w:marTop w:val="0"/>
              <w:marBottom w:val="0"/>
              <w:divBdr>
                <w:top w:val="none" w:sz="0" w:space="0" w:color="auto"/>
                <w:left w:val="none" w:sz="0" w:space="0" w:color="auto"/>
                <w:bottom w:val="none" w:sz="0" w:space="0" w:color="auto"/>
                <w:right w:val="none" w:sz="0" w:space="0" w:color="auto"/>
              </w:divBdr>
            </w:div>
            <w:div w:id="292255765">
              <w:marLeft w:val="0"/>
              <w:marRight w:val="0"/>
              <w:marTop w:val="0"/>
              <w:marBottom w:val="0"/>
              <w:divBdr>
                <w:top w:val="none" w:sz="0" w:space="0" w:color="auto"/>
                <w:left w:val="none" w:sz="0" w:space="0" w:color="auto"/>
                <w:bottom w:val="none" w:sz="0" w:space="0" w:color="auto"/>
                <w:right w:val="none" w:sz="0" w:space="0" w:color="auto"/>
              </w:divBdr>
            </w:div>
            <w:div w:id="1772044000">
              <w:marLeft w:val="0"/>
              <w:marRight w:val="0"/>
              <w:marTop w:val="0"/>
              <w:marBottom w:val="0"/>
              <w:divBdr>
                <w:top w:val="none" w:sz="0" w:space="0" w:color="auto"/>
                <w:left w:val="none" w:sz="0" w:space="0" w:color="auto"/>
                <w:bottom w:val="none" w:sz="0" w:space="0" w:color="auto"/>
                <w:right w:val="none" w:sz="0" w:space="0" w:color="auto"/>
              </w:divBdr>
            </w:div>
            <w:div w:id="546112601">
              <w:marLeft w:val="0"/>
              <w:marRight w:val="0"/>
              <w:marTop w:val="0"/>
              <w:marBottom w:val="0"/>
              <w:divBdr>
                <w:top w:val="none" w:sz="0" w:space="0" w:color="auto"/>
                <w:left w:val="none" w:sz="0" w:space="0" w:color="auto"/>
                <w:bottom w:val="none" w:sz="0" w:space="0" w:color="auto"/>
                <w:right w:val="none" w:sz="0" w:space="0" w:color="auto"/>
              </w:divBdr>
            </w:div>
            <w:div w:id="1436707978">
              <w:marLeft w:val="0"/>
              <w:marRight w:val="0"/>
              <w:marTop w:val="0"/>
              <w:marBottom w:val="0"/>
              <w:divBdr>
                <w:top w:val="none" w:sz="0" w:space="0" w:color="auto"/>
                <w:left w:val="none" w:sz="0" w:space="0" w:color="auto"/>
                <w:bottom w:val="none" w:sz="0" w:space="0" w:color="auto"/>
                <w:right w:val="none" w:sz="0" w:space="0" w:color="auto"/>
              </w:divBdr>
            </w:div>
            <w:div w:id="297876077">
              <w:marLeft w:val="0"/>
              <w:marRight w:val="0"/>
              <w:marTop w:val="0"/>
              <w:marBottom w:val="0"/>
              <w:divBdr>
                <w:top w:val="none" w:sz="0" w:space="0" w:color="auto"/>
                <w:left w:val="none" w:sz="0" w:space="0" w:color="auto"/>
                <w:bottom w:val="none" w:sz="0" w:space="0" w:color="auto"/>
                <w:right w:val="none" w:sz="0" w:space="0" w:color="auto"/>
              </w:divBdr>
            </w:div>
            <w:div w:id="175580443">
              <w:marLeft w:val="0"/>
              <w:marRight w:val="0"/>
              <w:marTop w:val="0"/>
              <w:marBottom w:val="0"/>
              <w:divBdr>
                <w:top w:val="none" w:sz="0" w:space="0" w:color="auto"/>
                <w:left w:val="none" w:sz="0" w:space="0" w:color="auto"/>
                <w:bottom w:val="none" w:sz="0" w:space="0" w:color="auto"/>
                <w:right w:val="none" w:sz="0" w:space="0" w:color="auto"/>
              </w:divBdr>
            </w:div>
            <w:div w:id="190725570">
              <w:marLeft w:val="0"/>
              <w:marRight w:val="0"/>
              <w:marTop w:val="0"/>
              <w:marBottom w:val="0"/>
              <w:divBdr>
                <w:top w:val="none" w:sz="0" w:space="0" w:color="auto"/>
                <w:left w:val="none" w:sz="0" w:space="0" w:color="auto"/>
                <w:bottom w:val="none" w:sz="0" w:space="0" w:color="auto"/>
                <w:right w:val="none" w:sz="0" w:space="0" w:color="auto"/>
              </w:divBdr>
            </w:div>
            <w:div w:id="1523008868">
              <w:marLeft w:val="0"/>
              <w:marRight w:val="0"/>
              <w:marTop w:val="0"/>
              <w:marBottom w:val="0"/>
              <w:divBdr>
                <w:top w:val="none" w:sz="0" w:space="0" w:color="auto"/>
                <w:left w:val="none" w:sz="0" w:space="0" w:color="auto"/>
                <w:bottom w:val="none" w:sz="0" w:space="0" w:color="auto"/>
                <w:right w:val="none" w:sz="0" w:space="0" w:color="auto"/>
              </w:divBdr>
            </w:div>
            <w:div w:id="769617722">
              <w:marLeft w:val="0"/>
              <w:marRight w:val="0"/>
              <w:marTop w:val="0"/>
              <w:marBottom w:val="0"/>
              <w:divBdr>
                <w:top w:val="none" w:sz="0" w:space="0" w:color="auto"/>
                <w:left w:val="none" w:sz="0" w:space="0" w:color="auto"/>
                <w:bottom w:val="none" w:sz="0" w:space="0" w:color="auto"/>
                <w:right w:val="none" w:sz="0" w:space="0" w:color="auto"/>
              </w:divBdr>
            </w:div>
            <w:div w:id="529338259">
              <w:marLeft w:val="0"/>
              <w:marRight w:val="0"/>
              <w:marTop w:val="0"/>
              <w:marBottom w:val="0"/>
              <w:divBdr>
                <w:top w:val="none" w:sz="0" w:space="0" w:color="auto"/>
                <w:left w:val="none" w:sz="0" w:space="0" w:color="auto"/>
                <w:bottom w:val="none" w:sz="0" w:space="0" w:color="auto"/>
                <w:right w:val="none" w:sz="0" w:space="0" w:color="auto"/>
              </w:divBdr>
            </w:div>
            <w:div w:id="131867539">
              <w:marLeft w:val="0"/>
              <w:marRight w:val="0"/>
              <w:marTop w:val="0"/>
              <w:marBottom w:val="0"/>
              <w:divBdr>
                <w:top w:val="none" w:sz="0" w:space="0" w:color="auto"/>
                <w:left w:val="none" w:sz="0" w:space="0" w:color="auto"/>
                <w:bottom w:val="none" w:sz="0" w:space="0" w:color="auto"/>
                <w:right w:val="none" w:sz="0" w:space="0" w:color="auto"/>
              </w:divBdr>
            </w:div>
            <w:div w:id="1468276603">
              <w:marLeft w:val="0"/>
              <w:marRight w:val="0"/>
              <w:marTop w:val="0"/>
              <w:marBottom w:val="0"/>
              <w:divBdr>
                <w:top w:val="none" w:sz="0" w:space="0" w:color="auto"/>
                <w:left w:val="none" w:sz="0" w:space="0" w:color="auto"/>
                <w:bottom w:val="none" w:sz="0" w:space="0" w:color="auto"/>
                <w:right w:val="none" w:sz="0" w:space="0" w:color="auto"/>
              </w:divBdr>
            </w:div>
            <w:div w:id="1335911204">
              <w:marLeft w:val="0"/>
              <w:marRight w:val="0"/>
              <w:marTop w:val="0"/>
              <w:marBottom w:val="0"/>
              <w:divBdr>
                <w:top w:val="none" w:sz="0" w:space="0" w:color="auto"/>
                <w:left w:val="none" w:sz="0" w:space="0" w:color="auto"/>
                <w:bottom w:val="none" w:sz="0" w:space="0" w:color="auto"/>
                <w:right w:val="none" w:sz="0" w:space="0" w:color="auto"/>
              </w:divBdr>
            </w:div>
            <w:div w:id="1862277997">
              <w:marLeft w:val="0"/>
              <w:marRight w:val="0"/>
              <w:marTop w:val="0"/>
              <w:marBottom w:val="0"/>
              <w:divBdr>
                <w:top w:val="none" w:sz="0" w:space="0" w:color="auto"/>
                <w:left w:val="none" w:sz="0" w:space="0" w:color="auto"/>
                <w:bottom w:val="none" w:sz="0" w:space="0" w:color="auto"/>
                <w:right w:val="none" w:sz="0" w:space="0" w:color="auto"/>
              </w:divBdr>
            </w:div>
            <w:div w:id="902184326">
              <w:marLeft w:val="0"/>
              <w:marRight w:val="0"/>
              <w:marTop w:val="0"/>
              <w:marBottom w:val="0"/>
              <w:divBdr>
                <w:top w:val="none" w:sz="0" w:space="0" w:color="auto"/>
                <w:left w:val="none" w:sz="0" w:space="0" w:color="auto"/>
                <w:bottom w:val="none" w:sz="0" w:space="0" w:color="auto"/>
                <w:right w:val="none" w:sz="0" w:space="0" w:color="auto"/>
              </w:divBdr>
            </w:div>
            <w:div w:id="1179808609">
              <w:marLeft w:val="0"/>
              <w:marRight w:val="0"/>
              <w:marTop w:val="0"/>
              <w:marBottom w:val="0"/>
              <w:divBdr>
                <w:top w:val="none" w:sz="0" w:space="0" w:color="auto"/>
                <w:left w:val="none" w:sz="0" w:space="0" w:color="auto"/>
                <w:bottom w:val="none" w:sz="0" w:space="0" w:color="auto"/>
                <w:right w:val="none" w:sz="0" w:space="0" w:color="auto"/>
              </w:divBdr>
            </w:div>
            <w:div w:id="2131242174">
              <w:marLeft w:val="0"/>
              <w:marRight w:val="0"/>
              <w:marTop w:val="0"/>
              <w:marBottom w:val="0"/>
              <w:divBdr>
                <w:top w:val="none" w:sz="0" w:space="0" w:color="auto"/>
                <w:left w:val="none" w:sz="0" w:space="0" w:color="auto"/>
                <w:bottom w:val="none" w:sz="0" w:space="0" w:color="auto"/>
                <w:right w:val="none" w:sz="0" w:space="0" w:color="auto"/>
              </w:divBdr>
            </w:div>
            <w:div w:id="426078922">
              <w:marLeft w:val="0"/>
              <w:marRight w:val="0"/>
              <w:marTop w:val="0"/>
              <w:marBottom w:val="0"/>
              <w:divBdr>
                <w:top w:val="none" w:sz="0" w:space="0" w:color="auto"/>
                <w:left w:val="none" w:sz="0" w:space="0" w:color="auto"/>
                <w:bottom w:val="none" w:sz="0" w:space="0" w:color="auto"/>
                <w:right w:val="none" w:sz="0" w:space="0" w:color="auto"/>
              </w:divBdr>
            </w:div>
            <w:div w:id="1535920006">
              <w:marLeft w:val="0"/>
              <w:marRight w:val="0"/>
              <w:marTop w:val="0"/>
              <w:marBottom w:val="0"/>
              <w:divBdr>
                <w:top w:val="none" w:sz="0" w:space="0" w:color="auto"/>
                <w:left w:val="none" w:sz="0" w:space="0" w:color="auto"/>
                <w:bottom w:val="none" w:sz="0" w:space="0" w:color="auto"/>
                <w:right w:val="none" w:sz="0" w:space="0" w:color="auto"/>
              </w:divBdr>
            </w:div>
            <w:div w:id="1879052324">
              <w:marLeft w:val="0"/>
              <w:marRight w:val="0"/>
              <w:marTop w:val="0"/>
              <w:marBottom w:val="0"/>
              <w:divBdr>
                <w:top w:val="none" w:sz="0" w:space="0" w:color="auto"/>
                <w:left w:val="none" w:sz="0" w:space="0" w:color="auto"/>
                <w:bottom w:val="none" w:sz="0" w:space="0" w:color="auto"/>
                <w:right w:val="none" w:sz="0" w:space="0" w:color="auto"/>
              </w:divBdr>
            </w:div>
            <w:div w:id="822161003">
              <w:marLeft w:val="0"/>
              <w:marRight w:val="0"/>
              <w:marTop w:val="0"/>
              <w:marBottom w:val="0"/>
              <w:divBdr>
                <w:top w:val="none" w:sz="0" w:space="0" w:color="auto"/>
                <w:left w:val="none" w:sz="0" w:space="0" w:color="auto"/>
                <w:bottom w:val="none" w:sz="0" w:space="0" w:color="auto"/>
                <w:right w:val="none" w:sz="0" w:space="0" w:color="auto"/>
              </w:divBdr>
            </w:div>
            <w:div w:id="1446581906">
              <w:marLeft w:val="0"/>
              <w:marRight w:val="0"/>
              <w:marTop w:val="0"/>
              <w:marBottom w:val="0"/>
              <w:divBdr>
                <w:top w:val="none" w:sz="0" w:space="0" w:color="auto"/>
                <w:left w:val="none" w:sz="0" w:space="0" w:color="auto"/>
                <w:bottom w:val="none" w:sz="0" w:space="0" w:color="auto"/>
                <w:right w:val="none" w:sz="0" w:space="0" w:color="auto"/>
              </w:divBdr>
            </w:div>
            <w:div w:id="1787264047">
              <w:marLeft w:val="0"/>
              <w:marRight w:val="0"/>
              <w:marTop w:val="0"/>
              <w:marBottom w:val="0"/>
              <w:divBdr>
                <w:top w:val="none" w:sz="0" w:space="0" w:color="auto"/>
                <w:left w:val="none" w:sz="0" w:space="0" w:color="auto"/>
                <w:bottom w:val="none" w:sz="0" w:space="0" w:color="auto"/>
                <w:right w:val="none" w:sz="0" w:space="0" w:color="auto"/>
              </w:divBdr>
            </w:div>
            <w:div w:id="1390836482">
              <w:marLeft w:val="0"/>
              <w:marRight w:val="0"/>
              <w:marTop w:val="0"/>
              <w:marBottom w:val="0"/>
              <w:divBdr>
                <w:top w:val="none" w:sz="0" w:space="0" w:color="auto"/>
                <w:left w:val="none" w:sz="0" w:space="0" w:color="auto"/>
                <w:bottom w:val="none" w:sz="0" w:space="0" w:color="auto"/>
                <w:right w:val="none" w:sz="0" w:space="0" w:color="auto"/>
              </w:divBdr>
            </w:div>
            <w:div w:id="636036876">
              <w:marLeft w:val="0"/>
              <w:marRight w:val="0"/>
              <w:marTop w:val="0"/>
              <w:marBottom w:val="0"/>
              <w:divBdr>
                <w:top w:val="none" w:sz="0" w:space="0" w:color="auto"/>
                <w:left w:val="none" w:sz="0" w:space="0" w:color="auto"/>
                <w:bottom w:val="none" w:sz="0" w:space="0" w:color="auto"/>
                <w:right w:val="none" w:sz="0" w:space="0" w:color="auto"/>
              </w:divBdr>
            </w:div>
            <w:div w:id="2010129831">
              <w:marLeft w:val="0"/>
              <w:marRight w:val="0"/>
              <w:marTop w:val="0"/>
              <w:marBottom w:val="0"/>
              <w:divBdr>
                <w:top w:val="none" w:sz="0" w:space="0" w:color="auto"/>
                <w:left w:val="none" w:sz="0" w:space="0" w:color="auto"/>
                <w:bottom w:val="none" w:sz="0" w:space="0" w:color="auto"/>
                <w:right w:val="none" w:sz="0" w:space="0" w:color="auto"/>
              </w:divBdr>
            </w:div>
            <w:div w:id="2087266700">
              <w:marLeft w:val="0"/>
              <w:marRight w:val="0"/>
              <w:marTop w:val="0"/>
              <w:marBottom w:val="0"/>
              <w:divBdr>
                <w:top w:val="none" w:sz="0" w:space="0" w:color="auto"/>
                <w:left w:val="none" w:sz="0" w:space="0" w:color="auto"/>
                <w:bottom w:val="none" w:sz="0" w:space="0" w:color="auto"/>
                <w:right w:val="none" w:sz="0" w:space="0" w:color="auto"/>
              </w:divBdr>
            </w:div>
            <w:div w:id="1648239345">
              <w:marLeft w:val="0"/>
              <w:marRight w:val="0"/>
              <w:marTop w:val="0"/>
              <w:marBottom w:val="0"/>
              <w:divBdr>
                <w:top w:val="none" w:sz="0" w:space="0" w:color="auto"/>
                <w:left w:val="none" w:sz="0" w:space="0" w:color="auto"/>
                <w:bottom w:val="none" w:sz="0" w:space="0" w:color="auto"/>
                <w:right w:val="none" w:sz="0" w:space="0" w:color="auto"/>
              </w:divBdr>
            </w:div>
            <w:div w:id="429274264">
              <w:marLeft w:val="0"/>
              <w:marRight w:val="0"/>
              <w:marTop w:val="0"/>
              <w:marBottom w:val="0"/>
              <w:divBdr>
                <w:top w:val="none" w:sz="0" w:space="0" w:color="auto"/>
                <w:left w:val="none" w:sz="0" w:space="0" w:color="auto"/>
                <w:bottom w:val="none" w:sz="0" w:space="0" w:color="auto"/>
                <w:right w:val="none" w:sz="0" w:space="0" w:color="auto"/>
              </w:divBdr>
            </w:div>
            <w:div w:id="1391922300">
              <w:marLeft w:val="0"/>
              <w:marRight w:val="0"/>
              <w:marTop w:val="0"/>
              <w:marBottom w:val="0"/>
              <w:divBdr>
                <w:top w:val="none" w:sz="0" w:space="0" w:color="auto"/>
                <w:left w:val="none" w:sz="0" w:space="0" w:color="auto"/>
                <w:bottom w:val="none" w:sz="0" w:space="0" w:color="auto"/>
                <w:right w:val="none" w:sz="0" w:space="0" w:color="auto"/>
              </w:divBdr>
            </w:div>
            <w:div w:id="2042629642">
              <w:marLeft w:val="0"/>
              <w:marRight w:val="0"/>
              <w:marTop w:val="0"/>
              <w:marBottom w:val="0"/>
              <w:divBdr>
                <w:top w:val="none" w:sz="0" w:space="0" w:color="auto"/>
                <w:left w:val="none" w:sz="0" w:space="0" w:color="auto"/>
                <w:bottom w:val="none" w:sz="0" w:space="0" w:color="auto"/>
                <w:right w:val="none" w:sz="0" w:space="0" w:color="auto"/>
              </w:divBdr>
            </w:div>
            <w:div w:id="709038704">
              <w:marLeft w:val="0"/>
              <w:marRight w:val="0"/>
              <w:marTop w:val="0"/>
              <w:marBottom w:val="0"/>
              <w:divBdr>
                <w:top w:val="none" w:sz="0" w:space="0" w:color="auto"/>
                <w:left w:val="none" w:sz="0" w:space="0" w:color="auto"/>
                <w:bottom w:val="none" w:sz="0" w:space="0" w:color="auto"/>
                <w:right w:val="none" w:sz="0" w:space="0" w:color="auto"/>
              </w:divBdr>
            </w:div>
            <w:div w:id="1655992877">
              <w:marLeft w:val="0"/>
              <w:marRight w:val="0"/>
              <w:marTop w:val="0"/>
              <w:marBottom w:val="0"/>
              <w:divBdr>
                <w:top w:val="none" w:sz="0" w:space="0" w:color="auto"/>
                <w:left w:val="none" w:sz="0" w:space="0" w:color="auto"/>
                <w:bottom w:val="none" w:sz="0" w:space="0" w:color="auto"/>
                <w:right w:val="none" w:sz="0" w:space="0" w:color="auto"/>
              </w:divBdr>
            </w:div>
            <w:div w:id="1614750422">
              <w:marLeft w:val="0"/>
              <w:marRight w:val="0"/>
              <w:marTop w:val="0"/>
              <w:marBottom w:val="0"/>
              <w:divBdr>
                <w:top w:val="none" w:sz="0" w:space="0" w:color="auto"/>
                <w:left w:val="none" w:sz="0" w:space="0" w:color="auto"/>
                <w:bottom w:val="none" w:sz="0" w:space="0" w:color="auto"/>
                <w:right w:val="none" w:sz="0" w:space="0" w:color="auto"/>
              </w:divBdr>
            </w:div>
            <w:div w:id="2047636683">
              <w:marLeft w:val="0"/>
              <w:marRight w:val="0"/>
              <w:marTop w:val="0"/>
              <w:marBottom w:val="0"/>
              <w:divBdr>
                <w:top w:val="none" w:sz="0" w:space="0" w:color="auto"/>
                <w:left w:val="none" w:sz="0" w:space="0" w:color="auto"/>
                <w:bottom w:val="none" w:sz="0" w:space="0" w:color="auto"/>
                <w:right w:val="none" w:sz="0" w:space="0" w:color="auto"/>
              </w:divBdr>
            </w:div>
            <w:div w:id="710812961">
              <w:marLeft w:val="0"/>
              <w:marRight w:val="0"/>
              <w:marTop w:val="0"/>
              <w:marBottom w:val="0"/>
              <w:divBdr>
                <w:top w:val="none" w:sz="0" w:space="0" w:color="auto"/>
                <w:left w:val="none" w:sz="0" w:space="0" w:color="auto"/>
                <w:bottom w:val="none" w:sz="0" w:space="0" w:color="auto"/>
                <w:right w:val="none" w:sz="0" w:space="0" w:color="auto"/>
              </w:divBdr>
            </w:div>
            <w:div w:id="2099281645">
              <w:marLeft w:val="0"/>
              <w:marRight w:val="0"/>
              <w:marTop w:val="0"/>
              <w:marBottom w:val="0"/>
              <w:divBdr>
                <w:top w:val="none" w:sz="0" w:space="0" w:color="auto"/>
                <w:left w:val="none" w:sz="0" w:space="0" w:color="auto"/>
                <w:bottom w:val="none" w:sz="0" w:space="0" w:color="auto"/>
                <w:right w:val="none" w:sz="0" w:space="0" w:color="auto"/>
              </w:divBdr>
            </w:div>
            <w:div w:id="1854569136">
              <w:marLeft w:val="0"/>
              <w:marRight w:val="0"/>
              <w:marTop w:val="0"/>
              <w:marBottom w:val="0"/>
              <w:divBdr>
                <w:top w:val="none" w:sz="0" w:space="0" w:color="auto"/>
                <w:left w:val="none" w:sz="0" w:space="0" w:color="auto"/>
                <w:bottom w:val="none" w:sz="0" w:space="0" w:color="auto"/>
                <w:right w:val="none" w:sz="0" w:space="0" w:color="auto"/>
              </w:divBdr>
            </w:div>
            <w:div w:id="1383793872">
              <w:marLeft w:val="0"/>
              <w:marRight w:val="0"/>
              <w:marTop w:val="0"/>
              <w:marBottom w:val="0"/>
              <w:divBdr>
                <w:top w:val="none" w:sz="0" w:space="0" w:color="auto"/>
                <w:left w:val="none" w:sz="0" w:space="0" w:color="auto"/>
                <w:bottom w:val="none" w:sz="0" w:space="0" w:color="auto"/>
                <w:right w:val="none" w:sz="0" w:space="0" w:color="auto"/>
              </w:divBdr>
            </w:div>
            <w:div w:id="440031135">
              <w:marLeft w:val="0"/>
              <w:marRight w:val="0"/>
              <w:marTop w:val="0"/>
              <w:marBottom w:val="0"/>
              <w:divBdr>
                <w:top w:val="none" w:sz="0" w:space="0" w:color="auto"/>
                <w:left w:val="none" w:sz="0" w:space="0" w:color="auto"/>
                <w:bottom w:val="none" w:sz="0" w:space="0" w:color="auto"/>
                <w:right w:val="none" w:sz="0" w:space="0" w:color="auto"/>
              </w:divBdr>
            </w:div>
            <w:div w:id="369110243">
              <w:marLeft w:val="0"/>
              <w:marRight w:val="0"/>
              <w:marTop w:val="0"/>
              <w:marBottom w:val="0"/>
              <w:divBdr>
                <w:top w:val="none" w:sz="0" w:space="0" w:color="auto"/>
                <w:left w:val="none" w:sz="0" w:space="0" w:color="auto"/>
                <w:bottom w:val="none" w:sz="0" w:space="0" w:color="auto"/>
                <w:right w:val="none" w:sz="0" w:space="0" w:color="auto"/>
              </w:divBdr>
            </w:div>
            <w:div w:id="455218835">
              <w:marLeft w:val="0"/>
              <w:marRight w:val="0"/>
              <w:marTop w:val="0"/>
              <w:marBottom w:val="0"/>
              <w:divBdr>
                <w:top w:val="none" w:sz="0" w:space="0" w:color="auto"/>
                <w:left w:val="none" w:sz="0" w:space="0" w:color="auto"/>
                <w:bottom w:val="none" w:sz="0" w:space="0" w:color="auto"/>
                <w:right w:val="none" w:sz="0" w:space="0" w:color="auto"/>
              </w:divBdr>
            </w:div>
            <w:div w:id="530191114">
              <w:marLeft w:val="0"/>
              <w:marRight w:val="0"/>
              <w:marTop w:val="0"/>
              <w:marBottom w:val="0"/>
              <w:divBdr>
                <w:top w:val="none" w:sz="0" w:space="0" w:color="auto"/>
                <w:left w:val="none" w:sz="0" w:space="0" w:color="auto"/>
                <w:bottom w:val="none" w:sz="0" w:space="0" w:color="auto"/>
                <w:right w:val="none" w:sz="0" w:space="0" w:color="auto"/>
              </w:divBdr>
            </w:div>
            <w:div w:id="1704750393">
              <w:marLeft w:val="0"/>
              <w:marRight w:val="0"/>
              <w:marTop w:val="0"/>
              <w:marBottom w:val="0"/>
              <w:divBdr>
                <w:top w:val="none" w:sz="0" w:space="0" w:color="auto"/>
                <w:left w:val="none" w:sz="0" w:space="0" w:color="auto"/>
                <w:bottom w:val="none" w:sz="0" w:space="0" w:color="auto"/>
                <w:right w:val="none" w:sz="0" w:space="0" w:color="auto"/>
              </w:divBdr>
            </w:div>
            <w:div w:id="1094277744">
              <w:marLeft w:val="0"/>
              <w:marRight w:val="0"/>
              <w:marTop w:val="0"/>
              <w:marBottom w:val="0"/>
              <w:divBdr>
                <w:top w:val="none" w:sz="0" w:space="0" w:color="auto"/>
                <w:left w:val="none" w:sz="0" w:space="0" w:color="auto"/>
                <w:bottom w:val="none" w:sz="0" w:space="0" w:color="auto"/>
                <w:right w:val="none" w:sz="0" w:space="0" w:color="auto"/>
              </w:divBdr>
            </w:div>
            <w:div w:id="248540550">
              <w:marLeft w:val="0"/>
              <w:marRight w:val="0"/>
              <w:marTop w:val="0"/>
              <w:marBottom w:val="0"/>
              <w:divBdr>
                <w:top w:val="none" w:sz="0" w:space="0" w:color="auto"/>
                <w:left w:val="none" w:sz="0" w:space="0" w:color="auto"/>
                <w:bottom w:val="none" w:sz="0" w:space="0" w:color="auto"/>
                <w:right w:val="none" w:sz="0" w:space="0" w:color="auto"/>
              </w:divBdr>
            </w:div>
            <w:div w:id="1327511070">
              <w:marLeft w:val="0"/>
              <w:marRight w:val="0"/>
              <w:marTop w:val="0"/>
              <w:marBottom w:val="0"/>
              <w:divBdr>
                <w:top w:val="none" w:sz="0" w:space="0" w:color="auto"/>
                <w:left w:val="none" w:sz="0" w:space="0" w:color="auto"/>
                <w:bottom w:val="none" w:sz="0" w:space="0" w:color="auto"/>
                <w:right w:val="none" w:sz="0" w:space="0" w:color="auto"/>
              </w:divBdr>
            </w:div>
            <w:div w:id="780301608">
              <w:marLeft w:val="0"/>
              <w:marRight w:val="0"/>
              <w:marTop w:val="0"/>
              <w:marBottom w:val="0"/>
              <w:divBdr>
                <w:top w:val="none" w:sz="0" w:space="0" w:color="auto"/>
                <w:left w:val="none" w:sz="0" w:space="0" w:color="auto"/>
                <w:bottom w:val="none" w:sz="0" w:space="0" w:color="auto"/>
                <w:right w:val="none" w:sz="0" w:space="0" w:color="auto"/>
              </w:divBdr>
            </w:div>
            <w:div w:id="529222019">
              <w:marLeft w:val="0"/>
              <w:marRight w:val="0"/>
              <w:marTop w:val="0"/>
              <w:marBottom w:val="0"/>
              <w:divBdr>
                <w:top w:val="none" w:sz="0" w:space="0" w:color="auto"/>
                <w:left w:val="none" w:sz="0" w:space="0" w:color="auto"/>
                <w:bottom w:val="none" w:sz="0" w:space="0" w:color="auto"/>
                <w:right w:val="none" w:sz="0" w:space="0" w:color="auto"/>
              </w:divBdr>
            </w:div>
            <w:div w:id="1063022910">
              <w:marLeft w:val="0"/>
              <w:marRight w:val="0"/>
              <w:marTop w:val="0"/>
              <w:marBottom w:val="0"/>
              <w:divBdr>
                <w:top w:val="none" w:sz="0" w:space="0" w:color="auto"/>
                <w:left w:val="none" w:sz="0" w:space="0" w:color="auto"/>
                <w:bottom w:val="none" w:sz="0" w:space="0" w:color="auto"/>
                <w:right w:val="none" w:sz="0" w:space="0" w:color="auto"/>
              </w:divBdr>
            </w:div>
            <w:div w:id="315258800">
              <w:marLeft w:val="0"/>
              <w:marRight w:val="0"/>
              <w:marTop w:val="0"/>
              <w:marBottom w:val="0"/>
              <w:divBdr>
                <w:top w:val="none" w:sz="0" w:space="0" w:color="auto"/>
                <w:left w:val="none" w:sz="0" w:space="0" w:color="auto"/>
                <w:bottom w:val="none" w:sz="0" w:space="0" w:color="auto"/>
                <w:right w:val="none" w:sz="0" w:space="0" w:color="auto"/>
              </w:divBdr>
            </w:div>
            <w:div w:id="1297105279">
              <w:marLeft w:val="0"/>
              <w:marRight w:val="0"/>
              <w:marTop w:val="0"/>
              <w:marBottom w:val="0"/>
              <w:divBdr>
                <w:top w:val="none" w:sz="0" w:space="0" w:color="auto"/>
                <w:left w:val="none" w:sz="0" w:space="0" w:color="auto"/>
                <w:bottom w:val="none" w:sz="0" w:space="0" w:color="auto"/>
                <w:right w:val="none" w:sz="0" w:space="0" w:color="auto"/>
              </w:divBdr>
            </w:div>
            <w:div w:id="1169322769">
              <w:marLeft w:val="0"/>
              <w:marRight w:val="0"/>
              <w:marTop w:val="0"/>
              <w:marBottom w:val="0"/>
              <w:divBdr>
                <w:top w:val="none" w:sz="0" w:space="0" w:color="auto"/>
                <w:left w:val="none" w:sz="0" w:space="0" w:color="auto"/>
                <w:bottom w:val="none" w:sz="0" w:space="0" w:color="auto"/>
                <w:right w:val="none" w:sz="0" w:space="0" w:color="auto"/>
              </w:divBdr>
            </w:div>
            <w:div w:id="280232220">
              <w:marLeft w:val="0"/>
              <w:marRight w:val="0"/>
              <w:marTop w:val="0"/>
              <w:marBottom w:val="0"/>
              <w:divBdr>
                <w:top w:val="none" w:sz="0" w:space="0" w:color="auto"/>
                <w:left w:val="none" w:sz="0" w:space="0" w:color="auto"/>
                <w:bottom w:val="none" w:sz="0" w:space="0" w:color="auto"/>
                <w:right w:val="none" w:sz="0" w:space="0" w:color="auto"/>
              </w:divBdr>
            </w:div>
            <w:div w:id="427426655">
              <w:marLeft w:val="0"/>
              <w:marRight w:val="0"/>
              <w:marTop w:val="0"/>
              <w:marBottom w:val="0"/>
              <w:divBdr>
                <w:top w:val="none" w:sz="0" w:space="0" w:color="auto"/>
                <w:left w:val="none" w:sz="0" w:space="0" w:color="auto"/>
                <w:bottom w:val="none" w:sz="0" w:space="0" w:color="auto"/>
                <w:right w:val="none" w:sz="0" w:space="0" w:color="auto"/>
              </w:divBdr>
            </w:div>
            <w:div w:id="1265966932">
              <w:marLeft w:val="0"/>
              <w:marRight w:val="0"/>
              <w:marTop w:val="0"/>
              <w:marBottom w:val="0"/>
              <w:divBdr>
                <w:top w:val="none" w:sz="0" w:space="0" w:color="auto"/>
                <w:left w:val="none" w:sz="0" w:space="0" w:color="auto"/>
                <w:bottom w:val="none" w:sz="0" w:space="0" w:color="auto"/>
                <w:right w:val="none" w:sz="0" w:space="0" w:color="auto"/>
              </w:divBdr>
            </w:div>
            <w:div w:id="2010978916">
              <w:marLeft w:val="0"/>
              <w:marRight w:val="0"/>
              <w:marTop w:val="0"/>
              <w:marBottom w:val="0"/>
              <w:divBdr>
                <w:top w:val="none" w:sz="0" w:space="0" w:color="auto"/>
                <w:left w:val="none" w:sz="0" w:space="0" w:color="auto"/>
                <w:bottom w:val="none" w:sz="0" w:space="0" w:color="auto"/>
                <w:right w:val="none" w:sz="0" w:space="0" w:color="auto"/>
              </w:divBdr>
            </w:div>
            <w:div w:id="2006008159">
              <w:marLeft w:val="0"/>
              <w:marRight w:val="0"/>
              <w:marTop w:val="0"/>
              <w:marBottom w:val="0"/>
              <w:divBdr>
                <w:top w:val="none" w:sz="0" w:space="0" w:color="auto"/>
                <w:left w:val="none" w:sz="0" w:space="0" w:color="auto"/>
                <w:bottom w:val="none" w:sz="0" w:space="0" w:color="auto"/>
                <w:right w:val="none" w:sz="0" w:space="0" w:color="auto"/>
              </w:divBdr>
            </w:div>
            <w:div w:id="1931696549">
              <w:marLeft w:val="0"/>
              <w:marRight w:val="0"/>
              <w:marTop w:val="0"/>
              <w:marBottom w:val="0"/>
              <w:divBdr>
                <w:top w:val="none" w:sz="0" w:space="0" w:color="auto"/>
                <w:left w:val="none" w:sz="0" w:space="0" w:color="auto"/>
                <w:bottom w:val="none" w:sz="0" w:space="0" w:color="auto"/>
                <w:right w:val="none" w:sz="0" w:space="0" w:color="auto"/>
              </w:divBdr>
            </w:div>
            <w:div w:id="1053382276">
              <w:marLeft w:val="0"/>
              <w:marRight w:val="0"/>
              <w:marTop w:val="0"/>
              <w:marBottom w:val="0"/>
              <w:divBdr>
                <w:top w:val="none" w:sz="0" w:space="0" w:color="auto"/>
                <w:left w:val="none" w:sz="0" w:space="0" w:color="auto"/>
                <w:bottom w:val="none" w:sz="0" w:space="0" w:color="auto"/>
                <w:right w:val="none" w:sz="0" w:space="0" w:color="auto"/>
              </w:divBdr>
            </w:div>
            <w:div w:id="637339396">
              <w:marLeft w:val="0"/>
              <w:marRight w:val="0"/>
              <w:marTop w:val="0"/>
              <w:marBottom w:val="0"/>
              <w:divBdr>
                <w:top w:val="none" w:sz="0" w:space="0" w:color="auto"/>
                <w:left w:val="none" w:sz="0" w:space="0" w:color="auto"/>
                <w:bottom w:val="none" w:sz="0" w:space="0" w:color="auto"/>
                <w:right w:val="none" w:sz="0" w:space="0" w:color="auto"/>
              </w:divBdr>
            </w:div>
            <w:div w:id="567034440">
              <w:marLeft w:val="0"/>
              <w:marRight w:val="0"/>
              <w:marTop w:val="0"/>
              <w:marBottom w:val="0"/>
              <w:divBdr>
                <w:top w:val="none" w:sz="0" w:space="0" w:color="auto"/>
                <w:left w:val="none" w:sz="0" w:space="0" w:color="auto"/>
                <w:bottom w:val="none" w:sz="0" w:space="0" w:color="auto"/>
                <w:right w:val="none" w:sz="0" w:space="0" w:color="auto"/>
              </w:divBdr>
            </w:div>
            <w:div w:id="1740131343">
              <w:marLeft w:val="0"/>
              <w:marRight w:val="0"/>
              <w:marTop w:val="0"/>
              <w:marBottom w:val="0"/>
              <w:divBdr>
                <w:top w:val="none" w:sz="0" w:space="0" w:color="auto"/>
                <w:left w:val="none" w:sz="0" w:space="0" w:color="auto"/>
                <w:bottom w:val="none" w:sz="0" w:space="0" w:color="auto"/>
                <w:right w:val="none" w:sz="0" w:space="0" w:color="auto"/>
              </w:divBdr>
            </w:div>
            <w:div w:id="1741707865">
              <w:marLeft w:val="0"/>
              <w:marRight w:val="0"/>
              <w:marTop w:val="0"/>
              <w:marBottom w:val="0"/>
              <w:divBdr>
                <w:top w:val="none" w:sz="0" w:space="0" w:color="auto"/>
                <w:left w:val="none" w:sz="0" w:space="0" w:color="auto"/>
                <w:bottom w:val="none" w:sz="0" w:space="0" w:color="auto"/>
                <w:right w:val="none" w:sz="0" w:space="0" w:color="auto"/>
              </w:divBdr>
            </w:div>
            <w:div w:id="929891546">
              <w:marLeft w:val="0"/>
              <w:marRight w:val="0"/>
              <w:marTop w:val="0"/>
              <w:marBottom w:val="0"/>
              <w:divBdr>
                <w:top w:val="none" w:sz="0" w:space="0" w:color="auto"/>
                <w:left w:val="none" w:sz="0" w:space="0" w:color="auto"/>
                <w:bottom w:val="none" w:sz="0" w:space="0" w:color="auto"/>
                <w:right w:val="none" w:sz="0" w:space="0" w:color="auto"/>
              </w:divBdr>
            </w:div>
            <w:div w:id="428308496">
              <w:marLeft w:val="0"/>
              <w:marRight w:val="0"/>
              <w:marTop w:val="0"/>
              <w:marBottom w:val="0"/>
              <w:divBdr>
                <w:top w:val="none" w:sz="0" w:space="0" w:color="auto"/>
                <w:left w:val="none" w:sz="0" w:space="0" w:color="auto"/>
                <w:bottom w:val="none" w:sz="0" w:space="0" w:color="auto"/>
                <w:right w:val="none" w:sz="0" w:space="0" w:color="auto"/>
              </w:divBdr>
            </w:div>
            <w:div w:id="717123124">
              <w:marLeft w:val="0"/>
              <w:marRight w:val="0"/>
              <w:marTop w:val="0"/>
              <w:marBottom w:val="0"/>
              <w:divBdr>
                <w:top w:val="none" w:sz="0" w:space="0" w:color="auto"/>
                <w:left w:val="none" w:sz="0" w:space="0" w:color="auto"/>
                <w:bottom w:val="none" w:sz="0" w:space="0" w:color="auto"/>
                <w:right w:val="none" w:sz="0" w:space="0" w:color="auto"/>
              </w:divBdr>
            </w:div>
            <w:div w:id="1476217066">
              <w:marLeft w:val="0"/>
              <w:marRight w:val="0"/>
              <w:marTop w:val="0"/>
              <w:marBottom w:val="0"/>
              <w:divBdr>
                <w:top w:val="none" w:sz="0" w:space="0" w:color="auto"/>
                <w:left w:val="none" w:sz="0" w:space="0" w:color="auto"/>
                <w:bottom w:val="none" w:sz="0" w:space="0" w:color="auto"/>
                <w:right w:val="none" w:sz="0" w:space="0" w:color="auto"/>
              </w:divBdr>
            </w:div>
            <w:div w:id="1315375123">
              <w:marLeft w:val="0"/>
              <w:marRight w:val="0"/>
              <w:marTop w:val="0"/>
              <w:marBottom w:val="0"/>
              <w:divBdr>
                <w:top w:val="none" w:sz="0" w:space="0" w:color="auto"/>
                <w:left w:val="none" w:sz="0" w:space="0" w:color="auto"/>
                <w:bottom w:val="none" w:sz="0" w:space="0" w:color="auto"/>
                <w:right w:val="none" w:sz="0" w:space="0" w:color="auto"/>
              </w:divBdr>
            </w:div>
            <w:div w:id="1026062230">
              <w:marLeft w:val="0"/>
              <w:marRight w:val="0"/>
              <w:marTop w:val="0"/>
              <w:marBottom w:val="0"/>
              <w:divBdr>
                <w:top w:val="none" w:sz="0" w:space="0" w:color="auto"/>
                <w:left w:val="none" w:sz="0" w:space="0" w:color="auto"/>
                <w:bottom w:val="none" w:sz="0" w:space="0" w:color="auto"/>
                <w:right w:val="none" w:sz="0" w:space="0" w:color="auto"/>
              </w:divBdr>
            </w:div>
            <w:div w:id="1898392320">
              <w:marLeft w:val="0"/>
              <w:marRight w:val="0"/>
              <w:marTop w:val="0"/>
              <w:marBottom w:val="0"/>
              <w:divBdr>
                <w:top w:val="none" w:sz="0" w:space="0" w:color="auto"/>
                <w:left w:val="none" w:sz="0" w:space="0" w:color="auto"/>
                <w:bottom w:val="none" w:sz="0" w:space="0" w:color="auto"/>
                <w:right w:val="none" w:sz="0" w:space="0" w:color="auto"/>
              </w:divBdr>
            </w:div>
            <w:div w:id="783959204">
              <w:marLeft w:val="0"/>
              <w:marRight w:val="0"/>
              <w:marTop w:val="0"/>
              <w:marBottom w:val="0"/>
              <w:divBdr>
                <w:top w:val="none" w:sz="0" w:space="0" w:color="auto"/>
                <w:left w:val="none" w:sz="0" w:space="0" w:color="auto"/>
                <w:bottom w:val="none" w:sz="0" w:space="0" w:color="auto"/>
                <w:right w:val="none" w:sz="0" w:space="0" w:color="auto"/>
              </w:divBdr>
            </w:div>
            <w:div w:id="1894392769">
              <w:marLeft w:val="0"/>
              <w:marRight w:val="0"/>
              <w:marTop w:val="0"/>
              <w:marBottom w:val="0"/>
              <w:divBdr>
                <w:top w:val="none" w:sz="0" w:space="0" w:color="auto"/>
                <w:left w:val="none" w:sz="0" w:space="0" w:color="auto"/>
                <w:bottom w:val="none" w:sz="0" w:space="0" w:color="auto"/>
                <w:right w:val="none" w:sz="0" w:space="0" w:color="auto"/>
              </w:divBdr>
            </w:div>
            <w:div w:id="1153833117">
              <w:marLeft w:val="0"/>
              <w:marRight w:val="0"/>
              <w:marTop w:val="0"/>
              <w:marBottom w:val="0"/>
              <w:divBdr>
                <w:top w:val="none" w:sz="0" w:space="0" w:color="auto"/>
                <w:left w:val="none" w:sz="0" w:space="0" w:color="auto"/>
                <w:bottom w:val="none" w:sz="0" w:space="0" w:color="auto"/>
                <w:right w:val="none" w:sz="0" w:space="0" w:color="auto"/>
              </w:divBdr>
            </w:div>
            <w:div w:id="1122386320">
              <w:marLeft w:val="0"/>
              <w:marRight w:val="0"/>
              <w:marTop w:val="0"/>
              <w:marBottom w:val="0"/>
              <w:divBdr>
                <w:top w:val="none" w:sz="0" w:space="0" w:color="auto"/>
                <w:left w:val="none" w:sz="0" w:space="0" w:color="auto"/>
                <w:bottom w:val="none" w:sz="0" w:space="0" w:color="auto"/>
                <w:right w:val="none" w:sz="0" w:space="0" w:color="auto"/>
              </w:divBdr>
            </w:div>
            <w:div w:id="1273708299">
              <w:marLeft w:val="0"/>
              <w:marRight w:val="0"/>
              <w:marTop w:val="0"/>
              <w:marBottom w:val="0"/>
              <w:divBdr>
                <w:top w:val="none" w:sz="0" w:space="0" w:color="auto"/>
                <w:left w:val="none" w:sz="0" w:space="0" w:color="auto"/>
                <w:bottom w:val="none" w:sz="0" w:space="0" w:color="auto"/>
                <w:right w:val="none" w:sz="0" w:space="0" w:color="auto"/>
              </w:divBdr>
            </w:div>
            <w:div w:id="813137458">
              <w:marLeft w:val="0"/>
              <w:marRight w:val="0"/>
              <w:marTop w:val="0"/>
              <w:marBottom w:val="0"/>
              <w:divBdr>
                <w:top w:val="none" w:sz="0" w:space="0" w:color="auto"/>
                <w:left w:val="none" w:sz="0" w:space="0" w:color="auto"/>
                <w:bottom w:val="none" w:sz="0" w:space="0" w:color="auto"/>
                <w:right w:val="none" w:sz="0" w:space="0" w:color="auto"/>
              </w:divBdr>
            </w:div>
            <w:div w:id="1647511270">
              <w:marLeft w:val="0"/>
              <w:marRight w:val="0"/>
              <w:marTop w:val="0"/>
              <w:marBottom w:val="0"/>
              <w:divBdr>
                <w:top w:val="none" w:sz="0" w:space="0" w:color="auto"/>
                <w:left w:val="none" w:sz="0" w:space="0" w:color="auto"/>
                <w:bottom w:val="none" w:sz="0" w:space="0" w:color="auto"/>
                <w:right w:val="none" w:sz="0" w:space="0" w:color="auto"/>
              </w:divBdr>
            </w:div>
            <w:div w:id="706638847">
              <w:marLeft w:val="0"/>
              <w:marRight w:val="0"/>
              <w:marTop w:val="0"/>
              <w:marBottom w:val="0"/>
              <w:divBdr>
                <w:top w:val="none" w:sz="0" w:space="0" w:color="auto"/>
                <w:left w:val="none" w:sz="0" w:space="0" w:color="auto"/>
                <w:bottom w:val="none" w:sz="0" w:space="0" w:color="auto"/>
                <w:right w:val="none" w:sz="0" w:space="0" w:color="auto"/>
              </w:divBdr>
            </w:div>
            <w:div w:id="871726058">
              <w:marLeft w:val="0"/>
              <w:marRight w:val="0"/>
              <w:marTop w:val="0"/>
              <w:marBottom w:val="0"/>
              <w:divBdr>
                <w:top w:val="none" w:sz="0" w:space="0" w:color="auto"/>
                <w:left w:val="none" w:sz="0" w:space="0" w:color="auto"/>
                <w:bottom w:val="none" w:sz="0" w:space="0" w:color="auto"/>
                <w:right w:val="none" w:sz="0" w:space="0" w:color="auto"/>
              </w:divBdr>
            </w:div>
            <w:div w:id="1686126668">
              <w:marLeft w:val="0"/>
              <w:marRight w:val="0"/>
              <w:marTop w:val="0"/>
              <w:marBottom w:val="0"/>
              <w:divBdr>
                <w:top w:val="none" w:sz="0" w:space="0" w:color="auto"/>
                <w:left w:val="none" w:sz="0" w:space="0" w:color="auto"/>
                <w:bottom w:val="none" w:sz="0" w:space="0" w:color="auto"/>
                <w:right w:val="none" w:sz="0" w:space="0" w:color="auto"/>
              </w:divBdr>
            </w:div>
            <w:div w:id="1337268396">
              <w:marLeft w:val="0"/>
              <w:marRight w:val="0"/>
              <w:marTop w:val="0"/>
              <w:marBottom w:val="0"/>
              <w:divBdr>
                <w:top w:val="none" w:sz="0" w:space="0" w:color="auto"/>
                <w:left w:val="none" w:sz="0" w:space="0" w:color="auto"/>
                <w:bottom w:val="none" w:sz="0" w:space="0" w:color="auto"/>
                <w:right w:val="none" w:sz="0" w:space="0" w:color="auto"/>
              </w:divBdr>
            </w:div>
            <w:div w:id="470640364">
              <w:marLeft w:val="0"/>
              <w:marRight w:val="0"/>
              <w:marTop w:val="0"/>
              <w:marBottom w:val="0"/>
              <w:divBdr>
                <w:top w:val="none" w:sz="0" w:space="0" w:color="auto"/>
                <w:left w:val="none" w:sz="0" w:space="0" w:color="auto"/>
                <w:bottom w:val="none" w:sz="0" w:space="0" w:color="auto"/>
                <w:right w:val="none" w:sz="0" w:space="0" w:color="auto"/>
              </w:divBdr>
            </w:div>
            <w:div w:id="381289916">
              <w:marLeft w:val="0"/>
              <w:marRight w:val="0"/>
              <w:marTop w:val="0"/>
              <w:marBottom w:val="0"/>
              <w:divBdr>
                <w:top w:val="none" w:sz="0" w:space="0" w:color="auto"/>
                <w:left w:val="none" w:sz="0" w:space="0" w:color="auto"/>
                <w:bottom w:val="none" w:sz="0" w:space="0" w:color="auto"/>
                <w:right w:val="none" w:sz="0" w:space="0" w:color="auto"/>
              </w:divBdr>
            </w:div>
            <w:div w:id="2144693876">
              <w:marLeft w:val="0"/>
              <w:marRight w:val="0"/>
              <w:marTop w:val="0"/>
              <w:marBottom w:val="0"/>
              <w:divBdr>
                <w:top w:val="none" w:sz="0" w:space="0" w:color="auto"/>
                <w:left w:val="none" w:sz="0" w:space="0" w:color="auto"/>
                <w:bottom w:val="none" w:sz="0" w:space="0" w:color="auto"/>
                <w:right w:val="none" w:sz="0" w:space="0" w:color="auto"/>
              </w:divBdr>
            </w:div>
            <w:div w:id="254217540">
              <w:marLeft w:val="0"/>
              <w:marRight w:val="0"/>
              <w:marTop w:val="0"/>
              <w:marBottom w:val="0"/>
              <w:divBdr>
                <w:top w:val="none" w:sz="0" w:space="0" w:color="auto"/>
                <w:left w:val="none" w:sz="0" w:space="0" w:color="auto"/>
                <w:bottom w:val="none" w:sz="0" w:space="0" w:color="auto"/>
                <w:right w:val="none" w:sz="0" w:space="0" w:color="auto"/>
              </w:divBdr>
            </w:div>
            <w:div w:id="2022538996">
              <w:marLeft w:val="0"/>
              <w:marRight w:val="0"/>
              <w:marTop w:val="0"/>
              <w:marBottom w:val="0"/>
              <w:divBdr>
                <w:top w:val="none" w:sz="0" w:space="0" w:color="auto"/>
                <w:left w:val="none" w:sz="0" w:space="0" w:color="auto"/>
                <w:bottom w:val="none" w:sz="0" w:space="0" w:color="auto"/>
                <w:right w:val="none" w:sz="0" w:space="0" w:color="auto"/>
              </w:divBdr>
            </w:div>
            <w:div w:id="2117825757">
              <w:marLeft w:val="0"/>
              <w:marRight w:val="0"/>
              <w:marTop w:val="0"/>
              <w:marBottom w:val="0"/>
              <w:divBdr>
                <w:top w:val="none" w:sz="0" w:space="0" w:color="auto"/>
                <w:left w:val="none" w:sz="0" w:space="0" w:color="auto"/>
                <w:bottom w:val="none" w:sz="0" w:space="0" w:color="auto"/>
                <w:right w:val="none" w:sz="0" w:space="0" w:color="auto"/>
              </w:divBdr>
            </w:div>
            <w:div w:id="2017418056">
              <w:marLeft w:val="0"/>
              <w:marRight w:val="0"/>
              <w:marTop w:val="0"/>
              <w:marBottom w:val="0"/>
              <w:divBdr>
                <w:top w:val="none" w:sz="0" w:space="0" w:color="auto"/>
                <w:left w:val="none" w:sz="0" w:space="0" w:color="auto"/>
                <w:bottom w:val="none" w:sz="0" w:space="0" w:color="auto"/>
                <w:right w:val="none" w:sz="0" w:space="0" w:color="auto"/>
              </w:divBdr>
            </w:div>
            <w:div w:id="1944071183">
              <w:marLeft w:val="0"/>
              <w:marRight w:val="0"/>
              <w:marTop w:val="0"/>
              <w:marBottom w:val="0"/>
              <w:divBdr>
                <w:top w:val="none" w:sz="0" w:space="0" w:color="auto"/>
                <w:left w:val="none" w:sz="0" w:space="0" w:color="auto"/>
                <w:bottom w:val="none" w:sz="0" w:space="0" w:color="auto"/>
                <w:right w:val="none" w:sz="0" w:space="0" w:color="auto"/>
              </w:divBdr>
            </w:div>
            <w:div w:id="1466966983">
              <w:marLeft w:val="0"/>
              <w:marRight w:val="0"/>
              <w:marTop w:val="0"/>
              <w:marBottom w:val="0"/>
              <w:divBdr>
                <w:top w:val="none" w:sz="0" w:space="0" w:color="auto"/>
                <w:left w:val="none" w:sz="0" w:space="0" w:color="auto"/>
                <w:bottom w:val="none" w:sz="0" w:space="0" w:color="auto"/>
                <w:right w:val="none" w:sz="0" w:space="0" w:color="auto"/>
              </w:divBdr>
            </w:div>
            <w:div w:id="421534841">
              <w:marLeft w:val="0"/>
              <w:marRight w:val="0"/>
              <w:marTop w:val="0"/>
              <w:marBottom w:val="0"/>
              <w:divBdr>
                <w:top w:val="none" w:sz="0" w:space="0" w:color="auto"/>
                <w:left w:val="none" w:sz="0" w:space="0" w:color="auto"/>
                <w:bottom w:val="none" w:sz="0" w:space="0" w:color="auto"/>
                <w:right w:val="none" w:sz="0" w:space="0" w:color="auto"/>
              </w:divBdr>
            </w:div>
            <w:div w:id="1726835577">
              <w:marLeft w:val="0"/>
              <w:marRight w:val="0"/>
              <w:marTop w:val="0"/>
              <w:marBottom w:val="0"/>
              <w:divBdr>
                <w:top w:val="none" w:sz="0" w:space="0" w:color="auto"/>
                <w:left w:val="none" w:sz="0" w:space="0" w:color="auto"/>
                <w:bottom w:val="none" w:sz="0" w:space="0" w:color="auto"/>
                <w:right w:val="none" w:sz="0" w:space="0" w:color="auto"/>
              </w:divBdr>
            </w:div>
            <w:div w:id="639966174">
              <w:marLeft w:val="0"/>
              <w:marRight w:val="0"/>
              <w:marTop w:val="0"/>
              <w:marBottom w:val="0"/>
              <w:divBdr>
                <w:top w:val="none" w:sz="0" w:space="0" w:color="auto"/>
                <w:left w:val="none" w:sz="0" w:space="0" w:color="auto"/>
                <w:bottom w:val="none" w:sz="0" w:space="0" w:color="auto"/>
                <w:right w:val="none" w:sz="0" w:space="0" w:color="auto"/>
              </w:divBdr>
            </w:div>
            <w:div w:id="869536060">
              <w:marLeft w:val="0"/>
              <w:marRight w:val="0"/>
              <w:marTop w:val="0"/>
              <w:marBottom w:val="0"/>
              <w:divBdr>
                <w:top w:val="none" w:sz="0" w:space="0" w:color="auto"/>
                <w:left w:val="none" w:sz="0" w:space="0" w:color="auto"/>
                <w:bottom w:val="none" w:sz="0" w:space="0" w:color="auto"/>
                <w:right w:val="none" w:sz="0" w:space="0" w:color="auto"/>
              </w:divBdr>
            </w:div>
            <w:div w:id="1080952440">
              <w:marLeft w:val="0"/>
              <w:marRight w:val="0"/>
              <w:marTop w:val="0"/>
              <w:marBottom w:val="0"/>
              <w:divBdr>
                <w:top w:val="none" w:sz="0" w:space="0" w:color="auto"/>
                <w:left w:val="none" w:sz="0" w:space="0" w:color="auto"/>
                <w:bottom w:val="none" w:sz="0" w:space="0" w:color="auto"/>
                <w:right w:val="none" w:sz="0" w:space="0" w:color="auto"/>
              </w:divBdr>
            </w:div>
            <w:div w:id="867371154">
              <w:marLeft w:val="0"/>
              <w:marRight w:val="0"/>
              <w:marTop w:val="0"/>
              <w:marBottom w:val="0"/>
              <w:divBdr>
                <w:top w:val="none" w:sz="0" w:space="0" w:color="auto"/>
                <w:left w:val="none" w:sz="0" w:space="0" w:color="auto"/>
                <w:bottom w:val="none" w:sz="0" w:space="0" w:color="auto"/>
                <w:right w:val="none" w:sz="0" w:space="0" w:color="auto"/>
              </w:divBdr>
            </w:div>
            <w:div w:id="1665427086">
              <w:marLeft w:val="0"/>
              <w:marRight w:val="0"/>
              <w:marTop w:val="0"/>
              <w:marBottom w:val="0"/>
              <w:divBdr>
                <w:top w:val="none" w:sz="0" w:space="0" w:color="auto"/>
                <w:left w:val="none" w:sz="0" w:space="0" w:color="auto"/>
                <w:bottom w:val="none" w:sz="0" w:space="0" w:color="auto"/>
                <w:right w:val="none" w:sz="0" w:space="0" w:color="auto"/>
              </w:divBdr>
            </w:div>
            <w:div w:id="1768841234">
              <w:marLeft w:val="0"/>
              <w:marRight w:val="0"/>
              <w:marTop w:val="0"/>
              <w:marBottom w:val="0"/>
              <w:divBdr>
                <w:top w:val="none" w:sz="0" w:space="0" w:color="auto"/>
                <w:left w:val="none" w:sz="0" w:space="0" w:color="auto"/>
                <w:bottom w:val="none" w:sz="0" w:space="0" w:color="auto"/>
                <w:right w:val="none" w:sz="0" w:space="0" w:color="auto"/>
              </w:divBdr>
            </w:div>
            <w:div w:id="653488141">
              <w:marLeft w:val="0"/>
              <w:marRight w:val="0"/>
              <w:marTop w:val="0"/>
              <w:marBottom w:val="0"/>
              <w:divBdr>
                <w:top w:val="none" w:sz="0" w:space="0" w:color="auto"/>
                <w:left w:val="none" w:sz="0" w:space="0" w:color="auto"/>
                <w:bottom w:val="none" w:sz="0" w:space="0" w:color="auto"/>
                <w:right w:val="none" w:sz="0" w:space="0" w:color="auto"/>
              </w:divBdr>
            </w:div>
            <w:div w:id="1446659172">
              <w:marLeft w:val="0"/>
              <w:marRight w:val="0"/>
              <w:marTop w:val="0"/>
              <w:marBottom w:val="0"/>
              <w:divBdr>
                <w:top w:val="none" w:sz="0" w:space="0" w:color="auto"/>
                <w:left w:val="none" w:sz="0" w:space="0" w:color="auto"/>
                <w:bottom w:val="none" w:sz="0" w:space="0" w:color="auto"/>
                <w:right w:val="none" w:sz="0" w:space="0" w:color="auto"/>
              </w:divBdr>
            </w:div>
            <w:div w:id="1351906285">
              <w:marLeft w:val="0"/>
              <w:marRight w:val="0"/>
              <w:marTop w:val="0"/>
              <w:marBottom w:val="0"/>
              <w:divBdr>
                <w:top w:val="none" w:sz="0" w:space="0" w:color="auto"/>
                <w:left w:val="none" w:sz="0" w:space="0" w:color="auto"/>
                <w:bottom w:val="none" w:sz="0" w:space="0" w:color="auto"/>
                <w:right w:val="none" w:sz="0" w:space="0" w:color="auto"/>
              </w:divBdr>
            </w:div>
            <w:div w:id="28576997">
              <w:marLeft w:val="0"/>
              <w:marRight w:val="0"/>
              <w:marTop w:val="0"/>
              <w:marBottom w:val="0"/>
              <w:divBdr>
                <w:top w:val="none" w:sz="0" w:space="0" w:color="auto"/>
                <w:left w:val="none" w:sz="0" w:space="0" w:color="auto"/>
                <w:bottom w:val="none" w:sz="0" w:space="0" w:color="auto"/>
                <w:right w:val="none" w:sz="0" w:space="0" w:color="auto"/>
              </w:divBdr>
            </w:div>
            <w:div w:id="942877767">
              <w:marLeft w:val="0"/>
              <w:marRight w:val="0"/>
              <w:marTop w:val="0"/>
              <w:marBottom w:val="0"/>
              <w:divBdr>
                <w:top w:val="none" w:sz="0" w:space="0" w:color="auto"/>
                <w:left w:val="none" w:sz="0" w:space="0" w:color="auto"/>
                <w:bottom w:val="none" w:sz="0" w:space="0" w:color="auto"/>
                <w:right w:val="none" w:sz="0" w:space="0" w:color="auto"/>
              </w:divBdr>
            </w:div>
            <w:div w:id="703557912">
              <w:marLeft w:val="0"/>
              <w:marRight w:val="0"/>
              <w:marTop w:val="0"/>
              <w:marBottom w:val="0"/>
              <w:divBdr>
                <w:top w:val="none" w:sz="0" w:space="0" w:color="auto"/>
                <w:left w:val="none" w:sz="0" w:space="0" w:color="auto"/>
                <w:bottom w:val="none" w:sz="0" w:space="0" w:color="auto"/>
                <w:right w:val="none" w:sz="0" w:space="0" w:color="auto"/>
              </w:divBdr>
            </w:div>
            <w:div w:id="1406488277">
              <w:marLeft w:val="0"/>
              <w:marRight w:val="0"/>
              <w:marTop w:val="0"/>
              <w:marBottom w:val="0"/>
              <w:divBdr>
                <w:top w:val="none" w:sz="0" w:space="0" w:color="auto"/>
                <w:left w:val="none" w:sz="0" w:space="0" w:color="auto"/>
                <w:bottom w:val="none" w:sz="0" w:space="0" w:color="auto"/>
                <w:right w:val="none" w:sz="0" w:space="0" w:color="auto"/>
              </w:divBdr>
            </w:div>
            <w:div w:id="1874462590">
              <w:marLeft w:val="0"/>
              <w:marRight w:val="0"/>
              <w:marTop w:val="0"/>
              <w:marBottom w:val="0"/>
              <w:divBdr>
                <w:top w:val="none" w:sz="0" w:space="0" w:color="auto"/>
                <w:left w:val="none" w:sz="0" w:space="0" w:color="auto"/>
                <w:bottom w:val="none" w:sz="0" w:space="0" w:color="auto"/>
                <w:right w:val="none" w:sz="0" w:space="0" w:color="auto"/>
              </w:divBdr>
            </w:div>
            <w:div w:id="110247718">
              <w:marLeft w:val="0"/>
              <w:marRight w:val="0"/>
              <w:marTop w:val="0"/>
              <w:marBottom w:val="0"/>
              <w:divBdr>
                <w:top w:val="none" w:sz="0" w:space="0" w:color="auto"/>
                <w:left w:val="none" w:sz="0" w:space="0" w:color="auto"/>
                <w:bottom w:val="none" w:sz="0" w:space="0" w:color="auto"/>
                <w:right w:val="none" w:sz="0" w:space="0" w:color="auto"/>
              </w:divBdr>
            </w:div>
            <w:div w:id="616182031">
              <w:marLeft w:val="0"/>
              <w:marRight w:val="0"/>
              <w:marTop w:val="0"/>
              <w:marBottom w:val="0"/>
              <w:divBdr>
                <w:top w:val="none" w:sz="0" w:space="0" w:color="auto"/>
                <w:left w:val="none" w:sz="0" w:space="0" w:color="auto"/>
                <w:bottom w:val="none" w:sz="0" w:space="0" w:color="auto"/>
                <w:right w:val="none" w:sz="0" w:space="0" w:color="auto"/>
              </w:divBdr>
            </w:div>
            <w:div w:id="774717889">
              <w:marLeft w:val="0"/>
              <w:marRight w:val="0"/>
              <w:marTop w:val="0"/>
              <w:marBottom w:val="0"/>
              <w:divBdr>
                <w:top w:val="none" w:sz="0" w:space="0" w:color="auto"/>
                <w:left w:val="none" w:sz="0" w:space="0" w:color="auto"/>
                <w:bottom w:val="none" w:sz="0" w:space="0" w:color="auto"/>
                <w:right w:val="none" w:sz="0" w:space="0" w:color="auto"/>
              </w:divBdr>
            </w:div>
            <w:div w:id="684789941">
              <w:marLeft w:val="0"/>
              <w:marRight w:val="0"/>
              <w:marTop w:val="0"/>
              <w:marBottom w:val="0"/>
              <w:divBdr>
                <w:top w:val="none" w:sz="0" w:space="0" w:color="auto"/>
                <w:left w:val="none" w:sz="0" w:space="0" w:color="auto"/>
                <w:bottom w:val="none" w:sz="0" w:space="0" w:color="auto"/>
                <w:right w:val="none" w:sz="0" w:space="0" w:color="auto"/>
              </w:divBdr>
            </w:div>
            <w:div w:id="152186472">
              <w:marLeft w:val="0"/>
              <w:marRight w:val="0"/>
              <w:marTop w:val="0"/>
              <w:marBottom w:val="0"/>
              <w:divBdr>
                <w:top w:val="none" w:sz="0" w:space="0" w:color="auto"/>
                <w:left w:val="none" w:sz="0" w:space="0" w:color="auto"/>
                <w:bottom w:val="none" w:sz="0" w:space="0" w:color="auto"/>
                <w:right w:val="none" w:sz="0" w:space="0" w:color="auto"/>
              </w:divBdr>
            </w:div>
            <w:div w:id="1534265801">
              <w:marLeft w:val="0"/>
              <w:marRight w:val="0"/>
              <w:marTop w:val="0"/>
              <w:marBottom w:val="0"/>
              <w:divBdr>
                <w:top w:val="none" w:sz="0" w:space="0" w:color="auto"/>
                <w:left w:val="none" w:sz="0" w:space="0" w:color="auto"/>
                <w:bottom w:val="none" w:sz="0" w:space="0" w:color="auto"/>
                <w:right w:val="none" w:sz="0" w:space="0" w:color="auto"/>
              </w:divBdr>
            </w:div>
            <w:div w:id="1678461798">
              <w:marLeft w:val="0"/>
              <w:marRight w:val="0"/>
              <w:marTop w:val="0"/>
              <w:marBottom w:val="0"/>
              <w:divBdr>
                <w:top w:val="none" w:sz="0" w:space="0" w:color="auto"/>
                <w:left w:val="none" w:sz="0" w:space="0" w:color="auto"/>
                <w:bottom w:val="none" w:sz="0" w:space="0" w:color="auto"/>
                <w:right w:val="none" w:sz="0" w:space="0" w:color="auto"/>
              </w:divBdr>
            </w:div>
            <w:div w:id="479034561">
              <w:marLeft w:val="0"/>
              <w:marRight w:val="0"/>
              <w:marTop w:val="0"/>
              <w:marBottom w:val="0"/>
              <w:divBdr>
                <w:top w:val="none" w:sz="0" w:space="0" w:color="auto"/>
                <w:left w:val="none" w:sz="0" w:space="0" w:color="auto"/>
                <w:bottom w:val="none" w:sz="0" w:space="0" w:color="auto"/>
                <w:right w:val="none" w:sz="0" w:space="0" w:color="auto"/>
              </w:divBdr>
            </w:div>
            <w:div w:id="425466051">
              <w:marLeft w:val="0"/>
              <w:marRight w:val="0"/>
              <w:marTop w:val="0"/>
              <w:marBottom w:val="0"/>
              <w:divBdr>
                <w:top w:val="none" w:sz="0" w:space="0" w:color="auto"/>
                <w:left w:val="none" w:sz="0" w:space="0" w:color="auto"/>
                <w:bottom w:val="none" w:sz="0" w:space="0" w:color="auto"/>
                <w:right w:val="none" w:sz="0" w:space="0" w:color="auto"/>
              </w:divBdr>
            </w:div>
            <w:div w:id="55933310">
              <w:marLeft w:val="0"/>
              <w:marRight w:val="0"/>
              <w:marTop w:val="0"/>
              <w:marBottom w:val="0"/>
              <w:divBdr>
                <w:top w:val="none" w:sz="0" w:space="0" w:color="auto"/>
                <w:left w:val="none" w:sz="0" w:space="0" w:color="auto"/>
                <w:bottom w:val="none" w:sz="0" w:space="0" w:color="auto"/>
                <w:right w:val="none" w:sz="0" w:space="0" w:color="auto"/>
              </w:divBdr>
            </w:div>
            <w:div w:id="353187311">
              <w:marLeft w:val="0"/>
              <w:marRight w:val="0"/>
              <w:marTop w:val="0"/>
              <w:marBottom w:val="0"/>
              <w:divBdr>
                <w:top w:val="none" w:sz="0" w:space="0" w:color="auto"/>
                <w:left w:val="none" w:sz="0" w:space="0" w:color="auto"/>
                <w:bottom w:val="none" w:sz="0" w:space="0" w:color="auto"/>
                <w:right w:val="none" w:sz="0" w:space="0" w:color="auto"/>
              </w:divBdr>
            </w:div>
            <w:div w:id="900944934">
              <w:marLeft w:val="0"/>
              <w:marRight w:val="0"/>
              <w:marTop w:val="0"/>
              <w:marBottom w:val="0"/>
              <w:divBdr>
                <w:top w:val="none" w:sz="0" w:space="0" w:color="auto"/>
                <w:left w:val="none" w:sz="0" w:space="0" w:color="auto"/>
                <w:bottom w:val="none" w:sz="0" w:space="0" w:color="auto"/>
                <w:right w:val="none" w:sz="0" w:space="0" w:color="auto"/>
              </w:divBdr>
            </w:div>
            <w:div w:id="1386488403">
              <w:marLeft w:val="0"/>
              <w:marRight w:val="0"/>
              <w:marTop w:val="0"/>
              <w:marBottom w:val="0"/>
              <w:divBdr>
                <w:top w:val="none" w:sz="0" w:space="0" w:color="auto"/>
                <w:left w:val="none" w:sz="0" w:space="0" w:color="auto"/>
                <w:bottom w:val="none" w:sz="0" w:space="0" w:color="auto"/>
                <w:right w:val="none" w:sz="0" w:space="0" w:color="auto"/>
              </w:divBdr>
            </w:div>
            <w:div w:id="1589776898">
              <w:marLeft w:val="0"/>
              <w:marRight w:val="0"/>
              <w:marTop w:val="0"/>
              <w:marBottom w:val="0"/>
              <w:divBdr>
                <w:top w:val="none" w:sz="0" w:space="0" w:color="auto"/>
                <w:left w:val="none" w:sz="0" w:space="0" w:color="auto"/>
                <w:bottom w:val="none" w:sz="0" w:space="0" w:color="auto"/>
                <w:right w:val="none" w:sz="0" w:space="0" w:color="auto"/>
              </w:divBdr>
            </w:div>
            <w:div w:id="1470632643">
              <w:marLeft w:val="0"/>
              <w:marRight w:val="0"/>
              <w:marTop w:val="0"/>
              <w:marBottom w:val="0"/>
              <w:divBdr>
                <w:top w:val="none" w:sz="0" w:space="0" w:color="auto"/>
                <w:left w:val="none" w:sz="0" w:space="0" w:color="auto"/>
                <w:bottom w:val="none" w:sz="0" w:space="0" w:color="auto"/>
                <w:right w:val="none" w:sz="0" w:space="0" w:color="auto"/>
              </w:divBdr>
            </w:div>
            <w:div w:id="1300651143">
              <w:marLeft w:val="0"/>
              <w:marRight w:val="0"/>
              <w:marTop w:val="0"/>
              <w:marBottom w:val="0"/>
              <w:divBdr>
                <w:top w:val="none" w:sz="0" w:space="0" w:color="auto"/>
                <w:left w:val="none" w:sz="0" w:space="0" w:color="auto"/>
                <w:bottom w:val="none" w:sz="0" w:space="0" w:color="auto"/>
                <w:right w:val="none" w:sz="0" w:space="0" w:color="auto"/>
              </w:divBdr>
            </w:div>
            <w:div w:id="1319774249">
              <w:marLeft w:val="0"/>
              <w:marRight w:val="0"/>
              <w:marTop w:val="0"/>
              <w:marBottom w:val="0"/>
              <w:divBdr>
                <w:top w:val="none" w:sz="0" w:space="0" w:color="auto"/>
                <w:left w:val="none" w:sz="0" w:space="0" w:color="auto"/>
                <w:bottom w:val="none" w:sz="0" w:space="0" w:color="auto"/>
                <w:right w:val="none" w:sz="0" w:space="0" w:color="auto"/>
              </w:divBdr>
            </w:div>
            <w:div w:id="868955540">
              <w:marLeft w:val="0"/>
              <w:marRight w:val="0"/>
              <w:marTop w:val="0"/>
              <w:marBottom w:val="0"/>
              <w:divBdr>
                <w:top w:val="none" w:sz="0" w:space="0" w:color="auto"/>
                <w:left w:val="none" w:sz="0" w:space="0" w:color="auto"/>
                <w:bottom w:val="none" w:sz="0" w:space="0" w:color="auto"/>
                <w:right w:val="none" w:sz="0" w:space="0" w:color="auto"/>
              </w:divBdr>
            </w:div>
            <w:div w:id="73279476">
              <w:marLeft w:val="0"/>
              <w:marRight w:val="0"/>
              <w:marTop w:val="0"/>
              <w:marBottom w:val="0"/>
              <w:divBdr>
                <w:top w:val="none" w:sz="0" w:space="0" w:color="auto"/>
                <w:left w:val="none" w:sz="0" w:space="0" w:color="auto"/>
                <w:bottom w:val="none" w:sz="0" w:space="0" w:color="auto"/>
                <w:right w:val="none" w:sz="0" w:space="0" w:color="auto"/>
              </w:divBdr>
            </w:div>
            <w:div w:id="1214656448">
              <w:marLeft w:val="0"/>
              <w:marRight w:val="0"/>
              <w:marTop w:val="0"/>
              <w:marBottom w:val="0"/>
              <w:divBdr>
                <w:top w:val="none" w:sz="0" w:space="0" w:color="auto"/>
                <w:left w:val="none" w:sz="0" w:space="0" w:color="auto"/>
                <w:bottom w:val="none" w:sz="0" w:space="0" w:color="auto"/>
                <w:right w:val="none" w:sz="0" w:space="0" w:color="auto"/>
              </w:divBdr>
            </w:div>
            <w:div w:id="1653868162">
              <w:marLeft w:val="0"/>
              <w:marRight w:val="0"/>
              <w:marTop w:val="0"/>
              <w:marBottom w:val="0"/>
              <w:divBdr>
                <w:top w:val="none" w:sz="0" w:space="0" w:color="auto"/>
                <w:left w:val="none" w:sz="0" w:space="0" w:color="auto"/>
                <w:bottom w:val="none" w:sz="0" w:space="0" w:color="auto"/>
                <w:right w:val="none" w:sz="0" w:space="0" w:color="auto"/>
              </w:divBdr>
            </w:div>
            <w:div w:id="1013872635">
              <w:marLeft w:val="0"/>
              <w:marRight w:val="0"/>
              <w:marTop w:val="0"/>
              <w:marBottom w:val="0"/>
              <w:divBdr>
                <w:top w:val="none" w:sz="0" w:space="0" w:color="auto"/>
                <w:left w:val="none" w:sz="0" w:space="0" w:color="auto"/>
                <w:bottom w:val="none" w:sz="0" w:space="0" w:color="auto"/>
                <w:right w:val="none" w:sz="0" w:space="0" w:color="auto"/>
              </w:divBdr>
            </w:div>
            <w:div w:id="312878156">
              <w:marLeft w:val="0"/>
              <w:marRight w:val="0"/>
              <w:marTop w:val="0"/>
              <w:marBottom w:val="0"/>
              <w:divBdr>
                <w:top w:val="none" w:sz="0" w:space="0" w:color="auto"/>
                <w:left w:val="none" w:sz="0" w:space="0" w:color="auto"/>
                <w:bottom w:val="none" w:sz="0" w:space="0" w:color="auto"/>
                <w:right w:val="none" w:sz="0" w:space="0" w:color="auto"/>
              </w:divBdr>
            </w:div>
            <w:div w:id="404105475">
              <w:marLeft w:val="0"/>
              <w:marRight w:val="0"/>
              <w:marTop w:val="0"/>
              <w:marBottom w:val="0"/>
              <w:divBdr>
                <w:top w:val="none" w:sz="0" w:space="0" w:color="auto"/>
                <w:left w:val="none" w:sz="0" w:space="0" w:color="auto"/>
                <w:bottom w:val="none" w:sz="0" w:space="0" w:color="auto"/>
                <w:right w:val="none" w:sz="0" w:space="0" w:color="auto"/>
              </w:divBdr>
            </w:div>
            <w:div w:id="1855684161">
              <w:marLeft w:val="0"/>
              <w:marRight w:val="0"/>
              <w:marTop w:val="0"/>
              <w:marBottom w:val="0"/>
              <w:divBdr>
                <w:top w:val="none" w:sz="0" w:space="0" w:color="auto"/>
                <w:left w:val="none" w:sz="0" w:space="0" w:color="auto"/>
                <w:bottom w:val="none" w:sz="0" w:space="0" w:color="auto"/>
                <w:right w:val="none" w:sz="0" w:space="0" w:color="auto"/>
              </w:divBdr>
            </w:div>
            <w:div w:id="565067225">
              <w:marLeft w:val="0"/>
              <w:marRight w:val="0"/>
              <w:marTop w:val="0"/>
              <w:marBottom w:val="0"/>
              <w:divBdr>
                <w:top w:val="none" w:sz="0" w:space="0" w:color="auto"/>
                <w:left w:val="none" w:sz="0" w:space="0" w:color="auto"/>
                <w:bottom w:val="none" w:sz="0" w:space="0" w:color="auto"/>
                <w:right w:val="none" w:sz="0" w:space="0" w:color="auto"/>
              </w:divBdr>
            </w:div>
            <w:div w:id="1099595623">
              <w:marLeft w:val="0"/>
              <w:marRight w:val="0"/>
              <w:marTop w:val="0"/>
              <w:marBottom w:val="0"/>
              <w:divBdr>
                <w:top w:val="none" w:sz="0" w:space="0" w:color="auto"/>
                <w:left w:val="none" w:sz="0" w:space="0" w:color="auto"/>
                <w:bottom w:val="none" w:sz="0" w:space="0" w:color="auto"/>
                <w:right w:val="none" w:sz="0" w:space="0" w:color="auto"/>
              </w:divBdr>
            </w:div>
            <w:div w:id="1389911210">
              <w:marLeft w:val="0"/>
              <w:marRight w:val="0"/>
              <w:marTop w:val="0"/>
              <w:marBottom w:val="0"/>
              <w:divBdr>
                <w:top w:val="none" w:sz="0" w:space="0" w:color="auto"/>
                <w:left w:val="none" w:sz="0" w:space="0" w:color="auto"/>
                <w:bottom w:val="none" w:sz="0" w:space="0" w:color="auto"/>
                <w:right w:val="none" w:sz="0" w:space="0" w:color="auto"/>
              </w:divBdr>
            </w:div>
            <w:div w:id="356782490">
              <w:marLeft w:val="0"/>
              <w:marRight w:val="0"/>
              <w:marTop w:val="0"/>
              <w:marBottom w:val="0"/>
              <w:divBdr>
                <w:top w:val="none" w:sz="0" w:space="0" w:color="auto"/>
                <w:left w:val="none" w:sz="0" w:space="0" w:color="auto"/>
                <w:bottom w:val="none" w:sz="0" w:space="0" w:color="auto"/>
                <w:right w:val="none" w:sz="0" w:space="0" w:color="auto"/>
              </w:divBdr>
            </w:div>
            <w:div w:id="1570772681">
              <w:marLeft w:val="0"/>
              <w:marRight w:val="0"/>
              <w:marTop w:val="0"/>
              <w:marBottom w:val="0"/>
              <w:divBdr>
                <w:top w:val="none" w:sz="0" w:space="0" w:color="auto"/>
                <w:left w:val="none" w:sz="0" w:space="0" w:color="auto"/>
                <w:bottom w:val="none" w:sz="0" w:space="0" w:color="auto"/>
                <w:right w:val="none" w:sz="0" w:space="0" w:color="auto"/>
              </w:divBdr>
            </w:div>
            <w:div w:id="426465845">
              <w:marLeft w:val="0"/>
              <w:marRight w:val="0"/>
              <w:marTop w:val="0"/>
              <w:marBottom w:val="0"/>
              <w:divBdr>
                <w:top w:val="none" w:sz="0" w:space="0" w:color="auto"/>
                <w:left w:val="none" w:sz="0" w:space="0" w:color="auto"/>
                <w:bottom w:val="none" w:sz="0" w:space="0" w:color="auto"/>
                <w:right w:val="none" w:sz="0" w:space="0" w:color="auto"/>
              </w:divBdr>
            </w:div>
            <w:div w:id="1447847420">
              <w:marLeft w:val="0"/>
              <w:marRight w:val="0"/>
              <w:marTop w:val="0"/>
              <w:marBottom w:val="0"/>
              <w:divBdr>
                <w:top w:val="none" w:sz="0" w:space="0" w:color="auto"/>
                <w:left w:val="none" w:sz="0" w:space="0" w:color="auto"/>
                <w:bottom w:val="none" w:sz="0" w:space="0" w:color="auto"/>
                <w:right w:val="none" w:sz="0" w:space="0" w:color="auto"/>
              </w:divBdr>
            </w:div>
            <w:div w:id="303778698">
              <w:marLeft w:val="0"/>
              <w:marRight w:val="0"/>
              <w:marTop w:val="0"/>
              <w:marBottom w:val="0"/>
              <w:divBdr>
                <w:top w:val="none" w:sz="0" w:space="0" w:color="auto"/>
                <w:left w:val="none" w:sz="0" w:space="0" w:color="auto"/>
                <w:bottom w:val="none" w:sz="0" w:space="0" w:color="auto"/>
                <w:right w:val="none" w:sz="0" w:space="0" w:color="auto"/>
              </w:divBdr>
            </w:div>
            <w:div w:id="425925316">
              <w:marLeft w:val="0"/>
              <w:marRight w:val="0"/>
              <w:marTop w:val="0"/>
              <w:marBottom w:val="0"/>
              <w:divBdr>
                <w:top w:val="none" w:sz="0" w:space="0" w:color="auto"/>
                <w:left w:val="none" w:sz="0" w:space="0" w:color="auto"/>
                <w:bottom w:val="none" w:sz="0" w:space="0" w:color="auto"/>
                <w:right w:val="none" w:sz="0" w:space="0" w:color="auto"/>
              </w:divBdr>
            </w:div>
            <w:div w:id="1346982057">
              <w:marLeft w:val="0"/>
              <w:marRight w:val="0"/>
              <w:marTop w:val="0"/>
              <w:marBottom w:val="0"/>
              <w:divBdr>
                <w:top w:val="none" w:sz="0" w:space="0" w:color="auto"/>
                <w:left w:val="none" w:sz="0" w:space="0" w:color="auto"/>
                <w:bottom w:val="none" w:sz="0" w:space="0" w:color="auto"/>
                <w:right w:val="none" w:sz="0" w:space="0" w:color="auto"/>
              </w:divBdr>
            </w:div>
            <w:div w:id="2105760624">
              <w:marLeft w:val="0"/>
              <w:marRight w:val="0"/>
              <w:marTop w:val="0"/>
              <w:marBottom w:val="0"/>
              <w:divBdr>
                <w:top w:val="none" w:sz="0" w:space="0" w:color="auto"/>
                <w:left w:val="none" w:sz="0" w:space="0" w:color="auto"/>
                <w:bottom w:val="none" w:sz="0" w:space="0" w:color="auto"/>
                <w:right w:val="none" w:sz="0" w:space="0" w:color="auto"/>
              </w:divBdr>
            </w:div>
            <w:div w:id="1976642071">
              <w:marLeft w:val="0"/>
              <w:marRight w:val="0"/>
              <w:marTop w:val="0"/>
              <w:marBottom w:val="0"/>
              <w:divBdr>
                <w:top w:val="none" w:sz="0" w:space="0" w:color="auto"/>
                <w:left w:val="none" w:sz="0" w:space="0" w:color="auto"/>
                <w:bottom w:val="none" w:sz="0" w:space="0" w:color="auto"/>
                <w:right w:val="none" w:sz="0" w:space="0" w:color="auto"/>
              </w:divBdr>
            </w:div>
            <w:div w:id="1218934723">
              <w:marLeft w:val="0"/>
              <w:marRight w:val="0"/>
              <w:marTop w:val="0"/>
              <w:marBottom w:val="0"/>
              <w:divBdr>
                <w:top w:val="none" w:sz="0" w:space="0" w:color="auto"/>
                <w:left w:val="none" w:sz="0" w:space="0" w:color="auto"/>
                <w:bottom w:val="none" w:sz="0" w:space="0" w:color="auto"/>
                <w:right w:val="none" w:sz="0" w:space="0" w:color="auto"/>
              </w:divBdr>
            </w:div>
            <w:div w:id="434640951">
              <w:marLeft w:val="0"/>
              <w:marRight w:val="0"/>
              <w:marTop w:val="0"/>
              <w:marBottom w:val="0"/>
              <w:divBdr>
                <w:top w:val="none" w:sz="0" w:space="0" w:color="auto"/>
                <w:left w:val="none" w:sz="0" w:space="0" w:color="auto"/>
                <w:bottom w:val="none" w:sz="0" w:space="0" w:color="auto"/>
                <w:right w:val="none" w:sz="0" w:space="0" w:color="auto"/>
              </w:divBdr>
            </w:div>
            <w:div w:id="248390123">
              <w:marLeft w:val="0"/>
              <w:marRight w:val="0"/>
              <w:marTop w:val="0"/>
              <w:marBottom w:val="0"/>
              <w:divBdr>
                <w:top w:val="none" w:sz="0" w:space="0" w:color="auto"/>
                <w:left w:val="none" w:sz="0" w:space="0" w:color="auto"/>
                <w:bottom w:val="none" w:sz="0" w:space="0" w:color="auto"/>
                <w:right w:val="none" w:sz="0" w:space="0" w:color="auto"/>
              </w:divBdr>
            </w:div>
            <w:div w:id="1328554784">
              <w:marLeft w:val="0"/>
              <w:marRight w:val="0"/>
              <w:marTop w:val="0"/>
              <w:marBottom w:val="0"/>
              <w:divBdr>
                <w:top w:val="none" w:sz="0" w:space="0" w:color="auto"/>
                <w:left w:val="none" w:sz="0" w:space="0" w:color="auto"/>
                <w:bottom w:val="none" w:sz="0" w:space="0" w:color="auto"/>
                <w:right w:val="none" w:sz="0" w:space="0" w:color="auto"/>
              </w:divBdr>
            </w:div>
            <w:div w:id="301086596">
              <w:marLeft w:val="0"/>
              <w:marRight w:val="0"/>
              <w:marTop w:val="0"/>
              <w:marBottom w:val="0"/>
              <w:divBdr>
                <w:top w:val="none" w:sz="0" w:space="0" w:color="auto"/>
                <w:left w:val="none" w:sz="0" w:space="0" w:color="auto"/>
                <w:bottom w:val="none" w:sz="0" w:space="0" w:color="auto"/>
                <w:right w:val="none" w:sz="0" w:space="0" w:color="auto"/>
              </w:divBdr>
            </w:div>
            <w:div w:id="1379161893">
              <w:marLeft w:val="0"/>
              <w:marRight w:val="0"/>
              <w:marTop w:val="0"/>
              <w:marBottom w:val="0"/>
              <w:divBdr>
                <w:top w:val="none" w:sz="0" w:space="0" w:color="auto"/>
                <w:left w:val="none" w:sz="0" w:space="0" w:color="auto"/>
                <w:bottom w:val="none" w:sz="0" w:space="0" w:color="auto"/>
                <w:right w:val="none" w:sz="0" w:space="0" w:color="auto"/>
              </w:divBdr>
            </w:div>
            <w:div w:id="909536932">
              <w:marLeft w:val="0"/>
              <w:marRight w:val="0"/>
              <w:marTop w:val="0"/>
              <w:marBottom w:val="0"/>
              <w:divBdr>
                <w:top w:val="none" w:sz="0" w:space="0" w:color="auto"/>
                <w:left w:val="none" w:sz="0" w:space="0" w:color="auto"/>
                <w:bottom w:val="none" w:sz="0" w:space="0" w:color="auto"/>
                <w:right w:val="none" w:sz="0" w:space="0" w:color="auto"/>
              </w:divBdr>
            </w:div>
            <w:div w:id="816458630">
              <w:marLeft w:val="0"/>
              <w:marRight w:val="0"/>
              <w:marTop w:val="0"/>
              <w:marBottom w:val="0"/>
              <w:divBdr>
                <w:top w:val="none" w:sz="0" w:space="0" w:color="auto"/>
                <w:left w:val="none" w:sz="0" w:space="0" w:color="auto"/>
                <w:bottom w:val="none" w:sz="0" w:space="0" w:color="auto"/>
                <w:right w:val="none" w:sz="0" w:space="0" w:color="auto"/>
              </w:divBdr>
            </w:div>
            <w:div w:id="1452819338">
              <w:marLeft w:val="0"/>
              <w:marRight w:val="0"/>
              <w:marTop w:val="0"/>
              <w:marBottom w:val="0"/>
              <w:divBdr>
                <w:top w:val="none" w:sz="0" w:space="0" w:color="auto"/>
                <w:left w:val="none" w:sz="0" w:space="0" w:color="auto"/>
                <w:bottom w:val="none" w:sz="0" w:space="0" w:color="auto"/>
                <w:right w:val="none" w:sz="0" w:space="0" w:color="auto"/>
              </w:divBdr>
            </w:div>
            <w:div w:id="683095203">
              <w:marLeft w:val="0"/>
              <w:marRight w:val="0"/>
              <w:marTop w:val="0"/>
              <w:marBottom w:val="0"/>
              <w:divBdr>
                <w:top w:val="none" w:sz="0" w:space="0" w:color="auto"/>
                <w:left w:val="none" w:sz="0" w:space="0" w:color="auto"/>
                <w:bottom w:val="none" w:sz="0" w:space="0" w:color="auto"/>
                <w:right w:val="none" w:sz="0" w:space="0" w:color="auto"/>
              </w:divBdr>
            </w:div>
            <w:div w:id="1652056943">
              <w:marLeft w:val="0"/>
              <w:marRight w:val="0"/>
              <w:marTop w:val="0"/>
              <w:marBottom w:val="0"/>
              <w:divBdr>
                <w:top w:val="none" w:sz="0" w:space="0" w:color="auto"/>
                <w:left w:val="none" w:sz="0" w:space="0" w:color="auto"/>
                <w:bottom w:val="none" w:sz="0" w:space="0" w:color="auto"/>
                <w:right w:val="none" w:sz="0" w:space="0" w:color="auto"/>
              </w:divBdr>
            </w:div>
            <w:div w:id="1038970910">
              <w:marLeft w:val="0"/>
              <w:marRight w:val="0"/>
              <w:marTop w:val="0"/>
              <w:marBottom w:val="0"/>
              <w:divBdr>
                <w:top w:val="none" w:sz="0" w:space="0" w:color="auto"/>
                <w:left w:val="none" w:sz="0" w:space="0" w:color="auto"/>
                <w:bottom w:val="none" w:sz="0" w:space="0" w:color="auto"/>
                <w:right w:val="none" w:sz="0" w:space="0" w:color="auto"/>
              </w:divBdr>
            </w:div>
            <w:div w:id="1646737649">
              <w:marLeft w:val="0"/>
              <w:marRight w:val="0"/>
              <w:marTop w:val="0"/>
              <w:marBottom w:val="0"/>
              <w:divBdr>
                <w:top w:val="none" w:sz="0" w:space="0" w:color="auto"/>
                <w:left w:val="none" w:sz="0" w:space="0" w:color="auto"/>
                <w:bottom w:val="none" w:sz="0" w:space="0" w:color="auto"/>
                <w:right w:val="none" w:sz="0" w:space="0" w:color="auto"/>
              </w:divBdr>
            </w:div>
            <w:div w:id="281309732">
              <w:marLeft w:val="0"/>
              <w:marRight w:val="0"/>
              <w:marTop w:val="0"/>
              <w:marBottom w:val="0"/>
              <w:divBdr>
                <w:top w:val="none" w:sz="0" w:space="0" w:color="auto"/>
                <w:left w:val="none" w:sz="0" w:space="0" w:color="auto"/>
                <w:bottom w:val="none" w:sz="0" w:space="0" w:color="auto"/>
                <w:right w:val="none" w:sz="0" w:space="0" w:color="auto"/>
              </w:divBdr>
            </w:div>
            <w:div w:id="2071004093">
              <w:marLeft w:val="0"/>
              <w:marRight w:val="0"/>
              <w:marTop w:val="0"/>
              <w:marBottom w:val="0"/>
              <w:divBdr>
                <w:top w:val="none" w:sz="0" w:space="0" w:color="auto"/>
                <w:left w:val="none" w:sz="0" w:space="0" w:color="auto"/>
                <w:bottom w:val="none" w:sz="0" w:space="0" w:color="auto"/>
                <w:right w:val="none" w:sz="0" w:space="0" w:color="auto"/>
              </w:divBdr>
            </w:div>
            <w:div w:id="1916671641">
              <w:marLeft w:val="0"/>
              <w:marRight w:val="0"/>
              <w:marTop w:val="0"/>
              <w:marBottom w:val="0"/>
              <w:divBdr>
                <w:top w:val="none" w:sz="0" w:space="0" w:color="auto"/>
                <w:left w:val="none" w:sz="0" w:space="0" w:color="auto"/>
                <w:bottom w:val="none" w:sz="0" w:space="0" w:color="auto"/>
                <w:right w:val="none" w:sz="0" w:space="0" w:color="auto"/>
              </w:divBdr>
            </w:div>
            <w:div w:id="1887569661">
              <w:marLeft w:val="0"/>
              <w:marRight w:val="0"/>
              <w:marTop w:val="0"/>
              <w:marBottom w:val="0"/>
              <w:divBdr>
                <w:top w:val="none" w:sz="0" w:space="0" w:color="auto"/>
                <w:left w:val="none" w:sz="0" w:space="0" w:color="auto"/>
                <w:bottom w:val="none" w:sz="0" w:space="0" w:color="auto"/>
                <w:right w:val="none" w:sz="0" w:space="0" w:color="auto"/>
              </w:divBdr>
            </w:div>
            <w:div w:id="686950297">
              <w:marLeft w:val="0"/>
              <w:marRight w:val="0"/>
              <w:marTop w:val="0"/>
              <w:marBottom w:val="0"/>
              <w:divBdr>
                <w:top w:val="none" w:sz="0" w:space="0" w:color="auto"/>
                <w:left w:val="none" w:sz="0" w:space="0" w:color="auto"/>
                <w:bottom w:val="none" w:sz="0" w:space="0" w:color="auto"/>
                <w:right w:val="none" w:sz="0" w:space="0" w:color="auto"/>
              </w:divBdr>
            </w:div>
            <w:div w:id="1895504724">
              <w:marLeft w:val="0"/>
              <w:marRight w:val="0"/>
              <w:marTop w:val="0"/>
              <w:marBottom w:val="0"/>
              <w:divBdr>
                <w:top w:val="none" w:sz="0" w:space="0" w:color="auto"/>
                <w:left w:val="none" w:sz="0" w:space="0" w:color="auto"/>
                <w:bottom w:val="none" w:sz="0" w:space="0" w:color="auto"/>
                <w:right w:val="none" w:sz="0" w:space="0" w:color="auto"/>
              </w:divBdr>
            </w:div>
            <w:div w:id="2072344941">
              <w:marLeft w:val="0"/>
              <w:marRight w:val="0"/>
              <w:marTop w:val="0"/>
              <w:marBottom w:val="0"/>
              <w:divBdr>
                <w:top w:val="none" w:sz="0" w:space="0" w:color="auto"/>
                <w:left w:val="none" w:sz="0" w:space="0" w:color="auto"/>
                <w:bottom w:val="none" w:sz="0" w:space="0" w:color="auto"/>
                <w:right w:val="none" w:sz="0" w:space="0" w:color="auto"/>
              </w:divBdr>
            </w:div>
            <w:div w:id="2137602206">
              <w:marLeft w:val="0"/>
              <w:marRight w:val="0"/>
              <w:marTop w:val="0"/>
              <w:marBottom w:val="0"/>
              <w:divBdr>
                <w:top w:val="none" w:sz="0" w:space="0" w:color="auto"/>
                <w:left w:val="none" w:sz="0" w:space="0" w:color="auto"/>
                <w:bottom w:val="none" w:sz="0" w:space="0" w:color="auto"/>
                <w:right w:val="none" w:sz="0" w:space="0" w:color="auto"/>
              </w:divBdr>
            </w:div>
            <w:div w:id="779684133">
              <w:marLeft w:val="0"/>
              <w:marRight w:val="0"/>
              <w:marTop w:val="0"/>
              <w:marBottom w:val="0"/>
              <w:divBdr>
                <w:top w:val="none" w:sz="0" w:space="0" w:color="auto"/>
                <w:left w:val="none" w:sz="0" w:space="0" w:color="auto"/>
                <w:bottom w:val="none" w:sz="0" w:space="0" w:color="auto"/>
                <w:right w:val="none" w:sz="0" w:space="0" w:color="auto"/>
              </w:divBdr>
            </w:div>
            <w:div w:id="1670668675">
              <w:marLeft w:val="0"/>
              <w:marRight w:val="0"/>
              <w:marTop w:val="0"/>
              <w:marBottom w:val="0"/>
              <w:divBdr>
                <w:top w:val="none" w:sz="0" w:space="0" w:color="auto"/>
                <w:left w:val="none" w:sz="0" w:space="0" w:color="auto"/>
                <w:bottom w:val="none" w:sz="0" w:space="0" w:color="auto"/>
                <w:right w:val="none" w:sz="0" w:space="0" w:color="auto"/>
              </w:divBdr>
            </w:div>
            <w:div w:id="30617842">
              <w:marLeft w:val="0"/>
              <w:marRight w:val="0"/>
              <w:marTop w:val="0"/>
              <w:marBottom w:val="0"/>
              <w:divBdr>
                <w:top w:val="none" w:sz="0" w:space="0" w:color="auto"/>
                <w:left w:val="none" w:sz="0" w:space="0" w:color="auto"/>
                <w:bottom w:val="none" w:sz="0" w:space="0" w:color="auto"/>
                <w:right w:val="none" w:sz="0" w:space="0" w:color="auto"/>
              </w:divBdr>
            </w:div>
            <w:div w:id="985011756">
              <w:marLeft w:val="0"/>
              <w:marRight w:val="0"/>
              <w:marTop w:val="0"/>
              <w:marBottom w:val="0"/>
              <w:divBdr>
                <w:top w:val="none" w:sz="0" w:space="0" w:color="auto"/>
                <w:left w:val="none" w:sz="0" w:space="0" w:color="auto"/>
                <w:bottom w:val="none" w:sz="0" w:space="0" w:color="auto"/>
                <w:right w:val="none" w:sz="0" w:space="0" w:color="auto"/>
              </w:divBdr>
            </w:div>
            <w:div w:id="927926039">
              <w:marLeft w:val="0"/>
              <w:marRight w:val="0"/>
              <w:marTop w:val="0"/>
              <w:marBottom w:val="0"/>
              <w:divBdr>
                <w:top w:val="none" w:sz="0" w:space="0" w:color="auto"/>
                <w:left w:val="none" w:sz="0" w:space="0" w:color="auto"/>
                <w:bottom w:val="none" w:sz="0" w:space="0" w:color="auto"/>
                <w:right w:val="none" w:sz="0" w:space="0" w:color="auto"/>
              </w:divBdr>
            </w:div>
            <w:div w:id="1980530637">
              <w:marLeft w:val="0"/>
              <w:marRight w:val="0"/>
              <w:marTop w:val="0"/>
              <w:marBottom w:val="0"/>
              <w:divBdr>
                <w:top w:val="none" w:sz="0" w:space="0" w:color="auto"/>
                <w:left w:val="none" w:sz="0" w:space="0" w:color="auto"/>
                <w:bottom w:val="none" w:sz="0" w:space="0" w:color="auto"/>
                <w:right w:val="none" w:sz="0" w:space="0" w:color="auto"/>
              </w:divBdr>
            </w:div>
            <w:div w:id="2127192677">
              <w:marLeft w:val="0"/>
              <w:marRight w:val="0"/>
              <w:marTop w:val="0"/>
              <w:marBottom w:val="0"/>
              <w:divBdr>
                <w:top w:val="none" w:sz="0" w:space="0" w:color="auto"/>
                <w:left w:val="none" w:sz="0" w:space="0" w:color="auto"/>
                <w:bottom w:val="none" w:sz="0" w:space="0" w:color="auto"/>
                <w:right w:val="none" w:sz="0" w:space="0" w:color="auto"/>
              </w:divBdr>
            </w:div>
            <w:div w:id="1928466523">
              <w:marLeft w:val="0"/>
              <w:marRight w:val="0"/>
              <w:marTop w:val="0"/>
              <w:marBottom w:val="0"/>
              <w:divBdr>
                <w:top w:val="none" w:sz="0" w:space="0" w:color="auto"/>
                <w:left w:val="none" w:sz="0" w:space="0" w:color="auto"/>
                <w:bottom w:val="none" w:sz="0" w:space="0" w:color="auto"/>
                <w:right w:val="none" w:sz="0" w:space="0" w:color="auto"/>
              </w:divBdr>
            </w:div>
            <w:div w:id="2107116579">
              <w:marLeft w:val="0"/>
              <w:marRight w:val="0"/>
              <w:marTop w:val="0"/>
              <w:marBottom w:val="0"/>
              <w:divBdr>
                <w:top w:val="none" w:sz="0" w:space="0" w:color="auto"/>
                <w:left w:val="none" w:sz="0" w:space="0" w:color="auto"/>
                <w:bottom w:val="none" w:sz="0" w:space="0" w:color="auto"/>
                <w:right w:val="none" w:sz="0" w:space="0" w:color="auto"/>
              </w:divBdr>
            </w:div>
            <w:div w:id="710685900">
              <w:marLeft w:val="0"/>
              <w:marRight w:val="0"/>
              <w:marTop w:val="0"/>
              <w:marBottom w:val="0"/>
              <w:divBdr>
                <w:top w:val="none" w:sz="0" w:space="0" w:color="auto"/>
                <w:left w:val="none" w:sz="0" w:space="0" w:color="auto"/>
                <w:bottom w:val="none" w:sz="0" w:space="0" w:color="auto"/>
                <w:right w:val="none" w:sz="0" w:space="0" w:color="auto"/>
              </w:divBdr>
            </w:div>
            <w:div w:id="207299303">
              <w:marLeft w:val="0"/>
              <w:marRight w:val="0"/>
              <w:marTop w:val="0"/>
              <w:marBottom w:val="0"/>
              <w:divBdr>
                <w:top w:val="none" w:sz="0" w:space="0" w:color="auto"/>
                <w:left w:val="none" w:sz="0" w:space="0" w:color="auto"/>
                <w:bottom w:val="none" w:sz="0" w:space="0" w:color="auto"/>
                <w:right w:val="none" w:sz="0" w:space="0" w:color="auto"/>
              </w:divBdr>
            </w:div>
            <w:div w:id="280577475">
              <w:marLeft w:val="0"/>
              <w:marRight w:val="0"/>
              <w:marTop w:val="0"/>
              <w:marBottom w:val="0"/>
              <w:divBdr>
                <w:top w:val="none" w:sz="0" w:space="0" w:color="auto"/>
                <w:left w:val="none" w:sz="0" w:space="0" w:color="auto"/>
                <w:bottom w:val="none" w:sz="0" w:space="0" w:color="auto"/>
                <w:right w:val="none" w:sz="0" w:space="0" w:color="auto"/>
              </w:divBdr>
            </w:div>
            <w:div w:id="1726568491">
              <w:marLeft w:val="0"/>
              <w:marRight w:val="0"/>
              <w:marTop w:val="0"/>
              <w:marBottom w:val="0"/>
              <w:divBdr>
                <w:top w:val="none" w:sz="0" w:space="0" w:color="auto"/>
                <w:left w:val="none" w:sz="0" w:space="0" w:color="auto"/>
                <w:bottom w:val="none" w:sz="0" w:space="0" w:color="auto"/>
                <w:right w:val="none" w:sz="0" w:space="0" w:color="auto"/>
              </w:divBdr>
            </w:div>
            <w:div w:id="363215157">
              <w:marLeft w:val="0"/>
              <w:marRight w:val="0"/>
              <w:marTop w:val="0"/>
              <w:marBottom w:val="0"/>
              <w:divBdr>
                <w:top w:val="none" w:sz="0" w:space="0" w:color="auto"/>
                <w:left w:val="none" w:sz="0" w:space="0" w:color="auto"/>
                <w:bottom w:val="none" w:sz="0" w:space="0" w:color="auto"/>
                <w:right w:val="none" w:sz="0" w:space="0" w:color="auto"/>
              </w:divBdr>
            </w:div>
            <w:div w:id="1185168173">
              <w:marLeft w:val="0"/>
              <w:marRight w:val="0"/>
              <w:marTop w:val="0"/>
              <w:marBottom w:val="0"/>
              <w:divBdr>
                <w:top w:val="none" w:sz="0" w:space="0" w:color="auto"/>
                <w:left w:val="none" w:sz="0" w:space="0" w:color="auto"/>
                <w:bottom w:val="none" w:sz="0" w:space="0" w:color="auto"/>
                <w:right w:val="none" w:sz="0" w:space="0" w:color="auto"/>
              </w:divBdr>
            </w:div>
            <w:div w:id="1394084274">
              <w:marLeft w:val="0"/>
              <w:marRight w:val="0"/>
              <w:marTop w:val="0"/>
              <w:marBottom w:val="0"/>
              <w:divBdr>
                <w:top w:val="none" w:sz="0" w:space="0" w:color="auto"/>
                <w:left w:val="none" w:sz="0" w:space="0" w:color="auto"/>
                <w:bottom w:val="none" w:sz="0" w:space="0" w:color="auto"/>
                <w:right w:val="none" w:sz="0" w:space="0" w:color="auto"/>
              </w:divBdr>
            </w:div>
            <w:div w:id="1862938254">
              <w:marLeft w:val="0"/>
              <w:marRight w:val="0"/>
              <w:marTop w:val="0"/>
              <w:marBottom w:val="0"/>
              <w:divBdr>
                <w:top w:val="none" w:sz="0" w:space="0" w:color="auto"/>
                <w:left w:val="none" w:sz="0" w:space="0" w:color="auto"/>
                <w:bottom w:val="none" w:sz="0" w:space="0" w:color="auto"/>
                <w:right w:val="none" w:sz="0" w:space="0" w:color="auto"/>
              </w:divBdr>
            </w:div>
            <w:div w:id="626155993">
              <w:marLeft w:val="0"/>
              <w:marRight w:val="0"/>
              <w:marTop w:val="0"/>
              <w:marBottom w:val="0"/>
              <w:divBdr>
                <w:top w:val="none" w:sz="0" w:space="0" w:color="auto"/>
                <w:left w:val="none" w:sz="0" w:space="0" w:color="auto"/>
                <w:bottom w:val="none" w:sz="0" w:space="0" w:color="auto"/>
                <w:right w:val="none" w:sz="0" w:space="0" w:color="auto"/>
              </w:divBdr>
            </w:div>
            <w:div w:id="1407606111">
              <w:marLeft w:val="0"/>
              <w:marRight w:val="0"/>
              <w:marTop w:val="0"/>
              <w:marBottom w:val="0"/>
              <w:divBdr>
                <w:top w:val="none" w:sz="0" w:space="0" w:color="auto"/>
                <w:left w:val="none" w:sz="0" w:space="0" w:color="auto"/>
                <w:bottom w:val="none" w:sz="0" w:space="0" w:color="auto"/>
                <w:right w:val="none" w:sz="0" w:space="0" w:color="auto"/>
              </w:divBdr>
            </w:div>
            <w:div w:id="895701543">
              <w:marLeft w:val="0"/>
              <w:marRight w:val="0"/>
              <w:marTop w:val="0"/>
              <w:marBottom w:val="0"/>
              <w:divBdr>
                <w:top w:val="none" w:sz="0" w:space="0" w:color="auto"/>
                <w:left w:val="none" w:sz="0" w:space="0" w:color="auto"/>
                <w:bottom w:val="none" w:sz="0" w:space="0" w:color="auto"/>
                <w:right w:val="none" w:sz="0" w:space="0" w:color="auto"/>
              </w:divBdr>
            </w:div>
            <w:div w:id="1275406607">
              <w:marLeft w:val="0"/>
              <w:marRight w:val="0"/>
              <w:marTop w:val="0"/>
              <w:marBottom w:val="0"/>
              <w:divBdr>
                <w:top w:val="none" w:sz="0" w:space="0" w:color="auto"/>
                <w:left w:val="none" w:sz="0" w:space="0" w:color="auto"/>
                <w:bottom w:val="none" w:sz="0" w:space="0" w:color="auto"/>
                <w:right w:val="none" w:sz="0" w:space="0" w:color="auto"/>
              </w:divBdr>
            </w:div>
            <w:div w:id="942104211">
              <w:marLeft w:val="0"/>
              <w:marRight w:val="0"/>
              <w:marTop w:val="0"/>
              <w:marBottom w:val="0"/>
              <w:divBdr>
                <w:top w:val="none" w:sz="0" w:space="0" w:color="auto"/>
                <w:left w:val="none" w:sz="0" w:space="0" w:color="auto"/>
                <w:bottom w:val="none" w:sz="0" w:space="0" w:color="auto"/>
                <w:right w:val="none" w:sz="0" w:space="0" w:color="auto"/>
              </w:divBdr>
            </w:div>
            <w:div w:id="1433820810">
              <w:marLeft w:val="0"/>
              <w:marRight w:val="0"/>
              <w:marTop w:val="0"/>
              <w:marBottom w:val="0"/>
              <w:divBdr>
                <w:top w:val="none" w:sz="0" w:space="0" w:color="auto"/>
                <w:left w:val="none" w:sz="0" w:space="0" w:color="auto"/>
                <w:bottom w:val="none" w:sz="0" w:space="0" w:color="auto"/>
                <w:right w:val="none" w:sz="0" w:space="0" w:color="auto"/>
              </w:divBdr>
            </w:div>
            <w:div w:id="24210536">
              <w:marLeft w:val="0"/>
              <w:marRight w:val="0"/>
              <w:marTop w:val="0"/>
              <w:marBottom w:val="0"/>
              <w:divBdr>
                <w:top w:val="none" w:sz="0" w:space="0" w:color="auto"/>
                <w:left w:val="none" w:sz="0" w:space="0" w:color="auto"/>
                <w:bottom w:val="none" w:sz="0" w:space="0" w:color="auto"/>
                <w:right w:val="none" w:sz="0" w:space="0" w:color="auto"/>
              </w:divBdr>
            </w:div>
            <w:div w:id="46539149">
              <w:marLeft w:val="0"/>
              <w:marRight w:val="0"/>
              <w:marTop w:val="0"/>
              <w:marBottom w:val="0"/>
              <w:divBdr>
                <w:top w:val="none" w:sz="0" w:space="0" w:color="auto"/>
                <w:left w:val="none" w:sz="0" w:space="0" w:color="auto"/>
                <w:bottom w:val="none" w:sz="0" w:space="0" w:color="auto"/>
                <w:right w:val="none" w:sz="0" w:space="0" w:color="auto"/>
              </w:divBdr>
            </w:div>
            <w:div w:id="656612099">
              <w:marLeft w:val="0"/>
              <w:marRight w:val="0"/>
              <w:marTop w:val="0"/>
              <w:marBottom w:val="0"/>
              <w:divBdr>
                <w:top w:val="none" w:sz="0" w:space="0" w:color="auto"/>
                <w:left w:val="none" w:sz="0" w:space="0" w:color="auto"/>
                <w:bottom w:val="none" w:sz="0" w:space="0" w:color="auto"/>
                <w:right w:val="none" w:sz="0" w:space="0" w:color="auto"/>
              </w:divBdr>
            </w:div>
            <w:div w:id="1320042866">
              <w:marLeft w:val="0"/>
              <w:marRight w:val="0"/>
              <w:marTop w:val="0"/>
              <w:marBottom w:val="0"/>
              <w:divBdr>
                <w:top w:val="none" w:sz="0" w:space="0" w:color="auto"/>
                <w:left w:val="none" w:sz="0" w:space="0" w:color="auto"/>
                <w:bottom w:val="none" w:sz="0" w:space="0" w:color="auto"/>
                <w:right w:val="none" w:sz="0" w:space="0" w:color="auto"/>
              </w:divBdr>
            </w:div>
            <w:div w:id="1618023691">
              <w:marLeft w:val="0"/>
              <w:marRight w:val="0"/>
              <w:marTop w:val="0"/>
              <w:marBottom w:val="0"/>
              <w:divBdr>
                <w:top w:val="none" w:sz="0" w:space="0" w:color="auto"/>
                <w:left w:val="none" w:sz="0" w:space="0" w:color="auto"/>
                <w:bottom w:val="none" w:sz="0" w:space="0" w:color="auto"/>
                <w:right w:val="none" w:sz="0" w:space="0" w:color="auto"/>
              </w:divBdr>
            </w:div>
            <w:div w:id="1352563502">
              <w:marLeft w:val="0"/>
              <w:marRight w:val="0"/>
              <w:marTop w:val="0"/>
              <w:marBottom w:val="0"/>
              <w:divBdr>
                <w:top w:val="none" w:sz="0" w:space="0" w:color="auto"/>
                <w:left w:val="none" w:sz="0" w:space="0" w:color="auto"/>
                <w:bottom w:val="none" w:sz="0" w:space="0" w:color="auto"/>
                <w:right w:val="none" w:sz="0" w:space="0" w:color="auto"/>
              </w:divBdr>
            </w:div>
            <w:div w:id="1390304037">
              <w:marLeft w:val="0"/>
              <w:marRight w:val="0"/>
              <w:marTop w:val="0"/>
              <w:marBottom w:val="0"/>
              <w:divBdr>
                <w:top w:val="none" w:sz="0" w:space="0" w:color="auto"/>
                <w:left w:val="none" w:sz="0" w:space="0" w:color="auto"/>
                <w:bottom w:val="none" w:sz="0" w:space="0" w:color="auto"/>
                <w:right w:val="none" w:sz="0" w:space="0" w:color="auto"/>
              </w:divBdr>
            </w:div>
            <w:div w:id="1067192068">
              <w:marLeft w:val="0"/>
              <w:marRight w:val="0"/>
              <w:marTop w:val="0"/>
              <w:marBottom w:val="0"/>
              <w:divBdr>
                <w:top w:val="none" w:sz="0" w:space="0" w:color="auto"/>
                <w:left w:val="none" w:sz="0" w:space="0" w:color="auto"/>
                <w:bottom w:val="none" w:sz="0" w:space="0" w:color="auto"/>
                <w:right w:val="none" w:sz="0" w:space="0" w:color="auto"/>
              </w:divBdr>
            </w:div>
            <w:div w:id="332801958">
              <w:marLeft w:val="0"/>
              <w:marRight w:val="0"/>
              <w:marTop w:val="0"/>
              <w:marBottom w:val="0"/>
              <w:divBdr>
                <w:top w:val="none" w:sz="0" w:space="0" w:color="auto"/>
                <w:left w:val="none" w:sz="0" w:space="0" w:color="auto"/>
                <w:bottom w:val="none" w:sz="0" w:space="0" w:color="auto"/>
                <w:right w:val="none" w:sz="0" w:space="0" w:color="auto"/>
              </w:divBdr>
            </w:div>
            <w:div w:id="792098011">
              <w:marLeft w:val="0"/>
              <w:marRight w:val="0"/>
              <w:marTop w:val="0"/>
              <w:marBottom w:val="0"/>
              <w:divBdr>
                <w:top w:val="none" w:sz="0" w:space="0" w:color="auto"/>
                <w:left w:val="none" w:sz="0" w:space="0" w:color="auto"/>
                <w:bottom w:val="none" w:sz="0" w:space="0" w:color="auto"/>
                <w:right w:val="none" w:sz="0" w:space="0" w:color="auto"/>
              </w:divBdr>
            </w:div>
            <w:div w:id="621959231">
              <w:marLeft w:val="0"/>
              <w:marRight w:val="0"/>
              <w:marTop w:val="0"/>
              <w:marBottom w:val="0"/>
              <w:divBdr>
                <w:top w:val="none" w:sz="0" w:space="0" w:color="auto"/>
                <w:left w:val="none" w:sz="0" w:space="0" w:color="auto"/>
                <w:bottom w:val="none" w:sz="0" w:space="0" w:color="auto"/>
                <w:right w:val="none" w:sz="0" w:space="0" w:color="auto"/>
              </w:divBdr>
            </w:div>
            <w:div w:id="272439229">
              <w:marLeft w:val="0"/>
              <w:marRight w:val="0"/>
              <w:marTop w:val="0"/>
              <w:marBottom w:val="0"/>
              <w:divBdr>
                <w:top w:val="none" w:sz="0" w:space="0" w:color="auto"/>
                <w:left w:val="none" w:sz="0" w:space="0" w:color="auto"/>
                <w:bottom w:val="none" w:sz="0" w:space="0" w:color="auto"/>
                <w:right w:val="none" w:sz="0" w:space="0" w:color="auto"/>
              </w:divBdr>
            </w:div>
            <w:div w:id="701856496">
              <w:marLeft w:val="0"/>
              <w:marRight w:val="0"/>
              <w:marTop w:val="0"/>
              <w:marBottom w:val="0"/>
              <w:divBdr>
                <w:top w:val="none" w:sz="0" w:space="0" w:color="auto"/>
                <w:left w:val="none" w:sz="0" w:space="0" w:color="auto"/>
                <w:bottom w:val="none" w:sz="0" w:space="0" w:color="auto"/>
                <w:right w:val="none" w:sz="0" w:space="0" w:color="auto"/>
              </w:divBdr>
            </w:div>
            <w:div w:id="38239013">
              <w:marLeft w:val="0"/>
              <w:marRight w:val="0"/>
              <w:marTop w:val="0"/>
              <w:marBottom w:val="0"/>
              <w:divBdr>
                <w:top w:val="none" w:sz="0" w:space="0" w:color="auto"/>
                <w:left w:val="none" w:sz="0" w:space="0" w:color="auto"/>
                <w:bottom w:val="none" w:sz="0" w:space="0" w:color="auto"/>
                <w:right w:val="none" w:sz="0" w:space="0" w:color="auto"/>
              </w:divBdr>
            </w:div>
            <w:div w:id="1582907827">
              <w:marLeft w:val="0"/>
              <w:marRight w:val="0"/>
              <w:marTop w:val="0"/>
              <w:marBottom w:val="0"/>
              <w:divBdr>
                <w:top w:val="none" w:sz="0" w:space="0" w:color="auto"/>
                <w:left w:val="none" w:sz="0" w:space="0" w:color="auto"/>
                <w:bottom w:val="none" w:sz="0" w:space="0" w:color="auto"/>
                <w:right w:val="none" w:sz="0" w:space="0" w:color="auto"/>
              </w:divBdr>
            </w:div>
            <w:div w:id="245576006">
              <w:marLeft w:val="0"/>
              <w:marRight w:val="0"/>
              <w:marTop w:val="0"/>
              <w:marBottom w:val="0"/>
              <w:divBdr>
                <w:top w:val="none" w:sz="0" w:space="0" w:color="auto"/>
                <w:left w:val="none" w:sz="0" w:space="0" w:color="auto"/>
                <w:bottom w:val="none" w:sz="0" w:space="0" w:color="auto"/>
                <w:right w:val="none" w:sz="0" w:space="0" w:color="auto"/>
              </w:divBdr>
            </w:div>
            <w:div w:id="1542278844">
              <w:marLeft w:val="0"/>
              <w:marRight w:val="0"/>
              <w:marTop w:val="0"/>
              <w:marBottom w:val="0"/>
              <w:divBdr>
                <w:top w:val="none" w:sz="0" w:space="0" w:color="auto"/>
                <w:left w:val="none" w:sz="0" w:space="0" w:color="auto"/>
                <w:bottom w:val="none" w:sz="0" w:space="0" w:color="auto"/>
                <w:right w:val="none" w:sz="0" w:space="0" w:color="auto"/>
              </w:divBdr>
            </w:div>
            <w:div w:id="528641266">
              <w:marLeft w:val="0"/>
              <w:marRight w:val="0"/>
              <w:marTop w:val="0"/>
              <w:marBottom w:val="0"/>
              <w:divBdr>
                <w:top w:val="none" w:sz="0" w:space="0" w:color="auto"/>
                <w:left w:val="none" w:sz="0" w:space="0" w:color="auto"/>
                <w:bottom w:val="none" w:sz="0" w:space="0" w:color="auto"/>
                <w:right w:val="none" w:sz="0" w:space="0" w:color="auto"/>
              </w:divBdr>
            </w:div>
            <w:div w:id="534468150">
              <w:marLeft w:val="0"/>
              <w:marRight w:val="0"/>
              <w:marTop w:val="0"/>
              <w:marBottom w:val="0"/>
              <w:divBdr>
                <w:top w:val="none" w:sz="0" w:space="0" w:color="auto"/>
                <w:left w:val="none" w:sz="0" w:space="0" w:color="auto"/>
                <w:bottom w:val="none" w:sz="0" w:space="0" w:color="auto"/>
                <w:right w:val="none" w:sz="0" w:space="0" w:color="auto"/>
              </w:divBdr>
            </w:div>
            <w:div w:id="100271151">
              <w:marLeft w:val="0"/>
              <w:marRight w:val="0"/>
              <w:marTop w:val="0"/>
              <w:marBottom w:val="0"/>
              <w:divBdr>
                <w:top w:val="none" w:sz="0" w:space="0" w:color="auto"/>
                <w:left w:val="none" w:sz="0" w:space="0" w:color="auto"/>
                <w:bottom w:val="none" w:sz="0" w:space="0" w:color="auto"/>
                <w:right w:val="none" w:sz="0" w:space="0" w:color="auto"/>
              </w:divBdr>
            </w:div>
            <w:div w:id="396246483">
              <w:marLeft w:val="0"/>
              <w:marRight w:val="0"/>
              <w:marTop w:val="0"/>
              <w:marBottom w:val="0"/>
              <w:divBdr>
                <w:top w:val="none" w:sz="0" w:space="0" w:color="auto"/>
                <w:left w:val="none" w:sz="0" w:space="0" w:color="auto"/>
                <w:bottom w:val="none" w:sz="0" w:space="0" w:color="auto"/>
                <w:right w:val="none" w:sz="0" w:space="0" w:color="auto"/>
              </w:divBdr>
            </w:div>
            <w:div w:id="1907060548">
              <w:marLeft w:val="0"/>
              <w:marRight w:val="0"/>
              <w:marTop w:val="0"/>
              <w:marBottom w:val="0"/>
              <w:divBdr>
                <w:top w:val="none" w:sz="0" w:space="0" w:color="auto"/>
                <w:left w:val="none" w:sz="0" w:space="0" w:color="auto"/>
                <w:bottom w:val="none" w:sz="0" w:space="0" w:color="auto"/>
                <w:right w:val="none" w:sz="0" w:space="0" w:color="auto"/>
              </w:divBdr>
            </w:div>
            <w:div w:id="638808773">
              <w:marLeft w:val="0"/>
              <w:marRight w:val="0"/>
              <w:marTop w:val="0"/>
              <w:marBottom w:val="0"/>
              <w:divBdr>
                <w:top w:val="none" w:sz="0" w:space="0" w:color="auto"/>
                <w:left w:val="none" w:sz="0" w:space="0" w:color="auto"/>
                <w:bottom w:val="none" w:sz="0" w:space="0" w:color="auto"/>
                <w:right w:val="none" w:sz="0" w:space="0" w:color="auto"/>
              </w:divBdr>
            </w:div>
            <w:div w:id="275716693">
              <w:marLeft w:val="0"/>
              <w:marRight w:val="0"/>
              <w:marTop w:val="0"/>
              <w:marBottom w:val="0"/>
              <w:divBdr>
                <w:top w:val="none" w:sz="0" w:space="0" w:color="auto"/>
                <w:left w:val="none" w:sz="0" w:space="0" w:color="auto"/>
                <w:bottom w:val="none" w:sz="0" w:space="0" w:color="auto"/>
                <w:right w:val="none" w:sz="0" w:space="0" w:color="auto"/>
              </w:divBdr>
            </w:div>
            <w:div w:id="852842437">
              <w:marLeft w:val="0"/>
              <w:marRight w:val="0"/>
              <w:marTop w:val="0"/>
              <w:marBottom w:val="0"/>
              <w:divBdr>
                <w:top w:val="none" w:sz="0" w:space="0" w:color="auto"/>
                <w:left w:val="none" w:sz="0" w:space="0" w:color="auto"/>
                <w:bottom w:val="none" w:sz="0" w:space="0" w:color="auto"/>
                <w:right w:val="none" w:sz="0" w:space="0" w:color="auto"/>
              </w:divBdr>
            </w:div>
            <w:div w:id="857501918">
              <w:marLeft w:val="0"/>
              <w:marRight w:val="0"/>
              <w:marTop w:val="0"/>
              <w:marBottom w:val="0"/>
              <w:divBdr>
                <w:top w:val="none" w:sz="0" w:space="0" w:color="auto"/>
                <w:left w:val="none" w:sz="0" w:space="0" w:color="auto"/>
                <w:bottom w:val="none" w:sz="0" w:space="0" w:color="auto"/>
                <w:right w:val="none" w:sz="0" w:space="0" w:color="auto"/>
              </w:divBdr>
            </w:div>
            <w:div w:id="531655388">
              <w:marLeft w:val="0"/>
              <w:marRight w:val="0"/>
              <w:marTop w:val="0"/>
              <w:marBottom w:val="0"/>
              <w:divBdr>
                <w:top w:val="none" w:sz="0" w:space="0" w:color="auto"/>
                <w:left w:val="none" w:sz="0" w:space="0" w:color="auto"/>
                <w:bottom w:val="none" w:sz="0" w:space="0" w:color="auto"/>
                <w:right w:val="none" w:sz="0" w:space="0" w:color="auto"/>
              </w:divBdr>
            </w:div>
            <w:div w:id="815688870">
              <w:marLeft w:val="0"/>
              <w:marRight w:val="0"/>
              <w:marTop w:val="0"/>
              <w:marBottom w:val="0"/>
              <w:divBdr>
                <w:top w:val="none" w:sz="0" w:space="0" w:color="auto"/>
                <w:left w:val="none" w:sz="0" w:space="0" w:color="auto"/>
                <w:bottom w:val="none" w:sz="0" w:space="0" w:color="auto"/>
                <w:right w:val="none" w:sz="0" w:space="0" w:color="auto"/>
              </w:divBdr>
            </w:div>
            <w:div w:id="1263997736">
              <w:marLeft w:val="0"/>
              <w:marRight w:val="0"/>
              <w:marTop w:val="0"/>
              <w:marBottom w:val="0"/>
              <w:divBdr>
                <w:top w:val="none" w:sz="0" w:space="0" w:color="auto"/>
                <w:left w:val="none" w:sz="0" w:space="0" w:color="auto"/>
                <w:bottom w:val="none" w:sz="0" w:space="0" w:color="auto"/>
                <w:right w:val="none" w:sz="0" w:space="0" w:color="auto"/>
              </w:divBdr>
            </w:div>
            <w:div w:id="2098861629">
              <w:marLeft w:val="0"/>
              <w:marRight w:val="0"/>
              <w:marTop w:val="0"/>
              <w:marBottom w:val="0"/>
              <w:divBdr>
                <w:top w:val="none" w:sz="0" w:space="0" w:color="auto"/>
                <w:left w:val="none" w:sz="0" w:space="0" w:color="auto"/>
                <w:bottom w:val="none" w:sz="0" w:space="0" w:color="auto"/>
                <w:right w:val="none" w:sz="0" w:space="0" w:color="auto"/>
              </w:divBdr>
            </w:div>
            <w:div w:id="760954488">
              <w:marLeft w:val="0"/>
              <w:marRight w:val="0"/>
              <w:marTop w:val="0"/>
              <w:marBottom w:val="0"/>
              <w:divBdr>
                <w:top w:val="none" w:sz="0" w:space="0" w:color="auto"/>
                <w:left w:val="none" w:sz="0" w:space="0" w:color="auto"/>
                <w:bottom w:val="none" w:sz="0" w:space="0" w:color="auto"/>
                <w:right w:val="none" w:sz="0" w:space="0" w:color="auto"/>
              </w:divBdr>
            </w:div>
            <w:div w:id="742457610">
              <w:marLeft w:val="0"/>
              <w:marRight w:val="0"/>
              <w:marTop w:val="0"/>
              <w:marBottom w:val="0"/>
              <w:divBdr>
                <w:top w:val="none" w:sz="0" w:space="0" w:color="auto"/>
                <w:left w:val="none" w:sz="0" w:space="0" w:color="auto"/>
                <w:bottom w:val="none" w:sz="0" w:space="0" w:color="auto"/>
                <w:right w:val="none" w:sz="0" w:space="0" w:color="auto"/>
              </w:divBdr>
            </w:div>
            <w:div w:id="1389571454">
              <w:marLeft w:val="0"/>
              <w:marRight w:val="0"/>
              <w:marTop w:val="0"/>
              <w:marBottom w:val="0"/>
              <w:divBdr>
                <w:top w:val="none" w:sz="0" w:space="0" w:color="auto"/>
                <w:left w:val="none" w:sz="0" w:space="0" w:color="auto"/>
                <w:bottom w:val="none" w:sz="0" w:space="0" w:color="auto"/>
                <w:right w:val="none" w:sz="0" w:space="0" w:color="auto"/>
              </w:divBdr>
            </w:div>
            <w:div w:id="1101755550">
              <w:marLeft w:val="0"/>
              <w:marRight w:val="0"/>
              <w:marTop w:val="0"/>
              <w:marBottom w:val="0"/>
              <w:divBdr>
                <w:top w:val="none" w:sz="0" w:space="0" w:color="auto"/>
                <w:left w:val="none" w:sz="0" w:space="0" w:color="auto"/>
                <w:bottom w:val="none" w:sz="0" w:space="0" w:color="auto"/>
                <w:right w:val="none" w:sz="0" w:space="0" w:color="auto"/>
              </w:divBdr>
            </w:div>
            <w:div w:id="2040737782">
              <w:marLeft w:val="0"/>
              <w:marRight w:val="0"/>
              <w:marTop w:val="0"/>
              <w:marBottom w:val="0"/>
              <w:divBdr>
                <w:top w:val="none" w:sz="0" w:space="0" w:color="auto"/>
                <w:left w:val="none" w:sz="0" w:space="0" w:color="auto"/>
                <w:bottom w:val="none" w:sz="0" w:space="0" w:color="auto"/>
                <w:right w:val="none" w:sz="0" w:space="0" w:color="auto"/>
              </w:divBdr>
            </w:div>
            <w:div w:id="189950363">
              <w:marLeft w:val="0"/>
              <w:marRight w:val="0"/>
              <w:marTop w:val="0"/>
              <w:marBottom w:val="0"/>
              <w:divBdr>
                <w:top w:val="none" w:sz="0" w:space="0" w:color="auto"/>
                <w:left w:val="none" w:sz="0" w:space="0" w:color="auto"/>
                <w:bottom w:val="none" w:sz="0" w:space="0" w:color="auto"/>
                <w:right w:val="none" w:sz="0" w:space="0" w:color="auto"/>
              </w:divBdr>
            </w:div>
            <w:div w:id="229272705">
              <w:marLeft w:val="0"/>
              <w:marRight w:val="0"/>
              <w:marTop w:val="0"/>
              <w:marBottom w:val="0"/>
              <w:divBdr>
                <w:top w:val="none" w:sz="0" w:space="0" w:color="auto"/>
                <w:left w:val="none" w:sz="0" w:space="0" w:color="auto"/>
                <w:bottom w:val="none" w:sz="0" w:space="0" w:color="auto"/>
                <w:right w:val="none" w:sz="0" w:space="0" w:color="auto"/>
              </w:divBdr>
            </w:div>
            <w:div w:id="809443148">
              <w:marLeft w:val="0"/>
              <w:marRight w:val="0"/>
              <w:marTop w:val="0"/>
              <w:marBottom w:val="0"/>
              <w:divBdr>
                <w:top w:val="none" w:sz="0" w:space="0" w:color="auto"/>
                <w:left w:val="none" w:sz="0" w:space="0" w:color="auto"/>
                <w:bottom w:val="none" w:sz="0" w:space="0" w:color="auto"/>
                <w:right w:val="none" w:sz="0" w:space="0" w:color="auto"/>
              </w:divBdr>
            </w:div>
            <w:div w:id="711271471">
              <w:marLeft w:val="0"/>
              <w:marRight w:val="0"/>
              <w:marTop w:val="0"/>
              <w:marBottom w:val="0"/>
              <w:divBdr>
                <w:top w:val="none" w:sz="0" w:space="0" w:color="auto"/>
                <w:left w:val="none" w:sz="0" w:space="0" w:color="auto"/>
                <w:bottom w:val="none" w:sz="0" w:space="0" w:color="auto"/>
                <w:right w:val="none" w:sz="0" w:space="0" w:color="auto"/>
              </w:divBdr>
            </w:div>
            <w:div w:id="734745529">
              <w:marLeft w:val="0"/>
              <w:marRight w:val="0"/>
              <w:marTop w:val="0"/>
              <w:marBottom w:val="0"/>
              <w:divBdr>
                <w:top w:val="none" w:sz="0" w:space="0" w:color="auto"/>
                <w:left w:val="none" w:sz="0" w:space="0" w:color="auto"/>
                <w:bottom w:val="none" w:sz="0" w:space="0" w:color="auto"/>
                <w:right w:val="none" w:sz="0" w:space="0" w:color="auto"/>
              </w:divBdr>
            </w:div>
            <w:div w:id="305549796">
              <w:marLeft w:val="0"/>
              <w:marRight w:val="0"/>
              <w:marTop w:val="0"/>
              <w:marBottom w:val="0"/>
              <w:divBdr>
                <w:top w:val="none" w:sz="0" w:space="0" w:color="auto"/>
                <w:left w:val="none" w:sz="0" w:space="0" w:color="auto"/>
                <w:bottom w:val="none" w:sz="0" w:space="0" w:color="auto"/>
                <w:right w:val="none" w:sz="0" w:space="0" w:color="auto"/>
              </w:divBdr>
            </w:div>
            <w:div w:id="747116481">
              <w:marLeft w:val="0"/>
              <w:marRight w:val="0"/>
              <w:marTop w:val="0"/>
              <w:marBottom w:val="0"/>
              <w:divBdr>
                <w:top w:val="none" w:sz="0" w:space="0" w:color="auto"/>
                <w:left w:val="none" w:sz="0" w:space="0" w:color="auto"/>
                <w:bottom w:val="none" w:sz="0" w:space="0" w:color="auto"/>
                <w:right w:val="none" w:sz="0" w:space="0" w:color="auto"/>
              </w:divBdr>
            </w:div>
            <w:div w:id="1532453741">
              <w:marLeft w:val="0"/>
              <w:marRight w:val="0"/>
              <w:marTop w:val="0"/>
              <w:marBottom w:val="0"/>
              <w:divBdr>
                <w:top w:val="none" w:sz="0" w:space="0" w:color="auto"/>
                <w:left w:val="none" w:sz="0" w:space="0" w:color="auto"/>
                <w:bottom w:val="none" w:sz="0" w:space="0" w:color="auto"/>
                <w:right w:val="none" w:sz="0" w:space="0" w:color="auto"/>
              </w:divBdr>
            </w:div>
            <w:div w:id="1997878306">
              <w:marLeft w:val="0"/>
              <w:marRight w:val="0"/>
              <w:marTop w:val="0"/>
              <w:marBottom w:val="0"/>
              <w:divBdr>
                <w:top w:val="none" w:sz="0" w:space="0" w:color="auto"/>
                <w:left w:val="none" w:sz="0" w:space="0" w:color="auto"/>
                <w:bottom w:val="none" w:sz="0" w:space="0" w:color="auto"/>
                <w:right w:val="none" w:sz="0" w:space="0" w:color="auto"/>
              </w:divBdr>
            </w:div>
            <w:div w:id="418646139">
              <w:marLeft w:val="0"/>
              <w:marRight w:val="0"/>
              <w:marTop w:val="0"/>
              <w:marBottom w:val="0"/>
              <w:divBdr>
                <w:top w:val="none" w:sz="0" w:space="0" w:color="auto"/>
                <w:left w:val="none" w:sz="0" w:space="0" w:color="auto"/>
                <w:bottom w:val="none" w:sz="0" w:space="0" w:color="auto"/>
                <w:right w:val="none" w:sz="0" w:space="0" w:color="auto"/>
              </w:divBdr>
            </w:div>
            <w:div w:id="1739206761">
              <w:marLeft w:val="0"/>
              <w:marRight w:val="0"/>
              <w:marTop w:val="0"/>
              <w:marBottom w:val="0"/>
              <w:divBdr>
                <w:top w:val="none" w:sz="0" w:space="0" w:color="auto"/>
                <w:left w:val="none" w:sz="0" w:space="0" w:color="auto"/>
                <w:bottom w:val="none" w:sz="0" w:space="0" w:color="auto"/>
                <w:right w:val="none" w:sz="0" w:space="0" w:color="auto"/>
              </w:divBdr>
            </w:div>
            <w:div w:id="1060707438">
              <w:marLeft w:val="0"/>
              <w:marRight w:val="0"/>
              <w:marTop w:val="0"/>
              <w:marBottom w:val="0"/>
              <w:divBdr>
                <w:top w:val="none" w:sz="0" w:space="0" w:color="auto"/>
                <w:left w:val="none" w:sz="0" w:space="0" w:color="auto"/>
                <w:bottom w:val="none" w:sz="0" w:space="0" w:color="auto"/>
                <w:right w:val="none" w:sz="0" w:space="0" w:color="auto"/>
              </w:divBdr>
            </w:div>
            <w:div w:id="1114129374">
              <w:marLeft w:val="0"/>
              <w:marRight w:val="0"/>
              <w:marTop w:val="0"/>
              <w:marBottom w:val="0"/>
              <w:divBdr>
                <w:top w:val="none" w:sz="0" w:space="0" w:color="auto"/>
                <w:left w:val="none" w:sz="0" w:space="0" w:color="auto"/>
                <w:bottom w:val="none" w:sz="0" w:space="0" w:color="auto"/>
                <w:right w:val="none" w:sz="0" w:space="0" w:color="auto"/>
              </w:divBdr>
            </w:div>
            <w:div w:id="1088696588">
              <w:marLeft w:val="0"/>
              <w:marRight w:val="0"/>
              <w:marTop w:val="0"/>
              <w:marBottom w:val="0"/>
              <w:divBdr>
                <w:top w:val="none" w:sz="0" w:space="0" w:color="auto"/>
                <w:left w:val="none" w:sz="0" w:space="0" w:color="auto"/>
                <w:bottom w:val="none" w:sz="0" w:space="0" w:color="auto"/>
                <w:right w:val="none" w:sz="0" w:space="0" w:color="auto"/>
              </w:divBdr>
            </w:div>
            <w:div w:id="588973526">
              <w:marLeft w:val="0"/>
              <w:marRight w:val="0"/>
              <w:marTop w:val="0"/>
              <w:marBottom w:val="0"/>
              <w:divBdr>
                <w:top w:val="none" w:sz="0" w:space="0" w:color="auto"/>
                <w:left w:val="none" w:sz="0" w:space="0" w:color="auto"/>
                <w:bottom w:val="none" w:sz="0" w:space="0" w:color="auto"/>
                <w:right w:val="none" w:sz="0" w:space="0" w:color="auto"/>
              </w:divBdr>
            </w:div>
            <w:div w:id="1932471197">
              <w:marLeft w:val="0"/>
              <w:marRight w:val="0"/>
              <w:marTop w:val="0"/>
              <w:marBottom w:val="0"/>
              <w:divBdr>
                <w:top w:val="none" w:sz="0" w:space="0" w:color="auto"/>
                <w:left w:val="none" w:sz="0" w:space="0" w:color="auto"/>
                <w:bottom w:val="none" w:sz="0" w:space="0" w:color="auto"/>
                <w:right w:val="none" w:sz="0" w:space="0" w:color="auto"/>
              </w:divBdr>
            </w:div>
            <w:div w:id="1159344280">
              <w:marLeft w:val="0"/>
              <w:marRight w:val="0"/>
              <w:marTop w:val="0"/>
              <w:marBottom w:val="0"/>
              <w:divBdr>
                <w:top w:val="none" w:sz="0" w:space="0" w:color="auto"/>
                <w:left w:val="none" w:sz="0" w:space="0" w:color="auto"/>
                <w:bottom w:val="none" w:sz="0" w:space="0" w:color="auto"/>
                <w:right w:val="none" w:sz="0" w:space="0" w:color="auto"/>
              </w:divBdr>
            </w:div>
            <w:div w:id="1309819247">
              <w:marLeft w:val="0"/>
              <w:marRight w:val="0"/>
              <w:marTop w:val="0"/>
              <w:marBottom w:val="0"/>
              <w:divBdr>
                <w:top w:val="none" w:sz="0" w:space="0" w:color="auto"/>
                <w:left w:val="none" w:sz="0" w:space="0" w:color="auto"/>
                <w:bottom w:val="none" w:sz="0" w:space="0" w:color="auto"/>
                <w:right w:val="none" w:sz="0" w:space="0" w:color="auto"/>
              </w:divBdr>
            </w:div>
            <w:div w:id="1815489362">
              <w:marLeft w:val="0"/>
              <w:marRight w:val="0"/>
              <w:marTop w:val="0"/>
              <w:marBottom w:val="0"/>
              <w:divBdr>
                <w:top w:val="none" w:sz="0" w:space="0" w:color="auto"/>
                <w:left w:val="none" w:sz="0" w:space="0" w:color="auto"/>
                <w:bottom w:val="none" w:sz="0" w:space="0" w:color="auto"/>
                <w:right w:val="none" w:sz="0" w:space="0" w:color="auto"/>
              </w:divBdr>
            </w:div>
            <w:div w:id="1883320957">
              <w:marLeft w:val="0"/>
              <w:marRight w:val="0"/>
              <w:marTop w:val="0"/>
              <w:marBottom w:val="0"/>
              <w:divBdr>
                <w:top w:val="none" w:sz="0" w:space="0" w:color="auto"/>
                <w:left w:val="none" w:sz="0" w:space="0" w:color="auto"/>
                <w:bottom w:val="none" w:sz="0" w:space="0" w:color="auto"/>
                <w:right w:val="none" w:sz="0" w:space="0" w:color="auto"/>
              </w:divBdr>
            </w:div>
            <w:div w:id="2072576239">
              <w:marLeft w:val="0"/>
              <w:marRight w:val="0"/>
              <w:marTop w:val="0"/>
              <w:marBottom w:val="0"/>
              <w:divBdr>
                <w:top w:val="none" w:sz="0" w:space="0" w:color="auto"/>
                <w:left w:val="none" w:sz="0" w:space="0" w:color="auto"/>
                <w:bottom w:val="none" w:sz="0" w:space="0" w:color="auto"/>
                <w:right w:val="none" w:sz="0" w:space="0" w:color="auto"/>
              </w:divBdr>
            </w:div>
            <w:div w:id="1470827665">
              <w:marLeft w:val="0"/>
              <w:marRight w:val="0"/>
              <w:marTop w:val="0"/>
              <w:marBottom w:val="0"/>
              <w:divBdr>
                <w:top w:val="none" w:sz="0" w:space="0" w:color="auto"/>
                <w:left w:val="none" w:sz="0" w:space="0" w:color="auto"/>
                <w:bottom w:val="none" w:sz="0" w:space="0" w:color="auto"/>
                <w:right w:val="none" w:sz="0" w:space="0" w:color="auto"/>
              </w:divBdr>
            </w:div>
            <w:div w:id="666523003">
              <w:marLeft w:val="0"/>
              <w:marRight w:val="0"/>
              <w:marTop w:val="0"/>
              <w:marBottom w:val="0"/>
              <w:divBdr>
                <w:top w:val="none" w:sz="0" w:space="0" w:color="auto"/>
                <w:left w:val="none" w:sz="0" w:space="0" w:color="auto"/>
                <w:bottom w:val="none" w:sz="0" w:space="0" w:color="auto"/>
                <w:right w:val="none" w:sz="0" w:space="0" w:color="auto"/>
              </w:divBdr>
            </w:div>
            <w:div w:id="50348158">
              <w:marLeft w:val="0"/>
              <w:marRight w:val="0"/>
              <w:marTop w:val="0"/>
              <w:marBottom w:val="0"/>
              <w:divBdr>
                <w:top w:val="none" w:sz="0" w:space="0" w:color="auto"/>
                <w:left w:val="none" w:sz="0" w:space="0" w:color="auto"/>
                <w:bottom w:val="none" w:sz="0" w:space="0" w:color="auto"/>
                <w:right w:val="none" w:sz="0" w:space="0" w:color="auto"/>
              </w:divBdr>
            </w:div>
            <w:div w:id="1313369586">
              <w:marLeft w:val="0"/>
              <w:marRight w:val="0"/>
              <w:marTop w:val="0"/>
              <w:marBottom w:val="0"/>
              <w:divBdr>
                <w:top w:val="none" w:sz="0" w:space="0" w:color="auto"/>
                <w:left w:val="none" w:sz="0" w:space="0" w:color="auto"/>
                <w:bottom w:val="none" w:sz="0" w:space="0" w:color="auto"/>
                <w:right w:val="none" w:sz="0" w:space="0" w:color="auto"/>
              </w:divBdr>
            </w:div>
            <w:div w:id="2058892802">
              <w:marLeft w:val="0"/>
              <w:marRight w:val="0"/>
              <w:marTop w:val="0"/>
              <w:marBottom w:val="0"/>
              <w:divBdr>
                <w:top w:val="none" w:sz="0" w:space="0" w:color="auto"/>
                <w:left w:val="none" w:sz="0" w:space="0" w:color="auto"/>
                <w:bottom w:val="none" w:sz="0" w:space="0" w:color="auto"/>
                <w:right w:val="none" w:sz="0" w:space="0" w:color="auto"/>
              </w:divBdr>
            </w:div>
            <w:div w:id="323357367">
              <w:marLeft w:val="0"/>
              <w:marRight w:val="0"/>
              <w:marTop w:val="0"/>
              <w:marBottom w:val="0"/>
              <w:divBdr>
                <w:top w:val="none" w:sz="0" w:space="0" w:color="auto"/>
                <w:left w:val="none" w:sz="0" w:space="0" w:color="auto"/>
                <w:bottom w:val="none" w:sz="0" w:space="0" w:color="auto"/>
                <w:right w:val="none" w:sz="0" w:space="0" w:color="auto"/>
              </w:divBdr>
            </w:div>
            <w:div w:id="563951440">
              <w:marLeft w:val="0"/>
              <w:marRight w:val="0"/>
              <w:marTop w:val="0"/>
              <w:marBottom w:val="0"/>
              <w:divBdr>
                <w:top w:val="none" w:sz="0" w:space="0" w:color="auto"/>
                <w:left w:val="none" w:sz="0" w:space="0" w:color="auto"/>
                <w:bottom w:val="none" w:sz="0" w:space="0" w:color="auto"/>
                <w:right w:val="none" w:sz="0" w:space="0" w:color="auto"/>
              </w:divBdr>
            </w:div>
            <w:div w:id="234050877">
              <w:marLeft w:val="0"/>
              <w:marRight w:val="0"/>
              <w:marTop w:val="0"/>
              <w:marBottom w:val="0"/>
              <w:divBdr>
                <w:top w:val="none" w:sz="0" w:space="0" w:color="auto"/>
                <w:left w:val="none" w:sz="0" w:space="0" w:color="auto"/>
                <w:bottom w:val="none" w:sz="0" w:space="0" w:color="auto"/>
                <w:right w:val="none" w:sz="0" w:space="0" w:color="auto"/>
              </w:divBdr>
            </w:div>
            <w:div w:id="442505149">
              <w:marLeft w:val="0"/>
              <w:marRight w:val="0"/>
              <w:marTop w:val="0"/>
              <w:marBottom w:val="0"/>
              <w:divBdr>
                <w:top w:val="none" w:sz="0" w:space="0" w:color="auto"/>
                <w:left w:val="none" w:sz="0" w:space="0" w:color="auto"/>
                <w:bottom w:val="none" w:sz="0" w:space="0" w:color="auto"/>
                <w:right w:val="none" w:sz="0" w:space="0" w:color="auto"/>
              </w:divBdr>
            </w:div>
            <w:div w:id="1032414365">
              <w:marLeft w:val="0"/>
              <w:marRight w:val="0"/>
              <w:marTop w:val="0"/>
              <w:marBottom w:val="0"/>
              <w:divBdr>
                <w:top w:val="none" w:sz="0" w:space="0" w:color="auto"/>
                <w:left w:val="none" w:sz="0" w:space="0" w:color="auto"/>
                <w:bottom w:val="none" w:sz="0" w:space="0" w:color="auto"/>
                <w:right w:val="none" w:sz="0" w:space="0" w:color="auto"/>
              </w:divBdr>
            </w:div>
            <w:div w:id="200479287">
              <w:marLeft w:val="0"/>
              <w:marRight w:val="0"/>
              <w:marTop w:val="0"/>
              <w:marBottom w:val="0"/>
              <w:divBdr>
                <w:top w:val="none" w:sz="0" w:space="0" w:color="auto"/>
                <w:left w:val="none" w:sz="0" w:space="0" w:color="auto"/>
                <w:bottom w:val="none" w:sz="0" w:space="0" w:color="auto"/>
                <w:right w:val="none" w:sz="0" w:space="0" w:color="auto"/>
              </w:divBdr>
            </w:div>
            <w:div w:id="1238173421">
              <w:marLeft w:val="0"/>
              <w:marRight w:val="0"/>
              <w:marTop w:val="0"/>
              <w:marBottom w:val="0"/>
              <w:divBdr>
                <w:top w:val="none" w:sz="0" w:space="0" w:color="auto"/>
                <w:left w:val="none" w:sz="0" w:space="0" w:color="auto"/>
                <w:bottom w:val="none" w:sz="0" w:space="0" w:color="auto"/>
                <w:right w:val="none" w:sz="0" w:space="0" w:color="auto"/>
              </w:divBdr>
            </w:div>
            <w:div w:id="798110799">
              <w:marLeft w:val="0"/>
              <w:marRight w:val="0"/>
              <w:marTop w:val="0"/>
              <w:marBottom w:val="0"/>
              <w:divBdr>
                <w:top w:val="none" w:sz="0" w:space="0" w:color="auto"/>
                <w:left w:val="none" w:sz="0" w:space="0" w:color="auto"/>
                <w:bottom w:val="none" w:sz="0" w:space="0" w:color="auto"/>
                <w:right w:val="none" w:sz="0" w:space="0" w:color="auto"/>
              </w:divBdr>
            </w:div>
            <w:div w:id="1068501992">
              <w:marLeft w:val="0"/>
              <w:marRight w:val="0"/>
              <w:marTop w:val="0"/>
              <w:marBottom w:val="0"/>
              <w:divBdr>
                <w:top w:val="none" w:sz="0" w:space="0" w:color="auto"/>
                <w:left w:val="none" w:sz="0" w:space="0" w:color="auto"/>
                <w:bottom w:val="none" w:sz="0" w:space="0" w:color="auto"/>
                <w:right w:val="none" w:sz="0" w:space="0" w:color="auto"/>
              </w:divBdr>
            </w:div>
            <w:div w:id="1562327042">
              <w:marLeft w:val="0"/>
              <w:marRight w:val="0"/>
              <w:marTop w:val="0"/>
              <w:marBottom w:val="0"/>
              <w:divBdr>
                <w:top w:val="none" w:sz="0" w:space="0" w:color="auto"/>
                <w:left w:val="none" w:sz="0" w:space="0" w:color="auto"/>
                <w:bottom w:val="none" w:sz="0" w:space="0" w:color="auto"/>
                <w:right w:val="none" w:sz="0" w:space="0" w:color="auto"/>
              </w:divBdr>
            </w:div>
            <w:div w:id="1276251035">
              <w:marLeft w:val="0"/>
              <w:marRight w:val="0"/>
              <w:marTop w:val="0"/>
              <w:marBottom w:val="0"/>
              <w:divBdr>
                <w:top w:val="none" w:sz="0" w:space="0" w:color="auto"/>
                <w:left w:val="none" w:sz="0" w:space="0" w:color="auto"/>
                <w:bottom w:val="none" w:sz="0" w:space="0" w:color="auto"/>
                <w:right w:val="none" w:sz="0" w:space="0" w:color="auto"/>
              </w:divBdr>
            </w:div>
            <w:div w:id="1334990058">
              <w:marLeft w:val="0"/>
              <w:marRight w:val="0"/>
              <w:marTop w:val="0"/>
              <w:marBottom w:val="0"/>
              <w:divBdr>
                <w:top w:val="none" w:sz="0" w:space="0" w:color="auto"/>
                <w:left w:val="none" w:sz="0" w:space="0" w:color="auto"/>
                <w:bottom w:val="none" w:sz="0" w:space="0" w:color="auto"/>
                <w:right w:val="none" w:sz="0" w:space="0" w:color="auto"/>
              </w:divBdr>
            </w:div>
            <w:div w:id="955141750">
              <w:marLeft w:val="0"/>
              <w:marRight w:val="0"/>
              <w:marTop w:val="0"/>
              <w:marBottom w:val="0"/>
              <w:divBdr>
                <w:top w:val="none" w:sz="0" w:space="0" w:color="auto"/>
                <w:left w:val="none" w:sz="0" w:space="0" w:color="auto"/>
                <w:bottom w:val="none" w:sz="0" w:space="0" w:color="auto"/>
                <w:right w:val="none" w:sz="0" w:space="0" w:color="auto"/>
              </w:divBdr>
            </w:div>
            <w:div w:id="326516322">
              <w:marLeft w:val="0"/>
              <w:marRight w:val="0"/>
              <w:marTop w:val="0"/>
              <w:marBottom w:val="0"/>
              <w:divBdr>
                <w:top w:val="none" w:sz="0" w:space="0" w:color="auto"/>
                <w:left w:val="none" w:sz="0" w:space="0" w:color="auto"/>
                <w:bottom w:val="none" w:sz="0" w:space="0" w:color="auto"/>
                <w:right w:val="none" w:sz="0" w:space="0" w:color="auto"/>
              </w:divBdr>
            </w:div>
            <w:div w:id="13248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0893">
      <w:bodyDiv w:val="1"/>
      <w:marLeft w:val="0"/>
      <w:marRight w:val="0"/>
      <w:marTop w:val="0"/>
      <w:marBottom w:val="0"/>
      <w:divBdr>
        <w:top w:val="none" w:sz="0" w:space="0" w:color="auto"/>
        <w:left w:val="none" w:sz="0" w:space="0" w:color="auto"/>
        <w:bottom w:val="none" w:sz="0" w:space="0" w:color="auto"/>
        <w:right w:val="none" w:sz="0" w:space="0" w:color="auto"/>
      </w:divBdr>
      <w:divsChild>
        <w:div w:id="474955309">
          <w:marLeft w:val="480"/>
          <w:marRight w:val="0"/>
          <w:marTop w:val="0"/>
          <w:marBottom w:val="0"/>
          <w:divBdr>
            <w:top w:val="none" w:sz="0" w:space="0" w:color="auto"/>
            <w:left w:val="none" w:sz="0" w:space="0" w:color="auto"/>
            <w:bottom w:val="none" w:sz="0" w:space="0" w:color="auto"/>
            <w:right w:val="none" w:sz="0" w:space="0" w:color="auto"/>
          </w:divBdr>
          <w:divsChild>
            <w:div w:id="507863843">
              <w:marLeft w:val="0"/>
              <w:marRight w:val="0"/>
              <w:marTop w:val="0"/>
              <w:marBottom w:val="0"/>
              <w:divBdr>
                <w:top w:val="none" w:sz="0" w:space="0" w:color="auto"/>
                <w:left w:val="none" w:sz="0" w:space="0" w:color="auto"/>
                <w:bottom w:val="none" w:sz="0" w:space="0" w:color="auto"/>
                <w:right w:val="none" w:sz="0" w:space="0" w:color="auto"/>
              </w:divBdr>
            </w:div>
            <w:div w:id="1847943151">
              <w:marLeft w:val="0"/>
              <w:marRight w:val="0"/>
              <w:marTop w:val="0"/>
              <w:marBottom w:val="0"/>
              <w:divBdr>
                <w:top w:val="none" w:sz="0" w:space="0" w:color="auto"/>
                <w:left w:val="none" w:sz="0" w:space="0" w:color="auto"/>
                <w:bottom w:val="none" w:sz="0" w:space="0" w:color="auto"/>
                <w:right w:val="none" w:sz="0" w:space="0" w:color="auto"/>
              </w:divBdr>
            </w:div>
            <w:div w:id="29844821">
              <w:marLeft w:val="0"/>
              <w:marRight w:val="0"/>
              <w:marTop w:val="0"/>
              <w:marBottom w:val="0"/>
              <w:divBdr>
                <w:top w:val="none" w:sz="0" w:space="0" w:color="auto"/>
                <w:left w:val="none" w:sz="0" w:space="0" w:color="auto"/>
                <w:bottom w:val="none" w:sz="0" w:space="0" w:color="auto"/>
                <w:right w:val="none" w:sz="0" w:space="0" w:color="auto"/>
              </w:divBdr>
            </w:div>
            <w:div w:id="186649486">
              <w:marLeft w:val="0"/>
              <w:marRight w:val="0"/>
              <w:marTop w:val="0"/>
              <w:marBottom w:val="0"/>
              <w:divBdr>
                <w:top w:val="none" w:sz="0" w:space="0" w:color="auto"/>
                <w:left w:val="none" w:sz="0" w:space="0" w:color="auto"/>
                <w:bottom w:val="none" w:sz="0" w:space="0" w:color="auto"/>
                <w:right w:val="none" w:sz="0" w:space="0" w:color="auto"/>
              </w:divBdr>
            </w:div>
            <w:div w:id="1309286738">
              <w:marLeft w:val="0"/>
              <w:marRight w:val="0"/>
              <w:marTop w:val="0"/>
              <w:marBottom w:val="0"/>
              <w:divBdr>
                <w:top w:val="none" w:sz="0" w:space="0" w:color="auto"/>
                <w:left w:val="none" w:sz="0" w:space="0" w:color="auto"/>
                <w:bottom w:val="none" w:sz="0" w:space="0" w:color="auto"/>
                <w:right w:val="none" w:sz="0" w:space="0" w:color="auto"/>
              </w:divBdr>
            </w:div>
            <w:div w:id="1717467731">
              <w:marLeft w:val="0"/>
              <w:marRight w:val="0"/>
              <w:marTop w:val="0"/>
              <w:marBottom w:val="0"/>
              <w:divBdr>
                <w:top w:val="none" w:sz="0" w:space="0" w:color="auto"/>
                <w:left w:val="none" w:sz="0" w:space="0" w:color="auto"/>
                <w:bottom w:val="none" w:sz="0" w:space="0" w:color="auto"/>
                <w:right w:val="none" w:sz="0" w:space="0" w:color="auto"/>
              </w:divBdr>
            </w:div>
            <w:div w:id="1981417429">
              <w:marLeft w:val="0"/>
              <w:marRight w:val="0"/>
              <w:marTop w:val="0"/>
              <w:marBottom w:val="0"/>
              <w:divBdr>
                <w:top w:val="none" w:sz="0" w:space="0" w:color="auto"/>
                <w:left w:val="none" w:sz="0" w:space="0" w:color="auto"/>
                <w:bottom w:val="none" w:sz="0" w:space="0" w:color="auto"/>
                <w:right w:val="none" w:sz="0" w:space="0" w:color="auto"/>
              </w:divBdr>
            </w:div>
            <w:div w:id="1882552998">
              <w:marLeft w:val="0"/>
              <w:marRight w:val="0"/>
              <w:marTop w:val="0"/>
              <w:marBottom w:val="0"/>
              <w:divBdr>
                <w:top w:val="none" w:sz="0" w:space="0" w:color="auto"/>
                <w:left w:val="none" w:sz="0" w:space="0" w:color="auto"/>
                <w:bottom w:val="none" w:sz="0" w:space="0" w:color="auto"/>
                <w:right w:val="none" w:sz="0" w:space="0" w:color="auto"/>
              </w:divBdr>
            </w:div>
            <w:div w:id="1875728517">
              <w:marLeft w:val="0"/>
              <w:marRight w:val="0"/>
              <w:marTop w:val="0"/>
              <w:marBottom w:val="0"/>
              <w:divBdr>
                <w:top w:val="none" w:sz="0" w:space="0" w:color="auto"/>
                <w:left w:val="none" w:sz="0" w:space="0" w:color="auto"/>
                <w:bottom w:val="none" w:sz="0" w:space="0" w:color="auto"/>
                <w:right w:val="none" w:sz="0" w:space="0" w:color="auto"/>
              </w:divBdr>
            </w:div>
            <w:div w:id="368602304">
              <w:marLeft w:val="0"/>
              <w:marRight w:val="0"/>
              <w:marTop w:val="0"/>
              <w:marBottom w:val="0"/>
              <w:divBdr>
                <w:top w:val="none" w:sz="0" w:space="0" w:color="auto"/>
                <w:left w:val="none" w:sz="0" w:space="0" w:color="auto"/>
                <w:bottom w:val="none" w:sz="0" w:space="0" w:color="auto"/>
                <w:right w:val="none" w:sz="0" w:space="0" w:color="auto"/>
              </w:divBdr>
            </w:div>
            <w:div w:id="751123880">
              <w:marLeft w:val="0"/>
              <w:marRight w:val="0"/>
              <w:marTop w:val="0"/>
              <w:marBottom w:val="0"/>
              <w:divBdr>
                <w:top w:val="none" w:sz="0" w:space="0" w:color="auto"/>
                <w:left w:val="none" w:sz="0" w:space="0" w:color="auto"/>
                <w:bottom w:val="none" w:sz="0" w:space="0" w:color="auto"/>
                <w:right w:val="none" w:sz="0" w:space="0" w:color="auto"/>
              </w:divBdr>
            </w:div>
            <w:div w:id="1902208580">
              <w:marLeft w:val="0"/>
              <w:marRight w:val="0"/>
              <w:marTop w:val="0"/>
              <w:marBottom w:val="0"/>
              <w:divBdr>
                <w:top w:val="none" w:sz="0" w:space="0" w:color="auto"/>
                <w:left w:val="none" w:sz="0" w:space="0" w:color="auto"/>
                <w:bottom w:val="none" w:sz="0" w:space="0" w:color="auto"/>
                <w:right w:val="none" w:sz="0" w:space="0" w:color="auto"/>
              </w:divBdr>
            </w:div>
            <w:div w:id="1459950613">
              <w:marLeft w:val="0"/>
              <w:marRight w:val="0"/>
              <w:marTop w:val="0"/>
              <w:marBottom w:val="0"/>
              <w:divBdr>
                <w:top w:val="none" w:sz="0" w:space="0" w:color="auto"/>
                <w:left w:val="none" w:sz="0" w:space="0" w:color="auto"/>
                <w:bottom w:val="none" w:sz="0" w:space="0" w:color="auto"/>
                <w:right w:val="none" w:sz="0" w:space="0" w:color="auto"/>
              </w:divBdr>
            </w:div>
            <w:div w:id="46490677">
              <w:marLeft w:val="0"/>
              <w:marRight w:val="0"/>
              <w:marTop w:val="0"/>
              <w:marBottom w:val="0"/>
              <w:divBdr>
                <w:top w:val="none" w:sz="0" w:space="0" w:color="auto"/>
                <w:left w:val="none" w:sz="0" w:space="0" w:color="auto"/>
                <w:bottom w:val="none" w:sz="0" w:space="0" w:color="auto"/>
                <w:right w:val="none" w:sz="0" w:space="0" w:color="auto"/>
              </w:divBdr>
            </w:div>
            <w:div w:id="1900822924">
              <w:marLeft w:val="0"/>
              <w:marRight w:val="0"/>
              <w:marTop w:val="0"/>
              <w:marBottom w:val="0"/>
              <w:divBdr>
                <w:top w:val="none" w:sz="0" w:space="0" w:color="auto"/>
                <w:left w:val="none" w:sz="0" w:space="0" w:color="auto"/>
                <w:bottom w:val="none" w:sz="0" w:space="0" w:color="auto"/>
                <w:right w:val="none" w:sz="0" w:space="0" w:color="auto"/>
              </w:divBdr>
            </w:div>
            <w:div w:id="981933663">
              <w:marLeft w:val="0"/>
              <w:marRight w:val="0"/>
              <w:marTop w:val="0"/>
              <w:marBottom w:val="0"/>
              <w:divBdr>
                <w:top w:val="none" w:sz="0" w:space="0" w:color="auto"/>
                <w:left w:val="none" w:sz="0" w:space="0" w:color="auto"/>
                <w:bottom w:val="none" w:sz="0" w:space="0" w:color="auto"/>
                <w:right w:val="none" w:sz="0" w:space="0" w:color="auto"/>
              </w:divBdr>
            </w:div>
            <w:div w:id="1180850852">
              <w:marLeft w:val="0"/>
              <w:marRight w:val="0"/>
              <w:marTop w:val="0"/>
              <w:marBottom w:val="0"/>
              <w:divBdr>
                <w:top w:val="none" w:sz="0" w:space="0" w:color="auto"/>
                <w:left w:val="none" w:sz="0" w:space="0" w:color="auto"/>
                <w:bottom w:val="none" w:sz="0" w:space="0" w:color="auto"/>
                <w:right w:val="none" w:sz="0" w:space="0" w:color="auto"/>
              </w:divBdr>
            </w:div>
            <w:div w:id="1805346938">
              <w:marLeft w:val="0"/>
              <w:marRight w:val="0"/>
              <w:marTop w:val="0"/>
              <w:marBottom w:val="0"/>
              <w:divBdr>
                <w:top w:val="none" w:sz="0" w:space="0" w:color="auto"/>
                <w:left w:val="none" w:sz="0" w:space="0" w:color="auto"/>
                <w:bottom w:val="none" w:sz="0" w:space="0" w:color="auto"/>
                <w:right w:val="none" w:sz="0" w:space="0" w:color="auto"/>
              </w:divBdr>
            </w:div>
            <w:div w:id="1030843018">
              <w:marLeft w:val="0"/>
              <w:marRight w:val="0"/>
              <w:marTop w:val="0"/>
              <w:marBottom w:val="0"/>
              <w:divBdr>
                <w:top w:val="none" w:sz="0" w:space="0" w:color="auto"/>
                <w:left w:val="none" w:sz="0" w:space="0" w:color="auto"/>
                <w:bottom w:val="none" w:sz="0" w:space="0" w:color="auto"/>
                <w:right w:val="none" w:sz="0" w:space="0" w:color="auto"/>
              </w:divBdr>
            </w:div>
            <w:div w:id="1688798769">
              <w:marLeft w:val="0"/>
              <w:marRight w:val="0"/>
              <w:marTop w:val="0"/>
              <w:marBottom w:val="0"/>
              <w:divBdr>
                <w:top w:val="none" w:sz="0" w:space="0" w:color="auto"/>
                <w:left w:val="none" w:sz="0" w:space="0" w:color="auto"/>
                <w:bottom w:val="none" w:sz="0" w:space="0" w:color="auto"/>
                <w:right w:val="none" w:sz="0" w:space="0" w:color="auto"/>
              </w:divBdr>
            </w:div>
            <w:div w:id="147980395">
              <w:marLeft w:val="0"/>
              <w:marRight w:val="0"/>
              <w:marTop w:val="0"/>
              <w:marBottom w:val="0"/>
              <w:divBdr>
                <w:top w:val="none" w:sz="0" w:space="0" w:color="auto"/>
                <w:left w:val="none" w:sz="0" w:space="0" w:color="auto"/>
                <w:bottom w:val="none" w:sz="0" w:space="0" w:color="auto"/>
                <w:right w:val="none" w:sz="0" w:space="0" w:color="auto"/>
              </w:divBdr>
            </w:div>
            <w:div w:id="92746506">
              <w:marLeft w:val="0"/>
              <w:marRight w:val="0"/>
              <w:marTop w:val="0"/>
              <w:marBottom w:val="0"/>
              <w:divBdr>
                <w:top w:val="none" w:sz="0" w:space="0" w:color="auto"/>
                <w:left w:val="none" w:sz="0" w:space="0" w:color="auto"/>
                <w:bottom w:val="none" w:sz="0" w:space="0" w:color="auto"/>
                <w:right w:val="none" w:sz="0" w:space="0" w:color="auto"/>
              </w:divBdr>
            </w:div>
            <w:div w:id="754938205">
              <w:marLeft w:val="0"/>
              <w:marRight w:val="0"/>
              <w:marTop w:val="0"/>
              <w:marBottom w:val="0"/>
              <w:divBdr>
                <w:top w:val="none" w:sz="0" w:space="0" w:color="auto"/>
                <w:left w:val="none" w:sz="0" w:space="0" w:color="auto"/>
                <w:bottom w:val="none" w:sz="0" w:space="0" w:color="auto"/>
                <w:right w:val="none" w:sz="0" w:space="0" w:color="auto"/>
              </w:divBdr>
            </w:div>
            <w:div w:id="823424675">
              <w:marLeft w:val="0"/>
              <w:marRight w:val="0"/>
              <w:marTop w:val="0"/>
              <w:marBottom w:val="0"/>
              <w:divBdr>
                <w:top w:val="none" w:sz="0" w:space="0" w:color="auto"/>
                <w:left w:val="none" w:sz="0" w:space="0" w:color="auto"/>
                <w:bottom w:val="none" w:sz="0" w:space="0" w:color="auto"/>
                <w:right w:val="none" w:sz="0" w:space="0" w:color="auto"/>
              </w:divBdr>
            </w:div>
            <w:div w:id="118306523">
              <w:marLeft w:val="0"/>
              <w:marRight w:val="0"/>
              <w:marTop w:val="0"/>
              <w:marBottom w:val="0"/>
              <w:divBdr>
                <w:top w:val="none" w:sz="0" w:space="0" w:color="auto"/>
                <w:left w:val="none" w:sz="0" w:space="0" w:color="auto"/>
                <w:bottom w:val="none" w:sz="0" w:space="0" w:color="auto"/>
                <w:right w:val="none" w:sz="0" w:space="0" w:color="auto"/>
              </w:divBdr>
            </w:div>
            <w:div w:id="2072078308">
              <w:marLeft w:val="0"/>
              <w:marRight w:val="0"/>
              <w:marTop w:val="0"/>
              <w:marBottom w:val="0"/>
              <w:divBdr>
                <w:top w:val="none" w:sz="0" w:space="0" w:color="auto"/>
                <w:left w:val="none" w:sz="0" w:space="0" w:color="auto"/>
                <w:bottom w:val="none" w:sz="0" w:space="0" w:color="auto"/>
                <w:right w:val="none" w:sz="0" w:space="0" w:color="auto"/>
              </w:divBdr>
            </w:div>
            <w:div w:id="741833851">
              <w:marLeft w:val="0"/>
              <w:marRight w:val="0"/>
              <w:marTop w:val="0"/>
              <w:marBottom w:val="0"/>
              <w:divBdr>
                <w:top w:val="none" w:sz="0" w:space="0" w:color="auto"/>
                <w:left w:val="none" w:sz="0" w:space="0" w:color="auto"/>
                <w:bottom w:val="none" w:sz="0" w:space="0" w:color="auto"/>
                <w:right w:val="none" w:sz="0" w:space="0" w:color="auto"/>
              </w:divBdr>
            </w:div>
            <w:div w:id="639069112">
              <w:marLeft w:val="0"/>
              <w:marRight w:val="0"/>
              <w:marTop w:val="0"/>
              <w:marBottom w:val="0"/>
              <w:divBdr>
                <w:top w:val="none" w:sz="0" w:space="0" w:color="auto"/>
                <w:left w:val="none" w:sz="0" w:space="0" w:color="auto"/>
                <w:bottom w:val="none" w:sz="0" w:space="0" w:color="auto"/>
                <w:right w:val="none" w:sz="0" w:space="0" w:color="auto"/>
              </w:divBdr>
            </w:div>
            <w:div w:id="626160357">
              <w:marLeft w:val="0"/>
              <w:marRight w:val="0"/>
              <w:marTop w:val="0"/>
              <w:marBottom w:val="0"/>
              <w:divBdr>
                <w:top w:val="none" w:sz="0" w:space="0" w:color="auto"/>
                <w:left w:val="none" w:sz="0" w:space="0" w:color="auto"/>
                <w:bottom w:val="none" w:sz="0" w:space="0" w:color="auto"/>
                <w:right w:val="none" w:sz="0" w:space="0" w:color="auto"/>
              </w:divBdr>
            </w:div>
            <w:div w:id="1628664089">
              <w:marLeft w:val="0"/>
              <w:marRight w:val="0"/>
              <w:marTop w:val="0"/>
              <w:marBottom w:val="0"/>
              <w:divBdr>
                <w:top w:val="none" w:sz="0" w:space="0" w:color="auto"/>
                <w:left w:val="none" w:sz="0" w:space="0" w:color="auto"/>
                <w:bottom w:val="none" w:sz="0" w:space="0" w:color="auto"/>
                <w:right w:val="none" w:sz="0" w:space="0" w:color="auto"/>
              </w:divBdr>
            </w:div>
            <w:div w:id="12347791">
              <w:marLeft w:val="0"/>
              <w:marRight w:val="0"/>
              <w:marTop w:val="0"/>
              <w:marBottom w:val="0"/>
              <w:divBdr>
                <w:top w:val="none" w:sz="0" w:space="0" w:color="auto"/>
                <w:left w:val="none" w:sz="0" w:space="0" w:color="auto"/>
                <w:bottom w:val="none" w:sz="0" w:space="0" w:color="auto"/>
                <w:right w:val="none" w:sz="0" w:space="0" w:color="auto"/>
              </w:divBdr>
            </w:div>
            <w:div w:id="1110200583">
              <w:marLeft w:val="0"/>
              <w:marRight w:val="0"/>
              <w:marTop w:val="0"/>
              <w:marBottom w:val="0"/>
              <w:divBdr>
                <w:top w:val="none" w:sz="0" w:space="0" w:color="auto"/>
                <w:left w:val="none" w:sz="0" w:space="0" w:color="auto"/>
                <w:bottom w:val="none" w:sz="0" w:space="0" w:color="auto"/>
                <w:right w:val="none" w:sz="0" w:space="0" w:color="auto"/>
              </w:divBdr>
            </w:div>
            <w:div w:id="425030847">
              <w:marLeft w:val="0"/>
              <w:marRight w:val="0"/>
              <w:marTop w:val="0"/>
              <w:marBottom w:val="0"/>
              <w:divBdr>
                <w:top w:val="none" w:sz="0" w:space="0" w:color="auto"/>
                <w:left w:val="none" w:sz="0" w:space="0" w:color="auto"/>
                <w:bottom w:val="none" w:sz="0" w:space="0" w:color="auto"/>
                <w:right w:val="none" w:sz="0" w:space="0" w:color="auto"/>
              </w:divBdr>
            </w:div>
            <w:div w:id="2512543">
              <w:marLeft w:val="0"/>
              <w:marRight w:val="0"/>
              <w:marTop w:val="0"/>
              <w:marBottom w:val="0"/>
              <w:divBdr>
                <w:top w:val="none" w:sz="0" w:space="0" w:color="auto"/>
                <w:left w:val="none" w:sz="0" w:space="0" w:color="auto"/>
                <w:bottom w:val="none" w:sz="0" w:space="0" w:color="auto"/>
                <w:right w:val="none" w:sz="0" w:space="0" w:color="auto"/>
              </w:divBdr>
            </w:div>
            <w:div w:id="645159666">
              <w:marLeft w:val="0"/>
              <w:marRight w:val="0"/>
              <w:marTop w:val="0"/>
              <w:marBottom w:val="0"/>
              <w:divBdr>
                <w:top w:val="none" w:sz="0" w:space="0" w:color="auto"/>
                <w:left w:val="none" w:sz="0" w:space="0" w:color="auto"/>
                <w:bottom w:val="none" w:sz="0" w:space="0" w:color="auto"/>
                <w:right w:val="none" w:sz="0" w:space="0" w:color="auto"/>
              </w:divBdr>
            </w:div>
            <w:div w:id="288247763">
              <w:marLeft w:val="0"/>
              <w:marRight w:val="0"/>
              <w:marTop w:val="0"/>
              <w:marBottom w:val="0"/>
              <w:divBdr>
                <w:top w:val="none" w:sz="0" w:space="0" w:color="auto"/>
                <w:left w:val="none" w:sz="0" w:space="0" w:color="auto"/>
                <w:bottom w:val="none" w:sz="0" w:space="0" w:color="auto"/>
                <w:right w:val="none" w:sz="0" w:space="0" w:color="auto"/>
              </w:divBdr>
            </w:div>
            <w:div w:id="1811241914">
              <w:marLeft w:val="0"/>
              <w:marRight w:val="0"/>
              <w:marTop w:val="0"/>
              <w:marBottom w:val="0"/>
              <w:divBdr>
                <w:top w:val="none" w:sz="0" w:space="0" w:color="auto"/>
                <w:left w:val="none" w:sz="0" w:space="0" w:color="auto"/>
                <w:bottom w:val="none" w:sz="0" w:space="0" w:color="auto"/>
                <w:right w:val="none" w:sz="0" w:space="0" w:color="auto"/>
              </w:divBdr>
            </w:div>
            <w:div w:id="150563653">
              <w:marLeft w:val="0"/>
              <w:marRight w:val="0"/>
              <w:marTop w:val="0"/>
              <w:marBottom w:val="0"/>
              <w:divBdr>
                <w:top w:val="none" w:sz="0" w:space="0" w:color="auto"/>
                <w:left w:val="none" w:sz="0" w:space="0" w:color="auto"/>
                <w:bottom w:val="none" w:sz="0" w:space="0" w:color="auto"/>
                <w:right w:val="none" w:sz="0" w:space="0" w:color="auto"/>
              </w:divBdr>
            </w:div>
            <w:div w:id="1559710966">
              <w:marLeft w:val="0"/>
              <w:marRight w:val="0"/>
              <w:marTop w:val="0"/>
              <w:marBottom w:val="0"/>
              <w:divBdr>
                <w:top w:val="none" w:sz="0" w:space="0" w:color="auto"/>
                <w:left w:val="none" w:sz="0" w:space="0" w:color="auto"/>
                <w:bottom w:val="none" w:sz="0" w:space="0" w:color="auto"/>
                <w:right w:val="none" w:sz="0" w:space="0" w:color="auto"/>
              </w:divBdr>
            </w:div>
            <w:div w:id="144248973">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644814969">
              <w:marLeft w:val="0"/>
              <w:marRight w:val="0"/>
              <w:marTop w:val="0"/>
              <w:marBottom w:val="0"/>
              <w:divBdr>
                <w:top w:val="none" w:sz="0" w:space="0" w:color="auto"/>
                <w:left w:val="none" w:sz="0" w:space="0" w:color="auto"/>
                <w:bottom w:val="none" w:sz="0" w:space="0" w:color="auto"/>
                <w:right w:val="none" w:sz="0" w:space="0" w:color="auto"/>
              </w:divBdr>
            </w:div>
            <w:div w:id="1810197814">
              <w:marLeft w:val="0"/>
              <w:marRight w:val="0"/>
              <w:marTop w:val="0"/>
              <w:marBottom w:val="0"/>
              <w:divBdr>
                <w:top w:val="none" w:sz="0" w:space="0" w:color="auto"/>
                <w:left w:val="none" w:sz="0" w:space="0" w:color="auto"/>
                <w:bottom w:val="none" w:sz="0" w:space="0" w:color="auto"/>
                <w:right w:val="none" w:sz="0" w:space="0" w:color="auto"/>
              </w:divBdr>
            </w:div>
            <w:div w:id="1322003722">
              <w:marLeft w:val="0"/>
              <w:marRight w:val="0"/>
              <w:marTop w:val="0"/>
              <w:marBottom w:val="0"/>
              <w:divBdr>
                <w:top w:val="none" w:sz="0" w:space="0" w:color="auto"/>
                <w:left w:val="none" w:sz="0" w:space="0" w:color="auto"/>
                <w:bottom w:val="none" w:sz="0" w:space="0" w:color="auto"/>
                <w:right w:val="none" w:sz="0" w:space="0" w:color="auto"/>
              </w:divBdr>
            </w:div>
            <w:div w:id="2073845480">
              <w:marLeft w:val="0"/>
              <w:marRight w:val="0"/>
              <w:marTop w:val="0"/>
              <w:marBottom w:val="0"/>
              <w:divBdr>
                <w:top w:val="none" w:sz="0" w:space="0" w:color="auto"/>
                <w:left w:val="none" w:sz="0" w:space="0" w:color="auto"/>
                <w:bottom w:val="none" w:sz="0" w:space="0" w:color="auto"/>
                <w:right w:val="none" w:sz="0" w:space="0" w:color="auto"/>
              </w:divBdr>
            </w:div>
            <w:div w:id="311835192">
              <w:marLeft w:val="0"/>
              <w:marRight w:val="0"/>
              <w:marTop w:val="0"/>
              <w:marBottom w:val="0"/>
              <w:divBdr>
                <w:top w:val="none" w:sz="0" w:space="0" w:color="auto"/>
                <w:left w:val="none" w:sz="0" w:space="0" w:color="auto"/>
                <w:bottom w:val="none" w:sz="0" w:space="0" w:color="auto"/>
                <w:right w:val="none" w:sz="0" w:space="0" w:color="auto"/>
              </w:divBdr>
            </w:div>
            <w:div w:id="202134272">
              <w:marLeft w:val="0"/>
              <w:marRight w:val="0"/>
              <w:marTop w:val="0"/>
              <w:marBottom w:val="0"/>
              <w:divBdr>
                <w:top w:val="none" w:sz="0" w:space="0" w:color="auto"/>
                <w:left w:val="none" w:sz="0" w:space="0" w:color="auto"/>
                <w:bottom w:val="none" w:sz="0" w:space="0" w:color="auto"/>
                <w:right w:val="none" w:sz="0" w:space="0" w:color="auto"/>
              </w:divBdr>
            </w:div>
            <w:div w:id="1300570132">
              <w:marLeft w:val="0"/>
              <w:marRight w:val="0"/>
              <w:marTop w:val="0"/>
              <w:marBottom w:val="0"/>
              <w:divBdr>
                <w:top w:val="none" w:sz="0" w:space="0" w:color="auto"/>
                <w:left w:val="none" w:sz="0" w:space="0" w:color="auto"/>
                <w:bottom w:val="none" w:sz="0" w:space="0" w:color="auto"/>
                <w:right w:val="none" w:sz="0" w:space="0" w:color="auto"/>
              </w:divBdr>
            </w:div>
            <w:div w:id="980883403">
              <w:marLeft w:val="0"/>
              <w:marRight w:val="0"/>
              <w:marTop w:val="0"/>
              <w:marBottom w:val="0"/>
              <w:divBdr>
                <w:top w:val="none" w:sz="0" w:space="0" w:color="auto"/>
                <w:left w:val="none" w:sz="0" w:space="0" w:color="auto"/>
                <w:bottom w:val="none" w:sz="0" w:space="0" w:color="auto"/>
                <w:right w:val="none" w:sz="0" w:space="0" w:color="auto"/>
              </w:divBdr>
            </w:div>
            <w:div w:id="1677534593">
              <w:marLeft w:val="0"/>
              <w:marRight w:val="0"/>
              <w:marTop w:val="0"/>
              <w:marBottom w:val="0"/>
              <w:divBdr>
                <w:top w:val="none" w:sz="0" w:space="0" w:color="auto"/>
                <w:left w:val="none" w:sz="0" w:space="0" w:color="auto"/>
                <w:bottom w:val="none" w:sz="0" w:space="0" w:color="auto"/>
                <w:right w:val="none" w:sz="0" w:space="0" w:color="auto"/>
              </w:divBdr>
            </w:div>
            <w:div w:id="1761296407">
              <w:marLeft w:val="0"/>
              <w:marRight w:val="0"/>
              <w:marTop w:val="0"/>
              <w:marBottom w:val="0"/>
              <w:divBdr>
                <w:top w:val="none" w:sz="0" w:space="0" w:color="auto"/>
                <w:left w:val="none" w:sz="0" w:space="0" w:color="auto"/>
                <w:bottom w:val="none" w:sz="0" w:space="0" w:color="auto"/>
                <w:right w:val="none" w:sz="0" w:space="0" w:color="auto"/>
              </w:divBdr>
            </w:div>
            <w:div w:id="1337029283">
              <w:marLeft w:val="0"/>
              <w:marRight w:val="0"/>
              <w:marTop w:val="0"/>
              <w:marBottom w:val="0"/>
              <w:divBdr>
                <w:top w:val="none" w:sz="0" w:space="0" w:color="auto"/>
                <w:left w:val="none" w:sz="0" w:space="0" w:color="auto"/>
                <w:bottom w:val="none" w:sz="0" w:space="0" w:color="auto"/>
                <w:right w:val="none" w:sz="0" w:space="0" w:color="auto"/>
              </w:divBdr>
            </w:div>
            <w:div w:id="279918323">
              <w:marLeft w:val="0"/>
              <w:marRight w:val="0"/>
              <w:marTop w:val="0"/>
              <w:marBottom w:val="0"/>
              <w:divBdr>
                <w:top w:val="none" w:sz="0" w:space="0" w:color="auto"/>
                <w:left w:val="none" w:sz="0" w:space="0" w:color="auto"/>
                <w:bottom w:val="none" w:sz="0" w:space="0" w:color="auto"/>
                <w:right w:val="none" w:sz="0" w:space="0" w:color="auto"/>
              </w:divBdr>
            </w:div>
            <w:div w:id="247272159">
              <w:marLeft w:val="0"/>
              <w:marRight w:val="0"/>
              <w:marTop w:val="0"/>
              <w:marBottom w:val="0"/>
              <w:divBdr>
                <w:top w:val="none" w:sz="0" w:space="0" w:color="auto"/>
                <w:left w:val="none" w:sz="0" w:space="0" w:color="auto"/>
                <w:bottom w:val="none" w:sz="0" w:space="0" w:color="auto"/>
                <w:right w:val="none" w:sz="0" w:space="0" w:color="auto"/>
              </w:divBdr>
            </w:div>
            <w:div w:id="126050546">
              <w:marLeft w:val="0"/>
              <w:marRight w:val="0"/>
              <w:marTop w:val="0"/>
              <w:marBottom w:val="0"/>
              <w:divBdr>
                <w:top w:val="none" w:sz="0" w:space="0" w:color="auto"/>
                <w:left w:val="none" w:sz="0" w:space="0" w:color="auto"/>
                <w:bottom w:val="none" w:sz="0" w:space="0" w:color="auto"/>
                <w:right w:val="none" w:sz="0" w:space="0" w:color="auto"/>
              </w:divBdr>
            </w:div>
            <w:div w:id="1412308251">
              <w:marLeft w:val="0"/>
              <w:marRight w:val="0"/>
              <w:marTop w:val="0"/>
              <w:marBottom w:val="0"/>
              <w:divBdr>
                <w:top w:val="none" w:sz="0" w:space="0" w:color="auto"/>
                <w:left w:val="none" w:sz="0" w:space="0" w:color="auto"/>
                <w:bottom w:val="none" w:sz="0" w:space="0" w:color="auto"/>
                <w:right w:val="none" w:sz="0" w:space="0" w:color="auto"/>
              </w:divBdr>
            </w:div>
            <w:div w:id="942610984">
              <w:marLeft w:val="0"/>
              <w:marRight w:val="0"/>
              <w:marTop w:val="0"/>
              <w:marBottom w:val="0"/>
              <w:divBdr>
                <w:top w:val="none" w:sz="0" w:space="0" w:color="auto"/>
                <w:left w:val="none" w:sz="0" w:space="0" w:color="auto"/>
                <w:bottom w:val="none" w:sz="0" w:space="0" w:color="auto"/>
                <w:right w:val="none" w:sz="0" w:space="0" w:color="auto"/>
              </w:divBdr>
            </w:div>
            <w:div w:id="2104102201">
              <w:marLeft w:val="0"/>
              <w:marRight w:val="0"/>
              <w:marTop w:val="0"/>
              <w:marBottom w:val="0"/>
              <w:divBdr>
                <w:top w:val="none" w:sz="0" w:space="0" w:color="auto"/>
                <w:left w:val="none" w:sz="0" w:space="0" w:color="auto"/>
                <w:bottom w:val="none" w:sz="0" w:space="0" w:color="auto"/>
                <w:right w:val="none" w:sz="0" w:space="0" w:color="auto"/>
              </w:divBdr>
            </w:div>
            <w:div w:id="1064185498">
              <w:marLeft w:val="0"/>
              <w:marRight w:val="0"/>
              <w:marTop w:val="0"/>
              <w:marBottom w:val="0"/>
              <w:divBdr>
                <w:top w:val="none" w:sz="0" w:space="0" w:color="auto"/>
                <w:left w:val="none" w:sz="0" w:space="0" w:color="auto"/>
                <w:bottom w:val="none" w:sz="0" w:space="0" w:color="auto"/>
                <w:right w:val="none" w:sz="0" w:space="0" w:color="auto"/>
              </w:divBdr>
            </w:div>
            <w:div w:id="1359308544">
              <w:marLeft w:val="0"/>
              <w:marRight w:val="0"/>
              <w:marTop w:val="0"/>
              <w:marBottom w:val="0"/>
              <w:divBdr>
                <w:top w:val="none" w:sz="0" w:space="0" w:color="auto"/>
                <w:left w:val="none" w:sz="0" w:space="0" w:color="auto"/>
                <w:bottom w:val="none" w:sz="0" w:space="0" w:color="auto"/>
                <w:right w:val="none" w:sz="0" w:space="0" w:color="auto"/>
              </w:divBdr>
            </w:div>
            <w:div w:id="392509047">
              <w:marLeft w:val="0"/>
              <w:marRight w:val="0"/>
              <w:marTop w:val="0"/>
              <w:marBottom w:val="0"/>
              <w:divBdr>
                <w:top w:val="none" w:sz="0" w:space="0" w:color="auto"/>
                <w:left w:val="none" w:sz="0" w:space="0" w:color="auto"/>
                <w:bottom w:val="none" w:sz="0" w:space="0" w:color="auto"/>
                <w:right w:val="none" w:sz="0" w:space="0" w:color="auto"/>
              </w:divBdr>
            </w:div>
            <w:div w:id="308092092">
              <w:marLeft w:val="0"/>
              <w:marRight w:val="0"/>
              <w:marTop w:val="0"/>
              <w:marBottom w:val="0"/>
              <w:divBdr>
                <w:top w:val="none" w:sz="0" w:space="0" w:color="auto"/>
                <w:left w:val="none" w:sz="0" w:space="0" w:color="auto"/>
                <w:bottom w:val="none" w:sz="0" w:space="0" w:color="auto"/>
                <w:right w:val="none" w:sz="0" w:space="0" w:color="auto"/>
              </w:divBdr>
            </w:div>
            <w:div w:id="1672904118">
              <w:marLeft w:val="0"/>
              <w:marRight w:val="0"/>
              <w:marTop w:val="0"/>
              <w:marBottom w:val="0"/>
              <w:divBdr>
                <w:top w:val="none" w:sz="0" w:space="0" w:color="auto"/>
                <w:left w:val="none" w:sz="0" w:space="0" w:color="auto"/>
                <w:bottom w:val="none" w:sz="0" w:space="0" w:color="auto"/>
                <w:right w:val="none" w:sz="0" w:space="0" w:color="auto"/>
              </w:divBdr>
            </w:div>
            <w:div w:id="1780368043">
              <w:marLeft w:val="0"/>
              <w:marRight w:val="0"/>
              <w:marTop w:val="0"/>
              <w:marBottom w:val="0"/>
              <w:divBdr>
                <w:top w:val="none" w:sz="0" w:space="0" w:color="auto"/>
                <w:left w:val="none" w:sz="0" w:space="0" w:color="auto"/>
                <w:bottom w:val="none" w:sz="0" w:space="0" w:color="auto"/>
                <w:right w:val="none" w:sz="0" w:space="0" w:color="auto"/>
              </w:divBdr>
            </w:div>
            <w:div w:id="1185167829">
              <w:marLeft w:val="0"/>
              <w:marRight w:val="0"/>
              <w:marTop w:val="0"/>
              <w:marBottom w:val="0"/>
              <w:divBdr>
                <w:top w:val="none" w:sz="0" w:space="0" w:color="auto"/>
                <w:left w:val="none" w:sz="0" w:space="0" w:color="auto"/>
                <w:bottom w:val="none" w:sz="0" w:space="0" w:color="auto"/>
                <w:right w:val="none" w:sz="0" w:space="0" w:color="auto"/>
              </w:divBdr>
            </w:div>
            <w:div w:id="1172648209">
              <w:marLeft w:val="0"/>
              <w:marRight w:val="0"/>
              <w:marTop w:val="0"/>
              <w:marBottom w:val="0"/>
              <w:divBdr>
                <w:top w:val="none" w:sz="0" w:space="0" w:color="auto"/>
                <w:left w:val="none" w:sz="0" w:space="0" w:color="auto"/>
                <w:bottom w:val="none" w:sz="0" w:space="0" w:color="auto"/>
                <w:right w:val="none" w:sz="0" w:space="0" w:color="auto"/>
              </w:divBdr>
            </w:div>
            <w:div w:id="1766412346">
              <w:marLeft w:val="0"/>
              <w:marRight w:val="0"/>
              <w:marTop w:val="0"/>
              <w:marBottom w:val="0"/>
              <w:divBdr>
                <w:top w:val="none" w:sz="0" w:space="0" w:color="auto"/>
                <w:left w:val="none" w:sz="0" w:space="0" w:color="auto"/>
                <w:bottom w:val="none" w:sz="0" w:space="0" w:color="auto"/>
                <w:right w:val="none" w:sz="0" w:space="0" w:color="auto"/>
              </w:divBdr>
            </w:div>
            <w:div w:id="1433889789">
              <w:marLeft w:val="0"/>
              <w:marRight w:val="0"/>
              <w:marTop w:val="0"/>
              <w:marBottom w:val="0"/>
              <w:divBdr>
                <w:top w:val="none" w:sz="0" w:space="0" w:color="auto"/>
                <w:left w:val="none" w:sz="0" w:space="0" w:color="auto"/>
                <w:bottom w:val="none" w:sz="0" w:space="0" w:color="auto"/>
                <w:right w:val="none" w:sz="0" w:space="0" w:color="auto"/>
              </w:divBdr>
            </w:div>
            <w:div w:id="1923025811">
              <w:marLeft w:val="0"/>
              <w:marRight w:val="0"/>
              <w:marTop w:val="0"/>
              <w:marBottom w:val="0"/>
              <w:divBdr>
                <w:top w:val="none" w:sz="0" w:space="0" w:color="auto"/>
                <w:left w:val="none" w:sz="0" w:space="0" w:color="auto"/>
                <w:bottom w:val="none" w:sz="0" w:space="0" w:color="auto"/>
                <w:right w:val="none" w:sz="0" w:space="0" w:color="auto"/>
              </w:divBdr>
            </w:div>
            <w:div w:id="107051390">
              <w:marLeft w:val="0"/>
              <w:marRight w:val="0"/>
              <w:marTop w:val="0"/>
              <w:marBottom w:val="0"/>
              <w:divBdr>
                <w:top w:val="none" w:sz="0" w:space="0" w:color="auto"/>
                <w:left w:val="none" w:sz="0" w:space="0" w:color="auto"/>
                <w:bottom w:val="none" w:sz="0" w:space="0" w:color="auto"/>
                <w:right w:val="none" w:sz="0" w:space="0" w:color="auto"/>
              </w:divBdr>
            </w:div>
            <w:div w:id="227157192">
              <w:marLeft w:val="0"/>
              <w:marRight w:val="0"/>
              <w:marTop w:val="0"/>
              <w:marBottom w:val="0"/>
              <w:divBdr>
                <w:top w:val="none" w:sz="0" w:space="0" w:color="auto"/>
                <w:left w:val="none" w:sz="0" w:space="0" w:color="auto"/>
                <w:bottom w:val="none" w:sz="0" w:space="0" w:color="auto"/>
                <w:right w:val="none" w:sz="0" w:space="0" w:color="auto"/>
              </w:divBdr>
            </w:div>
            <w:div w:id="582377343">
              <w:marLeft w:val="0"/>
              <w:marRight w:val="0"/>
              <w:marTop w:val="0"/>
              <w:marBottom w:val="0"/>
              <w:divBdr>
                <w:top w:val="none" w:sz="0" w:space="0" w:color="auto"/>
                <w:left w:val="none" w:sz="0" w:space="0" w:color="auto"/>
                <w:bottom w:val="none" w:sz="0" w:space="0" w:color="auto"/>
                <w:right w:val="none" w:sz="0" w:space="0" w:color="auto"/>
              </w:divBdr>
            </w:div>
            <w:div w:id="898981074">
              <w:marLeft w:val="0"/>
              <w:marRight w:val="0"/>
              <w:marTop w:val="0"/>
              <w:marBottom w:val="0"/>
              <w:divBdr>
                <w:top w:val="none" w:sz="0" w:space="0" w:color="auto"/>
                <w:left w:val="none" w:sz="0" w:space="0" w:color="auto"/>
                <w:bottom w:val="none" w:sz="0" w:space="0" w:color="auto"/>
                <w:right w:val="none" w:sz="0" w:space="0" w:color="auto"/>
              </w:divBdr>
            </w:div>
            <w:div w:id="41638072">
              <w:marLeft w:val="0"/>
              <w:marRight w:val="0"/>
              <w:marTop w:val="0"/>
              <w:marBottom w:val="0"/>
              <w:divBdr>
                <w:top w:val="none" w:sz="0" w:space="0" w:color="auto"/>
                <w:left w:val="none" w:sz="0" w:space="0" w:color="auto"/>
                <w:bottom w:val="none" w:sz="0" w:space="0" w:color="auto"/>
                <w:right w:val="none" w:sz="0" w:space="0" w:color="auto"/>
              </w:divBdr>
            </w:div>
            <w:div w:id="856843966">
              <w:marLeft w:val="0"/>
              <w:marRight w:val="0"/>
              <w:marTop w:val="0"/>
              <w:marBottom w:val="0"/>
              <w:divBdr>
                <w:top w:val="none" w:sz="0" w:space="0" w:color="auto"/>
                <w:left w:val="none" w:sz="0" w:space="0" w:color="auto"/>
                <w:bottom w:val="none" w:sz="0" w:space="0" w:color="auto"/>
                <w:right w:val="none" w:sz="0" w:space="0" w:color="auto"/>
              </w:divBdr>
            </w:div>
            <w:div w:id="718935888">
              <w:marLeft w:val="0"/>
              <w:marRight w:val="0"/>
              <w:marTop w:val="0"/>
              <w:marBottom w:val="0"/>
              <w:divBdr>
                <w:top w:val="none" w:sz="0" w:space="0" w:color="auto"/>
                <w:left w:val="none" w:sz="0" w:space="0" w:color="auto"/>
                <w:bottom w:val="none" w:sz="0" w:space="0" w:color="auto"/>
                <w:right w:val="none" w:sz="0" w:space="0" w:color="auto"/>
              </w:divBdr>
            </w:div>
            <w:div w:id="1688949067">
              <w:marLeft w:val="0"/>
              <w:marRight w:val="0"/>
              <w:marTop w:val="0"/>
              <w:marBottom w:val="0"/>
              <w:divBdr>
                <w:top w:val="none" w:sz="0" w:space="0" w:color="auto"/>
                <w:left w:val="none" w:sz="0" w:space="0" w:color="auto"/>
                <w:bottom w:val="none" w:sz="0" w:space="0" w:color="auto"/>
                <w:right w:val="none" w:sz="0" w:space="0" w:color="auto"/>
              </w:divBdr>
            </w:div>
            <w:div w:id="1238975971">
              <w:marLeft w:val="0"/>
              <w:marRight w:val="0"/>
              <w:marTop w:val="0"/>
              <w:marBottom w:val="0"/>
              <w:divBdr>
                <w:top w:val="none" w:sz="0" w:space="0" w:color="auto"/>
                <w:left w:val="none" w:sz="0" w:space="0" w:color="auto"/>
                <w:bottom w:val="none" w:sz="0" w:space="0" w:color="auto"/>
                <w:right w:val="none" w:sz="0" w:space="0" w:color="auto"/>
              </w:divBdr>
            </w:div>
            <w:div w:id="713163127">
              <w:marLeft w:val="0"/>
              <w:marRight w:val="0"/>
              <w:marTop w:val="0"/>
              <w:marBottom w:val="0"/>
              <w:divBdr>
                <w:top w:val="none" w:sz="0" w:space="0" w:color="auto"/>
                <w:left w:val="none" w:sz="0" w:space="0" w:color="auto"/>
                <w:bottom w:val="none" w:sz="0" w:space="0" w:color="auto"/>
                <w:right w:val="none" w:sz="0" w:space="0" w:color="auto"/>
              </w:divBdr>
            </w:div>
            <w:div w:id="1033076048">
              <w:marLeft w:val="0"/>
              <w:marRight w:val="0"/>
              <w:marTop w:val="0"/>
              <w:marBottom w:val="0"/>
              <w:divBdr>
                <w:top w:val="none" w:sz="0" w:space="0" w:color="auto"/>
                <w:left w:val="none" w:sz="0" w:space="0" w:color="auto"/>
                <w:bottom w:val="none" w:sz="0" w:space="0" w:color="auto"/>
                <w:right w:val="none" w:sz="0" w:space="0" w:color="auto"/>
              </w:divBdr>
            </w:div>
            <w:div w:id="402723403">
              <w:marLeft w:val="0"/>
              <w:marRight w:val="0"/>
              <w:marTop w:val="0"/>
              <w:marBottom w:val="0"/>
              <w:divBdr>
                <w:top w:val="none" w:sz="0" w:space="0" w:color="auto"/>
                <w:left w:val="none" w:sz="0" w:space="0" w:color="auto"/>
                <w:bottom w:val="none" w:sz="0" w:space="0" w:color="auto"/>
                <w:right w:val="none" w:sz="0" w:space="0" w:color="auto"/>
              </w:divBdr>
            </w:div>
            <w:div w:id="1511724773">
              <w:marLeft w:val="0"/>
              <w:marRight w:val="0"/>
              <w:marTop w:val="0"/>
              <w:marBottom w:val="0"/>
              <w:divBdr>
                <w:top w:val="none" w:sz="0" w:space="0" w:color="auto"/>
                <w:left w:val="none" w:sz="0" w:space="0" w:color="auto"/>
                <w:bottom w:val="none" w:sz="0" w:space="0" w:color="auto"/>
                <w:right w:val="none" w:sz="0" w:space="0" w:color="auto"/>
              </w:divBdr>
            </w:div>
            <w:div w:id="1369916892">
              <w:marLeft w:val="0"/>
              <w:marRight w:val="0"/>
              <w:marTop w:val="0"/>
              <w:marBottom w:val="0"/>
              <w:divBdr>
                <w:top w:val="none" w:sz="0" w:space="0" w:color="auto"/>
                <w:left w:val="none" w:sz="0" w:space="0" w:color="auto"/>
                <w:bottom w:val="none" w:sz="0" w:space="0" w:color="auto"/>
                <w:right w:val="none" w:sz="0" w:space="0" w:color="auto"/>
              </w:divBdr>
            </w:div>
            <w:div w:id="698437349">
              <w:marLeft w:val="0"/>
              <w:marRight w:val="0"/>
              <w:marTop w:val="0"/>
              <w:marBottom w:val="0"/>
              <w:divBdr>
                <w:top w:val="none" w:sz="0" w:space="0" w:color="auto"/>
                <w:left w:val="none" w:sz="0" w:space="0" w:color="auto"/>
                <w:bottom w:val="none" w:sz="0" w:space="0" w:color="auto"/>
                <w:right w:val="none" w:sz="0" w:space="0" w:color="auto"/>
              </w:divBdr>
            </w:div>
            <w:div w:id="1054085482">
              <w:marLeft w:val="0"/>
              <w:marRight w:val="0"/>
              <w:marTop w:val="0"/>
              <w:marBottom w:val="0"/>
              <w:divBdr>
                <w:top w:val="none" w:sz="0" w:space="0" w:color="auto"/>
                <w:left w:val="none" w:sz="0" w:space="0" w:color="auto"/>
                <w:bottom w:val="none" w:sz="0" w:space="0" w:color="auto"/>
                <w:right w:val="none" w:sz="0" w:space="0" w:color="auto"/>
              </w:divBdr>
            </w:div>
            <w:div w:id="429276664">
              <w:marLeft w:val="0"/>
              <w:marRight w:val="0"/>
              <w:marTop w:val="0"/>
              <w:marBottom w:val="0"/>
              <w:divBdr>
                <w:top w:val="none" w:sz="0" w:space="0" w:color="auto"/>
                <w:left w:val="none" w:sz="0" w:space="0" w:color="auto"/>
                <w:bottom w:val="none" w:sz="0" w:space="0" w:color="auto"/>
                <w:right w:val="none" w:sz="0" w:space="0" w:color="auto"/>
              </w:divBdr>
            </w:div>
            <w:div w:id="2049573634">
              <w:marLeft w:val="0"/>
              <w:marRight w:val="0"/>
              <w:marTop w:val="0"/>
              <w:marBottom w:val="0"/>
              <w:divBdr>
                <w:top w:val="none" w:sz="0" w:space="0" w:color="auto"/>
                <w:left w:val="none" w:sz="0" w:space="0" w:color="auto"/>
                <w:bottom w:val="none" w:sz="0" w:space="0" w:color="auto"/>
                <w:right w:val="none" w:sz="0" w:space="0" w:color="auto"/>
              </w:divBdr>
            </w:div>
            <w:div w:id="1637494239">
              <w:marLeft w:val="0"/>
              <w:marRight w:val="0"/>
              <w:marTop w:val="0"/>
              <w:marBottom w:val="0"/>
              <w:divBdr>
                <w:top w:val="none" w:sz="0" w:space="0" w:color="auto"/>
                <w:left w:val="none" w:sz="0" w:space="0" w:color="auto"/>
                <w:bottom w:val="none" w:sz="0" w:space="0" w:color="auto"/>
                <w:right w:val="none" w:sz="0" w:space="0" w:color="auto"/>
              </w:divBdr>
            </w:div>
            <w:div w:id="1342663217">
              <w:marLeft w:val="0"/>
              <w:marRight w:val="0"/>
              <w:marTop w:val="0"/>
              <w:marBottom w:val="0"/>
              <w:divBdr>
                <w:top w:val="none" w:sz="0" w:space="0" w:color="auto"/>
                <w:left w:val="none" w:sz="0" w:space="0" w:color="auto"/>
                <w:bottom w:val="none" w:sz="0" w:space="0" w:color="auto"/>
                <w:right w:val="none" w:sz="0" w:space="0" w:color="auto"/>
              </w:divBdr>
            </w:div>
            <w:div w:id="178086759">
              <w:marLeft w:val="0"/>
              <w:marRight w:val="0"/>
              <w:marTop w:val="0"/>
              <w:marBottom w:val="0"/>
              <w:divBdr>
                <w:top w:val="none" w:sz="0" w:space="0" w:color="auto"/>
                <w:left w:val="none" w:sz="0" w:space="0" w:color="auto"/>
                <w:bottom w:val="none" w:sz="0" w:space="0" w:color="auto"/>
                <w:right w:val="none" w:sz="0" w:space="0" w:color="auto"/>
              </w:divBdr>
            </w:div>
            <w:div w:id="223490557">
              <w:marLeft w:val="0"/>
              <w:marRight w:val="0"/>
              <w:marTop w:val="0"/>
              <w:marBottom w:val="0"/>
              <w:divBdr>
                <w:top w:val="none" w:sz="0" w:space="0" w:color="auto"/>
                <w:left w:val="none" w:sz="0" w:space="0" w:color="auto"/>
                <w:bottom w:val="none" w:sz="0" w:space="0" w:color="auto"/>
                <w:right w:val="none" w:sz="0" w:space="0" w:color="auto"/>
              </w:divBdr>
            </w:div>
            <w:div w:id="996349806">
              <w:marLeft w:val="0"/>
              <w:marRight w:val="0"/>
              <w:marTop w:val="0"/>
              <w:marBottom w:val="0"/>
              <w:divBdr>
                <w:top w:val="none" w:sz="0" w:space="0" w:color="auto"/>
                <w:left w:val="none" w:sz="0" w:space="0" w:color="auto"/>
                <w:bottom w:val="none" w:sz="0" w:space="0" w:color="auto"/>
                <w:right w:val="none" w:sz="0" w:space="0" w:color="auto"/>
              </w:divBdr>
            </w:div>
            <w:div w:id="1765804208">
              <w:marLeft w:val="0"/>
              <w:marRight w:val="0"/>
              <w:marTop w:val="0"/>
              <w:marBottom w:val="0"/>
              <w:divBdr>
                <w:top w:val="none" w:sz="0" w:space="0" w:color="auto"/>
                <w:left w:val="none" w:sz="0" w:space="0" w:color="auto"/>
                <w:bottom w:val="none" w:sz="0" w:space="0" w:color="auto"/>
                <w:right w:val="none" w:sz="0" w:space="0" w:color="auto"/>
              </w:divBdr>
            </w:div>
            <w:div w:id="1450514417">
              <w:marLeft w:val="0"/>
              <w:marRight w:val="0"/>
              <w:marTop w:val="0"/>
              <w:marBottom w:val="0"/>
              <w:divBdr>
                <w:top w:val="none" w:sz="0" w:space="0" w:color="auto"/>
                <w:left w:val="none" w:sz="0" w:space="0" w:color="auto"/>
                <w:bottom w:val="none" w:sz="0" w:space="0" w:color="auto"/>
                <w:right w:val="none" w:sz="0" w:space="0" w:color="auto"/>
              </w:divBdr>
            </w:div>
            <w:div w:id="189805076">
              <w:marLeft w:val="0"/>
              <w:marRight w:val="0"/>
              <w:marTop w:val="0"/>
              <w:marBottom w:val="0"/>
              <w:divBdr>
                <w:top w:val="none" w:sz="0" w:space="0" w:color="auto"/>
                <w:left w:val="none" w:sz="0" w:space="0" w:color="auto"/>
                <w:bottom w:val="none" w:sz="0" w:space="0" w:color="auto"/>
                <w:right w:val="none" w:sz="0" w:space="0" w:color="auto"/>
              </w:divBdr>
            </w:div>
            <w:div w:id="1362822480">
              <w:marLeft w:val="0"/>
              <w:marRight w:val="0"/>
              <w:marTop w:val="0"/>
              <w:marBottom w:val="0"/>
              <w:divBdr>
                <w:top w:val="none" w:sz="0" w:space="0" w:color="auto"/>
                <w:left w:val="none" w:sz="0" w:space="0" w:color="auto"/>
                <w:bottom w:val="none" w:sz="0" w:space="0" w:color="auto"/>
                <w:right w:val="none" w:sz="0" w:space="0" w:color="auto"/>
              </w:divBdr>
            </w:div>
            <w:div w:id="1696154843">
              <w:marLeft w:val="0"/>
              <w:marRight w:val="0"/>
              <w:marTop w:val="0"/>
              <w:marBottom w:val="0"/>
              <w:divBdr>
                <w:top w:val="none" w:sz="0" w:space="0" w:color="auto"/>
                <w:left w:val="none" w:sz="0" w:space="0" w:color="auto"/>
                <w:bottom w:val="none" w:sz="0" w:space="0" w:color="auto"/>
                <w:right w:val="none" w:sz="0" w:space="0" w:color="auto"/>
              </w:divBdr>
            </w:div>
            <w:div w:id="684794732">
              <w:marLeft w:val="0"/>
              <w:marRight w:val="0"/>
              <w:marTop w:val="0"/>
              <w:marBottom w:val="0"/>
              <w:divBdr>
                <w:top w:val="none" w:sz="0" w:space="0" w:color="auto"/>
                <w:left w:val="none" w:sz="0" w:space="0" w:color="auto"/>
                <w:bottom w:val="none" w:sz="0" w:space="0" w:color="auto"/>
                <w:right w:val="none" w:sz="0" w:space="0" w:color="auto"/>
              </w:divBdr>
            </w:div>
            <w:div w:id="2060935506">
              <w:marLeft w:val="0"/>
              <w:marRight w:val="0"/>
              <w:marTop w:val="0"/>
              <w:marBottom w:val="0"/>
              <w:divBdr>
                <w:top w:val="none" w:sz="0" w:space="0" w:color="auto"/>
                <w:left w:val="none" w:sz="0" w:space="0" w:color="auto"/>
                <w:bottom w:val="none" w:sz="0" w:space="0" w:color="auto"/>
                <w:right w:val="none" w:sz="0" w:space="0" w:color="auto"/>
              </w:divBdr>
            </w:div>
            <w:div w:id="679239622">
              <w:marLeft w:val="0"/>
              <w:marRight w:val="0"/>
              <w:marTop w:val="0"/>
              <w:marBottom w:val="0"/>
              <w:divBdr>
                <w:top w:val="none" w:sz="0" w:space="0" w:color="auto"/>
                <w:left w:val="none" w:sz="0" w:space="0" w:color="auto"/>
                <w:bottom w:val="none" w:sz="0" w:space="0" w:color="auto"/>
                <w:right w:val="none" w:sz="0" w:space="0" w:color="auto"/>
              </w:divBdr>
            </w:div>
            <w:div w:id="1183058171">
              <w:marLeft w:val="0"/>
              <w:marRight w:val="0"/>
              <w:marTop w:val="0"/>
              <w:marBottom w:val="0"/>
              <w:divBdr>
                <w:top w:val="none" w:sz="0" w:space="0" w:color="auto"/>
                <w:left w:val="none" w:sz="0" w:space="0" w:color="auto"/>
                <w:bottom w:val="none" w:sz="0" w:space="0" w:color="auto"/>
                <w:right w:val="none" w:sz="0" w:space="0" w:color="auto"/>
              </w:divBdr>
            </w:div>
            <w:div w:id="413553322">
              <w:marLeft w:val="0"/>
              <w:marRight w:val="0"/>
              <w:marTop w:val="0"/>
              <w:marBottom w:val="0"/>
              <w:divBdr>
                <w:top w:val="none" w:sz="0" w:space="0" w:color="auto"/>
                <w:left w:val="none" w:sz="0" w:space="0" w:color="auto"/>
                <w:bottom w:val="none" w:sz="0" w:space="0" w:color="auto"/>
                <w:right w:val="none" w:sz="0" w:space="0" w:color="auto"/>
              </w:divBdr>
            </w:div>
            <w:div w:id="1968395270">
              <w:marLeft w:val="0"/>
              <w:marRight w:val="0"/>
              <w:marTop w:val="0"/>
              <w:marBottom w:val="0"/>
              <w:divBdr>
                <w:top w:val="none" w:sz="0" w:space="0" w:color="auto"/>
                <w:left w:val="none" w:sz="0" w:space="0" w:color="auto"/>
                <w:bottom w:val="none" w:sz="0" w:space="0" w:color="auto"/>
                <w:right w:val="none" w:sz="0" w:space="0" w:color="auto"/>
              </w:divBdr>
            </w:div>
            <w:div w:id="84303757">
              <w:marLeft w:val="0"/>
              <w:marRight w:val="0"/>
              <w:marTop w:val="0"/>
              <w:marBottom w:val="0"/>
              <w:divBdr>
                <w:top w:val="none" w:sz="0" w:space="0" w:color="auto"/>
                <w:left w:val="none" w:sz="0" w:space="0" w:color="auto"/>
                <w:bottom w:val="none" w:sz="0" w:space="0" w:color="auto"/>
                <w:right w:val="none" w:sz="0" w:space="0" w:color="auto"/>
              </w:divBdr>
            </w:div>
            <w:div w:id="1377697937">
              <w:marLeft w:val="0"/>
              <w:marRight w:val="0"/>
              <w:marTop w:val="0"/>
              <w:marBottom w:val="0"/>
              <w:divBdr>
                <w:top w:val="none" w:sz="0" w:space="0" w:color="auto"/>
                <w:left w:val="none" w:sz="0" w:space="0" w:color="auto"/>
                <w:bottom w:val="none" w:sz="0" w:space="0" w:color="auto"/>
                <w:right w:val="none" w:sz="0" w:space="0" w:color="auto"/>
              </w:divBdr>
            </w:div>
            <w:div w:id="1357081473">
              <w:marLeft w:val="0"/>
              <w:marRight w:val="0"/>
              <w:marTop w:val="0"/>
              <w:marBottom w:val="0"/>
              <w:divBdr>
                <w:top w:val="none" w:sz="0" w:space="0" w:color="auto"/>
                <w:left w:val="none" w:sz="0" w:space="0" w:color="auto"/>
                <w:bottom w:val="none" w:sz="0" w:space="0" w:color="auto"/>
                <w:right w:val="none" w:sz="0" w:space="0" w:color="auto"/>
              </w:divBdr>
            </w:div>
            <w:div w:id="1273855258">
              <w:marLeft w:val="0"/>
              <w:marRight w:val="0"/>
              <w:marTop w:val="0"/>
              <w:marBottom w:val="0"/>
              <w:divBdr>
                <w:top w:val="none" w:sz="0" w:space="0" w:color="auto"/>
                <w:left w:val="none" w:sz="0" w:space="0" w:color="auto"/>
                <w:bottom w:val="none" w:sz="0" w:space="0" w:color="auto"/>
                <w:right w:val="none" w:sz="0" w:space="0" w:color="auto"/>
              </w:divBdr>
            </w:div>
            <w:div w:id="93672896">
              <w:marLeft w:val="0"/>
              <w:marRight w:val="0"/>
              <w:marTop w:val="0"/>
              <w:marBottom w:val="0"/>
              <w:divBdr>
                <w:top w:val="none" w:sz="0" w:space="0" w:color="auto"/>
                <w:left w:val="none" w:sz="0" w:space="0" w:color="auto"/>
                <w:bottom w:val="none" w:sz="0" w:space="0" w:color="auto"/>
                <w:right w:val="none" w:sz="0" w:space="0" w:color="auto"/>
              </w:divBdr>
            </w:div>
            <w:div w:id="1336617306">
              <w:marLeft w:val="0"/>
              <w:marRight w:val="0"/>
              <w:marTop w:val="0"/>
              <w:marBottom w:val="0"/>
              <w:divBdr>
                <w:top w:val="none" w:sz="0" w:space="0" w:color="auto"/>
                <w:left w:val="none" w:sz="0" w:space="0" w:color="auto"/>
                <w:bottom w:val="none" w:sz="0" w:space="0" w:color="auto"/>
                <w:right w:val="none" w:sz="0" w:space="0" w:color="auto"/>
              </w:divBdr>
            </w:div>
            <w:div w:id="1958948179">
              <w:marLeft w:val="0"/>
              <w:marRight w:val="0"/>
              <w:marTop w:val="0"/>
              <w:marBottom w:val="0"/>
              <w:divBdr>
                <w:top w:val="none" w:sz="0" w:space="0" w:color="auto"/>
                <w:left w:val="none" w:sz="0" w:space="0" w:color="auto"/>
                <w:bottom w:val="none" w:sz="0" w:space="0" w:color="auto"/>
                <w:right w:val="none" w:sz="0" w:space="0" w:color="auto"/>
              </w:divBdr>
            </w:div>
            <w:div w:id="1692804993">
              <w:marLeft w:val="0"/>
              <w:marRight w:val="0"/>
              <w:marTop w:val="0"/>
              <w:marBottom w:val="0"/>
              <w:divBdr>
                <w:top w:val="none" w:sz="0" w:space="0" w:color="auto"/>
                <w:left w:val="none" w:sz="0" w:space="0" w:color="auto"/>
                <w:bottom w:val="none" w:sz="0" w:space="0" w:color="auto"/>
                <w:right w:val="none" w:sz="0" w:space="0" w:color="auto"/>
              </w:divBdr>
            </w:div>
            <w:div w:id="429551258">
              <w:marLeft w:val="0"/>
              <w:marRight w:val="0"/>
              <w:marTop w:val="0"/>
              <w:marBottom w:val="0"/>
              <w:divBdr>
                <w:top w:val="none" w:sz="0" w:space="0" w:color="auto"/>
                <w:left w:val="none" w:sz="0" w:space="0" w:color="auto"/>
                <w:bottom w:val="none" w:sz="0" w:space="0" w:color="auto"/>
                <w:right w:val="none" w:sz="0" w:space="0" w:color="auto"/>
              </w:divBdr>
            </w:div>
            <w:div w:id="543752524">
              <w:marLeft w:val="0"/>
              <w:marRight w:val="0"/>
              <w:marTop w:val="0"/>
              <w:marBottom w:val="0"/>
              <w:divBdr>
                <w:top w:val="none" w:sz="0" w:space="0" w:color="auto"/>
                <w:left w:val="none" w:sz="0" w:space="0" w:color="auto"/>
                <w:bottom w:val="none" w:sz="0" w:space="0" w:color="auto"/>
                <w:right w:val="none" w:sz="0" w:space="0" w:color="auto"/>
              </w:divBdr>
            </w:div>
            <w:div w:id="1201354506">
              <w:marLeft w:val="0"/>
              <w:marRight w:val="0"/>
              <w:marTop w:val="0"/>
              <w:marBottom w:val="0"/>
              <w:divBdr>
                <w:top w:val="none" w:sz="0" w:space="0" w:color="auto"/>
                <w:left w:val="none" w:sz="0" w:space="0" w:color="auto"/>
                <w:bottom w:val="none" w:sz="0" w:space="0" w:color="auto"/>
                <w:right w:val="none" w:sz="0" w:space="0" w:color="auto"/>
              </w:divBdr>
            </w:div>
            <w:div w:id="349261913">
              <w:marLeft w:val="0"/>
              <w:marRight w:val="0"/>
              <w:marTop w:val="0"/>
              <w:marBottom w:val="0"/>
              <w:divBdr>
                <w:top w:val="none" w:sz="0" w:space="0" w:color="auto"/>
                <w:left w:val="none" w:sz="0" w:space="0" w:color="auto"/>
                <w:bottom w:val="none" w:sz="0" w:space="0" w:color="auto"/>
                <w:right w:val="none" w:sz="0" w:space="0" w:color="auto"/>
              </w:divBdr>
            </w:div>
            <w:div w:id="101995556">
              <w:marLeft w:val="0"/>
              <w:marRight w:val="0"/>
              <w:marTop w:val="0"/>
              <w:marBottom w:val="0"/>
              <w:divBdr>
                <w:top w:val="none" w:sz="0" w:space="0" w:color="auto"/>
                <w:left w:val="none" w:sz="0" w:space="0" w:color="auto"/>
                <w:bottom w:val="none" w:sz="0" w:space="0" w:color="auto"/>
                <w:right w:val="none" w:sz="0" w:space="0" w:color="auto"/>
              </w:divBdr>
            </w:div>
            <w:div w:id="27144074">
              <w:marLeft w:val="0"/>
              <w:marRight w:val="0"/>
              <w:marTop w:val="0"/>
              <w:marBottom w:val="0"/>
              <w:divBdr>
                <w:top w:val="none" w:sz="0" w:space="0" w:color="auto"/>
                <w:left w:val="none" w:sz="0" w:space="0" w:color="auto"/>
                <w:bottom w:val="none" w:sz="0" w:space="0" w:color="auto"/>
                <w:right w:val="none" w:sz="0" w:space="0" w:color="auto"/>
              </w:divBdr>
            </w:div>
            <w:div w:id="1690637681">
              <w:marLeft w:val="0"/>
              <w:marRight w:val="0"/>
              <w:marTop w:val="0"/>
              <w:marBottom w:val="0"/>
              <w:divBdr>
                <w:top w:val="none" w:sz="0" w:space="0" w:color="auto"/>
                <w:left w:val="none" w:sz="0" w:space="0" w:color="auto"/>
                <w:bottom w:val="none" w:sz="0" w:space="0" w:color="auto"/>
                <w:right w:val="none" w:sz="0" w:space="0" w:color="auto"/>
              </w:divBdr>
            </w:div>
            <w:div w:id="364839101">
              <w:marLeft w:val="0"/>
              <w:marRight w:val="0"/>
              <w:marTop w:val="0"/>
              <w:marBottom w:val="0"/>
              <w:divBdr>
                <w:top w:val="none" w:sz="0" w:space="0" w:color="auto"/>
                <w:left w:val="none" w:sz="0" w:space="0" w:color="auto"/>
                <w:bottom w:val="none" w:sz="0" w:space="0" w:color="auto"/>
                <w:right w:val="none" w:sz="0" w:space="0" w:color="auto"/>
              </w:divBdr>
            </w:div>
            <w:div w:id="1406949021">
              <w:marLeft w:val="0"/>
              <w:marRight w:val="0"/>
              <w:marTop w:val="0"/>
              <w:marBottom w:val="0"/>
              <w:divBdr>
                <w:top w:val="none" w:sz="0" w:space="0" w:color="auto"/>
                <w:left w:val="none" w:sz="0" w:space="0" w:color="auto"/>
                <w:bottom w:val="none" w:sz="0" w:space="0" w:color="auto"/>
                <w:right w:val="none" w:sz="0" w:space="0" w:color="auto"/>
              </w:divBdr>
            </w:div>
            <w:div w:id="1667518960">
              <w:marLeft w:val="0"/>
              <w:marRight w:val="0"/>
              <w:marTop w:val="0"/>
              <w:marBottom w:val="0"/>
              <w:divBdr>
                <w:top w:val="none" w:sz="0" w:space="0" w:color="auto"/>
                <w:left w:val="none" w:sz="0" w:space="0" w:color="auto"/>
                <w:bottom w:val="none" w:sz="0" w:space="0" w:color="auto"/>
                <w:right w:val="none" w:sz="0" w:space="0" w:color="auto"/>
              </w:divBdr>
            </w:div>
            <w:div w:id="71706181">
              <w:marLeft w:val="0"/>
              <w:marRight w:val="0"/>
              <w:marTop w:val="0"/>
              <w:marBottom w:val="0"/>
              <w:divBdr>
                <w:top w:val="none" w:sz="0" w:space="0" w:color="auto"/>
                <w:left w:val="none" w:sz="0" w:space="0" w:color="auto"/>
                <w:bottom w:val="none" w:sz="0" w:space="0" w:color="auto"/>
                <w:right w:val="none" w:sz="0" w:space="0" w:color="auto"/>
              </w:divBdr>
            </w:div>
            <w:div w:id="1168717755">
              <w:marLeft w:val="0"/>
              <w:marRight w:val="0"/>
              <w:marTop w:val="0"/>
              <w:marBottom w:val="0"/>
              <w:divBdr>
                <w:top w:val="none" w:sz="0" w:space="0" w:color="auto"/>
                <w:left w:val="none" w:sz="0" w:space="0" w:color="auto"/>
                <w:bottom w:val="none" w:sz="0" w:space="0" w:color="auto"/>
                <w:right w:val="none" w:sz="0" w:space="0" w:color="auto"/>
              </w:divBdr>
            </w:div>
            <w:div w:id="561671866">
              <w:marLeft w:val="0"/>
              <w:marRight w:val="0"/>
              <w:marTop w:val="0"/>
              <w:marBottom w:val="0"/>
              <w:divBdr>
                <w:top w:val="none" w:sz="0" w:space="0" w:color="auto"/>
                <w:left w:val="none" w:sz="0" w:space="0" w:color="auto"/>
                <w:bottom w:val="none" w:sz="0" w:space="0" w:color="auto"/>
                <w:right w:val="none" w:sz="0" w:space="0" w:color="auto"/>
              </w:divBdr>
            </w:div>
            <w:div w:id="2029409947">
              <w:marLeft w:val="0"/>
              <w:marRight w:val="0"/>
              <w:marTop w:val="0"/>
              <w:marBottom w:val="0"/>
              <w:divBdr>
                <w:top w:val="none" w:sz="0" w:space="0" w:color="auto"/>
                <w:left w:val="none" w:sz="0" w:space="0" w:color="auto"/>
                <w:bottom w:val="none" w:sz="0" w:space="0" w:color="auto"/>
                <w:right w:val="none" w:sz="0" w:space="0" w:color="auto"/>
              </w:divBdr>
            </w:div>
            <w:div w:id="456918911">
              <w:marLeft w:val="0"/>
              <w:marRight w:val="0"/>
              <w:marTop w:val="0"/>
              <w:marBottom w:val="0"/>
              <w:divBdr>
                <w:top w:val="none" w:sz="0" w:space="0" w:color="auto"/>
                <w:left w:val="none" w:sz="0" w:space="0" w:color="auto"/>
                <w:bottom w:val="none" w:sz="0" w:space="0" w:color="auto"/>
                <w:right w:val="none" w:sz="0" w:space="0" w:color="auto"/>
              </w:divBdr>
            </w:div>
            <w:div w:id="345257986">
              <w:marLeft w:val="0"/>
              <w:marRight w:val="0"/>
              <w:marTop w:val="0"/>
              <w:marBottom w:val="0"/>
              <w:divBdr>
                <w:top w:val="none" w:sz="0" w:space="0" w:color="auto"/>
                <w:left w:val="none" w:sz="0" w:space="0" w:color="auto"/>
                <w:bottom w:val="none" w:sz="0" w:space="0" w:color="auto"/>
                <w:right w:val="none" w:sz="0" w:space="0" w:color="auto"/>
              </w:divBdr>
            </w:div>
            <w:div w:id="938024425">
              <w:marLeft w:val="0"/>
              <w:marRight w:val="0"/>
              <w:marTop w:val="0"/>
              <w:marBottom w:val="0"/>
              <w:divBdr>
                <w:top w:val="none" w:sz="0" w:space="0" w:color="auto"/>
                <w:left w:val="none" w:sz="0" w:space="0" w:color="auto"/>
                <w:bottom w:val="none" w:sz="0" w:space="0" w:color="auto"/>
                <w:right w:val="none" w:sz="0" w:space="0" w:color="auto"/>
              </w:divBdr>
            </w:div>
            <w:div w:id="55471406">
              <w:marLeft w:val="0"/>
              <w:marRight w:val="0"/>
              <w:marTop w:val="0"/>
              <w:marBottom w:val="0"/>
              <w:divBdr>
                <w:top w:val="none" w:sz="0" w:space="0" w:color="auto"/>
                <w:left w:val="none" w:sz="0" w:space="0" w:color="auto"/>
                <w:bottom w:val="none" w:sz="0" w:space="0" w:color="auto"/>
                <w:right w:val="none" w:sz="0" w:space="0" w:color="auto"/>
              </w:divBdr>
            </w:div>
            <w:div w:id="498815940">
              <w:marLeft w:val="0"/>
              <w:marRight w:val="0"/>
              <w:marTop w:val="0"/>
              <w:marBottom w:val="0"/>
              <w:divBdr>
                <w:top w:val="none" w:sz="0" w:space="0" w:color="auto"/>
                <w:left w:val="none" w:sz="0" w:space="0" w:color="auto"/>
                <w:bottom w:val="none" w:sz="0" w:space="0" w:color="auto"/>
                <w:right w:val="none" w:sz="0" w:space="0" w:color="auto"/>
              </w:divBdr>
            </w:div>
            <w:div w:id="626669084">
              <w:marLeft w:val="0"/>
              <w:marRight w:val="0"/>
              <w:marTop w:val="0"/>
              <w:marBottom w:val="0"/>
              <w:divBdr>
                <w:top w:val="none" w:sz="0" w:space="0" w:color="auto"/>
                <w:left w:val="none" w:sz="0" w:space="0" w:color="auto"/>
                <w:bottom w:val="none" w:sz="0" w:space="0" w:color="auto"/>
                <w:right w:val="none" w:sz="0" w:space="0" w:color="auto"/>
              </w:divBdr>
            </w:div>
            <w:div w:id="1559392806">
              <w:marLeft w:val="0"/>
              <w:marRight w:val="0"/>
              <w:marTop w:val="0"/>
              <w:marBottom w:val="0"/>
              <w:divBdr>
                <w:top w:val="none" w:sz="0" w:space="0" w:color="auto"/>
                <w:left w:val="none" w:sz="0" w:space="0" w:color="auto"/>
                <w:bottom w:val="none" w:sz="0" w:space="0" w:color="auto"/>
                <w:right w:val="none" w:sz="0" w:space="0" w:color="auto"/>
              </w:divBdr>
            </w:div>
            <w:div w:id="1395085102">
              <w:marLeft w:val="0"/>
              <w:marRight w:val="0"/>
              <w:marTop w:val="0"/>
              <w:marBottom w:val="0"/>
              <w:divBdr>
                <w:top w:val="none" w:sz="0" w:space="0" w:color="auto"/>
                <w:left w:val="none" w:sz="0" w:space="0" w:color="auto"/>
                <w:bottom w:val="none" w:sz="0" w:space="0" w:color="auto"/>
                <w:right w:val="none" w:sz="0" w:space="0" w:color="auto"/>
              </w:divBdr>
            </w:div>
            <w:div w:id="1009678250">
              <w:marLeft w:val="0"/>
              <w:marRight w:val="0"/>
              <w:marTop w:val="0"/>
              <w:marBottom w:val="0"/>
              <w:divBdr>
                <w:top w:val="none" w:sz="0" w:space="0" w:color="auto"/>
                <w:left w:val="none" w:sz="0" w:space="0" w:color="auto"/>
                <w:bottom w:val="none" w:sz="0" w:space="0" w:color="auto"/>
                <w:right w:val="none" w:sz="0" w:space="0" w:color="auto"/>
              </w:divBdr>
            </w:div>
            <w:div w:id="1910340316">
              <w:marLeft w:val="0"/>
              <w:marRight w:val="0"/>
              <w:marTop w:val="0"/>
              <w:marBottom w:val="0"/>
              <w:divBdr>
                <w:top w:val="none" w:sz="0" w:space="0" w:color="auto"/>
                <w:left w:val="none" w:sz="0" w:space="0" w:color="auto"/>
                <w:bottom w:val="none" w:sz="0" w:space="0" w:color="auto"/>
                <w:right w:val="none" w:sz="0" w:space="0" w:color="auto"/>
              </w:divBdr>
            </w:div>
            <w:div w:id="1949852769">
              <w:marLeft w:val="0"/>
              <w:marRight w:val="0"/>
              <w:marTop w:val="0"/>
              <w:marBottom w:val="0"/>
              <w:divBdr>
                <w:top w:val="none" w:sz="0" w:space="0" w:color="auto"/>
                <w:left w:val="none" w:sz="0" w:space="0" w:color="auto"/>
                <w:bottom w:val="none" w:sz="0" w:space="0" w:color="auto"/>
                <w:right w:val="none" w:sz="0" w:space="0" w:color="auto"/>
              </w:divBdr>
            </w:div>
            <w:div w:id="2101558687">
              <w:marLeft w:val="0"/>
              <w:marRight w:val="0"/>
              <w:marTop w:val="0"/>
              <w:marBottom w:val="0"/>
              <w:divBdr>
                <w:top w:val="none" w:sz="0" w:space="0" w:color="auto"/>
                <w:left w:val="none" w:sz="0" w:space="0" w:color="auto"/>
                <w:bottom w:val="none" w:sz="0" w:space="0" w:color="auto"/>
                <w:right w:val="none" w:sz="0" w:space="0" w:color="auto"/>
              </w:divBdr>
            </w:div>
            <w:div w:id="589894274">
              <w:marLeft w:val="0"/>
              <w:marRight w:val="0"/>
              <w:marTop w:val="0"/>
              <w:marBottom w:val="0"/>
              <w:divBdr>
                <w:top w:val="none" w:sz="0" w:space="0" w:color="auto"/>
                <w:left w:val="none" w:sz="0" w:space="0" w:color="auto"/>
                <w:bottom w:val="none" w:sz="0" w:space="0" w:color="auto"/>
                <w:right w:val="none" w:sz="0" w:space="0" w:color="auto"/>
              </w:divBdr>
            </w:div>
            <w:div w:id="449126536">
              <w:marLeft w:val="0"/>
              <w:marRight w:val="0"/>
              <w:marTop w:val="0"/>
              <w:marBottom w:val="0"/>
              <w:divBdr>
                <w:top w:val="none" w:sz="0" w:space="0" w:color="auto"/>
                <w:left w:val="none" w:sz="0" w:space="0" w:color="auto"/>
                <w:bottom w:val="none" w:sz="0" w:space="0" w:color="auto"/>
                <w:right w:val="none" w:sz="0" w:space="0" w:color="auto"/>
              </w:divBdr>
            </w:div>
            <w:div w:id="406806041">
              <w:marLeft w:val="0"/>
              <w:marRight w:val="0"/>
              <w:marTop w:val="0"/>
              <w:marBottom w:val="0"/>
              <w:divBdr>
                <w:top w:val="none" w:sz="0" w:space="0" w:color="auto"/>
                <w:left w:val="none" w:sz="0" w:space="0" w:color="auto"/>
                <w:bottom w:val="none" w:sz="0" w:space="0" w:color="auto"/>
                <w:right w:val="none" w:sz="0" w:space="0" w:color="auto"/>
              </w:divBdr>
            </w:div>
            <w:div w:id="40130295">
              <w:marLeft w:val="0"/>
              <w:marRight w:val="0"/>
              <w:marTop w:val="0"/>
              <w:marBottom w:val="0"/>
              <w:divBdr>
                <w:top w:val="none" w:sz="0" w:space="0" w:color="auto"/>
                <w:left w:val="none" w:sz="0" w:space="0" w:color="auto"/>
                <w:bottom w:val="none" w:sz="0" w:space="0" w:color="auto"/>
                <w:right w:val="none" w:sz="0" w:space="0" w:color="auto"/>
              </w:divBdr>
            </w:div>
            <w:div w:id="1869483887">
              <w:marLeft w:val="0"/>
              <w:marRight w:val="0"/>
              <w:marTop w:val="0"/>
              <w:marBottom w:val="0"/>
              <w:divBdr>
                <w:top w:val="none" w:sz="0" w:space="0" w:color="auto"/>
                <w:left w:val="none" w:sz="0" w:space="0" w:color="auto"/>
                <w:bottom w:val="none" w:sz="0" w:space="0" w:color="auto"/>
                <w:right w:val="none" w:sz="0" w:space="0" w:color="auto"/>
              </w:divBdr>
            </w:div>
            <w:div w:id="565383421">
              <w:marLeft w:val="0"/>
              <w:marRight w:val="0"/>
              <w:marTop w:val="0"/>
              <w:marBottom w:val="0"/>
              <w:divBdr>
                <w:top w:val="none" w:sz="0" w:space="0" w:color="auto"/>
                <w:left w:val="none" w:sz="0" w:space="0" w:color="auto"/>
                <w:bottom w:val="none" w:sz="0" w:space="0" w:color="auto"/>
                <w:right w:val="none" w:sz="0" w:space="0" w:color="auto"/>
              </w:divBdr>
            </w:div>
            <w:div w:id="1246262429">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906574350">
              <w:marLeft w:val="0"/>
              <w:marRight w:val="0"/>
              <w:marTop w:val="0"/>
              <w:marBottom w:val="0"/>
              <w:divBdr>
                <w:top w:val="none" w:sz="0" w:space="0" w:color="auto"/>
                <w:left w:val="none" w:sz="0" w:space="0" w:color="auto"/>
                <w:bottom w:val="none" w:sz="0" w:space="0" w:color="auto"/>
                <w:right w:val="none" w:sz="0" w:space="0" w:color="auto"/>
              </w:divBdr>
            </w:div>
            <w:div w:id="1027413456">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916129140">
              <w:marLeft w:val="0"/>
              <w:marRight w:val="0"/>
              <w:marTop w:val="0"/>
              <w:marBottom w:val="0"/>
              <w:divBdr>
                <w:top w:val="none" w:sz="0" w:space="0" w:color="auto"/>
                <w:left w:val="none" w:sz="0" w:space="0" w:color="auto"/>
                <w:bottom w:val="none" w:sz="0" w:space="0" w:color="auto"/>
                <w:right w:val="none" w:sz="0" w:space="0" w:color="auto"/>
              </w:divBdr>
            </w:div>
            <w:div w:id="908616467">
              <w:marLeft w:val="0"/>
              <w:marRight w:val="0"/>
              <w:marTop w:val="0"/>
              <w:marBottom w:val="0"/>
              <w:divBdr>
                <w:top w:val="none" w:sz="0" w:space="0" w:color="auto"/>
                <w:left w:val="none" w:sz="0" w:space="0" w:color="auto"/>
                <w:bottom w:val="none" w:sz="0" w:space="0" w:color="auto"/>
                <w:right w:val="none" w:sz="0" w:space="0" w:color="auto"/>
              </w:divBdr>
            </w:div>
            <w:div w:id="20323899">
              <w:marLeft w:val="0"/>
              <w:marRight w:val="0"/>
              <w:marTop w:val="0"/>
              <w:marBottom w:val="0"/>
              <w:divBdr>
                <w:top w:val="none" w:sz="0" w:space="0" w:color="auto"/>
                <w:left w:val="none" w:sz="0" w:space="0" w:color="auto"/>
                <w:bottom w:val="none" w:sz="0" w:space="0" w:color="auto"/>
                <w:right w:val="none" w:sz="0" w:space="0" w:color="auto"/>
              </w:divBdr>
            </w:div>
            <w:div w:id="1395275567">
              <w:marLeft w:val="0"/>
              <w:marRight w:val="0"/>
              <w:marTop w:val="0"/>
              <w:marBottom w:val="0"/>
              <w:divBdr>
                <w:top w:val="none" w:sz="0" w:space="0" w:color="auto"/>
                <w:left w:val="none" w:sz="0" w:space="0" w:color="auto"/>
                <w:bottom w:val="none" w:sz="0" w:space="0" w:color="auto"/>
                <w:right w:val="none" w:sz="0" w:space="0" w:color="auto"/>
              </w:divBdr>
            </w:div>
            <w:div w:id="526409967">
              <w:marLeft w:val="0"/>
              <w:marRight w:val="0"/>
              <w:marTop w:val="0"/>
              <w:marBottom w:val="0"/>
              <w:divBdr>
                <w:top w:val="none" w:sz="0" w:space="0" w:color="auto"/>
                <w:left w:val="none" w:sz="0" w:space="0" w:color="auto"/>
                <w:bottom w:val="none" w:sz="0" w:space="0" w:color="auto"/>
                <w:right w:val="none" w:sz="0" w:space="0" w:color="auto"/>
              </w:divBdr>
            </w:div>
            <w:div w:id="1301039042">
              <w:marLeft w:val="0"/>
              <w:marRight w:val="0"/>
              <w:marTop w:val="0"/>
              <w:marBottom w:val="0"/>
              <w:divBdr>
                <w:top w:val="none" w:sz="0" w:space="0" w:color="auto"/>
                <w:left w:val="none" w:sz="0" w:space="0" w:color="auto"/>
                <w:bottom w:val="none" w:sz="0" w:space="0" w:color="auto"/>
                <w:right w:val="none" w:sz="0" w:space="0" w:color="auto"/>
              </w:divBdr>
            </w:div>
            <w:div w:id="1831749456">
              <w:marLeft w:val="0"/>
              <w:marRight w:val="0"/>
              <w:marTop w:val="0"/>
              <w:marBottom w:val="0"/>
              <w:divBdr>
                <w:top w:val="none" w:sz="0" w:space="0" w:color="auto"/>
                <w:left w:val="none" w:sz="0" w:space="0" w:color="auto"/>
                <w:bottom w:val="none" w:sz="0" w:space="0" w:color="auto"/>
                <w:right w:val="none" w:sz="0" w:space="0" w:color="auto"/>
              </w:divBdr>
            </w:div>
            <w:div w:id="1443955336">
              <w:marLeft w:val="0"/>
              <w:marRight w:val="0"/>
              <w:marTop w:val="0"/>
              <w:marBottom w:val="0"/>
              <w:divBdr>
                <w:top w:val="none" w:sz="0" w:space="0" w:color="auto"/>
                <w:left w:val="none" w:sz="0" w:space="0" w:color="auto"/>
                <w:bottom w:val="none" w:sz="0" w:space="0" w:color="auto"/>
                <w:right w:val="none" w:sz="0" w:space="0" w:color="auto"/>
              </w:divBdr>
            </w:div>
            <w:div w:id="829175265">
              <w:marLeft w:val="0"/>
              <w:marRight w:val="0"/>
              <w:marTop w:val="0"/>
              <w:marBottom w:val="0"/>
              <w:divBdr>
                <w:top w:val="none" w:sz="0" w:space="0" w:color="auto"/>
                <w:left w:val="none" w:sz="0" w:space="0" w:color="auto"/>
                <w:bottom w:val="none" w:sz="0" w:space="0" w:color="auto"/>
                <w:right w:val="none" w:sz="0" w:space="0" w:color="auto"/>
              </w:divBdr>
            </w:div>
            <w:div w:id="38824408">
              <w:marLeft w:val="0"/>
              <w:marRight w:val="0"/>
              <w:marTop w:val="0"/>
              <w:marBottom w:val="0"/>
              <w:divBdr>
                <w:top w:val="none" w:sz="0" w:space="0" w:color="auto"/>
                <w:left w:val="none" w:sz="0" w:space="0" w:color="auto"/>
                <w:bottom w:val="none" w:sz="0" w:space="0" w:color="auto"/>
                <w:right w:val="none" w:sz="0" w:space="0" w:color="auto"/>
              </w:divBdr>
            </w:div>
            <w:div w:id="848720119">
              <w:marLeft w:val="0"/>
              <w:marRight w:val="0"/>
              <w:marTop w:val="0"/>
              <w:marBottom w:val="0"/>
              <w:divBdr>
                <w:top w:val="none" w:sz="0" w:space="0" w:color="auto"/>
                <w:left w:val="none" w:sz="0" w:space="0" w:color="auto"/>
                <w:bottom w:val="none" w:sz="0" w:space="0" w:color="auto"/>
                <w:right w:val="none" w:sz="0" w:space="0" w:color="auto"/>
              </w:divBdr>
            </w:div>
            <w:div w:id="1750424374">
              <w:marLeft w:val="0"/>
              <w:marRight w:val="0"/>
              <w:marTop w:val="0"/>
              <w:marBottom w:val="0"/>
              <w:divBdr>
                <w:top w:val="none" w:sz="0" w:space="0" w:color="auto"/>
                <w:left w:val="none" w:sz="0" w:space="0" w:color="auto"/>
                <w:bottom w:val="none" w:sz="0" w:space="0" w:color="auto"/>
                <w:right w:val="none" w:sz="0" w:space="0" w:color="auto"/>
              </w:divBdr>
            </w:div>
            <w:div w:id="1558979915">
              <w:marLeft w:val="0"/>
              <w:marRight w:val="0"/>
              <w:marTop w:val="0"/>
              <w:marBottom w:val="0"/>
              <w:divBdr>
                <w:top w:val="none" w:sz="0" w:space="0" w:color="auto"/>
                <w:left w:val="none" w:sz="0" w:space="0" w:color="auto"/>
                <w:bottom w:val="none" w:sz="0" w:space="0" w:color="auto"/>
                <w:right w:val="none" w:sz="0" w:space="0" w:color="auto"/>
              </w:divBdr>
            </w:div>
            <w:div w:id="1272322141">
              <w:marLeft w:val="0"/>
              <w:marRight w:val="0"/>
              <w:marTop w:val="0"/>
              <w:marBottom w:val="0"/>
              <w:divBdr>
                <w:top w:val="none" w:sz="0" w:space="0" w:color="auto"/>
                <w:left w:val="none" w:sz="0" w:space="0" w:color="auto"/>
                <w:bottom w:val="none" w:sz="0" w:space="0" w:color="auto"/>
                <w:right w:val="none" w:sz="0" w:space="0" w:color="auto"/>
              </w:divBdr>
            </w:div>
            <w:div w:id="1176386577">
              <w:marLeft w:val="0"/>
              <w:marRight w:val="0"/>
              <w:marTop w:val="0"/>
              <w:marBottom w:val="0"/>
              <w:divBdr>
                <w:top w:val="none" w:sz="0" w:space="0" w:color="auto"/>
                <w:left w:val="none" w:sz="0" w:space="0" w:color="auto"/>
                <w:bottom w:val="none" w:sz="0" w:space="0" w:color="auto"/>
                <w:right w:val="none" w:sz="0" w:space="0" w:color="auto"/>
              </w:divBdr>
            </w:div>
            <w:div w:id="1648050716">
              <w:marLeft w:val="0"/>
              <w:marRight w:val="0"/>
              <w:marTop w:val="0"/>
              <w:marBottom w:val="0"/>
              <w:divBdr>
                <w:top w:val="none" w:sz="0" w:space="0" w:color="auto"/>
                <w:left w:val="none" w:sz="0" w:space="0" w:color="auto"/>
                <w:bottom w:val="none" w:sz="0" w:space="0" w:color="auto"/>
                <w:right w:val="none" w:sz="0" w:space="0" w:color="auto"/>
              </w:divBdr>
            </w:div>
            <w:div w:id="1118185812">
              <w:marLeft w:val="0"/>
              <w:marRight w:val="0"/>
              <w:marTop w:val="0"/>
              <w:marBottom w:val="0"/>
              <w:divBdr>
                <w:top w:val="none" w:sz="0" w:space="0" w:color="auto"/>
                <w:left w:val="none" w:sz="0" w:space="0" w:color="auto"/>
                <w:bottom w:val="none" w:sz="0" w:space="0" w:color="auto"/>
                <w:right w:val="none" w:sz="0" w:space="0" w:color="auto"/>
              </w:divBdr>
            </w:div>
            <w:div w:id="404380677">
              <w:marLeft w:val="0"/>
              <w:marRight w:val="0"/>
              <w:marTop w:val="0"/>
              <w:marBottom w:val="0"/>
              <w:divBdr>
                <w:top w:val="none" w:sz="0" w:space="0" w:color="auto"/>
                <w:left w:val="none" w:sz="0" w:space="0" w:color="auto"/>
                <w:bottom w:val="none" w:sz="0" w:space="0" w:color="auto"/>
                <w:right w:val="none" w:sz="0" w:space="0" w:color="auto"/>
              </w:divBdr>
            </w:div>
            <w:div w:id="1236236218">
              <w:marLeft w:val="0"/>
              <w:marRight w:val="0"/>
              <w:marTop w:val="0"/>
              <w:marBottom w:val="0"/>
              <w:divBdr>
                <w:top w:val="none" w:sz="0" w:space="0" w:color="auto"/>
                <w:left w:val="none" w:sz="0" w:space="0" w:color="auto"/>
                <w:bottom w:val="none" w:sz="0" w:space="0" w:color="auto"/>
                <w:right w:val="none" w:sz="0" w:space="0" w:color="auto"/>
              </w:divBdr>
            </w:div>
            <w:div w:id="861623853">
              <w:marLeft w:val="0"/>
              <w:marRight w:val="0"/>
              <w:marTop w:val="0"/>
              <w:marBottom w:val="0"/>
              <w:divBdr>
                <w:top w:val="none" w:sz="0" w:space="0" w:color="auto"/>
                <w:left w:val="none" w:sz="0" w:space="0" w:color="auto"/>
                <w:bottom w:val="none" w:sz="0" w:space="0" w:color="auto"/>
                <w:right w:val="none" w:sz="0" w:space="0" w:color="auto"/>
              </w:divBdr>
            </w:div>
            <w:div w:id="262081432">
              <w:marLeft w:val="0"/>
              <w:marRight w:val="0"/>
              <w:marTop w:val="0"/>
              <w:marBottom w:val="0"/>
              <w:divBdr>
                <w:top w:val="none" w:sz="0" w:space="0" w:color="auto"/>
                <w:left w:val="none" w:sz="0" w:space="0" w:color="auto"/>
                <w:bottom w:val="none" w:sz="0" w:space="0" w:color="auto"/>
                <w:right w:val="none" w:sz="0" w:space="0" w:color="auto"/>
              </w:divBdr>
            </w:div>
            <w:div w:id="1512646927">
              <w:marLeft w:val="0"/>
              <w:marRight w:val="0"/>
              <w:marTop w:val="0"/>
              <w:marBottom w:val="0"/>
              <w:divBdr>
                <w:top w:val="none" w:sz="0" w:space="0" w:color="auto"/>
                <w:left w:val="none" w:sz="0" w:space="0" w:color="auto"/>
                <w:bottom w:val="none" w:sz="0" w:space="0" w:color="auto"/>
                <w:right w:val="none" w:sz="0" w:space="0" w:color="auto"/>
              </w:divBdr>
            </w:div>
            <w:div w:id="949320499">
              <w:marLeft w:val="0"/>
              <w:marRight w:val="0"/>
              <w:marTop w:val="0"/>
              <w:marBottom w:val="0"/>
              <w:divBdr>
                <w:top w:val="none" w:sz="0" w:space="0" w:color="auto"/>
                <w:left w:val="none" w:sz="0" w:space="0" w:color="auto"/>
                <w:bottom w:val="none" w:sz="0" w:space="0" w:color="auto"/>
                <w:right w:val="none" w:sz="0" w:space="0" w:color="auto"/>
              </w:divBdr>
            </w:div>
            <w:div w:id="1942106109">
              <w:marLeft w:val="0"/>
              <w:marRight w:val="0"/>
              <w:marTop w:val="0"/>
              <w:marBottom w:val="0"/>
              <w:divBdr>
                <w:top w:val="none" w:sz="0" w:space="0" w:color="auto"/>
                <w:left w:val="none" w:sz="0" w:space="0" w:color="auto"/>
                <w:bottom w:val="none" w:sz="0" w:space="0" w:color="auto"/>
                <w:right w:val="none" w:sz="0" w:space="0" w:color="auto"/>
              </w:divBdr>
            </w:div>
            <w:div w:id="493952333">
              <w:marLeft w:val="0"/>
              <w:marRight w:val="0"/>
              <w:marTop w:val="0"/>
              <w:marBottom w:val="0"/>
              <w:divBdr>
                <w:top w:val="none" w:sz="0" w:space="0" w:color="auto"/>
                <w:left w:val="none" w:sz="0" w:space="0" w:color="auto"/>
                <w:bottom w:val="none" w:sz="0" w:space="0" w:color="auto"/>
                <w:right w:val="none" w:sz="0" w:space="0" w:color="auto"/>
              </w:divBdr>
            </w:div>
            <w:div w:id="825245870">
              <w:marLeft w:val="0"/>
              <w:marRight w:val="0"/>
              <w:marTop w:val="0"/>
              <w:marBottom w:val="0"/>
              <w:divBdr>
                <w:top w:val="none" w:sz="0" w:space="0" w:color="auto"/>
                <w:left w:val="none" w:sz="0" w:space="0" w:color="auto"/>
                <w:bottom w:val="none" w:sz="0" w:space="0" w:color="auto"/>
                <w:right w:val="none" w:sz="0" w:space="0" w:color="auto"/>
              </w:divBdr>
            </w:div>
            <w:div w:id="1877738856">
              <w:marLeft w:val="0"/>
              <w:marRight w:val="0"/>
              <w:marTop w:val="0"/>
              <w:marBottom w:val="0"/>
              <w:divBdr>
                <w:top w:val="none" w:sz="0" w:space="0" w:color="auto"/>
                <w:left w:val="none" w:sz="0" w:space="0" w:color="auto"/>
                <w:bottom w:val="none" w:sz="0" w:space="0" w:color="auto"/>
                <w:right w:val="none" w:sz="0" w:space="0" w:color="auto"/>
              </w:divBdr>
            </w:div>
            <w:div w:id="1838686547">
              <w:marLeft w:val="0"/>
              <w:marRight w:val="0"/>
              <w:marTop w:val="0"/>
              <w:marBottom w:val="0"/>
              <w:divBdr>
                <w:top w:val="none" w:sz="0" w:space="0" w:color="auto"/>
                <w:left w:val="none" w:sz="0" w:space="0" w:color="auto"/>
                <w:bottom w:val="none" w:sz="0" w:space="0" w:color="auto"/>
                <w:right w:val="none" w:sz="0" w:space="0" w:color="auto"/>
              </w:divBdr>
            </w:div>
            <w:div w:id="2145077223">
              <w:marLeft w:val="0"/>
              <w:marRight w:val="0"/>
              <w:marTop w:val="0"/>
              <w:marBottom w:val="0"/>
              <w:divBdr>
                <w:top w:val="none" w:sz="0" w:space="0" w:color="auto"/>
                <w:left w:val="none" w:sz="0" w:space="0" w:color="auto"/>
                <w:bottom w:val="none" w:sz="0" w:space="0" w:color="auto"/>
                <w:right w:val="none" w:sz="0" w:space="0" w:color="auto"/>
              </w:divBdr>
            </w:div>
            <w:div w:id="409010871">
              <w:marLeft w:val="0"/>
              <w:marRight w:val="0"/>
              <w:marTop w:val="0"/>
              <w:marBottom w:val="0"/>
              <w:divBdr>
                <w:top w:val="none" w:sz="0" w:space="0" w:color="auto"/>
                <w:left w:val="none" w:sz="0" w:space="0" w:color="auto"/>
                <w:bottom w:val="none" w:sz="0" w:space="0" w:color="auto"/>
                <w:right w:val="none" w:sz="0" w:space="0" w:color="auto"/>
              </w:divBdr>
            </w:div>
            <w:div w:id="493570448">
              <w:marLeft w:val="0"/>
              <w:marRight w:val="0"/>
              <w:marTop w:val="0"/>
              <w:marBottom w:val="0"/>
              <w:divBdr>
                <w:top w:val="none" w:sz="0" w:space="0" w:color="auto"/>
                <w:left w:val="none" w:sz="0" w:space="0" w:color="auto"/>
                <w:bottom w:val="none" w:sz="0" w:space="0" w:color="auto"/>
                <w:right w:val="none" w:sz="0" w:space="0" w:color="auto"/>
              </w:divBdr>
            </w:div>
            <w:div w:id="1136528677">
              <w:marLeft w:val="0"/>
              <w:marRight w:val="0"/>
              <w:marTop w:val="0"/>
              <w:marBottom w:val="0"/>
              <w:divBdr>
                <w:top w:val="none" w:sz="0" w:space="0" w:color="auto"/>
                <w:left w:val="none" w:sz="0" w:space="0" w:color="auto"/>
                <w:bottom w:val="none" w:sz="0" w:space="0" w:color="auto"/>
                <w:right w:val="none" w:sz="0" w:space="0" w:color="auto"/>
              </w:divBdr>
            </w:div>
            <w:div w:id="1255478521">
              <w:marLeft w:val="0"/>
              <w:marRight w:val="0"/>
              <w:marTop w:val="0"/>
              <w:marBottom w:val="0"/>
              <w:divBdr>
                <w:top w:val="none" w:sz="0" w:space="0" w:color="auto"/>
                <w:left w:val="none" w:sz="0" w:space="0" w:color="auto"/>
                <w:bottom w:val="none" w:sz="0" w:space="0" w:color="auto"/>
                <w:right w:val="none" w:sz="0" w:space="0" w:color="auto"/>
              </w:divBdr>
            </w:div>
            <w:div w:id="650987293">
              <w:marLeft w:val="0"/>
              <w:marRight w:val="0"/>
              <w:marTop w:val="0"/>
              <w:marBottom w:val="0"/>
              <w:divBdr>
                <w:top w:val="none" w:sz="0" w:space="0" w:color="auto"/>
                <w:left w:val="none" w:sz="0" w:space="0" w:color="auto"/>
                <w:bottom w:val="none" w:sz="0" w:space="0" w:color="auto"/>
                <w:right w:val="none" w:sz="0" w:space="0" w:color="auto"/>
              </w:divBdr>
            </w:div>
            <w:div w:id="1236743956">
              <w:marLeft w:val="0"/>
              <w:marRight w:val="0"/>
              <w:marTop w:val="0"/>
              <w:marBottom w:val="0"/>
              <w:divBdr>
                <w:top w:val="none" w:sz="0" w:space="0" w:color="auto"/>
                <w:left w:val="none" w:sz="0" w:space="0" w:color="auto"/>
                <w:bottom w:val="none" w:sz="0" w:space="0" w:color="auto"/>
                <w:right w:val="none" w:sz="0" w:space="0" w:color="auto"/>
              </w:divBdr>
            </w:div>
            <w:div w:id="494687262">
              <w:marLeft w:val="0"/>
              <w:marRight w:val="0"/>
              <w:marTop w:val="0"/>
              <w:marBottom w:val="0"/>
              <w:divBdr>
                <w:top w:val="none" w:sz="0" w:space="0" w:color="auto"/>
                <w:left w:val="none" w:sz="0" w:space="0" w:color="auto"/>
                <w:bottom w:val="none" w:sz="0" w:space="0" w:color="auto"/>
                <w:right w:val="none" w:sz="0" w:space="0" w:color="auto"/>
              </w:divBdr>
            </w:div>
            <w:div w:id="480582734">
              <w:marLeft w:val="0"/>
              <w:marRight w:val="0"/>
              <w:marTop w:val="0"/>
              <w:marBottom w:val="0"/>
              <w:divBdr>
                <w:top w:val="none" w:sz="0" w:space="0" w:color="auto"/>
                <w:left w:val="none" w:sz="0" w:space="0" w:color="auto"/>
                <w:bottom w:val="none" w:sz="0" w:space="0" w:color="auto"/>
                <w:right w:val="none" w:sz="0" w:space="0" w:color="auto"/>
              </w:divBdr>
            </w:div>
            <w:div w:id="1514804319">
              <w:marLeft w:val="0"/>
              <w:marRight w:val="0"/>
              <w:marTop w:val="0"/>
              <w:marBottom w:val="0"/>
              <w:divBdr>
                <w:top w:val="none" w:sz="0" w:space="0" w:color="auto"/>
                <w:left w:val="none" w:sz="0" w:space="0" w:color="auto"/>
                <w:bottom w:val="none" w:sz="0" w:space="0" w:color="auto"/>
                <w:right w:val="none" w:sz="0" w:space="0" w:color="auto"/>
              </w:divBdr>
            </w:div>
            <w:div w:id="139228552">
              <w:marLeft w:val="0"/>
              <w:marRight w:val="0"/>
              <w:marTop w:val="0"/>
              <w:marBottom w:val="0"/>
              <w:divBdr>
                <w:top w:val="none" w:sz="0" w:space="0" w:color="auto"/>
                <w:left w:val="none" w:sz="0" w:space="0" w:color="auto"/>
                <w:bottom w:val="none" w:sz="0" w:space="0" w:color="auto"/>
                <w:right w:val="none" w:sz="0" w:space="0" w:color="auto"/>
              </w:divBdr>
            </w:div>
            <w:div w:id="232551102">
              <w:marLeft w:val="0"/>
              <w:marRight w:val="0"/>
              <w:marTop w:val="0"/>
              <w:marBottom w:val="0"/>
              <w:divBdr>
                <w:top w:val="none" w:sz="0" w:space="0" w:color="auto"/>
                <w:left w:val="none" w:sz="0" w:space="0" w:color="auto"/>
                <w:bottom w:val="none" w:sz="0" w:space="0" w:color="auto"/>
                <w:right w:val="none" w:sz="0" w:space="0" w:color="auto"/>
              </w:divBdr>
            </w:div>
            <w:div w:id="2140759740">
              <w:marLeft w:val="0"/>
              <w:marRight w:val="0"/>
              <w:marTop w:val="0"/>
              <w:marBottom w:val="0"/>
              <w:divBdr>
                <w:top w:val="none" w:sz="0" w:space="0" w:color="auto"/>
                <w:left w:val="none" w:sz="0" w:space="0" w:color="auto"/>
                <w:bottom w:val="none" w:sz="0" w:space="0" w:color="auto"/>
                <w:right w:val="none" w:sz="0" w:space="0" w:color="auto"/>
              </w:divBdr>
            </w:div>
            <w:div w:id="1394043474">
              <w:marLeft w:val="0"/>
              <w:marRight w:val="0"/>
              <w:marTop w:val="0"/>
              <w:marBottom w:val="0"/>
              <w:divBdr>
                <w:top w:val="none" w:sz="0" w:space="0" w:color="auto"/>
                <w:left w:val="none" w:sz="0" w:space="0" w:color="auto"/>
                <w:bottom w:val="none" w:sz="0" w:space="0" w:color="auto"/>
                <w:right w:val="none" w:sz="0" w:space="0" w:color="auto"/>
              </w:divBdr>
            </w:div>
            <w:div w:id="1926449791">
              <w:marLeft w:val="0"/>
              <w:marRight w:val="0"/>
              <w:marTop w:val="0"/>
              <w:marBottom w:val="0"/>
              <w:divBdr>
                <w:top w:val="none" w:sz="0" w:space="0" w:color="auto"/>
                <w:left w:val="none" w:sz="0" w:space="0" w:color="auto"/>
                <w:bottom w:val="none" w:sz="0" w:space="0" w:color="auto"/>
                <w:right w:val="none" w:sz="0" w:space="0" w:color="auto"/>
              </w:divBdr>
            </w:div>
            <w:div w:id="2082554054">
              <w:marLeft w:val="0"/>
              <w:marRight w:val="0"/>
              <w:marTop w:val="0"/>
              <w:marBottom w:val="0"/>
              <w:divBdr>
                <w:top w:val="none" w:sz="0" w:space="0" w:color="auto"/>
                <w:left w:val="none" w:sz="0" w:space="0" w:color="auto"/>
                <w:bottom w:val="none" w:sz="0" w:space="0" w:color="auto"/>
                <w:right w:val="none" w:sz="0" w:space="0" w:color="auto"/>
              </w:divBdr>
            </w:div>
            <w:div w:id="379865048">
              <w:marLeft w:val="0"/>
              <w:marRight w:val="0"/>
              <w:marTop w:val="0"/>
              <w:marBottom w:val="0"/>
              <w:divBdr>
                <w:top w:val="none" w:sz="0" w:space="0" w:color="auto"/>
                <w:left w:val="none" w:sz="0" w:space="0" w:color="auto"/>
                <w:bottom w:val="none" w:sz="0" w:space="0" w:color="auto"/>
                <w:right w:val="none" w:sz="0" w:space="0" w:color="auto"/>
              </w:divBdr>
            </w:div>
            <w:div w:id="1389722119">
              <w:marLeft w:val="0"/>
              <w:marRight w:val="0"/>
              <w:marTop w:val="0"/>
              <w:marBottom w:val="0"/>
              <w:divBdr>
                <w:top w:val="none" w:sz="0" w:space="0" w:color="auto"/>
                <w:left w:val="none" w:sz="0" w:space="0" w:color="auto"/>
                <w:bottom w:val="none" w:sz="0" w:space="0" w:color="auto"/>
                <w:right w:val="none" w:sz="0" w:space="0" w:color="auto"/>
              </w:divBdr>
            </w:div>
            <w:div w:id="500316286">
              <w:marLeft w:val="0"/>
              <w:marRight w:val="0"/>
              <w:marTop w:val="0"/>
              <w:marBottom w:val="0"/>
              <w:divBdr>
                <w:top w:val="none" w:sz="0" w:space="0" w:color="auto"/>
                <w:left w:val="none" w:sz="0" w:space="0" w:color="auto"/>
                <w:bottom w:val="none" w:sz="0" w:space="0" w:color="auto"/>
                <w:right w:val="none" w:sz="0" w:space="0" w:color="auto"/>
              </w:divBdr>
            </w:div>
            <w:div w:id="1079444177">
              <w:marLeft w:val="0"/>
              <w:marRight w:val="0"/>
              <w:marTop w:val="0"/>
              <w:marBottom w:val="0"/>
              <w:divBdr>
                <w:top w:val="none" w:sz="0" w:space="0" w:color="auto"/>
                <w:left w:val="none" w:sz="0" w:space="0" w:color="auto"/>
                <w:bottom w:val="none" w:sz="0" w:space="0" w:color="auto"/>
                <w:right w:val="none" w:sz="0" w:space="0" w:color="auto"/>
              </w:divBdr>
            </w:div>
            <w:div w:id="332413365">
              <w:marLeft w:val="0"/>
              <w:marRight w:val="0"/>
              <w:marTop w:val="0"/>
              <w:marBottom w:val="0"/>
              <w:divBdr>
                <w:top w:val="none" w:sz="0" w:space="0" w:color="auto"/>
                <w:left w:val="none" w:sz="0" w:space="0" w:color="auto"/>
                <w:bottom w:val="none" w:sz="0" w:space="0" w:color="auto"/>
                <w:right w:val="none" w:sz="0" w:space="0" w:color="auto"/>
              </w:divBdr>
            </w:div>
            <w:div w:id="1667710475">
              <w:marLeft w:val="0"/>
              <w:marRight w:val="0"/>
              <w:marTop w:val="0"/>
              <w:marBottom w:val="0"/>
              <w:divBdr>
                <w:top w:val="none" w:sz="0" w:space="0" w:color="auto"/>
                <w:left w:val="none" w:sz="0" w:space="0" w:color="auto"/>
                <w:bottom w:val="none" w:sz="0" w:space="0" w:color="auto"/>
                <w:right w:val="none" w:sz="0" w:space="0" w:color="auto"/>
              </w:divBdr>
            </w:div>
            <w:div w:id="1303077237">
              <w:marLeft w:val="0"/>
              <w:marRight w:val="0"/>
              <w:marTop w:val="0"/>
              <w:marBottom w:val="0"/>
              <w:divBdr>
                <w:top w:val="none" w:sz="0" w:space="0" w:color="auto"/>
                <w:left w:val="none" w:sz="0" w:space="0" w:color="auto"/>
                <w:bottom w:val="none" w:sz="0" w:space="0" w:color="auto"/>
                <w:right w:val="none" w:sz="0" w:space="0" w:color="auto"/>
              </w:divBdr>
            </w:div>
            <w:div w:id="1628438794">
              <w:marLeft w:val="0"/>
              <w:marRight w:val="0"/>
              <w:marTop w:val="0"/>
              <w:marBottom w:val="0"/>
              <w:divBdr>
                <w:top w:val="none" w:sz="0" w:space="0" w:color="auto"/>
                <w:left w:val="none" w:sz="0" w:space="0" w:color="auto"/>
                <w:bottom w:val="none" w:sz="0" w:space="0" w:color="auto"/>
                <w:right w:val="none" w:sz="0" w:space="0" w:color="auto"/>
              </w:divBdr>
            </w:div>
            <w:div w:id="1982954384">
              <w:marLeft w:val="0"/>
              <w:marRight w:val="0"/>
              <w:marTop w:val="0"/>
              <w:marBottom w:val="0"/>
              <w:divBdr>
                <w:top w:val="none" w:sz="0" w:space="0" w:color="auto"/>
                <w:left w:val="none" w:sz="0" w:space="0" w:color="auto"/>
                <w:bottom w:val="none" w:sz="0" w:space="0" w:color="auto"/>
                <w:right w:val="none" w:sz="0" w:space="0" w:color="auto"/>
              </w:divBdr>
            </w:div>
            <w:div w:id="1918637428">
              <w:marLeft w:val="0"/>
              <w:marRight w:val="0"/>
              <w:marTop w:val="0"/>
              <w:marBottom w:val="0"/>
              <w:divBdr>
                <w:top w:val="none" w:sz="0" w:space="0" w:color="auto"/>
                <w:left w:val="none" w:sz="0" w:space="0" w:color="auto"/>
                <w:bottom w:val="none" w:sz="0" w:space="0" w:color="auto"/>
                <w:right w:val="none" w:sz="0" w:space="0" w:color="auto"/>
              </w:divBdr>
            </w:div>
            <w:div w:id="538474713">
              <w:marLeft w:val="0"/>
              <w:marRight w:val="0"/>
              <w:marTop w:val="0"/>
              <w:marBottom w:val="0"/>
              <w:divBdr>
                <w:top w:val="none" w:sz="0" w:space="0" w:color="auto"/>
                <w:left w:val="none" w:sz="0" w:space="0" w:color="auto"/>
                <w:bottom w:val="none" w:sz="0" w:space="0" w:color="auto"/>
                <w:right w:val="none" w:sz="0" w:space="0" w:color="auto"/>
              </w:divBdr>
            </w:div>
            <w:div w:id="1185249714">
              <w:marLeft w:val="0"/>
              <w:marRight w:val="0"/>
              <w:marTop w:val="0"/>
              <w:marBottom w:val="0"/>
              <w:divBdr>
                <w:top w:val="none" w:sz="0" w:space="0" w:color="auto"/>
                <w:left w:val="none" w:sz="0" w:space="0" w:color="auto"/>
                <w:bottom w:val="none" w:sz="0" w:space="0" w:color="auto"/>
                <w:right w:val="none" w:sz="0" w:space="0" w:color="auto"/>
              </w:divBdr>
            </w:div>
            <w:div w:id="1253901610">
              <w:marLeft w:val="0"/>
              <w:marRight w:val="0"/>
              <w:marTop w:val="0"/>
              <w:marBottom w:val="0"/>
              <w:divBdr>
                <w:top w:val="none" w:sz="0" w:space="0" w:color="auto"/>
                <w:left w:val="none" w:sz="0" w:space="0" w:color="auto"/>
                <w:bottom w:val="none" w:sz="0" w:space="0" w:color="auto"/>
                <w:right w:val="none" w:sz="0" w:space="0" w:color="auto"/>
              </w:divBdr>
            </w:div>
            <w:div w:id="773356861">
              <w:marLeft w:val="0"/>
              <w:marRight w:val="0"/>
              <w:marTop w:val="0"/>
              <w:marBottom w:val="0"/>
              <w:divBdr>
                <w:top w:val="none" w:sz="0" w:space="0" w:color="auto"/>
                <w:left w:val="none" w:sz="0" w:space="0" w:color="auto"/>
                <w:bottom w:val="none" w:sz="0" w:space="0" w:color="auto"/>
                <w:right w:val="none" w:sz="0" w:space="0" w:color="auto"/>
              </w:divBdr>
            </w:div>
            <w:div w:id="664866301">
              <w:marLeft w:val="0"/>
              <w:marRight w:val="0"/>
              <w:marTop w:val="0"/>
              <w:marBottom w:val="0"/>
              <w:divBdr>
                <w:top w:val="none" w:sz="0" w:space="0" w:color="auto"/>
                <w:left w:val="none" w:sz="0" w:space="0" w:color="auto"/>
                <w:bottom w:val="none" w:sz="0" w:space="0" w:color="auto"/>
                <w:right w:val="none" w:sz="0" w:space="0" w:color="auto"/>
              </w:divBdr>
            </w:div>
            <w:div w:id="644621703">
              <w:marLeft w:val="0"/>
              <w:marRight w:val="0"/>
              <w:marTop w:val="0"/>
              <w:marBottom w:val="0"/>
              <w:divBdr>
                <w:top w:val="none" w:sz="0" w:space="0" w:color="auto"/>
                <w:left w:val="none" w:sz="0" w:space="0" w:color="auto"/>
                <w:bottom w:val="none" w:sz="0" w:space="0" w:color="auto"/>
                <w:right w:val="none" w:sz="0" w:space="0" w:color="auto"/>
              </w:divBdr>
            </w:div>
            <w:div w:id="1186209652">
              <w:marLeft w:val="0"/>
              <w:marRight w:val="0"/>
              <w:marTop w:val="0"/>
              <w:marBottom w:val="0"/>
              <w:divBdr>
                <w:top w:val="none" w:sz="0" w:space="0" w:color="auto"/>
                <w:left w:val="none" w:sz="0" w:space="0" w:color="auto"/>
                <w:bottom w:val="none" w:sz="0" w:space="0" w:color="auto"/>
                <w:right w:val="none" w:sz="0" w:space="0" w:color="auto"/>
              </w:divBdr>
            </w:div>
            <w:div w:id="936716447">
              <w:marLeft w:val="0"/>
              <w:marRight w:val="0"/>
              <w:marTop w:val="0"/>
              <w:marBottom w:val="0"/>
              <w:divBdr>
                <w:top w:val="none" w:sz="0" w:space="0" w:color="auto"/>
                <w:left w:val="none" w:sz="0" w:space="0" w:color="auto"/>
                <w:bottom w:val="none" w:sz="0" w:space="0" w:color="auto"/>
                <w:right w:val="none" w:sz="0" w:space="0" w:color="auto"/>
              </w:divBdr>
            </w:div>
            <w:div w:id="2060588573">
              <w:marLeft w:val="0"/>
              <w:marRight w:val="0"/>
              <w:marTop w:val="0"/>
              <w:marBottom w:val="0"/>
              <w:divBdr>
                <w:top w:val="none" w:sz="0" w:space="0" w:color="auto"/>
                <w:left w:val="none" w:sz="0" w:space="0" w:color="auto"/>
                <w:bottom w:val="none" w:sz="0" w:space="0" w:color="auto"/>
                <w:right w:val="none" w:sz="0" w:space="0" w:color="auto"/>
              </w:divBdr>
            </w:div>
            <w:div w:id="1855610209">
              <w:marLeft w:val="0"/>
              <w:marRight w:val="0"/>
              <w:marTop w:val="0"/>
              <w:marBottom w:val="0"/>
              <w:divBdr>
                <w:top w:val="none" w:sz="0" w:space="0" w:color="auto"/>
                <w:left w:val="none" w:sz="0" w:space="0" w:color="auto"/>
                <w:bottom w:val="none" w:sz="0" w:space="0" w:color="auto"/>
                <w:right w:val="none" w:sz="0" w:space="0" w:color="auto"/>
              </w:divBdr>
            </w:div>
            <w:div w:id="1663973141">
              <w:marLeft w:val="0"/>
              <w:marRight w:val="0"/>
              <w:marTop w:val="0"/>
              <w:marBottom w:val="0"/>
              <w:divBdr>
                <w:top w:val="none" w:sz="0" w:space="0" w:color="auto"/>
                <w:left w:val="none" w:sz="0" w:space="0" w:color="auto"/>
                <w:bottom w:val="none" w:sz="0" w:space="0" w:color="auto"/>
                <w:right w:val="none" w:sz="0" w:space="0" w:color="auto"/>
              </w:divBdr>
            </w:div>
            <w:div w:id="1062294706">
              <w:marLeft w:val="0"/>
              <w:marRight w:val="0"/>
              <w:marTop w:val="0"/>
              <w:marBottom w:val="0"/>
              <w:divBdr>
                <w:top w:val="none" w:sz="0" w:space="0" w:color="auto"/>
                <w:left w:val="none" w:sz="0" w:space="0" w:color="auto"/>
                <w:bottom w:val="none" w:sz="0" w:space="0" w:color="auto"/>
                <w:right w:val="none" w:sz="0" w:space="0" w:color="auto"/>
              </w:divBdr>
            </w:div>
            <w:div w:id="1692949933">
              <w:marLeft w:val="0"/>
              <w:marRight w:val="0"/>
              <w:marTop w:val="0"/>
              <w:marBottom w:val="0"/>
              <w:divBdr>
                <w:top w:val="none" w:sz="0" w:space="0" w:color="auto"/>
                <w:left w:val="none" w:sz="0" w:space="0" w:color="auto"/>
                <w:bottom w:val="none" w:sz="0" w:space="0" w:color="auto"/>
                <w:right w:val="none" w:sz="0" w:space="0" w:color="auto"/>
              </w:divBdr>
            </w:div>
            <w:div w:id="1205364058">
              <w:marLeft w:val="0"/>
              <w:marRight w:val="0"/>
              <w:marTop w:val="0"/>
              <w:marBottom w:val="0"/>
              <w:divBdr>
                <w:top w:val="none" w:sz="0" w:space="0" w:color="auto"/>
                <w:left w:val="none" w:sz="0" w:space="0" w:color="auto"/>
                <w:bottom w:val="none" w:sz="0" w:space="0" w:color="auto"/>
                <w:right w:val="none" w:sz="0" w:space="0" w:color="auto"/>
              </w:divBdr>
            </w:div>
            <w:div w:id="1698433959">
              <w:marLeft w:val="0"/>
              <w:marRight w:val="0"/>
              <w:marTop w:val="0"/>
              <w:marBottom w:val="0"/>
              <w:divBdr>
                <w:top w:val="none" w:sz="0" w:space="0" w:color="auto"/>
                <w:left w:val="none" w:sz="0" w:space="0" w:color="auto"/>
                <w:bottom w:val="none" w:sz="0" w:space="0" w:color="auto"/>
                <w:right w:val="none" w:sz="0" w:space="0" w:color="auto"/>
              </w:divBdr>
            </w:div>
            <w:div w:id="206840374">
              <w:marLeft w:val="0"/>
              <w:marRight w:val="0"/>
              <w:marTop w:val="0"/>
              <w:marBottom w:val="0"/>
              <w:divBdr>
                <w:top w:val="none" w:sz="0" w:space="0" w:color="auto"/>
                <w:left w:val="none" w:sz="0" w:space="0" w:color="auto"/>
                <w:bottom w:val="none" w:sz="0" w:space="0" w:color="auto"/>
                <w:right w:val="none" w:sz="0" w:space="0" w:color="auto"/>
              </w:divBdr>
            </w:div>
            <w:div w:id="2121603378">
              <w:marLeft w:val="0"/>
              <w:marRight w:val="0"/>
              <w:marTop w:val="0"/>
              <w:marBottom w:val="0"/>
              <w:divBdr>
                <w:top w:val="none" w:sz="0" w:space="0" w:color="auto"/>
                <w:left w:val="none" w:sz="0" w:space="0" w:color="auto"/>
                <w:bottom w:val="none" w:sz="0" w:space="0" w:color="auto"/>
                <w:right w:val="none" w:sz="0" w:space="0" w:color="auto"/>
              </w:divBdr>
            </w:div>
            <w:div w:id="543949331">
              <w:marLeft w:val="0"/>
              <w:marRight w:val="0"/>
              <w:marTop w:val="0"/>
              <w:marBottom w:val="0"/>
              <w:divBdr>
                <w:top w:val="none" w:sz="0" w:space="0" w:color="auto"/>
                <w:left w:val="none" w:sz="0" w:space="0" w:color="auto"/>
                <w:bottom w:val="none" w:sz="0" w:space="0" w:color="auto"/>
                <w:right w:val="none" w:sz="0" w:space="0" w:color="auto"/>
              </w:divBdr>
            </w:div>
            <w:div w:id="469857891">
              <w:marLeft w:val="0"/>
              <w:marRight w:val="0"/>
              <w:marTop w:val="0"/>
              <w:marBottom w:val="0"/>
              <w:divBdr>
                <w:top w:val="none" w:sz="0" w:space="0" w:color="auto"/>
                <w:left w:val="none" w:sz="0" w:space="0" w:color="auto"/>
                <w:bottom w:val="none" w:sz="0" w:space="0" w:color="auto"/>
                <w:right w:val="none" w:sz="0" w:space="0" w:color="auto"/>
              </w:divBdr>
            </w:div>
            <w:div w:id="1587958222">
              <w:marLeft w:val="0"/>
              <w:marRight w:val="0"/>
              <w:marTop w:val="0"/>
              <w:marBottom w:val="0"/>
              <w:divBdr>
                <w:top w:val="none" w:sz="0" w:space="0" w:color="auto"/>
                <w:left w:val="none" w:sz="0" w:space="0" w:color="auto"/>
                <w:bottom w:val="none" w:sz="0" w:space="0" w:color="auto"/>
                <w:right w:val="none" w:sz="0" w:space="0" w:color="auto"/>
              </w:divBdr>
            </w:div>
            <w:div w:id="2128545314">
              <w:marLeft w:val="0"/>
              <w:marRight w:val="0"/>
              <w:marTop w:val="0"/>
              <w:marBottom w:val="0"/>
              <w:divBdr>
                <w:top w:val="none" w:sz="0" w:space="0" w:color="auto"/>
                <w:left w:val="none" w:sz="0" w:space="0" w:color="auto"/>
                <w:bottom w:val="none" w:sz="0" w:space="0" w:color="auto"/>
                <w:right w:val="none" w:sz="0" w:space="0" w:color="auto"/>
              </w:divBdr>
            </w:div>
            <w:div w:id="1321348101">
              <w:marLeft w:val="0"/>
              <w:marRight w:val="0"/>
              <w:marTop w:val="0"/>
              <w:marBottom w:val="0"/>
              <w:divBdr>
                <w:top w:val="none" w:sz="0" w:space="0" w:color="auto"/>
                <w:left w:val="none" w:sz="0" w:space="0" w:color="auto"/>
                <w:bottom w:val="none" w:sz="0" w:space="0" w:color="auto"/>
                <w:right w:val="none" w:sz="0" w:space="0" w:color="auto"/>
              </w:divBdr>
            </w:div>
            <w:div w:id="1275090456">
              <w:marLeft w:val="0"/>
              <w:marRight w:val="0"/>
              <w:marTop w:val="0"/>
              <w:marBottom w:val="0"/>
              <w:divBdr>
                <w:top w:val="none" w:sz="0" w:space="0" w:color="auto"/>
                <w:left w:val="none" w:sz="0" w:space="0" w:color="auto"/>
                <w:bottom w:val="none" w:sz="0" w:space="0" w:color="auto"/>
                <w:right w:val="none" w:sz="0" w:space="0" w:color="auto"/>
              </w:divBdr>
            </w:div>
            <w:div w:id="41293614">
              <w:marLeft w:val="0"/>
              <w:marRight w:val="0"/>
              <w:marTop w:val="0"/>
              <w:marBottom w:val="0"/>
              <w:divBdr>
                <w:top w:val="none" w:sz="0" w:space="0" w:color="auto"/>
                <w:left w:val="none" w:sz="0" w:space="0" w:color="auto"/>
                <w:bottom w:val="none" w:sz="0" w:space="0" w:color="auto"/>
                <w:right w:val="none" w:sz="0" w:space="0" w:color="auto"/>
              </w:divBdr>
            </w:div>
            <w:div w:id="1405758124">
              <w:marLeft w:val="0"/>
              <w:marRight w:val="0"/>
              <w:marTop w:val="0"/>
              <w:marBottom w:val="0"/>
              <w:divBdr>
                <w:top w:val="none" w:sz="0" w:space="0" w:color="auto"/>
                <w:left w:val="none" w:sz="0" w:space="0" w:color="auto"/>
                <w:bottom w:val="none" w:sz="0" w:space="0" w:color="auto"/>
                <w:right w:val="none" w:sz="0" w:space="0" w:color="auto"/>
              </w:divBdr>
            </w:div>
            <w:div w:id="608391531">
              <w:marLeft w:val="0"/>
              <w:marRight w:val="0"/>
              <w:marTop w:val="0"/>
              <w:marBottom w:val="0"/>
              <w:divBdr>
                <w:top w:val="none" w:sz="0" w:space="0" w:color="auto"/>
                <w:left w:val="none" w:sz="0" w:space="0" w:color="auto"/>
                <w:bottom w:val="none" w:sz="0" w:space="0" w:color="auto"/>
                <w:right w:val="none" w:sz="0" w:space="0" w:color="auto"/>
              </w:divBdr>
            </w:div>
            <w:div w:id="523129118">
              <w:marLeft w:val="0"/>
              <w:marRight w:val="0"/>
              <w:marTop w:val="0"/>
              <w:marBottom w:val="0"/>
              <w:divBdr>
                <w:top w:val="none" w:sz="0" w:space="0" w:color="auto"/>
                <w:left w:val="none" w:sz="0" w:space="0" w:color="auto"/>
                <w:bottom w:val="none" w:sz="0" w:space="0" w:color="auto"/>
                <w:right w:val="none" w:sz="0" w:space="0" w:color="auto"/>
              </w:divBdr>
            </w:div>
            <w:div w:id="2076782427">
              <w:marLeft w:val="0"/>
              <w:marRight w:val="0"/>
              <w:marTop w:val="0"/>
              <w:marBottom w:val="0"/>
              <w:divBdr>
                <w:top w:val="none" w:sz="0" w:space="0" w:color="auto"/>
                <w:left w:val="none" w:sz="0" w:space="0" w:color="auto"/>
                <w:bottom w:val="none" w:sz="0" w:space="0" w:color="auto"/>
                <w:right w:val="none" w:sz="0" w:space="0" w:color="auto"/>
              </w:divBdr>
            </w:div>
            <w:div w:id="1180774279">
              <w:marLeft w:val="0"/>
              <w:marRight w:val="0"/>
              <w:marTop w:val="0"/>
              <w:marBottom w:val="0"/>
              <w:divBdr>
                <w:top w:val="none" w:sz="0" w:space="0" w:color="auto"/>
                <w:left w:val="none" w:sz="0" w:space="0" w:color="auto"/>
                <w:bottom w:val="none" w:sz="0" w:space="0" w:color="auto"/>
                <w:right w:val="none" w:sz="0" w:space="0" w:color="auto"/>
              </w:divBdr>
            </w:div>
            <w:div w:id="1509977433">
              <w:marLeft w:val="0"/>
              <w:marRight w:val="0"/>
              <w:marTop w:val="0"/>
              <w:marBottom w:val="0"/>
              <w:divBdr>
                <w:top w:val="none" w:sz="0" w:space="0" w:color="auto"/>
                <w:left w:val="none" w:sz="0" w:space="0" w:color="auto"/>
                <w:bottom w:val="none" w:sz="0" w:space="0" w:color="auto"/>
                <w:right w:val="none" w:sz="0" w:space="0" w:color="auto"/>
              </w:divBdr>
            </w:div>
            <w:div w:id="274404709">
              <w:marLeft w:val="0"/>
              <w:marRight w:val="0"/>
              <w:marTop w:val="0"/>
              <w:marBottom w:val="0"/>
              <w:divBdr>
                <w:top w:val="none" w:sz="0" w:space="0" w:color="auto"/>
                <w:left w:val="none" w:sz="0" w:space="0" w:color="auto"/>
                <w:bottom w:val="none" w:sz="0" w:space="0" w:color="auto"/>
                <w:right w:val="none" w:sz="0" w:space="0" w:color="auto"/>
              </w:divBdr>
            </w:div>
            <w:div w:id="1421217461">
              <w:marLeft w:val="0"/>
              <w:marRight w:val="0"/>
              <w:marTop w:val="0"/>
              <w:marBottom w:val="0"/>
              <w:divBdr>
                <w:top w:val="none" w:sz="0" w:space="0" w:color="auto"/>
                <w:left w:val="none" w:sz="0" w:space="0" w:color="auto"/>
                <w:bottom w:val="none" w:sz="0" w:space="0" w:color="auto"/>
                <w:right w:val="none" w:sz="0" w:space="0" w:color="auto"/>
              </w:divBdr>
            </w:div>
            <w:div w:id="1178688975">
              <w:marLeft w:val="0"/>
              <w:marRight w:val="0"/>
              <w:marTop w:val="0"/>
              <w:marBottom w:val="0"/>
              <w:divBdr>
                <w:top w:val="none" w:sz="0" w:space="0" w:color="auto"/>
                <w:left w:val="none" w:sz="0" w:space="0" w:color="auto"/>
                <w:bottom w:val="none" w:sz="0" w:space="0" w:color="auto"/>
                <w:right w:val="none" w:sz="0" w:space="0" w:color="auto"/>
              </w:divBdr>
            </w:div>
            <w:div w:id="1675641691">
              <w:marLeft w:val="0"/>
              <w:marRight w:val="0"/>
              <w:marTop w:val="0"/>
              <w:marBottom w:val="0"/>
              <w:divBdr>
                <w:top w:val="none" w:sz="0" w:space="0" w:color="auto"/>
                <w:left w:val="none" w:sz="0" w:space="0" w:color="auto"/>
                <w:bottom w:val="none" w:sz="0" w:space="0" w:color="auto"/>
                <w:right w:val="none" w:sz="0" w:space="0" w:color="auto"/>
              </w:divBdr>
            </w:div>
            <w:div w:id="528421059">
              <w:marLeft w:val="0"/>
              <w:marRight w:val="0"/>
              <w:marTop w:val="0"/>
              <w:marBottom w:val="0"/>
              <w:divBdr>
                <w:top w:val="none" w:sz="0" w:space="0" w:color="auto"/>
                <w:left w:val="none" w:sz="0" w:space="0" w:color="auto"/>
                <w:bottom w:val="none" w:sz="0" w:space="0" w:color="auto"/>
                <w:right w:val="none" w:sz="0" w:space="0" w:color="auto"/>
              </w:divBdr>
            </w:div>
            <w:div w:id="55709006">
              <w:marLeft w:val="0"/>
              <w:marRight w:val="0"/>
              <w:marTop w:val="0"/>
              <w:marBottom w:val="0"/>
              <w:divBdr>
                <w:top w:val="none" w:sz="0" w:space="0" w:color="auto"/>
                <w:left w:val="none" w:sz="0" w:space="0" w:color="auto"/>
                <w:bottom w:val="none" w:sz="0" w:space="0" w:color="auto"/>
                <w:right w:val="none" w:sz="0" w:space="0" w:color="auto"/>
              </w:divBdr>
            </w:div>
            <w:div w:id="2092970273">
              <w:marLeft w:val="0"/>
              <w:marRight w:val="0"/>
              <w:marTop w:val="0"/>
              <w:marBottom w:val="0"/>
              <w:divBdr>
                <w:top w:val="none" w:sz="0" w:space="0" w:color="auto"/>
                <w:left w:val="none" w:sz="0" w:space="0" w:color="auto"/>
                <w:bottom w:val="none" w:sz="0" w:space="0" w:color="auto"/>
                <w:right w:val="none" w:sz="0" w:space="0" w:color="auto"/>
              </w:divBdr>
            </w:div>
            <w:div w:id="1719284464">
              <w:marLeft w:val="0"/>
              <w:marRight w:val="0"/>
              <w:marTop w:val="0"/>
              <w:marBottom w:val="0"/>
              <w:divBdr>
                <w:top w:val="none" w:sz="0" w:space="0" w:color="auto"/>
                <w:left w:val="none" w:sz="0" w:space="0" w:color="auto"/>
                <w:bottom w:val="none" w:sz="0" w:space="0" w:color="auto"/>
                <w:right w:val="none" w:sz="0" w:space="0" w:color="auto"/>
              </w:divBdr>
            </w:div>
            <w:div w:id="749273535">
              <w:marLeft w:val="0"/>
              <w:marRight w:val="0"/>
              <w:marTop w:val="0"/>
              <w:marBottom w:val="0"/>
              <w:divBdr>
                <w:top w:val="none" w:sz="0" w:space="0" w:color="auto"/>
                <w:left w:val="none" w:sz="0" w:space="0" w:color="auto"/>
                <w:bottom w:val="none" w:sz="0" w:space="0" w:color="auto"/>
                <w:right w:val="none" w:sz="0" w:space="0" w:color="auto"/>
              </w:divBdr>
            </w:div>
            <w:div w:id="1951086106">
              <w:marLeft w:val="0"/>
              <w:marRight w:val="0"/>
              <w:marTop w:val="0"/>
              <w:marBottom w:val="0"/>
              <w:divBdr>
                <w:top w:val="none" w:sz="0" w:space="0" w:color="auto"/>
                <w:left w:val="none" w:sz="0" w:space="0" w:color="auto"/>
                <w:bottom w:val="none" w:sz="0" w:space="0" w:color="auto"/>
                <w:right w:val="none" w:sz="0" w:space="0" w:color="auto"/>
              </w:divBdr>
            </w:div>
            <w:div w:id="377820935">
              <w:marLeft w:val="0"/>
              <w:marRight w:val="0"/>
              <w:marTop w:val="0"/>
              <w:marBottom w:val="0"/>
              <w:divBdr>
                <w:top w:val="none" w:sz="0" w:space="0" w:color="auto"/>
                <w:left w:val="none" w:sz="0" w:space="0" w:color="auto"/>
                <w:bottom w:val="none" w:sz="0" w:space="0" w:color="auto"/>
                <w:right w:val="none" w:sz="0" w:space="0" w:color="auto"/>
              </w:divBdr>
            </w:div>
            <w:div w:id="1959723353">
              <w:marLeft w:val="0"/>
              <w:marRight w:val="0"/>
              <w:marTop w:val="0"/>
              <w:marBottom w:val="0"/>
              <w:divBdr>
                <w:top w:val="none" w:sz="0" w:space="0" w:color="auto"/>
                <w:left w:val="none" w:sz="0" w:space="0" w:color="auto"/>
                <w:bottom w:val="none" w:sz="0" w:space="0" w:color="auto"/>
                <w:right w:val="none" w:sz="0" w:space="0" w:color="auto"/>
              </w:divBdr>
            </w:div>
            <w:div w:id="1251621836">
              <w:marLeft w:val="0"/>
              <w:marRight w:val="0"/>
              <w:marTop w:val="0"/>
              <w:marBottom w:val="0"/>
              <w:divBdr>
                <w:top w:val="none" w:sz="0" w:space="0" w:color="auto"/>
                <w:left w:val="none" w:sz="0" w:space="0" w:color="auto"/>
                <w:bottom w:val="none" w:sz="0" w:space="0" w:color="auto"/>
                <w:right w:val="none" w:sz="0" w:space="0" w:color="auto"/>
              </w:divBdr>
            </w:div>
            <w:div w:id="440691040">
              <w:marLeft w:val="0"/>
              <w:marRight w:val="0"/>
              <w:marTop w:val="0"/>
              <w:marBottom w:val="0"/>
              <w:divBdr>
                <w:top w:val="none" w:sz="0" w:space="0" w:color="auto"/>
                <w:left w:val="none" w:sz="0" w:space="0" w:color="auto"/>
                <w:bottom w:val="none" w:sz="0" w:space="0" w:color="auto"/>
                <w:right w:val="none" w:sz="0" w:space="0" w:color="auto"/>
              </w:divBdr>
            </w:div>
            <w:div w:id="510683982">
              <w:marLeft w:val="0"/>
              <w:marRight w:val="0"/>
              <w:marTop w:val="0"/>
              <w:marBottom w:val="0"/>
              <w:divBdr>
                <w:top w:val="none" w:sz="0" w:space="0" w:color="auto"/>
                <w:left w:val="none" w:sz="0" w:space="0" w:color="auto"/>
                <w:bottom w:val="none" w:sz="0" w:space="0" w:color="auto"/>
                <w:right w:val="none" w:sz="0" w:space="0" w:color="auto"/>
              </w:divBdr>
            </w:div>
            <w:div w:id="805242509">
              <w:marLeft w:val="0"/>
              <w:marRight w:val="0"/>
              <w:marTop w:val="0"/>
              <w:marBottom w:val="0"/>
              <w:divBdr>
                <w:top w:val="none" w:sz="0" w:space="0" w:color="auto"/>
                <w:left w:val="none" w:sz="0" w:space="0" w:color="auto"/>
                <w:bottom w:val="none" w:sz="0" w:space="0" w:color="auto"/>
                <w:right w:val="none" w:sz="0" w:space="0" w:color="auto"/>
              </w:divBdr>
            </w:div>
            <w:div w:id="1258902655">
              <w:marLeft w:val="0"/>
              <w:marRight w:val="0"/>
              <w:marTop w:val="0"/>
              <w:marBottom w:val="0"/>
              <w:divBdr>
                <w:top w:val="none" w:sz="0" w:space="0" w:color="auto"/>
                <w:left w:val="none" w:sz="0" w:space="0" w:color="auto"/>
                <w:bottom w:val="none" w:sz="0" w:space="0" w:color="auto"/>
                <w:right w:val="none" w:sz="0" w:space="0" w:color="auto"/>
              </w:divBdr>
            </w:div>
            <w:div w:id="676617566">
              <w:marLeft w:val="0"/>
              <w:marRight w:val="0"/>
              <w:marTop w:val="0"/>
              <w:marBottom w:val="0"/>
              <w:divBdr>
                <w:top w:val="none" w:sz="0" w:space="0" w:color="auto"/>
                <w:left w:val="none" w:sz="0" w:space="0" w:color="auto"/>
                <w:bottom w:val="none" w:sz="0" w:space="0" w:color="auto"/>
                <w:right w:val="none" w:sz="0" w:space="0" w:color="auto"/>
              </w:divBdr>
            </w:div>
            <w:div w:id="1977099071">
              <w:marLeft w:val="0"/>
              <w:marRight w:val="0"/>
              <w:marTop w:val="0"/>
              <w:marBottom w:val="0"/>
              <w:divBdr>
                <w:top w:val="none" w:sz="0" w:space="0" w:color="auto"/>
                <w:left w:val="none" w:sz="0" w:space="0" w:color="auto"/>
                <w:bottom w:val="none" w:sz="0" w:space="0" w:color="auto"/>
                <w:right w:val="none" w:sz="0" w:space="0" w:color="auto"/>
              </w:divBdr>
            </w:div>
            <w:div w:id="1052390262">
              <w:marLeft w:val="0"/>
              <w:marRight w:val="0"/>
              <w:marTop w:val="0"/>
              <w:marBottom w:val="0"/>
              <w:divBdr>
                <w:top w:val="none" w:sz="0" w:space="0" w:color="auto"/>
                <w:left w:val="none" w:sz="0" w:space="0" w:color="auto"/>
                <w:bottom w:val="none" w:sz="0" w:space="0" w:color="auto"/>
                <w:right w:val="none" w:sz="0" w:space="0" w:color="auto"/>
              </w:divBdr>
            </w:div>
            <w:div w:id="1485242520">
              <w:marLeft w:val="0"/>
              <w:marRight w:val="0"/>
              <w:marTop w:val="0"/>
              <w:marBottom w:val="0"/>
              <w:divBdr>
                <w:top w:val="none" w:sz="0" w:space="0" w:color="auto"/>
                <w:left w:val="none" w:sz="0" w:space="0" w:color="auto"/>
                <w:bottom w:val="none" w:sz="0" w:space="0" w:color="auto"/>
                <w:right w:val="none" w:sz="0" w:space="0" w:color="auto"/>
              </w:divBdr>
            </w:div>
            <w:div w:id="1070735696">
              <w:marLeft w:val="0"/>
              <w:marRight w:val="0"/>
              <w:marTop w:val="0"/>
              <w:marBottom w:val="0"/>
              <w:divBdr>
                <w:top w:val="none" w:sz="0" w:space="0" w:color="auto"/>
                <w:left w:val="none" w:sz="0" w:space="0" w:color="auto"/>
                <w:bottom w:val="none" w:sz="0" w:space="0" w:color="auto"/>
                <w:right w:val="none" w:sz="0" w:space="0" w:color="auto"/>
              </w:divBdr>
            </w:div>
            <w:div w:id="342780398">
              <w:marLeft w:val="0"/>
              <w:marRight w:val="0"/>
              <w:marTop w:val="0"/>
              <w:marBottom w:val="0"/>
              <w:divBdr>
                <w:top w:val="none" w:sz="0" w:space="0" w:color="auto"/>
                <w:left w:val="none" w:sz="0" w:space="0" w:color="auto"/>
                <w:bottom w:val="none" w:sz="0" w:space="0" w:color="auto"/>
                <w:right w:val="none" w:sz="0" w:space="0" w:color="auto"/>
              </w:divBdr>
            </w:div>
            <w:div w:id="2022320712">
              <w:marLeft w:val="0"/>
              <w:marRight w:val="0"/>
              <w:marTop w:val="0"/>
              <w:marBottom w:val="0"/>
              <w:divBdr>
                <w:top w:val="none" w:sz="0" w:space="0" w:color="auto"/>
                <w:left w:val="none" w:sz="0" w:space="0" w:color="auto"/>
                <w:bottom w:val="none" w:sz="0" w:space="0" w:color="auto"/>
                <w:right w:val="none" w:sz="0" w:space="0" w:color="auto"/>
              </w:divBdr>
            </w:div>
            <w:div w:id="271667254">
              <w:marLeft w:val="0"/>
              <w:marRight w:val="0"/>
              <w:marTop w:val="0"/>
              <w:marBottom w:val="0"/>
              <w:divBdr>
                <w:top w:val="none" w:sz="0" w:space="0" w:color="auto"/>
                <w:left w:val="none" w:sz="0" w:space="0" w:color="auto"/>
                <w:bottom w:val="none" w:sz="0" w:space="0" w:color="auto"/>
                <w:right w:val="none" w:sz="0" w:space="0" w:color="auto"/>
              </w:divBdr>
            </w:div>
            <w:div w:id="1328367295">
              <w:marLeft w:val="0"/>
              <w:marRight w:val="0"/>
              <w:marTop w:val="0"/>
              <w:marBottom w:val="0"/>
              <w:divBdr>
                <w:top w:val="none" w:sz="0" w:space="0" w:color="auto"/>
                <w:left w:val="none" w:sz="0" w:space="0" w:color="auto"/>
                <w:bottom w:val="none" w:sz="0" w:space="0" w:color="auto"/>
                <w:right w:val="none" w:sz="0" w:space="0" w:color="auto"/>
              </w:divBdr>
            </w:div>
            <w:div w:id="582375933">
              <w:marLeft w:val="0"/>
              <w:marRight w:val="0"/>
              <w:marTop w:val="0"/>
              <w:marBottom w:val="0"/>
              <w:divBdr>
                <w:top w:val="none" w:sz="0" w:space="0" w:color="auto"/>
                <w:left w:val="none" w:sz="0" w:space="0" w:color="auto"/>
                <w:bottom w:val="none" w:sz="0" w:space="0" w:color="auto"/>
                <w:right w:val="none" w:sz="0" w:space="0" w:color="auto"/>
              </w:divBdr>
            </w:div>
            <w:div w:id="1371145368">
              <w:marLeft w:val="0"/>
              <w:marRight w:val="0"/>
              <w:marTop w:val="0"/>
              <w:marBottom w:val="0"/>
              <w:divBdr>
                <w:top w:val="none" w:sz="0" w:space="0" w:color="auto"/>
                <w:left w:val="none" w:sz="0" w:space="0" w:color="auto"/>
                <w:bottom w:val="none" w:sz="0" w:space="0" w:color="auto"/>
                <w:right w:val="none" w:sz="0" w:space="0" w:color="auto"/>
              </w:divBdr>
            </w:div>
            <w:div w:id="1259097633">
              <w:marLeft w:val="0"/>
              <w:marRight w:val="0"/>
              <w:marTop w:val="0"/>
              <w:marBottom w:val="0"/>
              <w:divBdr>
                <w:top w:val="none" w:sz="0" w:space="0" w:color="auto"/>
                <w:left w:val="none" w:sz="0" w:space="0" w:color="auto"/>
                <w:bottom w:val="none" w:sz="0" w:space="0" w:color="auto"/>
                <w:right w:val="none" w:sz="0" w:space="0" w:color="auto"/>
              </w:divBdr>
            </w:div>
            <w:div w:id="1893497453">
              <w:marLeft w:val="0"/>
              <w:marRight w:val="0"/>
              <w:marTop w:val="0"/>
              <w:marBottom w:val="0"/>
              <w:divBdr>
                <w:top w:val="none" w:sz="0" w:space="0" w:color="auto"/>
                <w:left w:val="none" w:sz="0" w:space="0" w:color="auto"/>
                <w:bottom w:val="none" w:sz="0" w:space="0" w:color="auto"/>
                <w:right w:val="none" w:sz="0" w:space="0" w:color="auto"/>
              </w:divBdr>
            </w:div>
            <w:div w:id="1148060114">
              <w:marLeft w:val="0"/>
              <w:marRight w:val="0"/>
              <w:marTop w:val="0"/>
              <w:marBottom w:val="0"/>
              <w:divBdr>
                <w:top w:val="none" w:sz="0" w:space="0" w:color="auto"/>
                <w:left w:val="none" w:sz="0" w:space="0" w:color="auto"/>
                <w:bottom w:val="none" w:sz="0" w:space="0" w:color="auto"/>
                <w:right w:val="none" w:sz="0" w:space="0" w:color="auto"/>
              </w:divBdr>
            </w:div>
            <w:div w:id="1301305298">
              <w:marLeft w:val="0"/>
              <w:marRight w:val="0"/>
              <w:marTop w:val="0"/>
              <w:marBottom w:val="0"/>
              <w:divBdr>
                <w:top w:val="none" w:sz="0" w:space="0" w:color="auto"/>
                <w:left w:val="none" w:sz="0" w:space="0" w:color="auto"/>
                <w:bottom w:val="none" w:sz="0" w:space="0" w:color="auto"/>
                <w:right w:val="none" w:sz="0" w:space="0" w:color="auto"/>
              </w:divBdr>
            </w:div>
            <w:div w:id="866942819">
              <w:marLeft w:val="0"/>
              <w:marRight w:val="0"/>
              <w:marTop w:val="0"/>
              <w:marBottom w:val="0"/>
              <w:divBdr>
                <w:top w:val="none" w:sz="0" w:space="0" w:color="auto"/>
                <w:left w:val="none" w:sz="0" w:space="0" w:color="auto"/>
                <w:bottom w:val="none" w:sz="0" w:space="0" w:color="auto"/>
                <w:right w:val="none" w:sz="0" w:space="0" w:color="auto"/>
              </w:divBdr>
            </w:div>
            <w:div w:id="400906769">
              <w:marLeft w:val="0"/>
              <w:marRight w:val="0"/>
              <w:marTop w:val="0"/>
              <w:marBottom w:val="0"/>
              <w:divBdr>
                <w:top w:val="none" w:sz="0" w:space="0" w:color="auto"/>
                <w:left w:val="none" w:sz="0" w:space="0" w:color="auto"/>
                <w:bottom w:val="none" w:sz="0" w:space="0" w:color="auto"/>
                <w:right w:val="none" w:sz="0" w:space="0" w:color="auto"/>
              </w:divBdr>
            </w:div>
            <w:div w:id="1563104150">
              <w:marLeft w:val="0"/>
              <w:marRight w:val="0"/>
              <w:marTop w:val="0"/>
              <w:marBottom w:val="0"/>
              <w:divBdr>
                <w:top w:val="none" w:sz="0" w:space="0" w:color="auto"/>
                <w:left w:val="none" w:sz="0" w:space="0" w:color="auto"/>
                <w:bottom w:val="none" w:sz="0" w:space="0" w:color="auto"/>
                <w:right w:val="none" w:sz="0" w:space="0" w:color="auto"/>
              </w:divBdr>
            </w:div>
            <w:div w:id="1879008266">
              <w:marLeft w:val="0"/>
              <w:marRight w:val="0"/>
              <w:marTop w:val="0"/>
              <w:marBottom w:val="0"/>
              <w:divBdr>
                <w:top w:val="none" w:sz="0" w:space="0" w:color="auto"/>
                <w:left w:val="none" w:sz="0" w:space="0" w:color="auto"/>
                <w:bottom w:val="none" w:sz="0" w:space="0" w:color="auto"/>
                <w:right w:val="none" w:sz="0" w:space="0" w:color="auto"/>
              </w:divBdr>
            </w:div>
            <w:div w:id="1718311406">
              <w:marLeft w:val="0"/>
              <w:marRight w:val="0"/>
              <w:marTop w:val="0"/>
              <w:marBottom w:val="0"/>
              <w:divBdr>
                <w:top w:val="none" w:sz="0" w:space="0" w:color="auto"/>
                <w:left w:val="none" w:sz="0" w:space="0" w:color="auto"/>
                <w:bottom w:val="none" w:sz="0" w:space="0" w:color="auto"/>
                <w:right w:val="none" w:sz="0" w:space="0" w:color="auto"/>
              </w:divBdr>
            </w:div>
            <w:div w:id="296109271">
              <w:marLeft w:val="0"/>
              <w:marRight w:val="0"/>
              <w:marTop w:val="0"/>
              <w:marBottom w:val="0"/>
              <w:divBdr>
                <w:top w:val="none" w:sz="0" w:space="0" w:color="auto"/>
                <w:left w:val="none" w:sz="0" w:space="0" w:color="auto"/>
                <w:bottom w:val="none" w:sz="0" w:space="0" w:color="auto"/>
                <w:right w:val="none" w:sz="0" w:space="0" w:color="auto"/>
              </w:divBdr>
            </w:div>
            <w:div w:id="193886199">
              <w:marLeft w:val="0"/>
              <w:marRight w:val="0"/>
              <w:marTop w:val="0"/>
              <w:marBottom w:val="0"/>
              <w:divBdr>
                <w:top w:val="none" w:sz="0" w:space="0" w:color="auto"/>
                <w:left w:val="none" w:sz="0" w:space="0" w:color="auto"/>
                <w:bottom w:val="none" w:sz="0" w:space="0" w:color="auto"/>
                <w:right w:val="none" w:sz="0" w:space="0" w:color="auto"/>
              </w:divBdr>
            </w:div>
            <w:div w:id="1755661439">
              <w:marLeft w:val="0"/>
              <w:marRight w:val="0"/>
              <w:marTop w:val="0"/>
              <w:marBottom w:val="0"/>
              <w:divBdr>
                <w:top w:val="none" w:sz="0" w:space="0" w:color="auto"/>
                <w:left w:val="none" w:sz="0" w:space="0" w:color="auto"/>
                <w:bottom w:val="none" w:sz="0" w:space="0" w:color="auto"/>
                <w:right w:val="none" w:sz="0" w:space="0" w:color="auto"/>
              </w:divBdr>
            </w:div>
            <w:div w:id="1735351742">
              <w:marLeft w:val="0"/>
              <w:marRight w:val="0"/>
              <w:marTop w:val="0"/>
              <w:marBottom w:val="0"/>
              <w:divBdr>
                <w:top w:val="none" w:sz="0" w:space="0" w:color="auto"/>
                <w:left w:val="none" w:sz="0" w:space="0" w:color="auto"/>
                <w:bottom w:val="none" w:sz="0" w:space="0" w:color="auto"/>
                <w:right w:val="none" w:sz="0" w:space="0" w:color="auto"/>
              </w:divBdr>
            </w:div>
            <w:div w:id="1511487229">
              <w:marLeft w:val="0"/>
              <w:marRight w:val="0"/>
              <w:marTop w:val="0"/>
              <w:marBottom w:val="0"/>
              <w:divBdr>
                <w:top w:val="none" w:sz="0" w:space="0" w:color="auto"/>
                <w:left w:val="none" w:sz="0" w:space="0" w:color="auto"/>
                <w:bottom w:val="none" w:sz="0" w:space="0" w:color="auto"/>
                <w:right w:val="none" w:sz="0" w:space="0" w:color="auto"/>
              </w:divBdr>
            </w:div>
            <w:div w:id="2076970582">
              <w:marLeft w:val="0"/>
              <w:marRight w:val="0"/>
              <w:marTop w:val="0"/>
              <w:marBottom w:val="0"/>
              <w:divBdr>
                <w:top w:val="none" w:sz="0" w:space="0" w:color="auto"/>
                <w:left w:val="none" w:sz="0" w:space="0" w:color="auto"/>
                <w:bottom w:val="none" w:sz="0" w:space="0" w:color="auto"/>
                <w:right w:val="none" w:sz="0" w:space="0" w:color="auto"/>
              </w:divBdr>
            </w:div>
            <w:div w:id="406611206">
              <w:marLeft w:val="0"/>
              <w:marRight w:val="0"/>
              <w:marTop w:val="0"/>
              <w:marBottom w:val="0"/>
              <w:divBdr>
                <w:top w:val="none" w:sz="0" w:space="0" w:color="auto"/>
                <w:left w:val="none" w:sz="0" w:space="0" w:color="auto"/>
                <w:bottom w:val="none" w:sz="0" w:space="0" w:color="auto"/>
                <w:right w:val="none" w:sz="0" w:space="0" w:color="auto"/>
              </w:divBdr>
            </w:div>
            <w:div w:id="955871318">
              <w:marLeft w:val="0"/>
              <w:marRight w:val="0"/>
              <w:marTop w:val="0"/>
              <w:marBottom w:val="0"/>
              <w:divBdr>
                <w:top w:val="none" w:sz="0" w:space="0" w:color="auto"/>
                <w:left w:val="none" w:sz="0" w:space="0" w:color="auto"/>
                <w:bottom w:val="none" w:sz="0" w:space="0" w:color="auto"/>
                <w:right w:val="none" w:sz="0" w:space="0" w:color="auto"/>
              </w:divBdr>
            </w:div>
            <w:div w:id="955600862">
              <w:marLeft w:val="0"/>
              <w:marRight w:val="0"/>
              <w:marTop w:val="0"/>
              <w:marBottom w:val="0"/>
              <w:divBdr>
                <w:top w:val="none" w:sz="0" w:space="0" w:color="auto"/>
                <w:left w:val="none" w:sz="0" w:space="0" w:color="auto"/>
                <w:bottom w:val="none" w:sz="0" w:space="0" w:color="auto"/>
                <w:right w:val="none" w:sz="0" w:space="0" w:color="auto"/>
              </w:divBdr>
            </w:div>
            <w:div w:id="599878812">
              <w:marLeft w:val="0"/>
              <w:marRight w:val="0"/>
              <w:marTop w:val="0"/>
              <w:marBottom w:val="0"/>
              <w:divBdr>
                <w:top w:val="none" w:sz="0" w:space="0" w:color="auto"/>
                <w:left w:val="none" w:sz="0" w:space="0" w:color="auto"/>
                <w:bottom w:val="none" w:sz="0" w:space="0" w:color="auto"/>
                <w:right w:val="none" w:sz="0" w:space="0" w:color="auto"/>
              </w:divBdr>
            </w:div>
            <w:div w:id="1226145567">
              <w:marLeft w:val="0"/>
              <w:marRight w:val="0"/>
              <w:marTop w:val="0"/>
              <w:marBottom w:val="0"/>
              <w:divBdr>
                <w:top w:val="none" w:sz="0" w:space="0" w:color="auto"/>
                <w:left w:val="none" w:sz="0" w:space="0" w:color="auto"/>
                <w:bottom w:val="none" w:sz="0" w:space="0" w:color="auto"/>
                <w:right w:val="none" w:sz="0" w:space="0" w:color="auto"/>
              </w:divBdr>
            </w:div>
            <w:div w:id="1717851114">
              <w:marLeft w:val="0"/>
              <w:marRight w:val="0"/>
              <w:marTop w:val="0"/>
              <w:marBottom w:val="0"/>
              <w:divBdr>
                <w:top w:val="none" w:sz="0" w:space="0" w:color="auto"/>
                <w:left w:val="none" w:sz="0" w:space="0" w:color="auto"/>
                <w:bottom w:val="none" w:sz="0" w:space="0" w:color="auto"/>
                <w:right w:val="none" w:sz="0" w:space="0" w:color="auto"/>
              </w:divBdr>
            </w:div>
            <w:div w:id="1754155971">
              <w:marLeft w:val="0"/>
              <w:marRight w:val="0"/>
              <w:marTop w:val="0"/>
              <w:marBottom w:val="0"/>
              <w:divBdr>
                <w:top w:val="none" w:sz="0" w:space="0" w:color="auto"/>
                <w:left w:val="none" w:sz="0" w:space="0" w:color="auto"/>
                <w:bottom w:val="none" w:sz="0" w:space="0" w:color="auto"/>
                <w:right w:val="none" w:sz="0" w:space="0" w:color="auto"/>
              </w:divBdr>
            </w:div>
            <w:div w:id="56516613">
              <w:marLeft w:val="0"/>
              <w:marRight w:val="0"/>
              <w:marTop w:val="0"/>
              <w:marBottom w:val="0"/>
              <w:divBdr>
                <w:top w:val="none" w:sz="0" w:space="0" w:color="auto"/>
                <w:left w:val="none" w:sz="0" w:space="0" w:color="auto"/>
                <w:bottom w:val="none" w:sz="0" w:space="0" w:color="auto"/>
                <w:right w:val="none" w:sz="0" w:space="0" w:color="auto"/>
              </w:divBdr>
            </w:div>
            <w:div w:id="1001469193">
              <w:marLeft w:val="0"/>
              <w:marRight w:val="0"/>
              <w:marTop w:val="0"/>
              <w:marBottom w:val="0"/>
              <w:divBdr>
                <w:top w:val="none" w:sz="0" w:space="0" w:color="auto"/>
                <w:left w:val="none" w:sz="0" w:space="0" w:color="auto"/>
                <w:bottom w:val="none" w:sz="0" w:space="0" w:color="auto"/>
                <w:right w:val="none" w:sz="0" w:space="0" w:color="auto"/>
              </w:divBdr>
            </w:div>
            <w:div w:id="831725016">
              <w:marLeft w:val="0"/>
              <w:marRight w:val="0"/>
              <w:marTop w:val="0"/>
              <w:marBottom w:val="0"/>
              <w:divBdr>
                <w:top w:val="none" w:sz="0" w:space="0" w:color="auto"/>
                <w:left w:val="none" w:sz="0" w:space="0" w:color="auto"/>
                <w:bottom w:val="none" w:sz="0" w:space="0" w:color="auto"/>
                <w:right w:val="none" w:sz="0" w:space="0" w:color="auto"/>
              </w:divBdr>
            </w:div>
            <w:div w:id="1951739642">
              <w:marLeft w:val="0"/>
              <w:marRight w:val="0"/>
              <w:marTop w:val="0"/>
              <w:marBottom w:val="0"/>
              <w:divBdr>
                <w:top w:val="none" w:sz="0" w:space="0" w:color="auto"/>
                <w:left w:val="none" w:sz="0" w:space="0" w:color="auto"/>
                <w:bottom w:val="none" w:sz="0" w:space="0" w:color="auto"/>
                <w:right w:val="none" w:sz="0" w:space="0" w:color="auto"/>
              </w:divBdr>
            </w:div>
            <w:div w:id="1048846763">
              <w:marLeft w:val="0"/>
              <w:marRight w:val="0"/>
              <w:marTop w:val="0"/>
              <w:marBottom w:val="0"/>
              <w:divBdr>
                <w:top w:val="none" w:sz="0" w:space="0" w:color="auto"/>
                <w:left w:val="none" w:sz="0" w:space="0" w:color="auto"/>
                <w:bottom w:val="none" w:sz="0" w:space="0" w:color="auto"/>
                <w:right w:val="none" w:sz="0" w:space="0" w:color="auto"/>
              </w:divBdr>
            </w:div>
            <w:div w:id="988902360">
              <w:marLeft w:val="0"/>
              <w:marRight w:val="0"/>
              <w:marTop w:val="0"/>
              <w:marBottom w:val="0"/>
              <w:divBdr>
                <w:top w:val="none" w:sz="0" w:space="0" w:color="auto"/>
                <w:left w:val="none" w:sz="0" w:space="0" w:color="auto"/>
                <w:bottom w:val="none" w:sz="0" w:space="0" w:color="auto"/>
                <w:right w:val="none" w:sz="0" w:space="0" w:color="auto"/>
              </w:divBdr>
            </w:div>
            <w:div w:id="1099567529">
              <w:marLeft w:val="0"/>
              <w:marRight w:val="0"/>
              <w:marTop w:val="0"/>
              <w:marBottom w:val="0"/>
              <w:divBdr>
                <w:top w:val="none" w:sz="0" w:space="0" w:color="auto"/>
                <w:left w:val="none" w:sz="0" w:space="0" w:color="auto"/>
                <w:bottom w:val="none" w:sz="0" w:space="0" w:color="auto"/>
                <w:right w:val="none" w:sz="0" w:space="0" w:color="auto"/>
              </w:divBdr>
            </w:div>
            <w:div w:id="410468850">
              <w:marLeft w:val="0"/>
              <w:marRight w:val="0"/>
              <w:marTop w:val="0"/>
              <w:marBottom w:val="0"/>
              <w:divBdr>
                <w:top w:val="none" w:sz="0" w:space="0" w:color="auto"/>
                <w:left w:val="none" w:sz="0" w:space="0" w:color="auto"/>
                <w:bottom w:val="none" w:sz="0" w:space="0" w:color="auto"/>
                <w:right w:val="none" w:sz="0" w:space="0" w:color="auto"/>
              </w:divBdr>
            </w:div>
            <w:div w:id="104541789">
              <w:marLeft w:val="0"/>
              <w:marRight w:val="0"/>
              <w:marTop w:val="0"/>
              <w:marBottom w:val="0"/>
              <w:divBdr>
                <w:top w:val="none" w:sz="0" w:space="0" w:color="auto"/>
                <w:left w:val="none" w:sz="0" w:space="0" w:color="auto"/>
                <w:bottom w:val="none" w:sz="0" w:space="0" w:color="auto"/>
                <w:right w:val="none" w:sz="0" w:space="0" w:color="auto"/>
              </w:divBdr>
            </w:div>
            <w:div w:id="893269710">
              <w:marLeft w:val="0"/>
              <w:marRight w:val="0"/>
              <w:marTop w:val="0"/>
              <w:marBottom w:val="0"/>
              <w:divBdr>
                <w:top w:val="none" w:sz="0" w:space="0" w:color="auto"/>
                <w:left w:val="none" w:sz="0" w:space="0" w:color="auto"/>
                <w:bottom w:val="none" w:sz="0" w:space="0" w:color="auto"/>
                <w:right w:val="none" w:sz="0" w:space="0" w:color="auto"/>
              </w:divBdr>
            </w:div>
            <w:div w:id="408308895">
              <w:marLeft w:val="0"/>
              <w:marRight w:val="0"/>
              <w:marTop w:val="0"/>
              <w:marBottom w:val="0"/>
              <w:divBdr>
                <w:top w:val="none" w:sz="0" w:space="0" w:color="auto"/>
                <w:left w:val="none" w:sz="0" w:space="0" w:color="auto"/>
                <w:bottom w:val="none" w:sz="0" w:space="0" w:color="auto"/>
                <w:right w:val="none" w:sz="0" w:space="0" w:color="auto"/>
              </w:divBdr>
            </w:div>
            <w:div w:id="338314074">
              <w:marLeft w:val="0"/>
              <w:marRight w:val="0"/>
              <w:marTop w:val="0"/>
              <w:marBottom w:val="0"/>
              <w:divBdr>
                <w:top w:val="none" w:sz="0" w:space="0" w:color="auto"/>
                <w:left w:val="none" w:sz="0" w:space="0" w:color="auto"/>
                <w:bottom w:val="none" w:sz="0" w:space="0" w:color="auto"/>
                <w:right w:val="none" w:sz="0" w:space="0" w:color="auto"/>
              </w:divBdr>
            </w:div>
            <w:div w:id="2069261858">
              <w:marLeft w:val="0"/>
              <w:marRight w:val="0"/>
              <w:marTop w:val="0"/>
              <w:marBottom w:val="0"/>
              <w:divBdr>
                <w:top w:val="none" w:sz="0" w:space="0" w:color="auto"/>
                <w:left w:val="none" w:sz="0" w:space="0" w:color="auto"/>
                <w:bottom w:val="none" w:sz="0" w:space="0" w:color="auto"/>
                <w:right w:val="none" w:sz="0" w:space="0" w:color="auto"/>
              </w:divBdr>
            </w:div>
            <w:div w:id="976299003">
              <w:marLeft w:val="0"/>
              <w:marRight w:val="0"/>
              <w:marTop w:val="0"/>
              <w:marBottom w:val="0"/>
              <w:divBdr>
                <w:top w:val="none" w:sz="0" w:space="0" w:color="auto"/>
                <w:left w:val="none" w:sz="0" w:space="0" w:color="auto"/>
                <w:bottom w:val="none" w:sz="0" w:space="0" w:color="auto"/>
                <w:right w:val="none" w:sz="0" w:space="0" w:color="auto"/>
              </w:divBdr>
            </w:div>
            <w:div w:id="1952860239">
              <w:marLeft w:val="0"/>
              <w:marRight w:val="0"/>
              <w:marTop w:val="0"/>
              <w:marBottom w:val="0"/>
              <w:divBdr>
                <w:top w:val="none" w:sz="0" w:space="0" w:color="auto"/>
                <w:left w:val="none" w:sz="0" w:space="0" w:color="auto"/>
                <w:bottom w:val="none" w:sz="0" w:space="0" w:color="auto"/>
                <w:right w:val="none" w:sz="0" w:space="0" w:color="auto"/>
              </w:divBdr>
            </w:div>
            <w:div w:id="646594704">
              <w:marLeft w:val="0"/>
              <w:marRight w:val="0"/>
              <w:marTop w:val="0"/>
              <w:marBottom w:val="0"/>
              <w:divBdr>
                <w:top w:val="none" w:sz="0" w:space="0" w:color="auto"/>
                <w:left w:val="none" w:sz="0" w:space="0" w:color="auto"/>
                <w:bottom w:val="none" w:sz="0" w:space="0" w:color="auto"/>
                <w:right w:val="none" w:sz="0" w:space="0" w:color="auto"/>
              </w:divBdr>
            </w:div>
            <w:div w:id="1766994377">
              <w:marLeft w:val="0"/>
              <w:marRight w:val="0"/>
              <w:marTop w:val="0"/>
              <w:marBottom w:val="0"/>
              <w:divBdr>
                <w:top w:val="none" w:sz="0" w:space="0" w:color="auto"/>
                <w:left w:val="none" w:sz="0" w:space="0" w:color="auto"/>
                <w:bottom w:val="none" w:sz="0" w:space="0" w:color="auto"/>
                <w:right w:val="none" w:sz="0" w:space="0" w:color="auto"/>
              </w:divBdr>
            </w:div>
            <w:div w:id="2060397626">
              <w:marLeft w:val="0"/>
              <w:marRight w:val="0"/>
              <w:marTop w:val="0"/>
              <w:marBottom w:val="0"/>
              <w:divBdr>
                <w:top w:val="none" w:sz="0" w:space="0" w:color="auto"/>
                <w:left w:val="none" w:sz="0" w:space="0" w:color="auto"/>
                <w:bottom w:val="none" w:sz="0" w:space="0" w:color="auto"/>
                <w:right w:val="none" w:sz="0" w:space="0" w:color="auto"/>
              </w:divBdr>
            </w:div>
            <w:div w:id="826283061">
              <w:marLeft w:val="0"/>
              <w:marRight w:val="0"/>
              <w:marTop w:val="0"/>
              <w:marBottom w:val="0"/>
              <w:divBdr>
                <w:top w:val="none" w:sz="0" w:space="0" w:color="auto"/>
                <w:left w:val="none" w:sz="0" w:space="0" w:color="auto"/>
                <w:bottom w:val="none" w:sz="0" w:space="0" w:color="auto"/>
                <w:right w:val="none" w:sz="0" w:space="0" w:color="auto"/>
              </w:divBdr>
            </w:div>
            <w:div w:id="944963968">
              <w:marLeft w:val="0"/>
              <w:marRight w:val="0"/>
              <w:marTop w:val="0"/>
              <w:marBottom w:val="0"/>
              <w:divBdr>
                <w:top w:val="none" w:sz="0" w:space="0" w:color="auto"/>
                <w:left w:val="none" w:sz="0" w:space="0" w:color="auto"/>
                <w:bottom w:val="none" w:sz="0" w:space="0" w:color="auto"/>
                <w:right w:val="none" w:sz="0" w:space="0" w:color="auto"/>
              </w:divBdr>
            </w:div>
            <w:div w:id="572811313">
              <w:marLeft w:val="0"/>
              <w:marRight w:val="0"/>
              <w:marTop w:val="0"/>
              <w:marBottom w:val="0"/>
              <w:divBdr>
                <w:top w:val="none" w:sz="0" w:space="0" w:color="auto"/>
                <w:left w:val="none" w:sz="0" w:space="0" w:color="auto"/>
                <w:bottom w:val="none" w:sz="0" w:space="0" w:color="auto"/>
                <w:right w:val="none" w:sz="0" w:space="0" w:color="auto"/>
              </w:divBdr>
            </w:div>
            <w:div w:id="1070272329">
              <w:marLeft w:val="0"/>
              <w:marRight w:val="0"/>
              <w:marTop w:val="0"/>
              <w:marBottom w:val="0"/>
              <w:divBdr>
                <w:top w:val="none" w:sz="0" w:space="0" w:color="auto"/>
                <w:left w:val="none" w:sz="0" w:space="0" w:color="auto"/>
                <w:bottom w:val="none" w:sz="0" w:space="0" w:color="auto"/>
                <w:right w:val="none" w:sz="0" w:space="0" w:color="auto"/>
              </w:divBdr>
            </w:div>
            <w:div w:id="43452007">
              <w:marLeft w:val="0"/>
              <w:marRight w:val="0"/>
              <w:marTop w:val="0"/>
              <w:marBottom w:val="0"/>
              <w:divBdr>
                <w:top w:val="none" w:sz="0" w:space="0" w:color="auto"/>
                <w:left w:val="none" w:sz="0" w:space="0" w:color="auto"/>
                <w:bottom w:val="none" w:sz="0" w:space="0" w:color="auto"/>
                <w:right w:val="none" w:sz="0" w:space="0" w:color="auto"/>
              </w:divBdr>
            </w:div>
            <w:div w:id="510728099">
              <w:marLeft w:val="0"/>
              <w:marRight w:val="0"/>
              <w:marTop w:val="0"/>
              <w:marBottom w:val="0"/>
              <w:divBdr>
                <w:top w:val="none" w:sz="0" w:space="0" w:color="auto"/>
                <w:left w:val="none" w:sz="0" w:space="0" w:color="auto"/>
                <w:bottom w:val="none" w:sz="0" w:space="0" w:color="auto"/>
                <w:right w:val="none" w:sz="0" w:space="0" w:color="auto"/>
              </w:divBdr>
            </w:div>
            <w:div w:id="1331250439">
              <w:marLeft w:val="0"/>
              <w:marRight w:val="0"/>
              <w:marTop w:val="0"/>
              <w:marBottom w:val="0"/>
              <w:divBdr>
                <w:top w:val="none" w:sz="0" w:space="0" w:color="auto"/>
                <w:left w:val="none" w:sz="0" w:space="0" w:color="auto"/>
                <w:bottom w:val="none" w:sz="0" w:space="0" w:color="auto"/>
                <w:right w:val="none" w:sz="0" w:space="0" w:color="auto"/>
              </w:divBdr>
            </w:div>
            <w:div w:id="986010027">
              <w:marLeft w:val="0"/>
              <w:marRight w:val="0"/>
              <w:marTop w:val="0"/>
              <w:marBottom w:val="0"/>
              <w:divBdr>
                <w:top w:val="none" w:sz="0" w:space="0" w:color="auto"/>
                <w:left w:val="none" w:sz="0" w:space="0" w:color="auto"/>
                <w:bottom w:val="none" w:sz="0" w:space="0" w:color="auto"/>
                <w:right w:val="none" w:sz="0" w:space="0" w:color="auto"/>
              </w:divBdr>
            </w:div>
            <w:div w:id="488257161">
              <w:marLeft w:val="0"/>
              <w:marRight w:val="0"/>
              <w:marTop w:val="0"/>
              <w:marBottom w:val="0"/>
              <w:divBdr>
                <w:top w:val="none" w:sz="0" w:space="0" w:color="auto"/>
                <w:left w:val="none" w:sz="0" w:space="0" w:color="auto"/>
                <w:bottom w:val="none" w:sz="0" w:space="0" w:color="auto"/>
                <w:right w:val="none" w:sz="0" w:space="0" w:color="auto"/>
              </w:divBdr>
            </w:div>
            <w:div w:id="882986242">
              <w:marLeft w:val="0"/>
              <w:marRight w:val="0"/>
              <w:marTop w:val="0"/>
              <w:marBottom w:val="0"/>
              <w:divBdr>
                <w:top w:val="none" w:sz="0" w:space="0" w:color="auto"/>
                <w:left w:val="none" w:sz="0" w:space="0" w:color="auto"/>
                <w:bottom w:val="none" w:sz="0" w:space="0" w:color="auto"/>
                <w:right w:val="none" w:sz="0" w:space="0" w:color="auto"/>
              </w:divBdr>
            </w:div>
            <w:div w:id="1477912737">
              <w:marLeft w:val="0"/>
              <w:marRight w:val="0"/>
              <w:marTop w:val="0"/>
              <w:marBottom w:val="0"/>
              <w:divBdr>
                <w:top w:val="none" w:sz="0" w:space="0" w:color="auto"/>
                <w:left w:val="none" w:sz="0" w:space="0" w:color="auto"/>
                <w:bottom w:val="none" w:sz="0" w:space="0" w:color="auto"/>
                <w:right w:val="none" w:sz="0" w:space="0" w:color="auto"/>
              </w:divBdr>
            </w:div>
            <w:div w:id="983003891">
              <w:marLeft w:val="0"/>
              <w:marRight w:val="0"/>
              <w:marTop w:val="0"/>
              <w:marBottom w:val="0"/>
              <w:divBdr>
                <w:top w:val="none" w:sz="0" w:space="0" w:color="auto"/>
                <w:left w:val="none" w:sz="0" w:space="0" w:color="auto"/>
                <w:bottom w:val="none" w:sz="0" w:space="0" w:color="auto"/>
                <w:right w:val="none" w:sz="0" w:space="0" w:color="auto"/>
              </w:divBdr>
            </w:div>
            <w:div w:id="1916940457">
              <w:marLeft w:val="0"/>
              <w:marRight w:val="0"/>
              <w:marTop w:val="0"/>
              <w:marBottom w:val="0"/>
              <w:divBdr>
                <w:top w:val="none" w:sz="0" w:space="0" w:color="auto"/>
                <w:left w:val="none" w:sz="0" w:space="0" w:color="auto"/>
                <w:bottom w:val="none" w:sz="0" w:space="0" w:color="auto"/>
                <w:right w:val="none" w:sz="0" w:space="0" w:color="auto"/>
              </w:divBdr>
            </w:div>
            <w:div w:id="1275088803">
              <w:marLeft w:val="0"/>
              <w:marRight w:val="0"/>
              <w:marTop w:val="0"/>
              <w:marBottom w:val="0"/>
              <w:divBdr>
                <w:top w:val="none" w:sz="0" w:space="0" w:color="auto"/>
                <w:left w:val="none" w:sz="0" w:space="0" w:color="auto"/>
                <w:bottom w:val="none" w:sz="0" w:space="0" w:color="auto"/>
                <w:right w:val="none" w:sz="0" w:space="0" w:color="auto"/>
              </w:divBdr>
            </w:div>
            <w:div w:id="773355961">
              <w:marLeft w:val="0"/>
              <w:marRight w:val="0"/>
              <w:marTop w:val="0"/>
              <w:marBottom w:val="0"/>
              <w:divBdr>
                <w:top w:val="none" w:sz="0" w:space="0" w:color="auto"/>
                <w:left w:val="none" w:sz="0" w:space="0" w:color="auto"/>
                <w:bottom w:val="none" w:sz="0" w:space="0" w:color="auto"/>
                <w:right w:val="none" w:sz="0" w:space="0" w:color="auto"/>
              </w:divBdr>
            </w:div>
            <w:div w:id="1680346307">
              <w:marLeft w:val="0"/>
              <w:marRight w:val="0"/>
              <w:marTop w:val="0"/>
              <w:marBottom w:val="0"/>
              <w:divBdr>
                <w:top w:val="none" w:sz="0" w:space="0" w:color="auto"/>
                <w:left w:val="none" w:sz="0" w:space="0" w:color="auto"/>
                <w:bottom w:val="none" w:sz="0" w:space="0" w:color="auto"/>
                <w:right w:val="none" w:sz="0" w:space="0" w:color="auto"/>
              </w:divBdr>
            </w:div>
            <w:div w:id="485974178">
              <w:marLeft w:val="0"/>
              <w:marRight w:val="0"/>
              <w:marTop w:val="0"/>
              <w:marBottom w:val="0"/>
              <w:divBdr>
                <w:top w:val="none" w:sz="0" w:space="0" w:color="auto"/>
                <w:left w:val="none" w:sz="0" w:space="0" w:color="auto"/>
                <w:bottom w:val="none" w:sz="0" w:space="0" w:color="auto"/>
                <w:right w:val="none" w:sz="0" w:space="0" w:color="auto"/>
              </w:divBdr>
            </w:div>
            <w:div w:id="1557426145">
              <w:marLeft w:val="0"/>
              <w:marRight w:val="0"/>
              <w:marTop w:val="0"/>
              <w:marBottom w:val="0"/>
              <w:divBdr>
                <w:top w:val="none" w:sz="0" w:space="0" w:color="auto"/>
                <w:left w:val="none" w:sz="0" w:space="0" w:color="auto"/>
                <w:bottom w:val="none" w:sz="0" w:space="0" w:color="auto"/>
                <w:right w:val="none" w:sz="0" w:space="0" w:color="auto"/>
              </w:divBdr>
            </w:div>
            <w:div w:id="692462856">
              <w:marLeft w:val="0"/>
              <w:marRight w:val="0"/>
              <w:marTop w:val="0"/>
              <w:marBottom w:val="0"/>
              <w:divBdr>
                <w:top w:val="none" w:sz="0" w:space="0" w:color="auto"/>
                <w:left w:val="none" w:sz="0" w:space="0" w:color="auto"/>
                <w:bottom w:val="none" w:sz="0" w:space="0" w:color="auto"/>
                <w:right w:val="none" w:sz="0" w:space="0" w:color="auto"/>
              </w:divBdr>
            </w:div>
            <w:div w:id="651567355">
              <w:marLeft w:val="0"/>
              <w:marRight w:val="0"/>
              <w:marTop w:val="0"/>
              <w:marBottom w:val="0"/>
              <w:divBdr>
                <w:top w:val="none" w:sz="0" w:space="0" w:color="auto"/>
                <w:left w:val="none" w:sz="0" w:space="0" w:color="auto"/>
                <w:bottom w:val="none" w:sz="0" w:space="0" w:color="auto"/>
                <w:right w:val="none" w:sz="0" w:space="0" w:color="auto"/>
              </w:divBdr>
            </w:div>
            <w:div w:id="1184857206">
              <w:marLeft w:val="0"/>
              <w:marRight w:val="0"/>
              <w:marTop w:val="0"/>
              <w:marBottom w:val="0"/>
              <w:divBdr>
                <w:top w:val="none" w:sz="0" w:space="0" w:color="auto"/>
                <w:left w:val="none" w:sz="0" w:space="0" w:color="auto"/>
                <w:bottom w:val="none" w:sz="0" w:space="0" w:color="auto"/>
                <w:right w:val="none" w:sz="0" w:space="0" w:color="auto"/>
              </w:divBdr>
            </w:div>
            <w:div w:id="1490900582">
              <w:marLeft w:val="0"/>
              <w:marRight w:val="0"/>
              <w:marTop w:val="0"/>
              <w:marBottom w:val="0"/>
              <w:divBdr>
                <w:top w:val="none" w:sz="0" w:space="0" w:color="auto"/>
                <w:left w:val="none" w:sz="0" w:space="0" w:color="auto"/>
                <w:bottom w:val="none" w:sz="0" w:space="0" w:color="auto"/>
                <w:right w:val="none" w:sz="0" w:space="0" w:color="auto"/>
              </w:divBdr>
            </w:div>
            <w:div w:id="1003630808">
              <w:marLeft w:val="0"/>
              <w:marRight w:val="0"/>
              <w:marTop w:val="0"/>
              <w:marBottom w:val="0"/>
              <w:divBdr>
                <w:top w:val="none" w:sz="0" w:space="0" w:color="auto"/>
                <w:left w:val="none" w:sz="0" w:space="0" w:color="auto"/>
                <w:bottom w:val="none" w:sz="0" w:space="0" w:color="auto"/>
                <w:right w:val="none" w:sz="0" w:space="0" w:color="auto"/>
              </w:divBdr>
            </w:div>
            <w:div w:id="1717778864">
              <w:marLeft w:val="0"/>
              <w:marRight w:val="0"/>
              <w:marTop w:val="0"/>
              <w:marBottom w:val="0"/>
              <w:divBdr>
                <w:top w:val="none" w:sz="0" w:space="0" w:color="auto"/>
                <w:left w:val="none" w:sz="0" w:space="0" w:color="auto"/>
                <w:bottom w:val="none" w:sz="0" w:space="0" w:color="auto"/>
                <w:right w:val="none" w:sz="0" w:space="0" w:color="auto"/>
              </w:divBdr>
            </w:div>
            <w:div w:id="545408019">
              <w:marLeft w:val="0"/>
              <w:marRight w:val="0"/>
              <w:marTop w:val="0"/>
              <w:marBottom w:val="0"/>
              <w:divBdr>
                <w:top w:val="none" w:sz="0" w:space="0" w:color="auto"/>
                <w:left w:val="none" w:sz="0" w:space="0" w:color="auto"/>
                <w:bottom w:val="none" w:sz="0" w:space="0" w:color="auto"/>
                <w:right w:val="none" w:sz="0" w:space="0" w:color="auto"/>
              </w:divBdr>
            </w:div>
            <w:div w:id="822508996">
              <w:marLeft w:val="0"/>
              <w:marRight w:val="0"/>
              <w:marTop w:val="0"/>
              <w:marBottom w:val="0"/>
              <w:divBdr>
                <w:top w:val="none" w:sz="0" w:space="0" w:color="auto"/>
                <w:left w:val="none" w:sz="0" w:space="0" w:color="auto"/>
                <w:bottom w:val="none" w:sz="0" w:space="0" w:color="auto"/>
                <w:right w:val="none" w:sz="0" w:space="0" w:color="auto"/>
              </w:divBdr>
            </w:div>
            <w:div w:id="2043623966">
              <w:marLeft w:val="0"/>
              <w:marRight w:val="0"/>
              <w:marTop w:val="0"/>
              <w:marBottom w:val="0"/>
              <w:divBdr>
                <w:top w:val="none" w:sz="0" w:space="0" w:color="auto"/>
                <w:left w:val="none" w:sz="0" w:space="0" w:color="auto"/>
                <w:bottom w:val="none" w:sz="0" w:space="0" w:color="auto"/>
                <w:right w:val="none" w:sz="0" w:space="0" w:color="auto"/>
              </w:divBdr>
            </w:div>
            <w:div w:id="533230131">
              <w:marLeft w:val="0"/>
              <w:marRight w:val="0"/>
              <w:marTop w:val="0"/>
              <w:marBottom w:val="0"/>
              <w:divBdr>
                <w:top w:val="none" w:sz="0" w:space="0" w:color="auto"/>
                <w:left w:val="none" w:sz="0" w:space="0" w:color="auto"/>
                <w:bottom w:val="none" w:sz="0" w:space="0" w:color="auto"/>
                <w:right w:val="none" w:sz="0" w:space="0" w:color="auto"/>
              </w:divBdr>
            </w:div>
            <w:div w:id="1245381387">
              <w:marLeft w:val="0"/>
              <w:marRight w:val="0"/>
              <w:marTop w:val="0"/>
              <w:marBottom w:val="0"/>
              <w:divBdr>
                <w:top w:val="none" w:sz="0" w:space="0" w:color="auto"/>
                <w:left w:val="none" w:sz="0" w:space="0" w:color="auto"/>
                <w:bottom w:val="none" w:sz="0" w:space="0" w:color="auto"/>
                <w:right w:val="none" w:sz="0" w:space="0" w:color="auto"/>
              </w:divBdr>
            </w:div>
            <w:div w:id="1267081252">
              <w:marLeft w:val="0"/>
              <w:marRight w:val="0"/>
              <w:marTop w:val="0"/>
              <w:marBottom w:val="0"/>
              <w:divBdr>
                <w:top w:val="none" w:sz="0" w:space="0" w:color="auto"/>
                <w:left w:val="none" w:sz="0" w:space="0" w:color="auto"/>
                <w:bottom w:val="none" w:sz="0" w:space="0" w:color="auto"/>
                <w:right w:val="none" w:sz="0" w:space="0" w:color="auto"/>
              </w:divBdr>
            </w:div>
            <w:div w:id="414058924">
              <w:marLeft w:val="0"/>
              <w:marRight w:val="0"/>
              <w:marTop w:val="0"/>
              <w:marBottom w:val="0"/>
              <w:divBdr>
                <w:top w:val="none" w:sz="0" w:space="0" w:color="auto"/>
                <w:left w:val="none" w:sz="0" w:space="0" w:color="auto"/>
                <w:bottom w:val="none" w:sz="0" w:space="0" w:color="auto"/>
                <w:right w:val="none" w:sz="0" w:space="0" w:color="auto"/>
              </w:divBdr>
            </w:div>
            <w:div w:id="480970050">
              <w:marLeft w:val="0"/>
              <w:marRight w:val="0"/>
              <w:marTop w:val="0"/>
              <w:marBottom w:val="0"/>
              <w:divBdr>
                <w:top w:val="none" w:sz="0" w:space="0" w:color="auto"/>
                <w:left w:val="none" w:sz="0" w:space="0" w:color="auto"/>
                <w:bottom w:val="none" w:sz="0" w:space="0" w:color="auto"/>
                <w:right w:val="none" w:sz="0" w:space="0" w:color="auto"/>
              </w:divBdr>
            </w:div>
            <w:div w:id="778529790">
              <w:marLeft w:val="0"/>
              <w:marRight w:val="0"/>
              <w:marTop w:val="0"/>
              <w:marBottom w:val="0"/>
              <w:divBdr>
                <w:top w:val="none" w:sz="0" w:space="0" w:color="auto"/>
                <w:left w:val="none" w:sz="0" w:space="0" w:color="auto"/>
                <w:bottom w:val="none" w:sz="0" w:space="0" w:color="auto"/>
                <w:right w:val="none" w:sz="0" w:space="0" w:color="auto"/>
              </w:divBdr>
            </w:div>
            <w:div w:id="670255085">
              <w:marLeft w:val="0"/>
              <w:marRight w:val="0"/>
              <w:marTop w:val="0"/>
              <w:marBottom w:val="0"/>
              <w:divBdr>
                <w:top w:val="none" w:sz="0" w:space="0" w:color="auto"/>
                <w:left w:val="none" w:sz="0" w:space="0" w:color="auto"/>
                <w:bottom w:val="none" w:sz="0" w:space="0" w:color="auto"/>
                <w:right w:val="none" w:sz="0" w:space="0" w:color="auto"/>
              </w:divBdr>
            </w:div>
            <w:div w:id="1847093987">
              <w:marLeft w:val="0"/>
              <w:marRight w:val="0"/>
              <w:marTop w:val="0"/>
              <w:marBottom w:val="0"/>
              <w:divBdr>
                <w:top w:val="none" w:sz="0" w:space="0" w:color="auto"/>
                <w:left w:val="none" w:sz="0" w:space="0" w:color="auto"/>
                <w:bottom w:val="none" w:sz="0" w:space="0" w:color="auto"/>
                <w:right w:val="none" w:sz="0" w:space="0" w:color="auto"/>
              </w:divBdr>
            </w:div>
            <w:div w:id="596331064">
              <w:marLeft w:val="0"/>
              <w:marRight w:val="0"/>
              <w:marTop w:val="0"/>
              <w:marBottom w:val="0"/>
              <w:divBdr>
                <w:top w:val="none" w:sz="0" w:space="0" w:color="auto"/>
                <w:left w:val="none" w:sz="0" w:space="0" w:color="auto"/>
                <w:bottom w:val="none" w:sz="0" w:space="0" w:color="auto"/>
                <w:right w:val="none" w:sz="0" w:space="0" w:color="auto"/>
              </w:divBdr>
            </w:div>
            <w:div w:id="1934245061">
              <w:marLeft w:val="0"/>
              <w:marRight w:val="0"/>
              <w:marTop w:val="0"/>
              <w:marBottom w:val="0"/>
              <w:divBdr>
                <w:top w:val="none" w:sz="0" w:space="0" w:color="auto"/>
                <w:left w:val="none" w:sz="0" w:space="0" w:color="auto"/>
                <w:bottom w:val="none" w:sz="0" w:space="0" w:color="auto"/>
                <w:right w:val="none" w:sz="0" w:space="0" w:color="auto"/>
              </w:divBdr>
            </w:div>
            <w:div w:id="1919630495">
              <w:marLeft w:val="0"/>
              <w:marRight w:val="0"/>
              <w:marTop w:val="0"/>
              <w:marBottom w:val="0"/>
              <w:divBdr>
                <w:top w:val="none" w:sz="0" w:space="0" w:color="auto"/>
                <w:left w:val="none" w:sz="0" w:space="0" w:color="auto"/>
                <w:bottom w:val="none" w:sz="0" w:space="0" w:color="auto"/>
                <w:right w:val="none" w:sz="0" w:space="0" w:color="auto"/>
              </w:divBdr>
            </w:div>
            <w:div w:id="1249732802">
              <w:marLeft w:val="0"/>
              <w:marRight w:val="0"/>
              <w:marTop w:val="0"/>
              <w:marBottom w:val="0"/>
              <w:divBdr>
                <w:top w:val="none" w:sz="0" w:space="0" w:color="auto"/>
                <w:left w:val="none" w:sz="0" w:space="0" w:color="auto"/>
                <w:bottom w:val="none" w:sz="0" w:space="0" w:color="auto"/>
                <w:right w:val="none" w:sz="0" w:space="0" w:color="auto"/>
              </w:divBdr>
            </w:div>
            <w:div w:id="159393495">
              <w:marLeft w:val="0"/>
              <w:marRight w:val="0"/>
              <w:marTop w:val="0"/>
              <w:marBottom w:val="0"/>
              <w:divBdr>
                <w:top w:val="none" w:sz="0" w:space="0" w:color="auto"/>
                <w:left w:val="none" w:sz="0" w:space="0" w:color="auto"/>
                <w:bottom w:val="none" w:sz="0" w:space="0" w:color="auto"/>
                <w:right w:val="none" w:sz="0" w:space="0" w:color="auto"/>
              </w:divBdr>
            </w:div>
            <w:div w:id="399253981">
              <w:marLeft w:val="0"/>
              <w:marRight w:val="0"/>
              <w:marTop w:val="0"/>
              <w:marBottom w:val="0"/>
              <w:divBdr>
                <w:top w:val="none" w:sz="0" w:space="0" w:color="auto"/>
                <w:left w:val="none" w:sz="0" w:space="0" w:color="auto"/>
                <w:bottom w:val="none" w:sz="0" w:space="0" w:color="auto"/>
                <w:right w:val="none" w:sz="0" w:space="0" w:color="auto"/>
              </w:divBdr>
            </w:div>
            <w:div w:id="873738191">
              <w:marLeft w:val="0"/>
              <w:marRight w:val="0"/>
              <w:marTop w:val="0"/>
              <w:marBottom w:val="0"/>
              <w:divBdr>
                <w:top w:val="none" w:sz="0" w:space="0" w:color="auto"/>
                <w:left w:val="none" w:sz="0" w:space="0" w:color="auto"/>
                <w:bottom w:val="none" w:sz="0" w:space="0" w:color="auto"/>
                <w:right w:val="none" w:sz="0" w:space="0" w:color="auto"/>
              </w:divBdr>
            </w:div>
            <w:div w:id="706298876">
              <w:marLeft w:val="0"/>
              <w:marRight w:val="0"/>
              <w:marTop w:val="0"/>
              <w:marBottom w:val="0"/>
              <w:divBdr>
                <w:top w:val="none" w:sz="0" w:space="0" w:color="auto"/>
                <w:left w:val="none" w:sz="0" w:space="0" w:color="auto"/>
                <w:bottom w:val="none" w:sz="0" w:space="0" w:color="auto"/>
                <w:right w:val="none" w:sz="0" w:space="0" w:color="auto"/>
              </w:divBdr>
            </w:div>
            <w:div w:id="1109617052">
              <w:marLeft w:val="0"/>
              <w:marRight w:val="0"/>
              <w:marTop w:val="0"/>
              <w:marBottom w:val="0"/>
              <w:divBdr>
                <w:top w:val="none" w:sz="0" w:space="0" w:color="auto"/>
                <w:left w:val="none" w:sz="0" w:space="0" w:color="auto"/>
                <w:bottom w:val="none" w:sz="0" w:space="0" w:color="auto"/>
                <w:right w:val="none" w:sz="0" w:space="0" w:color="auto"/>
              </w:divBdr>
            </w:div>
            <w:div w:id="828983667">
              <w:marLeft w:val="0"/>
              <w:marRight w:val="0"/>
              <w:marTop w:val="0"/>
              <w:marBottom w:val="0"/>
              <w:divBdr>
                <w:top w:val="none" w:sz="0" w:space="0" w:color="auto"/>
                <w:left w:val="none" w:sz="0" w:space="0" w:color="auto"/>
                <w:bottom w:val="none" w:sz="0" w:space="0" w:color="auto"/>
                <w:right w:val="none" w:sz="0" w:space="0" w:color="auto"/>
              </w:divBdr>
            </w:div>
            <w:div w:id="1852528303">
              <w:marLeft w:val="0"/>
              <w:marRight w:val="0"/>
              <w:marTop w:val="0"/>
              <w:marBottom w:val="0"/>
              <w:divBdr>
                <w:top w:val="none" w:sz="0" w:space="0" w:color="auto"/>
                <w:left w:val="none" w:sz="0" w:space="0" w:color="auto"/>
                <w:bottom w:val="none" w:sz="0" w:space="0" w:color="auto"/>
                <w:right w:val="none" w:sz="0" w:space="0" w:color="auto"/>
              </w:divBdr>
            </w:div>
            <w:div w:id="709768768">
              <w:marLeft w:val="0"/>
              <w:marRight w:val="0"/>
              <w:marTop w:val="0"/>
              <w:marBottom w:val="0"/>
              <w:divBdr>
                <w:top w:val="none" w:sz="0" w:space="0" w:color="auto"/>
                <w:left w:val="none" w:sz="0" w:space="0" w:color="auto"/>
                <w:bottom w:val="none" w:sz="0" w:space="0" w:color="auto"/>
                <w:right w:val="none" w:sz="0" w:space="0" w:color="auto"/>
              </w:divBdr>
            </w:div>
            <w:div w:id="1534272300">
              <w:marLeft w:val="0"/>
              <w:marRight w:val="0"/>
              <w:marTop w:val="0"/>
              <w:marBottom w:val="0"/>
              <w:divBdr>
                <w:top w:val="none" w:sz="0" w:space="0" w:color="auto"/>
                <w:left w:val="none" w:sz="0" w:space="0" w:color="auto"/>
                <w:bottom w:val="none" w:sz="0" w:space="0" w:color="auto"/>
                <w:right w:val="none" w:sz="0" w:space="0" w:color="auto"/>
              </w:divBdr>
            </w:div>
            <w:div w:id="1851214625">
              <w:marLeft w:val="0"/>
              <w:marRight w:val="0"/>
              <w:marTop w:val="0"/>
              <w:marBottom w:val="0"/>
              <w:divBdr>
                <w:top w:val="none" w:sz="0" w:space="0" w:color="auto"/>
                <w:left w:val="none" w:sz="0" w:space="0" w:color="auto"/>
                <w:bottom w:val="none" w:sz="0" w:space="0" w:color="auto"/>
                <w:right w:val="none" w:sz="0" w:space="0" w:color="auto"/>
              </w:divBdr>
            </w:div>
            <w:div w:id="1523520355">
              <w:marLeft w:val="0"/>
              <w:marRight w:val="0"/>
              <w:marTop w:val="0"/>
              <w:marBottom w:val="0"/>
              <w:divBdr>
                <w:top w:val="none" w:sz="0" w:space="0" w:color="auto"/>
                <w:left w:val="none" w:sz="0" w:space="0" w:color="auto"/>
                <w:bottom w:val="none" w:sz="0" w:space="0" w:color="auto"/>
                <w:right w:val="none" w:sz="0" w:space="0" w:color="auto"/>
              </w:divBdr>
            </w:div>
            <w:div w:id="957954947">
              <w:marLeft w:val="0"/>
              <w:marRight w:val="0"/>
              <w:marTop w:val="0"/>
              <w:marBottom w:val="0"/>
              <w:divBdr>
                <w:top w:val="none" w:sz="0" w:space="0" w:color="auto"/>
                <w:left w:val="none" w:sz="0" w:space="0" w:color="auto"/>
                <w:bottom w:val="none" w:sz="0" w:space="0" w:color="auto"/>
                <w:right w:val="none" w:sz="0" w:space="0" w:color="auto"/>
              </w:divBdr>
            </w:div>
            <w:div w:id="808791101">
              <w:marLeft w:val="0"/>
              <w:marRight w:val="0"/>
              <w:marTop w:val="0"/>
              <w:marBottom w:val="0"/>
              <w:divBdr>
                <w:top w:val="none" w:sz="0" w:space="0" w:color="auto"/>
                <w:left w:val="none" w:sz="0" w:space="0" w:color="auto"/>
                <w:bottom w:val="none" w:sz="0" w:space="0" w:color="auto"/>
                <w:right w:val="none" w:sz="0" w:space="0" w:color="auto"/>
              </w:divBdr>
            </w:div>
            <w:div w:id="843936632">
              <w:marLeft w:val="0"/>
              <w:marRight w:val="0"/>
              <w:marTop w:val="0"/>
              <w:marBottom w:val="0"/>
              <w:divBdr>
                <w:top w:val="none" w:sz="0" w:space="0" w:color="auto"/>
                <w:left w:val="none" w:sz="0" w:space="0" w:color="auto"/>
                <w:bottom w:val="none" w:sz="0" w:space="0" w:color="auto"/>
                <w:right w:val="none" w:sz="0" w:space="0" w:color="auto"/>
              </w:divBdr>
            </w:div>
            <w:div w:id="2033410832">
              <w:marLeft w:val="0"/>
              <w:marRight w:val="0"/>
              <w:marTop w:val="0"/>
              <w:marBottom w:val="0"/>
              <w:divBdr>
                <w:top w:val="none" w:sz="0" w:space="0" w:color="auto"/>
                <w:left w:val="none" w:sz="0" w:space="0" w:color="auto"/>
                <w:bottom w:val="none" w:sz="0" w:space="0" w:color="auto"/>
                <w:right w:val="none" w:sz="0" w:space="0" w:color="auto"/>
              </w:divBdr>
            </w:div>
            <w:div w:id="1914928721">
              <w:marLeft w:val="0"/>
              <w:marRight w:val="0"/>
              <w:marTop w:val="0"/>
              <w:marBottom w:val="0"/>
              <w:divBdr>
                <w:top w:val="none" w:sz="0" w:space="0" w:color="auto"/>
                <w:left w:val="none" w:sz="0" w:space="0" w:color="auto"/>
                <w:bottom w:val="none" w:sz="0" w:space="0" w:color="auto"/>
                <w:right w:val="none" w:sz="0" w:space="0" w:color="auto"/>
              </w:divBdr>
            </w:div>
            <w:div w:id="582028301">
              <w:marLeft w:val="0"/>
              <w:marRight w:val="0"/>
              <w:marTop w:val="0"/>
              <w:marBottom w:val="0"/>
              <w:divBdr>
                <w:top w:val="none" w:sz="0" w:space="0" w:color="auto"/>
                <w:left w:val="none" w:sz="0" w:space="0" w:color="auto"/>
                <w:bottom w:val="none" w:sz="0" w:space="0" w:color="auto"/>
                <w:right w:val="none" w:sz="0" w:space="0" w:color="auto"/>
              </w:divBdr>
            </w:div>
            <w:div w:id="1316446611">
              <w:marLeft w:val="0"/>
              <w:marRight w:val="0"/>
              <w:marTop w:val="0"/>
              <w:marBottom w:val="0"/>
              <w:divBdr>
                <w:top w:val="none" w:sz="0" w:space="0" w:color="auto"/>
                <w:left w:val="none" w:sz="0" w:space="0" w:color="auto"/>
                <w:bottom w:val="none" w:sz="0" w:space="0" w:color="auto"/>
                <w:right w:val="none" w:sz="0" w:space="0" w:color="auto"/>
              </w:divBdr>
            </w:div>
            <w:div w:id="1564832265">
              <w:marLeft w:val="0"/>
              <w:marRight w:val="0"/>
              <w:marTop w:val="0"/>
              <w:marBottom w:val="0"/>
              <w:divBdr>
                <w:top w:val="none" w:sz="0" w:space="0" w:color="auto"/>
                <w:left w:val="none" w:sz="0" w:space="0" w:color="auto"/>
                <w:bottom w:val="none" w:sz="0" w:space="0" w:color="auto"/>
                <w:right w:val="none" w:sz="0" w:space="0" w:color="auto"/>
              </w:divBdr>
            </w:div>
            <w:div w:id="2128350704">
              <w:marLeft w:val="0"/>
              <w:marRight w:val="0"/>
              <w:marTop w:val="0"/>
              <w:marBottom w:val="0"/>
              <w:divBdr>
                <w:top w:val="none" w:sz="0" w:space="0" w:color="auto"/>
                <w:left w:val="none" w:sz="0" w:space="0" w:color="auto"/>
                <w:bottom w:val="none" w:sz="0" w:space="0" w:color="auto"/>
                <w:right w:val="none" w:sz="0" w:space="0" w:color="auto"/>
              </w:divBdr>
            </w:div>
            <w:div w:id="821191456">
              <w:marLeft w:val="0"/>
              <w:marRight w:val="0"/>
              <w:marTop w:val="0"/>
              <w:marBottom w:val="0"/>
              <w:divBdr>
                <w:top w:val="none" w:sz="0" w:space="0" w:color="auto"/>
                <w:left w:val="none" w:sz="0" w:space="0" w:color="auto"/>
                <w:bottom w:val="none" w:sz="0" w:space="0" w:color="auto"/>
                <w:right w:val="none" w:sz="0" w:space="0" w:color="auto"/>
              </w:divBdr>
            </w:div>
            <w:div w:id="1816296704">
              <w:marLeft w:val="0"/>
              <w:marRight w:val="0"/>
              <w:marTop w:val="0"/>
              <w:marBottom w:val="0"/>
              <w:divBdr>
                <w:top w:val="none" w:sz="0" w:space="0" w:color="auto"/>
                <w:left w:val="none" w:sz="0" w:space="0" w:color="auto"/>
                <w:bottom w:val="none" w:sz="0" w:space="0" w:color="auto"/>
                <w:right w:val="none" w:sz="0" w:space="0" w:color="auto"/>
              </w:divBdr>
            </w:div>
            <w:div w:id="231543999">
              <w:marLeft w:val="0"/>
              <w:marRight w:val="0"/>
              <w:marTop w:val="0"/>
              <w:marBottom w:val="0"/>
              <w:divBdr>
                <w:top w:val="none" w:sz="0" w:space="0" w:color="auto"/>
                <w:left w:val="none" w:sz="0" w:space="0" w:color="auto"/>
                <w:bottom w:val="none" w:sz="0" w:space="0" w:color="auto"/>
                <w:right w:val="none" w:sz="0" w:space="0" w:color="auto"/>
              </w:divBdr>
            </w:div>
            <w:div w:id="1901742693">
              <w:marLeft w:val="0"/>
              <w:marRight w:val="0"/>
              <w:marTop w:val="0"/>
              <w:marBottom w:val="0"/>
              <w:divBdr>
                <w:top w:val="none" w:sz="0" w:space="0" w:color="auto"/>
                <w:left w:val="none" w:sz="0" w:space="0" w:color="auto"/>
                <w:bottom w:val="none" w:sz="0" w:space="0" w:color="auto"/>
                <w:right w:val="none" w:sz="0" w:space="0" w:color="auto"/>
              </w:divBdr>
            </w:div>
            <w:div w:id="293371431">
              <w:marLeft w:val="0"/>
              <w:marRight w:val="0"/>
              <w:marTop w:val="0"/>
              <w:marBottom w:val="0"/>
              <w:divBdr>
                <w:top w:val="none" w:sz="0" w:space="0" w:color="auto"/>
                <w:left w:val="none" w:sz="0" w:space="0" w:color="auto"/>
                <w:bottom w:val="none" w:sz="0" w:space="0" w:color="auto"/>
                <w:right w:val="none" w:sz="0" w:space="0" w:color="auto"/>
              </w:divBdr>
            </w:div>
            <w:div w:id="1126386288">
              <w:marLeft w:val="0"/>
              <w:marRight w:val="0"/>
              <w:marTop w:val="0"/>
              <w:marBottom w:val="0"/>
              <w:divBdr>
                <w:top w:val="none" w:sz="0" w:space="0" w:color="auto"/>
                <w:left w:val="none" w:sz="0" w:space="0" w:color="auto"/>
                <w:bottom w:val="none" w:sz="0" w:space="0" w:color="auto"/>
                <w:right w:val="none" w:sz="0" w:space="0" w:color="auto"/>
              </w:divBdr>
            </w:div>
            <w:div w:id="1270426206">
              <w:marLeft w:val="0"/>
              <w:marRight w:val="0"/>
              <w:marTop w:val="0"/>
              <w:marBottom w:val="0"/>
              <w:divBdr>
                <w:top w:val="none" w:sz="0" w:space="0" w:color="auto"/>
                <w:left w:val="none" w:sz="0" w:space="0" w:color="auto"/>
                <w:bottom w:val="none" w:sz="0" w:space="0" w:color="auto"/>
                <w:right w:val="none" w:sz="0" w:space="0" w:color="auto"/>
              </w:divBdr>
            </w:div>
            <w:div w:id="1593775550">
              <w:marLeft w:val="0"/>
              <w:marRight w:val="0"/>
              <w:marTop w:val="0"/>
              <w:marBottom w:val="0"/>
              <w:divBdr>
                <w:top w:val="none" w:sz="0" w:space="0" w:color="auto"/>
                <w:left w:val="none" w:sz="0" w:space="0" w:color="auto"/>
                <w:bottom w:val="none" w:sz="0" w:space="0" w:color="auto"/>
                <w:right w:val="none" w:sz="0" w:space="0" w:color="auto"/>
              </w:divBdr>
            </w:div>
            <w:div w:id="879781814">
              <w:marLeft w:val="0"/>
              <w:marRight w:val="0"/>
              <w:marTop w:val="0"/>
              <w:marBottom w:val="0"/>
              <w:divBdr>
                <w:top w:val="none" w:sz="0" w:space="0" w:color="auto"/>
                <w:left w:val="none" w:sz="0" w:space="0" w:color="auto"/>
                <w:bottom w:val="none" w:sz="0" w:space="0" w:color="auto"/>
                <w:right w:val="none" w:sz="0" w:space="0" w:color="auto"/>
              </w:divBdr>
            </w:div>
            <w:div w:id="1365786278">
              <w:marLeft w:val="0"/>
              <w:marRight w:val="0"/>
              <w:marTop w:val="0"/>
              <w:marBottom w:val="0"/>
              <w:divBdr>
                <w:top w:val="none" w:sz="0" w:space="0" w:color="auto"/>
                <w:left w:val="none" w:sz="0" w:space="0" w:color="auto"/>
                <w:bottom w:val="none" w:sz="0" w:space="0" w:color="auto"/>
                <w:right w:val="none" w:sz="0" w:space="0" w:color="auto"/>
              </w:divBdr>
            </w:div>
            <w:div w:id="2139100958">
              <w:marLeft w:val="0"/>
              <w:marRight w:val="0"/>
              <w:marTop w:val="0"/>
              <w:marBottom w:val="0"/>
              <w:divBdr>
                <w:top w:val="none" w:sz="0" w:space="0" w:color="auto"/>
                <w:left w:val="none" w:sz="0" w:space="0" w:color="auto"/>
                <w:bottom w:val="none" w:sz="0" w:space="0" w:color="auto"/>
                <w:right w:val="none" w:sz="0" w:space="0" w:color="auto"/>
              </w:divBdr>
            </w:div>
            <w:div w:id="1750034973">
              <w:marLeft w:val="0"/>
              <w:marRight w:val="0"/>
              <w:marTop w:val="0"/>
              <w:marBottom w:val="0"/>
              <w:divBdr>
                <w:top w:val="none" w:sz="0" w:space="0" w:color="auto"/>
                <w:left w:val="none" w:sz="0" w:space="0" w:color="auto"/>
                <w:bottom w:val="none" w:sz="0" w:space="0" w:color="auto"/>
                <w:right w:val="none" w:sz="0" w:space="0" w:color="auto"/>
              </w:divBdr>
            </w:div>
            <w:div w:id="152066939">
              <w:marLeft w:val="0"/>
              <w:marRight w:val="0"/>
              <w:marTop w:val="0"/>
              <w:marBottom w:val="0"/>
              <w:divBdr>
                <w:top w:val="none" w:sz="0" w:space="0" w:color="auto"/>
                <w:left w:val="none" w:sz="0" w:space="0" w:color="auto"/>
                <w:bottom w:val="none" w:sz="0" w:space="0" w:color="auto"/>
                <w:right w:val="none" w:sz="0" w:space="0" w:color="auto"/>
              </w:divBdr>
            </w:div>
            <w:div w:id="625813954">
              <w:marLeft w:val="0"/>
              <w:marRight w:val="0"/>
              <w:marTop w:val="0"/>
              <w:marBottom w:val="0"/>
              <w:divBdr>
                <w:top w:val="none" w:sz="0" w:space="0" w:color="auto"/>
                <w:left w:val="none" w:sz="0" w:space="0" w:color="auto"/>
                <w:bottom w:val="none" w:sz="0" w:space="0" w:color="auto"/>
                <w:right w:val="none" w:sz="0" w:space="0" w:color="auto"/>
              </w:divBdr>
            </w:div>
            <w:div w:id="2103067244">
              <w:marLeft w:val="0"/>
              <w:marRight w:val="0"/>
              <w:marTop w:val="0"/>
              <w:marBottom w:val="0"/>
              <w:divBdr>
                <w:top w:val="none" w:sz="0" w:space="0" w:color="auto"/>
                <w:left w:val="none" w:sz="0" w:space="0" w:color="auto"/>
                <w:bottom w:val="none" w:sz="0" w:space="0" w:color="auto"/>
                <w:right w:val="none" w:sz="0" w:space="0" w:color="auto"/>
              </w:divBdr>
            </w:div>
            <w:div w:id="1324898422">
              <w:marLeft w:val="0"/>
              <w:marRight w:val="0"/>
              <w:marTop w:val="0"/>
              <w:marBottom w:val="0"/>
              <w:divBdr>
                <w:top w:val="none" w:sz="0" w:space="0" w:color="auto"/>
                <w:left w:val="none" w:sz="0" w:space="0" w:color="auto"/>
                <w:bottom w:val="none" w:sz="0" w:space="0" w:color="auto"/>
                <w:right w:val="none" w:sz="0" w:space="0" w:color="auto"/>
              </w:divBdr>
            </w:div>
            <w:div w:id="949512355">
              <w:marLeft w:val="0"/>
              <w:marRight w:val="0"/>
              <w:marTop w:val="0"/>
              <w:marBottom w:val="0"/>
              <w:divBdr>
                <w:top w:val="none" w:sz="0" w:space="0" w:color="auto"/>
                <w:left w:val="none" w:sz="0" w:space="0" w:color="auto"/>
                <w:bottom w:val="none" w:sz="0" w:space="0" w:color="auto"/>
                <w:right w:val="none" w:sz="0" w:space="0" w:color="auto"/>
              </w:divBdr>
            </w:div>
            <w:div w:id="1814759592">
              <w:marLeft w:val="0"/>
              <w:marRight w:val="0"/>
              <w:marTop w:val="0"/>
              <w:marBottom w:val="0"/>
              <w:divBdr>
                <w:top w:val="none" w:sz="0" w:space="0" w:color="auto"/>
                <w:left w:val="none" w:sz="0" w:space="0" w:color="auto"/>
                <w:bottom w:val="none" w:sz="0" w:space="0" w:color="auto"/>
                <w:right w:val="none" w:sz="0" w:space="0" w:color="auto"/>
              </w:divBdr>
            </w:div>
            <w:div w:id="774248163">
              <w:marLeft w:val="0"/>
              <w:marRight w:val="0"/>
              <w:marTop w:val="0"/>
              <w:marBottom w:val="0"/>
              <w:divBdr>
                <w:top w:val="none" w:sz="0" w:space="0" w:color="auto"/>
                <w:left w:val="none" w:sz="0" w:space="0" w:color="auto"/>
                <w:bottom w:val="none" w:sz="0" w:space="0" w:color="auto"/>
                <w:right w:val="none" w:sz="0" w:space="0" w:color="auto"/>
              </w:divBdr>
            </w:div>
            <w:div w:id="224490180">
              <w:marLeft w:val="0"/>
              <w:marRight w:val="0"/>
              <w:marTop w:val="0"/>
              <w:marBottom w:val="0"/>
              <w:divBdr>
                <w:top w:val="none" w:sz="0" w:space="0" w:color="auto"/>
                <w:left w:val="none" w:sz="0" w:space="0" w:color="auto"/>
                <w:bottom w:val="none" w:sz="0" w:space="0" w:color="auto"/>
                <w:right w:val="none" w:sz="0" w:space="0" w:color="auto"/>
              </w:divBdr>
            </w:div>
            <w:div w:id="1671174368">
              <w:marLeft w:val="0"/>
              <w:marRight w:val="0"/>
              <w:marTop w:val="0"/>
              <w:marBottom w:val="0"/>
              <w:divBdr>
                <w:top w:val="none" w:sz="0" w:space="0" w:color="auto"/>
                <w:left w:val="none" w:sz="0" w:space="0" w:color="auto"/>
                <w:bottom w:val="none" w:sz="0" w:space="0" w:color="auto"/>
                <w:right w:val="none" w:sz="0" w:space="0" w:color="auto"/>
              </w:divBdr>
            </w:div>
            <w:div w:id="1482692318">
              <w:marLeft w:val="0"/>
              <w:marRight w:val="0"/>
              <w:marTop w:val="0"/>
              <w:marBottom w:val="0"/>
              <w:divBdr>
                <w:top w:val="none" w:sz="0" w:space="0" w:color="auto"/>
                <w:left w:val="none" w:sz="0" w:space="0" w:color="auto"/>
                <w:bottom w:val="none" w:sz="0" w:space="0" w:color="auto"/>
                <w:right w:val="none" w:sz="0" w:space="0" w:color="auto"/>
              </w:divBdr>
            </w:div>
            <w:div w:id="1540631945">
              <w:marLeft w:val="0"/>
              <w:marRight w:val="0"/>
              <w:marTop w:val="0"/>
              <w:marBottom w:val="0"/>
              <w:divBdr>
                <w:top w:val="none" w:sz="0" w:space="0" w:color="auto"/>
                <w:left w:val="none" w:sz="0" w:space="0" w:color="auto"/>
                <w:bottom w:val="none" w:sz="0" w:space="0" w:color="auto"/>
                <w:right w:val="none" w:sz="0" w:space="0" w:color="auto"/>
              </w:divBdr>
            </w:div>
            <w:div w:id="1709915196">
              <w:marLeft w:val="0"/>
              <w:marRight w:val="0"/>
              <w:marTop w:val="0"/>
              <w:marBottom w:val="0"/>
              <w:divBdr>
                <w:top w:val="none" w:sz="0" w:space="0" w:color="auto"/>
                <w:left w:val="none" w:sz="0" w:space="0" w:color="auto"/>
                <w:bottom w:val="none" w:sz="0" w:space="0" w:color="auto"/>
                <w:right w:val="none" w:sz="0" w:space="0" w:color="auto"/>
              </w:divBdr>
            </w:div>
            <w:div w:id="1909143167">
              <w:marLeft w:val="0"/>
              <w:marRight w:val="0"/>
              <w:marTop w:val="0"/>
              <w:marBottom w:val="0"/>
              <w:divBdr>
                <w:top w:val="none" w:sz="0" w:space="0" w:color="auto"/>
                <w:left w:val="none" w:sz="0" w:space="0" w:color="auto"/>
                <w:bottom w:val="none" w:sz="0" w:space="0" w:color="auto"/>
                <w:right w:val="none" w:sz="0" w:space="0" w:color="auto"/>
              </w:divBdr>
            </w:div>
            <w:div w:id="757871178">
              <w:marLeft w:val="0"/>
              <w:marRight w:val="0"/>
              <w:marTop w:val="0"/>
              <w:marBottom w:val="0"/>
              <w:divBdr>
                <w:top w:val="none" w:sz="0" w:space="0" w:color="auto"/>
                <w:left w:val="none" w:sz="0" w:space="0" w:color="auto"/>
                <w:bottom w:val="none" w:sz="0" w:space="0" w:color="auto"/>
                <w:right w:val="none" w:sz="0" w:space="0" w:color="auto"/>
              </w:divBdr>
            </w:div>
            <w:div w:id="1472744339">
              <w:marLeft w:val="0"/>
              <w:marRight w:val="0"/>
              <w:marTop w:val="0"/>
              <w:marBottom w:val="0"/>
              <w:divBdr>
                <w:top w:val="none" w:sz="0" w:space="0" w:color="auto"/>
                <w:left w:val="none" w:sz="0" w:space="0" w:color="auto"/>
                <w:bottom w:val="none" w:sz="0" w:space="0" w:color="auto"/>
                <w:right w:val="none" w:sz="0" w:space="0" w:color="auto"/>
              </w:divBdr>
            </w:div>
            <w:div w:id="1504395125">
              <w:marLeft w:val="0"/>
              <w:marRight w:val="0"/>
              <w:marTop w:val="0"/>
              <w:marBottom w:val="0"/>
              <w:divBdr>
                <w:top w:val="none" w:sz="0" w:space="0" w:color="auto"/>
                <w:left w:val="none" w:sz="0" w:space="0" w:color="auto"/>
                <w:bottom w:val="none" w:sz="0" w:space="0" w:color="auto"/>
                <w:right w:val="none" w:sz="0" w:space="0" w:color="auto"/>
              </w:divBdr>
            </w:div>
            <w:div w:id="41833341">
              <w:marLeft w:val="0"/>
              <w:marRight w:val="0"/>
              <w:marTop w:val="0"/>
              <w:marBottom w:val="0"/>
              <w:divBdr>
                <w:top w:val="none" w:sz="0" w:space="0" w:color="auto"/>
                <w:left w:val="none" w:sz="0" w:space="0" w:color="auto"/>
                <w:bottom w:val="none" w:sz="0" w:space="0" w:color="auto"/>
                <w:right w:val="none" w:sz="0" w:space="0" w:color="auto"/>
              </w:divBdr>
            </w:div>
            <w:div w:id="348877925">
              <w:marLeft w:val="0"/>
              <w:marRight w:val="0"/>
              <w:marTop w:val="0"/>
              <w:marBottom w:val="0"/>
              <w:divBdr>
                <w:top w:val="none" w:sz="0" w:space="0" w:color="auto"/>
                <w:left w:val="none" w:sz="0" w:space="0" w:color="auto"/>
                <w:bottom w:val="none" w:sz="0" w:space="0" w:color="auto"/>
                <w:right w:val="none" w:sz="0" w:space="0" w:color="auto"/>
              </w:divBdr>
            </w:div>
            <w:div w:id="1936589359">
              <w:marLeft w:val="0"/>
              <w:marRight w:val="0"/>
              <w:marTop w:val="0"/>
              <w:marBottom w:val="0"/>
              <w:divBdr>
                <w:top w:val="none" w:sz="0" w:space="0" w:color="auto"/>
                <w:left w:val="none" w:sz="0" w:space="0" w:color="auto"/>
                <w:bottom w:val="none" w:sz="0" w:space="0" w:color="auto"/>
                <w:right w:val="none" w:sz="0" w:space="0" w:color="auto"/>
              </w:divBdr>
            </w:div>
            <w:div w:id="1325469182">
              <w:marLeft w:val="0"/>
              <w:marRight w:val="0"/>
              <w:marTop w:val="0"/>
              <w:marBottom w:val="0"/>
              <w:divBdr>
                <w:top w:val="none" w:sz="0" w:space="0" w:color="auto"/>
                <w:left w:val="none" w:sz="0" w:space="0" w:color="auto"/>
                <w:bottom w:val="none" w:sz="0" w:space="0" w:color="auto"/>
                <w:right w:val="none" w:sz="0" w:space="0" w:color="auto"/>
              </w:divBdr>
            </w:div>
            <w:div w:id="1682851373">
              <w:marLeft w:val="0"/>
              <w:marRight w:val="0"/>
              <w:marTop w:val="0"/>
              <w:marBottom w:val="0"/>
              <w:divBdr>
                <w:top w:val="none" w:sz="0" w:space="0" w:color="auto"/>
                <w:left w:val="none" w:sz="0" w:space="0" w:color="auto"/>
                <w:bottom w:val="none" w:sz="0" w:space="0" w:color="auto"/>
                <w:right w:val="none" w:sz="0" w:space="0" w:color="auto"/>
              </w:divBdr>
            </w:div>
            <w:div w:id="1437672047">
              <w:marLeft w:val="0"/>
              <w:marRight w:val="0"/>
              <w:marTop w:val="0"/>
              <w:marBottom w:val="0"/>
              <w:divBdr>
                <w:top w:val="none" w:sz="0" w:space="0" w:color="auto"/>
                <w:left w:val="none" w:sz="0" w:space="0" w:color="auto"/>
                <w:bottom w:val="none" w:sz="0" w:space="0" w:color="auto"/>
                <w:right w:val="none" w:sz="0" w:space="0" w:color="auto"/>
              </w:divBdr>
            </w:div>
            <w:div w:id="2139032749">
              <w:marLeft w:val="0"/>
              <w:marRight w:val="0"/>
              <w:marTop w:val="0"/>
              <w:marBottom w:val="0"/>
              <w:divBdr>
                <w:top w:val="none" w:sz="0" w:space="0" w:color="auto"/>
                <w:left w:val="none" w:sz="0" w:space="0" w:color="auto"/>
                <w:bottom w:val="none" w:sz="0" w:space="0" w:color="auto"/>
                <w:right w:val="none" w:sz="0" w:space="0" w:color="auto"/>
              </w:divBdr>
            </w:div>
            <w:div w:id="1563977769">
              <w:marLeft w:val="0"/>
              <w:marRight w:val="0"/>
              <w:marTop w:val="0"/>
              <w:marBottom w:val="0"/>
              <w:divBdr>
                <w:top w:val="none" w:sz="0" w:space="0" w:color="auto"/>
                <w:left w:val="none" w:sz="0" w:space="0" w:color="auto"/>
                <w:bottom w:val="none" w:sz="0" w:space="0" w:color="auto"/>
                <w:right w:val="none" w:sz="0" w:space="0" w:color="auto"/>
              </w:divBdr>
            </w:div>
            <w:div w:id="542400224">
              <w:marLeft w:val="0"/>
              <w:marRight w:val="0"/>
              <w:marTop w:val="0"/>
              <w:marBottom w:val="0"/>
              <w:divBdr>
                <w:top w:val="none" w:sz="0" w:space="0" w:color="auto"/>
                <w:left w:val="none" w:sz="0" w:space="0" w:color="auto"/>
                <w:bottom w:val="none" w:sz="0" w:space="0" w:color="auto"/>
                <w:right w:val="none" w:sz="0" w:space="0" w:color="auto"/>
              </w:divBdr>
            </w:div>
            <w:div w:id="1448043372">
              <w:marLeft w:val="0"/>
              <w:marRight w:val="0"/>
              <w:marTop w:val="0"/>
              <w:marBottom w:val="0"/>
              <w:divBdr>
                <w:top w:val="none" w:sz="0" w:space="0" w:color="auto"/>
                <w:left w:val="none" w:sz="0" w:space="0" w:color="auto"/>
                <w:bottom w:val="none" w:sz="0" w:space="0" w:color="auto"/>
                <w:right w:val="none" w:sz="0" w:space="0" w:color="auto"/>
              </w:divBdr>
            </w:div>
            <w:div w:id="1190992359">
              <w:marLeft w:val="0"/>
              <w:marRight w:val="0"/>
              <w:marTop w:val="0"/>
              <w:marBottom w:val="0"/>
              <w:divBdr>
                <w:top w:val="none" w:sz="0" w:space="0" w:color="auto"/>
                <w:left w:val="none" w:sz="0" w:space="0" w:color="auto"/>
                <w:bottom w:val="none" w:sz="0" w:space="0" w:color="auto"/>
                <w:right w:val="none" w:sz="0" w:space="0" w:color="auto"/>
              </w:divBdr>
            </w:div>
            <w:div w:id="1409570299">
              <w:marLeft w:val="0"/>
              <w:marRight w:val="0"/>
              <w:marTop w:val="0"/>
              <w:marBottom w:val="0"/>
              <w:divBdr>
                <w:top w:val="none" w:sz="0" w:space="0" w:color="auto"/>
                <w:left w:val="none" w:sz="0" w:space="0" w:color="auto"/>
                <w:bottom w:val="none" w:sz="0" w:space="0" w:color="auto"/>
                <w:right w:val="none" w:sz="0" w:space="0" w:color="auto"/>
              </w:divBdr>
            </w:div>
            <w:div w:id="710306505">
              <w:marLeft w:val="0"/>
              <w:marRight w:val="0"/>
              <w:marTop w:val="0"/>
              <w:marBottom w:val="0"/>
              <w:divBdr>
                <w:top w:val="none" w:sz="0" w:space="0" w:color="auto"/>
                <w:left w:val="none" w:sz="0" w:space="0" w:color="auto"/>
                <w:bottom w:val="none" w:sz="0" w:space="0" w:color="auto"/>
                <w:right w:val="none" w:sz="0" w:space="0" w:color="auto"/>
              </w:divBdr>
            </w:div>
            <w:div w:id="1035882910">
              <w:marLeft w:val="0"/>
              <w:marRight w:val="0"/>
              <w:marTop w:val="0"/>
              <w:marBottom w:val="0"/>
              <w:divBdr>
                <w:top w:val="none" w:sz="0" w:space="0" w:color="auto"/>
                <w:left w:val="none" w:sz="0" w:space="0" w:color="auto"/>
                <w:bottom w:val="none" w:sz="0" w:space="0" w:color="auto"/>
                <w:right w:val="none" w:sz="0" w:space="0" w:color="auto"/>
              </w:divBdr>
            </w:div>
            <w:div w:id="1194610639">
              <w:marLeft w:val="0"/>
              <w:marRight w:val="0"/>
              <w:marTop w:val="0"/>
              <w:marBottom w:val="0"/>
              <w:divBdr>
                <w:top w:val="none" w:sz="0" w:space="0" w:color="auto"/>
                <w:left w:val="none" w:sz="0" w:space="0" w:color="auto"/>
                <w:bottom w:val="none" w:sz="0" w:space="0" w:color="auto"/>
                <w:right w:val="none" w:sz="0" w:space="0" w:color="auto"/>
              </w:divBdr>
            </w:div>
            <w:div w:id="1525631997">
              <w:marLeft w:val="0"/>
              <w:marRight w:val="0"/>
              <w:marTop w:val="0"/>
              <w:marBottom w:val="0"/>
              <w:divBdr>
                <w:top w:val="none" w:sz="0" w:space="0" w:color="auto"/>
                <w:left w:val="none" w:sz="0" w:space="0" w:color="auto"/>
                <w:bottom w:val="none" w:sz="0" w:space="0" w:color="auto"/>
                <w:right w:val="none" w:sz="0" w:space="0" w:color="auto"/>
              </w:divBdr>
            </w:div>
            <w:div w:id="1063214796">
              <w:marLeft w:val="0"/>
              <w:marRight w:val="0"/>
              <w:marTop w:val="0"/>
              <w:marBottom w:val="0"/>
              <w:divBdr>
                <w:top w:val="none" w:sz="0" w:space="0" w:color="auto"/>
                <w:left w:val="none" w:sz="0" w:space="0" w:color="auto"/>
                <w:bottom w:val="none" w:sz="0" w:space="0" w:color="auto"/>
                <w:right w:val="none" w:sz="0" w:space="0" w:color="auto"/>
              </w:divBdr>
            </w:div>
            <w:div w:id="1493062645">
              <w:marLeft w:val="0"/>
              <w:marRight w:val="0"/>
              <w:marTop w:val="0"/>
              <w:marBottom w:val="0"/>
              <w:divBdr>
                <w:top w:val="none" w:sz="0" w:space="0" w:color="auto"/>
                <w:left w:val="none" w:sz="0" w:space="0" w:color="auto"/>
                <w:bottom w:val="none" w:sz="0" w:space="0" w:color="auto"/>
                <w:right w:val="none" w:sz="0" w:space="0" w:color="auto"/>
              </w:divBdr>
            </w:div>
            <w:div w:id="133716905">
              <w:marLeft w:val="0"/>
              <w:marRight w:val="0"/>
              <w:marTop w:val="0"/>
              <w:marBottom w:val="0"/>
              <w:divBdr>
                <w:top w:val="none" w:sz="0" w:space="0" w:color="auto"/>
                <w:left w:val="none" w:sz="0" w:space="0" w:color="auto"/>
                <w:bottom w:val="none" w:sz="0" w:space="0" w:color="auto"/>
                <w:right w:val="none" w:sz="0" w:space="0" w:color="auto"/>
              </w:divBdr>
            </w:div>
            <w:div w:id="2020693511">
              <w:marLeft w:val="0"/>
              <w:marRight w:val="0"/>
              <w:marTop w:val="0"/>
              <w:marBottom w:val="0"/>
              <w:divBdr>
                <w:top w:val="none" w:sz="0" w:space="0" w:color="auto"/>
                <w:left w:val="none" w:sz="0" w:space="0" w:color="auto"/>
                <w:bottom w:val="none" w:sz="0" w:space="0" w:color="auto"/>
                <w:right w:val="none" w:sz="0" w:space="0" w:color="auto"/>
              </w:divBdr>
            </w:div>
            <w:div w:id="2123763373">
              <w:marLeft w:val="0"/>
              <w:marRight w:val="0"/>
              <w:marTop w:val="0"/>
              <w:marBottom w:val="0"/>
              <w:divBdr>
                <w:top w:val="none" w:sz="0" w:space="0" w:color="auto"/>
                <w:left w:val="none" w:sz="0" w:space="0" w:color="auto"/>
                <w:bottom w:val="none" w:sz="0" w:space="0" w:color="auto"/>
                <w:right w:val="none" w:sz="0" w:space="0" w:color="auto"/>
              </w:divBdr>
            </w:div>
            <w:div w:id="111831388">
              <w:marLeft w:val="0"/>
              <w:marRight w:val="0"/>
              <w:marTop w:val="0"/>
              <w:marBottom w:val="0"/>
              <w:divBdr>
                <w:top w:val="none" w:sz="0" w:space="0" w:color="auto"/>
                <w:left w:val="none" w:sz="0" w:space="0" w:color="auto"/>
                <w:bottom w:val="none" w:sz="0" w:space="0" w:color="auto"/>
                <w:right w:val="none" w:sz="0" w:space="0" w:color="auto"/>
              </w:divBdr>
            </w:div>
            <w:div w:id="544102373">
              <w:marLeft w:val="0"/>
              <w:marRight w:val="0"/>
              <w:marTop w:val="0"/>
              <w:marBottom w:val="0"/>
              <w:divBdr>
                <w:top w:val="none" w:sz="0" w:space="0" w:color="auto"/>
                <w:left w:val="none" w:sz="0" w:space="0" w:color="auto"/>
                <w:bottom w:val="none" w:sz="0" w:space="0" w:color="auto"/>
                <w:right w:val="none" w:sz="0" w:space="0" w:color="auto"/>
              </w:divBdr>
            </w:div>
            <w:div w:id="2081635292">
              <w:marLeft w:val="0"/>
              <w:marRight w:val="0"/>
              <w:marTop w:val="0"/>
              <w:marBottom w:val="0"/>
              <w:divBdr>
                <w:top w:val="none" w:sz="0" w:space="0" w:color="auto"/>
                <w:left w:val="none" w:sz="0" w:space="0" w:color="auto"/>
                <w:bottom w:val="none" w:sz="0" w:space="0" w:color="auto"/>
                <w:right w:val="none" w:sz="0" w:space="0" w:color="auto"/>
              </w:divBdr>
            </w:div>
            <w:div w:id="1883397108">
              <w:marLeft w:val="0"/>
              <w:marRight w:val="0"/>
              <w:marTop w:val="0"/>
              <w:marBottom w:val="0"/>
              <w:divBdr>
                <w:top w:val="none" w:sz="0" w:space="0" w:color="auto"/>
                <w:left w:val="none" w:sz="0" w:space="0" w:color="auto"/>
                <w:bottom w:val="none" w:sz="0" w:space="0" w:color="auto"/>
                <w:right w:val="none" w:sz="0" w:space="0" w:color="auto"/>
              </w:divBdr>
            </w:div>
            <w:div w:id="1293753358">
              <w:marLeft w:val="0"/>
              <w:marRight w:val="0"/>
              <w:marTop w:val="0"/>
              <w:marBottom w:val="0"/>
              <w:divBdr>
                <w:top w:val="none" w:sz="0" w:space="0" w:color="auto"/>
                <w:left w:val="none" w:sz="0" w:space="0" w:color="auto"/>
                <w:bottom w:val="none" w:sz="0" w:space="0" w:color="auto"/>
                <w:right w:val="none" w:sz="0" w:space="0" w:color="auto"/>
              </w:divBdr>
            </w:div>
            <w:div w:id="1409040059">
              <w:marLeft w:val="0"/>
              <w:marRight w:val="0"/>
              <w:marTop w:val="0"/>
              <w:marBottom w:val="0"/>
              <w:divBdr>
                <w:top w:val="none" w:sz="0" w:space="0" w:color="auto"/>
                <w:left w:val="none" w:sz="0" w:space="0" w:color="auto"/>
                <w:bottom w:val="none" w:sz="0" w:space="0" w:color="auto"/>
                <w:right w:val="none" w:sz="0" w:space="0" w:color="auto"/>
              </w:divBdr>
            </w:div>
            <w:div w:id="888150728">
              <w:marLeft w:val="0"/>
              <w:marRight w:val="0"/>
              <w:marTop w:val="0"/>
              <w:marBottom w:val="0"/>
              <w:divBdr>
                <w:top w:val="none" w:sz="0" w:space="0" w:color="auto"/>
                <w:left w:val="none" w:sz="0" w:space="0" w:color="auto"/>
                <w:bottom w:val="none" w:sz="0" w:space="0" w:color="auto"/>
                <w:right w:val="none" w:sz="0" w:space="0" w:color="auto"/>
              </w:divBdr>
            </w:div>
            <w:div w:id="1737049055">
              <w:marLeft w:val="0"/>
              <w:marRight w:val="0"/>
              <w:marTop w:val="0"/>
              <w:marBottom w:val="0"/>
              <w:divBdr>
                <w:top w:val="none" w:sz="0" w:space="0" w:color="auto"/>
                <w:left w:val="none" w:sz="0" w:space="0" w:color="auto"/>
                <w:bottom w:val="none" w:sz="0" w:space="0" w:color="auto"/>
                <w:right w:val="none" w:sz="0" w:space="0" w:color="auto"/>
              </w:divBdr>
            </w:div>
            <w:div w:id="1573463037">
              <w:marLeft w:val="0"/>
              <w:marRight w:val="0"/>
              <w:marTop w:val="0"/>
              <w:marBottom w:val="0"/>
              <w:divBdr>
                <w:top w:val="none" w:sz="0" w:space="0" w:color="auto"/>
                <w:left w:val="none" w:sz="0" w:space="0" w:color="auto"/>
                <w:bottom w:val="none" w:sz="0" w:space="0" w:color="auto"/>
                <w:right w:val="none" w:sz="0" w:space="0" w:color="auto"/>
              </w:divBdr>
            </w:div>
            <w:div w:id="891885375">
              <w:marLeft w:val="0"/>
              <w:marRight w:val="0"/>
              <w:marTop w:val="0"/>
              <w:marBottom w:val="0"/>
              <w:divBdr>
                <w:top w:val="none" w:sz="0" w:space="0" w:color="auto"/>
                <w:left w:val="none" w:sz="0" w:space="0" w:color="auto"/>
                <w:bottom w:val="none" w:sz="0" w:space="0" w:color="auto"/>
                <w:right w:val="none" w:sz="0" w:space="0" w:color="auto"/>
              </w:divBdr>
            </w:div>
            <w:div w:id="1287664834">
              <w:marLeft w:val="0"/>
              <w:marRight w:val="0"/>
              <w:marTop w:val="0"/>
              <w:marBottom w:val="0"/>
              <w:divBdr>
                <w:top w:val="none" w:sz="0" w:space="0" w:color="auto"/>
                <w:left w:val="none" w:sz="0" w:space="0" w:color="auto"/>
                <w:bottom w:val="none" w:sz="0" w:space="0" w:color="auto"/>
                <w:right w:val="none" w:sz="0" w:space="0" w:color="auto"/>
              </w:divBdr>
            </w:div>
            <w:div w:id="80372954">
              <w:marLeft w:val="0"/>
              <w:marRight w:val="0"/>
              <w:marTop w:val="0"/>
              <w:marBottom w:val="0"/>
              <w:divBdr>
                <w:top w:val="none" w:sz="0" w:space="0" w:color="auto"/>
                <w:left w:val="none" w:sz="0" w:space="0" w:color="auto"/>
                <w:bottom w:val="none" w:sz="0" w:space="0" w:color="auto"/>
                <w:right w:val="none" w:sz="0" w:space="0" w:color="auto"/>
              </w:divBdr>
            </w:div>
            <w:div w:id="823162924">
              <w:marLeft w:val="0"/>
              <w:marRight w:val="0"/>
              <w:marTop w:val="0"/>
              <w:marBottom w:val="0"/>
              <w:divBdr>
                <w:top w:val="none" w:sz="0" w:space="0" w:color="auto"/>
                <w:left w:val="none" w:sz="0" w:space="0" w:color="auto"/>
                <w:bottom w:val="none" w:sz="0" w:space="0" w:color="auto"/>
                <w:right w:val="none" w:sz="0" w:space="0" w:color="auto"/>
              </w:divBdr>
            </w:div>
            <w:div w:id="1368749714">
              <w:marLeft w:val="0"/>
              <w:marRight w:val="0"/>
              <w:marTop w:val="0"/>
              <w:marBottom w:val="0"/>
              <w:divBdr>
                <w:top w:val="none" w:sz="0" w:space="0" w:color="auto"/>
                <w:left w:val="none" w:sz="0" w:space="0" w:color="auto"/>
                <w:bottom w:val="none" w:sz="0" w:space="0" w:color="auto"/>
                <w:right w:val="none" w:sz="0" w:space="0" w:color="auto"/>
              </w:divBdr>
            </w:div>
            <w:div w:id="1773743225">
              <w:marLeft w:val="0"/>
              <w:marRight w:val="0"/>
              <w:marTop w:val="0"/>
              <w:marBottom w:val="0"/>
              <w:divBdr>
                <w:top w:val="none" w:sz="0" w:space="0" w:color="auto"/>
                <w:left w:val="none" w:sz="0" w:space="0" w:color="auto"/>
                <w:bottom w:val="none" w:sz="0" w:space="0" w:color="auto"/>
                <w:right w:val="none" w:sz="0" w:space="0" w:color="auto"/>
              </w:divBdr>
            </w:div>
            <w:div w:id="795829320">
              <w:marLeft w:val="0"/>
              <w:marRight w:val="0"/>
              <w:marTop w:val="0"/>
              <w:marBottom w:val="0"/>
              <w:divBdr>
                <w:top w:val="none" w:sz="0" w:space="0" w:color="auto"/>
                <w:left w:val="none" w:sz="0" w:space="0" w:color="auto"/>
                <w:bottom w:val="none" w:sz="0" w:space="0" w:color="auto"/>
                <w:right w:val="none" w:sz="0" w:space="0" w:color="auto"/>
              </w:divBdr>
            </w:div>
            <w:div w:id="1446733211">
              <w:marLeft w:val="0"/>
              <w:marRight w:val="0"/>
              <w:marTop w:val="0"/>
              <w:marBottom w:val="0"/>
              <w:divBdr>
                <w:top w:val="none" w:sz="0" w:space="0" w:color="auto"/>
                <w:left w:val="none" w:sz="0" w:space="0" w:color="auto"/>
                <w:bottom w:val="none" w:sz="0" w:space="0" w:color="auto"/>
                <w:right w:val="none" w:sz="0" w:space="0" w:color="auto"/>
              </w:divBdr>
            </w:div>
            <w:div w:id="398017346">
              <w:marLeft w:val="0"/>
              <w:marRight w:val="0"/>
              <w:marTop w:val="0"/>
              <w:marBottom w:val="0"/>
              <w:divBdr>
                <w:top w:val="none" w:sz="0" w:space="0" w:color="auto"/>
                <w:left w:val="none" w:sz="0" w:space="0" w:color="auto"/>
                <w:bottom w:val="none" w:sz="0" w:space="0" w:color="auto"/>
                <w:right w:val="none" w:sz="0" w:space="0" w:color="auto"/>
              </w:divBdr>
            </w:div>
            <w:div w:id="1307394955">
              <w:marLeft w:val="0"/>
              <w:marRight w:val="0"/>
              <w:marTop w:val="0"/>
              <w:marBottom w:val="0"/>
              <w:divBdr>
                <w:top w:val="none" w:sz="0" w:space="0" w:color="auto"/>
                <w:left w:val="none" w:sz="0" w:space="0" w:color="auto"/>
                <w:bottom w:val="none" w:sz="0" w:space="0" w:color="auto"/>
                <w:right w:val="none" w:sz="0" w:space="0" w:color="auto"/>
              </w:divBdr>
            </w:div>
            <w:div w:id="1344282846">
              <w:marLeft w:val="0"/>
              <w:marRight w:val="0"/>
              <w:marTop w:val="0"/>
              <w:marBottom w:val="0"/>
              <w:divBdr>
                <w:top w:val="none" w:sz="0" w:space="0" w:color="auto"/>
                <w:left w:val="none" w:sz="0" w:space="0" w:color="auto"/>
                <w:bottom w:val="none" w:sz="0" w:space="0" w:color="auto"/>
                <w:right w:val="none" w:sz="0" w:space="0" w:color="auto"/>
              </w:divBdr>
            </w:div>
            <w:div w:id="123084328">
              <w:marLeft w:val="0"/>
              <w:marRight w:val="0"/>
              <w:marTop w:val="0"/>
              <w:marBottom w:val="0"/>
              <w:divBdr>
                <w:top w:val="none" w:sz="0" w:space="0" w:color="auto"/>
                <w:left w:val="none" w:sz="0" w:space="0" w:color="auto"/>
                <w:bottom w:val="none" w:sz="0" w:space="0" w:color="auto"/>
                <w:right w:val="none" w:sz="0" w:space="0" w:color="auto"/>
              </w:divBdr>
            </w:div>
            <w:div w:id="1965648094">
              <w:marLeft w:val="0"/>
              <w:marRight w:val="0"/>
              <w:marTop w:val="0"/>
              <w:marBottom w:val="0"/>
              <w:divBdr>
                <w:top w:val="none" w:sz="0" w:space="0" w:color="auto"/>
                <w:left w:val="none" w:sz="0" w:space="0" w:color="auto"/>
                <w:bottom w:val="none" w:sz="0" w:space="0" w:color="auto"/>
                <w:right w:val="none" w:sz="0" w:space="0" w:color="auto"/>
              </w:divBdr>
            </w:div>
            <w:div w:id="599945896">
              <w:marLeft w:val="0"/>
              <w:marRight w:val="0"/>
              <w:marTop w:val="0"/>
              <w:marBottom w:val="0"/>
              <w:divBdr>
                <w:top w:val="none" w:sz="0" w:space="0" w:color="auto"/>
                <w:left w:val="none" w:sz="0" w:space="0" w:color="auto"/>
                <w:bottom w:val="none" w:sz="0" w:space="0" w:color="auto"/>
                <w:right w:val="none" w:sz="0" w:space="0" w:color="auto"/>
              </w:divBdr>
            </w:div>
            <w:div w:id="1005279543">
              <w:marLeft w:val="0"/>
              <w:marRight w:val="0"/>
              <w:marTop w:val="0"/>
              <w:marBottom w:val="0"/>
              <w:divBdr>
                <w:top w:val="none" w:sz="0" w:space="0" w:color="auto"/>
                <w:left w:val="none" w:sz="0" w:space="0" w:color="auto"/>
                <w:bottom w:val="none" w:sz="0" w:space="0" w:color="auto"/>
                <w:right w:val="none" w:sz="0" w:space="0" w:color="auto"/>
              </w:divBdr>
            </w:div>
            <w:div w:id="763571356">
              <w:marLeft w:val="0"/>
              <w:marRight w:val="0"/>
              <w:marTop w:val="0"/>
              <w:marBottom w:val="0"/>
              <w:divBdr>
                <w:top w:val="none" w:sz="0" w:space="0" w:color="auto"/>
                <w:left w:val="none" w:sz="0" w:space="0" w:color="auto"/>
                <w:bottom w:val="none" w:sz="0" w:space="0" w:color="auto"/>
                <w:right w:val="none" w:sz="0" w:space="0" w:color="auto"/>
              </w:divBdr>
            </w:div>
            <w:div w:id="1855336164">
              <w:marLeft w:val="0"/>
              <w:marRight w:val="0"/>
              <w:marTop w:val="0"/>
              <w:marBottom w:val="0"/>
              <w:divBdr>
                <w:top w:val="none" w:sz="0" w:space="0" w:color="auto"/>
                <w:left w:val="none" w:sz="0" w:space="0" w:color="auto"/>
                <w:bottom w:val="none" w:sz="0" w:space="0" w:color="auto"/>
                <w:right w:val="none" w:sz="0" w:space="0" w:color="auto"/>
              </w:divBdr>
            </w:div>
            <w:div w:id="1756900676">
              <w:marLeft w:val="0"/>
              <w:marRight w:val="0"/>
              <w:marTop w:val="0"/>
              <w:marBottom w:val="0"/>
              <w:divBdr>
                <w:top w:val="none" w:sz="0" w:space="0" w:color="auto"/>
                <w:left w:val="none" w:sz="0" w:space="0" w:color="auto"/>
                <w:bottom w:val="none" w:sz="0" w:space="0" w:color="auto"/>
                <w:right w:val="none" w:sz="0" w:space="0" w:color="auto"/>
              </w:divBdr>
            </w:div>
            <w:div w:id="699402134">
              <w:marLeft w:val="0"/>
              <w:marRight w:val="0"/>
              <w:marTop w:val="0"/>
              <w:marBottom w:val="0"/>
              <w:divBdr>
                <w:top w:val="none" w:sz="0" w:space="0" w:color="auto"/>
                <w:left w:val="none" w:sz="0" w:space="0" w:color="auto"/>
                <w:bottom w:val="none" w:sz="0" w:space="0" w:color="auto"/>
                <w:right w:val="none" w:sz="0" w:space="0" w:color="auto"/>
              </w:divBdr>
            </w:div>
            <w:div w:id="320305986">
              <w:marLeft w:val="0"/>
              <w:marRight w:val="0"/>
              <w:marTop w:val="0"/>
              <w:marBottom w:val="0"/>
              <w:divBdr>
                <w:top w:val="none" w:sz="0" w:space="0" w:color="auto"/>
                <w:left w:val="none" w:sz="0" w:space="0" w:color="auto"/>
                <w:bottom w:val="none" w:sz="0" w:space="0" w:color="auto"/>
                <w:right w:val="none" w:sz="0" w:space="0" w:color="auto"/>
              </w:divBdr>
            </w:div>
            <w:div w:id="857430163">
              <w:marLeft w:val="0"/>
              <w:marRight w:val="0"/>
              <w:marTop w:val="0"/>
              <w:marBottom w:val="0"/>
              <w:divBdr>
                <w:top w:val="none" w:sz="0" w:space="0" w:color="auto"/>
                <w:left w:val="none" w:sz="0" w:space="0" w:color="auto"/>
                <w:bottom w:val="none" w:sz="0" w:space="0" w:color="auto"/>
                <w:right w:val="none" w:sz="0" w:space="0" w:color="auto"/>
              </w:divBdr>
            </w:div>
            <w:div w:id="538737314">
              <w:marLeft w:val="0"/>
              <w:marRight w:val="0"/>
              <w:marTop w:val="0"/>
              <w:marBottom w:val="0"/>
              <w:divBdr>
                <w:top w:val="none" w:sz="0" w:space="0" w:color="auto"/>
                <w:left w:val="none" w:sz="0" w:space="0" w:color="auto"/>
                <w:bottom w:val="none" w:sz="0" w:space="0" w:color="auto"/>
                <w:right w:val="none" w:sz="0" w:space="0" w:color="auto"/>
              </w:divBdr>
            </w:div>
            <w:div w:id="962997554">
              <w:marLeft w:val="0"/>
              <w:marRight w:val="0"/>
              <w:marTop w:val="0"/>
              <w:marBottom w:val="0"/>
              <w:divBdr>
                <w:top w:val="none" w:sz="0" w:space="0" w:color="auto"/>
                <w:left w:val="none" w:sz="0" w:space="0" w:color="auto"/>
                <w:bottom w:val="none" w:sz="0" w:space="0" w:color="auto"/>
                <w:right w:val="none" w:sz="0" w:space="0" w:color="auto"/>
              </w:divBdr>
            </w:div>
            <w:div w:id="1503812193">
              <w:marLeft w:val="0"/>
              <w:marRight w:val="0"/>
              <w:marTop w:val="0"/>
              <w:marBottom w:val="0"/>
              <w:divBdr>
                <w:top w:val="none" w:sz="0" w:space="0" w:color="auto"/>
                <w:left w:val="none" w:sz="0" w:space="0" w:color="auto"/>
                <w:bottom w:val="none" w:sz="0" w:space="0" w:color="auto"/>
                <w:right w:val="none" w:sz="0" w:space="0" w:color="auto"/>
              </w:divBdr>
            </w:div>
            <w:div w:id="1660188594">
              <w:marLeft w:val="0"/>
              <w:marRight w:val="0"/>
              <w:marTop w:val="0"/>
              <w:marBottom w:val="0"/>
              <w:divBdr>
                <w:top w:val="none" w:sz="0" w:space="0" w:color="auto"/>
                <w:left w:val="none" w:sz="0" w:space="0" w:color="auto"/>
                <w:bottom w:val="none" w:sz="0" w:space="0" w:color="auto"/>
                <w:right w:val="none" w:sz="0" w:space="0" w:color="auto"/>
              </w:divBdr>
            </w:div>
            <w:div w:id="85003515">
              <w:marLeft w:val="0"/>
              <w:marRight w:val="0"/>
              <w:marTop w:val="0"/>
              <w:marBottom w:val="0"/>
              <w:divBdr>
                <w:top w:val="none" w:sz="0" w:space="0" w:color="auto"/>
                <w:left w:val="none" w:sz="0" w:space="0" w:color="auto"/>
                <w:bottom w:val="none" w:sz="0" w:space="0" w:color="auto"/>
                <w:right w:val="none" w:sz="0" w:space="0" w:color="auto"/>
              </w:divBdr>
            </w:div>
            <w:div w:id="182136353">
              <w:marLeft w:val="0"/>
              <w:marRight w:val="0"/>
              <w:marTop w:val="0"/>
              <w:marBottom w:val="0"/>
              <w:divBdr>
                <w:top w:val="none" w:sz="0" w:space="0" w:color="auto"/>
                <w:left w:val="none" w:sz="0" w:space="0" w:color="auto"/>
                <w:bottom w:val="none" w:sz="0" w:space="0" w:color="auto"/>
                <w:right w:val="none" w:sz="0" w:space="0" w:color="auto"/>
              </w:divBdr>
            </w:div>
            <w:div w:id="1082533425">
              <w:marLeft w:val="0"/>
              <w:marRight w:val="0"/>
              <w:marTop w:val="0"/>
              <w:marBottom w:val="0"/>
              <w:divBdr>
                <w:top w:val="none" w:sz="0" w:space="0" w:color="auto"/>
                <w:left w:val="none" w:sz="0" w:space="0" w:color="auto"/>
                <w:bottom w:val="none" w:sz="0" w:space="0" w:color="auto"/>
                <w:right w:val="none" w:sz="0" w:space="0" w:color="auto"/>
              </w:divBdr>
            </w:div>
            <w:div w:id="1138572409">
              <w:marLeft w:val="0"/>
              <w:marRight w:val="0"/>
              <w:marTop w:val="0"/>
              <w:marBottom w:val="0"/>
              <w:divBdr>
                <w:top w:val="none" w:sz="0" w:space="0" w:color="auto"/>
                <w:left w:val="none" w:sz="0" w:space="0" w:color="auto"/>
                <w:bottom w:val="none" w:sz="0" w:space="0" w:color="auto"/>
                <w:right w:val="none" w:sz="0" w:space="0" w:color="auto"/>
              </w:divBdr>
            </w:div>
            <w:div w:id="157354225">
              <w:marLeft w:val="0"/>
              <w:marRight w:val="0"/>
              <w:marTop w:val="0"/>
              <w:marBottom w:val="0"/>
              <w:divBdr>
                <w:top w:val="none" w:sz="0" w:space="0" w:color="auto"/>
                <w:left w:val="none" w:sz="0" w:space="0" w:color="auto"/>
                <w:bottom w:val="none" w:sz="0" w:space="0" w:color="auto"/>
                <w:right w:val="none" w:sz="0" w:space="0" w:color="auto"/>
              </w:divBdr>
            </w:div>
            <w:div w:id="2111507634">
              <w:marLeft w:val="0"/>
              <w:marRight w:val="0"/>
              <w:marTop w:val="0"/>
              <w:marBottom w:val="0"/>
              <w:divBdr>
                <w:top w:val="none" w:sz="0" w:space="0" w:color="auto"/>
                <w:left w:val="none" w:sz="0" w:space="0" w:color="auto"/>
                <w:bottom w:val="none" w:sz="0" w:space="0" w:color="auto"/>
                <w:right w:val="none" w:sz="0" w:space="0" w:color="auto"/>
              </w:divBdr>
            </w:div>
            <w:div w:id="269625243">
              <w:marLeft w:val="0"/>
              <w:marRight w:val="0"/>
              <w:marTop w:val="0"/>
              <w:marBottom w:val="0"/>
              <w:divBdr>
                <w:top w:val="none" w:sz="0" w:space="0" w:color="auto"/>
                <w:left w:val="none" w:sz="0" w:space="0" w:color="auto"/>
                <w:bottom w:val="none" w:sz="0" w:space="0" w:color="auto"/>
                <w:right w:val="none" w:sz="0" w:space="0" w:color="auto"/>
              </w:divBdr>
            </w:div>
            <w:div w:id="1794859137">
              <w:marLeft w:val="0"/>
              <w:marRight w:val="0"/>
              <w:marTop w:val="0"/>
              <w:marBottom w:val="0"/>
              <w:divBdr>
                <w:top w:val="none" w:sz="0" w:space="0" w:color="auto"/>
                <w:left w:val="none" w:sz="0" w:space="0" w:color="auto"/>
                <w:bottom w:val="none" w:sz="0" w:space="0" w:color="auto"/>
                <w:right w:val="none" w:sz="0" w:space="0" w:color="auto"/>
              </w:divBdr>
            </w:div>
            <w:div w:id="1510216918">
              <w:marLeft w:val="0"/>
              <w:marRight w:val="0"/>
              <w:marTop w:val="0"/>
              <w:marBottom w:val="0"/>
              <w:divBdr>
                <w:top w:val="none" w:sz="0" w:space="0" w:color="auto"/>
                <w:left w:val="none" w:sz="0" w:space="0" w:color="auto"/>
                <w:bottom w:val="none" w:sz="0" w:space="0" w:color="auto"/>
                <w:right w:val="none" w:sz="0" w:space="0" w:color="auto"/>
              </w:divBdr>
            </w:div>
            <w:div w:id="1637759686">
              <w:marLeft w:val="0"/>
              <w:marRight w:val="0"/>
              <w:marTop w:val="0"/>
              <w:marBottom w:val="0"/>
              <w:divBdr>
                <w:top w:val="none" w:sz="0" w:space="0" w:color="auto"/>
                <w:left w:val="none" w:sz="0" w:space="0" w:color="auto"/>
                <w:bottom w:val="none" w:sz="0" w:space="0" w:color="auto"/>
                <w:right w:val="none" w:sz="0" w:space="0" w:color="auto"/>
              </w:divBdr>
            </w:div>
            <w:div w:id="1464228336">
              <w:marLeft w:val="0"/>
              <w:marRight w:val="0"/>
              <w:marTop w:val="0"/>
              <w:marBottom w:val="0"/>
              <w:divBdr>
                <w:top w:val="none" w:sz="0" w:space="0" w:color="auto"/>
                <w:left w:val="none" w:sz="0" w:space="0" w:color="auto"/>
                <w:bottom w:val="none" w:sz="0" w:space="0" w:color="auto"/>
                <w:right w:val="none" w:sz="0" w:space="0" w:color="auto"/>
              </w:divBdr>
            </w:div>
            <w:div w:id="1823739031">
              <w:marLeft w:val="0"/>
              <w:marRight w:val="0"/>
              <w:marTop w:val="0"/>
              <w:marBottom w:val="0"/>
              <w:divBdr>
                <w:top w:val="none" w:sz="0" w:space="0" w:color="auto"/>
                <w:left w:val="none" w:sz="0" w:space="0" w:color="auto"/>
                <w:bottom w:val="none" w:sz="0" w:space="0" w:color="auto"/>
                <w:right w:val="none" w:sz="0" w:space="0" w:color="auto"/>
              </w:divBdr>
            </w:div>
            <w:div w:id="394134322">
              <w:marLeft w:val="0"/>
              <w:marRight w:val="0"/>
              <w:marTop w:val="0"/>
              <w:marBottom w:val="0"/>
              <w:divBdr>
                <w:top w:val="none" w:sz="0" w:space="0" w:color="auto"/>
                <w:left w:val="none" w:sz="0" w:space="0" w:color="auto"/>
                <w:bottom w:val="none" w:sz="0" w:space="0" w:color="auto"/>
                <w:right w:val="none" w:sz="0" w:space="0" w:color="auto"/>
              </w:divBdr>
            </w:div>
            <w:div w:id="240720878">
              <w:marLeft w:val="0"/>
              <w:marRight w:val="0"/>
              <w:marTop w:val="0"/>
              <w:marBottom w:val="0"/>
              <w:divBdr>
                <w:top w:val="none" w:sz="0" w:space="0" w:color="auto"/>
                <w:left w:val="none" w:sz="0" w:space="0" w:color="auto"/>
                <w:bottom w:val="none" w:sz="0" w:space="0" w:color="auto"/>
                <w:right w:val="none" w:sz="0" w:space="0" w:color="auto"/>
              </w:divBdr>
            </w:div>
            <w:div w:id="2052604962">
              <w:marLeft w:val="0"/>
              <w:marRight w:val="0"/>
              <w:marTop w:val="0"/>
              <w:marBottom w:val="0"/>
              <w:divBdr>
                <w:top w:val="none" w:sz="0" w:space="0" w:color="auto"/>
                <w:left w:val="none" w:sz="0" w:space="0" w:color="auto"/>
                <w:bottom w:val="none" w:sz="0" w:space="0" w:color="auto"/>
                <w:right w:val="none" w:sz="0" w:space="0" w:color="auto"/>
              </w:divBdr>
            </w:div>
            <w:div w:id="1683776258">
              <w:marLeft w:val="0"/>
              <w:marRight w:val="0"/>
              <w:marTop w:val="0"/>
              <w:marBottom w:val="0"/>
              <w:divBdr>
                <w:top w:val="none" w:sz="0" w:space="0" w:color="auto"/>
                <w:left w:val="none" w:sz="0" w:space="0" w:color="auto"/>
                <w:bottom w:val="none" w:sz="0" w:space="0" w:color="auto"/>
                <w:right w:val="none" w:sz="0" w:space="0" w:color="auto"/>
              </w:divBdr>
            </w:div>
            <w:div w:id="1911499090">
              <w:marLeft w:val="0"/>
              <w:marRight w:val="0"/>
              <w:marTop w:val="0"/>
              <w:marBottom w:val="0"/>
              <w:divBdr>
                <w:top w:val="none" w:sz="0" w:space="0" w:color="auto"/>
                <w:left w:val="none" w:sz="0" w:space="0" w:color="auto"/>
                <w:bottom w:val="none" w:sz="0" w:space="0" w:color="auto"/>
                <w:right w:val="none" w:sz="0" w:space="0" w:color="auto"/>
              </w:divBdr>
            </w:div>
            <w:div w:id="1336764476">
              <w:marLeft w:val="0"/>
              <w:marRight w:val="0"/>
              <w:marTop w:val="0"/>
              <w:marBottom w:val="0"/>
              <w:divBdr>
                <w:top w:val="none" w:sz="0" w:space="0" w:color="auto"/>
                <w:left w:val="none" w:sz="0" w:space="0" w:color="auto"/>
                <w:bottom w:val="none" w:sz="0" w:space="0" w:color="auto"/>
                <w:right w:val="none" w:sz="0" w:space="0" w:color="auto"/>
              </w:divBdr>
            </w:div>
            <w:div w:id="1905481989">
              <w:marLeft w:val="0"/>
              <w:marRight w:val="0"/>
              <w:marTop w:val="0"/>
              <w:marBottom w:val="0"/>
              <w:divBdr>
                <w:top w:val="none" w:sz="0" w:space="0" w:color="auto"/>
                <w:left w:val="none" w:sz="0" w:space="0" w:color="auto"/>
                <w:bottom w:val="none" w:sz="0" w:space="0" w:color="auto"/>
                <w:right w:val="none" w:sz="0" w:space="0" w:color="auto"/>
              </w:divBdr>
            </w:div>
            <w:div w:id="983774368">
              <w:marLeft w:val="0"/>
              <w:marRight w:val="0"/>
              <w:marTop w:val="0"/>
              <w:marBottom w:val="0"/>
              <w:divBdr>
                <w:top w:val="none" w:sz="0" w:space="0" w:color="auto"/>
                <w:left w:val="none" w:sz="0" w:space="0" w:color="auto"/>
                <w:bottom w:val="none" w:sz="0" w:space="0" w:color="auto"/>
                <w:right w:val="none" w:sz="0" w:space="0" w:color="auto"/>
              </w:divBdr>
            </w:div>
            <w:div w:id="1941450026">
              <w:marLeft w:val="0"/>
              <w:marRight w:val="0"/>
              <w:marTop w:val="0"/>
              <w:marBottom w:val="0"/>
              <w:divBdr>
                <w:top w:val="none" w:sz="0" w:space="0" w:color="auto"/>
                <w:left w:val="none" w:sz="0" w:space="0" w:color="auto"/>
                <w:bottom w:val="none" w:sz="0" w:space="0" w:color="auto"/>
                <w:right w:val="none" w:sz="0" w:space="0" w:color="auto"/>
              </w:divBdr>
            </w:div>
            <w:div w:id="1092164448">
              <w:marLeft w:val="0"/>
              <w:marRight w:val="0"/>
              <w:marTop w:val="0"/>
              <w:marBottom w:val="0"/>
              <w:divBdr>
                <w:top w:val="none" w:sz="0" w:space="0" w:color="auto"/>
                <w:left w:val="none" w:sz="0" w:space="0" w:color="auto"/>
                <w:bottom w:val="none" w:sz="0" w:space="0" w:color="auto"/>
                <w:right w:val="none" w:sz="0" w:space="0" w:color="auto"/>
              </w:divBdr>
            </w:div>
            <w:div w:id="1275403520">
              <w:marLeft w:val="0"/>
              <w:marRight w:val="0"/>
              <w:marTop w:val="0"/>
              <w:marBottom w:val="0"/>
              <w:divBdr>
                <w:top w:val="none" w:sz="0" w:space="0" w:color="auto"/>
                <w:left w:val="none" w:sz="0" w:space="0" w:color="auto"/>
                <w:bottom w:val="none" w:sz="0" w:space="0" w:color="auto"/>
                <w:right w:val="none" w:sz="0" w:space="0" w:color="auto"/>
              </w:divBdr>
            </w:div>
            <w:div w:id="333344502">
              <w:marLeft w:val="0"/>
              <w:marRight w:val="0"/>
              <w:marTop w:val="0"/>
              <w:marBottom w:val="0"/>
              <w:divBdr>
                <w:top w:val="none" w:sz="0" w:space="0" w:color="auto"/>
                <w:left w:val="none" w:sz="0" w:space="0" w:color="auto"/>
                <w:bottom w:val="none" w:sz="0" w:space="0" w:color="auto"/>
                <w:right w:val="none" w:sz="0" w:space="0" w:color="auto"/>
              </w:divBdr>
            </w:div>
            <w:div w:id="91167876">
              <w:marLeft w:val="0"/>
              <w:marRight w:val="0"/>
              <w:marTop w:val="0"/>
              <w:marBottom w:val="0"/>
              <w:divBdr>
                <w:top w:val="none" w:sz="0" w:space="0" w:color="auto"/>
                <w:left w:val="none" w:sz="0" w:space="0" w:color="auto"/>
                <w:bottom w:val="none" w:sz="0" w:space="0" w:color="auto"/>
                <w:right w:val="none" w:sz="0" w:space="0" w:color="auto"/>
              </w:divBdr>
            </w:div>
            <w:div w:id="356348569">
              <w:marLeft w:val="0"/>
              <w:marRight w:val="0"/>
              <w:marTop w:val="0"/>
              <w:marBottom w:val="0"/>
              <w:divBdr>
                <w:top w:val="none" w:sz="0" w:space="0" w:color="auto"/>
                <w:left w:val="none" w:sz="0" w:space="0" w:color="auto"/>
                <w:bottom w:val="none" w:sz="0" w:space="0" w:color="auto"/>
                <w:right w:val="none" w:sz="0" w:space="0" w:color="auto"/>
              </w:divBdr>
            </w:div>
            <w:div w:id="1905216447">
              <w:marLeft w:val="0"/>
              <w:marRight w:val="0"/>
              <w:marTop w:val="0"/>
              <w:marBottom w:val="0"/>
              <w:divBdr>
                <w:top w:val="none" w:sz="0" w:space="0" w:color="auto"/>
                <w:left w:val="none" w:sz="0" w:space="0" w:color="auto"/>
                <w:bottom w:val="none" w:sz="0" w:space="0" w:color="auto"/>
                <w:right w:val="none" w:sz="0" w:space="0" w:color="auto"/>
              </w:divBdr>
            </w:div>
            <w:div w:id="191767252">
              <w:marLeft w:val="0"/>
              <w:marRight w:val="0"/>
              <w:marTop w:val="0"/>
              <w:marBottom w:val="0"/>
              <w:divBdr>
                <w:top w:val="none" w:sz="0" w:space="0" w:color="auto"/>
                <w:left w:val="none" w:sz="0" w:space="0" w:color="auto"/>
                <w:bottom w:val="none" w:sz="0" w:space="0" w:color="auto"/>
                <w:right w:val="none" w:sz="0" w:space="0" w:color="auto"/>
              </w:divBdr>
            </w:div>
            <w:div w:id="1039669057">
              <w:marLeft w:val="0"/>
              <w:marRight w:val="0"/>
              <w:marTop w:val="0"/>
              <w:marBottom w:val="0"/>
              <w:divBdr>
                <w:top w:val="none" w:sz="0" w:space="0" w:color="auto"/>
                <w:left w:val="none" w:sz="0" w:space="0" w:color="auto"/>
                <w:bottom w:val="none" w:sz="0" w:space="0" w:color="auto"/>
                <w:right w:val="none" w:sz="0" w:space="0" w:color="auto"/>
              </w:divBdr>
            </w:div>
            <w:div w:id="380253700">
              <w:marLeft w:val="0"/>
              <w:marRight w:val="0"/>
              <w:marTop w:val="0"/>
              <w:marBottom w:val="0"/>
              <w:divBdr>
                <w:top w:val="none" w:sz="0" w:space="0" w:color="auto"/>
                <w:left w:val="none" w:sz="0" w:space="0" w:color="auto"/>
                <w:bottom w:val="none" w:sz="0" w:space="0" w:color="auto"/>
                <w:right w:val="none" w:sz="0" w:space="0" w:color="auto"/>
              </w:divBdr>
            </w:div>
            <w:div w:id="1588877534">
              <w:marLeft w:val="0"/>
              <w:marRight w:val="0"/>
              <w:marTop w:val="0"/>
              <w:marBottom w:val="0"/>
              <w:divBdr>
                <w:top w:val="none" w:sz="0" w:space="0" w:color="auto"/>
                <w:left w:val="none" w:sz="0" w:space="0" w:color="auto"/>
                <w:bottom w:val="none" w:sz="0" w:space="0" w:color="auto"/>
                <w:right w:val="none" w:sz="0" w:space="0" w:color="auto"/>
              </w:divBdr>
            </w:div>
            <w:div w:id="1606843814">
              <w:marLeft w:val="0"/>
              <w:marRight w:val="0"/>
              <w:marTop w:val="0"/>
              <w:marBottom w:val="0"/>
              <w:divBdr>
                <w:top w:val="none" w:sz="0" w:space="0" w:color="auto"/>
                <w:left w:val="none" w:sz="0" w:space="0" w:color="auto"/>
                <w:bottom w:val="none" w:sz="0" w:space="0" w:color="auto"/>
                <w:right w:val="none" w:sz="0" w:space="0" w:color="auto"/>
              </w:divBdr>
            </w:div>
            <w:div w:id="2105760265">
              <w:marLeft w:val="0"/>
              <w:marRight w:val="0"/>
              <w:marTop w:val="0"/>
              <w:marBottom w:val="0"/>
              <w:divBdr>
                <w:top w:val="none" w:sz="0" w:space="0" w:color="auto"/>
                <w:left w:val="none" w:sz="0" w:space="0" w:color="auto"/>
                <w:bottom w:val="none" w:sz="0" w:space="0" w:color="auto"/>
                <w:right w:val="none" w:sz="0" w:space="0" w:color="auto"/>
              </w:divBdr>
            </w:div>
            <w:div w:id="1026445671">
              <w:marLeft w:val="0"/>
              <w:marRight w:val="0"/>
              <w:marTop w:val="0"/>
              <w:marBottom w:val="0"/>
              <w:divBdr>
                <w:top w:val="none" w:sz="0" w:space="0" w:color="auto"/>
                <w:left w:val="none" w:sz="0" w:space="0" w:color="auto"/>
                <w:bottom w:val="none" w:sz="0" w:space="0" w:color="auto"/>
                <w:right w:val="none" w:sz="0" w:space="0" w:color="auto"/>
              </w:divBdr>
            </w:div>
            <w:div w:id="2010599417">
              <w:marLeft w:val="0"/>
              <w:marRight w:val="0"/>
              <w:marTop w:val="0"/>
              <w:marBottom w:val="0"/>
              <w:divBdr>
                <w:top w:val="none" w:sz="0" w:space="0" w:color="auto"/>
                <w:left w:val="none" w:sz="0" w:space="0" w:color="auto"/>
                <w:bottom w:val="none" w:sz="0" w:space="0" w:color="auto"/>
                <w:right w:val="none" w:sz="0" w:space="0" w:color="auto"/>
              </w:divBdr>
            </w:div>
            <w:div w:id="629020963">
              <w:marLeft w:val="0"/>
              <w:marRight w:val="0"/>
              <w:marTop w:val="0"/>
              <w:marBottom w:val="0"/>
              <w:divBdr>
                <w:top w:val="none" w:sz="0" w:space="0" w:color="auto"/>
                <w:left w:val="none" w:sz="0" w:space="0" w:color="auto"/>
                <w:bottom w:val="none" w:sz="0" w:space="0" w:color="auto"/>
                <w:right w:val="none" w:sz="0" w:space="0" w:color="auto"/>
              </w:divBdr>
            </w:div>
            <w:div w:id="1590964476">
              <w:marLeft w:val="0"/>
              <w:marRight w:val="0"/>
              <w:marTop w:val="0"/>
              <w:marBottom w:val="0"/>
              <w:divBdr>
                <w:top w:val="none" w:sz="0" w:space="0" w:color="auto"/>
                <w:left w:val="none" w:sz="0" w:space="0" w:color="auto"/>
                <w:bottom w:val="none" w:sz="0" w:space="0" w:color="auto"/>
                <w:right w:val="none" w:sz="0" w:space="0" w:color="auto"/>
              </w:divBdr>
            </w:div>
            <w:div w:id="992224004">
              <w:marLeft w:val="0"/>
              <w:marRight w:val="0"/>
              <w:marTop w:val="0"/>
              <w:marBottom w:val="0"/>
              <w:divBdr>
                <w:top w:val="none" w:sz="0" w:space="0" w:color="auto"/>
                <w:left w:val="none" w:sz="0" w:space="0" w:color="auto"/>
                <w:bottom w:val="none" w:sz="0" w:space="0" w:color="auto"/>
                <w:right w:val="none" w:sz="0" w:space="0" w:color="auto"/>
              </w:divBdr>
            </w:div>
            <w:div w:id="1778524119">
              <w:marLeft w:val="0"/>
              <w:marRight w:val="0"/>
              <w:marTop w:val="0"/>
              <w:marBottom w:val="0"/>
              <w:divBdr>
                <w:top w:val="none" w:sz="0" w:space="0" w:color="auto"/>
                <w:left w:val="none" w:sz="0" w:space="0" w:color="auto"/>
                <w:bottom w:val="none" w:sz="0" w:space="0" w:color="auto"/>
                <w:right w:val="none" w:sz="0" w:space="0" w:color="auto"/>
              </w:divBdr>
            </w:div>
            <w:div w:id="41445273">
              <w:marLeft w:val="0"/>
              <w:marRight w:val="0"/>
              <w:marTop w:val="0"/>
              <w:marBottom w:val="0"/>
              <w:divBdr>
                <w:top w:val="none" w:sz="0" w:space="0" w:color="auto"/>
                <w:left w:val="none" w:sz="0" w:space="0" w:color="auto"/>
                <w:bottom w:val="none" w:sz="0" w:space="0" w:color="auto"/>
                <w:right w:val="none" w:sz="0" w:space="0" w:color="auto"/>
              </w:divBdr>
            </w:div>
            <w:div w:id="176426746">
              <w:marLeft w:val="0"/>
              <w:marRight w:val="0"/>
              <w:marTop w:val="0"/>
              <w:marBottom w:val="0"/>
              <w:divBdr>
                <w:top w:val="none" w:sz="0" w:space="0" w:color="auto"/>
                <w:left w:val="none" w:sz="0" w:space="0" w:color="auto"/>
                <w:bottom w:val="none" w:sz="0" w:space="0" w:color="auto"/>
                <w:right w:val="none" w:sz="0" w:space="0" w:color="auto"/>
              </w:divBdr>
            </w:div>
            <w:div w:id="104888728">
              <w:marLeft w:val="0"/>
              <w:marRight w:val="0"/>
              <w:marTop w:val="0"/>
              <w:marBottom w:val="0"/>
              <w:divBdr>
                <w:top w:val="none" w:sz="0" w:space="0" w:color="auto"/>
                <w:left w:val="none" w:sz="0" w:space="0" w:color="auto"/>
                <w:bottom w:val="none" w:sz="0" w:space="0" w:color="auto"/>
                <w:right w:val="none" w:sz="0" w:space="0" w:color="auto"/>
              </w:divBdr>
            </w:div>
            <w:div w:id="1941330083">
              <w:marLeft w:val="0"/>
              <w:marRight w:val="0"/>
              <w:marTop w:val="0"/>
              <w:marBottom w:val="0"/>
              <w:divBdr>
                <w:top w:val="none" w:sz="0" w:space="0" w:color="auto"/>
                <w:left w:val="none" w:sz="0" w:space="0" w:color="auto"/>
                <w:bottom w:val="none" w:sz="0" w:space="0" w:color="auto"/>
                <w:right w:val="none" w:sz="0" w:space="0" w:color="auto"/>
              </w:divBdr>
            </w:div>
            <w:div w:id="2045903827">
              <w:marLeft w:val="0"/>
              <w:marRight w:val="0"/>
              <w:marTop w:val="0"/>
              <w:marBottom w:val="0"/>
              <w:divBdr>
                <w:top w:val="none" w:sz="0" w:space="0" w:color="auto"/>
                <w:left w:val="none" w:sz="0" w:space="0" w:color="auto"/>
                <w:bottom w:val="none" w:sz="0" w:space="0" w:color="auto"/>
                <w:right w:val="none" w:sz="0" w:space="0" w:color="auto"/>
              </w:divBdr>
            </w:div>
            <w:div w:id="787700841">
              <w:marLeft w:val="0"/>
              <w:marRight w:val="0"/>
              <w:marTop w:val="0"/>
              <w:marBottom w:val="0"/>
              <w:divBdr>
                <w:top w:val="none" w:sz="0" w:space="0" w:color="auto"/>
                <w:left w:val="none" w:sz="0" w:space="0" w:color="auto"/>
                <w:bottom w:val="none" w:sz="0" w:space="0" w:color="auto"/>
                <w:right w:val="none" w:sz="0" w:space="0" w:color="auto"/>
              </w:divBdr>
            </w:div>
            <w:div w:id="1095133703">
              <w:marLeft w:val="0"/>
              <w:marRight w:val="0"/>
              <w:marTop w:val="0"/>
              <w:marBottom w:val="0"/>
              <w:divBdr>
                <w:top w:val="none" w:sz="0" w:space="0" w:color="auto"/>
                <w:left w:val="none" w:sz="0" w:space="0" w:color="auto"/>
                <w:bottom w:val="none" w:sz="0" w:space="0" w:color="auto"/>
                <w:right w:val="none" w:sz="0" w:space="0" w:color="auto"/>
              </w:divBdr>
            </w:div>
            <w:div w:id="1140807459">
              <w:marLeft w:val="0"/>
              <w:marRight w:val="0"/>
              <w:marTop w:val="0"/>
              <w:marBottom w:val="0"/>
              <w:divBdr>
                <w:top w:val="none" w:sz="0" w:space="0" w:color="auto"/>
                <w:left w:val="none" w:sz="0" w:space="0" w:color="auto"/>
                <w:bottom w:val="none" w:sz="0" w:space="0" w:color="auto"/>
                <w:right w:val="none" w:sz="0" w:space="0" w:color="auto"/>
              </w:divBdr>
            </w:div>
            <w:div w:id="146631168">
              <w:marLeft w:val="0"/>
              <w:marRight w:val="0"/>
              <w:marTop w:val="0"/>
              <w:marBottom w:val="0"/>
              <w:divBdr>
                <w:top w:val="none" w:sz="0" w:space="0" w:color="auto"/>
                <w:left w:val="none" w:sz="0" w:space="0" w:color="auto"/>
                <w:bottom w:val="none" w:sz="0" w:space="0" w:color="auto"/>
                <w:right w:val="none" w:sz="0" w:space="0" w:color="auto"/>
              </w:divBdr>
            </w:div>
            <w:div w:id="767963119">
              <w:marLeft w:val="0"/>
              <w:marRight w:val="0"/>
              <w:marTop w:val="0"/>
              <w:marBottom w:val="0"/>
              <w:divBdr>
                <w:top w:val="none" w:sz="0" w:space="0" w:color="auto"/>
                <w:left w:val="none" w:sz="0" w:space="0" w:color="auto"/>
                <w:bottom w:val="none" w:sz="0" w:space="0" w:color="auto"/>
                <w:right w:val="none" w:sz="0" w:space="0" w:color="auto"/>
              </w:divBdr>
            </w:div>
            <w:div w:id="1748310291">
              <w:marLeft w:val="0"/>
              <w:marRight w:val="0"/>
              <w:marTop w:val="0"/>
              <w:marBottom w:val="0"/>
              <w:divBdr>
                <w:top w:val="none" w:sz="0" w:space="0" w:color="auto"/>
                <w:left w:val="none" w:sz="0" w:space="0" w:color="auto"/>
                <w:bottom w:val="none" w:sz="0" w:space="0" w:color="auto"/>
                <w:right w:val="none" w:sz="0" w:space="0" w:color="auto"/>
              </w:divBdr>
            </w:div>
            <w:div w:id="2117215537">
              <w:marLeft w:val="0"/>
              <w:marRight w:val="0"/>
              <w:marTop w:val="0"/>
              <w:marBottom w:val="0"/>
              <w:divBdr>
                <w:top w:val="none" w:sz="0" w:space="0" w:color="auto"/>
                <w:left w:val="none" w:sz="0" w:space="0" w:color="auto"/>
                <w:bottom w:val="none" w:sz="0" w:space="0" w:color="auto"/>
                <w:right w:val="none" w:sz="0" w:space="0" w:color="auto"/>
              </w:divBdr>
            </w:div>
            <w:div w:id="1582326979">
              <w:marLeft w:val="0"/>
              <w:marRight w:val="0"/>
              <w:marTop w:val="0"/>
              <w:marBottom w:val="0"/>
              <w:divBdr>
                <w:top w:val="none" w:sz="0" w:space="0" w:color="auto"/>
                <w:left w:val="none" w:sz="0" w:space="0" w:color="auto"/>
                <w:bottom w:val="none" w:sz="0" w:space="0" w:color="auto"/>
                <w:right w:val="none" w:sz="0" w:space="0" w:color="auto"/>
              </w:divBdr>
            </w:div>
            <w:div w:id="563300031">
              <w:marLeft w:val="0"/>
              <w:marRight w:val="0"/>
              <w:marTop w:val="0"/>
              <w:marBottom w:val="0"/>
              <w:divBdr>
                <w:top w:val="none" w:sz="0" w:space="0" w:color="auto"/>
                <w:left w:val="none" w:sz="0" w:space="0" w:color="auto"/>
                <w:bottom w:val="none" w:sz="0" w:space="0" w:color="auto"/>
                <w:right w:val="none" w:sz="0" w:space="0" w:color="auto"/>
              </w:divBdr>
            </w:div>
            <w:div w:id="697389995">
              <w:marLeft w:val="0"/>
              <w:marRight w:val="0"/>
              <w:marTop w:val="0"/>
              <w:marBottom w:val="0"/>
              <w:divBdr>
                <w:top w:val="none" w:sz="0" w:space="0" w:color="auto"/>
                <w:left w:val="none" w:sz="0" w:space="0" w:color="auto"/>
                <w:bottom w:val="none" w:sz="0" w:space="0" w:color="auto"/>
                <w:right w:val="none" w:sz="0" w:space="0" w:color="auto"/>
              </w:divBdr>
            </w:div>
            <w:div w:id="1439835833">
              <w:marLeft w:val="0"/>
              <w:marRight w:val="0"/>
              <w:marTop w:val="0"/>
              <w:marBottom w:val="0"/>
              <w:divBdr>
                <w:top w:val="none" w:sz="0" w:space="0" w:color="auto"/>
                <w:left w:val="none" w:sz="0" w:space="0" w:color="auto"/>
                <w:bottom w:val="none" w:sz="0" w:space="0" w:color="auto"/>
                <w:right w:val="none" w:sz="0" w:space="0" w:color="auto"/>
              </w:divBdr>
            </w:div>
            <w:div w:id="377361146">
              <w:marLeft w:val="0"/>
              <w:marRight w:val="0"/>
              <w:marTop w:val="0"/>
              <w:marBottom w:val="0"/>
              <w:divBdr>
                <w:top w:val="none" w:sz="0" w:space="0" w:color="auto"/>
                <w:left w:val="none" w:sz="0" w:space="0" w:color="auto"/>
                <w:bottom w:val="none" w:sz="0" w:space="0" w:color="auto"/>
                <w:right w:val="none" w:sz="0" w:space="0" w:color="auto"/>
              </w:divBdr>
            </w:div>
            <w:div w:id="290090419">
              <w:marLeft w:val="0"/>
              <w:marRight w:val="0"/>
              <w:marTop w:val="0"/>
              <w:marBottom w:val="0"/>
              <w:divBdr>
                <w:top w:val="none" w:sz="0" w:space="0" w:color="auto"/>
                <w:left w:val="none" w:sz="0" w:space="0" w:color="auto"/>
                <w:bottom w:val="none" w:sz="0" w:space="0" w:color="auto"/>
                <w:right w:val="none" w:sz="0" w:space="0" w:color="auto"/>
              </w:divBdr>
            </w:div>
            <w:div w:id="67191647">
              <w:marLeft w:val="0"/>
              <w:marRight w:val="0"/>
              <w:marTop w:val="0"/>
              <w:marBottom w:val="0"/>
              <w:divBdr>
                <w:top w:val="none" w:sz="0" w:space="0" w:color="auto"/>
                <w:left w:val="none" w:sz="0" w:space="0" w:color="auto"/>
                <w:bottom w:val="none" w:sz="0" w:space="0" w:color="auto"/>
                <w:right w:val="none" w:sz="0" w:space="0" w:color="auto"/>
              </w:divBdr>
            </w:div>
            <w:div w:id="1002271073">
              <w:marLeft w:val="0"/>
              <w:marRight w:val="0"/>
              <w:marTop w:val="0"/>
              <w:marBottom w:val="0"/>
              <w:divBdr>
                <w:top w:val="none" w:sz="0" w:space="0" w:color="auto"/>
                <w:left w:val="none" w:sz="0" w:space="0" w:color="auto"/>
                <w:bottom w:val="none" w:sz="0" w:space="0" w:color="auto"/>
                <w:right w:val="none" w:sz="0" w:space="0" w:color="auto"/>
              </w:divBdr>
            </w:div>
            <w:div w:id="843546363">
              <w:marLeft w:val="0"/>
              <w:marRight w:val="0"/>
              <w:marTop w:val="0"/>
              <w:marBottom w:val="0"/>
              <w:divBdr>
                <w:top w:val="none" w:sz="0" w:space="0" w:color="auto"/>
                <w:left w:val="none" w:sz="0" w:space="0" w:color="auto"/>
                <w:bottom w:val="none" w:sz="0" w:space="0" w:color="auto"/>
                <w:right w:val="none" w:sz="0" w:space="0" w:color="auto"/>
              </w:divBdr>
            </w:div>
            <w:div w:id="494883378">
              <w:marLeft w:val="0"/>
              <w:marRight w:val="0"/>
              <w:marTop w:val="0"/>
              <w:marBottom w:val="0"/>
              <w:divBdr>
                <w:top w:val="none" w:sz="0" w:space="0" w:color="auto"/>
                <w:left w:val="none" w:sz="0" w:space="0" w:color="auto"/>
                <w:bottom w:val="none" w:sz="0" w:space="0" w:color="auto"/>
                <w:right w:val="none" w:sz="0" w:space="0" w:color="auto"/>
              </w:divBdr>
            </w:div>
            <w:div w:id="1914122572">
              <w:marLeft w:val="0"/>
              <w:marRight w:val="0"/>
              <w:marTop w:val="0"/>
              <w:marBottom w:val="0"/>
              <w:divBdr>
                <w:top w:val="none" w:sz="0" w:space="0" w:color="auto"/>
                <w:left w:val="none" w:sz="0" w:space="0" w:color="auto"/>
                <w:bottom w:val="none" w:sz="0" w:space="0" w:color="auto"/>
                <w:right w:val="none" w:sz="0" w:space="0" w:color="auto"/>
              </w:divBdr>
            </w:div>
            <w:div w:id="975338277">
              <w:marLeft w:val="0"/>
              <w:marRight w:val="0"/>
              <w:marTop w:val="0"/>
              <w:marBottom w:val="0"/>
              <w:divBdr>
                <w:top w:val="none" w:sz="0" w:space="0" w:color="auto"/>
                <w:left w:val="none" w:sz="0" w:space="0" w:color="auto"/>
                <w:bottom w:val="none" w:sz="0" w:space="0" w:color="auto"/>
                <w:right w:val="none" w:sz="0" w:space="0" w:color="auto"/>
              </w:divBdr>
            </w:div>
            <w:div w:id="1747023816">
              <w:marLeft w:val="0"/>
              <w:marRight w:val="0"/>
              <w:marTop w:val="0"/>
              <w:marBottom w:val="0"/>
              <w:divBdr>
                <w:top w:val="none" w:sz="0" w:space="0" w:color="auto"/>
                <w:left w:val="none" w:sz="0" w:space="0" w:color="auto"/>
                <w:bottom w:val="none" w:sz="0" w:space="0" w:color="auto"/>
                <w:right w:val="none" w:sz="0" w:space="0" w:color="auto"/>
              </w:divBdr>
            </w:div>
            <w:div w:id="1852255720">
              <w:marLeft w:val="0"/>
              <w:marRight w:val="0"/>
              <w:marTop w:val="0"/>
              <w:marBottom w:val="0"/>
              <w:divBdr>
                <w:top w:val="none" w:sz="0" w:space="0" w:color="auto"/>
                <w:left w:val="none" w:sz="0" w:space="0" w:color="auto"/>
                <w:bottom w:val="none" w:sz="0" w:space="0" w:color="auto"/>
                <w:right w:val="none" w:sz="0" w:space="0" w:color="auto"/>
              </w:divBdr>
            </w:div>
            <w:div w:id="602811544">
              <w:marLeft w:val="0"/>
              <w:marRight w:val="0"/>
              <w:marTop w:val="0"/>
              <w:marBottom w:val="0"/>
              <w:divBdr>
                <w:top w:val="none" w:sz="0" w:space="0" w:color="auto"/>
                <w:left w:val="none" w:sz="0" w:space="0" w:color="auto"/>
                <w:bottom w:val="none" w:sz="0" w:space="0" w:color="auto"/>
                <w:right w:val="none" w:sz="0" w:space="0" w:color="auto"/>
              </w:divBdr>
            </w:div>
            <w:div w:id="1789470285">
              <w:marLeft w:val="0"/>
              <w:marRight w:val="0"/>
              <w:marTop w:val="0"/>
              <w:marBottom w:val="0"/>
              <w:divBdr>
                <w:top w:val="none" w:sz="0" w:space="0" w:color="auto"/>
                <w:left w:val="none" w:sz="0" w:space="0" w:color="auto"/>
                <w:bottom w:val="none" w:sz="0" w:space="0" w:color="auto"/>
                <w:right w:val="none" w:sz="0" w:space="0" w:color="auto"/>
              </w:divBdr>
            </w:div>
            <w:div w:id="1982925882">
              <w:marLeft w:val="0"/>
              <w:marRight w:val="0"/>
              <w:marTop w:val="0"/>
              <w:marBottom w:val="0"/>
              <w:divBdr>
                <w:top w:val="none" w:sz="0" w:space="0" w:color="auto"/>
                <w:left w:val="none" w:sz="0" w:space="0" w:color="auto"/>
                <w:bottom w:val="none" w:sz="0" w:space="0" w:color="auto"/>
                <w:right w:val="none" w:sz="0" w:space="0" w:color="auto"/>
              </w:divBdr>
            </w:div>
            <w:div w:id="453839543">
              <w:marLeft w:val="0"/>
              <w:marRight w:val="0"/>
              <w:marTop w:val="0"/>
              <w:marBottom w:val="0"/>
              <w:divBdr>
                <w:top w:val="none" w:sz="0" w:space="0" w:color="auto"/>
                <w:left w:val="none" w:sz="0" w:space="0" w:color="auto"/>
                <w:bottom w:val="none" w:sz="0" w:space="0" w:color="auto"/>
                <w:right w:val="none" w:sz="0" w:space="0" w:color="auto"/>
              </w:divBdr>
            </w:div>
            <w:div w:id="520625069">
              <w:marLeft w:val="0"/>
              <w:marRight w:val="0"/>
              <w:marTop w:val="0"/>
              <w:marBottom w:val="0"/>
              <w:divBdr>
                <w:top w:val="none" w:sz="0" w:space="0" w:color="auto"/>
                <w:left w:val="none" w:sz="0" w:space="0" w:color="auto"/>
                <w:bottom w:val="none" w:sz="0" w:space="0" w:color="auto"/>
                <w:right w:val="none" w:sz="0" w:space="0" w:color="auto"/>
              </w:divBdr>
            </w:div>
            <w:div w:id="1043481690">
              <w:marLeft w:val="0"/>
              <w:marRight w:val="0"/>
              <w:marTop w:val="0"/>
              <w:marBottom w:val="0"/>
              <w:divBdr>
                <w:top w:val="none" w:sz="0" w:space="0" w:color="auto"/>
                <w:left w:val="none" w:sz="0" w:space="0" w:color="auto"/>
                <w:bottom w:val="none" w:sz="0" w:space="0" w:color="auto"/>
                <w:right w:val="none" w:sz="0" w:space="0" w:color="auto"/>
              </w:divBdr>
            </w:div>
            <w:div w:id="1036781850">
              <w:marLeft w:val="0"/>
              <w:marRight w:val="0"/>
              <w:marTop w:val="0"/>
              <w:marBottom w:val="0"/>
              <w:divBdr>
                <w:top w:val="none" w:sz="0" w:space="0" w:color="auto"/>
                <w:left w:val="none" w:sz="0" w:space="0" w:color="auto"/>
                <w:bottom w:val="none" w:sz="0" w:space="0" w:color="auto"/>
                <w:right w:val="none" w:sz="0" w:space="0" w:color="auto"/>
              </w:divBdr>
            </w:div>
            <w:div w:id="586958201">
              <w:marLeft w:val="0"/>
              <w:marRight w:val="0"/>
              <w:marTop w:val="0"/>
              <w:marBottom w:val="0"/>
              <w:divBdr>
                <w:top w:val="none" w:sz="0" w:space="0" w:color="auto"/>
                <w:left w:val="none" w:sz="0" w:space="0" w:color="auto"/>
                <w:bottom w:val="none" w:sz="0" w:space="0" w:color="auto"/>
                <w:right w:val="none" w:sz="0" w:space="0" w:color="auto"/>
              </w:divBdr>
            </w:div>
            <w:div w:id="1438866322">
              <w:marLeft w:val="0"/>
              <w:marRight w:val="0"/>
              <w:marTop w:val="0"/>
              <w:marBottom w:val="0"/>
              <w:divBdr>
                <w:top w:val="none" w:sz="0" w:space="0" w:color="auto"/>
                <w:left w:val="none" w:sz="0" w:space="0" w:color="auto"/>
                <w:bottom w:val="none" w:sz="0" w:space="0" w:color="auto"/>
                <w:right w:val="none" w:sz="0" w:space="0" w:color="auto"/>
              </w:divBdr>
            </w:div>
            <w:div w:id="521935622">
              <w:marLeft w:val="0"/>
              <w:marRight w:val="0"/>
              <w:marTop w:val="0"/>
              <w:marBottom w:val="0"/>
              <w:divBdr>
                <w:top w:val="none" w:sz="0" w:space="0" w:color="auto"/>
                <w:left w:val="none" w:sz="0" w:space="0" w:color="auto"/>
                <w:bottom w:val="none" w:sz="0" w:space="0" w:color="auto"/>
                <w:right w:val="none" w:sz="0" w:space="0" w:color="auto"/>
              </w:divBdr>
            </w:div>
            <w:div w:id="1282230121">
              <w:marLeft w:val="0"/>
              <w:marRight w:val="0"/>
              <w:marTop w:val="0"/>
              <w:marBottom w:val="0"/>
              <w:divBdr>
                <w:top w:val="none" w:sz="0" w:space="0" w:color="auto"/>
                <w:left w:val="none" w:sz="0" w:space="0" w:color="auto"/>
                <w:bottom w:val="none" w:sz="0" w:space="0" w:color="auto"/>
                <w:right w:val="none" w:sz="0" w:space="0" w:color="auto"/>
              </w:divBdr>
            </w:div>
            <w:div w:id="791556036">
              <w:marLeft w:val="0"/>
              <w:marRight w:val="0"/>
              <w:marTop w:val="0"/>
              <w:marBottom w:val="0"/>
              <w:divBdr>
                <w:top w:val="none" w:sz="0" w:space="0" w:color="auto"/>
                <w:left w:val="none" w:sz="0" w:space="0" w:color="auto"/>
                <w:bottom w:val="none" w:sz="0" w:space="0" w:color="auto"/>
                <w:right w:val="none" w:sz="0" w:space="0" w:color="auto"/>
              </w:divBdr>
            </w:div>
            <w:div w:id="286396345">
              <w:marLeft w:val="0"/>
              <w:marRight w:val="0"/>
              <w:marTop w:val="0"/>
              <w:marBottom w:val="0"/>
              <w:divBdr>
                <w:top w:val="none" w:sz="0" w:space="0" w:color="auto"/>
                <w:left w:val="none" w:sz="0" w:space="0" w:color="auto"/>
                <w:bottom w:val="none" w:sz="0" w:space="0" w:color="auto"/>
                <w:right w:val="none" w:sz="0" w:space="0" w:color="auto"/>
              </w:divBdr>
            </w:div>
            <w:div w:id="1269239051">
              <w:marLeft w:val="0"/>
              <w:marRight w:val="0"/>
              <w:marTop w:val="0"/>
              <w:marBottom w:val="0"/>
              <w:divBdr>
                <w:top w:val="none" w:sz="0" w:space="0" w:color="auto"/>
                <w:left w:val="none" w:sz="0" w:space="0" w:color="auto"/>
                <w:bottom w:val="none" w:sz="0" w:space="0" w:color="auto"/>
                <w:right w:val="none" w:sz="0" w:space="0" w:color="auto"/>
              </w:divBdr>
            </w:div>
            <w:div w:id="1644694625">
              <w:marLeft w:val="0"/>
              <w:marRight w:val="0"/>
              <w:marTop w:val="0"/>
              <w:marBottom w:val="0"/>
              <w:divBdr>
                <w:top w:val="none" w:sz="0" w:space="0" w:color="auto"/>
                <w:left w:val="none" w:sz="0" w:space="0" w:color="auto"/>
                <w:bottom w:val="none" w:sz="0" w:space="0" w:color="auto"/>
                <w:right w:val="none" w:sz="0" w:space="0" w:color="auto"/>
              </w:divBdr>
            </w:div>
            <w:div w:id="1922828577">
              <w:marLeft w:val="0"/>
              <w:marRight w:val="0"/>
              <w:marTop w:val="0"/>
              <w:marBottom w:val="0"/>
              <w:divBdr>
                <w:top w:val="none" w:sz="0" w:space="0" w:color="auto"/>
                <w:left w:val="none" w:sz="0" w:space="0" w:color="auto"/>
                <w:bottom w:val="none" w:sz="0" w:space="0" w:color="auto"/>
                <w:right w:val="none" w:sz="0" w:space="0" w:color="auto"/>
              </w:divBdr>
            </w:div>
            <w:div w:id="1025980734">
              <w:marLeft w:val="0"/>
              <w:marRight w:val="0"/>
              <w:marTop w:val="0"/>
              <w:marBottom w:val="0"/>
              <w:divBdr>
                <w:top w:val="none" w:sz="0" w:space="0" w:color="auto"/>
                <w:left w:val="none" w:sz="0" w:space="0" w:color="auto"/>
                <w:bottom w:val="none" w:sz="0" w:space="0" w:color="auto"/>
                <w:right w:val="none" w:sz="0" w:space="0" w:color="auto"/>
              </w:divBdr>
            </w:div>
            <w:div w:id="255335610">
              <w:marLeft w:val="0"/>
              <w:marRight w:val="0"/>
              <w:marTop w:val="0"/>
              <w:marBottom w:val="0"/>
              <w:divBdr>
                <w:top w:val="none" w:sz="0" w:space="0" w:color="auto"/>
                <w:left w:val="none" w:sz="0" w:space="0" w:color="auto"/>
                <w:bottom w:val="none" w:sz="0" w:space="0" w:color="auto"/>
                <w:right w:val="none" w:sz="0" w:space="0" w:color="auto"/>
              </w:divBdr>
            </w:div>
            <w:div w:id="278998211">
              <w:marLeft w:val="0"/>
              <w:marRight w:val="0"/>
              <w:marTop w:val="0"/>
              <w:marBottom w:val="0"/>
              <w:divBdr>
                <w:top w:val="none" w:sz="0" w:space="0" w:color="auto"/>
                <w:left w:val="none" w:sz="0" w:space="0" w:color="auto"/>
                <w:bottom w:val="none" w:sz="0" w:space="0" w:color="auto"/>
                <w:right w:val="none" w:sz="0" w:space="0" w:color="auto"/>
              </w:divBdr>
            </w:div>
            <w:div w:id="1000423422">
              <w:marLeft w:val="0"/>
              <w:marRight w:val="0"/>
              <w:marTop w:val="0"/>
              <w:marBottom w:val="0"/>
              <w:divBdr>
                <w:top w:val="none" w:sz="0" w:space="0" w:color="auto"/>
                <w:left w:val="none" w:sz="0" w:space="0" w:color="auto"/>
                <w:bottom w:val="none" w:sz="0" w:space="0" w:color="auto"/>
                <w:right w:val="none" w:sz="0" w:space="0" w:color="auto"/>
              </w:divBdr>
            </w:div>
            <w:div w:id="327442575">
              <w:marLeft w:val="0"/>
              <w:marRight w:val="0"/>
              <w:marTop w:val="0"/>
              <w:marBottom w:val="0"/>
              <w:divBdr>
                <w:top w:val="none" w:sz="0" w:space="0" w:color="auto"/>
                <w:left w:val="none" w:sz="0" w:space="0" w:color="auto"/>
                <w:bottom w:val="none" w:sz="0" w:space="0" w:color="auto"/>
                <w:right w:val="none" w:sz="0" w:space="0" w:color="auto"/>
              </w:divBdr>
            </w:div>
            <w:div w:id="1922640047">
              <w:marLeft w:val="0"/>
              <w:marRight w:val="0"/>
              <w:marTop w:val="0"/>
              <w:marBottom w:val="0"/>
              <w:divBdr>
                <w:top w:val="none" w:sz="0" w:space="0" w:color="auto"/>
                <w:left w:val="none" w:sz="0" w:space="0" w:color="auto"/>
                <w:bottom w:val="none" w:sz="0" w:space="0" w:color="auto"/>
                <w:right w:val="none" w:sz="0" w:space="0" w:color="auto"/>
              </w:divBdr>
            </w:div>
            <w:div w:id="1335499427">
              <w:marLeft w:val="0"/>
              <w:marRight w:val="0"/>
              <w:marTop w:val="0"/>
              <w:marBottom w:val="0"/>
              <w:divBdr>
                <w:top w:val="none" w:sz="0" w:space="0" w:color="auto"/>
                <w:left w:val="none" w:sz="0" w:space="0" w:color="auto"/>
                <w:bottom w:val="none" w:sz="0" w:space="0" w:color="auto"/>
                <w:right w:val="none" w:sz="0" w:space="0" w:color="auto"/>
              </w:divBdr>
            </w:div>
            <w:div w:id="1750688776">
              <w:marLeft w:val="0"/>
              <w:marRight w:val="0"/>
              <w:marTop w:val="0"/>
              <w:marBottom w:val="0"/>
              <w:divBdr>
                <w:top w:val="none" w:sz="0" w:space="0" w:color="auto"/>
                <w:left w:val="none" w:sz="0" w:space="0" w:color="auto"/>
                <w:bottom w:val="none" w:sz="0" w:space="0" w:color="auto"/>
                <w:right w:val="none" w:sz="0" w:space="0" w:color="auto"/>
              </w:divBdr>
            </w:div>
            <w:div w:id="945885659">
              <w:marLeft w:val="0"/>
              <w:marRight w:val="0"/>
              <w:marTop w:val="0"/>
              <w:marBottom w:val="0"/>
              <w:divBdr>
                <w:top w:val="none" w:sz="0" w:space="0" w:color="auto"/>
                <w:left w:val="none" w:sz="0" w:space="0" w:color="auto"/>
                <w:bottom w:val="none" w:sz="0" w:space="0" w:color="auto"/>
                <w:right w:val="none" w:sz="0" w:space="0" w:color="auto"/>
              </w:divBdr>
            </w:div>
            <w:div w:id="384257920">
              <w:marLeft w:val="0"/>
              <w:marRight w:val="0"/>
              <w:marTop w:val="0"/>
              <w:marBottom w:val="0"/>
              <w:divBdr>
                <w:top w:val="none" w:sz="0" w:space="0" w:color="auto"/>
                <w:left w:val="none" w:sz="0" w:space="0" w:color="auto"/>
                <w:bottom w:val="none" w:sz="0" w:space="0" w:color="auto"/>
                <w:right w:val="none" w:sz="0" w:space="0" w:color="auto"/>
              </w:divBdr>
            </w:div>
            <w:div w:id="2008437754">
              <w:marLeft w:val="0"/>
              <w:marRight w:val="0"/>
              <w:marTop w:val="0"/>
              <w:marBottom w:val="0"/>
              <w:divBdr>
                <w:top w:val="none" w:sz="0" w:space="0" w:color="auto"/>
                <w:left w:val="none" w:sz="0" w:space="0" w:color="auto"/>
                <w:bottom w:val="none" w:sz="0" w:space="0" w:color="auto"/>
                <w:right w:val="none" w:sz="0" w:space="0" w:color="auto"/>
              </w:divBdr>
            </w:div>
            <w:div w:id="1346783907">
              <w:marLeft w:val="0"/>
              <w:marRight w:val="0"/>
              <w:marTop w:val="0"/>
              <w:marBottom w:val="0"/>
              <w:divBdr>
                <w:top w:val="none" w:sz="0" w:space="0" w:color="auto"/>
                <w:left w:val="none" w:sz="0" w:space="0" w:color="auto"/>
                <w:bottom w:val="none" w:sz="0" w:space="0" w:color="auto"/>
                <w:right w:val="none" w:sz="0" w:space="0" w:color="auto"/>
              </w:divBdr>
            </w:div>
            <w:div w:id="1871722478">
              <w:marLeft w:val="0"/>
              <w:marRight w:val="0"/>
              <w:marTop w:val="0"/>
              <w:marBottom w:val="0"/>
              <w:divBdr>
                <w:top w:val="none" w:sz="0" w:space="0" w:color="auto"/>
                <w:left w:val="none" w:sz="0" w:space="0" w:color="auto"/>
                <w:bottom w:val="none" w:sz="0" w:space="0" w:color="auto"/>
                <w:right w:val="none" w:sz="0" w:space="0" w:color="auto"/>
              </w:divBdr>
            </w:div>
            <w:div w:id="1084376258">
              <w:marLeft w:val="0"/>
              <w:marRight w:val="0"/>
              <w:marTop w:val="0"/>
              <w:marBottom w:val="0"/>
              <w:divBdr>
                <w:top w:val="none" w:sz="0" w:space="0" w:color="auto"/>
                <w:left w:val="none" w:sz="0" w:space="0" w:color="auto"/>
                <w:bottom w:val="none" w:sz="0" w:space="0" w:color="auto"/>
                <w:right w:val="none" w:sz="0" w:space="0" w:color="auto"/>
              </w:divBdr>
            </w:div>
            <w:div w:id="1339426123">
              <w:marLeft w:val="0"/>
              <w:marRight w:val="0"/>
              <w:marTop w:val="0"/>
              <w:marBottom w:val="0"/>
              <w:divBdr>
                <w:top w:val="none" w:sz="0" w:space="0" w:color="auto"/>
                <w:left w:val="none" w:sz="0" w:space="0" w:color="auto"/>
                <w:bottom w:val="none" w:sz="0" w:space="0" w:color="auto"/>
                <w:right w:val="none" w:sz="0" w:space="0" w:color="auto"/>
              </w:divBdr>
            </w:div>
            <w:div w:id="505249149">
              <w:marLeft w:val="0"/>
              <w:marRight w:val="0"/>
              <w:marTop w:val="0"/>
              <w:marBottom w:val="0"/>
              <w:divBdr>
                <w:top w:val="none" w:sz="0" w:space="0" w:color="auto"/>
                <w:left w:val="none" w:sz="0" w:space="0" w:color="auto"/>
                <w:bottom w:val="none" w:sz="0" w:space="0" w:color="auto"/>
                <w:right w:val="none" w:sz="0" w:space="0" w:color="auto"/>
              </w:divBdr>
            </w:div>
            <w:div w:id="1078942477">
              <w:marLeft w:val="0"/>
              <w:marRight w:val="0"/>
              <w:marTop w:val="0"/>
              <w:marBottom w:val="0"/>
              <w:divBdr>
                <w:top w:val="none" w:sz="0" w:space="0" w:color="auto"/>
                <w:left w:val="none" w:sz="0" w:space="0" w:color="auto"/>
                <w:bottom w:val="none" w:sz="0" w:space="0" w:color="auto"/>
                <w:right w:val="none" w:sz="0" w:space="0" w:color="auto"/>
              </w:divBdr>
            </w:div>
            <w:div w:id="781339041">
              <w:marLeft w:val="0"/>
              <w:marRight w:val="0"/>
              <w:marTop w:val="0"/>
              <w:marBottom w:val="0"/>
              <w:divBdr>
                <w:top w:val="none" w:sz="0" w:space="0" w:color="auto"/>
                <w:left w:val="none" w:sz="0" w:space="0" w:color="auto"/>
                <w:bottom w:val="none" w:sz="0" w:space="0" w:color="auto"/>
                <w:right w:val="none" w:sz="0" w:space="0" w:color="auto"/>
              </w:divBdr>
            </w:div>
            <w:div w:id="1272082277">
              <w:marLeft w:val="0"/>
              <w:marRight w:val="0"/>
              <w:marTop w:val="0"/>
              <w:marBottom w:val="0"/>
              <w:divBdr>
                <w:top w:val="none" w:sz="0" w:space="0" w:color="auto"/>
                <w:left w:val="none" w:sz="0" w:space="0" w:color="auto"/>
                <w:bottom w:val="none" w:sz="0" w:space="0" w:color="auto"/>
                <w:right w:val="none" w:sz="0" w:space="0" w:color="auto"/>
              </w:divBdr>
            </w:div>
            <w:div w:id="767503011">
              <w:marLeft w:val="0"/>
              <w:marRight w:val="0"/>
              <w:marTop w:val="0"/>
              <w:marBottom w:val="0"/>
              <w:divBdr>
                <w:top w:val="none" w:sz="0" w:space="0" w:color="auto"/>
                <w:left w:val="none" w:sz="0" w:space="0" w:color="auto"/>
                <w:bottom w:val="none" w:sz="0" w:space="0" w:color="auto"/>
                <w:right w:val="none" w:sz="0" w:space="0" w:color="auto"/>
              </w:divBdr>
            </w:div>
            <w:div w:id="1200166420">
              <w:marLeft w:val="0"/>
              <w:marRight w:val="0"/>
              <w:marTop w:val="0"/>
              <w:marBottom w:val="0"/>
              <w:divBdr>
                <w:top w:val="none" w:sz="0" w:space="0" w:color="auto"/>
                <w:left w:val="none" w:sz="0" w:space="0" w:color="auto"/>
                <w:bottom w:val="none" w:sz="0" w:space="0" w:color="auto"/>
                <w:right w:val="none" w:sz="0" w:space="0" w:color="auto"/>
              </w:divBdr>
            </w:div>
            <w:div w:id="341932255">
              <w:marLeft w:val="0"/>
              <w:marRight w:val="0"/>
              <w:marTop w:val="0"/>
              <w:marBottom w:val="0"/>
              <w:divBdr>
                <w:top w:val="none" w:sz="0" w:space="0" w:color="auto"/>
                <w:left w:val="none" w:sz="0" w:space="0" w:color="auto"/>
                <w:bottom w:val="none" w:sz="0" w:space="0" w:color="auto"/>
                <w:right w:val="none" w:sz="0" w:space="0" w:color="auto"/>
              </w:divBdr>
            </w:div>
            <w:div w:id="533352676">
              <w:marLeft w:val="0"/>
              <w:marRight w:val="0"/>
              <w:marTop w:val="0"/>
              <w:marBottom w:val="0"/>
              <w:divBdr>
                <w:top w:val="none" w:sz="0" w:space="0" w:color="auto"/>
                <w:left w:val="none" w:sz="0" w:space="0" w:color="auto"/>
                <w:bottom w:val="none" w:sz="0" w:space="0" w:color="auto"/>
                <w:right w:val="none" w:sz="0" w:space="0" w:color="auto"/>
              </w:divBdr>
            </w:div>
            <w:div w:id="1314220336">
              <w:marLeft w:val="0"/>
              <w:marRight w:val="0"/>
              <w:marTop w:val="0"/>
              <w:marBottom w:val="0"/>
              <w:divBdr>
                <w:top w:val="none" w:sz="0" w:space="0" w:color="auto"/>
                <w:left w:val="none" w:sz="0" w:space="0" w:color="auto"/>
                <w:bottom w:val="none" w:sz="0" w:space="0" w:color="auto"/>
                <w:right w:val="none" w:sz="0" w:space="0" w:color="auto"/>
              </w:divBdr>
            </w:div>
            <w:div w:id="2029257743">
              <w:marLeft w:val="0"/>
              <w:marRight w:val="0"/>
              <w:marTop w:val="0"/>
              <w:marBottom w:val="0"/>
              <w:divBdr>
                <w:top w:val="none" w:sz="0" w:space="0" w:color="auto"/>
                <w:left w:val="none" w:sz="0" w:space="0" w:color="auto"/>
                <w:bottom w:val="none" w:sz="0" w:space="0" w:color="auto"/>
                <w:right w:val="none" w:sz="0" w:space="0" w:color="auto"/>
              </w:divBdr>
            </w:div>
            <w:div w:id="1133518712">
              <w:marLeft w:val="0"/>
              <w:marRight w:val="0"/>
              <w:marTop w:val="0"/>
              <w:marBottom w:val="0"/>
              <w:divBdr>
                <w:top w:val="none" w:sz="0" w:space="0" w:color="auto"/>
                <w:left w:val="none" w:sz="0" w:space="0" w:color="auto"/>
                <w:bottom w:val="none" w:sz="0" w:space="0" w:color="auto"/>
                <w:right w:val="none" w:sz="0" w:space="0" w:color="auto"/>
              </w:divBdr>
            </w:div>
            <w:div w:id="1034378975">
              <w:marLeft w:val="0"/>
              <w:marRight w:val="0"/>
              <w:marTop w:val="0"/>
              <w:marBottom w:val="0"/>
              <w:divBdr>
                <w:top w:val="none" w:sz="0" w:space="0" w:color="auto"/>
                <w:left w:val="none" w:sz="0" w:space="0" w:color="auto"/>
                <w:bottom w:val="none" w:sz="0" w:space="0" w:color="auto"/>
                <w:right w:val="none" w:sz="0" w:space="0" w:color="auto"/>
              </w:divBdr>
            </w:div>
            <w:div w:id="699742731">
              <w:marLeft w:val="0"/>
              <w:marRight w:val="0"/>
              <w:marTop w:val="0"/>
              <w:marBottom w:val="0"/>
              <w:divBdr>
                <w:top w:val="none" w:sz="0" w:space="0" w:color="auto"/>
                <w:left w:val="none" w:sz="0" w:space="0" w:color="auto"/>
                <w:bottom w:val="none" w:sz="0" w:space="0" w:color="auto"/>
                <w:right w:val="none" w:sz="0" w:space="0" w:color="auto"/>
              </w:divBdr>
            </w:div>
            <w:div w:id="1205094182">
              <w:marLeft w:val="0"/>
              <w:marRight w:val="0"/>
              <w:marTop w:val="0"/>
              <w:marBottom w:val="0"/>
              <w:divBdr>
                <w:top w:val="none" w:sz="0" w:space="0" w:color="auto"/>
                <w:left w:val="none" w:sz="0" w:space="0" w:color="auto"/>
                <w:bottom w:val="none" w:sz="0" w:space="0" w:color="auto"/>
                <w:right w:val="none" w:sz="0" w:space="0" w:color="auto"/>
              </w:divBdr>
            </w:div>
            <w:div w:id="180095946">
              <w:marLeft w:val="0"/>
              <w:marRight w:val="0"/>
              <w:marTop w:val="0"/>
              <w:marBottom w:val="0"/>
              <w:divBdr>
                <w:top w:val="none" w:sz="0" w:space="0" w:color="auto"/>
                <w:left w:val="none" w:sz="0" w:space="0" w:color="auto"/>
                <w:bottom w:val="none" w:sz="0" w:space="0" w:color="auto"/>
                <w:right w:val="none" w:sz="0" w:space="0" w:color="auto"/>
              </w:divBdr>
            </w:div>
            <w:div w:id="1396195516">
              <w:marLeft w:val="0"/>
              <w:marRight w:val="0"/>
              <w:marTop w:val="0"/>
              <w:marBottom w:val="0"/>
              <w:divBdr>
                <w:top w:val="none" w:sz="0" w:space="0" w:color="auto"/>
                <w:left w:val="none" w:sz="0" w:space="0" w:color="auto"/>
                <w:bottom w:val="none" w:sz="0" w:space="0" w:color="auto"/>
                <w:right w:val="none" w:sz="0" w:space="0" w:color="auto"/>
              </w:divBdr>
            </w:div>
            <w:div w:id="358243842">
              <w:marLeft w:val="0"/>
              <w:marRight w:val="0"/>
              <w:marTop w:val="0"/>
              <w:marBottom w:val="0"/>
              <w:divBdr>
                <w:top w:val="none" w:sz="0" w:space="0" w:color="auto"/>
                <w:left w:val="none" w:sz="0" w:space="0" w:color="auto"/>
                <w:bottom w:val="none" w:sz="0" w:space="0" w:color="auto"/>
                <w:right w:val="none" w:sz="0" w:space="0" w:color="auto"/>
              </w:divBdr>
            </w:div>
            <w:div w:id="65886495">
              <w:marLeft w:val="0"/>
              <w:marRight w:val="0"/>
              <w:marTop w:val="0"/>
              <w:marBottom w:val="0"/>
              <w:divBdr>
                <w:top w:val="none" w:sz="0" w:space="0" w:color="auto"/>
                <w:left w:val="none" w:sz="0" w:space="0" w:color="auto"/>
                <w:bottom w:val="none" w:sz="0" w:space="0" w:color="auto"/>
                <w:right w:val="none" w:sz="0" w:space="0" w:color="auto"/>
              </w:divBdr>
            </w:div>
            <w:div w:id="518131199">
              <w:marLeft w:val="0"/>
              <w:marRight w:val="0"/>
              <w:marTop w:val="0"/>
              <w:marBottom w:val="0"/>
              <w:divBdr>
                <w:top w:val="none" w:sz="0" w:space="0" w:color="auto"/>
                <w:left w:val="none" w:sz="0" w:space="0" w:color="auto"/>
                <w:bottom w:val="none" w:sz="0" w:space="0" w:color="auto"/>
                <w:right w:val="none" w:sz="0" w:space="0" w:color="auto"/>
              </w:divBdr>
            </w:div>
            <w:div w:id="61412733">
              <w:marLeft w:val="0"/>
              <w:marRight w:val="0"/>
              <w:marTop w:val="0"/>
              <w:marBottom w:val="0"/>
              <w:divBdr>
                <w:top w:val="none" w:sz="0" w:space="0" w:color="auto"/>
                <w:left w:val="none" w:sz="0" w:space="0" w:color="auto"/>
                <w:bottom w:val="none" w:sz="0" w:space="0" w:color="auto"/>
                <w:right w:val="none" w:sz="0" w:space="0" w:color="auto"/>
              </w:divBdr>
            </w:div>
            <w:div w:id="1815373874">
              <w:marLeft w:val="0"/>
              <w:marRight w:val="0"/>
              <w:marTop w:val="0"/>
              <w:marBottom w:val="0"/>
              <w:divBdr>
                <w:top w:val="none" w:sz="0" w:space="0" w:color="auto"/>
                <w:left w:val="none" w:sz="0" w:space="0" w:color="auto"/>
                <w:bottom w:val="none" w:sz="0" w:space="0" w:color="auto"/>
                <w:right w:val="none" w:sz="0" w:space="0" w:color="auto"/>
              </w:divBdr>
            </w:div>
            <w:div w:id="1805077170">
              <w:marLeft w:val="0"/>
              <w:marRight w:val="0"/>
              <w:marTop w:val="0"/>
              <w:marBottom w:val="0"/>
              <w:divBdr>
                <w:top w:val="none" w:sz="0" w:space="0" w:color="auto"/>
                <w:left w:val="none" w:sz="0" w:space="0" w:color="auto"/>
                <w:bottom w:val="none" w:sz="0" w:space="0" w:color="auto"/>
                <w:right w:val="none" w:sz="0" w:space="0" w:color="auto"/>
              </w:divBdr>
            </w:div>
            <w:div w:id="840897013">
              <w:marLeft w:val="0"/>
              <w:marRight w:val="0"/>
              <w:marTop w:val="0"/>
              <w:marBottom w:val="0"/>
              <w:divBdr>
                <w:top w:val="none" w:sz="0" w:space="0" w:color="auto"/>
                <w:left w:val="none" w:sz="0" w:space="0" w:color="auto"/>
                <w:bottom w:val="none" w:sz="0" w:space="0" w:color="auto"/>
                <w:right w:val="none" w:sz="0" w:space="0" w:color="auto"/>
              </w:divBdr>
            </w:div>
            <w:div w:id="2123379718">
              <w:marLeft w:val="0"/>
              <w:marRight w:val="0"/>
              <w:marTop w:val="0"/>
              <w:marBottom w:val="0"/>
              <w:divBdr>
                <w:top w:val="none" w:sz="0" w:space="0" w:color="auto"/>
                <w:left w:val="none" w:sz="0" w:space="0" w:color="auto"/>
                <w:bottom w:val="none" w:sz="0" w:space="0" w:color="auto"/>
                <w:right w:val="none" w:sz="0" w:space="0" w:color="auto"/>
              </w:divBdr>
            </w:div>
            <w:div w:id="1388846110">
              <w:marLeft w:val="0"/>
              <w:marRight w:val="0"/>
              <w:marTop w:val="0"/>
              <w:marBottom w:val="0"/>
              <w:divBdr>
                <w:top w:val="none" w:sz="0" w:space="0" w:color="auto"/>
                <w:left w:val="none" w:sz="0" w:space="0" w:color="auto"/>
                <w:bottom w:val="none" w:sz="0" w:space="0" w:color="auto"/>
                <w:right w:val="none" w:sz="0" w:space="0" w:color="auto"/>
              </w:divBdr>
            </w:div>
            <w:div w:id="968164696">
              <w:marLeft w:val="0"/>
              <w:marRight w:val="0"/>
              <w:marTop w:val="0"/>
              <w:marBottom w:val="0"/>
              <w:divBdr>
                <w:top w:val="none" w:sz="0" w:space="0" w:color="auto"/>
                <w:left w:val="none" w:sz="0" w:space="0" w:color="auto"/>
                <w:bottom w:val="none" w:sz="0" w:space="0" w:color="auto"/>
                <w:right w:val="none" w:sz="0" w:space="0" w:color="auto"/>
              </w:divBdr>
            </w:div>
            <w:div w:id="253320619">
              <w:marLeft w:val="0"/>
              <w:marRight w:val="0"/>
              <w:marTop w:val="0"/>
              <w:marBottom w:val="0"/>
              <w:divBdr>
                <w:top w:val="none" w:sz="0" w:space="0" w:color="auto"/>
                <w:left w:val="none" w:sz="0" w:space="0" w:color="auto"/>
                <w:bottom w:val="none" w:sz="0" w:space="0" w:color="auto"/>
                <w:right w:val="none" w:sz="0" w:space="0" w:color="auto"/>
              </w:divBdr>
            </w:div>
            <w:div w:id="45184232">
              <w:marLeft w:val="0"/>
              <w:marRight w:val="0"/>
              <w:marTop w:val="0"/>
              <w:marBottom w:val="0"/>
              <w:divBdr>
                <w:top w:val="none" w:sz="0" w:space="0" w:color="auto"/>
                <w:left w:val="none" w:sz="0" w:space="0" w:color="auto"/>
                <w:bottom w:val="none" w:sz="0" w:space="0" w:color="auto"/>
                <w:right w:val="none" w:sz="0" w:space="0" w:color="auto"/>
              </w:divBdr>
            </w:div>
            <w:div w:id="612784175">
              <w:marLeft w:val="0"/>
              <w:marRight w:val="0"/>
              <w:marTop w:val="0"/>
              <w:marBottom w:val="0"/>
              <w:divBdr>
                <w:top w:val="none" w:sz="0" w:space="0" w:color="auto"/>
                <w:left w:val="none" w:sz="0" w:space="0" w:color="auto"/>
                <w:bottom w:val="none" w:sz="0" w:space="0" w:color="auto"/>
                <w:right w:val="none" w:sz="0" w:space="0" w:color="auto"/>
              </w:divBdr>
            </w:div>
            <w:div w:id="505631973">
              <w:marLeft w:val="0"/>
              <w:marRight w:val="0"/>
              <w:marTop w:val="0"/>
              <w:marBottom w:val="0"/>
              <w:divBdr>
                <w:top w:val="none" w:sz="0" w:space="0" w:color="auto"/>
                <w:left w:val="none" w:sz="0" w:space="0" w:color="auto"/>
                <w:bottom w:val="none" w:sz="0" w:space="0" w:color="auto"/>
                <w:right w:val="none" w:sz="0" w:space="0" w:color="auto"/>
              </w:divBdr>
            </w:div>
            <w:div w:id="2114275958">
              <w:marLeft w:val="0"/>
              <w:marRight w:val="0"/>
              <w:marTop w:val="0"/>
              <w:marBottom w:val="0"/>
              <w:divBdr>
                <w:top w:val="none" w:sz="0" w:space="0" w:color="auto"/>
                <w:left w:val="none" w:sz="0" w:space="0" w:color="auto"/>
                <w:bottom w:val="none" w:sz="0" w:space="0" w:color="auto"/>
                <w:right w:val="none" w:sz="0" w:space="0" w:color="auto"/>
              </w:divBdr>
            </w:div>
            <w:div w:id="595938693">
              <w:marLeft w:val="0"/>
              <w:marRight w:val="0"/>
              <w:marTop w:val="0"/>
              <w:marBottom w:val="0"/>
              <w:divBdr>
                <w:top w:val="none" w:sz="0" w:space="0" w:color="auto"/>
                <w:left w:val="none" w:sz="0" w:space="0" w:color="auto"/>
                <w:bottom w:val="none" w:sz="0" w:space="0" w:color="auto"/>
                <w:right w:val="none" w:sz="0" w:space="0" w:color="auto"/>
              </w:divBdr>
            </w:div>
            <w:div w:id="143357340">
              <w:marLeft w:val="0"/>
              <w:marRight w:val="0"/>
              <w:marTop w:val="0"/>
              <w:marBottom w:val="0"/>
              <w:divBdr>
                <w:top w:val="none" w:sz="0" w:space="0" w:color="auto"/>
                <w:left w:val="none" w:sz="0" w:space="0" w:color="auto"/>
                <w:bottom w:val="none" w:sz="0" w:space="0" w:color="auto"/>
                <w:right w:val="none" w:sz="0" w:space="0" w:color="auto"/>
              </w:divBdr>
            </w:div>
            <w:div w:id="242178642">
              <w:marLeft w:val="0"/>
              <w:marRight w:val="0"/>
              <w:marTop w:val="0"/>
              <w:marBottom w:val="0"/>
              <w:divBdr>
                <w:top w:val="none" w:sz="0" w:space="0" w:color="auto"/>
                <w:left w:val="none" w:sz="0" w:space="0" w:color="auto"/>
                <w:bottom w:val="none" w:sz="0" w:space="0" w:color="auto"/>
                <w:right w:val="none" w:sz="0" w:space="0" w:color="auto"/>
              </w:divBdr>
            </w:div>
            <w:div w:id="632827196">
              <w:marLeft w:val="0"/>
              <w:marRight w:val="0"/>
              <w:marTop w:val="0"/>
              <w:marBottom w:val="0"/>
              <w:divBdr>
                <w:top w:val="none" w:sz="0" w:space="0" w:color="auto"/>
                <w:left w:val="none" w:sz="0" w:space="0" w:color="auto"/>
                <w:bottom w:val="none" w:sz="0" w:space="0" w:color="auto"/>
                <w:right w:val="none" w:sz="0" w:space="0" w:color="auto"/>
              </w:divBdr>
            </w:div>
            <w:div w:id="1605306762">
              <w:marLeft w:val="0"/>
              <w:marRight w:val="0"/>
              <w:marTop w:val="0"/>
              <w:marBottom w:val="0"/>
              <w:divBdr>
                <w:top w:val="none" w:sz="0" w:space="0" w:color="auto"/>
                <w:left w:val="none" w:sz="0" w:space="0" w:color="auto"/>
                <w:bottom w:val="none" w:sz="0" w:space="0" w:color="auto"/>
                <w:right w:val="none" w:sz="0" w:space="0" w:color="auto"/>
              </w:divBdr>
            </w:div>
            <w:div w:id="154539792">
              <w:marLeft w:val="0"/>
              <w:marRight w:val="0"/>
              <w:marTop w:val="0"/>
              <w:marBottom w:val="0"/>
              <w:divBdr>
                <w:top w:val="none" w:sz="0" w:space="0" w:color="auto"/>
                <w:left w:val="none" w:sz="0" w:space="0" w:color="auto"/>
                <w:bottom w:val="none" w:sz="0" w:space="0" w:color="auto"/>
                <w:right w:val="none" w:sz="0" w:space="0" w:color="auto"/>
              </w:divBdr>
            </w:div>
            <w:div w:id="1391533329">
              <w:marLeft w:val="0"/>
              <w:marRight w:val="0"/>
              <w:marTop w:val="0"/>
              <w:marBottom w:val="0"/>
              <w:divBdr>
                <w:top w:val="none" w:sz="0" w:space="0" w:color="auto"/>
                <w:left w:val="none" w:sz="0" w:space="0" w:color="auto"/>
                <w:bottom w:val="none" w:sz="0" w:space="0" w:color="auto"/>
                <w:right w:val="none" w:sz="0" w:space="0" w:color="auto"/>
              </w:divBdr>
            </w:div>
            <w:div w:id="629243085">
              <w:marLeft w:val="0"/>
              <w:marRight w:val="0"/>
              <w:marTop w:val="0"/>
              <w:marBottom w:val="0"/>
              <w:divBdr>
                <w:top w:val="none" w:sz="0" w:space="0" w:color="auto"/>
                <w:left w:val="none" w:sz="0" w:space="0" w:color="auto"/>
                <w:bottom w:val="none" w:sz="0" w:space="0" w:color="auto"/>
                <w:right w:val="none" w:sz="0" w:space="0" w:color="auto"/>
              </w:divBdr>
            </w:div>
            <w:div w:id="1660695826">
              <w:marLeft w:val="0"/>
              <w:marRight w:val="0"/>
              <w:marTop w:val="0"/>
              <w:marBottom w:val="0"/>
              <w:divBdr>
                <w:top w:val="none" w:sz="0" w:space="0" w:color="auto"/>
                <w:left w:val="none" w:sz="0" w:space="0" w:color="auto"/>
                <w:bottom w:val="none" w:sz="0" w:space="0" w:color="auto"/>
                <w:right w:val="none" w:sz="0" w:space="0" w:color="auto"/>
              </w:divBdr>
            </w:div>
            <w:div w:id="428739144">
              <w:marLeft w:val="0"/>
              <w:marRight w:val="0"/>
              <w:marTop w:val="0"/>
              <w:marBottom w:val="0"/>
              <w:divBdr>
                <w:top w:val="none" w:sz="0" w:space="0" w:color="auto"/>
                <w:left w:val="none" w:sz="0" w:space="0" w:color="auto"/>
                <w:bottom w:val="none" w:sz="0" w:space="0" w:color="auto"/>
                <w:right w:val="none" w:sz="0" w:space="0" w:color="auto"/>
              </w:divBdr>
            </w:div>
            <w:div w:id="140315444">
              <w:marLeft w:val="0"/>
              <w:marRight w:val="0"/>
              <w:marTop w:val="0"/>
              <w:marBottom w:val="0"/>
              <w:divBdr>
                <w:top w:val="none" w:sz="0" w:space="0" w:color="auto"/>
                <w:left w:val="none" w:sz="0" w:space="0" w:color="auto"/>
                <w:bottom w:val="none" w:sz="0" w:space="0" w:color="auto"/>
                <w:right w:val="none" w:sz="0" w:space="0" w:color="auto"/>
              </w:divBdr>
            </w:div>
            <w:div w:id="1369791922">
              <w:marLeft w:val="0"/>
              <w:marRight w:val="0"/>
              <w:marTop w:val="0"/>
              <w:marBottom w:val="0"/>
              <w:divBdr>
                <w:top w:val="none" w:sz="0" w:space="0" w:color="auto"/>
                <w:left w:val="none" w:sz="0" w:space="0" w:color="auto"/>
                <w:bottom w:val="none" w:sz="0" w:space="0" w:color="auto"/>
                <w:right w:val="none" w:sz="0" w:space="0" w:color="auto"/>
              </w:divBdr>
            </w:div>
            <w:div w:id="543178862">
              <w:marLeft w:val="0"/>
              <w:marRight w:val="0"/>
              <w:marTop w:val="0"/>
              <w:marBottom w:val="0"/>
              <w:divBdr>
                <w:top w:val="none" w:sz="0" w:space="0" w:color="auto"/>
                <w:left w:val="none" w:sz="0" w:space="0" w:color="auto"/>
                <w:bottom w:val="none" w:sz="0" w:space="0" w:color="auto"/>
                <w:right w:val="none" w:sz="0" w:space="0" w:color="auto"/>
              </w:divBdr>
            </w:div>
            <w:div w:id="1408460587">
              <w:marLeft w:val="0"/>
              <w:marRight w:val="0"/>
              <w:marTop w:val="0"/>
              <w:marBottom w:val="0"/>
              <w:divBdr>
                <w:top w:val="none" w:sz="0" w:space="0" w:color="auto"/>
                <w:left w:val="none" w:sz="0" w:space="0" w:color="auto"/>
                <w:bottom w:val="none" w:sz="0" w:space="0" w:color="auto"/>
                <w:right w:val="none" w:sz="0" w:space="0" w:color="auto"/>
              </w:divBdr>
            </w:div>
            <w:div w:id="34625225">
              <w:marLeft w:val="0"/>
              <w:marRight w:val="0"/>
              <w:marTop w:val="0"/>
              <w:marBottom w:val="0"/>
              <w:divBdr>
                <w:top w:val="none" w:sz="0" w:space="0" w:color="auto"/>
                <w:left w:val="none" w:sz="0" w:space="0" w:color="auto"/>
                <w:bottom w:val="none" w:sz="0" w:space="0" w:color="auto"/>
                <w:right w:val="none" w:sz="0" w:space="0" w:color="auto"/>
              </w:divBdr>
            </w:div>
            <w:div w:id="2068524980">
              <w:marLeft w:val="0"/>
              <w:marRight w:val="0"/>
              <w:marTop w:val="0"/>
              <w:marBottom w:val="0"/>
              <w:divBdr>
                <w:top w:val="none" w:sz="0" w:space="0" w:color="auto"/>
                <w:left w:val="none" w:sz="0" w:space="0" w:color="auto"/>
                <w:bottom w:val="none" w:sz="0" w:space="0" w:color="auto"/>
                <w:right w:val="none" w:sz="0" w:space="0" w:color="auto"/>
              </w:divBdr>
            </w:div>
            <w:div w:id="380910218">
              <w:marLeft w:val="0"/>
              <w:marRight w:val="0"/>
              <w:marTop w:val="0"/>
              <w:marBottom w:val="0"/>
              <w:divBdr>
                <w:top w:val="none" w:sz="0" w:space="0" w:color="auto"/>
                <w:left w:val="none" w:sz="0" w:space="0" w:color="auto"/>
                <w:bottom w:val="none" w:sz="0" w:space="0" w:color="auto"/>
                <w:right w:val="none" w:sz="0" w:space="0" w:color="auto"/>
              </w:divBdr>
            </w:div>
            <w:div w:id="1657683016">
              <w:marLeft w:val="0"/>
              <w:marRight w:val="0"/>
              <w:marTop w:val="0"/>
              <w:marBottom w:val="0"/>
              <w:divBdr>
                <w:top w:val="none" w:sz="0" w:space="0" w:color="auto"/>
                <w:left w:val="none" w:sz="0" w:space="0" w:color="auto"/>
                <w:bottom w:val="none" w:sz="0" w:space="0" w:color="auto"/>
                <w:right w:val="none" w:sz="0" w:space="0" w:color="auto"/>
              </w:divBdr>
            </w:div>
            <w:div w:id="586574301">
              <w:marLeft w:val="0"/>
              <w:marRight w:val="0"/>
              <w:marTop w:val="0"/>
              <w:marBottom w:val="0"/>
              <w:divBdr>
                <w:top w:val="none" w:sz="0" w:space="0" w:color="auto"/>
                <w:left w:val="none" w:sz="0" w:space="0" w:color="auto"/>
                <w:bottom w:val="none" w:sz="0" w:space="0" w:color="auto"/>
                <w:right w:val="none" w:sz="0" w:space="0" w:color="auto"/>
              </w:divBdr>
            </w:div>
            <w:div w:id="1751851034">
              <w:marLeft w:val="0"/>
              <w:marRight w:val="0"/>
              <w:marTop w:val="0"/>
              <w:marBottom w:val="0"/>
              <w:divBdr>
                <w:top w:val="none" w:sz="0" w:space="0" w:color="auto"/>
                <w:left w:val="none" w:sz="0" w:space="0" w:color="auto"/>
                <w:bottom w:val="none" w:sz="0" w:space="0" w:color="auto"/>
                <w:right w:val="none" w:sz="0" w:space="0" w:color="auto"/>
              </w:divBdr>
            </w:div>
            <w:div w:id="687604678">
              <w:marLeft w:val="0"/>
              <w:marRight w:val="0"/>
              <w:marTop w:val="0"/>
              <w:marBottom w:val="0"/>
              <w:divBdr>
                <w:top w:val="none" w:sz="0" w:space="0" w:color="auto"/>
                <w:left w:val="none" w:sz="0" w:space="0" w:color="auto"/>
                <w:bottom w:val="none" w:sz="0" w:space="0" w:color="auto"/>
                <w:right w:val="none" w:sz="0" w:space="0" w:color="auto"/>
              </w:divBdr>
            </w:div>
            <w:div w:id="1069882392">
              <w:marLeft w:val="0"/>
              <w:marRight w:val="0"/>
              <w:marTop w:val="0"/>
              <w:marBottom w:val="0"/>
              <w:divBdr>
                <w:top w:val="none" w:sz="0" w:space="0" w:color="auto"/>
                <w:left w:val="none" w:sz="0" w:space="0" w:color="auto"/>
                <w:bottom w:val="none" w:sz="0" w:space="0" w:color="auto"/>
                <w:right w:val="none" w:sz="0" w:space="0" w:color="auto"/>
              </w:divBdr>
            </w:div>
            <w:div w:id="1355379537">
              <w:marLeft w:val="0"/>
              <w:marRight w:val="0"/>
              <w:marTop w:val="0"/>
              <w:marBottom w:val="0"/>
              <w:divBdr>
                <w:top w:val="none" w:sz="0" w:space="0" w:color="auto"/>
                <w:left w:val="none" w:sz="0" w:space="0" w:color="auto"/>
                <w:bottom w:val="none" w:sz="0" w:space="0" w:color="auto"/>
                <w:right w:val="none" w:sz="0" w:space="0" w:color="auto"/>
              </w:divBdr>
            </w:div>
            <w:div w:id="526404602">
              <w:marLeft w:val="0"/>
              <w:marRight w:val="0"/>
              <w:marTop w:val="0"/>
              <w:marBottom w:val="0"/>
              <w:divBdr>
                <w:top w:val="none" w:sz="0" w:space="0" w:color="auto"/>
                <w:left w:val="none" w:sz="0" w:space="0" w:color="auto"/>
                <w:bottom w:val="none" w:sz="0" w:space="0" w:color="auto"/>
                <w:right w:val="none" w:sz="0" w:space="0" w:color="auto"/>
              </w:divBdr>
            </w:div>
            <w:div w:id="1689480556">
              <w:marLeft w:val="0"/>
              <w:marRight w:val="0"/>
              <w:marTop w:val="0"/>
              <w:marBottom w:val="0"/>
              <w:divBdr>
                <w:top w:val="none" w:sz="0" w:space="0" w:color="auto"/>
                <w:left w:val="none" w:sz="0" w:space="0" w:color="auto"/>
                <w:bottom w:val="none" w:sz="0" w:space="0" w:color="auto"/>
                <w:right w:val="none" w:sz="0" w:space="0" w:color="auto"/>
              </w:divBdr>
            </w:div>
            <w:div w:id="1913809304">
              <w:marLeft w:val="0"/>
              <w:marRight w:val="0"/>
              <w:marTop w:val="0"/>
              <w:marBottom w:val="0"/>
              <w:divBdr>
                <w:top w:val="none" w:sz="0" w:space="0" w:color="auto"/>
                <w:left w:val="none" w:sz="0" w:space="0" w:color="auto"/>
                <w:bottom w:val="none" w:sz="0" w:space="0" w:color="auto"/>
                <w:right w:val="none" w:sz="0" w:space="0" w:color="auto"/>
              </w:divBdr>
            </w:div>
            <w:div w:id="184056213">
              <w:marLeft w:val="0"/>
              <w:marRight w:val="0"/>
              <w:marTop w:val="0"/>
              <w:marBottom w:val="0"/>
              <w:divBdr>
                <w:top w:val="none" w:sz="0" w:space="0" w:color="auto"/>
                <w:left w:val="none" w:sz="0" w:space="0" w:color="auto"/>
                <w:bottom w:val="none" w:sz="0" w:space="0" w:color="auto"/>
                <w:right w:val="none" w:sz="0" w:space="0" w:color="auto"/>
              </w:divBdr>
            </w:div>
            <w:div w:id="1851750155">
              <w:marLeft w:val="0"/>
              <w:marRight w:val="0"/>
              <w:marTop w:val="0"/>
              <w:marBottom w:val="0"/>
              <w:divBdr>
                <w:top w:val="none" w:sz="0" w:space="0" w:color="auto"/>
                <w:left w:val="none" w:sz="0" w:space="0" w:color="auto"/>
                <w:bottom w:val="none" w:sz="0" w:space="0" w:color="auto"/>
                <w:right w:val="none" w:sz="0" w:space="0" w:color="auto"/>
              </w:divBdr>
            </w:div>
            <w:div w:id="175046864">
              <w:marLeft w:val="0"/>
              <w:marRight w:val="0"/>
              <w:marTop w:val="0"/>
              <w:marBottom w:val="0"/>
              <w:divBdr>
                <w:top w:val="none" w:sz="0" w:space="0" w:color="auto"/>
                <w:left w:val="none" w:sz="0" w:space="0" w:color="auto"/>
                <w:bottom w:val="none" w:sz="0" w:space="0" w:color="auto"/>
                <w:right w:val="none" w:sz="0" w:space="0" w:color="auto"/>
              </w:divBdr>
            </w:div>
            <w:div w:id="552740549">
              <w:marLeft w:val="0"/>
              <w:marRight w:val="0"/>
              <w:marTop w:val="0"/>
              <w:marBottom w:val="0"/>
              <w:divBdr>
                <w:top w:val="none" w:sz="0" w:space="0" w:color="auto"/>
                <w:left w:val="none" w:sz="0" w:space="0" w:color="auto"/>
                <w:bottom w:val="none" w:sz="0" w:space="0" w:color="auto"/>
                <w:right w:val="none" w:sz="0" w:space="0" w:color="auto"/>
              </w:divBdr>
            </w:div>
            <w:div w:id="1514615119">
              <w:marLeft w:val="0"/>
              <w:marRight w:val="0"/>
              <w:marTop w:val="0"/>
              <w:marBottom w:val="0"/>
              <w:divBdr>
                <w:top w:val="none" w:sz="0" w:space="0" w:color="auto"/>
                <w:left w:val="none" w:sz="0" w:space="0" w:color="auto"/>
                <w:bottom w:val="none" w:sz="0" w:space="0" w:color="auto"/>
                <w:right w:val="none" w:sz="0" w:space="0" w:color="auto"/>
              </w:divBdr>
            </w:div>
            <w:div w:id="993332705">
              <w:marLeft w:val="0"/>
              <w:marRight w:val="0"/>
              <w:marTop w:val="0"/>
              <w:marBottom w:val="0"/>
              <w:divBdr>
                <w:top w:val="none" w:sz="0" w:space="0" w:color="auto"/>
                <w:left w:val="none" w:sz="0" w:space="0" w:color="auto"/>
                <w:bottom w:val="none" w:sz="0" w:space="0" w:color="auto"/>
                <w:right w:val="none" w:sz="0" w:space="0" w:color="auto"/>
              </w:divBdr>
            </w:div>
            <w:div w:id="120537820">
              <w:marLeft w:val="0"/>
              <w:marRight w:val="0"/>
              <w:marTop w:val="0"/>
              <w:marBottom w:val="0"/>
              <w:divBdr>
                <w:top w:val="none" w:sz="0" w:space="0" w:color="auto"/>
                <w:left w:val="none" w:sz="0" w:space="0" w:color="auto"/>
                <w:bottom w:val="none" w:sz="0" w:space="0" w:color="auto"/>
                <w:right w:val="none" w:sz="0" w:space="0" w:color="auto"/>
              </w:divBdr>
            </w:div>
            <w:div w:id="306712580">
              <w:marLeft w:val="0"/>
              <w:marRight w:val="0"/>
              <w:marTop w:val="0"/>
              <w:marBottom w:val="0"/>
              <w:divBdr>
                <w:top w:val="none" w:sz="0" w:space="0" w:color="auto"/>
                <w:left w:val="none" w:sz="0" w:space="0" w:color="auto"/>
                <w:bottom w:val="none" w:sz="0" w:space="0" w:color="auto"/>
                <w:right w:val="none" w:sz="0" w:space="0" w:color="auto"/>
              </w:divBdr>
            </w:div>
            <w:div w:id="1987515807">
              <w:marLeft w:val="0"/>
              <w:marRight w:val="0"/>
              <w:marTop w:val="0"/>
              <w:marBottom w:val="0"/>
              <w:divBdr>
                <w:top w:val="none" w:sz="0" w:space="0" w:color="auto"/>
                <w:left w:val="none" w:sz="0" w:space="0" w:color="auto"/>
                <w:bottom w:val="none" w:sz="0" w:space="0" w:color="auto"/>
                <w:right w:val="none" w:sz="0" w:space="0" w:color="auto"/>
              </w:divBdr>
            </w:div>
            <w:div w:id="2094429880">
              <w:marLeft w:val="0"/>
              <w:marRight w:val="0"/>
              <w:marTop w:val="0"/>
              <w:marBottom w:val="0"/>
              <w:divBdr>
                <w:top w:val="none" w:sz="0" w:space="0" w:color="auto"/>
                <w:left w:val="none" w:sz="0" w:space="0" w:color="auto"/>
                <w:bottom w:val="none" w:sz="0" w:space="0" w:color="auto"/>
                <w:right w:val="none" w:sz="0" w:space="0" w:color="auto"/>
              </w:divBdr>
            </w:div>
            <w:div w:id="336032273">
              <w:marLeft w:val="0"/>
              <w:marRight w:val="0"/>
              <w:marTop w:val="0"/>
              <w:marBottom w:val="0"/>
              <w:divBdr>
                <w:top w:val="none" w:sz="0" w:space="0" w:color="auto"/>
                <w:left w:val="none" w:sz="0" w:space="0" w:color="auto"/>
                <w:bottom w:val="none" w:sz="0" w:space="0" w:color="auto"/>
                <w:right w:val="none" w:sz="0" w:space="0" w:color="auto"/>
              </w:divBdr>
            </w:div>
            <w:div w:id="803619509">
              <w:marLeft w:val="0"/>
              <w:marRight w:val="0"/>
              <w:marTop w:val="0"/>
              <w:marBottom w:val="0"/>
              <w:divBdr>
                <w:top w:val="none" w:sz="0" w:space="0" w:color="auto"/>
                <w:left w:val="none" w:sz="0" w:space="0" w:color="auto"/>
                <w:bottom w:val="none" w:sz="0" w:space="0" w:color="auto"/>
                <w:right w:val="none" w:sz="0" w:space="0" w:color="auto"/>
              </w:divBdr>
            </w:div>
            <w:div w:id="830488732">
              <w:marLeft w:val="0"/>
              <w:marRight w:val="0"/>
              <w:marTop w:val="0"/>
              <w:marBottom w:val="0"/>
              <w:divBdr>
                <w:top w:val="none" w:sz="0" w:space="0" w:color="auto"/>
                <w:left w:val="none" w:sz="0" w:space="0" w:color="auto"/>
                <w:bottom w:val="none" w:sz="0" w:space="0" w:color="auto"/>
                <w:right w:val="none" w:sz="0" w:space="0" w:color="auto"/>
              </w:divBdr>
            </w:div>
            <w:div w:id="704477215">
              <w:marLeft w:val="0"/>
              <w:marRight w:val="0"/>
              <w:marTop w:val="0"/>
              <w:marBottom w:val="0"/>
              <w:divBdr>
                <w:top w:val="none" w:sz="0" w:space="0" w:color="auto"/>
                <w:left w:val="none" w:sz="0" w:space="0" w:color="auto"/>
                <w:bottom w:val="none" w:sz="0" w:space="0" w:color="auto"/>
                <w:right w:val="none" w:sz="0" w:space="0" w:color="auto"/>
              </w:divBdr>
            </w:div>
            <w:div w:id="1719360145">
              <w:marLeft w:val="0"/>
              <w:marRight w:val="0"/>
              <w:marTop w:val="0"/>
              <w:marBottom w:val="0"/>
              <w:divBdr>
                <w:top w:val="none" w:sz="0" w:space="0" w:color="auto"/>
                <w:left w:val="none" w:sz="0" w:space="0" w:color="auto"/>
                <w:bottom w:val="none" w:sz="0" w:space="0" w:color="auto"/>
                <w:right w:val="none" w:sz="0" w:space="0" w:color="auto"/>
              </w:divBdr>
            </w:div>
            <w:div w:id="481387768">
              <w:marLeft w:val="0"/>
              <w:marRight w:val="0"/>
              <w:marTop w:val="0"/>
              <w:marBottom w:val="0"/>
              <w:divBdr>
                <w:top w:val="none" w:sz="0" w:space="0" w:color="auto"/>
                <w:left w:val="none" w:sz="0" w:space="0" w:color="auto"/>
                <w:bottom w:val="none" w:sz="0" w:space="0" w:color="auto"/>
                <w:right w:val="none" w:sz="0" w:space="0" w:color="auto"/>
              </w:divBdr>
            </w:div>
            <w:div w:id="909922605">
              <w:marLeft w:val="0"/>
              <w:marRight w:val="0"/>
              <w:marTop w:val="0"/>
              <w:marBottom w:val="0"/>
              <w:divBdr>
                <w:top w:val="none" w:sz="0" w:space="0" w:color="auto"/>
                <w:left w:val="none" w:sz="0" w:space="0" w:color="auto"/>
                <w:bottom w:val="none" w:sz="0" w:space="0" w:color="auto"/>
                <w:right w:val="none" w:sz="0" w:space="0" w:color="auto"/>
              </w:divBdr>
            </w:div>
            <w:div w:id="1384525275">
              <w:marLeft w:val="0"/>
              <w:marRight w:val="0"/>
              <w:marTop w:val="0"/>
              <w:marBottom w:val="0"/>
              <w:divBdr>
                <w:top w:val="none" w:sz="0" w:space="0" w:color="auto"/>
                <w:left w:val="none" w:sz="0" w:space="0" w:color="auto"/>
                <w:bottom w:val="none" w:sz="0" w:space="0" w:color="auto"/>
                <w:right w:val="none" w:sz="0" w:space="0" w:color="auto"/>
              </w:divBdr>
            </w:div>
            <w:div w:id="1105542392">
              <w:marLeft w:val="0"/>
              <w:marRight w:val="0"/>
              <w:marTop w:val="0"/>
              <w:marBottom w:val="0"/>
              <w:divBdr>
                <w:top w:val="none" w:sz="0" w:space="0" w:color="auto"/>
                <w:left w:val="none" w:sz="0" w:space="0" w:color="auto"/>
                <w:bottom w:val="none" w:sz="0" w:space="0" w:color="auto"/>
                <w:right w:val="none" w:sz="0" w:space="0" w:color="auto"/>
              </w:divBdr>
            </w:div>
            <w:div w:id="18747892">
              <w:marLeft w:val="0"/>
              <w:marRight w:val="0"/>
              <w:marTop w:val="0"/>
              <w:marBottom w:val="0"/>
              <w:divBdr>
                <w:top w:val="none" w:sz="0" w:space="0" w:color="auto"/>
                <w:left w:val="none" w:sz="0" w:space="0" w:color="auto"/>
                <w:bottom w:val="none" w:sz="0" w:space="0" w:color="auto"/>
                <w:right w:val="none" w:sz="0" w:space="0" w:color="auto"/>
              </w:divBdr>
            </w:div>
            <w:div w:id="1347514958">
              <w:marLeft w:val="0"/>
              <w:marRight w:val="0"/>
              <w:marTop w:val="0"/>
              <w:marBottom w:val="0"/>
              <w:divBdr>
                <w:top w:val="none" w:sz="0" w:space="0" w:color="auto"/>
                <w:left w:val="none" w:sz="0" w:space="0" w:color="auto"/>
                <w:bottom w:val="none" w:sz="0" w:space="0" w:color="auto"/>
                <w:right w:val="none" w:sz="0" w:space="0" w:color="auto"/>
              </w:divBdr>
            </w:div>
            <w:div w:id="866599575">
              <w:marLeft w:val="0"/>
              <w:marRight w:val="0"/>
              <w:marTop w:val="0"/>
              <w:marBottom w:val="0"/>
              <w:divBdr>
                <w:top w:val="none" w:sz="0" w:space="0" w:color="auto"/>
                <w:left w:val="none" w:sz="0" w:space="0" w:color="auto"/>
                <w:bottom w:val="none" w:sz="0" w:space="0" w:color="auto"/>
                <w:right w:val="none" w:sz="0" w:space="0" w:color="auto"/>
              </w:divBdr>
            </w:div>
            <w:div w:id="1172334764">
              <w:marLeft w:val="0"/>
              <w:marRight w:val="0"/>
              <w:marTop w:val="0"/>
              <w:marBottom w:val="0"/>
              <w:divBdr>
                <w:top w:val="none" w:sz="0" w:space="0" w:color="auto"/>
                <w:left w:val="none" w:sz="0" w:space="0" w:color="auto"/>
                <w:bottom w:val="none" w:sz="0" w:space="0" w:color="auto"/>
                <w:right w:val="none" w:sz="0" w:space="0" w:color="auto"/>
              </w:divBdr>
            </w:div>
            <w:div w:id="647512957">
              <w:marLeft w:val="0"/>
              <w:marRight w:val="0"/>
              <w:marTop w:val="0"/>
              <w:marBottom w:val="0"/>
              <w:divBdr>
                <w:top w:val="none" w:sz="0" w:space="0" w:color="auto"/>
                <w:left w:val="none" w:sz="0" w:space="0" w:color="auto"/>
                <w:bottom w:val="none" w:sz="0" w:space="0" w:color="auto"/>
                <w:right w:val="none" w:sz="0" w:space="0" w:color="auto"/>
              </w:divBdr>
            </w:div>
            <w:div w:id="954217100">
              <w:marLeft w:val="0"/>
              <w:marRight w:val="0"/>
              <w:marTop w:val="0"/>
              <w:marBottom w:val="0"/>
              <w:divBdr>
                <w:top w:val="none" w:sz="0" w:space="0" w:color="auto"/>
                <w:left w:val="none" w:sz="0" w:space="0" w:color="auto"/>
                <w:bottom w:val="none" w:sz="0" w:space="0" w:color="auto"/>
                <w:right w:val="none" w:sz="0" w:space="0" w:color="auto"/>
              </w:divBdr>
            </w:div>
            <w:div w:id="946426036">
              <w:marLeft w:val="0"/>
              <w:marRight w:val="0"/>
              <w:marTop w:val="0"/>
              <w:marBottom w:val="0"/>
              <w:divBdr>
                <w:top w:val="none" w:sz="0" w:space="0" w:color="auto"/>
                <w:left w:val="none" w:sz="0" w:space="0" w:color="auto"/>
                <w:bottom w:val="none" w:sz="0" w:space="0" w:color="auto"/>
                <w:right w:val="none" w:sz="0" w:space="0" w:color="auto"/>
              </w:divBdr>
            </w:div>
            <w:div w:id="863207021">
              <w:marLeft w:val="0"/>
              <w:marRight w:val="0"/>
              <w:marTop w:val="0"/>
              <w:marBottom w:val="0"/>
              <w:divBdr>
                <w:top w:val="none" w:sz="0" w:space="0" w:color="auto"/>
                <w:left w:val="none" w:sz="0" w:space="0" w:color="auto"/>
                <w:bottom w:val="none" w:sz="0" w:space="0" w:color="auto"/>
                <w:right w:val="none" w:sz="0" w:space="0" w:color="auto"/>
              </w:divBdr>
            </w:div>
            <w:div w:id="915086925">
              <w:marLeft w:val="0"/>
              <w:marRight w:val="0"/>
              <w:marTop w:val="0"/>
              <w:marBottom w:val="0"/>
              <w:divBdr>
                <w:top w:val="none" w:sz="0" w:space="0" w:color="auto"/>
                <w:left w:val="none" w:sz="0" w:space="0" w:color="auto"/>
                <w:bottom w:val="none" w:sz="0" w:space="0" w:color="auto"/>
                <w:right w:val="none" w:sz="0" w:space="0" w:color="auto"/>
              </w:divBdr>
            </w:div>
            <w:div w:id="1905094217">
              <w:marLeft w:val="0"/>
              <w:marRight w:val="0"/>
              <w:marTop w:val="0"/>
              <w:marBottom w:val="0"/>
              <w:divBdr>
                <w:top w:val="none" w:sz="0" w:space="0" w:color="auto"/>
                <w:left w:val="none" w:sz="0" w:space="0" w:color="auto"/>
                <w:bottom w:val="none" w:sz="0" w:space="0" w:color="auto"/>
                <w:right w:val="none" w:sz="0" w:space="0" w:color="auto"/>
              </w:divBdr>
            </w:div>
            <w:div w:id="533470745">
              <w:marLeft w:val="0"/>
              <w:marRight w:val="0"/>
              <w:marTop w:val="0"/>
              <w:marBottom w:val="0"/>
              <w:divBdr>
                <w:top w:val="none" w:sz="0" w:space="0" w:color="auto"/>
                <w:left w:val="none" w:sz="0" w:space="0" w:color="auto"/>
                <w:bottom w:val="none" w:sz="0" w:space="0" w:color="auto"/>
                <w:right w:val="none" w:sz="0" w:space="0" w:color="auto"/>
              </w:divBdr>
            </w:div>
            <w:div w:id="1104686286">
              <w:marLeft w:val="0"/>
              <w:marRight w:val="0"/>
              <w:marTop w:val="0"/>
              <w:marBottom w:val="0"/>
              <w:divBdr>
                <w:top w:val="none" w:sz="0" w:space="0" w:color="auto"/>
                <w:left w:val="none" w:sz="0" w:space="0" w:color="auto"/>
                <w:bottom w:val="none" w:sz="0" w:space="0" w:color="auto"/>
                <w:right w:val="none" w:sz="0" w:space="0" w:color="auto"/>
              </w:divBdr>
            </w:div>
            <w:div w:id="1977294822">
              <w:marLeft w:val="0"/>
              <w:marRight w:val="0"/>
              <w:marTop w:val="0"/>
              <w:marBottom w:val="0"/>
              <w:divBdr>
                <w:top w:val="none" w:sz="0" w:space="0" w:color="auto"/>
                <w:left w:val="none" w:sz="0" w:space="0" w:color="auto"/>
                <w:bottom w:val="none" w:sz="0" w:space="0" w:color="auto"/>
                <w:right w:val="none" w:sz="0" w:space="0" w:color="auto"/>
              </w:divBdr>
            </w:div>
            <w:div w:id="974986751">
              <w:marLeft w:val="0"/>
              <w:marRight w:val="0"/>
              <w:marTop w:val="0"/>
              <w:marBottom w:val="0"/>
              <w:divBdr>
                <w:top w:val="none" w:sz="0" w:space="0" w:color="auto"/>
                <w:left w:val="none" w:sz="0" w:space="0" w:color="auto"/>
                <w:bottom w:val="none" w:sz="0" w:space="0" w:color="auto"/>
                <w:right w:val="none" w:sz="0" w:space="0" w:color="auto"/>
              </w:divBdr>
            </w:div>
            <w:div w:id="1405377762">
              <w:marLeft w:val="0"/>
              <w:marRight w:val="0"/>
              <w:marTop w:val="0"/>
              <w:marBottom w:val="0"/>
              <w:divBdr>
                <w:top w:val="none" w:sz="0" w:space="0" w:color="auto"/>
                <w:left w:val="none" w:sz="0" w:space="0" w:color="auto"/>
                <w:bottom w:val="none" w:sz="0" w:space="0" w:color="auto"/>
                <w:right w:val="none" w:sz="0" w:space="0" w:color="auto"/>
              </w:divBdr>
            </w:div>
            <w:div w:id="1628663407">
              <w:marLeft w:val="0"/>
              <w:marRight w:val="0"/>
              <w:marTop w:val="0"/>
              <w:marBottom w:val="0"/>
              <w:divBdr>
                <w:top w:val="none" w:sz="0" w:space="0" w:color="auto"/>
                <w:left w:val="none" w:sz="0" w:space="0" w:color="auto"/>
                <w:bottom w:val="none" w:sz="0" w:space="0" w:color="auto"/>
                <w:right w:val="none" w:sz="0" w:space="0" w:color="auto"/>
              </w:divBdr>
            </w:div>
            <w:div w:id="885025436">
              <w:marLeft w:val="0"/>
              <w:marRight w:val="0"/>
              <w:marTop w:val="0"/>
              <w:marBottom w:val="0"/>
              <w:divBdr>
                <w:top w:val="none" w:sz="0" w:space="0" w:color="auto"/>
                <w:left w:val="none" w:sz="0" w:space="0" w:color="auto"/>
                <w:bottom w:val="none" w:sz="0" w:space="0" w:color="auto"/>
                <w:right w:val="none" w:sz="0" w:space="0" w:color="auto"/>
              </w:divBdr>
            </w:div>
            <w:div w:id="194584033">
              <w:marLeft w:val="0"/>
              <w:marRight w:val="0"/>
              <w:marTop w:val="0"/>
              <w:marBottom w:val="0"/>
              <w:divBdr>
                <w:top w:val="none" w:sz="0" w:space="0" w:color="auto"/>
                <w:left w:val="none" w:sz="0" w:space="0" w:color="auto"/>
                <w:bottom w:val="none" w:sz="0" w:space="0" w:color="auto"/>
                <w:right w:val="none" w:sz="0" w:space="0" w:color="auto"/>
              </w:divBdr>
            </w:div>
            <w:div w:id="1540972901">
              <w:marLeft w:val="0"/>
              <w:marRight w:val="0"/>
              <w:marTop w:val="0"/>
              <w:marBottom w:val="0"/>
              <w:divBdr>
                <w:top w:val="none" w:sz="0" w:space="0" w:color="auto"/>
                <w:left w:val="none" w:sz="0" w:space="0" w:color="auto"/>
                <w:bottom w:val="none" w:sz="0" w:space="0" w:color="auto"/>
                <w:right w:val="none" w:sz="0" w:space="0" w:color="auto"/>
              </w:divBdr>
            </w:div>
            <w:div w:id="121190568">
              <w:marLeft w:val="0"/>
              <w:marRight w:val="0"/>
              <w:marTop w:val="0"/>
              <w:marBottom w:val="0"/>
              <w:divBdr>
                <w:top w:val="none" w:sz="0" w:space="0" w:color="auto"/>
                <w:left w:val="none" w:sz="0" w:space="0" w:color="auto"/>
                <w:bottom w:val="none" w:sz="0" w:space="0" w:color="auto"/>
                <w:right w:val="none" w:sz="0" w:space="0" w:color="auto"/>
              </w:divBdr>
            </w:div>
            <w:div w:id="748964523">
              <w:marLeft w:val="0"/>
              <w:marRight w:val="0"/>
              <w:marTop w:val="0"/>
              <w:marBottom w:val="0"/>
              <w:divBdr>
                <w:top w:val="none" w:sz="0" w:space="0" w:color="auto"/>
                <w:left w:val="none" w:sz="0" w:space="0" w:color="auto"/>
                <w:bottom w:val="none" w:sz="0" w:space="0" w:color="auto"/>
                <w:right w:val="none" w:sz="0" w:space="0" w:color="auto"/>
              </w:divBdr>
            </w:div>
            <w:div w:id="792790520">
              <w:marLeft w:val="0"/>
              <w:marRight w:val="0"/>
              <w:marTop w:val="0"/>
              <w:marBottom w:val="0"/>
              <w:divBdr>
                <w:top w:val="none" w:sz="0" w:space="0" w:color="auto"/>
                <w:left w:val="none" w:sz="0" w:space="0" w:color="auto"/>
                <w:bottom w:val="none" w:sz="0" w:space="0" w:color="auto"/>
                <w:right w:val="none" w:sz="0" w:space="0" w:color="auto"/>
              </w:divBdr>
            </w:div>
            <w:div w:id="321324580">
              <w:marLeft w:val="0"/>
              <w:marRight w:val="0"/>
              <w:marTop w:val="0"/>
              <w:marBottom w:val="0"/>
              <w:divBdr>
                <w:top w:val="none" w:sz="0" w:space="0" w:color="auto"/>
                <w:left w:val="none" w:sz="0" w:space="0" w:color="auto"/>
                <w:bottom w:val="none" w:sz="0" w:space="0" w:color="auto"/>
                <w:right w:val="none" w:sz="0" w:space="0" w:color="auto"/>
              </w:divBdr>
            </w:div>
            <w:div w:id="532041998">
              <w:marLeft w:val="0"/>
              <w:marRight w:val="0"/>
              <w:marTop w:val="0"/>
              <w:marBottom w:val="0"/>
              <w:divBdr>
                <w:top w:val="none" w:sz="0" w:space="0" w:color="auto"/>
                <w:left w:val="none" w:sz="0" w:space="0" w:color="auto"/>
                <w:bottom w:val="none" w:sz="0" w:space="0" w:color="auto"/>
                <w:right w:val="none" w:sz="0" w:space="0" w:color="auto"/>
              </w:divBdr>
            </w:div>
            <w:div w:id="470371735">
              <w:marLeft w:val="0"/>
              <w:marRight w:val="0"/>
              <w:marTop w:val="0"/>
              <w:marBottom w:val="0"/>
              <w:divBdr>
                <w:top w:val="none" w:sz="0" w:space="0" w:color="auto"/>
                <w:left w:val="none" w:sz="0" w:space="0" w:color="auto"/>
                <w:bottom w:val="none" w:sz="0" w:space="0" w:color="auto"/>
                <w:right w:val="none" w:sz="0" w:space="0" w:color="auto"/>
              </w:divBdr>
            </w:div>
            <w:div w:id="952597052">
              <w:marLeft w:val="0"/>
              <w:marRight w:val="0"/>
              <w:marTop w:val="0"/>
              <w:marBottom w:val="0"/>
              <w:divBdr>
                <w:top w:val="none" w:sz="0" w:space="0" w:color="auto"/>
                <w:left w:val="none" w:sz="0" w:space="0" w:color="auto"/>
                <w:bottom w:val="none" w:sz="0" w:space="0" w:color="auto"/>
                <w:right w:val="none" w:sz="0" w:space="0" w:color="auto"/>
              </w:divBdr>
            </w:div>
            <w:div w:id="222328905">
              <w:marLeft w:val="0"/>
              <w:marRight w:val="0"/>
              <w:marTop w:val="0"/>
              <w:marBottom w:val="0"/>
              <w:divBdr>
                <w:top w:val="none" w:sz="0" w:space="0" w:color="auto"/>
                <w:left w:val="none" w:sz="0" w:space="0" w:color="auto"/>
                <w:bottom w:val="none" w:sz="0" w:space="0" w:color="auto"/>
                <w:right w:val="none" w:sz="0" w:space="0" w:color="auto"/>
              </w:divBdr>
            </w:div>
            <w:div w:id="637229810">
              <w:marLeft w:val="0"/>
              <w:marRight w:val="0"/>
              <w:marTop w:val="0"/>
              <w:marBottom w:val="0"/>
              <w:divBdr>
                <w:top w:val="none" w:sz="0" w:space="0" w:color="auto"/>
                <w:left w:val="none" w:sz="0" w:space="0" w:color="auto"/>
                <w:bottom w:val="none" w:sz="0" w:space="0" w:color="auto"/>
                <w:right w:val="none" w:sz="0" w:space="0" w:color="auto"/>
              </w:divBdr>
            </w:div>
            <w:div w:id="325018744">
              <w:marLeft w:val="0"/>
              <w:marRight w:val="0"/>
              <w:marTop w:val="0"/>
              <w:marBottom w:val="0"/>
              <w:divBdr>
                <w:top w:val="none" w:sz="0" w:space="0" w:color="auto"/>
                <w:left w:val="none" w:sz="0" w:space="0" w:color="auto"/>
                <w:bottom w:val="none" w:sz="0" w:space="0" w:color="auto"/>
                <w:right w:val="none" w:sz="0" w:space="0" w:color="auto"/>
              </w:divBdr>
            </w:div>
            <w:div w:id="1672872701">
              <w:marLeft w:val="0"/>
              <w:marRight w:val="0"/>
              <w:marTop w:val="0"/>
              <w:marBottom w:val="0"/>
              <w:divBdr>
                <w:top w:val="none" w:sz="0" w:space="0" w:color="auto"/>
                <w:left w:val="none" w:sz="0" w:space="0" w:color="auto"/>
                <w:bottom w:val="none" w:sz="0" w:space="0" w:color="auto"/>
                <w:right w:val="none" w:sz="0" w:space="0" w:color="auto"/>
              </w:divBdr>
            </w:div>
            <w:div w:id="543444852">
              <w:marLeft w:val="0"/>
              <w:marRight w:val="0"/>
              <w:marTop w:val="0"/>
              <w:marBottom w:val="0"/>
              <w:divBdr>
                <w:top w:val="none" w:sz="0" w:space="0" w:color="auto"/>
                <w:left w:val="none" w:sz="0" w:space="0" w:color="auto"/>
                <w:bottom w:val="none" w:sz="0" w:space="0" w:color="auto"/>
                <w:right w:val="none" w:sz="0" w:space="0" w:color="auto"/>
              </w:divBdr>
            </w:div>
            <w:div w:id="676033391">
              <w:marLeft w:val="0"/>
              <w:marRight w:val="0"/>
              <w:marTop w:val="0"/>
              <w:marBottom w:val="0"/>
              <w:divBdr>
                <w:top w:val="none" w:sz="0" w:space="0" w:color="auto"/>
                <w:left w:val="none" w:sz="0" w:space="0" w:color="auto"/>
                <w:bottom w:val="none" w:sz="0" w:space="0" w:color="auto"/>
                <w:right w:val="none" w:sz="0" w:space="0" w:color="auto"/>
              </w:divBdr>
            </w:div>
            <w:div w:id="533151212">
              <w:marLeft w:val="0"/>
              <w:marRight w:val="0"/>
              <w:marTop w:val="0"/>
              <w:marBottom w:val="0"/>
              <w:divBdr>
                <w:top w:val="none" w:sz="0" w:space="0" w:color="auto"/>
                <w:left w:val="none" w:sz="0" w:space="0" w:color="auto"/>
                <w:bottom w:val="none" w:sz="0" w:space="0" w:color="auto"/>
                <w:right w:val="none" w:sz="0" w:space="0" w:color="auto"/>
              </w:divBdr>
            </w:div>
            <w:div w:id="499347318">
              <w:marLeft w:val="0"/>
              <w:marRight w:val="0"/>
              <w:marTop w:val="0"/>
              <w:marBottom w:val="0"/>
              <w:divBdr>
                <w:top w:val="none" w:sz="0" w:space="0" w:color="auto"/>
                <w:left w:val="none" w:sz="0" w:space="0" w:color="auto"/>
                <w:bottom w:val="none" w:sz="0" w:space="0" w:color="auto"/>
                <w:right w:val="none" w:sz="0" w:space="0" w:color="auto"/>
              </w:divBdr>
            </w:div>
            <w:div w:id="760293991">
              <w:marLeft w:val="0"/>
              <w:marRight w:val="0"/>
              <w:marTop w:val="0"/>
              <w:marBottom w:val="0"/>
              <w:divBdr>
                <w:top w:val="none" w:sz="0" w:space="0" w:color="auto"/>
                <w:left w:val="none" w:sz="0" w:space="0" w:color="auto"/>
                <w:bottom w:val="none" w:sz="0" w:space="0" w:color="auto"/>
                <w:right w:val="none" w:sz="0" w:space="0" w:color="auto"/>
              </w:divBdr>
            </w:div>
            <w:div w:id="1063217842">
              <w:marLeft w:val="0"/>
              <w:marRight w:val="0"/>
              <w:marTop w:val="0"/>
              <w:marBottom w:val="0"/>
              <w:divBdr>
                <w:top w:val="none" w:sz="0" w:space="0" w:color="auto"/>
                <w:left w:val="none" w:sz="0" w:space="0" w:color="auto"/>
                <w:bottom w:val="none" w:sz="0" w:space="0" w:color="auto"/>
                <w:right w:val="none" w:sz="0" w:space="0" w:color="auto"/>
              </w:divBdr>
            </w:div>
            <w:div w:id="1130250038">
              <w:marLeft w:val="0"/>
              <w:marRight w:val="0"/>
              <w:marTop w:val="0"/>
              <w:marBottom w:val="0"/>
              <w:divBdr>
                <w:top w:val="none" w:sz="0" w:space="0" w:color="auto"/>
                <w:left w:val="none" w:sz="0" w:space="0" w:color="auto"/>
                <w:bottom w:val="none" w:sz="0" w:space="0" w:color="auto"/>
                <w:right w:val="none" w:sz="0" w:space="0" w:color="auto"/>
              </w:divBdr>
            </w:div>
            <w:div w:id="205994801">
              <w:marLeft w:val="0"/>
              <w:marRight w:val="0"/>
              <w:marTop w:val="0"/>
              <w:marBottom w:val="0"/>
              <w:divBdr>
                <w:top w:val="none" w:sz="0" w:space="0" w:color="auto"/>
                <w:left w:val="none" w:sz="0" w:space="0" w:color="auto"/>
                <w:bottom w:val="none" w:sz="0" w:space="0" w:color="auto"/>
                <w:right w:val="none" w:sz="0" w:space="0" w:color="auto"/>
              </w:divBdr>
            </w:div>
            <w:div w:id="1690061800">
              <w:marLeft w:val="0"/>
              <w:marRight w:val="0"/>
              <w:marTop w:val="0"/>
              <w:marBottom w:val="0"/>
              <w:divBdr>
                <w:top w:val="none" w:sz="0" w:space="0" w:color="auto"/>
                <w:left w:val="none" w:sz="0" w:space="0" w:color="auto"/>
                <w:bottom w:val="none" w:sz="0" w:space="0" w:color="auto"/>
                <w:right w:val="none" w:sz="0" w:space="0" w:color="auto"/>
              </w:divBdr>
            </w:div>
            <w:div w:id="520827737">
              <w:marLeft w:val="0"/>
              <w:marRight w:val="0"/>
              <w:marTop w:val="0"/>
              <w:marBottom w:val="0"/>
              <w:divBdr>
                <w:top w:val="none" w:sz="0" w:space="0" w:color="auto"/>
                <w:left w:val="none" w:sz="0" w:space="0" w:color="auto"/>
                <w:bottom w:val="none" w:sz="0" w:space="0" w:color="auto"/>
                <w:right w:val="none" w:sz="0" w:space="0" w:color="auto"/>
              </w:divBdr>
            </w:div>
            <w:div w:id="1684093169">
              <w:marLeft w:val="0"/>
              <w:marRight w:val="0"/>
              <w:marTop w:val="0"/>
              <w:marBottom w:val="0"/>
              <w:divBdr>
                <w:top w:val="none" w:sz="0" w:space="0" w:color="auto"/>
                <w:left w:val="none" w:sz="0" w:space="0" w:color="auto"/>
                <w:bottom w:val="none" w:sz="0" w:space="0" w:color="auto"/>
                <w:right w:val="none" w:sz="0" w:space="0" w:color="auto"/>
              </w:divBdr>
            </w:div>
            <w:div w:id="536626917">
              <w:marLeft w:val="0"/>
              <w:marRight w:val="0"/>
              <w:marTop w:val="0"/>
              <w:marBottom w:val="0"/>
              <w:divBdr>
                <w:top w:val="none" w:sz="0" w:space="0" w:color="auto"/>
                <w:left w:val="none" w:sz="0" w:space="0" w:color="auto"/>
                <w:bottom w:val="none" w:sz="0" w:space="0" w:color="auto"/>
                <w:right w:val="none" w:sz="0" w:space="0" w:color="auto"/>
              </w:divBdr>
            </w:div>
            <w:div w:id="1250312786">
              <w:marLeft w:val="0"/>
              <w:marRight w:val="0"/>
              <w:marTop w:val="0"/>
              <w:marBottom w:val="0"/>
              <w:divBdr>
                <w:top w:val="none" w:sz="0" w:space="0" w:color="auto"/>
                <w:left w:val="none" w:sz="0" w:space="0" w:color="auto"/>
                <w:bottom w:val="none" w:sz="0" w:space="0" w:color="auto"/>
                <w:right w:val="none" w:sz="0" w:space="0" w:color="auto"/>
              </w:divBdr>
            </w:div>
            <w:div w:id="1724284718">
              <w:marLeft w:val="0"/>
              <w:marRight w:val="0"/>
              <w:marTop w:val="0"/>
              <w:marBottom w:val="0"/>
              <w:divBdr>
                <w:top w:val="none" w:sz="0" w:space="0" w:color="auto"/>
                <w:left w:val="none" w:sz="0" w:space="0" w:color="auto"/>
                <w:bottom w:val="none" w:sz="0" w:space="0" w:color="auto"/>
                <w:right w:val="none" w:sz="0" w:space="0" w:color="auto"/>
              </w:divBdr>
            </w:div>
            <w:div w:id="803743203">
              <w:marLeft w:val="0"/>
              <w:marRight w:val="0"/>
              <w:marTop w:val="0"/>
              <w:marBottom w:val="0"/>
              <w:divBdr>
                <w:top w:val="none" w:sz="0" w:space="0" w:color="auto"/>
                <w:left w:val="none" w:sz="0" w:space="0" w:color="auto"/>
                <w:bottom w:val="none" w:sz="0" w:space="0" w:color="auto"/>
                <w:right w:val="none" w:sz="0" w:space="0" w:color="auto"/>
              </w:divBdr>
            </w:div>
            <w:div w:id="402024989">
              <w:marLeft w:val="0"/>
              <w:marRight w:val="0"/>
              <w:marTop w:val="0"/>
              <w:marBottom w:val="0"/>
              <w:divBdr>
                <w:top w:val="none" w:sz="0" w:space="0" w:color="auto"/>
                <w:left w:val="none" w:sz="0" w:space="0" w:color="auto"/>
                <w:bottom w:val="none" w:sz="0" w:space="0" w:color="auto"/>
                <w:right w:val="none" w:sz="0" w:space="0" w:color="auto"/>
              </w:divBdr>
            </w:div>
            <w:div w:id="127553005">
              <w:marLeft w:val="0"/>
              <w:marRight w:val="0"/>
              <w:marTop w:val="0"/>
              <w:marBottom w:val="0"/>
              <w:divBdr>
                <w:top w:val="none" w:sz="0" w:space="0" w:color="auto"/>
                <w:left w:val="none" w:sz="0" w:space="0" w:color="auto"/>
                <w:bottom w:val="none" w:sz="0" w:space="0" w:color="auto"/>
                <w:right w:val="none" w:sz="0" w:space="0" w:color="auto"/>
              </w:divBdr>
            </w:div>
            <w:div w:id="276985527">
              <w:marLeft w:val="0"/>
              <w:marRight w:val="0"/>
              <w:marTop w:val="0"/>
              <w:marBottom w:val="0"/>
              <w:divBdr>
                <w:top w:val="none" w:sz="0" w:space="0" w:color="auto"/>
                <w:left w:val="none" w:sz="0" w:space="0" w:color="auto"/>
                <w:bottom w:val="none" w:sz="0" w:space="0" w:color="auto"/>
                <w:right w:val="none" w:sz="0" w:space="0" w:color="auto"/>
              </w:divBdr>
            </w:div>
            <w:div w:id="1732390644">
              <w:marLeft w:val="0"/>
              <w:marRight w:val="0"/>
              <w:marTop w:val="0"/>
              <w:marBottom w:val="0"/>
              <w:divBdr>
                <w:top w:val="none" w:sz="0" w:space="0" w:color="auto"/>
                <w:left w:val="none" w:sz="0" w:space="0" w:color="auto"/>
                <w:bottom w:val="none" w:sz="0" w:space="0" w:color="auto"/>
                <w:right w:val="none" w:sz="0" w:space="0" w:color="auto"/>
              </w:divBdr>
            </w:div>
            <w:div w:id="1315184386">
              <w:marLeft w:val="0"/>
              <w:marRight w:val="0"/>
              <w:marTop w:val="0"/>
              <w:marBottom w:val="0"/>
              <w:divBdr>
                <w:top w:val="none" w:sz="0" w:space="0" w:color="auto"/>
                <w:left w:val="none" w:sz="0" w:space="0" w:color="auto"/>
                <w:bottom w:val="none" w:sz="0" w:space="0" w:color="auto"/>
                <w:right w:val="none" w:sz="0" w:space="0" w:color="auto"/>
              </w:divBdr>
            </w:div>
            <w:div w:id="812798915">
              <w:marLeft w:val="0"/>
              <w:marRight w:val="0"/>
              <w:marTop w:val="0"/>
              <w:marBottom w:val="0"/>
              <w:divBdr>
                <w:top w:val="none" w:sz="0" w:space="0" w:color="auto"/>
                <w:left w:val="none" w:sz="0" w:space="0" w:color="auto"/>
                <w:bottom w:val="none" w:sz="0" w:space="0" w:color="auto"/>
                <w:right w:val="none" w:sz="0" w:space="0" w:color="auto"/>
              </w:divBdr>
            </w:div>
            <w:div w:id="82074652">
              <w:marLeft w:val="0"/>
              <w:marRight w:val="0"/>
              <w:marTop w:val="0"/>
              <w:marBottom w:val="0"/>
              <w:divBdr>
                <w:top w:val="none" w:sz="0" w:space="0" w:color="auto"/>
                <w:left w:val="none" w:sz="0" w:space="0" w:color="auto"/>
                <w:bottom w:val="none" w:sz="0" w:space="0" w:color="auto"/>
                <w:right w:val="none" w:sz="0" w:space="0" w:color="auto"/>
              </w:divBdr>
            </w:div>
            <w:div w:id="1378160869">
              <w:marLeft w:val="0"/>
              <w:marRight w:val="0"/>
              <w:marTop w:val="0"/>
              <w:marBottom w:val="0"/>
              <w:divBdr>
                <w:top w:val="none" w:sz="0" w:space="0" w:color="auto"/>
                <w:left w:val="none" w:sz="0" w:space="0" w:color="auto"/>
                <w:bottom w:val="none" w:sz="0" w:space="0" w:color="auto"/>
                <w:right w:val="none" w:sz="0" w:space="0" w:color="auto"/>
              </w:divBdr>
            </w:div>
            <w:div w:id="482936955">
              <w:marLeft w:val="0"/>
              <w:marRight w:val="0"/>
              <w:marTop w:val="0"/>
              <w:marBottom w:val="0"/>
              <w:divBdr>
                <w:top w:val="none" w:sz="0" w:space="0" w:color="auto"/>
                <w:left w:val="none" w:sz="0" w:space="0" w:color="auto"/>
                <w:bottom w:val="none" w:sz="0" w:space="0" w:color="auto"/>
                <w:right w:val="none" w:sz="0" w:space="0" w:color="auto"/>
              </w:divBdr>
            </w:div>
            <w:div w:id="1348219074">
              <w:marLeft w:val="0"/>
              <w:marRight w:val="0"/>
              <w:marTop w:val="0"/>
              <w:marBottom w:val="0"/>
              <w:divBdr>
                <w:top w:val="none" w:sz="0" w:space="0" w:color="auto"/>
                <w:left w:val="none" w:sz="0" w:space="0" w:color="auto"/>
                <w:bottom w:val="none" w:sz="0" w:space="0" w:color="auto"/>
                <w:right w:val="none" w:sz="0" w:space="0" w:color="auto"/>
              </w:divBdr>
            </w:div>
            <w:div w:id="610936167">
              <w:marLeft w:val="0"/>
              <w:marRight w:val="0"/>
              <w:marTop w:val="0"/>
              <w:marBottom w:val="0"/>
              <w:divBdr>
                <w:top w:val="none" w:sz="0" w:space="0" w:color="auto"/>
                <w:left w:val="none" w:sz="0" w:space="0" w:color="auto"/>
                <w:bottom w:val="none" w:sz="0" w:space="0" w:color="auto"/>
                <w:right w:val="none" w:sz="0" w:space="0" w:color="auto"/>
              </w:divBdr>
            </w:div>
            <w:div w:id="2016951282">
              <w:marLeft w:val="0"/>
              <w:marRight w:val="0"/>
              <w:marTop w:val="0"/>
              <w:marBottom w:val="0"/>
              <w:divBdr>
                <w:top w:val="none" w:sz="0" w:space="0" w:color="auto"/>
                <w:left w:val="none" w:sz="0" w:space="0" w:color="auto"/>
                <w:bottom w:val="none" w:sz="0" w:space="0" w:color="auto"/>
                <w:right w:val="none" w:sz="0" w:space="0" w:color="auto"/>
              </w:divBdr>
            </w:div>
            <w:div w:id="1225331724">
              <w:marLeft w:val="0"/>
              <w:marRight w:val="0"/>
              <w:marTop w:val="0"/>
              <w:marBottom w:val="0"/>
              <w:divBdr>
                <w:top w:val="none" w:sz="0" w:space="0" w:color="auto"/>
                <w:left w:val="none" w:sz="0" w:space="0" w:color="auto"/>
                <w:bottom w:val="none" w:sz="0" w:space="0" w:color="auto"/>
                <w:right w:val="none" w:sz="0" w:space="0" w:color="auto"/>
              </w:divBdr>
            </w:div>
            <w:div w:id="803237992">
              <w:marLeft w:val="0"/>
              <w:marRight w:val="0"/>
              <w:marTop w:val="0"/>
              <w:marBottom w:val="0"/>
              <w:divBdr>
                <w:top w:val="none" w:sz="0" w:space="0" w:color="auto"/>
                <w:left w:val="none" w:sz="0" w:space="0" w:color="auto"/>
                <w:bottom w:val="none" w:sz="0" w:space="0" w:color="auto"/>
                <w:right w:val="none" w:sz="0" w:space="0" w:color="auto"/>
              </w:divBdr>
            </w:div>
            <w:div w:id="21831585">
              <w:marLeft w:val="0"/>
              <w:marRight w:val="0"/>
              <w:marTop w:val="0"/>
              <w:marBottom w:val="0"/>
              <w:divBdr>
                <w:top w:val="none" w:sz="0" w:space="0" w:color="auto"/>
                <w:left w:val="none" w:sz="0" w:space="0" w:color="auto"/>
                <w:bottom w:val="none" w:sz="0" w:space="0" w:color="auto"/>
                <w:right w:val="none" w:sz="0" w:space="0" w:color="auto"/>
              </w:divBdr>
            </w:div>
            <w:div w:id="1999454099">
              <w:marLeft w:val="0"/>
              <w:marRight w:val="0"/>
              <w:marTop w:val="0"/>
              <w:marBottom w:val="0"/>
              <w:divBdr>
                <w:top w:val="none" w:sz="0" w:space="0" w:color="auto"/>
                <w:left w:val="none" w:sz="0" w:space="0" w:color="auto"/>
                <w:bottom w:val="none" w:sz="0" w:space="0" w:color="auto"/>
                <w:right w:val="none" w:sz="0" w:space="0" w:color="auto"/>
              </w:divBdr>
            </w:div>
            <w:div w:id="311250028">
              <w:marLeft w:val="0"/>
              <w:marRight w:val="0"/>
              <w:marTop w:val="0"/>
              <w:marBottom w:val="0"/>
              <w:divBdr>
                <w:top w:val="none" w:sz="0" w:space="0" w:color="auto"/>
                <w:left w:val="none" w:sz="0" w:space="0" w:color="auto"/>
                <w:bottom w:val="none" w:sz="0" w:space="0" w:color="auto"/>
                <w:right w:val="none" w:sz="0" w:space="0" w:color="auto"/>
              </w:divBdr>
            </w:div>
            <w:div w:id="1924485967">
              <w:marLeft w:val="0"/>
              <w:marRight w:val="0"/>
              <w:marTop w:val="0"/>
              <w:marBottom w:val="0"/>
              <w:divBdr>
                <w:top w:val="none" w:sz="0" w:space="0" w:color="auto"/>
                <w:left w:val="none" w:sz="0" w:space="0" w:color="auto"/>
                <w:bottom w:val="none" w:sz="0" w:space="0" w:color="auto"/>
                <w:right w:val="none" w:sz="0" w:space="0" w:color="auto"/>
              </w:divBdr>
            </w:div>
            <w:div w:id="322242306">
              <w:marLeft w:val="0"/>
              <w:marRight w:val="0"/>
              <w:marTop w:val="0"/>
              <w:marBottom w:val="0"/>
              <w:divBdr>
                <w:top w:val="none" w:sz="0" w:space="0" w:color="auto"/>
                <w:left w:val="none" w:sz="0" w:space="0" w:color="auto"/>
                <w:bottom w:val="none" w:sz="0" w:space="0" w:color="auto"/>
                <w:right w:val="none" w:sz="0" w:space="0" w:color="auto"/>
              </w:divBdr>
            </w:div>
            <w:div w:id="1548369342">
              <w:marLeft w:val="0"/>
              <w:marRight w:val="0"/>
              <w:marTop w:val="0"/>
              <w:marBottom w:val="0"/>
              <w:divBdr>
                <w:top w:val="none" w:sz="0" w:space="0" w:color="auto"/>
                <w:left w:val="none" w:sz="0" w:space="0" w:color="auto"/>
                <w:bottom w:val="none" w:sz="0" w:space="0" w:color="auto"/>
                <w:right w:val="none" w:sz="0" w:space="0" w:color="auto"/>
              </w:divBdr>
            </w:div>
            <w:div w:id="1016151491">
              <w:marLeft w:val="0"/>
              <w:marRight w:val="0"/>
              <w:marTop w:val="0"/>
              <w:marBottom w:val="0"/>
              <w:divBdr>
                <w:top w:val="none" w:sz="0" w:space="0" w:color="auto"/>
                <w:left w:val="none" w:sz="0" w:space="0" w:color="auto"/>
                <w:bottom w:val="none" w:sz="0" w:space="0" w:color="auto"/>
                <w:right w:val="none" w:sz="0" w:space="0" w:color="auto"/>
              </w:divBdr>
            </w:div>
            <w:div w:id="1922133775">
              <w:marLeft w:val="0"/>
              <w:marRight w:val="0"/>
              <w:marTop w:val="0"/>
              <w:marBottom w:val="0"/>
              <w:divBdr>
                <w:top w:val="none" w:sz="0" w:space="0" w:color="auto"/>
                <w:left w:val="none" w:sz="0" w:space="0" w:color="auto"/>
                <w:bottom w:val="none" w:sz="0" w:space="0" w:color="auto"/>
                <w:right w:val="none" w:sz="0" w:space="0" w:color="auto"/>
              </w:divBdr>
            </w:div>
            <w:div w:id="788400395">
              <w:marLeft w:val="0"/>
              <w:marRight w:val="0"/>
              <w:marTop w:val="0"/>
              <w:marBottom w:val="0"/>
              <w:divBdr>
                <w:top w:val="none" w:sz="0" w:space="0" w:color="auto"/>
                <w:left w:val="none" w:sz="0" w:space="0" w:color="auto"/>
                <w:bottom w:val="none" w:sz="0" w:space="0" w:color="auto"/>
                <w:right w:val="none" w:sz="0" w:space="0" w:color="auto"/>
              </w:divBdr>
            </w:div>
            <w:div w:id="98841014">
              <w:marLeft w:val="0"/>
              <w:marRight w:val="0"/>
              <w:marTop w:val="0"/>
              <w:marBottom w:val="0"/>
              <w:divBdr>
                <w:top w:val="none" w:sz="0" w:space="0" w:color="auto"/>
                <w:left w:val="none" w:sz="0" w:space="0" w:color="auto"/>
                <w:bottom w:val="none" w:sz="0" w:space="0" w:color="auto"/>
                <w:right w:val="none" w:sz="0" w:space="0" w:color="auto"/>
              </w:divBdr>
            </w:div>
            <w:div w:id="819856542">
              <w:marLeft w:val="0"/>
              <w:marRight w:val="0"/>
              <w:marTop w:val="0"/>
              <w:marBottom w:val="0"/>
              <w:divBdr>
                <w:top w:val="none" w:sz="0" w:space="0" w:color="auto"/>
                <w:left w:val="none" w:sz="0" w:space="0" w:color="auto"/>
                <w:bottom w:val="none" w:sz="0" w:space="0" w:color="auto"/>
                <w:right w:val="none" w:sz="0" w:space="0" w:color="auto"/>
              </w:divBdr>
            </w:div>
            <w:div w:id="978268131">
              <w:marLeft w:val="0"/>
              <w:marRight w:val="0"/>
              <w:marTop w:val="0"/>
              <w:marBottom w:val="0"/>
              <w:divBdr>
                <w:top w:val="none" w:sz="0" w:space="0" w:color="auto"/>
                <w:left w:val="none" w:sz="0" w:space="0" w:color="auto"/>
                <w:bottom w:val="none" w:sz="0" w:space="0" w:color="auto"/>
                <w:right w:val="none" w:sz="0" w:space="0" w:color="auto"/>
              </w:divBdr>
            </w:div>
            <w:div w:id="588539363">
              <w:marLeft w:val="0"/>
              <w:marRight w:val="0"/>
              <w:marTop w:val="0"/>
              <w:marBottom w:val="0"/>
              <w:divBdr>
                <w:top w:val="none" w:sz="0" w:space="0" w:color="auto"/>
                <w:left w:val="none" w:sz="0" w:space="0" w:color="auto"/>
                <w:bottom w:val="none" w:sz="0" w:space="0" w:color="auto"/>
                <w:right w:val="none" w:sz="0" w:space="0" w:color="auto"/>
              </w:divBdr>
            </w:div>
            <w:div w:id="1798600603">
              <w:marLeft w:val="0"/>
              <w:marRight w:val="0"/>
              <w:marTop w:val="0"/>
              <w:marBottom w:val="0"/>
              <w:divBdr>
                <w:top w:val="none" w:sz="0" w:space="0" w:color="auto"/>
                <w:left w:val="none" w:sz="0" w:space="0" w:color="auto"/>
                <w:bottom w:val="none" w:sz="0" w:space="0" w:color="auto"/>
                <w:right w:val="none" w:sz="0" w:space="0" w:color="auto"/>
              </w:divBdr>
            </w:div>
            <w:div w:id="247732948">
              <w:marLeft w:val="0"/>
              <w:marRight w:val="0"/>
              <w:marTop w:val="0"/>
              <w:marBottom w:val="0"/>
              <w:divBdr>
                <w:top w:val="none" w:sz="0" w:space="0" w:color="auto"/>
                <w:left w:val="none" w:sz="0" w:space="0" w:color="auto"/>
                <w:bottom w:val="none" w:sz="0" w:space="0" w:color="auto"/>
                <w:right w:val="none" w:sz="0" w:space="0" w:color="auto"/>
              </w:divBdr>
            </w:div>
            <w:div w:id="1115248002">
              <w:marLeft w:val="0"/>
              <w:marRight w:val="0"/>
              <w:marTop w:val="0"/>
              <w:marBottom w:val="0"/>
              <w:divBdr>
                <w:top w:val="none" w:sz="0" w:space="0" w:color="auto"/>
                <w:left w:val="none" w:sz="0" w:space="0" w:color="auto"/>
                <w:bottom w:val="none" w:sz="0" w:space="0" w:color="auto"/>
                <w:right w:val="none" w:sz="0" w:space="0" w:color="auto"/>
              </w:divBdr>
            </w:div>
            <w:div w:id="1865315713">
              <w:marLeft w:val="0"/>
              <w:marRight w:val="0"/>
              <w:marTop w:val="0"/>
              <w:marBottom w:val="0"/>
              <w:divBdr>
                <w:top w:val="none" w:sz="0" w:space="0" w:color="auto"/>
                <w:left w:val="none" w:sz="0" w:space="0" w:color="auto"/>
                <w:bottom w:val="none" w:sz="0" w:space="0" w:color="auto"/>
                <w:right w:val="none" w:sz="0" w:space="0" w:color="auto"/>
              </w:divBdr>
            </w:div>
            <w:div w:id="1999265254">
              <w:marLeft w:val="0"/>
              <w:marRight w:val="0"/>
              <w:marTop w:val="0"/>
              <w:marBottom w:val="0"/>
              <w:divBdr>
                <w:top w:val="none" w:sz="0" w:space="0" w:color="auto"/>
                <w:left w:val="none" w:sz="0" w:space="0" w:color="auto"/>
                <w:bottom w:val="none" w:sz="0" w:space="0" w:color="auto"/>
                <w:right w:val="none" w:sz="0" w:space="0" w:color="auto"/>
              </w:divBdr>
            </w:div>
            <w:div w:id="1565599989">
              <w:marLeft w:val="0"/>
              <w:marRight w:val="0"/>
              <w:marTop w:val="0"/>
              <w:marBottom w:val="0"/>
              <w:divBdr>
                <w:top w:val="none" w:sz="0" w:space="0" w:color="auto"/>
                <w:left w:val="none" w:sz="0" w:space="0" w:color="auto"/>
                <w:bottom w:val="none" w:sz="0" w:space="0" w:color="auto"/>
                <w:right w:val="none" w:sz="0" w:space="0" w:color="auto"/>
              </w:divBdr>
            </w:div>
            <w:div w:id="1427573111">
              <w:marLeft w:val="0"/>
              <w:marRight w:val="0"/>
              <w:marTop w:val="0"/>
              <w:marBottom w:val="0"/>
              <w:divBdr>
                <w:top w:val="none" w:sz="0" w:space="0" w:color="auto"/>
                <w:left w:val="none" w:sz="0" w:space="0" w:color="auto"/>
                <w:bottom w:val="none" w:sz="0" w:space="0" w:color="auto"/>
                <w:right w:val="none" w:sz="0" w:space="0" w:color="auto"/>
              </w:divBdr>
            </w:div>
            <w:div w:id="659382083">
              <w:marLeft w:val="0"/>
              <w:marRight w:val="0"/>
              <w:marTop w:val="0"/>
              <w:marBottom w:val="0"/>
              <w:divBdr>
                <w:top w:val="none" w:sz="0" w:space="0" w:color="auto"/>
                <w:left w:val="none" w:sz="0" w:space="0" w:color="auto"/>
                <w:bottom w:val="none" w:sz="0" w:space="0" w:color="auto"/>
                <w:right w:val="none" w:sz="0" w:space="0" w:color="auto"/>
              </w:divBdr>
            </w:div>
            <w:div w:id="1008747919">
              <w:marLeft w:val="0"/>
              <w:marRight w:val="0"/>
              <w:marTop w:val="0"/>
              <w:marBottom w:val="0"/>
              <w:divBdr>
                <w:top w:val="none" w:sz="0" w:space="0" w:color="auto"/>
                <w:left w:val="none" w:sz="0" w:space="0" w:color="auto"/>
                <w:bottom w:val="none" w:sz="0" w:space="0" w:color="auto"/>
                <w:right w:val="none" w:sz="0" w:space="0" w:color="auto"/>
              </w:divBdr>
            </w:div>
            <w:div w:id="458690337">
              <w:marLeft w:val="0"/>
              <w:marRight w:val="0"/>
              <w:marTop w:val="0"/>
              <w:marBottom w:val="0"/>
              <w:divBdr>
                <w:top w:val="none" w:sz="0" w:space="0" w:color="auto"/>
                <w:left w:val="none" w:sz="0" w:space="0" w:color="auto"/>
                <w:bottom w:val="none" w:sz="0" w:space="0" w:color="auto"/>
                <w:right w:val="none" w:sz="0" w:space="0" w:color="auto"/>
              </w:divBdr>
            </w:div>
            <w:div w:id="71708145">
              <w:marLeft w:val="0"/>
              <w:marRight w:val="0"/>
              <w:marTop w:val="0"/>
              <w:marBottom w:val="0"/>
              <w:divBdr>
                <w:top w:val="none" w:sz="0" w:space="0" w:color="auto"/>
                <w:left w:val="none" w:sz="0" w:space="0" w:color="auto"/>
                <w:bottom w:val="none" w:sz="0" w:space="0" w:color="auto"/>
                <w:right w:val="none" w:sz="0" w:space="0" w:color="auto"/>
              </w:divBdr>
            </w:div>
            <w:div w:id="56246795">
              <w:marLeft w:val="0"/>
              <w:marRight w:val="0"/>
              <w:marTop w:val="0"/>
              <w:marBottom w:val="0"/>
              <w:divBdr>
                <w:top w:val="none" w:sz="0" w:space="0" w:color="auto"/>
                <w:left w:val="none" w:sz="0" w:space="0" w:color="auto"/>
                <w:bottom w:val="none" w:sz="0" w:space="0" w:color="auto"/>
                <w:right w:val="none" w:sz="0" w:space="0" w:color="auto"/>
              </w:divBdr>
            </w:div>
            <w:div w:id="1264460665">
              <w:marLeft w:val="0"/>
              <w:marRight w:val="0"/>
              <w:marTop w:val="0"/>
              <w:marBottom w:val="0"/>
              <w:divBdr>
                <w:top w:val="none" w:sz="0" w:space="0" w:color="auto"/>
                <w:left w:val="none" w:sz="0" w:space="0" w:color="auto"/>
                <w:bottom w:val="none" w:sz="0" w:space="0" w:color="auto"/>
                <w:right w:val="none" w:sz="0" w:space="0" w:color="auto"/>
              </w:divBdr>
            </w:div>
            <w:div w:id="2009019629">
              <w:marLeft w:val="0"/>
              <w:marRight w:val="0"/>
              <w:marTop w:val="0"/>
              <w:marBottom w:val="0"/>
              <w:divBdr>
                <w:top w:val="none" w:sz="0" w:space="0" w:color="auto"/>
                <w:left w:val="none" w:sz="0" w:space="0" w:color="auto"/>
                <w:bottom w:val="none" w:sz="0" w:space="0" w:color="auto"/>
                <w:right w:val="none" w:sz="0" w:space="0" w:color="auto"/>
              </w:divBdr>
            </w:div>
            <w:div w:id="2025789838">
              <w:marLeft w:val="0"/>
              <w:marRight w:val="0"/>
              <w:marTop w:val="0"/>
              <w:marBottom w:val="0"/>
              <w:divBdr>
                <w:top w:val="none" w:sz="0" w:space="0" w:color="auto"/>
                <w:left w:val="none" w:sz="0" w:space="0" w:color="auto"/>
                <w:bottom w:val="none" w:sz="0" w:space="0" w:color="auto"/>
                <w:right w:val="none" w:sz="0" w:space="0" w:color="auto"/>
              </w:divBdr>
            </w:div>
            <w:div w:id="1517235211">
              <w:marLeft w:val="0"/>
              <w:marRight w:val="0"/>
              <w:marTop w:val="0"/>
              <w:marBottom w:val="0"/>
              <w:divBdr>
                <w:top w:val="none" w:sz="0" w:space="0" w:color="auto"/>
                <w:left w:val="none" w:sz="0" w:space="0" w:color="auto"/>
                <w:bottom w:val="none" w:sz="0" w:space="0" w:color="auto"/>
                <w:right w:val="none" w:sz="0" w:space="0" w:color="auto"/>
              </w:divBdr>
            </w:div>
            <w:div w:id="653724517">
              <w:marLeft w:val="0"/>
              <w:marRight w:val="0"/>
              <w:marTop w:val="0"/>
              <w:marBottom w:val="0"/>
              <w:divBdr>
                <w:top w:val="none" w:sz="0" w:space="0" w:color="auto"/>
                <w:left w:val="none" w:sz="0" w:space="0" w:color="auto"/>
                <w:bottom w:val="none" w:sz="0" w:space="0" w:color="auto"/>
                <w:right w:val="none" w:sz="0" w:space="0" w:color="auto"/>
              </w:divBdr>
            </w:div>
            <w:div w:id="1042905027">
              <w:marLeft w:val="0"/>
              <w:marRight w:val="0"/>
              <w:marTop w:val="0"/>
              <w:marBottom w:val="0"/>
              <w:divBdr>
                <w:top w:val="none" w:sz="0" w:space="0" w:color="auto"/>
                <w:left w:val="none" w:sz="0" w:space="0" w:color="auto"/>
                <w:bottom w:val="none" w:sz="0" w:space="0" w:color="auto"/>
                <w:right w:val="none" w:sz="0" w:space="0" w:color="auto"/>
              </w:divBdr>
            </w:div>
            <w:div w:id="465585294">
              <w:marLeft w:val="0"/>
              <w:marRight w:val="0"/>
              <w:marTop w:val="0"/>
              <w:marBottom w:val="0"/>
              <w:divBdr>
                <w:top w:val="none" w:sz="0" w:space="0" w:color="auto"/>
                <w:left w:val="none" w:sz="0" w:space="0" w:color="auto"/>
                <w:bottom w:val="none" w:sz="0" w:space="0" w:color="auto"/>
                <w:right w:val="none" w:sz="0" w:space="0" w:color="auto"/>
              </w:divBdr>
            </w:div>
            <w:div w:id="349449455">
              <w:marLeft w:val="0"/>
              <w:marRight w:val="0"/>
              <w:marTop w:val="0"/>
              <w:marBottom w:val="0"/>
              <w:divBdr>
                <w:top w:val="none" w:sz="0" w:space="0" w:color="auto"/>
                <w:left w:val="none" w:sz="0" w:space="0" w:color="auto"/>
                <w:bottom w:val="none" w:sz="0" w:space="0" w:color="auto"/>
                <w:right w:val="none" w:sz="0" w:space="0" w:color="auto"/>
              </w:divBdr>
            </w:div>
            <w:div w:id="1565531563">
              <w:marLeft w:val="0"/>
              <w:marRight w:val="0"/>
              <w:marTop w:val="0"/>
              <w:marBottom w:val="0"/>
              <w:divBdr>
                <w:top w:val="none" w:sz="0" w:space="0" w:color="auto"/>
                <w:left w:val="none" w:sz="0" w:space="0" w:color="auto"/>
                <w:bottom w:val="none" w:sz="0" w:space="0" w:color="auto"/>
                <w:right w:val="none" w:sz="0" w:space="0" w:color="auto"/>
              </w:divBdr>
            </w:div>
            <w:div w:id="1211115126">
              <w:marLeft w:val="0"/>
              <w:marRight w:val="0"/>
              <w:marTop w:val="0"/>
              <w:marBottom w:val="0"/>
              <w:divBdr>
                <w:top w:val="none" w:sz="0" w:space="0" w:color="auto"/>
                <w:left w:val="none" w:sz="0" w:space="0" w:color="auto"/>
                <w:bottom w:val="none" w:sz="0" w:space="0" w:color="auto"/>
                <w:right w:val="none" w:sz="0" w:space="0" w:color="auto"/>
              </w:divBdr>
            </w:div>
            <w:div w:id="347416824">
              <w:marLeft w:val="0"/>
              <w:marRight w:val="0"/>
              <w:marTop w:val="0"/>
              <w:marBottom w:val="0"/>
              <w:divBdr>
                <w:top w:val="none" w:sz="0" w:space="0" w:color="auto"/>
                <w:left w:val="none" w:sz="0" w:space="0" w:color="auto"/>
                <w:bottom w:val="none" w:sz="0" w:space="0" w:color="auto"/>
                <w:right w:val="none" w:sz="0" w:space="0" w:color="auto"/>
              </w:divBdr>
            </w:div>
            <w:div w:id="1364399661">
              <w:marLeft w:val="0"/>
              <w:marRight w:val="0"/>
              <w:marTop w:val="0"/>
              <w:marBottom w:val="0"/>
              <w:divBdr>
                <w:top w:val="none" w:sz="0" w:space="0" w:color="auto"/>
                <w:left w:val="none" w:sz="0" w:space="0" w:color="auto"/>
                <w:bottom w:val="none" w:sz="0" w:space="0" w:color="auto"/>
                <w:right w:val="none" w:sz="0" w:space="0" w:color="auto"/>
              </w:divBdr>
            </w:div>
            <w:div w:id="1353260852">
              <w:marLeft w:val="0"/>
              <w:marRight w:val="0"/>
              <w:marTop w:val="0"/>
              <w:marBottom w:val="0"/>
              <w:divBdr>
                <w:top w:val="none" w:sz="0" w:space="0" w:color="auto"/>
                <w:left w:val="none" w:sz="0" w:space="0" w:color="auto"/>
                <w:bottom w:val="none" w:sz="0" w:space="0" w:color="auto"/>
                <w:right w:val="none" w:sz="0" w:space="0" w:color="auto"/>
              </w:divBdr>
            </w:div>
            <w:div w:id="433324632">
              <w:marLeft w:val="0"/>
              <w:marRight w:val="0"/>
              <w:marTop w:val="0"/>
              <w:marBottom w:val="0"/>
              <w:divBdr>
                <w:top w:val="none" w:sz="0" w:space="0" w:color="auto"/>
                <w:left w:val="none" w:sz="0" w:space="0" w:color="auto"/>
                <w:bottom w:val="none" w:sz="0" w:space="0" w:color="auto"/>
                <w:right w:val="none" w:sz="0" w:space="0" w:color="auto"/>
              </w:divBdr>
            </w:div>
            <w:div w:id="2081322043">
              <w:marLeft w:val="0"/>
              <w:marRight w:val="0"/>
              <w:marTop w:val="0"/>
              <w:marBottom w:val="0"/>
              <w:divBdr>
                <w:top w:val="none" w:sz="0" w:space="0" w:color="auto"/>
                <w:left w:val="none" w:sz="0" w:space="0" w:color="auto"/>
                <w:bottom w:val="none" w:sz="0" w:space="0" w:color="auto"/>
                <w:right w:val="none" w:sz="0" w:space="0" w:color="auto"/>
              </w:divBdr>
            </w:div>
            <w:div w:id="411584292">
              <w:marLeft w:val="0"/>
              <w:marRight w:val="0"/>
              <w:marTop w:val="0"/>
              <w:marBottom w:val="0"/>
              <w:divBdr>
                <w:top w:val="none" w:sz="0" w:space="0" w:color="auto"/>
                <w:left w:val="none" w:sz="0" w:space="0" w:color="auto"/>
                <w:bottom w:val="none" w:sz="0" w:space="0" w:color="auto"/>
                <w:right w:val="none" w:sz="0" w:space="0" w:color="auto"/>
              </w:divBdr>
            </w:div>
            <w:div w:id="1486314755">
              <w:marLeft w:val="0"/>
              <w:marRight w:val="0"/>
              <w:marTop w:val="0"/>
              <w:marBottom w:val="0"/>
              <w:divBdr>
                <w:top w:val="none" w:sz="0" w:space="0" w:color="auto"/>
                <w:left w:val="none" w:sz="0" w:space="0" w:color="auto"/>
                <w:bottom w:val="none" w:sz="0" w:space="0" w:color="auto"/>
                <w:right w:val="none" w:sz="0" w:space="0" w:color="auto"/>
              </w:divBdr>
            </w:div>
            <w:div w:id="1531838918">
              <w:marLeft w:val="0"/>
              <w:marRight w:val="0"/>
              <w:marTop w:val="0"/>
              <w:marBottom w:val="0"/>
              <w:divBdr>
                <w:top w:val="none" w:sz="0" w:space="0" w:color="auto"/>
                <w:left w:val="none" w:sz="0" w:space="0" w:color="auto"/>
                <w:bottom w:val="none" w:sz="0" w:space="0" w:color="auto"/>
                <w:right w:val="none" w:sz="0" w:space="0" w:color="auto"/>
              </w:divBdr>
            </w:div>
            <w:div w:id="478037292">
              <w:marLeft w:val="0"/>
              <w:marRight w:val="0"/>
              <w:marTop w:val="0"/>
              <w:marBottom w:val="0"/>
              <w:divBdr>
                <w:top w:val="none" w:sz="0" w:space="0" w:color="auto"/>
                <w:left w:val="none" w:sz="0" w:space="0" w:color="auto"/>
                <w:bottom w:val="none" w:sz="0" w:space="0" w:color="auto"/>
                <w:right w:val="none" w:sz="0" w:space="0" w:color="auto"/>
              </w:divBdr>
            </w:div>
            <w:div w:id="945432221">
              <w:marLeft w:val="0"/>
              <w:marRight w:val="0"/>
              <w:marTop w:val="0"/>
              <w:marBottom w:val="0"/>
              <w:divBdr>
                <w:top w:val="none" w:sz="0" w:space="0" w:color="auto"/>
                <w:left w:val="none" w:sz="0" w:space="0" w:color="auto"/>
                <w:bottom w:val="none" w:sz="0" w:space="0" w:color="auto"/>
                <w:right w:val="none" w:sz="0" w:space="0" w:color="auto"/>
              </w:divBdr>
            </w:div>
            <w:div w:id="1620649517">
              <w:marLeft w:val="0"/>
              <w:marRight w:val="0"/>
              <w:marTop w:val="0"/>
              <w:marBottom w:val="0"/>
              <w:divBdr>
                <w:top w:val="none" w:sz="0" w:space="0" w:color="auto"/>
                <w:left w:val="none" w:sz="0" w:space="0" w:color="auto"/>
                <w:bottom w:val="none" w:sz="0" w:space="0" w:color="auto"/>
                <w:right w:val="none" w:sz="0" w:space="0" w:color="auto"/>
              </w:divBdr>
            </w:div>
            <w:div w:id="767428061">
              <w:marLeft w:val="0"/>
              <w:marRight w:val="0"/>
              <w:marTop w:val="0"/>
              <w:marBottom w:val="0"/>
              <w:divBdr>
                <w:top w:val="none" w:sz="0" w:space="0" w:color="auto"/>
                <w:left w:val="none" w:sz="0" w:space="0" w:color="auto"/>
                <w:bottom w:val="none" w:sz="0" w:space="0" w:color="auto"/>
                <w:right w:val="none" w:sz="0" w:space="0" w:color="auto"/>
              </w:divBdr>
            </w:div>
            <w:div w:id="161316418">
              <w:marLeft w:val="0"/>
              <w:marRight w:val="0"/>
              <w:marTop w:val="0"/>
              <w:marBottom w:val="0"/>
              <w:divBdr>
                <w:top w:val="none" w:sz="0" w:space="0" w:color="auto"/>
                <w:left w:val="none" w:sz="0" w:space="0" w:color="auto"/>
                <w:bottom w:val="none" w:sz="0" w:space="0" w:color="auto"/>
                <w:right w:val="none" w:sz="0" w:space="0" w:color="auto"/>
              </w:divBdr>
            </w:div>
            <w:div w:id="1241401767">
              <w:marLeft w:val="0"/>
              <w:marRight w:val="0"/>
              <w:marTop w:val="0"/>
              <w:marBottom w:val="0"/>
              <w:divBdr>
                <w:top w:val="none" w:sz="0" w:space="0" w:color="auto"/>
                <w:left w:val="none" w:sz="0" w:space="0" w:color="auto"/>
                <w:bottom w:val="none" w:sz="0" w:space="0" w:color="auto"/>
                <w:right w:val="none" w:sz="0" w:space="0" w:color="auto"/>
              </w:divBdr>
            </w:div>
            <w:div w:id="478117363">
              <w:marLeft w:val="0"/>
              <w:marRight w:val="0"/>
              <w:marTop w:val="0"/>
              <w:marBottom w:val="0"/>
              <w:divBdr>
                <w:top w:val="none" w:sz="0" w:space="0" w:color="auto"/>
                <w:left w:val="none" w:sz="0" w:space="0" w:color="auto"/>
                <w:bottom w:val="none" w:sz="0" w:space="0" w:color="auto"/>
                <w:right w:val="none" w:sz="0" w:space="0" w:color="auto"/>
              </w:divBdr>
            </w:div>
            <w:div w:id="66273969">
              <w:marLeft w:val="0"/>
              <w:marRight w:val="0"/>
              <w:marTop w:val="0"/>
              <w:marBottom w:val="0"/>
              <w:divBdr>
                <w:top w:val="none" w:sz="0" w:space="0" w:color="auto"/>
                <w:left w:val="none" w:sz="0" w:space="0" w:color="auto"/>
                <w:bottom w:val="none" w:sz="0" w:space="0" w:color="auto"/>
                <w:right w:val="none" w:sz="0" w:space="0" w:color="auto"/>
              </w:divBdr>
            </w:div>
            <w:div w:id="701979909">
              <w:marLeft w:val="0"/>
              <w:marRight w:val="0"/>
              <w:marTop w:val="0"/>
              <w:marBottom w:val="0"/>
              <w:divBdr>
                <w:top w:val="none" w:sz="0" w:space="0" w:color="auto"/>
                <w:left w:val="none" w:sz="0" w:space="0" w:color="auto"/>
                <w:bottom w:val="none" w:sz="0" w:space="0" w:color="auto"/>
                <w:right w:val="none" w:sz="0" w:space="0" w:color="auto"/>
              </w:divBdr>
            </w:div>
            <w:div w:id="513418150">
              <w:marLeft w:val="0"/>
              <w:marRight w:val="0"/>
              <w:marTop w:val="0"/>
              <w:marBottom w:val="0"/>
              <w:divBdr>
                <w:top w:val="none" w:sz="0" w:space="0" w:color="auto"/>
                <w:left w:val="none" w:sz="0" w:space="0" w:color="auto"/>
                <w:bottom w:val="none" w:sz="0" w:space="0" w:color="auto"/>
                <w:right w:val="none" w:sz="0" w:space="0" w:color="auto"/>
              </w:divBdr>
            </w:div>
            <w:div w:id="825707185">
              <w:marLeft w:val="0"/>
              <w:marRight w:val="0"/>
              <w:marTop w:val="0"/>
              <w:marBottom w:val="0"/>
              <w:divBdr>
                <w:top w:val="none" w:sz="0" w:space="0" w:color="auto"/>
                <w:left w:val="none" w:sz="0" w:space="0" w:color="auto"/>
                <w:bottom w:val="none" w:sz="0" w:space="0" w:color="auto"/>
                <w:right w:val="none" w:sz="0" w:space="0" w:color="auto"/>
              </w:divBdr>
            </w:div>
            <w:div w:id="107161856">
              <w:marLeft w:val="0"/>
              <w:marRight w:val="0"/>
              <w:marTop w:val="0"/>
              <w:marBottom w:val="0"/>
              <w:divBdr>
                <w:top w:val="none" w:sz="0" w:space="0" w:color="auto"/>
                <w:left w:val="none" w:sz="0" w:space="0" w:color="auto"/>
                <w:bottom w:val="none" w:sz="0" w:space="0" w:color="auto"/>
                <w:right w:val="none" w:sz="0" w:space="0" w:color="auto"/>
              </w:divBdr>
            </w:div>
            <w:div w:id="2109882278">
              <w:marLeft w:val="0"/>
              <w:marRight w:val="0"/>
              <w:marTop w:val="0"/>
              <w:marBottom w:val="0"/>
              <w:divBdr>
                <w:top w:val="none" w:sz="0" w:space="0" w:color="auto"/>
                <w:left w:val="none" w:sz="0" w:space="0" w:color="auto"/>
                <w:bottom w:val="none" w:sz="0" w:space="0" w:color="auto"/>
                <w:right w:val="none" w:sz="0" w:space="0" w:color="auto"/>
              </w:divBdr>
            </w:div>
            <w:div w:id="1291479795">
              <w:marLeft w:val="0"/>
              <w:marRight w:val="0"/>
              <w:marTop w:val="0"/>
              <w:marBottom w:val="0"/>
              <w:divBdr>
                <w:top w:val="none" w:sz="0" w:space="0" w:color="auto"/>
                <w:left w:val="none" w:sz="0" w:space="0" w:color="auto"/>
                <w:bottom w:val="none" w:sz="0" w:space="0" w:color="auto"/>
                <w:right w:val="none" w:sz="0" w:space="0" w:color="auto"/>
              </w:divBdr>
            </w:div>
            <w:div w:id="166752866">
              <w:marLeft w:val="0"/>
              <w:marRight w:val="0"/>
              <w:marTop w:val="0"/>
              <w:marBottom w:val="0"/>
              <w:divBdr>
                <w:top w:val="none" w:sz="0" w:space="0" w:color="auto"/>
                <w:left w:val="none" w:sz="0" w:space="0" w:color="auto"/>
                <w:bottom w:val="none" w:sz="0" w:space="0" w:color="auto"/>
                <w:right w:val="none" w:sz="0" w:space="0" w:color="auto"/>
              </w:divBdr>
            </w:div>
            <w:div w:id="1158115232">
              <w:marLeft w:val="0"/>
              <w:marRight w:val="0"/>
              <w:marTop w:val="0"/>
              <w:marBottom w:val="0"/>
              <w:divBdr>
                <w:top w:val="none" w:sz="0" w:space="0" w:color="auto"/>
                <w:left w:val="none" w:sz="0" w:space="0" w:color="auto"/>
                <w:bottom w:val="none" w:sz="0" w:space="0" w:color="auto"/>
                <w:right w:val="none" w:sz="0" w:space="0" w:color="auto"/>
              </w:divBdr>
            </w:div>
            <w:div w:id="1677071623">
              <w:marLeft w:val="0"/>
              <w:marRight w:val="0"/>
              <w:marTop w:val="0"/>
              <w:marBottom w:val="0"/>
              <w:divBdr>
                <w:top w:val="none" w:sz="0" w:space="0" w:color="auto"/>
                <w:left w:val="none" w:sz="0" w:space="0" w:color="auto"/>
                <w:bottom w:val="none" w:sz="0" w:space="0" w:color="auto"/>
                <w:right w:val="none" w:sz="0" w:space="0" w:color="auto"/>
              </w:divBdr>
            </w:div>
            <w:div w:id="1150487698">
              <w:marLeft w:val="0"/>
              <w:marRight w:val="0"/>
              <w:marTop w:val="0"/>
              <w:marBottom w:val="0"/>
              <w:divBdr>
                <w:top w:val="none" w:sz="0" w:space="0" w:color="auto"/>
                <w:left w:val="none" w:sz="0" w:space="0" w:color="auto"/>
                <w:bottom w:val="none" w:sz="0" w:space="0" w:color="auto"/>
                <w:right w:val="none" w:sz="0" w:space="0" w:color="auto"/>
              </w:divBdr>
            </w:div>
            <w:div w:id="1061056647">
              <w:marLeft w:val="0"/>
              <w:marRight w:val="0"/>
              <w:marTop w:val="0"/>
              <w:marBottom w:val="0"/>
              <w:divBdr>
                <w:top w:val="none" w:sz="0" w:space="0" w:color="auto"/>
                <w:left w:val="none" w:sz="0" w:space="0" w:color="auto"/>
                <w:bottom w:val="none" w:sz="0" w:space="0" w:color="auto"/>
                <w:right w:val="none" w:sz="0" w:space="0" w:color="auto"/>
              </w:divBdr>
            </w:div>
            <w:div w:id="582644996">
              <w:marLeft w:val="0"/>
              <w:marRight w:val="0"/>
              <w:marTop w:val="0"/>
              <w:marBottom w:val="0"/>
              <w:divBdr>
                <w:top w:val="none" w:sz="0" w:space="0" w:color="auto"/>
                <w:left w:val="none" w:sz="0" w:space="0" w:color="auto"/>
                <w:bottom w:val="none" w:sz="0" w:space="0" w:color="auto"/>
                <w:right w:val="none" w:sz="0" w:space="0" w:color="auto"/>
              </w:divBdr>
            </w:div>
            <w:div w:id="1049035652">
              <w:marLeft w:val="0"/>
              <w:marRight w:val="0"/>
              <w:marTop w:val="0"/>
              <w:marBottom w:val="0"/>
              <w:divBdr>
                <w:top w:val="none" w:sz="0" w:space="0" w:color="auto"/>
                <w:left w:val="none" w:sz="0" w:space="0" w:color="auto"/>
                <w:bottom w:val="none" w:sz="0" w:space="0" w:color="auto"/>
                <w:right w:val="none" w:sz="0" w:space="0" w:color="auto"/>
              </w:divBdr>
            </w:div>
            <w:div w:id="1992589092">
              <w:marLeft w:val="0"/>
              <w:marRight w:val="0"/>
              <w:marTop w:val="0"/>
              <w:marBottom w:val="0"/>
              <w:divBdr>
                <w:top w:val="none" w:sz="0" w:space="0" w:color="auto"/>
                <w:left w:val="none" w:sz="0" w:space="0" w:color="auto"/>
                <w:bottom w:val="none" w:sz="0" w:space="0" w:color="auto"/>
                <w:right w:val="none" w:sz="0" w:space="0" w:color="auto"/>
              </w:divBdr>
            </w:div>
            <w:div w:id="807161917">
              <w:marLeft w:val="0"/>
              <w:marRight w:val="0"/>
              <w:marTop w:val="0"/>
              <w:marBottom w:val="0"/>
              <w:divBdr>
                <w:top w:val="none" w:sz="0" w:space="0" w:color="auto"/>
                <w:left w:val="none" w:sz="0" w:space="0" w:color="auto"/>
                <w:bottom w:val="none" w:sz="0" w:space="0" w:color="auto"/>
                <w:right w:val="none" w:sz="0" w:space="0" w:color="auto"/>
              </w:divBdr>
            </w:div>
            <w:div w:id="1666859277">
              <w:marLeft w:val="0"/>
              <w:marRight w:val="0"/>
              <w:marTop w:val="0"/>
              <w:marBottom w:val="0"/>
              <w:divBdr>
                <w:top w:val="none" w:sz="0" w:space="0" w:color="auto"/>
                <w:left w:val="none" w:sz="0" w:space="0" w:color="auto"/>
                <w:bottom w:val="none" w:sz="0" w:space="0" w:color="auto"/>
                <w:right w:val="none" w:sz="0" w:space="0" w:color="auto"/>
              </w:divBdr>
            </w:div>
            <w:div w:id="1034693853">
              <w:marLeft w:val="0"/>
              <w:marRight w:val="0"/>
              <w:marTop w:val="0"/>
              <w:marBottom w:val="0"/>
              <w:divBdr>
                <w:top w:val="none" w:sz="0" w:space="0" w:color="auto"/>
                <w:left w:val="none" w:sz="0" w:space="0" w:color="auto"/>
                <w:bottom w:val="none" w:sz="0" w:space="0" w:color="auto"/>
                <w:right w:val="none" w:sz="0" w:space="0" w:color="auto"/>
              </w:divBdr>
            </w:div>
            <w:div w:id="784158310">
              <w:marLeft w:val="0"/>
              <w:marRight w:val="0"/>
              <w:marTop w:val="0"/>
              <w:marBottom w:val="0"/>
              <w:divBdr>
                <w:top w:val="none" w:sz="0" w:space="0" w:color="auto"/>
                <w:left w:val="none" w:sz="0" w:space="0" w:color="auto"/>
                <w:bottom w:val="none" w:sz="0" w:space="0" w:color="auto"/>
                <w:right w:val="none" w:sz="0" w:space="0" w:color="auto"/>
              </w:divBdr>
            </w:div>
            <w:div w:id="828987163">
              <w:marLeft w:val="0"/>
              <w:marRight w:val="0"/>
              <w:marTop w:val="0"/>
              <w:marBottom w:val="0"/>
              <w:divBdr>
                <w:top w:val="none" w:sz="0" w:space="0" w:color="auto"/>
                <w:left w:val="none" w:sz="0" w:space="0" w:color="auto"/>
                <w:bottom w:val="none" w:sz="0" w:space="0" w:color="auto"/>
                <w:right w:val="none" w:sz="0" w:space="0" w:color="auto"/>
              </w:divBdr>
            </w:div>
            <w:div w:id="1113213216">
              <w:marLeft w:val="0"/>
              <w:marRight w:val="0"/>
              <w:marTop w:val="0"/>
              <w:marBottom w:val="0"/>
              <w:divBdr>
                <w:top w:val="none" w:sz="0" w:space="0" w:color="auto"/>
                <w:left w:val="none" w:sz="0" w:space="0" w:color="auto"/>
                <w:bottom w:val="none" w:sz="0" w:space="0" w:color="auto"/>
                <w:right w:val="none" w:sz="0" w:space="0" w:color="auto"/>
              </w:divBdr>
            </w:div>
            <w:div w:id="1819883512">
              <w:marLeft w:val="0"/>
              <w:marRight w:val="0"/>
              <w:marTop w:val="0"/>
              <w:marBottom w:val="0"/>
              <w:divBdr>
                <w:top w:val="none" w:sz="0" w:space="0" w:color="auto"/>
                <w:left w:val="none" w:sz="0" w:space="0" w:color="auto"/>
                <w:bottom w:val="none" w:sz="0" w:space="0" w:color="auto"/>
                <w:right w:val="none" w:sz="0" w:space="0" w:color="auto"/>
              </w:divBdr>
            </w:div>
            <w:div w:id="948851230">
              <w:marLeft w:val="0"/>
              <w:marRight w:val="0"/>
              <w:marTop w:val="0"/>
              <w:marBottom w:val="0"/>
              <w:divBdr>
                <w:top w:val="none" w:sz="0" w:space="0" w:color="auto"/>
                <w:left w:val="none" w:sz="0" w:space="0" w:color="auto"/>
                <w:bottom w:val="none" w:sz="0" w:space="0" w:color="auto"/>
                <w:right w:val="none" w:sz="0" w:space="0" w:color="auto"/>
              </w:divBdr>
            </w:div>
            <w:div w:id="1622375218">
              <w:marLeft w:val="0"/>
              <w:marRight w:val="0"/>
              <w:marTop w:val="0"/>
              <w:marBottom w:val="0"/>
              <w:divBdr>
                <w:top w:val="none" w:sz="0" w:space="0" w:color="auto"/>
                <w:left w:val="none" w:sz="0" w:space="0" w:color="auto"/>
                <w:bottom w:val="none" w:sz="0" w:space="0" w:color="auto"/>
                <w:right w:val="none" w:sz="0" w:space="0" w:color="auto"/>
              </w:divBdr>
            </w:div>
            <w:div w:id="1283001060">
              <w:marLeft w:val="0"/>
              <w:marRight w:val="0"/>
              <w:marTop w:val="0"/>
              <w:marBottom w:val="0"/>
              <w:divBdr>
                <w:top w:val="none" w:sz="0" w:space="0" w:color="auto"/>
                <w:left w:val="none" w:sz="0" w:space="0" w:color="auto"/>
                <w:bottom w:val="none" w:sz="0" w:space="0" w:color="auto"/>
                <w:right w:val="none" w:sz="0" w:space="0" w:color="auto"/>
              </w:divBdr>
            </w:div>
            <w:div w:id="1282028043">
              <w:marLeft w:val="0"/>
              <w:marRight w:val="0"/>
              <w:marTop w:val="0"/>
              <w:marBottom w:val="0"/>
              <w:divBdr>
                <w:top w:val="none" w:sz="0" w:space="0" w:color="auto"/>
                <w:left w:val="none" w:sz="0" w:space="0" w:color="auto"/>
                <w:bottom w:val="none" w:sz="0" w:space="0" w:color="auto"/>
                <w:right w:val="none" w:sz="0" w:space="0" w:color="auto"/>
              </w:divBdr>
            </w:div>
            <w:div w:id="2027166891">
              <w:marLeft w:val="0"/>
              <w:marRight w:val="0"/>
              <w:marTop w:val="0"/>
              <w:marBottom w:val="0"/>
              <w:divBdr>
                <w:top w:val="none" w:sz="0" w:space="0" w:color="auto"/>
                <w:left w:val="none" w:sz="0" w:space="0" w:color="auto"/>
                <w:bottom w:val="none" w:sz="0" w:space="0" w:color="auto"/>
                <w:right w:val="none" w:sz="0" w:space="0" w:color="auto"/>
              </w:divBdr>
            </w:div>
            <w:div w:id="1589079422">
              <w:marLeft w:val="0"/>
              <w:marRight w:val="0"/>
              <w:marTop w:val="0"/>
              <w:marBottom w:val="0"/>
              <w:divBdr>
                <w:top w:val="none" w:sz="0" w:space="0" w:color="auto"/>
                <w:left w:val="none" w:sz="0" w:space="0" w:color="auto"/>
                <w:bottom w:val="none" w:sz="0" w:space="0" w:color="auto"/>
                <w:right w:val="none" w:sz="0" w:space="0" w:color="auto"/>
              </w:divBdr>
            </w:div>
            <w:div w:id="536703363">
              <w:marLeft w:val="0"/>
              <w:marRight w:val="0"/>
              <w:marTop w:val="0"/>
              <w:marBottom w:val="0"/>
              <w:divBdr>
                <w:top w:val="none" w:sz="0" w:space="0" w:color="auto"/>
                <w:left w:val="none" w:sz="0" w:space="0" w:color="auto"/>
                <w:bottom w:val="none" w:sz="0" w:space="0" w:color="auto"/>
                <w:right w:val="none" w:sz="0" w:space="0" w:color="auto"/>
              </w:divBdr>
            </w:div>
            <w:div w:id="1366710138">
              <w:marLeft w:val="0"/>
              <w:marRight w:val="0"/>
              <w:marTop w:val="0"/>
              <w:marBottom w:val="0"/>
              <w:divBdr>
                <w:top w:val="none" w:sz="0" w:space="0" w:color="auto"/>
                <w:left w:val="none" w:sz="0" w:space="0" w:color="auto"/>
                <w:bottom w:val="none" w:sz="0" w:space="0" w:color="auto"/>
                <w:right w:val="none" w:sz="0" w:space="0" w:color="auto"/>
              </w:divBdr>
            </w:div>
            <w:div w:id="185676915">
              <w:marLeft w:val="0"/>
              <w:marRight w:val="0"/>
              <w:marTop w:val="0"/>
              <w:marBottom w:val="0"/>
              <w:divBdr>
                <w:top w:val="none" w:sz="0" w:space="0" w:color="auto"/>
                <w:left w:val="none" w:sz="0" w:space="0" w:color="auto"/>
                <w:bottom w:val="none" w:sz="0" w:space="0" w:color="auto"/>
                <w:right w:val="none" w:sz="0" w:space="0" w:color="auto"/>
              </w:divBdr>
            </w:div>
            <w:div w:id="738021704">
              <w:marLeft w:val="0"/>
              <w:marRight w:val="0"/>
              <w:marTop w:val="0"/>
              <w:marBottom w:val="0"/>
              <w:divBdr>
                <w:top w:val="none" w:sz="0" w:space="0" w:color="auto"/>
                <w:left w:val="none" w:sz="0" w:space="0" w:color="auto"/>
                <w:bottom w:val="none" w:sz="0" w:space="0" w:color="auto"/>
                <w:right w:val="none" w:sz="0" w:space="0" w:color="auto"/>
              </w:divBdr>
            </w:div>
            <w:div w:id="1704138328">
              <w:marLeft w:val="0"/>
              <w:marRight w:val="0"/>
              <w:marTop w:val="0"/>
              <w:marBottom w:val="0"/>
              <w:divBdr>
                <w:top w:val="none" w:sz="0" w:space="0" w:color="auto"/>
                <w:left w:val="none" w:sz="0" w:space="0" w:color="auto"/>
                <w:bottom w:val="none" w:sz="0" w:space="0" w:color="auto"/>
                <w:right w:val="none" w:sz="0" w:space="0" w:color="auto"/>
              </w:divBdr>
            </w:div>
            <w:div w:id="1060055597">
              <w:marLeft w:val="0"/>
              <w:marRight w:val="0"/>
              <w:marTop w:val="0"/>
              <w:marBottom w:val="0"/>
              <w:divBdr>
                <w:top w:val="none" w:sz="0" w:space="0" w:color="auto"/>
                <w:left w:val="none" w:sz="0" w:space="0" w:color="auto"/>
                <w:bottom w:val="none" w:sz="0" w:space="0" w:color="auto"/>
                <w:right w:val="none" w:sz="0" w:space="0" w:color="auto"/>
              </w:divBdr>
            </w:div>
            <w:div w:id="174653965">
              <w:marLeft w:val="0"/>
              <w:marRight w:val="0"/>
              <w:marTop w:val="0"/>
              <w:marBottom w:val="0"/>
              <w:divBdr>
                <w:top w:val="none" w:sz="0" w:space="0" w:color="auto"/>
                <w:left w:val="none" w:sz="0" w:space="0" w:color="auto"/>
                <w:bottom w:val="none" w:sz="0" w:space="0" w:color="auto"/>
                <w:right w:val="none" w:sz="0" w:space="0" w:color="auto"/>
              </w:divBdr>
            </w:div>
            <w:div w:id="1006664851">
              <w:marLeft w:val="0"/>
              <w:marRight w:val="0"/>
              <w:marTop w:val="0"/>
              <w:marBottom w:val="0"/>
              <w:divBdr>
                <w:top w:val="none" w:sz="0" w:space="0" w:color="auto"/>
                <w:left w:val="none" w:sz="0" w:space="0" w:color="auto"/>
                <w:bottom w:val="none" w:sz="0" w:space="0" w:color="auto"/>
                <w:right w:val="none" w:sz="0" w:space="0" w:color="auto"/>
              </w:divBdr>
            </w:div>
            <w:div w:id="1210073359">
              <w:marLeft w:val="0"/>
              <w:marRight w:val="0"/>
              <w:marTop w:val="0"/>
              <w:marBottom w:val="0"/>
              <w:divBdr>
                <w:top w:val="none" w:sz="0" w:space="0" w:color="auto"/>
                <w:left w:val="none" w:sz="0" w:space="0" w:color="auto"/>
                <w:bottom w:val="none" w:sz="0" w:space="0" w:color="auto"/>
                <w:right w:val="none" w:sz="0" w:space="0" w:color="auto"/>
              </w:divBdr>
            </w:div>
            <w:div w:id="85930597">
              <w:marLeft w:val="0"/>
              <w:marRight w:val="0"/>
              <w:marTop w:val="0"/>
              <w:marBottom w:val="0"/>
              <w:divBdr>
                <w:top w:val="none" w:sz="0" w:space="0" w:color="auto"/>
                <w:left w:val="none" w:sz="0" w:space="0" w:color="auto"/>
                <w:bottom w:val="none" w:sz="0" w:space="0" w:color="auto"/>
                <w:right w:val="none" w:sz="0" w:space="0" w:color="auto"/>
              </w:divBdr>
            </w:div>
            <w:div w:id="1710690935">
              <w:marLeft w:val="0"/>
              <w:marRight w:val="0"/>
              <w:marTop w:val="0"/>
              <w:marBottom w:val="0"/>
              <w:divBdr>
                <w:top w:val="none" w:sz="0" w:space="0" w:color="auto"/>
                <w:left w:val="none" w:sz="0" w:space="0" w:color="auto"/>
                <w:bottom w:val="none" w:sz="0" w:space="0" w:color="auto"/>
                <w:right w:val="none" w:sz="0" w:space="0" w:color="auto"/>
              </w:divBdr>
            </w:div>
            <w:div w:id="2093696010">
              <w:marLeft w:val="0"/>
              <w:marRight w:val="0"/>
              <w:marTop w:val="0"/>
              <w:marBottom w:val="0"/>
              <w:divBdr>
                <w:top w:val="none" w:sz="0" w:space="0" w:color="auto"/>
                <w:left w:val="none" w:sz="0" w:space="0" w:color="auto"/>
                <w:bottom w:val="none" w:sz="0" w:space="0" w:color="auto"/>
                <w:right w:val="none" w:sz="0" w:space="0" w:color="auto"/>
              </w:divBdr>
            </w:div>
            <w:div w:id="1614434221">
              <w:marLeft w:val="0"/>
              <w:marRight w:val="0"/>
              <w:marTop w:val="0"/>
              <w:marBottom w:val="0"/>
              <w:divBdr>
                <w:top w:val="none" w:sz="0" w:space="0" w:color="auto"/>
                <w:left w:val="none" w:sz="0" w:space="0" w:color="auto"/>
                <w:bottom w:val="none" w:sz="0" w:space="0" w:color="auto"/>
                <w:right w:val="none" w:sz="0" w:space="0" w:color="auto"/>
              </w:divBdr>
            </w:div>
            <w:div w:id="1032069999">
              <w:marLeft w:val="0"/>
              <w:marRight w:val="0"/>
              <w:marTop w:val="0"/>
              <w:marBottom w:val="0"/>
              <w:divBdr>
                <w:top w:val="none" w:sz="0" w:space="0" w:color="auto"/>
                <w:left w:val="none" w:sz="0" w:space="0" w:color="auto"/>
                <w:bottom w:val="none" w:sz="0" w:space="0" w:color="auto"/>
                <w:right w:val="none" w:sz="0" w:space="0" w:color="auto"/>
              </w:divBdr>
            </w:div>
            <w:div w:id="1561089904">
              <w:marLeft w:val="0"/>
              <w:marRight w:val="0"/>
              <w:marTop w:val="0"/>
              <w:marBottom w:val="0"/>
              <w:divBdr>
                <w:top w:val="none" w:sz="0" w:space="0" w:color="auto"/>
                <w:left w:val="none" w:sz="0" w:space="0" w:color="auto"/>
                <w:bottom w:val="none" w:sz="0" w:space="0" w:color="auto"/>
                <w:right w:val="none" w:sz="0" w:space="0" w:color="auto"/>
              </w:divBdr>
            </w:div>
            <w:div w:id="301235530">
              <w:marLeft w:val="0"/>
              <w:marRight w:val="0"/>
              <w:marTop w:val="0"/>
              <w:marBottom w:val="0"/>
              <w:divBdr>
                <w:top w:val="none" w:sz="0" w:space="0" w:color="auto"/>
                <w:left w:val="none" w:sz="0" w:space="0" w:color="auto"/>
                <w:bottom w:val="none" w:sz="0" w:space="0" w:color="auto"/>
                <w:right w:val="none" w:sz="0" w:space="0" w:color="auto"/>
              </w:divBdr>
            </w:div>
            <w:div w:id="802775242">
              <w:marLeft w:val="0"/>
              <w:marRight w:val="0"/>
              <w:marTop w:val="0"/>
              <w:marBottom w:val="0"/>
              <w:divBdr>
                <w:top w:val="none" w:sz="0" w:space="0" w:color="auto"/>
                <w:left w:val="none" w:sz="0" w:space="0" w:color="auto"/>
                <w:bottom w:val="none" w:sz="0" w:space="0" w:color="auto"/>
                <w:right w:val="none" w:sz="0" w:space="0" w:color="auto"/>
              </w:divBdr>
            </w:div>
            <w:div w:id="1125343707">
              <w:marLeft w:val="0"/>
              <w:marRight w:val="0"/>
              <w:marTop w:val="0"/>
              <w:marBottom w:val="0"/>
              <w:divBdr>
                <w:top w:val="none" w:sz="0" w:space="0" w:color="auto"/>
                <w:left w:val="none" w:sz="0" w:space="0" w:color="auto"/>
                <w:bottom w:val="none" w:sz="0" w:space="0" w:color="auto"/>
                <w:right w:val="none" w:sz="0" w:space="0" w:color="auto"/>
              </w:divBdr>
            </w:div>
            <w:div w:id="977763105">
              <w:marLeft w:val="0"/>
              <w:marRight w:val="0"/>
              <w:marTop w:val="0"/>
              <w:marBottom w:val="0"/>
              <w:divBdr>
                <w:top w:val="none" w:sz="0" w:space="0" w:color="auto"/>
                <w:left w:val="none" w:sz="0" w:space="0" w:color="auto"/>
                <w:bottom w:val="none" w:sz="0" w:space="0" w:color="auto"/>
                <w:right w:val="none" w:sz="0" w:space="0" w:color="auto"/>
              </w:divBdr>
            </w:div>
            <w:div w:id="1176767295">
              <w:marLeft w:val="0"/>
              <w:marRight w:val="0"/>
              <w:marTop w:val="0"/>
              <w:marBottom w:val="0"/>
              <w:divBdr>
                <w:top w:val="none" w:sz="0" w:space="0" w:color="auto"/>
                <w:left w:val="none" w:sz="0" w:space="0" w:color="auto"/>
                <w:bottom w:val="none" w:sz="0" w:space="0" w:color="auto"/>
                <w:right w:val="none" w:sz="0" w:space="0" w:color="auto"/>
              </w:divBdr>
            </w:div>
            <w:div w:id="186414070">
              <w:marLeft w:val="0"/>
              <w:marRight w:val="0"/>
              <w:marTop w:val="0"/>
              <w:marBottom w:val="0"/>
              <w:divBdr>
                <w:top w:val="none" w:sz="0" w:space="0" w:color="auto"/>
                <w:left w:val="none" w:sz="0" w:space="0" w:color="auto"/>
                <w:bottom w:val="none" w:sz="0" w:space="0" w:color="auto"/>
                <w:right w:val="none" w:sz="0" w:space="0" w:color="auto"/>
              </w:divBdr>
            </w:div>
            <w:div w:id="1389720691">
              <w:marLeft w:val="0"/>
              <w:marRight w:val="0"/>
              <w:marTop w:val="0"/>
              <w:marBottom w:val="0"/>
              <w:divBdr>
                <w:top w:val="none" w:sz="0" w:space="0" w:color="auto"/>
                <w:left w:val="none" w:sz="0" w:space="0" w:color="auto"/>
                <w:bottom w:val="none" w:sz="0" w:space="0" w:color="auto"/>
                <w:right w:val="none" w:sz="0" w:space="0" w:color="auto"/>
              </w:divBdr>
            </w:div>
            <w:div w:id="23020674">
              <w:marLeft w:val="0"/>
              <w:marRight w:val="0"/>
              <w:marTop w:val="0"/>
              <w:marBottom w:val="0"/>
              <w:divBdr>
                <w:top w:val="none" w:sz="0" w:space="0" w:color="auto"/>
                <w:left w:val="none" w:sz="0" w:space="0" w:color="auto"/>
                <w:bottom w:val="none" w:sz="0" w:space="0" w:color="auto"/>
                <w:right w:val="none" w:sz="0" w:space="0" w:color="auto"/>
              </w:divBdr>
            </w:div>
            <w:div w:id="1232543969">
              <w:marLeft w:val="0"/>
              <w:marRight w:val="0"/>
              <w:marTop w:val="0"/>
              <w:marBottom w:val="0"/>
              <w:divBdr>
                <w:top w:val="none" w:sz="0" w:space="0" w:color="auto"/>
                <w:left w:val="none" w:sz="0" w:space="0" w:color="auto"/>
                <w:bottom w:val="none" w:sz="0" w:space="0" w:color="auto"/>
                <w:right w:val="none" w:sz="0" w:space="0" w:color="auto"/>
              </w:divBdr>
            </w:div>
            <w:div w:id="1493452156">
              <w:marLeft w:val="0"/>
              <w:marRight w:val="0"/>
              <w:marTop w:val="0"/>
              <w:marBottom w:val="0"/>
              <w:divBdr>
                <w:top w:val="none" w:sz="0" w:space="0" w:color="auto"/>
                <w:left w:val="none" w:sz="0" w:space="0" w:color="auto"/>
                <w:bottom w:val="none" w:sz="0" w:space="0" w:color="auto"/>
                <w:right w:val="none" w:sz="0" w:space="0" w:color="auto"/>
              </w:divBdr>
            </w:div>
            <w:div w:id="951473226">
              <w:marLeft w:val="0"/>
              <w:marRight w:val="0"/>
              <w:marTop w:val="0"/>
              <w:marBottom w:val="0"/>
              <w:divBdr>
                <w:top w:val="none" w:sz="0" w:space="0" w:color="auto"/>
                <w:left w:val="none" w:sz="0" w:space="0" w:color="auto"/>
                <w:bottom w:val="none" w:sz="0" w:space="0" w:color="auto"/>
                <w:right w:val="none" w:sz="0" w:space="0" w:color="auto"/>
              </w:divBdr>
            </w:div>
            <w:div w:id="1293902811">
              <w:marLeft w:val="0"/>
              <w:marRight w:val="0"/>
              <w:marTop w:val="0"/>
              <w:marBottom w:val="0"/>
              <w:divBdr>
                <w:top w:val="none" w:sz="0" w:space="0" w:color="auto"/>
                <w:left w:val="none" w:sz="0" w:space="0" w:color="auto"/>
                <w:bottom w:val="none" w:sz="0" w:space="0" w:color="auto"/>
                <w:right w:val="none" w:sz="0" w:space="0" w:color="auto"/>
              </w:divBdr>
            </w:div>
            <w:div w:id="1954700616">
              <w:marLeft w:val="0"/>
              <w:marRight w:val="0"/>
              <w:marTop w:val="0"/>
              <w:marBottom w:val="0"/>
              <w:divBdr>
                <w:top w:val="none" w:sz="0" w:space="0" w:color="auto"/>
                <w:left w:val="none" w:sz="0" w:space="0" w:color="auto"/>
                <w:bottom w:val="none" w:sz="0" w:space="0" w:color="auto"/>
                <w:right w:val="none" w:sz="0" w:space="0" w:color="auto"/>
              </w:divBdr>
            </w:div>
            <w:div w:id="1021202319">
              <w:marLeft w:val="0"/>
              <w:marRight w:val="0"/>
              <w:marTop w:val="0"/>
              <w:marBottom w:val="0"/>
              <w:divBdr>
                <w:top w:val="none" w:sz="0" w:space="0" w:color="auto"/>
                <w:left w:val="none" w:sz="0" w:space="0" w:color="auto"/>
                <w:bottom w:val="none" w:sz="0" w:space="0" w:color="auto"/>
                <w:right w:val="none" w:sz="0" w:space="0" w:color="auto"/>
              </w:divBdr>
            </w:div>
            <w:div w:id="903032726">
              <w:marLeft w:val="0"/>
              <w:marRight w:val="0"/>
              <w:marTop w:val="0"/>
              <w:marBottom w:val="0"/>
              <w:divBdr>
                <w:top w:val="none" w:sz="0" w:space="0" w:color="auto"/>
                <w:left w:val="none" w:sz="0" w:space="0" w:color="auto"/>
                <w:bottom w:val="none" w:sz="0" w:space="0" w:color="auto"/>
                <w:right w:val="none" w:sz="0" w:space="0" w:color="auto"/>
              </w:divBdr>
            </w:div>
            <w:div w:id="861817464">
              <w:marLeft w:val="0"/>
              <w:marRight w:val="0"/>
              <w:marTop w:val="0"/>
              <w:marBottom w:val="0"/>
              <w:divBdr>
                <w:top w:val="none" w:sz="0" w:space="0" w:color="auto"/>
                <w:left w:val="none" w:sz="0" w:space="0" w:color="auto"/>
                <w:bottom w:val="none" w:sz="0" w:space="0" w:color="auto"/>
                <w:right w:val="none" w:sz="0" w:space="0" w:color="auto"/>
              </w:divBdr>
            </w:div>
            <w:div w:id="2061247635">
              <w:marLeft w:val="0"/>
              <w:marRight w:val="0"/>
              <w:marTop w:val="0"/>
              <w:marBottom w:val="0"/>
              <w:divBdr>
                <w:top w:val="none" w:sz="0" w:space="0" w:color="auto"/>
                <w:left w:val="none" w:sz="0" w:space="0" w:color="auto"/>
                <w:bottom w:val="none" w:sz="0" w:space="0" w:color="auto"/>
                <w:right w:val="none" w:sz="0" w:space="0" w:color="auto"/>
              </w:divBdr>
            </w:div>
            <w:div w:id="824779474">
              <w:marLeft w:val="0"/>
              <w:marRight w:val="0"/>
              <w:marTop w:val="0"/>
              <w:marBottom w:val="0"/>
              <w:divBdr>
                <w:top w:val="none" w:sz="0" w:space="0" w:color="auto"/>
                <w:left w:val="none" w:sz="0" w:space="0" w:color="auto"/>
                <w:bottom w:val="none" w:sz="0" w:space="0" w:color="auto"/>
                <w:right w:val="none" w:sz="0" w:space="0" w:color="auto"/>
              </w:divBdr>
            </w:div>
            <w:div w:id="1739326200">
              <w:marLeft w:val="0"/>
              <w:marRight w:val="0"/>
              <w:marTop w:val="0"/>
              <w:marBottom w:val="0"/>
              <w:divBdr>
                <w:top w:val="none" w:sz="0" w:space="0" w:color="auto"/>
                <w:left w:val="none" w:sz="0" w:space="0" w:color="auto"/>
                <w:bottom w:val="none" w:sz="0" w:space="0" w:color="auto"/>
                <w:right w:val="none" w:sz="0" w:space="0" w:color="auto"/>
              </w:divBdr>
            </w:div>
            <w:div w:id="2025663814">
              <w:marLeft w:val="0"/>
              <w:marRight w:val="0"/>
              <w:marTop w:val="0"/>
              <w:marBottom w:val="0"/>
              <w:divBdr>
                <w:top w:val="none" w:sz="0" w:space="0" w:color="auto"/>
                <w:left w:val="none" w:sz="0" w:space="0" w:color="auto"/>
                <w:bottom w:val="none" w:sz="0" w:space="0" w:color="auto"/>
                <w:right w:val="none" w:sz="0" w:space="0" w:color="auto"/>
              </w:divBdr>
            </w:div>
            <w:div w:id="1559707481">
              <w:marLeft w:val="0"/>
              <w:marRight w:val="0"/>
              <w:marTop w:val="0"/>
              <w:marBottom w:val="0"/>
              <w:divBdr>
                <w:top w:val="none" w:sz="0" w:space="0" w:color="auto"/>
                <w:left w:val="none" w:sz="0" w:space="0" w:color="auto"/>
                <w:bottom w:val="none" w:sz="0" w:space="0" w:color="auto"/>
                <w:right w:val="none" w:sz="0" w:space="0" w:color="auto"/>
              </w:divBdr>
            </w:div>
            <w:div w:id="1689328911">
              <w:marLeft w:val="0"/>
              <w:marRight w:val="0"/>
              <w:marTop w:val="0"/>
              <w:marBottom w:val="0"/>
              <w:divBdr>
                <w:top w:val="none" w:sz="0" w:space="0" w:color="auto"/>
                <w:left w:val="none" w:sz="0" w:space="0" w:color="auto"/>
                <w:bottom w:val="none" w:sz="0" w:space="0" w:color="auto"/>
                <w:right w:val="none" w:sz="0" w:space="0" w:color="auto"/>
              </w:divBdr>
            </w:div>
            <w:div w:id="1538003213">
              <w:marLeft w:val="0"/>
              <w:marRight w:val="0"/>
              <w:marTop w:val="0"/>
              <w:marBottom w:val="0"/>
              <w:divBdr>
                <w:top w:val="none" w:sz="0" w:space="0" w:color="auto"/>
                <w:left w:val="none" w:sz="0" w:space="0" w:color="auto"/>
                <w:bottom w:val="none" w:sz="0" w:space="0" w:color="auto"/>
                <w:right w:val="none" w:sz="0" w:space="0" w:color="auto"/>
              </w:divBdr>
            </w:div>
            <w:div w:id="853810247">
              <w:marLeft w:val="0"/>
              <w:marRight w:val="0"/>
              <w:marTop w:val="0"/>
              <w:marBottom w:val="0"/>
              <w:divBdr>
                <w:top w:val="none" w:sz="0" w:space="0" w:color="auto"/>
                <w:left w:val="none" w:sz="0" w:space="0" w:color="auto"/>
                <w:bottom w:val="none" w:sz="0" w:space="0" w:color="auto"/>
                <w:right w:val="none" w:sz="0" w:space="0" w:color="auto"/>
              </w:divBdr>
            </w:div>
            <w:div w:id="1904371551">
              <w:marLeft w:val="0"/>
              <w:marRight w:val="0"/>
              <w:marTop w:val="0"/>
              <w:marBottom w:val="0"/>
              <w:divBdr>
                <w:top w:val="none" w:sz="0" w:space="0" w:color="auto"/>
                <w:left w:val="none" w:sz="0" w:space="0" w:color="auto"/>
                <w:bottom w:val="none" w:sz="0" w:space="0" w:color="auto"/>
                <w:right w:val="none" w:sz="0" w:space="0" w:color="auto"/>
              </w:divBdr>
            </w:div>
            <w:div w:id="1278373608">
              <w:marLeft w:val="0"/>
              <w:marRight w:val="0"/>
              <w:marTop w:val="0"/>
              <w:marBottom w:val="0"/>
              <w:divBdr>
                <w:top w:val="none" w:sz="0" w:space="0" w:color="auto"/>
                <w:left w:val="none" w:sz="0" w:space="0" w:color="auto"/>
                <w:bottom w:val="none" w:sz="0" w:space="0" w:color="auto"/>
                <w:right w:val="none" w:sz="0" w:space="0" w:color="auto"/>
              </w:divBdr>
            </w:div>
            <w:div w:id="1890267026">
              <w:marLeft w:val="0"/>
              <w:marRight w:val="0"/>
              <w:marTop w:val="0"/>
              <w:marBottom w:val="0"/>
              <w:divBdr>
                <w:top w:val="none" w:sz="0" w:space="0" w:color="auto"/>
                <w:left w:val="none" w:sz="0" w:space="0" w:color="auto"/>
                <w:bottom w:val="none" w:sz="0" w:space="0" w:color="auto"/>
                <w:right w:val="none" w:sz="0" w:space="0" w:color="auto"/>
              </w:divBdr>
            </w:div>
            <w:div w:id="105580904">
              <w:marLeft w:val="0"/>
              <w:marRight w:val="0"/>
              <w:marTop w:val="0"/>
              <w:marBottom w:val="0"/>
              <w:divBdr>
                <w:top w:val="none" w:sz="0" w:space="0" w:color="auto"/>
                <w:left w:val="none" w:sz="0" w:space="0" w:color="auto"/>
                <w:bottom w:val="none" w:sz="0" w:space="0" w:color="auto"/>
                <w:right w:val="none" w:sz="0" w:space="0" w:color="auto"/>
              </w:divBdr>
            </w:div>
            <w:div w:id="1439107412">
              <w:marLeft w:val="0"/>
              <w:marRight w:val="0"/>
              <w:marTop w:val="0"/>
              <w:marBottom w:val="0"/>
              <w:divBdr>
                <w:top w:val="none" w:sz="0" w:space="0" w:color="auto"/>
                <w:left w:val="none" w:sz="0" w:space="0" w:color="auto"/>
                <w:bottom w:val="none" w:sz="0" w:space="0" w:color="auto"/>
                <w:right w:val="none" w:sz="0" w:space="0" w:color="auto"/>
              </w:divBdr>
            </w:div>
            <w:div w:id="1974168596">
              <w:marLeft w:val="0"/>
              <w:marRight w:val="0"/>
              <w:marTop w:val="0"/>
              <w:marBottom w:val="0"/>
              <w:divBdr>
                <w:top w:val="none" w:sz="0" w:space="0" w:color="auto"/>
                <w:left w:val="none" w:sz="0" w:space="0" w:color="auto"/>
                <w:bottom w:val="none" w:sz="0" w:space="0" w:color="auto"/>
                <w:right w:val="none" w:sz="0" w:space="0" w:color="auto"/>
              </w:divBdr>
            </w:div>
            <w:div w:id="1889804216">
              <w:marLeft w:val="0"/>
              <w:marRight w:val="0"/>
              <w:marTop w:val="0"/>
              <w:marBottom w:val="0"/>
              <w:divBdr>
                <w:top w:val="none" w:sz="0" w:space="0" w:color="auto"/>
                <w:left w:val="none" w:sz="0" w:space="0" w:color="auto"/>
                <w:bottom w:val="none" w:sz="0" w:space="0" w:color="auto"/>
                <w:right w:val="none" w:sz="0" w:space="0" w:color="auto"/>
              </w:divBdr>
            </w:div>
            <w:div w:id="2024164623">
              <w:marLeft w:val="0"/>
              <w:marRight w:val="0"/>
              <w:marTop w:val="0"/>
              <w:marBottom w:val="0"/>
              <w:divBdr>
                <w:top w:val="none" w:sz="0" w:space="0" w:color="auto"/>
                <w:left w:val="none" w:sz="0" w:space="0" w:color="auto"/>
                <w:bottom w:val="none" w:sz="0" w:space="0" w:color="auto"/>
                <w:right w:val="none" w:sz="0" w:space="0" w:color="auto"/>
              </w:divBdr>
            </w:div>
            <w:div w:id="1346860149">
              <w:marLeft w:val="0"/>
              <w:marRight w:val="0"/>
              <w:marTop w:val="0"/>
              <w:marBottom w:val="0"/>
              <w:divBdr>
                <w:top w:val="none" w:sz="0" w:space="0" w:color="auto"/>
                <w:left w:val="none" w:sz="0" w:space="0" w:color="auto"/>
                <w:bottom w:val="none" w:sz="0" w:space="0" w:color="auto"/>
                <w:right w:val="none" w:sz="0" w:space="0" w:color="auto"/>
              </w:divBdr>
            </w:div>
            <w:div w:id="1436443351">
              <w:marLeft w:val="0"/>
              <w:marRight w:val="0"/>
              <w:marTop w:val="0"/>
              <w:marBottom w:val="0"/>
              <w:divBdr>
                <w:top w:val="none" w:sz="0" w:space="0" w:color="auto"/>
                <w:left w:val="none" w:sz="0" w:space="0" w:color="auto"/>
                <w:bottom w:val="none" w:sz="0" w:space="0" w:color="auto"/>
                <w:right w:val="none" w:sz="0" w:space="0" w:color="auto"/>
              </w:divBdr>
            </w:div>
            <w:div w:id="132991536">
              <w:marLeft w:val="0"/>
              <w:marRight w:val="0"/>
              <w:marTop w:val="0"/>
              <w:marBottom w:val="0"/>
              <w:divBdr>
                <w:top w:val="none" w:sz="0" w:space="0" w:color="auto"/>
                <w:left w:val="none" w:sz="0" w:space="0" w:color="auto"/>
                <w:bottom w:val="none" w:sz="0" w:space="0" w:color="auto"/>
                <w:right w:val="none" w:sz="0" w:space="0" w:color="auto"/>
              </w:divBdr>
            </w:div>
            <w:div w:id="973292995">
              <w:marLeft w:val="0"/>
              <w:marRight w:val="0"/>
              <w:marTop w:val="0"/>
              <w:marBottom w:val="0"/>
              <w:divBdr>
                <w:top w:val="none" w:sz="0" w:space="0" w:color="auto"/>
                <w:left w:val="none" w:sz="0" w:space="0" w:color="auto"/>
                <w:bottom w:val="none" w:sz="0" w:space="0" w:color="auto"/>
                <w:right w:val="none" w:sz="0" w:space="0" w:color="auto"/>
              </w:divBdr>
            </w:div>
            <w:div w:id="1923679694">
              <w:marLeft w:val="0"/>
              <w:marRight w:val="0"/>
              <w:marTop w:val="0"/>
              <w:marBottom w:val="0"/>
              <w:divBdr>
                <w:top w:val="none" w:sz="0" w:space="0" w:color="auto"/>
                <w:left w:val="none" w:sz="0" w:space="0" w:color="auto"/>
                <w:bottom w:val="none" w:sz="0" w:space="0" w:color="auto"/>
                <w:right w:val="none" w:sz="0" w:space="0" w:color="auto"/>
              </w:divBdr>
            </w:div>
            <w:div w:id="814681528">
              <w:marLeft w:val="0"/>
              <w:marRight w:val="0"/>
              <w:marTop w:val="0"/>
              <w:marBottom w:val="0"/>
              <w:divBdr>
                <w:top w:val="none" w:sz="0" w:space="0" w:color="auto"/>
                <w:left w:val="none" w:sz="0" w:space="0" w:color="auto"/>
                <w:bottom w:val="none" w:sz="0" w:space="0" w:color="auto"/>
                <w:right w:val="none" w:sz="0" w:space="0" w:color="auto"/>
              </w:divBdr>
            </w:div>
            <w:div w:id="1333143452">
              <w:marLeft w:val="0"/>
              <w:marRight w:val="0"/>
              <w:marTop w:val="0"/>
              <w:marBottom w:val="0"/>
              <w:divBdr>
                <w:top w:val="none" w:sz="0" w:space="0" w:color="auto"/>
                <w:left w:val="none" w:sz="0" w:space="0" w:color="auto"/>
                <w:bottom w:val="none" w:sz="0" w:space="0" w:color="auto"/>
                <w:right w:val="none" w:sz="0" w:space="0" w:color="auto"/>
              </w:divBdr>
            </w:div>
            <w:div w:id="770662925">
              <w:marLeft w:val="0"/>
              <w:marRight w:val="0"/>
              <w:marTop w:val="0"/>
              <w:marBottom w:val="0"/>
              <w:divBdr>
                <w:top w:val="none" w:sz="0" w:space="0" w:color="auto"/>
                <w:left w:val="none" w:sz="0" w:space="0" w:color="auto"/>
                <w:bottom w:val="none" w:sz="0" w:space="0" w:color="auto"/>
                <w:right w:val="none" w:sz="0" w:space="0" w:color="auto"/>
              </w:divBdr>
            </w:div>
            <w:div w:id="739906279">
              <w:marLeft w:val="0"/>
              <w:marRight w:val="0"/>
              <w:marTop w:val="0"/>
              <w:marBottom w:val="0"/>
              <w:divBdr>
                <w:top w:val="none" w:sz="0" w:space="0" w:color="auto"/>
                <w:left w:val="none" w:sz="0" w:space="0" w:color="auto"/>
                <w:bottom w:val="none" w:sz="0" w:space="0" w:color="auto"/>
                <w:right w:val="none" w:sz="0" w:space="0" w:color="auto"/>
              </w:divBdr>
            </w:div>
            <w:div w:id="1092624613">
              <w:marLeft w:val="0"/>
              <w:marRight w:val="0"/>
              <w:marTop w:val="0"/>
              <w:marBottom w:val="0"/>
              <w:divBdr>
                <w:top w:val="none" w:sz="0" w:space="0" w:color="auto"/>
                <w:left w:val="none" w:sz="0" w:space="0" w:color="auto"/>
                <w:bottom w:val="none" w:sz="0" w:space="0" w:color="auto"/>
                <w:right w:val="none" w:sz="0" w:space="0" w:color="auto"/>
              </w:divBdr>
            </w:div>
            <w:div w:id="2010519103">
              <w:marLeft w:val="0"/>
              <w:marRight w:val="0"/>
              <w:marTop w:val="0"/>
              <w:marBottom w:val="0"/>
              <w:divBdr>
                <w:top w:val="none" w:sz="0" w:space="0" w:color="auto"/>
                <w:left w:val="none" w:sz="0" w:space="0" w:color="auto"/>
                <w:bottom w:val="none" w:sz="0" w:space="0" w:color="auto"/>
                <w:right w:val="none" w:sz="0" w:space="0" w:color="auto"/>
              </w:divBdr>
            </w:div>
            <w:div w:id="1910337030">
              <w:marLeft w:val="0"/>
              <w:marRight w:val="0"/>
              <w:marTop w:val="0"/>
              <w:marBottom w:val="0"/>
              <w:divBdr>
                <w:top w:val="none" w:sz="0" w:space="0" w:color="auto"/>
                <w:left w:val="none" w:sz="0" w:space="0" w:color="auto"/>
                <w:bottom w:val="none" w:sz="0" w:space="0" w:color="auto"/>
                <w:right w:val="none" w:sz="0" w:space="0" w:color="auto"/>
              </w:divBdr>
            </w:div>
            <w:div w:id="2088073237">
              <w:marLeft w:val="0"/>
              <w:marRight w:val="0"/>
              <w:marTop w:val="0"/>
              <w:marBottom w:val="0"/>
              <w:divBdr>
                <w:top w:val="none" w:sz="0" w:space="0" w:color="auto"/>
                <w:left w:val="none" w:sz="0" w:space="0" w:color="auto"/>
                <w:bottom w:val="none" w:sz="0" w:space="0" w:color="auto"/>
                <w:right w:val="none" w:sz="0" w:space="0" w:color="auto"/>
              </w:divBdr>
            </w:div>
            <w:div w:id="1789157524">
              <w:marLeft w:val="0"/>
              <w:marRight w:val="0"/>
              <w:marTop w:val="0"/>
              <w:marBottom w:val="0"/>
              <w:divBdr>
                <w:top w:val="none" w:sz="0" w:space="0" w:color="auto"/>
                <w:left w:val="none" w:sz="0" w:space="0" w:color="auto"/>
                <w:bottom w:val="none" w:sz="0" w:space="0" w:color="auto"/>
                <w:right w:val="none" w:sz="0" w:space="0" w:color="auto"/>
              </w:divBdr>
            </w:div>
            <w:div w:id="575045261">
              <w:marLeft w:val="0"/>
              <w:marRight w:val="0"/>
              <w:marTop w:val="0"/>
              <w:marBottom w:val="0"/>
              <w:divBdr>
                <w:top w:val="none" w:sz="0" w:space="0" w:color="auto"/>
                <w:left w:val="none" w:sz="0" w:space="0" w:color="auto"/>
                <w:bottom w:val="none" w:sz="0" w:space="0" w:color="auto"/>
                <w:right w:val="none" w:sz="0" w:space="0" w:color="auto"/>
              </w:divBdr>
            </w:div>
            <w:div w:id="512380045">
              <w:marLeft w:val="0"/>
              <w:marRight w:val="0"/>
              <w:marTop w:val="0"/>
              <w:marBottom w:val="0"/>
              <w:divBdr>
                <w:top w:val="none" w:sz="0" w:space="0" w:color="auto"/>
                <w:left w:val="none" w:sz="0" w:space="0" w:color="auto"/>
                <w:bottom w:val="none" w:sz="0" w:space="0" w:color="auto"/>
                <w:right w:val="none" w:sz="0" w:space="0" w:color="auto"/>
              </w:divBdr>
            </w:div>
            <w:div w:id="1715501047">
              <w:marLeft w:val="0"/>
              <w:marRight w:val="0"/>
              <w:marTop w:val="0"/>
              <w:marBottom w:val="0"/>
              <w:divBdr>
                <w:top w:val="none" w:sz="0" w:space="0" w:color="auto"/>
                <w:left w:val="none" w:sz="0" w:space="0" w:color="auto"/>
                <w:bottom w:val="none" w:sz="0" w:space="0" w:color="auto"/>
                <w:right w:val="none" w:sz="0" w:space="0" w:color="auto"/>
              </w:divBdr>
            </w:div>
            <w:div w:id="1906644481">
              <w:marLeft w:val="0"/>
              <w:marRight w:val="0"/>
              <w:marTop w:val="0"/>
              <w:marBottom w:val="0"/>
              <w:divBdr>
                <w:top w:val="none" w:sz="0" w:space="0" w:color="auto"/>
                <w:left w:val="none" w:sz="0" w:space="0" w:color="auto"/>
                <w:bottom w:val="none" w:sz="0" w:space="0" w:color="auto"/>
                <w:right w:val="none" w:sz="0" w:space="0" w:color="auto"/>
              </w:divBdr>
            </w:div>
            <w:div w:id="1091197614">
              <w:marLeft w:val="0"/>
              <w:marRight w:val="0"/>
              <w:marTop w:val="0"/>
              <w:marBottom w:val="0"/>
              <w:divBdr>
                <w:top w:val="none" w:sz="0" w:space="0" w:color="auto"/>
                <w:left w:val="none" w:sz="0" w:space="0" w:color="auto"/>
                <w:bottom w:val="none" w:sz="0" w:space="0" w:color="auto"/>
                <w:right w:val="none" w:sz="0" w:space="0" w:color="auto"/>
              </w:divBdr>
            </w:div>
            <w:div w:id="1952322600">
              <w:marLeft w:val="0"/>
              <w:marRight w:val="0"/>
              <w:marTop w:val="0"/>
              <w:marBottom w:val="0"/>
              <w:divBdr>
                <w:top w:val="none" w:sz="0" w:space="0" w:color="auto"/>
                <w:left w:val="none" w:sz="0" w:space="0" w:color="auto"/>
                <w:bottom w:val="none" w:sz="0" w:space="0" w:color="auto"/>
                <w:right w:val="none" w:sz="0" w:space="0" w:color="auto"/>
              </w:divBdr>
            </w:div>
            <w:div w:id="1140459146">
              <w:marLeft w:val="0"/>
              <w:marRight w:val="0"/>
              <w:marTop w:val="0"/>
              <w:marBottom w:val="0"/>
              <w:divBdr>
                <w:top w:val="none" w:sz="0" w:space="0" w:color="auto"/>
                <w:left w:val="none" w:sz="0" w:space="0" w:color="auto"/>
                <w:bottom w:val="none" w:sz="0" w:space="0" w:color="auto"/>
                <w:right w:val="none" w:sz="0" w:space="0" w:color="auto"/>
              </w:divBdr>
            </w:div>
            <w:div w:id="1470198342">
              <w:marLeft w:val="0"/>
              <w:marRight w:val="0"/>
              <w:marTop w:val="0"/>
              <w:marBottom w:val="0"/>
              <w:divBdr>
                <w:top w:val="none" w:sz="0" w:space="0" w:color="auto"/>
                <w:left w:val="none" w:sz="0" w:space="0" w:color="auto"/>
                <w:bottom w:val="none" w:sz="0" w:space="0" w:color="auto"/>
                <w:right w:val="none" w:sz="0" w:space="0" w:color="auto"/>
              </w:divBdr>
            </w:div>
            <w:div w:id="495390026">
              <w:marLeft w:val="0"/>
              <w:marRight w:val="0"/>
              <w:marTop w:val="0"/>
              <w:marBottom w:val="0"/>
              <w:divBdr>
                <w:top w:val="none" w:sz="0" w:space="0" w:color="auto"/>
                <w:left w:val="none" w:sz="0" w:space="0" w:color="auto"/>
                <w:bottom w:val="none" w:sz="0" w:space="0" w:color="auto"/>
                <w:right w:val="none" w:sz="0" w:space="0" w:color="auto"/>
              </w:divBdr>
            </w:div>
            <w:div w:id="1307009989">
              <w:marLeft w:val="0"/>
              <w:marRight w:val="0"/>
              <w:marTop w:val="0"/>
              <w:marBottom w:val="0"/>
              <w:divBdr>
                <w:top w:val="none" w:sz="0" w:space="0" w:color="auto"/>
                <w:left w:val="none" w:sz="0" w:space="0" w:color="auto"/>
                <w:bottom w:val="none" w:sz="0" w:space="0" w:color="auto"/>
                <w:right w:val="none" w:sz="0" w:space="0" w:color="auto"/>
              </w:divBdr>
            </w:div>
            <w:div w:id="778793423">
              <w:marLeft w:val="0"/>
              <w:marRight w:val="0"/>
              <w:marTop w:val="0"/>
              <w:marBottom w:val="0"/>
              <w:divBdr>
                <w:top w:val="none" w:sz="0" w:space="0" w:color="auto"/>
                <w:left w:val="none" w:sz="0" w:space="0" w:color="auto"/>
                <w:bottom w:val="none" w:sz="0" w:space="0" w:color="auto"/>
                <w:right w:val="none" w:sz="0" w:space="0" w:color="auto"/>
              </w:divBdr>
            </w:div>
            <w:div w:id="938372461">
              <w:marLeft w:val="0"/>
              <w:marRight w:val="0"/>
              <w:marTop w:val="0"/>
              <w:marBottom w:val="0"/>
              <w:divBdr>
                <w:top w:val="none" w:sz="0" w:space="0" w:color="auto"/>
                <w:left w:val="none" w:sz="0" w:space="0" w:color="auto"/>
                <w:bottom w:val="none" w:sz="0" w:space="0" w:color="auto"/>
                <w:right w:val="none" w:sz="0" w:space="0" w:color="auto"/>
              </w:divBdr>
            </w:div>
            <w:div w:id="706639151">
              <w:marLeft w:val="0"/>
              <w:marRight w:val="0"/>
              <w:marTop w:val="0"/>
              <w:marBottom w:val="0"/>
              <w:divBdr>
                <w:top w:val="none" w:sz="0" w:space="0" w:color="auto"/>
                <w:left w:val="none" w:sz="0" w:space="0" w:color="auto"/>
                <w:bottom w:val="none" w:sz="0" w:space="0" w:color="auto"/>
                <w:right w:val="none" w:sz="0" w:space="0" w:color="auto"/>
              </w:divBdr>
            </w:div>
            <w:div w:id="1061830393">
              <w:marLeft w:val="0"/>
              <w:marRight w:val="0"/>
              <w:marTop w:val="0"/>
              <w:marBottom w:val="0"/>
              <w:divBdr>
                <w:top w:val="none" w:sz="0" w:space="0" w:color="auto"/>
                <w:left w:val="none" w:sz="0" w:space="0" w:color="auto"/>
                <w:bottom w:val="none" w:sz="0" w:space="0" w:color="auto"/>
                <w:right w:val="none" w:sz="0" w:space="0" w:color="auto"/>
              </w:divBdr>
            </w:div>
            <w:div w:id="1801343606">
              <w:marLeft w:val="0"/>
              <w:marRight w:val="0"/>
              <w:marTop w:val="0"/>
              <w:marBottom w:val="0"/>
              <w:divBdr>
                <w:top w:val="none" w:sz="0" w:space="0" w:color="auto"/>
                <w:left w:val="none" w:sz="0" w:space="0" w:color="auto"/>
                <w:bottom w:val="none" w:sz="0" w:space="0" w:color="auto"/>
                <w:right w:val="none" w:sz="0" w:space="0" w:color="auto"/>
              </w:divBdr>
            </w:div>
            <w:div w:id="669673111">
              <w:marLeft w:val="0"/>
              <w:marRight w:val="0"/>
              <w:marTop w:val="0"/>
              <w:marBottom w:val="0"/>
              <w:divBdr>
                <w:top w:val="none" w:sz="0" w:space="0" w:color="auto"/>
                <w:left w:val="none" w:sz="0" w:space="0" w:color="auto"/>
                <w:bottom w:val="none" w:sz="0" w:space="0" w:color="auto"/>
                <w:right w:val="none" w:sz="0" w:space="0" w:color="auto"/>
              </w:divBdr>
            </w:div>
            <w:div w:id="1750886483">
              <w:marLeft w:val="0"/>
              <w:marRight w:val="0"/>
              <w:marTop w:val="0"/>
              <w:marBottom w:val="0"/>
              <w:divBdr>
                <w:top w:val="none" w:sz="0" w:space="0" w:color="auto"/>
                <w:left w:val="none" w:sz="0" w:space="0" w:color="auto"/>
                <w:bottom w:val="none" w:sz="0" w:space="0" w:color="auto"/>
                <w:right w:val="none" w:sz="0" w:space="0" w:color="auto"/>
              </w:divBdr>
            </w:div>
            <w:div w:id="1434863541">
              <w:marLeft w:val="0"/>
              <w:marRight w:val="0"/>
              <w:marTop w:val="0"/>
              <w:marBottom w:val="0"/>
              <w:divBdr>
                <w:top w:val="none" w:sz="0" w:space="0" w:color="auto"/>
                <w:left w:val="none" w:sz="0" w:space="0" w:color="auto"/>
                <w:bottom w:val="none" w:sz="0" w:space="0" w:color="auto"/>
                <w:right w:val="none" w:sz="0" w:space="0" w:color="auto"/>
              </w:divBdr>
            </w:div>
            <w:div w:id="2018389425">
              <w:marLeft w:val="0"/>
              <w:marRight w:val="0"/>
              <w:marTop w:val="0"/>
              <w:marBottom w:val="0"/>
              <w:divBdr>
                <w:top w:val="none" w:sz="0" w:space="0" w:color="auto"/>
                <w:left w:val="none" w:sz="0" w:space="0" w:color="auto"/>
                <w:bottom w:val="none" w:sz="0" w:space="0" w:color="auto"/>
                <w:right w:val="none" w:sz="0" w:space="0" w:color="auto"/>
              </w:divBdr>
            </w:div>
            <w:div w:id="1930189781">
              <w:marLeft w:val="0"/>
              <w:marRight w:val="0"/>
              <w:marTop w:val="0"/>
              <w:marBottom w:val="0"/>
              <w:divBdr>
                <w:top w:val="none" w:sz="0" w:space="0" w:color="auto"/>
                <w:left w:val="none" w:sz="0" w:space="0" w:color="auto"/>
                <w:bottom w:val="none" w:sz="0" w:space="0" w:color="auto"/>
                <w:right w:val="none" w:sz="0" w:space="0" w:color="auto"/>
              </w:divBdr>
            </w:div>
            <w:div w:id="475687975">
              <w:marLeft w:val="0"/>
              <w:marRight w:val="0"/>
              <w:marTop w:val="0"/>
              <w:marBottom w:val="0"/>
              <w:divBdr>
                <w:top w:val="none" w:sz="0" w:space="0" w:color="auto"/>
                <w:left w:val="none" w:sz="0" w:space="0" w:color="auto"/>
                <w:bottom w:val="none" w:sz="0" w:space="0" w:color="auto"/>
                <w:right w:val="none" w:sz="0" w:space="0" w:color="auto"/>
              </w:divBdr>
            </w:div>
            <w:div w:id="1327057616">
              <w:marLeft w:val="0"/>
              <w:marRight w:val="0"/>
              <w:marTop w:val="0"/>
              <w:marBottom w:val="0"/>
              <w:divBdr>
                <w:top w:val="none" w:sz="0" w:space="0" w:color="auto"/>
                <w:left w:val="none" w:sz="0" w:space="0" w:color="auto"/>
                <w:bottom w:val="none" w:sz="0" w:space="0" w:color="auto"/>
                <w:right w:val="none" w:sz="0" w:space="0" w:color="auto"/>
              </w:divBdr>
            </w:div>
            <w:div w:id="836068844">
              <w:marLeft w:val="0"/>
              <w:marRight w:val="0"/>
              <w:marTop w:val="0"/>
              <w:marBottom w:val="0"/>
              <w:divBdr>
                <w:top w:val="none" w:sz="0" w:space="0" w:color="auto"/>
                <w:left w:val="none" w:sz="0" w:space="0" w:color="auto"/>
                <w:bottom w:val="none" w:sz="0" w:space="0" w:color="auto"/>
                <w:right w:val="none" w:sz="0" w:space="0" w:color="auto"/>
              </w:divBdr>
            </w:div>
            <w:div w:id="576787636">
              <w:marLeft w:val="0"/>
              <w:marRight w:val="0"/>
              <w:marTop w:val="0"/>
              <w:marBottom w:val="0"/>
              <w:divBdr>
                <w:top w:val="none" w:sz="0" w:space="0" w:color="auto"/>
                <w:left w:val="none" w:sz="0" w:space="0" w:color="auto"/>
                <w:bottom w:val="none" w:sz="0" w:space="0" w:color="auto"/>
                <w:right w:val="none" w:sz="0" w:space="0" w:color="auto"/>
              </w:divBdr>
            </w:div>
            <w:div w:id="979581641">
              <w:marLeft w:val="0"/>
              <w:marRight w:val="0"/>
              <w:marTop w:val="0"/>
              <w:marBottom w:val="0"/>
              <w:divBdr>
                <w:top w:val="none" w:sz="0" w:space="0" w:color="auto"/>
                <w:left w:val="none" w:sz="0" w:space="0" w:color="auto"/>
                <w:bottom w:val="none" w:sz="0" w:space="0" w:color="auto"/>
                <w:right w:val="none" w:sz="0" w:space="0" w:color="auto"/>
              </w:divBdr>
            </w:div>
            <w:div w:id="1138957005">
              <w:marLeft w:val="0"/>
              <w:marRight w:val="0"/>
              <w:marTop w:val="0"/>
              <w:marBottom w:val="0"/>
              <w:divBdr>
                <w:top w:val="none" w:sz="0" w:space="0" w:color="auto"/>
                <w:left w:val="none" w:sz="0" w:space="0" w:color="auto"/>
                <w:bottom w:val="none" w:sz="0" w:space="0" w:color="auto"/>
                <w:right w:val="none" w:sz="0" w:space="0" w:color="auto"/>
              </w:divBdr>
            </w:div>
            <w:div w:id="886768665">
              <w:marLeft w:val="0"/>
              <w:marRight w:val="0"/>
              <w:marTop w:val="0"/>
              <w:marBottom w:val="0"/>
              <w:divBdr>
                <w:top w:val="none" w:sz="0" w:space="0" w:color="auto"/>
                <w:left w:val="none" w:sz="0" w:space="0" w:color="auto"/>
                <w:bottom w:val="none" w:sz="0" w:space="0" w:color="auto"/>
                <w:right w:val="none" w:sz="0" w:space="0" w:color="auto"/>
              </w:divBdr>
            </w:div>
            <w:div w:id="984815806">
              <w:marLeft w:val="0"/>
              <w:marRight w:val="0"/>
              <w:marTop w:val="0"/>
              <w:marBottom w:val="0"/>
              <w:divBdr>
                <w:top w:val="none" w:sz="0" w:space="0" w:color="auto"/>
                <w:left w:val="none" w:sz="0" w:space="0" w:color="auto"/>
                <w:bottom w:val="none" w:sz="0" w:space="0" w:color="auto"/>
                <w:right w:val="none" w:sz="0" w:space="0" w:color="auto"/>
              </w:divBdr>
            </w:div>
            <w:div w:id="925500071">
              <w:marLeft w:val="0"/>
              <w:marRight w:val="0"/>
              <w:marTop w:val="0"/>
              <w:marBottom w:val="0"/>
              <w:divBdr>
                <w:top w:val="none" w:sz="0" w:space="0" w:color="auto"/>
                <w:left w:val="none" w:sz="0" w:space="0" w:color="auto"/>
                <w:bottom w:val="none" w:sz="0" w:space="0" w:color="auto"/>
                <w:right w:val="none" w:sz="0" w:space="0" w:color="auto"/>
              </w:divBdr>
            </w:div>
            <w:div w:id="1050108324">
              <w:marLeft w:val="0"/>
              <w:marRight w:val="0"/>
              <w:marTop w:val="0"/>
              <w:marBottom w:val="0"/>
              <w:divBdr>
                <w:top w:val="none" w:sz="0" w:space="0" w:color="auto"/>
                <w:left w:val="none" w:sz="0" w:space="0" w:color="auto"/>
                <w:bottom w:val="none" w:sz="0" w:space="0" w:color="auto"/>
                <w:right w:val="none" w:sz="0" w:space="0" w:color="auto"/>
              </w:divBdr>
            </w:div>
            <w:div w:id="16780143">
              <w:marLeft w:val="0"/>
              <w:marRight w:val="0"/>
              <w:marTop w:val="0"/>
              <w:marBottom w:val="0"/>
              <w:divBdr>
                <w:top w:val="none" w:sz="0" w:space="0" w:color="auto"/>
                <w:left w:val="none" w:sz="0" w:space="0" w:color="auto"/>
                <w:bottom w:val="none" w:sz="0" w:space="0" w:color="auto"/>
                <w:right w:val="none" w:sz="0" w:space="0" w:color="auto"/>
              </w:divBdr>
            </w:div>
            <w:div w:id="897326479">
              <w:marLeft w:val="0"/>
              <w:marRight w:val="0"/>
              <w:marTop w:val="0"/>
              <w:marBottom w:val="0"/>
              <w:divBdr>
                <w:top w:val="none" w:sz="0" w:space="0" w:color="auto"/>
                <w:left w:val="none" w:sz="0" w:space="0" w:color="auto"/>
                <w:bottom w:val="none" w:sz="0" w:space="0" w:color="auto"/>
                <w:right w:val="none" w:sz="0" w:space="0" w:color="auto"/>
              </w:divBdr>
            </w:div>
            <w:div w:id="342634826">
              <w:marLeft w:val="0"/>
              <w:marRight w:val="0"/>
              <w:marTop w:val="0"/>
              <w:marBottom w:val="0"/>
              <w:divBdr>
                <w:top w:val="none" w:sz="0" w:space="0" w:color="auto"/>
                <w:left w:val="none" w:sz="0" w:space="0" w:color="auto"/>
                <w:bottom w:val="none" w:sz="0" w:space="0" w:color="auto"/>
                <w:right w:val="none" w:sz="0" w:space="0" w:color="auto"/>
              </w:divBdr>
            </w:div>
            <w:div w:id="11685138">
              <w:marLeft w:val="0"/>
              <w:marRight w:val="0"/>
              <w:marTop w:val="0"/>
              <w:marBottom w:val="0"/>
              <w:divBdr>
                <w:top w:val="none" w:sz="0" w:space="0" w:color="auto"/>
                <w:left w:val="none" w:sz="0" w:space="0" w:color="auto"/>
                <w:bottom w:val="none" w:sz="0" w:space="0" w:color="auto"/>
                <w:right w:val="none" w:sz="0" w:space="0" w:color="auto"/>
              </w:divBdr>
            </w:div>
            <w:div w:id="1070419129">
              <w:marLeft w:val="0"/>
              <w:marRight w:val="0"/>
              <w:marTop w:val="0"/>
              <w:marBottom w:val="0"/>
              <w:divBdr>
                <w:top w:val="none" w:sz="0" w:space="0" w:color="auto"/>
                <w:left w:val="none" w:sz="0" w:space="0" w:color="auto"/>
                <w:bottom w:val="none" w:sz="0" w:space="0" w:color="auto"/>
                <w:right w:val="none" w:sz="0" w:space="0" w:color="auto"/>
              </w:divBdr>
            </w:div>
            <w:div w:id="1924336081">
              <w:marLeft w:val="0"/>
              <w:marRight w:val="0"/>
              <w:marTop w:val="0"/>
              <w:marBottom w:val="0"/>
              <w:divBdr>
                <w:top w:val="none" w:sz="0" w:space="0" w:color="auto"/>
                <w:left w:val="none" w:sz="0" w:space="0" w:color="auto"/>
                <w:bottom w:val="none" w:sz="0" w:space="0" w:color="auto"/>
                <w:right w:val="none" w:sz="0" w:space="0" w:color="auto"/>
              </w:divBdr>
            </w:div>
            <w:div w:id="438186211">
              <w:marLeft w:val="0"/>
              <w:marRight w:val="0"/>
              <w:marTop w:val="0"/>
              <w:marBottom w:val="0"/>
              <w:divBdr>
                <w:top w:val="none" w:sz="0" w:space="0" w:color="auto"/>
                <w:left w:val="none" w:sz="0" w:space="0" w:color="auto"/>
                <w:bottom w:val="none" w:sz="0" w:space="0" w:color="auto"/>
                <w:right w:val="none" w:sz="0" w:space="0" w:color="auto"/>
              </w:divBdr>
            </w:div>
            <w:div w:id="151147484">
              <w:marLeft w:val="0"/>
              <w:marRight w:val="0"/>
              <w:marTop w:val="0"/>
              <w:marBottom w:val="0"/>
              <w:divBdr>
                <w:top w:val="none" w:sz="0" w:space="0" w:color="auto"/>
                <w:left w:val="none" w:sz="0" w:space="0" w:color="auto"/>
                <w:bottom w:val="none" w:sz="0" w:space="0" w:color="auto"/>
                <w:right w:val="none" w:sz="0" w:space="0" w:color="auto"/>
              </w:divBdr>
            </w:div>
            <w:div w:id="1366903427">
              <w:marLeft w:val="0"/>
              <w:marRight w:val="0"/>
              <w:marTop w:val="0"/>
              <w:marBottom w:val="0"/>
              <w:divBdr>
                <w:top w:val="none" w:sz="0" w:space="0" w:color="auto"/>
                <w:left w:val="none" w:sz="0" w:space="0" w:color="auto"/>
                <w:bottom w:val="none" w:sz="0" w:space="0" w:color="auto"/>
                <w:right w:val="none" w:sz="0" w:space="0" w:color="auto"/>
              </w:divBdr>
            </w:div>
            <w:div w:id="876090298">
              <w:marLeft w:val="0"/>
              <w:marRight w:val="0"/>
              <w:marTop w:val="0"/>
              <w:marBottom w:val="0"/>
              <w:divBdr>
                <w:top w:val="none" w:sz="0" w:space="0" w:color="auto"/>
                <w:left w:val="none" w:sz="0" w:space="0" w:color="auto"/>
                <w:bottom w:val="none" w:sz="0" w:space="0" w:color="auto"/>
                <w:right w:val="none" w:sz="0" w:space="0" w:color="auto"/>
              </w:divBdr>
            </w:div>
            <w:div w:id="1502744281">
              <w:marLeft w:val="0"/>
              <w:marRight w:val="0"/>
              <w:marTop w:val="0"/>
              <w:marBottom w:val="0"/>
              <w:divBdr>
                <w:top w:val="none" w:sz="0" w:space="0" w:color="auto"/>
                <w:left w:val="none" w:sz="0" w:space="0" w:color="auto"/>
                <w:bottom w:val="none" w:sz="0" w:space="0" w:color="auto"/>
                <w:right w:val="none" w:sz="0" w:space="0" w:color="auto"/>
              </w:divBdr>
            </w:div>
            <w:div w:id="653484949">
              <w:marLeft w:val="0"/>
              <w:marRight w:val="0"/>
              <w:marTop w:val="0"/>
              <w:marBottom w:val="0"/>
              <w:divBdr>
                <w:top w:val="none" w:sz="0" w:space="0" w:color="auto"/>
                <w:left w:val="none" w:sz="0" w:space="0" w:color="auto"/>
                <w:bottom w:val="none" w:sz="0" w:space="0" w:color="auto"/>
                <w:right w:val="none" w:sz="0" w:space="0" w:color="auto"/>
              </w:divBdr>
            </w:div>
            <w:div w:id="2107845973">
              <w:marLeft w:val="0"/>
              <w:marRight w:val="0"/>
              <w:marTop w:val="0"/>
              <w:marBottom w:val="0"/>
              <w:divBdr>
                <w:top w:val="none" w:sz="0" w:space="0" w:color="auto"/>
                <w:left w:val="none" w:sz="0" w:space="0" w:color="auto"/>
                <w:bottom w:val="none" w:sz="0" w:space="0" w:color="auto"/>
                <w:right w:val="none" w:sz="0" w:space="0" w:color="auto"/>
              </w:divBdr>
            </w:div>
            <w:div w:id="1019431211">
              <w:marLeft w:val="0"/>
              <w:marRight w:val="0"/>
              <w:marTop w:val="0"/>
              <w:marBottom w:val="0"/>
              <w:divBdr>
                <w:top w:val="none" w:sz="0" w:space="0" w:color="auto"/>
                <w:left w:val="none" w:sz="0" w:space="0" w:color="auto"/>
                <w:bottom w:val="none" w:sz="0" w:space="0" w:color="auto"/>
                <w:right w:val="none" w:sz="0" w:space="0" w:color="auto"/>
              </w:divBdr>
            </w:div>
            <w:div w:id="435445333">
              <w:marLeft w:val="0"/>
              <w:marRight w:val="0"/>
              <w:marTop w:val="0"/>
              <w:marBottom w:val="0"/>
              <w:divBdr>
                <w:top w:val="none" w:sz="0" w:space="0" w:color="auto"/>
                <w:left w:val="none" w:sz="0" w:space="0" w:color="auto"/>
                <w:bottom w:val="none" w:sz="0" w:space="0" w:color="auto"/>
                <w:right w:val="none" w:sz="0" w:space="0" w:color="auto"/>
              </w:divBdr>
            </w:div>
            <w:div w:id="235020483">
              <w:marLeft w:val="0"/>
              <w:marRight w:val="0"/>
              <w:marTop w:val="0"/>
              <w:marBottom w:val="0"/>
              <w:divBdr>
                <w:top w:val="none" w:sz="0" w:space="0" w:color="auto"/>
                <w:left w:val="none" w:sz="0" w:space="0" w:color="auto"/>
                <w:bottom w:val="none" w:sz="0" w:space="0" w:color="auto"/>
                <w:right w:val="none" w:sz="0" w:space="0" w:color="auto"/>
              </w:divBdr>
            </w:div>
            <w:div w:id="1842698452">
              <w:marLeft w:val="0"/>
              <w:marRight w:val="0"/>
              <w:marTop w:val="0"/>
              <w:marBottom w:val="0"/>
              <w:divBdr>
                <w:top w:val="none" w:sz="0" w:space="0" w:color="auto"/>
                <w:left w:val="none" w:sz="0" w:space="0" w:color="auto"/>
                <w:bottom w:val="none" w:sz="0" w:space="0" w:color="auto"/>
                <w:right w:val="none" w:sz="0" w:space="0" w:color="auto"/>
              </w:divBdr>
            </w:div>
            <w:div w:id="1348218954">
              <w:marLeft w:val="0"/>
              <w:marRight w:val="0"/>
              <w:marTop w:val="0"/>
              <w:marBottom w:val="0"/>
              <w:divBdr>
                <w:top w:val="none" w:sz="0" w:space="0" w:color="auto"/>
                <w:left w:val="none" w:sz="0" w:space="0" w:color="auto"/>
                <w:bottom w:val="none" w:sz="0" w:space="0" w:color="auto"/>
                <w:right w:val="none" w:sz="0" w:space="0" w:color="auto"/>
              </w:divBdr>
            </w:div>
            <w:div w:id="447283949">
              <w:marLeft w:val="0"/>
              <w:marRight w:val="0"/>
              <w:marTop w:val="0"/>
              <w:marBottom w:val="0"/>
              <w:divBdr>
                <w:top w:val="none" w:sz="0" w:space="0" w:color="auto"/>
                <w:left w:val="none" w:sz="0" w:space="0" w:color="auto"/>
                <w:bottom w:val="none" w:sz="0" w:space="0" w:color="auto"/>
                <w:right w:val="none" w:sz="0" w:space="0" w:color="auto"/>
              </w:divBdr>
            </w:div>
            <w:div w:id="926035285">
              <w:marLeft w:val="0"/>
              <w:marRight w:val="0"/>
              <w:marTop w:val="0"/>
              <w:marBottom w:val="0"/>
              <w:divBdr>
                <w:top w:val="none" w:sz="0" w:space="0" w:color="auto"/>
                <w:left w:val="none" w:sz="0" w:space="0" w:color="auto"/>
                <w:bottom w:val="none" w:sz="0" w:space="0" w:color="auto"/>
                <w:right w:val="none" w:sz="0" w:space="0" w:color="auto"/>
              </w:divBdr>
            </w:div>
            <w:div w:id="714156424">
              <w:marLeft w:val="0"/>
              <w:marRight w:val="0"/>
              <w:marTop w:val="0"/>
              <w:marBottom w:val="0"/>
              <w:divBdr>
                <w:top w:val="none" w:sz="0" w:space="0" w:color="auto"/>
                <w:left w:val="none" w:sz="0" w:space="0" w:color="auto"/>
                <w:bottom w:val="none" w:sz="0" w:space="0" w:color="auto"/>
                <w:right w:val="none" w:sz="0" w:space="0" w:color="auto"/>
              </w:divBdr>
            </w:div>
            <w:div w:id="1527674252">
              <w:marLeft w:val="0"/>
              <w:marRight w:val="0"/>
              <w:marTop w:val="0"/>
              <w:marBottom w:val="0"/>
              <w:divBdr>
                <w:top w:val="none" w:sz="0" w:space="0" w:color="auto"/>
                <w:left w:val="none" w:sz="0" w:space="0" w:color="auto"/>
                <w:bottom w:val="none" w:sz="0" w:space="0" w:color="auto"/>
                <w:right w:val="none" w:sz="0" w:space="0" w:color="auto"/>
              </w:divBdr>
            </w:div>
            <w:div w:id="626401029">
              <w:marLeft w:val="0"/>
              <w:marRight w:val="0"/>
              <w:marTop w:val="0"/>
              <w:marBottom w:val="0"/>
              <w:divBdr>
                <w:top w:val="none" w:sz="0" w:space="0" w:color="auto"/>
                <w:left w:val="none" w:sz="0" w:space="0" w:color="auto"/>
                <w:bottom w:val="none" w:sz="0" w:space="0" w:color="auto"/>
                <w:right w:val="none" w:sz="0" w:space="0" w:color="auto"/>
              </w:divBdr>
            </w:div>
            <w:div w:id="655456289">
              <w:marLeft w:val="0"/>
              <w:marRight w:val="0"/>
              <w:marTop w:val="0"/>
              <w:marBottom w:val="0"/>
              <w:divBdr>
                <w:top w:val="none" w:sz="0" w:space="0" w:color="auto"/>
                <w:left w:val="none" w:sz="0" w:space="0" w:color="auto"/>
                <w:bottom w:val="none" w:sz="0" w:space="0" w:color="auto"/>
                <w:right w:val="none" w:sz="0" w:space="0" w:color="auto"/>
              </w:divBdr>
            </w:div>
            <w:div w:id="1145001974">
              <w:marLeft w:val="0"/>
              <w:marRight w:val="0"/>
              <w:marTop w:val="0"/>
              <w:marBottom w:val="0"/>
              <w:divBdr>
                <w:top w:val="none" w:sz="0" w:space="0" w:color="auto"/>
                <w:left w:val="none" w:sz="0" w:space="0" w:color="auto"/>
                <w:bottom w:val="none" w:sz="0" w:space="0" w:color="auto"/>
                <w:right w:val="none" w:sz="0" w:space="0" w:color="auto"/>
              </w:divBdr>
            </w:div>
            <w:div w:id="281034413">
              <w:marLeft w:val="0"/>
              <w:marRight w:val="0"/>
              <w:marTop w:val="0"/>
              <w:marBottom w:val="0"/>
              <w:divBdr>
                <w:top w:val="none" w:sz="0" w:space="0" w:color="auto"/>
                <w:left w:val="none" w:sz="0" w:space="0" w:color="auto"/>
                <w:bottom w:val="none" w:sz="0" w:space="0" w:color="auto"/>
                <w:right w:val="none" w:sz="0" w:space="0" w:color="auto"/>
              </w:divBdr>
            </w:div>
            <w:div w:id="212884984">
              <w:marLeft w:val="0"/>
              <w:marRight w:val="0"/>
              <w:marTop w:val="0"/>
              <w:marBottom w:val="0"/>
              <w:divBdr>
                <w:top w:val="none" w:sz="0" w:space="0" w:color="auto"/>
                <w:left w:val="none" w:sz="0" w:space="0" w:color="auto"/>
                <w:bottom w:val="none" w:sz="0" w:space="0" w:color="auto"/>
                <w:right w:val="none" w:sz="0" w:space="0" w:color="auto"/>
              </w:divBdr>
            </w:div>
            <w:div w:id="386805776">
              <w:marLeft w:val="0"/>
              <w:marRight w:val="0"/>
              <w:marTop w:val="0"/>
              <w:marBottom w:val="0"/>
              <w:divBdr>
                <w:top w:val="none" w:sz="0" w:space="0" w:color="auto"/>
                <w:left w:val="none" w:sz="0" w:space="0" w:color="auto"/>
                <w:bottom w:val="none" w:sz="0" w:space="0" w:color="auto"/>
                <w:right w:val="none" w:sz="0" w:space="0" w:color="auto"/>
              </w:divBdr>
            </w:div>
            <w:div w:id="1739787589">
              <w:marLeft w:val="0"/>
              <w:marRight w:val="0"/>
              <w:marTop w:val="0"/>
              <w:marBottom w:val="0"/>
              <w:divBdr>
                <w:top w:val="none" w:sz="0" w:space="0" w:color="auto"/>
                <w:left w:val="none" w:sz="0" w:space="0" w:color="auto"/>
                <w:bottom w:val="none" w:sz="0" w:space="0" w:color="auto"/>
                <w:right w:val="none" w:sz="0" w:space="0" w:color="auto"/>
              </w:divBdr>
            </w:div>
            <w:div w:id="610623686">
              <w:marLeft w:val="0"/>
              <w:marRight w:val="0"/>
              <w:marTop w:val="0"/>
              <w:marBottom w:val="0"/>
              <w:divBdr>
                <w:top w:val="none" w:sz="0" w:space="0" w:color="auto"/>
                <w:left w:val="none" w:sz="0" w:space="0" w:color="auto"/>
                <w:bottom w:val="none" w:sz="0" w:space="0" w:color="auto"/>
                <w:right w:val="none" w:sz="0" w:space="0" w:color="auto"/>
              </w:divBdr>
            </w:div>
            <w:div w:id="975380571">
              <w:marLeft w:val="0"/>
              <w:marRight w:val="0"/>
              <w:marTop w:val="0"/>
              <w:marBottom w:val="0"/>
              <w:divBdr>
                <w:top w:val="none" w:sz="0" w:space="0" w:color="auto"/>
                <w:left w:val="none" w:sz="0" w:space="0" w:color="auto"/>
                <w:bottom w:val="none" w:sz="0" w:space="0" w:color="auto"/>
                <w:right w:val="none" w:sz="0" w:space="0" w:color="auto"/>
              </w:divBdr>
            </w:div>
            <w:div w:id="1476407866">
              <w:marLeft w:val="0"/>
              <w:marRight w:val="0"/>
              <w:marTop w:val="0"/>
              <w:marBottom w:val="0"/>
              <w:divBdr>
                <w:top w:val="none" w:sz="0" w:space="0" w:color="auto"/>
                <w:left w:val="none" w:sz="0" w:space="0" w:color="auto"/>
                <w:bottom w:val="none" w:sz="0" w:space="0" w:color="auto"/>
                <w:right w:val="none" w:sz="0" w:space="0" w:color="auto"/>
              </w:divBdr>
            </w:div>
            <w:div w:id="22099447">
              <w:marLeft w:val="0"/>
              <w:marRight w:val="0"/>
              <w:marTop w:val="0"/>
              <w:marBottom w:val="0"/>
              <w:divBdr>
                <w:top w:val="none" w:sz="0" w:space="0" w:color="auto"/>
                <w:left w:val="none" w:sz="0" w:space="0" w:color="auto"/>
                <w:bottom w:val="none" w:sz="0" w:space="0" w:color="auto"/>
                <w:right w:val="none" w:sz="0" w:space="0" w:color="auto"/>
              </w:divBdr>
            </w:div>
            <w:div w:id="1667124656">
              <w:marLeft w:val="0"/>
              <w:marRight w:val="0"/>
              <w:marTop w:val="0"/>
              <w:marBottom w:val="0"/>
              <w:divBdr>
                <w:top w:val="none" w:sz="0" w:space="0" w:color="auto"/>
                <w:left w:val="none" w:sz="0" w:space="0" w:color="auto"/>
                <w:bottom w:val="none" w:sz="0" w:space="0" w:color="auto"/>
                <w:right w:val="none" w:sz="0" w:space="0" w:color="auto"/>
              </w:divBdr>
            </w:div>
            <w:div w:id="1709330518">
              <w:marLeft w:val="0"/>
              <w:marRight w:val="0"/>
              <w:marTop w:val="0"/>
              <w:marBottom w:val="0"/>
              <w:divBdr>
                <w:top w:val="none" w:sz="0" w:space="0" w:color="auto"/>
                <w:left w:val="none" w:sz="0" w:space="0" w:color="auto"/>
                <w:bottom w:val="none" w:sz="0" w:space="0" w:color="auto"/>
                <w:right w:val="none" w:sz="0" w:space="0" w:color="auto"/>
              </w:divBdr>
            </w:div>
            <w:div w:id="55783596">
              <w:marLeft w:val="0"/>
              <w:marRight w:val="0"/>
              <w:marTop w:val="0"/>
              <w:marBottom w:val="0"/>
              <w:divBdr>
                <w:top w:val="none" w:sz="0" w:space="0" w:color="auto"/>
                <w:left w:val="none" w:sz="0" w:space="0" w:color="auto"/>
                <w:bottom w:val="none" w:sz="0" w:space="0" w:color="auto"/>
                <w:right w:val="none" w:sz="0" w:space="0" w:color="auto"/>
              </w:divBdr>
            </w:div>
            <w:div w:id="1082679194">
              <w:marLeft w:val="0"/>
              <w:marRight w:val="0"/>
              <w:marTop w:val="0"/>
              <w:marBottom w:val="0"/>
              <w:divBdr>
                <w:top w:val="none" w:sz="0" w:space="0" w:color="auto"/>
                <w:left w:val="none" w:sz="0" w:space="0" w:color="auto"/>
                <w:bottom w:val="none" w:sz="0" w:space="0" w:color="auto"/>
                <w:right w:val="none" w:sz="0" w:space="0" w:color="auto"/>
              </w:divBdr>
            </w:div>
            <w:div w:id="921909948">
              <w:marLeft w:val="0"/>
              <w:marRight w:val="0"/>
              <w:marTop w:val="0"/>
              <w:marBottom w:val="0"/>
              <w:divBdr>
                <w:top w:val="none" w:sz="0" w:space="0" w:color="auto"/>
                <w:left w:val="none" w:sz="0" w:space="0" w:color="auto"/>
                <w:bottom w:val="none" w:sz="0" w:space="0" w:color="auto"/>
                <w:right w:val="none" w:sz="0" w:space="0" w:color="auto"/>
              </w:divBdr>
            </w:div>
            <w:div w:id="1256206088">
              <w:marLeft w:val="0"/>
              <w:marRight w:val="0"/>
              <w:marTop w:val="0"/>
              <w:marBottom w:val="0"/>
              <w:divBdr>
                <w:top w:val="none" w:sz="0" w:space="0" w:color="auto"/>
                <w:left w:val="none" w:sz="0" w:space="0" w:color="auto"/>
                <w:bottom w:val="none" w:sz="0" w:space="0" w:color="auto"/>
                <w:right w:val="none" w:sz="0" w:space="0" w:color="auto"/>
              </w:divBdr>
            </w:div>
            <w:div w:id="1841238759">
              <w:marLeft w:val="0"/>
              <w:marRight w:val="0"/>
              <w:marTop w:val="0"/>
              <w:marBottom w:val="0"/>
              <w:divBdr>
                <w:top w:val="none" w:sz="0" w:space="0" w:color="auto"/>
                <w:left w:val="none" w:sz="0" w:space="0" w:color="auto"/>
                <w:bottom w:val="none" w:sz="0" w:space="0" w:color="auto"/>
                <w:right w:val="none" w:sz="0" w:space="0" w:color="auto"/>
              </w:divBdr>
            </w:div>
            <w:div w:id="1106728241">
              <w:marLeft w:val="0"/>
              <w:marRight w:val="0"/>
              <w:marTop w:val="0"/>
              <w:marBottom w:val="0"/>
              <w:divBdr>
                <w:top w:val="none" w:sz="0" w:space="0" w:color="auto"/>
                <w:left w:val="none" w:sz="0" w:space="0" w:color="auto"/>
                <w:bottom w:val="none" w:sz="0" w:space="0" w:color="auto"/>
                <w:right w:val="none" w:sz="0" w:space="0" w:color="auto"/>
              </w:divBdr>
            </w:div>
            <w:div w:id="1278366035">
              <w:marLeft w:val="0"/>
              <w:marRight w:val="0"/>
              <w:marTop w:val="0"/>
              <w:marBottom w:val="0"/>
              <w:divBdr>
                <w:top w:val="none" w:sz="0" w:space="0" w:color="auto"/>
                <w:left w:val="none" w:sz="0" w:space="0" w:color="auto"/>
                <w:bottom w:val="none" w:sz="0" w:space="0" w:color="auto"/>
                <w:right w:val="none" w:sz="0" w:space="0" w:color="auto"/>
              </w:divBdr>
            </w:div>
            <w:div w:id="1887259743">
              <w:marLeft w:val="0"/>
              <w:marRight w:val="0"/>
              <w:marTop w:val="0"/>
              <w:marBottom w:val="0"/>
              <w:divBdr>
                <w:top w:val="none" w:sz="0" w:space="0" w:color="auto"/>
                <w:left w:val="none" w:sz="0" w:space="0" w:color="auto"/>
                <w:bottom w:val="none" w:sz="0" w:space="0" w:color="auto"/>
                <w:right w:val="none" w:sz="0" w:space="0" w:color="auto"/>
              </w:divBdr>
            </w:div>
            <w:div w:id="150603952">
              <w:marLeft w:val="0"/>
              <w:marRight w:val="0"/>
              <w:marTop w:val="0"/>
              <w:marBottom w:val="0"/>
              <w:divBdr>
                <w:top w:val="none" w:sz="0" w:space="0" w:color="auto"/>
                <w:left w:val="none" w:sz="0" w:space="0" w:color="auto"/>
                <w:bottom w:val="none" w:sz="0" w:space="0" w:color="auto"/>
                <w:right w:val="none" w:sz="0" w:space="0" w:color="auto"/>
              </w:divBdr>
            </w:div>
            <w:div w:id="1686400857">
              <w:marLeft w:val="0"/>
              <w:marRight w:val="0"/>
              <w:marTop w:val="0"/>
              <w:marBottom w:val="0"/>
              <w:divBdr>
                <w:top w:val="none" w:sz="0" w:space="0" w:color="auto"/>
                <w:left w:val="none" w:sz="0" w:space="0" w:color="auto"/>
                <w:bottom w:val="none" w:sz="0" w:space="0" w:color="auto"/>
                <w:right w:val="none" w:sz="0" w:space="0" w:color="auto"/>
              </w:divBdr>
            </w:div>
            <w:div w:id="1123889306">
              <w:marLeft w:val="0"/>
              <w:marRight w:val="0"/>
              <w:marTop w:val="0"/>
              <w:marBottom w:val="0"/>
              <w:divBdr>
                <w:top w:val="none" w:sz="0" w:space="0" w:color="auto"/>
                <w:left w:val="none" w:sz="0" w:space="0" w:color="auto"/>
                <w:bottom w:val="none" w:sz="0" w:space="0" w:color="auto"/>
                <w:right w:val="none" w:sz="0" w:space="0" w:color="auto"/>
              </w:divBdr>
            </w:div>
            <w:div w:id="558708616">
              <w:marLeft w:val="0"/>
              <w:marRight w:val="0"/>
              <w:marTop w:val="0"/>
              <w:marBottom w:val="0"/>
              <w:divBdr>
                <w:top w:val="none" w:sz="0" w:space="0" w:color="auto"/>
                <w:left w:val="none" w:sz="0" w:space="0" w:color="auto"/>
                <w:bottom w:val="none" w:sz="0" w:space="0" w:color="auto"/>
                <w:right w:val="none" w:sz="0" w:space="0" w:color="auto"/>
              </w:divBdr>
            </w:div>
            <w:div w:id="1960986932">
              <w:marLeft w:val="0"/>
              <w:marRight w:val="0"/>
              <w:marTop w:val="0"/>
              <w:marBottom w:val="0"/>
              <w:divBdr>
                <w:top w:val="none" w:sz="0" w:space="0" w:color="auto"/>
                <w:left w:val="none" w:sz="0" w:space="0" w:color="auto"/>
                <w:bottom w:val="none" w:sz="0" w:space="0" w:color="auto"/>
                <w:right w:val="none" w:sz="0" w:space="0" w:color="auto"/>
              </w:divBdr>
            </w:div>
            <w:div w:id="2075273465">
              <w:marLeft w:val="0"/>
              <w:marRight w:val="0"/>
              <w:marTop w:val="0"/>
              <w:marBottom w:val="0"/>
              <w:divBdr>
                <w:top w:val="none" w:sz="0" w:space="0" w:color="auto"/>
                <w:left w:val="none" w:sz="0" w:space="0" w:color="auto"/>
                <w:bottom w:val="none" w:sz="0" w:space="0" w:color="auto"/>
                <w:right w:val="none" w:sz="0" w:space="0" w:color="auto"/>
              </w:divBdr>
            </w:div>
            <w:div w:id="1653292333">
              <w:marLeft w:val="0"/>
              <w:marRight w:val="0"/>
              <w:marTop w:val="0"/>
              <w:marBottom w:val="0"/>
              <w:divBdr>
                <w:top w:val="none" w:sz="0" w:space="0" w:color="auto"/>
                <w:left w:val="none" w:sz="0" w:space="0" w:color="auto"/>
                <w:bottom w:val="none" w:sz="0" w:space="0" w:color="auto"/>
                <w:right w:val="none" w:sz="0" w:space="0" w:color="auto"/>
              </w:divBdr>
            </w:div>
            <w:div w:id="2051031707">
              <w:marLeft w:val="0"/>
              <w:marRight w:val="0"/>
              <w:marTop w:val="0"/>
              <w:marBottom w:val="0"/>
              <w:divBdr>
                <w:top w:val="none" w:sz="0" w:space="0" w:color="auto"/>
                <w:left w:val="none" w:sz="0" w:space="0" w:color="auto"/>
                <w:bottom w:val="none" w:sz="0" w:space="0" w:color="auto"/>
                <w:right w:val="none" w:sz="0" w:space="0" w:color="auto"/>
              </w:divBdr>
            </w:div>
            <w:div w:id="1644115448">
              <w:marLeft w:val="0"/>
              <w:marRight w:val="0"/>
              <w:marTop w:val="0"/>
              <w:marBottom w:val="0"/>
              <w:divBdr>
                <w:top w:val="none" w:sz="0" w:space="0" w:color="auto"/>
                <w:left w:val="none" w:sz="0" w:space="0" w:color="auto"/>
                <w:bottom w:val="none" w:sz="0" w:space="0" w:color="auto"/>
                <w:right w:val="none" w:sz="0" w:space="0" w:color="auto"/>
              </w:divBdr>
            </w:div>
            <w:div w:id="181552486">
              <w:marLeft w:val="0"/>
              <w:marRight w:val="0"/>
              <w:marTop w:val="0"/>
              <w:marBottom w:val="0"/>
              <w:divBdr>
                <w:top w:val="none" w:sz="0" w:space="0" w:color="auto"/>
                <w:left w:val="none" w:sz="0" w:space="0" w:color="auto"/>
                <w:bottom w:val="none" w:sz="0" w:space="0" w:color="auto"/>
                <w:right w:val="none" w:sz="0" w:space="0" w:color="auto"/>
              </w:divBdr>
            </w:div>
            <w:div w:id="1722705231">
              <w:marLeft w:val="0"/>
              <w:marRight w:val="0"/>
              <w:marTop w:val="0"/>
              <w:marBottom w:val="0"/>
              <w:divBdr>
                <w:top w:val="none" w:sz="0" w:space="0" w:color="auto"/>
                <w:left w:val="none" w:sz="0" w:space="0" w:color="auto"/>
                <w:bottom w:val="none" w:sz="0" w:space="0" w:color="auto"/>
                <w:right w:val="none" w:sz="0" w:space="0" w:color="auto"/>
              </w:divBdr>
            </w:div>
            <w:div w:id="819007646">
              <w:marLeft w:val="0"/>
              <w:marRight w:val="0"/>
              <w:marTop w:val="0"/>
              <w:marBottom w:val="0"/>
              <w:divBdr>
                <w:top w:val="none" w:sz="0" w:space="0" w:color="auto"/>
                <w:left w:val="none" w:sz="0" w:space="0" w:color="auto"/>
                <w:bottom w:val="none" w:sz="0" w:space="0" w:color="auto"/>
                <w:right w:val="none" w:sz="0" w:space="0" w:color="auto"/>
              </w:divBdr>
            </w:div>
            <w:div w:id="2062359954">
              <w:marLeft w:val="0"/>
              <w:marRight w:val="0"/>
              <w:marTop w:val="0"/>
              <w:marBottom w:val="0"/>
              <w:divBdr>
                <w:top w:val="none" w:sz="0" w:space="0" w:color="auto"/>
                <w:left w:val="none" w:sz="0" w:space="0" w:color="auto"/>
                <w:bottom w:val="none" w:sz="0" w:space="0" w:color="auto"/>
                <w:right w:val="none" w:sz="0" w:space="0" w:color="auto"/>
              </w:divBdr>
            </w:div>
            <w:div w:id="2031299705">
              <w:marLeft w:val="0"/>
              <w:marRight w:val="0"/>
              <w:marTop w:val="0"/>
              <w:marBottom w:val="0"/>
              <w:divBdr>
                <w:top w:val="none" w:sz="0" w:space="0" w:color="auto"/>
                <w:left w:val="none" w:sz="0" w:space="0" w:color="auto"/>
                <w:bottom w:val="none" w:sz="0" w:space="0" w:color="auto"/>
                <w:right w:val="none" w:sz="0" w:space="0" w:color="auto"/>
              </w:divBdr>
            </w:div>
            <w:div w:id="1108702274">
              <w:marLeft w:val="0"/>
              <w:marRight w:val="0"/>
              <w:marTop w:val="0"/>
              <w:marBottom w:val="0"/>
              <w:divBdr>
                <w:top w:val="none" w:sz="0" w:space="0" w:color="auto"/>
                <w:left w:val="none" w:sz="0" w:space="0" w:color="auto"/>
                <w:bottom w:val="none" w:sz="0" w:space="0" w:color="auto"/>
                <w:right w:val="none" w:sz="0" w:space="0" w:color="auto"/>
              </w:divBdr>
            </w:div>
            <w:div w:id="932055423">
              <w:marLeft w:val="0"/>
              <w:marRight w:val="0"/>
              <w:marTop w:val="0"/>
              <w:marBottom w:val="0"/>
              <w:divBdr>
                <w:top w:val="none" w:sz="0" w:space="0" w:color="auto"/>
                <w:left w:val="none" w:sz="0" w:space="0" w:color="auto"/>
                <w:bottom w:val="none" w:sz="0" w:space="0" w:color="auto"/>
                <w:right w:val="none" w:sz="0" w:space="0" w:color="auto"/>
              </w:divBdr>
            </w:div>
            <w:div w:id="1287538673">
              <w:marLeft w:val="0"/>
              <w:marRight w:val="0"/>
              <w:marTop w:val="0"/>
              <w:marBottom w:val="0"/>
              <w:divBdr>
                <w:top w:val="none" w:sz="0" w:space="0" w:color="auto"/>
                <w:left w:val="none" w:sz="0" w:space="0" w:color="auto"/>
                <w:bottom w:val="none" w:sz="0" w:space="0" w:color="auto"/>
                <w:right w:val="none" w:sz="0" w:space="0" w:color="auto"/>
              </w:divBdr>
            </w:div>
            <w:div w:id="225916477">
              <w:marLeft w:val="0"/>
              <w:marRight w:val="0"/>
              <w:marTop w:val="0"/>
              <w:marBottom w:val="0"/>
              <w:divBdr>
                <w:top w:val="none" w:sz="0" w:space="0" w:color="auto"/>
                <w:left w:val="none" w:sz="0" w:space="0" w:color="auto"/>
                <w:bottom w:val="none" w:sz="0" w:space="0" w:color="auto"/>
                <w:right w:val="none" w:sz="0" w:space="0" w:color="auto"/>
              </w:divBdr>
            </w:div>
            <w:div w:id="1252813976">
              <w:marLeft w:val="0"/>
              <w:marRight w:val="0"/>
              <w:marTop w:val="0"/>
              <w:marBottom w:val="0"/>
              <w:divBdr>
                <w:top w:val="none" w:sz="0" w:space="0" w:color="auto"/>
                <w:left w:val="none" w:sz="0" w:space="0" w:color="auto"/>
                <w:bottom w:val="none" w:sz="0" w:space="0" w:color="auto"/>
                <w:right w:val="none" w:sz="0" w:space="0" w:color="auto"/>
              </w:divBdr>
            </w:div>
            <w:div w:id="967513180">
              <w:marLeft w:val="0"/>
              <w:marRight w:val="0"/>
              <w:marTop w:val="0"/>
              <w:marBottom w:val="0"/>
              <w:divBdr>
                <w:top w:val="none" w:sz="0" w:space="0" w:color="auto"/>
                <w:left w:val="none" w:sz="0" w:space="0" w:color="auto"/>
                <w:bottom w:val="none" w:sz="0" w:space="0" w:color="auto"/>
                <w:right w:val="none" w:sz="0" w:space="0" w:color="auto"/>
              </w:divBdr>
            </w:div>
            <w:div w:id="665596922">
              <w:marLeft w:val="0"/>
              <w:marRight w:val="0"/>
              <w:marTop w:val="0"/>
              <w:marBottom w:val="0"/>
              <w:divBdr>
                <w:top w:val="none" w:sz="0" w:space="0" w:color="auto"/>
                <w:left w:val="none" w:sz="0" w:space="0" w:color="auto"/>
                <w:bottom w:val="none" w:sz="0" w:space="0" w:color="auto"/>
                <w:right w:val="none" w:sz="0" w:space="0" w:color="auto"/>
              </w:divBdr>
            </w:div>
            <w:div w:id="605425048">
              <w:marLeft w:val="0"/>
              <w:marRight w:val="0"/>
              <w:marTop w:val="0"/>
              <w:marBottom w:val="0"/>
              <w:divBdr>
                <w:top w:val="none" w:sz="0" w:space="0" w:color="auto"/>
                <w:left w:val="none" w:sz="0" w:space="0" w:color="auto"/>
                <w:bottom w:val="none" w:sz="0" w:space="0" w:color="auto"/>
                <w:right w:val="none" w:sz="0" w:space="0" w:color="auto"/>
              </w:divBdr>
            </w:div>
            <w:div w:id="342127898">
              <w:marLeft w:val="0"/>
              <w:marRight w:val="0"/>
              <w:marTop w:val="0"/>
              <w:marBottom w:val="0"/>
              <w:divBdr>
                <w:top w:val="none" w:sz="0" w:space="0" w:color="auto"/>
                <w:left w:val="none" w:sz="0" w:space="0" w:color="auto"/>
                <w:bottom w:val="none" w:sz="0" w:space="0" w:color="auto"/>
                <w:right w:val="none" w:sz="0" w:space="0" w:color="auto"/>
              </w:divBdr>
            </w:div>
            <w:div w:id="62677384">
              <w:marLeft w:val="0"/>
              <w:marRight w:val="0"/>
              <w:marTop w:val="0"/>
              <w:marBottom w:val="0"/>
              <w:divBdr>
                <w:top w:val="none" w:sz="0" w:space="0" w:color="auto"/>
                <w:left w:val="none" w:sz="0" w:space="0" w:color="auto"/>
                <w:bottom w:val="none" w:sz="0" w:space="0" w:color="auto"/>
                <w:right w:val="none" w:sz="0" w:space="0" w:color="auto"/>
              </w:divBdr>
            </w:div>
            <w:div w:id="1188718344">
              <w:marLeft w:val="0"/>
              <w:marRight w:val="0"/>
              <w:marTop w:val="0"/>
              <w:marBottom w:val="0"/>
              <w:divBdr>
                <w:top w:val="none" w:sz="0" w:space="0" w:color="auto"/>
                <w:left w:val="none" w:sz="0" w:space="0" w:color="auto"/>
                <w:bottom w:val="none" w:sz="0" w:space="0" w:color="auto"/>
                <w:right w:val="none" w:sz="0" w:space="0" w:color="auto"/>
              </w:divBdr>
            </w:div>
            <w:div w:id="1287003188">
              <w:marLeft w:val="0"/>
              <w:marRight w:val="0"/>
              <w:marTop w:val="0"/>
              <w:marBottom w:val="0"/>
              <w:divBdr>
                <w:top w:val="none" w:sz="0" w:space="0" w:color="auto"/>
                <w:left w:val="none" w:sz="0" w:space="0" w:color="auto"/>
                <w:bottom w:val="none" w:sz="0" w:space="0" w:color="auto"/>
                <w:right w:val="none" w:sz="0" w:space="0" w:color="auto"/>
              </w:divBdr>
            </w:div>
            <w:div w:id="1955016685">
              <w:marLeft w:val="0"/>
              <w:marRight w:val="0"/>
              <w:marTop w:val="0"/>
              <w:marBottom w:val="0"/>
              <w:divBdr>
                <w:top w:val="none" w:sz="0" w:space="0" w:color="auto"/>
                <w:left w:val="none" w:sz="0" w:space="0" w:color="auto"/>
                <w:bottom w:val="none" w:sz="0" w:space="0" w:color="auto"/>
                <w:right w:val="none" w:sz="0" w:space="0" w:color="auto"/>
              </w:divBdr>
            </w:div>
            <w:div w:id="880361562">
              <w:marLeft w:val="0"/>
              <w:marRight w:val="0"/>
              <w:marTop w:val="0"/>
              <w:marBottom w:val="0"/>
              <w:divBdr>
                <w:top w:val="none" w:sz="0" w:space="0" w:color="auto"/>
                <w:left w:val="none" w:sz="0" w:space="0" w:color="auto"/>
                <w:bottom w:val="none" w:sz="0" w:space="0" w:color="auto"/>
                <w:right w:val="none" w:sz="0" w:space="0" w:color="auto"/>
              </w:divBdr>
            </w:div>
            <w:div w:id="1462730629">
              <w:marLeft w:val="0"/>
              <w:marRight w:val="0"/>
              <w:marTop w:val="0"/>
              <w:marBottom w:val="0"/>
              <w:divBdr>
                <w:top w:val="none" w:sz="0" w:space="0" w:color="auto"/>
                <w:left w:val="none" w:sz="0" w:space="0" w:color="auto"/>
                <w:bottom w:val="none" w:sz="0" w:space="0" w:color="auto"/>
                <w:right w:val="none" w:sz="0" w:space="0" w:color="auto"/>
              </w:divBdr>
            </w:div>
            <w:div w:id="1290667505">
              <w:marLeft w:val="0"/>
              <w:marRight w:val="0"/>
              <w:marTop w:val="0"/>
              <w:marBottom w:val="0"/>
              <w:divBdr>
                <w:top w:val="none" w:sz="0" w:space="0" w:color="auto"/>
                <w:left w:val="none" w:sz="0" w:space="0" w:color="auto"/>
                <w:bottom w:val="none" w:sz="0" w:space="0" w:color="auto"/>
                <w:right w:val="none" w:sz="0" w:space="0" w:color="auto"/>
              </w:divBdr>
            </w:div>
            <w:div w:id="1875606528">
              <w:marLeft w:val="0"/>
              <w:marRight w:val="0"/>
              <w:marTop w:val="0"/>
              <w:marBottom w:val="0"/>
              <w:divBdr>
                <w:top w:val="none" w:sz="0" w:space="0" w:color="auto"/>
                <w:left w:val="none" w:sz="0" w:space="0" w:color="auto"/>
                <w:bottom w:val="none" w:sz="0" w:space="0" w:color="auto"/>
                <w:right w:val="none" w:sz="0" w:space="0" w:color="auto"/>
              </w:divBdr>
            </w:div>
            <w:div w:id="719522993">
              <w:marLeft w:val="0"/>
              <w:marRight w:val="0"/>
              <w:marTop w:val="0"/>
              <w:marBottom w:val="0"/>
              <w:divBdr>
                <w:top w:val="none" w:sz="0" w:space="0" w:color="auto"/>
                <w:left w:val="none" w:sz="0" w:space="0" w:color="auto"/>
                <w:bottom w:val="none" w:sz="0" w:space="0" w:color="auto"/>
                <w:right w:val="none" w:sz="0" w:space="0" w:color="auto"/>
              </w:divBdr>
            </w:div>
            <w:div w:id="1937783780">
              <w:marLeft w:val="0"/>
              <w:marRight w:val="0"/>
              <w:marTop w:val="0"/>
              <w:marBottom w:val="0"/>
              <w:divBdr>
                <w:top w:val="none" w:sz="0" w:space="0" w:color="auto"/>
                <w:left w:val="none" w:sz="0" w:space="0" w:color="auto"/>
                <w:bottom w:val="none" w:sz="0" w:space="0" w:color="auto"/>
                <w:right w:val="none" w:sz="0" w:space="0" w:color="auto"/>
              </w:divBdr>
            </w:div>
            <w:div w:id="725101814">
              <w:marLeft w:val="0"/>
              <w:marRight w:val="0"/>
              <w:marTop w:val="0"/>
              <w:marBottom w:val="0"/>
              <w:divBdr>
                <w:top w:val="none" w:sz="0" w:space="0" w:color="auto"/>
                <w:left w:val="none" w:sz="0" w:space="0" w:color="auto"/>
                <w:bottom w:val="none" w:sz="0" w:space="0" w:color="auto"/>
                <w:right w:val="none" w:sz="0" w:space="0" w:color="auto"/>
              </w:divBdr>
            </w:div>
            <w:div w:id="2013530489">
              <w:marLeft w:val="0"/>
              <w:marRight w:val="0"/>
              <w:marTop w:val="0"/>
              <w:marBottom w:val="0"/>
              <w:divBdr>
                <w:top w:val="none" w:sz="0" w:space="0" w:color="auto"/>
                <w:left w:val="none" w:sz="0" w:space="0" w:color="auto"/>
                <w:bottom w:val="none" w:sz="0" w:space="0" w:color="auto"/>
                <w:right w:val="none" w:sz="0" w:space="0" w:color="auto"/>
              </w:divBdr>
            </w:div>
            <w:div w:id="2006132044">
              <w:marLeft w:val="0"/>
              <w:marRight w:val="0"/>
              <w:marTop w:val="0"/>
              <w:marBottom w:val="0"/>
              <w:divBdr>
                <w:top w:val="none" w:sz="0" w:space="0" w:color="auto"/>
                <w:left w:val="none" w:sz="0" w:space="0" w:color="auto"/>
                <w:bottom w:val="none" w:sz="0" w:space="0" w:color="auto"/>
                <w:right w:val="none" w:sz="0" w:space="0" w:color="auto"/>
              </w:divBdr>
            </w:div>
            <w:div w:id="1560558024">
              <w:marLeft w:val="0"/>
              <w:marRight w:val="0"/>
              <w:marTop w:val="0"/>
              <w:marBottom w:val="0"/>
              <w:divBdr>
                <w:top w:val="none" w:sz="0" w:space="0" w:color="auto"/>
                <w:left w:val="none" w:sz="0" w:space="0" w:color="auto"/>
                <w:bottom w:val="none" w:sz="0" w:space="0" w:color="auto"/>
                <w:right w:val="none" w:sz="0" w:space="0" w:color="auto"/>
              </w:divBdr>
            </w:div>
            <w:div w:id="947347618">
              <w:marLeft w:val="0"/>
              <w:marRight w:val="0"/>
              <w:marTop w:val="0"/>
              <w:marBottom w:val="0"/>
              <w:divBdr>
                <w:top w:val="none" w:sz="0" w:space="0" w:color="auto"/>
                <w:left w:val="none" w:sz="0" w:space="0" w:color="auto"/>
                <w:bottom w:val="none" w:sz="0" w:space="0" w:color="auto"/>
                <w:right w:val="none" w:sz="0" w:space="0" w:color="auto"/>
              </w:divBdr>
            </w:div>
            <w:div w:id="1398936097">
              <w:marLeft w:val="0"/>
              <w:marRight w:val="0"/>
              <w:marTop w:val="0"/>
              <w:marBottom w:val="0"/>
              <w:divBdr>
                <w:top w:val="none" w:sz="0" w:space="0" w:color="auto"/>
                <w:left w:val="none" w:sz="0" w:space="0" w:color="auto"/>
                <w:bottom w:val="none" w:sz="0" w:space="0" w:color="auto"/>
                <w:right w:val="none" w:sz="0" w:space="0" w:color="auto"/>
              </w:divBdr>
            </w:div>
            <w:div w:id="2098091514">
              <w:marLeft w:val="0"/>
              <w:marRight w:val="0"/>
              <w:marTop w:val="0"/>
              <w:marBottom w:val="0"/>
              <w:divBdr>
                <w:top w:val="none" w:sz="0" w:space="0" w:color="auto"/>
                <w:left w:val="none" w:sz="0" w:space="0" w:color="auto"/>
                <w:bottom w:val="none" w:sz="0" w:space="0" w:color="auto"/>
                <w:right w:val="none" w:sz="0" w:space="0" w:color="auto"/>
              </w:divBdr>
            </w:div>
            <w:div w:id="2008483850">
              <w:marLeft w:val="0"/>
              <w:marRight w:val="0"/>
              <w:marTop w:val="0"/>
              <w:marBottom w:val="0"/>
              <w:divBdr>
                <w:top w:val="none" w:sz="0" w:space="0" w:color="auto"/>
                <w:left w:val="none" w:sz="0" w:space="0" w:color="auto"/>
                <w:bottom w:val="none" w:sz="0" w:space="0" w:color="auto"/>
                <w:right w:val="none" w:sz="0" w:space="0" w:color="auto"/>
              </w:divBdr>
            </w:div>
            <w:div w:id="2032492749">
              <w:marLeft w:val="0"/>
              <w:marRight w:val="0"/>
              <w:marTop w:val="0"/>
              <w:marBottom w:val="0"/>
              <w:divBdr>
                <w:top w:val="none" w:sz="0" w:space="0" w:color="auto"/>
                <w:left w:val="none" w:sz="0" w:space="0" w:color="auto"/>
                <w:bottom w:val="none" w:sz="0" w:space="0" w:color="auto"/>
                <w:right w:val="none" w:sz="0" w:space="0" w:color="auto"/>
              </w:divBdr>
            </w:div>
            <w:div w:id="1105810146">
              <w:marLeft w:val="0"/>
              <w:marRight w:val="0"/>
              <w:marTop w:val="0"/>
              <w:marBottom w:val="0"/>
              <w:divBdr>
                <w:top w:val="none" w:sz="0" w:space="0" w:color="auto"/>
                <w:left w:val="none" w:sz="0" w:space="0" w:color="auto"/>
                <w:bottom w:val="none" w:sz="0" w:space="0" w:color="auto"/>
                <w:right w:val="none" w:sz="0" w:space="0" w:color="auto"/>
              </w:divBdr>
            </w:div>
            <w:div w:id="1193610132">
              <w:marLeft w:val="0"/>
              <w:marRight w:val="0"/>
              <w:marTop w:val="0"/>
              <w:marBottom w:val="0"/>
              <w:divBdr>
                <w:top w:val="none" w:sz="0" w:space="0" w:color="auto"/>
                <w:left w:val="none" w:sz="0" w:space="0" w:color="auto"/>
                <w:bottom w:val="none" w:sz="0" w:space="0" w:color="auto"/>
                <w:right w:val="none" w:sz="0" w:space="0" w:color="auto"/>
              </w:divBdr>
            </w:div>
            <w:div w:id="1025980874">
              <w:marLeft w:val="0"/>
              <w:marRight w:val="0"/>
              <w:marTop w:val="0"/>
              <w:marBottom w:val="0"/>
              <w:divBdr>
                <w:top w:val="none" w:sz="0" w:space="0" w:color="auto"/>
                <w:left w:val="none" w:sz="0" w:space="0" w:color="auto"/>
                <w:bottom w:val="none" w:sz="0" w:space="0" w:color="auto"/>
                <w:right w:val="none" w:sz="0" w:space="0" w:color="auto"/>
              </w:divBdr>
            </w:div>
            <w:div w:id="520245760">
              <w:marLeft w:val="0"/>
              <w:marRight w:val="0"/>
              <w:marTop w:val="0"/>
              <w:marBottom w:val="0"/>
              <w:divBdr>
                <w:top w:val="none" w:sz="0" w:space="0" w:color="auto"/>
                <w:left w:val="none" w:sz="0" w:space="0" w:color="auto"/>
                <w:bottom w:val="none" w:sz="0" w:space="0" w:color="auto"/>
                <w:right w:val="none" w:sz="0" w:space="0" w:color="auto"/>
              </w:divBdr>
            </w:div>
            <w:div w:id="1813517386">
              <w:marLeft w:val="0"/>
              <w:marRight w:val="0"/>
              <w:marTop w:val="0"/>
              <w:marBottom w:val="0"/>
              <w:divBdr>
                <w:top w:val="none" w:sz="0" w:space="0" w:color="auto"/>
                <w:left w:val="none" w:sz="0" w:space="0" w:color="auto"/>
                <w:bottom w:val="none" w:sz="0" w:space="0" w:color="auto"/>
                <w:right w:val="none" w:sz="0" w:space="0" w:color="auto"/>
              </w:divBdr>
            </w:div>
            <w:div w:id="1656954531">
              <w:marLeft w:val="0"/>
              <w:marRight w:val="0"/>
              <w:marTop w:val="0"/>
              <w:marBottom w:val="0"/>
              <w:divBdr>
                <w:top w:val="none" w:sz="0" w:space="0" w:color="auto"/>
                <w:left w:val="none" w:sz="0" w:space="0" w:color="auto"/>
                <w:bottom w:val="none" w:sz="0" w:space="0" w:color="auto"/>
                <w:right w:val="none" w:sz="0" w:space="0" w:color="auto"/>
              </w:divBdr>
            </w:div>
            <w:div w:id="1595552376">
              <w:marLeft w:val="0"/>
              <w:marRight w:val="0"/>
              <w:marTop w:val="0"/>
              <w:marBottom w:val="0"/>
              <w:divBdr>
                <w:top w:val="none" w:sz="0" w:space="0" w:color="auto"/>
                <w:left w:val="none" w:sz="0" w:space="0" w:color="auto"/>
                <w:bottom w:val="none" w:sz="0" w:space="0" w:color="auto"/>
                <w:right w:val="none" w:sz="0" w:space="0" w:color="auto"/>
              </w:divBdr>
            </w:div>
            <w:div w:id="803543063">
              <w:marLeft w:val="0"/>
              <w:marRight w:val="0"/>
              <w:marTop w:val="0"/>
              <w:marBottom w:val="0"/>
              <w:divBdr>
                <w:top w:val="none" w:sz="0" w:space="0" w:color="auto"/>
                <w:left w:val="none" w:sz="0" w:space="0" w:color="auto"/>
                <w:bottom w:val="none" w:sz="0" w:space="0" w:color="auto"/>
                <w:right w:val="none" w:sz="0" w:space="0" w:color="auto"/>
              </w:divBdr>
            </w:div>
            <w:div w:id="1204899319">
              <w:marLeft w:val="0"/>
              <w:marRight w:val="0"/>
              <w:marTop w:val="0"/>
              <w:marBottom w:val="0"/>
              <w:divBdr>
                <w:top w:val="none" w:sz="0" w:space="0" w:color="auto"/>
                <w:left w:val="none" w:sz="0" w:space="0" w:color="auto"/>
                <w:bottom w:val="none" w:sz="0" w:space="0" w:color="auto"/>
                <w:right w:val="none" w:sz="0" w:space="0" w:color="auto"/>
              </w:divBdr>
            </w:div>
            <w:div w:id="356782616">
              <w:marLeft w:val="0"/>
              <w:marRight w:val="0"/>
              <w:marTop w:val="0"/>
              <w:marBottom w:val="0"/>
              <w:divBdr>
                <w:top w:val="none" w:sz="0" w:space="0" w:color="auto"/>
                <w:left w:val="none" w:sz="0" w:space="0" w:color="auto"/>
                <w:bottom w:val="none" w:sz="0" w:space="0" w:color="auto"/>
                <w:right w:val="none" w:sz="0" w:space="0" w:color="auto"/>
              </w:divBdr>
            </w:div>
            <w:div w:id="697773717">
              <w:marLeft w:val="0"/>
              <w:marRight w:val="0"/>
              <w:marTop w:val="0"/>
              <w:marBottom w:val="0"/>
              <w:divBdr>
                <w:top w:val="none" w:sz="0" w:space="0" w:color="auto"/>
                <w:left w:val="none" w:sz="0" w:space="0" w:color="auto"/>
                <w:bottom w:val="none" w:sz="0" w:space="0" w:color="auto"/>
                <w:right w:val="none" w:sz="0" w:space="0" w:color="auto"/>
              </w:divBdr>
            </w:div>
            <w:div w:id="777796522">
              <w:marLeft w:val="0"/>
              <w:marRight w:val="0"/>
              <w:marTop w:val="0"/>
              <w:marBottom w:val="0"/>
              <w:divBdr>
                <w:top w:val="none" w:sz="0" w:space="0" w:color="auto"/>
                <w:left w:val="none" w:sz="0" w:space="0" w:color="auto"/>
                <w:bottom w:val="none" w:sz="0" w:space="0" w:color="auto"/>
                <w:right w:val="none" w:sz="0" w:space="0" w:color="auto"/>
              </w:divBdr>
            </w:div>
            <w:div w:id="1909226982">
              <w:marLeft w:val="0"/>
              <w:marRight w:val="0"/>
              <w:marTop w:val="0"/>
              <w:marBottom w:val="0"/>
              <w:divBdr>
                <w:top w:val="none" w:sz="0" w:space="0" w:color="auto"/>
                <w:left w:val="none" w:sz="0" w:space="0" w:color="auto"/>
                <w:bottom w:val="none" w:sz="0" w:space="0" w:color="auto"/>
                <w:right w:val="none" w:sz="0" w:space="0" w:color="auto"/>
              </w:divBdr>
            </w:div>
            <w:div w:id="170605573">
              <w:marLeft w:val="0"/>
              <w:marRight w:val="0"/>
              <w:marTop w:val="0"/>
              <w:marBottom w:val="0"/>
              <w:divBdr>
                <w:top w:val="none" w:sz="0" w:space="0" w:color="auto"/>
                <w:left w:val="none" w:sz="0" w:space="0" w:color="auto"/>
                <w:bottom w:val="none" w:sz="0" w:space="0" w:color="auto"/>
                <w:right w:val="none" w:sz="0" w:space="0" w:color="auto"/>
              </w:divBdr>
            </w:div>
            <w:div w:id="331682063">
              <w:marLeft w:val="0"/>
              <w:marRight w:val="0"/>
              <w:marTop w:val="0"/>
              <w:marBottom w:val="0"/>
              <w:divBdr>
                <w:top w:val="none" w:sz="0" w:space="0" w:color="auto"/>
                <w:left w:val="none" w:sz="0" w:space="0" w:color="auto"/>
                <w:bottom w:val="none" w:sz="0" w:space="0" w:color="auto"/>
                <w:right w:val="none" w:sz="0" w:space="0" w:color="auto"/>
              </w:divBdr>
            </w:div>
            <w:div w:id="2082871264">
              <w:marLeft w:val="0"/>
              <w:marRight w:val="0"/>
              <w:marTop w:val="0"/>
              <w:marBottom w:val="0"/>
              <w:divBdr>
                <w:top w:val="none" w:sz="0" w:space="0" w:color="auto"/>
                <w:left w:val="none" w:sz="0" w:space="0" w:color="auto"/>
                <w:bottom w:val="none" w:sz="0" w:space="0" w:color="auto"/>
                <w:right w:val="none" w:sz="0" w:space="0" w:color="auto"/>
              </w:divBdr>
            </w:div>
            <w:div w:id="1882666522">
              <w:marLeft w:val="0"/>
              <w:marRight w:val="0"/>
              <w:marTop w:val="0"/>
              <w:marBottom w:val="0"/>
              <w:divBdr>
                <w:top w:val="none" w:sz="0" w:space="0" w:color="auto"/>
                <w:left w:val="none" w:sz="0" w:space="0" w:color="auto"/>
                <w:bottom w:val="none" w:sz="0" w:space="0" w:color="auto"/>
                <w:right w:val="none" w:sz="0" w:space="0" w:color="auto"/>
              </w:divBdr>
            </w:div>
            <w:div w:id="479032185">
              <w:marLeft w:val="0"/>
              <w:marRight w:val="0"/>
              <w:marTop w:val="0"/>
              <w:marBottom w:val="0"/>
              <w:divBdr>
                <w:top w:val="none" w:sz="0" w:space="0" w:color="auto"/>
                <w:left w:val="none" w:sz="0" w:space="0" w:color="auto"/>
                <w:bottom w:val="none" w:sz="0" w:space="0" w:color="auto"/>
                <w:right w:val="none" w:sz="0" w:space="0" w:color="auto"/>
              </w:divBdr>
            </w:div>
            <w:div w:id="488520965">
              <w:marLeft w:val="0"/>
              <w:marRight w:val="0"/>
              <w:marTop w:val="0"/>
              <w:marBottom w:val="0"/>
              <w:divBdr>
                <w:top w:val="none" w:sz="0" w:space="0" w:color="auto"/>
                <w:left w:val="none" w:sz="0" w:space="0" w:color="auto"/>
                <w:bottom w:val="none" w:sz="0" w:space="0" w:color="auto"/>
                <w:right w:val="none" w:sz="0" w:space="0" w:color="auto"/>
              </w:divBdr>
            </w:div>
            <w:div w:id="1885634267">
              <w:marLeft w:val="0"/>
              <w:marRight w:val="0"/>
              <w:marTop w:val="0"/>
              <w:marBottom w:val="0"/>
              <w:divBdr>
                <w:top w:val="none" w:sz="0" w:space="0" w:color="auto"/>
                <w:left w:val="none" w:sz="0" w:space="0" w:color="auto"/>
                <w:bottom w:val="none" w:sz="0" w:space="0" w:color="auto"/>
                <w:right w:val="none" w:sz="0" w:space="0" w:color="auto"/>
              </w:divBdr>
            </w:div>
            <w:div w:id="1366826027">
              <w:marLeft w:val="0"/>
              <w:marRight w:val="0"/>
              <w:marTop w:val="0"/>
              <w:marBottom w:val="0"/>
              <w:divBdr>
                <w:top w:val="none" w:sz="0" w:space="0" w:color="auto"/>
                <w:left w:val="none" w:sz="0" w:space="0" w:color="auto"/>
                <w:bottom w:val="none" w:sz="0" w:space="0" w:color="auto"/>
                <w:right w:val="none" w:sz="0" w:space="0" w:color="auto"/>
              </w:divBdr>
            </w:div>
            <w:div w:id="723523055">
              <w:marLeft w:val="0"/>
              <w:marRight w:val="0"/>
              <w:marTop w:val="0"/>
              <w:marBottom w:val="0"/>
              <w:divBdr>
                <w:top w:val="none" w:sz="0" w:space="0" w:color="auto"/>
                <w:left w:val="none" w:sz="0" w:space="0" w:color="auto"/>
                <w:bottom w:val="none" w:sz="0" w:space="0" w:color="auto"/>
                <w:right w:val="none" w:sz="0" w:space="0" w:color="auto"/>
              </w:divBdr>
            </w:div>
            <w:div w:id="1886092345">
              <w:marLeft w:val="0"/>
              <w:marRight w:val="0"/>
              <w:marTop w:val="0"/>
              <w:marBottom w:val="0"/>
              <w:divBdr>
                <w:top w:val="none" w:sz="0" w:space="0" w:color="auto"/>
                <w:left w:val="none" w:sz="0" w:space="0" w:color="auto"/>
                <w:bottom w:val="none" w:sz="0" w:space="0" w:color="auto"/>
                <w:right w:val="none" w:sz="0" w:space="0" w:color="auto"/>
              </w:divBdr>
            </w:div>
            <w:div w:id="867332730">
              <w:marLeft w:val="0"/>
              <w:marRight w:val="0"/>
              <w:marTop w:val="0"/>
              <w:marBottom w:val="0"/>
              <w:divBdr>
                <w:top w:val="none" w:sz="0" w:space="0" w:color="auto"/>
                <w:left w:val="none" w:sz="0" w:space="0" w:color="auto"/>
                <w:bottom w:val="none" w:sz="0" w:space="0" w:color="auto"/>
                <w:right w:val="none" w:sz="0" w:space="0" w:color="auto"/>
              </w:divBdr>
            </w:div>
            <w:div w:id="1240479019">
              <w:marLeft w:val="0"/>
              <w:marRight w:val="0"/>
              <w:marTop w:val="0"/>
              <w:marBottom w:val="0"/>
              <w:divBdr>
                <w:top w:val="none" w:sz="0" w:space="0" w:color="auto"/>
                <w:left w:val="none" w:sz="0" w:space="0" w:color="auto"/>
                <w:bottom w:val="none" w:sz="0" w:space="0" w:color="auto"/>
                <w:right w:val="none" w:sz="0" w:space="0" w:color="auto"/>
              </w:divBdr>
            </w:div>
            <w:div w:id="1008213892">
              <w:marLeft w:val="0"/>
              <w:marRight w:val="0"/>
              <w:marTop w:val="0"/>
              <w:marBottom w:val="0"/>
              <w:divBdr>
                <w:top w:val="none" w:sz="0" w:space="0" w:color="auto"/>
                <w:left w:val="none" w:sz="0" w:space="0" w:color="auto"/>
                <w:bottom w:val="none" w:sz="0" w:space="0" w:color="auto"/>
                <w:right w:val="none" w:sz="0" w:space="0" w:color="auto"/>
              </w:divBdr>
            </w:div>
            <w:div w:id="501507203">
              <w:marLeft w:val="0"/>
              <w:marRight w:val="0"/>
              <w:marTop w:val="0"/>
              <w:marBottom w:val="0"/>
              <w:divBdr>
                <w:top w:val="none" w:sz="0" w:space="0" w:color="auto"/>
                <w:left w:val="none" w:sz="0" w:space="0" w:color="auto"/>
                <w:bottom w:val="none" w:sz="0" w:space="0" w:color="auto"/>
                <w:right w:val="none" w:sz="0" w:space="0" w:color="auto"/>
              </w:divBdr>
            </w:div>
            <w:div w:id="219249541">
              <w:marLeft w:val="0"/>
              <w:marRight w:val="0"/>
              <w:marTop w:val="0"/>
              <w:marBottom w:val="0"/>
              <w:divBdr>
                <w:top w:val="none" w:sz="0" w:space="0" w:color="auto"/>
                <w:left w:val="none" w:sz="0" w:space="0" w:color="auto"/>
                <w:bottom w:val="none" w:sz="0" w:space="0" w:color="auto"/>
                <w:right w:val="none" w:sz="0" w:space="0" w:color="auto"/>
              </w:divBdr>
            </w:div>
            <w:div w:id="1457675264">
              <w:marLeft w:val="0"/>
              <w:marRight w:val="0"/>
              <w:marTop w:val="0"/>
              <w:marBottom w:val="0"/>
              <w:divBdr>
                <w:top w:val="none" w:sz="0" w:space="0" w:color="auto"/>
                <w:left w:val="none" w:sz="0" w:space="0" w:color="auto"/>
                <w:bottom w:val="none" w:sz="0" w:space="0" w:color="auto"/>
                <w:right w:val="none" w:sz="0" w:space="0" w:color="auto"/>
              </w:divBdr>
            </w:div>
            <w:div w:id="346488852">
              <w:marLeft w:val="0"/>
              <w:marRight w:val="0"/>
              <w:marTop w:val="0"/>
              <w:marBottom w:val="0"/>
              <w:divBdr>
                <w:top w:val="none" w:sz="0" w:space="0" w:color="auto"/>
                <w:left w:val="none" w:sz="0" w:space="0" w:color="auto"/>
                <w:bottom w:val="none" w:sz="0" w:space="0" w:color="auto"/>
                <w:right w:val="none" w:sz="0" w:space="0" w:color="auto"/>
              </w:divBdr>
            </w:div>
            <w:div w:id="2033072956">
              <w:marLeft w:val="0"/>
              <w:marRight w:val="0"/>
              <w:marTop w:val="0"/>
              <w:marBottom w:val="0"/>
              <w:divBdr>
                <w:top w:val="none" w:sz="0" w:space="0" w:color="auto"/>
                <w:left w:val="none" w:sz="0" w:space="0" w:color="auto"/>
                <w:bottom w:val="none" w:sz="0" w:space="0" w:color="auto"/>
                <w:right w:val="none" w:sz="0" w:space="0" w:color="auto"/>
              </w:divBdr>
            </w:div>
            <w:div w:id="411897961">
              <w:marLeft w:val="0"/>
              <w:marRight w:val="0"/>
              <w:marTop w:val="0"/>
              <w:marBottom w:val="0"/>
              <w:divBdr>
                <w:top w:val="none" w:sz="0" w:space="0" w:color="auto"/>
                <w:left w:val="none" w:sz="0" w:space="0" w:color="auto"/>
                <w:bottom w:val="none" w:sz="0" w:space="0" w:color="auto"/>
                <w:right w:val="none" w:sz="0" w:space="0" w:color="auto"/>
              </w:divBdr>
            </w:div>
            <w:div w:id="169178130">
              <w:marLeft w:val="0"/>
              <w:marRight w:val="0"/>
              <w:marTop w:val="0"/>
              <w:marBottom w:val="0"/>
              <w:divBdr>
                <w:top w:val="none" w:sz="0" w:space="0" w:color="auto"/>
                <w:left w:val="none" w:sz="0" w:space="0" w:color="auto"/>
                <w:bottom w:val="none" w:sz="0" w:space="0" w:color="auto"/>
                <w:right w:val="none" w:sz="0" w:space="0" w:color="auto"/>
              </w:divBdr>
            </w:div>
            <w:div w:id="191655299">
              <w:marLeft w:val="0"/>
              <w:marRight w:val="0"/>
              <w:marTop w:val="0"/>
              <w:marBottom w:val="0"/>
              <w:divBdr>
                <w:top w:val="none" w:sz="0" w:space="0" w:color="auto"/>
                <w:left w:val="none" w:sz="0" w:space="0" w:color="auto"/>
                <w:bottom w:val="none" w:sz="0" w:space="0" w:color="auto"/>
                <w:right w:val="none" w:sz="0" w:space="0" w:color="auto"/>
              </w:divBdr>
            </w:div>
            <w:div w:id="1904102439">
              <w:marLeft w:val="0"/>
              <w:marRight w:val="0"/>
              <w:marTop w:val="0"/>
              <w:marBottom w:val="0"/>
              <w:divBdr>
                <w:top w:val="none" w:sz="0" w:space="0" w:color="auto"/>
                <w:left w:val="none" w:sz="0" w:space="0" w:color="auto"/>
                <w:bottom w:val="none" w:sz="0" w:space="0" w:color="auto"/>
                <w:right w:val="none" w:sz="0" w:space="0" w:color="auto"/>
              </w:divBdr>
            </w:div>
            <w:div w:id="356395698">
              <w:marLeft w:val="0"/>
              <w:marRight w:val="0"/>
              <w:marTop w:val="0"/>
              <w:marBottom w:val="0"/>
              <w:divBdr>
                <w:top w:val="none" w:sz="0" w:space="0" w:color="auto"/>
                <w:left w:val="none" w:sz="0" w:space="0" w:color="auto"/>
                <w:bottom w:val="none" w:sz="0" w:space="0" w:color="auto"/>
                <w:right w:val="none" w:sz="0" w:space="0" w:color="auto"/>
              </w:divBdr>
            </w:div>
            <w:div w:id="164902524">
              <w:marLeft w:val="0"/>
              <w:marRight w:val="0"/>
              <w:marTop w:val="0"/>
              <w:marBottom w:val="0"/>
              <w:divBdr>
                <w:top w:val="none" w:sz="0" w:space="0" w:color="auto"/>
                <w:left w:val="none" w:sz="0" w:space="0" w:color="auto"/>
                <w:bottom w:val="none" w:sz="0" w:space="0" w:color="auto"/>
                <w:right w:val="none" w:sz="0" w:space="0" w:color="auto"/>
              </w:divBdr>
            </w:div>
            <w:div w:id="1326516596">
              <w:marLeft w:val="0"/>
              <w:marRight w:val="0"/>
              <w:marTop w:val="0"/>
              <w:marBottom w:val="0"/>
              <w:divBdr>
                <w:top w:val="none" w:sz="0" w:space="0" w:color="auto"/>
                <w:left w:val="none" w:sz="0" w:space="0" w:color="auto"/>
                <w:bottom w:val="none" w:sz="0" w:space="0" w:color="auto"/>
                <w:right w:val="none" w:sz="0" w:space="0" w:color="auto"/>
              </w:divBdr>
            </w:div>
            <w:div w:id="750931141">
              <w:marLeft w:val="0"/>
              <w:marRight w:val="0"/>
              <w:marTop w:val="0"/>
              <w:marBottom w:val="0"/>
              <w:divBdr>
                <w:top w:val="none" w:sz="0" w:space="0" w:color="auto"/>
                <w:left w:val="none" w:sz="0" w:space="0" w:color="auto"/>
                <w:bottom w:val="none" w:sz="0" w:space="0" w:color="auto"/>
                <w:right w:val="none" w:sz="0" w:space="0" w:color="auto"/>
              </w:divBdr>
            </w:div>
            <w:div w:id="1218711763">
              <w:marLeft w:val="0"/>
              <w:marRight w:val="0"/>
              <w:marTop w:val="0"/>
              <w:marBottom w:val="0"/>
              <w:divBdr>
                <w:top w:val="none" w:sz="0" w:space="0" w:color="auto"/>
                <w:left w:val="none" w:sz="0" w:space="0" w:color="auto"/>
                <w:bottom w:val="none" w:sz="0" w:space="0" w:color="auto"/>
                <w:right w:val="none" w:sz="0" w:space="0" w:color="auto"/>
              </w:divBdr>
            </w:div>
            <w:div w:id="86266783">
              <w:marLeft w:val="0"/>
              <w:marRight w:val="0"/>
              <w:marTop w:val="0"/>
              <w:marBottom w:val="0"/>
              <w:divBdr>
                <w:top w:val="none" w:sz="0" w:space="0" w:color="auto"/>
                <w:left w:val="none" w:sz="0" w:space="0" w:color="auto"/>
                <w:bottom w:val="none" w:sz="0" w:space="0" w:color="auto"/>
                <w:right w:val="none" w:sz="0" w:space="0" w:color="auto"/>
              </w:divBdr>
            </w:div>
            <w:div w:id="181405495">
              <w:marLeft w:val="0"/>
              <w:marRight w:val="0"/>
              <w:marTop w:val="0"/>
              <w:marBottom w:val="0"/>
              <w:divBdr>
                <w:top w:val="none" w:sz="0" w:space="0" w:color="auto"/>
                <w:left w:val="none" w:sz="0" w:space="0" w:color="auto"/>
                <w:bottom w:val="none" w:sz="0" w:space="0" w:color="auto"/>
                <w:right w:val="none" w:sz="0" w:space="0" w:color="auto"/>
              </w:divBdr>
            </w:div>
            <w:div w:id="1445809570">
              <w:marLeft w:val="0"/>
              <w:marRight w:val="0"/>
              <w:marTop w:val="0"/>
              <w:marBottom w:val="0"/>
              <w:divBdr>
                <w:top w:val="none" w:sz="0" w:space="0" w:color="auto"/>
                <w:left w:val="none" w:sz="0" w:space="0" w:color="auto"/>
                <w:bottom w:val="none" w:sz="0" w:space="0" w:color="auto"/>
                <w:right w:val="none" w:sz="0" w:space="0" w:color="auto"/>
              </w:divBdr>
            </w:div>
            <w:div w:id="1543206411">
              <w:marLeft w:val="0"/>
              <w:marRight w:val="0"/>
              <w:marTop w:val="0"/>
              <w:marBottom w:val="0"/>
              <w:divBdr>
                <w:top w:val="none" w:sz="0" w:space="0" w:color="auto"/>
                <w:left w:val="none" w:sz="0" w:space="0" w:color="auto"/>
                <w:bottom w:val="none" w:sz="0" w:space="0" w:color="auto"/>
                <w:right w:val="none" w:sz="0" w:space="0" w:color="auto"/>
              </w:divBdr>
            </w:div>
            <w:div w:id="927693666">
              <w:marLeft w:val="0"/>
              <w:marRight w:val="0"/>
              <w:marTop w:val="0"/>
              <w:marBottom w:val="0"/>
              <w:divBdr>
                <w:top w:val="none" w:sz="0" w:space="0" w:color="auto"/>
                <w:left w:val="none" w:sz="0" w:space="0" w:color="auto"/>
                <w:bottom w:val="none" w:sz="0" w:space="0" w:color="auto"/>
                <w:right w:val="none" w:sz="0" w:space="0" w:color="auto"/>
              </w:divBdr>
            </w:div>
            <w:div w:id="412629304">
              <w:marLeft w:val="0"/>
              <w:marRight w:val="0"/>
              <w:marTop w:val="0"/>
              <w:marBottom w:val="0"/>
              <w:divBdr>
                <w:top w:val="none" w:sz="0" w:space="0" w:color="auto"/>
                <w:left w:val="none" w:sz="0" w:space="0" w:color="auto"/>
                <w:bottom w:val="none" w:sz="0" w:space="0" w:color="auto"/>
                <w:right w:val="none" w:sz="0" w:space="0" w:color="auto"/>
              </w:divBdr>
            </w:div>
            <w:div w:id="870341804">
              <w:marLeft w:val="0"/>
              <w:marRight w:val="0"/>
              <w:marTop w:val="0"/>
              <w:marBottom w:val="0"/>
              <w:divBdr>
                <w:top w:val="none" w:sz="0" w:space="0" w:color="auto"/>
                <w:left w:val="none" w:sz="0" w:space="0" w:color="auto"/>
                <w:bottom w:val="none" w:sz="0" w:space="0" w:color="auto"/>
                <w:right w:val="none" w:sz="0" w:space="0" w:color="auto"/>
              </w:divBdr>
            </w:div>
            <w:div w:id="1583640578">
              <w:marLeft w:val="0"/>
              <w:marRight w:val="0"/>
              <w:marTop w:val="0"/>
              <w:marBottom w:val="0"/>
              <w:divBdr>
                <w:top w:val="none" w:sz="0" w:space="0" w:color="auto"/>
                <w:left w:val="none" w:sz="0" w:space="0" w:color="auto"/>
                <w:bottom w:val="none" w:sz="0" w:space="0" w:color="auto"/>
                <w:right w:val="none" w:sz="0" w:space="0" w:color="auto"/>
              </w:divBdr>
            </w:div>
            <w:div w:id="746538924">
              <w:marLeft w:val="0"/>
              <w:marRight w:val="0"/>
              <w:marTop w:val="0"/>
              <w:marBottom w:val="0"/>
              <w:divBdr>
                <w:top w:val="none" w:sz="0" w:space="0" w:color="auto"/>
                <w:left w:val="none" w:sz="0" w:space="0" w:color="auto"/>
                <w:bottom w:val="none" w:sz="0" w:space="0" w:color="auto"/>
                <w:right w:val="none" w:sz="0" w:space="0" w:color="auto"/>
              </w:divBdr>
            </w:div>
            <w:div w:id="578515238">
              <w:marLeft w:val="0"/>
              <w:marRight w:val="0"/>
              <w:marTop w:val="0"/>
              <w:marBottom w:val="0"/>
              <w:divBdr>
                <w:top w:val="none" w:sz="0" w:space="0" w:color="auto"/>
                <w:left w:val="none" w:sz="0" w:space="0" w:color="auto"/>
                <w:bottom w:val="none" w:sz="0" w:space="0" w:color="auto"/>
                <w:right w:val="none" w:sz="0" w:space="0" w:color="auto"/>
              </w:divBdr>
            </w:div>
            <w:div w:id="2052070735">
              <w:marLeft w:val="0"/>
              <w:marRight w:val="0"/>
              <w:marTop w:val="0"/>
              <w:marBottom w:val="0"/>
              <w:divBdr>
                <w:top w:val="none" w:sz="0" w:space="0" w:color="auto"/>
                <w:left w:val="none" w:sz="0" w:space="0" w:color="auto"/>
                <w:bottom w:val="none" w:sz="0" w:space="0" w:color="auto"/>
                <w:right w:val="none" w:sz="0" w:space="0" w:color="auto"/>
              </w:divBdr>
            </w:div>
            <w:div w:id="1988171561">
              <w:marLeft w:val="0"/>
              <w:marRight w:val="0"/>
              <w:marTop w:val="0"/>
              <w:marBottom w:val="0"/>
              <w:divBdr>
                <w:top w:val="none" w:sz="0" w:space="0" w:color="auto"/>
                <w:left w:val="none" w:sz="0" w:space="0" w:color="auto"/>
                <w:bottom w:val="none" w:sz="0" w:space="0" w:color="auto"/>
                <w:right w:val="none" w:sz="0" w:space="0" w:color="auto"/>
              </w:divBdr>
            </w:div>
            <w:div w:id="435562021">
              <w:marLeft w:val="0"/>
              <w:marRight w:val="0"/>
              <w:marTop w:val="0"/>
              <w:marBottom w:val="0"/>
              <w:divBdr>
                <w:top w:val="none" w:sz="0" w:space="0" w:color="auto"/>
                <w:left w:val="none" w:sz="0" w:space="0" w:color="auto"/>
                <w:bottom w:val="none" w:sz="0" w:space="0" w:color="auto"/>
                <w:right w:val="none" w:sz="0" w:space="0" w:color="auto"/>
              </w:divBdr>
            </w:div>
            <w:div w:id="1601185138">
              <w:marLeft w:val="0"/>
              <w:marRight w:val="0"/>
              <w:marTop w:val="0"/>
              <w:marBottom w:val="0"/>
              <w:divBdr>
                <w:top w:val="none" w:sz="0" w:space="0" w:color="auto"/>
                <w:left w:val="none" w:sz="0" w:space="0" w:color="auto"/>
                <w:bottom w:val="none" w:sz="0" w:space="0" w:color="auto"/>
                <w:right w:val="none" w:sz="0" w:space="0" w:color="auto"/>
              </w:divBdr>
            </w:div>
            <w:div w:id="340350566">
              <w:marLeft w:val="0"/>
              <w:marRight w:val="0"/>
              <w:marTop w:val="0"/>
              <w:marBottom w:val="0"/>
              <w:divBdr>
                <w:top w:val="none" w:sz="0" w:space="0" w:color="auto"/>
                <w:left w:val="none" w:sz="0" w:space="0" w:color="auto"/>
                <w:bottom w:val="none" w:sz="0" w:space="0" w:color="auto"/>
                <w:right w:val="none" w:sz="0" w:space="0" w:color="auto"/>
              </w:divBdr>
            </w:div>
            <w:div w:id="774136446">
              <w:marLeft w:val="0"/>
              <w:marRight w:val="0"/>
              <w:marTop w:val="0"/>
              <w:marBottom w:val="0"/>
              <w:divBdr>
                <w:top w:val="none" w:sz="0" w:space="0" w:color="auto"/>
                <w:left w:val="none" w:sz="0" w:space="0" w:color="auto"/>
                <w:bottom w:val="none" w:sz="0" w:space="0" w:color="auto"/>
                <w:right w:val="none" w:sz="0" w:space="0" w:color="auto"/>
              </w:divBdr>
            </w:div>
            <w:div w:id="431433041">
              <w:marLeft w:val="0"/>
              <w:marRight w:val="0"/>
              <w:marTop w:val="0"/>
              <w:marBottom w:val="0"/>
              <w:divBdr>
                <w:top w:val="none" w:sz="0" w:space="0" w:color="auto"/>
                <w:left w:val="none" w:sz="0" w:space="0" w:color="auto"/>
                <w:bottom w:val="none" w:sz="0" w:space="0" w:color="auto"/>
                <w:right w:val="none" w:sz="0" w:space="0" w:color="auto"/>
              </w:divBdr>
            </w:div>
            <w:div w:id="784345665">
              <w:marLeft w:val="0"/>
              <w:marRight w:val="0"/>
              <w:marTop w:val="0"/>
              <w:marBottom w:val="0"/>
              <w:divBdr>
                <w:top w:val="none" w:sz="0" w:space="0" w:color="auto"/>
                <w:left w:val="none" w:sz="0" w:space="0" w:color="auto"/>
                <w:bottom w:val="none" w:sz="0" w:space="0" w:color="auto"/>
                <w:right w:val="none" w:sz="0" w:space="0" w:color="auto"/>
              </w:divBdr>
            </w:div>
            <w:div w:id="140270100">
              <w:marLeft w:val="0"/>
              <w:marRight w:val="0"/>
              <w:marTop w:val="0"/>
              <w:marBottom w:val="0"/>
              <w:divBdr>
                <w:top w:val="none" w:sz="0" w:space="0" w:color="auto"/>
                <w:left w:val="none" w:sz="0" w:space="0" w:color="auto"/>
                <w:bottom w:val="none" w:sz="0" w:space="0" w:color="auto"/>
                <w:right w:val="none" w:sz="0" w:space="0" w:color="auto"/>
              </w:divBdr>
            </w:div>
            <w:div w:id="1611622613">
              <w:marLeft w:val="0"/>
              <w:marRight w:val="0"/>
              <w:marTop w:val="0"/>
              <w:marBottom w:val="0"/>
              <w:divBdr>
                <w:top w:val="none" w:sz="0" w:space="0" w:color="auto"/>
                <w:left w:val="none" w:sz="0" w:space="0" w:color="auto"/>
                <w:bottom w:val="none" w:sz="0" w:space="0" w:color="auto"/>
                <w:right w:val="none" w:sz="0" w:space="0" w:color="auto"/>
              </w:divBdr>
            </w:div>
            <w:div w:id="1700622980">
              <w:marLeft w:val="0"/>
              <w:marRight w:val="0"/>
              <w:marTop w:val="0"/>
              <w:marBottom w:val="0"/>
              <w:divBdr>
                <w:top w:val="none" w:sz="0" w:space="0" w:color="auto"/>
                <w:left w:val="none" w:sz="0" w:space="0" w:color="auto"/>
                <w:bottom w:val="none" w:sz="0" w:space="0" w:color="auto"/>
                <w:right w:val="none" w:sz="0" w:space="0" w:color="auto"/>
              </w:divBdr>
            </w:div>
            <w:div w:id="1828742790">
              <w:marLeft w:val="0"/>
              <w:marRight w:val="0"/>
              <w:marTop w:val="0"/>
              <w:marBottom w:val="0"/>
              <w:divBdr>
                <w:top w:val="none" w:sz="0" w:space="0" w:color="auto"/>
                <w:left w:val="none" w:sz="0" w:space="0" w:color="auto"/>
                <w:bottom w:val="none" w:sz="0" w:space="0" w:color="auto"/>
                <w:right w:val="none" w:sz="0" w:space="0" w:color="auto"/>
              </w:divBdr>
            </w:div>
            <w:div w:id="1334650851">
              <w:marLeft w:val="0"/>
              <w:marRight w:val="0"/>
              <w:marTop w:val="0"/>
              <w:marBottom w:val="0"/>
              <w:divBdr>
                <w:top w:val="none" w:sz="0" w:space="0" w:color="auto"/>
                <w:left w:val="none" w:sz="0" w:space="0" w:color="auto"/>
                <w:bottom w:val="none" w:sz="0" w:space="0" w:color="auto"/>
                <w:right w:val="none" w:sz="0" w:space="0" w:color="auto"/>
              </w:divBdr>
            </w:div>
            <w:div w:id="1137575964">
              <w:marLeft w:val="0"/>
              <w:marRight w:val="0"/>
              <w:marTop w:val="0"/>
              <w:marBottom w:val="0"/>
              <w:divBdr>
                <w:top w:val="none" w:sz="0" w:space="0" w:color="auto"/>
                <w:left w:val="none" w:sz="0" w:space="0" w:color="auto"/>
                <w:bottom w:val="none" w:sz="0" w:space="0" w:color="auto"/>
                <w:right w:val="none" w:sz="0" w:space="0" w:color="auto"/>
              </w:divBdr>
            </w:div>
            <w:div w:id="821040834">
              <w:marLeft w:val="0"/>
              <w:marRight w:val="0"/>
              <w:marTop w:val="0"/>
              <w:marBottom w:val="0"/>
              <w:divBdr>
                <w:top w:val="none" w:sz="0" w:space="0" w:color="auto"/>
                <w:left w:val="none" w:sz="0" w:space="0" w:color="auto"/>
                <w:bottom w:val="none" w:sz="0" w:space="0" w:color="auto"/>
                <w:right w:val="none" w:sz="0" w:space="0" w:color="auto"/>
              </w:divBdr>
            </w:div>
            <w:div w:id="316155845">
              <w:marLeft w:val="0"/>
              <w:marRight w:val="0"/>
              <w:marTop w:val="0"/>
              <w:marBottom w:val="0"/>
              <w:divBdr>
                <w:top w:val="none" w:sz="0" w:space="0" w:color="auto"/>
                <w:left w:val="none" w:sz="0" w:space="0" w:color="auto"/>
                <w:bottom w:val="none" w:sz="0" w:space="0" w:color="auto"/>
                <w:right w:val="none" w:sz="0" w:space="0" w:color="auto"/>
              </w:divBdr>
            </w:div>
            <w:div w:id="976685342">
              <w:marLeft w:val="0"/>
              <w:marRight w:val="0"/>
              <w:marTop w:val="0"/>
              <w:marBottom w:val="0"/>
              <w:divBdr>
                <w:top w:val="none" w:sz="0" w:space="0" w:color="auto"/>
                <w:left w:val="none" w:sz="0" w:space="0" w:color="auto"/>
                <w:bottom w:val="none" w:sz="0" w:space="0" w:color="auto"/>
                <w:right w:val="none" w:sz="0" w:space="0" w:color="auto"/>
              </w:divBdr>
            </w:div>
            <w:div w:id="1154368234">
              <w:marLeft w:val="0"/>
              <w:marRight w:val="0"/>
              <w:marTop w:val="0"/>
              <w:marBottom w:val="0"/>
              <w:divBdr>
                <w:top w:val="none" w:sz="0" w:space="0" w:color="auto"/>
                <w:left w:val="none" w:sz="0" w:space="0" w:color="auto"/>
                <w:bottom w:val="none" w:sz="0" w:space="0" w:color="auto"/>
                <w:right w:val="none" w:sz="0" w:space="0" w:color="auto"/>
              </w:divBdr>
            </w:div>
            <w:div w:id="801583354">
              <w:marLeft w:val="0"/>
              <w:marRight w:val="0"/>
              <w:marTop w:val="0"/>
              <w:marBottom w:val="0"/>
              <w:divBdr>
                <w:top w:val="none" w:sz="0" w:space="0" w:color="auto"/>
                <w:left w:val="none" w:sz="0" w:space="0" w:color="auto"/>
                <w:bottom w:val="none" w:sz="0" w:space="0" w:color="auto"/>
                <w:right w:val="none" w:sz="0" w:space="0" w:color="auto"/>
              </w:divBdr>
            </w:div>
            <w:div w:id="1791774996">
              <w:marLeft w:val="0"/>
              <w:marRight w:val="0"/>
              <w:marTop w:val="0"/>
              <w:marBottom w:val="0"/>
              <w:divBdr>
                <w:top w:val="none" w:sz="0" w:space="0" w:color="auto"/>
                <w:left w:val="none" w:sz="0" w:space="0" w:color="auto"/>
                <w:bottom w:val="none" w:sz="0" w:space="0" w:color="auto"/>
                <w:right w:val="none" w:sz="0" w:space="0" w:color="auto"/>
              </w:divBdr>
            </w:div>
            <w:div w:id="471020196">
              <w:marLeft w:val="0"/>
              <w:marRight w:val="0"/>
              <w:marTop w:val="0"/>
              <w:marBottom w:val="0"/>
              <w:divBdr>
                <w:top w:val="none" w:sz="0" w:space="0" w:color="auto"/>
                <w:left w:val="none" w:sz="0" w:space="0" w:color="auto"/>
                <w:bottom w:val="none" w:sz="0" w:space="0" w:color="auto"/>
                <w:right w:val="none" w:sz="0" w:space="0" w:color="auto"/>
              </w:divBdr>
            </w:div>
            <w:div w:id="1701198728">
              <w:marLeft w:val="0"/>
              <w:marRight w:val="0"/>
              <w:marTop w:val="0"/>
              <w:marBottom w:val="0"/>
              <w:divBdr>
                <w:top w:val="none" w:sz="0" w:space="0" w:color="auto"/>
                <w:left w:val="none" w:sz="0" w:space="0" w:color="auto"/>
                <w:bottom w:val="none" w:sz="0" w:space="0" w:color="auto"/>
                <w:right w:val="none" w:sz="0" w:space="0" w:color="auto"/>
              </w:divBdr>
            </w:div>
            <w:div w:id="1709718363">
              <w:marLeft w:val="0"/>
              <w:marRight w:val="0"/>
              <w:marTop w:val="0"/>
              <w:marBottom w:val="0"/>
              <w:divBdr>
                <w:top w:val="none" w:sz="0" w:space="0" w:color="auto"/>
                <w:left w:val="none" w:sz="0" w:space="0" w:color="auto"/>
                <w:bottom w:val="none" w:sz="0" w:space="0" w:color="auto"/>
                <w:right w:val="none" w:sz="0" w:space="0" w:color="auto"/>
              </w:divBdr>
            </w:div>
            <w:div w:id="960527748">
              <w:marLeft w:val="0"/>
              <w:marRight w:val="0"/>
              <w:marTop w:val="0"/>
              <w:marBottom w:val="0"/>
              <w:divBdr>
                <w:top w:val="none" w:sz="0" w:space="0" w:color="auto"/>
                <w:left w:val="none" w:sz="0" w:space="0" w:color="auto"/>
                <w:bottom w:val="none" w:sz="0" w:space="0" w:color="auto"/>
                <w:right w:val="none" w:sz="0" w:space="0" w:color="auto"/>
              </w:divBdr>
            </w:div>
            <w:div w:id="1899245441">
              <w:marLeft w:val="0"/>
              <w:marRight w:val="0"/>
              <w:marTop w:val="0"/>
              <w:marBottom w:val="0"/>
              <w:divBdr>
                <w:top w:val="none" w:sz="0" w:space="0" w:color="auto"/>
                <w:left w:val="none" w:sz="0" w:space="0" w:color="auto"/>
                <w:bottom w:val="none" w:sz="0" w:space="0" w:color="auto"/>
                <w:right w:val="none" w:sz="0" w:space="0" w:color="auto"/>
              </w:divBdr>
            </w:div>
            <w:div w:id="2025783801">
              <w:marLeft w:val="0"/>
              <w:marRight w:val="0"/>
              <w:marTop w:val="0"/>
              <w:marBottom w:val="0"/>
              <w:divBdr>
                <w:top w:val="none" w:sz="0" w:space="0" w:color="auto"/>
                <w:left w:val="none" w:sz="0" w:space="0" w:color="auto"/>
                <w:bottom w:val="none" w:sz="0" w:space="0" w:color="auto"/>
                <w:right w:val="none" w:sz="0" w:space="0" w:color="auto"/>
              </w:divBdr>
            </w:div>
            <w:div w:id="1049181676">
              <w:marLeft w:val="0"/>
              <w:marRight w:val="0"/>
              <w:marTop w:val="0"/>
              <w:marBottom w:val="0"/>
              <w:divBdr>
                <w:top w:val="none" w:sz="0" w:space="0" w:color="auto"/>
                <w:left w:val="none" w:sz="0" w:space="0" w:color="auto"/>
                <w:bottom w:val="none" w:sz="0" w:space="0" w:color="auto"/>
                <w:right w:val="none" w:sz="0" w:space="0" w:color="auto"/>
              </w:divBdr>
            </w:div>
            <w:div w:id="650141647">
              <w:marLeft w:val="0"/>
              <w:marRight w:val="0"/>
              <w:marTop w:val="0"/>
              <w:marBottom w:val="0"/>
              <w:divBdr>
                <w:top w:val="none" w:sz="0" w:space="0" w:color="auto"/>
                <w:left w:val="none" w:sz="0" w:space="0" w:color="auto"/>
                <w:bottom w:val="none" w:sz="0" w:space="0" w:color="auto"/>
                <w:right w:val="none" w:sz="0" w:space="0" w:color="auto"/>
              </w:divBdr>
            </w:div>
            <w:div w:id="618994472">
              <w:marLeft w:val="0"/>
              <w:marRight w:val="0"/>
              <w:marTop w:val="0"/>
              <w:marBottom w:val="0"/>
              <w:divBdr>
                <w:top w:val="none" w:sz="0" w:space="0" w:color="auto"/>
                <w:left w:val="none" w:sz="0" w:space="0" w:color="auto"/>
                <w:bottom w:val="none" w:sz="0" w:space="0" w:color="auto"/>
                <w:right w:val="none" w:sz="0" w:space="0" w:color="auto"/>
              </w:divBdr>
            </w:div>
            <w:div w:id="1679230496">
              <w:marLeft w:val="0"/>
              <w:marRight w:val="0"/>
              <w:marTop w:val="0"/>
              <w:marBottom w:val="0"/>
              <w:divBdr>
                <w:top w:val="none" w:sz="0" w:space="0" w:color="auto"/>
                <w:left w:val="none" w:sz="0" w:space="0" w:color="auto"/>
                <w:bottom w:val="none" w:sz="0" w:space="0" w:color="auto"/>
                <w:right w:val="none" w:sz="0" w:space="0" w:color="auto"/>
              </w:divBdr>
            </w:div>
            <w:div w:id="173423614">
              <w:marLeft w:val="0"/>
              <w:marRight w:val="0"/>
              <w:marTop w:val="0"/>
              <w:marBottom w:val="0"/>
              <w:divBdr>
                <w:top w:val="none" w:sz="0" w:space="0" w:color="auto"/>
                <w:left w:val="none" w:sz="0" w:space="0" w:color="auto"/>
                <w:bottom w:val="none" w:sz="0" w:space="0" w:color="auto"/>
                <w:right w:val="none" w:sz="0" w:space="0" w:color="auto"/>
              </w:divBdr>
            </w:div>
            <w:div w:id="249393094">
              <w:marLeft w:val="0"/>
              <w:marRight w:val="0"/>
              <w:marTop w:val="0"/>
              <w:marBottom w:val="0"/>
              <w:divBdr>
                <w:top w:val="none" w:sz="0" w:space="0" w:color="auto"/>
                <w:left w:val="none" w:sz="0" w:space="0" w:color="auto"/>
                <w:bottom w:val="none" w:sz="0" w:space="0" w:color="auto"/>
                <w:right w:val="none" w:sz="0" w:space="0" w:color="auto"/>
              </w:divBdr>
            </w:div>
            <w:div w:id="821190366">
              <w:marLeft w:val="0"/>
              <w:marRight w:val="0"/>
              <w:marTop w:val="0"/>
              <w:marBottom w:val="0"/>
              <w:divBdr>
                <w:top w:val="none" w:sz="0" w:space="0" w:color="auto"/>
                <w:left w:val="none" w:sz="0" w:space="0" w:color="auto"/>
                <w:bottom w:val="none" w:sz="0" w:space="0" w:color="auto"/>
                <w:right w:val="none" w:sz="0" w:space="0" w:color="auto"/>
              </w:divBdr>
            </w:div>
            <w:div w:id="29034530">
              <w:marLeft w:val="0"/>
              <w:marRight w:val="0"/>
              <w:marTop w:val="0"/>
              <w:marBottom w:val="0"/>
              <w:divBdr>
                <w:top w:val="none" w:sz="0" w:space="0" w:color="auto"/>
                <w:left w:val="none" w:sz="0" w:space="0" w:color="auto"/>
                <w:bottom w:val="none" w:sz="0" w:space="0" w:color="auto"/>
                <w:right w:val="none" w:sz="0" w:space="0" w:color="auto"/>
              </w:divBdr>
            </w:div>
            <w:div w:id="68845327">
              <w:marLeft w:val="0"/>
              <w:marRight w:val="0"/>
              <w:marTop w:val="0"/>
              <w:marBottom w:val="0"/>
              <w:divBdr>
                <w:top w:val="none" w:sz="0" w:space="0" w:color="auto"/>
                <w:left w:val="none" w:sz="0" w:space="0" w:color="auto"/>
                <w:bottom w:val="none" w:sz="0" w:space="0" w:color="auto"/>
                <w:right w:val="none" w:sz="0" w:space="0" w:color="auto"/>
              </w:divBdr>
            </w:div>
            <w:div w:id="63921596">
              <w:marLeft w:val="0"/>
              <w:marRight w:val="0"/>
              <w:marTop w:val="0"/>
              <w:marBottom w:val="0"/>
              <w:divBdr>
                <w:top w:val="none" w:sz="0" w:space="0" w:color="auto"/>
                <w:left w:val="none" w:sz="0" w:space="0" w:color="auto"/>
                <w:bottom w:val="none" w:sz="0" w:space="0" w:color="auto"/>
                <w:right w:val="none" w:sz="0" w:space="0" w:color="auto"/>
              </w:divBdr>
            </w:div>
            <w:div w:id="420416238">
              <w:marLeft w:val="0"/>
              <w:marRight w:val="0"/>
              <w:marTop w:val="0"/>
              <w:marBottom w:val="0"/>
              <w:divBdr>
                <w:top w:val="none" w:sz="0" w:space="0" w:color="auto"/>
                <w:left w:val="none" w:sz="0" w:space="0" w:color="auto"/>
                <w:bottom w:val="none" w:sz="0" w:space="0" w:color="auto"/>
                <w:right w:val="none" w:sz="0" w:space="0" w:color="auto"/>
              </w:divBdr>
            </w:div>
            <w:div w:id="1758597042">
              <w:marLeft w:val="0"/>
              <w:marRight w:val="0"/>
              <w:marTop w:val="0"/>
              <w:marBottom w:val="0"/>
              <w:divBdr>
                <w:top w:val="none" w:sz="0" w:space="0" w:color="auto"/>
                <w:left w:val="none" w:sz="0" w:space="0" w:color="auto"/>
                <w:bottom w:val="none" w:sz="0" w:space="0" w:color="auto"/>
                <w:right w:val="none" w:sz="0" w:space="0" w:color="auto"/>
              </w:divBdr>
            </w:div>
            <w:div w:id="614363942">
              <w:marLeft w:val="0"/>
              <w:marRight w:val="0"/>
              <w:marTop w:val="0"/>
              <w:marBottom w:val="0"/>
              <w:divBdr>
                <w:top w:val="none" w:sz="0" w:space="0" w:color="auto"/>
                <w:left w:val="none" w:sz="0" w:space="0" w:color="auto"/>
                <w:bottom w:val="none" w:sz="0" w:space="0" w:color="auto"/>
                <w:right w:val="none" w:sz="0" w:space="0" w:color="auto"/>
              </w:divBdr>
            </w:div>
            <w:div w:id="765615904">
              <w:marLeft w:val="0"/>
              <w:marRight w:val="0"/>
              <w:marTop w:val="0"/>
              <w:marBottom w:val="0"/>
              <w:divBdr>
                <w:top w:val="none" w:sz="0" w:space="0" w:color="auto"/>
                <w:left w:val="none" w:sz="0" w:space="0" w:color="auto"/>
                <w:bottom w:val="none" w:sz="0" w:space="0" w:color="auto"/>
                <w:right w:val="none" w:sz="0" w:space="0" w:color="auto"/>
              </w:divBdr>
            </w:div>
            <w:div w:id="1782606655">
              <w:marLeft w:val="0"/>
              <w:marRight w:val="0"/>
              <w:marTop w:val="0"/>
              <w:marBottom w:val="0"/>
              <w:divBdr>
                <w:top w:val="none" w:sz="0" w:space="0" w:color="auto"/>
                <w:left w:val="none" w:sz="0" w:space="0" w:color="auto"/>
                <w:bottom w:val="none" w:sz="0" w:space="0" w:color="auto"/>
                <w:right w:val="none" w:sz="0" w:space="0" w:color="auto"/>
              </w:divBdr>
            </w:div>
            <w:div w:id="1822695863">
              <w:marLeft w:val="0"/>
              <w:marRight w:val="0"/>
              <w:marTop w:val="0"/>
              <w:marBottom w:val="0"/>
              <w:divBdr>
                <w:top w:val="none" w:sz="0" w:space="0" w:color="auto"/>
                <w:left w:val="none" w:sz="0" w:space="0" w:color="auto"/>
                <w:bottom w:val="none" w:sz="0" w:space="0" w:color="auto"/>
                <w:right w:val="none" w:sz="0" w:space="0" w:color="auto"/>
              </w:divBdr>
            </w:div>
            <w:div w:id="60325828">
              <w:marLeft w:val="0"/>
              <w:marRight w:val="0"/>
              <w:marTop w:val="0"/>
              <w:marBottom w:val="0"/>
              <w:divBdr>
                <w:top w:val="none" w:sz="0" w:space="0" w:color="auto"/>
                <w:left w:val="none" w:sz="0" w:space="0" w:color="auto"/>
                <w:bottom w:val="none" w:sz="0" w:space="0" w:color="auto"/>
                <w:right w:val="none" w:sz="0" w:space="0" w:color="auto"/>
              </w:divBdr>
            </w:div>
            <w:div w:id="850800464">
              <w:marLeft w:val="0"/>
              <w:marRight w:val="0"/>
              <w:marTop w:val="0"/>
              <w:marBottom w:val="0"/>
              <w:divBdr>
                <w:top w:val="none" w:sz="0" w:space="0" w:color="auto"/>
                <w:left w:val="none" w:sz="0" w:space="0" w:color="auto"/>
                <w:bottom w:val="none" w:sz="0" w:space="0" w:color="auto"/>
                <w:right w:val="none" w:sz="0" w:space="0" w:color="auto"/>
              </w:divBdr>
            </w:div>
            <w:div w:id="623386014">
              <w:marLeft w:val="0"/>
              <w:marRight w:val="0"/>
              <w:marTop w:val="0"/>
              <w:marBottom w:val="0"/>
              <w:divBdr>
                <w:top w:val="none" w:sz="0" w:space="0" w:color="auto"/>
                <w:left w:val="none" w:sz="0" w:space="0" w:color="auto"/>
                <w:bottom w:val="none" w:sz="0" w:space="0" w:color="auto"/>
                <w:right w:val="none" w:sz="0" w:space="0" w:color="auto"/>
              </w:divBdr>
            </w:div>
            <w:div w:id="1221212035">
              <w:marLeft w:val="0"/>
              <w:marRight w:val="0"/>
              <w:marTop w:val="0"/>
              <w:marBottom w:val="0"/>
              <w:divBdr>
                <w:top w:val="none" w:sz="0" w:space="0" w:color="auto"/>
                <w:left w:val="none" w:sz="0" w:space="0" w:color="auto"/>
                <w:bottom w:val="none" w:sz="0" w:space="0" w:color="auto"/>
                <w:right w:val="none" w:sz="0" w:space="0" w:color="auto"/>
              </w:divBdr>
            </w:div>
            <w:div w:id="709115503">
              <w:marLeft w:val="0"/>
              <w:marRight w:val="0"/>
              <w:marTop w:val="0"/>
              <w:marBottom w:val="0"/>
              <w:divBdr>
                <w:top w:val="none" w:sz="0" w:space="0" w:color="auto"/>
                <w:left w:val="none" w:sz="0" w:space="0" w:color="auto"/>
                <w:bottom w:val="none" w:sz="0" w:space="0" w:color="auto"/>
                <w:right w:val="none" w:sz="0" w:space="0" w:color="auto"/>
              </w:divBdr>
            </w:div>
            <w:div w:id="876619563">
              <w:marLeft w:val="0"/>
              <w:marRight w:val="0"/>
              <w:marTop w:val="0"/>
              <w:marBottom w:val="0"/>
              <w:divBdr>
                <w:top w:val="none" w:sz="0" w:space="0" w:color="auto"/>
                <w:left w:val="none" w:sz="0" w:space="0" w:color="auto"/>
                <w:bottom w:val="none" w:sz="0" w:space="0" w:color="auto"/>
                <w:right w:val="none" w:sz="0" w:space="0" w:color="auto"/>
              </w:divBdr>
            </w:div>
            <w:div w:id="955138631">
              <w:marLeft w:val="0"/>
              <w:marRight w:val="0"/>
              <w:marTop w:val="0"/>
              <w:marBottom w:val="0"/>
              <w:divBdr>
                <w:top w:val="none" w:sz="0" w:space="0" w:color="auto"/>
                <w:left w:val="none" w:sz="0" w:space="0" w:color="auto"/>
                <w:bottom w:val="none" w:sz="0" w:space="0" w:color="auto"/>
                <w:right w:val="none" w:sz="0" w:space="0" w:color="auto"/>
              </w:divBdr>
            </w:div>
            <w:div w:id="994341333">
              <w:marLeft w:val="0"/>
              <w:marRight w:val="0"/>
              <w:marTop w:val="0"/>
              <w:marBottom w:val="0"/>
              <w:divBdr>
                <w:top w:val="none" w:sz="0" w:space="0" w:color="auto"/>
                <w:left w:val="none" w:sz="0" w:space="0" w:color="auto"/>
                <w:bottom w:val="none" w:sz="0" w:space="0" w:color="auto"/>
                <w:right w:val="none" w:sz="0" w:space="0" w:color="auto"/>
              </w:divBdr>
            </w:div>
            <w:div w:id="739596362">
              <w:marLeft w:val="0"/>
              <w:marRight w:val="0"/>
              <w:marTop w:val="0"/>
              <w:marBottom w:val="0"/>
              <w:divBdr>
                <w:top w:val="none" w:sz="0" w:space="0" w:color="auto"/>
                <w:left w:val="none" w:sz="0" w:space="0" w:color="auto"/>
                <w:bottom w:val="none" w:sz="0" w:space="0" w:color="auto"/>
                <w:right w:val="none" w:sz="0" w:space="0" w:color="auto"/>
              </w:divBdr>
            </w:div>
            <w:div w:id="696585453">
              <w:marLeft w:val="0"/>
              <w:marRight w:val="0"/>
              <w:marTop w:val="0"/>
              <w:marBottom w:val="0"/>
              <w:divBdr>
                <w:top w:val="none" w:sz="0" w:space="0" w:color="auto"/>
                <w:left w:val="none" w:sz="0" w:space="0" w:color="auto"/>
                <w:bottom w:val="none" w:sz="0" w:space="0" w:color="auto"/>
                <w:right w:val="none" w:sz="0" w:space="0" w:color="auto"/>
              </w:divBdr>
            </w:div>
            <w:div w:id="1627470575">
              <w:marLeft w:val="0"/>
              <w:marRight w:val="0"/>
              <w:marTop w:val="0"/>
              <w:marBottom w:val="0"/>
              <w:divBdr>
                <w:top w:val="none" w:sz="0" w:space="0" w:color="auto"/>
                <w:left w:val="none" w:sz="0" w:space="0" w:color="auto"/>
                <w:bottom w:val="none" w:sz="0" w:space="0" w:color="auto"/>
                <w:right w:val="none" w:sz="0" w:space="0" w:color="auto"/>
              </w:divBdr>
            </w:div>
            <w:div w:id="2016372066">
              <w:marLeft w:val="0"/>
              <w:marRight w:val="0"/>
              <w:marTop w:val="0"/>
              <w:marBottom w:val="0"/>
              <w:divBdr>
                <w:top w:val="none" w:sz="0" w:space="0" w:color="auto"/>
                <w:left w:val="none" w:sz="0" w:space="0" w:color="auto"/>
                <w:bottom w:val="none" w:sz="0" w:space="0" w:color="auto"/>
                <w:right w:val="none" w:sz="0" w:space="0" w:color="auto"/>
              </w:divBdr>
            </w:div>
            <w:div w:id="85853492">
              <w:marLeft w:val="0"/>
              <w:marRight w:val="0"/>
              <w:marTop w:val="0"/>
              <w:marBottom w:val="0"/>
              <w:divBdr>
                <w:top w:val="none" w:sz="0" w:space="0" w:color="auto"/>
                <w:left w:val="none" w:sz="0" w:space="0" w:color="auto"/>
                <w:bottom w:val="none" w:sz="0" w:space="0" w:color="auto"/>
                <w:right w:val="none" w:sz="0" w:space="0" w:color="auto"/>
              </w:divBdr>
            </w:div>
            <w:div w:id="661158260">
              <w:marLeft w:val="0"/>
              <w:marRight w:val="0"/>
              <w:marTop w:val="0"/>
              <w:marBottom w:val="0"/>
              <w:divBdr>
                <w:top w:val="none" w:sz="0" w:space="0" w:color="auto"/>
                <w:left w:val="none" w:sz="0" w:space="0" w:color="auto"/>
                <w:bottom w:val="none" w:sz="0" w:space="0" w:color="auto"/>
                <w:right w:val="none" w:sz="0" w:space="0" w:color="auto"/>
              </w:divBdr>
            </w:div>
            <w:div w:id="130952421">
              <w:marLeft w:val="0"/>
              <w:marRight w:val="0"/>
              <w:marTop w:val="0"/>
              <w:marBottom w:val="0"/>
              <w:divBdr>
                <w:top w:val="none" w:sz="0" w:space="0" w:color="auto"/>
                <w:left w:val="none" w:sz="0" w:space="0" w:color="auto"/>
                <w:bottom w:val="none" w:sz="0" w:space="0" w:color="auto"/>
                <w:right w:val="none" w:sz="0" w:space="0" w:color="auto"/>
              </w:divBdr>
            </w:div>
            <w:div w:id="1511481401">
              <w:marLeft w:val="0"/>
              <w:marRight w:val="0"/>
              <w:marTop w:val="0"/>
              <w:marBottom w:val="0"/>
              <w:divBdr>
                <w:top w:val="none" w:sz="0" w:space="0" w:color="auto"/>
                <w:left w:val="none" w:sz="0" w:space="0" w:color="auto"/>
                <w:bottom w:val="none" w:sz="0" w:space="0" w:color="auto"/>
                <w:right w:val="none" w:sz="0" w:space="0" w:color="auto"/>
              </w:divBdr>
            </w:div>
            <w:div w:id="284779186">
              <w:marLeft w:val="0"/>
              <w:marRight w:val="0"/>
              <w:marTop w:val="0"/>
              <w:marBottom w:val="0"/>
              <w:divBdr>
                <w:top w:val="none" w:sz="0" w:space="0" w:color="auto"/>
                <w:left w:val="none" w:sz="0" w:space="0" w:color="auto"/>
                <w:bottom w:val="none" w:sz="0" w:space="0" w:color="auto"/>
                <w:right w:val="none" w:sz="0" w:space="0" w:color="auto"/>
              </w:divBdr>
            </w:div>
            <w:div w:id="1730878321">
              <w:marLeft w:val="0"/>
              <w:marRight w:val="0"/>
              <w:marTop w:val="0"/>
              <w:marBottom w:val="0"/>
              <w:divBdr>
                <w:top w:val="none" w:sz="0" w:space="0" w:color="auto"/>
                <w:left w:val="none" w:sz="0" w:space="0" w:color="auto"/>
                <w:bottom w:val="none" w:sz="0" w:space="0" w:color="auto"/>
                <w:right w:val="none" w:sz="0" w:space="0" w:color="auto"/>
              </w:divBdr>
            </w:div>
            <w:div w:id="1423454692">
              <w:marLeft w:val="0"/>
              <w:marRight w:val="0"/>
              <w:marTop w:val="0"/>
              <w:marBottom w:val="0"/>
              <w:divBdr>
                <w:top w:val="none" w:sz="0" w:space="0" w:color="auto"/>
                <w:left w:val="none" w:sz="0" w:space="0" w:color="auto"/>
                <w:bottom w:val="none" w:sz="0" w:space="0" w:color="auto"/>
                <w:right w:val="none" w:sz="0" w:space="0" w:color="auto"/>
              </w:divBdr>
            </w:div>
            <w:div w:id="134303027">
              <w:marLeft w:val="0"/>
              <w:marRight w:val="0"/>
              <w:marTop w:val="0"/>
              <w:marBottom w:val="0"/>
              <w:divBdr>
                <w:top w:val="none" w:sz="0" w:space="0" w:color="auto"/>
                <w:left w:val="none" w:sz="0" w:space="0" w:color="auto"/>
                <w:bottom w:val="none" w:sz="0" w:space="0" w:color="auto"/>
                <w:right w:val="none" w:sz="0" w:space="0" w:color="auto"/>
              </w:divBdr>
            </w:div>
            <w:div w:id="980615969">
              <w:marLeft w:val="0"/>
              <w:marRight w:val="0"/>
              <w:marTop w:val="0"/>
              <w:marBottom w:val="0"/>
              <w:divBdr>
                <w:top w:val="none" w:sz="0" w:space="0" w:color="auto"/>
                <w:left w:val="none" w:sz="0" w:space="0" w:color="auto"/>
                <w:bottom w:val="none" w:sz="0" w:space="0" w:color="auto"/>
                <w:right w:val="none" w:sz="0" w:space="0" w:color="auto"/>
              </w:divBdr>
            </w:div>
            <w:div w:id="155997317">
              <w:marLeft w:val="0"/>
              <w:marRight w:val="0"/>
              <w:marTop w:val="0"/>
              <w:marBottom w:val="0"/>
              <w:divBdr>
                <w:top w:val="none" w:sz="0" w:space="0" w:color="auto"/>
                <w:left w:val="none" w:sz="0" w:space="0" w:color="auto"/>
                <w:bottom w:val="none" w:sz="0" w:space="0" w:color="auto"/>
                <w:right w:val="none" w:sz="0" w:space="0" w:color="auto"/>
              </w:divBdr>
            </w:div>
            <w:div w:id="477310492">
              <w:marLeft w:val="0"/>
              <w:marRight w:val="0"/>
              <w:marTop w:val="0"/>
              <w:marBottom w:val="0"/>
              <w:divBdr>
                <w:top w:val="none" w:sz="0" w:space="0" w:color="auto"/>
                <w:left w:val="none" w:sz="0" w:space="0" w:color="auto"/>
                <w:bottom w:val="none" w:sz="0" w:space="0" w:color="auto"/>
                <w:right w:val="none" w:sz="0" w:space="0" w:color="auto"/>
              </w:divBdr>
            </w:div>
            <w:div w:id="46492937">
              <w:marLeft w:val="0"/>
              <w:marRight w:val="0"/>
              <w:marTop w:val="0"/>
              <w:marBottom w:val="0"/>
              <w:divBdr>
                <w:top w:val="none" w:sz="0" w:space="0" w:color="auto"/>
                <w:left w:val="none" w:sz="0" w:space="0" w:color="auto"/>
                <w:bottom w:val="none" w:sz="0" w:space="0" w:color="auto"/>
                <w:right w:val="none" w:sz="0" w:space="0" w:color="auto"/>
              </w:divBdr>
            </w:div>
            <w:div w:id="223293770">
              <w:marLeft w:val="0"/>
              <w:marRight w:val="0"/>
              <w:marTop w:val="0"/>
              <w:marBottom w:val="0"/>
              <w:divBdr>
                <w:top w:val="none" w:sz="0" w:space="0" w:color="auto"/>
                <w:left w:val="none" w:sz="0" w:space="0" w:color="auto"/>
                <w:bottom w:val="none" w:sz="0" w:space="0" w:color="auto"/>
                <w:right w:val="none" w:sz="0" w:space="0" w:color="auto"/>
              </w:divBdr>
            </w:div>
            <w:div w:id="198667679">
              <w:marLeft w:val="0"/>
              <w:marRight w:val="0"/>
              <w:marTop w:val="0"/>
              <w:marBottom w:val="0"/>
              <w:divBdr>
                <w:top w:val="none" w:sz="0" w:space="0" w:color="auto"/>
                <w:left w:val="none" w:sz="0" w:space="0" w:color="auto"/>
                <w:bottom w:val="none" w:sz="0" w:space="0" w:color="auto"/>
                <w:right w:val="none" w:sz="0" w:space="0" w:color="auto"/>
              </w:divBdr>
            </w:div>
            <w:div w:id="332951011">
              <w:marLeft w:val="0"/>
              <w:marRight w:val="0"/>
              <w:marTop w:val="0"/>
              <w:marBottom w:val="0"/>
              <w:divBdr>
                <w:top w:val="none" w:sz="0" w:space="0" w:color="auto"/>
                <w:left w:val="none" w:sz="0" w:space="0" w:color="auto"/>
                <w:bottom w:val="none" w:sz="0" w:space="0" w:color="auto"/>
                <w:right w:val="none" w:sz="0" w:space="0" w:color="auto"/>
              </w:divBdr>
            </w:div>
            <w:div w:id="1154643326">
              <w:marLeft w:val="0"/>
              <w:marRight w:val="0"/>
              <w:marTop w:val="0"/>
              <w:marBottom w:val="0"/>
              <w:divBdr>
                <w:top w:val="none" w:sz="0" w:space="0" w:color="auto"/>
                <w:left w:val="none" w:sz="0" w:space="0" w:color="auto"/>
                <w:bottom w:val="none" w:sz="0" w:space="0" w:color="auto"/>
                <w:right w:val="none" w:sz="0" w:space="0" w:color="auto"/>
              </w:divBdr>
            </w:div>
            <w:div w:id="463351786">
              <w:marLeft w:val="0"/>
              <w:marRight w:val="0"/>
              <w:marTop w:val="0"/>
              <w:marBottom w:val="0"/>
              <w:divBdr>
                <w:top w:val="none" w:sz="0" w:space="0" w:color="auto"/>
                <w:left w:val="none" w:sz="0" w:space="0" w:color="auto"/>
                <w:bottom w:val="none" w:sz="0" w:space="0" w:color="auto"/>
                <w:right w:val="none" w:sz="0" w:space="0" w:color="auto"/>
              </w:divBdr>
            </w:div>
            <w:div w:id="1039552896">
              <w:marLeft w:val="0"/>
              <w:marRight w:val="0"/>
              <w:marTop w:val="0"/>
              <w:marBottom w:val="0"/>
              <w:divBdr>
                <w:top w:val="none" w:sz="0" w:space="0" w:color="auto"/>
                <w:left w:val="none" w:sz="0" w:space="0" w:color="auto"/>
                <w:bottom w:val="none" w:sz="0" w:space="0" w:color="auto"/>
                <w:right w:val="none" w:sz="0" w:space="0" w:color="auto"/>
              </w:divBdr>
            </w:div>
            <w:div w:id="1287934753">
              <w:marLeft w:val="0"/>
              <w:marRight w:val="0"/>
              <w:marTop w:val="0"/>
              <w:marBottom w:val="0"/>
              <w:divBdr>
                <w:top w:val="none" w:sz="0" w:space="0" w:color="auto"/>
                <w:left w:val="none" w:sz="0" w:space="0" w:color="auto"/>
                <w:bottom w:val="none" w:sz="0" w:space="0" w:color="auto"/>
                <w:right w:val="none" w:sz="0" w:space="0" w:color="auto"/>
              </w:divBdr>
            </w:div>
            <w:div w:id="881864034">
              <w:marLeft w:val="0"/>
              <w:marRight w:val="0"/>
              <w:marTop w:val="0"/>
              <w:marBottom w:val="0"/>
              <w:divBdr>
                <w:top w:val="none" w:sz="0" w:space="0" w:color="auto"/>
                <w:left w:val="none" w:sz="0" w:space="0" w:color="auto"/>
                <w:bottom w:val="none" w:sz="0" w:space="0" w:color="auto"/>
                <w:right w:val="none" w:sz="0" w:space="0" w:color="auto"/>
              </w:divBdr>
            </w:div>
            <w:div w:id="459035974">
              <w:marLeft w:val="0"/>
              <w:marRight w:val="0"/>
              <w:marTop w:val="0"/>
              <w:marBottom w:val="0"/>
              <w:divBdr>
                <w:top w:val="none" w:sz="0" w:space="0" w:color="auto"/>
                <w:left w:val="none" w:sz="0" w:space="0" w:color="auto"/>
                <w:bottom w:val="none" w:sz="0" w:space="0" w:color="auto"/>
                <w:right w:val="none" w:sz="0" w:space="0" w:color="auto"/>
              </w:divBdr>
            </w:div>
            <w:div w:id="1880510593">
              <w:marLeft w:val="0"/>
              <w:marRight w:val="0"/>
              <w:marTop w:val="0"/>
              <w:marBottom w:val="0"/>
              <w:divBdr>
                <w:top w:val="none" w:sz="0" w:space="0" w:color="auto"/>
                <w:left w:val="none" w:sz="0" w:space="0" w:color="auto"/>
                <w:bottom w:val="none" w:sz="0" w:space="0" w:color="auto"/>
                <w:right w:val="none" w:sz="0" w:space="0" w:color="auto"/>
              </w:divBdr>
            </w:div>
            <w:div w:id="108858170">
              <w:marLeft w:val="0"/>
              <w:marRight w:val="0"/>
              <w:marTop w:val="0"/>
              <w:marBottom w:val="0"/>
              <w:divBdr>
                <w:top w:val="none" w:sz="0" w:space="0" w:color="auto"/>
                <w:left w:val="none" w:sz="0" w:space="0" w:color="auto"/>
                <w:bottom w:val="none" w:sz="0" w:space="0" w:color="auto"/>
                <w:right w:val="none" w:sz="0" w:space="0" w:color="auto"/>
              </w:divBdr>
            </w:div>
            <w:div w:id="750855897">
              <w:marLeft w:val="0"/>
              <w:marRight w:val="0"/>
              <w:marTop w:val="0"/>
              <w:marBottom w:val="0"/>
              <w:divBdr>
                <w:top w:val="none" w:sz="0" w:space="0" w:color="auto"/>
                <w:left w:val="none" w:sz="0" w:space="0" w:color="auto"/>
                <w:bottom w:val="none" w:sz="0" w:space="0" w:color="auto"/>
                <w:right w:val="none" w:sz="0" w:space="0" w:color="auto"/>
              </w:divBdr>
            </w:div>
            <w:div w:id="1454204198">
              <w:marLeft w:val="0"/>
              <w:marRight w:val="0"/>
              <w:marTop w:val="0"/>
              <w:marBottom w:val="0"/>
              <w:divBdr>
                <w:top w:val="none" w:sz="0" w:space="0" w:color="auto"/>
                <w:left w:val="none" w:sz="0" w:space="0" w:color="auto"/>
                <w:bottom w:val="none" w:sz="0" w:space="0" w:color="auto"/>
                <w:right w:val="none" w:sz="0" w:space="0" w:color="auto"/>
              </w:divBdr>
            </w:div>
            <w:div w:id="346948962">
              <w:marLeft w:val="0"/>
              <w:marRight w:val="0"/>
              <w:marTop w:val="0"/>
              <w:marBottom w:val="0"/>
              <w:divBdr>
                <w:top w:val="none" w:sz="0" w:space="0" w:color="auto"/>
                <w:left w:val="none" w:sz="0" w:space="0" w:color="auto"/>
                <w:bottom w:val="none" w:sz="0" w:space="0" w:color="auto"/>
                <w:right w:val="none" w:sz="0" w:space="0" w:color="auto"/>
              </w:divBdr>
            </w:div>
            <w:div w:id="310719988">
              <w:marLeft w:val="0"/>
              <w:marRight w:val="0"/>
              <w:marTop w:val="0"/>
              <w:marBottom w:val="0"/>
              <w:divBdr>
                <w:top w:val="none" w:sz="0" w:space="0" w:color="auto"/>
                <w:left w:val="none" w:sz="0" w:space="0" w:color="auto"/>
                <w:bottom w:val="none" w:sz="0" w:space="0" w:color="auto"/>
                <w:right w:val="none" w:sz="0" w:space="0" w:color="auto"/>
              </w:divBdr>
            </w:div>
            <w:div w:id="1941796412">
              <w:marLeft w:val="0"/>
              <w:marRight w:val="0"/>
              <w:marTop w:val="0"/>
              <w:marBottom w:val="0"/>
              <w:divBdr>
                <w:top w:val="none" w:sz="0" w:space="0" w:color="auto"/>
                <w:left w:val="none" w:sz="0" w:space="0" w:color="auto"/>
                <w:bottom w:val="none" w:sz="0" w:space="0" w:color="auto"/>
                <w:right w:val="none" w:sz="0" w:space="0" w:color="auto"/>
              </w:divBdr>
            </w:div>
            <w:div w:id="148517230">
              <w:marLeft w:val="0"/>
              <w:marRight w:val="0"/>
              <w:marTop w:val="0"/>
              <w:marBottom w:val="0"/>
              <w:divBdr>
                <w:top w:val="none" w:sz="0" w:space="0" w:color="auto"/>
                <w:left w:val="none" w:sz="0" w:space="0" w:color="auto"/>
                <w:bottom w:val="none" w:sz="0" w:space="0" w:color="auto"/>
                <w:right w:val="none" w:sz="0" w:space="0" w:color="auto"/>
              </w:divBdr>
            </w:div>
            <w:div w:id="1907884115">
              <w:marLeft w:val="0"/>
              <w:marRight w:val="0"/>
              <w:marTop w:val="0"/>
              <w:marBottom w:val="0"/>
              <w:divBdr>
                <w:top w:val="none" w:sz="0" w:space="0" w:color="auto"/>
                <w:left w:val="none" w:sz="0" w:space="0" w:color="auto"/>
                <w:bottom w:val="none" w:sz="0" w:space="0" w:color="auto"/>
                <w:right w:val="none" w:sz="0" w:space="0" w:color="auto"/>
              </w:divBdr>
            </w:div>
            <w:div w:id="1754012308">
              <w:marLeft w:val="0"/>
              <w:marRight w:val="0"/>
              <w:marTop w:val="0"/>
              <w:marBottom w:val="0"/>
              <w:divBdr>
                <w:top w:val="none" w:sz="0" w:space="0" w:color="auto"/>
                <w:left w:val="none" w:sz="0" w:space="0" w:color="auto"/>
                <w:bottom w:val="none" w:sz="0" w:space="0" w:color="auto"/>
                <w:right w:val="none" w:sz="0" w:space="0" w:color="auto"/>
              </w:divBdr>
            </w:div>
            <w:div w:id="770398492">
              <w:marLeft w:val="0"/>
              <w:marRight w:val="0"/>
              <w:marTop w:val="0"/>
              <w:marBottom w:val="0"/>
              <w:divBdr>
                <w:top w:val="none" w:sz="0" w:space="0" w:color="auto"/>
                <w:left w:val="none" w:sz="0" w:space="0" w:color="auto"/>
                <w:bottom w:val="none" w:sz="0" w:space="0" w:color="auto"/>
                <w:right w:val="none" w:sz="0" w:space="0" w:color="auto"/>
              </w:divBdr>
            </w:div>
            <w:div w:id="763263944">
              <w:marLeft w:val="0"/>
              <w:marRight w:val="0"/>
              <w:marTop w:val="0"/>
              <w:marBottom w:val="0"/>
              <w:divBdr>
                <w:top w:val="none" w:sz="0" w:space="0" w:color="auto"/>
                <w:left w:val="none" w:sz="0" w:space="0" w:color="auto"/>
                <w:bottom w:val="none" w:sz="0" w:space="0" w:color="auto"/>
                <w:right w:val="none" w:sz="0" w:space="0" w:color="auto"/>
              </w:divBdr>
            </w:div>
            <w:div w:id="1543009519">
              <w:marLeft w:val="0"/>
              <w:marRight w:val="0"/>
              <w:marTop w:val="0"/>
              <w:marBottom w:val="0"/>
              <w:divBdr>
                <w:top w:val="none" w:sz="0" w:space="0" w:color="auto"/>
                <w:left w:val="none" w:sz="0" w:space="0" w:color="auto"/>
                <w:bottom w:val="none" w:sz="0" w:space="0" w:color="auto"/>
                <w:right w:val="none" w:sz="0" w:space="0" w:color="auto"/>
              </w:divBdr>
            </w:div>
            <w:div w:id="347565487">
              <w:marLeft w:val="0"/>
              <w:marRight w:val="0"/>
              <w:marTop w:val="0"/>
              <w:marBottom w:val="0"/>
              <w:divBdr>
                <w:top w:val="none" w:sz="0" w:space="0" w:color="auto"/>
                <w:left w:val="none" w:sz="0" w:space="0" w:color="auto"/>
                <w:bottom w:val="none" w:sz="0" w:space="0" w:color="auto"/>
                <w:right w:val="none" w:sz="0" w:space="0" w:color="auto"/>
              </w:divBdr>
            </w:div>
            <w:div w:id="138084949">
              <w:marLeft w:val="0"/>
              <w:marRight w:val="0"/>
              <w:marTop w:val="0"/>
              <w:marBottom w:val="0"/>
              <w:divBdr>
                <w:top w:val="none" w:sz="0" w:space="0" w:color="auto"/>
                <w:left w:val="none" w:sz="0" w:space="0" w:color="auto"/>
                <w:bottom w:val="none" w:sz="0" w:space="0" w:color="auto"/>
                <w:right w:val="none" w:sz="0" w:space="0" w:color="auto"/>
              </w:divBdr>
            </w:div>
            <w:div w:id="102311310">
              <w:marLeft w:val="0"/>
              <w:marRight w:val="0"/>
              <w:marTop w:val="0"/>
              <w:marBottom w:val="0"/>
              <w:divBdr>
                <w:top w:val="none" w:sz="0" w:space="0" w:color="auto"/>
                <w:left w:val="none" w:sz="0" w:space="0" w:color="auto"/>
                <w:bottom w:val="none" w:sz="0" w:space="0" w:color="auto"/>
                <w:right w:val="none" w:sz="0" w:space="0" w:color="auto"/>
              </w:divBdr>
            </w:div>
            <w:div w:id="1051804195">
              <w:marLeft w:val="0"/>
              <w:marRight w:val="0"/>
              <w:marTop w:val="0"/>
              <w:marBottom w:val="0"/>
              <w:divBdr>
                <w:top w:val="none" w:sz="0" w:space="0" w:color="auto"/>
                <w:left w:val="none" w:sz="0" w:space="0" w:color="auto"/>
                <w:bottom w:val="none" w:sz="0" w:space="0" w:color="auto"/>
                <w:right w:val="none" w:sz="0" w:space="0" w:color="auto"/>
              </w:divBdr>
            </w:div>
            <w:div w:id="1621105025">
              <w:marLeft w:val="0"/>
              <w:marRight w:val="0"/>
              <w:marTop w:val="0"/>
              <w:marBottom w:val="0"/>
              <w:divBdr>
                <w:top w:val="none" w:sz="0" w:space="0" w:color="auto"/>
                <w:left w:val="none" w:sz="0" w:space="0" w:color="auto"/>
                <w:bottom w:val="none" w:sz="0" w:space="0" w:color="auto"/>
                <w:right w:val="none" w:sz="0" w:space="0" w:color="auto"/>
              </w:divBdr>
            </w:div>
            <w:div w:id="3241342">
              <w:marLeft w:val="0"/>
              <w:marRight w:val="0"/>
              <w:marTop w:val="0"/>
              <w:marBottom w:val="0"/>
              <w:divBdr>
                <w:top w:val="none" w:sz="0" w:space="0" w:color="auto"/>
                <w:left w:val="none" w:sz="0" w:space="0" w:color="auto"/>
                <w:bottom w:val="none" w:sz="0" w:space="0" w:color="auto"/>
                <w:right w:val="none" w:sz="0" w:space="0" w:color="auto"/>
              </w:divBdr>
            </w:div>
            <w:div w:id="508763255">
              <w:marLeft w:val="0"/>
              <w:marRight w:val="0"/>
              <w:marTop w:val="0"/>
              <w:marBottom w:val="0"/>
              <w:divBdr>
                <w:top w:val="none" w:sz="0" w:space="0" w:color="auto"/>
                <w:left w:val="none" w:sz="0" w:space="0" w:color="auto"/>
                <w:bottom w:val="none" w:sz="0" w:space="0" w:color="auto"/>
                <w:right w:val="none" w:sz="0" w:space="0" w:color="auto"/>
              </w:divBdr>
            </w:div>
            <w:div w:id="356471934">
              <w:marLeft w:val="0"/>
              <w:marRight w:val="0"/>
              <w:marTop w:val="0"/>
              <w:marBottom w:val="0"/>
              <w:divBdr>
                <w:top w:val="none" w:sz="0" w:space="0" w:color="auto"/>
                <w:left w:val="none" w:sz="0" w:space="0" w:color="auto"/>
                <w:bottom w:val="none" w:sz="0" w:space="0" w:color="auto"/>
                <w:right w:val="none" w:sz="0" w:space="0" w:color="auto"/>
              </w:divBdr>
            </w:div>
            <w:div w:id="320041593">
              <w:marLeft w:val="0"/>
              <w:marRight w:val="0"/>
              <w:marTop w:val="0"/>
              <w:marBottom w:val="0"/>
              <w:divBdr>
                <w:top w:val="none" w:sz="0" w:space="0" w:color="auto"/>
                <w:left w:val="none" w:sz="0" w:space="0" w:color="auto"/>
                <w:bottom w:val="none" w:sz="0" w:space="0" w:color="auto"/>
                <w:right w:val="none" w:sz="0" w:space="0" w:color="auto"/>
              </w:divBdr>
            </w:div>
            <w:div w:id="10273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88709">
      <w:bodyDiv w:val="1"/>
      <w:marLeft w:val="0"/>
      <w:marRight w:val="0"/>
      <w:marTop w:val="0"/>
      <w:marBottom w:val="0"/>
      <w:divBdr>
        <w:top w:val="none" w:sz="0" w:space="0" w:color="auto"/>
        <w:left w:val="none" w:sz="0" w:space="0" w:color="auto"/>
        <w:bottom w:val="none" w:sz="0" w:space="0" w:color="auto"/>
        <w:right w:val="none" w:sz="0" w:space="0" w:color="auto"/>
      </w:divBdr>
      <w:divsChild>
        <w:div w:id="1913660662">
          <w:marLeft w:val="480"/>
          <w:marRight w:val="0"/>
          <w:marTop w:val="0"/>
          <w:marBottom w:val="0"/>
          <w:divBdr>
            <w:top w:val="none" w:sz="0" w:space="0" w:color="auto"/>
            <w:left w:val="none" w:sz="0" w:space="0" w:color="auto"/>
            <w:bottom w:val="none" w:sz="0" w:space="0" w:color="auto"/>
            <w:right w:val="none" w:sz="0" w:space="0" w:color="auto"/>
          </w:divBdr>
          <w:divsChild>
            <w:div w:id="915282631">
              <w:marLeft w:val="0"/>
              <w:marRight w:val="0"/>
              <w:marTop w:val="0"/>
              <w:marBottom w:val="0"/>
              <w:divBdr>
                <w:top w:val="none" w:sz="0" w:space="0" w:color="auto"/>
                <w:left w:val="none" w:sz="0" w:space="0" w:color="auto"/>
                <w:bottom w:val="none" w:sz="0" w:space="0" w:color="auto"/>
                <w:right w:val="none" w:sz="0" w:space="0" w:color="auto"/>
              </w:divBdr>
            </w:div>
            <w:div w:id="1522862731">
              <w:marLeft w:val="0"/>
              <w:marRight w:val="0"/>
              <w:marTop w:val="0"/>
              <w:marBottom w:val="0"/>
              <w:divBdr>
                <w:top w:val="none" w:sz="0" w:space="0" w:color="auto"/>
                <w:left w:val="none" w:sz="0" w:space="0" w:color="auto"/>
                <w:bottom w:val="none" w:sz="0" w:space="0" w:color="auto"/>
                <w:right w:val="none" w:sz="0" w:space="0" w:color="auto"/>
              </w:divBdr>
            </w:div>
            <w:div w:id="205723023">
              <w:marLeft w:val="0"/>
              <w:marRight w:val="0"/>
              <w:marTop w:val="0"/>
              <w:marBottom w:val="0"/>
              <w:divBdr>
                <w:top w:val="none" w:sz="0" w:space="0" w:color="auto"/>
                <w:left w:val="none" w:sz="0" w:space="0" w:color="auto"/>
                <w:bottom w:val="none" w:sz="0" w:space="0" w:color="auto"/>
                <w:right w:val="none" w:sz="0" w:space="0" w:color="auto"/>
              </w:divBdr>
            </w:div>
            <w:div w:id="287710473">
              <w:marLeft w:val="0"/>
              <w:marRight w:val="0"/>
              <w:marTop w:val="0"/>
              <w:marBottom w:val="0"/>
              <w:divBdr>
                <w:top w:val="none" w:sz="0" w:space="0" w:color="auto"/>
                <w:left w:val="none" w:sz="0" w:space="0" w:color="auto"/>
                <w:bottom w:val="none" w:sz="0" w:space="0" w:color="auto"/>
                <w:right w:val="none" w:sz="0" w:space="0" w:color="auto"/>
              </w:divBdr>
            </w:div>
            <w:div w:id="2062096198">
              <w:marLeft w:val="0"/>
              <w:marRight w:val="0"/>
              <w:marTop w:val="0"/>
              <w:marBottom w:val="0"/>
              <w:divBdr>
                <w:top w:val="none" w:sz="0" w:space="0" w:color="auto"/>
                <w:left w:val="none" w:sz="0" w:space="0" w:color="auto"/>
                <w:bottom w:val="none" w:sz="0" w:space="0" w:color="auto"/>
                <w:right w:val="none" w:sz="0" w:space="0" w:color="auto"/>
              </w:divBdr>
            </w:div>
            <w:div w:id="1658456311">
              <w:marLeft w:val="0"/>
              <w:marRight w:val="0"/>
              <w:marTop w:val="0"/>
              <w:marBottom w:val="0"/>
              <w:divBdr>
                <w:top w:val="none" w:sz="0" w:space="0" w:color="auto"/>
                <w:left w:val="none" w:sz="0" w:space="0" w:color="auto"/>
                <w:bottom w:val="none" w:sz="0" w:space="0" w:color="auto"/>
                <w:right w:val="none" w:sz="0" w:space="0" w:color="auto"/>
              </w:divBdr>
            </w:div>
            <w:div w:id="12727934">
              <w:marLeft w:val="0"/>
              <w:marRight w:val="0"/>
              <w:marTop w:val="0"/>
              <w:marBottom w:val="0"/>
              <w:divBdr>
                <w:top w:val="none" w:sz="0" w:space="0" w:color="auto"/>
                <w:left w:val="none" w:sz="0" w:space="0" w:color="auto"/>
                <w:bottom w:val="none" w:sz="0" w:space="0" w:color="auto"/>
                <w:right w:val="none" w:sz="0" w:space="0" w:color="auto"/>
              </w:divBdr>
            </w:div>
            <w:div w:id="414204744">
              <w:marLeft w:val="0"/>
              <w:marRight w:val="0"/>
              <w:marTop w:val="0"/>
              <w:marBottom w:val="0"/>
              <w:divBdr>
                <w:top w:val="none" w:sz="0" w:space="0" w:color="auto"/>
                <w:left w:val="none" w:sz="0" w:space="0" w:color="auto"/>
                <w:bottom w:val="none" w:sz="0" w:space="0" w:color="auto"/>
                <w:right w:val="none" w:sz="0" w:space="0" w:color="auto"/>
              </w:divBdr>
            </w:div>
            <w:div w:id="1038432299">
              <w:marLeft w:val="0"/>
              <w:marRight w:val="0"/>
              <w:marTop w:val="0"/>
              <w:marBottom w:val="0"/>
              <w:divBdr>
                <w:top w:val="none" w:sz="0" w:space="0" w:color="auto"/>
                <w:left w:val="none" w:sz="0" w:space="0" w:color="auto"/>
                <w:bottom w:val="none" w:sz="0" w:space="0" w:color="auto"/>
                <w:right w:val="none" w:sz="0" w:space="0" w:color="auto"/>
              </w:divBdr>
            </w:div>
            <w:div w:id="1390693094">
              <w:marLeft w:val="0"/>
              <w:marRight w:val="0"/>
              <w:marTop w:val="0"/>
              <w:marBottom w:val="0"/>
              <w:divBdr>
                <w:top w:val="none" w:sz="0" w:space="0" w:color="auto"/>
                <w:left w:val="none" w:sz="0" w:space="0" w:color="auto"/>
                <w:bottom w:val="none" w:sz="0" w:space="0" w:color="auto"/>
                <w:right w:val="none" w:sz="0" w:space="0" w:color="auto"/>
              </w:divBdr>
            </w:div>
            <w:div w:id="171263095">
              <w:marLeft w:val="0"/>
              <w:marRight w:val="0"/>
              <w:marTop w:val="0"/>
              <w:marBottom w:val="0"/>
              <w:divBdr>
                <w:top w:val="none" w:sz="0" w:space="0" w:color="auto"/>
                <w:left w:val="none" w:sz="0" w:space="0" w:color="auto"/>
                <w:bottom w:val="none" w:sz="0" w:space="0" w:color="auto"/>
                <w:right w:val="none" w:sz="0" w:space="0" w:color="auto"/>
              </w:divBdr>
            </w:div>
            <w:div w:id="921913300">
              <w:marLeft w:val="0"/>
              <w:marRight w:val="0"/>
              <w:marTop w:val="0"/>
              <w:marBottom w:val="0"/>
              <w:divBdr>
                <w:top w:val="none" w:sz="0" w:space="0" w:color="auto"/>
                <w:left w:val="none" w:sz="0" w:space="0" w:color="auto"/>
                <w:bottom w:val="none" w:sz="0" w:space="0" w:color="auto"/>
                <w:right w:val="none" w:sz="0" w:space="0" w:color="auto"/>
              </w:divBdr>
            </w:div>
            <w:div w:id="602881795">
              <w:marLeft w:val="0"/>
              <w:marRight w:val="0"/>
              <w:marTop w:val="0"/>
              <w:marBottom w:val="0"/>
              <w:divBdr>
                <w:top w:val="none" w:sz="0" w:space="0" w:color="auto"/>
                <w:left w:val="none" w:sz="0" w:space="0" w:color="auto"/>
                <w:bottom w:val="none" w:sz="0" w:space="0" w:color="auto"/>
                <w:right w:val="none" w:sz="0" w:space="0" w:color="auto"/>
              </w:divBdr>
            </w:div>
            <w:div w:id="1987854112">
              <w:marLeft w:val="0"/>
              <w:marRight w:val="0"/>
              <w:marTop w:val="0"/>
              <w:marBottom w:val="0"/>
              <w:divBdr>
                <w:top w:val="none" w:sz="0" w:space="0" w:color="auto"/>
                <w:left w:val="none" w:sz="0" w:space="0" w:color="auto"/>
                <w:bottom w:val="none" w:sz="0" w:space="0" w:color="auto"/>
                <w:right w:val="none" w:sz="0" w:space="0" w:color="auto"/>
              </w:divBdr>
            </w:div>
            <w:div w:id="1313564022">
              <w:marLeft w:val="0"/>
              <w:marRight w:val="0"/>
              <w:marTop w:val="0"/>
              <w:marBottom w:val="0"/>
              <w:divBdr>
                <w:top w:val="none" w:sz="0" w:space="0" w:color="auto"/>
                <w:left w:val="none" w:sz="0" w:space="0" w:color="auto"/>
                <w:bottom w:val="none" w:sz="0" w:space="0" w:color="auto"/>
                <w:right w:val="none" w:sz="0" w:space="0" w:color="auto"/>
              </w:divBdr>
            </w:div>
            <w:div w:id="239408635">
              <w:marLeft w:val="0"/>
              <w:marRight w:val="0"/>
              <w:marTop w:val="0"/>
              <w:marBottom w:val="0"/>
              <w:divBdr>
                <w:top w:val="none" w:sz="0" w:space="0" w:color="auto"/>
                <w:left w:val="none" w:sz="0" w:space="0" w:color="auto"/>
                <w:bottom w:val="none" w:sz="0" w:space="0" w:color="auto"/>
                <w:right w:val="none" w:sz="0" w:space="0" w:color="auto"/>
              </w:divBdr>
            </w:div>
            <w:div w:id="1277181181">
              <w:marLeft w:val="0"/>
              <w:marRight w:val="0"/>
              <w:marTop w:val="0"/>
              <w:marBottom w:val="0"/>
              <w:divBdr>
                <w:top w:val="none" w:sz="0" w:space="0" w:color="auto"/>
                <w:left w:val="none" w:sz="0" w:space="0" w:color="auto"/>
                <w:bottom w:val="none" w:sz="0" w:space="0" w:color="auto"/>
                <w:right w:val="none" w:sz="0" w:space="0" w:color="auto"/>
              </w:divBdr>
            </w:div>
            <w:div w:id="1634746599">
              <w:marLeft w:val="0"/>
              <w:marRight w:val="0"/>
              <w:marTop w:val="0"/>
              <w:marBottom w:val="0"/>
              <w:divBdr>
                <w:top w:val="none" w:sz="0" w:space="0" w:color="auto"/>
                <w:left w:val="none" w:sz="0" w:space="0" w:color="auto"/>
                <w:bottom w:val="none" w:sz="0" w:space="0" w:color="auto"/>
                <w:right w:val="none" w:sz="0" w:space="0" w:color="auto"/>
              </w:divBdr>
            </w:div>
            <w:div w:id="1815490689">
              <w:marLeft w:val="0"/>
              <w:marRight w:val="0"/>
              <w:marTop w:val="0"/>
              <w:marBottom w:val="0"/>
              <w:divBdr>
                <w:top w:val="none" w:sz="0" w:space="0" w:color="auto"/>
                <w:left w:val="none" w:sz="0" w:space="0" w:color="auto"/>
                <w:bottom w:val="none" w:sz="0" w:space="0" w:color="auto"/>
                <w:right w:val="none" w:sz="0" w:space="0" w:color="auto"/>
              </w:divBdr>
            </w:div>
            <w:div w:id="1771004649">
              <w:marLeft w:val="0"/>
              <w:marRight w:val="0"/>
              <w:marTop w:val="0"/>
              <w:marBottom w:val="0"/>
              <w:divBdr>
                <w:top w:val="none" w:sz="0" w:space="0" w:color="auto"/>
                <w:left w:val="none" w:sz="0" w:space="0" w:color="auto"/>
                <w:bottom w:val="none" w:sz="0" w:space="0" w:color="auto"/>
                <w:right w:val="none" w:sz="0" w:space="0" w:color="auto"/>
              </w:divBdr>
            </w:div>
            <w:div w:id="1014309594">
              <w:marLeft w:val="0"/>
              <w:marRight w:val="0"/>
              <w:marTop w:val="0"/>
              <w:marBottom w:val="0"/>
              <w:divBdr>
                <w:top w:val="none" w:sz="0" w:space="0" w:color="auto"/>
                <w:left w:val="none" w:sz="0" w:space="0" w:color="auto"/>
                <w:bottom w:val="none" w:sz="0" w:space="0" w:color="auto"/>
                <w:right w:val="none" w:sz="0" w:space="0" w:color="auto"/>
              </w:divBdr>
            </w:div>
            <w:div w:id="252326840">
              <w:marLeft w:val="0"/>
              <w:marRight w:val="0"/>
              <w:marTop w:val="0"/>
              <w:marBottom w:val="0"/>
              <w:divBdr>
                <w:top w:val="none" w:sz="0" w:space="0" w:color="auto"/>
                <w:left w:val="none" w:sz="0" w:space="0" w:color="auto"/>
                <w:bottom w:val="none" w:sz="0" w:space="0" w:color="auto"/>
                <w:right w:val="none" w:sz="0" w:space="0" w:color="auto"/>
              </w:divBdr>
            </w:div>
            <w:div w:id="508372821">
              <w:marLeft w:val="0"/>
              <w:marRight w:val="0"/>
              <w:marTop w:val="0"/>
              <w:marBottom w:val="0"/>
              <w:divBdr>
                <w:top w:val="none" w:sz="0" w:space="0" w:color="auto"/>
                <w:left w:val="none" w:sz="0" w:space="0" w:color="auto"/>
                <w:bottom w:val="none" w:sz="0" w:space="0" w:color="auto"/>
                <w:right w:val="none" w:sz="0" w:space="0" w:color="auto"/>
              </w:divBdr>
            </w:div>
            <w:div w:id="2033188947">
              <w:marLeft w:val="0"/>
              <w:marRight w:val="0"/>
              <w:marTop w:val="0"/>
              <w:marBottom w:val="0"/>
              <w:divBdr>
                <w:top w:val="none" w:sz="0" w:space="0" w:color="auto"/>
                <w:left w:val="none" w:sz="0" w:space="0" w:color="auto"/>
                <w:bottom w:val="none" w:sz="0" w:space="0" w:color="auto"/>
                <w:right w:val="none" w:sz="0" w:space="0" w:color="auto"/>
              </w:divBdr>
            </w:div>
            <w:div w:id="1960918780">
              <w:marLeft w:val="0"/>
              <w:marRight w:val="0"/>
              <w:marTop w:val="0"/>
              <w:marBottom w:val="0"/>
              <w:divBdr>
                <w:top w:val="none" w:sz="0" w:space="0" w:color="auto"/>
                <w:left w:val="none" w:sz="0" w:space="0" w:color="auto"/>
                <w:bottom w:val="none" w:sz="0" w:space="0" w:color="auto"/>
                <w:right w:val="none" w:sz="0" w:space="0" w:color="auto"/>
              </w:divBdr>
            </w:div>
            <w:div w:id="1641376919">
              <w:marLeft w:val="0"/>
              <w:marRight w:val="0"/>
              <w:marTop w:val="0"/>
              <w:marBottom w:val="0"/>
              <w:divBdr>
                <w:top w:val="none" w:sz="0" w:space="0" w:color="auto"/>
                <w:left w:val="none" w:sz="0" w:space="0" w:color="auto"/>
                <w:bottom w:val="none" w:sz="0" w:space="0" w:color="auto"/>
                <w:right w:val="none" w:sz="0" w:space="0" w:color="auto"/>
              </w:divBdr>
            </w:div>
            <w:div w:id="2021738276">
              <w:marLeft w:val="0"/>
              <w:marRight w:val="0"/>
              <w:marTop w:val="0"/>
              <w:marBottom w:val="0"/>
              <w:divBdr>
                <w:top w:val="none" w:sz="0" w:space="0" w:color="auto"/>
                <w:left w:val="none" w:sz="0" w:space="0" w:color="auto"/>
                <w:bottom w:val="none" w:sz="0" w:space="0" w:color="auto"/>
                <w:right w:val="none" w:sz="0" w:space="0" w:color="auto"/>
              </w:divBdr>
            </w:div>
            <w:div w:id="1061751009">
              <w:marLeft w:val="0"/>
              <w:marRight w:val="0"/>
              <w:marTop w:val="0"/>
              <w:marBottom w:val="0"/>
              <w:divBdr>
                <w:top w:val="none" w:sz="0" w:space="0" w:color="auto"/>
                <w:left w:val="none" w:sz="0" w:space="0" w:color="auto"/>
                <w:bottom w:val="none" w:sz="0" w:space="0" w:color="auto"/>
                <w:right w:val="none" w:sz="0" w:space="0" w:color="auto"/>
              </w:divBdr>
            </w:div>
            <w:div w:id="759109019">
              <w:marLeft w:val="0"/>
              <w:marRight w:val="0"/>
              <w:marTop w:val="0"/>
              <w:marBottom w:val="0"/>
              <w:divBdr>
                <w:top w:val="none" w:sz="0" w:space="0" w:color="auto"/>
                <w:left w:val="none" w:sz="0" w:space="0" w:color="auto"/>
                <w:bottom w:val="none" w:sz="0" w:space="0" w:color="auto"/>
                <w:right w:val="none" w:sz="0" w:space="0" w:color="auto"/>
              </w:divBdr>
            </w:div>
            <w:div w:id="1470245562">
              <w:marLeft w:val="0"/>
              <w:marRight w:val="0"/>
              <w:marTop w:val="0"/>
              <w:marBottom w:val="0"/>
              <w:divBdr>
                <w:top w:val="none" w:sz="0" w:space="0" w:color="auto"/>
                <w:left w:val="none" w:sz="0" w:space="0" w:color="auto"/>
                <w:bottom w:val="none" w:sz="0" w:space="0" w:color="auto"/>
                <w:right w:val="none" w:sz="0" w:space="0" w:color="auto"/>
              </w:divBdr>
            </w:div>
            <w:div w:id="843546118">
              <w:marLeft w:val="0"/>
              <w:marRight w:val="0"/>
              <w:marTop w:val="0"/>
              <w:marBottom w:val="0"/>
              <w:divBdr>
                <w:top w:val="none" w:sz="0" w:space="0" w:color="auto"/>
                <w:left w:val="none" w:sz="0" w:space="0" w:color="auto"/>
                <w:bottom w:val="none" w:sz="0" w:space="0" w:color="auto"/>
                <w:right w:val="none" w:sz="0" w:space="0" w:color="auto"/>
              </w:divBdr>
            </w:div>
            <w:div w:id="1417365760">
              <w:marLeft w:val="0"/>
              <w:marRight w:val="0"/>
              <w:marTop w:val="0"/>
              <w:marBottom w:val="0"/>
              <w:divBdr>
                <w:top w:val="none" w:sz="0" w:space="0" w:color="auto"/>
                <w:left w:val="none" w:sz="0" w:space="0" w:color="auto"/>
                <w:bottom w:val="none" w:sz="0" w:space="0" w:color="auto"/>
                <w:right w:val="none" w:sz="0" w:space="0" w:color="auto"/>
              </w:divBdr>
            </w:div>
            <w:div w:id="776215436">
              <w:marLeft w:val="0"/>
              <w:marRight w:val="0"/>
              <w:marTop w:val="0"/>
              <w:marBottom w:val="0"/>
              <w:divBdr>
                <w:top w:val="none" w:sz="0" w:space="0" w:color="auto"/>
                <w:left w:val="none" w:sz="0" w:space="0" w:color="auto"/>
                <w:bottom w:val="none" w:sz="0" w:space="0" w:color="auto"/>
                <w:right w:val="none" w:sz="0" w:space="0" w:color="auto"/>
              </w:divBdr>
            </w:div>
            <w:div w:id="1487287121">
              <w:marLeft w:val="0"/>
              <w:marRight w:val="0"/>
              <w:marTop w:val="0"/>
              <w:marBottom w:val="0"/>
              <w:divBdr>
                <w:top w:val="none" w:sz="0" w:space="0" w:color="auto"/>
                <w:left w:val="none" w:sz="0" w:space="0" w:color="auto"/>
                <w:bottom w:val="none" w:sz="0" w:space="0" w:color="auto"/>
                <w:right w:val="none" w:sz="0" w:space="0" w:color="auto"/>
              </w:divBdr>
            </w:div>
            <w:div w:id="849952581">
              <w:marLeft w:val="0"/>
              <w:marRight w:val="0"/>
              <w:marTop w:val="0"/>
              <w:marBottom w:val="0"/>
              <w:divBdr>
                <w:top w:val="none" w:sz="0" w:space="0" w:color="auto"/>
                <w:left w:val="none" w:sz="0" w:space="0" w:color="auto"/>
                <w:bottom w:val="none" w:sz="0" w:space="0" w:color="auto"/>
                <w:right w:val="none" w:sz="0" w:space="0" w:color="auto"/>
              </w:divBdr>
            </w:div>
            <w:div w:id="1177385947">
              <w:marLeft w:val="0"/>
              <w:marRight w:val="0"/>
              <w:marTop w:val="0"/>
              <w:marBottom w:val="0"/>
              <w:divBdr>
                <w:top w:val="none" w:sz="0" w:space="0" w:color="auto"/>
                <w:left w:val="none" w:sz="0" w:space="0" w:color="auto"/>
                <w:bottom w:val="none" w:sz="0" w:space="0" w:color="auto"/>
                <w:right w:val="none" w:sz="0" w:space="0" w:color="auto"/>
              </w:divBdr>
            </w:div>
            <w:div w:id="823470763">
              <w:marLeft w:val="0"/>
              <w:marRight w:val="0"/>
              <w:marTop w:val="0"/>
              <w:marBottom w:val="0"/>
              <w:divBdr>
                <w:top w:val="none" w:sz="0" w:space="0" w:color="auto"/>
                <w:left w:val="none" w:sz="0" w:space="0" w:color="auto"/>
                <w:bottom w:val="none" w:sz="0" w:space="0" w:color="auto"/>
                <w:right w:val="none" w:sz="0" w:space="0" w:color="auto"/>
              </w:divBdr>
            </w:div>
            <w:div w:id="1867019929">
              <w:marLeft w:val="0"/>
              <w:marRight w:val="0"/>
              <w:marTop w:val="0"/>
              <w:marBottom w:val="0"/>
              <w:divBdr>
                <w:top w:val="none" w:sz="0" w:space="0" w:color="auto"/>
                <w:left w:val="none" w:sz="0" w:space="0" w:color="auto"/>
                <w:bottom w:val="none" w:sz="0" w:space="0" w:color="auto"/>
                <w:right w:val="none" w:sz="0" w:space="0" w:color="auto"/>
              </w:divBdr>
            </w:div>
            <w:div w:id="1767000304">
              <w:marLeft w:val="0"/>
              <w:marRight w:val="0"/>
              <w:marTop w:val="0"/>
              <w:marBottom w:val="0"/>
              <w:divBdr>
                <w:top w:val="none" w:sz="0" w:space="0" w:color="auto"/>
                <w:left w:val="none" w:sz="0" w:space="0" w:color="auto"/>
                <w:bottom w:val="none" w:sz="0" w:space="0" w:color="auto"/>
                <w:right w:val="none" w:sz="0" w:space="0" w:color="auto"/>
              </w:divBdr>
            </w:div>
            <w:div w:id="1324241497">
              <w:marLeft w:val="0"/>
              <w:marRight w:val="0"/>
              <w:marTop w:val="0"/>
              <w:marBottom w:val="0"/>
              <w:divBdr>
                <w:top w:val="none" w:sz="0" w:space="0" w:color="auto"/>
                <w:left w:val="none" w:sz="0" w:space="0" w:color="auto"/>
                <w:bottom w:val="none" w:sz="0" w:space="0" w:color="auto"/>
                <w:right w:val="none" w:sz="0" w:space="0" w:color="auto"/>
              </w:divBdr>
            </w:div>
            <w:div w:id="947079820">
              <w:marLeft w:val="0"/>
              <w:marRight w:val="0"/>
              <w:marTop w:val="0"/>
              <w:marBottom w:val="0"/>
              <w:divBdr>
                <w:top w:val="none" w:sz="0" w:space="0" w:color="auto"/>
                <w:left w:val="none" w:sz="0" w:space="0" w:color="auto"/>
                <w:bottom w:val="none" w:sz="0" w:space="0" w:color="auto"/>
                <w:right w:val="none" w:sz="0" w:space="0" w:color="auto"/>
              </w:divBdr>
            </w:div>
            <w:div w:id="1827167322">
              <w:marLeft w:val="0"/>
              <w:marRight w:val="0"/>
              <w:marTop w:val="0"/>
              <w:marBottom w:val="0"/>
              <w:divBdr>
                <w:top w:val="none" w:sz="0" w:space="0" w:color="auto"/>
                <w:left w:val="none" w:sz="0" w:space="0" w:color="auto"/>
                <w:bottom w:val="none" w:sz="0" w:space="0" w:color="auto"/>
                <w:right w:val="none" w:sz="0" w:space="0" w:color="auto"/>
              </w:divBdr>
            </w:div>
            <w:div w:id="507722368">
              <w:marLeft w:val="0"/>
              <w:marRight w:val="0"/>
              <w:marTop w:val="0"/>
              <w:marBottom w:val="0"/>
              <w:divBdr>
                <w:top w:val="none" w:sz="0" w:space="0" w:color="auto"/>
                <w:left w:val="none" w:sz="0" w:space="0" w:color="auto"/>
                <w:bottom w:val="none" w:sz="0" w:space="0" w:color="auto"/>
                <w:right w:val="none" w:sz="0" w:space="0" w:color="auto"/>
              </w:divBdr>
            </w:div>
            <w:div w:id="1495491143">
              <w:marLeft w:val="0"/>
              <w:marRight w:val="0"/>
              <w:marTop w:val="0"/>
              <w:marBottom w:val="0"/>
              <w:divBdr>
                <w:top w:val="none" w:sz="0" w:space="0" w:color="auto"/>
                <w:left w:val="none" w:sz="0" w:space="0" w:color="auto"/>
                <w:bottom w:val="none" w:sz="0" w:space="0" w:color="auto"/>
                <w:right w:val="none" w:sz="0" w:space="0" w:color="auto"/>
              </w:divBdr>
            </w:div>
            <w:div w:id="1625889880">
              <w:marLeft w:val="0"/>
              <w:marRight w:val="0"/>
              <w:marTop w:val="0"/>
              <w:marBottom w:val="0"/>
              <w:divBdr>
                <w:top w:val="none" w:sz="0" w:space="0" w:color="auto"/>
                <w:left w:val="none" w:sz="0" w:space="0" w:color="auto"/>
                <w:bottom w:val="none" w:sz="0" w:space="0" w:color="auto"/>
                <w:right w:val="none" w:sz="0" w:space="0" w:color="auto"/>
              </w:divBdr>
            </w:div>
            <w:div w:id="1979918809">
              <w:marLeft w:val="0"/>
              <w:marRight w:val="0"/>
              <w:marTop w:val="0"/>
              <w:marBottom w:val="0"/>
              <w:divBdr>
                <w:top w:val="none" w:sz="0" w:space="0" w:color="auto"/>
                <w:left w:val="none" w:sz="0" w:space="0" w:color="auto"/>
                <w:bottom w:val="none" w:sz="0" w:space="0" w:color="auto"/>
                <w:right w:val="none" w:sz="0" w:space="0" w:color="auto"/>
              </w:divBdr>
            </w:div>
            <w:div w:id="13311674">
              <w:marLeft w:val="0"/>
              <w:marRight w:val="0"/>
              <w:marTop w:val="0"/>
              <w:marBottom w:val="0"/>
              <w:divBdr>
                <w:top w:val="none" w:sz="0" w:space="0" w:color="auto"/>
                <w:left w:val="none" w:sz="0" w:space="0" w:color="auto"/>
                <w:bottom w:val="none" w:sz="0" w:space="0" w:color="auto"/>
                <w:right w:val="none" w:sz="0" w:space="0" w:color="auto"/>
              </w:divBdr>
            </w:div>
            <w:div w:id="1719697128">
              <w:marLeft w:val="0"/>
              <w:marRight w:val="0"/>
              <w:marTop w:val="0"/>
              <w:marBottom w:val="0"/>
              <w:divBdr>
                <w:top w:val="none" w:sz="0" w:space="0" w:color="auto"/>
                <w:left w:val="none" w:sz="0" w:space="0" w:color="auto"/>
                <w:bottom w:val="none" w:sz="0" w:space="0" w:color="auto"/>
                <w:right w:val="none" w:sz="0" w:space="0" w:color="auto"/>
              </w:divBdr>
            </w:div>
            <w:div w:id="957250739">
              <w:marLeft w:val="0"/>
              <w:marRight w:val="0"/>
              <w:marTop w:val="0"/>
              <w:marBottom w:val="0"/>
              <w:divBdr>
                <w:top w:val="none" w:sz="0" w:space="0" w:color="auto"/>
                <w:left w:val="none" w:sz="0" w:space="0" w:color="auto"/>
                <w:bottom w:val="none" w:sz="0" w:space="0" w:color="auto"/>
                <w:right w:val="none" w:sz="0" w:space="0" w:color="auto"/>
              </w:divBdr>
            </w:div>
            <w:div w:id="420569103">
              <w:marLeft w:val="0"/>
              <w:marRight w:val="0"/>
              <w:marTop w:val="0"/>
              <w:marBottom w:val="0"/>
              <w:divBdr>
                <w:top w:val="none" w:sz="0" w:space="0" w:color="auto"/>
                <w:left w:val="none" w:sz="0" w:space="0" w:color="auto"/>
                <w:bottom w:val="none" w:sz="0" w:space="0" w:color="auto"/>
                <w:right w:val="none" w:sz="0" w:space="0" w:color="auto"/>
              </w:divBdr>
            </w:div>
            <w:div w:id="856240327">
              <w:marLeft w:val="0"/>
              <w:marRight w:val="0"/>
              <w:marTop w:val="0"/>
              <w:marBottom w:val="0"/>
              <w:divBdr>
                <w:top w:val="none" w:sz="0" w:space="0" w:color="auto"/>
                <w:left w:val="none" w:sz="0" w:space="0" w:color="auto"/>
                <w:bottom w:val="none" w:sz="0" w:space="0" w:color="auto"/>
                <w:right w:val="none" w:sz="0" w:space="0" w:color="auto"/>
              </w:divBdr>
            </w:div>
            <w:div w:id="1701012822">
              <w:marLeft w:val="0"/>
              <w:marRight w:val="0"/>
              <w:marTop w:val="0"/>
              <w:marBottom w:val="0"/>
              <w:divBdr>
                <w:top w:val="none" w:sz="0" w:space="0" w:color="auto"/>
                <w:left w:val="none" w:sz="0" w:space="0" w:color="auto"/>
                <w:bottom w:val="none" w:sz="0" w:space="0" w:color="auto"/>
                <w:right w:val="none" w:sz="0" w:space="0" w:color="auto"/>
              </w:divBdr>
            </w:div>
            <w:div w:id="880095456">
              <w:marLeft w:val="0"/>
              <w:marRight w:val="0"/>
              <w:marTop w:val="0"/>
              <w:marBottom w:val="0"/>
              <w:divBdr>
                <w:top w:val="none" w:sz="0" w:space="0" w:color="auto"/>
                <w:left w:val="none" w:sz="0" w:space="0" w:color="auto"/>
                <w:bottom w:val="none" w:sz="0" w:space="0" w:color="auto"/>
                <w:right w:val="none" w:sz="0" w:space="0" w:color="auto"/>
              </w:divBdr>
            </w:div>
            <w:div w:id="549615441">
              <w:marLeft w:val="0"/>
              <w:marRight w:val="0"/>
              <w:marTop w:val="0"/>
              <w:marBottom w:val="0"/>
              <w:divBdr>
                <w:top w:val="none" w:sz="0" w:space="0" w:color="auto"/>
                <w:left w:val="none" w:sz="0" w:space="0" w:color="auto"/>
                <w:bottom w:val="none" w:sz="0" w:space="0" w:color="auto"/>
                <w:right w:val="none" w:sz="0" w:space="0" w:color="auto"/>
              </w:divBdr>
            </w:div>
            <w:div w:id="198713927">
              <w:marLeft w:val="0"/>
              <w:marRight w:val="0"/>
              <w:marTop w:val="0"/>
              <w:marBottom w:val="0"/>
              <w:divBdr>
                <w:top w:val="none" w:sz="0" w:space="0" w:color="auto"/>
                <w:left w:val="none" w:sz="0" w:space="0" w:color="auto"/>
                <w:bottom w:val="none" w:sz="0" w:space="0" w:color="auto"/>
                <w:right w:val="none" w:sz="0" w:space="0" w:color="auto"/>
              </w:divBdr>
            </w:div>
            <w:div w:id="242881489">
              <w:marLeft w:val="0"/>
              <w:marRight w:val="0"/>
              <w:marTop w:val="0"/>
              <w:marBottom w:val="0"/>
              <w:divBdr>
                <w:top w:val="none" w:sz="0" w:space="0" w:color="auto"/>
                <w:left w:val="none" w:sz="0" w:space="0" w:color="auto"/>
                <w:bottom w:val="none" w:sz="0" w:space="0" w:color="auto"/>
                <w:right w:val="none" w:sz="0" w:space="0" w:color="auto"/>
              </w:divBdr>
            </w:div>
            <w:div w:id="983895526">
              <w:marLeft w:val="0"/>
              <w:marRight w:val="0"/>
              <w:marTop w:val="0"/>
              <w:marBottom w:val="0"/>
              <w:divBdr>
                <w:top w:val="none" w:sz="0" w:space="0" w:color="auto"/>
                <w:left w:val="none" w:sz="0" w:space="0" w:color="auto"/>
                <w:bottom w:val="none" w:sz="0" w:space="0" w:color="auto"/>
                <w:right w:val="none" w:sz="0" w:space="0" w:color="auto"/>
              </w:divBdr>
            </w:div>
            <w:div w:id="1150709885">
              <w:marLeft w:val="0"/>
              <w:marRight w:val="0"/>
              <w:marTop w:val="0"/>
              <w:marBottom w:val="0"/>
              <w:divBdr>
                <w:top w:val="none" w:sz="0" w:space="0" w:color="auto"/>
                <w:left w:val="none" w:sz="0" w:space="0" w:color="auto"/>
                <w:bottom w:val="none" w:sz="0" w:space="0" w:color="auto"/>
                <w:right w:val="none" w:sz="0" w:space="0" w:color="auto"/>
              </w:divBdr>
            </w:div>
            <w:div w:id="172233937">
              <w:marLeft w:val="0"/>
              <w:marRight w:val="0"/>
              <w:marTop w:val="0"/>
              <w:marBottom w:val="0"/>
              <w:divBdr>
                <w:top w:val="none" w:sz="0" w:space="0" w:color="auto"/>
                <w:left w:val="none" w:sz="0" w:space="0" w:color="auto"/>
                <w:bottom w:val="none" w:sz="0" w:space="0" w:color="auto"/>
                <w:right w:val="none" w:sz="0" w:space="0" w:color="auto"/>
              </w:divBdr>
            </w:div>
            <w:div w:id="893081760">
              <w:marLeft w:val="0"/>
              <w:marRight w:val="0"/>
              <w:marTop w:val="0"/>
              <w:marBottom w:val="0"/>
              <w:divBdr>
                <w:top w:val="none" w:sz="0" w:space="0" w:color="auto"/>
                <w:left w:val="none" w:sz="0" w:space="0" w:color="auto"/>
                <w:bottom w:val="none" w:sz="0" w:space="0" w:color="auto"/>
                <w:right w:val="none" w:sz="0" w:space="0" w:color="auto"/>
              </w:divBdr>
            </w:div>
            <w:div w:id="515769839">
              <w:marLeft w:val="0"/>
              <w:marRight w:val="0"/>
              <w:marTop w:val="0"/>
              <w:marBottom w:val="0"/>
              <w:divBdr>
                <w:top w:val="none" w:sz="0" w:space="0" w:color="auto"/>
                <w:left w:val="none" w:sz="0" w:space="0" w:color="auto"/>
                <w:bottom w:val="none" w:sz="0" w:space="0" w:color="auto"/>
                <w:right w:val="none" w:sz="0" w:space="0" w:color="auto"/>
              </w:divBdr>
            </w:div>
            <w:div w:id="476460194">
              <w:marLeft w:val="0"/>
              <w:marRight w:val="0"/>
              <w:marTop w:val="0"/>
              <w:marBottom w:val="0"/>
              <w:divBdr>
                <w:top w:val="none" w:sz="0" w:space="0" w:color="auto"/>
                <w:left w:val="none" w:sz="0" w:space="0" w:color="auto"/>
                <w:bottom w:val="none" w:sz="0" w:space="0" w:color="auto"/>
                <w:right w:val="none" w:sz="0" w:space="0" w:color="auto"/>
              </w:divBdr>
            </w:div>
            <w:div w:id="863589306">
              <w:marLeft w:val="0"/>
              <w:marRight w:val="0"/>
              <w:marTop w:val="0"/>
              <w:marBottom w:val="0"/>
              <w:divBdr>
                <w:top w:val="none" w:sz="0" w:space="0" w:color="auto"/>
                <w:left w:val="none" w:sz="0" w:space="0" w:color="auto"/>
                <w:bottom w:val="none" w:sz="0" w:space="0" w:color="auto"/>
                <w:right w:val="none" w:sz="0" w:space="0" w:color="auto"/>
              </w:divBdr>
            </w:div>
            <w:div w:id="902909089">
              <w:marLeft w:val="0"/>
              <w:marRight w:val="0"/>
              <w:marTop w:val="0"/>
              <w:marBottom w:val="0"/>
              <w:divBdr>
                <w:top w:val="none" w:sz="0" w:space="0" w:color="auto"/>
                <w:left w:val="none" w:sz="0" w:space="0" w:color="auto"/>
                <w:bottom w:val="none" w:sz="0" w:space="0" w:color="auto"/>
                <w:right w:val="none" w:sz="0" w:space="0" w:color="auto"/>
              </w:divBdr>
            </w:div>
            <w:div w:id="1444839398">
              <w:marLeft w:val="0"/>
              <w:marRight w:val="0"/>
              <w:marTop w:val="0"/>
              <w:marBottom w:val="0"/>
              <w:divBdr>
                <w:top w:val="none" w:sz="0" w:space="0" w:color="auto"/>
                <w:left w:val="none" w:sz="0" w:space="0" w:color="auto"/>
                <w:bottom w:val="none" w:sz="0" w:space="0" w:color="auto"/>
                <w:right w:val="none" w:sz="0" w:space="0" w:color="auto"/>
              </w:divBdr>
            </w:div>
            <w:div w:id="1512451443">
              <w:marLeft w:val="0"/>
              <w:marRight w:val="0"/>
              <w:marTop w:val="0"/>
              <w:marBottom w:val="0"/>
              <w:divBdr>
                <w:top w:val="none" w:sz="0" w:space="0" w:color="auto"/>
                <w:left w:val="none" w:sz="0" w:space="0" w:color="auto"/>
                <w:bottom w:val="none" w:sz="0" w:space="0" w:color="auto"/>
                <w:right w:val="none" w:sz="0" w:space="0" w:color="auto"/>
              </w:divBdr>
            </w:div>
            <w:div w:id="452360442">
              <w:marLeft w:val="0"/>
              <w:marRight w:val="0"/>
              <w:marTop w:val="0"/>
              <w:marBottom w:val="0"/>
              <w:divBdr>
                <w:top w:val="none" w:sz="0" w:space="0" w:color="auto"/>
                <w:left w:val="none" w:sz="0" w:space="0" w:color="auto"/>
                <w:bottom w:val="none" w:sz="0" w:space="0" w:color="auto"/>
                <w:right w:val="none" w:sz="0" w:space="0" w:color="auto"/>
              </w:divBdr>
            </w:div>
            <w:div w:id="927612708">
              <w:marLeft w:val="0"/>
              <w:marRight w:val="0"/>
              <w:marTop w:val="0"/>
              <w:marBottom w:val="0"/>
              <w:divBdr>
                <w:top w:val="none" w:sz="0" w:space="0" w:color="auto"/>
                <w:left w:val="none" w:sz="0" w:space="0" w:color="auto"/>
                <w:bottom w:val="none" w:sz="0" w:space="0" w:color="auto"/>
                <w:right w:val="none" w:sz="0" w:space="0" w:color="auto"/>
              </w:divBdr>
            </w:div>
            <w:div w:id="1582519862">
              <w:marLeft w:val="0"/>
              <w:marRight w:val="0"/>
              <w:marTop w:val="0"/>
              <w:marBottom w:val="0"/>
              <w:divBdr>
                <w:top w:val="none" w:sz="0" w:space="0" w:color="auto"/>
                <w:left w:val="none" w:sz="0" w:space="0" w:color="auto"/>
                <w:bottom w:val="none" w:sz="0" w:space="0" w:color="auto"/>
                <w:right w:val="none" w:sz="0" w:space="0" w:color="auto"/>
              </w:divBdr>
            </w:div>
            <w:div w:id="94863290">
              <w:marLeft w:val="0"/>
              <w:marRight w:val="0"/>
              <w:marTop w:val="0"/>
              <w:marBottom w:val="0"/>
              <w:divBdr>
                <w:top w:val="none" w:sz="0" w:space="0" w:color="auto"/>
                <w:left w:val="none" w:sz="0" w:space="0" w:color="auto"/>
                <w:bottom w:val="none" w:sz="0" w:space="0" w:color="auto"/>
                <w:right w:val="none" w:sz="0" w:space="0" w:color="auto"/>
              </w:divBdr>
            </w:div>
            <w:div w:id="725880475">
              <w:marLeft w:val="0"/>
              <w:marRight w:val="0"/>
              <w:marTop w:val="0"/>
              <w:marBottom w:val="0"/>
              <w:divBdr>
                <w:top w:val="none" w:sz="0" w:space="0" w:color="auto"/>
                <w:left w:val="none" w:sz="0" w:space="0" w:color="auto"/>
                <w:bottom w:val="none" w:sz="0" w:space="0" w:color="auto"/>
                <w:right w:val="none" w:sz="0" w:space="0" w:color="auto"/>
              </w:divBdr>
            </w:div>
            <w:div w:id="1301687291">
              <w:marLeft w:val="0"/>
              <w:marRight w:val="0"/>
              <w:marTop w:val="0"/>
              <w:marBottom w:val="0"/>
              <w:divBdr>
                <w:top w:val="none" w:sz="0" w:space="0" w:color="auto"/>
                <w:left w:val="none" w:sz="0" w:space="0" w:color="auto"/>
                <w:bottom w:val="none" w:sz="0" w:space="0" w:color="auto"/>
                <w:right w:val="none" w:sz="0" w:space="0" w:color="auto"/>
              </w:divBdr>
            </w:div>
            <w:div w:id="1109397290">
              <w:marLeft w:val="0"/>
              <w:marRight w:val="0"/>
              <w:marTop w:val="0"/>
              <w:marBottom w:val="0"/>
              <w:divBdr>
                <w:top w:val="none" w:sz="0" w:space="0" w:color="auto"/>
                <w:left w:val="none" w:sz="0" w:space="0" w:color="auto"/>
                <w:bottom w:val="none" w:sz="0" w:space="0" w:color="auto"/>
                <w:right w:val="none" w:sz="0" w:space="0" w:color="auto"/>
              </w:divBdr>
            </w:div>
            <w:div w:id="967465906">
              <w:marLeft w:val="0"/>
              <w:marRight w:val="0"/>
              <w:marTop w:val="0"/>
              <w:marBottom w:val="0"/>
              <w:divBdr>
                <w:top w:val="none" w:sz="0" w:space="0" w:color="auto"/>
                <w:left w:val="none" w:sz="0" w:space="0" w:color="auto"/>
                <w:bottom w:val="none" w:sz="0" w:space="0" w:color="auto"/>
                <w:right w:val="none" w:sz="0" w:space="0" w:color="auto"/>
              </w:divBdr>
            </w:div>
            <w:div w:id="1597130823">
              <w:marLeft w:val="0"/>
              <w:marRight w:val="0"/>
              <w:marTop w:val="0"/>
              <w:marBottom w:val="0"/>
              <w:divBdr>
                <w:top w:val="none" w:sz="0" w:space="0" w:color="auto"/>
                <w:left w:val="none" w:sz="0" w:space="0" w:color="auto"/>
                <w:bottom w:val="none" w:sz="0" w:space="0" w:color="auto"/>
                <w:right w:val="none" w:sz="0" w:space="0" w:color="auto"/>
              </w:divBdr>
            </w:div>
            <w:div w:id="1963227278">
              <w:marLeft w:val="0"/>
              <w:marRight w:val="0"/>
              <w:marTop w:val="0"/>
              <w:marBottom w:val="0"/>
              <w:divBdr>
                <w:top w:val="none" w:sz="0" w:space="0" w:color="auto"/>
                <w:left w:val="none" w:sz="0" w:space="0" w:color="auto"/>
                <w:bottom w:val="none" w:sz="0" w:space="0" w:color="auto"/>
                <w:right w:val="none" w:sz="0" w:space="0" w:color="auto"/>
              </w:divBdr>
            </w:div>
            <w:div w:id="109663579">
              <w:marLeft w:val="0"/>
              <w:marRight w:val="0"/>
              <w:marTop w:val="0"/>
              <w:marBottom w:val="0"/>
              <w:divBdr>
                <w:top w:val="none" w:sz="0" w:space="0" w:color="auto"/>
                <w:left w:val="none" w:sz="0" w:space="0" w:color="auto"/>
                <w:bottom w:val="none" w:sz="0" w:space="0" w:color="auto"/>
                <w:right w:val="none" w:sz="0" w:space="0" w:color="auto"/>
              </w:divBdr>
            </w:div>
            <w:div w:id="700401136">
              <w:marLeft w:val="0"/>
              <w:marRight w:val="0"/>
              <w:marTop w:val="0"/>
              <w:marBottom w:val="0"/>
              <w:divBdr>
                <w:top w:val="none" w:sz="0" w:space="0" w:color="auto"/>
                <w:left w:val="none" w:sz="0" w:space="0" w:color="auto"/>
                <w:bottom w:val="none" w:sz="0" w:space="0" w:color="auto"/>
                <w:right w:val="none" w:sz="0" w:space="0" w:color="auto"/>
              </w:divBdr>
            </w:div>
            <w:div w:id="829564486">
              <w:marLeft w:val="0"/>
              <w:marRight w:val="0"/>
              <w:marTop w:val="0"/>
              <w:marBottom w:val="0"/>
              <w:divBdr>
                <w:top w:val="none" w:sz="0" w:space="0" w:color="auto"/>
                <w:left w:val="none" w:sz="0" w:space="0" w:color="auto"/>
                <w:bottom w:val="none" w:sz="0" w:space="0" w:color="auto"/>
                <w:right w:val="none" w:sz="0" w:space="0" w:color="auto"/>
              </w:divBdr>
            </w:div>
            <w:div w:id="1369797862">
              <w:marLeft w:val="0"/>
              <w:marRight w:val="0"/>
              <w:marTop w:val="0"/>
              <w:marBottom w:val="0"/>
              <w:divBdr>
                <w:top w:val="none" w:sz="0" w:space="0" w:color="auto"/>
                <w:left w:val="none" w:sz="0" w:space="0" w:color="auto"/>
                <w:bottom w:val="none" w:sz="0" w:space="0" w:color="auto"/>
                <w:right w:val="none" w:sz="0" w:space="0" w:color="auto"/>
              </w:divBdr>
            </w:div>
            <w:div w:id="1338580808">
              <w:marLeft w:val="0"/>
              <w:marRight w:val="0"/>
              <w:marTop w:val="0"/>
              <w:marBottom w:val="0"/>
              <w:divBdr>
                <w:top w:val="none" w:sz="0" w:space="0" w:color="auto"/>
                <w:left w:val="none" w:sz="0" w:space="0" w:color="auto"/>
                <w:bottom w:val="none" w:sz="0" w:space="0" w:color="auto"/>
                <w:right w:val="none" w:sz="0" w:space="0" w:color="auto"/>
              </w:divBdr>
            </w:div>
            <w:div w:id="812020432">
              <w:marLeft w:val="0"/>
              <w:marRight w:val="0"/>
              <w:marTop w:val="0"/>
              <w:marBottom w:val="0"/>
              <w:divBdr>
                <w:top w:val="none" w:sz="0" w:space="0" w:color="auto"/>
                <w:left w:val="none" w:sz="0" w:space="0" w:color="auto"/>
                <w:bottom w:val="none" w:sz="0" w:space="0" w:color="auto"/>
                <w:right w:val="none" w:sz="0" w:space="0" w:color="auto"/>
              </w:divBdr>
            </w:div>
            <w:div w:id="779644814">
              <w:marLeft w:val="0"/>
              <w:marRight w:val="0"/>
              <w:marTop w:val="0"/>
              <w:marBottom w:val="0"/>
              <w:divBdr>
                <w:top w:val="none" w:sz="0" w:space="0" w:color="auto"/>
                <w:left w:val="none" w:sz="0" w:space="0" w:color="auto"/>
                <w:bottom w:val="none" w:sz="0" w:space="0" w:color="auto"/>
                <w:right w:val="none" w:sz="0" w:space="0" w:color="auto"/>
              </w:divBdr>
            </w:div>
            <w:div w:id="1214275934">
              <w:marLeft w:val="0"/>
              <w:marRight w:val="0"/>
              <w:marTop w:val="0"/>
              <w:marBottom w:val="0"/>
              <w:divBdr>
                <w:top w:val="none" w:sz="0" w:space="0" w:color="auto"/>
                <w:left w:val="none" w:sz="0" w:space="0" w:color="auto"/>
                <w:bottom w:val="none" w:sz="0" w:space="0" w:color="auto"/>
                <w:right w:val="none" w:sz="0" w:space="0" w:color="auto"/>
              </w:divBdr>
            </w:div>
            <w:div w:id="1825974818">
              <w:marLeft w:val="0"/>
              <w:marRight w:val="0"/>
              <w:marTop w:val="0"/>
              <w:marBottom w:val="0"/>
              <w:divBdr>
                <w:top w:val="none" w:sz="0" w:space="0" w:color="auto"/>
                <w:left w:val="none" w:sz="0" w:space="0" w:color="auto"/>
                <w:bottom w:val="none" w:sz="0" w:space="0" w:color="auto"/>
                <w:right w:val="none" w:sz="0" w:space="0" w:color="auto"/>
              </w:divBdr>
            </w:div>
            <w:div w:id="2079328263">
              <w:marLeft w:val="0"/>
              <w:marRight w:val="0"/>
              <w:marTop w:val="0"/>
              <w:marBottom w:val="0"/>
              <w:divBdr>
                <w:top w:val="none" w:sz="0" w:space="0" w:color="auto"/>
                <w:left w:val="none" w:sz="0" w:space="0" w:color="auto"/>
                <w:bottom w:val="none" w:sz="0" w:space="0" w:color="auto"/>
                <w:right w:val="none" w:sz="0" w:space="0" w:color="auto"/>
              </w:divBdr>
            </w:div>
            <w:div w:id="2143839540">
              <w:marLeft w:val="0"/>
              <w:marRight w:val="0"/>
              <w:marTop w:val="0"/>
              <w:marBottom w:val="0"/>
              <w:divBdr>
                <w:top w:val="none" w:sz="0" w:space="0" w:color="auto"/>
                <w:left w:val="none" w:sz="0" w:space="0" w:color="auto"/>
                <w:bottom w:val="none" w:sz="0" w:space="0" w:color="auto"/>
                <w:right w:val="none" w:sz="0" w:space="0" w:color="auto"/>
              </w:divBdr>
            </w:div>
            <w:div w:id="288361399">
              <w:marLeft w:val="0"/>
              <w:marRight w:val="0"/>
              <w:marTop w:val="0"/>
              <w:marBottom w:val="0"/>
              <w:divBdr>
                <w:top w:val="none" w:sz="0" w:space="0" w:color="auto"/>
                <w:left w:val="none" w:sz="0" w:space="0" w:color="auto"/>
                <w:bottom w:val="none" w:sz="0" w:space="0" w:color="auto"/>
                <w:right w:val="none" w:sz="0" w:space="0" w:color="auto"/>
              </w:divBdr>
            </w:div>
            <w:div w:id="1731879760">
              <w:marLeft w:val="0"/>
              <w:marRight w:val="0"/>
              <w:marTop w:val="0"/>
              <w:marBottom w:val="0"/>
              <w:divBdr>
                <w:top w:val="none" w:sz="0" w:space="0" w:color="auto"/>
                <w:left w:val="none" w:sz="0" w:space="0" w:color="auto"/>
                <w:bottom w:val="none" w:sz="0" w:space="0" w:color="auto"/>
                <w:right w:val="none" w:sz="0" w:space="0" w:color="auto"/>
              </w:divBdr>
            </w:div>
            <w:div w:id="576017898">
              <w:marLeft w:val="0"/>
              <w:marRight w:val="0"/>
              <w:marTop w:val="0"/>
              <w:marBottom w:val="0"/>
              <w:divBdr>
                <w:top w:val="none" w:sz="0" w:space="0" w:color="auto"/>
                <w:left w:val="none" w:sz="0" w:space="0" w:color="auto"/>
                <w:bottom w:val="none" w:sz="0" w:space="0" w:color="auto"/>
                <w:right w:val="none" w:sz="0" w:space="0" w:color="auto"/>
              </w:divBdr>
            </w:div>
            <w:div w:id="603194080">
              <w:marLeft w:val="0"/>
              <w:marRight w:val="0"/>
              <w:marTop w:val="0"/>
              <w:marBottom w:val="0"/>
              <w:divBdr>
                <w:top w:val="none" w:sz="0" w:space="0" w:color="auto"/>
                <w:left w:val="none" w:sz="0" w:space="0" w:color="auto"/>
                <w:bottom w:val="none" w:sz="0" w:space="0" w:color="auto"/>
                <w:right w:val="none" w:sz="0" w:space="0" w:color="auto"/>
              </w:divBdr>
            </w:div>
            <w:div w:id="1304193903">
              <w:marLeft w:val="0"/>
              <w:marRight w:val="0"/>
              <w:marTop w:val="0"/>
              <w:marBottom w:val="0"/>
              <w:divBdr>
                <w:top w:val="none" w:sz="0" w:space="0" w:color="auto"/>
                <w:left w:val="none" w:sz="0" w:space="0" w:color="auto"/>
                <w:bottom w:val="none" w:sz="0" w:space="0" w:color="auto"/>
                <w:right w:val="none" w:sz="0" w:space="0" w:color="auto"/>
              </w:divBdr>
            </w:div>
            <w:div w:id="920531888">
              <w:marLeft w:val="0"/>
              <w:marRight w:val="0"/>
              <w:marTop w:val="0"/>
              <w:marBottom w:val="0"/>
              <w:divBdr>
                <w:top w:val="none" w:sz="0" w:space="0" w:color="auto"/>
                <w:left w:val="none" w:sz="0" w:space="0" w:color="auto"/>
                <w:bottom w:val="none" w:sz="0" w:space="0" w:color="auto"/>
                <w:right w:val="none" w:sz="0" w:space="0" w:color="auto"/>
              </w:divBdr>
            </w:div>
            <w:div w:id="2089840673">
              <w:marLeft w:val="0"/>
              <w:marRight w:val="0"/>
              <w:marTop w:val="0"/>
              <w:marBottom w:val="0"/>
              <w:divBdr>
                <w:top w:val="none" w:sz="0" w:space="0" w:color="auto"/>
                <w:left w:val="none" w:sz="0" w:space="0" w:color="auto"/>
                <w:bottom w:val="none" w:sz="0" w:space="0" w:color="auto"/>
                <w:right w:val="none" w:sz="0" w:space="0" w:color="auto"/>
              </w:divBdr>
            </w:div>
            <w:div w:id="1520461152">
              <w:marLeft w:val="0"/>
              <w:marRight w:val="0"/>
              <w:marTop w:val="0"/>
              <w:marBottom w:val="0"/>
              <w:divBdr>
                <w:top w:val="none" w:sz="0" w:space="0" w:color="auto"/>
                <w:left w:val="none" w:sz="0" w:space="0" w:color="auto"/>
                <w:bottom w:val="none" w:sz="0" w:space="0" w:color="auto"/>
                <w:right w:val="none" w:sz="0" w:space="0" w:color="auto"/>
              </w:divBdr>
            </w:div>
            <w:div w:id="990595302">
              <w:marLeft w:val="0"/>
              <w:marRight w:val="0"/>
              <w:marTop w:val="0"/>
              <w:marBottom w:val="0"/>
              <w:divBdr>
                <w:top w:val="none" w:sz="0" w:space="0" w:color="auto"/>
                <w:left w:val="none" w:sz="0" w:space="0" w:color="auto"/>
                <w:bottom w:val="none" w:sz="0" w:space="0" w:color="auto"/>
                <w:right w:val="none" w:sz="0" w:space="0" w:color="auto"/>
              </w:divBdr>
            </w:div>
            <w:div w:id="1197042845">
              <w:marLeft w:val="0"/>
              <w:marRight w:val="0"/>
              <w:marTop w:val="0"/>
              <w:marBottom w:val="0"/>
              <w:divBdr>
                <w:top w:val="none" w:sz="0" w:space="0" w:color="auto"/>
                <w:left w:val="none" w:sz="0" w:space="0" w:color="auto"/>
                <w:bottom w:val="none" w:sz="0" w:space="0" w:color="auto"/>
                <w:right w:val="none" w:sz="0" w:space="0" w:color="auto"/>
              </w:divBdr>
            </w:div>
            <w:div w:id="1495602982">
              <w:marLeft w:val="0"/>
              <w:marRight w:val="0"/>
              <w:marTop w:val="0"/>
              <w:marBottom w:val="0"/>
              <w:divBdr>
                <w:top w:val="none" w:sz="0" w:space="0" w:color="auto"/>
                <w:left w:val="none" w:sz="0" w:space="0" w:color="auto"/>
                <w:bottom w:val="none" w:sz="0" w:space="0" w:color="auto"/>
                <w:right w:val="none" w:sz="0" w:space="0" w:color="auto"/>
              </w:divBdr>
            </w:div>
            <w:div w:id="750812478">
              <w:marLeft w:val="0"/>
              <w:marRight w:val="0"/>
              <w:marTop w:val="0"/>
              <w:marBottom w:val="0"/>
              <w:divBdr>
                <w:top w:val="none" w:sz="0" w:space="0" w:color="auto"/>
                <w:left w:val="none" w:sz="0" w:space="0" w:color="auto"/>
                <w:bottom w:val="none" w:sz="0" w:space="0" w:color="auto"/>
                <w:right w:val="none" w:sz="0" w:space="0" w:color="auto"/>
              </w:divBdr>
            </w:div>
            <w:div w:id="1708292872">
              <w:marLeft w:val="0"/>
              <w:marRight w:val="0"/>
              <w:marTop w:val="0"/>
              <w:marBottom w:val="0"/>
              <w:divBdr>
                <w:top w:val="none" w:sz="0" w:space="0" w:color="auto"/>
                <w:left w:val="none" w:sz="0" w:space="0" w:color="auto"/>
                <w:bottom w:val="none" w:sz="0" w:space="0" w:color="auto"/>
                <w:right w:val="none" w:sz="0" w:space="0" w:color="auto"/>
              </w:divBdr>
            </w:div>
            <w:div w:id="353773899">
              <w:marLeft w:val="0"/>
              <w:marRight w:val="0"/>
              <w:marTop w:val="0"/>
              <w:marBottom w:val="0"/>
              <w:divBdr>
                <w:top w:val="none" w:sz="0" w:space="0" w:color="auto"/>
                <w:left w:val="none" w:sz="0" w:space="0" w:color="auto"/>
                <w:bottom w:val="none" w:sz="0" w:space="0" w:color="auto"/>
                <w:right w:val="none" w:sz="0" w:space="0" w:color="auto"/>
              </w:divBdr>
            </w:div>
            <w:div w:id="1201744889">
              <w:marLeft w:val="0"/>
              <w:marRight w:val="0"/>
              <w:marTop w:val="0"/>
              <w:marBottom w:val="0"/>
              <w:divBdr>
                <w:top w:val="none" w:sz="0" w:space="0" w:color="auto"/>
                <w:left w:val="none" w:sz="0" w:space="0" w:color="auto"/>
                <w:bottom w:val="none" w:sz="0" w:space="0" w:color="auto"/>
                <w:right w:val="none" w:sz="0" w:space="0" w:color="auto"/>
              </w:divBdr>
            </w:div>
            <w:div w:id="45036813">
              <w:marLeft w:val="0"/>
              <w:marRight w:val="0"/>
              <w:marTop w:val="0"/>
              <w:marBottom w:val="0"/>
              <w:divBdr>
                <w:top w:val="none" w:sz="0" w:space="0" w:color="auto"/>
                <w:left w:val="none" w:sz="0" w:space="0" w:color="auto"/>
                <w:bottom w:val="none" w:sz="0" w:space="0" w:color="auto"/>
                <w:right w:val="none" w:sz="0" w:space="0" w:color="auto"/>
              </w:divBdr>
            </w:div>
            <w:div w:id="1275018169">
              <w:marLeft w:val="0"/>
              <w:marRight w:val="0"/>
              <w:marTop w:val="0"/>
              <w:marBottom w:val="0"/>
              <w:divBdr>
                <w:top w:val="none" w:sz="0" w:space="0" w:color="auto"/>
                <w:left w:val="none" w:sz="0" w:space="0" w:color="auto"/>
                <w:bottom w:val="none" w:sz="0" w:space="0" w:color="auto"/>
                <w:right w:val="none" w:sz="0" w:space="0" w:color="auto"/>
              </w:divBdr>
            </w:div>
            <w:div w:id="854415803">
              <w:marLeft w:val="0"/>
              <w:marRight w:val="0"/>
              <w:marTop w:val="0"/>
              <w:marBottom w:val="0"/>
              <w:divBdr>
                <w:top w:val="none" w:sz="0" w:space="0" w:color="auto"/>
                <w:left w:val="none" w:sz="0" w:space="0" w:color="auto"/>
                <w:bottom w:val="none" w:sz="0" w:space="0" w:color="auto"/>
                <w:right w:val="none" w:sz="0" w:space="0" w:color="auto"/>
              </w:divBdr>
            </w:div>
            <w:div w:id="1820610917">
              <w:marLeft w:val="0"/>
              <w:marRight w:val="0"/>
              <w:marTop w:val="0"/>
              <w:marBottom w:val="0"/>
              <w:divBdr>
                <w:top w:val="none" w:sz="0" w:space="0" w:color="auto"/>
                <w:left w:val="none" w:sz="0" w:space="0" w:color="auto"/>
                <w:bottom w:val="none" w:sz="0" w:space="0" w:color="auto"/>
                <w:right w:val="none" w:sz="0" w:space="0" w:color="auto"/>
              </w:divBdr>
            </w:div>
            <w:div w:id="979850200">
              <w:marLeft w:val="0"/>
              <w:marRight w:val="0"/>
              <w:marTop w:val="0"/>
              <w:marBottom w:val="0"/>
              <w:divBdr>
                <w:top w:val="none" w:sz="0" w:space="0" w:color="auto"/>
                <w:left w:val="none" w:sz="0" w:space="0" w:color="auto"/>
                <w:bottom w:val="none" w:sz="0" w:space="0" w:color="auto"/>
                <w:right w:val="none" w:sz="0" w:space="0" w:color="auto"/>
              </w:divBdr>
            </w:div>
            <w:div w:id="935744633">
              <w:marLeft w:val="0"/>
              <w:marRight w:val="0"/>
              <w:marTop w:val="0"/>
              <w:marBottom w:val="0"/>
              <w:divBdr>
                <w:top w:val="none" w:sz="0" w:space="0" w:color="auto"/>
                <w:left w:val="none" w:sz="0" w:space="0" w:color="auto"/>
                <w:bottom w:val="none" w:sz="0" w:space="0" w:color="auto"/>
                <w:right w:val="none" w:sz="0" w:space="0" w:color="auto"/>
              </w:divBdr>
            </w:div>
            <w:div w:id="885215708">
              <w:marLeft w:val="0"/>
              <w:marRight w:val="0"/>
              <w:marTop w:val="0"/>
              <w:marBottom w:val="0"/>
              <w:divBdr>
                <w:top w:val="none" w:sz="0" w:space="0" w:color="auto"/>
                <w:left w:val="none" w:sz="0" w:space="0" w:color="auto"/>
                <w:bottom w:val="none" w:sz="0" w:space="0" w:color="auto"/>
                <w:right w:val="none" w:sz="0" w:space="0" w:color="auto"/>
              </w:divBdr>
            </w:div>
            <w:div w:id="2108231196">
              <w:marLeft w:val="0"/>
              <w:marRight w:val="0"/>
              <w:marTop w:val="0"/>
              <w:marBottom w:val="0"/>
              <w:divBdr>
                <w:top w:val="none" w:sz="0" w:space="0" w:color="auto"/>
                <w:left w:val="none" w:sz="0" w:space="0" w:color="auto"/>
                <w:bottom w:val="none" w:sz="0" w:space="0" w:color="auto"/>
                <w:right w:val="none" w:sz="0" w:space="0" w:color="auto"/>
              </w:divBdr>
            </w:div>
            <w:div w:id="1145126562">
              <w:marLeft w:val="0"/>
              <w:marRight w:val="0"/>
              <w:marTop w:val="0"/>
              <w:marBottom w:val="0"/>
              <w:divBdr>
                <w:top w:val="none" w:sz="0" w:space="0" w:color="auto"/>
                <w:left w:val="none" w:sz="0" w:space="0" w:color="auto"/>
                <w:bottom w:val="none" w:sz="0" w:space="0" w:color="auto"/>
                <w:right w:val="none" w:sz="0" w:space="0" w:color="auto"/>
              </w:divBdr>
            </w:div>
            <w:div w:id="1778941534">
              <w:marLeft w:val="0"/>
              <w:marRight w:val="0"/>
              <w:marTop w:val="0"/>
              <w:marBottom w:val="0"/>
              <w:divBdr>
                <w:top w:val="none" w:sz="0" w:space="0" w:color="auto"/>
                <w:left w:val="none" w:sz="0" w:space="0" w:color="auto"/>
                <w:bottom w:val="none" w:sz="0" w:space="0" w:color="auto"/>
                <w:right w:val="none" w:sz="0" w:space="0" w:color="auto"/>
              </w:divBdr>
            </w:div>
            <w:div w:id="243222560">
              <w:marLeft w:val="0"/>
              <w:marRight w:val="0"/>
              <w:marTop w:val="0"/>
              <w:marBottom w:val="0"/>
              <w:divBdr>
                <w:top w:val="none" w:sz="0" w:space="0" w:color="auto"/>
                <w:left w:val="none" w:sz="0" w:space="0" w:color="auto"/>
                <w:bottom w:val="none" w:sz="0" w:space="0" w:color="auto"/>
                <w:right w:val="none" w:sz="0" w:space="0" w:color="auto"/>
              </w:divBdr>
            </w:div>
            <w:div w:id="2139520123">
              <w:marLeft w:val="0"/>
              <w:marRight w:val="0"/>
              <w:marTop w:val="0"/>
              <w:marBottom w:val="0"/>
              <w:divBdr>
                <w:top w:val="none" w:sz="0" w:space="0" w:color="auto"/>
                <w:left w:val="none" w:sz="0" w:space="0" w:color="auto"/>
                <w:bottom w:val="none" w:sz="0" w:space="0" w:color="auto"/>
                <w:right w:val="none" w:sz="0" w:space="0" w:color="auto"/>
              </w:divBdr>
            </w:div>
            <w:div w:id="683364876">
              <w:marLeft w:val="0"/>
              <w:marRight w:val="0"/>
              <w:marTop w:val="0"/>
              <w:marBottom w:val="0"/>
              <w:divBdr>
                <w:top w:val="none" w:sz="0" w:space="0" w:color="auto"/>
                <w:left w:val="none" w:sz="0" w:space="0" w:color="auto"/>
                <w:bottom w:val="none" w:sz="0" w:space="0" w:color="auto"/>
                <w:right w:val="none" w:sz="0" w:space="0" w:color="auto"/>
              </w:divBdr>
            </w:div>
            <w:div w:id="1151019378">
              <w:marLeft w:val="0"/>
              <w:marRight w:val="0"/>
              <w:marTop w:val="0"/>
              <w:marBottom w:val="0"/>
              <w:divBdr>
                <w:top w:val="none" w:sz="0" w:space="0" w:color="auto"/>
                <w:left w:val="none" w:sz="0" w:space="0" w:color="auto"/>
                <w:bottom w:val="none" w:sz="0" w:space="0" w:color="auto"/>
                <w:right w:val="none" w:sz="0" w:space="0" w:color="auto"/>
              </w:divBdr>
            </w:div>
            <w:div w:id="362248932">
              <w:marLeft w:val="0"/>
              <w:marRight w:val="0"/>
              <w:marTop w:val="0"/>
              <w:marBottom w:val="0"/>
              <w:divBdr>
                <w:top w:val="none" w:sz="0" w:space="0" w:color="auto"/>
                <w:left w:val="none" w:sz="0" w:space="0" w:color="auto"/>
                <w:bottom w:val="none" w:sz="0" w:space="0" w:color="auto"/>
                <w:right w:val="none" w:sz="0" w:space="0" w:color="auto"/>
              </w:divBdr>
            </w:div>
            <w:div w:id="501627977">
              <w:marLeft w:val="0"/>
              <w:marRight w:val="0"/>
              <w:marTop w:val="0"/>
              <w:marBottom w:val="0"/>
              <w:divBdr>
                <w:top w:val="none" w:sz="0" w:space="0" w:color="auto"/>
                <w:left w:val="none" w:sz="0" w:space="0" w:color="auto"/>
                <w:bottom w:val="none" w:sz="0" w:space="0" w:color="auto"/>
                <w:right w:val="none" w:sz="0" w:space="0" w:color="auto"/>
              </w:divBdr>
            </w:div>
            <w:div w:id="1635676918">
              <w:marLeft w:val="0"/>
              <w:marRight w:val="0"/>
              <w:marTop w:val="0"/>
              <w:marBottom w:val="0"/>
              <w:divBdr>
                <w:top w:val="none" w:sz="0" w:space="0" w:color="auto"/>
                <w:left w:val="none" w:sz="0" w:space="0" w:color="auto"/>
                <w:bottom w:val="none" w:sz="0" w:space="0" w:color="auto"/>
                <w:right w:val="none" w:sz="0" w:space="0" w:color="auto"/>
              </w:divBdr>
            </w:div>
            <w:div w:id="2062435001">
              <w:marLeft w:val="0"/>
              <w:marRight w:val="0"/>
              <w:marTop w:val="0"/>
              <w:marBottom w:val="0"/>
              <w:divBdr>
                <w:top w:val="none" w:sz="0" w:space="0" w:color="auto"/>
                <w:left w:val="none" w:sz="0" w:space="0" w:color="auto"/>
                <w:bottom w:val="none" w:sz="0" w:space="0" w:color="auto"/>
                <w:right w:val="none" w:sz="0" w:space="0" w:color="auto"/>
              </w:divBdr>
            </w:div>
            <w:div w:id="1585188014">
              <w:marLeft w:val="0"/>
              <w:marRight w:val="0"/>
              <w:marTop w:val="0"/>
              <w:marBottom w:val="0"/>
              <w:divBdr>
                <w:top w:val="none" w:sz="0" w:space="0" w:color="auto"/>
                <w:left w:val="none" w:sz="0" w:space="0" w:color="auto"/>
                <w:bottom w:val="none" w:sz="0" w:space="0" w:color="auto"/>
                <w:right w:val="none" w:sz="0" w:space="0" w:color="auto"/>
              </w:divBdr>
            </w:div>
            <w:div w:id="1915889950">
              <w:marLeft w:val="0"/>
              <w:marRight w:val="0"/>
              <w:marTop w:val="0"/>
              <w:marBottom w:val="0"/>
              <w:divBdr>
                <w:top w:val="none" w:sz="0" w:space="0" w:color="auto"/>
                <w:left w:val="none" w:sz="0" w:space="0" w:color="auto"/>
                <w:bottom w:val="none" w:sz="0" w:space="0" w:color="auto"/>
                <w:right w:val="none" w:sz="0" w:space="0" w:color="auto"/>
              </w:divBdr>
            </w:div>
            <w:div w:id="1817529650">
              <w:marLeft w:val="0"/>
              <w:marRight w:val="0"/>
              <w:marTop w:val="0"/>
              <w:marBottom w:val="0"/>
              <w:divBdr>
                <w:top w:val="none" w:sz="0" w:space="0" w:color="auto"/>
                <w:left w:val="none" w:sz="0" w:space="0" w:color="auto"/>
                <w:bottom w:val="none" w:sz="0" w:space="0" w:color="auto"/>
                <w:right w:val="none" w:sz="0" w:space="0" w:color="auto"/>
              </w:divBdr>
            </w:div>
            <w:div w:id="67577483">
              <w:marLeft w:val="0"/>
              <w:marRight w:val="0"/>
              <w:marTop w:val="0"/>
              <w:marBottom w:val="0"/>
              <w:divBdr>
                <w:top w:val="none" w:sz="0" w:space="0" w:color="auto"/>
                <w:left w:val="none" w:sz="0" w:space="0" w:color="auto"/>
                <w:bottom w:val="none" w:sz="0" w:space="0" w:color="auto"/>
                <w:right w:val="none" w:sz="0" w:space="0" w:color="auto"/>
              </w:divBdr>
            </w:div>
            <w:div w:id="990871199">
              <w:marLeft w:val="0"/>
              <w:marRight w:val="0"/>
              <w:marTop w:val="0"/>
              <w:marBottom w:val="0"/>
              <w:divBdr>
                <w:top w:val="none" w:sz="0" w:space="0" w:color="auto"/>
                <w:left w:val="none" w:sz="0" w:space="0" w:color="auto"/>
                <w:bottom w:val="none" w:sz="0" w:space="0" w:color="auto"/>
                <w:right w:val="none" w:sz="0" w:space="0" w:color="auto"/>
              </w:divBdr>
            </w:div>
            <w:div w:id="1163937246">
              <w:marLeft w:val="0"/>
              <w:marRight w:val="0"/>
              <w:marTop w:val="0"/>
              <w:marBottom w:val="0"/>
              <w:divBdr>
                <w:top w:val="none" w:sz="0" w:space="0" w:color="auto"/>
                <w:left w:val="none" w:sz="0" w:space="0" w:color="auto"/>
                <w:bottom w:val="none" w:sz="0" w:space="0" w:color="auto"/>
                <w:right w:val="none" w:sz="0" w:space="0" w:color="auto"/>
              </w:divBdr>
            </w:div>
            <w:div w:id="14312314">
              <w:marLeft w:val="0"/>
              <w:marRight w:val="0"/>
              <w:marTop w:val="0"/>
              <w:marBottom w:val="0"/>
              <w:divBdr>
                <w:top w:val="none" w:sz="0" w:space="0" w:color="auto"/>
                <w:left w:val="none" w:sz="0" w:space="0" w:color="auto"/>
                <w:bottom w:val="none" w:sz="0" w:space="0" w:color="auto"/>
                <w:right w:val="none" w:sz="0" w:space="0" w:color="auto"/>
              </w:divBdr>
            </w:div>
            <w:div w:id="1472476706">
              <w:marLeft w:val="0"/>
              <w:marRight w:val="0"/>
              <w:marTop w:val="0"/>
              <w:marBottom w:val="0"/>
              <w:divBdr>
                <w:top w:val="none" w:sz="0" w:space="0" w:color="auto"/>
                <w:left w:val="none" w:sz="0" w:space="0" w:color="auto"/>
                <w:bottom w:val="none" w:sz="0" w:space="0" w:color="auto"/>
                <w:right w:val="none" w:sz="0" w:space="0" w:color="auto"/>
              </w:divBdr>
            </w:div>
            <w:div w:id="1232034578">
              <w:marLeft w:val="0"/>
              <w:marRight w:val="0"/>
              <w:marTop w:val="0"/>
              <w:marBottom w:val="0"/>
              <w:divBdr>
                <w:top w:val="none" w:sz="0" w:space="0" w:color="auto"/>
                <w:left w:val="none" w:sz="0" w:space="0" w:color="auto"/>
                <w:bottom w:val="none" w:sz="0" w:space="0" w:color="auto"/>
                <w:right w:val="none" w:sz="0" w:space="0" w:color="auto"/>
              </w:divBdr>
            </w:div>
            <w:div w:id="1574119106">
              <w:marLeft w:val="0"/>
              <w:marRight w:val="0"/>
              <w:marTop w:val="0"/>
              <w:marBottom w:val="0"/>
              <w:divBdr>
                <w:top w:val="none" w:sz="0" w:space="0" w:color="auto"/>
                <w:left w:val="none" w:sz="0" w:space="0" w:color="auto"/>
                <w:bottom w:val="none" w:sz="0" w:space="0" w:color="auto"/>
                <w:right w:val="none" w:sz="0" w:space="0" w:color="auto"/>
              </w:divBdr>
            </w:div>
            <w:div w:id="1960531870">
              <w:marLeft w:val="0"/>
              <w:marRight w:val="0"/>
              <w:marTop w:val="0"/>
              <w:marBottom w:val="0"/>
              <w:divBdr>
                <w:top w:val="none" w:sz="0" w:space="0" w:color="auto"/>
                <w:left w:val="none" w:sz="0" w:space="0" w:color="auto"/>
                <w:bottom w:val="none" w:sz="0" w:space="0" w:color="auto"/>
                <w:right w:val="none" w:sz="0" w:space="0" w:color="auto"/>
              </w:divBdr>
            </w:div>
            <w:div w:id="1937517519">
              <w:marLeft w:val="0"/>
              <w:marRight w:val="0"/>
              <w:marTop w:val="0"/>
              <w:marBottom w:val="0"/>
              <w:divBdr>
                <w:top w:val="none" w:sz="0" w:space="0" w:color="auto"/>
                <w:left w:val="none" w:sz="0" w:space="0" w:color="auto"/>
                <w:bottom w:val="none" w:sz="0" w:space="0" w:color="auto"/>
                <w:right w:val="none" w:sz="0" w:space="0" w:color="auto"/>
              </w:divBdr>
            </w:div>
            <w:div w:id="759063475">
              <w:marLeft w:val="0"/>
              <w:marRight w:val="0"/>
              <w:marTop w:val="0"/>
              <w:marBottom w:val="0"/>
              <w:divBdr>
                <w:top w:val="none" w:sz="0" w:space="0" w:color="auto"/>
                <w:left w:val="none" w:sz="0" w:space="0" w:color="auto"/>
                <w:bottom w:val="none" w:sz="0" w:space="0" w:color="auto"/>
                <w:right w:val="none" w:sz="0" w:space="0" w:color="auto"/>
              </w:divBdr>
            </w:div>
            <w:div w:id="1554845930">
              <w:marLeft w:val="0"/>
              <w:marRight w:val="0"/>
              <w:marTop w:val="0"/>
              <w:marBottom w:val="0"/>
              <w:divBdr>
                <w:top w:val="none" w:sz="0" w:space="0" w:color="auto"/>
                <w:left w:val="none" w:sz="0" w:space="0" w:color="auto"/>
                <w:bottom w:val="none" w:sz="0" w:space="0" w:color="auto"/>
                <w:right w:val="none" w:sz="0" w:space="0" w:color="auto"/>
              </w:divBdr>
            </w:div>
            <w:div w:id="1871071750">
              <w:marLeft w:val="0"/>
              <w:marRight w:val="0"/>
              <w:marTop w:val="0"/>
              <w:marBottom w:val="0"/>
              <w:divBdr>
                <w:top w:val="none" w:sz="0" w:space="0" w:color="auto"/>
                <w:left w:val="none" w:sz="0" w:space="0" w:color="auto"/>
                <w:bottom w:val="none" w:sz="0" w:space="0" w:color="auto"/>
                <w:right w:val="none" w:sz="0" w:space="0" w:color="auto"/>
              </w:divBdr>
            </w:div>
            <w:div w:id="1422991562">
              <w:marLeft w:val="0"/>
              <w:marRight w:val="0"/>
              <w:marTop w:val="0"/>
              <w:marBottom w:val="0"/>
              <w:divBdr>
                <w:top w:val="none" w:sz="0" w:space="0" w:color="auto"/>
                <w:left w:val="none" w:sz="0" w:space="0" w:color="auto"/>
                <w:bottom w:val="none" w:sz="0" w:space="0" w:color="auto"/>
                <w:right w:val="none" w:sz="0" w:space="0" w:color="auto"/>
              </w:divBdr>
            </w:div>
            <w:div w:id="1758594614">
              <w:marLeft w:val="0"/>
              <w:marRight w:val="0"/>
              <w:marTop w:val="0"/>
              <w:marBottom w:val="0"/>
              <w:divBdr>
                <w:top w:val="none" w:sz="0" w:space="0" w:color="auto"/>
                <w:left w:val="none" w:sz="0" w:space="0" w:color="auto"/>
                <w:bottom w:val="none" w:sz="0" w:space="0" w:color="auto"/>
                <w:right w:val="none" w:sz="0" w:space="0" w:color="auto"/>
              </w:divBdr>
            </w:div>
            <w:div w:id="1027022878">
              <w:marLeft w:val="0"/>
              <w:marRight w:val="0"/>
              <w:marTop w:val="0"/>
              <w:marBottom w:val="0"/>
              <w:divBdr>
                <w:top w:val="none" w:sz="0" w:space="0" w:color="auto"/>
                <w:left w:val="none" w:sz="0" w:space="0" w:color="auto"/>
                <w:bottom w:val="none" w:sz="0" w:space="0" w:color="auto"/>
                <w:right w:val="none" w:sz="0" w:space="0" w:color="auto"/>
              </w:divBdr>
            </w:div>
            <w:div w:id="903182737">
              <w:marLeft w:val="0"/>
              <w:marRight w:val="0"/>
              <w:marTop w:val="0"/>
              <w:marBottom w:val="0"/>
              <w:divBdr>
                <w:top w:val="none" w:sz="0" w:space="0" w:color="auto"/>
                <w:left w:val="none" w:sz="0" w:space="0" w:color="auto"/>
                <w:bottom w:val="none" w:sz="0" w:space="0" w:color="auto"/>
                <w:right w:val="none" w:sz="0" w:space="0" w:color="auto"/>
              </w:divBdr>
            </w:div>
            <w:div w:id="1772504236">
              <w:marLeft w:val="0"/>
              <w:marRight w:val="0"/>
              <w:marTop w:val="0"/>
              <w:marBottom w:val="0"/>
              <w:divBdr>
                <w:top w:val="none" w:sz="0" w:space="0" w:color="auto"/>
                <w:left w:val="none" w:sz="0" w:space="0" w:color="auto"/>
                <w:bottom w:val="none" w:sz="0" w:space="0" w:color="auto"/>
                <w:right w:val="none" w:sz="0" w:space="0" w:color="auto"/>
              </w:divBdr>
            </w:div>
            <w:div w:id="361515876">
              <w:marLeft w:val="0"/>
              <w:marRight w:val="0"/>
              <w:marTop w:val="0"/>
              <w:marBottom w:val="0"/>
              <w:divBdr>
                <w:top w:val="none" w:sz="0" w:space="0" w:color="auto"/>
                <w:left w:val="none" w:sz="0" w:space="0" w:color="auto"/>
                <w:bottom w:val="none" w:sz="0" w:space="0" w:color="auto"/>
                <w:right w:val="none" w:sz="0" w:space="0" w:color="auto"/>
              </w:divBdr>
            </w:div>
            <w:div w:id="1216505912">
              <w:marLeft w:val="0"/>
              <w:marRight w:val="0"/>
              <w:marTop w:val="0"/>
              <w:marBottom w:val="0"/>
              <w:divBdr>
                <w:top w:val="none" w:sz="0" w:space="0" w:color="auto"/>
                <w:left w:val="none" w:sz="0" w:space="0" w:color="auto"/>
                <w:bottom w:val="none" w:sz="0" w:space="0" w:color="auto"/>
                <w:right w:val="none" w:sz="0" w:space="0" w:color="auto"/>
              </w:divBdr>
            </w:div>
            <w:div w:id="1590431373">
              <w:marLeft w:val="0"/>
              <w:marRight w:val="0"/>
              <w:marTop w:val="0"/>
              <w:marBottom w:val="0"/>
              <w:divBdr>
                <w:top w:val="none" w:sz="0" w:space="0" w:color="auto"/>
                <w:left w:val="none" w:sz="0" w:space="0" w:color="auto"/>
                <w:bottom w:val="none" w:sz="0" w:space="0" w:color="auto"/>
                <w:right w:val="none" w:sz="0" w:space="0" w:color="auto"/>
              </w:divBdr>
            </w:div>
            <w:div w:id="819077984">
              <w:marLeft w:val="0"/>
              <w:marRight w:val="0"/>
              <w:marTop w:val="0"/>
              <w:marBottom w:val="0"/>
              <w:divBdr>
                <w:top w:val="none" w:sz="0" w:space="0" w:color="auto"/>
                <w:left w:val="none" w:sz="0" w:space="0" w:color="auto"/>
                <w:bottom w:val="none" w:sz="0" w:space="0" w:color="auto"/>
                <w:right w:val="none" w:sz="0" w:space="0" w:color="auto"/>
              </w:divBdr>
            </w:div>
            <w:div w:id="868882533">
              <w:marLeft w:val="0"/>
              <w:marRight w:val="0"/>
              <w:marTop w:val="0"/>
              <w:marBottom w:val="0"/>
              <w:divBdr>
                <w:top w:val="none" w:sz="0" w:space="0" w:color="auto"/>
                <w:left w:val="none" w:sz="0" w:space="0" w:color="auto"/>
                <w:bottom w:val="none" w:sz="0" w:space="0" w:color="auto"/>
                <w:right w:val="none" w:sz="0" w:space="0" w:color="auto"/>
              </w:divBdr>
            </w:div>
            <w:div w:id="1846437599">
              <w:marLeft w:val="0"/>
              <w:marRight w:val="0"/>
              <w:marTop w:val="0"/>
              <w:marBottom w:val="0"/>
              <w:divBdr>
                <w:top w:val="none" w:sz="0" w:space="0" w:color="auto"/>
                <w:left w:val="none" w:sz="0" w:space="0" w:color="auto"/>
                <w:bottom w:val="none" w:sz="0" w:space="0" w:color="auto"/>
                <w:right w:val="none" w:sz="0" w:space="0" w:color="auto"/>
              </w:divBdr>
            </w:div>
            <w:div w:id="667444013">
              <w:marLeft w:val="0"/>
              <w:marRight w:val="0"/>
              <w:marTop w:val="0"/>
              <w:marBottom w:val="0"/>
              <w:divBdr>
                <w:top w:val="none" w:sz="0" w:space="0" w:color="auto"/>
                <w:left w:val="none" w:sz="0" w:space="0" w:color="auto"/>
                <w:bottom w:val="none" w:sz="0" w:space="0" w:color="auto"/>
                <w:right w:val="none" w:sz="0" w:space="0" w:color="auto"/>
              </w:divBdr>
            </w:div>
            <w:div w:id="1765615230">
              <w:marLeft w:val="0"/>
              <w:marRight w:val="0"/>
              <w:marTop w:val="0"/>
              <w:marBottom w:val="0"/>
              <w:divBdr>
                <w:top w:val="none" w:sz="0" w:space="0" w:color="auto"/>
                <w:left w:val="none" w:sz="0" w:space="0" w:color="auto"/>
                <w:bottom w:val="none" w:sz="0" w:space="0" w:color="auto"/>
                <w:right w:val="none" w:sz="0" w:space="0" w:color="auto"/>
              </w:divBdr>
            </w:div>
            <w:div w:id="1433283258">
              <w:marLeft w:val="0"/>
              <w:marRight w:val="0"/>
              <w:marTop w:val="0"/>
              <w:marBottom w:val="0"/>
              <w:divBdr>
                <w:top w:val="none" w:sz="0" w:space="0" w:color="auto"/>
                <w:left w:val="none" w:sz="0" w:space="0" w:color="auto"/>
                <w:bottom w:val="none" w:sz="0" w:space="0" w:color="auto"/>
                <w:right w:val="none" w:sz="0" w:space="0" w:color="auto"/>
              </w:divBdr>
            </w:div>
            <w:div w:id="1180391998">
              <w:marLeft w:val="0"/>
              <w:marRight w:val="0"/>
              <w:marTop w:val="0"/>
              <w:marBottom w:val="0"/>
              <w:divBdr>
                <w:top w:val="none" w:sz="0" w:space="0" w:color="auto"/>
                <w:left w:val="none" w:sz="0" w:space="0" w:color="auto"/>
                <w:bottom w:val="none" w:sz="0" w:space="0" w:color="auto"/>
                <w:right w:val="none" w:sz="0" w:space="0" w:color="auto"/>
              </w:divBdr>
            </w:div>
            <w:div w:id="464352648">
              <w:marLeft w:val="0"/>
              <w:marRight w:val="0"/>
              <w:marTop w:val="0"/>
              <w:marBottom w:val="0"/>
              <w:divBdr>
                <w:top w:val="none" w:sz="0" w:space="0" w:color="auto"/>
                <w:left w:val="none" w:sz="0" w:space="0" w:color="auto"/>
                <w:bottom w:val="none" w:sz="0" w:space="0" w:color="auto"/>
                <w:right w:val="none" w:sz="0" w:space="0" w:color="auto"/>
              </w:divBdr>
            </w:div>
            <w:div w:id="240218176">
              <w:marLeft w:val="0"/>
              <w:marRight w:val="0"/>
              <w:marTop w:val="0"/>
              <w:marBottom w:val="0"/>
              <w:divBdr>
                <w:top w:val="none" w:sz="0" w:space="0" w:color="auto"/>
                <w:left w:val="none" w:sz="0" w:space="0" w:color="auto"/>
                <w:bottom w:val="none" w:sz="0" w:space="0" w:color="auto"/>
                <w:right w:val="none" w:sz="0" w:space="0" w:color="auto"/>
              </w:divBdr>
            </w:div>
            <w:div w:id="1789349947">
              <w:marLeft w:val="0"/>
              <w:marRight w:val="0"/>
              <w:marTop w:val="0"/>
              <w:marBottom w:val="0"/>
              <w:divBdr>
                <w:top w:val="none" w:sz="0" w:space="0" w:color="auto"/>
                <w:left w:val="none" w:sz="0" w:space="0" w:color="auto"/>
                <w:bottom w:val="none" w:sz="0" w:space="0" w:color="auto"/>
                <w:right w:val="none" w:sz="0" w:space="0" w:color="auto"/>
              </w:divBdr>
            </w:div>
            <w:div w:id="2065061982">
              <w:marLeft w:val="0"/>
              <w:marRight w:val="0"/>
              <w:marTop w:val="0"/>
              <w:marBottom w:val="0"/>
              <w:divBdr>
                <w:top w:val="none" w:sz="0" w:space="0" w:color="auto"/>
                <w:left w:val="none" w:sz="0" w:space="0" w:color="auto"/>
                <w:bottom w:val="none" w:sz="0" w:space="0" w:color="auto"/>
                <w:right w:val="none" w:sz="0" w:space="0" w:color="auto"/>
              </w:divBdr>
            </w:div>
            <w:div w:id="555432209">
              <w:marLeft w:val="0"/>
              <w:marRight w:val="0"/>
              <w:marTop w:val="0"/>
              <w:marBottom w:val="0"/>
              <w:divBdr>
                <w:top w:val="none" w:sz="0" w:space="0" w:color="auto"/>
                <w:left w:val="none" w:sz="0" w:space="0" w:color="auto"/>
                <w:bottom w:val="none" w:sz="0" w:space="0" w:color="auto"/>
                <w:right w:val="none" w:sz="0" w:space="0" w:color="auto"/>
              </w:divBdr>
            </w:div>
            <w:div w:id="1335571352">
              <w:marLeft w:val="0"/>
              <w:marRight w:val="0"/>
              <w:marTop w:val="0"/>
              <w:marBottom w:val="0"/>
              <w:divBdr>
                <w:top w:val="none" w:sz="0" w:space="0" w:color="auto"/>
                <w:left w:val="none" w:sz="0" w:space="0" w:color="auto"/>
                <w:bottom w:val="none" w:sz="0" w:space="0" w:color="auto"/>
                <w:right w:val="none" w:sz="0" w:space="0" w:color="auto"/>
              </w:divBdr>
            </w:div>
            <w:div w:id="1675037200">
              <w:marLeft w:val="0"/>
              <w:marRight w:val="0"/>
              <w:marTop w:val="0"/>
              <w:marBottom w:val="0"/>
              <w:divBdr>
                <w:top w:val="none" w:sz="0" w:space="0" w:color="auto"/>
                <w:left w:val="none" w:sz="0" w:space="0" w:color="auto"/>
                <w:bottom w:val="none" w:sz="0" w:space="0" w:color="auto"/>
                <w:right w:val="none" w:sz="0" w:space="0" w:color="auto"/>
              </w:divBdr>
            </w:div>
            <w:div w:id="19360737">
              <w:marLeft w:val="0"/>
              <w:marRight w:val="0"/>
              <w:marTop w:val="0"/>
              <w:marBottom w:val="0"/>
              <w:divBdr>
                <w:top w:val="none" w:sz="0" w:space="0" w:color="auto"/>
                <w:left w:val="none" w:sz="0" w:space="0" w:color="auto"/>
                <w:bottom w:val="none" w:sz="0" w:space="0" w:color="auto"/>
                <w:right w:val="none" w:sz="0" w:space="0" w:color="auto"/>
              </w:divBdr>
            </w:div>
            <w:div w:id="1290863692">
              <w:marLeft w:val="0"/>
              <w:marRight w:val="0"/>
              <w:marTop w:val="0"/>
              <w:marBottom w:val="0"/>
              <w:divBdr>
                <w:top w:val="none" w:sz="0" w:space="0" w:color="auto"/>
                <w:left w:val="none" w:sz="0" w:space="0" w:color="auto"/>
                <w:bottom w:val="none" w:sz="0" w:space="0" w:color="auto"/>
                <w:right w:val="none" w:sz="0" w:space="0" w:color="auto"/>
              </w:divBdr>
            </w:div>
            <w:div w:id="1839270819">
              <w:marLeft w:val="0"/>
              <w:marRight w:val="0"/>
              <w:marTop w:val="0"/>
              <w:marBottom w:val="0"/>
              <w:divBdr>
                <w:top w:val="none" w:sz="0" w:space="0" w:color="auto"/>
                <w:left w:val="none" w:sz="0" w:space="0" w:color="auto"/>
                <w:bottom w:val="none" w:sz="0" w:space="0" w:color="auto"/>
                <w:right w:val="none" w:sz="0" w:space="0" w:color="auto"/>
              </w:divBdr>
            </w:div>
            <w:div w:id="19551611">
              <w:marLeft w:val="0"/>
              <w:marRight w:val="0"/>
              <w:marTop w:val="0"/>
              <w:marBottom w:val="0"/>
              <w:divBdr>
                <w:top w:val="none" w:sz="0" w:space="0" w:color="auto"/>
                <w:left w:val="none" w:sz="0" w:space="0" w:color="auto"/>
                <w:bottom w:val="none" w:sz="0" w:space="0" w:color="auto"/>
                <w:right w:val="none" w:sz="0" w:space="0" w:color="auto"/>
              </w:divBdr>
            </w:div>
            <w:div w:id="1822842997">
              <w:marLeft w:val="0"/>
              <w:marRight w:val="0"/>
              <w:marTop w:val="0"/>
              <w:marBottom w:val="0"/>
              <w:divBdr>
                <w:top w:val="none" w:sz="0" w:space="0" w:color="auto"/>
                <w:left w:val="none" w:sz="0" w:space="0" w:color="auto"/>
                <w:bottom w:val="none" w:sz="0" w:space="0" w:color="auto"/>
                <w:right w:val="none" w:sz="0" w:space="0" w:color="auto"/>
              </w:divBdr>
            </w:div>
            <w:div w:id="105194173">
              <w:marLeft w:val="0"/>
              <w:marRight w:val="0"/>
              <w:marTop w:val="0"/>
              <w:marBottom w:val="0"/>
              <w:divBdr>
                <w:top w:val="none" w:sz="0" w:space="0" w:color="auto"/>
                <w:left w:val="none" w:sz="0" w:space="0" w:color="auto"/>
                <w:bottom w:val="none" w:sz="0" w:space="0" w:color="auto"/>
                <w:right w:val="none" w:sz="0" w:space="0" w:color="auto"/>
              </w:divBdr>
            </w:div>
            <w:div w:id="1156845172">
              <w:marLeft w:val="0"/>
              <w:marRight w:val="0"/>
              <w:marTop w:val="0"/>
              <w:marBottom w:val="0"/>
              <w:divBdr>
                <w:top w:val="none" w:sz="0" w:space="0" w:color="auto"/>
                <w:left w:val="none" w:sz="0" w:space="0" w:color="auto"/>
                <w:bottom w:val="none" w:sz="0" w:space="0" w:color="auto"/>
                <w:right w:val="none" w:sz="0" w:space="0" w:color="auto"/>
              </w:divBdr>
            </w:div>
            <w:div w:id="200823902">
              <w:marLeft w:val="0"/>
              <w:marRight w:val="0"/>
              <w:marTop w:val="0"/>
              <w:marBottom w:val="0"/>
              <w:divBdr>
                <w:top w:val="none" w:sz="0" w:space="0" w:color="auto"/>
                <w:left w:val="none" w:sz="0" w:space="0" w:color="auto"/>
                <w:bottom w:val="none" w:sz="0" w:space="0" w:color="auto"/>
                <w:right w:val="none" w:sz="0" w:space="0" w:color="auto"/>
              </w:divBdr>
            </w:div>
            <w:div w:id="730544453">
              <w:marLeft w:val="0"/>
              <w:marRight w:val="0"/>
              <w:marTop w:val="0"/>
              <w:marBottom w:val="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 w:id="444467092">
              <w:marLeft w:val="0"/>
              <w:marRight w:val="0"/>
              <w:marTop w:val="0"/>
              <w:marBottom w:val="0"/>
              <w:divBdr>
                <w:top w:val="none" w:sz="0" w:space="0" w:color="auto"/>
                <w:left w:val="none" w:sz="0" w:space="0" w:color="auto"/>
                <w:bottom w:val="none" w:sz="0" w:space="0" w:color="auto"/>
                <w:right w:val="none" w:sz="0" w:space="0" w:color="auto"/>
              </w:divBdr>
            </w:div>
            <w:div w:id="1420520679">
              <w:marLeft w:val="0"/>
              <w:marRight w:val="0"/>
              <w:marTop w:val="0"/>
              <w:marBottom w:val="0"/>
              <w:divBdr>
                <w:top w:val="none" w:sz="0" w:space="0" w:color="auto"/>
                <w:left w:val="none" w:sz="0" w:space="0" w:color="auto"/>
                <w:bottom w:val="none" w:sz="0" w:space="0" w:color="auto"/>
                <w:right w:val="none" w:sz="0" w:space="0" w:color="auto"/>
              </w:divBdr>
            </w:div>
            <w:div w:id="2067558959">
              <w:marLeft w:val="0"/>
              <w:marRight w:val="0"/>
              <w:marTop w:val="0"/>
              <w:marBottom w:val="0"/>
              <w:divBdr>
                <w:top w:val="none" w:sz="0" w:space="0" w:color="auto"/>
                <w:left w:val="none" w:sz="0" w:space="0" w:color="auto"/>
                <w:bottom w:val="none" w:sz="0" w:space="0" w:color="auto"/>
                <w:right w:val="none" w:sz="0" w:space="0" w:color="auto"/>
              </w:divBdr>
            </w:div>
            <w:div w:id="809253866">
              <w:marLeft w:val="0"/>
              <w:marRight w:val="0"/>
              <w:marTop w:val="0"/>
              <w:marBottom w:val="0"/>
              <w:divBdr>
                <w:top w:val="none" w:sz="0" w:space="0" w:color="auto"/>
                <w:left w:val="none" w:sz="0" w:space="0" w:color="auto"/>
                <w:bottom w:val="none" w:sz="0" w:space="0" w:color="auto"/>
                <w:right w:val="none" w:sz="0" w:space="0" w:color="auto"/>
              </w:divBdr>
            </w:div>
            <w:div w:id="218519861">
              <w:marLeft w:val="0"/>
              <w:marRight w:val="0"/>
              <w:marTop w:val="0"/>
              <w:marBottom w:val="0"/>
              <w:divBdr>
                <w:top w:val="none" w:sz="0" w:space="0" w:color="auto"/>
                <w:left w:val="none" w:sz="0" w:space="0" w:color="auto"/>
                <w:bottom w:val="none" w:sz="0" w:space="0" w:color="auto"/>
                <w:right w:val="none" w:sz="0" w:space="0" w:color="auto"/>
              </w:divBdr>
            </w:div>
            <w:div w:id="1532955756">
              <w:marLeft w:val="0"/>
              <w:marRight w:val="0"/>
              <w:marTop w:val="0"/>
              <w:marBottom w:val="0"/>
              <w:divBdr>
                <w:top w:val="none" w:sz="0" w:space="0" w:color="auto"/>
                <w:left w:val="none" w:sz="0" w:space="0" w:color="auto"/>
                <w:bottom w:val="none" w:sz="0" w:space="0" w:color="auto"/>
                <w:right w:val="none" w:sz="0" w:space="0" w:color="auto"/>
              </w:divBdr>
            </w:div>
            <w:div w:id="366493979">
              <w:marLeft w:val="0"/>
              <w:marRight w:val="0"/>
              <w:marTop w:val="0"/>
              <w:marBottom w:val="0"/>
              <w:divBdr>
                <w:top w:val="none" w:sz="0" w:space="0" w:color="auto"/>
                <w:left w:val="none" w:sz="0" w:space="0" w:color="auto"/>
                <w:bottom w:val="none" w:sz="0" w:space="0" w:color="auto"/>
                <w:right w:val="none" w:sz="0" w:space="0" w:color="auto"/>
              </w:divBdr>
            </w:div>
            <w:div w:id="1277558832">
              <w:marLeft w:val="0"/>
              <w:marRight w:val="0"/>
              <w:marTop w:val="0"/>
              <w:marBottom w:val="0"/>
              <w:divBdr>
                <w:top w:val="none" w:sz="0" w:space="0" w:color="auto"/>
                <w:left w:val="none" w:sz="0" w:space="0" w:color="auto"/>
                <w:bottom w:val="none" w:sz="0" w:space="0" w:color="auto"/>
                <w:right w:val="none" w:sz="0" w:space="0" w:color="auto"/>
              </w:divBdr>
            </w:div>
            <w:div w:id="881747475">
              <w:marLeft w:val="0"/>
              <w:marRight w:val="0"/>
              <w:marTop w:val="0"/>
              <w:marBottom w:val="0"/>
              <w:divBdr>
                <w:top w:val="none" w:sz="0" w:space="0" w:color="auto"/>
                <w:left w:val="none" w:sz="0" w:space="0" w:color="auto"/>
                <w:bottom w:val="none" w:sz="0" w:space="0" w:color="auto"/>
                <w:right w:val="none" w:sz="0" w:space="0" w:color="auto"/>
              </w:divBdr>
            </w:div>
            <w:div w:id="352457325">
              <w:marLeft w:val="0"/>
              <w:marRight w:val="0"/>
              <w:marTop w:val="0"/>
              <w:marBottom w:val="0"/>
              <w:divBdr>
                <w:top w:val="none" w:sz="0" w:space="0" w:color="auto"/>
                <w:left w:val="none" w:sz="0" w:space="0" w:color="auto"/>
                <w:bottom w:val="none" w:sz="0" w:space="0" w:color="auto"/>
                <w:right w:val="none" w:sz="0" w:space="0" w:color="auto"/>
              </w:divBdr>
            </w:div>
            <w:div w:id="1831554163">
              <w:marLeft w:val="0"/>
              <w:marRight w:val="0"/>
              <w:marTop w:val="0"/>
              <w:marBottom w:val="0"/>
              <w:divBdr>
                <w:top w:val="none" w:sz="0" w:space="0" w:color="auto"/>
                <w:left w:val="none" w:sz="0" w:space="0" w:color="auto"/>
                <w:bottom w:val="none" w:sz="0" w:space="0" w:color="auto"/>
                <w:right w:val="none" w:sz="0" w:space="0" w:color="auto"/>
              </w:divBdr>
            </w:div>
            <w:div w:id="1864054343">
              <w:marLeft w:val="0"/>
              <w:marRight w:val="0"/>
              <w:marTop w:val="0"/>
              <w:marBottom w:val="0"/>
              <w:divBdr>
                <w:top w:val="none" w:sz="0" w:space="0" w:color="auto"/>
                <w:left w:val="none" w:sz="0" w:space="0" w:color="auto"/>
                <w:bottom w:val="none" w:sz="0" w:space="0" w:color="auto"/>
                <w:right w:val="none" w:sz="0" w:space="0" w:color="auto"/>
              </w:divBdr>
            </w:div>
            <w:div w:id="1569268958">
              <w:marLeft w:val="0"/>
              <w:marRight w:val="0"/>
              <w:marTop w:val="0"/>
              <w:marBottom w:val="0"/>
              <w:divBdr>
                <w:top w:val="none" w:sz="0" w:space="0" w:color="auto"/>
                <w:left w:val="none" w:sz="0" w:space="0" w:color="auto"/>
                <w:bottom w:val="none" w:sz="0" w:space="0" w:color="auto"/>
                <w:right w:val="none" w:sz="0" w:space="0" w:color="auto"/>
              </w:divBdr>
            </w:div>
            <w:div w:id="1648321236">
              <w:marLeft w:val="0"/>
              <w:marRight w:val="0"/>
              <w:marTop w:val="0"/>
              <w:marBottom w:val="0"/>
              <w:divBdr>
                <w:top w:val="none" w:sz="0" w:space="0" w:color="auto"/>
                <w:left w:val="none" w:sz="0" w:space="0" w:color="auto"/>
                <w:bottom w:val="none" w:sz="0" w:space="0" w:color="auto"/>
                <w:right w:val="none" w:sz="0" w:space="0" w:color="auto"/>
              </w:divBdr>
            </w:div>
            <w:div w:id="138810612">
              <w:marLeft w:val="0"/>
              <w:marRight w:val="0"/>
              <w:marTop w:val="0"/>
              <w:marBottom w:val="0"/>
              <w:divBdr>
                <w:top w:val="none" w:sz="0" w:space="0" w:color="auto"/>
                <w:left w:val="none" w:sz="0" w:space="0" w:color="auto"/>
                <w:bottom w:val="none" w:sz="0" w:space="0" w:color="auto"/>
                <w:right w:val="none" w:sz="0" w:space="0" w:color="auto"/>
              </w:divBdr>
            </w:div>
            <w:div w:id="1710912047">
              <w:marLeft w:val="0"/>
              <w:marRight w:val="0"/>
              <w:marTop w:val="0"/>
              <w:marBottom w:val="0"/>
              <w:divBdr>
                <w:top w:val="none" w:sz="0" w:space="0" w:color="auto"/>
                <w:left w:val="none" w:sz="0" w:space="0" w:color="auto"/>
                <w:bottom w:val="none" w:sz="0" w:space="0" w:color="auto"/>
                <w:right w:val="none" w:sz="0" w:space="0" w:color="auto"/>
              </w:divBdr>
            </w:div>
            <w:div w:id="453641761">
              <w:marLeft w:val="0"/>
              <w:marRight w:val="0"/>
              <w:marTop w:val="0"/>
              <w:marBottom w:val="0"/>
              <w:divBdr>
                <w:top w:val="none" w:sz="0" w:space="0" w:color="auto"/>
                <w:left w:val="none" w:sz="0" w:space="0" w:color="auto"/>
                <w:bottom w:val="none" w:sz="0" w:space="0" w:color="auto"/>
                <w:right w:val="none" w:sz="0" w:space="0" w:color="auto"/>
              </w:divBdr>
            </w:div>
            <w:div w:id="927731722">
              <w:marLeft w:val="0"/>
              <w:marRight w:val="0"/>
              <w:marTop w:val="0"/>
              <w:marBottom w:val="0"/>
              <w:divBdr>
                <w:top w:val="none" w:sz="0" w:space="0" w:color="auto"/>
                <w:left w:val="none" w:sz="0" w:space="0" w:color="auto"/>
                <w:bottom w:val="none" w:sz="0" w:space="0" w:color="auto"/>
                <w:right w:val="none" w:sz="0" w:space="0" w:color="auto"/>
              </w:divBdr>
            </w:div>
            <w:div w:id="1297220235">
              <w:marLeft w:val="0"/>
              <w:marRight w:val="0"/>
              <w:marTop w:val="0"/>
              <w:marBottom w:val="0"/>
              <w:divBdr>
                <w:top w:val="none" w:sz="0" w:space="0" w:color="auto"/>
                <w:left w:val="none" w:sz="0" w:space="0" w:color="auto"/>
                <w:bottom w:val="none" w:sz="0" w:space="0" w:color="auto"/>
                <w:right w:val="none" w:sz="0" w:space="0" w:color="auto"/>
              </w:divBdr>
            </w:div>
            <w:div w:id="145783682">
              <w:marLeft w:val="0"/>
              <w:marRight w:val="0"/>
              <w:marTop w:val="0"/>
              <w:marBottom w:val="0"/>
              <w:divBdr>
                <w:top w:val="none" w:sz="0" w:space="0" w:color="auto"/>
                <w:left w:val="none" w:sz="0" w:space="0" w:color="auto"/>
                <w:bottom w:val="none" w:sz="0" w:space="0" w:color="auto"/>
                <w:right w:val="none" w:sz="0" w:space="0" w:color="auto"/>
              </w:divBdr>
            </w:div>
            <w:div w:id="1295674455">
              <w:marLeft w:val="0"/>
              <w:marRight w:val="0"/>
              <w:marTop w:val="0"/>
              <w:marBottom w:val="0"/>
              <w:divBdr>
                <w:top w:val="none" w:sz="0" w:space="0" w:color="auto"/>
                <w:left w:val="none" w:sz="0" w:space="0" w:color="auto"/>
                <w:bottom w:val="none" w:sz="0" w:space="0" w:color="auto"/>
                <w:right w:val="none" w:sz="0" w:space="0" w:color="auto"/>
              </w:divBdr>
            </w:div>
            <w:div w:id="1678655592">
              <w:marLeft w:val="0"/>
              <w:marRight w:val="0"/>
              <w:marTop w:val="0"/>
              <w:marBottom w:val="0"/>
              <w:divBdr>
                <w:top w:val="none" w:sz="0" w:space="0" w:color="auto"/>
                <w:left w:val="none" w:sz="0" w:space="0" w:color="auto"/>
                <w:bottom w:val="none" w:sz="0" w:space="0" w:color="auto"/>
                <w:right w:val="none" w:sz="0" w:space="0" w:color="auto"/>
              </w:divBdr>
            </w:div>
            <w:div w:id="1951467671">
              <w:marLeft w:val="0"/>
              <w:marRight w:val="0"/>
              <w:marTop w:val="0"/>
              <w:marBottom w:val="0"/>
              <w:divBdr>
                <w:top w:val="none" w:sz="0" w:space="0" w:color="auto"/>
                <w:left w:val="none" w:sz="0" w:space="0" w:color="auto"/>
                <w:bottom w:val="none" w:sz="0" w:space="0" w:color="auto"/>
                <w:right w:val="none" w:sz="0" w:space="0" w:color="auto"/>
              </w:divBdr>
            </w:div>
            <w:div w:id="239021440">
              <w:marLeft w:val="0"/>
              <w:marRight w:val="0"/>
              <w:marTop w:val="0"/>
              <w:marBottom w:val="0"/>
              <w:divBdr>
                <w:top w:val="none" w:sz="0" w:space="0" w:color="auto"/>
                <w:left w:val="none" w:sz="0" w:space="0" w:color="auto"/>
                <w:bottom w:val="none" w:sz="0" w:space="0" w:color="auto"/>
                <w:right w:val="none" w:sz="0" w:space="0" w:color="auto"/>
              </w:divBdr>
            </w:div>
            <w:div w:id="249318542">
              <w:marLeft w:val="0"/>
              <w:marRight w:val="0"/>
              <w:marTop w:val="0"/>
              <w:marBottom w:val="0"/>
              <w:divBdr>
                <w:top w:val="none" w:sz="0" w:space="0" w:color="auto"/>
                <w:left w:val="none" w:sz="0" w:space="0" w:color="auto"/>
                <w:bottom w:val="none" w:sz="0" w:space="0" w:color="auto"/>
                <w:right w:val="none" w:sz="0" w:space="0" w:color="auto"/>
              </w:divBdr>
            </w:div>
            <w:div w:id="140848564">
              <w:marLeft w:val="0"/>
              <w:marRight w:val="0"/>
              <w:marTop w:val="0"/>
              <w:marBottom w:val="0"/>
              <w:divBdr>
                <w:top w:val="none" w:sz="0" w:space="0" w:color="auto"/>
                <w:left w:val="none" w:sz="0" w:space="0" w:color="auto"/>
                <w:bottom w:val="none" w:sz="0" w:space="0" w:color="auto"/>
                <w:right w:val="none" w:sz="0" w:space="0" w:color="auto"/>
              </w:divBdr>
            </w:div>
            <w:div w:id="1815751962">
              <w:marLeft w:val="0"/>
              <w:marRight w:val="0"/>
              <w:marTop w:val="0"/>
              <w:marBottom w:val="0"/>
              <w:divBdr>
                <w:top w:val="none" w:sz="0" w:space="0" w:color="auto"/>
                <w:left w:val="none" w:sz="0" w:space="0" w:color="auto"/>
                <w:bottom w:val="none" w:sz="0" w:space="0" w:color="auto"/>
                <w:right w:val="none" w:sz="0" w:space="0" w:color="auto"/>
              </w:divBdr>
            </w:div>
            <w:div w:id="1330056376">
              <w:marLeft w:val="0"/>
              <w:marRight w:val="0"/>
              <w:marTop w:val="0"/>
              <w:marBottom w:val="0"/>
              <w:divBdr>
                <w:top w:val="none" w:sz="0" w:space="0" w:color="auto"/>
                <w:left w:val="none" w:sz="0" w:space="0" w:color="auto"/>
                <w:bottom w:val="none" w:sz="0" w:space="0" w:color="auto"/>
                <w:right w:val="none" w:sz="0" w:space="0" w:color="auto"/>
              </w:divBdr>
            </w:div>
            <w:div w:id="1739090419">
              <w:marLeft w:val="0"/>
              <w:marRight w:val="0"/>
              <w:marTop w:val="0"/>
              <w:marBottom w:val="0"/>
              <w:divBdr>
                <w:top w:val="none" w:sz="0" w:space="0" w:color="auto"/>
                <w:left w:val="none" w:sz="0" w:space="0" w:color="auto"/>
                <w:bottom w:val="none" w:sz="0" w:space="0" w:color="auto"/>
                <w:right w:val="none" w:sz="0" w:space="0" w:color="auto"/>
              </w:divBdr>
            </w:div>
            <w:div w:id="1188445276">
              <w:marLeft w:val="0"/>
              <w:marRight w:val="0"/>
              <w:marTop w:val="0"/>
              <w:marBottom w:val="0"/>
              <w:divBdr>
                <w:top w:val="none" w:sz="0" w:space="0" w:color="auto"/>
                <w:left w:val="none" w:sz="0" w:space="0" w:color="auto"/>
                <w:bottom w:val="none" w:sz="0" w:space="0" w:color="auto"/>
                <w:right w:val="none" w:sz="0" w:space="0" w:color="auto"/>
              </w:divBdr>
            </w:div>
            <w:div w:id="677317300">
              <w:marLeft w:val="0"/>
              <w:marRight w:val="0"/>
              <w:marTop w:val="0"/>
              <w:marBottom w:val="0"/>
              <w:divBdr>
                <w:top w:val="none" w:sz="0" w:space="0" w:color="auto"/>
                <w:left w:val="none" w:sz="0" w:space="0" w:color="auto"/>
                <w:bottom w:val="none" w:sz="0" w:space="0" w:color="auto"/>
                <w:right w:val="none" w:sz="0" w:space="0" w:color="auto"/>
              </w:divBdr>
            </w:div>
            <w:div w:id="357509437">
              <w:marLeft w:val="0"/>
              <w:marRight w:val="0"/>
              <w:marTop w:val="0"/>
              <w:marBottom w:val="0"/>
              <w:divBdr>
                <w:top w:val="none" w:sz="0" w:space="0" w:color="auto"/>
                <w:left w:val="none" w:sz="0" w:space="0" w:color="auto"/>
                <w:bottom w:val="none" w:sz="0" w:space="0" w:color="auto"/>
                <w:right w:val="none" w:sz="0" w:space="0" w:color="auto"/>
              </w:divBdr>
            </w:div>
            <w:div w:id="603197570">
              <w:marLeft w:val="0"/>
              <w:marRight w:val="0"/>
              <w:marTop w:val="0"/>
              <w:marBottom w:val="0"/>
              <w:divBdr>
                <w:top w:val="none" w:sz="0" w:space="0" w:color="auto"/>
                <w:left w:val="none" w:sz="0" w:space="0" w:color="auto"/>
                <w:bottom w:val="none" w:sz="0" w:space="0" w:color="auto"/>
                <w:right w:val="none" w:sz="0" w:space="0" w:color="auto"/>
              </w:divBdr>
            </w:div>
            <w:div w:id="1533952975">
              <w:marLeft w:val="0"/>
              <w:marRight w:val="0"/>
              <w:marTop w:val="0"/>
              <w:marBottom w:val="0"/>
              <w:divBdr>
                <w:top w:val="none" w:sz="0" w:space="0" w:color="auto"/>
                <w:left w:val="none" w:sz="0" w:space="0" w:color="auto"/>
                <w:bottom w:val="none" w:sz="0" w:space="0" w:color="auto"/>
                <w:right w:val="none" w:sz="0" w:space="0" w:color="auto"/>
              </w:divBdr>
            </w:div>
            <w:div w:id="85660560">
              <w:marLeft w:val="0"/>
              <w:marRight w:val="0"/>
              <w:marTop w:val="0"/>
              <w:marBottom w:val="0"/>
              <w:divBdr>
                <w:top w:val="none" w:sz="0" w:space="0" w:color="auto"/>
                <w:left w:val="none" w:sz="0" w:space="0" w:color="auto"/>
                <w:bottom w:val="none" w:sz="0" w:space="0" w:color="auto"/>
                <w:right w:val="none" w:sz="0" w:space="0" w:color="auto"/>
              </w:divBdr>
            </w:div>
            <w:div w:id="382363260">
              <w:marLeft w:val="0"/>
              <w:marRight w:val="0"/>
              <w:marTop w:val="0"/>
              <w:marBottom w:val="0"/>
              <w:divBdr>
                <w:top w:val="none" w:sz="0" w:space="0" w:color="auto"/>
                <w:left w:val="none" w:sz="0" w:space="0" w:color="auto"/>
                <w:bottom w:val="none" w:sz="0" w:space="0" w:color="auto"/>
                <w:right w:val="none" w:sz="0" w:space="0" w:color="auto"/>
              </w:divBdr>
            </w:div>
            <w:div w:id="1438912724">
              <w:marLeft w:val="0"/>
              <w:marRight w:val="0"/>
              <w:marTop w:val="0"/>
              <w:marBottom w:val="0"/>
              <w:divBdr>
                <w:top w:val="none" w:sz="0" w:space="0" w:color="auto"/>
                <w:left w:val="none" w:sz="0" w:space="0" w:color="auto"/>
                <w:bottom w:val="none" w:sz="0" w:space="0" w:color="auto"/>
                <w:right w:val="none" w:sz="0" w:space="0" w:color="auto"/>
              </w:divBdr>
            </w:div>
            <w:div w:id="579144825">
              <w:marLeft w:val="0"/>
              <w:marRight w:val="0"/>
              <w:marTop w:val="0"/>
              <w:marBottom w:val="0"/>
              <w:divBdr>
                <w:top w:val="none" w:sz="0" w:space="0" w:color="auto"/>
                <w:left w:val="none" w:sz="0" w:space="0" w:color="auto"/>
                <w:bottom w:val="none" w:sz="0" w:space="0" w:color="auto"/>
                <w:right w:val="none" w:sz="0" w:space="0" w:color="auto"/>
              </w:divBdr>
            </w:div>
            <w:div w:id="107625443">
              <w:marLeft w:val="0"/>
              <w:marRight w:val="0"/>
              <w:marTop w:val="0"/>
              <w:marBottom w:val="0"/>
              <w:divBdr>
                <w:top w:val="none" w:sz="0" w:space="0" w:color="auto"/>
                <w:left w:val="none" w:sz="0" w:space="0" w:color="auto"/>
                <w:bottom w:val="none" w:sz="0" w:space="0" w:color="auto"/>
                <w:right w:val="none" w:sz="0" w:space="0" w:color="auto"/>
              </w:divBdr>
            </w:div>
            <w:div w:id="479003385">
              <w:marLeft w:val="0"/>
              <w:marRight w:val="0"/>
              <w:marTop w:val="0"/>
              <w:marBottom w:val="0"/>
              <w:divBdr>
                <w:top w:val="none" w:sz="0" w:space="0" w:color="auto"/>
                <w:left w:val="none" w:sz="0" w:space="0" w:color="auto"/>
                <w:bottom w:val="none" w:sz="0" w:space="0" w:color="auto"/>
                <w:right w:val="none" w:sz="0" w:space="0" w:color="auto"/>
              </w:divBdr>
            </w:div>
            <w:div w:id="249895011">
              <w:marLeft w:val="0"/>
              <w:marRight w:val="0"/>
              <w:marTop w:val="0"/>
              <w:marBottom w:val="0"/>
              <w:divBdr>
                <w:top w:val="none" w:sz="0" w:space="0" w:color="auto"/>
                <w:left w:val="none" w:sz="0" w:space="0" w:color="auto"/>
                <w:bottom w:val="none" w:sz="0" w:space="0" w:color="auto"/>
                <w:right w:val="none" w:sz="0" w:space="0" w:color="auto"/>
              </w:divBdr>
            </w:div>
            <w:div w:id="465123010">
              <w:marLeft w:val="0"/>
              <w:marRight w:val="0"/>
              <w:marTop w:val="0"/>
              <w:marBottom w:val="0"/>
              <w:divBdr>
                <w:top w:val="none" w:sz="0" w:space="0" w:color="auto"/>
                <w:left w:val="none" w:sz="0" w:space="0" w:color="auto"/>
                <w:bottom w:val="none" w:sz="0" w:space="0" w:color="auto"/>
                <w:right w:val="none" w:sz="0" w:space="0" w:color="auto"/>
              </w:divBdr>
            </w:div>
            <w:div w:id="1217281427">
              <w:marLeft w:val="0"/>
              <w:marRight w:val="0"/>
              <w:marTop w:val="0"/>
              <w:marBottom w:val="0"/>
              <w:divBdr>
                <w:top w:val="none" w:sz="0" w:space="0" w:color="auto"/>
                <w:left w:val="none" w:sz="0" w:space="0" w:color="auto"/>
                <w:bottom w:val="none" w:sz="0" w:space="0" w:color="auto"/>
                <w:right w:val="none" w:sz="0" w:space="0" w:color="auto"/>
              </w:divBdr>
            </w:div>
            <w:div w:id="1380781748">
              <w:marLeft w:val="0"/>
              <w:marRight w:val="0"/>
              <w:marTop w:val="0"/>
              <w:marBottom w:val="0"/>
              <w:divBdr>
                <w:top w:val="none" w:sz="0" w:space="0" w:color="auto"/>
                <w:left w:val="none" w:sz="0" w:space="0" w:color="auto"/>
                <w:bottom w:val="none" w:sz="0" w:space="0" w:color="auto"/>
                <w:right w:val="none" w:sz="0" w:space="0" w:color="auto"/>
              </w:divBdr>
            </w:div>
            <w:div w:id="482161389">
              <w:marLeft w:val="0"/>
              <w:marRight w:val="0"/>
              <w:marTop w:val="0"/>
              <w:marBottom w:val="0"/>
              <w:divBdr>
                <w:top w:val="none" w:sz="0" w:space="0" w:color="auto"/>
                <w:left w:val="none" w:sz="0" w:space="0" w:color="auto"/>
                <w:bottom w:val="none" w:sz="0" w:space="0" w:color="auto"/>
                <w:right w:val="none" w:sz="0" w:space="0" w:color="auto"/>
              </w:divBdr>
            </w:div>
            <w:div w:id="1320499604">
              <w:marLeft w:val="0"/>
              <w:marRight w:val="0"/>
              <w:marTop w:val="0"/>
              <w:marBottom w:val="0"/>
              <w:divBdr>
                <w:top w:val="none" w:sz="0" w:space="0" w:color="auto"/>
                <w:left w:val="none" w:sz="0" w:space="0" w:color="auto"/>
                <w:bottom w:val="none" w:sz="0" w:space="0" w:color="auto"/>
                <w:right w:val="none" w:sz="0" w:space="0" w:color="auto"/>
              </w:divBdr>
            </w:div>
            <w:div w:id="164176135">
              <w:marLeft w:val="0"/>
              <w:marRight w:val="0"/>
              <w:marTop w:val="0"/>
              <w:marBottom w:val="0"/>
              <w:divBdr>
                <w:top w:val="none" w:sz="0" w:space="0" w:color="auto"/>
                <w:left w:val="none" w:sz="0" w:space="0" w:color="auto"/>
                <w:bottom w:val="none" w:sz="0" w:space="0" w:color="auto"/>
                <w:right w:val="none" w:sz="0" w:space="0" w:color="auto"/>
              </w:divBdr>
            </w:div>
            <w:div w:id="620652124">
              <w:marLeft w:val="0"/>
              <w:marRight w:val="0"/>
              <w:marTop w:val="0"/>
              <w:marBottom w:val="0"/>
              <w:divBdr>
                <w:top w:val="none" w:sz="0" w:space="0" w:color="auto"/>
                <w:left w:val="none" w:sz="0" w:space="0" w:color="auto"/>
                <w:bottom w:val="none" w:sz="0" w:space="0" w:color="auto"/>
                <w:right w:val="none" w:sz="0" w:space="0" w:color="auto"/>
              </w:divBdr>
            </w:div>
            <w:div w:id="1875533338">
              <w:marLeft w:val="0"/>
              <w:marRight w:val="0"/>
              <w:marTop w:val="0"/>
              <w:marBottom w:val="0"/>
              <w:divBdr>
                <w:top w:val="none" w:sz="0" w:space="0" w:color="auto"/>
                <w:left w:val="none" w:sz="0" w:space="0" w:color="auto"/>
                <w:bottom w:val="none" w:sz="0" w:space="0" w:color="auto"/>
                <w:right w:val="none" w:sz="0" w:space="0" w:color="auto"/>
              </w:divBdr>
            </w:div>
            <w:div w:id="856236483">
              <w:marLeft w:val="0"/>
              <w:marRight w:val="0"/>
              <w:marTop w:val="0"/>
              <w:marBottom w:val="0"/>
              <w:divBdr>
                <w:top w:val="none" w:sz="0" w:space="0" w:color="auto"/>
                <w:left w:val="none" w:sz="0" w:space="0" w:color="auto"/>
                <w:bottom w:val="none" w:sz="0" w:space="0" w:color="auto"/>
                <w:right w:val="none" w:sz="0" w:space="0" w:color="auto"/>
              </w:divBdr>
            </w:div>
            <w:div w:id="1317419145">
              <w:marLeft w:val="0"/>
              <w:marRight w:val="0"/>
              <w:marTop w:val="0"/>
              <w:marBottom w:val="0"/>
              <w:divBdr>
                <w:top w:val="none" w:sz="0" w:space="0" w:color="auto"/>
                <w:left w:val="none" w:sz="0" w:space="0" w:color="auto"/>
                <w:bottom w:val="none" w:sz="0" w:space="0" w:color="auto"/>
                <w:right w:val="none" w:sz="0" w:space="0" w:color="auto"/>
              </w:divBdr>
            </w:div>
            <w:div w:id="1758282244">
              <w:marLeft w:val="0"/>
              <w:marRight w:val="0"/>
              <w:marTop w:val="0"/>
              <w:marBottom w:val="0"/>
              <w:divBdr>
                <w:top w:val="none" w:sz="0" w:space="0" w:color="auto"/>
                <w:left w:val="none" w:sz="0" w:space="0" w:color="auto"/>
                <w:bottom w:val="none" w:sz="0" w:space="0" w:color="auto"/>
                <w:right w:val="none" w:sz="0" w:space="0" w:color="auto"/>
              </w:divBdr>
            </w:div>
            <w:div w:id="714231711">
              <w:marLeft w:val="0"/>
              <w:marRight w:val="0"/>
              <w:marTop w:val="0"/>
              <w:marBottom w:val="0"/>
              <w:divBdr>
                <w:top w:val="none" w:sz="0" w:space="0" w:color="auto"/>
                <w:left w:val="none" w:sz="0" w:space="0" w:color="auto"/>
                <w:bottom w:val="none" w:sz="0" w:space="0" w:color="auto"/>
                <w:right w:val="none" w:sz="0" w:space="0" w:color="auto"/>
              </w:divBdr>
            </w:div>
            <w:div w:id="342973048">
              <w:marLeft w:val="0"/>
              <w:marRight w:val="0"/>
              <w:marTop w:val="0"/>
              <w:marBottom w:val="0"/>
              <w:divBdr>
                <w:top w:val="none" w:sz="0" w:space="0" w:color="auto"/>
                <w:left w:val="none" w:sz="0" w:space="0" w:color="auto"/>
                <w:bottom w:val="none" w:sz="0" w:space="0" w:color="auto"/>
                <w:right w:val="none" w:sz="0" w:space="0" w:color="auto"/>
              </w:divBdr>
            </w:div>
            <w:div w:id="1629582740">
              <w:marLeft w:val="0"/>
              <w:marRight w:val="0"/>
              <w:marTop w:val="0"/>
              <w:marBottom w:val="0"/>
              <w:divBdr>
                <w:top w:val="none" w:sz="0" w:space="0" w:color="auto"/>
                <w:left w:val="none" w:sz="0" w:space="0" w:color="auto"/>
                <w:bottom w:val="none" w:sz="0" w:space="0" w:color="auto"/>
                <w:right w:val="none" w:sz="0" w:space="0" w:color="auto"/>
              </w:divBdr>
            </w:div>
            <w:div w:id="1473519133">
              <w:marLeft w:val="0"/>
              <w:marRight w:val="0"/>
              <w:marTop w:val="0"/>
              <w:marBottom w:val="0"/>
              <w:divBdr>
                <w:top w:val="none" w:sz="0" w:space="0" w:color="auto"/>
                <w:left w:val="none" w:sz="0" w:space="0" w:color="auto"/>
                <w:bottom w:val="none" w:sz="0" w:space="0" w:color="auto"/>
                <w:right w:val="none" w:sz="0" w:space="0" w:color="auto"/>
              </w:divBdr>
            </w:div>
            <w:div w:id="1432965613">
              <w:marLeft w:val="0"/>
              <w:marRight w:val="0"/>
              <w:marTop w:val="0"/>
              <w:marBottom w:val="0"/>
              <w:divBdr>
                <w:top w:val="none" w:sz="0" w:space="0" w:color="auto"/>
                <w:left w:val="none" w:sz="0" w:space="0" w:color="auto"/>
                <w:bottom w:val="none" w:sz="0" w:space="0" w:color="auto"/>
                <w:right w:val="none" w:sz="0" w:space="0" w:color="auto"/>
              </w:divBdr>
            </w:div>
            <w:div w:id="2138404998">
              <w:marLeft w:val="0"/>
              <w:marRight w:val="0"/>
              <w:marTop w:val="0"/>
              <w:marBottom w:val="0"/>
              <w:divBdr>
                <w:top w:val="none" w:sz="0" w:space="0" w:color="auto"/>
                <w:left w:val="none" w:sz="0" w:space="0" w:color="auto"/>
                <w:bottom w:val="none" w:sz="0" w:space="0" w:color="auto"/>
                <w:right w:val="none" w:sz="0" w:space="0" w:color="auto"/>
              </w:divBdr>
            </w:div>
            <w:div w:id="1202472643">
              <w:marLeft w:val="0"/>
              <w:marRight w:val="0"/>
              <w:marTop w:val="0"/>
              <w:marBottom w:val="0"/>
              <w:divBdr>
                <w:top w:val="none" w:sz="0" w:space="0" w:color="auto"/>
                <w:left w:val="none" w:sz="0" w:space="0" w:color="auto"/>
                <w:bottom w:val="none" w:sz="0" w:space="0" w:color="auto"/>
                <w:right w:val="none" w:sz="0" w:space="0" w:color="auto"/>
              </w:divBdr>
            </w:div>
            <w:div w:id="991636562">
              <w:marLeft w:val="0"/>
              <w:marRight w:val="0"/>
              <w:marTop w:val="0"/>
              <w:marBottom w:val="0"/>
              <w:divBdr>
                <w:top w:val="none" w:sz="0" w:space="0" w:color="auto"/>
                <w:left w:val="none" w:sz="0" w:space="0" w:color="auto"/>
                <w:bottom w:val="none" w:sz="0" w:space="0" w:color="auto"/>
                <w:right w:val="none" w:sz="0" w:space="0" w:color="auto"/>
              </w:divBdr>
            </w:div>
            <w:div w:id="1805583282">
              <w:marLeft w:val="0"/>
              <w:marRight w:val="0"/>
              <w:marTop w:val="0"/>
              <w:marBottom w:val="0"/>
              <w:divBdr>
                <w:top w:val="none" w:sz="0" w:space="0" w:color="auto"/>
                <w:left w:val="none" w:sz="0" w:space="0" w:color="auto"/>
                <w:bottom w:val="none" w:sz="0" w:space="0" w:color="auto"/>
                <w:right w:val="none" w:sz="0" w:space="0" w:color="auto"/>
              </w:divBdr>
            </w:div>
            <w:div w:id="1470974769">
              <w:marLeft w:val="0"/>
              <w:marRight w:val="0"/>
              <w:marTop w:val="0"/>
              <w:marBottom w:val="0"/>
              <w:divBdr>
                <w:top w:val="none" w:sz="0" w:space="0" w:color="auto"/>
                <w:left w:val="none" w:sz="0" w:space="0" w:color="auto"/>
                <w:bottom w:val="none" w:sz="0" w:space="0" w:color="auto"/>
                <w:right w:val="none" w:sz="0" w:space="0" w:color="auto"/>
              </w:divBdr>
            </w:div>
            <w:div w:id="864438967">
              <w:marLeft w:val="0"/>
              <w:marRight w:val="0"/>
              <w:marTop w:val="0"/>
              <w:marBottom w:val="0"/>
              <w:divBdr>
                <w:top w:val="none" w:sz="0" w:space="0" w:color="auto"/>
                <w:left w:val="none" w:sz="0" w:space="0" w:color="auto"/>
                <w:bottom w:val="none" w:sz="0" w:space="0" w:color="auto"/>
                <w:right w:val="none" w:sz="0" w:space="0" w:color="auto"/>
              </w:divBdr>
            </w:div>
            <w:div w:id="1601718665">
              <w:marLeft w:val="0"/>
              <w:marRight w:val="0"/>
              <w:marTop w:val="0"/>
              <w:marBottom w:val="0"/>
              <w:divBdr>
                <w:top w:val="none" w:sz="0" w:space="0" w:color="auto"/>
                <w:left w:val="none" w:sz="0" w:space="0" w:color="auto"/>
                <w:bottom w:val="none" w:sz="0" w:space="0" w:color="auto"/>
                <w:right w:val="none" w:sz="0" w:space="0" w:color="auto"/>
              </w:divBdr>
            </w:div>
            <w:div w:id="746654603">
              <w:marLeft w:val="0"/>
              <w:marRight w:val="0"/>
              <w:marTop w:val="0"/>
              <w:marBottom w:val="0"/>
              <w:divBdr>
                <w:top w:val="none" w:sz="0" w:space="0" w:color="auto"/>
                <w:left w:val="none" w:sz="0" w:space="0" w:color="auto"/>
                <w:bottom w:val="none" w:sz="0" w:space="0" w:color="auto"/>
                <w:right w:val="none" w:sz="0" w:space="0" w:color="auto"/>
              </w:divBdr>
            </w:div>
            <w:div w:id="1836260368">
              <w:marLeft w:val="0"/>
              <w:marRight w:val="0"/>
              <w:marTop w:val="0"/>
              <w:marBottom w:val="0"/>
              <w:divBdr>
                <w:top w:val="none" w:sz="0" w:space="0" w:color="auto"/>
                <w:left w:val="none" w:sz="0" w:space="0" w:color="auto"/>
                <w:bottom w:val="none" w:sz="0" w:space="0" w:color="auto"/>
                <w:right w:val="none" w:sz="0" w:space="0" w:color="auto"/>
              </w:divBdr>
            </w:div>
            <w:div w:id="512916824">
              <w:marLeft w:val="0"/>
              <w:marRight w:val="0"/>
              <w:marTop w:val="0"/>
              <w:marBottom w:val="0"/>
              <w:divBdr>
                <w:top w:val="none" w:sz="0" w:space="0" w:color="auto"/>
                <w:left w:val="none" w:sz="0" w:space="0" w:color="auto"/>
                <w:bottom w:val="none" w:sz="0" w:space="0" w:color="auto"/>
                <w:right w:val="none" w:sz="0" w:space="0" w:color="auto"/>
              </w:divBdr>
            </w:div>
            <w:div w:id="1068070319">
              <w:marLeft w:val="0"/>
              <w:marRight w:val="0"/>
              <w:marTop w:val="0"/>
              <w:marBottom w:val="0"/>
              <w:divBdr>
                <w:top w:val="none" w:sz="0" w:space="0" w:color="auto"/>
                <w:left w:val="none" w:sz="0" w:space="0" w:color="auto"/>
                <w:bottom w:val="none" w:sz="0" w:space="0" w:color="auto"/>
                <w:right w:val="none" w:sz="0" w:space="0" w:color="auto"/>
              </w:divBdr>
            </w:div>
            <w:div w:id="1929919129">
              <w:marLeft w:val="0"/>
              <w:marRight w:val="0"/>
              <w:marTop w:val="0"/>
              <w:marBottom w:val="0"/>
              <w:divBdr>
                <w:top w:val="none" w:sz="0" w:space="0" w:color="auto"/>
                <w:left w:val="none" w:sz="0" w:space="0" w:color="auto"/>
                <w:bottom w:val="none" w:sz="0" w:space="0" w:color="auto"/>
                <w:right w:val="none" w:sz="0" w:space="0" w:color="auto"/>
              </w:divBdr>
            </w:div>
            <w:div w:id="447891918">
              <w:marLeft w:val="0"/>
              <w:marRight w:val="0"/>
              <w:marTop w:val="0"/>
              <w:marBottom w:val="0"/>
              <w:divBdr>
                <w:top w:val="none" w:sz="0" w:space="0" w:color="auto"/>
                <w:left w:val="none" w:sz="0" w:space="0" w:color="auto"/>
                <w:bottom w:val="none" w:sz="0" w:space="0" w:color="auto"/>
                <w:right w:val="none" w:sz="0" w:space="0" w:color="auto"/>
              </w:divBdr>
            </w:div>
            <w:div w:id="157038722">
              <w:marLeft w:val="0"/>
              <w:marRight w:val="0"/>
              <w:marTop w:val="0"/>
              <w:marBottom w:val="0"/>
              <w:divBdr>
                <w:top w:val="none" w:sz="0" w:space="0" w:color="auto"/>
                <w:left w:val="none" w:sz="0" w:space="0" w:color="auto"/>
                <w:bottom w:val="none" w:sz="0" w:space="0" w:color="auto"/>
                <w:right w:val="none" w:sz="0" w:space="0" w:color="auto"/>
              </w:divBdr>
            </w:div>
            <w:div w:id="2038652121">
              <w:marLeft w:val="0"/>
              <w:marRight w:val="0"/>
              <w:marTop w:val="0"/>
              <w:marBottom w:val="0"/>
              <w:divBdr>
                <w:top w:val="none" w:sz="0" w:space="0" w:color="auto"/>
                <w:left w:val="none" w:sz="0" w:space="0" w:color="auto"/>
                <w:bottom w:val="none" w:sz="0" w:space="0" w:color="auto"/>
                <w:right w:val="none" w:sz="0" w:space="0" w:color="auto"/>
              </w:divBdr>
            </w:div>
            <w:div w:id="332152884">
              <w:marLeft w:val="0"/>
              <w:marRight w:val="0"/>
              <w:marTop w:val="0"/>
              <w:marBottom w:val="0"/>
              <w:divBdr>
                <w:top w:val="none" w:sz="0" w:space="0" w:color="auto"/>
                <w:left w:val="none" w:sz="0" w:space="0" w:color="auto"/>
                <w:bottom w:val="none" w:sz="0" w:space="0" w:color="auto"/>
                <w:right w:val="none" w:sz="0" w:space="0" w:color="auto"/>
              </w:divBdr>
            </w:div>
            <w:div w:id="485172882">
              <w:marLeft w:val="0"/>
              <w:marRight w:val="0"/>
              <w:marTop w:val="0"/>
              <w:marBottom w:val="0"/>
              <w:divBdr>
                <w:top w:val="none" w:sz="0" w:space="0" w:color="auto"/>
                <w:left w:val="none" w:sz="0" w:space="0" w:color="auto"/>
                <w:bottom w:val="none" w:sz="0" w:space="0" w:color="auto"/>
                <w:right w:val="none" w:sz="0" w:space="0" w:color="auto"/>
              </w:divBdr>
            </w:div>
            <w:div w:id="989287132">
              <w:marLeft w:val="0"/>
              <w:marRight w:val="0"/>
              <w:marTop w:val="0"/>
              <w:marBottom w:val="0"/>
              <w:divBdr>
                <w:top w:val="none" w:sz="0" w:space="0" w:color="auto"/>
                <w:left w:val="none" w:sz="0" w:space="0" w:color="auto"/>
                <w:bottom w:val="none" w:sz="0" w:space="0" w:color="auto"/>
                <w:right w:val="none" w:sz="0" w:space="0" w:color="auto"/>
              </w:divBdr>
            </w:div>
            <w:div w:id="1967463383">
              <w:marLeft w:val="0"/>
              <w:marRight w:val="0"/>
              <w:marTop w:val="0"/>
              <w:marBottom w:val="0"/>
              <w:divBdr>
                <w:top w:val="none" w:sz="0" w:space="0" w:color="auto"/>
                <w:left w:val="none" w:sz="0" w:space="0" w:color="auto"/>
                <w:bottom w:val="none" w:sz="0" w:space="0" w:color="auto"/>
                <w:right w:val="none" w:sz="0" w:space="0" w:color="auto"/>
              </w:divBdr>
            </w:div>
            <w:div w:id="148248992">
              <w:marLeft w:val="0"/>
              <w:marRight w:val="0"/>
              <w:marTop w:val="0"/>
              <w:marBottom w:val="0"/>
              <w:divBdr>
                <w:top w:val="none" w:sz="0" w:space="0" w:color="auto"/>
                <w:left w:val="none" w:sz="0" w:space="0" w:color="auto"/>
                <w:bottom w:val="none" w:sz="0" w:space="0" w:color="auto"/>
                <w:right w:val="none" w:sz="0" w:space="0" w:color="auto"/>
              </w:divBdr>
            </w:div>
            <w:div w:id="255286059">
              <w:marLeft w:val="0"/>
              <w:marRight w:val="0"/>
              <w:marTop w:val="0"/>
              <w:marBottom w:val="0"/>
              <w:divBdr>
                <w:top w:val="none" w:sz="0" w:space="0" w:color="auto"/>
                <w:left w:val="none" w:sz="0" w:space="0" w:color="auto"/>
                <w:bottom w:val="none" w:sz="0" w:space="0" w:color="auto"/>
                <w:right w:val="none" w:sz="0" w:space="0" w:color="auto"/>
              </w:divBdr>
            </w:div>
            <w:div w:id="786970495">
              <w:marLeft w:val="0"/>
              <w:marRight w:val="0"/>
              <w:marTop w:val="0"/>
              <w:marBottom w:val="0"/>
              <w:divBdr>
                <w:top w:val="none" w:sz="0" w:space="0" w:color="auto"/>
                <w:left w:val="none" w:sz="0" w:space="0" w:color="auto"/>
                <w:bottom w:val="none" w:sz="0" w:space="0" w:color="auto"/>
                <w:right w:val="none" w:sz="0" w:space="0" w:color="auto"/>
              </w:divBdr>
            </w:div>
            <w:div w:id="361591601">
              <w:marLeft w:val="0"/>
              <w:marRight w:val="0"/>
              <w:marTop w:val="0"/>
              <w:marBottom w:val="0"/>
              <w:divBdr>
                <w:top w:val="none" w:sz="0" w:space="0" w:color="auto"/>
                <w:left w:val="none" w:sz="0" w:space="0" w:color="auto"/>
                <w:bottom w:val="none" w:sz="0" w:space="0" w:color="auto"/>
                <w:right w:val="none" w:sz="0" w:space="0" w:color="auto"/>
              </w:divBdr>
            </w:div>
            <w:div w:id="1004282396">
              <w:marLeft w:val="0"/>
              <w:marRight w:val="0"/>
              <w:marTop w:val="0"/>
              <w:marBottom w:val="0"/>
              <w:divBdr>
                <w:top w:val="none" w:sz="0" w:space="0" w:color="auto"/>
                <w:left w:val="none" w:sz="0" w:space="0" w:color="auto"/>
                <w:bottom w:val="none" w:sz="0" w:space="0" w:color="auto"/>
                <w:right w:val="none" w:sz="0" w:space="0" w:color="auto"/>
              </w:divBdr>
            </w:div>
            <w:div w:id="661733920">
              <w:marLeft w:val="0"/>
              <w:marRight w:val="0"/>
              <w:marTop w:val="0"/>
              <w:marBottom w:val="0"/>
              <w:divBdr>
                <w:top w:val="none" w:sz="0" w:space="0" w:color="auto"/>
                <w:left w:val="none" w:sz="0" w:space="0" w:color="auto"/>
                <w:bottom w:val="none" w:sz="0" w:space="0" w:color="auto"/>
                <w:right w:val="none" w:sz="0" w:space="0" w:color="auto"/>
              </w:divBdr>
            </w:div>
            <w:div w:id="1941182068">
              <w:marLeft w:val="0"/>
              <w:marRight w:val="0"/>
              <w:marTop w:val="0"/>
              <w:marBottom w:val="0"/>
              <w:divBdr>
                <w:top w:val="none" w:sz="0" w:space="0" w:color="auto"/>
                <w:left w:val="none" w:sz="0" w:space="0" w:color="auto"/>
                <w:bottom w:val="none" w:sz="0" w:space="0" w:color="auto"/>
                <w:right w:val="none" w:sz="0" w:space="0" w:color="auto"/>
              </w:divBdr>
            </w:div>
            <w:div w:id="1751266095">
              <w:marLeft w:val="0"/>
              <w:marRight w:val="0"/>
              <w:marTop w:val="0"/>
              <w:marBottom w:val="0"/>
              <w:divBdr>
                <w:top w:val="none" w:sz="0" w:space="0" w:color="auto"/>
                <w:left w:val="none" w:sz="0" w:space="0" w:color="auto"/>
                <w:bottom w:val="none" w:sz="0" w:space="0" w:color="auto"/>
                <w:right w:val="none" w:sz="0" w:space="0" w:color="auto"/>
              </w:divBdr>
            </w:div>
            <w:div w:id="960844136">
              <w:marLeft w:val="0"/>
              <w:marRight w:val="0"/>
              <w:marTop w:val="0"/>
              <w:marBottom w:val="0"/>
              <w:divBdr>
                <w:top w:val="none" w:sz="0" w:space="0" w:color="auto"/>
                <w:left w:val="none" w:sz="0" w:space="0" w:color="auto"/>
                <w:bottom w:val="none" w:sz="0" w:space="0" w:color="auto"/>
                <w:right w:val="none" w:sz="0" w:space="0" w:color="auto"/>
              </w:divBdr>
            </w:div>
            <w:div w:id="398023395">
              <w:marLeft w:val="0"/>
              <w:marRight w:val="0"/>
              <w:marTop w:val="0"/>
              <w:marBottom w:val="0"/>
              <w:divBdr>
                <w:top w:val="none" w:sz="0" w:space="0" w:color="auto"/>
                <w:left w:val="none" w:sz="0" w:space="0" w:color="auto"/>
                <w:bottom w:val="none" w:sz="0" w:space="0" w:color="auto"/>
                <w:right w:val="none" w:sz="0" w:space="0" w:color="auto"/>
              </w:divBdr>
            </w:div>
            <w:div w:id="1436173867">
              <w:marLeft w:val="0"/>
              <w:marRight w:val="0"/>
              <w:marTop w:val="0"/>
              <w:marBottom w:val="0"/>
              <w:divBdr>
                <w:top w:val="none" w:sz="0" w:space="0" w:color="auto"/>
                <w:left w:val="none" w:sz="0" w:space="0" w:color="auto"/>
                <w:bottom w:val="none" w:sz="0" w:space="0" w:color="auto"/>
                <w:right w:val="none" w:sz="0" w:space="0" w:color="auto"/>
              </w:divBdr>
            </w:div>
            <w:div w:id="254561012">
              <w:marLeft w:val="0"/>
              <w:marRight w:val="0"/>
              <w:marTop w:val="0"/>
              <w:marBottom w:val="0"/>
              <w:divBdr>
                <w:top w:val="none" w:sz="0" w:space="0" w:color="auto"/>
                <w:left w:val="none" w:sz="0" w:space="0" w:color="auto"/>
                <w:bottom w:val="none" w:sz="0" w:space="0" w:color="auto"/>
                <w:right w:val="none" w:sz="0" w:space="0" w:color="auto"/>
              </w:divBdr>
            </w:div>
            <w:div w:id="505439317">
              <w:marLeft w:val="0"/>
              <w:marRight w:val="0"/>
              <w:marTop w:val="0"/>
              <w:marBottom w:val="0"/>
              <w:divBdr>
                <w:top w:val="none" w:sz="0" w:space="0" w:color="auto"/>
                <w:left w:val="none" w:sz="0" w:space="0" w:color="auto"/>
                <w:bottom w:val="none" w:sz="0" w:space="0" w:color="auto"/>
                <w:right w:val="none" w:sz="0" w:space="0" w:color="auto"/>
              </w:divBdr>
            </w:div>
            <w:div w:id="1082066701">
              <w:marLeft w:val="0"/>
              <w:marRight w:val="0"/>
              <w:marTop w:val="0"/>
              <w:marBottom w:val="0"/>
              <w:divBdr>
                <w:top w:val="none" w:sz="0" w:space="0" w:color="auto"/>
                <w:left w:val="none" w:sz="0" w:space="0" w:color="auto"/>
                <w:bottom w:val="none" w:sz="0" w:space="0" w:color="auto"/>
                <w:right w:val="none" w:sz="0" w:space="0" w:color="auto"/>
              </w:divBdr>
            </w:div>
            <w:div w:id="180124870">
              <w:marLeft w:val="0"/>
              <w:marRight w:val="0"/>
              <w:marTop w:val="0"/>
              <w:marBottom w:val="0"/>
              <w:divBdr>
                <w:top w:val="none" w:sz="0" w:space="0" w:color="auto"/>
                <w:left w:val="none" w:sz="0" w:space="0" w:color="auto"/>
                <w:bottom w:val="none" w:sz="0" w:space="0" w:color="auto"/>
                <w:right w:val="none" w:sz="0" w:space="0" w:color="auto"/>
              </w:divBdr>
            </w:div>
            <w:div w:id="1852912882">
              <w:marLeft w:val="0"/>
              <w:marRight w:val="0"/>
              <w:marTop w:val="0"/>
              <w:marBottom w:val="0"/>
              <w:divBdr>
                <w:top w:val="none" w:sz="0" w:space="0" w:color="auto"/>
                <w:left w:val="none" w:sz="0" w:space="0" w:color="auto"/>
                <w:bottom w:val="none" w:sz="0" w:space="0" w:color="auto"/>
                <w:right w:val="none" w:sz="0" w:space="0" w:color="auto"/>
              </w:divBdr>
            </w:div>
            <w:div w:id="1116102200">
              <w:marLeft w:val="0"/>
              <w:marRight w:val="0"/>
              <w:marTop w:val="0"/>
              <w:marBottom w:val="0"/>
              <w:divBdr>
                <w:top w:val="none" w:sz="0" w:space="0" w:color="auto"/>
                <w:left w:val="none" w:sz="0" w:space="0" w:color="auto"/>
                <w:bottom w:val="none" w:sz="0" w:space="0" w:color="auto"/>
                <w:right w:val="none" w:sz="0" w:space="0" w:color="auto"/>
              </w:divBdr>
            </w:div>
            <w:div w:id="491455474">
              <w:marLeft w:val="0"/>
              <w:marRight w:val="0"/>
              <w:marTop w:val="0"/>
              <w:marBottom w:val="0"/>
              <w:divBdr>
                <w:top w:val="none" w:sz="0" w:space="0" w:color="auto"/>
                <w:left w:val="none" w:sz="0" w:space="0" w:color="auto"/>
                <w:bottom w:val="none" w:sz="0" w:space="0" w:color="auto"/>
                <w:right w:val="none" w:sz="0" w:space="0" w:color="auto"/>
              </w:divBdr>
            </w:div>
            <w:div w:id="1990792316">
              <w:marLeft w:val="0"/>
              <w:marRight w:val="0"/>
              <w:marTop w:val="0"/>
              <w:marBottom w:val="0"/>
              <w:divBdr>
                <w:top w:val="none" w:sz="0" w:space="0" w:color="auto"/>
                <w:left w:val="none" w:sz="0" w:space="0" w:color="auto"/>
                <w:bottom w:val="none" w:sz="0" w:space="0" w:color="auto"/>
                <w:right w:val="none" w:sz="0" w:space="0" w:color="auto"/>
              </w:divBdr>
            </w:div>
            <w:div w:id="2040811782">
              <w:marLeft w:val="0"/>
              <w:marRight w:val="0"/>
              <w:marTop w:val="0"/>
              <w:marBottom w:val="0"/>
              <w:divBdr>
                <w:top w:val="none" w:sz="0" w:space="0" w:color="auto"/>
                <w:left w:val="none" w:sz="0" w:space="0" w:color="auto"/>
                <w:bottom w:val="none" w:sz="0" w:space="0" w:color="auto"/>
                <w:right w:val="none" w:sz="0" w:space="0" w:color="auto"/>
              </w:divBdr>
            </w:div>
            <w:div w:id="1774127999">
              <w:marLeft w:val="0"/>
              <w:marRight w:val="0"/>
              <w:marTop w:val="0"/>
              <w:marBottom w:val="0"/>
              <w:divBdr>
                <w:top w:val="none" w:sz="0" w:space="0" w:color="auto"/>
                <w:left w:val="none" w:sz="0" w:space="0" w:color="auto"/>
                <w:bottom w:val="none" w:sz="0" w:space="0" w:color="auto"/>
                <w:right w:val="none" w:sz="0" w:space="0" w:color="auto"/>
              </w:divBdr>
            </w:div>
            <w:div w:id="620723481">
              <w:marLeft w:val="0"/>
              <w:marRight w:val="0"/>
              <w:marTop w:val="0"/>
              <w:marBottom w:val="0"/>
              <w:divBdr>
                <w:top w:val="none" w:sz="0" w:space="0" w:color="auto"/>
                <w:left w:val="none" w:sz="0" w:space="0" w:color="auto"/>
                <w:bottom w:val="none" w:sz="0" w:space="0" w:color="auto"/>
                <w:right w:val="none" w:sz="0" w:space="0" w:color="auto"/>
              </w:divBdr>
            </w:div>
            <w:div w:id="1331525939">
              <w:marLeft w:val="0"/>
              <w:marRight w:val="0"/>
              <w:marTop w:val="0"/>
              <w:marBottom w:val="0"/>
              <w:divBdr>
                <w:top w:val="none" w:sz="0" w:space="0" w:color="auto"/>
                <w:left w:val="none" w:sz="0" w:space="0" w:color="auto"/>
                <w:bottom w:val="none" w:sz="0" w:space="0" w:color="auto"/>
                <w:right w:val="none" w:sz="0" w:space="0" w:color="auto"/>
              </w:divBdr>
            </w:div>
            <w:div w:id="1107967285">
              <w:marLeft w:val="0"/>
              <w:marRight w:val="0"/>
              <w:marTop w:val="0"/>
              <w:marBottom w:val="0"/>
              <w:divBdr>
                <w:top w:val="none" w:sz="0" w:space="0" w:color="auto"/>
                <w:left w:val="none" w:sz="0" w:space="0" w:color="auto"/>
                <w:bottom w:val="none" w:sz="0" w:space="0" w:color="auto"/>
                <w:right w:val="none" w:sz="0" w:space="0" w:color="auto"/>
              </w:divBdr>
            </w:div>
            <w:div w:id="659626514">
              <w:marLeft w:val="0"/>
              <w:marRight w:val="0"/>
              <w:marTop w:val="0"/>
              <w:marBottom w:val="0"/>
              <w:divBdr>
                <w:top w:val="none" w:sz="0" w:space="0" w:color="auto"/>
                <w:left w:val="none" w:sz="0" w:space="0" w:color="auto"/>
                <w:bottom w:val="none" w:sz="0" w:space="0" w:color="auto"/>
                <w:right w:val="none" w:sz="0" w:space="0" w:color="auto"/>
              </w:divBdr>
            </w:div>
            <w:div w:id="642658591">
              <w:marLeft w:val="0"/>
              <w:marRight w:val="0"/>
              <w:marTop w:val="0"/>
              <w:marBottom w:val="0"/>
              <w:divBdr>
                <w:top w:val="none" w:sz="0" w:space="0" w:color="auto"/>
                <w:left w:val="none" w:sz="0" w:space="0" w:color="auto"/>
                <w:bottom w:val="none" w:sz="0" w:space="0" w:color="auto"/>
                <w:right w:val="none" w:sz="0" w:space="0" w:color="auto"/>
              </w:divBdr>
            </w:div>
            <w:div w:id="86736275">
              <w:marLeft w:val="0"/>
              <w:marRight w:val="0"/>
              <w:marTop w:val="0"/>
              <w:marBottom w:val="0"/>
              <w:divBdr>
                <w:top w:val="none" w:sz="0" w:space="0" w:color="auto"/>
                <w:left w:val="none" w:sz="0" w:space="0" w:color="auto"/>
                <w:bottom w:val="none" w:sz="0" w:space="0" w:color="auto"/>
                <w:right w:val="none" w:sz="0" w:space="0" w:color="auto"/>
              </w:divBdr>
            </w:div>
            <w:div w:id="515727076">
              <w:marLeft w:val="0"/>
              <w:marRight w:val="0"/>
              <w:marTop w:val="0"/>
              <w:marBottom w:val="0"/>
              <w:divBdr>
                <w:top w:val="none" w:sz="0" w:space="0" w:color="auto"/>
                <w:left w:val="none" w:sz="0" w:space="0" w:color="auto"/>
                <w:bottom w:val="none" w:sz="0" w:space="0" w:color="auto"/>
                <w:right w:val="none" w:sz="0" w:space="0" w:color="auto"/>
              </w:divBdr>
            </w:div>
            <w:div w:id="1968126783">
              <w:marLeft w:val="0"/>
              <w:marRight w:val="0"/>
              <w:marTop w:val="0"/>
              <w:marBottom w:val="0"/>
              <w:divBdr>
                <w:top w:val="none" w:sz="0" w:space="0" w:color="auto"/>
                <w:left w:val="none" w:sz="0" w:space="0" w:color="auto"/>
                <w:bottom w:val="none" w:sz="0" w:space="0" w:color="auto"/>
                <w:right w:val="none" w:sz="0" w:space="0" w:color="auto"/>
              </w:divBdr>
            </w:div>
            <w:div w:id="2013291246">
              <w:marLeft w:val="0"/>
              <w:marRight w:val="0"/>
              <w:marTop w:val="0"/>
              <w:marBottom w:val="0"/>
              <w:divBdr>
                <w:top w:val="none" w:sz="0" w:space="0" w:color="auto"/>
                <w:left w:val="none" w:sz="0" w:space="0" w:color="auto"/>
                <w:bottom w:val="none" w:sz="0" w:space="0" w:color="auto"/>
                <w:right w:val="none" w:sz="0" w:space="0" w:color="auto"/>
              </w:divBdr>
            </w:div>
            <w:div w:id="1703553001">
              <w:marLeft w:val="0"/>
              <w:marRight w:val="0"/>
              <w:marTop w:val="0"/>
              <w:marBottom w:val="0"/>
              <w:divBdr>
                <w:top w:val="none" w:sz="0" w:space="0" w:color="auto"/>
                <w:left w:val="none" w:sz="0" w:space="0" w:color="auto"/>
                <w:bottom w:val="none" w:sz="0" w:space="0" w:color="auto"/>
                <w:right w:val="none" w:sz="0" w:space="0" w:color="auto"/>
              </w:divBdr>
            </w:div>
            <w:div w:id="717121901">
              <w:marLeft w:val="0"/>
              <w:marRight w:val="0"/>
              <w:marTop w:val="0"/>
              <w:marBottom w:val="0"/>
              <w:divBdr>
                <w:top w:val="none" w:sz="0" w:space="0" w:color="auto"/>
                <w:left w:val="none" w:sz="0" w:space="0" w:color="auto"/>
                <w:bottom w:val="none" w:sz="0" w:space="0" w:color="auto"/>
                <w:right w:val="none" w:sz="0" w:space="0" w:color="auto"/>
              </w:divBdr>
            </w:div>
            <w:div w:id="626400607">
              <w:marLeft w:val="0"/>
              <w:marRight w:val="0"/>
              <w:marTop w:val="0"/>
              <w:marBottom w:val="0"/>
              <w:divBdr>
                <w:top w:val="none" w:sz="0" w:space="0" w:color="auto"/>
                <w:left w:val="none" w:sz="0" w:space="0" w:color="auto"/>
                <w:bottom w:val="none" w:sz="0" w:space="0" w:color="auto"/>
                <w:right w:val="none" w:sz="0" w:space="0" w:color="auto"/>
              </w:divBdr>
            </w:div>
            <w:div w:id="1583029634">
              <w:marLeft w:val="0"/>
              <w:marRight w:val="0"/>
              <w:marTop w:val="0"/>
              <w:marBottom w:val="0"/>
              <w:divBdr>
                <w:top w:val="none" w:sz="0" w:space="0" w:color="auto"/>
                <w:left w:val="none" w:sz="0" w:space="0" w:color="auto"/>
                <w:bottom w:val="none" w:sz="0" w:space="0" w:color="auto"/>
                <w:right w:val="none" w:sz="0" w:space="0" w:color="auto"/>
              </w:divBdr>
            </w:div>
            <w:div w:id="504050006">
              <w:marLeft w:val="0"/>
              <w:marRight w:val="0"/>
              <w:marTop w:val="0"/>
              <w:marBottom w:val="0"/>
              <w:divBdr>
                <w:top w:val="none" w:sz="0" w:space="0" w:color="auto"/>
                <w:left w:val="none" w:sz="0" w:space="0" w:color="auto"/>
                <w:bottom w:val="none" w:sz="0" w:space="0" w:color="auto"/>
                <w:right w:val="none" w:sz="0" w:space="0" w:color="auto"/>
              </w:divBdr>
            </w:div>
            <w:div w:id="1304625375">
              <w:marLeft w:val="0"/>
              <w:marRight w:val="0"/>
              <w:marTop w:val="0"/>
              <w:marBottom w:val="0"/>
              <w:divBdr>
                <w:top w:val="none" w:sz="0" w:space="0" w:color="auto"/>
                <w:left w:val="none" w:sz="0" w:space="0" w:color="auto"/>
                <w:bottom w:val="none" w:sz="0" w:space="0" w:color="auto"/>
                <w:right w:val="none" w:sz="0" w:space="0" w:color="auto"/>
              </w:divBdr>
            </w:div>
            <w:div w:id="2052993283">
              <w:marLeft w:val="0"/>
              <w:marRight w:val="0"/>
              <w:marTop w:val="0"/>
              <w:marBottom w:val="0"/>
              <w:divBdr>
                <w:top w:val="none" w:sz="0" w:space="0" w:color="auto"/>
                <w:left w:val="none" w:sz="0" w:space="0" w:color="auto"/>
                <w:bottom w:val="none" w:sz="0" w:space="0" w:color="auto"/>
                <w:right w:val="none" w:sz="0" w:space="0" w:color="auto"/>
              </w:divBdr>
            </w:div>
            <w:div w:id="1645967939">
              <w:marLeft w:val="0"/>
              <w:marRight w:val="0"/>
              <w:marTop w:val="0"/>
              <w:marBottom w:val="0"/>
              <w:divBdr>
                <w:top w:val="none" w:sz="0" w:space="0" w:color="auto"/>
                <w:left w:val="none" w:sz="0" w:space="0" w:color="auto"/>
                <w:bottom w:val="none" w:sz="0" w:space="0" w:color="auto"/>
                <w:right w:val="none" w:sz="0" w:space="0" w:color="auto"/>
              </w:divBdr>
            </w:div>
            <w:div w:id="2054882775">
              <w:marLeft w:val="0"/>
              <w:marRight w:val="0"/>
              <w:marTop w:val="0"/>
              <w:marBottom w:val="0"/>
              <w:divBdr>
                <w:top w:val="none" w:sz="0" w:space="0" w:color="auto"/>
                <w:left w:val="none" w:sz="0" w:space="0" w:color="auto"/>
                <w:bottom w:val="none" w:sz="0" w:space="0" w:color="auto"/>
                <w:right w:val="none" w:sz="0" w:space="0" w:color="auto"/>
              </w:divBdr>
            </w:div>
            <w:div w:id="417749158">
              <w:marLeft w:val="0"/>
              <w:marRight w:val="0"/>
              <w:marTop w:val="0"/>
              <w:marBottom w:val="0"/>
              <w:divBdr>
                <w:top w:val="none" w:sz="0" w:space="0" w:color="auto"/>
                <w:left w:val="none" w:sz="0" w:space="0" w:color="auto"/>
                <w:bottom w:val="none" w:sz="0" w:space="0" w:color="auto"/>
                <w:right w:val="none" w:sz="0" w:space="0" w:color="auto"/>
              </w:divBdr>
            </w:div>
            <w:div w:id="141507550">
              <w:marLeft w:val="0"/>
              <w:marRight w:val="0"/>
              <w:marTop w:val="0"/>
              <w:marBottom w:val="0"/>
              <w:divBdr>
                <w:top w:val="none" w:sz="0" w:space="0" w:color="auto"/>
                <w:left w:val="none" w:sz="0" w:space="0" w:color="auto"/>
                <w:bottom w:val="none" w:sz="0" w:space="0" w:color="auto"/>
                <w:right w:val="none" w:sz="0" w:space="0" w:color="auto"/>
              </w:divBdr>
            </w:div>
            <w:div w:id="1404134512">
              <w:marLeft w:val="0"/>
              <w:marRight w:val="0"/>
              <w:marTop w:val="0"/>
              <w:marBottom w:val="0"/>
              <w:divBdr>
                <w:top w:val="none" w:sz="0" w:space="0" w:color="auto"/>
                <w:left w:val="none" w:sz="0" w:space="0" w:color="auto"/>
                <w:bottom w:val="none" w:sz="0" w:space="0" w:color="auto"/>
                <w:right w:val="none" w:sz="0" w:space="0" w:color="auto"/>
              </w:divBdr>
            </w:div>
            <w:div w:id="1113548979">
              <w:marLeft w:val="0"/>
              <w:marRight w:val="0"/>
              <w:marTop w:val="0"/>
              <w:marBottom w:val="0"/>
              <w:divBdr>
                <w:top w:val="none" w:sz="0" w:space="0" w:color="auto"/>
                <w:left w:val="none" w:sz="0" w:space="0" w:color="auto"/>
                <w:bottom w:val="none" w:sz="0" w:space="0" w:color="auto"/>
                <w:right w:val="none" w:sz="0" w:space="0" w:color="auto"/>
              </w:divBdr>
            </w:div>
            <w:div w:id="851067907">
              <w:marLeft w:val="0"/>
              <w:marRight w:val="0"/>
              <w:marTop w:val="0"/>
              <w:marBottom w:val="0"/>
              <w:divBdr>
                <w:top w:val="none" w:sz="0" w:space="0" w:color="auto"/>
                <w:left w:val="none" w:sz="0" w:space="0" w:color="auto"/>
                <w:bottom w:val="none" w:sz="0" w:space="0" w:color="auto"/>
                <w:right w:val="none" w:sz="0" w:space="0" w:color="auto"/>
              </w:divBdr>
            </w:div>
            <w:div w:id="1337802379">
              <w:marLeft w:val="0"/>
              <w:marRight w:val="0"/>
              <w:marTop w:val="0"/>
              <w:marBottom w:val="0"/>
              <w:divBdr>
                <w:top w:val="none" w:sz="0" w:space="0" w:color="auto"/>
                <w:left w:val="none" w:sz="0" w:space="0" w:color="auto"/>
                <w:bottom w:val="none" w:sz="0" w:space="0" w:color="auto"/>
                <w:right w:val="none" w:sz="0" w:space="0" w:color="auto"/>
              </w:divBdr>
            </w:div>
            <w:div w:id="2024166270">
              <w:marLeft w:val="0"/>
              <w:marRight w:val="0"/>
              <w:marTop w:val="0"/>
              <w:marBottom w:val="0"/>
              <w:divBdr>
                <w:top w:val="none" w:sz="0" w:space="0" w:color="auto"/>
                <w:left w:val="none" w:sz="0" w:space="0" w:color="auto"/>
                <w:bottom w:val="none" w:sz="0" w:space="0" w:color="auto"/>
                <w:right w:val="none" w:sz="0" w:space="0" w:color="auto"/>
              </w:divBdr>
            </w:div>
            <w:div w:id="624850311">
              <w:marLeft w:val="0"/>
              <w:marRight w:val="0"/>
              <w:marTop w:val="0"/>
              <w:marBottom w:val="0"/>
              <w:divBdr>
                <w:top w:val="none" w:sz="0" w:space="0" w:color="auto"/>
                <w:left w:val="none" w:sz="0" w:space="0" w:color="auto"/>
                <w:bottom w:val="none" w:sz="0" w:space="0" w:color="auto"/>
                <w:right w:val="none" w:sz="0" w:space="0" w:color="auto"/>
              </w:divBdr>
            </w:div>
            <w:div w:id="1579485993">
              <w:marLeft w:val="0"/>
              <w:marRight w:val="0"/>
              <w:marTop w:val="0"/>
              <w:marBottom w:val="0"/>
              <w:divBdr>
                <w:top w:val="none" w:sz="0" w:space="0" w:color="auto"/>
                <w:left w:val="none" w:sz="0" w:space="0" w:color="auto"/>
                <w:bottom w:val="none" w:sz="0" w:space="0" w:color="auto"/>
                <w:right w:val="none" w:sz="0" w:space="0" w:color="auto"/>
              </w:divBdr>
            </w:div>
            <w:div w:id="812869704">
              <w:marLeft w:val="0"/>
              <w:marRight w:val="0"/>
              <w:marTop w:val="0"/>
              <w:marBottom w:val="0"/>
              <w:divBdr>
                <w:top w:val="none" w:sz="0" w:space="0" w:color="auto"/>
                <w:left w:val="none" w:sz="0" w:space="0" w:color="auto"/>
                <w:bottom w:val="none" w:sz="0" w:space="0" w:color="auto"/>
                <w:right w:val="none" w:sz="0" w:space="0" w:color="auto"/>
              </w:divBdr>
            </w:div>
            <w:div w:id="1177646725">
              <w:marLeft w:val="0"/>
              <w:marRight w:val="0"/>
              <w:marTop w:val="0"/>
              <w:marBottom w:val="0"/>
              <w:divBdr>
                <w:top w:val="none" w:sz="0" w:space="0" w:color="auto"/>
                <w:left w:val="none" w:sz="0" w:space="0" w:color="auto"/>
                <w:bottom w:val="none" w:sz="0" w:space="0" w:color="auto"/>
                <w:right w:val="none" w:sz="0" w:space="0" w:color="auto"/>
              </w:divBdr>
            </w:div>
            <w:div w:id="1925259593">
              <w:marLeft w:val="0"/>
              <w:marRight w:val="0"/>
              <w:marTop w:val="0"/>
              <w:marBottom w:val="0"/>
              <w:divBdr>
                <w:top w:val="none" w:sz="0" w:space="0" w:color="auto"/>
                <w:left w:val="none" w:sz="0" w:space="0" w:color="auto"/>
                <w:bottom w:val="none" w:sz="0" w:space="0" w:color="auto"/>
                <w:right w:val="none" w:sz="0" w:space="0" w:color="auto"/>
              </w:divBdr>
            </w:div>
            <w:div w:id="173694970">
              <w:marLeft w:val="0"/>
              <w:marRight w:val="0"/>
              <w:marTop w:val="0"/>
              <w:marBottom w:val="0"/>
              <w:divBdr>
                <w:top w:val="none" w:sz="0" w:space="0" w:color="auto"/>
                <w:left w:val="none" w:sz="0" w:space="0" w:color="auto"/>
                <w:bottom w:val="none" w:sz="0" w:space="0" w:color="auto"/>
                <w:right w:val="none" w:sz="0" w:space="0" w:color="auto"/>
              </w:divBdr>
            </w:div>
            <w:div w:id="568271658">
              <w:marLeft w:val="0"/>
              <w:marRight w:val="0"/>
              <w:marTop w:val="0"/>
              <w:marBottom w:val="0"/>
              <w:divBdr>
                <w:top w:val="none" w:sz="0" w:space="0" w:color="auto"/>
                <w:left w:val="none" w:sz="0" w:space="0" w:color="auto"/>
                <w:bottom w:val="none" w:sz="0" w:space="0" w:color="auto"/>
                <w:right w:val="none" w:sz="0" w:space="0" w:color="auto"/>
              </w:divBdr>
            </w:div>
            <w:div w:id="45224754">
              <w:marLeft w:val="0"/>
              <w:marRight w:val="0"/>
              <w:marTop w:val="0"/>
              <w:marBottom w:val="0"/>
              <w:divBdr>
                <w:top w:val="none" w:sz="0" w:space="0" w:color="auto"/>
                <w:left w:val="none" w:sz="0" w:space="0" w:color="auto"/>
                <w:bottom w:val="none" w:sz="0" w:space="0" w:color="auto"/>
                <w:right w:val="none" w:sz="0" w:space="0" w:color="auto"/>
              </w:divBdr>
            </w:div>
            <w:div w:id="24523891">
              <w:marLeft w:val="0"/>
              <w:marRight w:val="0"/>
              <w:marTop w:val="0"/>
              <w:marBottom w:val="0"/>
              <w:divBdr>
                <w:top w:val="none" w:sz="0" w:space="0" w:color="auto"/>
                <w:left w:val="none" w:sz="0" w:space="0" w:color="auto"/>
                <w:bottom w:val="none" w:sz="0" w:space="0" w:color="auto"/>
                <w:right w:val="none" w:sz="0" w:space="0" w:color="auto"/>
              </w:divBdr>
            </w:div>
            <w:div w:id="1148747190">
              <w:marLeft w:val="0"/>
              <w:marRight w:val="0"/>
              <w:marTop w:val="0"/>
              <w:marBottom w:val="0"/>
              <w:divBdr>
                <w:top w:val="none" w:sz="0" w:space="0" w:color="auto"/>
                <w:left w:val="none" w:sz="0" w:space="0" w:color="auto"/>
                <w:bottom w:val="none" w:sz="0" w:space="0" w:color="auto"/>
                <w:right w:val="none" w:sz="0" w:space="0" w:color="auto"/>
              </w:divBdr>
            </w:div>
            <w:div w:id="1391539752">
              <w:marLeft w:val="0"/>
              <w:marRight w:val="0"/>
              <w:marTop w:val="0"/>
              <w:marBottom w:val="0"/>
              <w:divBdr>
                <w:top w:val="none" w:sz="0" w:space="0" w:color="auto"/>
                <w:left w:val="none" w:sz="0" w:space="0" w:color="auto"/>
                <w:bottom w:val="none" w:sz="0" w:space="0" w:color="auto"/>
                <w:right w:val="none" w:sz="0" w:space="0" w:color="auto"/>
              </w:divBdr>
            </w:div>
            <w:div w:id="664089339">
              <w:marLeft w:val="0"/>
              <w:marRight w:val="0"/>
              <w:marTop w:val="0"/>
              <w:marBottom w:val="0"/>
              <w:divBdr>
                <w:top w:val="none" w:sz="0" w:space="0" w:color="auto"/>
                <w:left w:val="none" w:sz="0" w:space="0" w:color="auto"/>
                <w:bottom w:val="none" w:sz="0" w:space="0" w:color="auto"/>
                <w:right w:val="none" w:sz="0" w:space="0" w:color="auto"/>
              </w:divBdr>
            </w:div>
            <w:div w:id="1518618981">
              <w:marLeft w:val="0"/>
              <w:marRight w:val="0"/>
              <w:marTop w:val="0"/>
              <w:marBottom w:val="0"/>
              <w:divBdr>
                <w:top w:val="none" w:sz="0" w:space="0" w:color="auto"/>
                <w:left w:val="none" w:sz="0" w:space="0" w:color="auto"/>
                <w:bottom w:val="none" w:sz="0" w:space="0" w:color="auto"/>
                <w:right w:val="none" w:sz="0" w:space="0" w:color="auto"/>
              </w:divBdr>
            </w:div>
            <w:div w:id="1246837813">
              <w:marLeft w:val="0"/>
              <w:marRight w:val="0"/>
              <w:marTop w:val="0"/>
              <w:marBottom w:val="0"/>
              <w:divBdr>
                <w:top w:val="none" w:sz="0" w:space="0" w:color="auto"/>
                <w:left w:val="none" w:sz="0" w:space="0" w:color="auto"/>
                <w:bottom w:val="none" w:sz="0" w:space="0" w:color="auto"/>
                <w:right w:val="none" w:sz="0" w:space="0" w:color="auto"/>
              </w:divBdr>
            </w:div>
            <w:div w:id="1343319206">
              <w:marLeft w:val="0"/>
              <w:marRight w:val="0"/>
              <w:marTop w:val="0"/>
              <w:marBottom w:val="0"/>
              <w:divBdr>
                <w:top w:val="none" w:sz="0" w:space="0" w:color="auto"/>
                <w:left w:val="none" w:sz="0" w:space="0" w:color="auto"/>
                <w:bottom w:val="none" w:sz="0" w:space="0" w:color="auto"/>
                <w:right w:val="none" w:sz="0" w:space="0" w:color="auto"/>
              </w:divBdr>
            </w:div>
            <w:div w:id="1062866818">
              <w:marLeft w:val="0"/>
              <w:marRight w:val="0"/>
              <w:marTop w:val="0"/>
              <w:marBottom w:val="0"/>
              <w:divBdr>
                <w:top w:val="none" w:sz="0" w:space="0" w:color="auto"/>
                <w:left w:val="none" w:sz="0" w:space="0" w:color="auto"/>
                <w:bottom w:val="none" w:sz="0" w:space="0" w:color="auto"/>
                <w:right w:val="none" w:sz="0" w:space="0" w:color="auto"/>
              </w:divBdr>
            </w:div>
            <w:div w:id="1783105412">
              <w:marLeft w:val="0"/>
              <w:marRight w:val="0"/>
              <w:marTop w:val="0"/>
              <w:marBottom w:val="0"/>
              <w:divBdr>
                <w:top w:val="none" w:sz="0" w:space="0" w:color="auto"/>
                <w:left w:val="none" w:sz="0" w:space="0" w:color="auto"/>
                <w:bottom w:val="none" w:sz="0" w:space="0" w:color="auto"/>
                <w:right w:val="none" w:sz="0" w:space="0" w:color="auto"/>
              </w:divBdr>
            </w:div>
            <w:div w:id="1882278759">
              <w:marLeft w:val="0"/>
              <w:marRight w:val="0"/>
              <w:marTop w:val="0"/>
              <w:marBottom w:val="0"/>
              <w:divBdr>
                <w:top w:val="none" w:sz="0" w:space="0" w:color="auto"/>
                <w:left w:val="none" w:sz="0" w:space="0" w:color="auto"/>
                <w:bottom w:val="none" w:sz="0" w:space="0" w:color="auto"/>
                <w:right w:val="none" w:sz="0" w:space="0" w:color="auto"/>
              </w:divBdr>
            </w:div>
            <w:div w:id="1300839757">
              <w:marLeft w:val="0"/>
              <w:marRight w:val="0"/>
              <w:marTop w:val="0"/>
              <w:marBottom w:val="0"/>
              <w:divBdr>
                <w:top w:val="none" w:sz="0" w:space="0" w:color="auto"/>
                <w:left w:val="none" w:sz="0" w:space="0" w:color="auto"/>
                <w:bottom w:val="none" w:sz="0" w:space="0" w:color="auto"/>
                <w:right w:val="none" w:sz="0" w:space="0" w:color="auto"/>
              </w:divBdr>
            </w:div>
            <w:div w:id="1209495271">
              <w:marLeft w:val="0"/>
              <w:marRight w:val="0"/>
              <w:marTop w:val="0"/>
              <w:marBottom w:val="0"/>
              <w:divBdr>
                <w:top w:val="none" w:sz="0" w:space="0" w:color="auto"/>
                <w:left w:val="none" w:sz="0" w:space="0" w:color="auto"/>
                <w:bottom w:val="none" w:sz="0" w:space="0" w:color="auto"/>
                <w:right w:val="none" w:sz="0" w:space="0" w:color="auto"/>
              </w:divBdr>
            </w:div>
            <w:div w:id="828516627">
              <w:marLeft w:val="0"/>
              <w:marRight w:val="0"/>
              <w:marTop w:val="0"/>
              <w:marBottom w:val="0"/>
              <w:divBdr>
                <w:top w:val="none" w:sz="0" w:space="0" w:color="auto"/>
                <w:left w:val="none" w:sz="0" w:space="0" w:color="auto"/>
                <w:bottom w:val="none" w:sz="0" w:space="0" w:color="auto"/>
                <w:right w:val="none" w:sz="0" w:space="0" w:color="auto"/>
              </w:divBdr>
            </w:div>
            <w:div w:id="1598052213">
              <w:marLeft w:val="0"/>
              <w:marRight w:val="0"/>
              <w:marTop w:val="0"/>
              <w:marBottom w:val="0"/>
              <w:divBdr>
                <w:top w:val="none" w:sz="0" w:space="0" w:color="auto"/>
                <w:left w:val="none" w:sz="0" w:space="0" w:color="auto"/>
                <w:bottom w:val="none" w:sz="0" w:space="0" w:color="auto"/>
                <w:right w:val="none" w:sz="0" w:space="0" w:color="auto"/>
              </w:divBdr>
            </w:div>
            <w:div w:id="983003620">
              <w:marLeft w:val="0"/>
              <w:marRight w:val="0"/>
              <w:marTop w:val="0"/>
              <w:marBottom w:val="0"/>
              <w:divBdr>
                <w:top w:val="none" w:sz="0" w:space="0" w:color="auto"/>
                <w:left w:val="none" w:sz="0" w:space="0" w:color="auto"/>
                <w:bottom w:val="none" w:sz="0" w:space="0" w:color="auto"/>
                <w:right w:val="none" w:sz="0" w:space="0" w:color="auto"/>
              </w:divBdr>
            </w:div>
            <w:div w:id="1875729885">
              <w:marLeft w:val="0"/>
              <w:marRight w:val="0"/>
              <w:marTop w:val="0"/>
              <w:marBottom w:val="0"/>
              <w:divBdr>
                <w:top w:val="none" w:sz="0" w:space="0" w:color="auto"/>
                <w:left w:val="none" w:sz="0" w:space="0" w:color="auto"/>
                <w:bottom w:val="none" w:sz="0" w:space="0" w:color="auto"/>
                <w:right w:val="none" w:sz="0" w:space="0" w:color="auto"/>
              </w:divBdr>
            </w:div>
            <w:div w:id="347610237">
              <w:marLeft w:val="0"/>
              <w:marRight w:val="0"/>
              <w:marTop w:val="0"/>
              <w:marBottom w:val="0"/>
              <w:divBdr>
                <w:top w:val="none" w:sz="0" w:space="0" w:color="auto"/>
                <w:left w:val="none" w:sz="0" w:space="0" w:color="auto"/>
                <w:bottom w:val="none" w:sz="0" w:space="0" w:color="auto"/>
                <w:right w:val="none" w:sz="0" w:space="0" w:color="auto"/>
              </w:divBdr>
            </w:div>
            <w:div w:id="145902268">
              <w:marLeft w:val="0"/>
              <w:marRight w:val="0"/>
              <w:marTop w:val="0"/>
              <w:marBottom w:val="0"/>
              <w:divBdr>
                <w:top w:val="none" w:sz="0" w:space="0" w:color="auto"/>
                <w:left w:val="none" w:sz="0" w:space="0" w:color="auto"/>
                <w:bottom w:val="none" w:sz="0" w:space="0" w:color="auto"/>
                <w:right w:val="none" w:sz="0" w:space="0" w:color="auto"/>
              </w:divBdr>
            </w:div>
            <w:div w:id="988896581">
              <w:marLeft w:val="0"/>
              <w:marRight w:val="0"/>
              <w:marTop w:val="0"/>
              <w:marBottom w:val="0"/>
              <w:divBdr>
                <w:top w:val="none" w:sz="0" w:space="0" w:color="auto"/>
                <w:left w:val="none" w:sz="0" w:space="0" w:color="auto"/>
                <w:bottom w:val="none" w:sz="0" w:space="0" w:color="auto"/>
                <w:right w:val="none" w:sz="0" w:space="0" w:color="auto"/>
              </w:divBdr>
            </w:div>
            <w:div w:id="1242763461">
              <w:marLeft w:val="0"/>
              <w:marRight w:val="0"/>
              <w:marTop w:val="0"/>
              <w:marBottom w:val="0"/>
              <w:divBdr>
                <w:top w:val="none" w:sz="0" w:space="0" w:color="auto"/>
                <w:left w:val="none" w:sz="0" w:space="0" w:color="auto"/>
                <w:bottom w:val="none" w:sz="0" w:space="0" w:color="auto"/>
                <w:right w:val="none" w:sz="0" w:space="0" w:color="auto"/>
              </w:divBdr>
            </w:div>
            <w:div w:id="1490752610">
              <w:marLeft w:val="0"/>
              <w:marRight w:val="0"/>
              <w:marTop w:val="0"/>
              <w:marBottom w:val="0"/>
              <w:divBdr>
                <w:top w:val="none" w:sz="0" w:space="0" w:color="auto"/>
                <w:left w:val="none" w:sz="0" w:space="0" w:color="auto"/>
                <w:bottom w:val="none" w:sz="0" w:space="0" w:color="auto"/>
                <w:right w:val="none" w:sz="0" w:space="0" w:color="auto"/>
              </w:divBdr>
            </w:div>
            <w:div w:id="48236247">
              <w:marLeft w:val="0"/>
              <w:marRight w:val="0"/>
              <w:marTop w:val="0"/>
              <w:marBottom w:val="0"/>
              <w:divBdr>
                <w:top w:val="none" w:sz="0" w:space="0" w:color="auto"/>
                <w:left w:val="none" w:sz="0" w:space="0" w:color="auto"/>
                <w:bottom w:val="none" w:sz="0" w:space="0" w:color="auto"/>
                <w:right w:val="none" w:sz="0" w:space="0" w:color="auto"/>
              </w:divBdr>
            </w:div>
            <w:div w:id="2025546127">
              <w:marLeft w:val="0"/>
              <w:marRight w:val="0"/>
              <w:marTop w:val="0"/>
              <w:marBottom w:val="0"/>
              <w:divBdr>
                <w:top w:val="none" w:sz="0" w:space="0" w:color="auto"/>
                <w:left w:val="none" w:sz="0" w:space="0" w:color="auto"/>
                <w:bottom w:val="none" w:sz="0" w:space="0" w:color="auto"/>
                <w:right w:val="none" w:sz="0" w:space="0" w:color="auto"/>
              </w:divBdr>
            </w:div>
            <w:div w:id="1399017752">
              <w:marLeft w:val="0"/>
              <w:marRight w:val="0"/>
              <w:marTop w:val="0"/>
              <w:marBottom w:val="0"/>
              <w:divBdr>
                <w:top w:val="none" w:sz="0" w:space="0" w:color="auto"/>
                <w:left w:val="none" w:sz="0" w:space="0" w:color="auto"/>
                <w:bottom w:val="none" w:sz="0" w:space="0" w:color="auto"/>
                <w:right w:val="none" w:sz="0" w:space="0" w:color="auto"/>
              </w:divBdr>
            </w:div>
            <w:div w:id="426779121">
              <w:marLeft w:val="0"/>
              <w:marRight w:val="0"/>
              <w:marTop w:val="0"/>
              <w:marBottom w:val="0"/>
              <w:divBdr>
                <w:top w:val="none" w:sz="0" w:space="0" w:color="auto"/>
                <w:left w:val="none" w:sz="0" w:space="0" w:color="auto"/>
                <w:bottom w:val="none" w:sz="0" w:space="0" w:color="auto"/>
                <w:right w:val="none" w:sz="0" w:space="0" w:color="auto"/>
              </w:divBdr>
            </w:div>
            <w:div w:id="868568782">
              <w:marLeft w:val="0"/>
              <w:marRight w:val="0"/>
              <w:marTop w:val="0"/>
              <w:marBottom w:val="0"/>
              <w:divBdr>
                <w:top w:val="none" w:sz="0" w:space="0" w:color="auto"/>
                <w:left w:val="none" w:sz="0" w:space="0" w:color="auto"/>
                <w:bottom w:val="none" w:sz="0" w:space="0" w:color="auto"/>
                <w:right w:val="none" w:sz="0" w:space="0" w:color="auto"/>
              </w:divBdr>
            </w:div>
            <w:div w:id="1720934818">
              <w:marLeft w:val="0"/>
              <w:marRight w:val="0"/>
              <w:marTop w:val="0"/>
              <w:marBottom w:val="0"/>
              <w:divBdr>
                <w:top w:val="none" w:sz="0" w:space="0" w:color="auto"/>
                <w:left w:val="none" w:sz="0" w:space="0" w:color="auto"/>
                <w:bottom w:val="none" w:sz="0" w:space="0" w:color="auto"/>
                <w:right w:val="none" w:sz="0" w:space="0" w:color="auto"/>
              </w:divBdr>
            </w:div>
            <w:div w:id="402290475">
              <w:marLeft w:val="0"/>
              <w:marRight w:val="0"/>
              <w:marTop w:val="0"/>
              <w:marBottom w:val="0"/>
              <w:divBdr>
                <w:top w:val="none" w:sz="0" w:space="0" w:color="auto"/>
                <w:left w:val="none" w:sz="0" w:space="0" w:color="auto"/>
                <w:bottom w:val="none" w:sz="0" w:space="0" w:color="auto"/>
                <w:right w:val="none" w:sz="0" w:space="0" w:color="auto"/>
              </w:divBdr>
            </w:div>
            <w:div w:id="1259871579">
              <w:marLeft w:val="0"/>
              <w:marRight w:val="0"/>
              <w:marTop w:val="0"/>
              <w:marBottom w:val="0"/>
              <w:divBdr>
                <w:top w:val="none" w:sz="0" w:space="0" w:color="auto"/>
                <w:left w:val="none" w:sz="0" w:space="0" w:color="auto"/>
                <w:bottom w:val="none" w:sz="0" w:space="0" w:color="auto"/>
                <w:right w:val="none" w:sz="0" w:space="0" w:color="auto"/>
              </w:divBdr>
            </w:div>
            <w:div w:id="1337926665">
              <w:marLeft w:val="0"/>
              <w:marRight w:val="0"/>
              <w:marTop w:val="0"/>
              <w:marBottom w:val="0"/>
              <w:divBdr>
                <w:top w:val="none" w:sz="0" w:space="0" w:color="auto"/>
                <w:left w:val="none" w:sz="0" w:space="0" w:color="auto"/>
                <w:bottom w:val="none" w:sz="0" w:space="0" w:color="auto"/>
                <w:right w:val="none" w:sz="0" w:space="0" w:color="auto"/>
              </w:divBdr>
            </w:div>
            <w:div w:id="2033341317">
              <w:marLeft w:val="0"/>
              <w:marRight w:val="0"/>
              <w:marTop w:val="0"/>
              <w:marBottom w:val="0"/>
              <w:divBdr>
                <w:top w:val="none" w:sz="0" w:space="0" w:color="auto"/>
                <w:left w:val="none" w:sz="0" w:space="0" w:color="auto"/>
                <w:bottom w:val="none" w:sz="0" w:space="0" w:color="auto"/>
                <w:right w:val="none" w:sz="0" w:space="0" w:color="auto"/>
              </w:divBdr>
            </w:div>
            <w:div w:id="762336547">
              <w:marLeft w:val="0"/>
              <w:marRight w:val="0"/>
              <w:marTop w:val="0"/>
              <w:marBottom w:val="0"/>
              <w:divBdr>
                <w:top w:val="none" w:sz="0" w:space="0" w:color="auto"/>
                <w:left w:val="none" w:sz="0" w:space="0" w:color="auto"/>
                <w:bottom w:val="none" w:sz="0" w:space="0" w:color="auto"/>
                <w:right w:val="none" w:sz="0" w:space="0" w:color="auto"/>
              </w:divBdr>
            </w:div>
            <w:div w:id="993409701">
              <w:marLeft w:val="0"/>
              <w:marRight w:val="0"/>
              <w:marTop w:val="0"/>
              <w:marBottom w:val="0"/>
              <w:divBdr>
                <w:top w:val="none" w:sz="0" w:space="0" w:color="auto"/>
                <w:left w:val="none" w:sz="0" w:space="0" w:color="auto"/>
                <w:bottom w:val="none" w:sz="0" w:space="0" w:color="auto"/>
                <w:right w:val="none" w:sz="0" w:space="0" w:color="auto"/>
              </w:divBdr>
            </w:div>
            <w:div w:id="1390493311">
              <w:marLeft w:val="0"/>
              <w:marRight w:val="0"/>
              <w:marTop w:val="0"/>
              <w:marBottom w:val="0"/>
              <w:divBdr>
                <w:top w:val="none" w:sz="0" w:space="0" w:color="auto"/>
                <w:left w:val="none" w:sz="0" w:space="0" w:color="auto"/>
                <w:bottom w:val="none" w:sz="0" w:space="0" w:color="auto"/>
                <w:right w:val="none" w:sz="0" w:space="0" w:color="auto"/>
              </w:divBdr>
            </w:div>
            <w:div w:id="527717826">
              <w:marLeft w:val="0"/>
              <w:marRight w:val="0"/>
              <w:marTop w:val="0"/>
              <w:marBottom w:val="0"/>
              <w:divBdr>
                <w:top w:val="none" w:sz="0" w:space="0" w:color="auto"/>
                <w:left w:val="none" w:sz="0" w:space="0" w:color="auto"/>
                <w:bottom w:val="none" w:sz="0" w:space="0" w:color="auto"/>
                <w:right w:val="none" w:sz="0" w:space="0" w:color="auto"/>
              </w:divBdr>
            </w:div>
            <w:div w:id="290667942">
              <w:marLeft w:val="0"/>
              <w:marRight w:val="0"/>
              <w:marTop w:val="0"/>
              <w:marBottom w:val="0"/>
              <w:divBdr>
                <w:top w:val="none" w:sz="0" w:space="0" w:color="auto"/>
                <w:left w:val="none" w:sz="0" w:space="0" w:color="auto"/>
                <w:bottom w:val="none" w:sz="0" w:space="0" w:color="auto"/>
                <w:right w:val="none" w:sz="0" w:space="0" w:color="auto"/>
              </w:divBdr>
            </w:div>
            <w:div w:id="323708014">
              <w:marLeft w:val="0"/>
              <w:marRight w:val="0"/>
              <w:marTop w:val="0"/>
              <w:marBottom w:val="0"/>
              <w:divBdr>
                <w:top w:val="none" w:sz="0" w:space="0" w:color="auto"/>
                <w:left w:val="none" w:sz="0" w:space="0" w:color="auto"/>
                <w:bottom w:val="none" w:sz="0" w:space="0" w:color="auto"/>
                <w:right w:val="none" w:sz="0" w:space="0" w:color="auto"/>
              </w:divBdr>
            </w:div>
            <w:div w:id="1692217828">
              <w:marLeft w:val="0"/>
              <w:marRight w:val="0"/>
              <w:marTop w:val="0"/>
              <w:marBottom w:val="0"/>
              <w:divBdr>
                <w:top w:val="none" w:sz="0" w:space="0" w:color="auto"/>
                <w:left w:val="none" w:sz="0" w:space="0" w:color="auto"/>
                <w:bottom w:val="none" w:sz="0" w:space="0" w:color="auto"/>
                <w:right w:val="none" w:sz="0" w:space="0" w:color="auto"/>
              </w:divBdr>
            </w:div>
            <w:div w:id="435711852">
              <w:marLeft w:val="0"/>
              <w:marRight w:val="0"/>
              <w:marTop w:val="0"/>
              <w:marBottom w:val="0"/>
              <w:divBdr>
                <w:top w:val="none" w:sz="0" w:space="0" w:color="auto"/>
                <w:left w:val="none" w:sz="0" w:space="0" w:color="auto"/>
                <w:bottom w:val="none" w:sz="0" w:space="0" w:color="auto"/>
                <w:right w:val="none" w:sz="0" w:space="0" w:color="auto"/>
              </w:divBdr>
            </w:div>
            <w:div w:id="635525884">
              <w:marLeft w:val="0"/>
              <w:marRight w:val="0"/>
              <w:marTop w:val="0"/>
              <w:marBottom w:val="0"/>
              <w:divBdr>
                <w:top w:val="none" w:sz="0" w:space="0" w:color="auto"/>
                <w:left w:val="none" w:sz="0" w:space="0" w:color="auto"/>
                <w:bottom w:val="none" w:sz="0" w:space="0" w:color="auto"/>
                <w:right w:val="none" w:sz="0" w:space="0" w:color="auto"/>
              </w:divBdr>
            </w:div>
            <w:div w:id="522937022">
              <w:marLeft w:val="0"/>
              <w:marRight w:val="0"/>
              <w:marTop w:val="0"/>
              <w:marBottom w:val="0"/>
              <w:divBdr>
                <w:top w:val="none" w:sz="0" w:space="0" w:color="auto"/>
                <w:left w:val="none" w:sz="0" w:space="0" w:color="auto"/>
                <w:bottom w:val="none" w:sz="0" w:space="0" w:color="auto"/>
                <w:right w:val="none" w:sz="0" w:space="0" w:color="auto"/>
              </w:divBdr>
            </w:div>
            <w:div w:id="719787439">
              <w:marLeft w:val="0"/>
              <w:marRight w:val="0"/>
              <w:marTop w:val="0"/>
              <w:marBottom w:val="0"/>
              <w:divBdr>
                <w:top w:val="none" w:sz="0" w:space="0" w:color="auto"/>
                <w:left w:val="none" w:sz="0" w:space="0" w:color="auto"/>
                <w:bottom w:val="none" w:sz="0" w:space="0" w:color="auto"/>
                <w:right w:val="none" w:sz="0" w:space="0" w:color="auto"/>
              </w:divBdr>
            </w:div>
            <w:div w:id="1840919966">
              <w:marLeft w:val="0"/>
              <w:marRight w:val="0"/>
              <w:marTop w:val="0"/>
              <w:marBottom w:val="0"/>
              <w:divBdr>
                <w:top w:val="none" w:sz="0" w:space="0" w:color="auto"/>
                <w:left w:val="none" w:sz="0" w:space="0" w:color="auto"/>
                <w:bottom w:val="none" w:sz="0" w:space="0" w:color="auto"/>
                <w:right w:val="none" w:sz="0" w:space="0" w:color="auto"/>
              </w:divBdr>
            </w:div>
            <w:div w:id="2094161020">
              <w:marLeft w:val="0"/>
              <w:marRight w:val="0"/>
              <w:marTop w:val="0"/>
              <w:marBottom w:val="0"/>
              <w:divBdr>
                <w:top w:val="none" w:sz="0" w:space="0" w:color="auto"/>
                <w:left w:val="none" w:sz="0" w:space="0" w:color="auto"/>
                <w:bottom w:val="none" w:sz="0" w:space="0" w:color="auto"/>
                <w:right w:val="none" w:sz="0" w:space="0" w:color="auto"/>
              </w:divBdr>
            </w:div>
            <w:div w:id="635336891">
              <w:marLeft w:val="0"/>
              <w:marRight w:val="0"/>
              <w:marTop w:val="0"/>
              <w:marBottom w:val="0"/>
              <w:divBdr>
                <w:top w:val="none" w:sz="0" w:space="0" w:color="auto"/>
                <w:left w:val="none" w:sz="0" w:space="0" w:color="auto"/>
                <w:bottom w:val="none" w:sz="0" w:space="0" w:color="auto"/>
                <w:right w:val="none" w:sz="0" w:space="0" w:color="auto"/>
              </w:divBdr>
            </w:div>
            <w:div w:id="1018775882">
              <w:marLeft w:val="0"/>
              <w:marRight w:val="0"/>
              <w:marTop w:val="0"/>
              <w:marBottom w:val="0"/>
              <w:divBdr>
                <w:top w:val="none" w:sz="0" w:space="0" w:color="auto"/>
                <w:left w:val="none" w:sz="0" w:space="0" w:color="auto"/>
                <w:bottom w:val="none" w:sz="0" w:space="0" w:color="auto"/>
                <w:right w:val="none" w:sz="0" w:space="0" w:color="auto"/>
              </w:divBdr>
            </w:div>
            <w:div w:id="754084995">
              <w:marLeft w:val="0"/>
              <w:marRight w:val="0"/>
              <w:marTop w:val="0"/>
              <w:marBottom w:val="0"/>
              <w:divBdr>
                <w:top w:val="none" w:sz="0" w:space="0" w:color="auto"/>
                <w:left w:val="none" w:sz="0" w:space="0" w:color="auto"/>
                <w:bottom w:val="none" w:sz="0" w:space="0" w:color="auto"/>
                <w:right w:val="none" w:sz="0" w:space="0" w:color="auto"/>
              </w:divBdr>
            </w:div>
            <w:div w:id="2067990317">
              <w:marLeft w:val="0"/>
              <w:marRight w:val="0"/>
              <w:marTop w:val="0"/>
              <w:marBottom w:val="0"/>
              <w:divBdr>
                <w:top w:val="none" w:sz="0" w:space="0" w:color="auto"/>
                <w:left w:val="none" w:sz="0" w:space="0" w:color="auto"/>
                <w:bottom w:val="none" w:sz="0" w:space="0" w:color="auto"/>
                <w:right w:val="none" w:sz="0" w:space="0" w:color="auto"/>
              </w:divBdr>
            </w:div>
            <w:div w:id="1562591356">
              <w:marLeft w:val="0"/>
              <w:marRight w:val="0"/>
              <w:marTop w:val="0"/>
              <w:marBottom w:val="0"/>
              <w:divBdr>
                <w:top w:val="none" w:sz="0" w:space="0" w:color="auto"/>
                <w:left w:val="none" w:sz="0" w:space="0" w:color="auto"/>
                <w:bottom w:val="none" w:sz="0" w:space="0" w:color="auto"/>
                <w:right w:val="none" w:sz="0" w:space="0" w:color="auto"/>
              </w:divBdr>
            </w:div>
            <w:div w:id="1816987847">
              <w:marLeft w:val="0"/>
              <w:marRight w:val="0"/>
              <w:marTop w:val="0"/>
              <w:marBottom w:val="0"/>
              <w:divBdr>
                <w:top w:val="none" w:sz="0" w:space="0" w:color="auto"/>
                <w:left w:val="none" w:sz="0" w:space="0" w:color="auto"/>
                <w:bottom w:val="none" w:sz="0" w:space="0" w:color="auto"/>
                <w:right w:val="none" w:sz="0" w:space="0" w:color="auto"/>
              </w:divBdr>
            </w:div>
            <w:div w:id="943880020">
              <w:marLeft w:val="0"/>
              <w:marRight w:val="0"/>
              <w:marTop w:val="0"/>
              <w:marBottom w:val="0"/>
              <w:divBdr>
                <w:top w:val="none" w:sz="0" w:space="0" w:color="auto"/>
                <w:left w:val="none" w:sz="0" w:space="0" w:color="auto"/>
                <w:bottom w:val="none" w:sz="0" w:space="0" w:color="auto"/>
                <w:right w:val="none" w:sz="0" w:space="0" w:color="auto"/>
              </w:divBdr>
            </w:div>
            <w:div w:id="2092121462">
              <w:marLeft w:val="0"/>
              <w:marRight w:val="0"/>
              <w:marTop w:val="0"/>
              <w:marBottom w:val="0"/>
              <w:divBdr>
                <w:top w:val="none" w:sz="0" w:space="0" w:color="auto"/>
                <w:left w:val="none" w:sz="0" w:space="0" w:color="auto"/>
                <w:bottom w:val="none" w:sz="0" w:space="0" w:color="auto"/>
                <w:right w:val="none" w:sz="0" w:space="0" w:color="auto"/>
              </w:divBdr>
            </w:div>
            <w:div w:id="83571014">
              <w:marLeft w:val="0"/>
              <w:marRight w:val="0"/>
              <w:marTop w:val="0"/>
              <w:marBottom w:val="0"/>
              <w:divBdr>
                <w:top w:val="none" w:sz="0" w:space="0" w:color="auto"/>
                <w:left w:val="none" w:sz="0" w:space="0" w:color="auto"/>
                <w:bottom w:val="none" w:sz="0" w:space="0" w:color="auto"/>
                <w:right w:val="none" w:sz="0" w:space="0" w:color="auto"/>
              </w:divBdr>
            </w:div>
            <w:div w:id="1466855129">
              <w:marLeft w:val="0"/>
              <w:marRight w:val="0"/>
              <w:marTop w:val="0"/>
              <w:marBottom w:val="0"/>
              <w:divBdr>
                <w:top w:val="none" w:sz="0" w:space="0" w:color="auto"/>
                <w:left w:val="none" w:sz="0" w:space="0" w:color="auto"/>
                <w:bottom w:val="none" w:sz="0" w:space="0" w:color="auto"/>
                <w:right w:val="none" w:sz="0" w:space="0" w:color="auto"/>
              </w:divBdr>
            </w:div>
            <w:div w:id="547885660">
              <w:marLeft w:val="0"/>
              <w:marRight w:val="0"/>
              <w:marTop w:val="0"/>
              <w:marBottom w:val="0"/>
              <w:divBdr>
                <w:top w:val="none" w:sz="0" w:space="0" w:color="auto"/>
                <w:left w:val="none" w:sz="0" w:space="0" w:color="auto"/>
                <w:bottom w:val="none" w:sz="0" w:space="0" w:color="auto"/>
                <w:right w:val="none" w:sz="0" w:space="0" w:color="auto"/>
              </w:divBdr>
            </w:div>
            <w:div w:id="1316683911">
              <w:marLeft w:val="0"/>
              <w:marRight w:val="0"/>
              <w:marTop w:val="0"/>
              <w:marBottom w:val="0"/>
              <w:divBdr>
                <w:top w:val="none" w:sz="0" w:space="0" w:color="auto"/>
                <w:left w:val="none" w:sz="0" w:space="0" w:color="auto"/>
                <w:bottom w:val="none" w:sz="0" w:space="0" w:color="auto"/>
                <w:right w:val="none" w:sz="0" w:space="0" w:color="auto"/>
              </w:divBdr>
            </w:div>
            <w:div w:id="1389108912">
              <w:marLeft w:val="0"/>
              <w:marRight w:val="0"/>
              <w:marTop w:val="0"/>
              <w:marBottom w:val="0"/>
              <w:divBdr>
                <w:top w:val="none" w:sz="0" w:space="0" w:color="auto"/>
                <w:left w:val="none" w:sz="0" w:space="0" w:color="auto"/>
                <w:bottom w:val="none" w:sz="0" w:space="0" w:color="auto"/>
                <w:right w:val="none" w:sz="0" w:space="0" w:color="auto"/>
              </w:divBdr>
            </w:div>
            <w:div w:id="1755517472">
              <w:marLeft w:val="0"/>
              <w:marRight w:val="0"/>
              <w:marTop w:val="0"/>
              <w:marBottom w:val="0"/>
              <w:divBdr>
                <w:top w:val="none" w:sz="0" w:space="0" w:color="auto"/>
                <w:left w:val="none" w:sz="0" w:space="0" w:color="auto"/>
                <w:bottom w:val="none" w:sz="0" w:space="0" w:color="auto"/>
                <w:right w:val="none" w:sz="0" w:space="0" w:color="auto"/>
              </w:divBdr>
            </w:div>
            <w:div w:id="1504857166">
              <w:marLeft w:val="0"/>
              <w:marRight w:val="0"/>
              <w:marTop w:val="0"/>
              <w:marBottom w:val="0"/>
              <w:divBdr>
                <w:top w:val="none" w:sz="0" w:space="0" w:color="auto"/>
                <w:left w:val="none" w:sz="0" w:space="0" w:color="auto"/>
                <w:bottom w:val="none" w:sz="0" w:space="0" w:color="auto"/>
                <w:right w:val="none" w:sz="0" w:space="0" w:color="auto"/>
              </w:divBdr>
            </w:div>
            <w:div w:id="2057659195">
              <w:marLeft w:val="0"/>
              <w:marRight w:val="0"/>
              <w:marTop w:val="0"/>
              <w:marBottom w:val="0"/>
              <w:divBdr>
                <w:top w:val="none" w:sz="0" w:space="0" w:color="auto"/>
                <w:left w:val="none" w:sz="0" w:space="0" w:color="auto"/>
                <w:bottom w:val="none" w:sz="0" w:space="0" w:color="auto"/>
                <w:right w:val="none" w:sz="0" w:space="0" w:color="auto"/>
              </w:divBdr>
            </w:div>
            <w:div w:id="2088725242">
              <w:marLeft w:val="0"/>
              <w:marRight w:val="0"/>
              <w:marTop w:val="0"/>
              <w:marBottom w:val="0"/>
              <w:divBdr>
                <w:top w:val="none" w:sz="0" w:space="0" w:color="auto"/>
                <w:left w:val="none" w:sz="0" w:space="0" w:color="auto"/>
                <w:bottom w:val="none" w:sz="0" w:space="0" w:color="auto"/>
                <w:right w:val="none" w:sz="0" w:space="0" w:color="auto"/>
              </w:divBdr>
            </w:div>
            <w:div w:id="335768317">
              <w:marLeft w:val="0"/>
              <w:marRight w:val="0"/>
              <w:marTop w:val="0"/>
              <w:marBottom w:val="0"/>
              <w:divBdr>
                <w:top w:val="none" w:sz="0" w:space="0" w:color="auto"/>
                <w:left w:val="none" w:sz="0" w:space="0" w:color="auto"/>
                <w:bottom w:val="none" w:sz="0" w:space="0" w:color="auto"/>
                <w:right w:val="none" w:sz="0" w:space="0" w:color="auto"/>
              </w:divBdr>
            </w:div>
            <w:div w:id="348065582">
              <w:marLeft w:val="0"/>
              <w:marRight w:val="0"/>
              <w:marTop w:val="0"/>
              <w:marBottom w:val="0"/>
              <w:divBdr>
                <w:top w:val="none" w:sz="0" w:space="0" w:color="auto"/>
                <w:left w:val="none" w:sz="0" w:space="0" w:color="auto"/>
                <w:bottom w:val="none" w:sz="0" w:space="0" w:color="auto"/>
                <w:right w:val="none" w:sz="0" w:space="0" w:color="auto"/>
              </w:divBdr>
            </w:div>
            <w:div w:id="1891721438">
              <w:marLeft w:val="0"/>
              <w:marRight w:val="0"/>
              <w:marTop w:val="0"/>
              <w:marBottom w:val="0"/>
              <w:divBdr>
                <w:top w:val="none" w:sz="0" w:space="0" w:color="auto"/>
                <w:left w:val="none" w:sz="0" w:space="0" w:color="auto"/>
                <w:bottom w:val="none" w:sz="0" w:space="0" w:color="auto"/>
                <w:right w:val="none" w:sz="0" w:space="0" w:color="auto"/>
              </w:divBdr>
            </w:div>
            <w:div w:id="1405369708">
              <w:marLeft w:val="0"/>
              <w:marRight w:val="0"/>
              <w:marTop w:val="0"/>
              <w:marBottom w:val="0"/>
              <w:divBdr>
                <w:top w:val="none" w:sz="0" w:space="0" w:color="auto"/>
                <w:left w:val="none" w:sz="0" w:space="0" w:color="auto"/>
                <w:bottom w:val="none" w:sz="0" w:space="0" w:color="auto"/>
                <w:right w:val="none" w:sz="0" w:space="0" w:color="auto"/>
              </w:divBdr>
            </w:div>
            <w:div w:id="2035568479">
              <w:marLeft w:val="0"/>
              <w:marRight w:val="0"/>
              <w:marTop w:val="0"/>
              <w:marBottom w:val="0"/>
              <w:divBdr>
                <w:top w:val="none" w:sz="0" w:space="0" w:color="auto"/>
                <w:left w:val="none" w:sz="0" w:space="0" w:color="auto"/>
                <w:bottom w:val="none" w:sz="0" w:space="0" w:color="auto"/>
                <w:right w:val="none" w:sz="0" w:space="0" w:color="auto"/>
              </w:divBdr>
            </w:div>
            <w:div w:id="2107336593">
              <w:marLeft w:val="0"/>
              <w:marRight w:val="0"/>
              <w:marTop w:val="0"/>
              <w:marBottom w:val="0"/>
              <w:divBdr>
                <w:top w:val="none" w:sz="0" w:space="0" w:color="auto"/>
                <w:left w:val="none" w:sz="0" w:space="0" w:color="auto"/>
                <w:bottom w:val="none" w:sz="0" w:space="0" w:color="auto"/>
                <w:right w:val="none" w:sz="0" w:space="0" w:color="auto"/>
              </w:divBdr>
            </w:div>
            <w:div w:id="1333878356">
              <w:marLeft w:val="0"/>
              <w:marRight w:val="0"/>
              <w:marTop w:val="0"/>
              <w:marBottom w:val="0"/>
              <w:divBdr>
                <w:top w:val="none" w:sz="0" w:space="0" w:color="auto"/>
                <w:left w:val="none" w:sz="0" w:space="0" w:color="auto"/>
                <w:bottom w:val="none" w:sz="0" w:space="0" w:color="auto"/>
                <w:right w:val="none" w:sz="0" w:space="0" w:color="auto"/>
              </w:divBdr>
            </w:div>
            <w:div w:id="1790540832">
              <w:marLeft w:val="0"/>
              <w:marRight w:val="0"/>
              <w:marTop w:val="0"/>
              <w:marBottom w:val="0"/>
              <w:divBdr>
                <w:top w:val="none" w:sz="0" w:space="0" w:color="auto"/>
                <w:left w:val="none" w:sz="0" w:space="0" w:color="auto"/>
                <w:bottom w:val="none" w:sz="0" w:space="0" w:color="auto"/>
                <w:right w:val="none" w:sz="0" w:space="0" w:color="auto"/>
              </w:divBdr>
            </w:div>
            <w:div w:id="19820889">
              <w:marLeft w:val="0"/>
              <w:marRight w:val="0"/>
              <w:marTop w:val="0"/>
              <w:marBottom w:val="0"/>
              <w:divBdr>
                <w:top w:val="none" w:sz="0" w:space="0" w:color="auto"/>
                <w:left w:val="none" w:sz="0" w:space="0" w:color="auto"/>
                <w:bottom w:val="none" w:sz="0" w:space="0" w:color="auto"/>
                <w:right w:val="none" w:sz="0" w:space="0" w:color="auto"/>
              </w:divBdr>
            </w:div>
            <w:div w:id="337314667">
              <w:marLeft w:val="0"/>
              <w:marRight w:val="0"/>
              <w:marTop w:val="0"/>
              <w:marBottom w:val="0"/>
              <w:divBdr>
                <w:top w:val="none" w:sz="0" w:space="0" w:color="auto"/>
                <w:left w:val="none" w:sz="0" w:space="0" w:color="auto"/>
                <w:bottom w:val="none" w:sz="0" w:space="0" w:color="auto"/>
                <w:right w:val="none" w:sz="0" w:space="0" w:color="auto"/>
              </w:divBdr>
            </w:div>
            <w:div w:id="935791540">
              <w:marLeft w:val="0"/>
              <w:marRight w:val="0"/>
              <w:marTop w:val="0"/>
              <w:marBottom w:val="0"/>
              <w:divBdr>
                <w:top w:val="none" w:sz="0" w:space="0" w:color="auto"/>
                <w:left w:val="none" w:sz="0" w:space="0" w:color="auto"/>
                <w:bottom w:val="none" w:sz="0" w:space="0" w:color="auto"/>
                <w:right w:val="none" w:sz="0" w:space="0" w:color="auto"/>
              </w:divBdr>
            </w:div>
            <w:div w:id="51513017">
              <w:marLeft w:val="0"/>
              <w:marRight w:val="0"/>
              <w:marTop w:val="0"/>
              <w:marBottom w:val="0"/>
              <w:divBdr>
                <w:top w:val="none" w:sz="0" w:space="0" w:color="auto"/>
                <w:left w:val="none" w:sz="0" w:space="0" w:color="auto"/>
                <w:bottom w:val="none" w:sz="0" w:space="0" w:color="auto"/>
                <w:right w:val="none" w:sz="0" w:space="0" w:color="auto"/>
              </w:divBdr>
            </w:div>
            <w:div w:id="1926959719">
              <w:marLeft w:val="0"/>
              <w:marRight w:val="0"/>
              <w:marTop w:val="0"/>
              <w:marBottom w:val="0"/>
              <w:divBdr>
                <w:top w:val="none" w:sz="0" w:space="0" w:color="auto"/>
                <w:left w:val="none" w:sz="0" w:space="0" w:color="auto"/>
                <w:bottom w:val="none" w:sz="0" w:space="0" w:color="auto"/>
                <w:right w:val="none" w:sz="0" w:space="0" w:color="auto"/>
              </w:divBdr>
            </w:div>
            <w:div w:id="1999916157">
              <w:marLeft w:val="0"/>
              <w:marRight w:val="0"/>
              <w:marTop w:val="0"/>
              <w:marBottom w:val="0"/>
              <w:divBdr>
                <w:top w:val="none" w:sz="0" w:space="0" w:color="auto"/>
                <w:left w:val="none" w:sz="0" w:space="0" w:color="auto"/>
                <w:bottom w:val="none" w:sz="0" w:space="0" w:color="auto"/>
                <w:right w:val="none" w:sz="0" w:space="0" w:color="auto"/>
              </w:divBdr>
            </w:div>
            <w:div w:id="133569378">
              <w:marLeft w:val="0"/>
              <w:marRight w:val="0"/>
              <w:marTop w:val="0"/>
              <w:marBottom w:val="0"/>
              <w:divBdr>
                <w:top w:val="none" w:sz="0" w:space="0" w:color="auto"/>
                <w:left w:val="none" w:sz="0" w:space="0" w:color="auto"/>
                <w:bottom w:val="none" w:sz="0" w:space="0" w:color="auto"/>
                <w:right w:val="none" w:sz="0" w:space="0" w:color="auto"/>
              </w:divBdr>
            </w:div>
            <w:div w:id="531068770">
              <w:marLeft w:val="0"/>
              <w:marRight w:val="0"/>
              <w:marTop w:val="0"/>
              <w:marBottom w:val="0"/>
              <w:divBdr>
                <w:top w:val="none" w:sz="0" w:space="0" w:color="auto"/>
                <w:left w:val="none" w:sz="0" w:space="0" w:color="auto"/>
                <w:bottom w:val="none" w:sz="0" w:space="0" w:color="auto"/>
                <w:right w:val="none" w:sz="0" w:space="0" w:color="auto"/>
              </w:divBdr>
            </w:div>
            <w:div w:id="670302818">
              <w:marLeft w:val="0"/>
              <w:marRight w:val="0"/>
              <w:marTop w:val="0"/>
              <w:marBottom w:val="0"/>
              <w:divBdr>
                <w:top w:val="none" w:sz="0" w:space="0" w:color="auto"/>
                <w:left w:val="none" w:sz="0" w:space="0" w:color="auto"/>
                <w:bottom w:val="none" w:sz="0" w:space="0" w:color="auto"/>
                <w:right w:val="none" w:sz="0" w:space="0" w:color="auto"/>
              </w:divBdr>
            </w:div>
            <w:div w:id="2021198549">
              <w:marLeft w:val="0"/>
              <w:marRight w:val="0"/>
              <w:marTop w:val="0"/>
              <w:marBottom w:val="0"/>
              <w:divBdr>
                <w:top w:val="none" w:sz="0" w:space="0" w:color="auto"/>
                <w:left w:val="none" w:sz="0" w:space="0" w:color="auto"/>
                <w:bottom w:val="none" w:sz="0" w:space="0" w:color="auto"/>
                <w:right w:val="none" w:sz="0" w:space="0" w:color="auto"/>
              </w:divBdr>
            </w:div>
            <w:div w:id="658770569">
              <w:marLeft w:val="0"/>
              <w:marRight w:val="0"/>
              <w:marTop w:val="0"/>
              <w:marBottom w:val="0"/>
              <w:divBdr>
                <w:top w:val="none" w:sz="0" w:space="0" w:color="auto"/>
                <w:left w:val="none" w:sz="0" w:space="0" w:color="auto"/>
                <w:bottom w:val="none" w:sz="0" w:space="0" w:color="auto"/>
                <w:right w:val="none" w:sz="0" w:space="0" w:color="auto"/>
              </w:divBdr>
            </w:div>
            <w:div w:id="877549389">
              <w:marLeft w:val="0"/>
              <w:marRight w:val="0"/>
              <w:marTop w:val="0"/>
              <w:marBottom w:val="0"/>
              <w:divBdr>
                <w:top w:val="none" w:sz="0" w:space="0" w:color="auto"/>
                <w:left w:val="none" w:sz="0" w:space="0" w:color="auto"/>
                <w:bottom w:val="none" w:sz="0" w:space="0" w:color="auto"/>
                <w:right w:val="none" w:sz="0" w:space="0" w:color="auto"/>
              </w:divBdr>
            </w:div>
            <w:div w:id="1444304372">
              <w:marLeft w:val="0"/>
              <w:marRight w:val="0"/>
              <w:marTop w:val="0"/>
              <w:marBottom w:val="0"/>
              <w:divBdr>
                <w:top w:val="none" w:sz="0" w:space="0" w:color="auto"/>
                <w:left w:val="none" w:sz="0" w:space="0" w:color="auto"/>
                <w:bottom w:val="none" w:sz="0" w:space="0" w:color="auto"/>
                <w:right w:val="none" w:sz="0" w:space="0" w:color="auto"/>
              </w:divBdr>
            </w:div>
            <w:div w:id="206963508">
              <w:marLeft w:val="0"/>
              <w:marRight w:val="0"/>
              <w:marTop w:val="0"/>
              <w:marBottom w:val="0"/>
              <w:divBdr>
                <w:top w:val="none" w:sz="0" w:space="0" w:color="auto"/>
                <w:left w:val="none" w:sz="0" w:space="0" w:color="auto"/>
                <w:bottom w:val="none" w:sz="0" w:space="0" w:color="auto"/>
                <w:right w:val="none" w:sz="0" w:space="0" w:color="auto"/>
              </w:divBdr>
            </w:div>
            <w:div w:id="1830902229">
              <w:marLeft w:val="0"/>
              <w:marRight w:val="0"/>
              <w:marTop w:val="0"/>
              <w:marBottom w:val="0"/>
              <w:divBdr>
                <w:top w:val="none" w:sz="0" w:space="0" w:color="auto"/>
                <w:left w:val="none" w:sz="0" w:space="0" w:color="auto"/>
                <w:bottom w:val="none" w:sz="0" w:space="0" w:color="auto"/>
                <w:right w:val="none" w:sz="0" w:space="0" w:color="auto"/>
              </w:divBdr>
            </w:div>
            <w:div w:id="1927499415">
              <w:marLeft w:val="0"/>
              <w:marRight w:val="0"/>
              <w:marTop w:val="0"/>
              <w:marBottom w:val="0"/>
              <w:divBdr>
                <w:top w:val="none" w:sz="0" w:space="0" w:color="auto"/>
                <w:left w:val="none" w:sz="0" w:space="0" w:color="auto"/>
                <w:bottom w:val="none" w:sz="0" w:space="0" w:color="auto"/>
                <w:right w:val="none" w:sz="0" w:space="0" w:color="auto"/>
              </w:divBdr>
            </w:div>
            <w:div w:id="77293688">
              <w:marLeft w:val="0"/>
              <w:marRight w:val="0"/>
              <w:marTop w:val="0"/>
              <w:marBottom w:val="0"/>
              <w:divBdr>
                <w:top w:val="none" w:sz="0" w:space="0" w:color="auto"/>
                <w:left w:val="none" w:sz="0" w:space="0" w:color="auto"/>
                <w:bottom w:val="none" w:sz="0" w:space="0" w:color="auto"/>
                <w:right w:val="none" w:sz="0" w:space="0" w:color="auto"/>
              </w:divBdr>
            </w:div>
            <w:div w:id="2055812186">
              <w:marLeft w:val="0"/>
              <w:marRight w:val="0"/>
              <w:marTop w:val="0"/>
              <w:marBottom w:val="0"/>
              <w:divBdr>
                <w:top w:val="none" w:sz="0" w:space="0" w:color="auto"/>
                <w:left w:val="none" w:sz="0" w:space="0" w:color="auto"/>
                <w:bottom w:val="none" w:sz="0" w:space="0" w:color="auto"/>
                <w:right w:val="none" w:sz="0" w:space="0" w:color="auto"/>
              </w:divBdr>
            </w:div>
            <w:div w:id="184751442">
              <w:marLeft w:val="0"/>
              <w:marRight w:val="0"/>
              <w:marTop w:val="0"/>
              <w:marBottom w:val="0"/>
              <w:divBdr>
                <w:top w:val="none" w:sz="0" w:space="0" w:color="auto"/>
                <w:left w:val="none" w:sz="0" w:space="0" w:color="auto"/>
                <w:bottom w:val="none" w:sz="0" w:space="0" w:color="auto"/>
                <w:right w:val="none" w:sz="0" w:space="0" w:color="auto"/>
              </w:divBdr>
            </w:div>
            <w:div w:id="133454219">
              <w:marLeft w:val="0"/>
              <w:marRight w:val="0"/>
              <w:marTop w:val="0"/>
              <w:marBottom w:val="0"/>
              <w:divBdr>
                <w:top w:val="none" w:sz="0" w:space="0" w:color="auto"/>
                <w:left w:val="none" w:sz="0" w:space="0" w:color="auto"/>
                <w:bottom w:val="none" w:sz="0" w:space="0" w:color="auto"/>
                <w:right w:val="none" w:sz="0" w:space="0" w:color="auto"/>
              </w:divBdr>
            </w:div>
            <w:div w:id="1170213108">
              <w:marLeft w:val="0"/>
              <w:marRight w:val="0"/>
              <w:marTop w:val="0"/>
              <w:marBottom w:val="0"/>
              <w:divBdr>
                <w:top w:val="none" w:sz="0" w:space="0" w:color="auto"/>
                <w:left w:val="none" w:sz="0" w:space="0" w:color="auto"/>
                <w:bottom w:val="none" w:sz="0" w:space="0" w:color="auto"/>
                <w:right w:val="none" w:sz="0" w:space="0" w:color="auto"/>
              </w:divBdr>
            </w:div>
            <w:div w:id="2133284596">
              <w:marLeft w:val="0"/>
              <w:marRight w:val="0"/>
              <w:marTop w:val="0"/>
              <w:marBottom w:val="0"/>
              <w:divBdr>
                <w:top w:val="none" w:sz="0" w:space="0" w:color="auto"/>
                <w:left w:val="none" w:sz="0" w:space="0" w:color="auto"/>
                <w:bottom w:val="none" w:sz="0" w:space="0" w:color="auto"/>
                <w:right w:val="none" w:sz="0" w:space="0" w:color="auto"/>
              </w:divBdr>
            </w:div>
            <w:div w:id="1923568698">
              <w:marLeft w:val="0"/>
              <w:marRight w:val="0"/>
              <w:marTop w:val="0"/>
              <w:marBottom w:val="0"/>
              <w:divBdr>
                <w:top w:val="none" w:sz="0" w:space="0" w:color="auto"/>
                <w:left w:val="none" w:sz="0" w:space="0" w:color="auto"/>
                <w:bottom w:val="none" w:sz="0" w:space="0" w:color="auto"/>
                <w:right w:val="none" w:sz="0" w:space="0" w:color="auto"/>
              </w:divBdr>
            </w:div>
            <w:div w:id="1291016494">
              <w:marLeft w:val="0"/>
              <w:marRight w:val="0"/>
              <w:marTop w:val="0"/>
              <w:marBottom w:val="0"/>
              <w:divBdr>
                <w:top w:val="none" w:sz="0" w:space="0" w:color="auto"/>
                <w:left w:val="none" w:sz="0" w:space="0" w:color="auto"/>
                <w:bottom w:val="none" w:sz="0" w:space="0" w:color="auto"/>
                <w:right w:val="none" w:sz="0" w:space="0" w:color="auto"/>
              </w:divBdr>
            </w:div>
            <w:div w:id="1491676779">
              <w:marLeft w:val="0"/>
              <w:marRight w:val="0"/>
              <w:marTop w:val="0"/>
              <w:marBottom w:val="0"/>
              <w:divBdr>
                <w:top w:val="none" w:sz="0" w:space="0" w:color="auto"/>
                <w:left w:val="none" w:sz="0" w:space="0" w:color="auto"/>
                <w:bottom w:val="none" w:sz="0" w:space="0" w:color="auto"/>
                <w:right w:val="none" w:sz="0" w:space="0" w:color="auto"/>
              </w:divBdr>
            </w:div>
            <w:div w:id="1292244526">
              <w:marLeft w:val="0"/>
              <w:marRight w:val="0"/>
              <w:marTop w:val="0"/>
              <w:marBottom w:val="0"/>
              <w:divBdr>
                <w:top w:val="none" w:sz="0" w:space="0" w:color="auto"/>
                <w:left w:val="none" w:sz="0" w:space="0" w:color="auto"/>
                <w:bottom w:val="none" w:sz="0" w:space="0" w:color="auto"/>
                <w:right w:val="none" w:sz="0" w:space="0" w:color="auto"/>
              </w:divBdr>
            </w:div>
            <w:div w:id="1847284816">
              <w:marLeft w:val="0"/>
              <w:marRight w:val="0"/>
              <w:marTop w:val="0"/>
              <w:marBottom w:val="0"/>
              <w:divBdr>
                <w:top w:val="none" w:sz="0" w:space="0" w:color="auto"/>
                <w:left w:val="none" w:sz="0" w:space="0" w:color="auto"/>
                <w:bottom w:val="none" w:sz="0" w:space="0" w:color="auto"/>
                <w:right w:val="none" w:sz="0" w:space="0" w:color="auto"/>
              </w:divBdr>
            </w:div>
            <w:div w:id="894582217">
              <w:marLeft w:val="0"/>
              <w:marRight w:val="0"/>
              <w:marTop w:val="0"/>
              <w:marBottom w:val="0"/>
              <w:divBdr>
                <w:top w:val="none" w:sz="0" w:space="0" w:color="auto"/>
                <w:left w:val="none" w:sz="0" w:space="0" w:color="auto"/>
                <w:bottom w:val="none" w:sz="0" w:space="0" w:color="auto"/>
                <w:right w:val="none" w:sz="0" w:space="0" w:color="auto"/>
              </w:divBdr>
            </w:div>
            <w:div w:id="1782914273">
              <w:marLeft w:val="0"/>
              <w:marRight w:val="0"/>
              <w:marTop w:val="0"/>
              <w:marBottom w:val="0"/>
              <w:divBdr>
                <w:top w:val="none" w:sz="0" w:space="0" w:color="auto"/>
                <w:left w:val="none" w:sz="0" w:space="0" w:color="auto"/>
                <w:bottom w:val="none" w:sz="0" w:space="0" w:color="auto"/>
                <w:right w:val="none" w:sz="0" w:space="0" w:color="auto"/>
              </w:divBdr>
            </w:div>
            <w:div w:id="2139686596">
              <w:marLeft w:val="0"/>
              <w:marRight w:val="0"/>
              <w:marTop w:val="0"/>
              <w:marBottom w:val="0"/>
              <w:divBdr>
                <w:top w:val="none" w:sz="0" w:space="0" w:color="auto"/>
                <w:left w:val="none" w:sz="0" w:space="0" w:color="auto"/>
                <w:bottom w:val="none" w:sz="0" w:space="0" w:color="auto"/>
                <w:right w:val="none" w:sz="0" w:space="0" w:color="auto"/>
              </w:divBdr>
            </w:div>
            <w:div w:id="691955994">
              <w:marLeft w:val="0"/>
              <w:marRight w:val="0"/>
              <w:marTop w:val="0"/>
              <w:marBottom w:val="0"/>
              <w:divBdr>
                <w:top w:val="none" w:sz="0" w:space="0" w:color="auto"/>
                <w:left w:val="none" w:sz="0" w:space="0" w:color="auto"/>
                <w:bottom w:val="none" w:sz="0" w:space="0" w:color="auto"/>
                <w:right w:val="none" w:sz="0" w:space="0" w:color="auto"/>
              </w:divBdr>
            </w:div>
            <w:div w:id="669334707">
              <w:marLeft w:val="0"/>
              <w:marRight w:val="0"/>
              <w:marTop w:val="0"/>
              <w:marBottom w:val="0"/>
              <w:divBdr>
                <w:top w:val="none" w:sz="0" w:space="0" w:color="auto"/>
                <w:left w:val="none" w:sz="0" w:space="0" w:color="auto"/>
                <w:bottom w:val="none" w:sz="0" w:space="0" w:color="auto"/>
                <w:right w:val="none" w:sz="0" w:space="0" w:color="auto"/>
              </w:divBdr>
            </w:div>
            <w:div w:id="1242373583">
              <w:marLeft w:val="0"/>
              <w:marRight w:val="0"/>
              <w:marTop w:val="0"/>
              <w:marBottom w:val="0"/>
              <w:divBdr>
                <w:top w:val="none" w:sz="0" w:space="0" w:color="auto"/>
                <w:left w:val="none" w:sz="0" w:space="0" w:color="auto"/>
                <w:bottom w:val="none" w:sz="0" w:space="0" w:color="auto"/>
                <w:right w:val="none" w:sz="0" w:space="0" w:color="auto"/>
              </w:divBdr>
            </w:div>
            <w:div w:id="657879009">
              <w:marLeft w:val="0"/>
              <w:marRight w:val="0"/>
              <w:marTop w:val="0"/>
              <w:marBottom w:val="0"/>
              <w:divBdr>
                <w:top w:val="none" w:sz="0" w:space="0" w:color="auto"/>
                <w:left w:val="none" w:sz="0" w:space="0" w:color="auto"/>
                <w:bottom w:val="none" w:sz="0" w:space="0" w:color="auto"/>
                <w:right w:val="none" w:sz="0" w:space="0" w:color="auto"/>
              </w:divBdr>
            </w:div>
            <w:div w:id="964190027">
              <w:marLeft w:val="0"/>
              <w:marRight w:val="0"/>
              <w:marTop w:val="0"/>
              <w:marBottom w:val="0"/>
              <w:divBdr>
                <w:top w:val="none" w:sz="0" w:space="0" w:color="auto"/>
                <w:left w:val="none" w:sz="0" w:space="0" w:color="auto"/>
                <w:bottom w:val="none" w:sz="0" w:space="0" w:color="auto"/>
                <w:right w:val="none" w:sz="0" w:space="0" w:color="auto"/>
              </w:divBdr>
            </w:div>
            <w:div w:id="1959413249">
              <w:marLeft w:val="0"/>
              <w:marRight w:val="0"/>
              <w:marTop w:val="0"/>
              <w:marBottom w:val="0"/>
              <w:divBdr>
                <w:top w:val="none" w:sz="0" w:space="0" w:color="auto"/>
                <w:left w:val="none" w:sz="0" w:space="0" w:color="auto"/>
                <w:bottom w:val="none" w:sz="0" w:space="0" w:color="auto"/>
                <w:right w:val="none" w:sz="0" w:space="0" w:color="auto"/>
              </w:divBdr>
            </w:div>
            <w:div w:id="1080101959">
              <w:marLeft w:val="0"/>
              <w:marRight w:val="0"/>
              <w:marTop w:val="0"/>
              <w:marBottom w:val="0"/>
              <w:divBdr>
                <w:top w:val="none" w:sz="0" w:space="0" w:color="auto"/>
                <w:left w:val="none" w:sz="0" w:space="0" w:color="auto"/>
                <w:bottom w:val="none" w:sz="0" w:space="0" w:color="auto"/>
                <w:right w:val="none" w:sz="0" w:space="0" w:color="auto"/>
              </w:divBdr>
            </w:div>
            <w:div w:id="492911383">
              <w:marLeft w:val="0"/>
              <w:marRight w:val="0"/>
              <w:marTop w:val="0"/>
              <w:marBottom w:val="0"/>
              <w:divBdr>
                <w:top w:val="none" w:sz="0" w:space="0" w:color="auto"/>
                <w:left w:val="none" w:sz="0" w:space="0" w:color="auto"/>
                <w:bottom w:val="none" w:sz="0" w:space="0" w:color="auto"/>
                <w:right w:val="none" w:sz="0" w:space="0" w:color="auto"/>
              </w:divBdr>
            </w:div>
            <w:div w:id="1971937639">
              <w:marLeft w:val="0"/>
              <w:marRight w:val="0"/>
              <w:marTop w:val="0"/>
              <w:marBottom w:val="0"/>
              <w:divBdr>
                <w:top w:val="none" w:sz="0" w:space="0" w:color="auto"/>
                <w:left w:val="none" w:sz="0" w:space="0" w:color="auto"/>
                <w:bottom w:val="none" w:sz="0" w:space="0" w:color="auto"/>
                <w:right w:val="none" w:sz="0" w:space="0" w:color="auto"/>
              </w:divBdr>
            </w:div>
            <w:div w:id="1596673345">
              <w:marLeft w:val="0"/>
              <w:marRight w:val="0"/>
              <w:marTop w:val="0"/>
              <w:marBottom w:val="0"/>
              <w:divBdr>
                <w:top w:val="none" w:sz="0" w:space="0" w:color="auto"/>
                <w:left w:val="none" w:sz="0" w:space="0" w:color="auto"/>
                <w:bottom w:val="none" w:sz="0" w:space="0" w:color="auto"/>
                <w:right w:val="none" w:sz="0" w:space="0" w:color="auto"/>
              </w:divBdr>
            </w:div>
            <w:div w:id="1195460046">
              <w:marLeft w:val="0"/>
              <w:marRight w:val="0"/>
              <w:marTop w:val="0"/>
              <w:marBottom w:val="0"/>
              <w:divBdr>
                <w:top w:val="none" w:sz="0" w:space="0" w:color="auto"/>
                <w:left w:val="none" w:sz="0" w:space="0" w:color="auto"/>
                <w:bottom w:val="none" w:sz="0" w:space="0" w:color="auto"/>
                <w:right w:val="none" w:sz="0" w:space="0" w:color="auto"/>
              </w:divBdr>
            </w:div>
            <w:div w:id="249782284">
              <w:marLeft w:val="0"/>
              <w:marRight w:val="0"/>
              <w:marTop w:val="0"/>
              <w:marBottom w:val="0"/>
              <w:divBdr>
                <w:top w:val="none" w:sz="0" w:space="0" w:color="auto"/>
                <w:left w:val="none" w:sz="0" w:space="0" w:color="auto"/>
                <w:bottom w:val="none" w:sz="0" w:space="0" w:color="auto"/>
                <w:right w:val="none" w:sz="0" w:space="0" w:color="auto"/>
              </w:divBdr>
            </w:div>
            <w:div w:id="1378314262">
              <w:marLeft w:val="0"/>
              <w:marRight w:val="0"/>
              <w:marTop w:val="0"/>
              <w:marBottom w:val="0"/>
              <w:divBdr>
                <w:top w:val="none" w:sz="0" w:space="0" w:color="auto"/>
                <w:left w:val="none" w:sz="0" w:space="0" w:color="auto"/>
                <w:bottom w:val="none" w:sz="0" w:space="0" w:color="auto"/>
                <w:right w:val="none" w:sz="0" w:space="0" w:color="auto"/>
              </w:divBdr>
            </w:div>
            <w:div w:id="755174849">
              <w:marLeft w:val="0"/>
              <w:marRight w:val="0"/>
              <w:marTop w:val="0"/>
              <w:marBottom w:val="0"/>
              <w:divBdr>
                <w:top w:val="none" w:sz="0" w:space="0" w:color="auto"/>
                <w:left w:val="none" w:sz="0" w:space="0" w:color="auto"/>
                <w:bottom w:val="none" w:sz="0" w:space="0" w:color="auto"/>
                <w:right w:val="none" w:sz="0" w:space="0" w:color="auto"/>
              </w:divBdr>
            </w:div>
            <w:div w:id="1007682769">
              <w:marLeft w:val="0"/>
              <w:marRight w:val="0"/>
              <w:marTop w:val="0"/>
              <w:marBottom w:val="0"/>
              <w:divBdr>
                <w:top w:val="none" w:sz="0" w:space="0" w:color="auto"/>
                <w:left w:val="none" w:sz="0" w:space="0" w:color="auto"/>
                <w:bottom w:val="none" w:sz="0" w:space="0" w:color="auto"/>
                <w:right w:val="none" w:sz="0" w:space="0" w:color="auto"/>
              </w:divBdr>
            </w:div>
            <w:div w:id="1395660795">
              <w:marLeft w:val="0"/>
              <w:marRight w:val="0"/>
              <w:marTop w:val="0"/>
              <w:marBottom w:val="0"/>
              <w:divBdr>
                <w:top w:val="none" w:sz="0" w:space="0" w:color="auto"/>
                <w:left w:val="none" w:sz="0" w:space="0" w:color="auto"/>
                <w:bottom w:val="none" w:sz="0" w:space="0" w:color="auto"/>
                <w:right w:val="none" w:sz="0" w:space="0" w:color="auto"/>
              </w:divBdr>
            </w:div>
            <w:div w:id="151872499">
              <w:marLeft w:val="0"/>
              <w:marRight w:val="0"/>
              <w:marTop w:val="0"/>
              <w:marBottom w:val="0"/>
              <w:divBdr>
                <w:top w:val="none" w:sz="0" w:space="0" w:color="auto"/>
                <w:left w:val="none" w:sz="0" w:space="0" w:color="auto"/>
                <w:bottom w:val="none" w:sz="0" w:space="0" w:color="auto"/>
                <w:right w:val="none" w:sz="0" w:space="0" w:color="auto"/>
              </w:divBdr>
            </w:div>
            <w:div w:id="105658784">
              <w:marLeft w:val="0"/>
              <w:marRight w:val="0"/>
              <w:marTop w:val="0"/>
              <w:marBottom w:val="0"/>
              <w:divBdr>
                <w:top w:val="none" w:sz="0" w:space="0" w:color="auto"/>
                <w:left w:val="none" w:sz="0" w:space="0" w:color="auto"/>
                <w:bottom w:val="none" w:sz="0" w:space="0" w:color="auto"/>
                <w:right w:val="none" w:sz="0" w:space="0" w:color="auto"/>
              </w:divBdr>
            </w:div>
            <w:div w:id="1109003916">
              <w:marLeft w:val="0"/>
              <w:marRight w:val="0"/>
              <w:marTop w:val="0"/>
              <w:marBottom w:val="0"/>
              <w:divBdr>
                <w:top w:val="none" w:sz="0" w:space="0" w:color="auto"/>
                <w:left w:val="none" w:sz="0" w:space="0" w:color="auto"/>
                <w:bottom w:val="none" w:sz="0" w:space="0" w:color="auto"/>
                <w:right w:val="none" w:sz="0" w:space="0" w:color="auto"/>
              </w:divBdr>
            </w:div>
            <w:div w:id="474835505">
              <w:marLeft w:val="0"/>
              <w:marRight w:val="0"/>
              <w:marTop w:val="0"/>
              <w:marBottom w:val="0"/>
              <w:divBdr>
                <w:top w:val="none" w:sz="0" w:space="0" w:color="auto"/>
                <w:left w:val="none" w:sz="0" w:space="0" w:color="auto"/>
                <w:bottom w:val="none" w:sz="0" w:space="0" w:color="auto"/>
                <w:right w:val="none" w:sz="0" w:space="0" w:color="auto"/>
              </w:divBdr>
            </w:div>
            <w:div w:id="171919439">
              <w:marLeft w:val="0"/>
              <w:marRight w:val="0"/>
              <w:marTop w:val="0"/>
              <w:marBottom w:val="0"/>
              <w:divBdr>
                <w:top w:val="none" w:sz="0" w:space="0" w:color="auto"/>
                <w:left w:val="none" w:sz="0" w:space="0" w:color="auto"/>
                <w:bottom w:val="none" w:sz="0" w:space="0" w:color="auto"/>
                <w:right w:val="none" w:sz="0" w:space="0" w:color="auto"/>
              </w:divBdr>
            </w:div>
            <w:div w:id="367686173">
              <w:marLeft w:val="0"/>
              <w:marRight w:val="0"/>
              <w:marTop w:val="0"/>
              <w:marBottom w:val="0"/>
              <w:divBdr>
                <w:top w:val="none" w:sz="0" w:space="0" w:color="auto"/>
                <w:left w:val="none" w:sz="0" w:space="0" w:color="auto"/>
                <w:bottom w:val="none" w:sz="0" w:space="0" w:color="auto"/>
                <w:right w:val="none" w:sz="0" w:space="0" w:color="auto"/>
              </w:divBdr>
            </w:div>
            <w:div w:id="1810201908">
              <w:marLeft w:val="0"/>
              <w:marRight w:val="0"/>
              <w:marTop w:val="0"/>
              <w:marBottom w:val="0"/>
              <w:divBdr>
                <w:top w:val="none" w:sz="0" w:space="0" w:color="auto"/>
                <w:left w:val="none" w:sz="0" w:space="0" w:color="auto"/>
                <w:bottom w:val="none" w:sz="0" w:space="0" w:color="auto"/>
                <w:right w:val="none" w:sz="0" w:space="0" w:color="auto"/>
              </w:divBdr>
            </w:div>
            <w:div w:id="1513914262">
              <w:marLeft w:val="0"/>
              <w:marRight w:val="0"/>
              <w:marTop w:val="0"/>
              <w:marBottom w:val="0"/>
              <w:divBdr>
                <w:top w:val="none" w:sz="0" w:space="0" w:color="auto"/>
                <w:left w:val="none" w:sz="0" w:space="0" w:color="auto"/>
                <w:bottom w:val="none" w:sz="0" w:space="0" w:color="auto"/>
                <w:right w:val="none" w:sz="0" w:space="0" w:color="auto"/>
              </w:divBdr>
            </w:div>
            <w:div w:id="1359090209">
              <w:marLeft w:val="0"/>
              <w:marRight w:val="0"/>
              <w:marTop w:val="0"/>
              <w:marBottom w:val="0"/>
              <w:divBdr>
                <w:top w:val="none" w:sz="0" w:space="0" w:color="auto"/>
                <w:left w:val="none" w:sz="0" w:space="0" w:color="auto"/>
                <w:bottom w:val="none" w:sz="0" w:space="0" w:color="auto"/>
                <w:right w:val="none" w:sz="0" w:space="0" w:color="auto"/>
              </w:divBdr>
            </w:div>
            <w:div w:id="2095666936">
              <w:marLeft w:val="0"/>
              <w:marRight w:val="0"/>
              <w:marTop w:val="0"/>
              <w:marBottom w:val="0"/>
              <w:divBdr>
                <w:top w:val="none" w:sz="0" w:space="0" w:color="auto"/>
                <w:left w:val="none" w:sz="0" w:space="0" w:color="auto"/>
                <w:bottom w:val="none" w:sz="0" w:space="0" w:color="auto"/>
                <w:right w:val="none" w:sz="0" w:space="0" w:color="auto"/>
              </w:divBdr>
            </w:div>
            <w:div w:id="2073963823">
              <w:marLeft w:val="0"/>
              <w:marRight w:val="0"/>
              <w:marTop w:val="0"/>
              <w:marBottom w:val="0"/>
              <w:divBdr>
                <w:top w:val="none" w:sz="0" w:space="0" w:color="auto"/>
                <w:left w:val="none" w:sz="0" w:space="0" w:color="auto"/>
                <w:bottom w:val="none" w:sz="0" w:space="0" w:color="auto"/>
                <w:right w:val="none" w:sz="0" w:space="0" w:color="auto"/>
              </w:divBdr>
            </w:div>
            <w:div w:id="2093040933">
              <w:marLeft w:val="0"/>
              <w:marRight w:val="0"/>
              <w:marTop w:val="0"/>
              <w:marBottom w:val="0"/>
              <w:divBdr>
                <w:top w:val="none" w:sz="0" w:space="0" w:color="auto"/>
                <w:left w:val="none" w:sz="0" w:space="0" w:color="auto"/>
                <w:bottom w:val="none" w:sz="0" w:space="0" w:color="auto"/>
                <w:right w:val="none" w:sz="0" w:space="0" w:color="auto"/>
              </w:divBdr>
            </w:div>
            <w:div w:id="637145817">
              <w:marLeft w:val="0"/>
              <w:marRight w:val="0"/>
              <w:marTop w:val="0"/>
              <w:marBottom w:val="0"/>
              <w:divBdr>
                <w:top w:val="none" w:sz="0" w:space="0" w:color="auto"/>
                <w:left w:val="none" w:sz="0" w:space="0" w:color="auto"/>
                <w:bottom w:val="none" w:sz="0" w:space="0" w:color="auto"/>
                <w:right w:val="none" w:sz="0" w:space="0" w:color="auto"/>
              </w:divBdr>
            </w:div>
            <w:div w:id="224604583">
              <w:marLeft w:val="0"/>
              <w:marRight w:val="0"/>
              <w:marTop w:val="0"/>
              <w:marBottom w:val="0"/>
              <w:divBdr>
                <w:top w:val="none" w:sz="0" w:space="0" w:color="auto"/>
                <w:left w:val="none" w:sz="0" w:space="0" w:color="auto"/>
                <w:bottom w:val="none" w:sz="0" w:space="0" w:color="auto"/>
                <w:right w:val="none" w:sz="0" w:space="0" w:color="auto"/>
              </w:divBdr>
            </w:div>
            <w:div w:id="1957326461">
              <w:marLeft w:val="0"/>
              <w:marRight w:val="0"/>
              <w:marTop w:val="0"/>
              <w:marBottom w:val="0"/>
              <w:divBdr>
                <w:top w:val="none" w:sz="0" w:space="0" w:color="auto"/>
                <w:left w:val="none" w:sz="0" w:space="0" w:color="auto"/>
                <w:bottom w:val="none" w:sz="0" w:space="0" w:color="auto"/>
                <w:right w:val="none" w:sz="0" w:space="0" w:color="auto"/>
              </w:divBdr>
            </w:div>
            <w:div w:id="1754424460">
              <w:marLeft w:val="0"/>
              <w:marRight w:val="0"/>
              <w:marTop w:val="0"/>
              <w:marBottom w:val="0"/>
              <w:divBdr>
                <w:top w:val="none" w:sz="0" w:space="0" w:color="auto"/>
                <w:left w:val="none" w:sz="0" w:space="0" w:color="auto"/>
                <w:bottom w:val="none" w:sz="0" w:space="0" w:color="auto"/>
                <w:right w:val="none" w:sz="0" w:space="0" w:color="auto"/>
              </w:divBdr>
            </w:div>
            <w:div w:id="1706440905">
              <w:marLeft w:val="0"/>
              <w:marRight w:val="0"/>
              <w:marTop w:val="0"/>
              <w:marBottom w:val="0"/>
              <w:divBdr>
                <w:top w:val="none" w:sz="0" w:space="0" w:color="auto"/>
                <w:left w:val="none" w:sz="0" w:space="0" w:color="auto"/>
                <w:bottom w:val="none" w:sz="0" w:space="0" w:color="auto"/>
                <w:right w:val="none" w:sz="0" w:space="0" w:color="auto"/>
              </w:divBdr>
            </w:div>
            <w:div w:id="2093699414">
              <w:marLeft w:val="0"/>
              <w:marRight w:val="0"/>
              <w:marTop w:val="0"/>
              <w:marBottom w:val="0"/>
              <w:divBdr>
                <w:top w:val="none" w:sz="0" w:space="0" w:color="auto"/>
                <w:left w:val="none" w:sz="0" w:space="0" w:color="auto"/>
                <w:bottom w:val="none" w:sz="0" w:space="0" w:color="auto"/>
                <w:right w:val="none" w:sz="0" w:space="0" w:color="auto"/>
              </w:divBdr>
            </w:div>
            <w:div w:id="1909876040">
              <w:marLeft w:val="0"/>
              <w:marRight w:val="0"/>
              <w:marTop w:val="0"/>
              <w:marBottom w:val="0"/>
              <w:divBdr>
                <w:top w:val="none" w:sz="0" w:space="0" w:color="auto"/>
                <w:left w:val="none" w:sz="0" w:space="0" w:color="auto"/>
                <w:bottom w:val="none" w:sz="0" w:space="0" w:color="auto"/>
                <w:right w:val="none" w:sz="0" w:space="0" w:color="auto"/>
              </w:divBdr>
            </w:div>
            <w:div w:id="445974761">
              <w:marLeft w:val="0"/>
              <w:marRight w:val="0"/>
              <w:marTop w:val="0"/>
              <w:marBottom w:val="0"/>
              <w:divBdr>
                <w:top w:val="none" w:sz="0" w:space="0" w:color="auto"/>
                <w:left w:val="none" w:sz="0" w:space="0" w:color="auto"/>
                <w:bottom w:val="none" w:sz="0" w:space="0" w:color="auto"/>
                <w:right w:val="none" w:sz="0" w:space="0" w:color="auto"/>
              </w:divBdr>
            </w:div>
            <w:div w:id="1654068424">
              <w:marLeft w:val="0"/>
              <w:marRight w:val="0"/>
              <w:marTop w:val="0"/>
              <w:marBottom w:val="0"/>
              <w:divBdr>
                <w:top w:val="none" w:sz="0" w:space="0" w:color="auto"/>
                <w:left w:val="none" w:sz="0" w:space="0" w:color="auto"/>
                <w:bottom w:val="none" w:sz="0" w:space="0" w:color="auto"/>
                <w:right w:val="none" w:sz="0" w:space="0" w:color="auto"/>
              </w:divBdr>
            </w:div>
            <w:div w:id="1174612164">
              <w:marLeft w:val="0"/>
              <w:marRight w:val="0"/>
              <w:marTop w:val="0"/>
              <w:marBottom w:val="0"/>
              <w:divBdr>
                <w:top w:val="none" w:sz="0" w:space="0" w:color="auto"/>
                <w:left w:val="none" w:sz="0" w:space="0" w:color="auto"/>
                <w:bottom w:val="none" w:sz="0" w:space="0" w:color="auto"/>
                <w:right w:val="none" w:sz="0" w:space="0" w:color="auto"/>
              </w:divBdr>
            </w:div>
            <w:div w:id="2097702163">
              <w:marLeft w:val="0"/>
              <w:marRight w:val="0"/>
              <w:marTop w:val="0"/>
              <w:marBottom w:val="0"/>
              <w:divBdr>
                <w:top w:val="none" w:sz="0" w:space="0" w:color="auto"/>
                <w:left w:val="none" w:sz="0" w:space="0" w:color="auto"/>
                <w:bottom w:val="none" w:sz="0" w:space="0" w:color="auto"/>
                <w:right w:val="none" w:sz="0" w:space="0" w:color="auto"/>
              </w:divBdr>
            </w:div>
            <w:div w:id="905528408">
              <w:marLeft w:val="0"/>
              <w:marRight w:val="0"/>
              <w:marTop w:val="0"/>
              <w:marBottom w:val="0"/>
              <w:divBdr>
                <w:top w:val="none" w:sz="0" w:space="0" w:color="auto"/>
                <w:left w:val="none" w:sz="0" w:space="0" w:color="auto"/>
                <w:bottom w:val="none" w:sz="0" w:space="0" w:color="auto"/>
                <w:right w:val="none" w:sz="0" w:space="0" w:color="auto"/>
              </w:divBdr>
            </w:div>
            <w:div w:id="227347144">
              <w:marLeft w:val="0"/>
              <w:marRight w:val="0"/>
              <w:marTop w:val="0"/>
              <w:marBottom w:val="0"/>
              <w:divBdr>
                <w:top w:val="none" w:sz="0" w:space="0" w:color="auto"/>
                <w:left w:val="none" w:sz="0" w:space="0" w:color="auto"/>
                <w:bottom w:val="none" w:sz="0" w:space="0" w:color="auto"/>
                <w:right w:val="none" w:sz="0" w:space="0" w:color="auto"/>
              </w:divBdr>
            </w:div>
            <w:div w:id="703217315">
              <w:marLeft w:val="0"/>
              <w:marRight w:val="0"/>
              <w:marTop w:val="0"/>
              <w:marBottom w:val="0"/>
              <w:divBdr>
                <w:top w:val="none" w:sz="0" w:space="0" w:color="auto"/>
                <w:left w:val="none" w:sz="0" w:space="0" w:color="auto"/>
                <w:bottom w:val="none" w:sz="0" w:space="0" w:color="auto"/>
                <w:right w:val="none" w:sz="0" w:space="0" w:color="auto"/>
              </w:divBdr>
            </w:div>
            <w:div w:id="137764451">
              <w:marLeft w:val="0"/>
              <w:marRight w:val="0"/>
              <w:marTop w:val="0"/>
              <w:marBottom w:val="0"/>
              <w:divBdr>
                <w:top w:val="none" w:sz="0" w:space="0" w:color="auto"/>
                <w:left w:val="none" w:sz="0" w:space="0" w:color="auto"/>
                <w:bottom w:val="none" w:sz="0" w:space="0" w:color="auto"/>
                <w:right w:val="none" w:sz="0" w:space="0" w:color="auto"/>
              </w:divBdr>
            </w:div>
            <w:div w:id="1452286351">
              <w:marLeft w:val="0"/>
              <w:marRight w:val="0"/>
              <w:marTop w:val="0"/>
              <w:marBottom w:val="0"/>
              <w:divBdr>
                <w:top w:val="none" w:sz="0" w:space="0" w:color="auto"/>
                <w:left w:val="none" w:sz="0" w:space="0" w:color="auto"/>
                <w:bottom w:val="none" w:sz="0" w:space="0" w:color="auto"/>
                <w:right w:val="none" w:sz="0" w:space="0" w:color="auto"/>
              </w:divBdr>
            </w:div>
            <w:div w:id="1913466096">
              <w:marLeft w:val="0"/>
              <w:marRight w:val="0"/>
              <w:marTop w:val="0"/>
              <w:marBottom w:val="0"/>
              <w:divBdr>
                <w:top w:val="none" w:sz="0" w:space="0" w:color="auto"/>
                <w:left w:val="none" w:sz="0" w:space="0" w:color="auto"/>
                <w:bottom w:val="none" w:sz="0" w:space="0" w:color="auto"/>
                <w:right w:val="none" w:sz="0" w:space="0" w:color="auto"/>
              </w:divBdr>
            </w:div>
            <w:div w:id="133040">
              <w:marLeft w:val="0"/>
              <w:marRight w:val="0"/>
              <w:marTop w:val="0"/>
              <w:marBottom w:val="0"/>
              <w:divBdr>
                <w:top w:val="none" w:sz="0" w:space="0" w:color="auto"/>
                <w:left w:val="none" w:sz="0" w:space="0" w:color="auto"/>
                <w:bottom w:val="none" w:sz="0" w:space="0" w:color="auto"/>
                <w:right w:val="none" w:sz="0" w:space="0" w:color="auto"/>
              </w:divBdr>
            </w:div>
            <w:div w:id="1912109016">
              <w:marLeft w:val="0"/>
              <w:marRight w:val="0"/>
              <w:marTop w:val="0"/>
              <w:marBottom w:val="0"/>
              <w:divBdr>
                <w:top w:val="none" w:sz="0" w:space="0" w:color="auto"/>
                <w:left w:val="none" w:sz="0" w:space="0" w:color="auto"/>
                <w:bottom w:val="none" w:sz="0" w:space="0" w:color="auto"/>
                <w:right w:val="none" w:sz="0" w:space="0" w:color="auto"/>
              </w:divBdr>
            </w:div>
            <w:div w:id="846867436">
              <w:marLeft w:val="0"/>
              <w:marRight w:val="0"/>
              <w:marTop w:val="0"/>
              <w:marBottom w:val="0"/>
              <w:divBdr>
                <w:top w:val="none" w:sz="0" w:space="0" w:color="auto"/>
                <w:left w:val="none" w:sz="0" w:space="0" w:color="auto"/>
                <w:bottom w:val="none" w:sz="0" w:space="0" w:color="auto"/>
                <w:right w:val="none" w:sz="0" w:space="0" w:color="auto"/>
              </w:divBdr>
            </w:div>
            <w:div w:id="34935021">
              <w:marLeft w:val="0"/>
              <w:marRight w:val="0"/>
              <w:marTop w:val="0"/>
              <w:marBottom w:val="0"/>
              <w:divBdr>
                <w:top w:val="none" w:sz="0" w:space="0" w:color="auto"/>
                <w:left w:val="none" w:sz="0" w:space="0" w:color="auto"/>
                <w:bottom w:val="none" w:sz="0" w:space="0" w:color="auto"/>
                <w:right w:val="none" w:sz="0" w:space="0" w:color="auto"/>
              </w:divBdr>
            </w:div>
            <w:div w:id="1779133259">
              <w:marLeft w:val="0"/>
              <w:marRight w:val="0"/>
              <w:marTop w:val="0"/>
              <w:marBottom w:val="0"/>
              <w:divBdr>
                <w:top w:val="none" w:sz="0" w:space="0" w:color="auto"/>
                <w:left w:val="none" w:sz="0" w:space="0" w:color="auto"/>
                <w:bottom w:val="none" w:sz="0" w:space="0" w:color="auto"/>
                <w:right w:val="none" w:sz="0" w:space="0" w:color="auto"/>
              </w:divBdr>
            </w:div>
            <w:div w:id="1019694818">
              <w:marLeft w:val="0"/>
              <w:marRight w:val="0"/>
              <w:marTop w:val="0"/>
              <w:marBottom w:val="0"/>
              <w:divBdr>
                <w:top w:val="none" w:sz="0" w:space="0" w:color="auto"/>
                <w:left w:val="none" w:sz="0" w:space="0" w:color="auto"/>
                <w:bottom w:val="none" w:sz="0" w:space="0" w:color="auto"/>
                <w:right w:val="none" w:sz="0" w:space="0" w:color="auto"/>
              </w:divBdr>
            </w:div>
            <w:div w:id="1535540918">
              <w:marLeft w:val="0"/>
              <w:marRight w:val="0"/>
              <w:marTop w:val="0"/>
              <w:marBottom w:val="0"/>
              <w:divBdr>
                <w:top w:val="none" w:sz="0" w:space="0" w:color="auto"/>
                <w:left w:val="none" w:sz="0" w:space="0" w:color="auto"/>
                <w:bottom w:val="none" w:sz="0" w:space="0" w:color="auto"/>
                <w:right w:val="none" w:sz="0" w:space="0" w:color="auto"/>
              </w:divBdr>
            </w:div>
            <w:div w:id="1224759834">
              <w:marLeft w:val="0"/>
              <w:marRight w:val="0"/>
              <w:marTop w:val="0"/>
              <w:marBottom w:val="0"/>
              <w:divBdr>
                <w:top w:val="none" w:sz="0" w:space="0" w:color="auto"/>
                <w:left w:val="none" w:sz="0" w:space="0" w:color="auto"/>
                <w:bottom w:val="none" w:sz="0" w:space="0" w:color="auto"/>
                <w:right w:val="none" w:sz="0" w:space="0" w:color="auto"/>
              </w:divBdr>
            </w:div>
            <w:div w:id="1028143317">
              <w:marLeft w:val="0"/>
              <w:marRight w:val="0"/>
              <w:marTop w:val="0"/>
              <w:marBottom w:val="0"/>
              <w:divBdr>
                <w:top w:val="none" w:sz="0" w:space="0" w:color="auto"/>
                <w:left w:val="none" w:sz="0" w:space="0" w:color="auto"/>
                <w:bottom w:val="none" w:sz="0" w:space="0" w:color="auto"/>
                <w:right w:val="none" w:sz="0" w:space="0" w:color="auto"/>
              </w:divBdr>
            </w:div>
            <w:div w:id="1485782290">
              <w:marLeft w:val="0"/>
              <w:marRight w:val="0"/>
              <w:marTop w:val="0"/>
              <w:marBottom w:val="0"/>
              <w:divBdr>
                <w:top w:val="none" w:sz="0" w:space="0" w:color="auto"/>
                <w:left w:val="none" w:sz="0" w:space="0" w:color="auto"/>
                <w:bottom w:val="none" w:sz="0" w:space="0" w:color="auto"/>
                <w:right w:val="none" w:sz="0" w:space="0" w:color="auto"/>
              </w:divBdr>
            </w:div>
            <w:div w:id="135689277">
              <w:marLeft w:val="0"/>
              <w:marRight w:val="0"/>
              <w:marTop w:val="0"/>
              <w:marBottom w:val="0"/>
              <w:divBdr>
                <w:top w:val="none" w:sz="0" w:space="0" w:color="auto"/>
                <w:left w:val="none" w:sz="0" w:space="0" w:color="auto"/>
                <w:bottom w:val="none" w:sz="0" w:space="0" w:color="auto"/>
                <w:right w:val="none" w:sz="0" w:space="0" w:color="auto"/>
              </w:divBdr>
            </w:div>
            <w:div w:id="1877694907">
              <w:marLeft w:val="0"/>
              <w:marRight w:val="0"/>
              <w:marTop w:val="0"/>
              <w:marBottom w:val="0"/>
              <w:divBdr>
                <w:top w:val="none" w:sz="0" w:space="0" w:color="auto"/>
                <w:left w:val="none" w:sz="0" w:space="0" w:color="auto"/>
                <w:bottom w:val="none" w:sz="0" w:space="0" w:color="auto"/>
                <w:right w:val="none" w:sz="0" w:space="0" w:color="auto"/>
              </w:divBdr>
            </w:div>
            <w:div w:id="135463465">
              <w:marLeft w:val="0"/>
              <w:marRight w:val="0"/>
              <w:marTop w:val="0"/>
              <w:marBottom w:val="0"/>
              <w:divBdr>
                <w:top w:val="none" w:sz="0" w:space="0" w:color="auto"/>
                <w:left w:val="none" w:sz="0" w:space="0" w:color="auto"/>
                <w:bottom w:val="none" w:sz="0" w:space="0" w:color="auto"/>
                <w:right w:val="none" w:sz="0" w:space="0" w:color="auto"/>
              </w:divBdr>
            </w:div>
            <w:div w:id="1601597976">
              <w:marLeft w:val="0"/>
              <w:marRight w:val="0"/>
              <w:marTop w:val="0"/>
              <w:marBottom w:val="0"/>
              <w:divBdr>
                <w:top w:val="none" w:sz="0" w:space="0" w:color="auto"/>
                <w:left w:val="none" w:sz="0" w:space="0" w:color="auto"/>
                <w:bottom w:val="none" w:sz="0" w:space="0" w:color="auto"/>
                <w:right w:val="none" w:sz="0" w:space="0" w:color="auto"/>
              </w:divBdr>
            </w:div>
            <w:div w:id="781649406">
              <w:marLeft w:val="0"/>
              <w:marRight w:val="0"/>
              <w:marTop w:val="0"/>
              <w:marBottom w:val="0"/>
              <w:divBdr>
                <w:top w:val="none" w:sz="0" w:space="0" w:color="auto"/>
                <w:left w:val="none" w:sz="0" w:space="0" w:color="auto"/>
                <w:bottom w:val="none" w:sz="0" w:space="0" w:color="auto"/>
                <w:right w:val="none" w:sz="0" w:space="0" w:color="auto"/>
              </w:divBdr>
            </w:div>
            <w:div w:id="1570267654">
              <w:marLeft w:val="0"/>
              <w:marRight w:val="0"/>
              <w:marTop w:val="0"/>
              <w:marBottom w:val="0"/>
              <w:divBdr>
                <w:top w:val="none" w:sz="0" w:space="0" w:color="auto"/>
                <w:left w:val="none" w:sz="0" w:space="0" w:color="auto"/>
                <w:bottom w:val="none" w:sz="0" w:space="0" w:color="auto"/>
                <w:right w:val="none" w:sz="0" w:space="0" w:color="auto"/>
              </w:divBdr>
            </w:div>
            <w:div w:id="894128008">
              <w:marLeft w:val="0"/>
              <w:marRight w:val="0"/>
              <w:marTop w:val="0"/>
              <w:marBottom w:val="0"/>
              <w:divBdr>
                <w:top w:val="none" w:sz="0" w:space="0" w:color="auto"/>
                <w:left w:val="none" w:sz="0" w:space="0" w:color="auto"/>
                <w:bottom w:val="none" w:sz="0" w:space="0" w:color="auto"/>
                <w:right w:val="none" w:sz="0" w:space="0" w:color="auto"/>
              </w:divBdr>
            </w:div>
            <w:div w:id="929461168">
              <w:marLeft w:val="0"/>
              <w:marRight w:val="0"/>
              <w:marTop w:val="0"/>
              <w:marBottom w:val="0"/>
              <w:divBdr>
                <w:top w:val="none" w:sz="0" w:space="0" w:color="auto"/>
                <w:left w:val="none" w:sz="0" w:space="0" w:color="auto"/>
                <w:bottom w:val="none" w:sz="0" w:space="0" w:color="auto"/>
                <w:right w:val="none" w:sz="0" w:space="0" w:color="auto"/>
              </w:divBdr>
            </w:div>
            <w:div w:id="1340892171">
              <w:marLeft w:val="0"/>
              <w:marRight w:val="0"/>
              <w:marTop w:val="0"/>
              <w:marBottom w:val="0"/>
              <w:divBdr>
                <w:top w:val="none" w:sz="0" w:space="0" w:color="auto"/>
                <w:left w:val="none" w:sz="0" w:space="0" w:color="auto"/>
                <w:bottom w:val="none" w:sz="0" w:space="0" w:color="auto"/>
                <w:right w:val="none" w:sz="0" w:space="0" w:color="auto"/>
              </w:divBdr>
            </w:div>
            <w:div w:id="244653294">
              <w:marLeft w:val="0"/>
              <w:marRight w:val="0"/>
              <w:marTop w:val="0"/>
              <w:marBottom w:val="0"/>
              <w:divBdr>
                <w:top w:val="none" w:sz="0" w:space="0" w:color="auto"/>
                <w:left w:val="none" w:sz="0" w:space="0" w:color="auto"/>
                <w:bottom w:val="none" w:sz="0" w:space="0" w:color="auto"/>
                <w:right w:val="none" w:sz="0" w:space="0" w:color="auto"/>
              </w:divBdr>
            </w:div>
            <w:div w:id="2027634026">
              <w:marLeft w:val="0"/>
              <w:marRight w:val="0"/>
              <w:marTop w:val="0"/>
              <w:marBottom w:val="0"/>
              <w:divBdr>
                <w:top w:val="none" w:sz="0" w:space="0" w:color="auto"/>
                <w:left w:val="none" w:sz="0" w:space="0" w:color="auto"/>
                <w:bottom w:val="none" w:sz="0" w:space="0" w:color="auto"/>
                <w:right w:val="none" w:sz="0" w:space="0" w:color="auto"/>
              </w:divBdr>
            </w:div>
            <w:div w:id="686104020">
              <w:marLeft w:val="0"/>
              <w:marRight w:val="0"/>
              <w:marTop w:val="0"/>
              <w:marBottom w:val="0"/>
              <w:divBdr>
                <w:top w:val="none" w:sz="0" w:space="0" w:color="auto"/>
                <w:left w:val="none" w:sz="0" w:space="0" w:color="auto"/>
                <w:bottom w:val="none" w:sz="0" w:space="0" w:color="auto"/>
                <w:right w:val="none" w:sz="0" w:space="0" w:color="auto"/>
              </w:divBdr>
            </w:div>
            <w:div w:id="1824856820">
              <w:marLeft w:val="0"/>
              <w:marRight w:val="0"/>
              <w:marTop w:val="0"/>
              <w:marBottom w:val="0"/>
              <w:divBdr>
                <w:top w:val="none" w:sz="0" w:space="0" w:color="auto"/>
                <w:left w:val="none" w:sz="0" w:space="0" w:color="auto"/>
                <w:bottom w:val="none" w:sz="0" w:space="0" w:color="auto"/>
                <w:right w:val="none" w:sz="0" w:space="0" w:color="auto"/>
              </w:divBdr>
            </w:div>
            <w:div w:id="378937831">
              <w:marLeft w:val="0"/>
              <w:marRight w:val="0"/>
              <w:marTop w:val="0"/>
              <w:marBottom w:val="0"/>
              <w:divBdr>
                <w:top w:val="none" w:sz="0" w:space="0" w:color="auto"/>
                <w:left w:val="none" w:sz="0" w:space="0" w:color="auto"/>
                <w:bottom w:val="none" w:sz="0" w:space="0" w:color="auto"/>
                <w:right w:val="none" w:sz="0" w:space="0" w:color="auto"/>
              </w:divBdr>
            </w:div>
            <w:div w:id="617302736">
              <w:marLeft w:val="0"/>
              <w:marRight w:val="0"/>
              <w:marTop w:val="0"/>
              <w:marBottom w:val="0"/>
              <w:divBdr>
                <w:top w:val="none" w:sz="0" w:space="0" w:color="auto"/>
                <w:left w:val="none" w:sz="0" w:space="0" w:color="auto"/>
                <w:bottom w:val="none" w:sz="0" w:space="0" w:color="auto"/>
                <w:right w:val="none" w:sz="0" w:space="0" w:color="auto"/>
              </w:divBdr>
            </w:div>
            <w:div w:id="941306596">
              <w:marLeft w:val="0"/>
              <w:marRight w:val="0"/>
              <w:marTop w:val="0"/>
              <w:marBottom w:val="0"/>
              <w:divBdr>
                <w:top w:val="none" w:sz="0" w:space="0" w:color="auto"/>
                <w:left w:val="none" w:sz="0" w:space="0" w:color="auto"/>
                <w:bottom w:val="none" w:sz="0" w:space="0" w:color="auto"/>
                <w:right w:val="none" w:sz="0" w:space="0" w:color="auto"/>
              </w:divBdr>
            </w:div>
            <w:div w:id="1538814491">
              <w:marLeft w:val="0"/>
              <w:marRight w:val="0"/>
              <w:marTop w:val="0"/>
              <w:marBottom w:val="0"/>
              <w:divBdr>
                <w:top w:val="none" w:sz="0" w:space="0" w:color="auto"/>
                <w:left w:val="none" w:sz="0" w:space="0" w:color="auto"/>
                <w:bottom w:val="none" w:sz="0" w:space="0" w:color="auto"/>
                <w:right w:val="none" w:sz="0" w:space="0" w:color="auto"/>
              </w:divBdr>
            </w:div>
            <w:div w:id="495650877">
              <w:marLeft w:val="0"/>
              <w:marRight w:val="0"/>
              <w:marTop w:val="0"/>
              <w:marBottom w:val="0"/>
              <w:divBdr>
                <w:top w:val="none" w:sz="0" w:space="0" w:color="auto"/>
                <w:left w:val="none" w:sz="0" w:space="0" w:color="auto"/>
                <w:bottom w:val="none" w:sz="0" w:space="0" w:color="auto"/>
                <w:right w:val="none" w:sz="0" w:space="0" w:color="auto"/>
              </w:divBdr>
            </w:div>
            <w:div w:id="400713353">
              <w:marLeft w:val="0"/>
              <w:marRight w:val="0"/>
              <w:marTop w:val="0"/>
              <w:marBottom w:val="0"/>
              <w:divBdr>
                <w:top w:val="none" w:sz="0" w:space="0" w:color="auto"/>
                <w:left w:val="none" w:sz="0" w:space="0" w:color="auto"/>
                <w:bottom w:val="none" w:sz="0" w:space="0" w:color="auto"/>
                <w:right w:val="none" w:sz="0" w:space="0" w:color="auto"/>
              </w:divBdr>
            </w:div>
            <w:div w:id="1280066707">
              <w:marLeft w:val="0"/>
              <w:marRight w:val="0"/>
              <w:marTop w:val="0"/>
              <w:marBottom w:val="0"/>
              <w:divBdr>
                <w:top w:val="none" w:sz="0" w:space="0" w:color="auto"/>
                <w:left w:val="none" w:sz="0" w:space="0" w:color="auto"/>
                <w:bottom w:val="none" w:sz="0" w:space="0" w:color="auto"/>
                <w:right w:val="none" w:sz="0" w:space="0" w:color="auto"/>
              </w:divBdr>
            </w:div>
            <w:div w:id="1418937318">
              <w:marLeft w:val="0"/>
              <w:marRight w:val="0"/>
              <w:marTop w:val="0"/>
              <w:marBottom w:val="0"/>
              <w:divBdr>
                <w:top w:val="none" w:sz="0" w:space="0" w:color="auto"/>
                <w:left w:val="none" w:sz="0" w:space="0" w:color="auto"/>
                <w:bottom w:val="none" w:sz="0" w:space="0" w:color="auto"/>
                <w:right w:val="none" w:sz="0" w:space="0" w:color="auto"/>
              </w:divBdr>
            </w:div>
            <w:div w:id="1846899811">
              <w:marLeft w:val="0"/>
              <w:marRight w:val="0"/>
              <w:marTop w:val="0"/>
              <w:marBottom w:val="0"/>
              <w:divBdr>
                <w:top w:val="none" w:sz="0" w:space="0" w:color="auto"/>
                <w:left w:val="none" w:sz="0" w:space="0" w:color="auto"/>
                <w:bottom w:val="none" w:sz="0" w:space="0" w:color="auto"/>
                <w:right w:val="none" w:sz="0" w:space="0" w:color="auto"/>
              </w:divBdr>
            </w:div>
            <w:div w:id="494734560">
              <w:marLeft w:val="0"/>
              <w:marRight w:val="0"/>
              <w:marTop w:val="0"/>
              <w:marBottom w:val="0"/>
              <w:divBdr>
                <w:top w:val="none" w:sz="0" w:space="0" w:color="auto"/>
                <w:left w:val="none" w:sz="0" w:space="0" w:color="auto"/>
                <w:bottom w:val="none" w:sz="0" w:space="0" w:color="auto"/>
                <w:right w:val="none" w:sz="0" w:space="0" w:color="auto"/>
              </w:divBdr>
            </w:div>
            <w:div w:id="68045363">
              <w:marLeft w:val="0"/>
              <w:marRight w:val="0"/>
              <w:marTop w:val="0"/>
              <w:marBottom w:val="0"/>
              <w:divBdr>
                <w:top w:val="none" w:sz="0" w:space="0" w:color="auto"/>
                <w:left w:val="none" w:sz="0" w:space="0" w:color="auto"/>
                <w:bottom w:val="none" w:sz="0" w:space="0" w:color="auto"/>
                <w:right w:val="none" w:sz="0" w:space="0" w:color="auto"/>
              </w:divBdr>
            </w:div>
            <w:div w:id="302126002">
              <w:marLeft w:val="0"/>
              <w:marRight w:val="0"/>
              <w:marTop w:val="0"/>
              <w:marBottom w:val="0"/>
              <w:divBdr>
                <w:top w:val="none" w:sz="0" w:space="0" w:color="auto"/>
                <w:left w:val="none" w:sz="0" w:space="0" w:color="auto"/>
                <w:bottom w:val="none" w:sz="0" w:space="0" w:color="auto"/>
                <w:right w:val="none" w:sz="0" w:space="0" w:color="auto"/>
              </w:divBdr>
            </w:div>
            <w:div w:id="641622198">
              <w:marLeft w:val="0"/>
              <w:marRight w:val="0"/>
              <w:marTop w:val="0"/>
              <w:marBottom w:val="0"/>
              <w:divBdr>
                <w:top w:val="none" w:sz="0" w:space="0" w:color="auto"/>
                <w:left w:val="none" w:sz="0" w:space="0" w:color="auto"/>
                <w:bottom w:val="none" w:sz="0" w:space="0" w:color="auto"/>
                <w:right w:val="none" w:sz="0" w:space="0" w:color="auto"/>
              </w:divBdr>
            </w:div>
            <w:div w:id="1023165567">
              <w:marLeft w:val="0"/>
              <w:marRight w:val="0"/>
              <w:marTop w:val="0"/>
              <w:marBottom w:val="0"/>
              <w:divBdr>
                <w:top w:val="none" w:sz="0" w:space="0" w:color="auto"/>
                <w:left w:val="none" w:sz="0" w:space="0" w:color="auto"/>
                <w:bottom w:val="none" w:sz="0" w:space="0" w:color="auto"/>
                <w:right w:val="none" w:sz="0" w:space="0" w:color="auto"/>
              </w:divBdr>
            </w:div>
            <w:div w:id="1696731135">
              <w:marLeft w:val="0"/>
              <w:marRight w:val="0"/>
              <w:marTop w:val="0"/>
              <w:marBottom w:val="0"/>
              <w:divBdr>
                <w:top w:val="none" w:sz="0" w:space="0" w:color="auto"/>
                <w:left w:val="none" w:sz="0" w:space="0" w:color="auto"/>
                <w:bottom w:val="none" w:sz="0" w:space="0" w:color="auto"/>
                <w:right w:val="none" w:sz="0" w:space="0" w:color="auto"/>
              </w:divBdr>
            </w:div>
            <w:div w:id="1135174703">
              <w:marLeft w:val="0"/>
              <w:marRight w:val="0"/>
              <w:marTop w:val="0"/>
              <w:marBottom w:val="0"/>
              <w:divBdr>
                <w:top w:val="none" w:sz="0" w:space="0" w:color="auto"/>
                <w:left w:val="none" w:sz="0" w:space="0" w:color="auto"/>
                <w:bottom w:val="none" w:sz="0" w:space="0" w:color="auto"/>
                <w:right w:val="none" w:sz="0" w:space="0" w:color="auto"/>
              </w:divBdr>
            </w:div>
            <w:div w:id="2075663741">
              <w:marLeft w:val="0"/>
              <w:marRight w:val="0"/>
              <w:marTop w:val="0"/>
              <w:marBottom w:val="0"/>
              <w:divBdr>
                <w:top w:val="none" w:sz="0" w:space="0" w:color="auto"/>
                <w:left w:val="none" w:sz="0" w:space="0" w:color="auto"/>
                <w:bottom w:val="none" w:sz="0" w:space="0" w:color="auto"/>
                <w:right w:val="none" w:sz="0" w:space="0" w:color="auto"/>
              </w:divBdr>
            </w:div>
            <w:div w:id="1682390163">
              <w:marLeft w:val="0"/>
              <w:marRight w:val="0"/>
              <w:marTop w:val="0"/>
              <w:marBottom w:val="0"/>
              <w:divBdr>
                <w:top w:val="none" w:sz="0" w:space="0" w:color="auto"/>
                <w:left w:val="none" w:sz="0" w:space="0" w:color="auto"/>
                <w:bottom w:val="none" w:sz="0" w:space="0" w:color="auto"/>
                <w:right w:val="none" w:sz="0" w:space="0" w:color="auto"/>
              </w:divBdr>
            </w:div>
            <w:div w:id="1745713894">
              <w:marLeft w:val="0"/>
              <w:marRight w:val="0"/>
              <w:marTop w:val="0"/>
              <w:marBottom w:val="0"/>
              <w:divBdr>
                <w:top w:val="none" w:sz="0" w:space="0" w:color="auto"/>
                <w:left w:val="none" w:sz="0" w:space="0" w:color="auto"/>
                <w:bottom w:val="none" w:sz="0" w:space="0" w:color="auto"/>
                <w:right w:val="none" w:sz="0" w:space="0" w:color="auto"/>
              </w:divBdr>
            </w:div>
            <w:div w:id="86661721">
              <w:marLeft w:val="0"/>
              <w:marRight w:val="0"/>
              <w:marTop w:val="0"/>
              <w:marBottom w:val="0"/>
              <w:divBdr>
                <w:top w:val="none" w:sz="0" w:space="0" w:color="auto"/>
                <w:left w:val="none" w:sz="0" w:space="0" w:color="auto"/>
                <w:bottom w:val="none" w:sz="0" w:space="0" w:color="auto"/>
                <w:right w:val="none" w:sz="0" w:space="0" w:color="auto"/>
              </w:divBdr>
            </w:div>
            <w:div w:id="989864428">
              <w:marLeft w:val="0"/>
              <w:marRight w:val="0"/>
              <w:marTop w:val="0"/>
              <w:marBottom w:val="0"/>
              <w:divBdr>
                <w:top w:val="none" w:sz="0" w:space="0" w:color="auto"/>
                <w:left w:val="none" w:sz="0" w:space="0" w:color="auto"/>
                <w:bottom w:val="none" w:sz="0" w:space="0" w:color="auto"/>
                <w:right w:val="none" w:sz="0" w:space="0" w:color="auto"/>
              </w:divBdr>
            </w:div>
            <w:div w:id="2005811986">
              <w:marLeft w:val="0"/>
              <w:marRight w:val="0"/>
              <w:marTop w:val="0"/>
              <w:marBottom w:val="0"/>
              <w:divBdr>
                <w:top w:val="none" w:sz="0" w:space="0" w:color="auto"/>
                <w:left w:val="none" w:sz="0" w:space="0" w:color="auto"/>
                <w:bottom w:val="none" w:sz="0" w:space="0" w:color="auto"/>
                <w:right w:val="none" w:sz="0" w:space="0" w:color="auto"/>
              </w:divBdr>
            </w:div>
            <w:div w:id="406537618">
              <w:marLeft w:val="0"/>
              <w:marRight w:val="0"/>
              <w:marTop w:val="0"/>
              <w:marBottom w:val="0"/>
              <w:divBdr>
                <w:top w:val="none" w:sz="0" w:space="0" w:color="auto"/>
                <w:left w:val="none" w:sz="0" w:space="0" w:color="auto"/>
                <w:bottom w:val="none" w:sz="0" w:space="0" w:color="auto"/>
                <w:right w:val="none" w:sz="0" w:space="0" w:color="auto"/>
              </w:divBdr>
            </w:div>
            <w:div w:id="22295450">
              <w:marLeft w:val="0"/>
              <w:marRight w:val="0"/>
              <w:marTop w:val="0"/>
              <w:marBottom w:val="0"/>
              <w:divBdr>
                <w:top w:val="none" w:sz="0" w:space="0" w:color="auto"/>
                <w:left w:val="none" w:sz="0" w:space="0" w:color="auto"/>
                <w:bottom w:val="none" w:sz="0" w:space="0" w:color="auto"/>
                <w:right w:val="none" w:sz="0" w:space="0" w:color="auto"/>
              </w:divBdr>
            </w:div>
            <w:div w:id="853424226">
              <w:marLeft w:val="0"/>
              <w:marRight w:val="0"/>
              <w:marTop w:val="0"/>
              <w:marBottom w:val="0"/>
              <w:divBdr>
                <w:top w:val="none" w:sz="0" w:space="0" w:color="auto"/>
                <w:left w:val="none" w:sz="0" w:space="0" w:color="auto"/>
                <w:bottom w:val="none" w:sz="0" w:space="0" w:color="auto"/>
                <w:right w:val="none" w:sz="0" w:space="0" w:color="auto"/>
              </w:divBdr>
            </w:div>
            <w:div w:id="471823593">
              <w:marLeft w:val="0"/>
              <w:marRight w:val="0"/>
              <w:marTop w:val="0"/>
              <w:marBottom w:val="0"/>
              <w:divBdr>
                <w:top w:val="none" w:sz="0" w:space="0" w:color="auto"/>
                <w:left w:val="none" w:sz="0" w:space="0" w:color="auto"/>
                <w:bottom w:val="none" w:sz="0" w:space="0" w:color="auto"/>
                <w:right w:val="none" w:sz="0" w:space="0" w:color="auto"/>
              </w:divBdr>
            </w:div>
            <w:div w:id="1119643039">
              <w:marLeft w:val="0"/>
              <w:marRight w:val="0"/>
              <w:marTop w:val="0"/>
              <w:marBottom w:val="0"/>
              <w:divBdr>
                <w:top w:val="none" w:sz="0" w:space="0" w:color="auto"/>
                <w:left w:val="none" w:sz="0" w:space="0" w:color="auto"/>
                <w:bottom w:val="none" w:sz="0" w:space="0" w:color="auto"/>
                <w:right w:val="none" w:sz="0" w:space="0" w:color="auto"/>
              </w:divBdr>
            </w:div>
            <w:div w:id="437986174">
              <w:marLeft w:val="0"/>
              <w:marRight w:val="0"/>
              <w:marTop w:val="0"/>
              <w:marBottom w:val="0"/>
              <w:divBdr>
                <w:top w:val="none" w:sz="0" w:space="0" w:color="auto"/>
                <w:left w:val="none" w:sz="0" w:space="0" w:color="auto"/>
                <w:bottom w:val="none" w:sz="0" w:space="0" w:color="auto"/>
                <w:right w:val="none" w:sz="0" w:space="0" w:color="auto"/>
              </w:divBdr>
            </w:div>
            <w:div w:id="508183784">
              <w:marLeft w:val="0"/>
              <w:marRight w:val="0"/>
              <w:marTop w:val="0"/>
              <w:marBottom w:val="0"/>
              <w:divBdr>
                <w:top w:val="none" w:sz="0" w:space="0" w:color="auto"/>
                <w:left w:val="none" w:sz="0" w:space="0" w:color="auto"/>
                <w:bottom w:val="none" w:sz="0" w:space="0" w:color="auto"/>
                <w:right w:val="none" w:sz="0" w:space="0" w:color="auto"/>
              </w:divBdr>
            </w:div>
            <w:div w:id="566694842">
              <w:marLeft w:val="0"/>
              <w:marRight w:val="0"/>
              <w:marTop w:val="0"/>
              <w:marBottom w:val="0"/>
              <w:divBdr>
                <w:top w:val="none" w:sz="0" w:space="0" w:color="auto"/>
                <w:left w:val="none" w:sz="0" w:space="0" w:color="auto"/>
                <w:bottom w:val="none" w:sz="0" w:space="0" w:color="auto"/>
                <w:right w:val="none" w:sz="0" w:space="0" w:color="auto"/>
              </w:divBdr>
            </w:div>
            <w:div w:id="1731269693">
              <w:marLeft w:val="0"/>
              <w:marRight w:val="0"/>
              <w:marTop w:val="0"/>
              <w:marBottom w:val="0"/>
              <w:divBdr>
                <w:top w:val="none" w:sz="0" w:space="0" w:color="auto"/>
                <w:left w:val="none" w:sz="0" w:space="0" w:color="auto"/>
                <w:bottom w:val="none" w:sz="0" w:space="0" w:color="auto"/>
                <w:right w:val="none" w:sz="0" w:space="0" w:color="auto"/>
              </w:divBdr>
            </w:div>
            <w:div w:id="2054377011">
              <w:marLeft w:val="0"/>
              <w:marRight w:val="0"/>
              <w:marTop w:val="0"/>
              <w:marBottom w:val="0"/>
              <w:divBdr>
                <w:top w:val="none" w:sz="0" w:space="0" w:color="auto"/>
                <w:left w:val="none" w:sz="0" w:space="0" w:color="auto"/>
                <w:bottom w:val="none" w:sz="0" w:space="0" w:color="auto"/>
                <w:right w:val="none" w:sz="0" w:space="0" w:color="auto"/>
              </w:divBdr>
            </w:div>
            <w:div w:id="338853115">
              <w:marLeft w:val="0"/>
              <w:marRight w:val="0"/>
              <w:marTop w:val="0"/>
              <w:marBottom w:val="0"/>
              <w:divBdr>
                <w:top w:val="none" w:sz="0" w:space="0" w:color="auto"/>
                <w:left w:val="none" w:sz="0" w:space="0" w:color="auto"/>
                <w:bottom w:val="none" w:sz="0" w:space="0" w:color="auto"/>
                <w:right w:val="none" w:sz="0" w:space="0" w:color="auto"/>
              </w:divBdr>
            </w:div>
            <w:div w:id="1425373740">
              <w:marLeft w:val="0"/>
              <w:marRight w:val="0"/>
              <w:marTop w:val="0"/>
              <w:marBottom w:val="0"/>
              <w:divBdr>
                <w:top w:val="none" w:sz="0" w:space="0" w:color="auto"/>
                <w:left w:val="none" w:sz="0" w:space="0" w:color="auto"/>
                <w:bottom w:val="none" w:sz="0" w:space="0" w:color="auto"/>
                <w:right w:val="none" w:sz="0" w:space="0" w:color="auto"/>
              </w:divBdr>
            </w:div>
            <w:div w:id="85927591">
              <w:marLeft w:val="0"/>
              <w:marRight w:val="0"/>
              <w:marTop w:val="0"/>
              <w:marBottom w:val="0"/>
              <w:divBdr>
                <w:top w:val="none" w:sz="0" w:space="0" w:color="auto"/>
                <w:left w:val="none" w:sz="0" w:space="0" w:color="auto"/>
                <w:bottom w:val="none" w:sz="0" w:space="0" w:color="auto"/>
                <w:right w:val="none" w:sz="0" w:space="0" w:color="auto"/>
              </w:divBdr>
            </w:div>
            <w:div w:id="1749762127">
              <w:marLeft w:val="0"/>
              <w:marRight w:val="0"/>
              <w:marTop w:val="0"/>
              <w:marBottom w:val="0"/>
              <w:divBdr>
                <w:top w:val="none" w:sz="0" w:space="0" w:color="auto"/>
                <w:left w:val="none" w:sz="0" w:space="0" w:color="auto"/>
                <w:bottom w:val="none" w:sz="0" w:space="0" w:color="auto"/>
                <w:right w:val="none" w:sz="0" w:space="0" w:color="auto"/>
              </w:divBdr>
            </w:div>
            <w:div w:id="779763432">
              <w:marLeft w:val="0"/>
              <w:marRight w:val="0"/>
              <w:marTop w:val="0"/>
              <w:marBottom w:val="0"/>
              <w:divBdr>
                <w:top w:val="none" w:sz="0" w:space="0" w:color="auto"/>
                <w:left w:val="none" w:sz="0" w:space="0" w:color="auto"/>
                <w:bottom w:val="none" w:sz="0" w:space="0" w:color="auto"/>
                <w:right w:val="none" w:sz="0" w:space="0" w:color="auto"/>
              </w:divBdr>
            </w:div>
            <w:div w:id="1496148646">
              <w:marLeft w:val="0"/>
              <w:marRight w:val="0"/>
              <w:marTop w:val="0"/>
              <w:marBottom w:val="0"/>
              <w:divBdr>
                <w:top w:val="none" w:sz="0" w:space="0" w:color="auto"/>
                <w:left w:val="none" w:sz="0" w:space="0" w:color="auto"/>
                <w:bottom w:val="none" w:sz="0" w:space="0" w:color="auto"/>
                <w:right w:val="none" w:sz="0" w:space="0" w:color="auto"/>
              </w:divBdr>
            </w:div>
            <w:div w:id="164516870">
              <w:marLeft w:val="0"/>
              <w:marRight w:val="0"/>
              <w:marTop w:val="0"/>
              <w:marBottom w:val="0"/>
              <w:divBdr>
                <w:top w:val="none" w:sz="0" w:space="0" w:color="auto"/>
                <w:left w:val="none" w:sz="0" w:space="0" w:color="auto"/>
                <w:bottom w:val="none" w:sz="0" w:space="0" w:color="auto"/>
                <w:right w:val="none" w:sz="0" w:space="0" w:color="auto"/>
              </w:divBdr>
            </w:div>
            <w:div w:id="2099907907">
              <w:marLeft w:val="0"/>
              <w:marRight w:val="0"/>
              <w:marTop w:val="0"/>
              <w:marBottom w:val="0"/>
              <w:divBdr>
                <w:top w:val="none" w:sz="0" w:space="0" w:color="auto"/>
                <w:left w:val="none" w:sz="0" w:space="0" w:color="auto"/>
                <w:bottom w:val="none" w:sz="0" w:space="0" w:color="auto"/>
                <w:right w:val="none" w:sz="0" w:space="0" w:color="auto"/>
              </w:divBdr>
            </w:div>
            <w:div w:id="1346051557">
              <w:marLeft w:val="0"/>
              <w:marRight w:val="0"/>
              <w:marTop w:val="0"/>
              <w:marBottom w:val="0"/>
              <w:divBdr>
                <w:top w:val="none" w:sz="0" w:space="0" w:color="auto"/>
                <w:left w:val="none" w:sz="0" w:space="0" w:color="auto"/>
                <w:bottom w:val="none" w:sz="0" w:space="0" w:color="auto"/>
                <w:right w:val="none" w:sz="0" w:space="0" w:color="auto"/>
              </w:divBdr>
            </w:div>
            <w:div w:id="1556816857">
              <w:marLeft w:val="0"/>
              <w:marRight w:val="0"/>
              <w:marTop w:val="0"/>
              <w:marBottom w:val="0"/>
              <w:divBdr>
                <w:top w:val="none" w:sz="0" w:space="0" w:color="auto"/>
                <w:left w:val="none" w:sz="0" w:space="0" w:color="auto"/>
                <w:bottom w:val="none" w:sz="0" w:space="0" w:color="auto"/>
                <w:right w:val="none" w:sz="0" w:space="0" w:color="auto"/>
              </w:divBdr>
            </w:div>
            <w:div w:id="1078403733">
              <w:marLeft w:val="0"/>
              <w:marRight w:val="0"/>
              <w:marTop w:val="0"/>
              <w:marBottom w:val="0"/>
              <w:divBdr>
                <w:top w:val="none" w:sz="0" w:space="0" w:color="auto"/>
                <w:left w:val="none" w:sz="0" w:space="0" w:color="auto"/>
                <w:bottom w:val="none" w:sz="0" w:space="0" w:color="auto"/>
                <w:right w:val="none" w:sz="0" w:space="0" w:color="auto"/>
              </w:divBdr>
            </w:div>
            <w:div w:id="1285573655">
              <w:marLeft w:val="0"/>
              <w:marRight w:val="0"/>
              <w:marTop w:val="0"/>
              <w:marBottom w:val="0"/>
              <w:divBdr>
                <w:top w:val="none" w:sz="0" w:space="0" w:color="auto"/>
                <w:left w:val="none" w:sz="0" w:space="0" w:color="auto"/>
                <w:bottom w:val="none" w:sz="0" w:space="0" w:color="auto"/>
                <w:right w:val="none" w:sz="0" w:space="0" w:color="auto"/>
              </w:divBdr>
            </w:div>
            <w:div w:id="1064135725">
              <w:marLeft w:val="0"/>
              <w:marRight w:val="0"/>
              <w:marTop w:val="0"/>
              <w:marBottom w:val="0"/>
              <w:divBdr>
                <w:top w:val="none" w:sz="0" w:space="0" w:color="auto"/>
                <w:left w:val="none" w:sz="0" w:space="0" w:color="auto"/>
                <w:bottom w:val="none" w:sz="0" w:space="0" w:color="auto"/>
                <w:right w:val="none" w:sz="0" w:space="0" w:color="auto"/>
              </w:divBdr>
            </w:div>
            <w:div w:id="567376255">
              <w:marLeft w:val="0"/>
              <w:marRight w:val="0"/>
              <w:marTop w:val="0"/>
              <w:marBottom w:val="0"/>
              <w:divBdr>
                <w:top w:val="none" w:sz="0" w:space="0" w:color="auto"/>
                <w:left w:val="none" w:sz="0" w:space="0" w:color="auto"/>
                <w:bottom w:val="none" w:sz="0" w:space="0" w:color="auto"/>
                <w:right w:val="none" w:sz="0" w:space="0" w:color="auto"/>
              </w:divBdr>
            </w:div>
            <w:div w:id="390232004">
              <w:marLeft w:val="0"/>
              <w:marRight w:val="0"/>
              <w:marTop w:val="0"/>
              <w:marBottom w:val="0"/>
              <w:divBdr>
                <w:top w:val="none" w:sz="0" w:space="0" w:color="auto"/>
                <w:left w:val="none" w:sz="0" w:space="0" w:color="auto"/>
                <w:bottom w:val="none" w:sz="0" w:space="0" w:color="auto"/>
                <w:right w:val="none" w:sz="0" w:space="0" w:color="auto"/>
              </w:divBdr>
            </w:div>
            <w:div w:id="1013997854">
              <w:marLeft w:val="0"/>
              <w:marRight w:val="0"/>
              <w:marTop w:val="0"/>
              <w:marBottom w:val="0"/>
              <w:divBdr>
                <w:top w:val="none" w:sz="0" w:space="0" w:color="auto"/>
                <w:left w:val="none" w:sz="0" w:space="0" w:color="auto"/>
                <w:bottom w:val="none" w:sz="0" w:space="0" w:color="auto"/>
                <w:right w:val="none" w:sz="0" w:space="0" w:color="auto"/>
              </w:divBdr>
            </w:div>
            <w:div w:id="1401751567">
              <w:marLeft w:val="0"/>
              <w:marRight w:val="0"/>
              <w:marTop w:val="0"/>
              <w:marBottom w:val="0"/>
              <w:divBdr>
                <w:top w:val="none" w:sz="0" w:space="0" w:color="auto"/>
                <w:left w:val="none" w:sz="0" w:space="0" w:color="auto"/>
                <w:bottom w:val="none" w:sz="0" w:space="0" w:color="auto"/>
                <w:right w:val="none" w:sz="0" w:space="0" w:color="auto"/>
              </w:divBdr>
            </w:div>
            <w:div w:id="921835324">
              <w:marLeft w:val="0"/>
              <w:marRight w:val="0"/>
              <w:marTop w:val="0"/>
              <w:marBottom w:val="0"/>
              <w:divBdr>
                <w:top w:val="none" w:sz="0" w:space="0" w:color="auto"/>
                <w:left w:val="none" w:sz="0" w:space="0" w:color="auto"/>
                <w:bottom w:val="none" w:sz="0" w:space="0" w:color="auto"/>
                <w:right w:val="none" w:sz="0" w:space="0" w:color="auto"/>
              </w:divBdr>
            </w:div>
            <w:div w:id="1814910025">
              <w:marLeft w:val="0"/>
              <w:marRight w:val="0"/>
              <w:marTop w:val="0"/>
              <w:marBottom w:val="0"/>
              <w:divBdr>
                <w:top w:val="none" w:sz="0" w:space="0" w:color="auto"/>
                <w:left w:val="none" w:sz="0" w:space="0" w:color="auto"/>
                <w:bottom w:val="none" w:sz="0" w:space="0" w:color="auto"/>
                <w:right w:val="none" w:sz="0" w:space="0" w:color="auto"/>
              </w:divBdr>
            </w:div>
            <w:div w:id="430668482">
              <w:marLeft w:val="0"/>
              <w:marRight w:val="0"/>
              <w:marTop w:val="0"/>
              <w:marBottom w:val="0"/>
              <w:divBdr>
                <w:top w:val="none" w:sz="0" w:space="0" w:color="auto"/>
                <w:left w:val="none" w:sz="0" w:space="0" w:color="auto"/>
                <w:bottom w:val="none" w:sz="0" w:space="0" w:color="auto"/>
                <w:right w:val="none" w:sz="0" w:space="0" w:color="auto"/>
              </w:divBdr>
            </w:div>
            <w:div w:id="152332591">
              <w:marLeft w:val="0"/>
              <w:marRight w:val="0"/>
              <w:marTop w:val="0"/>
              <w:marBottom w:val="0"/>
              <w:divBdr>
                <w:top w:val="none" w:sz="0" w:space="0" w:color="auto"/>
                <w:left w:val="none" w:sz="0" w:space="0" w:color="auto"/>
                <w:bottom w:val="none" w:sz="0" w:space="0" w:color="auto"/>
                <w:right w:val="none" w:sz="0" w:space="0" w:color="auto"/>
              </w:divBdr>
            </w:div>
            <w:div w:id="1331563719">
              <w:marLeft w:val="0"/>
              <w:marRight w:val="0"/>
              <w:marTop w:val="0"/>
              <w:marBottom w:val="0"/>
              <w:divBdr>
                <w:top w:val="none" w:sz="0" w:space="0" w:color="auto"/>
                <w:left w:val="none" w:sz="0" w:space="0" w:color="auto"/>
                <w:bottom w:val="none" w:sz="0" w:space="0" w:color="auto"/>
                <w:right w:val="none" w:sz="0" w:space="0" w:color="auto"/>
              </w:divBdr>
            </w:div>
            <w:div w:id="896670817">
              <w:marLeft w:val="0"/>
              <w:marRight w:val="0"/>
              <w:marTop w:val="0"/>
              <w:marBottom w:val="0"/>
              <w:divBdr>
                <w:top w:val="none" w:sz="0" w:space="0" w:color="auto"/>
                <w:left w:val="none" w:sz="0" w:space="0" w:color="auto"/>
                <w:bottom w:val="none" w:sz="0" w:space="0" w:color="auto"/>
                <w:right w:val="none" w:sz="0" w:space="0" w:color="auto"/>
              </w:divBdr>
            </w:div>
            <w:div w:id="1203637657">
              <w:marLeft w:val="0"/>
              <w:marRight w:val="0"/>
              <w:marTop w:val="0"/>
              <w:marBottom w:val="0"/>
              <w:divBdr>
                <w:top w:val="none" w:sz="0" w:space="0" w:color="auto"/>
                <w:left w:val="none" w:sz="0" w:space="0" w:color="auto"/>
                <w:bottom w:val="none" w:sz="0" w:space="0" w:color="auto"/>
                <w:right w:val="none" w:sz="0" w:space="0" w:color="auto"/>
              </w:divBdr>
            </w:div>
            <w:div w:id="858196468">
              <w:marLeft w:val="0"/>
              <w:marRight w:val="0"/>
              <w:marTop w:val="0"/>
              <w:marBottom w:val="0"/>
              <w:divBdr>
                <w:top w:val="none" w:sz="0" w:space="0" w:color="auto"/>
                <w:left w:val="none" w:sz="0" w:space="0" w:color="auto"/>
                <w:bottom w:val="none" w:sz="0" w:space="0" w:color="auto"/>
                <w:right w:val="none" w:sz="0" w:space="0" w:color="auto"/>
              </w:divBdr>
            </w:div>
            <w:div w:id="1597521760">
              <w:marLeft w:val="0"/>
              <w:marRight w:val="0"/>
              <w:marTop w:val="0"/>
              <w:marBottom w:val="0"/>
              <w:divBdr>
                <w:top w:val="none" w:sz="0" w:space="0" w:color="auto"/>
                <w:left w:val="none" w:sz="0" w:space="0" w:color="auto"/>
                <w:bottom w:val="none" w:sz="0" w:space="0" w:color="auto"/>
                <w:right w:val="none" w:sz="0" w:space="0" w:color="auto"/>
              </w:divBdr>
            </w:div>
            <w:div w:id="1865054944">
              <w:marLeft w:val="0"/>
              <w:marRight w:val="0"/>
              <w:marTop w:val="0"/>
              <w:marBottom w:val="0"/>
              <w:divBdr>
                <w:top w:val="none" w:sz="0" w:space="0" w:color="auto"/>
                <w:left w:val="none" w:sz="0" w:space="0" w:color="auto"/>
                <w:bottom w:val="none" w:sz="0" w:space="0" w:color="auto"/>
                <w:right w:val="none" w:sz="0" w:space="0" w:color="auto"/>
              </w:divBdr>
            </w:div>
            <w:div w:id="157037720">
              <w:marLeft w:val="0"/>
              <w:marRight w:val="0"/>
              <w:marTop w:val="0"/>
              <w:marBottom w:val="0"/>
              <w:divBdr>
                <w:top w:val="none" w:sz="0" w:space="0" w:color="auto"/>
                <w:left w:val="none" w:sz="0" w:space="0" w:color="auto"/>
                <w:bottom w:val="none" w:sz="0" w:space="0" w:color="auto"/>
                <w:right w:val="none" w:sz="0" w:space="0" w:color="auto"/>
              </w:divBdr>
            </w:div>
            <w:div w:id="890573823">
              <w:marLeft w:val="0"/>
              <w:marRight w:val="0"/>
              <w:marTop w:val="0"/>
              <w:marBottom w:val="0"/>
              <w:divBdr>
                <w:top w:val="none" w:sz="0" w:space="0" w:color="auto"/>
                <w:left w:val="none" w:sz="0" w:space="0" w:color="auto"/>
                <w:bottom w:val="none" w:sz="0" w:space="0" w:color="auto"/>
                <w:right w:val="none" w:sz="0" w:space="0" w:color="auto"/>
              </w:divBdr>
            </w:div>
            <w:div w:id="817957737">
              <w:marLeft w:val="0"/>
              <w:marRight w:val="0"/>
              <w:marTop w:val="0"/>
              <w:marBottom w:val="0"/>
              <w:divBdr>
                <w:top w:val="none" w:sz="0" w:space="0" w:color="auto"/>
                <w:left w:val="none" w:sz="0" w:space="0" w:color="auto"/>
                <w:bottom w:val="none" w:sz="0" w:space="0" w:color="auto"/>
                <w:right w:val="none" w:sz="0" w:space="0" w:color="auto"/>
              </w:divBdr>
            </w:div>
            <w:div w:id="1171603040">
              <w:marLeft w:val="0"/>
              <w:marRight w:val="0"/>
              <w:marTop w:val="0"/>
              <w:marBottom w:val="0"/>
              <w:divBdr>
                <w:top w:val="none" w:sz="0" w:space="0" w:color="auto"/>
                <w:left w:val="none" w:sz="0" w:space="0" w:color="auto"/>
                <w:bottom w:val="none" w:sz="0" w:space="0" w:color="auto"/>
                <w:right w:val="none" w:sz="0" w:space="0" w:color="auto"/>
              </w:divBdr>
            </w:div>
            <w:div w:id="181745398">
              <w:marLeft w:val="0"/>
              <w:marRight w:val="0"/>
              <w:marTop w:val="0"/>
              <w:marBottom w:val="0"/>
              <w:divBdr>
                <w:top w:val="none" w:sz="0" w:space="0" w:color="auto"/>
                <w:left w:val="none" w:sz="0" w:space="0" w:color="auto"/>
                <w:bottom w:val="none" w:sz="0" w:space="0" w:color="auto"/>
                <w:right w:val="none" w:sz="0" w:space="0" w:color="auto"/>
              </w:divBdr>
            </w:div>
            <w:div w:id="552692059">
              <w:marLeft w:val="0"/>
              <w:marRight w:val="0"/>
              <w:marTop w:val="0"/>
              <w:marBottom w:val="0"/>
              <w:divBdr>
                <w:top w:val="none" w:sz="0" w:space="0" w:color="auto"/>
                <w:left w:val="none" w:sz="0" w:space="0" w:color="auto"/>
                <w:bottom w:val="none" w:sz="0" w:space="0" w:color="auto"/>
                <w:right w:val="none" w:sz="0" w:space="0" w:color="auto"/>
              </w:divBdr>
            </w:div>
            <w:div w:id="2082751352">
              <w:marLeft w:val="0"/>
              <w:marRight w:val="0"/>
              <w:marTop w:val="0"/>
              <w:marBottom w:val="0"/>
              <w:divBdr>
                <w:top w:val="none" w:sz="0" w:space="0" w:color="auto"/>
                <w:left w:val="none" w:sz="0" w:space="0" w:color="auto"/>
                <w:bottom w:val="none" w:sz="0" w:space="0" w:color="auto"/>
                <w:right w:val="none" w:sz="0" w:space="0" w:color="auto"/>
              </w:divBdr>
            </w:div>
            <w:div w:id="2045475983">
              <w:marLeft w:val="0"/>
              <w:marRight w:val="0"/>
              <w:marTop w:val="0"/>
              <w:marBottom w:val="0"/>
              <w:divBdr>
                <w:top w:val="none" w:sz="0" w:space="0" w:color="auto"/>
                <w:left w:val="none" w:sz="0" w:space="0" w:color="auto"/>
                <w:bottom w:val="none" w:sz="0" w:space="0" w:color="auto"/>
                <w:right w:val="none" w:sz="0" w:space="0" w:color="auto"/>
              </w:divBdr>
            </w:div>
            <w:div w:id="445580676">
              <w:marLeft w:val="0"/>
              <w:marRight w:val="0"/>
              <w:marTop w:val="0"/>
              <w:marBottom w:val="0"/>
              <w:divBdr>
                <w:top w:val="none" w:sz="0" w:space="0" w:color="auto"/>
                <w:left w:val="none" w:sz="0" w:space="0" w:color="auto"/>
                <w:bottom w:val="none" w:sz="0" w:space="0" w:color="auto"/>
                <w:right w:val="none" w:sz="0" w:space="0" w:color="auto"/>
              </w:divBdr>
            </w:div>
            <w:div w:id="582033967">
              <w:marLeft w:val="0"/>
              <w:marRight w:val="0"/>
              <w:marTop w:val="0"/>
              <w:marBottom w:val="0"/>
              <w:divBdr>
                <w:top w:val="none" w:sz="0" w:space="0" w:color="auto"/>
                <w:left w:val="none" w:sz="0" w:space="0" w:color="auto"/>
                <w:bottom w:val="none" w:sz="0" w:space="0" w:color="auto"/>
                <w:right w:val="none" w:sz="0" w:space="0" w:color="auto"/>
              </w:divBdr>
            </w:div>
            <w:div w:id="67768645">
              <w:marLeft w:val="0"/>
              <w:marRight w:val="0"/>
              <w:marTop w:val="0"/>
              <w:marBottom w:val="0"/>
              <w:divBdr>
                <w:top w:val="none" w:sz="0" w:space="0" w:color="auto"/>
                <w:left w:val="none" w:sz="0" w:space="0" w:color="auto"/>
                <w:bottom w:val="none" w:sz="0" w:space="0" w:color="auto"/>
                <w:right w:val="none" w:sz="0" w:space="0" w:color="auto"/>
              </w:divBdr>
            </w:div>
            <w:div w:id="151528972">
              <w:marLeft w:val="0"/>
              <w:marRight w:val="0"/>
              <w:marTop w:val="0"/>
              <w:marBottom w:val="0"/>
              <w:divBdr>
                <w:top w:val="none" w:sz="0" w:space="0" w:color="auto"/>
                <w:left w:val="none" w:sz="0" w:space="0" w:color="auto"/>
                <w:bottom w:val="none" w:sz="0" w:space="0" w:color="auto"/>
                <w:right w:val="none" w:sz="0" w:space="0" w:color="auto"/>
              </w:divBdr>
            </w:div>
            <w:div w:id="675034281">
              <w:marLeft w:val="0"/>
              <w:marRight w:val="0"/>
              <w:marTop w:val="0"/>
              <w:marBottom w:val="0"/>
              <w:divBdr>
                <w:top w:val="none" w:sz="0" w:space="0" w:color="auto"/>
                <w:left w:val="none" w:sz="0" w:space="0" w:color="auto"/>
                <w:bottom w:val="none" w:sz="0" w:space="0" w:color="auto"/>
                <w:right w:val="none" w:sz="0" w:space="0" w:color="auto"/>
              </w:divBdr>
            </w:div>
            <w:div w:id="1626816621">
              <w:marLeft w:val="0"/>
              <w:marRight w:val="0"/>
              <w:marTop w:val="0"/>
              <w:marBottom w:val="0"/>
              <w:divBdr>
                <w:top w:val="none" w:sz="0" w:space="0" w:color="auto"/>
                <w:left w:val="none" w:sz="0" w:space="0" w:color="auto"/>
                <w:bottom w:val="none" w:sz="0" w:space="0" w:color="auto"/>
                <w:right w:val="none" w:sz="0" w:space="0" w:color="auto"/>
              </w:divBdr>
            </w:div>
            <w:div w:id="661659412">
              <w:marLeft w:val="0"/>
              <w:marRight w:val="0"/>
              <w:marTop w:val="0"/>
              <w:marBottom w:val="0"/>
              <w:divBdr>
                <w:top w:val="none" w:sz="0" w:space="0" w:color="auto"/>
                <w:left w:val="none" w:sz="0" w:space="0" w:color="auto"/>
                <w:bottom w:val="none" w:sz="0" w:space="0" w:color="auto"/>
                <w:right w:val="none" w:sz="0" w:space="0" w:color="auto"/>
              </w:divBdr>
            </w:div>
            <w:div w:id="1661882910">
              <w:marLeft w:val="0"/>
              <w:marRight w:val="0"/>
              <w:marTop w:val="0"/>
              <w:marBottom w:val="0"/>
              <w:divBdr>
                <w:top w:val="none" w:sz="0" w:space="0" w:color="auto"/>
                <w:left w:val="none" w:sz="0" w:space="0" w:color="auto"/>
                <w:bottom w:val="none" w:sz="0" w:space="0" w:color="auto"/>
                <w:right w:val="none" w:sz="0" w:space="0" w:color="auto"/>
              </w:divBdr>
            </w:div>
            <w:div w:id="1996641426">
              <w:marLeft w:val="0"/>
              <w:marRight w:val="0"/>
              <w:marTop w:val="0"/>
              <w:marBottom w:val="0"/>
              <w:divBdr>
                <w:top w:val="none" w:sz="0" w:space="0" w:color="auto"/>
                <w:left w:val="none" w:sz="0" w:space="0" w:color="auto"/>
                <w:bottom w:val="none" w:sz="0" w:space="0" w:color="auto"/>
                <w:right w:val="none" w:sz="0" w:space="0" w:color="auto"/>
              </w:divBdr>
            </w:div>
            <w:div w:id="76481216">
              <w:marLeft w:val="0"/>
              <w:marRight w:val="0"/>
              <w:marTop w:val="0"/>
              <w:marBottom w:val="0"/>
              <w:divBdr>
                <w:top w:val="none" w:sz="0" w:space="0" w:color="auto"/>
                <w:left w:val="none" w:sz="0" w:space="0" w:color="auto"/>
                <w:bottom w:val="none" w:sz="0" w:space="0" w:color="auto"/>
                <w:right w:val="none" w:sz="0" w:space="0" w:color="auto"/>
              </w:divBdr>
            </w:div>
            <w:div w:id="9183143">
              <w:marLeft w:val="0"/>
              <w:marRight w:val="0"/>
              <w:marTop w:val="0"/>
              <w:marBottom w:val="0"/>
              <w:divBdr>
                <w:top w:val="none" w:sz="0" w:space="0" w:color="auto"/>
                <w:left w:val="none" w:sz="0" w:space="0" w:color="auto"/>
                <w:bottom w:val="none" w:sz="0" w:space="0" w:color="auto"/>
                <w:right w:val="none" w:sz="0" w:space="0" w:color="auto"/>
              </w:divBdr>
            </w:div>
            <w:div w:id="1586185336">
              <w:marLeft w:val="0"/>
              <w:marRight w:val="0"/>
              <w:marTop w:val="0"/>
              <w:marBottom w:val="0"/>
              <w:divBdr>
                <w:top w:val="none" w:sz="0" w:space="0" w:color="auto"/>
                <w:left w:val="none" w:sz="0" w:space="0" w:color="auto"/>
                <w:bottom w:val="none" w:sz="0" w:space="0" w:color="auto"/>
                <w:right w:val="none" w:sz="0" w:space="0" w:color="auto"/>
              </w:divBdr>
            </w:div>
            <w:div w:id="1059742378">
              <w:marLeft w:val="0"/>
              <w:marRight w:val="0"/>
              <w:marTop w:val="0"/>
              <w:marBottom w:val="0"/>
              <w:divBdr>
                <w:top w:val="none" w:sz="0" w:space="0" w:color="auto"/>
                <w:left w:val="none" w:sz="0" w:space="0" w:color="auto"/>
                <w:bottom w:val="none" w:sz="0" w:space="0" w:color="auto"/>
                <w:right w:val="none" w:sz="0" w:space="0" w:color="auto"/>
              </w:divBdr>
            </w:div>
            <w:div w:id="654846450">
              <w:marLeft w:val="0"/>
              <w:marRight w:val="0"/>
              <w:marTop w:val="0"/>
              <w:marBottom w:val="0"/>
              <w:divBdr>
                <w:top w:val="none" w:sz="0" w:space="0" w:color="auto"/>
                <w:left w:val="none" w:sz="0" w:space="0" w:color="auto"/>
                <w:bottom w:val="none" w:sz="0" w:space="0" w:color="auto"/>
                <w:right w:val="none" w:sz="0" w:space="0" w:color="auto"/>
              </w:divBdr>
            </w:div>
            <w:div w:id="1295018877">
              <w:marLeft w:val="0"/>
              <w:marRight w:val="0"/>
              <w:marTop w:val="0"/>
              <w:marBottom w:val="0"/>
              <w:divBdr>
                <w:top w:val="none" w:sz="0" w:space="0" w:color="auto"/>
                <w:left w:val="none" w:sz="0" w:space="0" w:color="auto"/>
                <w:bottom w:val="none" w:sz="0" w:space="0" w:color="auto"/>
                <w:right w:val="none" w:sz="0" w:space="0" w:color="auto"/>
              </w:divBdr>
            </w:div>
            <w:div w:id="866866140">
              <w:marLeft w:val="0"/>
              <w:marRight w:val="0"/>
              <w:marTop w:val="0"/>
              <w:marBottom w:val="0"/>
              <w:divBdr>
                <w:top w:val="none" w:sz="0" w:space="0" w:color="auto"/>
                <w:left w:val="none" w:sz="0" w:space="0" w:color="auto"/>
                <w:bottom w:val="none" w:sz="0" w:space="0" w:color="auto"/>
                <w:right w:val="none" w:sz="0" w:space="0" w:color="auto"/>
              </w:divBdr>
            </w:div>
            <w:div w:id="923680746">
              <w:marLeft w:val="0"/>
              <w:marRight w:val="0"/>
              <w:marTop w:val="0"/>
              <w:marBottom w:val="0"/>
              <w:divBdr>
                <w:top w:val="none" w:sz="0" w:space="0" w:color="auto"/>
                <w:left w:val="none" w:sz="0" w:space="0" w:color="auto"/>
                <w:bottom w:val="none" w:sz="0" w:space="0" w:color="auto"/>
                <w:right w:val="none" w:sz="0" w:space="0" w:color="auto"/>
              </w:divBdr>
            </w:div>
            <w:div w:id="124932294">
              <w:marLeft w:val="0"/>
              <w:marRight w:val="0"/>
              <w:marTop w:val="0"/>
              <w:marBottom w:val="0"/>
              <w:divBdr>
                <w:top w:val="none" w:sz="0" w:space="0" w:color="auto"/>
                <w:left w:val="none" w:sz="0" w:space="0" w:color="auto"/>
                <w:bottom w:val="none" w:sz="0" w:space="0" w:color="auto"/>
                <w:right w:val="none" w:sz="0" w:space="0" w:color="auto"/>
              </w:divBdr>
            </w:div>
            <w:div w:id="1455439413">
              <w:marLeft w:val="0"/>
              <w:marRight w:val="0"/>
              <w:marTop w:val="0"/>
              <w:marBottom w:val="0"/>
              <w:divBdr>
                <w:top w:val="none" w:sz="0" w:space="0" w:color="auto"/>
                <w:left w:val="none" w:sz="0" w:space="0" w:color="auto"/>
                <w:bottom w:val="none" w:sz="0" w:space="0" w:color="auto"/>
                <w:right w:val="none" w:sz="0" w:space="0" w:color="auto"/>
              </w:divBdr>
            </w:div>
            <w:div w:id="409157511">
              <w:marLeft w:val="0"/>
              <w:marRight w:val="0"/>
              <w:marTop w:val="0"/>
              <w:marBottom w:val="0"/>
              <w:divBdr>
                <w:top w:val="none" w:sz="0" w:space="0" w:color="auto"/>
                <w:left w:val="none" w:sz="0" w:space="0" w:color="auto"/>
                <w:bottom w:val="none" w:sz="0" w:space="0" w:color="auto"/>
                <w:right w:val="none" w:sz="0" w:space="0" w:color="auto"/>
              </w:divBdr>
            </w:div>
            <w:div w:id="1022433507">
              <w:marLeft w:val="0"/>
              <w:marRight w:val="0"/>
              <w:marTop w:val="0"/>
              <w:marBottom w:val="0"/>
              <w:divBdr>
                <w:top w:val="none" w:sz="0" w:space="0" w:color="auto"/>
                <w:left w:val="none" w:sz="0" w:space="0" w:color="auto"/>
                <w:bottom w:val="none" w:sz="0" w:space="0" w:color="auto"/>
                <w:right w:val="none" w:sz="0" w:space="0" w:color="auto"/>
              </w:divBdr>
            </w:div>
            <w:div w:id="966199429">
              <w:marLeft w:val="0"/>
              <w:marRight w:val="0"/>
              <w:marTop w:val="0"/>
              <w:marBottom w:val="0"/>
              <w:divBdr>
                <w:top w:val="none" w:sz="0" w:space="0" w:color="auto"/>
                <w:left w:val="none" w:sz="0" w:space="0" w:color="auto"/>
                <w:bottom w:val="none" w:sz="0" w:space="0" w:color="auto"/>
                <w:right w:val="none" w:sz="0" w:space="0" w:color="auto"/>
              </w:divBdr>
            </w:div>
            <w:div w:id="1757550198">
              <w:marLeft w:val="0"/>
              <w:marRight w:val="0"/>
              <w:marTop w:val="0"/>
              <w:marBottom w:val="0"/>
              <w:divBdr>
                <w:top w:val="none" w:sz="0" w:space="0" w:color="auto"/>
                <w:left w:val="none" w:sz="0" w:space="0" w:color="auto"/>
                <w:bottom w:val="none" w:sz="0" w:space="0" w:color="auto"/>
                <w:right w:val="none" w:sz="0" w:space="0" w:color="auto"/>
              </w:divBdr>
            </w:div>
            <w:div w:id="788165318">
              <w:marLeft w:val="0"/>
              <w:marRight w:val="0"/>
              <w:marTop w:val="0"/>
              <w:marBottom w:val="0"/>
              <w:divBdr>
                <w:top w:val="none" w:sz="0" w:space="0" w:color="auto"/>
                <w:left w:val="none" w:sz="0" w:space="0" w:color="auto"/>
                <w:bottom w:val="none" w:sz="0" w:space="0" w:color="auto"/>
                <w:right w:val="none" w:sz="0" w:space="0" w:color="auto"/>
              </w:divBdr>
            </w:div>
            <w:div w:id="846020289">
              <w:marLeft w:val="0"/>
              <w:marRight w:val="0"/>
              <w:marTop w:val="0"/>
              <w:marBottom w:val="0"/>
              <w:divBdr>
                <w:top w:val="none" w:sz="0" w:space="0" w:color="auto"/>
                <w:left w:val="none" w:sz="0" w:space="0" w:color="auto"/>
                <w:bottom w:val="none" w:sz="0" w:space="0" w:color="auto"/>
                <w:right w:val="none" w:sz="0" w:space="0" w:color="auto"/>
              </w:divBdr>
            </w:div>
            <w:div w:id="218132646">
              <w:marLeft w:val="0"/>
              <w:marRight w:val="0"/>
              <w:marTop w:val="0"/>
              <w:marBottom w:val="0"/>
              <w:divBdr>
                <w:top w:val="none" w:sz="0" w:space="0" w:color="auto"/>
                <w:left w:val="none" w:sz="0" w:space="0" w:color="auto"/>
                <w:bottom w:val="none" w:sz="0" w:space="0" w:color="auto"/>
                <w:right w:val="none" w:sz="0" w:space="0" w:color="auto"/>
              </w:divBdr>
            </w:div>
            <w:div w:id="690689561">
              <w:marLeft w:val="0"/>
              <w:marRight w:val="0"/>
              <w:marTop w:val="0"/>
              <w:marBottom w:val="0"/>
              <w:divBdr>
                <w:top w:val="none" w:sz="0" w:space="0" w:color="auto"/>
                <w:left w:val="none" w:sz="0" w:space="0" w:color="auto"/>
                <w:bottom w:val="none" w:sz="0" w:space="0" w:color="auto"/>
                <w:right w:val="none" w:sz="0" w:space="0" w:color="auto"/>
              </w:divBdr>
            </w:div>
            <w:div w:id="1096631264">
              <w:marLeft w:val="0"/>
              <w:marRight w:val="0"/>
              <w:marTop w:val="0"/>
              <w:marBottom w:val="0"/>
              <w:divBdr>
                <w:top w:val="none" w:sz="0" w:space="0" w:color="auto"/>
                <w:left w:val="none" w:sz="0" w:space="0" w:color="auto"/>
                <w:bottom w:val="none" w:sz="0" w:space="0" w:color="auto"/>
                <w:right w:val="none" w:sz="0" w:space="0" w:color="auto"/>
              </w:divBdr>
            </w:div>
            <w:div w:id="2078165136">
              <w:marLeft w:val="0"/>
              <w:marRight w:val="0"/>
              <w:marTop w:val="0"/>
              <w:marBottom w:val="0"/>
              <w:divBdr>
                <w:top w:val="none" w:sz="0" w:space="0" w:color="auto"/>
                <w:left w:val="none" w:sz="0" w:space="0" w:color="auto"/>
                <w:bottom w:val="none" w:sz="0" w:space="0" w:color="auto"/>
                <w:right w:val="none" w:sz="0" w:space="0" w:color="auto"/>
              </w:divBdr>
            </w:div>
            <w:div w:id="1584996692">
              <w:marLeft w:val="0"/>
              <w:marRight w:val="0"/>
              <w:marTop w:val="0"/>
              <w:marBottom w:val="0"/>
              <w:divBdr>
                <w:top w:val="none" w:sz="0" w:space="0" w:color="auto"/>
                <w:left w:val="none" w:sz="0" w:space="0" w:color="auto"/>
                <w:bottom w:val="none" w:sz="0" w:space="0" w:color="auto"/>
                <w:right w:val="none" w:sz="0" w:space="0" w:color="auto"/>
              </w:divBdr>
            </w:div>
            <w:div w:id="457915745">
              <w:marLeft w:val="0"/>
              <w:marRight w:val="0"/>
              <w:marTop w:val="0"/>
              <w:marBottom w:val="0"/>
              <w:divBdr>
                <w:top w:val="none" w:sz="0" w:space="0" w:color="auto"/>
                <w:left w:val="none" w:sz="0" w:space="0" w:color="auto"/>
                <w:bottom w:val="none" w:sz="0" w:space="0" w:color="auto"/>
                <w:right w:val="none" w:sz="0" w:space="0" w:color="auto"/>
              </w:divBdr>
            </w:div>
            <w:div w:id="1573541691">
              <w:marLeft w:val="0"/>
              <w:marRight w:val="0"/>
              <w:marTop w:val="0"/>
              <w:marBottom w:val="0"/>
              <w:divBdr>
                <w:top w:val="none" w:sz="0" w:space="0" w:color="auto"/>
                <w:left w:val="none" w:sz="0" w:space="0" w:color="auto"/>
                <w:bottom w:val="none" w:sz="0" w:space="0" w:color="auto"/>
                <w:right w:val="none" w:sz="0" w:space="0" w:color="auto"/>
              </w:divBdr>
            </w:div>
            <w:div w:id="514686224">
              <w:marLeft w:val="0"/>
              <w:marRight w:val="0"/>
              <w:marTop w:val="0"/>
              <w:marBottom w:val="0"/>
              <w:divBdr>
                <w:top w:val="none" w:sz="0" w:space="0" w:color="auto"/>
                <w:left w:val="none" w:sz="0" w:space="0" w:color="auto"/>
                <w:bottom w:val="none" w:sz="0" w:space="0" w:color="auto"/>
                <w:right w:val="none" w:sz="0" w:space="0" w:color="auto"/>
              </w:divBdr>
            </w:div>
            <w:div w:id="1824464511">
              <w:marLeft w:val="0"/>
              <w:marRight w:val="0"/>
              <w:marTop w:val="0"/>
              <w:marBottom w:val="0"/>
              <w:divBdr>
                <w:top w:val="none" w:sz="0" w:space="0" w:color="auto"/>
                <w:left w:val="none" w:sz="0" w:space="0" w:color="auto"/>
                <w:bottom w:val="none" w:sz="0" w:space="0" w:color="auto"/>
                <w:right w:val="none" w:sz="0" w:space="0" w:color="auto"/>
              </w:divBdr>
            </w:div>
            <w:div w:id="171073799">
              <w:marLeft w:val="0"/>
              <w:marRight w:val="0"/>
              <w:marTop w:val="0"/>
              <w:marBottom w:val="0"/>
              <w:divBdr>
                <w:top w:val="none" w:sz="0" w:space="0" w:color="auto"/>
                <w:left w:val="none" w:sz="0" w:space="0" w:color="auto"/>
                <w:bottom w:val="none" w:sz="0" w:space="0" w:color="auto"/>
                <w:right w:val="none" w:sz="0" w:space="0" w:color="auto"/>
              </w:divBdr>
            </w:div>
            <w:div w:id="2076855106">
              <w:marLeft w:val="0"/>
              <w:marRight w:val="0"/>
              <w:marTop w:val="0"/>
              <w:marBottom w:val="0"/>
              <w:divBdr>
                <w:top w:val="none" w:sz="0" w:space="0" w:color="auto"/>
                <w:left w:val="none" w:sz="0" w:space="0" w:color="auto"/>
                <w:bottom w:val="none" w:sz="0" w:space="0" w:color="auto"/>
                <w:right w:val="none" w:sz="0" w:space="0" w:color="auto"/>
              </w:divBdr>
            </w:div>
            <w:div w:id="854731332">
              <w:marLeft w:val="0"/>
              <w:marRight w:val="0"/>
              <w:marTop w:val="0"/>
              <w:marBottom w:val="0"/>
              <w:divBdr>
                <w:top w:val="none" w:sz="0" w:space="0" w:color="auto"/>
                <w:left w:val="none" w:sz="0" w:space="0" w:color="auto"/>
                <w:bottom w:val="none" w:sz="0" w:space="0" w:color="auto"/>
                <w:right w:val="none" w:sz="0" w:space="0" w:color="auto"/>
              </w:divBdr>
            </w:div>
            <w:div w:id="400182850">
              <w:marLeft w:val="0"/>
              <w:marRight w:val="0"/>
              <w:marTop w:val="0"/>
              <w:marBottom w:val="0"/>
              <w:divBdr>
                <w:top w:val="none" w:sz="0" w:space="0" w:color="auto"/>
                <w:left w:val="none" w:sz="0" w:space="0" w:color="auto"/>
                <w:bottom w:val="none" w:sz="0" w:space="0" w:color="auto"/>
                <w:right w:val="none" w:sz="0" w:space="0" w:color="auto"/>
              </w:divBdr>
            </w:div>
            <w:div w:id="1516462206">
              <w:marLeft w:val="0"/>
              <w:marRight w:val="0"/>
              <w:marTop w:val="0"/>
              <w:marBottom w:val="0"/>
              <w:divBdr>
                <w:top w:val="none" w:sz="0" w:space="0" w:color="auto"/>
                <w:left w:val="none" w:sz="0" w:space="0" w:color="auto"/>
                <w:bottom w:val="none" w:sz="0" w:space="0" w:color="auto"/>
                <w:right w:val="none" w:sz="0" w:space="0" w:color="auto"/>
              </w:divBdr>
            </w:div>
            <w:div w:id="1416628812">
              <w:marLeft w:val="0"/>
              <w:marRight w:val="0"/>
              <w:marTop w:val="0"/>
              <w:marBottom w:val="0"/>
              <w:divBdr>
                <w:top w:val="none" w:sz="0" w:space="0" w:color="auto"/>
                <w:left w:val="none" w:sz="0" w:space="0" w:color="auto"/>
                <w:bottom w:val="none" w:sz="0" w:space="0" w:color="auto"/>
                <w:right w:val="none" w:sz="0" w:space="0" w:color="auto"/>
              </w:divBdr>
            </w:div>
            <w:div w:id="239027669">
              <w:marLeft w:val="0"/>
              <w:marRight w:val="0"/>
              <w:marTop w:val="0"/>
              <w:marBottom w:val="0"/>
              <w:divBdr>
                <w:top w:val="none" w:sz="0" w:space="0" w:color="auto"/>
                <w:left w:val="none" w:sz="0" w:space="0" w:color="auto"/>
                <w:bottom w:val="none" w:sz="0" w:space="0" w:color="auto"/>
                <w:right w:val="none" w:sz="0" w:space="0" w:color="auto"/>
              </w:divBdr>
            </w:div>
            <w:div w:id="290019563">
              <w:marLeft w:val="0"/>
              <w:marRight w:val="0"/>
              <w:marTop w:val="0"/>
              <w:marBottom w:val="0"/>
              <w:divBdr>
                <w:top w:val="none" w:sz="0" w:space="0" w:color="auto"/>
                <w:left w:val="none" w:sz="0" w:space="0" w:color="auto"/>
                <w:bottom w:val="none" w:sz="0" w:space="0" w:color="auto"/>
                <w:right w:val="none" w:sz="0" w:space="0" w:color="auto"/>
              </w:divBdr>
            </w:div>
            <w:div w:id="1504777813">
              <w:marLeft w:val="0"/>
              <w:marRight w:val="0"/>
              <w:marTop w:val="0"/>
              <w:marBottom w:val="0"/>
              <w:divBdr>
                <w:top w:val="none" w:sz="0" w:space="0" w:color="auto"/>
                <w:left w:val="none" w:sz="0" w:space="0" w:color="auto"/>
                <w:bottom w:val="none" w:sz="0" w:space="0" w:color="auto"/>
                <w:right w:val="none" w:sz="0" w:space="0" w:color="auto"/>
              </w:divBdr>
            </w:div>
            <w:div w:id="964386098">
              <w:marLeft w:val="0"/>
              <w:marRight w:val="0"/>
              <w:marTop w:val="0"/>
              <w:marBottom w:val="0"/>
              <w:divBdr>
                <w:top w:val="none" w:sz="0" w:space="0" w:color="auto"/>
                <w:left w:val="none" w:sz="0" w:space="0" w:color="auto"/>
                <w:bottom w:val="none" w:sz="0" w:space="0" w:color="auto"/>
                <w:right w:val="none" w:sz="0" w:space="0" w:color="auto"/>
              </w:divBdr>
            </w:div>
            <w:div w:id="1915620996">
              <w:marLeft w:val="0"/>
              <w:marRight w:val="0"/>
              <w:marTop w:val="0"/>
              <w:marBottom w:val="0"/>
              <w:divBdr>
                <w:top w:val="none" w:sz="0" w:space="0" w:color="auto"/>
                <w:left w:val="none" w:sz="0" w:space="0" w:color="auto"/>
                <w:bottom w:val="none" w:sz="0" w:space="0" w:color="auto"/>
                <w:right w:val="none" w:sz="0" w:space="0" w:color="auto"/>
              </w:divBdr>
            </w:div>
            <w:div w:id="1590190374">
              <w:marLeft w:val="0"/>
              <w:marRight w:val="0"/>
              <w:marTop w:val="0"/>
              <w:marBottom w:val="0"/>
              <w:divBdr>
                <w:top w:val="none" w:sz="0" w:space="0" w:color="auto"/>
                <w:left w:val="none" w:sz="0" w:space="0" w:color="auto"/>
                <w:bottom w:val="none" w:sz="0" w:space="0" w:color="auto"/>
                <w:right w:val="none" w:sz="0" w:space="0" w:color="auto"/>
              </w:divBdr>
            </w:div>
            <w:div w:id="451636849">
              <w:marLeft w:val="0"/>
              <w:marRight w:val="0"/>
              <w:marTop w:val="0"/>
              <w:marBottom w:val="0"/>
              <w:divBdr>
                <w:top w:val="none" w:sz="0" w:space="0" w:color="auto"/>
                <w:left w:val="none" w:sz="0" w:space="0" w:color="auto"/>
                <w:bottom w:val="none" w:sz="0" w:space="0" w:color="auto"/>
                <w:right w:val="none" w:sz="0" w:space="0" w:color="auto"/>
              </w:divBdr>
            </w:div>
            <w:div w:id="210700125">
              <w:marLeft w:val="0"/>
              <w:marRight w:val="0"/>
              <w:marTop w:val="0"/>
              <w:marBottom w:val="0"/>
              <w:divBdr>
                <w:top w:val="none" w:sz="0" w:space="0" w:color="auto"/>
                <w:left w:val="none" w:sz="0" w:space="0" w:color="auto"/>
                <w:bottom w:val="none" w:sz="0" w:space="0" w:color="auto"/>
                <w:right w:val="none" w:sz="0" w:space="0" w:color="auto"/>
              </w:divBdr>
            </w:div>
            <w:div w:id="2107143765">
              <w:marLeft w:val="0"/>
              <w:marRight w:val="0"/>
              <w:marTop w:val="0"/>
              <w:marBottom w:val="0"/>
              <w:divBdr>
                <w:top w:val="none" w:sz="0" w:space="0" w:color="auto"/>
                <w:left w:val="none" w:sz="0" w:space="0" w:color="auto"/>
                <w:bottom w:val="none" w:sz="0" w:space="0" w:color="auto"/>
                <w:right w:val="none" w:sz="0" w:space="0" w:color="auto"/>
              </w:divBdr>
            </w:div>
            <w:div w:id="1437141864">
              <w:marLeft w:val="0"/>
              <w:marRight w:val="0"/>
              <w:marTop w:val="0"/>
              <w:marBottom w:val="0"/>
              <w:divBdr>
                <w:top w:val="none" w:sz="0" w:space="0" w:color="auto"/>
                <w:left w:val="none" w:sz="0" w:space="0" w:color="auto"/>
                <w:bottom w:val="none" w:sz="0" w:space="0" w:color="auto"/>
                <w:right w:val="none" w:sz="0" w:space="0" w:color="auto"/>
              </w:divBdr>
            </w:div>
            <w:div w:id="741677927">
              <w:marLeft w:val="0"/>
              <w:marRight w:val="0"/>
              <w:marTop w:val="0"/>
              <w:marBottom w:val="0"/>
              <w:divBdr>
                <w:top w:val="none" w:sz="0" w:space="0" w:color="auto"/>
                <w:left w:val="none" w:sz="0" w:space="0" w:color="auto"/>
                <w:bottom w:val="none" w:sz="0" w:space="0" w:color="auto"/>
                <w:right w:val="none" w:sz="0" w:space="0" w:color="auto"/>
              </w:divBdr>
            </w:div>
            <w:div w:id="1405951998">
              <w:marLeft w:val="0"/>
              <w:marRight w:val="0"/>
              <w:marTop w:val="0"/>
              <w:marBottom w:val="0"/>
              <w:divBdr>
                <w:top w:val="none" w:sz="0" w:space="0" w:color="auto"/>
                <w:left w:val="none" w:sz="0" w:space="0" w:color="auto"/>
                <w:bottom w:val="none" w:sz="0" w:space="0" w:color="auto"/>
                <w:right w:val="none" w:sz="0" w:space="0" w:color="auto"/>
              </w:divBdr>
            </w:div>
            <w:div w:id="1510677117">
              <w:marLeft w:val="0"/>
              <w:marRight w:val="0"/>
              <w:marTop w:val="0"/>
              <w:marBottom w:val="0"/>
              <w:divBdr>
                <w:top w:val="none" w:sz="0" w:space="0" w:color="auto"/>
                <w:left w:val="none" w:sz="0" w:space="0" w:color="auto"/>
                <w:bottom w:val="none" w:sz="0" w:space="0" w:color="auto"/>
                <w:right w:val="none" w:sz="0" w:space="0" w:color="auto"/>
              </w:divBdr>
            </w:div>
            <w:div w:id="1267810012">
              <w:marLeft w:val="0"/>
              <w:marRight w:val="0"/>
              <w:marTop w:val="0"/>
              <w:marBottom w:val="0"/>
              <w:divBdr>
                <w:top w:val="none" w:sz="0" w:space="0" w:color="auto"/>
                <w:left w:val="none" w:sz="0" w:space="0" w:color="auto"/>
                <w:bottom w:val="none" w:sz="0" w:space="0" w:color="auto"/>
                <w:right w:val="none" w:sz="0" w:space="0" w:color="auto"/>
              </w:divBdr>
            </w:div>
            <w:div w:id="532228462">
              <w:marLeft w:val="0"/>
              <w:marRight w:val="0"/>
              <w:marTop w:val="0"/>
              <w:marBottom w:val="0"/>
              <w:divBdr>
                <w:top w:val="none" w:sz="0" w:space="0" w:color="auto"/>
                <w:left w:val="none" w:sz="0" w:space="0" w:color="auto"/>
                <w:bottom w:val="none" w:sz="0" w:space="0" w:color="auto"/>
                <w:right w:val="none" w:sz="0" w:space="0" w:color="auto"/>
              </w:divBdr>
            </w:div>
            <w:div w:id="1855534030">
              <w:marLeft w:val="0"/>
              <w:marRight w:val="0"/>
              <w:marTop w:val="0"/>
              <w:marBottom w:val="0"/>
              <w:divBdr>
                <w:top w:val="none" w:sz="0" w:space="0" w:color="auto"/>
                <w:left w:val="none" w:sz="0" w:space="0" w:color="auto"/>
                <w:bottom w:val="none" w:sz="0" w:space="0" w:color="auto"/>
                <w:right w:val="none" w:sz="0" w:space="0" w:color="auto"/>
              </w:divBdr>
            </w:div>
            <w:div w:id="1784885614">
              <w:marLeft w:val="0"/>
              <w:marRight w:val="0"/>
              <w:marTop w:val="0"/>
              <w:marBottom w:val="0"/>
              <w:divBdr>
                <w:top w:val="none" w:sz="0" w:space="0" w:color="auto"/>
                <w:left w:val="none" w:sz="0" w:space="0" w:color="auto"/>
                <w:bottom w:val="none" w:sz="0" w:space="0" w:color="auto"/>
                <w:right w:val="none" w:sz="0" w:space="0" w:color="auto"/>
              </w:divBdr>
            </w:div>
            <w:div w:id="1863087465">
              <w:marLeft w:val="0"/>
              <w:marRight w:val="0"/>
              <w:marTop w:val="0"/>
              <w:marBottom w:val="0"/>
              <w:divBdr>
                <w:top w:val="none" w:sz="0" w:space="0" w:color="auto"/>
                <w:left w:val="none" w:sz="0" w:space="0" w:color="auto"/>
                <w:bottom w:val="none" w:sz="0" w:space="0" w:color="auto"/>
                <w:right w:val="none" w:sz="0" w:space="0" w:color="auto"/>
              </w:divBdr>
            </w:div>
            <w:div w:id="1815294330">
              <w:marLeft w:val="0"/>
              <w:marRight w:val="0"/>
              <w:marTop w:val="0"/>
              <w:marBottom w:val="0"/>
              <w:divBdr>
                <w:top w:val="none" w:sz="0" w:space="0" w:color="auto"/>
                <w:left w:val="none" w:sz="0" w:space="0" w:color="auto"/>
                <w:bottom w:val="none" w:sz="0" w:space="0" w:color="auto"/>
                <w:right w:val="none" w:sz="0" w:space="0" w:color="auto"/>
              </w:divBdr>
            </w:div>
            <w:div w:id="1047146883">
              <w:marLeft w:val="0"/>
              <w:marRight w:val="0"/>
              <w:marTop w:val="0"/>
              <w:marBottom w:val="0"/>
              <w:divBdr>
                <w:top w:val="none" w:sz="0" w:space="0" w:color="auto"/>
                <w:left w:val="none" w:sz="0" w:space="0" w:color="auto"/>
                <w:bottom w:val="none" w:sz="0" w:space="0" w:color="auto"/>
                <w:right w:val="none" w:sz="0" w:space="0" w:color="auto"/>
              </w:divBdr>
            </w:div>
            <w:div w:id="2046785999">
              <w:marLeft w:val="0"/>
              <w:marRight w:val="0"/>
              <w:marTop w:val="0"/>
              <w:marBottom w:val="0"/>
              <w:divBdr>
                <w:top w:val="none" w:sz="0" w:space="0" w:color="auto"/>
                <w:left w:val="none" w:sz="0" w:space="0" w:color="auto"/>
                <w:bottom w:val="none" w:sz="0" w:space="0" w:color="auto"/>
                <w:right w:val="none" w:sz="0" w:space="0" w:color="auto"/>
              </w:divBdr>
            </w:div>
            <w:div w:id="790320544">
              <w:marLeft w:val="0"/>
              <w:marRight w:val="0"/>
              <w:marTop w:val="0"/>
              <w:marBottom w:val="0"/>
              <w:divBdr>
                <w:top w:val="none" w:sz="0" w:space="0" w:color="auto"/>
                <w:left w:val="none" w:sz="0" w:space="0" w:color="auto"/>
                <w:bottom w:val="none" w:sz="0" w:space="0" w:color="auto"/>
                <w:right w:val="none" w:sz="0" w:space="0" w:color="auto"/>
              </w:divBdr>
            </w:div>
            <w:div w:id="157575862">
              <w:marLeft w:val="0"/>
              <w:marRight w:val="0"/>
              <w:marTop w:val="0"/>
              <w:marBottom w:val="0"/>
              <w:divBdr>
                <w:top w:val="none" w:sz="0" w:space="0" w:color="auto"/>
                <w:left w:val="none" w:sz="0" w:space="0" w:color="auto"/>
                <w:bottom w:val="none" w:sz="0" w:space="0" w:color="auto"/>
                <w:right w:val="none" w:sz="0" w:space="0" w:color="auto"/>
              </w:divBdr>
            </w:div>
            <w:div w:id="1935354329">
              <w:marLeft w:val="0"/>
              <w:marRight w:val="0"/>
              <w:marTop w:val="0"/>
              <w:marBottom w:val="0"/>
              <w:divBdr>
                <w:top w:val="none" w:sz="0" w:space="0" w:color="auto"/>
                <w:left w:val="none" w:sz="0" w:space="0" w:color="auto"/>
                <w:bottom w:val="none" w:sz="0" w:space="0" w:color="auto"/>
                <w:right w:val="none" w:sz="0" w:space="0" w:color="auto"/>
              </w:divBdr>
            </w:div>
            <w:div w:id="2107340327">
              <w:marLeft w:val="0"/>
              <w:marRight w:val="0"/>
              <w:marTop w:val="0"/>
              <w:marBottom w:val="0"/>
              <w:divBdr>
                <w:top w:val="none" w:sz="0" w:space="0" w:color="auto"/>
                <w:left w:val="none" w:sz="0" w:space="0" w:color="auto"/>
                <w:bottom w:val="none" w:sz="0" w:space="0" w:color="auto"/>
                <w:right w:val="none" w:sz="0" w:space="0" w:color="auto"/>
              </w:divBdr>
            </w:div>
            <w:div w:id="1769235862">
              <w:marLeft w:val="0"/>
              <w:marRight w:val="0"/>
              <w:marTop w:val="0"/>
              <w:marBottom w:val="0"/>
              <w:divBdr>
                <w:top w:val="none" w:sz="0" w:space="0" w:color="auto"/>
                <w:left w:val="none" w:sz="0" w:space="0" w:color="auto"/>
                <w:bottom w:val="none" w:sz="0" w:space="0" w:color="auto"/>
                <w:right w:val="none" w:sz="0" w:space="0" w:color="auto"/>
              </w:divBdr>
            </w:div>
            <w:div w:id="1187404682">
              <w:marLeft w:val="0"/>
              <w:marRight w:val="0"/>
              <w:marTop w:val="0"/>
              <w:marBottom w:val="0"/>
              <w:divBdr>
                <w:top w:val="none" w:sz="0" w:space="0" w:color="auto"/>
                <w:left w:val="none" w:sz="0" w:space="0" w:color="auto"/>
                <w:bottom w:val="none" w:sz="0" w:space="0" w:color="auto"/>
                <w:right w:val="none" w:sz="0" w:space="0" w:color="auto"/>
              </w:divBdr>
            </w:div>
            <w:div w:id="1910185073">
              <w:marLeft w:val="0"/>
              <w:marRight w:val="0"/>
              <w:marTop w:val="0"/>
              <w:marBottom w:val="0"/>
              <w:divBdr>
                <w:top w:val="none" w:sz="0" w:space="0" w:color="auto"/>
                <w:left w:val="none" w:sz="0" w:space="0" w:color="auto"/>
                <w:bottom w:val="none" w:sz="0" w:space="0" w:color="auto"/>
                <w:right w:val="none" w:sz="0" w:space="0" w:color="auto"/>
              </w:divBdr>
            </w:div>
            <w:div w:id="1023169770">
              <w:marLeft w:val="0"/>
              <w:marRight w:val="0"/>
              <w:marTop w:val="0"/>
              <w:marBottom w:val="0"/>
              <w:divBdr>
                <w:top w:val="none" w:sz="0" w:space="0" w:color="auto"/>
                <w:left w:val="none" w:sz="0" w:space="0" w:color="auto"/>
                <w:bottom w:val="none" w:sz="0" w:space="0" w:color="auto"/>
                <w:right w:val="none" w:sz="0" w:space="0" w:color="auto"/>
              </w:divBdr>
            </w:div>
            <w:div w:id="1131435009">
              <w:marLeft w:val="0"/>
              <w:marRight w:val="0"/>
              <w:marTop w:val="0"/>
              <w:marBottom w:val="0"/>
              <w:divBdr>
                <w:top w:val="none" w:sz="0" w:space="0" w:color="auto"/>
                <w:left w:val="none" w:sz="0" w:space="0" w:color="auto"/>
                <w:bottom w:val="none" w:sz="0" w:space="0" w:color="auto"/>
                <w:right w:val="none" w:sz="0" w:space="0" w:color="auto"/>
              </w:divBdr>
            </w:div>
            <w:div w:id="1527061221">
              <w:marLeft w:val="0"/>
              <w:marRight w:val="0"/>
              <w:marTop w:val="0"/>
              <w:marBottom w:val="0"/>
              <w:divBdr>
                <w:top w:val="none" w:sz="0" w:space="0" w:color="auto"/>
                <w:left w:val="none" w:sz="0" w:space="0" w:color="auto"/>
                <w:bottom w:val="none" w:sz="0" w:space="0" w:color="auto"/>
                <w:right w:val="none" w:sz="0" w:space="0" w:color="auto"/>
              </w:divBdr>
            </w:div>
            <w:div w:id="1212377734">
              <w:marLeft w:val="0"/>
              <w:marRight w:val="0"/>
              <w:marTop w:val="0"/>
              <w:marBottom w:val="0"/>
              <w:divBdr>
                <w:top w:val="none" w:sz="0" w:space="0" w:color="auto"/>
                <w:left w:val="none" w:sz="0" w:space="0" w:color="auto"/>
                <w:bottom w:val="none" w:sz="0" w:space="0" w:color="auto"/>
                <w:right w:val="none" w:sz="0" w:space="0" w:color="auto"/>
              </w:divBdr>
            </w:div>
            <w:div w:id="1302686490">
              <w:marLeft w:val="0"/>
              <w:marRight w:val="0"/>
              <w:marTop w:val="0"/>
              <w:marBottom w:val="0"/>
              <w:divBdr>
                <w:top w:val="none" w:sz="0" w:space="0" w:color="auto"/>
                <w:left w:val="none" w:sz="0" w:space="0" w:color="auto"/>
                <w:bottom w:val="none" w:sz="0" w:space="0" w:color="auto"/>
                <w:right w:val="none" w:sz="0" w:space="0" w:color="auto"/>
              </w:divBdr>
            </w:div>
            <w:div w:id="1821343693">
              <w:marLeft w:val="0"/>
              <w:marRight w:val="0"/>
              <w:marTop w:val="0"/>
              <w:marBottom w:val="0"/>
              <w:divBdr>
                <w:top w:val="none" w:sz="0" w:space="0" w:color="auto"/>
                <w:left w:val="none" w:sz="0" w:space="0" w:color="auto"/>
                <w:bottom w:val="none" w:sz="0" w:space="0" w:color="auto"/>
                <w:right w:val="none" w:sz="0" w:space="0" w:color="auto"/>
              </w:divBdr>
            </w:div>
            <w:div w:id="477650779">
              <w:marLeft w:val="0"/>
              <w:marRight w:val="0"/>
              <w:marTop w:val="0"/>
              <w:marBottom w:val="0"/>
              <w:divBdr>
                <w:top w:val="none" w:sz="0" w:space="0" w:color="auto"/>
                <w:left w:val="none" w:sz="0" w:space="0" w:color="auto"/>
                <w:bottom w:val="none" w:sz="0" w:space="0" w:color="auto"/>
                <w:right w:val="none" w:sz="0" w:space="0" w:color="auto"/>
              </w:divBdr>
            </w:div>
            <w:div w:id="933324155">
              <w:marLeft w:val="0"/>
              <w:marRight w:val="0"/>
              <w:marTop w:val="0"/>
              <w:marBottom w:val="0"/>
              <w:divBdr>
                <w:top w:val="none" w:sz="0" w:space="0" w:color="auto"/>
                <w:left w:val="none" w:sz="0" w:space="0" w:color="auto"/>
                <w:bottom w:val="none" w:sz="0" w:space="0" w:color="auto"/>
                <w:right w:val="none" w:sz="0" w:space="0" w:color="auto"/>
              </w:divBdr>
            </w:div>
            <w:div w:id="1221282161">
              <w:marLeft w:val="0"/>
              <w:marRight w:val="0"/>
              <w:marTop w:val="0"/>
              <w:marBottom w:val="0"/>
              <w:divBdr>
                <w:top w:val="none" w:sz="0" w:space="0" w:color="auto"/>
                <w:left w:val="none" w:sz="0" w:space="0" w:color="auto"/>
                <w:bottom w:val="none" w:sz="0" w:space="0" w:color="auto"/>
                <w:right w:val="none" w:sz="0" w:space="0" w:color="auto"/>
              </w:divBdr>
            </w:div>
            <w:div w:id="370425860">
              <w:marLeft w:val="0"/>
              <w:marRight w:val="0"/>
              <w:marTop w:val="0"/>
              <w:marBottom w:val="0"/>
              <w:divBdr>
                <w:top w:val="none" w:sz="0" w:space="0" w:color="auto"/>
                <w:left w:val="none" w:sz="0" w:space="0" w:color="auto"/>
                <w:bottom w:val="none" w:sz="0" w:space="0" w:color="auto"/>
                <w:right w:val="none" w:sz="0" w:space="0" w:color="auto"/>
              </w:divBdr>
            </w:div>
            <w:div w:id="1680504333">
              <w:marLeft w:val="0"/>
              <w:marRight w:val="0"/>
              <w:marTop w:val="0"/>
              <w:marBottom w:val="0"/>
              <w:divBdr>
                <w:top w:val="none" w:sz="0" w:space="0" w:color="auto"/>
                <w:left w:val="none" w:sz="0" w:space="0" w:color="auto"/>
                <w:bottom w:val="none" w:sz="0" w:space="0" w:color="auto"/>
                <w:right w:val="none" w:sz="0" w:space="0" w:color="auto"/>
              </w:divBdr>
            </w:div>
            <w:div w:id="232357275">
              <w:marLeft w:val="0"/>
              <w:marRight w:val="0"/>
              <w:marTop w:val="0"/>
              <w:marBottom w:val="0"/>
              <w:divBdr>
                <w:top w:val="none" w:sz="0" w:space="0" w:color="auto"/>
                <w:left w:val="none" w:sz="0" w:space="0" w:color="auto"/>
                <w:bottom w:val="none" w:sz="0" w:space="0" w:color="auto"/>
                <w:right w:val="none" w:sz="0" w:space="0" w:color="auto"/>
              </w:divBdr>
            </w:div>
            <w:div w:id="1675910448">
              <w:marLeft w:val="0"/>
              <w:marRight w:val="0"/>
              <w:marTop w:val="0"/>
              <w:marBottom w:val="0"/>
              <w:divBdr>
                <w:top w:val="none" w:sz="0" w:space="0" w:color="auto"/>
                <w:left w:val="none" w:sz="0" w:space="0" w:color="auto"/>
                <w:bottom w:val="none" w:sz="0" w:space="0" w:color="auto"/>
                <w:right w:val="none" w:sz="0" w:space="0" w:color="auto"/>
              </w:divBdr>
            </w:div>
            <w:div w:id="631981610">
              <w:marLeft w:val="0"/>
              <w:marRight w:val="0"/>
              <w:marTop w:val="0"/>
              <w:marBottom w:val="0"/>
              <w:divBdr>
                <w:top w:val="none" w:sz="0" w:space="0" w:color="auto"/>
                <w:left w:val="none" w:sz="0" w:space="0" w:color="auto"/>
                <w:bottom w:val="none" w:sz="0" w:space="0" w:color="auto"/>
                <w:right w:val="none" w:sz="0" w:space="0" w:color="auto"/>
              </w:divBdr>
            </w:div>
            <w:div w:id="1733502350">
              <w:marLeft w:val="0"/>
              <w:marRight w:val="0"/>
              <w:marTop w:val="0"/>
              <w:marBottom w:val="0"/>
              <w:divBdr>
                <w:top w:val="none" w:sz="0" w:space="0" w:color="auto"/>
                <w:left w:val="none" w:sz="0" w:space="0" w:color="auto"/>
                <w:bottom w:val="none" w:sz="0" w:space="0" w:color="auto"/>
                <w:right w:val="none" w:sz="0" w:space="0" w:color="auto"/>
              </w:divBdr>
            </w:div>
            <w:div w:id="1539774566">
              <w:marLeft w:val="0"/>
              <w:marRight w:val="0"/>
              <w:marTop w:val="0"/>
              <w:marBottom w:val="0"/>
              <w:divBdr>
                <w:top w:val="none" w:sz="0" w:space="0" w:color="auto"/>
                <w:left w:val="none" w:sz="0" w:space="0" w:color="auto"/>
                <w:bottom w:val="none" w:sz="0" w:space="0" w:color="auto"/>
                <w:right w:val="none" w:sz="0" w:space="0" w:color="auto"/>
              </w:divBdr>
            </w:div>
            <w:div w:id="472479231">
              <w:marLeft w:val="0"/>
              <w:marRight w:val="0"/>
              <w:marTop w:val="0"/>
              <w:marBottom w:val="0"/>
              <w:divBdr>
                <w:top w:val="none" w:sz="0" w:space="0" w:color="auto"/>
                <w:left w:val="none" w:sz="0" w:space="0" w:color="auto"/>
                <w:bottom w:val="none" w:sz="0" w:space="0" w:color="auto"/>
                <w:right w:val="none" w:sz="0" w:space="0" w:color="auto"/>
              </w:divBdr>
            </w:div>
            <w:div w:id="1626427798">
              <w:marLeft w:val="0"/>
              <w:marRight w:val="0"/>
              <w:marTop w:val="0"/>
              <w:marBottom w:val="0"/>
              <w:divBdr>
                <w:top w:val="none" w:sz="0" w:space="0" w:color="auto"/>
                <w:left w:val="none" w:sz="0" w:space="0" w:color="auto"/>
                <w:bottom w:val="none" w:sz="0" w:space="0" w:color="auto"/>
                <w:right w:val="none" w:sz="0" w:space="0" w:color="auto"/>
              </w:divBdr>
            </w:div>
            <w:div w:id="54090242">
              <w:marLeft w:val="0"/>
              <w:marRight w:val="0"/>
              <w:marTop w:val="0"/>
              <w:marBottom w:val="0"/>
              <w:divBdr>
                <w:top w:val="none" w:sz="0" w:space="0" w:color="auto"/>
                <w:left w:val="none" w:sz="0" w:space="0" w:color="auto"/>
                <w:bottom w:val="none" w:sz="0" w:space="0" w:color="auto"/>
                <w:right w:val="none" w:sz="0" w:space="0" w:color="auto"/>
              </w:divBdr>
            </w:div>
            <w:div w:id="817694469">
              <w:marLeft w:val="0"/>
              <w:marRight w:val="0"/>
              <w:marTop w:val="0"/>
              <w:marBottom w:val="0"/>
              <w:divBdr>
                <w:top w:val="none" w:sz="0" w:space="0" w:color="auto"/>
                <w:left w:val="none" w:sz="0" w:space="0" w:color="auto"/>
                <w:bottom w:val="none" w:sz="0" w:space="0" w:color="auto"/>
                <w:right w:val="none" w:sz="0" w:space="0" w:color="auto"/>
              </w:divBdr>
            </w:div>
            <w:div w:id="1592355584">
              <w:marLeft w:val="0"/>
              <w:marRight w:val="0"/>
              <w:marTop w:val="0"/>
              <w:marBottom w:val="0"/>
              <w:divBdr>
                <w:top w:val="none" w:sz="0" w:space="0" w:color="auto"/>
                <w:left w:val="none" w:sz="0" w:space="0" w:color="auto"/>
                <w:bottom w:val="none" w:sz="0" w:space="0" w:color="auto"/>
                <w:right w:val="none" w:sz="0" w:space="0" w:color="auto"/>
              </w:divBdr>
            </w:div>
            <w:div w:id="2055612306">
              <w:marLeft w:val="0"/>
              <w:marRight w:val="0"/>
              <w:marTop w:val="0"/>
              <w:marBottom w:val="0"/>
              <w:divBdr>
                <w:top w:val="none" w:sz="0" w:space="0" w:color="auto"/>
                <w:left w:val="none" w:sz="0" w:space="0" w:color="auto"/>
                <w:bottom w:val="none" w:sz="0" w:space="0" w:color="auto"/>
                <w:right w:val="none" w:sz="0" w:space="0" w:color="auto"/>
              </w:divBdr>
            </w:div>
            <w:div w:id="697782825">
              <w:marLeft w:val="0"/>
              <w:marRight w:val="0"/>
              <w:marTop w:val="0"/>
              <w:marBottom w:val="0"/>
              <w:divBdr>
                <w:top w:val="none" w:sz="0" w:space="0" w:color="auto"/>
                <w:left w:val="none" w:sz="0" w:space="0" w:color="auto"/>
                <w:bottom w:val="none" w:sz="0" w:space="0" w:color="auto"/>
                <w:right w:val="none" w:sz="0" w:space="0" w:color="auto"/>
              </w:divBdr>
            </w:div>
            <w:div w:id="12344702">
              <w:marLeft w:val="0"/>
              <w:marRight w:val="0"/>
              <w:marTop w:val="0"/>
              <w:marBottom w:val="0"/>
              <w:divBdr>
                <w:top w:val="none" w:sz="0" w:space="0" w:color="auto"/>
                <w:left w:val="none" w:sz="0" w:space="0" w:color="auto"/>
                <w:bottom w:val="none" w:sz="0" w:space="0" w:color="auto"/>
                <w:right w:val="none" w:sz="0" w:space="0" w:color="auto"/>
              </w:divBdr>
            </w:div>
            <w:div w:id="1341004217">
              <w:marLeft w:val="0"/>
              <w:marRight w:val="0"/>
              <w:marTop w:val="0"/>
              <w:marBottom w:val="0"/>
              <w:divBdr>
                <w:top w:val="none" w:sz="0" w:space="0" w:color="auto"/>
                <w:left w:val="none" w:sz="0" w:space="0" w:color="auto"/>
                <w:bottom w:val="none" w:sz="0" w:space="0" w:color="auto"/>
                <w:right w:val="none" w:sz="0" w:space="0" w:color="auto"/>
              </w:divBdr>
            </w:div>
            <w:div w:id="1452895880">
              <w:marLeft w:val="0"/>
              <w:marRight w:val="0"/>
              <w:marTop w:val="0"/>
              <w:marBottom w:val="0"/>
              <w:divBdr>
                <w:top w:val="none" w:sz="0" w:space="0" w:color="auto"/>
                <w:left w:val="none" w:sz="0" w:space="0" w:color="auto"/>
                <w:bottom w:val="none" w:sz="0" w:space="0" w:color="auto"/>
                <w:right w:val="none" w:sz="0" w:space="0" w:color="auto"/>
              </w:divBdr>
            </w:div>
            <w:div w:id="109008577">
              <w:marLeft w:val="0"/>
              <w:marRight w:val="0"/>
              <w:marTop w:val="0"/>
              <w:marBottom w:val="0"/>
              <w:divBdr>
                <w:top w:val="none" w:sz="0" w:space="0" w:color="auto"/>
                <w:left w:val="none" w:sz="0" w:space="0" w:color="auto"/>
                <w:bottom w:val="none" w:sz="0" w:space="0" w:color="auto"/>
                <w:right w:val="none" w:sz="0" w:space="0" w:color="auto"/>
              </w:divBdr>
            </w:div>
            <w:div w:id="1405833409">
              <w:marLeft w:val="0"/>
              <w:marRight w:val="0"/>
              <w:marTop w:val="0"/>
              <w:marBottom w:val="0"/>
              <w:divBdr>
                <w:top w:val="none" w:sz="0" w:space="0" w:color="auto"/>
                <w:left w:val="none" w:sz="0" w:space="0" w:color="auto"/>
                <w:bottom w:val="none" w:sz="0" w:space="0" w:color="auto"/>
                <w:right w:val="none" w:sz="0" w:space="0" w:color="auto"/>
              </w:divBdr>
            </w:div>
            <w:div w:id="589848471">
              <w:marLeft w:val="0"/>
              <w:marRight w:val="0"/>
              <w:marTop w:val="0"/>
              <w:marBottom w:val="0"/>
              <w:divBdr>
                <w:top w:val="none" w:sz="0" w:space="0" w:color="auto"/>
                <w:left w:val="none" w:sz="0" w:space="0" w:color="auto"/>
                <w:bottom w:val="none" w:sz="0" w:space="0" w:color="auto"/>
                <w:right w:val="none" w:sz="0" w:space="0" w:color="auto"/>
              </w:divBdr>
            </w:div>
            <w:div w:id="1059866863">
              <w:marLeft w:val="0"/>
              <w:marRight w:val="0"/>
              <w:marTop w:val="0"/>
              <w:marBottom w:val="0"/>
              <w:divBdr>
                <w:top w:val="none" w:sz="0" w:space="0" w:color="auto"/>
                <w:left w:val="none" w:sz="0" w:space="0" w:color="auto"/>
                <w:bottom w:val="none" w:sz="0" w:space="0" w:color="auto"/>
                <w:right w:val="none" w:sz="0" w:space="0" w:color="auto"/>
              </w:divBdr>
            </w:div>
            <w:div w:id="63335452">
              <w:marLeft w:val="0"/>
              <w:marRight w:val="0"/>
              <w:marTop w:val="0"/>
              <w:marBottom w:val="0"/>
              <w:divBdr>
                <w:top w:val="none" w:sz="0" w:space="0" w:color="auto"/>
                <w:left w:val="none" w:sz="0" w:space="0" w:color="auto"/>
                <w:bottom w:val="none" w:sz="0" w:space="0" w:color="auto"/>
                <w:right w:val="none" w:sz="0" w:space="0" w:color="auto"/>
              </w:divBdr>
            </w:div>
            <w:div w:id="93520117">
              <w:marLeft w:val="0"/>
              <w:marRight w:val="0"/>
              <w:marTop w:val="0"/>
              <w:marBottom w:val="0"/>
              <w:divBdr>
                <w:top w:val="none" w:sz="0" w:space="0" w:color="auto"/>
                <w:left w:val="none" w:sz="0" w:space="0" w:color="auto"/>
                <w:bottom w:val="none" w:sz="0" w:space="0" w:color="auto"/>
                <w:right w:val="none" w:sz="0" w:space="0" w:color="auto"/>
              </w:divBdr>
            </w:div>
            <w:div w:id="868570628">
              <w:marLeft w:val="0"/>
              <w:marRight w:val="0"/>
              <w:marTop w:val="0"/>
              <w:marBottom w:val="0"/>
              <w:divBdr>
                <w:top w:val="none" w:sz="0" w:space="0" w:color="auto"/>
                <w:left w:val="none" w:sz="0" w:space="0" w:color="auto"/>
                <w:bottom w:val="none" w:sz="0" w:space="0" w:color="auto"/>
                <w:right w:val="none" w:sz="0" w:space="0" w:color="auto"/>
              </w:divBdr>
            </w:div>
            <w:div w:id="1787193144">
              <w:marLeft w:val="0"/>
              <w:marRight w:val="0"/>
              <w:marTop w:val="0"/>
              <w:marBottom w:val="0"/>
              <w:divBdr>
                <w:top w:val="none" w:sz="0" w:space="0" w:color="auto"/>
                <w:left w:val="none" w:sz="0" w:space="0" w:color="auto"/>
                <w:bottom w:val="none" w:sz="0" w:space="0" w:color="auto"/>
                <w:right w:val="none" w:sz="0" w:space="0" w:color="auto"/>
              </w:divBdr>
            </w:div>
            <w:div w:id="1850679703">
              <w:marLeft w:val="0"/>
              <w:marRight w:val="0"/>
              <w:marTop w:val="0"/>
              <w:marBottom w:val="0"/>
              <w:divBdr>
                <w:top w:val="none" w:sz="0" w:space="0" w:color="auto"/>
                <w:left w:val="none" w:sz="0" w:space="0" w:color="auto"/>
                <w:bottom w:val="none" w:sz="0" w:space="0" w:color="auto"/>
                <w:right w:val="none" w:sz="0" w:space="0" w:color="auto"/>
              </w:divBdr>
            </w:div>
            <w:div w:id="834537303">
              <w:marLeft w:val="0"/>
              <w:marRight w:val="0"/>
              <w:marTop w:val="0"/>
              <w:marBottom w:val="0"/>
              <w:divBdr>
                <w:top w:val="none" w:sz="0" w:space="0" w:color="auto"/>
                <w:left w:val="none" w:sz="0" w:space="0" w:color="auto"/>
                <w:bottom w:val="none" w:sz="0" w:space="0" w:color="auto"/>
                <w:right w:val="none" w:sz="0" w:space="0" w:color="auto"/>
              </w:divBdr>
            </w:div>
            <w:div w:id="392001606">
              <w:marLeft w:val="0"/>
              <w:marRight w:val="0"/>
              <w:marTop w:val="0"/>
              <w:marBottom w:val="0"/>
              <w:divBdr>
                <w:top w:val="none" w:sz="0" w:space="0" w:color="auto"/>
                <w:left w:val="none" w:sz="0" w:space="0" w:color="auto"/>
                <w:bottom w:val="none" w:sz="0" w:space="0" w:color="auto"/>
                <w:right w:val="none" w:sz="0" w:space="0" w:color="auto"/>
              </w:divBdr>
            </w:div>
            <w:div w:id="1133912937">
              <w:marLeft w:val="0"/>
              <w:marRight w:val="0"/>
              <w:marTop w:val="0"/>
              <w:marBottom w:val="0"/>
              <w:divBdr>
                <w:top w:val="none" w:sz="0" w:space="0" w:color="auto"/>
                <w:left w:val="none" w:sz="0" w:space="0" w:color="auto"/>
                <w:bottom w:val="none" w:sz="0" w:space="0" w:color="auto"/>
                <w:right w:val="none" w:sz="0" w:space="0" w:color="auto"/>
              </w:divBdr>
            </w:div>
            <w:div w:id="110441769">
              <w:marLeft w:val="0"/>
              <w:marRight w:val="0"/>
              <w:marTop w:val="0"/>
              <w:marBottom w:val="0"/>
              <w:divBdr>
                <w:top w:val="none" w:sz="0" w:space="0" w:color="auto"/>
                <w:left w:val="none" w:sz="0" w:space="0" w:color="auto"/>
                <w:bottom w:val="none" w:sz="0" w:space="0" w:color="auto"/>
                <w:right w:val="none" w:sz="0" w:space="0" w:color="auto"/>
              </w:divBdr>
            </w:div>
            <w:div w:id="95560407">
              <w:marLeft w:val="0"/>
              <w:marRight w:val="0"/>
              <w:marTop w:val="0"/>
              <w:marBottom w:val="0"/>
              <w:divBdr>
                <w:top w:val="none" w:sz="0" w:space="0" w:color="auto"/>
                <w:left w:val="none" w:sz="0" w:space="0" w:color="auto"/>
                <w:bottom w:val="none" w:sz="0" w:space="0" w:color="auto"/>
                <w:right w:val="none" w:sz="0" w:space="0" w:color="auto"/>
              </w:divBdr>
            </w:div>
            <w:div w:id="578713088">
              <w:marLeft w:val="0"/>
              <w:marRight w:val="0"/>
              <w:marTop w:val="0"/>
              <w:marBottom w:val="0"/>
              <w:divBdr>
                <w:top w:val="none" w:sz="0" w:space="0" w:color="auto"/>
                <w:left w:val="none" w:sz="0" w:space="0" w:color="auto"/>
                <w:bottom w:val="none" w:sz="0" w:space="0" w:color="auto"/>
                <w:right w:val="none" w:sz="0" w:space="0" w:color="auto"/>
              </w:divBdr>
            </w:div>
            <w:div w:id="78060628">
              <w:marLeft w:val="0"/>
              <w:marRight w:val="0"/>
              <w:marTop w:val="0"/>
              <w:marBottom w:val="0"/>
              <w:divBdr>
                <w:top w:val="none" w:sz="0" w:space="0" w:color="auto"/>
                <w:left w:val="none" w:sz="0" w:space="0" w:color="auto"/>
                <w:bottom w:val="none" w:sz="0" w:space="0" w:color="auto"/>
                <w:right w:val="none" w:sz="0" w:space="0" w:color="auto"/>
              </w:divBdr>
            </w:div>
            <w:div w:id="1559706356">
              <w:marLeft w:val="0"/>
              <w:marRight w:val="0"/>
              <w:marTop w:val="0"/>
              <w:marBottom w:val="0"/>
              <w:divBdr>
                <w:top w:val="none" w:sz="0" w:space="0" w:color="auto"/>
                <w:left w:val="none" w:sz="0" w:space="0" w:color="auto"/>
                <w:bottom w:val="none" w:sz="0" w:space="0" w:color="auto"/>
                <w:right w:val="none" w:sz="0" w:space="0" w:color="auto"/>
              </w:divBdr>
            </w:div>
            <w:div w:id="953824642">
              <w:marLeft w:val="0"/>
              <w:marRight w:val="0"/>
              <w:marTop w:val="0"/>
              <w:marBottom w:val="0"/>
              <w:divBdr>
                <w:top w:val="none" w:sz="0" w:space="0" w:color="auto"/>
                <w:left w:val="none" w:sz="0" w:space="0" w:color="auto"/>
                <w:bottom w:val="none" w:sz="0" w:space="0" w:color="auto"/>
                <w:right w:val="none" w:sz="0" w:space="0" w:color="auto"/>
              </w:divBdr>
            </w:div>
            <w:div w:id="1110005537">
              <w:marLeft w:val="0"/>
              <w:marRight w:val="0"/>
              <w:marTop w:val="0"/>
              <w:marBottom w:val="0"/>
              <w:divBdr>
                <w:top w:val="none" w:sz="0" w:space="0" w:color="auto"/>
                <w:left w:val="none" w:sz="0" w:space="0" w:color="auto"/>
                <w:bottom w:val="none" w:sz="0" w:space="0" w:color="auto"/>
                <w:right w:val="none" w:sz="0" w:space="0" w:color="auto"/>
              </w:divBdr>
            </w:div>
            <w:div w:id="771821986">
              <w:marLeft w:val="0"/>
              <w:marRight w:val="0"/>
              <w:marTop w:val="0"/>
              <w:marBottom w:val="0"/>
              <w:divBdr>
                <w:top w:val="none" w:sz="0" w:space="0" w:color="auto"/>
                <w:left w:val="none" w:sz="0" w:space="0" w:color="auto"/>
                <w:bottom w:val="none" w:sz="0" w:space="0" w:color="auto"/>
                <w:right w:val="none" w:sz="0" w:space="0" w:color="auto"/>
              </w:divBdr>
            </w:div>
            <w:div w:id="65611110">
              <w:marLeft w:val="0"/>
              <w:marRight w:val="0"/>
              <w:marTop w:val="0"/>
              <w:marBottom w:val="0"/>
              <w:divBdr>
                <w:top w:val="none" w:sz="0" w:space="0" w:color="auto"/>
                <w:left w:val="none" w:sz="0" w:space="0" w:color="auto"/>
                <w:bottom w:val="none" w:sz="0" w:space="0" w:color="auto"/>
                <w:right w:val="none" w:sz="0" w:space="0" w:color="auto"/>
              </w:divBdr>
            </w:div>
            <w:div w:id="1297222579">
              <w:marLeft w:val="0"/>
              <w:marRight w:val="0"/>
              <w:marTop w:val="0"/>
              <w:marBottom w:val="0"/>
              <w:divBdr>
                <w:top w:val="none" w:sz="0" w:space="0" w:color="auto"/>
                <w:left w:val="none" w:sz="0" w:space="0" w:color="auto"/>
                <w:bottom w:val="none" w:sz="0" w:space="0" w:color="auto"/>
                <w:right w:val="none" w:sz="0" w:space="0" w:color="auto"/>
              </w:divBdr>
            </w:div>
            <w:div w:id="1722706660">
              <w:marLeft w:val="0"/>
              <w:marRight w:val="0"/>
              <w:marTop w:val="0"/>
              <w:marBottom w:val="0"/>
              <w:divBdr>
                <w:top w:val="none" w:sz="0" w:space="0" w:color="auto"/>
                <w:left w:val="none" w:sz="0" w:space="0" w:color="auto"/>
                <w:bottom w:val="none" w:sz="0" w:space="0" w:color="auto"/>
                <w:right w:val="none" w:sz="0" w:space="0" w:color="auto"/>
              </w:divBdr>
            </w:div>
            <w:div w:id="1733771077">
              <w:marLeft w:val="0"/>
              <w:marRight w:val="0"/>
              <w:marTop w:val="0"/>
              <w:marBottom w:val="0"/>
              <w:divBdr>
                <w:top w:val="none" w:sz="0" w:space="0" w:color="auto"/>
                <w:left w:val="none" w:sz="0" w:space="0" w:color="auto"/>
                <w:bottom w:val="none" w:sz="0" w:space="0" w:color="auto"/>
                <w:right w:val="none" w:sz="0" w:space="0" w:color="auto"/>
              </w:divBdr>
            </w:div>
            <w:div w:id="1543441578">
              <w:marLeft w:val="0"/>
              <w:marRight w:val="0"/>
              <w:marTop w:val="0"/>
              <w:marBottom w:val="0"/>
              <w:divBdr>
                <w:top w:val="none" w:sz="0" w:space="0" w:color="auto"/>
                <w:left w:val="none" w:sz="0" w:space="0" w:color="auto"/>
                <w:bottom w:val="none" w:sz="0" w:space="0" w:color="auto"/>
                <w:right w:val="none" w:sz="0" w:space="0" w:color="auto"/>
              </w:divBdr>
            </w:div>
            <w:div w:id="1752002969">
              <w:marLeft w:val="0"/>
              <w:marRight w:val="0"/>
              <w:marTop w:val="0"/>
              <w:marBottom w:val="0"/>
              <w:divBdr>
                <w:top w:val="none" w:sz="0" w:space="0" w:color="auto"/>
                <w:left w:val="none" w:sz="0" w:space="0" w:color="auto"/>
                <w:bottom w:val="none" w:sz="0" w:space="0" w:color="auto"/>
                <w:right w:val="none" w:sz="0" w:space="0" w:color="auto"/>
              </w:divBdr>
            </w:div>
            <w:div w:id="627785668">
              <w:marLeft w:val="0"/>
              <w:marRight w:val="0"/>
              <w:marTop w:val="0"/>
              <w:marBottom w:val="0"/>
              <w:divBdr>
                <w:top w:val="none" w:sz="0" w:space="0" w:color="auto"/>
                <w:left w:val="none" w:sz="0" w:space="0" w:color="auto"/>
                <w:bottom w:val="none" w:sz="0" w:space="0" w:color="auto"/>
                <w:right w:val="none" w:sz="0" w:space="0" w:color="auto"/>
              </w:divBdr>
            </w:div>
            <w:div w:id="1605570365">
              <w:marLeft w:val="0"/>
              <w:marRight w:val="0"/>
              <w:marTop w:val="0"/>
              <w:marBottom w:val="0"/>
              <w:divBdr>
                <w:top w:val="none" w:sz="0" w:space="0" w:color="auto"/>
                <w:left w:val="none" w:sz="0" w:space="0" w:color="auto"/>
                <w:bottom w:val="none" w:sz="0" w:space="0" w:color="auto"/>
                <w:right w:val="none" w:sz="0" w:space="0" w:color="auto"/>
              </w:divBdr>
            </w:div>
            <w:div w:id="461313942">
              <w:marLeft w:val="0"/>
              <w:marRight w:val="0"/>
              <w:marTop w:val="0"/>
              <w:marBottom w:val="0"/>
              <w:divBdr>
                <w:top w:val="none" w:sz="0" w:space="0" w:color="auto"/>
                <w:left w:val="none" w:sz="0" w:space="0" w:color="auto"/>
                <w:bottom w:val="none" w:sz="0" w:space="0" w:color="auto"/>
                <w:right w:val="none" w:sz="0" w:space="0" w:color="auto"/>
              </w:divBdr>
            </w:div>
            <w:div w:id="1867523131">
              <w:marLeft w:val="0"/>
              <w:marRight w:val="0"/>
              <w:marTop w:val="0"/>
              <w:marBottom w:val="0"/>
              <w:divBdr>
                <w:top w:val="none" w:sz="0" w:space="0" w:color="auto"/>
                <w:left w:val="none" w:sz="0" w:space="0" w:color="auto"/>
                <w:bottom w:val="none" w:sz="0" w:space="0" w:color="auto"/>
                <w:right w:val="none" w:sz="0" w:space="0" w:color="auto"/>
              </w:divBdr>
            </w:div>
            <w:div w:id="16545250">
              <w:marLeft w:val="0"/>
              <w:marRight w:val="0"/>
              <w:marTop w:val="0"/>
              <w:marBottom w:val="0"/>
              <w:divBdr>
                <w:top w:val="none" w:sz="0" w:space="0" w:color="auto"/>
                <w:left w:val="none" w:sz="0" w:space="0" w:color="auto"/>
                <w:bottom w:val="none" w:sz="0" w:space="0" w:color="auto"/>
                <w:right w:val="none" w:sz="0" w:space="0" w:color="auto"/>
              </w:divBdr>
            </w:div>
            <w:div w:id="234360565">
              <w:marLeft w:val="0"/>
              <w:marRight w:val="0"/>
              <w:marTop w:val="0"/>
              <w:marBottom w:val="0"/>
              <w:divBdr>
                <w:top w:val="none" w:sz="0" w:space="0" w:color="auto"/>
                <w:left w:val="none" w:sz="0" w:space="0" w:color="auto"/>
                <w:bottom w:val="none" w:sz="0" w:space="0" w:color="auto"/>
                <w:right w:val="none" w:sz="0" w:space="0" w:color="auto"/>
              </w:divBdr>
            </w:div>
            <w:div w:id="1377385911">
              <w:marLeft w:val="0"/>
              <w:marRight w:val="0"/>
              <w:marTop w:val="0"/>
              <w:marBottom w:val="0"/>
              <w:divBdr>
                <w:top w:val="none" w:sz="0" w:space="0" w:color="auto"/>
                <w:left w:val="none" w:sz="0" w:space="0" w:color="auto"/>
                <w:bottom w:val="none" w:sz="0" w:space="0" w:color="auto"/>
                <w:right w:val="none" w:sz="0" w:space="0" w:color="auto"/>
              </w:divBdr>
            </w:div>
            <w:div w:id="593174962">
              <w:marLeft w:val="0"/>
              <w:marRight w:val="0"/>
              <w:marTop w:val="0"/>
              <w:marBottom w:val="0"/>
              <w:divBdr>
                <w:top w:val="none" w:sz="0" w:space="0" w:color="auto"/>
                <w:left w:val="none" w:sz="0" w:space="0" w:color="auto"/>
                <w:bottom w:val="none" w:sz="0" w:space="0" w:color="auto"/>
                <w:right w:val="none" w:sz="0" w:space="0" w:color="auto"/>
              </w:divBdr>
            </w:div>
            <w:div w:id="840125347">
              <w:marLeft w:val="0"/>
              <w:marRight w:val="0"/>
              <w:marTop w:val="0"/>
              <w:marBottom w:val="0"/>
              <w:divBdr>
                <w:top w:val="none" w:sz="0" w:space="0" w:color="auto"/>
                <w:left w:val="none" w:sz="0" w:space="0" w:color="auto"/>
                <w:bottom w:val="none" w:sz="0" w:space="0" w:color="auto"/>
                <w:right w:val="none" w:sz="0" w:space="0" w:color="auto"/>
              </w:divBdr>
            </w:div>
            <w:div w:id="1119764476">
              <w:marLeft w:val="0"/>
              <w:marRight w:val="0"/>
              <w:marTop w:val="0"/>
              <w:marBottom w:val="0"/>
              <w:divBdr>
                <w:top w:val="none" w:sz="0" w:space="0" w:color="auto"/>
                <w:left w:val="none" w:sz="0" w:space="0" w:color="auto"/>
                <w:bottom w:val="none" w:sz="0" w:space="0" w:color="auto"/>
                <w:right w:val="none" w:sz="0" w:space="0" w:color="auto"/>
              </w:divBdr>
            </w:div>
            <w:div w:id="904220094">
              <w:marLeft w:val="0"/>
              <w:marRight w:val="0"/>
              <w:marTop w:val="0"/>
              <w:marBottom w:val="0"/>
              <w:divBdr>
                <w:top w:val="none" w:sz="0" w:space="0" w:color="auto"/>
                <w:left w:val="none" w:sz="0" w:space="0" w:color="auto"/>
                <w:bottom w:val="none" w:sz="0" w:space="0" w:color="auto"/>
                <w:right w:val="none" w:sz="0" w:space="0" w:color="auto"/>
              </w:divBdr>
            </w:div>
            <w:div w:id="2114280129">
              <w:marLeft w:val="0"/>
              <w:marRight w:val="0"/>
              <w:marTop w:val="0"/>
              <w:marBottom w:val="0"/>
              <w:divBdr>
                <w:top w:val="none" w:sz="0" w:space="0" w:color="auto"/>
                <w:left w:val="none" w:sz="0" w:space="0" w:color="auto"/>
                <w:bottom w:val="none" w:sz="0" w:space="0" w:color="auto"/>
                <w:right w:val="none" w:sz="0" w:space="0" w:color="auto"/>
              </w:divBdr>
            </w:div>
            <w:div w:id="1035888772">
              <w:marLeft w:val="0"/>
              <w:marRight w:val="0"/>
              <w:marTop w:val="0"/>
              <w:marBottom w:val="0"/>
              <w:divBdr>
                <w:top w:val="none" w:sz="0" w:space="0" w:color="auto"/>
                <w:left w:val="none" w:sz="0" w:space="0" w:color="auto"/>
                <w:bottom w:val="none" w:sz="0" w:space="0" w:color="auto"/>
                <w:right w:val="none" w:sz="0" w:space="0" w:color="auto"/>
              </w:divBdr>
            </w:div>
            <w:div w:id="1070157149">
              <w:marLeft w:val="0"/>
              <w:marRight w:val="0"/>
              <w:marTop w:val="0"/>
              <w:marBottom w:val="0"/>
              <w:divBdr>
                <w:top w:val="none" w:sz="0" w:space="0" w:color="auto"/>
                <w:left w:val="none" w:sz="0" w:space="0" w:color="auto"/>
                <w:bottom w:val="none" w:sz="0" w:space="0" w:color="auto"/>
                <w:right w:val="none" w:sz="0" w:space="0" w:color="auto"/>
              </w:divBdr>
            </w:div>
            <w:div w:id="1983348424">
              <w:marLeft w:val="0"/>
              <w:marRight w:val="0"/>
              <w:marTop w:val="0"/>
              <w:marBottom w:val="0"/>
              <w:divBdr>
                <w:top w:val="none" w:sz="0" w:space="0" w:color="auto"/>
                <w:left w:val="none" w:sz="0" w:space="0" w:color="auto"/>
                <w:bottom w:val="none" w:sz="0" w:space="0" w:color="auto"/>
                <w:right w:val="none" w:sz="0" w:space="0" w:color="auto"/>
              </w:divBdr>
            </w:div>
            <w:div w:id="1621106474">
              <w:marLeft w:val="0"/>
              <w:marRight w:val="0"/>
              <w:marTop w:val="0"/>
              <w:marBottom w:val="0"/>
              <w:divBdr>
                <w:top w:val="none" w:sz="0" w:space="0" w:color="auto"/>
                <w:left w:val="none" w:sz="0" w:space="0" w:color="auto"/>
                <w:bottom w:val="none" w:sz="0" w:space="0" w:color="auto"/>
                <w:right w:val="none" w:sz="0" w:space="0" w:color="auto"/>
              </w:divBdr>
            </w:div>
            <w:div w:id="684282343">
              <w:marLeft w:val="0"/>
              <w:marRight w:val="0"/>
              <w:marTop w:val="0"/>
              <w:marBottom w:val="0"/>
              <w:divBdr>
                <w:top w:val="none" w:sz="0" w:space="0" w:color="auto"/>
                <w:left w:val="none" w:sz="0" w:space="0" w:color="auto"/>
                <w:bottom w:val="none" w:sz="0" w:space="0" w:color="auto"/>
                <w:right w:val="none" w:sz="0" w:space="0" w:color="auto"/>
              </w:divBdr>
            </w:div>
            <w:div w:id="835804001">
              <w:marLeft w:val="0"/>
              <w:marRight w:val="0"/>
              <w:marTop w:val="0"/>
              <w:marBottom w:val="0"/>
              <w:divBdr>
                <w:top w:val="none" w:sz="0" w:space="0" w:color="auto"/>
                <w:left w:val="none" w:sz="0" w:space="0" w:color="auto"/>
                <w:bottom w:val="none" w:sz="0" w:space="0" w:color="auto"/>
                <w:right w:val="none" w:sz="0" w:space="0" w:color="auto"/>
              </w:divBdr>
            </w:div>
            <w:div w:id="887062369">
              <w:marLeft w:val="0"/>
              <w:marRight w:val="0"/>
              <w:marTop w:val="0"/>
              <w:marBottom w:val="0"/>
              <w:divBdr>
                <w:top w:val="none" w:sz="0" w:space="0" w:color="auto"/>
                <w:left w:val="none" w:sz="0" w:space="0" w:color="auto"/>
                <w:bottom w:val="none" w:sz="0" w:space="0" w:color="auto"/>
                <w:right w:val="none" w:sz="0" w:space="0" w:color="auto"/>
              </w:divBdr>
            </w:div>
            <w:div w:id="1357346303">
              <w:marLeft w:val="0"/>
              <w:marRight w:val="0"/>
              <w:marTop w:val="0"/>
              <w:marBottom w:val="0"/>
              <w:divBdr>
                <w:top w:val="none" w:sz="0" w:space="0" w:color="auto"/>
                <w:left w:val="none" w:sz="0" w:space="0" w:color="auto"/>
                <w:bottom w:val="none" w:sz="0" w:space="0" w:color="auto"/>
                <w:right w:val="none" w:sz="0" w:space="0" w:color="auto"/>
              </w:divBdr>
            </w:div>
            <w:div w:id="1572305286">
              <w:marLeft w:val="0"/>
              <w:marRight w:val="0"/>
              <w:marTop w:val="0"/>
              <w:marBottom w:val="0"/>
              <w:divBdr>
                <w:top w:val="none" w:sz="0" w:space="0" w:color="auto"/>
                <w:left w:val="none" w:sz="0" w:space="0" w:color="auto"/>
                <w:bottom w:val="none" w:sz="0" w:space="0" w:color="auto"/>
                <w:right w:val="none" w:sz="0" w:space="0" w:color="auto"/>
              </w:divBdr>
            </w:div>
            <w:div w:id="879635795">
              <w:marLeft w:val="0"/>
              <w:marRight w:val="0"/>
              <w:marTop w:val="0"/>
              <w:marBottom w:val="0"/>
              <w:divBdr>
                <w:top w:val="none" w:sz="0" w:space="0" w:color="auto"/>
                <w:left w:val="none" w:sz="0" w:space="0" w:color="auto"/>
                <w:bottom w:val="none" w:sz="0" w:space="0" w:color="auto"/>
                <w:right w:val="none" w:sz="0" w:space="0" w:color="auto"/>
              </w:divBdr>
            </w:div>
            <w:div w:id="1809585757">
              <w:marLeft w:val="0"/>
              <w:marRight w:val="0"/>
              <w:marTop w:val="0"/>
              <w:marBottom w:val="0"/>
              <w:divBdr>
                <w:top w:val="none" w:sz="0" w:space="0" w:color="auto"/>
                <w:left w:val="none" w:sz="0" w:space="0" w:color="auto"/>
                <w:bottom w:val="none" w:sz="0" w:space="0" w:color="auto"/>
                <w:right w:val="none" w:sz="0" w:space="0" w:color="auto"/>
              </w:divBdr>
            </w:div>
            <w:div w:id="244649495">
              <w:marLeft w:val="0"/>
              <w:marRight w:val="0"/>
              <w:marTop w:val="0"/>
              <w:marBottom w:val="0"/>
              <w:divBdr>
                <w:top w:val="none" w:sz="0" w:space="0" w:color="auto"/>
                <w:left w:val="none" w:sz="0" w:space="0" w:color="auto"/>
                <w:bottom w:val="none" w:sz="0" w:space="0" w:color="auto"/>
                <w:right w:val="none" w:sz="0" w:space="0" w:color="auto"/>
              </w:divBdr>
            </w:div>
            <w:div w:id="608705989">
              <w:marLeft w:val="0"/>
              <w:marRight w:val="0"/>
              <w:marTop w:val="0"/>
              <w:marBottom w:val="0"/>
              <w:divBdr>
                <w:top w:val="none" w:sz="0" w:space="0" w:color="auto"/>
                <w:left w:val="none" w:sz="0" w:space="0" w:color="auto"/>
                <w:bottom w:val="none" w:sz="0" w:space="0" w:color="auto"/>
                <w:right w:val="none" w:sz="0" w:space="0" w:color="auto"/>
              </w:divBdr>
            </w:div>
            <w:div w:id="598412446">
              <w:marLeft w:val="0"/>
              <w:marRight w:val="0"/>
              <w:marTop w:val="0"/>
              <w:marBottom w:val="0"/>
              <w:divBdr>
                <w:top w:val="none" w:sz="0" w:space="0" w:color="auto"/>
                <w:left w:val="none" w:sz="0" w:space="0" w:color="auto"/>
                <w:bottom w:val="none" w:sz="0" w:space="0" w:color="auto"/>
                <w:right w:val="none" w:sz="0" w:space="0" w:color="auto"/>
              </w:divBdr>
            </w:div>
            <w:div w:id="202178736">
              <w:marLeft w:val="0"/>
              <w:marRight w:val="0"/>
              <w:marTop w:val="0"/>
              <w:marBottom w:val="0"/>
              <w:divBdr>
                <w:top w:val="none" w:sz="0" w:space="0" w:color="auto"/>
                <w:left w:val="none" w:sz="0" w:space="0" w:color="auto"/>
                <w:bottom w:val="none" w:sz="0" w:space="0" w:color="auto"/>
                <w:right w:val="none" w:sz="0" w:space="0" w:color="auto"/>
              </w:divBdr>
            </w:div>
            <w:div w:id="1515532544">
              <w:marLeft w:val="0"/>
              <w:marRight w:val="0"/>
              <w:marTop w:val="0"/>
              <w:marBottom w:val="0"/>
              <w:divBdr>
                <w:top w:val="none" w:sz="0" w:space="0" w:color="auto"/>
                <w:left w:val="none" w:sz="0" w:space="0" w:color="auto"/>
                <w:bottom w:val="none" w:sz="0" w:space="0" w:color="auto"/>
                <w:right w:val="none" w:sz="0" w:space="0" w:color="auto"/>
              </w:divBdr>
            </w:div>
            <w:div w:id="1697929800">
              <w:marLeft w:val="0"/>
              <w:marRight w:val="0"/>
              <w:marTop w:val="0"/>
              <w:marBottom w:val="0"/>
              <w:divBdr>
                <w:top w:val="none" w:sz="0" w:space="0" w:color="auto"/>
                <w:left w:val="none" w:sz="0" w:space="0" w:color="auto"/>
                <w:bottom w:val="none" w:sz="0" w:space="0" w:color="auto"/>
                <w:right w:val="none" w:sz="0" w:space="0" w:color="auto"/>
              </w:divBdr>
            </w:div>
            <w:div w:id="523708488">
              <w:marLeft w:val="0"/>
              <w:marRight w:val="0"/>
              <w:marTop w:val="0"/>
              <w:marBottom w:val="0"/>
              <w:divBdr>
                <w:top w:val="none" w:sz="0" w:space="0" w:color="auto"/>
                <w:left w:val="none" w:sz="0" w:space="0" w:color="auto"/>
                <w:bottom w:val="none" w:sz="0" w:space="0" w:color="auto"/>
                <w:right w:val="none" w:sz="0" w:space="0" w:color="auto"/>
              </w:divBdr>
            </w:div>
            <w:div w:id="1765417927">
              <w:marLeft w:val="0"/>
              <w:marRight w:val="0"/>
              <w:marTop w:val="0"/>
              <w:marBottom w:val="0"/>
              <w:divBdr>
                <w:top w:val="none" w:sz="0" w:space="0" w:color="auto"/>
                <w:left w:val="none" w:sz="0" w:space="0" w:color="auto"/>
                <w:bottom w:val="none" w:sz="0" w:space="0" w:color="auto"/>
                <w:right w:val="none" w:sz="0" w:space="0" w:color="auto"/>
              </w:divBdr>
            </w:div>
            <w:div w:id="608436897">
              <w:marLeft w:val="0"/>
              <w:marRight w:val="0"/>
              <w:marTop w:val="0"/>
              <w:marBottom w:val="0"/>
              <w:divBdr>
                <w:top w:val="none" w:sz="0" w:space="0" w:color="auto"/>
                <w:left w:val="none" w:sz="0" w:space="0" w:color="auto"/>
                <w:bottom w:val="none" w:sz="0" w:space="0" w:color="auto"/>
                <w:right w:val="none" w:sz="0" w:space="0" w:color="auto"/>
              </w:divBdr>
            </w:div>
            <w:div w:id="1449855803">
              <w:marLeft w:val="0"/>
              <w:marRight w:val="0"/>
              <w:marTop w:val="0"/>
              <w:marBottom w:val="0"/>
              <w:divBdr>
                <w:top w:val="none" w:sz="0" w:space="0" w:color="auto"/>
                <w:left w:val="none" w:sz="0" w:space="0" w:color="auto"/>
                <w:bottom w:val="none" w:sz="0" w:space="0" w:color="auto"/>
                <w:right w:val="none" w:sz="0" w:space="0" w:color="auto"/>
              </w:divBdr>
            </w:div>
            <w:div w:id="1346637183">
              <w:marLeft w:val="0"/>
              <w:marRight w:val="0"/>
              <w:marTop w:val="0"/>
              <w:marBottom w:val="0"/>
              <w:divBdr>
                <w:top w:val="none" w:sz="0" w:space="0" w:color="auto"/>
                <w:left w:val="none" w:sz="0" w:space="0" w:color="auto"/>
                <w:bottom w:val="none" w:sz="0" w:space="0" w:color="auto"/>
                <w:right w:val="none" w:sz="0" w:space="0" w:color="auto"/>
              </w:divBdr>
            </w:div>
            <w:div w:id="1539585693">
              <w:marLeft w:val="0"/>
              <w:marRight w:val="0"/>
              <w:marTop w:val="0"/>
              <w:marBottom w:val="0"/>
              <w:divBdr>
                <w:top w:val="none" w:sz="0" w:space="0" w:color="auto"/>
                <w:left w:val="none" w:sz="0" w:space="0" w:color="auto"/>
                <w:bottom w:val="none" w:sz="0" w:space="0" w:color="auto"/>
                <w:right w:val="none" w:sz="0" w:space="0" w:color="auto"/>
              </w:divBdr>
            </w:div>
            <w:div w:id="740323632">
              <w:marLeft w:val="0"/>
              <w:marRight w:val="0"/>
              <w:marTop w:val="0"/>
              <w:marBottom w:val="0"/>
              <w:divBdr>
                <w:top w:val="none" w:sz="0" w:space="0" w:color="auto"/>
                <w:left w:val="none" w:sz="0" w:space="0" w:color="auto"/>
                <w:bottom w:val="none" w:sz="0" w:space="0" w:color="auto"/>
                <w:right w:val="none" w:sz="0" w:space="0" w:color="auto"/>
              </w:divBdr>
            </w:div>
            <w:div w:id="1530950795">
              <w:marLeft w:val="0"/>
              <w:marRight w:val="0"/>
              <w:marTop w:val="0"/>
              <w:marBottom w:val="0"/>
              <w:divBdr>
                <w:top w:val="none" w:sz="0" w:space="0" w:color="auto"/>
                <w:left w:val="none" w:sz="0" w:space="0" w:color="auto"/>
                <w:bottom w:val="none" w:sz="0" w:space="0" w:color="auto"/>
                <w:right w:val="none" w:sz="0" w:space="0" w:color="auto"/>
              </w:divBdr>
            </w:div>
            <w:div w:id="896669466">
              <w:marLeft w:val="0"/>
              <w:marRight w:val="0"/>
              <w:marTop w:val="0"/>
              <w:marBottom w:val="0"/>
              <w:divBdr>
                <w:top w:val="none" w:sz="0" w:space="0" w:color="auto"/>
                <w:left w:val="none" w:sz="0" w:space="0" w:color="auto"/>
                <w:bottom w:val="none" w:sz="0" w:space="0" w:color="auto"/>
                <w:right w:val="none" w:sz="0" w:space="0" w:color="auto"/>
              </w:divBdr>
            </w:div>
            <w:div w:id="1443527412">
              <w:marLeft w:val="0"/>
              <w:marRight w:val="0"/>
              <w:marTop w:val="0"/>
              <w:marBottom w:val="0"/>
              <w:divBdr>
                <w:top w:val="none" w:sz="0" w:space="0" w:color="auto"/>
                <w:left w:val="none" w:sz="0" w:space="0" w:color="auto"/>
                <w:bottom w:val="none" w:sz="0" w:space="0" w:color="auto"/>
                <w:right w:val="none" w:sz="0" w:space="0" w:color="auto"/>
              </w:divBdr>
            </w:div>
            <w:div w:id="547838464">
              <w:marLeft w:val="0"/>
              <w:marRight w:val="0"/>
              <w:marTop w:val="0"/>
              <w:marBottom w:val="0"/>
              <w:divBdr>
                <w:top w:val="none" w:sz="0" w:space="0" w:color="auto"/>
                <w:left w:val="none" w:sz="0" w:space="0" w:color="auto"/>
                <w:bottom w:val="none" w:sz="0" w:space="0" w:color="auto"/>
                <w:right w:val="none" w:sz="0" w:space="0" w:color="auto"/>
              </w:divBdr>
            </w:div>
            <w:div w:id="1445418079">
              <w:marLeft w:val="0"/>
              <w:marRight w:val="0"/>
              <w:marTop w:val="0"/>
              <w:marBottom w:val="0"/>
              <w:divBdr>
                <w:top w:val="none" w:sz="0" w:space="0" w:color="auto"/>
                <w:left w:val="none" w:sz="0" w:space="0" w:color="auto"/>
                <w:bottom w:val="none" w:sz="0" w:space="0" w:color="auto"/>
                <w:right w:val="none" w:sz="0" w:space="0" w:color="auto"/>
              </w:divBdr>
            </w:div>
            <w:div w:id="1914005692">
              <w:marLeft w:val="0"/>
              <w:marRight w:val="0"/>
              <w:marTop w:val="0"/>
              <w:marBottom w:val="0"/>
              <w:divBdr>
                <w:top w:val="none" w:sz="0" w:space="0" w:color="auto"/>
                <w:left w:val="none" w:sz="0" w:space="0" w:color="auto"/>
                <w:bottom w:val="none" w:sz="0" w:space="0" w:color="auto"/>
                <w:right w:val="none" w:sz="0" w:space="0" w:color="auto"/>
              </w:divBdr>
            </w:div>
            <w:div w:id="471754647">
              <w:marLeft w:val="0"/>
              <w:marRight w:val="0"/>
              <w:marTop w:val="0"/>
              <w:marBottom w:val="0"/>
              <w:divBdr>
                <w:top w:val="none" w:sz="0" w:space="0" w:color="auto"/>
                <w:left w:val="none" w:sz="0" w:space="0" w:color="auto"/>
                <w:bottom w:val="none" w:sz="0" w:space="0" w:color="auto"/>
                <w:right w:val="none" w:sz="0" w:space="0" w:color="auto"/>
              </w:divBdr>
            </w:div>
            <w:div w:id="859049974">
              <w:marLeft w:val="0"/>
              <w:marRight w:val="0"/>
              <w:marTop w:val="0"/>
              <w:marBottom w:val="0"/>
              <w:divBdr>
                <w:top w:val="none" w:sz="0" w:space="0" w:color="auto"/>
                <w:left w:val="none" w:sz="0" w:space="0" w:color="auto"/>
                <w:bottom w:val="none" w:sz="0" w:space="0" w:color="auto"/>
                <w:right w:val="none" w:sz="0" w:space="0" w:color="auto"/>
              </w:divBdr>
            </w:div>
            <w:div w:id="1708215218">
              <w:marLeft w:val="0"/>
              <w:marRight w:val="0"/>
              <w:marTop w:val="0"/>
              <w:marBottom w:val="0"/>
              <w:divBdr>
                <w:top w:val="none" w:sz="0" w:space="0" w:color="auto"/>
                <w:left w:val="none" w:sz="0" w:space="0" w:color="auto"/>
                <w:bottom w:val="none" w:sz="0" w:space="0" w:color="auto"/>
                <w:right w:val="none" w:sz="0" w:space="0" w:color="auto"/>
              </w:divBdr>
            </w:div>
            <w:div w:id="2024017027">
              <w:marLeft w:val="0"/>
              <w:marRight w:val="0"/>
              <w:marTop w:val="0"/>
              <w:marBottom w:val="0"/>
              <w:divBdr>
                <w:top w:val="none" w:sz="0" w:space="0" w:color="auto"/>
                <w:left w:val="none" w:sz="0" w:space="0" w:color="auto"/>
                <w:bottom w:val="none" w:sz="0" w:space="0" w:color="auto"/>
                <w:right w:val="none" w:sz="0" w:space="0" w:color="auto"/>
              </w:divBdr>
            </w:div>
            <w:div w:id="400449477">
              <w:marLeft w:val="0"/>
              <w:marRight w:val="0"/>
              <w:marTop w:val="0"/>
              <w:marBottom w:val="0"/>
              <w:divBdr>
                <w:top w:val="none" w:sz="0" w:space="0" w:color="auto"/>
                <w:left w:val="none" w:sz="0" w:space="0" w:color="auto"/>
                <w:bottom w:val="none" w:sz="0" w:space="0" w:color="auto"/>
                <w:right w:val="none" w:sz="0" w:space="0" w:color="auto"/>
              </w:divBdr>
            </w:div>
            <w:div w:id="721173469">
              <w:marLeft w:val="0"/>
              <w:marRight w:val="0"/>
              <w:marTop w:val="0"/>
              <w:marBottom w:val="0"/>
              <w:divBdr>
                <w:top w:val="none" w:sz="0" w:space="0" w:color="auto"/>
                <w:left w:val="none" w:sz="0" w:space="0" w:color="auto"/>
                <w:bottom w:val="none" w:sz="0" w:space="0" w:color="auto"/>
                <w:right w:val="none" w:sz="0" w:space="0" w:color="auto"/>
              </w:divBdr>
            </w:div>
            <w:div w:id="939877906">
              <w:marLeft w:val="0"/>
              <w:marRight w:val="0"/>
              <w:marTop w:val="0"/>
              <w:marBottom w:val="0"/>
              <w:divBdr>
                <w:top w:val="none" w:sz="0" w:space="0" w:color="auto"/>
                <w:left w:val="none" w:sz="0" w:space="0" w:color="auto"/>
                <w:bottom w:val="none" w:sz="0" w:space="0" w:color="auto"/>
                <w:right w:val="none" w:sz="0" w:space="0" w:color="auto"/>
              </w:divBdr>
            </w:div>
            <w:div w:id="1818450066">
              <w:marLeft w:val="0"/>
              <w:marRight w:val="0"/>
              <w:marTop w:val="0"/>
              <w:marBottom w:val="0"/>
              <w:divBdr>
                <w:top w:val="none" w:sz="0" w:space="0" w:color="auto"/>
                <w:left w:val="none" w:sz="0" w:space="0" w:color="auto"/>
                <w:bottom w:val="none" w:sz="0" w:space="0" w:color="auto"/>
                <w:right w:val="none" w:sz="0" w:space="0" w:color="auto"/>
              </w:divBdr>
            </w:div>
            <w:div w:id="201334753">
              <w:marLeft w:val="0"/>
              <w:marRight w:val="0"/>
              <w:marTop w:val="0"/>
              <w:marBottom w:val="0"/>
              <w:divBdr>
                <w:top w:val="none" w:sz="0" w:space="0" w:color="auto"/>
                <w:left w:val="none" w:sz="0" w:space="0" w:color="auto"/>
                <w:bottom w:val="none" w:sz="0" w:space="0" w:color="auto"/>
                <w:right w:val="none" w:sz="0" w:space="0" w:color="auto"/>
              </w:divBdr>
            </w:div>
            <w:div w:id="17200143">
              <w:marLeft w:val="0"/>
              <w:marRight w:val="0"/>
              <w:marTop w:val="0"/>
              <w:marBottom w:val="0"/>
              <w:divBdr>
                <w:top w:val="none" w:sz="0" w:space="0" w:color="auto"/>
                <w:left w:val="none" w:sz="0" w:space="0" w:color="auto"/>
                <w:bottom w:val="none" w:sz="0" w:space="0" w:color="auto"/>
                <w:right w:val="none" w:sz="0" w:space="0" w:color="auto"/>
              </w:divBdr>
            </w:div>
            <w:div w:id="149828487">
              <w:marLeft w:val="0"/>
              <w:marRight w:val="0"/>
              <w:marTop w:val="0"/>
              <w:marBottom w:val="0"/>
              <w:divBdr>
                <w:top w:val="none" w:sz="0" w:space="0" w:color="auto"/>
                <w:left w:val="none" w:sz="0" w:space="0" w:color="auto"/>
                <w:bottom w:val="none" w:sz="0" w:space="0" w:color="auto"/>
                <w:right w:val="none" w:sz="0" w:space="0" w:color="auto"/>
              </w:divBdr>
            </w:div>
            <w:div w:id="1549024954">
              <w:marLeft w:val="0"/>
              <w:marRight w:val="0"/>
              <w:marTop w:val="0"/>
              <w:marBottom w:val="0"/>
              <w:divBdr>
                <w:top w:val="none" w:sz="0" w:space="0" w:color="auto"/>
                <w:left w:val="none" w:sz="0" w:space="0" w:color="auto"/>
                <w:bottom w:val="none" w:sz="0" w:space="0" w:color="auto"/>
                <w:right w:val="none" w:sz="0" w:space="0" w:color="auto"/>
              </w:divBdr>
            </w:div>
            <w:div w:id="197738061">
              <w:marLeft w:val="0"/>
              <w:marRight w:val="0"/>
              <w:marTop w:val="0"/>
              <w:marBottom w:val="0"/>
              <w:divBdr>
                <w:top w:val="none" w:sz="0" w:space="0" w:color="auto"/>
                <w:left w:val="none" w:sz="0" w:space="0" w:color="auto"/>
                <w:bottom w:val="none" w:sz="0" w:space="0" w:color="auto"/>
                <w:right w:val="none" w:sz="0" w:space="0" w:color="auto"/>
              </w:divBdr>
            </w:div>
            <w:div w:id="791247859">
              <w:marLeft w:val="0"/>
              <w:marRight w:val="0"/>
              <w:marTop w:val="0"/>
              <w:marBottom w:val="0"/>
              <w:divBdr>
                <w:top w:val="none" w:sz="0" w:space="0" w:color="auto"/>
                <w:left w:val="none" w:sz="0" w:space="0" w:color="auto"/>
                <w:bottom w:val="none" w:sz="0" w:space="0" w:color="auto"/>
                <w:right w:val="none" w:sz="0" w:space="0" w:color="auto"/>
              </w:divBdr>
            </w:div>
            <w:div w:id="1079981614">
              <w:marLeft w:val="0"/>
              <w:marRight w:val="0"/>
              <w:marTop w:val="0"/>
              <w:marBottom w:val="0"/>
              <w:divBdr>
                <w:top w:val="none" w:sz="0" w:space="0" w:color="auto"/>
                <w:left w:val="none" w:sz="0" w:space="0" w:color="auto"/>
                <w:bottom w:val="none" w:sz="0" w:space="0" w:color="auto"/>
                <w:right w:val="none" w:sz="0" w:space="0" w:color="auto"/>
              </w:divBdr>
            </w:div>
            <w:div w:id="574826500">
              <w:marLeft w:val="0"/>
              <w:marRight w:val="0"/>
              <w:marTop w:val="0"/>
              <w:marBottom w:val="0"/>
              <w:divBdr>
                <w:top w:val="none" w:sz="0" w:space="0" w:color="auto"/>
                <w:left w:val="none" w:sz="0" w:space="0" w:color="auto"/>
                <w:bottom w:val="none" w:sz="0" w:space="0" w:color="auto"/>
                <w:right w:val="none" w:sz="0" w:space="0" w:color="auto"/>
              </w:divBdr>
            </w:div>
            <w:div w:id="1055931095">
              <w:marLeft w:val="0"/>
              <w:marRight w:val="0"/>
              <w:marTop w:val="0"/>
              <w:marBottom w:val="0"/>
              <w:divBdr>
                <w:top w:val="none" w:sz="0" w:space="0" w:color="auto"/>
                <w:left w:val="none" w:sz="0" w:space="0" w:color="auto"/>
                <w:bottom w:val="none" w:sz="0" w:space="0" w:color="auto"/>
                <w:right w:val="none" w:sz="0" w:space="0" w:color="auto"/>
              </w:divBdr>
            </w:div>
            <w:div w:id="1784610911">
              <w:marLeft w:val="0"/>
              <w:marRight w:val="0"/>
              <w:marTop w:val="0"/>
              <w:marBottom w:val="0"/>
              <w:divBdr>
                <w:top w:val="none" w:sz="0" w:space="0" w:color="auto"/>
                <w:left w:val="none" w:sz="0" w:space="0" w:color="auto"/>
                <w:bottom w:val="none" w:sz="0" w:space="0" w:color="auto"/>
                <w:right w:val="none" w:sz="0" w:space="0" w:color="auto"/>
              </w:divBdr>
            </w:div>
            <w:div w:id="1332609592">
              <w:marLeft w:val="0"/>
              <w:marRight w:val="0"/>
              <w:marTop w:val="0"/>
              <w:marBottom w:val="0"/>
              <w:divBdr>
                <w:top w:val="none" w:sz="0" w:space="0" w:color="auto"/>
                <w:left w:val="none" w:sz="0" w:space="0" w:color="auto"/>
                <w:bottom w:val="none" w:sz="0" w:space="0" w:color="auto"/>
                <w:right w:val="none" w:sz="0" w:space="0" w:color="auto"/>
              </w:divBdr>
            </w:div>
            <w:div w:id="629097189">
              <w:marLeft w:val="0"/>
              <w:marRight w:val="0"/>
              <w:marTop w:val="0"/>
              <w:marBottom w:val="0"/>
              <w:divBdr>
                <w:top w:val="none" w:sz="0" w:space="0" w:color="auto"/>
                <w:left w:val="none" w:sz="0" w:space="0" w:color="auto"/>
                <w:bottom w:val="none" w:sz="0" w:space="0" w:color="auto"/>
                <w:right w:val="none" w:sz="0" w:space="0" w:color="auto"/>
              </w:divBdr>
            </w:div>
            <w:div w:id="1944798222">
              <w:marLeft w:val="0"/>
              <w:marRight w:val="0"/>
              <w:marTop w:val="0"/>
              <w:marBottom w:val="0"/>
              <w:divBdr>
                <w:top w:val="none" w:sz="0" w:space="0" w:color="auto"/>
                <w:left w:val="none" w:sz="0" w:space="0" w:color="auto"/>
                <w:bottom w:val="none" w:sz="0" w:space="0" w:color="auto"/>
                <w:right w:val="none" w:sz="0" w:space="0" w:color="auto"/>
              </w:divBdr>
            </w:div>
            <w:div w:id="1737514379">
              <w:marLeft w:val="0"/>
              <w:marRight w:val="0"/>
              <w:marTop w:val="0"/>
              <w:marBottom w:val="0"/>
              <w:divBdr>
                <w:top w:val="none" w:sz="0" w:space="0" w:color="auto"/>
                <w:left w:val="none" w:sz="0" w:space="0" w:color="auto"/>
                <w:bottom w:val="none" w:sz="0" w:space="0" w:color="auto"/>
                <w:right w:val="none" w:sz="0" w:space="0" w:color="auto"/>
              </w:divBdr>
            </w:div>
            <w:div w:id="827549534">
              <w:marLeft w:val="0"/>
              <w:marRight w:val="0"/>
              <w:marTop w:val="0"/>
              <w:marBottom w:val="0"/>
              <w:divBdr>
                <w:top w:val="none" w:sz="0" w:space="0" w:color="auto"/>
                <w:left w:val="none" w:sz="0" w:space="0" w:color="auto"/>
                <w:bottom w:val="none" w:sz="0" w:space="0" w:color="auto"/>
                <w:right w:val="none" w:sz="0" w:space="0" w:color="auto"/>
              </w:divBdr>
            </w:div>
            <w:div w:id="824399366">
              <w:marLeft w:val="0"/>
              <w:marRight w:val="0"/>
              <w:marTop w:val="0"/>
              <w:marBottom w:val="0"/>
              <w:divBdr>
                <w:top w:val="none" w:sz="0" w:space="0" w:color="auto"/>
                <w:left w:val="none" w:sz="0" w:space="0" w:color="auto"/>
                <w:bottom w:val="none" w:sz="0" w:space="0" w:color="auto"/>
                <w:right w:val="none" w:sz="0" w:space="0" w:color="auto"/>
              </w:divBdr>
            </w:div>
            <w:div w:id="1158496437">
              <w:marLeft w:val="0"/>
              <w:marRight w:val="0"/>
              <w:marTop w:val="0"/>
              <w:marBottom w:val="0"/>
              <w:divBdr>
                <w:top w:val="none" w:sz="0" w:space="0" w:color="auto"/>
                <w:left w:val="none" w:sz="0" w:space="0" w:color="auto"/>
                <w:bottom w:val="none" w:sz="0" w:space="0" w:color="auto"/>
                <w:right w:val="none" w:sz="0" w:space="0" w:color="auto"/>
              </w:divBdr>
            </w:div>
            <w:div w:id="2126650698">
              <w:marLeft w:val="0"/>
              <w:marRight w:val="0"/>
              <w:marTop w:val="0"/>
              <w:marBottom w:val="0"/>
              <w:divBdr>
                <w:top w:val="none" w:sz="0" w:space="0" w:color="auto"/>
                <w:left w:val="none" w:sz="0" w:space="0" w:color="auto"/>
                <w:bottom w:val="none" w:sz="0" w:space="0" w:color="auto"/>
                <w:right w:val="none" w:sz="0" w:space="0" w:color="auto"/>
              </w:divBdr>
            </w:div>
            <w:div w:id="684136801">
              <w:marLeft w:val="0"/>
              <w:marRight w:val="0"/>
              <w:marTop w:val="0"/>
              <w:marBottom w:val="0"/>
              <w:divBdr>
                <w:top w:val="none" w:sz="0" w:space="0" w:color="auto"/>
                <w:left w:val="none" w:sz="0" w:space="0" w:color="auto"/>
                <w:bottom w:val="none" w:sz="0" w:space="0" w:color="auto"/>
                <w:right w:val="none" w:sz="0" w:space="0" w:color="auto"/>
              </w:divBdr>
            </w:div>
            <w:div w:id="586502131">
              <w:marLeft w:val="0"/>
              <w:marRight w:val="0"/>
              <w:marTop w:val="0"/>
              <w:marBottom w:val="0"/>
              <w:divBdr>
                <w:top w:val="none" w:sz="0" w:space="0" w:color="auto"/>
                <w:left w:val="none" w:sz="0" w:space="0" w:color="auto"/>
                <w:bottom w:val="none" w:sz="0" w:space="0" w:color="auto"/>
                <w:right w:val="none" w:sz="0" w:space="0" w:color="auto"/>
              </w:divBdr>
            </w:div>
            <w:div w:id="1114329651">
              <w:marLeft w:val="0"/>
              <w:marRight w:val="0"/>
              <w:marTop w:val="0"/>
              <w:marBottom w:val="0"/>
              <w:divBdr>
                <w:top w:val="none" w:sz="0" w:space="0" w:color="auto"/>
                <w:left w:val="none" w:sz="0" w:space="0" w:color="auto"/>
                <w:bottom w:val="none" w:sz="0" w:space="0" w:color="auto"/>
                <w:right w:val="none" w:sz="0" w:space="0" w:color="auto"/>
              </w:divBdr>
            </w:div>
            <w:div w:id="492067667">
              <w:marLeft w:val="0"/>
              <w:marRight w:val="0"/>
              <w:marTop w:val="0"/>
              <w:marBottom w:val="0"/>
              <w:divBdr>
                <w:top w:val="none" w:sz="0" w:space="0" w:color="auto"/>
                <w:left w:val="none" w:sz="0" w:space="0" w:color="auto"/>
                <w:bottom w:val="none" w:sz="0" w:space="0" w:color="auto"/>
                <w:right w:val="none" w:sz="0" w:space="0" w:color="auto"/>
              </w:divBdr>
            </w:div>
            <w:div w:id="283078997">
              <w:marLeft w:val="0"/>
              <w:marRight w:val="0"/>
              <w:marTop w:val="0"/>
              <w:marBottom w:val="0"/>
              <w:divBdr>
                <w:top w:val="none" w:sz="0" w:space="0" w:color="auto"/>
                <w:left w:val="none" w:sz="0" w:space="0" w:color="auto"/>
                <w:bottom w:val="none" w:sz="0" w:space="0" w:color="auto"/>
                <w:right w:val="none" w:sz="0" w:space="0" w:color="auto"/>
              </w:divBdr>
            </w:div>
            <w:div w:id="53434395">
              <w:marLeft w:val="0"/>
              <w:marRight w:val="0"/>
              <w:marTop w:val="0"/>
              <w:marBottom w:val="0"/>
              <w:divBdr>
                <w:top w:val="none" w:sz="0" w:space="0" w:color="auto"/>
                <w:left w:val="none" w:sz="0" w:space="0" w:color="auto"/>
                <w:bottom w:val="none" w:sz="0" w:space="0" w:color="auto"/>
                <w:right w:val="none" w:sz="0" w:space="0" w:color="auto"/>
              </w:divBdr>
            </w:div>
            <w:div w:id="720788414">
              <w:marLeft w:val="0"/>
              <w:marRight w:val="0"/>
              <w:marTop w:val="0"/>
              <w:marBottom w:val="0"/>
              <w:divBdr>
                <w:top w:val="none" w:sz="0" w:space="0" w:color="auto"/>
                <w:left w:val="none" w:sz="0" w:space="0" w:color="auto"/>
                <w:bottom w:val="none" w:sz="0" w:space="0" w:color="auto"/>
                <w:right w:val="none" w:sz="0" w:space="0" w:color="auto"/>
              </w:divBdr>
            </w:div>
            <w:div w:id="553007532">
              <w:marLeft w:val="0"/>
              <w:marRight w:val="0"/>
              <w:marTop w:val="0"/>
              <w:marBottom w:val="0"/>
              <w:divBdr>
                <w:top w:val="none" w:sz="0" w:space="0" w:color="auto"/>
                <w:left w:val="none" w:sz="0" w:space="0" w:color="auto"/>
                <w:bottom w:val="none" w:sz="0" w:space="0" w:color="auto"/>
                <w:right w:val="none" w:sz="0" w:space="0" w:color="auto"/>
              </w:divBdr>
            </w:div>
            <w:div w:id="140118141">
              <w:marLeft w:val="0"/>
              <w:marRight w:val="0"/>
              <w:marTop w:val="0"/>
              <w:marBottom w:val="0"/>
              <w:divBdr>
                <w:top w:val="none" w:sz="0" w:space="0" w:color="auto"/>
                <w:left w:val="none" w:sz="0" w:space="0" w:color="auto"/>
                <w:bottom w:val="none" w:sz="0" w:space="0" w:color="auto"/>
                <w:right w:val="none" w:sz="0" w:space="0" w:color="auto"/>
              </w:divBdr>
            </w:div>
            <w:div w:id="924655642">
              <w:marLeft w:val="0"/>
              <w:marRight w:val="0"/>
              <w:marTop w:val="0"/>
              <w:marBottom w:val="0"/>
              <w:divBdr>
                <w:top w:val="none" w:sz="0" w:space="0" w:color="auto"/>
                <w:left w:val="none" w:sz="0" w:space="0" w:color="auto"/>
                <w:bottom w:val="none" w:sz="0" w:space="0" w:color="auto"/>
                <w:right w:val="none" w:sz="0" w:space="0" w:color="auto"/>
              </w:divBdr>
            </w:div>
            <w:div w:id="694690826">
              <w:marLeft w:val="0"/>
              <w:marRight w:val="0"/>
              <w:marTop w:val="0"/>
              <w:marBottom w:val="0"/>
              <w:divBdr>
                <w:top w:val="none" w:sz="0" w:space="0" w:color="auto"/>
                <w:left w:val="none" w:sz="0" w:space="0" w:color="auto"/>
                <w:bottom w:val="none" w:sz="0" w:space="0" w:color="auto"/>
                <w:right w:val="none" w:sz="0" w:space="0" w:color="auto"/>
              </w:divBdr>
            </w:div>
            <w:div w:id="769277721">
              <w:marLeft w:val="0"/>
              <w:marRight w:val="0"/>
              <w:marTop w:val="0"/>
              <w:marBottom w:val="0"/>
              <w:divBdr>
                <w:top w:val="none" w:sz="0" w:space="0" w:color="auto"/>
                <w:left w:val="none" w:sz="0" w:space="0" w:color="auto"/>
                <w:bottom w:val="none" w:sz="0" w:space="0" w:color="auto"/>
                <w:right w:val="none" w:sz="0" w:space="0" w:color="auto"/>
              </w:divBdr>
            </w:div>
            <w:div w:id="746849331">
              <w:marLeft w:val="0"/>
              <w:marRight w:val="0"/>
              <w:marTop w:val="0"/>
              <w:marBottom w:val="0"/>
              <w:divBdr>
                <w:top w:val="none" w:sz="0" w:space="0" w:color="auto"/>
                <w:left w:val="none" w:sz="0" w:space="0" w:color="auto"/>
                <w:bottom w:val="none" w:sz="0" w:space="0" w:color="auto"/>
                <w:right w:val="none" w:sz="0" w:space="0" w:color="auto"/>
              </w:divBdr>
            </w:div>
            <w:div w:id="751706282">
              <w:marLeft w:val="0"/>
              <w:marRight w:val="0"/>
              <w:marTop w:val="0"/>
              <w:marBottom w:val="0"/>
              <w:divBdr>
                <w:top w:val="none" w:sz="0" w:space="0" w:color="auto"/>
                <w:left w:val="none" w:sz="0" w:space="0" w:color="auto"/>
                <w:bottom w:val="none" w:sz="0" w:space="0" w:color="auto"/>
                <w:right w:val="none" w:sz="0" w:space="0" w:color="auto"/>
              </w:divBdr>
            </w:div>
            <w:div w:id="766384104">
              <w:marLeft w:val="0"/>
              <w:marRight w:val="0"/>
              <w:marTop w:val="0"/>
              <w:marBottom w:val="0"/>
              <w:divBdr>
                <w:top w:val="none" w:sz="0" w:space="0" w:color="auto"/>
                <w:left w:val="none" w:sz="0" w:space="0" w:color="auto"/>
                <w:bottom w:val="none" w:sz="0" w:space="0" w:color="auto"/>
                <w:right w:val="none" w:sz="0" w:space="0" w:color="auto"/>
              </w:divBdr>
            </w:div>
            <w:div w:id="853423152">
              <w:marLeft w:val="0"/>
              <w:marRight w:val="0"/>
              <w:marTop w:val="0"/>
              <w:marBottom w:val="0"/>
              <w:divBdr>
                <w:top w:val="none" w:sz="0" w:space="0" w:color="auto"/>
                <w:left w:val="none" w:sz="0" w:space="0" w:color="auto"/>
                <w:bottom w:val="none" w:sz="0" w:space="0" w:color="auto"/>
                <w:right w:val="none" w:sz="0" w:space="0" w:color="auto"/>
              </w:divBdr>
            </w:div>
            <w:div w:id="703018561">
              <w:marLeft w:val="0"/>
              <w:marRight w:val="0"/>
              <w:marTop w:val="0"/>
              <w:marBottom w:val="0"/>
              <w:divBdr>
                <w:top w:val="none" w:sz="0" w:space="0" w:color="auto"/>
                <w:left w:val="none" w:sz="0" w:space="0" w:color="auto"/>
                <w:bottom w:val="none" w:sz="0" w:space="0" w:color="auto"/>
                <w:right w:val="none" w:sz="0" w:space="0" w:color="auto"/>
              </w:divBdr>
            </w:div>
            <w:div w:id="2021926604">
              <w:marLeft w:val="0"/>
              <w:marRight w:val="0"/>
              <w:marTop w:val="0"/>
              <w:marBottom w:val="0"/>
              <w:divBdr>
                <w:top w:val="none" w:sz="0" w:space="0" w:color="auto"/>
                <w:left w:val="none" w:sz="0" w:space="0" w:color="auto"/>
                <w:bottom w:val="none" w:sz="0" w:space="0" w:color="auto"/>
                <w:right w:val="none" w:sz="0" w:space="0" w:color="auto"/>
              </w:divBdr>
            </w:div>
            <w:div w:id="1918711800">
              <w:marLeft w:val="0"/>
              <w:marRight w:val="0"/>
              <w:marTop w:val="0"/>
              <w:marBottom w:val="0"/>
              <w:divBdr>
                <w:top w:val="none" w:sz="0" w:space="0" w:color="auto"/>
                <w:left w:val="none" w:sz="0" w:space="0" w:color="auto"/>
                <w:bottom w:val="none" w:sz="0" w:space="0" w:color="auto"/>
                <w:right w:val="none" w:sz="0" w:space="0" w:color="auto"/>
              </w:divBdr>
            </w:div>
            <w:div w:id="776219510">
              <w:marLeft w:val="0"/>
              <w:marRight w:val="0"/>
              <w:marTop w:val="0"/>
              <w:marBottom w:val="0"/>
              <w:divBdr>
                <w:top w:val="none" w:sz="0" w:space="0" w:color="auto"/>
                <w:left w:val="none" w:sz="0" w:space="0" w:color="auto"/>
                <w:bottom w:val="none" w:sz="0" w:space="0" w:color="auto"/>
                <w:right w:val="none" w:sz="0" w:space="0" w:color="auto"/>
              </w:divBdr>
            </w:div>
            <w:div w:id="1835486477">
              <w:marLeft w:val="0"/>
              <w:marRight w:val="0"/>
              <w:marTop w:val="0"/>
              <w:marBottom w:val="0"/>
              <w:divBdr>
                <w:top w:val="none" w:sz="0" w:space="0" w:color="auto"/>
                <w:left w:val="none" w:sz="0" w:space="0" w:color="auto"/>
                <w:bottom w:val="none" w:sz="0" w:space="0" w:color="auto"/>
                <w:right w:val="none" w:sz="0" w:space="0" w:color="auto"/>
              </w:divBdr>
            </w:div>
            <w:div w:id="467237668">
              <w:marLeft w:val="0"/>
              <w:marRight w:val="0"/>
              <w:marTop w:val="0"/>
              <w:marBottom w:val="0"/>
              <w:divBdr>
                <w:top w:val="none" w:sz="0" w:space="0" w:color="auto"/>
                <w:left w:val="none" w:sz="0" w:space="0" w:color="auto"/>
                <w:bottom w:val="none" w:sz="0" w:space="0" w:color="auto"/>
                <w:right w:val="none" w:sz="0" w:space="0" w:color="auto"/>
              </w:divBdr>
            </w:div>
            <w:div w:id="994450268">
              <w:marLeft w:val="0"/>
              <w:marRight w:val="0"/>
              <w:marTop w:val="0"/>
              <w:marBottom w:val="0"/>
              <w:divBdr>
                <w:top w:val="none" w:sz="0" w:space="0" w:color="auto"/>
                <w:left w:val="none" w:sz="0" w:space="0" w:color="auto"/>
                <w:bottom w:val="none" w:sz="0" w:space="0" w:color="auto"/>
                <w:right w:val="none" w:sz="0" w:space="0" w:color="auto"/>
              </w:divBdr>
            </w:div>
            <w:div w:id="444884013">
              <w:marLeft w:val="0"/>
              <w:marRight w:val="0"/>
              <w:marTop w:val="0"/>
              <w:marBottom w:val="0"/>
              <w:divBdr>
                <w:top w:val="none" w:sz="0" w:space="0" w:color="auto"/>
                <w:left w:val="none" w:sz="0" w:space="0" w:color="auto"/>
                <w:bottom w:val="none" w:sz="0" w:space="0" w:color="auto"/>
                <w:right w:val="none" w:sz="0" w:space="0" w:color="auto"/>
              </w:divBdr>
            </w:div>
            <w:div w:id="883517031">
              <w:marLeft w:val="0"/>
              <w:marRight w:val="0"/>
              <w:marTop w:val="0"/>
              <w:marBottom w:val="0"/>
              <w:divBdr>
                <w:top w:val="none" w:sz="0" w:space="0" w:color="auto"/>
                <w:left w:val="none" w:sz="0" w:space="0" w:color="auto"/>
                <w:bottom w:val="none" w:sz="0" w:space="0" w:color="auto"/>
                <w:right w:val="none" w:sz="0" w:space="0" w:color="auto"/>
              </w:divBdr>
            </w:div>
            <w:div w:id="870383846">
              <w:marLeft w:val="0"/>
              <w:marRight w:val="0"/>
              <w:marTop w:val="0"/>
              <w:marBottom w:val="0"/>
              <w:divBdr>
                <w:top w:val="none" w:sz="0" w:space="0" w:color="auto"/>
                <w:left w:val="none" w:sz="0" w:space="0" w:color="auto"/>
                <w:bottom w:val="none" w:sz="0" w:space="0" w:color="auto"/>
                <w:right w:val="none" w:sz="0" w:space="0" w:color="auto"/>
              </w:divBdr>
            </w:div>
            <w:div w:id="260143473">
              <w:marLeft w:val="0"/>
              <w:marRight w:val="0"/>
              <w:marTop w:val="0"/>
              <w:marBottom w:val="0"/>
              <w:divBdr>
                <w:top w:val="none" w:sz="0" w:space="0" w:color="auto"/>
                <w:left w:val="none" w:sz="0" w:space="0" w:color="auto"/>
                <w:bottom w:val="none" w:sz="0" w:space="0" w:color="auto"/>
                <w:right w:val="none" w:sz="0" w:space="0" w:color="auto"/>
              </w:divBdr>
            </w:div>
            <w:div w:id="90860949">
              <w:marLeft w:val="0"/>
              <w:marRight w:val="0"/>
              <w:marTop w:val="0"/>
              <w:marBottom w:val="0"/>
              <w:divBdr>
                <w:top w:val="none" w:sz="0" w:space="0" w:color="auto"/>
                <w:left w:val="none" w:sz="0" w:space="0" w:color="auto"/>
                <w:bottom w:val="none" w:sz="0" w:space="0" w:color="auto"/>
                <w:right w:val="none" w:sz="0" w:space="0" w:color="auto"/>
              </w:divBdr>
            </w:div>
            <w:div w:id="263541010">
              <w:marLeft w:val="0"/>
              <w:marRight w:val="0"/>
              <w:marTop w:val="0"/>
              <w:marBottom w:val="0"/>
              <w:divBdr>
                <w:top w:val="none" w:sz="0" w:space="0" w:color="auto"/>
                <w:left w:val="none" w:sz="0" w:space="0" w:color="auto"/>
                <w:bottom w:val="none" w:sz="0" w:space="0" w:color="auto"/>
                <w:right w:val="none" w:sz="0" w:space="0" w:color="auto"/>
              </w:divBdr>
            </w:div>
            <w:div w:id="1085150889">
              <w:marLeft w:val="0"/>
              <w:marRight w:val="0"/>
              <w:marTop w:val="0"/>
              <w:marBottom w:val="0"/>
              <w:divBdr>
                <w:top w:val="none" w:sz="0" w:space="0" w:color="auto"/>
                <w:left w:val="none" w:sz="0" w:space="0" w:color="auto"/>
                <w:bottom w:val="none" w:sz="0" w:space="0" w:color="auto"/>
                <w:right w:val="none" w:sz="0" w:space="0" w:color="auto"/>
              </w:divBdr>
            </w:div>
            <w:div w:id="1557886999">
              <w:marLeft w:val="0"/>
              <w:marRight w:val="0"/>
              <w:marTop w:val="0"/>
              <w:marBottom w:val="0"/>
              <w:divBdr>
                <w:top w:val="none" w:sz="0" w:space="0" w:color="auto"/>
                <w:left w:val="none" w:sz="0" w:space="0" w:color="auto"/>
                <w:bottom w:val="none" w:sz="0" w:space="0" w:color="auto"/>
                <w:right w:val="none" w:sz="0" w:space="0" w:color="auto"/>
              </w:divBdr>
            </w:div>
            <w:div w:id="639657456">
              <w:marLeft w:val="0"/>
              <w:marRight w:val="0"/>
              <w:marTop w:val="0"/>
              <w:marBottom w:val="0"/>
              <w:divBdr>
                <w:top w:val="none" w:sz="0" w:space="0" w:color="auto"/>
                <w:left w:val="none" w:sz="0" w:space="0" w:color="auto"/>
                <w:bottom w:val="none" w:sz="0" w:space="0" w:color="auto"/>
                <w:right w:val="none" w:sz="0" w:space="0" w:color="auto"/>
              </w:divBdr>
            </w:div>
            <w:div w:id="1088772593">
              <w:marLeft w:val="0"/>
              <w:marRight w:val="0"/>
              <w:marTop w:val="0"/>
              <w:marBottom w:val="0"/>
              <w:divBdr>
                <w:top w:val="none" w:sz="0" w:space="0" w:color="auto"/>
                <w:left w:val="none" w:sz="0" w:space="0" w:color="auto"/>
                <w:bottom w:val="none" w:sz="0" w:space="0" w:color="auto"/>
                <w:right w:val="none" w:sz="0" w:space="0" w:color="auto"/>
              </w:divBdr>
            </w:div>
            <w:div w:id="86000677">
              <w:marLeft w:val="0"/>
              <w:marRight w:val="0"/>
              <w:marTop w:val="0"/>
              <w:marBottom w:val="0"/>
              <w:divBdr>
                <w:top w:val="none" w:sz="0" w:space="0" w:color="auto"/>
                <w:left w:val="none" w:sz="0" w:space="0" w:color="auto"/>
                <w:bottom w:val="none" w:sz="0" w:space="0" w:color="auto"/>
                <w:right w:val="none" w:sz="0" w:space="0" w:color="auto"/>
              </w:divBdr>
            </w:div>
            <w:div w:id="1413117736">
              <w:marLeft w:val="0"/>
              <w:marRight w:val="0"/>
              <w:marTop w:val="0"/>
              <w:marBottom w:val="0"/>
              <w:divBdr>
                <w:top w:val="none" w:sz="0" w:space="0" w:color="auto"/>
                <w:left w:val="none" w:sz="0" w:space="0" w:color="auto"/>
                <w:bottom w:val="none" w:sz="0" w:space="0" w:color="auto"/>
                <w:right w:val="none" w:sz="0" w:space="0" w:color="auto"/>
              </w:divBdr>
            </w:div>
            <w:div w:id="1726680365">
              <w:marLeft w:val="0"/>
              <w:marRight w:val="0"/>
              <w:marTop w:val="0"/>
              <w:marBottom w:val="0"/>
              <w:divBdr>
                <w:top w:val="none" w:sz="0" w:space="0" w:color="auto"/>
                <w:left w:val="none" w:sz="0" w:space="0" w:color="auto"/>
                <w:bottom w:val="none" w:sz="0" w:space="0" w:color="auto"/>
                <w:right w:val="none" w:sz="0" w:space="0" w:color="auto"/>
              </w:divBdr>
            </w:div>
            <w:div w:id="84960371">
              <w:marLeft w:val="0"/>
              <w:marRight w:val="0"/>
              <w:marTop w:val="0"/>
              <w:marBottom w:val="0"/>
              <w:divBdr>
                <w:top w:val="none" w:sz="0" w:space="0" w:color="auto"/>
                <w:left w:val="none" w:sz="0" w:space="0" w:color="auto"/>
                <w:bottom w:val="none" w:sz="0" w:space="0" w:color="auto"/>
                <w:right w:val="none" w:sz="0" w:space="0" w:color="auto"/>
              </w:divBdr>
            </w:div>
            <w:div w:id="686104806">
              <w:marLeft w:val="0"/>
              <w:marRight w:val="0"/>
              <w:marTop w:val="0"/>
              <w:marBottom w:val="0"/>
              <w:divBdr>
                <w:top w:val="none" w:sz="0" w:space="0" w:color="auto"/>
                <w:left w:val="none" w:sz="0" w:space="0" w:color="auto"/>
                <w:bottom w:val="none" w:sz="0" w:space="0" w:color="auto"/>
                <w:right w:val="none" w:sz="0" w:space="0" w:color="auto"/>
              </w:divBdr>
            </w:div>
            <w:div w:id="428429626">
              <w:marLeft w:val="0"/>
              <w:marRight w:val="0"/>
              <w:marTop w:val="0"/>
              <w:marBottom w:val="0"/>
              <w:divBdr>
                <w:top w:val="none" w:sz="0" w:space="0" w:color="auto"/>
                <w:left w:val="none" w:sz="0" w:space="0" w:color="auto"/>
                <w:bottom w:val="none" w:sz="0" w:space="0" w:color="auto"/>
                <w:right w:val="none" w:sz="0" w:space="0" w:color="auto"/>
              </w:divBdr>
            </w:div>
            <w:div w:id="979383222">
              <w:marLeft w:val="0"/>
              <w:marRight w:val="0"/>
              <w:marTop w:val="0"/>
              <w:marBottom w:val="0"/>
              <w:divBdr>
                <w:top w:val="none" w:sz="0" w:space="0" w:color="auto"/>
                <w:left w:val="none" w:sz="0" w:space="0" w:color="auto"/>
                <w:bottom w:val="none" w:sz="0" w:space="0" w:color="auto"/>
                <w:right w:val="none" w:sz="0" w:space="0" w:color="auto"/>
              </w:divBdr>
            </w:div>
            <w:div w:id="1640377483">
              <w:marLeft w:val="0"/>
              <w:marRight w:val="0"/>
              <w:marTop w:val="0"/>
              <w:marBottom w:val="0"/>
              <w:divBdr>
                <w:top w:val="none" w:sz="0" w:space="0" w:color="auto"/>
                <w:left w:val="none" w:sz="0" w:space="0" w:color="auto"/>
                <w:bottom w:val="none" w:sz="0" w:space="0" w:color="auto"/>
                <w:right w:val="none" w:sz="0" w:space="0" w:color="auto"/>
              </w:divBdr>
            </w:div>
            <w:div w:id="1718889485">
              <w:marLeft w:val="0"/>
              <w:marRight w:val="0"/>
              <w:marTop w:val="0"/>
              <w:marBottom w:val="0"/>
              <w:divBdr>
                <w:top w:val="none" w:sz="0" w:space="0" w:color="auto"/>
                <w:left w:val="none" w:sz="0" w:space="0" w:color="auto"/>
                <w:bottom w:val="none" w:sz="0" w:space="0" w:color="auto"/>
                <w:right w:val="none" w:sz="0" w:space="0" w:color="auto"/>
              </w:divBdr>
            </w:div>
            <w:div w:id="297419212">
              <w:marLeft w:val="0"/>
              <w:marRight w:val="0"/>
              <w:marTop w:val="0"/>
              <w:marBottom w:val="0"/>
              <w:divBdr>
                <w:top w:val="none" w:sz="0" w:space="0" w:color="auto"/>
                <w:left w:val="none" w:sz="0" w:space="0" w:color="auto"/>
                <w:bottom w:val="none" w:sz="0" w:space="0" w:color="auto"/>
                <w:right w:val="none" w:sz="0" w:space="0" w:color="auto"/>
              </w:divBdr>
            </w:div>
            <w:div w:id="1523279767">
              <w:marLeft w:val="0"/>
              <w:marRight w:val="0"/>
              <w:marTop w:val="0"/>
              <w:marBottom w:val="0"/>
              <w:divBdr>
                <w:top w:val="none" w:sz="0" w:space="0" w:color="auto"/>
                <w:left w:val="none" w:sz="0" w:space="0" w:color="auto"/>
                <w:bottom w:val="none" w:sz="0" w:space="0" w:color="auto"/>
                <w:right w:val="none" w:sz="0" w:space="0" w:color="auto"/>
              </w:divBdr>
            </w:div>
            <w:div w:id="713579340">
              <w:marLeft w:val="0"/>
              <w:marRight w:val="0"/>
              <w:marTop w:val="0"/>
              <w:marBottom w:val="0"/>
              <w:divBdr>
                <w:top w:val="none" w:sz="0" w:space="0" w:color="auto"/>
                <w:left w:val="none" w:sz="0" w:space="0" w:color="auto"/>
                <w:bottom w:val="none" w:sz="0" w:space="0" w:color="auto"/>
                <w:right w:val="none" w:sz="0" w:space="0" w:color="auto"/>
              </w:divBdr>
            </w:div>
            <w:div w:id="368577328">
              <w:marLeft w:val="0"/>
              <w:marRight w:val="0"/>
              <w:marTop w:val="0"/>
              <w:marBottom w:val="0"/>
              <w:divBdr>
                <w:top w:val="none" w:sz="0" w:space="0" w:color="auto"/>
                <w:left w:val="none" w:sz="0" w:space="0" w:color="auto"/>
                <w:bottom w:val="none" w:sz="0" w:space="0" w:color="auto"/>
                <w:right w:val="none" w:sz="0" w:space="0" w:color="auto"/>
              </w:divBdr>
            </w:div>
            <w:div w:id="706105211">
              <w:marLeft w:val="0"/>
              <w:marRight w:val="0"/>
              <w:marTop w:val="0"/>
              <w:marBottom w:val="0"/>
              <w:divBdr>
                <w:top w:val="none" w:sz="0" w:space="0" w:color="auto"/>
                <w:left w:val="none" w:sz="0" w:space="0" w:color="auto"/>
                <w:bottom w:val="none" w:sz="0" w:space="0" w:color="auto"/>
                <w:right w:val="none" w:sz="0" w:space="0" w:color="auto"/>
              </w:divBdr>
            </w:div>
            <w:div w:id="1015381693">
              <w:marLeft w:val="0"/>
              <w:marRight w:val="0"/>
              <w:marTop w:val="0"/>
              <w:marBottom w:val="0"/>
              <w:divBdr>
                <w:top w:val="none" w:sz="0" w:space="0" w:color="auto"/>
                <w:left w:val="none" w:sz="0" w:space="0" w:color="auto"/>
                <w:bottom w:val="none" w:sz="0" w:space="0" w:color="auto"/>
                <w:right w:val="none" w:sz="0" w:space="0" w:color="auto"/>
              </w:divBdr>
            </w:div>
            <w:div w:id="1225524436">
              <w:marLeft w:val="0"/>
              <w:marRight w:val="0"/>
              <w:marTop w:val="0"/>
              <w:marBottom w:val="0"/>
              <w:divBdr>
                <w:top w:val="none" w:sz="0" w:space="0" w:color="auto"/>
                <w:left w:val="none" w:sz="0" w:space="0" w:color="auto"/>
                <w:bottom w:val="none" w:sz="0" w:space="0" w:color="auto"/>
                <w:right w:val="none" w:sz="0" w:space="0" w:color="auto"/>
              </w:divBdr>
            </w:div>
            <w:div w:id="1251699411">
              <w:marLeft w:val="0"/>
              <w:marRight w:val="0"/>
              <w:marTop w:val="0"/>
              <w:marBottom w:val="0"/>
              <w:divBdr>
                <w:top w:val="none" w:sz="0" w:space="0" w:color="auto"/>
                <w:left w:val="none" w:sz="0" w:space="0" w:color="auto"/>
                <w:bottom w:val="none" w:sz="0" w:space="0" w:color="auto"/>
                <w:right w:val="none" w:sz="0" w:space="0" w:color="auto"/>
              </w:divBdr>
            </w:div>
            <w:div w:id="1505515208">
              <w:marLeft w:val="0"/>
              <w:marRight w:val="0"/>
              <w:marTop w:val="0"/>
              <w:marBottom w:val="0"/>
              <w:divBdr>
                <w:top w:val="none" w:sz="0" w:space="0" w:color="auto"/>
                <w:left w:val="none" w:sz="0" w:space="0" w:color="auto"/>
                <w:bottom w:val="none" w:sz="0" w:space="0" w:color="auto"/>
                <w:right w:val="none" w:sz="0" w:space="0" w:color="auto"/>
              </w:divBdr>
            </w:div>
            <w:div w:id="1632596418">
              <w:marLeft w:val="0"/>
              <w:marRight w:val="0"/>
              <w:marTop w:val="0"/>
              <w:marBottom w:val="0"/>
              <w:divBdr>
                <w:top w:val="none" w:sz="0" w:space="0" w:color="auto"/>
                <w:left w:val="none" w:sz="0" w:space="0" w:color="auto"/>
                <w:bottom w:val="none" w:sz="0" w:space="0" w:color="auto"/>
                <w:right w:val="none" w:sz="0" w:space="0" w:color="auto"/>
              </w:divBdr>
            </w:div>
            <w:div w:id="1366566877">
              <w:marLeft w:val="0"/>
              <w:marRight w:val="0"/>
              <w:marTop w:val="0"/>
              <w:marBottom w:val="0"/>
              <w:divBdr>
                <w:top w:val="none" w:sz="0" w:space="0" w:color="auto"/>
                <w:left w:val="none" w:sz="0" w:space="0" w:color="auto"/>
                <w:bottom w:val="none" w:sz="0" w:space="0" w:color="auto"/>
                <w:right w:val="none" w:sz="0" w:space="0" w:color="auto"/>
              </w:divBdr>
            </w:div>
            <w:div w:id="1262880390">
              <w:marLeft w:val="0"/>
              <w:marRight w:val="0"/>
              <w:marTop w:val="0"/>
              <w:marBottom w:val="0"/>
              <w:divBdr>
                <w:top w:val="none" w:sz="0" w:space="0" w:color="auto"/>
                <w:left w:val="none" w:sz="0" w:space="0" w:color="auto"/>
                <w:bottom w:val="none" w:sz="0" w:space="0" w:color="auto"/>
                <w:right w:val="none" w:sz="0" w:space="0" w:color="auto"/>
              </w:divBdr>
            </w:div>
            <w:div w:id="1319772086">
              <w:marLeft w:val="0"/>
              <w:marRight w:val="0"/>
              <w:marTop w:val="0"/>
              <w:marBottom w:val="0"/>
              <w:divBdr>
                <w:top w:val="none" w:sz="0" w:space="0" w:color="auto"/>
                <w:left w:val="none" w:sz="0" w:space="0" w:color="auto"/>
                <w:bottom w:val="none" w:sz="0" w:space="0" w:color="auto"/>
                <w:right w:val="none" w:sz="0" w:space="0" w:color="auto"/>
              </w:divBdr>
            </w:div>
            <w:div w:id="138114539">
              <w:marLeft w:val="0"/>
              <w:marRight w:val="0"/>
              <w:marTop w:val="0"/>
              <w:marBottom w:val="0"/>
              <w:divBdr>
                <w:top w:val="none" w:sz="0" w:space="0" w:color="auto"/>
                <w:left w:val="none" w:sz="0" w:space="0" w:color="auto"/>
                <w:bottom w:val="none" w:sz="0" w:space="0" w:color="auto"/>
                <w:right w:val="none" w:sz="0" w:space="0" w:color="auto"/>
              </w:divBdr>
            </w:div>
            <w:div w:id="1606841801">
              <w:marLeft w:val="0"/>
              <w:marRight w:val="0"/>
              <w:marTop w:val="0"/>
              <w:marBottom w:val="0"/>
              <w:divBdr>
                <w:top w:val="none" w:sz="0" w:space="0" w:color="auto"/>
                <w:left w:val="none" w:sz="0" w:space="0" w:color="auto"/>
                <w:bottom w:val="none" w:sz="0" w:space="0" w:color="auto"/>
                <w:right w:val="none" w:sz="0" w:space="0" w:color="auto"/>
              </w:divBdr>
            </w:div>
            <w:div w:id="1261181785">
              <w:marLeft w:val="0"/>
              <w:marRight w:val="0"/>
              <w:marTop w:val="0"/>
              <w:marBottom w:val="0"/>
              <w:divBdr>
                <w:top w:val="none" w:sz="0" w:space="0" w:color="auto"/>
                <w:left w:val="none" w:sz="0" w:space="0" w:color="auto"/>
                <w:bottom w:val="none" w:sz="0" w:space="0" w:color="auto"/>
                <w:right w:val="none" w:sz="0" w:space="0" w:color="auto"/>
              </w:divBdr>
            </w:div>
            <w:div w:id="647127791">
              <w:marLeft w:val="0"/>
              <w:marRight w:val="0"/>
              <w:marTop w:val="0"/>
              <w:marBottom w:val="0"/>
              <w:divBdr>
                <w:top w:val="none" w:sz="0" w:space="0" w:color="auto"/>
                <w:left w:val="none" w:sz="0" w:space="0" w:color="auto"/>
                <w:bottom w:val="none" w:sz="0" w:space="0" w:color="auto"/>
                <w:right w:val="none" w:sz="0" w:space="0" w:color="auto"/>
              </w:divBdr>
            </w:div>
            <w:div w:id="418454955">
              <w:marLeft w:val="0"/>
              <w:marRight w:val="0"/>
              <w:marTop w:val="0"/>
              <w:marBottom w:val="0"/>
              <w:divBdr>
                <w:top w:val="none" w:sz="0" w:space="0" w:color="auto"/>
                <w:left w:val="none" w:sz="0" w:space="0" w:color="auto"/>
                <w:bottom w:val="none" w:sz="0" w:space="0" w:color="auto"/>
                <w:right w:val="none" w:sz="0" w:space="0" w:color="auto"/>
              </w:divBdr>
            </w:div>
            <w:div w:id="742944710">
              <w:marLeft w:val="0"/>
              <w:marRight w:val="0"/>
              <w:marTop w:val="0"/>
              <w:marBottom w:val="0"/>
              <w:divBdr>
                <w:top w:val="none" w:sz="0" w:space="0" w:color="auto"/>
                <w:left w:val="none" w:sz="0" w:space="0" w:color="auto"/>
                <w:bottom w:val="none" w:sz="0" w:space="0" w:color="auto"/>
                <w:right w:val="none" w:sz="0" w:space="0" w:color="auto"/>
              </w:divBdr>
            </w:div>
            <w:div w:id="609514007">
              <w:marLeft w:val="0"/>
              <w:marRight w:val="0"/>
              <w:marTop w:val="0"/>
              <w:marBottom w:val="0"/>
              <w:divBdr>
                <w:top w:val="none" w:sz="0" w:space="0" w:color="auto"/>
                <w:left w:val="none" w:sz="0" w:space="0" w:color="auto"/>
                <w:bottom w:val="none" w:sz="0" w:space="0" w:color="auto"/>
                <w:right w:val="none" w:sz="0" w:space="0" w:color="auto"/>
              </w:divBdr>
            </w:div>
            <w:div w:id="63795375">
              <w:marLeft w:val="0"/>
              <w:marRight w:val="0"/>
              <w:marTop w:val="0"/>
              <w:marBottom w:val="0"/>
              <w:divBdr>
                <w:top w:val="none" w:sz="0" w:space="0" w:color="auto"/>
                <w:left w:val="none" w:sz="0" w:space="0" w:color="auto"/>
                <w:bottom w:val="none" w:sz="0" w:space="0" w:color="auto"/>
                <w:right w:val="none" w:sz="0" w:space="0" w:color="auto"/>
              </w:divBdr>
            </w:div>
            <w:div w:id="320932286">
              <w:marLeft w:val="0"/>
              <w:marRight w:val="0"/>
              <w:marTop w:val="0"/>
              <w:marBottom w:val="0"/>
              <w:divBdr>
                <w:top w:val="none" w:sz="0" w:space="0" w:color="auto"/>
                <w:left w:val="none" w:sz="0" w:space="0" w:color="auto"/>
                <w:bottom w:val="none" w:sz="0" w:space="0" w:color="auto"/>
                <w:right w:val="none" w:sz="0" w:space="0" w:color="auto"/>
              </w:divBdr>
            </w:div>
            <w:div w:id="941910515">
              <w:marLeft w:val="0"/>
              <w:marRight w:val="0"/>
              <w:marTop w:val="0"/>
              <w:marBottom w:val="0"/>
              <w:divBdr>
                <w:top w:val="none" w:sz="0" w:space="0" w:color="auto"/>
                <w:left w:val="none" w:sz="0" w:space="0" w:color="auto"/>
                <w:bottom w:val="none" w:sz="0" w:space="0" w:color="auto"/>
                <w:right w:val="none" w:sz="0" w:space="0" w:color="auto"/>
              </w:divBdr>
            </w:div>
            <w:div w:id="904875387">
              <w:marLeft w:val="0"/>
              <w:marRight w:val="0"/>
              <w:marTop w:val="0"/>
              <w:marBottom w:val="0"/>
              <w:divBdr>
                <w:top w:val="none" w:sz="0" w:space="0" w:color="auto"/>
                <w:left w:val="none" w:sz="0" w:space="0" w:color="auto"/>
                <w:bottom w:val="none" w:sz="0" w:space="0" w:color="auto"/>
                <w:right w:val="none" w:sz="0" w:space="0" w:color="auto"/>
              </w:divBdr>
            </w:div>
            <w:div w:id="424804875">
              <w:marLeft w:val="0"/>
              <w:marRight w:val="0"/>
              <w:marTop w:val="0"/>
              <w:marBottom w:val="0"/>
              <w:divBdr>
                <w:top w:val="none" w:sz="0" w:space="0" w:color="auto"/>
                <w:left w:val="none" w:sz="0" w:space="0" w:color="auto"/>
                <w:bottom w:val="none" w:sz="0" w:space="0" w:color="auto"/>
                <w:right w:val="none" w:sz="0" w:space="0" w:color="auto"/>
              </w:divBdr>
            </w:div>
            <w:div w:id="1847986671">
              <w:marLeft w:val="0"/>
              <w:marRight w:val="0"/>
              <w:marTop w:val="0"/>
              <w:marBottom w:val="0"/>
              <w:divBdr>
                <w:top w:val="none" w:sz="0" w:space="0" w:color="auto"/>
                <w:left w:val="none" w:sz="0" w:space="0" w:color="auto"/>
                <w:bottom w:val="none" w:sz="0" w:space="0" w:color="auto"/>
                <w:right w:val="none" w:sz="0" w:space="0" w:color="auto"/>
              </w:divBdr>
            </w:div>
            <w:div w:id="515340642">
              <w:marLeft w:val="0"/>
              <w:marRight w:val="0"/>
              <w:marTop w:val="0"/>
              <w:marBottom w:val="0"/>
              <w:divBdr>
                <w:top w:val="none" w:sz="0" w:space="0" w:color="auto"/>
                <w:left w:val="none" w:sz="0" w:space="0" w:color="auto"/>
                <w:bottom w:val="none" w:sz="0" w:space="0" w:color="auto"/>
                <w:right w:val="none" w:sz="0" w:space="0" w:color="auto"/>
              </w:divBdr>
            </w:div>
            <w:div w:id="1377968959">
              <w:marLeft w:val="0"/>
              <w:marRight w:val="0"/>
              <w:marTop w:val="0"/>
              <w:marBottom w:val="0"/>
              <w:divBdr>
                <w:top w:val="none" w:sz="0" w:space="0" w:color="auto"/>
                <w:left w:val="none" w:sz="0" w:space="0" w:color="auto"/>
                <w:bottom w:val="none" w:sz="0" w:space="0" w:color="auto"/>
                <w:right w:val="none" w:sz="0" w:space="0" w:color="auto"/>
              </w:divBdr>
            </w:div>
            <w:div w:id="1268853659">
              <w:marLeft w:val="0"/>
              <w:marRight w:val="0"/>
              <w:marTop w:val="0"/>
              <w:marBottom w:val="0"/>
              <w:divBdr>
                <w:top w:val="none" w:sz="0" w:space="0" w:color="auto"/>
                <w:left w:val="none" w:sz="0" w:space="0" w:color="auto"/>
                <w:bottom w:val="none" w:sz="0" w:space="0" w:color="auto"/>
                <w:right w:val="none" w:sz="0" w:space="0" w:color="auto"/>
              </w:divBdr>
            </w:div>
            <w:div w:id="2074886824">
              <w:marLeft w:val="0"/>
              <w:marRight w:val="0"/>
              <w:marTop w:val="0"/>
              <w:marBottom w:val="0"/>
              <w:divBdr>
                <w:top w:val="none" w:sz="0" w:space="0" w:color="auto"/>
                <w:left w:val="none" w:sz="0" w:space="0" w:color="auto"/>
                <w:bottom w:val="none" w:sz="0" w:space="0" w:color="auto"/>
                <w:right w:val="none" w:sz="0" w:space="0" w:color="auto"/>
              </w:divBdr>
            </w:div>
            <w:div w:id="1217816259">
              <w:marLeft w:val="0"/>
              <w:marRight w:val="0"/>
              <w:marTop w:val="0"/>
              <w:marBottom w:val="0"/>
              <w:divBdr>
                <w:top w:val="none" w:sz="0" w:space="0" w:color="auto"/>
                <w:left w:val="none" w:sz="0" w:space="0" w:color="auto"/>
                <w:bottom w:val="none" w:sz="0" w:space="0" w:color="auto"/>
                <w:right w:val="none" w:sz="0" w:space="0" w:color="auto"/>
              </w:divBdr>
            </w:div>
            <w:div w:id="1948730822">
              <w:marLeft w:val="0"/>
              <w:marRight w:val="0"/>
              <w:marTop w:val="0"/>
              <w:marBottom w:val="0"/>
              <w:divBdr>
                <w:top w:val="none" w:sz="0" w:space="0" w:color="auto"/>
                <w:left w:val="none" w:sz="0" w:space="0" w:color="auto"/>
                <w:bottom w:val="none" w:sz="0" w:space="0" w:color="auto"/>
                <w:right w:val="none" w:sz="0" w:space="0" w:color="auto"/>
              </w:divBdr>
            </w:div>
            <w:div w:id="1308827291">
              <w:marLeft w:val="0"/>
              <w:marRight w:val="0"/>
              <w:marTop w:val="0"/>
              <w:marBottom w:val="0"/>
              <w:divBdr>
                <w:top w:val="none" w:sz="0" w:space="0" w:color="auto"/>
                <w:left w:val="none" w:sz="0" w:space="0" w:color="auto"/>
                <w:bottom w:val="none" w:sz="0" w:space="0" w:color="auto"/>
                <w:right w:val="none" w:sz="0" w:space="0" w:color="auto"/>
              </w:divBdr>
            </w:div>
            <w:div w:id="817304603">
              <w:marLeft w:val="0"/>
              <w:marRight w:val="0"/>
              <w:marTop w:val="0"/>
              <w:marBottom w:val="0"/>
              <w:divBdr>
                <w:top w:val="none" w:sz="0" w:space="0" w:color="auto"/>
                <w:left w:val="none" w:sz="0" w:space="0" w:color="auto"/>
                <w:bottom w:val="none" w:sz="0" w:space="0" w:color="auto"/>
                <w:right w:val="none" w:sz="0" w:space="0" w:color="auto"/>
              </w:divBdr>
            </w:div>
            <w:div w:id="1415977884">
              <w:marLeft w:val="0"/>
              <w:marRight w:val="0"/>
              <w:marTop w:val="0"/>
              <w:marBottom w:val="0"/>
              <w:divBdr>
                <w:top w:val="none" w:sz="0" w:space="0" w:color="auto"/>
                <w:left w:val="none" w:sz="0" w:space="0" w:color="auto"/>
                <w:bottom w:val="none" w:sz="0" w:space="0" w:color="auto"/>
                <w:right w:val="none" w:sz="0" w:space="0" w:color="auto"/>
              </w:divBdr>
            </w:div>
            <w:div w:id="783037534">
              <w:marLeft w:val="0"/>
              <w:marRight w:val="0"/>
              <w:marTop w:val="0"/>
              <w:marBottom w:val="0"/>
              <w:divBdr>
                <w:top w:val="none" w:sz="0" w:space="0" w:color="auto"/>
                <w:left w:val="none" w:sz="0" w:space="0" w:color="auto"/>
                <w:bottom w:val="none" w:sz="0" w:space="0" w:color="auto"/>
                <w:right w:val="none" w:sz="0" w:space="0" w:color="auto"/>
              </w:divBdr>
            </w:div>
            <w:div w:id="315770009">
              <w:marLeft w:val="0"/>
              <w:marRight w:val="0"/>
              <w:marTop w:val="0"/>
              <w:marBottom w:val="0"/>
              <w:divBdr>
                <w:top w:val="none" w:sz="0" w:space="0" w:color="auto"/>
                <w:left w:val="none" w:sz="0" w:space="0" w:color="auto"/>
                <w:bottom w:val="none" w:sz="0" w:space="0" w:color="auto"/>
                <w:right w:val="none" w:sz="0" w:space="0" w:color="auto"/>
              </w:divBdr>
            </w:div>
            <w:div w:id="1002898330">
              <w:marLeft w:val="0"/>
              <w:marRight w:val="0"/>
              <w:marTop w:val="0"/>
              <w:marBottom w:val="0"/>
              <w:divBdr>
                <w:top w:val="none" w:sz="0" w:space="0" w:color="auto"/>
                <w:left w:val="none" w:sz="0" w:space="0" w:color="auto"/>
                <w:bottom w:val="none" w:sz="0" w:space="0" w:color="auto"/>
                <w:right w:val="none" w:sz="0" w:space="0" w:color="auto"/>
              </w:divBdr>
            </w:div>
            <w:div w:id="910231467">
              <w:marLeft w:val="0"/>
              <w:marRight w:val="0"/>
              <w:marTop w:val="0"/>
              <w:marBottom w:val="0"/>
              <w:divBdr>
                <w:top w:val="none" w:sz="0" w:space="0" w:color="auto"/>
                <w:left w:val="none" w:sz="0" w:space="0" w:color="auto"/>
                <w:bottom w:val="none" w:sz="0" w:space="0" w:color="auto"/>
                <w:right w:val="none" w:sz="0" w:space="0" w:color="auto"/>
              </w:divBdr>
            </w:div>
            <w:div w:id="603851104">
              <w:marLeft w:val="0"/>
              <w:marRight w:val="0"/>
              <w:marTop w:val="0"/>
              <w:marBottom w:val="0"/>
              <w:divBdr>
                <w:top w:val="none" w:sz="0" w:space="0" w:color="auto"/>
                <w:left w:val="none" w:sz="0" w:space="0" w:color="auto"/>
                <w:bottom w:val="none" w:sz="0" w:space="0" w:color="auto"/>
                <w:right w:val="none" w:sz="0" w:space="0" w:color="auto"/>
              </w:divBdr>
            </w:div>
            <w:div w:id="842889981">
              <w:marLeft w:val="0"/>
              <w:marRight w:val="0"/>
              <w:marTop w:val="0"/>
              <w:marBottom w:val="0"/>
              <w:divBdr>
                <w:top w:val="none" w:sz="0" w:space="0" w:color="auto"/>
                <w:left w:val="none" w:sz="0" w:space="0" w:color="auto"/>
                <w:bottom w:val="none" w:sz="0" w:space="0" w:color="auto"/>
                <w:right w:val="none" w:sz="0" w:space="0" w:color="auto"/>
              </w:divBdr>
            </w:div>
            <w:div w:id="1629503856">
              <w:marLeft w:val="0"/>
              <w:marRight w:val="0"/>
              <w:marTop w:val="0"/>
              <w:marBottom w:val="0"/>
              <w:divBdr>
                <w:top w:val="none" w:sz="0" w:space="0" w:color="auto"/>
                <w:left w:val="none" w:sz="0" w:space="0" w:color="auto"/>
                <w:bottom w:val="none" w:sz="0" w:space="0" w:color="auto"/>
                <w:right w:val="none" w:sz="0" w:space="0" w:color="auto"/>
              </w:divBdr>
            </w:div>
            <w:div w:id="2321960">
              <w:marLeft w:val="0"/>
              <w:marRight w:val="0"/>
              <w:marTop w:val="0"/>
              <w:marBottom w:val="0"/>
              <w:divBdr>
                <w:top w:val="none" w:sz="0" w:space="0" w:color="auto"/>
                <w:left w:val="none" w:sz="0" w:space="0" w:color="auto"/>
                <w:bottom w:val="none" w:sz="0" w:space="0" w:color="auto"/>
                <w:right w:val="none" w:sz="0" w:space="0" w:color="auto"/>
              </w:divBdr>
            </w:div>
            <w:div w:id="501966302">
              <w:marLeft w:val="0"/>
              <w:marRight w:val="0"/>
              <w:marTop w:val="0"/>
              <w:marBottom w:val="0"/>
              <w:divBdr>
                <w:top w:val="none" w:sz="0" w:space="0" w:color="auto"/>
                <w:left w:val="none" w:sz="0" w:space="0" w:color="auto"/>
                <w:bottom w:val="none" w:sz="0" w:space="0" w:color="auto"/>
                <w:right w:val="none" w:sz="0" w:space="0" w:color="auto"/>
              </w:divBdr>
            </w:div>
            <w:div w:id="551305066">
              <w:marLeft w:val="0"/>
              <w:marRight w:val="0"/>
              <w:marTop w:val="0"/>
              <w:marBottom w:val="0"/>
              <w:divBdr>
                <w:top w:val="none" w:sz="0" w:space="0" w:color="auto"/>
                <w:left w:val="none" w:sz="0" w:space="0" w:color="auto"/>
                <w:bottom w:val="none" w:sz="0" w:space="0" w:color="auto"/>
                <w:right w:val="none" w:sz="0" w:space="0" w:color="auto"/>
              </w:divBdr>
            </w:div>
            <w:div w:id="1610619746">
              <w:marLeft w:val="0"/>
              <w:marRight w:val="0"/>
              <w:marTop w:val="0"/>
              <w:marBottom w:val="0"/>
              <w:divBdr>
                <w:top w:val="none" w:sz="0" w:space="0" w:color="auto"/>
                <w:left w:val="none" w:sz="0" w:space="0" w:color="auto"/>
                <w:bottom w:val="none" w:sz="0" w:space="0" w:color="auto"/>
                <w:right w:val="none" w:sz="0" w:space="0" w:color="auto"/>
              </w:divBdr>
            </w:div>
            <w:div w:id="495073100">
              <w:marLeft w:val="0"/>
              <w:marRight w:val="0"/>
              <w:marTop w:val="0"/>
              <w:marBottom w:val="0"/>
              <w:divBdr>
                <w:top w:val="none" w:sz="0" w:space="0" w:color="auto"/>
                <w:left w:val="none" w:sz="0" w:space="0" w:color="auto"/>
                <w:bottom w:val="none" w:sz="0" w:space="0" w:color="auto"/>
                <w:right w:val="none" w:sz="0" w:space="0" w:color="auto"/>
              </w:divBdr>
            </w:div>
            <w:div w:id="1944417660">
              <w:marLeft w:val="0"/>
              <w:marRight w:val="0"/>
              <w:marTop w:val="0"/>
              <w:marBottom w:val="0"/>
              <w:divBdr>
                <w:top w:val="none" w:sz="0" w:space="0" w:color="auto"/>
                <w:left w:val="none" w:sz="0" w:space="0" w:color="auto"/>
                <w:bottom w:val="none" w:sz="0" w:space="0" w:color="auto"/>
                <w:right w:val="none" w:sz="0" w:space="0" w:color="auto"/>
              </w:divBdr>
            </w:div>
            <w:div w:id="1355619680">
              <w:marLeft w:val="0"/>
              <w:marRight w:val="0"/>
              <w:marTop w:val="0"/>
              <w:marBottom w:val="0"/>
              <w:divBdr>
                <w:top w:val="none" w:sz="0" w:space="0" w:color="auto"/>
                <w:left w:val="none" w:sz="0" w:space="0" w:color="auto"/>
                <w:bottom w:val="none" w:sz="0" w:space="0" w:color="auto"/>
                <w:right w:val="none" w:sz="0" w:space="0" w:color="auto"/>
              </w:divBdr>
            </w:div>
            <w:div w:id="169218527">
              <w:marLeft w:val="0"/>
              <w:marRight w:val="0"/>
              <w:marTop w:val="0"/>
              <w:marBottom w:val="0"/>
              <w:divBdr>
                <w:top w:val="none" w:sz="0" w:space="0" w:color="auto"/>
                <w:left w:val="none" w:sz="0" w:space="0" w:color="auto"/>
                <w:bottom w:val="none" w:sz="0" w:space="0" w:color="auto"/>
                <w:right w:val="none" w:sz="0" w:space="0" w:color="auto"/>
              </w:divBdr>
            </w:div>
            <w:div w:id="380788289">
              <w:marLeft w:val="0"/>
              <w:marRight w:val="0"/>
              <w:marTop w:val="0"/>
              <w:marBottom w:val="0"/>
              <w:divBdr>
                <w:top w:val="none" w:sz="0" w:space="0" w:color="auto"/>
                <w:left w:val="none" w:sz="0" w:space="0" w:color="auto"/>
                <w:bottom w:val="none" w:sz="0" w:space="0" w:color="auto"/>
                <w:right w:val="none" w:sz="0" w:space="0" w:color="auto"/>
              </w:divBdr>
            </w:div>
            <w:div w:id="2003926546">
              <w:marLeft w:val="0"/>
              <w:marRight w:val="0"/>
              <w:marTop w:val="0"/>
              <w:marBottom w:val="0"/>
              <w:divBdr>
                <w:top w:val="none" w:sz="0" w:space="0" w:color="auto"/>
                <w:left w:val="none" w:sz="0" w:space="0" w:color="auto"/>
                <w:bottom w:val="none" w:sz="0" w:space="0" w:color="auto"/>
                <w:right w:val="none" w:sz="0" w:space="0" w:color="auto"/>
              </w:divBdr>
            </w:div>
            <w:div w:id="515316594">
              <w:marLeft w:val="0"/>
              <w:marRight w:val="0"/>
              <w:marTop w:val="0"/>
              <w:marBottom w:val="0"/>
              <w:divBdr>
                <w:top w:val="none" w:sz="0" w:space="0" w:color="auto"/>
                <w:left w:val="none" w:sz="0" w:space="0" w:color="auto"/>
                <w:bottom w:val="none" w:sz="0" w:space="0" w:color="auto"/>
                <w:right w:val="none" w:sz="0" w:space="0" w:color="auto"/>
              </w:divBdr>
            </w:div>
            <w:div w:id="1760561981">
              <w:marLeft w:val="0"/>
              <w:marRight w:val="0"/>
              <w:marTop w:val="0"/>
              <w:marBottom w:val="0"/>
              <w:divBdr>
                <w:top w:val="none" w:sz="0" w:space="0" w:color="auto"/>
                <w:left w:val="none" w:sz="0" w:space="0" w:color="auto"/>
                <w:bottom w:val="none" w:sz="0" w:space="0" w:color="auto"/>
                <w:right w:val="none" w:sz="0" w:space="0" w:color="auto"/>
              </w:divBdr>
            </w:div>
            <w:div w:id="946080703">
              <w:marLeft w:val="0"/>
              <w:marRight w:val="0"/>
              <w:marTop w:val="0"/>
              <w:marBottom w:val="0"/>
              <w:divBdr>
                <w:top w:val="none" w:sz="0" w:space="0" w:color="auto"/>
                <w:left w:val="none" w:sz="0" w:space="0" w:color="auto"/>
                <w:bottom w:val="none" w:sz="0" w:space="0" w:color="auto"/>
                <w:right w:val="none" w:sz="0" w:space="0" w:color="auto"/>
              </w:divBdr>
            </w:div>
            <w:div w:id="606235051">
              <w:marLeft w:val="0"/>
              <w:marRight w:val="0"/>
              <w:marTop w:val="0"/>
              <w:marBottom w:val="0"/>
              <w:divBdr>
                <w:top w:val="none" w:sz="0" w:space="0" w:color="auto"/>
                <w:left w:val="none" w:sz="0" w:space="0" w:color="auto"/>
                <w:bottom w:val="none" w:sz="0" w:space="0" w:color="auto"/>
                <w:right w:val="none" w:sz="0" w:space="0" w:color="auto"/>
              </w:divBdr>
            </w:div>
            <w:div w:id="2111966250">
              <w:marLeft w:val="0"/>
              <w:marRight w:val="0"/>
              <w:marTop w:val="0"/>
              <w:marBottom w:val="0"/>
              <w:divBdr>
                <w:top w:val="none" w:sz="0" w:space="0" w:color="auto"/>
                <w:left w:val="none" w:sz="0" w:space="0" w:color="auto"/>
                <w:bottom w:val="none" w:sz="0" w:space="0" w:color="auto"/>
                <w:right w:val="none" w:sz="0" w:space="0" w:color="auto"/>
              </w:divBdr>
            </w:div>
            <w:div w:id="904802391">
              <w:marLeft w:val="0"/>
              <w:marRight w:val="0"/>
              <w:marTop w:val="0"/>
              <w:marBottom w:val="0"/>
              <w:divBdr>
                <w:top w:val="none" w:sz="0" w:space="0" w:color="auto"/>
                <w:left w:val="none" w:sz="0" w:space="0" w:color="auto"/>
                <w:bottom w:val="none" w:sz="0" w:space="0" w:color="auto"/>
                <w:right w:val="none" w:sz="0" w:space="0" w:color="auto"/>
              </w:divBdr>
            </w:div>
            <w:div w:id="288709933">
              <w:marLeft w:val="0"/>
              <w:marRight w:val="0"/>
              <w:marTop w:val="0"/>
              <w:marBottom w:val="0"/>
              <w:divBdr>
                <w:top w:val="none" w:sz="0" w:space="0" w:color="auto"/>
                <w:left w:val="none" w:sz="0" w:space="0" w:color="auto"/>
                <w:bottom w:val="none" w:sz="0" w:space="0" w:color="auto"/>
                <w:right w:val="none" w:sz="0" w:space="0" w:color="auto"/>
              </w:divBdr>
            </w:div>
            <w:div w:id="771977284">
              <w:marLeft w:val="0"/>
              <w:marRight w:val="0"/>
              <w:marTop w:val="0"/>
              <w:marBottom w:val="0"/>
              <w:divBdr>
                <w:top w:val="none" w:sz="0" w:space="0" w:color="auto"/>
                <w:left w:val="none" w:sz="0" w:space="0" w:color="auto"/>
                <w:bottom w:val="none" w:sz="0" w:space="0" w:color="auto"/>
                <w:right w:val="none" w:sz="0" w:space="0" w:color="auto"/>
              </w:divBdr>
            </w:div>
            <w:div w:id="85469735">
              <w:marLeft w:val="0"/>
              <w:marRight w:val="0"/>
              <w:marTop w:val="0"/>
              <w:marBottom w:val="0"/>
              <w:divBdr>
                <w:top w:val="none" w:sz="0" w:space="0" w:color="auto"/>
                <w:left w:val="none" w:sz="0" w:space="0" w:color="auto"/>
                <w:bottom w:val="none" w:sz="0" w:space="0" w:color="auto"/>
                <w:right w:val="none" w:sz="0" w:space="0" w:color="auto"/>
              </w:divBdr>
            </w:div>
            <w:div w:id="781218871">
              <w:marLeft w:val="0"/>
              <w:marRight w:val="0"/>
              <w:marTop w:val="0"/>
              <w:marBottom w:val="0"/>
              <w:divBdr>
                <w:top w:val="none" w:sz="0" w:space="0" w:color="auto"/>
                <w:left w:val="none" w:sz="0" w:space="0" w:color="auto"/>
                <w:bottom w:val="none" w:sz="0" w:space="0" w:color="auto"/>
                <w:right w:val="none" w:sz="0" w:space="0" w:color="auto"/>
              </w:divBdr>
            </w:div>
            <w:div w:id="2043360837">
              <w:marLeft w:val="0"/>
              <w:marRight w:val="0"/>
              <w:marTop w:val="0"/>
              <w:marBottom w:val="0"/>
              <w:divBdr>
                <w:top w:val="none" w:sz="0" w:space="0" w:color="auto"/>
                <w:left w:val="none" w:sz="0" w:space="0" w:color="auto"/>
                <w:bottom w:val="none" w:sz="0" w:space="0" w:color="auto"/>
                <w:right w:val="none" w:sz="0" w:space="0" w:color="auto"/>
              </w:divBdr>
            </w:div>
            <w:div w:id="2068917200">
              <w:marLeft w:val="0"/>
              <w:marRight w:val="0"/>
              <w:marTop w:val="0"/>
              <w:marBottom w:val="0"/>
              <w:divBdr>
                <w:top w:val="none" w:sz="0" w:space="0" w:color="auto"/>
                <w:left w:val="none" w:sz="0" w:space="0" w:color="auto"/>
                <w:bottom w:val="none" w:sz="0" w:space="0" w:color="auto"/>
                <w:right w:val="none" w:sz="0" w:space="0" w:color="auto"/>
              </w:divBdr>
            </w:div>
            <w:div w:id="1533151794">
              <w:marLeft w:val="0"/>
              <w:marRight w:val="0"/>
              <w:marTop w:val="0"/>
              <w:marBottom w:val="0"/>
              <w:divBdr>
                <w:top w:val="none" w:sz="0" w:space="0" w:color="auto"/>
                <w:left w:val="none" w:sz="0" w:space="0" w:color="auto"/>
                <w:bottom w:val="none" w:sz="0" w:space="0" w:color="auto"/>
                <w:right w:val="none" w:sz="0" w:space="0" w:color="auto"/>
              </w:divBdr>
            </w:div>
            <w:div w:id="549807707">
              <w:marLeft w:val="0"/>
              <w:marRight w:val="0"/>
              <w:marTop w:val="0"/>
              <w:marBottom w:val="0"/>
              <w:divBdr>
                <w:top w:val="none" w:sz="0" w:space="0" w:color="auto"/>
                <w:left w:val="none" w:sz="0" w:space="0" w:color="auto"/>
                <w:bottom w:val="none" w:sz="0" w:space="0" w:color="auto"/>
                <w:right w:val="none" w:sz="0" w:space="0" w:color="auto"/>
              </w:divBdr>
            </w:div>
            <w:div w:id="1375469732">
              <w:marLeft w:val="0"/>
              <w:marRight w:val="0"/>
              <w:marTop w:val="0"/>
              <w:marBottom w:val="0"/>
              <w:divBdr>
                <w:top w:val="none" w:sz="0" w:space="0" w:color="auto"/>
                <w:left w:val="none" w:sz="0" w:space="0" w:color="auto"/>
                <w:bottom w:val="none" w:sz="0" w:space="0" w:color="auto"/>
                <w:right w:val="none" w:sz="0" w:space="0" w:color="auto"/>
              </w:divBdr>
            </w:div>
            <w:div w:id="350768565">
              <w:marLeft w:val="0"/>
              <w:marRight w:val="0"/>
              <w:marTop w:val="0"/>
              <w:marBottom w:val="0"/>
              <w:divBdr>
                <w:top w:val="none" w:sz="0" w:space="0" w:color="auto"/>
                <w:left w:val="none" w:sz="0" w:space="0" w:color="auto"/>
                <w:bottom w:val="none" w:sz="0" w:space="0" w:color="auto"/>
                <w:right w:val="none" w:sz="0" w:space="0" w:color="auto"/>
              </w:divBdr>
            </w:div>
            <w:div w:id="956333606">
              <w:marLeft w:val="0"/>
              <w:marRight w:val="0"/>
              <w:marTop w:val="0"/>
              <w:marBottom w:val="0"/>
              <w:divBdr>
                <w:top w:val="none" w:sz="0" w:space="0" w:color="auto"/>
                <w:left w:val="none" w:sz="0" w:space="0" w:color="auto"/>
                <w:bottom w:val="none" w:sz="0" w:space="0" w:color="auto"/>
                <w:right w:val="none" w:sz="0" w:space="0" w:color="auto"/>
              </w:divBdr>
            </w:div>
            <w:div w:id="816872266">
              <w:marLeft w:val="0"/>
              <w:marRight w:val="0"/>
              <w:marTop w:val="0"/>
              <w:marBottom w:val="0"/>
              <w:divBdr>
                <w:top w:val="none" w:sz="0" w:space="0" w:color="auto"/>
                <w:left w:val="none" w:sz="0" w:space="0" w:color="auto"/>
                <w:bottom w:val="none" w:sz="0" w:space="0" w:color="auto"/>
                <w:right w:val="none" w:sz="0" w:space="0" w:color="auto"/>
              </w:divBdr>
            </w:div>
            <w:div w:id="1757239682">
              <w:marLeft w:val="0"/>
              <w:marRight w:val="0"/>
              <w:marTop w:val="0"/>
              <w:marBottom w:val="0"/>
              <w:divBdr>
                <w:top w:val="none" w:sz="0" w:space="0" w:color="auto"/>
                <w:left w:val="none" w:sz="0" w:space="0" w:color="auto"/>
                <w:bottom w:val="none" w:sz="0" w:space="0" w:color="auto"/>
                <w:right w:val="none" w:sz="0" w:space="0" w:color="auto"/>
              </w:divBdr>
            </w:div>
            <w:div w:id="2017725030">
              <w:marLeft w:val="0"/>
              <w:marRight w:val="0"/>
              <w:marTop w:val="0"/>
              <w:marBottom w:val="0"/>
              <w:divBdr>
                <w:top w:val="none" w:sz="0" w:space="0" w:color="auto"/>
                <w:left w:val="none" w:sz="0" w:space="0" w:color="auto"/>
                <w:bottom w:val="none" w:sz="0" w:space="0" w:color="auto"/>
                <w:right w:val="none" w:sz="0" w:space="0" w:color="auto"/>
              </w:divBdr>
            </w:div>
            <w:div w:id="1969780868">
              <w:marLeft w:val="0"/>
              <w:marRight w:val="0"/>
              <w:marTop w:val="0"/>
              <w:marBottom w:val="0"/>
              <w:divBdr>
                <w:top w:val="none" w:sz="0" w:space="0" w:color="auto"/>
                <w:left w:val="none" w:sz="0" w:space="0" w:color="auto"/>
                <w:bottom w:val="none" w:sz="0" w:space="0" w:color="auto"/>
                <w:right w:val="none" w:sz="0" w:space="0" w:color="auto"/>
              </w:divBdr>
            </w:div>
            <w:div w:id="117450871">
              <w:marLeft w:val="0"/>
              <w:marRight w:val="0"/>
              <w:marTop w:val="0"/>
              <w:marBottom w:val="0"/>
              <w:divBdr>
                <w:top w:val="none" w:sz="0" w:space="0" w:color="auto"/>
                <w:left w:val="none" w:sz="0" w:space="0" w:color="auto"/>
                <w:bottom w:val="none" w:sz="0" w:space="0" w:color="auto"/>
                <w:right w:val="none" w:sz="0" w:space="0" w:color="auto"/>
              </w:divBdr>
            </w:div>
            <w:div w:id="2000499595">
              <w:marLeft w:val="0"/>
              <w:marRight w:val="0"/>
              <w:marTop w:val="0"/>
              <w:marBottom w:val="0"/>
              <w:divBdr>
                <w:top w:val="none" w:sz="0" w:space="0" w:color="auto"/>
                <w:left w:val="none" w:sz="0" w:space="0" w:color="auto"/>
                <w:bottom w:val="none" w:sz="0" w:space="0" w:color="auto"/>
                <w:right w:val="none" w:sz="0" w:space="0" w:color="auto"/>
              </w:divBdr>
            </w:div>
            <w:div w:id="1988317580">
              <w:marLeft w:val="0"/>
              <w:marRight w:val="0"/>
              <w:marTop w:val="0"/>
              <w:marBottom w:val="0"/>
              <w:divBdr>
                <w:top w:val="none" w:sz="0" w:space="0" w:color="auto"/>
                <w:left w:val="none" w:sz="0" w:space="0" w:color="auto"/>
                <w:bottom w:val="none" w:sz="0" w:space="0" w:color="auto"/>
                <w:right w:val="none" w:sz="0" w:space="0" w:color="auto"/>
              </w:divBdr>
            </w:div>
            <w:div w:id="323318399">
              <w:marLeft w:val="0"/>
              <w:marRight w:val="0"/>
              <w:marTop w:val="0"/>
              <w:marBottom w:val="0"/>
              <w:divBdr>
                <w:top w:val="none" w:sz="0" w:space="0" w:color="auto"/>
                <w:left w:val="none" w:sz="0" w:space="0" w:color="auto"/>
                <w:bottom w:val="none" w:sz="0" w:space="0" w:color="auto"/>
                <w:right w:val="none" w:sz="0" w:space="0" w:color="auto"/>
              </w:divBdr>
            </w:div>
            <w:div w:id="544684459">
              <w:marLeft w:val="0"/>
              <w:marRight w:val="0"/>
              <w:marTop w:val="0"/>
              <w:marBottom w:val="0"/>
              <w:divBdr>
                <w:top w:val="none" w:sz="0" w:space="0" w:color="auto"/>
                <w:left w:val="none" w:sz="0" w:space="0" w:color="auto"/>
                <w:bottom w:val="none" w:sz="0" w:space="0" w:color="auto"/>
                <w:right w:val="none" w:sz="0" w:space="0" w:color="auto"/>
              </w:divBdr>
            </w:div>
            <w:div w:id="2019766827">
              <w:marLeft w:val="0"/>
              <w:marRight w:val="0"/>
              <w:marTop w:val="0"/>
              <w:marBottom w:val="0"/>
              <w:divBdr>
                <w:top w:val="none" w:sz="0" w:space="0" w:color="auto"/>
                <w:left w:val="none" w:sz="0" w:space="0" w:color="auto"/>
                <w:bottom w:val="none" w:sz="0" w:space="0" w:color="auto"/>
                <w:right w:val="none" w:sz="0" w:space="0" w:color="auto"/>
              </w:divBdr>
            </w:div>
            <w:div w:id="1154180518">
              <w:marLeft w:val="0"/>
              <w:marRight w:val="0"/>
              <w:marTop w:val="0"/>
              <w:marBottom w:val="0"/>
              <w:divBdr>
                <w:top w:val="none" w:sz="0" w:space="0" w:color="auto"/>
                <w:left w:val="none" w:sz="0" w:space="0" w:color="auto"/>
                <w:bottom w:val="none" w:sz="0" w:space="0" w:color="auto"/>
                <w:right w:val="none" w:sz="0" w:space="0" w:color="auto"/>
              </w:divBdr>
            </w:div>
            <w:div w:id="880478395">
              <w:marLeft w:val="0"/>
              <w:marRight w:val="0"/>
              <w:marTop w:val="0"/>
              <w:marBottom w:val="0"/>
              <w:divBdr>
                <w:top w:val="none" w:sz="0" w:space="0" w:color="auto"/>
                <w:left w:val="none" w:sz="0" w:space="0" w:color="auto"/>
                <w:bottom w:val="none" w:sz="0" w:space="0" w:color="auto"/>
                <w:right w:val="none" w:sz="0" w:space="0" w:color="auto"/>
              </w:divBdr>
            </w:div>
            <w:div w:id="1704863860">
              <w:marLeft w:val="0"/>
              <w:marRight w:val="0"/>
              <w:marTop w:val="0"/>
              <w:marBottom w:val="0"/>
              <w:divBdr>
                <w:top w:val="none" w:sz="0" w:space="0" w:color="auto"/>
                <w:left w:val="none" w:sz="0" w:space="0" w:color="auto"/>
                <w:bottom w:val="none" w:sz="0" w:space="0" w:color="auto"/>
                <w:right w:val="none" w:sz="0" w:space="0" w:color="auto"/>
              </w:divBdr>
            </w:div>
            <w:div w:id="189879035">
              <w:marLeft w:val="0"/>
              <w:marRight w:val="0"/>
              <w:marTop w:val="0"/>
              <w:marBottom w:val="0"/>
              <w:divBdr>
                <w:top w:val="none" w:sz="0" w:space="0" w:color="auto"/>
                <w:left w:val="none" w:sz="0" w:space="0" w:color="auto"/>
                <w:bottom w:val="none" w:sz="0" w:space="0" w:color="auto"/>
                <w:right w:val="none" w:sz="0" w:space="0" w:color="auto"/>
              </w:divBdr>
            </w:div>
            <w:div w:id="381564656">
              <w:marLeft w:val="0"/>
              <w:marRight w:val="0"/>
              <w:marTop w:val="0"/>
              <w:marBottom w:val="0"/>
              <w:divBdr>
                <w:top w:val="none" w:sz="0" w:space="0" w:color="auto"/>
                <w:left w:val="none" w:sz="0" w:space="0" w:color="auto"/>
                <w:bottom w:val="none" w:sz="0" w:space="0" w:color="auto"/>
                <w:right w:val="none" w:sz="0" w:space="0" w:color="auto"/>
              </w:divBdr>
            </w:div>
            <w:div w:id="473956753">
              <w:marLeft w:val="0"/>
              <w:marRight w:val="0"/>
              <w:marTop w:val="0"/>
              <w:marBottom w:val="0"/>
              <w:divBdr>
                <w:top w:val="none" w:sz="0" w:space="0" w:color="auto"/>
                <w:left w:val="none" w:sz="0" w:space="0" w:color="auto"/>
                <w:bottom w:val="none" w:sz="0" w:space="0" w:color="auto"/>
                <w:right w:val="none" w:sz="0" w:space="0" w:color="auto"/>
              </w:divBdr>
            </w:div>
            <w:div w:id="654266077">
              <w:marLeft w:val="0"/>
              <w:marRight w:val="0"/>
              <w:marTop w:val="0"/>
              <w:marBottom w:val="0"/>
              <w:divBdr>
                <w:top w:val="none" w:sz="0" w:space="0" w:color="auto"/>
                <w:left w:val="none" w:sz="0" w:space="0" w:color="auto"/>
                <w:bottom w:val="none" w:sz="0" w:space="0" w:color="auto"/>
                <w:right w:val="none" w:sz="0" w:space="0" w:color="auto"/>
              </w:divBdr>
            </w:div>
            <w:div w:id="356586344">
              <w:marLeft w:val="0"/>
              <w:marRight w:val="0"/>
              <w:marTop w:val="0"/>
              <w:marBottom w:val="0"/>
              <w:divBdr>
                <w:top w:val="none" w:sz="0" w:space="0" w:color="auto"/>
                <w:left w:val="none" w:sz="0" w:space="0" w:color="auto"/>
                <w:bottom w:val="none" w:sz="0" w:space="0" w:color="auto"/>
                <w:right w:val="none" w:sz="0" w:space="0" w:color="auto"/>
              </w:divBdr>
            </w:div>
            <w:div w:id="486359577">
              <w:marLeft w:val="0"/>
              <w:marRight w:val="0"/>
              <w:marTop w:val="0"/>
              <w:marBottom w:val="0"/>
              <w:divBdr>
                <w:top w:val="none" w:sz="0" w:space="0" w:color="auto"/>
                <w:left w:val="none" w:sz="0" w:space="0" w:color="auto"/>
                <w:bottom w:val="none" w:sz="0" w:space="0" w:color="auto"/>
                <w:right w:val="none" w:sz="0" w:space="0" w:color="auto"/>
              </w:divBdr>
            </w:div>
            <w:div w:id="1429539328">
              <w:marLeft w:val="0"/>
              <w:marRight w:val="0"/>
              <w:marTop w:val="0"/>
              <w:marBottom w:val="0"/>
              <w:divBdr>
                <w:top w:val="none" w:sz="0" w:space="0" w:color="auto"/>
                <w:left w:val="none" w:sz="0" w:space="0" w:color="auto"/>
                <w:bottom w:val="none" w:sz="0" w:space="0" w:color="auto"/>
                <w:right w:val="none" w:sz="0" w:space="0" w:color="auto"/>
              </w:divBdr>
            </w:div>
            <w:div w:id="974791706">
              <w:marLeft w:val="0"/>
              <w:marRight w:val="0"/>
              <w:marTop w:val="0"/>
              <w:marBottom w:val="0"/>
              <w:divBdr>
                <w:top w:val="none" w:sz="0" w:space="0" w:color="auto"/>
                <w:left w:val="none" w:sz="0" w:space="0" w:color="auto"/>
                <w:bottom w:val="none" w:sz="0" w:space="0" w:color="auto"/>
                <w:right w:val="none" w:sz="0" w:space="0" w:color="auto"/>
              </w:divBdr>
            </w:div>
            <w:div w:id="309940554">
              <w:marLeft w:val="0"/>
              <w:marRight w:val="0"/>
              <w:marTop w:val="0"/>
              <w:marBottom w:val="0"/>
              <w:divBdr>
                <w:top w:val="none" w:sz="0" w:space="0" w:color="auto"/>
                <w:left w:val="none" w:sz="0" w:space="0" w:color="auto"/>
                <w:bottom w:val="none" w:sz="0" w:space="0" w:color="auto"/>
                <w:right w:val="none" w:sz="0" w:space="0" w:color="auto"/>
              </w:divBdr>
            </w:div>
            <w:div w:id="496969443">
              <w:marLeft w:val="0"/>
              <w:marRight w:val="0"/>
              <w:marTop w:val="0"/>
              <w:marBottom w:val="0"/>
              <w:divBdr>
                <w:top w:val="none" w:sz="0" w:space="0" w:color="auto"/>
                <w:left w:val="none" w:sz="0" w:space="0" w:color="auto"/>
                <w:bottom w:val="none" w:sz="0" w:space="0" w:color="auto"/>
                <w:right w:val="none" w:sz="0" w:space="0" w:color="auto"/>
              </w:divBdr>
            </w:div>
            <w:div w:id="1791893001">
              <w:marLeft w:val="0"/>
              <w:marRight w:val="0"/>
              <w:marTop w:val="0"/>
              <w:marBottom w:val="0"/>
              <w:divBdr>
                <w:top w:val="none" w:sz="0" w:space="0" w:color="auto"/>
                <w:left w:val="none" w:sz="0" w:space="0" w:color="auto"/>
                <w:bottom w:val="none" w:sz="0" w:space="0" w:color="auto"/>
                <w:right w:val="none" w:sz="0" w:space="0" w:color="auto"/>
              </w:divBdr>
            </w:div>
            <w:div w:id="1622883425">
              <w:marLeft w:val="0"/>
              <w:marRight w:val="0"/>
              <w:marTop w:val="0"/>
              <w:marBottom w:val="0"/>
              <w:divBdr>
                <w:top w:val="none" w:sz="0" w:space="0" w:color="auto"/>
                <w:left w:val="none" w:sz="0" w:space="0" w:color="auto"/>
                <w:bottom w:val="none" w:sz="0" w:space="0" w:color="auto"/>
                <w:right w:val="none" w:sz="0" w:space="0" w:color="auto"/>
              </w:divBdr>
            </w:div>
            <w:div w:id="1615092168">
              <w:marLeft w:val="0"/>
              <w:marRight w:val="0"/>
              <w:marTop w:val="0"/>
              <w:marBottom w:val="0"/>
              <w:divBdr>
                <w:top w:val="none" w:sz="0" w:space="0" w:color="auto"/>
                <w:left w:val="none" w:sz="0" w:space="0" w:color="auto"/>
                <w:bottom w:val="none" w:sz="0" w:space="0" w:color="auto"/>
                <w:right w:val="none" w:sz="0" w:space="0" w:color="auto"/>
              </w:divBdr>
            </w:div>
            <w:div w:id="1965690525">
              <w:marLeft w:val="0"/>
              <w:marRight w:val="0"/>
              <w:marTop w:val="0"/>
              <w:marBottom w:val="0"/>
              <w:divBdr>
                <w:top w:val="none" w:sz="0" w:space="0" w:color="auto"/>
                <w:left w:val="none" w:sz="0" w:space="0" w:color="auto"/>
                <w:bottom w:val="none" w:sz="0" w:space="0" w:color="auto"/>
                <w:right w:val="none" w:sz="0" w:space="0" w:color="auto"/>
              </w:divBdr>
            </w:div>
            <w:div w:id="391075398">
              <w:marLeft w:val="0"/>
              <w:marRight w:val="0"/>
              <w:marTop w:val="0"/>
              <w:marBottom w:val="0"/>
              <w:divBdr>
                <w:top w:val="none" w:sz="0" w:space="0" w:color="auto"/>
                <w:left w:val="none" w:sz="0" w:space="0" w:color="auto"/>
                <w:bottom w:val="none" w:sz="0" w:space="0" w:color="auto"/>
                <w:right w:val="none" w:sz="0" w:space="0" w:color="auto"/>
              </w:divBdr>
            </w:div>
            <w:div w:id="1457989279">
              <w:marLeft w:val="0"/>
              <w:marRight w:val="0"/>
              <w:marTop w:val="0"/>
              <w:marBottom w:val="0"/>
              <w:divBdr>
                <w:top w:val="none" w:sz="0" w:space="0" w:color="auto"/>
                <w:left w:val="none" w:sz="0" w:space="0" w:color="auto"/>
                <w:bottom w:val="none" w:sz="0" w:space="0" w:color="auto"/>
                <w:right w:val="none" w:sz="0" w:space="0" w:color="auto"/>
              </w:divBdr>
            </w:div>
            <w:div w:id="898903092">
              <w:marLeft w:val="0"/>
              <w:marRight w:val="0"/>
              <w:marTop w:val="0"/>
              <w:marBottom w:val="0"/>
              <w:divBdr>
                <w:top w:val="none" w:sz="0" w:space="0" w:color="auto"/>
                <w:left w:val="none" w:sz="0" w:space="0" w:color="auto"/>
                <w:bottom w:val="none" w:sz="0" w:space="0" w:color="auto"/>
                <w:right w:val="none" w:sz="0" w:space="0" w:color="auto"/>
              </w:divBdr>
            </w:div>
            <w:div w:id="1713310768">
              <w:marLeft w:val="0"/>
              <w:marRight w:val="0"/>
              <w:marTop w:val="0"/>
              <w:marBottom w:val="0"/>
              <w:divBdr>
                <w:top w:val="none" w:sz="0" w:space="0" w:color="auto"/>
                <w:left w:val="none" w:sz="0" w:space="0" w:color="auto"/>
                <w:bottom w:val="none" w:sz="0" w:space="0" w:color="auto"/>
                <w:right w:val="none" w:sz="0" w:space="0" w:color="auto"/>
              </w:divBdr>
            </w:div>
            <w:div w:id="205652246">
              <w:marLeft w:val="0"/>
              <w:marRight w:val="0"/>
              <w:marTop w:val="0"/>
              <w:marBottom w:val="0"/>
              <w:divBdr>
                <w:top w:val="none" w:sz="0" w:space="0" w:color="auto"/>
                <w:left w:val="none" w:sz="0" w:space="0" w:color="auto"/>
                <w:bottom w:val="none" w:sz="0" w:space="0" w:color="auto"/>
                <w:right w:val="none" w:sz="0" w:space="0" w:color="auto"/>
              </w:divBdr>
            </w:div>
            <w:div w:id="928385553">
              <w:marLeft w:val="0"/>
              <w:marRight w:val="0"/>
              <w:marTop w:val="0"/>
              <w:marBottom w:val="0"/>
              <w:divBdr>
                <w:top w:val="none" w:sz="0" w:space="0" w:color="auto"/>
                <w:left w:val="none" w:sz="0" w:space="0" w:color="auto"/>
                <w:bottom w:val="none" w:sz="0" w:space="0" w:color="auto"/>
                <w:right w:val="none" w:sz="0" w:space="0" w:color="auto"/>
              </w:divBdr>
            </w:div>
            <w:div w:id="759373733">
              <w:marLeft w:val="0"/>
              <w:marRight w:val="0"/>
              <w:marTop w:val="0"/>
              <w:marBottom w:val="0"/>
              <w:divBdr>
                <w:top w:val="none" w:sz="0" w:space="0" w:color="auto"/>
                <w:left w:val="none" w:sz="0" w:space="0" w:color="auto"/>
                <w:bottom w:val="none" w:sz="0" w:space="0" w:color="auto"/>
                <w:right w:val="none" w:sz="0" w:space="0" w:color="auto"/>
              </w:divBdr>
            </w:div>
            <w:div w:id="333149738">
              <w:marLeft w:val="0"/>
              <w:marRight w:val="0"/>
              <w:marTop w:val="0"/>
              <w:marBottom w:val="0"/>
              <w:divBdr>
                <w:top w:val="none" w:sz="0" w:space="0" w:color="auto"/>
                <w:left w:val="none" w:sz="0" w:space="0" w:color="auto"/>
                <w:bottom w:val="none" w:sz="0" w:space="0" w:color="auto"/>
                <w:right w:val="none" w:sz="0" w:space="0" w:color="auto"/>
              </w:divBdr>
            </w:div>
            <w:div w:id="1153907636">
              <w:marLeft w:val="0"/>
              <w:marRight w:val="0"/>
              <w:marTop w:val="0"/>
              <w:marBottom w:val="0"/>
              <w:divBdr>
                <w:top w:val="none" w:sz="0" w:space="0" w:color="auto"/>
                <w:left w:val="none" w:sz="0" w:space="0" w:color="auto"/>
                <w:bottom w:val="none" w:sz="0" w:space="0" w:color="auto"/>
                <w:right w:val="none" w:sz="0" w:space="0" w:color="auto"/>
              </w:divBdr>
            </w:div>
            <w:div w:id="175191783">
              <w:marLeft w:val="0"/>
              <w:marRight w:val="0"/>
              <w:marTop w:val="0"/>
              <w:marBottom w:val="0"/>
              <w:divBdr>
                <w:top w:val="none" w:sz="0" w:space="0" w:color="auto"/>
                <w:left w:val="none" w:sz="0" w:space="0" w:color="auto"/>
                <w:bottom w:val="none" w:sz="0" w:space="0" w:color="auto"/>
                <w:right w:val="none" w:sz="0" w:space="0" w:color="auto"/>
              </w:divBdr>
            </w:div>
            <w:div w:id="1309943161">
              <w:marLeft w:val="0"/>
              <w:marRight w:val="0"/>
              <w:marTop w:val="0"/>
              <w:marBottom w:val="0"/>
              <w:divBdr>
                <w:top w:val="none" w:sz="0" w:space="0" w:color="auto"/>
                <w:left w:val="none" w:sz="0" w:space="0" w:color="auto"/>
                <w:bottom w:val="none" w:sz="0" w:space="0" w:color="auto"/>
                <w:right w:val="none" w:sz="0" w:space="0" w:color="auto"/>
              </w:divBdr>
            </w:div>
            <w:div w:id="747192024">
              <w:marLeft w:val="0"/>
              <w:marRight w:val="0"/>
              <w:marTop w:val="0"/>
              <w:marBottom w:val="0"/>
              <w:divBdr>
                <w:top w:val="none" w:sz="0" w:space="0" w:color="auto"/>
                <w:left w:val="none" w:sz="0" w:space="0" w:color="auto"/>
                <w:bottom w:val="none" w:sz="0" w:space="0" w:color="auto"/>
                <w:right w:val="none" w:sz="0" w:space="0" w:color="auto"/>
              </w:divBdr>
            </w:div>
            <w:div w:id="2137672954">
              <w:marLeft w:val="0"/>
              <w:marRight w:val="0"/>
              <w:marTop w:val="0"/>
              <w:marBottom w:val="0"/>
              <w:divBdr>
                <w:top w:val="none" w:sz="0" w:space="0" w:color="auto"/>
                <w:left w:val="none" w:sz="0" w:space="0" w:color="auto"/>
                <w:bottom w:val="none" w:sz="0" w:space="0" w:color="auto"/>
                <w:right w:val="none" w:sz="0" w:space="0" w:color="auto"/>
              </w:divBdr>
            </w:div>
            <w:div w:id="828330283">
              <w:marLeft w:val="0"/>
              <w:marRight w:val="0"/>
              <w:marTop w:val="0"/>
              <w:marBottom w:val="0"/>
              <w:divBdr>
                <w:top w:val="none" w:sz="0" w:space="0" w:color="auto"/>
                <w:left w:val="none" w:sz="0" w:space="0" w:color="auto"/>
                <w:bottom w:val="none" w:sz="0" w:space="0" w:color="auto"/>
                <w:right w:val="none" w:sz="0" w:space="0" w:color="auto"/>
              </w:divBdr>
            </w:div>
            <w:div w:id="289092634">
              <w:marLeft w:val="0"/>
              <w:marRight w:val="0"/>
              <w:marTop w:val="0"/>
              <w:marBottom w:val="0"/>
              <w:divBdr>
                <w:top w:val="none" w:sz="0" w:space="0" w:color="auto"/>
                <w:left w:val="none" w:sz="0" w:space="0" w:color="auto"/>
                <w:bottom w:val="none" w:sz="0" w:space="0" w:color="auto"/>
                <w:right w:val="none" w:sz="0" w:space="0" w:color="auto"/>
              </w:divBdr>
            </w:div>
            <w:div w:id="1336886733">
              <w:marLeft w:val="0"/>
              <w:marRight w:val="0"/>
              <w:marTop w:val="0"/>
              <w:marBottom w:val="0"/>
              <w:divBdr>
                <w:top w:val="none" w:sz="0" w:space="0" w:color="auto"/>
                <w:left w:val="none" w:sz="0" w:space="0" w:color="auto"/>
                <w:bottom w:val="none" w:sz="0" w:space="0" w:color="auto"/>
                <w:right w:val="none" w:sz="0" w:space="0" w:color="auto"/>
              </w:divBdr>
            </w:div>
            <w:div w:id="1634024545">
              <w:marLeft w:val="0"/>
              <w:marRight w:val="0"/>
              <w:marTop w:val="0"/>
              <w:marBottom w:val="0"/>
              <w:divBdr>
                <w:top w:val="none" w:sz="0" w:space="0" w:color="auto"/>
                <w:left w:val="none" w:sz="0" w:space="0" w:color="auto"/>
                <w:bottom w:val="none" w:sz="0" w:space="0" w:color="auto"/>
                <w:right w:val="none" w:sz="0" w:space="0" w:color="auto"/>
              </w:divBdr>
            </w:div>
            <w:div w:id="1840149893">
              <w:marLeft w:val="0"/>
              <w:marRight w:val="0"/>
              <w:marTop w:val="0"/>
              <w:marBottom w:val="0"/>
              <w:divBdr>
                <w:top w:val="none" w:sz="0" w:space="0" w:color="auto"/>
                <w:left w:val="none" w:sz="0" w:space="0" w:color="auto"/>
                <w:bottom w:val="none" w:sz="0" w:space="0" w:color="auto"/>
                <w:right w:val="none" w:sz="0" w:space="0" w:color="auto"/>
              </w:divBdr>
            </w:div>
            <w:div w:id="171724372">
              <w:marLeft w:val="0"/>
              <w:marRight w:val="0"/>
              <w:marTop w:val="0"/>
              <w:marBottom w:val="0"/>
              <w:divBdr>
                <w:top w:val="none" w:sz="0" w:space="0" w:color="auto"/>
                <w:left w:val="none" w:sz="0" w:space="0" w:color="auto"/>
                <w:bottom w:val="none" w:sz="0" w:space="0" w:color="auto"/>
                <w:right w:val="none" w:sz="0" w:space="0" w:color="auto"/>
              </w:divBdr>
            </w:div>
            <w:div w:id="397558596">
              <w:marLeft w:val="0"/>
              <w:marRight w:val="0"/>
              <w:marTop w:val="0"/>
              <w:marBottom w:val="0"/>
              <w:divBdr>
                <w:top w:val="none" w:sz="0" w:space="0" w:color="auto"/>
                <w:left w:val="none" w:sz="0" w:space="0" w:color="auto"/>
                <w:bottom w:val="none" w:sz="0" w:space="0" w:color="auto"/>
                <w:right w:val="none" w:sz="0" w:space="0" w:color="auto"/>
              </w:divBdr>
            </w:div>
            <w:div w:id="350571950">
              <w:marLeft w:val="0"/>
              <w:marRight w:val="0"/>
              <w:marTop w:val="0"/>
              <w:marBottom w:val="0"/>
              <w:divBdr>
                <w:top w:val="none" w:sz="0" w:space="0" w:color="auto"/>
                <w:left w:val="none" w:sz="0" w:space="0" w:color="auto"/>
                <w:bottom w:val="none" w:sz="0" w:space="0" w:color="auto"/>
                <w:right w:val="none" w:sz="0" w:space="0" w:color="auto"/>
              </w:divBdr>
            </w:div>
            <w:div w:id="655376346">
              <w:marLeft w:val="0"/>
              <w:marRight w:val="0"/>
              <w:marTop w:val="0"/>
              <w:marBottom w:val="0"/>
              <w:divBdr>
                <w:top w:val="none" w:sz="0" w:space="0" w:color="auto"/>
                <w:left w:val="none" w:sz="0" w:space="0" w:color="auto"/>
                <w:bottom w:val="none" w:sz="0" w:space="0" w:color="auto"/>
                <w:right w:val="none" w:sz="0" w:space="0" w:color="auto"/>
              </w:divBdr>
            </w:div>
            <w:div w:id="926423476">
              <w:marLeft w:val="0"/>
              <w:marRight w:val="0"/>
              <w:marTop w:val="0"/>
              <w:marBottom w:val="0"/>
              <w:divBdr>
                <w:top w:val="none" w:sz="0" w:space="0" w:color="auto"/>
                <w:left w:val="none" w:sz="0" w:space="0" w:color="auto"/>
                <w:bottom w:val="none" w:sz="0" w:space="0" w:color="auto"/>
                <w:right w:val="none" w:sz="0" w:space="0" w:color="auto"/>
              </w:divBdr>
            </w:div>
            <w:div w:id="498351024">
              <w:marLeft w:val="0"/>
              <w:marRight w:val="0"/>
              <w:marTop w:val="0"/>
              <w:marBottom w:val="0"/>
              <w:divBdr>
                <w:top w:val="none" w:sz="0" w:space="0" w:color="auto"/>
                <w:left w:val="none" w:sz="0" w:space="0" w:color="auto"/>
                <w:bottom w:val="none" w:sz="0" w:space="0" w:color="auto"/>
                <w:right w:val="none" w:sz="0" w:space="0" w:color="auto"/>
              </w:divBdr>
            </w:div>
            <w:div w:id="1773626832">
              <w:marLeft w:val="0"/>
              <w:marRight w:val="0"/>
              <w:marTop w:val="0"/>
              <w:marBottom w:val="0"/>
              <w:divBdr>
                <w:top w:val="none" w:sz="0" w:space="0" w:color="auto"/>
                <w:left w:val="none" w:sz="0" w:space="0" w:color="auto"/>
                <w:bottom w:val="none" w:sz="0" w:space="0" w:color="auto"/>
                <w:right w:val="none" w:sz="0" w:space="0" w:color="auto"/>
              </w:divBdr>
            </w:div>
            <w:div w:id="329330749">
              <w:marLeft w:val="0"/>
              <w:marRight w:val="0"/>
              <w:marTop w:val="0"/>
              <w:marBottom w:val="0"/>
              <w:divBdr>
                <w:top w:val="none" w:sz="0" w:space="0" w:color="auto"/>
                <w:left w:val="none" w:sz="0" w:space="0" w:color="auto"/>
                <w:bottom w:val="none" w:sz="0" w:space="0" w:color="auto"/>
                <w:right w:val="none" w:sz="0" w:space="0" w:color="auto"/>
              </w:divBdr>
            </w:div>
            <w:div w:id="652488100">
              <w:marLeft w:val="0"/>
              <w:marRight w:val="0"/>
              <w:marTop w:val="0"/>
              <w:marBottom w:val="0"/>
              <w:divBdr>
                <w:top w:val="none" w:sz="0" w:space="0" w:color="auto"/>
                <w:left w:val="none" w:sz="0" w:space="0" w:color="auto"/>
                <w:bottom w:val="none" w:sz="0" w:space="0" w:color="auto"/>
                <w:right w:val="none" w:sz="0" w:space="0" w:color="auto"/>
              </w:divBdr>
            </w:div>
            <w:div w:id="255945607">
              <w:marLeft w:val="0"/>
              <w:marRight w:val="0"/>
              <w:marTop w:val="0"/>
              <w:marBottom w:val="0"/>
              <w:divBdr>
                <w:top w:val="none" w:sz="0" w:space="0" w:color="auto"/>
                <w:left w:val="none" w:sz="0" w:space="0" w:color="auto"/>
                <w:bottom w:val="none" w:sz="0" w:space="0" w:color="auto"/>
                <w:right w:val="none" w:sz="0" w:space="0" w:color="auto"/>
              </w:divBdr>
            </w:div>
            <w:div w:id="994644772">
              <w:marLeft w:val="0"/>
              <w:marRight w:val="0"/>
              <w:marTop w:val="0"/>
              <w:marBottom w:val="0"/>
              <w:divBdr>
                <w:top w:val="none" w:sz="0" w:space="0" w:color="auto"/>
                <w:left w:val="none" w:sz="0" w:space="0" w:color="auto"/>
                <w:bottom w:val="none" w:sz="0" w:space="0" w:color="auto"/>
                <w:right w:val="none" w:sz="0" w:space="0" w:color="auto"/>
              </w:divBdr>
            </w:div>
            <w:div w:id="1524132608">
              <w:marLeft w:val="0"/>
              <w:marRight w:val="0"/>
              <w:marTop w:val="0"/>
              <w:marBottom w:val="0"/>
              <w:divBdr>
                <w:top w:val="none" w:sz="0" w:space="0" w:color="auto"/>
                <w:left w:val="none" w:sz="0" w:space="0" w:color="auto"/>
                <w:bottom w:val="none" w:sz="0" w:space="0" w:color="auto"/>
                <w:right w:val="none" w:sz="0" w:space="0" w:color="auto"/>
              </w:divBdr>
            </w:div>
            <w:div w:id="310142161">
              <w:marLeft w:val="0"/>
              <w:marRight w:val="0"/>
              <w:marTop w:val="0"/>
              <w:marBottom w:val="0"/>
              <w:divBdr>
                <w:top w:val="none" w:sz="0" w:space="0" w:color="auto"/>
                <w:left w:val="none" w:sz="0" w:space="0" w:color="auto"/>
                <w:bottom w:val="none" w:sz="0" w:space="0" w:color="auto"/>
                <w:right w:val="none" w:sz="0" w:space="0" w:color="auto"/>
              </w:divBdr>
            </w:div>
            <w:div w:id="1067723783">
              <w:marLeft w:val="0"/>
              <w:marRight w:val="0"/>
              <w:marTop w:val="0"/>
              <w:marBottom w:val="0"/>
              <w:divBdr>
                <w:top w:val="none" w:sz="0" w:space="0" w:color="auto"/>
                <w:left w:val="none" w:sz="0" w:space="0" w:color="auto"/>
                <w:bottom w:val="none" w:sz="0" w:space="0" w:color="auto"/>
                <w:right w:val="none" w:sz="0" w:space="0" w:color="auto"/>
              </w:divBdr>
            </w:div>
            <w:div w:id="494538093">
              <w:marLeft w:val="0"/>
              <w:marRight w:val="0"/>
              <w:marTop w:val="0"/>
              <w:marBottom w:val="0"/>
              <w:divBdr>
                <w:top w:val="none" w:sz="0" w:space="0" w:color="auto"/>
                <w:left w:val="none" w:sz="0" w:space="0" w:color="auto"/>
                <w:bottom w:val="none" w:sz="0" w:space="0" w:color="auto"/>
                <w:right w:val="none" w:sz="0" w:space="0" w:color="auto"/>
              </w:divBdr>
            </w:div>
            <w:div w:id="640421955">
              <w:marLeft w:val="0"/>
              <w:marRight w:val="0"/>
              <w:marTop w:val="0"/>
              <w:marBottom w:val="0"/>
              <w:divBdr>
                <w:top w:val="none" w:sz="0" w:space="0" w:color="auto"/>
                <w:left w:val="none" w:sz="0" w:space="0" w:color="auto"/>
                <w:bottom w:val="none" w:sz="0" w:space="0" w:color="auto"/>
                <w:right w:val="none" w:sz="0" w:space="0" w:color="auto"/>
              </w:divBdr>
            </w:div>
            <w:div w:id="1769110193">
              <w:marLeft w:val="0"/>
              <w:marRight w:val="0"/>
              <w:marTop w:val="0"/>
              <w:marBottom w:val="0"/>
              <w:divBdr>
                <w:top w:val="none" w:sz="0" w:space="0" w:color="auto"/>
                <w:left w:val="none" w:sz="0" w:space="0" w:color="auto"/>
                <w:bottom w:val="none" w:sz="0" w:space="0" w:color="auto"/>
                <w:right w:val="none" w:sz="0" w:space="0" w:color="auto"/>
              </w:divBdr>
            </w:div>
            <w:div w:id="49502527">
              <w:marLeft w:val="0"/>
              <w:marRight w:val="0"/>
              <w:marTop w:val="0"/>
              <w:marBottom w:val="0"/>
              <w:divBdr>
                <w:top w:val="none" w:sz="0" w:space="0" w:color="auto"/>
                <w:left w:val="none" w:sz="0" w:space="0" w:color="auto"/>
                <w:bottom w:val="none" w:sz="0" w:space="0" w:color="auto"/>
                <w:right w:val="none" w:sz="0" w:space="0" w:color="auto"/>
              </w:divBdr>
            </w:div>
            <w:div w:id="2059430729">
              <w:marLeft w:val="0"/>
              <w:marRight w:val="0"/>
              <w:marTop w:val="0"/>
              <w:marBottom w:val="0"/>
              <w:divBdr>
                <w:top w:val="none" w:sz="0" w:space="0" w:color="auto"/>
                <w:left w:val="none" w:sz="0" w:space="0" w:color="auto"/>
                <w:bottom w:val="none" w:sz="0" w:space="0" w:color="auto"/>
                <w:right w:val="none" w:sz="0" w:space="0" w:color="auto"/>
              </w:divBdr>
            </w:div>
            <w:div w:id="2051373415">
              <w:marLeft w:val="0"/>
              <w:marRight w:val="0"/>
              <w:marTop w:val="0"/>
              <w:marBottom w:val="0"/>
              <w:divBdr>
                <w:top w:val="none" w:sz="0" w:space="0" w:color="auto"/>
                <w:left w:val="none" w:sz="0" w:space="0" w:color="auto"/>
                <w:bottom w:val="none" w:sz="0" w:space="0" w:color="auto"/>
                <w:right w:val="none" w:sz="0" w:space="0" w:color="auto"/>
              </w:divBdr>
            </w:div>
            <w:div w:id="596404043">
              <w:marLeft w:val="0"/>
              <w:marRight w:val="0"/>
              <w:marTop w:val="0"/>
              <w:marBottom w:val="0"/>
              <w:divBdr>
                <w:top w:val="none" w:sz="0" w:space="0" w:color="auto"/>
                <w:left w:val="none" w:sz="0" w:space="0" w:color="auto"/>
                <w:bottom w:val="none" w:sz="0" w:space="0" w:color="auto"/>
                <w:right w:val="none" w:sz="0" w:space="0" w:color="auto"/>
              </w:divBdr>
            </w:div>
            <w:div w:id="1536653036">
              <w:marLeft w:val="0"/>
              <w:marRight w:val="0"/>
              <w:marTop w:val="0"/>
              <w:marBottom w:val="0"/>
              <w:divBdr>
                <w:top w:val="none" w:sz="0" w:space="0" w:color="auto"/>
                <w:left w:val="none" w:sz="0" w:space="0" w:color="auto"/>
                <w:bottom w:val="none" w:sz="0" w:space="0" w:color="auto"/>
                <w:right w:val="none" w:sz="0" w:space="0" w:color="auto"/>
              </w:divBdr>
            </w:div>
            <w:div w:id="1644311880">
              <w:marLeft w:val="0"/>
              <w:marRight w:val="0"/>
              <w:marTop w:val="0"/>
              <w:marBottom w:val="0"/>
              <w:divBdr>
                <w:top w:val="none" w:sz="0" w:space="0" w:color="auto"/>
                <w:left w:val="none" w:sz="0" w:space="0" w:color="auto"/>
                <w:bottom w:val="none" w:sz="0" w:space="0" w:color="auto"/>
                <w:right w:val="none" w:sz="0" w:space="0" w:color="auto"/>
              </w:divBdr>
            </w:div>
            <w:div w:id="567693952">
              <w:marLeft w:val="0"/>
              <w:marRight w:val="0"/>
              <w:marTop w:val="0"/>
              <w:marBottom w:val="0"/>
              <w:divBdr>
                <w:top w:val="none" w:sz="0" w:space="0" w:color="auto"/>
                <w:left w:val="none" w:sz="0" w:space="0" w:color="auto"/>
                <w:bottom w:val="none" w:sz="0" w:space="0" w:color="auto"/>
                <w:right w:val="none" w:sz="0" w:space="0" w:color="auto"/>
              </w:divBdr>
            </w:div>
            <w:div w:id="517933332">
              <w:marLeft w:val="0"/>
              <w:marRight w:val="0"/>
              <w:marTop w:val="0"/>
              <w:marBottom w:val="0"/>
              <w:divBdr>
                <w:top w:val="none" w:sz="0" w:space="0" w:color="auto"/>
                <w:left w:val="none" w:sz="0" w:space="0" w:color="auto"/>
                <w:bottom w:val="none" w:sz="0" w:space="0" w:color="auto"/>
                <w:right w:val="none" w:sz="0" w:space="0" w:color="auto"/>
              </w:divBdr>
            </w:div>
            <w:div w:id="1115176793">
              <w:marLeft w:val="0"/>
              <w:marRight w:val="0"/>
              <w:marTop w:val="0"/>
              <w:marBottom w:val="0"/>
              <w:divBdr>
                <w:top w:val="none" w:sz="0" w:space="0" w:color="auto"/>
                <w:left w:val="none" w:sz="0" w:space="0" w:color="auto"/>
                <w:bottom w:val="none" w:sz="0" w:space="0" w:color="auto"/>
                <w:right w:val="none" w:sz="0" w:space="0" w:color="auto"/>
              </w:divBdr>
            </w:div>
            <w:div w:id="1166017064">
              <w:marLeft w:val="0"/>
              <w:marRight w:val="0"/>
              <w:marTop w:val="0"/>
              <w:marBottom w:val="0"/>
              <w:divBdr>
                <w:top w:val="none" w:sz="0" w:space="0" w:color="auto"/>
                <w:left w:val="none" w:sz="0" w:space="0" w:color="auto"/>
                <w:bottom w:val="none" w:sz="0" w:space="0" w:color="auto"/>
                <w:right w:val="none" w:sz="0" w:space="0" w:color="auto"/>
              </w:divBdr>
            </w:div>
            <w:div w:id="918439664">
              <w:marLeft w:val="0"/>
              <w:marRight w:val="0"/>
              <w:marTop w:val="0"/>
              <w:marBottom w:val="0"/>
              <w:divBdr>
                <w:top w:val="none" w:sz="0" w:space="0" w:color="auto"/>
                <w:left w:val="none" w:sz="0" w:space="0" w:color="auto"/>
                <w:bottom w:val="none" w:sz="0" w:space="0" w:color="auto"/>
                <w:right w:val="none" w:sz="0" w:space="0" w:color="auto"/>
              </w:divBdr>
            </w:div>
            <w:div w:id="2037272041">
              <w:marLeft w:val="0"/>
              <w:marRight w:val="0"/>
              <w:marTop w:val="0"/>
              <w:marBottom w:val="0"/>
              <w:divBdr>
                <w:top w:val="none" w:sz="0" w:space="0" w:color="auto"/>
                <w:left w:val="none" w:sz="0" w:space="0" w:color="auto"/>
                <w:bottom w:val="none" w:sz="0" w:space="0" w:color="auto"/>
                <w:right w:val="none" w:sz="0" w:space="0" w:color="auto"/>
              </w:divBdr>
            </w:div>
            <w:div w:id="337117383">
              <w:marLeft w:val="0"/>
              <w:marRight w:val="0"/>
              <w:marTop w:val="0"/>
              <w:marBottom w:val="0"/>
              <w:divBdr>
                <w:top w:val="none" w:sz="0" w:space="0" w:color="auto"/>
                <w:left w:val="none" w:sz="0" w:space="0" w:color="auto"/>
                <w:bottom w:val="none" w:sz="0" w:space="0" w:color="auto"/>
                <w:right w:val="none" w:sz="0" w:space="0" w:color="auto"/>
              </w:divBdr>
            </w:div>
            <w:div w:id="1323006663">
              <w:marLeft w:val="0"/>
              <w:marRight w:val="0"/>
              <w:marTop w:val="0"/>
              <w:marBottom w:val="0"/>
              <w:divBdr>
                <w:top w:val="none" w:sz="0" w:space="0" w:color="auto"/>
                <w:left w:val="none" w:sz="0" w:space="0" w:color="auto"/>
                <w:bottom w:val="none" w:sz="0" w:space="0" w:color="auto"/>
                <w:right w:val="none" w:sz="0" w:space="0" w:color="auto"/>
              </w:divBdr>
            </w:div>
            <w:div w:id="1210193633">
              <w:marLeft w:val="0"/>
              <w:marRight w:val="0"/>
              <w:marTop w:val="0"/>
              <w:marBottom w:val="0"/>
              <w:divBdr>
                <w:top w:val="none" w:sz="0" w:space="0" w:color="auto"/>
                <w:left w:val="none" w:sz="0" w:space="0" w:color="auto"/>
                <w:bottom w:val="none" w:sz="0" w:space="0" w:color="auto"/>
                <w:right w:val="none" w:sz="0" w:space="0" w:color="auto"/>
              </w:divBdr>
            </w:div>
            <w:div w:id="1241140514">
              <w:marLeft w:val="0"/>
              <w:marRight w:val="0"/>
              <w:marTop w:val="0"/>
              <w:marBottom w:val="0"/>
              <w:divBdr>
                <w:top w:val="none" w:sz="0" w:space="0" w:color="auto"/>
                <w:left w:val="none" w:sz="0" w:space="0" w:color="auto"/>
                <w:bottom w:val="none" w:sz="0" w:space="0" w:color="auto"/>
                <w:right w:val="none" w:sz="0" w:space="0" w:color="auto"/>
              </w:divBdr>
            </w:div>
            <w:div w:id="1023171858">
              <w:marLeft w:val="0"/>
              <w:marRight w:val="0"/>
              <w:marTop w:val="0"/>
              <w:marBottom w:val="0"/>
              <w:divBdr>
                <w:top w:val="none" w:sz="0" w:space="0" w:color="auto"/>
                <w:left w:val="none" w:sz="0" w:space="0" w:color="auto"/>
                <w:bottom w:val="none" w:sz="0" w:space="0" w:color="auto"/>
                <w:right w:val="none" w:sz="0" w:space="0" w:color="auto"/>
              </w:divBdr>
            </w:div>
            <w:div w:id="615135214">
              <w:marLeft w:val="0"/>
              <w:marRight w:val="0"/>
              <w:marTop w:val="0"/>
              <w:marBottom w:val="0"/>
              <w:divBdr>
                <w:top w:val="none" w:sz="0" w:space="0" w:color="auto"/>
                <w:left w:val="none" w:sz="0" w:space="0" w:color="auto"/>
                <w:bottom w:val="none" w:sz="0" w:space="0" w:color="auto"/>
                <w:right w:val="none" w:sz="0" w:space="0" w:color="auto"/>
              </w:divBdr>
            </w:div>
            <w:div w:id="951286594">
              <w:marLeft w:val="0"/>
              <w:marRight w:val="0"/>
              <w:marTop w:val="0"/>
              <w:marBottom w:val="0"/>
              <w:divBdr>
                <w:top w:val="none" w:sz="0" w:space="0" w:color="auto"/>
                <w:left w:val="none" w:sz="0" w:space="0" w:color="auto"/>
                <w:bottom w:val="none" w:sz="0" w:space="0" w:color="auto"/>
                <w:right w:val="none" w:sz="0" w:space="0" w:color="auto"/>
              </w:divBdr>
            </w:div>
            <w:div w:id="1149177077">
              <w:marLeft w:val="0"/>
              <w:marRight w:val="0"/>
              <w:marTop w:val="0"/>
              <w:marBottom w:val="0"/>
              <w:divBdr>
                <w:top w:val="none" w:sz="0" w:space="0" w:color="auto"/>
                <w:left w:val="none" w:sz="0" w:space="0" w:color="auto"/>
                <w:bottom w:val="none" w:sz="0" w:space="0" w:color="auto"/>
                <w:right w:val="none" w:sz="0" w:space="0" w:color="auto"/>
              </w:divBdr>
            </w:div>
            <w:div w:id="382869018">
              <w:marLeft w:val="0"/>
              <w:marRight w:val="0"/>
              <w:marTop w:val="0"/>
              <w:marBottom w:val="0"/>
              <w:divBdr>
                <w:top w:val="none" w:sz="0" w:space="0" w:color="auto"/>
                <w:left w:val="none" w:sz="0" w:space="0" w:color="auto"/>
                <w:bottom w:val="none" w:sz="0" w:space="0" w:color="auto"/>
                <w:right w:val="none" w:sz="0" w:space="0" w:color="auto"/>
              </w:divBdr>
            </w:div>
            <w:div w:id="1644777713">
              <w:marLeft w:val="0"/>
              <w:marRight w:val="0"/>
              <w:marTop w:val="0"/>
              <w:marBottom w:val="0"/>
              <w:divBdr>
                <w:top w:val="none" w:sz="0" w:space="0" w:color="auto"/>
                <w:left w:val="none" w:sz="0" w:space="0" w:color="auto"/>
                <w:bottom w:val="none" w:sz="0" w:space="0" w:color="auto"/>
                <w:right w:val="none" w:sz="0" w:space="0" w:color="auto"/>
              </w:divBdr>
            </w:div>
            <w:div w:id="1267692373">
              <w:marLeft w:val="0"/>
              <w:marRight w:val="0"/>
              <w:marTop w:val="0"/>
              <w:marBottom w:val="0"/>
              <w:divBdr>
                <w:top w:val="none" w:sz="0" w:space="0" w:color="auto"/>
                <w:left w:val="none" w:sz="0" w:space="0" w:color="auto"/>
                <w:bottom w:val="none" w:sz="0" w:space="0" w:color="auto"/>
                <w:right w:val="none" w:sz="0" w:space="0" w:color="auto"/>
              </w:divBdr>
            </w:div>
            <w:div w:id="653920145">
              <w:marLeft w:val="0"/>
              <w:marRight w:val="0"/>
              <w:marTop w:val="0"/>
              <w:marBottom w:val="0"/>
              <w:divBdr>
                <w:top w:val="none" w:sz="0" w:space="0" w:color="auto"/>
                <w:left w:val="none" w:sz="0" w:space="0" w:color="auto"/>
                <w:bottom w:val="none" w:sz="0" w:space="0" w:color="auto"/>
                <w:right w:val="none" w:sz="0" w:space="0" w:color="auto"/>
              </w:divBdr>
            </w:div>
            <w:div w:id="1076853193">
              <w:marLeft w:val="0"/>
              <w:marRight w:val="0"/>
              <w:marTop w:val="0"/>
              <w:marBottom w:val="0"/>
              <w:divBdr>
                <w:top w:val="none" w:sz="0" w:space="0" w:color="auto"/>
                <w:left w:val="none" w:sz="0" w:space="0" w:color="auto"/>
                <w:bottom w:val="none" w:sz="0" w:space="0" w:color="auto"/>
                <w:right w:val="none" w:sz="0" w:space="0" w:color="auto"/>
              </w:divBdr>
            </w:div>
            <w:div w:id="1188836625">
              <w:marLeft w:val="0"/>
              <w:marRight w:val="0"/>
              <w:marTop w:val="0"/>
              <w:marBottom w:val="0"/>
              <w:divBdr>
                <w:top w:val="none" w:sz="0" w:space="0" w:color="auto"/>
                <w:left w:val="none" w:sz="0" w:space="0" w:color="auto"/>
                <w:bottom w:val="none" w:sz="0" w:space="0" w:color="auto"/>
                <w:right w:val="none" w:sz="0" w:space="0" w:color="auto"/>
              </w:divBdr>
            </w:div>
            <w:div w:id="1962613791">
              <w:marLeft w:val="0"/>
              <w:marRight w:val="0"/>
              <w:marTop w:val="0"/>
              <w:marBottom w:val="0"/>
              <w:divBdr>
                <w:top w:val="none" w:sz="0" w:space="0" w:color="auto"/>
                <w:left w:val="none" w:sz="0" w:space="0" w:color="auto"/>
                <w:bottom w:val="none" w:sz="0" w:space="0" w:color="auto"/>
                <w:right w:val="none" w:sz="0" w:space="0" w:color="auto"/>
              </w:divBdr>
            </w:div>
            <w:div w:id="1488205396">
              <w:marLeft w:val="0"/>
              <w:marRight w:val="0"/>
              <w:marTop w:val="0"/>
              <w:marBottom w:val="0"/>
              <w:divBdr>
                <w:top w:val="none" w:sz="0" w:space="0" w:color="auto"/>
                <w:left w:val="none" w:sz="0" w:space="0" w:color="auto"/>
                <w:bottom w:val="none" w:sz="0" w:space="0" w:color="auto"/>
                <w:right w:val="none" w:sz="0" w:space="0" w:color="auto"/>
              </w:divBdr>
            </w:div>
            <w:div w:id="1318652938">
              <w:marLeft w:val="0"/>
              <w:marRight w:val="0"/>
              <w:marTop w:val="0"/>
              <w:marBottom w:val="0"/>
              <w:divBdr>
                <w:top w:val="none" w:sz="0" w:space="0" w:color="auto"/>
                <w:left w:val="none" w:sz="0" w:space="0" w:color="auto"/>
                <w:bottom w:val="none" w:sz="0" w:space="0" w:color="auto"/>
                <w:right w:val="none" w:sz="0" w:space="0" w:color="auto"/>
              </w:divBdr>
            </w:div>
            <w:div w:id="1422798711">
              <w:marLeft w:val="0"/>
              <w:marRight w:val="0"/>
              <w:marTop w:val="0"/>
              <w:marBottom w:val="0"/>
              <w:divBdr>
                <w:top w:val="none" w:sz="0" w:space="0" w:color="auto"/>
                <w:left w:val="none" w:sz="0" w:space="0" w:color="auto"/>
                <w:bottom w:val="none" w:sz="0" w:space="0" w:color="auto"/>
                <w:right w:val="none" w:sz="0" w:space="0" w:color="auto"/>
              </w:divBdr>
            </w:div>
            <w:div w:id="177087591">
              <w:marLeft w:val="0"/>
              <w:marRight w:val="0"/>
              <w:marTop w:val="0"/>
              <w:marBottom w:val="0"/>
              <w:divBdr>
                <w:top w:val="none" w:sz="0" w:space="0" w:color="auto"/>
                <w:left w:val="none" w:sz="0" w:space="0" w:color="auto"/>
                <w:bottom w:val="none" w:sz="0" w:space="0" w:color="auto"/>
                <w:right w:val="none" w:sz="0" w:space="0" w:color="auto"/>
              </w:divBdr>
            </w:div>
            <w:div w:id="112481824">
              <w:marLeft w:val="0"/>
              <w:marRight w:val="0"/>
              <w:marTop w:val="0"/>
              <w:marBottom w:val="0"/>
              <w:divBdr>
                <w:top w:val="none" w:sz="0" w:space="0" w:color="auto"/>
                <w:left w:val="none" w:sz="0" w:space="0" w:color="auto"/>
                <w:bottom w:val="none" w:sz="0" w:space="0" w:color="auto"/>
                <w:right w:val="none" w:sz="0" w:space="0" w:color="auto"/>
              </w:divBdr>
            </w:div>
            <w:div w:id="893812210">
              <w:marLeft w:val="0"/>
              <w:marRight w:val="0"/>
              <w:marTop w:val="0"/>
              <w:marBottom w:val="0"/>
              <w:divBdr>
                <w:top w:val="none" w:sz="0" w:space="0" w:color="auto"/>
                <w:left w:val="none" w:sz="0" w:space="0" w:color="auto"/>
                <w:bottom w:val="none" w:sz="0" w:space="0" w:color="auto"/>
                <w:right w:val="none" w:sz="0" w:space="0" w:color="auto"/>
              </w:divBdr>
            </w:div>
            <w:div w:id="1669480547">
              <w:marLeft w:val="0"/>
              <w:marRight w:val="0"/>
              <w:marTop w:val="0"/>
              <w:marBottom w:val="0"/>
              <w:divBdr>
                <w:top w:val="none" w:sz="0" w:space="0" w:color="auto"/>
                <w:left w:val="none" w:sz="0" w:space="0" w:color="auto"/>
                <w:bottom w:val="none" w:sz="0" w:space="0" w:color="auto"/>
                <w:right w:val="none" w:sz="0" w:space="0" w:color="auto"/>
              </w:divBdr>
            </w:div>
            <w:div w:id="546071350">
              <w:marLeft w:val="0"/>
              <w:marRight w:val="0"/>
              <w:marTop w:val="0"/>
              <w:marBottom w:val="0"/>
              <w:divBdr>
                <w:top w:val="none" w:sz="0" w:space="0" w:color="auto"/>
                <w:left w:val="none" w:sz="0" w:space="0" w:color="auto"/>
                <w:bottom w:val="none" w:sz="0" w:space="0" w:color="auto"/>
                <w:right w:val="none" w:sz="0" w:space="0" w:color="auto"/>
              </w:divBdr>
            </w:div>
            <w:div w:id="1179083973">
              <w:marLeft w:val="0"/>
              <w:marRight w:val="0"/>
              <w:marTop w:val="0"/>
              <w:marBottom w:val="0"/>
              <w:divBdr>
                <w:top w:val="none" w:sz="0" w:space="0" w:color="auto"/>
                <w:left w:val="none" w:sz="0" w:space="0" w:color="auto"/>
                <w:bottom w:val="none" w:sz="0" w:space="0" w:color="auto"/>
                <w:right w:val="none" w:sz="0" w:space="0" w:color="auto"/>
              </w:divBdr>
            </w:div>
            <w:div w:id="1977030305">
              <w:marLeft w:val="0"/>
              <w:marRight w:val="0"/>
              <w:marTop w:val="0"/>
              <w:marBottom w:val="0"/>
              <w:divBdr>
                <w:top w:val="none" w:sz="0" w:space="0" w:color="auto"/>
                <w:left w:val="none" w:sz="0" w:space="0" w:color="auto"/>
                <w:bottom w:val="none" w:sz="0" w:space="0" w:color="auto"/>
                <w:right w:val="none" w:sz="0" w:space="0" w:color="auto"/>
              </w:divBdr>
            </w:div>
            <w:div w:id="489562318">
              <w:marLeft w:val="0"/>
              <w:marRight w:val="0"/>
              <w:marTop w:val="0"/>
              <w:marBottom w:val="0"/>
              <w:divBdr>
                <w:top w:val="none" w:sz="0" w:space="0" w:color="auto"/>
                <w:left w:val="none" w:sz="0" w:space="0" w:color="auto"/>
                <w:bottom w:val="none" w:sz="0" w:space="0" w:color="auto"/>
                <w:right w:val="none" w:sz="0" w:space="0" w:color="auto"/>
              </w:divBdr>
            </w:div>
            <w:div w:id="278029631">
              <w:marLeft w:val="0"/>
              <w:marRight w:val="0"/>
              <w:marTop w:val="0"/>
              <w:marBottom w:val="0"/>
              <w:divBdr>
                <w:top w:val="none" w:sz="0" w:space="0" w:color="auto"/>
                <w:left w:val="none" w:sz="0" w:space="0" w:color="auto"/>
                <w:bottom w:val="none" w:sz="0" w:space="0" w:color="auto"/>
                <w:right w:val="none" w:sz="0" w:space="0" w:color="auto"/>
              </w:divBdr>
            </w:div>
            <w:div w:id="1170289229">
              <w:marLeft w:val="0"/>
              <w:marRight w:val="0"/>
              <w:marTop w:val="0"/>
              <w:marBottom w:val="0"/>
              <w:divBdr>
                <w:top w:val="none" w:sz="0" w:space="0" w:color="auto"/>
                <w:left w:val="none" w:sz="0" w:space="0" w:color="auto"/>
                <w:bottom w:val="none" w:sz="0" w:space="0" w:color="auto"/>
                <w:right w:val="none" w:sz="0" w:space="0" w:color="auto"/>
              </w:divBdr>
            </w:div>
            <w:div w:id="1239244385">
              <w:marLeft w:val="0"/>
              <w:marRight w:val="0"/>
              <w:marTop w:val="0"/>
              <w:marBottom w:val="0"/>
              <w:divBdr>
                <w:top w:val="none" w:sz="0" w:space="0" w:color="auto"/>
                <w:left w:val="none" w:sz="0" w:space="0" w:color="auto"/>
                <w:bottom w:val="none" w:sz="0" w:space="0" w:color="auto"/>
                <w:right w:val="none" w:sz="0" w:space="0" w:color="auto"/>
              </w:divBdr>
            </w:div>
            <w:div w:id="1221282367">
              <w:marLeft w:val="0"/>
              <w:marRight w:val="0"/>
              <w:marTop w:val="0"/>
              <w:marBottom w:val="0"/>
              <w:divBdr>
                <w:top w:val="none" w:sz="0" w:space="0" w:color="auto"/>
                <w:left w:val="none" w:sz="0" w:space="0" w:color="auto"/>
                <w:bottom w:val="none" w:sz="0" w:space="0" w:color="auto"/>
                <w:right w:val="none" w:sz="0" w:space="0" w:color="auto"/>
              </w:divBdr>
            </w:div>
            <w:div w:id="1801994504">
              <w:marLeft w:val="0"/>
              <w:marRight w:val="0"/>
              <w:marTop w:val="0"/>
              <w:marBottom w:val="0"/>
              <w:divBdr>
                <w:top w:val="none" w:sz="0" w:space="0" w:color="auto"/>
                <w:left w:val="none" w:sz="0" w:space="0" w:color="auto"/>
                <w:bottom w:val="none" w:sz="0" w:space="0" w:color="auto"/>
                <w:right w:val="none" w:sz="0" w:space="0" w:color="auto"/>
              </w:divBdr>
            </w:div>
            <w:div w:id="1855072343">
              <w:marLeft w:val="0"/>
              <w:marRight w:val="0"/>
              <w:marTop w:val="0"/>
              <w:marBottom w:val="0"/>
              <w:divBdr>
                <w:top w:val="none" w:sz="0" w:space="0" w:color="auto"/>
                <w:left w:val="none" w:sz="0" w:space="0" w:color="auto"/>
                <w:bottom w:val="none" w:sz="0" w:space="0" w:color="auto"/>
                <w:right w:val="none" w:sz="0" w:space="0" w:color="auto"/>
              </w:divBdr>
            </w:div>
            <w:div w:id="508830092">
              <w:marLeft w:val="0"/>
              <w:marRight w:val="0"/>
              <w:marTop w:val="0"/>
              <w:marBottom w:val="0"/>
              <w:divBdr>
                <w:top w:val="none" w:sz="0" w:space="0" w:color="auto"/>
                <w:left w:val="none" w:sz="0" w:space="0" w:color="auto"/>
                <w:bottom w:val="none" w:sz="0" w:space="0" w:color="auto"/>
                <w:right w:val="none" w:sz="0" w:space="0" w:color="auto"/>
              </w:divBdr>
            </w:div>
            <w:div w:id="69276580">
              <w:marLeft w:val="0"/>
              <w:marRight w:val="0"/>
              <w:marTop w:val="0"/>
              <w:marBottom w:val="0"/>
              <w:divBdr>
                <w:top w:val="none" w:sz="0" w:space="0" w:color="auto"/>
                <w:left w:val="none" w:sz="0" w:space="0" w:color="auto"/>
                <w:bottom w:val="none" w:sz="0" w:space="0" w:color="auto"/>
                <w:right w:val="none" w:sz="0" w:space="0" w:color="auto"/>
              </w:divBdr>
            </w:div>
            <w:div w:id="1990479243">
              <w:marLeft w:val="0"/>
              <w:marRight w:val="0"/>
              <w:marTop w:val="0"/>
              <w:marBottom w:val="0"/>
              <w:divBdr>
                <w:top w:val="none" w:sz="0" w:space="0" w:color="auto"/>
                <w:left w:val="none" w:sz="0" w:space="0" w:color="auto"/>
                <w:bottom w:val="none" w:sz="0" w:space="0" w:color="auto"/>
                <w:right w:val="none" w:sz="0" w:space="0" w:color="auto"/>
              </w:divBdr>
            </w:div>
            <w:div w:id="1762413253">
              <w:marLeft w:val="0"/>
              <w:marRight w:val="0"/>
              <w:marTop w:val="0"/>
              <w:marBottom w:val="0"/>
              <w:divBdr>
                <w:top w:val="none" w:sz="0" w:space="0" w:color="auto"/>
                <w:left w:val="none" w:sz="0" w:space="0" w:color="auto"/>
                <w:bottom w:val="none" w:sz="0" w:space="0" w:color="auto"/>
                <w:right w:val="none" w:sz="0" w:space="0" w:color="auto"/>
              </w:divBdr>
            </w:div>
            <w:div w:id="288359612">
              <w:marLeft w:val="0"/>
              <w:marRight w:val="0"/>
              <w:marTop w:val="0"/>
              <w:marBottom w:val="0"/>
              <w:divBdr>
                <w:top w:val="none" w:sz="0" w:space="0" w:color="auto"/>
                <w:left w:val="none" w:sz="0" w:space="0" w:color="auto"/>
                <w:bottom w:val="none" w:sz="0" w:space="0" w:color="auto"/>
                <w:right w:val="none" w:sz="0" w:space="0" w:color="auto"/>
              </w:divBdr>
            </w:div>
            <w:div w:id="605961473">
              <w:marLeft w:val="0"/>
              <w:marRight w:val="0"/>
              <w:marTop w:val="0"/>
              <w:marBottom w:val="0"/>
              <w:divBdr>
                <w:top w:val="none" w:sz="0" w:space="0" w:color="auto"/>
                <w:left w:val="none" w:sz="0" w:space="0" w:color="auto"/>
                <w:bottom w:val="none" w:sz="0" w:space="0" w:color="auto"/>
                <w:right w:val="none" w:sz="0" w:space="0" w:color="auto"/>
              </w:divBdr>
            </w:div>
            <w:div w:id="2061783506">
              <w:marLeft w:val="0"/>
              <w:marRight w:val="0"/>
              <w:marTop w:val="0"/>
              <w:marBottom w:val="0"/>
              <w:divBdr>
                <w:top w:val="none" w:sz="0" w:space="0" w:color="auto"/>
                <w:left w:val="none" w:sz="0" w:space="0" w:color="auto"/>
                <w:bottom w:val="none" w:sz="0" w:space="0" w:color="auto"/>
                <w:right w:val="none" w:sz="0" w:space="0" w:color="auto"/>
              </w:divBdr>
            </w:div>
            <w:div w:id="332489780">
              <w:marLeft w:val="0"/>
              <w:marRight w:val="0"/>
              <w:marTop w:val="0"/>
              <w:marBottom w:val="0"/>
              <w:divBdr>
                <w:top w:val="none" w:sz="0" w:space="0" w:color="auto"/>
                <w:left w:val="none" w:sz="0" w:space="0" w:color="auto"/>
                <w:bottom w:val="none" w:sz="0" w:space="0" w:color="auto"/>
                <w:right w:val="none" w:sz="0" w:space="0" w:color="auto"/>
              </w:divBdr>
            </w:div>
            <w:div w:id="1338996848">
              <w:marLeft w:val="0"/>
              <w:marRight w:val="0"/>
              <w:marTop w:val="0"/>
              <w:marBottom w:val="0"/>
              <w:divBdr>
                <w:top w:val="none" w:sz="0" w:space="0" w:color="auto"/>
                <w:left w:val="none" w:sz="0" w:space="0" w:color="auto"/>
                <w:bottom w:val="none" w:sz="0" w:space="0" w:color="auto"/>
                <w:right w:val="none" w:sz="0" w:space="0" w:color="auto"/>
              </w:divBdr>
            </w:div>
            <w:div w:id="2119643996">
              <w:marLeft w:val="0"/>
              <w:marRight w:val="0"/>
              <w:marTop w:val="0"/>
              <w:marBottom w:val="0"/>
              <w:divBdr>
                <w:top w:val="none" w:sz="0" w:space="0" w:color="auto"/>
                <w:left w:val="none" w:sz="0" w:space="0" w:color="auto"/>
                <w:bottom w:val="none" w:sz="0" w:space="0" w:color="auto"/>
                <w:right w:val="none" w:sz="0" w:space="0" w:color="auto"/>
              </w:divBdr>
            </w:div>
            <w:div w:id="1693219370">
              <w:marLeft w:val="0"/>
              <w:marRight w:val="0"/>
              <w:marTop w:val="0"/>
              <w:marBottom w:val="0"/>
              <w:divBdr>
                <w:top w:val="none" w:sz="0" w:space="0" w:color="auto"/>
                <w:left w:val="none" w:sz="0" w:space="0" w:color="auto"/>
                <w:bottom w:val="none" w:sz="0" w:space="0" w:color="auto"/>
                <w:right w:val="none" w:sz="0" w:space="0" w:color="auto"/>
              </w:divBdr>
            </w:div>
            <w:div w:id="986712086">
              <w:marLeft w:val="0"/>
              <w:marRight w:val="0"/>
              <w:marTop w:val="0"/>
              <w:marBottom w:val="0"/>
              <w:divBdr>
                <w:top w:val="none" w:sz="0" w:space="0" w:color="auto"/>
                <w:left w:val="none" w:sz="0" w:space="0" w:color="auto"/>
                <w:bottom w:val="none" w:sz="0" w:space="0" w:color="auto"/>
                <w:right w:val="none" w:sz="0" w:space="0" w:color="auto"/>
              </w:divBdr>
            </w:div>
            <w:div w:id="1238784785">
              <w:marLeft w:val="0"/>
              <w:marRight w:val="0"/>
              <w:marTop w:val="0"/>
              <w:marBottom w:val="0"/>
              <w:divBdr>
                <w:top w:val="none" w:sz="0" w:space="0" w:color="auto"/>
                <w:left w:val="none" w:sz="0" w:space="0" w:color="auto"/>
                <w:bottom w:val="none" w:sz="0" w:space="0" w:color="auto"/>
                <w:right w:val="none" w:sz="0" w:space="0" w:color="auto"/>
              </w:divBdr>
            </w:div>
            <w:div w:id="1155995297">
              <w:marLeft w:val="0"/>
              <w:marRight w:val="0"/>
              <w:marTop w:val="0"/>
              <w:marBottom w:val="0"/>
              <w:divBdr>
                <w:top w:val="none" w:sz="0" w:space="0" w:color="auto"/>
                <w:left w:val="none" w:sz="0" w:space="0" w:color="auto"/>
                <w:bottom w:val="none" w:sz="0" w:space="0" w:color="auto"/>
                <w:right w:val="none" w:sz="0" w:space="0" w:color="auto"/>
              </w:divBdr>
            </w:div>
            <w:div w:id="836073630">
              <w:marLeft w:val="0"/>
              <w:marRight w:val="0"/>
              <w:marTop w:val="0"/>
              <w:marBottom w:val="0"/>
              <w:divBdr>
                <w:top w:val="none" w:sz="0" w:space="0" w:color="auto"/>
                <w:left w:val="none" w:sz="0" w:space="0" w:color="auto"/>
                <w:bottom w:val="none" w:sz="0" w:space="0" w:color="auto"/>
                <w:right w:val="none" w:sz="0" w:space="0" w:color="auto"/>
              </w:divBdr>
            </w:div>
            <w:div w:id="2070838429">
              <w:marLeft w:val="0"/>
              <w:marRight w:val="0"/>
              <w:marTop w:val="0"/>
              <w:marBottom w:val="0"/>
              <w:divBdr>
                <w:top w:val="none" w:sz="0" w:space="0" w:color="auto"/>
                <w:left w:val="none" w:sz="0" w:space="0" w:color="auto"/>
                <w:bottom w:val="none" w:sz="0" w:space="0" w:color="auto"/>
                <w:right w:val="none" w:sz="0" w:space="0" w:color="auto"/>
              </w:divBdr>
            </w:div>
            <w:div w:id="1308706305">
              <w:marLeft w:val="0"/>
              <w:marRight w:val="0"/>
              <w:marTop w:val="0"/>
              <w:marBottom w:val="0"/>
              <w:divBdr>
                <w:top w:val="none" w:sz="0" w:space="0" w:color="auto"/>
                <w:left w:val="none" w:sz="0" w:space="0" w:color="auto"/>
                <w:bottom w:val="none" w:sz="0" w:space="0" w:color="auto"/>
                <w:right w:val="none" w:sz="0" w:space="0" w:color="auto"/>
              </w:divBdr>
            </w:div>
            <w:div w:id="737094261">
              <w:marLeft w:val="0"/>
              <w:marRight w:val="0"/>
              <w:marTop w:val="0"/>
              <w:marBottom w:val="0"/>
              <w:divBdr>
                <w:top w:val="none" w:sz="0" w:space="0" w:color="auto"/>
                <w:left w:val="none" w:sz="0" w:space="0" w:color="auto"/>
                <w:bottom w:val="none" w:sz="0" w:space="0" w:color="auto"/>
                <w:right w:val="none" w:sz="0" w:space="0" w:color="auto"/>
              </w:divBdr>
            </w:div>
            <w:div w:id="1497069375">
              <w:marLeft w:val="0"/>
              <w:marRight w:val="0"/>
              <w:marTop w:val="0"/>
              <w:marBottom w:val="0"/>
              <w:divBdr>
                <w:top w:val="none" w:sz="0" w:space="0" w:color="auto"/>
                <w:left w:val="none" w:sz="0" w:space="0" w:color="auto"/>
                <w:bottom w:val="none" w:sz="0" w:space="0" w:color="auto"/>
                <w:right w:val="none" w:sz="0" w:space="0" w:color="auto"/>
              </w:divBdr>
            </w:div>
            <w:div w:id="1418088643">
              <w:marLeft w:val="0"/>
              <w:marRight w:val="0"/>
              <w:marTop w:val="0"/>
              <w:marBottom w:val="0"/>
              <w:divBdr>
                <w:top w:val="none" w:sz="0" w:space="0" w:color="auto"/>
                <w:left w:val="none" w:sz="0" w:space="0" w:color="auto"/>
                <w:bottom w:val="none" w:sz="0" w:space="0" w:color="auto"/>
                <w:right w:val="none" w:sz="0" w:space="0" w:color="auto"/>
              </w:divBdr>
            </w:div>
            <w:div w:id="1946497113">
              <w:marLeft w:val="0"/>
              <w:marRight w:val="0"/>
              <w:marTop w:val="0"/>
              <w:marBottom w:val="0"/>
              <w:divBdr>
                <w:top w:val="none" w:sz="0" w:space="0" w:color="auto"/>
                <w:left w:val="none" w:sz="0" w:space="0" w:color="auto"/>
                <w:bottom w:val="none" w:sz="0" w:space="0" w:color="auto"/>
                <w:right w:val="none" w:sz="0" w:space="0" w:color="auto"/>
              </w:divBdr>
            </w:div>
            <w:div w:id="1876386008">
              <w:marLeft w:val="0"/>
              <w:marRight w:val="0"/>
              <w:marTop w:val="0"/>
              <w:marBottom w:val="0"/>
              <w:divBdr>
                <w:top w:val="none" w:sz="0" w:space="0" w:color="auto"/>
                <w:left w:val="none" w:sz="0" w:space="0" w:color="auto"/>
                <w:bottom w:val="none" w:sz="0" w:space="0" w:color="auto"/>
                <w:right w:val="none" w:sz="0" w:space="0" w:color="auto"/>
              </w:divBdr>
            </w:div>
            <w:div w:id="1703750240">
              <w:marLeft w:val="0"/>
              <w:marRight w:val="0"/>
              <w:marTop w:val="0"/>
              <w:marBottom w:val="0"/>
              <w:divBdr>
                <w:top w:val="none" w:sz="0" w:space="0" w:color="auto"/>
                <w:left w:val="none" w:sz="0" w:space="0" w:color="auto"/>
                <w:bottom w:val="none" w:sz="0" w:space="0" w:color="auto"/>
                <w:right w:val="none" w:sz="0" w:space="0" w:color="auto"/>
              </w:divBdr>
            </w:div>
            <w:div w:id="942684736">
              <w:marLeft w:val="0"/>
              <w:marRight w:val="0"/>
              <w:marTop w:val="0"/>
              <w:marBottom w:val="0"/>
              <w:divBdr>
                <w:top w:val="none" w:sz="0" w:space="0" w:color="auto"/>
                <w:left w:val="none" w:sz="0" w:space="0" w:color="auto"/>
                <w:bottom w:val="none" w:sz="0" w:space="0" w:color="auto"/>
                <w:right w:val="none" w:sz="0" w:space="0" w:color="auto"/>
              </w:divBdr>
            </w:div>
            <w:div w:id="875896327">
              <w:marLeft w:val="0"/>
              <w:marRight w:val="0"/>
              <w:marTop w:val="0"/>
              <w:marBottom w:val="0"/>
              <w:divBdr>
                <w:top w:val="none" w:sz="0" w:space="0" w:color="auto"/>
                <w:left w:val="none" w:sz="0" w:space="0" w:color="auto"/>
                <w:bottom w:val="none" w:sz="0" w:space="0" w:color="auto"/>
                <w:right w:val="none" w:sz="0" w:space="0" w:color="auto"/>
              </w:divBdr>
            </w:div>
            <w:div w:id="328754135">
              <w:marLeft w:val="0"/>
              <w:marRight w:val="0"/>
              <w:marTop w:val="0"/>
              <w:marBottom w:val="0"/>
              <w:divBdr>
                <w:top w:val="none" w:sz="0" w:space="0" w:color="auto"/>
                <w:left w:val="none" w:sz="0" w:space="0" w:color="auto"/>
                <w:bottom w:val="none" w:sz="0" w:space="0" w:color="auto"/>
                <w:right w:val="none" w:sz="0" w:space="0" w:color="auto"/>
              </w:divBdr>
            </w:div>
            <w:div w:id="1590697971">
              <w:marLeft w:val="0"/>
              <w:marRight w:val="0"/>
              <w:marTop w:val="0"/>
              <w:marBottom w:val="0"/>
              <w:divBdr>
                <w:top w:val="none" w:sz="0" w:space="0" w:color="auto"/>
                <w:left w:val="none" w:sz="0" w:space="0" w:color="auto"/>
                <w:bottom w:val="none" w:sz="0" w:space="0" w:color="auto"/>
                <w:right w:val="none" w:sz="0" w:space="0" w:color="auto"/>
              </w:divBdr>
            </w:div>
            <w:div w:id="1367869412">
              <w:marLeft w:val="0"/>
              <w:marRight w:val="0"/>
              <w:marTop w:val="0"/>
              <w:marBottom w:val="0"/>
              <w:divBdr>
                <w:top w:val="none" w:sz="0" w:space="0" w:color="auto"/>
                <w:left w:val="none" w:sz="0" w:space="0" w:color="auto"/>
                <w:bottom w:val="none" w:sz="0" w:space="0" w:color="auto"/>
                <w:right w:val="none" w:sz="0" w:space="0" w:color="auto"/>
              </w:divBdr>
            </w:div>
            <w:div w:id="1066487126">
              <w:marLeft w:val="0"/>
              <w:marRight w:val="0"/>
              <w:marTop w:val="0"/>
              <w:marBottom w:val="0"/>
              <w:divBdr>
                <w:top w:val="none" w:sz="0" w:space="0" w:color="auto"/>
                <w:left w:val="none" w:sz="0" w:space="0" w:color="auto"/>
                <w:bottom w:val="none" w:sz="0" w:space="0" w:color="auto"/>
                <w:right w:val="none" w:sz="0" w:space="0" w:color="auto"/>
              </w:divBdr>
            </w:div>
            <w:div w:id="1870608596">
              <w:marLeft w:val="0"/>
              <w:marRight w:val="0"/>
              <w:marTop w:val="0"/>
              <w:marBottom w:val="0"/>
              <w:divBdr>
                <w:top w:val="none" w:sz="0" w:space="0" w:color="auto"/>
                <w:left w:val="none" w:sz="0" w:space="0" w:color="auto"/>
                <w:bottom w:val="none" w:sz="0" w:space="0" w:color="auto"/>
                <w:right w:val="none" w:sz="0" w:space="0" w:color="auto"/>
              </w:divBdr>
            </w:div>
            <w:div w:id="909271321">
              <w:marLeft w:val="0"/>
              <w:marRight w:val="0"/>
              <w:marTop w:val="0"/>
              <w:marBottom w:val="0"/>
              <w:divBdr>
                <w:top w:val="none" w:sz="0" w:space="0" w:color="auto"/>
                <w:left w:val="none" w:sz="0" w:space="0" w:color="auto"/>
                <w:bottom w:val="none" w:sz="0" w:space="0" w:color="auto"/>
                <w:right w:val="none" w:sz="0" w:space="0" w:color="auto"/>
              </w:divBdr>
            </w:div>
            <w:div w:id="697127592">
              <w:marLeft w:val="0"/>
              <w:marRight w:val="0"/>
              <w:marTop w:val="0"/>
              <w:marBottom w:val="0"/>
              <w:divBdr>
                <w:top w:val="none" w:sz="0" w:space="0" w:color="auto"/>
                <w:left w:val="none" w:sz="0" w:space="0" w:color="auto"/>
                <w:bottom w:val="none" w:sz="0" w:space="0" w:color="auto"/>
                <w:right w:val="none" w:sz="0" w:space="0" w:color="auto"/>
              </w:divBdr>
            </w:div>
            <w:div w:id="350421840">
              <w:marLeft w:val="0"/>
              <w:marRight w:val="0"/>
              <w:marTop w:val="0"/>
              <w:marBottom w:val="0"/>
              <w:divBdr>
                <w:top w:val="none" w:sz="0" w:space="0" w:color="auto"/>
                <w:left w:val="none" w:sz="0" w:space="0" w:color="auto"/>
                <w:bottom w:val="none" w:sz="0" w:space="0" w:color="auto"/>
                <w:right w:val="none" w:sz="0" w:space="0" w:color="auto"/>
              </w:divBdr>
            </w:div>
            <w:div w:id="415640256">
              <w:marLeft w:val="0"/>
              <w:marRight w:val="0"/>
              <w:marTop w:val="0"/>
              <w:marBottom w:val="0"/>
              <w:divBdr>
                <w:top w:val="none" w:sz="0" w:space="0" w:color="auto"/>
                <w:left w:val="none" w:sz="0" w:space="0" w:color="auto"/>
                <w:bottom w:val="none" w:sz="0" w:space="0" w:color="auto"/>
                <w:right w:val="none" w:sz="0" w:space="0" w:color="auto"/>
              </w:divBdr>
            </w:div>
            <w:div w:id="494303955">
              <w:marLeft w:val="0"/>
              <w:marRight w:val="0"/>
              <w:marTop w:val="0"/>
              <w:marBottom w:val="0"/>
              <w:divBdr>
                <w:top w:val="none" w:sz="0" w:space="0" w:color="auto"/>
                <w:left w:val="none" w:sz="0" w:space="0" w:color="auto"/>
                <w:bottom w:val="none" w:sz="0" w:space="0" w:color="auto"/>
                <w:right w:val="none" w:sz="0" w:space="0" w:color="auto"/>
              </w:divBdr>
            </w:div>
            <w:div w:id="761341620">
              <w:marLeft w:val="0"/>
              <w:marRight w:val="0"/>
              <w:marTop w:val="0"/>
              <w:marBottom w:val="0"/>
              <w:divBdr>
                <w:top w:val="none" w:sz="0" w:space="0" w:color="auto"/>
                <w:left w:val="none" w:sz="0" w:space="0" w:color="auto"/>
                <w:bottom w:val="none" w:sz="0" w:space="0" w:color="auto"/>
                <w:right w:val="none" w:sz="0" w:space="0" w:color="auto"/>
              </w:divBdr>
            </w:div>
            <w:div w:id="1213274061">
              <w:marLeft w:val="0"/>
              <w:marRight w:val="0"/>
              <w:marTop w:val="0"/>
              <w:marBottom w:val="0"/>
              <w:divBdr>
                <w:top w:val="none" w:sz="0" w:space="0" w:color="auto"/>
                <w:left w:val="none" w:sz="0" w:space="0" w:color="auto"/>
                <w:bottom w:val="none" w:sz="0" w:space="0" w:color="auto"/>
                <w:right w:val="none" w:sz="0" w:space="0" w:color="auto"/>
              </w:divBdr>
            </w:div>
            <w:div w:id="764690193">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693575499">
              <w:marLeft w:val="0"/>
              <w:marRight w:val="0"/>
              <w:marTop w:val="0"/>
              <w:marBottom w:val="0"/>
              <w:divBdr>
                <w:top w:val="none" w:sz="0" w:space="0" w:color="auto"/>
                <w:left w:val="none" w:sz="0" w:space="0" w:color="auto"/>
                <w:bottom w:val="none" w:sz="0" w:space="0" w:color="auto"/>
                <w:right w:val="none" w:sz="0" w:space="0" w:color="auto"/>
              </w:divBdr>
            </w:div>
            <w:div w:id="480777427">
              <w:marLeft w:val="0"/>
              <w:marRight w:val="0"/>
              <w:marTop w:val="0"/>
              <w:marBottom w:val="0"/>
              <w:divBdr>
                <w:top w:val="none" w:sz="0" w:space="0" w:color="auto"/>
                <w:left w:val="none" w:sz="0" w:space="0" w:color="auto"/>
                <w:bottom w:val="none" w:sz="0" w:space="0" w:color="auto"/>
                <w:right w:val="none" w:sz="0" w:space="0" w:color="auto"/>
              </w:divBdr>
            </w:div>
            <w:div w:id="1622029480">
              <w:marLeft w:val="0"/>
              <w:marRight w:val="0"/>
              <w:marTop w:val="0"/>
              <w:marBottom w:val="0"/>
              <w:divBdr>
                <w:top w:val="none" w:sz="0" w:space="0" w:color="auto"/>
                <w:left w:val="none" w:sz="0" w:space="0" w:color="auto"/>
                <w:bottom w:val="none" w:sz="0" w:space="0" w:color="auto"/>
                <w:right w:val="none" w:sz="0" w:space="0" w:color="auto"/>
              </w:divBdr>
            </w:div>
            <w:div w:id="437528755">
              <w:marLeft w:val="0"/>
              <w:marRight w:val="0"/>
              <w:marTop w:val="0"/>
              <w:marBottom w:val="0"/>
              <w:divBdr>
                <w:top w:val="none" w:sz="0" w:space="0" w:color="auto"/>
                <w:left w:val="none" w:sz="0" w:space="0" w:color="auto"/>
                <w:bottom w:val="none" w:sz="0" w:space="0" w:color="auto"/>
                <w:right w:val="none" w:sz="0" w:space="0" w:color="auto"/>
              </w:divBdr>
            </w:div>
            <w:div w:id="1786844533">
              <w:marLeft w:val="0"/>
              <w:marRight w:val="0"/>
              <w:marTop w:val="0"/>
              <w:marBottom w:val="0"/>
              <w:divBdr>
                <w:top w:val="none" w:sz="0" w:space="0" w:color="auto"/>
                <w:left w:val="none" w:sz="0" w:space="0" w:color="auto"/>
                <w:bottom w:val="none" w:sz="0" w:space="0" w:color="auto"/>
                <w:right w:val="none" w:sz="0" w:space="0" w:color="auto"/>
              </w:divBdr>
            </w:div>
            <w:div w:id="1238828285">
              <w:marLeft w:val="0"/>
              <w:marRight w:val="0"/>
              <w:marTop w:val="0"/>
              <w:marBottom w:val="0"/>
              <w:divBdr>
                <w:top w:val="none" w:sz="0" w:space="0" w:color="auto"/>
                <w:left w:val="none" w:sz="0" w:space="0" w:color="auto"/>
                <w:bottom w:val="none" w:sz="0" w:space="0" w:color="auto"/>
                <w:right w:val="none" w:sz="0" w:space="0" w:color="auto"/>
              </w:divBdr>
            </w:div>
            <w:div w:id="1433552069">
              <w:marLeft w:val="0"/>
              <w:marRight w:val="0"/>
              <w:marTop w:val="0"/>
              <w:marBottom w:val="0"/>
              <w:divBdr>
                <w:top w:val="none" w:sz="0" w:space="0" w:color="auto"/>
                <w:left w:val="none" w:sz="0" w:space="0" w:color="auto"/>
                <w:bottom w:val="none" w:sz="0" w:space="0" w:color="auto"/>
                <w:right w:val="none" w:sz="0" w:space="0" w:color="auto"/>
              </w:divBdr>
            </w:div>
            <w:div w:id="1132600979">
              <w:marLeft w:val="0"/>
              <w:marRight w:val="0"/>
              <w:marTop w:val="0"/>
              <w:marBottom w:val="0"/>
              <w:divBdr>
                <w:top w:val="none" w:sz="0" w:space="0" w:color="auto"/>
                <w:left w:val="none" w:sz="0" w:space="0" w:color="auto"/>
                <w:bottom w:val="none" w:sz="0" w:space="0" w:color="auto"/>
                <w:right w:val="none" w:sz="0" w:space="0" w:color="auto"/>
              </w:divBdr>
            </w:div>
            <w:div w:id="1970355274">
              <w:marLeft w:val="0"/>
              <w:marRight w:val="0"/>
              <w:marTop w:val="0"/>
              <w:marBottom w:val="0"/>
              <w:divBdr>
                <w:top w:val="none" w:sz="0" w:space="0" w:color="auto"/>
                <w:left w:val="none" w:sz="0" w:space="0" w:color="auto"/>
                <w:bottom w:val="none" w:sz="0" w:space="0" w:color="auto"/>
                <w:right w:val="none" w:sz="0" w:space="0" w:color="auto"/>
              </w:divBdr>
            </w:div>
            <w:div w:id="1996302513">
              <w:marLeft w:val="0"/>
              <w:marRight w:val="0"/>
              <w:marTop w:val="0"/>
              <w:marBottom w:val="0"/>
              <w:divBdr>
                <w:top w:val="none" w:sz="0" w:space="0" w:color="auto"/>
                <w:left w:val="none" w:sz="0" w:space="0" w:color="auto"/>
                <w:bottom w:val="none" w:sz="0" w:space="0" w:color="auto"/>
                <w:right w:val="none" w:sz="0" w:space="0" w:color="auto"/>
              </w:divBdr>
            </w:div>
            <w:div w:id="562058227">
              <w:marLeft w:val="0"/>
              <w:marRight w:val="0"/>
              <w:marTop w:val="0"/>
              <w:marBottom w:val="0"/>
              <w:divBdr>
                <w:top w:val="none" w:sz="0" w:space="0" w:color="auto"/>
                <w:left w:val="none" w:sz="0" w:space="0" w:color="auto"/>
                <w:bottom w:val="none" w:sz="0" w:space="0" w:color="auto"/>
                <w:right w:val="none" w:sz="0" w:space="0" w:color="auto"/>
              </w:divBdr>
            </w:div>
            <w:div w:id="911425829">
              <w:marLeft w:val="0"/>
              <w:marRight w:val="0"/>
              <w:marTop w:val="0"/>
              <w:marBottom w:val="0"/>
              <w:divBdr>
                <w:top w:val="none" w:sz="0" w:space="0" w:color="auto"/>
                <w:left w:val="none" w:sz="0" w:space="0" w:color="auto"/>
                <w:bottom w:val="none" w:sz="0" w:space="0" w:color="auto"/>
                <w:right w:val="none" w:sz="0" w:space="0" w:color="auto"/>
              </w:divBdr>
            </w:div>
            <w:div w:id="1430664555">
              <w:marLeft w:val="0"/>
              <w:marRight w:val="0"/>
              <w:marTop w:val="0"/>
              <w:marBottom w:val="0"/>
              <w:divBdr>
                <w:top w:val="none" w:sz="0" w:space="0" w:color="auto"/>
                <w:left w:val="none" w:sz="0" w:space="0" w:color="auto"/>
                <w:bottom w:val="none" w:sz="0" w:space="0" w:color="auto"/>
                <w:right w:val="none" w:sz="0" w:space="0" w:color="auto"/>
              </w:divBdr>
            </w:div>
            <w:div w:id="1490756176">
              <w:marLeft w:val="0"/>
              <w:marRight w:val="0"/>
              <w:marTop w:val="0"/>
              <w:marBottom w:val="0"/>
              <w:divBdr>
                <w:top w:val="none" w:sz="0" w:space="0" w:color="auto"/>
                <w:left w:val="none" w:sz="0" w:space="0" w:color="auto"/>
                <w:bottom w:val="none" w:sz="0" w:space="0" w:color="auto"/>
                <w:right w:val="none" w:sz="0" w:space="0" w:color="auto"/>
              </w:divBdr>
            </w:div>
            <w:div w:id="1712608928">
              <w:marLeft w:val="0"/>
              <w:marRight w:val="0"/>
              <w:marTop w:val="0"/>
              <w:marBottom w:val="0"/>
              <w:divBdr>
                <w:top w:val="none" w:sz="0" w:space="0" w:color="auto"/>
                <w:left w:val="none" w:sz="0" w:space="0" w:color="auto"/>
                <w:bottom w:val="none" w:sz="0" w:space="0" w:color="auto"/>
                <w:right w:val="none" w:sz="0" w:space="0" w:color="auto"/>
              </w:divBdr>
            </w:div>
            <w:div w:id="1601984979">
              <w:marLeft w:val="0"/>
              <w:marRight w:val="0"/>
              <w:marTop w:val="0"/>
              <w:marBottom w:val="0"/>
              <w:divBdr>
                <w:top w:val="none" w:sz="0" w:space="0" w:color="auto"/>
                <w:left w:val="none" w:sz="0" w:space="0" w:color="auto"/>
                <w:bottom w:val="none" w:sz="0" w:space="0" w:color="auto"/>
                <w:right w:val="none" w:sz="0" w:space="0" w:color="auto"/>
              </w:divBdr>
            </w:div>
            <w:div w:id="252665581">
              <w:marLeft w:val="0"/>
              <w:marRight w:val="0"/>
              <w:marTop w:val="0"/>
              <w:marBottom w:val="0"/>
              <w:divBdr>
                <w:top w:val="none" w:sz="0" w:space="0" w:color="auto"/>
                <w:left w:val="none" w:sz="0" w:space="0" w:color="auto"/>
                <w:bottom w:val="none" w:sz="0" w:space="0" w:color="auto"/>
                <w:right w:val="none" w:sz="0" w:space="0" w:color="auto"/>
              </w:divBdr>
            </w:div>
            <w:div w:id="1329485481">
              <w:marLeft w:val="0"/>
              <w:marRight w:val="0"/>
              <w:marTop w:val="0"/>
              <w:marBottom w:val="0"/>
              <w:divBdr>
                <w:top w:val="none" w:sz="0" w:space="0" w:color="auto"/>
                <w:left w:val="none" w:sz="0" w:space="0" w:color="auto"/>
                <w:bottom w:val="none" w:sz="0" w:space="0" w:color="auto"/>
                <w:right w:val="none" w:sz="0" w:space="0" w:color="auto"/>
              </w:divBdr>
            </w:div>
            <w:div w:id="808480836">
              <w:marLeft w:val="0"/>
              <w:marRight w:val="0"/>
              <w:marTop w:val="0"/>
              <w:marBottom w:val="0"/>
              <w:divBdr>
                <w:top w:val="none" w:sz="0" w:space="0" w:color="auto"/>
                <w:left w:val="none" w:sz="0" w:space="0" w:color="auto"/>
                <w:bottom w:val="none" w:sz="0" w:space="0" w:color="auto"/>
                <w:right w:val="none" w:sz="0" w:space="0" w:color="auto"/>
              </w:divBdr>
            </w:div>
            <w:div w:id="430590317">
              <w:marLeft w:val="0"/>
              <w:marRight w:val="0"/>
              <w:marTop w:val="0"/>
              <w:marBottom w:val="0"/>
              <w:divBdr>
                <w:top w:val="none" w:sz="0" w:space="0" w:color="auto"/>
                <w:left w:val="none" w:sz="0" w:space="0" w:color="auto"/>
                <w:bottom w:val="none" w:sz="0" w:space="0" w:color="auto"/>
                <w:right w:val="none" w:sz="0" w:space="0" w:color="auto"/>
              </w:divBdr>
            </w:div>
            <w:div w:id="1970241099">
              <w:marLeft w:val="0"/>
              <w:marRight w:val="0"/>
              <w:marTop w:val="0"/>
              <w:marBottom w:val="0"/>
              <w:divBdr>
                <w:top w:val="none" w:sz="0" w:space="0" w:color="auto"/>
                <w:left w:val="none" w:sz="0" w:space="0" w:color="auto"/>
                <w:bottom w:val="none" w:sz="0" w:space="0" w:color="auto"/>
                <w:right w:val="none" w:sz="0" w:space="0" w:color="auto"/>
              </w:divBdr>
            </w:div>
            <w:div w:id="856969214">
              <w:marLeft w:val="0"/>
              <w:marRight w:val="0"/>
              <w:marTop w:val="0"/>
              <w:marBottom w:val="0"/>
              <w:divBdr>
                <w:top w:val="none" w:sz="0" w:space="0" w:color="auto"/>
                <w:left w:val="none" w:sz="0" w:space="0" w:color="auto"/>
                <w:bottom w:val="none" w:sz="0" w:space="0" w:color="auto"/>
                <w:right w:val="none" w:sz="0" w:space="0" w:color="auto"/>
              </w:divBdr>
            </w:div>
            <w:div w:id="1401055896">
              <w:marLeft w:val="0"/>
              <w:marRight w:val="0"/>
              <w:marTop w:val="0"/>
              <w:marBottom w:val="0"/>
              <w:divBdr>
                <w:top w:val="none" w:sz="0" w:space="0" w:color="auto"/>
                <w:left w:val="none" w:sz="0" w:space="0" w:color="auto"/>
                <w:bottom w:val="none" w:sz="0" w:space="0" w:color="auto"/>
                <w:right w:val="none" w:sz="0" w:space="0" w:color="auto"/>
              </w:divBdr>
            </w:div>
            <w:div w:id="1991130292">
              <w:marLeft w:val="0"/>
              <w:marRight w:val="0"/>
              <w:marTop w:val="0"/>
              <w:marBottom w:val="0"/>
              <w:divBdr>
                <w:top w:val="none" w:sz="0" w:space="0" w:color="auto"/>
                <w:left w:val="none" w:sz="0" w:space="0" w:color="auto"/>
                <w:bottom w:val="none" w:sz="0" w:space="0" w:color="auto"/>
                <w:right w:val="none" w:sz="0" w:space="0" w:color="auto"/>
              </w:divBdr>
            </w:div>
            <w:div w:id="1741832206">
              <w:marLeft w:val="0"/>
              <w:marRight w:val="0"/>
              <w:marTop w:val="0"/>
              <w:marBottom w:val="0"/>
              <w:divBdr>
                <w:top w:val="none" w:sz="0" w:space="0" w:color="auto"/>
                <w:left w:val="none" w:sz="0" w:space="0" w:color="auto"/>
                <w:bottom w:val="none" w:sz="0" w:space="0" w:color="auto"/>
                <w:right w:val="none" w:sz="0" w:space="0" w:color="auto"/>
              </w:divBdr>
            </w:div>
            <w:div w:id="2110003302">
              <w:marLeft w:val="0"/>
              <w:marRight w:val="0"/>
              <w:marTop w:val="0"/>
              <w:marBottom w:val="0"/>
              <w:divBdr>
                <w:top w:val="none" w:sz="0" w:space="0" w:color="auto"/>
                <w:left w:val="none" w:sz="0" w:space="0" w:color="auto"/>
                <w:bottom w:val="none" w:sz="0" w:space="0" w:color="auto"/>
                <w:right w:val="none" w:sz="0" w:space="0" w:color="auto"/>
              </w:divBdr>
            </w:div>
            <w:div w:id="81150491">
              <w:marLeft w:val="0"/>
              <w:marRight w:val="0"/>
              <w:marTop w:val="0"/>
              <w:marBottom w:val="0"/>
              <w:divBdr>
                <w:top w:val="none" w:sz="0" w:space="0" w:color="auto"/>
                <w:left w:val="none" w:sz="0" w:space="0" w:color="auto"/>
                <w:bottom w:val="none" w:sz="0" w:space="0" w:color="auto"/>
                <w:right w:val="none" w:sz="0" w:space="0" w:color="auto"/>
              </w:divBdr>
            </w:div>
            <w:div w:id="788204922">
              <w:marLeft w:val="0"/>
              <w:marRight w:val="0"/>
              <w:marTop w:val="0"/>
              <w:marBottom w:val="0"/>
              <w:divBdr>
                <w:top w:val="none" w:sz="0" w:space="0" w:color="auto"/>
                <w:left w:val="none" w:sz="0" w:space="0" w:color="auto"/>
                <w:bottom w:val="none" w:sz="0" w:space="0" w:color="auto"/>
                <w:right w:val="none" w:sz="0" w:space="0" w:color="auto"/>
              </w:divBdr>
            </w:div>
            <w:div w:id="465783150">
              <w:marLeft w:val="0"/>
              <w:marRight w:val="0"/>
              <w:marTop w:val="0"/>
              <w:marBottom w:val="0"/>
              <w:divBdr>
                <w:top w:val="none" w:sz="0" w:space="0" w:color="auto"/>
                <w:left w:val="none" w:sz="0" w:space="0" w:color="auto"/>
                <w:bottom w:val="none" w:sz="0" w:space="0" w:color="auto"/>
                <w:right w:val="none" w:sz="0" w:space="0" w:color="auto"/>
              </w:divBdr>
            </w:div>
            <w:div w:id="556354010">
              <w:marLeft w:val="0"/>
              <w:marRight w:val="0"/>
              <w:marTop w:val="0"/>
              <w:marBottom w:val="0"/>
              <w:divBdr>
                <w:top w:val="none" w:sz="0" w:space="0" w:color="auto"/>
                <w:left w:val="none" w:sz="0" w:space="0" w:color="auto"/>
                <w:bottom w:val="none" w:sz="0" w:space="0" w:color="auto"/>
                <w:right w:val="none" w:sz="0" w:space="0" w:color="auto"/>
              </w:divBdr>
            </w:div>
            <w:div w:id="1211116443">
              <w:marLeft w:val="0"/>
              <w:marRight w:val="0"/>
              <w:marTop w:val="0"/>
              <w:marBottom w:val="0"/>
              <w:divBdr>
                <w:top w:val="none" w:sz="0" w:space="0" w:color="auto"/>
                <w:left w:val="none" w:sz="0" w:space="0" w:color="auto"/>
                <w:bottom w:val="none" w:sz="0" w:space="0" w:color="auto"/>
                <w:right w:val="none" w:sz="0" w:space="0" w:color="auto"/>
              </w:divBdr>
            </w:div>
            <w:div w:id="2008365720">
              <w:marLeft w:val="0"/>
              <w:marRight w:val="0"/>
              <w:marTop w:val="0"/>
              <w:marBottom w:val="0"/>
              <w:divBdr>
                <w:top w:val="none" w:sz="0" w:space="0" w:color="auto"/>
                <w:left w:val="none" w:sz="0" w:space="0" w:color="auto"/>
                <w:bottom w:val="none" w:sz="0" w:space="0" w:color="auto"/>
                <w:right w:val="none" w:sz="0" w:space="0" w:color="auto"/>
              </w:divBdr>
            </w:div>
            <w:div w:id="1686786964">
              <w:marLeft w:val="0"/>
              <w:marRight w:val="0"/>
              <w:marTop w:val="0"/>
              <w:marBottom w:val="0"/>
              <w:divBdr>
                <w:top w:val="none" w:sz="0" w:space="0" w:color="auto"/>
                <w:left w:val="none" w:sz="0" w:space="0" w:color="auto"/>
                <w:bottom w:val="none" w:sz="0" w:space="0" w:color="auto"/>
                <w:right w:val="none" w:sz="0" w:space="0" w:color="auto"/>
              </w:divBdr>
            </w:div>
            <w:div w:id="1714230508">
              <w:marLeft w:val="0"/>
              <w:marRight w:val="0"/>
              <w:marTop w:val="0"/>
              <w:marBottom w:val="0"/>
              <w:divBdr>
                <w:top w:val="none" w:sz="0" w:space="0" w:color="auto"/>
                <w:left w:val="none" w:sz="0" w:space="0" w:color="auto"/>
                <w:bottom w:val="none" w:sz="0" w:space="0" w:color="auto"/>
                <w:right w:val="none" w:sz="0" w:space="0" w:color="auto"/>
              </w:divBdr>
            </w:div>
            <w:div w:id="1065568880">
              <w:marLeft w:val="0"/>
              <w:marRight w:val="0"/>
              <w:marTop w:val="0"/>
              <w:marBottom w:val="0"/>
              <w:divBdr>
                <w:top w:val="none" w:sz="0" w:space="0" w:color="auto"/>
                <w:left w:val="none" w:sz="0" w:space="0" w:color="auto"/>
                <w:bottom w:val="none" w:sz="0" w:space="0" w:color="auto"/>
                <w:right w:val="none" w:sz="0" w:space="0" w:color="auto"/>
              </w:divBdr>
            </w:div>
            <w:div w:id="1454860983">
              <w:marLeft w:val="0"/>
              <w:marRight w:val="0"/>
              <w:marTop w:val="0"/>
              <w:marBottom w:val="0"/>
              <w:divBdr>
                <w:top w:val="none" w:sz="0" w:space="0" w:color="auto"/>
                <w:left w:val="none" w:sz="0" w:space="0" w:color="auto"/>
                <w:bottom w:val="none" w:sz="0" w:space="0" w:color="auto"/>
                <w:right w:val="none" w:sz="0" w:space="0" w:color="auto"/>
              </w:divBdr>
            </w:div>
            <w:div w:id="169105331">
              <w:marLeft w:val="0"/>
              <w:marRight w:val="0"/>
              <w:marTop w:val="0"/>
              <w:marBottom w:val="0"/>
              <w:divBdr>
                <w:top w:val="none" w:sz="0" w:space="0" w:color="auto"/>
                <w:left w:val="none" w:sz="0" w:space="0" w:color="auto"/>
                <w:bottom w:val="none" w:sz="0" w:space="0" w:color="auto"/>
                <w:right w:val="none" w:sz="0" w:space="0" w:color="auto"/>
              </w:divBdr>
            </w:div>
            <w:div w:id="2133400276">
              <w:marLeft w:val="0"/>
              <w:marRight w:val="0"/>
              <w:marTop w:val="0"/>
              <w:marBottom w:val="0"/>
              <w:divBdr>
                <w:top w:val="none" w:sz="0" w:space="0" w:color="auto"/>
                <w:left w:val="none" w:sz="0" w:space="0" w:color="auto"/>
                <w:bottom w:val="none" w:sz="0" w:space="0" w:color="auto"/>
                <w:right w:val="none" w:sz="0" w:space="0" w:color="auto"/>
              </w:divBdr>
            </w:div>
            <w:div w:id="1473794914">
              <w:marLeft w:val="0"/>
              <w:marRight w:val="0"/>
              <w:marTop w:val="0"/>
              <w:marBottom w:val="0"/>
              <w:divBdr>
                <w:top w:val="none" w:sz="0" w:space="0" w:color="auto"/>
                <w:left w:val="none" w:sz="0" w:space="0" w:color="auto"/>
                <w:bottom w:val="none" w:sz="0" w:space="0" w:color="auto"/>
                <w:right w:val="none" w:sz="0" w:space="0" w:color="auto"/>
              </w:divBdr>
            </w:div>
            <w:div w:id="105197113">
              <w:marLeft w:val="0"/>
              <w:marRight w:val="0"/>
              <w:marTop w:val="0"/>
              <w:marBottom w:val="0"/>
              <w:divBdr>
                <w:top w:val="none" w:sz="0" w:space="0" w:color="auto"/>
                <w:left w:val="none" w:sz="0" w:space="0" w:color="auto"/>
                <w:bottom w:val="none" w:sz="0" w:space="0" w:color="auto"/>
                <w:right w:val="none" w:sz="0" w:space="0" w:color="auto"/>
              </w:divBdr>
            </w:div>
            <w:div w:id="1169367560">
              <w:marLeft w:val="0"/>
              <w:marRight w:val="0"/>
              <w:marTop w:val="0"/>
              <w:marBottom w:val="0"/>
              <w:divBdr>
                <w:top w:val="none" w:sz="0" w:space="0" w:color="auto"/>
                <w:left w:val="none" w:sz="0" w:space="0" w:color="auto"/>
                <w:bottom w:val="none" w:sz="0" w:space="0" w:color="auto"/>
                <w:right w:val="none" w:sz="0" w:space="0" w:color="auto"/>
              </w:divBdr>
            </w:div>
            <w:div w:id="500389225">
              <w:marLeft w:val="0"/>
              <w:marRight w:val="0"/>
              <w:marTop w:val="0"/>
              <w:marBottom w:val="0"/>
              <w:divBdr>
                <w:top w:val="none" w:sz="0" w:space="0" w:color="auto"/>
                <w:left w:val="none" w:sz="0" w:space="0" w:color="auto"/>
                <w:bottom w:val="none" w:sz="0" w:space="0" w:color="auto"/>
                <w:right w:val="none" w:sz="0" w:space="0" w:color="auto"/>
              </w:divBdr>
            </w:div>
            <w:div w:id="783884835">
              <w:marLeft w:val="0"/>
              <w:marRight w:val="0"/>
              <w:marTop w:val="0"/>
              <w:marBottom w:val="0"/>
              <w:divBdr>
                <w:top w:val="none" w:sz="0" w:space="0" w:color="auto"/>
                <w:left w:val="none" w:sz="0" w:space="0" w:color="auto"/>
                <w:bottom w:val="none" w:sz="0" w:space="0" w:color="auto"/>
                <w:right w:val="none" w:sz="0" w:space="0" w:color="auto"/>
              </w:divBdr>
            </w:div>
            <w:div w:id="596401788">
              <w:marLeft w:val="0"/>
              <w:marRight w:val="0"/>
              <w:marTop w:val="0"/>
              <w:marBottom w:val="0"/>
              <w:divBdr>
                <w:top w:val="none" w:sz="0" w:space="0" w:color="auto"/>
                <w:left w:val="none" w:sz="0" w:space="0" w:color="auto"/>
                <w:bottom w:val="none" w:sz="0" w:space="0" w:color="auto"/>
                <w:right w:val="none" w:sz="0" w:space="0" w:color="auto"/>
              </w:divBdr>
            </w:div>
            <w:div w:id="1704866917">
              <w:marLeft w:val="0"/>
              <w:marRight w:val="0"/>
              <w:marTop w:val="0"/>
              <w:marBottom w:val="0"/>
              <w:divBdr>
                <w:top w:val="none" w:sz="0" w:space="0" w:color="auto"/>
                <w:left w:val="none" w:sz="0" w:space="0" w:color="auto"/>
                <w:bottom w:val="none" w:sz="0" w:space="0" w:color="auto"/>
                <w:right w:val="none" w:sz="0" w:space="0" w:color="auto"/>
              </w:divBdr>
            </w:div>
            <w:div w:id="296764029">
              <w:marLeft w:val="0"/>
              <w:marRight w:val="0"/>
              <w:marTop w:val="0"/>
              <w:marBottom w:val="0"/>
              <w:divBdr>
                <w:top w:val="none" w:sz="0" w:space="0" w:color="auto"/>
                <w:left w:val="none" w:sz="0" w:space="0" w:color="auto"/>
                <w:bottom w:val="none" w:sz="0" w:space="0" w:color="auto"/>
                <w:right w:val="none" w:sz="0" w:space="0" w:color="auto"/>
              </w:divBdr>
            </w:div>
            <w:div w:id="1357192076">
              <w:marLeft w:val="0"/>
              <w:marRight w:val="0"/>
              <w:marTop w:val="0"/>
              <w:marBottom w:val="0"/>
              <w:divBdr>
                <w:top w:val="none" w:sz="0" w:space="0" w:color="auto"/>
                <w:left w:val="none" w:sz="0" w:space="0" w:color="auto"/>
                <w:bottom w:val="none" w:sz="0" w:space="0" w:color="auto"/>
                <w:right w:val="none" w:sz="0" w:space="0" w:color="auto"/>
              </w:divBdr>
            </w:div>
            <w:div w:id="1769501078">
              <w:marLeft w:val="0"/>
              <w:marRight w:val="0"/>
              <w:marTop w:val="0"/>
              <w:marBottom w:val="0"/>
              <w:divBdr>
                <w:top w:val="none" w:sz="0" w:space="0" w:color="auto"/>
                <w:left w:val="none" w:sz="0" w:space="0" w:color="auto"/>
                <w:bottom w:val="none" w:sz="0" w:space="0" w:color="auto"/>
                <w:right w:val="none" w:sz="0" w:space="0" w:color="auto"/>
              </w:divBdr>
            </w:div>
            <w:div w:id="707876452">
              <w:marLeft w:val="0"/>
              <w:marRight w:val="0"/>
              <w:marTop w:val="0"/>
              <w:marBottom w:val="0"/>
              <w:divBdr>
                <w:top w:val="none" w:sz="0" w:space="0" w:color="auto"/>
                <w:left w:val="none" w:sz="0" w:space="0" w:color="auto"/>
                <w:bottom w:val="none" w:sz="0" w:space="0" w:color="auto"/>
                <w:right w:val="none" w:sz="0" w:space="0" w:color="auto"/>
              </w:divBdr>
            </w:div>
            <w:div w:id="1821924973">
              <w:marLeft w:val="0"/>
              <w:marRight w:val="0"/>
              <w:marTop w:val="0"/>
              <w:marBottom w:val="0"/>
              <w:divBdr>
                <w:top w:val="none" w:sz="0" w:space="0" w:color="auto"/>
                <w:left w:val="none" w:sz="0" w:space="0" w:color="auto"/>
                <w:bottom w:val="none" w:sz="0" w:space="0" w:color="auto"/>
                <w:right w:val="none" w:sz="0" w:space="0" w:color="auto"/>
              </w:divBdr>
            </w:div>
            <w:div w:id="548107441">
              <w:marLeft w:val="0"/>
              <w:marRight w:val="0"/>
              <w:marTop w:val="0"/>
              <w:marBottom w:val="0"/>
              <w:divBdr>
                <w:top w:val="none" w:sz="0" w:space="0" w:color="auto"/>
                <w:left w:val="none" w:sz="0" w:space="0" w:color="auto"/>
                <w:bottom w:val="none" w:sz="0" w:space="0" w:color="auto"/>
                <w:right w:val="none" w:sz="0" w:space="0" w:color="auto"/>
              </w:divBdr>
            </w:div>
            <w:div w:id="1187135943">
              <w:marLeft w:val="0"/>
              <w:marRight w:val="0"/>
              <w:marTop w:val="0"/>
              <w:marBottom w:val="0"/>
              <w:divBdr>
                <w:top w:val="none" w:sz="0" w:space="0" w:color="auto"/>
                <w:left w:val="none" w:sz="0" w:space="0" w:color="auto"/>
                <w:bottom w:val="none" w:sz="0" w:space="0" w:color="auto"/>
                <w:right w:val="none" w:sz="0" w:space="0" w:color="auto"/>
              </w:divBdr>
            </w:div>
            <w:div w:id="195390290">
              <w:marLeft w:val="0"/>
              <w:marRight w:val="0"/>
              <w:marTop w:val="0"/>
              <w:marBottom w:val="0"/>
              <w:divBdr>
                <w:top w:val="none" w:sz="0" w:space="0" w:color="auto"/>
                <w:left w:val="none" w:sz="0" w:space="0" w:color="auto"/>
                <w:bottom w:val="none" w:sz="0" w:space="0" w:color="auto"/>
                <w:right w:val="none" w:sz="0" w:space="0" w:color="auto"/>
              </w:divBdr>
            </w:div>
            <w:div w:id="1416049617">
              <w:marLeft w:val="0"/>
              <w:marRight w:val="0"/>
              <w:marTop w:val="0"/>
              <w:marBottom w:val="0"/>
              <w:divBdr>
                <w:top w:val="none" w:sz="0" w:space="0" w:color="auto"/>
                <w:left w:val="none" w:sz="0" w:space="0" w:color="auto"/>
                <w:bottom w:val="none" w:sz="0" w:space="0" w:color="auto"/>
                <w:right w:val="none" w:sz="0" w:space="0" w:color="auto"/>
              </w:divBdr>
            </w:div>
            <w:div w:id="2001930296">
              <w:marLeft w:val="0"/>
              <w:marRight w:val="0"/>
              <w:marTop w:val="0"/>
              <w:marBottom w:val="0"/>
              <w:divBdr>
                <w:top w:val="none" w:sz="0" w:space="0" w:color="auto"/>
                <w:left w:val="none" w:sz="0" w:space="0" w:color="auto"/>
                <w:bottom w:val="none" w:sz="0" w:space="0" w:color="auto"/>
                <w:right w:val="none" w:sz="0" w:space="0" w:color="auto"/>
              </w:divBdr>
            </w:div>
            <w:div w:id="1470632716">
              <w:marLeft w:val="0"/>
              <w:marRight w:val="0"/>
              <w:marTop w:val="0"/>
              <w:marBottom w:val="0"/>
              <w:divBdr>
                <w:top w:val="none" w:sz="0" w:space="0" w:color="auto"/>
                <w:left w:val="none" w:sz="0" w:space="0" w:color="auto"/>
                <w:bottom w:val="none" w:sz="0" w:space="0" w:color="auto"/>
                <w:right w:val="none" w:sz="0" w:space="0" w:color="auto"/>
              </w:divBdr>
            </w:div>
            <w:div w:id="826436307">
              <w:marLeft w:val="0"/>
              <w:marRight w:val="0"/>
              <w:marTop w:val="0"/>
              <w:marBottom w:val="0"/>
              <w:divBdr>
                <w:top w:val="none" w:sz="0" w:space="0" w:color="auto"/>
                <w:left w:val="none" w:sz="0" w:space="0" w:color="auto"/>
                <w:bottom w:val="none" w:sz="0" w:space="0" w:color="auto"/>
                <w:right w:val="none" w:sz="0" w:space="0" w:color="auto"/>
              </w:divBdr>
            </w:div>
            <w:div w:id="1535926445">
              <w:marLeft w:val="0"/>
              <w:marRight w:val="0"/>
              <w:marTop w:val="0"/>
              <w:marBottom w:val="0"/>
              <w:divBdr>
                <w:top w:val="none" w:sz="0" w:space="0" w:color="auto"/>
                <w:left w:val="none" w:sz="0" w:space="0" w:color="auto"/>
                <w:bottom w:val="none" w:sz="0" w:space="0" w:color="auto"/>
                <w:right w:val="none" w:sz="0" w:space="0" w:color="auto"/>
              </w:divBdr>
            </w:div>
            <w:div w:id="1653287713">
              <w:marLeft w:val="0"/>
              <w:marRight w:val="0"/>
              <w:marTop w:val="0"/>
              <w:marBottom w:val="0"/>
              <w:divBdr>
                <w:top w:val="none" w:sz="0" w:space="0" w:color="auto"/>
                <w:left w:val="none" w:sz="0" w:space="0" w:color="auto"/>
                <w:bottom w:val="none" w:sz="0" w:space="0" w:color="auto"/>
                <w:right w:val="none" w:sz="0" w:space="0" w:color="auto"/>
              </w:divBdr>
            </w:div>
            <w:div w:id="620770366">
              <w:marLeft w:val="0"/>
              <w:marRight w:val="0"/>
              <w:marTop w:val="0"/>
              <w:marBottom w:val="0"/>
              <w:divBdr>
                <w:top w:val="none" w:sz="0" w:space="0" w:color="auto"/>
                <w:left w:val="none" w:sz="0" w:space="0" w:color="auto"/>
                <w:bottom w:val="none" w:sz="0" w:space="0" w:color="auto"/>
                <w:right w:val="none" w:sz="0" w:space="0" w:color="auto"/>
              </w:divBdr>
            </w:div>
            <w:div w:id="1345783719">
              <w:marLeft w:val="0"/>
              <w:marRight w:val="0"/>
              <w:marTop w:val="0"/>
              <w:marBottom w:val="0"/>
              <w:divBdr>
                <w:top w:val="none" w:sz="0" w:space="0" w:color="auto"/>
                <w:left w:val="none" w:sz="0" w:space="0" w:color="auto"/>
                <w:bottom w:val="none" w:sz="0" w:space="0" w:color="auto"/>
                <w:right w:val="none" w:sz="0" w:space="0" w:color="auto"/>
              </w:divBdr>
            </w:div>
            <w:div w:id="697583560">
              <w:marLeft w:val="0"/>
              <w:marRight w:val="0"/>
              <w:marTop w:val="0"/>
              <w:marBottom w:val="0"/>
              <w:divBdr>
                <w:top w:val="none" w:sz="0" w:space="0" w:color="auto"/>
                <w:left w:val="none" w:sz="0" w:space="0" w:color="auto"/>
                <w:bottom w:val="none" w:sz="0" w:space="0" w:color="auto"/>
                <w:right w:val="none" w:sz="0" w:space="0" w:color="auto"/>
              </w:divBdr>
            </w:div>
            <w:div w:id="1440832717">
              <w:marLeft w:val="0"/>
              <w:marRight w:val="0"/>
              <w:marTop w:val="0"/>
              <w:marBottom w:val="0"/>
              <w:divBdr>
                <w:top w:val="none" w:sz="0" w:space="0" w:color="auto"/>
                <w:left w:val="none" w:sz="0" w:space="0" w:color="auto"/>
                <w:bottom w:val="none" w:sz="0" w:space="0" w:color="auto"/>
                <w:right w:val="none" w:sz="0" w:space="0" w:color="auto"/>
              </w:divBdr>
            </w:div>
            <w:div w:id="996303580">
              <w:marLeft w:val="0"/>
              <w:marRight w:val="0"/>
              <w:marTop w:val="0"/>
              <w:marBottom w:val="0"/>
              <w:divBdr>
                <w:top w:val="none" w:sz="0" w:space="0" w:color="auto"/>
                <w:left w:val="none" w:sz="0" w:space="0" w:color="auto"/>
                <w:bottom w:val="none" w:sz="0" w:space="0" w:color="auto"/>
                <w:right w:val="none" w:sz="0" w:space="0" w:color="auto"/>
              </w:divBdr>
            </w:div>
            <w:div w:id="1037000583">
              <w:marLeft w:val="0"/>
              <w:marRight w:val="0"/>
              <w:marTop w:val="0"/>
              <w:marBottom w:val="0"/>
              <w:divBdr>
                <w:top w:val="none" w:sz="0" w:space="0" w:color="auto"/>
                <w:left w:val="none" w:sz="0" w:space="0" w:color="auto"/>
                <w:bottom w:val="none" w:sz="0" w:space="0" w:color="auto"/>
                <w:right w:val="none" w:sz="0" w:space="0" w:color="auto"/>
              </w:divBdr>
            </w:div>
            <w:div w:id="1781532605">
              <w:marLeft w:val="0"/>
              <w:marRight w:val="0"/>
              <w:marTop w:val="0"/>
              <w:marBottom w:val="0"/>
              <w:divBdr>
                <w:top w:val="none" w:sz="0" w:space="0" w:color="auto"/>
                <w:left w:val="none" w:sz="0" w:space="0" w:color="auto"/>
                <w:bottom w:val="none" w:sz="0" w:space="0" w:color="auto"/>
                <w:right w:val="none" w:sz="0" w:space="0" w:color="auto"/>
              </w:divBdr>
            </w:div>
            <w:div w:id="1836340917">
              <w:marLeft w:val="0"/>
              <w:marRight w:val="0"/>
              <w:marTop w:val="0"/>
              <w:marBottom w:val="0"/>
              <w:divBdr>
                <w:top w:val="none" w:sz="0" w:space="0" w:color="auto"/>
                <w:left w:val="none" w:sz="0" w:space="0" w:color="auto"/>
                <w:bottom w:val="none" w:sz="0" w:space="0" w:color="auto"/>
                <w:right w:val="none" w:sz="0" w:space="0" w:color="auto"/>
              </w:divBdr>
            </w:div>
            <w:div w:id="139082651">
              <w:marLeft w:val="0"/>
              <w:marRight w:val="0"/>
              <w:marTop w:val="0"/>
              <w:marBottom w:val="0"/>
              <w:divBdr>
                <w:top w:val="none" w:sz="0" w:space="0" w:color="auto"/>
                <w:left w:val="none" w:sz="0" w:space="0" w:color="auto"/>
                <w:bottom w:val="none" w:sz="0" w:space="0" w:color="auto"/>
                <w:right w:val="none" w:sz="0" w:space="0" w:color="auto"/>
              </w:divBdr>
            </w:div>
            <w:div w:id="1309356739">
              <w:marLeft w:val="0"/>
              <w:marRight w:val="0"/>
              <w:marTop w:val="0"/>
              <w:marBottom w:val="0"/>
              <w:divBdr>
                <w:top w:val="none" w:sz="0" w:space="0" w:color="auto"/>
                <w:left w:val="none" w:sz="0" w:space="0" w:color="auto"/>
                <w:bottom w:val="none" w:sz="0" w:space="0" w:color="auto"/>
                <w:right w:val="none" w:sz="0" w:space="0" w:color="auto"/>
              </w:divBdr>
            </w:div>
            <w:div w:id="205023996">
              <w:marLeft w:val="0"/>
              <w:marRight w:val="0"/>
              <w:marTop w:val="0"/>
              <w:marBottom w:val="0"/>
              <w:divBdr>
                <w:top w:val="none" w:sz="0" w:space="0" w:color="auto"/>
                <w:left w:val="none" w:sz="0" w:space="0" w:color="auto"/>
                <w:bottom w:val="none" w:sz="0" w:space="0" w:color="auto"/>
                <w:right w:val="none" w:sz="0" w:space="0" w:color="auto"/>
              </w:divBdr>
            </w:div>
            <w:div w:id="1917012164">
              <w:marLeft w:val="0"/>
              <w:marRight w:val="0"/>
              <w:marTop w:val="0"/>
              <w:marBottom w:val="0"/>
              <w:divBdr>
                <w:top w:val="none" w:sz="0" w:space="0" w:color="auto"/>
                <w:left w:val="none" w:sz="0" w:space="0" w:color="auto"/>
                <w:bottom w:val="none" w:sz="0" w:space="0" w:color="auto"/>
                <w:right w:val="none" w:sz="0" w:space="0" w:color="auto"/>
              </w:divBdr>
            </w:div>
            <w:div w:id="787696033">
              <w:marLeft w:val="0"/>
              <w:marRight w:val="0"/>
              <w:marTop w:val="0"/>
              <w:marBottom w:val="0"/>
              <w:divBdr>
                <w:top w:val="none" w:sz="0" w:space="0" w:color="auto"/>
                <w:left w:val="none" w:sz="0" w:space="0" w:color="auto"/>
                <w:bottom w:val="none" w:sz="0" w:space="0" w:color="auto"/>
                <w:right w:val="none" w:sz="0" w:space="0" w:color="auto"/>
              </w:divBdr>
            </w:div>
            <w:div w:id="912010185">
              <w:marLeft w:val="0"/>
              <w:marRight w:val="0"/>
              <w:marTop w:val="0"/>
              <w:marBottom w:val="0"/>
              <w:divBdr>
                <w:top w:val="none" w:sz="0" w:space="0" w:color="auto"/>
                <w:left w:val="none" w:sz="0" w:space="0" w:color="auto"/>
                <w:bottom w:val="none" w:sz="0" w:space="0" w:color="auto"/>
                <w:right w:val="none" w:sz="0" w:space="0" w:color="auto"/>
              </w:divBdr>
            </w:div>
            <w:div w:id="1299988830">
              <w:marLeft w:val="0"/>
              <w:marRight w:val="0"/>
              <w:marTop w:val="0"/>
              <w:marBottom w:val="0"/>
              <w:divBdr>
                <w:top w:val="none" w:sz="0" w:space="0" w:color="auto"/>
                <w:left w:val="none" w:sz="0" w:space="0" w:color="auto"/>
                <w:bottom w:val="none" w:sz="0" w:space="0" w:color="auto"/>
                <w:right w:val="none" w:sz="0" w:space="0" w:color="auto"/>
              </w:divBdr>
            </w:div>
            <w:div w:id="1037199140">
              <w:marLeft w:val="0"/>
              <w:marRight w:val="0"/>
              <w:marTop w:val="0"/>
              <w:marBottom w:val="0"/>
              <w:divBdr>
                <w:top w:val="none" w:sz="0" w:space="0" w:color="auto"/>
                <w:left w:val="none" w:sz="0" w:space="0" w:color="auto"/>
                <w:bottom w:val="none" w:sz="0" w:space="0" w:color="auto"/>
                <w:right w:val="none" w:sz="0" w:space="0" w:color="auto"/>
              </w:divBdr>
            </w:div>
            <w:div w:id="1981035113">
              <w:marLeft w:val="0"/>
              <w:marRight w:val="0"/>
              <w:marTop w:val="0"/>
              <w:marBottom w:val="0"/>
              <w:divBdr>
                <w:top w:val="none" w:sz="0" w:space="0" w:color="auto"/>
                <w:left w:val="none" w:sz="0" w:space="0" w:color="auto"/>
                <w:bottom w:val="none" w:sz="0" w:space="0" w:color="auto"/>
                <w:right w:val="none" w:sz="0" w:space="0" w:color="auto"/>
              </w:divBdr>
            </w:div>
            <w:div w:id="202988620">
              <w:marLeft w:val="0"/>
              <w:marRight w:val="0"/>
              <w:marTop w:val="0"/>
              <w:marBottom w:val="0"/>
              <w:divBdr>
                <w:top w:val="none" w:sz="0" w:space="0" w:color="auto"/>
                <w:left w:val="none" w:sz="0" w:space="0" w:color="auto"/>
                <w:bottom w:val="none" w:sz="0" w:space="0" w:color="auto"/>
                <w:right w:val="none" w:sz="0" w:space="0" w:color="auto"/>
              </w:divBdr>
            </w:div>
            <w:div w:id="55706049">
              <w:marLeft w:val="0"/>
              <w:marRight w:val="0"/>
              <w:marTop w:val="0"/>
              <w:marBottom w:val="0"/>
              <w:divBdr>
                <w:top w:val="none" w:sz="0" w:space="0" w:color="auto"/>
                <w:left w:val="none" w:sz="0" w:space="0" w:color="auto"/>
                <w:bottom w:val="none" w:sz="0" w:space="0" w:color="auto"/>
                <w:right w:val="none" w:sz="0" w:space="0" w:color="auto"/>
              </w:divBdr>
            </w:div>
            <w:div w:id="1608613134">
              <w:marLeft w:val="0"/>
              <w:marRight w:val="0"/>
              <w:marTop w:val="0"/>
              <w:marBottom w:val="0"/>
              <w:divBdr>
                <w:top w:val="none" w:sz="0" w:space="0" w:color="auto"/>
                <w:left w:val="none" w:sz="0" w:space="0" w:color="auto"/>
                <w:bottom w:val="none" w:sz="0" w:space="0" w:color="auto"/>
                <w:right w:val="none" w:sz="0" w:space="0" w:color="auto"/>
              </w:divBdr>
            </w:div>
            <w:div w:id="1037702617">
              <w:marLeft w:val="0"/>
              <w:marRight w:val="0"/>
              <w:marTop w:val="0"/>
              <w:marBottom w:val="0"/>
              <w:divBdr>
                <w:top w:val="none" w:sz="0" w:space="0" w:color="auto"/>
                <w:left w:val="none" w:sz="0" w:space="0" w:color="auto"/>
                <w:bottom w:val="none" w:sz="0" w:space="0" w:color="auto"/>
                <w:right w:val="none" w:sz="0" w:space="0" w:color="auto"/>
              </w:divBdr>
            </w:div>
            <w:div w:id="954018746">
              <w:marLeft w:val="0"/>
              <w:marRight w:val="0"/>
              <w:marTop w:val="0"/>
              <w:marBottom w:val="0"/>
              <w:divBdr>
                <w:top w:val="none" w:sz="0" w:space="0" w:color="auto"/>
                <w:left w:val="none" w:sz="0" w:space="0" w:color="auto"/>
                <w:bottom w:val="none" w:sz="0" w:space="0" w:color="auto"/>
                <w:right w:val="none" w:sz="0" w:space="0" w:color="auto"/>
              </w:divBdr>
            </w:div>
            <w:div w:id="120268241">
              <w:marLeft w:val="0"/>
              <w:marRight w:val="0"/>
              <w:marTop w:val="0"/>
              <w:marBottom w:val="0"/>
              <w:divBdr>
                <w:top w:val="none" w:sz="0" w:space="0" w:color="auto"/>
                <w:left w:val="none" w:sz="0" w:space="0" w:color="auto"/>
                <w:bottom w:val="none" w:sz="0" w:space="0" w:color="auto"/>
                <w:right w:val="none" w:sz="0" w:space="0" w:color="auto"/>
              </w:divBdr>
            </w:div>
            <w:div w:id="1546602103">
              <w:marLeft w:val="0"/>
              <w:marRight w:val="0"/>
              <w:marTop w:val="0"/>
              <w:marBottom w:val="0"/>
              <w:divBdr>
                <w:top w:val="none" w:sz="0" w:space="0" w:color="auto"/>
                <w:left w:val="none" w:sz="0" w:space="0" w:color="auto"/>
                <w:bottom w:val="none" w:sz="0" w:space="0" w:color="auto"/>
                <w:right w:val="none" w:sz="0" w:space="0" w:color="auto"/>
              </w:divBdr>
            </w:div>
            <w:div w:id="1333947500">
              <w:marLeft w:val="0"/>
              <w:marRight w:val="0"/>
              <w:marTop w:val="0"/>
              <w:marBottom w:val="0"/>
              <w:divBdr>
                <w:top w:val="none" w:sz="0" w:space="0" w:color="auto"/>
                <w:left w:val="none" w:sz="0" w:space="0" w:color="auto"/>
                <w:bottom w:val="none" w:sz="0" w:space="0" w:color="auto"/>
                <w:right w:val="none" w:sz="0" w:space="0" w:color="auto"/>
              </w:divBdr>
            </w:div>
            <w:div w:id="505021365">
              <w:marLeft w:val="0"/>
              <w:marRight w:val="0"/>
              <w:marTop w:val="0"/>
              <w:marBottom w:val="0"/>
              <w:divBdr>
                <w:top w:val="none" w:sz="0" w:space="0" w:color="auto"/>
                <w:left w:val="none" w:sz="0" w:space="0" w:color="auto"/>
                <w:bottom w:val="none" w:sz="0" w:space="0" w:color="auto"/>
                <w:right w:val="none" w:sz="0" w:space="0" w:color="auto"/>
              </w:divBdr>
            </w:div>
            <w:div w:id="1070465165">
              <w:marLeft w:val="0"/>
              <w:marRight w:val="0"/>
              <w:marTop w:val="0"/>
              <w:marBottom w:val="0"/>
              <w:divBdr>
                <w:top w:val="none" w:sz="0" w:space="0" w:color="auto"/>
                <w:left w:val="none" w:sz="0" w:space="0" w:color="auto"/>
                <w:bottom w:val="none" w:sz="0" w:space="0" w:color="auto"/>
                <w:right w:val="none" w:sz="0" w:space="0" w:color="auto"/>
              </w:divBdr>
            </w:div>
            <w:div w:id="702167256">
              <w:marLeft w:val="0"/>
              <w:marRight w:val="0"/>
              <w:marTop w:val="0"/>
              <w:marBottom w:val="0"/>
              <w:divBdr>
                <w:top w:val="none" w:sz="0" w:space="0" w:color="auto"/>
                <w:left w:val="none" w:sz="0" w:space="0" w:color="auto"/>
                <w:bottom w:val="none" w:sz="0" w:space="0" w:color="auto"/>
                <w:right w:val="none" w:sz="0" w:space="0" w:color="auto"/>
              </w:divBdr>
            </w:div>
            <w:div w:id="1155296966">
              <w:marLeft w:val="0"/>
              <w:marRight w:val="0"/>
              <w:marTop w:val="0"/>
              <w:marBottom w:val="0"/>
              <w:divBdr>
                <w:top w:val="none" w:sz="0" w:space="0" w:color="auto"/>
                <w:left w:val="none" w:sz="0" w:space="0" w:color="auto"/>
                <w:bottom w:val="none" w:sz="0" w:space="0" w:color="auto"/>
                <w:right w:val="none" w:sz="0" w:space="0" w:color="auto"/>
              </w:divBdr>
            </w:div>
            <w:div w:id="1480153849">
              <w:marLeft w:val="0"/>
              <w:marRight w:val="0"/>
              <w:marTop w:val="0"/>
              <w:marBottom w:val="0"/>
              <w:divBdr>
                <w:top w:val="none" w:sz="0" w:space="0" w:color="auto"/>
                <w:left w:val="none" w:sz="0" w:space="0" w:color="auto"/>
                <w:bottom w:val="none" w:sz="0" w:space="0" w:color="auto"/>
                <w:right w:val="none" w:sz="0" w:space="0" w:color="auto"/>
              </w:divBdr>
            </w:div>
            <w:div w:id="667294553">
              <w:marLeft w:val="0"/>
              <w:marRight w:val="0"/>
              <w:marTop w:val="0"/>
              <w:marBottom w:val="0"/>
              <w:divBdr>
                <w:top w:val="none" w:sz="0" w:space="0" w:color="auto"/>
                <w:left w:val="none" w:sz="0" w:space="0" w:color="auto"/>
                <w:bottom w:val="none" w:sz="0" w:space="0" w:color="auto"/>
                <w:right w:val="none" w:sz="0" w:space="0" w:color="auto"/>
              </w:divBdr>
            </w:div>
            <w:div w:id="733282372">
              <w:marLeft w:val="0"/>
              <w:marRight w:val="0"/>
              <w:marTop w:val="0"/>
              <w:marBottom w:val="0"/>
              <w:divBdr>
                <w:top w:val="none" w:sz="0" w:space="0" w:color="auto"/>
                <w:left w:val="none" w:sz="0" w:space="0" w:color="auto"/>
                <w:bottom w:val="none" w:sz="0" w:space="0" w:color="auto"/>
                <w:right w:val="none" w:sz="0" w:space="0" w:color="auto"/>
              </w:divBdr>
            </w:div>
            <w:div w:id="1239171118">
              <w:marLeft w:val="0"/>
              <w:marRight w:val="0"/>
              <w:marTop w:val="0"/>
              <w:marBottom w:val="0"/>
              <w:divBdr>
                <w:top w:val="none" w:sz="0" w:space="0" w:color="auto"/>
                <w:left w:val="none" w:sz="0" w:space="0" w:color="auto"/>
                <w:bottom w:val="none" w:sz="0" w:space="0" w:color="auto"/>
                <w:right w:val="none" w:sz="0" w:space="0" w:color="auto"/>
              </w:divBdr>
            </w:div>
            <w:div w:id="1093284047">
              <w:marLeft w:val="0"/>
              <w:marRight w:val="0"/>
              <w:marTop w:val="0"/>
              <w:marBottom w:val="0"/>
              <w:divBdr>
                <w:top w:val="none" w:sz="0" w:space="0" w:color="auto"/>
                <w:left w:val="none" w:sz="0" w:space="0" w:color="auto"/>
                <w:bottom w:val="none" w:sz="0" w:space="0" w:color="auto"/>
                <w:right w:val="none" w:sz="0" w:space="0" w:color="auto"/>
              </w:divBdr>
            </w:div>
            <w:div w:id="149370385">
              <w:marLeft w:val="0"/>
              <w:marRight w:val="0"/>
              <w:marTop w:val="0"/>
              <w:marBottom w:val="0"/>
              <w:divBdr>
                <w:top w:val="none" w:sz="0" w:space="0" w:color="auto"/>
                <w:left w:val="none" w:sz="0" w:space="0" w:color="auto"/>
                <w:bottom w:val="none" w:sz="0" w:space="0" w:color="auto"/>
                <w:right w:val="none" w:sz="0" w:space="0" w:color="auto"/>
              </w:divBdr>
            </w:div>
            <w:div w:id="1087926655">
              <w:marLeft w:val="0"/>
              <w:marRight w:val="0"/>
              <w:marTop w:val="0"/>
              <w:marBottom w:val="0"/>
              <w:divBdr>
                <w:top w:val="none" w:sz="0" w:space="0" w:color="auto"/>
                <w:left w:val="none" w:sz="0" w:space="0" w:color="auto"/>
                <w:bottom w:val="none" w:sz="0" w:space="0" w:color="auto"/>
                <w:right w:val="none" w:sz="0" w:space="0" w:color="auto"/>
              </w:divBdr>
            </w:div>
            <w:div w:id="831718420">
              <w:marLeft w:val="0"/>
              <w:marRight w:val="0"/>
              <w:marTop w:val="0"/>
              <w:marBottom w:val="0"/>
              <w:divBdr>
                <w:top w:val="none" w:sz="0" w:space="0" w:color="auto"/>
                <w:left w:val="none" w:sz="0" w:space="0" w:color="auto"/>
                <w:bottom w:val="none" w:sz="0" w:space="0" w:color="auto"/>
                <w:right w:val="none" w:sz="0" w:space="0" w:color="auto"/>
              </w:divBdr>
            </w:div>
            <w:div w:id="1797017687">
              <w:marLeft w:val="0"/>
              <w:marRight w:val="0"/>
              <w:marTop w:val="0"/>
              <w:marBottom w:val="0"/>
              <w:divBdr>
                <w:top w:val="none" w:sz="0" w:space="0" w:color="auto"/>
                <w:left w:val="none" w:sz="0" w:space="0" w:color="auto"/>
                <w:bottom w:val="none" w:sz="0" w:space="0" w:color="auto"/>
                <w:right w:val="none" w:sz="0" w:space="0" w:color="auto"/>
              </w:divBdr>
            </w:div>
            <w:div w:id="888997754">
              <w:marLeft w:val="0"/>
              <w:marRight w:val="0"/>
              <w:marTop w:val="0"/>
              <w:marBottom w:val="0"/>
              <w:divBdr>
                <w:top w:val="none" w:sz="0" w:space="0" w:color="auto"/>
                <w:left w:val="none" w:sz="0" w:space="0" w:color="auto"/>
                <w:bottom w:val="none" w:sz="0" w:space="0" w:color="auto"/>
                <w:right w:val="none" w:sz="0" w:space="0" w:color="auto"/>
              </w:divBdr>
            </w:div>
            <w:div w:id="1710300924">
              <w:marLeft w:val="0"/>
              <w:marRight w:val="0"/>
              <w:marTop w:val="0"/>
              <w:marBottom w:val="0"/>
              <w:divBdr>
                <w:top w:val="none" w:sz="0" w:space="0" w:color="auto"/>
                <w:left w:val="none" w:sz="0" w:space="0" w:color="auto"/>
                <w:bottom w:val="none" w:sz="0" w:space="0" w:color="auto"/>
                <w:right w:val="none" w:sz="0" w:space="0" w:color="auto"/>
              </w:divBdr>
            </w:div>
            <w:div w:id="1092315143">
              <w:marLeft w:val="0"/>
              <w:marRight w:val="0"/>
              <w:marTop w:val="0"/>
              <w:marBottom w:val="0"/>
              <w:divBdr>
                <w:top w:val="none" w:sz="0" w:space="0" w:color="auto"/>
                <w:left w:val="none" w:sz="0" w:space="0" w:color="auto"/>
                <w:bottom w:val="none" w:sz="0" w:space="0" w:color="auto"/>
                <w:right w:val="none" w:sz="0" w:space="0" w:color="auto"/>
              </w:divBdr>
            </w:div>
            <w:div w:id="223760531">
              <w:marLeft w:val="0"/>
              <w:marRight w:val="0"/>
              <w:marTop w:val="0"/>
              <w:marBottom w:val="0"/>
              <w:divBdr>
                <w:top w:val="none" w:sz="0" w:space="0" w:color="auto"/>
                <w:left w:val="none" w:sz="0" w:space="0" w:color="auto"/>
                <w:bottom w:val="none" w:sz="0" w:space="0" w:color="auto"/>
                <w:right w:val="none" w:sz="0" w:space="0" w:color="auto"/>
              </w:divBdr>
            </w:div>
            <w:div w:id="1005473332">
              <w:marLeft w:val="0"/>
              <w:marRight w:val="0"/>
              <w:marTop w:val="0"/>
              <w:marBottom w:val="0"/>
              <w:divBdr>
                <w:top w:val="none" w:sz="0" w:space="0" w:color="auto"/>
                <w:left w:val="none" w:sz="0" w:space="0" w:color="auto"/>
                <w:bottom w:val="none" w:sz="0" w:space="0" w:color="auto"/>
                <w:right w:val="none" w:sz="0" w:space="0" w:color="auto"/>
              </w:divBdr>
            </w:div>
            <w:div w:id="1290279953">
              <w:marLeft w:val="0"/>
              <w:marRight w:val="0"/>
              <w:marTop w:val="0"/>
              <w:marBottom w:val="0"/>
              <w:divBdr>
                <w:top w:val="none" w:sz="0" w:space="0" w:color="auto"/>
                <w:left w:val="none" w:sz="0" w:space="0" w:color="auto"/>
                <w:bottom w:val="none" w:sz="0" w:space="0" w:color="auto"/>
                <w:right w:val="none" w:sz="0" w:space="0" w:color="auto"/>
              </w:divBdr>
            </w:div>
            <w:div w:id="1487937320">
              <w:marLeft w:val="0"/>
              <w:marRight w:val="0"/>
              <w:marTop w:val="0"/>
              <w:marBottom w:val="0"/>
              <w:divBdr>
                <w:top w:val="none" w:sz="0" w:space="0" w:color="auto"/>
                <w:left w:val="none" w:sz="0" w:space="0" w:color="auto"/>
                <w:bottom w:val="none" w:sz="0" w:space="0" w:color="auto"/>
                <w:right w:val="none" w:sz="0" w:space="0" w:color="auto"/>
              </w:divBdr>
            </w:div>
            <w:div w:id="1189178453">
              <w:marLeft w:val="0"/>
              <w:marRight w:val="0"/>
              <w:marTop w:val="0"/>
              <w:marBottom w:val="0"/>
              <w:divBdr>
                <w:top w:val="none" w:sz="0" w:space="0" w:color="auto"/>
                <w:left w:val="none" w:sz="0" w:space="0" w:color="auto"/>
                <w:bottom w:val="none" w:sz="0" w:space="0" w:color="auto"/>
                <w:right w:val="none" w:sz="0" w:space="0" w:color="auto"/>
              </w:divBdr>
            </w:div>
            <w:div w:id="838734790">
              <w:marLeft w:val="0"/>
              <w:marRight w:val="0"/>
              <w:marTop w:val="0"/>
              <w:marBottom w:val="0"/>
              <w:divBdr>
                <w:top w:val="none" w:sz="0" w:space="0" w:color="auto"/>
                <w:left w:val="none" w:sz="0" w:space="0" w:color="auto"/>
                <w:bottom w:val="none" w:sz="0" w:space="0" w:color="auto"/>
                <w:right w:val="none" w:sz="0" w:space="0" w:color="auto"/>
              </w:divBdr>
            </w:div>
            <w:div w:id="364871001">
              <w:marLeft w:val="0"/>
              <w:marRight w:val="0"/>
              <w:marTop w:val="0"/>
              <w:marBottom w:val="0"/>
              <w:divBdr>
                <w:top w:val="none" w:sz="0" w:space="0" w:color="auto"/>
                <w:left w:val="none" w:sz="0" w:space="0" w:color="auto"/>
                <w:bottom w:val="none" w:sz="0" w:space="0" w:color="auto"/>
                <w:right w:val="none" w:sz="0" w:space="0" w:color="auto"/>
              </w:divBdr>
            </w:div>
            <w:div w:id="1861973011">
              <w:marLeft w:val="0"/>
              <w:marRight w:val="0"/>
              <w:marTop w:val="0"/>
              <w:marBottom w:val="0"/>
              <w:divBdr>
                <w:top w:val="none" w:sz="0" w:space="0" w:color="auto"/>
                <w:left w:val="none" w:sz="0" w:space="0" w:color="auto"/>
                <w:bottom w:val="none" w:sz="0" w:space="0" w:color="auto"/>
                <w:right w:val="none" w:sz="0" w:space="0" w:color="auto"/>
              </w:divBdr>
            </w:div>
            <w:div w:id="674037910">
              <w:marLeft w:val="0"/>
              <w:marRight w:val="0"/>
              <w:marTop w:val="0"/>
              <w:marBottom w:val="0"/>
              <w:divBdr>
                <w:top w:val="none" w:sz="0" w:space="0" w:color="auto"/>
                <w:left w:val="none" w:sz="0" w:space="0" w:color="auto"/>
                <w:bottom w:val="none" w:sz="0" w:space="0" w:color="auto"/>
                <w:right w:val="none" w:sz="0" w:space="0" w:color="auto"/>
              </w:divBdr>
            </w:div>
            <w:div w:id="137116755">
              <w:marLeft w:val="0"/>
              <w:marRight w:val="0"/>
              <w:marTop w:val="0"/>
              <w:marBottom w:val="0"/>
              <w:divBdr>
                <w:top w:val="none" w:sz="0" w:space="0" w:color="auto"/>
                <w:left w:val="none" w:sz="0" w:space="0" w:color="auto"/>
                <w:bottom w:val="none" w:sz="0" w:space="0" w:color="auto"/>
                <w:right w:val="none" w:sz="0" w:space="0" w:color="auto"/>
              </w:divBdr>
            </w:div>
            <w:div w:id="1348555344">
              <w:marLeft w:val="0"/>
              <w:marRight w:val="0"/>
              <w:marTop w:val="0"/>
              <w:marBottom w:val="0"/>
              <w:divBdr>
                <w:top w:val="none" w:sz="0" w:space="0" w:color="auto"/>
                <w:left w:val="none" w:sz="0" w:space="0" w:color="auto"/>
                <w:bottom w:val="none" w:sz="0" w:space="0" w:color="auto"/>
                <w:right w:val="none" w:sz="0" w:space="0" w:color="auto"/>
              </w:divBdr>
            </w:div>
            <w:div w:id="1815443851">
              <w:marLeft w:val="0"/>
              <w:marRight w:val="0"/>
              <w:marTop w:val="0"/>
              <w:marBottom w:val="0"/>
              <w:divBdr>
                <w:top w:val="none" w:sz="0" w:space="0" w:color="auto"/>
                <w:left w:val="none" w:sz="0" w:space="0" w:color="auto"/>
                <w:bottom w:val="none" w:sz="0" w:space="0" w:color="auto"/>
                <w:right w:val="none" w:sz="0" w:space="0" w:color="auto"/>
              </w:divBdr>
            </w:div>
            <w:div w:id="2121677841">
              <w:marLeft w:val="0"/>
              <w:marRight w:val="0"/>
              <w:marTop w:val="0"/>
              <w:marBottom w:val="0"/>
              <w:divBdr>
                <w:top w:val="none" w:sz="0" w:space="0" w:color="auto"/>
                <w:left w:val="none" w:sz="0" w:space="0" w:color="auto"/>
                <w:bottom w:val="none" w:sz="0" w:space="0" w:color="auto"/>
                <w:right w:val="none" w:sz="0" w:space="0" w:color="auto"/>
              </w:divBdr>
            </w:div>
            <w:div w:id="26370918">
              <w:marLeft w:val="0"/>
              <w:marRight w:val="0"/>
              <w:marTop w:val="0"/>
              <w:marBottom w:val="0"/>
              <w:divBdr>
                <w:top w:val="none" w:sz="0" w:space="0" w:color="auto"/>
                <w:left w:val="none" w:sz="0" w:space="0" w:color="auto"/>
                <w:bottom w:val="none" w:sz="0" w:space="0" w:color="auto"/>
                <w:right w:val="none" w:sz="0" w:space="0" w:color="auto"/>
              </w:divBdr>
            </w:div>
            <w:div w:id="1717847337">
              <w:marLeft w:val="0"/>
              <w:marRight w:val="0"/>
              <w:marTop w:val="0"/>
              <w:marBottom w:val="0"/>
              <w:divBdr>
                <w:top w:val="none" w:sz="0" w:space="0" w:color="auto"/>
                <w:left w:val="none" w:sz="0" w:space="0" w:color="auto"/>
                <w:bottom w:val="none" w:sz="0" w:space="0" w:color="auto"/>
                <w:right w:val="none" w:sz="0" w:space="0" w:color="auto"/>
              </w:divBdr>
            </w:div>
            <w:div w:id="1085997900">
              <w:marLeft w:val="0"/>
              <w:marRight w:val="0"/>
              <w:marTop w:val="0"/>
              <w:marBottom w:val="0"/>
              <w:divBdr>
                <w:top w:val="none" w:sz="0" w:space="0" w:color="auto"/>
                <w:left w:val="none" w:sz="0" w:space="0" w:color="auto"/>
                <w:bottom w:val="none" w:sz="0" w:space="0" w:color="auto"/>
                <w:right w:val="none" w:sz="0" w:space="0" w:color="auto"/>
              </w:divBdr>
            </w:div>
            <w:div w:id="74280464">
              <w:marLeft w:val="0"/>
              <w:marRight w:val="0"/>
              <w:marTop w:val="0"/>
              <w:marBottom w:val="0"/>
              <w:divBdr>
                <w:top w:val="none" w:sz="0" w:space="0" w:color="auto"/>
                <w:left w:val="none" w:sz="0" w:space="0" w:color="auto"/>
                <w:bottom w:val="none" w:sz="0" w:space="0" w:color="auto"/>
                <w:right w:val="none" w:sz="0" w:space="0" w:color="auto"/>
              </w:divBdr>
            </w:div>
            <w:div w:id="1933463977">
              <w:marLeft w:val="0"/>
              <w:marRight w:val="0"/>
              <w:marTop w:val="0"/>
              <w:marBottom w:val="0"/>
              <w:divBdr>
                <w:top w:val="none" w:sz="0" w:space="0" w:color="auto"/>
                <w:left w:val="none" w:sz="0" w:space="0" w:color="auto"/>
                <w:bottom w:val="none" w:sz="0" w:space="0" w:color="auto"/>
                <w:right w:val="none" w:sz="0" w:space="0" w:color="auto"/>
              </w:divBdr>
            </w:div>
            <w:div w:id="1909219539">
              <w:marLeft w:val="0"/>
              <w:marRight w:val="0"/>
              <w:marTop w:val="0"/>
              <w:marBottom w:val="0"/>
              <w:divBdr>
                <w:top w:val="none" w:sz="0" w:space="0" w:color="auto"/>
                <w:left w:val="none" w:sz="0" w:space="0" w:color="auto"/>
                <w:bottom w:val="none" w:sz="0" w:space="0" w:color="auto"/>
                <w:right w:val="none" w:sz="0" w:space="0" w:color="auto"/>
              </w:divBdr>
            </w:div>
            <w:div w:id="578054192">
              <w:marLeft w:val="0"/>
              <w:marRight w:val="0"/>
              <w:marTop w:val="0"/>
              <w:marBottom w:val="0"/>
              <w:divBdr>
                <w:top w:val="none" w:sz="0" w:space="0" w:color="auto"/>
                <w:left w:val="none" w:sz="0" w:space="0" w:color="auto"/>
                <w:bottom w:val="none" w:sz="0" w:space="0" w:color="auto"/>
                <w:right w:val="none" w:sz="0" w:space="0" w:color="auto"/>
              </w:divBdr>
            </w:div>
            <w:div w:id="741869922">
              <w:marLeft w:val="0"/>
              <w:marRight w:val="0"/>
              <w:marTop w:val="0"/>
              <w:marBottom w:val="0"/>
              <w:divBdr>
                <w:top w:val="none" w:sz="0" w:space="0" w:color="auto"/>
                <w:left w:val="none" w:sz="0" w:space="0" w:color="auto"/>
                <w:bottom w:val="none" w:sz="0" w:space="0" w:color="auto"/>
                <w:right w:val="none" w:sz="0" w:space="0" w:color="auto"/>
              </w:divBdr>
            </w:div>
            <w:div w:id="1967273266">
              <w:marLeft w:val="0"/>
              <w:marRight w:val="0"/>
              <w:marTop w:val="0"/>
              <w:marBottom w:val="0"/>
              <w:divBdr>
                <w:top w:val="none" w:sz="0" w:space="0" w:color="auto"/>
                <w:left w:val="none" w:sz="0" w:space="0" w:color="auto"/>
                <w:bottom w:val="none" w:sz="0" w:space="0" w:color="auto"/>
                <w:right w:val="none" w:sz="0" w:space="0" w:color="auto"/>
              </w:divBdr>
            </w:div>
            <w:div w:id="1687950027">
              <w:marLeft w:val="0"/>
              <w:marRight w:val="0"/>
              <w:marTop w:val="0"/>
              <w:marBottom w:val="0"/>
              <w:divBdr>
                <w:top w:val="none" w:sz="0" w:space="0" w:color="auto"/>
                <w:left w:val="none" w:sz="0" w:space="0" w:color="auto"/>
                <w:bottom w:val="none" w:sz="0" w:space="0" w:color="auto"/>
                <w:right w:val="none" w:sz="0" w:space="0" w:color="auto"/>
              </w:divBdr>
            </w:div>
            <w:div w:id="102769457">
              <w:marLeft w:val="0"/>
              <w:marRight w:val="0"/>
              <w:marTop w:val="0"/>
              <w:marBottom w:val="0"/>
              <w:divBdr>
                <w:top w:val="none" w:sz="0" w:space="0" w:color="auto"/>
                <w:left w:val="none" w:sz="0" w:space="0" w:color="auto"/>
                <w:bottom w:val="none" w:sz="0" w:space="0" w:color="auto"/>
                <w:right w:val="none" w:sz="0" w:space="0" w:color="auto"/>
              </w:divBdr>
            </w:div>
            <w:div w:id="785123391">
              <w:marLeft w:val="0"/>
              <w:marRight w:val="0"/>
              <w:marTop w:val="0"/>
              <w:marBottom w:val="0"/>
              <w:divBdr>
                <w:top w:val="none" w:sz="0" w:space="0" w:color="auto"/>
                <w:left w:val="none" w:sz="0" w:space="0" w:color="auto"/>
                <w:bottom w:val="none" w:sz="0" w:space="0" w:color="auto"/>
                <w:right w:val="none" w:sz="0" w:space="0" w:color="auto"/>
              </w:divBdr>
            </w:div>
            <w:div w:id="1516652412">
              <w:marLeft w:val="0"/>
              <w:marRight w:val="0"/>
              <w:marTop w:val="0"/>
              <w:marBottom w:val="0"/>
              <w:divBdr>
                <w:top w:val="none" w:sz="0" w:space="0" w:color="auto"/>
                <w:left w:val="none" w:sz="0" w:space="0" w:color="auto"/>
                <w:bottom w:val="none" w:sz="0" w:space="0" w:color="auto"/>
                <w:right w:val="none" w:sz="0" w:space="0" w:color="auto"/>
              </w:divBdr>
            </w:div>
            <w:div w:id="45572528">
              <w:marLeft w:val="0"/>
              <w:marRight w:val="0"/>
              <w:marTop w:val="0"/>
              <w:marBottom w:val="0"/>
              <w:divBdr>
                <w:top w:val="none" w:sz="0" w:space="0" w:color="auto"/>
                <w:left w:val="none" w:sz="0" w:space="0" w:color="auto"/>
                <w:bottom w:val="none" w:sz="0" w:space="0" w:color="auto"/>
                <w:right w:val="none" w:sz="0" w:space="0" w:color="auto"/>
              </w:divBdr>
            </w:div>
            <w:div w:id="1245143635">
              <w:marLeft w:val="0"/>
              <w:marRight w:val="0"/>
              <w:marTop w:val="0"/>
              <w:marBottom w:val="0"/>
              <w:divBdr>
                <w:top w:val="none" w:sz="0" w:space="0" w:color="auto"/>
                <w:left w:val="none" w:sz="0" w:space="0" w:color="auto"/>
                <w:bottom w:val="none" w:sz="0" w:space="0" w:color="auto"/>
                <w:right w:val="none" w:sz="0" w:space="0" w:color="auto"/>
              </w:divBdr>
            </w:div>
            <w:div w:id="746920045">
              <w:marLeft w:val="0"/>
              <w:marRight w:val="0"/>
              <w:marTop w:val="0"/>
              <w:marBottom w:val="0"/>
              <w:divBdr>
                <w:top w:val="none" w:sz="0" w:space="0" w:color="auto"/>
                <w:left w:val="none" w:sz="0" w:space="0" w:color="auto"/>
                <w:bottom w:val="none" w:sz="0" w:space="0" w:color="auto"/>
                <w:right w:val="none" w:sz="0" w:space="0" w:color="auto"/>
              </w:divBdr>
            </w:div>
            <w:div w:id="418871996">
              <w:marLeft w:val="0"/>
              <w:marRight w:val="0"/>
              <w:marTop w:val="0"/>
              <w:marBottom w:val="0"/>
              <w:divBdr>
                <w:top w:val="none" w:sz="0" w:space="0" w:color="auto"/>
                <w:left w:val="none" w:sz="0" w:space="0" w:color="auto"/>
                <w:bottom w:val="none" w:sz="0" w:space="0" w:color="auto"/>
                <w:right w:val="none" w:sz="0" w:space="0" w:color="auto"/>
              </w:divBdr>
            </w:div>
            <w:div w:id="580677143">
              <w:marLeft w:val="0"/>
              <w:marRight w:val="0"/>
              <w:marTop w:val="0"/>
              <w:marBottom w:val="0"/>
              <w:divBdr>
                <w:top w:val="none" w:sz="0" w:space="0" w:color="auto"/>
                <w:left w:val="none" w:sz="0" w:space="0" w:color="auto"/>
                <w:bottom w:val="none" w:sz="0" w:space="0" w:color="auto"/>
                <w:right w:val="none" w:sz="0" w:space="0" w:color="auto"/>
              </w:divBdr>
            </w:div>
            <w:div w:id="254898758">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0"/>
              <w:marBottom w:val="0"/>
              <w:divBdr>
                <w:top w:val="none" w:sz="0" w:space="0" w:color="auto"/>
                <w:left w:val="none" w:sz="0" w:space="0" w:color="auto"/>
                <w:bottom w:val="none" w:sz="0" w:space="0" w:color="auto"/>
                <w:right w:val="none" w:sz="0" w:space="0" w:color="auto"/>
              </w:divBdr>
            </w:div>
            <w:div w:id="1819031939">
              <w:marLeft w:val="0"/>
              <w:marRight w:val="0"/>
              <w:marTop w:val="0"/>
              <w:marBottom w:val="0"/>
              <w:divBdr>
                <w:top w:val="none" w:sz="0" w:space="0" w:color="auto"/>
                <w:left w:val="none" w:sz="0" w:space="0" w:color="auto"/>
                <w:bottom w:val="none" w:sz="0" w:space="0" w:color="auto"/>
                <w:right w:val="none" w:sz="0" w:space="0" w:color="auto"/>
              </w:divBdr>
            </w:div>
            <w:div w:id="1553039214">
              <w:marLeft w:val="0"/>
              <w:marRight w:val="0"/>
              <w:marTop w:val="0"/>
              <w:marBottom w:val="0"/>
              <w:divBdr>
                <w:top w:val="none" w:sz="0" w:space="0" w:color="auto"/>
                <w:left w:val="none" w:sz="0" w:space="0" w:color="auto"/>
                <w:bottom w:val="none" w:sz="0" w:space="0" w:color="auto"/>
                <w:right w:val="none" w:sz="0" w:space="0" w:color="auto"/>
              </w:divBdr>
            </w:div>
            <w:div w:id="1508326704">
              <w:marLeft w:val="0"/>
              <w:marRight w:val="0"/>
              <w:marTop w:val="0"/>
              <w:marBottom w:val="0"/>
              <w:divBdr>
                <w:top w:val="none" w:sz="0" w:space="0" w:color="auto"/>
                <w:left w:val="none" w:sz="0" w:space="0" w:color="auto"/>
                <w:bottom w:val="none" w:sz="0" w:space="0" w:color="auto"/>
                <w:right w:val="none" w:sz="0" w:space="0" w:color="auto"/>
              </w:divBdr>
            </w:div>
            <w:div w:id="121579891">
              <w:marLeft w:val="0"/>
              <w:marRight w:val="0"/>
              <w:marTop w:val="0"/>
              <w:marBottom w:val="0"/>
              <w:divBdr>
                <w:top w:val="none" w:sz="0" w:space="0" w:color="auto"/>
                <w:left w:val="none" w:sz="0" w:space="0" w:color="auto"/>
                <w:bottom w:val="none" w:sz="0" w:space="0" w:color="auto"/>
                <w:right w:val="none" w:sz="0" w:space="0" w:color="auto"/>
              </w:divBdr>
            </w:div>
            <w:div w:id="701444757">
              <w:marLeft w:val="0"/>
              <w:marRight w:val="0"/>
              <w:marTop w:val="0"/>
              <w:marBottom w:val="0"/>
              <w:divBdr>
                <w:top w:val="none" w:sz="0" w:space="0" w:color="auto"/>
                <w:left w:val="none" w:sz="0" w:space="0" w:color="auto"/>
                <w:bottom w:val="none" w:sz="0" w:space="0" w:color="auto"/>
                <w:right w:val="none" w:sz="0" w:space="0" w:color="auto"/>
              </w:divBdr>
            </w:div>
            <w:div w:id="78019891">
              <w:marLeft w:val="0"/>
              <w:marRight w:val="0"/>
              <w:marTop w:val="0"/>
              <w:marBottom w:val="0"/>
              <w:divBdr>
                <w:top w:val="none" w:sz="0" w:space="0" w:color="auto"/>
                <w:left w:val="none" w:sz="0" w:space="0" w:color="auto"/>
                <w:bottom w:val="none" w:sz="0" w:space="0" w:color="auto"/>
                <w:right w:val="none" w:sz="0" w:space="0" w:color="auto"/>
              </w:divBdr>
            </w:div>
            <w:div w:id="968047768">
              <w:marLeft w:val="0"/>
              <w:marRight w:val="0"/>
              <w:marTop w:val="0"/>
              <w:marBottom w:val="0"/>
              <w:divBdr>
                <w:top w:val="none" w:sz="0" w:space="0" w:color="auto"/>
                <w:left w:val="none" w:sz="0" w:space="0" w:color="auto"/>
                <w:bottom w:val="none" w:sz="0" w:space="0" w:color="auto"/>
                <w:right w:val="none" w:sz="0" w:space="0" w:color="auto"/>
              </w:divBdr>
            </w:div>
            <w:div w:id="649099528">
              <w:marLeft w:val="0"/>
              <w:marRight w:val="0"/>
              <w:marTop w:val="0"/>
              <w:marBottom w:val="0"/>
              <w:divBdr>
                <w:top w:val="none" w:sz="0" w:space="0" w:color="auto"/>
                <w:left w:val="none" w:sz="0" w:space="0" w:color="auto"/>
                <w:bottom w:val="none" w:sz="0" w:space="0" w:color="auto"/>
                <w:right w:val="none" w:sz="0" w:space="0" w:color="auto"/>
              </w:divBdr>
            </w:div>
            <w:div w:id="1595169272">
              <w:marLeft w:val="0"/>
              <w:marRight w:val="0"/>
              <w:marTop w:val="0"/>
              <w:marBottom w:val="0"/>
              <w:divBdr>
                <w:top w:val="none" w:sz="0" w:space="0" w:color="auto"/>
                <w:left w:val="none" w:sz="0" w:space="0" w:color="auto"/>
                <w:bottom w:val="none" w:sz="0" w:space="0" w:color="auto"/>
                <w:right w:val="none" w:sz="0" w:space="0" w:color="auto"/>
              </w:divBdr>
            </w:div>
            <w:div w:id="643774983">
              <w:marLeft w:val="0"/>
              <w:marRight w:val="0"/>
              <w:marTop w:val="0"/>
              <w:marBottom w:val="0"/>
              <w:divBdr>
                <w:top w:val="none" w:sz="0" w:space="0" w:color="auto"/>
                <w:left w:val="none" w:sz="0" w:space="0" w:color="auto"/>
                <w:bottom w:val="none" w:sz="0" w:space="0" w:color="auto"/>
                <w:right w:val="none" w:sz="0" w:space="0" w:color="auto"/>
              </w:divBdr>
            </w:div>
            <w:div w:id="935211974">
              <w:marLeft w:val="0"/>
              <w:marRight w:val="0"/>
              <w:marTop w:val="0"/>
              <w:marBottom w:val="0"/>
              <w:divBdr>
                <w:top w:val="none" w:sz="0" w:space="0" w:color="auto"/>
                <w:left w:val="none" w:sz="0" w:space="0" w:color="auto"/>
                <w:bottom w:val="none" w:sz="0" w:space="0" w:color="auto"/>
                <w:right w:val="none" w:sz="0" w:space="0" w:color="auto"/>
              </w:divBdr>
            </w:div>
            <w:div w:id="959804414">
              <w:marLeft w:val="0"/>
              <w:marRight w:val="0"/>
              <w:marTop w:val="0"/>
              <w:marBottom w:val="0"/>
              <w:divBdr>
                <w:top w:val="none" w:sz="0" w:space="0" w:color="auto"/>
                <w:left w:val="none" w:sz="0" w:space="0" w:color="auto"/>
                <w:bottom w:val="none" w:sz="0" w:space="0" w:color="auto"/>
                <w:right w:val="none" w:sz="0" w:space="0" w:color="auto"/>
              </w:divBdr>
            </w:div>
            <w:div w:id="2111318193">
              <w:marLeft w:val="0"/>
              <w:marRight w:val="0"/>
              <w:marTop w:val="0"/>
              <w:marBottom w:val="0"/>
              <w:divBdr>
                <w:top w:val="none" w:sz="0" w:space="0" w:color="auto"/>
                <w:left w:val="none" w:sz="0" w:space="0" w:color="auto"/>
                <w:bottom w:val="none" w:sz="0" w:space="0" w:color="auto"/>
                <w:right w:val="none" w:sz="0" w:space="0" w:color="auto"/>
              </w:divBdr>
            </w:div>
            <w:div w:id="288709780">
              <w:marLeft w:val="0"/>
              <w:marRight w:val="0"/>
              <w:marTop w:val="0"/>
              <w:marBottom w:val="0"/>
              <w:divBdr>
                <w:top w:val="none" w:sz="0" w:space="0" w:color="auto"/>
                <w:left w:val="none" w:sz="0" w:space="0" w:color="auto"/>
                <w:bottom w:val="none" w:sz="0" w:space="0" w:color="auto"/>
                <w:right w:val="none" w:sz="0" w:space="0" w:color="auto"/>
              </w:divBdr>
            </w:div>
            <w:div w:id="823592756">
              <w:marLeft w:val="0"/>
              <w:marRight w:val="0"/>
              <w:marTop w:val="0"/>
              <w:marBottom w:val="0"/>
              <w:divBdr>
                <w:top w:val="none" w:sz="0" w:space="0" w:color="auto"/>
                <w:left w:val="none" w:sz="0" w:space="0" w:color="auto"/>
                <w:bottom w:val="none" w:sz="0" w:space="0" w:color="auto"/>
                <w:right w:val="none" w:sz="0" w:space="0" w:color="auto"/>
              </w:divBdr>
            </w:div>
            <w:div w:id="1538925964">
              <w:marLeft w:val="0"/>
              <w:marRight w:val="0"/>
              <w:marTop w:val="0"/>
              <w:marBottom w:val="0"/>
              <w:divBdr>
                <w:top w:val="none" w:sz="0" w:space="0" w:color="auto"/>
                <w:left w:val="none" w:sz="0" w:space="0" w:color="auto"/>
                <w:bottom w:val="none" w:sz="0" w:space="0" w:color="auto"/>
                <w:right w:val="none" w:sz="0" w:space="0" w:color="auto"/>
              </w:divBdr>
            </w:div>
            <w:div w:id="268436853">
              <w:marLeft w:val="0"/>
              <w:marRight w:val="0"/>
              <w:marTop w:val="0"/>
              <w:marBottom w:val="0"/>
              <w:divBdr>
                <w:top w:val="none" w:sz="0" w:space="0" w:color="auto"/>
                <w:left w:val="none" w:sz="0" w:space="0" w:color="auto"/>
                <w:bottom w:val="none" w:sz="0" w:space="0" w:color="auto"/>
                <w:right w:val="none" w:sz="0" w:space="0" w:color="auto"/>
              </w:divBdr>
            </w:div>
            <w:div w:id="1816220493">
              <w:marLeft w:val="0"/>
              <w:marRight w:val="0"/>
              <w:marTop w:val="0"/>
              <w:marBottom w:val="0"/>
              <w:divBdr>
                <w:top w:val="none" w:sz="0" w:space="0" w:color="auto"/>
                <w:left w:val="none" w:sz="0" w:space="0" w:color="auto"/>
                <w:bottom w:val="none" w:sz="0" w:space="0" w:color="auto"/>
                <w:right w:val="none" w:sz="0" w:space="0" w:color="auto"/>
              </w:divBdr>
            </w:div>
            <w:div w:id="1297836709">
              <w:marLeft w:val="0"/>
              <w:marRight w:val="0"/>
              <w:marTop w:val="0"/>
              <w:marBottom w:val="0"/>
              <w:divBdr>
                <w:top w:val="none" w:sz="0" w:space="0" w:color="auto"/>
                <w:left w:val="none" w:sz="0" w:space="0" w:color="auto"/>
                <w:bottom w:val="none" w:sz="0" w:space="0" w:color="auto"/>
                <w:right w:val="none" w:sz="0" w:space="0" w:color="auto"/>
              </w:divBdr>
            </w:div>
            <w:div w:id="1929145337">
              <w:marLeft w:val="0"/>
              <w:marRight w:val="0"/>
              <w:marTop w:val="0"/>
              <w:marBottom w:val="0"/>
              <w:divBdr>
                <w:top w:val="none" w:sz="0" w:space="0" w:color="auto"/>
                <w:left w:val="none" w:sz="0" w:space="0" w:color="auto"/>
                <w:bottom w:val="none" w:sz="0" w:space="0" w:color="auto"/>
                <w:right w:val="none" w:sz="0" w:space="0" w:color="auto"/>
              </w:divBdr>
            </w:div>
            <w:div w:id="1435899940">
              <w:marLeft w:val="0"/>
              <w:marRight w:val="0"/>
              <w:marTop w:val="0"/>
              <w:marBottom w:val="0"/>
              <w:divBdr>
                <w:top w:val="none" w:sz="0" w:space="0" w:color="auto"/>
                <w:left w:val="none" w:sz="0" w:space="0" w:color="auto"/>
                <w:bottom w:val="none" w:sz="0" w:space="0" w:color="auto"/>
                <w:right w:val="none" w:sz="0" w:space="0" w:color="auto"/>
              </w:divBdr>
            </w:div>
            <w:div w:id="735011087">
              <w:marLeft w:val="0"/>
              <w:marRight w:val="0"/>
              <w:marTop w:val="0"/>
              <w:marBottom w:val="0"/>
              <w:divBdr>
                <w:top w:val="none" w:sz="0" w:space="0" w:color="auto"/>
                <w:left w:val="none" w:sz="0" w:space="0" w:color="auto"/>
                <w:bottom w:val="none" w:sz="0" w:space="0" w:color="auto"/>
                <w:right w:val="none" w:sz="0" w:space="0" w:color="auto"/>
              </w:divBdr>
            </w:div>
            <w:div w:id="719865779">
              <w:marLeft w:val="0"/>
              <w:marRight w:val="0"/>
              <w:marTop w:val="0"/>
              <w:marBottom w:val="0"/>
              <w:divBdr>
                <w:top w:val="none" w:sz="0" w:space="0" w:color="auto"/>
                <w:left w:val="none" w:sz="0" w:space="0" w:color="auto"/>
                <w:bottom w:val="none" w:sz="0" w:space="0" w:color="auto"/>
                <w:right w:val="none" w:sz="0" w:space="0" w:color="auto"/>
              </w:divBdr>
            </w:div>
            <w:div w:id="1290210896">
              <w:marLeft w:val="0"/>
              <w:marRight w:val="0"/>
              <w:marTop w:val="0"/>
              <w:marBottom w:val="0"/>
              <w:divBdr>
                <w:top w:val="none" w:sz="0" w:space="0" w:color="auto"/>
                <w:left w:val="none" w:sz="0" w:space="0" w:color="auto"/>
                <w:bottom w:val="none" w:sz="0" w:space="0" w:color="auto"/>
                <w:right w:val="none" w:sz="0" w:space="0" w:color="auto"/>
              </w:divBdr>
            </w:div>
            <w:div w:id="600991169">
              <w:marLeft w:val="0"/>
              <w:marRight w:val="0"/>
              <w:marTop w:val="0"/>
              <w:marBottom w:val="0"/>
              <w:divBdr>
                <w:top w:val="none" w:sz="0" w:space="0" w:color="auto"/>
                <w:left w:val="none" w:sz="0" w:space="0" w:color="auto"/>
                <w:bottom w:val="none" w:sz="0" w:space="0" w:color="auto"/>
                <w:right w:val="none" w:sz="0" w:space="0" w:color="auto"/>
              </w:divBdr>
            </w:div>
            <w:div w:id="1104498499">
              <w:marLeft w:val="0"/>
              <w:marRight w:val="0"/>
              <w:marTop w:val="0"/>
              <w:marBottom w:val="0"/>
              <w:divBdr>
                <w:top w:val="none" w:sz="0" w:space="0" w:color="auto"/>
                <w:left w:val="none" w:sz="0" w:space="0" w:color="auto"/>
                <w:bottom w:val="none" w:sz="0" w:space="0" w:color="auto"/>
                <w:right w:val="none" w:sz="0" w:space="0" w:color="auto"/>
              </w:divBdr>
            </w:div>
            <w:div w:id="1757940471">
              <w:marLeft w:val="0"/>
              <w:marRight w:val="0"/>
              <w:marTop w:val="0"/>
              <w:marBottom w:val="0"/>
              <w:divBdr>
                <w:top w:val="none" w:sz="0" w:space="0" w:color="auto"/>
                <w:left w:val="none" w:sz="0" w:space="0" w:color="auto"/>
                <w:bottom w:val="none" w:sz="0" w:space="0" w:color="auto"/>
                <w:right w:val="none" w:sz="0" w:space="0" w:color="auto"/>
              </w:divBdr>
            </w:div>
            <w:div w:id="820000948">
              <w:marLeft w:val="0"/>
              <w:marRight w:val="0"/>
              <w:marTop w:val="0"/>
              <w:marBottom w:val="0"/>
              <w:divBdr>
                <w:top w:val="none" w:sz="0" w:space="0" w:color="auto"/>
                <w:left w:val="none" w:sz="0" w:space="0" w:color="auto"/>
                <w:bottom w:val="none" w:sz="0" w:space="0" w:color="auto"/>
                <w:right w:val="none" w:sz="0" w:space="0" w:color="auto"/>
              </w:divBdr>
            </w:div>
            <w:div w:id="1638216527">
              <w:marLeft w:val="0"/>
              <w:marRight w:val="0"/>
              <w:marTop w:val="0"/>
              <w:marBottom w:val="0"/>
              <w:divBdr>
                <w:top w:val="none" w:sz="0" w:space="0" w:color="auto"/>
                <w:left w:val="none" w:sz="0" w:space="0" w:color="auto"/>
                <w:bottom w:val="none" w:sz="0" w:space="0" w:color="auto"/>
                <w:right w:val="none" w:sz="0" w:space="0" w:color="auto"/>
              </w:divBdr>
            </w:div>
            <w:div w:id="1794130699">
              <w:marLeft w:val="0"/>
              <w:marRight w:val="0"/>
              <w:marTop w:val="0"/>
              <w:marBottom w:val="0"/>
              <w:divBdr>
                <w:top w:val="none" w:sz="0" w:space="0" w:color="auto"/>
                <w:left w:val="none" w:sz="0" w:space="0" w:color="auto"/>
                <w:bottom w:val="none" w:sz="0" w:space="0" w:color="auto"/>
                <w:right w:val="none" w:sz="0" w:space="0" w:color="auto"/>
              </w:divBdr>
            </w:div>
            <w:div w:id="565266114">
              <w:marLeft w:val="0"/>
              <w:marRight w:val="0"/>
              <w:marTop w:val="0"/>
              <w:marBottom w:val="0"/>
              <w:divBdr>
                <w:top w:val="none" w:sz="0" w:space="0" w:color="auto"/>
                <w:left w:val="none" w:sz="0" w:space="0" w:color="auto"/>
                <w:bottom w:val="none" w:sz="0" w:space="0" w:color="auto"/>
                <w:right w:val="none" w:sz="0" w:space="0" w:color="auto"/>
              </w:divBdr>
            </w:div>
            <w:div w:id="180318574">
              <w:marLeft w:val="0"/>
              <w:marRight w:val="0"/>
              <w:marTop w:val="0"/>
              <w:marBottom w:val="0"/>
              <w:divBdr>
                <w:top w:val="none" w:sz="0" w:space="0" w:color="auto"/>
                <w:left w:val="none" w:sz="0" w:space="0" w:color="auto"/>
                <w:bottom w:val="none" w:sz="0" w:space="0" w:color="auto"/>
                <w:right w:val="none" w:sz="0" w:space="0" w:color="auto"/>
              </w:divBdr>
            </w:div>
            <w:div w:id="954406451">
              <w:marLeft w:val="0"/>
              <w:marRight w:val="0"/>
              <w:marTop w:val="0"/>
              <w:marBottom w:val="0"/>
              <w:divBdr>
                <w:top w:val="none" w:sz="0" w:space="0" w:color="auto"/>
                <w:left w:val="none" w:sz="0" w:space="0" w:color="auto"/>
                <w:bottom w:val="none" w:sz="0" w:space="0" w:color="auto"/>
                <w:right w:val="none" w:sz="0" w:space="0" w:color="auto"/>
              </w:divBdr>
            </w:div>
            <w:div w:id="559287343">
              <w:marLeft w:val="0"/>
              <w:marRight w:val="0"/>
              <w:marTop w:val="0"/>
              <w:marBottom w:val="0"/>
              <w:divBdr>
                <w:top w:val="none" w:sz="0" w:space="0" w:color="auto"/>
                <w:left w:val="none" w:sz="0" w:space="0" w:color="auto"/>
                <w:bottom w:val="none" w:sz="0" w:space="0" w:color="auto"/>
                <w:right w:val="none" w:sz="0" w:space="0" w:color="auto"/>
              </w:divBdr>
            </w:div>
            <w:div w:id="1973359894">
              <w:marLeft w:val="0"/>
              <w:marRight w:val="0"/>
              <w:marTop w:val="0"/>
              <w:marBottom w:val="0"/>
              <w:divBdr>
                <w:top w:val="none" w:sz="0" w:space="0" w:color="auto"/>
                <w:left w:val="none" w:sz="0" w:space="0" w:color="auto"/>
                <w:bottom w:val="none" w:sz="0" w:space="0" w:color="auto"/>
                <w:right w:val="none" w:sz="0" w:space="0" w:color="auto"/>
              </w:divBdr>
            </w:div>
            <w:div w:id="1942495438">
              <w:marLeft w:val="0"/>
              <w:marRight w:val="0"/>
              <w:marTop w:val="0"/>
              <w:marBottom w:val="0"/>
              <w:divBdr>
                <w:top w:val="none" w:sz="0" w:space="0" w:color="auto"/>
                <w:left w:val="none" w:sz="0" w:space="0" w:color="auto"/>
                <w:bottom w:val="none" w:sz="0" w:space="0" w:color="auto"/>
                <w:right w:val="none" w:sz="0" w:space="0" w:color="auto"/>
              </w:divBdr>
            </w:div>
            <w:div w:id="78332079">
              <w:marLeft w:val="0"/>
              <w:marRight w:val="0"/>
              <w:marTop w:val="0"/>
              <w:marBottom w:val="0"/>
              <w:divBdr>
                <w:top w:val="none" w:sz="0" w:space="0" w:color="auto"/>
                <w:left w:val="none" w:sz="0" w:space="0" w:color="auto"/>
                <w:bottom w:val="none" w:sz="0" w:space="0" w:color="auto"/>
                <w:right w:val="none" w:sz="0" w:space="0" w:color="auto"/>
              </w:divBdr>
            </w:div>
            <w:div w:id="623733566">
              <w:marLeft w:val="0"/>
              <w:marRight w:val="0"/>
              <w:marTop w:val="0"/>
              <w:marBottom w:val="0"/>
              <w:divBdr>
                <w:top w:val="none" w:sz="0" w:space="0" w:color="auto"/>
                <w:left w:val="none" w:sz="0" w:space="0" w:color="auto"/>
                <w:bottom w:val="none" w:sz="0" w:space="0" w:color="auto"/>
                <w:right w:val="none" w:sz="0" w:space="0" w:color="auto"/>
              </w:divBdr>
            </w:div>
            <w:div w:id="1049455639">
              <w:marLeft w:val="0"/>
              <w:marRight w:val="0"/>
              <w:marTop w:val="0"/>
              <w:marBottom w:val="0"/>
              <w:divBdr>
                <w:top w:val="none" w:sz="0" w:space="0" w:color="auto"/>
                <w:left w:val="none" w:sz="0" w:space="0" w:color="auto"/>
                <w:bottom w:val="none" w:sz="0" w:space="0" w:color="auto"/>
                <w:right w:val="none" w:sz="0" w:space="0" w:color="auto"/>
              </w:divBdr>
            </w:div>
            <w:div w:id="1692610754">
              <w:marLeft w:val="0"/>
              <w:marRight w:val="0"/>
              <w:marTop w:val="0"/>
              <w:marBottom w:val="0"/>
              <w:divBdr>
                <w:top w:val="none" w:sz="0" w:space="0" w:color="auto"/>
                <w:left w:val="none" w:sz="0" w:space="0" w:color="auto"/>
                <w:bottom w:val="none" w:sz="0" w:space="0" w:color="auto"/>
                <w:right w:val="none" w:sz="0" w:space="0" w:color="auto"/>
              </w:divBdr>
            </w:div>
            <w:div w:id="563641602">
              <w:marLeft w:val="0"/>
              <w:marRight w:val="0"/>
              <w:marTop w:val="0"/>
              <w:marBottom w:val="0"/>
              <w:divBdr>
                <w:top w:val="none" w:sz="0" w:space="0" w:color="auto"/>
                <w:left w:val="none" w:sz="0" w:space="0" w:color="auto"/>
                <w:bottom w:val="none" w:sz="0" w:space="0" w:color="auto"/>
                <w:right w:val="none" w:sz="0" w:space="0" w:color="auto"/>
              </w:divBdr>
            </w:div>
            <w:div w:id="1766195438">
              <w:marLeft w:val="0"/>
              <w:marRight w:val="0"/>
              <w:marTop w:val="0"/>
              <w:marBottom w:val="0"/>
              <w:divBdr>
                <w:top w:val="none" w:sz="0" w:space="0" w:color="auto"/>
                <w:left w:val="none" w:sz="0" w:space="0" w:color="auto"/>
                <w:bottom w:val="none" w:sz="0" w:space="0" w:color="auto"/>
                <w:right w:val="none" w:sz="0" w:space="0" w:color="auto"/>
              </w:divBdr>
            </w:div>
            <w:div w:id="996692465">
              <w:marLeft w:val="0"/>
              <w:marRight w:val="0"/>
              <w:marTop w:val="0"/>
              <w:marBottom w:val="0"/>
              <w:divBdr>
                <w:top w:val="none" w:sz="0" w:space="0" w:color="auto"/>
                <w:left w:val="none" w:sz="0" w:space="0" w:color="auto"/>
                <w:bottom w:val="none" w:sz="0" w:space="0" w:color="auto"/>
                <w:right w:val="none" w:sz="0" w:space="0" w:color="auto"/>
              </w:divBdr>
            </w:div>
            <w:div w:id="716590525">
              <w:marLeft w:val="0"/>
              <w:marRight w:val="0"/>
              <w:marTop w:val="0"/>
              <w:marBottom w:val="0"/>
              <w:divBdr>
                <w:top w:val="none" w:sz="0" w:space="0" w:color="auto"/>
                <w:left w:val="none" w:sz="0" w:space="0" w:color="auto"/>
                <w:bottom w:val="none" w:sz="0" w:space="0" w:color="auto"/>
                <w:right w:val="none" w:sz="0" w:space="0" w:color="auto"/>
              </w:divBdr>
            </w:div>
            <w:div w:id="1945645642">
              <w:marLeft w:val="0"/>
              <w:marRight w:val="0"/>
              <w:marTop w:val="0"/>
              <w:marBottom w:val="0"/>
              <w:divBdr>
                <w:top w:val="none" w:sz="0" w:space="0" w:color="auto"/>
                <w:left w:val="none" w:sz="0" w:space="0" w:color="auto"/>
                <w:bottom w:val="none" w:sz="0" w:space="0" w:color="auto"/>
                <w:right w:val="none" w:sz="0" w:space="0" w:color="auto"/>
              </w:divBdr>
            </w:div>
            <w:div w:id="1457794786">
              <w:marLeft w:val="0"/>
              <w:marRight w:val="0"/>
              <w:marTop w:val="0"/>
              <w:marBottom w:val="0"/>
              <w:divBdr>
                <w:top w:val="none" w:sz="0" w:space="0" w:color="auto"/>
                <w:left w:val="none" w:sz="0" w:space="0" w:color="auto"/>
                <w:bottom w:val="none" w:sz="0" w:space="0" w:color="auto"/>
                <w:right w:val="none" w:sz="0" w:space="0" w:color="auto"/>
              </w:divBdr>
            </w:div>
            <w:div w:id="429467206">
              <w:marLeft w:val="0"/>
              <w:marRight w:val="0"/>
              <w:marTop w:val="0"/>
              <w:marBottom w:val="0"/>
              <w:divBdr>
                <w:top w:val="none" w:sz="0" w:space="0" w:color="auto"/>
                <w:left w:val="none" w:sz="0" w:space="0" w:color="auto"/>
                <w:bottom w:val="none" w:sz="0" w:space="0" w:color="auto"/>
                <w:right w:val="none" w:sz="0" w:space="0" w:color="auto"/>
              </w:divBdr>
            </w:div>
            <w:div w:id="1407997516">
              <w:marLeft w:val="0"/>
              <w:marRight w:val="0"/>
              <w:marTop w:val="0"/>
              <w:marBottom w:val="0"/>
              <w:divBdr>
                <w:top w:val="none" w:sz="0" w:space="0" w:color="auto"/>
                <w:left w:val="none" w:sz="0" w:space="0" w:color="auto"/>
                <w:bottom w:val="none" w:sz="0" w:space="0" w:color="auto"/>
                <w:right w:val="none" w:sz="0" w:space="0" w:color="auto"/>
              </w:divBdr>
            </w:div>
            <w:div w:id="1251935337">
              <w:marLeft w:val="0"/>
              <w:marRight w:val="0"/>
              <w:marTop w:val="0"/>
              <w:marBottom w:val="0"/>
              <w:divBdr>
                <w:top w:val="none" w:sz="0" w:space="0" w:color="auto"/>
                <w:left w:val="none" w:sz="0" w:space="0" w:color="auto"/>
                <w:bottom w:val="none" w:sz="0" w:space="0" w:color="auto"/>
                <w:right w:val="none" w:sz="0" w:space="0" w:color="auto"/>
              </w:divBdr>
            </w:div>
            <w:div w:id="833103593">
              <w:marLeft w:val="0"/>
              <w:marRight w:val="0"/>
              <w:marTop w:val="0"/>
              <w:marBottom w:val="0"/>
              <w:divBdr>
                <w:top w:val="none" w:sz="0" w:space="0" w:color="auto"/>
                <w:left w:val="none" w:sz="0" w:space="0" w:color="auto"/>
                <w:bottom w:val="none" w:sz="0" w:space="0" w:color="auto"/>
                <w:right w:val="none" w:sz="0" w:space="0" w:color="auto"/>
              </w:divBdr>
            </w:div>
            <w:div w:id="1319268946">
              <w:marLeft w:val="0"/>
              <w:marRight w:val="0"/>
              <w:marTop w:val="0"/>
              <w:marBottom w:val="0"/>
              <w:divBdr>
                <w:top w:val="none" w:sz="0" w:space="0" w:color="auto"/>
                <w:left w:val="none" w:sz="0" w:space="0" w:color="auto"/>
                <w:bottom w:val="none" w:sz="0" w:space="0" w:color="auto"/>
                <w:right w:val="none" w:sz="0" w:space="0" w:color="auto"/>
              </w:divBdr>
            </w:div>
            <w:div w:id="1402826738">
              <w:marLeft w:val="0"/>
              <w:marRight w:val="0"/>
              <w:marTop w:val="0"/>
              <w:marBottom w:val="0"/>
              <w:divBdr>
                <w:top w:val="none" w:sz="0" w:space="0" w:color="auto"/>
                <w:left w:val="none" w:sz="0" w:space="0" w:color="auto"/>
                <w:bottom w:val="none" w:sz="0" w:space="0" w:color="auto"/>
                <w:right w:val="none" w:sz="0" w:space="0" w:color="auto"/>
              </w:divBdr>
            </w:div>
            <w:div w:id="1287808156">
              <w:marLeft w:val="0"/>
              <w:marRight w:val="0"/>
              <w:marTop w:val="0"/>
              <w:marBottom w:val="0"/>
              <w:divBdr>
                <w:top w:val="none" w:sz="0" w:space="0" w:color="auto"/>
                <w:left w:val="none" w:sz="0" w:space="0" w:color="auto"/>
                <w:bottom w:val="none" w:sz="0" w:space="0" w:color="auto"/>
                <w:right w:val="none" w:sz="0" w:space="0" w:color="auto"/>
              </w:divBdr>
            </w:div>
            <w:div w:id="1284774815">
              <w:marLeft w:val="0"/>
              <w:marRight w:val="0"/>
              <w:marTop w:val="0"/>
              <w:marBottom w:val="0"/>
              <w:divBdr>
                <w:top w:val="none" w:sz="0" w:space="0" w:color="auto"/>
                <w:left w:val="none" w:sz="0" w:space="0" w:color="auto"/>
                <w:bottom w:val="none" w:sz="0" w:space="0" w:color="auto"/>
                <w:right w:val="none" w:sz="0" w:space="0" w:color="auto"/>
              </w:divBdr>
            </w:div>
            <w:div w:id="1164666632">
              <w:marLeft w:val="0"/>
              <w:marRight w:val="0"/>
              <w:marTop w:val="0"/>
              <w:marBottom w:val="0"/>
              <w:divBdr>
                <w:top w:val="none" w:sz="0" w:space="0" w:color="auto"/>
                <w:left w:val="none" w:sz="0" w:space="0" w:color="auto"/>
                <w:bottom w:val="none" w:sz="0" w:space="0" w:color="auto"/>
                <w:right w:val="none" w:sz="0" w:space="0" w:color="auto"/>
              </w:divBdr>
            </w:div>
            <w:div w:id="1097479180">
              <w:marLeft w:val="0"/>
              <w:marRight w:val="0"/>
              <w:marTop w:val="0"/>
              <w:marBottom w:val="0"/>
              <w:divBdr>
                <w:top w:val="none" w:sz="0" w:space="0" w:color="auto"/>
                <w:left w:val="none" w:sz="0" w:space="0" w:color="auto"/>
                <w:bottom w:val="none" w:sz="0" w:space="0" w:color="auto"/>
                <w:right w:val="none" w:sz="0" w:space="0" w:color="auto"/>
              </w:divBdr>
            </w:div>
            <w:div w:id="1143695791">
              <w:marLeft w:val="0"/>
              <w:marRight w:val="0"/>
              <w:marTop w:val="0"/>
              <w:marBottom w:val="0"/>
              <w:divBdr>
                <w:top w:val="none" w:sz="0" w:space="0" w:color="auto"/>
                <w:left w:val="none" w:sz="0" w:space="0" w:color="auto"/>
                <w:bottom w:val="none" w:sz="0" w:space="0" w:color="auto"/>
                <w:right w:val="none" w:sz="0" w:space="0" w:color="auto"/>
              </w:divBdr>
            </w:div>
            <w:div w:id="303656740">
              <w:marLeft w:val="0"/>
              <w:marRight w:val="0"/>
              <w:marTop w:val="0"/>
              <w:marBottom w:val="0"/>
              <w:divBdr>
                <w:top w:val="none" w:sz="0" w:space="0" w:color="auto"/>
                <w:left w:val="none" w:sz="0" w:space="0" w:color="auto"/>
                <w:bottom w:val="none" w:sz="0" w:space="0" w:color="auto"/>
                <w:right w:val="none" w:sz="0" w:space="0" w:color="auto"/>
              </w:divBdr>
            </w:div>
            <w:div w:id="1640450793">
              <w:marLeft w:val="0"/>
              <w:marRight w:val="0"/>
              <w:marTop w:val="0"/>
              <w:marBottom w:val="0"/>
              <w:divBdr>
                <w:top w:val="none" w:sz="0" w:space="0" w:color="auto"/>
                <w:left w:val="none" w:sz="0" w:space="0" w:color="auto"/>
                <w:bottom w:val="none" w:sz="0" w:space="0" w:color="auto"/>
                <w:right w:val="none" w:sz="0" w:space="0" w:color="auto"/>
              </w:divBdr>
            </w:div>
            <w:div w:id="1765569623">
              <w:marLeft w:val="0"/>
              <w:marRight w:val="0"/>
              <w:marTop w:val="0"/>
              <w:marBottom w:val="0"/>
              <w:divBdr>
                <w:top w:val="none" w:sz="0" w:space="0" w:color="auto"/>
                <w:left w:val="none" w:sz="0" w:space="0" w:color="auto"/>
                <w:bottom w:val="none" w:sz="0" w:space="0" w:color="auto"/>
                <w:right w:val="none" w:sz="0" w:space="0" w:color="auto"/>
              </w:divBdr>
            </w:div>
            <w:div w:id="1376001399">
              <w:marLeft w:val="0"/>
              <w:marRight w:val="0"/>
              <w:marTop w:val="0"/>
              <w:marBottom w:val="0"/>
              <w:divBdr>
                <w:top w:val="none" w:sz="0" w:space="0" w:color="auto"/>
                <w:left w:val="none" w:sz="0" w:space="0" w:color="auto"/>
                <w:bottom w:val="none" w:sz="0" w:space="0" w:color="auto"/>
                <w:right w:val="none" w:sz="0" w:space="0" w:color="auto"/>
              </w:divBdr>
            </w:div>
            <w:div w:id="1783838044">
              <w:marLeft w:val="0"/>
              <w:marRight w:val="0"/>
              <w:marTop w:val="0"/>
              <w:marBottom w:val="0"/>
              <w:divBdr>
                <w:top w:val="none" w:sz="0" w:space="0" w:color="auto"/>
                <w:left w:val="none" w:sz="0" w:space="0" w:color="auto"/>
                <w:bottom w:val="none" w:sz="0" w:space="0" w:color="auto"/>
                <w:right w:val="none" w:sz="0" w:space="0" w:color="auto"/>
              </w:divBdr>
            </w:div>
            <w:div w:id="800653556">
              <w:marLeft w:val="0"/>
              <w:marRight w:val="0"/>
              <w:marTop w:val="0"/>
              <w:marBottom w:val="0"/>
              <w:divBdr>
                <w:top w:val="none" w:sz="0" w:space="0" w:color="auto"/>
                <w:left w:val="none" w:sz="0" w:space="0" w:color="auto"/>
                <w:bottom w:val="none" w:sz="0" w:space="0" w:color="auto"/>
                <w:right w:val="none" w:sz="0" w:space="0" w:color="auto"/>
              </w:divBdr>
            </w:div>
            <w:div w:id="617223200">
              <w:marLeft w:val="0"/>
              <w:marRight w:val="0"/>
              <w:marTop w:val="0"/>
              <w:marBottom w:val="0"/>
              <w:divBdr>
                <w:top w:val="none" w:sz="0" w:space="0" w:color="auto"/>
                <w:left w:val="none" w:sz="0" w:space="0" w:color="auto"/>
                <w:bottom w:val="none" w:sz="0" w:space="0" w:color="auto"/>
                <w:right w:val="none" w:sz="0" w:space="0" w:color="auto"/>
              </w:divBdr>
            </w:div>
            <w:div w:id="809784558">
              <w:marLeft w:val="0"/>
              <w:marRight w:val="0"/>
              <w:marTop w:val="0"/>
              <w:marBottom w:val="0"/>
              <w:divBdr>
                <w:top w:val="none" w:sz="0" w:space="0" w:color="auto"/>
                <w:left w:val="none" w:sz="0" w:space="0" w:color="auto"/>
                <w:bottom w:val="none" w:sz="0" w:space="0" w:color="auto"/>
                <w:right w:val="none" w:sz="0" w:space="0" w:color="auto"/>
              </w:divBdr>
            </w:div>
            <w:div w:id="1084259555">
              <w:marLeft w:val="0"/>
              <w:marRight w:val="0"/>
              <w:marTop w:val="0"/>
              <w:marBottom w:val="0"/>
              <w:divBdr>
                <w:top w:val="none" w:sz="0" w:space="0" w:color="auto"/>
                <w:left w:val="none" w:sz="0" w:space="0" w:color="auto"/>
                <w:bottom w:val="none" w:sz="0" w:space="0" w:color="auto"/>
                <w:right w:val="none" w:sz="0" w:space="0" w:color="auto"/>
              </w:divBdr>
            </w:div>
            <w:div w:id="1311061133">
              <w:marLeft w:val="0"/>
              <w:marRight w:val="0"/>
              <w:marTop w:val="0"/>
              <w:marBottom w:val="0"/>
              <w:divBdr>
                <w:top w:val="none" w:sz="0" w:space="0" w:color="auto"/>
                <w:left w:val="none" w:sz="0" w:space="0" w:color="auto"/>
                <w:bottom w:val="none" w:sz="0" w:space="0" w:color="auto"/>
                <w:right w:val="none" w:sz="0" w:space="0" w:color="auto"/>
              </w:divBdr>
            </w:div>
            <w:div w:id="633145657">
              <w:marLeft w:val="0"/>
              <w:marRight w:val="0"/>
              <w:marTop w:val="0"/>
              <w:marBottom w:val="0"/>
              <w:divBdr>
                <w:top w:val="none" w:sz="0" w:space="0" w:color="auto"/>
                <w:left w:val="none" w:sz="0" w:space="0" w:color="auto"/>
                <w:bottom w:val="none" w:sz="0" w:space="0" w:color="auto"/>
                <w:right w:val="none" w:sz="0" w:space="0" w:color="auto"/>
              </w:divBdr>
            </w:div>
            <w:div w:id="1249078030">
              <w:marLeft w:val="0"/>
              <w:marRight w:val="0"/>
              <w:marTop w:val="0"/>
              <w:marBottom w:val="0"/>
              <w:divBdr>
                <w:top w:val="none" w:sz="0" w:space="0" w:color="auto"/>
                <w:left w:val="none" w:sz="0" w:space="0" w:color="auto"/>
                <w:bottom w:val="none" w:sz="0" w:space="0" w:color="auto"/>
                <w:right w:val="none" w:sz="0" w:space="0" w:color="auto"/>
              </w:divBdr>
            </w:div>
            <w:div w:id="279460278">
              <w:marLeft w:val="0"/>
              <w:marRight w:val="0"/>
              <w:marTop w:val="0"/>
              <w:marBottom w:val="0"/>
              <w:divBdr>
                <w:top w:val="none" w:sz="0" w:space="0" w:color="auto"/>
                <w:left w:val="none" w:sz="0" w:space="0" w:color="auto"/>
                <w:bottom w:val="none" w:sz="0" w:space="0" w:color="auto"/>
                <w:right w:val="none" w:sz="0" w:space="0" w:color="auto"/>
              </w:divBdr>
            </w:div>
            <w:div w:id="199782599">
              <w:marLeft w:val="0"/>
              <w:marRight w:val="0"/>
              <w:marTop w:val="0"/>
              <w:marBottom w:val="0"/>
              <w:divBdr>
                <w:top w:val="none" w:sz="0" w:space="0" w:color="auto"/>
                <w:left w:val="none" w:sz="0" w:space="0" w:color="auto"/>
                <w:bottom w:val="none" w:sz="0" w:space="0" w:color="auto"/>
                <w:right w:val="none" w:sz="0" w:space="0" w:color="auto"/>
              </w:divBdr>
            </w:div>
            <w:div w:id="555163467">
              <w:marLeft w:val="0"/>
              <w:marRight w:val="0"/>
              <w:marTop w:val="0"/>
              <w:marBottom w:val="0"/>
              <w:divBdr>
                <w:top w:val="none" w:sz="0" w:space="0" w:color="auto"/>
                <w:left w:val="none" w:sz="0" w:space="0" w:color="auto"/>
                <w:bottom w:val="none" w:sz="0" w:space="0" w:color="auto"/>
                <w:right w:val="none" w:sz="0" w:space="0" w:color="auto"/>
              </w:divBdr>
            </w:div>
            <w:div w:id="19480359">
              <w:marLeft w:val="0"/>
              <w:marRight w:val="0"/>
              <w:marTop w:val="0"/>
              <w:marBottom w:val="0"/>
              <w:divBdr>
                <w:top w:val="none" w:sz="0" w:space="0" w:color="auto"/>
                <w:left w:val="none" w:sz="0" w:space="0" w:color="auto"/>
                <w:bottom w:val="none" w:sz="0" w:space="0" w:color="auto"/>
                <w:right w:val="none" w:sz="0" w:space="0" w:color="auto"/>
              </w:divBdr>
            </w:div>
            <w:div w:id="1661079191">
              <w:marLeft w:val="0"/>
              <w:marRight w:val="0"/>
              <w:marTop w:val="0"/>
              <w:marBottom w:val="0"/>
              <w:divBdr>
                <w:top w:val="none" w:sz="0" w:space="0" w:color="auto"/>
                <w:left w:val="none" w:sz="0" w:space="0" w:color="auto"/>
                <w:bottom w:val="none" w:sz="0" w:space="0" w:color="auto"/>
                <w:right w:val="none" w:sz="0" w:space="0" w:color="auto"/>
              </w:divBdr>
            </w:div>
            <w:div w:id="1356687877">
              <w:marLeft w:val="0"/>
              <w:marRight w:val="0"/>
              <w:marTop w:val="0"/>
              <w:marBottom w:val="0"/>
              <w:divBdr>
                <w:top w:val="none" w:sz="0" w:space="0" w:color="auto"/>
                <w:left w:val="none" w:sz="0" w:space="0" w:color="auto"/>
                <w:bottom w:val="none" w:sz="0" w:space="0" w:color="auto"/>
                <w:right w:val="none" w:sz="0" w:space="0" w:color="auto"/>
              </w:divBdr>
            </w:div>
            <w:div w:id="1868909142">
              <w:marLeft w:val="0"/>
              <w:marRight w:val="0"/>
              <w:marTop w:val="0"/>
              <w:marBottom w:val="0"/>
              <w:divBdr>
                <w:top w:val="none" w:sz="0" w:space="0" w:color="auto"/>
                <w:left w:val="none" w:sz="0" w:space="0" w:color="auto"/>
                <w:bottom w:val="none" w:sz="0" w:space="0" w:color="auto"/>
                <w:right w:val="none" w:sz="0" w:space="0" w:color="auto"/>
              </w:divBdr>
            </w:div>
            <w:div w:id="1535583108">
              <w:marLeft w:val="0"/>
              <w:marRight w:val="0"/>
              <w:marTop w:val="0"/>
              <w:marBottom w:val="0"/>
              <w:divBdr>
                <w:top w:val="none" w:sz="0" w:space="0" w:color="auto"/>
                <w:left w:val="none" w:sz="0" w:space="0" w:color="auto"/>
                <w:bottom w:val="none" w:sz="0" w:space="0" w:color="auto"/>
                <w:right w:val="none" w:sz="0" w:space="0" w:color="auto"/>
              </w:divBdr>
            </w:div>
            <w:div w:id="126555134">
              <w:marLeft w:val="0"/>
              <w:marRight w:val="0"/>
              <w:marTop w:val="0"/>
              <w:marBottom w:val="0"/>
              <w:divBdr>
                <w:top w:val="none" w:sz="0" w:space="0" w:color="auto"/>
                <w:left w:val="none" w:sz="0" w:space="0" w:color="auto"/>
                <w:bottom w:val="none" w:sz="0" w:space="0" w:color="auto"/>
                <w:right w:val="none" w:sz="0" w:space="0" w:color="auto"/>
              </w:divBdr>
            </w:div>
            <w:div w:id="1986348635">
              <w:marLeft w:val="0"/>
              <w:marRight w:val="0"/>
              <w:marTop w:val="0"/>
              <w:marBottom w:val="0"/>
              <w:divBdr>
                <w:top w:val="none" w:sz="0" w:space="0" w:color="auto"/>
                <w:left w:val="none" w:sz="0" w:space="0" w:color="auto"/>
                <w:bottom w:val="none" w:sz="0" w:space="0" w:color="auto"/>
                <w:right w:val="none" w:sz="0" w:space="0" w:color="auto"/>
              </w:divBdr>
            </w:div>
            <w:div w:id="780029831">
              <w:marLeft w:val="0"/>
              <w:marRight w:val="0"/>
              <w:marTop w:val="0"/>
              <w:marBottom w:val="0"/>
              <w:divBdr>
                <w:top w:val="none" w:sz="0" w:space="0" w:color="auto"/>
                <w:left w:val="none" w:sz="0" w:space="0" w:color="auto"/>
                <w:bottom w:val="none" w:sz="0" w:space="0" w:color="auto"/>
                <w:right w:val="none" w:sz="0" w:space="0" w:color="auto"/>
              </w:divBdr>
            </w:div>
            <w:div w:id="451365514">
              <w:marLeft w:val="0"/>
              <w:marRight w:val="0"/>
              <w:marTop w:val="0"/>
              <w:marBottom w:val="0"/>
              <w:divBdr>
                <w:top w:val="none" w:sz="0" w:space="0" w:color="auto"/>
                <w:left w:val="none" w:sz="0" w:space="0" w:color="auto"/>
                <w:bottom w:val="none" w:sz="0" w:space="0" w:color="auto"/>
                <w:right w:val="none" w:sz="0" w:space="0" w:color="auto"/>
              </w:divBdr>
            </w:div>
            <w:div w:id="808018087">
              <w:marLeft w:val="0"/>
              <w:marRight w:val="0"/>
              <w:marTop w:val="0"/>
              <w:marBottom w:val="0"/>
              <w:divBdr>
                <w:top w:val="none" w:sz="0" w:space="0" w:color="auto"/>
                <w:left w:val="none" w:sz="0" w:space="0" w:color="auto"/>
                <w:bottom w:val="none" w:sz="0" w:space="0" w:color="auto"/>
                <w:right w:val="none" w:sz="0" w:space="0" w:color="auto"/>
              </w:divBdr>
            </w:div>
            <w:div w:id="31075997">
              <w:marLeft w:val="0"/>
              <w:marRight w:val="0"/>
              <w:marTop w:val="0"/>
              <w:marBottom w:val="0"/>
              <w:divBdr>
                <w:top w:val="none" w:sz="0" w:space="0" w:color="auto"/>
                <w:left w:val="none" w:sz="0" w:space="0" w:color="auto"/>
                <w:bottom w:val="none" w:sz="0" w:space="0" w:color="auto"/>
                <w:right w:val="none" w:sz="0" w:space="0" w:color="auto"/>
              </w:divBdr>
            </w:div>
            <w:div w:id="1263881528">
              <w:marLeft w:val="0"/>
              <w:marRight w:val="0"/>
              <w:marTop w:val="0"/>
              <w:marBottom w:val="0"/>
              <w:divBdr>
                <w:top w:val="none" w:sz="0" w:space="0" w:color="auto"/>
                <w:left w:val="none" w:sz="0" w:space="0" w:color="auto"/>
                <w:bottom w:val="none" w:sz="0" w:space="0" w:color="auto"/>
                <w:right w:val="none" w:sz="0" w:space="0" w:color="auto"/>
              </w:divBdr>
            </w:div>
            <w:div w:id="1784885447">
              <w:marLeft w:val="0"/>
              <w:marRight w:val="0"/>
              <w:marTop w:val="0"/>
              <w:marBottom w:val="0"/>
              <w:divBdr>
                <w:top w:val="none" w:sz="0" w:space="0" w:color="auto"/>
                <w:left w:val="none" w:sz="0" w:space="0" w:color="auto"/>
                <w:bottom w:val="none" w:sz="0" w:space="0" w:color="auto"/>
                <w:right w:val="none" w:sz="0" w:space="0" w:color="auto"/>
              </w:divBdr>
            </w:div>
            <w:div w:id="1648590801">
              <w:marLeft w:val="0"/>
              <w:marRight w:val="0"/>
              <w:marTop w:val="0"/>
              <w:marBottom w:val="0"/>
              <w:divBdr>
                <w:top w:val="none" w:sz="0" w:space="0" w:color="auto"/>
                <w:left w:val="none" w:sz="0" w:space="0" w:color="auto"/>
                <w:bottom w:val="none" w:sz="0" w:space="0" w:color="auto"/>
                <w:right w:val="none" w:sz="0" w:space="0" w:color="auto"/>
              </w:divBdr>
            </w:div>
            <w:div w:id="468286076">
              <w:marLeft w:val="0"/>
              <w:marRight w:val="0"/>
              <w:marTop w:val="0"/>
              <w:marBottom w:val="0"/>
              <w:divBdr>
                <w:top w:val="none" w:sz="0" w:space="0" w:color="auto"/>
                <w:left w:val="none" w:sz="0" w:space="0" w:color="auto"/>
                <w:bottom w:val="none" w:sz="0" w:space="0" w:color="auto"/>
                <w:right w:val="none" w:sz="0" w:space="0" w:color="auto"/>
              </w:divBdr>
            </w:div>
            <w:div w:id="274598035">
              <w:marLeft w:val="0"/>
              <w:marRight w:val="0"/>
              <w:marTop w:val="0"/>
              <w:marBottom w:val="0"/>
              <w:divBdr>
                <w:top w:val="none" w:sz="0" w:space="0" w:color="auto"/>
                <w:left w:val="none" w:sz="0" w:space="0" w:color="auto"/>
                <w:bottom w:val="none" w:sz="0" w:space="0" w:color="auto"/>
                <w:right w:val="none" w:sz="0" w:space="0" w:color="auto"/>
              </w:divBdr>
            </w:div>
            <w:div w:id="1901818849">
              <w:marLeft w:val="0"/>
              <w:marRight w:val="0"/>
              <w:marTop w:val="0"/>
              <w:marBottom w:val="0"/>
              <w:divBdr>
                <w:top w:val="none" w:sz="0" w:space="0" w:color="auto"/>
                <w:left w:val="none" w:sz="0" w:space="0" w:color="auto"/>
                <w:bottom w:val="none" w:sz="0" w:space="0" w:color="auto"/>
                <w:right w:val="none" w:sz="0" w:space="0" w:color="auto"/>
              </w:divBdr>
            </w:div>
            <w:div w:id="383481197">
              <w:marLeft w:val="0"/>
              <w:marRight w:val="0"/>
              <w:marTop w:val="0"/>
              <w:marBottom w:val="0"/>
              <w:divBdr>
                <w:top w:val="none" w:sz="0" w:space="0" w:color="auto"/>
                <w:left w:val="none" w:sz="0" w:space="0" w:color="auto"/>
                <w:bottom w:val="none" w:sz="0" w:space="0" w:color="auto"/>
                <w:right w:val="none" w:sz="0" w:space="0" w:color="auto"/>
              </w:divBdr>
            </w:div>
            <w:div w:id="144670469">
              <w:marLeft w:val="0"/>
              <w:marRight w:val="0"/>
              <w:marTop w:val="0"/>
              <w:marBottom w:val="0"/>
              <w:divBdr>
                <w:top w:val="none" w:sz="0" w:space="0" w:color="auto"/>
                <w:left w:val="none" w:sz="0" w:space="0" w:color="auto"/>
                <w:bottom w:val="none" w:sz="0" w:space="0" w:color="auto"/>
                <w:right w:val="none" w:sz="0" w:space="0" w:color="auto"/>
              </w:divBdr>
            </w:div>
            <w:div w:id="350643766">
              <w:marLeft w:val="0"/>
              <w:marRight w:val="0"/>
              <w:marTop w:val="0"/>
              <w:marBottom w:val="0"/>
              <w:divBdr>
                <w:top w:val="none" w:sz="0" w:space="0" w:color="auto"/>
                <w:left w:val="none" w:sz="0" w:space="0" w:color="auto"/>
                <w:bottom w:val="none" w:sz="0" w:space="0" w:color="auto"/>
                <w:right w:val="none" w:sz="0" w:space="0" w:color="auto"/>
              </w:divBdr>
            </w:div>
            <w:div w:id="1450395133">
              <w:marLeft w:val="0"/>
              <w:marRight w:val="0"/>
              <w:marTop w:val="0"/>
              <w:marBottom w:val="0"/>
              <w:divBdr>
                <w:top w:val="none" w:sz="0" w:space="0" w:color="auto"/>
                <w:left w:val="none" w:sz="0" w:space="0" w:color="auto"/>
                <w:bottom w:val="none" w:sz="0" w:space="0" w:color="auto"/>
                <w:right w:val="none" w:sz="0" w:space="0" w:color="auto"/>
              </w:divBdr>
            </w:div>
            <w:div w:id="288752428">
              <w:marLeft w:val="0"/>
              <w:marRight w:val="0"/>
              <w:marTop w:val="0"/>
              <w:marBottom w:val="0"/>
              <w:divBdr>
                <w:top w:val="none" w:sz="0" w:space="0" w:color="auto"/>
                <w:left w:val="none" w:sz="0" w:space="0" w:color="auto"/>
                <w:bottom w:val="none" w:sz="0" w:space="0" w:color="auto"/>
                <w:right w:val="none" w:sz="0" w:space="0" w:color="auto"/>
              </w:divBdr>
            </w:div>
            <w:div w:id="727803546">
              <w:marLeft w:val="0"/>
              <w:marRight w:val="0"/>
              <w:marTop w:val="0"/>
              <w:marBottom w:val="0"/>
              <w:divBdr>
                <w:top w:val="none" w:sz="0" w:space="0" w:color="auto"/>
                <w:left w:val="none" w:sz="0" w:space="0" w:color="auto"/>
                <w:bottom w:val="none" w:sz="0" w:space="0" w:color="auto"/>
                <w:right w:val="none" w:sz="0" w:space="0" w:color="auto"/>
              </w:divBdr>
            </w:div>
            <w:div w:id="1512573596">
              <w:marLeft w:val="0"/>
              <w:marRight w:val="0"/>
              <w:marTop w:val="0"/>
              <w:marBottom w:val="0"/>
              <w:divBdr>
                <w:top w:val="none" w:sz="0" w:space="0" w:color="auto"/>
                <w:left w:val="none" w:sz="0" w:space="0" w:color="auto"/>
                <w:bottom w:val="none" w:sz="0" w:space="0" w:color="auto"/>
                <w:right w:val="none" w:sz="0" w:space="0" w:color="auto"/>
              </w:divBdr>
            </w:div>
            <w:div w:id="319887636">
              <w:marLeft w:val="0"/>
              <w:marRight w:val="0"/>
              <w:marTop w:val="0"/>
              <w:marBottom w:val="0"/>
              <w:divBdr>
                <w:top w:val="none" w:sz="0" w:space="0" w:color="auto"/>
                <w:left w:val="none" w:sz="0" w:space="0" w:color="auto"/>
                <w:bottom w:val="none" w:sz="0" w:space="0" w:color="auto"/>
                <w:right w:val="none" w:sz="0" w:space="0" w:color="auto"/>
              </w:divBdr>
            </w:div>
            <w:div w:id="722947459">
              <w:marLeft w:val="0"/>
              <w:marRight w:val="0"/>
              <w:marTop w:val="0"/>
              <w:marBottom w:val="0"/>
              <w:divBdr>
                <w:top w:val="none" w:sz="0" w:space="0" w:color="auto"/>
                <w:left w:val="none" w:sz="0" w:space="0" w:color="auto"/>
                <w:bottom w:val="none" w:sz="0" w:space="0" w:color="auto"/>
                <w:right w:val="none" w:sz="0" w:space="0" w:color="auto"/>
              </w:divBdr>
            </w:div>
            <w:div w:id="674921387">
              <w:marLeft w:val="0"/>
              <w:marRight w:val="0"/>
              <w:marTop w:val="0"/>
              <w:marBottom w:val="0"/>
              <w:divBdr>
                <w:top w:val="none" w:sz="0" w:space="0" w:color="auto"/>
                <w:left w:val="none" w:sz="0" w:space="0" w:color="auto"/>
                <w:bottom w:val="none" w:sz="0" w:space="0" w:color="auto"/>
                <w:right w:val="none" w:sz="0" w:space="0" w:color="auto"/>
              </w:divBdr>
            </w:div>
            <w:div w:id="53049592">
              <w:marLeft w:val="0"/>
              <w:marRight w:val="0"/>
              <w:marTop w:val="0"/>
              <w:marBottom w:val="0"/>
              <w:divBdr>
                <w:top w:val="none" w:sz="0" w:space="0" w:color="auto"/>
                <w:left w:val="none" w:sz="0" w:space="0" w:color="auto"/>
                <w:bottom w:val="none" w:sz="0" w:space="0" w:color="auto"/>
                <w:right w:val="none" w:sz="0" w:space="0" w:color="auto"/>
              </w:divBdr>
            </w:div>
            <w:div w:id="1813866981">
              <w:marLeft w:val="0"/>
              <w:marRight w:val="0"/>
              <w:marTop w:val="0"/>
              <w:marBottom w:val="0"/>
              <w:divBdr>
                <w:top w:val="none" w:sz="0" w:space="0" w:color="auto"/>
                <w:left w:val="none" w:sz="0" w:space="0" w:color="auto"/>
                <w:bottom w:val="none" w:sz="0" w:space="0" w:color="auto"/>
                <w:right w:val="none" w:sz="0" w:space="0" w:color="auto"/>
              </w:divBdr>
            </w:div>
            <w:div w:id="733699160">
              <w:marLeft w:val="0"/>
              <w:marRight w:val="0"/>
              <w:marTop w:val="0"/>
              <w:marBottom w:val="0"/>
              <w:divBdr>
                <w:top w:val="none" w:sz="0" w:space="0" w:color="auto"/>
                <w:left w:val="none" w:sz="0" w:space="0" w:color="auto"/>
                <w:bottom w:val="none" w:sz="0" w:space="0" w:color="auto"/>
                <w:right w:val="none" w:sz="0" w:space="0" w:color="auto"/>
              </w:divBdr>
            </w:div>
            <w:div w:id="995572890">
              <w:marLeft w:val="0"/>
              <w:marRight w:val="0"/>
              <w:marTop w:val="0"/>
              <w:marBottom w:val="0"/>
              <w:divBdr>
                <w:top w:val="none" w:sz="0" w:space="0" w:color="auto"/>
                <w:left w:val="none" w:sz="0" w:space="0" w:color="auto"/>
                <w:bottom w:val="none" w:sz="0" w:space="0" w:color="auto"/>
                <w:right w:val="none" w:sz="0" w:space="0" w:color="auto"/>
              </w:divBdr>
            </w:div>
            <w:div w:id="121922144">
              <w:marLeft w:val="0"/>
              <w:marRight w:val="0"/>
              <w:marTop w:val="0"/>
              <w:marBottom w:val="0"/>
              <w:divBdr>
                <w:top w:val="none" w:sz="0" w:space="0" w:color="auto"/>
                <w:left w:val="none" w:sz="0" w:space="0" w:color="auto"/>
                <w:bottom w:val="none" w:sz="0" w:space="0" w:color="auto"/>
                <w:right w:val="none" w:sz="0" w:space="0" w:color="auto"/>
              </w:divBdr>
            </w:div>
            <w:div w:id="394162579">
              <w:marLeft w:val="0"/>
              <w:marRight w:val="0"/>
              <w:marTop w:val="0"/>
              <w:marBottom w:val="0"/>
              <w:divBdr>
                <w:top w:val="none" w:sz="0" w:space="0" w:color="auto"/>
                <w:left w:val="none" w:sz="0" w:space="0" w:color="auto"/>
                <w:bottom w:val="none" w:sz="0" w:space="0" w:color="auto"/>
                <w:right w:val="none" w:sz="0" w:space="0" w:color="auto"/>
              </w:divBdr>
            </w:div>
            <w:div w:id="821770211">
              <w:marLeft w:val="0"/>
              <w:marRight w:val="0"/>
              <w:marTop w:val="0"/>
              <w:marBottom w:val="0"/>
              <w:divBdr>
                <w:top w:val="none" w:sz="0" w:space="0" w:color="auto"/>
                <w:left w:val="none" w:sz="0" w:space="0" w:color="auto"/>
                <w:bottom w:val="none" w:sz="0" w:space="0" w:color="auto"/>
                <w:right w:val="none" w:sz="0" w:space="0" w:color="auto"/>
              </w:divBdr>
            </w:div>
            <w:div w:id="312829156">
              <w:marLeft w:val="0"/>
              <w:marRight w:val="0"/>
              <w:marTop w:val="0"/>
              <w:marBottom w:val="0"/>
              <w:divBdr>
                <w:top w:val="none" w:sz="0" w:space="0" w:color="auto"/>
                <w:left w:val="none" w:sz="0" w:space="0" w:color="auto"/>
                <w:bottom w:val="none" w:sz="0" w:space="0" w:color="auto"/>
                <w:right w:val="none" w:sz="0" w:space="0" w:color="auto"/>
              </w:divBdr>
            </w:div>
            <w:div w:id="500438635">
              <w:marLeft w:val="0"/>
              <w:marRight w:val="0"/>
              <w:marTop w:val="0"/>
              <w:marBottom w:val="0"/>
              <w:divBdr>
                <w:top w:val="none" w:sz="0" w:space="0" w:color="auto"/>
                <w:left w:val="none" w:sz="0" w:space="0" w:color="auto"/>
                <w:bottom w:val="none" w:sz="0" w:space="0" w:color="auto"/>
                <w:right w:val="none" w:sz="0" w:space="0" w:color="auto"/>
              </w:divBdr>
            </w:div>
            <w:div w:id="64693892">
              <w:marLeft w:val="0"/>
              <w:marRight w:val="0"/>
              <w:marTop w:val="0"/>
              <w:marBottom w:val="0"/>
              <w:divBdr>
                <w:top w:val="none" w:sz="0" w:space="0" w:color="auto"/>
                <w:left w:val="none" w:sz="0" w:space="0" w:color="auto"/>
                <w:bottom w:val="none" w:sz="0" w:space="0" w:color="auto"/>
                <w:right w:val="none" w:sz="0" w:space="0" w:color="auto"/>
              </w:divBdr>
            </w:div>
            <w:div w:id="438183122">
              <w:marLeft w:val="0"/>
              <w:marRight w:val="0"/>
              <w:marTop w:val="0"/>
              <w:marBottom w:val="0"/>
              <w:divBdr>
                <w:top w:val="none" w:sz="0" w:space="0" w:color="auto"/>
                <w:left w:val="none" w:sz="0" w:space="0" w:color="auto"/>
                <w:bottom w:val="none" w:sz="0" w:space="0" w:color="auto"/>
                <w:right w:val="none" w:sz="0" w:space="0" w:color="auto"/>
              </w:divBdr>
            </w:div>
            <w:div w:id="805050963">
              <w:marLeft w:val="0"/>
              <w:marRight w:val="0"/>
              <w:marTop w:val="0"/>
              <w:marBottom w:val="0"/>
              <w:divBdr>
                <w:top w:val="none" w:sz="0" w:space="0" w:color="auto"/>
                <w:left w:val="none" w:sz="0" w:space="0" w:color="auto"/>
                <w:bottom w:val="none" w:sz="0" w:space="0" w:color="auto"/>
                <w:right w:val="none" w:sz="0" w:space="0" w:color="auto"/>
              </w:divBdr>
            </w:div>
            <w:div w:id="2118478701">
              <w:marLeft w:val="0"/>
              <w:marRight w:val="0"/>
              <w:marTop w:val="0"/>
              <w:marBottom w:val="0"/>
              <w:divBdr>
                <w:top w:val="none" w:sz="0" w:space="0" w:color="auto"/>
                <w:left w:val="none" w:sz="0" w:space="0" w:color="auto"/>
                <w:bottom w:val="none" w:sz="0" w:space="0" w:color="auto"/>
                <w:right w:val="none" w:sz="0" w:space="0" w:color="auto"/>
              </w:divBdr>
            </w:div>
            <w:div w:id="1807772653">
              <w:marLeft w:val="0"/>
              <w:marRight w:val="0"/>
              <w:marTop w:val="0"/>
              <w:marBottom w:val="0"/>
              <w:divBdr>
                <w:top w:val="none" w:sz="0" w:space="0" w:color="auto"/>
                <w:left w:val="none" w:sz="0" w:space="0" w:color="auto"/>
                <w:bottom w:val="none" w:sz="0" w:space="0" w:color="auto"/>
                <w:right w:val="none" w:sz="0" w:space="0" w:color="auto"/>
              </w:divBdr>
            </w:div>
            <w:div w:id="12460940">
              <w:marLeft w:val="0"/>
              <w:marRight w:val="0"/>
              <w:marTop w:val="0"/>
              <w:marBottom w:val="0"/>
              <w:divBdr>
                <w:top w:val="none" w:sz="0" w:space="0" w:color="auto"/>
                <w:left w:val="none" w:sz="0" w:space="0" w:color="auto"/>
                <w:bottom w:val="none" w:sz="0" w:space="0" w:color="auto"/>
                <w:right w:val="none" w:sz="0" w:space="0" w:color="auto"/>
              </w:divBdr>
            </w:div>
            <w:div w:id="1358584802">
              <w:marLeft w:val="0"/>
              <w:marRight w:val="0"/>
              <w:marTop w:val="0"/>
              <w:marBottom w:val="0"/>
              <w:divBdr>
                <w:top w:val="none" w:sz="0" w:space="0" w:color="auto"/>
                <w:left w:val="none" w:sz="0" w:space="0" w:color="auto"/>
                <w:bottom w:val="none" w:sz="0" w:space="0" w:color="auto"/>
                <w:right w:val="none" w:sz="0" w:space="0" w:color="auto"/>
              </w:divBdr>
            </w:div>
            <w:div w:id="562564527">
              <w:marLeft w:val="0"/>
              <w:marRight w:val="0"/>
              <w:marTop w:val="0"/>
              <w:marBottom w:val="0"/>
              <w:divBdr>
                <w:top w:val="none" w:sz="0" w:space="0" w:color="auto"/>
                <w:left w:val="none" w:sz="0" w:space="0" w:color="auto"/>
                <w:bottom w:val="none" w:sz="0" w:space="0" w:color="auto"/>
                <w:right w:val="none" w:sz="0" w:space="0" w:color="auto"/>
              </w:divBdr>
            </w:div>
            <w:div w:id="2077556889">
              <w:marLeft w:val="0"/>
              <w:marRight w:val="0"/>
              <w:marTop w:val="0"/>
              <w:marBottom w:val="0"/>
              <w:divBdr>
                <w:top w:val="none" w:sz="0" w:space="0" w:color="auto"/>
                <w:left w:val="none" w:sz="0" w:space="0" w:color="auto"/>
                <w:bottom w:val="none" w:sz="0" w:space="0" w:color="auto"/>
                <w:right w:val="none" w:sz="0" w:space="0" w:color="auto"/>
              </w:divBdr>
            </w:div>
            <w:div w:id="1979918950">
              <w:marLeft w:val="0"/>
              <w:marRight w:val="0"/>
              <w:marTop w:val="0"/>
              <w:marBottom w:val="0"/>
              <w:divBdr>
                <w:top w:val="none" w:sz="0" w:space="0" w:color="auto"/>
                <w:left w:val="none" w:sz="0" w:space="0" w:color="auto"/>
                <w:bottom w:val="none" w:sz="0" w:space="0" w:color="auto"/>
                <w:right w:val="none" w:sz="0" w:space="0" w:color="auto"/>
              </w:divBdr>
            </w:div>
            <w:div w:id="402147000">
              <w:marLeft w:val="0"/>
              <w:marRight w:val="0"/>
              <w:marTop w:val="0"/>
              <w:marBottom w:val="0"/>
              <w:divBdr>
                <w:top w:val="none" w:sz="0" w:space="0" w:color="auto"/>
                <w:left w:val="none" w:sz="0" w:space="0" w:color="auto"/>
                <w:bottom w:val="none" w:sz="0" w:space="0" w:color="auto"/>
                <w:right w:val="none" w:sz="0" w:space="0" w:color="auto"/>
              </w:divBdr>
            </w:div>
            <w:div w:id="309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doi.org/10.1080/13803390490510680" TargetMode="External"/><Relationship Id="rId3182" Type="http://schemas.openxmlformats.org/officeDocument/2006/relationships/hyperlink" Target="https://doi.org/10.1080/21622965.2018.1509003" TargetMode="External"/><Relationship Id="rId4233" Type="http://schemas.openxmlformats.org/officeDocument/2006/relationships/hyperlink" Target="https://doi.org/10.1016/j.jad.2017.03.015" TargetMode="External"/><Relationship Id="rId3999" Type="http://schemas.openxmlformats.org/officeDocument/2006/relationships/hyperlink" Target="https://doi.org/10.1007/s10461-014-0851-7" TargetMode="External"/><Relationship Id="rId4300" Type="http://schemas.openxmlformats.org/officeDocument/2006/relationships/hyperlink" Target="https://doi.org/10.1016/j.ridd.2012.02.003" TargetMode="External"/><Relationship Id="rId170" Type="http://schemas.openxmlformats.org/officeDocument/2006/relationships/hyperlink" Target="https://doi.org/10.1016/j.pain.2003.12.015" TargetMode="External"/><Relationship Id="rId6058" Type="http://schemas.openxmlformats.org/officeDocument/2006/relationships/hyperlink" Target="https://doi.org/10.1017/S1355617706060486" TargetMode="External"/><Relationship Id="rId6472" Type="http://schemas.openxmlformats.org/officeDocument/2006/relationships/hyperlink" Target="https://doi.org/10.3109/02699206.2011.566464" TargetMode="External"/><Relationship Id="rId5074" Type="http://schemas.openxmlformats.org/officeDocument/2006/relationships/hyperlink" Target="https://doi.org/10.1016/j.schres.2012.11.026" TargetMode="External"/><Relationship Id="rId6125" Type="http://schemas.openxmlformats.org/officeDocument/2006/relationships/hyperlink" Target="https://doi.org/10.3922/j.psns.2009.2.011" TargetMode="External"/><Relationship Id="rId987" Type="http://schemas.openxmlformats.org/officeDocument/2006/relationships/hyperlink" Target="https://doi.org/10.1037/a0015225" TargetMode="External"/><Relationship Id="rId2668" Type="http://schemas.openxmlformats.org/officeDocument/2006/relationships/hyperlink" Target="https://doi.org/10.1016/S0022-3956(99)00034-5" TargetMode="External"/><Relationship Id="rId3719" Type="http://schemas.openxmlformats.org/officeDocument/2006/relationships/hyperlink" Target="https://doi.org/10.1016/j.jpsychires.2006.07.003" TargetMode="External"/><Relationship Id="rId4090" Type="http://schemas.openxmlformats.org/officeDocument/2006/relationships/hyperlink" Target="https://doi.org/10.1192/bjp.bp.106.029181" TargetMode="External"/><Relationship Id="rId1684" Type="http://schemas.openxmlformats.org/officeDocument/2006/relationships/hyperlink" Target="https://doi.org/10.1016/j.eurpsy.2014.07.005" TargetMode="External"/><Relationship Id="rId2735" Type="http://schemas.openxmlformats.org/officeDocument/2006/relationships/hyperlink" Target="https://doi.org/10.1111/sjop.12062" TargetMode="External"/><Relationship Id="rId5141" Type="http://schemas.openxmlformats.org/officeDocument/2006/relationships/hyperlink" Target="https://doi.org/10.1093/brain/awq153" TargetMode="External"/><Relationship Id="rId707" Type="http://schemas.openxmlformats.org/officeDocument/2006/relationships/hyperlink" Target="https://doi.org/10.1176/appi.neuropsych.11080201" TargetMode="External"/><Relationship Id="rId1337" Type="http://schemas.openxmlformats.org/officeDocument/2006/relationships/hyperlink" Target="https://doi.org/10.1590/0047-2085000000240" TargetMode="External"/><Relationship Id="rId1751" Type="http://schemas.openxmlformats.org/officeDocument/2006/relationships/hyperlink" Target="https://doi.org/10.1017/S1355617718000759" TargetMode="External"/><Relationship Id="rId2802" Type="http://schemas.openxmlformats.org/officeDocument/2006/relationships/hyperlink" Target="https://doi.org/10.1037/neu0000502" TargetMode="External"/><Relationship Id="rId5958" Type="http://schemas.openxmlformats.org/officeDocument/2006/relationships/hyperlink" Target="https://doi.org/10.1080/15374416.2012.660689" TargetMode="External"/><Relationship Id="rId43" Type="http://schemas.openxmlformats.org/officeDocument/2006/relationships/hyperlink" Target="https://doi.org/10.1097/WNN.0000000000000004" TargetMode="External"/><Relationship Id="rId1404" Type="http://schemas.openxmlformats.org/officeDocument/2006/relationships/hyperlink" Target="https://doi.org/10.1080/00332747.2019.1586503" TargetMode="External"/><Relationship Id="rId3576" Type="http://schemas.openxmlformats.org/officeDocument/2006/relationships/hyperlink" Target="https://doi.org/10.1016/j.neuropsychologia.2010.06.008" TargetMode="External"/><Relationship Id="rId4627" Type="http://schemas.openxmlformats.org/officeDocument/2006/relationships/hyperlink" Target="https://doi.org/10.1016/S0920-9964(02)00427-9" TargetMode="External"/><Relationship Id="rId4974" Type="http://schemas.openxmlformats.org/officeDocument/2006/relationships/hyperlink" Target="https://doi.org/10.1016/j.schres.2007.01.029" TargetMode="External"/><Relationship Id="rId497" Type="http://schemas.openxmlformats.org/officeDocument/2006/relationships/hyperlink" Target="https://doi.org/10.5604/01.3001.0010.2409" TargetMode="External"/><Relationship Id="rId2178" Type="http://schemas.openxmlformats.org/officeDocument/2006/relationships/hyperlink" Target="https://doi.org/10.1016/j.jpsychires.2011.07.012" TargetMode="External"/><Relationship Id="rId3229" Type="http://schemas.openxmlformats.org/officeDocument/2006/relationships/hyperlink" Target="https://doi.org/10.1016/S0920-9964(99)00232-7" TargetMode="External"/><Relationship Id="rId3990" Type="http://schemas.openxmlformats.org/officeDocument/2006/relationships/hyperlink" Target="https://doi.org/10.1002/da.22263" TargetMode="External"/><Relationship Id="rId1194" Type="http://schemas.openxmlformats.org/officeDocument/2006/relationships/hyperlink" Target="https://doi.org/10.1111/j.1468-1331.2008.02266.x" TargetMode="External"/><Relationship Id="rId2592" Type="http://schemas.openxmlformats.org/officeDocument/2006/relationships/hyperlink" Target="https://doi.org/10.1111/j.1600-0447.2004.00392.x" TargetMode="External"/><Relationship Id="rId3643" Type="http://schemas.openxmlformats.org/officeDocument/2006/relationships/hyperlink" Target="https://doi.org/10.1016/0925-4927(93)90029-H" TargetMode="External"/><Relationship Id="rId217" Type="http://schemas.openxmlformats.org/officeDocument/2006/relationships/hyperlink" Target="https://doi.org/10.1136/jnnp.65.2.155" TargetMode="External"/><Relationship Id="rId564" Type="http://schemas.openxmlformats.org/officeDocument/2006/relationships/hyperlink" Target="https://doi.org/10.1186/s40345-017-0107-3" TargetMode="External"/><Relationship Id="rId2245" Type="http://schemas.openxmlformats.org/officeDocument/2006/relationships/hyperlink" Target="https://doi.org/10.1080/13607863.2019.1584785" TargetMode="External"/><Relationship Id="rId3710" Type="http://schemas.openxmlformats.org/officeDocument/2006/relationships/hyperlink" Target="https://doi.org/10.1016/j.jpsychires.2017.07.026" TargetMode="External"/><Relationship Id="rId631" Type="http://schemas.openxmlformats.org/officeDocument/2006/relationships/hyperlink" Target="https://doi.org/10.1016/j.neuropsychologia.2010.05.023" TargetMode="External"/><Relationship Id="rId1261" Type="http://schemas.openxmlformats.org/officeDocument/2006/relationships/hyperlink" Target="https://doi.org/10.1017/CBO9781139016919.026" TargetMode="External"/><Relationship Id="rId2312" Type="http://schemas.openxmlformats.org/officeDocument/2006/relationships/hyperlink" Target="https://doi.org/10.1080/15374416.2015.1041592" TargetMode="External"/><Relationship Id="rId5468" Type="http://schemas.openxmlformats.org/officeDocument/2006/relationships/hyperlink" Target="https://doi.org/10.1076/neur.9.6.482.29376" TargetMode="External"/><Relationship Id="rId5882" Type="http://schemas.openxmlformats.org/officeDocument/2006/relationships/hyperlink" Target="https://doi.org/10.2174/156720511795745320" TargetMode="External"/><Relationship Id="rId6519" Type="http://schemas.openxmlformats.org/officeDocument/2006/relationships/hyperlink" Target="https://doi.org/10.1016/j.neuroimage.2014.06.033" TargetMode="External"/><Relationship Id="rId4484" Type="http://schemas.openxmlformats.org/officeDocument/2006/relationships/hyperlink" Target="https://doi.org/10.1017/S1355617707070786" TargetMode="External"/><Relationship Id="rId5535" Type="http://schemas.openxmlformats.org/officeDocument/2006/relationships/hyperlink" Target="https://doi.org/10.1016/j.neuropsychologia.2005.01.001" TargetMode="External"/><Relationship Id="rId3086" Type="http://schemas.openxmlformats.org/officeDocument/2006/relationships/hyperlink" Target="https://doi.org/10.1016/j.schres.2016.11.038" TargetMode="External"/><Relationship Id="rId4137" Type="http://schemas.openxmlformats.org/officeDocument/2006/relationships/hyperlink" Target="https://doi.org/10.1093/med/9780199731855.003.0003" TargetMode="External"/><Relationship Id="rId4551" Type="http://schemas.openxmlformats.org/officeDocument/2006/relationships/hyperlink" Target="https://doi.org/10.1891/9780826165084.0004" TargetMode="External"/><Relationship Id="rId3153" Type="http://schemas.openxmlformats.org/officeDocument/2006/relationships/hyperlink" Target="https://doi.org/10.1016/j.schres.2005.09.003" TargetMode="External"/><Relationship Id="rId4204" Type="http://schemas.openxmlformats.org/officeDocument/2006/relationships/hyperlink" Target="https://doi.org/10.1155/2013/941542" TargetMode="External"/><Relationship Id="rId5602" Type="http://schemas.openxmlformats.org/officeDocument/2006/relationships/hyperlink" Target="https://doi.org/10.1017/S1366728918000317" TargetMode="External"/><Relationship Id="rId141" Type="http://schemas.openxmlformats.org/officeDocument/2006/relationships/hyperlink" Target="https://doi.org/10.1080/01688639508402438" TargetMode="External"/><Relationship Id="rId3220" Type="http://schemas.openxmlformats.org/officeDocument/2006/relationships/hyperlink" Target="https://doi.org/10.1080/13854046.2015.1005674" TargetMode="External"/><Relationship Id="rId6029" Type="http://schemas.openxmlformats.org/officeDocument/2006/relationships/hyperlink" Target="https://doi.org/10.1016/j.jad.2017.04.012" TargetMode="External"/><Relationship Id="rId6376" Type="http://schemas.openxmlformats.org/officeDocument/2006/relationships/hyperlink" Target="https://doi.org/10.1017/S1366728915000474" TargetMode="External"/><Relationship Id="rId7" Type="http://schemas.openxmlformats.org/officeDocument/2006/relationships/hyperlink" Target="https://doi.org/10.1080/13554794.2011.627344" TargetMode="External"/><Relationship Id="rId2986" Type="http://schemas.openxmlformats.org/officeDocument/2006/relationships/hyperlink" Target="https://doi.org/10.1177/026988119500900405" TargetMode="External"/><Relationship Id="rId5392" Type="http://schemas.openxmlformats.org/officeDocument/2006/relationships/hyperlink" Target="https://doi.org/10.3233/JAD-160652" TargetMode="External"/><Relationship Id="rId6443" Type="http://schemas.openxmlformats.org/officeDocument/2006/relationships/hyperlink" Target="https://doi.org/10.1080/0960201044000066" TargetMode="External"/><Relationship Id="rId958" Type="http://schemas.openxmlformats.org/officeDocument/2006/relationships/hyperlink" Target="https://doi.org/10.1016/j.psychres.2015.06.012" TargetMode="External"/><Relationship Id="rId1588" Type="http://schemas.openxmlformats.org/officeDocument/2006/relationships/hyperlink" Target="https://doi.org/10.1177/1049731509355812" TargetMode="External"/><Relationship Id="rId2639" Type="http://schemas.openxmlformats.org/officeDocument/2006/relationships/hyperlink" Target="https://doi.org/10.1080/080394800448156" TargetMode="External"/><Relationship Id="rId5045" Type="http://schemas.openxmlformats.org/officeDocument/2006/relationships/hyperlink" Target="https://doi.org/10.1080/24750573.2017.1421398" TargetMode="External"/><Relationship Id="rId6510" Type="http://schemas.openxmlformats.org/officeDocument/2006/relationships/hyperlink" Target="https://doi.org/10.1016/j.jad.2018.08.031" TargetMode="External"/><Relationship Id="rId1655" Type="http://schemas.openxmlformats.org/officeDocument/2006/relationships/hyperlink" Target="https://doi.org/10.1016/j.schres.2006.09.013" TargetMode="External"/><Relationship Id="rId2706" Type="http://schemas.openxmlformats.org/officeDocument/2006/relationships/hyperlink" Target="https://doi.org/10.1017/BrImp.2014.14" TargetMode="External"/><Relationship Id="rId4061" Type="http://schemas.openxmlformats.org/officeDocument/2006/relationships/hyperlink" Target="https://doi.org/10.1097/AJP.0000000000000569" TargetMode="External"/><Relationship Id="rId5112" Type="http://schemas.openxmlformats.org/officeDocument/2006/relationships/hyperlink" Target="https://doi.org/10.1371/journal.pone.0038498" TargetMode="External"/><Relationship Id="rId1308" Type="http://schemas.openxmlformats.org/officeDocument/2006/relationships/hyperlink" Target="https://doi.org/10.1093/oxfordjournals.schbul.a007075" TargetMode="External"/><Relationship Id="rId1722" Type="http://schemas.openxmlformats.org/officeDocument/2006/relationships/hyperlink" Target="https://doi.org/10.1016/j.parkreldis.2014.09.023" TargetMode="External"/><Relationship Id="rId4878" Type="http://schemas.openxmlformats.org/officeDocument/2006/relationships/hyperlink" Target="https://doi.org/10.1177/1087054705286053" TargetMode="External"/><Relationship Id="rId5929" Type="http://schemas.openxmlformats.org/officeDocument/2006/relationships/hyperlink" Target="https://doi.org/10.1080/23279095.2018.1460370" TargetMode="External"/><Relationship Id="rId14" Type="http://schemas.openxmlformats.org/officeDocument/2006/relationships/hyperlink" Target="https://doi.org/10.1016/0165-1781(96)02927-7" TargetMode="External"/><Relationship Id="rId3894" Type="http://schemas.openxmlformats.org/officeDocument/2006/relationships/hyperlink" Target="https://doi.org/10.1037/0894-4105.21.6.696" TargetMode="External"/><Relationship Id="rId4945" Type="http://schemas.openxmlformats.org/officeDocument/2006/relationships/hyperlink" Target="https://doi.org/10.1001/archgenpsychiatry.2011.110" TargetMode="External"/><Relationship Id="rId2496" Type="http://schemas.openxmlformats.org/officeDocument/2006/relationships/hyperlink" Target="https://doi.org/10.1111/j.1469-7610.2011.02454.x" TargetMode="External"/><Relationship Id="rId3547" Type="http://schemas.openxmlformats.org/officeDocument/2006/relationships/hyperlink" Target="https://doi.org/10.1176/appi.neuropsych.18.4.516" TargetMode="External"/><Relationship Id="rId3961" Type="http://schemas.openxmlformats.org/officeDocument/2006/relationships/hyperlink" Target="https://doi.org/10.1016/j.pscychresns.2008.09.009" TargetMode="External"/><Relationship Id="rId468" Type="http://schemas.openxmlformats.org/officeDocument/2006/relationships/hyperlink" Target="https://doi.org/10.1016/j.cpr.2014.08.003" TargetMode="External"/><Relationship Id="rId882" Type="http://schemas.openxmlformats.org/officeDocument/2006/relationships/hyperlink" Target="https://doi.org/10.1016/j.jalz.2013.01.003" TargetMode="External"/><Relationship Id="rId1098" Type="http://schemas.openxmlformats.org/officeDocument/2006/relationships/hyperlink" Target="https://doi.org/10.1111/j.1469-8986.2004.00250.x" TargetMode="External"/><Relationship Id="rId2149" Type="http://schemas.openxmlformats.org/officeDocument/2006/relationships/hyperlink" Target="https://doi.org/10.1016/j.biopsych.2009.11.028" TargetMode="External"/><Relationship Id="rId2563" Type="http://schemas.openxmlformats.org/officeDocument/2006/relationships/hyperlink" Target="https://doi.org/10.1375/pplt.2005.12.1.56" TargetMode="External"/><Relationship Id="rId3614" Type="http://schemas.openxmlformats.org/officeDocument/2006/relationships/hyperlink" Target="https://doi.org/10.1186/s12888-021-03227-w" TargetMode="External"/><Relationship Id="rId6020" Type="http://schemas.openxmlformats.org/officeDocument/2006/relationships/hyperlink" Target="https://doi.org/10.1371/journal.pone.0017846" TargetMode="External"/><Relationship Id="rId535" Type="http://schemas.openxmlformats.org/officeDocument/2006/relationships/hyperlink" Target="https://doi.org/10.1080/02699052.2019.1641225" TargetMode="External"/><Relationship Id="rId1165" Type="http://schemas.openxmlformats.org/officeDocument/2006/relationships/hyperlink" Target="https://doi.org/10.1016/S0093-934X(03)00399-7" TargetMode="External"/><Relationship Id="rId2216" Type="http://schemas.openxmlformats.org/officeDocument/2006/relationships/hyperlink" Target="https://doi.org/10.1016/0887-6177(95)00023-2" TargetMode="External"/><Relationship Id="rId2630" Type="http://schemas.openxmlformats.org/officeDocument/2006/relationships/hyperlink" Target="https://doi.org/10.1207/s15327558ijbm1101_7" TargetMode="External"/><Relationship Id="rId5786" Type="http://schemas.openxmlformats.org/officeDocument/2006/relationships/hyperlink" Target="https://doi.org/10.1523/JNEUROSCI.2163-13.2013" TargetMode="External"/><Relationship Id="rId602" Type="http://schemas.openxmlformats.org/officeDocument/2006/relationships/hyperlink" Target="https://doi.org/10.1016/j.acn.2007.01.010" TargetMode="External"/><Relationship Id="rId1232" Type="http://schemas.openxmlformats.org/officeDocument/2006/relationships/hyperlink" Target="https://doi.org/10.1080/00050069608260207" TargetMode="External"/><Relationship Id="rId4388" Type="http://schemas.openxmlformats.org/officeDocument/2006/relationships/hyperlink" Target="https://doi.org/10.1017/S1355617708081010" TargetMode="External"/><Relationship Id="rId5439" Type="http://schemas.openxmlformats.org/officeDocument/2006/relationships/hyperlink" Target="https://doi.org/10.1016/0031-9384(94)00393-J" TargetMode="External"/><Relationship Id="rId5853" Type="http://schemas.openxmlformats.org/officeDocument/2006/relationships/hyperlink" Target="https://doi.org/10.1080/13546800801897346" TargetMode="External"/><Relationship Id="rId3057" Type="http://schemas.openxmlformats.org/officeDocument/2006/relationships/hyperlink" Target="https://doi.org/10.1111/eip.12500" TargetMode="External"/><Relationship Id="rId4108" Type="http://schemas.openxmlformats.org/officeDocument/2006/relationships/hyperlink" Target="https://doi.org/10.1016/j.euroneuro.2013.05.006" TargetMode="External"/><Relationship Id="rId4455" Type="http://schemas.openxmlformats.org/officeDocument/2006/relationships/hyperlink" Target="https://doi.org/10.1080/21622965.2012.686339" TargetMode="External"/><Relationship Id="rId5506" Type="http://schemas.openxmlformats.org/officeDocument/2006/relationships/hyperlink" Target="https://doi.org/10.3389/fnhum.2013.00178" TargetMode="External"/><Relationship Id="rId5920" Type="http://schemas.openxmlformats.org/officeDocument/2006/relationships/hyperlink" Target="https://doi.org/10.1111/acps.12660" TargetMode="External"/><Relationship Id="rId3471" Type="http://schemas.openxmlformats.org/officeDocument/2006/relationships/hyperlink" Target="https://doi.org/10.1016/S0165-1781(03)00102-1" TargetMode="External"/><Relationship Id="rId4522" Type="http://schemas.openxmlformats.org/officeDocument/2006/relationships/hyperlink" Target="https://doi.org/10.1016/j.drugalcdep.2005.11.008" TargetMode="External"/><Relationship Id="rId392" Type="http://schemas.openxmlformats.org/officeDocument/2006/relationships/hyperlink" Target="https://doi.org/10.1016/j.schres.2006.08.002" TargetMode="External"/><Relationship Id="rId2073" Type="http://schemas.openxmlformats.org/officeDocument/2006/relationships/hyperlink" Target="https://doi.org/10.1016/j.schres.2013.12.018" TargetMode="External"/><Relationship Id="rId3124" Type="http://schemas.openxmlformats.org/officeDocument/2006/relationships/hyperlink" Target="https://doi.org/10.1016/j.biopsycho.2003.07.007" TargetMode="External"/><Relationship Id="rId2140" Type="http://schemas.openxmlformats.org/officeDocument/2006/relationships/hyperlink" Target="https://doi.org/10.1016/j.psychres.2012.08.025" TargetMode="External"/><Relationship Id="rId5296" Type="http://schemas.openxmlformats.org/officeDocument/2006/relationships/hyperlink" Target="https://doi.org/10.1016/j.schres.2006.03.037" TargetMode="External"/><Relationship Id="rId6347" Type="http://schemas.openxmlformats.org/officeDocument/2006/relationships/hyperlink" Target="https://doi.org/10.1016/j.cpr.2014.04.002" TargetMode="External"/><Relationship Id="rId112" Type="http://schemas.openxmlformats.org/officeDocument/2006/relationships/hyperlink" Target="https://doi.org/10.1017/sjp.2016.22" TargetMode="External"/><Relationship Id="rId5363" Type="http://schemas.openxmlformats.org/officeDocument/2006/relationships/hyperlink" Target="https://doi.org/10.1016/j.schres.2005.10.006" TargetMode="External"/><Relationship Id="rId6414" Type="http://schemas.openxmlformats.org/officeDocument/2006/relationships/hyperlink" Target="https://doi.org/10.1177/1948550610386808" TargetMode="External"/><Relationship Id="rId2957" Type="http://schemas.openxmlformats.org/officeDocument/2006/relationships/hyperlink" Target="https://doi.org/10.1016/j.comppsych.2010.10.010" TargetMode="External"/><Relationship Id="rId5016" Type="http://schemas.openxmlformats.org/officeDocument/2006/relationships/hyperlink" Target="https://doi.org/10.1016/j.schres.2006.03.025" TargetMode="External"/><Relationship Id="rId929" Type="http://schemas.openxmlformats.org/officeDocument/2006/relationships/hyperlink" Target="https://doi.org/10.1097/chi.0b013e318054678d" TargetMode="External"/><Relationship Id="rId1559" Type="http://schemas.openxmlformats.org/officeDocument/2006/relationships/hyperlink" Target="https://doi.org/10.1016/j.acn.2004.03.003" TargetMode="External"/><Relationship Id="rId1973" Type="http://schemas.openxmlformats.org/officeDocument/2006/relationships/hyperlink" Target="https://doi.org/10.2196/18482" TargetMode="External"/><Relationship Id="rId4032" Type="http://schemas.openxmlformats.org/officeDocument/2006/relationships/hyperlink" Target="https://doi.org/10.1007/978-3-319-93497-6_28" TargetMode="External"/><Relationship Id="rId5430" Type="http://schemas.openxmlformats.org/officeDocument/2006/relationships/hyperlink" Target="https://doi.org/10.1016/j.neuropsychologia.2007.08.003" TargetMode="External"/><Relationship Id="rId1626" Type="http://schemas.openxmlformats.org/officeDocument/2006/relationships/hyperlink" Target="https://doi.org/10.1177/1545968313508467" TargetMode="External"/><Relationship Id="rId3798" Type="http://schemas.openxmlformats.org/officeDocument/2006/relationships/hyperlink" Target="https://doi.org/10.1080/13803391003596405" TargetMode="External"/><Relationship Id="rId4849" Type="http://schemas.openxmlformats.org/officeDocument/2006/relationships/hyperlink" Target="https://doi.org/10.1007/978-3-319-13245-7_4" TargetMode="External"/><Relationship Id="rId3865" Type="http://schemas.openxmlformats.org/officeDocument/2006/relationships/hyperlink" Target="https://doi.org/10.1076/clin.17.2.153.16512" TargetMode="External"/><Relationship Id="rId4916" Type="http://schemas.openxmlformats.org/officeDocument/2006/relationships/hyperlink" Target="https://doi.org/10.3138/cjccj.53.4.377" TargetMode="External"/><Relationship Id="rId6271" Type="http://schemas.openxmlformats.org/officeDocument/2006/relationships/hyperlink" Target="https://doi.org/10.1097/HTR.0000000000000423" TargetMode="External"/><Relationship Id="rId786" Type="http://schemas.openxmlformats.org/officeDocument/2006/relationships/hyperlink" Target="https://doi.org/10.1016/j.schres.2014.12.002" TargetMode="External"/><Relationship Id="rId2467" Type="http://schemas.openxmlformats.org/officeDocument/2006/relationships/hyperlink" Target="https://doi.org/10.1016/j.neuropsychologia.2006.06.007" TargetMode="External"/><Relationship Id="rId3518" Type="http://schemas.openxmlformats.org/officeDocument/2006/relationships/hyperlink" Target="https://doi.org/10.1093/oxfordjournals.schbul.a007056" TargetMode="External"/><Relationship Id="rId439" Type="http://schemas.openxmlformats.org/officeDocument/2006/relationships/hyperlink" Target="https://doi.org/10.1080/13554790500446868" TargetMode="External"/><Relationship Id="rId1069" Type="http://schemas.openxmlformats.org/officeDocument/2006/relationships/hyperlink" Target="https://doi.org/10.1007/s10519-009-9299-3" TargetMode="External"/><Relationship Id="rId1483" Type="http://schemas.openxmlformats.org/officeDocument/2006/relationships/hyperlink" Target="https://doi.org/10.1016/S0920-9964(99)00119-X" TargetMode="External"/><Relationship Id="rId2881" Type="http://schemas.openxmlformats.org/officeDocument/2006/relationships/hyperlink" Target="https://doi.org/10.1016/j.jad.2018.08.034" TargetMode="External"/><Relationship Id="rId3932" Type="http://schemas.openxmlformats.org/officeDocument/2006/relationships/hyperlink" Target="https://doi.org/10.1002/cbm.1993" TargetMode="External"/><Relationship Id="rId506" Type="http://schemas.openxmlformats.org/officeDocument/2006/relationships/hyperlink" Target="https://doi.org/10.1097/YCT.0b013e31821a8f05" TargetMode="External"/><Relationship Id="rId853" Type="http://schemas.openxmlformats.org/officeDocument/2006/relationships/hyperlink" Target="https://doi.org/10.1024/1421-0185/a000070" TargetMode="External"/><Relationship Id="rId1136" Type="http://schemas.openxmlformats.org/officeDocument/2006/relationships/hyperlink" Target="https://doi.org/10.1016/j.jns.2017.09.030" TargetMode="External"/><Relationship Id="rId2534" Type="http://schemas.openxmlformats.org/officeDocument/2006/relationships/hyperlink" Target="https://doi.org/10.1111/j.1467-9450.2012.00940.x" TargetMode="External"/><Relationship Id="rId920" Type="http://schemas.openxmlformats.org/officeDocument/2006/relationships/hyperlink" Target="https://doi.org/10.1080/13546805.2012.730038" TargetMode="External"/><Relationship Id="rId1550" Type="http://schemas.openxmlformats.org/officeDocument/2006/relationships/hyperlink" Target="https://doi.org/10.1093/cercor/bhm243" TargetMode="External"/><Relationship Id="rId2601" Type="http://schemas.openxmlformats.org/officeDocument/2006/relationships/hyperlink" Target="https://doi.org/10.1080/02646830701292308" TargetMode="External"/><Relationship Id="rId5757" Type="http://schemas.openxmlformats.org/officeDocument/2006/relationships/hyperlink" Target="https://doi.org/10.1007/978-94-007-5805-6_9" TargetMode="External"/><Relationship Id="rId1203" Type="http://schemas.openxmlformats.org/officeDocument/2006/relationships/hyperlink" Target="https://doi.org/10.1016/j.cortex.2017.05.011" TargetMode="External"/><Relationship Id="rId4359" Type="http://schemas.openxmlformats.org/officeDocument/2006/relationships/hyperlink" Target="https://doi.org/10.1016/j.addbeh.2011.09.015" TargetMode="External"/><Relationship Id="rId4773" Type="http://schemas.openxmlformats.org/officeDocument/2006/relationships/hyperlink" Target="https://doi.org/10.1080/13854046.2016.1266031" TargetMode="External"/><Relationship Id="rId5824" Type="http://schemas.openxmlformats.org/officeDocument/2006/relationships/hyperlink" Target="https://doi.org/10.1016/j.biopsych.2006.04.014" TargetMode="External"/><Relationship Id="rId3375" Type="http://schemas.openxmlformats.org/officeDocument/2006/relationships/hyperlink" Target="https://doi.org/10.1111/j.1601-183X.2010.00599.x" TargetMode="External"/><Relationship Id="rId4426" Type="http://schemas.openxmlformats.org/officeDocument/2006/relationships/hyperlink" Target="https://doi.org/10.1016/j.schres.2016.01.006" TargetMode="External"/><Relationship Id="rId4840" Type="http://schemas.openxmlformats.org/officeDocument/2006/relationships/hyperlink" Target="https://doi.org/10.1176/appi.neuropsych.18.2.226" TargetMode="External"/><Relationship Id="rId296" Type="http://schemas.openxmlformats.org/officeDocument/2006/relationships/hyperlink" Target="https://doi.org/10.1017/S1355617712000197" TargetMode="External"/><Relationship Id="rId2391" Type="http://schemas.openxmlformats.org/officeDocument/2006/relationships/hyperlink" Target="https://doi.org/10.1037/neu0000181" TargetMode="External"/><Relationship Id="rId3028" Type="http://schemas.openxmlformats.org/officeDocument/2006/relationships/hyperlink" Target="https://doi.org/10.1192/bjp.bp.106.022921" TargetMode="External"/><Relationship Id="rId3442" Type="http://schemas.openxmlformats.org/officeDocument/2006/relationships/hyperlink" Target="https://doi.org/10.1590/1516-4446-2014-1553" TargetMode="External"/><Relationship Id="rId363" Type="http://schemas.openxmlformats.org/officeDocument/2006/relationships/hyperlink" Target="https://doi.org/10.1080/13825585.2018.1426715" TargetMode="External"/><Relationship Id="rId2044" Type="http://schemas.openxmlformats.org/officeDocument/2006/relationships/hyperlink" Target="https://doi.org/10.1159/000084549" TargetMode="External"/><Relationship Id="rId430" Type="http://schemas.openxmlformats.org/officeDocument/2006/relationships/hyperlink" Target="https://doi.org/10.1002/gps.646" TargetMode="External"/><Relationship Id="rId1060" Type="http://schemas.openxmlformats.org/officeDocument/2006/relationships/hyperlink" Target="https://doi.org/10.1016/j.yebeh.2010.10.005" TargetMode="External"/><Relationship Id="rId2111" Type="http://schemas.openxmlformats.org/officeDocument/2006/relationships/hyperlink" Target="https://doi.org/10.1016/j.jpsychires.2013.02.002" TargetMode="External"/><Relationship Id="rId5267" Type="http://schemas.openxmlformats.org/officeDocument/2006/relationships/hyperlink" Target="https://doi.org/10.1016/j.schres.2010.03.037" TargetMode="External"/><Relationship Id="rId6318" Type="http://schemas.openxmlformats.org/officeDocument/2006/relationships/hyperlink" Target="https://doi.org/10.1016/j.neuropsychologia.2011.02.037" TargetMode="External"/><Relationship Id="rId5681" Type="http://schemas.openxmlformats.org/officeDocument/2006/relationships/hyperlink" Target="https://doi.org/10.1016/j.schres.2019.11.004" TargetMode="External"/><Relationship Id="rId1877" Type="http://schemas.openxmlformats.org/officeDocument/2006/relationships/hyperlink" Target="https://doi.org/10.1016/j.neuropsychologia.2012.09.017" TargetMode="External"/><Relationship Id="rId2928" Type="http://schemas.openxmlformats.org/officeDocument/2006/relationships/hyperlink" Target="https://doi.org/10.1044/2016_JSLHR-L-15-0104" TargetMode="External"/><Relationship Id="rId4283" Type="http://schemas.openxmlformats.org/officeDocument/2006/relationships/hyperlink" Target="https://doi.org/10.1016/j.schres.2005.01.005" TargetMode="External"/><Relationship Id="rId5334" Type="http://schemas.openxmlformats.org/officeDocument/2006/relationships/hyperlink" Target="https://doi.org/10.1080/09084282.2011.595450" TargetMode="External"/><Relationship Id="rId1944" Type="http://schemas.openxmlformats.org/officeDocument/2006/relationships/hyperlink" Target="https://doi.org/10.1097/HTR.0000000000000087" TargetMode="External"/><Relationship Id="rId4350" Type="http://schemas.openxmlformats.org/officeDocument/2006/relationships/hyperlink" Target="https://doi.org/10.1017/S1355617705050873" TargetMode="External"/><Relationship Id="rId5401" Type="http://schemas.openxmlformats.org/officeDocument/2006/relationships/hyperlink" Target="https://doi.org/10.1001/archgenpsychiatry.2008.516" TargetMode="External"/><Relationship Id="rId4003" Type="http://schemas.openxmlformats.org/officeDocument/2006/relationships/hyperlink" Target="https://doi.org/10.1016/j.dcn.2010.12.004" TargetMode="External"/><Relationship Id="rId6175" Type="http://schemas.openxmlformats.org/officeDocument/2006/relationships/hyperlink" Target="https://doi.org/10.1080/21622965.2013.748394" TargetMode="External"/><Relationship Id="rId3769" Type="http://schemas.openxmlformats.org/officeDocument/2006/relationships/hyperlink" Target="https://doi.org/10.1111/pcn.12107" TargetMode="External"/><Relationship Id="rId5191" Type="http://schemas.openxmlformats.org/officeDocument/2006/relationships/hyperlink" Target="https://doi.org/10.1016/j.psychres.2011.12.019" TargetMode="External"/><Relationship Id="rId6242" Type="http://schemas.openxmlformats.org/officeDocument/2006/relationships/hyperlink" Target="https://doi.org/10.1177/1087054705286063" TargetMode="External"/><Relationship Id="rId2785" Type="http://schemas.openxmlformats.org/officeDocument/2006/relationships/hyperlink" Target="https://doi.org/10.1093/braincomms/fcaa084" TargetMode="External"/><Relationship Id="rId3836" Type="http://schemas.openxmlformats.org/officeDocument/2006/relationships/hyperlink" Target="https://doi.org/10.1212/WNL.44.10.1824" TargetMode="External"/><Relationship Id="rId757" Type="http://schemas.openxmlformats.org/officeDocument/2006/relationships/hyperlink" Target="https://doi.org/10.1159/000330892" TargetMode="External"/><Relationship Id="rId1387" Type="http://schemas.openxmlformats.org/officeDocument/2006/relationships/hyperlink" Target="https://doi.org/10.1037/fam0000286" TargetMode="External"/><Relationship Id="rId2438" Type="http://schemas.openxmlformats.org/officeDocument/2006/relationships/hyperlink" Target="https://doi.org/10.1017/S1461145702003061" TargetMode="External"/><Relationship Id="rId2852" Type="http://schemas.openxmlformats.org/officeDocument/2006/relationships/hyperlink" Target="https://doi.org/10.1080/21622965.2013.789964" TargetMode="External"/><Relationship Id="rId3903" Type="http://schemas.openxmlformats.org/officeDocument/2006/relationships/hyperlink" Target="https://doi.org/10.1016/j.pnpbp.2012.03.010" TargetMode="External"/><Relationship Id="rId93" Type="http://schemas.openxmlformats.org/officeDocument/2006/relationships/hyperlink" Target="https://doi.org/10.1016/j.cortex.2006.07.003" TargetMode="External"/><Relationship Id="rId824" Type="http://schemas.openxmlformats.org/officeDocument/2006/relationships/hyperlink" Target="https://doi.org/10.1002/erv.2665" TargetMode="External"/><Relationship Id="rId1454" Type="http://schemas.openxmlformats.org/officeDocument/2006/relationships/hyperlink" Target="https://doi.org/10.1159/000082194" TargetMode="External"/><Relationship Id="rId2505" Type="http://schemas.openxmlformats.org/officeDocument/2006/relationships/hyperlink" Target="https://doi.org/10.1016/j.eurpsy.2005.02.006" TargetMode="External"/><Relationship Id="rId1107" Type="http://schemas.openxmlformats.org/officeDocument/2006/relationships/hyperlink" Target="https://doi.org/10.1080/15294145.2008.10773572" TargetMode="External"/><Relationship Id="rId1521" Type="http://schemas.openxmlformats.org/officeDocument/2006/relationships/hyperlink" Target="https://doi.org/10.1176/appi.ajp.2010.09111575" TargetMode="External"/><Relationship Id="rId4677" Type="http://schemas.openxmlformats.org/officeDocument/2006/relationships/hyperlink" Target="https://doi.org/10.1300/J184v01n01_06" TargetMode="External"/><Relationship Id="rId5728" Type="http://schemas.openxmlformats.org/officeDocument/2006/relationships/hyperlink" Target="https://doi.org/10.1016/j.cortex.2009.07.017" TargetMode="External"/><Relationship Id="rId3279" Type="http://schemas.openxmlformats.org/officeDocument/2006/relationships/hyperlink" Target="https://doi.org/10.1097/01.nmd.0000172680.18302.80" TargetMode="External"/><Relationship Id="rId3693" Type="http://schemas.openxmlformats.org/officeDocument/2006/relationships/hyperlink" Target="https://doi.org/10.1159/000049342" TargetMode="External"/><Relationship Id="rId2295" Type="http://schemas.openxmlformats.org/officeDocument/2006/relationships/hyperlink" Target="https://doi.org/10.1111/j.1360-0443.2010.03252.x" TargetMode="External"/><Relationship Id="rId3346" Type="http://schemas.openxmlformats.org/officeDocument/2006/relationships/hyperlink" Target="https://doi.org/10.1111/bdi.12321" TargetMode="External"/><Relationship Id="rId4744" Type="http://schemas.openxmlformats.org/officeDocument/2006/relationships/hyperlink" Target="https://doi.org/10.1016/j.pscychresns.2004.08.003" TargetMode="External"/><Relationship Id="rId267" Type="http://schemas.openxmlformats.org/officeDocument/2006/relationships/hyperlink" Target="https://doi.org/10.1159/000342345" TargetMode="External"/><Relationship Id="rId3760" Type="http://schemas.openxmlformats.org/officeDocument/2006/relationships/hyperlink" Target="https://doi.org/10.1016/j.ajp.2014.07.003" TargetMode="External"/><Relationship Id="rId4811" Type="http://schemas.openxmlformats.org/officeDocument/2006/relationships/hyperlink" Target="https://doi.org/10.3233/NRE-172275" TargetMode="External"/><Relationship Id="rId681" Type="http://schemas.openxmlformats.org/officeDocument/2006/relationships/hyperlink" Target="https://doi.org/10.1176/appi.neuropsych.20.4.466" TargetMode="External"/><Relationship Id="rId2362" Type="http://schemas.openxmlformats.org/officeDocument/2006/relationships/hyperlink" Target="https://doi.org/10.1093/schbul/sbr046" TargetMode="External"/><Relationship Id="rId3413" Type="http://schemas.openxmlformats.org/officeDocument/2006/relationships/hyperlink" Target="https://doi.org/10.1076/clin.13.3.328.1745" TargetMode="External"/><Relationship Id="rId334" Type="http://schemas.openxmlformats.org/officeDocument/2006/relationships/hyperlink" Target="https://doi.org/10.1007/978-1-4939-0784-7_18" TargetMode="External"/><Relationship Id="rId2015" Type="http://schemas.openxmlformats.org/officeDocument/2006/relationships/hyperlink" Target="https://doi.org/10.1037/0894-4105.20.5.539" TargetMode="External"/><Relationship Id="rId5585" Type="http://schemas.openxmlformats.org/officeDocument/2006/relationships/hyperlink" Target="https://doi.org/10.1017/S1355617710001451" TargetMode="External"/><Relationship Id="rId401" Type="http://schemas.openxmlformats.org/officeDocument/2006/relationships/hyperlink" Target="https://doi.org/10.1001/archneur.64.2.266" TargetMode="External"/><Relationship Id="rId1031" Type="http://schemas.openxmlformats.org/officeDocument/2006/relationships/hyperlink" Target="https://doi.org/10.1016/j.schres.2012.10.001" TargetMode="External"/><Relationship Id="rId4187" Type="http://schemas.openxmlformats.org/officeDocument/2006/relationships/hyperlink" Target="https://doi.org/10.1016/j.pnpbp.2011.09.004" TargetMode="External"/><Relationship Id="rId5238" Type="http://schemas.openxmlformats.org/officeDocument/2006/relationships/hyperlink" Target="https://doi.org/10.1037/0022-006X.65.1.150" TargetMode="External"/><Relationship Id="rId5652" Type="http://schemas.openxmlformats.org/officeDocument/2006/relationships/hyperlink" Target="https://doi.org/10.1017/S1355617708080934" TargetMode="External"/><Relationship Id="rId4254" Type="http://schemas.openxmlformats.org/officeDocument/2006/relationships/hyperlink" Target="https://doi.org/10.1134/S0362119716050121" TargetMode="External"/><Relationship Id="rId5305" Type="http://schemas.openxmlformats.org/officeDocument/2006/relationships/hyperlink" Target="https://doi.org/10.1001/archgenpsychiatry.2009.204" TargetMode="External"/><Relationship Id="rId1848" Type="http://schemas.openxmlformats.org/officeDocument/2006/relationships/hyperlink" Target="https://doi.org/10.1007/s10803-012-1720-8" TargetMode="External"/><Relationship Id="rId3270" Type="http://schemas.openxmlformats.org/officeDocument/2006/relationships/hyperlink" Target="https://doi.org/10.1016/j.brainres.2010.12.073" TargetMode="External"/><Relationship Id="rId4321" Type="http://schemas.openxmlformats.org/officeDocument/2006/relationships/hyperlink" Target="https://doi.org/10.1037/0894-4105.9.4.491" TargetMode="External"/><Relationship Id="rId191" Type="http://schemas.openxmlformats.org/officeDocument/2006/relationships/hyperlink" Target="https://doi.org/10.1080/00207450600592206" TargetMode="External"/><Relationship Id="rId1915" Type="http://schemas.openxmlformats.org/officeDocument/2006/relationships/hyperlink" Target="https://doi.org/10.1097/01.jcp.0000161499.58266.51" TargetMode="External"/><Relationship Id="rId6079" Type="http://schemas.openxmlformats.org/officeDocument/2006/relationships/hyperlink" Target="https://doi.org/10.1016/j.pscychresns.2003.10.002" TargetMode="External"/><Relationship Id="rId5095" Type="http://schemas.openxmlformats.org/officeDocument/2006/relationships/hyperlink" Target="https://doi.org/10.1007/s11011-011-9250-1" TargetMode="External"/><Relationship Id="rId6493" Type="http://schemas.openxmlformats.org/officeDocument/2006/relationships/hyperlink" Target="https://doi.org/10.1016/j.drugalcdep.2018.01.007" TargetMode="External"/><Relationship Id="rId2689" Type="http://schemas.openxmlformats.org/officeDocument/2006/relationships/hyperlink" Target="https://doi.org/10.1016/j.schres.2006.03.005" TargetMode="External"/><Relationship Id="rId6146" Type="http://schemas.openxmlformats.org/officeDocument/2006/relationships/hyperlink" Target="https://doi.org/10.1037/14091-005" TargetMode="External"/><Relationship Id="rId2756" Type="http://schemas.openxmlformats.org/officeDocument/2006/relationships/hyperlink" Target="https://doi.org/10.1080/19012276.2016.1245157" TargetMode="External"/><Relationship Id="rId3807" Type="http://schemas.openxmlformats.org/officeDocument/2006/relationships/hyperlink" Target="https://doi.org/10.1016/j.jpsychires.2011.10.001" TargetMode="External"/><Relationship Id="rId5162" Type="http://schemas.openxmlformats.org/officeDocument/2006/relationships/hyperlink" Target="https://doi.org/10.1037/ccp0000019" TargetMode="External"/><Relationship Id="rId6213" Type="http://schemas.openxmlformats.org/officeDocument/2006/relationships/hyperlink" Target="https://doi.org/10.1037/a0032399" TargetMode="External"/><Relationship Id="rId728" Type="http://schemas.openxmlformats.org/officeDocument/2006/relationships/hyperlink" Target="https://doi.org/10.1016/j.eurpsy.2010.10.002" TargetMode="External"/><Relationship Id="rId1358" Type="http://schemas.openxmlformats.org/officeDocument/2006/relationships/hyperlink" Target="https://doi.org/10.1016/j.schres.2013.06.017" TargetMode="External"/><Relationship Id="rId1772" Type="http://schemas.openxmlformats.org/officeDocument/2006/relationships/hyperlink" Target="https://doi.org/10.1016/j.jagp.2013.01.024" TargetMode="External"/><Relationship Id="rId2409" Type="http://schemas.openxmlformats.org/officeDocument/2006/relationships/hyperlink" Target="https://doi.org/10.1006/brcg.1997.0938" TargetMode="External"/><Relationship Id="rId5979" Type="http://schemas.openxmlformats.org/officeDocument/2006/relationships/hyperlink" Target="https://doi.org/10.1080/13803390802484797" TargetMode="External"/><Relationship Id="rId64" Type="http://schemas.openxmlformats.org/officeDocument/2006/relationships/hyperlink" Target="https://doi.org/10.1080/0300443001650109" TargetMode="External"/><Relationship Id="rId1425" Type="http://schemas.openxmlformats.org/officeDocument/2006/relationships/hyperlink" Target="https://doi.org/10.1016/j.schres.2008.09.024" TargetMode="External"/><Relationship Id="rId2823" Type="http://schemas.openxmlformats.org/officeDocument/2006/relationships/hyperlink" Target="https://doi.org/10.4088/JCP.v68n0609" TargetMode="External"/><Relationship Id="rId4995" Type="http://schemas.openxmlformats.org/officeDocument/2006/relationships/hyperlink" Target="https://doi.org/10.1080/13651500152732595" TargetMode="External"/><Relationship Id="rId2199" Type="http://schemas.openxmlformats.org/officeDocument/2006/relationships/hyperlink" Target="https://doi.org/10.1016/j.sleep.2013.07.002" TargetMode="External"/><Relationship Id="rId3597" Type="http://schemas.openxmlformats.org/officeDocument/2006/relationships/hyperlink" Target="https://doi.org/10.1016/j.psychres.2019.06.041" TargetMode="External"/><Relationship Id="rId4648" Type="http://schemas.openxmlformats.org/officeDocument/2006/relationships/hyperlink" Target="https://doi.org/10.1037/pag0000190" TargetMode="External"/><Relationship Id="rId6070" Type="http://schemas.openxmlformats.org/officeDocument/2006/relationships/hyperlink" Target="https://doi.org/10.1016/j.schres.2020.02.002" TargetMode="External"/><Relationship Id="rId3664" Type="http://schemas.openxmlformats.org/officeDocument/2006/relationships/hyperlink" Target="https://doi.org/10.1016/j.drugalcdep.2018.06.005" TargetMode="External"/><Relationship Id="rId4715" Type="http://schemas.openxmlformats.org/officeDocument/2006/relationships/hyperlink" Target="https://doi.org/10.1080/09602010343000039" TargetMode="External"/><Relationship Id="rId585" Type="http://schemas.openxmlformats.org/officeDocument/2006/relationships/hyperlink" Target="https://doi.org/10.1017/S0033291712001535" TargetMode="External"/><Relationship Id="rId2266" Type="http://schemas.openxmlformats.org/officeDocument/2006/relationships/hyperlink" Target="https://doi.org/10.1016/j.jad.2013.09.003" TargetMode="External"/><Relationship Id="rId2680" Type="http://schemas.openxmlformats.org/officeDocument/2006/relationships/hyperlink" Target="https://doi.org/10.1134/S0362119715050059" TargetMode="External"/><Relationship Id="rId3317" Type="http://schemas.openxmlformats.org/officeDocument/2006/relationships/hyperlink" Target="https://doi.org/10.1080/13803390701819036" TargetMode="External"/><Relationship Id="rId3731" Type="http://schemas.openxmlformats.org/officeDocument/2006/relationships/hyperlink" Target="https://doi.org/10.1016/S0165-1781(02)00024-0" TargetMode="External"/><Relationship Id="rId238" Type="http://schemas.openxmlformats.org/officeDocument/2006/relationships/hyperlink" Target="https://doi.org/10.1080/23279095.2017.1392963" TargetMode="External"/><Relationship Id="rId652" Type="http://schemas.openxmlformats.org/officeDocument/2006/relationships/hyperlink" Target="https://doi.org/10.1176/appi.ajp.2010.09101406" TargetMode="External"/><Relationship Id="rId1282" Type="http://schemas.openxmlformats.org/officeDocument/2006/relationships/hyperlink" Target="https://doi.org/10.1007/s11682-014-9312-1" TargetMode="External"/><Relationship Id="rId2333" Type="http://schemas.openxmlformats.org/officeDocument/2006/relationships/hyperlink" Target="https://doi.org/10.1523/JNEUROSCI.2571-07.2007" TargetMode="External"/><Relationship Id="rId5489" Type="http://schemas.openxmlformats.org/officeDocument/2006/relationships/hyperlink" Target="https://doi.org/10.1055/s-0029-1245622" TargetMode="External"/><Relationship Id="rId305" Type="http://schemas.openxmlformats.org/officeDocument/2006/relationships/hyperlink" Target="https://doi.org/10.1007/s11145-007-9109-3" TargetMode="External"/><Relationship Id="rId2400" Type="http://schemas.openxmlformats.org/officeDocument/2006/relationships/hyperlink" Target="https://doi.org/10.1017/S1355617708081022" TargetMode="External"/><Relationship Id="rId5556" Type="http://schemas.openxmlformats.org/officeDocument/2006/relationships/hyperlink" Target="https://doi.org/10.1017/BrImp.2013.23" TargetMode="External"/><Relationship Id="rId1002" Type="http://schemas.openxmlformats.org/officeDocument/2006/relationships/hyperlink" Target="https://doi.org/10.1521/pedi_2012_26_053" TargetMode="External"/><Relationship Id="rId4158" Type="http://schemas.openxmlformats.org/officeDocument/2006/relationships/hyperlink" Target="https://doi.org/10.1055/s-0042-115477" TargetMode="External"/><Relationship Id="rId5209" Type="http://schemas.openxmlformats.org/officeDocument/2006/relationships/hyperlink" Target="https://doi.org/10.1089/neu.2017.5145" TargetMode="External"/><Relationship Id="rId5970" Type="http://schemas.openxmlformats.org/officeDocument/2006/relationships/hyperlink" Target="https://doi.org/10.1159/000477538" TargetMode="External"/><Relationship Id="rId3174" Type="http://schemas.openxmlformats.org/officeDocument/2006/relationships/hyperlink" Target="https://doi.org/10.1016/j.brs.2020.12.014" TargetMode="External"/><Relationship Id="rId4572" Type="http://schemas.openxmlformats.org/officeDocument/2006/relationships/hyperlink" Target="https://doi.org/10.1007/978-3-319-13942-5_8" TargetMode="External"/><Relationship Id="rId5623" Type="http://schemas.openxmlformats.org/officeDocument/2006/relationships/hyperlink" Target="https://doi.org/10.1016/j.biopsych.2006.07.036" TargetMode="External"/><Relationship Id="rId1819" Type="http://schemas.openxmlformats.org/officeDocument/2006/relationships/hyperlink" Target="https://doi.org/10.1159/000339954" TargetMode="External"/><Relationship Id="rId4225" Type="http://schemas.openxmlformats.org/officeDocument/2006/relationships/hyperlink" Target="https://doi.org/10.1017/S1355617704102087" TargetMode="External"/><Relationship Id="rId2190" Type="http://schemas.openxmlformats.org/officeDocument/2006/relationships/hyperlink" Target="https://doi.org/10.1207/s15324826an1304_8" TargetMode="External"/><Relationship Id="rId3241" Type="http://schemas.openxmlformats.org/officeDocument/2006/relationships/hyperlink" Target="https://doi.org/10.1007/978-1-4614-4412-1_22" TargetMode="External"/><Relationship Id="rId6397" Type="http://schemas.openxmlformats.org/officeDocument/2006/relationships/hyperlink" Target="https://doi.org/10.1111/j.1440-1819.2004.01190.x" TargetMode="External"/><Relationship Id="rId162" Type="http://schemas.openxmlformats.org/officeDocument/2006/relationships/hyperlink" Target="https://doi.org/10.1177/1087054714522512" TargetMode="External"/><Relationship Id="rId6464" Type="http://schemas.openxmlformats.org/officeDocument/2006/relationships/hyperlink" Target="https://doi.org/10.3109/02699052.2016.1147077" TargetMode="External"/><Relationship Id="rId979" Type="http://schemas.openxmlformats.org/officeDocument/2006/relationships/hyperlink" Target="https://doi.org/10.1016/0165-0327(96)00027-4" TargetMode="External"/><Relationship Id="rId5066" Type="http://schemas.openxmlformats.org/officeDocument/2006/relationships/hyperlink" Target="https://doi.org/10.1111/j.1468-1331.2008.02259.x" TargetMode="External"/><Relationship Id="rId5480" Type="http://schemas.openxmlformats.org/officeDocument/2006/relationships/hyperlink" Target="https://doi.org/10.1097/WAD.0b013e318260ab97" TargetMode="External"/><Relationship Id="rId6117" Type="http://schemas.openxmlformats.org/officeDocument/2006/relationships/hyperlink" Target="https://doi.org/10.1076/chin.8.4.296.13505" TargetMode="External"/><Relationship Id="rId6531" Type="http://schemas.openxmlformats.org/officeDocument/2006/relationships/hyperlink" Target="https://doi.org/10.1016/j.schres.2007.03.026" TargetMode="External"/><Relationship Id="rId4082" Type="http://schemas.openxmlformats.org/officeDocument/2006/relationships/hyperlink" Target="https://doi.org/10.1097/JCP.0000000000000042" TargetMode="External"/><Relationship Id="rId5133" Type="http://schemas.openxmlformats.org/officeDocument/2006/relationships/hyperlink" Target="https://doi.org/10.1080/13554794.2012.741253" TargetMode="External"/><Relationship Id="rId1676" Type="http://schemas.openxmlformats.org/officeDocument/2006/relationships/hyperlink" Target="https://doi.org/10.1037/pne0000185" TargetMode="External"/><Relationship Id="rId2727" Type="http://schemas.openxmlformats.org/officeDocument/2006/relationships/hyperlink" Target="https://doi.org/10.1007/s11682-011-9128-1" TargetMode="External"/><Relationship Id="rId1329" Type="http://schemas.openxmlformats.org/officeDocument/2006/relationships/hyperlink" Target="https://doi.org/10.1097/01.nmd.0000131919.60151.a7" TargetMode="External"/><Relationship Id="rId1743" Type="http://schemas.openxmlformats.org/officeDocument/2006/relationships/hyperlink" Target="https://doi.org/10.1016/j.drugalcdep.2006.11.002" TargetMode="External"/><Relationship Id="rId4899" Type="http://schemas.openxmlformats.org/officeDocument/2006/relationships/hyperlink" Target="https://doi.org/10.1176/appi.ajp.161.6.1110" TargetMode="External"/><Relationship Id="rId5200" Type="http://schemas.openxmlformats.org/officeDocument/2006/relationships/hyperlink" Target="https://doi.org/10.1016/j.schres.2007.05.015" TargetMode="External"/><Relationship Id="rId35" Type="http://schemas.openxmlformats.org/officeDocument/2006/relationships/hyperlink" Target="https://doi.org/10.1017/S204579601200042X" TargetMode="External"/><Relationship Id="rId1810" Type="http://schemas.openxmlformats.org/officeDocument/2006/relationships/hyperlink" Target="https://doi.org/10.1007/s10072-017-2903-z" TargetMode="External"/><Relationship Id="rId4966" Type="http://schemas.openxmlformats.org/officeDocument/2006/relationships/hyperlink" Target="https://doi.org/10.1016/j.comppsych.2006.11.002" TargetMode="External"/><Relationship Id="rId3568" Type="http://schemas.openxmlformats.org/officeDocument/2006/relationships/hyperlink" Target="https://doi.org/10.1016/j.pnpbp.2013.07.010" TargetMode="External"/><Relationship Id="rId3982" Type="http://schemas.openxmlformats.org/officeDocument/2006/relationships/hyperlink" Target="https://doi.org/10.1007/s10461-018-2061-1" TargetMode="External"/><Relationship Id="rId4619" Type="http://schemas.openxmlformats.org/officeDocument/2006/relationships/hyperlink" Target="https://doi.org/10.1016/j.schres.2013.07.048" TargetMode="External"/><Relationship Id="rId489" Type="http://schemas.openxmlformats.org/officeDocument/2006/relationships/hyperlink" Target="https://doi.org/10.1111/ene.12399" TargetMode="External"/><Relationship Id="rId2584" Type="http://schemas.openxmlformats.org/officeDocument/2006/relationships/hyperlink" Target="https://doi.org/10.1016/j.sleep.2015.11.023" TargetMode="External"/><Relationship Id="rId3635" Type="http://schemas.openxmlformats.org/officeDocument/2006/relationships/hyperlink" Target="https://doi.org/10.1186/1745-0179-4-7" TargetMode="External"/><Relationship Id="rId6041" Type="http://schemas.openxmlformats.org/officeDocument/2006/relationships/hyperlink" Target="https://doi.org/10.1016/j.psychres.2004.05.018" TargetMode="External"/><Relationship Id="rId556" Type="http://schemas.openxmlformats.org/officeDocument/2006/relationships/hyperlink" Target="https://doi.org/10.1177/008124631104100211" TargetMode="External"/><Relationship Id="rId1186" Type="http://schemas.openxmlformats.org/officeDocument/2006/relationships/hyperlink" Target="https://doi.org/10.1177/0093854816643732" TargetMode="External"/><Relationship Id="rId2237" Type="http://schemas.openxmlformats.org/officeDocument/2006/relationships/hyperlink" Target="https://doi.org/10.1037/a0026269" TargetMode="External"/><Relationship Id="rId209" Type="http://schemas.openxmlformats.org/officeDocument/2006/relationships/hyperlink" Target="https://doi.org/10.1037/14091-010" TargetMode="External"/><Relationship Id="rId970" Type="http://schemas.openxmlformats.org/officeDocument/2006/relationships/hyperlink" Target="https://doi.org/10.1016/j.psychres.2013.02.014" TargetMode="External"/><Relationship Id="rId1253" Type="http://schemas.openxmlformats.org/officeDocument/2006/relationships/hyperlink" Target="https://doi.org/10.1111/desc.12073" TargetMode="External"/><Relationship Id="rId2651" Type="http://schemas.openxmlformats.org/officeDocument/2006/relationships/hyperlink" Target="https://doi.org/10.1017/BrImp.2013.22" TargetMode="External"/><Relationship Id="rId3702" Type="http://schemas.openxmlformats.org/officeDocument/2006/relationships/hyperlink" Target="https://doi.org/10.1016/j.psychres.2014.12.011" TargetMode="External"/><Relationship Id="rId623" Type="http://schemas.openxmlformats.org/officeDocument/2006/relationships/hyperlink" Target="https://doi.org/10.3109/00048674.2010.527822" TargetMode="External"/><Relationship Id="rId2304" Type="http://schemas.openxmlformats.org/officeDocument/2006/relationships/hyperlink" Target="https://doi.org/10.1177/0891988712447894" TargetMode="External"/><Relationship Id="rId5874" Type="http://schemas.openxmlformats.org/officeDocument/2006/relationships/hyperlink" Target="https://doi.org/10.3109/00207450903585308" TargetMode="External"/><Relationship Id="rId1320" Type="http://schemas.openxmlformats.org/officeDocument/2006/relationships/hyperlink" Target="https://doi.org/10.1093/geronb/gby130" TargetMode="External"/><Relationship Id="rId4476" Type="http://schemas.openxmlformats.org/officeDocument/2006/relationships/hyperlink" Target="https://doi.org/10.1016/B978-0-12-800778-5.00012-8" TargetMode="External"/><Relationship Id="rId4890" Type="http://schemas.openxmlformats.org/officeDocument/2006/relationships/hyperlink" Target="https://doi.org/10.1080/23279095.2019.1594233" TargetMode="External"/><Relationship Id="rId5527" Type="http://schemas.openxmlformats.org/officeDocument/2006/relationships/hyperlink" Target="https://doi.org/10.1016/j.psychres.2018.06.029" TargetMode="External"/><Relationship Id="rId5941" Type="http://schemas.openxmlformats.org/officeDocument/2006/relationships/hyperlink" Target="https://doi.org/10.1111/j.1468-1331.2006.01618.x" TargetMode="External"/><Relationship Id="rId3078" Type="http://schemas.openxmlformats.org/officeDocument/2006/relationships/hyperlink" Target="https://doi.org/10.1037/14091-014" TargetMode="External"/><Relationship Id="rId3492" Type="http://schemas.openxmlformats.org/officeDocument/2006/relationships/hyperlink" Target="https://doi.org/10.1080/13554790590944889" TargetMode="External"/><Relationship Id="rId4129" Type="http://schemas.openxmlformats.org/officeDocument/2006/relationships/hyperlink" Target="https://doi.org/10.1590/1516-4446-2013-1085" TargetMode="External"/><Relationship Id="rId4543" Type="http://schemas.openxmlformats.org/officeDocument/2006/relationships/hyperlink" Target="https://doi.org/10.1016/j.jad.2013.11.023" TargetMode="External"/><Relationship Id="rId2094" Type="http://schemas.openxmlformats.org/officeDocument/2006/relationships/hyperlink" Target="https://doi.org/10.1080/23279095.2017.1392303" TargetMode="External"/><Relationship Id="rId3145" Type="http://schemas.openxmlformats.org/officeDocument/2006/relationships/hyperlink" Target="https://doi.org/10.1111/jnp.12171" TargetMode="External"/><Relationship Id="rId4610" Type="http://schemas.openxmlformats.org/officeDocument/2006/relationships/hyperlink" Target="https://doi.org/10.1016/j.pnpbp.2014.05.001" TargetMode="External"/><Relationship Id="rId480" Type="http://schemas.openxmlformats.org/officeDocument/2006/relationships/hyperlink" Target="https://doi.org/10.1007/s11682-013-9261-0" TargetMode="External"/><Relationship Id="rId2161" Type="http://schemas.openxmlformats.org/officeDocument/2006/relationships/hyperlink" Target="https://doi.org/10.1080/13803395.2011.651102" TargetMode="External"/><Relationship Id="rId3212" Type="http://schemas.openxmlformats.org/officeDocument/2006/relationships/hyperlink" Target="https://doi.org/10.1037/a0032358" TargetMode="External"/><Relationship Id="rId6368" Type="http://schemas.openxmlformats.org/officeDocument/2006/relationships/hyperlink" Target="https://doi.org/10.1016/j.paid.2015.06.049" TargetMode="External"/><Relationship Id="rId133" Type="http://schemas.openxmlformats.org/officeDocument/2006/relationships/hyperlink" Target="https://doi.org/10.1080/10407413.2014.957985" TargetMode="External"/><Relationship Id="rId5384" Type="http://schemas.openxmlformats.org/officeDocument/2006/relationships/hyperlink" Target="https://doi.org/10.1080/13554794.2012.732087" TargetMode="External"/><Relationship Id="rId200" Type="http://schemas.openxmlformats.org/officeDocument/2006/relationships/hyperlink" Target="https://doi.org/10.21500/19002386.1811" TargetMode="External"/><Relationship Id="rId2978" Type="http://schemas.openxmlformats.org/officeDocument/2006/relationships/hyperlink" Target="https://doi.org/10.1016/S0022-3956(00)00023-6" TargetMode="External"/><Relationship Id="rId5037" Type="http://schemas.openxmlformats.org/officeDocument/2006/relationships/hyperlink" Target="https://doi.org/10.1093/schbul/sbr189" TargetMode="External"/><Relationship Id="rId6435" Type="http://schemas.openxmlformats.org/officeDocument/2006/relationships/hyperlink" Target="https://doi.org/10.1016/j.psychres.2014.04.003" TargetMode="External"/><Relationship Id="rId1994" Type="http://schemas.openxmlformats.org/officeDocument/2006/relationships/hyperlink" Target="https://doi.org/10.1097/NMD.0000000000000924" TargetMode="External"/><Relationship Id="rId5451" Type="http://schemas.openxmlformats.org/officeDocument/2006/relationships/hyperlink" Target="https://doi.org/10.1186/1744-9081-6-67" TargetMode="External"/><Relationship Id="rId6502" Type="http://schemas.openxmlformats.org/officeDocument/2006/relationships/hyperlink" Target="https://doi.org/10.1007/s00406-019-00985-3" TargetMode="External"/><Relationship Id="rId1647" Type="http://schemas.openxmlformats.org/officeDocument/2006/relationships/hyperlink" Target="https://doi.org/10.1016/j.yebeh.2019.04.015" TargetMode="External"/><Relationship Id="rId4053" Type="http://schemas.openxmlformats.org/officeDocument/2006/relationships/hyperlink" Target="https://doi.org/10.1016/j.biopsych.2005.06.031" TargetMode="External"/><Relationship Id="rId5104" Type="http://schemas.openxmlformats.org/officeDocument/2006/relationships/hyperlink" Target="https://doi.org/10.1371/journal.pone.0061108" TargetMode="External"/><Relationship Id="rId1714" Type="http://schemas.openxmlformats.org/officeDocument/2006/relationships/hyperlink" Target="https://doi.org/10.1097/WNN.0000000000000049" TargetMode="External"/><Relationship Id="rId4120" Type="http://schemas.openxmlformats.org/officeDocument/2006/relationships/hyperlink" Target="https://doi.org/10.1080/13554790802459494" TargetMode="External"/><Relationship Id="rId6292" Type="http://schemas.openxmlformats.org/officeDocument/2006/relationships/hyperlink" Target="https://doi.org/10.1016/j.schres.2008.05.031" TargetMode="External"/><Relationship Id="rId2488" Type="http://schemas.openxmlformats.org/officeDocument/2006/relationships/hyperlink" Target="https://doi.org/10.1159/000108606" TargetMode="External"/><Relationship Id="rId3886" Type="http://schemas.openxmlformats.org/officeDocument/2006/relationships/hyperlink" Target="https://doi.org/10.1016/j.eurpsy.2016.04.011" TargetMode="External"/><Relationship Id="rId4937" Type="http://schemas.openxmlformats.org/officeDocument/2006/relationships/hyperlink" Target="https://doi.org/10.1093/med:psych/9780199845491.003.0019" TargetMode="External"/><Relationship Id="rId3539" Type="http://schemas.openxmlformats.org/officeDocument/2006/relationships/hyperlink" Target="https://doi.org/10.1016/j.psychres.2003.12.007" TargetMode="External"/><Relationship Id="rId3953" Type="http://schemas.openxmlformats.org/officeDocument/2006/relationships/hyperlink" Target="https://doi.org/10.1016/j.nlm.2017.02.011" TargetMode="External"/><Relationship Id="rId6012" Type="http://schemas.openxmlformats.org/officeDocument/2006/relationships/hyperlink" Target="https://doi.org/10.1016/j.rasd.2014.12.005" TargetMode="External"/><Relationship Id="rId874" Type="http://schemas.openxmlformats.org/officeDocument/2006/relationships/hyperlink" Target="https://doi.org/10.1093/acprof:oso/9780198738824.001.0001" TargetMode="External"/><Relationship Id="rId2555" Type="http://schemas.openxmlformats.org/officeDocument/2006/relationships/hyperlink" Target="https://doi.org/10.1007/s00702-013-1086-x" TargetMode="External"/><Relationship Id="rId3606" Type="http://schemas.openxmlformats.org/officeDocument/2006/relationships/hyperlink" Target="https://doi.org/10.1016/j.addbeh.2018.07.006" TargetMode="External"/><Relationship Id="rId527" Type="http://schemas.openxmlformats.org/officeDocument/2006/relationships/hyperlink" Target="https://doi.org/10.1080/13803390601147686" TargetMode="External"/><Relationship Id="rId941" Type="http://schemas.openxmlformats.org/officeDocument/2006/relationships/hyperlink" Target="https://doi.org/10.1016/j.cpr.2012.06.001" TargetMode="External"/><Relationship Id="rId1157" Type="http://schemas.openxmlformats.org/officeDocument/2006/relationships/hyperlink" Target="https://doi.org/10.3928/15394492-20101108-02" TargetMode="External"/><Relationship Id="rId1571" Type="http://schemas.openxmlformats.org/officeDocument/2006/relationships/hyperlink" Target="https://doi.org/10.1089/neu.2012.2676" TargetMode="External"/><Relationship Id="rId2208" Type="http://schemas.openxmlformats.org/officeDocument/2006/relationships/hyperlink" Target="https://doi.org/10.1080/13854040500488552" TargetMode="External"/><Relationship Id="rId2622" Type="http://schemas.openxmlformats.org/officeDocument/2006/relationships/hyperlink" Target="https://doi.org/10.1080/13554790802603679" TargetMode="External"/><Relationship Id="rId5778" Type="http://schemas.openxmlformats.org/officeDocument/2006/relationships/hyperlink" Target="https://doi.org/10.1177/0004867418769746" TargetMode="External"/><Relationship Id="rId1224" Type="http://schemas.openxmlformats.org/officeDocument/2006/relationships/hyperlink" Target="https://doi.org/10.1016/j.neurobiolaging.2017.09.019" TargetMode="External"/><Relationship Id="rId4794" Type="http://schemas.openxmlformats.org/officeDocument/2006/relationships/hyperlink" Target="https://doi.org/10.1002/dev.20518" TargetMode="External"/><Relationship Id="rId5845" Type="http://schemas.openxmlformats.org/officeDocument/2006/relationships/hyperlink" Target="https://doi.org/10.1080/02643290442000220" TargetMode="External"/><Relationship Id="rId3396" Type="http://schemas.openxmlformats.org/officeDocument/2006/relationships/hyperlink" Target="https://doi.org/10.1111/bdi.12236" TargetMode="External"/><Relationship Id="rId4447" Type="http://schemas.openxmlformats.org/officeDocument/2006/relationships/hyperlink" Target="https://doi.org/10.1007/s10896-014-9600-y" TargetMode="External"/><Relationship Id="rId3049" Type="http://schemas.openxmlformats.org/officeDocument/2006/relationships/hyperlink" Target="https://doi.org/10.1016/j.biopsych.2011.11.021" TargetMode="External"/><Relationship Id="rId3463" Type="http://schemas.openxmlformats.org/officeDocument/2006/relationships/hyperlink" Target="https://doi.org/10.1016/j.yebeh.2012.11.003" TargetMode="External"/><Relationship Id="rId4861" Type="http://schemas.openxmlformats.org/officeDocument/2006/relationships/hyperlink" Target="https://doi.org/10.1159/000098652" TargetMode="External"/><Relationship Id="rId5912" Type="http://schemas.openxmlformats.org/officeDocument/2006/relationships/hyperlink" Target="https://doi.org/10.4088/JCP.12m07686" TargetMode="External"/><Relationship Id="rId384" Type="http://schemas.openxmlformats.org/officeDocument/2006/relationships/hyperlink" Target="https://doi.org/10.1080/01688639408402627" TargetMode="External"/><Relationship Id="rId2065" Type="http://schemas.openxmlformats.org/officeDocument/2006/relationships/hyperlink" Target="https://doi.org/10.1016/j.yebeh.2012.11.001" TargetMode="External"/><Relationship Id="rId3116" Type="http://schemas.openxmlformats.org/officeDocument/2006/relationships/hyperlink" Target="https://doi.org/10.1007/s002130050503" TargetMode="External"/><Relationship Id="rId4514" Type="http://schemas.openxmlformats.org/officeDocument/2006/relationships/hyperlink" Target="https://doi.org/10.1016/j.jagp.2015.05.010" TargetMode="External"/><Relationship Id="rId1081" Type="http://schemas.openxmlformats.org/officeDocument/2006/relationships/hyperlink" Target="https://doi.org/10.1093/arclin/acp091" TargetMode="External"/><Relationship Id="rId3530" Type="http://schemas.openxmlformats.org/officeDocument/2006/relationships/hyperlink" Target="https://doi.org/10.1348/147608309X481117" TargetMode="External"/><Relationship Id="rId451" Type="http://schemas.openxmlformats.org/officeDocument/2006/relationships/hyperlink" Target="https://doi.org/10.1097/PSY.0b013e3182383a94" TargetMode="External"/><Relationship Id="rId2132" Type="http://schemas.openxmlformats.org/officeDocument/2006/relationships/hyperlink" Target="https://doi.org/10.1176/appi.neuropsych.19.1.36" TargetMode="External"/><Relationship Id="rId5288" Type="http://schemas.openxmlformats.org/officeDocument/2006/relationships/hyperlink" Target="https://doi.org/10.1037/neu0000031" TargetMode="External"/><Relationship Id="rId6339" Type="http://schemas.openxmlformats.org/officeDocument/2006/relationships/hyperlink" Target="https://doi.org/10.1016/j.acn.2005.07.008" TargetMode="External"/><Relationship Id="rId104" Type="http://schemas.openxmlformats.org/officeDocument/2006/relationships/hyperlink" Target="https://doi.org/10.1080/13854049708407029" TargetMode="External"/><Relationship Id="rId1898" Type="http://schemas.openxmlformats.org/officeDocument/2006/relationships/hyperlink" Target="https://doi.org/10.1017/S1355617704104049" TargetMode="External"/><Relationship Id="rId2949" Type="http://schemas.openxmlformats.org/officeDocument/2006/relationships/hyperlink" Target="https://doi.org/10.3389/fpsyt.2019.00459" TargetMode="External"/><Relationship Id="rId5355" Type="http://schemas.openxmlformats.org/officeDocument/2006/relationships/hyperlink" Target="https://doi.org/10.1093/schbul/sbi008" TargetMode="External"/><Relationship Id="rId6406" Type="http://schemas.openxmlformats.org/officeDocument/2006/relationships/hyperlink" Target="https://doi.org/10.1016/j.ridd.2016.12.007" TargetMode="External"/><Relationship Id="rId4371" Type="http://schemas.openxmlformats.org/officeDocument/2006/relationships/hyperlink" Target="https://doi.org/10.1016/j.schres.2013.08.027" TargetMode="External"/><Relationship Id="rId5008" Type="http://schemas.openxmlformats.org/officeDocument/2006/relationships/hyperlink" Target="https://doi.org/10.1016/j.bandl.2018.04.003" TargetMode="External"/><Relationship Id="rId5422" Type="http://schemas.openxmlformats.org/officeDocument/2006/relationships/hyperlink" Target="https://doi.org/10.1097/NMD.0000000000000216" TargetMode="External"/><Relationship Id="rId1965" Type="http://schemas.openxmlformats.org/officeDocument/2006/relationships/hyperlink" Target="https://doi.org/10.1017/S1355617717000297" TargetMode="External"/><Relationship Id="rId4024" Type="http://schemas.openxmlformats.org/officeDocument/2006/relationships/hyperlink" Target="https://doi.org/10.1016/j.neuropsychologia.2020.107468" TargetMode="External"/><Relationship Id="rId1618" Type="http://schemas.openxmlformats.org/officeDocument/2006/relationships/hyperlink" Target="https://doi.org/10.1016/j.brat.2018.03.010" TargetMode="External"/><Relationship Id="rId3040" Type="http://schemas.openxmlformats.org/officeDocument/2006/relationships/hyperlink" Target="https://doi.org/10.22365/jpsych.2016.273.182" TargetMode="External"/><Relationship Id="rId6196" Type="http://schemas.openxmlformats.org/officeDocument/2006/relationships/hyperlink" Target="https://doi.org/10.1080/09084282.2011.643964" TargetMode="External"/><Relationship Id="rId3857" Type="http://schemas.openxmlformats.org/officeDocument/2006/relationships/hyperlink" Target="https://doi.org/10.1155/2012/658024" TargetMode="External"/><Relationship Id="rId4908" Type="http://schemas.openxmlformats.org/officeDocument/2006/relationships/hyperlink" Target="https://doi.org/10.1016/j.neuropsychologia.2004.10.007" TargetMode="External"/><Relationship Id="rId6263" Type="http://schemas.openxmlformats.org/officeDocument/2006/relationships/hyperlink" Target="https://doi.org/10.1080/13803395.2021.1874881" TargetMode="External"/><Relationship Id="rId778" Type="http://schemas.openxmlformats.org/officeDocument/2006/relationships/hyperlink" Target="https://doi.org/10.1097/01.nmd.0000207360.70337.7e" TargetMode="External"/><Relationship Id="rId2459" Type="http://schemas.openxmlformats.org/officeDocument/2006/relationships/hyperlink" Target="https://doi.org/10.1016/j.actpsy.2003.12.010" TargetMode="External"/><Relationship Id="rId2873" Type="http://schemas.openxmlformats.org/officeDocument/2006/relationships/hyperlink" Target="https://doi.org/10.1016/j.schres.2005.07.038" TargetMode="External"/><Relationship Id="rId3924" Type="http://schemas.openxmlformats.org/officeDocument/2006/relationships/hyperlink" Target="https://doi.org/10.1080/08870446.2010.493611" TargetMode="External"/><Relationship Id="rId6330" Type="http://schemas.openxmlformats.org/officeDocument/2006/relationships/hyperlink" Target="https://doi.org/10.1097/01.nmd.0000161685.54077.e4" TargetMode="External"/><Relationship Id="rId845" Type="http://schemas.openxmlformats.org/officeDocument/2006/relationships/hyperlink" Target="https://doi.org/10.2466/pr0.1996.78.1.123" TargetMode="External"/><Relationship Id="rId1475" Type="http://schemas.openxmlformats.org/officeDocument/2006/relationships/hyperlink" Target="https://doi.org/10.1016/j.schres.2006.03.003" TargetMode="External"/><Relationship Id="rId2526" Type="http://schemas.openxmlformats.org/officeDocument/2006/relationships/hyperlink" Target="https://doi.org/10.1001/archpsyc.61.9.866" TargetMode="External"/><Relationship Id="rId1128" Type="http://schemas.openxmlformats.org/officeDocument/2006/relationships/hyperlink" Target="https://doi.org/10.1111/eip.12852" TargetMode="External"/><Relationship Id="rId1542" Type="http://schemas.openxmlformats.org/officeDocument/2006/relationships/hyperlink" Target="https://doi.org/10.1016/j.neuropsychologia.2008.05.006" TargetMode="External"/><Relationship Id="rId2940" Type="http://schemas.openxmlformats.org/officeDocument/2006/relationships/hyperlink" Target="https://doi.org/10.1002/aur.1721" TargetMode="External"/><Relationship Id="rId4698" Type="http://schemas.openxmlformats.org/officeDocument/2006/relationships/hyperlink" Target="https://doi.org/10.3917/rne.062.0129" TargetMode="External"/><Relationship Id="rId5749" Type="http://schemas.openxmlformats.org/officeDocument/2006/relationships/hyperlink" Target="https://doi.org/10.1080/87565649609540657" TargetMode="External"/><Relationship Id="rId912" Type="http://schemas.openxmlformats.org/officeDocument/2006/relationships/hyperlink" Target="https://doi.org/10.1097/01.jcp.0000144889.51072.03" TargetMode="External"/><Relationship Id="rId4765" Type="http://schemas.openxmlformats.org/officeDocument/2006/relationships/hyperlink" Target="https://doi.org/10.1080/13854046.2011.604043" TargetMode="External"/><Relationship Id="rId5816" Type="http://schemas.openxmlformats.org/officeDocument/2006/relationships/hyperlink" Target="https://doi.org/10.1176/appi.ajp.2012.12070971" TargetMode="External"/><Relationship Id="rId288" Type="http://schemas.openxmlformats.org/officeDocument/2006/relationships/hyperlink" Target="https://doi.org/10.1016/j.ridd.2016.04.009" TargetMode="External"/><Relationship Id="rId3367" Type="http://schemas.openxmlformats.org/officeDocument/2006/relationships/hyperlink" Target="https://doi.org/10.1080/09297049.2016.1259402" TargetMode="External"/><Relationship Id="rId3781" Type="http://schemas.openxmlformats.org/officeDocument/2006/relationships/hyperlink" Target="https://doi.org/10.1016/j.neuropsychologia.2008.11.025" TargetMode="External"/><Relationship Id="rId4418" Type="http://schemas.openxmlformats.org/officeDocument/2006/relationships/hyperlink" Target="https://doi.org/10.1016/j.parkreldis.2017.10.002" TargetMode="External"/><Relationship Id="rId4832" Type="http://schemas.openxmlformats.org/officeDocument/2006/relationships/hyperlink" Target="https://doi.org/10.1016/j.biopsych.2007.05.016" TargetMode="External"/><Relationship Id="rId2383" Type="http://schemas.openxmlformats.org/officeDocument/2006/relationships/hyperlink" Target="https://doi.org/10.1016/0165-1781(96)02940-X" TargetMode="External"/><Relationship Id="rId3434" Type="http://schemas.openxmlformats.org/officeDocument/2006/relationships/hyperlink" Target="https://doi.org/10.1002/1099-1077(200010)15:7%3c513::AID-HUP213%3e3.0.CO;2-Y" TargetMode="External"/><Relationship Id="rId355" Type="http://schemas.openxmlformats.org/officeDocument/2006/relationships/hyperlink" Target="https://doi.org/10.1080/09602011.2017.1409640" TargetMode="External"/><Relationship Id="rId2036" Type="http://schemas.openxmlformats.org/officeDocument/2006/relationships/hyperlink" Target="https://doi.org/10.1016/j.addbeh.2006.02.019" TargetMode="External"/><Relationship Id="rId2450" Type="http://schemas.openxmlformats.org/officeDocument/2006/relationships/hyperlink" Target="https://doi.org/10.1002/bdm.711" TargetMode="External"/><Relationship Id="rId3501" Type="http://schemas.openxmlformats.org/officeDocument/2006/relationships/hyperlink" Target="https://doi.org/10.4236/psych.2011.26094" TargetMode="External"/><Relationship Id="rId422" Type="http://schemas.openxmlformats.org/officeDocument/2006/relationships/hyperlink" Target="https://doi.org/10.1097/01.nmd.0000149212.94261.1e" TargetMode="External"/><Relationship Id="rId1052" Type="http://schemas.openxmlformats.org/officeDocument/2006/relationships/hyperlink" Target="https://doi.org/10.1080/09638288.2019.1647295" TargetMode="External"/><Relationship Id="rId2103" Type="http://schemas.openxmlformats.org/officeDocument/2006/relationships/hyperlink" Target="https://doi.org/10.1001/archpsyc.1994.03950040009001" TargetMode="External"/><Relationship Id="rId5259" Type="http://schemas.openxmlformats.org/officeDocument/2006/relationships/hyperlink" Target="https://doi.org/10.1016/j.ntt.2016.05.003" TargetMode="External"/><Relationship Id="rId5673" Type="http://schemas.openxmlformats.org/officeDocument/2006/relationships/hyperlink" Target="https://doi.org/10.1080/13803390903512645" TargetMode="External"/><Relationship Id="rId4275" Type="http://schemas.openxmlformats.org/officeDocument/2006/relationships/hyperlink" Target="https://doi.org/10.1111/j.1399-5618.2004.00167.x" TargetMode="External"/><Relationship Id="rId5326" Type="http://schemas.openxmlformats.org/officeDocument/2006/relationships/hyperlink" Target="https://doi.org/10.1016/j.pnpbp.2007.09.020" TargetMode="External"/><Relationship Id="rId1869" Type="http://schemas.openxmlformats.org/officeDocument/2006/relationships/hyperlink" Target="https://doi.org/10.1037/0894-4105.22.2.196" TargetMode="External"/><Relationship Id="rId3291" Type="http://schemas.openxmlformats.org/officeDocument/2006/relationships/hyperlink" Target="https://doi.org/10.1016/j.biopsych.2005.09.005" TargetMode="External"/><Relationship Id="rId5740" Type="http://schemas.openxmlformats.org/officeDocument/2006/relationships/hyperlink" Target="https://doi.org/10.1016/j.cpr.2011.06.007" TargetMode="External"/><Relationship Id="rId1936" Type="http://schemas.openxmlformats.org/officeDocument/2006/relationships/hyperlink" Target="https://doi.org/10.1097/WNN.0b013e3181d746ba" TargetMode="External"/><Relationship Id="rId4342" Type="http://schemas.openxmlformats.org/officeDocument/2006/relationships/hyperlink" Target="https://doi.org/10.1017/S1355617713001483" TargetMode="External"/><Relationship Id="rId3011" Type="http://schemas.openxmlformats.org/officeDocument/2006/relationships/hyperlink" Target="https://doi.org/10.1111/epi.12623" TargetMode="External"/><Relationship Id="rId6167" Type="http://schemas.openxmlformats.org/officeDocument/2006/relationships/hyperlink" Target="https://doi.org/10.1080/13651500701805727" TargetMode="External"/><Relationship Id="rId2777" Type="http://schemas.openxmlformats.org/officeDocument/2006/relationships/hyperlink" Target="https://doi.org/10.1016/j.psychres.2004.03.015" TargetMode="External"/><Relationship Id="rId5183" Type="http://schemas.openxmlformats.org/officeDocument/2006/relationships/hyperlink" Target="https://doi.org/10.1007/978-0-387-76978-3_14" TargetMode="External"/><Relationship Id="rId6234" Type="http://schemas.openxmlformats.org/officeDocument/2006/relationships/hyperlink" Target="https://doi.org/10.1080/87565649409540564" TargetMode="External"/><Relationship Id="rId749" Type="http://schemas.openxmlformats.org/officeDocument/2006/relationships/hyperlink" Target="https://doi.org/10.1207/S15324826AN0904_2" TargetMode="External"/><Relationship Id="rId1379" Type="http://schemas.openxmlformats.org/officeDocument/2006/relationships/hyperlink" Target="https://doi.org/10.1590/S1980-57642013DN70100011" TargetMode="External"/><Relationship Id="rId3828" Type="http://schemas.openxmlformats.org/officeDocument/2006/relationships/hyperlink" Target="https://doi.org/10.1017/S1352465812000835" TargetMode="External"/><Relationship Id="rId5250" Type="http://schemas.openxmlformats.org/officeDocument/2006/relationships/hyperlink" Target="https://doi.org/10.1016/S0920-9964(96)00094-1" TargetMode="External"/><Relationship Id="rId6301" Type="http://schemas.openxmlformats.org/officeDocument/2006/relationships/hyperlink" Target="https://doi.org/10.1016/j.schres.2013.09.005" TargetMode="External"/><Relationship Id="rId1793" Type="http://schemas.openxmlformats.org/officeDocument/2006/relationships/hyperlink" Target="https://doi.org/10.1016/j.neurobiolaging.2013.10.095" TargetMode="External"/><Relationship Id="rId2844" Type="http://schemas.openxmlformats.org/officeDocument/2006/relationships/hyperlink" Target="https://doi.org/10.2466/PMS.98.4.1441-1448" TargetMode="External"/><Relationship Id="rId85" Type="http://schemas.openxmlformats.org/officeDocument/2006/relationships/hyperlink" Target="https://doi.org/10.2466/PMS.89.7.824-830" TargetMode="External"/><Relationship Id="rId816" Type="http://schemas.openxmlformats.org/officeDocument/2006/relationships/hyperlink" Target="https://doi.org/10.1076/jcen.26.2.246.28087" TargetMode="External"/><Relationship Id="rId1446" Type="http://schemas.openxmlformats.org/officeDocument/2006/relationships/hyperlink" Target="https://doi.org/10.1016/j.jrp.2016.02.001" TargetMode="External"/><Relationship Id="rId1860" Type="http://schemas.openxmlformats.org/officeDocument/2006/relationships/hyperlink" Target="https://doi.org/10.1111/j.1440-1819.2012.02359.x" TargetMode="External"/><Relationship Id="rId2911" Type="http://schemas.openxmlformats.org/officeDocument/2006/relationships/hyperlink" Target="https://doi.org/10.1016/0022-3956(96)00028-3" TargetMode="External"/><Relationship Id="rId1513" Type="http://schemas.openxmlformats.org/officeDocument/2006/relationships/hyperlink" Target="https://doi.org/10.1111/ane.12375" TargetMode="External"/><Relationship Id="rId4669" Type="http://schemas.openxmlformats.org/officeDocument/2006/relationships/hyperlink" Target="https://doi.org/10.1016/0165-1781(96)02811-9" TargetMode="External"/><Relationship Id="rId3685" Type="http://schemas.openxmlformats.org/officeDocument/2006/relationships/hyperlink" Target="https://doi.org/10.1177/0018720819839817" TargetMode="External"/><Relationship Id="rId4736" Type="http://schemas.openxmlformats.org/officeDocument/2006/relationships/hyperlink" Target="https://doi.org/10.1097/00005053-200211000-00001" TargetMode="External"/><Relationship Id="rId6091" Type="http://schemas.openxmlformats.org/officeDocument/2006/relationships/hyperlink" Target="https://doi.org/10.1016/j.pnpbp.2009.02.018" TargetMode="External"/><Relationship Id="rId2287" Type="http://schemas.openxmlformats.org/officeDocument/2006/relationships/hyperlink" Target="https://doi.org/10.1176/ajp.151.12.1842b" TargetMode="External"/><Relationship Id="rId3338" Type="http://schemas.openxmlformats.org/officeDocument/2006/relationships/hyperlink" Target="https://doi.org/10.1097/01.HTR.0000271115.29954.27" TargetMode="External"/><Relationship Id="rId3752" Type="http://schemas.openxmlformats.org/officeDocument/2006/relationships/hyperlink" Target="https://doi.org/10.1007/s10072-010-0351-0" TargetMode="External"/><Relationship Id="rId259" Type="http://schemas.openxmlformats.org/officeDocument/2006/relationships/hyperlink" Target="https://doi.org/10.1002/gps.1022" TargetMode="External"/><Relationship Id="rId673" Type="http://schemas.openxmlformats.org/officeDocument/2006/relationships/hyperlink" Target="https://doi.org/10.1016/j.encep.2007.12.005" TargetMode="External"/><Relationship Id="rId2354" Type="http://schemas.openxmlformats.org/officeDocument/2006/relationships/hyperlink" Target="https://doi.org/10.1016/j.paid.2005.11.017" TargetMode="External"/><Relationship Id="rId3405" Type="http://schemas.openxmlformats.org/officeDocument/2006/relationships/hyperlink" Target="https://doi.org/10.1097/01.wnf.0000172498.24770.54" TargetMode="External"/><Relationship Id="rId4803" Type="http://schemas.openxmlformats.org/officeDocument/2006/relationships/hyperlink" Target="https://doi.org/10.1111/jir.12275" TargetMode="External"/><Relationship Id="rId326" Type="http://schemas.openxmlformats.org/officeDocument/2006/relationships/hyperlink" Target="https://doi.org/10.1002/pmh.1235" TargetMode="External"/><Relationship Id="rId1370" Type="http://schemas.openxmlformats.org/officeDocument/2006/relationships/hyperlink" Target="https://doi.org/10.1016/j.neuropsychologia.2017.08.007" TargetMode="External"/><Relationship Id="rId2007" Type="http://schemas.openxmlformats.org/officeDocument/2006/relationships/hyperlink" Target="https://doi.org/10.1037/14048-000" TargetMode="External"/><Relationship Id="rId740" Type="http://schemas.openxmlformats.org/officeDocument/2006/relationships/hyperlink" Target="https://doi.org/10.1097/JCP.0000000000001242" TargetMode="External"/><Relationship Id="rId1023" Type="http://schemas.openxmlformats.org/officeDocument/2006/relationships/hyperlink" Target="https://doi.org/10.1080/02791072.2015.1071447" TargetMode="External"/><Relationship Id="rId2421" Type="http://schemas.openxmlformats.org/officeDocument/2006/relationships/hyperlink" Target="https://doi.org/10.1016/j.ijpsycho.2012.03.006" TargetMode="External"/><Relationship Id="rId4179" Type="http://schemas.openxmlformats.org/officeDocument/2006/relationships/hyperlink" Target="https://doi.org/10.1007/s12311-013-0457-z" TargetMode="External"/><Relationship Id="rId5577" Type="http://schemas.openxmlformats.org/officeDocument/2006/relationships/hyperlink" Target="https://doi.org/10.1038/sj.mp.4001988" TargetMode="External"/><Relationship Id="rId5991" Type="http://schemas.openxmlformats.org/officeDocument/2006/relationships/hyperlink" Target="https://doi.org/10.1016/j.cpr.2013.02.003" TargetMode="External"/><Relationship Id="rId4593" Type="http://schemas.openxmlformats.org/officeDocument/2006/relationships/hyperlink" Target="https://doi.org/10.1016/j.schres.2014.09.045" TargetMode="External"/><Relationship Id="rId5644" Type="http://schemas.openxmlformats.org/officeDocument/2006/relationships/hyperlink" Target="https://doi.org/10.3389/fpsyg.2013.00483" TargetMode="External"/><Relationship Id="rId3195" Type="http://schemas.openxmlformats.org/officeDocument/2006/relationships/hyperlink" Target="https://doi.org/10.1037/neu0000271" TargetMode="External"/><Relationship Id="rId4246" Type="http://schemas.openxmlformats.org/officeDocument/2006/relationships/hyperlink" Target="https://doi.org/10.1016/j.braindev.2016.10.002" TargetMode="External"/><Relationship Id="rId4660" Type="http://schemas.openxmlformats.org/officeDocument/2006/relationships/hyperlink" Target="https://doi.org/10.1016/j.jns.2005.11.035" TargetMode="External"/><Relationship Id="rId5711" Type="http://schemas.openxmlformats.org/officeDocument/2006/relationships/hyperlink" Target="https://doi.org/10.1080/13854046.2016.1251973" TargetMode="External"/><Relationship Id="rId3262" Type="http://schemas.openxmlformats.org/officeDocument/2006/relationships/hyperlink" Target="https://doi.org/10.1016/j.schres.2015.03.026" TargetMode="External"/><Relationship Id="rId4313" Type="http://schemas.openxmlformats.org/officeDocument/2006/relationships/hyperlink" Target="https://doi.org/10.1002/erv.2500" TargetMode="External"/><Relationship Id="rId183" Type="http://schemas.openxmlformats.org/officeDocument/2006/relationships/hyperlink" Target="https://doi.org/10.3233/NRE-151280" TargetMode="External"/><Relationship Id="rId1907" Type="http://schemas.openxmlformats.org/officeDocument/2006/relationships/hyperlink" Target="https://doi.org/10.1111/j.1600-0447.2004.00319.x" TargetMode="External"/><Relationship Id="rId6485" Type="http://schemas.openxmlformats.org/officeDocument/2006/relationships/hyperlink" Target="https://doi.org/10.1017/S1355617714000472" TargetMode="External"/><Relationship Id="rId250" Type="http://schemas.openxmlformats.org/officeDocument/2006/relationships/hyperlink" Target="https://doi.org/10.1093/geronb/gbz062" TargetMode="External"/><Relationship Id="rId5087" Type="http://schemas.openxmlformats.org/officeDocument/2006/relationships/hyperlink" Target="https://doi.org/10.1080/87565641.2020.1825719" TargetMode="External"/><Relationship Id="rId6138" Type="http://schemas.openxmlformats.org/officeDocument/2006/relationships/hyperlink" Target="https://doi.org/10.1017/S0317167100011471" TargetMode="External"/><Relationship Id="rId5154" Type="http://schemas.openxmlformats.org/officeDocument/2006/relationships/hyperlink" Target="https://doi.org/10.1176/appi.neuropsych.16.3.367" TargetMode="External"/><Relationship Id="rId1697" Type="http://schemas.openxmlformats.org/officeDocument/2006/relationships/hyperlink" Target="https://doi.org/10.1016/j.yebeh.2009.09.010" TargetMode="External"/><Relationship Id="rId2748" Type="http://schemas.openxmlformats.org/officeDocument/2006/relationships/hyperlink" Target="https://doi.org/10.1080/09084282.2010.525104" TargetMode="External"/><Relationship Id="rId6205" Type="http://schemas.openxmlformats.org/officeDocument/2006/relationships/hyperlink" Target="https://doi.org/10.1097/00004583-199909000-00018" TargetMode="External"/><Relationship Id="rId1764" Type="http://schemas.openxmlformats.org/officeDocument/2006/relationships/hyperlink" Target="https://doi.org/10.1080/13803395.2016.1273319" TargetMode="External"/><Relationship Id="rId2815" Type="http://schemas.openxmlformats.org/officeDocument/2006/relationships/hyperlink" Target="https://doi.org/10.1080/10826084.2019.1613432" TargetMode="External"/><Relationship Id="rId4170" Type="http://schemas.openxmlformats.org/officeDocument/2006/relationships/hyperlink" Target="https://doi.org/10.1016/S0278-2626(03)00182-9" TargetMode="External"/><Relationship Id="rId5221" Type="http://schemas.openxmlformats.org/officeDocument/2006/relationships/hyperlink" Target="https://doi.org/10.1177/1534650106295157" TargetMode="External"/><Relationship Id="rId56" Type="http://schemas.openxmlformats.org/officeDocument/2006/relationships/hyperlink" Target="https://doi.org/10.1037/neu0000319" TargetMode="External"/><Relationship Id="rId1417" Type="http://schemas.openxmlformats.org/officeDocument/2006/relationships/hyperlink" Target="https://doi.org/10.1038/npp.2012.208" TargetMode="External"/><Relationship Id="rId1831" Type="http://schemas.openxmlformats.org/officeDocument/2006/relationships/hyperlink" Target="https://doi.org/10.1017/S1355617710000317" TargetMode="External"/><Relationship Id="rId4987" Type="http://schemas.openxmlformats.org/officeDocument/2006/relationships/hyperlink" Target="https://doi.org/10.1016/j.jad.2016.04.016" TargetMode="External"/><Relationship Id="rId3589" Type="http://schemas.openxmlformats.org/officeDocument/2006/relationships/hyperlink" Target="https://doi.org/10.3389/fpsyt.2019.00951" TargetMode="External"/><Relationship Id="rId6062" Type="http://schemas.openxmlformats.org/officeDocument/2006/relationships/hyperlink" Target="https://doi.org/10.1016/S0920-9964(01)00225-0" TargetMode="External"/><Relationship Id="rId577" Type="http://schemas.openxmlformats.org/officeDocument/2006/relationships/hyperlink" Target="https://doi.org/10.1016/j.neuropsychologia.2017.06.028" TargetMode="External"/><Relationship Id="rId2258" Type="http://schemas.openxmlformats.org/officeDocument/2006/relationships/hyperlink" Target="https://doi.org/10.1016/j.psychres.2011.09.025" TargetMode="External"/><Relationship Id="rId3656" Type="http://schemas.openxmlformats.org/officeDocument/2006/relationships/hyperlink" Target="https://doi.org/10.1007/s12311-013-0478-7" TargetMode="External"/><Relationship Id="rId4707" Type="http://schemas.openxmlformats.org/officeDocument/2006/relationships/hyperlink" Target="https://doi.org/10.1016/j.schres.2013.09.020" TargetMode="External"/><Relationship Id="rId991" Type="http://schemas.openxmlformats.org/officeDocument/2006/relationships/hyperlink" Target="https://doi.org/10.1002/9781444300895.ch21" TargetMode="External"/><Relationship Id="rId2672" Type="http://schemas.openxmlformats.org/officeDocument/2006/relationships/hyperlink" Target="https://doi.org/10.1016/j.eurpsy.2014.11.006" TargetMode="External"/><Relationship Id="rId3309" Type="http://schemas.openxmlformats.org/officeDocument/2006/relationships/hyperlink" Target="https://doi.org/10.1016/j.cortex.2020.04.023" TargetMode="External"/><Relationship Id="rId3723" Type="http://schemas.openxmlformats.org/officeDocument/2006/relationships/hyperlink" Target="https://doi.org/10.1080/09297049.2015.1012491" TargetMode="External"/><Relationship Id="rId644" Type="http://schemas.openxmlformats.org/officeDocument/2006/relationships/hyperlink" Target="https://doi.org/10.1037/a0028517" TargetMode="External"/><Relationship Id="rId1274" Type="http://schemas.openxmlformats.org/officeDocument/2006/relationships/hyperlink" Target="https://doi.org/10.1017/S031716710001146X" TargetMode="External"/><Relationship Id="rId2325" Type="http://schemas.openxmlformats.org/officeDocument/2006/relationships/hyperlink" Target="https://doi.org/10.1016/j.bandc.2006.03.004" TargetMode="External"/><Relationship Id="rId5895" Type="http://schemas.openxmlformats.org/officeDocument/2006/relationships/hyperlink" Target="https://doi.org/10.1108/JFP-10-2013-0044" TargetMode="External"/><Relationship Id="rId711" Type="http://schemas.openxmlformats.org/officeDocument/2006/relationships/hyperlink" Target="https://doi.org/10.1016/B978-0-12-800981-9.00002-X" TargetMode="External"/><Relationship Id="rId1341" Type="http://schemas.openxmlformats.org/officeDocument/2006/relationships/hyperlink" Target="https://doi.org/10.1590/1980-57642016dn11-010011" TargetMode="External"/><Relationship Id="rId4497" Type="http://schemas.openxmlformats.org/officeDocument/2006/relationships/hyperlink" Target="https://doi.org/10.1007/s10519-011-9468-z" TargetMode="External"/><Relationship Id="rId5548" Type="http://schemas.openxmlformats.org/officeDocument/2006/relationships/hyperlink" Target="https://doi.org/10.1016/j.ntt.2011.11.003" TargetMode="External"/><Relationship Id="rId5962" Type="http://schemas.openxmlformats.org/officeDocument/2006/relationships/hyperlink" Target="https://doi.org/10.1080/13825585.2019.1572100" TargetMode="External"/><Relationship Id="rId3099" Type="http://schemas.openxmlformats.org/officeDocument/2006/relationships/hyperlink" Target="https://doi.org/10.1016/j.psychres.2019.01.035" TargetMode="External"/><Relationship Id="rId4564" Type="http://schemas.openxmlformats.org/officeDocument/2006/relationships/hyperlink" Target="https://doi.org/10.1080/09084282.2011.643952" TargetMode="External"/><Relationship Id="rId5615" Type="http://schemas.openxmlformats.org/officeDocument/2006/relationships/hyperlink" Target="https://doi.org/10.1093/arclin/acq017" TargetMode="External"/><Relationship Id="rId3166" Type="http://schemas.openxmlformats.org/officeDocument/2006/relationships/hyperlink" Target="https://doi.org/10.1007/s12311-010-0184-7" TargetMode="External"/><Relationship Id="rId3580" Type="http://schemas.openxmlformats.org/officeDocument/2006/relationships/hyperlink" Target="https://doi.org/10.1016/j.bandc.2004.01.003" TargetMode="External"/><Relationship Id="rId4217" Type="http://schemas.openxmlformats.org/officeDocument/2006/relationships/hyperlink" Target="https://doi.org/10.1207/S15324826AN0802_3" TargetMode="External"/><Relationship Id="rId2182" Type="http://schemas.openxmlformats.org/officeDocument/2006/relationships/hyperlink" Target="https://doi.org/10.1016/j.brat.2006.08.002" TargetMode="External"/><Relationship Id="rId3233" Type="http://schemas.openxmlformats.org/officeDocument/2006/relationships/hyperlink" Target="https://doi.org/10.1177/108705470400700302" TargetMode="External"/><Relationship Id="rId4631" Type="http://schemas.openxmlformats.org/officeDocument/2006/relationships/hyperlink" Target="https://doi.org/10.1080/02687030500475085" TargetMode="External"/><Relationship Id="rId6389" Type="http://schemas.openxmlformats.org/officeDocument/2006/relationships/hyperlink" Target="https://doi.org/10.1016/j.braindev.2010.09.005" TargetMode="External"/><Relationship Id="rId154" Type="http://schemas.openxmlformats.org/officeDocument/2006/relationships/hyperlink" Target="https://doi.org/10.1080/13854046.2013.771215" TargetMode="External"/><Relationship Id="rId2999" Type="http://schemas.openxmlformats.org/officeDocument/2006/relationships/hyperlink" Target="https://doi.org/10.1080/13803390500276859" TargetMode="External"/><Relationship Id="rId3300" Type="http://schemas.openxmlformats.org/officeDocument/2006/relationships/hyperlink" Target="https://doi.org/10.1177/070674371405900103" TargetMode="External"/><Relationship Id="rId6456" Type="http://schemas.openxmlformats.org/officeDocument/2006/relationships/hyperlink" Target="https://doi.org/10.1007/978-0-387-78965-1_15" TargetMode="External"/><Relationship Id="rId221" Type="http://schemas.openxmlformats.org/officeDocument/2006/relationships/hyperlink" Target="https://doi.org/10.1080/09084280903098562" TargetMode="External"/><Relationship Id="rId5058" Type="http://schemas.openxmlformats.org/officeDocument/2006/relationships/hyperlink" Target="https://doi.org/10.1037/0894-4105.10.2.272" TargetMode="External"/><Relationship Id="rId5472" Type="http://schemas.openxmlformats.org/officeDocument/2006/relationships/hyperlink" Target="https://doi.org/10.1177/1362361307079606" TargetMode="External"/><Relationship Id="rId6109" Type="http://schemas.openxmlformats.org/officeDocument/2006/relationships/hyperlink" Target="https://doi.org/10.1037/xge0000333" TargetMode="External"/><Relationship Id="rId6523" Type="http://schemas.openxmlformats.org/officeDocument/2006/relationships/hyperlink" Target="https://doi.org/10.1590/1980-57642015DN92000006" TargetMode="External"/><Relationship Id="rId1668" Type="http://schemas.openxmlformats.org/officeDocument/2006/relationships/hyperlink" Target="https://doi.org/10.1093/acn/acx110" TargetMode="External"/><Relationship Id="rId2719" Type="http://schemas.openxmlformats.org/officeDocument/2006/relationships/hyperlink" Target="https://doi.org/10.1111/j.1365-2788.2006.00883.x" TargetMode="External"/><Relationship Id="rId4074" Type="http://schemas.openxmlformats.org/officeDocument/2006/relationships/hyperlink" Target="https://doi.org/10.1037/a0038611" TargetMode="External"/><Relationship Id="rId5125" Type="http://schemas.openxmlformats.org/officeDocument/2006/relationships/hyperlink" Target="https://doi.org/10.1159/000343502" TargetMode="External"/><Relationship Id="rId3090" Type="http://schemas.openxmlformats.org/officeDocument/2006/relationships/hyperlink" Target="https://doi.org/10.1080/13854046.2015.1063696" TargetMode="External"/><Relationship Id="rId4141" Type="http://schemas.openxmlformats.org/officeDocument/2006/relationships/hyperlink" Target="https://doi.org/10.1093/cercor/bhs068" TargetMode="External"/><Relationship Id="rId1735" Type="http://schemas.openxmlformats.org/officeDocument/2006/relationships/hyperlink" Target="https://doi.org/10.1016/j.neuropsychologia.2015.07.031" TargetMode="External"/><Relationship Id="rId27" Type="http://schemas.openxmlformats.org/officeDocument/2006/relationships/hyperlink" Target="https://doi.org/10.1093/brain/awq380" TargetMode="External"/><Relationship Id="rId1802" Type="http://schemas.openxmlformats.org/officeDocument/2006/relationships/hyperlink" Target="https://doi.org/10.1521/pedi.2006.20.1.55" TargetMode="External"/><Relationship Id="rId4958" Type="http://schemas.openxmlformats.org/officeDocument/2006/relationships/hyperlink" Target="https://doi.org/10.1016/0165-1781(94)90095-7" TargetMode="External"/><Relationship Id="rId3974" Type="http://schemas.openxmlformats.org/officeDocument/2006/relationships/hyperlink" Target="https://doi.org/10.1016/j.psychres.2014.07.019" TargetMode="External"/><Relationship Id="rId6380" Type="http://schemas.openxmlformats.org/officeDocument/2006/relationships/hyperlink" Target="https://doi.org/10.1016/j.jad.2014.03.005" TargetMode="External"/><Relationship Id="rId895" Type="http://schemas.openxmlformats.org/officeDocument/2006/relationships/hyperlink" Target="https://doi.org/10.1016/j.psychres.2012.08.038" TargetMode="External"/><Relationship Id="rId2576" Type="http://schemas.openxmlformats.org/officeDocument/2006/relationships/hyperlink" Target="https://doi.org/10.1503/jpn.090007" TargetMode="External"/><Relationship Id="rId2990" Type="http://schemas.openxmlformats.org/officeDocument/2006/relationships/hyperlink" Target="https://doi.org/10.1016/j.cogbrainres.2005.09.014" TargetMode="External"/><Relationship Id="rId3627" Type="http://schemas.openxmlformats.org/officeDocument/2006/relationships/hyperlink" Target="https://doi.org/10.3389/fnhum.2013.00350" TargetMode="External"/><Relationship Id="rId6033" Type="http://schemas.openxmlformats.org/officeDocument/2006/relationships/hyperlink" Target="https://doi.org/10.1093/arclin/acx099" TargetMode="External"/><Relationship Id="rId548" Type="http://schemas.openxmlformats.org/officeDocument/2006/relationships/hyperlink" Target="https://doi.org/10.1080/87565641.2016.1153099" TargetMode="External"/><Relationship Id="rId962" Type="http://schemas.openxmlformats.org/officeDocument/2006/relationships/hyperlink" Target="https://doi.org/10.1016/j.comppsych.2014.10.004" TargetMode="External"/><Relationship Id="rId1178" Type="http://schemas.openxmlformats.org/officeDocument/2006/relationships/hyperlink" Target="https://doi.org/10.1093/brain/awp146" TargetMode="External"/><Relationship Id="rId1592" Type="http://schemas.openxmlformats.org/officeDocument/2006/relationships/hyperlink" Target="https://doi.org/10.1016/j.psychres.2013.03.020" TargetMode="External"/><Relationship Id="rId2229" Type="http://schemas.openxmlformats.org/officeDocument/2006/relationships/hyperlink" Target="https://doi.org/10.1016/S0165-1781(98)00053-5" TargetMode="External"/><Relationship Id="rId2643" Type="http://schemas.openxmlformats.org/officeDocument/2006/relationships/hyperlink" Target="https://doi.org/10.1111/j.1468-1331.2012.03886.x" TargetMode="External"/><Relationship Id="rId5799" Type="http://schemas.openxmlformats.org/officeDocument/2006/relationships/hyperlink" Target="https://doi.org/10.1093/schbul/sbq077" TargetMode="External"/><Relationship Id="rId6100" Type="http://schemas.openxmlformats.org/officeDocument/2006/relationships/hyperlink" Target="https://doi.org/10.1016/j.psyneuen.2006.09.012" TargetMode="External"/><Relationship Id="rId615" Type="http://schemas.openxmlformats.org/officeDocument/2006/relationships/hyperlink" Target="https://doi.org/10.1093/schbul/sbu198" TargetMode="External"/><Relationship Id="rId1245" Type="http://schemas.openxmlformats.org/officeDocument/2006/relationships/hyperlink" Target="https://doi.org/10.1016/0165-1781(95)02649-H" TargetMode="External"/><Relationship Id="rId1312" Type="http://schemas.openxmlformats.org/officeDocument/2006/relationships/hyperlink" Target="https://doi.org/10.1080/09084282.2011.643960" TargetMode="External"/><Relationship Id="rId2710" Type="http://schemas.openxmlformats.org/officeDocument/2006/relationships/hyperlink" Target="https://doi.org/10.1212/01.wnl.0000280579.04974.c0" TargetMode="External"/><Relationship Id="rId4468" Type="http://schemas.openxmlformats.org/officeDocument/2006/relationships/hyperlink" Target="https://doi.org/10.1016/j.actpsy.2005.10.003" TargetMode="External"/><Relationship Id="rId5866" Type="http://schemas.openxmlformats.org/officeDocument/2006/relationships/hyperlink" Target="https://doi.org/10.1037/pac0000408" TargetMode="External"/><Relationship Id="rId4882" Type="http://schemas.openxmlformats.org/officeDocument/2006/relationships/hyperlink" Target="https://doi.org/10.1007/978-0-387-78965-1_3" TargetMode="External"/><Relationship Id="rId5519" Type="http://schemas.openxmlformats.org/officeDocument/2006/relationships/hyperlink" Target="https://doi.org/10.1016/j.psychres.2012.12.005" TargetMode="External"/><Relationship Id="rId5933" Type="http://schemas.openxmlformats.org/officeDocument/2006/relationships/hyperlink" Target="https://doi.org/10.1080/09658211.2014.928730" TargetMode="External"/><Relationship Id="rId2086" Type="http://schemas.openxmlformats.org/officeDocument/2006/relationships/hyperlink" Target="https://doi.org/10.1080/13554790490896866" TargetMode="External"/><Relationship Id="rId3484" Type="http://schemas.openxmlformats.org/officeDocument/2006/relationships/hyperlink" Target="https://doi.org/10.1371/journal.pone.0192229" TargetMode="External"/><Relationship Id="rId4535" Type="http://schemas.openxmlformats.org/officeDocument/2006/relationships/hyperlink" Target="https://doi.org/10.1080/13811118.2014.981623" TargetMode="External"/><Relationship Id="rId3137" Type="http://schemas.openxmlformats.org/officeDocument/2006/relationships/hyperlink" Target="https://doi.org/10.1111/j.1440-1819.2005.01400.x" TargetMode="External"/><Relationship Id="rId3551" Type="http://schemas.openxmlformats.org/officeDocument/2006/relationships/hyperlink" Target="https://doi.org/10.1016/j.addbeh.2013.07.002" TargetMode="External"/><Relationship Id="rId4602" Type="http://schemas.openxmlformats.org/officeDocument/2006/relationships/hyperlink" Target="https://doi.org/10.1016/j.psychres.2010.12.029" TargetMode="External"/><Relationship Id="rId472" Type="http://schemas.openxmlformats.org/officeDocument/2006/relationships/hyperlink" Target="https://doi.org/10.1176/ajp.157.1.26" TargetMode="External"/><Relationship Id="rId2153" Type="http://schemas.openxmlformats.org/officeDocument/2006/relationships/hyperlink" Target="https://doi.org/10.1037/a0030071" TargetMode="External"/><Relationship Id="rId3204" Type="http://schemas.openxmlformats.org/officeDocument/2006/relationships/hyperlink" Target="https://doi.org/10.1080/13803390601147611" TargetMode="External"/><Relationship Id="rId125" Type="http://schemas.openxmlformats.org/officeDocument/2006/relationships/hyperlink" Target="https://doi.org/10.1016/j.neuropsychologia.2015.06.022" TargetMode="External"/><Relationship Id="rId2220" Type="http://schemas.openxmlformats.org/officeDocument/2006/relationships/hyperlink" Target="https://doi.org/10.1016/j.bodyim.2013.04.002" TargetMode="External"/><Relationship Id="rId5376" Type="http://schemas.openxmlformats.org/officeDocument/2006/relationships/hyperlink" Target="https://doi.org/10.1037/a0032085" TargetMode="External"/><Relationship Id="rId5790" Type="http://schemas.openxmlformats.org/officeDocument/2006/relationships/hyperlink" Target="https://doi.org/10.1016/j.schres.2019.10.053" TargetMode="External"/><Relationship Id="rId6427" Type="http://schemas.openxmlformats.org/officeDocument/2006/relationships/hyperlink" Target="https://doi.org/10.1007/s10578-010-0212-3" TargetMode="External"/><Relationship Id="rId4392" Type="http://schemas.openxmlformats.org/officeDocument/2006/relationships/hyperlink" Target="https://doi.org/10.1001/archneurol.2011.26" TargetMode="External"/><Relationship Id="rId5029" Type="http://schemas.openxmlformats.org/officeDocument/2006/relationships/hyperlink" Target="https://doi.org/10.1017/S1355617721000114" TargetMode="External"/><Relationship Id="rId5443" Type="http://schemas.openxmlformats.org/officeDocument/2006/relationships/hyperlink" Target="https://doi.org/10.1111/j.1600-0447.2011.01759.x" TargetMode="External"/><Relationship Id="rId1986" Type="http://schemas.openxmlformats.org/officeDocument/2006/relationships/hyperlink" Target="https://doi.org/10.1002/gps.1450" TargetMode="External"/><Relationship Id="rId4045" Type="http://schemas.openxmlformats.org/officeDocument/2006/relationships/hyperlink" Target="https://doi.org/10.1097/FBP.0b013e3283305ec7" TargetMode="External"/><Relationship Id="rId1639" Type="http://schemas.openxmlformats.org/officeDocument/2006/relationships/hyperlink" Target="https://doi.org/10.1080/13546805.2014.922062" TargetMode="External"/><Relationship Id="rId3061" Type="http://schemas.openxmlformats.org/officeDocument/2006/relationships/hyperlink" Target="https://doi.org/10.1016/j.schres.2004.02.004" TargetMode="External"/><Relationship Id="rId5510" Type="http://schemas.openxmlformats.org/officeDocument/2006/relationships/hyperlink" Target="https://doi.org/10.1007/978-3-319-09537-0_7" TargetMode="External"/><Relationship Id="rId1706" Type="http://schemas.openxmlformats.org/officeDocument/2006/relationships/hyperlink" Target="https://doi.org/10.1123/jpah.6.2.239" TargetMode="External"/><Relationship Id="rId4112" Type="http://schemas.openxmlformats.org/officeDocument/2006/relationships/hyperlink" Target="https://doi.org/10.1016/j.psychres.2004.03.007" TargetMode="External"/><Relationship Id="rId3878" Type="http://schemas.openxmlformats.org/officeDocument/2006/relationships/hyperlink" Target="https://doi.org/10.1016/j.cortex.2016.12.023" TargetMode="External"/><Relationship Id="rId4929" Type="http://schemas.openxmlformats.org/officeDocument/2006/relationships/hyperlink" Target="https://doi.org/10.1186/1471-244X-6-3" TargetMode="External"/><Relationship Id="rId6284" Type="http://schemas.openxmlformats.org/officeDocument/2006/relationships/hyperlink" Target="https://doi.org/10.1177/0023830917746552" TargetMode="External"/><Relationship Id="rId799" Type="http://schemas.openxmlformats.org/officeDocument/2006/relationships/hyperlink" Target="https://doi.org/10.1037/0000032-002" TargetMode="External"/><Relationship Id="rId2894" Type="http://schemas.openxmlformats.org/officeDocument/2006/relationships/hyperlink" Target="https://doi.org/10.1016/j.neuropsychologia.2009.01.001" TargetMode="External"/><Relationship Id="rId6351" Type="http://schemas.openxmlformats.org/officeDocument/2006/relationships/hyperlink" Target="https://doi.org/10.1037/dec0000018" TargetMode="External"/><Relationship Id="rId866" Type="http://schemas.openxmlformats.org/officeDocument/2006/relationships/hyperlink" Target="https://doi.org/10.1080/13554794.2011.654216" TargetMode="External"/><Relationship Id="rId1496" Type="http://schemas.openxmlformats.org/officeDocument/2006/relationships/hyperlink" Target="https://doi.org/10.1111/sjop.12066" TargetMode="External"/><Relationship Id="rId2547" Type="http://schemas.openxmlformats.org/officeDocument/2006/relationships/hyperlink" Target="https://doi.org/10.1016/S0920-9964(02)00313-4" TargetMode="External"/><Relationship Id="rId3945" Type="http://schemas.openxmlformats.org/officeDocument/2006/relationships/hyperlink" Target="https://doi.org/10.1016/j.neuropsychologia.2004.03.012" TargetMode="External"/><Relationship Id="rId6004" Type="http://schemas.openxmlformats.org/officeDocument/2006/relationships/hyperlink" Target="https://doi.org/10.1016/j.jana.2012.01.005" TargetMode="External"/><Relationship Id="rId519" Type="http://schemas.openxmlformats.org/officeDocument/2006/relationships/hyperlink" Target="https://doi.org/10.1016/j.cortex.2010.09.005" TargetMode="External"/><Relationship Id="rId1149" Type="http://schemas.openxmlformats.org/officeDocument/2006/relationships/hyperlink" Target="https://doi.org/10.1038/mp.2016.247" TargetMode="External"/><Relationship Id="rId2961" Type="http://schemas.openxmlformats.org/officeDocument/2006/relationships/hyperlink" Target="https://doi.org/10.9758/cpn.2017.15.3.261" TargetMode="External"/><Relationship Id="rId5020" Type="http://schemas.openxmlformats.org/officeDocument/2006/relationships/hyperlink" Target="https://doi.org/10.1016/S0920-9964(03)00131-2" TargetMode="External"/><Relationship Id="rId933" Type="http://schemas.openxmlformats.org/officeDocument/2006/relationships/hyperlink" Target="https://doi.org/10.1177/0269881113480988" TargetMode="External"/><Relationship Id="rId1563" Type="http://schemas.openxmlformats.org/officeDocument/2006/relationships/hyperlink" Target="https://doi.org/10.1097/01.ALC.0000090142.11260.D7" TargetMode="External"/><Relationship Id="rId2614" Type="http://schemas.openxmlformats.org/officeDocument/2006/relationships/hyperlink" Target="https://doi.org/10.1002/ajmg.b.30907" TargetMode="External"/><Relationship Id="rId1216" Type="http://schemas.openxmlformats.org/officeDocument/2006/relationships/hyperlink" Target="https://doi.org/10.1016/j.rasd.2010.09.007" TargetMode="External"/><Relationship Id="rId1630" Type="http://schemas.openxmlformats.org/officeDocument/2006/relationships/hyperlink" Target="https://doi.org/10.1097/JGP.0b013e31825d08d6" TargetMode="External"/><Relationship Id="rId4786" Type="http://schemas.openxmlformats.org/officeDocument/2006/relationships/hyperlink" Target="https://doi.org/10.1080/87565649409540580" TargetMode="External"/><Relationship Id="rId5837" Type="http://schemas.openxmlformats.org/officeDocument/2006/relationships/hyperlink" Target="https://doi.org/10.1016/S0010-9452(08)70024-8" TargetMode="External"/><Relationship Id="rId3388" Type="http://schemas.openxmlformats.org/officeDocument/2006/relationships/hyperlink" Target="https://doi.org/10.1016/j.yebeh.2017.04.024" TargetMode="External"/><Relationship Id="rId4439" Type="http://schemas.openxmlformats.org/officeDocument/2006/relationships/hyperlink" Target="https://doi.org/10.2190/AG.66.2.b" TargetMode="External"/><Relationship Id="rId4853" Type="http://schemas.openxmlformats.org/officeDocument/2006/relationships/hyperlink" Target="https://doi.org/10.1177/1533317511428150" TargetMode="External"/><Relationship Id="rId5904" Type="http://schemas.openxmlformats.org/officeDocument/2006/relationships/hyperlink" Target="https://doi.org/10.1162/jocn_a_00869" TargetMode="External"/><Relationship Id="rId3455" Type="http://schemas.openxmlformats.org/officeDocument/2006/relationships/hyperlink" Target="https://doi.org/10.1212/WNL.0b013e31820b75cf" TargetMode="External"/><Relationship Id="rId4506" Type="http://schemas.openxmlformats.org/officeDocument/2006/relationships/hyperlink" Target="https://doi.org/10.3389/fnagi.2019.00133" TargetMode="External"/><Relationship Id="rId376" Type="http://schemas.openxmlformats.org/officeDocument/2006/relationships/hyperlink" Target="https://doi.org/10.5152/npa.2014.6862" TargetMode="External"/><Relationship Id="rId790" Type="http://schemas.openxmlformats.org/officeDocument/2006/relationships/hyperlink" Target="https://doi.org/10.1007/s11065-017-9343-7" TargetMode="External"/><Relationship Id="rId2057" Type="http://schemas.openxmlformats.org/officeDocument/2006/relationships/hyperlink" Target="https://doi.org/10.1080/13218710903427875" TargetMode="External"/><Relationship Id="rId2471" Type="http://schemas.openxmlformats.org/officeDocument/2006/relationships/hyperlink" Target="https://doi.org/10.1016/S0920-9964(03)00213-5" TargetMode="External"/><Relationship Id="rId3108" Type="http://schemas.openxmlformats.org/officeDocument/2006/relationships/hyperlink" Target="https://doi.org/10.1080/13803390500376816" TargetMode="External"/><Relationship Id="rId3522" Type="http://schemas.openxmlformats.org/officeDocument/2006/relationships/hyperlink" Target="https://doi.org/10.1097/NMD.0b013e318093f437" TargetMode="External"/><Relationship Id="rId4920" Type="http://schemas.openxmlformats.org/officeDocument/2006/relationships/hyperlink" Target="https://doi.org/10.1016/j.acn.2007.01.023" TargetMode="External"/><Relationship Id="rId443" Type="http://schemas.openxmlformats.org/officeDocument/2006/relationships/hyperlink" Target="https://doi.org/10.1016/j.jns.2015.12.031" TargetMode="External"/><Relationship Id="rId1073" Type="http://schemas.openxmlformats.org/officeDocument/2006/relationships/hyperlink" Target="https://doi.org/10.1002/oby.20444" TargetMode="External"/><Relationship Id="rId2124" Type="http://schemas.openxmlformats.org/officeDocument/2006/relationships/hyperlink" Target="https://doi.org/10.1007/s10194-011-0340-6" TargetMode="External"/><Relationship Id="rId1140" Type="http://schemas.openxmlformats.org/officeDocument/2006/relationships/hyperlink" Target="https://doi.org/10.1080/13554794.2012.741259" TargetMode="External"/><Relationship Id="rId4296" Type="http://schemas.openxmlformats.org/officeDocument/2006/relationships/hyperlink" Target="https://doi.org/10.1016/j.jns.2013.10.038" TargetMode="External"/><Relationship Id="rId5694" Type="http://schemas.openxmlformats.org/officeDocument/2006/relationships/hyperlink" Target="https://doi.org/10.1016/S0165-1781(99)00101-8" TargetMode="External"/><Relationship Id="rId510" Type="http://schemas.openxmlformats.org/officeDocument/2006/relationships/hyperlink" Target="https://doi.org/10.1017/S1355617707070877" TargetMode="External"/><Relationship Id="rId5347" Type="http://schemas.openxmlformats.org/officeDocument/2006/relationships/hyperlink" Target="https://doi.org/10.1093/arclin/acu047" TargetMode="External"/><Relationship Id="rId5761" Type="http://schemas.openxmlformats.org/officeDocument/2006/relationships/hyperlink" Target="https://doi.org/10.1111/head.12587" TargetMode="External"/><Relationship Id="rId1957" Type="http://schemas.openxmlformats.org/officeDocument/2006/relationships/hyperlink" Target="https://doi.org/10.2147/NDT.S196932" TargetMode="External"/><Relationship Id="rId4363" Type="http://schemas.openxmlformats.org/officeDocument/2006/relationships/hyperlink" Target="https://doi.org/10.1111/j.1601-5215.2010.00484.x" TargetMode="External"/><Relationship Id="rId5414" Type="http://schemas.openxmlformats.org/officeDocument/2006/relationships/hyperlink" Target="https://doi.org/10.1093/oxfordjournals.schbul.a033421" TargetMode="External"/><Relationship Id="rId4016" Type="http://schemas.openxmlformats.org/officeDocument/2006/relationships/hyperlink" Target="https://doi.org/10.1080/13825585.2012.693905" TargetMode="External"/><Relationship Id="rId4430" Type="http://schemas.openxmlformats.org/officeDocument/2006/relationships/hyperlink" Target="https://doi.org/10.1080/02687030902958399" TargetMode="External"/><Relationship Id="rId3032" Type="http://schemas.openxmlformats.org/officeDocument/2006/relationships/hyperlink" Target="https://doi.org/10.1093/cercor/bhi126" TargetMode="External"/><Relationship Id="rId6188" Type="http://schemas.openxmlformats.org/officeDocument/2006/relationships/hyperlink" Target="https://doi.org/10.1891/1945-8959.8.1.52" TargetMode="External"/><Relationship Id="rId6255" Type="http://schemas.openxmlformats.org/officeDocument/2006/relationships/hyperlink" Target="https://doi.org/10.1176/ps.50.11.1411" TargetMode="External"/><Relationship Id="rId2798" Type="http://schemas.openxmlformats.org/officeDocument/2006/relationships/hyperlink" Target="https://doi.org/10.3389/fpsyg.2018.02084" TargetMode="External"/><Relationship Id="rId3849" Type="http://schemas.openxmlformats.org/officeDocument/2006/relationships/hyperlink" Target="https://doi.org/10.1097/JCP.0000000000001205" TargetMode="External"/><Relationship Id="rId5271" Type="http://schemas.openxmlformats.org/officeDocument/2006/relationships/hyperlink" Target="https://doi.org/10.1016/j.ecresq.2017.03.004" TargetMode="External"/><Relationship Id="rId2865" Type="http://schemas.openxmlformats.org/officeDocument/2006/relationships/hyperlink" Target="https://doi.org/10.1186/1471-2202-12-101" TargetMode="External"/><Relationship Id="rId3916" Type="http://schemas.openxmlformats.org/officeDocument/2006/relationships/hyperlink" Target="https://doi.org/10.1017/S1355617712000306" TargetMode="External"/><Relationship Id="rId6322" Type="http://schemas.openxmlformats.org/officeDocument/2006/relationships/hyperlink" Target="https://doi.org/10.1002/hbm.20502" TargetMode="External"/><Relationship Id="rId837" Type="http://schemas.openxmlformats.org/officeDocument/2006/relationships/hyperlink" Target="https://doi.org/10.1016/j.psychres.2019.112565" TargetMode="External"/><Relationship Id="rId1467" Type="http://schemas.openxmlformats.org/officeDocument/2006/relationships/hyperlink" Target="https://doi.org/10.1111/j.1399-5618.2006.00288.x" TargetMode="External"/><Relationship Id="rId1881" Type="http://schemas.openxmlformats.org/officeDocument/2006/relationships/hyperlink" Target="https://doi.org/10.1016/j.schres.2013.03.009" TargetMode="External"/><Relationship Id="rId2518" Type="http://schemas.openxmlformats.org/officeDocument/2006/relationships/hyperlink" Target="https://doi.org/10.1155/2008/847685" TargetMode="External"/><Relationship Id="rId2932" Type="http://schemas.openxmlformats.org/officeDocument/2006/relationships/hyperlink" Target="https://doi.org/10.1080/17470210902866664" TargetMode="External"/><Relationship Id="rId904" Type="http://schemas.openxmlformats.org/officeDocument/2006/relationships/hyperlink" Target="https://doi.org/10.1080/10508414.2011.582441" TargetMode="External"/><Relationship Id="rId1534" Type="http://schemas.openxmlformats.org/officeDocument/2006/relationships/hyperlink" Target="https://doi.org/10.1044/1092-4388(2009/08-0205)" TargetMode="External"/><Relationship Id="rId1601" Type="http://schemas.openxmlformats.org/officeDocument/2006/relationships/hyperlink" Target="https://doi.org/10.1037/neu0000190" TargetMode="External"/><Relationship Id="rId4757" Type="http://schemas.openxmlformats.org/officeDocument/2006/relationships/hyperlink" Target="https://doi.org/10.1177/0706743716645288" TargetMode="External"/><Relationship Id="rId3359" Type="http://schemas.openxmlformats.org/officeDocument/2006/relationships/hyperlink" Target="https://doi.org/10.1016/j.addbeh.2013.06.017" TargetMode="External"/><Relationship Id="rId5808" Type="http://schemas.openxmlformats.org/officeDocument/2006/relationships/hyperlink" Target="https://doi.org/10.1016/j.neurol.2009.02.001" TargetMode="External"/><Relationship Id="rId694" Type="http://schemas.openxmlformats.org/officeDocument/2006/relationships/hyperlink" Target="https://doi.org/10.1037/0894-4105.15.2.185" TargetMode="External"/><Relationship Id="rId2375" Type="http://schemas.openxmlformats.org/officeDocument/2006/relationships/hyperlink" Target="https://doi.org/10.1159/000109257" TargetMode="External"/><Relationship Id="rId3773" Type="http://schemas.openxmlformats.org/officeDocument/2006/relationships/hyperlink" Target="https://doi.org/10.2165/11630100-000000000-00000" TargetMode="External"/><Relationship Id="rId4824" Type="http://schemas.openxmlformats.org/officeDocument/2006/relationships/hyperlink" Target="https://doi.org/10.1016/j.beth.2019.09.002" TargetMode="External"/><Relationship Id="rId347" Type="http://schemas.openxmlformats.org/officeDocument/2006/relationships/hyperlink" Target="https://doi.org/10.1076/jcen.25.7.893.16489" TargetMode="External"/><Relationship Id="rId2028" Type="http://schemas.openxmlformats.org/officeDocument/2006/relationships/hyperlink" Target="https://doi.org/10.1016/j.maturitas.2005.11.002" TargetMode="External"/><Relationship Id="rId3426" Type="http://schemas.openxmlformats.org/officeDocument/2006/relationships/hyperlink" Target="https://doi.org/10.1016/j.genhosppsych.2013.07.002" TargetMode="External"/><Relationship Id="rId3840" Type="http://schemas.openxmlformats.org/officeDocument/2006/relationships/hyperlink" Target="https://doi.org/10.1097/NMD.0b013e31827ab2b2" TargetMode="External"/><Relationship Id="rId761" Type="http://schemas.openxmlformats.org/officeDocument/2006/relationships/hyperlink" Target="https://doi.org/10.1093/brain/awf277" TargetMode="External"/><Relationship Id="rId1391" Type="http://schemas.openxmlformats.org/officeDocument/2006/relationships/hyperlink" Target="https://doi.org/10.1016/j.nlm.2014.12.010" TargetMode="External"/><Relationship Id="rId2442" Type="http://schemas.openxmlformats.org/officeDocument/2006/relationships/hyperlink" Target="https://doi.org/10.1016/S0167-8760(03)00019-9" TargetMode="External"/><Relationship Id="rId5598" Type="http://schemas.openxmlformats.org/officeDocument/2006/relationships/hyperlink" Target="https://doi.org/10.1016/j.jad.2020.11.090" TargetMode="External"/><Relationship Id="rId414" Type="http://schemas.openxmlformats.org/officeDocument/2006/relationships/hyperlink" Target="https://doi.org/10.1097/01.nmd.0000161688.47164.71" TargetMode="External"/><Relationship Id="rId1044" Type="http://schemas.openxmlformats.org/officeDocument/2006/relationships/hyperlink" Target="https://doi.org/10.1097/YPG.0b013e32834915ae" TargetMode="External"/><Relationship Id="rId5665" Type="http://schemas.openxmlformats.org/officeDocument/2006/relationships/hyperlink" Target="https://doi.org/10.1007/s12311-017-0870-9" TargetMode="External"/><Relationship Id="rId1111" Type="http://schemas.openxmlformats.org/officeDocument/2006/relationships/hyperlink" Target="https://doi.org/10.1007/978-0-387-78965-1_21" TargetMode="External"/><Relationship Id="rId4267" Type="http://schemas.openxmlformats.org/officeDocument/2006/relationships/hyperlink" Target="https://doi.org/10.1111/j.1399-5618.2005.00254.x" TargetMode="External"/><Relationship Id="rId4681" Type="http://schemas.openxmlformats.org/officeDocument/2006/relationships/hyperlink" Target="https://doi.org/10.1016/j.bandc.2004.09.006" TargetMode="External"/><Relationship Id="rId5318" Type="http://schemas.openxmlformats.org/officeDocument/2006/relationships/hyperlink" Target="https://doi.org/10.1177/1359105315587139" TargetMode="External"/><Relationship Id="rId5732" Type="http://schemas.openxmlformats.org/officeDocument/2006/relationships/hyperlink" Target="https://doi.org/10.1176/appi.ajp.163.1.73" TargetMode="External"/><Relationship Id="rId3283" Type="http://schemas.openxmlformats.org/officeDocument/2006/relationships/hyperlink" Target="https://doi.org/10.1080/0269905040004310" TargetMode="External"/><Relationship Id="rId4334" Type="http://schemas.openxmlformats.org/officeDocument/2006/relationships/hyperlink" Target="https://doi.org/10.1080/13554794.2014.917682" TargetMode="External"/><Relationship Id="rId1928" Type="http://schemas.openxmlformats.org/officeDocument/2006/relationships/hyperlink" Target="https://doi.org/10.1016/j.yebeh.2012.08.001" TargetMode="External"/><Relationship Id="rId3350" Type="http://schemas.openxmlformats.org/officeDocument/2006/relationships/hyperlink" Target="https://doi.org/10.1016/j.rasd.2014.08.016" TargetMode="External"/><Relationship Id="rId271" Type="http://schemas.openxmlformats.org/officeDocument/2006/relationships/hyperlink" Target="https://doi.org/10.1016/j.cortex.2009.09.002" TargetMode="External"/><Relationship Id="rId3003" Type="http://schemas.openxmlformats.org/officeDocument/2006/relationships/hyperlink" Target="https://doi.org/10.1093/arclin/acr051" TargetMode="External"/><Relationship Id="rId4401" Type="http://schemas.openxmlformats.org/officeDocument/2006/relationships/hyperlink" Target="https://doi.org/10.1002/1097-4679(199501)51:1%3c48::AID-JCLP2270510109%3e3.0.CO;2-E" TargetMode="External"/><Relationship Id="rId6159" Type="http://schemas.openxmlformats.org/officeDocument/2006/relationships/hyperlink" Target="https://doi.org/10.1348/174866410X516803" TargetMode="External"/><Relationship Id="rId2769" Type="http://schemas.openxmlformats.org/officeDocument/2006/relationships/hyperlink" Target="https://doi.org/10.1515/revneuro-2014-0043" TargetMode="External"/><Relationship Id="rId5175" Type="http://schemas.openxmlformats.org/officeDocument/2006/relationships/hyperlink" Target="https://doi.org/10.1016/j.cpr.2015.02.004" TargetMode="External"/><Relationship Id="rId6226" Type="http://schemas.openxmlformats.org/officeDocument/2006/relationships/hyperlink" Target="https://doi.org/10.1037/0894-4105.20.4.468" TargetMode="External"/><Relationship Id="rId1785" Type="http://schemas.openxmlformats.org/officeDocument/2006/relationships/hyperlink" Target="https://doi.org/10.1016/j.neurobiolaging.2013.10.087" TargetMode="External"/><Relationship Id="rId2836" Type="http://schemas.openxmlformats.org/officeDocument/2006/relationships/hyperlink" Target="https://doi.org/10.1080/13803395.2019.1611740" TargetMode="External"/><Relationship Id="rId4191" Type="http://schemas.openxmlformats.org/officeDocument/2006/relationships/hyperlink" Target="https://doi.org/10.3109/08039488.2015.1048720" TargetMode="External"/><Relationship Id="rId5242" Type="http://schemas.openxmlformats.org/officeDocument/2006/relationships/hyperlink" Target="https://doi.org/10.1016/S0006-3223(96)00300-9" TargetMode="External"/><Relationship Id="rId77" Type="http://schemas.openxmlformats.org/officeDocument/2006/relationships/hyperlink" Target="https://doi.org/10.1136/jnnp.2003.021295" TargetMode="External"/><Relationship Id="rId808" Type="http://schemas.openxmlformats.org/officeDocument/2006/relationships/hyperlink" Target="https://doi.org/10.1076/clin.17.3.374.18084" TargetMode="External"/><Relationship Id="rId1438" Type="http://schemas.openxmlformats.org/officeDocument/2006/relationships/hyperlink" Target="https://doi.org/10.1111/acps.12380" TargetMode="External"/><Relationship Id="rId1852" Type="http://schemas.openxmlformats.org/officeDocument/2006/relationships/hyperlink" Target="https://doi.org/10.1093/arclin/acy003" TargetMode="External"/><Relationship Id="rId2903" Type="http://schemas.openxmlformats.org/officeDocument/2006/relationships/hyperlink" Target="https://doi.org/10.1093/neucas/8.3.219" TargetMode="External"/><Relationship Id="rId1505" Type="http://schemas.openxmlformats.org/officeDocument/2006/relationships/hyperlink" Target="https://doi.org/10.1093/scan/nst029" TargetMode="External"/><Relationship Id="rId6083" Type="http://schemas.openxmlformats.org/officeDocument/2006/relationships/hyperlink" Target="https://doi.org/10.1016/j.addbeh.2014.03.011" TargetMode="External"/><Relationship Id="rId3677" Type="http://schemas.openxmlformats.org/officeDocument/2006/relationships/hyperlink" Target="https://doi.org/10.1037/pha0000079" TargetMode="External"/><Relationship Id="rId4728" Type="http://schemas.openxmlformats.org/officeDocument/2006/relationships/hyperlink" Target="https://doi.org/10.1016/j.neuroimage.2015.08.037" TargetMode="External"/><Relationship Id="rId598" Type="http://schemas.openxmlformats.org/officeDocument/2006/relationships/hyperlink" Target="http://search.ebscohost.com/login.aspx?direct=true&amp;db=psyh&amp;AN=2012-28909-000&amp;site=ehost-live" TargetMode="External"/><Relationship Id="rId2279" Type="http://schemas.openxmlformats.org/officeDocument/2006/relationships/hyperlink" Target="https://doi.org/10.1111/j.1600-0447.2008.01323.x" TargetMode="External"/><Relationship Id="rId2693" Type="http://schemas.openxmlformats.org/officeDocument/2006/relationships/hyperlink" Target="https://doi.org/10.1097/JGP.0b013e31819431d5" TargetMode="External"/><Relationship Id="rId3744" Type="http://schemas.openxmlformats.org/officeDocument/2006/relationships/hyperlink" Target="https://doi.org/10.1016/j.parkreldis.2006.12.012" TargetMode="External"/><Relationship Id="rId6150" Type="http://schemas.openxmlformats.org/officeDocument/2006/relationships/hyperlink" Target="https://doi.org/10.1212/WNL.0000000000000910" TargetMode="External"/><Relationship Id="rId665" Type="http://schemas.openxmlformats.org/officeDocument/2006/relationships/hyperlink" Target="https://doi.org/10.1002/aur.1842" TargetMode="External"/><Relationship Id="rId1295" Type="http://schemas.openxmlformats.org/officeDocument/2006/relationships/hyperlink" Target="https://doi.org/10.1007/s10803-018-3813-5" TargetMode="External"/><Relationship Id="rId2346" Type="http://schemas.openxmlformats.org/officeDocument/2006/relationships/hyperlink" Target="https://doi.org/10.1016/j.psychres.2014.03.027" TargetMode="External"/><Relationship Id="rId2760" Type="http://schemas.openxmlformats.org/officeDocument/2006/relationships/hyperlink" Target="https://doi.org/10.1093/oxfordjournals.schbul.a006876" TargetMode="External"/><Relationship Id="rId3811" Type="http://schemas.openxmlformats.org/officeDocument/2006/relationships/hyperlink" Target="https://doi.org/10.1076/jcen.26.2.153.28079" TargetMode="External"/><Relationship Id="rId318" Type="http://schemas.openxmlformats.org/officeDocument/2006/relationships/hyperlink" Target="https://doi.org/10.1016/j.schres.2013.06.016" TargetMode="External"/><Relationship Id="rId732" Type="http://schemas.openxmlformats.org/officeDocument/2006/relationships/hyperlink" Target="https://doi.org/10.1111/j.1469-7610.2006.01695.x" TargetMode="External"/><Relationship Id="rId1362" Type="http://schemas.openxmlformats.org/officeDocument/2006/relationships/hyperlink" Target="https://doi.org/10.1016/j.schres.2011.06.015" TargetMode="External"/><Relationship Id="rId2413" Type="http://schemas.openxmlformats.org/officeDocument/2006/relationships/hyperlink" Target="https://doi.org/10.1016/j.schres.2015.09.009" TargetMode="External"/><Relationship Id="rId5569" Type="http://schemas.openxmlformats.org/officeDocument/2006/relationships/hyperlink" Target="https://doi.org/10.1016/S0165-1781(03)00256-7" TargetMode="External"/><Relationship Id="rId1015" Type="http://schemas.openxmlformats.org/officeDocument/2006/relationships/hyperlink" Target="https://doi.org/10.1016/j.neuropsychologia.2016.03.032" TargetMode="External"/><Relationship Id="rId4585" Type="http://schemas.openxmlformats.org/officeDocument/2006/relationships/hyperlink" Target="https://doi.org/10.1111/psyp.12210" TargetMode="External"/><Relationship Id="rId5983" Type="http://schemas.openxmlformats.org/officeDocument/2006/relationships/hyperlink" Target="https://doi.org/10.1002/hbm.21439" TargetMode="External"/><Relationship Id="rId3187" Type="http://schemas.openxmlformats.org/officeDocument/2006/relationships/hyperlink" Target="https://doi.org/10.1016/j.addbeh.2006.07.007" TargetMode="External"/><Relationship Id="rId4238" Type="http://schemas.openxmlformats.org/officeDocument/2006/relationships/hyperlink" Target="https://doi.org/10.1016/j.pnpbp.2011.07.015" TargetMode="External"/><Relationship Id="rId5636" Type="http://schemas.openxmlformats.org/officeDocument/2006/relationships/hyperlink" Target="https://doi.org/10.1177/0891988719865943" TargetMode="External"/><Relationship Id="rId4652" Type="http://schemas.openxmlformats.org/officeDocument/2006/relationships/hyperlink" Target="https://doi.org/10.1080/13825580902825220" TargetMode="External"/><Relationship Id="rId5703" Type="http://schemas.openxmlformats.org/officeDocument/2006/relationships/hyperlink" Target="https://doi.org/10.1111/j.1440-1819.2006.01515.x" TargetMode="External"/><Relationship Id="rId175" Type="http://schemas.openxmlformats.org/officeDocument/2006/relationships/hyperlink" Target="https://doi.org/10.1016/S0920-9964(02)00342-0" TargetMode="External"/><Relationship Id="rId3254" Type="http://schemas.openxmlformats.org/officeDocument/2006/relationships/hyperlink" Target="https://doi.org/10.1002/acp.1075" TargetMode="External"/><Relationship Id="rId4305" Type="http://schemas.openxmlformats.org/officeDocument/2006/relationships/hyperlink" Target="https://doi.org/10.1016/j.psychres.2013.03.035" TargetMode="External"/><Relationship Id="rId2270" Type="http://schemas.openxmlformats.org/officeDocument/2006/relationships/hyperlink" Target="https://doi.org/10.1093/med/9780199934959.003.0026" TargetMode="External"/><Relationship Id="rId3321" Type="http://schemas.openxmlformats.org/officeDocument/2006/relationships/hyperlink" Target="https://doi.org/10.1093/schbul/sbn120" TargetMode="External"/><Relationship Id="rId6477" Type="http://schemas.openxmlformats.org/officeDocument/2006/relationships/hyperlink" Target="https://doi.org/10.1212/01.WNL.0000130498.19019.02" TargetMode="External"/><Relationship Id="rId242" Type="http://schemas.openxmlformats.org/officeDocument/2006/relationships/hyperlink" Target="https://doi.org/10.1080/01688639608408991" TargetMode="External"/><Relationship Id="rId5079" Type="http://schemas.openxmlformats.org/officeDocument/2006/relationships/hyperlink" Target="https://doi.org/10.3233/JAD-160501" TargetMode="External"/><Relationship Id="rId5493" Type="http://schemas.openxmlformats.org/officeDocument/2006/relationships/hyperlink" Target="https://doi.org/10.1016/j.psychres.2017.10.029" TargetMode="External"/><Relationship Id="rId6544" Type="http://schemas.openxmlformats.org/officeDocument/2006/relationships/hyperlink" Target="https://doi.org/10.1016/j.psychres.2018.12.142" TargetMode="External"/><Relationship Id="rId1689" Type="http://schemas.openxmlformats.org/officeDocument/2006/relationships/hyperlink" Target="https://doi.org/10.1097/00000374-200208000-00010" TargetMode="External"/><Relationship Id="rId4095" Type="http://schemas.openxmlformats.org/officeDocument/2006/relationships/hyperlink" Target="https://doi.org/10.1016/j.neurobiolaging.2013.06.025" TargetMode="External"/><Relationship Id="rId5146" Type="http://schemas.openxmlformats.org/officeDocument/2006/relationships/hyperlink" Target="https://doi.org/10.1176/appi.psy.46.5.411" TargetMode="External"/><Relationship Id="rId5560" Type="http://schemas.openxmlformats.org/officeDocument/2006/relationships/hyperlink" Target="https://doi.org/10.1016/j.jalz.2013.01.009" TargetMode="External"/><Relationship Id="rId4162" Type="http://schemas.openxmlformats.org/officeDocument/2006/relationships/hyperlink" Target="https://doi.org/10.1155/2018/7343592" TargetMode="External"/><Relationship Id="rId5213" Type="http://schemas.openxmlformats.org/officeDocument/2006/relationships/hyperlink" Target="https://doi.org/10.1076/jcen.24.6.806.8406" TargetMode="External"/><Relationship Id="rId1756" Type="http://schemas.openxmlformats.org/officeDocument/2006/relationships/hyperlink" Target="https://doi.org/10.1076/jcen.20.6.906.1104" TargetMode="External"/><Relationship Id="rId2807" Type="http://schemas.openxmlformats.org/officeDocument/2006/relationships/hyperlink" Target="https://doi.org/10.3389/fpsyt.2018.00295" TargetMode="External"/><Relationship Id="rId48" Type="http://schemas.openxmlformats.org/officeDocument/2006/relationships/hyperlink" Target="https://doi.org/10.1016/j.neurobiolaging.2013.09.041" TargetMode="External"/><Relationship Id="rId1409" Type="http://schemas.openxmlformats.org/officeDocument/2006/relationships/hyperlink" Target="https://doi.org/10.1017/S0033291700039015" TargetMode="External"/><Relationship Id="rId1823" Type="http://schemas.openxmlformats.org/officeDocument/2006/relationships/hyperlink" Target="https://doi.org/10.1176/appi.ajp.2008.07111806" TargetMode="External"/><Relationship Id="rId4979" Type="http://schemas.openxmlformats.org/officeDocument/2006/relationships/hyperlink" Target="https://doi.org/10.1097/WNN.0000000000000011" TargetMode="External"/><Relationship Id="rId3995" Type="http://schemas.openxmlformats.org/officeDocument/2006/relationships/hyperlink" Target="https://doi.org/10.1007/978-1-4614-5269-0_4" TargetMode="External"/><Relationship Id="rId2597" Type="http://schemas.openxmlformats.org/officeDocument/2006/relationships/hyperlink" Target="https://doi.org/10.1016/j.schres.2016.03.026" TargetMode="External"/><Relationship Id="rId3648" Type="http://schemas.openxmlformats.org/officeDocument/2006/relationships/hyperlink" Target="https://doi.org/10.1080/13554790500212880" TargetMode="External"/><Relationship Id="rId6054" Type="http://schemas.openxmlformats.org/officeDocument/2006/relationships/hyperlink" Target="https://doi.org/10.2466/PMS.98.2.661-674" TargetMode="External"/><Relationship Id="rId569" Type="http://schemas.openxmlformats.org/officeDocument/2006/relationships/hyperlink" Target="https://doi.org/10.1093/brain/awh356" TargetMode="External"/><Relationship Id="rId983" Type="http://schemas.openxmlformats.org/officeDocument/2006/relationships/hyperlink" Target="https://doi.org/10.1111/j.1530-0277.2009.00918.x" TargetMode="External"/><Relationship Id="rId1199" Type="http://schemas.openxmlformats.org/officeDocument/2006/relationships/hyperlink" Target="https://doi.org/10.1017/S1355617707071329" TargetMode="External"/><Relationship Id="rId2664" Type="http://schemas.openxmlformats.org/officeDocument/2006/relationships/hyperlink" Target="https://doi.org/10.1111/j.1440-1789.2005.00598.x" TargetMode="External"/><Relationship Id="rId5070" Type="http://schemas.openxmlformats.org/officeDocument/2006/relationships/hyperlink" Target="https://doi.org/10.1016/j.psychres.2008.06.032" TargetMode="External"/><Relationship Id="rId6121" Type="http://schemas.openxmlformats.org/officeDocument/2006/relationships/hyperlink" Target="https://doi.org/10.1192/bjp.167.1.41" TargetMode="External"/><Relationship Id="rId636" Type="http://schemas.openxmlformats.org/officeDocument/2006/relationships/hyperlink" Target="https://doi.org/10.1016/j.psychres.2010.11.014" TargetMode="External"/><Relationship Id="rId1266" Type="http://schemas.openxmlformats.org/officeDocument/2006/relationships/hyperlink" Target="https://doi.org/10.1016/j.addbeh.2010.05.005" TargetMode="External"/><Relationship Id="rId2317" Type="http://schemas.openxmlformats.org/officeDocument/2006/relationships/hyperlink" Target="https://doi.org/10.1007/s10896-011-9410-4" TargetMode="External"/><Relationship Id="rId3715" Type="http://schemas.openxmlformats.org/officeDocument/2006/relationships/hyperlink" Target="https://doi.org/10.1017/S0033291710001832" TargetMode="External"/><Relationship Id="rId1680" Type="http://schemas.openxmlformats.org/officeDocument/2006/relationships/hyperlink" Target="https://doi.org/10.1080/13803395.2016.1230181" TargetMode="External"/><Relationship Id="rId2731" Type="http://schemas.openxmlformats.org/officeDocument/2006/relationships/hyperlink" Target="https://doi.org/10.1353/mpq.2005.0014" TargetMode="External"/><Relationship Id="rId5887" Type="http://schemas.openxmlformats.org/officeDocument/2006/relationships/hyperlink" Target="https://doi.org/10.1176/appi.neuropsych.12040103" TargetMode="External"/><Relationship Id="rId703" Type="http://schemas.openxmlformats.org/officeDocument/2006/relationships/hyperlink" Target="https://doi.org/10.1037/ccp0000675" TargetMode="External"/><Relationship Id="rId1333" Type="http://schemas.openxmlformats.org/officeDocument/2006/relationships/hyperlink" Target="https://doi.org/10.1101/lm.024919.111" TargetMode="External"/><Relationship Id="rId4489" Type="http://schemas.openxmlformats.org/officeDocument/2006/relationships/hyperlink" Target="https://doi.org/10.1016/j.cogsci.2003.12.003" TargetMode="External"/><Relationship Id="rId5954" Type="http://schemas.openxmlformats.org/officeDocument/2006/relationships/hyperlink" Target="https://doi.org/10.1080/13803395.2014.901299" TargetMode="External"/><Relationship Id="rId1400" Type="http://schemas.openxmlformats.org/officeDocument/2006/relationships/hyperlink" Target="https://doi.org/10.1016/S0006-3223(98)00325-4" TargetMode="External"/><Relationship Id="rId4556" Type="http://schemas.openxmlformats.org/officeDocument/2006/relationships/hyperlink" Target="https://doi.org/10.1016/j.euroneuro.2014.11.006" TargetMode="External"/><Relationship Id="rId4970" Type="http://schemas.openxmlformats.org/officeDocument/2006/relationships/hyperlink" Target="https://doi.org/10.1176/appi.ajp.161.3.466" TargetMode="External"/><Relationship Id="rId5607" Type="http://schemas.openxmlformats.org/officeDocument/2006/relationships/hyperlink" Target="http://search.ebscohost.com/login.aspx?direct=true&amp;db=psyh&amp;AN=2015-13429-000&amp;site=ehost-live" TargetMode="External"/><Relationship Id="rId3158" Type="http://schemas.openxmlformats.org/officeDocument/2006/relationships/hyperlink" Target="https://doi.org/10.3233/NRE-192893" TargetMode="External"/><Relationship Id="rId3572" Type="http://schemas.openxmlformats.org/officeDocument/2006/relationships/hyperlink" Target="https://doi.org/10.1007/s100720070061" TargetMode="External"/><Relationship Id="rId4209" Type="http://schemas.openxmlformats.org/officeDocument/2006/relationships/hyperlink" Target="https://doi.org/10.1136/jnnp.2004.050385" TargetMode="External"/><Relationship Id="rId4623" Type="http://schemas.openxmlformats.org/officeDocument/2006/relationships/hyperlink" Target="https://doi.org/10.1007/s00787-012-0262-0" TargetMode="External"/><Relationship Id="rId493" Type="http://schemas.openxmlformats.org/officeDocument/2006/relationships/hyperlink" Target="https://doi.org/10.1016/j.neuroimage.2010.03.069" TargetMode="External"/><Relationship Id="rId2174" Type="http://schemas.openxmlformats.org/officeDocument/2006/relationships/hyperlink" Target="https://doi.org/10.1016/j.schres.2007.11.032" TargetMode="External"/><Relationship Id="rId3225" Type="http://schemas.openxmlformats.org/officeDocument/2006/relationships/hyperlink" Target="https://doi.org/10.1007/s11126-011-9200-4" TargetMode="External"/><Relationship Id="rId146" Type="http://schemas.openxmlformats.org/officeDocument/2006/relationships/hyperlink" Target="https://doi.org/10.1016/j.biopsych.2006.07.027" TargetMode="External"/><Relationship Id="rId560" Type="http://schemas.openxmlformats.org/officeDocument/2006/relationships/hyperlink" Target="https://doi.org/10.1177/0891988712464821" TargetMode="External"/><Relationship Id="rId1190" Type="http://schemas.openxmlformats.org/officeDocument/2006/relationships/hyperlink" Target="https://doi.org/10.1089/cap.2007.110" TargetMode="External"/><Relationship Id="rId2241" Type="http://schemas.openxmlformats.org/officeDocument/2006/relationships/hyperlink" Target="https://doi.org/10.1007/s00406-005-0626-2" TargetMode="External"/><Relationship Id="rId5397" Type="http://schemas.openxmlformats.org/officeDocument/2006/relationships/hyperlink" Target="https://doi.org/10.1080/02699050210127286" TargetMode="External"/><Relationship Id="rId6448" Type="http://schemas.openxmlformats.org/officeDocument/2006/relationships/hyperlink" Target="https://doi.org/10.1016/j.parkreldis.2012.06.002" TargetMode="External"/><Relationship Id="rId213" Type="http://schemas.openxmlformats.org/officeDocument/2006/relationships/hyperlink" Target="https://doi.org/10.3109/13651501.2013.859706" TargetMode="External"/><Relationship Id="rId4066" Type="http://schemas.openxmlformats.org/officeDocument/2006/relationships/hyperlink" Target="https://doi.org/10.3233/JPD-150575" TargetMode="External"/><Relationship Id="rId5464" Type="http://schemas.openxmlformats.org/officeDocument/2006/relationships/hyperlink" Target="https://doi.org/10.1016/j.comppsych.2004.06.010" TargetMode="External"/><Relationship Id="rId6515" Type="http://schemas.openxmlformats.org/officeDocument/2006/relationships/hyperlink" Target="https://doi.org/10.1017/neu.2015.54" TargetMode="External"/><Relationship Id="rId4480" Type="http://schemas.openxmlformats.org/officeDocument/2006/relationships/hyperlink" Target="https://doi.org/10.1371/journal.pone.0067615" TargetMode="External"/><Relationship Id="rId5117" Type="http://schemas.openxmlformats.org/officeDocument/2006/relationships/hyperlink" Target="https://doi.org/10.3389/fpsyg.2018.01072" TargetMode="External"/><Relationship Id="rId5531" Type="http://schemas.openxmlformats.org/officeDocument/2006/relationships/hyperlink" Target="https://doi.org/10.1016/0920-9964(96)88525-2" TargetMode="External"/><Relationship Id="rId1727" Type="http://schemas.openxmlformats.org/officeDocument/2006/relationships/hyperlink" Target="https://doi.org/10.1111/jcpp.12102" TargetMode="External"/><Relationship Id="rId3082" Type="http://schemas.openxmlformats.org/officeDocument/2006/relationships/hyperlink" Target="https://doi.org/10.1016/j.schres.2011.04.005" TargetMode="External"/><Relationship Id="rId4133" Type="http://schemas.openxmlformats.org/officeDocument/2006/relationships/hyperlink" Target="https://doi.org/10.1521/ijct.2011.4.1.8" TargetMode="External"/><Relationship Id="rId19" Type="http://schemas.openxmlformats.org/officeDocument/2006/relationships/hyperlink" Target="https://doi.org/10.1590/S0004-282X2007000200022" TargetMode="External"/><Relationship Id="rId3899" Type="http://schemas.openxmlformats.org/officeDocument/2006/relationships/hyperlink" Target="https://doi.org/10.1017/S1355617716000643" TargetMode="External"/><Relationship Id="rId4200" Type="http://schemas.openxmlformats.org/officeDocument/2006/relationships/hyperlink" Target="https://doi.org/10.1016/j.ijpsycho.2018.07.004" TargetMode="External"/><Relationship Id="rId6372" Type="http://schemas.openxmlformats.org/officeDocument/2006/relationships/hyperlink" Target="https://doi.org/10.3109/00048674.2010.514854" TargetMode="External"/><Relationship Id="rId3966" Type="http://schemas.openxmlformats.org/officeDocument/2006/relationships/hyperlink" Target="https://doi.org/10.1016/S0193-953X(03)00109-6" TargetMode="External"/><Relationship Id="rId6025" Type="http://schemas.openxmlformats.org/officeDocument/2006/relationships/hyperlink" Target="https://doi.org/10.1007/978-3-319-12952-5_7" TargetMode="External"/><Relationship Id="rId3" Type="http://schemas.openxmlformats.org/officeDocument/2006/relationships/webSettings" Target="webSettings.xml"/><Relationship Id="rId887" Type="http://schemas.openxmlformats.org/officeDocument/2006/relationships/hyperlink" Target="https://doi.org/10.1176/appi.neuropsych.16.3.320" TargetMode="External"/><Relationship Id="rId2568" Type="http://schemas.openxmlformats.org/officeDocument/2006/relationships/hyperlink" Target="https://doi.org/10.1016/j.addbeh.2013.09.032" TargetMode="External"/><Relationship Id="rId2982" Type="http://schemas.openxmlformats.org/officeDocument/2006/relationships/hyperlink" Target="https://doi.org/10.1076/clin.16.4.506.13912" TargetMode="External"/><Relationship Id="rId3619" Type="http://schemas.openxmlformats.org/officeDocument/2006/relationships/hyperlink" Target="https://doi.org/10.1080/13554794.2013.878730" TargetMode="External"/><Relationship Id="rId5041" Type="http://schemas.openxmlformats.org/officeDocument/2006/relationships/hyperlink" Target="https://doi.org/10.1080/09602011.2013.784709" TargetMode="External"/><Relationship Id="rId954" Type="http://schemas.openxmlformats.org/officeDocument/2006/relationships/hyperlink" Target="https://doi.org/10.1016/j.schres.2011.12.013" TargetMode="External"/><Relationship Id="rId1584" Type="http://schemas.openxmlformats.org/officeDocument/2006/relationships/hyperlink" Target="https://doi.org/10.1093/schbul/sbn091" TargetMode="External"/><Relationship Id="rId2635" Type="http://schemas.openxmlformats.org/officeDocument/2006/relationships/hyperlink" Target="https://doi.org/10.1016/j.psychres.2009.04.011" TargetMode="External"/><Relationship Id="rId607" Type="http://schemas.openxmlformats.org/officeDocument/2006/relationships/hyperlink" Target="https://doi.org/10.1016/j.jad.2017.12.057" TargetMode="External"/><Relationship Id="rId1237" Type="http://schemas.openxmlformats.org/officeDocument/2006/relationships/hyperlink" Target="https://doi.org/10.1016/j.drugalcdep.2011.10.021" TargetMode="External"/><Relationship Id="rId1651" Type="http://schemas.openxmlformats.org/officeDocument/2006/relationships/hyperlink" Target="https://doi.org/10.1080/09602011.2013.863731" TargetMode="External"/><Relationship Id="rId2702" Type="http://schemas.openxmlformats.org/officeDocument/2006/relationships/hyperlink" Target="https://doi.org/10.1016/j.cortex.2013.02.012" TargetMode="External"/><Relationship Id="rId5858" Type="http://schemas.openxmlformats.org/officeDocument/2006/relationships/hyperlink" Target="https://doi.org/10.1007/978-3-319-93497-6_34" TargetMode="External"/><Relationship Id="rId1304" Type="http://schemas.openxmlformats.org/officeDocument/2006/relationships/hyperlink" Target="https://doi.org/10.1097/01.pra.0000432597.79019.e2" TargetMode="External"/><Relationship Id="rId4874" Type="http://schemas.openxmlformats.org/officeDocument/2006/relationships/hyperlink" Target="https://doi.org/10.1037/0000032-001" TargetMode="External"/><Relationship Id="rId3476" Type="http://schemas.openxmlformats.org/officeDocument/2006/relationships/hyperlink" Target="https://doi.org/10.1093/schbul/sbw065" TargetMode="External"/><Relationship Id="rId4527" Type="http://schemas.openxmlformats.org/officeDocument/2006/relationships/hyperlink" Target="https://doi.org/10.1080/02699050600909961" TargetMode="External"/><Relationship Id="rId5925" Type="http://schemas.openxmlformats.org/officeDocument/2006/relationships/hyperlink" Target="https://doi.org/10.1016/j.schres.2014.07.021" TargetMode="External"/><Relationship Id="rId10" Type="http://schemas.openxmlformats.org/officeDocument/2006/relationships/hyperlink" Target="https://doi.org/10.1136/jnnp-2017-316373" TargetMode="External"/><Relationship Id="rId397" Type="http://schemas.openxmlformats.org/officeDocument/2006/relationships/hyperlink" Target="https://doi.org/10.4321/S0213-61632006000200004" TargetMode="External"/><Relationship Id="rId2078" Type="http://schemas.openxmlformats.org/officeDocument/2006/relationships/hyperlink" Target="https://doi.org/10.1111/j.1360-0443.2008.02415.x" TargetMode="External"/><Relationship Id="rId2492" Type="http://schemas.openxmlformats.org/officeDocument/2006/relationships/hyperlink" Target="https://doi.org/10.1016/j.schres.2011.02.021" TargetMode="External"/><Relationship Id="rId3129" Type="http://schemas.openxmlformats.org/officeDocument/2006/relationships/hyperlink" Target="https://doi.org/10.1017/CBO9781139856669.019" TargetMode="External"/><Relationship Id="rId3890" Type="http://schemas.openxmlformats.org/officeDocument/2006/relationships/hyperlink" Target="https://doi.org/10.1037/0735-7044.120.2.447" TargetMode="External"/><Relationship Id="rId4941" Type="http://schemas.openxmlformats.org/officeDocument/2006/relationships/hyperlink" Target="https://doi.org/10.1017/S1355617705050095" TargetMode="External"/><Relationship Id="rId464" Type="http://schemas.openxmlformats.org/officeDocument/2006/relationships/hyperlink" Target="https://doi.org/10.1016/j.brainres.2015.11.024" TargetMode="External"/><Relationship Id="rId1094" Type="http://schemas.openxmlformats.org/officeDocument/2006/relationships/hyperlink" Target="https://doi.org/10.1093/scan/nsm001" TargetMode="External"/><Relationship Id="rId2145" Type="http://schemas.openxmlformats.org/officeDocument/2006/relationships/hyperlink" Target="https://doi.org/10.1016/S0920-9964(99)00124-3" TargetMode="External"/><Relationship Id="rId3543" Type="http://schemas.openxmlformats.org/officeDocument/2006/relationships/hyperlink" Target="https://doi.org/10.1023/A:1016667624487" TargetMode="External"/><Relationship Id="rId117" Type="http://schemas.openxmlformats.org/officeDocument/2006/relationships/hyperlink" Target="https://doi.org/10.1007/978-3-319-09537-0_8" TargetMode="External"/><Relationship Id="rId3610" Type="http://schemas.openxmlformats.org/officeDocument/2006/relationships/hyperlink" Target="https://doi.org/10.1016/j.schres.2006.08.031" TargetMode="External"/><Relationship Id="rId531" Type="http://schemas.openxmlformats.org/officeDocument/2006/relationships/hyperlink" Target="https://doi.org/10.1002/hbm.22809" TargetMode="External"/><Relationship Id="rId1161" Type="http://schemas.openxmlformats.org/officeDocument/2006/relationships/hyperlink" Target="https://doi.org/10.1080/13682820802585975" TargetMode="External"/><Relationship Id="rId2212" Type="http://schemas.openxmlformats.org/officeDocument/2006/relationships/hyperlink" Target="https://doi.org/10.1016/S0887-6177(97)00075-9" TargetMode="External"/><Relationship Id="rId5368" Type="http://schemas.openxmlformats.org/officeDocument/2006/relationships/hyperlink" Target="https://doi.org/10.1016/j.psychres.2021.114143" TargetMode="External"/><Relationship Id="rId5782" Type="http://schemas.openxmlformats.org/officeDocument/2006/relationships/hyperlink" Target="https://doi.org/10.1097/JGP.0b013e3182096ae5" TargetMode="External"/><Relationship Id="rId6419" Type="http://schemas.openxmlformats.org/officeDocument/2006/relationships/hyperlink" Target="https://doi.org/10.1097/00005053-200210000-00011" TargetMode="External"/><Relationship Id="rId1978" Type="http://schemas.openxmlformats.org/officeDocument/2006/relationships/hyperlink" Target="https://doi.org/10.1093/arclin/acr082" TargetMode="External"/><Relationship Id="rId4384" Type="http://schemas.openxmlformats.org/officeDocument/2006/relationships/hyperlink" Target="https://doi.org/10.1080/02643290903523286" TargetMode="External"/><Relationship Id="rId5435" Type="http://schemas.openxmlformats.org/officeDocument/2006/relationships/hyperlink" Target="https://doi.org/10.1016/j.jad.2012.01.036" TargetMode="External"/><Relationship Id="rId4037" Type="http://schemas.openxmlformats.org/officeDocument/2006/relationships/hyperlink" Target="https://doi.org/10.1093/arclin/acaa084" TargetMode="External"/><Relationship Id="rId4451" Type="http://schemas.openxmlformats.org/officeDocument/2006/relationships/hyperlink" Target="https://doi.org/10.1080/09084282.2011.595460" TargetMode="External"/><Relationship Id="rId5502" Type="http://schemas.openxmlformats.org/officeDocument/2006/relationships/hyperlink" Target="https://doi.org/10.1016/j.lindif.2018.07.006" TargetMode="External"/><Relationship Id="rId3053" Type="http://schemas.openxmlformats.org/officeDocument/2006/relationships/hyperlink" Target="https://doi.org/10.1016/j.bandc.2013.12.008" TargetMode="External"/><Relationship Id="rId4104" Type="http://schemas.openxmlformats.org/officeDocument/2006/relationships/hyperlink" Target="https://doi.org/10.1111/j.1440-1819.2007.01614.x" TargetMode="External"/><Relationship Id="rId3120" Type="http://schemas.openxmlformats.org/officeDocument/2006/relationships/hyperlink" Target="https://doi.org/10.1016/S0006-3223(03)00419-0" TargetMode="External"/><Relationship Id="rId6276" Type="http://schemas.openxmlformats.org/officeDocument/2006/relationships/hyperlink" Target="https://doi.org/10.1007/s10803-014-2190-y" TargetMode="External"/><Relationship Id="rId2886" Type="http://schemas.openxmlformats.org/officeDocument/2006/relationships/hyperlink" Target="https://doi.org/10.1080/13554790701846148" TargetMode="External"/><Relationship Id="rId3937" Type="http://schemas.openxmlformats.org/officeDocument/2006/relationships/hyperlink" Target="https://doi.org/10.1097/YCO.0b013e32835d8296" TargetMode="External"/><Relationship Id="rId5292" Type="http://schemas.openxmlformats.org/officeDocument/2006/relationships/hyperlink" Target="https://doi.org/10.1007/978-0-387-78965-1_5" TargetMode="External"/><Relationship Id="rId6343" Type="http://schemas.openxmlformats.org/officeDocument/2006/relationships/hyperlink" Target="https://doi.org/10.1007/s10461-018-2350-8" TargetMode="External"/><Relationship Id="rId858" Type="http://schemas.openxmlformats.org/officeDocument/2006/relationships/hyperlink" Target="https://doi.org/10.1080/13854040490501448" TargetMode="External"/><Relationship Id="rId1488" Type="http://schemas.openxmlformats.org/officeDocument/2006/relationships/hyperlink" Target="https://doi.org/10.1159/000355240" TargetMode="External"/><Relationship Id="rId2539" Type="http://schemas.openxmlformats.org/officeDocument/2006/relationships/hyperlink" Target="https://doi.org/10.1002/ddrr.79" TargetMode="External"/><Relationship Id="rId2953" Type="http://schemas.openxmlformats.org/officeDocument/2006/relationships/hyperlink" Target="https://doi.org/10.1016/j.schres.2017.04.001" TargetMode="External"/><Relationship Id="rId6410" Type="http://schemas.openxmlformats.org/officeDocument/2006/relationships/hyperlink" Target="https://doi.org/10.1590/S0102-79722013000300010" TargetMode="External"/><Relationship Id="rId925" Type="http://schemas.openxmlformats.org/officeDocument/2006/relationships/hyperlink" Target="https://doi.org/10.1016/j.neuroimage.2010.12.042" TargetMode="External"/><Relationship Id="rId1555" Type="http://schemas.openxmlformats.org/officeDocument/2006/relationships/hyperlink" Target="https://doi.org/10.1016/j.jrp.2011.02.004" TargetMode="External"/><Relationship Id="rId2606" Type="http://schemas.openxmlformats.org/officeDocument/2006/relationships/hyperlink" Target="https://doi.org/10.1037/a0026799" TargetMode="External"/><Relationship Id="rId5012" Type="http://schemas.openxmlformats.org/officeDocument/2006/relationships/hyperlink" Target="https://doi.org/10.1016/j.yebeh.2016.04.042" TargetMode="External"/><Relationship Id="rId1208" Type="http://schemas.openxmlformats.org/officeDocument/2006/relationships/hyperlink" Target="https://doi.org/10.1016/j.schres.2007.08.006" TargetMode="External"/><Relationship Id="rId1622" Type="http://schemas.openxmlformats.org/officeDocument/2006/relationships/hyperlink" Target="https://doi.org/10.1017/S0033291715001373" TargetMode="External"/><Relationship Id="rId4778" Type="http://schemas.openxmlformats.org/officeDocument/2006/relationships/hyperlink" Target="https://doi.org/10.1016/j.neuropsychologia.2019.107228" TargetMode="External"/><Relationship Id="rId5829" Type="http://schemas.openxmlformats.org/officeDocument/2006/relationships/hyperlink" Target="https://doi.org/10.1016/j.psychres.2017.04.043" TargetMode="External"/><Relationship Id="rId3794" Type="http://schemas.openxmlformats.org/officeDocument/2006/relationships/hyperlink" Target="https://doi.org/10.1080/87565640902964565" TargetMode="External"/><Relationship Id="rId4845" Type="http://schemas.openxmlformats.org/officeDocument/2006/relationships/hyperlink" Target="https://doi.org/10.1111/j.1601-5215.2009.00421.x" TargetMode="External"/><Relationship Id="rId2396" Type="http://schemas.openxmlformats.org/officeDocument/2006/relationships/hyperlink" Target="https://doi.org/10.1076/jcen.21.4.572.882" TargetMode="External"/><Relationship Id="rId3447" Type="http://schemas.openxmlformats.org/officeDocument/2006/relationships/hyperlink" Target="https://doi.org/10.1038/ijo.2011.184" TargetMode="External"/><Relationship Id="rId3861" Type="http://schemas.openxmlformats.org/officeDocument/2006/relationships/hyperlink" Target="https://doi.org/10.1002/hipo.22353" TargetMode="External"/><Relationship Id="rId4912" Type="http://schemas.openxmlformats.org/officeDocument/2006/relationships/hyperlink" Target="https://doi.org/10.1001/jama.290.20.2693" TargetMode="External"/><Relationship Id="rId368" Type="http://schemas.openxmlformats.org/officeDocument/2006/relationships/hyperlink" Target="https://doi.org/10.1016/j.cogsys.2007.06.004" TargetMode="External"/><Relationship Id="rId782" Type="http://schemas.openxmlformats.org/officeDocument/2006/relationships/hyperlink" Target="https://doi.org/10.1027/1614-0001.30.1.44" TargetMode="External"/><Relationship Id="rId2049" Type="http://schemas.openxmlformats.org/officeDocument/2006/relationships/hyperlink" Target="https://doi.org/10.1037/0021-843X.115.3.484" TargetMode="External"/><Relationship Id="rId2463" Type="http://schemas.openxmlformats.org/officeDocument/2006/relationships/hyperlink" Target="https://doi.org/10.1016/S0278-2626(03)00180-5" TargetMode="External"/><Relationship Id="rId3514" Type="http://schemas.openxmlformats.org/officeDocument/2006/relationships/hyperlink" Target="https://doi.org/10.1093/med/9780198525684.003.0016" TargetMode="External"/><Relationship Id="rId435" Type="http://schemas.openxmlformats.org/officeDocument/2006/relationships/hyperlink" Target="https://doi.org/10.1017/S1461145705005924" TargetMode="External"/><Relationship Id="rId1065" Type="http://schemas.openxmlformats.org/officeDocument/2006/relationships/hyperlink" Target="https://doi.org/10.1097/NMD.0b013e3182848bd4" TargetMode="External"/><Relationship Id="rId2116" Type="http://schemas.openxmlformats.org/officeDocument/2006/relationships/hyperlink" Target="https://doi.org/10.1016/0920-9964(96)00019-9" TargetMode="External"/><Relationship Id="rId2530" Type="http://schemas.openxmlformats.org/officeDocument/2006/relationships/hyperlink" Target="https://doi.org/10.1111/papt.12301" TargetMode="External"/><Relationship Id="rId5686" Type="http://schemas.openxmlformats.org/officeDocument/2006/relationships/hyperlink" Target="https://doi.org/10.1016/j.yebeh.2011.03.031" TargetMode="External"/><Relationship Id="rId502" Type="http://schemas.openxmlformats.org/officeDocument/2006/relationships/hyperlink" Target="https://doi.org/10.1016/j.psychres.2008.09.010" TargetMode="External"/><Relationship Id="rId1132" Type="http://schemas.openxmlformats.org/officeDocument/2006/relationships/hyperlink" Target="https://doi.org/10.1093/oxfordjournals.schbul.a007135" TargetMode="External"/><Relationship Id="rId4288" Type="http://schemas.openxmlformats.org/officeDocument/2006/relationships/hyperlink" Target="https://doi.org/10.1111/eip.12376" TargetMode="External"/><Relationship Id="rId5339" Type="http://schemas.openxmlformats.org/officeDocument/2006/relationships/hyperlink" Target="https://doi.org/10.1080/23279095.2015.1014556" TargetMode="External"/><Relationship Id="rId4355" Type="http://schemas.openxmlformats.org/officeDocument/2006/relationships/hyperlink" Target="https://doi.org/10.1080/02643290701211928" TargetMode="External"/><Relationship Id="rId5753" Type="http://schemas.openxmlformats.org/officeDocument/2006/relationships/hyperlink" Target="https://doi.org/10.1080/13803395.2015.1112878" TargetMode="External"/><Relationship Id="rId1949" Type="http://schemas.openxmlformats.org/officeDocument/2006/relationships/hyperlink" Target="https://doi.org/10.1002/gps.3794" TargetMode="External"/><Relationship Id="rId4008" Type="http://schemas.openxmlformats.org/officeDocument/2006/relationships/hyperlink" Target="https://doi.org/10.1037/0021-843X.110.4.653" TargetMode="External"/><Relationship Id="rId5406" Type="http://schemas.openxmlformats.org/officeDocument/2006/relationships/hyperlink" Target="https://doi.org/10.1176/appi.ajp.2010.09071059" TargetMode="External"/><Relationship Id="rId5820" Type="http://schemas.openxmlformats.org/officeDocument/2006/relationships/hyperlink" Target="https://doi.org/10.1177/1087054709359887" TargetMode="External"/><Relationship Id="rId292" Type="http://schemas.openxmlformats.org/officeDocument/2006/relationships/hyperlink" Target="https://doi.org/10.1037/pas0000077" TargetMode="External"/><Relationship Id="rId3371" Type="http://schemas.openxmlformats.org/officeDocument/2006/relationships/hyperlink" Target="https://doi.org/10.1515/9781400846702" TargetMode="External"/><Relationship Id="rId4422" Type="http://schemas.openxmlformats.org/officeDocument/2006/relationships/hyperlink" Target="https://doi.org/10.1016/j.jpsychires.2012.03.014" TargetMode="External"/><Relationship Id="rId3024" Type="http://schemas.openxmlformats.org/officeDocument/2006/relationships/hyperlink" Target="https://doi.org/10.1089/neu.2015.3880" TargetMode="External"/><Relationship Id="rId2040" Type="http://schemas.openxmlformats.org/officeDocument/2006/relationships/hyperlink" Target="https://doi.org/10.1212/WNL.0000000000007665" TargetMode="External"/><Relationship Id="rId5196" Type="http://schemas.openxmlformats.org/officeDocument/2006/relationships/hyperlink" Target="https://doi.org/10.1080/13803391003689770" TargetMode="External"/><Relationship Id="rId6247" Type="http://schemas.openxmlformats.org/officeDocument/2006/relationships/hyperlink" Target="https://doi.org/10.1080/13854046.2010.486008" TargetMode="External"/><Relationship Id="rId5263" Type="http://schemas.openxmlformats.org/officeDocument/2006/relationships/hyperlink" Target="https://doi.org/10.1159/000447533" TargetMode="External"/><Relationship Id="rId6314" Type="http://schemas.openxmlformats.org/officeDocument/2006/relationships/hyperlink" Target="https://doi.org/10.1007/s00406-009-0096-z" TargetMode="External"/><Relationship Id="rId1459" Type="http://schemas.openxmlformats.org/officeDocument/2006/relationships/hyperlink" Target="https://doi.org/10.1037/0735-7044.110.5.872" TargetMode="External"/><Relationship Id="rId2857" Type="http://schemas.openxmlformats.org/officeDocument/2006/relationships/hyperlink" Target="https://doi.org/10.1007/s00406-009-0045-x" TargetMode="External"/><Relationship Id="rId3908" Type="http://schemas.openxmlformats.org/officeDocument/2006/relationships/hyperlink" Target="https://doi.org/10.2117/psysoc.2003.268" TargetMode="External"/><Relationship Id="rId5330" Type="http://schemas.openxmlformats.org/officeDocument/2006/relationships/hyperlink" Target="https://doi.org/10.1016/j.neuroimage.2009.10.031" TargetMode="External"/><Relationship Id="rId98" Type="http://schemas.openxmlformats.org/officeDocument/2006/relationships/hyperlink" Target="https://doi.org/10.1007/978-1-4614-5269-0_2" TargetMode="External"/><Relationship Id="rId829" Type="http://schemas.openxmlformats.org/officeDocument/2006/relationships/hyperlink" Target="https://doi.org/10.1111/j.1468-2982.2007.01394.x" TargetMode="External"/><Relationship Id="rId1873" Type="http://schemas.openxmlformats.org/officeDocument/2006/relationships/hyperlink" Target="https://doi.org/10.1016/S0165-0327(00)00362-1" TargetMode="External"/><Relationship Id="rId2924" Type="http://schemas.openxmlformats.org/officeDocument/2006/relationships/hyperlink" Target="https://doi.org/10.1073/pnas.1214551110" TargetMode="External"/><Relationship Id="rId1526" Type="http://schemas.openxmlformats.org/officeDocument/2006/relationships/hyperlink" Target="https://doi.org/10.1076/neur.9.2.97.15075" TargetMode="External"/><Relationship Id="rId1940" Type="http://schemas.openxmlformats.org/officeDocument/2006/relationships/hyperlink" Target="https://doi.org/10.1007/s00787-016-0857-y" TargetMode="External"/><Relationship Id="rId3698" Type="http://schemas.openxmlformats.org/officeDocument/2006/relationships/hyperlink" Target="https://doi.org/10.1176/appi.ajp.161.2.262" TargetMode="External"/><Relationship Id="rId4749" Type="http://schemas.openxmlformats.org/officeDocument/2006/relationships/hyperlink" Target="https://doi.org/10.1159/000337001" TargetMode="External"/><Relationship Id="rId3765" Type="http://schemas.openxmlformats.org/officeDocument/2006/relationships/hyperlink" Target="https://doi.org/10.1007/s10548-009-0106-5" TargetMode="External"/><Relationship Id="rId4816" Type="http://schemas.openxmlformats.org/officeDocument/2006/relationships/hyperlink" Target="https://doi.org/10.1080/02699050600664665" TargetMode="External"/><Relationship Id="rId6171" Type="http://schemas.openxmlformats.org/officeDocument/2006/relationships/hyperlink" Target="https://doi.org/10.1080/13854046.2012.655781" TargetMode="External"/><Relationship Id="rId686" Type="http://schemas.openxmlformats.org/officeDocument/2006/relationships/hyperlink" Target="https://doi.org/10.1016/j.psychres.2004.10.001" TargetMode="External"/><Relationship Id="rId2367" Type="http://schemas.openxmlformats.org/officeDocument/2006/relationships/hyperlink" Target="https://doi.org/10.1080/13546805.2015.1044510" TargetMode="External"/><Relationship Id="rId2781" Type="http://schemas.openxmlformats.org/officeDocument/2006/relationships/hyperlink" Target="https://doi.org/10.1177/107906320701900206" TargetMode="External"/><Relationship Id="rId3418" Type="http://schemas.openxmlformats.org/officeDocument/2006/relationships/hyperlink" Target="https://doi.org/10.1111/1469-7610.00717" TargetMode="External"/><Relationship Id="rId339" Type="http://schemas.openxmlformats.org/officeDocument/2006/relationships/hyperlink" Target="https://doi.org/10.1177/0269881104042614" TargetMode="External"/><Relationship Id="rId753" Type="http://schemas.openxmlformats.org/officeDocument/2006/relationships/hyperlink" Target="https://doi.org/10.1016/j.schres.2013.07.053" TargetMode="External"/><Relationship Id="rId1383" Type="http://schemas.openxmlformats.org/officeDocument/2006/relationships/hyperlink" Target="https://doi.org/10.1155/2008/693671" TargetMode="External"/><Relationship Id="rId2434" Type="http://schemas.openxmlformats.org/officeDocument/2006/relationships/hyperlink" Target="https://doi.org/10.1037/0894-4105.18.4.621" TargetMode="External"/><Relationship Id="rId3832" Type="http://schemas.openxmlformats.org/officeDocument/2006/relationships/hyperlink" Target="https://doi.org/10.1177/1073191115588783" TargetMode="External"/><Relationship Id="rId406" Type="http://schemas.openxmlformats.org/officeDocument/2006/relationships/hyperlink" Target="https://doi.org/10.1016/j.cogbrainres.2005.03.013" TargetMode="External"/><Relationship Id="rId1036" Type="http://schemas.openxmlformats.org/officeDocument/2006/relationships/hyperlink" Target="https://doi.org/10.1111/jar.12044" TargetMode="External"/><Relationship Id="rId820" Type="http://schemas.openxmlformats.org/officeDocument/2006/relationships/hyperlink" Target="https://doi.org/10.1586/ern.10.155" TargetMode="External"/><Relationship Id="rId1450" Type="http://schemas.openxmlformats.org/officeDocument/2006/relationships/hyperlink" Target="https://doi.org/10.3389/fnsys.2015.00185" TargetMode="External"/><Relationship Id="rId2501" Type="http://schemas.openxmlformats.org/officeDocument/2006/relationships/hyperlink" Target="https://doi.org/10.1375/brim.2005.6.3.169" TargetMode="External"/><Relationship Id="rId5657" Type="http://schemas.openxmlformats.org/officeDocument/2006/relationships/hyperlink" Target="https://doi.org/10.1016/j.jbtep.2013.04.001" TargetMode="External"/><Relationship Id="rId1103" Type="http://schemas.openxmlformats.org/officeDocument/2006/relationships/hyperlink" Target="https://doi.org/10.5455/bcp.20131213040431" TargetMode="External"/><Relationship Id="rId4259" Type="http://schemas.openxmlformats.org/officeDocument/2006/relationships/hyperlink" Target="https://doi.org/10.5665/sleep.2950" TargetMode="External"/><Relationship Id="rId4673" Type="http://schemas.openxmlformats.org/officeDocument/2006/relationships/hyperlink" Target="https://doi.org/10.1080/23279095.2019.1613994" TargetMode="External"/><Relationship Id="rId5724" Type="http://schemas.openxmlformats.org/officeDocument/2006/relationships/hyperlink" Target="https://doi.org/10.3102/1076998612458318" TargetMode="External"/><Relationship Id="rId3275" Type="http://schemas.openxmlformats.org/officeDocument/2006/relationships/hyperlink" Target="https://doi.org/10.1016/j.psychres.2014.09.009" TargetMode="External"/><Relationship Id="rId4326" Type="http://schemas.openxmlformats.org/officeDocument/2006/relationships/hyperlink" Target="https://doi.org/10.1016/j.schres.2016.10.014" TargetMode="External"/><Relationship Id="rId4740" Type="http://schemas.openxmlformats.org/officeDocument/2006/relationships/hyperlink" Target="https://doi.org/10.1093/schbul/sbl019" TargetMode="External"/><Relationship Id="rId196" Type="http://schemas.openxmlformats.org/officeDocument/2006/relationships/hyperlink" Target="https://doi.org/10.1080/13803395.2012.683856" TargetMode="External"/><Relationship Id="rId2291" Type="http://schemas.openxmlformats.org/officeDocument/2006/relationships/hyperlink" Target="https://doi.org/10.1590/S0101-81082005000300003" TargetMode="External"/><Relationship Id="rId3342" Type="http://schemas.openxmlformats.org/officeDocument/2006/relationships/hyperlink" Target="https://doi.org/10.1080/09602011.2010.543867" TargetMode="External"/><Relationship Id="rId6498" Type="http://schemas.openxmlformats.org/officeDocument/2006/relationships/hyperlink" Target="https://doi.org/10.1002/ajmg.b.32642" TargetMode="External"/><Relationship Id="rId263" Type="http://schemas.openxmlformats.org/officeDocument/2006/relationships/hyperlink" Target="https://doi.org/10.1037/0894-4105.11.2.187" TargetMode="External"/><Relationship Id="rId330" Type="http://schemas.openxmlformats.org/officeDocument/2006/relationships/hyperlink" Target="https://doi.org/10.1017/S1355617713000167" TargetMode="External"/><Relationship Id="rId2011" Type="http://schemas.openxmlformats.org/officeDocument/2006/relationships/hyperlink" Target="https://doi.org/10.1016/j.schres.2006.12.031" TargetMode="External"/><Relationship Id="rId5167" Type="http://schemas.openxmlformats.org/officeDocument/2006/relationships/hyperlink" Target="https://doi.org/10.1037/0894-4105.20.6.675" TargetMode="External"/><Relationship Id="rId6218" Type="http://schemas.openxmlformats.org/officeDocument/2006/relationships/hyperlink" Target="https://doi.org/10.1016/j.ijnurstu.2017.07.005" TargetMode="External"/><Relationship Id="rId4183" Type="http://schemas.openxmlformats.org/officeDocument/2006/relationships/hyperlink" Target="https://doi.org/10.1037/neu0000343" TargetMode="External"/><Relationship Id="rId5581" Type="http://schemas.openxmlformats.org/officeDocument/2006/relationships/hyperlink" Target="https://doi.org/10.1017/S1355617713000660" TargetMode="External"/><Relationship Id="rId1777" Type="http://schemas.openxmlformats.org/officeDocument/2006/relationships/hyperlink" Target="https://doi.org/10.1016/j.pnpbp.2006.10.013" TargetMode="External"/><Relationship Id="rId2828" Type="http://schemas.openxmlformats.org/officeDocument/2006/relationships/hyperlink" Target="https://doi.org/10.1017/S1355617709090596" TargetMode="External"/><Relationship Id="rId5234" Type="http://schemas.openxmlformats.org/officeDocument/2006/relationships/hyperlink" Target="https://doi.org/10.3389/fnagi.2015.00225" TargetMode="External"/><Relationship Id="rId69" Type="http://schemas.openxmlformats.org/officeDocument/2006/relationships/hyperlink" Target="https://doi.org/10.1016/j.pnpbp.2008.08.001" TargetMode="External"/><Relationship Id="rId1844" Type="http://schemas.openxmlformats.org/officeDocument/2006/relationships/hyperlink" Target="https://doi.org/10.1016/S0924-9338(03)80004-4" TargetMode="External"/><Relationship Id="rId4250" Type="http://schemas.openxmlformats.org/officeDocument/2006/relationships/hyperlink" Target="https://doi.org/10.1016/j.pnpbp.2009.10.020" TargetMode="External"/><Relationship Id="rId5301" Type="http://schemas.openxmlformats.org/officeDocument/2006/relationships/hyperlink" Target="https://doi.org/10.1111/j.1365-2788.2011.01477.x" TargetMode="External"/><Relationship Id="rId1911" Type="http://schemas.openxmlformats.org/officeDocument/2006/relationships/hyperlink" Target="https://doi.org/10.1080/02699200500075781" TargetMode="External"/><Relationship Id="rId3669" Type="http://schemas.openxmlformats.org/officeDocument/2006/relationships/hyperlink" Target="https://doi.org/10.1080/13554794.2013.878725" TargetMode="External"/><Relationship Id="rId6075" Type="http://schemas.openxmlformats.org/officeDocument/2006/relationships/hyperlink" Target="https://doi.org/10.1016/j.euroneuro.2018.02.001" TargetMode="External"/><Relationship Id="rId5091" Type="http://schemas.openxmlformats.org/officeDocument/2006/relationships/hyperlink" Target="https://doi.org/10.1093/oxfordjournals.schbul.a033503" TargetMode="External"/><Relationship Id="rId6142" Type="http://schemas.openxmlformats.org/officeDocument/2006/relationships/hyperlink" Target="https://doi.org/10.1097/WNN.0b013e3181b278e8" TargetMode="External"/><Relationship Id="rId1287" Type="http://schemas.openxmlformats.org/officeDocument/2006/relationships/hyperlink" Target="https://doi.org/10.1016/j.jpsychires.2004.09.001" TargetMode="External"/><Relationship Id="rId2685" Type="http://schemas.openxmlformats.org/officeDocument/2006/relationships/hyperlink" Target="https://doi.org/10.1080/13554790902729465" TargetMode="External"/><Relationship Id="rId3736" Type="http://schemas.openxmlformats.org/officeDocument/2006/relationships/hyperlink" Target="https://doi.org/10.1080/02699050400005028" TargetMode="External"/><Relationship Id="rId657" Type="http://schemas.openxmlformats.org/officeDocument/2006/relationships/hyperlink" Target="https://doi.org/10.1016/j.schres.2011.04.025" TargetMode="External"/><Relationship Id="rId2338" Type="http://schemas.openxmlformats.org/officeDocument/2006/relationships/hyperlink" Target="https://doi.org/10.1017/S1355617700000631" TargetMode="External"/><Relationship Id="rId2752" Type="http://schemas.openxmlformats.org/officeDocument/2006/relationships/hyperlink" Target="https://doi.org/10.1016/j.janxdis.2012.10.004" TargetMode="External"/><Relationship Id="rId3803" Type="http://schemas.openxmlformats.org/officeDocument/2006/relationships/hyperlink" Target="https://doi.org/10.1016/j.neuropsychologia.2009.02.023" TargetMode="External"/><Relationship Id="rId724" Type="http://schemas.openxmlformats.org/officeDocument/2006/relationships/hyperlink" Target="https://doi.org/10.1016/j.schres.2007.01.006" TargetMode="External"/><Relationship Id="rId1354" Type="http://schemas.openxmlformats.org/officeDocument/2006/relationships/hyperlink" Target="https://doi.org/10.1016/j.jad.2018.03.010" TargetMode="External"/><Relationship Id="rId2405" Type="http://schemas.openxmlformats.org/officeDocument/2006/relationships/hyperlink" Target="https://doi.org/10.1111/gbb.12344" TargetMode="External"/><Relationship Id="rId5975" Type="http://schemas.openxmlformats.org/officeDocument/2006/relationships/hyperlink" Target="https://doi.org/10.1017/S0033291700025514" TargetMode="External"/><Relationship Id="rId60" Type="http://schemas.openxmlformats.org/officeDocument/2006/relationships/hyperlink" Target="https://doi.org/10.1080/00207140108410081" TargetMode="External"/><Relationship Id="rId1007" Type="http://schemas.openxmlformats.org/officeDocument/2006/relationships/hyperlink" Target="https://doi.org/10.1016/j.schres.2005.02.020" TargetMode="External"/><Relationship Id="rId1421" Type="http://schemas.openxmlformats.org/officeDocument/2006/relationships/hyperlink" Target="https://doi.org/10.1037/0894-4105.17.2.255" TargetMode="External"/><Relationship Id="rId4577" Type="http://schemas.openxmlformats.org/officeDocument/2006/relationships/hyperlink" Target="https://doi.org/10.1310/tsr1902-158" TargetMode="External"/><Relationship Id="rId4991" Type="http://schemas.openxmlformats.org/officeDocument/2006/relationships/hyperlink" Target="https://doi.org/10.1016/j.neuroimage.2010.08.052" TargetMode="External"/><Relationship Id="rId5628" Type="http://schemas.openxmlformats.org/officeDocument/2006/relationships/hyperlink" Target="https://doi.org/10.1016/j.neures.2010.11.007" TargetMode="External"/><Relationship Id="rId3179" Type="http://schemas.openxmlformats.org/officeDocument/2006/relationships/hyperlink" Target="https://doi.org/10.1097/JGP.0b013e3181cabad1" TargetMode="External"/><Relationship Id="rId3593" Type="http://schemas.openxmlformats.org/officeDocument/2006/relationships/hyperlink" Target="https://doi.org/10.1123/jcsp.6.3.247" TargetMode="External"/><Relationship Id="rId4644" Type="http://schemas.openxmlformats.org/officeDocument/2006/relationships/hyperlink" Target="https://doi.org/10.1159/000319746" TargetMode="External"/><Relationship Id="rId2195" Type="http://schemas.openxmlformats.org/officeDocument/2006/relationships/hyperlink" Target="https://doi.org/10.1097/01.nmd.0000105995.67947.fc" TargetMode="External"/><Relationship Id="rId3246" Type="http://schemas.openxmlformats.org/officeDocument/2006/relationships/hyperlink" Target="https://doi.org/10.1080/13803390500302028" TargetMode="External"/><Relationship Id="rId167" Type="http://schemas.openxmlformats.org/officeDocument/2006/relationships/hyperlink" Target="https://doi.org/10.1016/j.psychres.2010.09.015" TargetMode="External"/><Relationship Id="rId581" Type="http://schemas.openxmlformats.org/officeDocument/2006/relationships/hyperlink" Target="https://doi.org/10.1017/thg.2014.12" TargetMode="External"/><Relationship Id="rId2262" Type="http://schemas.openxmlformats.org/officeDocument/2006/relationships/hyperlink" Target="https://doi.org/10.1590/0004-282X20130205" TargetMode="External"/><Relationship Id="rId3660" Type="http://schemas.openxmlformats.org/officeDocument/2006/relationships/hyperlink" Target="https://doi.org/10.1016/j.schres.2008.07.011" TargetMode="External"/><Relationship Id="rId4711" Type="http://schemas.openxmlformats.org/officeDocument/2006/relationships/hyperlink" Target="https://doi.org/10.1080/13803395.2015.1015498" TargetMode="External"/><Relationship Id="rId234" Type="http://schemas.openxmlformats.org/officeDocument/2006/relationships/hyperlink" Target="https://doi.org/10.1016/S0920-9964(01)00209-2" TargetMode="External"/><Relationship Id="rId3313" Type="http://schemas.openxmlformats.org/officeDocument/2006/relationships/hyperlink" Target="https://doi.org/10.1016/j.psychres.2016.01.055" TargetMode="External"/><Relationship Id="rId6469" Type="http://schemas.openxmlformats.org/officeDocument/2006/relationships/hyperlink" Target="https://doi.org/10.2466/02.13.15.22.PR0.107.6.727-732" TargetMode="External"/><Relationship Id="rId5485" Type="http://schemas.openxmlformats.org/officeDocument/2006/relationships/hyperlink" Target="https://doi.org/10.1002/hbm.20637" TargetMode="External"/><Relationship Id="rId6536" Type="http://schemas.openxmlformats.org/officeDocument/2006/relationships/hyperlink" Target="https://doi.org/10.1016/j.schres.2007.02.009" TargetMode="External"/><Relationship Id="rId301" Type="http://schemas.openxmlformats.org/officeDocument/2006/relationships/hyperlink" Target="https://doi.org/10.1017/S1355617718000735" TargetMode="External"/><Relationship Id="rId4087" Type="http://schemas.openxmlformats.org/officeDocument/2006/relationships/hyperlink" Target="https://doi.org/10.1037/pag0000277" TargetMode="External"/><Relationship Id="rId5138" Type="http://schemas.openxmlformats.org/officeDocument/2006/relationships/hyperlink" Target="https://doi.org/10.1111/j.1468-1331.2010.03155.x" TargetMode="External"/><Relationship Id="rId5552" Type="http://schemas.openxmlformats.org/officeDocument/2006/relationships/hyperlink" Target="https://doi.org/10.1080/13554790490896965" TargetMode="External"/><Relationship Id="rId1748" Type="http://schemas.openxmlformats.org/officeDocument/2006/relationships/hyperlink" Target="https://doi.org/10.1016/j.concog.2010.06.014" TargetMode="External"/><Relationship Id="rId4154" Type="http://schemas.openxmlformats.org/officeDocument/2006/relationships/hyperlink" Target="https://doi.org/10.1093/brain/awg240" TargetMode="External"/><Relationship Id="rId5205" Type="http://schemas.openxmlformats.org/officeDocument/2006/relationships/hyperlink" Target="https://doi.org/10.1016/S0028-3932(01)00074-4" TargetMode="External"/><Relationship Id="rId3170" Type="http://schemas.openxmlformats.org/officeDocument/2006/relationships/hyperlink" Target="https://doi.org/10.1016/j.acn.2005.09.001" TargetMode="External"/><Relationship Id="rId4221" Type="http://schemas.openxmlformats.org/officeDocument/2006/relationships/hyperlink" Target="https://doi.org/10.1016/j.acn.2007.07.002" TargetMode="External"/><Relationship Id="rId1815" Type="http://schemas.openxmlformats.org/officeDocument/2006/relationships/hyperlink" Target="https://doi.org/10.1371/journal.pone.0049486" TargetMode="External"/><Relationship Id="rId6393" Type="http://schemas.openxmlformats.org/officeDocument/2006/relationships/hyperlink" Target="https://doi.org/10.3109/02699052.2013.794975" TargetMode="External"/><Relationship Id="rId3987" Type="http://schemas.openxmlformats.org/officeDocument/2006/relationships/hyperlink" Target="https://doi.org/10.1016/j.eurpsy.2019.02.006" TargetMode="External"/><Relationship Id="rId6046" Type="http://schemas.openxmlformats.org/officeDocument/2006/relationships/hyperlink" Target="https://doi.org/10.1002/9780470684610" TargetMode="External"/><Relationship Id="rId2589" Type="http://schemas.openxmlformats.org/officeDocument/2006/relationships/hyperlink" Target="https://doi.org/10.1111/jnp.12008" TargetMode="External"/><Relationship Id="rId6460" Type="http://schemas.openxmlformats.org/officeDocument/2006/relationships/hyperlink" Target="https://doi.org/10.2466/03.04.PR0.113x29z0" TargetMode="External"/><Relationship Id="rId975" Type="http://schemas.openxmlformats.org/officeDocument/2006/relationships/hyperlink" Target="https://doi.org/10.1016/j.sleep.2013.03.011" TargetMode="External"/><Relationship Id="rId2656" Type="http://schemas.openxmlformats.org/officeDocument/2006/relationships/hyperlink" Target="https://doi.org/10.1016/S0010-9452(08)70250-8" TargetMode="External"/><Relationship Id="rId3707" Type="http://schemas.openxmlformats.org/officeDocument/2006/relationships/hyperlink" Target="https://doi.org/10.1016/j.jad.2017.08.011" TargetMode="External"/><Relationship Id="rId5062" Type="http://schemas.openxmlformats.org/officeDocument/2006/relationships/hyperlink" Target="https://doi.org/10.1177/0886260512445385" TargetMode="External"/><Relationship Id="rId6113" Type="http://schemas.openxmlformats.org/officeDocument/2006/relationships/hyperlink" Target="https://doi.org/10.1016/j.neuropsychologia.2010.01.005" TargetMode="External"/><Relationship Id="rId628" Type="http://schemas.openxmlformats.org/officeDocument/2006/relationships/hyperlink" Target="https://doi.org/10.1080/13554790802459478" TargetMode="External"/><Relationship Id="rId1258" Type="http://schemas.openxmlformats.org/officeDocument/2006/relationships/hyperlink" Target="https://doi.org/10.1111/j.1528-1167.2008.01738.x" TargetMode="External"/><Relationship Id="rId1672" Type="http://schemas.openxmlformats.org/officeDocument/2006/relationships/hyperlink" Target="https://doi.org/10.1080/21622965.2016.1198908" TargetMode="External"/><Relationship Id="rId2309" Type="http://schemas.openxmlformats.org/officeDocument/2006/relationships/hyperlink" Target="https://doi.org/10.1016/j.jpsychires.2014.07.007" TargetMode="External"/><Relationship Id="rId2723" Type="http://schemas.openxmlformats.org/officeDocument/2006/relationships/hyperlink" Target="https://doi.org/10.4135/9789353280765.n7" TargetMode="External"/><Relationship Id="rId5879" Type="http://schemas.openxmlformats.org/officeDocument/2006/relationships/hyperlink" Target="https://doi.org/10.1016/j.parkreldis.2010.09.001" TargetMode="External"/><Relationship Id="rId1325" Type="http://schemas.openxmlformats.org/officeDocument/2006/relationships/hyperlink" Target="https://doi.org/10.1093/arclin/acr079" TargetMode="External"/><Relationship Id="rId3497" Type="http://schemas.openxmlformats.org/officeDocument/2006/relationships/hyperlink" Target="https://doi.org/10.1016/j.jpsychires.2014.11.007" TargetMode="External"/><Relationship Id="rId4895" Type="http://schemas.openxmlformats.org/officeDocument/2006/relationships/hyperlink" Target="https://doi.org/10.1017/S095457940606010X" TargetMode="External"/><Relationship Id="rId5946" Type="http://schemas.openxmlformats.org/officeDocument/2006/relationships/hyperlink" Target="https://doi.org/10.1016/j.yebeh.2018.06.013" TargetMode="External"/><Relationship Id="rId31" Type="http://schemas.openxmlformats.org/officeDocument/2006/relationships/hyperlink" Target="https://doi.org/10.1002/hup.1115" TargetMode="External"/><Relationship Id="rId2099" Type="http://schemas.openxmlformats.org/officeDocument/2006/relationships/hyperlink" Target="https://doi.org/10.1371/journal.pone.0231868" TargetMode="External"/><Relationship Id="rId4548" Type="http://schemas.openxmlformats.org/officeDocument/2006/relationships/hyperlink" Target="https://doi.org/10.1111/j.1751-7893.2011.00319.x" TargetMode="External"/><Relationship Id="rId4962" Type="http://schemas.openxmlformats.org/officeDocument/2006/relationships/hyperlink" Target="https://doi.org/10.1016/j.biopsych.2006.03.067" TargetMode="External"/><Relationship Id="rId3564" Type="http://schemas.openxmlformats.org/officeDocument/2006/relationships/hyperlink" Target="https://doi.org/10.2147/nedt.2006.2.3.375" TargetMode="External"/><Relationship Id="rId4615" Type="http://schemas.openxmlformats.org/officeDocument/2006/relationships/hyperlink" Target="https://doi.org/10.1002/hbm.21107" TargetMode="External"/><Relationship Id="rId485" Type="http://schemas.openxmlformats.org/officeDocument/2006/relationships/hyperlink" Target="https://doi.org/10.1080/23279095.2015.1048514" TargetMode="External"/><Relationship Id="rId2166" Type="http://schemas.openxmlformats.org/officeDocument/2006/relationships/hyperlink" Target="https://doi.org/10.1093/brain/awh348" TargetMode="External"/><Relationship Id="rId2580" Type="http://schemas.openxmlformats.org/officeDocument/2006/relationships/hyperlink" Target="https://doi.org/10.1186/s12888-016-1190-1" TargetMode="External"/><Relationship Id="rId3217" Type="http://schemas.openxmlformats.org/officeDocument/2006/relationships/hyperlink" Target="https://doi.org/10.1037/0000032-004" TargetMode="External"/><Relationship Id="rId3631" Type="http://schemas.openxmlformats.org/officeDocument/2006/relationships/hyperlink" Target="https://doi.org/10.1523/JNEUROSCI.5238-05.2006" TargetMode="External"/><Relationship Id="rId138" Type="http://schemas.openxmlformats.org/officeDocument/2006/relationships/hyperlink" Target="https://doi.org/10.1016/j.jns.2014.01.037" TargetMode="External"/><Relationship Id="rId552" Type="http://schemas.openxmlformats.org/officeDocument/2006/relationships/hyperlink" Target="https://doi.org/10.1016/j.schres.2017.09.024" TargetMode="External"/><Relationship Id="rId1182" Type="http://schemas.openxmlformats.org/officeDocument/2006/relationships/hyperlink" Target="https://doi.org/10.1136/jnnp.2003.030320" TargetMode="External"/><Relationship Id="rId2233" Type="http://schemas.openxmlformats.org/officeDocument/2006/relationships/hyperlink" Target="https://doi.org/10.1080/13803390490504362" TargetMode="External"/><Relationship Id="rId5389" Type="http://schemas.openxmlformats.org/officeDocument/2006/relationships/hyperlink" Target="https://doi.org/10.1523/JNEUROSCI.2081-16.2017" TargetMode="External"/><Relationship Id="rId205" Type="http://schemas.openxmlformats.org/officeDocument/2006/relationships/hyperlink" Target="https://doi.org/10.1016/j.addbeh.2016.03.018" TargetMode="External"/><Relationship Id="rId2300" Type="http://schemas.openxmlformats.org/officeDocument/2006/relationships/hyperlink" Target="https://doi.org/10.1590/S1413-294X2005000100008" TargetMode="External"/><Relationship Id="rId5456" Type="http://schemas.openxmlformats.org/officeDocument/2006/relationships/hyperlink" Target="https://doi.org/10.1016/j.jneuroling.2009.06.002" TargetMode="External"/><Relationship Id="rId6507" Type="http://schemas.openxmlformats.org/officeDocument/2006/relationships/hyperlink" Target="https://doi.org/10.1016/j.jad.2014.08.039" TargetMode="External"/><Relationship Id="rId1999" Type="http://schemas.openxmlformats.org/officeDocument/2006/relationships/hyperlink" Target="https://doi.org/10.1093/arclin/acs004" TargetMode="External"/><Relationship Id="rId4058" Type="http://schemas.openxmlformats.org/officeDocument/2006/relationships/hyperlink" Target="https://doi.org/10.1080/13803395.2018.1562048" TargetMode="External"/><Relationship Id="rId4472" Type="http://schemas.openxmlformats.org/officeDocument/2006/relationships/hyperlink" Target="https://doi.org/10.1093/gerona/63.12.1350" TargetMode="External"/><Relationship Id="rId5109" Type="http://schemas.openxmlformats.org/officeDocument/2006/relationships/hyperlink" Target="https://doi.org/10.1016/j.seizure.2016.10.022" TargetMode="External"/><Relationship Id="rId5870" Type="http://schemas.openxmlformats.org/officeDocument/2006/relationships/hyperlink" Target="https://doi.org/10.1016/j.schres.2012.12.024" TargetMode="External"/><Relationship Id="rId3074" Type="http://schemas.openxmlformats.org/officeDocument/2006/relationships/hyperlink" Target="https://doi.org/10.1046/j.1468-1331.2003.00647.x" TargetMode="External"/><Relationship Id="rId4125" Type="http://schemas.openxmlformats.org/officeDocument/2006/relationships/hyperlink" Target="https://doi.org/10.1016/j.bandl.2004.05.004" TargetMode="External"/><Relationship Id="rId5523" Type="http://schemas.openxmlformats.org/officeDocument/2006/relationships/hyperlink" Target="https://doi.org/10.1017/S1355617707070348" TargetMode="External"/><Relationship Id="rId1719" Type="http://schemas.openxmlformats.org/officeDocument/2006/relationships/hyperlink" Target="https://doi.org/10.1111/j.1469-8986.2011.01331.x" TargetMode="External"/><Relationship Id="rId2090" Type="http://schemas.openxmlformats.org/officeDocument/2006/relationships/hyperlink" Target="https://doi.org/10.1037/a0016582" TargetMode="External"/><Relationship Id="rId3141" Type="http://schemas.openxmlformats.org/officeDocument/2006/relationships/hyperlink" Target="https://doi.org/10.1007/s10803-006-0094-1" TargetMode="External"/><Relationship Id="rId6297" Type="http://schemas.openxmlformats.org/officeDocument/2006/relationships/hyperlink" Target="https://doi.org/10.1111/ene.13062" TargetMode="External"/><Relationship Id="rId3958" Type="http://schemas.openxmlformats.org/officeDocument/2006/relationships/hyperlink" Target="https://doi.org/10.1016/j.schres.2017.08.057" TargetMode="External"/><Relationship Id="rId6364" Type="http://schemas.openxmlformats.org/officeDocument/2006/relationships/hyperlink" Target="https://doi.org/10.1016/j.schres.2007.03.030" TargetMode="External"/><Relationship Id="rId879" Type="http://schemas.openxmlformats.org/officeDocument/2006/relationships/hyperlink" Target="https://doi.org/10.1080/13803395.2014.960370" TargetMode="External"/><Relationship Id="rId5380" Type="http://schemas.openxmlformats.org/officeDocument/2006/relationships/hyperlink" Target="https://doi.org/10.1186/1753-2000-2-4" TargetMode="External"/><Relationship Id="rId6017" Type="http://schemas.openxmlformats.org/officeDocument/2006/relationships/hyperlink" Target="https://doi.org/10.1007/s11839-016-0602-2" TargetMode="External"/><Relationship Id="rId6431" Type="http://schemas.openxmlformats.org/officeDocument/2006/relationships/hyperlink" Target="https://doi.org/10.1016/j.schres.2009.01.012" TargetMode="External"/><Relationship Id="rId1576" Type="http://schemas.openxmlformats.org/officeDocument/2006/relationships/hyperlink" Target="https://doi.org/10.1111/j.1530-0277.2007.00398.x" TargetMode="External"/><Relationship Id="rId2974" Type="http://schemas.openxmlformats.org/officeDocument/2006/relationships/hyperlink" Target="https://doi.org/10.1016/j.jpsychires.2009.03.011" TargetMode="External"/><Relationship Id="rId5033" Type="http://schemas.openxmlformats.org/officeDocument/2006/relationships/hyperlink" Target="https://doi.org/10.1176/appi.neuropsych.18.1.64" TargetMode="External"/><Relationship Id="rId946" Type="http://schemas.openxmlformats.org/officeDocument/2006/relationships/hyperlink" Target="https://doi.org/10.1016/j.rasd.2011.02.017" TargetMode="External"/><Relationship Id="rId1229" Type="http://schemas.openxmlformats.org/officeDocument/2006/relationships/hyperlink" Target="https://doi.org/10.1016/j.psychres.2017.10.041" TargetMode="External"/><Relationship Id="rId1990" Type="http://schemas.openxmlformats.org/officeDocument/2006/relationships/hyperlink" Target="https://doi.org/10.6018/analesps.28.3.124051" TargetMode="External"/><Relationship Id="rId2627" Type="http://schemas.openxmlformats.org/officeDocument/2006/relationships/hyperlink" Target="https://doi.org/10.1371/journal.pone.0067341" TargetMode="External"/><Relationship Id="rId5100" Type="http://schemas.openxmlformats.org/officeDocument/2006/relationships/hyperlink" Target="https://doi.org/10.1002/hup.2321" TargetMode="External"/><Relationship Id="rId1643" Type="http://schemas.openxmlformats.org/officeDocument/2006/relationships/hyperlink" Target="https://doi.org/10.1016/j.jpsychires.2015.09.006" TargetMode="External"/><Relationship Id="rId4799" Type="http://schemas.openxmlformats.org/officeDocument/2006/relationships/hyperlink" Target="https://doi.org/10.1080/13854046.2012.666265" TargetMode="External"/><Relationship Id="rId1710" Type="http://schemas.openxmlformats.org/officeDocument/2006/relationships/hyperlink" Target="https://doi.org/10.7205/MILMED-D-12-00095" TargetMode="External"/><Relationship Id="rId4866" Type="http://schemas.openxmlformats.org/officeDocument/2006/relationships/hyperlink" Target="https://doi.org/10.1007/s11682-010-9111-2" TargetMode="External"/><Relationship Id="rId5917" Type="http://schemas.openxmlformats.org/officeDocument/2006/relationships/hyperlink" Target="https://doi.org/10.1016/j.yebeh.2018.08.010" TargetMode="External"/><Relationship Id="rId3468" Type="http://schemas.openxmlformats.org/officeDocument/2006/relationships/hyperlink" Target="https://doi.org/10.1016/j.neuroimage.2018.10.068" TargetMode="External"/><Relationship Id="rId3882" Type="http://schemas.openxmlformats.org/officeDocument/2006/relationships/hyperlink" Target="https://doi.org/10.1017/S095457940404461X" TargetMode="External"/><Relationship Id="rId4519" Type="http://schemas.openxmlformats.org/officeDocument/2006/relationships/hyperlink" Target="https://doi.org/10.1080/21622965.2019.1660984" TargetMode="External"/><Relationship Id="rId4933" Type="http://schemas.openxmlformats.org/officeDocument/2006/relationships/hyperlink" Target="https://doi.org/10.1016/j.psychres.2015.03.003" TargetMode="External"/><Relationship Id="rId389" Type="http://schemas.openxmlformats.org/officeDocument/2006/relationships/hyperlink" Target="https://doi.org/10.1037/0894-4105.18.1.152" TargetMode="External"/><Relationship Id="rId2484" Type="http://schemas.openxmlformats.org/officeDocument/2006/relationships/hyperlink" Target="https://doi.org/10.2466/PR0.101.7.796-802" TargetMode="External"/><Relationship Id="rId3535" Type="http://schemas.openxmlformats.org/officeDocument/2006/relationships/hyperlink" Target="https://doi.org/10.1111/acps.12012" TargetMode="External"/><Relationship Id="rId456" Type="http://schemas.openxmlformats.org/officeDocument/2006/relationships/hyperlink" Target="https://doi.org/10.1192/bjp.162.2.183" TargetMode="External"/><Relationship Id="rId870" Type="http://schemas.openxmlformats.org/officeDocument/2006/relationships/hyperlink" Target="https://doi.org/10.1176/appi.ajp.2011.10081209" TargetMode="External"/><Relationship Id="rId1086" Type="http://schemas.openxmlformats.org/officeDocument/2006/relationships/hyperlink" Target="https://doi.org/10.1016/j.pscychresns.2013.08.006" TargetMode="External"/><Relationship Id="rId2137" Type="http://schemas.openxmlformats.org/officeDocument/2006/relationships/hyperlink" Target="https://doi.org/10.1016/j.schres.2017.09.039" TargetMode="External"/><Relationship Id="rId2551" Type="http://schemas.openxmlformats.org/officeDocument/2006/relationships/hyperlink" Target="https://doi.org/10.1016/j.schres.2006.05.004" TargetMode="External"/><Relationship Id="rId109" Type="http://schemas.openxmlformats.org/officeDocument/2006/relationships/hyperlink" Target="https://doi.org/10.1212/01.WNL.0000130501.79012.1A" TargetMode="External"/><Relationship Id="rId523" Type="http://schemas.openxmlformats.org/officeDocument/2006/relationships/hyperlink" Target="https://doi.org/10.1016/j.jpsychires.2016.01.002" TargetMode="External"/><Relationship Id="rId1153" Type="http://schemas.openxmlformats.org/officeDocument/2006/relationships/hyperlink" Target="https://doi.org/10.1016/j.comppsych.2012.02.007" TargetMode="External"/><Relationship Id="rId2204" Type="http://schemas.openxmlformats.org/officeDocument/2006/relationships/hyperlink" Target="https://doi.org/10.1016/j.acn.2006.06.004" TargetMode="External"/><Relationship Id="rId3602" Type="http://schemas.openxmlformats.org/officeDocument/2006/relationships/hyperlink" Target="https://doi.org/10.1176/appi.ajp.159.4.652" TargetMode="External"/><Relationship Id="rId5774" Type="http://schemas.openxmlformats.org/officeDocument/2006/relationships/hyperlink" Target="https://doi.org/10.1016/j.schres.2017.03.044" TargetMode="External"/><Relationship Id="rId1220" Type="http://schemas.openxmlformats.org/officeDocument/2006/relationships/hyperlink" Target="https://doi.org/10.1002/9781118650868.ch30" TargetMode="External"/><Relationship Id="rId4376" Type="http://schemas.openxmlformats.org/officeDocument/2006/relationships/hyperlink" Target="https://doi.org/10.1007/s00406-013-0480-6" TargetMode="External"/><Relationship Id="rId4790" Type="http://schemas.openxmlformats.org/officeDocument/2006/relationships/hyperlink" Target="https://doi.org/10.1016/j.acn.2004.07.005" TargetMode="External"/><Relationship Id="rId5427" Type="http://schemas.openxmlformats.org/officeDocument/2006/relationships/hyperlink" Target="https://doi.org/10.1037/a0028727" TargetMode="External"/><Relationship Id="rId5841" Type="http://schemas.openxmlformats.org/officeDocument/2006/relationships/hyperlink" Target="https://doi.org/10.1177/0004867415622271" TargetMode="External"/><Relationship Id="rId3392" Type="http://schemas.openxmlformats.org/officeDocument/2006/relationships/hyperlink" Target="https://doi.org/10.1016/j.sleep.2020.05.024" TargetMode="External"/><Relationship Id="rId4029" Type="http://schemas.openxmlformats.org/officeDocument/2006/relationships/hyperlink" Target="https://doi.org/10.1080/13554794.2011.654220" TargetMode="External"/><Relationship Id="rId4443" Type="http://schemas.openxmlformats.org/officeDocument/2006/relationships/hyperlink" Target="https://doi.org/10.1016/j.neuropsychologia.2009.01.014" TargetMode="External"/><Relationship Id="rId3045" Type="http://schemas.openxmlformats.org/officeDocument/2006/relationships/hyperlink" Target="https://doi.org/10.1016/j.jagp.2012.12.013" TargetMode="External"/><Relationship Id="rId4510" Type="http://schemas.openxmlformats.org/officeDocument/2006/relationships/hyperlink" Target="https://doi.org/10.4321/S0213-61632012000400001" TargetMode="External"/><Relationship Id="rId380" Type="http://schemas.openxmlformats.org/officeDocument/2006/relationships/hyperlink" Target="https://doi.org/10.3758/BF03337338" TargetMode="External"/><Relationship Id="rId2061" Type="http://schemas.openxmlformats.org/officeDocument/2006/relationships/hyperlink" Target="https://doi.org/10.1521/psyc.2009.72.1.94" TargetMode="External"/><Relationship Id="rId3112" Type="http://schemas.openxmlformats.org/officeDocument/2006/relationships/hyperlink" Target="https://doi.org/10.1016/j.tsc.2018.07.006" TargetMode="External"/><Relationship Id="rId6268" Type="http://schemas.openxmlformats.org/officeDocument/2006/relationships/hyperlink" Target="https://doi.org/10.1207/s15324826an1103_1" TargetMode="External"/><Relationship Id="rId5284" Type="http://schemas.openxmlformats.org/officeDocument/2006/relationships/hyperlink" Target="https://doi.org/10.1037/0894-4105.19.3.288" TargetMode="External"/><Relationship Id="rId6335" Type="http://schemas.openxmlformats.org/officeDocument/2006/relationships/hyperlink" Target="https://doi.org/10.1016/j.schres.2013.01.017" TargetMode="External"/><Relationship Id="rId100" Type="http://schemas.openxmlformats.org/officeDocument/2006/relationships/hyperlink" Target="https://doi.org/10.1111/eip.12207" TargetMode="External"/><Relationship Id="rId2878" Type="http://schemas.openxmlformats.org/officeDocument/2006/relationships/hyperlink" Target="https://doi.org/10.3390/brainsci3031261" TargetMode="External"/><Relationship Id="rId3929" Type="http://schemas.openxmlformats.org/officeDocument/2006/relationships/hyperlink" Target="https://doi.org/10.1080/15622975.2019.1671609" TargetMode="External"/><Relationship Id="rId1894" Type="http://schemas.openxmlformats.org/officeDocument/2006/relationships/hyperlink" Target="https://doi.org/10.1016/0887-6177(93)90028-Y" TargetMode="External"/><Relationship Id="rId2945" Type="http://schemas.openxmlformats.org/officeDocument/2006/relationships/hyperlink" Target="https://doi.org/10.1159/000097009" TargetMode="External"/><Relationship Id="rId5351" Type="http://schemas.openxmlformats.org/officeDocument/2006/relationships/hyperlink" Target="https://doi.org/10.1111/bdi.12158" TargetMode="External"/><Relationship Id="rId6402" Type="http://schemas.openxmlformats.org/officeDocument/2006/relationships/hyperlink" Target="https://doi.org/10.1016/S0925-4927(03)00021-0" TargetMode="External"/><Relationship Id="rId917" Type="http://schemas.openxmlformats.org/officeDocument/2006/relationships/hyperlink" Target="https://doi.org/10.1177/2043808719826846" TargetMode="External"/><Relationship Id="rId1547" Type="http://schemas.openxmlformats.org/officeDocument/2006/relationships/hyperlink" Target="https://doi.org/10.1080/02699930500341342" TargetMode="External"/><Relationship Id="rId1961" Type="http://schemas.openxmlformats.org/officeDocument/2006/relationships/hyperlink" Target="https://doi.org/10.1007/s10072-011-0625-1" TargetMode="External"/><Relationship Id="rId5004" Type="http://schemas.openxmlformats.org/officeDocument/2006/relationships/hyperlink" Target="https://doi.org/10.1016/j.euroneuro.2009.06.002" TargetMode="External"/><Relationship Id="rId1614" Type="http://schemas.openxmlformats.org/officeDocument/2006/relationships/hyperlink" Target="https://doi.org/10.1080/13554794.2014.944545" TargetMode="External"/><Relationship Id="rId4020" Type="http://schemas.openxmlformats.org/officeDocument/2006/relationships/hyperlink" Target="https://doi.org/10.1016/j.jpsychires.2005.04.014" TargetMode="External"/><Relationship Id="rId3786" Type="http://schemas.openxmlformats.org/officeDocument/2006/relationships/hyperlink" Target="https://doi.org/10.1016/j.schres.2006.06.040" TargetMode="External"/><Relationship Id="rId6192" Type="http://schemas.openxmlformats.org/officeDocument/2006/relationships/hyperlink" Target="https://doi.org/10.1016/j.drugalcdep.2012.04.002" TargetMode="External"/><Relationship Id="rId2388" Type="http://schemas.openxmlformats.org/officeDocument/2006/relationships/hyperlink" Target="https://doi.org/10.1080/13554794.2011.588181" TargetMode="External"/><Relationship Id="rId3439" Type="http://schemas.openxmlformats.org/officeDocument/2006/relationships/hyperlink" Target="https://doi.org/10.1186/s10194-017-0782-6" TargetMode="External"/><Relationship Id="rId4837" Type="http://schemas.openxmlformats.org/officeDocument/2006/relationships/hyperlink" Target="https://doi.org/10.1097/WNN.0000000000000017" TargetMode="External"/><Relationship Id="rId3853" Type="http://schemas.openxmlformats.org/officeDocument/2006/relationships/hyperlink" Target="https://doi.org/10.1016/j.seizure.2008.11.010" TargetMode="External"/><Relationship Id="rId4904" Type="http://schemas.openxmlformats.org/officeDocument/2006/relationships/hyperlink" Target="https://doi.org/10.1111/j.1467-7687.2011.01068.x" TargetMode="External"/><Relationship Id="rId774" Type="http://schemas.openxmlformats.org/officeDocument/2006/relationships/hyperlink" Target="https://doi.org/10.1016/j.psychres.2016.04.056" TargetMode="External"/><Relationship Id="rId1057" Type="http://schemas.openxmlformats.org/officeDocument/2006/relationships/hyperlink" Target="https://doi.org/10.1371/journal.pone.0222890" TargetMode="External"/><Relationship Id="rId2455" Type="http://schemas.openxmlformats.org/officeDocument/2006/relationships/hyperlink" Target="https://doi.org/10.1097/NMD.0b013e31824cc225" TargetMode="External"/><Relationship Id="rId3506" Type="http://schemas.openxmlformats.org/officeDocument/2006/relationships/hyperlink" Target="https://doi.org/10.1037/14938-008" TargetMode="External"/><Relationship Id="rId3920" Type="http://schemas.openxmlformats.org/officeDocument/2006/relationships/hyperlink" Target="https://doi.org/10.1080/13825585.2019.1693491" TargetMode="External"/><Relationship Id="rId427" Type="http://schemas.openxmlformats.org/officeDocument/2006/relationships/hyperlink" Target="https://doi.org/10.1037/neu0000088" TargetMode="External"/><Relationship Id="rId841" Type="http://schemas.openxmlformats.org/officeDocument/2006/relationships/hyperlink" Target="https://doi.org/10.1089/neu.2014.3571" TargetMode="External"/><Relationship Id="rId1471" Type="http://schemas.openxmlformats.org/officeDocument/2006/relationships/hyperlink" Target="https://doi.org/10.1016/j.bbi.2008.04.156" TargetMode="External"/><Relationship Id="rId2108" Type="http://schemas.openxmlformats.org/officeDocument/2006/relationships/hyperlink" Target="https://doi.org/10.1038/npp.2009.211" TargetMode="External"/><Relationship Id="rId2522" Type="http://schemas.openxmlformats.org/officeDocument/2006/relationships/hyperlink" Target="https://doi.org/10.1186/1471-2377-10-103" TargetMode="External"/><Relationship Id="rId5678" Type="http://schemas.openxmlformats.org/officeDocument/2006/relationships/hyperlink" Target="https://doi.org/10.1007/s10803-012-1711-9" TargetMode="External"/><Relationship Id="rId1124" Type="http://schemas.openxmlformats.org/officeDocument/2006/relationships/hyperlink" Target="https://doi.org/10.1044/1092-4388(2002/099)" TargetMode="External"/><Relationship Id="rId4694" Type="http://schemas.openxmlformats.org/officeDocument/2006/relationships/hyperlink" Target="https://doi.org/10.1176/appi.neuropsych.17110338" TargetMode="External"/><Relationship Id="rId5745" Type="http://schemas.openxmlformats.org/officeDocument/2006/relationships/hyperlink" Target="https://doi.org/10.1073/pnas.1918081117" TargetMode="External"/><Relationship Id="rId3296" Type="http://schemas.openxmlformats.org/officeDocument/2006/relationships/hyperlink" Target="https://doi.org/10.1093/schbul/20.2.345" TargetMode="External"/><Relationship Id="rId4347" Type="http://schemas.openxmlformats.org/officeDocument/2006/relationships/hyperlink" Target="https://doi.org/10.1177/1533317515617722" TargetMode="External"/><Relationship Id="rId4761" Type="http://schemas.openxmlformats.org/officeDocument/2006/relationships/hyperlink" Target="https://doi.org/10.1002/eat.22366" TargetMode="External"/><Relationship Id="rId3363" Type="http://schemas.openxmlformats.org/officeDocument/2006/relationships/hyperlink" Target="https://doi.org/10.1002/ajmg.b.32153" TargetMode="External"/><Relationship Id="rId4414" Type="http://schemas.openxmlformats.org/officeDocument/2006/relationships/hyperlink" Target="https://doi.org/10.1097/NMD.0b013e3181b08bf4" TargetMode="External"/><Relationship Id="rId5812" Type="http://schemas.openxmlformats.org/officeDocument/2006/relationships/hyperlink" Target="https://doi.org/10.1176/appi.neuropsych.14060139" TargetMode="External"/><Relationship Id="rId284" Type="http://schemas.openxmlformats.org/officeDocument/2006/relationships/hyperlink" Target="https://doi.org/10.1016/j.bandl.2004.06.103" TargetMode="External"/><Relationship Id="rId3016" Type="http://schemas.openxmlformats.org/officeDocument/2006/relationships/hyperlink" Target="https://doi.org/10.1016/j.jns.2016.11.046" TargetMode="External"/><Relationship Id="rId3430" Type="http://schemas.openxmlformats.org/officeDocument/2006/relationships/hyperlink" Target="https://doi.org/10.1038/sj.mp.4001977" TargetMode="External"/><Relationship Id="rId5188" Type="http://schemas.openxmlformats.org/officeDocument/2006/relationships/hyperlink" Target="https://doi.org/10.1007/978-3-319-09537-0_13" TargetMode="External"/><Relationship Id="rId351" Type="http://schemas.openxmlformats.org/officeDocument/2006/relationships/hyperlink" Target="https://doi.org/10.1097/YPG.0b013e32834c0c0d" TargetMode="External"/><Relationship Id="rId2032" Type="http://schemas.openxmlformats.org/officeDocument/2006/relationships/hyperlink" Target="https://doi.org/10.1017/S135561771200029X" TargetMode="External"/><Relationship Id="rId6239" Type="http://schemas.openxmlformats.org/officeDocument/2006/relationships/hyperlink" Target="https://doi.org/10.1080/14789949.2013.868916" TargetMode="External"/><Relationship Id="rId1798" Type="http://schemas.openxmlformats.org/officeDocument/2006/relationships/hyperlink" Target="https://doi.org/10.1174/021037013804826500" TargetMode="External"/><Relationship Id="rId2849" Type="http://schemas.openxmlformats.org/officeDocument/2006/relationships/hyperlink" Target="https://doi.org/10.1080/13854046.2015.1093174" TargetMode="External"/><Relationship Id="rId5255" Type="http://schemas.openxmlformats.org/officeDocument/2006/relationships/hyperlink" Target="https://doi.org/10.1016/j.parkreldis.2004.01.007" TargetMode="External"/><Relationship Id="rId6306" Type="http://schemas.openxmlformats.org/officeDocument/2006/relationships/hyperlink" Target="https://doi.org/10.1176/appi.neuropsych.19.3.310" TargetMode="External"/><Relationship Id="rId1865" Type="http://schemas.openxmlformats.org/officeDocument/2006/relationships/hyperlink" Target="https://doi.org/10.1097/JGP.0b013e318172b3d0" TargetMode="External"/><Relationship Id="rId4271" Type="http://schemas.openxmlformats.org/officeDocument/2006/relationships/hyperlink" Target="https://doi.org/10.1523/JNEUROSCI.3987-14.2015" TargetMode="External"/><Relationship Id="rId5322" Type="http://schemas.openxmlformats.org/officeDocument/2006/relationships/hyperlink" Target="https://doi.org/10.1016/j.biopsych.2009.02.032" TargetMode="External"/><Relationship Id="rId1518" Type="http://schemas.openxmlformats.org/officeDocument/2006/relationships/hyperlink" Target="https://doi.org/10.1080/20445911.2014.924951" TargetMode="External"/><Relationship Id="rId2916" Type="http://schemas.openxmlformats.org/officeDocument/2006/relationships/hyperlink" Target="https://doi.org/10.1038/npp.2015.39" TargetMode="External"/><Relationship Id="rId1932" Type="http://schemas.openxmlformats.org/officeDocument/2006/relationships/hyperlink" Target="https://doi.org/10.1159/000093214" TargetMode="External"/><Relationship Id="rId6096" Type="http://schemas.openxmlformats.org/officeDocument/2006/relationships/hyperlink" Target="https://doi.org/10.1080/15248372.2017.1392307" TargetMode="External"/><Relationship Id="rId6163" Type="http://schemas.openxmlformats.org/officeDocument/2006/relationships/hyperlink" Target="https://doi.org/10.1111/j.1365-2850.2010.01677.x" TargetMode="External"/><Relationship Id="rId3757" Type="http://schemas.openxmlformats.org/officeDocument/2006/relationships/hyperlink" Target="https://doi.org/10.1590/S0102-79722013000200014" TargetMode="External"/><Relationship Id="rId4808" Type="http://schemas.openxmlformats.org/officeDocument/2006/relationships/hyperlink" Target="https://doi.org/10.1016/j.neuropsychologia.2010.09.009" TargetMode="External"/><Relationship Id="rId678" Type="http://schemas.openxmlformats.org/officeDocument/2006/relationships/hyperlink" Target="https://doi.org/10.1080/23279095.2019.1633329" TargetMode="External"/><Relationship Id="rId2359" Type="http://schemas.openxmlformats.org/officeDocument/2006/relationships/hyperlink" Target="https://doi.org/10.1007/s00213-002-1342-5" TargetMode="External"/><Relationship Id="rId2773" Type="http://schemas.openxmlformats.org/officeDocument/2006/relationships/hyperlink" Target="https://doi.org/10.1590/S1980-57642013DN70100007" TargetMode="External"/><Relationship Id="rId3824" Type="http://schemas.openxmlformats.org/officeDocument/2006/relationships/hyperlink" Target="https://doi.org/10.1162/jocn.2008.20126" TargetMode="External"/><Relationship Id="rId6230" Type="http://schemas.openxmlformats.org/officeDocument/2006/relationships/hyperlink" Target="https://doi.org/10.1017/S0033291716000581" TargetMode="External"/><Relationship Id="rId745" Type="http://schemas.openxmlformats.org/officeDocument/2006/relationships/hyperlink" Target="https://doi.org/10.3389/fnhum.2014.00080" TargetMode="External"/><Relationship Id="rId1375" Type="http://schemas.openxmlformats.org/officeDocument/2006/relationships/hyperlink" Target="https://doi.org/10.1080/13554794.2016.1186199" TargetMode="External"/><Relationship Id="rId2426" Type="http://schemas.openxmlformats.org/officeDocument/2006/relationships/hyperlink" Target="https://doi.org/10.1016/j.psychres.2013.04.006" TargetMode="External"/><Relationship Id="rId5996" Type="http://schemas.openxmlformats.org/officeDocument/2006/relationships/hyperlink" Target="https://doi.org/10.1111/bdi.12134" TargetMode="External"/><Relationship Id="rId81" Type="http://schemas.openxmlformats.org/officeDocument/2006/relationships/hyperlink" Target="https://doi.org/10.1080/09084280802073328" TargetMode="External"/><Relationship Id="rId812" Type="http://schemas.openxmlformats.org/officeDocument/2006/relationships/hyperlink" Target="https://doi.org/10.1017/S1355617712001634" TargetMode="External"/><Relationship Id="rId1028" Type="http://schemas.openxmlformats.org/officeDocument/2006/relationships/hyperlink" Target="https://doi.org/10.1016/j.pnpbp.2015.11.009" TargetMode="External"/><Relationship Id="rId1442" Type="http://schemas.openxmlformats.org/officeDocument/2006/relationships/hyperlink" Target="https://doi.org/10.1111/j.1399-5618.2008.00601.x" TargetMode="External"/><Relationship Id="rId2840" Type="http://schemas.openxmlformats.org/officeDocument/2006/relationships/hyperlink" Target="https://doi.org/10.1111/j.1530-0277.2010.01313.x" TargetMode="External"/><Relationship Id="rId4598" Type="http://schemas.openxmlformats.org/officeDocument/2006/relationships/hyperlink" Target="https://doi.org/10.1016/j.eurpsy.2007.10.004" TargetMode="External"/><Relationship Id="rId5649" Type="http://schemas.openxmlformats.org/officeDocument/2006/relationships/hyperlink" Target="https://doi.org/10.1080/09602011003669918" TargetMode="External"/><Relationship Id="rId3267" Type="http://schemas.openxmlformats.org/officeDocument/2006/relationships/hyperlink" Target="https://doi.org/10.1007/s10519-012-9526-1" TargetMode="External"/><Relationship Id="rId4665" Type="http://schemas.openxmlformats.org/officeDocument/2006/relationships/hyperlink" Target="https://doi.org/10.1186/1744-9081-8-38" TargetMode="External"/><Relationship Id="rId5716" Type="http://schemas.openxmlformats.org/officeDocument/2006/relationships/hyperlink" Target="https://doi.org/10.1016/j.psychres.2014.06.040" TargetMode="External"/><Relationship Id="rId188" Type="http://schemas.openxmlformats.org/officeDocument/2006/relationships/hyperlink" Target="https://doi.org/10.1038/sj.mp.4001396" TargetMode="External"/><Relationship Id="rId3681" Type="http://schemas.openxmlformats.org/officeDocument/2006/relationships/hyperlink" Target="https://doi.org/10.1007/s00221-011-2605-3" TargetMode="External"/><Relationship Id="rId4318" Type="http://schemas.openxmlformats.org/officeDocument/2006/relationships/hyperlink" Target="https://doi.org/10.1016/j.psychres.2016.04.013" TargetMode="External"/><Relationship Id="rId4732" Type="http://schemas.openxmlformats.org/officeDocument/2006/relationships/hyperlink" Target="https://doi.org/10.1037/14091-001" TargetMode="External"/><Relationship Id="rId2283" Type="http://schemas.openxmlformats.org/officeDocument/2006/relationships/hyperlink" Target="https://doi.org/10.1159/000444919" TargetMode="External"/><Relationship Id="rId3334" Type="http://schemas.openxmlformats.org/officeDocument/2006/relationships/hyperlink" Target="https://doi.org/10.1097/HRP.0000000000000108" TargetMode="External"/><Relationship Id="rId255" Type="http://schemas.openxmlformats.org/officeDocument/2006/relationships/hyperlink" Target="https://doi.org/10.1111/ejn.13465" TargetMode="External"/><Relationship Id="rId2350" Type="http://schemas.openxmlformats.org/officeDocument/2006/relationships/hyperlink" Target="https://doi.org/10.1016/j.pscychresns.2010.01.001" TargetMode="External"/><Relationship Id="rId3401" Type="http://schemas.openxmlformats.org/officeDocument/2006/relationships/hyperlink" Target="https://doi.org/10.1176/appi.neuropsych.16040083" TargetMode="External"/><Relationship Id="rId322" Type="http://schemas.openxmlformats.org/officeDocument/2006/relationships/hyperlink" Target="https://doi.org/10.1016/j.psychres.2004.04.013" TargetMode="External"/><Relationship Id="rId2003" Type="http://schemas.openxmlformats.org/officeDocument/2006/relationships/hyperlink" Target="https://doi.org/10.1093/arclin/acx012" TargetMode="External"/><Relationship Id="rId5159" Type="http://schemas.openxmlformats.org/officeDocument/2006/relationships/hyperlink" Target="https://doi.org/10.1186/1471-2377-11-77" TargetMode="External"/><Relationship Id="rId5573" Type="http://schemas.openxmlformats.org/officeDocument/2006/relationships/hyperlink" Target="https://doi.org/10.1002/hup.703" TargetMode="External"/><Relationship Id="rId4175" Type="http://schemas.openxmlformats.org/officeDocument/2006/relationships/hyperlink" Target="https://doi.org/10.1177/0004867413484093" TargetMode="External"/><Relationship Id="rId5226" Type="http://schemas.openxmlformats.org/officeDocument/2006/relationships/hyperlink" Target="https://doi.org/10.1037/a0026112" TargetMode="External"/><Relationship Id="rId1769" Type="http://schemas.openxmlformats.org/officeDocument/2006/relationships/hyperlink" Target="https://doi.org/10.1177/0305735618795030" TargetMode="External"/><Relationship Id="rId3191" Type="http://schemas.openxmlformats.org/officeDocument/2006/relationships/hyperlink" Target="https://doi.org/10.1016/j.concog.2013.07.009" TargetMode="External"/><Relationship Id="rId4242" Type="http://schemas.openxmlformats.org/officeDocument/2006/relationships/hyperlink" Target="https://doi.org/10.1007/978-4-431-54541-5_7" TargetMode="External"/><Relationship Id="rId5640" Type="http://schemas.openxmlformats.org/officeDocument/2006/relationships/hyperlink" Target="https://doi.org/10.1177/1087054713476548" TargetMode="External"/><Relationship Id="rId1836" Type="http://schemas.openxmlformats.org/officeDocument/2006/relationships/hyperlink" Target="https://doi.org/10.1002/eat.22027" TargetMode="External"/><Relationship Id="rId1903" Type="http://schemas.openxmlformats.org/officeDocument/2006/relationships/hyperlink" Target="https://doi.org/10.1176/appi.neuropsych.17.4.541" TargetMode="External"/><Relationship Id="rId6067" Type="http://schemas.openxmlformats.org/officeDocument/2006/relationships/hyperlink" Target="https://doi.org/10.1016/j.jbtep.2015.08.002" TargetMode="External"/><Relationship Id="rId6481" Type="http://schemas.openxmlformats.org/officeDocument/2006/relationships/hyperlink" Target="https://doi.org/10.1080/0361073X.2014.897151" TargetMode="External"/><Relationship Id="rId996" Type="http://schemas.openxmlformats.org/officeDocument/2006/relationships/hyperlink" Target="https://doi.org/10.1192/bjp.bp.116.195651" TargetMode="External"/><Relationship Id="rId2677" Type="http://schemas.openxmlformats.org/officeDocument/2006/relationships/hyperlink" Target="https://doi.org/10.1207/S15324826AN0704_7" TargetMode="External"/><Relationship Id="rId3728" Type="http://schemas.openxmlformats.org/officeDocument/2006/relationships/hyperlink" Target="https://doi.org/10.1212/WNL.0b013e3182a9f3ca" TargetMode="External"/><Relationship Id="rId5083" Type="http://schemas.openxmlformats.org/officeDocument/2006/relationships/hyperlink" Target="https://doi.org/10.1016/j.acn.2007.04.003" TargetMode="External"/><Relationship Id="rId6134" Type="http://schemas.openxmlformats.org/officeDocument/2006/relationships/hyperlink" Target="https://doi.org/10.1007/s13365-015-0332-4" TargetMode="External"/><Relationship Id="rId649" Type="http://schemas.openxmlformats.org/officeDocument/2006/relationships/hyperlink" Target="https://doi.org/10.1016/j.schres.2009.05.019" TargetMode="External"/><Relationship Id="rId1279" Type="http://schemas.openxmlformats.org/officeDocument/2006/relationships/hyperlink" Target="https://doi.org/10.1016/j.jecp.2020.105038" TargetMode="External"/><Relationship Id="rId5150" Type="http://schemas.openxmlformats.org/officeDocument/2006/relationships/hyperlink" Target="https://doi.org/10.1093/schbul/sbs123" TargetMode="External"/><Relationship Id="rId6201" Type="http://schemas.openxmlformats.org/officeDocument/2006/relationships/hyperlink" Target="https://doi.org/10.1016/j.biopsych.2004.08.012" TargetMode="External"/><Relationship Id="rId1346" Type="http://schemas.openxmlformats.org/officeDocument/2006/relationships/hyperlink" Target="https://doi.org/10.1037/neu0000490" TargetMode="External"/><Relationship Id="rId1693" Type="http://schemas.openxmlformats.org/officeDocument/2006/relationships/hyperlink" Target="https://doi.org/10.1176/appi.neuropsych.23.4.457" TargetMode="External"/><Relationship Id="rId2744" Type="http://schemas.openxmlformats.org/officeDocument/2006/relationships/hyperlink" Target="https://doi.org/10.1016/j.euroneuro.2018.04.001" TargetMode="External"/><Relationship Id="rId716" Type="http://schemas.openxmlformats.org/officeDocument/2006/relationships/hyperlink" Target="https://doi.org/10.1177/009318531003800403" TargetMode="External"/><Relationship Id="rId1760" Type="http://schemas.openxmlformats.org/officeDocument/2006/relationships/hyperlink" Target="https://doi.org/10.1093/med:psych/9780195174113.003.0018" TargetMode="External"/><Relationship Id="rId2811" Type="http://schemas.openxmlformats.org/officeDocument/2006/relationships/hyperlink" Target="https://doi.org/10.1111/j.1440-1819.2007.01725.x" TargetMode="External"/><Relationship Id="rId5967" Type="http://schemas.openxmlformats.org/officeDocument/2006/relationships/hyperlink" Target="https://doi.org/10.1348/174866409X478231" TargetMode="External"/><Relationship Id="rId52" Type="http://schemas.openxmlformats.org/officeDocument/2006/relationships/hyperlink" Target="https://doi.org/10.1016/j.schres.2008.05.007" TargetMode="External"/><Relationship Id="rId1413" Type="http://schemas.openxmlformats.org/officeDocument/2006/relationships/hyperlink" Target="https://doi.org/10.3233/JAD-180771" TargetMode="External"/><Relationship Id="rId4569" Type="http://schemas.openxmlformats.org/officeDocument/2006/relationships/hyperlink" Target="https://doi.org/10.1017/S1355617712000604" TargetMode="External"/><Relationship Id="rId4983" Type="http://schemas.openxmlformats.org/officeDocument/2006/relationships/hyperlink" Target="https://doi.org/10.1002/da.22297" TargetMode="External"/><Relationship Id="rId3585" Type="http://schemas.openxmlformats.org/officeDocument/2006/relationships/hyperlink" Target="https://doi.org/10.1176/appi.ajp.161.7.1247" TargetMode="External"/><Relationship Id="rId4636" Type="http://schemas.openxmlformats.org/officeDocument/2006/relationships/hyperlink" Target="https://doi.org/10.1016/j.neuroimage.2009.04.027" TargetMode="External"/><Relationship Id="rId2187" Type="http://schemas.openxmlformats.org/officeDocument/2006/relationships/hyperlink" Target="https://doi.org/10.1080/0269905031000070242" TargetMode="External"/><Relationship Id="rId3238" Type="http://schemas.openxmlformats.org/officeDocument/2006/relationships/hyperlink" Target="https://doi.org/10.1212/WNL.0b013e3181c34b34" TargetMode="External"/><Relationship Id="rId3652" Type="http://schemas.openxmlformats.org/officeDocument/2006/relationships/hyperlink" Target="https://doi.org/10.1080/13554794.2011.588178" TargetMode="External"/><Relationship Id="rId4703" Type="http://schemas.openxmlformats.org/officeDocument/2006/relationships/hyperlink" Target="https://doi.org/10.1016/j.schres.2012.12.016" TargetMode="External"/><Relationship Id="rId159" Type="http://schemas.openxmlformats.org/officeDocument/2006/relationships/hyperlink" Target="https://doi.org/10.1111/jir.12134" TargetMode="External"/><Relationship Id="rId573" Type="http://schemas.openxmlformats.org/officeDocument/2006/relationships/hyperlink" Target="https://doi.org/10.1016/j.neuropsychologia.2004.08.010" TargetMode="External"/><Relationship Id="rId2254" Type="http://schemas.openxmlformats.org/officeDocument/2006/relationships/hyperlink" Target="https://doi.org/10.3758/s13423-012-0345-4" TargetMode="External"/><Relationship Id="rId3305" Type="http://schemas.openxmlformats.org/officeDocument/2006/relationships/hyperlink" Target="https://doi.org/10.1016/j.jad.2014.09.041" TargetMode="External"/><Relationship Id="rId226" Type="http://schemas.openxmlformats.org/officeDocument/2006/relationships/hyperlink" Target="https://doi.org/10.1159/000073452" TargetMode="External"/><Relationship Id="rId1270" Type="http://schemas.openxmlformats.org/officeDocument/2006/relationships/hyperlink" Target="https://doi.org/10.1007/978-3-319-93497-6_29" TargetMode="External"/><Relationship Id="rId5477" Type="http://schemas.openxmlformats.org/officeDocument/2006/relationships/hyperlink" Target="https://doi.org/10.3109/00952990.2011.600381" TargetMode="External"/><Relationship Id="rId640" Type="http://schemas.openxmlformats.org/officeDocument/2006/relationships/hyperlink" Target="https://doi.org/10.1007/s10072-014-1936-9" TargetMode="External"/><Relationship Id="rId2321" Type="http://schemas.openxmlformats.org/officeDocument/2006/relationships/hyperlink" Target="https://doi.org/10.1212/WNL.48.1.148" TargetMode="External"/><Relationship Id="rId4079" Type="http://schemas.openxmlformats.org/officeDocument/2006/relationships/hyperlink" Target="https://doi.org/10.1177/0269881110372548" TargetMode="External"/><Relationship Id="rId5891" Type="http://schemas.openxmlformats.org/officeDocument/2006/relationships/hyperlink" Target="https://doi.org/10.1111/mono.12035" TargetMode="External"/><Relationship Id="rId6528" Type="http://schemas.openxmlformats.org/officeDocument/2006/relationships/hyperlink" Target="https://doi.org/10.1016/j.rasd.2008.09.002" TargetMode="External"/><Relationship Id="rId4493" Type="http://schemas.openxmlformats.org/officeDocument/2006/relationships/hyperlink" Target="https://doi.org/10.2147/PRBM.S149425" TargetMode="External"/><Relationship Id="rId5544" Type="http://schemas.openxmlformats.org/officeDocument/2006/relationships/hyperlink" Target="https://doi.org/10.1016/j.pbb.2006.04.020" TargetMode="External"/><Relationship Id="rId3095" Type="http://schemas.openxmlformats.org/officeDocument/2006/relationships/hyperlink" Target="https://doi.org/10.1016/j.psychres.2006.01.022" TargetMode="External"/><Relationship Id="rId4146" Type="http://schemas.openxmlformats.org/officeDocument/2006/relationships/hyperlink" Target="https://doi.org/10.1037/0894-4105.18.4.629" TargetMode="External"/><Relationship Id="rId4560" Type="http://schemas.openxmlformats.org/officeDocument/2006/relationships/hyperlink" Target="https://doi.org/10.1017/CBO9780511543630.015" TargetMode="External"/><Relationship Id="rId5611" Type="http://schemas.openxmlformats.org/officeDocument/2006/relationships/hyperlink" Target="https://doi.org/10.1017/S1355617705050010" TargetMode="External"/><Relationship Id="rId1807" Type="http://schemas.openxmlformats.org/officeDocument/2006/relationships/hyperlink" Target="https://doi.org/10.3389/fpsyg.2012.00115" TargetMode="External"/><Relationship Id="rId3162" Type="http://schemas.openxmlformats.org/officeDocument/2006/relationships/hyperlink" Target="https://doi.org/10.1016/S0278-5846(03)00076-9" TargetMode="External"/><Relationship Id="rId4213" Type="http://schemas.openxmlformats.org/officeDocument/2006/relationships/hyperlink" Target="https://doi.org/10.1080/15487768.2014.935674" TargetMode="External"/><Relationship Id="rId6385" Type="http://schemas.openxmlformats.org/officeDocument/2006/relationships/hyperlink" Target="https://doi.org/10.1111/j.1479-8301.2003.00017.x" TargetMode="External"/><Relationship Id="rId150" Type="http://schemas.openxmlformats.org/officeDocument/2006/relationships/hyperlink" Target="https://doi.org/10.1016/j.neuropsychologia.2010.08.003" TargetMode="External"/><Relationship Id="rId3979" Type="http://schemas.openxmlformats.org/officeDocument/2006/relationships/hyperlink" Target="https://doi.org/10.1093/jmt/45.3.307" TargetMode="External"/><Relationship Id="rId6038" Type="http://schemas.openxmlformats.org/officeDocument/2006/relationships/hyperlink" Target="https://doi.org/10.1017/S1355617717001266" TargetMode="External"/><Relationship Id="rId6452" Type="http://schemas.openxmlformats.org/officeDocument/2006/relationships/hyperlink" Target="https://doi.org/10.1016/j.ntt.2014.11.009" TargetMode="External"/><Relationship Id="rId2995" Type="http://schemas.openxmlformats.org/officeDocument/2006/relationships/hyperlink" Target="https://doi.org/10.3928/15394492-20101108-08" TargetMode="External"/><Relationship Id="rId5054" Type="http://schemas.openxmlformats.org/officeDocument/2006/relationships/hyperlink" Target="https://doi.org/10.1016/j.beth.2008.01.001" TargetMode="External"/><Relationship Id="rId6105" Type="http://schemas.openxmlformats.org/officeDocument/2006/relationships/hyperlink" Target="https://doi.org/10.3389/fpsyt.2013.00087" TargetMode="External"/><Relationship Id="rId967" Type="http://schemas.openxmlformats.org/officeDocument/2006/relationships/hyperlink" Target="https://doi.org/10.4088/JCP.13m08355" TargetMode="External"/><Relationship Id="rId1597" Type="http://schemas.openxmlformats.org/officeDocument/2006/relationships/hyperlink" Target="https://doi.org/10.1080/15248372.2011.539526" TargetMode="External"/><Relationship Id="rId2648" Type="http://schemas.openxmlformats.org/officeDocument/2006/relationships/hyperlink" Target="https://doi.org/10.1093/schbul/sbt011" TargetMode="External"/><Relationship Id="rId1664" Type="http://schemas.openxmlformats.org/officeDocument/2006/relationships/hyperlink" Target="https://doi.org/10.1016/j.neurobiolaging.2009.12.018" TargetMode="External"/><Relationship Id="rId2715" Type="http://schemas.openxmlformats.org/officeDocument/2006/relationships/hyperlink" Target="https://doi.org/10.1016/j.drugalcdep.2018.12.026" TargetMode="External"/><Relationship Id="rId4070" Type="http://schemas.openxmlformats.org/officeDocument/2006/relationships/hyperlink" Target="https://doi.org/10.1016/j.schres.2019.11.001" TargetMode="External"/><Relationship Id="rId5121" Type="http://schemas.openxmlformats.org/officeDocument/2006/relationships/hyperlink" Target="https://doi.org/10.1177/1078345818782440" TargetMode="External"/><Relationship Id="rId1317" Type="http://schemas.openxmlformats.org/officeDocument/2006/relationships/hyperlink" Target="https://doi.org/10.1111/jnp.12018" TargetMode="External"/><Relationship Id="rId1731" Type="http://schemas.openxmlformats.org/officeDocument/2006/relationships/hyperlink" Target="https://doi.org/10.1016/j.neuropsychologia.2005.11.002" TargetMode="External"/><Relationship Id="rId4887" Type="http://schemas.openxmlformats.org/officeDocument/2006/relationships/hyperlink" Target="https://doi.org/10.1016/j.psychres.2016.02.032" TargetMode="External"/><Relationship Id="rId5938" Type="http://schemas.openxmlformats.org/officeDocument/2006/relationships/hyperlink" Target="https://doi.org/10.1080/02699050902788444" TargetMode="External"/><Relationship Id="rId23" Type="http://schemas.openxmlformats.org/officeDocument/2006/relationships/hyperlink" Target="https://doi.org/10.1212/01.WNL.0000156519.41681.27" TargetMode="External"/><Relationship Id="rId3489" Type="http://schemas.openxmlformats.org/officeDocument/2006/relationships/hyperlink" Target="https://doi.org/10.1177/008124631204200310" TargetMode="External"/><Relationship Id="rId3556" Type="http://schemas.openxmlformats.org/officeDocument/2006/relationships/hyperlink" Target="https://doi.org/10.1080/09297049.2016.1265101" TargetMode="External"/><Relationship Id="rId4954" Type="http://schemas.openxmlformats.org/officeDocument/2006/relationships/hyperlink" Target="https://doi.org/10.1080/23279095.2016.1230120" TargetMode="External"/><Relationship Id="rId477" Type="http://schemas.openxmlformats.org/officeDocument/2006/relationships/hyperlink" Target="https://doi.org/10.3233/JAD-150686" TargetMode="External"/><Relationship Id="rId2158" Type="http://schemas.openxmlformats.org/officeDocument/2006/relationships/hyperlink" Target="https://doi.org/10.1016/j.braindev.2009.04.017" TargetMode="External"/><Relationship Id="rId3209" Type="http://schemas.openxmlformats.org/officeDocument/2006/relationships/hyperlink" Target="https://doi.org/10.1007/s11136-016-1433-0" TargetMode="External"/><Relationship Id="rId3970" Type="http://schemas.openxmlformats.org/officeDocument/2006/relationships/hyperlink" Target="https://doi.org/10.1002/dys.344" TargetMode="External"/><Relationship Id="rId4607" Type="http://schemas.openxmlformats.org/officeDocument/2006/relationships/hyperlink" Target="https://doi.org/10.1037/0894-4105.20.2.249" TargetMode="External"/><Relationship Id="rId891" Type="http://schemas.openxmlformats.org/officeDocument/2006/relationships/hyperlink" Target="https://doi.org/10.1177/0829573512436966" TargetMode="External"/><Relationship Id="rId2572" Type="http://schemas.openxmlformats.org/officeDocument/2006/relationships/hyperlink" Target="https://doi.org/10.1080/13854040801894714" TargetMode="External"/><Relationship Id="rId3623" Type="http://schemas.openxmlformats.org/officeDocument/2006/relationships/hyperlink" Target="https://doi.org/10.1176/appi.ajp.2014.14050595" TargetMode="External"/><Relationship Id="rId544" Type="http://schemas.openxmlformats.org/officeDocument/2006/relationships/hyperlink" Target="https://doi.org/10.1080/13854046.2012.694479" TargetMode="External"/><Relationship Id="rId1174" Type="http://schemas.openxmlformats.org/officeDocument/2006/relationships/hyperlink" Target="https://doi.org/10.1080/17470218.2011.629053" TargetMode="External"/><Relationship Id="rId2225" Type="http://schemas.openxmlformats.org/officeDocument/2006/relationships/hyperlink" Target="https://doi.org/10.1080/13825585.2016.1275508" TargetMode="External"/><Relationship Id="rId5795" Type="http://schemas.openxmlformats.org/officeDocument/2006/relationships/hyperlink" Target="https://doi.org/10.1080/02699050400013725" TargetMode="External"/><Relationship Id="rId611" Type="http://schemas.openxmlformats.org/officeDocument/2006/relationships/hyperlink" Target="https://doi.org/10.1016/j.eurpsy.2017.02.483" TargetMode="External"/><Relationship Id="rId1241" Type="http://schemas.openxmlformats.org/officeDocument/2006/relationships/hyperlink" Target="https://doi.org/10.1017/S135561770707035X" TargetMode="External"/><Relationship Id="rId4397" Type="http://schemas.openxmlformats.org/officeDocument/2006/relationships/hyperlink" Target="https://doi.org/10.1080/02687030600739463" TargetMode="External"/><Relationship Id="rId5448" Type="http://schemas.openxmlformats.org/officeDocument/2006/relationships/hyperlink" Target="https://doi.org/10.1016/j.eurpsy.2015.11.002" TargetMode="External"/><Relationship Id="rId5862" Type="http://schemas.openxmlformats.org/officeDocument/2006/relationships/hyperlink" Target="https://doi.org/10.1016/j.acn.2007.05.004" TargetMode="External"/><Relationship Id="rId4464" Type="http://schemas.openxmlformats.org/officeDocument/2006/relationships/hyperlink" Target="https://doi.org/10.1016/j.neuropsychologia.2008.09.008" TargetMode="External"/><Relationship Id="rId5515" Type="http://schemas.openxmlformats.org/officeDocument/2006/relationships/hyperlink" Target="https://doi.org/10.1111/j.1468-1331.1995.tb00171.x" TargetMode="External"/><Relationship Id="rId3066" Type="http://schemas.openxmlformats.org/officeDocument/2006/relationships/hyperlink" Target="https://doi.org/10.1007/s00213-010-2102-6" TargetMode="External"/><Relationship Id="rId3480" Type="http://schemas.openxmlformats.org/officeDocument/2006/relationships/hyperlink" Target="https://doi.org/10.1080/13854046.2014.902107" TargetMode="External"/><Relationship Id="rId4117" Type="http://schemas.openxmlformats.org/officeDocument/2006/relationships/hyperlink" Target="https://doi.org/10.1111/pcn.12195" TargetMode="External"/><Relationship Id="rId4531" Type="http://schemas.openxmlformats.org/officeDocument/2006/relationships/hyperlink" Target="https://doi.org/10.1037/0894-4105.19.5.566" TargetMode="External"/><Relationship Id="rId2082" Type="http://schemas.openxmlformats.org/officeDocument/2006/relationships/hyperlink" Target="https://doi.org/10.3109/13668250.2013.772956" TargetMode="External"/><Relationship Id="rId3133" Type="http://schemas.openxmlformats.org/officeDocument/2006/relationships/hyperlink" Target="https://doi.org/10.1080/02643290542000058" TargetMode="External"/><Relationship Id="rId6289" Type="http://schemas.openxmlformats.org/officeDocument/2006/relationships/hyperlink" Target="https://doi.org/10.1016/j.jpsychires.2005.10.006" TargetMode="External"/><Relationship Id="rId2899" Type="http://schemas.openxmlformats.org/officeDocument/2006/relationships/hyperlink" Target="https://doi.org/10.1037/pag0000043" TargetMode="External"/><Relationship Id="rId3200" Type="http://schemas.openxmlformats.org/officeDocument/2006/relationships/hyperlink" Target="https://doi.org/10.1037/neu0000218" TargetMode="External"/><Relationship Id="rId6356" Type="http://schemas.openxmlformats.org/officeDocument/2006/relationships/hyperlink" Target="http://search.ebscohost.com/login.aspx?direct=true&amp;db=psyh&amp;AN=2011-12743-000&amp;site=ehost-live" TargetMode="External"/><Relationship Id="rId121" Type="http://schemas.openxmlformats.org/officeDocument/2006/relationships/hyperlink" Target="https://doi.org/10.1017/S1355617712000896" TargetMode="External"/><Relationship Id="rId2966" Type="http://schemas.openxmlformats.org/officeDocument/2006/relationships/hyperlink" Target="https://doi.org/10.1002/hup.1057" TargetMode="External"/><Relationship Id="rId5372" Type="http://schemas.openxmlformats.org/officeDocument/2006/relationships/hyperlink" Target="https://doi.org/10.1017/CBO9780511663529.014" TargetMode="External"/><Relationship Id="rId6009" Type="http://schemas.openxmlformats.org/officeDocument/2006/relationships/hyperlink" Target="https://doi.org/10.3109/08039488.2015.1074282" TargetMode="External"/><Relationship Id="rId6423" Type="http://schemas.openxmlformats.org/officeDocument/2006/relationships/hyperlink" Target="https://doi.org/10.1007/s11571-018-9487-z" TargetMode="External"/><Relationship Id="rId938" Type="http://schemas.openxmlformats.org/officeDocument/2006/relationships/hyperlink" Target="https://doi.org/10.1016/j.jneuroling.2009.02.002" TargetMode="External"/><Relationship Id="rId1568" Type="http://schemas.openxmlformats.org/officeDocument/2006/relationships/hyperlink" Target="https://doi.org/10.1080/87565641.2021.1956499" TargetMode="External"/><Relationship Id="rId2619" Type="http://schemas.openxmlformats.org/officeDocument/2006/relationships/hyperlink" Target="https://doi.org/10.3389/fpsyt.2019.00356" TargetMode="External"/><Relationship Id="rId5025" Type="http://schemas.openxmlformats.org/officeDocument/2006/relationships/hyperlink" Target="https://doi.org/10.1080/13803390600659384" TargetMode="External"/><Relationship Id="rId1635" Type="http://schemas.openxmlformats.org/officeDocument/2006/relationships/hyperlink" Target="https://doi.org/10.1111/j.1468-1331.2009.02707.x" TargetMode="External"/><Relationship Id="rId1982" Type="http://schemas.openxmlformats.org/officeDocument/2006/relationships/hyperlink" Target="https://doi.org/10.1177/1073191103010002003" TargetMode="External"/><Relationship Id="rId4041" Type="http://schemas.openxmlformats.org/officeDocument/2006/relationships/hyperlink" Target="https://doi.org/10.1080/02687038.2010.543983" TargetMode="External"/><Relationship Id="rId1702" Type="http://schemas.openxmlformats.org/officeDocument/2006/relationships/hyperlink" Target="https://doi.org/10.1016/j.psychres.2018.12.042" TargetMode="External"/><Relationship Id="rId4858" Type="http://schemas.openxmlformats.org/officeDocument/2006/relationships/hyperlink" Target="https://doi.org/10.1159/000110627" TargetMode="External"/><Relationship Id="rId5909" Type="http://schemas.openxmlformats.org/officeDocument/2006/relationships/hyperlink" Target="https://doi.org/10.1017/S1355617716000205" TargetMode="External"/><Relationship Id="rId3874" Type="http://schemas.openxmlformats.org/officeDocument/2006/relationships/hyperlink" Target="https://doi.org/10.3389/fnhum.2017.00543" TargetMode="External"/><Relationship Id="rId4925" Type="http://schemas.openxmlformats.org/officeDocument/2006/relationships/hyperlink" Target="https://doi.org/10.1017/S0033291702006803" TargetMode="External"/><Relationship Id="rId6280" Type="http://schemas.openxmlformats.org/officeDocument/2006/relationships/hyperlink" Target="https://doi.org/10.7551/mitpress/9780262019620.003.0004" TargetMode="External"/><Relationship Id="rId795" Type="http://schemas.openxmlformats.org/officeDocument/2006/relationships/hyperlink" Target="https://doi.org/10.1080/13803390490919263" TargetMode="External"/><Relationship Id="rId2476" Type="http://schemas.openxmlformats.org/officeDocument/2006/relationships/hyperlink" Target="https://doi.org/10.1007/978-1-4614-3106-0_29" TargetMode="External"/><Relationship Id="rId2890" Type="http://schemas.openxmlformats.org/officeDocument/2006/relationships/hyperlink" Target="https://doi.org/10.1002/eat.22096" TargetMode="External"/><Relationship Id="rId3527" Type="http://schemas.openxmlformats.org/officeDocument/2006/relationships/hyperlink" Target="https://doi.org/10.1016/j.comppsych.2010.07.007" TargetMode="External"/><Relationship Id="rId3941" Type="http://schemas.openxmlformats.org/officeDocument/2006/relationships/hyperlink" Target="https://doi.org/10.1093/arclin/acw049" TargetMode="External"/><Relationship Id="rId448" Type="http://schemas.openxmlformats.org/officeDocument/2006/relationships/hyperlink" Target="https://doi.org/10.3233/JAD-151180" TargetMode="External"/><Relationship Id="rId862" Type="http://schemas.openxmlformats.org/officeDocument/2006/relationships/hyperlink" Target="https://doi.org/10.1016/j.acn.2006.08.012" TargetMode="External"/><Relationship Id="rId1078" Type="http://schemas.openxmlformats.org/officeDocument/2006/relationships/hyperlink" Target="https://doi.org/10.1016/j.pscychresns.2008.03.005" TargetMode="External"/><Relationship Id="rId1492" Type="http://schemas.openxmlformats.org/officeDocument/2006/relationships/hyperlink" Target="https://doi.org/10.1177/0093854808327507" TargetMode="External"/><Relationship Id="rId2129" Type="http://schemas.openxmlformats.org/officeDocument/2006/relationships/hyperlink" Target="https://doi.org/10.1111/pcn.12390" TargetMode="External"/><Relationship Id="rId2543" Type="http://schemas.openxmlformats.org/officeDocument/2006/relationships/hyperlink" Target="https://doi.org/10.1207/s15326942dn2901_11" TargetMode="External"/><Relationship Id="rId5699" Type="http://schemas.openxmlformats.org/officeDocument/2006/relationships/hyperlink" Target="https://doi.org/10.1016/j.clinph.2011.06.012" TargetMode="External"/><Relationship Id="rId6000" Type="http://schemas.openxmlformats.org/officeDocument/2006/relationships/hyperlink" Target="https://doi.org/10.1016/j.schres.2010.04.011" TargetMode="External"/><Relationship Id="rId515" Type="http://schemas.openxmlformats.org/officeDocument/2006/relationships/hyperlink" Target="https://doi.org/10.1016/S0006-3223(02)01416-6" TargetMode="External"/><Relationship Id="rId1145" Type="http://schemas.openxmlformats.org/officeDocument/2006/relationships/hyperlink" Target="https://doi.org/10.1080/13803395.2013.781995" TargetMode="External"/><Relationship Id="rId5766" Type="http://schemas.openxmlformats.org/officeDocument/2006/relationships/hyperlink" Target="https://doi.org/10.1093/ntr/nts102" TargetMode="External"/><Relationship Id="rId1212" Type="http://schemas.openxmlformats.org/officeDocument/2006/relationships/hyperlink" Target="https://doi.org/10.3766/jaaa.21.2.6" TargetMode="External"/><Relationship Id="rId2610" Type="http://schemas.openxmlformats.org/officeDocument/2006/relationships/hyperlink" Target="https://doi.org/10.1523/JNEUROSCI.5538-09.2010" TargetMode="External"/><Relationship Id="rId4368" Type="http://schemas.openxmlformats.org/officeDocument/2006/relationships/hyperlink" Target="https://doi.org/10.4088/JCP.13m08863" TargetMode="External"/><Relationship Id="rId5419" Type="http://schemas.openxmlformats.org/officeDocument/2006/relationships/hyperlink" Target="https://doi.org/10.1016/S0887-6177(00)00062-7" TargetMode="External"/><Relationship Id="rId4782" Type="http://schemas.openxmlformats.org/officeDocument/2006/relationships/hyperlink" Target="https://doi.org/10.2165/11530260-000000000-00000" TargetMode="External"/><Relationship Id="rId5833" Type="http://schemas.openxmlformats.org/officeDocument/2006/relationships/hyperlink" Target="https://doi.org/10.1016/j.neuropsychologia.2008.11.012" TargetMode="External"/><Relationship Id="rId3037" Type="http://schemas.openxmlformats.org/officeDocument/2006/relationships/hyperlink" Target="https://doi.org/10.1111/j.1460-9568.2010.07110.x" TargetMode="External"/><Relationship Id="rId3384" Type="http://schemas.openxmlformats.org/officeDocument/2006/relationships/hyperlink" Target="https://doi.org/10.1016/j.neubiorev.2013.01.003" TargetMode="External"/><Relationship Id="rId4435" Type="http://schemas.openxmlformats.org/officeDocument/2006/relationships/hyperlink" Target="https://doi.org/10.1080/03033910.2011.618444" TargetMode="External"/><Relationship Id="rId5900" Type="http://schemas.openxmlformats.org/officeDocument/2006/relationships/hyperlink" Target="https://doi.org/10.1097/01.ACM.0000238194.55648.b2" TargetMode="External"/><Relationship Id="rId3451" Type="http://schemas.openxmlformats.org/officeDocument/2006/relationships/hyperlink" Target="https://doi.org/10.1007/978-1-4614-3106-0_18" TargetMode="External"/><Relationship Id="rId4502" Type="http://schemas.openxmlformats.org/officeDocument/2006/relationships/hyperlink" Target="https://doi.org/10.1016/j.seizure.2010.07.014" TargetMode="External"/><Relationship Id="rId372" Type="http://schemas.openxmlformats.org/officeDocument/2006/relationships/hyperlink" Target="https://doi.org/10.1016/j.psychres.2014.04.052" TargetMode="External"/><Relationship Id="rId2053" Type="http://schemas.openxmlformats.org/officeDocument/2006/relationships/hyperlink" Target="https://doi.org/10.1097/JGP.0b013e31802dd367" TargetMode="External"/><Relationship Id="rId3104" Type="http://schemas.openxmlformats.org/officeDocument/2006/relationships/hyperlink" Target="https://doi.org/10.1016/j.pnpbp.2011.09.009" TargetMode="External"/><Relationship Id="rId2120" Type="http://schemas.openxmlformats.org/officeDocument/2006/relationships/hyperlink" Target="https://doi.org/10.1017/S1355617709990233" TargetMode="External"/><Relationship Id="rId5276" Type="http://schemas.openxmlformats.org/officeDocument/2006/relationships/hyperlink" Target="https://doi.org/10.1017/S1352465819000328" TargetMode="External"/><Relationship Id="rId5690" Type="http://schemas.openxmlformats.org/officeDocument/2006/relationships/hyperlink" Target="https://doi.org/10.1080/13825585.2020.1821865" TargetMode="External"/><Relationship Id="rId6327" Type="http://schemas.openxmlformats.org/officeDocument/2006/relationships/hyperlink" Target="https://doi.org/10.1016/j.jad.2011.02.010" TargetMode="External"/><Relationship Id="rId4292" Type="http://schemas.openxmlformats.org/officeDocument/2006/relationships/hyperlink" Target="https://doi.org/10.1016/j.cortex.2016.10.017" TargetMode="External"/><Relationship Id="rId5343" Type="http://schemas.openxmlformats.org/officeDocument/2006/relationships/hyperlink" Target="https://doi.org/10.1097/YCT.0b013e3181ac3c8e" TargetMode="External"/><Relationship Id="rId1886" Type="http://schemas.openxmlformats.org/officeDocument/2006/relationships/hyperlink" Target="https://doi.org/10.1080/13803395.2019.1666801" TargetMode="External"/><Relationship Id="rId2937" Type="http://schemas.openxmlformats.org/officeDocument/2006/relationships/hyperlink" Target="https://doi.org/10.1016/S0887-6177(97)00038-3" TargetMode="External"/><Relationship Id="rId909" Type="http://schemas.openxmlformats.org/officeDocument/2006/relationships/hyperlink" Target="https://doi.org/10.1016/S0006-3223(02)01814-0" TargetMode="External"/><Relationship Id="rId1539" Type="http://schemas.openxmlformats.org/officeDocument/2006/relationships/hyperlink" Target="https://doi.org/10.1017/S0033291713002559" TargetMode="External"/><Relationship Id="rId1953" Type="http://schemas.openxmlformats.org/officeDocument/2006/relationships/hyperlink" Target="https://doi.org/10.1159/000087096" TargetMode="External"/><Relationship Id="rId5410" Type="http://schemas.openxmlformats.org/officeDocument/2006/relationships/hyperlink" Target="https://doi.org/10.1016/j.neuropsychologia.2005.05.001" TargetMode="External"/><Relationship Id="rId1606" Type="http://schemas.openxmlformats.org/officeDocument/2006/relationships/hyperlink" Target="https://doi.org/10.1080/13554790802613017" TargetMode="External"/><Relationship Id="rId4012" Type="http://schemas.openxmlformats.org/officeDocument/2006/relationships/hyperlink" Target="https://doi.org/10.1016/j.brat.2004.06.012" TargetMode="External"/><Relationship Id="rId3778" Type="http://schemas.openxmlformats.org/officeDocument/2006/relationships/hyperlink" Target="https://doi.org/10.1525/mp.2011.28.5.505" TargetMode="External"/><Relationship Id="rId4829" Type="http://schemas.openxmlformats.org/officeDocument/2006/relationships/hyperlink" Target="https://doi.org/10.1097/01.nmd.0000254482.44985.f6" TargetMode="External"/><Relationship Id="rId6184" Type="http://schemas.openxmlformats.org/officeDocument/2006/relationships/hyperlink" Target="https://doi.org/10.1016/j.brainres.2006.03.098" TargetMode="External"/><Relationship Id="rId699" Type="http://schemas.openxmlformats.org/officeDocument/2006/relationships/hyperlink" Target="https://doi.org/10.1016/j.neurol.2011.05.005" TargetMode="External"/><Relationship Id="rId2794" Type="http://schemas.openxmlformats.org/officeDocument/2006/relationships/hyperlink" Target="https://doi.org/10.1177/0004867415607986" TargetMode="External"/><Relationship Id="rId3845" Type="http://schemas.openxmlformats.org/officeDocument/2006/relationships/hyperlink" Target="https://doi.org/10.1097/JGP.0b013e3181d695d7" TargetMode="External"/><Relationship Id="rId6251" Type="http://schemas.openxmlformats.org/officeDocument/2006/relationships/hyperlink" Target="https://doi.org/10.1037/a0030923" TargetMode="External"/><Relationship Id="rId766" Type="http://schemas.openxmlformats.org/officeDocument/2006/relationships/hyperlink" Target="https://doi.org/10.1016/j.bandc.2006.02.006" TargetMode="External"/><Relationship Id="rId1396" Type="http://schemas.openxmlformats.org/officeDocument/2006/relationships/hyperlink" Target="https://doi.org/10.1080/13854046.2020.1731608" TargetMode="External"/><Relationship Id="rId2447" Type="http://schemas.openxmlformats.org/officeDocument/2006/relationships/hyperlink" Target="https://doi.org/10.1002/ana.24791" TargetMode="External"/><Relationship Id="rId419" Type="http://schemas.openxmlformats.org/officeDocument/2006/relationships/hyperlink" Target="https://doi.org/10.1016/0165-1781(94)90064-7" TargetMode="External"/><Relationship Id="rId1049" Type="http://schemas.openxmlformats.org/officeDocument/2006/relationships/hyperlink" Target="https://doi.org/10.1001/archneurol.2010.173" TargetMode="External"/><Relationship Id="rId2861" Type="http://schemas.openxmlformats.org/officeDocument/2006/relationships/hyperlink" Target="https://doi.org/10.1017/S1355617712001397" TargetMode="External"/><Relationship Id="rId3912" Type="http://schemas.openxmlformats.org/officeDocument/2006/relationships/hyperlink" Target="https://doi.org/10.1037/0894-4105.16.3.327" TargetMode="External"/><Relationship Id="rId833" Type="http://schemas.openxmlformats.org/officeDocument/2006/relationships/hyperlink" Target="https://doi.org/10.1016/j.jagp.2013.08.009" TargetMode="External"/><Relationship Id="rId1116" Type="http://schemas.openxmlformats.org/officeDocument/2006/relationships/hyperlink" Target="https://doi.org/10.1037/0894-4105.21.4.507" TargetMode="External"/><Relationship Id="rId1463" Type="http://schemas.openxmlformats.org/officeDocument/2006/relationships/hyperlink" Target="https://doi.org/10.1016/j.neuropsychologia.2015.01.044" TargetMode="External"/><Relationship Id="rId2514" Type="http://schemas.openxmlformats.org/officeDocument/2006/relationships/hyperlink" Target="https://doi.org/10.1523/JNEUROSCI.3783-10.2010" TargetMode="External"/><Relationship Id="rId900" Type="http://schemas.openxmlformats.org/officeDocument/2006/relationships/hyperlink" Target="https://doi.org/10.1159/000074139" TargetMode="External"/><Relationship Id="rId1530" Type="http://schemas.openxmlformats.org/officeDocument/2006/relationships/hyperlink" Target="https://doi.org/10.1590/S1980-5764-2016DN1003011" TargetMode="External"/><Relationship Id="rId4686" Type="http://schemas.openxmlformats.org/officeDocument/2006/relationships/hyperlink" Target="https://doi.org/10.1016/j.neurobiolaging.2015.10.037" TargetMode="External"/><Relationship Id="rId5737" Type="http://schemas.openxmlformats.org/officeDocument/2006/relationships/hyperlink" Target="https://doi.org/10.1016/j.neuropsychologia.2007.04.004" TargetMode="External"/><Relationship Id="rId3288" Type="http://schemas.openxmlformats.org/officeDocument/2006/relationships/hyperlink" Target="https://doi.org/10.1016/S0028-3932(03)00123-4" TargetMode="External"/><Relationship Id="rId4339" Type="http://schemas.openxmlformats.org/officeDocument/2006/relationships/hyperlink" Target="https://doi.org/10.1192/bjp.bp.112.121160" TargetMode="External"/><Relationship Id="rId4753" Type="http://schemas.openxmlformats.org/officeDocument/2006/relationships/hyperlink" Target="https://doi.org/10.1016/S0165-1781(02)00318-9" TargetMode="External"/><Relationship Id="rId5804" Type="http://schemas.openxmlformats.org/officeDocument/2006/relationships/hyperlink" Target="https://doi.org/10.1016/j.jad.2016.11.029" TargetMode="External"/><Relationship Id="rId3355" Type="http://schemas.openxmlformats.org/officeDocument/2006/relationships/hyperlink" Target="https://doi.org/10.1016/j.neuroimage.2014.10.009" TargetMode="External"/><Relationship Id="rId4406" Type="http://schemas.openxmlformats.org/officeDocument/2006/relationships/hyperlink" Target="https://doi.org/10.1016/S0010-9452(08)70694-4" TargetMode="External"/><Relationship Id="rId276" Type="http://schemas.openxmlformats.org/officeDocument/2006/relationships/hyperlink" Target="https://doi.org/10.1097/HTR.0000000000000420" TargetMode="External"/><Relationship Id="rId690" Type="http://schemas.openxmlformats.org/officeDocument/2006/relationships/hyperlink" Target="https://doi.org/10.1093/schbul/sbl072" TargetMode="External"/><Relationship Id="rId2371" Type="http://schemas.openxmlformats.org/officeDocument/2006/relationships/hyperlink" Target="https://doi.org/10.1093/schbul/sbv142" TargetMode="External"/><Relationship Id="rId3008" Type="http://schemas.openxmlformats.org/officeDocument/2006/relationships/hyperlink" Target="https://doi.org/10.1093/brain/awp207" TargetMode="External"/><Relationship Id="rId3422" Type="http://schemas.openxmlformats.org/officeDocument/2006/relationships/hyperlink" Target="https://doi.org/10.1016/j.biopsych.2011.02.033" TargetMode="External"/><Relationship Id="rId4820" Type="http://schemas.openxmlformats.org/officeDocument/2006/relationships/hyperlink" Target="https://doi.org/10.1034/j.1399-5618.2003.00042.x" TargetMode="External"/><Relationship Id="rId343" Type="http://schemas.openxmlformats.org/officeDocument/2006/relationships/hyperlink" Target="https://doi.org/10.1007/s11682-018-9877-1" TargetMode="External"/><Relationship Id="rId2024" Type="http://schemas.openxmlformats.org/officeDocument/2006/relationships/hyperlink" Target="https://doi.org/10.1111/j.1469-7610.2004.00276.x" TargetMode="External"/><Relationship Id="rId1040" Type="http://schemas.openxmlformats.org/officeDocument/2006/relationships/hyperlink" Target="https://doi.org/10.9758/cpn.2019.17.4.509" TargetMode="External"/><Relationship Id="rId4196" Type="http://schemas.openxmlformats.org/officeDocument/2006/relationships/hyperlink" Target="https://doi.org/10.1523/JNEUROSCI.2978-14.2015" TargetMode="External"/><Relationship Id="rId5247" Type="http://schemas.openxmlformats.org/officeDocument/2006/relationships/hyperlink" Target="https://doi.org/10.1097/01.jcp.0000162813.22689.d9" TargetMode="External"/><Relationship Id="rId5594" Type="http://schemas.openxmlformats.org/officeDocument/2006/relationships/hyperlink" Target="https://doi.org/10.5014/ajot.61.1.108" TargetMode="External"/><Relationship Id="rId410" Type="http://schemas.openxmlformats.org/officeDocument/2006/relationships/hyperlink" Target="https://doi.org/10.1016/j.yebeh.2012.07.023" TargetMode="External"/><Relationship Id="rId5661" Type="http://schemas.openxmlformats.org/officeDocument/2006/relationships/hyperlink" Target="https://doi.org/10.1007/s00406-009-0073-6" TargetMode="External"/><Relationship Id="rId1857" Type="http://schemas.openxmlformats.org/officeDocument/2006/relationships/hyperlink" Target="https://doi.org/10.1017/S1041610210002085" TargetMode="External"/><Relationship Id="rId2908" Type="http://schemas.openxmlformats.org/officeDocument/2006/relationships/hyperlink" Target="https://doi.org/10.1007/s004060170054" TargetMode="External"/><Relationship Id="rId4263" Type="http://schemas.openxmlformats.org/officeDocument/2006/relationships/hyperlink" Target="https://doi.org/10.1080/17588928.2013.838945" TargetMode="External"/><Relationship Id="rId5314" Type="http://schemas.openxmlformats.org/officeDocument/2006/relationships/hyperlink" Target="https://doi.org/10.1016/j.schres.2019.01.034" TargetMode="External"/><Relationship Id="rId1924" Type="http://schemas.openxmlformats.org/officeDocument/2006/relationships/hyperlink" Target="https://doi.org/10.1080/23279095.2018.1429441" TargetMode="External"/><Relationship Id="rId4330" Type="http://schemas.openxmlformats.org/officeDocument/2006/relationships/hyperlink" Target="https://doi.org/10.1111/psyp.12964" TargetMode="External"/><Relationship Id="rId6088" Type="http://schemas.openxmlformats.org/officeDocument/2006/relationships/hyperlink" Target="https://doi.org/10.1136/jnnp.74.6.793" TargetMode="External"/><Relationship Id="rId2698" Type="http://schemas.openxmlformats.org/officeDocument/2006/relationships/hyperlink" Target="https://doi.org/10.4088/JCP.14m09320" TargetMode="External"/><Relationship Id="rId6155" Type="http://schemas.openxmlformats.org/officeDocument/2006/relationships/hyperlink" Target="https://doi.org/10.1016/S0926-6410(01)00022-2" TargetMode="External"/><Relationship Id="rId3749" Type="http://schemas.openxmlformats.org/officeDocument/2006/relationships/hyperlink" Target="https://doi.org/10.1111/j.0013-9580.2005.461004.x" TargetMode="External"/><Relationship Id="rId5171" Type="http://schemas.openxmlformats.org/officeDocument/2006/relationships/hyperlink" Target="https://doi.org/10.1016/j.neuropsychologia.2005.12.011" TargetMode="External"/><Relationship Id="rId6222" Type="http://schemas.openxmlformats.org/officeDocument/2006/relationships/hyperlink" Target="https://doi.org/10.1016/j.neuropsychologia.2006.07.007" TargetMode="External"/><Relationship Id="rId2765" Type="http://schemas.openxmlformats.org/officeDocument/2006/relationships/hyperlink" Target="https://doi.org/10.3109/15622975.2011.556200" TargetMode="External"/><Relationship Id="rId3816" Type="http://schemas.openxmlformats.org/officeDocument/2006/relationships/hyperlink" Target="https://doi.org/10.1176/appi.ps.54.8.1129" TargetMode="External"/><Relationship Id="rId737" Type="http://schemas.openxmlformats.org/officeDocument/2006/relationships/hyperlink" Target="https://doi.org/10.1097/WNF.0000000000000170" TargetMode="External"/><Relationship Id="rId1367" Type="http://schemas.openxmlformats.org/officeDocument/2006/relationships/hyperlink" Target="https://doi.org/10.1080/02699200701538181" TargetMode="External"/><Relationship Id="rId1781" Type="http://schemas.openxmlformats.org/officeDocument/2006/relationships/hyperlink" Target="https://doi.org/10.1080/13854046.2018.1490456" TargetMode="External"/><Relationship Id="rId2418" Type="http://schemas.openxmlformats.org/officeDocument/2006/relationships/hyperlink" Target="https://doi.org/10.1080/08952841.2016.1256736" TargetMode="External"/><Relationship Id="rId2832" Type="http://schemas.openxmlformats.org/officeDocument/2006/relationships/hyperlink" Target="https://doi.org/10.1016/j.neuroimage.2011.04.047" TargetMode="External"/><Relationship Id="rId5988" Type="http://schemas.openxmlformats.org/officeDocument/2006/relationships/hyperlink" Target="https://doi.org/10.1080/02699050600832015" TargetMode="External"/><Relationship Id="rId73" Type="http://schemas.openxmlformats.org/officeDocument/2006/relationships/hyperlink" Target="https://doi.org/10.1186/s12888-019-2358-2" TargetMode="External"/><Relationship Id="rId804" Type="http://schemas.openxmlformats.org/officeDocument/2006/relationships/hyperlink" Target="https://doi.org/10.1002/ana.21111" TargetMode="External"/><Relationship Id="rId1434" Type="http://schemas.openxmlformats.org/officeDocument/2006/relationships/hyperlink" Target="https://doi.org/10.1080/13854046.2019.1588995" TargetMode="External"/><Relationship Id="rId1501" Type="http://schemas.openxmlformats.org/officeDocument/2006/relationships/hyperlink" Target="https://doi.org/10.1159/000343500" TargetMode="External"/><Relationship Id="rId4657" Type="http://schemas.openxmlformats.org/officeDocument/2006/relationships/hyperlink" Target="https://doi.org/10.1016/j.psychres.2012.11.019" TargetMode="External"/><Relationship Id="rId5708" Type="http://schemas.openxmlformats.org/officeDocument/2006/relationships/hyperlink" Target="https://doi.org/10.1016/j.schres.2014.01.022" TargetMode="External"/><Relationship Id="rId3259" Type="http://schemas.openxmlformats.org/officeDocument/2006/relationships/hyperlink" Target="https://doi.org/10.1111/bjep.12221" TargetMode="External"/><Relationship Id="rId594" Type="http://schemas.openxmlformats.org/officeDocument/2006/relationships/hyperlink" Target="https://doi.org/10.1017/S0033291715001713" TargetMode="External"/><Relationship Id="rId2275" Type="http://schemas.openxmlformats.org/officeDocument/2006/relationships/hyperlink" Target="https://doi.org/10.3233/JAD-180078" TargetMode="External"/><Relationship Id="rId3326" Type="http://schemas.openxmlformats.org/officeDocument/2006/relationships/hyperlink" Target="https://doi.org/10.1016/j.schres.2012.08.032" TargetMode="External"/><Relationship Id="rId3673" Type="http://schemas.openxmlformats.org/officeDocument/2006/relationships/hyperlink" Target="https://doi.org/10.1016/j.jneuroling.2013.03.005" TargetMode="External"/><Relationship Id="rId4724" Type="http://schemas.openxmlformats.org/officeDocument/2006/relationships/hyperlink" Target="https://doi.org/10.1037/0735-7044.117.6.1169" TargetMode="External"/><Relationship Id="rId247" Type="http://schemas.openxmlformats.org/officeDocument/2006/relationships/hyperlink" Target="https://doi.org/10.1016/j.psychres.2016.12.027" TargetMode="External"/><Relationship Id="rId3740" Type="http://schemas.openxmlformats.org/officeDocument/2006/relationships/hyperlink" Target="https://doi.org/10.1111/j.1440-1819.2012.02319.x" TargetMode="External"/><Relationship Id="rId661" Type="http://schemas.openxmlformats.org/officeDocument/2006/relationships/hyperlink" Target="https://doi.org/10.1016/j.comppsych.2004.03.006" TargetMode="External"/><Relationship Id="rId1291" Type="http://schemas.openxmlformats.org/officeDocument/2006/relationships/hyperlink" Target="https://doi.org/10.15288/jsad.2016.77.298" TargetMode="External"/><Relationship Id="rId2342" Type="http://schemas.openxmlformats.org/officeDocument/2006/relationships/hyperlink" Target="https://doi.org/10.1017/CBO9781139860567.017" TargetMode="External"/><Relationship Id="rId5498" Type="http://schemas.openxmlformats.org/officeDocument/2006/relationships/hyperlink" Target="https://doi.org/10.1016/j.schres.2015.03.017" TargetMode="External"/><Relationship Id="rId6549" Type="http://schemas.openxmlformats.org/officeDocument/2006/relationships/theme" Target="theme/theme1.xml"/><Relationship Id="rId314" Type="http://schemas.openxmlformats.org/officeDocument/2006/relationships/hyperlink" Target="https://doi.org/10.1016/S0028-3932(96)00096-6" TargetMode="External"/><Relationship Id="rId5565" Type="http://schemas.openxmlformats.org/officeDocument/2006/relationships/hyperlink" Target="https://doi.org/10.1007/s00221-014-3887-z" TargetMode="External"/><Relationship Id="rId1011" Type="http://schemas.openxmlformats.org/officeDocument/2006/relationships/hyperlink" Target="https://doi.org/10.1016/j.pscychresns.2012.05.009" TargetMode="External"/><Relationship Id="rId4167" Type="http://schemas.openxmlformats.org/officeDocument/2006/relationships/hyperlink" Target="https://doi.org/10.1080/13854046.2015.1033020" TargetMode="External"/><Relationship Id="rId4581" Type="http://schemas.openxmlformats.org/officeDocument/2006/relationships/hyperlink" Target="https://doi.org/10.1017/CBO9780511686931" TargetMode="External"/><Relationship Id="rId5218" Type="http://schemas.openxmlformats.org/officeDocument/2006/relationships/hyperlink" Target="https://doi.org/10.1111/jnc.12398" TargetMode="External"/><Relationship Id="rId5632" Type="http://schemas.openxmlformats.org/officeDocument/2006/relationships/hyperlink" Target="https://doi.org/10.3109/13550280903559789" TargetMode="External"/><Relationship Id="rId3183" Type="http://schemas.openxmlformats.org/officeDocument/2006/relationships/hyperlink" Target="https://doi.org/10.1016/0920-9964(93)90080-3" TargetMode="External"/><Relationship Id="rId4234" Type="http://schemas.openxmlformats.org/officeDocument/2006/relationships/hyperlink" Target="https://doi.org/10.1111/j.1600-0447.2004.00395.x" TargetMode="External"/><Relationship Id="rId1828" Type="http://schemas.openxmlformats.org/officeDocument/2006/relationships/hyperlink" Target="https://doi.org/10.1016/j.schres.2006.04.011" TargetMode="External"/><Relationship Id="rId3250" Type="http://schemas.openxmlformats.org/officeDocument/2006/relationships/hyperlink" Target="https://doi.org/10.1177/082957350401900109" TargetMode="External"/><Relationship Id="rId171" Type="http://schemas.openxmlformats.org/officeDocument/2006/relationships/hyperlink" Target="https://doi.org/10.1093/brain/awl274" TargetMode="External"/><Relationship Id="rId4301" Type="http://schemas.openxmlformats.org/officeDocument/2006/relationships/hyperlink" Target="https://doi.org/10.1111/bdi.12420" TargetMode="External"/><Relationship Id="rId6059" Type="http://schemas.openxmlformats.org/officeDocument/2006/relationships/hyperlink" Target="https://doi.org/10.1093/arclin/acp014" TargetMode="External"/><Relationship Id="rId6473" Type="http://schemas.openxmlformats.org/officeDocument/2006/relationships/hyperlink" Target="https://doi.org/10.1097/00001756-200303030-00043" TargetMode="External"/><Relationship Id="rId988" Type="http://schemas.openxmlformats.org/officeDocument/2006/relationships/hyperlink" Target="https://doi.org/10.1016/j.neuropsychologia.2009.08.018" TargetMode="External"/><Relationship Id="rId2669" Type="http://schemas.openxmlformats.org/officeDocument/2006/relationships/hyperlink" Target="https://doi.org/10.1159/000203889" TargetMode="External"/><Relationship Id="rId5075" Type="http://schemas.openxmlformats.org/officeDocument/2006/relationships/hyperlink" Target="https://doi.org/10.1176/appi.neuropsych.16.4.480" TargetMode="External"/><Relationship Id="rId6126" Type="http://schemas.openxmlformats.org/officeDocument/2006/relationships/hyperlink" Target="https://doi.org/10.1007/s10803-017-3165-6" TargetMode="External"/><Relationship Id="rId6540" Type="http://schemas.openxmlformats.org/officeDocument/2006/relationships/hyperlink" Target="https://doi.org/10.1016/S0924-977X(99)00019-X" TargetMode="External"/><Relationship Id="rId1685" Type="http://schemas.openxmlformats.org/officeDocument/2006/relationships/hyperlink" Target="https://doi.org/10.1080/24750573.2017.1380920" TargetMode="External"/><Relationship Id="rId2736" Type="http://schemas.openxmlformats.org/officeDocument/2006/relationships/hyperlink" Target="https://doi.org/10.1093/brain/awr171" TargetMode="External"/><Relationship Id="rId4091" Type="http://schemas.openxmlformats.org/officeDocument/2006/relationships/hyperlink" Target="https://doi.org/10.1097/00001199-199706000-00008" TargetMode="External"/><Relationship Id="rId5142" Type="http://schemas.openxmlformats.org/officeDocument/2006/relationships/hyperlink" Target="https://doi.org/10.1001/archgenpsychiatry.2011.61" TargetMode="External"/><Relationship Id="rId708" Type="http://schemas.openxmlformats.org/officeDocument/2006/relationships/hyperlink" Target="https://doi.org/10.1080/09084282.2012.651951" TargetMode="External"/><Relationship Id="rId1338" Type="http://schemas.openxmlformats.org/officeDocument/2006/relationships/hyperlink" Target="https://doi.org/10.1097/QAI.0000000000001224" TargetMode="External"/><Relationship Id="rId1405" Type="http://schemas.openxmlformats.org/officeDocument/2006/relationships/hyperlink" Target="https://doi.org/10.1093/brain/awp111" TargetMode="External"/><Relationship Id="rId1752" Type="http://schemas.openxmlformats.org/officeDocument/2006/relationships/hyperlink" Target="https://doi.org/10.1093/brain/awq221" TargetMode="External"/><Relationship Id="rId2803" Type="http://schemas.openxmlformats.org/officeDocument/2006/relationships/hyperlink" Target="https://doi.org/10.1016/j.parkreldis.2014.03.018" TargetMode="External"/><Relationship Id="rId5959" Type="http://schemas.openxmlformats.org/officeDocument/2006/relationships/hyperlink" Target="https://doi.org/10.1111/1469-8986.00072" TargetMode="External"/><Relationship Id="rId44" Type="http://schemas.openxmlformats.org/officeDocument/2006/relationships/hyperlink" Target="https://doi.org/10.1016/j.cortex.2009.09.012" TargetMode="External"/><Relationship Id="rId4975" Type="http://schemas.openxmlformats.org/officeDocument/2006/relationships/hyperlink" Target="https://doi.org/10.1016/j.pscychresns.2007.12.011" TargetMode="External"/><Relationship Id="rId498" Type="http://schemas.openxmlformats.org/officeDocument/2006/relationships/hyperlink" Target="https://doi.org/10.1097/NMD.0b013e31823e55ef" TargetMode="External"/><Relationship Id="rId2179" Type="http://schemas.openxmlformats.org/officeDocument/2006/relationships/hyperlink" Target="https://doi.org/10.1016/j.brat.2006.08.013" TargetMode="External"/><Relationship Id="rId3577" Type="http://schemas.openxmlformats.org/officeDocument/2006/relationships/hyperlink" Target="https://doi.org/10.1016/j.drugalcdep.2010.11.030" TargetMode="External"/><Relationship Id="rId3991" Type="http://schemas.openxmlformats.org/officeDocument/2006/relationships/hyperlink" Target="https://doi.org/10.1080/13803395.2016.1225006" TargetMode="External"/><Relationship Id="rId4628" Type="http://schemas.openxmlformats.org/officeDocument/2006/relationships/hyperlink" Target="https://doi.org/10.1016/j.schres.2007.01.020" TargetMode="External"/><Relationship Id="rId2593" Type="http://schemas.openxmlformats.org/officeDocument/2006/relationships/hyperlink" Target="https://doi.org/10.1080/13682820802425693" TargetMode="External"/><Relationship Id="rId3644" Type="http://schemas.openxmlformats.org/officeDocument/2006/relationships/hyperlink" Target="https://doi.org/10.1038/s41386-018-0134-5" TargetMode="External"/><Relationship Id="rId6050" Type="http://schemas.openxmlformats.org/officeDocument/2006/relationships/hyperlink" Target="https://doi.org/10.1016/j.jpain.2012.02.011" TargetMode="External"/><Relationship Id="rId565" Type="http://schemas.openxmlformats.org/officeDocument/2006/relationships/hyperlink" Target="https://doi.org/10.1080/09297049.2020.1776240" TargetMode="External"/><Relationship Id="rId1195" Type="http://schemas.openxmlformats.org/officeDocument/2006/relationships/hyperlink" Target="https://doi.org/10.1891/1946-6560.5.3.342" TargetMode="External"/><Relationship Id="rId2246" Type="http://schemas.openxmlformats.org/officeDocument/2006/relationships/hyperlink" Target="https://doi.org/10.1016/j.schres.2012.10.037" TargetMode="External"/><Relationship Id="rId2660" Type="http://schemas.openxmlformats.org/officeDocument/2006/relationships/hyperlink" Target="https://doi.org/10.1080/00222890109601921" TargetMode="External"/><Relationship Id="rId3711" Type="http://schemas.openxmlformats.org/officeDocument/2006/relationships/hyperlink" Target="https://doi.org/10.1016/j.schres.2014.03.019" TargetMode="External"/><Relationship Id="rId218" Type="http://schemas.openxmlformats.org/officeDocument/2006/relationships/hyperlink" Target="https://doi.org/10.1076/chin.9.4.277.23521" TargetMode="External"/><Relationship Id="rId632" Type="http://schemas.openxmlformats.org/officeDocument/2006/relationships/hyperlink" Target="https://doi.org/10.1093/brain/awg101" TargetMode="External"/><Relationship Id="rId1262" Type="http://schemas.openxmlformats.org/officeDocument/2006/relationships/hyperlink" Target="https://doi.org/10.1017/S1041610211001980" TargetMode="External"/><Relationship Id="rId2313" Type="http://schemas.openxmlformats.org/officeDocument/2006/relationships/hyperlink" Target="https://doi.org/10.1016/j.schres.2018.10.011" TargetMode="External"/><Relationship Id="rId5469" Type="http://schemas.openxmlformats.org/officeDocument/2006/relationships/hyperlink" Target="https://doi.org/10.1080/02643290802338182" TargetMode="External"/><Relationship Id="rId4485" Type="http://schemas.openxmlformats.org/officeDocument/2006/relationships/hyperlink" Target="https://doi.org/10.1080/13546800701470145" TargetMode="External"/><Relationship Id="rId5536" Type="http://schemas.openxmlformats.org/officeDocument/2006/relationships/hyperlink" Target="https://doi.org/10.1016/j.biopsycho.2007.09.011" TargetMode="External"/><Relationship Id="rId5883" Type="http://schemas.openxmlformats.org/officeDocument/2006/relationships/hyperlink" Target="https://doi.org/10.1017/S1461145703004024" TargetMode="External"/><Relationship Id="rId3087" Type="http://schemas.openxmlformats.org/officeDocument/2006/relationships/hyperlink" Target="https://doi.org/10.1097/JCP.0b013e3181855cd6" TargetMode="External"/><Relationship Id="rId4138" Type="http://schemas.openxmlformats.org/officeDocument/2006/relationships/hyperlink" Target="https://doi.org/10.1007/978-1-4614-9366-2_4" TargetMode="External"/><Relationship Id="rId5950" Type="http://schemas.openxmlformats.org/officeDocument/2006/relationships/hyperlink" Target="https://doi.org/10.1111/j.1600-0447.2010.01552.x" TargetMode="External"/><Relationship Id="rId4552" Type="http://schemas.openxmlformats.org/officeDocument/2006/relationships/hyperlink" Target="https://doi.org/10.1016/j.genhosppsych.2011.08.001" TargetMode="External"/><Relationship Id="rId5603" Type="http://schemas.openxmlformats.org/officeDocument/2006/relationships/hyperlink" Target="https://doi.org/10.1076/clin.17.4.492.27949" TargetMode="External"/><Relationship Id="rId3154" Type="http://schemas.openxmlformats.org/officeDocument/2006/relationships/hyperlink" Target="https://doi.org/10.1016/S0920-9964(03)00179-8" TargetMode="External"/><Relationship Id="rId4205" Type="http://schemas.openxmlformats.org/officeDocument/2006/relationships/hyperlink" Target="https://doi.org/10.1080/09602011.2012.655002" TargetMode="External"/><Relationship Id="rId2170" Type="http://schemas.openxmlformats.org/officeDocument/2006/relationships/hyperlink" Target="https://doi.org/10.1176/appi.books.9781585625154.da21" TargetMode="External"/><Relationship Id="rId3221" Type="http://schemas.openxmlformats.org/officeDocument/2006/relationships/hyperlink" Target="https://doi.org/10.1007/978-1-4419-7784-7_6" TargetMode="External"/><Relationship Id="rId6377" Type="http://schemas.openxmlformats.org/officeDocument/2006/relationships/hyperlink" Target="https://doi.org/10.1017/S1366728918000822" TargetMode="External"/><Relationship Id="rId8" Type="http://schemas.openxmlformats.org/officeDocument/2006/relationships/hyperlink" Target="https://doi.org/10.1186/1471-244X-11-162" TargetMode="External"/><Relationship Id="rId142" Type="http://schemas.openxmlformats.org/officeDocument/2006/relationships/hyperlink" Target="https://doi.org/10.1162/jocn_a_00050" TargetMode="External"/><Relationship Id="rId2987" Type="http://schemas.openxmlformats.org/officeDocument/2006/relationships/hyperlink" Target="https://doi.org/10.1026/1616-3443.36.2.105" TargetMode="External"/><Relationship Id="rId5393" Type="http://schemas.openxmlformats.org/officeDocument/2006/relationships/hyperlink" Target="https://doi.org/10.1523/JNEUROSCI.1766-16.2016" TargetMode="External"/><Relationship Id="rId6444" Type="http://schemas.openxmlformats.org/officeDocument/2006/relationships/hyperlink" Target="https://doi.org/10.1093/arclin/acr109" TargetMode="External"/><Relationship Id="rId959" Type="http://schemas.openxmlformats.org/officeDocument/2006/relationships/hyperlink" Target="https://doi.org/10.1093/schbul/sbx028" TargetMode="External"/><Relationship Id="rId1589" Type="http://schemas.openxmlformats.org/officeDocument/2006/relationships/hyperlink" Target="https://doi.org/10.1002/aur.1913" TargetMode="External"/><Relationship Id="rId5046" Type="http://schemas.openxmlformats.org/officeDocument/2006/relationships/hyperlink" Target="https://doi.org/10.1097/01.wnn.0000182832.54697.5c" TargetMode="External"/><Relationship Id="rId5460" Type="http://schemas.openxmlformats.org/officeDocument/2006/relationships/hyperlink" Target="https://doi.org/10.1097/HTR.0b013e31828a1aa4" TargetMode="External"/><Relationship Id="rId6511" Type="http://schemas.openxmlformats.org/officeDocument/2006/relationships/hyperlink" Target="https://doi.org/10.1016/j.jad.2016.05.011" TargetMode="External"/><Relationship Id="rId4062" Type="http://schemas.openxmlformats.org/officeDocument/2006/relationships/hyperlink" Target="https://doi.org/10.1017/S1355617714000307" TargetMode="External"/><Relationship Id="rId5113" Type="http://schemas.openxmlformats.org/officeDocument/2006/relationships/hyperlink" Target="https://doi.org/10.5152/npa.2015.8712" TargetMode="External"/><Relationship Id="rId1656" Type="http://schemas.openxmlformats.org/officeDocument/2006/relationships/hyperlink" Target="https://doi.org/10.1037/a0031496" TargetMode="External"/><Relationship Id="rId2707" Type="http://schemas.openxmlformats.org/officeDocument/2006/relationships/hyperlink" Target="https://doi.org/10.1111/add.12082" TargetMode="External"/><Relationship Id="rId1309" Type="http://schemas.openxmlformats.org/officeDocument/2006/relationships/hyperlink" Target="https://doi.org/10.1093/geront/48.6.781" TargetMode="External"/><Relationship Id="rId1723" Type="http://schemas.openxmlformats.org/officeDocument/2006/relationships/hyperlink" Target="https://doi.org/10.1016/j.jns.2014.10.033" TargetMode="External"/><Relationship Id="rId4879" Type="http://schemas.openxmlformats.org/officeDocument/2006/relationships/hyperlink" Target="https://doi.org/10.1177/1073191119887441" TargetMode="External"/><Relationship Id="rId15" Type="http://schemas.openxmlformats.org/officeDocument/2006/relationships/hyperlink" Target="https://doi.org/10.1016/S0028-3932(96)00095-4" TargetMode="External"/><Relationship Id="rId3895" Type="http://schemas.openxmlformats.org/officeDocument/2006/relationships/hyperlink" Target="https://doi.org/10.1097/YIC.0b013e32834bbc0d" TargetMode="External"/><Relationship Id="rId4946" Type="http://schemas.openxmlformats.org/officeDocument/2006/relationships/hyperlink" Target="https://doi.org/10.1212/01.wnl.0000319694.14251.95" TargetMode="External"/><Relationship Id="rId2497" Type="http://schemas.openxmlformats.org/officeDocument/2006/relationships/hyperlink" Target="https://doi.org/10.1002/gps.1765" TargetMode="External"/><Relationship Id="rId3548" Type="http://schemas.openxmlformats.org/officeDocument/2006/relationships/hyperlink" Target="https://doi.org/10.1097/01.nmd.0000158376.53165.de" TargetMode="External"/><Relationship Id="rId469" Type="http://schemas.openxmlformats.org/officeDocument/2006/relationships/hyperlink" Target="https://doi.org/10.1159/000078610" TargetMode="External"/><Relationship Id="rId883" Type="http://schemas.openxmlformats.org/officeDocument/2006/relationships/hyperlink" Target="https://doi.org/10.1017/S1355617716000527" TargetMode="External"/><Relationship Id="rId1099" Type="http://schemas.openxmlformats.org/officeDocument/2006/relationships/hyperlink" Target="https://doi.org/10.1016/j.parkreldis.2006.11.011" TargetMode="External"/><Relationship Id="rId2564" Type="http://schemas.openxmlformats.org/officeDocument/2006/relationships/hyperlink" Target="https://doi.org/10.1037/a0036963" TargetMode="External"/><Relationship Id="rId3615" Type="http://schemas.openxmlformats.org/officeDocument/2006/relationships/hyperlink" Target="https://doi.org/10.1080/09602010600696472" TargetMode="External"/><Relationship Id="rId3962" Type="http://schemas.openxmlformats.org/officeDocument/2006/relationships/hyperlink" Target="https://doi.org/10.1016/j.schres.2014.06.042" TargetMode="External"/><Relationship Id="rId6021" Type="http://schemas.openxmlformats.org/officeDocument/2006/relationships/hyperlink" Target="https://doi.org/10.1016/j.concog.2011.09.008" TargetMode="External"/><Relationship Id="rId536" Type="http://schemas.openxmlformats.org/officeDocument/2006/relationships/hyperlink" Target="https://doi.org/10.3233/RNN-140484" TargetMode="External"/><Relationship Id="rId1166" Type="http://schemas.openxmlformats.org/officeDocument/2006/relationships/hyperlink" Target="https://doi.org/10.1136/jnnp.2005.086660" TargetMode="External"/><Relationship Id="rId2217" Type="http://schemas.openxmlformats.org/officeDocument/2006/relationships/hyperlink" Target="https://doi.org/10.1177/0883073809351313" TargetMode="External"/><Relationship Id="rId950" Type="http://schemas.openxmlformats.org/officeDocument/2006/relationships/hyperlink" Target="https://doi.org/10.1371/journal.pone.0008469" TargetMode="External"/><Relationship Id="rId1580" Type="http://schemas.openxmlformats.org/officeDocument/2006/relationships/hyperlink" Target="https://doi.org/10.1037/0882-7974.9.4.568" TargetMode="External"/><Relationship Id="rId2631" Type="http://schemas.openxmlformats.org/officeDocument/2006/relationships/hyperlink" Target="https://doi.org/10.1016/S0010-9452(08)70319-8" TargetMode="External"/><Relationship Id="rId4389" Type="http://schemas.openxmlformats.org/officeDocument/2006/relationships/hyperlink" Target="https://doi.org/10.1080/09297049708401365" TargetMode="External"/><Relationship Id="rId5787" Type="http://schemas.openxmlformats.org/officeDocument/2006/relationships/hyperlink" Target="https://doi.org/10.1097/00005053-199606000-00001" TargetMode="External"/><Relationship Id="rId603" Type="http://schemas.openxmlformats.org/officeDocument/2006/relationships/hyperlink" Target="https://doi.org/10.1111/jnp.12063" TargetMode="External"/><Relationship Id="rId1233" Type="http://schemas.openxmlformats.org/officeDocument/2006/relationships/hyperlink" Target="https://doi.org/10.1080/13803395.2013.771616" TargetMode="External"/><Relationship Id="rId5854" Type="http://schemas.openxmlformats.org/officeDocument/2006/relationships/hyperlink" Target="https://doi.org/10.1111/j.1440-1819.2008.01754.x" TargetMode="External"/><Relationship Id="rId1300" Type="http://schemas.openxmlformats.org/officeDocument/2006/relationships/hyperlink" Target="https://doi.org/10.1111/j.1600-0404.2011.01561.x" TargetMode="External"/><Relationship Id="rId4456" Type="http://schemas.openxmlformats.org/officeDocument/2006/relationships/hyperlink" Target="https://doi.org/10.1080/21622965.2012.691067" TargetMode="External"/><Relationship Id="rId4870" Type="http://schemas.openxmlformats.org/officeDocument/2006/relationships/hyperlink" Target="https://doi.org/10.1162/089892900561931" TargetMode="External"/><Relationship Id="rId5507" Type="http://schemas.openxmlformats.org/officeDocument/2006/relationships/hyperlink" Target="https://doi.org/10.1016/j.cortex.2017.04.003" TargetMode="External"/><Relationship Id="rId5921" Type="http://schemas.openxmlformats.org/officeDocument/2006/relationships/hyperlink" Target="https://doi.org/10.3109/02699052.2013.847209" TargetMode="External"/><Relationship Id="rId3058" Type="http://schemas.openxmlformats.org/officeDocument/2006/relationships/hyperlink" Target="https://doi.org/10.1016/j.schres.2018.12.036" TargetMode="External"/><Relationship Id="rId3472" Type="http://schemas.openxmlformats.org/officeDocument/2006/relationships/hyperlink" Target="https://doi.org/10.1093/jpepsy/jst050" TargetMode="External"/><Relationship Id="rId4109" Type="http://schemas.openxmlformats.org/officeDocument/2006/relationships/hyperlink" Target="https://doi.org/10.1016/j.pnpbp.2011.11.017" TargetMode="External"/><Relationship Id="rId4523" Type="http://schemas.openxmlformats.org/officeDocument/2006/relationships/hyperlink" Target="https://doi.org/10.1016/j.ajp.2018.05.001" TargetMode="External"/><Relationship Id="rId393" Type="http://schemas.openxmlformats.org/officeDocument/2006/relationships/hyperlink" Target="https://doi.org/10.1207/s15324826an1102_4" TargetMode="External"/><Relationship Id="rId2074" Type="http://schemas.openxmlformats.org/officeDocument/2006/relationships/hyperlink" Target="https://doi.org/10.5014/ajot.63.4.398" TargetMode="External"/><Relationship Id="rId3125" Type="http://schemas.openxmlformats.org/officeDocument/2006/relationships/hyperlink" Target="https://doi.org/10.1016/j.psychres.2006.04.004" TargetMode="External"/><Relationship Id="rId460" Type="http://schemas.openxmlformats.org/officeDocument/2006/relationships/hyperlink" Target="https://doi.org/10.1007/978-3-030-14895-9_25" TargetMode="External"/><Relationship Id="rId1090" Type="http://schemas.openxmlformats.org/officeDocument/2006/relationships/hyperlink" Target="https://doi.org/10.1097/WNR.0000000000001707" TargetMode="External"/><Relationship Id="rId2141" Type="http://schemas.openxmlformats.org/officeDocument/2006/relationships/hyperlink" Target="https://doi.org/10.1017/S0033291719002794" TargetMode="External"/><Relationship Id="rId5297" Type="http://schemas.openxmlformats.org/officeDocument/2006/relationships/hyperlink" Target="https://doi.org/10.1016/j.psychres.2010.04.048" TargetMode="External"/><Relationship Id="rId6348" Type="http://schemas.openxmlformats.org/officeDocument/2006/relationships/hyperlink" Target="https://doi.org/10.1162/jocn_a_00432" TargetMode="External"/><Relationship Id="rId113" Type="http://schemas.openxmlformats.org/officeDocument/2006/relationships/hyperlink" Target="https://doi.org/10.1016/j.schres.2012.05.007" TargetMode="External"/><Relationship Id="rId2958" Type="http://schemas.openxmlformats.org/officeDocument/2006/relationships/hyperlink" Target="https://doi.org/10.1016/j.jpsychires.2012.07.002" TargetMode="External"/><Relationship Id="rId5017" Type="http://schemas.openxmlformats.org/officeDocument/2006/relationships/hyperlink" Target="https://doi.org/10.1001/archpsyc.62.6.649" TargetMode="External"/><Relationship Id="rId5364" Type="http://schemas.openxmlformats.org/officeDocument/2006/relationships/hyperlink" Target="https://doi.org/10.1007/s00406-003-0421-x" TargetMode="External"/><Relationship Id="rId6415" Type="http://schemas.openxmlformats.org/officeDocument/2006/relationships/hyperlink" Target="https://doi.org/10.3109/08039488.2013.799228" TargetMode="External"/><Relationship Id="rId1974" Type="http://schemas.openxmlformats.org/officeDocument/2006/relationships/hyperlink" Target="https://doi.org/10.1089/cyber.2017.0679" TargetMode="External"/><Relationship Id="rId4380" Type="http://schemas.openxmlformats.org/officeDocument/2006/relationships/hyperlink" Target="https://doi.org/10.3402/ejpt.v7.29061" TargetMode="External"/><Relationship Id="rId5431" Type="http://schemas.openxmlformats.org/officeDocument/2006/relationships/hyperlink" Target="https://doi.org/10.1111/j.1467-9450.2006.00550.x" TargetMode="External"/><Relationship Id="rId1627" Type="http://schemas.openxmlformats.org/officeDocument/2006/relationships/hyperlink" Target="https://doi.org/10.1080/09602011.2012.658267" TargetMode="External"/><Relationship Id="rId4033" Type="http://schemas.openxmlformats.org/officeDocument/2006/relationships/hyperlink" Target="https://doi.org/10.1212/WNL.50.1.121" TargetMode="External"/><Relationship Id="rId3799" Type="http://schemas.openxmlformats.org/officeDocument/2006/relationships/hyperlink" Target="https://doi.org/10.1093/brain/121.6.1155" TargetMode="External"/><Relationship Id="rId4100" Type="http://schemas.openxmlformats.org/officeDocument/2006/relationships/hyperlink" Target="https://doi.org/10.1016/j.schres.2013.11.033" TargetMode="External"/><Relationship Id="rId6272" Type="http://schemas.openxmlformats.org/officeDocument/2006/relationships/hyperlink" Target="https://doi.org/10.1179/2047387714Y.0000000041" TargetMode="External"/><Relationship Id="rId3866" Type="http://schemas.openxmlformats.org/officeDocument/2006/relationships/hyperlink" Target="https://doi.org/10.1016/j.ijpsycho.2005.05.012" TargetMode="External"/><Relationship Id="rId4917" Type="http://schemas.openxmlformats.org/officeDocument/2006/relationships/hyperlink" Target="https://doi.org/10.1080/09084282.2012.690798" TargetMode="External"/><Relationship Id="rId787" Type="http://schemas.openxmlformats.org/officeDocument/2006/relationships/hyperlink" Target="https://doi.org/10.1097/YPG.0000000000000085" TargetMode="External"/><Relationship Id="rId2468" Type="http://schemas.openxmlformats.org/officeDocument/2006/relationships/hyperlink" Target="https://doi.org/10.1016/j.pscychresns.2017.07.002" TargetMode="External"/><Relationship Id="rId2882" Type="http://schemas.openxmlformats.org/officeDocument/2006/relationships/hyperlink" Target="https://doi.org/10.1016/j.psychres.2005.03.006" TargetMode="External"/><Relationship Id="rId3519" Type="http://schemas.openxmlformats.org/officeDocument/2006/relationships/hyperlink" Target="https://doi.org/10.1097/01.nmd.0000161689.96931.0f" TargetMode="External"/><Relationship Id="rId3933" Type="http://schemas.openxmlformats.org/officeDocument/2006/relationships/hyperlink" Target="https://doi.org/10.1080/13554794.2012.667118" TargetMode="External"/><Relationship Id="rId854" Type="http://schemas.openxmlformats.org/officeDocument/2006/relationships/hyperlink" Target="https://doi.org/10.1037/h0101021" TargetMode="External"/><Relationship Id="rId1484" Type="http://schemas.openxmlformats.org/officeDocument/2006/relationships/hyperlink" Target="https://doi.org/10.1016/j.pnpbp.2017.01.004" TargetMode="External"/><Relationship Id="rId2535" Type="http://schemas.openxmlformats.org/officeDocument/2006/relationships/hyperlink" Target="https://doi.org/10.1111/jora.12438" TargetMode="External"/><Relationship Id="rId507" Type="http://schemas.openxmlformats.org/officeDocument/2006/relationships/hyperlink" Target="https://doi.org/10.1016/j.chiabu.2018.04.003" TargetMode="External"/><Relationship Id="rId921" Type="http://schemas.openxmlformats.org/officeDocument/2006/relationships/hyperlink" Target="https://doi.org/10.1016/j.schres.2017.09.012" TargetMode="External"/><Relationship Id="rId1137" Type="http://schemas.openxmlformats.org/officeDocument/2006/relationships/hyperlink" Target="https://doi.org/10.3233/JPD-150672" TargetMode="External"/><Relationship Id="rId1551" Type="http://schemas.openxmlformats.org/officeDocument/2006/relationships/hyperlink" Target="https://doi.org/10.1162/jocn.2009.21316" TargetMode="External"/><Relationship Id="rId2602" Type="http://schemas.openxmlformats.org/officeDocument/2006/relationships/hyperlink" Target="https://doi.org/10.1080/02643290442000176" TargetMode="External"/><Relationship Id="rId5758" Type="http://schemas.openxmlformats.org/officeDocument/2006/relationships/hyperlink" Target="https://doi.org/10.1111/j.1528-1167.2006.00708.x" TargetMode="External"/><Relationship Id="rId1204" Type="http://schemas.openxmlformats.org/officeDocument/2006/relationships/hyperlink" Target="https://doi.org/10.1016/j.psychres.2016.04.102" TargetMode="External"/><Relationship Id="rId4774" Type="http://schemas.openxmlformats.org/officeDocument/2006/relationships/hyperlink" Target="https://doi.org/10.1001/archneur.1993.00540060066020" TargetMode="External"/><Relationship Id="rId5825" Type="http://schemas.openxmlformats.org/officeDocument/2006/relationships/hyperlink" Target="https://doi.org/10.1176/appi.ajp.161.1.28" TargetMode="External"/><Relationship Id="rId3376" Type="http://schemas.openxmlformats.org/officeDocument/2006/relationships/hyperlink" Target="https://doi.org/10.1080/08964289.2010.540262" TargetMode="External"/><Relationship Id="rId4427" Type="http://schemas.openxmlformats.org/officeDocument/2006/relationships/hyperlink" Target="https://doi.org/10.1016/j.biopsych.2013.01.017" TargetMode="External"/><Relationship Id="rId297" Type="http://schemas.openxmlformats.org/officeDocument/2006/relationships/hyperlink" Target="https://doi.org/10.1371/journal.pone.0028929" TargetMode="External"/><Relationship Id="rId2392" Type="http://schemas.openxmlformats.org/officeDocument/2006/relationships/hyperlink" Target="https://doi.org/10.1016/j.neuropsychologia.2009.01.003" TargetMode="External"/><Relationship Id="rId3029" Type="http://schemas.openxmlformats.org/officeDocument/2006/relationships/hyperlink" Target="https://doi.org/10.1016/j.psychres.2011.02.028" TargetMode="External"/><Relationship Id="rId3790" Type="http://schemas.openxmlformats.org/officeDocument/2006/relationships/hyperlink" Target="https://doi.org/10.1016/j.physbeh.2007.01.020" TargetMode="External"/><Relationship Id="rId4841" Type="http://schemas.openxmlformats.org/officeDocument/2006/relationships/hyperlink" Target="https://doi.org/10.1002/hbm.20504" TargetMode="External"/><Relationship Id="rId364" Type="http://schemas.openxmlformats.org/officeDocument/2006/relationships/hyperlink" Target="https://doi.org/10.1016/j.jpsychires.2014.04.017" TargetMode="External"/><Relationship Id="rId2045" Type="http://schemas.openxmlformats.org/officeDocument/2006/relationships/hyperlink" Target="https://doi.org/10.4017/gt.2013.12.1.007.00" TargetMode="External"/><Relationship Id="rId3443" Type="http://schemas.openxmlformats.org/officeDocument/2006/relationships/hyperlink" Target="https://doi.org/10.1002/erv.2571" TargetMode="External"/><Relationship Id="rId3510" Type="http://schemas.openxmlformats.org/officeDocument/2006/relationships/hyperlink" Target="https://doi.org/10.1097/00005053-199411000-00010" TargetMode="External"/><Relationship Id="rId431" Type="http://schemas.openxmlformats.org/officeDocument/2006/relationships/hyperlink" Target="https://doi.org/10.1016/j.schres.2020.01.005" TargetMode="External"/><Relationship Id="rId1061" Type="http://schemas.openxmlformats.org/officeDocument/2006/relationships/hyperlink" Target="https://doi.org/10.1016/j.schres.2014.01.027" TargetMode="External"/><Relationship Id="rId2112" Type="http://schemas.openxmlformats.org/officeDocument/2006/relationships/hyperlink" Target="https://doi.org/10.3109/00207459808986419" TargetMode="External"/><Relationship Id="rId5268" Type="http://schemas.openxmlformats.org/officeDocument/2006/relationships/hyperlink" Target="https://doi.org/10.1016/j.schres.2010.08.036" TargetMode="External"/><Relationship Id="rId5682" Type="http://schemas.openxmlformats.org/officeDocument/2006/relationships/hyperlink" Target="https://doi.org/10.1093/brain/awz238" TargetMode="External"/><Relationship Id="rId6319" Type="http://schemas.openxmlformats.org/officeDocument/2006/relationships/hyperlink" Target="https://doi.org/10.1111/j.1399-5618.2010.00854.x" TargetMode="External"/><Relationship Id="rId1878" Type="http://schemas.openxmlformats.org/officeDocument/2006/relationships/hyperlink" Target="https://doi.org/10.1007/978-3-642-37216-2" TargetMode="External"/><Relationship Id="rId2929" Type="http://schemas.openxmlformats.org/officeDocument/2006/relationships/hyperlink" Target="https://doi.org/10.1016/j.cortex.2017.02.012" TargetMode="External"/><Relationship Id="rId4284" Type="http://schemas.openxmlformats.org/officeDocument/2006/relationships/hyperlink" Target="https://doi.org/10.1016/j.schres.2004.08.012" TargetMode="External"/><Relationship Id="rId5335" Type="http://schemas.openxmlformats.org/officeDocument/2006/relationships/hyperlink" Target="https://doi.org/10.1016/j.physbeh.2016.05.037" TargetMode="External"/><Relationship Id="rId4351" Type="http://schemas.openxmlformats.org/officeDocument/2006/relationships/hyperlink" Target="https://doi.org/10.1080/09541440802281183" TargetMode="External"/><Relationship Id="rId5402" Type="http://schemas.openxmlformats.org/officeDocument/2006/relationships/hyperlink" Target="https://doi.org/10.1017/thg.2019.114" TargetMode="External"/><Relationship Id="rId1945" Type="http://schemas.openxmlformats.org/officeDocument/2006/relationships/hyperlink" Target="https://doi.org/10.1007/s00213-003-1524-9" TargetMode="External"/><Relationship Id="rId4004" Type="http://schemas.openxmlformats.org/officeDocument/2006/relationships/hyperlink" Target="https://doi.org/10.3928/00485713-20140306-05" TargetMode="External"/><Relationship Id="rId3020" Type="http://schemas.openxmlformats.org/officeDocument/2006/relationships/hyperlink" Target="https://doi.org/10.5152/npa.2015.7506" TargetMode="External"/><Relationship Id="rId6176" Type="http://schemas.openxmlformats.org/officeDocument/2006/relationships/hyperlink" Target="https://doi.org/10.1002/ajmg.b.10071" TargetMode="External"/><Relationship Id="rId2786" Type="http://schemas.openxmlformats.org/officeDocument/2006/relationships/hyperlink" Target="https://doi.org/10.1016/S0165-1781(01)00322-5" TargetMode="External"/><Relationship Id="rId3837" Type="http://schemas.openxmlformats.org/officeDocument/2006/relationships/hyperlink" Target="https://doi.org/10.1371/journal.pone.0244180" TargetMode="External"/><Relationship Id="rId5192" Type="http://schemas.openxmlformats.org/officeDocument/2006/relationships/hyperlink" Target="https://doi.org/10.1016/j.neuropharm.2012.09.012" TargetMode="External"/><Relationship Id="rId6243" Type="http://schemas.openxmlformats.org/officeDocument/2006/relationships/hyperlink" Target="https://doi.org/10.1300/J184v07n03_06" TargetMode="External"/><Relationship Id="rId758" Type="http://schemas.openxmlformats.org/officeDocument/2006/relationships/hyperlink" Target="https://doi.org/10.1016/j.comppsych.2011.12.006" TargetMode="External"/><Relationship Id="rId1388" Type="http://schemas.openxmlformats.org/officeDocument/2006/relationships/hyperlink" Target="https://doi.org/10.1037/a0028331" TargetMode="External"/><Relationship Id="rId2439" Type="http://schemas.openxmlformats.org/officeDocument/2006/relationships/hyperlink" Target="https://doi.org/10.1080/01688639508402430" TargetMode="External"/><Relationship Id="rId2853" Type="http://schemas.openxmlformats.org/officeDocument/2006/relationships/hyperlink" Target="https://doi.org/10.1016/j.pnpbp.2006.03.013" TargetMode="External"/><Relationship Id="rId3904" Type="http://schemas.openxmlformats.org/officeDocument/2006/relationships/hyperlink" Target="https://doi.org/10.1177/1077559518815616" TargetMode="External"/><Relationship Id="rId6310" Type="http://schemas.openxmlformats.org/officeDocument/2006/relationships/hyperlink" Target="https://doi.org/10.1080/13546805.2011.633749" TargetMode="External"/><Relationship Id="rId94" Type="http://schemas.openxmlformats.org/officeDocument/2006/relationships/hyperlink" Target="https://doi.org/10.1080/02687038.2011.617436" TargetMode="External"/><Relationship Id="rId825" Type="http://schemas.openxmlformats.org/officeDocument/2006/relationships/hyperlink" Target="https://doi.org/10.1016/j.pbb.2020.172968" TargetMode="External"/><Relationship Id="rId1455" Type="http://schemas.openxmlformats.org/officeDocument/2006/relationships/hyperlink" Target="https://doi.org/10.1002/eat.23503" TargetMode="External"/><Relationship Id="rId2506" Type="http://schemas.openxmlformats.org/officeDocument/2006/relationships/hyperlink" Target="https://doi.org/10.1017/S0033291711000353" TargetMode="External"/><Relationship Id="rId1108" Type="http://schemas.openxmlformats.org/officeDocument/2006/relationships/hyperlink" Target="https://doi.org/10.1080/09602011.2015.1117981" TargetMode="External"/><Relationship Id="rId2920" Type="http://schemas.openxmlformats.org/officeDocument/2006/relationships/hyperlink" Target="https://doi.org/10.1016/j.schres.2003.11.007" TargetMode="External"/><Relationship Id="rId4678" Type="http://schemas.openxmlformats.org/officeDocument/2006/relationships/hyperlink" Target="https://doi.org/10.1080/13554790591006069" TargetMode="External"/><Relationship Id="rId1522" Type="http://schemas.openxmlformats.org/officeDocument/2006/relationships/hyperlink" Target="https://doi.org/10.1080/13854046.2011.599819" TargetMode="External"/><Relationship Id="rId5729" Type="http://schemas.openxmlformats.org/officeDocument/2006/relationships/hyperlink" Target="https://doi.org/10.1159/000102932" TargetMode="External"/><Relationship Id="rId3694" Type="http://schemas.openxmlformats.org/officeDocument/2006/relationships/hyperlink" Target="https://doi.org/10.4088/JCP.08m04408" TargetMode="External"/><Relationship Id="rId4745" Type="http://schemas.openxmlformats.org/officeDocument/2006/relationships/hyperlink" Target="https://doi.org/10.1016/j.jad.2012.06.005" TargetMode="External"/><Relationship Id="rId2296" Type="http://schemas.openxmlformats.org/officeDocument/2006/relationships/hyperlink" Target="https://doi.org/10.1080/13803395.2012.683853" TargetMode="External"/><Relationship Id="rId3347" Type="http://schemas.openxmlformats.org/officeDocument/2006/relationships/hyperlink" Target="https://doi.org/10.1016/j.psychres.2004.06.016" TargetMode="External"/><Relationship Id="rId3761" Type="http://schemas.openxmlformats.org/officeDocument/2006/relationships/hyperlink" Target="https://doi.org/10.1017/S1355617704105092" TargetMode="External"/><Relationship Id="rId4812" Type="http://schemas.openxmlformats.org/officeDocument/2006/relationships/hyperlink" Target="https://doi.org/10.1080/08964289.2014.914464" TargetMode="External"/><Relationship Id="rId268" Type="http://schemas.openxmlformats.org/officeDocument/2006/relationships/hyperlink" Target="https://doi.org/10.1590/S1980-57642013DN70100019" TargetMode="External"/><Relationship Id="rId682" Type="http://schemas.openxmlformats.org/officeDocument/2006/relationships/hyperlink" Target="https://doi.org/10.1523/JNEUROSCI.3729-08.2008" TargetMode="External"/><Relationship Id="rId2363" Type="http://schemas.openxmlformats.org/officeDocument/2006/relationships/hyperlink" Target="https://doi.org/10.1016/j.schres.2003.07.009" TargetMode="External"/><Relationship Id="rId3414" Type="http://schemas.openxmlformats.org/officeDocument/2006/relationships/hyperlink" Target="https://doi.org/10.1016/j.neurobiolaging.2010.06.005" TargetMode="External"/><Relationship Id="rId335" Type="http://schemas.openxmlformats.org/officeDocument/2006/relationships/hyperlink" Target="https://doi.org/10.1016/j.schres.2007.06.020" TargetMode="External"/><Relationship Id="rId2016" Type="http://schemas.openxmlformats.org/officeDocument/2006/relationships/hyperlink" Target="https://doi.org/10.1016/S0035-3787(06)75107-4" TargetMode="External"/><Relationship Id="rId2430" Type="http://schemas.openxmlformats.org/officeDocument/2006/relationships/hyperlink" Target="https://doi.org/10.1080/13854046.2013.786758" TargetMode="External"/><Relationship Id="rId5586" Type="http://schemas.openxmlformats.org/officeDocument/2006/relationships/hyperlink" Target="https://doi.org/10.1016/j.schres.2005.08.007" TargetMode="External"/><Relationship Id="rId402" Type="http://schemas.openxmlformats.org/officeDocument/2006/relationships/hyperlink" Target="https://doi.org/10.1111/1460-6984.12452" TargetMode="External"/><Relationship Id="rId1032" Type="http://schemas.openxmlformats.org/officeDocument/2006/relationships/hyperlink" Target="https://doi.org/10.1097/00002030-200401001-00005" TargetMode="External"/><Relationship Id="rId4188" Type="http://schemas.openxmlformats.org/officeDocument/2006/relationships/hyperlink" Target="https://doi.org/10.1080/13803395.2019.1644294" TargetMode="External"/><Relationship Id="rId5239" Type="http://schemas.openxmlformats.org/officeDocument/2006/relationships/hyperlink" Target="https://doi.org/10.1207/s15326942dn2701_4" TargetMode="External"/><Relationship Id="rId4255" Type="http://schemas.openxmlformats.org/officeDocument/2006/relationships/hyperlink" Target="https://doi.org/10.1134/S0362119709050016" TargetMode="External"/><Relationship Id="rId5306" Type="http://schemas.openxmlformats.org/officeDocument/2006/relationships/hyperlink" Target="https://doi.org/10.1017/S135561771500123X" TargetMode="External"/><Relationship Id="rId5653" Type="http://schemas.openxmlformats.org/officeDocument/2006/relationships/hyperlink" Target="https://doi.org/10.1016/j.neuropsychologia.2013.10.008" TargetMode="External"/><Relationship Id="rId1849" Type="http://schemas.openxmlformats.org/officeDocument/2006/relationships/hyperlink" Target="https://doi.org/10.1016/j.jpsychires.2010.08.001" TargetMode="External"/><Relationship Id="rId5720" Type="http://schemas.openxmlformats.org/officeDocument/2006/relationships/hyperlink" Target="https://doi.org/10.1080/026990599121160" TargetMode="External"/><Relationship Id="rId192" Type="http://schemas.openxmlformats.org/officeDocument/2006/relationships/hyperlink" Target="https://doi.org/10.1176/appi.ajp.2010.09091327" TargetMode="External"/><Relationship Id="rId1916" Type="http://schemas.openxmlformats.org/officeDocument/2006/relationships/hyperlink" Target="https://doi.org/10.1016/0006-3223(94)00170-8" TargetMode="External"/><Relationship Id="rId3271" Type="http://schemas.openxmlformats.org/officeDocument/2006/relationships/hyperlink" Target="https://doi.org/10.1111/jnp.12053" TargetMode="External"/><Relationship Id="rId4322" Type="http://schemas.openxmlformats.org/officeDocument/2006/relationships/hyperlink" Target="https://doi.org/10.1017/S0954579400006027" TargetMode="External"/><Relationship Id="rId6494" Type="http://schemas.openxmlformats.org/officeDocument/2006/relationships/hyperlink" Target="https://doi.org/10.1016/j.psychres.2020.113206" TargetMode="External"/><Relationship Id="rId5096" Type="http://schemas.openxmlformats.org/officeDocument/2006/relationships/hyperlink" Target="https://doi.org/10.1016/j.psyneuen.2011.03.014" TargetMode="External"/><Relationship Id="rId6147" Type="http://schemas.openxmlformats.org/officeDocument/2006/relationships/hyperlink" Target="https://doi.org/10.1002/hbm.20916" TargetMode="External"/><Relationship Id="rId5163" Type="http://schemas.openxmlformats.org/officeDocument/2006/relationships/hyperlink" Target="https://doi.org/10.1192/bjp.bp.112.112078" TargetMode="External"/><Relationship Id="rId6214" Type="http://schemas.openxmlformats.org/officeDocument/2006/relationships/hyperlink" Target="https://doi.org/10.1007/978-0-387-78965-1_6" TargetMode="External"/><Relationship Id="rId729" Type="http://schemas.openxmlformats.org/officeDocument/2006/relationships/hyperlink" Target="https://doi.org/10.1016/j.psychres.2010.03.015" TargetMode="External"/><Relationship Id="rId1359" Type="http://schemas.openxmlformats.org/officeDocument/2006/relationships/hyperlink" Target="https://doi.org/10.1016/j.schres.2013.02.034" TargetMode="External"/><Relationship Id="rId2757" Type="http://schemas.openxmlformats.org/officeDocument/2006/relationships/hyperlink" Target="https://doi.org/10.1016/S0006-3223(03)00637-1" TargetMode="External"/><Relationship Id="rId3808" Type="http://schemas.openxmlformats.org/officeDocument/2006/relationships/hyperlink" Target="https://doi.org/10.1016/S0920-9964(99)00125-5" TargetMode="External"/><Relationship Id="rId5230" Type="http://schemas.openxmlformats.org/officeDocument/2006/relationships/hyperlink" Target="https://doi.org/10.1080/20445911.2018.1525387" TargetMode="External"/><Relationship Id="rId1773" Type="http://schemas.openxmlformats.org/officeDocument/2006/relationships/hyperlink" Target="https://doi.org/10.1017/S1355617712000707" TargetMode="External"/><Relationship Id="rId2824" Type="http://schemas.openxmlformats.org/officeDocument/2006/relationships/hyperlink" Target="https://doi.org/10.1080/13803395.2016.1188890" TargetMode="External"/><Relationship Id="rId65" Type="http://schemas.openxmlformats.org/officeDocument/2006/relationships/hyperlink" Target="https://doi.org/10.1016/j.rasd.2012.09.001" TargetMode="External"/><Relationship Id="rId1426" Type="http://schemas.openxmlformats.org/officeDocument/2006/relationships/hyperlink" Target="https://doi.org/10.1093/alcalc/37.6.597" TargetMode="External"/><Relationship Id="rId1840" Type="http://schemas.openxmlformats.org/officeDocument/2006/relationships/hyperlink" Target="https://doi.org/10.1017/S1041610205002577" TargetMode="External"/><Relationship Id="rId4996" Type="http://schemas.openxmlformats.org/officeDocument/2006/relationships/hyperlink" Target="https://doi.org/10.1016/j.psychres.2005.10.008" TargetMode="External"/><Relationship Id="rId3598" Type="http://schemas.openxmlformats.org/officeDocument/2006/relationships/hyperlink" Target="https://doi.org/10.1080/23279095.2017.1336711" TargetMode="External"/><Relationship Id="rId4649" Type="http://schemas.openxmlformats.org/officeDocument/2006/relationships/hyperlink" Target="https://doi.org/10.1080/09084280701719161" TargetMode="External"/><Relationship Id="rId3665" Type="http://schemas.openxmlformats.org/officeDocument/2006/relationships/hyperlink" Target="https://doi.org/10.1016/j.aap.2012.05.010" TargetMode="External"/><Relationship Id="rId4716" Type="http://schemas.openxmlformats.org/officeDocument/2006/relationships/hyperlink" Target="https://doi.org/10.1034/j.1600-0404.2002.0o315.x" TargetMode="External"/><Relationship Id="rId6071" Type="http://schemas.openxmlformats.org/officeDocument/2006/relationships/hyperlink" Target="https://doi.org/10.1002/hbm.20325" TargetMode="External"/><Relationship Id="rId586" Type="http://schemas.openxmlformats.org/officeDocument/2006/relationships/hyperlink" Target="https://doi.org/10.1007/s00115-006-2213-9" TargetMode="External"/><Relationship Id="rId2267" Type="http://schemas.openxmlformats.org/officeDocument/2006/relationships/hyperlink" Target="https://doi.org/10.1186/1471-244X-13-109" TargetMode="External"/><Relationship Id="rId2681" Type="http://schemas.openxmlformats.org/officeDocument/2006/relationships/hyperlink" Target="https://doi.org/10.1038/npp.2009.155" TargetMode="External"/><Relationship Id="rId3318" Type="http://schemas.openxmlformats.org/officeDocument/2006/relationships/hyperlink" Target="https://doi.org/10.1097/01.wnn.0000152227.13001.c3" TargetMode="External"/><Relationship Id="rId239" Type="http://schemas.openxmlformats.org/officeDocument/2006/relationships/hyperlink" Target="https://doi.org/10.1024/1662-9647/a000136" TargetMode="External"/><Relationship Id="rId653" Type="http://schemas.openxmlformats.org/officeDocument/2006/relationships/hyperlink" Target="https://doi.org/10.1016/j.biopsych.2007.05.022" TargetMode="External"/><Relationship Id="rId1283" Type="http://schemas.openxmlformats.org/officeDocument/2006/relationships/hyperlink" Target="https://doi.org/10.1111/j.1399-5618.2007.00428.x" TargetMode="External"/><Relationship Id="rId2334" Type="http://schemas.openxmlformats.org/officeDocument/2006/relationships/hyperlink" Target="https://doi.org/10.1007/s10608-014-9612-1" TargetMode="External"/><Relationship Id="rId3732" Type="http://schemas.openxmlformats.org/officeDocument/2006/relationships/hyperlink" Target="https://doi.org/10.1002/jclp.20791" TargetMode="External"/><Relationship Id="rId306" Type="http://schemas.openxmlformats.org/officeDocument/2006/relationships/hyperlink" Target="https://doi.org/10.1080/02699050903283205" TargetMode="External"/><Relationship Id="rId720" Type="http://schemas.openxmlformats.org/officeDocument/2006/relationships/hyperlink" Target="https://doi.org/10.1007/s10865-010-9247-y" TargetMode="External"/><Relationship Id="rId1350" Type="http://schemas.openxmlformats.org/officeDocument/2006/relationships/hyperlink" Target="https://doi.org/10.1080/13825585.2019.1607820" TargetMode="External"/><Relationship Id="rId2401" Type="http://schemas.openxmlformats.org/officeDocument/2006/relationships/hyperlink" Target="https://doi.org/10.1016/j.ajp.2013.07.002" TargetMode="External"/><Relationship Id="rId4159" Type="http://schemas.openxmlformats.org/officeDocument/2006/relationships/hyperlink" Target="https://doi.org/10.1016/j.brainresprot.2004.09.001" TargetMode="External"/><Relationship Id="rId5557" Type="http://schemas.openxmlformats.org/officeDocument/2006/relationships/hyperlink" Target="https://doi.org/10.1080/13854040500428459" TargetMode="External"/><Relationship Id="rId5971" Type="http://schemas.openxmlformats.org/officeDocument/2006/relationships/hyperlink" Target="https://doi.org/10.1016/j.yebeh.2019.106645" TargetMode="External"/><Relationship Id="rId1003" Type="http://schemas.openxmlformats.org/officeDocument/2006/relationships/hyperlink" Target="https://doi.org/10.1017/CBO9781139025997.030" TargetMode="External"/><Relationship Id="rId4573" Type="http://schemas.openxmlformats.org/officeDocument/2006/relationships/hyperlink" Target="https://doi.org/10.1097/NMD.0b013e3181ea4e43" TargetMode="External"/><Relationship Id="rId5624" Type="http://schemas.openxmlformats.org/officeDocument/2006/relationships/hyperlink" Target="https://doi.org/10.1016/j.schres.2007.09.018" TargetMode="External"/><Relationship Id="rId3175" Type="http://schemas.openxmlformats.org/officeDocument/2006/relationships/hyperlink" Target="https://doi.org/10.1016/j.schres.2013.04.010" TargetMode="External"/><Relationship Id="rId4226" Type="http://schemas.openxmlformats.org/officeDocument/2006/relationships/hyperlink" Target="https://doi.org/10.1093/geronb/gbt025" TargetMode="External"/><Relationship Id="rId4640" Type="http://schemas.openxmlformats.org/officeDocument/2006/relationships/hyperlink" Target="https://doi.org/10.1016/j.encep.2012.01.009" TargetMode="External"/><Relationship Id="rId2191" Type="http://schemas.openxmlformats.org/officeDocument/2006/relationships/hyperlink" Target="https://doi.org/10.1093/schbul/sbi035" TargetMode="External"/><Relationship Id="rId3242" Type="http://schemas.openxmlformats.org/officeDocument/2006/relationships/hyperlink" Target="https://doi.org/10.1016/j.psychres.2018.06.047" TargetMode="External"/><Relationship Id="rId6398" Type="http://schemas.openxmlformats.org/officeDocument/2006/relationships/hyperlink" Target="https://doi.org/10.1093/ijnp/pyv044" TargetMode="External"/><Relationship Id="rId163" Type="http://schemas.openxmlformats.org/officeDocument/2006/relationships/hyperlink" Target="https://doi.org/10.1037/0894-4105.18.4.658" TargetMode="External"/><Relationship Id="rId6465" Type="http://schemas.openxmlformats.org/officeDocument/2006/relationships/hyperlink" Target="https://doi.org/10.2466/02.03.09.22.PR0.108.1.290-300" TargetMode="External"/><Relationship Id="rId230" Type="http://schemas.openxmlformats.org/officeDocument/2006/relationships/hyperlink" Target="https://doi.org/10.1515/IJDHD.2011.031" TargetMode="External"/><Relationship Id="rId5067" Type="http://schemas.openxmlformats.org/officeDocument/2006/relationships/hyperlink" Target="https://doi.org/10.1016/S0120-0534(14)70022-6" TargetMode="External"/><Relationship Id="rId6118" Type="http://schemas.openxmlformats.org/officeDocument/2006/relationships/hyperlink" Target="https://doi.org/10.1016/j.schres.2017.05.017" TargetMode="External"/><Relationship Id="rId4083" Type="http://schemas.openxmlformats.org/officeDocument/2006/relationships/hyperlink" Target="https://doi.org/10.1212/01.wnl.0000180516.69442.95" TargetMode="External"/><Relationship Id="rId5481" Type="http://schemas.openxmlformats.org/officeDocument/2006/relationships/hyperlink" Target="https://doi.org/10.1002/hbm.22507" TargetMode="External"/><Relationship Id="rId6532" Type="http://schemas.openxmlformats.org/officeDocument/2006/relationships/hyperlink" Target="https://doi.org/10.1073/pnas.1708960115" TargetMode="External"/><Relationship Id="rId1677" Type="http://schemas.openxmlformats.org/officeDocument/2006/relationships/hyperlink" Target="https://doi.org/10.1007/s12207-019-09352-y" TargetMode="External"/><Relationship Id="rId2728" Type="http://schemas.openxmlformats.org/officeDocument/2006/relationships/hyperlink" Target="https://doi.org/10.1076/clin.12.1.74.1725" TargetMode="External"/><Relationship Id="rId5134" Type="http://schemas.openxmlformats.org/officeDocument/2006/relationships/hyperlink" Target="https://doi.org/10.1111/j.2044-8295.2010.02000.x" TargetMode="External"/><Relationship Id="rId1744" Type="http://schemas.openxmlformats.org/officeDocument/2006/relationships/hyperlink" Target="https://doi.org/10.1016/j.drugalcdep.2007.07.002" TargetMode="External"/><Relationship Id="rId4150" Type="http://schemas.openxmlformats.org/officeDocument/2006/relationships/hyperlink" Target="https://doi.org/10.1097/NMD.0b013e3181d14143" TargetMode="External"/><Relationship Id="rId5201" Type="http://schemas.openxmlformats.org/officeDocument/2006/relationships/hyperlink" Target="https://doi.org/10.1177/00222194050380030701" TargetMode="External"/><Relationship Id="rId36" Type="http://schemas.openxmlformats.org/officeDocument/2006/relationships/hyperlink" Target="https://doi.org/10.1503/jpn.080039" TargetMode="External"/><Relationship Id="rId4967" Type="http://schemas.openxmlformats.org/officeDocument/2006/relationships/hyperlink" Target="https://doi.org/10.1111/j.1743-6109.2012.02782.x" TargetMode="External"/><Relationship Id="rId1811" Type="http://schemas.openxmlformats.org/officeDocument/2006/relationships/hyperlink" Target="https://doi.org/10.1097/00146965-200309000-00002" TargetMode="External"/><Relationship Id="rId3569" Type="http://schemas.openxmlformats.org/officeDocument/2006/relationships/hyperlink" Target="https://doi.org/10.1016/j.jarmac.2015.12.001" TargetMode="External"/><Relationship Id="rId3983" Type="http://schemas.openxmlformats.org/officeDocument/2006/relationships/hyperlink" Target="https://doi.org/10.1016/S0197-4580(02)00054-4" TargetMode="External"/><Relationship Id="rId6042" Type="http://schemas.openxmlformats.org/officeDocument/2006/relationships/hyperlink" Target="https://doi.org/10.3109/00207450009003259" TargetMode="External"/><Relationship Id="rId1187" Type="http://schemas.openxmlformats.org/officeDocument/2006/relationships/hyperlink" Target="https://doi.org/10.15288/jsa.2003.64.195" TargetMode="External"/><Relationship Id="rId2585" Type="http://schemas.openxmlformats.org/officeDocument/2006/relationships/hyperlink" Target="https://doi.org/10.1016/j.schres.2011.12.002" TargetMode="External"/><Relationship Id="rId3636" Type="http://schemas.openxmlformats.org/officeDocument/2006/relationships/hyperlink" Target="https://doi.org/10.1080/10509670801940409" TargetMode="External"/><Relationship Id="rId557" Type="http://schemas.openxmlformats.org/officeDocument/2006/relationships/hyperlink" Target="https://doi.org/10.1590/0004-282x20180038" TargetMode="External"/><Relationship Id="rId971" Type="http://schemas.openxmlformats.org/officeDocument/2006/relationships/hyperlink" Target="https://doi.org/10.1016/j.psychres.2014.09.012" TargetMode="External"/><Relationship Id="rId2238" Type="http://schemas.openxmlformats.org/officeDocument/2006/relationships/hyperlink" Target="https://doi.org/10.1016/j.jad.2007.02.011" TargetMode="External"/><Relationship Id="rId2652" Type="http://schemas.openxmlformats.org/officeDocument/2006/relationships/hyperlink" Target="https://doi.org/10.1016/j.biopsych.2014.03.015" TargetMode="External"/><Relationship Id="rId3703" Type="http://schemas.openxmlformats.org/officeDocument/2006/relationships/hyperlink" Target="https://doi.org/10.1007/s00702-011-0675-9" TargetMode="External"/><Relationship Id="rId624" Type="http://schemas.openxmlformats.org/officeDocument/2006/relationships/hyperlink" Target="https://doi.org/10.1111/j.1468-1331.2009.02807.x" TargetMode="External"/><Relationship Id="rId1254" Type="http://schemas.openxmlformats.org/officeDocument/2006/relationships/hyperlink" Target="https://doi.org/10.1159/000328626" TargetMode="External"/><Relationship Id="rId2305" Type="http://schemas.openxmlformats.org/officeDocument/2006/relationships/hyperlink" Target="https://doi.org/10.1177/1533317511411907" TargetMode="External"/><Relationship Id="rId5875" Type="http://schemas.openxmlformats.org/officeDocument/2006/relationships/hyperlink" Target="https://doi.org/10.1016/j.braindev.2004.06.008" TargetMode="External"/><Relationship Id="rId1321" Type="http://schemas.openxmlformats.org/officeDocument/2006/relationships/hyperlink" Target="https://doi.org/10.1002/erv.2170" TargetMode="External"/><Relationship Id="rId4477" Type="http://schemas.openxmlformats.org/officeDocument/2006/relationships/hyperlink" Target="https://doi.org/10.3109/02699051003709581" TargetMode="External"/><Relationship Id="rId4891" Type="http://schemas.openxmlformats.org/officeDocument/2006/relationships/hyperlink" Target="https://doi.org/10.1002/ab.21490" TargetMode="External"/><Relationship Id="rId5528" Type="http://schemas.openxmlformats.org/officeDocument/2006/relationships/hyperlink" Target="https://doi.org/10.1016/j.biopsych.2004.06.038" TargetMode="External"/><Relationship Id="rId3079" Type="http://schemas.openxmlformats.org/officeDocument/2006/relationships/hyperlink" Target="https://doi.org/10.1016/j.neubiorev.2013.01.010" TargetMode="External"/><Relationship Id="rId3493" Type="http://schemas.openxmlformats.org/officeDocument/2006/relationships/hyperlink" Target="https://doi.org/10.1111/j.2044-8341.1997.tb01916.x" TargetMode="External"/><Relationship Id="rId4544" Type="http://schemas.openxmlformats.org/officeDocument/2006/relationships/hyperlink" Target="https://doi.org/10.1016/j.schres.2007.06.027" TargetMode="External"/><Relationship Id="rId5942" Type="http://schemas.openxmlformats.org/officeDocument/2006/relationships/hyperlink" Target="https://doi.org/10.1162/jocn.2010.21419" TargetMode="External"/><Relationship Id="rId2095" Type="http://schemas.openxmlformats.org/officeDocument/2006/relationships/hyperlink" Target="https://doi.org/10.1176/appi.ajp.161.9.1705" TargetMode="External"/><Relationship Id="rId3146" Type="http://schemas.openxmlformats.org/officeDocument/2006/relationships/hyperlink" Target="https://doi.org/10.5152/npa.2016.14872" TargetMode="External"/><Relationship Id="rId481" Type="http://schemas.openxmlformats.org/officeDocument/2006/relationships/hyperlink" Target="https://doi.org/10.1017/S1355617712001300" TargetMode="External"/><Relationship Id="rId2162" Type="http://schemas.openxmlformats.org/officeDocument/2006/relationships/hyperlink" Target="https://doi.org/10.1037/neu0000175" TargetMode="External"/><Relationship Id="rId3560" Type="http://schemas.openxmlformats.org/officeDocument/2006/relationships/hyperlink" Target="https://doi.org/10.1016/j.psychres.2015.05.005" TargetMode="External"/><Relationship Id="rId4611" Type="http://schemas.openxmlformats.org/officeDocument/2006/relationships/hyperlink" Target="https://doi.org/10.1016/j.cortex.2020.05.019" TargetMode="External"/><Relationship Id="rId6369" Type="http://schemas.openxmlformats.org/officeDocument/2006/relationships/hyperlink" Target="https://doi.org/10.1093/schbul/sby046" TargetMode="External"/><Relationship Id="rId134" Type="http://schemas.openxmlformats.org/officeDocument/2006/relationships/hyperlink" Target="https://doi.org/10.1111/acps.12535" TargetMode="External"/><Relationship Id="rId3213" Type="http://schemas.openxmlformats.org/officeDocument/2006/relationships/hyperlink" Target="https://doi.org/10.1016/j.schres.2009.11.010" TargetMode="External"/><Relationship Id="rId2979" Type="http://schemas.openxmlformats.org/officeDocument/2006/relationships/hyperlink" Target="https://doi.org/10.1097/00019442-200002000-00008" TargetMode="External"/><Relationship Id="rId5385" Type="http://schemas.openxmlformats.org/officeDocument/2006/relationships/hyperlink" Target="https://doi.org/10.1177/0883073813516191" TargetMode="External"/><Relationship Id="rId6436" Type="http://schemas.openxmlformats.org/officeDocument/2006/relationships/hyperlink" Target="https://doi.org/10.1177/0891988717723741" TargetMode="External"/><Relationship Id="rId201" Type="http://schemas.openxmlformats.org/officeDocument/2006/relationships/hyperlink" Target="https://doi.org/10.1016/j.acn.2007.08.001" TargetMode="External"/><Relationship Id="rId1995" Type="http://schemas.openxmlformats.org/officeDocument/2006/relationships/hyperlink" Target="https://doi.org/10.1016/j.schres.2013.08.025" TargetMode="External"/><Relationship Id="rId5038" Type="http://schemas.openxmlformats.org/officeDocument/2006/relationships/hyperlink" Target="https://doi.org/10.1016/j.intell.2017.01.013" TargetMode="External"/><Relationship Id="rId5452" Type="http://schemas.openxmlformats.org/officeDocument/2006/relationships/hyperlink" Target="https://doi.org/10.1093/brain/awx348" TargetMode="External"/><Relationship Id="rId6503" Type="http://schemas.openxmlformats.org/officeDocument/2006/relationships/hyperlink" Target="https://doi.org/10.1017/S0033291712002590" TargetMode="External"/><Relationship Id="rId1648" Type="http://schemas.openxmlformats.org/officeDocument/2006/relationships/hyperlink" Target="https://doi.org/10.1016/j.neuropsychologia.2003.08.013" TargetMode="External"/><Relationship Id="rId4054" Type="http://schemas.openxmlformats.org/officeDocument/2006/relationships/hyperlink" Target="https://doi.org/10.1177/0734282906297627" TargetMode="External"/><Relationship Id="rId5105" Type="http://schemas.openxmlformats.org/officeDocument/2006/relationships/hyperlink" Target="https://doi.org/10.1080/13554794.2013.841954" TargetMode="External"/><Relationship Id="rId3070" Type="http://schemas.openxmlformats.org/officeDocument/2006/relationships/hyperlink" Target="https://doi.org/10.1016/j.comppsych.2015.05.013" TargetMode="External"/><Relationship Id="rId4121" Type="http://schemas.openxmlformats.org/officeDocument/2006/relationships/hyperlink" Target="https://doi.org/10.1348/000709909X460600" TargetMode="External"/><Relationship Id="rId1715" Type="http://schemas.openxmlformats.org/officeDocument/2006/relationships/hyperlink" Target="https://doi.org/10.1080/15374416.2014.982282" TargetMode="External"/><Relationship Id="rId6293" Type="http://schemas.openxmlformats.org/officeDocument/2006/relationships/hyperlink" Target="https://doi.org/10.1016/j.avb.2010.12.007" TargetMode="External"/><Relationship Id="rId3887" Type="http://schemas.openxmlformats.org/officeDocument/2006/relationships/hyperlink" Target="https://doi.org/10.1007/978-88-470-5699-2_5" TargetMode="External"/><Relationship Id="rId4938" Type="http://schemas.openxmlformats.org/officeDocument/2006/relationships/hyperlink" Target="https://doi.org/10.1176/appi.neuropsych.17.2.208" TargetMode="External"/><Relationship Id="rId2489" Type="http://schemas.openxmlformats.org/officeDocument/2006/relationships/hyperlink" Target="https://doi.org/10.1007/s00127-009-0065-x" TargetMode="External"/><Relationship Id="rId3954" Type="http://schemas.openxmlformats.org/officeDocument/2006/relationships/hyperlink" Target="https://doi.org/10.1093/schbul/sbw023" TargetMode="External"/><Relationship Id="rId6360" Type="http://schemas.openxmlformats.org/officeDocument/2006/relationships/hyperlink" Target="https://doi.org/10.1080/87565641.2010.549979" TargetMode="External"/><Relationship Id="rId875" Type="http://schemas.openxmlformats.org/officeDocument/2006/relationships/hyperlink" Target="https://doi.org/10.1016/j.psychres.2019.01.032" TargetMode="External"/><Relationship Id="rId2556" Type="http://schemas.openxmlformats.org/officeDocument/2006/relationships/hyperlink" Target="https://doi.org/10.1007/s00702-016-1659-6" TargetMode="External"/><Relationship Id="rId2970" Type="http://schemas.openxmlformats.org/officeDocument/2006/relationships/hyperlink" Target="https://doi.org/10.1089/cpb.2008.0242" TargetMode="External"/><Relationship Id="rId3607" Type="http://schemas.openxmlformats.org/officeDocument/2006/relationships/hyperlink" Target="https://doi.org/10.1007/s10899-017-9724-0" TargetMode="External"/><Relationship Id="rId6013" Type="http://schemas.openxmlformats.org/officeDocument/2006/relationships/hyperlink" Target="https://doi.org/10.1176/appi.neuropsych.22.2.173" TargetMode="External"/><Relationship Id="rId528" Type="http://schemas.openxmlformats.org/officeDocument/2006/relationships/hyperlink" Target="https://doi.org/10.3389/fnbeh.2019.00119" TargetMode="External"/><Relationship Id="rId942" Type="http://schemas.openxmlformats.org/officeDocument/2006/relationships/hyperlink" Target="https://doi.org/10.1016/j.schres.2011.12.022" TargetMode="External"/><Relationship Id="rId1158" Type="http://schemas.openxmlformats.org/officeDocument/2006/relationships/hyperlink" Target="https://doi.org/10.1080/02687030802514920" TargetMode="External"/><Relationship Id="rId1572" Type="http://schemas.openxmlformats.org/officeDocument/2006/relationships/hyperlink" Target="https://doi.org/10.1111/j.1530-0277.2006.00060.x" TargetMode="External"/><Relationship Id="rId2209" Type="http://schemas.openxmlformats.org/officeDocument/2006/relationships/hyperlink" Target="https://doi.org/10.1111/j.2044-8260.1997.tb01414.x" TargetMode="External"/><Relationship Id="rId2623" Type="http://schemas.openxmlformats.org/officeDocument/2006/relationships/hyperlink" Target="https://doi.org/10.1016/j.chb.2015.02.008" TargetMode="External"/><Relationship Id="rId5779" Type="http://schemas.openxmlformats.org/officeDocument/2006/relationships/hyperlink" Target="https://doi.org/10.1016/j.jagp.2014.02.001" TargetMode="External"/><Relationship Id="rId1225" Type="http://schemas.openxmlformats.org/officeDocument/2006/relationships/hyperlink" Target="https://doi.org/10.1017/S0033291718002295" TargetMode="External"/><Relationship Id="rId3397" Type="http://schemas.openxmlformats.org/officeDocument/2006/relationships/hyperlink" Target="https://doi.org/10.1016/j.jad.2014.06.032" TargetMode="External"/><Relationship Id="rId4795" Type="http://schemas.openxmlformats.org/officeDocument/2006/relationships/hyperlink" Target="https://doi.org/10.1016/j.ijpsycho.2010.09.007" TargetMode="External"/><Relationship Id="rId5846" Type="http://schemas.openxmlformats.org/officeDocument/2006/relationships/hyperlink" Target="https://doi.org/10.1016/j.jneuroling.2015.02.003" TargetMode="External"/><Relationship Id="rId4448" Type="http://schemas.openxmlformats.org/officeDocument/2006/relationships/hyperlink" Target="https://doi.org/10.1016/j.schres.2007.08.009" TargetMode="External"/><Relationship Id="rId4862" Type="http://schemas.openxmlformats.org/officeDocument/2006/relationships/hyperlink" Target="https://doi.org/10.1016/j.jns.2011.03.033" TargetMode="External"/><Relationship Id="rId5913" Type="http://schemas.openxmlformats.org/officeDocument/2006/relationships/hyperlink" Target="https://doi.org/10.1016/j.schres.2007.10.030" TargetMode="External"/><Relationship Id="rId3464" Type="http://schemas.openxmlformats.org/officeDocument/2006/relationships/hyperlink" Target="https://doi.org/10.1037/pha0000448" TargetMode="External"/><Relationship Id="rId4515" Type="http://schemas.openxmlformats.org/officeDocument/2006/relationships/hyperlink" Target="https://doi.org/10.1007/s00787-014-0593-0" TargetMode="External"/><Relationship Id="rId385" Type="http://schemas.openxmlformats.org/officeDocument/2006/relationships/hyperlink" Target="https://doi.org/10.1017/S1355617700000989" TargetMode="External"/><Relationship Id="rId2066" Type="http://schemas.openxmlformats.org/officeDocument/2006/relationships/hyperlink" Target="https://doi.org/10.1080/01688639608408280" TargetMode="External"/><Relationship Id="rId2480" Type="http://schemas.openxmlformats.org/officeDocument/2006/relationships/hyperlink" Target="https://doi.org/10.1044/1058-0360(2013/11-0064)" TargetMode="External"/><Relationship Id="rId3117" Type="http://schemas.openxmlformats.org/officeDocument/2006/relationships/hyperlink" Target="https://doi.org/10.1002/9781444327298.ch21" TargetMode="External"/><Relationship Id="rId3531" Type="http://schemas.openxmlformats.org/officeDocument/2006/relationships/hyperlink" Target="https://doi.org/10.4321/S0213-61632010000400004" TargetMode="External"/><Relationship Id="rId452" Type="http://schemas.openxmlformats.org/officeDocument/2006/relationships/hyperlink" Target="https://doi.org/10.1016/j.alcohol.2013.03.001" TargetMode="External"/><Relationship Id="rId1082" Type="http://schemas.openxmlformats.org/officeDocument/2006/relationships/hyperlink" Target="https://doi.org/10.1155/2016/7849526" TargetMode="External"/><Relationship Id="rId2133" Type="http://schemas.openxmlformats.org/officeDocument/2006/relationships/hyperlink" Target="https://doi.org/10.3109/02699052.2011.607784" TargetMode="External"/><Relationship Id="rId5289" Type="http://schemas.openxmlformats.org/officeDocument/2006/relationships/hyperlink" Target="https://doi.org/10.1017/S1355617719001024" TargetMode="External"/><Relationship Id="rId105" Type="http://schemas.openxmlformats.org/officeDocument/2006/relationships/hyperlink" Target="https://doi.org/10.1080/13803395.2012.758240" TargetMode="External"/><Relationship Id="rId2200" Type="http://schemas.openxmlformats.org/officeDocument/2006/relationships/hyperlink" Target="https://doi.org/10.1016/0887-6177(93)90051-2" TargetMode="External"/><Relationship Id="rId5356" Type="http://schemas.openxmlformats.org/officeDocument/2006/relationships/hyperlink" Target="https://doi.org/10.1016/j.yebeh.2003.09.008" TargetMode="External"/><Relationship Id="rId6407" Type="http://schemas.openxmlformats.org/officeDocument/2006/relationships/hyperlink" Target="https://doi.org/10.1080/13854040600788158" TargetMode="External"/><Relationship Id="rId1899" Type="http://schemas.openxmlformats.org/officeDocument/2006/relationships/hyperlink" Target="https://doi.org/10.1016/j.schres.2015.06.003" TargetMode="External"/><Relationship Id="rId4372" Type="http://schemas.openxmlformats.org/officeDocument/2006/relationships/hyperlink" Target="https://doi.org/10.1007/s10802-020-00622-x" TargetMode="External"/><Relationship Id="rId5009" Type="http://schemas.openxmlformats.org/officeDocument/2006/relationships/hyperlink" Target="https://doi.org/10.1080/10447318.2016.1157678" TargetMode="External"/><Relationship Id="rId5770" Type="http://schemas.openxmlformats.org/officeDocument/2006/relationships/hyperlink" Target="https://doi.org/10.1016/j.neuropsychologia.2011.12.010" TargetMode="External"/><Relationship Id="rId1966" Type="http://schemas.openxmlformats.org/officeDocument/2006/relationships/hyperlink" Target="https://doi.org/10.1017/S1355617720001216" TargetMode="External"/><Relationship Id="rId4025" Type="http://schemas.openxmlformats.org/officeDocument/2006/relationships/hyperlink" Target="https://doi.org/10.1097/WNF.0000000000000158" TargetMode="External"/><Relationship Id="rId5423" Type="http://schemas.openxmlformats.org/officeDocument/2006/relationships/hyperlink" Target="https://doi.org/10.1016/S0920-9964(98)00178-9" TargetMode="External"/><Relationship Id="rId1619" Type="http://schemas.openxmlformats.org/officeDocument/2006/relationships/hyperlink" Target="https://doi.org/10.1016/j.psychres.2014.04.056" TargetMode="External"/><Relationship Id="rId3041" Type="http://schemas.openxmlformats.org/officeDocument/2006/relationships/hyperlink" Target="https://doi.org/10.1016/j.schres.2013.11.022" TargetMode="External"/><Relationship Id="rId6197" Type="http://schemas.openxmlformats.org/officeDocument/2006/relationships/hyperlink" Target="https://doi.org/10.1016/j.pscychresns.2013.06.011" TargetMode="External"/><Relationship Id="rId3858" Type="http://schemas.openxmlformats.org/officeDocument/2006/relationships/hyperlink" Target="https://doi.org/10.1093/arclin/acs102" TargetMode="External"/><Relationship Id="rId4909" Type="http://schemas.openxmlformats.org/officeDocument/2006/relationships/hyperlink" Target="https://doi.org/10.1136/jnnp-2014-309421" TargetMode="External"/><Relationship Id="rId6264" Type="http://schemas.openxmlformats.org/officeDocument/2006/relationships/hyperlink" Target="https://doi.org/10.1191/026921500676524726" TargetMode="External"/><Relationship Id="rId779" Type="http://schemas.openxmlformats.org/officeDocument/2006/relationships/hyperlink" Target="https://doi.org/10.1017/S1355617798466037" TargetMode="External"/><Relationship Id="rId5280" Type="http://schemas.openxmlformats.org/officeDocument/2006/relationships/hyperlink" Target="https://doi.org/10.1093/brain/awn279" TargetMode="External"/><Relationship Id="rId6331" Type="http://schemas.openxmlformats.org/officeDocument/2006/relationships/hyperlink" Target="https://doi.org/10.1016/j.eurpsy.2014.06.001" TargetMode="External"/><Relationship Id="rId1476" Type="http://schemas.openxmlformats.org/officeDocument/2006/relationships/hyperlink" Target="https://doi.org/10.1016/j.biopsych.2008.04.005" TargetMode="External"/><Relationship Id="rId2874" Type="http://schemas.openxmlformats.org/officeDocument/2006/relationships/hyperlink" Target="https://doi.org/10.1017/S1355617718001157" TargetMode="External"/><Relationship Id="rId3925" Type="http://schemas.openxmlformats.org/officeDocument/2006/relationships/hyperlink" Target="https://doi.org/10.1016/j.schres.2013.06.011" TargetMode="External"/><Relationship Id="rId846" Type="http://schemas.openxmlformats.org/officeDocument/2006/relationships/hyperlink" Target="https://doi.org/10.1016/j.cortex.2009.11.009" TargetMode="External"/><Relationship Id="rId1129" Type="http://schemas.openxmlformats.org/officeDocument/2006/relationships/hyperlink" Target="https://doi.org/10.1016/j.acn.2005.04.009" TargetMode="External"/><Relationship Id="rId1890" Type="http://schemas.openxmlformats.org/officeDocument/2006/relationships/hyperlink" Target="https://doi.org/10.1080/02687030701198395" TargetMode="External"/><Relationship Id="rId2527" Type="http://schemas.openxmlformats.org/officeDocument/2006/relationships/hyperlink" Target="https://doi.org/10.1176/appi.ps.57.12.1751" TargetMode="External"/><Relationship Id="rId2941" Type="http://schemas.openxmlformats.org/officeDocument/2006/relationships/hyperlink" Target="https://doi.org/10.1162/jocn.2009.21212" TargetMode="External"/><Relationship Id="rId5000" Type="http://schemas.openxmlformats.org/officeDocument/2006/relationships/hyperlink" Target="https://doi.org/10.1097/YPG.0b013e32832cec56" TargetMode="External"/><Relationship Id="rId913" Type="http://schemas.openxmlformats.org/officeDocument/2006/relationships/hyperlink" Target="https://doi.org/10.1016/j.biopsych.2010.02.012" TargetMode="External"/><Relationship Id="rId1543" Type="http://schemas.openxmlformats.org/officeDocument/2006/relationships/hyperlink" Target="https://doi.org/10.1016/j.parkreldis.2011.08.010" TargetMode="External"/><Relationship Id="rId4699" Type="http://schemas.openxmlformats.org/officeDocument/2006/relationships/hyperlink" Target="https://doi.org/10.1016/S0010-9452(13)80236-5" TargetMode="External"/><Relationship Id="rId1610" Type="http://schemas.openxmlformats.org/officeDocument/2006/relationships/hyperlink" Target="https://doi.org/10.1016/j.bbr.2018.02.007" TargetMode="External"/><Relationship Id="rId4766" Type="http://schemas.openxmlformats.org/officeDocument/2006/relationships/hyperlink" Target="https://doi.org/10.1007/s00406-011-0224-4" TargetMode="External"/><Relationship Id="rId5817" Type="http://schemas.openxmlformats.org/officeDocument/2006/relationships/hyperlink" Target="https://doi.org/10.1111/j.1600-0447.2007.01072.x" TargetMode="External"/><Relationship Id="rId3368" Type="http://schemas.openxmlformats.org/officeDocument/2006/relationships/hyperlink" Target="https://doi.org/10.1080/87565641.2019.1565535" TargetMode="External"/><Relationship Id="rId3782" Type="http://schemas.openxmlformats.org/officeDocument/2006/relationships/hyperlink" Target="https://doi.org/10.1002/syn.20471" TargetMode="External"/><Relationship Id="rId4419" Type="http://schemas.openxmlformats.org/officeDocument/2006/relationships/hyperlink" Target="https://doi.org/10.1016/j.parkreldis.2015.07.002" TargetMode="External"/><Relationship Id="rId4833" Type="http://schemas.openxmlformats.org/officeDocument/2006/relationships/hyperlink" Target="https://doi.org/10.1093/schbul/sbp062" TargetMode="External"/><Relationship Id="rId289" Type="http://schemas.openxmlformats.org/officeDocument/2006/relationships/hyperlink" Target="https://doi.org/10.1080/24750573.2017.1293247" TargetMode="External"/><Relationship Id="rId2384" Type="http://schemas.openxmlformats.org/officeDocument/2006/relationships/hyperlink" Target="https://doi.org/10.1080/10253890.2016.1193146" TargetMode="External"/><Relationship Id="rId3435" Type="http://schemas.openxmlformats.org/officeDocument/2006/relationships/hyperlink" Target="https://doi.org/10.1080/09084282.2012.670153" TargetMode="External"/><Relationship Id="rId356" Type="http://schemas.openxmlformats.org/officeDocument/2006/relationships/hyperlink" Target="https://doi.org/10.3389/fpsyt.2013.00177" TargetMode="External"/><Relationship Id="rId770" Type="http://schemas.openxmlformats.org/officeDocument/2006/relationships/hyperlink" Target="https://doi.org/10.1016/j.schres.2016.10.016" TargetMode="External"/><Relationship Id="rId2037" Type="http://schemas.openxmlformats.org/officeDocument/2006/relationships/hyperlink" Target="https://doi.org/10.1007/s10862-005-9015-4" TargetMode="External"/><Relationship Id="rId2451" Type="http://schemas.openxmlformats.org/officeDocument/2006/relationships/hyperlink" Target="https://doi.org/10.1037/a0036730" TargetMode="External"/><Relationship Id="rId4900" Type="http://schemas.openxmlformats.org/officeDocument/2006/relationships/hyperlink" Target="https://doi.org/10.1016/j.jad.2013.02.022" TargetMode="External"/><Relationship Id="rId423" Type="http://schemas.openxmlformats.org/officeDocument/2006/relationships/hyperlink" Target="https://doi.org/10.1016/j.schres.2008.06.026" TargetMode="External"/><Relationship Id="rId1053" Type="http://schemas.openxmlformats.org/officeDocument/2006/relationships/hyperlink" Target="https://doi.org/10.1080/09638288.2017.1323020" TargetMode="External"/><Relationship Id="rId2104" Type="http://schemas.openxmlformats.org/officeDocument/2006/relationships/hyperlink" Target="https://doi.org/10.1093/schbul/sbn068" TargetMode="External"/><Relationship Id="rId3502" Type="http://schemas.openxmlformats.org/officeDocument/2006/relationships/hyperlink" Target="https://doi.org/10.1089/neu.2012.2679" TargetMode="External"/><Relationship Id="rId5674" Type="http://schemas.openxmlformats.org/officeDocument/2006/relationships/hyperlink" Target="https://doi.org/10.1016/j.bandc.2006.09.011" TargetMode="External"/><Relationship Id="rId1120" Type="http://schemas.openxmlformats.org/officeDocument/2006/relationships/hyperlink" Target="https://doi.org/10.1017/S1355617700000667" TargetMode="External"/><Relationship Id="rId4276" Type="http://schemas.openxmlformats.org/officeDocument/2006/relationships/hyperlink" Target="https://doi.org/10.1016/j.schres.2010.07.005" TargetMode="External"/><Relationship Id="rId4690" Type="http://schemas.openxmlformats.org/officeDocument/2006/relationships/hyperlink" Target="https://doi.org/10.1007/978-1-4614-6605-5_5" TargetMode="External"/><Relationship Id="rId5327" Type="http://schemas.openxmlformats.org/officeDocument/2006/relationships/hyperlink" Target="https://doi.org/10.1017/S0033291713001803" TargetMode="External"/><Relationship Id="rId5741" Type="http://schemas.openxmlformats.org/officeDocument/2006/relationships/hyperlink" Target="https://doi.org/10.1016/j.jocrd.2012.06.004" TargetMode="External"/><Relationship Id="rId1937" Type="http://schemas.openxmlformats.org/officeDocument/2006/relationships/hyperlink" Target="https://doi.org/10.1080/02643294.2010.532618" TargetMode="External"/><Relationship Id="rId3292" Type="http://schemas.openxmlformats.org/officeDocument/2006/relationships/hyperlink" Target="https://doi.org/10.1080/23279095.2013.816703" TargetMode="External"/><Relationship Id="rId4343" Type="http://schemas.openxmlformats.org/officeDocument/2006/relationships/hyperlink" Target="https://doi.org/10.2147/NDT.S221690" TargetMode="External"/><Relationship Id="rId4410" Type="http://schemas.openxmlformats.org/officeDocument/2006/relationships/hyperlink" Target="https://doi.org/10.1097/WAD.0b013e3182389a9c" TargetMode="External"/><Relationship Id="rId280" Type="http://schemas.openxmlformats.org/officeDocument/2006/relationships/hyperlink" Target="https://doi.org/10.1375/twin.9.6.933" TargetMode="External"/><Relationship Id="rId3012" Type="http://schemas.openxmlformats.org/officeDocument/2006/relationships/hyperlink" Target="https://doi.org/10.1016/j.yebeh.2015.01.023" TargetMode="External"/><Relationship Id="rId6168" Type="http://schemas.openxmlformats.org/officeDocument/2006/relationships/hyperlink" Target="https://doi.org/10.1002/aur.1967" TargetMode="External"/><Relationship Id="rId5184" Type="http://schemas.openxmlformats.org/officeDocument/2006/relationships/hyperlink" Target="https://doi.org/10.1007/978-0-387-76978-3_1" TargetMode="External"/><Relationship Id="rId6235" Type="http://schemas.openxmlformats.org/officeDocument/2006/relationships/hyperlink" Target="https://doi.org/10.1016/j.jpsychires.2015.04.018" TargetMode="External"/><Relationship Id="rId2778" Type="http://schemas.openxmlformats.org/officeDocument/2006/relationships/hyperlink" Target="https://doi.org/10.1016/S0278-2626(03)00117-9" TargetMode="External"/><Relationship Id="rId3829" Type="http://schemas.openxmlformats.org/officeDocument/2006/relationships/hyperlink" Target="https://doi.org/10.1016/B978-0-12-800778-5.00001-3" TargetMode="External"/><Relationship Id="rId1794" Type="http://schemas.openxmlformats.org/officeDocument/2006/relationships/hyperlink" Target="https://doi.org/10.1590/S1980-57642008DN10100016" TargetMode="External"/><Relationship Id="rId2845" Type="http://schemas.openxmlformats.org/officeDocument/2006/relationships/hyperlink" Target="https://doi.org/10.5014/ajot.2011.001347" TargetMode="External"/><Relationship Id="rId5251" Type="http://schemas.openxmlformats.org/officeDocument/2006/relationships/hyperlink" Target="https://doi.org/10.1016/j.jpsychires.2006.03.007" TargetMode="External"/><Relationship Id="rId6302" Type="http://schemas.openxmlformats.org/officeDocument/2006/relationships/hyperlink" Target="https://doi.org/10.1080/09084282.2012.670154" TargetMode="External"/><Relationship Id="rId86" Type="http://schemas.openxmlformats.org/officeDocument/2006/relationships/hyperlink" Target="https://doi.org/10.1016/j.jad.2012.05.062" TargetMode="External"/><Relationship Id="rId817" Type="http://schemas.openxmlformats.org/officeDocument/2006/relationships/hyperlink" Target="https://doi.org/10.1016/j.cortex.2007.07.005" TargetMode="External"/><Relationship Id="rId1447" Type="http://schemas.openxmlformats.org/officeDocument/2006/relationships/hyperlink" Target="https://doi.org/10.1111/ejn.12802" TargetMode="External"/><Relationship Id="rId1861" Type="http://schemas.openxmlformats.org/officeDocument/2006/relationships/hyperlink" Target="https://doi.org/10.1177/0891988714541870" TargetMode="External"/><Relationship Id="rId2912" Type="http://schemas.openxmlformats.org/officeDocument/2006/relationships/hyperlink" Target="https://doi.org/10.1016/S0022-3956(97)84629-8" TargetMode="External"/><Relationship Id="rId1514" Type="http://schemas.openxmlformats.org/officeDocument/2006/relationships/hyperlink" Target="https://doi.org/10.1126/science.abb0184" TargetMode="External"/><Relationship Id="rId3686" Type="http://schemas.openxmlformats.org/officeDocument/2006/relationships/hyperlink" Target="https://doi.org/10.1080/00207590344000123" TargetMode="External"/><Relationship Id="rId6092" Type="http://schemas.openxmlformats.org/officeDocument/2006/relationships/hyperlink" Target="https://doi.org/10.1016/j.eurpsy.2010.03.008" TargetMode="External"/><Relationship Id="rId2288" Type="http://schemas.openxmlformats.org/officeDocument/2006/relationships/hyperlink" Target="https://doi.org/10.1177/1078390307303111" TargetMode="External"/><Relationship Id="rId3339" Type="http://schemas.openxmlformats.org/officeDocument/2006/relationships/hyperlink" Target="https://doi.org/10.1080/13803390500473738" TargetMode="External"/><Relationship Id="rId4737" Type="http://schemas.openxmlformats.org/officeDocument/2006/relationships/hyperlink" Target="https://doi.org/10.1093/schbul/sbu046" TargetMode="External"/><Relationship Id="rId3753" Type="http://schemas.openxmlformats.org/officeDocument/2006/relationships/hyperlink" Target="https://doi.org/10.1007/s10072-010-0373-7" TargetMode="External"/><Relationship Id="rId4804" Type="http://schemas.openxmlformats.org/officeDocument/2006/relationships/hyperlink" Target="https://doi.org/10.1024/1016-264X/a000103" TargetMode="External"/><Relationship Id="rId674" Type="http://schemas.openxmlformats.org/officeDocument/2006/relationships/hyperlink" Target="https://doi.org/10.1016/j.eurpsy.2007.02.001" TargetMode="External"/><Relationship Id="rId2355" Type="http://schemas.openxmlformats.org/officeDocument/2006/relationships/hyperlink" Target="https://doi.org/10.1097/ADM.0b013e31823ae56d" TargetMode="External"/><Relationship Id="rId3406" Type="http://schemas.openxmlformats.org/officeDocument/2006/relationships/hyperlink" Target="https://doi.org/10.1163/156853711X570038" TargetMode="External"/><Relationship Id="rId3820" Type="http://schemas.openxmlformats.org/officeDocument/2006/relationships/hyperlink" Target="https://doi.org/10.3389/fpsyt.2014.00016" TargetMode="External"/><Relationship Id="rId327" Type="http://schemas.openxmlformats.org/officeDocument/2006/relationships/hyperlink" Target="https://doi.org/10.1093/arclin/acq014" TargetMode="External"/><Relationship Id="rId741" Type="http://schemas.openxmlformats.org/officeDocument/2006/relationships/hyperlink" Target="https://doi.org/10.1097/JCP.0000000000000196" TargetMode="External"/><Relationship Id="rId1371" Type="http://schemas.openxmlformats.org/officeDocument/2006/relationships/hyperlink" Target="https://doi.org/10.1111/j.1556-4029.2010.01364.x" TargetMode="External"/><Relationship Id="rId2008" Type="http://schemas.openxmlformats.org/officeDocument/2006/relationships/hyperlink" Target="https://doi.org/10.1080/15622975.2017.1282173" TargetMode="External"/><Relationship Id="rId2422" Type="http://schemas.openxmlformats.org/officeDocument/2006/relationships/hyperlink" Target="https://doi.org/10.1080/02687030903478330" TargetMode="External"/><Relationship Id="rId5578" Type="http://schemas.openxmlformats.org/officeDocument/2006/relationships/hyperlink" Target="https://doi.org/10.1093/schbul/sbq047" TargetMode="External"/><Relationship Id="rId5992" Type="http://schemas.openxmlformats.org/officeDocument/2006/relationships/hyperlink" Target="https://doi.org/10.1017/S1041610210002152" TargetMode="External"/><Relationship Id="rId1024" Type="http://schemas.openxmlformats.org/officeDocument/2006/relationships/hyperlink" Target="https://doi.org/10.3109/00207454.2011.582239" TargetMode="External"/><Relationship Id="rId4594" Type="http://schemas.openxmlformats.org/officeDocument/2006/relationships/hyperlink" Target="https://doi.org/10.1093/schbul/sbs046" TargetMode="External"/><Relationship Id="rId5645" Type="http://schemas.openxmlformats.org/officeDocument/2006/relationships/hyperlink" Target="https://doi.org/10.1002/hup.2249" TargetMode="External"/><Relationship Id="rId3196" Type="http://schemas.openxmlformats.org/officeDocument/2006/relationships/hyperlink" Target="https://doi.org/10.1016/j.biopsycho.2015.01.001" TargetMode="External"/><Relationship Id="rId4247" Type="http://schemas.openxmlformats.org/officeDocument/2006/relationships/hyperlink" Target="https://doi.org/10.1093/schbul/sbn127" TargetMode="External"/><Relationship Id="rId4661" Type="http://schemas.openxmlformats.org/officeDocument/2006/relationships/hyperlink" Target="https://doi.org/10.1007/s10072-011-0497-4" TargetMode="External"/><Relationship Id="rId3263" Type="http://schemas.openxmlformats.org/officeDocument/2006/relationships/hyperlink" Target="https://doi.org/10.1016/j.schres.2012.11.029" TargetMode="External"/><Relationship Id="rId4314" Type="http://schemas.openxmlformats.org/officeDocument/2006/relationships/hyperlink" Target="https://doi.org/10.1037/0735-7044.120.4.817" TargetMode="External"/><Relationship Id="rId5712" Type="http://schemas.openxmlformats.org/officeDocument/2006/relationships/hyperlink" Target="https://doi.org/10.4135/9789353280765.n3" TargetMode="External"/><Relationship Id="rId184" Type="http://schemas.openxmlformats.org/officeDocument/2006/relationships/hyperlink" Target="https://doi.org/10.3233/NRE-172242" TargetMode="External"/><Relationship Id="rId1908" Type="http://schemas.openxmlformats.org/officeDocument/2006/relationships/hyperlink" Target="https://doi.org/10.4088/JCP.08m04683" TargetMode="External"/><Relationship Id="rId251" Type="http://schemas.openxmlformats.org/officeDocument/2006/relationships/hyperlink" Target="https://doi.org/10.1007/s10072-019-03971-8" TargetMode="External"/><Relationship Id="rId3330" Type="http://schemas.openxmlformats.org/officeDocument/2006/relationships/hyperlink" Target="https://doi.org/10.1016/j.comppsych.2012.12.018" TargetMode="External"/><Relationship Id="rId5088" Type="http://schemas.openxmlformats.org/officeDocument/2006/relationships/hyperlink" Target="https://doi.org/10.1007/s00406-004-0552-8" TargetMode="External"/><Relationship Id="rId6139" Type="http://schemas.openxmlformats.org/officeDocument/2006/relationships/hyperlink" Target="https://doi.org/10.1080/13854040701874386" TargetMode="External"/><Relationship Id="rId6486" Type="http://schemas.openxmlformats.org/officeDocument/2006/relationships/hyperlink" Target="https://doi.org/10.1111/mono.12032" TargetMode="External"/><Relationship Id="rId1698" Type="http://schemas.openxmlformats.org/officeDocument/2006/relationships/hyperlink" Target="https://doi.org/10.1093/brain/122.5.963" TargetMode="External"/><Relationship Id="rId2749" Type="http://schemas.openxmlformats.org/officeDocument/2006/relationships/hyperlink" Target="https://doi.org/10.1016/S0166-4328(97)87583-3" TargetMode="External"/><Relationship Id="rId5155" Type="http://schemas.openxmlformats.org/officeDocument/2006/relationships/hyperlink" Target="https://doi.org/10.1017/CBO9781139016919.005" TargetMode="External"/><Relationship Id="rId6206" Type="http://schemas.openxmlformats.org/officeDocument/2006/relationships/hyperlink" Target="https://doi.org/10.1093/arclin/acr071" TargetMode="External"/><Relationship Id="rId1765" Type="http://schemas.openxmlformats.org/officeDocument/2006/relationships/hyperlink" Target="https://doi.org/10.1093/arclin/acaa005" TargetMode="External"/><Relationship Id="rId4171" Type="http://schemas.openxmlformats.org/officeDocument/2006/relationships/hyperlink" Target="https://doi.org/10.1038/sj.mp.4001878" TargetMode="External"/><Relationship Id="rId5222" Type="http://schemas.openxmlformats.org/officeDocument/2006/relationships/hyperlink" Target="https://doi.org/10.1111/cch.12052" TargetMode="External"/><Relationship Id="rId57" Type="http://schemas.openxmlformats.org/officeDocument/2006/relationships/hyperlink" Target="https://doi.org/10.1007/s40263-014-0146-6" TargetMode="External"/><Relationship Id="rId1418" Type="http://schemas.openxmlformats.org/officeDocument/2006/relationships/hyperlink" Target="https://doi.org/10.1002/ajmg.b.30163" TargetMode="External"/><Relationship Id="rId2816" Type="http://schemas.openxmlformats.org/officeDocument/2006/relationships/hyperlink" Target="https://doi.org/10.1186/1471-2377-10-60" TargetMode="External"/><Relationship Id="rId1832" Type="http://schemas.openxmlformats.org/officeDocument/2006/relationships/hyperlink" Target="https://doi.org/10.1016/j.psychres.2009.08.006" TargetMode="External"/><Relationship Id="rId4988" Type="http://schemas.openxmlformats.org/officeDocument/2006/relationships/hyperlink" Target="https://doi.org/10.1080/13854040600582460" TargetMode="External"/><Relationship Id="rId6063" Type="http://schemas.openxmlformats.org/officeDocument/2006/relationships/hyperlink" Target="https://doi.org/10.1016/0920-9964(94)00018-4" TargetMode="External"/><Relationship Id="rId3657" Type="http://schemas.openxmlformats.org/officeDocument/2006/relationships/hyperlink" Target="https://doi.org/10.1007/s12311-012-0420-4" TargetMode="External"/><Relationship Id="rId4708" Type="http://schemas.openxmlformats.org/officeDocument/2006/relationships/hyperlink" Target="https://doi.org/10.1093/arclin/acx129" TargetMode="External"/><Relationship Id="rId578" Type="http://schemas.openxmlformats.org/officeDocument/2006/relationships/hyperlink" Target="https://doi.org/10.1111/j.1600-0447.2004.00247.x" TargetMode="External"/><Relationship Id="rId992" Type="http://schemas.openxmlformats.org/officeDocument/2006/relationships/hyperlink" Target="https://doi.org/10.1080/87565641.2018.1428326" TargetMode="External"/><Relationship Id="rId2259" Type="http://schemas.openxmlformats.org/officeDocument/2006/relationships/hyperlink" Target="https://doi.org/10.1093/arclin/acs047" TargetMode="External"/><Relationship Id="rId2673" Type="http://schemas.openxmlformats.org/officeDocument/2006/relationships/hyperlink" Target="https://doi.org/10.1080/13854046.2012.740077" TargetMode="External"/><Relationship Id="rId3724" Type="http://schemas.openxmlformats.org/officeDocument/2006/relationships/hyperlink" Target="https://doi.org/10.1111/acps.13131" TargetMode="External"/><Relationship Id="rId6130" Type="http://schemas.openxmlformats.org/officeDocument/2006/relationships/hyperlink" Target="https://doi.org/10.1891/1945-8959.8.1.63" TargetMode="External"/><Relationship Id="rId645" Type="http://schemas.openxmlformats.org/officeDocument/2006/relationships/hyperlink" Target="https://doi.org/10.1111/acps.12133" TargetMode="External"/><Relationship Id="rId1275" Type="http://schemas.openxmlformats.org/officeDocument/2006/relationships/hyperlink" Target="https://doi.org/10.3389/fnagi.2017.00278" TargetMode="External"/><Relationship Id="rId2326" Type="http://schemas.openxmlformats.org/officeDocument/2006/relationships/hyperlink" Target="https://doi.org/10.3109/09540261.2013.763340" TargetMode="External"/><Relationship Id="rId2740" Type="http://schemas.openxmlformats.org/officeDocument/2006/relationships/hyperlink" Target="https://doi.org/10.1007/s10072-014-1992-1" TargetMode="External"/><Relationship Id="rId5896" Type="http://schemas.openxmlformats.org/officeDocument/2006/relationships/hyperlink" Target="https://doi.org/10.1002/cbm.1879" TargetMode="External"/><Relationship Id="rId712" Type="http://schemas.openxmlformats.org/officeDocument/2006/relationships/hyperlink" Target="https://doi.org/10.1016/j.psychres.2011.04.020" TargetMode="External"/><Relationship Id="rId1342" Type="http://schemas.openxmlformats.org/officeDocument/2006/relationships/hyperlink" Target="https://doi.org/10.1590/S0004-282X2012005000012" TargetMode="External"/><Relationship Id="rId4498" Type="http://schemas.openxmlformats.org/officeDocument/2006/relationships/hyperlink" Target="https://doi.org/10.1002/hbm.22036" TargetMode="External"/><Relationship Id="rId5549" Type="http://schemas.openxmlformats.org/officeDocument/2006/relationships/hyperlink" Target="https://doi.org/10.1007/s00426-019-01184-4" TargetMode="External"/><Relationship Id="rId5963" Type="http://schemas.openxmlformats.org/officeDocument/2006/relationships/hyperlink" Target="https://doi.org/10.1002/erv.2233" TargetMode="External"/><Relationship Id="rId3167" Type="http://schemas.openxmlformats.org/officeDocument/2006/relationships/hyperlink" Target="https://doi.org/10.1371/journal.pone.0080353" TargetMode="External"/><Relationship Id="rId4565" Type="http://schemas.openxmlformats.org/officeDocument/2006/relationships/hyperlink" Target="https://doi.org/10.1037/pne0000180" TargetMode="External"/><Relationship Id="rId5616" Type="http://schemas.openxmlformats.org/officeDocument/2006/relationships/hyperlink" Target="https://doi.org/10.1016/j.acn.2008.05.003" TargetMode="External"/><Relationship Id="rId295" Type="http://schemas.openxmlformats.org/officeDocument/2006/relationships/hyperlink" Target="https://doi.org/10.1080/13854041003736778" TargetMode="External"/><Relationship Id="rId3374" Type="http://schemas.openxmlformats.org/officeDocument/2006/relationships/hyperlink" Target="https://doi.org/10.1371/journal.pone.0024103" TargetMode="External"/><Relationship Id="rId3581" Type="http://schemas.openxmlformats.org/officeDocument/2006/relationships/hyperlink" Target="https://doi.org/10.1080/13803395.2010.501327" TargetMode="External"/><Relationship Id="rId4218" Type="http://schemas.openxmlformats.org/officeDocument/2006/relationships/hyperlink" Target="https://doi.org/10.1097/00001756-200212030-00036" TargetMode="External"/><Relationship Id="rId4425" Type="http://schemas.openxmlformats.org/officeDocument/2006/relationships/hyperlink" Target="https://doi.org/10.1016/j.schres.2006.04.019" TargetMode="External"/><Relationship Id="rId4632" Type="http://schemas.openxmlformats.org/officeDocument/2006/relationships/hyperlink" Target="https://doi.org/10.1080/13811118.2016.1171815" TargetMode="External"/><Relationship Id="rId2183" Type="http://schemas.openxmlformats.org/officeDocument/2006/relationships/hyperlink" Target="https://doi.org/10.1111/j.1600-0447.1995.tb09552.x" TargetMode="External"/><Relationship Id="rId2390" Type="http://schemas.openxmlformats.org/officeDocument/2006/relationships/hyperlink" Target="https://doi.org/10.1016/0887-6177(94)90020-5" TargetMode="External"/><Relationship Id="rId3027" Type="http://schemas.openxmlformats.org/officeDocument/2006/relationships/hyperlink" Target="https://doi.org/10.1093/schbul/18.1.85" TargetMode="External"/><Relationship Id="rId3234" Type="http://schemas.openxmlformats.org/officeDocument/2006/relationships/hyperlink" Target="https://doi.org/10.1016/j.psychres.2010.09.018" TargetMode="External"/><Relationship Id="rId3441" Type="http://schemas.openxmlformats.org/officeDocument/2006/relationships/hyperlink" Target="https://doi.org/10.3109/00952990.2014.939752" TargetMode="External"/><Relationship Id="rId155" Type="http://schemas.openxmlformats.org/officeDocument/2006/relationships/hyperlink" Target="https://doi.org/10.1097/00001756-200310270-00019" TargetMode="External"/><Relationship Id="rId362" Type="http://schemas.openxmlformats.org/officeDocument/2006/relationships/hyperlink" Target="https://doi.org/10.1016/j.bandc.2009.08.007" TargetMode="External"/><Relationship Id="rId2043" Type="http://schemas.openxmlformats.org/officeDocument/2006/relationships/hyperlink" Target="https://doi.org/10.1016/j.psychres.2012.06.004" TargetMode="External"/><Relationship Id="rId2250" Type="http://schemas.openxmlformats.org/officeDocument/2006/relationships/hyperlink" Target="https://doi.org/10.1016/j.yebeh.2007.07.005" TargetMode="External"/><Relationship Id="rId3301" Type="http://schemas.openxmlformats.org/officeDocument/2006/relationships/hyperlink" Target="https://doi.org/10.1080/13803391003596439" TargetMode="External"/><Relationship Id="rId5199" Type="http://schemas.openxmlformats.org/officeDocument/2006/relationships/hyperlink" Target="https://doi.org/10.1176/appi.ajp.162.4.758" TargetMode="External"/><Relationship Id="rId6457" Type="http://schemas.openxmlformats.org/officeDocument/2006/relationships/hyperlink" Target="https://doi.org/10.1097/00004714-200204000-00020" TargetMode="External"/><Relationship Id="rId222" Type="http://schemas.openxmlformats.org/officeDocument/2006/relationships/hyperlink" Target="https://doi.org/10.1201/9781439849828-c27" TargetMode="External"/><Relationship Id="rId2110" Type="http://schemas.openxmlformats.org/officeDocument/2006/relationships/hyperlink" Target="https://doi.org/10.1016/0920-9964(94)90024-8" TargetMode="External"/><Relationship Id="rId5059" Type="http://schemas.openxmlformats.org/officeDocument/2006/relationships/hyperlink" Target="https://doi.org/10.1016/j.bandc.2006.09.006" TargetMode="External"/><Relationship Id="rId5266" Type="http://schemas.openxmlformats.org/officeDocument/2006/relationships/hyperlink" Target="https://doi.org/10.1016/j.schres.2011.04.018" TargetMode="External"/><Relationship Id="rId5473" Type="http://schemas.openxmlformats.org/officeDocument/2006/relationships/hyperlink" Target="https://doi.org/10.1177/1087054710370674" TargetMode="External"/><Relationship Id="rId5680" Type="http://schemas.openxmlformats.org/officeDocument/2006/relationships/hyperlink" Target="https://doi.org/10.1111/psyg.12383" TargetMode="External"/><Relationship Id="rId6317" Type="http://schemas.openxmlformats.org/officeDocument/2006/relationships/hyperlink" Target="https://doi.org/10.1016/0006-3223(93)90123-U" TargetMode="External"/><Relationship Id="rId6524" Type="http://schemas.openxmlformats.org/officeDocument/2006/relationships/hyperlink" Target="https://doi.org/10.1590/S1980-57642011DN05040013" TargetMode="External"/><Relationship Id="rId4075" Type="http://schemas.openxmlformats.org/officeDocument/2006/relationships/hyperlink" Target="https://doi.org/10.1093/schbul/sbn078" TargetMode="External"/><Relationship Id="rId4282" Type="http://schemas.openxmlformats.org/officeDocument/2006/relationships/hyperlink" Target="https://doi.org/10.1080/02699052.2016.1199906" TargetMode="External"/><Relationship Id="rId5126" Type="http://schemas.openxmlformats.org/officeDocument/2006/relationships/hyperlink" Target="https://doi.org/10.1016/S0006-3223(98)00051-1" TargetMode="External"/><Relationship Id="rId5333" Type="http://schemas.openxmlformats.org/officeDocument/2006/relationships/hyperlink" Target="https://doi.org/10.1002/erv.2172" TargetMode="External"/><Relationship Id="rId1669" Type="http://schemas.openxmlformats.org/officeDocument/2006/relationships/hyperlink" Target="https://doi.org/10.1007/s12207-017-9309-3" TargetMode="External"/><Relationship Id="rId1876" Type="http://schemas.openxmlformats.org/officeDocument/2006/relationships/hyperlink" Target="https://doi.org/10.1037/a0030928" TargetMode="External"/><Relationship Id="rId2927" Type="http://schemas.openxmlformats.org/officeDocument/2006/relationships/hyperlink" Target="https://doi.org/10.1016/j.neuropsychologia.2017.07.028" TargetMode="External"/><Relationship Id="rId3091" Type="http://schemas.openxmlformats.org/officeDocument/2006/relationships/hyperlink" Target="https://doi.org/10.1093/brain/awt145" TargetMode="External"/><Relationship Id="rId4142" Type="http://schemas.openxmlformats.org/officeDocument/2006/relationships/hyperlink" Target="https://doi.org/10.1016/j.pnpbp.2006.12.001" TargetMode="External"/><Relationship Id="rId5540" Type="http://schemas.openxmlformats.org/officeDocument/2006/relationships/hyperlink" Target="https://doi.org/10.1097/NMD.0b013e3182349cfc" TargetMode="External"/><Relationship Id="rId1529" Type="http://schemas.openxmlformats.org/officeDocument/2006/relationships/hyperlink" Target="https://doi.org/10.1212/WNL.0000000000000583" TargetMode="External"/><Relationship Id="rId1736" Type="http://schemas.openxmlformats.org/officeDocument/2006/relationships/hyperlink" Target="https://doi.org/10.1093/cercor/bhs025" TargetMode="External"/><Relationship Id="rId1943" Type="http://schemas.openxmlformats.org/officeDocument/2006/relationships/hyperlink" Target="https://doi.org/10.1016/B978-0-444-52002-9.00027-9" TargetMode="External"/><Relationship Id="rId5400" Type="http://schemas.openxmlformats.org/officeDocument/2006/relationships/hyperlink" Target="https://doi.org/10.1056/NEJMoa054625" TargetMode="External"/><Relationship Id="rId28" Type="http://schemas.openxmlformats.org/officeDocument/2006/relationships/hyperlink" Target="https://doi.org/10.1016/S1474-4422(10)70323-9" TargetMode="External"/><Relationship Id="rId1803" Type="http://schemas.openxmlformats.org/officeDocument/2006/relationships/hyperlink" Target="https://doi.org/10.1007/s00406-015-0629-6" TargetMode="External"/><Relationship Id="rId4002" Type="http://schemas.openxmlformats.org/officeDocument/2006/relationships/hyperlink" Target="https://doi.org/10.1080/13854046.2012.680912" TargetMode="External"/><Relationship Id="rId4959" Type="http://schemas.openxmlformats.org/officeDocument/2006/relationships/hyperlink" Target="https://doi.org/10.1016/j.parkreldis.2014.07.002" TargetMode="External"/><Relationship Id="rId3768" Type="http://schemas.openxmlformats.org/officeDocument/2006/relationships/hyperlink" Target="https://doi.org/10.3389/fnhum.2013.00502" TargetMode="External"/><Relationship Id="rId3975" Type="http://schemas.openxmlformats.org/officeDocument/2006/relationships/hyperlink" Target="https://doi.org/10.21500/20112084.3239" TargetMode="External"/><Relationship Id="rId4819" Type="http://schemas.openxmlformats.org/officeDocument/2006/relationships/hyperlink" Target="https://doi.org/10.1007/s40519-016-0302-8" TargetMode="External"/><Relationship Id="rId6174" Type="http://schemas.openxmlformats.org/officeDocument/2006/relationships/hyperlink" Target="https://doi.org/10.1177/1362361313499827" TargetMode="External"/><Relationship Id="rId6381" Type="http://schemas.openxmlformats.org/officeDocument/2006/relationships/hyperlink" Target="https://doi.org/10.1007/s00429-015-1134-4" TargetMode="External"/><Relationship Id="rId689" Type="http://schemas.openxmlformats.org/officeDocument/2006/relationships/hyperlink" Target="https://doi.org/10.1017/S003329170900539X" TargetMode="External"/><Relationship Id="rId896" Type="http://schemas.openxmlformats.org/officeDocument/2006/relationships/hyperlink" Target="https://doi.org/10.1093/brain/awq174" TargetMode="External"/><Relationship Id="rId2577" Type="http://schemas.openxmlformats.org/officeDocument/2006/relationships/hyperlink" Target="https://doi.org/10.1016/j.jad.2014.12.059" TargetMode="External"/><Relationship Id="rId2784" Type="http://schemas.openxmlformats.org/officeDocument/2006/relationships/hyperlink" Target="https://doi.org/10.1016/j.clinph.2010.03.013" TargetMode="External"/><Relationship Id="rId3628" Type="http://schemas.openxmlformats.org/officeDocument/2006/relationships/hyperlink" Target="https://doi.org/10.1016/S0006-3223(01)01356-7" TargetMode="External"/><Relationship Id="rId5190" Type="http://schemas.openxmlformats.org/officeDocument/2006/relationships/hyperlink" Target="https://doi.org/10.1017/S1355617718000140" TargetMode="External"/><Relationship Id="rId6034" Type="http://schemas.openxmlformats.org/officeDocument/2006/relationships/hyperlink" Target="https://doi.org/10.1590/1516-4446-2015-1868" TargetMode="External"/><Relationship Id="rId6241" Type="http://schemas.openxmlformats.org/officeDocument/2006/relationships/hyperlink" Target="https://doi.org/10.1080/13803395.2020.1758634" TargetMode="External"/><Relationship Id="rId549" Type="http://schemas.openxmlformats.org/officeDocument/2006/relationships/hyperlink" Target="https://doi.org/10.1016/j.nurx.2005.12.001" TargetMode="External"/><Relationship Id="rId756" Type="http://schemas.openxmlformats.org/officeDocument/2006/relationships/hyperlink" Target="https://doi.org/10.1016/j.neuroimage.2014.08.017" TargetMode="External"/><Relationship Id="rId1179" Type="http://schemas.openxmlformats.org/officeDocument/2006/relationships/hyperlink" Target="https://doi.org/10.1016/j.neuropsychologia.2009.05.020" TargetMode="External"/><Relationship Id="rId1386" Type="http://schemas.openxmlformats.org/officeDocument/2006/relationships/hyperlink" Target="https://doi.org/10.1016/j.psychres.2008.12.017" TargetMode="External"/><Relationship Id="rId1593" Type="http://schemas.openxmlformats.org/officeDocument/2006/relationships/hyperlink" Target="https://doi.org/10.1017/S0033291710001765" TargetMode="External"/><Relationship Id="rId2437" Type="http://schemas.openxmlformats.org/officeDocument/2006/relationships/hyperlink" Target="https://doi.org/10.1016/j.cortex.2015.06.008" TargetMode="External"/><Relationship Id="rId2991" Type="http://schemas.openxmlformats.org/officeDocument/2006/relationships/hyperlink" Target="https://doi.org/10.1176/appi.neuropsych.17.2.180" TargetMode="External"/><Relationship Id="rId3835" Type="http://schemas.openxmlformats.org/officeDocument/2006/relationships/hyperlink" Target="https://doi.org/10.1093/schbul/sbi045" TargetMode="External"/><Relationship Id="rId5050" Type="http://schemas.openxmlformats.org/officeDocument/2006/relationships/hyperlink" Target="https://doi.org/10.1017/S0317167100016619" TargetMode="External"/><Relationship Id="rId6101" Type="http://schemas.openxmlformats.org/officeDocument/2006/relationships/hyperlink" Target="https://doi.org/10.1002/gps.1272" TargetMode="External"/><Relationship Id="rId409" Type="http://schemas.openxmlformats.org/officeDocument/2006/relationships/hyperlink" Target="https://doi.org/10.1016/j.neuropsychologia.2015.04.003" TargetMode="External"/><Relationship Id="rId963" Type="http://schemas.openxmlformats.org/officeDocument/2006/relationships/hyperlink" Target="https://doi.org/10.1016/j.schres.2014.06.009" TargetMode="External"/><Relationship Id="rId1039" Type="http://schemas.openxmlformats.org/officeDocument/2006/relationships/hyperlink" Target="https://doi.org/10.1080/09602010701643472" TargetMode="External"/><Relationship Id="rId1246" Type="http://schemas.openxmlformats.org/officeDocument/2006/relationships/hyperlink" Target="https://doi.org/10.1176/ajp.153.2.270" TargetMode="External"/><Relationship Id="rId2644" Type="http://schemas.openxmlformats.org/officeDocument/2006/relationships/hyperlink" Target="https://doi.org/10.3109/02699052.2012.660091" TargetMode="External"/><Relationship Id="rId2851" Type="http://schemas.openxmlformats.org/officeDocument/2006/relationships/hyperlink" Target="https://doi.org/10.1080/21622965.2012.731662" TargetMode="External"/><Relationship Id="rId3902" Type="http://schemas.openxmlformats.org/officeDocument/2006/relationships/hyperlink" Target="https://doi.org/10.1177/1087054714554933" TargetMode="External"/><Relationship Id="rId92" Type="http://schemas.openxmlformats.org/officeDocument/2006/relationships/hyperlink" Target="https://doi.org/10.1037/a0024408" TargetMode="External"/><Relationship Id="rId616" Type="http://schemas.openxmlformats.org/officeDocument/2006/relationships/hyperlink" Target="https://doi.org/10.1007/s00406-006-0681-3" TargetMode="External"/><Relationship Id="rId823" Type="http://schemas.openxmlformats.org/officeDocument/2006/relationships/hyperlink" Target="https://doi.org/10.1017/S2045796014000171" TargetMode="External"/><Relationship Id="rId1453" Type="http://schemas.openxmlformats.org/officeDocument/2006/relationships/hyperlink" Target="https://doi.org/10.1080/24750573.2019.1589176" TargetMode="External"/><Relationship Id="rId1660" Type="http://schemas.openxmlformats.org/officeDocument/2006/relationships/hyperlink" Target="https://doi.org/10.1016/j.neuropsychologia.2011.09.038" TargetMode="External"/><Relationship Id="rId2504" Type="http://schemas.openxmlformats.org/officeDocument/2006/relationships/hyperlink" Target="https://doi.org/10.1590/S1516-44462009000400011" TargetMode="External"/><Relationship Id="rId2711" Type="http://schemas.openxmlformats.org/officeDocument/2006/relationships/hyperlink" Target="https://doi.org/10.1027/1614-0001/a000350" TargetMode="External"/><Relationship Id="rId5867" Type="http://schemas.openxmlformats.org/officeDocument/2006/relationships/hyperlink" Target="https://doi.org/10.5604/01.3001.0012.8119" TargetMode="External"/><Relationship Id="rId1106" Type="http://schemas.openxmlformats.org/officeDocument/2006/relationships/hyperlink" Target="https://doi.org/10.1016/j.neuropsychologia.2004.11.023" TargetMode="External"/><Relationship Id="rId1313" Type="http://schemas.openxmlformats.org/officeDocument/2006/relationships/hyperlink" Target="https://doi.org/10.1016/j.schres.2016.01.044" TargetMode="External"/><Relationship Id="rId1520" Type="http://schemas.openxmlformats.org/officeDocument/2006/relationships/hyperlink" Target="https://doi.org/10.1016/j.pscychresns.2013.09.006" TargetMode="External"/><Relationship Id="rId4469" Type="http://schemas.openxmlformats.org/officeDocument/2006/relationships/hyperlink" Target="https://doi.org/10.1016/S0920-9964(98)00061-9" TargetMode="External"/><Relationship Id="rId4676" Type="http://schemas.openxmlformats.org/officeDocument/2006/relationships/hyperlink" Target="https://doi.org/10.1037/0021-843X.114.1.38" TargetMode="External"/><Relationship Id="rId4883" Type="http://schemas.openxmlformats.org/officeDocument/2006/relationships/hyperlink" Target="https://doi.org/10.1080/02643294.2017.1320278" TargetMode="External"/><Relationship Id="rId5727" Type="http://schemas.openxmlformats.org/officeDocument/2006/relationships/hyperlink" Target="https://doi.org/10.12740/APP/62157" TargetMode="External"/><Relationship Id="rId5934" Type="http://schemas.openxmlformats.org/officeDocument/2006/relationships/hyperlink" Target="https://doi.org/10.1080/13803395.2012.753036" TargetMode="External"/><Relationship Id="rId3278" Type="http://schemas.openxmlformats.org/officeDocument/2006/relationships/hyperlink" Target="https://doi.org/10.1016/S0920-9964(02)00327-4" TargetMode="External"/><Relationship Id="rId3485" Type="http://schemas.openxmlformats.org/officeDocument/2006/relationships/hyperlink" Target="https://doi.org/10.1016/j.drugalcdep.2017.06.035" TargetMode="External"/><Relationship Id="rId3692" Type="http://schemas.openxmlformats.org/officeDocument/2006/relationships/hyperlink" Target="https://doi.org/10.1177/0739986305274911" TargetMode="External"/><Relationship Id="rId4329" Type="http://schemas.openxmlformats.org/officeDocument/2006/relationships/hyperlink" Target="https://doi.org/10.1097/CHI.0b013e3181640828" TargetMode="External"/><Relationship Id="rId4536" Type="http://schemas.openxmlformats.org/officeDocument/2006/relationships/hyperlink" Target="https://doi.org/10.1176/appi.neuropsych.21.3.352-a" TargetMode="External"/><Relationship Id="rId4743" Type="http://schemas.openxmlformats.org/officeDocument/2006/relationships/hyperlink" Target="https://doi.org/10.1111/bjdp.12002" TargetMode="External"/><Relationship Id="rId4950" Type="http://schemas.openxmlformats.org/officeDocument/2006/relationships/hyperlink" Target="https://doi.org/10.1176/appi.neuropsych.16050088" TargetMode="External"/><Relationship Id="rId199" Type="http://schemas.openxmlformats.org/officeDocument/2006/relationships/hyperlink" Target="https://doi.org/10.1080/15381501.2016.1228309" TargetMode="External"/><Relationship Id="rId2087" Type="http://schemas.openxmlformats.org/officeDocument/2006/relationships/hyperlink" Target="https://doi.org/10.3109/15622975.2012.750014" TargetMode="External"/><Relationship Id="rId2294" Type="http://schemas.openxmlformats.org/officeDocument/2006/relationships/hyperlink" Target="https://doi.org/10.1093/scan/nsv078" TargetMode="External"/><Relationship Id="rId3138" Type="http://schemas.openxmlformats.org/officeDocument/2006/relationships/hyperlink" Target="https://doi.org/10.1111/j.1440-1819.2007.01735.x" TargetMode="External"/><Relationship Id="rId3345" Type="http://schemas.openxmlformats.org/officeDocument/2006/relationships/hyperlink" Target="https://doi.org/10.1016/j.schres.2017.04.008" TargetMode="External"/><Relationship Id="rId3552" Type="http://schemas.openxmlformats.org/officeDocument/2006/relationships/hyperlink" Target="https://doi.org/10.1016/j.addbeh.2012.03.028" TargetMode="External"/><Relationship Id="rId4603" Type="http://schemas.openxmlformats.org/officeDocument/2006/relationships/hyperlink" Target="https://doi.org/10.1002/hbm.22800" TargetMode="External"/><Relationship Id="rId266" Type="http://schemas.openxmlformats.org/officeDocument/2006/relationships/hyperlink" Target="https://doi.org/10.1016/j.neuropsychologia.2017.02.012" TargetMode="External"/><Relationship Id="rId473" Type="http://schemas.openxmlformats.org/officeDocument/2006/relationships/hyperlink" Target="https://doi.org/10.1016/j.neuropsychologia.2015.12.015" TargetMode="External"/><Relationship Id="rId680" Type="http://schemas.openxmlformats.org/officeDocument/2006/relationships/hyperlink" Target="https://doi.org/10.1080/13803390500507196" TargetMode="External"/><Relationship Id="rId2154" Type="http://schemas.openxmlformats.org/officeDocument/2006/relationships/hyperlink" Target="https://doi.org/10.1016/S0010-9452(08)70159-X" TargetMode="External"/><Relationship Id="rId2361" Type="http://schemas.openxmlformats.org/officeDocument/2006/relationships/hyperlink" Target="https://doi.org/10.1080/13803390802251386" TargetMode="External"/><Relationship Id="rId3205" Type="http://schemas.openxmlformats.org/officeDocument/2006/relationships/hyperlink" Target="https://doi.org/10.1080/15228930903550624" TargetMode="External"/><Relationship Id="rId3412" Type="http://schemas.openxmlformats.org/officeDocument/2006/relationships/hyperlink" Target="https://doi.org/10.1111/j.1468-1331.2008.02069.x" TargetMode="External"/><Relationship Id="rId4810" Type="http://schemas.openxmlformats.org/officeDocument/2006/relationships/hyperlink" Target="https://doi.org/10.1007/s10072-005-0469-7" TargetMode="External"/><Relationship Id="rId126" Type="http://schemas.openxmlformats.org/officeDocument/2006/relationships/hyperlink" Target="https://doi.org/10.1016/j.psychres.2011.12.044" TargetMode="External"/><Relationship Id="rId333" Type="http://schemas.openxmlformats.org/officeDocument/2006/relationships/hyperlink" Target="https://doi.org/10.1016/j.adolescence.2019.02.011" TargetMode="External"/><Relationship Id="rId540" Type="http://schemas.openxmlformats.org/officeDocument/2006/relationships/hyperlink" Target="https://doi.org/10.1002/pmh.63" TargetMode="External"/><Relationship Id="rId1170" Type="http://schemas.openxmlformats.org/officeDocument/2006/relationships/hyperlink" Target="https://doi.org/10.1016/j.biopsych.2011.03.028" TargetMode="External"/><Relationship Id="rId2014" Type="http://schemas.openxmlformats.org/officeDocument/2006/relationships/hyperlink" Target="https://doi.org/10.3109/02699052.2010.487477" TargetMode="External"/><Relationship Id="rId2221" Type="http://schemas.openxmlformats.org/officeDocument/2006/relationships/hyperlink" Target="https://doi.org/10.1016/j.appdev.2006.08.005" TargetMode="External"/><Relationship Id="rId5377" Type="http://schemas.openxmlformats.org/officeDocument/2006/relationships/hyperlink" Target="https://doi.org/10.1016/j.archger.2007.01.052" TargetMode="External"/><Relationship Id="rId6428" Type="http://schemas.openxmlformats.org/officeDocument/2006/relationships/hyperlink" Target="https://doi.org/10.5455/bcp.20121130090251" TargetMode="External"/><Relationship Id="rId1030" Type="http://schemas.openxmlformats.org/officeDocument/2006/relationships/hyperlink" Target="https://doi.org/10.3389/fpsyt.2017.00166" TargetMode="External"/><Relationship Id="rId4186" Type="http://schemas.openxmlformats.org/officeDocument/2006/relationships/hyperlink" Target="https://doi.org/10.1016/j.psychres.2013.12.009" TargetMode="External"/><Relationship Id="rId5584" Type="http://schemas.openxmlformats.org/officeDocument/2006/relationships/hyperlink" Target="https://doi.org/10.1080/13854046.2011.628339" TargetMode="External"/><Relationship Id="rId5791" Type="http://schemas.openxmlformats.org/officeDocument/2006/relationships/hyperlink" Target="https://doi.org/10.1093/arclin/acs058" TargetMode="External"/><Relationship Id="rId400" Type="http://schemas.openxmlformats.org/officeDocument/2006/relationships/hyperlink" Target="https://doi.org/10.3389/fpsyt.2014.00196" TargetMode="External"/><Relationship Id="rId1987" Type="http://schemas.openxmlformats.org/officeDocument/2006/relationships/hyperlink" Target="https://doi.org/10.1002/hbm.22104" TargetMode="External"/><Relationship Id="rId4393" Type="http://schemas.openxmlformats.org/officeDocument/2006/relationships/hyperlink" Target="https://doi.org/10.1093/schbul/sbl013" TargetMode="External"/><Relationship Id="rId5237" Type="http://schemas.openxmlformats.org/officeDocument/2006/relationships/hyperlink" Target="https://doi.org/10.1097/WNR.0b013e3283108bd8" TargetMode="External"/><Relationship Id="rId5444" Type="http://schemas.openxmlformats.org/officeDocument/2006/relationships/hyperlink" Target="https://doi.org/10.1111/j.1755-5949.2011.00262.x" TargetMode="External"/><Relationship Id="rId5651" Type="http://schemas.openxmlformats.org/officeDocument/2006/relationships/hyperlink" Target="https://doi.org/10.1207/S15326934CRJ1504_9" TargetMode="External"/><Relationship Id="rId1847" Type="http://schemas.openxmlformats.org/officeDocument/2006/relationships/hyperlink" Target="https://doi.org/10.1212/WNL.0000000000000943" TargetMode="External"/><Relationship Id="rId4046" Type="http://schemas.openxmlformats.org/officeDocument/2006/relationships/hyperlink" Target="https://doi.org/10.1044/1092-4388(2012/12-0147)" TargetMode="External"/><Relationship Id="rId4253" Type="http://schemas.openxmlformats.org/officeDocument/2006/relationships/hyperlink" Target="https://doi.org/10.1016/j.jad.2014.04.051" TargetMode="External"/><Relationship Id="rId4460" Type="http://schemas.openxmlformats.org/officeDocument/2006/relationships/hyperlink" Target="https://doi.org/10.1037/a0017433" TargetMode="External"/><Relationship Id="rId5304" Type="http://schemas.openxmlformats.org/officeDocument/2006/relationships/hyperlink" Target="https://doi.org/10.1016/j.biopsych.2005.09.019" TargetMode="External"/><Relationship Id="rId5511" Type="http://schemas.openxmlformats.org/officeDocument/2006/relationships/hyperlink" Target="https://doi.org/10.1007/s11055-007-0143-z" TargetMode="External"/><Relationship Id="rId1707" Type="http://schemas.openxmlformats.org/officeDocument/2006/relationships/hyperlink" Target="https://doi.org/10.1093/oxfordhb/9780195394313.013.0005" TargetMode="External"/><Relationship Id="rId3062" Type="http://schemas.openxmlformats.org/officeDocument/2006/relationships/hyperlink" Target="https://doi.org/10.1016/j.yebeh.2007.04.016" TargetMode="External"/><Relationship Id="rId4113" Type="http://schemas.openxmlformats.org/officeDocument/2006/relationships/hyperlink" Target="https://doi.org/10.1016/j.jad.2008.01.027" TargetMode="External"/><Relationship Id="rId4320" Type="http://schemas.openxmlformats.org/officeDocument/2006/relationships/hyperlink" Target="https://doi.org/10.1080/13803390802206406" TargetMode="External"/><Relationship Id="rId190" Type="http://schemas.openxmlformats.org/officeDocument/2006/relationships/hyperlink" Target="https://doi.org/10.1016/S0887-6177(98)00159-0" TargetMode="External"/><Relationship Id="rId1914" Type="http://schemas.openxmlformats.org/officeDocument/2006/relationships/hyperlink" Target="https://doi.org/10.1177/1087054712457038" TargetMode="External"/><Relationship Id="rId6078" Type="http://schemas.openxmlformats.org/officeDocument/2006/relationships/hyperlink" Target="https://doi.org/10.1016/S1474-4422(09)70151-6" TargetMode="External"/><Relationship Id="rId6285" Type="http://schemas.openxmlformats.org/officeDocument/2006/relationships/hyperlink" Target="https://doi.org/10.7205/MILMED-D-11-00168" TargetMode="External"/><Relationship Id="rId6492" Type="http://schemas.openxmlformats.org/officeDocument/2006/relationships/hyperlink" Target="https://doi.org/10.1016/j.schres.2015.10.012" TargetMode="External"/><Relationship Id="rId3879" Type="http://schemas.openxmlformats.org/officeDocument/2006/relationships/hyperlink" Target="https://doi.org/10.1093/schbul/sbt235" TargetMode="External"/><Relationship Id="rId5094" Type="http://schemas.openxmlformats.org/officeDocument/2006/relationships/hyperlink" Target="https://doi.org/10.1159/000029153" TargetMode="External"/><Relationship Id="rId6145" Type="http://schemas.openxmlformats.org/officeDocument/2006/relationships/hyperlink" Target="https://doi.org/10.1093/sleep/27.3.434" TargetMode="External"/><Relationship Id="rId6352" Type="http://schemas.openxmlformats.org/officeDocument/2006/relationships/hyperlink" Target="https://doi.org/10.1016/j.jpsychires.2010.10.006" TargetMode="External"/><Relationship Id="rId2688" Type="http://schemas.openxmlformats.org/officeDocument/2006/relationships/hyperlink" Target="https://doi.org/10.1093/schbul/sbj038" TargetMode="External"/><Relationship Id="rId2895" Type="http://schemas.openxmlformats.org/officeDocument/2006/relationships/hyperlink" Target="https://doi.org/10.1017/S0033291713002171" TargetMode="External"/><Relationship Id="rId3739" Type="http://schemas.openxmlformats.org/officeDocument/2006/relationships/hyperlink" Target="https://doi.org/10.1016/j.sleep.2007.03.014" TargetMode="External"/><Relationship Id="rId3946" Type="http://schemas.openxmlformats.org/officeDocument/2006/relationships/hyperlink" Target="https://doi.org/10.1016/j.janxdis.2012.12.001" TargetMode="External"/><Relationship Id="rId5161" Type="http://schemas.openxmlformats.org/officeDocument/2006/relationships/hyperlink" Target="https://doi.org/10.1002/ana.20630" TargetMode="External"/><Relationship Id="rId6005" Type="http://schemas.openxmlformats.org/officeDocument/2006/relationships/hyperlink" Target="https://doi.org/10.1097/JNN.0b013e31823ae48b" TargetMode="External"/><Relationship Id="rId867" Type="http://schemas.openxmlformats.org/officeDocument/2006/relationships/hyperlink" Target="https://doi.org/10.1016/j.neuropsychologia.2015.09.033" TargetMode="External"/><Relationship Id="rId1497" Type="http://schemas.openxmlformats.org/officeDocument/2006/relationships/hyperlink" Target="https://doi.org/10.1016/j.jns.2016.10.031" TargetMode="External"/><Relationship Id="rId2548" Type="http://schemas.openxmlformats.org/officeDocument/2006/relationships/hyperlink" Target="https://doi.org/10.1002/9780470978672.ch3" TargetMode="External"/><Relationship Id="rId2755" Type="http://schemas.openxmlformats.org/officeDocument/2006/relationships/hyperlink" Target="https://doi.org/10.1002/da.22375" TargetMode="External"/><Relationship Id="rId2962" Type="http://schemas.openxmlformats.org/officeDocument/2006/relationships/hyperlink" Target="https://doi.org/10.9758/cpn.2015.13.3.288" TargetMode="External"/><Relationship Id="rId3806" Type="http://schemas.openxmlformats.org/officeDocument/2006/relationships/hyperlink" Target="https://doi.org/10.1016/j.neuropsychologia.2012.11.004" TargetMode="External"/><Relationship Id="rId6212" Type="http://schemas.openxmlformats.org/officeDocument/2006/relationships/hyperlink" Target="https://doi.org/10.3233/JAD-180351" TargetMode="External"/><Relationship Id="rId727" Type="http://schemas.openxmlformats.org/officeDocument/2006/relationships/hyperlink" Target="https://doi.org/10.1016/j.schres.2004.11.006" TargetMode="External"/><Relationship Id="rId934" Type="http://schemas.openxmlformats.org/officeDocument/2006/relationships/hyperlink" Target="https://doi.org/10.1176/appi.neuropsych.18.1.33" TargetMode="External"/><Relationship Id="rId1357" Type="http://schemas.openxmlformats.org/officeDocument/2006/relationships/hyperlink" Target="https://doi.org/10.1093/her/cyv102" TargetMode="External"/><Relationship Id="rId1564" Type="http://schemas.openxmlformats.org/officeDocument/2006/relationships/hyperlink" Target="https://doi.org/10.1080/13803390903512660" TargetMode="External"/><Relationship Id="rId1771" Type="http://schemas.openxmlformats.org/officeDocument/2006/relationships/hyperlink" Target="https://doi.org/10.1076/clin.13.3.303.1744" TargetMode="External"/><Relationship Id="rId2408" Type="http://schemas.openxmlformats.org/officeDocument/2006/relationships/hyperlink" Target="https://doi.org/10.1017/CBO9781139003872.002" TargetMode="External"/><Relationship Id="rId2615" Type="http://schemas.openxmlformats.org/officeDocument/2006/relationships/hyperlink" Target="https://doi.org/10.1111/j.1469-8986.2006.00403.x" TargetMode="External"/><Relationship Id="rId2822" Type="http://schemas.openxmlformats.org/officeDocument/2006/relationships/hyperlink" Target="https://doi.org/10.1590/1516-4446-2014-1558" TargetMode="External"/><Relationship Id="rId5021" Type="http://schemas.openxmlformats.org/officeDocument/2006/relationships/hyperlink" Target="https://doi.org/10.1016/j.schres.2012.03.005" TargetMode="External"/><Relationship Id="rId5978" Type="http://schemas.openxmlformats.org/officeDocument/2006/relationships/hyperlink" Target="https://doi.org/10.1016/j.bandc.2011.12.008" TargetMode="External"/><Relationship Id="rId63" Type="http://schemas.openxmlformats.org/officeDocument/2006/relationships/hyperlink" Target="https://doi.org/10.1016/j.pscychresns.2010.07.003" TargetMode="External"/><Relationship Id="rId1217" Type="http://schemas.openxmlformats.org/officeDocument/2006/relationships/hyperlink" Target="https://doi.org/10.1080/13803395.2018.1504893" TargetMode="External"/><Relationship Id="rId1424" Type="http://schemas.openxmlformats.org/officeDocument/2006/relationships/hyperlink" Target="https://doi.org/10.1080/13854046.2010.528452" TargetMode="External"/><Relationship Id="rId1631" Type="http://schemas.openxmlformats.org/officeDocument/2006/relationships/hyperlink" Target="https://doi.org/10.1016/j.acn.2006.05.011" TargetMode="External"/><Relationship Id="rId4787" Type="http://schemas.openxmlformats.org/officeDocument/2006/relationships/hyperlink" Target="https://doi.org/10.1016/j.acn.2006.05.010" TargetMode="External"/><Relationship Id="rId4994" Type="http://schemas.openxmlformats.org/officeDocument/2006/relationships/hyperlink" Target="https://doi.org/10.2174/1567205013666160415154701" TargetMode="External"/><Relationship Id="rId5838" Type="http://schemas.openxmlformats.org/officeDocument/2006/relationships/hyperlink" Target="https://doi.org/10.1080/13803390600701376" TargetMode="External"/><Relationship Id="rId3389" Type="http://schemas.openxmlformats.org/officeDocument/2006/relationships/hyperlink" Target="https://doi.org/10.1097/WAD.0000000000000251" TargetMode="External"/><Relationship Id="rId3596" Type="http://schemas.openxmlformats.org/officeDocument/2006/relationships/hyperlink" Target="https://doi.org/10.1017/S1355617715001174" TargetMode="External"/><Relationship Id="rId4647" Type="http://schemas.openxmlformats.org/officeDocument/2006/relationships/hyperlink" Target="https://doi.org/10.1080/13825580490511116" TargetMode="External"/><Relationship Id="rId2198" Type="http://schemas.openxmlformats.org/officeDocument/2006/relationships/hyperlink" Target="https://doi.org/10.1016/j.bandc.2010.10.003" TargetMode="External"/><Relationship Id="rId3249" Type="http://schemas.openxmlformats.org/officeDocument/2006/relationships/hyperlink" Target="https://doi.org/10.1037/0090-5550.49.2.167" TargetMode="External"/><Relationship Id="rId3456" Type="http://schemas.openxmlformats.org/officeDocument/2006/relationships/hyperlink" Target="https://doi.org/10.1081/13803390490918426" TargetMode="External"/><Relationship Id="rId4854" Type="http://schemas.openxmlformats.org/officeDocument/2006/relationships/hyperlink" Target="https://doi.org/10.1080/13803395.2014.909386" TargetMode="External"/><Relationship Id="rId5905" Type="http://schemas.openxmlformats.org/officeDocument/2006/relationships/hyperlink" Target="https://doi.org/10.1017/S1355617710001104" TargetMode="External"/><Relationship Id="rId377" Type="http://schemas.openxmlformats.org/officeDocument/2006/relationships/hyperlink" Target="https://doi.org/10.1017/S0012162203001440" TargetMode="External"/><Relationship Id="rId584" Type="http://schemas.openxmlformats.org/officeDocument/2006/relationships/hyperlink" Target="https://doi.org/10.1002/ajmg.b.30710" TargetMode="External"/><Relationship Id="rId2058" Type="http://schemas.openxmlformats.org/officeDocument/2006/relationships/hyperlink" Target="https://doi.org/10.1080/13218719.2012.727074" TargetMode="External"/><Relationship Id="rId2265" Type="http://schemas.openxmlformats.org/officeDocument/2006/relationships/hyperlink" Target="https://doi.org/10.1016/j.pnpbp.2013.06.009" TargetMode="External"/><Relationship Id="rId3109" Type="http://schemas.openxmlformats.org/officeDocument/2006/relationships/hyperlink" Target="https://doi.org/10.3109/02699052.2011.597045" TargetMode="External"/><Relationship Id="rId3663" Type="http://schemas.openxmlformats.org/officeDocument/2006/relationships/hyperlink" Target="https://doi.org/10.1007/s10072-003-0121-3" TargetMode="External"/><Relationship Id="rId3870" Type="http://schemas.openxmlformats.org/officeDocument/2006/relationships/hyperlink" Target="https://doi.org/10.1002/hbm.20692" TargetMode="External"/><Relationship Id="rId4507" Type="http://schemas.openxmlformats.org/officeDocument/2006/relationships/hyperlink" Target="https://doi.org/10.1016/j.bandc.2006.02.007" TargetMode="External"/><Relationship Id="rId4714" Type="http://schemas.openxmlformats.org/officeDocument/2006/relationships/hyperlink" Target="https://doi.org/10.1097/00001199-200002000-00010" TargetMode="External"/><Relationship Id="rId4921" Type="http://schemas.openxmlformats.org/officeDocument/2006/relationships/hyperlink" Target="https://doi.org/10.1093/arclin/acz016" TargetMode="External"/><Relationship Id="rId237" Type="http://schemas.openxmlformats.org/officeDocument/2006/relationships/hyperlink" Target="https://doi.org/10.1023/B:JACP.0000026143.70832.4b" TargetMode="External"/><Relationship Id="rId791" Type="http://schemas.openxmlformats.org/officeDocument/2006/relationships/hyperlink" Target="https://doi.org/10.1002/hbm.21311" TargetMode="External"/><Relationship Id="rId1074" Type="http://schemas.openxmlformats.org/officeDocument/2006/relationships/hyperlink" Target="https://doi.org/10.1177/1087054712438135" TargetMode="External"/><Relationship Id="rId2472" Type="http://schemas.openxmlformats.org/officeDocument/2006/relationships/hyperlink" Target="https://doi.org/10.1017/S1355617708080570" TargetMode="External"/><Relationship Id="rId3316" Type="http://schemas.openxmlformats.org/officeDocument/2006/relationships/hyperlink" Target="https://doi.org/10.1080/13803390601186684" TargetMode="External"/><Relationship Id="rId3523" Type="http://schemas.openxmlformats.org/officeDocument/2006/relationships/hyperlink" Target="https://doi.org/10.1016/j.schres.2004.01.007" TargetMode="External"/><Relationship Id="rId3730" Type="http://schemas.openxmlformats.org/officeDocument/2006/relationships/hyperlink" Target="https://doi.org/10.1017/sjp.2017.54" TargetMode="External"/><Relationship Id="rId444" Type="http://schemas.openxmlformats.org/officeDocument/2006/relationships/hyperlink" Target="https://doi.org/10.1111/j.1468-1331.2005.01063.x" TargetMode="External"/><Relationship Id="rId651" Type="http://schemas.openxmlformats.org/officeDocument/2006/relationships/hyperlink" Target="https://doi.org/10.1111/bdi.12654" TargetMode="External"/><Relationship Id="rId1281" Type="http://schemas.openxmlformats.org/officeDocument/2006/relationships/hyperlink" Target="https://doi.org/10.1016/j.psyneuen.2008.10.015" TargetMode="External"/><Relationship Id="rId2125" Type="http://schemas.openxmlformats.org/officeDocument/2006/relationships/hyperlink" Target="https://doi.org/10.1162/089892904322755575" TargetMode="External"/><Relationship Id="rId2332" Type="http://schemas.openxmlformats.org/officeDocument/2006/relationships/hyperlink" Target="https://doi.org/10.1080/02687038.2013.775564" TargetMode="External"/><Relationship Id="rId5488" Type="http://schemas.openxmlformats.org/officeDocument/2006/relationships/hyperlink" Target="https://doi.org/10.1080/17470911003687905" TargetMode="External"/><Relationship Id="rId5695" Type="http://schemas.openxmlformats.org/officeDocument/2006/relationships/hyperlink" Target="https://doi.org/10.1016/j.neuroimage.2011.06.051" TargetMode="External"/><Relationship Id="rId6539" Type="http://schemas.openxmlformats.org/officeDocument/2006/relationships/hyperlink" Target="https://doi.org/10.1002/9781119941125" TargetMode="External"/><Relationship Id="rId304" Type="http://schemas.openxmlformats.org/officeDocument/2006/relationships/hyperlink" Target="https://doi.org/10.1016/j.schres.2013.08.015" TargetMode="External"/><Relationship Id="rId511" Type="http://schemas.openxmlformats.org/officeDocument/2006/relationships/hyperlink" Target="https://doi.org/10.1016/j.schres.2005.12.856" TargetMode="External"/><Relationship Id="rId1141" Type="http://schemas.openxmlformats.org/officeDocument/2006/relationships/hyperlink" Target="https://doi.org/10.1080/17470218.2012.758157" TargetMode="External"/><Relationship Id="rId4297" Type="http://schemas.openxmlformats.org/officeDocument/2006/relationships/hyperlink" Target="https://doi.org/10.1016/j.jad.2007.04.005" TargetMode="External"/><Relationship Id="rId5348" Type="http://schemas.openxmlformats.org/officeDocument/2006/relationships/hyperlink" Target="https://doi.org/10.1097/WNN.0000000000000076" TargetMode="External"/><Relationship Id="rId5555" Type="http://schemas.openxmlformats.org/officeDocument/2006/relationships/hyperlink" Target="https://doi.org/10.1159/000093262" TargetMode="External"/><Relationship Id="rId5762" Type="http://schemas.openxmlformats.org/officeDocument/2006/relationships/hyperlink" Target="https://doi.org/10.1186/1129-2377-14-89" TargetMode="External"/><Relationship Id="rId1001" Type="http://schemas.openxmlformats.org/officeDocument/2006/relationships/hyperlink" Target="https://doi.org/10.1002/9781444327298.ch5" TargetMode="External"/><Relationship Id="rId4157" Type="http://schemas.openxmlformats.org/officeDocument/2006/relationships/hyperlink" Target="https://doi.org/10.1016/j.neuroimage.2010.12.038" TargetMode="External"/><Relationship Id="rId4364" Type="http://schemas.openxmlformats.org/officeDocument/2006/relationships/hyperlink" Target="https://doi.org/10.1016/S0006-3223(98)00057-2" TargetMode="External"/><Relationship Id="rId4571" Type="http://schemas.openxmlformats.org/officeDocument/2006/relationships/hyperlink" Target="https://doi.org/10.1016/j.jpsychires.2012.02.004" TargetMode="External"/><Relationship Id="rId5208" Type="http://schemas.openxmlformats.org/officeDocument/2006/relationships/hyperlink" Target="https://doi.org/10.1017/BrImp.2013.24" TargetMode="External"/><Relationship Id="rId5415" Type="http://schemas.openxmlformats.org/officeDocument/2006/relationships/hyperlink" Target="https://doi.org/10.1097/01.wnn.0000213909.41901.cc" TargetMode="External"/><Relationship Id="rId5622" Type="http://schemas.openxmlformats.org/officeDocument/2006/relationships/hyperlink" Target="https://doi.org/10.1111/j.1744-6155.2012.00337.x" TargetMode="External"/><Relationship Id="rId1958" Type="http://schemas.openxmlformats.org/officeDocument/2006/relationships/hyperlink" Target="https://doi.org/10.1017/S1355617712001373" TargetMode="External"/><Relationship Id="rId3173" Type="http://schemas.openxmlformats.org/officeDocument/2006/relationships/hyperlink" Target="https://doi.org/10.1111/jgs.12541" TargetMode="External"/><Relationship Id="rId3380" Type="http://schemas.openxmlformats.org/officeDocument/2006/relationships/hyperlink" Target="https://doi.org/10.1176/appi.neuropsych.16090171" TargetMode="External"/><Relationship Id="rId4017" Type="http://schemas.openxmlformats.org/officeDocument/2006/relationships/hyperlink" Target="https://doi.org/10.1016/j.schres.2006.01.024" TargetMode="External"/><Relationship Id="rId4224" Type="http://schemas.openxmlformats.org/officeDocument/2006/relationships/hyperlink" Target="https://doi.org/10.1007/s12671-018-1046-5" TargetMode="External"/><Relationship Id="rId4431" Type="http://schemas.openxmlformats.org/officeDocument/2006/relationships/hyperlink" Target="https://doi.org/10.1080/02687038.2014.986632" TargetMode="External"/><Relationship Id="rId1818" Type="http://schemas.openxmlformats.org/officeDocument/2006/relationships/hyperlink" Target="https://doi.org/10.1007/s11065-005-6254-9" TargetMode="External"/><Relationship Id="rId3033" Type="http://schemas.openxmlformats.org/officeDocument/2006/relationships/hyperlink" Target="https://doi.org/10.1073/pnas.0500585102" TargetMode="External"/><Relationship Id="rId3240" Type="http://schemas.openxmlformats.org/officeDocument/2006/relationships/hyperlink" Target="https://doi.org/10.1044/2014_AJSLP-13-0095" TargetMode="External"/><Relationship Id="rId6189" Type="http://schemas.openxmlformats.org/officeDocument/2006/relationships/hyperlink" Target="https://doi.org/10.1016/j.jcomdis.2019.105971" TargetMode="External"/><Relationship Id="rId6396" Type="http://schemas.openxmlformats.org/officeDocument/2006/relationships/hyperlink" Target="https://doi.org/10.1016/j.pscychresns.2014.12.002" TargetMode="External"/><Relationship Id="rId161" Type="http://schemas.openxmlformats.org/officeDocument/2006/relationships/hyperlink" Target="https://doi.org/10.1007/s10803-006-0308-6" TargetMode="External"/><Relationship Id="rId6049" Type="http://schemas.openxmlformats.org/officeDocument/2006/relationships/hyperlink" Target="https://doi.org/10.1093/cercor/bhl013" TargetMode="External"/><Relationship Id="rId2799" Type="http://schemas.openxmlformats.org/officeDocument/2006/relationships/hyperlink" Target="https://doi.org/10.12740/APP/17268" TargetMode="External"/><Relationship Id="rId3100" Type="http://schemas.openxmlformats.org/officeDocument/2006/relationships/hyperlink" Target="https://doi.org/10.1080/09297049.2017.1386781" TargetMode="External"/><Relationship Id="rId6256" Type="http://schemas.openxmlformats.org/officeDocument/2006/relationships/hyperlink" Target="https://doi.org/10.1159/000064372" TargetMode="External"/><Relationship Id="rId6463" Type="http://schemas.openxmlformats.org/officeDocument/2006/relationships/hyperlink" Target="https://doi.org/10.1348/174866409X459674" TargetMode="External"/><Relationship Id="rId978" Type="http://schemas.openxmlformats.org/officeDocument/2006/relationships/hyperlink" Target="https://doi.org/10.1016/j.apergo.2014.11.005" TargetMode="External"/><Relationship Id="rId2659" Type="http://schemas.openxmlformats.org/officeDocument/2006/relationships/hyperlink" Target="https://doi.org/10.1093/geronb/61.2.P102" TargetMode="External"/><Relationship Id="rId2866" Type="http://schemas.openxmlformats.org/officeDocument/2006/relationships/hyperlink" Target="https://doi.org/10.1038/sj.npp.1301072" TargetMode="External"/><Relationship Id="rId3917" Type="http://schemas.openxmlformats.org/officeDocument/2006/relationships/hyperlink" Target="https://doi.org/10.1080/09602010802332108" TargetMode="External"/><Relationship Id="rId5065" Type="http://schemas.openxmlformats.org/officeDocument/2006/relationships/hyperlink" Target="https://doi.org/10.1080/13803395.2011.567976" TargetMode="External"/><Relationship Id="rId5272" Type="http://schemas.openxmlformats.org/officeDocument/2006/relationships/hyperlink" Target="https://doi.org/10.1016/j.schres.2012.08.012" TargetMode="External"/><Relationship Id="rId6116" Type="http://schemas.openxmlformats.org/officeDocument/2006/relationships/hyperlink" Target="https://doi.org/10.1177/0891988716629858" TargetMode="External"/><Relationship Id="rId6323" Type="http://schemas.openxmlformats.org/officeDocument/2006/relationships/hyperlink" Target="https://doi.org/10.1093/brain/awm210" TargetMode="External"/><Relationship Id="rId6530" Type="http://schemas.openxmlformats.org/officeDocument/2006/relationships/hyperlink" Target="https://doi.org/10.1080/87565641.2021.1956500" TargetMode="External"/><Relationship Id="rId838" Type="http://schemas.openxmlformats.org/officeDocument/2006/relationships/hyperlink" Target="https://doi.org/10.1016/j.paid.2005.07.005" TargetMode="External"/><Relationship Id="rId1468" Type="http://schemas.openxmlformats.org/officeDocument/2006/relationships/hyperlink" Target="https://doi.org/10.1097/NMD.0b013e318093ed46" TargetMode="External"/><Relationship Id="rId1675" Type="http://schemas.openxmlformats.org/officeDocument/2006/relationships/hyperlink" Target="https://doi.org/10.1037/pne0000103" TargetMode="External"/><Relationship Id="rId1882" Type="http://schemas.openxmlformats.org/officeDocument/2006/relationships/hyperlink" Target="https://doi.org/10.1016/j.chc.2013.04.007" TargetMode="External"/><Relationship Id="rId2519" Type="http://schemas.openxmlformats.org/officeDocument/2006/relationships/hyperlink" Target="https://doi.org/10.1080/13554794.2013.826687" TargetMode="External"/><Relationship Id="rId2726" Type="http://schemas.openxmlformats.org/officeDocument/2006/relationships/hyperlink" Target="https://doi.org/10.1093/brain/awl153" TargetMode="External"/><Relationship Id="rId4081" Type="http://schemas.openxmlformats.org/officeDocument/2006/relationships/hyperlink" Target="https://doi.org/10.1097/JCP.0b013e31820e3db6" TargetMode="External"/><Relationship Id="rId5132" Type="http://schemas.openxmlformats.org/officeDocument/2006/relationships/hyperlink" Target="https://doi.org/10.1002/jts.21921" TargetMode="External"/><Relationship Id="rId1328" Type="http://schemas.openxmlformats.org/officeDocument/2006/relationships/hyperlink" Target="https://doi.org/10.1002/wcs.1202" TargetMode="External"/><Relationship Id="rId1535" Type="http://schemas.openxmlformats.org/officeDocument/2006/relationships/hyperlink" Target="https://doi.org/10.1002/ajmg.b.30868" TargetMode="External"/><Relationship Id="rId2933" Type="http://schemas.openxmlformats.org/officeDocument/2006/relationships/hyperlink" Target="https://doi.org/10.1016/j.lindif.2009.01.004" TargetMode="External"/><Relationship Id="rId905" Type="http://schemas.openxmlformats.org/officeDocument/2006/relationships/hyperlink" Target="https://doi.org/10.1080/13803395.2010.493144" TargetMode="External"/><Relationship Id="rId1742" Type="http://schemas.openxmlformats.org/officeDocument/2006/relationships/hyperlink" Target="https://doi.org/10.1080/09658211.2012.756038" TargetMode="External"/><Relationship Id="rId4898" Type="http://schemas.openxmlformats.org/officeDocument/2006/relationships/hyperlink" Target="https://doi.org/10.1016/j.psychres.2005.07.006" TargetMode="External"/><Relationship Id="rId5949" Type="http://schemas.openxmlformats.org/officeDocument/2006/relationships/hyperlink" Target="https://doi.org/10.1080/13854040590947470" TargetMode="External"/><Relationship Id="rId34" Type="http://schemas.openxmlformats.org/officeDocument/2006/relationships/hyperlink" Target="https://doi.org/10.1016/j.schres.2007.07.004" TargetMode="External"/><Relationship Id="rId1602" Type="http://schemas.openxmlformats.org/officeDocument/2006/relationships/hyperlink" Target="https://doi.org/10.1016/j.addbeh.2016.02.035" TargetMode="External"/><Relationship Id="rId4758" Type="http://schemas.openxmlformats.org/officeDocument/2006/relationships/hyperlink" Target="https://doi.org/10.1007/s11682-015-9395-3" TargetMode="External"/><Relationship Id="rId4965" Type="http://schemas.openxmlformats.org/officeDocument/2006/relationships/hyperlink" Target="https://doi.org/10.1097/NMD.0b013e3182392aca" TargetMode="External"/><Relationship Id="rId5809" Type="http://schemas.openxmlformats.org/officeDocument/2006/relationships/hyperlink" Target="https://doi.org/10.1097/WNN.0000000000000053" TargetMode="External"/><Relationship Id="rId6180" Type="http://schemas.openxmlformats.org/officeDocument/2006/relationships/hyperlink" Target="https://doi.org/10.1037/14091-002" TargetMode="External"/><Relationship Id="rId3567" Type="http://schemas.openxmlformats.org/officeDocument/2006/relationships/hyperlink" Target="https://doi.org/10.1016/j.jagp.2013.11.002" TargetMode="External"/><Relationship Id="rId3774" Type="http://schemas.openxmlformats.org/officeDocument/2006/relationships/hyperlink" Target="https://doi.org/10.1007/s10072-011-0813-z" TargetMode="External"/><Relationship Id="rId3981" Type="http://schemas.openxmlformats.org/officeDocument/2006/relationships/hyperlink" Target="https://doi.org/10.1016/j.schres.2015.09.017" TargetMode="External"/><Relationship Id="rId4618" Type="http://schemas.openxmlformats.org/officeDocument/2006/relationships/hyperlink" Target="https://doi.org/10.1080/13554790490960495" TargetMode="External"/><Relationship Id="rId4825" Type="http://schemas.openxmlformats.org/officeDocument/2006/relationships/hyperlink" Target="https://doi.org/10.1080/02643290442000239" TargetMode="External"/><Relationship Id="rId488" Type="http://schemas.openxmlformats.org/officeDocument/2006/relationships/hyperlink" Target="https://doi.org/10.7551/mitpress/9780262019583.003.0008" TargetMode="External"/><Relationship Id="rId695" Type="http://schemas.openxmlformats.org/officeDocument/2006/relationships/hyperlink" Target="https://doi.org/10.1016/0006-3223(95)00594-3" TargetMode="External"/><Relationship Id="rId2169" Type="http://schemas.openxmlformats.org/officeDocument/2006/relationships/hyperlink" Target="https://doi.org/10.1016/j.neuroimage.2008.12.040" TargetMode="External"/><Relationship Id="rId2376" Type="http://schemas.openxmlformats.org/officeDocument/2006/relationships/hyperlink" Target="https://doi.org/10.1016/j.psychres.2010.06.024" TargetMode="External"/><Relationship Id="rId2583" Type="http://schemas.openxmlformats.org/officeDocument/2006/relationships/hyperlink" Target="https://doi.org/10.1212/WNL.0000000000005346" TargetMode="External"/><Relationship Id="rId2790" Type="http://schemas.openxmlformats.org/officeDocument/2006/relationships/hyperlink" Target="https://doi.org/10.1097/00002030-200401001-00008" TargetMode="External"/><Relationship Id="rId3427" Type="http://schemas.openxmlformats.org/officeDocument/2006/relationships/hyperlink" Target="https://doi.org/10.1016/j.schres.2010.11.023" TargetMode="External"/><Relationship Id="rId3634" Type="http://schemas.openxmlformats.org/officeDocument/2006/relationships/hyperlink" Target="https://doi.org/10.1016/j.brainres.2010.01.019" TargetMode="External"/><Relationship Id="rId3841" Type="http://schemas.openxmlformats.org/officeDocument/2006/relationships/hyperlink" Target="https://doi.org/10.1179/096979509799103179" TargetMode="External"/><Relationship Id="rId6040" Type="http://schemas.openxmlformats.org/officeDocument/2006/relationships/hyperlink" Target="https://doi.org/10.1016/j.psychres.2003.07.004" TargetMode="External"/><Relationship Id="rId348" Type="http://schemas.openxmlformats.org/officeDocument/2006/relationships/hyperlink" Target="https://doi.org/10.1076/clin.13.3.283.1743" TargetMode="External"/><Relationship Id="rId555" Type="http://schemas.openxmlformats.org/officeDocument/2006/relationships/hyperlink" Target="https://doi.org/10.1212/WNL.0b013e3181b388a3" TargetMode="External"/><Relationship Id="rId762" Type="http://schemas.openxmlformats.org/officeDocument/2006/relationships/hyperlink" Target="https://doi.org/10.1016/j.paid.2014.11.051" TargetMode="External"/><Relationship Id="rId1185" Type="http://schemas.openxmlformats.org/officeDocument/2006/relationships/hyperlink" Target="https://doi.org/10.1016/j.psychres.2014.07.067" TargetMode="External"/><Relationship Id="rId1392" Type="http://schemas.openxmlformats.org/officeDocument/2006/relationships/hyperlink" Target="https://doi.org/10.1016/j.pnpbp.2012.07.009" TargetMode="External"/><Relationship Id="rId2029" Type="http://schemas.openxmlformats.org/officeDocument/2006/relationships/hyperlink" Target="https://doi.org/10.1093/geronb/gbp126" TargetMode="External"/><Relationship Id="rId2236" Type="http://schemas.openxmlformats.org/officeDocument/2006/relationships/hyperlink" Target="https://doi.org/10.1016/j.jad.2007.04.014" TargetMode="External"/><Relationship Id="rId2443" Type="http://schemas.openxmlformats.org/officeDocument/2006/relationships/hyperlink" Target="https://doi.org/10.1016/j.bandl.2008.01.006" TargetMode="External"/><Relationship Id="rId2650" Type="http://schemas.openxmlformats.org/officeDocument/2006/relationships/hyperlink" Target="https://doi.org/10.1027/0269-8803/a000095" TargetMode="External"/><Relationship Id="rId3701" Type="http://schemas.openxmlformats.org/officeDocument/2006/relationships/hyperlink" Target="https://doi.org/10.1016/j.schres.2014.03.025" TargetMode="External"/><Relationship Id="rId5599" Type="http://schemas.openxmlformats.org/officeDocument/2006/relationships/hyperlink" Target="https://doi.org/10.1016/j.schres.2013.05.005" TargetMode="External"/><Relationship Id="rId208" Type="http://schemas.openxmlformats.org/officeDocument/2006/relationships/hyperlink" Target="https://doi.org/10.1080/09084282.2011.595455" TargetMode="External"/><Relationship Id="rId415" Type="http://schemas.openxmlformats.org/officeDocument/2006/relationships/hyperlink" Target="https://doi.org/10.1016/j.schres.2010.03.024" TargetMode="External"/><Relationship Id="rId622" Type="http://schemas.openxmlformats.org/officeDocument/2006/relationships/hyperlink" Target="https://doi.org/10.1017/S1461145708009759" TargetMode="External"/><Relationship Id="rId1045" Type="http://schemas.openxmlformats.org/officeDocument/2006/relationships/hyperlink" Target="https://doi.org/10.1007/s10827-011-0380-6" TargetMode="External"/><Relationship Id="rId1252" Type="http://schemas.openxmlformats.org/officeDocument/2006/relationships/hyperlink" Target="https://doi.org/10.1111/bjdp.12021" TargetMode="External"/><Relationship Id="rId2303" Type="http://schemas.openxmlformats.org/officeDocument/2006/relationships/hyperlink" Target="https://doi.org/10.1177/1533317515603114" TargetMode="External"/><Relationship Id="rId2510" Type="http://schemas.openxmlformats.org/officeDocument/2006/relationships/hyperlink" Target="https://doi.org/10.1016/j.schres.2005.05.010" TargetMode="External"/><Relationship Id="rId5459" Type="http://schemas.openxmlformats.org/officeDocument/2006/relationships/hyperlink" Target="https://doi.org/10.1017/S0954579411000782" TargetMode="External"/><Relationship Id="rId5666" Type="http://schemas.openxmlformats.org/officeDocument/2006/relationships/hyperlink" Target="https://doi.org/10.1016/j.cortex.2013.06.007" TargetMode="External"/><Relationship Id="rId1112" Type="http://schemas.openxmlformats.org/officeDocument/2006/relationships/hyperlink" Target="https://doi.org/10.1002/hbm.22184" TargetMode="External"/><Relationship Id="rId4268" Type="http://schemas.openxmlformats.org/officeDocument/2006/relationships/hyperlink" Target="https://doi.org/10.1212/01.wnl.0000188759.87240.8b" TargetMode="External"/><Relationship Id="rId4475" Type="http://schemas.openxmlformats.org/officeDocument/2006/relationships/hyperlink" Target="https://doi.org/10.1007/s004060050044" TargetMode="External"/><Relationship Id="rId5319" Type="http://schemas.openxmlformats.org/officeDocument/2006/relationships/hyperlink" Target="https://doi.org/10.1590/S1980-57642013DN70200011" TargetMode="External"/><Relationship Id="rId5873" Type="http://schemas.openxmlformats.org/officeDocument/2006/relationships/hyperlink" Target="https://doi.org/10.1371/journal.pone.0066571" TargetMode="External"/><Relationship Id="rId3077" Type="http://schemas.openxmlformats.org/officeDocument/2006/relationships/hyperlink" Target="https://doi.org/10.1037/a0025616" TargetMode="External"/><Relationship Id="rId3284" Type="http://schemas.openxmlformats.org/officeDocument/2006/relationships/hyperlink" Target="https://doi.org/10.1016/j.schres.2010.03.021" TargetMode="External"/><Relationship Id="rId4128" Type="http://schemas.openxmlformats.org/officeDocument/2006/relationships/hyperlink" Target="https://doi.org/10.1016/j.comppsych.2011.04.058" TargetMode="External"/><Relationship Id="rId4682" Type="http://schemas.openxmlformats.org/officeDocument/2006/relationships/hyperlink" Target="https://doi.org/10.1080/15504263.2012.696534" TargetMode="External"/><Relationship Id="rId5526" Type="http://schemas.openxmlformats.org/officeDocument/2006/relationships/hyperlink" Target="https://doi.org/10.1080/13803395.2019.1610160" TargetMode="External"/><Relationship Id="rId5733" Type="http://schemas.openxmlformats.org/officeDocument/2006/relationships/hyperlink" Target="https://doi.org/10.1007/s00213-016-4245-6" TargetMode="External"/><Relationship Id="rId5940" Type="http://schemas.openxmlformats.org/officeDocument/2006/relationships/hyperlink" Target="https://doi.org/10.1016/S0034-7450(13)70029-5" TargetMode="External"/><Relationship Id="rId1929" Type="http://schemas.openxmlformats.org/officeDocument/2006/relationships/hyperlink" Target="https://doi.org/10.1080/13803395.2015.1057481" TargetMode="External"/><Relationship Id="rId2093" Type="http://schemas.openxmlformats.org/officeDocument/2006/relationships/hyperlink" Target="https://doi.org/10.1093/arclin/acy100" TargetMode="External"/><Relationship Id="rId3491" Type="http://schemas.openxmlformats.org/officeDocument/2006/relationships/hyperlink" Target="https://doi.org/10.1111/j.1751-7893.2008.00099.x" TargetMode="External"/><Relationship Id="rId4335" Type="http://schemas.openxmlformats.org/officeDocument/2006/relationships/hyperlink" Target="https://doi.org/10.1016/j.parkreldis.2017.03.009" TargetMode="External"/><Relationship Id="rId4542" Type="http://schemas.openxmlformats.org/officeDocument/2006/relationships/hyperlink" Target="https://doi.org/10.1016/j.psychres.2014.12.071" TargetMode="External"/><Relationship Id="rId5800" Type="http://schemas.openxmlformats.org/officeDocument/2006/relationships/hyperlink" Target="https://doi.org/10.1016/S0278-2626(03)00147-7" TargetMode="External"/><Relationship Id="rId3144" Type="http://schemas.openxmlformats.org/officeDocument/2006/relationships/hyperlink" Target="https://doi.org/10.1016/j.neuropsychologia.2015.05.002" TargetMode="External"/><Relationship Id="rId3351" Type="http://schemas.openxmlformats.org/officeDocument/2006/relationships/hyperlink" Target="https://doi.org/10.1192/bjp.bp.114.156976" TargetMode="External"/><Relationship Id="rId4402" Type="http://schemas.openxmlformats.org/officeDocument/2006/relationships/hyperlink" Target="https://doi.org/10.1080/24732850.2018.1546071" TargetMode="External"/><Relationship Id="rId272" Type="http://schemas.openxmlformats.org/officeDocument/2006/relationships/hyperlink" Target="https://doi.org/10.1080/14734220601009606" TargetMode="External"/><Relationship Id="rId2160" Type="http://schemas.openxmlformats.org/officeDocument/2006/relationships/hyperlink" Target="https://doi.org/10.2466/PR0.98.3.662-670" TargetMode="External"/><Relationship Id="rId3004" Type="http://schemas.openxmlformats.org/officeDocument/2006/relationships/hyperlink" Target="https://doi.org/10.1111/bdi.12693" TargetMode="External"/><Relationship Id="rId3211" Type="http://schemas.openxmlformats.org/officeDocument/2006/relationships/hyperlink" Target="https://doi.org/10.29252/nirp.ijpcp.23.4.438" TargetMode="External"/><Relationship Id="rId6367" Type="http://schemas.openxmlformats.org/officeDocument/2006/relationships/hyperlink" Target="https://doi.org/10.1016/j.schres.2009.05.025" TargetMode="External"/><Relationship Id="rId132" Type="http://schemas.openxmlformats.org/officeDocument/2006/relationships/hyperlink" Target="https://doi.org/10.1016/j.ejpsy.2019.12.004" TargetMode="External"/><Relationship Id="rId2020" Type="http://schemas.openxmlformats.org/officeDocument/2006/relationships/hyperlink" Target="https://doi.org/10.1080/13854040902748249" TargetMode="External"/><Relationship Id="rId5176" Type="http://schemas.openxmlformats.org/officeDocument/2006/relationships/hyperlink" Target="https://doi.org/10.1080/13554794.2011.654221" TargetMode="External"/><Relationship Id="rId5383" Type="http://schemas.openxmlformats.org/officeDocument/2006/relationships/hyperlink" Target="https://doi.org/10.1111/j.1601-183X.2008.00442.x" TargetMode="External"/><Relationship Id="rId5590" Type="http://schemas.openxmlformats.org/officeDocument/2006/relationships/hyperlink" Target="https://doi.org/10.1093/arclin/acs107" TargetMode="External"/><Relationship Id="rId6227" Type="http://schemas.openxmlformats.org/officeDocument/2006/relationships/hyperlink" Target="https://doi.org/10.1016/j.cortex.2009.08.001" TargetMode="External"/><Relationship Id="rId6434" Type="http://schemas.openxmlformats.org/officeDocument/2006/relationships/hyperlink" Target="https://doi.org/10.1016/j.schres.2011.01.020" TargetMode="External"/><Relationship Id="rId1579" Type="http://schemas.openxmlformats.org/officeDocument/2006/relationships/hyperlink" Target="https://doi.org/10.1006/brcg.1993.1002" TargetMode="External"/><Relationship Id="rId2977" Type="http://schemas.openxmlformats.org/officeDocument/2006/relationships/hyperlink" Target="https://doi.org/10.1016/j.appdev.2018.10.004" TargetMode="External"/><Relationship Id="rId4192" Type="http://schemas.openxmlformats.org/officeDocument/2006/relationships/hyperlink" Target="https://doi.org/10.1016/j.eurpsy.2014.06.004" TargetMode="External"/><Relationship Id="rId5036" Type="http://schemas.openxmlformats.org/officeDocument/2006/relationships/hyperlink" Target="https://doi.org/10.1037/dev0000184" TargetMode="External"/><Relationship Id="rId5243" Type="http://schemas.openxmlformats.org/officeDocument/2006/relationships/hyperlink" Target="https://doi.org/10.1176/appi.ps.54.6.905" TargetMode="External"/><Relationship Id="rId5450" Type="http://schemas.openxmlformats.org/officeDocument/2006/relationships/hyperlink" Target="https://doi.org/10.1016/j.psyneuen.2003.10.007" TargetMode="External"/><Relationship Id="rId949" Type="http://schemas.openxmlformats.org/officeDocument/2006/relationships/hyperlink" Target="https://doi.org/10.1016/j.schres.2008.02.019" TargetMode="External"/><Relationship Id="rId1786" Type="http://schemas.openxmlformats.org/officeDocument/2006/relationships/hyperlink" Target="https://doi.org/10.1016/j.neuropsychologia.2005.01.005" TargetMode="External"/><Relationship Id="rId1993" Type="http://schemas.openxmlformats.org/officeDocument/2006/relationships/hyperlink" Target="https://doi.org/10.1037/pas0000670" TargetMode="External"/><Relationship Id="rId2837" Type="http://schemas.openxmlformats.org/officeDocument/2006/relationships/hyperlink" Target="https://doi.org/10.1080/13825585.2018.1495309" TargetMode="External"/><Relationship Id="rId4052" Type="http://schemas.openxmlformats.org/officeDocument/2006/relationships/hyperlink" Target="https://doi.org/10.1016/j.ajp.2010.10.002" TargetMode="External"/><Relationship Id="rId5103" Type="http://schemas.openxmlformats.org/officeDocument/2006/relationships/hyperlink" Target="https://doi.org/10.2466/PR0.83.7.1075-1080" TargetMode="External"/><Relationship Id="rId6501" Type="http://schemas.openxmlformats.org/officeDocument/2006/relationships/hyperlink" Target="https://doi.org/10.1017/S1355617719000353" TargetMode="External"/><Relationship Id="rId78" Type="http://schemas.openxmlformats.org/officeDocument/2006/relationships/hyperlink" Target="https://doi.org/10.1017/S1355617718000784" TargetMode="External"/><Relationship Id="rId809" Type="http://schemas.openxmlformats.org/officeDocument/2006/relationships/hyperlink" Target="https://doi.org/10.1002/erv.2591" TargetMode="External"/><Relationship Id="rId1439" Type="http://schemas.openxmlformats.org/officeDocument/2006/relationships/hyperlink" Target="https://doi.org/10.1016/j.jad.2011.09.035" TargetMode="External"/><Relationship Id="rId1646" Type="http://schemas.openxmlformats.org/officeDocument/2006/relationships/hyperlink" Target="https://doi.org/10.1016/j.cortex.2020.05.003" TargetMode="External"/><Relationship Id="rId1853" Type="http://schemas.openxmlformats.org/officeDocument/2006/relationships/hyperlink" Target="https://doi.org/10.3109/02699051003789278" TargetMode="External"/><Relationship Id="rId2904" Type="http://schemas.openxmlformats.org/officeDocument/2006/relationships/hyperlink" Target="https://doi.org/10.1017/S0033291701004068" TargetMode="External"/><Relationship Id="rId5310" Type="http://schemas.openxmlformats.org/officeDocument/2006/relationships/hyperlink" Target="https://doi.org/10.1007/978-0-387-76978-3_30" TargetMode="External"/><Relationship Id="rId1506" Type="http://schemas.openxmlformats.org/officeDocument/2006/relationships/hyperlink" Target="https://doi.org/10.1002/hup.2301" TargetMode="External"/><Relationship Id="rId1713" Type="http://schemas.openxmlformats.org/officeDocument/2006/relationships/hyperlink" Target="https://doi.org/10.1016/j.schres.2004.01.011" TargetMode="External"/><Relationship Id="rId1920" Type="http://schemas.openxmlformats.org/officeDocument/2006/relationships/hyperlink" Target="https://doi.org/10.1111/ane.12037" TargetMode="External"/><Relationship Id="rId4869" Type="http://schemas.openxmlformats.org/officeDocument/2006/relationships/hyperlink" Target="https://doi.org/10.1044/1092-4388(2011/10-0178)" TargetMode="External"/><Relationship Id="rId3678" Type="http://schemas.openxmlformats.org/officeDocument/2006/relationships/hyperlink" Target="https://doi.org/10.1016/j.psychres.2012.06.013" TargetMode="External"/><Relationship Id="rId3885" Type="http://schemas.openxmlformats.org/officeDocument/2006/relationships/hyperlink" Target="https://doi.org/10.1037/h0095474" TargetMode="External"/><Relationship Id="rId4729" Type="http://schemas.openxmlformats.org/officeDocument/2006/relationships/hyperlink" Target="https://doi.org/10.7358/neur-2016-020-razz" TargetMode="External"/><Relationship Id="rId4936" Type="http://schemas.openxmlformats.org/officeDocument/2006/relationships/hyperlink" Target="https://doi.org/10.1016/j.bandc.2004.02.053" TargetMode="External"/><Relationship Id="rId6084" Type="http://schemas.openxmlformats.org/officeDocument/2006/relationships/hyperlink" Target="https://doi.org/10.1016/j.brainres.2015.03.040" TargetMode="External"/><Relationship Id="rId6291" Type="http://schemas.openxmlformats.org/officeDocument/2006/relationships/hyperlink" Target="https://doi.org/10.3109/02699052.2011.568034" TargetMode="External"/><Relationship Id="rId599" Type="http://schemas.openxmlformats.org/officeDocument/2006/relationships/hyperlink" Target="https://doi.org/10.1002/1097-4679(199301)49:1%3c54::AID-JCLP2270490108%3e3.0.CO;2-6" TargetMode="External"/><Relationship Id="rId2487" Type="http://schemas.openxmlformats.org/officeDocument/2006/relationships/hyperlink" Target="https://doi.org/10.1002/hipo.20871" TargetMode="External"/><Relationship Id="rId2694" Type="http://schemas.openxmlformats.org/officeDocument/2006/relationships/hyperlink" Target="https://doi.org/10.1080/13803395.2015.1020769" TargetMode="External"/><Relationship Id="rId3538" Type="http://schemas.openxmlformats.org/officeDocument/2006/relationships/hyperlink" Target="https://doi.org/10.1348/147608303322362505" TargetMode="External"/><Relationship Id="rId3745" Type="http://schemas.openxmlformats.org/officeDocument/2006/relationships/hyperlink" Target="https://doi.org/10.1111/j.1600-0404.2006.00795.x" TargetMode="External"/><Relationship Id="rId6151" Type="http://schemas.openxmlformats.org/officeDocument/2006/relationships/hyperlink" Target="https://doi.org/10.1523/JNEUROSCI.3501-13.2014" TargetMode="External"/><Relationship Id="rId459" Type="http://schemas.openxmlformats.org/officeDocument/2006/relationships/hyperlink" Target="https://doi.org/10.1016/j.jad.2020.05.073" TargetMode="External"/><Relationship Id="rId666" Type="http://schemas.openxmlformats.org/officeDocument/2006/relationships/hyperlink" Target="https://doi.org/10.1016/j.rasd.2013.09.009" TargetMode="External"/><Relationship Id="rId873" Type="http://schemas.openxmlformats.org/officeDocument/2006/relationships/hyperlink" Target="https://doi.org/10.1093/acprof:oso/9780199692972.003.0026" TargetMode="External"/><Relationship Id="rId1089" Type="http://schemas.openxmlformats.org/officeDocument/2006/relationships/hyperlink" Target="https://doi.org/10.1016/j.schres.2007.11.012" TargetMode="External"/><Relationship Id="rId1296" Type="http://schemas.openxmlformats.org/officeDocument/2006/relationships/hyperlink" Target="https://doi.org/10.1016/j.pnpbp.2012.07.002" TargetMode="External"/><Relationship Id="rId2347" Type="http://schemas.openxmlformats.org/officeDocument/2006/relationships/hyperlink" Target="https://doi.org/10.1038/npp.2011.276" TargetMode="External"/><Relationship Id="rId2554" Type="http://schemas.openxmlformats.org/officeDocument/2006/relationships/hyperlink" Target="https://doi.org/10.1016/S0387-7604(02)00227-9" TargetMode="External"/><Relationship Id="rId3952" Type="http://schemas.openxmlformats.org/officeDocument/2006/relationships/hyperlink" Target="https://doi.org/10.1097/01.wad.0000126617.54783.7" TargetMode="External"/><Relationship Id="rId6011" Type="http://schemas.openxmlformats.org/officeDocument/2006/relationships/hyperlink" Target="https://doi.org/10.5334/pb-52-2-3-229" TargetMode="External"/><Relationship Id="rId319" Type="http://schemas.openxmlformats.org/officeDocument/2006/relationships/hyperlink" Target="https://doi.org/10.1016/j.neuropsychologia.2007.05.023" TargetMode="External"/><Relationship Id="rId526" Type="http://schemas.openxmlformats.org/officeDocument/2006/relationships/hyperlink" Target="https://doi.org/10.1007/s00406-005-0577-7" TargetMode="External"/><Relationship Id="rId1156" Type="http://schemas.openxmlformats.org/officeDocument/2006/relationships/hyperlink" Target="https://doi.org/10.1016/j.yebeh.2010.05.010" TargetMode="External"/><Relationship Id="rId1363" Type="http://schemas.openxmlformats.org/officeDocument/2006/relationships/hyperlink" Target="https://doi.org/10.1016/j.schres.2009.09.001" TargetMode="External"/><Relationship Id="rId2207" Type="http://schemas.openxmlformats.org/officeDocument/2006/relationships/hyperlink" Target="https://doi.org/10.1076/clin.16.2.179.13241" TargetMode="External"/><Relationship Id="rId2761" Type="http://schemas.openxmlformats.org/officeDocument/2006/relationships/hyperlink" Target="https://doi.org/10.1080/09602011.2011.639626" TargetMode="External"/><Relationship Id="rId3605" Type="http://schemas.openxmlformats.org/officeDocument/2006/relationships/hyperlink" Target="https://doi.org/10.1007/s00406-017-0767-0" TargetMode="External"/><Relationship Id="rId3812" Type="http://schemas.openxmlformats.org/officeDocument/2006/relationships/hyperlink" Target="https://doi.org/10.1097/01.nmd.0000100921.31489.5a" TargetMode="External"/><Relationship Id="rId733" Type="http://schemas.openxmlformats.org/officeDocument/2006/relationships/hyperlink" Target="https://doi.org/10.1097/JCP.0b013e31829057ae" TargetMode="External"/><Relationship Id="rId940" Type="http://schemas.openxmlformats.org/officeDocument/2006/relationships/hyperlink" Target="https://doi.org/10.3758/BF03196809" TargetMode="External"/><Relationship Id="rId1016" Type="http://schemas.openxmlformats.org/officeDocument/2006/relationships/hyperlink" Target="https://doi.org/10.1007/s004060070036" TargetMode="External"/><Relationship Id="rId1570" Type="http://schemas.openxmlformats.org/officeDocument/2006/relationships/hyperlink" Target="https://doi.org/10.1016/j.schres.2006.08.005" TargetMode="External"/><Relationship Id="rId2414" Type="http://schemas.openxmlformats.org/officeDocument/2006/relationships/hyperlink" Target="https://doi.org/10.1016/j.jpsychires.2006.07.005" TargetMode="External"/><Relationship Id="rId2621" Type="http://schemas.openxmlformats.org/officeDocument/2006/relationships/hyperlink" Target="https://doi.org/10.1212/01.WNL.0000055090.78351.C1" TargetMode="External"/><Relationship Id="rId5777" Type="http://schemas.openxmlformats.org/officeDocument/2006/relationships/hyperlink" Target="https://doi.org/10.1080/13825585.2012.736468" TargetMode="External"/><Relationship Id="rId5984" Type="http://schemas.openxmlformats.org/officeDocument/2006/relationships/hyperlink" Target="https://doi.org/10.1176/appi.ajp.2013.12121504" TargetMode="External"/><Relationship Id="rId800" Type="http://schemas.openxmlformats.org/officeDocument/2006/relationships/hyperlink" Target="https://doi.org/10.1016/j.cortex.2014.12.008" TargetMode="External"/><Relationship Id="rId1223" Type="http://schemas.openxmlformats.org/officeDocument/2006/relationships/hyperlink" Target="https://doi.org/10.1016/j.cortex.2014.01.002" TargetMode="External"/><Relationship Id="rId1430" Type="http://schemas.openxmlformats.org/officeDocument/2006/relationships/hyperlink" Target="https://doi.org/10.1080/13854040601020783" TargetMode="External"/><Relationship Id="rId4379" Type="http://schemas.openxmlformats.org/officeDocument/2006/relationships/hyperlink" Target="https://doi.org/10.1080/00207450600773525" TargetMode="External"/><Relationship Id="rId4586" Type="http://schemas.openxmlformats.org/officeDocument/2006/relationships/hyperlink" Target="https://doi.org/10.1111/j.1440-1819.2008.01844.x" TargetMode="External"/><Relationship Id="rId4793" Type="http://schemas.openxmlformats.org/officeDocument/2006/relationships/hyperlink" Target="https://doi.org/10.1017/S0033291713002304" TargetMode="External"/><Relationship Id="rId5637" Type="http://schemas.openxmlformats.org/officeDocument/2006/relationships/hyperlink" Target="https://doi.org/10.1016/j.psychres.2016.07.040" TargetMode="External"/><Relationship Id="rId5844" Type="http://schemas.openxmlformats.org/officeDocument/2006/relationships/hyperlink" Target="https://doi.org/10.1016/j.neuropsychologia.2006.06.006" TargetMode="External"/><Relationship Id="rId3188" Type="http://schemas.openxmlformats.org/officeDocument/2006/relationships/hyperlink" Target="https://doi.org/10.1002/eat.22235" TargetMode="External"/><Relationship Id="rId3395" Type="http://schemas.openxmlformats.org/officeDocument/2006/relationships/hyperlink" Target="https://doi.org/10.1080/13803395.2010.518140" TargetMode="External"/><Relationship Id="rId4239" Type="http://schemas.openxmlformats.org/officeDocument/2006/relationships/hyperlink" Target="https://doi.org/10.1016/j.seizure.2011.12.003" TargetMode="External"/><Relationship Id="rId4446" Type="http://schemas.openxmlformats.org/officeDocument/2006/relationships/hyperlink" Target="https://doi.org/10.1007/s10072-016-2778-4" TargetMode="External"/><Relationship Id="rId4653" Type="http://schemas.openxmlformats.org/officeDocument/2006/relationships/hyperlink" Target="https://doi.org/10.1016/j.acn.2006.08.004" TargetMode="External"/><Relationship Id="rId4860" Type="http://schemas.openxmlformats.org/officeDocument/2006/relationships/hyperlink" Target="https://doi.org/10.1016/j.schres.2012.10.020" TargetMode="External"/><Relationship Id="rId5704" Type="http://schemas.openxmlformats.org/officeDocument/2006/relationships/hyperlink" Target="https://doi.org/10.1016/j.psychres.2011.04.021" TargetMode="External"/><Relationship Id="rId5911" Type="http://schemas.openxmlformats.org/officeDocument/2006/relationships/hyperlink" Target="https://doi.org/10.1097/HTR.0000000000000076" TargetMode="External"/><Relationship Id="rId3048" Type="http://schemas.openxmlformats.org/officeDocument/2006/relationships/hyperlink" Target="https://doi.org/10.1016/j.schres.2005.09.009" TargetMode="External"/><Relationship Id="rId3255" Type="http://schemas.openxmlformats.org/officeDocument/2006/relationships/hyperlink" Target="https://doi.org/10.1111/j.1600-0447.2008.01223.x" TargetMode="External"/><Relationship Id="rId3462" Type="http://schemas.openxmlformats.org/officeDocument/2006/relationships/hyperlink" Target="https://doi.org/10.1016/j.schres.2009.12.009" TargetMode="External"/><Relationship Id="rId4306" Type="http://schemas.openxmlformats.org/officeDocument/2006/relationships/hyperlink" Target="https://doi.org/10.3109/08039488.2011.565801" TargetMode="External"/><Relationship Id="rId4513" Type="http://schemas.openxmlformats.org/officeDocument/2006/relationships/hyperlink" Target="https://doi.org/10.1002/gps.2808" TargetMode="External"/><Relationship Id="rId4720" Type="http://schemas.openxmlformats.org/officeDocument/2006/relationships/hyperlink" Target="https://doi.org/10.1017/S0954579413000163" TargetMode="External"/><Relationship Id="rId176" Type="http://schemas.openxmlformats.org/officeDocument/2006/relationships/hyperlink" Target="https://doi.org/10.1080/17470910601038693" TargetMode="External"/><Relationship Id="rId383" Type="http://schemas.openxmlformats.org/officeDocument/2006/relationships/hyperlink" Target="https://doi.org/10.1016/0376-8716(94)01072-S" TargetMode="External"/><Relationship Id="rId590" Type="http://schemas.openxmlformats.org/officeDocument/2006/relationships/hyperlink" Target="https://doi.org/10.1016/j.cortex.2014.06.004" TargetMode="External"/><Relationship Id="rId2064" Type="http://schemas.openxmlformats.org/officeDocument/2006/relationships/hyperlink" Target="https://doi.org/10.1016/S0028-3932(00)00104-4" TargetMode="External"/><Relationship Id="rId2271" Type="http://schemas.openxmlformats.org/officeDocument/2006/relationships/hyperlink" Target="https://doi.org/10.1176/appi.neuropsych.16060118" TargetMode="External"/><Relationship Id="rId3115" Type="http://schemas.openxmlformats.org/officeDocument/2006/relationships/hyperlink" Target="https://doi.org/10.1007/s002130051049" TargetMode="External"/><Relationship Id="rId3322" Type="http://schemas.openxmlformats.org/officeDocument/2006/relationships/hyperlink" Target="https://doi.org/10.1037/0894-4105.20.1.123" TargetMode="External"/><Relationship Id="rId6478" Type="http://schemas.openxmlformats.org/officeDocument/2006/relationships/hyperlink" Target="https://doi.org/10.1093/arclin/act014" TargetMode="External"/><Relationship Id="rId243" Type="http://schemas.openxmlformats.org/officeDocument/2006/relationships/hyperlink" Target="https://doi.org/10.1177/1073191194001002001" TargetMode="External"/><Relationship Id="rId450" Type="http://schemas.openxmlformats.org/officeDocument/2006/relationships/hyperlink" Target="https://doi.org/10.1007/978-1-4614-4412-1_16" TargetMode="External"/><Relationship Id="rId1080" Type="http://schemas.openxmlformats.org/officeDocument/2006/relationships/hyperlink" Target="https://doi.org/10.1007/s10072-012-1243-2" TargetMode="External"/><Relationship Id="rId2131" Type="http://schemas.openxmlformats.org/officeDocument/2006/relationships/hyperlink" Target="https://doi.org/10.1007/s10571-011-9717-y" TargetMode="External"/><Relationship Id="rId5287" Type="http://schemas.openxmlformats.org/officeDocument/2006/relationships/hyperlink" Target="https://doi.org/10.1080/13854046.2013.802017" TargetMode="External"/><Relationship Id="rId5494" Type="http://schemas.openxmlformats.org/officeDocument/2006/relationships/hyperlink" Target="https://doi.org/10.1097/01.nmd.0000126733.38673.8f" TargetMode="External"/><Relationship Id="rId6338" Type="http://schemas.openxmlformats.org/officeDocument/2006/relationships/hyperlink" Target="https://doi.org/10.1016/j.ntt.2012.06.004" TargetMode="External"/><Relationship Id="rId103" Type="http://schemas.openxmlformats.org/officeDocument/2006/relationships/hyperlink" Target="https://doi.org/10.1186/s12888-015-0395-z" TargetMode="External"/><Relationship Id="rId310" Type="http://schemas.openxmlformats.org/officeDocument/2006/relationships/hyperlink" Target="https://doi.org/10.1016/S0028-3932(01)00110-5" TargetMode="External"/><Relationship Id="rId4096" Type="http://schemas.openxmlformats.org/officeDocument/2006/relationships/hyperlink" Target="https://doi.org/10.1523/JNEUROSCI.3921-07.2008" TargetMode="External"/><Relationship Id="rId5147" Type="http://schemas.openxmlformats.org/officeDocument/2006/relationships/hyperlink" Target="https://doi.org/10.1097/YCO.0b013e32835dcc2a" TargetMode="External"/><Relationship Id="rId6545" Type="http://schemas.openxmlformats.org/officeDocument/2006/relationships/hyperlink" Target="https://doi.org/10.1093/arclin/acx029" TargetMode="External"/><Relationship Id="rId1897" Type="http://schemas.openxmlformats.org/officeDocument/2006/relationships/hyperlink" Target="https://doi.org/10.1037/0894-4105.18.3.543" TargetMode="External"/><Relationship Id="rId2948" Type="http://schemas.openxmlformats.org/officeDocument/2006/relationships/hyperlink" Target="https://doi.org/10.1044/2020_JSLHR-19-00182" TargetMode="External"/><Relationship Id="rId5354" Type="http://schemas.openxmlformats.org/officeDocument/2006/relationships/hyperlink" Target="https://doi.org/10.1016/j.psychres.2013.07.031" TargetMode="External"/><Relationship Id="rId5561" Type="http://schemas.openxmlformats.org/officeDocument/2006/relationships/hyperlink" Target="https://doi.org/10.1176/appi.neuropsych.23.3.294" TargetMode="External"/><Relationship Id="rId6405" Type="http://schemas.openxmlformats.org/officeDocument/2006/relationships/hyperlink" Target="https://doi.org/10.11621/pir.2020.0110" TargetMode="External"/><Relationship Id="rId1757" Type="http://schemas.openxmlformats.org/officeDocument/2006/relationships/hyperlink" Target="https://doi.org/10.1212/WNL.0b013e3181b23551" TargetMode="External"/><Relationship Id="rId1964" Type="http://schemas.openxmlformats.org/officeDocument/2006/relationships/hyperlink" Target="https://doi.org/10.1080/13803395.2015.1087465" TargetMode="External"/><Relationship Id="rId2808" Type="http://schemas.openxmlformats.org/officeDocument/2006/relationships/hyperlink" Target="https://doi.org/10.1016/B978-0-12-802203-0.00020-1" TargetMode="External"/><Relationship Id="rId4163" Type="http://schemas.openxmlformats.org/officeDocument/2006/relationships/hyperlink" Target="https://doi.org/10.1016/j.psychres.2009.10.007" TargetMode="External"/><Relationship Id="rId4370" Type="http://schemas.openxmlformats.org/officeDocument/2006/relationships/hyperlink" Target="https://doi.org/10.1007/s11682-012-9160-9" TargetMode="External"/><Relationship Id="rId5007" Type="http://schemas.openxmlformats.org/officeDocument/2006/relationships/hyperlink" Target="https://doi.org/10.1080/09602011.2016.1272469" TargetMode="External"/><Relationship Id="rId5214" Type="http://schemas.openxmlformats.org/officeDocument/2006/relationships/hyperlink" Target="https://doi.org/10.1097/00002826-200403000-00005" TargetMode="External"/><Relationship Id="rId5421" Type="http://schemas.openxmlformats.org/officeDocument/2006/relationships/hyperlink" Target="https://doi.org/10.1007/s11055-013-9875-0" TargetMode="External"/><Relationship Id="rId49" Type="http://schemas.openxmlformats.org/officeDocument/2006/relationships/hyperlink" Target="https://doi.org/10.1016/j.neurobiolaging.2012.04.015" TargetMode="External"/><Relationship Id="rId1617" Type="http://schemas.openxmlformats.org/officeDocument/2006/relationships/hyperlink" Target="https://doi.org/10.1017/S1355617710000822" TargetMode="External"/><Relationship Id="rId1824" Type="http://schemas.openxmlformats.org/officeDocument/2006/relationships/hyperlink" Target="https://doi.org/10.1080/09297049708401368" TargetMode="External"/><Relationship Id="rId4023" Type="http://schemas.openxmlformats.org/officeDocument/2006/relationships/hyperlink" Target="https://doi.org/10.1017/S1366728918000391" TargetMode="External"/><Relationship Id="rId4230" Type="http://schemas.openxmlformats.org/officeDocument/2006/relationships/hyperlink" Target="https://doi.org/10.1017/S0033291711000316" TargetMode="External"/><Relationship Id="rId3789" Type="http://schemas.openxmlformats.org/officeDocument/2006/relationships/hyperlink" Target="https://doi.org/10.1016/j.schres.2006.07.024" TargetMode="External"/><Relationship Id="rId6195" Type="http://schemas.openxmlformats.org/officeDocument/2006/relationships/hyperlink" Target="https://doi.org/10.1176/appi.neuropsych.22.1.115" TargetMode="External"/><Relationship Id="rId2598" Type="http://schemas.openxmlformats.org/officeDocument/2006/relationships/hyperlink" Target="https://doi.org/10.1016/j.schres.2013.08.010" TargetMode="External"/><Relationship Id="rId3996" Type="http://schemas.openxmlformats.org/officeDocument/2006/relationships/hyperlink" Target="https://doi.org/10.1007/978-1-4614-5269-0_9" TargetMode="External"/><Relationship Id="rId6055" Type="http://schemas.openxmlformats.org/officeDocument/2006/relationships/hyperlink" Target="https://doi.org/10.1136/jnnp.62.4.410" TargetMode="External"/><Relationship Id="rId6262" Type="http://schemas.openxmlformats.org/officeDocument/2006/relationships/hyperlink" Target="https://doi.org/10.1016/j.schres.2004.07.009" TargetMode="External"/><Relationship Id="rId3649" Type="http://schemas.openxmlformats.org/officeDocument/2006/relationships/hyperlink" Target="https://doi.org/10.1016/j.cortex.2007.12.010" TargetMode="External"/><Relationship Id="rId3856" Type="http://schemas.openxmlformats.org/officeDocument/2006/relationships/hyperlink" Target="https://doi.org/10.1093/brain/awt194" TargetMode="External"/><Relationship Id="rId4907" Type="http://schemas.openxmlformats.org/officeDocument/2006/relationships/hyperlink" Target="https://doi.org/10.1162/0898929053279496" TargetMode="External"/><Relationship Id="rId5071" Type="http://schemas.openxmlformats.org/officeDocument/2006/relationships/hyperlink" Target="https://doi.org/10.1017/S0033291718001885" TargetMode="External"/><Relationship Id="rId6122" Type="http://schemas.openxmlformats.org/officeDocument/2006/relationships/hyperlink" Target="https://doi.org/10.1016/j.schres.2010.01.031" TargetMode="External"/><Relationship Id="rId777" Type="http://schemas.openxmlformats.org/officeDocument/2006/relationships/hyperlink" Target="https://doi.org/10.1111/j.1600-0447.2010.01590.x" TargetMode="External"/><Relationship Id="rId984" Type="http://schemas.openxmlformats.org/officeDocument/2006/relationships/hyperlink" Target="https://doi.org/10.1093/cercor/7.1.63" TargetMode="External"/><Relationship Id="rId2458" Type="http://schemas.openxmlformats.org/officeDocument/2006/relationships/hyperlink" Target="https://doi.org/10.1016/S0920-9964(03)00097-5" TargetMode="External"/><Relationship Id="rId2665" Type="http://schemas.openxmlformats.org/officeDocument/2006/relationships/hyperlink" Target="https://doi.org/10.1037/0021-843X.110.3.423" TargetMode="External"/><Relationship Id="rId2872" Type="http://schemas.openxmlformats.org/officeDocument/2006/relationships/hyperlink" Target="https://doi.org/10.1176/appi.ajp.164.7.1061" TargetMode="External"/><Relationship Id="rId3509" Type="http://schemas.openxmlformats.org/officeDocument/2006/relationships/hyperlink" Target="https://doi.org/10.1016/j.neurol.2017.03.005" TargetMode="External"/><Relationship Id="rId3716" Type="http://schemas.openxmlformats.org/officeDocument/2006/relationships/hyperlink" Target="https://doi.org/10.1016/j.jad.2016.12.053" TargetMode="External"/><Relationship Id="rId3923" Type="http://schemas.openxmlformats.org/officeDocument/2006/relationships/hyperlink" Target="https://doi.org/10.1016/j.psychres.2013.02.033" TargetMode="External"/><Relationship Id="rId637" Type="http://schemas.openxmlformats.org/officeDocument/2006/relationships/hyperlink" Target="https://doi.org/10.1016/j.pnpbp.2009.10.001" TargetMode="External"/><Relationship Id="rId844" Type="http://schemas.openxmlformats.org/officeDocument/2006/relationships/hyperlink" Target="https://doi.org/10.1016/j.schres.2005.11.013" TargetMode="External"/><Relationship Id="rId1267" Type="http://schemas.openxmlformats.org/officeDocument/2006/relationships/hyperlink" Target="https://doi.org/10.1590/S1516-44462004000200007" TargetMode="External"/><Relationship Id="rId1474" Type="http://schemas.openxmlformats.org/officeDocument/2006/relationships/hyperlink" Target="https://doi.org/10.1093/schbul/sbq018" TargetMode="External"/><Relationship Id="rId1681" Type="http://schemas.openxmlformats.org/officeDocument/2006/relationships/hyperlink" Target="https://doi.org/10.1016/j.cognition.2011.01.002" TargetMode="External"/><Relationship Id="rId2318" Type="http://schemas.openxmlformats.org/officeDocument/2006/relationships/hyperlink" Target="https://doi.org/10.1080/02699050400004955" TargetMode="External"/><Relationship Id="rId2525" Type="http://schemas.openxmlformats.org/officeDocument/2006/relationships/hyperlink" Target="https://doi.org/10.1111/j.1600-0404.2008.01101.x" TargetMode="External"/><Relationship Id="rId2732" Type="http://schemas.openxmlformats.org/officeDocument/2006/relationships/hyperlink" Target="https://doi.org/10.1016/j.schres.2017.12.009" TargetMode="External"/><Relationship Id="rId5888" Type="http://schemas.openxmlformats.org/officeDocument/2006/relationships/hyperlink" Target="https://doi.org/10.1002/hbm.23479" TargetMode="External"/><Relationship Id="rId704" Type="http://schemas.openxmlformats.org/officeDocument/2006/relationships/hyperlink" Target="https://doi.org/10.1212/WNL.0b013e31829c5c86" TargetMode="External"/><Relationship Id="rId911" Type="http://schemas.openxmlformats.org/officeDocument/2006/relationships/hyperlink" Target="https://doi.org/10.1016/j.psychres.2004.03.012" TargetMode="External"/><Relationship Id="rId1127" Type="http://schemas.openxmlformats.org/officeDocument/2006/relationships/hyperlink" Target="https://doi.org/10.1097/01.wnn.0000152207.80819.3c" TargetMode="External"/><Relationship Id="rId1334" Type="http://schemas.openxmlformats.org/officeDocument/2006/relationships/hyperlink" Target="https://doi.org/10.1016/j.pnpbp.2004.06.006" TargetMode="External"/><Relationship Id="rId1541" Type="http://schemas.openxmlformats.org/officeDocument/2006/relationships/hyperlink" Target="https://doi.org/10.1007/978-0-387-76978-3_17" TargetMode="External"/><Relationship Id="rId4697" Type="http://schemas.openxmlformats.org/officeDocument/2006/relationships/hyperlink" Target="https://doi.org/10.1176/appi.neuropsych.21.4.420" TargetMode="External"/><Relationship Id="rId5748" Type="http://schemas.openxmlformats.org/officeDocument/2006/relationships/hyperlink" Target="https://doi.org/10.1016/j.pnpbp.2013.06.006" TargetMode="External"/><Relationship Id="rId5955" Type="http://schemas.openxmlformats.org/officeDocument/2006/relationships/hyperlink" Target="https://doi.org/10.1016/j.neuropsychologia.2018.08.001" TargetMode="External"/><Relationship Id="rId40" Type="http://schemas.openxmlformats.org/officeDocument/2006/relationships/hyperlink" Target="https://doi.org/10.1192/bjp.bp.105.021022" TargetMode="External"/><Relationship Id="rId1401" Type="http://schemas.openxmlformats.org/officeDocument/2006/relationships/hyperlink" Target="https://doi.org/10.1002/erv.2430" TargetMode="External"/><Relationship Id="rId3299" Type="http://schemas.openxmlformats.org/officeDocument/2006/relationships/hyperlink" Target="https://doi.org/10.1016/j.janxdis.2014.12.016" TargetMode="External"/><Relationship Id="rId4557" Type="http://schemas.openxmlformats.org/officeDocument/2006/relationships/hyperlink" Target="https://doi.org/10.1016/j.schres.2019.04.012" TargetMode="External"/><Relationship Id="rId4764" Type="http://schemas.openxmlformats.org/officeDocument/2006/relationships/hyperlink" Target="https://doi.org/10.1007/s11065-021-09477-5" TargetMode="External"/><Relationship Id="rId5608" Type="http://schemas.openxmlformats.org/officeDocument/2006/relationships/hyperlink" Target="https://doi.org/10.1017/9781108235433.015" TargetMode="External"/><Relationship Id="rId3159" Type="http://schemas.openxmlformats.org/officeDocument/2006/relationships/hyperlink" Target="https://doi.org/10.1037/a0034001" TargetMode="External"/><Relationship Id="rId3366" Type="http://schemas.openxmlformats.org/officeDocument/2006/relationships/hyperlink" Target="https://doi.org/10.1016/j.sleep.2018.03.027" TargetMode="External"/><Relationship Id="rId3573" Type="http://schemas.openxmlformats.org/officeDocument/2006/relationships/hyperlink" Target="https://doi.org/10.1017/S135561771700090X" TargetMode="External"/><Relationship Id="rId4417" Type="http://schemas.openxmlformats.org/officeDocument/2006/relationships/hyperlink" Target="https://doi.org/10.3758/CABN.3.4.275" TargetMode="External"/><Relationship Id="rId4971" Type="http://schemas.openxmlformats.org/officeDocument/2006/relationships/hyperlink" Target="https://doi.org/10.1111/j.1600-0447.2005.00626.x" TargetMode="External"/><Relationship Id="rId5815" Type="http://schemas.openxmlformats.org/officeDocument/2006/relationships/hyperlink" Target="https://doi.org/10.1002/ajmg.b.32264" TargetMode="External"/><Relationship Id="rId287" Type="http://schemas.openxmlformats.org/officeDocument/2006/relationships/hyperlink" Target="https://doi.org/10.1017/S0033291717003774" TargetMode="External"/><Relationship Id="rId494" Type="http://schemas.openxmlformats.org/officeDocument/2006/relationships/hyperlink" Target="https://doi.org/10.1093/arclin/acy036" TargetMode="External"/><Relationship Id="rId2175" Type="http://schemas.openxmlformats.org/officeDocument/2006/relationships/hyperlink" Target="https://doi.org/10.1186/s12888-021-03209-y" TargetMode="External"/><Relationship Id="rId2382" Type="http://schemas.openxmlformats.org/officeDocument/2006/relationships/hyperlink" Target="https://doi.org/10.1002/hbm.21245" TargetMode="External"/><Relationship Id="rId3019" Type="http://schemas.openxmlformats.org/officeDocument/2006/relationships/hyperlink" Target="https://doi.org/10.1016/j.biopsycho.2018.04.001" TargetMode="External"/><Relationship Id="rId3226" Type="http://schemas.openxmlformats.org/officeDocument/2006/relationships/hyperlink" Target="https://doi.org/10.1016/j.bandc.2019.103599" TargetMode="External"/><Relationship Id="rId3780" Type="http://schemas.openxmlformats.org/officeDocument/2006/relationships/hyperlink" Target="https://doi.org/10.1177/108705479700200201" TargetMode="External"/><Relationship Id="rId4624" Type="http://schemas.openxmlformats.org/officeDocument/2006/relationships/hyperlink" Target="https://doi.org/10.1097/NMD.0000000000000604" TargetMode="External"/><Relationship Id="rId4831" Type="http://schemas.openxmlformats.org/officeDocument/2006/relationships/hyperlink" Target="https://doi.org/10.1111/jpr.12005" TargetMode="External"/><Relationship Id="rId147" Type="http://schemas.openxmlformats.org/officeDocument/2006/relationships/hyperlink" Target="https://doi.org/10.1007/s00787-011-0216-y" TargetMode="External"/><Relationship Id="rId354" Type="http://schemas.openxmlformats.org/officeDocument/2006/relationships/hyperlink" Target="https://doi.org/10.1016/S0010-9452(08)70204-1" TargetMode="External"/><Relationship Id="rId1191" Type="http://schemas.openxmlformats.org/officeDocument/2006/relationships/hyperlink" Target="https://doi.org/10.1097/01.HTR.0000300227.67748.77" TargetMode="External"/><Relationship Id="rId2035" Type="http://schemas.openxmlformats.org/officeDocument/2006/relationships/hyperlink" Target="https://doi.org/10.1016/j.addbeh.2006.06.015" TargetMode="External"/><Relationship Id="rId3433" Type="http://schemas.openxmlformats.org/officeDocument/2006/relationships/hyperlink" Target="https://doi.org/10.1046/j.1440-1819.2002.00924.x" TargetMode="External"/><Relationship Id="rId3640" Type="http://schemas.openxmlformats.org/officeDocument/2006/relationships/hyperlink" Target="https://doi.org/10.1080/13803390490918048" TargetMode="External"/><Relationship Id="rId561" Type="http://schemas.openxmlformats.org/officeDocument/2006/relationships/hyperlink" Target="https://doi.org/10.1016/j.schres.2011.05.015" TargetMode="External"/><Relationship Id="rId2242" Type="http://schemas.openxmlformats.org/officeDocument/2006/relationships/hyperlink" Target="https://doi.org/10.1348/174866410X497382" TargetMode="External"/><Relationship Id="rId3500" Type="http://schemas.openxmlformats.org/officeDocument/2006/relationships/hyperlink" Target="https://doi.org/10.1016/S1369-8478(03)00023-8" TargetMode="External"/><Relationship Id="rId5398" Type="http://schemas.openxmlformats.org/officeDocument/2006/relationships/hyperlink" Target="https://doi.org/10.1017/S1355617705050769" TargetMode="External"/><Relationship Id="rId6449" Type="http://schemas.openxmlformats.org/officeDocument/2006/relationships/hyperlink" Target="https://doi.org/10.1159/000086609" TargetMode="External"/><Relationship Id="rId214" Type="http://schemas.openxmlformats.org/officeDocument/2006/relationships/hyperlink" Target="https://doi.org/10.5042/bjfp.2010.0425" TargetMode="External"/><Relationship Id="rId421" Type="http://schemas.openxmlformats.org/officeDocument/2006/relationships/hyperlink" Target="https://doi.org/10.1016/j.schres.2007.08.010" TargetMode="External"/><Relationship Id="rId1051" Type="http://schemas.openxmlformats.org/officeDocument/2006/relationships/hyperlink" Target="https://doi.org/10.1111/j.1530-0277.2008.00878.x" TargetMode="External"/><Relationship Id="rId2102" Type="http://schemas.openxmlformats.org/officeDocument/2006/relationships/hyperlink" Target="https://doi.org/10.1001/archpsyc.1997.01830140071013" TargetMode="External"/><Relationship Id="rId5258" Type="http://schemas.openxmlformats.org/officeDocument/2006/relationships/hyperlink" Target="https://doi.org/10.1177/0734282913490917" TargetMode="External"/><Relationship Id="rId5465" Type="http://schemas.openxmlformats.org/officeDocument/2006/relationships/hyperlink" Target="https://doi.org/10.1016/j.neuropsychologia.2006.01.029" TargetMode="External"/><Relationship Id="rId5672" Type="http://schemas.openxmlformats.org/officeDocument/2006/relationships/hyperlink" Target="https://doi.org/10.1037/0894-4105.20.6.658" TargetMode="External"/><Relationship Id="rId6309" Type="http://schemas.openxmlformats.org/officeDocument/2006/relationships/hyperlink" Target="https://doi.org/10.1371/journal.pone.0055942" TargetMode="External"/><Relationship Id="rId6516" Type="http://schemas.openxmlformats.org/officeDocument/2006/relationships/hyperlink" Target="https://doi.org/10.2147/NDT.S120843" TargetMode="External"/><Relationship Id="rId1868" Type="http://schemas.openxmlformats.org/officeDocument/2006/relationships/hyperlink" Target="https://doi.org/10.1016/j.psychres.2018.02.046" TargetMode="External"/><Relationship Id="rId4067" Type="http://schemas.openxmlformats.org/officeDocument/2006/relationships/hyperlink" Target="https://doi.org/10.4088/JCP.v68n0715" TargetMode="External"/><Relationship Id="rId4274" Type="http://schemas.openxmlformats.org/officeDocument/2006/relationships/hyperlink" Target="https://doi.org/10.1016/j.schres.2018.11.027" TargetMode="External"/><Relationship Id="rId4481" Type="http://schemas.openxmlformats.org/officeDocument/2006/relationships/hyperlink" Target="https://doi.org/10.3389/fpsyg.2019.01798" TargetMode="External"/><Relationship Id="rId5118" Type="http://schemas.openxmlformats.org/officeDocument/2006/relationships/hyperlink" Target="https://doi.org/10.1007/s12207-010-9068-x" TargetMode="External"/><Relationship Id="rId5325" Type="http://schemas.openxmlformats.org/officeDocument/2006/relationships/hyperlink" Target="https://doi.org/10.1016/j.jpain.2013.05.008" TargetMode="External"/><Relationship Id="rId5532" Type="http://schemas.openxmlformats.org/officeDocument/2006/relationships/hyperlink" Target="https://doi.org/10.1017/S1355617706060528" TargetMode="External"/><Relationship Id="rId2919" Type="http://schemas.openxmlformats.org/officeDocument/2006/relationships/hyperlink" Target="https://doi.org/10.1093/oxfordjournals.schbul.a007045" TargetMode="External"/><Relationship Id="rId3083" Type="http://schemas.openxmlformats.org/officeDocument/2006/relationships/hyperlink" Target="https://doi.org/10.1176/jnp.9.4.549" TargetMode="External"/><Relationship Id="rId3290" Type="http://schemas.openxmlformats.org/officeDocument/2006/relationships/hyperlink" Target="https://doi.org/10.1016/j.rasd.2012.03.001" TargetMode="External"/><Relationship Id="rId4134" Type="http://schemas.openxmlformats.org/officeDocument/2006/relationships/hyperlink" Target="https://doi.org/10.1016/j.jad.2006.03.013" TargetMode="External"/><Relationship Id="rId4341" Type="http://schemas.openxmlformats.org/officeDocument/2006/relationships/hyperlink" Target="https://doi.org/10.1016/j.neuropsychologia.2015.04.012" TargetMode="External"/><Relationship Id="rId1728" Type="http://schemas.openxmlformats.org/officeDocument/2006/relationships/hyperlink" Target="https://doi.org/10.1016/j.biopsych.2009.02.024" TargetMode="External"/><Relationship Id="rId1935" Type="http://schemas.openxmlformats.org/officeDocument/2006/relationships/hyperlink" Target="https://doi.org/10.1111/jnp.12158" TargetMode="External"/><Relationship Id="rId3150" Type="http://schemas.openxmlformats.org/officeDocument/2006/relationships/hyperlink" Target="https://doi.org/10.1016/j.schres.2009.08.011" TargetMode="External"/><Relationship Id="rId4201" Type="http://schemas.openxmlformats.org/officeDocument/2006/relationships/hyperlink" Target="https://doi.org/10.1007/s13365-012-0091-4" TargetMode="External"/><Relationship Id="rId6099" Type="http://schemas.openxmlformats.org/officeDocument/2006/relationships/hyperlink" Target="https://doi.org/10.1016/j.biopsych.2006.03.071" TargetMode="External"/><Relationship Id="rId3010" Type="http://schemas.openxmlformats.org/officeDocument/2006/relationships/hyperlink" Target="https://doi.org/10.1080/02699050410001720022" TargetMode="External"/><Relationship Id="rId6166" Type="http://schemas.openxmlformats.org/officeDocument/2006/relationships/hyperlink" Target="https://doi.org/10.1177/0004867417745996" TargetMode="External"/><Relationship Id="rId3967" Type="http://schemas.openxmlformats.org/officeDocument/2006/relationships/hyperlink" Target="https://doi.org/10.1016/S1353-8020(11)70025-6" TargetMode="External"/><Relationship Id="rId6373" Type="http://schemas.openxmlformats.org/officeDocument/2006/relationships/hyperlink" Target="https://doi.org/10.1093/arclin/acq062" TargetMode="External"/><Relationship Id="rId4" Type="http://schemas.openxmlformats.org/officeDocument/2006/relationships/hyperlink" Target="https://www.zotero.org/groups/4534945/wisconsin_card_sorting_test" TargetMode="External"/><Relationship Id="rId888" Type="http://schemas.openxmlformats.org/officeDocument/2006/relationships/hyperlink" Target="https://doi.org/10.1001/archneur.64.9.1306" TargetMode="External"/><Relationship Id="rId2569" Type="http://schemas.openxmlformats.org/officeDocument/2006/relationships/hyperlink" Target="https://doi.org/10.1080/13546805.2012.708654" TargetMode="External"/><Relationship Id="rId2776" Type="http://schemas.openxmlformats.org/officeDocument/2006/relationships/hyperlink" Target="https://doi.org/10.1007/s10461-016-1316-y" TargetMode="External"/><Relationship Id="rId2983" Type="http://schemas.openxmlformats.org/officeDocument/2006/relationships/hyperlink" Target="https://doi.org/10.1016/B978-0-12-410388-7.00011-7" TargetMode="External"/><Relationship Id="rId3827" Type="http://schemas.openxmlformats.org/officeDocument/2006/relationships/hyperlink" Target="https://doi.org/10.1002/9781118650868.ch12" TargetMode="External"/><Relationship Id="rId5182" Type="http://schemas.openxmlformats.org/officeDocument/2006/relationships/hyperlink" Target="https://doi.org/10.1097/NMD.0b013e31819d9533" TargetMode="External"/><Relationship Id="rId6026" Type="http://schemas.openxmlformats.org/officeDocument/2006/relationships/hyperlink" Target="https://doi.org/10.1016/j.neuropsychologia.2004.12.011" TargetMode="External"/><Relationship Id="rId6233" Type="http://schemas.openxmlformats.org/officeDocument/2006/relationships/hyperlink" Target="https://doi.org/10.1080/87565649809540734" TargetMode="External"/><Relationship Id="rId6440" Type="http://schemas.openxmlformats.org/officeDocument/2006/relationships/hyperlink" Target="https://doi.org/10.1016/0920-9964(93)90046-L" TargetMode="External"/><Relationship Id="rId748" Type="http://schemas.openxmlformats.org/officeDocument/2006/relationships/hyperlink" Target="https://doi.org/10.1016/S0165-1781(97)00050-4" TargetMode="External"/><Relationship Id="rId955" Type="http://schemas.openxmlformats.org/officeDocument/2006/relationships/hyperlink" Target="https://doi.org/10.1002/gps.1521" TargetMode="External"/><Relationship Id="rId1378" Type="http://schemas.openxmlformats.org/officeDocument/2006/relationships/hyperlink" Target="https://doi.org/10.1007/s12311-011-0322-x" TargetMode="External"/><Relationship Id="rId1585" Type="http://schemas.openxmlformats.org/officeDocument/2006/relationships/hyperlink" Target="https://doi.org/10.1007/s10803-013-1834-7" TargetMode="External"/><Relationship Id="rId1792" Type="http://schemas.openxmlformats.org/officeDocument/2006/relationships/hyperlink" Target="https://doi.org/10.1037/pne0000045" TargetMode="External"/><Relationship Id="rId2429" Type="http://schemas.openxmlformats.org/officeDocument/2006/relationships/hyperlink" Target="https://doi.org/10.1080/13854046.2014.925142" TargetMode="External"/><Relationship Id="rId2636" Type="http://schemas.openxmlformats.org/officeDocument/2006/relationships/hyperlink" Target="https://doi.org/10.1027/1192-5604.22.1.198" TargetMode="External"/><Relationship Id="rId2843" Type="http://schemas.openxmlformats.org/officeDocument/2006/relationships/hyperlink" Target="https://doi.org/10.1080/09297040590911211" TargetMode="External"/><Relationship Id="rId5042" Type="http://schemas.openxmlformats.org/officeDocument/2006/relationships/hyperlink" Target="https://doi.org/10.1521/bumc.2014.78.4.301" TargetMode="External"/><Relationship Id="rId5999" Type="http://schemas.openxmlformats.org/officeDocument/2006/relationships/hyperlink" Target="https://doi.org/10.1111/j.1600-0447.2011.01702.x" TargetMode="External"/><Relationship Id="rId6300" Type="http://schemas.openxmlformats.org/officeDocument/2006/relationships/hyperlink" Target="https://doi.org/10.1038/npp.2014.327" TargetMode="External"/><Relationship Id="rId84" Type="http://schemas.openxmlformats.org/officeDocument/2006/relationships/hyperlink" Target="https://doi.org/10.1016/j.yebeh.2004.08.018" TargetMode="External"/><Relationship Id="rId608" Type="http://schemas.openxmlformats.org/officeDocument/2006/relationships/hyperlink" Target="https://doi.org/10.1017/S0033291717000952" TargetMode="External"/><Relationship Id="rId815" Type="http://schemas.openxmlformats.org/officeDocument/2006/relationships/hyperlink" Target="https://doi.org/10.1155/2010/768153" TargetMode="External"/><Relationship Id="rId1238" Type="http://schemas.openxmlformats.org/officeDocument/2006/relationships/hyperlink" Target="https://doi.org/10.1016/j.psychres.2010.10.005" TargetMode="External"/><Relationship Id="rId1445" Type="http://schemas.openxmlformats.org/officeDocument/2006/relationships/hyperlink" Target="https://doi.org/10.1093/med/9780199644957.003.0036" TargetMode="External"/><Relationship Id="rId1652" Type="http://schemas.openxmlformats.org/officeDocument/2006/relationships/hyperlink" Target="https://doi.org/10.1080/09602011.2018.1517369" TargetMode="External"/><Relationship Id="rId1305" Type="http://schemas.openxmlformats.org/officeDocument/2006/relationships/hyperlink" Target="https://doi.org/10.1136/jnnp.74.2.175" TargetMode="External"/><Relationship Id="rId2703" Type="http://schemas.openxmlformats.org/officeDocument/2006/relationships/hyperlink" Target="https://doi.org/10.1080/13854046.2018.1535664" TargetMode="External"/><Relationship Id="rId2910" Type="http://schemas.openxmlformats.org/officeDocument/2006/relationships/hyperlink" Target="https://doi.org/10.1080/15487768.2014.935677" TargetMode="External"/><Relationship Id="rId5859" Type="http://schemas.openxmlformats.org/officeDocument/2006/relationships/hyperlink" Target="https://doi.org/10.1007/978-1-4614-3106-0_22" TargetMode="External"/><Relationship Id="rId1512" Type="http://schemas.openxmlformats.org/officeDocument/2006/relationships/hyperlink" Target="https://doi.org/10.1080/13554794.2010.487829" TargetMode="External"/><Relationship Id="rId4668" Type="http://schemas.openxmlformats.org/officeDocument/2006/relationships/hyperlink" Target="https://doi.org/10.1016/B978-0-12-800981-9.00010-9" TargetMode="External"/><Relationship Id="rId4875" Type="http://schemas.openxmlformats.org/officeDocument/2006/relationships/hyperlink" Target="https://doi.org/10.1037/0000032-007" TargetMode="External"/><Relationship Id="rId5719" Type="http://schemas.openxmlformats.org/officeDocument/2006/relationships/hyperlink" Target="https://doi.org/10.3389/fpsyt.2018.00709" TargetMode="External"/><Relationship Id="rId5926" Type="http://schemas.openxmlformats.org/officeDocument/2006/relationships/hyperlink" Target="https://doi.org/10.1016/j.schres.2015.08.038" TargetMode="External"/><Relationship Id="rId6090" Type="http://schemas.openxmlformats.org/officeDocument/2006/relationships/hyperlink" Target="https://doi.org/10.1016/j.neubiorev.2011.09.003" TargetMode="External"/><Relationship Id="rId11" Type="http://schemas.openxmlformats.org/officeDocument/2006/relationships/hyperlink" Target="https://doi.org/10.1016/j.parkreldis.2014.12.018" TargetMode="External"/><Relationship Id="rId398" Type="http://schemas.openxmlformats.org/officeDocument/2006/relationships/hyperlink" Target="https://doi.org/10.1016/j.neuroimage.2012.01.037" TargetMode="External"/><Relationship Id="rId2079" Type="http://schemas.openxmlformats.org/officeDocument/2006/relationships/hyperlink" Target="https://doi.org/10.1080/13803395.2011.589375" TargetMode="External"/><Relationship Id="rId3477" Type="http://schemas.openxmlformats.org/officeDocument/2006/relationships/hyperlink" Target="https://doi.org/10.1176/appi.ajp.162.3.466" TargetMode="External"/><Relationship Id="rId3684" Type="http://schemas.openxmlformats.org/officeDocument/2006/relationships/hyperlink" Target="https://doi.org/10.3389/fnagi.2018.00069" TargetMode="External"/><Relationship Id="rId3891" Type="http://schemas.openxmlformats.org/officeDocument/2006/relationships/hyperlink" Target="https://doi.org/10.1093/schbul/sbu025" TargetMode="External"/><Relationship Id="rId4528" Type="http://schemas.openxmlformats.org/officeDocument/2006/relationships/hyperlink" Target="https://doi.org/10.3389/fnagi.2020.593526" TargetMode="External"/><Relationship Id="rId4735" Type="http://schemas.openxmlformats.org/officeDocument/2006/relationships/hyperlink" Target="https://doi.org/10.1016/j.psychres.2016.08.062" TargetMode="External"/><Relationship Id="rId4942" Type="http://schemas.openxmlformats.org/officeDocument/2006/relationships/hyperlink" Target="https://doi.org/10.1016/j.eatbeh.2016.07.010" TargetMode="External"/><Relationship Id="rId2286" Type="http://schemas.openxmlformats.org/officeDocument/2006/relationships/hyperlink" Target="https://doi.org/10.1016/j.neuropharm.2011.12.032" TargetMode="External"/><Relationship Id="rId2493" Type="http://schemas.openxmlformats.org/officeDocument/2006/relationships/hyperlink" Target="https://doi.org/10.1016/j.schres.2015.05.033" TargetMode="External"/><Relationship Id="rId3337" Type="http://schemas.openxmlformats.org/officeDocument/2006/relationships/hyperlink" Target="https://doi.org/10.1002/ajmg.b.30379" TargetMode="External"/><Relationship Id="rId3544" Type="http://schemas.openxmlformats.org/officeDocument/2006/relationships/hyperlink" Target="https://doi.org/10.1016/j.schres.2010.06.019" TargetMode="External"/><Relationship Id="rId3751" Type="http://schemas.openxmlformats.org/officeDocument/2006/relationships/hyperlink" Target="https://doi.org/10.1186/1744-9081-8-25" TargetMode="External"/><Relationship Id="rId4802" Type="http://schemas.openxmlformats.org/officeDocument/2006/relationships/hyperlink" Target="https://doi.org/10.1016/j.psychres.2014.01.029" TargetMode="External"/><Relationship Id="rId258" Type="http://schemas.openxmlformats.org/officeDocument/2006/relationships/hyperlink" Target="https://doi.org/10.1002/gps.1015" TargetMode="External"/><Relationship Id="rId465" Type="http://schemas.openxmlformats.org/officeDocument/2006/relationships/hyperlink" Target="https://doi.org/10.1016/S0028-3932(98)00137-7" TargetMode="External"/><Relationship Id="rId672" Type="http://schemas.openxmlformats.org/officeDocument/2006/relationships/hyperlink" Target="https://doi.org/10.1080/13546800801900587" TargetMode="External"/><Relationship Id="rId1095" Type="http://schemas.openxmlformats.org/officeDocument/2006/relationships/hyperlink" Target="https://doi.org/10.1037/a0019181" TargetMode="External"/><Relationship Id="rId2146" Type="http://schemas.openxmlformats.org/officeDocument/2006/relationships/hyperlink" Target="https://doi.org/10.1097/00005053-200111000-00004" TargetMode="External"/><Relationship Id="rId2353" Type="http://schemas.openxmlformats.org/officeDocument/2006/relationships/hyperlink" Target="https://doi.org/10.1016/j.intell.2006.04.004" TargetMode="External"/><Relationship Id="rId2560" Type="http://schemas.openxmlformats.org/officeDocument/2006/relationships/hyperlink" Target="https://doi.org/10.1177/1087054713502079" TargetMode="External"/><Relationship Id="rId3404" Type="http://schemas.openxmlformats.org/officeDocument/2006/relationships/hyperlink" Target="https://doi.org/10.1371/journal.pone.0034454" TargetMode="External"/><Relationship Id="rId3611" Type="http://schemas.openxmlformats.org/officeDocument/2006/relationships/hyperlink" Target="https://doi.org/10.1080/09602011.2018.1468271" TargetMode="External"/><Relationship Id="rId118" Type="http://schemas.openxmlformats.org/officeDocument/2006/relationships/hyperlink" Target="https://doi.org/10.1016/j.bandc.2009.10.011" TargetMode="External"/><Relationship Id="rId325" Type="http://schemas.openxmlformats.org/officeDocument/2006/relationships/hyperlink" Target="https://doi.org/10.1016/j.neuropsychologia.2005.12.005" TargetMode="External"/><Relationship Id="rId532" Type="http://schemas.openxmlformats.org/officeDocument/2006/relationships/hyperlink" Target="https://doi.org/10.1016/j.jmp.2008.10.002" TargetMode="External"/><Relationship Id="rId1162" Type="http://schemas.openxmlformats.org/officeDocument/2006/relationships/hyperlink" Target="https://doi.org/10.1080/09602011.2011.641434" TargetMode="External"/><Relationship Id="rId2006" Type="http://schemas.openxmlformats.org/officeDocument/2006/relationships/hyperlink" Target="https://doi.org/10.1080/09602010701529325" TargetMode="External"/><Relationship Id="rId2213" Type="http://schemas.openxmlformats.org/officeDocument/2006/relationships/hyperlink" Target="https://doi.org/10.1177/1073191102009003006" TargetMode="External"/><Relationship Id="rId2420" Type="http://schemas.openxmlformats.org/officeDocument/2006/relationships/hyperlink" Target="https://doi.org/10.1016/j.clinph.2009.11.082" TargetMode="External"/><Relationship Id="rId5369" Type="http://schemas.openxmlformats.org/officeDocument/2006/relationships/hyperlink" Target="https://doi.org/10.1093/brain/awf247" TargetMode="External"/><Relationship Id="rId5576" Type="http://schemas.openxmlformats.org/officeDocument/2006/relationships/hyperlink" Target="https://doi.org/10.1016/S0165-1781(01)00230-X" TargetMode="External"/><Relationship Id="rId5783" Type="http://schemas.openxmlformats.org/officeDocument/2006/relationships/hyperlink" Target="https://doi.org/10.1016/j.beproc.2012.07.002" TargetMode="External"/><Relationship Id="rId1022" Type="http://schemas.openxmlformats.org/officeDocument/2006/relationships/hyperlink" Target="https://doi.org/10.1016/S0165-1781(00)00237-7" TargetMode="External"/><Relationship Id="rId4178" Type="http://schemas.openxmlformats.org/officeDocument/2006/relationships/hyperlink" Target="https://doi.org/10.1080/09602011.2012.761944" TargetMode="External"/><Relationship Id="rId4385" Type="http://schemas.openxmlformats.org/officeDocument/2006/relationships/hyperlink" Target="https://doi.org/10.1016/j.neubiorev.2013.04.016" TargetMode="External"/><Relationship Id="rId4592" Type="http://schemas.openxmlformats.org/officeDocument/2006/relationships/hyperlink" Target="https://doi.org/10.1016/j.schres.2014.09.043" TargetMode="External"/><Relationship Id="rId5229" Type="http://schemas.openxmlformats.org/officeDocument/2006/relationships/hyperlink" Target="https://doi.org/10.5014/ajot.54.2.129" TargetMode="External"/><Relationship Id="rId5436" Type="http://schemas.openxmlformats.org/officeDocument/2006/relationships/hyperlink" Target="https://doi.org/10.1111/bjdp.12353" TargetMode="External"/><Relationship Id="rId5990" Type="http://schemas.openxmlformats.org/officeDocument/2006/relationships/hyperlink" Target="https://doi.org/10.1016/j.bandl.2005.09.001" TargetMode="External"/><Relationship Id="rId1979" Type="http://schemas.openxmlformats.org/officeDocument/2006/relationships/hyperlink" Target="https://doi.org/10.1016/j.neuropsychologia.2011.05.001" TargetMode="External"/><Relationship Id="rId3194" Type="http://schemas.openxmlformats.org/officeDocument/2006/relationships/hyperlink" Target="https://doi.org/10.1016/j.actpsy.2018.07.002" TargetMode="External"/><Relationship Id="rId4038" Type="http://schemas.openxmlformats.org/officeDocument/2006/relationships/hyperlink" Target="https://doi.org/10.1080/13854046.2014.964326" TargetMode="External"/><Relationship Id="rId4245" Type="http://schemas.openxmlformats.org/officeDocument/2006/relationships/hyperlink" Target="https://doi.org/10.1016/j.schres.2008.08.005" TargetMode="External"/><Relationship Id="rId5643" Type="http://schemas.openxmlformats.org/officeDocument/2006/relationships/hyperlink" Target="https://doi.org/10.1371/journal.pone.0042675" TargetMode="External"/><Relationship Id="rId5850" Type="http://schemas.openxmlformats.org/officeDocument/2006/relationships/hyperlink" Target="https://doi.org/10.1016/0165-1781(95)02709-2" TargetMode="External"/><Relationship Id="rId1839" Type="http://schemas.openxmlformats.org/officeDocument/2006/relationships/hyperlink" Target="https://doi.org/10.1016/j.jpsychires.2013.10.009" TargetMode="External"/><Relationship Id="rId3054" Type="http://schemas.openxmlformats.org/officeDocument/2006/relationships/hyperlink" Target="https://doi.org/10.1055/s-0034-1398610" TargetMode="External"/><Relationship Id="rId4452" Type="http://schemas.openxmlformats.org/officeDocument/2006/relationships/hyperlink" Target="https://doi.org/10.1080/09297049.2012.731500" TargetMode="External"/><Relationship Id="rId5503" Type="http://schemas.openxmlformats.org/officeDocument/2006/relationships/hyperlink" Target="https://doi.org/10.1007/s10212-018-0379-8" TargetMode="External"/><Relationship Id="rId5710" Type="http://schemas.openxmlformats.org/officeDocument/2006/relationships/hyperlink" Target="https://doi.org/10.1016/j.addbeh.2019.106081" TargetMode="External"/><Relationship Id="rId182" Type="http://schemas.openxmlformats.org/officeDocument/2006/relationships/hyperlink" Target="https://doi.org/10.1080/00221325.2011.602374" TargetMode="External"/><Relationship Id="rId1906" Type="http://schemas.openxmlformats.org/officeDocument/2006/relationships/hyperlink" Target="https://doi.org/10.1177/0269881106067243" TargetMode="External"/><Relationship Id="rId3261" Type="http://schemas.openxmlformats.org/officeDocument/2006/relationships/hyperlink" Target="https://doi.org/10.1016/j.pscychresns.2009.08.003" TargetMode="External"/><Relationship Id="rId4105" Type="http://schemas.openxmlformats.org/officeDocument/2006/relationships/hyperlink" Target="https://doi.org/10.1093/schbul/sbq043" TargetMode="External"/><Relationship Id="rId4312" Type="http://schemas.openxmlformats.org/officeDocument/2006/relationships/hyperlink" Target="https://doi.org/10.1080/13803390801992725" TargetMode="External"/><Relationship Id="rId2070" Type="http://schemas.openxmlformats.org/officeDocument/2006/relationships/hyperlink" Target="https://doi.org/10.1162/jocn.2009.21274" TargetMode="External"/><Relationship Id="rId3121" Type="http://schemas.openxmlformats.org/officeDocument/2006/relationships/hyperlink" Target="https://doi.org/10.1093/arclin/acx130" TargetMode="External"/><Relationship Id="rId6277" Type="http://schemas.openxmlformats.org/officeDocument/2006/relationships/hyperlink" Target="https://doi.org/10.1177/1362361315586171" TargetMode="External"/><Relationship Id="rId6484" Type="http://schemas.openxmlformats.org/officeDocument/2006/relationships/hyperlink" Target="https://doi.org/10.1111/jcpp.13096" TargetMode="External"/><Relationship Id="rId999" Type="http://schemas.openxmlformats.org/officeDocument/2006/relationships/hyperlink" Target="https://doi.org/10.1016/j.acn.2005.12.002" TargetMode="External"/><Relationship Id="rId2887" Type="http://schemas.openxmlformats.org/officeDocument/2006/relationships/hyperlink" Target="https://doi.org/10.1146/annurev-neuro-071013-014243" TargetMode="External"/><Relationship Id="rId5086" Type="http://schemas.openxmlformats.org/officeDocument/2006/relationships/hyperlink" Target="https://doi.org/10.1055/s-2003-41197" TargetMode="External"/><Relationship Id="rId5293" Type="http://schemas.openxmlformats.org/officeDocument/2006/relationships/hyperlink" Target="https://doi.org/10.1080/13854046.2017.1332240" TargetMode="External"/><Relationship Id="rId6137" Type="http://schemas.openxmlformats.org/officeDocument/2006/relationships/hyperlink" Target="https://doi.org/10.1037/neu0000322" TargetMode="External"/><Relationship Id="rId6344" Type="http://schemas.openxmlformats.org/officeDocument/2006/relationships/hyperlink" Target="https://doi.org/10.1017/S1355617703910022" TargetMode="External"/><Relationship Id="rId859" Type="http://schemas.openxmlformats.org/officeDocument/2006/relationships/hyperlink" Target="https://doi.org/10.1080/13803390590949494" TargetMode="External"/><Relationship Id="rId1489" Type="http://schemas.openxmlformats.org/officeDocument/2006/relationships/hyperlink" Target="https://doi.org/10.1016/j.psychres.2019.02.033" TargetMode="External"/><Relationship Id="rId1696" Type="http://schemas.openxmlformats.org/officeDocument/2006/relationships/hyperlink" Target="https://doi.org/10.1016/j.cortex.2017.01.007" TargetMode="External"/><Relationship Id="rId3938" Type="http://schemas.openxmlformats.org/officeDocument/2006/relationships/hyperlink" Target="https://doi.org/10.1111/pcn.12648" TargetMode="External"/><Relationship Id="rId5153" Type="http://schemas.openxmlformats.org/officeDocument/2006/relationships/hyperlink" Target="https://doi.org/10.1016/j.brat.2021.103834" TargetMode="External"/><Relationship Id="rId5360" Type="http://schemas.openxmlformats.org/officeDocument/2006/relationships/hyperlink" Target="https://doi.org/10.1016/S0278-2626(03)00142-8" TargetMode="External"/><Relationship Id="rId6204" Type="http://schemas.openxmlformats.org/officeDocument/2006/relationships/hyperlink" Target="https://doi.org/10.1016/j.ridd.2013.01.035" TargetMode="External"/><Relationship Id="rId6411" Type="http://schemas.openxmlformats.org/officeDocument/2006/relationships/hyperlink" Target="https://doi.org/10.1542/peds.2012-0324" TargetMode="External"/><Relationship Id="rId1349" Type="http://schemas.openxmlformats.org/officeDocument/2006/relationships/hyperlink" Target="https://doi.org/10.1177/1077559513497420" TargetMode="External"/><Relationship Id="rId2747" Type="http://schemas.openxmlformats.org/officeDocument/2006/relationships/hyperlink" Target="https://doi.org/10.1080/13554794.2010.509324" TargetMode="External"/><Relationship Id="rId2954" Type="http://schemas.openxmlformats.org/officeDocument/2006/relationships/hyperlink" Target="https://doi.org/10.1017/S1355617709090213" TargetMode="External"/><Relationship Id="rId5013" Type="http://schemas.openxmlformats.org/officeDocument/2006/relationships/hyperlink" Target="https://doi.org/10.1016/j.yebeh.2018.05.029" TargetMode="External"/><Relationship Id="rId5220" Type="http://schemas.openxmlformats.org/officeDocument/2006/relationships/hyperlink" Target="https://doi.org/10.1007/s00213-011-2472-4" TargetMode="External"/><Relationship Id="rId719" Type="http://schemas.openxmlformats.org/officeDocument/2006/relationships/hyperlink" Target="https://doi.org/10.1093/arclin/acp092" TargetMode="External"/><Relationship Id="rId926" Type="http://schemas.openxmlformats.org/officeDocument/2006/relationships/hyperlink" Target="https://doi.org/10.1080/13854046.2012.725100" TargetMode="External"/><Relationship Id="rId1556" Type="http://schemas.openxmlformats.org/officeDocument/2006/relationships/hyperlink" Target="https://doi.org/10.1176/appi.ajgp.13.3.218" TargetMode="External"/><Relationship Id="rId1763" Type="http://schemas.openxmlformats.org/officeDocument/2006/relationships/hyperlink" Target="https://doi.org/10.1080/09297040802577311" TargetMode="External"/><Relationship Id="rId1970" Type="http://schemas.openxmlformats.org/officeDocument/2006/relationships/hyperlink" Target="https://doi.org/10.1111/j.0013-9580.2005.15804.x" TargetMode="External"/><Relationship Id="rId2607" Type="http://schemas.openxmlformats.org/officeDocument/2006/relationships/hyperlink" Target="https://doi.org/10.1016/j.schres.2013.06.019" TargetMode="External"/><Relationship Id="rId2814" Type="http://schemas.openxmlformats.org/officeDocument/2006/relationships/hyperlink" Target="https://doi.org/10.1177/1087054716677816" TargetMode="External"/><Relationship Id="rId55" Type="http://schemas.openxmlformats.org/officeDocument/2006/relationships/hyperlink" Target="https://doi.org/10.1046/j.1468-1331.2003.00633.x" TargetMode="External"/><Relationship Id="rId1209" Type="http://schemas.openxmlformats.org/officeDocument/2006/relationships/hyperlink" Target="https://doi.org/10.1177/0004867412445528" TargetMode="External"/><Relationship Id="rId1416" Type="http://schemas.openxmlformats.org/officeDocument/2006/relationships/hyperlink" Target="https://doi.org/10.1016/j.jns.2012.02.003" TargetMode="External"/><Relationship Id="rId1623" Type="http://schemas.openxmlformats.org/officeDocument/2006/relationships/hyperlink" Target="https://doi.org/10.1016/j.psychres.2016.02.028" TargetMode="External"/><Relationship Id="rId1830" Type="http://schemas.openxmlformats.org/officeDocument/2006/relationships/hyperlink" Target="https://doi.org/10.1017/S0033291716001951" TargetMode="External"/><Relationship Id="rId4779" Type="http://schemas.openxmlformats.org/officeDocument/2006/relationships/hyperlink" Target="https://doi.org/10.1016/j.ridd.2016.11.008" TargetMode="External"/><Relationship Id="rId4986" Type="http://schemas.openxmlformats.org/officeDocument/2006/relationships/hyperlink" Target="https://doi.org/10.1523/JNEUROSCI.0169-13.2013" TargetMode="External"/><Relationship Id="rId3588" Type="http://schemas.openxmlformats.org/officeDocument/2006/relationships/hyperlink" Target="https://doi.org/10.1176/appi.ps.201800562" TargetMode="External"/><Relationship Id="rId3795" Type="http://schemas.openxmlformats.org/officeDocument/2006/relationships/hyperlink" Target="https://doi.org/10.1016/j.yebeh.2006.04.007" TargetMode="External"/><Relationship Id="rId4639" Type="http://schemas.openxmlformats.org/officeDocument/2006/relationships/hyperlink" Target="https://doi.org/10.1177/1545968309338193" TargetMode="External"/><Relationship Id="rId4846" Type="http://schemas.openxmlformats.org/officeDocument/2006/relationships/hyperlink" Target="https://doi.org/10.1016/j.pnpbp.2009.01.002" TargetMode="External"/><Relationship Id="rId2397" Type="http://schemas.openxmlformats.org/officeDocument/2006/relationships/hyperlink" Target="https://doi.org/10.1007/s13365-010-0006-1" TargetMode="External"/><Relationship Id="rId3448" Type="http://schemas.openxmlformats.org/officeDocument/2006/relationships/hyperlink" Target="https://doi.org/10.1111/j.1369-1600.2009.00146.x" TargetMode="External"/><Relationship Id="rId3655" Type="http://schemas.openxmlformats.org/officeDocument/2006/relationships/hyperlink" Target="https://doi.org/10.1016/j.cortex.2008.10.010" TargetMode="External"/><Relationship Id="rId3862" Type="http://schemas.openxmlformats.org/officeDocument/2006/relationships/hyperlink" Target="https://doi.org/10.1016/j.neuropsychologia.2020.107574" TargetMode="External"/><Relationship Id="rId4706" Type="http://schemas.openxmlformats.org/officeDocument/2006/relationships/hyperlink" Target="https://doi.org/10.1093/brain/awr179" TargetMode="External"/><Relationship Id="rId6061" Type="http://schemas.openxmlformats.org/officeDocument/2006/relationships/hyperlink" Target="https://doi.org/10.1016/S0924-9338(00)00238-8" TargetMode="External"/><Relationship Id="rId369" Type="http://schemas.openxmlformats.org/officeDocument/2006/relationships/hyperlink" Target="https://doi.org/10.1080/09602011.2016.1176934" TargetMode="External"/><Relationship Id="rId576" Type="http://schemas.openxmlformats.org/officeDocument/2006/relationships/hyperlink" Target="https://doi.org/10.1016/j.yebeh.2018.10.026" TargetMode="External"/><Relationship Id="rId783" Type="http://schemas.openxmlformats.org/officeDocument/2006/relationships/hyperlink" Target="https://doi.org/10.1080/00221320009596709" TargetMode="External"/><Relationship Id="rId990" Type="http://schemas.openxmlformats.org/officeDocument/2006/relationships/hyperlink" Target="https://doi.org/10.1016/j.neurobiolaging.2007.03.017" TargetMode="External"/><Relationship Id="rId2257" Type="http://schemas.openxmlformats.org/officeDocument/2006/relationships/hyperlink" Target="https://doi.org/10.1007/s10578-015-0533-3" TargetMode="External"/><Relationship Id="rId2464" Type="http://schemas.openxmlformats.org/officeDocument/2006/relationships/hyperlink" Target="https://doi.org/10.1080/13803390801982734" TargetMode="External"/><Relationship Id="rId2671" Type="http://schemas.openxmlformats.org/officeDocument/2006/relationships/hyperlink" Target="https://doi.org/10.1016/j.neures.2011.05.003" TargetMode="External"/><Relationship Id="rId3308" Type="http://schemas.openxmlformats.org/officeDocument/2006/relationships/hyperlink" Target="https://doi.org/10.1016/j.paid.2007.01.015" TargetMode="External"/><Relationship Id="rId3515" Type="http://schemas.openxmlformats.org/officeDocument/2006/relationships/hyperlink" Target="https://doi.org/10.1097/00005053-199505000-00010" TargetMode="External"/><Relationship Id="rId4913" Type="http://schemas.openxmlformats.org/officeDocument/2006/relationships/hyperlink" Target="https://doi.org/10.1192/bjp.187.6.529" TargetMode="External"/><Relationship Id="rId229" Type="http://schemas.openxmlformats.org/officeDocument/2006/relationships/hyperlink" Target="https://doi.org/10.1080/09540120903482994" TargetMode="External"/><Relationship Id="rId436" Type="http://schemas.openxmlformats.org/officeDocument/2006/relationships/hyperlink" Target="https://doi.org/10.1521/jscp.2012.31.1.81" TargetMode="External"/><Relationship Id="rId643" Type="http://schemas.openxmlformats.org/officeDocument/2006/relationships/hyperlink" Target="https://doi.org/10.1037/cep0000005" TargetMode="External"/><Relationship Id="rId1066" Type="http://schemas.openxmlformats.org/officeDocument/2006/relationships/hyperlink" Target="https://doi.org/10.3389/fpsyg.2017.02364" TargetMode="External"/><Relationship Id="rId1273" Type="http://schemas.openxmlformats.org/officeDocument/2006/relationships/hyperlink" Target="https://doi.org/10.1080/13854040701563591" TargetMode="External"/><Relationship Id="rId1480" Type="http://schemas.openxmlformats.org/officeDocument/2006/relationships/hyperlink" Target="https://doi.org/10.1016/S0920-9964(96)00125-9" TargetMode="External"/><Relationship Id="rId2117" Type="http://schemas.openxmlformats.org/officeDocument/2006/relationships/hyperlink" Target="https://doi.org/10.1521/suli.2006.36.1.35" TargetMode="External"/><Relationship Id="rId2324" Type="http://schemas.openxmlformats.org/officeDocument/2006/relationships/hyperlink" Target="https://doi.org/10.5014/ajot.2018.025049" TargetMode="External"/><Relationship Id="rId3722" Type="http://schemas.openxmlformats.org/officeDocument/2006/relationships/hyperlink" Target="https://doi.org/10.1111/j.1468-1331.2010.03134.x" TargetMode="External"/><Relationship Id="rId850" Type="http://schemas.openxmlformats.org/officeDocument/2006/relationships/hyperlink" Target="https://doi.org/10.1002/dys.1588" TargetMode="External"/><Relationship Id="rId1133" Type="http://schemas.openxmlformats.org/officeDocument/2006/relationships/hyperlink" Target="https://doi.org/10.1176/appi.neuropsych.17.3.384" TargetMode="External"/><Relationship Id="rId2531" Type="http://schemas.openxmlformats.org/officeDocument/2006/relationships/hyperlink" Target="https://doi.org/10.1016/B978-0-12-404697-9.00012-1" TargetMode="External"/><Relationship Id="rId4289" Type="http://schemas.openxmlformats.org/officeDocument/2006/relationships/hyperlink" Target="https://doi.org/10.1016/j.brainresbull.2012.03.005" TargetMode="External"/><Relationship Id="rId5687" Type="http://schemas.openxmlformats.org/officeDocument/2006/relationships/hyperlink" Target="https://doi.org/10.9758/cpn.2015.13.1.109" TargetMode="External"/><Relationship Id="rId5894" Type="http://schemas.openxmlformats.org/officeDocument/2006/relationships/hyperlink" Target="https://doi.org/10.1080/14043858.2017.1305037" TargetMode="External"/><Relationship Id="rId503" Type="http://schemas.openxmlformats.org/officeDocument/2006/relationships/hyperlink" Target="https://doi.org/10.1080/87565640701729755" TargetMode="External"/><Relationship Id="rId710" Type="http://schemas.openxmlformats.org/officeDocument/2006/relationships/hyperlink" Target="https://doi.org/10.1207/s15326942dn2501&amp;2_5" TargetMode="External"/><Relationship Id="rId1340" Type="http://schemas.openxmlformats.org/officeDocument/2006/relationships/hyperlink" Target="https://doi.org/10.1007/s13365-013-0215-5" TargetMode="External"/><Relationship Id="rId3098" Type="http://schemas.openxmlformats.org/officeDocument/2006/relationships/hyperlink" Target="https://doi.org/10.1093/geronb/gbs070" TargetMode="External"/><Relationship Id="rId4496" Type="http://schemas.openxmlformats.org/officeDocument/2006/relationships/hyperlink" Target="https://doi.org/10.1037/a0025768" TargetMode="External"/><Relationship Id="rId5547" Type="http://schemas.openxmlformats.org/officeDocument/2006/relationships/hyperlink" Target="https://doi.org/10.1002/pon.1210" TargetMode="External"/><Relationship Id="rId5754" Type="http://schemas.openxmlformats.org/officeDocument/2006/relationships/hyperlink" Target="https://doi.org/10.1080/00207450590887475" TargetMode="External"/><Relationship Id="rId5961" Type="http://schemas.openxmlformats.org/officeDocument/2006/relationships/hyperlink" Target="https://doi.org/10.1016/j.jad.2020.12.090" TargetMode="External"/><Relationship Id="rId1200" Type="http://schemas.openxmlformats.org/officeDocument/2006/relationships/hyperlink" Target="https://doi.org/10.1017/S1355617717000777" TargetMode="External"/><Relationship Id="rId4149" Type="http://schemas.openxmlformats.org/officeDocument/2006/relationships/hyperlink" Target="https://doi.org/10.1016/j.schres.2006.10.005" TargetMode="External"/><Relationship Id="rId4356" Type="http://schemas.openxmlformats.org/officeDocument/2006/relationships/hyperlink" Target="https://doi.org/10.1016/j.euroneuro.2015.10.005" TargetMode="External"/><Relationship Id="rId4563" Type="http://schemas.openxmlformats.org/officeDocument/2006/relationships/hyperlink" Target="https://doi.org/10.1016/0191-8869(94)00183-S" TargetMode="External"/><Relationship Id="rId4770" Type="http://schemas.openxmlformats.org/officeDocument/2006/relationships/hyperlink" Target="https://doi.org/10.1037/neu0000510" TargetMode="External"/><Relationship Id="rId5407" Type="http://schemas.openxmlformats.org/officeDocument/2006/relationships/hyperlink" Target="https://doi.org/10.1016/j.schres.2010.11.022" TargetMode="External"/><Relationship Id="rId5614" Type="http://schemas.openxmlformats.org/officeDocument/2006/relationships/hyperlink" Target="https://doi.org/10.1080/13803390490510121" TargetMode="External"/><Relationship Id="rId5821" Type="http://schemas.openxmlformats.org/officeDocument/2006/relationships/hyperlink" Target="https://doi.org/10.1111/bdi.12154" TargetMode="External"/><Relationship Id="rId3165" Type="http://schemas.openxmlformats.org/officeDocument/2006/relationships/hyperlink" Target="https://doi.org/10.1176/appi.ps.54.12.1635" TargetMode="External"/><Relationship Id="rId3372" Type="http://schemas.openxmlformats.org/officeDocument/2006/relationships/hyperlink" Target="https://doi.org/10.1016/j.cortex.2011.11.005" TargetMode="External"/><Relationship Id="rId4009" Type="http://schemas.openxmlformats.org/officeDocument/2006/relationships/hyperlink" Target="https://doi.org/10.1016/S0887-6177(01)00130-5" TargetMode="External"/><Relationship Id="rId4216" Type="http://schemas.openxmlformats.org/officeDocument/2006/relationships/hyperlink" Target="https://doi.org/10.1016/S0010-9452(08)70888-8" TargetMode="External"/><Relationship Id="rId4423" Type="http://schemas.openxmlformats.org/officeDocument/2006/relationships/hyperlink" Target="https://doi.org/10.1016/S0920-9964(02)00359-6" TargetMode="External"/><Relationship Id="rId4630" Type="http://schemas.openxmlformats.org/officeDocument/2006/relationships/hyperlink" Target="https://doi.org/10.1080/02687030244000176" TargetMode="External"/><Relationship Id="rId293" Type="http://schemas.openxmlformats.org/officeDocument/2006/relationships/hyperlink" Target="https://doi.org/10.1177/0004867414561527" TargetMode="External"/><Relationship Id="rId2181" Type="http://schemas.openxmlformats.org/officeDocument/2006/relationships/hyperlink" Target="https://doi.org/10.1080/09084282.2011.595454" TargetMode="External"/><Relationship Id="rId3025" Type="http://schemas.openxmlformats.org/officeDocument/2006/relationships/hyperlink" Target="https://doi.org/10.1371/journal.pone.0036836" TargetMode="External"/><Relationship Id="rId3232" Type="http://schemas.openxmlformats.org/officeDocument/2006/relationships/hyperlink" Target="https://doi.org/10.1080/13546800600826371" TargetMode="External"/><Relationship Id="rId6388" Type="http://schemas.openxmlformats.org/officeDocument/2006/relationships/hyperlink" Target="https://doi.org/10.1016/j.psychres.2004.06.018" TargetMode="External"/><Relationship Id="rId153" Type="http://schemas.openxmlformats.org/officeDocument/2006/relationships/hyperlink" Target="https://doi.org/10.1590/S1980-57642013DN70300007" TargetMode="External"/><Relationship Id="rId360" Type="http://schemas.openxmlformats.org/officeDocument/2006/relationships/hyperlink" Target="https://doi.org/10.1016/0920-9964(94)90007-8" TargetMode="External"/><Relationship Id="rId2041" Type="http://schemas.openxmlformats.org/officeDocument/2006/relationships/hyperlink" Target="https://doi.org/10.1002/erv.2595" TargetMode="External"/><Relationship Id="rId5197" Type="http://schemas.openxmlformats.org/officeDocument/2006/relationships/hyperlink" Target="https://doi.org/10.1016/j.schres.2010.01.008" TargetMode="External"/><Relationship Id="rId6248" Type="http://schemas.openxmlformats.org/officeDocument/2006/relationships/hyperlink" Target="https://doi.org/10.1080/23279095.2015.1004574" TargetMode="External"/><Relationship Id="rId6455" Type="http://schemas.openxmlformats.org/officeDocument/2006/relationships/hyperlink" Target="https://doi.org/10.1007/978-0-387-78965-1_31" TargetMode="External"/><Relationship Id="rId220" Type="http://schemas.openxmlformats.org/officeDocument/2006/relationships/hyperlink" Target="https://doi.org/10.1076/clin.17.2.255.16502" TargetMode="External"/><Relationship Id="rId2998" Type="http://schemas.openxmlformats.org/officeDocument/2006/relationships/hyperlink" Target="https://doi.org/10.1007/s002210000506" TargetMode="External"/><Relationship Id="rId5057" Type="http://schemas.openxmlformats.org/officeDocument/2006/relationships/hyperlink" Target="https://doi.org/10.1016/j.dr.2005.09.001" TargetMode="External"/><Relationship Id="rId5264" Type="http://schemas.openxmlformats.org/officeDocument/2006/relationships/hyperlink" Target="https://doi.org/10.1177/0022219409355481" TargetMode="External"/><Relationship Id="rId6108" Type="http://schemas.openxmlformats.org/officeDocument/2006/relationships/hyperlink" Target="https://doi.org/10.1016/S0925-4927(97)00053-X" TargetMode="External"/><Relationship Id="rId2858" Type="http://schemas.openxmlformats.org/officeDocument/2006/relationships/hyperlink" Target="https://doi.org/10.1016/j.ajp.2017.04.004" TargetMode="External"/><Relationship Id="rId3909" Type="http://schemas.openxmlformats.org/officeDocument/2006/relationships/hyperlink" Target="https://doi.org/10.1017/S1355617713000301" TargetMode="External"/><Relationship Id="rId4073" Type="http://schemas.openxmlformats.org/officeDocument/2006/relationships/hyperlink" Target="https://doi.org/10.1093/med/9780199796267.003.0020" TargetMode="External"/><Relationship Id="rId5471" Type="http://schemas.openxmlformats.org/officeDocument/2006/relationships/hyperlink" Target="https://doi.org/10.1080/13554790590922513" TargetMode="External"/><Relationship Id="rId6315" Type="http://schemas.openxmlformats.org/officeDocument/2006/relationships/hyperlink" Target="https://doi.org/10.1016/j.biopsych.2007.02.026" TargetMode="External"/><Relationship Id="rId6522" Type="http://schemas.openxmlformats.org/officeDocument/2006/relationships/hyperlink" Target="https://doi.org/10.1111/j.1399-5618.2006.00298.x" TargetMode="External"/><Relationship Id="rId99" Type="http://schemas.openxmlformats.org/officeDocument/2006/relationships/hyperlink" Target="https://doi.org/10.1080/15487768.2013.762306" TargetMode="External"/><Relationship Id="rId1667" Type="http://schemas.openxmlformats.org/officeDocument/2006/relationships/hyperlink" Target="https://doi.org/10.1037/pas0000319" TargetMode="External"/><Relationship Id="rId1874" Type="http://schemas.openxmlformats.org/officeDocument/2006/relationships/hyperlink" Target="https://doi.org/10.1016/S0165-1781(01)00307-9" TargetMode="External"/><Relationship Id="rId2718" Type="http://schemas.openxmlformats.org/officeDocument/2006/relationships/hyperlink" Target="https://doi.org/10.1192/bjp.bp.108.054072" TargetMode="External"/><Relationship Id="rId2925" Type="http://schemas.openxmlformats.org/officeDocument/2006/relationships/hyperlink" Target="https://doi.org/10.1007/s12311-017-0849-6" TargetMode="External"/><Relationship Id="rId4280" Type="http://schemas.openxmlformats.org/officeDocument/2006/relationships/hyperlink" Target="https://doi.org/10.1016/j.jpsychires.2006.05.005" TargetMode="External"/><Relationship Id="rId5124" Type="http://schemas.openxmlformats.org/officeDocument/2006/relationships/hyperlink" Target="https://doi.org/10.1016/j.schres.2013.07.009" TargetMode="External"/><Relationship Id="rId5331" Type="http://schemas.openxmlformats.org/officeDocument/2006/relationships/hyperlink" Target="https://doi.org/10.9758/cpn.2014.12.3.215" TargetMode="External"/><Relationship Id="rId1527" Type="http://schemas.openxmlformats.org/officeDocument/2006/relationships/hyperlink" Target="https://doi.org/10.1080/13854040600634584" TargetMode="External"/><Relationship Id="rId1734" Type="http://schemas.openxmlformats.org/officeDocument/2006/relationships/hyperlink" Target="https://doi.org/10.1176/appi.neuropsych.15.3.326" TargetMode="External"/><Relationship Id="rId1941" Type="http://schemas.openxmlformats.org/officeDocument/2006/relationships/hyperlink" Target="https://doi.org/10.1038/mp.2009.108" TargetMode="External"/><Relationship Id="rId4140" Type="http://schemas.openxmlformats.org/officeDocument/2006/relationships/hyperlink" Target="https://doi.org/10.1016/B978-0-12-819545-1.00006-0" TargetMode="External"/><Relationship Id="rId26" Type="http://schemas.openxmlformats.org/officeDocument/2006/relationships/hyperlink" Target="https://doi.org/10.1590/1516-4446-2017-2279" TargetMode="External"/><Relationship Id="rId3699" Type="http://schemas.openxmlformats.org/officeDocument/2006/relationships/hyperlink" Target="https://doi.org/10.1111/j.1399-5618.2007.00327.x" TargetMode="External"/><Relationship Id="rId4000" Type="http://schemas.openxmlformats.org/officeDocument/2006/relationships/hyperlink" Target="https://doi.org/10.1007/s13365-013-0152-3" TargetMode="External"/><Relationship Id="rId1801" Type="http://schemas.openxmlformats.org/officeDocument/2006/relationships/hyperlink" Target="https://doi.org/10.1159/000084814" TargetMode="External"/><Relationship Id="rId3559" Type="http://schemas.openxmlformats.org/officeDocument/2006/relationships/hyperlink" Target="https://doi.org/10.1080/13854046.2013.786759" TargetMode="External"/><Relationship Id="rId4957" Type="http://schemas.openxmlformats.org/officeDocument/2006/relationships/hyperlink" Target="https://doi.org/10.1111/j.1600-0447.1995.tb09540.x" TargetMode="External"/><Relationship Id="rId6172" Type="http://schemas.openxmlformats.org/officeDocument/2006/relationships/hyperlink" Target="https://doi.org/10.1017/S1355617700666018" TargetMode="External"/><Relationship Id="rId687" Type="http://schemas.openxmlformats.org/officeDocument/2006/relationships/hyperlink" Target="https://doi.org/10.1111/bjdp.12003" TargetMode="External"/><Relationship Id="rId2368" Type="http://schemas.openxmlformats.org/officeDocument/2006/relationships/hyperlink" Target="https://doi.org/10.1176/appi.ajp.162.10.1888" TargetMode="External"/><Relationship Id="rId3766" Type="http://schemas.openxmlformats.org/officeDocument/2006/relationships/hyperlink" Target="https://doi.org/10.1016/j.lindif.2008.09.001" TargetMode="External"/><Relationship Id="rId3973" Type="http://schemas.openxmlformats.org/officeDocument/2006/relationships/hyperlink" Target="https://doi.org/10.1007/s00406-008-0809-8" TargetMode="External"/><Relationship Id="rId4817" Type="http://schemas.openxmlformats.org/officeDocument/2006/relationships/hyperlink" Target="https://doi.org/10.1080/15487760802615798" TargetMode="External"/><Relationship Id="rId6032" Type="http://schemas.openxmlformats.org/officeDocument/2006/relationships/hyperlink" Target="https://doi.org/10.3389/fnhum.2014.00120" TargetMode="External"/><Relationship Id="rId894" Type="http://schemas.openxmlformats.org/officeDocument/2006/relationships/hyperlink" Target="https://doi.org/10.1037/pag0000420" TargetMode="External"/><Relationship Id="rId1177" Type="http://schemas.openxmlformats.org/officeDocument/2006/relationships/hyperlink" Target="https://doi.org/10.1155/2012/902451" TargetMode="External"/><Relationship Id="rId2575" Type="http://schemas.openxmlformats.org/officeDocument/2006/relationships/hyperlink" Target="https://doi.org/10.1097/NMD.0b013e318221447e" TargetMode="External"/><Relationship Id="rId2782" Type="http://schemas.openxmlformats.org/officeDocument/2006/relationships/hyperlink" Target="https://doi.org/10.1007/s10048-010-0270-5" TargetMode="External"/><Relationship Id="rId3419" Type="http://schemas.openxmlformats.org/officeDocument/2006/relationships/hyperlink" Target="https://doi.org/10.1002/(SICI)1097-4679(199607)52:4%3c455::AID-JCLP11%3e3.0.CO;2-F" TargetMode="External"/><Relationship Id="rId3626" Type="http://schemas.openxmlformats.org/officeDocument/2006/relationships/hyperlink" Target="https://doi.org/10.1080/14459795.2013.829516" TargetMode="External"/><Relationship Id="rId3833" Type="http://schemas.openxmlformats.org/officeDocument/2006/relationships/hyperlink" Target="https://doi.org/10.1080/09658211.2013.838629" TargetMode="External"/><Relationship Id="rId547" Type="http://schemas.openxmlformats.org/officeDocument/2006/relationships/hyperlink" Target="https://doi.org/10.1037/xge0000133" TargetMode="External"/><Relationship Id="rId754" Type="http://schemas.openxmlformats.org/officeDocument/2006/relationships/hyperlink" Target="https://doi.org/10.1016/j.ijpsycho.2005.10.022" TargetMode="External"/><Relationship Id="rId961" Type="http://schemas.openxmlformats.org/officeDocument/2006/relationships/hyperlink" Target="https://doi.org/10.1111/j.1440-1819.2011.02255.x" TargetMode="External"/><Relationship Id="rId1384" Type="http://schemas.openxmlformats.org/officeDocument/2006/relationships/hyperlink" Target="https://doi.org/10.1080/13854049608406687" TargetMode="External"/><Relationship Id="rId1591" Type="http://schemas.openxmlformats.org/officeDocument/2006/relationships/hyperlink" Target="https://doi.org/10.1093/schbul/sbp026" TargetMode="External"/><Relationship Id="rId2228" Type="http://schemas.openxmlformats.org/officeDocument/2006/relationships/hyperlink" Target="https://doi.org/10.1192/bjp.bp.108.056812" TargetMode="External"/><Relationship Id="rId2435" Type="http://schemas.openxmlformats.org/officeDocument/2006/relationships/hyperlink" Target="https://doi.org/10.1016/j.jns.2008.06.010" TargetMode="External"/><Relationship Id="rId2642" Type="http://schemas.openxmlformats.org/officeDocument/2006/relationships/hyperlink" Target="https://doi.org/10.1016/j.biopsych.2012.02.012" TargetMode="External"/><Relationship Id="rId3900" Type="http://schemas.openxmlformats.org/officeDocument/2006/relationships/hyperlink" Target="https://doi.org/10.1016/j.drugalcdep.2015.12.040" TargetMode="External"/><Relationship Id="rId5798" Type="http://schemas.openxmlformats.org/officeDocument/2006/relationships/hyperlink" Target="https://doi.org/10.1375/brim.10.2.188" TargetMode="External"/><Relationship Id="rId90" Type="http://schemas.openxmlformats.org/officeDocument/2006/relationships/hyperlink" Target="https://doi.org/10.1001/archgenpsychiatry.2010.177" TargetMode="External"/><Relationship Id="rId407" Type="http://schemas.openxmlformats.org/officeDocument/2006/relationships/hyperlink" Target="https://doi.org/10.1177/1533317514542642" TargetMode="External"/><Relationship Id="rId614" Type="http://schemas.openxmlformats.org/officeDocument/2006/relationships/hyperlink" Target="https://doi.org/10.1016/j.schres.2012.12.013" TargetMode="External"/><Relationship Id="rId821" Type="http://schemas.openxmlformats.org/officeDocument/2006/relationships/hyperlink" Target="https://doi.org/10.1080/13854046.2012.680913" TargetMode="External"/><Relationship Id="rId1037" Type="http://schemas.openxmlformats.org/officeDocument/2006/relationships/hyperlink" Target="https://doi.org/10.1037/hea0000572" TargetMode="External"/><Relationship Id="rId1244" Type="http://schemas.openxmlformats.org/officeDocument/2006/relationships/hyperlink" Target="https://doi.org/10.1016/j.schres.2011.04.032" TargetMode="External"/><Relationship Id="rId1451" Type="http://schemas.openxmlformats.org/officeDocument/2006/relationships/hyperlink" Target="https://doi.org/10.3389/fpsyt.2019.00236" TargetMode="External"/><Relationship Id="rId2502" Type="http://schemas.openxmlformats.org/officeDocument/2006/relationships/hyperlink" Target="https://doi.org/10.1017/S0033291712000578" TargetMode="External"/><Relationship Id="rId5658" Type="http://schemas.openxmlformats.org/officeDocument/2006/relationships/hyperlink" Target="https://doi.org/10.1016/j.nlm.2011.06.014" TargetMode="External"/><Relationship Id="rId5865" Type="http://schemas.openxmlformats.org/officeDocument/2006/relationships/hyperlink" Target="https://doi.org/10.1037/0090-5550.43.4.267" TargetMode="External"/><Relationship Id="rId1104" Type="http://schemas.openxmlformats.org/officeDocument/2006/relationships/hyperlink" Target="https://doi.org/10.1017/S135561770999141X" TargetMode="External"/><Relationship Id="rId1311" Type="http://schemas.openxmlformats.org/officeDocument/2006/relationships/hyperlink" Target="https://doi.org/10.1016/j.jad.2013.09.027" TargetMode="External"/><Relationship Id="rId4467" Type="http://schemas.openxmlformats.org/officeDocument/2006/relationships/hyperlink" Target="https://doi.org/10.1080/01688639308402571" TargetMode="External"/><Relationship Id="rId4674" Type="http://schemas.openxmlformats.org/officeDocument/2006/relationships/hyperlink" Target="https://doi.org/10.1097/HTR.0000000000000196" TargetMode="External"/><Relationship Id="rId4881" Type="http://schemas.openxmlformats.org/officeDocument/2006/relationships/hyperlink" Target="https://doi.org/10.1016/j.pbb.2011.06.017" TargetMode="External"/><Relationship Id="rId5518" Type="http://schemas.openxmlformats.org/officeDocument/2006/relationships/hyperlink" Target="https://doi.org/10.3389/fnhum.2019.00269" TargetMode="External"/><Relationship Id="rId5725" Type="http://schemas.openxmlformats.org/officeDocument/2006/relationships/hyperlink" Target="https://doi.org/10.1016/j.yebeh.2010.01.020" TargetMode="External"/><Relationship Id="rId3069" Type="http://schemas.openxmlformats.org/officeDocument/2006/relationships/hyperlink" Target="https://doi.org/10.1162/jocn_a_00398" TargetMode="External"/><Relationship Id="rId3276" Type="http://schemas.openxmlformats.org/officeDocument/2006/relationships/hyperlink" Target="https://doi.org/10.1026/1612-5010/a000124" TargetMode="External"/><Relationship Id="rId3483" Type="http://schemas.openxmlformats.org/officeDocument/2006/relationships/hyperlink" Target="https://doi.org/10.1016/j.jpsychores.2013.10.009" TargetMode="External"/><Relationship Id="rId3690" Type="http://schemas.openxmlformats.org/officeDocument/2006/relationships/hyperlink" Target="https://doi.org/10.1111/j.1468-1331.2009.02546.x" TargetMode="External"/><Relationship Id="rId4327" Type="http://schemas.openxmlformats.org/officeDocument/2006/relationships/hyperlink" Target="https://doi.org/10.1016/j.jns.2013.01.037" TargetMode="External"/><Relationship Id="rId4534" Type="http://schemas.openxmlformats.org/officeDocument/2006/relationships/hyperlink" Target="https://doi.org/10.1016/j.schres.2013.12.013" TargetMode="External"/><Relationship Id="rId5932" Type="http://schemas.openxmlformats.org/officeDocument/2006/relationships/hyperlink" Target="https://doi.org/10.1016/j.bandc.2016.01.003" TargetMode="External"/><Relationship Id="rId197" Type="http://schemas.openxmlformats.org/officeDocument/2006/relationships/hyperlink" Target="https://doi.org/10.1080/13803395.2013.848842" TargetMode="External"/><Relationship Id="rId2085" Type="http://schemas.openxmlformats.org/officeDocument/2006/relationships/hyperlink" Target="https://doi.org/10.1023/B:HUMP.0000008842.71661.20" TargetMode="External"/><Relationship Id="rId2292" Type="http://schemas.openxmlformats.org/officeDocument/2006/relationships/hyperlink" Target="https://doi.org/10.1177/0022219410391191" TargetMode="External"/><Relationship Id="rId3136" Type="http://schemas.openxmlformats.org/officeDocument/2006/relationships/hyperlink" Target="https://doi.org/10.1016/j.ajp.2018.05.006" TargetMode="External"/><Relationship Id="rId3343" Type="http://schemas.openxmlformats.org/officeDocument/2006/relationships/hyperlink" Target="https://doi.org/10.1093/brain/aws078" TargetMode="External"/><Relationship Id="rId4741" Type="http://schemas.openxmlformats.org/officeDocument/2006/relationships/hyperlink" Target="https://doi.org/10.1016/j.jecp.2015.09.018" TargetMode="External"/><Relationship Id="rId6499" Type="http://schemas.openxmlformats.org/officeDocument/2006/relationships/hyperlink" Target="https://doi.org/10.1590/1516-4446-2014-1518" TargetMode="External"/><Relationship Id="rId264" Type="http://schemas.openxmlformats.org/officeDocument/2006/relationships/hyperlink" Target="https://doi.org/10.1037/pag0000183" TargetMode="External"/><Relationship Id="rId471" Type="http://schemas.openxmlformats.org/officeDocument/2006/relationships/hyperlink" Target="https://doi.org/10.1097/YPG.0b013e3283202816" TargetMode="External"/><Relationship Id="rId2152" Type="http://schemas.openxmlformats.org/officeDocument/2006/relationships/hyperlink" Target="https://doi.org/10.3109/02699052.2015.1042408" TargetMode="External"/><Relationship Id="rId3550" Type="http://schemas.openxmlformats.org/officeDocument/2006/relationships/hyperlink" Target="https://doi.org/10.1080/00049530410001688119" TargetMode="External"/><Relationship Id="rId4601" Type="http://schemas.openxmlformats.org/officeDocument/2006/relationships/hyperlink" Target="https://doi.org/10.1016/j.pscychresns.2010.02.008" TargetMode="External"/><Relationship Id="rId124" Type="http://schemas.openxmlformats.org/officeDocument/2006/relationships/hyperlink" Target="https://doi.org/10.1002/pon.3804" TargetMode="External"/><Relationship Id="rId3203" Type="http://schemas.openxmlformats.org/officeDocument/2006/relationships/hyperlink" Target="https://doi.org/10.1016/j.brainres.2006.11.068" TargetMode="External"/><Relationship Id="rId3410" Type="http://schemas.openxmlformats.org/officeDocument/2006/relationships/hyperlink" Target="https://doi.org/10.1037/neu0000064" TargetMode="External"/><Relationship Id="rId6359" Type="http://schemas.openxmlformats.org/officeDocument/2006/relationships/hyperlink" Target="https://doi.org/10.1177/0891988711409408" TargetMode="External"/><Relationship Id="rId331" Type="http://schemas.openxmlformats.org/officeDocument/2006/relationships/hyperlink" Target="https://doi.org/10.1080/13854046.2011.595956" TargetMode="External"/><Relationship Id="rId2012" Type="http://schemas.openxmlformats.org/officeDocument/2006/relationships/hyperlink" Target="https://doi.org/10.3928/0048-5713-19941201-09" TargetMode="External"/><Relationship Id="rId2969" Type="http://schemas.openxmlformats.org/officeDocument/2006/relationships/hyperlink" Target="https://doi.org/10.1016/j.jpsychores.2015.11.006" TargetMode="External"/><Relationship Id="rId5168" Type="http://schemas.openxmlformats.org/officeDocument/2006/relationships/hyperlink" Target="https://doi.org/10.1037/0894-4105.18.1.104" TargetMode="External"/><Relationship Id="rId5375" Type="http://schemas.openxmlformats.org/officeDocument/2006/relationships/hyperlink" Target="https://doi.org/10.1007/s10862-012-9277-6" TargetMode="External"/><Relationship Id="rId5582" Type="http://schemas.openxmlformats.org/officeDocument/2006/relationships/hyperlink" Target="http://search.ebscohost.com/login.aspx?direct=true&amp;db=psyh&amp;AN=2012-06263-005&amp;site=ehost-live" TargetMode="External"/><Relationship Id="rId6219" Type="http://schemas.openxmlformats.org/officeDocument/2006/relationships/hyperlink" Target="https://doi.org/10.1002/hipo.10216" TargetMode="External"/><Relationship Id="rId6426" Type="http://schemas.openxmlformats.org/officeDocument/2006/relationships/hyperlink" Target="https://doi.org/10.1016/j.psychres.2012.05.020" TargetMode="External"/><Relationship Id="rId1778" Type="http://schemas.openxmlformats.org/officeDocument/2006/relationships/hyperlink" Target="https://doi.org/10.1076/jcen.20.4.473.1475" TargetMode="External"/><Relationship Id="rId1985" Type="http://schemas.openxmlformats.org/officeDocument/2006/relationships/hyperlink" Target="https://doi.org/10.1037/pas0000117" TargetMode="External"/><Relationship Id="rId2829" Type="http://schemas.openxmlformats.org/officeDocument/2006/relationships/hyperlink" Target="https://doi.org/10.1097/NMD.0b013e318221413e" TargetMode="External"/><Relationship Id="rId4184" Type="http://schemas.openxmlformats.org/officeDocument/2006/relationships/hyperlink" Target="https://doi.org/10.1037/0021-843X.114.3.706" TargetMode="External"/><Relationship Id="rId4391" Type="http://schemas.openxmlformats.org/officeDocument/2006/relationships/hyperlink" Target="https://doi.org/10.1016/j.braindev.2006.11.010" TargetMode="External"/><Relationship Id="rId5028" Type="http://schemas.openxmlformats.org/officeDocument/2006/relationships/hyperlink" Target="https://doi.org/10.1016/j.yebeh.2011.01.030" TargetMode="External"/><Relationship Id="rId5235" Type="http://schemas.openxmlformats.org/officeDocument/2006/relationships/hyperlink" Target="https://doi.org/10.1111/j.1600-0404.2011.01530.x" TargetMode="External"/><Relationship Id="rId5442" Type="http://schemas.openxmlformats.org/officeDocument/2006/relationships/hyperlink" Target="https://doi.org/10.1016/j.euroneuro.2014.05.010" TargetMode="External"/><Relationship Id="rId1638" Type="http://schemas.openxmlformats.org/officeDocument/2006/relationships/hyperlink" Target="https://doi.org/10.1089/109493101750527042" TargetMode="External"/><Relationship Id="rId4044" Type="http://schemas.openxmlformats.org/officeDocument/2006/relationships/hyperlink" Target="https://doi.org/10.1097/NMD.0000000000001146" TargetMode="External"/><Relationship Id="rId4251" Type="http://schemas.openxmlformats.org/officeDocument/2006/relationships/hyperlink" Target="https://doi.org/10.1192/bjp.bp.106.035162" TargetMode="External"/><Relationship Id="rId5302" Type="http://schemas.openxmlformats.org/officeDocument/2006/relationships/hyperlink" Target="https://doi.org/10.3389/fnagi.2013.00008" TargetMode="External"/><Relationship Id="rId1845" Type="http://schemas.openxmlformats.org/officeDocument/2006/relationships/hyperlink" Target="https://doi.org/10.1016/S0022-3956(03)00100-6" TargetMode="External"/><Relationship Id="rId3060" Type="http://schemas.openxmlformats.org/officeDocument/2006/relationships/hyperlink" Target="https://doi.org/10.1037/0894-4105.12.2.289" TargetMode="External"/><Relationship Id="rId4111" Type="http://schemas.openxmlformats.org/officeDocument/2006/relationships/hyperlink" Target="https://doi.org/10.1093/brain/awm007" TargetMode="External"/><Relationship Id="rId1705" Type="http://schemas.openxmlformats.org/officeDocument/2006/relationships/hyperlink" Target="https://doi.org/10.1080/13803390500346595" TargetMode="External"/><Relationship Id="rId1912" Type="http://schemas.openxmlformats.org/officeDocument/2006/relationships/hyperlink" Target="https://doi.org/10.1080/13554790591006302" TargetMode="External"/><Relationship Id="rId6076" Type="http://schemas.openxmlformats.org/officeDocument/2006/relationships/hyperlink" Target="https://doi.org/10.1186/s12888-019-2117-4" TargetMode="External"/><Relationship Id="rId6283" Type="http://schemas.openxmlformats.org/officeDocument/2006/relationships/hyperlink" Target="https://doi.org/10.1017/CBO9781139856669.004" TargetMode="External"/><Relationship Id="rId3877" Type="http://schemas.openxmlformats.org/officeDocument/2006/relationships/hyperlink" Target="https://doi.org/10.1176/ajp.151.1.120" TargetMode="External"/><Relationship Id="rId4928" Type="http://schemas.openxmlformats.org/officeDocument/2006/relationships/hyperlink" Target="https://doi.org/10.1093/arclin/acy091" TargetMode="External"/><Relationship Id="rId5092" Type="http://schemas.openxmlformats.org/officeDocument/2006/relationships/hyperlink" Target="https://doi.org/10.1016/S0165-1781(98)00104-8" TargetMode="External"/><Relationship Id="rId6490" Type="http://schemas.openxmlformats.org/officeDocument/2006/relationships/hyperlink" Target="https://doi.org/10.1016/j.rbp.2012.02.007" TargetMode="External"/><Relationship Id="rId798" Type="http://schemas.openxmlformats.org/officeDocument/2006/relationships/hyperlink" Target="https://doi.org/10.1037/0000032-000" TargetMode="External"/><Relationship Id="rId2479" Type="http://schemas.openxmlformats.org/officeDocument/2006/relationships/hyperlink" Target="https://doi.org/10.1016/0006-3223(95)00387-8" TargetMode="External"/><Relationship Id="rId2686" Type="http://schemas.openxmlformats.org/officeDocument/2006/relationships/hyperlink" Target="https://doi.org/10.1007/s11011-012-9311-0" TargetMode="External"/><Relationship Id="rId2893" Type="http://schemas.openxmlformats.org/officeDocument/2006/relationships/hyperlink" Target="https://doi.org/10.4135/9781412976589.n11" TargetMode="External"/><Relationship Id="rId3737" Type="http://schemas.openxmlformats.org/officeDocument/2006/relationships/hyperlink" Target="https://doi.org/10.1080/13546805.2013.776494" TargetMode="External"/><Relationship Id="rId3944" Type="http://schemas.openxmlformats.org/officeDocument/2006/relationships/hyperlink" Target="https://doi.org/10.1080/10615806.2014.888419" TargetMode="External"/><Relationship Id="rId6143" Type="http://schemas.openxmlformats.org/officeDocument/2006/relationships/hyperlink" Target="https://doi.org/10.1111/j.1752-0606.2011.00226.x" TargetMode="External"/><Relationship Id="rId6350" Type="http://schemas.openxmlformats.org/officeDocument/2006/relationships/hyperlink" Target="https://doi.org/10.3758/s13415-014-0293-8" TargetMode="External"/><Relationship Id="rId658" Type="http://schemas.openxmlformats.org/officeDocument/2006/relationships/hyperlink" Target="https://doi.org/10.1017/S1355617704104074" TargetMode="External"/><Relationship Id="rId865" Type="http://schemas.openxmlformats.org/officeDocument/2006/relationships/hyperlink" Target="https://doi.org/10.1001/jamaneurol.2013.5100" TargetMode="External"/><Relationship Id="rId1288" Type="http://schemas.openxmlformats.org/officeDocument/2006/relationships/hyperlink" Target="https://doi.org/10.1097/01.jcp.0000204332.64390.f3" TargetMode="External"/><Relationship Id="rId1495" Type="http://schemas.openxmlformats.org/officeDocument/2006/relationships/hyperlink" Target="https://doi.org/10.1016/j.jagp.2013.02.005" TargetMode="External"/><Relationship Id="rId2339" Type="http://schemas.openxmlformats.org/officeDocument/2006/relationships/hyperlink" Target="https://doi.org/10.1037/neu0000700" TargetMode="External"/><Relationship Id="rId2546" Type="http://schemas.openxmlformats.org/officeDocument/2006/relationships/hyperlink" Target="https://doi.org/10.1016/S0165-1781(03)00078-7" TargetMode="External"/><Relationship Id="rId2753" Type="http://schemas.openxmlformats.org/officeDocument/2006/relationships/hyperlink" Target="https://doi.org/10.1037/a0038009" TargetMode="External"/><Relationship Id="rId2960" Type="http://schemas.openxmlformats.org/officeDocument/2006/relationships/hyperlink" Target="https://doi.org/10.3389/fpsyg.2019.03027" TargetMode="External"/><Relationship Id="rId3804" Type="http://schemas.openxmlformats.org/officeDocument/2006/relationships/hyperlink" Target="https://doi.org/10.1080/13825585.2011.613449" TargetMode="External"/><Relationship Id="rId6003" Type="http://schemas.openxmlformats.org/officeDocument/2006/relationships/hyperlink" Target="https://doi.org/10.1016/j.jana.2012.05.002" TargetMode="External"/><Relationship Id="rId6210" Type="http://schemas.openxmlformats.org/officeDocument/2006/relationships/hyperlink" Target="https://doi.org/10.1111/mono.12031" TargetMode="External"/><Relationship Id="rId518" Type="http://schemas.openxmlformats.org/officeDocument/2006/relationships/hyperlink" Target="https://doi.org/10.1093/arclin/acs051" TargetMode="External"/><Relationship Id="rId725" Type="http://schemas.openxmlformats.org/officeDocument/2006/relationships/hyperlink" Target="https://doi.org/10.1186/1744-9081-5-6" TargetMode="External"/><Relationship Id="rId932" Type="http://schemas.openxmlformats.org/officeDocument/2006/relationships/hyperlink" Target="https://doi.org/10.1016/j.comppsych.2016.04.010" TargetMode="External"/><Relationship Id="rId1148" Type="http://schemas.openxmlformats.org/officeDocument/2006/relationships/hyperlink" Target="https://doi.org/10.1007/BF03061031" TargetMode="External"/><Relationship Id="rId1355" Type="http://schemas.openxmlformats.org/officeDocument/2006/relationships/hyperlink" Target="https://doi.org/10.1111/j.1440-1819.2007.01609.x" TargetMode="External"/><Relationship Id="rId1562" Type="http://schemas.openxmlformats.org/officeDocument/2006/relationships/hyperlink" Target="https://doi.org/10.1007/s13365-013-0184-8" TargetMode="External"/><Relationship Id="rId2406" Type="http://schemas.openxmlformats.org/officeDocument/2006/relationships/hyperlink" Target="https://doi.org/10.1016/j.neuropsychologia.2004.06.001" TargetMode="External"/><Relationship Id="rId2613" Type="http://schemas.openxmlformats.org/officeDocument/2006/relationships/hyperlink" Target="https://doi.org/10.1016/j.tics.2010.11.002" TargetMode="External"/><Relationship Id="rId5769" Type="http://schemas.openxmlformats.org/officeDocument/2006/relationships/hyperlink" Target="https://doi.org/10.1080/13854046.2010.539577" TargetMode="External"/><Relationship Id="rId1008" Type="http://schemas.openxmlformats.org/officeDocument/2006/relationships/hyperlink" Target="https://doi.org/10.1186/1471-2377-13-129" TargetMode="External"/><Relationship Id="rId1215" Type="http://schemas.openxmlformats.org/officeDocument/2006/relationships/hyperlink" Target="https://doi.org/10.1080/10508422.2013.804795" TargetMode="External"/><Relationship Id="rId1422" Type="http://schemas.openxmlformats.org/officeDocument/2006/relationships/hyperlink" Target="https://doi.org/10.1080/13854040701564482" TargetMode="External"/><Relationship Id="rId2820" Type="http://schemas.openxmlformats.org/officeDocument/2006/relationships/hyperlink" Target="https://doi.org/10.1016/j.pnpbp.2013.02.006" TargetMode="External"/><Relationship Id="rId4578" Type="http://schemas.openxmlformats.org/officeDocument/2006/relationships/hyperlink" Target="https://doi.org/10.1016/j.cogbrainres.2005.01.008" TargetMode="External"/><Relationship Id="rId5976" Type="http://schemas.openxmlformats.org/officeDocument/2006/relationships/hyperlink" Target="https://doi.org/10.1111/j.1468-1331.2011.03538.x" TargetMode="External"/><Relationship Id="rId61" Type="http://schemas.openxmlformats.org/officeDocument/2006/relationships/hyperlink" Target="https://doi.org/10.1002/1529-0131(200110)45:5%3c419::AID-ART360%3e3.0.CO;2-X" TargetMode="External"/><Relationship Id="rId3387" Type="http://schemas.openxmlformats.org/officeDocument/2006/relationships/hyperlink" Target="https://doi.org/10.1016/j.yebeh.2018.03.017" TargetMode="External"/><Relationship Id="rId4785" Type="http://schemas.openxmlformats.org/officeDocument/2006/relationships/hyperlink" Target="https://doi.org/10.3389/fnhum.2018.00165" TargetMode="External"/><Relationship Id="rId4992" Type="http://schemas.openxmlformats.org/officeDocument/2006/relationships/hyperlink" Target="https://doi.org/10.3109/02699052.2011.597044" TargetMode="External"/><Relationship Id="rId5629" Type="http://schemas.openxmlformats.org/officeDocument/2006/relationships/hyperlink" Target="https://doi.org/10.1016/S0920-9964(01)00329-2" TargetMode="External"/><Relationship Id="rId5836" Type="http://schemas.openxmlformats.org/officeDocument/2006/relationships/hyperlink" Target="https://doi.org/10.1080/13554790902775492" TargetMode="External"/><Relationship Id="rId2196" Type="http://schemas.openxmlformats.org/officeDocument/2006/relationships/hyperlink" Target="https://doi.org/10.1016/j.schres.2007.07.003" TargetMode="External"/><Relationship Id="rId3594" Type="http://schemas.openxmlformats.org/officeDocument/2006/relationships/hyperlink" Target="https://doi.org/10.1017/S0033291704002697" TargetMode="External"/><Relationship Id="rId4438" Type="http://schemas.openxmlformats.org/officeDocument/2006/relationships/hyperlink" Target="https://doi.org/10.1016/S0028-3932(03)00110-6" TargetMode="External"/><Relationship Id="rId4645" Type="http://schemas.openxmlformats.org/officeDocument/2006/relationships/hyperlink" Target="https://doi.org/10.1212/WNL.0b013e3182635720" TargetMode="External"/><Relationship Id="rId4852" Type="http://schemas.openxmlformats.org/officeDocument/2006/relationships/hyperlink" Target="https://doi.org/10.1016/B978-0-12-380882-0.00005-X" TargetMode="External"/><Relationship Id="rId5903" Type="http://schemas.openxmlformats.org/officeDocument/2006/relationships/hyperlink" Target="https://doi.org/10.1037/neu0000703" TargetMode="External"/><Relationship Id="rId168" Type="http://schemas.openxmlformats.org/officeDocument/2006/relationships/hyperlink" Target="https://doi.org/10.1016/j.jesp.2010.07.017" TargetMode="External"/><Relationship Id="rId3247" Type="http://schemas.openxmlformats.org/officeDocument/2006/relationships/hyperlink" Target="https://doi.org/10.1037/0882-7974.23.1.209" TargetMode="External"/><Relationship Id="rId3454" Type="http://schemas.openxmlformats.org/officeDocument/2006/relationships/hyperlink" Target="https://doi.org/10.1016/j.schres.2013.07.039" TargetMode="External"/><Relationship Id="rId3661" Type="http://schemas.openxmlformats.org/officeDocument/2006/relationships/hyperlink" Target="https://doi.org/10.1016/j.jneuroling.2017.03.005" TargetMode="External"/><Relationship Id="rId4505" Type="http://schemas.openxmlformats.org/officeDocument/2006/relationships/hyperlink" Target="http://search.ebscohost.com/login.aspx?direct=true&amp;db=psyh&amp;AN=2012-23822-014&amp;site=ehost-live" TargetMode="External"/><Relationship Id="rId4712" Type="http://schemas.openxmlformats.org/officeDocument/2006/relationships/hyperlink" Target="https://doi.org/10.1080/02699050701633072" TargetMode="External"/><Relationship Id="rId375" Type="http://schemas.openxmlformats.org/officeDocument/2006/relationships/hyperlink" Target="https://doi.org/10.1080/13803390802064599" TargetMode="External"/><Relationship Id="rId582" Type="http://schemas.openxmlformats.org/officeDocument/2006/relationships/hyperlink" Target="https://doi.org/10.1080/23279095.2013.845823" TargetMode="External"/><Relationship Id="rId2056" Type="http://schemas.openxmlformats.org/officeDocument/2006/relationships/hyperlink" Target="https://doi.org/10.1007/s00221-017-4905-8" TargetMode="External"/><Relationship Id="rId2263" Type="http://schemas.openxmlformats.org/officeDocument/2006/relationships/hyperlink" Target="https://doi.org/10.1016/j.jad.2017.04.008" TargetMode="External"/><Relationship Id="rId2470" Type="http://schemas.openxmlformats.org/officeDocument/2006/relationships/hyperlink" Target="https://doi.org/10.1176/appi.ajp.161.6.996" TargetMode="External"/><Relationship Id="rId3107" Type="http://schemas.openxmlformats.org/officeDocument/2006/relationships/hyperlink" Target="https://doi.org/10.1016/j.psyneuen.2018.04.028" TargetMode="External"/><Relationship Id="rId3314" Type="http://schemas.openxmlformats.org/officeDocument/2006/relationships/hyperlink" Target="https://doi.org/10.1016/j.neuropsychologia.2013.10.026" TargetMode="External"/><Relationship Id="rId3521" Type="http://schemas.openxmlformats.org/officeDocument/2006/relationships/hyperlink" Target="https://doi.org/10.1097/00005053-200107000-00007" TargetMode="External"/><Relationship Id="rId235" Type="http://schemas.openxmlformats.org/officeDocument/2006/relationships/hyperlink" Target="https://doi.org/10.1007/s10071-013-0693-0" TargetMode="External"/><Relationship Id="rId442" Type="http://schemas.openxmlformats.org/officeDocument/2006/relationships/hyperlink" Target="https://doi.org/10.1080/13854046.2014.950985" TargetMode="External"/><Relationship Id="rId1072" Type="http://schemas.openxmlformats.org/officeDocument/2006/relationships/hyperlink" Target="https://doi.org/10.1371/journal.pone.0055351" TargetMode="External"/><Relationship Id="rId2123" Type="http://schemas.openxmlformats.org/officeDocument/2006/relationships/hyperlink" Target="https://doi.org/10.1037/neu0000366" TargetMode="External"/><Relationship Id="rId2330" Type="http://schemas.openxmlformats.org/officeDocument/2006/relationships/hyperlink" Target="https://doi.org/10.3389/fpsyg.2011.00078" TargetMode="External"/><Relationship Id="rId5279" Type="http://schemas.openxmlformats.org/officeDocument/2006/relationships/hyperlink" Target="https://doi.org/10.1016/j.neuropsychologia.2007.05.021" TargetMode="External"/><Relationship Id="rId5486" Type="http://schemas.openxmlformats.org/officeDocument/2006/relationships/hyperlink" Target="https://doi.org/10.1037/14091-009" TargetMode="External"/><Relationship Id="rId5693" Type="http://schemas.openxmlformats.org/officeDocument/2006/relationships/hyperlink" Target="https://doi.org/10.1016/j.jneuroling.2015.11.002" TargetMode="External"/><Relationship Id="rId6537" Type="http://schemas.openxmlformats.org/officeDocument/2006/relationships/hyperlink" Target="https://doi.org/10.1016/j.smrv.2010.02.004" TargetMode="External"/><Relationship Id="rId302" Type="http://schemas.openxmlformats.org/officeDocument/2006/relationships/hyperlink" Target="https://doi.org/10.1016/j.neuropsychologia.2007.01.002" TargetMode="External"/><Relationship Id="rId4088" Type="http://schemas.openxmlformats.org/officeDocument/2006/relationships/hyperlink" Target="https://doi.org/10.1037/a0035930" TargetMode="External"/><Relationship Id="rId4295" Type="http://schemas.openxmlformats.org/officeDocument/2006/relationships/hyperlink" Target="https://doi.org/10.1016/j.brainres.2012.11.036" TargetMode="External"/><Relationship Id="rId5139" Type="http://schemas.openxmlformats.org/officeDocument/2006/relationships/hyperlink" Target="https://doi.org/10.1007/s10899-017-9741-z" TargetMode="External"/><Relationship Id="rId5346" Type="http://schemas.openxmlformats.org/officeDocument/2006/relationships/hyperlink" Target="https://doi.org/10.1016/j.schres.2014.01.013" TargetMode="External"/><Relationship Id="rId5553" Type="http://schemas.openxmlformats.org/officeDocument/2006/relationships/hyperlink" Target="https://doi.org/10.1080/13825585.2012.656576" TargetMode="External"/><Relationship Id="rId1889" Type="http://schemas.openxmlformats.org/officeDocument/2006/relationships/hyperlink" Target="https://doi.org/10.1016/0920-9964(93)90079-X" TargetMode="External"/><Relationship Id="rId4155" Type="http://schemas.openxmlformats.org/officeDocument/2006/relationships/hyperlink" Target="https://doi.org/10.1016/j.eurpsy.2016.12.011" TargetMode="External"/><Relationship Id="rId4362" Type="http://schemas.openxmlformats.org/officeDocument/2006/relationships/hyperlink" Target="https://doi.org/10.1093/oxfordjournals.schbul.a033466" TargetMode="External"/><Relationship Id="rId5206" Type="http://schemas.openxmlformats.org/officeDocument/2006/relationships/hyperlink" Target="https://doi.org/10.1016/j.cpr.2014.08.002" TargetMode="External"/><Relationship Id="rId5760" Type="http://schemas.openxmlformats.org/officeDocument/2006/relationships/hyperlink" Target="https://doi.org/10.5665/sleep.3050" TargetMode="External"/><Relationship Id="rId1749" Type="http://schemas.openxmlformats.org/officeDocument/2006/relationships/hyperlink" Target="https://doi.org/10.1097/WNR.0b013e3282f2dff6" TargetMode="External"/><Relationship Id="rId1956" Type="http://schemas.openxmlformats.org/officeDocument/2006/relationships/hyperlink" Target="https://doi.org/10.1007/s10072-012-1151-5" TargetMode="External"/><Relationship Id="rId3171" Type="http://schemas.openxmlformats.org/officeDocument/2006/relationships/hyperlink" Target="https://doi.org/10.1136/jnnp.2007.116178" TargetMode="External"/><Relationship Id="rId4015" Type="http://schemas.openxmlformats.org/officeDocument/2006/relationships/hyperlink" Target="https://doi.org/10.1002/gps.4039" TargetMode="External"/><Relationship Id="rId5413" Type="http://schemas.openxmlformats.org/officeDocument/2006/relationships/hyperlink" Target="https://doi.org/10.1016/j.yebeh.2014.01.006" TargetMode="External"/><Relationship Id="rId5620" Type="http://schemas.openxmlformats.org/officeDocument/2006/relationships/hyperlink" Target="https://doi.org/10.1016/j.ntt.2017.11.002" TargetMode="External"/><Relationship Id="rId1609" Type="http://schemas.openxmlformats.org/officeDocument/2006/relationships/hyperlink" Target="https://doi.org/10.1016/j.pnpbp.2018.06.006" TargetMode="External"/><Relationship Id="rId1816" Type="http://schemas.openxmlformats.org/officeDocument/2006/relationships/hyperlink" Target="https://doi.org/10.1037/0021-843X.113.4.569" TargetMode="External"/><Relationship Id="rId4222" Type="http://schemas.openxmlformats.org/officeDocument/2006/relationships/hyperlink" Target="https://doi.org/10.1348/014466599162755" TargetMode="External"/><Relationship Id="rId3031" Type="http://schemas.openxmlformats.org/officeDocument/2006/relationships/hyperlink" Target="https://doi.org/10.1007/s11682-017-9758-z" TargetMode="External"/><Relationship Id="rId3988" Type="http://schemas.openxmlformats.org/officeDocument/2006/relationships/hyperlink" Target="https://doi.org/10.1016/j.schres.2018.05.035" TargetMode="External"/><Relationship Id="rId6187" Type="http://schemas.openxmlformats.org/officeDocument/2006/relationships/hyperlink" Target="https://doi.org/10.1176/appi.ps.59.3.248" TargetMode="External"/><Relationship Id="rId6394" Type="http://schemas.openxmlformats.org/officeDocument/2006/relationships/hyperlink" Target="https://doi.org/10.1177/0091217417720898" TargetMode="External"/><Relationship Id="rId2797" Type="http://schemas.openxmlformats.org/officeDocument/2006/relationships/hyperlink" Target="https://doi.org/10.1371/journal.pone.0235412" TargetMode="External"/><Relationship Id="rId3848" Type="http://schemas.openxmlformats.org/officeDocument/2006/relationships/hyperlink" Target="https://doi.org/10.4088/JCP.v69n0214" TargetMode="External"/><Relationship Id="rId6047" Type="http://schemas.openxmlformats.org/officeDocument/2006/relationships/hyperlink" Target="https://doi.org/10.1002/hup.2523" TargetMode="External"/><Relationship Id="rId6254" Type="http://schemas.openxmlformats.org/officeDocument/2006/relationships/hyperlink" Target="https://doi.org/10.3200/GENP.132.4.392-407" TargetMode="External"/><Relationship Id="rId6461" Type="http://schemas.openxmlformats.org/officeDocument/2006/relationships/hyperlink" Target="https://doi.org/10.1017/CBO9780511843716.027" TargetMode="External"/><Relationship Id="rId769" Type="http://schemas.openxmlformats.org/officeDocument/2006/relationships/hyperlink" Target="https://doi.org/10.1080/87565640802254364" TargetMode="External"/><Relationship Id="rId976" Type="http://schemas.openxmlformats.org/officeDocument/2006/relationships/hyperlink" Target="https://doi.org/10.1177/0018720817711285" TargetMode="External"/><Relationship Id="rId1399" Type="http://schemas.openxmlformats.org/officeDocument/2006/relationships/hyperlink" Target="https://doi.org/10.1016/j.jpsychires.2021.03.066" TargetMode="External"/><Relationship Id="rId2657" Type="http://schemas.openxmlformats.org/officeDocument/2006/relationships/hyperlink" Target="https://doi.org/10.1080/10826084.2016.1178293" TargetMode="External"/><Relationship Id="rId5063" Type="http://schemas.openxmlformats.org/officeDocument/2006/relationships/hyperlink" Target="https://doi.org/10.1016/j.psychres.2018.06.053" TargetMode="External"/><Relationship Id="rId5270" Type="http://schemas.openxmlformats.org/officeDocument/2006/relationships/hyperlink" Target="https://doi.org/10.1016/j.comppsych.2014.04.016" TargetMode="External"/><Relationship Id="rId6114" Type="http://schemas.openxmlformats.org/officeDocument/2006/relationships/hyperlink" Target="https://doi.org/10.1002/hbm.22119" TargetMode="External"/><Relationship Id="rId6321" Type="http://schemas.openxmlformats.org/officeDocument/2006/relationships/hyperlink" Target="https://doi.org/10.1016/j.schres.2006.12.001" TargetMode="External"/><Relationship Id="rId629" Type="http://schemas.openxmlformats.org/officeDocument/2006/relationships/hyperlink" Target="https://doi.org/10.1080/13554794.2014.890732" TargetMode="External"/><Relationship Id="rId1259" Type="http://schemas.openxmlformats.org/officeDocument/2006/relationships/hyperlink" Target="https://doi.org/10.1002/pchj.20" TargetMode="External"/><Relationship Id="rId1466" Type="http://schemas.openxmlformats.org/officeDocument/2006/relationships/hyperlink" Target="https://doi.org/10.1097/01.nmd.0000202490.97425.de" TargetMode="External"/><Relationship Id="rId2864" Type="http://schemas.openxmlformats.org/officeDocument/2006/relationships/hyperlink" Target="https://doi.org/10.1007/s00406-011-0207-5" TargetMode="External"/><Relationship Id="rId3708" Type="http://schemas.openxmlformats.org/officeDocument/2006/relationships/hyperlink" Target="https://doi.org/10.1016/j.jad.2008.10.023" TargetMode="External"/><Relationship Id="rId3915" Type="http://schemas.openxmlformats.org/officeDocument/2006/relationships/hyperlink" Target="https://doi.org/10.1080/13803395.2013.804036" TargetMode="External"/><Relationship Id="rId5130" Type="http://schemas.openxmlformats.org/officeDocument/2006/relationships/hyperlink" Target="https://doi.org/10.1016/j.biopsych.2013.05.021" TargetMode="External"/><Relationship Id="rId836" Type="http://schemas.openxmlformats.org/officeDocument/2006/relationships/hyperlink" Target="https://doi.org/10.1590/S0004-282X2010000200018" TargetMode="External"/><Relationship Id="rId1119" Type="http://schemas.openxmlformats.org/officeDocument/2006/relationships/hyperlink" Target="https://doi.org/10.1016/S0013-7006(06)76144-9" TargetMode="External"/><Relationship Id="rId1673" Type="http://schemas.openxmlformats.org/officeDocument/2006/relationships/hyperlink" Target="https://doi.org/10.1037/pne0000201" TargetMode="External"/><Relationship Id="rId1880" Type="http://schemas.openxmlformats.org/officeDocument/2006/relationships/hyperlink" Target="https://doi.org/10.1016/j.schres.2014.06.038" TargetMode="External"/><Relationship Id="rId2517" Type="http://schemas.openxmlformats.org/officeDocument/2006/relationships/hyperlink" Target="https://doi.org/10.1007/s00213-006-0494-0" TargetMode="External"/><Relationship Id="rId2724" Type="http://schemas.openxmlformats.org/officeDocument/2006/relationships/hyperlink" Target="https://doi.org/10.1016/j.neuropsychologia.2006.09.009" TargetMode="External"/><Relationship Id="rId2931" Type="http://schemas.openxmlformats.org/officeDocument/2006/relationships/hyperlink" Target="https://doi.org/10.1017/S0033291712000736" TargetMode="External"/><Relationship Id="rId903" Type="http://schemas.openxmlformats.org/officeDocument/2006/relationships/hyperlink" Target="https://doi.org/10.1080/13825585.2011.586018" TargetMode="External"/><Relationship Id="rId1326" Type="http://schemas.openxmlformats.org/officeDocument/2006/relationships/hyperlink" Target="https://doi.org/10.1080/13854046.2012.728627" TargetMode="External"/><Relationship Id="rId1533" Type="http://schemas.openxmlformats.org/officeDocument/2006/relationships/hyperlink" Target="https://doi.org/10.20882/adicciones.3" TargetMode="External"/><Relationship Id="rId1740" Type="http://schemas.openxmlformats.org/officeDocument/2006/relationships/hyperlink" Target="https://doi.org/10.3389/fnagi.2018.00175" TargetMode="External"/><Relationship Id="rId4689" Type="http://schemas.openxmlformats.org/officeDocument/2006/relationships/hyperlink" Target="https://doi.org/10.1080/13548500600580824" TargetMode="External"/><Relationship Id="rId4896" Type="http://schemas.openxmlformats.org/officeDocument/2006/relationships/hyperlink" Target="https://doi.org/10.1016/j.ajp.2012.10.003" TargetMode="External"/><Relationship Id="rId5947" Type="http://schemas.openxmlformats.org/officeDocument/2006/relationships/hyperlink" Target="https://doi.org/10.1016/j.drugalcdep.2009.02.003" TargetMode="External"/><Relationship Id="rId32" Type="http://schemas.openxmlformats.org/officeDocument/2006/relationships/hyperlink" Target="https://doi.org/10.1007/978-3-642-15131-6" TargetMode="External"/><Relationship Id="rId1600" Type="http://schemas.openxmlformats.org/officeDocument/2006/relationships/hyperlink" Target="https://doi.org/10.1016/j.jpsychires.2016.07.002" TargetMode="External"/><Relationship Id="rId3498" Type="http://schemas.openxmlformats.org/officeDocument/2006/relationships/hyperlink" Target="https://doi.org/10.1016/j.pscychresns.2006.12.012" TargetMode="External"/><Relationship Id="rId4549" Type="http://schemas.openxmlformats.org/officeDocument/2006/relationships/hyperlink" Target="https://doi.org/10.1016/j.tics.2015.11.006" TargetMode="External"/><Relationship Id="rId4756" Type="http://schemas.openxmlformats.org/officeDocument/2006/relationships/hyperlink" Target="https://doi.org/10.1002/ajmg.b.32601" TargetMode="External"/><Relationship Id="rId4963" Type="http://schemas.openxmlformats.org/officeDocument/2006/relationships/hyperlink" Target="https://doi.org/10.1080/21622965.2015.1092087" TargetMode="External"/><Relationship Id="rId5807" Type="http://schemas.openxmlformats.org/officeDocument/2006/relationships/hyperlink" Target="https://doi.org/10.1016/S0887-6185(99)00036-5" TargetMode="External"/><Relationship Id="rId3358" Type="http://schemas.openxmlformats.org/officeDocument/2006/relationships/hyperlink" Target="https://doi.org/10.1016/j.jbtep.2018.03.004" TargetMode="External"/><Relationship Id="rId3565" Type="http://schemas.openxmlformats.org/officeDocument/2006/relationships/hyperlink" Target="https://doi.org/10.1037/0090-5550.50.2.158" TargetMode="External"/><Relationship Id="rId3772" Type="http://schemas.openxmlformats.org/officeDocument/2006/relationships/hyperlink" Target="https://doi.org/10.1016/j.bandc.2004.03.005" TargetMode="External"/><Relationship Id="rId4409" Type="http://schemas.openxmlformats.org/officeDocument/2006/relationships/hyperlink" Target="https://doi.org/10.1044/1058-0360(2013/12-0081)" TargetMode="External"/><Relationship Id="rId4616" Type="http://schemas.openxmlformats.org/officeDocument/2006/relationships/hyperlink" Target="https://doi.org/10.1080/13825580903469846" TargetMode="External"/><Relationship Id="rId4823" Type="http://schemas.openxmlformats.org/officeDocument/2006/relationships/hyperlink" Target="https://doi.org/10.1037/0894-4105.21.1.31" TargetMode="External"/><Relationship Id="rId279" Type="http://schemas.openxmlformats.org/officeDocument/2006/relationships/hyperlink" Target="https://doi.org/10.1002/ejp.1151" TargetMode="External"/><Relationship Id="rId486" Type="http://schemas.openxmlformats.org/officeDocument/2006/relationships/hyperlink" Target="https://doi.org/10.1111/j.1460-9568.2009.06621.x" TargetMode="External"/><Relationship Id="rId693" Type="http://schemas.openxmlformats.org/officeDocument/2006/relationships/hyperlink" Target="https://doi.org/10.1186/1471-244X-9-30" TargetMode="External"/><Relationship Id="rId2167" Type="http://schemas.openxmlformats.org/officeDocument/2006/relationships/hyperlink" Target="https://doi.org/10.1016/j.appet.2014.07.008" TargetMode="External"/><Relationship Id="rId2374" Type="http://schemas.openxmlformats.org/officeDocument/2006/relationships/hyperlink" Target="https://doi.org/10.1159/000091138" TargetMode="External"/><Relationship Id="rId2581" Type="http://schemas.openxmlformats.org/officeDocument/2006/relationships/hyperlink" Target="https://doi.org/10.1177/0004867411433216" TargetMode="External"/><Relationship Id="rId3218" Type="http://schemas.openxmlformats.org/officeDocument/2006/relationships/hyperlink" Target="https://doi.org/10.1016/j.intell.2007.01.001" TargetMode="External"/><Relationship Id="rId3425" Type="http://schemas.openxmlformats.org/officeDocument/2006/relationships/hyperlink" Target="https://doi.org/10.3389/fpsyt.2019.00836" TargetMode="External"/><Relationship Id="rId3632" Type="http://schemas.openxmlformats.org/officeDocument/2006/relationships/hyperlink" Target="https://doi.org/10.1080/13576500600832030" TargetMode="External"/><Relationship Id="rId139" Type="http://schemas.openxmlformats.org/officeDocument/2006/relationships/hyperlink" Target="https://doi.org/10.1016/j.psychres.2010.10.013" TargetMode="External"/><Relationship Id="rId346" Type="http://schemas.openxmlformats.org/officeDocument/2006/relationships/hyperlink" Target="https://doi.org/10.1016/j.biopsych.2006.07.038" TargetMode="External"/><Relationship Id="rId553" Type="http://schemas.openxmlformats.org/officeDocument/2006/relationships/hyperlink" Target="https://doi.org/10.1007/s12160-009-9093-8" TargetMode="External"/><Relationship Id="rId760" Type="http://schemas.openxmlformats.org/officeDocument/2006/relationships/hyperlink" Target="https://doi.org/10.1016/j.schres.2006.12.032" TargetMode="External"/><Relationship Id="rId1183" Type="http://schemas.openxmlformats.org/officeDocument/2006/relationships/hyperlink" Target="https://doi.org/10.1136/jnnp.74.10.1412" TargetMode="External"/><Relationship Id="rId1390" Type="http://schemas.openxmlformats.org/officeDocument/2006/relationships/hyperlink" Target="https://doi.org/10.1111/j.1469-7610.2012.02582.x" TargetMode="External"/><Relationship Id="rId2027" Type="http://schemas.openxmlformats.org/officeDocument/2006/relationships/hyperlink" Target="https://doi.org/10.1097/JCP.0b013e3181a497d7" TargetMode="External"/><Relationship Id="rId2234" Type="http://schemas.openxmlformats.org/officeDocument/2006/relationships/hyperlink" Target="https://doi.org/10.1007/s00406-010-0165-3" TargetMode="External"/><Relationship Id="rId2441" Type="http://schemas.openxmlformats.org/officeDocument/2006/relationships/hyperlink" Target="https://doi.org/10.1016/j.biopsych.2006.08.027" TargetMode="External"/><Relationship Id="rId5597" Type="http://schemas.openxmlformats.org/officeDocument/2006/relationships/hyperlink" Target="https://doi.org/10.1093/arclin/acu057" TargetMode="External"/><Relationship Id="rId206" Type="http://schemas.openxmlformats.org/officeDocument/2006/relationships/hyperlink" Target="https://doi.org/10.1093/arclin/acaa100" TargetMode="External"/><Relationship Id="rId413" Type="http://schemas.openxmlformats.org/officeDocument/2006/relationships/hyperlink" Target="https://doi.org/10.1176/appi.ps.201200505" TargetMode="External"/><Relationship Id="rId1043" Type="http://schemas.openxmlformats.org/officeDocument/2006/relationships/hyperlink" Target="https://doi.org/10.1016/j.psyneuen.2014.12.012" TargetMode="External"/><Relationship Id="rId4199" Type="http://schemas.openxmlformats.org/officeDocument/2006/relationships/hyperlink" Target="https://doi.org/10.1016/j.neures.2013.06.002" TargetMode="External"/><Relationship Id="rId620" Type="http://schemas.openxmlformats.org/officeDocument/2006/relationships/hyperlink" Target="https://doi.org/10.1080/13554794.2012.713491" TargetMode="External"/><Relationship Id="rId1250" Type="http://schemas.openxmlformats.org/officeDocument/2006/relationships/hyperlink" Target="https://doi.org/10.1093/schbul/sbt125" TargetMode="External"/><Relationship Id="rId2301" Type="http://schemas.openxmlformats.org/officeDocument/2006/relationships/hyperlink" Target="https://doi.org/10.1016/j.brainres.2011.09.010" TargetMode="External"/><Relationship Id="rId4059" Type="http://schemas.openxmlformats.org/officeDocument/2006/relationships/hyperlink" Target="https://doi.org/10.1348/135532505X91560" TargetMode="External"/><Relationship Id="rId5457" Type="http://schemas.openxmlformats.org/officeDocument/2006/relationships/hyperlink" Target="https://doi.org/10.1080/02687038.2011.602302" TargetMode="External"/><Relationship Id="rId5664" Type="http://schemas.openxmlformats.org/officeDocument/2006/relationships/hyperlink" Target="https://doi.org/10.1002/ajmg.b.30352" TargetMode="External"/><Relationship Id="rId5871" Type="http://schemas.openxmlformats.org/officeDocument/2006/relationships/hyperlink" Target="https://doi.org/10.1016/j.apnu.2013.12.004" TargetMode="External"/><Relationship Id="rId6508" Type="http://schemas.openxmlformats.org/officeDocument/2006/relationships/hyperlink" Target="https://doi.org/10.1007/s13365-014-0295-x" TargetMode="External"/><Relationship Id="rId1110" Type="http://schemas.openxmlformats.org/officeDocument/2006/relationships/hyperlink" Target="https://doi.org/10.1177/1087054707311042" TargetMode="External"/><Relationship Id="rId4266" Type="http://schemas.openxmlformats.org/officeDocument/2006/relationships/hyperlink" Target="https://doi.org/10.5209/rev_SJOP.2011.v14.n2.33" TargetMode="External"/><Relationship Id="rId4473" Type="http://schemas.openxmlformats.org/officeDocument/2006/relationships/hyperlink" Target="https://doi.org/10.1007/s10896-014-9614-5" TargetMode="External"/><Relationship Id="rId4680" Type="http://schemas.openxmlformats.org/officeDocument/2006/relationships/hyperlink" Target="https://doi.org/10.1111/j.1600-0447.2011.01733.x" TargetMode="External"/><Relationship Id="rId5317" Type="http://schemas.openxmlformats.org/officeDocument/2006/relationships/hyperlink" Target="https://doi.org/10.1080/10253890.2016.1192603" TargetMode="External"/><Relationship Id="rId5524" Type="http://schemas.openxmlformats.org/officeDocument/2006/relationships/hyperlink" Target="https://doi.org/10.1016/j.jns.2014.04.026" TargetMode="External"/><Relationship Id="rId5731" Type="http://schemas.openxmlformats.org/officeDocument/2006/relationships/hyperlink" Target="https://doi.org/10.1093/brain/awm201" TargetMode="External"/><Relationship Id="rId1927" Type="http://schemas.openxmlformats.org/officeDocument/2006/relationships/hyperlink" Target="https://doi.org/10.1176/jnp.9.2.240" TargetMode="External"/><Relationship Id="rId3075" Type="http://schemas.openxmlformats.org/officeDocument/2006/relationships/hyperlink" Target="https://doi.org/10.1016/j.jmathb.2011.12.005" TargetMode="External"/><Relationship Id="rId3282" Type="http://schemas.openxmlformats.org/officeDocument/2006/relationships/hyperlink" Target="https://doi.org/10.1207/s15324826an1004_5" TargetMode="External"/><Relationship Id="rId4126" Type="http://schemas.openxmlformats.org/officeDocument/2006/relationships/hyperlink" Target="https://doi.org/10.1111/j.1467-9450.2009.00767.x" TargetMode="External"/><Relationship Id="rId4333" Type="http://schemas.openxmlformats.org/officeDocument/2006/relationships/hyperlink" Target="https://doi.org/10.1037/neu0000337" TargetMode="External"/><Relationship Id="rId4540" Type="http://schemas.openxmlformats.org/officeDocument/2006/relationships/hyperlink" Target="https://doi.org/10.1080/09602011003683158" TargetMode="External"/><Relationship Id="rId2091" Type="http://schemas.openxmlformats.org/officeDocument/2006/relationships/hyperlink" Target="https://doi.org/10.1016/0028-3932(95)90866-P" TargetMode="External"/><Relationship Id="rId3142" Type="http://schemas.openxmlformats.org/officeDocument/2006/relationships/hyperlink" Target="https://doi.org/10.1111/ppc.12254" TargetMode="External"/><Relationship Id="rId4400" Type="http://schemas.openxmlformats.org/officeDocument/2006/relationships/hyperlink" Target="https://doi.org/10.1044/2016_JSLHR-L-15-0174" TargetMode="External"/><Relationship Id="rId6298" Type="http://schemas.openxmlformats.org/officeDocument/2006/relationships/hyperlink" Target="https://doi.org/10.15288/jsa.1993.54.422" TargetMode="External"/><Relationship Id="rId270" Type="http://schemas.openxmlformats.org/officeDocument/2006/relationships/hyperlink" Target="https://doi.org/10.1080/1533256X.2015.1027446" TargetMode="External"/><Relationship Id="rId3002" Type="http://schemas.openxmlformats.org/officeDocument/2006/relationships/hyperlink" Target="https://doi.org/10.1016/j.biopsych.2006.03.031" TargetMode="External"/><Relationship Id="rId6158" Type="http://schemas.openxmlformats.org/officeDocument/2006/relationships/hyperlink" Target="https://doi.org/10.1016/j.neurobiolaging.2005.09.035" TargetMode="External"/><Relationship Id="rId6365" Type="http://schemas.openxmlformats.org/officeDocument/2006/relationships/hyperlink" Target="https://doi.org/10.1016/j.schres.2012.03.020" TargetMode="External"/><Relationship Id="rId130" Type="http://schemas.openxmlformats.org/officeDocument/2006/relationships/hyperlink" Target="https://doi.org/10.1016/j.neuropsychologia.2007.01.003" TargetMode="External"/><Relationship Id="rId3959" Type="http://schemas.openxmlformats.org/officeDocument/2006/relationships/hyperlink" Target="https://doi.org/10.1007/s00406-010-0102-5" TargetMode="External"/><Relationship Id="rId5174" Type="http://schemas.openxmlformats.org/officeDocument/2006/relationships/hyperlink" Target="https://doi.org/10.1016/j.cortex.2018.08.026" TargetMode="External"/><Relationship Id="rId5381" Type="http://schemas.openxmlformats.org/officeDocument/2006/relationships/hyperlink" Target="https://doi.org/10.4236/psych.2011.27113" TargetMode="External"/><Relationship Id="rId6018" Type="http://schemas.openxmlformats.org/officeDocument/2006/relationships/hyperlink" Target="https://doi.org/10.1186/1744-9081-4-18" TargetMode="External"/><Relationship Id="rId6225" Type="http://schemas.openxmlformats.org/officeDocument/2006/relationships/hyperlink" Target="https://doi.org/10.1080/13554790701399247" TargetMode="External"/><Relationship Id="rId2768" Type="http://schemas.openxmlformats.org/officeDocument/2006/relationships/hyperlink" Target="https://doi.org/10.1016/j.jpsychires.2015.08.014" TargetMode="External"/><Relationship Id="rId2975" Type="http://schemas.openxmlformats.org/officeDocument/2006/relationships/hyperlink" Target="https://doi.org/10.1016/j.psychres.2011.05.003" TargetMode="External"/><Relationship Id="rId3819" Type="http://schemas.openxmlformats.org/officeDocument/2006/relationships/hyperlink" Target="https://doi.org/10.2975/33.3.2010.190.199" TargetMode="External"/><Relationship Id="rId5034" Type="http://schemas.openxmlformats.org/officeDocument/2006/relationships/hyperlink" Target="https://doi.org/10.1016/S0168-0102(99)00038-3" TargetMode="External"/><Relationship Id="rId6432" Type="http://schemas.openxmlformats.org/officeDocument/2006/relationships/hyperlink" Target="https://doi.org/10.5455/bcp.20110408022751" TargetMode="External"/><Relationship Id="rId947" Type="http://schemas.openxmlformats.org/officeDocument/2006/relationships/hyperlink" Target="https://doi.org/10.1080/87565641.2010.508552" TargetMode="External"/><Relationship Id="rId1577" Type="http://schemas.openxmlformats.org/officeDocument/2006/relationships/hyperlink" Target="https://doi.org/10.1016/j.alcohol.2008.06.001" TargetMode="External"/><Relationship Id="rId1784" Type="http://schemas.openxmlformats.org/officeDocument/2006/relationships/hyperlink" Target="https://doi.org/10.1037/neu0000087" TargetMode="External"/><Relationship Id="rId1991" Type="http://schemas.openxmlformats.org/officeDocument/2006/relationships/hyperlink" Target="https://doi.org/10.1097/PSY.0000000000000602" TargetMode="External"/><Relationship Id="rId2628" Type="http://schemas.openxmlformats.org/officeDocument/2006/relationships/hyperlink" Target="https://doi.org/10.5350/DAJPN2015280305" TargetMode="External"/><Relationship Id="rId2835" Type="http://schemas.openxmlformats.org/officeDocument/2006/relationships/hyperlink" Target="https://doi.org/10.1016/S0165-1781(97)00126-1" TargetMode="External"/><Relationship Id="rId4190" Type="http://schemas.openxmlformats.org/officeDocument/2006/relationships/hyperlink" Target="https://doi.org/10.1016/j.intell.2020.101480" TargetMode="External"/><Relationship Id="rId5241" Type="http://schemas.openxmlformats.org/officeDocument/2006/relationships/hyperlink" Target="https://doi.org/10.1001/archgenpsychiatry.2010.66" TargetMode="External"/><Relationship Id="rId76" Type="http://schemas.openxmlformats.org/officeDocument/2006/relationships/hyperlink" Target="https://doi.org/10.7312/alba14310" TargetMode="External"/><Relationship Id="rId807" Type="http://schemas.openxmlformats.org/officeDocument/2006/relationships/hyperlink" Target="https://doi.org/10.1001/archpsyc.62.5.495" TargetMode="External"/><Relationship Id="rId1437" Type="http://schemas.openxmlformats.org/officeDocument/2006/relationships/hyperlink" Target="https://doi.org/10.1093/arclin/acs044" TargetMode="External"/><Relationship Id="rId1644" Type="http://schemas.openxmlformats.org/officeDocument/2006/relationships/hyperlink" Target="https://doi.org/10.1016/j.jad.2010.10.027" TargetMode="External"/><Relationship Id="rId1851" Type="http://schemas.openxmlformats.org/officeDocument/2006/relationships/hyperlink" Target="https://doi.org/10.1016/S0165-1781(99)00086-4" TargetMode="External"/><Relationship Id="rId2902" Type="http://schemas.openxmlformats.org/officeDocument/2006/relationships/hyperlink" Target="https://doi.org/10.1016/j.cortex.2014.02.018" TargetMode="External"/><Relationship Id="rId4050" Type="http://schemas.openxmlformats.org/officeDocument/2006/relationships/hyperlink" Target="https://doi.org/10.4135/9789353280765" TargetMode="External"/><Relationship Id="rId5101" Type="http://schemas.openxmlformats.org/officeDocument/2006/relationships/hyperlink" Target="https://doi.org/10.1590/S1980-57642013DN70200010" TargetMode="External"/><Relationship Id="rId1504" Type="http://schemas.openxmlformats.org/officeDocument/2006/relationships/hyperlink" Target="https://doi.org/10.1080/09602011.2010.525947" TargetMode="External"/><Relationship Id="rId1711" Type="http://schemas.openxmlformats.org/officeDocument/2006/relationships/hyperlink" Target="https://doi.org/10.3389/fpsyt.2014.00018" TargetMode="External"/><Relationship Id="rId4867" Type="http://schemas.openxmlformats.org/officeDocument/2006/relationships/hyperlink" Target="https://doi.org/10.1002/ajmg.b.30684" TargetMode="External"/><Relationship Id="rId3469" Type="http://schemas.openxmlformats.org/officeDocument/2006/relationships/hyperlink" Target="https://doi.org/10.1111/j.1399-5618.2010.00835.x" TargetMode="External"/><Relationship Id="rId3676" Type="http://schemas.openxmlformats.org/officeDocument/2006/relationships/hyperlink" Target="https://doi.org/10.1177/0956462412472827" TargetMode="External"/><Relationship Id="rId5918" Type="http://schemas.openxmlformats.org/officeDocument/2006/relationships/hyperlink" Target="https://doi.org/10.1891/1945-8959.16.1.38" TargetMode="External"/><Relationship Id="rId6082" Type="http://schemas.openxmlformats.org/officeDocument/2006/relationships/hyperlink" Target="https://doi.org/10.1111/j.1528-1167.2009.02176.x" TargetMode="External"/><Relationship Id="rId597" Type="http://schemas.openxmlformats.org/officeDocument/2006/relationships/hyperlink" Target="https://doi.org/10.1007/s00406-013-0431-2" TargetMode="External"/><Relationship Id="rId2278" Type="http://schemas.openxmlformats.org/officeDocument/2006/relationships/hyperlink" Target="https://doi.org/10.1017/S0033291709005285" TargetMode="External"/><Relationship Id="rId2485" Type="http://schemas.openxmlformats.org/officeDocument/2006/relationships/hyperlink" Target="https://doi.org/10.1016/j.neuroimage.2009.04.094" TargetMode="External"/><Relationship Id="rId3329" Type="http://schemas.openxmlformats.org/officeDocument/2006/relationships/hyperlink" Target="https://doi.org/10.1016/j.jpsychires.2011.01.005" TargetMode="External"/><Relationship Id="rId3883" Type="http://schemas.openxmlformats.org/officeDocument/2006/relationships/hyperlink" Target="https://doi.org/10.1017/S0954579406060299" TargetMode="External"/><Relationship Id="rId4727" Type="http://schemas.openxmlformats.org/officeDocument/2006/relationships/hyperlink" Target="https://doi.org/10.1080/09084280701509125" TargetMode="External"/><Relationship Id="rId4934" Type="http://schemas.openxmlformats.org/officeDocument/2006/relationships/hyperlink" Target="https://doi.org/10.1080/09084280701319938" TargetMode="External"/><Relationship Id="rId457" Type="http://schemas.openxmlformats.org/officeDocument/2006/relationships/hyperlink" Target="https://doi.org/10.1016/0028-3932(95)00035-2" TargetMode="External"/><Relationship Id="rId1087" Type="http://schemas.openxmlformats.org/officeDocument/2006/relationships/hyperlink" Target="https://doi.org/10.1159/000353613" TargetMode="External"/><Relationship Id="rId1294" Type="http://schemas.openxmlformats.org/officeDocument/2006/relationships/hyperlink" Target="https://doi.org/10.1016/j.psychres.2014.08.032" TargetMode="External"/><Relationship Id="rId2138" Type="http://schemas.openxmlformats.org/officeDocument/2006/relationships/hyperlink" Target="https://doi.org/10.1002/hbm.10051" TargetMode="External"/><Relationship Id="rId2692" Type="http://schemas.openxmlformats.org/officeDocument/2006/relationships/hyperlink" Target="https://doi.org/10.1007/s12646-014-0276-4" TargetMode="External"/><Relationship Id="rId3536" Type="http://schemas.openxmlformats.org/officeDocument/2006/relationships/hyperlink" Target="https://doi.org/10.1016/j.schres.2006.05.014" TargetMode="External"/><Relationship Id="rId3743" Type="http://schemas.openxmlformats.org/officeDocument/2006/relationships/hyperlink" Target="https://doi.org/10.1016/j.parkreldis.2006.10.005" TargetMode="External"/><Relationship Id="rId3950" Type="http://schemas.openxmlformats.org/officeDocument/2006/relationships/hyperlink" Target="https://doi.org/10.1016/S0165-1781(03)00203-8" TargetMode="External"/><Relationship Id="rId664" Type="http://schemas.openxmlformats.org/officeDocument/2006/relationships/hyperlink" Target="https://doi.org/10.1016/j.psychres.2010.11.008" TargetMode="External"/><Relationship Id="rId871" Type="http://schemas.openxmlformats.org/officeDocument/2006/relationships/hyperlink" Target="https://doi.org/10.1017/S0033291715001233" TargetMode="External"/><Relationship Id="rId2345" Type="http://schemas.openxmlformats.org/officeDocument/2006/relationships/hyperlink" Target="https://doi.org/10.1016/j.psychres.2013.11.014" TargetMode="External"/><Relationship Id="rId2552" Type="http://schemas.openxmlformats.org/officeDocument/2006/relationships/hyperlink" Target="https://doi.org/10.1016/j.psychres.2011.07.028" TargetMode="External"/><Relationship Id="rId3603" Type="http://schemas.openxmlformats.org/officeDocument/2006/relationships/hyperlink" Target="https://doi.org/10.1097/01.nmd.0000131804.34977.c1" TargetMode="External"/><Relationship Id="rId3810" Type="http://schemas.openxmlformats.org/officeDocument/2006/relationships/hyperlink" Target="https://doi.org/10.1111/jcpp.12463" TargetMode="External"/><Relationship Id="rId317" Type="http://schemas.openxmlformats.org/officeDocument/2006/relationships/hyperlink" Target="https://doi.org/10.3389/fnhum.2013.00643" TargetMode="External"/><Relationship Id="rId524" Type="http://schemas.openxmlformats.org/officeDocument/2006/relationships/hyperlink" Target="https://doi.org/10.1177/1087054712443702" TargetMode="External"/><Relationship Id="rId731" Type="http://schemas.openxmlformats.org/officeDocument/2006/relationships/hyperlink" Target="https://doi.org/10.1097/00005053-199701000-00003" TargetMode="External"/><Relationship Id="rId1154" Type="http://schemas.openxmlformats.org/officeDocument/2006/relationships/hyperlink" Target="https://doi.org/10.1002/(SICI)1099-1166(200001)15:1%3c75::AID-GPS81%3e3.0.CO;2-M" TargetMode="External"/><Relationship Id="rId1361" Type="http://schemas.openxmlformats.org/officeDocument/2006/relationships/hyperlink" Target="https://doi.org/10.1016/j.schres.2012.10.026" TargetMode="External"/><Relationship Id="rId2205" Type="http://schemas.openxmlformats.org/officeDocument/2006/relationships/hyperlink" Target="https://doi.org/10.1016/S0887-6177(98)00045-6" TargetMode="External"/><Relationship Id="rId2412" Type="http://schemas.openxmlformats.org/officeDocument/2006/relationships/hyperlink" Target="https://doi.org/10.1076/0929-7049(200003)6:1;1-B;FT037" TargetMode="External"/><Relationship Id="rId5568" Type="http://schemas.openxmlformats.org/officeDocument/2006/relationships/hyperlink" Target="https://doi.org/10.1080/09658210444000331" TargetMode="External"/><Relationship Id="rId5775" Type="http://schemas.openxmlformats.org/officeDocument/2006/relationships/hyperlink" Target="https://doi.org/10.1111/j.1530-0277.2010.01320.x" TargetMode="External"/><Relationship Id="rId5982" Type="http://schemas.openxmlformats.org/officeDocument/2006/relationships/hyperlink" Target="https://doi.org/10.1097/PSY.0000000000000335" TargetMode="External"/><Relationship Id="rId1014" Type="http://schemas.openxmlformats.org/officeDocument/2006/relationships/hyperlink" Target="https://doi.org/10.1080/02699052.2019.1610797" TargetMode="External"/><Relationship Id="rId1221" Type="http://schemas.openxmlformats.org/officeDocument/2006/relationships/hyperlink" Target="https://doi.org/10.1016/j.neuropsychologia.2007.08.021" TargetMode="External"/><Relationship Id="rId4377" Type="http://schemas.openxmlformats.org/officeDocument/2006/relationships/hyperlink" Target="https://doi.org/10.1080/13554790500473680" TargetMode="External"/><Relationship Id="rId4584" Type="http://schemas.openxmlformats.org/officeDocument/2006/relationships/hyperlink" Target="https://doi.org/10.1016/j.aap.2011.03.028" TargetMode="External"/><Relationship Id="rId4791" Type="http://schemas.openxmlformats.org/officeDocument/2006/relationships/hyperlink" Target="https://doi.org/10.1016/j.acn.2003.09.001" TargetMode="External"/><Relationship Id="rId5428" Type="http://schemas.openxmlformats.org/officeDocument/2006/relationships/hyperlink" Target="https://doi.org/10.1016/j.jalz.2011.03.009" TargetMode="External"/><Relationship Id="rId5635" Type="http://schemas.openxmlformats.org/officeDocument/2006/relationships/hyperlink" Target="https://doi.org/10.1016/j.schres.2017.06.028" TargetMode="External"/><Relationship Id="rId5842" Type="http://schemas.openxmlformats.org/officeDocument/2006/relationships/hyperlink" Target="https://doi.org/10.1186/1471-244X-13-184" TargetMode="External"/><Relationship Id="rId3186" Type="http://schemas.openxmlformats.org/officeDocument/2006/relationships/hyperlink" Target="https://doi.org/10.3389/fnhum.2014.00119" TargetMode="External"/><Relationship Id="rId3393" Type="http://schemas.openxmlformats.org/officeDocument/2006/relationships/hyperlink" Target="https://doi.org/10.1016/j.pbb.2011.03.023" TargetMode="External"/><Relationship Id="rId4237" Type="http://schemas.openxmlformats.org/officeDocument/2006/relationships/hyperlink" Target="https://doi.org/10.1016/j.bandl.2013.06.004" TargetMode="External"/><Relationship Id="rId4444" Type="http://schemas.openxmlformats.org/officeDocument/2006/relationships/hyperlink" Target="https://doi.org/10.1016/j.jns.2017.05.013" TargetMode="External"/><Relationship Id="rId4651" Type="http://schemas.openxmlformats.org/officeDocument/2006/relationships/hyperlink" Target="https://doi.org/10.1080/13854040600888776" TargetMode="External"/><Relationship Id="rId3046" Type="http://schemas.openxmlformats.org/officeDocument/2006/relationships/hyperlink" Target="https://doi.org/10.1016/j.biopsych.2005.09.028" TargetMode="External"/><Relationship Id="rId3253" Type="http://schemas.openxmlformats.org/officeDocument/2006/relationships/hyperlink" Target="https://doi.org/10.1016/j.jbtep.2013.10.008" TargetMode="External"/><Relationship Id="rId3460" Type="http://schemas.openxmlformats.org/officeDocument/2006/relationships/hyperlink" Target="https://doi.org/10.1212/01.WNL.0000055861.95202.8D" TargetMode="External"/><Relationship Id="rId4304" Type="http://schemas.openxmlformats.org/officeDocument/2006/relationships/hyperlink" Target="https://doi.org/10.1136/jnnp.2004.045963" TargetMode="External"/><Relationship Id="rId5702" Type="http://schemas.openxmlformats.org/officeDocument/2006/relationships/hyperlink" Target="https://doi.org/10.1111/j.1469-8749.2007.00372.x" TargetMode="External"/><Relationship Id="rId174" Type="http://schemas.openxmlformats.org/officeDocument/2006/relationships/hyperlink" Target="https://doi.org/10.1097/01.wad.0000213857.89613.10" TargetMode="External"/><Relationship Id="rId381" Type="http://schemas.openxmlformats.org/officeDocument/2006/relationships/hyperlink" Target="https://doi.org/10.1076/clin.16.4.472.13904" TargetMode="External"/><Relationship Id="rId2062" Type="http://schemas.openxmlformats.org/officeDocument/2006/relationships/hyperlink" Target="https://doi.org/10.1007/s40519-016-0322-4" TargetMode="External"/><Relationship Id="rId3113" Type="http://schemas.openxmlformats.org/officeDocument/2006/relationships/hyperlink" Target="https://doi.org/10.1177/0269881113509903" TargetMode="External"/><Relationship Id="rId4511" Type="http://schemas.openxmlformats.org/officeDocument/2006/relationships/hyperlink" Target="https://doi.org/10.3109/09638288.2014.946153" TargetMode="External"/><Relationship Id="rId6269" Type="http://schemas.openxmlformats.org/officeDocument/2006/relationships/hyperlink" Target="https://doi.org/10.1177/0022219413477476" TargetMode="External"/><Relationship Id="rId241" Type="http://schemas.openxmlformats.org/officeDocument/2006/relationships/hyperlink" Target="https://doi.org/10.1076/clin.16.1.7.8331" TargetMode="External"/><Relationship Id="rId3320" Type="http://schemas.openxmlformats.org/officeDocument/2006/relationships/hyperlink" Target="https://doi.org/10.1016/j.biopsych.2005.10.009" TargetMode="External"/><Relationship Id="rId5078" Type="http://schemas.openxmlformats.org/officeDocument/2006/relationships/hyperlink" Target="https://doi.org/10.1111/jir.12633" TargetMode="External"/><Relationship Id="rId6476" Type="http://schemas.openxmlformats.org/officeDocument/2006/relationships/hyperlink" Target="https://doi.org/10.1111/jnp.12088" TargetMode="External"/><Relationship Id="rId2879" Type="http://schemas.openxmlformats.org/officeDocument/2006/relationships/hyperlink" Target="https://doi.org/10.1017/S0033291714000786" TargetMode="External"/><Relationship Id="rId5285" Type="http://schemas.openxmlformats.org/officeDocument/2006/relationships/hyperlink" Target="https://doi.org/10.1080/13803390490515531" TargetMode="External"/><Relationship Id="rId5492" Type="http://schemas.openxmlformats.org/officeDocument/2006/relationships/hyperlink" Target="https://doi.org/10.4135/9781412976589.n16" TargetMode="External"/><Relationship Id="rId6129" Type="http://schemas.openxmlformats.org/officeDocument/2006/relationships/hyperlink" Target="https://doi.org/10.1891/1945-8959.16.1.94" TargetMode="External"/><Relationship Id="rId6336" Type="http://schemas.openxmlformats.org/officeDocument/2006/relationships/hyperlink" Target="https://doi.org/10.1016/j.schres.2010.06.021" TargetMode="External"/><Relationship Id="rId6543" Type="http://schemas.openxmlformats.org/officeDocument/2006/relationships/hyperlink" Target="https://doi.org/10.1016/j.psychres.2012.09.013" TargetMode="External"/><Relationship Id="rId101" Type="http://schemas.openxmlformats.org/officeDocument/2006/relationships/hyperlink" Target="https://doi.org/10.1017/S0033291717003002" TargetMode="External"/><Relationship Id="rId1688" Type="http://schemas.openxmlformats.org/officeDocument/2006/relationships/hyperlink" Target="https://doi.org/10.3109/08039488.2012.756062" TargetMode="External"/><Relationship Id="rId1895" Type="http://schemas.openxmlformats.org/officeDocument/2006/relationships/hyperlink" Target="https://doi.org/10.1016/j.pscychresns.2014.10.017" TargetMode="External"/><Relationship Id="rId2739" Type="http://schemas.openxmlformats.org/officeDocument/2006/relationships/hyperlink" Target="https://doi.org/10.1007/s12646-012-0148-8" TargetMode="External"/><Relationship Id="rId2946" Type="http://schemas.openxmlformats.org/officeDocument/2006/relationships/hyperlink" Target="https://doi.org/10.9758/cpn.2015.13.1.94" TargetMode="External"/><Relationship Id="rId4094" Type="http://schemas.openxmlformats.org/officeDocument/2006/relationships/hyperlink" Target="https://doi.org/10.1136/jnnp.2004.039818" TargetMode="External"/><Relationship Id="rId5145" Type="http://schemas.openxmlformats.org/officeDocument/2006/relationships/hyperlink" Target="https://doi.org/10.1080/08946566.2012.751831" TargetMode="External"/><Relationship Id="rId5352" Type="http://schemas.openxmlformats.org/officeDocument/2006/relationships/hyperlink" Target="https://doi.org/10.1017/sjp.2014.22" TargetMode="External"/><Relationship Id="rId6403" Type="http://schemas.openxmlformats.org/officeDocument/2006/relationships/hyperlink" Target="https://doi.org/10.1016/j.pscychresns.2003.07.002" TargetMode="External"/><Relationship Id="rId918" Type="http://schemas.openxmlformats.org/officeDocument/2006/relationships/hyperlink" Target="https://doi.org/10.1016/j.schres.2014.03.032" TargetMode="External"/><Relationship Id="rId1548" Type="http://schemas.openxmlformats.org/officeDocument/2006/relationships/hyperlink" Target="https://doi.org/10.1016/j.neurobiolaging.2008.09.014" TargetMode="External"/><Relationship Id="rId1755" Type="http://schemas.openxmlformats.org/officeDocument/2006/relationships/hyperlink" Target="https://doi.org/10.1002/eat.10028" TargetMode="External"/><Relationship Id="rId4161" Type="http://schemas.openxmlformats.org/officeDocument/2006/relationships/hyperlink" Target="https://doi.org/10.1007/978-0-387-78965-1_32" TargetMode="External"/><Relationship Id="rId5005" Type="http://schemas.openxmlformats.org/officeDocument/2006/relationships/hyperlink" Target="https://doi.org/10.1097/YPG.0b013e32832080be" TargetMode="External"/><Relationship Id="rId5212" Type="http://schemas.openxmlformats.org/officeDocument/2006/relationships/hyperlink" Target="https://doi.org/10.1093/schbul/sbm037" TargetMode="External"/><Relationship Id="rId1408" Type="http://schemas.openxmlformats.org/officeDocument/2006/relationships/hyperlink" Target="https://doi.org/10.1590/S0102-79722008000100018" TargetMode="External"/><Relationship Id="rId1962" Type="http://schemas.openxmlformats.org/officeDocument/2006/relationships/hyperlink" Target="https://doi.org/10.1055/s-2007-990291" TargetMode="External"/><Relationship Id="rId2806" Type="http://schemas.openxmlformats.org/officeDocument/2006/relationships/hyperlink" Target="https://doi.org/10.3109/15622975.2012.665478" TargetMode="External"/><Relationship Id="rId4021" Type="http://schemas.openxmlformats.org/officeDocument/2006/relationships/hyperlink" Target="https://doi.org/10.1080/10615806.2014.925545" TargetMode="External"/><Relationship Id="rId47" Type="http://schemas.openxmlformats.org/officeDocument/2006/relationships/hyperlink" Target="https://doi.org/10.1016/j.euroneuro.2012.10.005" TargetMode="External"/><Relationship Id="rId1615" Type="http://schemas.openxmlformats.org/officeDocument/2006/relationships/hyperlink" Target="https://doi.org/10.1007/978-90-481-8553-5_13" TargetMode="External"/><Relationship Id="rId1822" Type="http://schemas.openxmlformats.org/officeDocument/2006/relationships/hyperlink" Target="https://doi.org/10.1016/j.cognition.2011.01.015" TargetMode="External"/><Relationship Id="rId4978" Type="http://schemas.openxmlformats.org/officeDocument/2006/relationships/hyperlink" Target="https://doi.org/10.1186/1471-2377-11-50" TargetMode="External"/><Relationship Id="rId6193" Type="http://schemas.openxmlformats.org/officeDocument/2006/relationships/hyperlink" Target="https://doi.org/10.1007/s11065-013-9225-6" TargetMode="External"/><Relationship Id="rId3787" Type="http://schemas.openxmlformats.org/officeDocument/2006/relationships/hyperlink" Target="https://doi.org/10.1016/S0920-9964(03)00058-6" TargetMode="External"/><Relationship Id="rId3994" Type="http://schemas.openxmlformats.org/officeDocument/2006/relationships/hyperlink" Target="https://doi.org/10.1007/978-1-4614-5269-0_7" TargetMode="External"/><Relationship Id="rId4838" Type="http://schemas.openxmlformats.org/officeDocument/2006/relationships/hyperlink" Target="https://doi.org/10.1093/brain/awp269" TargetMode="External"/><Relationship Id="rId6053" Type="http://schemas.openxmlformats.org/officeDocument/2006/relationships/hyperlink" Target="https://doi.org/10.1016/j.schres.2018.07.038" TargetMode="External"/><Relationship Id="rId2389" Type="http://schemas.openxmlformats.org/officeDocument/2006/relationships/hyperlink" Target="https://doi.org/10.3389/fnagi.2013.00031" TargetMode="External"/><Relationship Id="rId2596" Type="http://schemas.openxmlformats.org/officeDocument/2006/relationships/hyperlink" Target="https://doi.org/10.1111/eip.12034" TargetMode="External"/><Relationship Id="rId3647" Type="http://schemas.openxmlformats.org/officeDocument/2006/relationships/hyperlink" Target="https://doi.org/10.1080/13854040903347942" TargetMode="External"/><Relationship Id="rId3854" Type="http://schemas.openxmlformats.org/officeDocument/2006/relationships/hyperlink" Target="https://doi.org/10.1590/0004-282X20140225" TargetMode="External"/><Relationship Id="rId4905" Type="http://schemas.openxmlformats.org/officeDocument/2006/relationships/hyperlink" Target="https://doi.org/10.1016/j.parkreldis.2015.08.016" TargetMode="External"/><Relationship Id="rId6260" Type="http://schemas.openxmlformats.org/officeDocument/2006/relationships/hyperlink" Target="https://doi.org/10.1026/0084-5345.28.3.214" TargetMode="External"/><Relationship Id="rId568" Type="http://schemas.openxmlformats.org/officeDocument/2006/relationships/hyperlink" Target="https://doi.org/10.1093/brain/awl268" TargetMode="External"/><Relationship Id="rId775" Type="http://schemas.openxmlformats.org/officeDocument/2006/relationships/hyperlink" Target="https://doi.org/10.1097/01.ALC.0000156125.50577.EC" TargetMode="External"/><Relationship Id="rId982" Type="http://schemas.openxmlformats.org/officeDocument/2006/relationships/hyperlink" Target="https://doi.org/10.1038/sj.npp.1301219" TargetMode="External"/><Relationship Id="rId1198" Type="http://schemas.openxmlformats.org/officeDocument/2006/relationships/hyperlink" Target="https://doi.org/10.1007/s10072-013-1342-8" TargetMode="External"/><Relationship Id="rId2249" Type="http://schemas.openxmlformats.org/officeDocument/2006/relationships/hyperlink" Target="https://doi.org/10.1037/a0021053" TargetMode="External"/><Relationship Id="rId2456" Type="http://schemas.openxmlformats.org/officeDocument/2006/relationships/hyperlink" Target="https://doi.org/10.1080/09297040490911122" TargetMode="External"/><Relationship Id="rId2663" Type="http://schemas.openxmlformats.org/officeDocument/2006/relationships/hyperlink" Target="https://doi.org/10.1016/j.intell.2012.03.001" TargetMode="External"/><Relationship Id="rId2870" Type="http://schemas.openxmlformats.org/officeDocument/2006/relationships/hyperlink" Target="https://doi.org/10.1016/j.biopsych.2005.06.022" TargetMode="External"/><Relationship Id="rId3507" Type="http://schemas.openxmlformats.org/officeDocument/2006/relationships/hyperlink" Target="https://doi.org/10.1016/j.jocrd.2014.12.001" TargetMode="External"/><Relationship Id="rId3714" Type="http://schemas.openxmlformats.org/officeDocument/2006/relationships/hyperlink" Target="https://doi.org/10.1016/j.jad.2012.11.037" TargetMode="External"/><Relationship Id="rId3921" Type="http://schemas.openxmlformats.org/officeDocument/2006/relationships/hyperlink" Target="https://doi.org/10.1590/S0004-282X2012000200004" TargetMode="External"/><Relationship Id="rId6120" Type="http://schemas.openxmlformats.org/officeDocument/2006/relationships/hyperlink" Target="https://doi.org/10.1037/neu0000058" TargetMode="External"/><Relationship Id="rId428" Type="http://schemas.openxmlformats.org/officeDocument/2006/relationships/hyperlink" Target="https://doi.org/10.1001/jama.295.15.1775" TargetMode="External"/><Relationship Id="rId635" Type="http://schemas.openxmlformats.org/officeDocument/2006/relationships/hyperlink" Target="https://doi.org/10.1002/ejp.1214" TargetMode="External"/><Relationship Id="rId842" Type="http://schemas.openxmlformats.org/officeDocument/2006/relationships/hyperlink" Target="https://doi.org/10.1080/09602010903345298" TargetMode="External"/><Relationship Id="rId1058" Type="http://schemas.openxmlformats.org/officeDocument/2006/relationships/hyperlink" Target="https://doi.org/10.1016/j.clinph.2011.09.012" TargetMode="External"/><Relationship Id="rId1265" Type="http://schemas.openxmlformats.org/officeDocument/2006/relationships/hyperlink" Target="https://doi.org/10.3389/fpsyt.2013.00126" TargetMode="External"/><Relationship Id="rId1472" Type="http://schemas.openxmlformats.org/officeDocument/2006/relationships/hyperlink" Target="https://doi.org/10.1097/NMD.0b013e31821cd0ff" TargetMode="External"/><Relationship Id="rId2109" Type="http://schemas.openxmlformats.org/officeDocument/2006/relationships/hyperlink" Target="https://doi.org/10.1016/0925-4927(94)90011-6" TargetMode="External"/><Relationship Id="rId2316" Type="http://schemas.openxmlformats.org/officeDocument/2006/relationships/hyperlink" Target="https://doi.org/10.1177/0093854813479779" TargetMode="External"/><Relationship Id="rId2523" Type="http://schemas.openxmlformats.org/officeDocument/2006/relationships/hyperlink" Target="https://doi.org/10.1034/j.1600-0404.2003.00169.x" TargetMode="External"/><Relationship Id="rId2730" Type="http://schemas.openxmlformats.org/officeDocument/2006/relationships/hyperlink" Target="https://doi.org/10.1007/s00406-004-0504-3" TargetMode="External"/><Relationship Id="rId5679" Type="http://schemas.openxmlformats.org/officeDocument/2006/relationships/hyperlink" Target="https://doi.org/10.1002/hup.1105" TargetMode="External"/><Relationship Id="rId5886" Type="http://schemas.openxmlformats.org/officeDocument/2006/relationships/hyperlink" Target="https://doi.org/10.1002/ajmg.b.32092" TargetMode="External"/><Relationship Id="rId702" Type="http://schemas.openxmlformats.org/officeDocument/2006/relationships/hyperlink" Target="https://doi.org/10.1016/j.rasd.2013.03.002" TargetMode="External"/><Relationship Id="rId1125" Type="http://schemas.openxmlformats.org/officeDocument/2006/relationships/hyperlink" Target="https://doi.org/10.3109/02699059509008206" TargetMode="External"/><Relationship Id="rId1332" Type="http://schemas.openxmlformats.org/officeDocument/2006/relationships/hyperlink" Target="https://doi.org/10.1023/A:1005591412406" TargetMode="External"/><Relationship Id="rId4488" Type="http://schemas.openxmlformats.org/officeDocument/2006/relationships/hyperlink" Target="https://doi.org/10.1016/j.cortex.2016.12.020" TargetMode="External"/><Relationship Id="rId4695" Type="http://schemas.openxmlformats.org/officeDocument/2006/relationships/hyperlink" Target="https://doi.org/10.1176/appi.neuropsych.22.1.100" TargetMode="External"/><Relationship Id="rId5539" Type="http://schemas.openxmlformats.org/officeDocument/2006/relationships/hyperlink" Target="https://doi.org/10.1176/appi.neuropsych.22.3.295" TargetMode="External"/><Relationship Id="rId3297" Type="http://schemas.openxmlformats.org/officeDocument/2006/relationships/hyperlink" Target="https://doi.org/10.1080/10400419.2014.873657" TargetMode="External"/><Relationship Id="rId4348" Type="http://schemas.openxmlformats.org/officeDocument/2006/relationships/hyperlink" Target="https://doi.org/10.1017/S1355617720000302" TargetMode="External"/><Relationship Id="rId5746" Type="http://schemas.openxmlformats.org/officeDocument/2006/relationships/hyperlink" Target="https://doi.org/10.1016/S0887-6177(03)00078-7" TargetMode="External"/><Relationship Id="rId5953" Type="http://schemas.openxmlformats.org/officeDocument/2006/relationships/hyperlink" Target="https://doi.org/10.1080/13803395.2011.623121" TargetMode="External"/><Relationship Id="rId3157" Type="http://schemas.openxmlformats.org/officeDocument/2006/relationships/hyperlink" Target="https://doi.org/10.1523/JNEUROSCI.3405-13.2014" TargetMode="External"/><Relationship Id="rId4555" Type="http://schemas.openxmlformats.org/officeDocument/2006/relationships/hyperlink" Target="https://doi.org/10.1080/09602011.2014.971819" TargetMode="External"/><Relationship Id="rId4762" Type="http://schemas.openxmlformats.org/officeDocument/2006/relationships/hyperlink" Target="https://doi.org/10.1155/2007/534043" TargetMode="External"/><Relationship Id="rId5606" Type="http://schemas.openxmlformats.org/officeDocument/2006/relationships/hyperlink" Target="https://doi.org/10.1016/S0920-9964(97)00072-8" TargetMode="External"/><Relationship Id="rId5813" Type="http://schemas.openxmlformats.org/officeDocument/2006/relationships/hyperlink" Target="https://doi.org/10.1093/brain/awp041" TargetMode="External"/><Relationship Id="rId285" Type="http://schemas.openxmlformats.org/officeDocument/2006/relationships/hyperlink" Target="https://doi.org/10.1080/24750573.2017.1387405" TargetMode="External"/><Relationship Id="rId3364" Type="http://schemas.openxmlformats.org/officeDocument/2006/relationships/hyperlink" Target="https://doi.org/10.1111/j.1601-183X.2008.00467.x" TargetMode="External"/><Relationship Id="rId3571" Type="http://schemas.openxmlformats.org/officeDocument/2006/relationships/hyperlink" Target="https://doi.org/10.3233/JAD-140990" TargetMode="External"/><Relationship Id="rId4208" Type="http://schemas.openxmlformats.org/officeDocument/2006/relationships/hyperlink" Target="https://doi.org/10.1159/000321352" TargetMode="External"/><Relationship Id="rId4415" Type="http://schemas.openxmlformats.org/officeDocument/2006/relationships/hyperlink" Target="https://doi.org/10.1016/j.schres.2007.03.002" TargetMode="External"/><Relationship Id="rId4622" Type="http://schemas.openxmlformats.org/officeDocument/2006/relationships/hyperlink" Target="https://doi.org/10.1177/088307380301801204" TargetMode="External"/><Relationship Id="rId492" Type="http://schemas.openxmlformats.org/officeDocument/2006/relationships/hyperlink" Target="https://doi.org/10.1016/j.pnpbp.2010.01.015" TargetMode="External"/><Relationship Id="rId2173" Type="http://schemas.openxmlformats.org/officeDocument/2006/relationships/hyperlink" Target="https://doi.org/10.1016/j.bandc.2011.08.004" TargetMode="External"/><Relationship Id="rId2380" Type="http://schemas.openxmlformats.org/officeDocument/2006/relationships/hyperlink" Target="https://doi.org/10.1521/soco.2009.27.1.20" TargetMode="External"/><Relationship Id="rId3017" Type="http://schemas.openxmlformats.org/officeDocument/2006/relationships/hyperlink" Target="https://doi.org/10.3389/fnhum.2021.617626" TargetMode="External"/><Relationship Id="rId3224" Type="http://schemas.openxmlformats.org/officeDocument/2006/relationships/hyperlink" Target="https://doi.org/10.1080/02687030444000840" TargetMode="External"/><Relationship Id="rId3431" Type="http://schemas.openxmlformats.org/officeDocument/2006/relationships/hyperlink" Target="https://doi.org/10.1016/j.biopsych.2006.04.024" TargetMode="External"/><Relationship Id="rId145" Type="http://schemas.openxmlformats.org/officeDocument/2006/relationships/hyperlink" Target="https://doi.org/10.1093/brain/awh329" TargetMode="External"/><Relationship Id="rId352" Type="http://schemas.openxmlformats.org/officeDocument/2006/relationships/hyperlink" Target="https://doi.org/10.1159/000345562" TargetMode="External"/><Relationship Id="rId2033" Type="http://schemas.openxmlformats.org/officeDocument/2006/relationships/hyperlink" Target="https://doi.org/10.1093/arclin/acr060" TargetMode="External"/><Relationship Id="rId2240" Type="http://schemas.openxmlformats.org/officeDocument/2006/relationships/hyperlink" Target="https://doi.org/10.1038/npp.2012.138" TargetMode="External"/><Relationship Id="rId5189" Type="http://schemas.openxmlformats.org/officeDocument/2006/relationships/hyperlink" Target="https://doi.org/10.1097/QAD.0b013e3283437f9a" TargetMode="External"/><Relationship Id="rId5396" Type="http://schemas.openxmlformats.org/officeDocument/2006/relationships/hyperlink" Target="https://doi.org/10.1080/02646838.2018.1543943" TargetMode="External"/><Relationship Id="rId6447" Type="http://schemas.openxmlformats.org/officeDocument/2006/relationships/hyperlink" Target="https://doi.org/10.1186/1744-9081-8-17" TargetMode="External"/><Relationship Id="rId212" Type="http://schemas.openxmlformats.org/officeDocument/2006/relationships/hyperlink" Target="https://doi.org/10.1093/brain/awh169" TargetMode="External"/><Relationship Id="rId1799" Type="http://schemas.openxmlformats.org/officeDocument/2006/relationships/hyperlink" Target="https://doi.org/10.4074/S0003503314003054" TargetMode="External"/><Relationship Id="rId2100" Type="http://schemas.openxmlformats.org/officeDocument/2006/relationships/hyperlink" Target="https://doi.org/10.1016/j.psychres.2017.07.066" TargetMode="External"/><Relationship Id="rId5049" Type="http://schemas.openxmlformats.org/officeDocument/2006/relationships/hyperlink" Target="https://doi.org/10.1080/23311908.2020.1754108" TargetMode="External"/><Relationship Id="rId5256" Type="http://schemas.openxmlformats.org/officeDocument/2006/relationships/hyperlink" Target="https://doi.org/10.5152/npa.2017.15883" TargetMode="External"/><Relationship Id="rId5463" Type="http://schemas.openxmlformats.org/officeDocument/2006/relationships/hyperlink" Target="https://doi.org/10.1134/S0362119707030048" TargetMode="External"/><Relationship Id="rId5670" Type="http://schemas.openxmlformats.org/officeDocument/2006/relationships/hyperlink" Target="https://doi.org/10.1097/YPG.0b013e3283118725" TargetMode="External"/><Relationship Id="rId6307" Type="http://schemas.openxmlformats.org/officeDocument/2006/relationships/hyperlink" Target="https://doi.org/10.1016/j.neuropsychologia.2006.04.013" TargetMode="External"/><Relationship Id="rId6514" Type="http://schemas.openxmlformats.org/officeDocument/2006/relationships/hyperlink" Target="https://doi.org/10.3389/fpsyt.2017.00219" TargetMode="External"/><Relationship Id="rId4065" Type="http://schemas.openxmlformats.org/officeDocument/2006/relationships/hyperlink" Target="https://doi.org/10.1097/QAI.0b013e31829e1408" TargetMode="External"/><Relationship Id="rId4272" Type="http://schemas.openxmlformats.org/officeDocument/2006/relationships/hyperlink" Target="https://doi.org/10.1080/21622965.2012.686330" TargetMode="External"/><Relationship Id="rId5116" Type="http://schemas.openxmlformats.org/officeDocument/2006/relationships/hyperlink" Target="https://doi.org/10.1212/01.wnl.0000234032.77541.a2" TargetMode="External"/><Relationship Id="rId5323" Type="http://schemas.openxmlformats.org/officeDocument/2006/relationships/hyperlink" Target="https://doi.org/10.1016/j.bandc.2011.02.011" TargetMode="External"/><Relationship Id="rId1659" Type="http://schemas.openxmlformats.org/officeDocument/2006/relationships/hyperlink" Target="https://doi.org/10.1080/00207144.2013.729435" TargetMode="External"/><Relationship Id="rId1866" Type="http://schemas.openxmlformats.org/officeDocument/2006/relationships/hyperlink" Target="https://doi.org/10.1007/s10072-016-2755-y" TargetMode="External"/><Relationship Id="rId2917" Type="http://schemas.openxmlformats.org/officeDocument/2006/relationships/hyperlink" Target="https://doi.org/10.1016/j.schres.2004.02.015" TargetMode="External"/><Relationship Id="rId3081" Type="http://schemas.openxmlformats.org/officeDocument/2006/relationships/hyperlink" Target="https://doi.org/10.1016/j.cortex.2014.12.005" TargetMode="External"/><Relationship Id="rId4132" Type="http://schemas.openxmlformats.org/officeDocument/2006/relationships/hyperlink" Target="https://doi.org/10.1097/WNN.0b013e3180335faf" TargetMode="External"/><Relationship Id="rId5530" Type="http://schemas.openxmlformats.org/officeDocument/2006/relationships/hyperlink" Target="https://doi.org/10.1080/00223891.2012.668594" TargetMode="External"/><Relationship Id="rId1519" Type="http://schemas.openxmlformats.org/officeDocument/2006/relationships/hyperlink" Target="https://doi.org/10.1177/1533317509342982" TargetMode="External"/><Relationship Id="rId1726" Type="http://schemas.openxmlformats.org/officeDocument/2006/relationships/hyperlink" Target="https://doi.org/10.1177/0269881114551079" TargetMode="External"/><Relationship Id="rId1933" Type="http://schemas.openxmlformats.org/officeDocument/2006/relationships/hyperlink" Target="https://doi.org/10.1016/j.sleep.2011.04.013" TargetMode="External"/><Relationship Id="rId6097" Type="http://schemas.openxmlformats.org/officeDocument/2006/relationships/hyperlink" Target="https://doi.org/10.1080/10926771.2017.1300619" TargetMode="External"/><Relationship Id="rId18" Type="http://schemas.openxmlformats.org/officeDocument/2006/relationships/hyperlink" Target="https://doi.org/10.1007/s12207-019-09353-x" TargetMode="External"/><Relationship Id="rId3898" Type="http://schemas.openxmlformats.org/officeDocument/2006/relationships/hyperlink" Target="https://doi.org/10.1093/arclin/acr084" TargetMode="External"/><Relationship Id="rId4949" Type="http://schemas.openxmlformats.org/officeDocument/2006/relationships/hyperlink" Target="https://doi.org/10.1016/j.psym.2017.07.008" TargetMode="External"/><Relationship Id="rId3758" Type="http://schemas.openxmlformats.org/officeDocument/2006/relationships/hyperlink" Target="https://doi.org/10.1097/WNN.0b013e31826dfd3c" TargetMode="External"/><Relationship Id="rId3965" Type="http://schemas.openxmlformats.org/officeDocument/2006/relationships/hyperlink" Target="https://doi.org/10.1002/gps.2709" TargetMode="External"/><Relationship Id="rId4809" Type="http://schemas.openxmlformats.org/officeDocument/2006/relationships/hyperlink" Target="https://doi.org/10.1016/S0920-9964(03)00086-0" TargetMode="External"/><Relationship Id="rId6164" Type="http://schemas.openxmlformats.org/officeDocument/2006/relationships/hyperlink" Target="https://doi.org/10.1080/0361073X.2017.1276375" TargetMode="External"/><Relationship Id="rId6371" Type="http://schemas.openxmlformats.org/officeDocument/2006/relationships/hyperlink" Target="https://doi.org/10.1111/ppc.12024" TargetMode="External"/><Relationship Id="rId679" Type="http://schemas.openxmlformats.org/officeDocument/2006/relationships/hyperlink" Target="https://doi.org/10.1007/978-1-4614-6452-5_4" TargetMode="External"/><Relationship Id="rId886" Type="http://schemas.openxmlformats.org/officeDocument/2006/relationships/hyperlink" Target="https://doi.org/10.1016/j.jalz.2013.01.004" TargetMode="External"/><Relationship Id="rId2567" Type="http://schemas.openxmlformats.org/officeDocument/2006/relationships/hyperlink" Target="https://doi.org/10.1177/088307389901401206" TargetMode="External"/><Relationship Id="rId2774" Type="http://schemas.openxmlformats.org/officeDocument/2006/relationships/hyperlink" Target="https://doi.org/10.3109/13550284.2010.513365" TargetMode="External"/><Relationship Id="rId3618" Type="http://schemas.openxmlformats.org/officeDocument/2006/relationships/hyperlink" Target="https://doi.org/10.1093/brain/awp166" TargetMode="External"/><Relationship Id="rId5180" Type="http://schemas.openxmlformats.org/officeDocument/2006/relationships/hyperlink" Target="https://doi.org/10.1177/0022219412443556" TargetMode="External"/><Relationship Id="rId6024" Type="http://schemas.openxmlformats.org/officeDocument/2006/relationships/hyperlink" Target="https://doi.org/10.1016/j.jad.2005.09.002" TargetMode="External"/><Relationship Id="rId6231" Type="http://schemas.openxmlformats.org/officeDocument/2006/relationships/hyperlink" Target="https://doi.org/10.1177/1087054705286061" TargetMode="External"/><Relationship Id="rId2" Type="http://schemas.openxmlformats.org/officeDocument/2006/relationships/settings" Target="settings.xml"/><Relationship Id="rId539" Type="http://schemas.openxmlformats.org/officeDocument/2006/relationships/hyperlink" Target="https://doi.org/10.1097/01.wnn.0000152204.71409.2e" TargetMode="External"/><Relationship Id="rId746" Type="http://schemas.openxmlformats.org/officeDocument/2006/relationships/hyperlink" Target="https://doi.org/10.1016/j.intell.2014.08.010" TargetMode="External"/><Relationship Id="rId1169" Type="http://schemas.openxmlformats.org/officeDocument/2006/relationships/hyperlink" Target="https://doi.org/10.1016/j.psychres.2009.05.009" TargetMode="External"/><Relationship Id="rId1376" Type="http://schemas.openxmlformats.org/officeDocument/2006/relationships/hyperlink" Target="https://doi.org/10.1111/ene.12559" TargetMode="External"/><Relationship Id="rId1583" Type="http://schemas.openxmlformats.org/officeDocument/2006/relationships/hyperlink" Target="https://doi.org/10.1016/j.schres.2013.05.013" TargetMode="External"/><Relationship Id="rId2427" Type="http://schemas.openxmlformats.org/officeDocument/2006/relationships/hyperlink" Target="https://doi.org/10.1007/s00213-011-2170-2" TargetMode="External"/><Relationship Id="rId2981" Type="http://schemas.openxmlformats.org/officeDocument/2006/relationships/hyperlink" Target="https://doi.org/10.1037/0000032-008" TargetMode="External"/><Relationship Id="rId3825" Type="http://schemas.openxmlformats.org/officeDocument/2006/relationships/hyperlink" Target="https://doi.org/10.1080/13854046.2013.816372" TargetMode="External"/><Relationship Id="rId5040" Type="http://schemas.openxmlformats.org/officeDocument/2006/relationships/hyperlink" Target="https://doi.org/10.1080/09540121.2012.687815" TargetMode="External"/><Relationship Id="rId953" Type="http://schemas.openxmlformats.org/officeDocument/2006/relationships/hyperlink" Target="https://doi.org/10.1016/j.psychres.2013.11.028" TargetMode="External"/><Relationship Id="rId1029" Type="http://schemas.openxmlformats.org/officeDocument/2006/relationships/hyperlink" Target="https://doi.org/10.1111/acer.14288" TargetMode="External"/><Relationship Id="rId1236" Type="http://schemas.openxmlformats.org/officeDocument/2006/relationships/hyperlink" Target="https://doi.org/10.1016/j.appet.2007.04.001" TargetMode="External"/><Relationship Id="rId1790" Type="http://schemas.openxmlformats.org/officeDocument/2006/relationships/hyperlink" Target="https://doi.org/10.1159/000346432" TargetMode="External"/><Relationship Id="rId2634" Type="http://schemas.openxmlformats.org/officeDocument/2006/relationships/hyperlink" Target="https://doi.org/10.1097/WNN.0b013e31804c6fb8" TargetMode="External"/><Relationship Id="rId2841" Type="http://schemas.openxmlformats.org/officeDocument/2006/relationships/hyperlink" Target="https://doi.org/10.1111/j.1600-0447.2012.01845.x" TargetMode="External"/><Relationship Id="rId5997" Type="http://schemas.openxmlformats.org/officeDocument/2006/relationships/hyperlink" Target="https://doi.org/10.1016/j.jpsychires.2012.06.004" TargetMode="External"/><Relationship Id="rId82" Type="http://schemas.openxmlformats.org/officeDocument/2006/relationships/hyperlink" Target="https://doi.org/10.1016/j.yebeh.2006.01.007" TargetMode="External"/><Relationship Id="rId606" Type="http://schemas.openxmlformats.org/officeDocument/2006/relationships/hyperlink" Target="https://doi.org/10.1016/j.euroneuro.2014.09.007" TargetMode="External"/><Relationship Id="rId813" Type="http://schemas.openxmlformats.org/officeDocument/2006/relationships/hyperlink" Target="https://doi.org/10.1017/S0033291716000659" TargetMode="External"/><Relationship Id="rId1443" Type="http://schemas.openxmlformats.org/officeDocument/2006/relationships/hyperlink" Target="https://doi.org/10.1111/bdi.12200" TargetMode="External"/><Relationship Id="rId1650" Type="http://schemas.openxmlformats.org/officeDocument/2006/relationships/hyperlink" Target="https://doi.org/10.1037/hea0000884" TargetMode="External"/><Relationship Id="rId2701" Type="http://schemas.openxmlformats.org/officeDocument/2006/relationships/hyperlink" Target="https://doi.org/10.1111/j.1600-0447.2008.01320.x" TargetMode="External"/><Relationship Id="rId4599" Type="http://schemas.openxmlformats.org/officeDocument/2006/relationships/hyperlink" Target="https://doi.org/10.1016/j.bbr.2008.05.012" TargetMode="External"/><Relationship Id="rId5857" Type="http://schemas.openxmlformats.org/officeDocument/2006/relationships/hyperlink" Target="https://doi.org/10.1017/CBO9781139856669.016" TargetMode="External"/><Relationship Id="rId1303" Type="http://schemas.openxmlformats.org/officeDocument/2006/relationships/hyperlink" Target="https://doi.org/10.1016/S0010-440X(98)90073-6" TargetMode="External"/><Relationship Id="rId1510" Type="http://schemas.openxmlformats.org/officeDocument/2006/relationships/hyperlink" Target="https://doi.org/10.1002/bsl.845" TargetMode="External"/><Relationship Id="rId4459" Type="http://schemas.openxmlformats.org/officeDocument/2006/relationships/hyperlink" Target="https://doi.org/10.1016/j.brainres.2006.11.054" TargetMode="External"/><Relationship Id="rId4666" Type="http://schemas.openxmlformats.org/officeDocument/2006/relationships/hyperlink" Target="https://doi.org/10.1037/pag0000112" TargetMode="External"/><Relationship Id="rId4873" Type="http://schemas.openxmlformats.org/officeDocument/2006/relationships/hyperlink" Target="https://doi.org/10.1007/s00702-011-0660-3" TargetMode="External"/><Relationship Id="rId5717" Type="http://schemas.openxmlformats.org/officeDocument/2006/relationships/hyperlink" Target="https://doi.org/10.1016/j.comppsych.2012.08.001" TargetMode="External"/><Relationship Id="rId5924" Type="http://schemas.openxmlformats.org/officeDocument/2006/relationships/hyperlink" Target="https://doi.org/10.1016/j.schres.2013.10.030" TargetMode="External"/><Relationship Id="rId3268" Type="http://schemas.openxmlformats.org/officeDocument/2006/relationships/hyperlink" Target="https://doi.org/10.1016/j.schres.2014.01.018" TargetMode="External"/><Relationship Id="rId3475" Type="http://schemas.openxmlformats.org/officeDocument/2006/relationships/hyperlink" Target="https://doi.org/10.1093/arclin/acz028" TargetMode="External"/><Relationship Id="rId3682" Type="http://schemas.openxmlformats.org/officeDocument/2006/relationships/hyperlink" Target="https://doi.org/10.1016/j.biopsycho.2010.12.001" TargetMode="External"/><Relationship Id="rId4319" Type="http://schemas.openxmlformats.org/officeDocument/2006/relationships/hyperlink" Target="https://doi.org/10.1016/j.neures.2010.10.003" TargetMode="External"/><Relationship Id="rId4526" Type="http://schemas.openxmlformats.org/officeDocument/2006/relationships/hyperlink" Target="https://doi.org/10.1016/j.jagp.2016.10.004" TargetMode="External"/><Relationship Id="rId4733" Type="http://schemas.openxmlformats.org/officeDocument/2006/relationships/hyperlink" Target="https://doi.org/10.1037/14091-000" TargetMode="External"/><Relationship Id="rId4940" Type="http://schemas.openxmlformats.org/officeDocument/2006/relationships/hyperlink" Target="https://doi.org/10.1016/j.drugalcdep.2003.10.003" TargetMode="External"/><Relationship Id="rId189" Type="http://schemas.openxmlformats.org/officeDocument/2006/relationships/hyperlink" Target="https://doi.org/10.1207/s15324826an1004_2" TargetMode="External"/><Relationship Id="rId396" Type="http://schemas.openxmlformats.org/officeDocument/2006/relationships/hyperlink" Target="https://doi.org/10.1097/00001199-200509000-00006" TargetMode="External"/><Relationship Id="rId2077" Type="http://schemas.openxmlformats.org/officeDocument/2006/relationships/hyperlink" Target="https://doi.org/10.1093/oxfordjournals.schbul.a007127" TargetMode="External"/><Relationship Id="rId2284" Type="http://schemas.openxmlformats.org/officeDocument/2006/relationships/hyperlink" Target="https://doi.org/10.1080/15622975.2017.1282171" TargetMode="External"/><Relationship Id="rId2491" Type="http://schemas.openxmlformats.org/officeDocument/2006/relationships/hyperlink" Target="https://doi.org/10.1016/j.biopsych.2004.02.020" TargetMode="External"/><Relationship Id="rId3128" Type="http://schemas.openxmlformats.org/officeDocument/2006/relationships/hyperlink" Target="https://doi.org/10.1017/CBO9781139856669.006" TargetMode="External"/><Relationship Id="rId3335" Type="http://schemas.openxmlformats.org/officeDocument/2006/relationships/hyperlink" Target="https://doi.org/10.1017/S0033291710001042" TargetMode="External"/><Relationship Id="rId3542" Type="http://schemas.openxmlformats.org/officeDocument/2006/relationships/hyperlink" Target="https://doi.org/10.1016/j.schres.2011.06.011" TargetMode="External"/><Relationship Id="rId256" Type="http://schemas.openxmlformats.org/officeDocument/2006/relationships/hyperlink" Target="https://doi.org/10.1002/ajmg.b.20030" TargetMode="External"/><Relationship Id="rId463" Type="http://schemas.openxmlformats.org/officeDocument/2006/relationships/hyperlink" Target="https://doi.org/10.1212/WNL.0000000000000380" TargetMode="External"/><Relationship Id="rId670" Type="http://schemas.openxmlformats.org/officeDocument/2006/relationships/hyperlink" Target="https://doi.org/10.1177/153331750502000103" TargetMode="External"/><Relationship Id="rId1093" Type="http://schemas.openxmlformats.org/officeDocument/2006/relationships/hyperlink" Target="https://doi.org/10.1080/13854040600629766" TargetMode="External"/><Relationship Id="rId2144" Type="http://schemas.openxmlformats.org/officeDocument/2006/relationships/hyperlink" Target="https://doi.org/10.1016/j.schres.2003.07.001" TargetMode="External"/><Relationship Id="rId2351" Type="http://schemas.openxmlformats.org/officeDocument/2006/relationships/hyperlink" Target="https://doi.org/10.1037/0882-7974.16.3.385" TargetMode="External"/><Relationship Id="rId3402" Type="http://schemas.openxmlformats.org/officeDocument/2006/relationships/hyperlink" Target="https://doi.org/10.1097/JCP.0b013e31829c96e9" TargetMode="External"/><Relationship Id="rId4800" Type="http://schemas.openxmlformats.org/officeDocument/2006/relationships/hyperlink" Target="https://doi.org/10.1080/13554791003785919" TargetMode="External"/><Relationship Id="rId116" Type="http://schemas.openxmlformats.org/officeDocument/2006/relationships/hyperlink" Target="https://doi.org/10.1080/09540121.2015.1124985" TargetMode="External"/><Relationship Id="rId323" Type="http://schemas.openxmlformats.org/officeDocument/2006/relationships/hyperlink" Target="https://doi.org/10.1016/j.neuropsychologia.2010.05.001" TargetMode="External"/><Relationship Id="rId530" Type="http://schemas.openxmlformats.org/officeDocument/2006/relationships/hyperlink" Target="https://doi.org/10.1016/j.pscychresns.2013.07.004" TargetMode="External"/><Relationship Id="rId1160" Type="http://schemas.openxmlformats.org/officeDocument/2006/relationships/hyperlink" Target="https://doi.org/10.1080/02687030802165574" TargetMode="External"/><Relationship Id="rId2004" Type="http://schemas.openxmlformats.org/officeDocument/2006/relationships/hyperlink" Target="https://doi.org/10.1080/09602011.2014.975253" TargetMode="External"/><Relationship Id="rId2211" Type="http://schemas.openxmlformats.org/officeDocument/2006/relationships/hyperlink" Target="https://doi.org/10.1080/13854040802054169" TargetMode="External"/><Relationship Id="rId5367" Type="http://schemas.openxmlformats.org/officeDocument/2006/relationships/hyperlink" Target="https://doi.org/10.1016/j.eurpsy.2008.10.004" TargetMode="External"/><Relationship Id="rId4176" Type="http://schemas.openxmlformats.org/officeDocument/2006/relationships/hyperlink" Target="https://doi.org/10.1017/S1041610210000098" TargetMode="External"/><Relationship Id="rId5574" Type="http://schemas.openxmlformats.org/officeDocument/2006/relationships/hyperlink" Target="https://doi.org/10.1176/ajp.151.6.915" TargetMode="External"/><Relationship Id="rId5781" Type="http://schemas.openxmlformats.org/officeDocument/2006/relationships/hyperlink" Target="https://doi.org/10.1037/0894-4105.21.5.631" TargetMode="External"/><Relationship Id="rId6418" Type="http://schemas.openxmlformats.org/officeDocument/2006/relationships/hyperlink" Target="https://doi.org/10.1111/j.1399-5618.2008.00650.x" TargetMode="External"/><Relationship Id="rId1020" Type="http://schemas.openxmlformats.org/officeDocument/2006/relationships/hyperlink" Target="https://doi.org/10.1097/NMD.0b013e3182718c35" TargetMode="External"/><Relationship Id="rId1977" Type="http://schemas.openxmlformats.org/officeDocument/2006/relationships/hyperlink" Target="https://doi.org/10.1080/13803395.2011.596820" TargetMode="External"/><Relationship Id="rId4383" Type="http://schemas.openxmlformats.org/officeDocument/2006/relationships/hyperlink" Target="https://doi.org/10.1093/brain/awv048" TargetMode="External"/><Relationship Id="rId4590" Type="http://schemas.openxmlformats.org/officeDocument/2006/relationships/hyperlink" Target="https://doi.org/10.1176/appi.ajp.2011.10101423" TargetMode="External"/><Relationship Id="rId5227" Type="http://schemas.openxmlformats.org/officeDocument/2006/relationships/hyperlink" Target="https://doi.org/10.1348/135532500168100" TargetMode="External"/><Relationship Id="rId5434" Type="http://schemas.openxmlformats.org/officeDocument/2006/relationships/hyperlink" Target="https://doi.org/10.1111/j.1399-5618.2012.01030.x" TargetMode="External"/><Relationship Id="rId5641" Type="http://schemas.openxmlformats.org/officeDocument/2006/relationships/hyperlink" Target="https://doi.org/10.1016/S0165-1781(97)00104-2" TargetMode="External"/><Relationship Id="rId1837" Type="http://schemas.openxmlformats.org/officeDocument/2006/relationships/hyperlink" Target="https://doi.org/10.1007/s12311-013-0461-3" TargetMode="External"/><Relationship Id="rId3192" Type="http://schemas.openxmlformats.org/officeDocument/2006/relationships/hyperlink" Target="https://doi.org/10.1080/13546805.2013.854198" TargetMode="External"/><Relationship Id="rId4036" Type="http://schemas.openxmlformats.org/officeDocument/2006/relationships/hyperlink" Target="https://doi.org/10.1097/NMD.0000000000001055" TargetMode="External"/><Relationship Id="rId4243" Type="http://schemas.openxmlformats.org/officeDocument/2006/relationships/hyperlink" Target="https://doi.org/10.1017/S0033291709005777" TargetMode="External"/><Relationship Id="rId4450" Type="http://schemas.openxmlformats.org/officeDocument/2006/relationships/hyperlink" Target="https://doi.org/10.12740/PP/31394" TargetMode="External"/><Relationship Id="rId5501" Type="http://schemas.openxmlformats.org/officeDocument/2006/relationships/hyperlink" Target="https://doi.org/10.1002/9781119998938.ch12" TargetMode="External"/><Relationship Id="rId3052" Type="http://schemas.openxmlformats.org/officeDocument/2006/relationships/hyperlink" Target="https://doi.org/10.3389/fnhum.2013.00300" TargetMode="External"/><Relationship Id="rId4103" Type="http://schemas.openxmlformats.org/officeDocument/2006/relationships/hyperlink" Target="https://doi.org/10.1097/WNN.0b013e31804c6ff7" TargetMode="External"/><Relationship Id="rId4310" Type="http://schemas.openxmlformats.org/officeDocument/2006/relationships/hyperlink" Target="https://doi.org/10.3389/fpsyt.2019.00585" TargetMode="External"/><Relationship Id="rId180" Type="http://schemas.openxmlformats.org/officeDocument/2006/relationships/hyperlink" Target="https://doi.org/10.1037/pne0000224" TargetMode="External"/><Relationship Id="rId1904" Type="http://schemas.openxmlformats.org/officeDocument/2006/relationships/hyperlink" Target="https://doi.org/10.1089/neu.2011.1812" TargetMode="External"/><Relationship Id="rId6068" Type="http://schemas.openxmlformats.org/officeDocument/2006/relationships/hyperlink" Target="https://doi.org/10.1016/j.jneuroling.2010.05.004" TargetMode="External"/><Relationship Id="rId6275" Type="http://schemas.openxmlformats.org/officeDocument/2006/relationships/hyperlink" Target="https://doi.org/10.1002/aur.1311" TargetMode="External"/><Relationship Id="rId6482" Type="http://schemas.openxmlformats.org/officeDocument/2006/relationships/hyperlink" Target="https://doi.org/10.1016/j.brainres.2016.05.007" TargetMode="External"/><Relationship Id="rId3869" Type="http://schemas.openxmlformats.org/officeDocument/2006/relationships/hyperlink" Target="https://doi.org/10.1080/13803395.2019.1610161" TargetMode="External"/><Relationship Id="rId5084" Type="http://schemas.openxmlformats.org/officeDocument/2006/relationships/hyperlink" Target="https://doi.org/10.1097/WAD.0b013e3181a2b76b" TargetMode="External"/><Relationship Id="rId5291" Type="http://schemas.openxmlformats.org/officeDocument/2006/relationships/hyperlink" Target="https://doi.org/10.1037/dev0000740" TargetMode="External"/><Relationship Id="rId6135" Type="http://schemas.openxmlformats.org/officeDocument/2006/relationships/hyperlink" Target="https://doi.org/10.1016/j.brainres.2006.01.076" TargetMode="External"/><Relationship Id="rId6342" Type="http://schemas.openxmlformats.org/officeDocument/2006/relationships/hyperlink" Target="https://doi.org/10.1097/WNN.0b013e3181684414" TargetMode="External"/><Relationship Id="rId997" Type="http://schemas.openxmlformats.org/officeDocument/2006/relationships/hyperlink" Target="https://doi.org/10.1016/j.jpsychires.2018.11.002" TargetMode="External"/><Relationship Id="rId2678" Type="http://schemas.openxmlformats.org/officeDocument/2006/relationships/hyperlink" Target="https://doi.org/10.1016/j.psychres.2011.08.021" TargetMode="External"/><Relationship Id="rId2885" Type="http://schemas.openxmlformats.org/officeDocument/2006/relationships/hyperlink" Target="https://doi.org/10.1097/01.wnn.0000160823.61201.20" TargetMode="External"/><Relationship Id="rId3729" Type="http://schemas.openxmlformats.org/officeDocument/2006/relationships/hyperlink" Target="https://doi.org/10.1097/01.ypg.0000218626.26622.a2" TargetMode="External"/><Relationship Id="rId3936" Type="http://schemas.openxmlformats.org/officeDocument/2006/relationships/hyperlink" Target="https://doi.org/10.1006/cogp.1999.0734" TargetMode="External"/><Relationship Id="rId5151" Type="http://schemas.openxmlformats.org/officeDocument/2006/relationships/hyperlink" Target="https://doi.org/10.1007/s00213-007-1016-4" TargetMode="External"/><Relationship Id="rId857" Type="http://schemas.openxmlformats.org/officeDocument/2006/relationships/hyperlink" Target="https://doi.org/10.1007/s10461-005-9056-4" TargetMode="External"/><Relationship Id="rId1487" Type="http://schemas.openxmlformats.org/officeDocument/2006/relationships/hyperlink" Target="https://doi.org/10.3233/JAD-170415" TargetMode="External"/><Relationship Id="rId1694" Type="http://schemas.openxmlformats.org/officeDocument/2006/relationships/hyperlink" Target="https://doi.org/10.1016/j.bandc.2008.04.010" TargetMode="External"/><Relationship Id="rId2538" Type="http://schemas.openxmlformats.org/officeDocument/2006/relationships/hyperlink" Target="https://doi.org/10.1177/1359105312457802" TargetMode="External"/><Relationship Id="rId2745" Type="http://schemas.openxmlformats.org/officeDocument/2006/relationships/hyperlink" Target="https://doi.org/10.1016/j.jad.2017.07.014" TargetMode="External"/><Relationship Id="rId2952" Type="http://schemas.openxmlformats.org/officeDocument/2006/relationships/hyperlink" Target="https://doi.org/10.1016/j.neuroimage.2019.03.066" TargetMode="External"/><Relationship Id="rId6202" Type="http://schemas.openxmlformats.org/officeDocument/2006/relationships/hyperlink" Target="https://doi.org/10.3389/fpsyt.2013.00184" TargetMode="External"/><Relationship Id="rId717" Type="http://schemas.openxmlformats.org/officeDocument/2006/relationships/hyperlink" Target="https://doi.org/10.1177/1087054709356165" TargetMode="External"/><Relationship Id="rId924" Type="http://schemas.openxmlformats.org/officeDocument/2006/relationships/hyperlink" Target="https://doi.org/10.1016/j.bbr.2010.03.021" TargetMode="External"/><Relationship Id="rId1347" Type="http://schemas.openxmlformats.org/officeDocument/2006/relationships/hyperlink" Target="https://doi.org/10.1177/1077559518810525" TargetMode="External"/><Relationship Id="rId1554" Type="http://schemas.openxmlformats.org/officeDocument/2006/relationships/hyperlink" Target="https://doi.org/10.1590/S1516-44462010000400011" TargetMode="External"/><Relationship Id="rId1761" Type="http://schemas.openxmlformats.org/officeDocument/2006/relationships/hyperlink" Target="https://doi.org/10.1080/23279095.2019.1607737" TargetMode="External"/><Relationship Id="rId2605" Type="http://schemas.openxmlformats.org/officeDocument/2006/relationships/hyperlink" Target="https://doi.org/10.1007/978-3-319-12952-5_6" TargetMode="External"/><Relationship Id="rId2812" Type="http://schemas.openxmlformats.org/officeDocument/2006/relationships/hyperlink" Target="https://doi.org/10.1016/j.braindev.2011.04.009" TargetMode="External"/><Relationship Id="rId5011" Type="http://schemas.openxmlformats.org/officeDocument/2006/relationships/hyperlink" Target="https://doi.org/10.1016/j.yebeh.2009.04.014" TargetMode="External"/><Relationship Id="rId5968" Type="http://schemas.openxmlformats.org/officeDocument/2006/relationships/hyperlink" Target="https://doi.org/10.1080/13803390903310990" TargetMode="External"/><Relationship Id="rId53" Type="http://schemas.openxmlformats.org/officeDocument/2006/relationships/hyperlink" Target="https://doi.org/10.1037/a0012971" TargetMode="External"/><Relationship Id="rId1207" Type="http://schemas.openxmlformats.org/officeDocument/2006/relationships/hyperlink" Target="https://doi.org/10.1080/13803395.2014.935705" TargetMode="External"/><Relationship Id="rId1414" Type="http://schemas.openxmlformats.org/officeDocument/2006/relationships/hyperlink" Target="https://doi.org/10.1007/s10803-018-3561-6" TargetMode="External"/><Relationship Id="rId1621" Type="http://schemas.openxmlformats.org/officeDocument/2006/relationships/hyperlink" Target="https://doi.org/10.1111/eip.12350" TargetMode="External"/><Relationship Id="rId4777" Type="http://schemas.openxmlformats.org/officeDocument/2006/relationships/hyperlink" Target="https://doi.org/10.1016/j.jml.2005.01.014" TargetMode="External"/><Relationship Id="rId4984" Type="http://schemas.openxmlformats.org/officeDocument/2006/relationships/hyperlink" Target="https://doi.org/10.1080/13803390490515504" TargetMode="External"/><Relationship Id="rId5828" Type="http://schemas.openxmlformats.org/officeDocument/2006/relationships/hyperlink" Target="https://doi.org/10.1016/j.pnpbp.2007.07.020" TargetMode="External"/><Relationship Id="rId3379" Type="http://schemas.openxmlformats.org/officeDocument/2006/relationships/hyperlink" Target="https://doi.org/10.1371/journal.pone.0039434" TargetMode="External"/><Relationship Id="rId3586" Type="http://schemas.openxmlformats.org/officeDocument/2006/relationships/hyperlink" Target="https://doi.org/10.1080/13803395.2013.795527" TargetMode="External"/><Relationship Id="rId3793" Type="http://schemas.openxmlformats.org/officeDocument/2006/relationships/hyperlink" Target="https://doi.org/10.1212/WNL.0b013e318251594c" TargetMode="External"/><Relationship Id="rId4637" Type="http://schemas.openxmlformats.org/officeDocument/2006/relationships/hyperlink" Target="https://doi.org/10.1037/a0027263" TargetMode="External"/><Relationship Id="rId2188" Type="http://schemas.openxmlformats.org/officeDocument/2006/relationships/hyperlink" Target="https://doi.org/10.1007/s10803-010-0977-z" TargetMode="External"/><Relationship Id="rId2395" Type="http://schemas.openxmlformats.org/officeDocument/2006/relationships/hyperlink" Target="https://doi.org/10.1017/S1355617714000241" TargetMode="External"/><Relationship Id="rId3239" Type="http://schemas.openxmlformats.org/officeDocument/2006/relationships/hyperlink" Target="https://doi.org/10.1044/1058-0360(2012/11-0114)" TargetMode="External"/><Relationship Id="rId3446" Type="http://schemas.openxmlformats.org/officeDocument/2006/relationships/hyperlink" Target="https://doi.org/10.1093/alcalc/agp030" TargetMode="External"/><Relationship Id="rId4844" Type="http://schemas.openxmlformats.org/officeDocument/2006/relationships/hyperlink" Target="https://doi.org/10.1016/j.psychres.2005.10.007" TargetMode="External"/><Relationship Id="rId367" Type="http://schemas.openxmlformats.org/officeDocument/2006/relationships/hyperlink" Target="https://doi.org/10.1080/13803395.2015.1039963" TargetMode="External"/><Relationship Id="rId574" Type="http://schemas.openxmlformats.org/officeDocument/2006/relationships/hyperlink" Target="https://doi.org/10.1177/0269215510367540" TargetMode="External"/><Relationship Id="rId2048" Type="http://schemas.openxmlformats.org/officeDocument/2006/relationships/hyperlink" Target="https://doi.org/10.1007/s00406-013-0463-7" TargetMode="External"/><Relationship Id="rId2255" Type="http://schemas.openxmlformats.org/officeDocument/2006/relationships/hyperlink" Target="https://doi.org/10.1176/appi.neuropsych.22.3.265" TargetMode="External"/><Relationship Id="rId3653" Type="http://schemas.openxmlformats.org/officeDocument/2006/relationships/hyperlink" Target="https://doi.org/10.1016/j.bandl.2017.09.001" TargetMode="External"/><Relationship Id="rId3860" Type="http://schemas.openxmlformats.org/officeDocument/2006/relationships/hyperlink" Target="https://doi.org/10.1136/jnnp.57.12.1503" TargetMode="External"/><Relationship Id="rId4704" Type="http://schemas.openxmlformats.org/officeDocument/2006/relationships/hyperlink" Target="https://doi.org/10.1016/j.psychres.2012.01.017" TargetMode="External"/><Relationship Id="rId4911" Type="http://schemas.openxmlformats.org/officeDocument/2006/relationships/hyperlink" Target="https://doi.org/10.1176/appi.ajp.163.3.411" TargetMode="External"/><Relationship Id="rId227" Type="http://schemas.openxmlformats.org/officeDocument/2006/relationships/hyperlink" Target="https://doi.org/10.1176/appi.neuropsych.17.4.510" TargetMode="External"/><Relationship Id="rId781" Type="http://schemas.openxmlformats.org/officeDocument/2006/relationships/hyperlink" Target="https://doi.org/10.1016/j.bandl.2013.12.003" TargetMode="External"/><Relationship Id="rId2462" Type="http://schemas.openxmlformats.org/officeDocument/2006/relationships/hyperlink" Target="https://doi.org/10.1159/000085592" TargetMode="External"/><Relationship Id="rId3306" Type="http://schemas.openxmlformats.org/officeDocument/2006/relationships/hyperlink" Target="https://doi.org/10.1111/jnp.12026" TargetMode="External"/><Relationship Id="rId3513" Type="http://schemas.openxmlformats.org/officeDocument/2006/relationships/hyperlink" Target="https://doi.org/10.1097/01.nmd.0000188970.11916.76" TargetMode="External"/><Relationship Id="rId3720" Type="http://schemas.openxmlformats.org/officeDocument/2006/relationships/hyperlink" Target="https://doi.org/10.1080/02109395.2021.1909901" TargetMode="External"/><Relationship Id="rId434" Type="http://schemas.openxmlformats.org/officeDocument/2006/relationships/hyperlink" Target="https://doi.org/10.1016/j.appet.2014.02.014" TargetMode="External"/><Relationship Id="rId641" Type="http://schemas.openxmlformats.org/officeDocument/2006/relationships/hyperlink" Target="https://doi.org/10.1177/0193945913500566" TargetMode="External"/><Relationship Id="rId1064" Type="http://schemas.openxmlformats.org/officeDocument/2006/relationships/hyperlink" Target="https://doi.org/10.1016/j.jpsychires.2003.08.001" TargetMode="External"/><Relationship Id="rId1271" Type="http://schemas.openxmlformats.org/officeDocument/2006/relationships/hyperlink" Target="https://doi.org/10.1177/1073191105285210" TargetMode="External"/><Relationship Id="rId2115" Type="http://schemas.openxmlformats.org/officeDocument/2006/relationships/hyperlink" Target="https://doi.org/10.1007/978-1-4614-6744-1_3" TargetMode="External"/><Relationship Id="rId2322" Type="http://schemas.openxmlformats.org/officeDocument/2006/relationships/hyperlink" Target="https://doi.org/10.1016/j.schres.2011.12.014" TargetMode="External"/><Relationship Id="rId5478" Type="http://schemas.openxmlformats.org/officeDocument/2006/relationships/hyperlink" Target="https://doi.org/10.1080/13554794.2012.713494" TargetMode="External"/><Relationship Id="rId5685" Type="http://schemas.openxmlformats.org/officeDocument/2006/relationships/hyperlink" Target="https://doi.org/10.1159/000261645" TargetMode="External"/><Relationship Id="rId5892" Type="http://schemas.openxmlformats.org/officeDocument/2006/relationships/hyperlink" Target="https://doi.org/10.1037/rep0000183" TargetMode="External"/><Relationship Id="rId6529" Type="http://schemas.openxmlformats.org/officeDocument/2006/relationships/hyperlink" Target="https://doi.org/10.1016/j.eurpsy.2004.04.005" TargetMode="External"/><Relationship Id="rId501" Type="http://schemas.openxmlformats.org/officeDocument/2006/relationships/hyperlink" Target="https://doi.org/10.1176/appi.ajp.163.10.1730" TargetMode="External"/><Relationship Id="rId1131" Type="http://schemas.openxmlformats.org/officeDocument/2006/relationships/hyperlink" Target="https://doi.org/10.1016/j.jpsychires.2012.03.020" TargetMode="External"/><Relationship Id="rId4287" Type="http://schemas.openxmlformats.org/officeDocument/2006/relationships/hyperlink" Target="https://doi.org/10.1016/j.bandc.2008.03.006" TargetMode="External"/><Relationship Id="rId4494" Type="http://schemas.openxmlformats.org/officeDocument/2006/relationships/hyperlink" Target="https://doi.org/10.1016/j.schres.2007.09.003" TargetMode="External"/><Relationship Id="rId5338" Type="http://schemas.openxmlformats.org/officeDocument/2006/relationships/hyperlink" Target="https://doi.org/10.1093/oxfordjournals.schbul.a007123" TargetMode="External"/><Relationship Id="rId5545" Type="http://schemas.openxmlformats.org/officeDocument/2006/relationships/hyperlink" Target="https://doi.org/10.1037/14048-029" TargetMode="External"/><Relationship Id="rId5752" Type="http://schemas.openxmlformats.org/officeDocument/2006/relationships/hyperlink" Target="https://doi.org/10.1080/02699930341000012" TargetMode="External"/><Relationship Id="rId3096" Type="http://schemas.openxmlformats.org/officeDocument/2006/relationships/hyperlink" Target="https://doi.org/10.1080/0361073X.2018.1475152" TargetMode="External"/><Relationship Id="rId4147" Type="http://schemas.openxmlformats.org/officeDocument/2006/relationships/hyperlink" Target="https://doi.org/10.1016/j.pscychresns.2006.12.020" TargetMode="External"/><Relationship Id="rId4354" Type="http://schemas.openxmlformats.org/officeDocument/2006/relationships/hyperlink" Target="https://doi.org/10.1016/0887-6177(95)00052-6" TargetMode="External"/><Relationship Id="rId4561" Type="http://schemas.openxmlformats.org/officeDocument/2006/relationships/hyperlink" Target="https://doi.org/10.3109/13651500903282881" TargetMode="External"/><Relationship Id="rId5405" Type="http://schemas.openxmlformats.org/officeDocument/2006/relationships/hyperlink" Target="https://doi.org/10.1016/j.neurobiolaging.2018.11.015" TargetMode="External"/><Relationship Id="rId5612" Type="http://schemas.openxmlformats.org/officeDocument/2006/relationships/hyperlink" Target="https://doi.org/10.1016/S0920-9964(00)00185-7" TargetMode="External"/><Relationship Id="rId1948" Type="http://schemas.openxmlformats.org/officeDocument/2006/relationships/hyperlink" Target="https://doi.org/10.1159/000322794" TargetMode="External"/><Relationship Id="rId3163" Type="http://schemas.openxmlformats.org/officeDocument/2006/relationships/hyperlink" Target="https://doi.org/10.3109/02699052.2010.506856" TargetMode="External"/><Relationship Id="rId3370" Type="http://schemas.openxmlformats.org/officeDocument/2006/relationships/hyperlink" Target="https://doi.org/10.1016/j.wocn.2012.04.001" TargetMode="External"/><Relationship Id="rId4007" Type="http://schemas.openxmlformats.org/officeDocument/2006/relationships/hyperlink" Target="https://doi.org/10.1016/S0924-9338(01)00591-0" TargetMode="External"/><Relationship Id="rId4214" Type="http://schemas.openxmlformats.org/officeDocument/2006/relationships/hyperlink" Target="https://doi.org/10.1080/026990599121151" TargetMode="External"/><Relationship Id="rId4421" Type="http://schemas.openxmlformats.org/officeDocument/2006/relationships/hyperlink" Target="https://doi.org/10.1111/ejn.12617" TargetMode="External"/><Relationship Id="rId291" Type="http://schemas.openxmlformats.org/officeDocument/2006/relationships/hyperlink" Target="https://doi.org/10.1080/13825585.2019.1606889" TargetMode="External"/><Relationship Id="rId1808" Type="http://schemas.openxmlformats.org/officeDocument/2006/relationships/hyperlink" Target="https://doi.org/10.1017/CBO9780511665523.015" TargetMode="External"/><Relationship Id="rId3023" Type="http://schemas.openxmlformats.org/officeDocument/2006/relationships/hyperlink" Target="https://doi.org/10.1016/S0028-3932(01)00002-1" TargetMode="External"/><Relationship Id="rId6179" Type="http://schemas.openxmlformats.org/officeDocument/2006/relationships/hyperlink" Target="https://doi.org/10.1016/j.acn.2006.06.014" TargetMode="External"/><Relationship Id="rId6386" Type="http://schemas.openxmlformats.org/officeDocument/2006/relationships/hyperlink" Target="https://doi.org/10.1176/appi.neuropsych.22.1.48" TargetMode="External"/><Relationship Id="rId151" Type="http://schemas.openxmlformats.org/officeDocument/2006/relationships/hyperlink" Target="https://doi.org/10.1162/jocn_a_00104" TargetMode="External"/><Relationship Id="rId3230" Type="http://schemas.openxmlformats.org/officeDocument/2006/relationships/hyperlink" Target="https://doi.org/10.1016/S0165-1781(01)00306-7" TargetMode="External"/><Relationship Id="rId5195" Type="http://schemas.openxmlformats.org/officeDocument/2006/relationships/hyperlink" Target="https://doi.org/10.1111/bdi.12075" TargetMode="External"/><Relationship Id="rId6039" Type="http://schemas.openxmlformats.org/officeDocument/2006/relationships/hyperlink" Target="https://doi.org/10.1017/S1355617708080144" TargetMode="External"/><Relationship Id="rId2789" Type="http://schemas.openxmlformats.org/officeDocument/2006/relationships/hyperlink" Target="https://doi.org/10.1093/arclin/acp047" TargetMode="External"/><Relationship Id="rId2996" Type="http://schemas.openxmlformats.org/officeDocument/2006/relationships/hyperlink" Target="https://doi.org/10.1016/j.cortex.2020.12.025" TargetMode="External"/><Relationship Id="rId6246" Type="http://schemas.openxmlformats.org/officeDocument/2006/relationships/hyperlink" Target="https://doi.org/10.1080/23279095.2018.1443935" TargetMode="External"/><Relationship Id="rId6453" Type="http://schemas.openxmlformats.org/officeDocument/2006/relationships/hyperlink" Target="https://doi.org/10.1007/s00406-008-0835-6" TargetMode="External"/><Relationship Id="rId968" Type="http://schemas.openxmlformats.org/officeDocument/2006/relationships/hyperlink" Target="https://doi.org/10.1017/S0033291716003044" TargetMode="External"/><Relationship Id="rId1598" Type="http://schemas.openxmlformats.org/officeDocument/2006/relationships/hyperlink" Target="https://doi.org/10.1044/1092-4388(2011/10-0231)" TargetMode="External"/><Relationship Id="rId2649" Type="http://schemas.openxmlformats.org/officeDocument/2006/relationships/hyperlink" Target="https://doi.org/10.1155/2013/976782" TargetMode="External"/><Relationship Id="rId2856" Type="http://schemas.openxmlformats.org/officeDocument/2006/relationships/hyperlink" Target="https://doi.org/10.1016/0920-9964(93)90045-K" TargetMode="External"/><Relationship Id="rId3907" Type="http://schemas.openxmlformats.org/officeDocument/2006/relationships/hyperlink" Target="https://doi.org/10.1017/S1355617700655017" TargetMode="External"/><Relationship Id="rId5055" Type="http://schemas.openxmlformats.org/officeDocument/2006/relationships/hyperlink" Target="https://doi.org/10.1037/0096-3445.132.4.566" TargetMode="External"/><Relationship Id="rId5262" Type="http://schemas.openxmlformats.org/officeDocument/2006/relationships/hyperlink" Target="https://doi.org/10.1016/j.euroneuro.2018.11.1104" TargetMode="External"/><Relationship Id="rId6106" Type="http://schemas.openxmlformats.org/officeDocument/2006/relationships/hyperlink" Target="https://doi.org/10.1097/NMD.0000000000000291" TargetMode="External"/><Relationship Id="rId6313" Type="http://schemas.openxmlformats.org/officeDocument/2006/relationships/hyperlink" Target="https://doi.org/10.1016/j.schres.2013.03.001" TargetMode="External"/><Relationship Id="rId6520" Type="http://schemas.openxmlformats.org/officeDocument/2006/relationships/hyperlink" Target="https://doi.org/10.1016/j.neuroimage.2013.05.088" TargetMode="External"/><Relationship Id="rId97" Type="http://schemas.openxmlformats.org/officeDocument/2006/relationships/hyperlink" Target="https://doi.org/10.1111/jir.12054" TargetMode="External"/><Relationship Id="rId828" Type="http://schemas.openxmlformats.org/officeDocument/2006/relationships/hyperlink" Target="https://doi.org/10.3389/fnsys.2019.00007" TargetMode="External"/><Relationship Id="rId1458" Type="http://schemas.openxmlformats.org/officeDocument/2006/relationships/hyperlink" Target="https://doi.org/10.3109/02699052.2015.1090013" TargetMode="External"/><Relationship Id="rId1665" Type="http://schemas.openxmlformats.org/officeDocument/2006/relationships/hyperlink" Target="https://doi.org/10.1111/j.1440-1819.2006.01533.x" TargetMode="External"/><Relationship Id="rId1872" Type="http://schemas.openxmlformats.org/officeDocument/2006/relationships/hyperlink" Target="https://doi.org/10.1007/s10862-018-9645-y" TargetMode="External"/><Relationship Id="rId2509" Type="http://schemas.openxmlformats.org/officeDocument/2006/relationships/hyperlink" Target="https://doi.org/10.1016/0165-1781(96)02758-8" TargetMode="External"/><Relationship Id="rId2716" Type="http://schemas.openxmlformats.org/officeDocument/2006/relationships/hyperlink" Target="https://doi.org/10.1111/dmcn.14077" TargetMode="External"/><Relationship Id="rId4071" Type="http://schemas.openxmlformats.org/officeDocument/2006/relationships/hyperlink" Target="https://doi.org/10.1027/1614-0001/a000104" TargetMode="External"/><Relationship Id="rId5122" Type="http://schemas.openxmlformats.org/officeDocument/2006/relationships/hyperlink" Target="https://doi.org/10.1016/0920-9964(93)90044-J" TargetMode="External"/><Relationship Id="rId1318" Type="http://schemas.openxmlformats.org/officeDocument/2006/relationships/hyperlink" Target="https://doi.org/10.3389/fpsyg.2012.00531" TargetMode="External"/><Relationship Id="rId1525" Type="http://schemas.openxmlformats.org/officeDocument/2006/relationships/hyperlink" Target="https://doi.org/10.1038/npp.2009.140" TargetMode="External"/><Relationship Id="rId2923" Type="http://schemas.openxmlformats.org/officeDocument/2006/relationships/hyperlink" Target="https://doi.org/10.1007/s11682-013-9228-1" TargetMode="External"/><Relationship Id="rId1732" Type="http://schemas.openxmlformats.org/officeDocument/2006/relationships/hyperlink" Target="https://doi.org/10.1016/j.jpsychires.2006.07.018" TargetMode="External"/><Relationship Id="rId4888" Type="http://schemas.openxmlformats.org/officeDocument/2006/relationships/hyperlink" Target="https://doi.org/10.1037/vio0000296" TargetMode="External"/><Relationship Id="rId5939" Type="http://schemas.openxmlformats.org/officeDocument/2006/relationships/hyperlink" Target="https://doi.org/10.1007/s00787-014-0529-8" TargetMode="External"/><Relationship Id="rId24" Type="http://schemas.openxmlformats.org/officeDocument/2006/relationships/hyperlink" Target="https://doi.org/10.1590/S1980-57642011DN05040008" TargetMode="External"/><Relationship Id="rId2299" Type="http://schemas.openxmlformats.org/officeDocument/2006/relationships/hyperlink" Target="https://doi.org/10.1037/h0094762" TargetMode="External"/><Relationship Id="rId3697" Type="http://schemas.openxmlformats.org/officeDocument/2006/relationships/hyperlink" Target="https://doi.org/10.1111/j.1399-5618.2004.00111.x" TargetMode="External"/><Relationship Id="rId4748" Type="http://schemas.openxmlformats.org/officeDocument/2006/relationships/hyperlink" Target="https://doi.org/10.1159/000366486" TargetMode="External"/><Relationship Id="rId4955" Type="http://schemas.openxmlformats.org/officeDocument/2006/relationships/hyperlink" Target="https://doi.org/10.1080/13546805.2011.564512" TargetMode="External"/><Relationship Id="rId3557" Type="http://schemas.openxmlformats.org/officeDocument/2006/relationships/hyperlink" Target="https://doi.org/10.1016/j.acn.2006.06.003" TargetMode="External"/><Relationship Id="rId3764" Type="http://schemas.openxmlformats.org/officeDocument/2006/relationships/hyperlink" Target="https://doi.org/10.1089/neu.2014.3542" TargetMode="External"/><Relationship Id="rId3971" Type="http://schemas.openxmlformats.org/officeDocument/2006/relationships/hyperlink" Target="https://doi.org/10.1016/j.neuropsychologia.2012.08.016" TargetMode="External"/><Relationship Id="rId4608" Type="http://schemas.openxmlformats.org/officeDocument/2006/relationships/hyperlink" Target="https://doi.org/10.1017/S1355617709990968" TargetMode="External"/><Relationship Id="rId4815" Type="http://schemas.openxmlformats.org/officeDocument/2006/relationships/hyperlink" Target="https://doi.org/10.1212/WNL.0b013e3182698c75" TargetMode="External"/><Relationship Id="rId6170" Type="http://schemas.openxmlformats.org/officeDocument/2006/relationships/hyperlink" Target="https://doi.org/10.1111/gbb.12012" TargetMode="External"/><Relationship Id="rId478" Type="http://schemas.openxmlformats.org/officeDocument/2006/relationships/hyperlink" Target="https://doi.org/10.1136/jnnp-2011-301849" TargetMode="External"/><Relationship Id="rId685" Type="http://schemas.openxmlformats.org/officeDocument/2006/relationships/hyperlink" Target="https://doi.org/10.1016/j.eurpsy.2012.04.003" TargetMode="External"/><Relationship Id="rId892" Type="http://schemas.openxmlformats.org/officeDocument/2006/relationships/hyperlink" Target="https://doi.org/10.1016/j.neuropsychologia.2020.107359" TargetMode="External"/><Relationship Id="rId2159" Type="http://schemas.openxmlformats.org/officeDocument/2006/relationships/hyperlink" Target="https://doi.org/10.1111/j.1360-0443.2006.01380.x" TargetMode="External"/><Relationship Id="rId2366" Type="http://schemas.openxmlformats.org/officeDocument/2006/relationships/hyperlink" Target="https://doi.org/10.1176/appi.ajp.162.1.110" TargetMode="External"/><Relationship Id="rId2573" Type="http://schemas.openxmlformats.org/officeDocument/2006/relationships/hyperlink" Target="https://doi.org/10.1080/13803395.2019.1685650" TargetMode="External"/><Relationship Id="rId2780" Type="http://schemas.openxmlformats.org/officeDocument/2006/relationships/hyperlink" Target="https://doi.org/10.1080/09084282.2011.643956" TargetMode="External"/><Relationship Id="rId3417" Type="http://schemas.openxmlformats.org/officeDocument/2006/relationships/hyperlink" Target="https://doi.org/10.1016/j.jcomdis.2013.02.002" TargetMode="External"/><Relationship Id="rId3624" Type="http://schemas.openxmlformats.org/officeDocument/2006/relationships/hyperlink" Target="https://doi.org/10.1007/978-1-4614-3106-0_10" TargetMode="External"/><Relationship Id="rId3831" Type="http://schemas.openxmlformats.org/officeDocument/2006/relationships/hyperlink" Target="https://doi.org/10.1016/B978-0-12-800778-5.00004-9" TargetMode="External"/><Relationship Id="rId6030" Type="http://schemas.openxmlformats.org/officeDocument/2006/relationships/hyperlink" Target="https://doi.org/10.1017/CBO9781139941969.013" TargetMode="External"/><Relationship Id="rId338" Type="http://schemas.openxmlformats.org/officeDocument/2006/relationships/hyperlink" Target="https://doi.org/10.1136/jnnp-2019-320450" TargetMode="External"/><Relationship Id="rId545" Type="http://schemas.openxmlformats.org/officeDocument/2006/relationships/hyperlink" Target="https://doi.org/10.1080/14999013.2020.1812013" TargetMode="External"/><Relationship Id="rId752" Type="http://schemas.openxmlformats.org/officeDocument/2006/relationships/hyperlink" Target="https://doi.org/10.1111/j.1600-0447.2006.00911.x" TargetMode="External"/><Relationship Id="rId1175" Type="http://schemas.openxmlformats.org/officeDocument/2006/relationships/hyperlink" Target="https://doi.org/10.1016/j.pscychresns.2006.01.015" TargetMode="External"/><Relationship Id="rId1382" Type="http://schemas.openxmlformats.org/officeDocument/2006/relationships/hyperlink" Target="https://doi.org/10.1007/s10803-012-1512-1" TargetMode="External"/><Relationship Id="rId2019" Type="http://schemas.openxmlformats.org/officeDocument/2006/relationships/hyperlink" Target="https://doi.org/10.1007/BF02229201" TargetMode="External"/><Relationship Id="rId2226" Type="http://schemas.openxmlformats.org/officeDocument/2006/relationships/hyperlink" Target="https://doi.org/10.1176/appi.psy.48.3.269" TargetMode="External"/><Relationship Id="rId2433" Type="http://schemas.openxmlformats.org/officeDocument/2006/relationships/hyperlink" Target="https://doi.org/10.1037/0894-4105.18.2.284" TargetMode="External"/><Relationship Id="rId2640" Type="http://schemas.openxmlformats.org/officeDocument/2006/relationships/hyperlink" Target="https://doi.org/10.1053/comp.2000.9017" TargetMode="External"/><Relationship Id="rId5589" Type="http://schemas.openxmlformats.org/officeDocument/2006/relationships/hyperlink" Target="https://doi.org/10.1080/21622965.2017.1381098" TargetMode="External"/><Relationship Id="rId5796" Type="http://schemas.openxmlformats.org/officeDocument/2006/relationships/hyperlink" Target="https://doi.org/10.1159/000162357" TargetMode="External"/><Relationship Id="rId405" Type="http://schemas.openxmlformats.org/officeDocument/2006/relationships/hyperlink" Target="https://doi.org/10.1016/j.prps.2009.04.007" TargetMode="External"/><Relationship Id="rId612" Type="http://schemas.openxmlformats.org/officeDocument/2006/relationships/hyperlink" Target="https://doi.org/10.1017/S0033291717001490" TargetMode="External"/><Relationship Id="rId1035" Type="http://schemas.openxmlformats.org/officeDocument/2006/relationships/hyperlink" Target="https://doi.org/10.1016/j.bandc.2009.09.003" TargetMode="External"/><Relationship Id="rId1242" Type="http://schemas.openxmlformats.org/officeDocument/2006/relationships/hyperlink" Target="https://doi.org/10.1016/j.schres.2012.08.019" TargetMode="External"/><Relationship Id="rId2500" Type="http://schemas.openxmlformats.org/officeDocument/2006/relationships/hyperlink" Target="https://doi.org/10.1007/s11469-015-9572-z" TargetMode="External"/><Relationship Id="rId4398" Type="http://schemas.openxmlformats.org/officeDocument/2006/relationships/hyperlink" Target="https://doi.org/10.1007/s10461-012-0237-7" TargetMode="External"/><Relationship Id="rId5449" Type="http://schemas.openxmlformats.org/officeDocument/2006/relationships/hyperlink" Target="https://doi.org/10.1016/j.bandc.2020.105613" TargetMode="External"/><Relationship Id="rId5656" Type="http://schemas.openxmlformats.org/officeDocument/2006/relationships/hyperlink" Target="https://doi.org/10.1177/0093854809343095" TargetMode="External"/><Relationship Id="rId1102" Type="http://schemas.openxmlformats.org/officeDocument/2006/relationships/hyperlink" Target="https://doi.org/10.1076/1380-3395(200004)22:2;1-1;FT245" TargetMode="External"/><Relationship Id="rId4258" Type="http://schemas.openxmlformats.org/officeDocument/2006/relationships/hyperlink" Target="https://doi.org/10.1080/13854046.2016.1183049" TargetMode="External"/><Relationship Id="rId4465" Type="http://schemas.openxmlformats.org/officeDocument/2006/relationships/hyperlink" Target="https://doi.org/10.1007/s40519-016-0331-3" TargetMode="External"/><Relationship Id="rId5309" Type="http://schemas.openxmlformats.org/officeDocument/2006/relationships/hyperlink" Target="https://doi.org/10.1080/02699050600677055" TargetMode="External"/><Relationship Id="rId5863" Type="http://schemas.openxmlformats.org/officeDocument/2006/relationships/hyperlink" Target="https://doi.org/10.1212/01.WNL.0000070181.28651.3B" TargetMode="External"/><Relationship Id="rId3067" Type="http://schemas.openxmlformats.org/officeDocument/2006/relationships/hyperlink" Target="https://doi.org/10.1016/j.neuropsychologia.2010.09.023" TargetMode="External"/><Relationship Id="rId3274" Type="http://schemas.openxmlformats.org/officeDocument/2006/relationships/hyperlink" Target="https://doi.org/10.1080/13546800344000345" TargetMode="External"/><Relationship Id="rId4118" Type="http://schemas.openxmlformats.org/officeDocument/2006/relationships/hyperlink" Target="https://doi.org/10.1186/1744-859X-9-29" TargetMode="External"/><Relationship Id="rId4672" Type="http://schemas.openxmlformats.org/officeDocument/2006/relationships/hyperlink" Target="https://doi.org/10.1037/0894-4105.12.3.399" TargetMode="External"/><Relationship Id="rId5516" Type="http://schemas.openxmlformats.org/officeDocument/2006/relationships/hyperlink" Target="https://doi.org/10.12740/APP/18666" TargetMode="External"/><Relationship Id="rId5723" Type="http://schemas.openxmlformats.org/officeDocument/2006/relationships/hyperlink" Target="https://doi.org/10.2147/NDT.S228501" TargetMode="External"/><Relationship Id="rId5930" Type="http://schemas.openxmlformats.org/officeDocument/2006/relationships/hyperlink" Target="https://doi.org/10.1016/j.psychres.2004.02.014" TargetMode="External"/><Relationship Id="rId195" Type="http://schemas.openxmlformats.org/officeDocument/2006/relationships/hyperlink" Target="https://doi.org/10.1080/13854046.2015.1029974" TargetMode="External"/><Relationship Id="rId1919" Type="http://schemas.openxmlformats.org/officeDocument/2006/relationships/hyperlink" Target="https://doi.org/10.1037/rep0000058" TargetMode="External"/><Relationship Id="rId3481" Type="http://schemas.openxmlformats.org/officeDocument/2006/relationships/hyperlink" Target="https://doi.org/10.1207/s15324826an1004_7" TargetMode="External"/><Relationship Id="rId4325" Type="http://schemas.openxmlformats.org/officeDocument/2006/relationships/hyperlink" Target="https://doi.org/10.1037/neu0000270" TargetMode="External"/><Relationship Id="rId4532" Type="http://schemas.openxmlformats.org/officeDocument/2006/relationships/hyperlink" Target="https://doi.org/10.1037/neu0000379" TargetMode="External"/><Relationship Id="rId2083" Type="http://schemas.openxmlformats.org/officeDocument/2006/relationships/hyperlink" Target="https://doi.org/10.1080/09658210802077405" TargetMode="External"/><Relationship Id="rId2290" Type="http://schemas.openxmlformats.org/officeDocument/2006/relationships/hyperlink" Target="https://doi.org/10.1177/0269881107082955" TargetMode="External"/><Relationship Id="rId3134" Type="http://schemas.openxmlformats.org/officeDocument/2006/relationships/hyperlink" Target="https://doi.org/10.1007/s13365-010-0003-4" TargetMode="External"/><Relationship Id="rId3341" Type="http://schemas.openxmlformats.org/officeDocument/2006/relationships/hyperlink" Target="https://doi.org/10.1080/13854040500519752" TargetMode="External"/><Relationship Id="rId6497" Type="http://schemas.openxmlformats.org/officeDocument/2006/relationships/hyperlink" Target="https://doi.org/10.1038/npp.2009.80" TargetMode="External"/><Relationship Id="rId262" Type="http://schemas.openxmlformats.org/officeDocument/2006/relationships/hyperlink" Target="https://doi.org/10.3389/fpsyt.2017.00272" TargetMode="External"/><Relationship Id="rId2150" Type="http://schemas.openxmlformats.org/officeDocument/2006/relationships/hyperlink" Target="https://doi.org/10.1080/0361073X.2011.619858" TargetMode="External"/><Relationship Id="rId3201" Type="http://schemas.openxmlformats.org/officeDocument/2006/relationships/hyperlink" Target="https://doi.org/10.1037/0894-4105.21.5.590" TargetMode="External"/><Relationship Id="rId5099" Type="http://schemas.openxmlformats.org/officeDocument/2006/relationships/hyperlink" Target="https://doi.org/10.1024/1016-264X.12.1.54" TargetMode="External"/><Relationship Id="rId6357" Type="http://schemas.openxmlformats.org/officeDocument/2006/relationships/hyperlink" Target="https://doi.org/10.1007/978-3-319-72778-3_3" TargetMode="External"/><Relationship Id="rId122" Type="http://schemas.openxmlformats.org/officeDocument/2006/relationships/hyperlink" Target="https://doi.org/10.1590/S0004-282X2001000600009" TargetMode="External"/><Relationship Id="rId2010" Type="http://schemas.openxmlformats.org/officeDocument/2006/relationships/hyperlink" Target="https://doi.org/10.1177/0883073815623632" TargetMode="External"/><Relationship Id="rId5166" Type="http://schemas.openxmlformats.org/officeDocument/2006/relationships/hyperlink" Target="https://doi.org/10.1076/jcen.25.7.918.16484" TargetMode="External"/><Relationship Id="rId5373" Type="http://schemas.openxmlformats.org/officeDocument/2006/relationships/hyperlink" Target="https://doi.org/10.1016/j.jpsychires.2005.04.004" TargetMode="External"/><Relationship Id="rId5580" Type="http://schemas.openxmlformats.org/officeDocument/2006/relationships/hyperlink" Target="https://doi.org/10.1016/j.jad.2013.05.012" TargetMode="External"/><Relationship Id="rId6217" Type="http://schemas.openxmlformats.org/officeDocument/2006/relationships/hyperlink" Target="https://doi.org/10.1080/87565641.2013.839682" TargetMode="External"/><Relationship Id="rId6424" Type="http://schemas.openxmlformats.org/officeDocument/2006/relationships/hyperlink" Target="https://doi.org/10.1007/s00702-012-0870-3" TargetMode="External"/><Relationship Id="rId1569" Type="http://schemas.openxmlformats.org/officeDocument/2006/relationships/hyperlink" Target="https://doi.org/10.1080/13854046.2012.728247" TargetMode="External"/><Relationship Id="rId2967" Type="http://schemas.openxmlformats.org/officeDocument/2006/relationships/hyperlink" Target="https://doi.org/10.1159/000297523" TargetMode="External"/><Relationship Id="rId4182" Type="http://schemas.openxmlformats.org/officeDocument/2006/relationships/hyperlink" Target="https://doi.org/10.1037/0021-843X.113.2.302" TargetMode="External"/><Relationship Id="rId5026" Type="http://schemas.openxmlformats.org/officeDocument/2006/relationships/hyperlink" Target="https://doi.org/10.1016/j.schres.2006.09.018" TargetMode="External"/><Relationship Id="rId5233" Type="http://schemas.openxmlformats.org/officeDocument/2006/relationships/hyperlink" Target="https://doi.org/10.1212/WNL.0b013e3182270456" TargetMode="External"/><Relationship Id="rId5440" Type="http://schemas.openxmlformats.org/officeDocument/2006/relationships/hyperlink" Target="https://doi.org/10.1007/s10802-007-9123-6" TargetMode="External"/><Relationship Id="rId939" Type="http://schemas.openxmlformats.org/officeDocument/2006/relationships/hyperlink" Target="https://doi.org/10.1016/j.jneuroling.2009.08.009" TargetMode="External"/><Relationship Id="rId1776" Type="http://schemas.openxmlformats.org/officeDocument/2006/relationships/hyperlink" Target="https://doi.org/10.1080/08039480510018814" TargetMode="External"/><Relationship Id="rId1983" Type="http://schemas.openxmlformats.org/officeDocument/2006/relationships/hyperlink" Target="https://doi.org/10.1111/ane.12345" TargetMode="External"/><Relationship Id="rId2827" Type="http://schemas.openxmlformats.org/officeDocument/2006/relationships/hyperlink" Target="https://doi.org/10.1016/j.jad.2020.01.123" TargetMode="External"/><Relationship Id="rId4042" Type="http://schemas.openxmlformats.org/officeDocument/2006/relationships/hyperlink" Target="https://doi.org/10.1037/pne0000088" TargetMode="External"/><Relationship Id="rId68" Type="http://schemas.openxmlformats.org/officeDocument/2006/relationships/hyperlink" Target="https://doi.org/10.1080/13854046.2014.984762" TargetMode="External"/><Relationship Id="rId1429" Type="http://schemas.openxmlformats.org/officeDocument/2006/relationships/hyperlink" Target="https://doi.org/10.1016/j.pscychresns.2017.04.007" TargetMode="External"/><Relationship Id="rId1636" Type="http://schemas.openxmlformats.org/officeDocument/2006/relationships/hyperlink" Target="https://doi.org/10.1038/mp.2011.145" TargetMode="External"/><Relationship Id="rId1843" Type="http://schemas.openxmlformats.org/officeDocument/2006/relationships/hyperlink" Target="https://doi.org/10.1016/j.jns.2009.09.024" TargetMode="External"/><Relationship Id="rId4999" Type="http://schemas.openxmlformats.org/officeDocument/2006/relationships/hyperlink" Target="https://doi.org/10.1097/YPG.0b013e3280991219" TargetMode="External"/><Relationship Id="rId5300" Type="http://schemas.openxmlformats.org/officeDocument/2006/relationships/hyperlink" Target="https://doi.org/10.1016/j.biopsych.2012.04.023" TargetMode="External"/><Relationship Id="rId1703" Type="http://schemas.openxmlformats.org/officeDocument/2006/relationships/hyperlink" Target="https://doi.org/10.1016/j.chb.2012.04.005" TargetMode="External"/><Relationship Id="rId1910" Type="http://schemas.openxmlformats.org/officeDocument/2006/relationships/hyperlink" Target="https://doi.org/10.1016/j.psychres.2010.06.026" TargetMode="External"/><Relationship Id="rId4859" Type="http://schemas.openxmlformats.org/officeDocument/2006/relationships/hyperlink" Target="https://doi.org/10.1016/j.schres.2009.09.025" TargetMode="External"/><Relationship Id="rId3668" Type="http://schemas.openxmlformats.org/officeDocument/2006/relationships/hyperlink" Target="https://doi.org/10.1093/brain/awn309" TargetMode="External"/><Relationship Id="rId3875" Type="http://schemas.openxmlformats.org/officeDocument/2006/relationships/hyperlink" Target="https://doi.org/10.3389/fnagi.2017.00265" TargetMode="External"/><Relationship Id="rId4719" Type="http://schemas.openxmlformats.org/officeDocument/2006/relationships/hyperlink" Target="https://doi.org/10.1093/acprof:osobl/9780199921959.003.0012" TargetMode="External"/><Relationship Id="rId4926" Type="http://schemas.openxmlformats.org/officeDocument/2006/relationships/hyperlink" Target="https://doi.org/10.1016/S0920-9964(97)00093-5" TargetMode="External"/><Relationship Id="rId6074" Type="http://schemas.openxmlformats.org/officeDocument/2006/relationships/hyperlink" Target="https://doi.org/10.1016/j.pscychresns.2014.01.004" TargetMode="External"/><Relationship Id="rId6281" Type="http://schemas.openxmlformats.org/officeDocument/2006/relationships/hyperlink" Target="https://doi.org/10.1017/9781108235433.021" TargetMode="External"/><Relationship Id="rId589" Type="http://schemas.openxmlformats.org/officeDocument/2006/relationships/hyperlink" Target="https://doi.org/10.1002/hbm.20373" TargetMode="External"/><Relationship Id="rId796" Type="http://schemas.openxmlformats.org/officeDocument/2006/relationships/hyperlink" Target="https://doi.org/10.1080/09297049.2014.886676" TargetMode="External"/><Relationship Id="rId2477" Type="http://schemas.openxmlformats.org/officeDocument/2006/relationships/hyperlink" Target="https://doi.org/10.1080/02699050410001720031" TargetMode="External"/><Relationship Id="rId2684" Type="http://schemas.openxmlformats.org/officeDocument/2006/relationships/hyperlink" Target="https://doi.org/10.1111/j.1530-0277.2010.01360.x" TargetMode="External"/><Relationship Id="rId3528" Type="http://schemas.openxmlformats.org/officeDocument/2006/relationships/hyperlink" Target="https://doi.org/10.1016/j.schres.2007.02.016" TargetMode="External"/><Relationship Id="rId3735" Type="http://schemas.openxmlformats.org/officeDocument/2006/relationships/hyperlink" Target="https://doi.org/10.1207/s15324826an1103_2" TargetMode="External"/><Relationship Id="rId5090" Type="http://schemas.openxmlformats.org/officeDocument/2006/relationships/hyperlink" Target="https://doi.org/10.1097/FBP.0b013e3283584748" TargetMode="External"/><Relationship Id="rId6141" Type="http://schemas.openxmlformats.org/officeDocument/2006/relationships/hyperlink" Target="https://doi.org/10.1177/1078390312460578" TargetMode="External"/><Relationship Id="rId449" Type="http://schemas.openxmlformats.org/officeDocument/2006/relationships/hyperlink" Target="https://doi.org/10.1097/jcp.0b013e3181603f0e" TargetMode="External"/><Relationship Id="rId656" Type="http://schemas.openxmlformats.org/officeDocument/2006/relationships/hyperlink" Target="https://doi.org/10.1016/j.cbpra.2015.10.001" TargetMode="External"/><Relationship Id="rId863" Type="http://schemas.openxmlformats.org/officeDocument/2006/relationships/hyperlink" Target="https://doi.org/10.1037/14797-003" TargetMode="External"/><Relationship Id="rId1079" Type="http://schemas.openxmlformats.org/officeDocument/2006/relationships/hyperlink" Target="https://doi.org/10.1097/WNN.0000000000000016" TargetMode="External"/><Relationship Id="rId1286" Type="http://schemas.openxmlformats.org/officeDocument/2006/relationships/hyperlink" Target="https://doi.org/10.1016/S0165-1781(02)00228-7" TargetMode="External"/><Relationship Id="rId1493" Type="http://schemas.openxmlformats.org/officeDocument/2006/relationships/hyperlink" Target="https://doi.org/10.2147/nedt.2006.2.3.327" TargetMode="External"/><Relationship Id="rId2337" Type="http://schemas.openxmlformats.org/officeDocument/2006/relationships/hyperlink" Target="https://doi.org/10.4037/ajcc2011275" TargetMode="External"/><Relationship Id="rId2544" Type="http://schemas.openxmlformats.org/officeDocument/2006/relationships/hyperlink" Target="https://doi.org/10.1007/s00213-014-3463-z" TargetMode="External"/><Relationship Id="rId2891" Type="http://schemas.openxmlformats.org/officeDocument/2006/relationships/hyperlink" Target="https://doi.org/10.1076/chin.8.2.138.8722" TargetMode="External"/><Relationship Id="rId3942" Type="http://schemas.openxmlformats.org/officeDocument/2006/relationships/hyperlink" Target="https://doi.org/10.1016/j.appet.2011.04.023" TargetMode="External"/><Relationship Id="rId6001" Type="http://schemas.openxmlformats.org/officeDocument/2006/relationships/hyperlink" Target="https://doi.org/10.1080/13803390903337878" TargetMode="External"/><Relationship Id="rId309" Type="http://schemas.openxmlformats.org/officeDocument/2006/relationships/hyperlink" Target="https://doi.org/10.1162/jocn.2006.18.10.1734" TargetMode="External"/><Relationship Id="rId516" Type="http://schemas.openxmlformats.org/officeDocument/2006/relationships/hyperlink" Target="https://doi.org/10.4274/npa.y5861" TargetMode="External"/><Relationship Id="rId1146" Type="http://schemas.openxmlformats.org/officeDocument/2006/relationships/hyperlink" Target="https://doi.org/10.1017/S0714980800006188" TargetMode="External"/><Relationship Id="rId2751" Type="http://schemas.openxmlformats.org/officeDocument/2006/relationships/hyperlink" Target="https://doi.org/10.1016/j.jneuroling.2012.02.004" TargetMode="External"/><Relationship Id="rId3802" Type="http://schemas.openxmlformats.org/officeDocument/2006/relationships/hyperlink" Target="https://doi.org/10.1016/j.neurobiolaging.2013.03.010" TargetMode="External"/><Relationship Id="rId723" Type="http://schemas.openxmlformats.org/officeDocument/2006/relationships/hyperlink" Target="https://doi.org/10.1016/j.psychres.2004.10.007" TargetMode="External"/><Relationship Id="rId930" Type="http://schemas.openxmlformats.org/officeDocument/2006/relationships/hyperlink" Target="https://doi.org/10.1007/s10072-015-2425-5" TargetMode="External"/><Relationship Id="rId1006" Type="http://schemas.openxmlformats.org/officeDocument/2006/relationships/hyperlink" Target="https://doi.org/10.1016/S0920-9964(96)00120-X" TargetMode="External"/><Relationship Id="rId1353" Type="http://schemas.openxmlformats.org/officeDocument/2006/relationships/hyperlink" Target="https://doi.org/10.1080/02643294.2017.1422709" TargetMode="External"/><Relationship Id="rId1560" Type="http://schemas.openxmlformats.org/officeDocument/2006/relationships/hyperlink" Target="https://doi.org/10.1002/hipo.22208" TargetMode="External"/><Relationship Id="rId2404" Type="http://schemas.openxmlformats.org/officeDocument/2006/relationships/hyperlink" Target="https://doi.org/10.1037/0000032-019" TargetMode="External"/><Relationship Id="rId2611" Type="http://schemas.openxmlformats.org/officeDocument/2006/relationships/hyperlink" Target="https://doi.org/10.1016/j.psychres.2016.09.027" TargetMode="External"/><Relationship Id="rId5767" Type="http://schemas.openxmlformats.org/officeDocument/2006/relationships/hyperlink" Target="https://doi.org/10.1037/neu0000191" TargetMode="External"/><Relationship Id="rId5974" Type="http://schemas.openxmlformats.org/officeDocument/2006/relationships/hyperlink" Target="https://doi.org/10.1111/j.1600-0447.2011.01701.x" TargetMode="External"/><Relationship Id="rId1213" Type="http://schemas.openxmlformats.org/officeDocument/2006/relationships/hyperlink" Target="https://doi.org/10.1016/j.neuropsychologia.2014.02.007" TargetMode="External"/><Relationship Id="rId1420" Type="http://schemas.openxmlformats.org/officeDocument/2006/relationships/hyperlink" Target="https://doi.org/10.1080/20445911.2015.1036759" TargetMode="External"/><Relationship Id="rId4369" Type="http://schemas.openxmlformats.org/officeDocument/2006/relationships/hyperlink" Target="https://doi.org/10.1097/00004583-199906000-00026" TargetMode="External"/><Relationship Id="rId4576" Type="http://schemas.openxmlformats.org/officeDocument/2006/relationships/hyperlink" Target="https://doi.org/10.1016/j.cortex.2010.04.001" TargetMode="External"/><Relationship Id="rId4783" Type="http://schemas.openxmlformats.org/officeDocument/2006/relationships/hyperlink" Target="https://doi.org/10.1016/j.psychres.2012.04.005" TargetMode="External"/><Relationship Id="rId4990" Type="http://schemas.openxmlformats.org/officeDocument/2006/relationships/hyperlink" Target="https://doi.org/10.1111/j.1399-5618.2012.01032.x" TargetMode="External"/><Relationship Id="rId5627" Type="http://schemas.openxmlformats.org/officeDocument/2006/relationships/hyperlink" Target="https://doi.org/10.1016/j.schres.2013.12.009" TargetMode="External"/><Relationship Id="rId5834" Type="http://schemas.openxmlformats.org/officeDocument/2006/relationships/hyperlink" Target="https://doi.org/10.1093/brain/awr002" TargetMode="External"/><Relationship Id="rId3178" Type="http://schemas.openxmlformats.org/officeDocument/2006/relationships/hyperlink" Target="https://doi.org/10.1016/j.rasd.2011.07.017" TargetMode="External"/><Relationship Id="rId3385" Type="http://schemas.openxmlformats.org/officeDocument/2006/relationships/hyperlink" Target="https://doi.org/10.1017/S0033291716000726" TargetMode="External"/><Relationship Id="rId3592" Type="http://schemas.openxmlformats.org/officeDocument/2006/relationships/hyperlink" Target="https://doi.org/10.1037/pag0000099" TargetMode="External"/><Relationship Id="rId4229" Type="http://schemas.openxmlformats.org/officeDocument/2006/relationships/hyperlink" Target="https://doi.org/10.1007/s12207-015-9216-4" TargetMode="External"/><Relationship Id="rId4436" Type="http://schemas.openxmlformats.org/officeDocument/2006/relationships/hyperlink" Target="https://doi.org/10.1016/j.psychres.2015.12.003" TargetMode="External"/><Relationship Id="rId4643" Type="http://schemas.openxmlformats.org/officeDocument/2006/relationships/hyperlink" Target="https://doi.org/10.3389/fnhum.2021.661079" TargetMode="External"/><Relationship Id="rId4850" Type="http://schemas.openxmlformats.org/officeDocument/2006/relationships/hyperlink" Target="https://doi.org/10.3389/fnhum.2014.00060" TargetMode="External"/><Relationship Id="rId5901" Type="http://schemas.openxmlformats.org/officeDocument/2006/relationships/hyperlink" Target="https://doi.org/10.1037/0894-4105.20.3.290" TargetMode="External"/><Relationship Id="rId2194" Type="http://schemas.openxmlformats.org/officeDocument/2006/relationships/hyperlink" Target="https://doi.org/10.1076/clin.17.4.561.27937" TargetMode="External"/><Relationship Id="rId3038" Type="http://schemas.openxmlformats.org/officeDocument/2006/relationships/hyperlink" Target="https://doi.org/10.1080/17470919.2020.1760131" TargetMode="External"/><Relationship Id="rId3245" Type="http://schemas.openxmlformats.org/officeDocument/2006/relationships/hyperlink" Target="https://doi.org/10.1080/13554790601087165" TargetMode="External"/><Relationship Id="rId3452" Type="http://schemas.openxmlformats.org/officeDocument/2006/relationships/hyperlink" Target="https://doi.org/10.1080/13854046.2015.1061054" TargetMode="External"/><Relationship Id="rId4503" Type="http://schemas.openxmlformats.org/officeDocument/2006/relationships/hyperlink" Target="https://doi.org/10.1093/brain/awh147" TargetMode="External"/><Relationship Id="rId4710" Type="http://schemas.openxmlformats.org/officeDocument/2006/relationships/hyperlink" Target="https://doi.org/10.1111/jnp.12108" TargetMode="External"/><Relationship Id="rId166" Type="http://schemas.openxmlformats.org/officeDocument/2006/relationships/hyperlink" Target="https://doi.org/10.1097/00004583-201004000-00008" TargetMode="External"/><Relationship Id="rId373" Type="http://schemas.openxmlformats.org/officeDocument/2006/relationships/hyperlink" Target="https://doi.org/10.1016/j.nlm.2010.08.002" TargetMode="External"/><Relationship Id="rId580" Type="http://schemas.openxmlformats.org/officeDocument/2006/relationships/hyperlink" Target="https://doi.org/10.1111/j.1469-7610.2006.01603.x" TargetMode="External"/><Relationship Id="rId2054" Type="http://schemas.openxmlformats.org/officeDocument/2006/relationships/hyperlink" Target="https://doi.org/10.1017/S0033291712001614" TargetMode="External"/><Relationship Id="rId2261" Type="http://schemas.openxmlformats.org/officeDocument/2006/relationships/hyperlink" Target="https://doi.org/10.1007/978-0-387-76978-3_19" TargetMode="External"/><Relationship Id="rId3105" Type="http://schemas.openxmlformats.org/officeDocument/2006/relationships/hyperlink" Target="https://doi.org/10.1093/arclin/acr010" TargetMode="External"/><Relationship Id="rId3312" Type="http://schemas.openxmlformats.org/officeDocument/2006/relationships/hyperlink" Target="https://doi.org/10.1080/02699052.2018.1469046" TargetMode="External"/><Relationship Id="rId6468" Type="http://schemas.openxmlformats.org/officeDocument/2006/relationships/hyperlink" Target="https://doi.org/10.1093/arclin/acq016" TargetMode="External"/><Relationship Id="rId233" Type="http://schemas.openxmlformats.org/officeDocument/2006/relationships/hyperlink" Target="https://doi.org/10.1001/archgenpsychiatry.2011.1539" TargetMode="External"/><Relationship Id="rId440" Type="http://schemas.openxmlformats.org/officeDocument/2006/relationships/hyperlink" Target="https://doi.org/10.1016/j.psychres.2014.06.011" TargetMode="External"/><Relationship Id="rId1070" Type="http://schemas.openxmlformats.org/officeDocument/2006/relationships/hyperlink" Target="https://doi.org/10.1016/j.jad.2012.05.043" TargetMode="External"/><Relationship Id="rId2121" Type="http://schemas.openxmlformats.org/officeDocument/2006/relationships/hyperlink" Target="https://doi.org/10.1016/j.neuropsychologia.2004.04.002" TargetMode="External"/><Relationship Id="rId5277" Type="http://schemas.openxmlformats.org/officeDocument/2006/relationships/hyperlink" Target="https://doi.org/10.1093/brain/114.2.727" TargetMode="External"/><Relationship Id="rId5484" Type="http://schemas.openxmlformats.org/officeDocument/2006/relationships/hyperlink" Target="https://doi.org/10.1080/09297049.2011.595400" TargetMode="External"/><Relationship Id="rId6328" Type="http://schemas.openxmlformats.org/officeDocument/2006/relationships/hyperlink" Target="https://doi.org/10.1016/j.psychres.2019.05.001" TargetMode="External"/><Relationship Id="rId300" Type="http://schemas.openxmlformats.org/officeDocument/2006/relationships/hyperlink" Target="https://doi.org/10.1017/S1355617712000823" TargetMode="External"/><Relationship Id="rId4086" Type="http://schemas.openxmlformats.org/officeDocument/2006/relationships/hyperlink" Target="https://doi.org/10.1080/17470210500343546" TargetMode="External"/><Relationship Id="rId5137" Type="http://schemas.openxmlformats.org/officeDocument/2006/relationships/hyperlink" Target="https://doi.org/10.1016/j.acn.2003.08.005" TargetMode="External"/><Relationship Id="rId5691" Type="http://schemas.openxmlformats.org/officeDocument/2006/relationships/hyperlink" Target="https://doi.org/10.1016/j.jml.2013.08.004" TargetMode="External"/><Relationship Id="rId6535" Type="http://schemas.openxmlformats.org/officeDocument/2006/relationships/hyperlink" Target="https://doi.org/10.1007/s00426-018-1034-3" TargetMode="External"/><Relationship Id="rId1887" Type="http://schemas.openxmlformats.org/officeDocument/2006/relationships/hyperlink" Target="https://doi.org/10.1016/j.euroneuro.2017.01.006" TargetMode="External"/><Relationship Id="rId2938" Type="http://schemas.openxmlformats.org/officeDocument/2006/relationships/hyperlink" Target="https://doi.org/10.1016/j.schres.2014.05.007" TargetMode="External"/><Relationship Id="rId4293" Type="http://schemas.openxmlformats.org/officeDocument/2006/relationships/hyperlink" Target="https://doi.org/10.1016/j.psychres.2009.05.013" TargetMode="External"/><Relationship Id="rId5344" Type="http://schemas.openxmlformats.org/officeDocument/2006/relationships/hyperlink" Target="https://doi.org/10.1016/j.jad.2009.06.011" TargetMode="External"/><Relationship Id="rId5551" Type="http://schemas.openxmlformats.org/officeDocument/2006/relationships/hyperlink" Target="https://doi.org/10.1037/14043-005" TargetMode="External"/><Relationship Id="rId1747" Type="http://schemas.openxmlformats.org/officeDocument/2006/relationships/hyperlink" Target="https://doi.org/10.3109/08039488.2016.1146797" TargetMode="External"/><Relationship Id="rId1954" Type="http://schemas.openxmlformats.org/officeDocument/2006/relationships/hyperlink" Target="https://doi.org/10.1007/s00406-009-0078-1" TargetMode="External"/><Relationship Id="rId4153" Type="http://schemas.openxmlformats.org/officeDocument/2006/relationships/hyperlink" Target="https://doi.org/10.1176/ajp.150.12.1849" TargetMode="External"/><Relationship Id="rId4360" Type="http://schemas.openxmlformats.org/officeDocument/2006/relationships/hyperlink" Target="https://doi.org/10.1016/j.pscychresns.2012.05.008" TargetMode="External"/><Relationship Id="rId5204" Type="http://schemas.openxmlformats.org/officeDocument/2006/relationships/hyperlink" Target="https://doi.org/10.1016/j.clinph.2004.12.014" TargetMode="External"/><Relationship Id="rId5411" Type="http://schemas.openxmlformats.org/officeDocument/2006/relationships/hyperlink" Target="https://doi.org/10.1080/13854046.2014.931465" TargetMode="External"/><Relationship Id="rId39" Type="http://schemas.openxmlformats.org/officeDocument/2006/relationships/hyperlink" Target="https://doi.org/10.1016/j.schres.2006.03.028" TargetMode="External"/><Relationship Id="rId1607" Type="http://schemas.openxmlformats.org/officeDocument/2006/relationships/hyperlink" Target="https://doi.org/10.1016/j.psychres.2011.02.026" TargetMode="External"/><Relationship Id="rId1814" Type="http://schemas.openxmlformats.org/officeDocument/2006/relationships/hyperlink" Target="https://doi.org/10.1037/0894-4105.21.2.183" TargetMode="External"/><Relationship Id="rId4013" Type="http://schemas.openxmlformats.org/officeDocument/2006/relationships/hyperlink" Target="https://doi.org/10.1080/14737175.2017.1347040" TargetMode="External"/><Relationship Id="rId4220" Type="http://schemas.openxmlformats.org/officeDocument/2006/relationships/hyperlink" Target="https://doi.org/10.1016/S0191-8869(97)00070-6" TargetMode="External"/><Relationship Id="rId3779" Type="http://schemas.openxmlformats.org/officeDocument/2006/relationships/hyperlink" Target="https://doi.org/10.1207/s15374424jccp2202_4" TargetMode="External"/><Relationship Id="rId6185" Type="http://schemas.openxmlformats.org/officeDocument/2006/relationships/hyperlink" Target="https://doi.org/10.1017/S1355617717001035" TargetMode="External"/><Relationship Id="rId6392" Type="http://schemas.openxmlformats.org/officeDocument/2006/relationships/hyperlink" Target="https://doi.org/10.3233/JAD-170810" TargetMode="External"/><Relationship Id="rId2588" Type="http://schemas.openxmlformats.org/officeDocument/2006/relationships/hyperlink" Target="https://doi.org/10.1097/NMD.0b013e31825bfc31" TargetMode="External"/><Relationship Id="rId3986" Type="http://schemas.openxmlformats.org/officeDocument/2006/relationships/hyperlink" Target="https://doi.org/10.1017/S0033291712001948" TargetMode="External"/><Relationship Id="rId6045" Type="http://schemas.openxmlformats.org/officeDocument/2006/relationships/hyperlink" Target="https://doi.org/10.1017/S1355617706060966" TargetMode="External"/><Relationship Id="rId6252" Type="http://schemas.openxmlformats.org/officeDocument/2006/relationships/hyperlink" Target="https://doi.org/10.1016/j.schres.2003.08.013" TargetMode="External"/><Relationship Id="rId1397" Type="http://schemas.openxmlformats.org/officeDocument/2006/relationships/hyperlink" Target="https://doi.org/10.2165/11202620-000000000-00000" TargetMode="External"/><Relationship Id="rId2795" Type="http://schemas.openxmlformats.org/officeDocument/2006/relationships/hyperlink" Target="https://doi.org/10.1016/j.pnpbp.2012.01.010" TargetMode="External"/><Relationship Id="rId3639" Type="http://schemas.openxmlformats.org/officeDocument/2006/relationships/hyperlink" Target="https://doi.org/10.1080/02643294.2014.970154" TargetMode="External"/><Relationship Id="rId3846" Type="http://schemas.openxmlformats.org/officeDocument/2006/relationships/hyperlink" Target="https://doi.org/10.1007/s11055-010-9376-3" TargetMode="External"/><Relationship Id="rId5061" Type="http://schemas.openxmlformats.org/officeDocument/2006/relationships/hyperlink" Target="https://doi.org/10.1080/09297040903190782" TargetMode="External"/><Relationship Id="rId6112" Type="http://schemas.openxmlformats.org/officeDocument/2006/relationships/hyperlink" Target="https://doi.org/10.1016/j.neuropsychologia.2020.107494" TargetMode="External"/><Relationship Id="rId767" Type="http://schemas.openxmlformats.org/officeDocument/2006/relationships/hyperlink" Target="https://doi.org/10.1080/136515001300375307" TargetMode="External"/><Relationship Id="rId974" Type="http://schemas.openxmlformats.org/officeDocument/2006/relationships/hyperlink" Target="https://doi.org/10.3233/JAD-150599" TargetMode="External"/><Relationship Id="rId2448" Type="http://schemas.openxmlformats.org/officeDocument/2006/relationships/hyperlink" Target="https://doi.org/10.1016/j.paid.2009.09.009" TargetMode="External"/><Relationship Id="rId2655" Type="http://schemas.openxmlformats.org/officeDocument/2006/relationships/hyperlink" Target="https://doi.org/10.1097/WNN.0000000000000022" TargetMode="External"/><Relationship Id="rId2862" Type="http://schemas.openxmlformats.org/officeDocument/2006/relationships/hyperlink" Target="https://doi.org/10.1111/j.1528-1167.2007.01098.x" TargetMode="External"/><Relationship Id="rId3706" Type="http://schemas.openxmlformats.org/officeDocument/2006/relationships/hyperlink" Target="https://doi.org/10.1097/NMD.0b013e3182214190" TargetMode="External"/><Relationship Id="rId3913" Type="http://schemas.openxmlformats.org/officeDocument/2006/relationships/hyperlink" Target="https://doi.org/10.1016/S0920-9964(03)00047-1" TargetMode="External"/><Relationship Id="rId627" Type="http://schemas.openxmlformats.org/officeDocument/2006/relationships/hyperlink" Target="https://doi.org/10.1034/j.1399-5618.2001.030207.x" TargetMode="External"/><Relationship Id="rId834" Type="http://schemas.openxmlformats.org/officeDocument/2006/relationships/hyperlink" Target="https://doi.org/10.1016/j.pbb.2007.08.003" TargetMode="External"/><Relationship Id="rId1257" Type="http://schemas.openxmlformats.org/officeDocument/2006/relationships/hyperlink" Target="https://doi.org/10.1016/j.seizure.2010.04.012" TargetMode="External"/><Relationship Id="rId1464" Type="http://schemas.openxmlformats.org/officeDocument/2006/relationships/hyperlink" Target="https://doi.org/10.1590/S1516-44462010000400025" TargetMode="External"/><Relationship Id="rId1671" Type="http://schemas.openxmlformats.org/officeDocument/2006/relationships/hyperlink" Target="https://doi.org/10.1007/s12207-018-9337-7" TargetMode="External"/><Relationship Id="rId2308" Type="http://schemas.openxmlformats.org/officeDocument/2006/relationships/hyperlink" Target="https://doi.org/10.1016/j.jad.2016.01.013" TargetMode="External"/><Relationship Id="rId2515" Type="http://schemas.openxmlformats.org/officeDocument/2006/relationships/hyperlink" Target="https://doi.org/10.1016/j.neuropsychologia.2010.12.034" TargetMode="External"/><Relationship Id="rId2722" Type="http://schemas.openxmlformats.org/officeDocument/2006/relationships/hyperlink" Target="https://doi.org/10.1016/j.schres.2006.08.014" TargetMode="External"/><Relationship Id="rId5878" Type="http://schemas.openxmlformats.org/officeDocument/2006/relationships/hyperlink" Target="https://doi.org/10.1093/cercor/bhh188" TargetMode="External"/><Relationship Id="rId901" Type="http://schemas.openxmlformats.org/officeDocument/2006/relationships/hyperlink" Target="https://doi.org/10.1017/S1355617704103123" TargetMode="External"/><Relationship Id="rId1117" Type="http://schemas.openxmlformats.org/officeDocument/2006/relationships/hyperlink" Target="https://doi.org/10.1037/0090-5550.49.2.100" TargetMode="External"/><Relationship Id="rId1324" Type="http://schemas.openxmlformats.org/officeDocument/2006/relationships/hyperlink" Target="https://doi.org/10.1080/13803395.2013.781134" TargetMode="External"/><Relationship Id="rId1531" Type="http://schemas.openxmlformats.org/officeDocument/2006/relationships/hyperlink" Target="https://doi.org/10.1177/1545968309355987" TargetMode="External"/><Relationship Id="rId4687" Type="http://schemas.openxmlformats.org/officeDocument/2006/relationships/hyperlink" Target="https://doi.org/10.1007/s11031-012-9339-9" TargetMode="External"/><Relationship Id="rId4894" Type="http://schemas.openxmlformats.org/officeDocument/2006/relationships/hyperlink" Target="https://doi.org/10.1080/09602010343000291" TargetMode="External"/><Relationship Id="rId5738" Type="http://schemas.openxmlformats.org/officeDocument/2006/relationships/hyperlink" Target="https://doi.org/10.1136/jnnp-2012-303526" TargetMode="External"/><Relationship Id="rId5945" Type="http://schemas.openxmlformats.org/officeDocument/2006/relationships/hyperlink" Target="https://doi.org/10.1002/gps.4829" TargetMode="External"/><Relationship Id="rId30" Type="http://schemas.openxmlformats.org/officeDocument/2006/relationships/hyperlink" Target="https://doi.org/10.1037/0894-4105.9.3.275" TargetMode="External"/><Relationship Id="rId3289" Type="http://schemas.openxmlformats.org/officeDocument/2006/relationships/hyperlink" Target="https://doi.org/10.1080/09658210802438466" TargetMode="External"/><Relationship Id="rId3496" Type="http://schemas.openxmlformats.org/officeDocument/2006/relationships/hyperlink" Target="https://doi.org/10.1016/j.psychres.2015.04.013" TargetMode="External"/><Relationship Id="rId4547" Type="http://schemas.openxmlformats.org/officeDocument/2006/relationships/hyperlink" Target="https://doi.org/10.1016/j.neurobiolaging.2010.09.004" TargetMode="External"/><Relationship Id="rId4754" Type="http://schemas.openxmlformats.org/officeDocument/2006/relationships/hyperlink" Target="https://doi.org/10.1016/j.psychres.2017.08.057" TargetMode="External"/><Relationship Id="rId2098" Type="http://schemas.openxmlformats.org/officeDocument/2006/relationships/hyperlink" Target="https://doi.org/10.1016/j.yebeh.2010.10.033" TargetMode="External"/><Relationship Id="rId3149" Type="http://schemas.openxmlformats.org/officeDocument/2006/relationships/hyperlink" Target="https://doi.org/10.1586/ern.12.71" TargetMode="External"/><Relationship Id="rId3356" Type="http://schemas.openxmlformats.org/officeDocument/2006/relationships/hyperlink" Target="https://doi.org/10.3389/fpsyt.2018.00577" TargetMode="External"/><Relationship Id="rId3563" Type="http://schemas.openxmlformats.org/officeDocument/2006/relationships/hyperlink" Target="https://doi.org/10.1017/S1355617709990300" TargetMode="External"/><Relationship Id="rId4407" Type="http://schemas.openxmlformats.org/officeDocument/2006/relationships/hyperlink" Target="https://doi.org/10.1080/13803395.2021.1889989" TargetMode="External"/><Relationship Id="rId4961" Type="http://schemas.openxmlformats.org/officeDocument/2006/relationships/hyperlink" Target="https://doi.org/10.1080/10349120600577402" TargetMode="External"/><Relationship Id="rId5805" Type="http://schemas.openxmlformats.org/officeDocument/2006/relationships/hyperlink" Target="https://doi.org/10.1017/S1355617709990294" TargetMode="External"/><Relationship Id="rId277" Type="http://schemas.openxmlformats.org/officeDocument/2006/relationships/hyperlink" Target="https://doi.org/10.1017/9781108593946.003" TargetMode="External"/><Relationship Id="rId484" Type="http://schemas.openxmlformats.org/officeDocument/2006/relationships/hyperlink" Target="https://doi.org/10.3389/fnagi.2015.00231" TargetMode="External"/><Relationship Id="rId2165" Type="http://schemas.openxmlformats.org/officeDocument/2006/relationships/hyperlink" Target="https://doi.org/10.1016/j.bandc.2006.09.001" TargetMode="External"/><Relationship Id="rId3009" Type="http://schemas.openxmlformats.org/officeDocument/2006/relationships/hyperlink" Target="https://doi.org/10.1016/j.jad.2018.04.051" TargetMode="External"/><Relationship Id="rId3216" Type="http://schemas.openxmlformats.org/officeDocument/2006/relationships/hyperlink" Target="https://doi.org/10.1037/a0039835" TargetMode="External"/><Relationship Id="rId3770" Type="http://schemas.openxmlformats.org/officeDocument/2006/relationships/hyperlink" Target="https://doi.org/10.1093/schbul/sbn058" TargetMode="External"/><Relationship Id="rId4614" Type="http://schemas.openxmlformats.org/officeDocument/2006/relationships/hyperlink" Target="https://doi.org/10.1093/arclin/acu044" TargetMode="External"/><Relationship Id="rId4821" Type="http://schemas.openxmlformats.org/officeDocument/2006/relationships/hyperlink" Target="https://doi.org/10.1080/13854046.2016.1208847" TargetMode="External"/><Relationship Id="rId137" Type="http://schemas.openxmlformats.org/officeDocument/2006/relationships/hyperlink" Target="https://doi.org/10.1080/13554791003623318" TargetMode="External"/><Relationship Id="rId344" Type="http://schemas.openxmlformats.org/officeDocument/2006/relationships/hyperlink" Target="https://doi.org/10.1016/j.bandc.2020.105679" TargetMode="External"/><Relationship Id="rId691" Type="http://schemas.openxmlformats.org/officeDocument/2006/relationships/hyperlink" Target="https://doi.org/10.1093/oxfordjournals.schbul.a006908" TargetMode="External"/><Relationship Id="rId2025" Type="http://schemas.openxmlformats.org/officeDocument/2006/relationships/hyperlink" Target="https://doi.org/10.1002/bsl.2084" TargetMode="External"/><Relationship Id="rId2372" Type="http://schemas.openxmlformats.org/officeDocument/2006/relationships/hyperlink" Target="https://doi.org/10.3109/15622975.2011.620002" TargetMode="External"/><Relationship Id="rId3423" Type="http://schemas.openxmlformats.org/officeDocument/2006/relationships/hyperlink" Target="https://doi.org/10.3724/SP.J.1041.2013.00636" TargetMode="External"/><Relationship Id="rId3630" Type="http://schemas.openxmlformats.org/officeDocument/2006/relationships/hyperlink" Target="https://doi.org/10.1111/ejn.13281" TargetMode="External"/><Relationship Id="rId551" Type="http://schemas.openxmlformats.org/officeDocument/2006/relationships/hyperlink" Target="https://doi.org/10.3109/02699052.2011.559609" TargetMode="External"/><Relationship Id="rId1181" Type="http://schemas.openxmlformats.org/officeDocument/2006/relationships/hyperlink" Target="https://doi.org/10.1016/S0010-9452(13)80182-7" TargetMode="External"/><Relationship Id="rId2232" Type="http://schemas.openxmlformats.org/officeDocument/2006/relationships/hyperlink" Target="https://doi.org/10.1016/0006-3223(95)00179-4" TargetMode="External"/><Relationship Id="rId5388" Type="http://schemas.openxmlformats.org/officeDocument/2006/relationships/hyperlink" Target="https://doi.org/10.1016/j.earlhumdev.2011.07.017" TargetMode="External"/><Relationship Id="rId5595" Type="http://schemas.openxmlformats.org/officeDocument/2006/relationships/hyperlink" Target="https://doi.org/10.1080/13854040701220036" TargetMode="External"/><Relationship Id="rId6439" Type="http://schemas.openxmlformats.org/officeDocument/2006/relationships/hyperlink" Target="https://doi.org/10.1111/j.1468-5884.2012.00534.x" TargetMode="External"/><Relationship Id="rId204" Type="http://schemas.openxmlformats.org/officeDocument/2006/relationships/hyperlink" Target="https://doi.org/10.1017/S1355617712000471" TargetMode="External"/><Relationship Id="rId411" Type="http://schemas.openxmlformats.org/officeDocument/2006/relationships/hyperlink" Target="https://doi.org/10.1007/978-1-4614-3106-0_26" TargetMode="External"/><Relationship Id="rId1041" Type="http://schemas.openxmlformats.org/officeDocument/2006/relationships/hyperlink" Target="https://doi.org/10.1080/17470210802633313" TargetMode="External"/><Relationship Id="rId1998" Type="http://schemas.openxmlformats.org/officeDocument/2006/relationships/hyperlink" Target="https://doi.org/10.1016/j.acn.2007.08.003" TargetMode="External"/><Relationship Id="rId4197" Type="http://schemas.openxmlformats.org/officeDocument/2006/relationships/hyperlink" Target="https://doi.org/10.1016/j.biopsych.2009.11.029" TargetMode="External"/><Relationship Id="rId5248" Type="http://schemas.openxmlformats.org/officeDocument/2006/relationships/hyperlink" Target="https://doi.org/10.1037/pag0000172" TargetMode="External"/><Relationship Id="rId5455" Type="http://schemas.openxmlformats.org/officeDocument/2006/relationships/hyperlink" Target="https://doi.org/10.1177/0193945916649954" TargetMode="External"/><Relationship Id="rId5662" Type="http://schemas.openxmlformats.org/officeDocument/2006/relationships/hyperlink" Target="https://doi.org/10.1016/j.eurpsy.2007.10.006" TargetMode="External"/><Relationship Id="rId6506" Type="http://schemas.openxmlformats.org/officeDocument/2006/relationships/hyperlink" Target="https://doi.org/10.1016/j.ijpsycho.2018.09.003" TargetMode="External"/><Relationship Id="rId1858" Type="http://schemas.openxmlformats.org/officeDocument/2006/relationships/hyperlink" Target="https://doi.org/10.1056/NEJMoa0907083" TargetMode="External"/><Relationship Id="rId4057" Type="http://schemas.openxmlformats.org/officeDocument/2006/relationships/hyperlink" Target="https://doi.org/10.3233/RNN-150510" TargetMode="External"/><Relationship Id="rId4264" Type="http://schemas.openxmlformats.org/officeDocument/2006/relationships/hyperlink" Target="https://doi.org/10.1017/sjp.2016.96" TargetMode="External"/><Relationship Id="rId4471" Type="http://schemas.openxmlformats.org/officeDocument/2006/relationships/hyperlink" Target="https://doi.org/10.1017/S1355617701733085" TargetMode="External"/><Relationship Id="rId5108" Type="http://schemas.openxmlformats.org/officeDocument/2006/relationships/hyperlink" Target="https://doi.org/10.1177/0269215512464230" TargetMode="External"/><Relationship Id="rId5315" Type="http://schemas.openxmlformats.org/officeDocument/2006/relationships/hyperlink" Target="https://doi.org/10.1111/j.1440-1789.2005.00607.x" TargetMode="External"/><Relationship Id="rId5522" Type="http://schemas.openxmlformats.org/officeDocument/2006/relationships/hyperlink" Target="https://doi.org/10.1007/978-0-387-78965-1_7" TargetMode="External"/><Relationship Id="rId2909" Type="http://schemas.openxmlformats.org/officeDocument/2006/relationships/hyperlink" Target="https://doi.org/10.1007/s00213-006-0428-x" TargetMode="External"/><Relationship Id="rId3073" Type="http://schemas.openxmlformats.org/officeDocument/2006/relationships/hyperlink" Target="https://doi.org/10.1111/j.1469-8749.2010.03616.x" TargetMode="External"/><Relationship Id="rId3280" Type="http://schemas.openxmlformats.org/officeDocument/2006/relationships/hyperlink" Target="https://doi.org/10.1080/027249896392793" TargetMode="External"/><Relationship Id="rId4124" Type="http://schemas.openxmlformats.org/officeDocument/2006/relationships/hyperlink" Target="https://doi.org/10.1177/1533317513507375" TargetMode="External"/><Relationship Id="rId4331" Type="http://schemas.openxmlformats.org/officeDocument/2006/relationships/hyperlink" Target="https://doi.org/10.2174/1745017901713010071" TargetMode="External"/><Relationship Id="rId1718" Type="http://schemas.openxmlformats.org/officeDocument/2006/relationships/hyperlink" Target="https://doi.org/10.1016/j.bandc.2006.07.001" TargetMode="External"/><Relationship Id="rId1925" Type="http://schemas.openxmlformats.org/officeDocument/2006/relationships/hyperlink" Target="https://doi.org/10.1186/s40337-016-0118-y" TargetMode="External"/><Relationship Id="rId3140" Type="http://schemas.openxmlformats.org/officeDocument/2006/relationships/hyperlink" Target="https://doi.org/10.1007/s10803-010-1137-1" TargetMode="External"/><Relationship Id="rId6089" Type="http://schemas.openxmlformats.org/officeDocument/2006/relationships/hyperlink" Target="https://doi.org/10.1016/j.ridd.2014.04.021" TargetMode="External"/><Relationship Id="rId6296" Type="http://schemas.openxmlformats.org/officeDocument/2006/relationships/hyperlink" Target="https://doi.org/10.1111/j.1468-1331.2008.02217.x" TargetMode="External"/><Relationship Id="rId6156" Type="http://schemas.openxmlformats.org/officeDocument/2006/relationships/hyperlink" Target="https://doi.org/10.1016/j.biopsych.2008.08.007" TargetMode="External"/><Relationship Id="rId2699" Type="http://schemas.openxmlformats.org/officeDocument/2006/relationships/hyperlink" Target="https://doi.org/10.1016/j.ajp.2011.04.001" TargetMode="External"/><Relationship Id="rId3000" Type="http://schemas.openxmlformats.org/officeDocument/2006/relationships/hyperlink" Target="https://doi.org/10.1007/s00787-006-0547-2" TargetMode="External"/><Relationship Id="rId3957" Type="http://schemas.openxmlformats.org/officeDocument/2006/relationships/hyperlink" Target="https://doi.org/10.1007/s00406-018-0877-3" TargetMode="External"/><Relationship Id="rId6363" Type="http://schemas.openxmlformats.org/officeDocument/2006/relationships/hyperlink" Target="https://doi.org/10.1017/9781108235433.006" TargetMode="External"/><Relationship Id="rId878" Type="http://schemas.openxmlformats.org/officeDocument/2006/relationships/hyperlink" Target="https://doi.org/10.1016/0165-1781(94)02509-H" TargetMode="External"/><Relationship Id="rId2559" Type="http://schemas.openxmlformats.org/officeDocument/2006/relationships/hyperlink" Target="https://doi.org/10.1177/0022219412453084" TargetMode="External"/><Relationship Id="rId2766" Type="http://schemas.openxmlformats.org/officeDocument/2006/relationships/hyperlink" Target="https://doi.org/10.1016/j.nlm.2015.02.003" TargetMode="External"/><Relationship Id="rId2973" Type="http://schemas.openxmlformats.org/officeDocument/2006/relationships/hyperlink" Target="https://doi.org/10.1016/j.psychres.2010.06.027" TargetMode="External"/><Relationship Id="rId3817" Type="http://schemas.openxmlformats.org/officeDocument/2006/relationships/hyperlink" Target="https://doi.org/10.1093/schbul/sbi037" TargetMode="External"/><Relationship Id="rId5172" Type="http://schemas.openxmlformats.org/officeDocument/2006/relationships/hyperlink" Target="https://doi.org/10.1016/j.brs.2008.01.001" TargetMode="External"/><Relationship Id="rId6016" Type="http://schemas.openxmlformats.org/officeDocument/2006/relationships/hyperlink" Target="https://doi.org/10.1093/arclin/acp037" TargetMode="External"/><Relationship Id="rId6223" Type="http://schemas.openxmlformats.org/officeDocument/2006/relationships/hyperlink" Target="https://doi.org/10.1016/j.sleep.2016.06.028" TargetMode="External"/><Relationship Id="rId6430" Type="http://schemas.openxmlformats.org/officeDocument/2006/relationships/hyperlink" Target="https://doi.org/10.1080/23279095.2019.1576690" TargetMode="External"/><Relationship Id="rId738" Type="http://schemas.openxmlformats.org/officeDocument/2006/relationships/hyperlink" Target="https://doi.org/10.1097/JCP.0000000000001025" TargetMode="External"/><Relationship Id="rId945" Type="http://schemas.openxmlformats.org/officeDocument/2006/relationships/hyperlink" Target="https://doi.org/10.1017/S1355617706060693" TargetMode="External"/><Relationship Id="rId1368" Type="http://schemas.openxmlformats.org/officeDocument/2006/relationships/hyperlink" Target="https://doi.org/10.1016/j.jcomdis.2004.09.001" TargetMode="External"/><Relationship Id="rId1575" Type="http://schemas.openxmlformats.org/officeDocument/2006/relationships/hyperlink" Target="https://doi.org/10.1016/j.alcohol.2006.06.006" TargetMode="External"/><Relationship Id="rId1782" Type="http://schemas.openxmlformats.org/officeDocument/2006/relationships/hyperlink" Target="https://doi.org/10.1016/j.psychres.2019.03.008" TargetMode="External"/><Relationship Id="rId2419" Type="http://schemas.openxmlformats.org/officeDocument/2006/relationships/hyperlink" Target="https://doi.org/10.1590/S1980-57642012DN06040010" TargetMode="External"/><Relationship Id="rId2626" Type="http://schemas.openxmlformats.org/officeDocument/2006/relationships/hyperlink" Target="https://doi.org/10.1212/WNL.0b013e3182518375" TargetMode="External"/><Relationship Id="rId2833" Type="http://schemas.openxmlformats.org/officeDocument/2006/relationships/hyperlink" Target="https://doi.org/10.1024/1016-264X/a000096" TargetMode="External"/><Relationship Id="rId5032" Type="http://schemas.openxmlformats.org/officeDocument/2006/relationships/hyperlink" Target="https://doi.org/10.1080/24750573.2019.1682853" TargetMode="External"/><Relationship Id="rId5989" Type="http://schemas.openxmlformats.org/officeDocument/2006/relationships/hyperlink" Target="https://doi.org/10.1007/s00213-011-2340-2" TargetMode="External"/><Relationship Id="rId74" Type="http://schemas.openxmlformats.org/officeDocument/2006/relationships/hyperlink" Target="https://doi.org/10.1111/j.1440-1819.2010.02117.x" TargetMode="External"/><Relationship Id="rId805" Type="http://schemas.openxmlformats.org/officeDocument/2006/relationships/hyperlink" Target="https://doi.org/10.3758/BF03196722" TargetMode="External"/><Relationship Id="rId1228" Type="http://schemas.openxmlformats.org/officeDocument/2006/relationships/hyperlink" Target="https://doi.org/10.1016/j.cortex.2008.03.013" TargetMode="External"/><Relationship Id="rId1435" Type="http://schemas.openxmlformats.org/officeDocument/2006/relationships/hyperlink" Target="https://doi.org/10.1016/j.neuropsychologia.2009.07.022" TargetMode="External"/><Relationship Id="rId4798" Type="http://schemas.openxmlformats.org/officeDocument/2006/relationships/hyperlink" Target="https://doi.org/10.1016/j.acn.2004.07.004" TargetMode="External"/><Relationship Id="rId1642" Type="http://schemas.openxmlformats.org/officeDocument/2006/relationships/hyperlink" Target="https://doi.org/10.1016/j.schres.2012.04.008" TargetMode="External"/><Relationship Id="rId2900" Type="http://schemas.openxmlformats.org/officeDocument/2006/relationships/hyperlink" Target="https://doi.org/10.1017/S1355617704104128" TargetMode="External"/><Relationship Id="rId5849" Type="http://schemas.openxmlformats.org/officeDocument/2006/relationships/hyperlink" Target="https://doi.org/10.1080/138033990513546" TargetMode="External"/><Relationship Id="rId1502" Type="http://schemas.openxmlformats.org/officeDocument/2006/relationships/hyperlink" Target="https://doi.org/10.1016/j.ridd.2016.03.013" TargetMode="External"/><Relationship Id="rId4658" Type="http://schemas.openxmlformats.org/officeDocument/2006/relationships/hyperlink" Target="https://doi.org/10.1016/j.schres.2011.02.017" TargetMode="External"/><Relationship Id="rId4865" Type="http://schemas.openxmlformats.org/officeDocument/2006/relationships/hyperlink" Target="https://doi.org/10.1007/s00787-007-1005-5" TargetMode="External"/><Relationship Id="rId5709" Type="http://schemas.openxmlformats.org/officeDocument/2006/relationships/hyperlink" Target="https://doi.org/10.1080/13546805.2015.1137212" TargetMode="External"/><Relationship Id="rId5916" Type="http://schemas.openxmlformats.org/officeDocument/2006/relationships/hyperlink" Target="https://doi.org/10.1007/s40732-021-00459-w" TargetMode="External"/><Relationship Id="rId6080" Type="http://schemas.openxmlformats.org/officeDocument/2006/relationships/hyperlink" Target="https://doi.org/10.1007/s10461-017-1782-x" TargetMode="External"/><Relationship Id="rId388" Type="http://schemas.openxmlformats.org/officeDocument/2006/relationships/hyperlink" Target="https://doi.org/10.1037/0090-5550.49.4.282" TargetMode="External"/><Relationship Id="rId2069" Type="http://schemas.openxmlformats.org/officeDocument/2006/relationships/hyperlink" Target="https://doi.org/10.1016/j.yebeh.2006.04.002" TargetMode="External"/><Relationship Id="rId3467" Type="http://schemas.openxmlformats.org/officeDocument/2006/relationships/hyperlink" Target="https://doi.org/10.1007/s10803-005-5035-x" TargetMode="External"/><Relationship Id="rId3674" Type="http://schemas.openxmlformats.org/officeDocument/2006/relationships/hyperlink" Target="https://doi.org/10.1002/ajmg.b.32229" TargetMode="External"/><Relationship Id="rId3881" Type="http://schemas.openxmlformats.org/officeDocument/2006/relationships/hyperlink" Target="https://doi.org/10.1016/j.schres.2005.07.015" TargetMode="External"/><Relationship Id="rId4518" Type="http://schemas.openxmlformats.org/officeDocument/2006/relationships/hyperlink" Target="https://doi.org/10.3109/00207459808986466" TargetMode="External"/><Relationship Id="rId4725" Type="http://schemas.openxmlformats.org/officeDocument/2006/relationships/hyperlink" Target="https://doi.org/10.1177/0891988710390812" TargetMode="External"/><Relationship Id="rId4932" Type="http://schemas.openxmlformats.org/officeDocument/2006/relationships/hyperlink" Target="https://doi.org/10.1111/j.1468-1331.2009.02792.x" TargetMode="External"/><Relationship Id="rId595" Type="http://schemas.openxmlformats.org/officeDocument/2006/relationships/hyperlink" Target="https://doi.org/10.1016/j.jad.2011.10.012" TargetMode="External"/><Relationship Id="rId2276" Type="http://schemas.openxmlformats.org/officeDocument/2006/relationships/hyperlink" Target="https://doi.org/10.1016/j.eurpsy.2014.12.009" TargetMode="External"/><Relationship Id="rId2483" Type="http://schemas.openxmlformats.org/officeDocument/2006/relationships/hyperlink" Target="https://doi.org/10.1111/bdi.12470" TargetMode="External"/><Relationship Id="rId2690" Type="http://schemas.openxmlformats.org/officeDocument/2006/relationships/hyperlink" Target="https://doi.org/10.1017/S0033291710001029" TargetMode="External"/><Relationship Id="rId3327" Type="http://schemas.openxmlformats.org/officeDocument/2006/relationships/hyperlink" Target="https://doi.org/10.1016/j.schres.2008.11.012" TargetMode="External"/><Relationship Id="rId3534" Type="http://schemas.openxmlformats.org/officeDocument/2006/relationships/hyperlink" Target="https://doi.org/10.1016/j.concog.2010.12.018" TargetMode="External"/><Relationship Id="rId3741" Type="http://schemas.openxmlformats.org/officeDocument/2006/relationships/hyperlink" Target="https://doi.org/10.3109/13651501.2013.845220" TargetMode="External"/><Relationship Id="rId248" Type="http://schemas.openxmlformats.org/officeDocument/2006/relationships/hyperlink" Target="https://doi.org/10.1016/j.psychres.2018.03.048" TargetMode="External"/><Relationship Id="rId455" Type="http://schemas.openxmlformats.org/officeDocument/2006/relationships/hyperlink" Target="https://doi.org/10.1016/S0920-9964(96)00098-9" TargetMode="External"/><Relationship Id="rId662" Type="http://schemas.openxmlformats.org/officeDocument/2006/relationships/hyperlink" Target="https://doi.org/10.1016/j.comppsych.2005.05.002" TargetMode="External"/><Relationship Id="rId1085" Type="http://schemas.openxmlformats.org/officeDocument/2006/relationships/hyperlink" Target="https://doi.org/10.1017/S1461145706007395" TargetMode="External"/><Relationship Id="rId1292" Type="http://schemas.openxmlformats.org/officeDocument/2006/relationships/hyperlink" Target="https://doi.org/10.1080/09297049.2012.731499" TargetMode="External"/><Relationship Id="rId2136" Type="http://schemas.openxmlformats.org/officeDocument/2006/relationships/hyperlink" Target="https://doi.org/10.1016/j.jaac.2012.04.003" TargetMode="External"/><Relationship Id="rId2343" Type="http://schemas.openxmlformats.org/officeDocument/2006/relationships/hyperlink" Target="https://doi.org/10.1093/med/9780198810940.003.0006" TargetMode="External"/><Relationship Id="rId2550" Type="http://schemas.openxmlformats.org/officeDocument/2006/relationships/hyperlink" Target="https://doi.org/10.1016/j.jad.2012.04.031" TargetMode="External"/><Relationship Id="rId3601" Type="http://schemas.openxmlformats.org/officeDocument/2006/relationships/hyperlink" Target="https://doi.org/10.1093/schbul/sbv020" TargetMode="External"/><Relationship Id="rId5499" Type="http://schemas.openxmlformats.org/officeDocument/2006/relationships/hyperlink" Target="https://doi.org/10.1080/00223890701845476" TargetMode="External"/><Relationship Id="rId108" Type="http://schemas.openxmlformats.org/officeDocument/2006/relationships/hyperlink" Target="https://doi.org/10.3109/08039488.2014.990919" TargetMode="External"/><Relationship Id="rId315" Type="http://schemas.openxmlformats.org/officeDocument/2006/relationships/hyperlink" Target="https://doi.org/10.1016/j.brs.2018.12.226" TargetMode="External"/><Relationship Id="rId522" Type="http://schemas.openxmlformats.org/officeDocument/2006/relationships/hyperlink" Target="https://doi.org/10.1016/j.schres.2010.08.003" TargetMode="External"/><Relationship Id="rId1152" Type="http://schemas.openxmlformats.org/officeDocument/2006/relationships/hyperlink" Target="https://doi.org/10.1097/NMD.0000000000001087" TargetMode="External"/><Relationship Id="rId2203" Type="http://schemas.openxmlformats.org/officeDocument/2006/relationships/hyperlink" Target="https://doi.org/10.1080/13854040500346610" TargetMode="External"/><Relationship Id="rId2410" Type="http://schemas.openxmlformats.org/officeDocument/2006/relationships/hyperlink" Target="https://doi.org/10.7205/MILMED-D-15-00228" TargetMode="External"/><Relationship Id="rId5359" Type="http://schemas.openxmlformats.org/officeDocument/2006/relationships/hyperlink" Target="https://doi.org/10.1016/j.bandl.2011.08.002" TargetMode="External"/><Relationship Id="rId5566" Type="http://schemas.openxmlformats.org/officeDocument/2006/relationships/hyperlink" Target="https://doi.org/10.1353/ppp.2013.0041" TargetMode="External"/><Relationship Id="rId5773" Type="http://schemas.openxmlformats.org/officeDocument/2006/relationships/hyperlink" Target="https://doi.org/10.1001/archpsyc.62.11.1275" TargetMode="External"/><Relationship Id="rId1012" Type="http://schemas.openxmlformats.org/officeDocument/2006/relationships/hyperlink" Target="https://doi.org/10.1016/j.schres.2009.03.030" TargetMode="External"/><Relationship Id="rId4168" Type="http://schemas.openxmlformats.org/officeDocument/2006/relationships/hyperlink" Target="https://doi.org/10.1016/j.jad.2015.06.004" TargetMode="External"/><Relationship Id="rId4375" Type="http://schemas.openxmlformats.org/officeDocument/2006/relationships/hyperlink" Target="https://doi.org/10.1177/0883073815579710" TargetMode="External"/><Relationship Id="rId5219" Type="http://schemas.openxmlformats.org/officeDocument/2006/relationships/hyperlink" Target="https://doi.org/10.1097/WAD.0000000000000123" TargetMode="External"/><Relationship Id="rId5426" Type="http://schemas.openxmlformats.org/officeDocument/2006/relationships/hyperlink" Target="https://doi.org/10.1017/S1355617701711046" TargetMode="External"/><Relationship Id="rId5980" Type="http://schemas.openxmlformats.org/officeDocument/2006/relationships/hyperlink" Target="https://doi.org/10.1016/j.neuropsychologia.2011.05.005" TargetMode="External"/><Relationship Id="rId1969" Type="http://schemas.openxmlformats.org/officeDocument/2006/relationships/hyperlink" Target="https://doi.org/10.1097/QAI.0b013e31829d63ab" TargetMode="External"/><Relationship Id="rId3184" Type="http://schemas.openxmlformats.org/officeDocument/2006/relationships/hyperlink" Target="https://doi.org/10.1111/1467-9450.00259" TargetMode="External"/><Relationship Id="rId4028" Type="http://schemas.openxmlformats.org/officeDocument/2006/relationships/hyperlink" Target="https://doi.org/10.1186/1744-859X-11-1" TargetMode="External"/><Relationship Id="rId4235" Type="http://schemas.openxmlformats.org/officeDocument/2006/relationships/hyperlink" Target="https://doi.org/10.1016/j.clinph.2009.01.013" TargetMode="External"/><Relationship Id="rId4582" Type="http://schemas.openxmlformats.org/officeDocument/2006/relationships/hyperlink" Target="https://doi.org/10.1016/S0924-977X(02)00155-4" TargetMode="External"/><Relationship Id="rId5633" Type="http://schemas.openxmlformats.org/officeDocument/2006/relationships/hyperlink" Target="https://doi.org/10.1097/QAI.0b013e31827b61f1" TargetMode="External"/><Relationship Id="rId5840" Type="http://schemas.openxmlformats.org/officeDocument/2006/relationships/hyperlink" Target="https://doi.org/10.1097/WNN.0b013e3182492a9c" TargetMode="External"/><Relationship Id="rId1829" Type="http://schemas.openxmlformats.org/officeDocument/2006/relationships/hyperlink" Target="https://doi.org/10.1016/j.schres.2008.06.010" TargetMode="External"/><Relationship Id="rId3391" Type="http://schemas.openxmlformats.org/officeDocument/2006/relationships/hyperlink" Target="https://doi.org/10.1375/twin.9.6.890" TargetMode="External"/><Relationship Id="rId4442" Type="http://schemas.openxmlformats.org/officeDocument/2006/relationships/hyperlink" Target="https://doi.org/10.1016/j.parkreldis.2009.07.011" TargetMode="External"/><Relationship Id="rId5700" Type="http://schemas.openxmlformats.org/officeDocument/2006/relationships/hyperlink" Target="https://doi.org/10.1007/978-4-431-56508-6_2" TargetMode="External"/><Relationship Id="rId3044" Type="http://schemas.openxmlformats.org/officeDocument/2006/relationships/hyperlink" Target="https://doi.org/10.1016/j.eurpsy.2004.12.007" TargetMode="External"/><Relationship Id="rId3251" Type="http://schemas.openxmlformats.org/officeDocument/2006/relationships/hyperlink" Target="https://doi.org/10.1016/j.jpain.2015.03.006" TargetMode="External"/><Relationship Id="rId4302" Type="http://schemas.openxmlformats.org/officeDocument/2006/relationships/hyperlink" Target="https://doi.org/10.1017/S1355617714000034" TargetMode="External"/><Relationship Id="rId172" Type="http://schemas.openxmlformats.org/officeDocument/2006/relationships/hyperlink" Target="https://doi.org/10.1097/WAD.0b013e3182163b62" TargetMode="External"/><Relationship Id="rId2060" Type="http://schemas.openxmlformats.org/officeDocument/2006/relationships/hyperlink" Target="https://doi.org/10.1177/1049732306294009" TargetMode="External"/><Relationship Id="rId3111" Type="http://schemas.openxmlformats.org/officeDocument/2006/relationships/hyperlink" Target="https://doi.org/10.1111/j.1743-6109.2009.01564.x" TargetMode="External"/><Relationship Id="rId6267" Type="http://schemas.openxmlformats.org/officeDocument/2006/relationships/hyperlink" Target="https://doi.org/10.1001/archneur.61.3.398" TargetMode="External"/><Relationship Id="rId6474" Type="http://schemas.openxmlformats.org/officeDocument/2006/relationships/hyperlink" Target="https://doi.org/10.1016/j.bandl.2010.01.005" TargetMode="External"/><Relationship Id="rId989" Type="http://schemas.openxmlformats.org/officeDocument/2006/relationships/hyperlink" Target="https://doi.org/10.1212/01.wnl.0000194256.15247.83" TargetMode="External"/><Relationship Id="rId2877" Type="http://schemas.openxmlformats.org/officeDocument/2006/relationships/hyperlink" Target="https://doi.org/10.1111/jnp.12004" TargetMode="External"/><Relationship Id="rId5076" Type="http://schemas.openxmlformats.org/officeDocument/2006/relationships/hyperlink" Target="https://doi.org/10.5505/kpd.2018.28291" TargetMode="External"/><Relationship Id="rId5283" Type="http://schemas.openxmlformats.org/officeDocument/2006/relationships/hyperlink" Target="https://doi.org/10.1093/brain/awm093" TargetMode="External"/><Relationship Id="rId5490" Type="http://schemas.openxmlformats.org/officeDocument/2006/relationships/hyperlink" Target="https://doi.org/10.1080/09540121.2012.687813" TargetMode="External"/><Relationship Id="rId6127" Type="http://schemas.openxmlformats.org/officeDocument/2006/relationships/hyperlink" Target="https://doi.org/10.1016/j.jpsychires.2005.06.001" TargetMode="External"/><Relationship Id="rId6334" Type="http://schemas.openxmlformats.org/officeDocument/2006/relationships/hyperlink" Target="https://doi.org/10.1016/j.schres.2014.10.026" TargetMode="External"/><Relationship Id="rId6541" Type="http://schemas.openxmlformats.org/officeDocument/2006/relationships/hyperlink" Target="https://doi.org/10.1080/09084280903297826" TargetMode="External"/><Relationship Id="rId849" Type="http://schemas.openxmlformats.org/officeDocument/2006/relationships/hyperlink" Target="https://doi.org/10.1016/j.neuropsychologia.2011.07.014" TargetMode="External"/><Relationship Id="rId1479" Type="http://schemas.openxmlformats.org/officeDocument/2006/relationships/hyperlink" Target="https://doi.org/10.1016/S0006-3223(03)00701-7" TargetMode="External"/><Relationship Id="rId1686" Type="http://schemas.openxmlformats.org/officeDocument/2006/relationships/hyperlink" Target="https://doi.org/10.1016/j.neurobiolaging.2005.11.016" TargetMode="External"/><Relationship Id="rId3928" Type="http://schemas.openxmlformats.org/officeDocument/2006/relationships/hyperlink" Target="https://doi.org/10.1080/13554790600611288" TargetMode="External"/><Relationship Id="rId4092" Type="http://schemas.openxmlformats.org/officeDocument/2006/relationships/hyperlink" Target="https://doi.org/10.1080/17518420701688607" TargetMode="External"/><Relationship Id="rId5143" Type="http://schemas.openxmlformats.org/officeDocument/2006/relationships/hyperlink" Target="https://doi.org/10.1111/j.1743-6109.2010.02140.x" TargetMode="External"/><Relationship Id="rId5350" Type="http://schemas.openxmlformats.org/officeDocument/2006/relationships/hyperlink" Target="https://doi.org/10.1080/16506073.2017.1388276" TargetMode="External"/><Relationship Id="rId6401" Type="http://schemas.openxmlformats.org/officeDocument/2006/relationships/hyperlink" Target="https://doi.org/10.1016/j.jad.2018.05.051" TargetMode="External"/><Relationship Id="rId1339" Type="http://schemas.openxmlformats.org/officeDocument/2006/relationships/hyperlink" Target="https://doi.org/10.1590/S0102-79722013000100001" TargetMode="External"/><Relationship Id="rId1893" Type="http://schemas.openxmlformats.org/officeDocument/2006/relationships/hyperlink" Target="https://doi.org/10.3109/02699059309008180" TargetMode="External"/><Relationship Id="rId2737" Type="http://schemas.openxmlformats.org/officeDocument/2006/relationships/hyperlink" Target="https://doi.org/10.1176/ajp.152.5.722" TargetMode="External"/><Relationship Id="rId2944" Type="http://schemas.openxmlformats.org/officeDocument/2006/relationships/hyperlink" Target="https://doi.org/10.1111/ane.12211" TargetMode="External"/><Relationship Id="rId5003" Type="http://schemas.openxmlformats.org/officeDocument/2006/relationships/hyperlink" Target="https://doi.org/10.1002/hup.863" TargetMode="External"/><Relationship Id="rId5210" Type="http://schemas.openxmlformats.org/officeDocument/2006/relationships/hyperlink" Target="https://doi.org/10.1111/eip.12004" TargetMode="External"/><Relationship Id="rId709" Type="http://schemas.openxmlformats.org/officeDocument/2006/relationships/hyperlink" Target="https://doi.org/10.1080/13854040590947461" TargetMode="External"/><Relationship Id="rId916" Type="http://schemas.openxmlformats.org/officeDocument/2006/relationships/hyperlink" Target="https://doi.org/10.1093/schbul/sbt152" TargetMode="External"/><Relationship Id="rId1546" Type="http://schemas.openxmlformats.org/officeDocument/2006/relationships/hyperlink" Target="https://doi.org/10.1024/1016-264X.11.3.141" TargetMode="External"/><Relationship Id="rId1753" Type="http://schemas.openxmlformats.org/officeDocument/2006/relationships/hyperlink" Target="https://doi.org/10.2174/1567205014666171030112339" TargetMode="External"/><Relationship Id="rId1960" Type="http://schemas.openxmlformats.org/officeDocument/2006/relationships/hyperlink" Target="https://doi.org/10.1186/1471-244X-3-10" TargetMode="External"/><Relationship Id="rId2804" Type="http://schemas.openxmlformats.org/officeDocument/2006/relationships/hyperlink" Target="https://doi.org/10.1162/jocn.2011.21613" TargetMode="External"/><Relationship Id="rId45" Type="http://schemas.openxmlformats.org/officeDocument/2006/relationships/hyperlink" Target="https://doi.org/10.1016/j.bandc.2012.01.005" TargetMode="External"/><Relationship Id="rId1406" Type="http://schemas.openxmlformats.org/officeDocument/2006/relationships/hyperlink" Target="https://doi.org/10.1123/jsep.32.3.312" TargetMode="External"/><Relationship Id="rId1613" Type="http://schemas.openxmlformats.org/officeDocument/2006/relationships/hyperlink" Target="https://doi.org/10.1111/j.1600-0447.2005.00599.x" TargetMode="External"/><Relationship Id="rId1820" Type="http://schemas.openxmlformats.org/officeDocument/2006/relationships/hyperlink" Target="https://doi.org/10.1017/S1355617708080120" TargetMode="External"/><Relationship Id="rId4769" Type="http://schemas.openxmlformats.org/officeDocument/2006/relationships/hyperlink" Target="https://doi.org/10.1155/2018/9684129" TargetMode="External"/><Relationship Id="rId4976" Type="http://schemas.openxmlformats.org/officeDocument/2006/relationships/hyperlink" Target="https://doi.org/10.1016/j.schres.2007.05.024" TargetMode="External"/><Relationship Id="rId3578" Type="http://schemas.openxmlformats.org/officeDocument/2006/relationships/hyperlink" Target="https://doi.org/10.1111/j.1440-1819.2007.01730.x" TargetMode="External"/><Relationship Id="rId3785" Type="http://schemas.openxmlformats.org/officeDocument/2006/relationships/hyperlink" Target="https://doi.org/10.1038/npp.2010.193" TargetMode="External"/><Relationship Id="rId3992" Type="http://schemas.openxmlformats.org/officeDocument/2006/relationships/hyperlink" Target="https://doi.org/10.1007/978-1-4614-5269-0_5" TargetMode="External"/><Relationship Id="rId4629" Type="http://schemas.openxmlformats.org/officeDocument/2006/relationships/hyperlink" Target="https://doi.org/10.1080/13803390500434425" TargetMode="External"/><Relationship Id="rId4836" Type="http://schemas.openxmlformats.org/officeDocument/2006/relationships/hyperlink" Target="https://doi.org/10.1017/S0033291712000451" TargetMode="External"/><Relationship Id="rId6191" Type="http://schemas.openxmlformats.org/officeDocument/2006/relationships/hyperlink" Target="https://doi.org/10.1001/jama.2008.929" TargetMode="External"/><Relationship Id="rId499" Type="http://schemas.openxmlformats.org/officeDocument/2006/relationships/hyperlink" Target="https://doi.org/10.4088/JCP.09m05420pur" TargetMode="External"/><Relationship Id="rId2387" Type="http://schemas.openxmlformats.org/officeDocument/2006/relationships/hyperlink" Target="https://doi.org/10.1016/j.psychres.2018.12.017" TargetMode="External"/><Relationship Id="rId2594" Type="http://schemas.openxmlformats.org/officeDocument/2006/relationships/hyperlink" Target="https://doi.org/10.1177/02698811030173012" TargetMode="External"/><Relationship Id="rId3438" Type="http://schemas.openxmlformats.org/officeDocument/2006/relationships/hyperlink" Target="https://doi.org/10.1080/02699931.2011.574997" TargetMode="External"/><Relationship Id="rId3645" Type="http://schemas.openxmlformats.org/officeDocument/2006/relationships/hyperlink" Target="https://doi.org/10.1027/1618-3169/a000395" TargetMode="External"/><Relationship Id="rId3852" Type="http://schemas.openxmlformats.org/officeDocument/2006/relationships/hyperlink" Target="https://doi.org/10.1176/appi.neuropsych.13060139" TargetMode="External"/><Relationship Id="rId6051" Type="http://schemas.openxmlformats.org/officeDocument/2006/relationships/hyperlink" Target="https://doi.org/10.1080/13803390903401302" TargetMode="External"/><Relationship Id="rId359" Type="http://schemas.openxmlformats.org/officeDocument/2006/relationships/hyperlink" Target="https://doi.org/10.1093/arclin/acx101" TargetMode="External"/><Relationship Id="rId566" Type="http://schemas.openxmlformats.org/officeDocument/2006/relationships/hyperlink" Target="https://doi.org/10.1097/DBP.0b013e31825417bb" TargetMode="External"/><Relationship Id="rId773" Type="http://schemas.openxmlformats.org/officeDocument/2006/relationships/hyperlink" Target="https://doi.org/10.1007/s00221-007-1027-8" TargetMode="External"/><Relationship Id="rId1196" Type="http://schemas.openxmlformats.org/officeDocument/2006/relationships/hyperlink" Target="https://doi.org/10.1300/J146v13n02_04" TargetMode="External"/><Relationship Id="rId2247" Type="http://schemas.openxmlformats.org/officeDocument/2006/relationships/hyperlink" Target="https://doi.org/10.1037/cep0000240" TargetMode="External"/><Relationship Id="rId2454" Type="http://schemas.openxmlformats.org/officeDocument/2006/relationships/hyperlink" Target="https://doi.org/10.1037/pas0000147" TargetMode="External"/><Relationship Id="rId3505" Type="http://schemas.openxmlformats.org/officeDocument/2006/relationships/hyperlink" Target="https://doi.org/10.1111/bjc.12104" TargetMode="External"/><Relationship Id="rId4903" Type="http://schemas.openxmlformats.org/officeDocument/2006/relationships/hyperlink" Target="https://doi.org/10.1080/15487760801963694" TargetMode="External"/><Relationship Id="rId219" Type="http://schemas.openxmlformats.org/officeDocument/2006/relationships/hyperlink" Target="https://doi.org/10.1080/13854040701218436" TargetMode="External"/><Relationship Id="rId426" Type="http://schemas.openxmlformats.org/officeDocument/2006/relationships/hyperlink" Target="https://doi.org/10.1176/appi.ajp.161.2.364" TargetMode="External"/><Relationship Id="rId633" Type="http://schemas.openxmlformats.org/officeDocument/2006/relationships/hyperlink" Target="https://doi.org/10.1016/j.neuropsychologia.2016.11.015" TargetMode="External"/><Relationship Id="rId980" Type="http://schemas.openxmlformats.org/officeDocument/2006/relationships/hyperlink" Target="https://doi.org/10.1016/j.actpsy.2003.12.008" TargetMode="External"/><Relationship Id="rId1056" Type="http://schemas.openxmlformats.org/officeDocument/2006/relationships/hyperlink" Target="https://doi.org/10.1136/jnnp-2011-302035" TargetMode="External"/><Relationship Id="rId1263" Type="http://schemas.openxmlformats.org/officeDocument/2006/relationships/hyperlink" Target="https://doi.org/10.1007/978-94-007-7954-9" TargetMode="External"/><Relationship Id="rId2107" Type="http://schemas.openxmlformats.org/officeDocument/2006/relationships/hyperlink" Target="https://doi.org/10.1001/archpsyc.64.10.1115" TargetMode="External"/><Relationship Id="rId2314" Type="http://schemas.openxmlformats.org/officeDocument/2006/relationships/hyperlink" Target="https://doi.org/10.1177/1087054716676364" TargetMode="External"/><Relationship Id="rId2661" Type="http://schemas.openxmlformats.org/officeDocument/2006/relationships/hyperlink" Target="https://doi.org/10.1111/j.1755-5949.2009.00090.x" TargetMode="External"/><Relationship Id="rId3712" Type="http://schemas.openxmlformats.org/officeDocument/2006/relationships/hyperlink" Target="https://doi.org/10.1016/j.jpsychires.2014.12.016" TargetMode="External"/><Relationship Id="rId840" Type="http://schemas.openxmlformats.org/officeDocument/2006/relationships/hyperlink" Target="https://doi.org/10.1212/WNL.0000000000002242" TargetMode="External"/><Relationship Id="rId1470" Type="http://schemas.openxmlformats.org/officeDocument/2006/relationships/hyperlink" Target="https://doi.org/10.1111/j.1399-5618.2009.00784.x" TargetMode="External"/><Relationship Id="rId2521" Type="http://schemas.openxmlformats.org/officeDocument/2006/relationships/hyperlink" Target="https://doi.org/10.1155/2008/635187" TargetMode="External"/><Relationship Id="rId4279" Type="http://schemas.openxmlformats.org/officeDocument/2006/relationships/hyperlink" Target="https://doi.org/10.2174/1874350101609010121" TargetMode="External"/><Relationship Id="rId5677" Type="http://schemas.openxmlformats.org/officeDocument/2006/relationships/hyperlink" Target="https://doi.org/10.1523/JNEUROSCI.3446-08.2008" TargetMode="External"/><Relationship Id="rId5884" Type="http://schemas.openxmlformats.org/officeDocument/2006/relationships/hyperlink" Target="https://doi.org/10.1080/13854046.2016.1162329" TargetMode="External"/><Relationship Id="rId700" Type="http://schemas.openxmlformats.org/officeDocument/2006/relationships/hyperlink" Target="https://doi.org/10.1007/s10072-011-0915-7" TargetMode="External"/><Relationship Id="rId1123" Type="http://schemas.openxmlformats.org/officeDocument/2006/relationships/hyperlink" Target="https://doi.org/10.1097/JNN.0000000000000147" TargetMode="External"/><Relationship Id="rId1330" Type="http://schemas.openxmlformats.org/officeDocument/2006/relationships/hyperlink" Target="https://doi.org/10.1016/S1077-7229(05)80074-4" TargetMode="External"/><Relationship Id="rId3088" Type="http://schemas.openxmlformats.org/officeDocument/2006/relationships/hyperlink" Target="https://doi.org/10.1037/0882-7974.9.4.491" TargetMode="External"/><Relationship Id="rId4486" Type="http://schemas.openxmlformats.org/officeDocument/2006/relationships/hyperlink" Target="https://doi.org/10.5127/jep.023811" TargetMode="External"/><Relationship Id="rId4693" Type="http://schemas.openxmlformats.org/officeDocument/2006/relationships/hyperlink" Target="https://doi.org/10.1093/schbul/sby076" TargetMode="External"/><Relationship Id="rId5537" Type="http://schemas.openxmlformats.org/officeDocument/2006/relationships/hyperlink" Target="https://doi.org/10.1016/j.bandc.2010.10.015" TargetMode="External"/><Relationship Id="rId5744" Type="http://schemas.openxmlformats.org/officeDocument/2006/relationships/hyperlink" Target="https://doi.org/10.1037/neu0000354" TargetMode="External"/><Relationship Id="rId5951" Type="http://schemas.openxmlformats.org/officeDocument/2006/relationships/hyperlink" Target="https://doi.org/10.1016/j.neubiorev.2012.11.008" TargetMode="External"/><Relationship Id="rId3295" Type="http://schemas.openxmlformats.org/officeDocument/2006/relationships/hyperlink" Target="https://doi.org/10.1521/pedi.18.5.421.51323" TargetMode="External"/><Relationship Id="rId4139" Type="http://schemas.openxmlformats.org/officeDocument/2006/relationships/hyperlink" Target="https://doi.org/10.3109/02699052.2011.558040" TargetMode="External"/><Relationship Id="rId4346" Type="http://schemas.openxmlformats.org/officeDocument/2006/relationships/hyperlink" Target="https://doi.org/10.1016/j.jad.2019.04.099" TargetMode="External"/><Relationship Id="rId4553" Type="http://schemas.openxmlformats.org/officeDocument/2006/relationships/hyperlink" Target="https://doi.org/10.1300/J465v28n01_04" TargetMode="External"/><Relationship Id="rId4760" Type="http://schemas.openxmlformats.org/officeDocument/2006/relationships/hyperlink" Target="https://doi.org/10.1017/S1355617711001883" TargetMode="External"/><Relationship Id="rId5604" Type="http://schemas.openxmlformats.org/officeDocument/2006/relationships/hyperlink" Target="https://doi.org/10.1007/s11065-011-9183-9" TargetMode="External"/><Relationship Id="rId5811" Type="http://schemas.openxmlformats.org/officeDocument/2006/relationships/hyperlink" Target="https://doi.org/10.1016/j.psychres.2010.08.007" TargetMode="External"/><Relationship Id="rId3155" Type="http://schemas.openxmlformats.org/officeDocument/2006/relationships/hyperlink" Target="https://doi.org/10.2147/nedt.1.2.89.61042" TargetMode="External"/><Relationship Id="rId3362" Type="http://schemas.openxmlformats.org/officeDocument/2006/relationships/hyperlink" Target="https://doi.org/10.1159/000072880" TargetMode="External"/><Relationship Id="rId4206" Type="http://schemas.openxmlformats.org/officeDocument/2006/relationships/hyperlink" Target="https://doi.org/10.1080/09638280902846947" TargetMode="External"/><Relationship Id="rId4413" Type="http://schemas.openxmlformats.org/officeDocument/2006/relationships/hyperlink" Target="https://doi.org/10.1007/s12311-014-0553-8" TargetMode="External"/><Relationship Id="rId4620" Type="http://schemas.openxmlformats.org/officeDocument/2006/relationships/hyperlink" Target="https://doi.org/10.1037/14048-009" TargetMode="External"/><Relationship Id="rId283" Type="http://schemas.openxmlformats.org/officeDocument/2006/relationships/hyperlink" Target="https://doi.org/10.1590/S1980-57642009DN20400022" TargetMode="External"/><Relationship Id="rId490" Type="http://schemas.openxmlformats.org/officeDocument/2006/relationships/hyperlink" Target="https://doi.org/10.1097/NMD.0b013e3181e4c5ba" TargetMode="External"/><Relationship Id="rId2171" Type="http://schemas.openxmlformats.org/officeDocument/2006/relationships/hyperlink" Target="https://doi.org/10.1016/j.jad.2016.10.012" TargetMode="External"/><Relationship Id="rId3015" Type="http://schemas.openxmlformats.org/officeDocument/2006/relationships/hyperlink" Target="https://doi.org/10.1016/j.parkreldis.2010.04.011" TargetMode="External"/><Relationship Id="rId3222" Type="http://schemas.openxmlformats.org/officeDocument/2006/relationships/hyperlink" Target="https://doi.org/10.1080/13803390500473746" TargetMode="External"/><Relationship Id="rId6378" Type="http://schemas.openxmlformats.org/officeDocument/2006/relationships/hyperlink" Target="https://doi.org/10.1016/j.psyneuen.2019.06.006" TargetMode="External"/><Relationship Id="rId143" Type="http://schemas.openxmlformats.org/officeDocument/2006/relationships/hyperlink" Target="https://doi.org/10.1080/09602011.2011.639609" TargetMode="External"/><Relationship Id="rId350" Type="http://schemas.openxmlformats.org/officeDocument/2006/relationships/hyperlink" Target="https://doi.org/10.1037/neu0000712" TargetMode="External"/><Relationship Id="rId2031" Type="http://schemas.openxmlformats.org/officeDocument/2006/relationships/hyperlink" Target="https://doi.org/10.1016/j.ajp.2019.02.009" TargetMode="External"/><Relationship Id="rId5187" Type="http://schemas.openxmlformats.org/officeDocument/2006/relationships/hyperlink" Target="https://doi.org/10.1017/S0033291709992078" TargetMode="External"/><Relationship Id="rId5394" Type="http://schemas.openxmlformats.org/officeDocument/2006/relationships/hyperlink" Target="https://doi.org/10.1162/jocn_a_01011" TargetMode="External"/><Relationship Id="rId6238" Type="http://schemas.openxmlformats.org/officeDocument/2006/relationships/hyperlink" Target="https://doi.org/10.1080/14999013.2012.688091" TargetMode="External"/><Relationship Id="rId6445" Type="http://schemas.openxmlformats.org/officeDocument/2006/relationships/hyperlink" Target="https://doi.org/10.1177/0306624X11417361" TargetMode="External"/><Relationship Id="rId9" Type="http://schemas.openxmlformats.org/officeDocument/2006/relationships/hyperlink" Target="https://doi.org/10.1016/j.psychres.2014.06.024" TargetMode="External"/><Relationship Id="rId210" Type="http://schemas.openxmlformats.org/officeDocument/2006/relationships/hyperlink" Target="https://doi.org/10.1212/WNL.44.3_Part_1.420" TargetMode="External"/><Relationship Id="rId2988" Type="http://schemas.openxmlformats.org/officeDocument/2006/relationships/hyperlink" Target="https://doi.org/10.1017/S1461145713000151" TargetMode="External"/><Relationship Id="rId5047" Type="http://schemas.openxmlformats.org/officeDocument/2006/relationships/hyperlink" Target="https://doi.org/10.1590/S1516-44462009000100003" TargetMode="External"/><Relationship Id="rId5254" Type="http://schemas.openxmlformats.org/officeDocument/2006/relationships/hyperlink" Target="https://doi.org/10.1016/j.psychres.2018.08.080" TargetMode="External"/><Relationship Id="rId1797" Type="http://schemas.openxmlformats.org/officeDocument/2006/relationships/hyperlink" Target="https://doi.org/10.1590/1980-57642015DN92000011" TargetMode="External"/><Relationship Id="rId2848" Type="http://schemas.openxmlformats.org/officeDocument/2006/relationships/hyperlink" Target="https://doi.org/10.1016/j.ajp.2020.101997" TargetMode="External"/><Relationship Id="rId5461" Type="http://schemas.openxmlformats.org/officeDocument/2006/relationships/hyperlink" Target="https://doi.org/10.1097/HTR.0000000000000189" TargetMode="External"/><Relationship Id="rId6305" Type="http://schemas.openxmlformats.org/officeDocument/2006/relationships/hyperlink" Target="https://doi.org/10.1016/j.schres.2010.09.011" TargetMode="External"/><Relationship Id="rId6512" Type="http://schemas.openxmlformats.org/officeDocument/2006/relationships/hyperlink" Target="https://doi.org/10.1111/ppc.12027" TargetMode="External"/><Relationship Id="rId89" Type="http://schemas.openxmlformats.org/officeDocument/2006/relationships/hyperlink" Target="https://doi.org/10.1097/WNR.0b013e328013ceda" TargetMode="External"/><Relationship Id="rId1657" Type="http://schemas.openxmlformats.org/officeDocument/2006/relationships/hyperlink" Target="https://doi.org/10.1007/s13365-014-0275-1" TargetMode="External"/><Relationship Id="rId1864" Type="http://schemas.openxmlformats.org/officeDocument/2006/relationships/hyperlink" Target="https://doi.org/10.1016/j.jad.2010.10.048" TargetMode="External"/><Relationship Id="rId2708" Type="http://schemas.openxmlformats.org/officeDocument/2006/relationships/hyperlink" Target="https://doi.org/10.1080/13825585.2011.652590" TargetMode="External"/><Relationship Id="rId2915" Type="http://schemas.openxmlformats.org/officeDocument/2006/relationships/hyperlink" Target="https://doi.org/10.1093/brain/awh598" TargetMode="External"/><Relationship Id="rId4063" Type="http://schemas.openxmlformats.org/officeDocument/2006/relationships/hyperlink" Target="https://doi.org/10.1371/journal.pone.0196329" TargetMode="External"/><Relationship Id="rId4270" Type="http://schemas.openxmlformats.org/officeDocument/2006/relationships/hyperlink" Target="https://doi.org/10.1080/13854046.2015.1122085" TargetMode="External"/><Relationship Id="rId5114" Type="http://schemas.openxmlformats.org/officeDocument/2006/relationships/hyperlink" Target="https://doi.org/10.1111/j.1365-2788.2010.01370.x" TargetMode="External"/><Relationship Id="rId5321" Type="http://schemas.openxmlformats.org/officeDocument/2006/relationships/hyperlink" Target="https://doi.org/10.1016/j.psychres.2013.08.030" TargetMode="External"/><Relationship Id="rId1517" Type="http://schemas.openxmlformats.org/officeDocument/2006/relationships/hyperlink" Target="https://doi.org/10.1017/S1041610216000314" TargetMode="External"/><Relationship Id="rId1724" Type="http://schemas.openxmlformats.org/officeDocument/2006/relationships/hyperlink" Target="https://doi.org/10.1007/s00213-005-0268-0" TargetMode="External"/><Relationship Id="rId4130" Type="http://schemas.openxmlformats.org/officeDocument/2006/relationships/hyperlink" Target="https://doi.org/10.1016/j.schres.2007.09.001" TargetMode="External"/><Relationship Id="rId16" Type="http://schemas.openxmlformats.org/officeDocument/2006/relationships/hyperlink" Target="https://doi.org/10.1016/j.neuropsychologia.2007.06.003" TargetMode="External"/><Relationship Id="rId1931" Type="http://schemas.openxmlformats.org/officeDocument/2006/relationships/hyperlink" Target="https://doi.org/10.1080/14789949.2013.776617" TargetMode="External"/><Relationship Id="rId3689" Type="http://schemas.openxmlformats.org/officeDocument/2006/relationships/hyperlink" Target="https://doi.org/10.1016/j.acn.2008.03.006" TargetMode="External"/><Relationship Id="rId3896" Type="http://schemas.openxmlformats.org/officeDocument/2006/relationships/hyperlink" Target="https://doi.org/10.1155/2007/534982" TargetMode="External"/><Relationship Id="rId6095" Type="http://schemas.openxmlformats.org/officeDocument/2006/relationships/hyperlink" Target="https://doi.org/10.1002/ana.10517" TargetMode="External"/><Relationship Id="rId2498" Type="http://schemas.openxmlformats.org/officeDocument/2006/relationships/hyperlink" Target="https://doi.org/10.1080/10926488.2012.638814" TargetMode="External"/><Relationship Id="rId3549" Type="http://schemas.openxmlformats.org/officeDocument/2006/relationships/hyperlink" Target="https://doi.org/10.1016/S0920-9964(03)00195-6" TargetMode="External"/><Relationship Id="rId4947" Type="http://schemas.openxmlformats.org/officeDocument/2006/relationships/hyperlink" Target="https://doi.org/10.1177/1039856214546535" TargetMode="External"/><Relationship Id="rId6162" Type="http://schemas.openxmlformats.org/officeDocument/2006/relationships/hyperlink" Target="https://doi.org/10.1016/j.psychres.2006.09.007" TargetMode="External"/><Relationship Id="rId677" Type="http://schemas.openxmlformats.org/officeDocument/2006/relationships/hyperlink" Target="https://doi.org/10.1590/S1980-57642014DN82000011" TargetMode="External"/><Relationship Id="rId2358" Type="http://schemas.openxmlformats.org/officeDocument/2006/relationships/hyperlink" Target="https://doi.org/10.1007/s00213-006-0432-1" TargetMode="External"/><Relationship Id="rId3756" Type="http://schemas.openxmlformats.org/officeDocument/2006/relationships/hyperlink" Target="https://doi.org/10.1080/13803395.2010.493146" TargetMode="External"/><Relationship Id="rId3963" Type="http://schemas.openxmlformats.org/officeDocument/2006/relationships/hyperlink" Target="https://doi.org/10.1016/S0028-3932(03)00114-3" TargetMode="External"/><Relationship Id="rId4807" Type="http://schemas.openxmlformats.org/officeDocument/2006/relationships/hyperlink" Target="https://doi.org/10.1016/j.neurobiolaging.2012.08.007" TargetMode="External"/><Relationship Id="rId6022" Type="http://schemas.openxmlformats.org/officeDocument/2006/relationships/hyperlink" Target="https://doi.org/10.1016/j.jad.2008.11.005" TargetMode="External"/><Relationship Id="rId884" Type="http://schemas.openxmlformats.org/officeDocument/2006/relationships/hyperlink" Target="https://doi.org/10.1212/WNL.0b013e3182167147" TargetMode="External"/><Relationship Id="rId2565" Type="http://schemas.openxmlformats.org/officeDocument/2006/relationships/hyperlink" Target="https://doi.org/10.1080/13825585.2017.1409333" TargetMode="External"/><Relationship Id="rId2772" Type="http://schemas.openxmlformats.org/officeDocument/2006/relationships/hyperlink" Target="https://doi.org/10.1001/archpsyc.62.7.742" TargetMode="External"/><Relationship Id="rId3409" Type="http://schemas.openxmlformats.org/officeDocument/2006/relationships/hyperlink" Target="https://doi.org/10.1097/NMD.0000000000000077" TargetMode="External"/><Relationship Id="rId3616" Type="http://schemas.openxmlformats.org/officeDocument/2006/relationships/hyperlink" Target="https://doi.org/10.1016/j.neurobiolaging.2007.08.024" TargetMode="External"/><Relationship Id="rId3823" Type="http://schemas.openxmlformats.org/officeDocument/2006/relationships/hyperlink" Target="https://doi.org/10.1016/j.cortex.2019.08.013" TargetMode="External"/><Relationship Id="rId537" Type="http://schemas.openxmlformats.org/officeDocument/2006/relationships/hyperlink" Target="https://doi.org/10.1097/HTR.0b013e3182864f0b" TargetMode="External"/><Relationship Id="rId744" Type="http://schemas.openxmlformats.org/officeDocument/2006/relationships/hyperlink" Target="https://doi.org/10.1037/0090-5550.49.2.114" TargetMode="External"/><Relationship Id="rId951" Type="http://schemas.openxmlformats.org/officeDocument/2006/relationships/hyperlink" Target="https://doi.org/10.1016/j.psychres.2010.06.016" TargetMode="External"/><Relationship Id="rId1167" Type="http://schemas.openxmlformats.org/officeDocument/2006/relationships/hyperlink" Target="https://doi.org/10.1371/journal.pone.0033824" TargetMode="External"/><Relationship Id="rId1374" Type="http://schemas.openxmlformats.org/officeDocument/2006/relationships/hyperlink" Target="https://doi.org/10.1076/neur.7.5.383.16244" TargetMode="External"/><Relationship Id="rId1581" Type="http://schemas.openxmlformats.org/officeDocument/2006/relationships/hyperlink" Target="https://doi.org/10.1093/med:psych/9780199777587.003.0014" TargetMode="External"/><Relationship Id="rId2218" Type="http://schemas.openxmlformats.org/officeDocument/2006/relationships/hyperlink" Target="https://doi.org/10.1007/978-1-4939-0784-7_2" TargetMode="External"/><Relationship Id="rId2425" Type="http://schemas.openxmlformats.org/officeDocument/2006/relationships/hyperlink" Target="https://doi.org/10.1016/j.addbeh.2010.01.013" TargetMode="External"/><Relationship Id="rId2632" Type="http://schemas.openxmlformats.org/officeDocument/2006/relationships/hyperlink" Target="https://doi.org/10.3758/s13415-011-0045-y" TargetMode="External"/><Relationship Id="rId5788" Type="http://schemas.openxmlformats.org/officeDocument/2006/relationships/hyperlink" Target="https://doi.org/10.1016/S0925-4927(98)00003-1" TargetMode="External"/><Relationship Id="rId5995" Type="http://schemas.openxmlformats.org/officeDocument/2006/relationships/hyperlink" Target="https://doi.org/10.1080/13546805.2012.690938" TargetMode="External"/><Relationship Id="rId80" Type="http://schemas.openxmlformats.org/officeDocument/2006/relationships/hyperlink" Target="https://doi.org/10.1371/journal.pone.0216858" TargetMode="External"/><Relationship Id="rId604" Type="http://schemas.openxmlformats.org/officeDocument/2006/relationships/hyperlink" Target="https://doi.org/10.1017/S1355617714000897" TargetMode="External"/><Relationship Id="rId811" Type="http://schemas.openxmlformats.org/officeDocument/2006/relationships/hyperlink" Target="https://doi.org/10.1111/j.1528-1167.2007.01088.x" TargetMode="External"/><Relationship Id="rId1027" Type="http://schemas.openxmlformats.org/officeDocument/2006/relationships/hyperlink" Target="https://doi.org/10.1002/hup.958" TargetMode="External"/><Relationship Id="rId1234" Type="http://schemas.openxmlformats.org/officeDocument/2006/relationships/hyperlink" Target="https://doi.org/10.1111/j.1600-0404.2010.01338.x" TargetMode="External"/><Relationship Id="rId1441" Type="http://schemas.openxmlformats.org/officeDocument/2006/relationships/hyperlink" Target="https://doi.org/10.1016/j.jad.2006.11.022" TargetMode="External"/><Relationship Id="rId4597" Type="http://schemas.openxmlformats.org/officeDocument/2006/relationships/hyperlink" Target="https://doi.org/10.1016/j.schres.2005.02.014" TargetMode="External"/><Relationship Id="rId5648" Type="http://schemas.openxmlformats.org/officeDocument/2006/relationships/hyperlink" Target="https://doi.org/10.1136/jnnp.2009.180315" TargetMode="External"/><Relationship Id="rId5855" Type="http://schemas.openxmlformats.org/officeDocument/2006/relationships/hyperlink" Target="https://doi.org/10.1016/j.jad.2013.09.012" TargetMode="External"/><Relationship Id="rId1301" Type="http://schemas.openxmlformats.org/officeDocument/2006/relationships/hyperlink" Target="https://doi.org/10.1016/j.neuroimage.2016.03.047" TargetMode="External"/><Relationship Id="rId3199" Type="http://schemas.openxmlformats.org/officeDocument/2006/relationships/hyperlink" Target="https://doi.org/10.1016/j.dcn.2017.08.008" TargetMode="External"/><Relationship Id="rId4457" Type="http://schemas.openxmlformats.org/officeDocument/2006/relationships/hyperlink" Target="https://doi.org/10.1080/21622965.2013.827573" TargetMode="External"/><Relationship Id="rId4664" Type="http://schemas.openxmlformats.org/officeDocument/2006/relationships/hyperlink" Target="https://doi.org/10.1590/S0004-282X2004000100009" TargetMode="External"/><Relationship Id="rId5508" Type="http://schemas.openxmlformats.org/officeDocument/2006/relationships/hyperlink" Target="https://doi.org/10.1016/j.paid.2006.12.011" TargetMode="External"/><Relationship Id="rId5715" Type="http://schemas.openxmlformats.org/officeDocument/2006/relationships/hyperlink" Target="https://doi.org/10.5014/ajot.58.3.324" TargetMode="External"/><Relationship Id="rId3059" Type="http://schemas.openxmlformats.org/officeDocument/2006/relationships/hyperlink" Target="https://doi.org/10.1093/schbul/sbj035" TargetMode="External"/><Relationship Id="rId3266" Type="http://schemas.openxmlformats.org/officeDocument/2006/relationships/hyperlink" Target="https://doi.org/10.1016/j.psyneuen.2013.09.019" TargetMode="External"/><Relationship Id="rId3473" Type="http://schemas.openxmlformats.org/officeDocument/2006/relationships/hyperlink" Target="https://doi.org/10.1016/j.jad.2020.03.140" TargetMode="External"/><Relationship Id="rId4317" Type="http://schemas.openxmlformats.org/officeDocument/2006/relationships/hyperlink" Target="https://doi.org/10.1016/j.brainresbull.2010.04.013" TargetMode="External"/><Relationship Id="rId4524" Type="http://schemas.openxmlformats.org/officeDocument/2006/relationships/hyperlink" Target="https://doi.org/10.1016/j.parkreldis.2014.03.010" TargetMode="External"/><Relationship Id="rId4871" Type="http://schemas.openxmlformats.org/officeDocument/2006/relationships/hyperlink" Target="https://doi.org/10.1037/0096-3445.136.3.451" TargetMode="External"/><Relationship Id="rId5922" Type="http://schemas.openxmlformats.org/officeDocument/2006/relationships/hyperlink" Target="https://doi.org/10.1002/ajmg.b.30463" TargetMode="External"/><Relationship Id="rId187" Type="http://schemas.openxmlformats.org/officeDocument/2006/relationships/hyperlink" Target="https://doi.org/10.1080/13554794.2011.633528" TargetMode="External"/><Relationship Id="rId394" Type="http://schemas.openxmlformats.org/officeDocument/2006/relationships/hyperlink" Target="https://doi.org/10.1017/S135561770410708X" TargetMode="External"/><Relationship Id="rId2075" Type="http://schemas.openxmlformats.org/officeDocument/2006/relationships/hyperlink" Target="https://doi.org/10.1007/s00127-011-0367-7" TargetMode="External"/><Relationship Id="rId2282" Type="http://schemas.openxmlformats.org/officeDocument/2006/relationships/hyperlink" Target="https://doi.org/10.3389/fnhum.2012.00351" TargetMode="External"/><Relationship Id="rId3126" Type="http://schemas.openxmlformats.org/officeDocument/2006/relationships/hyperlink" Target="https://doi.org/10.1017/S1352465813000428" TargetMode="External"/><Relationship Id="rId3680" Type="http://schemas.openxmlformats.org/officeDocument/2006/relationships/hyperlink" Target="https://doi.org/10.1097/chi.0b013e31814cf953" TargetMode="External"/><Relationship Id="rId4731" Type="http://schemas.openxmlformats.org/officeDocument/2006/relationships/hyperlink" Target="https://doi.org/10.1177/1525740118794399" TargetMode="External"/><Relationship Id="rId6489" Type="http://schemas.openxmlformats.org/officeDocument/2006/relationships/hyperlink" Target="https://doi.org/10.1023/A:1015704827984" TargetMode="External"/><Relationship Id="rId254" Type="http://schemas.openxmlformats.org/officeDocument/2006/relationships/hyperlink" Target="https://doi.org/10.1080/19315864.2011.615460" TargetMode="External"/><Relationship Id="rId1091" Type="http://schemas.openxmlformats.org/officeDocument/2006/relationships/hyperlink" Target="https://doi.org/10.1097/JCP.0b013e318272d10c" TargetMode="External"/><Relationship Id="rId3333" Type="http://schemas.openxmlformats.org/officeDocument/2006/relationships/hyperlink" Target="https://doi.org/10.1159/000109570" TargetMode="External"/><Relationship Id="rId3540" Type="http://schemas.openxmlformats.org/officeDocument/2006/relationships/hyperlink" Target="https://doi.org/10.1016/j.psychres.2014.05.004" TargetMode="External"/><Relationship Id="rId5298" Type="http://schemas.openxmlformats.org/officeDocument/2006/relationships/hyperlink" Target="https://doi.org/10.1007/s10897-010-9309-x" TargetMode="External"/><Relationship Id="rId114" Type="http://schemas.openxmlformats.org/officeDocument/2006/relationships/hyperlink" Target="https://doi.org/10.1017/S1355617709090377" TargetMode="External"/><Relationship Id="rId461" Type="http://schemas.openxmlformats.org/officeDocument/2006/relationships/hyperlink" Target="https://doi.org/10.1016/0887-6177(95)00025-9" TargetMode="External"/><Relationship Id="rId2142" Type="http://schemas.openxmlformats.org/officeDocument/2006/relationships/hyperlink" Target="https://doi.org/10.4321/S0213-61632013000400005" TargetMode="External"/><Relationship Id="rId3400" Type="http://schemas.openxmlformats.org/officeDocument/2006/relationships/hyperlink" Target="https://doi.org/10.1111/j.1601-183X.2009.00523.x" TargetMode="External"/><Relationship Id="rId6349" Type="http://schemas.openxmlformats.org/officeDocument/2006/relationships/hyperlink" Target="https://doi.org/10.1037/a0036033" TargetMode="External"/><Relationship Id="rId321" Type="http://schemas.openxmlformats.org/officeDocument/2006/relationships/hyperlink" Target="https://doi.org/10.1017/S0012162203001518" TargetMode="External"/><Relationship Id="rId2002" Type="http://schemas.openxmlformats.org/officeDocument/2006/relationships/hyperlink" Target="https://doi.org/10.1521/jscp.2011.30.6.616" TargetMode="External"/><Relationship Id="rId2959" Type="http://schemas.openxmlformats.org/officeDocument/2006/relationships/hyperlink" Target="https://doi.org/10.1017/S1461145705005699" TargetMode="External"/><Relationship Id="rId5158" Type="http://schemas.openxmlformats.org/officeDocument/2006/relationships/hyperlink" Target="https://doi.org/10.1093/brain/awh711" TargetMode="External"/><Relationship Id="rId5365" Type="http://schemas.openxmlformats.org/officeDocument/2006/relationships/hyperlink" Target="https://doi.org/10.1159/000170392" TargetMode="External"/><Relationship Id="rId5572" Type="http://schemas.openxmlformats.org/officeDocument/2006/relationships/hyperlink" Target="https://doi.org/10.1016/S0920-9964(97)00090-X" TargetMode="External"/><Relationship Id="rId6209" Type="http://schemas.openxmlformats.org/officeDocument/2006/relationships/hyperlink" Target="https://doi.org/10.1007/s00213-007-0940-7" TargetMode="External"/><Relationship Id="rId6416" Type="http://schemas.openxmlformats.org/officeDocument/2006/relationships/hyperlink" Target="https://doi.org/10.1080/13803395.2014.992864" TargetMode="External"/><Relationship Id="rId1768" Type="http://schemas.openxmlformats.org/officeDocument/2006/relationships/hyperlink" Target="https://doi.org/10.1093/braincomms/fcaa079" TargetMode="External"/><Relationship Id="rId2819" Type="http://schemas.openxmlformats.org/officeDocument/2006/relationships/hyperlink" Target="https://doi.org/10.1016/j.psychres.2008.05.013" TargetMode="External"/><Relationship Id="rId4174" Type="http://schemas.openxmlformats.org/officeDocument/2006/relationships/hyperlink" Target="https://doi.org/10.1002/ejp.991" TargetMode="External"/><Relationship Id="rId4381" Type="http://schemas.openxmlformats.org/officeDocument/2006/relationships/hyperlink" Target="https://doi.org/10.1080/13803390600672163" TargetMode="External"/><Relationship Id="rId5018" Type="http://schemas.openxmlformats.org/officeDocument/2006/relationships/hyperlink" Target="https://doi.org/10.1111/j.1440-1819.2005.01382.x" TargetMode="External"/><Relationship Id="rId5225" Type="http://schemas.openxmlformats.org/officeDocument/2006/relationships/hyperlink" Target="https://doi.org/10.1016/j.cortex.2019.10.013" TargetMode="External"/><Relationship Id="rId5432" Type="http://schemas.openxmlformats.org/officeDocument/2006/relationships/hyperlink" Target="https://doi.org/10.1111/acps.12073" TargetMode="External"/><Relationship Id="rId1628" Type="http://schemas.openxmlformats.org/officeDocument/2006/relationships/hyperlink" Target="https://doi.org/10.1016/j.bandc.2012.06.004" TargetMode="External"/><Relationship Id="rId1975" Type="http://schemas.openxmlformats.org/officeDocument/2006/relationships/hyperlink" Target="https://doi.org/10.1016/S0920-9964(02)00377-8" TargetMode="External"/><Relationship Id="rId3190" Type="http://schemas.openxmlformats.org/officeDocument/2006/relationships/hyperlink" Target="https://doi.org/10.3109/15622975.2015.1112035" TargetMode="External"/><Relationship Id="rId4034" Type="http://schemas.openxmlformats.org/officeDocument/2006/relationships/hyperlink" Target="https://doi.org/10.1111/j.1600-0447.2010.01667.x" TargetMode="External"/><Relationship Id="rId4241" Type="http://schemas.openxmlformats.org/officeDocument/2006/relationships/hyperlink" Target="https://doi.org/10.1093/schbul/sbu171" TargetMode="External"/><Relationship Id="rId1835" Type="http://schemas.openxmlformats.org/officeDocument/2006/relationships/hyperlink" Target="https://doi.org/10.1111/j.1440-1614.2004.01403.x" TargetMode="External"/><Relationship Id="rId3050" Type="http://schemas.openxmlformats.org/officeDocument/2006/relationships/hyperlink" Target="https://doi.org/10.1017/S0033291705004575" TargetMode="External"/><Relationship Id="rId4101" Type="http://schemas.openxmlformats.org/officeDocument/2006/relationships/hyperlink" Target="https://doi.org/10.1076/jcen.25.6.866.16472" TargetMode="External"/><Relationship Id="rId1902" Type="http://schemas.openxmlformats.org/officeDocument/2006/relationships/hyperlink" Target="https://doi.org/10.1093/cercor/8.1.18" TargetMode="External"/><Relationship Id="rId6066" Type="http://schemas.openxmlformats.org/officeDocument/2006/relationships/hyperlink" Target="https://doi.org/10.1016/j.paid.2012.07.034" TargetMode="External"/><Relationship Id="rId3867" Type="http://schemas.openxmlformats.org/officeDocument/2006/relationships/hyperlink" Target="https://doi.org/10.1016/j.neuropsychologia.2018.08.026" TargetMode="External"/><Relationship Id="rId4918" Type="http://schemas.openxmlformats.org/officeDocument/2006/relationships/hyperlink" Target="https://doi.org/10.1093/arclin/acu052" TargetMode="External"/><Relationship Id="rId6273" Type="http://schemas.openxmlformats.org/officeDocument/2006/relationships/hyperlink" Target="https://doi.org/10.1016/j.parkreldis.2011.01.011" TargetMode="External"/><Relationship Id="rId6480" Type="http://schemas.openxmlformats.org/officeDocument/2006/relationships/hyperlink" Target="https://doi.org/10.1016/j.psychres.2010.11.011" TargetMode="External"/><Relationship Id="rId788" Type="http://schemas.openxmlformats.org/officeDocument/2006/relationships/hyperlink" Target="https://doi.org/10.1080/15487768.2011.622159" TargetMode="External"/><Relationship Id="rId995" Type="http://schemas.openxmlformats.org/officeDocument/2006/relationships/hyperlink" Target="https://doi.org/10.3109/02699052.2012.666373" TargetMode="External"/><Relationship Id="rId2469" Type="http://schemas.openxmlformats.org/officeDocument/2006/relationships/hyperlink" Target="https://doi.org/10.1016/j.schres.2010.12.006" TargetMode="External"/><Relationship Id="rId2676" Type="http://schemas.openxmlformats.org/officeDocument/2006/relationships/hyperlink" Target="https://doi.org/10.1080/02699050601082156" TargetMode="External"/><Relationship Id="rId2883" Type="http://schemas.openxmlformats.org/officeDocument/2006/relationships/hyperlink" Target="https://doi.org/10.1016/j.euroneuro.2011.10.002" TargetMode="External"/><Relationship Id="rId3727" Type="http://schemas.openxmlformats.org/officeDocument/2006/relationships/hyperlink" Target="https://doi.org/10.1016/j.neuropsychologia.2020.107336" TargetMode="External"/><Relationship Id="rId3934" Type="http://schemas.openxmlformats.org/officeDocument/2006/relationships/hyperlink" Target="https://doi.org/10.1177/0091217416651254" TargetMode="External"/><Relationship Id="rId5082" Type="http://schemas.openxmlformats.org/officeDocument/2006/relationships/hyperlink" Target="https://doi.org/10.1111/jnp.12085" TargetMode="External"/><Relationship Id="rId6133" Type="http://schemas.openxmlformats.org/officeDocument/2006/relationships/hyperlink" Target="https://doi.org/10.1080/02687038.2010.494830" TargetMode="External"/><Relationship Id="rId6340" Type="http://schemas.openxmlformats.org/officeDocument/2006/relationships/hyperlink" Target="https://doi.org/10.1017/S1355617717000431" TargetMode="External"/><Relationship Id="rId648" Type="http://schemas.openxmlformats.org/officeDocument/2006/relationships/hyperlink" Target="https://doi.org/10.1016/j.euroneuro.2015.01.008" TargetMode="External"/><Relationship Id="rId855" Type="http://schemas.openxmlformats.org/officeDocument/2006/relationships/hyperlink" Target="https://doi.org/10.3389/fpsyg.2019.01784" TargetMode="External"/><Relationship Id="rId1278" Type="http://schemas.openxmlformats.org/officeDocument/2006/relationships/hyperlink" Target="https://doi.org/10.1080/13803395.2010.535504" TargetMode="External"/><Relationship Id="rId1485" Type="http://schemas.openxmlformats.org/officeDocument/2006/relationships/hyperlink" Target="https://doi.org/10.1080/00207450590519058" TargetMode="External"/><Relationship Id="rId1692" Type="http://schemas.openxmlformats.org/officeDocument/2006/relationships/hyperlink" Target="https://doi.org/10.1007/s10926-011-9290-8" TargetMode="External"/><Relationship Id="rId2329" Type="http://schemas.openxmlformats.org/officeDocument/2006/relationships/hyperlink" Target="https://doi.org/10.1016/j.cpr.2011.06.004" TargetMode="External"/><Relationship Id="rId2536" Type="http://schemas.openxmlformats.org/officeDocument/2006/relationships/hyperlink" Target="https://doi.org/10.1016/j.schres.2013.08.004" TargetMode="External"/><Relationship Id="rId2743" Type="http://schemas.openxmlformats.org/officeDocument/2006/relationships/hyperlink" Target="https://doi.org/10.1111/bdi.12514" TargetMode="External"/><Relationship Id="rId5899" Type="http://schemas.openxmlformats.org/officeDocument/2006/relationships/hyperlink" Target="https://doi.org/10.1177/0829573512440420" TargetMode="External"/><Relationship Id="rId6200" Type="http://schemas.openxmlformats.org/officeDocument/2006/relationships/hyperlink" Target="https://doi.org/10.1016/j.psyneuen.2019.104473" TargetMode="External"/><Relationship Id="rId508" Type="http://schemas.openxmlformats.org/officeDocument/2006/relationships/hyperlink" Target="https://doi.org/10.12740/APP/100435" TargetMode="External"/><Relationship Id="rId715" Type="http://schemas.openxmlformats.org/officeDocument/2006/relationships/hyperlink" Target="https://doi.org/10.1176/appi.ps.57.4.573" TargetMode="External"/><Relationship Id="rId922" Type="http://schemas.openxmlformats.org/officeDocument/2006/relationships/hyperlink" Target="https://doi.org/10.1080/09602011.2015.1019891" TargetMode="External"/><Relationship Id="rId1138" Type="http://schemas.openxmlformats.org/officeDocument/2006/relationships/hyperlink" Target="https://doi.org/10.1016/j.neuropsychologia.2016.04.026" TargetMode="External"/><Relationship Id="rId1345" Type="http://schemas.openxmlformats.org/officeDocument/2006/relationships/hyperlink" Target="https://doi.org/10.1186/1471-244X-13-27" TargetMode="External"/><Relationship Id="rId1552" Type="http://schemas.openxmlformats.org/officeDocument/2006/relationships/hyperlink" Target="https://doi.org/10.1212/WNL.55.11.1621" TargetMode="External"/><Relationship Id="rId2603" Type="http://schemas.openxmlformats.org/officeDocument/2006/relationships/hyperlink" Target="https://doi.org/10.1016/j.psychsport.2013.05.004" TargetMode="External"/><Relationship Id="rId2950" Type="http://schemas.openxmlformats.org/officeDocument/2006/relationships/hyperlink" Target="https://doi.org/10.1016/j.schres.2011.04.023" TargetMode="External"/><Relationship Id="rId5759" Type="http://schemas.openxmlformats.org/officeDocument/2006/relationships/hyperlink" Target="https://doi.org/10.1590/S1980-57642012DN06030007" TargetMode="External"/><Relationship Id="rId1205" Type="http://schemas.openxmlformats.org/officeDocument/2006/relationships/hyperlink" Target="https://doi.org/10.1016/j.jad.2015.11.007" TargetMode="External"/><Relationship Id="rId2810" Type="http://schemas.openxmlformats.org/officeDocument/2006/relationships/hyperlink" Target="https://doi.org/10.1016/j.psychres.2008.08.003" TargetMode="External"/><Relationship Id="rId4568" Type="http://schemas.openxmlformats.org/officeDocument/2006/relationships/hyperlink" Target="https://doi.org/10.1590/S1980-57642008DN10300010" TargetMode="External"/><Relationship Id="rId5966" Type="http://schemas.openxmlformats.org/officeDocument/2006/relationships/hyperlink" Target="https://doi.org/10.1016/j.jpsychires.2005.02.001" TargetMode="External"/><Relationship Id="rId51" Type="http://schemas.openxmlformats.org/officeDocument/2006/relationships/hyperlink" Target="https://doi.org/10.1002/ajmg.b.30705" TargetMode="External"/><Relationship Id="rId1412" Type="http://schemas.openxmlformats.org/officeDocument/2006/relationships/hyperlink" Target="https://doi.org/10.3389/fpsyt.2018.00310" TargetMode="External"/><Relationship Id="rId3377" Type="http://schemas.openxmlformats.org/officeDocument/2006/relationships/hyperlink" Target="https://doi.org/10.1016/j.biopsych.2006.03.055" TargetMode="External"/><Relationship Id="rId4775" Type="http://schemas.openxmlformats.org/officeDocument/2006/relationships/hyperlink" Target="https://doi.org/10.1016/j.biopsych.2005.04.031" TargetMode="External"/><Relationship Id="rId4982" Type="http://schemas.openxmlformats.org/officeDocument/2006/relationships/hyperlink" Target="https://doi.org/10.1177/0333102412457089" TargetMode="External"/><Relationship Id="rId5619" Type="http://schemas.openxmlformats.org/officeDocument/2006/relationships/hyperlink" Target="https://doi.org/10.1016/0165-1781(93)90019-D" TargetMode="External"/><Relationship Id="rId5826" Type="http://schemas.openxmlformats.org/officeDocument/2006/relationships/hyperlink" Target="https://doi.org/10.22365/jpsych.2018.293.199" TargetMode="External"/><Relationship Id="rId298" Type="http://schemas.openxmlformats.org/officeDocument/2006/relationships/hyperlink" Target="https://doi.org/10.1111/j.1440-1614.2006.01928.x" TargetMode="External"/><Relationship Id="rId3584" Type="http://schemas.openxmlformats.org/officeDocument/2006/relationships/hyperlink" Target="https://doi.org/10.1007/978-3-319-27171-2_11" TargetMode="External"/><Relationship Id="rId3791" Type="http://schemas.openxmlformats.org/officeDocument/2006/relationships/hyperlink" Target="https://doi.org/10.1016/j.rasd.2011.05.003" TargetMode="External"/><Relationship Id="rId4428" Type="http://schemas.openxmlformats.org/officeDocument/2006/relationships/hyperlink" Target="https://doi.org/10.1080/13854046.2019.1621381" TargetMode="External"/><Relationship Id="rId4635" Type="http://schemas.openxmlformats.org/officeDocument/2006/relationships/hyperlink" Target="https://doi.org/10.3389/fnhum.2018.00279" TargetMode="External"/><Relationship Id="rId4842" Type="http://schemas.openxmlformats.org/officeDocument/2006/relationships/hyperlink" Target="https://doi.org/10.1002/hbm.22586" TargetMode="External"/><Relationship Id="rId158" Type="http://schemas.openxmlformats.org/officeDocument/2006/relationships/hyperlink" Target="https://doi.org/10.1016/j.biopsych.2005.04.036" TargetMode="External"/><Relationship Id="rId2186" Type="http://schemas.openxmlformats.org/officeDocument/2006/relationships/hyperlink" Target="https://doi.org/10.1080/21622965.2019.1604342" TargetMode="External"/><Relationship Id="rId2393" Type="http://schemas.openxmlformats.org/officeDocument/2006/relationships/hyperlink" Target="https://doi.org/10.1037/0882-7974.17.1.72" TargetMode="External"/><Relationship Id="rId3237" Type="http://schemas.openxmlformats.org/officeDocument/2006/relationships/hyperlink" Target="https://doi.org/10.1093/brain/awg283" TargetMode="External"/><Relationship Id="rId3444" Type="http://schemas.openxmlformats.org/officeDocument/2006/relationships/hyperlink" Target="https://doi.org/10.1017/S1355617704101045" TargetMode="External"/><Relationship Id="rId3651" Type="http://schemas.openxmlformats.org/officeDocument/2006/relationships/hyperlink" Target="https://doi.org/10.1007/s12311-012-0395-1" TargetMode="External"/><Relationship Id="rId4702" Type="http://schemas.openxmlformats.org/officeDocument/2006/relationships/hyperlink" Target="https://doi.org/10.1176/appi.neuropsych.20.1.68" TargetMode="External"/><Relationship Id="rId365" Type="http://schemas.openxmlformats.org/officeDocument/2006/relationships/hyperlink" Target="https://doi.org/10.1016/j.drugalcdep.2011.11.004" TargetMode="External"/><Relationship Id="rId572" Type="http://schemas.openxmlformats.org/officeDocument/2006/relationships/hyperlink" Target="https://doi.org/10.1016/j.euroneuro.2015.06.002" TargetMode="External"/><Relationship Id="rId2046" Type="http://schemas.openxmlformats.org/officeDocument/2006/relationships/hyperlink" Target="https://doi.org/10.1016/j.jpsychires.2009.08.003" TargetMode="External"/><Relationship Id="rId2253" Type="http://schemas.openxmlformats.org/officeDocument/2006/relationships/hyperlink" Target="https://doi.org/10.1016/j.jpsychires.2012.06.010" TargetMode="External"/><Relationship Id="rId2460" Type="http://schemas.openxmlformats.org/officeDocument/2006/relationships/hyperlink" Target="https://doi.org/10.1016/j.neurobiolaging.2018.08.019" TargetMode="External"/><Relationship Id="rId3304" Type="http://schemas.openxmlformats.org/officeDocument/2006/relationships/hyperlink" Target="https://doi.org/10.1007/s00406-010-0169-z" TargetMode="External"/><Relationship Id="rId3511" Type="http://schemas.openxmlformats.org/officeDocument/2006/relationships/hyperlink" Target="https://doi.org/10.1097/00005053-199502000-00007" TargetMode="External"/><Relationship Id="rId225" Type="http://schemas.openxmlformats.org/officeDocument/2006/relationships/hyperlink" Target="https://doi.org/10.1016/j.paid.2012.05.006" TargetMode="External"/><Relationship Id="rId432" Type="http://schemas.openxmlformats.org/officeDocument/2006/relationships/hyperlink" Target="https://doi.org/10.1111/j.1440-1614.2004.01558.x" TargetMode="External"/><Relationship Id="rId1062" Type="http://schemas.openxmlformats.org/officeDocument/2006/relationships/hyperlink" Target="https://doi.org/10.1016/j.schres.2008.09.017" TargetMode="External"/><Relationship Id="rId2113" Type="http://schemas.openxmlformats.org/officeDocument/2006/relationships/hyperlink" Target="https://doi.org/10.1080/10398560601083100" TargetMode="External"/><Relationship Id="rId2320" Type="http://schemas.openxmlformats.org/officeDocument/2006/relationships/hyperlink" Target="https://doi.org/10.3389/fnhum.2012.00198" TargetMode="External"/><Relationship Id="rId5269" Type="http://schemas.openxmlformats.org/officeDocument/2006/relationships/hyperlink" Target="https://doi.org/10.1177/0022219411407772" TargetMode="External"/><Relationship Id="rId5476" Type="http://schemas.openxmlformats.org/officeDocument/2006/relationships/hyperlink" Target="https://doi.org/10.1093/schbul/sbr103" TargetMode="External"/><Relationship Id="rId5683" Type="http://schemas.openxmlformats.org/officeDocument/2006/relationships/hyperlink" Target="https://doi.org/10.1016/j.neuropsychologia.2014.02.022" TargetMode="External"/><Relationship Id="rId6527" Type="http://schemas.openxmlformats.org/officeDocument/2006/relationships/hyperlink" Target="https://doi.org/10.1093/arclin/acx065" TargetMode="External"/><Relationship Id="rId4078" Type="http://schemas.openxmlformats.org/officeDocument/2006/relationships/hyperlink" Target="https://doi.org/10.4236/psych.2014.57074" TargetMode="External"/><Relationship Id="rId4285" Type="http://schemas.openxmlformats.org/officeDocument/2006/relationships/hyperlink" Target="https://doi.org/10.1080/23279095.2018.1466782" TargetMode="External"/><Relationship Id="rId4492" Type="http://schemas.openxmlformats.org/officeDocument/2006/relationships/hyperlink" Target="https://doi.org/10.1080/13825585.2012.761668" TargetMode="External"/><Relationship Id="rId5129" Type="http://schemas.openxmlformats.org/officeDocument/2006/relationships/hyperlink" Target="https://doi.org/10.3922/j.psns.2011.2.012" TargetMode="External"/><Relationship Id="rId5336" Type="http://schemas.openxmlformats.org/officeDocument/2006/relationships/hyperlink" Target="https://doi.org/10.1076/1385-4046(200008)14:3;1-P;FT275" TargetMode="External"/><Relationship Id="rId5543" Type="http://schemas.openxmlformats.org/officeDocument/2006/relationships/hyperlink" Target="https://doi.org/10.1111/sjop.12163" TargetMode="External"/><Relationship Id="rId5890" Type="http://schemas.openxmlformats.org/officeDocument/2006/relationships/hyperlink" Target="https://doi.org/10.1017/S135561771400040X" TargetMode="External"/><Relationship Id="rId1879" Type="http://schemas.openxmlformats.org/officeDocument/2006/relationships/hyperlink" Target="https://doi.org/10.3389/fpsyg.2013.00150" TargetMode="External"/><Relationship Id="rId3094" Type="http://schemas.openxmlformats.org/officeDocument/2006/relationships/hyperlink" Target="https://doi.org/10.1016/j.bandc.2011.03.004" TargetMode="External"/><Relationship Id="rId4145" Type="http://schemas.openxmlformats.org/officeDocument/2006/relationships/hyperlink" Target="https://doi.org/10.1016/j.schres.2014.08.028" TargetMode="External"/><Relationship Id="rId5750" Type="http://schemas.openxmlformats.org/officeDocument/2006/relationships/hyperlink" Target="https://doi.org/10.1016/S0028-3932(03)00061-7" TargetMode="External"/><Relationship Id="rId1739" Type="http://schemas.openxmlformats.org/officeDocument/2006/relationships/hyperlink" Target="https://doi.org/10.1097/01.ALC.0000145690.48510.DA" TargetMode="External"/><Relationship Id="rId1946" Type="http://schemas.openxmlformats.org/officeDocument/2006/relationships/hyperlink" Target="https://doi.org/10.1177/008124631204200311" TargetMode="External"/><Relationship Id="rId4005" Type="http://schemas.openxmlformats.org/officeDocument/2006/relationships/hyperlink" Target="https://doi.org/10.1111/j.1521-0391.2013.00313.x" TargetMode="External"/><Relationship Id="rId4352" Type="http://schemas.openxmlformats.org/officeDocument/2006/relationships/hyperlink" Target="https://doi.org/10.1080/13854049408401549" TargetMode="External"/><Relationship Id="rId5403" Type="http://schemas.openxmlformats.org/officeDocument/2006/relationships/hyperlink" Target="https://doi.org/10.1007/s12160-008-9064-5" TargetMode="External"/><Relationship Id="rId5610" Type="http://schemas.openxmlformats.org/officeDocument/2006/relationships/hyperlink" Target="https://doi.org/10.1080/13825585.2012.727976" TargetMode="External"/><Relationship Id="rId1806" Type="http://schemas.openxmlformats.org/officeDocument/2006/relationships/hyperlink" Target="https://doi.org/10.1080/10508420701378115" TargetMode="External"/><Relationship Id="rId3161" Type="http://schemas.openxmlformats.org/officeDocument/2006/relationships/hyperlink" Target="https://doi.org/10.1111/j.1469-7610.2004.00400.x" TargetMode="External"/><Relationship Id="rId4212" Type="http://schemas.openxmlformats.org/officeDocument/2006/relationships/hyperlink" Target="https://doi.org/10.5604/01.3001.0011.7089" TargetMode="External"/><Relationship Id="rId3021" Type="http://schemas.openxmlformats.org/officeDocument/2006/relationships/hyperlink" Target="https://doi.org/10.1002/hbm.24185" TargetMode="External"/><Relationship Id="rId3978" Type="http://schemas.openxmlformats.org/officeDocument/2006/relationships/hyperlink" Target="https://doi.org/10.1097/01.aids.0000218552.69834.00" TargetMode="External"/><Relationship Id="rId6177" Type="http://schemas.openxmlformats.org/officeDocument/2006/relationships/hyperlink" Target="https://doi.org/10.1016/j.braindev.2005.02.007" TargetMode="External"/><Relationship Id="rId6384" Type="http://schemas.openxmlformats.org/officeDocument/2006/relationships/hyperlink" Target="https://doi.org/10.3724/SP.J.1041.2018.01449" TargetMode="External"/><Relationship Id="rId899" Type="http://schemas.openxmlformats.org/officeDocument/2006/relationships/hyperlink" Target="https://doi.org/10.1016/S0925-4927(98)00031-6" TargetMode="External"/><Relationship Id="rId2787" Type="http://schemas.openxmlformats.org/officeDocument/2006/relationships/hyperlink" Target="https://doi.org/10.1016/j.psychres.2011.06.002" TargetMode="External"/><Relationship Id="rId3838" Type="http://schemas.openxmlformats.org/officeDocument/2006/relationships/hyperlink" Target="https://doi.org/10.1007/s00127-013-0804-x" TargetMode="External"/><Relationship Id="rId5193" Type="http://schemas.openxmlformats.org/officeDocument/2006/relationships/hyperlink" Target="https://doi.org/10.1017/S1355617705050939" TargetMode="External"/><Relationship Id="rId6037" Type="http://schemas.openxmlformats.org/officeDocument/2006/relationships/hyperlink" Target="https://doi.org/10.1093/geronb/gbu140" TargetMode="External"/><Relationship Id="rId6244" Type="http://schemas.openxmlformats.org/officeDocument/2006/relationships/hyperlink" Target="https://doi.org/10.1007/s10804-005-7027-7" TargetMode="External"/><Relationship Id="rId6451" Type="http://schemas.openxmlformats.org/officeDocument/2006/relationships/hyperlink" Target="https://doi.org/10.1080/13825585.2011.597840" TargetMode="External"/><Relationship Id="rId759" Type="http://schemas.openxmlformats.org/officeDocument/2006/relationships/hyperlink" Target="https://doi.org/10.1126/science.1172377" TargetMode="External"/><Relationship Id="rId966" Type="http://schemas.openxmlformats.org/officeDocument/2006/relationships/hyperlink" Target="https://doi.org/10.1016/j.schres.2011.09.006" TargetMode="External"/><Relationship Id="rId1389" Type="http://schemas.openxmlformats.org/officeDocument/2006/relationships/hyperlink" Target="https://doi.org/10.1080/02699931.2015.1013087" TargetMode="External"/><Relationship Id="rId1596" Type="http://schemas.openxmlformats.org/officeDocument/2006/relationships/hyperlink" Target="https://doi.org/10.1016/j.schres.2007.03.013" TargetMode="External"/><Relationship Id="rId2647" Type="http://schemas.openxmlformats.org/officeDocument/2006/relationships/hyperlink" Target="https://doi.org/10.1093/arclin/act067" TargetMode="External"/><Relationship Id="rId2994" Type="http://schemas.openxmlformats.org/officeDocument/2006/relationships/hyperlink" Target="https://doi.org/10.1076/0929-7049(199912)05:04;1-R;FT224" TargetMode="External"/><Relationship Id="rId5053" Type="http://schemas.openxmlformats.org/officeDocument/2006/relationships/hyperlink" Target="https://doi.org/10.1076/jcen.24.1.93.973" TargetMode="External"/><Relationship Id="rId5260" Type="http://schemas.openxmlformats.org/officeDocument/2006/relationships/hyperlink" Target="https://doi.org/10.1093/schbul/sbi007" TargetMode="External"/><Relationship Id="rId6104" Type="http://schemas.openxmlformats.org/officeDocument/2006/relationships/hyperlink" Target="https://doi.org/10.1016/j.schres.2004.09.013" TargetMode="External"/><Relationship Id="rId6311" Type="http://schemas.openxmlformats.org/officeDocument/2006/relationships/hyperlink" Target="https://doi.org/10.1016/j.psychres.2009.03.024" TargetMode="External"/><Relationship Id="rId619" Type="http://schemas.openxmlformats.org/officeDocument/2006/relationships/hyperlink" Target="https://doi.org/10.1111/add.13486" TargetMode="External"/><Relationship Id="rId1249" Type="http://schemas.openxmlformats.org/officeDocument/2006/relationships/hyperlink" Target="https://doi.org/10.1186/1471-244X-6-26" TargetMode="External"/><Relationship Id="rId2854" Type="http://schemas.openxmlformats.org/officeDocument/2006/relationships/hyperlink" Target="https://doi.org/10.1080/13554794.2012.690425" TargetMode="External"/><Relationship Id="rId3905" Type="http://schemas.openxmlformats.org/officeDocument/2006/relationships/hyperlink" Target="https://doi.org/10.3109/00207459408986077" TargetMode="External"/><Relationship Id="rId5120" Type="http://schemas.openxmlformats.org/officeDocument/2006/relationships/hyperlink" Target="https://doi.org/10.1017/S2045796013000140" TargetMode="External"/><Relationship Id="rId95" Type="http://schemas.openxmlformats.org/officeDocument/2006/relationships/hyperlink" Target="https://doi.org/10.1016/S0165-1781(00)00112-8" TargetMode="External"/><Relationship Id="rId826" Type="http://schemas.openxmlformats.org/officeDocument/2006/relationships/hyperlink" Target="https://doi.org/10.1080/03033910.2014.921228" TargetMode="External"/><Relationship Id="rId1109" Type="http://schemas.openxmlformats.org/officeDocument/2006/relationships/hyperlink" Target="https://doi.org/10.1097/HTR.0000000000000183" TargetMode="External"/><Relationship Id="rId1456" Type="http://schemas.openxmlformats.org/officeDocument/2006/relationships/hyperlink" Target="https://doi.org/10.1016/j.eurpsy.2012.07.001" TargetMode="External"/><Relationship Id="rId1663" Type="http://schemas.openxmlformats.org/officeDocument/2006/relationships/hyperlink" Target="https://doi.org/10.1136/jnnp-2017-315732" TargetMode="External"/><Relationship Id="rId1870" Type="http://schemas.openxmlformats.org/officeDocument/2006/relationships/hyperlink" Target="https://doi.org/10.1007/s12017-012-8202-1" TargetMode="External"/><Relationship Id="rId2507" Type="http://schemas.openxmlformats.org/officeDocument/2006/relationships/hyperlink" Target="https://doi.org/10.1016/j.schres.2007.01.023" TargetMode="External"/><Relationship Id="rId2714" Type="http://schemas.openxmlformats.org/officeDocument/2006/relationships/hyperlink" Target="https://doi.org/10.1016/j.jsat.2017.04.012" TargetMode="External"/><Relationship Id="rId2921" Type="http://schemas.openxmlformats.org/officeDocument/2006/relationships/hyperlink" Target="https://doi.org/10.1016/j.bbi.2012.05.017" TargetMode="External"/><Relationship Id="rId1316" Type="http://schemas.openxmlformats.org/officeDocument/2006/relationships/hyperlink" Target="https://doi.org/10.1080/13803390490919335" TargetMode="External"/><Relationship Id="rId1523" Type="http://schemas.openxmlformats.org/officeDocument/2006/relationships/hyperlink" Target="https://doi.org/10.1037/a0029685" TargetMode="External"/><Relationship Id="rId1730" Type="http://schemas.openxmlformats.org/officeDocument/2006/relationships/hyperlink" Target="https://doi.org/10.18869/acadpub.ijpcp.22.3.200" TargetMode="External"/><Relationship Id="rId4679" Type="http://schemas.openxmlformats.org/officeDocument/2006/relationships/hyperlink" Target="https://doi.org/10.1080/02770903.2017.1337786" TargetMode="External"/><Relationship Id="rId4886" Type="http://schemas.openxmlformats.org/officeDocument/2006/relationships/hyperlink" Target="https://doi.org/10.1016/j.parkreldis.2013.10.008" TargetMode="External"/><Relationship Id="rId5937" Type="http://schemas.openxmlformats.org/officeDocument/2006/relationships/hyperlink" Target="https://doi.org/10.1201/9781439849828-c26" TargetMode="External"/><Relationship Id="rId22" Type="http://schemas.openxmlformats.org/officeDocument/2006/relationships/hyperlink" Target="https://doi.org/10.1093/brain/awh170" TargetMode="External"/><Relationship Id="rId3488" Type="http://schemas.openxmlformats.org/officeDocument/2006/relationships/hyperlink" Target="https://doi.org/10.1162/jocn_a_01336" TargetMode="External"/><Relationship Id="rId3695" Type="http://schemas.openxmlformats.org/officeDocument/2006/relationships/hyperlink" Target="https://doi.org/10.4088/JCP.v69n0209" TargetMode="External"/><Relationship Id="rId4539" Type="http://schemas.openxmlformats.org/officeDocument/2006/relationships/hyperlink" Target="https://doi.org/10.1111/pcn.12497" TargetMode="External"/><Relationship Id="rId4746" Type="http://schemas.openxmlformats.org/officeDocument/2006/relationships/hyperlink" Target="https://doi.org/10.1007/BF01874891" TargetMode="External"/><Relationship Id="rId4953" Type="http://schemas.openxmlformats.org/officeDocument/2006/relationships/hyperlink" Target="https://doi.org/10.1111/j.1532-5415.2004.52104.x" TargetMode="External"/><Relationship Id="rId2297" Type="http://schemas.openxmlformats.org/officeDocument/2006/relationships/hyperlink" Target="https://doi.org/10.1111/j.1467-9450.2007.00597.x" TargetMode="External"/><Relationship Id="rId3348" Type="http://schemas.openxmlformats.org/officeDocument/2006/relationships/hyperlink" Target="https://doi.org/10.1016/j.psyneuen.2015.02.003" TargetMode="External"/><Relationship Id="rId3555" Type="http://schemas.openxmlformats.org/officeDocument/2006/relationships/hyperlink" Target="https://doi.org/10.1080/13803395.2013.789486" TargetMode="External"/><Relationship Id="rId3762" Type="http://schemas.openxmlformats.org/officeDocument/2006/relationships/hyperlink" Target="https://doi.org/10.1176/appi.neuropsych.22.1.30" TargetMode="External"/><Relationship Id="rId4606" Type="http://schemas.openxmlformats.org/officeDocument/2006/relationships/hyperlink" Target="https://doi.org/10.1002/hbm.23125" TargetMode="External"/><Relationship Id="rId4813" Type="http://schemas.openxmlformats.org/officeDocument/2006/relationships/hyperlink" Target="https://doi.org/10.3389/fpsyg.2018.02781" TargetMode="External"/><Relationship Id="rId269" Type="http://schemas.openxmlformats.org/officeDocument/2006/relationships/hyperlink" Target="https://doi.org/10.1093/schbul/sbt099" TargetMode="External"/><Relationship Id="rId476" Type="http://schemas.openxmlformats.org/officeDocument/2006/relationships/hyperlink" Target="https://doi.org/10.1016/j.biopsych.2013.08.017" TargetMode="External"/><Relationship Id="rId683" Type="http://schemas.openxmlformats.org/officeDocument/2006/relationships/hyperlink" Target="https://doi.org/10.1016/S0924-977X(02)00003-2" TargetMode="External"/><Relationship Id="rId890" Type="http://schemas.openxmlformats.org/officeDocument/2006/relationships/hyperlink" Target="https://doi.org/10.1080/87565649409540570" TargetMode="External"/><Relationship Id="rId2157" Type="http://schemas.openxmlformats.org/officeDocument/2006/relationships/hyperlink" Target="https://doi.org/10.1002/hup.1070" TargetMode="External"/><Relationship Id="rId2364" Type="http://schemas.openxmlformats.org/officeDocument/2006/relationships/hyperlink" Target="https://doi.org/10.1093/schbul/19.4.723" TargetMode="External"/><Relationship Id="rId2571" Type="http://schemas.openxmlformats.org/officeDocument/2006/relationships/hyperlink" Target="https://doi.org/10.1586/ern.11.173" TargetMode="External"/><Relationship Id="rId3208" Type="http://schemas.openxmlformats.org/officeDocument/2006/relationships/hyperlink" Target="https://doi.org/10.1016/S0165-1781(02)00178-6" TargetMode="External"/><Relationship Id="rId3415" Type="http://schemas.openxmlformats.org/officeDocument/2006/relationships/hyperlink" Target="https://doi.org/10.1176/appi.neuropsych.17.4.465" TargetMode="External"/><Relationship Id="rId129" Type="http://schemas.openxmlformats.org/officeDocument/2006/relationships/hyperlink" Target="https://doi.org/10.1080/02699050110104435" TargetMode="External"/><Relationship Id="rId336" Type="http://schemas.openxmlformats.org/officeDocument/2006/relationships/hyperlink" Target="https://doi.org/10.1080/10538712.2013.811141" TargetMode="External"/><Relationship Id="rId543" Type="http://schemas.openxmlformats.org/officeDocument/2006/relationships/hyperlink" Target="https://doi.org/10.1016/j.yebeh.2010.01.006" TargetMode="External"/><Relationship Id="rId1173" Type="http://schemas.openxmlformats.org/officeDocument/2006/relationships/hyperlink" Target="https://doi.org/10.1097/01.wnn.0000213917.10514.1e" TargetMode="External"/><Relationship Id="rId1380" Type="http://schemas.openxmlformats.org/officeDocument/2006/relationships/hyperlink" Target="https://doi.org/10.1111/j.1755-5949.2010.00153.x" TargetMode="External"/><Relationship Id="rId2017" Type="http://schemas.openxmlformats.org/officeDocument/2006/relationships/hyperlink" Target="https://doi.org/10.1017/S1041610213000847" TargetMode="External"/><Relationship Id="rId2224" Type="http://schemas.openxmlformats.org/officeDocument/2006/relationships/hyperlink" Target="https://doi.org/10.1080/09602011.2011.627263" TargetMode="External"/><Relationship Id="rId3622" Type="http://schemas.openxmlformats.org/officeDocument/2006/relationships/hyperlink" Target="https://doi.org/10.1017/S1355617707070919" TargetMode="External"/><Relationship Id="rId5587" Type="http://schemas.openxmlformats.org/officeDocument/2006/relationships/hyperlink" Target="https://doi.org/10.1016/j.schres.2011.04.012" TargetMode="External"/><Relationship Id="rId403" Type="http://schemas.openxmlformats.org/officeDocument/2006/relationships/hyperlink" Target="https://doi.org/10.1007/s11145-013-9428-5" TargetMode="External"/><Relationship Id="rId750" Type="http://schemas.openxmlformats.org/officeDocument/2006/relationships/hyperlink" Target="https://doi.org/10.1016/S0165-1781(01)00245-1" TargetMode="External"/><Relationship Id="rId1033" Type="http://schemas.openxmlformats.org/officeDocument/2006/relationships/hyperlink" Target="https://doi.org/10.1016/j.drugalcdep.2009.08.010" TargetMode="External"/><Relationship Id="rId2431" Type="http://schemas.openxmlformats.org/officeDocument/2006/relationships/hyperlink" Target="https://doi.org/10.1017/S1355617718000218" TargetMode="External"/><Relationship Id="rId4189" Type="http://schemas.openxmlformats.org/officeDocument/2006/relationships/hyperlink" Target="https://doi.org/10.1016/j.jns.2016.09.025" TargetMode="External"/><Relationship Id="rId5794" Type="http://schemas.openxmlformats.org/officeDocument/2006/relationships/hyperlink" Target="https://doi.org/10.1590/s1980-57642008dn10200010" TargetMode="External"/><Relationship Id="rId610" Type="http://schemas.openxmlformats.org/officeDocument/2006/relationships/hyperlink" Target="https://doi.org/10.1017/S0033291712002085" TargetMode="External"/><Relationship Id="rId1240" Type="http://schemas.openxmlformats.org/officeDocument/2006/relationships/hyperlink" Target="https://doi.org/10.1016/j.clinthera.2008.01.010" TargetMode="External"/><Relationship Id="rId4049" Type="http://schemas.openxmlformats.org/officeDocument/2006/relationships/hyperlink" Target="https://doi.org/10.1097/WNN.0b013e318185e6bd" TargetMode="External"/><Relationship Id="rId4396" Type="http://schemas.openxmlformats.org/officeDocument/2006/relationships/hyperlink" Target="https://doi.org/10.1080/09602011.2013.772065" TargetMode="External"/><Relationship Id="rId5447" Type="http://schemas.openxmlformats.org/officeDocument/2006/relationships/hyperlink" Target="https://doi.org/10.1017/S0033291711000018" TargetMode="External"/><Relationship Id="rId5654" Type="http://schemas.openxmlformats.org/officeDocument/2006/relationships/hyperlink" Target="https://doi.org/10.12740/APP/61894" TargetMode="External"/><Relationship Id="rId5861" Type="http://schemas.openxmlformats.org/officeDocument/2006/relationships/hyperlink" Target="https://doi.org/10.1007/978-3-030-14895-9_19" TargetMode="External"/><Relationship Id="rId1100" Type="http://schemas.openxmlformats.org/officeDocument/2006/relationships/hyperlink" Target="https://doi.org/10.1016/j.cogdev.2006.03.002" TargetMode="External"/><Relationship Id="rId4256" Type="http://schemas.openxmlformats.org/officeDocument/2006/relationships/hyperlink" Target="https://doi.org/10.1017/S1355617714000113" TargetMode="External"/><Relationship Id="rId4463" Type="http://schemas.openxmlformats.org/officeDocument/2006/relationships/hyperlink" Target="https://doi.org/10.1016/j.bandl.2016.12.003" TargetMode="External"/><Relationship Id="rId4670" Type="http://schemas.openxmlformats.org/officeDocument/2006/relationships/hyperlink" Target="https://doi.org/10.1037/0894-4105.11.2.222" TargetMode="External"/><Relationship Id="rId5307" Type="http://schemas.openxmlformats.org/officeDocument/2006/relationships/hyperlink" Target="https://doi.org/10.1007/978-1-4939-0784-7_3" TargetMode="External"/><Relationship Id="rId5514" Type="http://schemas.openxmlformats.org/officeDocument/2006/relationships/hyperlink" Target="https://doi.org/10.1037/0894-4105.19.2.139" TargetMode="External"/><Relationship Id="rId5721" Type="http://schemas.openxmlformats.org/officeDocument/2006/relationships/hyperlink" Target="https://doi.org/10.1076/clin.12.3.348.1988" TargetMode="External"/><Relationship Id="rId1917" Type="http://schemas.openxmlformats.org/officeDocument/2006/relationships/hyperlink" Target="https://doi.org/10.1080/23273798.2014.918630" TargetMode="External"/><Relationship Id="rId3065" Type="http://schemas.openxmlformats.org/officeDocument/2006/relationships/hyperlink" Target="https://doi.org/10.1207/S15324826AN0902_5" TargetMode="External"/><Relationship Id="rId3272" Type="http://schemas.openxmlformats.org/officeDocument/2006/relationships/hyperlink" Target="https://doi.org/10.1016/j.psychres.2006.02.001" TargetMode="External"/><Relationship Id="rId4116" Type="http://schemas.openxmlformats.org/officeDocument/2006/relationships/hyperlink" Target="https://doi.org/10.1016/j.pscychresns.2004.12.004" TargetMode="External"/><Relationship Id="rId4323" Type="http://schemas.openxmlformats.org/officeDocument/2006/relationships/hyperlink" Target="https://doi.org/10.1080/13854040500376823" TargetMode="External"/><Relationship Id="rId4530" Type="http://schemas.openxmlformats.org/officeDocument/2006/relationships/hyperlink" Target="https://doi.org/10.1017/S1461145708009188" TargetMode="External"/><Relationship Id="rId193" Type="http://schemas.openxmlformats.org/officeDocument/2006/relationships/hyperlink" Target="https://doi.org/10.1080/13803395.2011.633896" TargetMode="External"/><Relationship Id="rId2081" Type="http://schemas.openxmlformats.org/officeDocument/2006/relationships/hyperlink" Target="https://doi.org/10.1080/17470919.2010.506751" TargetMode="External"/><Relationship Id="rId3132" Type="http://schemas.openxmlformats.org/officeDocument/2006/relationships/hyperlink" Target="https://doi.org/10.1093/jpepsy/jsr123" TargetMode="External"/><Relationship Id="rId6288" Type="http://schemas.openxmlformats.org/officeDocument/2006/relationships/hyperlink" Target="https://doi.org/10.1503/jpn.090181" TargetMode="External"/><Relationship Id="rId6495" Type="http://schemas.openxmlformats.org/officeDocument/2006/relationships/hyperlink" Target="https://doi.org/10.3389/fnhum.2017.00609" TargetMode="External"/><Relationship Id="rId260" Type="http://schemas.openxmlformats.org/officeDocument/2006/relationships/hyperlink" Target="https://doi.org/10.1097/NMD.0b013e318162aa08" TargetMode="External"/><Relationship Id="rId5097" Type="http://schemas.openxmlformats.org/officeDocument/2006/relationships/hyperlink" Target="https://doi.org/10.1016/S0035-3787(06)75054-8" TargetMode="External"/><Relationship Id="rId6148" Type="http://schemas.openxmlformats.org/officeDocument/2006/relationships/hyperlink" Target="https://doi.org/10.1016/j.psychres.2011.02.008" TargetMode="External"/><Relationship Id="rId6355" Type="http://schemas.openxmlformats.org/officeDocument/2006/relationships/hyperlink" Target="https://doi.org/10.1080/13546805.2021.1946386" TargetMode="External"/><Relationship Id="rId120" Type="http://schemas.openxmlformats.org/officeDocument/2006/relationships/hyperlink" Target="https://doi.org/10.1016/j.bandc.2014.06.014" TargetMode="External"/><Relationship Id="rId2898" Type="http://schemas.openxmlformats.org/officeDocument/2006/relationships/hyperlink" Target="https://doi.org/10.1007/s10519-010-9436-z" TargetMode="External"/><Relationship Id="rId3949" Type="http://schemas.openxmlformats.org/officeDocument/2006/relationships/hyperlink" Target="https://doi.org/10.4324/9781315858562-3" TargetMode="External"/><Relationship Id="rId5164" Type="http://schemas.openxmlformats.org/officeDocument/2006/relationships/hyperlink" Target="https://doi.org/10.1037/0894-4105.21.2.224" TargetMode="External"/><Relationship Id="rId6008" Type="http://schemas.openxmlformats.org/officeDocument/2006/relationships/hyperlink" Target="https://doi.org/10.1080/13546805.2014.981649" TargetMode="External"/><Relationship Id="rId6215" Type="http://schemas.openxmlformats.org/officeDocument/2006/relationships/hyperlink" Target="https://doi.org/10.1037/pag0000397" TargetMode="External"/><Relationship Id="rId2758" Type="http://schemas.openxmlformats.org/officeDocument/2006/relationships/hyperlink" Target="https://doi.org/10.1016/j.neurobiolaging.2013.09.028" TargetMode="External"/><Relationship Id="rId2965" Type="http://schemas.openxmlformats.org/officeDocument/2006/relationships/hyperlink" Target="https://doi.org/10.1097/WNF.0b013e31819a68b5" TargetMode="External"/><Relationship Id="rId3809" Type="http://schemas.openxmlformats.org/officeDocument/2006/relationships/hyperlink" Target="https://doi.org/10.1046/j.1440-1614.2000.00699.x" TargetMode="External"/><Relationship Id="rId5024" Type="http://schemas.openxmlformats.org/officeDocument/2006/relationships/hyperlink" Target="https://doi.org/10.5604/01.3001.0010.2406" TargetMode="External"/><Relationship Id="rId5371" Type="http://schemas.openxmlformats.org/officeDocument/2006/relationships/hyperlink" Target="https://doi.org/10.3389/fpsyg.2018.02708" TargetMode="External"/><Relationship Id="rId6422" Type="http://schemas.openxmlformats.org/officeDocument/2006/relationships/hyperlink" Target="https://doi.org/10.1016/j.schres.2014.03.022" TargetMode="External"/><Relationship Id="rId937" Type="http://schemas.openxmlformats.org/officeDocument/2006/relationships/hyperlink" Target="https://doi.org/10.1080/02699206.2018.1430851" TargetMode="External"/><Relationship Id="rId1567" Type="http://schemas.openxmlformats.org/officeDocument/2006/relationships/hyperlink" Target="https://doi.org/10.1016/j.psyneuen.2004.09.002" TargetMode="External"/><Relationship Id="rId1774" Type="http://schemas.openxmlformats.org/officeDocument/2006/relationships/hyperlink" Target="https://doi.org/10.1017/S1355617712001245" TargetMode="External"/><Relationship Id="rId1981" Type="http://schemas.openxmlformats.org/officeDocument/2006/relationships/hyperlink" Target="https://doi.org/10.1177/0143034318773787" TargetMode="External"/><Relationship Id="rId2618" Type="http://schemas.openxmlformats.org/officeDocument/2006/relationships/hyperlink" Target="https://doi.org/10.1016/j.jpsychires.2012.04.005" TargetMode="External"/><Relationship Id="rId2825" Type="http://schemas.openxmlformats.org/officeDocument/2006/relationships/hyperlink" Target="https://doi.org/10.1016/j.comppsych.2018.11.013" TargetMode="External"/><Relationship Id="rId4180" Type="http://schemas.openxmlformats.org/officeDocument/2006/relationships/hyperlink" Target="https://doi.org/10.3389/fpsyt.2013.00045" TargetMode="External"/><Relationship Id="rId5231" Type="http://schemas.openxmlformats.org/officeDocument/2006/relationships/hyperlink" Target="https://doi.org/10.1097/JOM.0b013e318285f3fd" TargetMode="External"/><Relationship Id="rId66" Type="http://schemas.openxmlformats.org/officeDocument/2006/relationships/hyperlink" Target="https://doi.org/10.1080/87565641.2017.1351974" TargetMode="External"/><Relationship Id="rId1427" Type="http://schemas.openxmlformats.org/officeDocument/2006/relationships/hyperlink" Target="https://doi.org/10.1016/j.neuropharm.2012.06.020" TargetMode="External"/><Relationship Id="rId1634" Type="http://schemas.openxmlformats.org/officeDocument/2006/relationships/hyperlink" Target="https://doi.org/10.1371/journal.pone.0206151" TargetMode="External"/><Relationship Id="rId1841" Type="http://schemas.openxmlformats.org/officeDocument/2006/relationships/hyperlink" Target="https://doi.org/10.1037/neu0000433" TargetMode="External"/><Relationship Id="rId4040" Type="http://schemas.openxmlformats.org/officeDocument/2006/relationships/hyperlink" Target="https://doi.org/10.1016/j.jmp.2013.08.003" TargetMode="External"/><Relationship Id="rId4997" Type="http://schemas.openxmlformats.org/officeDocument/2006/relationships/hyperlink" Target="https://doi.org/10.1046/j.1399-5618.2003.00071.x" TargetMode="External"/><Relationship Id="rId3599" Type="http://schemas.openxmlformats.org/officeDocument/2006/relationships/hyperlink" Target="https://doi.org/10.1176/appi.neuropsych.11070154" TargetMode="External"/><Relationship Id="rId4857" Type="http://schemas.openxmlformats.org/officeDocument/2006/relationships/hyperlink" Target="https://doi.org/10.1016/j.bandl.2016.03.001" TargetMode="External"/><Relationship Id="rId1701" Type="http://schemas.openxmlformats.org/officeDocument/2006/relationships/hyperlink" Target="https://doi.org/10.1097/WNN.0000000000000159" TargetMode="External"/><Relationship Id="rId3459" Type="http://schemas.openxmlformats.org/officeDocument/2006/relationships/hyperlink" Target="https://doi.org/10.1159/000077167" TargetMode="External"/><Relationship Id="rId3666" Type="http://schemas.openxmlformats.org/officeDocument/2006/relationships/hyperlink" Target="https://doi.org/10.1016/j.ijpsycho.2018.12.004" TargetMode="External"/><Relationship Id="rId5908" Type="http://schemas.openxmlformats.org/officeDocument/2006/relationships/hyperlink" Target="https://doi.org/10.1002/hipo.20412" TargetMode="External"/><Relationship Id="rId6072" Type="http://schemas.openxmlformats.org/officeDocument/2006/relationships/hyperlink" Target="https://doi.org/10.1080/21622965.2018.1426463" TargetMode="External"/><Relationship Id="rId587" Type="http://schemas.openxmlformats.org/officeDocument/2006/relationships/hyperlink" Target="https://doi.org/10.1080/13854049308401518" TargetMode="External"/><Relationship Id="rId2268" Type="http://schemas.openxmlformats.org/officeDocument/2006/relationships/hyperlink" Target="https://doi.org/10.1016/j.neuropsychologia.2009.02.007" TargetMode="External"/><Relationship Id="rId3319" Type="http://schemas.openxmlformats.org/officeDocument/2006/relationships/hyperlink" Target="https://doi.org/10.1017/S1355617707070178" TargetMode="External"/><Relationship Id="rId3873" Type="http://schemas.openxmlformats.org/officeDocument/2006/relationships/hyperlink" Target="https://doi.org/10.1016/j.jsxm.2016.12.235" TargetMode="External"/><Relationship Id="rId4717" Type="http://schemas.openxmlformats.org/officeDocument/2006/relationships/hyperlink" Target="https://doi.org/10.1016/j.schres.2014.04.020" TargetMode="External"/><Relationship Id="rId4924" Type="http://schemas.openxmlformats.org/officeDocument/2006/relationships/hyperlink" Target="https://doi.org/10.1080/01688639608408268" TargetMode="External"/><Relationship Id="rId447" Type="http://schemas.openxmlformats.org/officeDocument/2006/relationships/hyperlink" Target="https://doi.org/10.1017/S1355617705050721" TargetMode="External"/><Relationship Id="rId794" Type="http://schemas.openxmlformats.org/officeDocument/2006/relationships/hyperlink" Target="https://doi.org/10.1016/j.yebeh.2015.04.052" TargetMode="External"/><Relationship Id="rId1077" Type="http://schemas.openxmlformats.org/officeDocument/2006/relationships/hyperlink" Target="https://doi.org/10.1207/s15326942dn3003_5" TargetMode="External"/><Relationship Id="rId2128" Type="http://schemas.openxmlformats.org/officeDocument/2006/relationships/hyperlink" Target="https://doi.org/10.1016/j.pnpbp.2017.03.004" TargetMode="External"/><Relationship Id="rId2475" Type="http://schemas.openxmlformats.org/officeDocument/2006/relationships/hyperlink" Target="https://doi.org/10.1093/arclin/acv037" TargetMode="External"/><Relationship Id="rId2682" Type="http://schemas.openxmlformats.org/officeDocument/2006/relationships/hyperlink" Target="https://doi.org/10.1111/j.1600-0447.2011.01721.x" TargetMode="External"/><Relationship Id="rId3526" Type="http://schemas.openxmlformats.org/officeDocument/2006/relationships/hyperlink" Target="https://doi.org/10.1016/j.psychres.2008.03.014" TargetMode="External"/><Relationship Id="rId3733" Type="http://schemas.openxmlformats.org/officeDocument/2006/relationships/hyperlink" Target="https://doi.org/10.1207/s15324826an1301_6" TargetMode="External"/><Relationship Id="rId3940" Type="http://schemas.openxmlformats.org/officeDocument/2006/relationships/hyperlink" Target="https://doi.org/10.1016/j.comppsych.2018.02.008" TargetMode="External"/><Relationship Id="rId654" Type="http://schemas.openxmlformats.org/officeDocument/2006/relationships/hyperlink" Target="https://doi.org/10.1016/j.schres.2007.10.026" TargetMode="External"/><Relationship Id="rId861" Type="http://schemas.openxmlformats.org/officeDocument/2006/relationships/hyperlink" Target="https://doi.org/10.1016/j.jbtep.2015.12.004" TargetMode="External"/><Relationship Id="rId1284" Type="http://schemas.openxmlformats.org/officeDocument/2006/relationships/hyperlink" Target="https://doi.org/10.1016/j.schres.2010.10.023" TargetMode="External"/><Relationship Id="rId1491" Type="http://schemas.openxmlformats.org/officeDocument/2006/relationships/hyperlink" Target="https://doi.org/10.1016/j.yebeh.2016.07.009" TargetMode="External"/><Relationship Id="rId2335" Type="http://schemas.openxmlformats.org/officeDocument/2006/relationships/hyperlink" Target="https://doi.org/10.1002/erv.2539" TargetMode="External"/><Relationship Id="rId2542" Type="http://schemas.openxmlformats.org/officeDocument/2006/relationships/hyperlink" Target="https://doi.org/10.1097/00004583-201001000-00009" TargetMode="External"/><Relationship Id="rId3800" Type="http://schemas.openxmlformats.org/officeDocument/2006/relationships/hyperlink" Target="https://doi.org/10.1093/schbul/22.4.635" TargetMode="External"/><Relationship Id="rId5698" Type="http://schemas.openxmlformats.org/officeDocument/2006/relationships/hyperlink" Target="https://doi.org/10.1080/21622965.2012.757700" TargetMode="External"/><Relationship Id="rId307" Type="http://schemas.openxmlformats.org/officeDocument/2006/relationships/hyperlink" Target="https://doi.org/10.1097/00001756-199904260-00027" TargetMode="External"/><Relationship Id="rId514" Type="http://schemas.openxmlformats.org/officeDocument/2006/relationships/hyperlink" Target="https://doi.org/10.1037/a0032263" TargetMode="External"/><Relationship Id="rId721" Type="http://schemas.openxmlformats.org/officeDocument/2006/relationships/hyperlink" Target="https://doi.org/10.1016/j.biopsych.2005.05.010" TargetMode="External"/><Relationship Id="rId1144" Type="http://schemas.openxmlformats.org/officeDocument/2006/relationships/hyperlink" Target="https://doi.org/10.1523/JNEUROSCI.0989-14.2014" TargetMode="External"/><Relationship Id="rId1351" Type="http://schemas.openxmlformats.org/officeDocument/2006/relationships/hyperlink" Target="https://doi.org/10.1016/j.jecp.2017.10.010" TargetMode="External"/><Relationship Id="rId2402" Type="http://schemas.openxmlformats.org/officeDocument/2006/relationships/hyperlink" Target="https://doi.org/10.1027/1015-5759/a000154" TargetMode="External"/><Relationship Id="rId5558" Type="http://schemas.openxmlformats.org/officeDocument/2006/relationships/hyperlink" Target="https://doi.org/10.1016/j.ajp.2011.12.001" TargetMode="External"/><Relationship Id="rId5765" Type="http://schemas.openxmlformats.org/officeDocument/2006/relationships/hyperlink" Target="https://doi.org/10.1016/j.neuropsychologia.2017.05.027" TargetMode="External"/><Relationship Id="rId5972" Type="http://schemas.openxmlformats.org/officeDocument/2006/relationships/hyperlink" Target="https://doi.org/10.1111/j.2044-8260.1993.tb01064.x" TargetMode="External"/><Relationship Id="rId1004" Type="http://schemas.openxmlformats.org/officeDocument/2006/relationships/hyperlink" Target="https://doi.org/10.1097/00005053-200101000-00005" TargetMode="External"/><Relationship Id="rId1211" Type="http://schemas.openxmlformats.org/officeDocument/2006/relationships/hyperlink" Target="https://doi.org/10.1162/jocn_a_01228" TargetMode="External"/><Relationship Id="rId4367" Type="http://schemas.openxmlformats.org/officeDocument/2006/relationships/hyperlink" Target="https://doi.org/10.1093/schbul/sbq109" TargetMode="External"/><Relationship Id="rId4574" Type="http://schemas.openxmlformats.org/officeDocument/2006/relationships/hyperlink" Target="https://doi.org/10.1080/15504263.2012.648549" TargetMode="External"/><Relationship Id="rId4781" Type="http://schemas.openxmlformats.org/officeDocument/2006/relationships/hyperlink" Target="https://doi.org/10.2174/1570159X1203140511160832" TargetMode="External"/><Relationship Id="rId5418" Type="http://schemas.openxmlformats.org/officeDocument/2006/relationships/hyperlink" Target="https://doi.org/10.1016/j.acn.2007.04.007" TargetMode="External"/><Relationship Id="rId5625" Type="http://schemas.openxmlformats.org/officeDocument/2006/relationships/hyperlink" Target="https://doi.org/10.1093/arclin/acy093" TargetMode="External"/><Relationship Id="rId5832" Type="http://schemas.openxmlformats.org/officeDocument/2006/relationships/hyperlink" Target="https://doi.org/10.1016/j.yebeh.2019.02.021" TargetMode="External"/><Relationship Id="rId3176" Type="http://schemas.openxmlformats.org/officeDocument/2006/relationships/hyperlink" Target="https://doi.org/10.1017/S0033291714001020" TargetMode="External"/><Relationship Id="rId3383" Type="http://schemas.openxmlformats.org/officeDocument/2006/relationships/hyperlink" Target="https://doi.org/10.1212/01.WNL.0000144189.83077.8E" TargetMode="External"/><Relationship Id="rId3590" Type="http://schemas.openxmlformats.org/officeDocument/2006/relationships/hyperlink" Target="https://doi.org/10.1017/S1355617720000430" TargetMode="External"/><Relationship Id="rId4227" Type="http://schemas.openxmlformats.org/officeDocument/2006/relationships/hyperlink" Target="https://doi.org/10.1080/09602010343000309" TargetMode="External"/><Relationship Id="rId4434" Type="http://schemas.openxmlformats.org/officeDocument/2006/relationships/hyperlink" Target="https://doi.org/10.1016/j.euroneuro.2015.12.028" TargetMode="External"/><Relationship Id="rId2192" Type="http://schemas.openxmlformats.org/officeDocument/2006/relationships/hyperlink" Target="https://doi.org/10.1371/journal.pone.0029630" TargetMode="External"/><Relationship Id="rId3036" Type="http://schemas.openxmlformats.org/officeDocument/2006/relationships/hyperlink" Target="https://doi.org/10.1162/jocn.2010.21480" TargetMode="External"/><Relationship Id="rId3243" Type="http://schemas.openxmlformats.org/officeDocument/2006/relationships/hyperlink" Target="https://doi.org/10.1016/j.pscychresns.2013.04.002" TargetMode="External"/><Relationship Id="rId4641" Type="http://schemas.openxmlformats.org/officeDocument/2006/relationships/hyperlink" Target="https://doi.org/10.1016/j.psychres.2015.10.035" TargetMode="External"/><Relationship Id="rId6399" Type="http://schemas.openxmlformats.org/officeDocument/2006/relationships/hyperlink" Target="https://doi.org/10.2165/11630110-000000000-00000" TargetMode="External"/><Relationship Id="rId164" Type="http://schemas.openxmlformats.org/officeDocument/2006/relationships/hyperlink" Target="https://doi.org/10.1017/S0033291709992273" TargetMode="External"/><Relationship Id="rId371" Type="http://schemas.openxmlformats.org/officeDocument/2006/relationships/hyperlink" Target="https://doi.org/10.1016/j.jad.2012.02.041" TargetMode="External"/><Relationship Id="rId2052" Type="http://schemas.openxmlformats.org/officeDocument/2006/relationships/hyperlink" Target="https://doi.org/10.1002/hipo.20090" TargetMode="External"/><Relationship Id="rId3450" Type="http://schemas.openxmlformats.org/officeDocument/2006/relationships/hyperlink" Target="https://doi.org/10.1016/j.braindev.2004.12.009" TargetMode="External"/><Relationship Id="rId4501" Type="http://schemas.openxmlformats.org/officeDocument/2006/relationships/hyperlink" Target="https://doi.org/10.1111/j.1528-1167.2007.01482.x" TargetMode="External"/><Relationship Id="rId6259" Type="http://schemas.openxmlformats.org/officeDocument/2006/relationships/hyperlink" Target="https://doi.org/10.1093/oxfordjournals.schbul.a006907" TargetMode="External"/><Relationship Id="rId3103" Type="http://schemas.openxmlformats.org/officeDocument/2006/relationships/hyperlink" Target="https://doi.org/10.1097/WNN.0b013e318248ff1b" TargetMode="External"/><Relationship Id="rId3310" Type="http://schemas.openxmlformats.org/officeDocument/2006/relationships/hyperlink" Target="https://doi.org/10.1002/ana.20198" TargetMode="External"/><Relationship Id="rId5068" Type="http://schemas.openxmlformats.org/officeDocument/2006/relationships/hyperlink" Target="https://doi.org/10.1016/j.schres.2019.05.022" TargetMode="External"/><Relationship Id="rId6466" Type="http://schemas.openxmlformats.org/officeDocument/2006/relationships/hyperlink" Target="https://doi.org/10.1016/S0165-1781(03)00252-X" TargetMode="External"/><Relationship Id="rId231" Type="http://schemas.openxmlformats.org/officeDocument/2006/relationships/hyperlink" Target="https://doi.org/10.1016/j.schres.2015.05.013" TargetMode="External"/><Relationship Id="rId2869" Type="http://schemas.openxmlformats.org/officeDocument/2006/relationships/hyperlink" Target="https://doi.org/10.1176/appi.ajp.161.6.985" TargetMode="External"/><Relationship Id="rId5275" Type="http://schemas.openxmlformats.org/officeDocument/2006/relationships/hyperlink" Target="https://doi.org/10.1017/S1355617716000801" TargetMode="External"/><Relationship Id="rId5482" Type="http://schemas.openxmlformats.org/officeDocument/2006/relationships/hyperlink" Target="https://doi.org/10.1016/j.schres.2018.06.059" TargetMode="External"/><Relationship Id="rId6119" Type="http://schemas.openxmlformats.org/officeDocument/2006/relationships/hyperlink" Target="https://doi.org/10.1586/ern.10.160" TargetMode="External"/><Relationship Id="rId6326" Type="http://schemas.openxmlformats.org/officeDocument/2006/relationships/hyperlink" Target="https://doi.org/10.1016/j.bandl.2004.10.015" TargetMode="External"/><Relationship Id="rId6533" Type="http://schemas.openxmlformats.org/officeDocument/2006/relationships/hyperlink" Target="https://doi.org/10.3389/fpsyg.2019.00989" TargetMode="External"/><Relationship Id="rId1678" Type="http://schemas.openxmlformats.org/officeDocument/2006/relationships/hyperlink" Target="https://doi.org/10.1007/s12207-016-9254-6" TargetMode="External"/><Relationship Id="rId1885" Type="http://schemas.openxmlformats.org/officeDocument/2006/relationships/hyperlink" Target="https://doi.org/10.1016/j.biopsych.2005.05.020" TargetMode="External"/><Relationship Id="rId2729" Type="http://schemas.openxmlformats.org/officeDocument/2006/relationships/hyperlink" Target="https://doi.org/10.1155/2006/812760" TargetMode="External"/><Relationship Id="rId2936" Type="http://schemas.openxmlformats.org/officeDocument/2006/relationships/hyperlink" Target="https://doi.org/10.1080/87565641.2014.962695" TargetMode="External"/><Relationship Id="rId4084" Type="http://schemas.openxmlformats.org/officeDocument/2006/relationships/hyperlink" Target="https://doi.org/10.1016/j.jad.2005.12.005" TargetMode="External"/><Relationship Id="rId4291" Type="http://schemas.openxmlformats.org/officeDocument/2006/relationships/hyperlink" Target="https://doi.org/10.1002/acp.1771" TargetMode="External"/><Relationship Id="rId5135" Type="http://schemas.openxmlformats.org/officeDocument/2006/relationships/hyperlink" Target="https://doi.org/10.1111/j.2044-8295.2011.02043.x" TargetMode="External"/><Relationship Id="rId5342" Type="http://schemas.openxmlformats.org/officeDocument/2006/relationships/hyperlink" Target="https://doi.org/10.1016/j.cognition.2008.11.002" TargetMode="External"/><Relationship Id="rId908" Type="http://schemas.openxmlformats.org/officeDocument/2006/relationships/hyperlink" Target="https://doi.org/10.1016/j.psychres.2008.06.027" TargetMode="External"/><Relationship Id="rId1538" Type="http://schemas.openxmlformats.org/officeDocument/2006/relationships/hyperlink" Target="https://doi.org/10.1017/S1355617709090572" TargetMode="External"/><Relationship Id="rId4151" Type="http://schemas.openxmlformats.org/officeDocument/2006/relationships/hyperlink" Target="https://doi.org/10.1016/j.schres.2006.11.025" TargetMode="External"/><Relationship Id="rId5202" Type="http://schemas.openxmlformats.org/officeDocument/2006/relationships/hyperlink" Target="https://doi.org/10.1097/00001756-200405190-00023" TargetMode="External"/><Relationship Id="rId1745" Type="http://schemas.openxmlformats.org/officeDocument/2006/relationships/hyperlink" Target="https://doi.org/10.1093/med/9780199934959.003.0078" TargetMode="External"/><Relationship Id="rId1952" Type="http://schemas.openxmlformats.org/officeDocument/2006/relationships/hyperlink" Target="https://doi.org/10.1016/j.schres.2013.03.020" TargetMode="External"/><Relationship Id="rId4011" Type="http://schemas.openxmlformats.org/officeDocument/2006/relationships/hyperlink" Target="https://doi.org/10.1017/S0033291717000939" TargetMode="External"/><Relationship Id="rId37" Type="http://schemas.openxmlformats.org/officeDocument/2006/relationships/hyperlink" Target="https://doi.org/10.1093/schbul/sbw152" TargetMode="External"/><Relationship Id="rId1605" Type="http://schemas.openxmlformats.org/officeDocument/2006/relationships/hyperlink" Target="http://search.ebscohost.com/login.aspx?direct=true&amp;db=psyh&amp;AN=2013-17458-012&amp;site=ehost-live" TargetMode="External"/><Relationship Id="rId1812" Type="http://schemas.openxmlformats.org/officeDocument/2006/relationships/hyperlink" Target="https://doi.org/10.1080/13682820500138572" TargetMode="External"/><Relationship Id="rId4968" Type="http://schemas.openxmlformats.org/officeDocument/2006/relationships/hyperlink" Target="https://doi.org/10.6018/analesps.35.2.336251" TargetMode="External"/><Relationship Id="rId6183" Type="http://schemas.openxmlformats.org/officeDocument/2006/relationships/hyperlink" Target="https://doi.org/10.1002/hipo.22115" TargetMode="External"/><Relationship Id="rId3777" Type="http://schemas.openxmlformats.org/officeDocument/2006/relationships/hyperlink" Target="https://doi.org/10.1016/j.amepre.2011.04.014" TargetMode="External"/><Relationship Id="rId3984" Type="http://schemas.openxmlformats.org/officeDocument/2006/relationships/hyperlink" Target="https://doi.org/10.1037/0735-7044.116.3.387" TargetMode="External"/><Relationship Id="rId4828" Type="http://schemas.openxmlformats.org/officeDocument/2006/relationships/hyperlink" Target="https://doi.org/10.1080/13546805.2016.1184134" TargetMode="External"/><Relationship Id="rId6390" Type="http://schemas.openxmlformats.org/officeDocument/2006/relationships/hyperlink" Target="https://doi.org/10.1136/jnnp.2010.207274" TargetMode="External"/><Relationship Id="rId698" Type="http://schemas.openxmlformats.org/officeDocument/2006/relationships/hyperlink" Target="https://doi.org/10.4236/psych.2013.43A034" TargetMode="External"/><Relationship Id="rId2379" Type="http://schemas.openxmlformats.org/officeDocument/2006/relationships/hyperlink" Target="https://doi.org/10.1016/j.jad.2010.11.011" TargetMode="External"/><Relationship Id="rId2586" Type="http://schemas.openxmlformats.org/officeDocument/2006/relationships/hyperlink" Target="https://doi.org/10.1016/j.jad.2017.07.052" TargetMode="External"/><Relationship Id="rId2793" Type="http://schemas.openxmlformats.org/officeDocument/2006/relationships/hyperlink" Target="https://doi.org/10.1016/j.neuropsychologia.2013.05.021" TargetMode="External"/><Relationship Id="rId3637" Type="http://schemas.openxmlformats.org/officeDocument/2006/relationships/hyperlink" Target="https://doi.org/10.1016/j.jns.2019.02.002" TargetMode="External"/><Relationship Id="rId3844" Type="http://schemas.openxmlformats.org/officeDocument/2006/relationships/hyperlink" Target="https://doi.org/10.3109/00207459809003345" TargetMode="External"/><Relationship Id="rId6043" Type="http://schemas.openxmlformats.org/officeDocument/2006/relationships/hyperlink" Target="https://doi.org/10.1016/j.schres.2012.11.006" TargetMode="External"/><Relationship Id="rId6250" Type="http://schemas.openxmlformats.org/officeDocument/2006/relationships/hyperlink" Target="https://doi.org/10.1111/cp.12118" TargetMode="External"/><Relationship Id="rId558" Type="http://schemas.openxmlformats.org/officeDocument/2006/relationships/hyperlink" Target="https://doi.org/10.1002/ddrr.83" TargetMode="External"/><Relationship Id="rId765" Type="http://schemas.openxmlformats.org/officeDocument/2006/relationships/hyperlink" Target="https://doi.org/10.1080/138255891007065" TargetMode="External"/><Relationship Id="rId972" Type="http://schemas.openxmlformats.org/officeDocument/2006/relationships/hyperlink" Target="https://doi.org/10.1016/j.sleep.2011.03.018" TargetMode="External"/><Relationship Id="rId1188" Type="http://schemas.openxmlformats.org/officeDocument/2006/relationships/hyperlink" Target="https://doi.org/10.1016/j.bandc.2010.11.005" TargetMode="External"/><Relationship Id="rId1395" Type="http://schemas.openxmlformats.org/officeDocument/2006/relationships/hyperlink" Target="https://doi.org/10.1080/00207450600910085" TargetMode="External"/><Relationship Id="rId2239" Type="http://schemas.openxmlformats.org/officeDocument/2006/relationships/hyperlink" Target="https://doi.org/10.1016/j.jocrd.2013.10.005" TargetMode="External"/><Relationship Id="rId2446" Type="http://schemas.openxmlformats.org/officeDocument/2006/relationships/hyperlink" Target="https://doi.org/10.1017/S1355617720000958" TargetMode="External"/><Relationship Id="rId2653" Type="http://schemas.openxmlformats.org/officeDocument/2006/relationships/hyperlink" Target="https://doi.org/10.1016/j.biopsych.2014.03.014" TargetMode="External"/><Relationship Id="rId2860" Type="http://schemas.openxmlformats.org/officeDocument/2006/relationships/hyperlink" Target="https://doi.org/10.1007/s10803-009-0689-4" TargetMode="External"/><Relationship Id="rId3704" Type="http://schemas.openxmlformats.org/officeDocument/2006/relationships/hyperlink" Target="https://doi.org/10.1016/j.psychres.2006.03.002" TargetMode="External"/><Relationship Id="rId6110" Type="http://schemas.openxmlformats.org/officeDocument/2006/relationships/hyperlink" Target="https://doi.org/10.1007/s00213-004-1832-8" TargetMode="External"/><Relationship Id="rId418" Type="http://schemas.openxmlformats.org/officeDocument/2006/relationships/hyperlink" Target="https://doi.org/10.1037/prj0000211" TargetMode="External"/><Relationship Id="rId625" Type="http://schemas.openxmlformats.org/officeDocument/2006/relationships/hyperlink" Target="https://doi.org/10.1159/000065417" TargetMode="External"/><Relationship Id="rId832" Type="http://schemas.openxmlformats.org/officeDocument/2006/relationships/hyperlink" Target="https://doi.org/10.1016/j.paid.2011.06.018" TargetMode="External"/><Relationship Id="rId1048" Type="http://schemas.openxmlformats.org/officeDocument/2006/relationships/hyperlink" Target="https://doi.org/10.1001/jamaneurol.2015.4773" TargetMode="External"/><Relationship Id="rId1255" Type="http://schemas.openxmlformats.org/officeDocument/2006/relationships/hyperlink" Target="https://doi.org/10.1080/15504263.2016.1146384" TargetMode="External"/><Relationship Id="rId1462" Type="http://schemas.openxmlformats.org/officeDocument/2006/relationships/hyperlink" Target="https://doi.org/10.1007/s10548-017-0607-6" TargetMode="External"/><Relationship Id="rId2306" Type="http://schemas.openxmlformats.org/officeDocument/2006/relationships/hyperlink" Target="https://doi.org/10.1111/jir.12370" TargetMode="External"/><Relationship Id="rId2513" Type="http://schemas.openxmlformats.org/officeDocument/2006/relationships/hyperlink" Target="https://doi.org/10.1080/02687038.2012.751578" TargetMode="External"/><Relationship Id="rId3911" Type="http://schemas.openxmlformats.org/officeDocument/2006/relationships/hyperlink" Target="https://doi.org/10.1016/j.comppsych.2012.12.014" TargetMode="External"/><Relationship Id="rId5669" Type="http://schemas.openxmlformats.org/officeDocument/2006/relationships/hyperlink" Target="https://doi.org/10.1016/S0022-3956(03)00071-2" TargetMode="External"/><Relationship Id="rId5876" Type="http://schemas.openxmlformats.org/officeDocument/2006/relationships/hyperlink" Target="https://doi.org/10.1016/S0028-3932(99)00108-6" TargetMode="External"/><Relationship Id="rId1115" Type="http://schemas.openxmlformats.org/officeDocument/2006/relationships/hyperlink" Target="https://doi.org/10.1016/j.cortex.2020.12.027" TargetMode="External"/><Relationship Id="rId1322" Type="http://schemas.openxmlformats.org/officeDocument/2006/relationships/hyperlink" Target="https://doi.org/10.1016/j.ijpsycho.2010.10.004" TargetMode="External"/><Relationship Id="rId2720" Type="http://schemas.openxmlformats.org/officeDocument/2006/relationships/hyperlink" Target="https://doi.org/10.1007/s10936-017-9518-7" TargetMode="External"/><Relationship Id="rId4478" Type="http://schemas.openxmlformats.org/officeDocument/2006/relationships/hyperlink" Target="https://doi.org/10.1162/089892905775008661" TargetMode="External"/><Relationship Id="rId5529" Type="http://schemas.openxmlformats.org/officeDocument/2006/relationships/hyperlink" Target="https://doi.org/10.1038/nature12818" TargetMode="External"/><Relationship Id="rId3287" Type="http://schemas.openxmlformats.org/officeDocument/2006/relationships/hyperlink" Target="https://doi.org/10.1080/13854046.2017.1418024" TargetMode="External"/><Relationship Id="rId4338" Type="http://schemas.openxmlformats.org/officeDocument/2006/relationships/hyperlink" Target="https://doi.org/10.1093/schbul/sbj002" TargetMode="External"/><Relationship Id="rId4685" Type="http://schemas.openxmlformats.org/officeDocument/2006/relationships/hyperlink" Target="https://doi.org/10.1016/j.appet.2017.12.023" TargetMode="External"/><Relationship Id="rId4892" Type="http://schemas.openxmlformats.org/officeDocument/2006/relationships/hyperlink" Target="https://doi.org/10.1016/j.acn.2003.12.009" TargetMode="External"/><Relationship Id="rId5736" Type="http://schemas.openxmlformats.org/officeDocument/2006/relationships/hyperlink" Target="https://doi.org/10.1375/twin.9.6.958" TargetMode="External"/><Relationship Id="rId5943" Type="http://schemas.openxmlformats.org/officeDocument/2006/relationships/hyperlink" Target="https://doi.org/10.1177/0883073813520503" TargetMode="External"/><Relationship Id="rId2096" Type="http://schemas.openxmlformats.org/officeDocument/2006/relationships/hyperlink" Target="https://doi.org/10.1016/j.schres.2008.08.012" TargetMode="External"/><Relationship Id="rId3494" Type="http://schemas.openxmlformats.org/officeDocument/2006/relationships/hyperlink" Target="https://doi.org/10.1055/s-0034-1366460" TargetMode="External"/><Relationship Id="rId4545" Type="http://schemas.openxmlformats.org/officeDocument/2006/relationships/hyperlink" Target="https://doi.org/10.1016/j.schres.2010.06.007" TargetMode="External"/><Relationship Id="rId4752" Type="http://schemas.openxmlformats.org/officeDocument/2006/relationships/hyperlink" Target="https://doi.org/10.1016/j.schres.2006.05.012" TargetMode="External"/><Relationship Id="rId5803" Type="http://schemas.openxmlformats.org/officeDocument/2006/relationships/hyperlink" Target="https://doi.org/10.1097/WNN.0000000000000122" TargetMode="External"/><Relationship Id="rId3147" Type="http://schemas.openxmlformats.org/officeDocument/2006/relationships/hyperlink" Target="https://doi.org/10.1177/1087054710397800" TargetMode="External"/><Relationship Id="rId3354" Type="http://schemas.openxmlformats.org/officeDocument/2006/relationships/hyperlink" Target="https://doi.org/10.3724/SP.J.1041.2009.01102" TargetMode="External"/><Relationship Id="rId3561" Type="http://schemas.openxmlformats.org/officeDocument/2006/relationships/hyperlink" Target="https://doi.org/10.1016/j.comppsych.2017.02.013" TargetMode="External"/><Relationship Id="rId4405" Type="http://schemas.openxmlformats.org/officeDocument/2006/relationships/hyperlink" Target="https://doi.org/10.1097/NMD.0000000000000259" TargetMode="External"/><Relationship Id="rId4612" Type="http://schemas.openxmlformats.org/officeDocument/2006/relationships/hyperlink" Target="https://doi.org/10.1080/13803395.2014.890700" TargetMode="External"/><Relationship Id="rId275" Type="http://schemas.openxmlformats.org/officeDocument/2006/relationships/hyperlink" Target="https://doi.org/10.1097/01.wnn.0000178230.46691.c7" TargetMode="External"/><Relationship Id="rId482" Type="http://schemas.openxmlformats.org/officeDocument/2006/relationships/hyperlink" Target="https://doi.org/10.1111/j.1479-8425.2012.00547.x" TargetMode="External"/><Relationship Id="rId2163" Type="http://schemas.openxmlformats.org/officeDocument/2006/relationships/hyperlink" Target="https://doi.org/10.1177/0734282909335574" TargetMode="External"/><Relationship Id="rId2370" Type="http://schemas.openxmlformats.org/officeDocument/2006/relationships/hyperlink" Target="https://doi.org/10.1016/j.bbr.2013.01.027" TargetMode="External"/><Relationship Id="rId3007" Type="http://schemas.openxmlformats.org/officeDocument/2006/relationships/hyperlink" Target="https://doi.org/10.1016/j.pnpbp.2012.02.001" TargetMode="External"/><Relationship Id="rId3214" Type="http://schemas.openxmlformats.org/officeDocument/2006/relationships/hyperlink" Target="https://doi.org/10.1076/clin.17.3.410.18089" TargetMode="External"/><Relationship Id="rId3421" Type="http://schemas.openxmlformats.org/officeDocument/2006/relationships/hyperlink" Target="https://doi.org/10.3389/fnhum.2018.00035" TargetMode="External"/><Relationship Id="rId135" Type="http://schemas.openxmlformats.org/officeDocument/2006/relationships/hyperlink" Target="https://doi.org/10.1016/j.jpsychires.2013.07.008" TargetMode="External"/><Relationship Id="rId342" Type="http://schemas.openxmlformats.org/officeDocument/2006/relationships/hyperlink" Target="https://doi.org/10.1016/S0893-133X(99)00077-9" TargetMode="External"/><Relationship Id="rId2023" Type="http://schemas.openxmlformats.org/officeDocument/2006/relationships/hyperlink" Target="https://doi.org/10.1179/2047387714Y.0000000047" TargetMode="External"/><Relationship Id="rId2230" Type="http://schemas.openxmlformats.org/officeDocument/2006/relationships/hyperlink" Target="https://doi.org/10.1016/j.euroneuro.2010.08.003" TargetMode="External"/><Relationship Id="rId5179" Type="http://schemas.openxmlformats.org/officeDocument/2006/relationships/hyperlink" Target="https://doi.org/10.1016/j.schres.2009.07.016" TargetMode="External"/><Relationship Id="rId5386" Type="http://schemas.openxmlformats.org/officeDocument/2006/relationships/hyperlink" Target="https://doi.org/10.5665/sleep.3468" TargetMode="External"/><Relationship Id="rId5593" Type="http://schemas.openxmlformats.org/officeDocument/2006/relationships/hyperlink" Target="https://doi.org/10.1016/j.acn.2007.01.025" TargetMode="External"/><Relationship Id="rId6437" Type="http://schemas.openxmlformats.org/officeDocument/2006/relationships/hyperlink" Target="https://doi.org/10.3233/NRE-172396" TargetMode="External"/><Relationship Id="rId202" Type="http://schemas.openxmlformats.org/officeDocument/2006/relationships/hyperlink" Target="https://doi.org/10.1016/S0887-6177(98)00007-9" TargetMode="External"/><Relationship Id="rId4195" Type="http://schemas.openxmlformats.org/officeDocument/2006/relationships/hyperlink" Target="https://doi.org/10.1016/j.jns.2007.04.021" TargetMode="External"/><Relationship Id="rId5039" Type="http://schemas.openxmlformats.org/officeDocument/2006/relationships/hyperlink" Target="https://doi.org/10.1080/13803395.2014.985190" TargetMode="External"/><Relationship Id="rId5246" Type="http://schemas.openxmlformats.org/officeDocument/2006/relationships/hyperlink" Target="https://doi.org/10.1016/j.clinph.2009.12.031" TargetMode="External"/><Relationship Id="rId5453" Type="http://schemas.openxmlformats.org/officeDocument/2006/relationships/hyperlink" Target="https://doi.org/10.1016/S0001-6918(00)00030-5" TargetMode="External"/><Relationship Id="rId6504" Type="http://schemas.openxmlformats.org/officeDocument/2006/relationships/hyperlink" Target="https://doi.org/10.2147/NDT.S179534" TargetMode="External"/><Relationship Id="rId1789" Type="http://schemas.openxmlformats.org/officeDocument/2006/relationships/hyperlink" Target="https://doi.org/10.1016/j.schres.2020.11.013" TargetMode="External"/><Relationship Id="rId1996" Type="http://schemas.openxmlformats.org/officeDocument/2006/relationships/hyperlink" Target="https://doi.org/10.1016/j.psychres.2017.04.065" TargetMode="External"/><Relationship Id="rId4055" Type="http://schemas.openxmlformats.org/officeDocument/2006/relationships/hyperlink" Target="https://doi.org/10.1177/1087054710366384" TargetMode="External"/><Relationship Id="rId4262" Type="http://schemas.openxmlformats.org/officeDocument/2006/relationships/hyperlink" Target="https://doi.org/10.1136/jnnp.73.4.377" TargetMode="External"/><Relationship Id="rId5106" Type="http://schemas.openxmlformats.org/officeDocument/2006/relationships/hyperlink" Target="https://doi.org/10.1080/13803390903042379" TargetMode="External"/><Relationship Id="rId5660" Type="http://schemas.openxmlformats.org/officeDocument/2006/relationships/hyperlink" Target="https://doi.org/10.1016/j.pscychresns.2005.05.014" TargetMode="External"/><Relationship Id="rId1649" Type="http://schemas.openxmlformats.org/officeDocument/2006/relationships/hyperlink" Target="https://doi.org/10.1016/j.cortex.2012.07.003" TargetMode="External"/><Relationship Id="rId1856" Type="http://schemas.openxmlformats.org/officeDocument/2006/relationships/hyperlink" Target="https://doi.org/10.1177/1533317512473192" TargetMode="External"/><Relationship Id="rId2907" Type="http://schemas.openxmlformats.org/officeDocument/2006/relationships/hyperlink" Target="https://doi.org/10.1037/0894-4105.19.5.649" TargetMode="External"/><Relationship Id="rId3071" Type="http://schemas.openxmlformats.org/officeDocument/2006/relationships/hyperlink" Target="https://doi.org/10.1123/japa.2015-0264" TargetMode="External"/><Relationship Id="rId5313" Type="http://schemas.openxmlformats.org/officeDocument/2006/relationships/hyperlink" Target="https://doi.org/10.1080/13803390701380617" TargetMode="External"/><Relationship Id="rId5520" Type="http://schemas.openxmlformats.org/officeDocument/2006/relationships/hyperlink" Target="https://doi.org/10.1177/0883073816685652" TargetMode="External"/><Relationship Id="rId1509" Type="http://schemas.openxmlformats.org/officeDocument/2006/relationships/hyperlink" Target="https://doi.org/10.1017/S0033291711002686" TargetMode="External"/><Relationship Id="rId1716" Type="http://schemas.openxmlformats.org/officeDocument/2006/relationships/hyperlink" Target="https://doi.org/10.1002/dys.342" TargetMode="External"/><Relationship Id="rId1923" Type="http://schemas.openxmlformats.org/officeDocument/2006/relationships/hyperlink" Target="https://doi.org/10.1016/j.jad.2016.02.005" TargetMode="External"/><Relationship Id="rId4122" Type="http://schemas.openxmlformats.org/officeDocument/2006/relationships/hyperlink" Target="https://doi.org/10.1080/87565641.2016.1170129" TargetMode="External"/><Relationship Id="rId3888" Type="http://schemas.openxmlformats.org/officeDocument/2006/relationships/hyperlink" Target="https://doi.org/10.1016/j.yebeh.2011.09.016" TargetMode="External"/><Relationship Id="rId4939" Type="http://schemas.openxmlformats.org/officeDocument/2006/relationships/hyperlink" Target="https://doi.org/10.1080/09084282.2011.595461" TargetMode="External"/><Relationship Id="rId6087" Type="http://schemas.openxmlformats.org/officeDocument/2006/relationships/hyperlink" Target="https://doi.org/10.1016/j.schres.2006.06.013" TargetMode="External"/><Relationship Id="rId6294" Type="http://schemas.openxmlformats.org/officeDocument/2006/relationships/hyperlink" Target="https://doi.org/10.1136/jnnp.2005.070763" TargetMode="External"/><Relationship Id="rId2697" Type="http://schemas.openxmlformats.org/officeDocument/2006/relationships/hyperlink" Target="https://doi.org/10.1016/j.aap.2012.11.013" TargetMode="External"/><Relationship Id="rId3748" Type="http://schemas.openxmlformats.org/officeDocument/2006/relationships/hyperlink" Target="https://doi.org/10.1016/j.jns.2006.01.008" TargetMode="External"/><Relationship Id="rId6154" Type="http://schemas.openxmlformats.org/officeDocument/2006/relationships/hyperlink" Target="https://doi.org/10.1016/j.pnpbp.2013.07.012" TargetMode="External"/><Relationship Id="rId6361" Type="http://schemas.openxmlformats.org/officeDocument/2006/relationships/hyperlink" Target="https://doi.org/10.3389/fnagi.2020.602191" TargetMode="External"/><Relationship Id="rId669" Type="http://schemas.openxmlformats.org/officeDocument/2006/relationships/hyperlink" Target="https://doi.org/10.1007/s12311-011-0318-6" TargetMode="External"/><Relationship Id="rId876" Type="http://schemas.openxmlformats.org/officeDocument/2006/relationships/hyperlink" Target="https://doi.org/10.1017/S1355617719000420" TargetMode="External"/><Relationship Id="rId1299" Type="http://schemas.openxmlformats.org/officeDocument/2006/relationships/hyperlink" Target="https://doi.org/10.1080/13854046.2011.560190" TargetMode="External"/><Relationship Id="rId2557" Type="http://schemas.openxmlformats.org/officeDocument/2006/relationships/hyperlink" Target="https://doi.org/10.1007/s00787-011-0209-x" TargetMode="External"/><Relationship Id="rId3608" Type="http://schemas.openxmlformats.org/officeDocument/2006/relationships/hyperlink" Target="https://doi.org/10.1016/j.jad.2008.03.019" TargetMode="External"/><Relationship Id="rId3955" Type="http://schemas.openxmlformats.org/officeDocument/2006/relationships/hyperlink" Target="https://doi.org/10.1016/j.rcp.2016.01.003" TargetMode="External"/><Relationship Id="rId5170" Type="http://schemas.openxmlformats.org/officeDocument/2006/relationships/hyperlink" Target="https://doi.org/10.1076/jcen.25.7.933.16493" TargetMode="External"/><Relationship Id="rId6014" Type="http://schemas.openxmlformats.org/officeDocument/2006/relationships/hyperlink" Target="https://doi.org/10.1037/a0027989" TargetMode="External"/><Relationship Id="rId6221" Type="http://schemas.openxmlformats.org/officeDocument/2006/relationships/hyperlink" Target="https://doi.org/10.1016/j.neurol.2013.06.002" TargetMode="External"/><Relationship Id="rId529" Type="http://schemas.openxmlformats.org/officeDocument/2006/relationships/hyperlink" Target="https://doi.org/10.1037/10776-010" TargetMode="External"/><Relationship Id="rId736" Type="http://schemas.openxmlformats.org/officeDocument/2006/relationships/hyperlink" Target="https://doi.org/10.1097/JCP.0000000000000730" TargetMode="External"/><Relationship Id="rId1159" Type="http://schemas.openxmlformats.org/officeDocument/2006/relationships/hyperlink" Target="https://doi.org/10.1080/02687030902756439" TargetMode="External"/><Relationship Id="rId1366" Type="http://schemas.openxmlformats.org/officeDocument/2006/relationships/hyperlink" Target="https://doi.org/10.1016/j.pnpbp.2015.08.014" TargetMode="External"/><Relationship Id="rId2417" Type="http://schemas.openxmlformats.org/officeDocument/2006/relationships/hyperlink" Target="https://doi.org/10.1111/j.1399-5618.2012.01004.x" TargetMode="External"/><Relationship Id="rId2764" Type="http://schemas.openxmlformats.org/officeDocument/2006/relationships/hyperlink" Target="https://doi.org/10.1111/ene.12743" TargetMode="External"/><Relationship Id="rId2971" Type="http://schemas.openxmlformats.org/officeDocument/2006/relationships/hyperlink" Target="https://doi.org/10.1016/j.biopsycho.2014.02.004" TargetMode="External"/><Relationship Id="rId3815" Type="http://schemas.openxmlformats.org/officeDocument/2006/relationships/hyperlink" Target="https://doi.org/10.1093/schbul/sbn182" TargetMode="External"/><Relationship Id="rId5030" Type="http://schemas.openxmlformats.org/officeDocument/2006/relationships/hyperlink" Target="https://doi.org/10.1080/09602011.2010.528966" TargetMode="External"/><Relationship Id="rId943" Type="http://schemas.openxmlformats.org/officeDocument/2006/relationships/hyperlink" Target="https://doi.org/10.1016/j.schres.2005.08.011" TargetMode="External"/><Relationship Id="rId1019" Type="http://schemas.openxmlformats.org/officeDocument/2006/relationships/hyperlink" Target="https://doi.org/10.1016/j.psyneuen.2016.10.020" TargetMode="External"/><Relationship Id="rId1573" Type="http://schemas.openxmlformats.org/officeDocument/2006/relationships/hyperlink" Target="https://doi.org/10.1016/j.drugalcdep.2011.09.019" TargetMode="External"/><Relationship Id="rId1780" Type="http://schemas.openxmlformats.org/officeDocument/2006/relationships/hyperlink" Target="https://doi.org/10.1037/0894-4105.18.3.514" TargetMode="External"/><Relationship Id="rId2624" Type="http://schemas.openxmlformats.org/officeDocument/2006/relationships/hyperlink" Target="https://doi.org/10.1016/j.neuropsychologia.2008.08.021" TargetMode="External"/><Relationship Id="rId2831" Type="http://schemas.openxmlformats.org/officeDocument/2006/relationships/hyperlink" Target="https://doi.org/10.1080/14789949.2016.1152589" TargetMode="External"/><Relationship Id="rId5987" Type="http://schemas.openxmlformats.org/officeDocument/2006/relationships/hyperlink" Target="https://doi.org/10.1017/S1355617707070117" TargetMode="External"/><Relationship Id="rId72" Type="http://schemas.openxmlformats.org/officeDocument/2006/relationships/hyperlink" Target="https://doi.org/10.1016/S0278-5846(02)00217-8" TargetMode="External"/><Relationship Id="rId803" Type="http://schemas.openxmlformats.org/officeDocument/2006/relationships/hyperlink" Target="https://doi.org/10.1093/brain/awn336" TargetMode="External"/><Relationship Id="rId1226" Type="http://schemas.openxmlformats.org/officeDocument/2006/relationships/hyperlink" Target="https://doi.org/10.1016/S0887-6177(00)00075-5" TargetMode="External"/><Relationship Id="rId1433" Type="http://schemas.openxmlformats.org/officeDocument/2006/relationships/hyperlink" Target="https://doi.org/10.1016/j.neuropsychologia.2004.09.012" TargetMode="External"/><Relationship Id="rId1640" Type="http://schemas.openxmlformats.org/officeDocument/2006/relationships/hyperlink" Target="https://doi.org/10.1007/s11469-017-9804-5" TargetMode="External"/><Relationship Id="rId4589" Type="http://schemas.openxmlformats.org/officeDocument/2006/relationships/hyperlink" Target="https://doi.org/10.1016/j.cortex.2020.05.015" TargetMode="External"/><Relationship Id="rId4796" Type="http://schemas.openxmlformats.org/officeDocument/2006/relationships/hyperlink" Target="https://doi.org/10.1016/j.psychres.2008.06.018" TargetMode="External"/><Relationship Id="rId5847" Type="http://schemas.openxmlformats.org/officeDocument/2006/relationships/hyperlink" Target="https://doi.org/10.1111/jnp.12045" TargetMode="External"/><Relationship Id="rId1500" Type="http://schemas.openxmlformats.org/officeDocument/2006/relationships/hyperlink" Target="https://doi.org/10.1159/000090703" TargetMode="External"/><Relationship Id="rId3398" Type="http://schemas.openxmlformats.org/officeDocument/2006/relationships/hyperlink" Target="https://doi.org/10.1002/hbm.24343" TargetMode="External"/><Relationship Id="rId4449" Type="http://schemas.openxmlformats.org/officeDocument/2006/relationships/hyperlink" Target="https://doi.org/10.1016/j.psychres.2017.11.032" TargetMode="External"/><Relationship Id="rId4656" Type="http://schemas.openxmlformats.org/officeDocument/2006/relationships/hyperlink" Target="https://doi.org/10.1016/j.schres.2009.07.006" TargetMode="External"/><Relationship Id="rId4863" Type="http://schemas.openxmlformats.org/officeDocument/2006/relationships/hyperlink" Target="https://doi.org/10.1017/S1355617704104116" TargetMode="External"/><Relationship Id="rId5707" Type="http://schemas.openxmlformats.org/officeDocument/2006/relationships/hyperlink" Target="https://doi.org/10.1016/j.psychres.2016.01.005" TargetMode="External"/><Relationship Id="rId5914" Type="http://schemas.openxmlformats.org/officeDocument/2006/relationships/hyperlink" Target="https://doi.org/10.3389/fpsyg.2017.01459" TargetMode="External"/><Relationship Id="rId3258" Type="http://schemas.openxmlformats.org/officeDocument/2006/relationships/hyperlink" Target="https://doi.org/10.1016/j.jpsychires.2006.03.001" TargetMode="External"/><Relationship Id="rId3465" Type="http://schemas.openxmlformats.org/officeDocument/2006/relationships/hyperlink" Target="https://doi.org/10.1016/j.addbeh.2017.04.013" TargetMode="External"/><Relationship Id="rId3672" Type="http://schemas.openxmlformats.org/officeDocument/2006/relationships/hyperlink" Target="https://doi.org/10.1080/13803395.2011.574606" TargetMode="External"/><Relationship Id="rId4309" Type="http://schemas.openxmlformats.org/officeDocument/2006/relationships/hyperlink" Target="https://doi.org/10.1016/j.jad.2018.04.036" TargetMode="External"/><Relationship Id="rId4516" Type="http://schemas.openxmlformats.org/officeDocument/2006/relationships/hyperlink" Target="https://doi.org/10.1007/s00702-016-1549-y" TargetMode="External"/><Relationship Id="rId4723" Type="http://schemas.openxmlformats.org/officeDocument/2006/relationships/hyperlink" Target="https://doi.org/10.1016/j.neurobiolaging.2009.05.015" TargetMode="External"/><Relationship Id="rId179" Type="http://schemas.openxmlformats.org/officeDocument/2006/relationships/hyperlink" Target="https://doi.org/10.1080/09297049.2019.1711034" TargetMode="External"/><Relationship Id="rId386" Type="http://schemas.openxmlformats.org/officeDocument/2006/relationships/hyperlink" Target="https://doi.org/10.1016/j.jagp.2014.09.003" TargetMode="External"/><Relationship Id="rId593" Type="http://schemas.openxmlformats.org/officeDocument/2006/relationships/hyperlink" Target="https://doi.org/10.1016/j.jad.2009.05.014" TargetMode="External"/><Relationship Id="rId2067" Type="http://schemas.openxmlformats.org/officeDocument/2006/relationships/hyperlink" Target="https://doi.org/10.1155/2009/879576" TargetMode="External"/><Relationship Id="rId2274" Type="http://schemas.openxmlformats.org/officeDocument/2006/relationships/hyperlink" Target="https://doi.org/10.1016/j.jagp.2015.07.010" TargetMode="External"/><Relationship Id="rId2481" Type="http://schemas.openxmlformats.org/officeDocument/2006/relationships/hyperlink" Target="https://doi.org/10.1080/02687030544000173" TargetMode="External"/><Relationship Id="rId3118" Type="http://schemas.openxmlformats.org/officeDocument/2006/relationships/hyperlink" Target="https://doi.org/10.1038/sj.npp.1300252" TargetMode="External"/><Relationship Id="rId3325" Type="http://schemas.openxmlformats.org/officeDocument/2006/relationships/hyperlink" Target="https://doi.org/10.1176/ajp.153.10.1347" TargetMode="External"/><Relationship Id="rId3532" Type="http://schemas.openxmlformats.org/officeDocument/2006/relationships/hyperlink" Target="https://doi.org/10.1111/j.2044-8260.2010.02003.x" TargetMode="External"/><Relationship Id="rId4930" Type="http://schemas.openxmlformats.org/officeDocument/2006/relationships/hyperlink" Target="https://doi.org/10.1111/j.1600-0447.1997.tb00371.x" TargetMode="External"/><Relationship Id="rId246" Type="http://schemas.openxmlformats.org/officeDocument/2006/relationships/hyperlink" Target="https://doi.org/10.1590/1516-4446-2013-1299" TargetMode="External"/><Relationship Id="rId453" Type="http://schemas.openxmlformats.org/officeDocument/2006/relationships/hyperlink" Target="https://doi.org/10.1007/978-1-4939-0784-7_4" TargetMode="External"/><Relationship Id="rId660" Type="http://schemas.openxmlformats.org/officeDocument/2006/relationships/hyperlink" Target="https://doi.org/10.1016/j.pnpbp.2005.11.017" TargetMode="External"/><Relationship Id="rId1083" Type="http://schemas.openxmlformats.org/officeDocument/2006/relationships/hyperlink" Target="https://doi.org/10.1016/j.comppsych.2016.06.014" TargetMode="External"/><Relationship Id="rId1290" Type="http://schemas.openxmlformats.org/officeDocument/2006/relationships/hyperlink" Target="https://doi.org/10.1016/j.pscychresns.2018.04.006" TargetMode="External"/><Relationship Id="rId2134" Type="http://schemas.openxmlformats.org/officeDocument/2006/relationships/hyperlink" Target="https://doi.org/10.1080/00207450500516537" TargetMode="External"/><Relationship Id="rId2341" Type="http://schemas.openxmlformats.org/officeDocument/2006/relationships/hyperlink" Target="https://doi.org/10.1111/j.2044-8260.2011.02026.x" TargetMode="External"/><Relationship Id="rId5497" Type="http://schemas.openxmlformats.org/officeDocument/2006/relationships/hyperlink" Target="https://doi.org/10.1002/eat.23143" TargetMode="External"/><Relationship Id="rId6548" Type="http://schemas.openxmlformats.org/officeDocument/2006/relationships/fontTable" Target="fontTable.xml"/><Relationship Id="rId106" Type="http://schemas.openxmlformats.org/officeDocument/2006/relationships/hyperlink" Target="https://doi.org/10.1089/neu.2016.4536" TargetMode="External"/><Relationship Id="rId313" Type="http://schemas.openxmlformats.org/officeDocument/2006/relationships/hyperlink" Target="https://doi.org/10.1097/00001756-199803090-00034" TargetMode="External"/><Relationship Id="rId1150" Type="http://schemas.openxmlformats.org/officeDocument/2006/relationships/hyperlink" Target="https://doi.org/10.1111/j.1468-1331.2009.02606.x" TargetMode="External"/><Relationship Id="rId4099" Type="http://schemas.openxmlformats.org/officeDocument/2006/relationships/hyperlink" Target="https://doi.org/10.1017/CBO9781139003872.010" TargetMode="External"/><Relationship Id="rId5357" Type="http://schemas.openxmlformats.org/officeDocument/2006/relationships/hyperlink" Target="https://doi.org/10.4088/JCP.10m06491" TargetMode="External"/><Relationship Id="rId520" Type="http://schemas.openxmlformats.org/officeDocument/2006/relationships/hyperlink" Target="https://doi.org/10.1136/jnnp.60.1.91" TargetMode="External"/><Relationship Id="rId2201" Type="http://schemas.openxmlformats.org/officeDocument/2006/relationships/hyperlink" Target="https://doi.org/10.1076/clin.15.2.228.1901" TargetMode="External"/><Relationship Id="rId5564" Type="http://schemas.openxmlformats.org/officeDocument/2006/relationships/hyperlink" Target="https://doi.org/10.1111/j.1600-0447.2004.00389.x" TargetMode="External"/><Relationship Id="rId5771" Type="http://schemas.openxmlformats.org/officeDocument/2006/relationships/hyperlink" Target="https://doi.org/10.1080/13803395.2010.499357" TargetMode="External"/><Relationship Id="rId6408" Type="http://schemas.openxmlformats.org/officeDocument/2006/relationships/hyperlink" Target="https://doi.org/10.1016/j.maturitas.2007.09.014" TargetMode="External"/><Relationship Id="rId1010" Type="http://schemas.openxmlformats.org/officeDocument/2006/relationships/hyperlink" Target="https://doi.org/10.1016/j.parkreldis.2006.04.008" TargetMode="External"/><Relationship Id="rId1967" Type="http://schemas.openxmlformats.org/officeDocument/2006/relationships/hyperlink" Target="https://doi.org/10.1016/j.seizure.2020.09.029" TargetMode="External"/><Relationship Id="rId4166" Type="http://schemas.openxmlformats.org/officeDocument/2006/relationships/hyperlink" Target="https://doi.org/10.1002/pon.3086" TargetMode="External"/><Relationship Id="rId4373" Type="http://schemas.openxmlformats.org/officeDocument/2006/relationships/hyperlink" Target="https://doi.org/10.3109/02699052.2015.1127997" TargetMode="External"/><Relationship Id="rId4580" Type="http://schemas.openxmlformats.org/officeDocument/2006/relationships/hyperlink" Target="https://doi.org/10.1080/02699050701253095" TargetMode="External"/><Relationship Id="rId5217" Type="http://schemas.openxmlformats.org/officeDocument/2006/relationships/hyperlink" Target="https://doi.org/10.1080/09084280903519831" TargetMode="External"/><Relationship Id="rId5424" Type="http://schemas.openxmlformats.org/officeDocument/2006/relationships/hyperlink" Target="https://doi.org/10.1076/chin.4.2.89.3180" TargetMode="External"/><Relationship Id="rId5631" Type="http://schemas.openxmlformats.org/officeDocument/2006/relationships/hyperlink" Target="https://doi.org/10.1017/S0033291706008804" TargetMode="External"/><Relationship Id="rId4026" Type="http://schemas.openxmlformats.org/officeDocument/2006/relationships/hyperlink" Target="https://doi.org/10.1016/j.neuropsychologia.2007.12.009" TargetMode="External"/><Relationship Id="rId4440" Type="http://schemas.openxmlformats.org/officeDocument/2006/relationships/hyperlink" Target="https://doi.org/10.1159/000336555" TargetMode="External"/><Relationship Id="rId3042" Type="http://schemas.openxmlformats.org/officeDocument/2006/relationships/hyperlink" Target="https://doi.org/10.1016/j.schres.2011.07.003" TargetMode="External"/><Relationship Id="rId6198" Type="http://schemas.openxmlformats.org/officeDocument/2006/relationships/hyperlink" Target="https://doi.org/10.1016/B978-0-12-800981-9.00014-6" TargetMode="External"/><Relationship Id="rId6265" Type="http://schemas.openxmlformats.org/officeDocument/2006/relationships/hyperlink" Target="https://doi.org/10.1016/j.jaac.2010.11.010" TargetMode="External"/><Relationship Id="rId3859" Type="http://schemas.openxmlformats.org/officeDocument/2006/relationships/hyperlink" Target="https://doi.org/10.1016/j.jns.2014.09.018" TargetMode="External"/><Relationship Id="rId5281" Type="http://schemas.openxmlformats.org/officeDocument/2006/relationships/hyperlink" Target="https://doi.org/10.1097/WNN.0b013e3181d748ec" TargetMode="External"/><Relationship Id="rId2875" Type="http://schemas.openxmlformats.org/officeDocument/2006/relationships/hyperlink" Target="https://doi.org/10.1017/S1355617714000691" TargetMode="External"/><Relationship Id="rId3926" Type="http://schemas.openxmlformats.org/officeDocument/2006/relationships/hyperlink" Target="https://doi.org/10.1111/j.1600-0404.2012.01673.x" TargetMode="External"/><Relationship Id="rId6332" Type="http://schemas.openxmlformats.org/officeDocument/2006/relationships/hyperlink" Target="https://doi.org/10.1016/j.intell.2015.10.007" TargetMode="External"/><Relationship Id="rId847" Type="http://schemas.openxmlformats.org/officeDocument/2006/relationships/hyperlink" Target="https://doi.org/10.1037/a0026328" TargetMode="External"/><Relationship Id="rId1477" Type="http://schemas.openxmlformats.org/officeDocument/2006/relationships/hyperlink" Target="https://doi.org/10.1017/CBO9781139003872.003" TargetMode="External"/><Relationship Id="rId1891" Type="http://schemas.openxmlformats.org/officeDocument/2006/relationships/hyperlink" Target="https://doi.org/10.1007/s10919-013-0150-4" TargetMode="External"/><Relationship Id="rId2528" Type="http://schemas.openxmlformats.org/officeDocument/2006/relationships/hyperlink" Target="https://doi.org/10.1016/j.psyneuen.2018.08.024" TargetMode="External"/><Relationship Id="rId2942" Type="http://schemas.openxmlformats.org/officeDocument/2006/relationships/hyperlink" Target="https://doi.org/10.1093/sleep/32.2.205" TargetMode="External"/><Relationship Id="rId914" Type="http://schemas.openxmlformats.org/officeDocument/2006/relationships/hyperlink" Target="https://doi.org/10.1080/02699050600664384" TargetMode="External"/><Relationship Id="rId1544" Type="http://schemas.openxmlformats.org/officeDocument/2006/relationships/hyperlink" Target="https://doi.org/10.1080/09658211.2013.839710" TargetMode="External"/><Relationship Id="rId5001" Type="http://schemas.openxmlformats.org/officeDocument/2006/relationships/hyperlink" Target="https://doi.org/10.1111/j.1440-1819.2006.01462.x" TargetMode="External"/><Relationship Id="rId1611" Type="http://schemas.openxmlformats.org/officeDocument/2006/relationships/hyperlink" Target="https://doi.org/10.5114/hpr.2020.94720" TargetMode="External"/><Relationship Id="rId4767" Type="http://schemas.openxmlformats.org/officeDocument/2006/relationships/hyperlink" Target="https://doi.org/10.1016/j.actpsy.2003.12.009" TargetMode="External"/><Relationship Id="rId5818" Type="http://schemas.openxmlformats.org/officeDocument/2006/relationships/hyperlink" Target="https://doi.org/10.4088/JCP.11m07471" TargetMode="External"/><Relationship Id="rId3369" Type="http://schemas.openxmlformats.org/officeDocument/2006/relationships/hyperlink" Target="https://doi.org/10.1017/CBO9781139016919.007" TargetMode="External"/><Relationship Id="rId2385" Type="http://schemas.openxmlformats.org/officeDocument/2006/relationships/hyperlink" Target="https://doi.org/10.1037/abn0000129" TargetMode="External"/><Relationship Id="rId3783" Type="http://schemas.openxmlformats.org/officeDocument/2006/relationships/hyperlink" Target="https://doi.org/10.1038/sj.npp.1301302" TargetMode="External"/><Relationship Id="rId4834" Type="http://schemas.openxmlformats.org/officeDocument/2006/relationships/hyperlink" Target="https://doi.org/10.1016/j.neuropsychologia.2011.11.021" TargetMode="External"/><Relationship Id="rId357" Type="http://schemas.openxmlformats.org/officeDocument/2006/relationships/hyperlink" Target="https://doi.org/10.1097/01.ALC.0000156131.88125.2A" TargetMode="External"/><Relationship Id="rId2038" Type="http://schemas.openxmlformats.org/officeDocument/2006/relationships/hyperlink" Target="https://doi.org/10.1111/j.1530-0277.1996.tb01952.x" TargetMode="External"/><Relationship Id="rId3436" Type="http://schemas.openxmlformats.org/officeDocument/2006/relationships/hyperlink" Target="https://doi.org/10.1016/j.psychres.2010.10.001" TargetMode="External"/><Relationship Id="rId3850" Type="http://schemas.openxmlformats.org/officeDocument/2006/relationships/hyperlink" Target="https://doi.org/10.1016/j.rasd.2016.10.001" TargetMode="External"/><Relationship Id="rId4901" Type="http://schemas.openxmlformats.org/officeDocument/2006/relationships/hyperlink" Target="https://doi.org/10.1007/s10803-017-3137-x" TargetMode="External"/><Relationship Id="rId771" Type="http://schemas.openxmlformats.org/officeDocument/2006/relationships/hyperlink" Target="https://doi.org/10.1080/87565649909540759" TargetMode="External"/><Relationship Id="rId2452" Type="http://schemas.openxmlformats.org/officeDocument/2006/relationships/hyperlink" Target="https://doi.org/10.1055/s-2001-16905" TargetMode="External"/><Relationship Id="rId3503" Type="http://schemas.openxmlformats.org/officeDocument/2006/relationships/hyperlink" Target="https://doi.org/10.1016/j.cortex.2018.07.011" TargetMode="External"/><Relationship Id="rId424" Type="http://schemas.openxmlformats.org/officeDocument/2006/relationships/hyperlink" Target="https://doi.org/10.1093/schbul/sbm169" TargetMode="External"/><Relationship Id="rId1054" Type="http://schemas.openxmlformats.org/officeDocument/2006/relationships/hyperlink" Target="https://doi.org/10.1080/09638288.2017.1378389" TargetMode="External"/><Relationship Id="rId2105" Type="http://schemas.openxmlformats.org/officeDocument/2006/relationships/hyperlink" Target="https://doi.org/10.1076/1380-3395(200002)22:1;1-8;FT056" TargetMode="External"/><Relationship Id="rId5675" Type="http://schemas.openxmlformats.org/officeDocument/2006/relationships/hyperlink" Target="https://doi.org/10.1080/09541440802296413" TargetMode="External"/><Relationship Id="rId1121" Type="http://schemas.openxmlformats.org/officeDocument/2006/relationships/hyperlink" Target="https://doi.org/10.1080/02687030600739539" TargetMode="External"/><Relationship Id="rId4277" Type="http://schemas.openxmlformats.org/officeDocument/2006/relationships/hyperlink" Target="https://doi.org/10.1016/j.jns.2006.05.046" TargetMode="External"/><Relationship Id="rId4691" Type="http://schemas.openxmlformats.org/officeDocument/2006/relationships/hyperlink" Target="https://doi.org/10.1016/j.neuropsychologia.2015.08.003" TargetMode="External"/><Relationship Id="rId5328" Type="http://schemas.openxmlformats.org/officeDocument/2006/relationships/hyperlink" Target="https://doi.org/10.1016/j.schres.2016.03.024" TargetMode="External"/><Relationship Id="rId5742" Type="http://schemas.openxmlformats.org/officeDocument/2006/relationships/hyperlink" Target="https://doi.org/10.1038/mp.2013.20" TargetMode="External"/><Relationship Id="rId3293" Type="http://schemas.openxmlformats.org/officeDocument/2006/relationships/hyperlink" Target="https://doi.org/10.1016/j.acn.2005.12.001" TargetMode="External"/><Relationship Id="rId4344" Type="http://schemas.openxmlformats.org/officeDocument/2006/relationships/hyperlink" Target="https://doi.org/10.1016/j.jad.2019.11.076" TargetMode="External"/><Relationship Id="rId1938" Type="http://schemas.openxmlformats.org/officeDocument/2006/relationships/hyperlink" Target="https://doi.org/10.1136/jnnp.2002.009803" TargetMode="External"/><Relationship Id="rId3360" Type="http://schemas.openxmlformats.org/officeDocument/2006/relationships/hyperlink" Target="https://doi.org/10.3109/10826084.2013.841248" TargetMode="External"/><Relationship Id="rId281" Type="http://schemas.openxmlformats.org/officeDocument/2006/relationships/hyperlink" Target="https://doi.org/10.1159/000083170" TargetMode="External"/><Relationship Id="rId3013" Type="http://schemas.openxmlformats.org/officeDocument/2006/relationships/hyperlink" Target="https://doi.org/10.1002/ana.20425" TargetMode="External"/><Relationship Id="rId4411" Type="http://schemas.openxmlformats.org/officeDocument/2006/relationships/hyperlink" Target="https://doi.org/10.1891/1945-8959.8.1.81" TargetMode="External"/><Relationship Id="rId6169" Type="http://schemas.openxmlformats.org/officeDocument/2006/relationships/hyperlink" Target="https://doi.org/10.1017/S1355617706060565" TargetMode="External"/><Relationship Id="rId2779" Type="http://schemas.openxmlformats.org/officeDocument/2006/relationships/hyperlink" Target="https://doi.org/10.1093/brain/awg259" TargetMode="External"/><Relationship Id="rId5185" Type="http://schemas.openxmlformats.org/officeDocument/2006/relationships/hyperlink" Target="https://doi.org/10.1007/978-0-387-76978-3_16" TargetMode="External"/><Relationship Id="rId6236" Type="http://schemas.openxmlformats.org/officeDocument/2006/relationships/hyperlink" Target="https://doi.org/10.1016/j.acn.2004.07.002" TargetMode="External"/><Relationship Id="rId1795" Type="http://schemas.openxmlformats.org/officeDocument/2006/relationships/hyperlink" Target="https://doi.org/10.14195/1647-8606_51_14" TargetMode="External"/><Relationship Id="rId2846" Type="http://schemas.openxmlformats.org/officeDocument/2006/relationships/hyperlink" Target="https://doi.org/10.1159/000314875" TargetMode="External"/><Relationship Id="rId5252" Type="http://schemas.openxmlformats.org/officeDocument/2006/relationships/hyperlink" Target="https://doi.org/10.1186/1471-244X-10-47" TargetMode="External"/><Relationship Id="rId6303" Type="http://schemas.openxmlformats.org/officeDocument/2006/relationships/hyperlink" Target="https://doi.org/10.1177/0883073807307082" TargetMode="External"/><Relationship Id="rId87" Type="http://schemas.openxmlformats.org/officeDocument/2006/relationships/hyperlink" Target="https://doi.org/10.1017/S1355617710001633" TargetMode="External"/><Relationship Id="rId818" Type="http://schemas.openxmlformats.org/officeDocument/2006/relationships/hyperlink" Target="https://doi.org/10.1590/S1516-44462009000200017" TargetMode="External"/><Relationship Id="rId1448" Type="http://schemas.openxmlformats.org/officeDocument/2006/relationships/hyperlink" Target="https://doi.org/10.1111/ap.12071" TargetMode="External"/><Relationship Id="rId1862" Type="http://schemas.openxmlformats.org/officeDocument/2006/relationships/hyperlink" Target="https://doi.org/10.1192/bjp.bp.110.077479" TargetMode="External"/><Relationship Id="rId2913" Type="http://schemas.openxmlformats.org/officeDocument/2006/relationships/hyperlink" Target="https://doi.org/10.1097/WAD.0b013e31806547eb" TargetMode="External"/><Relationship Id="rId1515" Type="http://schemas.openxmlformats.org/officeDocument/2006/relationships/hyperlink" Target="https://doi.org/10.1300/J151v01n03_03" TargetMode="External"/><Relationship Id="rId6093" Type="http://schemas.openxmlformats.org/officeDocument/2006/relationships/hyperlink" Target="https://doi.org/10.1016/j.schres.2011.08.010" TargetMode="External"/><Relationship Id="rId3687" Type="http://schemas.openxmlformats.org/officeDocument/2006/relationships/hyperlink" Target="https://doi.org/10.1037/0894-4105.14.4.501" TargetMode="External"/><Relationship Id="rId4738" Type="http://schemas.openxmlformats.org/officeDocument/2006/relationships/hyperlink" Target="https://doi.org/10.1017/S0033291717001234" TargetMode="External"/><Relationship Id="rId2289" Type="http://schemas.openxmlformats.org/officeDocument/2006/relationships/hyperlink" Target="https://doi.org/10.1097/00001756-200403010-00031" TargetMode="External"/><Relationship Id="rId3754" Type="http://schemas.openxmlformats.org/officeDocument/2006/relationships/hyperlink" Target="https://doi.org/10.1007/s10072-010-0412-4" TargetMode="External"/><Relationship Id="rId4805" Type="http://schemas.openxmlformats.org/officeDocument/2006/relationships/hyperlink" Target="https://doi.org/10.1017/S1355617704101021" TargetMode="External"/><Relationship Id="rId6160" Type="http://schemas.openxmlformats.org/officeDocument/2006/relationships/hyperlink" Target="https://doi.org/10.1111/gbb.12401" TargetMode="External"/><Relationship Id="rId675" Type="http://schemas.openxmlformats.org/officeDocument/2006/relationships/hyperlink" Target="https://doi.org/10.1037/a0036286" TargetMode="External"/><Relationship Id="rId2356" Type="http://schemas.openxmlformats.org/officeDocument/2006/relationships/hyperlink" Target="https://doi.org/10.1017/CBO9781139003872.016" TargetMode="External"/><Relationship Id="rId2770" Type="http://schemas.openxmlformats.org/officeDocument/2006/relationships/hyperlink" Target="https://doi.org/10.1111/1467-9450.00063" TargetMode="External"/><Relationship Id="rId3407" Type="http://schemas.openxmlformats.org/officeDocument/2006/relationships/hyperlink" Target="https://doi.org/10.1176/appi.ps.59.3.241" TargetMode="External"/><Relationship Id="rId3821" Type="http://schemas.openxmlformats.org/officeDocument/2006/relationships/hyperlink" Target="https://doi.org/10.1111/adb.12448" TargetMode="External"/><Relationship Id="rId328" Type="http://schemas.openxmlformats.org/officeDocument/2006/relationships/hyperlink" Target="https://doi.org/10.1002/ajmg.b.30326" TargetMode="External"/><Relationship Id="rId742" Type="http://schemas.openxmlformats.org/officeDocument/2006/relationships/hyperlink" Target="https://doi.org/10.1007/s10072-015-2299-6" TargetMode="External"/><Relationship Id="rId1372" Type="http://schemas.openxmlformats.org/officeDocument/2006/relationships/hyperlink" Target="https://doi.org/10.1016/j.drugalcdep.2019.107642" TargetMode="External"/><Relationship Id="rId2009" Type="http://schemas.openxmlformats.org/officeDocument/2006/relationships/hyperlink" Target="https://doi.org/10.1016/j.comppsych.2016.01.002" TargetMode="External"/><Relationship Id="rId2423" Type="http://schemas.openxmlformats.org/officeDocument/2006/relationships/hyperlink" Target="https://doi.org/10.1037/0022-006X.75.2.210" TargetMode="External"/><Relationship Id="rId5579" Type="http://schemas.openxmlformats.org/officeDocument/2006/relationships/hyperlink" Target="https://doi.org/10.1016/j.yebeh.2004.11.004" TargetMode="External"/><Relationship Id="rId1025" Type="http://schemas.openxmlformats.org/officeDocument/2006/relationships/hyperlink" Target="https://doi.org/10.1176/appi.neuropsych.17050099" TargetMode="External"/><Relationship Id="rId4595" Type="http://schemas.openxmlformats.org/officeDocument/2006/relationships/hyperlink" Target="https://doi.org/10.1097/JNC.0000000000000003" TargetMode="External"/><Relationship Id="rId5646" Type="http://schemas.openxmlformats.org/officeDocument/2006/relationships/hyperlink" Target="https://doi.org/10.1111/psyg.12258" TargetMode="External"/><Relationship Id="rId5993" Type="http://schemas.openxmlformats.org/officeDocument/2006/relationships/hyperlink" Target="https://doi.org/10.1017/S1041610218001023" TargetMode="External"/><Relationship Id="rId3197" Type="http://schemas.openxmlformats.org/officeDocument/2006/relationships/hyperlink" Target="https://doi.org/10.1016/j.neubiorev.2017.09.011" TargetMode="External"/><Relationship Id="rId4248" Type="http://schemas.openxmlformats.org/officeDocument/2006/relationships/hyperlink" Target="https://doi.org/10.1016/j.schres.2011.12.004" TargetMode="External"/><Relationship Id="rId4662" Type="http://schemas.openxmlformats.org/officeDocument/2006/relationships/hyperlink" Target="https://doi.org/10.1016/j.schres.2008.01.002" TargetMode="External"/><Relationship Id="rId5713" Type="http://schemas.openxmlformats.org/officeDocument/2006/relationships/hyperlink" Target="https://doi.org/10.4135/9789353280765.n5" TargetMode="External"/><Relationship Id="rId185" Type="http://schemas.openxmlformats.org/officeDocument/2006/relationships/hyperlink" Target="https://doi.org/10.1016/j.psychres.2013.01.009" TargetMode="External"/><Relationship Id="rId1909" Type="http://schemas.openxmlformats.org/officeDocument/2006/relationships/hyperlink" Target="https://doi.org/10.1111/bdi.12510" TargetMode="External"/><Relationship Id="rId3264" Type="http://schemas.openxmlformats.org/officeDocument/2006/relationships/hyperlink" Target="https://doi.org/10.1016/j.pnpbp.2007.03.016" TargetMode="External"/><Relationship Id="rId4315" Type="http://schemas.openxmlformats.org/officeDocument/2006/relationships/hyperlink" Target="https://doi.org/10.1016/j.actpsy.2013.01.008" TargetMode="External"/><Relationship Id="rId2280" Type="http://schemas.openxmlformats.org/officeDocument/2006/relationships/hyperlink" Target="https://doi.org/10.1016/j.psychres.2015.05.060" TargetMode="External"/><Relationship Id="rId3331" Type="http://schemas.openxmlformats.org/officeDocument/2006/relationships/hyperlink" Target="https://doi.org/10.4088/JCP.08m04663yel" TargetMode="External"/><Relationship Id="rId6487" Type="http://schemas.openxmlformats.org/officeDocument/2006/relationships/hyperlink" Target="https://doi.org/10.1097/00004583-200101000-00022" TargetMode="External"/><Relationship Id="rId252" Type="http://schemas.openxmlformats.org/officeDocument/2006/relationships/hyperlink" Target="https://doi.org/10.4088/JCP.13m08927" TargetMode="External"/><Relationship Id="rId5089" Type="http://schemas.openxmlformats.org/officeDocument/2006/relationships/hyperlink" Target="https://doi.org/10.1080/13546800042000089" TargetMode="External"/><Relationship Id="rId1699" Type="http://schemas.openxmlformats.org/officeDocument/2006/relationships/hyperlink" Target="https://doi.org/10.1016/j.schres.2012.06.025" TargetMode="External"/><Relationship Id="rId2000" Type="http://schemas.openxmlformats.org/officeDocument/2006/relationships/hyperlink" Target="https://doi.org/10.1016/j.jsmc.2006.10.006" TargetMode="External"/><Relationship Id="rId5156" Type="http://schemas.openxmlformats.org/officeDocument/2006/relationships/hyperlink" Target="https://doi.org/10.1055/s-0029-1246058" TargetMode="External"/><Relationship Id="rId5570" Type="http://schemas.openxmlformats.org/officeDocument/2006/relationships/hyperlink" Target="https://doi.org/10.1016/S0920-9964(99)00142-5" TargetMode="External"/><Relationship Id="rId6207" Type="http://schemas.openxmlformats.org/officeDocument/2006/relationships/hyperlink" Target="https://doi.org/10.1038/npp.2010.101" TargetMode="External"/><Relationship Id="rId4172" Type="http://schemas.openxmlformats.org/officeDocument/2006/relationships/hyperlink" Target="https://doi.org/10.1093/brain/awt255" TargetMode="External"/><Relationship Id="rId5223" Type="http://schemas.openxmlformats.org/officeDocument/2006/relationships/hyperlink" Target="https://doi.org/10.1016/j.jana.2017.08.002" TargetMode="External"/><Relationship Id="rId1766" Type="http://schemas.openxmlformats.org/officeDocument/2006/relationships/hyperlink" Target="https://doi.org/10.3389/fnhum.2019.00282" TargetMode="External"/><Relationship Id="rId2817" Type="http://schemas.openxmlformats.org/officeDocument/2006/relationships/hyperlink" Target="https://doi.org/10.1093/schbul/sbs079" TargetMode="External"/><Relationship Id="rId58" Type="http://schemas.openxmlformats.org/officeDocument/2006/relationships/hyperlink" Target="https://doi.org/10.1159/000339558" TargetMode="External"/><Relationship Id="rId1419" Type="http://schemas.openxmlformats.org/officeDocument/2006/relationships/hyperlink" Target="https://doi.org/10.3389/fpsyg.2020.551126" TargetMode="External"/><Relationship Id="rId1833" Type="http://schemas.openxmlformats.org/officeDocument/2006/relationships/hyperlink" Target="https://doi.org/10.1016/j.schres.2006.12.012" TargetMode="External"/><Relationship Id="rId4989" Type="http://schemas.openxmlformats.org/officeDocument/2006/relationships/hyperlink" Target="https://doi.org/10.1016/j.psychres.2013.06.031" TargetMode="External"/><Relationship Id="rId1900" Type="http://schemas.openxmlformats.org/officeDocument/2006/relationships/hyperlink" Target="https://doi.org/10.1093/schbul/sbs008" TargetMode="External"/><Relationship Id="rId3658" Type="http://schemas.openxmlformats.org/officeDocument/2006/relationships/hyperlink" Target="https://doi.org/10.1007/s12311-010-0177-6" TargetMode="External"/><Relationship Id="rId4709" Type="http://schemas.openxmlformats.org/officeDocument/2006/relationships/hyperlink" Target="https://doi.org/10.1111/jnp.12003" TargetMode="External"/><Relationship Id="rId6064" Type="http://schemas.openxmlformats.org/officeDocument/2006/relationships/hyperlink" Target="https://doi.org/10.1016/j.brat.2015.11.002" TargetMode="External"/><Relationship Id="rId579" Type="http://schemas.openxmlformats.org/officeDocument/2006/relationships/hyperlink" Target="https://doi.org/10.1177/1362361310391116" TargetMode="External"/><Relationship Id="rId993" Type="http://schemas.openxmlformats.org/officeDocument/2006/relationships/hyperlink" Target="https://doi.org/10.1076/1385-4046(199911)13:04;1-Y;FT405" TargetMode="External"/><Relationship Id="rId2674" Type="http://schemas.openxmlformats.org/officeDocument/2006/relationships/hyperlink" Target="https://doi.org/10.1080/13803395.2011.651103" TargetMode="External"/><Relationship Id="rId5080" Type="http://schemas.openxmlformats.org/officeDocument/2006/relationships/hyperlink" Target="https://doi.org/10.3922/j.psns.2010.1.012" TargetMode="External"/><Relationship Id="rId6131" Type="http://schemas.openxmlformats.org/officeDocument/2006/relationships/hyperlink" Target="https://doi.org/10.1017/S1355617714000459" TargetMode="External"/><Relationship Id="rId646" Type="http://schemas.openxmlformats.org/officeDocument/2006/relationships/hyperlink" Target="https://doi.org/10.1017/S1355617710000846" TargetMode="External"/><Relationship Id="rId1276" Type="http://schemas.openxmlformats.org/officeDocument/2006/relationships/hyperlink" Target="https://doi.org/10.1590/1980-57642016dn11-040007" TargetMode="External"/><Relationship Id="rId2327" Type="http://schemas.openxmlformats.org/officeDocument/2006/relationships/hyperlink" Target="https://doi.org/10.1016/j.biopsych.2004.12.038" TargetMode="External"/><Relationship Id="rId3725" Type="http://schemas.openxmlformats.org/officeDocument/2006/relationships/hyperlink" Target="https://doi.org/10.1093/brain/awl276" TargetMode="External"/><Relationship Id="rId1690" Type="http://schemas.openxmlformats.org/officeDocument/2006/relationships/hyperlink" Target="https://doi.org/10.1016/j.psychres.2005.12.009" TargetMode="External"/><Relationship Id="rId2741" Type="http://schemas.openxmlformats.org/officeDocument/2006/relationships/hyperlink" Target="https://doi.org/10.1016/j.seizure.2016.08.002" TargetMode="External"/><Relationship Id="rId5897" Type="http://schemas.openxmlformats.org/officeDocument/2006/relationships/hyperlink" Target="https://doi.org/10.1016/j.braindev.2017.10.005" TargetMode="External"/><Relationship Id="rId713" Type="http://schemas.openxmlformats.org/officeDocument/2006/relationships/hyperlink" Target="https://doi.org/10.1176/appi.ajp.2008.08010089" TargetMode="External"/><Relationship Id="rId1343" Type="http://schemas.openxmlformats.org/officeDocument/2006/relationships/hyperlink" Target="https://doi.org/10.4236/psych.2015.64035" TargetMode="External"/><Relationship Id="rId4499" Type="http://schemas.openxmlformats.org/officeDocument/2006/relationships/hyperlink" Target="https://doi.org/10.1002/eat.23146" TargetMode="External"/><Relationship Id="rId5964" Type="http://schemas.openxmlformats.org/officeDocument/2006/relationships/hyperlink" Target="https://doi.org/10.1076/clin.17.4.507.27935" TargetMode="External"/><Relationship Id="rId1410" Type="http://schemas.openxmlformats.org/officeDocument/2006/relationships/hyperlink" Target="https://doi.org/10.1097/01.wnf.0000186651.96351.2e" TargetMode="External"/><Relationship Id="rId4566" Type="http://schemas.openxmlformats.org/officeDocument/2006/relationships/hyperlink" Target="https://doi.org/10.1080/02109395.2019.1601474" TargetMode="External"/><Relationship Id="rId4980" Type="http://schemas.openxmlformats.org/officeDocument/2006/relationships/hyperlink" Target="https://doi.org/10.1111/j.1468-1331.2009.02717.x" TargetMode="External"/><Relationship Id="rId5617" Type="http://schemas.openxmlformats.org/officeDocument/2006/relationships/hyperlink" Target="https://doi.org/10.1016/j.neuropsychologia.2013.07.025" TargetMode="External"/><Relationship Id="rId3168" Type="http://schemas.openxmlformats.org/officeDocument/2006/relationships/hyperlink" Target="https://doi.org/10.1097/NMD.0b013e3182438eae" TargetMode="External"/><Relationship Id="rId3582" Type="http://schemas.openxmlformats.org/officeDocument/2006/relationships/hyperlink" Target="https://doi.org/10.1177/1362361312442009" TargetMode="External"/><Relationship Id="rId4219" Type="http://schemas.openxmlformats.org/officeDocument/2006/relationships/hyperlink" Target="https://doi.org/10.1080/09297049.2011.555760" TargetMode="External"/><Relationship Id="rId4633" Type="http://schemas.openxmlformats.org/officeDocument/2006/relationships/hyperlink" Target="https://doi.org/10.1080/13803395.2016.1181716" TargetMode="External"/><Relationship Id="rId2184" Type="http://schemas.openxmlformats.org/officeDocument/2006/relationships/hyperlink" Target="https://doi.org/10.1176/appi.ajp.161.2.249" TargetMode="External"/><Relationship Id="rId3235" Type="http://schemas.openxmlformats.org/officeDocument/2006/relationships/hyperlink" Target="https://doi.org/10.1093/brain/awl288" TargetMode="External"/><Relationship Id="rId156" Type="http://schemas.openxmlformats.org/officeDocument/2006/relationships/hyperlink" Target="https://doi.org/10.1016/j.schres.2009.09.018" TargetMode="External"/><Relationship Id="rId570" Type="http://schemas.openxmlformats.org/officeDocument/2006/relationships/hyperlink" Target="https://doi.org/10.4088/JCP.08m04638blu" TargetMode="External"/><Relationship Id="rId2251" Type="http://schemas.openxmlformats.org/officeDocument/2006/relationships/hyperlink" Target="https://doi.org/10.1177/0883073807304701" TargetMode="External"/><Relationship Id="rId3302" Type="http://schemas.openxmlformats.org/officeDocument/2006/relationships/hyperlink" Target="https://doi.org/10.1016/j.appet.2019.104480" TargetMode="External"/><Relationship Id="rId4700" Type="http://schemas.openxmlformats.org/officeDocument/2006/relationships/hyperlink" Target="https://doi.org/10.1097/01.JGP.0000199339.79689.8a" TargetMode="External"/><Relationship Id="rId6458" Type="http://schemas.openxmlformats.org/officeDocument/2006/relationships/hyperlink" Target="https://doi.org/10.1590/S1980-57642009DN20200003" TargetMode="External"/><Relationship Id="rId223" Type="http://schemas.openxmlformats.org/officeDocument/2006/relationships/hyperlink" Target="https://doi.org/10.2466/03.22.PR0.110.2.383-396" TargetMode="External"/><Relationship Id="rId4076" Type="http://schemas.openxmlformats.org/officeDocument/2006/relationships/hyperlink" Target="https://doi.org/10.1080/13550280701708427" TargetMode="External"/><Relationship Id="rId5474" Type="http://schemas.openxmlformats.org/officeDocument/2006/relationships/hyperlink" Target="https://doi.org/10.1016/j.psychres.2018.01.004" TargetMode="External"/><Relationship Id="rId6525" Type="http://schemas.openxmlformats.org/officeDocument/2006/relationships/hyperlink" Target="https://doi.org/10.3109/02699052.2015.1015613" TargetMode="External"/><Relationship Id="rId4490" Type="http://schemas.openxmlformats.org/officeDocument/2006/relationships/hyperlink" Target="https://doi.org/10.1002/gps.5255" TargetMode="External"/><Relationship Id="rId5127" Type="http://schemas.openxmlformats.org/officeDocument/2006/relationships/hyperlink" Target="https://doi.org/10.1097/WAD.0b013e3181b03277" TargetMode="External"/><Relationship Id="rId5541" Type="http://schemas.openxmlformats.org/officeDocument/2006/relationships/hyperlink" Target="https://doi.org/10.1093/arclin/acs111" TargetMode="External"/><Relationship Id="rId1737" Type="http://schemas.openxmlformats.org/officeDocument/2006/relationships/hyperlink" Target="https://doi.org/10.1080/13854046.2012.697193" TargetMode="External"/><Relationship Id="rId3092" Type="http://schemas.openxmlformats.org/officeDocument/2006/relationships/hyperlink" Target="https://doi.org/10.1002/ajmg.b.30527" TargetMode="External"/><Relationship Id="rId4143" Type="http://schemas.openxmlformats.org/officeDocument/2006/relationships/hyperlink" Target="https://doi.org/10.1155/2005/386932" TargetMode="External"/><Relationship Id="rId29" Type="http://schemas.openxmlformats.org/officeDocument/2006/relationships/hyperlink" Target="https://doi.org/10.1007/978-0-387-78965-1_10" TargetMode="External"/><Relationship Id="rId4210" Type="http://schemas.openxmlformats.org/officeDocument/2006/relationships/hyperlink" Target="https://doi.org/10.1080/13803395.2011.559157" TargetMode="External"/><Relationship Id="rId1804" Type="http://schemas.openxmlformats.org/officeDocument/2006/relationships/hyperlink" Target="https://doi.org/10.1016/j.schres.2014.11.018" TargetMode="External"/><Relationship Id="rId6382" Type="http://schemas.openxmlformats.org/officeDocument/2006/relationships/hyperlink" Target="https://doi.org/10.1016/j.schres.2014.08.022" TargetMode="External"/><Relationship Id="rId3976" Type="http://schemas.openxmlformats.org/officeDocument/2006/relationships/hyperlink" Target="https://doi.org/10.1136/jnnp-2013-307223" TargetMode="External"/><Relationship Id="rId6035" Type="http://schemas.openxmlformats.org/officeDocument/2006/relationships/hyperlink" Target="https://doi.org/10.1037/a0026768" TargetMode="External"/><Relationship Id="rId897" Type="http://schemas.openxmlformats.org/officeDocument/2006/relationships/hyperlink" Target="https://doi.org/10.1080/09602011.2012.686884" TargetMode="External"/><Relationship Id="rId2578" Type="http://schemas.openxmlformats.org/officeDocument/2006/relationships/hyperlink" Target="https://doi.org/10.1186/1744-9081-6-10" TargetMode="External"/><Relationship Id="rId2992" Type="http://schemas.openxmlformats.org/officeDocument/2006/relationships/hyperlink" Target="https://doi.org/10.1016/j.pnpbp.2006.06.022" TargetMode="External"/><Relationship Id="rId3629" Type="http://schemas.openxmlformats.org/officeDocument/2006/relationships/hyperlink" Target="https://doi.org/10.4236/psych.2015.64033" TargetMode="External"/><Relationship Id="rId5051" Type="http://schemas.openxmlformats.org/officeDocument/2006/relationships/hyperlink" Target="https://doi.org/10.1016/j.neuropsychologia.2015.07.014" TargetMode="External"/><Relationship Id="rId964" Type="http://schemas.openxmlformats.org/officeDocument/2006/relationships/hyperlink" Target="https://doi.org/10.1016/j.schres.2013.11.027" TargetMode="External"/><Relationship Id="rId1594" Type="http://schemas.openxmlformats.org/officeDocument/2006/relationships/hyperlink" Target="https://doi.org/10.1016/j.pnpbp.2008.08.024" TargetMode="External"/><Relationship Id="rId2645" Type="http://schemas.openxmlformats.org/officeDocument/2006/relationships/hyperlink" Target="https://doi.org/10.1080/13854046.2012.681581" TargetMode="External"/><Relationship Id="rId6102" Type="http://schemas.openxmlformats.org/officeDocument/2006/relationships/hyperlink" Target="https://doi.org/10.1159/000076354" TargetMode="External"/><Relationship Id="rId617" Type="http://schemas.openxmlformats.org/officeDocument/2006/relationships/hyperlink" Target="https://doi.org/10.1111/j.1600-0447.2005.00570.x" TargetMode="External"/><Relationship Id="rId1247" Type="http://schemas.openxmlformats.org/officeDocument/2006/relationships/hyperlink" Target="https://doi.org/10.1016/S0920-9964(00)00112-2" TargetMode="External"/><Relationship Id="rId1661" Type="http://schemas.openxmlformats.org/officeDocument/2006/relationships/hyperlink" Target="https://doi.org/10.1016/j.actpsy.2013.08.002" TargetMode="External"/><Relationship Id="rId2712" Type="http://schemas.openxmlformats.org/officeDocument/2006/relationships/hyperlink" Target="https://doi.org/10.1097/NMD.0b013e31825bfc49" TargetMode="External"/><Relationship Id="rId5868" Type="http://schemas.openxmlformats.org/officeDocument/2006/relationships/hyperlink" Target="https://doi.org/10.1016/j.jpsychires.2020.06.006" TargetMode="External"/><Relationship Id="rId1314" Type="http://schemas.openxmlformats.org/officeDocument/2006/relationships/hyperlink" Target="https://doi.org/10.3389/fpsyg.2011.00219" TargetMode="External"/><Relationship Id="rId4884" Type="http://schemas.openxmlformats.org/officeDocument/2006/relationships/hyperlink" Target="https://doi.org/10.1037/neu0000336" TargetMode="External"/><Relationship Id="rId5935" Type="http://schemas.openxmlformats.org/officeDocument/2006/relationships/hyperlink" Target="https://doi.org/10.1080/17470910902990584" TargetMode="External"/><Relationship Id="rId3486" Type="http://schemas.openxmlformats.org/officeDocument/2006/relationships/hyperlink" Target="https://doi.org/10.1177/0306624X11402166" TargetMode="External"/><Relationship Id="rId4537" Type="http://schemas.openxmlformats.org/officeDocument/2006/relationships/hyperlink" Target="https://doi.org/10.1080/13803395.2010.524150" TargetMode="External"/><Relationship Id="rId20" Type="http://schemas.openxmlformats.org/officeDocument/2006/relationships/hyperlink" Target="https://doi.org/10.1016/j.schres.2004.12.014" TargetMode="External"/><Relationship Id="rId2088" Type="http://schemas.openxmlformats.org/officeDocument/2006/relationships/hyperlink" Target="https://doi.org/10.1080/13854046.2018.1533997" TargetMode="External"/><Relationship Id="rId3139" Type="http://schemas.openxmlformats.org/officeDocument/2006/relationships/hyperlink" Target="https://doi.org/10.1176/appi.neuropsych.22.3.304" TargetMode="External"/><Relationship Id="rId4951" Type="http://schemas.openxmlformats.org/officeDocument/2006/relationships/hyperlink" Target="https://doi.org/10.1016/j.psychres.2012.06.008" TargetMode="External"/><Relationship Id="rId474" Type="http://schemas.openxmlformats.org/officeDocument/2006/relationships/hyperlink" Target="https://doi.org/10.1037/neu0000345" TargetMode="External"/><Relationship Id="rId2155" Type="http://schemas.openxmlformats.org/officeDocument/2006/relationships/hyperlink" Target="https://doi.org/10.2117/psysoc.2008.28" TargetMode="External"/><Relationship Id="rId3553" Type="http://schemas.openxmlformats.org/officeDocument/2006/relationships/hyperlink" Target="https://doi.org/10.1037/1064-1297.2.3.283" TargetMode="External"/><Relationship Id="rId4604" Type="http://schemas.openxmlformats.org/officeDocument/2006/relationships/hyperlink" Target="https://doi.org/10.1016/j.schres.2007.07.015" TargetMode="External"/><Relationship Id="rId127" Type="http://schemas.openxmlformats.org/officeDocument/2006/relationships/hyperlink" Target="https://doi.org/10.1016/j.euroneuro.2016.07.003" TargetMode="External"/><Relationship Id="rId3206" Type="http://schemas.openxmlformats.org/officeDocument/2006/relationships/hyperlink" Target="https://doi.org/10.1177/0306624X09360968" TargetMode="External"/><Relationship Id="rId3620" Type="http://schemas.openxmlformats.org/officeDocument/2006/relationships/hyperlink" Target="https://doi.org/10.1177/1059712308101739" TargetMode="External"/><Relationship Id="rId541" Type="http://schemas.openxmlformats.org/officeDocument/2006/relationships/hyperlink" Target="https://doi.org/10.1016/j.psychres.2012.06.003" TargetMode="External"/><Relationship Id="rId1171" Type="http://schemas.openxmlformats.org/officeDocument/2006/relationships/hyperlink" Target="https://doi.org/10.1523/JNEUROSCI.4475-07.2008" TargetMode="External"/><Relationship Id="rId2222" Type="http://schemas.openxmlformats.org/officeDocument/2006/relationships/hyperlink" Target="https://doi.org/10.1097/01.wnn.0000213906.57148.01" TargetMode="External"/><Relationship Id="rId5378" Type="http://schemas.openxmlformats.org/officeDocument/2006/relationships/hyperlink" Target="https://doi.org/10.1080/10550490902786975" TargetMode="External"/><Relationship Id="rId5792" Type="http://schemas.openxmlformats.org/officeDocument/2006/relationships/hyperlink" Target="https://doi.org/10.1037/a0031665" TargetMode="External"/><Relationship Id="rId6429" Type="http://schemas.openxmlformats.org/officeDocument/2006/relationships/hyperlink" Target="https://doi.org/10.1097/WNN.0b013e3182593c75" TargetMode="External"/><Relationship Id="rId1988" Type="http://schemas.openxmlformats.org/officeDocument/2006/relationships/hyperlink" Target="https://doi.org/10.1016/j.neuropsychologia.2010.10.005" TargetMode="External"/><Relationship Id="rId4394" Type="http://schemas.openxmlformats.org/officeDocument/2006/relationships/hyperlink" Target="https://doi.org/10.1080/13803395.2013.783000" TargetMode="External"/><Relationship Id="rId5445" Type="http://schemas.openxmlformats.org/officeDocument/2006/relationships/hyperlink" Target="https://doi.org/10.1016/j.euroneuro.2014.12.004" TargetMode="External"/><Relationship Id="rId4047" Type="http://schemas.openxmlformats.org/officeDocument/2006/relationships/hyperlink" Target="https://doi.org/10.1097/TLD.0b013e318261ffdd" TargetMode="External"/><Relationship Id="rId4461" Type="http://schemas.openxmlformats.org/officeDocument/2006/relationships/hyperlink" Target="https://doi.org/10.1016/j.cortex.2014.08.023" TargetMode="External"/><Relationship Id="rId5512" Type="http://schemas.openxmlformats.org/officeDocument/2006/relationships/hyperlink" Target="https://doi.org/10.1016/j.psychres.2008.10.022" TargetMode="External"/><Relationship Id="rId3063" Type="http://schemas.openxmlformats.org/officeDocument/2006/relationships/hyperlink" Target="https://doi.org/10.1159/000210388" TargetMode="External"/><Relationship Id="rId4114" Type="http://schemas.openxmlformats.org/officeDocument/2006/relationships/hyperlink" Target="https://doi.org/10.1016/j.jpsychires.2008.10.013" TargetMode="External"/><Relationship Id="rId1708" Type="http://schemas.openxmlformats.org/officeDocument/2006/relationships/hyperlink" Target="https://doi.org/10.1093/arclin/acq064" TargetMode="External"/><Relationship Id="rId3130" Type="http://schemas.openxmlformats.org/officeDocument/2006/relationships/hyperlink" Target="https://doi.org/10.1016/j.jns.2007.01.042" TargetMode="External"/><Relationship Id="rId6286" Type="http://schemas.openxmlformats.org/officeDocument/2006/relationships/hyperlink" Target="https://doi.org/10.3109/02699052.2013.809553" TargetMode="External"/><Relationship Id="rId2896" Type="http://schemas.openxmlformats.org/officeDocument/2006/relationships/hyperlink" Target="https://doi.org/10.1016/j.neubiorev.2011.07.001" TargetMode="External"/><Relationship Id="rId3947" Type="http://schemas.openxmlformats.org/officeDocument/2006/relationships/hyperlink" Target="https://doi.org/10.1016/j.jbtep.2017.02.004" TargetMode="External"/><Relationship Id="rId6353" Type="http://schemas.openxmlformats.org/officeDocument/2006/relationships/hyperlink" Target="https://doi.org/10.1016/j.acn.2007.03.004" TargetMode="External"/><Relationship Id="rId868" Type="http://schemas.openxmlformats.org/officeDocument/2006/relationships/hyperlink" Target="https://doi.org/10.1016/j.jesp.2009.03.003" TargetMode="External"/><Relationship Id="rId1498" Type="http://schemas.openxmlformats.org/officeDocument/2006/relationships/hyperlink" Target="https://doi.org/10.1017/S0033291714002360" TargetMode="External"/><Relationship Id="rId2549" Type="http://schemas.openxmlformats.org/officeDocument/2006/relationships/hyperlink" Target="https://doi.org/10.1002/hipo.22819" TargetMode="External"/><Relationship Id="rId2963" Type="http://schemas.openxmlformats.org/officeDocument/2006/relationships/hyperlink" Target="https://doi.org/10.1016/j.psychres.2015.01.021" TargetMode="External"/><Relationship Id="rId6006" Type="http://schemas.openxmlformats.org/officeDocument/2006/relationships/hyperlink" Target="https://doi.org/10.3109/08039488.2011.626869" TargetMode="External"/><Relationship Id="rId6420" Type="http://schemas.openxmlformats.org/officeDocument/2006/relationships/hyperlink" Target="https://doi.org/10.1016/j.lindif.2012.10.004" TargetMode="External"/><Relationship Id="rId935" Type="http://schemas.openxmlformats.org/officeDocument/2006/relationships/hyperlink" Target="https://doi.org/10.1093/brain/awh296" TargetMode="External"/><Relationship Id="rId1565" Type="http://schemas.openxmlformats.org/officeDocument/2006/relationships/hyperlink" Target="https://doi.org/10.1016/j.brainres.2013.01.018" TargetMode="External"/><Relationship Id="rId2616" Type="http://schemas.openxmlformats.org/officeDocument/2006/relationships/hyperlink" Target="https://doi.org/10.1044/2019_AJSLP-18-0245" TargetMode="External"/><Relationship Id="rId5022" Type="http://schemas.openxmlformats.org/officeDocument/2006/relationships/hyperlink" Target="https://doi.org/10.1007/s10803-012-1668-8" TargetMode="External"/><Relationship Id="rId1218" Type="http://schemas.openxmlformats.org/officeDocument/2006/relationships/hyperlink" Target="https://doi.org/10.1017/S1355617703970032" TargetMode="External"/><Relationship Id="rId1632" Type="http://schemas.openxmlformats.org/officeDocument/2006/relationships/hyperlink" Target="https://doi.org/10.1016/j.acn.2007.01.021" TargetMode="External"/><Relationship Id="rId4788" Type="http://schemas.openxmlformats.org/officeDocument/2006/relationships/hyperlink" Target="https://doi.org/10.1080/21622965.2014.923774" TargetMode="External"/><Relationship Id="rId5839" Type="http://schemas.openxmlformats.org/officeDocument/2006/relationships/hyperlink" Target="https://doi.org/10.1080/13854040701218410" TargetMode="External"/><Relationship Id="rId4855" Type="http://schemas.openxmlformats.org/officeDocument/2006/relationships/hyperlink" Target="https://doi.org/10.1080/23279095.2013.864972" TargetMode="External"/><Relationship Id="rId5906" Type="http://schemas.openxmlformats.org/officeDocument/2006/relationships/hyperlink" Target="https://doi.org/10.1089/tmj.2011.0272" TargetMode="External"/><Relationship Id="rId3457" Type="http://schemas.openxmlformats.org/officeDocument/2006/relationships/hyperlink" Target="https://doi.org/10.1097/NMD.0000000000001224" TargetMode="External"/><Relationship Id="rId3871" Type="http://schemas.openxmlformats.org/officeDocument/2006/relationships/hyperlink" Target="https://doi.org/10.1001/archneur.65.9.1223" TargetMode="External"/><Relationship Id="rId4508" Type="http://schemas.openxmlformats.org/officeDocument/2006/relationships/hyperlink" Target="https://doi.org/10.1097/YCT.0000000000000333" TargetMode="External"/><Relationship Id="rId4922" Type="http://schemas.openxmlformats.org/officeDocument/2006/relationships/hyperlink" Target="https://doi.org/10.1176/ajp.150.1.170" TargetMode="External"/><Relationship Id="rId378" Type="http://schemas.openxmlformats.org/officeDocument/2006/relationships/hyperlink" Target="https://doi.org/10.1111/j.1399-5618.2011.00928.x" TargetMode="External"/><Relationship Id="rId792" Type="http://schemas.openxmlformats.org/officeDocument/2006/relationships/hyperlink" Target="https://doi.org/10.1037/0894-4105.19.2.171" TargetMode="External"/><Relationship Id="rId2059" Type="http://schemas.openxmlformats.org/officeDocument/2006/relationships/hyperlink" Target="https://doi.org/10.1016/j.actpsy.2013.03.001" TargetMode="External"/><Relationship Id="rId2473" Type="http://schemas.openxmlformats.org/officeDocument/2006/relationships/hyperlink" Target="https://doi.org/10.1076/jcen.25.7.965.16490" TargetMode="External"/><Relationship Id="rId3524" Type="http://schemas.openxmlformats.org/officeDocument/2006/relationships/hyperlink" Target="https://doi.org/10.2975/29.2005.66.68" TargetMode="External"/><Relationship Id="rId445" Type="http://schemas.openxmlformats.org/officeDocument/2006/relationships/hyperlink" Target="https://doi.org/10.2307/20445471" TargetMode="External"/><Relationship Id="rId1075" Type="http://schemas.openxmlformats.org/officeDocument/2006/relationships/hyperlink" Target="https://doi.org/10.1080/13554794.2017.1319958" TargetMode="External"/><Relationship Id="rId2126" Type="http://schemas.openxmlformats.org/officeDocument/2006/relationships/hyperlink" Target="https://doi.org/10.1080/13803395.2016.1170106" TargetMode="External"/><Relationship Id="rId2540" Type="http://schemas.openxmlformats.org/officeDocument/2006/relationships/hyperlink" Target="https://doi.org/10.1136/jnnp.2006.110023" TargetMode="External"/><Relationship Id="rId5696" Type="http://schemas.openxmlformats.org/officeDocument/2006/relationships/hyperlink" Target="https://doi.org/10.1007/s11682-014-9323-y" TargetMode="External"/><Relationship Id="rId512" Type="http://schemas.openxmlformats.org/officeDocument/2006/relationships/hyperlink" Target="https://doi.org/10.1007/s00787-015-0804-3" TargetMode="External"/><Relationship Id="rId1142" Type="http://schemas.openxmlformats.org/officeDocument/2006/relationships/hyperlink" Target="https://doi.org/10.1017/CBO9781316026625.003" TargetMode="External"/><Relationship Id="rId4298" Type="http://schemas.openxmlformats.org/officeDocument/2006/relationships/hyperlink" Target="https://doi.org/10.1177/0891988704272308" TargetMode="External"/><Relationship Id="rId5349" Type="http://schemas.openxmlformats.org/officeDocument/2006/relationships/hyperlink" Target="https://doi.org/10.1016/0013-4694(94)00189-R" TargetMode="External"/><Relationship Id="rId4365" Type="http://schemas.openxmlformats.org/officeDocument/2006/relationships/hyperlink" Target="https://doi.org/10.1016/0925-4927(94)90021-3" TargetMode="External"/><Relationship Id="rId5763" Type="http://schemas.openxmlformats.org/officeDocument/2006/relationships/hyperlink" Target="https://doi.org/10.1093/arclin/acr112" TargetMode="External"/><Relationship Id="rId1959" Type="http://schemas.openxmlformats.org/officeDocument/2006/relationships/hyperlink" Target="https://doi.org/10.1007/s11682-014-9338-4" TargetMode="External"/><Relationship Id="rId4018" Type="http://schemas.openxmlformats.org/officeDocument/2006/relationships/hyperlink" Target="https://doi.org/10.1080/13546800802439312" TargetMode="External"/><Relationship Id="rId5416" Type="http://schemas.openxmlformats.org/officeDocument/2006/relationships/hyperlink" Target="https://doi.org/10.1080/15305050903534787" TargetMode="External"/><Relationship Id="rId5830" Type="http://schemas.openxmlformats.org/officeDocument/2006/relationships/hyperlink" Target="https://doi.org/10.1016/j.psychres.2018.11.061" TargetMode="External"/><Relationship Id="rId3381" Type="http://schemas.openxmlformats.org/officeDocument/2006/relationships/hyperlink" Target="https://doi.org/10.1002/ddrr.77" TargetMode="External"/><Relationship Id="rId4432" Type="http://schemas.openxmlformats.org/officeDocument/2006/relationships/hyperlink" Target="https://doi.org/10.1080/09084282.2010.547788" TargetMode="External"/><Relationship Id="rId3034" Type="http://schemas.openxmlformats.org/officeDocument/2006/relationships/hyperlink" Target="https://doi.org/10.1093/cercor/9.7.745" TargetMode="External"/><Relationship Id="rId2050" Type="http://schemas.openxmlformats.org/officeDocument/2006/relationships/hyperlink" Target="https://doi.org/10.1523/JNEUROSCI.5210-08.2009" TargetMode="External"/><Relationship Id="rId3101" Type="http://schemas.openxmlformats.org/officeDocument/2006/relationships/hyperlink" Target="https://doi.org/10.1080/13803395.2019.1599824" TargetMode="External"/><Relationship Id="rId6257" Type="http://schemas.openxmlformats.org/officeDocument/2006/relationships/hyperlink" Target="https://doi.org/10.1027/1015-5759.17.2.112" TargetMode="External"/><Relationship Id="rId5273" Type="http://schemas.openxmlformats.org/officeDocument/2006/relationships/hyperlink" Target="https://doi.org/10.1016/j.intell.2014.04.004" TargetMode="External"/><Relationship Id="rId6324" Type="http://schemas.openxmlformats.org/officeDocument/2006/relationships/hyperlink" Target="http://search.ebscohost.com/login.aspx?direct=true&amp;db=psyh&amp;AN=2011-27638-006&amp;site=ehost-live" TargetMode="External"/><Relationship Id="rId839" Type="http://schemas.openxmlformats.org/officeDocument/2006/relationships/hyperlink" Target="https://doi.org/10.1192/bjp.bp.105.020552" TargetMode="External"/><Relationship Id="rId1469" Type="http://schemas.openxmlformats.org/officeDocument/2006/relationships/hyperlink" Target="https://doi.org/10.1016/j.psychres.2007.07.030" TargetMode="External"/><Relationship Id="rId2867" Type="http://schemas.openxmlformats.org/officeDocument/2006/relationships/hyperlink" Target="https://doi.org/10.1093/schbul/sbr153" TargetMode="External"/><Relationship Id="rId3918" Type="http://schemas.openxmlformats.org/officeDocument/2006/relationships/hyperlink" Target="https://doi.org/10.1590/S0004-282X2011000500005" TargetMode="External"/><Relationship Id="rId5340" Type="http://schemas.openxmlformats.org/officeDocument/2006/relationships/hyperlink" Target="https://doi.org/10.1016/j.schres.2004.03.020" TargetMode="External"/><Relationship Id="rId1883" Type="http://schemas.openxmlformats.org/officeDocument/2006/relationships/hyperlink" Target="https://doi.org/10.1111/j.1399-5618.2006.00274.x" TargetMode="External"/><Relationship Id="rId2934" Type="http://schemas.openxmlformats.org/officeDocument/2006/relationships/hyperlink" Target="https://doi.org/10.32598/jpcp.7.2.147" TargetMode="External"/><Relationship Id="rId906" Type="http://schemas.openxmlformats.org/officeDocument/2006/relationships/hyperlink" Target="https://doi.org/10.1080/01449290500109917" TargetMode="External"/><Relationship Id="rId1536" Type="http://schemas.openxmlformats.org/officeDocument/2006/relationships/hyperlink" Target="https://doi.org/10.1017/S0033291708004832" TargetMode="External"/><Relationship Id="rId1950" Type="http://schemas.openxmlformats.org/officeDocument/2006/relationships/hyperlink" Target="https://doi.org/10.1016/j.ijpsycho.2014.12.005" TargetMode="External"/><Relationship Id="rId1603" Type="http://schemas.openxmlformats.org/officeDocument/2006/relationships/hyperlink" Target="https://doi.org/10.1155/2004/458327" TargetMode="External"/><Relationship Id="rId4759" Type="http://schemas.openxmlformats.org/officeDocument/2006/relationships/hyperlink" Target="https://doi.org/10.1177/0269881106063266" TargetMode="External"/><Relationship Id="rId3775" Type="http://schemas.openxmlformats.org/officeDocument/2006/relationships/hyperlink" Target="https://doi.org/10.1093/arclin/acw056" TargetMode="External"/><Relationship Id="rId4826" Type="http://schemas.openxmlformats.org/officeDocument/2006/relationships/hyperlink" Target="https://doi.org/10.1017/S1355617712000987" TargetMode="External"/><Relationship Id="rId6181" Type="http://schemas.openxmlformats.org/officeDocument/2006/relationships/hyperlink" Target="https://doi.org/10.1111/j.1469-8749.1998.tb15412.x" TargetMode="External"/><Relationship Id="rId696" Type="http://schemas.openxmlformats.org/officeDocument/2006/relationships/hyperlink" Target="https://doi.org/10.1097/01.nmd.0000138229.29157.3e" TargetMode="External"/><Relationship Id="rId2377" Type="http://schemas.openxmlformats.org/officeDocument/2006/relationships/hyperlink" Target="https://doi.org/10.1016/j.psychres.2010.08.001" TargetMode="External"/><Relationship Id="rId2791" Type="http://schemas.openxmlformats.org/officeDocument/2006/relationships/hyperlink" Target="https://doi.org/10.1037/neu0000438" TargetMode="External"/><Relationship Id="rId3428" Type="http://schemas.openxmlformats.org/officeDocument/2006/relationships/hyperlink" Target="https://doi.org/10.1016/j.jad.2018.05.040" TargetMode="External"/><Relationship Id="rId349" Type="http://schemas.openxmlformats.org/officeDocument/2006/relationships/hyperlink" Target="https://doi.org/10.1080/13803391003683062" TargetMode="External"/><Relationship Id="rId763" Type="http://schemas.openxmlformats.org/officeDocument/2006/relationships/hyperlink" Target="https://doi.org/10.1136/jnnp.2005.068726" TargetMode="External"/><Relationship Id="rId1393" Type="http://schemas.openxmlformats.org/officeDocument/2006/relationships/hyperlink" Target="https://doi.org/10.1016/S0278-5846(98)00108-0" TargetMode="External"/><Relationship Id="rId2444" Type="http://schemas.openxmlformats.org/officeDocument/2006/relationships/hyperlink" Target="https://doi.org/10.3389/fpsyt.2020.00209" TargetMode="External"/><Relationship Id="rId3842" Type="http://schemas.openxmlformats.org/officeDocument/2006/relationships/hyperlink" Target="https://doi.org/10.1212/01.wnl.0000171347.28558.56" TargetMode="External"/><Relationship Id="rId416" Type="http://schemas.openxmlformats.org/officeDocument/2006/relationships/hyperlink" Target="https://doi.org/10.1080/01688639708403774" TargetMode="External"/><Relationship Id="rId1046" Type="http://schemas.openxmlformats.org/officeDocument/2006/relationships/hyperlink" Target="https://doi.org/10.1080/13550280802372313" TargetMode="External"/><Relationship Id="rId830" Type="http://schemas.openxmlformats.org/officeDocument/2006/relationships/hyperlink" Target="https://doi.org/10.1159/000119284" TargetMode="External"/><Relationship Id="rId1460" Type="http://schemas.openxmlformats.org/officeDocument/2006/relationships/hyperlink" Target="https://doi.org/10.1017/S1355617704101100" TargetMode="External"/><Relationship Id="rId2511" Type="http://schemas.openxmlformats.org/officeDocument/2006/relationships/hyperlink" Target="https://doi.org/10.1111/jnp.12159" TargetMode="External"/><Relationship Id="rId5667" Type="http://schemas.openxmlformats.org/officeDocument/2006/relationships/hyperlink" Target="https://doi.org/10.1016/j.comppsych.2013.04.002" TargetMode="External"/><Relationship Id="rId1113" Type="http://schemas.openxmlformats.org/officeDocument/2006/relationships/hyperlink" Target="https://doi.org/10.1080/09658210802188301" TargetMode="External"/><Relationship Id="rId4269" Type="http://schemas.openxmlformats.org/officeDocument/2006/relationships/hyperlink" Target="https://doi.org/10.1080/02699052.2018.1431845" TargetMode="External"/><Relationship Id="rId4683" Type="http://schemas.openxmlformats.org/officeDocument/2006/relationships/hyperlink" Target="https://doi.org/10.1097/NMD.0b013e3182214297" TargetMode="External"/><Relationship Id="rId5734" Type="http://schemas.openxmlformats.org/officeDocument/2006/relationships/hyperlink" Target="https://doi.org/10.1081/ADA-200068107" TargetMode="External"/><Relationship Id="rId3285" Type="http://schemas.openxmlformats.org/officeDocument/2006/relationships/hyperlink" Target="https://doi.org/10.1176/appi.ajp.164.3.474" TargetMode="External"/><Relationship Id="rId4336" Type="http://schemas.openxmlformats.org/officeDocument/2006/relationships/hyperlink" Target="https://doi.org/10.1016/j.psychres.2011.10.016" TargetMode="External"/><Relationship Id="rId4750" Type="http://schemas.openxmlformats.org/officeDocument/2006/relationships/hyperlink" Target="https://doi.org/10.1016/j.schres.2005.07.026" TargetMode="External"/><Relationship Id="rId5801" Type="http://schemas.openxmlformats.org/officeDocument/2006/relationships/hyperlink" Target="https://doi.org/10.1016/j.jns.2009.02.361" TargetMode="External"/><Relationship Id="rId3352" Type="http://schemas.openxmlformats.org/officeDocument/2006/relationships/hyperlink" Target="https://doi.org/10.3389/fpsyt.2018.00162" TargetMode="External"/><Relationship Id="rId4403" Type="http://schemas.openxmlformats.org/officeDocument/2006/relationships/hyperlink" Target="https://doi.org/10.1016/S1353-8020(11)70031-1" TargetMode="External"/><Relationship Id="rId273" Type="http://schemas.openxmlformats.org/officeDocument/2006/relationships/hyperlink" Target="https://doi.org/10.1371/journal.pone.0207146" TargetMode="External"/><Relationship Id="rId3005" Type="http://schemas.openxmlformats.org/officeDocument/2006/relationships/hyperlink" Target="https://doi.org/10.1016/j.jpsychires.2007.02.001" TargetMode="External"/><Relationship Id="rId340" Type="http://schemas.openxmlformats.org/officeDocument/2006/relationships/hyperlink" Target="https://doi.org/10.1186/1471-2202-11-118" TargetMode="External"/><Relationship Id="rId2021" Type="http://schemas.openxmlformats.org/officeDocument/2006/relationships/hyperlink" Target="https://doi.org/10.1097/YCT.0000000000000086" TargetMode="External"/><Relationship Id="rId5177" Type="http://schemas.openxmlformats.org/officeDocument/2006/relationships/hyperlink" Target="https://doi.org/10.1016/j.neuropsychologia.2009.07.011" TargetMode="External"/><Relationship Id="rId6228" Type="http://schemas.openxmlformats.org/officeDocument/2006/relationships/hyperlink" Target="https://doi.org/10.1016/j.bandc.2008.03.001" TargetMode="External"/><Relationship Id="rId4193" Type="http://schemas.openxmlformats.org/officeDocument/2006/relationships/hyperlink" Target="https://doi.org/10.1016/j.jad.2012.05.037" TargetMode="External"/><Relationship Id="rId5591" Type="http://schemas.openxmlformats.org/officeDocument/2006/relationships/hyperlink" Target="https://doi.org/10.1016/S0028-3932(99)00093-7" TargetMode="External"/><Relationship Id="rId1787" Type="http://schemas.openxmlformats.org/officeDocument/2006/relationships/hyperlink" Target="https://doi.org/10.1037/0894-4105.20.2.133" TargetMode="External"/><Relationship Id="rId2838" Type="http://schemas.openxmlformats.org/officeDocument/2006/relationships/hyperlink" Target="https://doi.org/10.1080/13554790701254681" TargetMode="External"/><Relationship Id="rId5244" Type="http://schemas.openxmlformats.org/officeDocument/2006/relationships/hyperlink" Target="https://doi.org/10.1016/0006-3223(94)91254-8" TargetMode="External"/><Relationship Id="rId79" Type="http://schemas.openxmlformats.org/officeDocument/2006/relationships/hyperlink" Target="https://doi.org/10.1007/s00406-019-01030-z" TargetMode="External"/><Relationship Id="rId1854" Type="http://schemas.openxmlformats.org/officeDocument/2006/relationships/hyperlink" Target="https://doi.org/10.1080/00207450903192852" TargetMode="External"/><Relationship Id="rId2905" Type="http://schemas.openxmlformats.org/officeDocument/2006/relationships/hyperlink" Target="https://doi.org/10.1016/S0920-9964(00)00092-X" TargetMode="External"/><Relationship Id="rId4260" Type="http://schemas.openxmlformats.org/officeDocument/2006/relationships/hyperlink" Target="https://doi.org/10.1002/erv.1069" TargetMode="External"/><Relationship Id="rId5311" Type="http://schemas.openxmlformats.org/officeDocument/2006/relationships/hyperlink" Target="https://doi.org/10.1111/j.1528-1167.2006.00816.x" TargetMode="External"/><Relationship Id="rId1507" Type="http://schemas.openxmlformats.org/officeDocument/2006/relationships/hyperlink" Target="https://doi.org/10.1016/j.jns.2009.11.008" TargetMode="External"/><Relationship Id="rId1921" Type="http://schemas.openxmlformats.org/officeDocument/2006/relationships/hyperlink" Target="https://doi.org/10.1111/j.1530-0277.2012.01811.x" TargetMode="External"/><Relationship Id="rId3679" Type="http://schemas.openxmlformats.org/officeDocument/2006/relationships/hyperlink" Target="https://doi.org/10.1017/S0954579407070265" TargetMode="External"/><Relationship Id="rId6085" Type="http://schemas.openxmlformats.org/officeDocument/2006/relationships/hyperlink" Target="https://doi.org/10.1111/j.1468-1331.2009.02611.x" TargetMode="External"/><Relationship Id="rId6152" Type="http://schemas.openxmlformats.org/officeDocument/2006/relationships/hyperlink" Target="https://doi.org/10.1016/j.neuroimage.2012.12.022" TargetMode="External"/><Relationship Id="rId1297" Type="http://schemas.openxmlformats.org/officeDocument/2006/relationships/hyperlink" Target="https://doi.org/10.1097/00002826-199508000-00007" TargetMode="External"/><Relationship Id="rId2695" Type="http://schemas.openxmlformats.org/officeDocument/2006/relationships/hyperlink" Target="https://doi.org/10.1136/jnnp-2018-319315" TargetMode="External"/><Relationship Id="rId3746" Type="http://schemas.openxmlformats.org/officeDocument/2006/relationships/hyperlink" Target="https://doi.org/10.2466/PR0.94.2.387-397" TargetMode="External"/><Relationship Id="rId667" Type="http://schemas.openxmlformats.org/officeDocument/2006/relationships/hyperlink" Target="https://doi.org/10.1080/09540121.2016.1153589" TargetMode="External"/><Relationship Id="rId2348" Type="http://schemas.openxmlformats.org/officeDocument/2006/relationships/hyperlink" Target="https://doi.org/10.1080/13825585.2010.510637" TargetMode="External"/><Relationship Id="rId2762" Type="http://schemas.openxmlformats.org/officeDocument/2006/relationships/hyperlink" Target="https://doi.org/10.1136/jnnp.2005.069120" TargetMode="External"/><Relationship Id="rId3813" Type="http://schemas.openxmlformats.org/officeDocument/2006/relationships/hyperlink" Target="https://doi.org/10.1007/s10488-006-0070-2" TargetMode="External"/><Relationship Id="rId734" Type="http://schemas.openxmlformats.org/officeDocument/2006/relationships/hyperlink" Target="https://doi.org/10.1177/0269881111431751" TargetMode="External"/><Relationship Id="rId1364" Type="http://schemas.openxmlformats.org/officeDocument/2006/relationships/hyperlink" Target="https://doi.org/10.1089/cap.2011.0012" TargetMode="External"/><Relationship Id="rId2415" Type="http://schemas.openxmlformats.org/officeDocument/2006/relationships/hyperlink" Target="https://doi.org/10.1177/0008417419831399" TargetMode="External"/><Relationship Id="rId5985" Type="http://schemas.openxmlformats.org/officeDocument/2006/relationships/hyperlink" Target="https://doi.org/10.1007/s00787-015-0689-1" TargetMode="External"/><Relationship Id="rId70" Type="http://schemas.openxmlformats.org/officeDocument/2006/relationships/hyperlink" Target="https://doi.org/10.1016/j.schres.2008.08.004" TargetMode="External"/><Relationship Id="rId801" Type="http://schemas.openxmlformats.org/officeDocument/2006/relationships/hyperlink" Target="https://doi.org/10.1016/j.neuropsychologia.2010.09.017" TargetMode="External"/><Relationship Id="rId1017" Type="http://schemas.openxmlformats.org/officeDocument/2006/relationships/hyperlink" Target="https://doi.org/10.1037/hea0000390" TargetMode="External"/><Relationship Id="rId1431" Type="http://schemas.openxmlformats.org/officeDocument/2006/relationships/hyperlink" Target="https://doi.org/10.1037/1528-3542.3.3.239" TargetMode="External"/><Relationship Id="rId4587" Type="http://schemas.openxmlformats.org/officeDocument/2006/relationships/hyperlink" Target="https://doi.org/10.1590/S1980-57642008DN10400014" TargetMode="External"/><Relationship Id="rId5638" Type="http://schemas.openxmlformats.org/officeDocument/2006/relationships/hyperlink" Target="https://doi.org/10.1002/9781119998938.ch10" TargetMode="External"/><Relationship Id="rId3189" Type="http://schemas.openxmlformats.org/officeDocument/2006/relationships/hyperlink" Target="https://doi.org/10.1016/j.psychres.2014.12.008" TargetMode="External"/><Relationship Id="rId4654" Type="http://schemas.openxmlformats.org/officeDocument/2006/relationships/hyperlink" Target="https://doi.org/10.1016/j.jalz.2007.02.002" TargetMode="External"/><Relationship Id="rId3256" Type="http://schemas.openxmlformats.org/officeDocument/2006/relationships/hyperlink" Target="https://doi.org/10.1097/WNN.0b013e31821129b7" TargetMode="External"/><Relationship Id="rId4307" Type="http://schemas.openxmlformats.org/officeDocument/2006/relationships/hyperlink" Target="https://doi.org/10.1007/s10803-017-3036-1" TargetMode="External"/><Relationship Id="rId5705" Type="http://schemas.openxmlformats.org/officeDocument/2006/relationships/hyperlink" Target="https://doi.org/10.1016/j.schres.2013.05.024" TargetMode="External"/><Relationship Id="rId177" Type="http://schemas.openxmlformats.org/officeDocument/2006/relationships/hyperlink" Target="https://doi.org/10.1007/978-0-387-78965-1_24" TargetMode="External"/><Relationship Id="rId591" Type="http://schemas.openxmlformats.org/officeDocument/2006/relationships/hyperlink" Target="https://doi.org/10.1016/j.jad.2020.12.168" TargetMode="External"/><Relationship Id="rId2272" Type="http://schemas.openxmlformats.org/officeDocument/2006/relationships/hyperlink" Target="https://doi.org/10.1016/j.euroneuro.2007.04.003" TargetMode="External"/><Relationship Id="rId3670" Type="http://schemas.openxmlformats.org/officeDocument/2006/relationships/hyperlink" Target="https://doi.org/10.1016/j.cortex.2012.05.020" TargetMode="External"/><Relationship Id="rId4721" Type="http://schemas.openxmlformats.org/officeDocument/2006/relationships/hyperlink" Target="https://doi.org/10.1034/j.1600-0447.2003.00131.x" TargetMode="External"/><Relationship Id="rId244" Type="http://schemas.openxmlformats.org/officeDocument/2006/relationships/hyperlink" Target="https://doi.org/10.1080/13854046.2014.907583" TargetMode="External"/><Relationship Id="rId3323" Type="http://schemas.openxmlformats.org/officeDocument/2006/relationships/hyperlink" Target="https://doi.org/10.1016/j.schres.2011.09.009" TargetMode="External"/><Relationship Id="rId6479" Type="http://schemas.openxmlformats.org/officeDocument/2006/relationships/hyperlink" Target="https://doi.org/10.1007/s11055-011-9449-y" TargetMode="External"/><Relationship Id="rId5495" Type="http://schemas.openxmlformats.org/officeDocument/2006/relationships/hyperlink" Target="https://doi.org/10.1093/schbul/sbp058" TargetMode="External"/><Relationship Id="rId6546" Type="http://schemas.openxmlformats.org/officeDocument/2006/relationships/hyperlink" Target="https://doi.org/10.1002/eat.22307" TargetMode="External"/><Relationship Id="rId311" Type="http://schemas.openxmlformats.org/officeDocument/2006/relationships/hyperlink" Target="https://doi.org/10.1016/S0028-3932(00)00046-4" TargetMode="External"/><Relationship Id="rId4097" Type="http://schemas.openxmlformats.org/officeDocument/2006/relationships/hyperlink" Target="https://doi.org/10.1037/rep0000376" TargetMode="External"/><Relationship Id="rId5148" Type="http://schemas.openxmlformats.org/officeDocument/2006/relationships/hyperlink" Target="https://doi.org/10.1080/13854040701218428" TargetMode="External"/><Relationship Id="rId5562" Type="http://schemas.openxmlformats.org/officeDocument/2006/relationships/hyperlink" Target="https://doi.org/10.1007/s12311-011-0260-7" TargetMode="External"/><Relationship Id="rId1758" Type="http://schemas.openxmlformats.org/officeDocument/2006/relationships/hyperlink" Target="https://doi.org/10.1002/ajmg.b.31166" TargetMode="External"/><Relationship Id="rId2809" Type="http://schemas.openxmlformats.org/officeDocument/2006/relationships/hyperlink" Target="https://doi.org/10.1016/j.psychres.2009.04.001" TargetMode="External"/><Relationship Id="rId4164" Type="http://schemas.openxmlformats.org/officeDocument/2006/relationships/hyperlink" Target="https://doi.org/10.1007/s11682-011-9129-0" TargetMode="External"/><Relationship Id="rId5215" Type="http://schemas.openxmlformats.org/officeDocument/2006/relationships/hyperlink" Target="https://doi.org/10.1002/ajmg.b.32353" TargetMode="External"/><Relationship Id="rId3180" Type="http://schemas.openxmlformats.org/officeDocument/2006/relationships/hyperlink" Target="https://doi.org/10.1016/B978-0-12-801291-8.00007-8" TargetMode="External"/><Relationship Id="rId4231" Type="http://schemas.openxmlformats.org/officeDocument/2006/relationships/hyperlink" Target="https://doi.org/10.3109/13651501.2013.828079" TargetMode="External"/><Relationship Id="rId1825" Type="http://schemas.openxmlformats.org/officeDocument/2006/relationships/hyperlink" Target="https://doi.org/10.1080/13554794.2010.536955" TargetMode="External"/><Relationship Id="rId3997" Type="http://schemas.openxmlformats.org/officeDocument/2006/relationships/hyperlink" Target="https://doi.org/10.1212/01.WNL.0000126447.91111.A1" TargetMode="External"/><Relationship Id="rId6056" Type="http://schemas.openxmlformats.org/officeDocument/2006/relationships/hyperlink" Target="https://doi.org/10.1111/j.1468-1331.2008.02335.x" TargetMode="External"/><Relationship Id="rId2599" Type="http://schemas.openxmlformats.org/officeDocument/2006/relationships/hyperlink" Target="https://doi.org/10.1016/j.neuropsychologia.2006.01.010" TargetMode="External"/><Relationship Id="rId6470" Type="http://schemas.openxmlformats.org/officeDocument/2006/relationships/hyperlink" Target="https://doi.org/10.1093/arclin/acs031" TargetMode="External"/><Relationship Id="rId985" Type="http://schemas.openxmlformats.org/officeDocument/2006/relationships/hyperlink" Target="https://doi.org/10.1093/brain/awt228" TargetMode="External"/><Relationship Id="rId2666" Type="http://schemas.openxmlformats.org/officeDocument/2006/relationships/hyperlink" Target="https://doi.org/10.1186/1751-0759-4-1" TargetMode="External"/><Relationship Id="rId3717" Type="http://schemas.openxmlformats.org/officeDocument/2006/relationships/hyperlink" Target="https://doi.org/10.1590/S0047-20852012000400011" TargetMode="External"/><Relationship Id="rId5072" Type="http://schemas.openxmlformats.org/officeDocument/2006/relationships/hyperlink" Target="https://doi.org/10.1016/j.schres.2012.10.017" TargetMode="External"/><Relationship Id="rId6123" Type="http://schemas.openxmlformats.org/officeDocument/2006/relationships/hyperlink" Target="https://doi.org/10.3109/02699052.2012.667594" TargetMode="External"/><Relationship Id="rId638" Type="http://schemas.openxmlformats.org/officeDocument/2006/relationships/hyperlink" Target="https://doi.org/10.1016/j.psychres.2018.12.026" TargetMode="External"/><Relationship Id="rId1268" Type="http://schemas.openxmlformats.org/officeDocument/2006/relationships/hyperlink" Target="https://doi.org/10.1192/bjp.2017.6" TargetMode="External"/><Relationship Id="rId1682" Type="http://schemas.openxmlformats.org/officeDocument/2006/relationships/hyperlink" Target="https://doi.org/10.1055/s-0041-109189" TargetMode="External"/><Relationship Id="rId2319" Type="http://schemas.openxmlformats.org/officeDocument/2006/relationships/hyperlink" Target="https://doi.org/10.1093/arclin/acp099" TargetMode="External"/><Relationship Id="rId2733" Type="http://schemas.openxmlformats.org/officeDocument/2006/relationships/hyperlink" Target="https://doi.org/10.1111/adb.12246" TargetMode="External"/><Relationship Id="rId5889" Type="http://schemas.openxmlformats.org/officeDocument/2006/relationships/hyperlink" Target="https://doi.org/10.1016/j.schres.2013.12.005" TargetMode="External"/><Relationship Id="rId705" Type="http://schemas.openxmlformats.org/officeDocument/2006/relationships/hyperlink" Target="https://doi.org/10.1017/S1355617713000295" TargetMode="External"/><Relationship Id="rId1335" Type="http://schemas.openxmlformats.org/officeDocument/2006/relationships/hyperlink" Target="https://doi.org/10.1080/13803395.2011.578569" TargetMode="External"/><Relationship Id="rId2800" Type="http://schemas.openxmlformats.org/officeDocument/2006/relationships/hyperlink" Target="https://doi.org/10.1016/j.jad.2012.11.040" TargetMode="External"/><Relationship Id="rId5956" Type="http://schemas.openxmlformats.org/officeDocument/2006/relationships/hyperlink" Target="https://doi.org/10.1093/oxfordjournals.schbul.a007076" TargetMode="External"/><Relationship Id="rId41" Type="http://schemas.openxmlformats.org/officeDocument/2006/relationships/hyperlink" Target="https://doi.org/10.1016/j.neuroimage.2013.08.033" TargetMode="External"/><Relationship Id="rId1402" Type="http://schemas.openxmlformats.org/officeDocument/2006/relationships/hyperlink" Target="https://doi.org/10.1016/j.neuroimage.2013.06.037" TargetMode="External"/><Relationship Id="rId4558" Type="http://schemas.openxmlformats.org/officeDocument/2006/relationships/hyperlink" Target="https://doi.org/10.1177/1363461513483263" TargetMode="External"/><Relationship Id="rId4972" Type="http://schemas.openxmlformats.org/officeDocument/2006/relationships/hyperlink" Target="https://doi.org/10.1080/13854046.2012.702788" TargetMode="External"/><Relationship Id="rId5609" Type="http://schemas.openxmlformats.org/officeDocument/2006/relationships/hyperlink" Target="https://doi.org/10.1076/jcen.21.5.701.868" TargetMode="External"/><Relationship Id="rId3574" Type="http://schemas.openxmlformats.org/officeDocument/2006/relationships/hyperlink" Target="https://doi.org/10.1177/0091217415589304" TargetMode="External"/><Relationship Id="rId4625" Type="http://schemas.openxmlformats.org/officeDocument/2006/relationships/hyperlink" Target="https://doi.org/10.1016/j.pscychresns.2013.06.008" TargetMode="External"/><Relationship Id="rId495" Type="http://schemas.openxmlformats.org/officeDocument/2006/relationships/hyperlink" Target="https://doi.org/10.1016/j.neuropsychologia.2004.04.027" TargetMode="External"/><Relationship Id="rId2176" Type="http://schemas.openxmlformats.org/officeDocument/2006/relationships/hyperlink" Target="https://doi.org/10.1007/s00213-010-1994-5" TargetMode="External"/><Relationship Id="rId2590" Type="http://schemas.openxmlformats.org/officeDocument/2006/relationships/hyperlink" Target="https://doi.org/10.1111/j.1440-1819.2010.02166.x" TargetMode="External"/><Relationship Id="rId3227" Type="http://schemas.openxmlformats.org/officeDocument/2006/relationships/hyperlink" Target="https://doi.org/10.1093/brain/awv047" TargetMode="External"/><Relationship Id="rId3641" Type="http://schemas.openxmlformats.org/officeDocument/2006/relationships/hyperlink" Target="https://doi.org/10.1212/01.WNL.0000141920.33580.5D" TargetMode="External"/><Relationship Id="rId148" Type="http://schemas.openxmlformats.org/officeDocument/2006/relationships/hyperlink" Target="http://search.ebscohost.com/login.aspx?direct=true&amp;db=psyh&amp;AN=2011-27640-014&amp;site=ehost-live" TargetMode="External"/><Relationship Id="rId562" Type="http://schemas.openxmlformats.org/officeDocument/2006/relationships/hyperlink" Target="https://doi.org/10.1159/000091838" TargetMode="External"/><Relationship Id="rId1192" Type="http://schemas.openxmlformats.org/officeDocument/2006/relationships/hyperlink" Target="https://doi.org/10.1093/schbul/21.3.395" TargetMode="External"/><Relationship Id="rId2243" Type="http://schemas.openxmlformats.org/officeDocument/2006/relationships/hyperlink" Target="https://doi.org/10.4414/sanp.2007.01809" TargetMode="External"/><Relationship Id="rId5399" Type="http://schemas.openxmlformats.org/officeDocument/2006/relationships/hyperlink" Target="https://doi.org/10.1016/j.physbeh.2018.04.018" TargetMode="External"/><Relationship Id="rId215" Type="http://schemas.openxmlformats.org/officeDocument/2006/relationships/hyperlink" Target="https://doi.org/10.1080/13854049608406702" TargetMode="External"/><Relationship Id="rId2310" Type="http://schemas.openxmlformats.org/officeDocument/2006/relationships/hyperlink" Target="https://doi.org/10.1016/j.jpsychires.2012.01.004" TargetMode="External"/><Relationship Id="rId5466" Type="http://schemas.openxmlformats.org/officeDocument/2006/relationships/hyperlink" Target="https://doi.org/10.1016/j.bandc.2004.06.002" TargetMode="External"/><Relationship Id="rId6517" Type="http://schemas.openxmlformats.org/officeDocument/2006/relationships/hyperlink" Target="https://doi.org/10.3389/fpsyt.2019.00253" TargetMode="External"/><Relationship Id="rId4068" Type="http://schemas.openxmlformats.org/officeDocument/2006/relationships/hyperlink" Target="https://doi.org/10.1111/j.1600-0447.2008.01245.x" TargetMode="External"/><Relationship Id="rId4482" Type="http://schemas.openxmlformats.org/officeDocument/2006/relationships/hyperlink" Target="https://doi.org/10.1016/j.biopsych.2013.05.020" TargetMode="External"/><Relationship Id="rId5119" Type="http://schemas.openxmlformats.org/officeDocument/2006/relationships/hyperlink" Target="https://doi.org/10.1016/j.psychres.2012.05.006" TargetMode="External"/><Relationship Id="rId5880" Type="http://schemas.openxmlformats.org/officeDocument/2006/relationships/hyperlink" Target="https://doi.org/10.1016/j.pscychresns.2011.07.011" TargetMode="External"/><Relationship Id="rId3084" Type="http://schemas.openxmlformats.org/officeDocument/2006/relationships/hyperlink" Target="https://doi.org/10.4088/JCP.11m07238" TargetMode="External"/><Relationship Id="rId4135" Type="http://schemas.openxmlformats.org/officeDocument/2006/relationships/hyperlink" Target="https://doi.org/10.1016/j.concog.2010.08.001" TargetMode="External"/><Relationship Id="rId5533" Type="http://schemas.openxmlformats.org/officeDocument/2006/relationships/hyperlink" Target="https://doi.org/10.1037/a0017661" TargetMode="External"/><Relationship Id="rId1729" Type="http://schemas.openxmlformats.org/officeDocument/2006/relationships/hyperlink" Target="https://doi.org/10.1017/S1366728919000488" TargetMode="External"/><Relationship Id="rId5600" Type="http://schemas.openxmlformats.org/officeDocument/2006/relationships/hyperlink" Target="https://doi.org/10.3233/RNN-150508" TargetMode="External"/><Relationship Id="rId3151" Type="http://schemas.openxmlformats.org/officeDocument/2006/relationships/hyperlink" Target="https://doi.org/10.1023/A:1012953108158" TargetMode="External"/><Relationship Id="rId4202" Type="http://schemas.openxmlformats.org/officeDocument/2006/relationships/hyperlink" Target="https://doi.org/10.3109/13550280903350192" TargetMode="External"/><Relationship Id="rId3968" Type="http://schemas.openxmlformats.org/officeDocument/2006/relationships/hyperlink" Target="https://doi.org/10.1093/brain/awl326" TargetMode="External"/><Relationship Id="rId6374" Type="http://schemas.openxmlformats.org/officeDocument/2006/relationships/hyperlink" Target="https://doi.org/10.1016/j.comppsych.2011.04.001" TargetMode="External"/><Relationship Id="rId5" Type="http://schemas.openxmlformats.org/officeDocument/2006/relationships/hyperlink" Target="https://doi.org/10.1212/01.WNL.0000120549.77188.36" TargetMode="External"/><Relationship Id="rId889" Type="http://schemas.openxmlformats.org/officeDocument/2006/relationships/hyperlink" Target="https://doi.org/10.1016/j.pscychresns.2008.04.002" TargetMode="External"/><Relationship Id="rId5390" Type="http://schemas.openxmlformats.org/officeDocument/2006/relationships/hyperlink" Target="https://doi.org/10.1037/0894-4105.21.6.751" TargetMode="External"/><Relationship Id="rId6027" Type="http://schemas.openxmlformats.org/officeDocument/2006/relationships/hyperlink" Target="https://doi.org/10.5350/KPB-BCP201121105" TargetMode="External"/><Relationship Id="rId6441" Type="http://schemas.openxmlformats.org/officeDocument/2006/relationships/hyperlink" Target="https://doi.org/10.1016/0920-9964(94)00074-I" TargetMode="External"/><Relationship Id="rId1586" Type="http://schemas.openxmlformats.org/officeDocument/2006/relationships/hyperlink" Target="https://doi.org/10.1176/appi.ps.60.11.1468" TargetMode="External"/><Relationship Id="rId2984" Type="http://schemas.openxmlformats.org/officeDocument/2006/relationships/hyperlink" Target="https://doi.org/10.1016/j.biopsych.2012.01.016" TargetMode="External"/><Relationship Id="rId5043" Type="http://schemas.openxmlformats.org/officeDocument/2006/relationships/hyperlink" Target="https://doi.org/10.4321/S0213-61632009000300007" TargetMode="External"/><Relationship Id="rId609" Type="http://schemas.openxmlformats.org/officeDocument/2006/relationships/hyperlink" Target="https://doi.org/10.1016/j.jad.2019.07.015" TargetMode="External"/><Relationship Id="rId956" Type="http://schemas.openxmlformats.org/officeDocument/2006/relationships/hyperlink" Target="https://doi.org/10.1016/j.bbi.2011.07.239" TargetMode="External"/><Relationship Id="rId1239" Type="http://schemas.openxmlformats.org/officeDocument/2006/relationships/hyperlink" Target="https://doi.org/10.1080/13554794.2013.770885" TargetMode="External"/><Relationship Id="rId2637" Type="http://schemas.openxmlformats.org/officeDocument/2006/relationships/hyperlink" Target="https://doi.org/10.1027/1192-5604/a000075" TargetMode="External"/><Relationship Id="rId5110" Type="http://schemas.openxmlformats.org/officeDocument/2006/relationships/hyperlink" Target="https://doi.org/10.1002/ajmg.b.20155" TargetMode="External"/><Relationship Id="rId1653" Type="http://schemas.openxmlformats.org/officeDocument/2006/relationships/hyperlink" Target="https://doi.org/10.3109/02699052.2014.942371" TargetMode="External"/><Relationship Id="rId2704" Type="http://schemas.openxmlformats.org/officeDocument/2006/relationships/hyperlink" Target="https://doi.org/10.1080/13546805.2021.1923470" TargetMode="External"/><Relationship Id="rId1306" Type="http://schemas.openxmlformats.org/officeDocument/2006/relationships/hyperlink" Target="https://doi.org/10.1097/PSY.0b013e31826af636" TargetMode="External"/><Relationship Id="rId1720" Type="http://schemas.openxmlformats.org/officeDocument/2006/relationships/hyperlink" Target="https://doi.org/10.1016/S0028-3932(96)00073-5" TargetMode="External"/><Relationship Id="rId4876" Type="http://schemas.openxmlformats.org/officeDocument/2006/relationships/hyperlink" Target="https://doi.org/10.1016/j.dcn.2018.03.007" TargetMode="External"/><Relationship Id="rId5927" Type="http://schemas.openxmlformats.org/officeDocument/2006/relationships/hyperlink" Target="https://doi.org/10.1016/j.eurpsy.2010.01.012" TargetMode="External"/><Relationship Id="rId12" Type="http://schemas.openxmlformats.org/officeDocument/2006/relationships/hyperlink" Target="https://doi.org/10.1006/brcg.1995.1017" TargetMode="External"/><Relationship Id="rId3478" Type="http://schemas.openxmlformats.org/officeDocument/2006/relationships/hyperlink" Target="https://doi.org/10.1080/13854046.2015.1132772" TargetMode="External"/><Relationship Id="rId3892" Type="http://schemas.openxmlformats.org/officeDocument/2006/relationships/hyperlink" Target="https://doi.org/10.1136/jnnp.57.7.805" TargetMode="External"/><Relationship Id="rId4529" Type="http://schemas.openxmlformats.org/officeDocument/2006/relationships/hyperlink" Target="https://doi.org/10.1002/ajmg.b.32414" TargetMode="External"/><Relationship Id="rId4943" Type="http://schemas.openxmlformats.org/officeDocument/2006/relationships/hyperlink" Target="https://doi.org/10.1073/pnas.0502455102" TargetMode="External"/><Relationship Id="rId399" Type="http://schemas.openxmlformats.org/officeDocument/2006/relationships/hyperlink" Target="https://doi.org/10.1016/j.jad.2015.08.041" TargetMode="External"/><Relationship Id="rId2494" Type="http://schemas.openxmlformats.org/officeDocument/2006/relationships/hyperlink" Target="https://doi.org/10.1016/j.jpsychores.2013.03.041" TargetMode="External"/><Relationship Id="rId3545" Type="http://schemas.openxmlformats.org/officeDocument/2006/relationships/hyperlink" Target="https://doi.org/10.1111/j.1600-0447.2010.01554.x" TargetMode="External"/><Relationship Id="rId466" Type="http://schemas.openxmlformats.org/officeDocument/2006/relationships/hyperlink" Target="https://doi.org/10.1016/j.psychres.2014.12.009" TargetMode="External"/><Relationship Id="rId880" Type="http://schemas.openxmlformats.org/officeDocument/2006/relationships/hyperlink" Target="https://doi.org/10.1177/0091217415621267" TargetMode="External"/><Relationship Id="rId1096" Type="http://schemas.openxmlformats.org/officeDocument/2006/relationships/hyperlink" Target="https://doi.org/10.1016/S0301-0511(01)00103-X" TargetMode="External"/><Relationship Id="rId2147" Type="http://schemas.openxmlformats.org/officeDocument/2006/relationships/hyperlink" Target="https://doi.org/10.1016/j.neuropsychologia.2004.07.004" TargetMode="External"/><Relationship Id="rId2561" Type="http://schemas.openxmlformats.org/officeDocument/2006/relationships/hyperlink" Target="https://doi.org/10.1111/mbe.12168" TargetMode="External"/><Relationship Id="rId119" Type="http://schemas.openxmlformats.org/officeDocument/2006/relationships/hyperlink" Target="https://doi.org/10.3389/fnagi.2021.637796" TargetMode="External"/><Relationship Id="rId533" Type="http://schemas.openxmlformats.org/officeDocument/2006/relationships/hyperlink" Target="https://doi.org/10.1155/2018/6214095" TargetMode="External"/><Relationship Id="rId1163" Type="http://schemas.openxmlformats.org/officeDocument/2006/relationships/hyperlink" Target="https://doi.org/10.1155/2013/126010" TargetMode="External"/><Relationship Id="rId2214" Type="http://schemas.openxmlformats.org/officeDocument/2006/relationships/hyperlink" Target="https://doi.org/10.1080/0269905011008803" TargetMode="External"/><Relationship Id="rId3612" Type="http://schemas.openxmlformats.org/officeDocument/2006/relationships/hyperlink" Target="https://doi.org/10.3109/02699052.2013.794969" TargetMode="External"/><Relationship Id="rId5784" Type="http://schemas.openxmlformats.org/officeDocument/2006/relationships/hyperlink" Target="https://doi.org/10.1016/j.psychres.2011.07.036" TargetMode="External"/><Relationship Id="rId600" Type="http://schemas.openxmlformats.org/officeDocument/2006/relationships/hyperlink" Target="https://doi.org/10.1017/S1355617799577047" TargetMode="External"/><Relationship Id="rId1230" Type="http://schemas.openxmlformats.org/officeDocument/2006/relationships/hyperlink" Target="https://doi.org/10.1016/j.brat.2018.07.004" TargetMode="External"/><Relationship Id="rId4386" Type="http://schemas.openxmlformats.org/officeDocument/2006/relationships/hyperlink" Target="https://doi.org/10.1016/j.neuropsychologia.2006.09.007" TargetMode="External"/><Relationship Id="rId5437" Type="http://schemas.openxmlformats.org/officeDocument/2006/relationships/hyperlink" Target="https://doi.org/10.1080/02687030544000100" TargetMode="External"/><Relationship Id="rId5851" Type="http://schemas.openxmlformats.org/officeDocument/2006/relationships/hyperlink" Target="https://doi.org/10.1007/978-1-61779-458-2_36" TargetMode="External"/><Relationship Id="rId4039" Type="http://schemas.openxmlformats.org/officeDocument/2006/relationships/hyperlink" Target="https://doi.org/10.1016/j.bandc.2013.04.001" TargetMode="External"/><Relationship Id="rId4453" Type="http://schemas.openxmlformats.org/officeDocument/2006/relationships/hyperlink" Target="https://doi.org/10.1080/09084282.2011.643946" TargetMode="External"/><Relationship Id="rId5504" Type="http://schemas.openxmlformats.org/officeDocument/2006/relationships/hyperlink" Target="https://doi.org/10.1016/j.jpsychires.2006.01.006" TargetMode="External"/><Relationship Id="rId3055" Type="http://schemas.openxmlformats.org/officeDocument/2006/relationships/hyperlink" Target="https://doi.org/10.1162/jocn.2006.18.6.949" TargetMode="External"/><Relationship Id="rId4106" Type="http://schemas.openxmlformats.org/officeDocument/2006/relationships/hyperlink" Target="https://doi.org/10.1016/j.schres.2008.06.015" TargetMode="External"/><Relationship Id="rId4520" Type="http://schemas.openxmlformats.org/officeDocument/2006/relationships/hyperlink" Target="https://doi.org/10.1016/j.schres.2007.09.012" TargetMode="External"/><Relationship Id="rId390" Type="http://schemas.openxmlformats.org/officeDocument/2006/relationships/hyperlink" Target="https://doi.org/10.1017/S0033291715001129" TargetMode="External"/><Relationship Id="rId2071" Type="http://schemas.openxmlformats.org/officeDocument/2006/relationships/hyperlink" Target="https://doi.org/10.1016/j.neurobiolaging.2013.02.016" TargetMode="External"/><Relationship Id="rId3122" Type="http://schemas.openxmlformats.org/officeDocument/2006/relationships/hyperlink" Target="https://doi.org/10.1136/jnnp-2016-313803" TargetMode="External"/><Relationship Id="rId6278" Type="http://schemas.openxmlformats.org/officeDocument/2006/relationships/hyperlink" Target="https://doi.org/10.1093/arclin/acr009" TargetMode="External"/><Relationship Id="rId5294" Type="http://schemas.openxmlformats.org/officeDocument/2006/relationships/hyperlink" Target="https://doi.org/10.1080/09638288.2016.1195453" TargetMode="External"/><Relationship Id="rId6345" Type="http://schemas.openxmlformats.org/officeDocument/2006/relationships/hyperlink" Target="https://doi.org/10.1016/j.bandl.2006.11.005" TargetMode="External"/><Relationship Id="rId110" Type="http://schemas.openxmlformats.org/officeDocument/2006/relationships/hyperlink" Target="https://doi.org/10.1016/j.biopsych.2004.08.002" TargetMode="External"/><Relationship Id="rId2888" Type="http://schemas.openxmlformats.org/officeDocument/2006/relationships/hyperlink" Target="https://doi.org/10.1080/13803395.2014.955784" TargetMode="External"/><Relationship Id="rId3939" Type="http://schemas.openxmlformats.org/officeDocument/2006/relationships/hyperlink" Target="https://doi.org/10.1159/000085858" TargetMode="External"/><Relationship Id="rId2955" Type="http://schemas.openxmlformats.org/officeDocument/2006/relationships/hyperlink" Target="https://doi.org/10.1111/j.1440-1819.2006.01506.x" TargetMode="External"/><Relationship Id="rId5361" Type="http://schemas.openxmlformats.org/officeDocument/2006/relationships/hyperlink" Target="https://doi.org/10.1080/13546800444000308" TargetMode="External"/><Relationship Id="rId6412" Type="http://schemas.openxmlformats.org/officeDocument/2006/relationships/hyperlink" Target="https://doi.org/10.1002/oby.20801" TargetMode="External"/><Relationship Id="rId927" Type="http://schemas.openxmlformats.org/officeDocument/2006/relationships/hyperlink" Target="https://doi.org/10.1080/09084282.2010.499809" TargetMode="External"/><Relationship Id="rId1557" Type="http://schemas.openxmlformats.org/officeDocument/2006/relationships/hyperlink" Target="https://doi.org/10.1212/WNL.0000000000000475" TargetMode="External"/><Relationship Id="rId1971" Type="http://schemas.openxmlformats.org/officeDocument/2006/relationships/hyperlink" Target="https://doi.org/10.1016/0165-1781(93)90071-N" TargetMode="External"/><Relationship Id="rId2608" Type="http://schemas.openxmlformats.org/officeDocument/2006/relationships/hyperlink" Target="https://doi.org/10.1177/0004867411432851" TargetMode="External"/><Relationship Id="rId5014" Type="http://schemas.openxmlformats.org/officeDocument/2006/relationships/hyperlink" Target="https://doi.org/10.1155/2019/2943603" TargetMode="External"/><Relationship Id="rId1624" Type="http://schemas.openxmlformats.org/officeDocument/2006/relationships/hyperlink" Target="https://doi.org/10.1016/j.psychres.2012.05.008" TargetMode="External"/><Relationship Id="rId4030" Type="http://schemas.openxmlformats.org/officeDocument/2006/relationships/hyperlink" Target="https://doi.org/10.1080/23279095.2016.1159562" TargetMode="External"/><Relationship Id="rId3796" Type="http://schemas.openxmlformats.org/officeDocument/2006/relationships/hyperlink" Target="https://doi.org/10.1177/1059601114550712" TargetMode="External"/><Relationship Id="rId2398" Type="http://schemas.openxmlformats.org/officeDocument/2006/relationships/hyperlink" Target="https://doi.org/10.1080/10926771.2014.872749" TargetMode="External"/><Relationship Id="rId3449" Type="http://schemas.openxmlformats.org/officeDocument/2006/relationships/hyperlink" Target="https://doi.org/10.1037/0894-4105.17.4.646" TargetMode="External"/><Relationship Id="rId4847" Type="http://schemas.openxmlformats.org/officeDocument/2006/relationships/hyperlink" Target="https://doi.org/10.1111/jpm.12141" TargetMode="External"/><Relationship Id="rId3863" Type="http://schemas.openxmlformats.org/officeDocument/2006/relationships/hyperlink" Target="https://doi.org/10.1080/15248370902966552" TargetMode="External"/><Relationship Id="rId4914" Type="http://schemas.openxmlformats.org/officeDocument/2006/relationships/hyperlink" Target="https://doi.org/10.1037/a0031299" TargetMode="External"/><Relationship Id="rId784" Type="http://schemas.openxmlformats.org/officeDocument/2006/relationships/hyperlink" Target="https://doi.org/10.1016/j.schres.2016.01.021" TargetMode="External"/><Relationship Id="rId1067" Type="http://schemas.openxmlformats.org/officeDocument/2006/relationships/hyperlink" Target="https://doi.org/10.1192/bjp.bp.111.107359" TargetMode="External"/><Relationship Id="rId2465" Type="http://schemas.openxmlformats.org/officeDocument/2006/relationships/hyperlink" Target="https://doi.org/10.1037/ccp0000668" TargetMode="External"/><Relationship Id="rId3516" Type="http://schemas.openxmlformats.org/officeDocument/2006/relationships/hyperlink" Target="https://doi.org/10.1097/00005053-199605000-00010" TargetMode="External"/><Relationship Id="rId3930" Type="http://schemas.openxmlformats.org/officeDocument/2006/relationships/hyperlink" Target="https://doi.org/10.1055/s-0029-1242824" TargetMode="External"/><Relationship Id="rId437" Type="http://schemas.openxmlformats.org/officeDocument/2006/relationships/hyperlink" Target="https://doi.org/10.1080/87565641003696775" TargetMode="External"/><Relationship Id="rId851" Type="http://schemas.openxmlformats.org/officeDocument/2006/relationships/hyperlink" Target="https://doi.org/10.1038/sj.npp.1301005" TargetMode="External"/><Relationship Id="rId1481" Type="http://schemas.openxmlformats.org/officeDocument/2006/relationships/hyperlink" Target="https://doi.org/10.1016/j.neurobiolaging.2003.10.007" TargetMode="External"/><Relationship Id="rId2118" Type="http://schemas.openxmlformats.org/officeDocument/2006/relationships/hyperlink" Target="https://doi.org/10.1016/j.acn.2004.03.008" TargetMode="External"/><Relationship Id="rId2532" Type="http://schemas.openxmlformats.org/officeDocument/2006/relationships/hyperlink" Target="https://doi.org/10.1007/s10578-012-0351-9" TargetMode="External"/><Relationship Id="rId5688" Type="http://schemas.openxmlformats.org/officeDocument/2006/relationships/hyperlink" Target="https://doi.org/10.1002/eat.22332" TargetMode="External"/><Relationship Id="rId504" Type="http://schemas.openxmlformats.org/officeDocument/2006/relationships/hyperlink" Target="https://doi.org/10.1111/j.1600-0447.2007.01008.x" TargetMode="External"/><Relationship Id="rId1134" Type="http://schemas.openxmlformats.org/officeDocument/2006/relationships/hyperlink" Target="https://doi.org/10.1016/j.schres.2005.09.007" TargetMode="External"/><Relationship Id="rId5755" Type="http://schemas.openxmlformats.org/officeDocument/2006/relationships/hyperlink" Target="https://doi.org/10.1159/000107100" TargetMode="External"/><Relationship Id="rId1201" Type="http://schemas.openxmlformats.org/officeDocument/2006/relationships/hyperlink" Target="https://doi.org/10.3389/fnagi.2021.684689" TargetMode="External"/><Relationship Id="rId4357" Type="http://schemas.openxmlformats.org/officeDocument/2006/relationships/hyperlink" Target="https://doi.org/10.2174/1567205011310030013" TargetMode="External"/><Relationship Id="rId4771" Type="http://schemas.openxmlformats.org/officeDocument/2006/relationships/hyperlink" Target="https://doi.org/10.1093/med:psych/9780195174113.003.0016" TargetMode="External"/><Relationship Id="rId5408" Type="http://schemas.openxmlformats.org/officeDocument/2006/relationships/hyperlink" Target="https://doi.org/10.1080/13803395.2019.1676882" TargetMode="External"/><Relationship Id="rId3373" Type="http://schemas.openxmlformats.org/officeDocument/2006/relationships/hyperlink" Target="https://doi.org/10.1016/j.euroneuro.2011.12.008" TargetMode="External"/><Relationship Id="rId4424" Type="http://schemas.openxmlformats.org/officeDocument/2006/relationships/hyperlink" Target="https://doi.org/10.1034/j.1600-0447.2002.1o421.x" TargetMode="External"/><Relationship Id="rId5822" Type="http://schemas.openxmlformats.org/officeDocument/2006/relationships/hyperlink" Target="https://doi.org/10.1080/23279095.2019.1627357" TargetMode="External"/><Relationship Id="rId294" Type="http://schemas.openxmlformats.org/officeDocument/2006/relationships/hyperlink" Target="https://doi.org/10.1002/gps.2317" TargetMode="External"/><Relationship Id="rId3026" Type="http://schemas.openxmlformats.org/officeDocument/2006/relationships/hyperlink" Target="https://doi.org/10.1016/j.schres.2014.02.017" TargetMode="External"/><Relationship Id="rId361" Type="http://schemas.openxmlformats.org/officeDocument/2006/relationships/hyperlink" Target="https://doi.org/10.1017/BrImp.2013.10" TargetMode="External"/><Relationship Id="rId2042" Type="http://schemas.openxmlformats.org/officeDocument/2006/relationships/hyperlink" Target="https://doi.org/10.1016/j.neuropsychologia.2006.10.008" TargetMode="External"/><Relationship Id="rId3440" Type="http://schemas.openxmlformats.org/officeDocument/2006/relationships/hyperlink" Target="https://doi.org/10.3389/fpsyt.2012.00094" TargetMode="External"/><Relationship Id="rId5198" Type="http://schemas.openxmlformats.org/officeDocument/2006/relationships/hyperlink" Target="https://doi.org/10.1016/j.artmed.2013.07.005" TargetMode="External"/><Relationship Id="rId6249" Type="http://schemas.openxmlformats.org/officeDocument/2006/relationships/hyperlink" Target="https://doi.org/10.1080/13803395.2014.1002758" TargetMode="External"/><Relationship Id="rId2859" Type="http://schemas.openxmlformats.org/officeDocument/2006/relationships/hyperlink" Target="https://doi.org/10.1016/j.psychres.2018.05.050" TargetMode="External"/><Relationship Id="rId5265" Type="http://schemas.openxmlformats.org/officeDocument/2006/relationships/hyperlink" Target="https://doi.org/10.1016/j.addbeh.2010.02.012" TargetMode="External"/><Relationship Id="rId6316" Type="http://schemas.openxmlformats.org/officeDocument/2006/relationships/hyperlink" Target="https://doi.org/10.1007/s00406-006-0707-x" TargetMode="External"/><Relationship Id="rId1875" Type="http://schemas.openxmlformats.org/officeDocument/2006/relationships/hyperlink" Target="https://doi.org/10.1016/0278-5846(93)90021-J" TargetMode="External"/><Relationship Id="rId4281" Type="http://schemas.openxmlformats.org/officeDocument/2006/relationships/hyperlink" Target="https://doi.org/10.1016/j.bbr.2016.07.050" TargetMode="External"/><Relationship Id="rId5332" Type="http://schemas.openxmlformats.org/officeDocument/2006/relationships/hyperlink" Target="https://doi.org/10.1007/s10461-017-1689-6" TargetMode="External"/><Relationship Id="rId1528" Type="http://schemas.openxmlformats.org/officeDocument/2006/relationships/hyperlink" Target="https://doi.org/10.1212/WNL.0b013e31828407bc" TargetMode="External"/><Relationship Id="rId2926" Type="http://schemas.openxmlformats.org/officeDocument/2006/relationships/hyperlink" Target="https://doi.org/10.3389/fnhum.2016.00065" TargetMode="External"/><Relationship Id="rId1942" Type="http://schemas.openxmlformats.org/officeDocument/2006/relationships/hyperlink" Target="https://doi.org/10.1080/13854046.2017.1312700" TargetMode="External"/><Relationship Id="rId4001" Type="http://schemas.openxmlformats.org/officeDocument/2006/relationships/hyperlink" Target="https://doi.org/10.1177/0004867411433212" TargetMode="External"/><Relationship Id="rId6173" Type="http://schemas.openxmlformats.org/officeDocument/2006/relationships/hyperlink" Target="https://doi.org/10.1080/09297049.2014.882888" TargetMode="External"/><Relationship Id="rId3767" Type="http://schemas.openxmlformats.org/officeDocument/2006/relationships/hyperlink" Target="https://doi.org/10.1016/j.neuropsychologia.2014.09.022" TargetMode="External"/><Relationship Id="rId4818" Type="http://schemas.openxmlformats.org/officeDocument/2006/relationships/hyperlink" Target="https://doi.org/10.1016/j.jpsychires.2010.03.001" TargetMode="External"/><Relationship Id="rId688" Type="http://schemas.openxmlformats.org/officeDocument/2006/relationships/hyperlink" Target="https://doi.org/10.1016/j.schres.2005.07.008" TargetMode="External"/><Relationship Id="rId2369" Type="http://schemas.openxmlformats.org/officeDocument/2006/relationships/hyperlink" Target="https://doi.org/10.1016/j.biopsych.2010.01.008" TargetMode="External"/><Relationship Id="rId2783" Type="http://schemas.openxmlformats.org/officeDocument/2006/relationships/hyperlink" Target="https://doi.org/10.1016/j.bandl.2005.04.001" TargetMode="External"/><Relationship Id="rId3834" Type="http://schemas.openxmlformats.org/officeDocument/2006/relationships/hyperlink" Target="https://doi.org/10.2307/20445352" TargetMode="External"/><Relationship Id="rId6240" Type="http://schemas.openxmlformats.org/officeDocument/2006/relationships/hyperlink" Target="https://doi.org/10.1037/0894-4105.15.2.221" TargetMode="External"/><Relationship Id="rId755" Type="http://schemas.openxmlformats.org/officeDocument/2006/relationships/hyperlink" Target="https://doi.org/10.1101/lm.62303" TargetMode="External"/><Relationship Id="rId1385" Type="http://schemas.openxmlformats.org/officeDocument/2006/relationships/hyperlink" Target="https://doi.org/10.1016/j.schres.2016.04.037" TargetMode="External"/><Relationship Id="rId2436" Type="http://schemas.openxmlformats.org/officeDocument/2006/relationships/hyperlink" Target="https://doi.org/10.1080/13554790701346297" TargetMode="External"/><Relationship Id="rId2850" Type="http://schemas.openxmlformats.org/officeDocument/2006/relationships/hyperlink" Target="https://doi.org/10.1016/j.psychres.2016.10.074" TargetMode="External"/><Relationship Id="rId91" Type="http://schemas.openxmlformats.org/officeDocument/2006/relationships/hyperlink" Target="https://doi.org/10.1016/j.npbr.2019.08.002" TargetMode="External"/><Relationship Id="rId408" Type="http://schemas.openxmlformats.org/officeDocument/2006/relationships/hyperlink" Target="https://doi.org/10.1037/pmu0000222" TargetMode="External"/><Relationship Id="rId822" Type="http://schemas.openxmlformats.org/officeDocument/2006/relationships/hyperlink" Target="https://doi.org/10.1080/13854046.2013.809795" TargetMode="External"/><Relationship Id="rId1038" Type="http://schemas.openxmlformats.org/officeDocument/2006/relationships/hyperlink" Target="https://doi.org/10.1080/17518420902777019" TargetMode="External"/><Relationship Id="rId1452" Type="http://schemas.openxmlformats.org/officeDocument/2006/relationships/hyperlink" Target="https://doi.org/10.1016/j.jpsychires.2019.03.012" TargetMode="External"/><Relationship Id="rId2503" Type="http://schemas.openxmlformats.org/officeDocument/2006/relationships/hyperlink" Target="https://doi.org/10.1016/j.neuropsychologia.2013.04.017" TargetMode="External"/><Relationship Id="rId3901" Type="http://schemas.openxmlformats.org/officeDocument/2006/relationships/hyperlink" Target="https://doi.org/10.1212/WNL.50.5.1301" TargetMode="External"/><Relationship Id="rId5659" Type="http://schemas.openxmlformats.org/officeDocument/2006/relationships/hyperlink" Target="https://doi.org/10.1002/ajmg.b.20045" TargetMode="External"/><Relationship Id="rId1105" Type="http://schemas.openxmlformats.org/officeDocument/2006/relationships/hyperlink" Target="https://doi.org/10.1002/erv.2329" TargetMode="External"/><Relationship Id="rId3277" Type="http://schemas.openxmlformats.org/officeDocument/2006/relationships/hyperlink" Target="https://doi.org/10.1007/s10803-015-2558-7" TargetMode="External"/><Relationship Id="rId4675" Type="http://schemas.openxmlformats.org/officeDocument/2006/relationships/hyperlink" Target="https://doi.org/10.1093/oxfordjournals.schbul.a006957" TargetMode="External"/><Relationship Id="rId5726" Type="http://schemas.openxmlformats.org/officeDocument/2006/relationships/hyperlink" Target="https://doi.org/10.1016/j.yebeh.2020.106958" TargetMode="External"/><Relationship Id="rId198" Type="http://schemas.openxmlformats.org/officeDocument/2006/relationships/hyperlink" Target="https://doi.org/10.1080/15381501.2016.1166092" TargetMode="External"/><Relationship Id="rId3691" Type="http://schemas.openxmlformats.org/officeDocument/2006/relationships/hyperlink" Target="https://doi.org/10.1111/j.1600-0404.2009.01293.x" TargetMode="External"/><Relationship Id="rId4328" Type="http://schemas.openxmlformats.org/officeDocument/2006/relationships/hyperlink" Target="https://doi.org/10.1016/j.concog.2011.06.008" TargetMode="External"/><Relationship Id="rId4742" Type="http://schemas.openxmlformats.org/officeDocument/2006/relationships/hyperlink" Target="https://doi.org/10.1016/j.acn.2004.03.009" TargetMode="External"/><Relationship Id="rId2293" Type="http://schemas.openxmlformats.org/officeDocument/2006/relationships/hyperlink" Target="https://doi.org/10.1037/14091-006" TargetMode="External"/><Relationship Id="rId3344" Type="http://schemas.openxmlformats.org/officeDocument/2006/relationships/hyperlink" Target="https://doi.org/10.1016/j.psychres.2018.12.011" TargetMode="External"/><Relationship Id="rId265" Type="http://schemas.openxmlformats.org/officeDocument/2006/relationships/hyperlink" Target="https://doi.org/10.1016/j.neuropsychologia.2009.09.021" TargetMode="External"/><Relationship Id="rId2360" Type="http://schemas.openxmlformats.org/officeDocument/2006/relationships/hyperlink" Target="https://doi.org/10.1176/appi.ajp.2009.09010106" TargetMode="External"/><Relationship Id="rId3411" Type="http://schemas.openxmlformats.org/officeDocument/2006/relationships/hyperlink" Target="https://doi.org/10.1111/j.1468-1331.2008.02256.x" TargetMode="External"/><Relationship Id="rId332" Type="http://schemas.openxmlformats.org/officeDocument/2006/relationships/hyperlink" Target="https://doi.org/10.1093/brain/awg177" TargetMode="External"/><Relationship Id="rId2013" Type="http://schemas.openxmlformats.org/officeDocument/2006/relationships/hyperlink" Target="https://doi.org/10.1016/j.psychres.2010.12.012" TargetMode="External"/><Relationship Id="rId5169" Type="http://schemas.openxmlformats.org/officeDocument/2006/relationships/hyperlink" Target="https://doi.org/10.1080/02699050410001719934" TargetMode="External"/><Relationship Id="rId5583" Type="http://schemas.openxmlformats.org/officeDocument/2006/relationships/hyperlink" Target="https://doi.org/10.1016/j.jad.2014.06.038" TargetMode="External"/><Relationship Id="rId4185" Type="http://schemas.openxmlformats.org/officeDocument/2006/relationships/hyperlink" Target="https://doi.org/10.1097/01.chi.0000199028.76452.a9" TargetMode="External"/><Relationship Id="rId5236" Type="http://schemas.openxmlformats.org/officeDocument/2006/relationships/hyperlink" Target="https://doi.org/10.1016/j.eurpsy.2009.11.001" TargetMode="External"/><Relationship Id="rId1779" Type="http://schemas.openxmlformats.org/officeDocument/2006/relationships/hyperlink" Target="https://doi.org/10.1016/j.yebeh.2009.01.001" TargetMode="External"/><Relationship Id="rId4252" Type="http://schemas.openxmlformats.org/officeDocument/2006/relationships/hyperlink" Target="https://doi.org/10.1111/j.1440-1819.2005.01385.x" TargetMode="External"/><Relationship Id="rId5650" Type="http://schemas.openxmlformats.org/officeDocument/2006/relationships/hyperlink" Target="https://doi.org/10.1080/09602011.2014.927368" TargetMode="External"/><Relationship Id="rId1846" Type="http://schemas.openxmlformats.org/officeDocument/2006/relationships/hyperlink" Target="https://doi.org/10.1016/j.neuropsychologia.2007.07.020" TargetMode="External"/><Relationship Id="rId5303" Type="http://schemas.openxmlformats.org/officeDocument/2006/relationships/hyperlink" Target="https://doi.org/10.1159/000457128" TargetMode="External"/><Relationship Id="rId1913" Type="http://schemas.openxmlformats.org/officeDocument/2006/relationships/hyperlink" Target="https://doi.org/10.1016/S0892-0362(01)00160-X" TargetMode="External"/><Relationship Id="rId6077" Type="http://schemas.openxmlformats.org/officeDocument/2006/relationships/hyperlink" Target="https://doi.org/10.1080/10911350802427605" TargetMode="External"/><Relationship Id="rId6491" Type="http://schemas.openxmlformats.org/officeDocument/2006/relationships/hyperlink" Target="https://doi.org/10.3109/02699052.2011.585506" TargetMode="External"/><Relationship Id="rId2687" Type="http://schemas.openxmlformats.org/officeDocument/2006/relationships/hyperlink" Target="https://doi.org/10.1111/j.1399-5618.2007.00427.x" TargetMode="External"/><Relationship Id="rId3738" Type="http://schemas.openxmlformats.org/officeDocument/2006/relationships/hyperlink" Target="https://doi.org/10.1080/13546800344000237" TargetMode="External"/><Relationship Id="rId5093" Type="http://schemas.openxmlformats.org/officeDocument/2006/relationships/hyperlink" Target="https://doi.org/10.1037/a0028141" TargetMode="External"/><Relationship Id="rId6144" Type="http://schemas.openxmlformats.org/officeDocument/2006/relationships/hyperlink" Target="https://doi.org/10.1093/sleep/33.9.1217" TargetMode="External"/><Relationship Id="rId659" Type="http://schemas.openxmlformats.org/officeDocument/2006/relationships/hyperlink" Target="https://doi.org/10.1097/01.nmd.0000243798.10242.e2" TargetMode="External"/><Relationship Id="rId1289" Type="http://schemas.openxmlformats.org/officeDocument/2006/relationships/hyperlink" Target="https://doi.org/10.1007/s12311-011-0276-z" TargetMode="External"/><Relationship Id="rId5160" Type="http://schemas.openxmlformats.org/officeDocument/2006/relationships/hyperlink" Target="https://doi.org/10.1177/1545968312469838" TargetMode="External"/><Relationship Id="rId6211" Type="http://schemas.openxmlformats.org/officeDocument/2006/relationships/hyperlink" Target="https://doi.org/10.1002/ana.20944" TargetMode="External"/><Relationship Id="rId1356" Type="http://schemas.openxmlformats.org/officeDocument/2006/relationships/hyperlink" Target="https://doi.org/10.1097/YIC.0b013e32801182f7" TargetMode="External"/><Relationship Id="rId2754" Type="http://schemas.openxmlformats.org/officeDocument/2006/relationships/hyperlink" Target="https://doi.org/10.1016/j.brat.2014.04.005" TargetMode="External"/><Relationship Id="rId3805" Type="http://schemas.openxmlformats.org/officeDocument/2006/relationships/hyperlink" Target="https://doi.org/10.1007/s00406-012-0333-8" TargetMode="External"/><Relationship Id="rId726" Type="http://schemas.openxmlformats.org/officeDocument/2006/relationships/hyperlink" Target="https://doi.org/10.2466/PR0.106.1.205-215" TargetMode="External"/><Relationship Id="rId1009" Type="http://schemas.openxmlformats.org/officeDocument/2006/relationships/hyperlink" Target="https://doi.org/10.1162/jocn_a_01012" TargetMode="External"/><Relationship Id="rId1770" Type="http://schemas.openxmlformats.org/officeDocument/2006/relationships/hyperlink" Target="https://doi.org/10.1186/1471-244X-6-25" TargetMode="External"/><Relationship Id="rId2407" Type="http://schemas.openxmlformats.org/officeDocument/2006/relationships/hyperlink" Target="https://doi.org/10.1177/1073191105281099" TargetMode="External"/><Relationship Id="rId2821" Type="http://schemas.openxmlformats.org/officeDocument/2006/relationships/hyperlink" Target="https://doi.org/10.1016/j.jml.2014.07.004" TargetMode="External"/><Relationship Id="rId5977" Type="http://schemas.openxmlformats.org/officeDocument/2006/relationships/hyperlink" Target="https://doi.org/10.1016/S0001-6918(02)00150-6" TargetMode="External"/><Relationship Id="rId62" Type="http://schemas.openxmlformats.org/officeDocument/2006/relationships/hyperlink" Target="https://doi.org/10.1097/NMD.0000000000000518" TargetMode="External"/><Relationship Id="rId1423" Type="http://schemas.openxmlformats.org/officeDocument/2006/relationships/hyperlink" Target="https://doi.org/10.1017/S031716710005410X" TargetMode="External"/><Relationship Id="rId4579" Type="http://schemas.openxmlformats.org/officeDocument/2006/relationships/hyperlink" Target="https://doi.org/10.1037/xge0000578" TargetMode="External"/><Relationship Id="rId4993" Type="http://schemas.openxmlformats.org/officeDocument/2006/relationships/hyperlink" Target="https://doi.org/10.4088/JCP.v67n1006" TargetMode="External"/><Relationship Id="rId3595" Type="http://schemas.openxmlformats.org/officeDocument/2006/relationships/hyperlink" Target="https://doi.org/10.1111/j.1556-4029.2008.00966.x" TargetMode="External"/><Relationship Id="rId4646" Type="http://schemas.openxmlformats.org/officeDocument/2006/relationships/hyperlink" Target="https://doi.org/10.1136/jnnp.2009.204446" TargetMode="External"/><Relationship Id="rId2197" Type="http://schemas.openxmlformats.org/officeDocument/2006/relationships/hyperlink" Target="https://doi.org/10.1037/0893-164X.22.3.426" TargetMode="External"/><Relationship Id="rId3248" Type="http://schemas.openxmlformats.org/officeDocument/2006/relationships/hyperlink" Target="https://doi.org/10.1016/j.psychres.2018.06.061" TargetMode="External"/><Relationship Id="rId3662" Type="http://schemas.openxmlformats.org/officeDocument/2006/relationships/hyperlink" Target="https://doi.org/10.1016/j.neuropsychologia.2014.09.042" TargetMode="External"/><Relationship Id="rId4713" Type="http://schemas.openxmlformats.org/officeDocument/2006/relationships/hyperlink" Target="https://doi.org/10.1016/j.acn.2003.08.006" TargetMode="External"/><Relationship Id="rId169" Type="http://schemas.openxmlformats.org/officeDocument/2006/relationships/hyperlink" Target="https://doi.org/10.1016/j.bbr.2012.10.040" TargetMode="External"/><Relationship Id="rId583" Type="http://schemas.openxmlformats.org/officeDocument/2006/relationships/hyperlink" Target="https://doi.org/10.3109/17483100903131777" TargetMode="External"/><Relationship Id="rId2264" Type="http://schemas.openxmlformats.org/officeDocument/2006/relationships/hyperlink" Target="https://doi.org/10.1016/j.pnpbp.2012.11.003" TargetMode="External"/><Relationship Id="rId3315" Type="http://schemas.openxmlformats.org/officeDocument/2006/relationships/hyperlink" Target="https://doi.org/10.1007/s11055-010-9347-8" TargetMode="External"/><Relationship Id="rId236" Type="http://schemas.openxmlformats.org/officeDocument/2006/relationships/hyperlink" Target="https://doi.org/10.1002/da.22912" TargetMode="External"/><Relationship Id="rId650" Type="http://schemas.openxmlformats.org/officeDocument/2006/relationships/hyperlink" Target="https://doi.org/10.1080/713755573" TargetMode="External"/><Relationship Id="rId1280" Type="http://schemas.openxmlformats.org/officeDocument/2006/relationships/hyperlink" Target="https://doi.org/10.3389/fpsyg.2019.00097" TargetMode="External"/><Relationship Id="rId2331" Type="http://schemas.openxmlformats.org/officeDocument/2006/relationships/hyperlink" Target="https://doi.org/10.1080/02687031003798262" TargetMode="External"/><Relationship Id="rId5487" Type="http://schemas.openxmlformats.org/officeDocument/2006/relationships/hyperlink" Target="https://doi.org/10.1037/0882-7974.9.1.149" TargetMode="External"/><Relationship Id="rId303" Type="http://schemas.openxmlformats.org/officeDocument/2006/relationships/hyperlink" Target="https://doi.org/10.1016/j.psychres.2012.10.013" TargetMode="External"/><Relationship Id="rId4089" Type="http://schemas.openxmlformats.org/officeDocument/2006/relationships/hyperlink" Target="https://doi.org/10.1016/j.jad.2018.04.022" TargetMode="External"/><Relationship Id="rId6538" Type="http://schemas.openxmlformats.org/officeDocument/2006/relationships/hyperlink" Target="https://doi.org/10.1017/S0954579400004260" TargetMode="External"/><Relationship Id="rId5554" Type="http://schemas.openxmlformats.org/officeDocument/2006/relationships/hyperlink" Target="https://doi.org/10.1111/j.1532-5415.2005.53470.x" TargetMode="External"/><Relationship Id="rId1000" Type="http://schemas.openxmlformats.org/officeDocument/2006/relationships/hyperlink" Target="https://doi.org/10.1016/j.jneuroling.2006.07.001" TargetMode="External"/><Relationship Id="rId4156" Type="http://schemas.openxmlformats.org/officeDocument/2006/relationships/hyperlink" Target="https://doi.org/10.1017/S0317167100014219" TargetMode="External"/><Relationship Id="rId4570" Type="http://schemas.openxmlformats.org/officeDocument/2006/relationships/hyperlink" Target="https://doi.org/10.1080/13803390490919092" TargetMode="External"/><Relationship Id="rId5207" Type="http://schemas.openxmlformats.org/officeDocument/2006/relationships/hyperlink" Target="https://doi.org/10.1016/B978-0-12-381984-0.10010-4" TargetMode="External"/><Relationship Id="rId5621" Type="http://schemas.openxmlformats.org/officeDocument/2006/relationships/hyperlink" Target="https://doi.org/10.1111/j.1744-6155.2012.00339.x" TargetMode="External"/><Relationship Id="rId1817" Type="http://schemas.openxmlformats.org/officeDocument/2006/relationships/hyperlink" Target="https://doi.org/10.1111/j.1600-0404.2012.01649.x" TargetMode="External"/><Relationship Id="rId3172" Type="http://schemas.openxmlformats.org/officeDocument/2006/relationships/hyperlink" Target="https://doi.org/10.1016/j.comppsych.2012.10.005" TargetMode="External"/><Relationship Id="rId4223" Type="http://schemas.openxmlformats.org/officeDocument/2006/relationships/hyperlink" Target="https://doi.org/10.1080/09602010701390835" TargetMode="External"/><Relationship Id="rId6395" Type="http://schemas.openxmlformats.org/officeDocument/2006/relationships/hyperlink" Target="https://doi.org/10.1007/s10578-008-0119-4" TargetMode="External"/><Relationship Id="rId160" Type="http://schemas.openxmlformats.org/officeDocument/2006/relationships/hyperlink" Target="https://doi.org/10.1093/med:psych/9780199733668.003.0020" TargetMode="External"/><Relationship Id="rId3989" Type="http://schemas.openxmlformats.org/officeDocument/2006/relationships/hyperlink" Target="https://doi.org/10.1089/neu.2012.2705" TargetMode="External"/><Relationship Id="rId6048" Type="http://schemas.openxmlformats.org/officeDocument/2006/relationships/hyperlink" Target="https://doi.org/10.1093/arclin/acq097" TargetMode="External"/><Relationship Id="rId6462" Type="http://schemas.openxmlformats.org/officeDocument/2006/relationships/hyperlink" Target="https://doi.org/10.1016/j.jad.2017.11.084" TargetMode="External"/><Relationship Id="rId5064" Type="http://schemas.openxmlformats.org/officeDocument/2006/relationships/hyperlink" Target="https://doi.org/10.1177/1533317517728334" TargetMode="External"/><Relationship Id="rId6115" Type="http://schemas.openxmlformats.org/officeDocument/2006/relationships/hyperlink" Target="https://doi.org/10.1080/13803395.2012.758239" TargetMode="External"/><Relationship Id="rId977" Type="http://schemas.openxmlformats.org/officeDocument/2006/relationships/hyperlink" Target="https://doi.org/10.1080/00140139.2017.1330492" TargetMode="External"/><Relationship Id="rId2658" Type="http://schemas.openxmlformats.org/officeDocument/2006/relationships/hyperlink" Target="https://doi.org/10.1073/pnas.1306244110" TargetMode="External"/><Relationship Id="rId3709" Type="http://schemas.openxmlformats.org/officeDocument/2006/relationships/hyperlink" Target="https://doi.org/10.1016/j.psychres.2017.09.035" TargetMode="External"/><Relationship Id="rId4080" Type="http://schemas.openxmlformats.org/officeDocument/2006/relationships/hyperlink" Target="https://doi.org/10.1016/j.schres.2010.12.011" TargetMode="External"/><Relationship Id="rId1674" Type="http://schemas.openxmlformats.org/officeDocument/2006/relationships/hyperlink" Target="https://doi.org/10.1037/pas0000525" TargetMode="External"/><Relationship Id="rId2725" Type="http://schemas.openxmlformats.org/officeDocument/2006/relationships/hyperlink" Target="https://doi.org/10.1016/j.neuropsychologia.2007.09.007" TargetMode="External"/><Relationship Id="rId5131" Type="http://schemas.openxmlformats.org/officeDocument/2006/relationships/hyperlink" Target="https://doi.org/10.1111/j.1468-1331.2006.01245.x" TargetMode="External"/><Relationship Id="rId1327" Type="http://schemas.openxmlformats.org/officeDocument/2006/relationships/hyperlink" Target="https://doi.org/10.1080/13854046.2012.686631" TargetMode="External"/><Relationship Id="rId1741" Type="http://schemas.openxmlformats.org/officeDocument/2006/relationships/hyperlink" Target="https://doi.org/10.1016/j.parkreldis.2004.10.006" TargetMode="External"/><Relationship Id="rId4897" Type="http://schemas.openxmlformats.org/officeDocument/2006/relationships/hyperlink" Target="https://doi.org/10.1016/j.intell.2014.03.002" TargetMode="External"/><Relationship Id="rId5948" Type="http://schemas.openxmlformats.org/officeDocument/2006/relationships/hyperlink" Target="https://doi.org/10.1080/87565641.2018.1469135" TargetMode="External"/><Relationship Id="rId33" Type="http://schemas.openxmlformats.org/officeDocument/2006/relationships/hyperlink" Target="https://doi.org/10.1111/j.1600-0447.2005.00511.x" TargetMode="External"/><Relationship Id="rId3499" Type="http://schemas.openxmlformats.org/officeDocument/2006/relationships/hyperlink" Target="https://doi.org/10.1080/02643290801921541" TargetMode="External"/><Relationship Id="rId3566" Type="http://schemas.openxmlformats.org/officeDocument/2006/relationships/hyperlink" Target="https://doi.org/10.1016/j.jagp.2014.02.006" TargetMode="External"/><Relationship Id="rId4964" Type="http://schemas.openxmlformats.org/officeDocument/2006/relationships/hyperlink" Target="https://doi.org/10.1080/09602010903399287" TargetMode="External"/><Relationship Id="rId487" Type="http://schemas.openxmlformats.org/officeDocument/2006/relationships/hyperlink" Target="https://doi.org/10.1027/1015-5759.20.2.99" TargetMode="External"/><Relationship Id="rId2168" Type="http://schemas.openxmlformats.org/officeDocument/2006/relationships/hyperlink" Target="https://doi.org/10.1111/eip.12122" TargetMode="External"/><Relationship Id="rId3219" Type="http://schemas.openxmlformats.org/officeDocument/2006/relationships/hyperlink" Target="https://doi.org/10.1080/138033990513564" TargetMode="External"/><Relationship Id="rId3980" Type="http://schemas.openxmlformats.org/officeDocument/2006/relationships/hyperlink" Target="https://doi.org/10.1093/arclin/acz084" TargetMode="External"/><Relationship Id="rId4617" Type="http://schemas.openxmlformats.org/officeDocument/2006/relationships/hyperlink" Target="https://doi.org/10.1016/j.psychres.2011.12.012" TargetMode="External"/><Relationship Id="rId1184" Type="http://schemas.openxmlformats.org/officeDocument/2006/relationships/hyperlink" Target="https://doi.org/10.1007/s00406-009-0060-y" TargetMode="External"/><Relationship Id="rId2582" Type="http://schemas.openxmlformats.org/officeDocument/2006/relationships/hyperlink" Target="https://doi.org/10.1080/23279095.2016.1204301" TargetMode="External"/><Relationship Id="rId3633" Type="http://schemas.openxmlformats.org/officeDocument/2006/relationships/hyperlink" Target="https://doi.org/10.1016/j.neuropsychologia.2007.07.025" TargetMode="External"/><Relationship Id="rId554" Type="http://schemas.openxmlformats.org/officeDocument/2006/relationships/hyperlink" Target="https://doi.org/10.1016/j.addbeh.2004.05.019" TargetMode="External"/><Relationship Id="rId2235" Type="http://schemas.openxmlformats.org/officeDocument/2006/relationships/hyperlink" Target="https://doi.org/10.1097/01.chi.0000220848.48650.10" TargetMode="External"/><Relationship Id="rId3700" Type="http://schemas.openxmlformats.org/officeDocument/2006/relationships/hyperlink" Target="https://doi.org/10.1016/j.schres.2012.03.004" TargetMode="External"/><Relationship Id="rId207" Type="http://schemas.openxmlformats.org/officeDocument/2006/relationships/hyperlink" Target="https://doi.org/10.1371/journal.pone.0041482" TargetMode="External"/><Relationship Id="rId621" Type="http://schemas.openxmlformats.org/officeDocument/2006/relationships/hyperlink" Target="https://doi.org/10.1007/s00213-006-0329-z" TargetMode="External"/><Relationship Id="rId1251" Type="http://schemas.openxmlformats.org/officeDocument/2006/relationships/hyperlink" Target="https://doi.org/10.1016/j.psychres.2015.03.024" TargetMode="External"/><Relationship Id="rId2302" Type="http://schemas.openxmlformats.org/officeDocument/2006/relationships/hyperlink" Target="https://doi.org/10.1016/0006-3223(95)00040-N" TargetMode="External"/><Relationship Id="rId5458" Type="http://schemas.openxmlformats.org/officeDocument/2006/relationships/hyperlink" Target="http://search.ebscohost.com/login.aspx?direct=true&amp;db=psyh&amp;AN=2011-19974-005&amp;site=ehost-live" TargetMode="External"/><Relationship Id="rId5872" Type="http://schemas.openxmlformats.org/officeDocument/2006/relationships/hyperlink" Target="https://doi.org/10.1016/j.biopsych.2014.09.007" TargetMode="External"/><Relationship Id="rId6509" Type="http://schemas.openxmlformats.org/officeDocument/2006/relationships/hyperlink" Target="https://doi.org/10.1093/ijnp/pyv059" TargetMode="External"/><Relationship Id="rId4474" Type="http://schemas.openxmlformats.org/officeDocument/2006/relationships/hyperlink" Target="https://doi.org/10.1080/13854046.2017.1419507" TargetMode="External"/><Relationship Id="rId5525" Type="http://schemas.openxmlformats.org/officeDocument/2006/relationships/hyperlink" Target="https://doi.org/10.1037/14091-013" TargetMode="External"/><Relationship Id="rId3076" Type="http://schemas.openxmlformats.org/officeDocument/2006/relationships/hyperlink" Target="https://doi.org/10.1542/peds.2012-3947" TargetMode="External"/><Relationship Id="rId3490" Type="http://schemas.openxmlformats.org/officeDocument/2006/relationships/hyperlink" Target="https://doi.org/10.1080/01688639608408265" TargetMode="External"/><Relationship Id="rId4127" Type="http://schemas.openxmlformats.org/officeDocument/2006/relationships/hyperlink" Target="https://doi.org/10.1176/appi.neuropsych.20.1.96" TargetMode="External"/><Relationship Id="rId4541" Type="http://schemas.openxmlformats.org/officeDocument/2006/relationships/hyperlink" Target="https://doi.org/10.1016/j.jad.2014.12.030" TargetMode="External"/><Relationship Id="rId2092" Type="http://schemas.openxmlformats.org/officeDocument/2006/relationships/hyperlink" Target="https://doi.org/10.1016/j.neuropsychologia.2012.11.029" TargetMode="External"/><Relationship Id="rId3143" Type="http://schemas.openxmlformats.org/officeDocument/2006/relationships/hyperlink" Target="https://doi.org/10.1080/02687038.2010.537345" TargetMode="External"/><Relationship Id="rId6299" Type="http://schemas.openxmlformats.org/officeDocument/2006/relationships/hyperlink" Target="https://doi.org/10.1016/j.psychres.2011.05.037" TargetMode="External"/><Relationship Id="rId131" Type="http://schemas.openxmlformats.org/officeDocument/2006/relationships/hyperlink" Target="https://doi.org/10.3233/NRE-161334" TargetMode="External"/><Relationship Id="rId3210" Type="http://schemas.openxmlformats.org/officeDocument/2006/relationships/hyperlink" Target="https://doi.org/10.1024/1662-9647/a000200" TargetMode="External"/><Relationship Id="rId6366" Type="http://schemas.openxmlformats.org/officeDocument/2006/relationships/hyperlink" Target="https://doi.org/10.1192/bjp.bp.106.026575" TargetMode="External"/><Relationship Id="rId2976" Type="http://schemas.openxmlformats.org/officeDocument/2006/relationships/hyperlink" Target="https://doi.org/10.1037/0096-3445.122.4.411" TargetMode="External"/><Relationship Id="rId5382" Type="http://schemas.openxmlformats.org/officeDocument/2006/relationships/hyperlink" Target="https://doi.org/10.1080/13854046.2016.1188989" TargetMode="External"/><Relationship Id="rId6019" Type="http://schemas.openxmlformats.org/officeDocument/2006/relationships/hyperlink" Target="https://doi.org/10.1186/s41155-017-0069-5" TargetMode="External"/><Relationship Id="rId6433" Type="http://schemas.openxmlformats.org/officeDocument/2006/relationships/hyperlink" Target="https://doi.org/10.1093/arclin/acp078" TargetMode="External"/><Relationship Id="rId948" Type="http://schemas.openxmlformats.org/officeDocument/2006/relationships/hyperlink" Target="https://doi.org/10.1080/13825580601025957" TargetMode="External"/><Relationship Id="rId1578" Type="http://schemas.openxmlformats.org/officeDocument/2006/relationships/hyperlink" Target="https://doi.org/10.1016/j.biopsych.2010.07.037" TargetMode="External"/><Relationship Id="rId1992" Type="http://schemas.openxmlformats.org/officeDocument/2006/relationships/hyperlink" Target="https://doi.org/10.1037/0894-4105.15.4.472" TargetMode="External"/><Relationship Id="rId2629" Type="http://schemas.openxmlformats.org/officeDocument/2006/relationships/hyperlink" Target="https://doi.org/10.1155/2008/814846" TargetMode="External"/><Relationship Id="rId5035" Type="http://schemas.openxmlformats.org/officeDocument/2006/relationships/hyperlink" Target="https://doi.org/10.1097/QAI.0b013e318278ffa4" TargetMode="External"/><Relationship Id="rId6500" Type="http://schemas.openxmlformats.org/officeDocument/2006/relationships/hyperlink" Target="https://doi.org/10.1016/j.pnpbp.2014.09.005" TargetMode="External"/><Relationship Id="rId1645" Type="http://schemas.openxmlformats.org/officeDocument/2006/relationships/hyperlink" Target="https://doi.org/10.1016/j.npbr.2020.10.004" TargetMode="External"/><Relationship Id="rId4051" Type="http://schemas.openxmlformats.org/officeDocument/2006/relationships/hyperlink" Target="https://doi.org/10.4135/9789353280765.n9" TargetMode="External"/><Relationship Id="rId5102" Type="http://schemas.openxmlformats.org/officeDocument/2006/relationships/hyperlink" Target="https://doi.org/10.1080/17470919.2011.562687" TargetMode="External"/><Relationship Id="rId1712" Type="http://schemas.openxmlformats.org/officeDocument/2006/relationships/hyperlink" Target="https://doi.org/10.1016/j.bandc.2004.02.022" TargetMode="External"/><Relationship Id="rId4868" Type="http://schemas.openxmlformats.org/officeDocument/2006/relationships/hyperlink" Target="https://doi.org/10.1007/978-1-4614-3106-0_16" TargetMode="External"/><Relationship Id="rId5919" Type="http://schemas.openxmlformats.org/officeDocument/2006/relationships/hyperlink" Target="https://doi.org/10.1212/WNL.0000000000000644" TargetMode="External"/><Relationship Id="rId6290" Type="http://schemas.openxmlformats.org/officeDocument/2006/relationships/hyperlink" Target="https://doi.org/10.1016/j.addbeh.2015.01.027" TargetMode="External"/><Relationship Id="rId3884" Type="http://schemas.openxmlformats.org/officeDocument/2006/relationships/hyperlink" Target="https://doi.org/10.1038/nn804" TargetMode="External"/><Relationship Id="rId4935" Type="http://schemas.openxmlformats.org/officeDocument/2006/relationships/hyperlink" Target="https://doi.org/10.1080/13554790600837347" TargetMode="External"/><Relationship Id="rId2486" Type="http://schemas.openxmlformats.org/officeDocument/2006/relationships/hyperlink" Target="https://doi.org/10.1080/09297040802186899" TargetMode="External"/><Relationship Id="rId3537" Type="http://schemas.openxmlformats.org/officeDocument/2006/relationships/hyperlink" Target="https://doi.org/10.1097/00005053-200301000-00007" TargetMode="External"/><Relationship Id="rId3951" Type="http://schemas.openxmlformats.org/officeDocument/2006/relationships/hyperlink" Target="https://doi.org/10.1080/87565641.2013.799673" TargetMode="External"/><Relationship Id="rId458" Type="http://schemas.openxmlformats.org/officeDocument/2006/relationships/hyperlink" Target="https://doi.org/10.1111/j.1399-5618.2008.00648.x" TargetMode="External"/><Relationship Id="rId872" Type="http://schemas.openxmlformats.org/officeDocument/2006/relationships/hyperlink" Target="https://doi.org/10.1017/S0033291709991644" TargetMode="External"/><Relationship Id="rId1088" Type="http://schemas.openxmlformats.org/officeDocument/2006/relationships/hyperlink" Target="https://doi.org/10.1016/j.comppsych.2009.10.003" TargetMode="External"/><Relationship Id="rId2139" Type="http://schemas.openxmlformats.org/officeDocument/2006/relationships/hyperlink" Target="https://doi.org/10.1016/S0920-9964(02)00236-0" TargetMode="External"/><Relationship Id="rId2553" Type="http://schemas.openxmlformats.org/officeDocument/2006/relationships/hyperlink" Target="https://doi.org/10.1016/j.jpsychires.2013.10.006" TargetMode="External"/><Relationship Id="rId3604" Type="http://schemas.openxmlformats.org/officeDocument/2006/relationships/hyperlink" Target="https://doi.org/10.1016/j.psychres.2004.07.008" TargetMode="External"/><Relationship Id="rId6010" Type="http://schemas.openxmlformats.org/officeDocument/2006/relationships/hyperlink" Target="https://doi.org/10.1017/S1355617705050289" TargetMode="External"/><Relationship Id="rId525" Type="http://schemas.openxmlformats.org/officeDocument/2006/relationships/hyperlink" Target="https://doi.org/10.1348/014466504323088051" TargetMode="External"/><Relationship Id="rId1155" Type="http://schemas.openxmlformats.org/officeDocument/2006/relationships/hyperlink" Target="https://doi.org/10.2466/PR0.81.5.79-90" TargetMode="External"/><Relationship Id="rId2206" Type="http://schemas.openxmlformats.org/officeDocument/2006/relationships/hyperlink" Target="https://doi.org/10.1080/13854040590967144" TargetMode="External"/><Relationship Id="rId2620" Type="http://schemas.openxmlformats.org/officeDocument/2006/relationships/hyperlink" Target="https://doi.org/10.1093/brain/awn167" TargetMode="External"/><Relationship Id="rId5776" Type="http://schemas.openxmlformats.org/officeDocument/2006/relationships/hyperlink" Target="https://doi.org/10.1007/978-3-030-14895-9_18" TargetMode="External"/><Relationship Id="rId1222" Type="http://schemas.openxmlformats.org/officeDocument/2006/relationships/hyperlink" Target="https://doi.org/10.1111/j.1748-6653.2011.02018.x" TargetMode="External"/><Relationship Id="rId4378" Type="http://schemas.openxmlformats.org/officeDocument/2006/relationships/hyperlink" Target="https://doi.org/10.1016/0028-3932(94)90124-4" TargetMode="External"/><Relationship Id="rId5429" Type="http://schemas.openxmlformats.org/officeDocument/2006/relationships/hyperlink" Target="https://doi.org/10.1080/13803395.2013.798398" TargetMode="External"/><Relationship Id="rId3394" Type="http://schemas.openxmlformats.org/officeDocument/2006/relationships/hyperlink" Target="https://doi.org/10.1016/j.acn.2007.01.028" TargetMode="External"/><Relationship Id="rId4792" Type="http://schemas.openxmlformats.org/officeDocument/2006/relationships/hyperlink" Target="https://doi.org/10.1177/0081246314540141" TargetMode="External"/><Relationship Id="rId5843" Type="http://schemas.openxmlformats.org/officeDocument/2006/relationships/hyperlink" Target="https://doi.org/10.1097/WNN.0b013e31815e6254" TargetMode="External"/><Relationship Id="rId3047" Type="http://schemas.openxmlformats.org/officeDocument/2006/relationships/hyperlink" Target="https://doi.org/10.1177/0734282906298264" TargetMode="External"/><Relationship Id="rId4445" Type="http://schemas.openxmlformats.org/officeDocument/2006/relationships/hyperlink" Target="https://doi.org/10.1111/ene.12237" TargetMode="External"/><Relationship Id="rId5910" Type="http://schemas.openxmlformats.org/officeDocument/2006/relationships/hyperlink" Target="https://doi.org/10.1016/j.psychres.2018.11.049" TargetMode="External"/><Relationship Id="rId3461" Type="http://schemas.openxmlformats.org/officeDocument/2006/relationships/hyperlink" Target="https://doi.org/10.1080/09602011.2015.1048253" TargetMode="External"/><Relationship Id="rId4512" Type="http://schemas.openxmlformats.org/officeDocument/2006/relationships/hyperlink" Target="https://doi.org/10.1212/01.wnl.0000216131.41563.24" TargetMode="External"/><Relationship Id="rId382" Type="http://schemas.openxmlformats.org/officeDocument/2006/relationships/hyperlink" Target="https://doi.org/10.1037/0894-4105.9.2.198" TargetMode="External"/><Relationship Id="rId2063" Type="http://schemas.openxmlformats.org/officeDocument/2006/relationships/hyperlink" Target="https://doi.org/10.1002/erv.2592" TargetMode="External"/><Relationship Id="rId3114" Type="http://schemas.openxmlformats.org/officeDocument/2006/relationships/hyperlink" Target="https://doi.org/10.1016/S0006-3223(99)00097-9" TargetMode="External"/><Relationship Id="rId2130" Type="http://schemas.openxmlformats.org/officeDocument/2006/relationships/hyperlink" Target="https://doi.org/10.1016/j.drugalcdep.2014.05.006" TargetMode="External"/><Relationship Id="rId5286" Type="http://schemas.openxmlformats.org/officeDocument/2006/relationships/hyperlink" Target="https://doi.org/10.1371/journal.pone.0057197" TargetMode="External"/><Relationship Id="rId6337" Type="http://schemas.openxmlformats.org/officeDocument/2006/relationships/hyperlink" Target="https://doi.org/10.1080/23279095.2016.1225070" TargetMode="External"/><Relationship Id="rId102" Type="http://schemas.openxmlformats.org/officeDocument/2006/relationships/hyperlink" Target="https://doi.org/10.1111/j.1600-0404.1996.tb05874.x" TargetMode="External"/><Relationship Id="rId5353" Type="http://schemas.openxmlformats.org/officeDocument/2006/relationships/hyperlink" Target="https://doi.org/10.1590/s1980-57642008dn10200011" TargetMode="External"/><Relationship Id="rId6404" Type="http://schemas.openxmlformats.org/officeDocument/2006/relationships/hyperlink" Target="https://doi.org/10.1176/appi.neuropsych.23.1.107" TargetMode="External"/><Relationship Id="rId1896" Type="http://schemas.openxmlformats.org/officeDocument/2006/relationships/hyperlink" Target="https://doi.org/10.1016/j.jaac.2012.02.001" TargetMode="External"/><Relationship Id="rId2947" Type="http://schemas.openxmlformats.org/officeDocument/2006/relationships/hyperlink" Target="https://doi.org/10.1097/WNF.0000000000000038" TargetMode="External"/><Relationship Id="rId5006" Type="http://schemas.openxmlformats.org/officeDocument/2006/relationships/hyperlink" Target="https://doi.org/10.1080/87565649409540567" TargetMode="External"/><Relationship Id="rId919" Type="http://schemas.openxmlformats.org/officeDocument/2006/relationships/hyperlink" Target="https://doi.org/10.1017/S0033291713001189" TargetMode="External"/><Relationship Id="rId1549" Type="http://schemas.openxmlformats.org/officeDocument/2006/relationships/hyperlink" Target="https://doi.org/10.1111/psyp.12034" TargetMode="External"/><Relationship Id="rId1963" Type="http://schemas.openxmlformats.org/officeDocument/2006/relationships/hyperlink" Target="https://doi.org/10.1159/000083499" TargetMode="External"/><Relationship Id="rId4022" Type="http://schemas.openxmlformats.org/officeDocument/2006/relationships/hyperlink" Target="https://doi.org/10.1080/13554794.2017.1416148" TargetMode="External"/><Relationship Id="rId5420" Type="http://schemas.openxmlformats.org/officeDocument/2006/relationships/hyperlink" Target="https://doi.org/10.1080/13854049708400472" TargetMode="External"/><Relationship Id="rId1616" Type="http://schemas.openxmlformats.org/officeDocument/2006/relationships/hyperlink" Target="https://doi.org/10.1038/sj.mp.4001907" TargetMode="External"/><Relationship Id="rId3788" Type="http://schemas.openxmlformats.org/officeDocument/2006/relationships/hyperlink" Target="https://doi.org/10.1002/pmh.1320" TargetMode="External"/><Relationship Id="rId4839" Type="http://schemas.openxmlformats.org/officeDocument/2006/relationships/hyperlink" Target="https://doi.org/10.1097/WNN.0b013e3181e078de" TargetMode="External"/><Relationship Id="rId6194" Type="http://schemas.openxmlformats.org/officeDocument/2006/relationships/hyperlink" Target="https://doi.org/10.1037/rep0000208" TargetMode="External"/><Relationship Id="rId3855" Type="http://schemas.openxmlformats.org/officeDocument/2006/relationships/hyperlink" Target="https://doi.org/10.1016/j.neuropsychologia.2009.11.003" TargetMode="External"/><Relationship Id="rId6261" Type="http://schemas.openxmlformats.org/officeDocument/2006/relationships/hyperlink" Target="https://doi.org/10.1177/107319119900600205" TargetMode="External"/><Relationship Id="rId776" Type="http://schemas.openxmlformats.org/officeDocument/2006/relationships/hyperlink" Target="https://doi.org/10.1207/s15326942dn2803_3" TargetMode="External"/><Relationship Id="rId2457" Type="http://schemas.openxmlformats.org/officeDocument/2006/relationships/hyperlink" Target="https://doi.org/10.3109/00207454.2013.771261" TargetMode="External"/><Relationship Id="rId3508" Type="http://schemas.openxmlformats.org/officeDocument/2006/relationships/hyperlink" Target="https://doi.org/10.1017/S0033291704002260" TargetMode="External"/><Relationship Id="rId4906" Type="http://schemas.openxmlformats.org/officeDocument/2006/relationships/hyperlink" Target="https://doi.org/10.1080/13554794.2010.532138" TargetMode="External"/><Relationship Id="rId429" Type="http://schemas.openxmlformats.org/officeDocument/2006/relationships/hyperlink" Target="https://doi.org/10.4088/JCP.v65n0705" TargetMode="External"/><Relationship Id="rId1059" Type="http://schemas.openxmlformats.org/officeDocument/2006/relationships/hyperlink" Target="https://doi.org/10.1016/j.biopsych.2018.05.019" TargetMode="External"/><Relationship Id="rId1473" Type="http://schemas.openxmlformats.org/officeDocument/2006/relationships/hyperlink" Target="https://doi.org/10.1093/schbul/sbl067" TargetMode="External"/><Relationship Id="rId2871" Type="http://schemas.openxmlformats.org/officeDocument/2006/relationships/hyperlink" Target="https://doi.org/10.1016/0165-1781(94)90091-4" TargetMode="External"/><Relationship Id="rId3922" Type="http://schemas.openxmlformats.org/officeDocument/2006/relationships/hyperlink" Target="https://doi.org/10.1002/da.20915" TargetMode="External"/><Relationship Id="rId843" Type="http://schemas.openxmlformats.org/officeDocument/2006/relationships/hyperlink" Target="https://doi.org/10.1080/13554794.2010.532143" TargetMode="External"/><Relationship Id="rId1126" Type="http://schemas.openxmlformats.org/officeDocument/2006/relationships/hyperlink" Target="https://doi.org/10.3922/j.psns.2012.2.04" TargetMode="External"/><Relationship Id="rId2524" Type="http://schemas.openxmlformats.org/officeDocument/2006/relationships/hyperlink" Target="https://doi.org/10.1097/01.wnn.0000213903.59827.50" TargetMode="External"/><Relationship Id="rId910" Type="http://schemas.openxmlformats.org/officeDocument/2006/relationships/hyperlink" Target="https://doi.org/10.1371/journal.pone.0247748" TargetMode="External"/><Relationship Id="rId1540" Type="http://schemas.openxmlformats.org/officeDocument/2006/relationships/hyperlink" Target="https://doi.org/10.1016/j.psychres.2008.08.010" TargetMode="External"/><Relationship Id="rId4696" Type="http://schemas.openxmlformats.org/officeDocument/2006/relationships/hyperlink" Target="https://doi.org/10.1176/appi.neuropsych.22.2.231" TargetMode="External"/><Relationship Id="rId5747" Type="http://schemas.openxmlformats.org/officeDocument/2006/relationships/hyperlink" Target="https://doi.org/10.1186/s12888-020-02517-z" TargetMode="External"/><Relationship Id="rId3298" Type="http://schemas.openxmlformats.org/officeDocument/2006/relationships/hyperlink" Target="https://doi.org/10.3109/00207459808986440" TargetMode="External"/><Relationship Id="rId4349" Type="http://schemas.openxmlformats.org/officeDocument/2006/relationships/hyperlink" Target="https://doi.org/10.1016/j.schres.2013.07.015" TargetMode="External"/><Relationship Id="rId4763" Type="http://schemas.openxmlformats.org/officeDocument/2006/relationships/hyperlink" Target="https://doi.org/10.1177/1073191120911102" TargetMode="External"/><Relationship Id="rId5814" Type="http://schemas.openxmlformats.org/officeDocument/2006/relationships/hyperlink" Target="https://doi.org/10.1017/S1355617709990415" TargetMode="External"/><Relationship Id="rId3365" Type="http://schemas.openxmlformats.org/officeDocument/2006/relationships/hyperlink" Target="https://doi.org/10.1037/a0028668" TargetMode="External"/><Relationship Id="rId4416" Type="http://schemas.openxmlformats.org/officeDocument/2006/relationships/hyperlink" Target="https://doi.org/10.1111/j.1532-5415.2007.01085.x" TargetMode="External"/><Relationship Id="rId4830" Type="http://schemas.openxmlformats.org/officeDocument/2006/relationships/hyperlink" Target="https://doi.org/10.1016/j.bandc.2009.06.007" TargetMode="External"/><Relationship Id="rId286" Type="http://schemas.openxmlformats.org/officeDocument/2006/relationships/hyperlink" Target="https://doi.org/10.1212/WNL.47.1.266" TargetMode="External"/><Relationship Id="rId2381" Type="http://schemas.openxmlformats.org/officeDocument/2006/relationships/hyperlink" Target="https://doi.org/10.1136/jnnp.2006.109801" TargetMode="External"/><Relationship Id="rId3018" Type="http://schemas.openxmlformats.org/officeDocument/2006/relationships/hyperlink" Target="https://doi.org/10.1016/j.neuropsychologia.2021.107826" TargetMode="External"/><Relationship Id="rId3432" Type="http://schemas.openxmlformats.org/officeDocument/2006/relationships/hyperlink" Target="https://doi.org/10.1016/j.psychres.2011.05.038" TargetMode="External"/><Relationship Id="rId353" Type="http://schemas.openxmlformats.org/officeDocument/2006/relationships/hyperlink" Target="https://doi.org/10.1080/13554790490507650" TargetMode="External"/><Relationship Id="rId2034" Type="http://schemas.openxmlformats.org/officeDocument/2006/relationships/hyperlink" Target="https://doi.org/10.1037/0021-843X.113.4.541" TargetMode="External"/><Relationship Id="rId420" Type="http://schemas.openxmlformats.org/officeDocument/2006/relationships/hyperlink" Target="https://doi.org/10.1016/j.schres.2005.09.016" TargetMode="External"/><Relationship Id="rId1050" Type="http://schemas.openxmlformats.org/officeDocument/2006/relationships/hyperlink" Target="https://doi.org/10.1016/j.ntt.2004.01.010" TargetMode="External"/><Relationship Id="rId2101" Type="http://schemas.openxmlformats.org/officeDocument/2006/relationships/hyperlink" Target="https://doi.org/10.1111/bjop.12033" TargetMode="External"/><Relationship Id="rId5257" Type="http://schemas.openxmlformats.org/officeDocument/2006/relationships/hyperlink" Target="https://doi.org/10.1017/S1041610216001812" TargetMode="External"/><Relationship Id="rId5671" Type="http://schemas.openxmlformats.org/officeDocument/2006/relationships/hyperlink" Target="https://doi.org/10.1515/ijdhd-2012-0128" TargetMode="External"/><Relationship Id="rId6308" Type="http://schemas.openxmlformats.org/officeDocument/2006/relationships/hyperlink" Target="https://doi.org/10.1016/j.brainres.2006.07.055" TargetMode="External"/><Relationship Id="rId1867" Type="http://schemas.openxmlformats.org/officeDocument/2006/relationships/hyperlink" Target="https://doi.org/10.1017/S2045796013000103" TargetMode="External"/><Relationship Id="rId2918" Type="http://schemas.openxmlformats.org/officeDocument/2006/relationships/hyperlink" Target="https://doi.org/10.1016/j.schres.2011.05.001" TargetMode="External"/><Relationship Id="rId4273" Type="http://schemas.openxmlformats.org/officeDocument/2006/relationships/hyperlink" Target="https://doi.org/10.1016/j.neuroimage.2015.10.011" TargetMode="External"/><Relationship Id="rId5324" Type="http://schemas.openxmlformats.org/officeDocument/2006/relationships/hyperlink" Target="https://doi.org/10.1016/j.eurpsy.2008.03.010" TargetMode="External"/><Relationship Id="rId1934" Type="http://schemas.openxmlformats.org/officeDocument/2006/relationships/hyperlink" Target="https://doi.org/10.3389/fnsys.2013.00036" TargetMode="External"/><Relationship Id="rId4340" Type="http://schemas.openxmlformats.org/officeDocument/2006/relationships/hyperlink" Target="https://doi.org/10.1016/j.jns.2008.10.025" TargetMode="External"/><Relationship Id="rId6098" Type="http://schemas.openxmlformats.org/officeDocument/2006/relationships/hyperlink" Target="https://doi.org/10.1016/j.alcohol.2018.01.006" TargetMode="External"/><Relationship Id="rId6165" Type="http://schemas.openxmlformats.org/officeDocument/2006/relationships/hyperlink" Target="https://doi.org/10.1037/pas0001040" TargetMode="External"/><Relationship Id="rId3759" Type="http://schemas.openxmlformats.org/officeDocument/2006/relationships/hyperlink" Target="https://doi.org/10.1371/journal.pone.0023190" TargetMode="External"/><Relationship Id="rId5181" Type="http://schemas.openxmlformats.org/officeDocument/2006/relationships/hyperlink" Target="https://doi.org/10.1007/s10802-012-9684-x" TargetMode="External"/><Relationship Id="rId6232" Type="http://schemas.openxmlformats.org/officeDocument/2006/relationships/hyperlink" Target="https://doi.org/10.1037/pha0000093" TargetMode="External"/><Relationship Id="rId2775" Type="http://schemas.openxmlformats.org/officeDocument/2006/relationships/hyperlink" Target="https://doi.org/10.1089/apc.2010.0292" TargetMode="External"/><Relationship Id="rId3826" Type="http://schemas.openxmlformats.org/officeDocument/2006/relationships/hyperlink" Target="https://doi.org/10.1177/0269881111431747" TargetMode="External"/><Relationship Id="rId747" Type="http://schemas.openxmlformats.org/officeDocument/2006/relationships/hyperlink" Target="https://doi.org/10.1016/j.intell.2012.05.006" TargetMode="External"/><Relationship Id="rId1377" Type="http://schemas.openxmlformats.org/officeDocument/2006/relationships/hyperlink" Target="https://doi.org/10.1037/a0016106" TargetMode="External"/><Relationship Id="rId1791" Type="http://schemas.openxmlformats.org/officeDocument/2006/relationships/hyperlink" Target="https://doi.org/10.1136/jnnp-2017-316437" TargetMode="External"/><Relationship Id="rId2428" Type="http://schemas.openxmlformats.org/officeDocument/2006/relationships/hyperlink" Target="https://doi.org/10.1016/j.jana.2016.01.001" TargetMode="External"/><Relationship Id="rId2842" Type="http://schemas.openxmlformats.org/officeDocument/2006/relationships/hyperlink" Target="https://doi.org/10.1136/jnnp.74.6.704" TargetMode="External"/><Relationship Id="rId5998" Type="http://schemas.openxmlformats.org/officeDocument/2006/relationships/hyperlink" Target="https://doi.org/10.1016/j.neubiorev.2017.11.022" TargetMode="External"/><Relationship Id="rId83" Type="http://schemas.openxmlformats.org/officeDocument/2006/relationships/hyperlink" Target="https://doi.org/10.1016/j.yebeh.2003.10.010" TargetMode="External"/><Relationship Id="rId814" Type="http://schemas.openxmlformats.org/officeDocument/2006/relationships/hyperlink" Target="https://doi.org/10.1016/j.parkreldis.2015.05.009" TargetMode="External"/><Relationship Id="rId1444" Type="http://schemas.openxmlformats.org/officeDocument/2006/relationships/hyperlink" Target="https://doi.org/10.1097/NMD.0000000000000248" TargetMode="External"/><Relationship Id="rId1511" Type="http://schemas.openxmlformats.org/officeDocument/2006/relationships/hyperlink" Target="https://doi.org/10.1016/j.schres.2004.01.006" TargetMode="External"/><Relationship Id="rId4667" Type="http://schemas.openxmlformats.org/officeDocument/2006/relationships/hyperlink" Target="https://doi.org/10.1016/j.bandc.2012.01.008" TargetMode="External"/><Relationship Id="rId5718" Type="http://schemas.openxmlformats.org/officeDocument/2006/relationships/hyperlink" Target="https://doi.org/10.1089/cap.2014.0155" TargetMode="External"/><Relationship Id="rId3269" Type="http://schemas.openxmlformats.org/officeDocument/2006/relationships/hyperlink" Target="https://doi.org/10.1016/j.pscychresns.2012.04.010" TargetMode="External"/><Relationship Id="rId3683" Type="http://schemas.openxmlformats.org/officeDocument/2006/relationships/hyperlink" Target="https://doi.org/10.1016/S0010-9452(08)70156-4" TargetMode="External"/><Relationship Id="rId2285" Type="http://schemas.openxmlformats.org/officeDocument/2006/relationships/hyperlink" Target="https://doi.org/10.2466/PMS.95.8.1087-1095" TargetMode="External"/><Relationship Id="rId3336" Type="http://schemas.openxmlformats.org/officeDocument/2006/relationships/hyperlink" Target="https://doi.org/10.1016/j.schres.2010.11.017" TargetMode="External"/><Relationship Id="rId4734" Type="http://schemas.openxmlformats.org/officeDocument/2006/relationships/hyperlink" Target="https://doi.org/10.1080/10874208.2013.847139" TargetMode="External"/><Relationship Id="rId257" Type="http://schemas.openxmlformats.org/officeDocument/2006/relationships/hyperlink" Target="https://doi.org/10.1177/0093854817699437" TargetMode="External"/><Relationship Id="rId3750" Type="http://schemas.openxmlformats.org/officeDocument/2006/relationships/hyperlink" Target="https://doi.org/10.1016/j.pnpbp.2009.05.009" TargetMode="External"/><Relationship Id="rId4801" Type="http://schemas.openxmlformats.org/officeDocument/2006/relationships/hyperlink" Target="https://doi.org/10.1016/j.neuropsychologia.2006.05.021" TargetMode="External"/><Relationship Id="rId671" Type="http://schemas.openxmlformats.org/officeDocument/2006/relationships/hyperlink" Target="https://doi.org/10.1016/j.euroneuro.2013.09.001" TargetMode="External"/><Relationship Id="rId2352" Type="http://schemas.openxmlformats.org/officeDocument/2006/relationships/hyperlink" Target="https://doi.org/10.1016/S0920-9964(02)00353-5" TargetMode="External"/><Relationship Id="rId3403" Type="http://schemas.openxmlformats.org/officeDocument/2006/relationships/hyperlink" Target="https://doi.org/10.1016/j.ridd.2012.01.001" TargetMode="External"/><Relationship Id="rId324" Type="http://schemas.openxmlformats.org/officeDocument/2006/relationships/hyperlink" Target="https://doi.org/10.1080/13554790490495096" TargetMode="External"/><Relationship Id="rId2005" Type="http://schemas.openxmlformats.org/officeDocument/2006/relationships/hyperlink" Target="https://doi.org/10.1037/fam0000814" TargetMode="External"/><Relationship Id="rId5575" Type="http://schemas.openxmlformats.org/officeDocument/2006/relationships/hyperlink" Target="https://doi.org/10.1159/000285030" TargetMode="External"/><Relationship Id="rId1021" Type="http://schemas.openxmlformats.org/officeDocument/2006/relationships/hyperlink" Target="https://doi.org/10.1016/S0165-1781(00)00166-9" TargetMode="External"/><Relationship Id="rId4177" Type="http://schemas.openxmlformats.org/officeDocument/2006/relationships/hyperlink" Target="https://doi.org/10.1080/09602010600814729" TargetMode="External"/><Relationship Id="rId4591" Type="http://schemas.openxmlformats.org/officeDocument/2006/relationships/hyperlink" Target="https://doi.org/10.1016/j.schres.2008.11.019" TargetMode="External"/><Relationship Id="rId5228" Type="http://schemas.openxmlformats.org/officeDocument/2006/relationships/hyperlink" Target="https://doi.org/10.1016/j.jpsychires.2020.12.013" TargetMode="External"/><Relationship Id="rId5642" Type="http://schemas.openxmlformats.org/officeDocument/2006/relationships/hyperlink" Target="https://doi.org/10.1159/000029038" TargetMode="External"/><Relationship Id="rId3193" Type="http://schemas.openxmlformats.org/officeDocument/2006/relationships/hyperlink" Target="https://doi.org/10.1002/per.2204" TargetMode="External"/><Relationship Id="rId4244" Type="http://schemas.openxmlformats.org/officeDocument/2006/relationships/hyperlink" Target="https://doi.org/10.1016/j.schres.2017.04.031" TargetMode="External"/><Relationship Id="rId1838" Type="http://schemas.openxmlformats.org/officeDocument/2006/relationships/hyperlink" Target="https://doi.org/10.1016/j.schres.2019.08.017" TargetMode="External"/><Relationship Id="rId3260" Type="http://schemas.openxmlformats.org/officeDocument/2006/relationships/hyperlink" Target="https://doi.org/10.1016/j.jad.2011.10.023" TargetMode="External"/><Relationship Id="rId4311" Type="http://schemas.openxmlformats.org/officeDocument/2006/relationships/hyperlink" Target="https://doi.org/10.1155/2008/520328" TargetMode="External"/><Relationship Id="rId181" Type="http://schemas.openxmlformats.org/officeDocument/2006/relationships/hyperlink" Target="https://doi.org/10.1017/sjp.2013.102" TargetMode="External"/><Relationship Id="rId1905" Type="http://schemas.openxmlformats.org/officeDocument/2006/relationships/hyperlink" Target="https://doi.org/10.1212/WNL.0000000000002329" TargetMode="External"/><Relationship Id="rId6069" Type="http://schemas.openxmlformats.org/officeDocument/2006/relationships/hyperlink" Target="https://doi.org/10.1159/000102164" TargetMode="External"/><Relationship Id="rId5085" Type="http://schemas.openxmlformats.org/officeDocument/2006/relationships/hyperlink" Target="https://doi.org/10.1111/bdi.12215" TargetMode="External"/><Relationship Id="rId6483" Type="http://schemas.openxmlformats.org/officeDocument/2006/relationships/hyperlink" Target="https://doi.org/10.17711/SM.0185-3325.2019.005" TargetMode="External"/><Relationship Id="rId998" Type="http://schemas.openxmlformats.org/officeDocument/2006/relationships/hyperlink" Target="https://doi.org/10.1016/S2215-0366(19)30123-3" TargetMode="External"/><Relationship Id="rId2679" Type="http://schemas.openxmlformats.org/officeDocument/2006/relationships/hyperlink" Target="https://doi.org/10.1111/j.1440-1819.2008.01838.x" TargetMode="External"/><Relationship Id="rId6136" Type="http://schemas.openxmlformats.org/officeDocument/2006/relationships/hyperlink" Target="https://doi.org/10.1017/S1041610204000778" TargetMode="External"/><Relationship Id="rId1695" Type="http://schemas.openxmlformats.org/officeDocument/2006/relationships/hyperlink" Target="https://doi.org/10.1136/jnnp-2016-315260" TargetMode="External"/><Relationship Id="rId2746" Type="http://schemas.openxmlformats.org/officeDocument/2006/relationships/hyperlink" Target="https://doi.org/10.1212/WNL.0000000000002895" TargetMode="External"/><Relationship Id="rId5152" Type="http://schemas.openxmlformats.org/officeDocument/2006/relationships/hyperlink" Target="https://doi.org/10.1016/j.biopsych.2008.12.016" TargetMode="External"/><Relationship Id="rId6203" Type="http://schemas.openxmlformats.org/officeDocument/2006/relationships/hyperlink" Target="https://doi.org/10.1002/eat.22283" TargetMode="External"/><Relationship Id="rId718" Type="http://schemas.openxmlformats.org/officeDocument/2006/relationships/hyperlink" Target="https://doi.org/10.1080/13803390600878901" TargetMode="External"/><Relationship Id="rId1348" Type="http://schemas.openxmlformats.org/officeDocument/2006/relationships/hyperlink" Target="https://doi.org/10.1080/10538712.2011.607753" TargetMode="External"/><Relationship Id="rId1762" Type="http://schemas.openxmlformats.org/officeDocument/2006/relationships/hyperlink" Target="https://doi.org/10.1503/jpn.120068" TargetMode="External"/><Relationship Id="rId1415" Type="http://schemas.openxmlformats.org/officeDocument/2006/relationships/hyperlink" Target="https://doi.org/10.1017/S1355617704102191" TargetMode="External"/><Relationship Id="rId2813" Type="http://schemas.openxmlformats.org/officeDocument/2006/relationships/hyperlink" Target="https://doi.org/10.1093/schbul/sbt052" TargetMode="External"/><Relationship Id="rId5969" Type="http://schemas.openxmlformats.org/officeDocument/2006/relationships/hyperlink" Target="https://doi.org/10.5334/pb-52-2-3-95" TargetMode="External"/><Relationship Id="rId54" Type="http://schemas.openxmlformats.org/officeDocument/2006/relationships/hyperlink" Target="https://doi.org/10.1016/j.drugalcdep.2005.08.003" TargetMode="External"/><Relationship Id="rId4985" Type="http://schemas.openxmlformats.org/officeDocument/2006/relationships/hyperlink" Target="https://doi.org/10.1080/13854040701750883" TargetMode="External"/><Relationship Id="rId2189" Type="http://schemas.openxmlformats.org/officeDocument/2006/relationships/hyperlink" Target="https://doi.org/10.1176/appi.neuropsych.14050111" TargetMode="External"/><Relationship Id="rId3587" Type="http://schemas.openxmlformats.org/officeDocument/2006/relationships/hyperlink" Target="https://doi.org/10.1016/j.jpsychires.2018.04.011" TargetMode="External"/><Relationship Id="rId4638" Type="http://schemas.openxmlformats.org/officeDocument/2006/relationships/hyperlink" Target="https://doi.org/10.1016/j.schres.2012.11.028" TargetMode="External"/><Relationship Id="rId6060" Type="http://schemas.openxmlformats.org/officeDocument/2006/relationships/hyperlink" Target="https://doi.org/10.1016/j.drugalcdep.2007.02.010" TargetMode="External"/><Relationship Id="rId3654" Type="http://schemas.openxmlformats.org/officeDocument/2006/relationships/hyperlink" Target="https://doi.org/10.1159/000102933" TargetMode="External"/><Relationship Id="rId4705" Type="http://schemas.openxmlformats.org/officeDocument/2006/relationships/hyperlink" Target="https://doi.org/10.1016/S0920-9964(98)00152-2" TargetMode="External"/><Relationship Id="rId575" Type="http://schemas.openxmlformats.org/officeDocument/2006/relationships/hyperlink" Target="https://doi.org/10.1016/j.cpr.2012.10.001" TargetMode="External"/><Relationship Id="rId2256" Type="http://schemas.openxmlformats.org/officeDocument/2006/relationships/hyperlink" Target="https://doi.org/10.1111/jnp.12002" TargetMode="External"/><Relationship Id="rId2670" Type="http://schemas.openxmlformats.org/officeDocument/2006/relationships/hyperlink" Target="https://doi.org/10.1177/0891988705284716" TargetMode="External"/><Relationship Id="rId3307" Type="http://schemas.openxmlformats.org/officeDocument/2006/relationships/hyperlink" Target="https://doi.org/10.1093/brain/aws357" TargetMode="External"/><Relationship Id="rId3721" Type="http://schemas.openxmlformats.org/officeDocument/2006/relationships/hyperlink" Target="https://doi.org/10.1111/psyg.12148" TargetMode="External"/><Relationship Id="rId228" Type="http://schemas.openxmlformats.org/officeDocument/2006/relationships/hyperlink" Target="https://doi.org/10.1080/13854040490501475" TargetMode="External"/><Relationship Id="rId642" Type="http://schemas.openxmlformats.org/officeDocument/2006/relationships/hyperlink" Target="https://doi.org/10.21865/RIDEP42_49" TargetMode="External"/><Relationship Id="rId1272" Type="http://schemas.openxmlformats.org/officeDocument/2006/relationships/hyperlink" Target="https://doi.org/10.1080/13854041003762113" TargetMode="External"/><Relationship Id="rId2323" Type="http://schemas.openxmlformats.org/officeDocument/2006/relationships/hyperlink" Target="https://doi.org/10.1007/s10597-012-9557-3" TargetMode="External"/><Relationship Id="rId5479" Type="http://schemas.openxmlformats.org/officeDocument/2006/relationships/hyperlink" Target="https://doi.org/10.3233/JAD-150484" TargetMode="External"/><Relationship Id="rId5893" Type="http://schemas.openxmlformats.org/officeDocument/2006/relationships/hyperlink" Target="http://search.ebscohost.com/login.aspx?direct=true&amp;db=psyh&amp;AN=2015-47050-015&amp;site=ehost-live" TargetMode="External"/><Relationship Id="rId4495" Type="http://schemas.openxmlformats.org/officeDocument/2006/relationships/hyperlink" Target="https://doi.org/10.1002/ab.10051" TargetMode="External"/><Relationship Id="rId5546" Type="http://schemas.openxmlformats.org/officeDocument/2006/relationships/hyperlink" Target="https://doi.org/10.1016/j.brainresbull.2013.10.003" TargetMode="External"/><Relationship Id="rId3097" Type="http://schemas.openxmlformats.org/officeDocument/2006/relationships/hyperlink" Target="https://doi.org/10.1037/a0037146" TargetMode="External"/><Relationship Id="rId4148" Type="http://schemas.openxmlformats.org/officeDocument/2006/relationships/hyperlink" Target="https://doi.org/10.1037/0894-4105.22.2.246" TargetMode="External"/><Relationship Id="rId5960" Type="http://schemas.openxmlformats.org/officeDocument/2006/relationships/hyperlink" Target="https://doi.org/10.7764/psykhe.28.1.1111" TargetMode="External"/><Relationship Id="rId3164" Type="http://schemas.openxmlformats.org/officeDocument/2006/relationships/hyperlink" Target="https://doi.org/10.1080/23279095.2016.1261868" TargetMode="External"/><Relationship Id="rId4562" Type="http://schemas.openxmlformats.org/officeDocument/2006/relationships/hyperlink" Target="https://doi.org/10.1017/S1355617712001051" TargetMode="External"/><Relationship Id="rId5613" Type="http://schemas.openxmlformats.org/officeDocument/2006/relationships/hyperlink" Target="https://doi.org/10.1016/j.paid.2006.11.004" TargetMode="External"/><Relationship Id="rId1809" Type="http://schemas.openxmlformats.org/officeDocument/2006/relationships/hyperlink" Target="https://doi.org/10.1080/13854046.2011.559481" TargetMode="External"/><Relationship Id="rId4215" Type="http://schemas.openxmlformats.org/officeDocument/2006/relationships/hyperlink" Target="https://doi.org/10.1080/0361073X.2013.741996" TargetMode="External"/><Relationship Id="rId2180" Type="http://schemas.openxmlformats.org/officeDocument/2006/relationships/hyperlink" Target="https://doi.org/10.1080/02109395.2017.1295578" TargetMode="External"/><Relationship Id="rId3231" Type="http://schemas.openxmlformats.org/officeDocument/2006/relationships/hyperlink" Target="https://doi.org/10.1016/j.neubiorev.2013.03.002" TargetMode="External"/><Relationship Id="rId6387" Type="http://schemas.openxmlformats.org/officeDocument/2006/relationships/hyperlink" Target="https://doi.org/10.1007/s10803-019-04186-8" TargetMode="External"/><Relationship Id="rId152" Type="http://schemas.openxmlformats.org/officeDocument/2006/relationships/hyperlink" Target="https://doi.org/10.1016/j.bandl.2010.04.003" TargetMode="External"/><Relationship Id="rId2997" Type="http://schemas.openxmlformats.org/officeDocument/2006/relationships/hyperlink" Target="https://doi.org/10.1111/j.1467-7687.2012.01176.x" TargetMode="External"/><Relationship Id="rId6454" Type="http://schemas.openxmlformats.org/officeDocument/2006/relationships/hyperlink" Target="https://doi.org/10.1080/09297040490916965" TargetMode="External"/><Relationship Id="rId969" Type="http://schemas.openxmlformats.org/officeDocument/2006/relationships/hyperlink" Target="https://doi.org/10.1016/j.psychres.2016.05.045" TargetMode="External"/><Relationship Id="rId1599" Type="http://schemas.openxmlformats.org/officeDocument/2006/relationships/hyperlink" Target="https://doi.org/10.1177/1087054714545536" TargetMode="External"/><Relationship Id="rId5056" Type="http://schemas.openxmlformats.org/officeDocument/2006/relationships/hyperlink" Target="https://doi.org/10.1037/0894-4105.19.1.77" TargetMode="External"/><Relationship Id="rId5470" Type="http://schemas.openxmlformats.org/officeDocument/2006/relationships/hyperlink" Target="https://doi.org/10.1590/S0102-37722013000100003" TargetMode="External"/><Relationship Id="rId6107" Type="http://schemas.openxmlformats.org/officeDocument/2006/relationships/hyperlink" Target="https://doi.org/10.1016/0920-9964(94)00079-N" TargetMode="External"/><Relationship Id="rId6521" Type="http://schemas.openxmlformats.org/officeDocument/2006/relationships/hyperlink" Target="https://doi.org/10.1080/23279095.2017.1319835" TargetMode="External"/><Relationship Id="rId4072" Type="http://schemas.openxmlformats.org/officeDocument/2006/relationships/hyperlink" Target="https://doi.org/10.1037/h0080159" TargetMode="External"/><Relationship Id="rId5123" Type="http://schemas.openxmlformats.org/officeDocument/2006/relationships/hyperlink" Target="https://doi.org/10.1016/j.schres.2012.02.011" TargetMode="External"/><Relationship Id="rId1666" Type="http://schemas.openxmlformats.org/officeDocument/2006/relationships/hyperlink" Target="https://doi.org/10.1080/23279095.2017.1384925" TargetMode="External"/><Relationship Id="rId2717" Type="http://schemas.openxmlformats.org/officeDocument/2006/relationships/hyperlink" Target="https://doi.org/10.1080/13803395.2010.516743" TargetMode="External"/><Relationship Id="rId1319" Type="http://schemas.openxmlformats.org/officeDocument/2006/relationships/hyperlink" Target="https://doi.org/10.1080/13803390601161166" TargetMode="External"/><Relationship Id="rId1733" Type="http://schemas.openxmlformats.org/officeDocument/2006/relationships/hyperlink" Target="https://doi.org/10.1027/0269-8803.19.4.305" TargetMode="External"/><Relationship Id="rId4889" Type="http://schemas.openxmlformats.org/officeDocument/2006/relationships/hyperlink" Target="https://doi.org/10.1002/ab.21802" TargetMode="External"/><Relationship Id="rId25" Type="http://schemas.openxmlformats.org/officeDocument/2006/relationships/hyperlink" Target="https://doi.org/10.1016/j.cpr.2013.09.004" TargetMode="External"/><Relationship Id="rId1800" Type="http://schemas.openxmlformats.org/officeDocument/2006/relationships/hyperlink" Target="https://doi.org/10.1159/000329700" TargetMode="External"/><Relationship Id="rId4956" Type="http://schemas.openxmlformats.org/officeDocument/2006/relationships/hyperlink" Target="https://doi.org/10.1371/journal.pone.0016671" TargetMode="External"/><Relationship Id="rId3558" Type="http://schemas.openxmlformats.org/officeDocument/2006/relationships/hyperlink" Target="https://doi.org/10.1089/neu.2013.3173" TargetMode="External"/><Relationship Id="rId3972" Type="http://schemas.openxmlformats.org/officeDocument/2006/relationships/hyperlink" Target="https://doi.org/10.5539/ijps.v8n1p112" TargetMode="External"/><Relationship Id="rId4609" Type="http://schemas.openxmlformats.org/officeDocument/2006/relationships/hyperlink" Target="https://doi.org/10.1111/j.1521-0391.2011.00164.x" TargetMode="External"/><Relationship Id="rId479" Type="http://schemas.openxmlformats.org/officeDocument/2006/relationships/hyperlink" Target="https://doi.org/10.1136/jnnp-2015-311643" TargetMode="External"/><Relationship Id="rId893" Type="http://schemas.openxmlformats.org/officeDocument/2006/relationships/hyperlink" Target="https://doi.org/10.15288/jsad.2010.71.192" TargetMode="External"/><Relationship Id="rId2574" Type="http://schemas.openxmlformats.org/officeDocument/2006/relationships/hyperlink" Target="https://doi.org/10.1177/1533317513511289" TargetMode="External"/><Relationship Id="rId3625" Type="http://schemas.openxmlformats.org/officeDocument/2006/relationships/hyperlink" Target="https://doi.org/10.1016/j.cortex.2012.11.007" TargetMode="External"/><Relationship Id="rId6031" Type="http://schemas.openxmlformats.org/officeDocument/2006/relationships/hyperlink" Target="https://doi.org/10.1093/oso/9780190462321.003.0003" TargetMode="External"/><Relationship Id="rId546" Type="http://schemas.openxmlformats.org/officeDocument/2006/relationships/hyperlink" Target="https://doi.org/10.1016/B978-0-444-52002-9.00035-8" TargetMode="External"/><Relationship Id="rId1176" Type="http://schemas.openxmlformats.org/officeDocument/2006/relationships/hyperlink" Target="https://doi.org/10.1111/jnp.12047" TargetMode="External"/><Relationship Id="rId2227" Type="http://schemas.openxmlformats.org/officeDocument/2006/relationships/hyperlink" Target="https://doi.org/10.1037/bne0000206" TargetMode="External"/><Relationship Id="rId960" Type="http://schemas.openxmlformats.org/officeDocument/2006/relationships/hyperlink" Target="https://doi.org/10.1037/14091-004" TargetMode="External"/><Relationship Id="rId1243" Type="http://schemas.openxmlformats.org/officeDocument/2006/relationships/hyperlink" Target="https://doi.org/10.1192/bjp.bp.108.055137" TargetMode="External"/><Relationship Id="rId1590" Type="http://schemas.openxmlformats.org/officeDocument/2006/relationships/hyperlink" Target="https://doi.org/10.1176/appi.ps.59.3.256" TargetMode="External"/><Relationship Id="rId2641" Type="http://schemas.openxmlformats.org/officeDocument/2006/relationships/hyperlink" Target="https://doi.org/10.1016/j.biopsych.2011.03.032" TargetMode="External"/><Relationship Id="rId4399" Type="http://schemas.openxmlformats.org/officeDocument/2006/relationships/hyperlink" Target="https://doi.org/10.1016/j.cpr.2011.02.005" TargetMode="External"/><Relationship Id="rId5797" Type="http://schemas.openxmlformats.org/officeDocument/2006/relationships/hyperlink" Target="https://doi.org/10.1016/j.psychres.2015.07.025" TargetMode="External"/><Relationship Id="rId613" Type="http://schemas.openxmlformats.org/officeDocument/2006/relationships/hyperlink" Target="https://doi.org/10.1111/j.1399-5618.2011.00899.x" TargetMode="External"/><Relationship Id="rId5864" Type="http://schemas.openxmlformats.org/officeDocument/2006/relationships/hyperlink" Target="https://doi.org/10.1016/j.neuropsychologia.2003.12.003" TargetMode="External"/><Relationship Id="rId1310" Type="http://schemas.openxmlformats.org/officeDocument/2006/relationships/hyperlink" Target="https://doi.org/10.1007/978-3-642-45190-4_15" TargetMode="External"/><Relationship Id="rId4466" Type="http://schemas.openxmlformats.org/officeDocument/2006/relationships/hyperlink" Target="https://doi.org/10.1097/01.wnn.0000187939.81541.1d" TargetMode="External"/><Relationship Id="rId4880" Type="http://schemas.openxmlformats.org/officeDocument/2006/relationships/hyperlink" Target="https://doi.org/10.1080/23279095.2019.1666269" TargetMode="External"/><Relationship Id="rId5517" Type="http://schemas.openxmlformats.org/officeDocument/2006/relationships/hyperlink" Target="https://doi.org/10.1017/S1352465812000847" TargetMode="External"/><Relationship Id="rId5931" Type="http://schemas.openxmlformats.org/officeDocument/2006/relationships/hyperlink" Target="https://doi.org/10.1046/j.0001-690X.2003.00239.x" TargetMode="External"/><Relationship Id="rId3068" Type="http://schemas.openxmlformats.org/officeDocument/2006/relationships/hyperlink" Target="https://doi.org/10.1162/jocn_a_00203" TargetMode="External"/><Relationship Id="rId3482" Type="http://schemas.openxmlformats.org/officeDocument/2006/relationships/hyperlink" Target="https://doi.org/10.1176/appi.neuropsych.13020032" TargetMode="External"/><Relationship Id="rId4119" Type="http://schemas.openxmlformats.org/officeDocument/2006/relationships/hyperlink" Target="https://doi.org/10.1017/S1355617720001137" TargetMode="External"/><Relationship Id="rId4533" Type="http://schemas.openxmlformats.org/officeDocument/2006/relationships/hyperlink" Target="https://doi.org/10.1037/neu0000504" TargetMode="External"/><Relationship Id="rId2084" Type="http://schemas.openxmlformats.org/officeDocument/2006/relationships/hyperlink" Target="https://doi.org/10.1016/j.neuropsychologia.2003.08.016" TargetMode="External"/><Relationship Id="rId3135" Type="http://schemas.openxmlformats.org/officeDocument/2006/relationships/hyperlink" Target="https://doi.org/10.1159/000348486" TargetMode="External"/><Relationship Id="rId4600" Type="http://schemas.openxmlformats.org/officeDocument/2006/relationships/hyperlink" Target="https://doi.org/10.1016/j.pscychresns.2007.08.005" TargetMode="External"/><Relationship Id="rId470" Type="http://schemas.openxmlformats.org/officeDocument/2006/relationships/hyperlink" Target="https://doi.org/10.3389/fnhum.2020.00073" TargetMode="External"/><Relationship Id="rId2151" Type="http://schemas.openxmlformats.org/officeDocument/2006/relationships/hyperlink" Target="https://doi.org/10.1080/02687038.2015.1136050" TargetMode="External"/><Relationship Id="rId3202" Type="http://schemas.openxmlformats.org/officeDocument/2006/relationships/hyperlink" Target="https://doi.org/10.1016/j.acn.2008.07.004" TargetMode="External"/><Relationship Id="rId6358" Type="http://schemas.openxmlformats.org/officeDocument/2006/relationships/hyperlink" Target="https://doi.org/10.1080/13803395.2014.884543" TargetMode="External"/><Relationship Id="rId123" Type="http://schemas.openxmlformats.org/officeDocument/2006/relationships/hyperlink" Target="https://doi.org/10.1177/1362361306068507" TargetMode="External"/><Relationship Id="rId5374" Type="http://schemas.openxmlformats.org/officeDocument/2006/relationships/hyperlink" Target="https://doi.org/10.1080/13825585.2011.567325" TargetMode="External"/><Relationship Id="rId2968" Type="http://schemas.openxmlformats.org/officeDocument/2006/relationships/hyperlink" Target="https://doi.org/10.3389/fpsyt.2018.00286" TargetMode="External"/><Relationship Id="rId5027" Type="http://schemas.openxmlformats.org/officeDocument/2006/relationships/hyperlink" Target="https://doi.org/10.1017/S1355617713000416" TargetMode="External"/><Relationship Id="rId6425" Type="http://schemas.openxmlformats.org/officeDocument/2006/relationships/hyperlink" Target="https://doi.org/10.1037/neu0000231" TargetMode="External"/><Relationship Id="rId1984" Type="http://schemas.openxmlformats.org/officeDocument/2006/relationships/hyperlink" Target="https://doi.org/10.1007/978-1-4614-8106-5_17" TargetMode="External"/><Relationship Id="rId4390" Type="http://schemas.openxmlformats.org/officeDocument/2006/relationships/hyperlink" Target="https://doi.org/10.1023/A:1026091809650" TargetMode="External"/><Relationship Id="rId5441" Type="http://schemas.openxmlformats.org/officeDocument/2006/relationships/hyperlink" Target="https://doi.org/10.1111/acps.12871" TargetMode="External"/><Relationship Id="rId1637" Type="http://schemas.openxmlformats.org/officeDocument/2006/relationships/hyperlink" Target="https://doi.org/10.1080/09602011.2019.1574590" TargetMode="External"/><Relationship Id="rId4043" Type="http://schemas.openxmlformats.org/officeDocument/2006/relationships/hyperlink" Target="https://doi.org/10.1016/j.schres.2017.01.037" TargetMode="External"/><Relationship Id="rId1704" Type="http://schemas.openxmlformats.org/officeDocument/2006/relationships/hyperlink" Target="https://doi.org/10.1016/j.erap.2010.11.002" TargetMode="External"/><Relationship Id="rId4110" Type="http://schemas.openxmlformats.org/officeDocument/2006/relationships/hyperlink" Target="https://doi.org/10.1093/brain/awm265" TargetMode="External"/><Relationship Id="rId6282" Type="http://schemas.openxmlformats.org/officeDocument/2006/relationships/hyperlink" Target="https://doi.org/10.1037/0894-4105.8.2.187" TargetMode="External"/><Relationship Id="rId797" Type="http://schemas.openxmlformats.org/officeDocument/2006/relationships/hyperlink" Target="https://doi.org/10.1037/0000010-005" TargetMode="External"/><Relationship Id="rId2478" Type="http://schemas.openxmlformats.org/officeDocument/2006/relationships/hyperlink" Target="https://doi.org/10.1080/02699050902748323" TargetMode="External"/><Relationship Id="rId3876" Type="http://schemas.openxmlformats.org/officeDocument/2006/relationships/hyperlink" Target="https://doi.org/10.1016/j.neuroimage.2012.02.044" TargetMode="External"/><Relationship Id="rId4927" Type="http://schemas.openxmlformats.org/officeDocument/2006/relationships/hyperlink" Target="https://doi.org/10.1080/13854049308401516" TargetMode="External"/><Relationship Id="rId2892" Type="http://schemas.openxmlformats.org/officeDocument/2006/relationships/hyperlink" Target="https://doi.org/10.1076/neur.9.5.421.16551" TargetMode="External"/><Relationship Id="rId3529" Type="http://schemas.openxmlformats.org/officeDocument/2006/relationships/hyperlink" Target="https://doi.org/10.1016/j.schres.2009.04.024" TargetMode="External"/><Relationship Id="rId3943" Type="http://schemas.openxmlformats.org/officeDocument/2006/relationships/hyperlink" Target="https://doi.org/10.1024/1016-264X.17.2.123" TargetMode="External"/><Relationship Id="rId6002" Type="http://schemas.openxmlformats.org/officeDocument/2006/relationships/hyperlink" Target="https://doi.org/10.1017/S0033291710002084" TargetMode="External"/><Relationship Id="rId864" Type="http://schemas.openxmlformats.org/officeDocument/2006/relationships/hyperlink" Target="https://doi.org/10.1016/j.eurpsy.2017.11.009" TargetMode="External"/><Relationship Id="rId1494" Type="http://schemas.openxmlformats.org/officeDocument/2006/relationships/hyperlink" Target="https://doi.org/10.1016/j.neuropsychologia.2009.12.016" TargetMode="External"/><Relationship Id="rId2545" Type="http://schemas.openxmlformats.org/officeDocument/2006/relationships/hyperlink" Target="https://doi.org/10.1016/j.ijpsycho.2013.12.009" TargetMode="External"/><Relationship Id="rId517" Type="http://schemas.openxmlformats.org/officeDocument/2006/relationships/hyperlink" Target="https://doi.org/10.1016/j.parkreldis.2012.02.017" TargetMode="External"/><Relationship Id="rId931" Type="http://schemas.openxmlformats.org/officeDocument/2006/relationships/hyperlink" Target="https://doi.org/10.3233/NRE-130856" TargetMode="External"/><Relationship Id="rId1147" Type="http://schemas.openxmlformats.org/officeDocument/2006/relationships/hyperlink" Target="https://doi.org/10.1080/02699050802649647" TargetMode="External"/><Relationship Id="rId1561" Type="http://schemas.openxmlformats.org/officeDocument/2006/relationships/hyperlink" Target="https://doi.org/10.1080/13803390801894681" TargetMode="External"/><Relationship Id="rId2612" Type="http://schemas.openxmlformats.org/officeDocument/2006/relationships/hyperlink" Target="https://doi.org/10.1176/appi.neuropsych.11080189" TargetMode="External"/><Relationship Id="rId5768" Type="http://schemas.openxmlformats.org/officeDocument/2006/relationships/hyperlink" Target="https://doi.org/10.1093/arclin/acu092" TargetMode="External"/><Relationship Id="rId1214" Type="http://schemas.openxmlformats.org/officeDocument/2006/relationships/hyperlink" Target="https://doi.org/10.1111/fare.12318" TargetMode="External"/><Relationship Id="rId4784" Type="http://schemas.openxmlformats.org/officeDocument/2006/relationships/hyperlink" Target="https://doi.org/10.1016/j.biopsych.2014.07.027" TargetMode="External"/><Relationship Id="rId5835" Type="http://schemas.openxmlformats.org/officeDocument/2006/relationships/hyperlink" Target="https://doi.org/10.1590/S1516-44462009000200010" TargetMode="External"/><Relationship Id="rId3386" Type="http://schemas.openxmlformats.org/officeDocument/2006/relationships/hyperlink" Target="https://doi.org/10.1017/S1041610213000689" TargetMode="External"/><Relationship Id="rId4437" Type="http://schemas.openxmlformats.org/officeDocument/2006/relationships/hyperlink" Target="https://doi.org/10.1016/S0006-3223(96)00496-9" TargetMode="External"/><Relationship Id="rId3039" Type="http://schemas.openxmlformats.org/officeDocument/2006/relationships/hyperlink" Target="https://doi.org/10.1080/13803395.2020.1786504" TargetMode="External"/><Relationship Id="rId3453" Type="http://schemas.openxmlformats.org/officeDocument/2006/relationships/hyperlink" Target="https://doi.org/10.1212/01.wnl.0000327098.86861.d4" TargetMode="External"/><Relationship Id="rId4851" Type="http://schemas.openxmlformats.org/officeDocument/2006/relationships/hyperlink" Target="https://doi.org/10.1016/j.pscychresns.2016.09.004" TargetMode="External"/><Relationship Id="rId5902" Type="http://schemas.openxmlformats.org/officeDocument/2006/relationships/hyperlink" Target="https://doi.org/10.1016/j.neuropsychologia.2006.09.023" TargetMode="External"/><Relationship Id="rId374" Type="http://schemas.openxmlformats.org/officeDocument/2006/relationships/hyperlink" Target="https://doi.org/10.1080/13803395.2013.824071" TargetMode="External"/><Relationship Id="rId2055" Type="http://schemas.openxmlformats.org/officeDocument/2006/relationships/hyperlink" Target="https://doi.org/10.1080/13803390600584632" TargetMode="External"/><Relationship Id="rId3106" Type="http://schemas.openxmlformats.org/officeDocument/2006/relationships/hyperlink" Target="https://doi.org/10.1080/13854046.2012.708166" TargetMode="External"/><Relationship Id="rId4504" Type="http://schemas.openxmlformats.org/officeDocument/2006/relationships/hyperlink" Target="https://doi.org/10.1080/02699930802012153" TargetMode="External"/><Relationship Id="rId3520" Type="http://schemas.openxmlformats.org/officeDocument/2006/relationships/hyperlink" Target="https://doi.org/10.1111/j.1600-0447.2005.00514.x" TargetMode="External"/><Relationship Id="rId441" Type="http://schemas.openxmlformats.org/officeDocument/2006/relationships/hyperlink" Target="https://doi.org/10.1080/02699050701311091" TargetMode="External"/><Relationship Id="rId1071" Type="http://schemas.openxmlformats.org/officeDocument/2006/relationships/hyperlink" Target="https://doi.org/10.1111/j.1469-7610.2012.02551.x" TargetMode="External"/><Relationship Id="rId2122" Type="http://schemas.openxmlformats.org/officeDocument/2006/relationships/hyperlink" Target="https://doi.org/10.3922/j.psns.2012.2.07" TargetMode="External"/><Relationship Id="rId5278" Type="http://schemas.openxmlformats.org/officeDocument/2006/relationships/hyperlink" Target="https://doi.org/10.1016/j.neuropsychologia.2010.11.020" TargetMode="External"/><Relationship Id="rId5692" Type="http://schemas.openxmlformats.org/officeDocument/2006/relationships/hyperlink" Target="https://doi.org/10.3389/fpsyg.2019.03041" TargetMode="External"/><Relationship Id="rId6329" Type="http://schemas.openxmlformats.org/officeDocument/2006/relationships/hyperlink" Target="https://doi.org/10.1016/j.brs.2014.04.011" TargetMode="External"/><Relationship Id="rId1888" Type="http://schemas.openxmlformats.org/officeDocument/2006/relationships/hyperlink" Target="https://doi.org/10.1159/000284803" TargetMode="External"/><Relationship Id="rId2939" Type="http://schemas.openxmlformats.org/officeDocument/2006/relationships/hyperlink" Target="https://doi.org/10.1111/j.1469-8986.2005.00262.x" TargetMode="External"/><Relationship Id="rId4294" Type="http://schemas.openxmlformats.org/officeDocument/2006/relationships/hyperlink" Target="https://doi.org/10.1002/da.20638" TargetMode="External"/><Relationship Id="rId5345" Type="http://schemas.openxmlformats.org/officeDocument/2006/relationships/hyperlink" Target="https://doi.org/10.1007/s12152-012-9172-6" TargetMode="External"/><Relationship Id="rId4361" Type="http://schemas.openxmlformats.org/officeDocument/2006/relationships/hyperlink" Target="https://doi.org/10.1016/j.schres.2006.05.007" TargetMode="External"/><Relationship Id="rId5412" Type="http://schemas.openxmlformats.org/officeDocument/2006/relationships/hyperlink" Target="https://doi.org/10.1016/j.schres.2008.07.014" TargetMode="External"/><Relationship Id="rId1955" Type="http://schemas.openxmlformats.org/officeDocument/2006/relationships/hyperlink" Target="https://doi.org/10.1016/j.jneuroling.2013.05.004" TargetMode="External"/><Relationship Id="rId4014" Type="http://schemas.openxmlformats.org/officeDocument/2006/relationships/hyperlink" Target="https://doi.org/10.1111/j.1440-1614.2004.01432.x" TargetMode="External"/><Relationship Id="rId1608" Type="http://schemas.openxmlformats.org/officeDocument/2006/relationships/hyperlink" Target="https://doi.org/10.1089/jwh.2012.3522" TargetMode="External"/><Relationship Id="rId3030" Type="http://schemas.openxmlformats.org/officeDocument/2006/relationships/hyperlink" Target="https://doi.org/10.1017/S0033291716000106" TargetMode="External"/><Relationship Id="rId6186" Type="http://schemas.openxmlformats.org/officeDocument/2006/relationships/hyperlink" Target="https://doi.org/10.1055/s-0038-1628513" TargetMode="External"/><Relationship Id="rId2796" Type="http://schemas.openxmlformats.org/officeDocument/2006/relationships/hyperlink" Target="https://doi.org/10.1080/20445911.2019.1604527" TargetMode="External"/><Relationship Id="rId3847" Type="http://schemas.openxmlformats.org/officeDocument/2006/relationships/hyperlink" Target="https://doi.org/10.3389/fnhum.2012.00259" TargetMode="External"/><Relationship Id="rId6253" Type="http://schemas.openxmlformats.org/officeDocument/2006/relationships/hyperlink" Target="https://doi.org/10.1023/A:1012248628230" TargetMode="External"/><Relationship Id="rId768" Type="http://schemas.openxmlformats.org/officeDocument/2006/relationships/hyperlink" Target="https://doi.org/10.1007/s00702-012-0821-z" TargetMode="External"/><Relationship Id="rId1398" Type="http://schemas.openxmlformats.org/officeDocument/2006/relationships/hyperlink" Target="https://doi.org/10.1093/brain/awq160" TargetMode="External"/><Relationship Id="rId2449" Type="http://schemas.openxmlformats.org/officeDocument/2006/relationships/hyperlink" Target="https://doi.org/10.3389/fnagi.2019.00157" TargetMode="External"/><Relationship Id="rId2863" Type="http://schemas.openxmlformats.org/officeDocument/2006/relationships/hyperlink" Target="https://doi.org/10.1016/j.amp.2006.04.010" TargetMode="External"/><Relationship Id="rId3914" Type="http://schemas.openxmlformats.org/officeDocument/2006/relationships/hyperlink" Target="https://doi.org/10.1016/j.bandc.2012.12.005" TargetMode="External"/><Relationship Id="rId6320" Type="http://schemas.openxmlformats.org/officeDocument/2006/relationships/hyperlink" Target="https://doi.org/10.1016/S0920-9964(01)00301-2" TargetMode="External"/><Relationship Id="rId835" Type="http://schemas.openxmlformats.org/officeDocument/2006/relationships/hyperlink" Target="https://doi.org/10.1080/13803395.2013.856382" TargetMode="External"/><Relationship Id="rId1465" Type="http://schemas.openxmlformats.org/officeDocument/2006/relationships/hyperlink" Target="https://doi.org/10.1093/scan/nsp017" TargetMode="External"/><Relationship Id="rId2516" Type="http://schemas.openxmlformats.org/officeDocument/2006/relationships/hyperlink" Target="https://doi.org/10.1016/j.neuropsychologia.2010.12.036" TargetMode="External"/><Relationship Id="rId1118" Type="http://schemas.openxmlformats.org/officeDocument/2006/relationships/hyperlink" Target="https://doi.org/10.1016/j.ntt.2012.09.004" TargetMode="External"/><Relationship Id="rId1532" Type="http://schemas.openxmlformats.org/officeDocument/2006/relationships/hyperlink" Target="https://doi.org/10.1590/S1413-73722007000200007" TargetMode="External"/><Relationship Id="rId2930" Type="http://schemas.openxmlformats.org/officeDocument/2006/relationships/hyperlink" Target="https://doi.org/10.1177/0020764019897697" TargetMode="External"/><Relationship Id="rId4688" Type="http://schemas.openxmlformats.org/officeDocument/2006/relationships/hyperlink" Target="https://doi.org/10.1080/17522439.2013.830319" TargetMode="External"/><Relationship Id="rId902" Type="http://schemas.openxmlformats.org/officeDocument/2006/relationships/hyperlink" Target="https://doi.org/10.1016/j.physbeh.2016.01.040" TargetMode="External"/><Relationship Id="rId5739" Type="http://schemas.openxmlformats.org/officeDocument/2006/relationships/hyperlink" Target="https://doi.org/10.1007/s10803-012-1456-5" TargetMode="External"/><Relationship Id="rId4755" Type="http://schemas.openxmlformats.org/officeDocument/2006/relationships/hyperlink" Target="https://doi.org/10.1016/j.schres.2020.08.019" TargetMode="External"/><Relationship Id="rId5806" Type="http://schemas.openxmlformats.org/officeDocument/2006/relationships/hyperlink" Target="https://doi.org/10.1007/s00787-019-01459-6" TargetMode="External"/><Relationship Id="rId278" Type="http://schemas.openxmlformats.org/officeDocument/2006/relationships/hyperlink" Target="https://doi.org/10.1097/j.pain.0000000000001150" TargetMode="External"/><Relationship Id="rId3357" Type="http://schemas.openxmlformats.org/officeDocument/2006/relationships/hyperlink" Target="https://doi.org/10.1111/adb.12203" TargetMode="External"/><Relationship Id="rId3771" Type="http://schemas.openxmlformats.org/officeDocument/2006/relationships/hyperlink" Target="https://doi.org/10.1093/schbul/sbq026" TargetMode="External"/><Relationship Id="rId4408" Type="http://schemas.openxmlformats.org/officeDocument/2006/relationships/hyperlink" Target="https://doi.org/10.1080/87568225.2011.605689" TargetMode="External"/><Relationship Id="rId4822" Type="http://schemas.openxmlformats.org/officeDocument/2006/relationships/hyperlink" Target="https://doi.org/10.1016/j.cortex.2019.04.013" TargetMode="External"/><Relationship Id="rId692" Type="http://schemas.openxmlformats.org/officeDocument/2006/relationships/hyperlink" Target="https://doi.org/10.1016/j.schres.2005.04.004" TargetMode="External"/><Relationship Id="rId2373" Type="http://schemas.openxmlformats.org/officeDocument/2006/relationships/hyperlink" Target="https://doi.org/10.1016/j.psychres.2011.02.011" TargetMode="External"/><Relationship Id="rId3424" Type="http://schemas.openxmlformats.org/officeDocument/2006/relationships/hyperlink" Target="https://doi.org/10.1016/j.jad.2019.08.091" TargetMode="External"/><Relationship Id="rId345" Type="http://schemas.openxmlformats.org/officeDocument/2006/relationships/hyperlink" Target="https://doi.org/10.1111/j.1468-1331.2006.01531.x" TargetMode="External"/><Relationship Id="rId2026" Type="http://schemas.openxmlformats.org/officeDocument/2006/relationships/hyperlink" Target="https://doi.org/10.1016/j.neurobiolaging.2014.09.013" TargetMode="External"/><Relationship Id="rId2440" Type="http://schemas.openxmlformats.org/officeDocument/2006/relationships/hyperlink" Target="https://doi.org/10.1017/S135561770707004X" TargetMode="External"/><Relationship Id="rId5596" Type="http://schemas.openxmlformats.org/officeDocument/2006/relationships/hyperlink" Target="https://doi.org/10.1016/j.ridd.2006.12.001" TargetMode="External"/><Relationship Id="rId412" Type="http://schemas.openxmlformats.org/officeDocument/2006/relationships/hyperlink" Target="https://doi.org/10.1016/j.acn.2005.02.003" TargetMode="External"/><Relationship Id="rId1042" Type="http://schemas.openxmlformats.org/officeDocument/2006/relationships/hyperlink" Target="https://doi.org/10.1080/23279095.2019.1607735" TargetMode="External"/><Relationship Id="rId4198" Type="http://schemas.openxmlformats.org/officeDocument/2006/relationships/hyperlink" Target="https://doi.org/10.1186/s13030-019-0164-1" TargetMode="External"/><Relationship Id="rId5249" Type="http://schemas.openxmlformats.org/officeDocument/2006/relationships/hyperlink" Target="https://doi.org/10.1016/j.jrp.2006.04.001" TargetMode="External"/><Relationship Id="rId5663" Type="http://schemas.openxmlformats.org/officeDocument/2006/relationships/hyperlink" Target="https://doi.org/10.1016/j.psychres.2005.11.013" TargetMode="External"/><Relationship Id="rId4265" Type="http://schemas.openxmlformats.org/officeDocument/2006/relationships/hyperlink" Target="https://doi.org/10.1590/1982-43272664201609" TargetMode="External"/><Relationship Id="rId5316" Type="http://schemas.openxmlformats.org/officeDocument/2006/relationships/hyperlink" Target="https://doi.org/10.1037/emo0000151" TargetMode="External"/><Relationship Id="rId1859" Type="http://schemas.openxmlformats.org/officeDocument/2006/relationships/hyperlink" Target="https://doi.org/10.1097/WNN.0b013e3181a7228f" TargetMode="External"/><Relationship Id="rId5730" Type="http://schemas.openxmlformats.org/officeDocument/2006/relationships/hyperlink" Target="https://doi.org/10.3109/02699052.2014.890742" TargetMode="External"/><Relationship Id="rId1926" Type="http://schemas.openxmlformats.org/officeDocument/2006/relationships/hyperlink" Target="https://doi.org/10.1176/appi.neuropsych.16.3.306" TargetMode="External"/><Relationship Id="rId3281" Type="http://schemas.openxmlformats.org/officeDocument/2006/relationships/hyperlink" Target="https://doi.org/10.2466/PMS.98.1.223-236" TargetMode="External"/><Relationship Id="rId4332" Type="http://schemas.openxmlformats.org/officeDocument/2006/relationships/hyperlink" Target="https://doi.org/10.1080/23279095.2018.1501374" TargetMode="External"/><Relationship Id="rId3001" Type="http://schemas.openxmlformats.org/officeDocument/2006/relationships/hyperlink" Target="https://doi.org/10.1016/j.bandc.2004.05.005" TargetMode="External"/><Relationship Id="rId6157" Type="http://schemas.openxmlformats.org/officeDocument/2006/relationships/hyperlink" Target="https://doi.org/10.3109/08039488.2011.643484" TargetMode="External"/><Relationship Id="rId2767" Type="http://schemas.openxmlformats.org/officeDocument/2006/relationships/hyperlink" Target="https://doi.org/10.1002/9781118772034.ch7" TargetMode="External"/><Relationship Id="rId5173" Type="http://schemas.openxmlformats.org/officeDocument/2006/relationships/hyperlink" Target="https://doi.org/10.1093/arclin/acv015" TargetMode="External"/><Relationship Id="rId6224" Type="http://schemas.openxmlformats.org/officeDocument/2006/relationships/hyperlink" Target="https://doi.org/10.1093/brain/awh253" TargetMode="External"/><Relationship Id="rId739" Type="http://schemas.openxmlformats.org/officeDocument/2006/relationships/hyperlink" Target="https://doi.org/10.1097/JCP.0000000000000157" TargetMode="External"/><Relationship Id="rId1369" Type="http://schemas.openxmlformats.org/officeDocument/2006/relationships/hyperlink" Target="https://doi.org/10.1590/0004-282X20140191" TargetMode="External"/><Relationship Id="rId3818" Type="http://schemas.openxmlformats.org/officeDocument/2006/relationships/hyperlink" Target="https://doi.org/10.1016/j.schres.2016.04.045" TargetMode="External"/><Relationship Id="rId5240" Type="http://schemas.openxmlformats.org/officeDocument/2006/relationships/hyperlink" Target="https://doi.org/10.1017/S0033291712000773" TargetMode="External"/><Relationship Id="rId1783" Type="http://schemas.openxmlformats.org/officeDocument/2006/relationships/hyperlink" Target="https://doi.org/10.1080/13854046.2016.1197313" TargetMode="External"/><Relationship Id="rId2834" Type="http://schemas.openxmlformats.org/officeDocument/2006/relationships/hyperlink" Target="https://doi.org/10.1097/WNN.0b013e318259cb36" TargetMode="External"/><Relationship Id="rId75" Type="http://schemas.openxmlformats.org/officeDocument/2006/relationships/hyperlink" Target="https://doi.org/10.1016/j.ijpsycho.2021.04.003" TargetMode="External"/><Relationship Id="rId806" Type="http://schemas.openxmlformats.org/officeDocument/2006/relationships/hyperlink" Target="https://doi.org/10.1080/13825580903029715" TargetMode="External"/><Relationship Id="rId1436" Type="http://schemas.openxmlformats.org/officeDocument/2006/relationships/hyperlink" Target="https://doi.org/10.1016/j.jns.2007.10.007" TargetMode="External"/><Relationship Id="rId1850" Type="http://schemas.openxmlformats.org/officeDocument/2006/relationships/hyperlink" Target="https://doi.org/10.1016/j.bbr.2020.112773" TargetMode="External"/><Relationship Id="rId2901" Type="http://schemas.openxmlformats.org/officeDocument/2006/relationships/hyperlink" Target="https://doi.org/10.1016/j.lindif.2003.09.001" TargetMode="External"/><Relationship Id="rId1503" Type="http://schemas.openxmlformats.org/officeDocument/2006/relationships/hyperlink" Target="https://doi.org/10.1093/schbul/sbr048" TargetMode="External"/><Relationship Id="rId4659" Type="http://schemas.openxmlformats.org/officeDocument/2006/relationships/hyperlink" Target="https://doi.org/10.1192/bjp.bp.105.013276" TargetMode="External"/><Relationship Id="rId3675" Type="http://schemas.openxmlformats.org/officeDocument/2006/relationships/hyperlink" Target="https://doi.org/10.1016/j.neuropsychologia.2016.06.021" TargetMode="External"/><Relationship Id="rId4726" Type="http://schemas.openxmlformats.org/officeDocument/2006/relationships/hyperlink" Target="https://doi.org/10.1176/appi.ajgp.12.4.404" TargetMode="External"/><Relationship Id="rId6081" Type="http://schemas.openxmlformats.org/officeDocument/2006/relationships/hyperlink" Target="https://doi.org/10.1016/j.braindev.2009.07.010" TargetMode="External"/><Relationship Id="rId596" Type="http://schemas.openxmlformats.org/officeDocument/2006/relationships/hyperlink" Target="https://doi.org/10.1192/bjp.bp.114.162123" TargetMode="External"/><Relationship Id="rId2277" Type="http://schemas.openxmlformats.org/officeDocument/2006/relationships/hyperlink" Target="https://doi.org/10.1111/pcn.12158" TargetMode="External"/><Relationship Id="rId2691" Type="http://schemas.openxmlformats.org/officeDocument/2006/relationships/hyperlink" Target="https://doi.org/10.1016/j.schres.2006.09.004" TargetMode="External"/><Relationship Id="rId3328" Type="http://schemas.openxmlformats.org/officeDocument/2006/relationships/hyperlink" Target="https://doi.org/10.1016/j.psychres.2010.06.010" TargetMode="External"/><Relationship Id="rId3742" Type="http://schemas.openxmlformats.org/officeDocument/2006/relationships/hyperlink" Target="https://doi.org/10.1016/j.parkreldis.2005.12.006" TargetMode="External"/><Relationship Id="rId249" Type="http://schemas.openxmlformats.org/officeDocument/2006/relationships/hyperlink" Target="https://doi.org/10.1080/13803395.2020.1798358" TargetMode="External"/><Relationship Id="rId663" Type="http://schemas.openxmlformats.org/officeDocument/2006/relationships/hyperlink" Target="https://doi.org/10.1016/j.pbb.2011.03.003" TargetMode="External"/><Relationship Id="rId1293" Type="http://schemas.openxmlformats.org/officeDocument/2006/relationships/hyperlink" Target="https://doi.org/10.1080/00016480252775797" TargetMode="External"/><Relationship Id="rId2344" Type="http://schemas.openxmlformats.org/officeDocument/2006/relationships/hyperlink" Target="https://doi.org/10.1038/sj.npp.1301543" TargetMode="External"/><Relationship Id="rId316" Type="http://schemas.openxmlformats.org/officeDocument/2006/relationships/hyperlink" Target="https://doi.org/10.1006/brcg.1997.0971" TargetMode="External"/><Relationship Id="rId730" Type="http://schemas.openxmlformats.org/officeDocument/2006/relationships/hyperlink" Target="https://doi.org/10.1016/j.psychres.2010.11.029" TargetMode="External"/><Relationship Id="rId1013" Type="http://schemas.openxmlformats.org/officeDocument/2006/relationships/hyperlink" Target="https://doi.org/10.1016/j.jad.2020.05.158" TargetMode="External"/><Relationship Id="rId1360" Type="http://schemas.openxmlformats.org/officeDocument/2006/relationships/hyperlink" Target="https://doi.org/10.1016/j.drugalcdep.2021.108926" TargetMode="External"/><Relationship Id="rId2411" Type="http://schemas.openxmlformats.org/officeDocument/2006/relationships/hyperlink" Target="https://doi.org/10.1080/13803395.2011.625351" TargetMode="External"/><Relationship Id="rId4169" Type="http://schemas.openxmlformats.org/officeDocument/2006/relationships/hyperlink" Target="https://doi.org/10.1192/bjp.bp.113.132324" TargetMode="External"/><Relationship Id="rId5567" Type="http://schemas.openxmlformats.org/officeDocument/2006/relationships/hyperlink" Target="https://doi.org/10.1155/2008/376159" TargetMode="External"/><Relationship Id="rId5981" Type="http://schemas.openxmlformats.org/officeDocument/2006/relationships/hyperlink" Target="https://doi.org/10.1016/j.cortex.2013.03.004" TargetMode="External"/><Relationship Id="rId4583" Type="http://schemas.openxmlformats.org/officeDocument/2006/relationships/hyperlink" Target="https://doi.org/10.1002/hbm.24239" TargetMode="External"/><Relationship Id="rId5634" Type="http://schemas.openxmlformats.org/officeDocument/2006/relationships/hyperlink" Target="https://doi.org/10.1017/S1041610216000739" TargetMode="External"/><Relationship Id="rId3185" Type="http://schemas.openxmlformats.org/officeDocument/2006/relationships/hyperlink" Target="https://doi.org/10.1001/archpsyc.62.11.1196" TargetMode="External"/><Relationship Id="rId4236" Type="http://schemas.openxmlformats.org/officeDocument/2006/relationships/hyperlink" Target="https://doi.org/10.1016/j.braindev.2008.07.003" TargetMode="External"/><Relationship Id="rId4650" Type="http://schemas.openxmlformats.org/officeDocument/2006/relationships/hyperlink" Target="https://doi.org/10.1080/13825580601025908" TargetMode="External"/><Relationship Id="rId5701" Type="http://schemas.openxmlformats.org/officeDocument/2006/relationships/hyperlink" Target="https://doi.org/10.1016/j.bandc.2008.09.008" TargetMode="External"/><Relationship Id="rId3252" Type="http://schemas.openxmlformats.org/officeDocument/2006/relationships/hyperlink" Target="https://doi.org/10.1111/j.1532-5415.2011.03562.x" TargetMode="External"/><Relationship Id="rId4303" Type="http://schemas.openxmlformats.org/officeDocument/2006/relationships/hyperlink" Target="https://doi.org/10.1016/j.earlhumdev.2016.01.023" TargetMode="External"/><Relationship Id="rId173" Type="http://schemas.openxmlformats.org/officeDocument/2006/relationships/hyperlink" Target="https://doi.org/10.1212/01.wnl.0000230136.82118.16" TargetMode="External"/><Relationship Id="rId6475" Type="http://schemas.openxmlformats.org/officeDocument/2006/relationships/hyperlink" Target="https://doi.org/10.1136/jnnp.2003.018507" TargetMode="External"/><Relationship Id="rId240" Type="http://schemas.openxmlformats.org/officeDocument/2006/relationships/hyperlink" Target="https://doi.org/10.1016/S0165-1781(03)00174-4" TargetMode="External"/><Relationship Id="rId5077" Type="http://schemas.openxmlformats.org/officeDocument/2006/relationships/hyperlink" Target="https://doi.org/10.1017/S0033291714000397" TargetMode="External"/><Relationship Id="rId6128" Type="http://schemas.openxmlformats.org/officeDocument/2006/relationships/hyperlink" Target="https://doi.org/10.3922/j.psns.2009.2.004" TargetMode="External"/><Relationship Id="rId4093" Type="http://schemas.openxmlformats.org/officeDocument/2006/relationships/hyperlink" Target="https://doi.org/10.1159/000070683" TargetMode="External"/><Relationship Id="rId5144" Type="http://schemas.openxmlformats.org/officeDocument/2006/relationships/hyperlink" Target="https://doi.org/10.1016/S0165-1781(96)02845-4" TargetMode="External"/><Relationship Id="rId5491" Type="http://schemas.openxmlformats.org/officeDocument/2006/relationships/hyperlink" Target="https://doi.org/10.1093/brain/awm280" TargetMode="External"/><Relationship Id="rId6542" Type="http://schemas.openxmlformats.org/officeDocument/2006/relationships/hyperlink" Target="https://doi.org/10.1016/j.bandc.2004.07.003" TargetMode="External"/><Relationship Id="rId1687" Type="http://schemas.openxmlformats.org/officeDocument/2006/relationships/hyperlink" Target="https://doi.org/10.1159/000337738" TargetMode="External"/><Relationship Id="rId2738" Type="http://schemas.openxmlformats.org/officeDocument/2006/relationships/hyperlink" Target="https://doi.org/10.1016/j.bandc.2009.01.005" TargetMode="External"/><Relationship Id="rId1754" Type="http://schemas.openxmlformats.org/officeDocument/2006/relationships/hyperlink" Target="https://doi.org/10.22365/jpsych.2018.291.42" TargetMode="External"/><Relationship Id="rId2805" Type="http://schemas.openxmlformats.org/officeDocument/2006/relationships/hyperlink" Target="https://doi.org/10.1016/j.janxdis.2006.06.008" TargetMode="External"/><Relationship Id="rId4160" Type="http://schemas.openxmlformats.org/officeDocument/2006/relationships/hyperlink" Target="https://doi.org/10.1007/978-0-387-78965-1_28" TargetMode="External"/><Relationship Id="rId5211" Type="http://schemas.openxmlformats.org/officeDocument/2006/relationships/hyperlink" Target="https://doi.org/10.1016/j.psychres.2015.11.031" TargetMode="External"/><Relationship Id="rId46" Type="http://schemas.openxmlformats.org/officeDocument/2006/relationships/hyperlink" Target="https://doi.org/10.1017/9781108235433.034" TargetMode="External"/><Relationship Id="rId1407" Type="http://schemas.openxmlformats.org/officeDocument/2006/relationships/hyperlink" Target="https://doi.org/10.1007/978-3-319-42190-2_35" TargetMode="External"/><Relationship Id="rId1821" Type="http://schemas.openxmlformats.org/officeDocument/2006/relationships/hyperlink" Target="https://doi.org/10.1037/14797-010" TargetMode="External"/><Relationship Id="rId4977" Type="http://schemas.openxmlformats.org/officeDocument/2006/relationships/hyperlink" Target="https://doi.org/10.1080/13554794.2013.826682" TargetMode="External"/><Relationship Id="rId3579" Type="http://schemas.openxmlformats.org/officeDocument/2006/relationships/hyperlink" Target="https://doi.org/10.1176/appi.ps.57.8.1203" TargetMode="External"/><Relationship Id="rId2595" Type="http://schemas.openxmlformats.org/officeDocument/2006/relationships/hyperlink" Target="https://doi.org/10.1007/s004060070039" TargetMode="External"/><Relationship Id="rId3993" Type="http://schemas.openxmlformats.org/officeDocument/2006/relationships/hyperlink" Target="https://doi.org/10.1007/978-1-4614-5269-0_6" TargetMode="External"/><Relationship Id="rId6052" Type="http://schemas.openxmlformats.org/officeDocument/2006/relationships/hyperlink" Target="https://doi.org/10.1093/schbul/sbu125" TargetMode="External"/><Relationship Id="rId567" Type="http://schemas.openxmlformats.org/officeDocument/2006/relationships/hyperlink" Target="https://doi.org/10.1186/1471-2377-11-151" TargetMode="External"/><Relationship Id="rId1197" Type="http://schemas.openxmlformats.org/officeDocument/2006/relationships/hyperlink" Target="https://doi.org/10.1037/neu0000480" TargetMode="External"/><Relationship Id="rId2248" Type="http://schemas.openxmlformats.org/officeDocument/2006/relationships/hyperlink" Target="https://doi.org/10.1080/13803395.2014.941790" TargetMode="External"/><Relationship Id="rId3646" Type="http://schemas.openxmlformats.org/officeDocument/2006/relationships/hyperlink" Target="https://doi.org/10.1111/j.1532-5415.2010.03186.x" TargetMode="External"/><Relationship Id="rId981" Type="http://schemas.openxmlformats.org/officeDocument/2006/relationships/hyperlink" Target="https://doi.org/10.1007/s10803-004-5287-x" TargetMode="External"/><Relationship Id="rId2662" Type="http://schemas.openxmlformats.org/officeDocument/2006/relationships/hyperlink" Target="https://doi.org/10.1093/schbul/sbq057" TargetMode="External"/><Relationship Id="rId3713" Type="http://schemas.openxmlformats.org/officeDocument/2006/relationships/hyperlink" Target="https://doi.org/10.1002/gps.3801" TargetMode="External"/><Relationship Id="rId634" Type="http://schemas.openxmlformats.org/officeDocument/2006/relationships/hyperlink" Target="https://doi.org/10.1037/14091-011" TargetMode="External"/><Relationship Id="rId1264" Type="http://schemas.openxmlformats.org/officeDocument/2006/relationships/hyperlink" Target="https://doi.org/10.1111/j.1521-0391.2010.00097.x" TargetMode="External"/><Relationship Id="rId2315" Type="http://schemas.openxmlformats.org/officeDocument/2006/relationships/hyperlink" Target="https://doi.org/10.1111/1556-4029.12908" TargetMode="External"/><Relationship Id="rId5885" Type="http://schemas.openxmlformats.org/officeDocument/2006/relationships/hyperlink" Target="https://doi.org/10.1016/j.comppsych.2011.03.007" TargetMode="External"/><Relationship Id="rId701" Type="http://schemas.openxmlformats.org/officeDocument/2006/relationships/hyperlink" Target="https://doi.org/10.1159/000322140" TargetMode="External"/><Relationship Id="rId1331" Type="http://schemas.openxmlformats.org/officeDocument/2006/relationships/hyperlink" Target="https://doi.org/10.1176/appi.ps.55.4.434" TargetMode="External"/><Relationship Id="rId4487" Type="http://schemas.openxmlformats.org/officeDocument/2006/relationships/hyperlink" Target="https://doi.org/10.1037/dev0000234" TargetMode="External"/><Relationship Id="rId5538" Type="http://schemas.openxmlformats.org/officeDocument/2006/relationships/hyperlink" Target="https://doi.org/10.1080/092970490959629" TargetMode="External"/><Relationship Id="rId5952" Type="http://schemas.openxmlformats.org/officeDocument/2006/relationships/hyperlink" Target="https://doi.org/10.3109/02699052.2013.823561" TargetMode="External"/><Relationship Id="rId3089" Type="http://schemas.openxmlformats.org/officeDocument/2006/relationships/hyperlink" Target="https://doi.org/10.1007/s10608-019-10032-z" TargetMode="External"/><Relationship Id="rId4554" Type="http://schemas.openxmlformats.org/officeDocument/2006/relationships/hyperlink" Target="https://doi.org/10.1586/ern.11.82" TargetMode="External"/><Relationship Id="rId5605" Type="http://schemas.openxmlformats.org/officeDocument/2006/relationships/hyperlink" Target="https://doi.org/10.1080/02699050701311042" TargetMode="External"/><Relationship Id="rId3156" Type="http://schemas.openxmlformats.org/officeDocument/2006/relationships/hyperlink" Target="https://doi.org/10.1016/j.sleep.2015.06.017" TargetMode="External"/><Relationship Id="rId4207" Type="http://schemas.openxmlformats.org/officeDocument/2006/relationships/hyperlink" Target="https://doi.org/10.1037/tra0000356" TargetMode="External"/><Relationship Id="rId491" Type="http://schemas.openxmlformats.org/officeDocument/2006/relationships/hyperlink" Target="https://doi.org/10.1016/j.psychres.2017.12.032" TargetMode="External"/><Relationship Id="rId2172" Type="http://schemas.openxmlformats.org/officeDocument/2006/relationships/hyperlink" Target="https://doi.org/10.1002/gps.2635" TargetMode="External"/><Relationship Id="rId3223" Type="http://schemas.openxmlformats.org/officeDocument/2006/relationships/hyperlink" Target="https://doi.org/10.1037/0894-4105.22.5.596" TargetMode="External"/><Relationship Id="rId3570" Type="http://schemas.openxmlformats.org/officeDocument/2006/relationships/hyperlink" Target="https://doi.org/10.1075/intp.13.1.08mac" TargetMode="External"/><Relationship Id="rId4621" Type="http://schemas.openxmlformats.org/officeDocument/2006/relationships/hyperlink" Target="http://search.ebscohost.com/login.aspx?direct=true&amp;db=psyh&amp;AN=2012-25564-014&amp;site=ehost-live" TargetMode="External"/><Relationship Id="rId6379" Type="http://schemas.openxmlformats.org/officeDocument/2006/relationships/hyperlink" Target="https://doi.org/10.1016/j.jad.2011.11.029" TargetMode="External"/><Relationship Id="rId144" Type="http://schemas.openxmlformats.org/officeDocument/2006/relationships/hyperlink" Target="https://doi.org/10.1017/S1355617706060346" TargetMode="External"/><Relationship Id="rId2989" Type="http://schemas.openxmlformats.org/officeDocument/2006/relationships/hyperlink" Target="https://doi.org/10.1016/S0010-9452(08)70296-X" TargetMode="External"/><Relationship Id="rId5395" Type="http://schemas.openxmlformats.org/officeDocument/2006/relationships/hyperlink" Target="https://doi.org/10.1111/ejn.13532" TargetMode="External"/><Relationship Id="rId6446" Type="http://schemas.openxmlformats.org/officeDocument/2006/relationships/hyperlink" Target="https://doi.org/10.1177/0306624X08322373" TargetMode="External"/><Relationship Id="rId211" Type="http://schemas.openxmlformats.org/officeDocument/2006/relationships/hyperlink" Target="https://doi.org/10.1007/s11065-013-9236-3" TargetMode="External"/><Relationship Id="rId5048" Type="http://schemas.openxmlformats.org/officeDocument/2006/relationships/hyperlink" Target="https://doi.org/10.1176/appi.neuropsych.21.3.332" TargetMode="External"/><Relationship Id="rId5462" Type="http://schemas.openxmlformats.org/officeDocument/2006/relationships/hyperlink" Target="https://doi.org/10.1017/S1355617712000677" TargetMode="External"/><Relationship Id="rId6513" Type="http://schemas.openxmlformats.org/officeDocument/2006/relationships/hyperlink" Target="https://doi.org/10.1016/j.schres.2011.12.001" TargetMode="External"/><Relationship Id="rId1658" Type="http://schemas.openxmlformats.org/officeDocument/2006/relationships/hyperlink" Target="https://doi.org/10.1016/j.jneuroim.2016.08.003" TargetMode="External"/><Relationship Id="rId2709" Type="http://schemas.openxmlformats.org/officeDocument/2006/relationships/hyperlink" Target="https://doi.org/10.1016/j.yebeh.2005.01.012" TargetMode="External"/><Relationship Id="rId4064" Type="http://schemas.openxmlformats.org/officeDocument/2006/relationships/hyperlink" Target="https://doi.org/10.3109/13550281003767710" TargetMode="External"/><Relationship Id="rId5115" Type="http://schemas.openxmlformats.org/officeDocument/2006/relationships/hyperlink" Target="https://doi.org/10.1001/archpsyc.1994.03950020048005" TargetMode="External"/><Relationship Id="rId3080" Type="http://schemas.openxmlformats.org/officeDocument/2006/relationships/hyperlink" Target="https://doi.org/10.3389/fnhum.2014.00015" TargetMode="External"/><Relationship Id="rId4131" Type="http://schemas.openxmlformats.org/officeDocument/2006/relationships/hyperlink" Target="https://doi.org/10.1017/S1355617710000548" TargetMode="External"/><Relationship Id="rId1725" Type="http://schemas.openxmlformats.org/officeDocument/2006/relationships/hyperlink" Target="https://doi.org/10.1016/j.schres.2006.03.004" TargetMode="External"/><Relationship Id="rId17" Type="http://schemas.openxmlformats.org/officeDocument/2006/relationships/hyperlink" Target="https://doi.org/10.1080/13554790902911626" TargetMode="External"/><Relationship Id="rId3897" Type="http://schemas.openxmlformats.org/officeDocument/2006/relationships/hyperlink" Target="https://doi.org/10.1159/000151697" TargetMode="External"/><Relationship Id="rId4948" Type="http://schemas.openxmlformats.org/officeDocument/2006/relationships/hyperlink" Target="https://doi.org/10.1016/j.jns.2012.09.030" TargetMode="External"/><Relationship Id="rId2499" Type="http://schemas.openxmlformats.org/officeDocument/2006/relationships/hyperlink" Target="https://doi.org/10.1016/j.cogbrainres.2003.11.001" TargetMode="External"/><Relationship Id="rId3964" Type="http://schemas.openxmlformats.org/officeDocument/2006/relationships/hyperlink" Target="https://doi.org/10.1016/j.drugalcdep.2014.09.010" TargetMode="External"/><Relationship Id="rId6370" Type="http://schemas.openxmlformats.org/officeDocument/2006/relationships/hyperlink" Target="https://doi.org/10.1186/1744-9081-8-42" TargetMode="External"/><Relationship Id="rId1" Type="http://schemas.openxmlformats.org/officeDocument/2006/relationships/styles" Target="styles.xml"/><Relationship Id="rId885" Type="http://schemas.openxmlformats.org/officeDocument/2006/relationships/hyperlink" Target="https://doi.org/10.1111/jgs.15182" TargetMode="External"/><Relationship Id="rId2566" Type="http://schemas.openxmlformats.org/officeDocument/2006/relationships/hyperlink" Target="https://doi.org/10.1001/archneur.63.8.1090" TargetMode="External"/><Relationship Id="rId2980" Type="http://schemas.openxmlformats.org/officeDocument/2006/relationships/hyperlink" Target="https://doi.org/10.1007/s00213-010-1949-x" TargetMode="External"/><Relationship Id="rId3617" Type="http://schemas.openxmlformats.org/officeDocument/2006/relationships/hyperlink" Target="https://doi.org/10.1016/j.jns.2009.02.316" TargetMode="External"/><Relationship Id="rId6023" Type="http://schemas.openxmlformats.org/officeDocument/2006/relationships/hyperlink" Target="https://doi.org/10.1016/j.comppsych.2007.06.003" TargetMode="External"/><Relationship Id="rId538" Type="http://schemas.openxmlformats.org/officeDocument/2006/relationships/hyperlink" Target="https://doi.org/10.1016/j.jsmc.2009.01.002" TargetMode="External"/><Relationship Id="rId952" Type="http://schemas.openxmlformats.org/officeDocument/2006/relationships/hyperlink" Target="https://doi.org/10.1016/j.psychres.2010.06.009" TargetMode="External"/><Relationship Id="rId1168" Type="http://schemas.openxmlformats.org/officeDocument/2006/relationships/hyperlink" Target="https://doi.org/10.1080/01973533.2012.655989" TargetMode="External"/><Relationship Id="rId1582" Type="http://schemas.openxmlformats.org/officeDocument/2006/relationships/hyperlink" Target="https://doi.org/10.1007/s10803-013-1774-2" TargetMode="External"/><Relationship Id="rId2219" Type="http://schemas.openxmlformats.org/officeDocument/2006/relationships/hyperlink" Target="https://doi.org/10.1016/j.yebeh.2008.06.005" TargetMode="External"/><Relationship Id="rId2633" Type="http://schemas.openxmlformats.org/officeDocument/2006/relationships/hyperlink" Target="https://doi.org/10.1155/2000/764795" TargetMode="External"/><Relationship Id="rId5789" Type="http://schemas.openxmlformats.org/officeDocument/2006/relationships/hyperlink" Target="https://doi.org/10.1037/pag0000495" TargetMode="External"/><Relationship Id="rId605" Type="http://schemas.openxmlformats.org/officeDocument/2006/relationships/hyperlink" Target="https://doi.org/10.1080/09602011.2015.1113996" TargetMode="External"/><Relationship Id="rId1235" Type="http://schemas.openxmlformats.org/officeDocument/2006/relationships/hyperlink" Target="https://doi.org/10.1590/1678-7153.201427315" TargetMode="External"/><Relationship Id="rId1302" Type="http://schemas.openxmlformats.org/officeDocument/2006/relationships/hyperlink" Target="https://doi.org/10.1093/arclin/act073" TargetMode="External"/><Relationship Id="rId2700" Type="http://schemas.openxmlformats.org/officeDocument/2006/relationships/hyperlink" Target="https://doi.org/10.3109/02699052.2011.635352" TargetMode="External"/><Relationship Id="rId4458" Type="http://schemas.openxmlformats.org/officeDocument/2006/relationships/hyperlink" Target="https://doi.org/10.1002/gps.1803" TargetMode="External"/><Relationship Id="rId5856" Type="http://schemas.openxmlformats.org/officeDocument/2006/relationships/hyperlink" Target="https://doi.org/10.1016/j.neuropsychologia.2011.10.009" TargetMode="External"/><Relationship Id="rId4872" Type="http://schemas.openxmlformats.org/officeDocument/2006/relationships/hyperlink" Target="https://doi.org/10.1111/j.1440-1819.2005.01411.x" TargetMode="External"/><Relationship Id="rId5509" Type="http://schemas.openxmlformats.org/officeDocument/2006/relationships/hyperlink" Target="https://doi.org/10.3389/fpsyg.2013.00342" TargetMode="External"/><Relationship Id="rId5923" Type="http://schemas.openxmlformats.org/officeDocument/2006/relationships/hyperlink" Target="https://doi.org/10.1007/s00406-006-0651-9" TargetMode="External"/><Relationship Id="rId395" Type="http://schemas.openxmlformats.org/officeDocument/2006/relationships/hyperlink" Target="https://doi.org/10.1162/jocn.2006.18.6.871" TargetMode="External"/><Relationship Id="rId2076" Type="http://schemas.openxmlformats.org/officeDocument/2006/relationships/hyperlink" Target="https://doi.org/10.1016/j.jad.2016.10.032" TargetMode="External"/><Relationship Id="rId3474" Type="http://schemas.openxmlformats.org/officeDocument/2006/relationships/hyperlink" Target="https://doi.org/10.1007/s00406-019-01050-9" TargetMode="External"/><Relationship Id="rId4525" Type="http://schemas.openxmlformats.org/officeDocument/2006/relationships/hyperlink" Target="https://doi.org/10.1037/neu0000045" TargetMode="External"/><Relationship Id="rId2490" Type="http://schemas.openxmlformats.org/officeDocument/2006/relationships/hyperlink" Target="https://doi.org/10.1176/appi.neuropsych.23.2.206" TargetMode="External"/><Relationship Id="rId3127" Type="http://schemas.openxmlformats.org/officeDocument/2006/relationships/hyperlink" Target="https://doi.org/10.1093/brain/119.6.2121" TargetMode="External"/><Relationship Id="rId3541" Type="http://schemas.openxmlformats.org/officeDocument/2006/relationships/hyperlink" Target="https://doi.org/10.1097/00005053-200002000-00003" TargetMode="External"/><Relationship Id="rId462" Type="http://schemas.openxmlformats.org/officeDocument/2006/relationships/hyperlink" Target="https://doi.org/10.1186/s12888-020-02751-5" TargetMode="External"/><Relationship Id="rId1092" Type="http://schemas.openxmlformats.org/officeDocument/2006/relationships/hyperlink" Target="https://doi.org/10.1007/s10072-015-2380-1" TargetMode="External"/><Relationship Id="rId2143" Type="http://schemas.openxmlformats.org/officeDocument/2006/relationships/hyperlink" Target="https://doi.org/10.15689/AP.2017.1602.09" TargetMode="External"/><Relationship Id="rId5299" Type="http://schemas.openxmlformats.org/officeDocument/2006/relationships/hyperlink" Target="https://doi.org/10.1016/j.pscychresns.2009.07.003" TargetMode="External"/><Relationship Id="rId115" Type="http://schemas.openxmlformats.org/officeDocument/2006/relationships/hyperlink" Target="https://doi.org/10.1503/jpn.090095" TargetMode="External"/><Relationship Id="rId2210" Type="http://schemas.openxmlformats.org/officeDocument/2006/relationships/hyperlink" Target="https://doi.org/10.1016/0887-6177(94)00046-S" TargetMode="External"/><Relationship Id="rId5366" Type="http://schemas.openxmlformats.org/officeDocument/2006/relationships/hyperlink" Target="https://doi.org/10.15288/jsad.2010.71.335" TargetMode="External"/><Relationship Id="rId6417" Type="http://schemas.openxmlformats.org/officeDocument/2006/relationships/hyperlink" Target="https://doi.org/10.1080/23279095.2016.1185425" TargetMode="External"/><Relationship Id="rId4382" Type="http://schemas.openxmlformats.org/officeDocument/2006/relationships/hyperlink" Target="https://doi.org/10.1093/brain/awq148" TargetMode="External"/><Relationship Id="rId5019" Type="http://schemas.openxmlformats.org/officeDocument/2006/relationships/hyperlink" Target="https://doi.org/10.1016/j.pscychresns.2004.05.005" TargetMode="External"/><Relationship Id="rId5433" Type="http://schemas.openxmlformats.org/officeDocument/2006/relationships/hyperlink" Target="https://doi.org/10.1016/j.jad.2011.06.024" TargetMode="External"/><Relationship Id="rId5780" Type="http://schemas.openxmlformats.org/officeDocument/2006/relationships/hyperlink" Target="https://doi.org/10.1093/schbul/sbi009" TargetMode="External"/><Relationship Id="rId1976" Type="http://schemas.openxmlformats.org/officeDocument/2006/relationships/hyperlink" Target="https://doi.org/10.1097/00005053-199812000-00006" TargetMode="External"/><Relationship Id="rId4035" Type="http://schemas.openxmlformats.org/officeDocument/2006/relationships/hyperlink" Target="https://doi.org/10.1080/13854049308401893" TargetMode="External"/><Relationship Id="rId1629" Type="http://schemas.openxmlformats.org/officeDocument/2006/relationships/hyperlink" Target="https://doi.org/10.1037/0894-4105.22.5.626" TargetMode="External"/><Relationship Id="rId5500" Type="http://schemas.openxmlformats.org/officeDocument/2006/relationships/hyperlink" Target="https://doi.org/10.1097/NMD.0000000000000920" TargetMode="External"/><Relationship Id="rId3051" Type="http://schemas.openxmlformats.org/officeDocument/2006/relationships/hyperlink" Target="https://doi.org/10.1017/S1355617711000361" TargetMode="External"/><Relationship Id="rId4102" Type="http://schemas.openxmlformats.org/officeDocument/2006/relationships/hyperlink" Target="https://doi.org/10.1017/S0033291705006835" TargetMode="External"/><Relationship Id="rId3868" Type="http://schemas.openxmlformats.org/officeDocument/2006/relationships/hyperlink" Target="https://doi.org/10.1080/13803395.2018.1508555" TargetMode="External"/><Relationship Id="rId4919" Type="http://schemas.openxmlformats.org/officeDocument/2006/relationships/hyperlink" Target="https://doi.org/10.1016/j.acn.2007.01.026" TargetMode="External"/><Relationship Id="rId6274" Type="http://schemas.openxmlformats.org/officeDocument/2006/relationships/hyperlink" Target="https://doi.org/10.1007/s10803-012-1703-9" TargetMode="External"/><Relationship Id="rId789" Type="http://schemas.openxmlformats.org/officeDocument/2006/relationships/hyperlink" Target="https://doi.org/10.1176/appi.neuropsych.23.2.173" TargetMode="External"/><Relationship Id="rId2884" Type="http://schemas.openxmlformats.org/officeDocument/2006/relationships/hyperlink" Target="https://doi.org/10.1016/j.yebeh.2016.07.030" TargetMode="External"/><Relationship Id="rId5290" Type="http://schemas.openxmlformats.org/officeDocument/2006/relationships/hyperlink" Target="https://doi.org/10.1080/17470218.2012.670252" TargetMode="External"/><Relationship Id="rId6341" Type="http://schemas.openxmlformats.org/officeDocument/2006/relationships/hyperlink" Target="https://doi.org/10.1080/13803390490509565" TargetMode="External"/><Relationship Id="rId856" Type="http://schemas.openxmlformats.org/officeDocument/2006/relationships/hyperlink" Target="https://doi.org/10.1080/13803390490510031" TargetMode="External"/><Relationship Id="rId1486" Type="http://schemas.openxmlformats.org/officeDocument/2006/relationships/hyperlink" Target="https://doi.org/10.1080/13803395.2010.533158" TargetMode="External"/><Relationship Id="rId2537" Type="http://schemas.openxmlformats.org/officeDocument/2006/relationships/hyperlink" Target="https://doi.org/10.1016/j.schres.2013.06.018" TargetMode="External"/><Relationship Id="rId3935" Type="http://schemas.openxmlformats.org/officeDocument/2006/relationships/hyperlink" Target="https://doi.org/10.1097/WNR.0b013e328354b066" TargetMode="External"/><Relationship Id="rId509" Type="http://schemas.openxmlformats.org/officeDocument/2006/relationships/hyperlink" Target="https://doi.org/10.1080/13803390500473720" TargetMode="External"/><Relationship Id="rId1139" Type="http://schemas.openxmlformats.org/officeDocument/2006/relationships/hyperlink" Target="https://doi.org/10.1521/jscp.2018.37.7.481" TargetMode="External"/><Relationship Id="rId2951" Type="http://schemas.openxmlformats.org/officeDocument/2006/relationships/hyperlink" Target="https://doi.org/10.1016/j.jad.2015.01.060" TargetMode="External"/><Relationship Id="rId5010" Type="http://schemas.openxmlformats.org/officeDocument/2006/relationships/hyperlink" Target="https://doi.org/10.1016/j.jpsychires.2019.10.015" TargetMode="External"/><Relationship Id="rId923" Type="http://schemas.openxmlformats.org/officeDocument/2006/relationships/hyperlink" Target="https://doi.org/10.1016/j.neuroimage.2011.03.026" TargetMode="External"/><Relationship Id="rId1553" Type="http://schemas.openxmlformats.org/officeDocument/2006/relationships/hyperlink" Target="https://doi.org/10.1212/01.WNL.0000165977.38272.15" TargetMode="External"/><Relationship Id="rId2604" Type="http://schemas.openxmlformats.org/officeDocument/2006/relationships/hyperlink" Target="https://doi.org/10.1111/jnp.12040" TargetMode="External"/><Relationship Id="rId1206" Type="http://schemas.openxmlformats.org/officeDocument/2006/relationships/hyperlink" Target="https://doi.org/10.1007/978-3-319-93497-6_38" TargetMode="External"/><Relationship Id="rId1620" Type="http://schemas.openxmlformats.org/officeDocument/2006/relationships/hyperlink" Target="https://doi.org/10.1016/j.psychres.2014.11.040" TargetMode="External"/><Relationship Id="rId4776" Type="http://schemas.openxmlformats.org/officeDocument/2006/relationships/hyperlink" Target="https://doi.org/10.1037/0882-7974.19.3.482" TargetMode="External"/><Relationship Id="rId5827" Type="http://schemas.openxmlformats.org/officeDocument/2006/relationships/hyperlink" Target="https://doi.org/10.1016/S0165-1781(02)00236-6" TargetMode="External"/><Relationship Id="rId3378" Type="http://schemas.openxmlformats.org/officeDocument/2006/relationships/hyperlink" Target="https://doi.org/10.1162/jocn.2007.19.10.1624" TargetMode="External"/><Relationship Id="rId3792" Type="http://schemas.openxmlformats.org/officeDocument/2006/relationships/hyperlink" Target="https://doi.org/10.1212/WNL.0b013e3182a55f05" TargetMode="External"/><Relationship Id="rId4429" Type="http://schemas.openxmlformats.org/officeDocument/2006/relationships/hyperlink" Target="https://doi.org/10.1080/13607863.2015.1033680" TargetMode="External"/><Relationship Id="rId4843" Type="http://schemas.openxmlformats.org/officeDocument/2006/relationships/hyperlink" Target="https://doi.org/10.1016/j.comppsych.2004.09.001" TargetMode="External"/><Relationship Id="rId299" Type="http://schemas.openxmlformats.org/officeDocument/2006/relationships/hyperlink" Target="https://doi.org/10.1097/HTR.0b013e3181d6c715" TargetMode="External"/><Relationship Id="rId2394" Type="http://schemas.openxmlformats.org/officeDocument/2006/relationships/hyperlink" Target="https://doi.org/10.1093/schbul/sbx080" TargetMode="External"/><Relationship Id="rId3445" Type="http://schemas.openxmlformats.org/officeDocument/2006/relationships/hyperlink" Target="https://doi.org/10.1093/alcalc/agq065" TargetMode="External"/><Relationship Id="rId366" Type="http://schemas.openxmlformats.org/officeDocument/2006/relationships/hyperlink" Target="https://doi.org/10.1007/978-3-319-93497-6_37" TargetMode="External"/><Relationship Id="rId780" Type="http://schemas.openxmlformats.org/officeDocument/2006/relationships/hyperlink" Target="https://doi.org/10.1016/j.neuroimage.2011.01.002" TargetMode="External"/><Relationship Id="rId2047" Type="http://schemas.openxmlformats.org/officeDocument/2006/relationships/hyperlink" Target="https://doi.org/10.4088/JCP.10m06410" TargetMode="External"/><Relationship Id="rId2461" Type="http://schemas.openxmlformats.org/officeDocument/2006/relationships/hyperlink" Target="https://doi.org/10.1080/02687038.2015.1010474" TargetMode="External"/><Relationship Id="rId3512" Type="http://schemas.openxmlformats.org/officeDocument/2006/relationships/hyperlink" Target="https://doi.org/10.1016/0165-1781(94)02641-U" TargetMode="External"/><Relationship Id="rId4910" Type="http://schemas.openxmlformats.org/officeDocument/2006/relationships/hyperlink" Target="https://doi.org/10.1017/CBO9781139016919.019" TargetMode="External"/><Relationship Id="rId433" Type="http://schemas.openxmlformats.org/officeDocument/2006/relationships/hyperlink" Target="https://doi.org/10.1016/j.psychres.2017.08.029" TargetMode="External"/><Relationship Id="rId1063" Type="http://schemas.openxmlformats.org/officeDocument/2006/relationships/hyperlink" Target="https://doi.org/10.1097/NMD.0000000000000747" TargetMode="External"/><Relationship Id="rId2114" Type="http://schemas.openxmlformats.org/officeDocument/2006/relationships/hyperlink" Target="https://doi.org/10.1016/S0278-2626(03)00269-0" TargetMode="External"/><Relationship Id="rId4286" Type="http://schemas.openxmlformats.org/officeDocument/2006/relationships/hyperlink" Target="https://doi.org/10.1080/13803391003662694" TargetMode="External"/><Relationship Id="rId5684" Type="http://schemas.openxmlformats.org/officeDocument/2006/relationships/hyperlink" Target="https://doi.org/10.1176/appi.neuropsych.12040093" TargetMode="External"/><Relationship Id="rId500" Type="http://schemas.openxmlformats.org/officeDocument/2006/relationships/hyperlink" Target="https://doi.org/10.1177/1087054714557357" TargetMode="External"/><Relationship Id="rId1130" Type="http://schemas.openxmlformats.org/officeDocument/2006/relationships/hyperlink" Target="https://doi.org/10.1080/13803395.2014.971718" TargetMode="External"/><Relationship Id="rId5337" Type="http://schemas.openxmlformats.org/officeDocument/2006/relationships/hyperlink" Target="https://doi.org/10.1093/arclin/acq101" TargetMode="External"/><Relationship Id="rId5751" Type="http://schemas.openxmlformats.org/officeDocument/2006/relationships/hyperlink" Target="https://doi.org/10.1080/13854040590967540" TargetMode="External"/><Relationship Id="rId1947" Type="http://schemas.openxmlformats.org/officeDocument/2006/relationships/hyperlink" Target="https://doi.org/10.1080/21622965.2016.1229406" TargetMode="External"/><Relationship Id="rId4353" Type="http://schemas.openxmlformats.org/officeDocument/2006/relationships/hyperlink" Target="https://doi.org/10.1080/01688639608408310" TargetMode="External"/><Relationship Id="rId5404" Type="http://schemas.openxmlformats.org/officeDocument/2006/relationships/hyperlink" Target="https://doi.org/10.1348/000712608X382094" TargetMode="External"/><Relationship Id="rId4006" Type="http://schemas.openxmlformats.org/officeDocument/2006/relationships/hyperlink" Target="https://doi.org/10.1017/CBO9781316026625.013" TargetMode="External"/><Relationship Id="rId4420" Type="http://schemas.openxmlformats.org/officeDocument/2006/relationships/hyperlink" Target="https://doi.org/10.1111/j.1468-1331.2011.03465.x" TargetMode="External"/><Relationship Id="rId290" Type="http://schemas.openxmlformats.org/officeDocument/2006/relationships/hyperlink" Target="https://doi.org/10.1016/j.bandl.2015.12.002" TargetMode="External"/><Relationship Id="rId3022" Type="http://schemas.openxmlformats.org/officeDocument/2006/relationships/hyperlink" Target="https://doi.org/10.1016/j.acn.2007.10.006" TargetMode="External"/><Relationship Id="rId6178" Type="http://schemas.openxmlformats.org/officeDocument/2006/relationships/hyperlink" Target="https://doi.org/10.1016/j.neubiorev.2011.05.003" TargetMode="External"/><Relationship Id="rId5194" Type="http://schemas.openxmlformats.org/officeDocument/2006/relationships/hyperlink" Target="https://doi.org/10.1017/S1355617703960061" TargetMode="External"/><Relationship Id="rId6245" Type="http://schemas.openxmlformats.org/officeDocument/2006/relationships/hyperlink" Target="https://doi.org/10.1016/j.biopsych.2006.01.002" TargetMode="External"/><Relationship Id="rId2788" Type="http://schemas.openxmlformats.org/officeDocument/2006/relationships/hyperlink" Target="https://doi.org/10.15388/Psichol.2016.53.10029" TargetMode="External"/><Relationship Id="rId3839" Type="http://schemas.openxmlformats.org/officeDocument/2006/relationships/hyperlink" Target="https://doi.org/10.1016/j.ajp.2013.02.001" TargetMode="External"/><Relationship Id="rId2855" Type="http://schemas.openxmlformats.org/officeDocument/2006/relationships/hyperlink" Target="https://doi.org/10.1097/01.wnr.0000221828.10846.ba" TargetMode="External"/><Relationship Id="rId3906" Type="http://schemas.openxmlformats.org/officeDocument/2006/relationships/hyperlink" Target="https://doi.org/10.1093/brain/awq055" TargetMode="External"/><Relationship Id="rId5261" Type="http://schemas.openxmlformats.org/officeDocument/2006/relationships/hyperlink" Target="https://doi.org/10.3233/JAD-170861" TargetMode="External"/><Relationship Id="rId6312" Type="http://schemas.openxmlformats.org/officeDocument/2006/relationships/hyperlink" Target="https://doi.org/10.1055/s-0033-1349595" TargetMode="External"/><Relationship Id="rId96" Type="http://schemas.openxmlformats.org/officeDocument/2006/relationships/hyperlink" Target="https://doi.org/10.1037/a0018159" TargetMode="External"/><Relationship Id="rId827" Type="http://schemas.openxmlformats.org/officeDocument/2006/relationships/hyperlink" Target="https://doi.org/10.1016/j.lindif.2015.07.004" TargetMode="External"/><Relationship Id="rId1457" Type="http://schemas.openxmlformats.org/officeDocument/2006/relationships/hyperlink" Target="https://doi.org/10.1080/0361073X.2018.1560108" TargetMode="External"/><Relationship Id="rId1871" Type="http://schemas.openxmlformats.org/officeDocument/2006/relationships/hyperlink" Target="https://doi.org/10.1016/j.smrv.2011.03.008" TargetMode="External"/><Relationship Id="rId2508" Type="http://schemas.openxmlformats.org/officeDocument/2006/relationships/hyperlink" Target="https://doi.org/10.1055/s-2007-958520" TargetMode="External"/><Relationship Id="rId2922" Type="http://schemas.openxmlformats.org/officeDocument/2006/relationships/hyperlink" Target="https://doi.org/10.1080/09602011.2011.578446" TargetMode="External"/><Relationship Id="rId1524" Type="http://schemas.openxmlformats.org/officeDocument/2006/relationships/hyperlink" Target="https://doi.org/10.1017/S0033291717001982" TargetMode="External"/><Relationship Id="rId3696" Type="http://schemas.openxmlformats.org/officeDocument/2006/relationships/hyperlink" Target="https://doi.org/10.1159/000086320" TargetMode="External"/><Relationship Id="rId4747" Type="http://schemas.openxmlformats.org/officeDocument/2006/relationships/hyperlink" Target="https://doi.org/10.1002/gps.4956" TargetMode="External"/><Relationship Id="rId2298" Type="http://schemas.openxmlformats.org/officeDocument/2006/relationships/hyperlink" Target="https://doi.org/10.1111/pcn.12491" TargetMode="External"/><Relationship Id="rId3349" Type="http://schemas.openxmlformats.org/officeDocument/2006/relationships/hyperlink" Target="https://doi.org/10.1016/j.neuroimage.2009.11.021" TargetMode="External"/><Relationship Id="rId684" Type="http://schemas.openxmlformats.org/officeDocument/2006/relationships/hyperlink" Target="https://doi.org/10.1016/j.jad.2010.07.032" TargetMode="External"/><Relationship Id="rId2365" Type="http://schemas.openxmlformats.org/officeDocument/2006/relationships/hyperlink" Target="https://doi.org/10.1002/gps.929" TargetMode="External"/><Relationship Id="rId3763" Type="http://schemas.openxmlformats.org/officeDocument/2006/relationships/hyperlink" Target="https://doi.org/10.1017/S1355617703960012" TargetMode="External"/><Relationship Id="rId4814" Type="http://schemas.openxmlformats.org/officeDocument/2006/relationships/hyperlink" Target="https://doi.org/10.1007/978-1-4757-4860-4_14" TargetMode="External"/><Relationship Id="rId337" Type="http://schemas.openxmlformats.org/officeDocument/2006/relationships/hyperlink" Target="https://doi.org/10.1016/j.ijchp.2017.05.001" TargetMode="External"/><Relationship Id="rId2018" Type="http://schemas.openxmlformats.org/officeDocument/2006/relationships/hyperlink" Target="https://doi.org/10.1080/13554791003730618" TargetMode="External"/><Relationship Id="rId3416" Type="http://schemas.openxmlformats.org/officeDocument/2006/relationships/hyperlink" Target="https://doi.org/10.1212/01.wnl.0000174437.73416.7b" TargetMode="External"/><Relationship Id="rId3830" Type="http://schemas.openxmlformats.org/officeDocument/2006/relationships/hyperlink" Target="https://doi.org/10.1016/B978-0-12-800778-5.00011-6" TargetMode="External"/><Relationship Id="rId751" Type="http://schemas.openxmlformats.org/officeDocument/2006/relationships/hyperlink" Target="https://doi.org/10.1016/j.euroneuro.2010.10.007" TargetMode="External"/><Relationship Id="rId1381" Type="http://schemas.openxmlformats.org/officeDocument/2006/relationships/hyperlink" Target="https://doi.org/10.1016/j.neuropsychologia.2010.01.027" TargetMode="External"/><Relationship Id="rId2432" Type="http://schemas.openxmlformats.org/officeDocument/2006/relationships/hyperlink" Target="https://doi.org/10.1016/j.neuropsychologia.2005.10.006" TargetMode="External"/><Relationship Id="rId5588" Type="http://schemas.openxmlformats.org/officeDocument/2006/relationships/hyperlink" Target="https://doi.org/10.1080/13854046.2011.609839" TargetMode="External"/><Relationship Id="rId404" Type="http://schemas.openxmlformats.org/officeDocument/2006/relationships/hyperlink" Target="https://doi.org/10.1016/j.amp.2009.03.020" TargetMode="External"/><Relationship Id="rId1034" Type="http://schemas.openxmlformats.org/officeDocument/2006/relationships/hyperlink" Target="https://doi.org/10.1016/j.addbeh.2019.06.012" TargetMode="External"/><Relationship Id="rId5655" Type="http://schemas.openxmlformats.org/officeDocument/2006/relationships/hyperlink" Target="https://doi.org/10.12740/APP/31318" TargetMode="External"/><Relationship Id="rId1101" Type="http://schemas.openxmlformats.org/officeDocument/2006/relationships/hyperlink" Target="https://doi.org/10.1080/09658210143000399" TargetMode="External"/><Relationship Id="rId4257" Type="http://schemas.openxmlformats.org/officeDocument/2006/relationships/hyperlink" Target="https://doi.org/10.1038/385634a0" TargetMode="External"/><Relationship Id="rId4671" Type="http://schemas.openxmlformats.org/officeDocument/2006/relationships/hyperlink" Target="https://doi.org/10.1037/1040-3590.7.1.25" TargetMode="External"/><Relationship Id="rId5308" Type="http://schemas.openxmlformats.org/officeDocument/2006/relationships/hyperlink" Target="https://doi.org/10.1076/jcen.25.4.512.13877" TargetMode="External"/><Relationship Id="rId5722" Type="http://schemas.openxmlformats.org/officeDocument/2006/relationships/hyperlink" Target="https://doi.org/10.1111/j.1521-0391.2011.00137.x" TargetMode="External"/><Relationship Id="rId3273" Type="http://schemas.openxmlformats.org/officeDocument/2006/relationships/hyperlink" Target="https://doi.org/10.1016/j.addbeh.2020.106351" TargetMode="External"/><Relationship Id="rId4324" Type="http://schemas.openxmlformats.org/officeDocument/2006/relationships/hyperlink" Target="https://doi.org/10.1080/13803395.2010.533157" TargetMode="External"/><Relationship Id="rId194" Type="http://schemas.openxmlformats.org/officeDocument/2006/relationships/hyperlink" Target="https://doi.org/10.1097/HTR.0b013e318289ede5" TargetMode="External"/><Relationship Id="rId1918" Type="http://schemas.openxmlformats.org/officeDocument/2006/relationships/hyperlink" Target="https://doi.org/10.1037/0894-4105.11.3.428" TargetMode="External"/><Relationship Id="rId6496" Type="http://schemas.openxmlformats.org/officeDocument/2006/relationships/hyperlink" Target="https://doi.org/10.1038/npp.2010.95" TargetMode="External"/><Relationship Id="rId261" Type="http://schemas.openxmlformats.org/officeDocument/2006/relationships/hyperlink" Target="https://doi.org/10.1016/j.neuropsychologia.2011.02.032" TargetMode="External"/><Relationship Id="rId3340" Type="http://schemas.openxmlformats.org/officeDocument/2006/relationships/hyperlink" Target="https://doi.org/10.2975/26.2003.325.331" TargetMode="External"/><Relationship Id="rId5098" Type="http://schemas.openxmlformats.org/officeDocument/2006/relationships/hyperlink" Target="https://doi.org/10.1016/j.jns.2005.07.016" TargetMode="External"/><Relationship Id="rId6149" Type="http://schemas.openxmlformats.org/officeDocument/2006/relationships/hyperlink" Target="https://doi.org/10.1212/WNL.0b013e318202010a" TargetMode="External"/><Relationship Id="rId2759" Type="http://schemas.openxmlformats.org/officeDocument/2006/relationships/hyperlink" Target="https://doi.org/10.1016/j.yebeh.2011.06.039" TargetMode="External"/><Relationship Id="rId5165" Type="http://schemas.openxmlformats.org/officeDocument/2006/relationships/hyperlink" Target="https://doi.org/10.1016/j.bandl.2005.01.007" TargetMode="External"/><Relationship Id="rId6216" Type="http://schemas.openxmlformats.org/officeDocument/2006/relationships/hyperlink" Target="https://doi.org/10.1212/WNL.0000000000000315" TargetMode="External"/><Relationship Id="rId1775" Type="http://schemas.openxmlformats.org/officeDocument/2006/relationships/hyperlink" Target="https://doi.org/10.1080/13803395.2014.943696" TargetMode="External"/><Relationship Id="rId2826" Type="http://schemas.openxmlformats.org/officeDocument/2006/relationships/hyperlink" Target="https://doi.org/10.1177/1087054708314605" TargetMode="External"/><Relationship Id="rId4181" Type="http://schemas.openxmlformats.org/officeDocument/2006/relationships/hyperlink" Target="https://doi.org/10.1016/S0022-3956(01)00014-0" TargetMode="External"/><Relationship Id="rId5232" Type="http://schemas.openxmlformats.org/officeDocument/2006/relationships/hyperlink" Target="https://doi.org/10.1212/01.wnl.0000319702.37497.72" TargetMode="External"/><Relationship Id="rId67" Type="http://schemas.openxmlformats.org/officeDocument/2006/relationships/hyperlink" Target="https://doi.org/10.3109/10582452.2013.806977" TargetMode="External"/><Relationship Id="rId1428" Type="http://schemas.openxmlformats.org/officeDocument/2006/relationships/hyperlink" Target="https://doi.org/10.1016/j.pscychresns.2015.06.003" TargetMode="External"/><Relationship Id="rId1842" Type="http://schemas.openxmlformats.org/officeDocument/2006/relationships/hyperlink" Target="https://doi.org/10.1016/j.pscychresns.2006.09.001" TargetMode="External"/><Relationship Id="rId4998" Type="http://schemas.openxmlformats.org/officeDocument/2006/relationships/hyperlink" Target="https://doi.org/10.1038/sj.mp.4001765" TargetMode="External"/><Relationship Id="rId6073" Type="http://schemas.openxmlformats.org/officeDocument/2006/relationships/hyperlink" Target="https://doi.org/10.1007/s10803-006-0074-5" TargetMode="External"/><Relationship Id="rId3667" Type="http://schemas.openxmlformats.org/officeDocument/2006/relationships/hyperlink" Target="https://doi.org/10.3758/s13415-011-0058-6" TargetMode="External"/><Relationship Id="rId4718" Type="http://schemas.openxmlformats.org/officeDocument/2006/relationships/hyperlink" Target="https://doi.org/10.1503/jpn.140191" TargetMode="External"/><Relationship Id="rId588" Type="http://schemas.openxmlformats.org/officeDocument/2006/relationships/hyperlink" Target="https://doi.org/10.1037/prj0000414" TargetMode="External"/><Relationship Id="rId2269" Type="http://schemas.openxmlformats.org/officeDocument/2006/relationships/hyperlink" Target="https://doi.org/10.1080/13854046.2011.585142" TargetMode="External"/><Relationship Id="rId2683" Type="http://schemas.openxmlformats.org/officeDocument/2006/relationships/hyperlink" Target="https://doi.org/10.1023/A:1017593423538" TargetMode="External"/><Relationship Id="rId3734" Type="http://schemas.openxmlformats.org/officeDocument/2006/relationships/hyperlink" Target="https://doi.org/10.1080/13854040601100668" TargetMode="External"/><Relationship Id="rId6140" Type="http://schemas.openxmlformats.org/officeDocument/2006/relationships/hyperlink" Target="https://doi.org/10.1177/009318530903700412" TargetMode="External"/><Relationship Id="rId655" Type="http://schemas.openxmlformats.org/officeDocument/2006/relationships/hyperlink" Target="https://doi.org/10.1176/appi.ajp.163.3.418" TargetMode="External"/><Relationship Id="rId1285" Type="http://schemas.openxmlformats.org/officeDocument/2006/relationships/hyperlink" Target="https://doi.org/10.1590/S1516-44462011000100016" TargetMode="External"/><Relationship Id="rId2336" Type="http://schemas.openxmlformats.org/officeDocument/2006/relationships/hyperlink" Target="https://doi.org/10.1111/j.1521-0391.2014.12124.x" TargetMode="External"/><Relationship Id="rId2750" Type="http://schemas.openxmlformats.org/officeDocument/2006/relationships/hyperlink" Target="https://doi.org/10.1186/1744-859X-12-14" TargetMode="External"/><Relationship Id="rId3801" Type="http://schemas.openxmlformats.org/officeDocument/2006/relationships/hyperlink" Target="https://doi.org/10.1037/a0034656" TargetMode="External"/><Relationship Id="rId308" Type="http://schemas.openxmlformats.org/officeDocument/2006/relationships/hyperlink" Target="https://doi.org/10.1017/S1138741600005680" TargetMode="External"/><Relationship Id="rId722" Type="http://schemas.openxmlformats.org/officeDocument/2006/relationships/hyperlink" Target="https://doi.org/10.1007/s10899-010-9178-0" TargetMode="External"/><Relationship Id="rId1352" Type="http://schemas.openxmlformats.org/officeDocument/2006/relationships/hyperlink" Target="https://doi.org/10.1590/S0102-79722012000400004" TargetMode="External"/><Relationship Id="rId2403" Type="http://schemas.openxmlformats.org/officeDocument/2006/relationships/hyperlink" Target="https://doi.org/10.1016/j.comppsych.2005.04.010" TargetMode="External"/><Relationship Id="rId5559" Type="http://schemas.openxmlformats.org/officeDocument/2006/relationships/hyperlink" Target="https://doi.org/10.1016/j.ajp.2011.11.007" TargetMode="External"/><Relationship Id="rId1005" Type="http://schemas.openxmlformats.org/officeDocument/2006/relationships/hyperlink" Target="https://doi.org/10.1111/j.1600-0447.1996.tb09816.x" TargetMode="External"/><Relationship Id="rId4575" Type="http://schemas.openxmlformats.org/officeDocument/2006/relationships/hyperlink" Target="https://doi.org/10.1016/j.jpsychires.2007.11.001" TargetMode="External"/><Relationship Id="rId5973" Type="http://schemas.openxmlformats.org/officeDocument/2006/relationships/hyperlink" Target="https://doi.org/10.1089/apc.2017.0038" TargetMode="External"/><Relationship Id="rId3177" Type="http://schemas.openxmlformats.org/officeDocument/2006/relationships/hyperlink" Target="https://doi.org/10.1016/j.ridd.2013.09.039" TargetMode="External"/><Relationship Id="rId4228" Type="http://schemas.openxmlformats.org/officeDocument/2006/relationships/hyperlink" Target="https://doi.org/10.1212/WNL.0000000000001419" TargetMode="External"/><Relationship Id="rId5626" Type="http://schemas.openxmlformats.org/officeDocument/2006/relationships/hyperlink" Target="https://doi.org/10.1159/000091722" TargetMode="External"/><Relationship Id="rId3591" Type="http://schemas.openxmlformats.org/officeDocument/2006/relationships/hyperlink" Target="https://doi.org/10.1136/jnnp.2010.235473" TargetMode="External"/><Relationship Id="rId4642" Type="http://schemas.openxmlformats.org/officeDocument/2006/relationships/hyperlink" Target="https://doi.org/10.1017/S1355617714000290" TargetMode="External"/><Relationship Id="rId2193" Type="http://schemas.openxmlformats.org/officeDocument/2006/relationships/hyperlink" Target="https://doi.org/10.1542/peds.2008-0825" TargetMode="External"/><Relationship Id="rId3244" Type="http://schemas.openxmlformats.org/officeDocument/2006/relationships/hyperlink" Target="https://doi.org/10.1111/pcn.12635" TargetMode="External"/><Relationship Id="rId165" Type="http://schemas.openxmlformats.org/officeDocument/2006/relationships/hyperlink" Target="https://doi.org/10.1016/j.jpeds.2012.12.026" TargetMode="External"/><Relationship Id="rId2260" Type="http://schemas.openxmlformats.org/officeDocument/2006/relationships/hyperlink" Target="https://doi.org/10.1016/S0028-3932(03)00129-5" TargetMode="External"/><Relationship Id="rId3311" Type="http://schemas.openxmlformats.org/officeDocument/2006/relationships/hyperlink" Target="https://doi.org/10.1016/j.schres.2014.03.010" TargetMode="External"/><Relationship Id="rId6467" Type="http://schemas.openxmlformats.org/officeDocument/2006/relationships/hyperlink" Target="https://doi.org/10.1016/S0028-3932(03)00098-8" TargetMode="External"/><Relationship Id="rId232" Type="http://schemas.openxmlformats.org/officeDocument/2006/relationships/hyperlink" Target="https://doi.org/10.1016/j.jns.2016.11.080" TargetMode="External"/><Relationship Id="rId5069" Type="http://schemas.openxmlformats.org/officeDocument/2006/relationships/hyperlink" Target="https://doi.org/10.1007/s00406-019-01044-7" TargetMode="External"/><Relationship Id="rId5483" Type="http://schemas.openxmlformats.org/officeDocument/2006/relationships/hyperlink" Target="https://doi.org/10.1111/psyp.12451" TargetMode="External"/><Relationship Id="rId6534" Type="http://schemas.openxmlformats.org/officeDocument/2006/relationships/hyperlink" Target="https://doi.org/10.1037/xge0000661" TargetMode="External"/><Relationship Id="rId1679" Type="http://schemas.openxmlformats.org/officeDocument/2006/relationships/hyperlink" Target="https://doi.org/10.1080/23279095.2017.1298600" TargetMode="External"/><Relationship Id="rId4085" Type="http://schemas.openxmlformats.org/officeDocument/2006/relationships/hyperlink" Target="https://doi.org/10.1037/a0024851" TargetMode="External"/><Relationship Id="rId5136" Type="http://schemas.openxmlformats.org/officeDocument/2006/relationships/hyperlink" Target="https://doi.org/10.1016/j.jagp.2012.12.026" TargetMode="External"/><Relationship Id="rId4152" Type="http://schemas.openxmlformats.org/officeDocument/2006/relationships/hyperlink" Target="https://doi.org/10.1016/j.schres.2005.01.011" TargetMode="External"/><Relationship Id="rId5203" Type="http://schemas.openxmlformats.org/officeDocument/2006/relationships/hyperlink" Target="https://doi.org/10.1016/S0925-4927(02)00042-2" TargetMode="External"/><Relationship Id="rId5550" Type="http://schemas.openxmlformats.org/officeDocument/2006/relationships/hyperlink" Target="https://doi.org/10.1080/17405629.2010.492000" TargetMode="External"/><Relationship Id="rId1746" Type="http://schemas.openxmlformats.org/officeDocument/2006/relationships/hyperlink" Target="https://doi.org/10.1016/j.biopsych.2006.03.060" TargetMode="External"/><Relationship Id="rId38" Type="http://schemas.openxmlformats.org/officeDocument/2006/relationships/hyperlink" Target="https://doi.org/10.1016/j.schres.2005.05.008" TargetMode="External"/><Relationship Id="rId1813" Type="http://schemas.openxmlformats.org/officeDocument/2006/relationships/hyperlink" Target="https://doi.org/10.1017/S1355617705050617" TargetMode="External"/><Relationship Id="rId4969" Type="http://schemas.openxmlformats.org/officeDocument/2006/relationships/hyperlink" Target="https://doi.org/10.1016/j.schres.2006.11.030" TargetMode="External"/><Relationship Id="rId3985" Type="http://schemas.openxmlformats.org/officeDocument/2006/relationships/hyperlink" Target="https://doi.org/10.1177/2167702615578130" TargetMode="External"/><Relationship Id="rId6391" Type="http://schemas.openxmlformats.org/officeDocument/2006/relationships/hyperlink" Target="https://doi.org/10.1111/psyg.12426" TargetMode="External"/><Relationship Id="rId2587" Type="http://schemas.openxmlformats.org/officeDocument/2006/relationships/hyperlink" Target="https://doi.org/10.1017/S0033291712003054" TargetMode="External"/><Relationship Id="rId3638" Type="http://schemas.openxmlformats.org/officeDocument/2006/relationships/hyperlink" Target="https://doi.org/10.1016/S0278-5846(97)00161-9" TargetMode="External"/><Relationship Id="rId6044" Type="http://schemas.openxmlformats.org/officeDocument/2006/relationships/hyperlink" Target="https://doi.org/10.1002/hup.1230" TargetMode="External"/><Relationship Id="rId559" Type="http://schemas.openxmlformats.org/officeDocument/2006/relationships/hyperlink" Target="https://doi.org/10.1016/j.bandc.2013.10.006" TargetMode="External"/><Relationship Id="rId1189" Type="http://schemas.openxmlformats.org/officeDocument/2006/relationships/hyperlink" Target="https://doi.org/10.1016/j.biopsycho.2011.11.001" TargetMode="External"/><Relationship Id="rId5060" Type="http://schemas.openxmlformats.org/officeDocument/2006/relationships/hyperlink" Target="https://doi.org/10.1016/j.jad.2014.04.028" TargetMode="External"/><Relationship Id="rId6111" Type="http://schemas.openxmlformats.org/officeDocument/2006/relationships/hyperlink" Target="https://doi.org/10.1016/j.schres.2007.08.002" TargetMode="External"/><Relationship Id="rId626" Type="http://schemas.openxmlformats.org/officeDocument/2006/relationships/hyperlink" Target="https://doi.org/10.1176/appi.neuropsych.15.3.359" TargetMode="External"/><Relationship Id="rId973" Type="http://schemas.openxmlformats.org/officeDocument/2006/relationships/hyperlink" Target="https://doi.org/10.1016/B978-0-12-800778-5.00005-0" TargetMode="External"/><Relationship Id="rId1256" Type="http://schemas.openxmlformats.org/officeDocument/2006/relationships/hyperlink" Target="https://doi.org/10.1016/j.seizure.2011.06.002" TargetMode="External"/><Relationship Id="rId2307" Type="http://schemas.openxmlformats.org/officeDocument/2006/relationships/hyperlink" Target="https://doi.org/10.1016/j.ncl.2011.05.008" TargetMode="External"/><Relationship Id="rId2654" Type="http://schemas.openxmlformats.org/officeDocument/2006/relationships/hyperlink" Target="https://doi.org/10.1002/9781118911389.hautc02" TargetMode="External"/><Relationship Id="rId3705" Type="http://schemas.openxmlformats.org/officeDocument/2006/relationships/hyperlink" Target="https://doi.org/10.1016/j.jad.2007.05.014" TargetMode="External"/><Relationship Id="rId1670" Type="http://schemas.openxmlformats.org/officeDocument/2006/relationships/hyperlink" Target="https://doi.org/10.1007/s12207-014-9197-8" TargetMode="External"/><Relationship Id="rId2721" Type="http://schemas.openxmlformats.org/officeDocument/2006/relationships/hyperlink" Target="https://doi.org/10.1017/CBO9781139003872.012" TargetMode="External"/><Relationship Id="rId5877" Type="http://schemas.openxmlformats.org/officeDocument/2006/relationships/hyperlink" Target="https://doi.org/10.1016/j.schres.2013.04.019" TargetMode="External"/><Relationship Id="rId1323" Type="http://schemas.openxmlformats.org/officeDocument/2006/relationships/hyperlink" Target="https://doi.org/10.1080/13854046.2014.975844" TargetMode="External"/><Relationship Id="rId4479" Type="http://schemas.openxmlformats.org/officeDocument/2006/relationships/hyperlink" Target="https://doi.org/10.3109/09638280903317849" TargetMode="External"/><Relationship Id="rId4893" Type="http://schemas.openxmlformats.org/officeDocument/2006/relationships/hyperlink" Target="https://doi.org/10.1016/j.jaac.2013.05.018" TargetMode="External"/><Relationship Id="rId5944" Type="http://schemas.openxmlformats.org/officeDocument/2006/relationships/hyperlink" Target="https://doi.org/10.1007/s11682-016-9614-6" TargetMode="External"/><Relationship Id="rId3495" Type="http://schemas.openxmlformats.org/officeDocument/2006/relationships/hyperlink" Target="https://doi.org/10.1016/j.neuropsychologia.2011.04.002" TargetMode="External"/><Relationship Id="rId4546" Type="http://schemas.openxmlformats.org/officeDocument/2006/relationships/hyperlink" Target="https://doi.org/10.1016/j.jpsychires.2009.10.003" TargetMode="External"/><Relationship Id="rId4960" Type="http://schemas.openxmlformats.org/officeDocument/2006/relationships/hyperlink" Target="https://doi.org/10.1017/S0033291705006689" TargetMode="External"/><Relationship Id="rId2097" Type="http://schemas.openxmlformats.org/officeDocument/2006/relationships/hyperlink" Target="https://doi.org/10.1007/s00213-004-2032-2" TargetMode="External"/><Relationship Id="rId3148" Type="http://schemas.openxmlformats.org/officeDocument/2006/relationships/hyperlink" Target="https://doi.org/10.1016/j.cpr.2011.02.008" TargetMode="External"/><Relationship Id="rId3562" Type="http://schemas.openxmlformats.org/officeDocument/2006/relationships/hyperlink" Target="https://doi.org/10.1590/S1980-57642015DN91000005" TargetMode="External"/><Relationship Id="rId4613" Type="http://schemas.openxmlformats.org/officeDocument/2006/relationships/hyperlink" Target="https://doi.org/10.1007/s00702-012-0817-8" TargetMode="External"/><Relationship Id="rId483" Type="http://schemas.openxmlformats.org/officeDocument/2006/relationships/hyperlink" Target="https://doi.org/10.1016/j.encep.2011.04.006" TargetMode="External"/><Relationship Id="rId2164" Type="http://schemas.openxmlformats.org/officeDocument/2006/relationships/hyperlink" Target="https://doi.org/10.1002/hbm.22379" TargetMode="External"/><Relationship Id="rId3215" Type="http://schemas.openxmlformats.org/officeDocument/2006/relationships/hyperlink" Target="https://doi.org/10.1093/arclin/acu019" TargetMode="External"/><Relationship Id="rId136" Type="http://schemas.openxmlformats.org/officeDocument/2006/relationships/hyperlink" Target="https://doi.org/10.1111/j.1532-5415.2008.01934.x" TargetMode="External"/><Relationship Id="rId550" Type="http://schemas.openxmlformats.org/officeDocument/2006/relationships/hyperlink" Target="https://doi.org/10.1001/jamapsychiatry.2013.1378" TargetMode="External"/><Relationship Id="rId1180" Type="http://schemas.openxmlformats.org/officeDocument/2006/relationships/hyperlink" Target="https://doi.org/10.1162/jocn.2010.21539" TargetMode="External"/><Relationship Id="rId2231" Type="http://schemas.openxmlformats.org/officeDocument/2006/relationships/hyperlink" Target="https://doi.org/10.1016/j.cortex.2016.10.018" TargetMode="External"/><Relationship Id="rId5387" Type="http://schemas.openxmlformats.org/officeDocument/2006/relationships/hyperlink" Target="https://doi.org/10.1017/S1355617711001925" TargetMode="External"/><Relationship Id="rId6438" Type="http://schemas.openxmlformats.org/officeDocument/2006/relationships/hyperlink" Target="https://doi.org/10.1212/WNL.0b013e3181f73649" TargetMode="External"/><Relationship Id="rId203" Type="http://schemas.openxmlformats.org/officeDocument/2006/relationships/hyperlink" Target="https://doi.org/10.1080/13554790802631928" TargetMode="External"/><Relationship Id="rId1997" Type="http://schemas.openxmlformats.org/officeDocument/2006/relationships/hyperlink" Target="https://doi.org/10.1136/jnnp-2012-303878" TargetMode="External"/><Relationship Id="rId4056" Type="http://schemas.openxmlformats.org/officeDocument/2006/relationships/hyperlink" Target="https://doi.org/10.1111/bjop.12022" TargetMode="External"/><Relationship Id="rId5454" Type="http://schemas.openxmlformats.org/officeDocument/2006/relationships/hyperlink" Target="https://doi.org/10.1016/j.psychres.2008.01.003" TargetMode="External"/><Relationship Id="rId6505" Type="http://schemas.openxmlformats.org/officeDocument/2006/relationships/hyperlink" Target="https://doi.org/10.2190/1AA0-UW9Q-1CNK-3E2N" TargetMode="External"/><Relationship Id="rId4470" Type="http://schemas.openxmlformats.org/officeDocument/2006/relationships/hyperlink" Target="https://doi.org/10.1016/j.biopsych.2005.09.025" TargetMode="External"/><Relationship Id="rId5107" Type="http://schemas.openxmlformats.org/officeDocument/2006/relationships/hyperlink" Target="https://doi.org/10.1097/00005053-199710000-00009" TargetMode="External"/><Relationship Id="rId5521" Type="http://schemas.openxmlformats.org/officeDocument/2006/relationships/hyperlink" Target="https://doi.org/10.1007/978-0-387-78965-1_4" TargetMode="External"/><Relationship Id="rId1717" Type="http://schemas.openxmlformats.org/officeDocument/2006/relationships/hyperlink" Target="https://doi.org/10.1037/10649-006" TargetMode="External"/><Relationship Id="rId3072" Type="http://schemas.openxmlformats.org/officeDocument/2006/relationships/hyperlink" Target="https://doi.org/10.1155/2012/894128" TargetMode="External"/><Relationship Id="rId4123" Type="http://schemas.openxmlformats.org/officeDocument/2006/relationships/hyperlink" Target="https://doi.org/10.1515/revneuro-2013-0004" TargetMode="External"/><Relationship Id="rId3889" Type="http://schemas.openxmlformats.org/officeDocument/2006/relationships/hyperlink" Target="https://doi.org/10.1002/da.20573" TargetMode="External"/><Relationship Id="rId6295" Type="http://schemas.openxmlformats.org/officeDocument/2006/relationships/hyperlink" Target="https://doi.org/10.1186/1744-9081-2-16" TargetMode="External"/><Relationship Id="rId6362" Type="http://schemas.openxmlformats.org/officeDocument/2006/relationships/hyperlink" Target="https://doi.org/10.1016/j.ridd.2011.02.021" TargetMode="External"/><Relationship Id="rId3956" Type="http://schemas.openxmlformats.org/officeDocument/2006/relationships/hyperlink" Target="https://doi.org/10.1016/j.schres.2017.06.005" TargetMode="External"/><Relationship Id="rId6015" Type="http://schemas.openxmlformats.org/officeDocument/2006/relationships/hyperlink" Target="https://doi.org/10.1007/978-1-4614-3106-0_30" TargetMode="External"/><Relationship Id="rId877" Type="http://schemas.openxmlformats.org/officeDocument/2006/relationships/hyperlink" Target="https://doi.org/10.1016/j.encep.2014.02.004" TargetMode="External"/><Relationship Id="rId2558" Type="http://schemas.openxmlformats.org/officeDocument/2006/relationships/hyperlink" Target="https://doi.org/10.1080/01688639608408285" TargetMode="External"/><Relationship Id="rId2972" Type="http://schemas.openxmlformats.org/officeDocument/2006/relationships/hyperlink" Target="https://doi.org/10.1002/hup.584" TargetMode="External"/><Relationship Id="rId3609" Type="http://schemas.openxmlformats.org/officeDocument/2006/relationships/hyperlink" Target="https://doi.org/10.1016/j.cortex.2019.07.018" TargetMode="External"/><Relationship Id="rId944" Type="http://schemas.openxmlformats.org/officeDocument/2006/relationships/hyperlink" Target="https://doi.org/10.1016/j.schres.2005.09.020" TargetMode="External"/><Relationship Id="rId1574" Type="http://schemas.openxmlformats.org/officeDocument/2006/relationships/hyperlink" Target="https://doi.org/10.1016/j.alcohol.2007.07.007" TargetMode="External"/><Relationship Id="rId2625" Type="http://schemas.openxmlformats.org/officeDocument/2006/relationships/hyperlink" Target="https://doi.org/10.1007/s10803-006-0190-2" TargetMode="External"/><Relationship Id="rId5031" Type="http://schemas.openxmlformats.org/officeDocument/2006/relationships/hyperlink" Target="https://doi.org/10.1177/0891988705281882" TargetMode="External"/><Relationship Id="rId1227" Type="http://schemas.openxmlformats.org/officeDocument/2006/relationships/hyperlink" Target="https://doi.org/10.1176/appi.neuropsych.16.3.330" TargetMode="External"/><Relationship Id="rId1641" Type="http://schemas.openxmlformats.org/officeDocument/2006/relationships/hyperlink" Target="https://doi.org/10.1007/s10802-009-9321-5" TargetMode="External"/><Relationship Id="rId4797" Type="http://schemas.openxmlformats.org/officeDocument/2006/relationships/hyperlink" Target="https://doi.org/10.1006/brcg.2001.1506" TargetMode="External"/><Relationship Id="rId5848" Type="http://schemas.openxmlformats.org/officeDocument/2006/relationships/hyperlink" Target="https://doi.org/10.1016/0896-6974(94)90062-0" TargetMode="External"/><Relationship Id="rId3399" Type="http://schemas.openxmlformats.org/officeDocument/2006/relationships/hyperlink" Target="https://doi.org/10.1093/schbul/sbs141" TargetMode="External"/><Relationship Id="rId4864" Type="http://schemas.openxmlformats.org/officeDocument/2006/relationships/hyperlink" Target="https://doi.org/10.1093/arclin/act055" TargetMode="External"/><Relationship Id="rId3466" Type="http://schemas.openxmlformats.org/officeDocument/2006/relationships/hyperlink" Target="https://doi.org/10.14718/ACP.2016.19.2.8" TargetMode="External"/><Relationship Id="rId4517" Type="http://schemas.openxmlformats.org/officeDocument/2006/relationships/hyperlink" Target="https://doi.org/10.1080/00207450390162164" TargetMode="External"/><Relationship Id="rId5915" Type="http://schemas.openxmlformats.org/officeDocument/2006/relationships/hyperlink" Target="https://doi.org/10.1177/0706743717737029" TargetMode="External"/><Relationship Id="rId387" Type="http://schemas.openxmlformats.org/officeDocument/2006/relationships/hyperlink" Target="https://doi.org/10.1002/jclp.21942" TargetMode="External"/><Relationship Id="rId2068" Type="http://schemas.openxmlformats.org/officeDocument/2006/relationships/hyperlink" Target="https://doi.org/10.1111/j.1528-1167.2011.03215.x" TargetMode="External"/><Relationship Id="rId3119" Type="http://schemas.openxmlformats.org/officeDocument/2006/relationships/hyperlink" Target="https://doi.org/10.1089/109493103322278781" TargetMode="External"/><Relationship Id="rId3880" Type="http://schemas.openxmlformats.org/officeDocument/2006/relationships/hyperlink" Target="https://doi.org/10.1176/appi.ajp.163.9.1594" TargetMode="External"/><Relationship Id="rId4931" Type="http://schemas.openxmlformats.org/officeDocument/2006/relationships/hyperlink" Target="https://doi.org/10.1046/j.1440-1819.2002.01029.x" TargetMode="External"/><Relationship Id="rId1084" Type="http://schemas.openxmlformats.org/officeDocument/2006/relationships/hyperlink" Target="https://doi.org/10.1016/j.eurpsy.2015.09.001" TargetMode="External"/><Relationship Id="rId2482" Type="http://schemas.openxmlformats.org/officeDocument/2006/relationships/hyperlink" Target="https://doi.org/10.1016/j.parkreldis.2013.08.010" TargetMode="External"/><Relationship Id="rId3533" Type="http://schemas.openxmlformats.org/officeDocument/2006/relationships/hyperlink" Target="https://doi.org/10.1521/psyc.2005.68.2.140" TargetMode="External"/><Relationship Id="rId107" Type="http://schemas.openxmlformats.org/officeDocument/2006/relationships/hyperlink" Target="https://doi.org/10.1111/jocn.12214" TargetMode="External"/><Relationship Id="rId454" Type="http://schemas.openxmlformats.org/officeDocument/2006/relationships/hyperlink" Target="https://doi.org/10.1016/j.bbr.2017.01.002" TargetMode="External"/><Relationship Id="rId2135" Type="http://schemas.openxmlformats.org/officeDocument/2006/relationships/hyperlink" Target="https://doi.org/10.1207/s15324826an1102_2" TargetMode="External"/><Relationship Id="rId3600" Type="http://schemas.openxmlformats.org/officeDocument/2006/relationships/hyperlink" Target="https://doi.org/10.1176/appi.neuropsych.16.3.277" TargetMode="External"/><Relationship Id="rId521" Type="http://schemas.openxmlformats.org/officeDocument/2006/relationships/hyperlink" Target="https://doi.org/10.1016/0028-3932(94)00118-9" TargetMode="External"/><Relationship Id="rId1151" Type="http://schemas.openxmlformats.org/officeDocument/2006/relationships/hyperlink" Target="https://doi.org/10.1007/s00213-009-1650-0" TargetMode="External"/><Relationship Id="rId2202" Type="http://schemas.openxmlformats.org/officeDocument/2006/relationships/hyperlink" Target="https://doi.org/10.1076/jcen.24.1.48.968" TargetMode="External"/><Relationship Id="rId5358" Type="http://schemas.openxmlformats.org/officeDocument/2006/relationships/hyperlink" Target="https://doi.org/10.1016/j.pscychresns.2009.02.003" TargetMode="External"/><Relationship Id="rId5772" Type="http://schemas.openxmlformats.org/officeDocument/2006/relationships/hyperlink" Target="https://doi.org/10.1089/apc.2012.0157" TargetMode="External"/><Relationship Id="rId6409" Type="http://schemas.openxmlformats.org/officeDocument/2006/relationships/hyperlink" Target="https://doi.org/10.1016/j.bandc.2013.11.005" TargetMode="External"/><Relationship Id="rId1968" Type="http://schemas.openxmlformats.org/officeDocument/2006/relationships/hyperlink" Target="https://doi.org/10.1016/j.rbp.2012.09.001" TargetMode="External"/><Relationship Id="rId4374" Type="http://schemas.openxmlformats.org/officeDocument/2006/relationships/hyperlink" Target="https://doi.org/10.1037/0021-843X.104.2.355" TargetMode="External"/><Relationship Id="rId5425" Type="http://schemas.openxmlformats.org/officeDocument/2006/relationships/hyperlink" Target="https://doi.org/10.1207/s15326888chc2803_3" TargetMode="External"/><Relationship Id="rId3390" Type="http://schemas.openxmlformats.org/officeDocument/2006/relationships/hyperlink" Target="https://doi.org/10.1076/1380-3395(200002)22:1;1-8;FT069" TargetMode="External"/><Relationship Id="rId4027" Type="http://schemas.openxmlformats.org/officeDocument/2006/relationships/hyperlink" Target="https://doi.org/10.1016/j.addbeh.2012.09.008" TargetMode="External"/><Relationship Id="rId4441" Type="http://schemas.openxmlformats.org/officeDocument/2006/relationships/hyperlink" Target="https://doi.org/10.1016/j.eurpsy.2006.04.008" TargetMode="External"/><Relationship Id="rId3043" Type="http://schemas.openxmlformats.org/officeDocument/2006/relationships/hyperlink" Target="https://doi.org/10.1016/j.psychres.2013.02.016" TargetMode="External"/><Relationship Id="rId6199" Type="http://schemas.openxmlformats.org/officeDocument/2006/relationships/hyperlink" Target="https://doi.org/10.1080/13825580600802893" TargetMode="External"/><Relationship Id="rId6266" Type="http://schemas.openxmlformats.org/officeDocument/2006/relationships/hyperlink" Target="https://doi.org/10.1136/jnnp.57.2.154" TargetMode="External"/><Relationship Id="rId3110" Type="http://schemas.openxmlformats.org/officeDocument/2006/relationships/hyperlink" Target="https://doi.org/10.1176/appi.neuropsych.23.2.211" TargetMode="External"/><Relationship Id="rId2876" Type="http://schemas.openxmlformats.org/officeDocument/2006/relationships/hyperlink" Target="https://doi.org/10.1080/02643290342000294" TargetMode="External"/><Relationship Id="rId3927" Type="http://schemas.openxmlformats.org/officeDocument/2006/relationships/hyperlink" Target="https://doi.org/10.1037/0882-7974.18.4.807" TargetMode="External"/><Relationship Id="rId5282" Type="http://schemas.openxmlformats.org/officeDocument/2006/relationships/hyperlink" Target="https://doi.org/10.1080/17470910600985589" TargetMode="External"/><Relationship Id="rId6333" Type="http://schemas.openxmlformats.org/officeDocument/2006/relationships/hyperlink" Target="https://doi.org/10.1016/j.biopsycho.2018.10.009" TargetMode="External"/><Relationship Id="rId848" Type="http://schemas.openxmlformats.org/officeDocument/2006/relationships/hyperlink" Target="https://doi.org/10.1016/j.neuropsychologia.2006.03.014" TargetMode="External"/><Relationship Id="rId1478" Type="http://schemas.openxmlformats.org/officeDocument/2006/relationships/hyperlink" Target="https://doi.org/10.1007/s10608-016-9802-0" TargetMode="External"/><Relationship Id="rId1892" Type="http://schemas.openxmlformats.org/officeDocument/2006/relationships/hyperlink" Target="https://doi.org/10.1002/bsl.866" TargetMode="External"/><Relationship Id="rId2529" Type="http://schemas.openxmlformats.org/officeDocument/2006/relationships/hyperlink" Target="https://doi.org/10.1111/j.1468-1331.2006.01157.x" TargetMode="External"/><Relationship Id="rId6400" Type="http://schemas.openxmlformats.org/officeDocument/2006/relationships/hyperlink" Target="https://doi.org/10.1016/j.psychres.2015.09.041" TargetMode="External"/><Relationship Id="rId915" Type="http://schemas.openxmlformats.org/officeDocument/2006/relationships/hyperlink" Target="https://doi.org/10.1371/journal.pone.0196103" TargetMode="External"/><Relationship Id="rId1545" Type="http://schemas.openxmlformats.org/officeDocument/2006/relationships/hyperlink" Target="https://doi.org/10.1055/s-2007-984390" TargetMode="External"/><Relationship Id="rId2943" Type="http://schemas.openxmlformats.org/officeDocument/2006/relationships/hyperlink" Target="https://doi.org/10.3109/00207450903389396" TargetMode="External"/><Relationship Id="rId5002" Type="http://schemas.openxmlformats.org/officeDocument/2006/relationships/hyperlink" Target="https://doi.org/10.1097/01.jcp.0000095352.32154.e1" TargetMode="External"/><Relationship Id="rId1612" Type="http://schemas.openxmlformats.org/officeDocument/2006/relationships/hyperlink" Target="https://doi.org/10.1080/13854040500351008" TargetMode="External"/><Relationship Id="rId4768" Type="http://schemas.openxmlformats.org/officeDocument/2006/relationships/hyperlink" Target="https://doi.org/10.1016/S0887-6177(99)00008-6" TargetMode="External"/><Relationship Id="rId5819" Type="http://schemas.openxmlformats.org/officeDocument/2006/relationships/hyperlink" Target="https://doi.org/10.1016/j.jad.2018.06.005" TargetMode="External"/><Relationship Id="rId6190" Type="http://schemas.openxmlformats.org/officeDocument/2006/relationships/hyperlink" Target="https://doi.org/10.1212/WNL.0b013e31825dcdc1" TargetMode="External"/><Relationship Id="rId3784" Type="http://schemas.openxmlformats.org/officeDocument/2006/relationships/hyperlink" Target="https://doi.org/10.1007/s00213-008-1218-4" TargetMode="External"/><Relationship Id="rId4835" Type="http://schemas.openxmlformats.org/officeDocument/2006/relationships/hyperlink" Target="https://doi.org/10.1186/s12888-019-2233-1" TargetMode="External"/><Relationship Id="rId2386" Type="http://schemas.openxmlformats.org/officeDocument/2006/relationships/hyperlink" Target="https://doi.org/10.1016/j.schres.2003.08.007" TargetMode="External"/><Relationship Id="rId3437" Type="http://schemas.openxmlformats.org/officeDocument/2006/relationships/hyperlink" Target="https://doi.org/10.1007/s10964-019-01103-1" TargetMode="External"/><Relationship Id="rId3851" Type="http://schemas.openxmlformats.org/officeDocument/2006/relationships/hyperlink" Target="https://doi.org/10.1016/j.ridd.2013.06.033" TargetMode="External"/><Relationship Id="rId4902" Type="http://schemas.openxmlformats.org/officeDocument/2006/relationships/hyperlink" Target="https://doi.org/10.1016/j.ijchp.2019.07.006" TargetMode="External"/><Relationship Id="rId358" Type="http://schemas.openxmlformats.org/officeDocument/2006/relationships/hyperlink" Target="https://doi.org/10.1016/j.artmed.2009.04.001" TargetMode="External"/><Relationship Id="rId772" Type="http://schemas.openxmlformats.org/officeDocument/2006/relationships/hyperlink" Target="https://doi.org/10.1002/jcpy.1101" TargetMode="External"/><Relationship Id="rId2039" Type="http://schemas.openxmlformats.org/officeDocument/2006/relationships/hyperlink" Target="https://doi.org/10.3389/fnagi.2021.664224" TargetMode="External"/><Relationship Id="rId2453" Type="http://schemas.openxmlformats.org/officeDocument/2006/relationships/hyperlink" Target="https://doi.org/10.1002/mrdd.20004" TargetMode="External"/><Relationship Id="rId3504" Type="http://schemas.openxmlformats.org/officeDocument/2006/relationships/hyperlink" Target="https://doi.org/10.1080/13803395.2013.789483" TargetMode="External"/><Relationship Id="rId425" Type="http://schemas.openxmlformats.org/officeDocument/2006/relationships/hyperlink" Target="https://doi.org/10.1016/0920-9964(95)00067-4" TargetMode="External"/><Relationship Id="rId1055" Type="http://schemas.openxmlformats.org/officeDocument/2006/relationships/hyperlink" Target="https://doi.org/10.1002/hbm.22390" TargetMode="External"/><Relationship Id="rId2106" Type="http://schemas.openxmlformats.org/officeDocument/2006/relationships/hyperlink" Target="https://doi.org/10.1176/ajp.155.12.1671" TargetMode="External"/><Relationship Id="rId2520" Type="http://schemas.openxmlformats.org/officeDocument/2006/relationships/hyperlink" Target="https://doi.org/10.1097/WNN.0b013e318249a479" TargetMode="External"/><Relationship Id="rId5676" Type="http://schemas.openxmlformats.org/officeDocument/2006/relationships/hyperlink" Target="https://doi.org/10.1016/S0920-9964(99)00140-1" TargetMode="External"/><Relationship Id="rId1122" Type="http://schemas.openxmlformats.org/officeDocument/2006/relationships/hyperlink" Target="https://doi.org/10.1111/jnp.12083" TargetMode="External"/><Relationship Id="rId4278" Type="http://schemas.openxmlformats.org/officeDocument/2006/relationships/hyperlink" Target="https://doi.org/10.1111/j.1468-1331.2004.00976.x" TargetMode="External"/><Relationship Id="rId5329" Type="http://schemas.openxmlformats.org/officeDocument/2006/relationships/hyperlink" Target="https://doi.org/10.1097/JCP.0b013e31822c94fd" TargetMode="External"/><Relationship Id="rId3294" Type="http://schemas.openxmlformats.org/officeDocument/2006/relationships/hyperlink" Target="https://doi.org/10.1007/s00406-011-0233-3" TargetMode="External"/><Relationship Id="rId4345" Type="http://schemas.openxmlformats.org/officeDocument/2006/relationships/hyperlink" Target="https://doi.org/10.1080/87565641.2018.1516770" TargetMode="External"/><Relationship Id="rId4692" Type="http://schemas.openxmlformats.org/officeDocument/2006/relationships/hyperlink" Target="https://doi.org/10.3109/08039488.2015.1009487" TargetMode="External"/><Relationship Id="rId5743" Type="http://schemas.openxmlformats.org/officeDocument/2006/relationships/hyperlink" Target="https://doi.org/10.1371/journal.pone.0028331" TargetMode="External"/><Relationship Id="rId1939" Type="http://schemas.openxmlformats.org/officeDocument/2006/relationships/hyperlink" Target="https://doi.org/10.1037/a0025318" TargetMode="External"/><Relationship Id="rId5810" Type="http://schemas.openxmlformats.org/officeDocument/2006/relationships/hyperlink" Target="https://doi.org/10.1177/1087054710389988" TargetMode="External"/><Relationship Id="rId3361" Type="http://schemas.openxmlformats.org/officeDocument/2006/relationships/hyperlink" Target="https://doi.org/10.1016/j.drugalcdep.2020.108063" TargetMode="External"/><Relationship Id="rId4412" Type="http://schemas.openxmlformats.org/officeDocument/2006/relationships/hyperlink" Target="https://doi.org/10.1016/j.bandc.2012.03.007" TargetMode="External"/><Relationship Id="rId282" Type="http://schemas.openxmlformats.org/officeDocument/2006/relationships/hyperlink" Target="https://doi.org/10.1080/13607860802534583" TargetMode="External"/><Relationship Id="rId3014" Type="http://schemas.openxmlformats.org/officeDocument/2006/relationships/hyperlink" Target="https://doi.org/10.1016/j.jad.2012.05.064" TargetMode="External"/><Relationship Id="rId2030" Type="http://schemas.openxmlformats.org/officeDocument/2006/relationships/hyperlink" Target="https://doi.org/10.1016/j.psychres.2010.10.024" TargetMode="External"/><Relationship Id="rId5186" Type="http://schemas.openxmlformats.org/officeDocument/2006/relationships/hyperlink" Target="https://doi.org/10.1016/j.bbr.2009.07.031" TargetMode="External"/><Relationship Id="rId6237" Type="http://schemas.openxmlformats.org/officeDocument/2006/relationships/hyperlink" Target="https://doi.org/10.1080/13218719.2015.1080152" TargetMode="External"/><Relationship Id="rId5253" Type="http://schemas.openxmlformats.org/officeDocument/2006/relationships/hyperlink" Target="https://doi.org/10.1038/npp.2008.85" TargetMode="External"/><Relationship Id="rId6304" Type="http://schemas.openxmlformats.org/officeDocument/2006/relationships/hyperlink" Target="https://doi.org/10.1080/13854046.2013.863977" TargetMode="External"/><Relationship Id="rId1449" Type="http://schemas.openxmlformats.org/officeDocument/2006/relationships/hyperlink" Target="https://doi.org/10.1300/J018v17n03_06" TargetMode="External"/><Relationship Id="rId1796" Type="http://schemas.openxmlformats.org/officeDocument/2006/relationships/hyperlink" Target="https://doi.org/10.1093/cercor/bhv190" TargetMode="External"/><Relationship Id="rId2847" Type="http://schemas.openxmlformats.org/officeDocument/2006/relationships/hyperlink" Target="https://doi.org/10.1097/JNN.0000000000000034" TargetMode="External"/><Relationship Id="rId88" Type="http://schemas.openxmlformats.org/officeDocument/2006/relationships/hyperlink" Target="https://doi.org/10.1080/02699050902788428" TargetMode="External"/><Relationship Id="rId819" Type="http://schemas.openxmlformats.org/officeDocument/2006/relationships/hyperlink" Target="https://doi.org/10.3389/fpsyg.2017.00194" TargetMode="External"/><Relationship Id="rId1863" Type="http://schemas.openxmlformats.org/officeDocument/2006/relationships/hyperlink" Target="https://doi.org/10.1017/S1092852900016424" TargetMode="External"/><Relationship Id="rId2914" Type="http://schemas.openxmlformats.org/officeDocument/2006/relationships/hyperlink" Target="https://doi.org/10.1080/13554794.2013.878729" TargetMode="External"/><Relationship Id="rId5320" Type="http://schemas.openxmlformats.org/officeDocument/2006/relationships/hyperlink" Target="https://doi.org/10.1038/npp.2011.238" TargetMode="External"/><Relationship Id="rId1516" Type="http://schemas.openxmlformats.org/officeDocument/2006/relationships/hyperlink" Target="https://doi.org/10.1097/HTR.0000000000000120" TargetMode="External"/><Relationship Id="rId1930" Type="http://schemas.openxmlformats.org/officeDocument/2006/relationships/hyperlink" Target="https://doi.org/10.1016/j.bandl.2007.10.005" TargetMode="External"/><Relationship Id="rId3688" Type="http://schemas.openxmlformats.org/officeDocument/2006/relationships/hyperlink" Target="https://doi.org/10.1097/HTR.0b013e318273de49" TargetMode="External"/><Relationship Id="rId4739" Type="http://schemas.openxmlformats.org/officeDocument/2006/relationships/hyperlink" Target="https://doi.org/10.1093/oxfordjournals.schbul.a007070" TargetMode="External"/><Relationship Id="rId6094" Type="http://schemas.openxmlformats.org/officeDocument/2006/relationships/hyperlink" Target="https://doi.org/10.1016/j.schres.2013.08.011" TargetMode="External"/><Relationship Id="rId3755" Type="http://schemas.openxmlformats.org/officeDocument/2006/relationships/hyperlink" Target="https://doi.org/10.1007/978-1-4614-3106-0_23" TargetMode="External"/><Relationship Id="rId4806" Type="http://schemas.openxmlformats.org/officeDocument/2006/relationships/hyperlink" Target="https://doi.org/10.1017/S1355617704102154" TargetMode="External"/><Relationship Id="rId6161" Type="http://schemas.openxmlformats.org/officeDocument/2006/relationships/hyperlink" Target="https://doi.org/10.1016/j.yebeh.2011.08.038" TargetMode="External"/><Relationship Id="rId676" Type="http://schemas.openxmlformats.org/officeDocument/2006/relationships/hyperlink" Target="https://doi.org/10.1037/14340-003" TargetMode="External"/><Relationship Id="rId2357" Type="http://schemas.openxmlformats.org/officeDocument/2006/relationships/hyperlink" Target="https://doi.org/10.1176/appi.neuropsych.18.1.54" TargetMode="External"/><Relationship Id="rId3408" Type="http://schemas.openxmlformats.org/officeDocument/2006/relationships/hyperlink" Target="https://doi.org/10.1016/j.schres.2013.03.019" TargetMode="External"/><Relationship Id="rId329" Type="http://schemas.openxmlformats.org/officeDocument/2006/relationships/hyperlink" Target="https://doi.org/10.1177/1362361307088486" TargetMode="External"/><Relationship Id="rId1373" Type="http://schemas.openxmlformats.org/officeDocument/2006/relationships/hyperlink" Target="https://doi.org/10.3389/fnagi.2020.00051" TargetMode="External"/><Relationship Id="rId2771" Type="http://schemas.openxmlformats.org/officeDocument/2006/relationships/hyperlink" Target="https://doi.org/10.1001/archpsyc.59.7.662" TargetMode="External"/><Relationship Id="rId3822" Type="http://schemas.openxmlformats.org/officeDocument/2006/relationships/hyperlink" Target="https://doi.org/10.1002/da.22063" TargetMode="External"/><Relationship Id="rId743" Type="http://schemas.openxmlformats.org/officeDocument/2006/relationships/hyperlink" Target="https://doi.org/10.1016/j.bandc.2007.06.006" TargetMode="External"/><Relationship Id="rId1026" Type="http://schemas.openxmlformats.org/officeDocument/2006/relationships/hyperlink" Target="https://doi.org/10.3109/10826084.2015.1050110" TargetMode="External"/><Relationship Id="rId2424" Type="http://schemas.openxmlformats.org/officeDocument/2006/relationships/hyperlink" Target="https://doi.org/10.1017/S1355617717000510" TargetMode="External"/><Relationship Id="rId5994" Type="http://schemas.openxmlformats.org/officeDocument/2006/relationships/hyperlink" Target="https://doi.org/10.1080/13803395.2019.1586838" TargetMode="External"/><Relationship Id="rId810" Type="http://schemas.openxmlformats.org/officeDocument/2006/relationships/hyperlink" Target="https://doi.org/10.1016/j.yebeh.2008.07.009" TargetMode="External"/><Relationship Id="rId1440" Type="http://schemas.openxmlformats.org/officeDocument/2006/relationships/hyperlink" Target="https://doi.org/10.1111/j.1399-5618.2010.00880.x" TargetMode="External"/><Relationship Id="rId4596" Type="http://schemas.openxmlformats.org/officeDocument/2006/relationships/hyperlink" Target="https://doi.org/10.1016/j.jad.2016.11.017" TargetMode="External"/><Relationship Id="rId5647" Type="http://schemas.openxmlformats.org/officeDocument/2006/relationships/hyperlink" Target="https://doi.org/10.1017/BrImp.2016.23" TargetMode="External"/><Relationship Id="rId3198" Type="http://schemas.openxmlformats.org/officeDocument/2006/relationships/hyperlink" Target="https://doi.org/10.1016/j.neuropsychologia.2016.09.021" TargetMode="External"/><Relationship Id="rId4249" Type="http://schemas.openxmlformats.org/officeDocument/2006/relationships/hyperlink" Target="https://doi.org/10.1097/NMD.0b013e3181d61748" TargetMode="External"/><Relationship Id="rId4663" Type="http://schemas.openxmlformats.org/officeDocument/2006/relationships/hyperlink" Target="https://doi.org/10.1590/S0004-282X2003000100006" TargetMode="External"/><Relationship Id="rId5714" Type="http://schemas.openxmlformats.org/officeDocument/2006/relationships/hyperlink" Target="https://doi.org/10.4135/9789353280765.n6" TargetMode="External"/><Relationship Id="rId3265" Type="http://schemas.openxmlformats.org/officeDocument/2006/relationships/hyperlink" Target="https://doi.org/10.1177/0004867417720517" TargetMode="External"/><Relationship Id="rId4316" Type="http://schemas.openxmlformats.org/officeDocument/2006/relationships/hyperlink" Target="https://doi.org/10.1212/01.WNL.0000125186.04867.34" TargetMode="External"/><Relationship Id="rId4730" Type="http://schemas.openxmlformats.org/officeDocument/2006/relationships/hyperlink" Target="https://doi.org/10.1080/87565649409540598" TargetMode="External"/><Relationship Id="rId186" Type="http://schemas.openxmlformats.org/officeDocument/2006/relationships/hyperlink" Target="http://search.ebscohost.com/login.aspx?direct=true&amp;db=psyh&amp;AN=2013-09032-001&amp;site=ehost-live" TargetMode="External"/><Relationship Id="rId2281" Type="http://schemas.openxmlformats.org/officeDocument/2006/relationships/hyperlink" Target="https://doi.org/10.1016/B978-0-12-800778-5.00015-3" TargetMode="External"/><Relationship Id="rId3332" Type="http://schemas.openxmlformats.org/officeDocument/2006/relationships/hyperlink" Target="https://doi.org/10.3389/fnhum.2011.00174" TargetMode="External"/><Relationship Id="rId6488" Type="http://schemas.openxmlformats.org/officeDocument/2006/relationships/hyperlink" Target="https://doi.org/10.1007/s11055-017-0535-7" TargetMode="External"/><Relationship Id="rId253" Type="http://schemas.openxmlformats.org/officeDocument/2006/relationships/hyperlink" Target="https://doi.org/10.1037/fam0000268" TargetMode="External"/><Relationship Id="rId320" Type="http://schemas.openxmlformats.org/officeDocument/2006/relationships/hyperlink" Target="https://doi.org/10.1093/cercor/bhq004" TargetMode="External"/><Relationship Id="rId2001" Type="http://schemas.openxmlformats.org/officeDocument/2006/relationships/hyperlink" Target="https://doi.org/10.1097/DBP.0b013e3181c21c97" TargetMode="External"/><Relationship Id="rId5157" Type="http://schemas.openxmlformats.org/officeDocument/2006/relationships/hyperlink" Target="https://doi.org/10.1111/acer.14517" TargetMode="External"/><Relationship Id="rId6208" Type="http://schemas.openxmlformats.org/officeDocument/2006/relationships/hyperlink" Target="https://doi.org/10.1891/194589508787724088" TargetMode="External"/><Relationship Id="rId5571" Type="http://schemas.openxmlformats.org/officeDocument/2006/relationships/hyperlink" Target="https://doi.org/10.1016/S0920-9964(97)00047-9" TargetMode="External"/><Relationship Id="rId1767" Type="http://schemas.openxmlformats.org/officeDocument/2006/relationships/hyperlink" Target="https://doi.org/10.1002/gps.869" TargetMode="External"/><Relationship Id="rId2818" Type="http://schemas.openxmlformats.org/officeDocument/2006/relationships/hyperlink" Target="https://doi.org/10.1111/j.1600-0404.2012.01644.x" TargetMode="External"/><Relationship Id="rId4173" Type="http://schemas.openxmlformats.org/officeDocument/2006/relationships/hyperlink" Target="https://doi.org/10.1097/NMD.0b013e31825bfb10" TargetMode="External"/><Relationship Id="rId5224" Type="http://schemas.openxmlformats.org/officeDocument/2006/relationships/hyperlink" Target="https://doi.org/10.1080/13854046.2019.1707285" TargetMode="External"/><Relationship Id="rId59" Type="http://schemas.openxmlformats.org/officeDocument/2006/relationships/hyperlink" Target="https://doi.org/10.1016/j.psychres.2005.12.006" TargetMode="External"/><Relationship Id="rId1834" Type="http://schemas.openxmlformats.org/officeDocument/2006/relationships/hyperlink" Target="https://doi.org/10.1016/j.ijpsycho.2011.02.011" TargetMode="External"/><Relationship Id="rId4240" Type="http://schemas.openxmlformats.org/officeDocument/2006/relationships/hyperlink" Target="https://doi.org/10.1016/j.schres.2007.11.015" TargetMode="External"/><Relationship Id="rId1901" Type="http://schemas.openxmlformats.org/officeDocument/2006/relationships/hyperlink" Target="https://doi.org/10.1097/WAD.0b013e31824ea5db" TargetMode="External"/><Relationship Id="rId3659" Type="http://schemas.openxmlformats.org/officeDocument/2006/relationships/hyperlink" Target="https://doi.org/10.1016/j.neuropsychologia.2011.06.017" TargetMode="External"/><Relationship Id="rId6065" Type="http://schemas.openxmlformats.org/officeDocument/2006/relationships/hyperlink" Target="https://doi.org/10.1080/02643290500346099" TargetMode="External"/><Relationship Id="rId5081" Type="http://schemas.openxmlformats.org/officeDocument/2006/relationships/hyperlink" Target="https://doi.org/10.1016/j.parkreldis.2013.02.007" TargetMode="External"/><Relationship Id="rId6132" Type="http://schemas.openxmlformats.org/officeDocument/2006/relationships/hyperlink" Target="https://doi.org/10.1080/02687038.2011.577286" TargetMode="External"/><Relationship Id="rId994" Type="http://schemas.openxmlformats.org/officeDocument/2006/relationships/hyperlink" Target="https://doi.org/10.1080/02643290902868534" TargetMode="External"/><Relationship Id="rId2675" Type="http://schemas.openxmlformats.org/officeDocument/2006/relationships/hyperlink" Target="https://doi.org/10.1080/13803390903512637" TargetMode="External"/><Relationship Id="rId3726" Type="http://schemas.openxmlformats.org/officeDocument/2006/relationships/hyperlink" Target="https://doi.org/10.1016/j.psychres.2004.08.011" TargetMode="External"/><Relationship Id="rId647" Type="http://schemas.openxmlformats.org/officeDocument/2006/relationships/hyperlink" Target="https://doi.org/10.1371/journal.pone.0042421" TargetMode="External"/><Relationship Id="rId1277" Type="http://schemas.openxmlformats.org/officeDocument/2006/relationships/hyperlink" Target="https://doi.org/10.1177/1533317519869709" TargetMode="External"/><Relationship Id="rId1691" Type="http://schemas.openxmlformats.org/officeDocument/2006/relationships/hyperlink" Target="https://doi.org/10.1016/j.pscychresns.2009.04.007" TargetMode="External"/><Relationship Id="rId2328" Type="http://schemas.openxmlformats.org/officeDocument/2006/relationships/hyperlink" Target="https://doi.org/10.1080/09602011.2012.662333" TargetMode="External"/><Relationship Id="rId2742" Type="http://schemas.openxmlformats.org/officeDocument/2006/relationships/hyperlink" Target="https://doi.org/10.1159/000119127" TargetMode="External"/><Relationship Id="rId5898" Type="http://schemas.openxmlformats.org/officeDocument/2006/relationships/hyperlink" Target="https://doi.org/10.1177/0883073813520497" TargetMode="External"/><Relationship Id="rId714" Type="http://schemas.openxmlformats.org/officeDocument/2006/relationships/hyperlink" Target="https://doi.org/10.5014/ajot.54.2.134" TargetMode="External"/><Relationship Id="rId1344" Type="http://schemas.openxmlformats.org/officeDocument/2006/relationships/hyperlink" Target="https://doi.org/10.1590/0047-2085000000032" TargetMode="External"/><Relationship Id="rId5965" Type="http://schemas.openxmlformats.org/officeDocument/2006/relationships/hyperlink" Target="https://doi.org/10.1016/j.schres.2003.09.007" TargetMode="External"/><Relationship Id="rId50" Type="http://schemas.openxmlformats.org/officeDocument/2006/relationships/hyperlink" Target="https://doi.org/10.1002/hbm.23124" TargetMode="External"/><Relationship Id="rId1411" Type="http://schemas.openxmlformats.org/officeDocument/2006/relationships/hyperlink" Target="https://doi.org/10.1503/jpn.120143" TargetMode="External"/><Relationship Id="rId4567" Type="http://schemas.openxmlformats.org/officeDocument/2006/relationships/hyperlink" Target="https://doi.org/10.1007/978-1-4614-5113-6_2" TargetMode="External"/><Relationship Id="rId5618" Type="http://schemas.openxmlformats.org/officeDocument/2006/relationships/hyperlink" Target="https://doi.org/10.1016/j.paid.2021.110970" TargetMode="External"/><Relationship Id="rId3169" Type="http://schemas.openxmlformats.org/officeDocument/2006/relationships/hyperlink" Target="https://doi.org/10.1371/journal.pone.0021635" TargetMode="External"/><Relationship Id="rId3583" Type="http://schemas.openxmlformats.org/officeDocument/2006/relationships/hyperlink" Target="https://doi.org/10.1016/j.jpsychires.2007.01.004" TargetMode="External"/><Relationship Id="rId4981" Type="http://schemas.openxmlformats.org/officeDocument/2006/relationships/hyperlink" Target="https://doi.org/10.1016/j.psyneuen.2017.10.014" TargetMode="External"/><Relationship Id="rId2185" Type="http://schemas.openxmlformats.org/officeDocument/2006/relationships/hyperlink" Target="https://doi.org/10.1212/01.WNL.0000031426.21683.E2" TargetMode="External"/><Relationship Id="rId3236" Type="http://schemas.openxmlformats.org/officeDocument/2006/relationships/hyperlink" Target="https://doi.org/10.1016/j.jns.2007.03.017" TargetMode="External"/><Relationship Id="rId4634" Type="http://schemas.openxmlformats.org/officeDocument/2006/relationships/hyperlink" Target="https://doi.org/10.1016/j.jneuroling.2013.03.001" TargetMode="External"/><Relationship Id="rId157" Type="http://schemas.openxmlformats.org/officeDocument/2006/relationships/hyperlink" Target="https://doi.org/10.1016/j.neubiorev.2013.09.004" TargetMode="External"/><Relationship Id="rId3650" Type="http://schemas.openxmlformats.org/officeDocument/2006/relationships/hyperlink" Target="https://doi.org/10.1016/j.cortex.2005.12.001" TargetMode="External"/><Relationship Id="rId4701" Type="http://schemas.openxmlformats.org/officeDocument/2006/relationships/hyperlink" Target="https://doi.org/10.1176/appi.neuropsych.17.1.61" TargetMode="External"/><Relationship Id="rId571" Type="http://schemas.openxmlformats.org/officeDocument/2006/relationships/hyperlink" Target="https://doi.org/10.1080/13803390490520418" TargetMode="External"/><Relationship Id="rId2252" Type="http://schemas.openxmlformats.org/officeDocument/2006/relationships/hyperlink" Target="https://doi.org/10.1080/13546805.2018.1506324" TargetMode="External"/><Relationship Id="rId3303" Type="http://schemas.openxmlformats.org/officeDocument/2006/relationships/hyperlink" Target="https://doi.org/10.1016/j.jpsychires.2016.06.010" TargetMode="External"/><Relationship Id="rId6459" Type="http://schemas.openxmlformats.org/officeDocument/2006/relationships/hyperlink" Target="https://doi.org/10.1590/S0100-879X2007000300019" TargetMode="External"/><Relationship Id="rId224" Type="http://schemas.openxmlformats.org/officeDocument/2006/relationships/hyperlink" Target="https://doi.org/10.1111/ene.12172" TargetMode="External"/><Relationship Id="rId5475" Type="http://schemas.openxmlformats.org/officeDocument/2006/relationships/hyperlink" Target="https://doi.org/10.1007/s00406-018-0948-5" TargetMode="External"/><Relationship Id="rId6526" Type="http://schemas.openxmlformats.org/officeDocument/2006/relationships/hyperlink" Target="https://doi.org/10.1159/000370110" TargetMode="External"/><Relationship Id="rId4077" Type="http://schemas.openxmlformats.org/officeDocument/2006/relationships/hyperlink" Target="https://doi.org/10.1080/02699050400025257" TargetMode="External"/><Relationship Id="rId4491" Type="http://schemas.openxmlformats.org/officeDocument/2006/relationships/hyperlink" Target="https://doi.org/10.1016/j.neuropsychologia.2009.11.015" TargetMode="External"/><Relationship Id="rId5128" Type="http://schemas.openxmlformats.org/officeDocument/2006/relationships/hyperlink" Target="https://doi.org/10.1186/1471-244X-13-203" TargetMode="External"/><Relationship Id="rId5542" Type="http://schemas.openxmlformats.org/officeDocument/2006/relationships/hyperlink" Target="https://doi.org/10.3928/0048-5713-20030801-09" TargetMode="External"/><Relationship Id="rId1738" Type="http://schemas.openxmlformats.org/officeDocument/2006/relationships/hyperlink" Target="https://doi.org/10.1017/S135561770410310X" TargetMode="External"/><Relationship Id="rId3093" Type="http://schemas.openxmlformats.org/officeDocument/2006/relationships/hyperlink" Target="https://doi.org/10.1016/B978-0-12-380882-0.00006-1" TargetMode="External"/><Relationship Id="rId4144" Type="http://schemas.openxmlformats.org/officeDocument/2006/relationships/hyperlink" Target="https://doi.org/10.1016/j.yebeh.2012.04.131" TargetMode="External"/><Relationship Id="rId3160" Type="http://schemas.openxmlformats.org/officeDocument/2006/relationships/hyperlink" Target="https://doi.org/10.1111/bjc.12095" TargetMode="External"/><Relationship Id="rId4211" Type="http://schemas.openxmlformats.org/officeDocument/2006/relationships/hyperlink" Target="https://doi.org/10.1016/B978-0-12-396988-0.00008-8" TargetMode="External"/><Relationship Id="rId1805" Type="http://schemas.openxmlformats.org/officeDocument/2006/relationships/hyperlink" Target="https://doi.org/10.1001/jamapsychiatry.2014.1105" TargetMode="External"/><Relationship Id="rId3977" Type="http://schemas.openxmlformats.org/officeDocument/2006/relationships/hyperlink" Target="https://doi.org/10.1016/j.drugalcdep.2010.12.017" TargetMode="External"/><Relationship Id="rId6036" Type="http://schemas.openxmlformats.org/officeDocument/2006/relationships/hyperlink" Target="https://doi.org/10.1080/08039480902879941" TargetMode="External"/><Relationship Id="rId6383" Type="http://schemas.openxmlformats.org/officeDocument/2006/relationships/hyperlink" Target="https://doi.org/10.1002/pon.4571" TargetMode="External"/><Relationship Id="rId898" Type="http://schemas.openxmlformats.org/officeDocument/2006/relationships/hyperlink" Target="https://doi.org/10.1016/j.neuropsychologia.2019.05.019" TargetMode="External"/><Relationship Id="rId2579" Type="http://schemas.openxmlformats.org/officeDocument/2006/relationships/hyperlink" Target="https://doi.org/10.1016/j.comppsych.2010.10.012" TargetMode="External"/><Relationship Id="rId2993" Type="http://schemas.openxmlformats.org/officeDocument/2006/relationships/hyperlink" Target="https://doi.org/10.1017/S1355617700000692" TargetMode="External"/><Relationship Id="rId6450" Type="http://schemas.openxmlformats.org/officeDocument/2006/relationships/hyperlink" Target="https://doi.org/10.1016/j.neubiorev.2014.02.005" TargetMode="External"/><Relationship Id="rId965" Type="http://schemas.openxmlformats.org/officeDocument/2006/relationships/hyperlink" Target="https://doi.org/10.1017/S0033291712002838" TargetMode="External"/><Relationship Id="rId1595" Type="http://schemas.openxmlformats.org/officeDocument/2006/relationships/hyperlink" Target="https://doi.org/10.1080/13854046.2012.663000" TargetMode="External"/><Relationship Id="rId2646" Type="http://schemas.openxmlformats.org/officeDocument/2006/relationships/hyperlink" Target="https://doi.org/10.1007/s00406-013-0433-0" TargetMode="External"/><Relationship Id="rId5052" Type="http://schemas.openxmlformats.org/officeDocument/2006/relationships/hyperlink" Target="https://doi.org/10.1097/JCP.0b013e3181aba68f" TargetMode="External"/><Relationship Id="rId6103" Type="http://schemas.openxmlformats.org/officeDocument/2006/relationships/hyperlink" Target="https://doi.org/10.1016/j.schres.2013.07.052" TargetMode="External"/><Relationship Id="rId618" Type="http://schemas.openxmlformats.org/officeDocument/2006/relationships/hyperlink" Target="https://doi.org/10.1016/j.schres.2016.06.007" TargetMode="External"/><Relationship Id="rId1248" Type="http://schemas.openxmlformats.org/officeDocument/2006/relationships/hyperlink" Target="https://doi.org/10.1016/j.schres.2007.06.021" TargetMode="External"/><Relationship Id="rId1662" Type="http://schemas.openxmlformats.org/officeDocument/2006/relationships/hyperlink" Target="https://doi.org/10.1080/02643294.2012.712957" TargetMode="External"/><Relationship Id="rId5869" Type="http://schemas.openxmlformats.org/officeDocument/2006/relationships/hyperlink" Target="https://doi.org/10.1016/S0006-3223(98)00279-0" TargetMode="External"/><Relationship Id="rId1315" Type="http://schemas.openxmlformats.org/officeDocument/2006/relationships/hyperlink" Target="https://doi.org/10.1080/13825580490904192" TargetMode="External"/><Relationship Id="rId2713" Type="http://schemas.openxmlformats.org/officeDocument/2006/relationships/hyperlink" Target="https://doi.org/10.1590/2237-6089-2016-0032" TargetMode="External"/><Relationship Id="rId4885" Type="http://schemas.openxmlformats.org/officeDocument/2006/relationships/hyperlink" Target="https://doi.org/10.1590/S1980-57642012DN06010002" TargetMode="External"/><Relationship Id="rId5936" Type="http://schemas.openxmlformats.org/officeDocument/2006/relationships/hyperlink" Target="https://doi.org/10.1016/j.acn.2008.06.005" TargetMode="External"/><Relationship Id="rId21" Type="http://schemas.openxmlformats.org/officeDocument/2006/relationships/hyperlink" Target="https://doi.org/10.1080/21622965.2016.1224186" TargetMode="External"/><Relationship Id="rId2089" Type="http://schemas.openxmlformats.org/officeDocument/2006/relationships/hyperlink" Target="https://doi.org/10.1007/s10519-011-9502-1" TargetMode="External"/><Relationship Id="rId3487" Type="http://schemas.openxmlformats.org/officeDocument/2006/relationships/hyperlink" Target="https://doi.org/10.1016/j.pscychresns.2017.10.011" TargetMode="External"/><Relationship Id="rId4538" Type="http://schemas.openxmlformats.org/officeDocument/2006/relationships/hyperlink" Target="https://doi.org/10.1016/j.jns.2012.02.022" TargetMode="External"/><Relationship Id="rId4952" Type="http://schemas.openxmlformats.org/officeDocument/2006/relationships/hyperlink" Target="https://doi.org/10.1097/01.JGP.0000240824.84867.02" TargetMode="External"/><Relationship Id="rId3554" Type="http://schemas.openxmlformats.org/officeDocument/2006/relationships/hyperlink" Target="https://doi.org/10.1016/j.addbeh.2010.06.022" TargetMode="External"/><Relationship Id="rId4605" Type="http://schemas.openxmlformats.org/officeDocument/2006/relationships/hyperlink" Target="https://doi.org/10.1016/j.neuropsychologia.2009.09.031" TargetMode="External"/><Relationship Id="rId475" Type="http://schemas.openxmlformats.org/officeDocument/2006/relationships/hyperlink" Target="https://doi.org/10.1016/j.neuropsychologia.2016.01.034" TargetMode="External"/><Relationship Id="rId2156" Type="http://schemas.openxmlformats.org/officeDocument/2006/relationships/hyperlink" Target="https://doi.org/10.1111/jgs.12654" TargetMode="External"/><Relationship Id="rId2570" Type="http://schemas.openxmlformats.org/officeDocument/2006/relationships/hyperlink" Target="https://doi.org/10.1016/j.jns.2018.10.010" TargetMode="External"/><Relationship Id="rId3207" Type="http://schemas.openxmlformats.org/officeDocument/2006/relationships/hyperlink" Target="https://doi.org/10.1001/archgenpsychiatry.2010.163" TargetMode="External"/><Relationship Id="rId3621" Type="http://schemas.openxmlformats.org/officeDocument/2006/relationships/hyperlink" Target="https://doi.org/10.1016/j.neunet.2012.04.005" TargetMode="External"/><Relationship Id="rId128" Type="http://schemas.openxmlformats.org/officeDocument/2006/relationships/hyperlink" Target="https://doi.org/10.1111/acps.12949" TargetMode="External"/><Relationship Id="rId542" Type="http://schemas.openxmlformats.org/officeDocument/2006/relationships/hyperlink" Target="https://doi.org/10.3109/16066359.2012.705399" TargetMode="External"/><Relationship Id="rId1172" Type="http://schemas.openxmlformats.org/officeDocument/2006/relationships/hyperlink" Target="https://doi.org/10.1523/JNEUROSCI.0601-07.2007" TargetMode="External"/><Relationship Id="rId2223" Type="http://schemas.openxmlformats.org/officeDocument/2006/relationships/hyperlink" Target="https://doi.org/10.1017/S1355617711000737" TargetMode="External"/><Relationship Id="rId5379" Type="http://schemas.openxmlformats.org/officeDocument/2006/relationships/hyperlink" Target="https://doi.org/10.1016/j.ijdevneu.2011.08.006" TargetMode="External"/><Relationship Id="rId5793" Type="http://schemas.openxmlformats.org/officeDocument/2006/relationships/hyperlink" Target="https://doi.org/10.1371/journal.pone.0010151" TargetMode="External"/><Relationship Id="rId4395" Type="http://schemas.openxmlformats.org/officeDocument/2006/relationships/hyperlink" Target="https://doi.org/10.1016/j.yebeh.2019.03.008" TargetMode="External"/><Relationship Id="rId5446" Type="http://schemas.openxmlformats.org/officeDocument/2006/relationships/hyperlink" Target="https://doi.org/10.1111/bdi.12385" TargetMode="External"/><Relationship Id="rId1989" Type="http://schemas.openxmlformats.org/officeDocument/2006/relationships/hyperlink" Target="https://doi.org/10.1093/schbul/sbz082" TargetMode="External"/><Relationship Id="rId4048" Type="http://schemas.openxmlformats.org/officeDocument/2006/relationships/hyperlink" Target="https://doi.org/10.1016/j.psychres.2017.10.016" TargetMode="External"/><Relationship Id="rId5860" Type="http://schemas.openxmlformats.org/officeDocument/2006/relationships/hyperlink" Target="https://doi.org/10.1016/j.jns.2006.05.032" TargetMode="External"/><Relationship Id="rId3064" Type="http://schemas.openxmlformats.org/officeDocument/2006/relationships/hyperlink" Target="https://doi.org/10.1080/13803395.2018.1564813" TargetMode="External"/><Relationship Id="rId4462" Type="http://schemas.openxmlformats.org/officeDocument/2006/relationships/hyperlink" Target="https://doi.org/10.1016/j.neuropsychologia.2009.12.003" TargetMode="External"/><Relationship Id="rId5513" Type="http://schemas.openxmlformats.org/officeDocument/2006/relationships/hyperlink" Target="https://doi.org/10.1037/a0013281" TargetMode="External"/><Relationship Id="rId1709" Type="http://schemas.openxmlformats.org/officeDocument/2006/relationships/hyperlink" Target="https://doi.org/10.1037/0894-4105.20.5.607" TargetMode="External"/><Relationship Id="rId4115" Type="http://schemas.openxmlformats.org/officeDocument/2006/relationships/hyperlink" Target="https://doi.org/10.1002/da.20484" TargetMode="External"/><Relationship Id="rId2080" Type="http://schemas.openxmlformats.org/officeDocument/2006/relationships/hyperlink" Target="https://doi.org/10.1017/S1355617710000482" TargetMode="External"/><Relationship Id="rId3131" Type="http://schemas.openxmlformats.org/officeDocument/2006/relationships/hyperlink" Target="https://doi.org/10.1111/j.1399-5618.2010.00857.x" TargetMode="External"/><Relationship Id="rId6287" Type="http://schemas.openxmlformats.org/officeDocument/2006/relationships/hyperlink" Target="https://doi.org/10.1080/15366367.2014.929453" TargetMode="External"/><Relationship Id="rId2897" Type="http://schemas.openxmlformats.org/officeDocument/2006/relationships/hyperlink" Target="https://doi.org/10.1093/geronb/gbs090" TargetMode="External"/><Relationship Id="rId3948" Type="http://schemas.openxmlformats.org/officeDocument/2006/relationships/hyperlink" Target="https://doi.org/10.1080/02699930341000310" TargetMode="External"/><Relationship Id="rId6354" Type="http://schemas.openxmlformats.org/officeDocument/2006/relationships/hyperlink" Target="https://doi.org/10.1016/j.jns.2014.04.005" TargetMode="External"/><Relationship Id="rId869" Type="http://schemas.openxmlformats.org/officeDocument/2006/relationships/hyperlink" Target="https://doi.org/10.1080/09602011.2013.832335" TargetMode="External"/><Relationship Id="rId1499" Type="http://schemas.openxmlformats.org/officeDocument/2006/relationships/hyperlink" Target="https://doi.org/10.1212/WNL.0b013e31829a3373" TargetMode="External"/><Relationship Id="rId5370" Type="http://schemas.openxmlformats.org/officeDocument/2006/relationships/hyperlink" Target="https://doi.org/10.1093/brain/awr353" TargetMode="External"/><Relationship Id="rId6007" Type="http://schemas.openxmlformats.org/officeDocument/2006/relationships/hyperlink" Target="https://doi.org/10.1097/WNN.0000000000000021" TargetMode="External"/><Relationship Id="rId6421" Type="http://schemas.openxmlformats.org/officeDocument/2006/relationships/hyperlink" Target="https://doi.org/10.1080/13854046.2011.613855" TargetMode="External"/><Relationship Id="rId2964" Type="http://schemas.openxmlformats.org/officeDocument/2006/relationships/hyperlink" Target="https://doi.org/10.9758/cpn.2016.14.3.270" TargetMode="External"/><Relationship Id="rId5023" Type="http://schemas.openxmlformats.org/officeDocument/2006/relationships/hyperlink" Target="https://doi.org/10.1016/j.ajp.2019.07.037" TargetMode="External"/><Relationship Id="rId936" Type="http://schemas.openxmlformats.org/officeDocument/2006/relationships/hyperlink" Target="https://doi.org/10.1016/j.psychres.2012.06.011" TargetMode="External"/><Relationship Id="rId1219" Type="http://schemas.openxmlformats.org/officeDocument/2006/relationships/hyperlink" Target="https://doi.org/10.1093/acprof:oso/9780198526544.003.0019" TargetMode="External"/><Relationship Id="rId1566" Type="http://schemas.openxmlformats.org/officeDocument/2006/relationships/hyperlink" Target="https://doi.org/10.1016/j.neuropsychologia.2012.07.004" TargetMode="External"/><Relationship Id="rId1980" Type="http://schemas.openxmlformats.org/officeDocument/2006/relationships/hyperlink" Target="https://doi.org/10.1080/13803395.2014.915933" TargetMode="External"/><Relationship Id="rId2617" Type="http://schemas.openxmlformats.org/officeDocument/2006/relationships/hyperlink" Target="https://doi.org/10.1017/S1355617707070063" TargetMode="External"/><Relationship Id="rId1633" Type="http://schemas.openxmlformats.org/officeDocument/2006/relationships/hyperlink" Target="https://doi.org/10.1038/sj.npp.1300553" TargetMode="External"/><Relationship Id="rId4789" Type="http://schemas.openxmlformats.org/officeDocument/2006/relationships/hyperlink" Target="https://doi.org/10.1080/21622965.2016.1197127" TargetMode="External"/><Relationship Id="rId1700" Type="http://schemas.openxmlformats.org/officeDocument/2006/relationships/hyperlink" Target="https://doi.org/10.15689/ap.2016.1501.04" TargetMode="External"/><Relationship Id="rId4856" Type="http://schemas.openxmlformats.org/officeDocument/2006/relationships/hyperlink" Target="https://doi.org/10.3200/GNTP.167.3.269-287" TargetMode="External"/><Relationship Id="rId5907" Type="http://schemas.openxmlformats.org/officeDocument/2006/relationships/hyperlink" Target="https://doi.org/10.1016/j.jsat.2009.03.009" TargetMode="External"/><Relationship Id="rId3458" Type="http://schemas.openxmlformats.org/officeDocument/2006/relationships/hyperlink" Target="https://doi.org/10.1076/jcen.21.1.2.940" TargetMode="External"/><Relationship Id="rId3872" Type="http://schemas.openxmlformats.org/officeDocument/2006/relationships/hyperlink" Target="https://doi.org/10.1080/13854046.2019.1635647" TargetMode="External"/><Relationship Id="rId4509" Type="http://schemas.openxmlformats.org/officeDocument/2006/relationships/hyperlink" Target="https://doi.org/10.1016/S0010-9452(08)70175-8" TargetMode="External"/><Relationship Id="rId379" Type="http://schemas.openxmlformats.org/officeDocument/2006/relationships/hyperlink" Target="https://doi.org/10.1016/j.neurobiolaging.2013.03.019" TargetMode="External"/><Relationship Id="rId793" Type="http://schemas.openxmlformats.org/officeDocument/2006/relationships/hyperlink" Target="https://doi.org/10.1212/WNL.0000000000003611" TargetMode="External"/><Relationship Id="rId2474" Type="http://schemas.openxmlformats.org/officeDocument/2006/relationships/hyperlink" Target="https://doi.org/10.3109/02699052.2015.1075155" TargetMode="External"/><Relationship Id="rId3525" Type="http://schemas.openxmlformats.org/officeDocument/2006/relationships/hyperlink" Target="https://doi.org/10.1016/j.schres.2005.07.005" TargetMode="External"/><Relationship Id="rId4923" Type="http://schemas.openxmlformats.org/officeDocument/2006/relationships/hyperlink" Target="https://doi.org/10.1176/ajp.150.2.333" TargetMode="External"/><Relationship Id="rId446" Type="http://schemas.openxmlformats.org/officeDocument/2006/relationships/hyperlink" Target="https://doi.org/10.1080/10874208.2013.813174" TargetMode="External"/><Relationship Id="rId1076" Type="http://schemas.openxmlformats.org/officeDocument/2006/relationships/hyperlink" Target="https://doi.org/10.1016/j.schres.2006.04.007" TargetMode="External"/><Relationship Id="rId1490" Type="http://schemas.openxmlformats.org/officeDocument/2006/relationships/hyperlink" Target="https://doi.org/10.1017/S104161020700542X" TargetMode="External"/><Relationship Id="rId2127" Type="http://schemas.openxmlformats.org/officeDocument/2006/relationships/hyperlink" Target="https://doi.org/10.1002/hbm.24066" TargetMode="External"/><Relationship Id="rId860" Type="http://schemas.openxmlformats.org/officeDocument/2006/relationships/hyperlink" Target="https://doi.org/10.1007/978-1-62703-248-3_4" TargetMode="External"/><Relationship Id="rId1143" Type="http://schemas.openxmlformats.org/officeDocument/2006/relationships/hyperlink" Target="https://doi.org/10.1016/S0920-9964(97)00075-3" TargetMode="External"/><Relationship Id="rId2541" Type="http://schemas.openxmlformats.org/officeDocument/2006/relationships/hyperlink" Target="https://doi.org/10.1016/j.ridd.2012.12.003" TargetMode="External"/><Relationship Id="rId4299" Type="http://schemas.openxmlformats.org/officeDocument/2006/relationships/hyperlink" Target="https://doi.org/10.1097/01.wnn.0000213901.82697.d5" TargetMode="External"/><Relationship Id="rId5697" Type="http://schemas.openxmlformats.org/officeDocument/2006/relationships/hyperlink" Target="https://doi.org/10.1097/00005053-199810000-00002" TargetMode="External"/><Relationship Id="rId513" Type="http://schemas.openxmlformats.org/officeDocument/2006/relationships/hyperlink" Target="https://doi.org/10.1016/j.clinph.2004.09.010" TargetMode="External"/><Relationship Id="rId5764" Type="http://schemas.openxmlformats.org/officeDocument/2006/relationships/hyperlink" Target="https://doi.org/10.1017/S1355617709990713" TargetMode="External"/><Relationship Id="rId1210" Type="http://schemas.openxmlformats.org/officeDocument/2006/relationships/hyperlink" Target="https://doi.org/10.1080/13554794.2016.1194999" TargetMode="External"/><Relationship Id="rId4366" Type="http://schemas.openxmlformats.org/officeDocument/2006/relationships/hyperlink" Target="https://doi.org/10.1159/000029113" TargetMode="External"/><Relationship Id="rId4780" Type="http://schemas.openxmlformats.org/officeDocument/2006/relationships/hyperlink" Target="https://doi.org/10.1037/pne0000082" TargetMode="External"/><Relationship Id="rId5417" Type="http://schemas.openxmlformats.org/officeDocument/2006/relationships/hyperlink" Target="https://doi.org/10.1016/S0022-3956(03)00091-8" TargetMode="External"/><Relationship Id="rId5831" Type="http://schemas.openxmlformats.org/officeDocument/2006/relationships/hyperlink" Target="https://doi.org/10.1080/13803395.2016.1201050" TargetMode="External"/><Relationship Id="rId3382" Type="http://schemas.openxmlformats.org/officeDocument/2006/relationships/hyperlink" Target="https://doi.org/10.1007/s10608-017-9853-x" TargetMode="External"/><Relationship Id="rId4019" Type="http://schemas.openxmlformats.org/officeDocument/2006/relationships/hyperlink" Target="https://doi.org/10.1016/j.clinthera.2008.04.012" TargetMode="External"/><Relationship Id="rId4433" Type="http://schemas.openxmlformats.org/officeDocument/2006/relationships/hyperlink" Target="https://doi.org/10.1080/13546805.2011.568289" TargetMode="External"/><Relationship Id="rId3035" Type="http://schemas.openxmlformats.org/officeDocument/2006/relationships/hyperlink" Target="https://doi.org/10.1038/283" TargetMode="External"/><Relationship Id="rId4500" Type="http://schemas.openxmlformats.org/officeDocument/2006/relationships/hyperlink" Target="https://doi.org/10.1352/1944-7558-119.3.220" TargetMode="External"/><Relationship Id="rId370" Type="http://schemas.openxmlformats.org/officeDocument/2006/relationships/hyperlink" Target="https://doi.org/10.1016/j.yebeh.2010.01.010" TargetMode="External"/><Relationship Id="rId2051" Type="http://schemas.openxmlformats.org/officeDocument/2006/relationships/hyperlink" Target="https://doi.org/10.1093/brain/awl093" TargetMode="External"/><Relationship Id="rId3102" Type="http://schemas.openxmlformats.org/officeDocument/2006/relationships/hyperlink" Target="https://doi.org/10.1371/journal.pone.0232470" TargetMode="External"/><Relationship Id="rId6258" Type="http://schemas.openxmlformats.org/officeDocument/2006/relationships/hyperlink" Target="https://doi.org/10.1093/oxfordjournals.schbul.a007124" TargetMode="External"/><Relationship Id="rId5274" Type="http://schemas.openxmlformats.org/officeDocument/2006/relationships/hyperlink" Target="https://doi.org/10.1016/j.ajp.2013.09.006" TargetMode="External"/><Relationship Id="rId6325" Type="http://schemas.openxmlformats.org/officeDocument/2006/relationships/hyperlink" Target="https://doi.org/10.4321/S0213-61632012000200001" TargetMode="External"/><Relationship Id="rId2868" Type="http://schemas.openxmlformats.org/officeDocument/2006/relationships/hyperlink" Target="https://doi.org/10.1093/oxfordjournals.schbul.a006990" TargetMode="External"/><Relationship Id="rId3919" Type="http://schemas.openxmlformats.org/officeDocument/2006/relationships/hyperlink" Target="https://doi.org/10.1177/0022219411427349" TargetMode="External"/><Relationship Id="rId1884" Type="http://schemas.openxmlformats.org/officeDocument/2006/relationships/hyperlink" Target="https://doi.org/10.1016/j.biopsych.2005.04.056" TargetMode="External"/><Relationship Id="rId2935" Type="http://schemas.openxmlformats.org/officeDocument/2006/relationships/hyperlink" Target="https://doi.org/10.1017/S1355617707070816" TargetMode="External"/><Relationship Id="rId4290" Type="http://schemas.openxmlformats.org/officeDocument/2006/relationships/hyperlink" Target="https://doi.org/10.1080/13803390902858874" TargetMode="External"/><Relationship Id="rId5341" Type="http://schemas.openxmlformats.org/officeDocument/2006/relationships/hyperlink" Target="https://doi.org/10.1017/S1355617709090857" TargetMode="External"/><Relationship Id="rId907" Type="http://schemas.openxmlformats.org/officeDocument/2006/relationships/hyperlink" Target="https://doi.org/10.1080/13554794.2013.873059" TargetMode="External"/><Relationship Id="rId1537" Type="http://schemas.openxmlformats.org/officeDocument/2006/relationships/hyperlink" Target="https://doi.org/10.1002/gps.4438" TargetMode="External"/><Relationship Id="rId1951" Type="http://schemas.openxmlformats.org/officeDocument/2006/relationships/hyperlink" Target="https://doi.org/10.1017/S0033291710001303" TargetMode="External"/><Relationship Id="rId1604" Type="http://schemas.openxmlformats.org/officeDocument/2006/relationships/hyperlink" Target="https://doi.org/10.1159/000075831" TargetMode="External"/><Relationship Id="rId4010" Type="http://schemas.openxmlformats.org/officeDocument/2006/relationships/hyperlink" Target="https://doi.org/10.1016/j.jocrd.2017.06.005" TargetMode="External"/><Relationship Id="rId6182" Type="http://schemas.openxmlformats.org/officeDocument/2006/relationships/hyperlink" Target="https://doi.org/10.1016/j.jalz.2012.07.006" TargetMode="External"/><Relationship Id="rId697" Type="http://schemas.openxmlformats.org/officeDocument/2006/relationships/hyperlink" Target="https://doi.org/10.1016/j.adolescence.2017.05.001" TargetMode="External"/><Relationship Id="rId2378" Type="http://schemas.openxmlformats.org/officeDocument/2006/relationships/hyperlink" Target="https://doi.org/10.1037/a0029301" TargetMode="External"/><Relationship Id="rId3429" Type="http://schemas.openxmlformats.org/officeDocument/2006/relationships/hyperlink" Target="https://doi.org/10.1212/WNL.0000000000002067" TargetMode="External"/><Relationship Id="rId3776" Type="http://schemas.openxmlformats.org/officeDocument/2006/relationships/hyperlink" Target="https://doi.org/10.1016/j.jadohealth.2010.11.259" TargetMode="External"/><Relationship Id="rId4827" Type="http://schemas.openxmlformats.org/officeDocument/2006/relationships/hyperlink" Target="https://doi.org/10.1136/jnnp.2005.073403" TargetMode="External"/><Relationship Id="rId2792" Type="http://schemas.openxmlformats.org/officeDocument/2006/relationships/hyperlink" Target="https://doi.org/10.1016/j.braindev.2011.08.008" TargetMode="External"/><Relationship Id="rId3843" Type="http://schemas.openxmlformats.org/officeDocument/2006/relationships/hyperlink" Target="https://doi.org/10.1016/j.psychres.2010.04.044" TargetMode="External"/><Relationship Id="rId764" Type="http://schemas.openxmlformats.org/officeDocument/2006/relationships/hyperlink" Target="https://doi.org/10.1016/j.concog.2006.11.007" TargetMode="External"/><Relationship Id="rId1394" Type="http://schemas.openxmlformats.org/officeDocument/2006/relationships/hyperlink" Target="https://doi.org/10.1093/arclin/11.4.295" TargetMode="External"/><Relationship Id="rId2445" Type="http://schemas.openxmlformats.org/officeDocument/2006/relationships/hyperlink" Target="https://doi.org/10.1017/S1355617716000084" TargetMode="External"/><Relationship Id="rId3910" Type="http://schemas.openxmlformats.org/officeDocument/2006/relationships/hyperlink" Target="https://doi.org/10.1177/1073191103253498" TargetMode="External"/><Relationship Id="rId417" Type="http://schemas.openxmlformats.org/officeDocument/2006/relationships/hyperlink" Target="https://doi.org/10.1016/j.schres.2009.12.037" TargetMode="External"/><Relationship Id="rId831" Type="http://schemas.openxmlformats.org/officeDocument/2006/relationships/hyperlink" Target="https://doi.org/10.1080/13554794.2011.654212" TargetMode="External"/><Relationship Id="rId1047" Type="http://schemas.openxmlformats.org/officeDocument/2006/relationships/hyperlink" Target="https://doi.org/10.1016/j.yebeh.2012.11.040" TargetMode="External"/><Relationship Id="rId1461" Type="http://schemas.openxmlformats.org/officeDocument/2006/relationships/hyperlink" Target="https://doi.org/10.1016/j.nurx.2005.12.010" TargetMode="External"/><Relationship Id="rId2512" Type="http://schemas.openxmlformats.org/officeDocument/2006/relationships/hyperlink" Target="https://doi.org/10.1037/a0013985" TargetMode="External"/><Relationship Id="rId5668" Type="http://schemas.openxmlformats.org/officeDocument/2006/relationships/hyperlink" Target="https://doi.org/10.1080/13825585.2020.1840505" TargetMode="External"/><Relationship Id="rId1114" Type="http://schemas.openxmlformats.org/officeDocument/2006/relationships/hyperlink" Target="https://doi.org/10.4074/S0003503307001029" TargetMode="External"/><Relationship Id="rId4684" Type="http://schemas.openxmlformats.org/officeDocument/2006/relationships/hyperlink" Target="https://doi.org/10.1006/brln.1999.2032" TargetMode="External"/><Relationship Id="rId5735" Type="http://schemas.openxmlformats.org/officeDocument/2006/relationships/hyperlink" Target="https://doi.org/10.1375/twin.10.6.829" TargetMode="External"/><Relationship Id="rId3286" Type="http://schemas.openxmlformats.org/officeDocument/2006/relationships/hyperlink" Target="https://doi.org/10.1080/13854046.2018.1487586" TargetMode="External"/><Relationship Id="rId4337" Type="http://schemas.openxmlformats.org/officeDocument/2006/relationships/hyperlink" Target="https://doi.org/10.4088/JCP.v68n0505" TargetMode="External"/><Relationship Id="rId3353" Type="http://schemas.openxmlformats.org/officeDocument/2006/relationships/hyperlink" Target="https://doi.org/10.2147/NDT.S195562" TargetMode="External"/><Relationship Id="rId4751" Type="http://schemas.openxmlformats.org/officeDocument/2006/relationships/hyperlink" Target="https://doi.org/10.1016/j.psychres.2009.12.009" TargetMode="External"/><Relationship Id="rId5802" Type="http://schemas.openxmlformats.org/officeDocument/2006/relationships/hyperlink" Target="https://doi.org/10.1111/j.1440-1819.2009.02033.x" TargetMode="External"/><Relationship Id="rId274" Type="http://schemas.openxmlformats.org/officeDocument/2006/relationships/hyperlink" Target="https://doi.org/10.1159/000450550" TargetMode="External"/><Relationship Id="rId3006" Type="http://schemas.openxmlformats.org/officeDocument/2006/relationships/hyperlink" Target="https://doi.org/10.1111/j.1468-1331.2006.01407.x" TargetMode="External"/><Relationship Id="rId4404" Type="http://schemas.openxmlformats.org/officeDocument/2006/relationships/hyperlink" Target="https://doi.org/10.1111/j.1468-1331.2009.02910.x" TargetMode="External"/><Relationship Id="rId3420" Type="http://schemas.openxmlformats.org/officeDocument/2006/relationships/hyperlink" Target="https://doi.org/10.1016/j.schres.2015.03.006" TargetMode="External"/><Relationship Id="rId341" Type="http://schemas.openxmlformats.org/officeDocument/2006/relationships/hyperlink" Target="https://doi.org/10.1016/j.pnpbp.2005.01.008" TargetMode="External"/><Relationship Id="rId2022" Type="http://schemas.openxmlformats.org/officeDocument/2006/relationships/hyperlink" Target="https://doi.org/10.1007/s10803-020-04368-9" TargetMode="External"/><Relationship Id="rId5178" Type="http://schemas.openxmlformats.org/officeDocument/2006/relationships/hyperlink" Target="https://doi.org/10.1016/j.neuropsychologia.2003.11.020" TargetMode="External"/><Relationship Id="rId5592" Type="http://schemas.openxmlformats.org/officeDocument/2006/relationships/hyperlink" Target="https://doi.org/10.1017/S1355617707070154" TargetMode="External"/><Relationship Id="rId6229" Type="http://schemas.openxmlformats.org/officeDocument/2006/relationships/hyperlink" Target="https://doi.org/10.1016/j.psychres.2017.09.005" TargetMode="External"/><Relationship Id="rId1788" Type="http://schemas.openxmlformats.org/officeDocument/2006/relationships/hyperlink" Target="https://doi.org/10.1080/13803390903002191" TargetMode="External"/><Relationship Id="rId2839" Type="http://schemas.openxmlformats.org/officeDocument/2006/relationships/hyperlink" Target="https://doi.org/10.1080/09084282.2011.643942" TargetMode="External"/><Relationship Id="rId4194" Type="http://schemas.openxmlformats.org/officeDocument/2006/relationships/hyperlink" Target="https://doi.org/10.1111/j.2044-8260.1996.tb01219.x" TargetMode="External"/><Relationship Id="rId5245" Type="http://schemas.openxmlformats.org/officeDocument/2006/relationships/hyperlink" Target="https://doi.org/10.3389/fnagi.2014.00263" TargetMode="External"/><Relationship Id="rId4261" Type="http://schemas.openxmlformats.org/officeDocument/2006/relationships/hyperlink" Target="https://doi.org/10.3233/JAD-150863" TargetMode="External"/><Relationship Id="rId5312" Type="http://schemas.openxmlformats.org/officeDocument/2006/relationships/hyperlink" Target="https://doi.org/10.1111/j.1528-1167.2011.03022.x" TargetMode="External"/><Relationship Id="rId1508" Type="http://schemas.openxmlformats.org/officeDocument/2006/relationships/hyperlink" Target="https://doi.org/10.2466/PR0.96.1.67-76" TargetMode="External"/><Relationship Id="rId1855" Type="http://schemas.openxmlformats.org/officeDocument/2006/relationships/hyperlink" Target="https://doi.org/10.1080/09084282.2011.595601" TargetMode="External"/><Relationship Id="rId2906" Type="http://schemas.openxmlformats.org/officeDocument/2006/relationships/hyperlink" Target="https://doi.org/10.1017/S0033291703008754" TargetMode="External"/><Relationship Id="rId1922" Type="http://schemas.openxmlformats.org/officeDocument/2006/relationships/hyperlink" Target="https://doi.org/10.3109/02699052.2010.489791" TargetMode="External"/><Relationship Id="rId6086" Type="http://schemas.openxmlformats.org/officeDocument/2006/relationships/hyperlink" Target="https://doi.org/10.1080/09602011.2020.1751663" TargetMode="External"/><Relationship Id="rId2696" Type="http://schemas.openxmlformats.org/officeDocument/2006/relationships/hyperlink" Target="https://doi.org/10.3389/fpsyg.2016.01658" TargetMode="External"/><Relationship Id="rId3747" Type="http://schemas.openxmlformats.org/officeDocument/2006/relationships/hyperlink" Target="https://doi.org/10.1017/S135561770707083X" TargetMode="External"/><Relationship Id="rId6153" Type="http://schemas.openxmlformats.org/officeDocument/2006/relationships/hyperlink" Target="https://doi.org/10.1016/j.pnpbp.2017.05.016" TargetMode="External"/><Relationship Id="rId668" Type="http://schemas.openxmlformats.org/officeDocument/2006/relationships/hyperlink" Target="https://doi.org/10.1007/s10461-011-9973-3" TargetMode="External"/><Relationship Id="rId1298" Type="http://schemas.openxmlformats.org/officeDocument/2006/relationships/hyperlink" Target="https://doi.org/10.1136/jnnp.57.3.360" TargetMode="External"/><Relationship Id="rId2349" Type="http://schemas.openxmlformats.org/officeDocument/2006/relationships/hyperlink" Target="https://doi.org/10.1097/00001199-200507000-00005" TargetMode="External"/><Relationship Id="rId2763" Type="http://schemas.openxmlformats.org/officeDocument/2006/relationships/hyperlink" Target="https://doi.org/10.1136/jnnp.2004.055657" TargetMode="External"/><Relationship Id="rId3814" Type="http://schemas.openxmlformats.org/officeDocument/2006/relationships/hyperlink" Target="https://doi.org/10.1080/15487760701853136" TargetMode="External"/><Relationship Id="rId6220" Type="http://schemas.openxmlformats.org/officeDocument/2006/relationships/hyperlink" Target="https://doi.org/10.1016/j.neuropsychologia.2010.12.031" TargetMode="External"/><Relationship Id="rId735" Type="http://schemas.openxmlformats.org/officeDocument/2006/relationships/hyperlink" Target="https://doi.org/10.1097/WNF.0000000000000123" TargetMode="External"/><Relationship Id="rId1365" Type="http://schemas.openxmlformats.org/officeDocument/2006/relationships/hyperlink" Target="https://doi.org/10.1016/j.schres.2016.11.007" TargetMode="External"/><Relationship Id="rId2416" Type="http://schemas.openxmlformats.org/officeDocument/2006/relationships/hyperlink" Target="https://doi.org/10.1016/S0920-9964(98)00088-7" TargetMode="External"/><Relationship Id="rId1018" Type="http://schemas.openxmlformats.org/officeDocument/2006/relationships/hyperlink" Target="https://doi.org/10.1002/ajmg.b.32166" TargetMode="External"/><Relationship Id="rId1432" Type="http://schemas.openxmlformats.org/officeDocument/2006/relationships/hyperlink" Target="https://doi.org/10.1016/j.ijpsycho.2005.10.021" TargetMode="External"/><Relationship Id="rId2830" Type="http://schemas.openxmlformats.org/officeDocument/2006/relationships/hyperlink" Target="https://doi.org/10.1016/j.acn.2006.12.003" TargetMode="External"/><Relationship Id="rId4588" Type="http://schemas.openxmlformats.org/officeDocument/2006/relationships/hyperlink" Target="https://doi.org/10.1016/j.neuropsychologia.2008.05.027" TargetMode="External"/><Relationship Id="rId5639" Type="http://schemas.openxmlformats.org/officeDocument/2006/relationships/hyperlink" Target="https://doi.org/10.1590/S1516-44462011000300018" TargetMode="External"/><Relationship Id="rId5986" Type="http://schemas.openxmlformats.org/officeDocument/2006/relationships/hyperlink" Target="https://doi.org/10.1080/13854049708407044" TargetMode="External"/><Relationship Id="rId71" Type="http://schemas.openxmlformats.org/officeDocument/2006/relationships/hyperlink" Target="https://doi.org/10.1016/j.aap.2016.11.003" TargetMode="External"/><Relationship Id="rId802" Type="http://schemas.openxmlformats.org/officeDocument/2006/relationships/hyperlink" Target="https://doi.org/10.1016/S0022-3956(98)00063-6" TargetMode="External"/><Relationship Id="rId4655" Type="http://schemas.openxmlformats.org/officeDocument/2006/relationships/hyperlink" Target="https://doi.org/10.1038/npp.2017.85" TargetMode="External"/><Relationship Id="rId5706" Type="http://schemas.openxmlformats.org/officeDocument/2006/relationships/hyperlink" Target="https://doi.org/10.1111/j.1601-5215.2011.00562.x" TargetMode="External"/><Relationship Id="rId178" Type="http://schemas.openxmlformats.org/officeDocument/2006/relationships/hyperlink" Target="https://doi.org/10.1159/000321345" TargetMode="External"/><Relationship Id="rId3257" Type="http://schemas.openxmlformats.org/officeDocument/2006/relationships/hyperlink" Target="https://doi.org/10.1176/appi.ajp.163.11.1926" TargetMode="External"/><Relationship Id="rId3671" Type="http://schemas.openxmlformats.org/officeDocument/2006/relationships/hyperlink" Target="https://doi.org/10.3389/fnhum.2010.00224" TargetMode="External"/><Relationship Id="rId4308" Type="http://schemas.openxmlformats.org/officeDocument/2006/relationships/hyperlink" Target="https://doi.org/10.1016/j.psyneuen.2019.04.009" TargetMode="External"/><Relationship Id="rId4722" Type="http://schemas.openxmlformats.org/officeDocument/2006/relationships/hyperlink" Target="https://doi.org/10.1016/j.concog.2009.09.013" TargetMode="External"/><Relationship Id="rId592" Type="http://schemas.openxmlformats.org/officeDocument/2006/relationships/hyperlink" Target="https://doi.org/10.1016/j.euroneuro.2019.04.002" TargetMode="External"/><Relationship Id="rId2273" Type="http://schemas.openxmlformats.org/officeDocument/2006/relationships/hyperlink" Target="https://doi.org/10.1097/01.nmd.0000185938.30783.6b" TargetMode="External"/><Relationship Id="rId3324" Type="http://schemas.openxmlformats.org/officeDocument/2006/relationships/hyperlink" Target="https://doi.org/10.1016/j.pscychresns.2010.08.004" TargetMode="External"/><Relationship Id="rId245" Type="http://schemas.openxmlformats.org/officeDocument/2006/relationships/hyperlink" Target="https://doi.org/10.1080/13854040903527295" TargetMode="External"/><Relationship Id="rId2340" Type="http://schemas.openxmlformats.org/officeDocument/2006/relationships/hyperlink" Target="https://doi.org/10.1016/j.avb.2012.12.003" TargetMode="External"/><Relationship Id="rId5496" Type="http://schemas.openxmlformats.org/officeDocument/2006/relationships/hyperlink" Target="https://doi.org/10.1080/13803395.2020.1808595" TargetMode="External"/><Relationship Id="rId6547" Type="http://schemas.openxmlformats.org/officeDocument/2006/relationships/hyperlink" Target="https://doi.org/10.1016/j.jad.2016.01.029" TargetMode="External"/><Relationship Id="rId312" Type="http://schemas.openxmlformats.org/officeDocument/2006/relationships/hyperlink" Target="https://doi.org/10.1097/00001756-200210280-00011" TargetMode="External"/><Relationship Id="rId4098" Type="http://schemas.openxmlformats.org/officeDocument/2006/relationships/hyperlink" Target="https://doi.org/10.1017/S1355617706060644" TargetMode="External"/><Relationship Id="rId5149" Type="http://schemas.openxmlformats.org/officeDocument/2006/relationships/hyperlink" Target="https://doi.org/10.1017/S0033291711000419" TargetMode="External"/><Relationship Id="rId5563" Type="http://schemas.openxmlformats.org/officeDocument/2006/relationships/hyperlink" Target="https://doi.org/10.1080/08039480310000789" TargetMode="External"/><Relationship Id="rId4165" Type="http://schemas.openxmlformats.org/officeDocument/2006/relationships/hyperlink" Target="https://doi.org/10.1080/20445911.2011.575773" TargetMode="External"/><Relationship Id="rId5216" Type="http://schemas.openxmlformats.org/officeDocument/2006/relationships/hyperlink" Target="https://doi.org/10.1080/13854040802220034" TargetMode="External"/><Relationship Id="rId1759" Type="http://schemas.openxmlformats.org/officeDocument/2006/relationships/hyperlink" Target="https://doi.org/10.1177/0269881120928179" TargetMode="External"/><Relationship Id="rId3181" Type="http://schemas.openxmlformats.org/officeDocument/2006/relationships/hyperlink" Target="https://doi.org/10.1177/0269881106059495" TargetMode="External"/><Relationship Id="rId5630" Type="http://schemas.openxmlformats.org/officeDocument/2006/relationships/hyperlink" Target="https://doi.org/10.1016/j.schres.2007.06.008" TargetMode="External"/><Relationship Id="rId1826" Type="http://schemas.openxmlformats.org/officeDocument/2006/relationships/hyperlink" Target="https://doi.org/10.1111/j.1360-0443.2011.03455.x" TargetMode="External"/><Relationship Id="rId4232" Type="http://schemas.openxmlformats.org/officeDocument/2006/relationships/hyperlink" Target="https://doi.org/10.1002/1097-4679(199407)50:4%3c596::AID-JCLP2270500416%3e3.0.CO;2-S" TargetMode="External"/><Relationship Id="rId3998" Type="http://schemas.openxmlformats.org/officeDocument/2006/relationships/hyperlink" Target="https://doi.org/10.1080/13854046.2010.516769" TargetMode="External"/><Relationship Id="rId6057" Type="http://schemas.openxmlformats.org/officeDocument/2006/relationships/hyperlink" Target="https://doi.org/10.1016/j.drugalcdep.2004.11.006" TargetMode="External"/><Relationship Id="rId6471" Type="http://schemas.openxmlformats.org/officeDocument/2006/relationships/hyperlink" Target="https://doi.org/10.1016/j.psychres.2003.07.009" TargetMode="External"/><Relationship Id="rId986" Type="http://schemas.openxmlformats.org/officeDocument/2006/relationships/hyperlink" Target="https://doi.org/10.1016/j.neuropsychologia.2014.05.017" TargetMode="External"/><Relationship Id="rId2667" Type="http://schemas.openxmlformats.org/officeDocument/2006/relationships/hyperlink" Target="https://doi.org/10.2190/WHWX-YNVB-079V-2L74" TargetMode="External"/><Relationship Id="rId3718" Type="http://schemas.openxmlformats.org/officeDocument/2006/relationships/hyperlink" Target="https://doi.org/10.1093/cercor/bhr222" TargetMode="External"/><Relationship Id="rId5073" Type="http://schemas.openxmlformats.org/officeDocument/2006/relationships/hyperlink" Target="https://doi.org/10.1037/0735-7044.119.1.87" TargetMode="External"/><Relationship Id="rId6124" Type="http://schemas.openxmlformats.org/officeDocument/2006/relationships/hyperlink" Target="https://doi.org/10.1007/s10072-010-0449-4" TargetMode="External"/><Relationship Id="rId639" Type="http://schemas.openxmlformats.org/officeDocument/2006/relationships/hyperlink" Target="https://doi.org/10.1007/s10072-011-0893-9" TargetMode="External"/><Relationship Id="rId1269" Type="http://schemas.openxmlformats.org/officeDocument/2006/relationships/hyperlink" Target="https://doi.org/10.3389/fpsyt.2020.00261" TargetMode="External"/><Relationship Id="rId5140" Type="http://schemas.openxmlformats.org/officeDocument/2006/relationships/hyperlink" Target="https://doi.org/10.1017/S1355617712001385" TargetMode="External"/><Relationship Id="rId1683" Type="http://schemas.openxmlformats.org/officeDocument/2006/relationships/hyperlink" Target="https://doi.org/10.1016/j.neuropsychologia.2012.11.003" TargetMode="External"/><Relationship Id="rId2734" Type="http://schemas.openxmlformats.org/officeDocument/2006/relationships/hyperlink" Target="https://doi.org/10.1007/s00787-010-0126-4" TargetMode="External"/><Relationship Id="rId706" Type="http://schemas.openxmlformats.org/officeDocument/2006/relationships/hyperlink" Target="https://doi.org/10.1037/0894-4105.17.3.420" TargetMode="External"/><Relationship Id="rId1336" Type="http://schemas.openxmlformats.org/officeDocument/2006/relationships/hyperlink" Target="https://doi.org/10.1177/000841740907600209" TargetMode="External"/><Relationship Id="rId1750" Type="http://schemas.openxmlformats.org/officeDocument/2006/relationships/hyperlink" Target="https://doi.org/10.1016/j.comppsych.2016.04.011" TargetMode="External"/><Relationship Id="rId2801" Type="http://schemas.openxmlformats.org/officeDocument/2006/relationships/hyperlink" Target="https://doi.org/10.1093/arclin/acs055" TargetMode="External"/><Relationship Id="rId5957" Type="http://schemas.openxmlformats.org/officeDocument/2006/relationships/hyperlink" Target="https://doi.org/10.1016/j.yebeh.2015.10.022" TargetMode="External"/><Relationship Id="rId42" Type="http://schemas.openxmlformats.org/officeDocument/2006/relationships/hyperlink" Target="https://doi.org/10.1111/j.1467-9280.2008.02043.x" TargetMode="External"/><Relationship Id="rId1403" Type="http://schemas.openxmlformats.org/officeDocument/2006/relationships/hyperlink" Target="https://doi.org/10.3233/JAD-150111" TargetMode="External"/><Relationship Id="rId4559" Type="http://schemas.openxmlformats.org/officeDocument/2006/relationships/hyperlink" Target="https://doi.org/10.1001/jama.275.7.521" TargetMode="External"/><Relationship Id="rId4973" Type="http://schemas.openxmlformats.org/officeDocument/2006/relationships/hyperlink" Target="https://doi.org/10.1159/000320484" TargetMode="External"/><Relationship Id="rId3575" Type="http://schemas.openxmlformats.org/officeDocument/2006/relationships/hyperlink" Target="https://doi.org/10.1017/S1355617709991408" TargetMode="External"/><Relationship Id="rId4626" Type="http://schemas.openxmlformats.org/officeDocument/2006/relationships/hyperlink" Target="https://doi.org/10.1176/appi.neuropsych.15.4.436" TargetMode="External"/><Relationship Id="rId496" Type="http://schemas.openxmlformats.org/officeDocument/2006/relationships/hyperlink" Target="https://doi.org/10.1016/j.parkreldis.2010.06.008" TargetMode="External"/><Relationship Id="rId2177" Type="http://schemas.openxmlformats.org/officeDocument/2006/relationships/hyperlink" Target="https://doi.org/10.1176/appi.neuropsych.19.4.383" TargetMode="External"/><Relationship Id="rId2591" Type="http://schemas.openxmlformats.org/officeDocument/2006/relationships/hyperlink" Target="https://doi.org/10.17711/SM.0185-3325.2013.020" TargetMode="External"/><Relationship Id="rId3228" Type="http://schemas.openxmlformats.org/officeDocument/2006/relationships/hyperlink" Target="https://doi.org/10.1017/S1355617710000901" TargetMode="External"/><Relationship Id="rId3642" Type="http://schemas.openxmlformats.org/officeDocument/2006/relationships/hyperlink" Target="https://doi.org/10.1016/j.bandl.2005.11.001" TargetMode="External"/><Relationship Id="rId149" Type="http://schemas.openxmlformats.org/officeDocument/2006/relationships/hyperlink" Target="https://doi.org/10.1016/j.jpsychires.2012.02.015" TargetMode="External"/><Relationship Id="rId563" Type="http://schemas.openxmlformats.org/officeDocument/2006/relationships/hyperlink" Target="https://doi.org/10.1111/dmcn.12195" TargetMode="External"/><Relationship Id="rId1193" Type="http://schemas.openxmlformats.org/officeDocument/2006/relationships/hyperlink" Target="https://doi.org/10.1016/j.ijpsycho.2015.02.027" TargetMode="External"/><Relationship Id="rId2244" Type="http://schemas.openxmlformats.org/officeDocument/2006/relationships/hyperlink" Target="https://doi.org/10.3233/NRE-151277" TargetMode="External"/><Relationship Id="rId216" Type="http://schemas.openxmlformats.org/officeDocument/2006/relationships/hyperlink" Target="https://doi.org/10.1111/j.1600-0404.1995.tb00443.x" TargetMode="External"/><Relationship Id="rId1260" Type="http://schemas.openxmlformats.org/officeDocument/2006/relationships/hyperlink" Target="https://doi.org/10.1002/gps.1344" TargetMode="External"/><Relationship Id="rId630" Type="http://schemas.openxmlformats.org/officeDocument/2006/relationships/hyperlink" Target="https://doi.org/10.1016/j.neurobiolaging.2011.10.031" TargetMode="External"/><Relationship Id="rId2311" Type="http://schemas.openxmlformats.org/officeDocument/2006/relationships/hyperlink" Target="https://doi.org/10.1177/1533317513506779" TargetMode="External"/><Relationship Id="rId4069" Type="http://schemas.openxmlformats.org/officeDocument/2006/relationships/hyperlink" Target="https://doi.org/10.1159/000207456" TargetMode="External"/><Relationship Id="rId5467" Type="http://schemas.openxmlformats.org/officeDocument/2006/relationships/hyperlink" Target="https://doi.org/10.1080/03610730490251478" TargetMode="External"/><Relationship Id="rId5881" Type="http://schemas.openxmlformats.org/officeDocument/2006/relationships/hyperlink" Target="https://doi.org/10.1016/j.jad.2017.04.036" TargetMode="External"/><Relationship Id="rId6518" Type="http://schemas.openxmlformats.org/officeDocument/2006/relationships/hyperlink" Target="https://doi.org/10.1097/YCT.0000000000000385" TargetMode="External"/><Relationship Id="rId4483" Type="http://schemas.openxmlformats.org/officeDocument/2006/relationships/hyperlink" Target="https://doi.org/10.1080/02699052.2016.1231344" TargetMode="External"/><Relationship Id="rId5534" Type="http://schemas.openxmlformats.org/officeDocument/2006/relationships/hyperlink" Target="https://doi.org/10.1080/13854046.2011.568525" TargetMode="External"/><Relationship Id="rId3085" Type="http://schemas.openxmlformats.org/officeDocument/2006/relationships/hyperlink" Target="https://doi.org/10.1016/j.schres.2012.08.037" TargetMode="External"/><Relationship Id="rId4136" Type="http://schemas.openxmlformats.org/officeDocument/2006/relationships/hyperlink" Target="https://doi.org/10.1016/j.schres.2013.07.034" TargetMode="External"/><Relationship Id="rId4550" Type="http://schemas.openxmlformats.org/officeDocument/2006/relationships/hyperlink" Target="https://doi.org/10.1016/j.physbeh.2005.12.011" TargetMode="External"/><Relationship Id="rId5601" Type="http://schemas.openxmlformats.org/officeDocument/2006/relationships/hyperlink" Target="https://doi.org/10.1016/j.psychres.2016.10.075" TargetMode="External"/><Relationship Id="rId3152" Type="http://schemas.openxmlformats.org/officeDocument/2006/relationships/hyperlink" Target="https://doi.org/10.1017/S1092852900022598" TargetMode="External"/><Relationship Id="rId4203" Type="http://schemas.openxmlformats.org/officeDocument/2006/relationships/hyperlink" Target="https://doi.org/10.1162/jocn.2009.21289" TargetMode="External"/><Relationship Id="rId6375" Type="http://schemas.openxmlformats.org/officeDocument/2006/relationships/hyperlink" Target="https://doi.org/10.3389/fpsyg.2018.00412" TargetMode="External"/><Relationship Id="rId140" Type="http://schemas.openxmlformats.org/officeDocument/2006/relationships/hyperlink" Target="https://doi.org/10.1016/j.eurpsy.2012.06.003" TargetMode="External"/><Relationship Id="rId3969" Type="http://schemas.openxmlformats.org/officeDocument/2006/relationships/hyperlink" Target="https://doi.org/10.1016/S0893-6080(00)00058-7" TargetMode="External"/><Relationship Id="rId5391" Type="http://schemas.openxmlformats.org/officeDocument/2006/relationships/hyperlink" Target="https://doi.org/10.3233/JAD-160973" TargetMode="External"/><Relationship Id="rId6028" Type="http://schemas.openxmlformats.org/officeDocument/2006/relationships/hyperlink" Target="https://doi.org/10.1111/acps.13014" TargetMode="External"/><Relationship Id="rId6" Type="http://schemas.openxmlformats.org/officeDocument/2006/relationships/hyperlink" Target="https://doi.org/10.1080/13554794.2016.1239743" TargetMode="External"/><Relationship Id="rId2985" Type="http://schemas.openxmlformats.org/officeDocument/2006/relationships/hyperlink" Target="https://doi.org/10.1016/0028-3932(95)00147-6" TargetMode="External"/><Relationship Id="rId5044" Type="http://schemas.openxmlformats.org/officeDocument/2006/relationships/hyperlink" Target="https://doi.org/10.1016/j.comppsych.2004.03.007" TargetMode="External"/><Relationship Id="rId6442" Type="http://schemas.openxmlformats.org/officeDocument/2006/relationships/hyperlink" Target="https://doi.org/10.1097/00005053-199801000-00007" TargetMode="External"/><Relationship Id="rId957" Type="http://schemas.openxmlformats.org/officeDocument/2006/relationships/hyperlink" Target="https://doi.org/10.5406/amerjpsyc.124.3.0313" TargetMode="External"/><Relationship Id="rId1587" Type="http://schemas.openxmlformats.org/officeDocument/2006/relationships/hyperlink" Target="https://doi.org/10.1001/archgenpsychiatry.2010.63" TargetMode="External"/><Relationship Id="rId2638" Type="http://schemas.openxmlformats.org/officeDocument/2006/relationships/hyperlink" Target="https://doi.org/10.1016/j.psychres.2003.08.017" TargetMode="External"/><Relationship Id="rId1654" Type="http://schemas.openxmlformats.org/officeDocument/2006/relationships/hyperlink" Target="https://doi.org/10.1111/j.1440-1819.2005.01418.x" TargetMode="External"/><Relationship Id="rId2705" Type="http://schemas.openxmlformats.org/officeDocument/2006/relationships/hyperlink" Target="https://doi.org/10.1016/j.neuropsychologia.2010.02.018" TargetMode="External"/><Relationship Id="rId4060" Type="http://schemas.openxmlformats.org/officeDocument/2006/relationships/hyperlink" Target="https://doi.org/10.1097/j.pain.0000000000000278" TargetMode="External"/><Relationship Id="rId5111" Type="http://schemas.openxmlformats.org/officeDocument/2006/relationships/hyperlink" Target="https://doi.org/10.1192/bjp.bp.108.052001" TargetMode="External"/><Relationship Id="rId1307" Type="http://schemas.openxmlformats.org/officeDocument/2006/relationships/hyperlink" Target="https://doi.org/10.1016/j.jcomdis.2011.02.001" TargetMode="External"/><Relationship Id="rId1721" Type="http://schemas.openxmlformats.org/officeDocument/2006/relationships/hyperlink" Target="https://doi.org/10.1111/psyp.12288" TargetMode="External"/><Relationship Id="rId4877" Type="http://schemas.openxmlformats.org/officeDocument/2006/relationships/hyperlink" Target="https://doi.org/10.1016/j.neurobiolaging.2010.05.020" TargetMode="External"/><Relationship Id="rId5928" Type="http://schemas.openxmlformats.org/officeDocument/2006/relationships/hyperlink" Target="https://doi.org/10.1177/1359104512455181" TargetMode="External"/><Relationship Id="rId13" Type="http://schemas.openxmlformats.org/officeDocument/2006/relationships/hyperlink" Target="https://doi.org/10.1016/0165-1781(95)02670-R" TargetMode="External"/><Relationship Id="rId3479" Type="http://schemas.openxmlformats.org/officeDocument/2006/relationships/hyperlink" Target="https://doi.org/10.1093/arclin/acs072" TargetMode="External"/><Relationship Id="rId2495" Type="http://schemas.openxmlformats.org/officeDocument/2006/relationships/hyperlink" Target="https://doi.org/10.1007/s00406-012-0341-8" TargetMode="External"/><Relationship Id="rId3893" Type="http://schemas.openxmlformats.org/officeDocument/2006/relationships/hyperlink" Target="https://doi.org/10.1177/1087054710362217" TargetMode="External"/><Relationship Id="rId4944" Type="http://schemas.openxmlformats.org/officeDocument/2006/relationships/hyperlink" Target="https://doi.org/10.1111/j.1399-5618.2011.00924.x" TargetMode="External"/><Relationship Id="rId467" Type="http://schemas.openxmlformats.org/officeDocument/2006/relationships/hyperlink" Target="https://doi.org/10.1080/13854049608406670" TargetMode="External"/><Relationship Id="rId1097" Type="http://schemas.openxmlformats.org/officeDocument/2006/relationships/hyperlink" Target="https://doi.org/10.1016/j.neuropsychologia.2010.08.006" TargetMode="External"/><Relationship Id="rId2148" Type="http://schemas.openxmlformats.org/officeDocument/2006/relationships/hyperlink" Target="https://doi.org/10.1002/gps.4325" TargetMode="External"/><Relationship Id="rId3546" Type="http://schemas.openxmlformats.org/officeDocument/2006/relationships/hyperlink" Target="https://doi.org/10.1016/j.concog.2008.09.005" TargetMode="External"/><Relationship Id="rId3960" Type="http://schemas.openxmlformats.org/officeDocument/2006/relationships/hyperlink" Target="https://doi.org/10.1016/j.pnpbp.2017.03.001" TargetMode="External"/><Relationship Id="rId881" Type="http://schemas.openxmlformats.org/officeDocument/2006/relationships/hyperlink" Target="https://doi.org/10.1093/sleep/29.7.927" TargetMode="External"/><Relationship Id="rId2562" Type="http://schemas.openxmlformats.org/officeDocument/2006/relationships/hyperlink" Target="https://doi.org/10.1080/09084280701509208" TargetMode="External"/><Relationship Id="rId3613" Type="http://schemas.openxmlformats.org/officeDocument/2006/relationships/hyperlink" Target="https://doi.org/10.1016/B978-0-12-800981-9.00006-7" TargetMode="External"/><Relationship Id="rId534" Type="http://schemas.openxmlformats.org/officeDocument/2006/relationships/hyperlink" Target="https://doi.org/10.1159/000080967" TargetMode="External"/><Relationship Id="rId1164" Type="http://schemas.openxmlformats.org/officeDocument/2006/relationships/hyperlink" Target="https://doi.org/10.1155/2019/9785319" TargetMode="External"/><Relationship Id="rId2215" Type="http://schemas.openxmlformats.org/officeDocument/2006/relationships/hyperlink" Target="https://doi.org/10.1016/j.acn.2004.09.004" TargetMode="External"/><Relationship Id="rId5785" Type="http://schemas.openxmlformats.org/officeDocument/2006/relationships/hyperlink" Target="https://doi.org/10.1348/014466507X173772" TargetMode="External"/><Relationship Id="rId601" Type="http://schemas.openxmlformats.org/officeDocument/2006/relationships/hyperlink" Target="https://doi.org/10.1016/S0887-6177(97)00074-7" TargetMode="External"/><Relationship Id="rId1231" Type="http://schemas.openxmlformats.org/officeDocument/2006/relationships/hyperlink" Target="https://doi.org/10.1111/j.1467-7687.2004.00365.x" TargetMode="External"/><Relationship Id="rId4387" Type="http://schemas.openxmlformats.org/officeDocument/2006/relationships/hyperlink" Target="https://doi.org/10.1111/adb.12403" TargetMode="External"/><Relationship Id="rId5438" Type="http://schemas.openxmlformats.org/officeDocument/2006/relationships/hyperlink" Target="https://doi.org/10.1089/cyber.2016.0215" TargetMode="External"/><Relationship Id="rId5852" Type="http://schemas.openxmlformats.org/officeDocument/2006/relationships/hyperlink" Target="https://doi.org/10.1159/000329998" TargetMode="External"/><Relationship Id="rId4454" Type="http://schemas.openxmlformats.org/officeDocument/2006/relationships/hyperlink" Target="https://doi.org/10.1080/09084282.2011.643963" TargetMode="External"/><Relationship Id="rId5505" Type="http://schemas.openxmlformats.org/officeDocument/2006/relationships/hyperlink" Target="https://doi.org/10.1007/s10882-017-9549-x" TargetMode="External"/><Relationship Id="rId3056" Type="http://schemas.openxmlformats.org/officeDocument/2006/relationships/hyperlink" Target="https://doi.org/10.1016/j.biopsych.2004.11.029" TargetMode="External"/><Relationship Id="rId3470" Type="http://schemas.openxmlformats.org/officeDocument/2006/relationships/hyperlink" Target="https://doi.org/10.4088/JCP.08m04673yel" TargetMode="External"/><Relationship Id="rId4107" Type="http://schemas.openxmlformats.org/officeDocument/2006/relationships/hyperlink" Target="https://doi.org/10.1126/science.1067653" TargetMode="External"/><Relationship Id="rId391" Type="http://schemas.openxmlformats.org/officeDocument/2006/relationships/hyperlink" Target="https://doi.org/10.1016/j.jpsychires.2013.08.009" TargetMode="External"/><Relationship Id="rId2072" Type="http://schemas.openxmlformats.org/officeDocument/2006/relationships/hyperlink" Target="https://doi.org/10.1016/j.biopsych.2017.09.022" TargetMode="External"/><Relationship Id="rId3123" Type="http://schemas.openxmlformats.org/officeDocument/2006/relationships/hyperlink" Target="https://doi.org/10.1159/000348355" TargetMode="External"/><Relationship Id="rId4521" Type="http://schemas.openxmlformats.org/officeDocument/2006/relationships/hyperlink" Target="https://doi.org/10.1093/brain/awg222" TargetMode="External"/><Relationship Id="rId6279" Type="http://schemas.openxmlformats.org/officeDocument/2006/relationships/hyperlink" Target="https://doi.org/10.1371/journal.pone.0036161" TargetMode="External"/><Relationship Id="rId2889" Type="http://schemas.openxmlformats.org/officeDocument/2006/relationships/hyperlink" Target="https://doi.org/10.1037/10511-004" TargetMode="External"/><Relationship Id="rId5295" Type="http://schemas.openxmlformats.org/officeDocument/2006/relationships/hyperlink" Target="https://doi.org/10.1007/s00213-003-1506-y" TargetMode="External"/><Relationship Id="rId6346" Type="http://schemas.openxmlformats.org/officeDocument/2006/relationships/hyperlink" Target="https://doi.org/10.1093/schbul/sbm013" TargetMode="External"/><Relationship Id="rId111" Type="http://schemas.openxmlformats.org/officeDocument/2006/relationships/hyperlink" Target="https://doi.org/10.1080/10640266.2019.1591849" TargetMode="External"/><Relationship Id="rId2956" Type="http://schemas.openxmlformats.org/officeDocument/2006/relationships/hyperlink" Target="https://doi.org/10.1023/A:1012299822274" TargetMode="External"/><Relationship Id="rId5362" Type="http://schemas.openxmlformats.org/officeDocument/2006/relationships/hyperlink" Target="https://doi.org/10.1093/schbul/sbm018" TargetMode="External"/><Relationship Id="rId6413" Type="http://schemas.openxmlformats.org/officeDocument/2006/relationships/hyperlink" Target="https://doi.org/10.1080/87565641.2021.1913165" TargetMode="External"/><Relationship Id="rId928" Type="http://schemas.openxmlformats.org/officeDocument/2006/relationships/hyperlink" Target="https://doi.org/10.1080/13803395.2018.1546381" TargetMode="External"/><Relationship Id="rId1558" Type="http://schemas.openxmlformats.org/officeDocument/2006/relationships/hyperlink" Target="https://doi.org/10.1080/21622965.2013.848329" TargetMode="External"/><Relationship Id="rId2609" Type="http://schemas.openxmlformats.org/officeDocument/2006/relationships/hyperlink" Target="https://doi.org/10.1093/schbul/sbp095" TargetMode="External"/><Relationship Id="rId5015" Type="http://schemas.openxmlformats.org/officeDocument/2006/relationships/hyperlink" Target="https://doi.org/10.1016/j.jad.2015.10.008" TargetMode="External"/><Relationship Id="rId1972" Type="http://schemas.openxmlformats.org/officeDocument/2006/relationships/hyperlink" Target="https://doi.org/10.1080/13825580802573045" TargetMode="External"/><Relationship Id="rId4031" Type="http://schemas.openxmlformats.org/officeDocument/2006/relationships/hyperlink" Target="https://doi.org/10.1016/j.drugalcdep.2009.04.005" TargetMode="External"/><Relationship Id="rId1625" Type="http://schemas.openxmlformats.org/officeDocument/2006/relationships/hyperlink" Target="https://doi.org/10.1016/S1474-4422(12)70138-2" TargetMode="External"/><Relationship Id="rId3797" Type="http://schemas.openxmlformats.org/officeDocument/2006/relationships/hyperlink" Target="https://doi.org/10.1111/j.1742-9544.2011.00054.x" TargetMode="External"/><Relationship Id="rId4848" Type="http://schemas.openxmlformats.org/officeDocument/2006/relationships/hyperlink" Target="https://doi.org/10.1038/sj.npp.1301654" TargetMode="External"/><Relationship Id="rId2399" Type="http://schemas.openxmlformats.org/officeDocument/2006/relationships/hyperlink" Target="https://doi.org/10.1037/0894-4105.20.5.511" TargetMode="External"/><Relationship Id="rId3864" Type="http://schemas.openxmlformats.org/officeDocument/2006/relationships/hyperlink" Target="https://doi.org/10.1136/jnnp-2013-305271" TargetMode="External"/><Relationship Id="rId4915" Type="http://schemas.openxmlformats.org/officeDocument/2006/relationships/hyperlink" Target="https://doi.org/10.1097/01.wnn.0000151859.19031.e8" TargetMode="External"/><Relationship Id="rId6270" Type="http://schemas.openxmlformats.org/officeDocument/2006/relationships/hyperlink" Target="https://doi.org/10.1016/j.neurobiolaging.2009.02.002" TargetMode="External"/><Relationship Id="rId785" Type="http://schemas.openxmlformats.org/officeDocument/2006/relationships/hyperlink" Target="https://doi.org/10.1111/bdi.12527" TargetMode="External"/><Relationship Id="rId2466" Type="http://schemas.openxmlformats.org/officeDocument/2006/relationships/hyperlink" Target="https://doi.org/10.1007/s10826-012-9592-2" TargetMode="External"/><Relationship Id="rId2880" Type="http://schemas.openxmlformats.org/officeDocument/2006/relationships/hyperlink" Target="https://doi.org/10.1017/S0033291712001419" TargetMode="External"/><Relationship Id="rId3517" Type="http://schemas.openxmlformats.org/officeDocument/2006/relationships/hyperlink" Target="https://doi.org/10.1016/j.schres.2004.09.014" TargetMode="External"/><Relationship Id="rId3931" Type="http://schemas.openxmlformats.org/officeDocument/2006/relationships/hyperlink" Target="https://doi.org/10.1111/j.1440-1819.2009.01935.x" TargetMode="External"/><Relationship Id="rId438" Type="http://schemas.openxmlformats.org/officeDocument/2006/relationships/hyperlink" Target="https://doi.org/10.1348/174866408X400354" TargetMode="External"/><Relationship Id="rId852" Type="http://schemas.openxmlformats.org/officeDocument/2006/relationships/hyperlink" Target="https://doi.org/10.1089/neu.2015.4003" TargetMode="External"/><Relationship Id="rId1068" Type="http://schemas.openxmlformats.org/officeDocument/2006/relationships/hyperlink" Target="https://doi.org/10.1016/j.schres.2017.03.028" TargetMode="External"/><Relationship Id="rId1482" Type="http://schemas.openxmlformats.org/officeDocument/2006/relationships/hyperlink" Target="https://doi.org/10.1016/j.bandc.2004.03.002" TargetMode="External"/><Relationship Id="rId2119" Type="http://schemas.openxmlformats.org/officeDocument/2006/relationships/hyperlink" Target="https://doi.org/10.1016/S0887-6177(01)00129-9" TargetMode="External"/><Relationship Id="rId2533" Type="http://schemas.openxmlformats.org/officeDocument/2006/relationships/hyperlink" Target="https://doi.org/10.1007/s10826-013-9789-z" TargetMode="External"/><Relationship Id="rId5689" Type="http://schemas.openxmlformats.org/officeDocument/2006/relationships/hyperlink" Target="https://doi.org/10.1080/21662630.2015.1057858" TargetMode="External"/><Relationship Id="rId505" Type="http://schemas.openxmlformats.org/officeDocument/2006/relationships/hyperlink" Target="https://doi.org/10.1016/j.psychres.2010.08.029" TargetMode="External"/><Relationship Id="rId1135" Type="http://schemas.openxmlformats.org/officeDocument/2006/relationships/hyperlink" Target="https://doi.org/10.1097/01.pra.0000390759.04581.7c" TargetMode="External"/><Relationship Id="rId1202" Type="http://schemas.openxmlformats.org/officeDocument/2006/relationships/hyperlink" Target="https://doi.org/10.1080/13554794.2011.588176" TargetMode="External"/><Relationship Id="rId2600" Type="http://schemas.openxmlformats.org/officeDocument/2006/relationships/hyperlink" Target="https://doi.org/10.1080/87565640701190817" TargetMode="External"/><Relationship Id="rId4358" Type="http://schemas.openxmlformats.org/officeDocument/2006/relationships/hyperlink" Target="https://doi.org/10.1016/j.bandc.2011.07.009" TargetMode="External"/><Relationship Id="rId5409" Type="http://schemas.openxmlformats.org/officeDocument/2006/relationships/hyperlink" Target="https://doi.org/10.1037/0894-4105.18.4.679" TargetMode="External"/><Relationship Id="rId5756" Type="http://schemas.openxmlformats.org/officeDocument/2006/relationships/hyperlink" Target="https://doi.org/10.1017/S1041610211001463" TargetMode="External"/><Relationship Id="rId4772" Type="http://schemas.openxmlformats.org/officeDocument/2006/relationships/hyperlink" Target="https://doi.org/10.1001/archgenpsychiatry.2010.184" TargetMode="External"/><Relationship Id="rId5823" Type="http://schemas.openxmlformats.org/officeDocument/2006/relationships/hyperlink" Target="https://doi.org/10.1016/j.neuropsychologia.2006.10.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397</Pages>
  <Words>376099</Words>
  <Characters>2143766</Characters>
  <Application>Microsoft Office Word</Application>
  <DocSecurity>0</DocSecurity>
  <Lines>17864</Lines>
  <Paragraphs>5029</Paragraphs>
  <ScaleCrop>false</ScaleCrop>
  <Company/>
  <LinksUpToDate>false</LinksUpToDate>
  <CharactersWithSpaces>2514836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Rodriguez</dc:creator>
  <cp:keywords/>
  <dc:description/>
  <cp:lastModifiedBy>Alexandra Rodriguez</cp:lastModifiedBy>
  <cp:revision>3</cp:revision>
  <dcterms:created xsi:type="dcterms:W3CDTF">2022-02-23T16:09:00Z</dcterms:created>
  <dcterms:modified xsi:type="dcterms:W3CDTF">2022-02-25T17:15:00Z</dcterms:modified>
</cp:coreProperties>
</file>